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32CC39">
      <w:pPr>
        <w:rPr>
          <w:rFonts w:hint="eastAsia" w:cs="Times New Roman"/>
          <w:color w:val="auto"/>
          <w:lang w:val="en-US" w:eastAsia="zh-CN"/>
        </w:rPr>
      </w:pPr>
      <w:bookmarkStart w:id="0" w:name="_Toc21898"/>
    </w:p>
    <w:p w14:paraId="2D7CF304">
      <w:pPr>
        <w:bidi w:val="0"/>
        <w:rPr>
          <w:rFonts w:hint="eastAsia"/>
          <w:color w:val="auto"/>
          <w:lang w:val="en-US" w:eastAsia="zh-CN"/>
        </w:rPr>
      </w:pPr>
    </w:p>
    <w:p w14:paraId="2843EFFE">
      <w:pPr>
        <w:rPr>
          <w:rFonts w:hint="eastAsia"/>
          <w:color w:val="auto"/>
          <w:lang w:val="en-US" w:eastAsia="zh-CN"/>
        </w:rPr>
      </w:pPr>
    </w:p>
    <w:p w14:paraId="02E11AEA">
      <w:pPr>
        <w:rPr>
          <w:rFonts w:ascii="Times New Roman" w:hAnsi="Times New Roman" w:cs="Times New Roman"/>
          <w:color w:val="auto"/>
        </w:rPr>
      </w:pPr>
    </w:p>
    <w:p w14:paraId="14ED1B1B">
      <w:pPr>
        <w:rPr>
          <w:rFonts w:ascii="Times New Roman" w:hAnsi="Times New Roman" w:cs="Times New Roman"/>
          <w:color w:val="auto"/>
        </w:rPr>
      </w:pPr>
    </w:p>
    <w:p w14:paraId="56077EBB">
      <w:pPr>
        <w:tabs>
          <w:tab w:val="left" w:pos="1760"/>
        </w:tabs>
        <w:rPr>
          <w:rFonts w:hint="default" w:cs="Times New Roman"/>
          <w:color w:val="auto"/>
          <w:lang w:val="en-US" w:eastAsia="zh-CN"/>
        </w:rPr>
      </w:pPr>
    </w:p>
    <w:p w14:paraId="7B9E0550">
      <w:pPr>
        <w:pStyle w:val="26"/>
        <w:rPr>
          <w:rFonts w:hint="eastAsia"/>
          <w:color w:val="auto"/>
          <w:kern w:val="2"/>
        </w:rPr>
      </w:pPr>
    </w:p>
    <w:p w14:paraId="23477D22">
      <w:pPr>
        <w:spacing w:line="480" w:lineRule="auto"/>
        <w:rPr>
          <w:rFonts w:ascii="黑体" w:hAnsi="黑体" w:eastAsia="黑体" w:cs="Times New Roman"/>
          <w:color w:val="auto"/>
        </w:rPr>
      </w:pPr>
    </w:p>
    <w:p w14:paraId="55450C33">
      <w:pPr>
        <w:spacing w:before="120"/>
        <w:jc w:val="center"/>
        <w:rPr>
          <w:rFonts w:hint="eastAsia" w:ascii="Times New Roman" w:hAnsi="Times New Roman" w:eastAsia="黑体" w:cs="Times New Roman"/>
          <w:color w:val="auto"/>
          <w:spacing w:val="-22"/>
          <w:sz w:val="52"/>
          <w:szCs w:val="52"/>
          <w:lang w:val="en-US" w:eastAsia="zh-CN"/>
        </w:rPr>
      </w:pPr>
      <w:bookmarkStart w:id="1" w:name="_Toc4613"/>
      <w:bookmarkStart w:id="2" w:name="_Toc11223"/>
      <w:bookmarkStart w:id="3" w:name="_Toc7882"/>
      <w:r>
        <w:rPr>
          <w:rFonts w:hint="eastAsia" w:ascii="Times New Roman" w:hAnsi="Times New Roman" w:eastAsia="黑体" w:cs="Times New Roman"/>
          <w:color w:val="auto"/>
          <w:spacing w:val="-22"/>
          <w:sz w:val="52"/>
          <w:szCs w:val="52"/>
          <w:lang w:val="en-US" w:eastAsia="zh-CN"/>
        </w:rPr>
        <w:t>塔里木油田雄英油田雄英1区块寒武系</w:t>
      </w:r>
    </w:p>
    <w:p w14:paraId="66A92375">
      <w:pPr>
        <w:spacing w:before="120"/>
        <w:jc w:val="center"/>
        <w:rPr>
          <w:rFonts w:hint="eastAsia"/>
          <w:b/>
          <w:bCs/>
          <w:color w:val="auto"/>
          <w:sz w:val="44"/>
          <w:szCs w:val="44"/>
          <w:lang w:eastAsia="zh-CN"/>
        </w:rPr>
      </w:pPr>
      <w:r>
        <w:rPr>
          <w:rFonts w:hint="eastAsia" w:ascii="Times New Roman" w:hAnsi="Times New Roman" w:eastAsia="黑体" w:cs="Times New Roman"/>
          <w:color w:val="auto"/>
          <w:spacing w:val="-22"/>
          <w:sz w:val="52"/>
          <w:szCs w:val="52"/>
          <w:lang w:val="en-US" w:eastAsia="zh-CN"/>
        </w:rPr>
        <w:t>下丘里塔格组试采优化调整项目</w:t>
      </w:r>
    </w:p>
    <w:p w14:paraId="0F374930">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b/>
          <w:bCs/>
          <w:color w:val="auto"/>
          <w:sz w:val="44"/>
          <w:szCs w:val="44"/>
        </w:rPr>
      </w:pPr>
      <w:r>
        <w:rPr>
          <w:rFonts w:hint="eastAsia" w:ascii="宋体" w:hAnsi="宋体" w:eastAsia="宋体" w:cs="宋体"/>
          <w:b/>
          <w:bCs/>
          <w:color w:val="auto"/>
          <w:spacing w:val="0"/>
          <w:sz w:val="72"/>
          <w:szCs w:val="72"/>
        </w:rPr>
        <w:t>环境影响报告书</w:t>
      </w:r>
      <w:bookmarkEnd w:id="1"/>
      <w:bookmarkEnd w:id="2"/>
      <w:bookmarkEnd w:id="3"/>
    </w:p>
    <w:p w14:paraId="19610292">
      <w:pPr>
        <w:bidi w:val="0"/>
        <w:rPr>
          <w:color w:val="auto"/>
        </w:rPr>
      </w:pPr>
    </w:p>
    <w:p w14:paraId="7EAEA212">
      <w:pPr>
        <w:bidi w:val="0"/>
        <w:rPr>
          <w:color w:val="auto"/>
        </w:rPr>
      </w:pPr>
    </w:p>
    <w:p w14:paraId="0D123604">
      <w:pPr>
        <w:bidi w:val="0"/>
        <w:rPr>
          <w:color w:val="auto"/>
        </w:rPr>
      </w:pPr>
    </w:p>
    <w:p w14:paraId="392328EF">
      <w:pPr>
        <w:bidi w:val="0"/>
        <w:rPr>
          <w:color w:val="auto"/>
        </w:rPr>
      </w:pPr>
    </w:p>
    <w:p w14:paraId="21560691">
      <w:pPr>
        <w:bidi w:val="0"/>
        <w:rPr>
          <w:color w:val="auto"/>
        </w:rPr>
      </w:pPr>
    </w:p>
    <w:p w14:paraId="2A897371">
      <w:pPr>
        <w:bidi w:val="0"/>
        <w:rPr>
          <w:color w:val="auto"/>
        </w:rPr>
      </w:pPr>
    </w:p>
    <w:p w14:paraId="68B14770">
      <w:pPr>
        <w:bidi w:val="0"/>
        <w:rPr>
          <w:color w:val="auto"/>
        </w:rPr>
      </w:pPr>
    </w:p>
    <w:p w14:paraId="1887FF45">
      <w:pPr>
        <w:bidi w:val="0"/>
        <w:rPr>
          <w:color w:val="auto"/>
        </w:rPr>
      </w:pPr>
    </w:p>
    <w:p w14:paraId="77493879">
      <w:pPr>
        <w:bidi w:val="0"/>
        <w:rPr>
          <w:color w:val="auto"/>
        </w:rPr>
      </w:pPr>
    </w:p>
    <w:p w14:paraId="3659E907">
      <w:pPr>
        <w:bidi w:val="0"/>
        <w:rPr>
          <w:color w:val="auto"/>
        </w:rPr>
      </w:pPr>
    </w:p>
    <w:p w14:paraId="42F16DCE">
      <w:pPr>
        <w:bidi w:val="0"/>
        <w:rPr>
          <w:color w:val="auto"/>
        </w:rPr>
      </w:pPr>
    </w:p>
    <w:p w14:paraId="2A1C7FEA">
      <w:pPr>
        <w:bidi w:val="0"/>
        <w:rPr>
          <w:color w:val="auto"/>
        </w:rPr>
      </w:pPr>
    </w:p>
    <w:p w14:paraId="62B7C8A2">
      <w:pPr>
        <w:bidi w:val="0"/>
        <w:rPr>
          <w:color w:val="auto"/>
        </w:rPr>
      </w:pPr>
    </w:p>
    <w:p w14:paraId="68E67C19">
      <w:pPr>
        <w:bidi w:val="0"/>
        <w:rPr>
          <w:color w:val="auto"/>
        </w:rPr>
      </w:pPr>
    </w:p>
    <w:p w14:paraId="4D7B341C">
      <w:pPr>
        <w:bidi w:val="0"/>
        <w:rPr>
          <w:color w:val="auto"/>
        </w:rPr>
      </w:pPr>
    </w:p>
    <w:tbl>
      <w:tblPr>
        <w:tblStyle w:val="36"/>
        <w:tblW w:w="0" w:type="auto"/>
        <w:jc w:val="center"/>
        <w:tblLayout w:type="fixed"/>
        <w:tblCellMar>
          <w:top w:w="0" w:type="dxa"/>
          <w:left w:w="0" w:type="dxa"/>
          <w:bottom w:w="0" w:type="dxa"/>
          <w:right w:w="0" w:type="dxa"/>
        </w:tblCellMar>
      </w:tblPr>
      <w:tblGrid>
        <w:gridCol w:w="1527"/>
        <w:gridCol w:w="5978"/>
      </w:tblGrid>
      <w:tr w14:paraId="3334A7FA">
        <w:tblPrEx>
          <w:tblCellMar>
            <w:top w:w="0" w:type="dxa"/>
            <w:left w:w="0" w:type="dxa"/>
            <w:bottom w:w="0" w:type="dxa"/>
            <w:right w:w="0" w:type="dxa"/>
          </w:tblCellMar>
        </w:tblPrEx>
        <w:trPr>
          <w:trHeight w:val="510" w:hRule="atLeast"/>
          <w:jc w:val="center"/>
        </w:trPr>
        <w:tc>
          <w:tcPr>
            <w:tcW w:w="1527" w:type="dxa"/>
            <w:noWrap w:val="0"/>
            <w:vAlign w:val="center"/>
          </w:tcPr>
          <w:p w14:paraId="7706A78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32"/>
                <w:szCs w:val="32"/>
              </w:rPr>
            </w:pPr>
            <w:r>
              <w:rPr>
                <w:rFonts w:hint="eastAsia" w:ascii="宋体" w:hAnsi="宋体" w:eastAsia="宋体" w:cs="宋体"/>
                <w:b/>
                <w:bCs/>
                <w:color w:val="auto"/>
                <w:sz w:val="32"/>
                <w:szCs w:val="32"/>
              </w:rPr>
              <w:t>建设单位：</w:t>
            </w:r>
          </w:p>
        </w:tc>
        <w:tc>
          <w:tcPr>
            <w:tcW w:w="5978" w:type="dxa"/>
            <w:noWrap w:val="0"/>
            <w:vAlign w:val="center"/>
          </w:tcPr>
          <w:p w14:paraId="5BEA3D49">
            <w:pPr>
              <w:keepNext w:val="0"/>
              <w:keepLines w:val="0"/>
              <w:pageBreakBefore w:val="0"/>
              <w:widowControl w:val="0"/>
              <w:kinsoku/>
              <w:wordWrap/>
              <w:overflowPunct/>
              <w:topLinePunct w:val="0"/>
              <w:autoSpaceDE/>
              <w:autoSpaceDN/>
              <w:bidi w:val="0"/>
              <w:adjustRightInd/>
              <w:snapToGrid/>
              <w:spacing w:before="48" w:beforeLines="10" w:line="360" w:lineRule="auto"/>
              <w:jc w:val="left"/>
              <w:textAlignment w:val="auto"/>
              <w:rPr>
                <w:rFonts w:hint="eastAsia" w:ascii="宋体" w:hAnsi="宋体" w:eastAsia="宋体" w:cs="宋体"/>
                <w:b/>
                <w:bCs/>
                <w:color w:val="auto"/>
                <w:spacing w:val="-10"/>
                <w:sz w:val="32"/>
                <w:szCs w:val="32"/>
              </w:rPr>
            </w:pPr>
            <w:r>
              <w:rPr>
                <w:rFonts w:hint="eastAsia" w:ascii="宋体" w:hAnsi="宋体" w:eastAsia="宋体" w:cs="宋体"/>
                <w:b/>
                <w:bCs/>
                <w:color w:val="auto"/>
                <w:spacing w:val="-20"/>
                <w:sz w:val="32"/>
                <w:szCs w:val="32"/>
              </w:rPr>
              <w:t>中国石油天然气股份有限公司塔里木油田分公司</w:t>
            </w:r>
          </w:p>
        </w:tc>
      </w:tr>
      <w:tr w14:paraId="3F9AE9DE">
        <w:tblPrEx>
          <w:tblCellMar>
            <w:top w:w="0" w:type="dxa"/>
            <w:left w:w="0" w:type="dxa"/>
            <w:bottom w:w="0" w:type="dxa"/>
            <w:right w:w="0" w:type="dxa"/>
          </w:tblCellMar>
        </w:tblPrEx>
        <w:trPr>
          <w:trHeight w:val="510" w:hRule="atLeast"/>
          <w:jc w:val="center"/>
        </w:trPr>
        <w:tc>
          <w:tcPr>
            <w:tcW w:w="1527" w:type="dxa"/>
            <w:noWrap w:val="0"/>
            <w:vAlign w:val="center"/>
          </w:tcPr>
          <w:p w14:paraId="42923079">
            <w:pPr>
              <w:keepNext w:val="0"/>
              <w:keepLines w:val="0"/>
              <w:pageBreakBefore w:val="0"/>
              <w:widowControl w:val="0"/>
              <w:kinsoku/>
              <w:wordWrap/>
              <w:overflowPunct/>
              <w:topLinePunct w:val="0"/>
              <w:autoSpaceDE/>
              <w:autoSpaceDN/>
              <w:bidi w:val="0"/>
              <w:adjustRightInd/>
              <w:snapToGrid/>
              <w:spacing w:before="48" w:beforeLines="10" w:line="360" w:lineRule="auto"/>
              <w:textAlignment w:val="auto"/>
              <w:rPr>
                <w:rFonts w:hint="eastAsia" w:ascii="宋体" w:hAnsi="宋体" w:eastAsia="宋体" w:cs="宋体"/>
                <w:b/>
                <w:bCs/>
                <w:color w:val="auto"/>
                <w:sz w:val="32"/>
                <w:szCs w:val="32"/>
              </w:rPr>
            </w:pPr>
            <w:r>
              <w:rPr>
                <w:rFonts w:hint="eastAsia" w:ascii="宋体" w:hAnsi="宋体" w:eastAsia="宋体" w:cs="宋体"/>
                <w:b/>
                <w:bCs/>
                <w:color w:val="auto"/>
                <w:sz w:val="32"/>
                <w:szCs w:val="32"/>
                <w:lang w:val="en-US" w:eastAsia="zh-CN"/>
              </w:rPr>
              <w:t>编制</w:t>
            </w:r>
            <w:r>
              <w:rPr>
                <w:rFonts w:hint="eastAsia" w:ascii="宋体" w:hAnsi="宋体" w:eastAsia="宋体" w:cs="宋体"/>
                <w:b/>
                <w:bCs/>
                <w:color w:val="auto"/>
                <w:sz w:val="32"/>
                <w:szCs w:val="32"/>
              </w:rPr>
              <w:t>单位：</w:t>
            </w:r>
          </w:p>
        </w:tc>
        <w:tc>
          <w:tcPr>
            <w:tcW w:w="5978" w:type="dxa"/>
            <w:noWrap w:val="0"/>
            <w:vAlign w:val="center"/>
          </w:tcPr>
          <w:p w14:paraId="2AB8187A">
            <w:pPr>
              <w:keepNext w:val="0"/>
              <w:keepLines w:val="0"/>
              <w:pageBreakBefore w:val="0"/>
              <w:widowControl w:val="0"/>
              <w:kinsoku/>
              <w:wordWrap/>
              <w:overflowPunct/>
              <w:topLinePunct w:val="0"/>
              <w:autoSpaceDE/>
              <w:autoSpaceDN/>
              <w:bidi w:val="0"/>
              <w:adjustRightInd/>
              <w:snapToGrid/>
              <w:spacing w:before="48" w:beforeLines="10" w:line="360" w:lineRule="auto"/>
              <w:jc w:val="left"/>
              <w:textAlignment w:val="auto"/>
              <w:rPr>
                <w:rFonts w:hint="eastAsia" w:ascii="宋体" w:hAnsi="宋体" w:eastAsia="宋体" w:cs="宋体"/>
                <w:b/>
                <w:bCs/>
                <w:color w:val="auto"/>
                <w:spacing w:val="-12"/>
                <w:sz w:val="32"/>
                <w:szCs w:val="32"/>
              </w:rPr>
            </w:pPr>
            <w:r>
              <w:rPr>
                <w:rFonts w:hint="eastAsia" w:ascii="宋体" w:hAnsi="宋体" w:eastAsia="宋体" w:cs="宋体"/>
                <w:b/>
                <w:bCs/>
                <w:color w:val="auto"/>
                <w:spacing w:val="0"/>
                <w:kern w:val="0"/>
                <w:sz w:val="32"/>
                <w:szCs w:val="32"/>
                <w:lang w:val="en-US" w:eastAsia="zh-CN"/>
              </w:rPr>
              <w:t>新疆天合环境技术咨询有限公司</w:t>
            </w:r>
          </w:p>
        </w:tc>
      </w:tr>
      <w:tr w14:paraId="327CF187">
        <w:tblPrEx>
          <w:tblCellMar>
            <w:top w:w="0" w:type="dxa"/>
            <w:left w:w="0" w:type="dxa"/>
            <w:bottom w:w="0" w:type="dxa"/>
            <w:right w:w="0" w:type="dxa"/>
          </w:tblCellMar>
        </w:tblPrEx>
        <w:trPr>
          <w:trHeight w:val="510" w:hRule="atLeast"/>
          <w:jc w:val="center"/>
        </w:trPr>
        <w:tc>
          <w:tcPr>
            <w:tcW w:w="7505" w:type="dxa"/>
            <w:gridSpan w:val="2"/>
            <w:noWrap w:val="0"/>
            <w:vAlign w:val="center"/>
          </w:tcPr>
          <w:p w14:paraId="5E4722B6">
            <w:pPr>
              <w:jc w:val="center"/>
              <w:rPr>
                <w:rFonts w:hint="default" w:ascii="Times New Roman" w:hAnsi="Times New Roman" w:eastAsia="宋体" w:cs="Times New Roman"/>
                <w:b/>
                <w:bCs/>
                <w:color w:val="auto"/>
                <w:kern w:val="0"/>
                <w:sz w:val="32"/>
                <w:szCs w:val="32"/>
                <w:lang w:val="en-US" w:eastAsia="zh-CN"/>
              </w:rPr>
            </w:pPr>
          </w:p>
          <w:p w14:paraId="2CA59C9B">
            <w:pPr>
              <w:jc w:val="center"/>
              <w:rPr>
                <w:rFonts w:hint="eastAsia" w:ascii="宋体" w:hAnsi="宋体" w:eastAsia="宋体" w:cs="宋体"/>
                <w:b/>
                <w:bCs/>
                <w:color w:val="auto"/>
                <w:sz w:val="30"/>
                <w:szCs w:val="30"/>
              </w:rPr>
            </w:pPr>
            <w:r>
              <w:rPr>
                <w:rFonts w:hint="default" w:ascii="Times New Roman" w:hAnsi="Times New Roman" w:eastAsia="宋体" w:cs="Times New Roman"/>
                <w:b/>
                <w:bCs/>
                <w:color w:val="auto"/>
                <w:kern w:val="0"/>
                <w:sz w:val="32"/>
                <w:szCs w:val="32"/>
                <w:lang w:val="en-US" w:eastAsia="zh-CN"/>
              </w:rPr>
              <w:t>2025</w:t>
            </w:r>
            <w:r>
              <w:rPr>
                <w:rFonts w:hint="default" w:ascii="Times New Roman" w:hAnsi="Times New Roman" w:eastAsia="宋体" w:cs="Times New Roman"/>
                <w:b/>
                <w:bCs/>
                <w:color w:val="auto"/>
                <w:kern w:val="0"/>
                <w:sz w:val="32"/>
                <w:szCs w:val="32"/>
              </w:rPr>
              <w:t>年</w:t>
            </w:r>
            <w:r>
              <w:rPr>
                <w:rFonts w:hint="eastAsia" w:cs="Times New Roman"/>
                <w:b/>
                <w:bCs/>
                <w:color w:val="auto"/>
                <w:kern w:val="0"/>
                <w:sz w:val="32"/>
                <w:szCs w:val="32"/>
                <w:lang w:val="en-US" w:eastAsia="zh-CN"/>
              </w:rPr>
              <w:t>8</w:t>
            </w:r>
            <w:r>
              <w:rPr>
                <w:rFonts w:hint="default" w:ascii="Times New Roman" w:hAnsi="Times New Roman" w:eastAsia="宋体" w:cs="Times New Roman"/>
                <w:b/>
                <w:bCs/>
                <w:color w:val="auto"/>
                <w:kern w:val="0"/>
                <w:sz w:val="32"/>
                <w:szCs w:val="32"/>
              </w:rPr>
              <w:t>月</w:t>
            </w:r>
          </w:p>
        </w:tc>
      </w:tr>
    </w:tbl>
    <w:p w14:paraId="00B7DE6D">
      <w:pPr>
        <w:rPr>
          <w:rFonts w:ascii="Times New Roman" w:hAnsi="Times New Roman" w:cs="Times New Roman"/>
          <w:b/>
          <w:color w:val="auto"/>
          <w:sz w:val="32"/>
          <w:szCs w:val="32"/>
        </w:rPr>
      </w:pPr>
    </w:p>
    <w:p w14:paraId="0CDE884E">
      <w:pPr>
        <w:pStyle w:val="26"/>
        <w:rPr>
          <w:color w:val="auto"/>
        </w:rPr>
        <w:sectPr>
          <w:headerReference r:id="rId3" w:type="default"/>
          <w:footerReference r:id="rId4" w:type="default"/>
          <w:pgSz w:w="11906" w:h="16838"/>
          <w:pgMar w:top="1474" w:right="1474" w:bottom="1474" w:left="1814" w:header="850" w:footer="992" w:gutter="0"/>
          <w:pgBorders>
            <w:top w:val="none" w:sz="0" w:space="0"/>
            <w:left w:val="none" w:sz="0" w:space="0"/>
            <w:bottom w:val="none" w:sz="0" w:space="0"/>
            <w:right w:val="none" w:sz="0" w:space="0"/>
          </w:pgBorders>
          <w:pgNumType w:fmt="decimal" w:start="1" w:chapStyle="1" w:chapSep="emDash"/>
          <w:cols w:space="0" w:num="1"/>
          <w:rtlGutter w:val="0"/>
          <w:docGrid w:type="linesAndChars" w:linePitch="316" w:charSpace="0"/>
        </w:sectPr>
      </w:pPr>
    </w:p>
    <w:p w14:paraId="4EFA9FF0">
      <w:pPr>
        <w:jc w:val="center"/>
        <w:rPr>
          <w:rFonts w:ascii="Times New Roman" w:hAnsi="Times New Roman" w:cs="Times New Roman"/>
          <w:b/>
          <w:color w:val="auto"/>
          <w:sz w:val="32"/>
          <w:szCs w:val="32"/>
        </w:rPr>
      </w:pPr>
      <w:r>
        <w:rPr>
          <w:rFonts w:ascii="Times New Roman" w:hAnsi="Times New Roman" w:cs="Times New Roman"/>
          <w:b/>
          <w:color w:val="auto"/>
          <w:sz w:val="32"/>
          <w:szCs w:val="32"/>
        </w:rPr>
        <w:t>目</w:t>
      </w:r>
      <w:r>
        <w:rPr>
          <w:rFonts w:hint="eastAsia" w:ascii="Times New Roman" w:hAnsi="Times New Roman" w:cs="Times New Roman"/>
          <w:b/>
          <w:color w:val="auto"/>
          <w:sz w:val="32"/>
          <w:szCs w:val="32"/>
          <w:lang w:val="en-US" w:eastAsia="zh-CN"/>
        </w:rPr>
        <w:t xml:space="preserve"> </w:t>
      </w:r>
      <w:r>
        <w:rPr>
          <w:rFonts w:hint="eastAsia" w:cs="Times New Roman"/>
          <w:b/>
          <w:color w:val="auto"/>
          <w:sz w:val="32"/>
          <w:szCs w:val="32"/>
          <w:lang w:val="en-US" w:eastAsia="zh-CN"/>
        </w:rPr>
        <w:t xml:space="preserve"> </w:t>
      </w:r>
      <w:r>
        <w:rPr>
          <w:rFonts w:ascii="Times New Roman" w:hAnsi="Times New Roman" w:cs="Times New Roman"/>
          <w:b/>
          <w:color w:val="auto"/>
          <w:sz w:val="32"/>
          <w:szCs w:val="32"/>
        </w:rPr>
        <w:t>录</w:t>
      </w:r>
    </w:p>
    <w:p w14:paraId="7F1135E2">
      <w:pPr>
        <w:pStyle w:val="25"/>
        <w:tabs>
          <w:tab w:val="right" w:leader="dot" w:pos="8618"/>
        </w:tabs>
        <w:rPr>
          <w:color w:val="auto"/>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TOC \o "1-2" \h \u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_Toc27993 </w:instrText>
      </w:r>
      <w:r>
        <w:rPr>
          <w:rFonts w:hint="default" w:ascii="Times New Roman" w:hAnsi="Times New Roman" w:eastAsia="宋体" w:cs="Times New Roman"/>
          <w:color w:val="auto"/>
          <w:szCs w:val="24"/>
        </w:rPr>
        <w:fldChar w:fldCharType="separate"/>
      </w:r>
      <w:r>
        <w:rPr>
          <w:rFonts w:hint="eastAsia"/>
          <w:color w:val="auto"/>
        </w:rPr>
        <w:t>1</w:t>
      </w:r>
      <w:r>
        <w:rPr>
          <w:rFonts w:hint="eastAsia"/>
          <w:color w:val="auto"/>
          <w:lang w:val="en-US" w:eastAsia="zh-CN"/>
        </w:rPr>
        <w:t xml:space="preserve"> </w:t>
      </w:r>
      <w:r>
        <w:rPr>
          <w:rFonts w:hint="eastAsia"/>
          <w:color w:val="auto"/>
        </w:rPr>
        <w:t>概述</w:t>
      </w:r>
      <w:r>
        <w:rPr>
          <w:color w:val="auto"/>
        </w:rPr>
        <w:tab/>
      </w:r>
      <w:r>
        <w:rPr>
          <w:color w:val="auto"/>
        </w:rPr>
        <w:fldChar w:fldCharType="begin"/>
      </w:r>
      <w:r>
        <w:rPr>
          <w:color w:val="auto"/>
        </w:rPr>
        <w:instrText xml:space="preserve"> PAGEREF _Toc27993 \h </w:instrText>
      </w:r>
      <w:r>
        <w:rPr>
          <w:color w:val="auto"/>
        </w:rPr>
        <w:fldChar w:fldCharType="separate"/>
      </w:r>
      <w:r>
        <w:rPr>
          <w:color w:val="auto"/>
        </w:rPr>
        <w:t>1</w:t>
      </w:r>
      <w:r>
        <w:rPr>
          <w:color w:val="auto"/>
        </w:rPr>
        <w:fldChar w:fldCharType="end"/>
      </w:r>
      <w:r>
        <w:rPr>
          <w:rFonts w:hint="default" w:ascii="Times New Roman" w:hAnsi="Times New Roman" w:eastAsia="宋体" w:cs="Times New Roman"/>
          <w:color w:val="auto"/>
          <w:szCs w:val="24"/>
        </w:rPr>
        <w:fldChar w:fldCharType="end"/>
      </w:r>
    </w:p>
    <w:p w14:paraId="15B68A0B">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_Toc17600 </w:instrText>
      </w:r>
      <w:r>
        <w:rPr>
          <w:rFonts w:hint="default" w:ascii="Times New Roman" w:hAnsi="Times New Roman" w:eastAsia="宋体" w:cs="Times New Roman"/>
          <w:color w:val="auto"/>
          <w:szCs w:val="24"/>
        </w:rPr>
        <w:fldChar w:fldCharType="separate"/>
      </w:r>
      <w:r>
        <w:rPr>
          <w:rFonts w:hint="eastAsia"/>
          <w:color w:val="auto"/>
        </w:rPr>
        <w:t>1.1</w:t>
      </w:r>
      <w:r>
        <w:rPr>
          <w:rFonts w:hint="eastAsia"/>
          <w:color w:val="auto"/>
          <w:lang w:val="en-US" w:eastAsia="zh-CN"/>
        </w:rPr>
        <w:t xml:space="preserve"> </w:t>
      </w:r>
      <w:r>
        <w:rPr>
          <w:rFonts w:hint="eastAsia"/>
          <w:color w:val="auto"/>
        </w:rPr>
        <w:t>建设项目特点</w:t>
      </w:r>
      <w:r>
        <w:rPr>
          <w:color w:val="auto"/>
        </w:rPr>
        <w:tab/>
      </w:r>
      <w:r>
        <w:rPr>
          <w:color w:val="auto"/>
        </w:rPr>
        <w:fldChar w:fldCharType="begin"/>
      </w:r>
      <w:r>
        <w:rPr>
          <w:color w:val="auto"/>
        </w:rPr>
        <w:instrText xml:space="preserve"> PAGEREF _Toc17600 \h </w:instrText>
      </w:r>
      <w:r>
        <w:rPr>
          <w:color w:val="auto"/>
        </w:rPr>
        <w:fldChar w:fldCharType="separate"/>
      </w:r>
      <w:r>
        <w:rPr>
          <w:color w:val="auto"/>
        </w:rPr>
        <w:t>1</w:t>
      </w:r>
      <w:r>
        <w:rPr>
          <w:color w:val="auto"/>
        </w:rPr>
        <w:fldChar w:fldCharType="end"/>
      </w:r>
      <w:r>
        <w:rPr>
          <w:rFonts w:hint="default" w:ascii="Times New Roman" w:hAnsi="Times New Roman" w:eastAsia="宋体" w:cs="Times New Roman"/>
          <w:color w:val="auto"/>
          <w:szCs w:val="24"/>
        </w:rPr>
        <w:fldChar w:fldCharType="end"/>
      </w:r>
    </w:p>
    <w:p w14:paraId="646A9F48">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_Toc27057 </w:instrText>
      </w:r>
      <w:r>
        <w:rPr>
          <w:rFonts w:hint="default" w:ascii="Times New Roman" w:hAnsi="Times New Roman" w:eastAsia="宋体" w:cs="Times New Roman"/>
          <w:color w:val="auto"/>
          <w:szCs w:val="24"/>
        </w:rPr>
        <w:fldChar w:fldCharType="separate"/>
      </w:r>
      <w:r>
        <w:rPr>
          <w:rFonts w:hint="default"/>
          <w:color w:val="auto"/>
        </w:rPr>
        <w:t>1.2环境影响评价的工作过程</w:t>
      </w:r>
      <w:r>
        <w:rPr>
          <w:color w:val="auto"/>
        </w:rPr>
        <w:tab/>
      </w:r>
      <w:r>
        <w:rPr>
          <w:color w:val="auto"/>
        </w:rPr>
        <w:fldChar w:fldCharType="begin"/>
      </w:r>
      <w:r>
        <w:rPr>
          <w:color w:val="auto"/>
        </w:rPr>
        <w:instrText xml:space="preserve"> PAGEREF _Toc27057 \h </w:instrText>
      </w:r>
      <w:r>
        <w:rPr>
          <w:color w:val="auto"/>
        </w:rPr>
        <w:fldChar w:fldCharType="separate"/>
      </w:r>
      <w:r>
        <w:rPr>
          <w:color w:val="auto"/>
        </w:rPr>
        <w:t>9</w:t>
      </w:r>
      <w:r>
        <w:rPr>
          <w:color w:val="auto"/>
        </w:rPr>
        <w:fldChar w:fldCharType="end"/>
      </w:r>
      <w:r>
        <w:rPr>
          <w:rFonts w:hint="default" w:ascii="Times New Roman" w:hAnsi="Times New Roman" w:eastAsia="宋体" w:cs="Times New Roman"/>
          <w:color w:val="auto"/>
          <w:szCs w:val="24"/>
        </w:rPr>
        <w:fldChar w:fldCharType="end"/>
      </w:r>
    </w:p>
    <w:p w14:paraId="1DEDB5DB">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_Toc9820 </w:instrText>
      </w:r>
      <w:r>
        <w:rPr>
          <w:rFonts w:hint="default" w:ascii="Times New Roman" w:hAnsi="Times New Roman" w:eastAsia="宋体" w:cs="Times New Roman"/>
          <w:color w:val="auto"/>
          <w:szCs w:val="24"/>
        </w:rPr>
        <w:fldChar w:fldCharType="separate"/>
      </w:r>
      <w:r>
        <w:rPr>
          <w:rFonts w:hint="default"/>
          <w:color w:val="auto"/>
        </w:rPr>
        <w:t>1.3</w:t>
      </w:r>
      <w:r>
        <w:rPr>
          <w:rFonts w:hint="eastAsia"/>
          <w:color w:val="auto"/>
          <w:lang w:val="en-US" w:eastAsia="zh-CN"/>
        </w:rPr>
        <w:t xml:space="preserve"> </w:t>
      </w:r>
      <w:r>
        <w:rPr>
          <w:rFonts w:hint="default"/>
          <w:color w:val="auto"/>
        </w:rPr>
        <w:t>分析判定相关情况</w:t>
      </w:r>
      <w:r>
        <w:rPr>
          <w:color w:val="auto"/>
        </w:rPr>
        <w:tab/>
      </w:r>
      <w:r>
        <w:rPr>
          <w:color w:val="auto"/>
        </w:rPr>
        <w:fldChar w:fldCharType="begin"/>
      </w:r>
      <w:r>
        <w:rPr>
          <w:color w:val="auto"/>
        </w:rPr>
        <w:instrText xml:space="preserve"> PAGEREF _Toc9820 \h </w:instrText>
      </w:r>
      <w:r>
        <w:rPr>
          <w:color w:val="auto"/>
        </w:rPr>
        <w:fldChar w:fldCharType="separate"/>
      </w:r>
      <w:r>
        <w:rPr>
          <w:color w:val="auto"/>
        </w:rPr>
        <w:t>11</w:t>
      </w:r>
      <w:r>
        <w:rPr>
          <w:color w:val="auto"/>
        </w:rPr>
        <w:fldChar w:fldCharType="end"/>
      </w:r>
      <w:r>
        <w:rPr>
          <w:rFonts w:hint="default" w:ascii="Times New Roman" w:hAnsi="Times New Roman" w:eastAsia="宋体" w:cs="Times New Roman"/>
          <w:color w:val="auto"/>
          <w:szCs w:val="24"/>
        </w:rPr>
        <w:fldChar w:fldCharType="end"/>
      </w:r>
    </w:p>
    <w:p w14:paraId="12EF40C5">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_Toc10007 </w:instrText>
      </w:r>
      <w:r>
        <w:rPr>
          <w:rFonts w:hint="default" w:ascii="Times New Roman" w:hAnsi="Times New Roman" w:eastAsia="宋体" w:cs="Times New Roman"/>
          <w:color w:val="auto"/>
          <w:szCs w:val="24"/>
        </w:rPr>
        <w:fldChar w:fldCharType="separate"/>
      </w:r>
      <w:r>
        <w:rPr>
          <w:rFonts w:hint="default"/>
          <w:color w:val="auto"/>
        </w:rPr>
        <w:t>1.4</w:t>
      </w:r>
      <w:r>
        <w:rPr>
          <w:rFonts w:hint="eastAsia"/>
          <w:color w:val="auto"/>
          <w:lang w:val="en-US" w:eastAsia="zh-CN"/>
        </w:rPr>
        <w:t xml:space="preserve"> </w:t>
      </w:r>
      <w:r>
        <w:rPr>
          <w:rFonts w:hint="default"/>
          <w:color w:val="auto"/>
        </w:rPr>
        <w:t>关注的主要环境问题</w:t>
      </w:r>
      <w:r>
        <w:rPr>
          <w:rFonts w:hint="eastAsia"/>
          <w:color w:val="auto"/>
          <w:lang w:val="en-US" w:eastAsia="zh-CN"/>
        </w:rPr>
        <w:t>及</w:t>
      </w:r>
      <w:r>
        <w:rPr>
          <w:rFonts w:hint="default"/>
          <w:color w:val="auto"/>
        </w:rPr>
        <w:t>环境影响</w:t>
      </w:r>
      <w:r>
        <w:rPr>
          <w:color w:val="auto"/>
        </w:rPr>
        <w:tab/>
      </w:r>
      <w:r>
        <w:rPr>
          <w:color w:val="auto"/>
        </w:rPr>
        <w:fldChar w:fldCharType="begin"/>
      </w:r>
      <w:r>
        <w:rPr>
          <w:color w:val="auto"/>
        </w:rPr>
        <w:instrText xml:space="preserve"> PAGEREF _Toc10007 \h </w:instrText>
      </w:r>
      <w:r>
        <w:rPr>
          <w:color w:val="auto"/>
        </w:rPr>
        <w:fldChar w:fldCharType="separate"/>
      </w:r>
      <w:r>
        <w:rPr>
          <w:color w:val="auto"/>
        </w:rPr>
        <w:t>12</w:t>
      </w:r>
      <w:r>
        <w:rPr>
          <w:color w:val="auto"/>
        </w:rPr>
        <w:fldChar w:fldCharType="end"/>
      </w:r>
      <w:r>
        <w:rPr>
          <w:rFonts w:hint="default" w:ascii="Times New Roman" w:hAnsi="Times New Roman" w:eastAsia="宋体" w:cs="Times New Roman"/>
          <w:color w:val="auto"/>
          <w:szCs w:val="24"/>
        </w:rPr>
        <w:fldChar w:fldCharType="end"/>
      </w:r>
    </w:p>
    <w:p w14:paraId="1594D82C">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_Toc5414 </w:instrText>
      </w:r>
      <w:r>
        <w:rPr>
          <w:rFonts w:hint="default" w:ascii="Times New Roman" w:hAnsi="Times New Roman" w:eastAsia="宋体" w:cs="Times New Roman"/>
          <w:color w:val="auto"/>
          <w:szCs w:val="24"/>
        </w:rPr>
        <w:fldChar w:fldCharType="separate"/>
      </w:r>
      <w:r>
        <w:rPr>
          <w:rFonts w:hint="default"/>
          <w:color w:val="auto"/>
        </w:rPr>
        <w:t>1.5</w:t>
      </w:r>
      <w:r>
        <w:rPr>
          <w:rFonts w:hint="eastAsia"/>
          <w:color w:val="auto"/>
          <w:lang w:val="en-US" w:eastAsia="zh-CN"/>
        </w:rPr>
        <w:t xml:space="preserve"> </w:t>
      </w:r>
      <w:r>
        <w:rPr>
          <w:rFonts w:hint="default"/>
          <w:color w:val="auto"/>
        </w:rPr>
        <w:t>环境影响评价的主要结论</w:t>
      </w:r>
      <w:r>
        <w:rPr>
          <w:color w:val="auto"/>
        </w:rPr>
        <w:tab/>
      </w:r>
      <w:r>
        <w:rPr>
          <w:color w:val="auto"/>
        </w:rPr>
        <w:fldChar w:fldCharType="begin"/>
      </w:r>
      <w:r>
        <w:rPr>
          <w:color w:val="auto"/>
        </w:rPr>
        <w:instrText xml:space="preserve"> PAGEREF _Toc5414 \h </w:instrText>
      </w:r>
      <w:r>
        <w:rPr>
          <w:color w:val="auto"/>
        </w:rPr>
        <w:fldChar w:fldCharType="separate"/>
      </w:r>
      <w:r>
        <w:rPr>
          <w:color w:val="auto"/>
        </w:rPr>
        <w:t>13</w:t>
      </w:r>
      <w:r>
        <w:rPr>
          <w:color w:val="auto"/>
        </w:rPr>
        <w:fldChar w:fldCharType="end"/>
      </w:r>
      <w:r>
        <w:rPr>
          <w:rFonts w:hint="default" w:ascii="Times New Roman" w:hAnsi="Times New Roman" w:eastAsia="宋体" w:cs="Times New Roman"/>
          <w:color w:val="auto"/>
          <w:szCs w:val="24"/>
        </w:rPr>
        <w:fldChar w:fldCharType="end"/>
      </w:r>
    </w:p>
    <w:p w14:paraId="5EE3F679">
      <w:pPr>
        <w:pStyle w:val="25"/>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_Toc31975 </w:instrText>
      </w:r>
      <w:r>
        <w:rPr>
          <w:rFonts w:hint="default" w:ascii="Times New Roman" w:hAnsi="Times New Roman" w:eastAsia="宋体" w:cs="Times New Roman"/>
          <w:color w:val="auto"/>
          <w:szCs w:val="24"/>
        </w:rPr>
        <w:fldChar w:fldCharType="separate"/>
      </w:r>
      <w:r>
        <w:rPr>
          <w:rFonts w:hint="default"/>
          <w:color w:val="auto"/>
        </w:rPr>
        <w:t>2</w:t>
      </w:r>
      <w:r>
        <w:rPr>
          <w:rFonts w:hint="eastAsia"/>
          <w:color w:val="auto"/>
          <w:lang w:val="en-US" w:eastAsia="zh-CN"/>
        </w:rPr>
        <w:t xml:space="preserve"> </w:t>
      </w:r>
      <w:r>
        <w:rPr>
          <w:rFonts w:hint="default"/>
          <w:color w:val="auto"/>
        </w:rPr>
        <w:t>总则</w:t>
      </w:r>
      <w:r>
        <w:rPr>
          <w:color w:val="auto"/>
        </w:rPr>
        <w:tab/>
      </w:r>
      <w:r>
        <w:rPr>
          <w:color w:val="auto"/>
        </w:rPr>
        <w:fldChar w:fldCharType="begin"/>
      </w:r>
      <w:r>
        <w:rPr>
          <w:color w:val="auto"/>
        </w:rPr>
        <w:instrText xml:space="preserve"> PAGEREF _Toc31975 \h </w:instrText>
      </w:r>
      <w:r>
        <w:rPr>
          <w:color w:val="auto"/>
        </w:rPr>
        <w:fldChar w:fldCharType="separate"/>
      </w:r>
      <w:r>
        <w:rPr>
          <w:color w:val="auto"/>
        </w:rPr>
        <w:t>14</w:t>
      </w:r>
      <w:r>
        <w:rPr>
          <w:color w:val="auto"/>
        </w:rPr>
        <w:fldChar w:fldCharType="end"/>
      </w:r>
      <w:r>
        <w:rPr>
          <w:rFonts w:hint="default" w:ascii="Times New Roman" w:hAnsi="Times New Roman" w:eastAsia="宋体" w:cs="Times New Roman"/>
          <w:color w:val="auto"/>
          <w:szCs w:val="24"/>
        </w:rPr>
        <w:fldChar w:fldCharType="end"/>
      </w:r>
    </w:p>
    <w:p w14:paraId="0692CCE6">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_Toc26572 </w:instrText>
      </w:r>
      <w:r>
        <w:rPr>
          <w:rFonts w:hint="default" w:ascii="Times New Roman" w:hAnsi="Times New Roman" w:eastAsia="宋体" w:cs="Times New Roman"/>
          <w:color w:val="auto"/>
          <w:szCs w:val="24"/>
        </w:rPr>
        <w:fldChar w:fldCharType="separate"/>
      </w:r>
      <w:r>
        <w:rPr>
          <w:rFonts w:hint="default"/>
          <w:color w:val="auto"/>
        </w:rPr>
        <w:t>2.</w:t>
      </w:r>
      <w:r>
        <w:rPr>
          <w:rFonts w:hint="eastAsia"/>
          <w:color w:val="auto"/>
          <w:lang w:val="en-US" w:eastAsia="zh-CN"/>
        </w:rPr>
        <w:t xml:space="preserve">1 </w:t>
      </w:r>
      <w:r>
        <w:rPr>
          <w:rFonts w:hint="default"/>
          <w:color w:val="auto"/>
        </w:rPr>
        <w:t>编制依据</w:t>
      </w:r>
      <w:r>
        <w:rPr>
          <w:color w:val="auto"/>
        </w:rPr>
        <w:tab/>
      </w:r>
      <w:r>
        <w:rPr>
          <w:color w:val="auto"/>
        </w:rPr>
        <w:fldChar w:fldCharType="begin"/>
      </w:r>
      <w:r>
        <w:rPr>
          <w:color w:val="auto"/>
        </w:rPr>
        <w:instrText xml:space="preserve"> PAGEREF _Toc26572 \h </w:instrText>
      </w:r>
      <w:r>
        <w:rPr>
          <w:color w:val="auto"/>
        </w:rPr>
        <w:fldChar w:fldCharType="separate"/>
      </w:r>
      <w:r>
        <w:rPr>
          <w:color w:val="auto"/>
        </w:rPr>
        <w:t>14</w:t>
      </w:r>
      <w:r>
        <w:rPr>
          <w:color w:val="auto"/>
        </w:rPr>
        <w:fldChar w:fldCharType="end"/>
      </w:r>
      <w:r>
        <w:rPr>
          <w:rFonts w:hint="default" w:ascii="Times New Roman" w:hAnsi="Times New Roman" w:eastAsia="宋体" w:cs="Times New Roman"/>
          <w:color w:val="auto"/>
          <w:szCs w:val="24"/>
        </w:rPr>
        <w:fldChar w:fldCharType="end"/>
      </w:r>
    </w:p>
    <w:p w14:paraId="2A9DD5BB">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_Toc22739 </w:instrText>
      </w:r>
      <w:r>
        <w:rPr>
          <w:rFonts w:hint="default" w:ascii="Times New Roman" w:hAnsi="Times New Roman" w:eastAsia="宋体" w:cs="Times New Roman"/>
          <w:color w:val="auto"/>
          <w:szCs w:val="24"/>
        </w:rPr>
        <w:fldChar w:fldCharType="separate"/>
      </w:r>
      <w:r>
        <w:rPr>
          <w:rFonts w:hint="default"/>
          <w:color w:val="auto"/>
        </w:rPr>
        <w:t>2.2 评价目的和评价原则</w:t>
      </w:r>
      <w:r>
        <w:rPr>
          <w:color w:val="auto"/>
        </w:rPr>
        <w:tab/>
      </w:r>
      <w:r>
        <w:rPr>
          <w:color w:val="auto"/>
        </w:rPr>
        <w:fldChar w:fldCharType="begin"/>
      </w:r>
      <w:r>
        <w:rPr>
          <w:color w:val="auto"/>
        </w:rPr>
        <w:instrText xml:space="preserve"> PAGEREF _Toc22739 \h </w:instrText>
      </w:r>
      <w:r>
        <w:rPr>
          <w:color w:val="auto"/>
        </w:rPr>
        <w:fldChar w:fldCharType="separate"/>
      </w:r>
      <w:r>
        <w:rPr>
          <w:color w:val="auto"/>
        </w:rPr>
        <w:t>19</w:t>
      </w:r>
      <w:r>
        <w:rPr>
          <w:color w:val="auto"/>
        </w:rPr>
        <w:fldChar w:fldCharType="end"/>
      </w:r>
      <w:r>
        <w:rPr>
          <w:rFonts w:hint="default" w:ascii="Times New Roman" w:hAnsi="Times New Roman" w:eastAsia="宋体" w:cs="Times New Roman"/>
          <w:color w:val="auto"/>
          <w:szCs w:val="24"/>
        </w:rPr>
        <w:fldChar w:fldCharType="end"/>
      </w:r>
    </w:p>
    <w:p w14:paraId="38CC94D6">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_Toc26633 </w:instrText>
      </w:r>
      <w:r>
        <w:rPr>
          <w:rFonts w:hint="default" w:ascii="Times New Roman" w:hAnsi="Times New Roman" w:eastAsia="宋体" w:cs="Times New Roman"/>
          <w:color w:val="auto"/>
          <w:szCs w:val="24"/>
        </w:rPr>
        <w:fldChar w:fldCharType="separate"/>
      </w:r>
      <w:r>
        <w:rPr>
          <w:rFonts w:hint="default"/>
          <w:color w:val="auto"/>
        </w:rPr>
        <w:t>2.</w:t>
      </w:r>
      <w:r>
        <w:rPr>
          <w:rFonts w:hint="eastAsia"/>
          <w:color w:val="auto"/>
          <w:lang w:val="en-US" w:eastAsia="zh-CN"/>
        </w:rPr>
        <w:t xml:space="preserve">3 </w:t>
      </w:r>
      <w:r>
        <w:rPr>
          <w:rFonts w:hint="default"/>
          <w:color w:val="auto"/>
        </w:rPr>
        <w:t>环境影响因素和评价因子</w:t>
      </w:r>
      <w:r>
        <w:rPr>
          <w:color w:val="auto"/>
        </w:rPr>
        <w:tab/>
      </w:r>
      <w:r>
        <w:rPr>
          <w:color w:val="auto"/>
        </w:rPr>
        <w:fldChar w:fldCharType="begin"/>
      </w:r>
      <w:r>
        <w:rPr>
          <w:color w:val="auto"/>
        </w:rPr>
        <w:instrText xml:space="preserve"> PAGEREF _Toc26633 \h </w:instrText>
      </w:r>
      <w:r>
        <w:rPr>
          <w:color w:val="auto"/>
        </w:rPr>
        <w:fldChar w:fldCharType="separate"/>
      </w:r>
      <w:r>
        <w:rPr>
          <w:color w:val="auto"/>
        </w:rPr>
        <w:t>20</w:t>
      </w:r>
      <w:r>
        <w:rPr>
          <w:color w:val="auto"/>
        </w:rPr>
        <w:fldChar w:fldCharType="end"/>
      </w:r>
      <w:r>
        <w:rPr>
          <w:rFonts w:hint="default" w:ascii="Times New Roman" w:hAnsi="Times New Roman" w:eastAsia="宋体" w:cs="Times New Roman"/>
          <w:color w:val="auto"/>
          <w:szCs w:val="24"/>
        </w:rPr>
        <w:fldChar w:fldCharType="end"/>
      </w:r>
    </w:p>
    <w:p w14:paraId="1060EE5B">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_Toc27959 </w:instrText>
      </w:r>
      <w:r>
        <w:rPr>
          <w:rFonts w:hint="default" w:ascii="Times New Roman" w:hAnsi="Times New Roman" w:eastAsia="宋体" w:cs="Times New Roman"/>
          <w:color w:val="auto"/>
          <w:szCs w:val="24"/>
        </w:rPr>
        <w:fldChar w:fldCharType="separate"/>
      </w:r>
      <w:r>
        <w:rPr>
          <w:rFonts w:hint="default"/>
          <w:color w:val="auto"/>
        </w:rPr>
        <w:t>2.</w:t>
      </w:r>
      <w:r>
        <w:rPr>
          <w:rFonts w:hint="eastAsia"/>
          <w:color w:val="auto"/>
          <w:lang w:val="en-US" w:eastAsia="zh-CN"/>
        </w:rPr>
        <w:t xml:space="preserve">4 </w:t>
      </w:r>
      <w:r>
        <w:rPr>
          <w:rFonts w:hint="default"/>
          <w:color w:val="auto"/>
        </w:rPr>
        <w:t>环境功能区划</w:t>
      </w:r>
      <w:r>
        <w:rPr>
          <w:rFonts w:hint="eastAsia"/>
          <w:color w:val="auto"/>
          <w:lang w:val="en-US" w:eastAsia="zh-CN"/>
        </w:rPr>
        <w:t>及评价标准</w:t>
      </w:r>
      <w:r>
        <w:rPr>
          <w:color w:val="auto"/>
        </w:rPr>
        <w:tab/>
      </w:r>
      <w:r>
        <w:rPr>
          <w:color w:val="auto"/>
        </w:rPr>
        <w:fldChar w:fldCharType="begin"/>
      </w:r>
      <w:r>
        <w:rPr>
          <w:color w:val="auto"/>
        </w:rPr>
        <w:instrText xml:space="preserve"> PAGEREF _Toc27959 \h </w:instrText>
      </w:r>
      <w:r>
        <w:rPr>
          <w:color w:val="auto"/>
        </w:rPr>
        <w:fldChar w:fldCharType="separate"/>
      </w:r>
      <w:r>
        <w:rPr>
          <w:color w:val="auto"/>
        </w:rPr>
        <w:t>23</w:t>
      </w:r>
      <w:r>
        <w:rPr>
          <w:color w:val="auto"/>
        </w:rPr>
        <w:fldChar w:fldCharType="end"/>
      </w:r>
      <w:r>
        <w:rPr>
          <w:rFonts w:hint="default" w:ascii="Times New Roman" w:hAnsi="Times New Roman" w:eastAsia="宋体" w:cs="Times New Roman"/>
          <w:color w:val="auto"/>
          <w:szCs w:val="24"/>
        </w:rPr>
        <w:fldChar w:fldCharType="end"/>
      </w:r>
    </w:p>
    <w:p w14:paraId="4AB9A462">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_Toc30766 </w:instrText>
      </w:r>
      <w:r>
        <w:rPr>
          <w:rFonts w:hint="default" w:ascii="Times New Roman" w:hAnsi="Times New Roman" w:eastAsia="宋体" w:cs="Times New Roman"/>
          <w:color w:val="auto"/>
          <w:szCs w:val="24"/>
        </w:rPr>
        <w:fldChar w:fldCharType="separate"/>
      </w:r>
      <w:r>
        <w:rPr>
          <w:rFonts w:hint="eastAsia"/>
          <w:color w:val="auto"/>
          <w:lang w:val="en-US" w:eastAsia="zh-CN"/>
        </w:rPr>
        <w:t>2.5 评价工作等级和评价范围</w:t>
      </w:r>
      <w:r>
        <w:rPr>
          <w:color w:val="auto"/>
        </w:rPr>
        <w:tab/>
      </w:r>
      <w:r>
        <w:rPr>
          <w:color w:val="auto"/>
        </w:rPr>
        <w:fldChar w:fldCharType="begin"/>
      </w:r>
      <w:r>
        <w:rPr>
          <w:color w:val="auto"/>
        </w:rPr>
        <w:instrText xml:space="preserve"> PAGEREF _Toc30766 \h </w:instrText>
      </w:r>
      <w:r>
        <w:rPr>
          <w:color w:val="auto"/>
        </w:rPr>
        <w:fldChar w:fldCharType="separate"/>
      </w:r>
      <w:r>
        <w:rPr>
          <w:color w:val="auto"/>
        </w:rPr>
        <w:t>29</w:t>
      </w:r>
      <w:r>
        <w:rPr>
          <w:color w:val="auto"/>
        </w:rPr>
        <w:fldChar w:fldCharType="end"/>
      </w:r>
      <w:r>
        <w:rPr>
          <w:rFonts w:hint="default" w:ascii="Times New Roman" w:hAnsi="Times New Roman" w:eastAsia="宋体" w:cs="Times New Roman"/>
          <w:color w:val="auto"/>
          <w:szCs w:val="24"/>
        </w:rPr>
        <w:fldChar w:fldCharType="end"/>
      </w:r>
    </w:p>
    <w:p w14:paraId="60286043">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_Toc12024 </w:instrText>
      </w:r>
      <w:r>
        <w:rPr>
          <w:rFonts w:hint="default" w:ascii="Times New Roman" w:hAnsi="Times New Roman" w:eastAsia="宋体" w:cs="Times New Roman"/>
          <w:color w:val="auto"/>
          <w:szCs w:val="24"/>
        </w:rPr>
        <w:fldChar w:fldCharType="separate"/>
      </w:r>
      <w:r>
        <w:rPr>
          <w:rFonts w:hint="default"/>
          <w:color w:val="auto"/>
        </w:rPr>
        <w:t>2.</w:t>
      </w:r>
      <w:r>
        <w:rPr>
          <w:rFonts w:hint="eastAsia"/>
          <w:color w:val="auto"/>
          <w:lang w:val="en-US" w:eastAsia="zh-CN"/>
        </w:rPr>
        <w:t xml:space="preserve">6 </w:t>
      </w:r>
      <w:r>
        <w:rPr>
          <w:rFonts w:hint="default"/>
          <w:color w:val="auto"/>
        </w:rPr>
        <w:t>环境保护目标</w:t>
      </w:r>
      <w:r>
        <w:rPr>
          <w:color w:val="auto"/>
        </w:rPr>
        <w:tab/>
      </w:r>
      <w:r>
        <w:rPr>
          <w:color w:val="auto"/>
        </w:rPr>
        <w:fldChar w:fldCharType="begin"/>
      </w:r>
      <w:r>
        <w:rPr>
          <w:color w:val="auto"/>
        </w:rPr>
        <w:instrText xml:space="preserve"> PAGEREF _Toc12024 \h </w:instrText>
      </w:r>
      <w:r>
        <w:rPr>
          <w:color w:val="auto"/>
        </w:rPr>
        <w:fldChar w:fldCharType="separate"/>
      </w:r>
      <w:r>
        <w:rPr>
          <w:color w:val="auto"/>
        </w:rPr>
        <w:t>39</w:t>
      </w:r>
      <w:r>
        <w:rPr>
          <w:color w:val="auto"/>
        </w:rPr>
        <w:fldChar w:fldCharType="end"/>
      </w:r>
      <w:r>
        <w:rPr>
          <w:rFonts w:hint="default" w:ascii="Times New Roman" w:hAnsi="Times New Roman" w:eastAsia="宋体" w:cs="Times New Roman"/>
          <w:color w:val="auto"/>
          <w:szCs w:val="24"/>
        </w:rPr>
        <w:fldChar w:fldCharType="end"/>
      </w:r>
    </w:p>
    <w:p w14:paraId="2D5B6D27">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_Toc19961 </w:instrText>
      </w:r>
      <w:r>
        <w:rPr>
          <w:rFonts w:hint="default" w:ascii="Times New Roman" w:hAnsi="Times New Roman" w:eastAsia="宋体" w:cs="Times New Roman"/>
          <w:color w:val="auto"/>
          <w:szCs w:val="24"/>
        </w:rPr>
        <w:fldChar w:fldCharType="separate"/>
      </w:r>
      <w:r>
        <w:rPr>
          <w:rFonts w:hint="default"/>
          <w:color w:val="auto"/>
        </w:rPr>
        <w:t>2.</w:t>
      </w:r>
      <w:r>
        <w:rPr>
          <w:rFonts w:hint="eastAsia"/>
          <w:color w:val="auto"/>
          <w:lang w:val="en-US" w:eastAsia="zh-CN"/>
        </w:rPr>
        <w:t xml:space="preserve">7 </w:t>
      </w:r>
      <w:r>
        <w:rPr>
          <w:rFonts w:hint="default"/>
          <w:color w:val="auto"/>
        </w:rPr>
        <w:t>评价</w:t>
      </w:r>
      <w:r>
        <w:rPr>
          <w:rFonts w:hint="eastAsia"/>
          <w:color w:val="auto"/>
          <w:lang w:val="en-US" w:eastAsia="zh-CN"/>
        </w:rPr>
        <w:t>内容</w:t>
      </w:r>
      <w:r>
        <w:rPr>
          <w:rFonts w:hint="default"/>
          <w:color w:val="auto"/>
        </w:rPr>
        <w:t>和评价重点</w:t>
      </w:r>
      <w:r>
        <w:rPr>
          <w:color w:val="auto"/>
        </w:rPr>
        <w:tab/>
      </w:r>
      <w:r>
        <w:rPr>
          <w:color w:val="auto"/>
        </w:rPr>
        <w:fldChar w:fldCharType="begin"/>
      </w:r>
      <w:r>
        <w:rPr>
          <w:color w:val="auto"/>
        </w:rPr>
        <w:instrText xml:space="preserve"> PAGEREF _Toc19961 \h </w:instrText>
      </w:r>
      <w:r>
        <w:rPr>
          <w:color w:val="auto"/>
        </w:rPr>
        <w:fldChar w:fldCharType="separate"/>
      </w:r>
      <w:r>
        <w:rPr>
          <w:color w:val="auto"/>
        </w:rPr>
        <w:t>41</w:t>
      </w:r>
      <w:r>
        <w:rPr>
          <w:color w:val="auto"/>
        </w:rPr>
        <w:fldChar w:fldCharType="end"/>
      </w:r>
      <w:r>
        <w:rPr>
          <w:rFonts w:hint="default" w:ascii="Times New Roman" w:hAnsi="Times New Roman" w:eastAsia="宋体" w:cs="Times New Roman"/>
          <w:color w:val="auto"/>
          <w:szCs w:val="24"/>
        </w:rPr>
        <w:fldChar w:fldCharType="end"/>
      </w:r>
    </w:p>
    <w:p w14:paraId="7E7E83FD">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_Toc1926 </w:instrText>
      </w:r>
      <w:r>
        <w:rPr>
          <w:rFonts w:hint="default" w:ascii="Times New Roman" w:hAnsi="Times New Roman" w:eastAsia="宋体" w:cs="Times New Roman"/>
          <w:color w:val="auto"/>
          <w:szCs w:val="24"/>
        </w:rPr>
        <w:fldChar w:fldCharType="separate"/>
      </w:r>
      <w:r>
        <w:rPr>
          <w:rFonts w:hint="default"/>
          <w:color w:val="auto"/>
        </w:rPr>
        <w:t>2.</w:t>
      </w:r>
      <w:r>
        <w:rPr>
          <w:rFonts w:hint="eastAsia"/>
          <w:color w:val="auto"/>
          <w:lang w:val="en-US" w:eastAsia="zh-CN"/>
        </w:rPr>
        <w:t>8 评价时段和</w:t>
      </w:r>
      <w:r>
        <w:rPr>
          <w:rFonts w:hint="default"/>
          <w:color w:val="auto"/>
        </w:rPr>
        <w:t>评价方法</w:t>
      </w:r>
      <w:r>
        <w:rPr>
          <w:color w:val="auto"/>
        </w:rPr>
        <w:tab/>
      </w:r>
      <w:r>
        <w:rPr>
          <w:color w:val="auto"/>
        </w:rPr>
        <w:fldChar w:fldCharType="begin"/>
      </w:r>
      <w:r>
        <w:rPr>
          <w:color w:val="auto"/>
        </w:rPr>
        <w:instrText xml:space="preserve"> PAGEREF _Toc1926 \h </w:instrText>
      </w:r>
      <w:r>
        <w:rPr>
          <w:color w:val="auto"/>
        </w:rPr>
        <w:fldChar w:fldCharType="separate"/>
      </w:r>
      <w:r>
        <w:rPr>
          <w:color w:val="auto"/>
        </w:rPr>
        <w:t>42</w:t>
      </w:r>
      <w:r>
        <w:rPr>
          <w:color w:val="auto"/>
        </w:rPr>
        <w:fldChar w:fldCharType="end"/>
      </w:r>
      <w:r>
        <w:rPr>
          <w:rFonts w:hint="default" w:ascii="Times New Roman" w:hAnsi="Times New Roman" w:eastAsia="宋体" w:cs="Times New Roman"/>
          <w:color w:val="auto"/>
          <w:szCs w:val="24"/>
        </w:rPr>
        <w:fldChar w:fldCharType="end"/>
      </w:r>
    </w:p>
    <w:p w14:paraId="0B3D79EF">
      <w:pPr>
        <w:pStyle w:val="25"/>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_Toc13602 </w:instrText>
      </w:r>
      <w:r>
        <w:rPr>
          <w:rFonts w:hint="default" w:ascii="Times New Roman" w:hAnsi="Times New Roman" w:eastAsia="宋体" w:cs="Times New Roman"/>
          <w:color w:val="auto"/>
          <w:szCs w:val="24"/>
        </w:rPr>
        <w:fldChar w:fldCharType="separate"/>
      </w:r>
      <w:r>
        <w:rPr>
          <w:rFonts w:hint="eastAsia"/>
          <w:color w:val="auto"/>
        </w:rPr>
        <w:t>3</w:t>
      </w:r>
      <w:r>
        <w:rPr>
          <w:rFonts w:hint="eastAsia"/>
          <w:color w:val="auto"/>
          <w:lang w:val="en-US" w:eastAsia="zh-CN"/>
        </w:rPr>
        <w:t xml:space="preserve"> </w:t>
      </w:r>
      <w:r>
        <w:rPr>
          <w:rFonts w:hint="eastAsia"/>
          <w:color w:val="auto"/>
        </w:rPr>
        <w:t>建设项目工程分析</w:t>
      </w:r>
      <w:r>
        <w:rPr>
          <w:color w:val="auto"/>
        </w:rPr>
        <w:tab/>
      </w:r>
      <w:r>
        <w:rPr>
          <w:color w:val="auto"/>
        </w:rPr>
        <w:fldChar w:fldCharType="begin"/>
      </w:r>
      <w:r>
        <w:rPr>
          <w:color w:val="auto"/>
        </w:rPr>
        <w:instrText xml:space="preserve"> PAGEREF _Toc13602 \h </w:instrText>
      </w:r>
      <w:r>
        <w:rPr>
          <w:color w:val="auto"/>
        </w:rPr>
        <w:fldChar w:fldCharType="separate"/>
      </w:r>
      <w:r>
        <w:rPr>
          <w:color w:val="auto"/>
        </w:rPr>
        <w:t>43</w:t>
      </w:r>
      <w:r>
        <w:rPr>
          <w:color w:val="auto"/>
        </w:rPr>
        <w:fldChar w:fldCharType="end"/>
      </w:r>
      <w:r>
        <w:rPr>
          <w:rFonts w:hint="default" w:ascii="Times New Roman" w:hAnsi="Times New Roman" w:eastAsia="宋体" w:cs="Times New Roman"/>
          <w:color w:val="auto"/>
          <w:szCs w:val="24"/>
        </w:rPr>
        <w:fldChar w:fldCharType="end"/>
      </w:r>
    </w:p>
    <w:p w14:paraId="59C59E12">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_Toc947 </w:instrText>
      </w:r>
      <w:r>
        <w:rPr>
          <w:rFonts w:hint="default" w:ascii="Times New Roman" w:hAnsi="Times New Roman" w:eastAsia="宋体" w:cs="Times New Roman"/>
          <w:color w:val="auto"/>
          <w:szCs w:val="24"/>
        </w:rPr>
        <w:fldChar w:fldCharType="separate"/>
      </w:r>
      <w:r>
        <w:rPr>
          <w:rFonts w:hint="default"/>
          <w:color w:val="auto"/>
          <w:lang w:val="en-US" w:eastAsia="zh-CN"/>
        </w:rPr>
        <w:t>3.</w:t>
      </w:r>
      <w:r>
        <w:rPr>
          <w:rFonts w:hint="eastAsia"/>
          <w:color w:val="auto"/>
          <w:lang w:val="en-US" w:eastAsia="zh-CN"/>
        </w:rPr>
        <w:t xml:space="preserve">1 </w:t>
      </w:r>
      <w:r>
        <w:rPr>
          <w:rFonts w:hint="default"/>
          <w:color w:val="auto"/>
          <w:lang w:val="en-US" w:eastAsia="zh-CN"/>
        </w:rPr>
        <w:t>现有工程</w:t>
      </w:r>
      <w:r>
        <w:rPr>
          <w:color w:val="auto"/>
        </w:rPr>
        <w:tab/>
      </w:r>
      <w:r>
        <w:rPr>
          <w:color w:val="auto"/>
        </w:rPr>
        <w:fldChar w:fldCharType="begin"/>
      </w:r>
      <w:r>
        <w:rPr>
          <w:color w:val="auto"/>
        </w:rPr>
        <w:instrText xml:space="preserve"> PAGEREF _Toc947 \h </w:instrText>
      </w:r>
      <w:r>
        <w:rPr>
          <w:color w:val="auto"/>
        </w:rPr>
        <w:fldChar w:fldCharType="separate"/>
      </w:r>
      <w:r>
        <w:rPr>
          <w:color w:val="auto"/>
        </w:rPr>
        <w:t>43</w:t>
      </w:r>
      <w:r>
        <w:rPr>
          <w:color w:val="auto"/>
        </w:rPr>
        <w:fldChar w:fldCharType="end"/>
      </w:r>
      <w:r>
        <w:rPr>
          <w:rFonts w:hint="default" w:ascii="Times New Roman" w:hAnsi="Times New Roman" w:eastAsia="宋体" w:cs="Times New Roman"/>
          <w:color w:val="auto"/>
          <w:szCs w:val="24"/>
        </w:rPr>
        <w:fldChar w:fldCharType="end"/>
      </w:r>
    </w:p>
    <w:p w14:paraId="606054F8">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_Toc8003 </w:instrText>
      </w:r>
      <w:r>
        <w:rPr>
          <w:rFonts w:hint="default" w:ascii="Times New Roman" w:hAnsi="Times New Roman" w:eastAsia="宋体" w:cs="Times New Roman"/>
          <w:color w:val="auto"/>
          <w:szCs w:val="24"/>
        </w:rPr>
        <w:fldChar w:fldCharType="separate"/>
      </w:r>
      <w:r>
        <w:rPr>
          <w:rFonts w:hint="default"/>
          <w:color w:val="auto"/>
        </w:rPr>
        <w:t>3.</w:t>
      </w:r>
      <w:r>
        <w:rPr>
          <w:rFonts w:hint="eastAsia"/>
          <w:color w:val="auto"/>
          <w:lang w:val="en-US" w:eastAsia="zh-CN"/>
        </w:rPr>
        <w:t>2 拟建</w:t>
      </w:r>
      <w:r>
        <w:rPr>
          <w:rFonts w:hint="default"/>
          <w:color w:val="auto"/>
        </w:rPr>
        <w:t>工程</w:t>
      </w:r>
      <w:r>
        <w:rPr>
          <w:color w:val="auto"/>
        </w:rPr>
        <w:tab/>
      </w:r>
      <w:r>
        <w:rPr>
          <w:color w:val="auto"/>
        </w:rPr>
        <w:fldChar w:fldCharType="begin"/>
      </w:r>
      <w:r>
        <w:rPr>
          <w:color w:val="auto"/>
        </w:rPr>
        <w:instrText xml:space="preserve"> PAGEREF _Toc8003 \h </w:instrText>
      </w:r>
      <w:r>
        <w:rPr>
          <w:color w:val="auto"/>
        </w:rPr>
        <w:fldChar w:fldCharType="separate"/>
      </w:r>
      <w:r>
        <w:rPr>
          <w:color w:val="auto"/>
        </w:rPr>
        <w:t>46</w:t>
      </w:r>
      <w:r>
        <w:rPr>
          <w:color w:val="auto"/>
        </w:rPr>
        <w:fldChar w:fldCharType="end"/>
      </w:r>
      <w:r>
        <w:rPr>
          <w:rFonts w:hint="default" w:ascii="Times New Roman" w:hAnsi="Times New Roman" w:eastAsia="宋体" w:cs="Times New Roman"/>
          <w:color w:val="auto"/>
          <w:szCs w:val="24"/>
        </w:rPr>
        <w:fldChar w:fldCharType="end"/>
      </w:r>
    </w:p>
    <w:p w14:paraId="562EFA6F">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_Toc20092 </w:instrText>
      </w:r>
      <w:r>
        <w:rPr>
          <w:rFonts w:hint="default" w:ascii="Times New Roman" w:hAnsi="Times New Roman" w:eastAsia="宋体" w:cs="Times New Roman"/>
          <w:color w:val="auto"/>
          <w:szCs w:val="24"/>
        </w:rPr>
        <w:fldChar w:fldCharType="separate"/>
      </w:r>
      <w:r>
        <w:rPr>
          <w:rFonts w:hint="default"/>
          <w:color w:val="auto"/>
        </w:rPr>
        <w:t>3</w:t>
      </w:r>
      <w:r>
        <w:rPr>
          <w:rFonts w:hint="eastAsia"/>
          <w:color w:val="auto"/>
          <w:lang w:val="en-US" w:eastAsia="zh-CN"/>
        </w:rPr>
        <w:t xml:space="preserve">.3 </w:t>
      </w:r>
      <w:r>
        <w:rPr>
          <w:rFonts w:hint="default"/>
          <w:color w:val="auto"/>
        </w:rPr>
        <w:t>工程分析</w:t>
      </w:r>
      <w:r>
        <w:rPr>
          <w:color w:val="auto"/>
        </w:rPr>
        <w:tab/>
      </w:r>
      <w:r>
        <w:rPr>
          <w:color w:val="auto"/>
        </w:rPr>
        <w:fldChar w:fldCharType="begin"/>
      </w:r>
      <w:r>
        <w:rPr>
          <w:color w:val="auto"/>
        </w:rPr>
        <w:instrText xml:space="preserve"> PAGEREF _Toc20092 \h </w:instrText>
      </w:r>
      <w:r>
        <w:rPr>
          <w:color w:val="auto"/>
        </w:rPr>
        <w:fldChar w:fldCharType="separate"/>
      </w:r>
      <w:r>
        <w:rPr>
          <w:color w:val="auto"/>
        </w:rPr>
        <w:t>71</w:t>
      </w:r>
      <w:r>
        <w:rPr>
          <w:color w:val="auto"/>
        </w:rPr>
        <w:fldChar w:fldCharType="end"/>
      </w:r>
      <w:r>
        <w:rPr>
          <w:rFonts w:hint="default" w:ascii="Times New Roman" w:hAnsi="Times New Roman" w:eastAsia="宋体" w:cs="Times New Roman"/>
          <w:color w:val="auto"/>
          <w:szCs w:val="24"/>
        </w:rPr>
        <w:fldChar w:fldCharType="end"/>
      </w:r>
    </w:p>
    <w:p w14:paraId="4FB4869F">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_Toc13316 </w:instrText>
      </w:r>
      <w:r>
        <w:rPr>
          <w:rFonts w:hint="default" w:ascii="Times New Roman" w:hAnsi="Times New Roman" w:eastAsia="宋体" w:cs="Times New Roman"/>
          <w:color w:val="auto"/>
          <w:szCs w:val="24"/>
        </w:rPr>
        <w:fldChar w:fldCharType="separate"/>
      </w:r>
      <w:r>
        <w:rPr>
          <w:rFonts w:hint="default"/>
          <w:color w:val="auto"/>
          <w:lang w:val="en-US" w:eastAsia="zh-CN"/>
        </w:rPr>
        <w:t>3.</w:t>
      </w:r>
      <w:r>
        <w:rPr>
          <w:rFonts w:hint="eastAsia"/>
          <w:color w:val="auto"/>
          <w:lang w:val="en-US" w:eastAsia="zh-CN"/>
        </w:rPr>
        <w:t xml:space="preserve">4 </w:t>
      </w:r>
      <w:r>
        <w:rPr>
          <w:rFonts w:hint="default"/>
          <w:color w:val="auto"/>
          <w:lang w:val="en-US" w:eastAsia="zh-CN"/>
        </w:rPr>
        <w:t>相关</w:t>
      </w:r>
      <w:r>
        <w:rPr>
          <w:rFonts w:hint="eastAsia"/>
          <w:color w:val="auto"/>
          <w:lang w:val="en-US" w:eastAsia="zh-CN"/>
        </w:rPr>
        <w:t>政策</w:t>
      </w:r>
      <w:r>
        <w:rPr>
          <w:rFonts w:hint="default"/>
          <w:color w:val="auto"/>
          <w:lang w:val="en-US" w:eastAsia="zh-CN"/>
        </w:rPr>
        <w:t>法规、</w:t>
      </w:r>
      <w:r>
        <w:rPr>
          <w:rFonts w:hint="eastAsia"/>
          <w:color w:val="auto"/>
          <w:lang w:val="en-US" w:eastAsia="zh-CN"/>
        </w:rPr>
        <w:t>规划</w:t>
      </w:r>
      <w:r>
        <w:rPr>
          <w:rFonts w:hint="default"/>
          <w:color w:val="auto"/>
          <w:lang w:val="en-US" w:eastAsia="zh-CN"/>
        </w:rPr>
        <w:t>符合性分析</w:t>
      </w:r>
      <w:r>
        <w:rPr>
          <w:color w:val="auto"/>
        </w:rPr>
        <w:tab/>
      </w:r>
      <w:r>
        <w:rPr>
          <w:color w:val="auto"/>
        </w:rPr>
        <w:fldChar w:fldCharType="begin"/>
      </w:r>
      <w:r>
        <w:rPr>
          <w:color w:val="auto"/>
        </w:rPr>
        <w:instrText xml:space="preserve"> PAGEREF _Toc13316 \h </w:instrText>
      </w:r>
      <w:r>
        <w:rPr>
          <w:color w:val="auto"/>
        </w:rPr>
        <w:fldChar w:fldCharType="separate"/>
      </w:r>
      <w:r>
        <w:rPr>
          <w:color w:val="auto"/>
        </w:rPr>
        <w:t>100</w:t>
      </w:r>
      <w:r>
        <w:rPr>
          <w:color w:val="auto"/>
        </w:rPr>
        <w:fldChar w:fldCharType="end"/>
      </w:r>
      <w:r>
        <w:rPr>
          <w:rFonts w:hint="default" w:ascii="Times New Roman" w:hAnsi="Times New Roman" w:eastAsia="宋体" w:cs="Times New Roman"/>
          <w:color w:val="auto"/>
          <w:szCs w:val="24"/>
        </w:rPr>
        <w:fldChar w:fldCharType="end"/>
      </w:r>
    </w:p>
    <w:p w14:paraId="48C9B226">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_Toc32514 </w:instrText>
      </w:r>
      <w:r>
        <w:rPr>
          <w:rFonts w:hint="default" w:ascii="Times New Roman" w:hAnsi="Times New Roman" w:eastAsia="宋体" w:cs="Times New Roman"/>
          <w:color w:val="auto"/>
          <w:szCs w:val="24"/>
        </w:rPr>
        <w:fldChar w:fldCharType="separate"/>
      </w:r>
      <w:r>
        <w:rPr>
          <w:rFonts w:hint="default"/>
          <w:color w:val="auto"/>
        </w:rPr>
        <w:t>3.</w:t>
      </w:r>
      <w:r>
        <w:rPr>
          <w:rFonts w:hint="eastAsia"/>
          <w:color w:val="auto"/>
          <w:lang w:val="en-US" w:eastAsia="zh-CN"/>
        </w:rPr>
        <w:t xml:space="preserve">5 </w:t>
      </w:r>
      <w:r>
        <w:rPr>
          <w:rFonts w:hint="default"/>
          <w:color w:val="auto"/>
        </w:rPr>
        <w:t>选址选线合理性分析</w:t>
      </w:r>
      <w:r>
        <w:rPr>
          <w:color w:val="auto"/>
        </w:rPr>
        <w:tab/>
      </w:r>
      <w:r>
        <w:rPr>
          <w:color w:val="auto"/>
        </w:rPr>
        <w:fldChar w:fldCharType="begin"/>
      </w:r>
      <w:r>
        <w:rPr>
          <w:color w:val="auto"/>
        </w:rPr>
        <w:instrText xml:space="preserve"> PAGEREF _Toc32514 \h </w:instrText>
      </w:r>
      <w:r>
        <w:rPr>
          <w:color w:val="auto"/>
        </w:rPr>
        <w:fldChar w:fldCharType="separate"/>
      </w:r>
      <w:r>
        <w:rPr>
          <w:color w:val="auto"/>
        </w:rPr>
        <w:t>122</w:t>
      </w:r>
      <w:r>
        <w:rPr>
          <w:color w:val="auto"/>
        </w:rPr>
        <w:fldChar w:fldCharType="end"/>
      </w:r>
      <w:r>
        <w:rPr>
          <w:rFonts w:hint="default" w:ascii="Times New Roman" w:hAnsi="Times New Roman" w:eastAsia="宋体" w:cs="Times New Roman"/>
          <w:color w:val="auto"/>
          <w:szCs w:val="24"/>
        </w:rPr>
        <w:fldChar w:fldCharType="end"/>
      </w:r>
    </w:p>
    <w:p w14:paraId="4FE57B9F">
      <w:pPr>
        <w:pStyle w:val="25"/>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_Toc27576 </w:instrText>
      </w:r>
      <w:r>
        <w:rPr>
          <w:rFonts w:hint="default" w:ascii="Times New Roman" w:hAnsi="Times New Roman" w:eastAsia="宋体" w:cs="Times New Roman"/>
          <w:color w:val="auto"/>
          <w:szCs w:val="24"/>
        </w:rPr>
        <w:fldChar w:fldCharType="separate"/>
      </w:r>
      <w:r>
        <w:rPr>
          <w:rFonts w:hint="default"/>
          <w:color w:val="auto"/>
        </w:rPr>
        <w:t>4</w:t>
      </w:r>
      <w:r>
        <w:rPr>
          <w:rFonts w:hint="eastAsia"/>
          <w:color w:val="auto"/>
          <w:lang w:val="en-US" w:eastAsia="zh-CN"/>
        </w:rPr>
        <w:t xml:space="preserve"> </w:t>
      </w:r>
      <w:r>
        <w:rPr>
          <w:rFonts w:hint="default"/>
          <w:color w:val="auto"/>
        </w:rPr>
        <w:t>环境现状调查与评价</w:t>
      </w:r>
      <w:r>
        <w:rPr>
          <w:color w:val="auto"/>
        </w:rPr>
        <w:tab/>
      </w:r>
      <w:r>
        <w:rPr>
          <w:color w:val="auto"/>
        </w:rPr>
        <w:fldChar w:fldCharType="begin"/>
      </w:r>
      <w:r>
        <w:rPr>
          <w:color w:val="auto"/>
        </w:rPr>
        <w:instrText xml:space="preserve"> PAGEREF _Toc27576 \h </w:instrText>
      </w:r>
      <w:r>
        <w:rPr>
          <w:color w:val="auto"/>
        </w:rPr>
        <w:fldChar w:fldCharType="separate"/>
      </w:r>
      <w:r>
        <w:rPr>
          <w:color w:val="auto"/>
        </w:rPr>
        <w:t>123</w:t>
      </w:r>
      <w:r>
        <w:rPr>
          <w:color w:val="auto"/>
        </w:rPr>
        <w:fldChar w:fldCharType="end"/>
      </w:r>
      <w:r>
        <w:rPr>
          <w:rFonts w:hint="default" w:ascii="Times New Roman" w:hAnsi="Times New Roman" w:eastAsia="宋体" w:cs="Times New Roman"/>
          <w:color w:val="auto"/>
          <w:szCs w:val="24"/>
        </w:rPr>
        <w:fldChar w:fldCharType="end"/>
      </w:r>
    </w:p>
    <w:p w14:paraId="5E763DBE">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_Toc15158 </w:instrText>
      </w:r>
      <w:r>
        <w:rPr>
          <w:rFonts w:hint="default" w:ascii="Times New Roman" w:hAnsi="Times New Roman" w:eastAsia="宋体" w:cs="Times New Roman"/>
          <w:color w:val="auto"/>
          <w:szCs w:val="24"/>
        </w:rPr>
        <w:fldChar w:fldCharType="separate"/>
      </w:r>
      <w:r>
        <w:rPr>
          <w:rFonts w:hint="default"/>
          <w:color w:val="auto"/>
          <w:lang w:val="en-US" w:eastAsia="zh-CN"/>
        </w:rPr>
        <w:t>4.1</w:t>
      </w:r>
      <w:r>
        <w:rPr>
          <w:rFonts w:hint="eastAsia"/>
          <w:color w:val="auto"/>
          <w:lang w:val="en-US" w:eastAsia="zh-CN"/>
        </w:rPr>
        <w:t xml:space="preserve"> </w:t>
      </w:r>
      <w:r>
        <w:rPr>
          <w:rFonts w:hint="default"/>
          <w:color w:val="auto"/>
          <w:lang w:val="en-US" w:eastAsia="zh-CN"/>
        </w:rPr>
        <w:t>自然环境概况</w:t>
      </w:r>
      <w:r>
        <w:rPr>
          <w:color w:val="auto"/>
        </w:rPr>
        <w:tab/>
      </w:r>
      <w:r>
        <w:rPr>
          <w:color w:val="auto"/>
        </w:rPr>
        <w:fldChar w:fldCharType="begin"/>
      </w:r>
      <w:r>
        <w:rPr>
          <w:color w:val="auto"/>
        </w:rPr>
        <w:instrText xml:space="preserve"> PAGEREF _Toc15158 \h </w:instrText>
      </w:r>
      <w:r>
        <w:rPr>
          <w:color w:val="auto"/>
        </w:rPr>
        <w:fldChar w:fldCharType="separate"/>
      </w:r>
      <w:r>
        <w:rPr>
          <w:color w:val="auto"/>
        </w:rPr>
        <w:t>123</w:t>
      </w:r>
      <w:r>
        <w:rPr>
          <w:color w:val="auto"/>
        </w:rPr>
        <w:fldChar w:fldCharType="end"/>
      </w:r>
      <w:r>
        <w:rPr>
          <w:rFonts w:hint="default" w:ascii="Times New Roman" w:hAnsi="Times New Roman" w:eastAsia="宋体" w:cs="Times New Roman"/>
          <w:color w:val="auto"/>
          <w:szCs w:val="24"/>
        </w:rPr>
        <w:fldChar w:fldCharType="end"/>
      </w:r>
    </w:p>
    <w:p w14:paraId="07B6C2A8">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_Toc20427 </w:instrText>
      </w:r>
      <w:r>
        <w:rPr>
          <w:rFonts w:hint="default" w:ascii="Times New Roman" w:hAnsi="Times New Roman" w:eastAsia="宋体" w:cs="Times New Roman"/>
          <w:color w:val="auto"/>
          <w:szCs w:val="24"/>
        </w:rPr>
        <w:fldChar w:fldCharType="separate"/>
      </w:r>
      <w:r>
        <w:rPr>
          <w:rFonts w:hint="default"/>
          <w:color w:val="auto"/>
          <w:lang w:val="en-US" w:eastAsia="zh-CN"/>
        </w:rPr>
        <w:t>4.2</w:t>
      </w:r>
      <w:r>
        <w:rPr>
          <w:rFonts w:hint="eastAsia"/>
          <w:color w:val="auto"/>
          <w:lang w:val="en-US" w:eastAsia="zh-CN"/>
        </w:rPr>
        <w:t xml:space="preserve"> </w:t>
      </w:r>
      <w:r>
        <w:rPr>
          <w:rFonts w:hint="default"/>
          <w:color w:val="auto"/>
          <w:lang w:val="en-US" w:eastAsia="zh-CN"/>
        </w:rPr>
        <w:t>生态环境现状调查与评价</w:t>
      </w:r>
      <w:r>
        <w:rPr>
          <w:color w:val="auto"/>
        </w:rPr>
        <w:tab/>
      </w:r>
      <w:r>
        <w:rPr>
          <w:color w:val="auto"/>
        </w:rPr>
        <w:fldChar w:fldCharType="begin"/>
      </w:r>
      <w:r>
        <w:rPr>
          <w:color w:val="auto"/>
        </w:rPr>
        <w:instrText xml:space="preserve"> PAGEREF _Toc20427 \h </w:instrText>
      </w:r>
      <w:r>
        <w:rPr>
          <w:color w:val="auto"/>
        </w:rPr>
        <w:fldChar w:fldCharType="separate"/>
      </w:r>
      <w:r>
        <w:rPr>
          <w:color w:val="auto"/>
        </w:rPr>
        <w:t>126</w:t>
      </w:r>
      <w:r>
        <w:rPr>
          <w:color w:val="auto"/>
        </w:rPr>
        <w:fldChar w:fldCharType="end"/>
      </w:r>
      <w:r>
        <w:rPr>
          <w:rFonts w:hint="default" w:ascii="Times New Roman" w:hAnsi="Times New Roman" w:eastAsia="宋体" w:cs="Times New Roman"/>
          <w:color w:val="auto"/>
          <w:szCs w:val="24"/>
        </w:rPr>
        <w:fldChar w:fldCharType="end"/>
      </w:r>
    </w:p>
    <w:p w14:paraId="6A9DF9A6">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_Toc32014 </w:instrText>
      </w:r>
      <w:r>
        <w:rPr>
          <w:rFonts w:hint="default" w:ascii="Times New Roman" w:hAnsi="Times New Roman" w:eastAsia="宋体" w:cs="Times New Roman"/>
          <w:color w:val="auto"/>
          <w:szCs w:val="24"/>
        </w:rPr>
        <w:fldChar w:fldCharType="separate"/>
      </w:r>
      <w:r>
        <w:rPr>
          <w:rFonts w:hint="default"/>
          <w:color w:val="auto"/>
        </w:rPr>
        <w:t>4.</w:t>
      </w:r>
      <w:r>
        <w:rPr>
          <w:rFonts w:hint="eastAsia"/>
          <w:color w:val="auto"/>
          <w:lang w:val="en-US" w:eastAsia="zh-CN"/>
        </w:rPr>
        <w:t>3</w:t>
      </w:r>
      <w:r>
        <w:rPr>
          <w:rFonts w:hint="default"/>
          <w:color w:val="auto"/>
        </w:rPr>
        <w:t>地下水环境质量现状评价</w:t>
      </w:r>
      <w:r>
        <w:rPr>
          <w:color w:val="auto"/>
        </w:rPr>
        <w:tab/>
      </w:r>
      <w:r>
        <w:rPr>
          <w:color w:val="auto"/>
        </w:rPr>
        <w:fldChar w:fldCharType="begin"/>
      </w:r>
      <w:r>
        <w:rPr>
          <w:color w:val="auto"/>
        </w:rPr>
        <w:instrText xml:space="preserve"> PAGEREF _Toc32014 \h </w:instrText>
      </w:r>
      <w:r>
        <w:rPr>
          <w:color w:val="auto"/>
        </w:rPr>
        <w:fldChar w:fldCharType="separate"/>
      </w:r>
      <w:r>
        <w:rPr>
          <w:color w:val="auto"/>
        </w:rPr>
        <w:t>138</w:t>
      </w:r>
      <w:r>
        <w:rPr>
          <w:color w:val="auto"/>
        </w:rPr>
        <w:fldChar w:fldCharType="end"/>
      </w:r>
      <w:r>
        <w:rPr>
          <w:rFonts w:hint="default" w:ascii="Times New Roman" w:hAnsi="Times New Roman" w:eastAsia="宋体" w:cs="Times New Roman"/>
          <w:color w:val="auto"/>
          <w:szCs w:val="24"/>
        </w:rPr>
        <w:fldChar w:fldCharType="end"/>
      </w:r>
    </w:p>
    <w:p w14:paraId="51DFE107">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_Toc6064 </w:instrText>
      </w:r>
      <w:r>
        <w:rPr>
          <w:rFonts w:hint="default" w:ascii="Times New Roman" w:hAnsi="Times New Roman" w:eastAsia="宋体" w:cs="Times New Roman"/>
          <w:color w:val="auto"/>
          <w:szCs w:val="24"/>
        </w:rPr>
        <w:fldChar w:fldCharType="separate"/>
      </w:r>
      <w:r>
        <w:rPr>
          <w:rFonts w:hint="default"/>
          <w:color w:val="auto"/>
        </w:rPr>
        <w:t>4.</w:t>
      </w:r>
      <w:r>
        <w:rPr>
          <w:rFonts w:hint="eastAsia"/>
          <w:color w:val="auto"/>
          <w:lang w:val="en-US" w:eastAsia="zh-CN"/>
        </w:rPr>
        <w:t>4 地表</w:t>
      </w:r>
      <w:r>
        <w:rPr>
          <w:rFonts w:hint="default"/>
          <w:color w:val="auto"/>
        </w:rPr>
        <w:t>水环境现状调查与评价</w:t>
      </w:r>
      <w:r>
        <w:rPr>
          <w:color w:val="auto"/>
        </w:rPr>
        <w:tab/>
      </w:r>
      <w:r>
        <w:rPr>
          <w:color w:val="auto"/>
        </w:rPr>
        <w:fldChar w:fldCharType="begin"/>
      </w:r>
      <w:r>
        <w:rPr>
          <w:color w:val="auto"/>
        </w:rPr>
        <w:instrText xml:space="preserve"> PAGEREF _Toc6064 \h </w:instrText>
      </w:r>
      <w:r>
        <w:rPr>
          <w:color w:val="auto"/>
        </w:rPr>
        <w:fldChar w:fldCharType="separate"/>
      </w:r>
      <w:r>
        <w:rPr>
          <w:color w:val="auto"/>
        </w:rPr>
        <w:t>145</w:t>
      </w:r>
      <w:r>
        <w:rPr>
          <w:color w:val="auto"/>
        </w:rPr>
        <w:fldChar w:fldCharType="end"/>
      </w:r>
      <w:r>
        <w:rPr>
          <w:rFonts w:hint="default" w:ascii="Times New Roman" w:hAnsi="Times New Roman" w:eastAsia="宋体" w:cs="Times New Roman"/>
          <w:color w:val="auto"/>
          <w:szCs w:val="24"/>
        </w:rPr>
        <w:fldChar w:fldCharType="end"/>
      </w:r>
    </w:p>
    <w:p w14:paraId="364F492A">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_Toc30267 </w:instrText>
      </w:r>
      <w:r>
        <w:rPr>
          <w:rFonts w:hint="default" w:ascii="Times New Roman" w:hAnsi="Times New Roman" w:eastAsia="宋体" w:cs="Times New Roman"/>
          <w:color w:val="auto"/>
          <w:szCs w:val="24"/>
        </w:rPr>
        <w:fldChar w:fldCharType="separate"/>
      </w:r>
      <w:r>
        <w:rPr>
          <w:rFonts w:hint="default"/>
          <w:color w:val="auto"/>
        </w:rPr>
        <w:t>4.</w:t>
      </w:r>
      <w:r>
        <w:rPr>
          <w:rFonts w:hint="eastAsia"/>
          <w:color w:val="auto"/>
          <w:lang w:val="en-US" w:eastAsia="zh-CN"/>
        </w:rPr>
        <w:t xml:space="preserve">5 </w:t>
      </w:r>
      <w:r>
        <w:rPr>
          <w:rFonts w:hint="default"/>
          <w:color w:val="auto"/>
        </w:rPr>
        <w:t>土壤环境现状调查与评价</w:t>
      </w:r>
      <w:r>
        <w:rPr>
          <w:color w:val="auto"/>
        </w:rPr>
        <w:tab/>
      </w:r>
      <w:r>
        <w:rPr>
          <w:color w:val="auto"/>
        </w:rPr>
        <w:fldChar w:fldCharType="begin"/>
      </w:r>
      <w:r>
        <w:rPr>
          <w:color w:val="auto"/>
        </w:rPr>
        <w:instrText xml:space="preserve"> PAGEREF _Toc30267 \h </w:instrText>
      </w:r>
      <w:r>
        <w:rPr>
          <w:color w:val="auto"/>
        </w:rPr>
        <w:fldChar w:fldCharType="separate"/>
      </w:r>
      <w:r>
        <w:rPr>
          <w:color w:val="auto"/>
        </w:rPr>
        <w:t>145</w:t>
      </w:r>
      <w:r>
        <w:rPr>
          <w:color w:val="auto"/>
        </w:rPr>
        <w:fldChar w:fldCharType="end"/>
      </w:r>
      <w:r>
        <w:rPr>
          <w:rFonts w:hint="default" w:ascii="Times New Roman" w:hAnsi="Times New Roman" w:eastAsia="宋体" w:cs="Times New Roman"/>
          <w:color w:val="auto"/>
          <w:szCs w:val="24"/>
        </w:rPr>
        <w:fldChar w:fldCharType="end"/>
      </w:r>
    </w:p>
    <w:p w14:paraId="238E1813">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_Toc20017 </w:instrText>
      </w:r>
      <w:r>
        <w:rPr>
          <w:rFonts w:hint="default" w:ascii="Times New Roman" w:hAnsi="Times New Roman" w:eastAsia="宋体" w:cs="Times New Roman"/>
          <w:color w:val="auto"/>
          <w:szCs w:val="24"/>
        </w:rPr>
        <w:fldChar w:fldCharType="separate"/>
      </w:r>
      <w:r>
        <w:rPr>
          <w:rFonts w:hint="eastAsia"/>
          <w:color w:val="auto"/>
          <w:lang w:val="en-US" w:eastAsia="zh-CN"/>
        </w:rPr>
        <w:t>4</w:t>
      </w:r>
      <w:r>
        <w:rPr>
          <w:color w:val="auto"/>
          <w:lang w:val="en-US" w:eastAsia="zh-CN"/>
        </w:rPr>
        <w:t>.</w:t>
      </w:r>
      <w:r>
        <w:rPr>
          <w:rFonts w:hint="eastAsia"/>
          <w:color w:val="auto"/>
          <w:lang w:val="en-US" w:eastAsia="zh-CN"/>
        </w:rPr>
        <w:t xml:space="preserve">6 </w:t>
      </w:r>
      <w:r>
        <w:rPr>
          <w:color w:val="auto"/>
          <w:lang w:val="en-US" w:eastAsia="zh-CN"/>
        </w:rPr>
        <w:t>环境空气质量现状调查与评价</w:t>
      </w:r>
      <w:r>
        <w:rPr>
          <w:color w:val="auto"/>
        </w:rPr>
        <w:tab/>
      </w:r>
      <w:r>
        <w:rPr>
          <w:color w:val="auto"/>
        </w:rPr>
        <w:fldChar w:fldCharType="begin"/>
      </w:r>
      <w:r>
        <w:rPr>
          <w:color w:val="auto"/>
        </w:rPr>
        <w:instrText xml:space="preserve"> PAGEREF _Toc20017 \h </w:instrText>
      </w:r>
      <w:r>
        <w:rPr>
          <w:color w:val="auto"/>
        </w:rPr>
        <w:fldChar w:fldCharType="separate"/>
      </w:r>
      <w:r>
        <w:rPr>
          <w:color w:val="auto"/>
        </w:rPr>
        <w:t>154</w:t>
      </w:r>
      <w:r>
        <w:rPr>
          <w:color w:val="auto"/>
        </w:rPr>
        <w:fldChar w:fldCharType="end"/>
      </w:r>
      <w:r>
        <w:rPr>
          <w:rFonts w:hint="default" w:ascii="Times New Roman" w:hAnsi="Times New Roman" w:eastAsia="宋体" w:cs="Times New Roman"/>
          <w:color w:val="auto"/>
          <w:szCs w:val="24"/>
        </w:rPr>
        <w:fldChar w:fldCharType="end"/>
      </w:r>
    </w:p>
    <w:p w14:paraId="64895711">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_Toc11962 </w:instrText>
      </w:r>
      <w:r>
        <w:rPr>
          <w:rFonts w:hint="default" w:ascii="Times New Roman" w:hAnsi="Times New Roman" w:eastAsia="宋体" w:cs="Times New Roman"/>
          <w:color w:val="auto"/>
          <w:szCs w:val="24"/>
        </w:rPr>
        <w:fldChar w:fldCharType="separate"/>
      </w:r>
      <w:r>
        <w:rPr>
          <w:rFonts w:hint="default"/>
          <w:color w:val="auto"/>
        </w:rPr>
        <w:t>4.</w:t>
      </w:r>
      <w:r>
        <w:rPr>
          <w:rFonts w:hint="eastAsia"/>
          <w:color w:val="auto"/>
          <w:lang w:val="en-US" w:eastAsia="zh-CN"/>
        </w:rPr>
        <w:t xml:space="preserve">7 </w:t>
      </w:r>
      <w:r>
        <w:rPr>
          <w:rFonts w:hint="default"/>
          <w:color w:val="auto"/>
        </w:rPr>
        <w:t>声环境现状</w:t>
      </w:r>
      <w:r>
        <w:rPr>
          <w:color w:val="auto"/>
        </w:rPr>
        <w:tab/>
      </w:r>
      <w:r>
        <w:rPr>
          <w:color w:val="auto"/>
        </w:rPr>
        <w:fldChar w:fldCharType="begin"/>
      </w:r>
      <w:r>
        <w:rPr>
          <w:color w:val="auto"/>
        </w:rPr>
        <w:instrText xml:space="preserve"> PAGEREF _Toc11962 \h </w:instrText>
      </w:r>
      <w:r>
        <w:rPr>
          <w:color w:val="auto"/>
        </w:rPr>
        <w:fldChar w:fldCharType="separate"/>
      </w:r>
      <w:r>
        <w:rPr>
          <w:color w:val="auto"/>
        </w:rPr>
        <w:t>158</w:t>
      </w:r>
      <w:r>
        <w:rPr>
          <w:color w:val="auto"/>
        </w:rPr>
        <w:fldChar w:fldCharType="end"/>
      </w:r>
      <w:r>
        <w:rPr>
          <w:rFonts w:hint="default" w:ascii="Times New Roman" w:hAnsi="Times New Roman" w:eastAsia="宋体" w:cs="Times New Roman"/>
          <w:color w:val="auto"/>
          <w:szCs w:val="24"/>
        </w:rPr>
        <w:fldChar w:fldCharType="end"/>
      </w:r>
    </w:p>
    <w:p w14:paraId="48348E98">
      <w:pPr>
        <w:pStyle w:val="25"/>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_Toc19023 </w:instrText>
      </w:r>
      <w:r>
        <w:rPr>
          <w:rFonts w:hint="default" w:ascii="Times New Roman" w:hAnsi="Times New Roman" w:eastAsia="宋体" w:cs="Times New Roman"/>
          <w:color w:val="auto"/>
          <w:szCs w:val="24"/>
        </w:rPr>
        <w:fldChar w:fldCharType="separate"/>
      </w:r>
      <w:r>
        <w:rPr>
          <w:rFonts w:hint="default" w:ascii="Times New Roman" w:hAnsi="Times New Roman" w:cs="Times New Roman"/>
          <w:color w:val="auto"/>
        </w:rPr>
        <w:t>5</w:t>
      </w:r>
      <w:r>
        <w:rPr>
          <w:rFonts w:hint="eastAsia" w:cs="Times New Roman"/>
          <w:color w:val="auto"/>
          <w:lang w:val="en-US" w:eastAsia="zh-CN"/>
        </w:rPr>
        <w:t xml:space="preserve"> </w:t>
      </w:r>
      <w:r>
        <w:rPr>
          <w:rFonts w:hint="default" w:ascii="Times New Roman" w:hAnsi="Times New Roman" w:cs="Times New Roman"/>
          <w:color w:val="auto"/>
        </w:rPr>
        <w:t>环境影响预测与评价</w:t>
      </w:r>
      <w:r>
        <w:rPr>
          <w:color w:val="auto"/>
        </w:rPr>
        <w:tab/>
      </w:r>
      <w:r>
        <w:rPr>
          <w:color w:val="auto"/>
        </w:rPr>
        <w:fldChar w:fldCharType="begin"/>
      </w:r>
      <w:r>
        <w:rPr>
          <w:color w:val="auto"/>
        </w:rPr>
        <w:instrText xml:space="preserve"> PAGEREF _Toc19023 \h </w:instrText>
      </w:r>
      <w:r>
        <w:rPr>
          <w:color w:val="auto"/>
        </w:rPr>
        <w:fldChar w:fldCharType="separate"/>
      </w:r>
      <w:r>
        <w:rPr>
          <w:color w:val="auto"/>
        </w:rPr>
        <w:t>160</w:t>
      </w:r>
      <w:r>
        <w:rPr>
          <w:color w:val="auto"/>
        </w:rPr>
        <w:fldChar w:fldCharType="end"/>
      </w:r>
      <w:r>
        <w:rPr>
          <w:rFonts w:hint="default" w:ascii="Times New Roman" w:hAnsi="Times New Roman" w:eastAsia="宋体" w:cs="Times New Roman"/>
          <w:color w:val="auto"/>
          <w:szCs w:val="24"/>
        </w:rPr>
        <w:fldChar w:fldCharType="end"/>
      </w:r>
    </w:p>
    <w:p w14:paraId="25717333">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_Toc7346 </w:instrText>
      </w:r>
      <w:r>
        <w:rPr>
          <w:rFonts w:hint="default" w:ascii="Times New Roman" w:hAnsi="Times New Roman" w:eastAsia="宋体" w:cs="Times New Roman"/>
          <w:color w:val="auto"/>
          <w:szCs w:val="24"/>
        </w:rPr>
        <w:fldChar w:fldCharType="separate"/>
      </w:r>
      <w:r>
        <w:rPr>
          <w:rFonts w:hint="default"/>
          <w:color w:val="auto"/>
        </w:rPr>
        <w:t>5.1</w:t>
      </w:r>
      <w:r>
        <w:rPr>
          <w:rFonts w:hint="eastAsia"/>
          <w:color w:val="auto"/>
          <w:lang w:val="en-US" w:eastAsia="zh-CN"/>
        </w:rPr>
        <w:t xml:space="preserve"> </w:t>
      </w:r>
      <w:r>
        <w:rPr>
          <w:rFonts w:hint="default"/>
          <w:color w:val="auto"/>
        </w:rPr>
        <w:t>生态影响</w:t>
      </w:r>
      <w:r>
        <w:rPr>
          <w:rFonts w:hint="eastAsia"/>
          <w:color w:val="auto"/>
          <w:lang w:val="en-US" w:eastAsia="zh-CN"/>
        </w:rPr>
        <w:t>评价</w:t>
      </w:r>
      <w:r>
        <w:rPr>
          <w:color w:val="auto"/>
        </w:rPr>
        <w:tab/>
      </w:r>
      <w:r>
        <w:rPr>
          <w:color w:val="auto"/>
        </w:rPr>
        <w:fldChar w:fldCharType="begin"/>
      </w:r>
      <w:r>
        <w:rPr>
          <w:color w:val="auto"/>
        </w:rPr>
        <w:instrText xml:space="preserve"> PAGEREF _Toc7346 \h </w:instrText>
      </w:r>
      <w:r>
        <w:rPr>
          <w:color w:val="auto"/>
        </w:rPr>
        <w:fldChar w:fldCharType="separate"/>
      </w:r>
      <w:r>
        <w:rPr>
          <w:color w:val="auto"/>
        </w:rPr>
        <w:t>160</w:t>
      </w:r>
      <w:r>
        <w:rPr>
          <w:color w:val="auto"/>
        </w:rPr>
        <w:fldChar w:fldCharType="end"/>
      </w:r>
      <w:r>
        <w:rPr>
          <w:rFonts w:hint="default" w:ascii="Times New Roman" w:hAnsi="Times New Roman" w:eastAsia="宋体" w:cs="Times New Roman"/>
          <w:color w:val="auto"/>
          <w:szCs w:val="24"/>
        </w:rPr>
        <w:fldChar w:fldCharType="end"/>
      </w:r>
    </w:p>
    <w:p w14:paraId="6569034B">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_Toc24597 </w:instrText>
      </w:r>
      <w:r>
        <w:rPr>
          <w:rFonts w:hint="default" w:ascii="Times New Roman" w:hAnsi="Times New Roman" w:eastAsia="宋体" w:cs="Times New Roman"/>
          <w:color w:val="auto"/>
          <w:szCs w:val="24"/>
        </w:rPr>
        <w:fldChar w:fldCharType="separate"/>
      </w:r>
      <w:r>
        <w:rPr>
          <w:rFonts w:hint="default"/>
          <w:color w:val="auto"/>
          <w:lang w:val="en-US" w:eastAsia="zh-CN"/>
        </w:rPr>
        <w:t>5.</w:t>
      </w:r>
      <w:r>
        <w:rPr>
          <w:rFonts w:hint="eastAsia"/>
          <w:color w:val="auto"/>
          <w:lang w:val="en-US" w:eastAsia="zh-CN"/>
        </w:rPr>
        <w:t xml:space="preserve">2 </w:t>
      </w:r>
      <w:r>
        <w:rPr>
          <w:rFonts w:hint="default"/>
          <w:color w:val="auto"/>
          <w:lang w:val="en-US" w:eastAsia="zh-CN"/>
        </w:rPr>
        <w:t>地下水环境影响分析与评价</w:t>
      </w:r>
      <w:r>
        <w:rPr>
          <w:color w:val="auto"/>
        </w:rPr>
        <w:tab/>
      </w:r>
      <w:r>
        <w:rPr>
          <w:color w:val="auto"/>
        </w:rPr>
        <w:fldChar w:fldCharType="begin"/>
      </w:r>
      <w:r>
        <w:rPr>
          <w:color w:val="auto"/>
        </w:rPr>
        <w:instrText xml:space="preserve"> PAGEREF _Toc24597 \h </w:instrText>
      </w:r>
      <w:r>
        <w:rPr>
          <w:color w:val="auto"/>
        </w:rPr>
        <w:fldChar w:fldCharType="separate"/>
      </w:r>
      <w:r>
        <w:rPr>
          <w:color w:val="auto"/>
        </w:rPr>
        <w:t>167</w:t>
      </w:r>
      <w:r>
        <w:rPr>
          <w:color w:val="auto"/>
        </w:rPr>
        <w:fldChar w:fldCharType="end"/>
      </w:r>
      <w:r>
        <w:rPr>
          <w:rFonts w:hint="default" w:ascii="Times New Roman" w:hAnsi="Times New Roman" w:eastAsia="宋体" w:cs="Times New Roman"/>
          <w:color w:val="auto"/>
          <w:szCs w:val="24"/>
        </w:rPr>
        <w:fldChar w:fldCharType="end"/>
      </w:r>
    </w:p>
    <w:p w14:paraId="1037C091">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_Toc10364 </w:instrText>
      </w:r>
      <w:r>
        <w:rPr>
          <w:rFonts w:hint="default" w:ascii="Times New Roman" w:hAnsi="Times New Roman" w:eastAsia="宋体" w:cs="Times New Roman"/>
          <w:color w:val="auto"/>
          <w:szCs w:val="24"/>
        </w:rPr>
        <w:fldChar w:fldCharType="separate"/>
      </w:r>
      <w:r>
        <w:rPr>
          <w:color w:val="auto"/>
          <w:lang w:val="en-US" w:eastAsia="zh-CN"/>
        </w:rPr>
        <w:t>5.</w:t>
      </w:r>
      <w:r>
        <w:rPr>
          <w:rFonts w:hint="eastAsia"/>
          <w:color w:val="auto"/>
          <w:lang w:val="en-US" w:eastAsia="zh-CN"/>
        </w:rPr>
        <w:t xml:space="preserve">3 </w:t>
      </w:r>
      <w:r>
        <w:rPr>
          <w:color w:val="auto"/>
          <w:lang w:val="en-US" w:eastAsia="zh-CN"/>
        </w:rPr>
        <w:t>土壤环境影响分析</w:t>
      </w:r>
      <w:r>
        <w:rPr>
          <w:color w:val="auto"/>
        </w:rPr>
        <w:tab/>
      </w:r>
      <w:r>
        <w:rPr>
          <w:color w:val="auto"/>
        </w:rPr>
        <w:fldChar w:fldCharType="begin"/>
      </w:r>
      <w:r>
        <w:rPr>
          <w:color w:val="auto"/>
        </w:rPr>
        <w:instrText xml:space="preserve"> PAGEREF _Toc10364 \h </w:instrText>
      </w:r>
      <w:r>
        <w:rPr>
          <w:color w:val="auto"/>
        </w:rPr>
        <w:fldChar w:fldCharType="separate"/>
      </w:r>
      <w:r>
        <w:rPr>
          <w:color w:val="auto"/>
        </w:rPr>
        <w:t>177</w:t>
      </w:r>
      <w:r>
        <w:rPr>
          <w:color w:val="auto"/>
        </w:rPr>
        <w:fldChar w:fldCharType="end"/>
      </w:r>
      <w:r>
        <w:rPr>
          <w:rFonts w:hint="default" w:ascii="Times New Roman" w:hAnsi="Times New Roman" w:eastAsia="宋体" w:cs="Times New Roman"/>
          <w:color w:val="auto"/>
          <w:szCs w:val="24"/>
        </w:rPr>
        <w:fldChar w:fldCharType="end"/>
      </w:r>
    </w:p>
    <w:p w14:paraId="1259E168">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_Toc4359 </w:instrText>
      </w:r>
      <w:r>
        <w:rPr>
          <w:rFonts w:hint="default" w:ascii="Times New Roman" w:hAnsi="Times New Roman" w:eastAsia="宋体" w:cs="Times New Roman"/>
          <w:color w:val="auto"/>
          <w:szCs w:val="24"/>
        </w:rPr>
        <w:fldChar w:fldCharType="separate"/>
      </w:r>
      <w:r>
        <w:rPr>
          <w:rFonts w:hint="default"/>
          <w:color w:val="auto"/>
        </w:rPr>
        <w:t>5.</w:t>
      </w:r>
      <w:r>
        <w:rPr>
          <w:rFonts w:hint="eastAsia"/>
          <w:color w:val="auto"/>
          <w:lang w:val="en-US" w:eastAsia="zh-CN"/>
        </w:rPr>
        <w:t>4</w:t>
      </w:r>
      <w:r>
        <w:rPr>
          <w:rFonts w:hint="default"/>
          <w:color w:val="auto"/>
        </w:rPr>
        <w:t xml:space="preserve"> 大气环境影响分析</w:t>
      </w:r>
      <w:r>
        <w:rPr>
          <w:color w:val="auto"/>
        </w:rPr>
        <w:tab/>
      </w:r>
      <w:r>
        <w:rPr>
          <w:color w:val="auto"/>
        </w:rPr>
        <w:fldChar w:fldCharType="begin"/>
      </w:r>
      <w:r>
        <w:rPr>
          <w:color w:val="auto"/>
        </w:rPr>
        <w:instrText xml:space="preserve"> PAGEREF _Toc4359 \h </w:instrText>
      </w:r>
      <w:r>
        <w:rPr>
          <w:color w:val="auto"/>
        </w:rPr>
        <w:fldChar w:fldCharType="separate"/>
      </w:r>
      <w:r>
        <w:rPr>
          <w:color w:val="auto"/>
        </w:rPr>
        <w:t>186</w:t>
      </w:r>
      <w:r>
        <w:rPr>
          <w:color w:val="auto"/>
        </w:rPr>
        <w:fldChar w:fldCharType="end"/>
      </w:r>
      <w:r>
        <w:rPr>
          <w:rFonts w:hint="default" w:ascii="Times New Roman" w:hAnsi="Times New Roman" w:eastAsia="宋体" w:cs="Times New Roman"/>
          <w:color w:val="auto"/>
          <w:szCs w:val="24"/>
        </w:rPr>
        <w:fldChar w:fldCharType="end"/>
      </w:r>
    </w:p>
    <w:p w14:paraId="48DF510E">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_Toc26066 </w:instrText>
      </w:r>
      <w:r>
        <w:rPr>
          <w:rFonts w:hint="default" w:ascii="Times New Roman" w:hAnsi="Times New Roman" w:eastAsia="宋体" w:cs="Times New Roman"/>
          <w:color w:val="auto"/>
          <w:szCs w:val="24"/>
        </w:rPr>
        <w:fldChar w:fldCharType="separate"/>
      </w:r>
      <w:r>
        <w:rPr>
          <w:color w:val="auto"/>
          <w:lang w:val="en-US" w:eastAsia="zh-CN"/>
        </w:rPr>
        <w:t>5.</w:t>
      </w:r>
      <w:r>
        <w:rPr>
          <w:rFonts w:hint="eastAsia"/>
          <w:color w:val="auto"/>
          <w:lang w:val="en-US" w:eastAsia="zh-CN"/>
        </w:rPr>
        <w:t xml:space="preserve">5 </w:t>
      </w:r>
      <w:r>
        <w:rPr>
          <w:color w:val="auto"/>
          <w:lang w:val="en-US" w:eastAsia="zh-CN"/>
        </w:rPr>
        <w:t>声环境影响分析与</w:t>
      </w:r>
      <w:r>
        <w:rPr>
          <w:rFonts w:hint="eastAsia"/>
          <w:color w:val="auto"/>
          <w:lang w:val="en-US" w:eastAsia="zh-CN"/>
        </w:rPr>
        <w:t>评价</w:t>
      </w:r>
      <w:r>
        <w:rPr>
          <w:color w:val="auto"/>
        </w:rPr>
        <w:tab/>
      </w:r>
      <w:r>
        <w:rPr>
          <w:color w:val="auto"/>
        </w:rPr>
        <w:fldChar w:fldCharType="begin"/>
      </w:r>
      <w:r>
        <w:rPr>
          <w:color w:val="auto"/>
        </w:rPr>
        <w:instrText xml:space="preserve"> PAGEREF _Toc26066 \h </w:instrText>
      </w:r>
      <w:r>
        <w:rPr>
          <w:color w:val="auto"/>
        </w:rPr>
        <w:fldChar w:fldCharType="separate"/>
      </w:r>
      <w:r>
        <w:rPr>
          <w:color w:val="auto"/>
        </w:rPr>
        <w:t>197</w:t>
      </w:r>
      <w:r>
        <w:rPr>
          <w:color w:val="auto"/>
        </w:rPr>
        <w:fldChar w:fldCharType="end"/>
      </w:r>
      <w:r>
        <w:rPr>
          <w:rFonts w:hint="default" w:ascii="Times New Roman" w:hAnsi="Times New Roman" w:eastAsia="宋体" w:cs="Times New Roman"/>
          <w:color w:val="auto"/>
          <w:szCs w:val="24"/>
        </w:rPr>
        <w:fldChar w:fldCharType="end"/>
      </w:r>
    </w:p>
    <w:p w14:paraId="02F8924F">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_Toc285 </w:instrText>
      </w:r>
      <w:r>
        <w:rPr>
          <w:rFonts w:hint="default" w:ascii="Times New Roman" w:hAnsi="Times New Roman" w:eastAsia="宋体" w:cs="Times New Roman"/>
          <w:color w:val="auto"/>
          <w:szCs w:val="24"/>
        </w:rPr>
        <w:fldChar w:fldCharType="separate"/>
      </w:r>
      <w:r>
        <w:rPr>
          <w:color w:val="auto"/>
          <w:lang w:val="en-US" w:eastAsia="zh-CN"/>
        </w:rPr>
        <w:t>5.</w:t>
      </w:r>
      <w:r>
        <w:rPr>
          <w:rFonts w:hint="eastAsia"/>
          <w:color w:val="auto"/>
          <w:lang w:val="en-US" w:eastAsia="zh-CN"/>
        </w:rPr>
        <w:t xml:space="preserve">6 </w:t>
      </w:r>
      <w:r>
        <w:rPr>
          <w:color w:val="auto"/>
          <w:lang w:val="en-US" w:eastAsia="zh-CN"/>
        </w:rPr>
        <w:t>固体废物影响分析</w:t>
      </w:r>
      <w:r>
        <w:rPr>
          <w:color w:val="auto"/>
        </w:rPr>
        <w:tab/>
      </w:r>
      <w:r>
        <w:rPr>
          <w:color w:val="auto"/>
        </w:rPr>
        <w:fldChar w:fldCharType="begin"/>
      </w:r>
      <w:r>
        <w:rPr>
          <w:color w:val="auto"/>
        </w:rPr>
        <w:instrText xml:space="preserve"> PAGEREF _Toc285 \h </w:instrText>
      </w:r>
      <w:r>
        <w:rPr>
          <w:color w:val="auto"/>
        </w:rPr>
        <w:fldChar w:fldCharType="separate"/>
      </w:r>
      <w:r>
        <w:rPr>
          <w:color w:val="auto"/>
        </w:rPr>
        <w:t>203</w:t>
      </w:r>
      <w:r>
        <w:rPr>
          <w:color w:val="auto"/>
        </w:rPr>
        <w:fldChar w:fldCharType="end"/>
      </w:r>
      <w:r>
        <w:rPr>
          <w:rFonts w:hint="default" w:ascii="Times New Roman" w:hAnsi="Times New Roman" w:eastAsia="宋体" w:cs="Times New Roman"/>
          <w:color w:val="auto"/>
          <w:szCs w:val="24"/>
        </w:rPr>
        <w:fldChar w:fldCharType="end"/>
      </w:r>
    </w:p>
    <w:p w14:paraId="2E4FF1BF">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_Toc21356 </w:instrText>
      </w:r>
      <w:r>
        <w:rPr>
          <w:rFonts w:hint="default" w:ascii="Times New Roman" w:hAnsi="Times New Roman" w:eastAsia="宋体" w:cs="Times New Roman"/>
          <w:color w:val="auto"/>
          <w:szCs w:val="24"/>
        </w:rPr>
        <w:fldChar w:fldCharType="separate"/>
      </w:r>
      <w:r>
        <w:rPr>
          <w:rFonts w:hint="eastAsia"/>
          <w:color w:val="auto"/>
          <w:lang w:val="en-US" w:eastAsia="zh-CN"/>
        </w:rPr>
        <w:t>5.7环境风险分析</w:t>
      </w:r>
      <w:r>
        <w:rPr>
          <w:color w:val="auto"/>
        </w:rPr>
        <w:tab/>
      </w:r>
      <w:r>
        <w:rPr>
          <w:color w:val="auto"/>
        </w:rPr>
        <w:fldChar w:fldCharType="begin"/>
      </w:r>
      <w:r>
        <w:rPr>
          <w:color w:val="auto"/>
        </w:rPr>
        <w:instrText xml:space="preserve"> PAGEREF _Toc21356 \h </w:instrText>
      </w:r>
      <w:r>
        <w:rPr>
          <w:color w:val="auto"/>
        </w:rPr>
        <w:fldChar w:fldCharType="separate"/>
      </w:r>
      <w:r>
        <w:rPr>
          <w:color w:val="auto"/>
        </w:rPr>
        <w:t>205</w:t>
      </w:r>
      <w:r>
        <w:rPr>
          <w:color w:val="auto"/>
        </w:rPr>
        <w:fldChar w:fldCharType="end"/>
      </w:r>
      <w:r>
        <w:rPr>
          <w:rFonts w:hint="default" w:ascii="Times New Roman" w:hAnsi="Times New Roman" w:eastAsia="宋体" w:cs="Times New Roman"/>
          <w:color w:val="auto"/>
          <w:szCs w:val="24"/>
        </w:rPr>
        <w:fldChar w:fldCharType="end"/>
      </w:r>
    </w:p>
    <w:p w14:paraId="7D22A435">
      <w:pPr>
        <w:pStyle w:val="25"/>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_Toc23646 </w:instrText>
      </w:r>
      <w:r>
        <w:rPr>
          <w:rFonts w:hint="default" w:ascii="Times New Roman" w:hAnsi="Times New Roman" w:eastAsia="宋体" w:cs="Times New Roman"/>
          <w:color w:val="auto"/>
          <w:szCs w:val="24"/>
        </w:rPr>
        <w:fldChar w:fldCharType="separate"/>
      </w:r>
      <w:r>
        <w:rPr>
          <w:rFonts w:hint="default"/>
          <w:color w:val="auto"/>
        </w:rPr>
        <w:t>6</w:t>
      </w:r>
      <w:r>
        <w:rPr>
          <w:rFonts w:hint="eastAsia"/>
          <w:color w:val="auto"/>
          <w:lang w:val="en-US" w:eastAsia="zh-CN"/>
        </w:rPr>
        <w:t xml:space="preserve"> </w:t>
      </w:r>
      <w:r>
        <w:rPr>
          <w:rFonts w:hint="default"/>
          <w:color w:val="auto"/>
        </w:rPr>
        <w:t>环境保护措施及可行性论证</w:t>
      </w:r>
      <w:r>
        <w:rPr>
          <w:color w:val="auto"/>
        </w:rPr>
        <w:tab/>
      </w:r>
      <w:r>
        <w:rPr>
          <w:color w:val="auto"/>
        </w:rPr>
        <w:fldChar w:fldCharType="begin"/>
      </w:r>
      <w:r>
        <w:rPr>
          <w:color w:val="auto"/>
        </w:rPr>
        <w:instrText xml:space="preserve"> PAGEREF _Toc23646 \h </w:instrText>
      </w:r>
      <w:r>
        <w:rPr>
          <w:color w:val="auto"/>
        </w:rPr>
        <w:fldChar w:fldCharType="separate"/>
      </w:r>
      <w:r>
        <w:rPr>
          <w:color w:val="auto"/>
        </w:rPr>
        <w:t>233</w:t>
      </w:r>
      <w:r>
        <w:rPr>
          <w:color w:val="auto"/>
        </w:rPr>
        <w:fldChar w:fldCharType="end"/>
      </w:r>
      <w:r>
        <w:rPr>
          <w:rFonts w:hint="default" w:ascii="Times New Roman" w:hAnsi="Times New Roman" w:eastAsia="宋体" w:cs="Times New Roman"/>
          <w:color w:val="auto"/>
          <w:szCs w:val="24"/>
        </w:rPr>
        <w:fldChar w:fldCharType="end"/>
      </w:r>
    </w:p>
    <w:p w14:paraId="41ABDF51">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_Toc15513 </w:instrText>
      </w:r>
      <w:r>
        <w:rPr>
          <w:rFonts w:hint="default" w:ascii="Times New Roman" w:hAnsi="Times New Roman" w:eastAsia="宋体" w:cs="Times New Roman"/>
          <w:color w:val="auto"/>
          <w:szCs w:val="24"/>
        </w:rPr>
        <w:fldChar w:fldCharType="separate"/>
      </w:r>
      <w:r>
        <w:rPr>
          <w:rFonts w:hint="eastAsia"/>
          <w:color w:val="auto"/>
          <w:lang w:val="en-US" w:eastAsia="zh-CN"/>
        </w:rPr>
        <w:t>6.1生态保护措施可行性论证</w:t>
      </w:r>
      <w:r>
        <w:rPr>
          <w:color w:val="auto"/>
        </w:rPr>
        <w:tab/>
      </w:r>
      <w:r>
        <w:rPr>
          <w:color w:val="auto"/>
        </w:rPr>
        <w:fldChar w:fldCharType="begin"/>
      </w:r>
      <w:r>
        <w:rPr>
          <w:color w:val="auto"/>
        </w:rPr>
        <w:instrText xml:space="preserve"> PAGEREF _Toc15513 \h </w:instrText>
      </w:r>
      <w:r>
        <w:rPr>
          <w:color w:val="auto"/>
        </w:rPr>
        <w:fldChar w:fldCharType="separate"/>
      </w:r>
      <w:r>
        <w:rPr>
          <w:color w:val="auto"/>
        </w:rPr>
        <w:t>233</w:t>
      </w:r>
      <w:r>
        <w:rPr>
          <w:color w:val="auto"/>
        </w:rPr>
        <w:fldChar w:fldCharType="end"/>
      </w:r>
      <w:r>
        <w:rPr>
          <w:rFonts w:hint="default" w:ascii="Times New Roman" w:hAnsi="Times New Roman" w:eastAsia="宋体" w:cs="Times New Roman"/>
          <w:color w:val="auto"/>
          <w:szCs w:val="24"/>
        </w:rPr>
        <w:fldChar w:fldCharType="end"/>
      </w:r>
    </w:p>
    <w:p w14:paraId="32460E90">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_Toc31391 </w:instrText>
      </w:r>
      <w:r>
        <w:rPr>
          <w:rFonts w:hint="default" w:ascii="Times New Roman" w:hAnsi="Times New Roman" w:eastAsia="宋体" w:cs="Times New Roman"/>
          <w:color w:val="auto"/>
          <w:szCs w:val="24"/>
        </w:rPr>
        <w:fldChar w:fldCharType="separate"/>
      </w:r>
      <w:r>
        <w:rPr>
          <w:rFonts w:hint="eastAsia"/>
          <w:color w:val="auto"/>
          <w:lang w:val="en-US" w:eastAsia="zh-CN"/>
        </w:rPr>
        <w:t>6.2地下水环境保护措施可行性论证</w:t>
      </w:r>
      <w:r>
        <w:rPr>
          <w:color w:val="auto"/>
        </w:rPr>
        <w:tab/>
      </w:r>
      <w:r>
        <w:rPr>
          <w:color w:val="auto"/>
        </w:rPr>
        <w:fldChar w:fldCharType="begin"/>
      </w:r>
      <w:r>
        <w:rPr>
          <w:color w:val="auto"/>
        </w:rPr>
        <w:instrText xml:space="preserve"> PAGEREF _Toc31391 \h </w:instrText>
      </w:r>
      <w:r>
        <w:rPr>
          <w:color w:val="auto"/>
        </w:rPr>
        <w:fldChar w:fldCharType="separate"/>
      </w:r>
      <w:r>
        <w:rPr>
          <w:color w:val="auto"/>
        </w:rPr>
        <w:t>246</w:t>
      </w:r>
      <w:r>
        <w:rPr>
          <w:color w:val="auto"/>
        </w:rPr>
        <w:fldChar w:fldCharType="end"/>
      </w:r>
      <w:r>
        <w:rPr>
          <w:rFonts w:hint="default" w:ascii="Times New Roman" w:hAnsi="Times New Roman" w:eastAsia="宋体" w:cs="Times New Roman"/>
          <w:color w:val="auto"/>
          <w:szCs w:val="24"/>
        </w:rPr>
        <w:fldChar w:fldCharType="end"/>
      </w:r>
    </w:p>
    <w:p w14:paraId="30322A7A">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_Toc29850 </w:instrText>
      </w:r>
      <w:r>
        <w:rPr>
          <w:rFonts w:hint="default" w:ascii="Times New Roman" w:hAnsi="Times New Roman" w:eastAsia="宋体" w:cs="Times New Roman"/>
          <w:color w:val="auto"/>
          <w:szCs w:val="24"/>
        </w:rPr>
        <w:fldChar w:fldCharType="separate"/>
      </w:r>
      <w:r>
        <w:rPr>
          <w:rFonts w:hint="eastAsia"/>
          <w:color w:val="auto"/>
          <w:lang w:val="en-US" w:eastAsia="zh-CN"/>
        </w:rPr>
        <w:t>6.3土壤环境保护措施可行性论证</w:t>
      </w:r>
      <w:r>
        <w:rPr>
          <w:color w:val="auto"/>
        </w:rPr>
        <w:tab/>
      </w:r>
      <w:r>
        <w:rPr>
          <w:color w:val="auto"/>
        </w:rPr>
        <w:fldChar w:fldCharType="begin"/>
      </w:r>
      <w:r>
        <w:rPr>
          <w:color w:val="auto"/>
        </w:rPr>
        <w:instrText xml:space="preserve"> PAGEREF _Toc29850 \h </w:instrText>
      </w:r>
      <w:r>
        <w:rPr>
          <w:color w:val="auto"/>
        </w:rPr>
        <w:fldChar w:fldCharType="separate"/>
      </w:r>
      <w:r>
        <w:rPr>
          <w:color w:val="auto"/>
        </w:rPr>
        <w:t>255</w:t>
      </w:r>
      <w:r>
        <w:rPr>
          <w:color w:val="auto"/>
        </w:rPr>
        <w:fldChar w:fldCharType="end"/>
      </w:r>
      <w:r>
        <w:rPr>
          <w:rFonts w:hint="default" w:ascii="Times New Roman" w:hAnsi="Times New Roman" w:eastAsia="宋体" w:cs="Times New Roman"/>
          <w:color w:val="auto"/>
          <w:szCs w:val="24"/>
        </w:rPr>
        <w:fldChar w:fldCharType="end"/>
      </w:r>
    </w:p>
    <w:p w14:paraId="1194740F">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_Toc14834 </w:instrText>
      </w:r>
      <w:r>
        <w:rPr>
          <w:rFonts w:hint="default" w:ascii="Times New Roman" w:hAnsi="Times New Roman" w:eastAsia="宋体" w:cs="Times New Roman"/>
          <w:color w:val="auto"/>
          <w:szCs w:val="24"/>
        </w:rPr>
        <w:fldChar w:fldCharType="separate"/>
      </w:r>
      <w:r>
        <w:rPr>
          <w:rFonts w:hint="eastAsia"/>
          <w:color w:val="auto"/>
          <w:lang w:val="en-US" w:eastAsia="zh-CN"/>
        </w:rPr>
        <w:t>6.4大气环境保护措施可行性论证</w:t>
      </w:r>
      <w:r>
        <w:rPr>
          <w:color w:val="auto"/>
        </w:rPr>
        <w:tab/>
      </w:r>
      <w:r>
        <w:rPr>
          <w:color w:val="auto"/>
        </w:rPr>
        <w:fldChar w:fldCharType="begin"/>
      </w:r>
      <w:r>
        <w:rPr>
          <w:color w:val="auto"/>
        </w:rPr>
        <w:instrText xml:space="preserve"> PAGEREF _Toc14834 \h </w:instrText>
      </w:r>
      <w:r>
        <w:rPr>
          <w:color w:val="auto"/>
        </w:rPr>
        <w:fldChar w:fldCharType="separate"/>
      </w:r>
      <w:r>
        <w:rPr>
          <w:color w:val="auto"/>
        </w:rPr>
        <w:t>258</w:t>
      </w:r>
      <w:r>
        <w:rPr>
          <w:color w:val="auto"/>
        </w:rPr>
        <w:fldChar w:fldCharType="end"/>
      </w:r>
      <w:r>
        <w:rPr>
          <w:rFonts w:hint="default" w:ascii="Times New Roman" w:hAnsi="Times New Roman" w:eastAsia="宋体" w:cs="Times New Roman"/>
          <w:color w:val="auto"/>
          <w:szCs w:val="24"/>
        </w:rPr>
        <w:fldChar w:fldCharType="end"/>
      </w:r>
    </w:p>
    <w:p w14:paraId="40F44915">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_Toc8641 </w:instrText>
      </w:r>
      <w:r>
        <w:rPr>
          <w:rFonts w:hint="default" w:ascii="Times New Roman" w:hAnsi="Times New Roman" w:eastAsia="宋体" w:cs="Times New Roman"/>
          <w:color w:val="auto"/>
          <w:szCs w:val="24"/>
        </w:rPr>
        <w:fldChar w:fldCharType="separate"/>
      </w:r>
      <w:r>
        <w:rPr>
          <w:rFonts w:hint="eastAsia"/>
          <w:color w:val="auto"/>
          <w:lang w:val="en-US" w:eastAsia="zh-CN"/>
        </w:rPr>
        <w:t>6.5声环境保护措施可行性论证</w:t>
      </w:r>
      <w:r>
        <w:rPr>
          <w:color w:val="auto"/>
        </w:rPr>
        <w:tab/>
      </w:r>
      <w:r>
        <w:rPr>
          <w:color w:val="auto"/>
        </w:rPr>
        <w:fldChar w:fldCharType="begin"/>
      </w:r>
      <w:r>
        <w:rPr>
          <w:color w:val="auto"/>
        </w:rPr>
        <w:instrText xml:space="preserve"> PAGEREF _Toc8641 \h </w:instrText>
      </w:r>
      <w:r>
        <w:rPr>
          <w:color w:val="auto"/>
        </w:rPr>
        <w:fldChar w:fldCharType="separate"/>
      </w:r>
      <w:r>
        <w:rPr>
          <w:color w:val="auto"/>
        </w:rPr>
        <w:t>260</w:t>
      </w:r>
      <w:r>
        <w:rPr>
          <w:color w:val="auto"/>
        </w:rPr>
        <w:fldChar w:fldCharType="end"/>
      </w:r>
      <w:r>
        <w:rPr>
          <w:rFonts w:hint="default" w:ascii="Times New Roman" w:hAnsi="Times New Roman" w:eastAsia="宋体" w:cs="Times New Roman"/>
          <w:color w:val="auto"/>
          <w:szCs w:val="24"/>
        </w:rPr>
        <w:fldChar w:fldCharType="end"/>
      </w:r>
    </w:p>
    <w:p w14:paraId="4894A0F3">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_Toc3522 </w:instrText>
      </w:r>
      <w:r>
        <w:rPr>
          <w:rFonts w:hint="default" w:ascii="Times New Roman" w:hAnsi="Times New Roman" w:eastAsia="宋体" w:cs="Times New Roman"/>
          <w:color w:val="auto"/>
          <w:szCs w:val="24"/>
        </w:rPr>
        <w:fldChar w:fldCharType="separate"/>
      </w:r>
      <w:r>
        <w:rPr>
          <w:rFonts w:hint="eastAsia"/>
          <w:color w:val="auto"/>
          <w:lang w:val="en-US" w:eastAsia="zh-CN"/>
        </w:rPr>
        <w:t>6.6固体废物处理措施可行性论证</w:t>
      </w:r>
      <w:r>
        <w:rPr>
          <w:color w:val="auto"/>
        </w:rPr>
        <w:tab/>
      </w:r>
      <w:r>
        <w:rPr>
          <w:color w:val="auto"/>
        </w:rPr>
        <w:fldChar w:fldCharType="begin"/>
      </w:r>
      <w:r>
        <w:rPr>
          <w:color w:val="auto"/>
        </w:rPr>
        <w:instrText xml:space="preserve"> PAGEREF _Toc3522 \h </w:instrText>
      </w:r>
      <w:r>
        <w:rPr>
          <w:color w:val="auto"/>
        </w:rPr>
        <w:fldChar w:fldCharType="separate"/>
      </w:r>
      <w:r>
        <w:rPr>
          <w:color w:val="auto"/>
        </w:rPr>
        <w:t>261</w:t>
      </w:r>
      <w:r>
        <w:rPr>
          <w:color w:val="auto"/>
        </w:rPr>
        <w:fldChar w:fldCharType="end"/>
      </w:r>
      <w:r>
        <w:rPr>
          <w:rFonts w:hint="default" w:ascii="Times New Roman" w:hAnsi="Times New Roman" w:eastAsia="宋体" w:cs="Times New Roman"/>
          <w:color w:val="auto"/>
          <w:szCs w:val="24"/>
        </w:rPr>
        <w:fldChar w:fldCharType="end"/>
      </w:r>
    </w:p>
    <w:p w14:paraId="0DA5623C">
      <w:pPr>
        <w:pStyle w:val="25"/>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_Toc16037 </w:instrText>
      </w:r>
      <w:r>
        <w:rPr>
          <w:rFonts w:hint="default" w:ascii="Times New Roman" w:hAnsi="Times New Roman" w:eastAsia="宋体" w:cs="Times New Roman"/>
          <w:color w:val="auto"/>
          <w:szCs w:val="24"/>
        </w:rPr>
        <w:fldChar w:fldCharType="separate"/>
      </w:r>
      <w:r>
        <w:rPr>
          <w:rFonts w:hint="eastAsia"/>
          <w:color w:val="auto"/>
          <w:lang w:val="en-US" w:eastAsia="zh-CN"/>
        </w:rPr>
        <w:t>7 温室气体排放影响评价</w:t>
      </w:r>
      <w:r>
        <w:rPr>
          <w:color w:val="auto"/>
        </w:rPr>
        <w:tab/>
      </w:r>
      <w:r>
        <w:rPr>
          <w:color w:val="auto"/>
        </w:rPr>
        <w:fldChar w:fldCharType="begin"/>
      </w:r>
      <w:r>
        <w:rPr>
          <w:color w:val="auto"/>
        </w:rPr>
        <w:instrText xml:space="preserve"> PAGEREF _Toc16037 \h </w:instrText>
      </w:r>
      <w:r>
        <w:rPr>
          <w:color w:val="auto"/>
        </w:rPr>
        <w:fldChar w:fldCharType="separate"/>
      </w:r>
      <w:r>
        <w:rPr>
          <w:color w:val="auto"/>
        </w:rPr>
        <w:t>266</w:t>
      </w:r>
      <w:r>
        <w:rPr>
          <w:color w:val="auto"/>
        </w:rPr>
        <w:fldChar w:fldCharType="end"/>
      </w:r>
      <w:r>
        <w:rPr>
          <w:rFonts w:hint="default" w:ascii="Times New Roman" w:hAnsi="Times New Roman" w:eastAsia="宋体" w:cs="Times New Roman"/>
          <w:color w:val="auto"/>
          <w:szCs w:val="24"/>
        </w:rPr>
        <w:fldChar w:fldCharType="end"/>
      </w:r>
    </w:p>
    <w:p w14:paraId="66AEE1CA">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_Toc28602 </w:instrText>
      </w:r>
      <w:r>
        <w:rPr>
          <w:rFonts w:hint="default" w:ascii="Times New Roman" w:hAnsi="Times New Roman" w:eastAsia="宋体" w:cs="Times New Roman"/>
          <w:color w:val="auto"/>
          <w:szCs w:val="24"/>
        </w:rPr>
        <w:fldChar w:fldCharType="separate"/>
      </w:r>
      <w:r>
        <w:rPr>
          <w:rFonts w:hint="eastAsia"/>
          <w:color w:val="auto"/>
          <w:lang w:val="en-US" w:eastAsia="zh-CN"/>
        </w:rPr>
        <w:t>7.1 温室气体排放分析</w:t>
      </w:r>
      <w:r>
        <w:rPr>
          <w:color w:val="auto"/>
        </w:rPr>
        <w:tab/>
      </w:r>
      <w:r>
        <w:rPr>
          <w:color w:val="auto"/>
        </w:rPr>
        <w:fldChar w:fldCharType="begin"/>
      </w:r>
      <w:r>
        <w:rPr>
          <w:color w:val="auto"/>
        </w:rPr>
        <w:instrText xml:space="preserve"> PAGEREF _Toc28602 \h </w:instrText>
      </w:r>
      <w:r>
        <w:rPr>
          <w:color w:val="auto"/>
        </w:rPr>
        <w:fldChar w:fldCharType="separate"/>
      </w:r>
      <w:r>
        <w:rPr>
          <w:color w:val="auto"/>
        </w:rPr>
        <w:t>266</w:t>
      </w:r>
      <w:r>
        <w:rPr>
          <w:color w:val="auto"/>
        </w:rPr>
        <w:fldChar w:fldCharType="end"/>
      </w:r>
      <w:r>
        <w:rPr>
          <w:rFonts w:hint="default" w:ascii="Times New Roman" w:hAnsi="Times New Roman" w:eastAsia="宋体" w:cs="Times New Roman"/>
          <w:color w:val="auto"/>
          <w:szCs w:val="24"/>
        </w:rPr>
        <w:fldChar w:fldCharType="end"/>
      </w:r>
    </w:p>
    <w:p w14:paraId="4892AF13">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_Toc27120 </w:instrText>
      </w:r>
      <w:r>
        <w:rPr>
          <w:rFonts w:hint="default" w:ascii="Times New Roman" w:hAnsi="Times New Roman" w:eastAsia="宋体" w:cs="Times New Roman"/>
          <w:color w:val="auto"/>
          <w:szCs w:val="24"/>
        </w:rPr>
        <w:fldChar w:fldCharType="separate"/>
      </w:r>
      <w:r>
        <w:rPr>
          <w:rFonts w:hint="eastAsia"/>
          <w:color w:val="auto"/>
          <w:lang w:val="en-US" w:eastAsia="zh-CN"/>
        </w:rPr>
        <w:t>7.2 减污降碳措施</w:t>
      </w:r>
      <w:r>
        <w:rPr>
          <w:color w:val="auto"/>
        </w:rPr>
        <w:tab/>
      </w:r>
      <w:r>
        <w:rPr>
          <w:color w:val="auto"/>
        </w:rPr>
        <w:fldChar w:fldCharType="begin"/>
      </w:r>
      <w:r>
        <w:rPr>
          <w:color w:val="auto"/>
        </w:rPr>
        <w:instrText xml:space="preserve"> PAGEREF _Toc27120 \h </w:instrText>
      </w:r>
      <w:r>
        <w:rPr>
          <w:color w:val="auto"/>
        </w:rPr>
        <w:fldChar w:fldCharType="separate"/>
      </w:r>
      <w:r>
        <w:rPr>
          <w:color w:val="auto"/>
        </w:rPr>
        <w:t>273</w:t>
      </w:r>
      <w:r>
        <w:rPr>
          <w:color w:val="auto"/>
        </w:rPr>
        <w:fldChar w:fldCharType="end"/>
      </w:r>
      <w:r>
        <w:rPr>
          <w:rFonts w:hint="default" w:ascii="Times New Roman" w:hAnsi="Times New Roman" w:eastAsia="宋体" w:cs="Times New Roman"/>
          <w:color w:val="auto"/>
          <w:szCs w:val="24"/>
        </w:rPr>
        <w:fldChar w:fldCharType="end"/>
      </w:r>
    </w:p>
    <w:p w14:paraId="787EA253">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_Toc2272 </w:instrText>
      </w:r>
      <w:r>
        <w:rPr>
          <w:rFonts w:hint="default" w:ascii="Times New Roman" w:hAnsi="Times New Roman" w:eastAsia="宋体" w:cs="Times New Roman"/>
          <w:color w:val="auto"/>
          <w:szCs w:val="24"/>
        </w:rPr>
        <w:fldChar w:fldCharType="separate"/>
      </w:r>
      <w:r>
        <w:rPr>
          <w:rFonts w:hint="eastAsia"/>
          <w:color w:val="auto"/>
          <w:lang w:val="en-US" w:eastAsia="zh-CN"/>
        </w:rPr>
        <w:t>7.3 温室气体排放评价结论</w:t>
      </w:r>
      <w:r>
        <w:rPr>
          <w:color w:val="auto"/>
        </w:rPr>
        <w:tab/>
      </w:r>
      <w:r>
        <w:rPr>
          <w:color w:val="auto"/>
        </w:rPr>
        <w:fldChar w:fldCharType="begin"/>
      </w:r>
      <w:r>
        <w:rPr>
          <w:color w:val="auto"/>
        </w:rPr>
        <w:instrText xml:space="preserve"> PAGEREF _Toc2272 \h </w:instrText>
      </w:r>
      <w:r>
        <w:rPr>
          <w:color w:val="auto"/>
        </w:rPr>
        <w:fldChar w:fldCharType="separate"/>
      </w:r>
      <w:r>
        <w:rPr>
          <w:color w:val="auto"/>
        </w:rPr>
        <w:t>274</w:t>
      </w:r>
      <w:r>
        <w:rPr>
          <w:color w:val="auto"/>
        </w:rPr>
        <w:fldChar w:fldCharType="end"/>
      </w:r>
      <w:r>
        <w:rPr>
          <w:rFonts w:hint="default" w:ascii="Times New Roman" w:hAnsi="Times New Roman" w:eastAsia="宋体" w:cs="Times New Roman"/>
          <w:color w:val="auto"/>
          <w:szCs w:val="24"/>
        </w:rPr>
        <w:fldChar w:fldCharType="end"/>
      </w:r>
    </w:p>
    <w:p w14:paraId="59F091B9">
      <w:pPr>
        <w:pStyle w:val="25"/>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_Toc8585 </w:instrText>
      </w:r>
      <w:r>
        <w:rPr>
          <w:rFonts w:hint="default" w:ascii="Times New Roman" w:hAnsi="Times New Roman" w:eastAsia="宋体" w:cs="Times New Roman"/>
          <w:color w:val="auto"/>
          <w:szCs w:val="24"/>
        </w:rPr>
        <w:fldChar w:fldCharType="separate"/>
      </w:r>
      <w:r>
        <w:rPr>
          <w:rFonts w:hint="eastAsia"/>
          <w:color w:val="auto"/>
          <w:lang w:val="en-US" w:eastAsia="zh-CN"/>
        </w:rPr>
        <w:t xml:space="preserve">8 </w:t>
      </w:r>
      <w:r>
        <w:rPr>
          <w:rFonts w:hint="default"/>
          <w:color w:val="auto"/>
          <w:lang w:val="en-US" w:eastAsia="zh-CN"/>
        </w:rPr>
        <w:t>环境影响经济损益分析</w:t>
      </w:r>
      <w:r>
        <w:rPr>
          <w:color w:val="auto"/>
        </w:rPr>
        <w:tab/>
      </w:r>
      <w:r>
        <w:rPr>
          <w:color w:val="auto"/>
        </w:rPr>
        <w:fldChar w:fldCharType="begin"/>
      </w:r>
      <w:r>
        <w:rPr>
          <w:color w:val="auto"/>
        </w:rPr>
        <w:instrText xml:space="preserve"> PAGEREF _Toc8585 \h </w:instrText>
      </w:r>
      <w:r>
        <w:rPr>
          <w:color w:val="auto"/>
        </w:rPr>
        <w:fldChar w:fldCharType="separate"/>
      </w:r>
      <w:r>
        <w:rPr>
          <w:color w:val="auto"/>
        </w:rPr>
        <w:t>275</w:t>
      </w:r>
      <w:r>
        <w:rPr>
          <w:color w:val="auto"/>
        </w:rPr>
        <w:fldChar w:fldCharType="end"/>
      </w:r>
      <w:r>
        <w:rPr>
          <w:rFonts w:hint="default" w:ascii="Times New Roman" w:hAnsi="Times New Roman" w:eastAsia="宋体" w:cs="Times New Roman"/>
          <w:color w:val="auto"/>
          <w:szCs w:val="24"/>
        </w:rPr>
        <w:fldChar w:fldCharType="end"/>
      </w:r>
    </w:p>
    <w:p w14:paraId="096D2E45">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_Toc23694 </w:instrText>
      </w:r>
      <w:r>
        <w:rPr>
          <w:rFonts w:hint="default" w:ascii="Times New Roman" w:hAnsi="Times New Roman" w:eastAsia="宋体" w:cs="Times New Roman"/>
          <w:color w:val="auto"/>
          <w:szCs w:val="24"/>
        </w:rPr>
        <w:fldChar w:fldCharType="separate"/>
      </w:r>
      <w:r>
        <w:rPr>
          <w:rFonts w:hint="eastAsia"/>
          <w:color w:val="auto"/>
          <w:lang w:val="en-US" w:eastAsia="zh-CN"/>
        </w:rPr>
        <w:t>8.1 环境效益分析</w:t>
      </w:r>
      <w:r>
        <w:rPr>
          <w:color w:val="auto"/>
        </w:rPr>
        <w:tab/>
      </w:r>
      <w:r>
        <w:rPr>
          <w:color w:val="auto"/>
        </w:rPr>
        <w:fldChar w:fldCharType="begin"/>
      </w:r>
      <w:r>
        <w:rPr>
          <w:color w:val="auto"/>
        </w:rPr>
        <w:instrText xml:space="preserve"> PAGEREF _Toc23694 \h </w:instrText>
      </w:r>
      <w:r>
        <w:rPr>
          <w:color w:val="auto"/>
        </w:rPr>
        <w:fldChar w:fldCharType="separate"/>
      </w:r>
      <w:r>
        <w:rPr>
          <w:color w:val="auto"/>
        </w:rPr>
        <w:t>275</w:t>
      </w:r>
      <w:r>
        <w:rPr>
          <w:color w:val="auto"/>
        </w:rPr>
        <w:fldChar w:fldCharType="end"/>
      </w:r>
      <w:r>
        <w:rPr>
          <w:rFonts w:hint="default" w:ascii="Times New Roman" w:hAnsi="Times New Roman" w:eastAsia="宋体" w:cs="Times New Roman"/>
          <w:color w:val="auto"/>
          <w:szCs w:val="24"/>
        </w:rPr>
        <w:fldChar w:fldCharType="end"/>
      </w:r>
    </w:p>
    <w:p w14:paraId="78744115">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_Toc11311 </w:instrText>
      </w:r>
      <w:r>
        <w:rPr>
          <w:rFonts w:hint="default" w:ascii="Times New Roman" w:hAnsi="Times New Roman" w:eastAsia="宋体" w:cs="Times New Roman"/>
          <w:color w:val="auto"/>
          <w:szCs w:val="24"/>
        </w:rPr>
        <w:fldChar w:fldCharType="separate"/>
      </w:r>
      <w:r>
        <w:rPr>
          <w:rFonts w:hint="eastAsia"/>
          <w:color w:val="auto"/>
          <w:lang w:val="en-US" w:eastAsia="zh-CN"/>
        </w:rPr>
        <w:t>8.2 社会效益分析</w:t>
      </w:r>
      <w:r>
        <w:rPr>
          <w:color w:val="auto"/>
        </w:rPr>
        <w:tab/>
      </w:r>
      <w:r>
        <w:rPr>
          <w:color w:val="auto"/>
        </w:rPr>
        <w:fldChar w:fldCharType="begin"/>
      </w:r>
      <w:r>
        <w:rPr>
          <w:color w:val="auto"/>
        </w:rPr>
        <w:instrText xml:space="preserve"> PAGEREF _Toc11311 \h </w:instrText>
      </w:r>
      <w:r>
        <w:rPr>
          <w:color w:val="auto"/>
        </w:rPr>
        <w:fldChar w:fldCharType="separate"/>
      </w:r>
      <w:r>
        <w:rPr>
          <w:color w:val="auto"/>
        </w:rPr>
        <w:t>278</w:t>
      </w:r>
      <w:r>
        <w:rPr>
          <w:color w:val="auto"/>
        </w:rPr>
        <w:fldChar w:fldCharType="end"/>
      </w:r>
      <w:r>
        <w:rPr>
          <w:rFonts w:hint="default" w:ascii="Times New Roman" w:hAnsi="Times New Roman" w:eastAsia="宋体" w:cs="Times New Roman"/>
          <w:color w:val="auto"/>
          <w:szCs w:val="24"/>
        </w:rPr>
        <w:fldChar w:fldCharType="end"/>
      </w:r>
    </w:p>
    <w:p w14:paraId="2F0B3D54">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_Toc19503 </w:instrText>
      </w:r>
      <w:r>
        <w:rPr>
          <w:rFonts w:hint="default" w:ascii="Times New Roman" w:hAnsi="Times New Roman" w:eastAsia="宋体" w:cs="Times New Roman"/>
          <w:color w:val="auto"/>
          <w:szCs w:val="24"/>
        </w:rPr>
        <w:fldChar w:fldCharType="separate"/>
      </w:r>
      <w:r>
        <w:rPr>
          <w:rFonts w:hint="eastAsia"/>
          <w:color w:val="auto"/>
          <w:lang w:val="en-US" w:eastAsia="zh-CN"/>
        </w:rPr>
        <w:t>8.3 综合效益分析</w:t>
      </w:r>
      <w:r>
        <w:rPr>
          <w:color w:val="auto"/>
        </w:rPr>
        <w:tab/>
      </w:r>
      <w:r>
        <w:rPr>
          <w:color w:val="auto"/>
        </w:rPr>
        <w:fldChar w:fldCharType="begin"/>
      </w:r>
      <w:r>
        <w:rPr>
          <w:color w:val="auto"/>
        </w:rPr>
        <w:instrText xml:space="preserve"> PAGEREF _Toc19503 \h </w:instrText>
      </w:r>
      <w:r>
        <w:rPr>
          <w:color w:val="auto"/>
        </w:rPr>
        <w:fldChar w:fldCharType="separate"/>
      </w:r>
      <w:r>
        <w:rPr>
          <w:color w:val="auto"/>
        </w:rPr>
        <w:t>279</w:t>
      </w:r>
      <w:r>
        <w:rPr>
          <w:color w:val="auto"/>
        </w:rPr>
        <w:fldChar w:fldCharType="end"/>
      </w:r>
      <w:r>
        <w:rPr>
          <w:rFonts w:hint="default" w:ascii="Times New Roman" w:hAnsi="Times New Roman" w:eastAsia="宋体" w:cs="Times New Roman"/>
          <w:color w:val="auto"/>
          <w:szCs w:val="24"/>
        </w:rPr>
        <w:fldChar w:fldCharType="end"/>
      </w:r>
    </w:p>
    <w:p w14:paraId="12AB6E9D">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_Toc19641 </w:instrText>
      </w:r>
      <w:r>
        <w:rPr>
          <w:rFonts w:hint="default" w:ascii="Times New Roman" w:hAnsi="Times New Roman" w:eastAsia="宋体" w:cs="Times New Roman"/>
          <w:color w:val="auto"/>
          <w:szCs w:val="24"/>
        </w:rPr>
        <w:fldChar w:fldCharType="separate"/>
      </w:r>
      <w:r>
        <w:rPr>
          <w:rFonts w:hint="eastAsia"/>
          <w:color w:val="auto"/>
          <w:lang w:val="en-US" w:eastAsia="zh-CN"/>
        </w:rPr>
        <w:t>8.4 环境经济损益分析结论</w:t>
      </w:r>
      <w:r>
        <w:rPr>
          <w:color w:val="auto"/>
        </w:rPr>
        <w:tab/>
      </w:r>
      <w:r>
        <w:rPr>
          <w:color w:val="auto"/>
        </w:rPr>
        <w:fldChar w:fldCharType="begin"/>
      </w:r>
      <w:r>
        <w:rPr>
          <w:color w:val="auto"/>
        </w:rPr>
        <w:instrText xml:space="preserve"> PAGEREF _Toc19641 \h </w:instrText>
      </w:r>
      <w:r>
        <w:rPr>
          <w:color w:val="auto"/>
        </w:rPr>
        <w:fldChar w:fldCharType="separate"/>
      </w:r>
      <w:r>
        <w:rPr>
          <w:color w:val="auto"/>
        </w:rPr>
        <w:t>279</w:t>
      </w:r>
      <w:r>
        <w:rPr>
          <w:color w:val="auto"/>
        </w:rPr>
        <w:fldChar w:fldCharType="end"/>
      </w:r>
      <w:r>
        <w:rPr>
          <w:rFonts w:hint="default" w:ascii="Times New Roman" w:hAnsi="Times New Roman" w:eastAsia="宋体" w:cs="Times New Roman"/>
          <w:color w:val="auto"/>
          <w:szCs w:val="24"/>
        </w:rPr>
        <w:fldChar w:fldCharType="end"/>
      </w:r>
    </w:p>
    <w:p w14:paraId="1B3461A9">
      <w:pPr>
        <w:pStyle w:val="25"/>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_Toc16874 </w:instrText>
      </w:r>
      <w:r>
        <w:rPr>
          <w:rFonts w:hint="default" w:ascii="Times New Roman" w:hAnsi="Times New Roman" w:eastAsia="宋体" w:cs="Times New Roman"/>
          <w:color w:val="auto"/>
          <w:szCs w:val="24"/>
        </w:rPr>
        <w:fldChar w:fldCharType="separate"/>
      </w:r>
      <w:r>
        <w:rPr>
          <w:rFonts w:hint="eastAsia"/>
          <w:color w:val="auto"/>
          <w:lang w:val="en-US" w:eastAsia="zh-CN"/>
        </w:rPr>
        <w:t>9 环境管理与监测计划</w:t>
      </w:r>
      <w:r>
        <w:rPr>
          <w:color w:val="auto"/>
        </w:rPr>
        <w:tab/>
      </w:r>
      <w:r>
        <w:rPr>
          <w:color w:val="auto"/>
        </w:rPr>
        <w:fldChar w:fldCharType="begin"/>
      </w:r>
      <w:r>
        <w:rPr>
          <w:color w:val="auto"/>
        </w:rPr>
        <w:instrText xml:space="preserve"> PAGEREF _Toc16874 \h </w:instrText>
      </w:r>
      <w:r>
        <w:rPr>
          <w:color w:val="auto"/>
        </w:rPr>
        <w:fldChar w:fldCharType="separate"/>
      </w:r>
      <w:r>
        <w:rPr>
          <w:color w:val="auto"/>
        </w:rPr>
        <w:t>280</w:t>
      </w:r>
      <w:r>
        <w:rPr>
          <w:color w:val="auto"/>
        </w:rPr>
        <w:fldChar w:fldCharType="end"/>
      </w:r>
      <w:r>
        <w:rPr>
          <w:rFonts w:hint="default" w:ascii="Times New Roman" w:hAnsi="Times New Roman" w:eastAsia="宋体" w:cs="Times New Roman"/>
          <w:color w:val="auto"/>
          <w:szCs w:val="24"/>
        </w:rPr>
        <w:fldChar w:fldCharType="end"/>
      </w:r>
    </w:p>
    <w:p w14:paraId="1A0E811C">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_Toc29853 </w:instrText>
      </w:r>
      <w:r>
        <w:rPr>
          <w:rFonts w:hint="default" w:ascii="Times New Roman" w:hAnsi="Times New Roman" w:eastAsia="宋体" w:cs="Times New Roman"/>
          <w:color w:val="auto"/>
          <w:szCs w:val="24"/>
        </w:rPr>
        <w:fldChar w:fldCharType="separate"/>
      </w:r>
      <w:r>
        <w:rPr>
          <w:rFonts w:hint="eastAsia"/>
          <w:color w:val="auto"/>
          <w:lang w:val="en-US" w:eastAsia="zh-CN"/>
        </w:rPr>
        <w:t>9</w:t>
      </w:r>
      <w:r>
        <w:rPr>
          <w:color w:val="auto"/>
          <w:lang w:val="en-US" w:eastAsia="zh-CN"/>
        </w:rPr>
        <w:t>.1</w:t>
      </w:r>
      <w:r>
        <w:rPr>
          <w:rFonts w:hint="eastAsia"/>
          <w:color w:val="auto"/>
          <w:lang w:val="en-US" w:eastAsia="zh-CN"/>
        </w:rPr>
        <w:t xml:space="preserve"> 环境管理</w:t>
      </w:r>
      <w:r>
        <w:rPr>
          <w:color w:val="auto"/>
        </w:rPr>
        <w:tab/>
      </w:r>
      <w:r>
        <w:rPr>
          <w:color w:val="auto"/>
        </w:rPr>
        <w:fldChar w:fldCharType="begin"/>
      </w:r>
      <w:r>
        <w:rPr>
          <w:color w:val="auto"/>
        </w:rPr>
        <w:instrText xml:space="preserve"> PAGEREF _Toc29853 \h </w:instrText>
      </w:r>
      <w:r>
        <w:rPr>
          <w:color w:val="auto"/>
        </w:rPr>
        <w:fldChar w:fldCharType="separate"/>
      </w:r>
      <w:r>
        <w:rPr>
          <w:color w:val="auto"/>
        </w:rPr>
        <w:t>280</w:t>
      </w:r>
      <w:r>
        <w:rPr>
          <w:color w:val="auto"/>
        </w:rPr>
        <w:fldChar w:fldCharType="end"/>
      </w:r>
      <w:r>
        <w:rPr>
          <w:rFonts w:hint="default" w:ascii="Times New Roman" w:hAnsi="Times New Roman" w:eastAsia="宋体" w:cs="Times New Roman"/>
          <w:color w:val="auto"/>
          <w:szCs w:val="24"/>
        </w:rPr>
        <w:fldChar w:fldCharType="end"/>
      </w:r>
    </w:p>
    <w:p w14:paraId="0887E5A0">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_Toc417 </w:instrText>
      </w:r>
      <w:r>
        <w:rPr>
          <w:rFonts w:hint="default" w:ascii="Times New Roman" w:hAnsi="Times New Roman" w:eastAsia="宋体" w:cs="Times New Roman"/>
          <w:color w:val="auto"/>
          <w:szCs w:val="24"/>
        </w:rPr>
        <w:fldChar w:fldCharType="separate"/>
      </w:r>
      <w:r>
        <w:rPr>
          <w:rFonts w:hint="eastAsia"/>
          <w:color w:val="auto"/>
          <w:lang w:val="en-US" w:eastAsia="zh-CN"/>
        </w:rPr>
        <w:t>9.2企业环境信息披露</w:t>
      </w:r>
      <w:r>
        <w:rPr>
          <w:color w:val="auto"/>
        </w:rPr>
        <w:tab/>
      </w:r>
      <w:r>
        <w:rPr>
          <w:color w:val="auto"/>
        </w:rPr>
        <w:fldChar w:fldCharType="begin"/>
      </w:r>
      <w:r>
        <w:rPr>
          <w:color w:val="auto"/>
        </w:rPr>
        <w:instrText xml:space="preserve"> PAGEREF _Toc417 \h </w:instrText>
      </w:r>
      <w:r>
        <w:rPr>
          <w:color w:val="auto"/>
        </w:rPr>
        <w:fldChar w:fldCharType="separate"/>
      </w:r>
      <w:r>
        <w:rPr>
          <w:color w:val="auto"/>
        </w:rPr>
        <w:t>287</w:t>
      </w:r>
      <w:r>
        <w:rPr>
          <w:color w:val="auto"/>
        </w:rPr>
        <w:fldChar w:fldCharType="end"/>
      </w:r>
      <w:r>
        <w:rPr>
          <w:rFonts w:hint="default" w:ascii="Times New Roman" w:hAnsi="Times New Roman" w:eastAsia="宋体" w:cs="Times New Roman"/>
          <w:color w:val="auto"/>
          <w:szCs w:val="24"/>
        </w:rPr>
        <w:fldChar w:fldCharType="end"/>
      </w:r>
    </w:p>
    <w:p w14:paraId="6419731B">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_Toc5998 </w:instrText>
      </w:r>
      <w:r>
        <w:rPr>
          <w:rFonts w:hint="default" w:ascii="Times New Roman" w:hAnsi="Times New Roman" w:eastAsia="宋体" w:cs="Times New Roman"/>
          <w:color w:val="auto"/>
          <w:szCs w:val="24"/>
        </w:rPr>
        <w:fldChar w:fldCharType="separate"/>
      </w:r>
      <w:r>
        <w:rPr>
          <w:rFonts w:hint="eastAsia"/>
          <w:color w:val="auto"/>
          <w:lang w:val="en-US" w:eastAsia="zh-CN"/>
        </w:rPr>
        <w:t>9.3 污染物排放清单</w:t>
      </w:r>
      <w:r>
        <w:rPr>
          <w:color w:val="auto"/>
        </w:rPr>
        <w:tab/>
      </w:r>
      <w:r>
        <w:rPr>
          <w:color w:val="auto"/>
        </w:rPr>
        <w:fldChar w:fldCharType="begin"/>
      </w:r>
      <w:r>
        <w:rPr>
          <w:color w:val="auto"/>
        </w:rPr>
        <w:instrText xml:space="preserve"> PAGEREF _Toc5998 \h </w:instrText>
      </w:r>
      <w:r>
        <w:rPr>
          <w:color w:val="auto"/>
        </w:rPr>
        <w:fldChar w:fldCharType="separate"/>
      </w:r>
      <w:r>
        <w:rPr>
          <w:color w:val="auto"/>
        </w:rPr>
        <w:t>288</w:t>
      </w:r>
      <w:r>
        <w:rPr>
          <w:color w:val="auto"/>
        </w:rPr>
        <w:fldChar w:fldCharType="end"/>
      </w:r>
      <w:r>
        <w:rPr>
          <w:rFonts w:hint="default" w:ascii="Times New Roman" w:hAnsi="Times New Roman" w:eastAsia="宋体" w:cs="Times New Roman"/>
          <w:color w:val="auto"/>
          <w:szCs w:val="24"/>
        </w:rPr>
        <w:fldChar w:fldCharType="end"/>
      </w:r>
    </w:p>
    <w:p w14:paraId="42DE1D0F">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_Toc23279 </w:instrText>
      </w:r>
      <w:r>
        <w:rPr>
          <w:rFonts w:hint="default" w:ascii="Times New Roman" w:hAnsi="Times New Roman" w:eastAsia="宋体" w:cs="Times New Roman"/>
          <w:color w:val="auto"/>
          <w:szCs w:val="24"/>
        </w:rPr>
        <w:fldChar w:fldCharType="separate"/>
      </w:r>
      <w:r>
        <w:rPr>
          <w:rFonts w:hint="eastAsia"/>
          <w:color w:val="auto"/>
          <w:lang w:val="en-US" w:eastAsia="zh-CN"/>
        </w:rPr>
        <w:t>9.4 生态环境监测</w:t>
      </w:r>
      <w:r>
        <w:rPr>
          <w:color w:val="auto"/>
        </w:rPr>
        <w:tab/>
      </w:r>
      <w:r>
        <w:rPr>
          <w:color w:val="auto"/>
        </w:rPr>
        <w:fldChar w:fldCharType="begin"/>
      </w:r>
      <w:r>
        <w:rPr>
          <w:color w:val="auto"/>
        </w:rPr>
        <w:instrText xml:space="preserve"> PAGEREF _Toc23279 \h </w:instrText>
      </w:r>
      <w:r>
        <w:rPr>
          <w:color w:val="auto"/>
        </w:rPr>
        <w:fldChar w:fldCharType="separate"/>
      </w:r>
      <w:r>
        <w:rPr>
          <w:color w:val="auto"/>
        </w:rPr>
        <w:t>291</w:t>
      </w:r>
      <w:r>
        <w:rPr>
          <w:color w:val="auto"/>
        </w:rPr>
        <w:fldChar w:fldCharType="end"/>
      </w:r>
      <w:r>
        <w:rPr>
          <w:rFonts w:hint="default" w:ascii="Times New Roman" w:hAnsi="Times New Roman" w:eastAsia="宋体" w:cs="Times New Roman"/>
          <w:color w:val="auto"/>
          <w:szCs w:val="24"/>
        </w:rPr>
        <w:fldChar w:fldCharType="end"/>
      </w:r>
    </w:p>
    <w:p w14:paraId="368FD4C5">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_Toc3940 </w:instrText>
      </w:r>
      <w:r>
        <w:rPr>
          <w:rFonts w:hint="default" w:ascii="Times New Roman" w:hAnsi="Times New Roman" w:eastAsia="宋体" w:cs="Times New Roman"/>
          <w:color w:val="auto"/>
          <w:szCs w:val="24"/>
        </w:rPr>
        <w:fldChar w:fldCharType="separate"/>
      </w:r>
      <w:r>
        <w:rPr>
          <w:rFonts w:hint="eastAsia"/>
          <w:color w:val="auto"/>
          <w:lang w:val="en-US" w:eastAsia="zh-CN"/>
        </w:rPr>
        <w:t>9.5 环保设施“三同时”验收</w:t>
      </w:r>
      <w:r>
        <w:rPr>
          <w:color w:val="auto"/>
        </w:rPr>
        <w:tab/>
      </w:r>
      <w:r>
        <w:rPr>
          <w:color w:val="auto"/>
        </w:rPr>
        <w:fldChar w:fldCharType="begin"/>
      </w:r>
      <w:r>
        <w:rPr>
          <w:color w:val="auto"/>
        </w:rPr>
        <w:instrText xml:space="preserve"> PAGEREF _Toc3940 \h </w:instrText>
      </w:r>
      <w:r>
        <w:rPr>
          <w:color w:val="auto"/>
        </w:rPr>
        <w:fldChar w:fldCharType="separate"/>
      </w:r>
      <w:r>
        <w:rPr>
          <w:color w:val="auto"/>
        </w:rPr>
        <w:t>292</w:t>
      </w:r>
      <w:r>
        <w:rPr>
          <w:color w:val="auto"/>
        </w:rPr>
        <w:fldChar w:fldCharType="end"/>
      </w:r>
      <w:r>
        <w:rPr>
          <w:rFonts w:hint="default" w:ascii="Times New Roman" w:hAnsi="Times New Roman" w:eastAsia="宋体" w:cs="Times New Roman"/>
          <w:color w:val="auto"/>
          <w:szCs w:val="24"/>
        </w:rPr>
        <w:fldChar w:fldCharType="end"/>
      </w:r>
    </w:p>
    <w:p w14:paraId="4DF42912">
      <w:pPr>
        <w:pStyle w:val="25"/>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_Toc3080 </w:instrText>
      </w:r>
      <w:r>
        <w:rPr>
          <w:rFonts w:hint="default" w:ascii="Times New Roman" w:hAnsi="Times New Roman" w:eastAsia="宋体" w:cs="Times New Roman"/>
          <w:color w:val="auto"/>
          <w:szCs w:val="24"/>
        </w:rPr>
        <w:fldChar w:fldCharType="separate"/>
      </w:r>
      <w:r>
        <w:rPr>
          <w:rFonts w:hint="eastAsia"/>
          <w:color w:val="auto"/>
          <w:lang w:val="en-US" w:eastAsia="zh-CN"/>
        </w:rPr>
        <w:t>10 结论</w:t>
      </w:r>
      <w:r>
        <w:rPr>
          <w:color w:val="auto"/>
        </w:rPr>
        <w:tab/>
      </w:r>
      <w:r>
        <w:rPr>
          <w:color w:val="auto"/>
        </w:rPr>
        <w:fldChar w:fldCharType="begin"/>
      </w:r>
      <w:r>
        <w:rPr>
          <w:color w:val="auto"/>
        </w:rPr>
        <w:instrText xml:space="preserve"> PAGEREF _Toc3080 \h </w:instrText>
      </w:r>
      <w:r>
        <w:rPr>
          <w:color w:val="auto"/>
        </w:rPr>
        <w:fldChar w:fldCharType="separate"/>
      </w:r>
      <w:r>
        <w:rPr>
          <w:color w:val="auto"/>
        </w:rPr>
        <w:t>296</w:t>
      </w:r>
      <w:r>
        <w:rPr>
          <w:color w:val="auto"/>
        </w:rPr>
        <w:fldChar w:fldCharType="end"/>
      </w:r>
      <w:r>
        <w:rPr>
          <w:rFonts w:hint="default" w:ascii="Times New Roman" w:hAnsi="Times New Roman" w:eastAsia="宋体" w:cs="Times New Roman"/>
          <w:color w:val="auto"/>
          <w:szCs w:val="24"/>
        </w:rPr>
        <w:fldChar w:fldCharType="end"/>
      </w:r>
    </w:p>
    <w:p w14:paraId="37B2C7E4">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_Toc17214 </w:instrText>
      </w:r>
      <w:r>
        <w:rPr>
          <w:rFonts w:hint="default" w:ascii="Times New Roman" w:hAnsi="Times New Roman" w:eastAsia="宋体" w:cs="Times New Roman"/>
          <w:color w:val="auto"/>
          <w:szCs w:val="24"/>
        </w:rPr>
        <w:fldChar w:fldCharType="separate"/>
      </w:r>
      <w:r>
        <w:rPr>
          <w:rFonts w:hint="eastAsia"/>
          <w:color w:val="auto"/>
          <w:lang w:val="en-US" w:eastAsia="zh-CN"/>
        </w:rPr>
        <w:t>10</w:t>
      </w:r>
      <w:r>
        <w:rPr>
          <w:color w:val="auto"/>
          <w:lang w:val="en-US" w:eastAsia="zh-CN"/>
        </w:rPr>
        <w:t>.1</w:t>
      </w:r>
      <w:r>
        <w:rPr>
          <w:rFonts w:hint="eastAsia"/>
          <w:color w:val="auto"/>
          <w:lang w:val="en-US" w:eastAsia="zh-CN"/>
        </w:rPr>
        <w:t xml:space="preserve"> 建设项目情况</w:t>
      </w:r>
      <w:r>
        <w:rPr>
          <w:color w:val="auto"/>
        </w:rPr>
        <w:tab/>
      </w:r>
      <w:r>
        <w:rPr>
          <w:color w:val="auto"/>
        </w:rPr>
        <w:fldChar w:fldCharType="begin"/>
      </w:r>
      <w:r>
        <w:rPr>
          <w:color w:val="auto"/>
        </w:rPr>
        <w:instrText xml:space="preserve"> PAGEREF _Toc17214 \h </w:instrText>
      </w:r>
      <w:r>
        <w:rPr>
          <w:color w:val="auto"/>
        </w:rPr>
        <w:fldChar w:fldCharType="separate"/>
      </w:r>
      <w:r>
        <w:rPr>
          <w:color w:val="auto"/>
        </w:rPr>
        <w:t>296</w:t>
      </w:r>
      <w:r>
        <w:rPr>
          <w:color w:val="auto"/>
        </w:rPr>
        <w:fldChar w:fldCharType="end"/>
      </w:r>
      <w:r>
        <w:rPr>
          <w:rFonts w:hint="default" w:ascii="Times New Roman" w:hAnsi="Times New Roman" w:eastAsia="宋体" w:cs="Times New Roman"/>
          <w:color w:val="auto"/>
          <w:szCs w:val="24"/>
        </w:rPr>
        <w:fldChar w:fldCharType="end"/>
      </w:r>
    </w:p>
    <w:p w14:paraId="71D0EBE7">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_Toc25770 </w:instrText>
      </w:r>
      <w:r>
        <w:rPr>
          <w:rFonts w:hint="default" w:ascii="Times New Roman" w:hAnsi="Times New Roman" w:eastAsia="宋体" w:cs="Times New Roman"/>
          <w:color w:val="auto"/>
          <w:szCs w:val="24"/>
        </w:rPr>
        <w:fldChar w:fldCharType="separate"/>
      </w:r>
      <w:r>
        <w:rPr>
          <w:rFonts w:hint="eastAsia"/>
          <w:color w:val="auto"/>
          <w:lang w:val="en-US" w:eastAsia="zh-CN"/>
        </w:rPr>
        <w:t>10</w:t>
      </w:r>
      <w:r>
        <w:rPr>
          <w:color w:val="auto"/>
          <w:lang w:val="en-US" w:eastAsia="zh-CN"/>
        </w:rPr>
        <w:t>.2</w:t>
      </w:r>
      <w:r>
        <w:rPr>
          <w:rFonts w:hint="eastAsia"/>
          <w:color w:val="auto"/>
          <w:lang w:val="en-US" w:eastAsia="zh-CN"/>
        </w:rPr>
        <w:t xml:space="preserve"> 产业政策、选址符合性</w:t>
      </w:r>
      <w:r>
        <w:rPr>
          <w:color w:val="auto"/>
        </w:rPr>
        <w:tab/>
      </w:r>
      <w:r>
        <w:rPr>
          <w:color w:val="auto"/>
        </w:rPr>
        <w:fldChar w:fldCharType="begin"/>
      </w:r>
      <w:r>
        <w:rPr>
          <w:color w:val="auto"/>
        </w:rPr>
        <w:instrText xml:space="preserve"> PAGEREF _Toc25770 \h </w:instrText>
      </w:r>
      <w:r>
        <w:rPr>
          <w:color w:val="auto"/>
        </w:rPr>
        <w:fldChar w:fldCharType="separate"/>
      </w:r>
      <w:r>
        <w:rPr>
          <w:color w:val="auto"/>
        </w:rPr>
        <w:t>296</w:t>
      </w:r>
      <w:r>
        <w:rPr>
          <w:color w:val="auto"/>
        </w:rPr>
        <w:fldChar w:fldCharType="end"/>
      </w:r>
      <w:r>
        <w:rPr>
          <w:rFonts w:hint="default" w:ascii="Times New Roman" w:hAnsi="Times New Roman" w:eastAsia="宋体" w:cs="Times New Roman"/>
          <w:color w:val="auto"/>
          <w:szCs w:val="24"/>
        </w:rPr>
        <w:fldChar w:fldCharType="end"/>
      </w:r>
    </w:p>
    <w:p w14:paraId="42D19B59">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_Toc32749 </w:instrText>
      </w:r>
      <w:r>
        <w:rPr>
          <w:rFonts w:hint="default" w:ascii="Times New Roman" w:hAnsi="Times New Roman" w:eastAsia="宋体" w:cs="Times New Roman"/>
          <w:color w:val="auto"/>
          <w:szCs w:val="24"/>
        </w:rPr>
        <w:fldChar w:fldCharType="separate"/>
      </w:r>
      <w:r>
        <w:rPr>
          <w:rFonts w:hint="eastAsia"/>
          <w:color w:val="auto"/>
          <w:lang w:val="en-US" w:eastAsia="zh-CN"/>
        </w:rPr>
        <w:t>10</w:t>
      </w:r>
      <w:r>
        <w:rPr>
          <w:color w:val="auto"/>
          <w:lang w:val="en-US" w:eastAsia="zh-CN"/>
        </w:rPr>
        <w:t>.3</w:t>
      </w:r>
      <w:r>
        <w:rPr>
          <w:rFonts w:hint="eastAsia"/>
          <w:color w:val="auto"/>
          <w:lang w:val="en-US" w:eastAsia="zh-CN"/>
        </w:rPr>
        <w:t xml:space="preserve"> </w:t>
      </w:r>
      <w:r>
        <w:rPr>
          <w:color w:val="auto"/>
          <w:lang w:val="en-US" w:eastAsia="zh-CN"/>
        </w:rPr>
        <w:t>环境质量现状</w:t>
      </w:r>
      <w:r>
        <w:rPr>
          <w:color w:val="auto"/>
        </w:rPr>
        <w:tab/>
      </w:r>
      <w:r>
        <w:rPr>
          <w:color w:val="auto"/>
        </w:rPr>
        <w:fldChar w:fldCharType="begin"/>
      </w:r>
      <w:r>
        <w:rPr>
          <w:color w:val="auto"/>
        </w:rPr>
        <w:instrText xml:space="preserve"> PAGEREF _Toc32749 \h </w:instrText>
      </w:r>
      <w:r>
        <w:rPr>
          <w:color w:val="auto"/>
        </w:rPr>
        <w:fldChar w:fldCharType="separate"/>
      </w:r>
      <w:r>
        <w:rPr>
          <w:color w:val="auto"/>
        </w:rPr>
        <w:t>298</w:t>
      </w:r>
      <w:r>
        <w:rPr>
          <w:color w:val="auto"/>
        </w:rPr>
        <w:fldChar w:fldCharType="end"/>
      </w:r>
      <w:r>
        <w:rPr>
          <w:rFonts w:hint="default" w:ascii="Times New Roman" w:hAnsi="Times New Roman" w:eastAsia="宋体" w:cs="Times New Roman"/>
          <w:color w:val="auto"/>
          <w:szCs w:val="24"/>
        </w:rPr>
        <w:fldChar w:fldCharType="end"/>
      </w:r>
    </w:p>
    <w:p w14:paraId="6E633203">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_Toc29054 </w:instrText>
      </w:r>
      <w:r>
        <w:rPr>
          <w:rFonts w:hint="default" w:ascii="Times New Roman" w:hAnsi="Times New Roman" w:eastAsia="宋体" w:cs="Times New Roman"/>
          <w:color w:val="auto"/>
          <w:szCs w:val="24"/>
        </w:rPr>
        <w:fldChar w:fldCharType="separate"/>
      </w:r>
      <w:r>
        <w:rPr>
          <w:rFonts w:hint="eastAsia"/>
          <w:color w:val="auto"/>
          <w:lang w:val="en-US" w:eastAsia="zh-CN"/>
        </w:rPr>
        <w:t>10</w:t>
      </w:r>
      <w:r>
        <w:rPr>
          <w:color w:val="auto"/>
          <w:lang w:val="en-US" w:eastAsia="zh-CN"/>
        </w:rPr>
        <w:t>.4</w:t>
      </w:r>
      <w:r>
        <w:rPr>
          <w:rFonts w:hint="eastAsia"/>
          <w:color w:val="auto"/>
          <w:lang w:val="en-US" w:eastAsia="zh-CN"/>
        </w:rPr>
        <w:t xml:space="preserve"> </w:t>
      </w:r>
      <w:r>
        <w:rPr>
          <w:color w:val="auto"/>
          <w:lang w:val="en-US" w:eastAsia="zh-CN"/>
        </w:rPr>
        <w:t>污染物排放情况</w:t>
      </w:r>
      <w:r>
        <w:rPr>
          <w:color w:val="auto"/>
        </w:rPr>
        <w:tab/>
      </w:r>
      <w:r>
        <w:rPr>
          <w:color w:val="auto"/>
        </w:rPr>
        <w:fldChar w:fldCharType="begin"/>
      </w:r>
      <w:r>
        <w:rPr>
          <w:color w:val="auto"/>
        </w:rPr>
        <w:instrText xml:space="preserve"> PAGEREF _Toc29054 \h </w:instrText>
      </w:r>
      <w:r>
        <w:rPr>
          <w:color w:val="auto"/>
        </w:rPr>
        <w:fldChar w:fldCharType="separate"/>
      </w:r>
      <w:r>
        <w:rPr>
          <w:color w:val="auto"/>
        </w:rPr>
        <w:t>300</w:t>
      </w:r>
      <w:r>
        <w:rPr>
          <w:color w:val="auto"/>
        </w:rPr>
        <w:fldChar w:fldCharType="end"/>
      </w:r>
      <w:r>
        <w:rPr>
          <w:rFonts w:hint="default" w:ascii="Times New Roman" w:hAnsi="Times New Roman" w:eastAsia="宋体" w:cs="Times New Roman"/>
          <w:color w:val="auto"/>
          <w:szCs w:val="24"/>
        </w:rPr>
        <w:fldChar w:fldCharType="end"/>
      </w:r>
    </w:p>
    <w:p w14:paraId="1805E02D">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_Toc19696 </w:instrText>
      </w:r>
      <w:r>
        <w:rPr>
          <w:rFonts w:hint="default" w:ascii="Times New Roman" w:hAnsi="Times New Roman" w:eastAsia="宋体" w:cs="Times New Roman"/>
          <w:color w:val="auto"/>
          <w:szCs w:val="24"/>
        </w:rPr>
        <w:fldChar w:fldCharType="separate"/>
      </w:r>
      <w:r>
        <w:rPr>
          <w:rFonts w:hint="eastAsia"/>
          <w:color w:val="auto"/>
          <w:lang w:val="en-US" w:eastAsia="zh-CN"/>
        </w:rPr>
        <w:t>10</w:t>
      </w:r>
      <w:r>
        <w:rPr>
          <w:color w:val="auto"/>
          <w:lang w:val="en-US" w:eastAsia="zh-CN"/>
        </w:rPr>
        <w:t>.5</w:t>
      </w:r>
      <w:r>
        <w:rPr>
          <w:rFonts w:hint="eastAsia"/>
          <w:color w:val="auto"/>
          <w:lang w:val="en-US" w:eastAsia="zh-CN"/>
        </w:rPr>
        <w:t xml:space="preserve"> 主要环境影响</w:t>
      </w:r>
      <w:r>
        <w:rPr>
          <w:color w:val="auto"/>
        </w:rPr>
        <w:tab/>
      </w:r>
      <w:r>
        <w:rPr>
          <w:color w:val="auto"/>
        </w:rPr>
        <w:fldChar w:fldCharType="begin"/>
      </w:r>
      <w:r>
        <w:rPr>
          <w:color w:val="auto"/>
        </w:rPr>
        <w:instrText xml:space="preserve"> PAGEREF _Toc19696 \h </w:instrText>
      </w:r>
      <w:r>
        <w:rPr>
          <w:color w:val="auto"/>
        </w:rPr>
        <w:fldChar w:fldCharType="separate"/>
      </w:r>
      <w:r>
        <w:rPr>
          <w:color w:val="auto"/>
        </w:rPr>
        <w:t>301</w:t>
      </w:r>
      <w:r>
        <w:rPr>
          <w:color w:val="auto"/>
        </w:rPr>
        <w:fldChar w:fldCharType="end"/>
      </w:r>
      <w:r>
        <w:rPr>
          <w:rFonts w:hint="default" w:ascii="Times New Roman" w:hAnsi="Times New Roman" w:eastAsia="宋体" w:cs="Times New Roman"/>
          <w:color w:val="auto"/>
          <w:szCs w:val="24"/>
        </w:rPr>
        <w:fldChar w:fldCharType="end"/>
      </w:r>
    </w:p>
    <w:p w14:paraId="7DF7FDB5">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_Toc31641 </w:instrText>
      </w:r>
      <w:r>
        <w:rPr>
          <w:rFonts w:hint="default" w:ascii="Times New Roman" w:hAnsi="Times New Roman" w:eastAsia="宋体" w:cs="Times New Roman"/>
          <w:color w:val="auto"/>
          <w:szCs w:val="24"/>
        </w:rPr>
        <w:fldChar w:fldCharType="separate"/>
      </w:r>
      <w:r>
        <w:rPr>
          <w:rFonts w:hint="eastAsia"/>
          <w:color w:val="auto"/>
          <w:lang w:val="en-US" w:eastAsia="zh-CN"/>
        </w:rPr>
        <w:t>10</w:t>
      </w:r>
      <w:r>
        <w:rPr>
          <w:color w:val="auto"/>
          <w:lang w:val="en-US" w:eastAsia="zh-CN"/>
        </w:rPr>
        <w:t>.6</w:t>
      </w:r>
      <w:r>
        <w:rPr>
          <w:rFonts w:hint="eastAsia"/>
          <w:color w:val="auto"/>
          <w:lang w:val="en-US" w:eastAsia="zh-CN"/>
        </w:rPr>
        <w:t xml:space="preserve"> </w:t>
      </w:r>
      <w:r>
        <w:rPr>
          <w:color w:val="auto"/>
          <w:lang w:val="en-US" w:eastAsia="zh-CN"/>
        </w:rPr>
        <w:t>环境保护措施</w:t>
      </w:r>
      <w:r>
        <w:rPr>
          <w:color w:val="auto"/>
        </w:rPr>
        <w:tab/>
      </w:r>
      <w:r>
        <w:rPr>
          <w:color w:val="auto"/>
        </w:rPr>
        <w:fldChar w:fldCharType="begin"/>
      </w:r>
      <w:r>
        <w:rPr>
          <w:color w:val="auto"/>
        </w:rPr>
        <w:instrText xml:space="preserve"> PAGEREF _Toc31641 \h </w:instrText>
      </w:r>
      <w:r>
        <w:rPr>
          <w:color w:val="auto"/>
        </w:rPr>
        <w:fldChar w:fldCharType="separate"/>
      </w:r>
      <w:r>
        <w:rPr>
          <w:color w:val="auto"/>
        </w:rPr>
        <w:t>304</w:t>
      </w:r>
      <w:r>
        <w:rPr>
          <w:color w:val="auto"/>
        </w:rPr>
        <w:fldChar w:fldCharType="end"/>
      </w:r>
      <w:r>
        <w:rPr>
          <w:rFonts w:hint="default" w:ascii="Times New Roman" w:hAnsi="Times New Roman" w:eastAsia="宋体" w:cs="Times New Roman"/>
          <w:color w:val="auto"/>
          <w:szCs w:val="24"/>
        </w:rPr>
        <w:fldChar w:fldCharType="end"/>
      </w:r>
    </w:p>
    <w:p w14:paraId="4D357105">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_Toc30800 </w:instrText>
      </w:r>
      <w:r>
        <w:rPr>
          <w:rFonts w:hint="default" w:ascii="Times New Roman" w:hAnsi="Times New Roman" w:eastAsia="宋体" w:cs="Times New Roman"/>
          <w:color w:val="auto"/>
          <w:szCs w:val="24"/>
        </w:rPr>
        <w:fldChar w:fldCharType="separate"/>
      </w:r>
      <w:r>
        <w:rPr>
          <w:rFonts w:hint="eastAsia"/>
          <w:color w:val="auto"/>
          <w:lang w:val="en-US" w:eastAsia="zh-CN"/>
        </w:rPr>
        <w:t>10</w:t>
      </w:r>
      <w:r>
        <w:rPr>
          <w:color w:val="auto"/>
          <w:lang w:val="en-US" w:eastAsia="zh-CN"/>
        </w:rPr>
        <w:t>.7</w:t>
      </w:r>
      <w:r>
        <w:rPr>
          <w:rFonts w:hint="eastAsia"/>
          <w:color w:val="auto"/>
          <w:lang w:val="en-US" w:eastAsia="zh-CN"/>
        </w:rPr>
        <w:t xml:space="preserve"> </w:t>
      </w:r>
      <w:r>
        <w:rPr>
          <w:color w:val="auto"/>
          <w:lang w:val="en-US" w:eastAsia="zh-CN"/>
        </w:rPr>
        <w:t>公众意见采纳情况</w:t>
      </w:r>
      <w:r>
        <w:rPr>
          <w:color w:val="auto"/>
        </w:rPr>
        <w:tab/>
      </w:r>
      <w:r>
        <w:rPr>
          <w:color w:val="auto"/>
        </w:rPr>
        <w:fldChar w:fldCharType="begin"/>
      </w:r>
      <w:r>
        <w:rPr>
          <w:color w:val="auto"/>
        </w:rPr>
        <w:instrText xml:space="preserve"> PAGEREF _Toc30800 \h </w:instrText>
      </w:r>
      <w:r>
        <w:rPr>
          <w:color w:val="auto"/>
        </w:rPr>
        <w:fldChar w:fldCharType="separate"/>
      </w:r>
      <w:r>
        <w:rPr>
          <w:color w:val="auto"/>
        </w:rPr>
        <w:t>305</w:t>
      </w:r>
      <w:r>
        <w:rPr>
          <w:color w:val="auto"/>
        </w:rPr>
        <w:fldChar w:fldCharType="end"/>
      </w:r>
      <w:r>
        <w:rPr>
          <w:rFonts w:hint="default" w:ascii="Times New Roman" w:hAnsi="Times New Roman" w:eastAsia="宋体" w:cs="Times New Roman"/>
          <w:color w:val="auto"/>
          <w:szCs w:val="24"/>
        </w:rPr>
        <w:fldChar w:fldCharType="end"/>
      </w:r>
    </w:p>
    <w:p w14:paraId="3A21D362">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_Toc17668 </w:instrText>
      </w:r>
      <w:r>
        <w:rPr>
          <w:rFonts w:hint="default" w:ascii="Times New Roman" w:hAnsi="Times New Roman" w:eastAsia="宋体" w:cs="Times New Roman"/>
          <w:color w:val="auto"/>
          <w:szCs w:val="24"/>
        </w:rPr>
        <w:fldChar w:fldCharType="separate"/>
      </w:r>
      <w:r>
        <w:rPr>
          <w:rFonts w:hint="eastAsia"/>
          <w:color w:val="auto"/>
          <w:lang w:val="en-US" w:eastAsia="zh-CN"/>
        </w:rPr>
        <w:t>10</w:t>
      </w:r>
      <w:r>
        <w:rPr>
          <w:color w:val="auto"/>
          <w:lang w:val="en-US" w:eastAsia="zh-CN"/>
        </w:rPr>
        <w:t>.8</w:t>
      </w:r>
      <w:r>
        <w:rPr>
          <w:rFonts w:hint="eastAsia"/>
          <w:color w:val="auto"/>
          <w:lang w:val="en-US" w:eastAsia="zh-CN"/>
        </w:rPr>
        <w:t xml:space="preserve"> </w:t>
      </w:r>
      <w:r>
        <w:rPr>
          <w:color w:val="auto"/>
          <w:lang w:val="en-US" w:eastAsia="zh-CN"/>
        </w:rPr>
        <w:t>环境影响经济损益分析</w:t>
      </w:r>
      <w:r>
        <w:rPr>
          <w:color w:val="auto"/>
        </w:rPr>
        <w:tab/>
      </w:r>
      <w:r>
        <w:rPr>
          <w:color w:val="auto"/>
        </w:rPr>
        <w:fldChar w:fldCharType="begin"/>
      </w:r>
      <w:r>
        <w:rPr>
          <w:color w:val="auto"/>
        </w:rPr>
        <w:instrText xml:space="preserve"> PAGEREF _Toc17668 \h </w:instrText>
      </w:r>
      <w:r>
        <w:rPr>
          <w:color w:val="auto"/>
        </w:rPr>
        <w:fldChar w:fldCharType="separate"/>
      </w:r>
      <w:r>
        <w:rPr>
          <w:color w:val="auto"/>
        </w:rPr>
        <w:t>305</w:t>
      </w:r>
      <w:r>
        <w:rPr>
          <w:color w:val="auto"/>
        </w:rPr>
        <w:fldChar w:fldCharType="end"/>
      </w:r>
      <w:r>
        <w:rPr>
          <w:rFonts w:hint="default" w:ascii="Times New Roman" w:hAnsi="Times New Roman" w:eastAsia="宋体" w:cs="Times New Roman"/>
          <w:color w:val="auto"/>
          <w:szCs w:val="24"/>
        </w:rPr>
        <w:fldChar w:fldCharType="end"/>
      </w:r>
    </w:p>
    <w:p w14:paraId="6653747C">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_Toc16271 </w:instrText>
      </w:r>
      <w:r>
        <w:rPr>
          <w:rFonts w:hint="default" w:ascii="Times New Roman" w:hAnsi="Times New Roman" w:eastAsia="宋体" w:cs="Times New Roman"/>
          <w:color w:val="auto"/>
          <w:szCs w:val="24"/>
        </w:rPr>
        <w:fldChar w:fldCharType="separate"/>
      </w:r>
      <w:r>
        <w:rPr>
          <w:rFonts w:hint="eastAsia"/>
          <w:color w:val="auto"/>
          <w:lang w:val="en-US" w:eastAsia="zh-CN"/>
        </w:rPr>
        <w:t>10</w:t>
      </w:r>
      <w:r>
        <w:rPr>
          <w:color w:val="auto"/>
          <w:lang w:val="en-US" w:eastAsia="zh-CN"/>
        </w:rPr>
        <w:t>.9</w:t>
      </w:r>
      <w:r>
        <w:rPr>
          <w:rFonts w:hint="eastAsia"/>
          <w:color w:val="auto"/>
          <w:lang w:val="en-US" w:eastAsia="zh-CN"/>
        </w:rPr>
        <w:t xml:space="preserve"> </w:t>
      </w:r>
      <w:r>
        <w:rPr>
          <w:color w:val="auto"/>
          <w:lang w:val="en-US" w:eastAsia="zh-CN"/>
        </w:rPr>
        <w:t>环境管理与监测计划</w:t>
      </w:r>
      <w:r>
        <w:rPr>
          <w:color w:val="auto"/>
        </w:rPr>
        <w:tab/>
      </w:r>
      <w:r>
        <w:rPr>
          <w:color w:val="auto"/>
        </w:rPr>
        <w:fldChar w:fldCharType="begin"/>
      </w:r>
      <w:r>
        <w:rPr>
          <w:color w:val="auto"/>
        </w:rPr>
        <w:instrText xml:space="preserve"> PAGEREF _Toc16271 \h </w:instrText>
      </w:r>
      <w:r>
        <w:rPr>
          <w:color w:val="auto"/>
        </w:rPr>
        <w:fldChar w:fldCharType="separate"/>
      </w:r>
      <w:r>
        <w:rPr>
          <w:color w:val="auto"/>
        </w:rPr>
        <w:t>306</w:t>
      </w:r>
      <w:r>
        <w:rPr>
          <w:color w:val="auto"/>
        </w:rPr>
        <w:fldChar w:fldCharType="end"/>
      </w:r>
      <w:r>
        <w:rPr>
          <w:rFonts w:hint="default" w:ascii="Times New Roman" w:hAnsi="Times New Roman" w:eastAsia="宋体" w:cs="Times New Roman"/>
          <w:color w:val="auto"/>
          <w:szCs w:val="24"/>
        </w:rPr>
        <w:fldChar w:fldCharType="end"/>
      </w:r>
    </w:p>
    <w:p w14:paraId="08471D8E">
      <w:pPr>
        <w:pStyle w:val="31"/>
        <w:tabs>
          <w:tab w:val="right" w:leader="dot" w:pos="8618"/>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_Toc29291 </w:instrText>
      </w:r>
      <w:r>
        <w:rPr>
          <w:rFonts w:hint="default" w:ascii="Times New Roman" w:hAnsi="Times New Roman" w:eastAsia="宋体" w:cs="Times New Roman"/>
          <w:color w:val="auto"/>
          <w:szCs w:val="24"/>
        </w:rPr>
        <w:fldChar w:fldCharType="separate"/>
      </w:r>
      <w:r>
        <w:rPr>
          <w:rFonts w:hint="eastAsia"/>
          <w:color w:val="auto"/>
          <w:lang w:val="en-US" w:eastAsia="zh-CN"/>
        </w:rPr>
        <w:t>10</w:t>
      </w:r>
      <w:r>
        <w:rPr>
          <w:color w:val="auto"/>
          <w:lang w:val="en-US" w:eastAsia="zh-CN"/>
        </w:rPr>
        <w:t>.10</w:t>
      </w:r>
      <w:r>
        <w:rPr>
          <w:rFonts w:hint="eastAsia"/>
          <w:color w:val="auto"/>
          <w:lang w:val="en-US" w:eastAsia="zh-CN"/>
        </w:rPr>
        <w:t xml:space="preserve"> 项目可行性结论</w:t>
      </w:r>
      <w:r>
        <w:rPr>
          <w:color w:val="auto"/>
        </w:rPr>
        <w:tab/>
      </w:r>
      <w:r>
        <w:rPr>
          <w:color w:val="auto"/>
        </w:rPr>
        <w:fldChar w:fldCharType="begin"/>
      </w:r>
      <w:r>
        <w:rPr>
          <w:color w:val="auto"/>
        </w:rPr>
        <w:instrText xml:space="preserve"> PAGEREF _Toc29291 \h </w:instrText>
      </w:r>
      <w:r>
        <w:rPr>
          <w:color w:val="auto"/>
        </w:rPr>
        <w:fldChar w:fldCharType="separate"/>
      </w:r>
      <w:r>
        <w:rPr>
          <w:color w:val="auto"/>
        </w:rPr>
        <w:t>306</w:t>
      </w:r>
      <w:r>
        <w:rPr>
          <w:color w:val="auto"/>
        </w:rPr>
        <w:fldChar w:fldCharType="end"/>
      </w:r>
      <w:r>
        <w:rPr>
          <w:rFonts w:hint="default" w:ascii="Times New Roman" w:hAnsi="Times New Roman" w:eastAsia="宋体" w:cs="Times New Roman"/>
          <w:color w:val="auto"/>
          <w:szCs w:val="24"/>
        </w:rPr>
        <w:fldChar w:fldCharType="end"/>
      </w:r>
    </w:p>
    <w:p w14:paraId="170EE8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Cs w:val="24"/>
        </w:rPr>
      </w:pPr>
      <w:r>
        <w:rPr>
          <w:rFonts w:hint="default" w:ascii="Times New Roman" w:hAnsi="Times New Roman" w:eastAsia="宋体" w:cs="Times New Roman"/>
          <w:color w:val="auto"/>
          <w:szCs w:val="24"/>
        </w:rPr>
        <w:fldChar w:fldCharType="end"/>
      </w:r>
      <w:bookmarkEnd w:id="0"/>
      <w:bookmarkStart w:id="4" w:name="_Toc16734"/>
      <w:bookmarkStart w:id="5" w:name="_Toc749"/>
      <w:bookmarkStart w:id="6" w:name="_Toc25084"/>
      <w:bookmarkStart w:id="7" w:name="_Toc17746"/>
      <w:bookmarkStart w:id="8" w:name="_Toc9141"/>
      <w:bookmarkStart w:id="9" w:name="_Toc29953"/>
      <w:bookmarkStart w:id="10" w:name="_Toc2572"/>
    </w:p>
    <w:p w14:paraId="6DC9832D">
      <w:pPr>
        <w:pStyle w:val="26"/>
        <w:rPr>
          <w:rFonts w:hint="eastAsia" w:ascii="宋体" w:hAnsi="宋体" w:eastAsia="宋体" w:cs="宋体"/>
          <w:color w:val="auto"/>
          <w:szCs w:val="24"/>
        </w:rPr>
      </w:pPr>
    </w:p>
    <w:p w14:paraId="04E2CC79">
      <w:pPr>
        <w:pStyle w:val="27"/>
        <w:rPr>
          <w:rFonts w:hint="eastAsia"/>
          <w:color w:val="auto"/>
        </w:rPr>
      </w:pPr>
    </w:p>
    <w:p w14:paraId="2080C80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sz w:val="24"/>
          <w:szCs w:val="24"/>
        </w:rPr>
      </w:pPr>
    </w:p>
    <w:p w14:paraId="534E713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sz w:val="24"/>
          <w:szCs w:val="24"/>
        </w:rPr>
      </w:pPr>
    </w:p>
    <w:p w14:paraId="1ED5771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sz w:val="24"/>
          <w:szCs w:val="24"/>
        </w:rPr>
      </w:pPr>
    </w:p>
    <w:p w14:paraId="42093D3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sz w:val="24"/>
          <w:szCs w:val="24"/>
        </w:rPr>
      </w:pPr>
    </w:p>
    <w:p w14:paraId="3074436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sz w:val="24"/>
          <w:szCs w:val="24"/>
        </w:rPr>
      </w:pPr>
    </w:p>
    <w:p w14:paraId="5523D99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sz w:val="24"/>
          <w:szCs w:val="24"/>
        </w:rPr>
      </w:pPr>
    </w:p>
    <w:p w14:paraId="6146DFB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sz w:val="24"/>
          <w:szCs w:val="24"/>
        </w:rPr>
      </w:pPr>
    </w:p>
    <w:p w14:paraId="78C2E3F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sz w:val="24"/>
          <w:szCs w:val="24"/>
        </w:rPr>
      </w:pPr>
    </w:p>
    <w:p w14:paraId="75A5710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val="0"/>
          <w:color w:val="auto"/>
          <w:sz w:val="21"/>
          <w:szCs w:val="24"/>
          <w:lang w:eastAsia="zh-CN"/>
        </w:rPr>
      </w:pPr>
      <w:r>
        <w:rPr>
          <w:rFonts w:hint="default" w:ascii="Times New Roman" w:hAnsi="Times New Roman" w:cs="Times New Roman"/>
          <w:b/>
          <w:bCs/>
          <w:color w:val="auto"/>
          <w:sz w:val="24"/>
          <w:szCs w:val="24"/>
        </w:rPr>
        <w:t>附件</w:t>
      </w:r>
      <w:bookmarkEnd w:id="4"/>
      <w:bookmarkEnd w:id="5"/>
      <w:bookmarkEnd w:id="6"/>
      <w:bookmarkEnd w:id="7"/>
      <w:bookmarkEnd w:id="8"/>
      <w:bookmarkEnd w:id="9"/>
      <w:bookmarkEnd w:id="10"/>
      <w:r>
        <w:rPr>
          <w:rFonts w:hint="eastAsia" w:ascii="Times New Roman" w:hAnsi="Times New Roman" w:cs="Times New Roman"/>
          <w:b/>
          <w:bCs/>
          <w:color w:val="auto"/>
          <w:sz w:val="24"/>
          <w:szCs w:val="24"/>
          <w:lang w:eastAsia="zh-CN"/>
        </w:rPr>
        <w:t>：</w:t>
      </w:r>
    </w:p>
    <w:p w14:paraId="5040721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附件1 环评委托书；</w:t>
      </w:r>
    </w:p>
    <w:p w14:paraId="4BE17C4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附件2 关于震探1井钻井工程（勘探井）环境影响报告表的批复（阿地环审〔2021〕182号）；</w:t>
      </w:r>
    </w:p>
    <w:p w14:paraId="16812D0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附件3 关于雄英101井钻井工程（勘探井）环境影响报告表的批复（阿地环审〔2024〕29号）；</w:t>
      </w:r>
    </w:p>
    <w:p w14:paraId="7E28D694">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pacing w:val="-6"/>
          <w:sz w:val="24"/>
          <w:szCs w:val="24"/>
          <w:highlight w:val="none"/>
          <w:lang w:val="en-US" w:eastAsia="zh-CN"/>
        </w:rPr>
        <w:t xml:space="preserve">附件4 </w:t>
      </w:r>
      <w:r>
        <w:rPr>
          <w:rFonts w:hint="default" w:ascii="Times New Roman" w:hAnsi="Times New Roman" w:eastAsia="宋体" w:cs="Times New Roman"/>
          <w:color w:val="auto"/>
          <w:sz w:val="24"/>
          <w:szCs w:val="24"/>
          <w:highlight w:val="none"/>
          <w:lang w:val="en-US" w:eastAsia="zh-CN"/>
        </w:rPr>
        <w:t>关于雄英102井钻井工程（勘探井）环境影响报告表的批复（阿地环审〔2024〕201号）；</w:t>
      </w:r>
    </w:p>
    <w:p w14:paraId="78316A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附件5 关于雄英103井钻井工程（勘探井）环境影响报告表的批复（阿地环审〔2024〕202号）；</w:t>
      </w:r>
    </w:p>
    <w:p w14:paraId="6E3A422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附件6 关于雄英</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井钻井工程（勘探井）环境影响报告表的批复（阿地环审〔20</w:t>
      </w:r>
      <w:r>
        <w:rPr>
          <w:rFonts w:hint="eastAsia"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691</w:t>
      </w:r>
      <w:r>
        <w:rPr>
          <w:rFonts w:hint="default" w:ascii="Times New Roman" w:hAnsi="Times New Roman" w:eastAsia="宋体" w:cs="Times New Roman"/>
          <w:color w:val="auto"/>
          <w:sz w:val="24"/>
          <w:szCs w:val="24"/>
          <w:highlight w:val="none"/>
          <w:lang w:val="en-US" w:eastAsia="zh-CN"/>
        </w:rPr>
        <w:t>号）；</w:t>
      </w:r>
    </w:p>
    <w:p w14:paraId="2F2487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w:t>
      </w:r>
      <w:r>
        <w:rPr>
          <w:rFonts w:hint="eastAsia" w:cs="Times New Roman"/>
          <w:color w:val="auto"/>
          <w:sz w:val="24"/>
          <w:szCs w:val="24"/>
          <w:highlight w:val="none"/>
          <w:lang w:val="en-US" w:eastAsia="zh-CN"/>
        </w:rPr>
        <w:t xml:space="preserve">7 </w:t>
      </w:r>
      <w:r>
        <w:rPr>
          <w:rFonts w:hint="default" w:ascii="Times New Roman" w:hAnsi="Times New Roman" w:eastAsia="宋体" w:cs="Times New Roman"/>
          <w:color w:val="auto"/>
          <w:sz w:val="24"/>
          <w:szCs w:val="24"/>
          <w:highlight w:val="none"/>
          <w:lang w:val="en-US" w:eastAsia="zh-CN"/>
        </w:rPr>
        <w:t>关于雄英3井钻井工程（勘探井）环境影响报告表的批复（阿地环审〔2024〕17号）；</w:t>
      </w:r>
    </w:p>
    <w:p w14:paraId="20AFEA6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w:t>
      </w:r>
      <w:r>
        <w:rPr>
          <w:rFonts w:hint="eastAsia"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 xml:space="preserve"> 关于震探1井更名为雄探1井的通知；</w:t>
      </w:r>
    </w:p>
    <w:p w14:paraId="57F97F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eastAsia="宋体" w:cs="Times New Roman"/>
          <w:color w:val="auto"/>
          <w:sz w:val="24"/>
          <w:szCs w:val="24"/>
          <w:lang w:val="en-US" w:eastAsia="zh-CN"/>
        </w:rPr>
        <w:t>附件</w:t>
      </w:r>
      <w:r>
        <w:rPr>
          <w:rFonts w:hint="eastAsia" w:cs="Times New Roman"/>
          <w:color w:val="auto"/>
          <w:sz w:val="24"/>
          <w:szCs w:val="24"/>
          <w:lang w:val="en-US" w:eastAsia="zh-CN"/>
        </w:rPr>
        <w:t>9</w:t>
      </w:r>
      <w:r>
        <w:rPr>
          <w:rFonts w:hint="default" w:ascii="Times New Roman" w:hAnsi="Times New Roman" w:eastAsia="宋体" w:cs="Times New Roman"/>
          <w:color w:val="auto"/>
          <w:sz w:val="24"/>
          <w:szCs w:val="24"/>
          <w:lang w:val="en-US" w:eastAsia="zh-CN"/>
        </w:rPr>
        <w:t xml:space="preserve"> 关于《英买力气田玉东1区块开发调整方案地面工程环境影响报告书》的批复（新环审〔2021〕90号）；</w:t>
      </w:r>
    </w:p>
    <w:p w14:paraId="0C7E54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附件</w:t>
      </w:r>
      <w:r>
        <w:rPr>
          <w:rFonts w:hint="eastAsia"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 xml:space="preserve"> 关于《玉东1增压站事故流程完善项目环境影响报告表》的批复（阿地环审〔2024〕324号）；</w:t>
      </w:r>
    </w:p>
    <w:p w14:paraId="624301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eastAsia="宋体" w:cs="Times New Roman"/>
          <w:color w:val="auto"/>
          <w:sz w:val="24"/>
          <w:szCs w:val="24"/>
          <w:lang w:val="en-US" w:eastAsia="zh-CN"/>
        </w:rPr>
        <w:t>附件1</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 xml:space="preserve"> 关于《中国石油天然气股份有限公司塔里木油田分公司英买力油气田群建设工程环境影响报告书》的批复（环审</w:t>
      </w:r>
      <w:r>
        <w:rPr>
          <w:rFonts w:hint="eastAsia" w:cs="Times New Roman"/>
          <w:color w:val="auto"/>
          <w:sz w:val="24"/>
          <w:szCs w:val="24"/>
          <w:lang w:val="en-US" w:eastAsia="zh-CN"/>
        </w:rPr>
        <w:t>〔2007〕336号</w:t>
      </w:r>
      <w:r>
        <w:rPr>
          <w:rFonts w:hint="default" w:ascii="Times New Roman" w:hAnsi="Times New Roman" w:eastAsia="宋体" w:cs="Times New Roman"/>
          <w:color w:val="auto"/>
          <w:sz w:val="24"/>
          <w:szCs w:val="24"/>
          <w:lang w:val="en-US" w:eastAsia="zh-CN"/>
        </w:rPr>
        <w:t>）；</w:t>
      </w:r>
    </w:p>
    <w:p w14:paraId="6B2658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eastAsia="宋体" w:cs="Times New Roman"/>
          <w:color w:val="auto"/>
          <w:sz w:val="24"/>
          <w:szCs w:val="24"/>
          <w:lang w:val="en-US" w:eastAsia="zh-CN"/>
        </w:rPr>
        <w:t>附件1</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 xml:space="preserve"> 关于《中国石油天然气股份有限公司塔里木油田分公司英买力油气田群建设工程环境影响报告书》竣工环境保护验收意见</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环验</w:t>
      </w:r>
      <w:r>
        <w:rPr>
          <w:rFonts w:hint="eastAsia" w:cs="Times New Roman"/>
          <w:color w:val="auto"/>
          <w:sz w:val="24"/>
          <w:szCs w:val="24"/>
          <w:lang w:val="en-US" w:eastAsia="zh-CN"/>
        </w:rPr>
        <w:t>〔2010〕23号）</w:t>
      </w:r>
      <w:r>
        <w:rPr>
          <w:rFonts w:hint="default" w:ascii="Times New Roman" w:hAnsi="Times New Roman" w:eastAsia="宋体" w:cs="Times New Roman"/>
          <w:color w:val="auto"/>
          <w:sz w:val="24"/>
          <w:szCs w:val="24"/>
          <w:lang w:val="en-US" w:eastAsia="zh-CN"/>
        </w:rPr>
        <w:t>；</w:t>
      </w:r>
    </w:p>
    <w:p w14:paraId="437007D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附件13 关于《哈拉哈塘哈六区块产能建设项目环境影响报告书》的批复（新环评价函〔2011〕1094号）；</w:t>
      </w:r>
    </w:p>
    <w:p w14:paraId="0F826F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附件14 关于哈拉哈塘哈六区块产能建设项目竣工环境保护验收合格的函（新环函〔2017〕1548号）；</w:t>
      </w:r>
    </w:p>
    <w:p w14:paraId="27581F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eastAsia="宋体" w:cs="Times New Roman"/>
          <w:color w:val="auto"/>
          <w:sz w:val="24"/>
          <w:szCs w:val="24"/>
          <w:lang w:val="en-US" w:eastAsia="zh-CN"/>
        </w:rPr>
        <w:t>附件1</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 xml:space="preserve"> 关于《英买力油田钻试修废弃物环保处理站环境影响报告书》的批复</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rPr>
        <w:t>新环函</w:t>
      </w:r>
      <w:r>
        <w:rPr>
          <w:rFonts w:hint="eastAsia" w:cs="Times New Roman"/>
          <w:color w:val="auto"/>
          <w:sz w:val="24"/>
          <w:szCs w:val="24"/>
          <w:lang w:eastAsia="zh-CN"/>
        </w:rPr>
        <w:t>〔2016〕1626号）</w:t>
      </w:r>
      <w:r>
        <w:rPr>
          <w:rFonts w:hint="default" w:ascii="Times New Roman" w:hAnsi="Times New Roman" w:eastAsia="宋体" w:cs="Times New Roman"/>
          <w:color w:val="auto"/>
          <w:sz w:val="24"/>
          <w:szCs w:val="24"/>
          <w:lang w:val="en-US" w:eastAsia="zh-CN"/>
        </w:rPr>
        <w:t>；</w:t>
      </w:r>
    </w:p>
    <w:p w14:paraId="4478D6C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eastAsia="宋体" w:cs="Times New Roman"/>
          <w:color w:val="auto"/>
          <w:sz w:val="24"/>
          <w:szCs w:val="24"/>
          <w:lang w:val="en-US" w:eastAsia="zh-CN"/>
        </w:rPr>
        <w:t>附件</w:t>
      </w:r>
      <w:r>
        <w:rPr>
          <w:rFonts w:hint="eastAsia" w:ascii="Times New Roman" w:hAnsi="Times New Roman" w:eastAsia="宋体" w:cs="Times New Roman"/>
          <w:color w:val="auto"/>
          <w:sz w:val="24"/>
          <w:szCs w:val="24"/>
          <w:lang w:val="en-US" w:eastAsia="zh-CN"/>
        </w:rPr>
        <w:t>1</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 xml:space="preserve"> 关于英买7固废场批复（</w:t>
      </w:r>
      <w:r>
        <w:rPr>
          <w:rFonts w:hint="default" w:ascii="Times New Roman" w:hAnsi="Times New Roman" w:eastAsia="宋体" w:cs="Times New Roman"/>
          <w:color w:val="auto"/>
          <w:sz w:val="24"/>
          <w:szCs w:val="24"/>
        </w:rPr>
        <w:t>阿地环函字</w:t>
      </w:r>
      <w:r>
        <w:rPr>
          <w:rFonts w:hint="eastAsia" w:cs="Times New Roman"/>
          <w:color w:val="auto"/>
          <w:sz w:val="24"/>
          <w:szCs w:val="24"/>
          <w:lang w:eastAsia="zh-CN"/>
        </w:rPr>
        <w:t>〔2017〕656号</w:t>
      </w:r>
      <w:r>
        <w:rPr>
          <w:rFonts w:hint="default" w:ascii="Times New Roman" w:hAnsi="Times New Roman" w:eastAsia="宋体" w:cs="Times New Roman"/>
          <w:color w:val="auto"/>
          <w:sz w:val="24"/>
          <w:szCs w:val="24"/>
          <w:lang w:val="en-US" w:eastAsia="zh-CN"/>
        </w:rPr>
        <w:t>）；</w:t>
      </w:r>
    </w:p>
    <w:p w14:paraId="7952D1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eastAsia="宋体" w:cs="Times New Roman"/>
          <w:color w:val="auto"/>
          <w:sz w:val="24"/>
          <w:szCs w:val="24"/>
          <w:lang w:val="en-US" w:eastAsia="zh-CN"/>
        </w:rPr>
        <w:t>附件</w:t>
      </w:r>
      <w:r>
        <w:rPr>
          <w:rFonts w:hint="eastAsia" w:ascii="Times New Roman" w:hAnsi="Times New Roman" w:eastAsia="宋体" w:cs="Times New Roman"/>
          <w:color w:val="auto"/>
          <w:sz w:val="24"/>
          <w:szCs w:val="24"/>
          <w:lang w:val="en-US" w:eastAsia="zh-CN"/>
        </w:rPr>
        <w:t>1</w:t>
      </w:r>
      <w:r>
        <w:rPr>
          <w:rFonts w:hint="eastAsia" w:cs="Times New Roman"/>
          <w:color w:val="auto"/>
          <w:sz w:val="24"/>
          <w:szCs w:val="24"/>
          <w:lang w:val="en-US" w:eastAsia="zh-CN"/>
        </w:rPr>
        <w:t>7</w:t>
      </w:r>
      <w:r>
        <w:rPr>
          <w:rFonts w:hint="default" w:ascii="Times New Roman" w:hAnsi="Times New Roman" w:eastAsia="宋体" w:cs="Times New Roman"/>
          <w:color w:val="auto"/>
          <w:sz w:val="24"/>
          <w:szCs w:val="24"/>
          <w:lang w:val="en-US" w:eastAsia="zh-CN"/>
        </w:rPr>
        <w:t xml:space="preserve"> 关于英买7固废场的自主验收（</w:t>
      </w:r>
      <w:r>
        <w:rPr>
          <w:rFonts w:hint="default" w:ascii="Times New Roman" w:hAnsi="Times New Roman" w:eastAsia="宋体" w:cs="Times New Roman"/>
          <w:color w:val="auto"/>
          <w:sz w:val="24"/>
          <w:szCs w:val="24"/>
        </w:rPr>
        <w:t>油英买质健安环委</w:t>
      </w:r>
      <w:r>
        <w:rPr>
          <w:rFonts w:hint="eastAsia" w:cs="Times New Roman"/>
          <w:color w:val="auto"/>
          <w:sz w:val="24"/>
          <w:szCs w:val="24"/>
          <w:lang w:eastAsia="zh-CN"/>
        </w:rPr>
        <w:t>〔2019〕3号</w:t>
      </w:r>
      <w:r>
        <w:rPr>
          <w:rFonts w:hint="default" w:ascii="Times New Roman" w:hAnsi="Times New Roman" w:eastAsia="宋体" w:cs="Times New Roman"/>
          <w:color w:val="auto"/>
          <w:sz w:val="24"/>
          <w:szCs w:val="24"/>
          <w:lang w:val="en-US" w:eastAsia="zh-CN"/>
        </w:rPr>
        <w:t>）；</w:t>
      </w:r>
    </w:p>
    <w:p w14:paraId="3C7308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eastAsia="宋体" w:cs="Times New Roman"/>
          <w:color w:val="auto"/>
          <w:sz w:val="24"/>
          <w:szCs w:val="24"/>
          <w:highlight w:val="none"/>
          <w:lang w:val="en-US" w:eastAsia="zh-CN"/>
        </w:rPr>
        <w:t>附件</w:t>
      </w:r>
      <w:r>
        <w:rPr>
          <w:rFonts w:hint="eastAsia" w:ascii="Times New Roman" w:hAnsi="Times New Roman" w:eastAsia="宋体" w:cs="Times New Roman"/>
          <w:color w:val="auto"/>
          <w:sz w:val="24"/>
          <w:szCs w:val="24"/>
          <w:highlight w:val="none"/>
          <w:lang w:val="en-US" w:eastAsia="zh-CN"/>
        </w:rPr>
        <w:t>1</w:t>
      </w:r>
      <w:r>
        <w:rPr>
          <w:rFonts w:hint="eastAsia"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 xml:space="preserve"> 突发环境事件应急预案；</w:t>
      </w:r>
    </w:p>
    <w:p w14:paraId="76E0E52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eastAsia="宋体" w:cs="Times New Roman"/>
          <w:color w:val="auto"/>
          <w:sz w:val="24"/>
          <w:szCs w:val="24"/>
          <w:lang w:val="en-US" w:eastAsia="zh-CN"/>
        </w:rPr>
        <w:t>附件</w:t>
      </w:r>
      <w:r>
        <w:rPr>
          <w:rFonts w:hint="eastAsia" w:ascii="Times New Roman" w:hAnsi="Times New Roman" w:eastAsia="宋体" w:cs="Times New Roman"/>
          <w:color w:val="auto"/>
          <w:sz w:val="24"/>
          <w:szCs w:val="24"/>
          <w:lang w:val="en-US" w:eastAsia="zh-CN"/>
        </w:rPr>
        <w:t>1</w:t>
      </w:r>
      <w:r>
        <w:rPr>
          <w:rFonts w:hint="eastAsia" w:cs="Times New Roman"/>
          <w:color w:val="auto"/>
          <w:sz w:val="24"/>
          <w:szCs w:val="24"/>
          <w:lang w:val="en-US" w:eastAsia="zh-CN"/>
        </w:rPr>
        <w:t>9</w:t>
      </w:r>
      <w:r>
        <w:rPr>
          <w:rFonts w:hint="default" w:ascii="Times New Roman" w:hAnsi="Times New Roman" w:eastAsia="宋体" w:cs="Times New Roman"/>
          <w:color w:val="auto"/>
          <w:sz w:val="24"/>
          <w:szCs w:val="24"/>
          <w:lang w:val="en-US" w:eastAsia="zh-CN"/>
        </w:rPr>
        <w:t xml:space="preserve"> 监测报告</w:t>
      </w:r>
    </w:p>
    <w:p w14:paraId="101F20BF">
      <w:pPr>
        <w:pStyle w:val="49"/>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4"/>
          <w:szCs w:val="24"/>
          <w:highlight w:val="yellow"/>
        </w:rPr>
        <w:sectPr>
          <w:footerReference r:id="rId5" w:type="default"/>
          <w:pgSz w:w="11906" w:h="16838"/>
          <w:pgMar w:top="1474" w:right="1474" w:bottom="1474" w:left="1814" w:header="850" w:footer="992" w:gutter="0"/>
          <w:pgBorders>
            <w:top w:val="none" w:sz="0" w:space="0"/>
            <w:left w:val="none" w:sz="0" w:space="0"/>
            <w:bottom w:val="none" w:sz="0" w:space="0"/>
            <w:right w:val="none" w:sz="0" w:space="0"/>
          </w:pgBorders>
          <w:pgNumType w:fmt="decimal" w:start="1" w:chapStyle="1" w:chapSep="emDash"/>
          <w:cols w:space="0" w:num="1"/>
          <w:rtlGutter w:val="0"/>
          <w:docGrid w:type="linesAndChars" w:linePitch="316" w:charSpace="0"/>
        </w:sectPr>
      </w:pPr>
      <w:bookmarkStart w:id="11" w:name="_Toc15885"/>
      <w:bookmarkStart w:id="12" w:name="_Toc109382901"/>
    </w:p>
    <w:p w14:paraId="3AD32CDA">
      <w:pPr>
        <w:pStyle w:val="49"/>
        <w:bidi w:val="0"/>
        <w:rPr>
          <w:rFonts w:hint="eastAsia"/>
          <w:color w:val="auto"/>
        </w:rPr>
      </w:pPr>
      <w:bookmarkStart w:id="13" w:name="_Toc27993"/>
      <w:r>
        <w:rPr>
          <w:rFonts w:hint="eastAsia"/>
          <w:color w:val="auto"/>
        </w:rPr>
        <w:t>1</w:t>
      </w:r>
      <w:r>
        <w:rPr>
          <w:rFonts w:hint="eastAsia"/>
          <w:color w:val="auto"/>
          <w:lang w:val="en-US" w:eastAsia="zh-CN"/>
        </w:rPr>
        <w:t xml:space="preserve"> </w:t>
      </w:r>
      <w:r>
        <w:rPr>
          <w:rFonts w:hint="eastAsia"/>
          <w:color w:val="auto"/>
        </w:rPr>
        <w:t>概述</w:t>
      </w:r>
      <w:bookmarkEnd w:id="11"/>
      <w:bookmarkEnd w:id="12"/>
      <w:bookmarkEnd w:id="13"/>
    </w:p>
    <w:p w14:paraId="42F6B170">
      <w:pPr>
        <w:pStyle w:val="75"/>
        <w:bidi w:val="0"/>
        <w:rPr>
          <w:rFonts w:hint="eastAsia"/>
          <w:color w:val="auto"/>
        </w:rPr>
      </w:pPr>
      <w:bookmarkStart w:id="14" w:name="_Toc508291867"/>
      <w:bookmarkStart w:id="15" w:name="_Toc23822"/>
      <w:bookmarkStart w:id="16" w:name="_Toc17600"/>
      <w:bookmarkStart w:id="17" w:name="_Toc22563"/>
      <w:bookmarkStart w:id="18" w:name="_Toc109382902"/>
      <w:r>
        <w:rPr>
          <w:rFonts w:hint="eastAsia"/>
          <w:color w:val="auto"/>
        </w:rPr>
        <w:t>1.1</w:t>
      </w:r>
      <w:bookmarkEnd w:id="14"/>
      <w:r>
        <w:rPr>
          <w:rFonts w:hint="eastAsia"/>
          <w:color w:val="auto"/>
          <w:lang w:val="en-US" w:eastAsia="zh-CN"/>
        </w:rPr>
        <w:t xml:space="preserve"> </w:t>
      </w:r>
      <w:r>
        <w:rPr>
          <w:rFonts w:hint="eastAsia"/>
          <w:color w:val="auto"/>
        </w:rPr>
        <w:t>建设项目特点</w:t>
      </w:r>
      <w:bookmarkEnd w:id="15"/>
      <w:bookmarkEnd w:id="16"/>
      <w:bookmarkEnd w:id="17"/>
      <w:bookmarkEnd w:id="18"/>
    </w:p>
    <w:p w14:paraId="0CF57F86">
      <w:pPr>
        <w:pStyle w:val="79"/>
        <w:keepNext w:val="0"/>
        <w:keepLines w:val="0"/>
        <w:pageBreakBefore w:val="0"/>
        <w:widowControl w:val="0"/>
        <w:kinsoku/>
        <w:wordWrap/>
        <w:overflowPunct/>
        <w:topLinePunct w:val="0"/>
        <w:autoSpaceDE/>
        <w:autoSpaceDN/>
        <w:bidi w:val="0"/>
        <w:adjustRightInd/>
        <w:snapToGrid/>
        <w:textAlignment w:val="auto"/>
        <w:rPr>
          <w:rFonts w:hint="default"/>
          <w:color w:val="auto"/>
          <w:lang w:val="en-US" w:eastAsia="zh-CN"/>
        </w:rPr>
      </w:pPr>
      <w:r>
        <w:rPr>
          <w:rFonts w:hint="default"/>
          <w:color w:val="auto"/>
          <w:lang w:val="en-US" w:eastAsia="zh-CN"/>
        </w:rPr>
        <w:t>英买油气田地处塔克拉玛干沙漠北缘，英买力油气田矿权面积11930.54km</w:t>
      </w:r>
      <w:r>
        <w:rPr>
          <w:rFonts w:hint="default"/>
          <w:color w:val="auto"/>
          <w:vertAlign w:val="superscript"/>
          <w:lang w:val="en-US" w:eastAsia="zh-CN"/>
        </w:rPr>
        <w:t>2</w:t>
      </w:r>
      <w:r>
        <w:rPr>
          <w:rFonts w:hint="default"/>
          <w:color w:val="auto"/>
          <w:lang w:val="en-US" w:eastAsia="zh-CN"/>
        </w:rPr>
        <w:t>，东西208.5km、南北89.7km，横跨新和、温宿、沙雅3县。英买油气田坐标为东经</w:t>
      </w:r>
      <w:r>
        <w:rPr>
          <w:rFonts w:hint="eastAsia"/>
          <w:color w:val="auto"/>
          <w:lang w:val="en-US" w:eastAsia="zh-CN"/>
        </w:rPr>
        <w:t xml:space="preserve">                        </w:t>
      </w:r>
      <w:r>
        <w:rPr>
          <w:rFonts w:hint="default"/>
          <w:color w:val="auto"/>
          <w:lang w:val="en-US" w:eastAsia="zh-CN"/>
        </w:rPr>
        <w:t>。经过多年开发建设，共建成玉东2、羊塔1、羊塔5、英买7、英买21、英买17、英买23、羊塔2、英买46、英买463、英买470、羊塔3、玉东7、玉东1区块、玉东6区块等区块。</w:t>
      </w:r>
    </w:p>
    <w:p w14:paraId="698695A2">
      <w:pPr>
        <w:pStyle w:val="79"/>
        <w:keepNext w:val="0"/>
        <w:keepLines w:val="0"/>
        <w:pageBreakBefore w:val="0"/>
        <w:widowControl w:val="0"/>
        <w:kinsoku/>
        <w:wordWrap/>
        <w:overflowPunct/>
        <w:topLinePunct w:val="0"/>
        <w:autoSpaceDE/>
        <w:autoSpaceDN/>
        <w:bidi w:val="0"/>
        <w:adjustRightInd/>
        <w:snapToGrid/>
        <w:textAlignment w:val="auto"/>
        <w:rPr>
          <w:rFonts w:hint="default"/>
          <w:color w:val="auto"/>
          <w:lang w:val="en-US" w:eastAsia="zh-CN"/>
        </w:rPr>
      </w:pPr>
      <w:r>
        <w:rPr>
          <w:rFonts w:hint="default"/>
          <w:color w:val="auto"/>
          <w:lang w:val="en-US" w:eastAsia="zh-CN"/>
        </w:rPr>
        <w:t>根据塔里木油田分公司油气工艺研究院提供的《试采井基础信息及指标预测》，雄英1区块试采6口井建设后（在探评井均成功且地面配套情况下）2025年实现产油6.9×10</w:t>
      </w:r>
      <w:r>
        <w:rPr>
          <w:rFonts w:hint="default"/>
          <w:color w:val="auto"/>
          <w:vertAlign w:val="superscript"/>
          <w:lang w:val="en-US" w:eastAsia="zh-CN"/>
        </w:rPr>
        <w:t>4</w:t>
      </w:r>
      <w:r>
        <w:rPr>
          <w:rFonts w:hint="default"/>
          <w:color w:val="auto"/>
          <w:lang w:val="en-US" w:eastAsia="zh-CN"/>
        </w:rPr>
        <w:t>t/a，产气0.285×10</w:t>
      </w:r>
      <w:r>
        <w:rPr>
          <w:rFonts w:hint="default"/>
          <w:color w:val="auto"/>
          <w:vertAlign w:val="superscript"/>
          <w:lang w:val="en-US" w:eastAsia="zh-CN"/>
        </w:rPr>
        <w:t>8</w:t>
      </w:r>
      <w:r>
        <w:rPr>
          <w:rFonts w:hint="default"/>
          <w:color w:val="auto"/>
          <w:lang w:val="en-US" w:eastAsia="zh-CN"/>
        </w:rPr>
        <w:t>m</w:t>
      </w:r>
      <w:r>
        <w:rPr>
          <w:rFonts w:hint="default"/>
          <w:color w:val="auto"/>
          <w:vertAlign w:val="superscript"/>
          <w:lang w:val="en-US" w:eastAsia="zh-CN"/>
        </w:rPr>
        <w:t>3</w:t>
      </w:r>
      <w:r>
        <w:rPr>
          <w:rFonts w:hint="default"/>
          <w:color w:val="auto"/>
          <w:lang w:val="en-US" w:eastAsia="zh-CN"/>
        </w:rPr>
        <w:t>/a。雄英油田雄英1区块是英买油气田近年来石油勘探的重大发现，是油气上产增储的接力区块。雄英油田雄探1区块开发效果较好，已在喀拉玉尔衮构造带志留系、奥陶系目的层获得良好的油气产量。利用试采工程进一步研究雄英1井区储层纵横向非均质性、流体组分和相态特征及地层水活动特点，研究油井生产特征和产能规律，为新区块下步研究获取地质资料。跟踪分析志留系柯坪塔格组泥岩、奥陶系致密灰岩与寒武系白云岩的储盖组合气藏的开发规律，评价地面工艺的适应性，为正式开发提供资料支持。因此，雄英油田雄英1井区新区块的试采开发及配套地面建设十分必要。</w:t>
      </w:r>
    </w:p>
    <w:p w14:paraId="4F55D3F8">
      <w:pPr>
        <w:pStyle w:val="79"/>
        <w:bidi w:val="0"/>
        <w:rPr>
          <w:rFonts w:hint="default"/>
          <w:color w:val="auto"/>
          <w:lang w:val="en-US" w:eastAsia="zh-CN"/>
        </w:rPr>
      </w:pPr>
      <w:r>
        <w:rPr>
          <w:rFonts w:hint="default"/>
          <w:color w:val="auto"/>
          <w:lang w:val="en-US" w:eastAsia="zh-CN"/>
        </w:rPr>
        <w:t>本项目主要建设内容包括：①新建采油井场5座：包括雄英101井、雄英102井、雄英103井、雄英2井、雄英3井，改造采油井场1座（雄探1井），均采用油井标准化井场。②单井集输：新建单井集输管道总长度为24.7km，管道选用材质为玻璃钢管。③扩建雄探1试采点，处理规模为产油230t/d、产气9.5×10</w:t>
      </w:r>
      <w:r>
        <w:rPr>
          <w:rFonts w:hint="default"/>
          <w:color w:val="auto"/>
          <w:vertAlign w:val="superscript"/>
          <w:lang w:val="en-US" w:eastAsia="zh-CN"/>
        </w:rPr>
        <w:t>4</w:t>
      </w:r>
      <w:r>
        <w:rPr>
          <w:rFonts w:hint="default"/>
          <w:color w:val="auto"/>
          <w:lang w:val="en-US" w:eastAsia="zh-CN"/>
        </w:rPr>
        <w:t>m</w:t>
      </w:r>
      <w:r>
        <w:rPr>
          <w:rFonts w:hint="default"/>
          <w:color w:val="auto"/>
          <w:vertAlign w:val="superscript"/>
          <w:lang w:val="en-US" w:eastAsia="zh-CN"/>
        </w:rPr>
        <w:t>3</w:t>
      </w:r>
      <w:r>
        <w:rPr>
          <w:rFonts w:hint="default"/>
          <w:color w:val="auto"/>
          <w:lang w:val="en-US" w:eastAsia="zh-CN"/>
        </w:rPr>
        <w:t>/d，对各单井来的油气进行计量、加热、分离、天然气脱硫和增压脱水、原油闪蒸和储存。④天然气外输：依托已建集气管道输至玉东2增压站；⑤原油外输：采用罐车拉运至哈六联合站。⑥配套电力、通信、自控、土建、机械、防腐等工程。本工程建成投产后2025年实现产油6.9×10</w:t>
      </w:r>
      <w:r>
        <w:rPr>
          <w:rFonts w:hint="default"/>
          <w:color w:val="auto"/>
          <w:vertAlign w:val="superscript"/>
          <w:lang w:val="en-US" w:eastAsia="zh-CN"/>
        </w:rPr>
        <w:t>4</w:t>
      </w:r>
      <w:r>
        <w:rPr>
          <w:rFonts w:hint="default"/>
          <w:color w:val="auto"/>
          <w:lang w:val="en-US" w:eastAsia="zh-CN"/>
        </w:rPr>
        <w:t>t/a、产气0.285×10</w:t>
      </w:r>
      <w:r>
        <w:rPr>
          <w:rFonts w:hint="default"/>
          <w:color w:val="auto"/>
          <w:vertAlign w:val="superscript"/>
          <w:lang w:val="en-US" w:eastAsia="zh-CN"/>
        </w:rPr>
        <w:t>8</w:t>
      </w:r>
      <w:r>
        <w:rPr>
          <w:rFonts w:hint="default"/>
          <w:color w:val="auto"/>
          <w:lang w:val="en-US" w:eastAsia="zh-CN"/>
        </w:rPr>
        <w:t>m</w:t>
      </w:r>
      <w:r>
        <w:rPr>
          <w:rFonts w:hint="default"/>
          <w:color w:val="auto"/>
          <w:vertAlign w:val="superscript"/>
          <w:lang w:val="en-US" w:eastAsia="zh-CN"/>
        </w:rPr>
        <w:t>3</w:t>
      </w:r>
      <w:r>
        <w:rPr>
          <w:rFonts w:hint="default"/>
          <w:color w:val="auto"/>
          <w:lang w:val="en-US" w:eastAsia="zh-CN"/>
        </w:rPr>
        <w:t>/a。</w:t>
      </w:r>
    </w:p>
    <w:p w14:paraId="34D53C05">
      <w:pPr>
        <w:pStyle w:val="79"/>
        <w:bidi w:val="0"/>
        <w:rPr>
          <w:rFonts w:hint="default"/>
          <w:color w:val="auto"/>
          <w:lang w:val="en-US" w:eastAsia="zh-CN"/>
        </w:rPr>
      </w:pPr>
      <w:r>
        <w:rPr>
          <w:rFonts w:hint="default"/>
          <w:color w:val="auto"/>
          <w:lang w:val="en-US" w:eastAsia="zh-CN"/>
        </w:rPr>
        <w:t>2024年5月，中国石油天然气股份有限公司塔里木油田分公司油气工艺研究院委托新疆天合环境技术咨询有限公司编制了《塔里木油田雄英气田雄英1区块寒武系下丘里塔格组试采项目环境影响评价报告书》。2024年10月29日，已取得新疆维吾尔自治区生态环境厅《关于塔里木油田雄英气田雄英1区块寒武系下丘里塔格组试采项目环境影响报告书的批复》（新环审〔2024〕235号），批复了该报告书主要建设内容为：</w:t>
      </w:r>
      <w:r>
        <w:rPr>
          <w:rFonts w:hint="default"/>
          <w:color w:val="auto"/>
          <w:lang w:val="en-US" w:eastAsia="zh-CN"/>
        </w:rPr>
        <w:fldChar w:fldCharType="begin"/>
      </w:r>
      <w:r>
        <w:rPr>
          <w:rFonts w:hint="default"/>
          <w:color w:val="auto"/>
          <w:lang w:val="en-US" w:eastAsia="zh-CN"/>
        </w:rPr>
        <w:instrText xml:space="preserve"> = 1 \* GB3 \* MERGEFORMAT </w:instrText>
      </w:r>
      <w:r>
        <w:rPr>
          <w:rFonts w:hint="default"/>
          <w:color w:val="auto"/>
          <w:lang w:val="en-US" w:eastAsia="zh-CN"/>
        </w:rPr>
        <w:fldChar w:fldCharType="separate"/>
      </w:r>
      <w:r>
        <w:rPr>
          <w:rFonts w:hint="default"/>
          <w:color w:val="auto"/>
        </w:rPr>
        <w:t>①</w:t>
      </w:r>
      <w:r>
        <w:rPr>
          <w:rFonts w:hint="default"/>
          <w:color w:val="auto"/>
          <w:lang w:val="en-US" w:eastAsia="zh-CN"/>
        </w:rPr>
        <w:fldChar w:fldCharType="end"/>
      </w:r>
      <w:r>
        <w:rPr>
          <w:rFonts w:hint="default"/>
          <w:color w:val="auto"/>
          <w:lang w:val="en-US" w:eastAsia="zh-CN"/>
        </w:rPr>
        <w:t>主体工程：新建油井标准化井场6座、新建试采脱硫站1座、新建收球筒1座，新建单井集输管线24.3千米、新建外输管线31.99千米等；</w:t>
      </w:r>
      <w:r>
        <w:rPr>
          <w:rFonts w:hint="default"/>
          <w:color w:val="auto"/>
          <w:lang w:val="en-US" w:eastAsia="zh-CN"/>
        </w:rPr>
        <w:fldChar w:fldCharType="begin"/>
      </w:r>
      <w:r>
        <w:rPr>
          <w:rFonts w:hint="default"/>
          <w:color w:val="auto"/>
          <w:lang w:val="en-US" w:eastAsia="zh-CN"/>
        </w:rPr>
        <w:instrText xml:space="preserve"> = 2 \* GB3 \* MERGEFORMAT </w:instrText>
      </w:r>
      <w:r>
        <w:rPr>
          <w:rFonts w:hint="default"/>
          <w:color w:val="auto"/>
          <w:lang w:val="en-US" w:eastAsia="zh-CN"/>
        </w:rPr>
        <w:fldChar w:fldCharType="separate"/>
      </w:r>
      <w:r>
        <w:rPr>
          <w:rFonts w:hint="default"/>
          <w:color w:val="auto"/>
        </w:rPr>
        <w:t>②</w:t>
      </w:r>
      <w:r>
        <w:rPr>
          <w:rFonts w:hint="default"/>
          <w:color w:val="auto"/>
          <w:lang w:val="en-US" w:eastAsia="zh-CN"/>
        </w:rPr>
        <w:fldChar w:fldCharType="end"/>
      </w:r>
      <w:r>
        <w:rPr>
          <w:rFonts w:hint="default"/>
          <w:color w:val="auto"/>
          <w:lang w:val="en-US" w:eastAsia="zh-CN"/>
        </w:rPr>
        <w:t>公辅工程：配套建设供电、自控、通信、消防、防腐保温等工程；</w:t>
      </w:r>
      <w:r>
        <w:rPr>
          <w:rFonts w:hint="default"/>
          <w:color w:val="auto"/>
          <w:lang w:val="en-US" w:eastAsia="zh-CN"/>
        </w:rPr>
        <w:fldChar w:fldCharType="begin"/>
      </w:r>
      <w:r>
        <w:rPr>
          <w:rFonts w:hint="default"/>
          <w:color w:val="auto"/>
          <w:lang w:val="en-US" w:eastAsia="zh-CN"/>
        </w:rPr>
        <w:instrText xml:space="preserve"> = 3 \* GB3 \* MERGEFORMAT </w:instrText>
      </w:r>
      <w:r>
        <w:rPr>
          <w:rFonts w:hint="default"/>
          <w:color w:val="auto"/>
          <w:lang w:val="en-US" w:eastAsia="zh-CN"/>
        </w:rPr>
        <w:fldChar w:fldCharType="separate"/>
      </w:r>
      <w:r>
        <w:rPr>
          <w:rFonts w:hint="default"/>
          <w:color w:val="auto"/>
        </w:rPr>
        <w:t>③</w:t>
      </w:r>
      <w:r>
        <w:rPr>
          <w:rFonts w:hint="default"/>
          <w:color w:val="auto"/>
          <w:lang w:val="en-US" w:eastAsia="zh-CN"/>
        </w:rPr>
        <w:fldChar w:fldCharType="end"/>
      </w:r>
      <w:r>
        <w:rPr>
          <w:rFonts w:hint="default"/>
          <w:color w:val="auto"/>
          <w:lang w:val="en-US" w:eastAsia="zh-CN"/>
        </w:rPr>
        <w:t>环保工程：包括废气、废水、噪声、固体废物等污染防治工程和环境风险管控工程；</w:t>
      </w:r>
      <w:r>
        <w:rPr>
          <w:rFonts w:hint="default"/>
          <w:color w:val="auto"/>
          <w:lang w:val="en-US" w:eastAsia="zh-CN"/>
        </w:rPr>
        <w:fldChar w:fldCharType="begin"/>
      </w:r>
      <w:r>
        <w:rPr>
          <w:rFonts w:hint="default"/>
          <w:color w:val="auto"/>
          <w:lang w:val="en-US" w:eastAsia="zh-CN"/>
        </w:rPr>
        <w:instrText xml:space="preserve"> = 4 \* GB3 \* MERGEFORMAT </w:instrText>
      </w:r>
      <w:r>
        <w:rPr>
          <w:rFonts w:hint="default"/>
          <w:color w:val="auto"/>
          <w:lang w:val="en-US" w:eastAsia="zh-CN"/>
        </w:rPr>
        <w:fldChar w:fldCharType="separate"/>
      </w:r>
      <w:r>
        <w:rPr>
          <w:rFonts w:hint="default"/>
          <w:color w:val="auto"/>
        </w:rPr>
        <w:t>④</w:t>
      </w:r>
      <w:r>
        <w:rPr>
          <w:rFonts w:hint="default"/>
          <w:color w:val="auto"/>
          <w:lang w:val="en-US" w:eastAsia="zh-CN"/>
        </w:rPr>
        <w:fldChar w:fldCharType="end"/>
      </w:r>
      <w:r>
        <w:rPr>
          <w:rFonts w:hint="default"/>
          <w:color w:val="auto"/>
          <w:lang w:val="en-US" w:eastAsia="zh-CN"/>
        </w:rPr>
        <w:t>依托工程：包括英买处理站、哈六联合站、玉东1增压站、英买力油田钻试修废弃物环保处理站、英买7固废填埋场、英买力作业区公寓生活污水处理装置、温宿县生活垃圾填埋场等。建成后可实现年产油8.67万吨、产气0.75亿立方米。</w:t>
      </w:r>
    </w:p>
    <w:p w14:paraId="4A87D1CC">
      <w:pPr>
        <w:pStyle w:val="79"/>
        <w:bidi w:val="0"/>
        <w:rPr>
          <w:rFonts w:hint="default"/>
          <w:color w:val="auto"/>
          <w:lang w:val="en-US" w:eastAsia="zh-CN"/>
        </w:rPr>
      </w:pPr>
      <w:r>
        <w:rPr>
          <w:rFonts w:hint="default"/>
          <w:color w:val="auto"/>
          <w:lang w:val="en-US" w:eastAsia="zh-CN"/>
        </w:rPr>
        <w:t>通过雄英1井区4口试采井（雄探1、雄英101、雄英102、雄英2）试油结果显示，油气藏类型由气井变为油井，雄探1井试采阶段已设置有4座干法脱硫塔，现状处理规模为原油57t/d，天然气5.5×10</w:t>
      </w:r>
      <w:r>
        <w:rPr>
          <w:rFonts w:hint="default"/>
          <w:color w:val="auto"/>
          <w:vertAlign w:val="superscript"/>
          <w:lang w:val="en-US" w:eastAsia="zh-CN"/>
        </w:rPr>
        <w:t>4</w:t>
      </w:r>
      <w:r>
        <w:rPr>
          <w:rFonts w:hint="default"/>
          <w:color w:val="auto"/>
          <w:lang w:val="en-US" w:eastAsia="zh-CN"/>
        </w:rPr>
        <w:t>m</w:t>
      </w:r>
      <w:r>
        <w:rPr>
          <w:rFonts w:hint="default"/>
          <w:color w:val="auto"/>
          <w:vertAlign w:val="superscript"/>
          <w:lang w:val="en-US" w:eastAsia="zh-CN"/>
        </w:rPr>
        <w:t>3</w:t>
      </w:r>
      <w:r>
        <w:rPr>
          <w:rFonts w:hint="default"/>
          <w:color w:val="auto"/>
          <w:lang w:val="en-US" w:eastAsia="zh-CN"/>
        </w:rPr>
        <w:t>/d。本工程考虑区块开发试采阶段产量的不确定性和施工周期紧张，综合考虑推荐依托已建的干法脱硫设施，对雄探1试采点进行扩建，可满足雄英1井区进一步开发的油气处理需求。</w:t>
      </w:r>
    </w:p>
    <w:p w14:paraId="76C7901E">
      <w:pPr>
        <w:pStyle w:val="79"/>
        <w:bidi w:val="0"/>
        <w:rPr>
          <w:rFonts w:hint="default"/>
          <w:color w:val="auto"/>
          <w:lang w:val="en-US" w:eastAsia="zh-CN"/>
        </w:rPr>
      </w:pPr>
      <w:r>
        <w:rPr>
          <w:rFonts w:hint="default"/>
          <w:color w:val="auto"/>
          <w:lang w:val="en-US" w:eastAsia="zh-CN"/>
        </w:rPr>
        <w:t>企业根据实际情况对建设方案进行了优化调整，主要变化情况包括：①行业类别发生变化：陆地天然气开采变为陆地石油开采；②油气规模减小，原方案为产油8.67×10</w:t>
      </w:r>
      <w:r>
        <w:rPr>
          <w:rFonts w:hint="default"/>
          <w:color w:val="auto"/>
          <w:vertAlign w:val="superscript"/>
          <w:lang w:val="en-US" w:eastAsia="zh-CN"/>
        </w:rPr>
        <w:t>4</w:t>
      </w:r>
      <w:r>
        <w:rPr>
          <w:rFonts w:hint="default"/>
          <w:color w:val="auto"/>
          <w:lang w:val="en-US" w:eastAsia="zh-CN"/>
        </w:rPr>
        <w:t>t/a、产气0.75×10</w:t>
      </w:r>
      <w:r>
        <w:rPr>
          <w:rFonts w:hint="default"/>
          <w:color w:val="auto"/>
          <w:vertAlign w:val="superscript"/>
          <w:lang w:val="en-US" w:eastAsia="zh-CN"/>
        </w:rPr>
        <w:t>8</w:t>
      </w:r>
      <w:r>
        <w:rPr>
          <w:rFonts w:hint="default"/>
          <w:color w:val="auto"/>
          <w:lang w:val="en-US" w:eastAsia="zh-CN"/>
        </w:rPr>
        <w:t>m</w:t>
      </w:r>
      <w:r>
        <w:rPr>
          <w:rFonts w:hint="default"/>
          <w:color w:val="auto"/>
          <w:vertAlign w:val="superscript"/>
          <w:lang w:val="en-US" w:eastAsia="zh-CN"/>
        </w:rPr>
        <w:t>3</w:t>
      </w:r>
      <w:r>
        <w:rPr>
          <w:rFonts w:hint="default"/>
          <w:color w:val="auto"/>
          <w:lang w:val="en-US" w:eastAsia="zh-CN"/>
        </w:rPr>
        <w:t>/a，调整后的产油6.9×10</w:t>
      </w:r>
      <w:r>
        <w:rPr>
          <w:rFonts w:hint="default"/>
          <w:color w:val="auto"/>
          <w:vertAlign w:val="superscript"/>
          <w:lang w:val="en-US" w:eastAsia="zh-CN"/>
        </w:rPr>
        <w:t>4</w:t>
      </w:r>
      <w:r>
        <w:rPr>
          <w:rFonts w:hint="default"/>
          <w:color w:val="auto"/>
          <w:lang w:val="en-US" w:eastAsia="zh-CN"/>
        </w:rPr>
        <w:t>t/a、产气0.285×10</w:t>
      </w:r>
      <w:r>
        <w:rPr>
          <w:rFonts w:hint="default"/>
          <w:color w:val="auto"/>
          <w:vertAlign w:val="superscript"/>
          <w:lang w:val="en-US" w:eastAsia="zh-CN"/>
        </w:rPr>
        <w:t>8</w:t>
      </w:r>
      <w:r>
        <w:rPr>
          <w:rFonts w:hint="default"/>
          <w:color w:val="auto"/>
          <w:lang w:val="en-US" w:eastAsia="zh-CN"/>
        </w:rPr>
        <w:t>m</w:t>
      </w:r>
      <w:r>
        <w:rPr>
          <w:rFonts w:hint="default"/>
          <w:color w:val="auto"/>
          <w:vertAlign w:val="superscript"/>
          <w:lang w:val="en-US" w:eastAsia="zh-CN"/>
        </w:rPr>
        <w:t>3</w:t>
      </w:r>
      <w:r>
        <w:rPr>
          <w:rFonts w:hint="default"/>
          <w:color w:val="auto"/>
          <w:lang w:val="en-US" w:eastAsia="zh-CN"/>
        </w:rPr>
        <w:t>/a；③生产工艺发生变化：原方案为</w:t>
      </w:r>
      <w:r>
        <w:rPr>
          <w:rFonts w:hint="eastAsia"/>
          <w:color w:val="auto"/>
          <w:lang w:val="en-US" w:eastAsia="zh-CN"/>
        </w:rPr>
        <w:t>“</w:t>
      </w:r>
      <w:r>
        <w:rPr>
          <w:rFonts w:hint="default"/>
          <w:color w:val="auto"/>
          <w:lang w:val="en-US" w:eastAsia="zh-CN"/>
        </w:rPr>
        <w:t>井场来油气进站后经计量分离器和生产分离器油气分离后，天然气进入脱硫装置，采用湿法脱硫，脱硫后的湿天然气外输至玉东1增压站</w:t>
      </w:r>
      <w:r>
        <w:rPr>
          <w:rFonts w:hint="eastAsia"/>
          <w:color w:val="auto"/>
          <w:lang w:val="en-US" w:eastAsia="zh-CN"/>
        </w:rPr>
        <w:t>”</w:t>
      </w:r>
      <w:r>
        <w:rPr>
          <w:rFonts w:hint="default"/>
          <w:color w:val="auto"/>
          <w:lang w:val="en-US" w:eastAsia="zh-CN"/>
        </w:rPr>
        <w:t>；调整后方案为</w:t>
      </w:r>
      <w:r>
        <w:rPr>
          <w:rFonts w:hint="eastAsia"/>
          <w:color w:val="auto"/>
          <w:lang w:val="en-US" w:eastAsia="zh-CN"/>
        </w:rPr>
        <w:t>“</w:t>
      </w:r>
      <w:r>
        <w:rPr>
          <w:rFonts w:hint="default"/>
          <w:color w:val="auto"/>
          <w:lang w:val="en-US" w:eastAsia="zh-CN"/>
        </w:rPr>
        <w:t>单井来气液通过试采点8井式进站阀组进站，气液计量分离后，气液进加热炉加热，加热后气液进气液分离器分离，分离后天然气采用干法脱硫处理；分离后原油闪蒸后输至储罐</w:t>
      </w:r>
      <w:r>
        <w:rPr>
          <w:rFonts w:hint="eastAsia"/>
          <w:color w:val="auto"/>
          <w:lang w:val="en-US" w:eastAsia="zh-CN"/>
        </w:rPr>
        <w:t>”</w:t>
      </w:r>
      <w:r>
        <w:rPr>
          <w:rFonts w:hint="default"/>
          <w:color w:val="auto"/>
          <w:lang w:val="en-US" w:eastAsia="zh-CN"/>
        </w:rPr>
        <w:t>。其中脱硫工艺发生变化，由湿法脱硫变为干法脱硫，新增了固体废物产生种类，废弃脱硫剂，产生量约为871.2m</w:t>
      </w:r>
      <w:r>
        <w:rPr>
          <w:rFonts w:hint="default"/>
          <w:color w:val="auto"/>
          <w:vertAlign w:val="superscript"/>
          <w:lang w:val="en-US" w:eastAsia="zh-CN"/>
        </w:rPr>
        <w:t>3</w:t>
      </w:r>
      <w:r>
        <w:rPr>
          <w:rFonts w:hint="default"/>
          <w:color w:val="auto"/>
          <w:lang w:val="en-US" w:eastAsia="zh-CN"/>
        </w:rPr>
        <w:t>/a；生产工艺中增加了气液进加热炉加热流程，新增了加热炉燃烧废气（有组织废气），但此部分污染物排放量，已在原方案环评报告中以备用状态，进行了核算；④单井集输管线，管线长度由24.3km变为24.7km，增加了0.4km；⑤天然气外输：本工程依托已建的雄探1至玉东2增压站集气管道（24km），不再新建31.99km天然气外输管线。</w:t>
      </w:r>
    </w:p>
    <w:p w14:paraId="1AF53357">
      <w:pPr>
        <w:pStyle w:val="79"/>
        <w:bidi w:val="0"/>
        <w:rPr>
          <w:rFonts w:hint="default"/>
          <w:color w:val="auto"/>
          <w:lang w:val="en-US" w:eastAsia="zh-CN"/>
        </w:rPr>
      </w:pPr>
      <w:r>
        <w:rPr>
          <w:rFonts w:hint="default"/>
          <w:color w:val="auto"/>
          <w:lang w:val="en-US" w:eastAsia="zh-CN"/>
        </w:rPr>
        <w:t>根据《关于进一步加强石油天然气行业环境影响评价管理的通知》中“陆地油气开采区块项目环评批复后，产能总规模、新钻井总数量增加30%及以上，回注井增加，占地面积范围内新增环境敏感区，井位或站场位置变化导致评价范围内环境敏感目标数量增加，开发方式、生产工艺、井类别变化导致新增污染物种类或污染物排放量增加，与经批复的环境影响评价文件相比危险废物实际产生种类增加或数量增加、危险废物处置方式由外委改为自行处置或处置方式变化导致不利环境影响加重，主要生态环境保护措施或环境风险防范措施弱化或降低等情形，依法应当重新报批环评文件。海洋油气开发项目重大变动清单另行制定。”</w:t>
      </w:r>
    </w:p>
    <w:p w14:paraId="70B0E096">
      <w:pPr>
        <w:pStyle w:val="79"/>
        <w:bidi w:val="0"/>
        <w:rPr>
          <w:rFonts w:hint="default"/>
          <w:color w:val="auto"/>
          <w:lang w:val="en-US" w:eastAsia="zh-CN"/>
        </w:rPr>
      </w:pPr>
      <w:r>
        <w:rPr>
          <w:rFonts w:hint="default"/>
          <w:color w:val="auto"/>
          <w:lang w:val="en-US" w:eastAsia="zh-CN"/>
        </w:rPr>
        <w:t>本工程主要变化情况中生产工艺变化导致新增污染物种类，因此判定该工程为重大变动。</w:t>
      </w:r>
    </w:p>
    <w:p w14:paraId="192C8942">
      <w:pPr>
        <w:pStyle w:val="79"/>
        <w:bidi w:val="0"/>
        <w:rPr>
          <w:rFonts w:hint="eastAsia"/>
          <w:color w:val="auto"/>
          <w:lang w:val="en-US" w:eastAsia="zh-CN"/>
        </w:rPr>
      </w:pPr>
      <w:r>
        <w:rPr>
          <w:rFonts w:hint="default"/>
          <w:color w:val="auto"/>
          <w:lang w:val="en-US" w:eastAsia="zh-CN"/>
        </w:rPr>
        <w:t>塔里木油田雄英油田雄英1区块寒武系下丘里塔格组试采优化调整项目变化情况见下表1-1</w:t>
      </w:r>
      <w:r>
        <w:rPr>
          <w:rFonts w:hint="eastAsia"/>
          <w:color w:val="auto"/>
          <w:lang w:val="en-US" w:eastAsia="zh-CN"/>
        </w:rPr>
        <w:t>。</w:t>
      </w:r>
    </w:p>
    <w:p w14:paraId="1E3B06E6">
      <w:pPr>
        <w:pStyle w:val="134"/>
        <w:keepNext w:val="0"/>
        <w:keepLines w:val="0"/>
        <w:pageBreakBefore w:val="0"/>
        <w:shd w:val="clear" w:color="auto" w:fill="auto"/>
        <w:kinsoku/>
        <w:wordWrap/>
        <w:overflowPunct/>
        <w:topLinePunct w:val="0"/>
        <w:autoSpaceDE/>
        <w:autoSpaceDN/>
        <w:bidi w:val="0"/>
        <w:adjustRightInd/>
        <w:snapToGrid/>
        <w:spacing w:after="0" w:line="360" w:lineRule="auto"/>
        <w:ind w:firstLine="480"/>
        <w:textAlignment w:val="auto"/>
        <w:rPr>
          <w:rFonts w:hint="eastAsia" w:cs="Times New Roman"/>
          <w:color w:val="auto"/>
          <w:sz w:val="24"/>
          <w:szCs w:val="24"/>
          <w:highlight w:val="none"/>
          <w:lang w:val="en-US" w:eastAsia="zh-CN"/>
        </w:rPr>
        <w:sectPr>
          <w:headerReference r:id="rId6" w:type="default"/>
          <w:footerReference r:id="rId7" w:type="default"/>
          <w:pgSz w:w="11906" w:h="16838"/>
          <w:pgMar w:top="1474" w:right="1474" w:bottom="1474" w:left="1814" w:header="850" w:footer="992" w:gutter="0"/>
          <w:pgBorders>
            <w:top w:val="none" w:sz="0" w:space="0"/>
            <w:left w:val="none" w:sz="0" w:space="0"/>
            <w:bottom w:val="none" w:sz="0" w:space="0"/>
            <w:right w:val="none" w:sz="0" w:space="0"/>
          </w:pgBorders>
          <w:pgNumType w:fmt="decimal" w:start="1" w:chapStyle="1" w:chapSep="emDash"/>
          <w:cols w:space="0" w:num="1"/>
          <w:rtlGutter w:val="0"/>
          <w:docGrid w:type="linesAndChars" w:linePitch="316" w:charSpace="0"/>
        </w:sectPr>
      </w:pPr>
    </w:p>
    <w:p w14:paraId="6C4D5480">
      <w:pPr>
        <w:pStyle w:val="134"/>
        <w:keepNext w:val="0"/>
        <w:keepLines w:val="0"/>
        <w:pageBreakBefore w:val="0"/>
        <w:widowControl/>
        <w:shd w:val="clear" w:color="auto" w:fill="auto"/>
        <w:kinsoku/>
        <w:wordWrap/>
        <w:overflowPunct/>
        <w:topLinePunct w:val="0"/>
        <w:autoSpaceDE/>
        <w:autoSpaceDN/>
        <w:bidi w:val="0"/>
        <w:adjustRightInd/>
        <w:snapToGrid/>
        <w:spacing w:after="0" w:line="480" w:lineRule="exact"/>
        <w:ind w:left="0" w:leftChars="0" w:firstLine="420" w:firstLineChars="200"/>
        <w:jc w:val="both"/>
        <w:textAlignment w:val="auto"/>
        <w:rPr>
          <w:rFonts w:hint="eastAsia" w:ascii="黑体" w:hAnsi="黑体" w:eastAsia="黑体" w:cs="黑体"/>
          <w:b/>
          <w:bCs/>
          <w:color w:val="auto"/>
          <w:sz w:val="21"/>
          <w:szCs w:val="21"/>
          <w:highlight w:val="none"/>
          <w:lang w:val="en-US" w:eastAsia="zh-CN"/>
        </w:rPr>
      </w:pPr>
      <w:r>
        <w:rPr>
          <w:rFonts w:hint="eastAsia" w:ascii="黑体" w:hAnsi="黑体" w:eastAsia="黑体" w:cs="黑体"/>
          <w:b/>
          <w:bCs/>
          <w:color w:val="auto"/>
          <w:sz w:val="21"/>
          <w:szCs w:val="21"/>
          <w:highlight w:val="none"/>
          <w:lang w:val="en-US" w:eastAsia="zh-CN"/>
        </w:rPr>
        <w:t>表1-1   塔里木油田雄英油田雄英1区块寒武系下丘里塔格组试采优化调整项目变化情况一览表</w:t>
      </w:r>
    </w:p>
    <w:tbl>
      <w:tblPr>
        <w:tblStyle w:val="36"/>
        <w:tblW w:w="4941"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73"/>
        <w:gridCol w:w="474"/>
        <w:gridCol w:w="947"/>
        <w:gridCol w:w="5340"/>
        <w:gridCol w:w="776"/>
        <w:gridCol w:w="3933"/>
        <w:gridCol w:w="1997"/>
      </w:tblGrid>
      <w:tr w14:paraId="02FA0C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169" w:type="pct"/>
            <w:tcBorders>
              <w:tl2br w:val="nil"/>
              <w:tr2bl w:val="nil"/>
            </w:tcBorders>
            <w:vAlign w:val="center"/>
          </w:tcPr>
          <w:p w14:paraId="3C7E579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i w:val="0"/>
                <w:iCs w:val="0"/>
                <w:color w:val="auto"/>
                <w:sz w:val="21"/>
                <w:szCs w:val="21"/>
                <w:lang w:eastAsia="zh-CN"/>
              </w:rPr>
            </w:pPr>
            <w:r>
              <w:rPr>
                <w:rFonts w:hint="default" w:ascii="Times New Roman" w:hAnsi="Times New Roman" w:eastAsia="宋体" w:cs="Times New Roman"/>
                <w:b w:val="0"/>
                <w:bCs/>
                <w:i w:val="0"/>
                <w:iCs w:val="0"/>
                <w:color w:val="auto"/>
                <w:sz w:val="21"/>
                <w:szCs w:val="21"/>
              </w:rPr>
              <w:t>工程</w:t>
            </w:r>
            <w:r>
              <w:rPr>
                <w:rFonts w:hint="default" w:ascii="Times New Roman" w:hAnsi="Times New Roman" w:eastAsia="宋体" w:cs="Times New Roman"/>
                <w:b w:val="0"/>
                <w:bCs/>
                <w:i w:val="0"/>
                <w:iCs w:val="0"/>
                <w:color w:val="auto"/>
                <w:sz w:val="21"/>
                <w:szCs w:val="21"/>
                <w:lang w:val="en-US" w:eastAsia="zh-CN"/>
              </w:rPr>
              <w:t>类别</w:t>
            </w:r>
          </w:p>
        </w:tc>
        <w:tc>
          <w:tcPr>
            <w:tcW w:w="509" w:type="pct"/>
            <w:gridSpan w:val="2"/>
            <w:tcBorders>
              <w:tl2br w:val="nil"/>
              <w:tr2bl w:val="nil"/>
            </w:tcBorders>
            <w:vAlign w:val="center"/>
          </w:tcPr>
          <w:p w14:paraId="7F6027E0">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i w:val="0"/>
                <w:iCs w:val="0"/>
                <w:color w:val="auto"/>
                <w:sz w:val="21"/>
                <w:szCs w:val="21"/>
                <w:lang w:val="en-US" w:eastAsia="zh-CN"/>
              </w:rPr>
            </w:pPr>
            <w:r>
              <w:rPr>
                <w:rFonts w:hint="default" w:ascii="Times New Roman" w:hAnsi="Times New Roman" w:eastAsia="宋体" w:cs="Times New Roman"/>
                <w:b w:val="0"/>
                <w:bCs/>
                <w:i w:val="0"/>
                <w:iCs w:val="0"/>
                <w:color w:val="auto"/>
                <w:sz w:val="21"/>
                <w:szCs w:val="21"/>
                <w:lang w:val="en-US" w:eastAsia="zh-CN"/>
              </w:rPr>
              <w:t>工程名称</w:t>
            </w:r>
          </w:p>
        </w:tc>
        <w:tc>
          <w:tcPr>
            <w:tcW w:w="1915" w:type="pct"/>
            <w:tcBorders>
              <w:tl2br w:val="nil"/>
              <w:tr2bl w:val="nil"/>
            </w:tcBorders>
            <w:vAlign w:val="center"/>
          </w:tcPr>
          <w:p w14:paraId="6B1320EE">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i w:val="0"/>
                <w:iCs w:val="0"/>
                <w:color w:val="auto"/>
                <w:sz w:val="21"/>
                <w:szCs w:val="21"/>
                <w:lang w:val="en-US" w:eastAsia="zh-CN"/>
              </w:rPr>
            </w:pPr>
            <w:r>
              <w:rPr>
                <w:rFonts w:hint="default" w:ascii="Times New Roman" w:hAnsi="Times New Roman" w:eastAsia="宋体" w:cs="Times New Roman"/>
                <w:b w:val="0"/>
                <w:bCs/>
                <w:i w:val="0"/>
                <w:iCs w:val="0"/>
                <w:color w:val="auto"/>
                <w:sz w:val="21"/>
                <w:szCs w:val="21"/>
                <w:lang w:val="en-US" w:eastAsia="zh-CN"/>
              </w:rPr>
              <w:t>原环评情况</w:t>
            </w:r>
          </w:p>
        </w:tc>
        <w:tc>
          <w:tcPr>
            <w:tcW w:w="1689" w:type="pct"/>
            <w:gridSpan w:val="2"/>
            <w:tcBorders>
              <w:tl2br w:val="nil"/>
              <w:tr2bl w:val="nil"/>
            </w:tcBorders>
            <w:vAlign w:val="center"/>
          </w:tcPr>
          <w:p w14:paraId="7156E92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i w:val="0"/>
                <w:iCs w:val="0"/>
                <w:color w:val="auto"/>
                <w:sz w:val="21"/>
                <w:szCs w:val="21"/>
                <w:lang w:val="en-US" w:eastAsia="zh-CN"/>
              </w:rPr>
            </w:pPr>
            <w:r>
              <w:rPr>
                <w:rFonts w:hint="default" w:ascii="Times New Roman" w:hAnsi="Times New Roman" w:eastAsia="宋体" w:cs="Times New Roman"/>
                <w:b w:val="0"/>
                <w:bCs/>
                <w:i w:val="0"/>
                <w:iCs w:val="0"/>
                <w:color w:val="auto"/>
                <w:sz w:val="21"/>
                <w:szCs w:val="21"/>
                <w:lang w:val="en-US" w:eastAsia="zh-CN"/>
              </w:rPr>
              <w:t>优化调整项目情况</w:t>
            </w:r>
          </w:p>
        </w:tc>
        <w:tc>
          <w:tcPr>
            <w:tcW w:w="716" w:type="pct"/>
            <w:tcBorders>
              <w:tl2br w:val="nil"/>
              <w:tr2bl w:val="nil"/>
            </w:tcBorders>
            <w:vAlign w:val="center"/>
          </w:tcPr>
          <w:p w14:paraId="35C3665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i w:val="0"/>
                <w:iCs w:val="0"/>
                <w:color w:val="auto"/>
                <w:sz w:val="21"/>
                <w:szCs w:val="21"/>
                <w:lang w:val="en-US" w:eastAsia="zh-CN"/>
              </w:rPr>
            </w:pPr>
            <w:r>
              <w:rPr>
                <w:rFonts w:hint="default" w:ascii="Times New Roman" w:hAnsi="Times New Roman" w:eastAsia="宋体" w:cs="Times New Roman"/>
                <w:b w:val="0"/>
                <w:bCs/>
                <w:i w:val="0"/>
                <w:iCs w:val="0"/>
                <w:color w:val="auto"/>
                <w:sz w:val="21"/>
                <w:szCs w:val="21"/>
                <w:lang w:val="en-US" w:eastAsia="zh-CN"/>
              </w:rPr>
              <w:t>变动情况</w:t>
            </w:r>
          </w:p>
        </w:tc>
      </w:tr>
      <w:tr w14:paraId="59356A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69" w:type="pct"/>
            <w:vMerge w:val="restart"/>
            <w:tcBorders>
              <w:tl2br w:val="nil"/>
              <w:tr2bl w:val="nil"/>
            </w:tcBorders>
            <w:vAlign w:val="center"/>
          </w:tcPr>
          <w:p w14:paraId="11A6733E">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主体工程</w:t>
            </w:r>
          </w:p>
        </w:tc>
        <w:tc>
          <w:tcPr>
            <w:tcW w:w="170" w:type="pct"/>
            <w:vMerge w:val="restart"/>
            <w:tcBorders>
              <w:tl2br w:val="nil"/>
              <w:tr2bl w:val="nil"/>
            </w:tcBorders>
            <w:vAlign w:val="center"/>
          </w:tcPr>
          <w:p w14:paraId="5C5AA1C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地面</w:t>
            </w:r>
            <w:r>
              <w:rPr>
                <w:rFonts w:hint="default" w:ascii="Times New Roman" w:hAnsi="Times New Roman" w:eastAsia="宋体" w:cs="Times New Roman"/>
                <w:b w:val="0"/>
                <w:bCs/>
                <w:color w:val="auto"/>
                <w:sz w:val="21"/>
                <w:szCs w:val="21"/>
              </w:rPr>
              <w:t>工程</w:t>
            </w:r>
          </w:p>
        </w:tc>
        <w:tc>
          <w:tcPr>
            <w:tcW w:w="339" w:type="pct"/>
            <w:tcBorders>
              <w:tl2br w:val="nil"/>
              <w:tr2bl w:val="nil"/>
            </w:tcBorders>
            <w:vAlign w:val="center"/>
          </w:tcPr>
          <w:p w14:paraId="4202405E">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pacing w:val="-1"/>
                <w:sz w:val="21"/>
                <w:szCs w:val="21"/>
                <w:lang w:val="en-US" w:eastAsia="zh-CN"/>
              </w:rPr>
            </w:pPr>
            <w:r>
              <w:rPr>
                <w:rFonts w:hint="default" w:ascii="Times New Roman" w:hAnsi="Times New Roman" w:eastAsia="宋体" w:cs="Times New Roman"/>
                <w:b w:val="0"/>
                <w:bCs/>
                <w:color w:val="auto"/>
                <w:spacing w:val="-1"/>
                <w:sz w:val="21"/>
                <w:szCs w:val="21"/>
                <w:lang w:val="en-US" w:eastAsia="zh-CN"/>
              </w:rPr>
              <w:t>井场</w:t>
            </w:r>
          </w:p>
        </w:tc>
        <w:tc>
          <w:tcPr>
            <w:tcW w:w="1915" w:type="pct"/>
            <w:tcBorders>
              <w:tl2br w:val="nil"/>
              <w:tr2bl w:val="nil"/>
            </w:tcBorders>
            <w:vAlign w:val="center"/>
          </w:tcPr>
          <w:p w14:paraId="7884C32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left"/>
              <w:rPr>
                <w:rFonts w:hint="default" w:ascii="Times New Roman" w:hAnsi="Times New Roman" w:eastAsia="宋体" w:cs="Times New Roman"/>
                <w:b w:val="0"/>
                <w:bCs/>
                <w:color w:val="auto"/>
                <w:spacing w:val="-1"/>
                <w:sz w:val="21"/>
                <w:szCs w:val="21"/>
              </w:rPr>
            </w:pPr>
            <w:r>
              <w:rPr>
                <w:rFonts w:hint="default" w:ascii="Times New Roman" w:hAnsi="Times New Roman" w:eastAsia="宋体" w:cs="Times New Roman"/>
                <w:b w:val="0"/>
                <w:bCs/>
                <w:color w:val="auto"/>
                <w:spacing w:val="-1"/>
                <w:sz w:val="21"/>
                <w:szCs w:val="21"/>
                <w:lang w:val="en-US" w:eastAsia="zh-CN"/>
              </w:rPr>
              <w:t>新建</w:t>
            </w:r>
            <w:r>
              <w:rPr>
                <w:rFonts w:hint="default" w:ascii="Times New Roman" w:hAnsi="Times New Roman" w:eastAsia="宋体" w:cs="Times New Roman"/>
                <w:b w:val="0"/>
                <w:bCs/>
                <w:color w:val="auto"/>
                <w:spacing w:val="-1"/>
                <w:sz w:val="21"/>
                <w:szCs w:val="21"/>
                <w:lang w:eastAsia="zh-CN"/>
              </w:rPr>
              <w:t>6座</w:t>
            </w:r>
            <w:r>
              <w:rPr>
                <w:rFonts w:hint="default" w:ascii="Times New Roman" w:hAnsi="Times New Roman" w:eastAsia="宋体" w:cs="Times New Roman"/>
                <w:b w:val="0"/>
                <w:bCs/>
                <w:color w:val="auto"/>
                <w:spacing w:val="-1"/>
                <w:sz w:val="21"/>
                <w:szCs w:val="21"/>
              </w:rPr>
              <w:t>气井标准化井场：雄探1井（已试采）、雄英101井、雄英102井、雄英103井、雄英</w:t>
            </w:r>
            <w:r>
              <w:rPr>
                <w:rFonts w:hint="default" w:ascii="Times New Roman" w:hAnsi="Times New Roman" w:eastAsia="宋体" w:cs="Times New Roman"/>
                <w:b w:val="0"/>
                <w:bCs/>
                <w:color w:val="auto"/>
                <w:spacing w:val="-1"/>
                <w:sz w:val="21"/>
                <w:szCs w:val="21"/>
                <w:lang w:val="en-US" w:eastAsia="zh-CN"/>
              </w:rPr>
              <w:t>2</w:t>
            </w:r>
            <w:r>
              <w:rPr>
                <w:rFonts w:hint="default" w:ascii="Times New Roman" w:hAnsi="Times New Roman" w:eastAsia="宋体" w:cs="Times New Roman"/>
                <w:b w:val="0"/>
                <w:bCs/>
                <w:color w:val="auto"/>
                <w:spacing w:val="-1"/>
                <w:sz w:val="21"/>
                <w:szCs w:val="21"/>
              </w:rPr>
              <w:t>井、雄英</w:t>
            </w:r>
            <w:r>
              <w:rPr>
                <w:rFonts w:hint="default" w:ascii="Times New Roman" w:hAnsi="Times New Roman" w:eastAsia="宋体" w:cs="Times New Roman"/>
                <w:b w:val="0"/>
                <w:bCs/>
                <w:color w:val="auto"/>
                <w:spacing w:val="-1"/>
                <w:sz w:val="21"/>
                <w:szCs w:val="21"/>
                <w:lang w:val="en-US" w:eastAsia="zh-CN"/>
              </w:rPr>
              <w:t>3</w:t>
            </w:r>
            <w:r>
              <w:rPr>
                <w:rFonts w:hint="default" w:ascii="Times New Roman" w:hAnsi="Times New Roman" w:eastAsia="宋体" w:cs="Times New Roman"/>
                <w:b w:val="0"/>
                <w:bCs/>
                <w:color w:val="auto"/>
                <w:spacing w:val="-1"/>
                <w:sz w:val="21"/>
                <w:szCs w:val="21"/>
              </w:rPr>
              <w:t>井</w:t>
            </w:r>
          </w:p>
        </w:tc>
        <w:tc>
          <w:tcPr>
            <w:tcW w:w="1689" w:type="pct"/>
            <w:gridSpan w:val="2"/>
            <w:tcBorders>
              <w:tl2br w:val="nil"/>
              <w:tr2bl w:val="nil"/>
            </w:tcBorders>
            <w:vAlign w:val="center"/>
          </w:tcPr>
          <w:p w14:paraId="0E124050">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left"/>
              <w:rPr>
                <w:rFonts w:hint="default" w:ascii="Times New Roman" w:hAnsi="Times New Roman" w:eastAsia="宋体" w:cs="Times New Roman"/>
                <w:b w:val="0"/>
                <w:bCs/>
                <w:color w:val="auto"/>
                <w:spacing w:val="-1"/>
                <w:sz w:val="21"/>
                <w:szCs w:val="21"/>
                <w:lang w:val="en-US" w:eastAsia="zh-CN"/>
              </w:rPr>
            </w:pPr>
            <w:r>
              <w:rPr>
                <w:rFonts w:hint="default" w:ascii="Times New Roman" w:hAnsi="Times New Roman" w:eastAsia="宋体" w:cs="Times New Roman"/>
                <w:b w:val="0"/>
                <w:bCs/>
                <w:color w:val="auto"/>
                <w:spacing w:val="-1"/>
                <w:sz w:val="21"/>
                <w:szCs w:val="21"/>
                <w:lang w:val="en-US" w:eastAsia="zh-CN"/>
              </w:rPr>
              <w:t>新建5</w:t>
            </w:r>
            <w:r>
              <w:rPr>
                <w:rFonts w:hint="default" w:ascii="Times New Roman" w:hAnsi="Times New Roman" w:eastAsia="宋体" w:cs="Times New Roman"/>
                <w:b w:val="0"/>
                <w:bCs/>
                <w:color w:val="auto"/>
                <w:spacing w:val="-1"/>
                <w:sz w:val="21"/>
                <w:szCs w:val="21"/>
                <w:lang w:eastAsia="zh-CN"/>
              </w:rPr>
              <w:t>座</w:t>
            </w:r>
            <w:r>
              <w:rPr>
                <w:rFonts w:hint="default" w:ascii="Times New Roman" w:hAnsi="Times New Roman" w:eastAsia="宋体" w:cs="Times New Roman"/>
                <w:b w:val="0"/>
                <w:bCs/>
                <w:color w:val="auto"/>
                <w:spacing w:val="-1"/>
                <w:sz w:val="21"/>
                <w:szCs w:val="21"/>
                <w:lang w:val="en-US" w:eastAsia="zh-CN"/>
              </w:rPr>
              <w:t>油</w:t>
            </w:r>
            <w:r>
              <w:rPr>
                <w:rFonts w:hint="default" w:ascii="Times New Roman" w:hAnsi="Times New Roman" w:eastAsia="宋体" w:cs="Times New Roman"/>
                <w:b w:val="0"/>
                <w:bCs/>
                <w:color w:val="auto"/>
                <w:spacing w:val="-1"/>
                <w:sz w:val="21"/>
                <w:szCs w:val="21"/>
              </w:rPr>
              <w:t>井标准化井场：雄英101井、雄英102井、雄英103井、雄英</w:t>
            </w:r>
            <w:r>
              <w:rPr>
                <w:rFonts w:hint="default" w:ascii="Times New Roman" w:hAnsi="Times New Roman" w:eastAsia="宋体" w:cs="Times New Roman"/>
                <w:b w:val="0"/>
                <w:bCs/>
                <w:color w:val="auto"/>
                <w:spacing w:val="-1"/>
                <w:sz w:val="21"/>
                <w:szCs w:val="21"/>
                <w:lang w:val="en-US" w:eastAsia="zh-CN"/>
              </w:rPr>
              <w:t>2</w:t>
            </w:r>
            <w:r>
              <w:rPr>
                <w:rFonts w:hint="default" w:ascii="Times New Roman" w:hAnsi="Times New Roman" w:eastAsia="宋体" w:cs="Times New Roman"/>
                <w:b w:val="0"/>
                <w:bCs/>
                <w:color w:val="auto"/>
                <w:spacing w:val="-1"/>
                <w:sz w:val="21"/>
                <w:szCs w:val="21"/>
              </w:rPr>
              <w:t>井</w:t>
            </w:r>
            <w:r>
              <w:rPr>
                <w:rFonts w:hint="default" w:ascii="Times New Roman" w:hAnsi="Times New Roman" w:eastAsia="宋体" w:cs="Times New Roman"/>
                <w:b w:val="0"/>
                <w:bCs/>
                <w:color w:val="auto"/>
                <w:spacing w:val="-1"/>
                <w:sz w:val="21"/>
                <w:szCs w:val="21"/>
                <w:lang w:eastAsia="zh-CN"/>
              </w:rPr>
              <w:t>，</w:t>
            </w:r>
            <w:r>
              <w:rPr>
                <w:rFonts w:hint="default" w:ascii="Times New Roman" w:hAnsi="Times New Roman" w:eastAsia="宋体" w:cs="Times New Roman"/>
                <w:b w:val="0"/>
                <w:bCs/>
                <w:color w:val="auto"/>
                <w:spacing w:val="-1"/>
                <w:sz w:val="21"/>
                <w:szCs w:val="21"/>
                <w:lang w:val="en-US" w:eastAsia="zh-CN"/>
              </w:rPr>
              <w:t>改造采油井场1座（</w:t>
            </w:r>
            <w:r>
              <w:rPr>
                <w:rFonts w:hint="default" w:ascii="Times New Roman" w:hAnsi="Times New Roman" w:eastAsia="宋体" w:cs="Times New Roman"/>
                <w:b w:val="0"/>
                <w:bCs/>
                <w:color w:val="auto"/>
                <w:spacing w:val="-1"/>
                <w:sz w:val="21"/>
                <w:szCs w:val="21"/>
              </w:rPr>
              <w:t>雄探1井</w:t>
            </w:r>
            <w:r>
              <w:rPr>
                <w:rFonts w:hint="default" w:ascii="Times New Roman" w:hAnsi="Times New Roman" w:eastAsia="宋体" w:cs="Times New Roman"/>
                <w:b w:val="0"/>
                <w:bCs/>
                <w:color w:val="auto"/>
                <w:spacing w:val="-1"/>
                <w:sz w:val="21"/>
                <w:szCs w:val="21"/>
                <w:lang w:val="en-US" w:eastAsia="zh-CN"/>
              </w:rPr>
              <w:t>）</w:t>
            </w:r>
          </w:p>
        </w:tc>
        <w:tc>
          <w:tcPr>
            <w:tcW w:w="716" w:type="pct"/>
            <w:tcBorders>
              <w:tl2br w:val="nil"/>
              <w:tr2bl w:val="nil"/>
            </w:tcBorders>
            <w:vAlign w:val="center"/>
          </w:tcPr>
          <w:p w14:paraId="5195594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left"/>
              <w:rPr>
                <w:rFonts w:hint="default" w:ascii="Times New Roman" w:hAnsi="Times New Roman" w:eastAsia="宋体" w:cs="Times New Roman"/>
                <w:b w:val="0"/>
                <w:bCs/>
                <w:color w:val="auto"/>
                <w:spacing w:val="-1"/>
                <w:sz w:val="21"/>
                <w:szCs w:val="21"/>
                <w:lang w:val="en-US" w:eastAsia="zh-CN"/>
              </w:rPr>
            </w:pPr>
            <w:r>
              <w:rPr>
                <w:rFonts w:hint="default" w:ascii="Times New Roman" w:hAnsi="Times New Roman" w:eastAsia="宋体" w:cs="Times New Roman"/>
                <w:b w:val="0"/>
                <w:bCs/>
                <w:color w:val="auto"/>
                <w:spacing w:val="-1"/>
                <w:sz w:val="21"/>
                <w:szCs w:val="21"/>
                <w:lang w:val="en-US" w:eastAsia="zh-CN"/>
              </w:rPr>
              <w:t>油气藏类型由气井变为油井</w:t>
            </w:r>
          </w:p>
        </w:tc>
      </w:tr>
      <w:tr w14:paraId="0F6A24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3" w:hRule="atLeast"/>
          <w:jc w:val="center"/>
        </w:trPr>
        <w:tc>
          <w:tcPr>
            <w:tcW w:w="169" w:type="pct"/>
            <w:vMerge w:val="continue"/>
            <w:tcBorders>
              <w:tl2br w:val="nil"/>
              <w:tr2bl w:val="nil"/>
            </w:tcBorders>
            <w:vAlign w:val="center"/>
          </w:tcPr>
          <w:p w14:paraId="7D1CE87E">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z w:val="21"/>
                <w:szCs w:val="21"/>
                <w:lang w:val="en-US" w:eastAsia="zh-CN"/>
              </w:rPr>
            </w:pPr>
          </w:p>
        </w:tc>
        <w:tc>
          <w:tcPr>
            <w:tcW w:w="170" w:type="pct"/>
            <w:vMerge w:val="continue"/>
            <w:tcBorders>
              <w:tl2br w:val="nil"/>
              <w:tr2bl w:val="nil"/>
            </w:tcBorders>
            <w:vAlign w:val="center"/>
          </w:tcPr>
          <w:p w14:paraId="6DD583C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z w:val="21"/>
                <w:szCs w:val="21"/>
                <w:lang w:val="en-US" w:eastAsia="zh-CN"/>
              </w:rPr>
            </w:pPr>
          </w:p>
        </w:tc>
        <w:tc>
          <w:tcPr>
            <w:tcW w:w="339" w:type="pct"/>
            <w:vMerge w:val="restart"/>
            <w:tcBorders>
              <w:tl2br w:val="nil"/>
              <w:tr2bl w:val="nil"/>
            </w:tcBorders>
            <w:vAlign w:val="center"/>
          </w:tcPr>
          <w:p w14:paraId="6FD59F0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站场</w:t>
            </w:r>
          </w:p>
        </w:tc>
        <w:tc>
          <w:tcPr>
            <w:tcW w:w="1915" w:type="pct"/>
            <w:tcBorders>
              <w:tl2br w:val="nil"/>
              <w:tr2bl w:val="nil"/>
            </w:tcBorders>
            <w:vAlign w:val="center"/>
          </w:tcPr>
          <w:p w14:paraId="3E85A782">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left"/>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新建1座试采脱硫站，原油处理规模350t/d，天然气处理规模30×10</w:t>
            </w:r>
            <w:r>
              <w:rPr>
                <w:rFonts w:hint="default" w:ascii="Times New Roman" w:hAnsi="Times New Roman" w:eastAsia="宋体" w:cs="Times New Roman"/>
                <w:b w:val="0"/>
                <w:bCs/>
                <w:color w:val="auto"/>
                <w:sz w:val="21"/>
                <w:szCs w:val="21"/>
                <w:vertAlign w:val="superscript"/>
                <w:lang w:val="en-US" w:eastAsia="zh-CN"/>
              </w:rPr>
              <w:t>4</w:t>
            </w:r>
            <w:r>
              <w:rPr>
                <w:rFonts w:hint="default" w:ascii="Times New Roman" w:hAnsi="Times New Roman" w:eastAsia="宋体" w:cs="Times New Roman"/>
                <w:b w:val="0"/>
                <w:bCs/>
                <w:color w:val="auto"/>
                <w:sz w:val="21"/>
                <w:szCs w:val="21"/>
                <w:lang w:val="en-US" w:eastAsia="zh-CN"/>
              </w:rPr>
              <w:t>m</w:t>
            </w:r>
            <w:r>
              <w:rPr>
                <w:rFonts w:hint="default" w:ascii="Times New Roman" w:hAnsi="Times New Roman" w:eastAsia="宋体" w:cs="Times New Roman"/>
                <w:b w:val="0"/>
                <w:bCs/>
                <w:color w:val="auto"/>
                <w:sz w:val="21"/>
                <w:szCs w:val="21"/>
                <w:vertAlign w:val="superscript"/>
                <w:lang w:val="en-US" w:eastAsia="zh-CN"/>
              </w:rPr>
              <w:t>3</w:t>
            </w:r>
            <w:r>
              <w:rPr>
                <w:rFonts w:hint="default" w:ascii="Times New Roman" w:hAnsi="Times New Roman" w:eastAsia="宋体" w:cs="Times New Roman"/>
                <w:b w:val="0"/>
                <w:bCs/>
                <w:color w:val="auto"/>
                <w:sz w:val="21"/>
                <w:szCs w:val="21"/>
                <w:lang w:val="en-US" w:eastAsia="zh-CN"/>
              </w:rPr>
              <w:t>/d。</w:t>
            </w:r>
          </w:p>
        </w:tc>
        <w:tc>
          <w:tcPr>
            <w:tcW w:w="1689" w:type="pct"/>
            <w:gridSpan w:val="2"/>
            <w:vMerge w:val="restart"/>
            <w:tcBorders>
              <w:tl2br w:val="nil"/>
              <w:tr2bl w:val="nil"/>
            </w:tcBorders>
            <w:vAlign w:val="center"/>
          </w:tcPr>
          <w:p w14:paraId="6304FA8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left"/>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扩建雄探1试采点1座，建设规模油2</w:t>
            </w:r>
            <w:r>
              <w:rPr>
                <w:rFonts w:hint="eastAsia" w:cs="Times New Roman"/>
                <w:b w:val="0"/>
                <w:bCs/>
                <w:color w:val="auto"/>
                <w:sz w:val="21"/>
                <w:szCs w:val="21"/>
                <w:lang w:val="en-US" w:eastAsia="zh-CN"/>
              </w:rPr>
              <w:t>3</w:t>
            </w:r>
            <w:r>
              <w:rPr>
                <w:rFonts w:hint="default" w:ascii="Times New Roman" w:hAnsi="Times New Roman" w:eastAsia="宋体" w:cs="Times New Roman"/>
                <w:b w:val="0"/>
                <w:bCs/>
                <w:color w:val="auto"/>
                <w:sz w:val="21"/>
                <w:szCs w:val="21"/>
                <w:lang w:val="en-US" w:eastAsia="zh-CN"/>
              </w:rPr>
              <w:t>0t/d、气</w:t>
            </w:r>
            <w:r>
              <w:rPr>
                <w:rFonts w:hint="eastAsia" w:cs="Times New Roman"/>
                <w:b w:val="0"/>
                <w:bCs/>
                <w:color w:val="auto"/>
                <w:sz w:val="21"/>
                <w:szCs w:val="21"/>
                <w:lang w:val="en-US" w:eastAsia="zh-CN"/>
              </w:rPr>
              <w:t>9</w:t>
            </w:r>
            <w:r>
              <w:rPr>
                <w:rFonts w:hint="default" w:ascii="Times New Roman" w:hAnsi="Times New Roman" w:eastAsia="宋体" w:cs="Times New Roman"/>
                <w:b w:val="0"/>
                <w:bCs/>
                <w:color w:val="auto"/>
                <w:sz w:val="21"/>
                <w:szCs w:val="21"/>
                <w:lang w:val="en-US" w:eastAsia="zh-CN"/>
              </w:rPr>
              <w:t>.5×10</w:t>
            </w:r>
            <w:r>
              <w:rPr>
                <w:rFonts w:hint="default" w:ascii="Times New Roman" w:hAnsi="Times New Roman" w:eastAsia="宋体" w:cs="Times New Roman"/>
                <w:b w:val="0"/>
                <w:bCs/>
                <w:color w:val="auto"/>
                <w:sz w:val="21"/>
                <w:szCs w:val="21"/>
                <w:vertAlign w:val="superscript"/>
                <w:lang w:val="en-US" w:eastAsia="zh-CN"/>
              </w:rPr>
              <w:t>4</w:t>
            </w:r>
            <w:r>
              <w:rPr>
                <w:rFonts w:hint="default" w:ascii="Times New Roman" w:hAnsi="Times New Roman" w:eastAsia="宋体" w:cs="Times New Roman"/>
                <w:b w:val="0"/>
                <w:bCs/>
                <w:color w:val="auto"/>
                <w:sz w:val="21"/>
                <w:szCs w:val="21"/>
                <w:lang w:val="en-US" w:eastAsia="zh-CN"/>
              </w:rPr>
              <w:t>m</w:t>
            </w:r>
            <w:r>
              <w:rPr>
                <w:rFonts w:hint="default" w:ascii="Times New Roman" w:hAnsi="Times New Roman" w:eastAsia="宋体" w:cs="Times New Roman"/>
                <w:b w:val="0"/>
                <w:bCs/>
                <w:color w:val="auto"/>
                <w:sz w:val="21"/>
                <w:szCs w:val="21"/>
                <w:vertAlign w:val="superscript"/>
                <w:lang w:val="en-US" w:eastAsia="zh-CN"/>
              </w:rPr>
              <w:t>3</w:t>
            </w:r>
            <w:r>
              <w:rPr>
                <w:rFonts w:hint="default" w:ascii="Times New Roman" w:hAnsi="Times New Roman" w:eastAsia="宋体" w:cs="Times New Roman"/>
                <w:b w:val="0"/>
                <w:bCs/>
                <w:color w:val="auto"/>
                <w:sz w:val="21"/>
                <w:szCs w:val="21"/>
                <w:lang w:val="en-US" w:eastAsia="zh-CN"/>
              </w:rPr>
              <w:t>/d</w:t>
            </w:r>
          </w:p>
        </w:tc>
        <w:tc>
          <w:tcPr>
            <w:tcW w:w="716" w:type="pct"/>
            <w:vMerge w:val="restart"/>
            <w:tcBorders>
              <w:tl2br w:val="nil"/>
              <w:tr2bl w:val="nil"/>
            </w:tcBorders>
            <w:vAlign w:val="center"/>
          </w:tcPr>
          <w:p w14:paraId="35769CF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left"/>
              <w:rPr>
                <w:rFonts w:hint="default" w:ascii="Times New Roman" w:hAnsi="Times New Roman" w:eastAsia="宋体" w:cs="Times New Roman"/>
                <w:b w:val="0"/>
                <w:bCs/>
                <w:color w:val="auto"/>
                <w:spacing w:val="-1"/>
                <w:sz w:val="21"/>
                <w:szCs w:val="21"/>
                <w:lang w:val="en-US" w:eastAsia="zh-CN"/>
              </w:rPr>
            </w:pPr>
            <w:r>
              <w:rPr>
                <w:rFonts w:hint="default" w:ascii="Times New Roman" w:hAnsi="Times New Roman" w:eastAsia="宋体" w:cs="Times New Roman"/>
                <w:b w:val="0"/>
                <w:bCs/>
                <w:color w:val="auto"/>
                <w:spacing w:val="-1"/>
                <w:sz w:val="21"/>
                <w:szCs w:val="21"/>
                <w:lang w:val="en-US" w:eastAsia="zh-CN"/>
              </w:rPr>
              <w:t>取消试采脱硫站建设，变更为雄探1试采点建设</w:t>
            </w:r>
          </w:p>
        </w:tc>
      </w:tr>
      <w:tr w14:paraId="7D7CE3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69" w:type="pct"/>
            <w:vMerge w:val="continue"/>
            <w:tcBorders>
              <w:tl2br w:val="nil"/>
              <w:tr2bl w:val="nil"/>
            </w:tcBorders>
            <w:vAlign w:val="center"/>
          </w:tcPr>
          <w:p w14:paraId="5F08840E">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z w:val="21"/>
                <w:szCs w:val="21"/>
                <w:lang w:val="en-US" w:eastAsia="zh-CN"/>
              </w:rPr>
            </w:pPr>
          </w:p>
        </w:tc>
        <w:tc>
          <w:tcPr>
            <w:tcW w:w="170" w:type="pct"/>
            <w:vMerge w:val="continue"/>
            <w:tcBorders>
              <w:tl2br w:val="nil"/>
              <w:tr2bl w:val="nil"/>
            </w:tcBorders>
            <w:vAlign w:val="center"/>
          </w:tcPr>
          <w:p w14:paraId="2C591468">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z w:val="21"/>
                <w:szCs w:val="21"/>
                <w:lang w:val="en-US" w:eastAsia="zh-CN"/>
              </w:rPr>
            </w:pPr>
          </w:p>
        </w:tc>
        <w:tc>
          <w:tcPr>
            <w:tcW w:w="339" w:type="pct"/>
            <w:vMerge w:val="continue"/>
            <w:tcBorders>
              <w:tl2br w:val="nil"/>
              <w:tr2bl w:val="nil"/>
            </w:tcBorders>
            <w:vAlign w:val="center"/>
          </w:tcPr>
          <w:p w14:paraId="29D1C25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z w:val="21"/>
                <w:szCs w:val="21"/>
                <w:lang w:val="en-US" w:eastAsia="zh-CN"/>
              </w:rPr>
            </w:pPr>
          </w:p>
        </w:tc>
        <w:tc>
          <w:tcPr>
            <w:tcW w:w="1915" w:type="pct"/>
            <w:tcBorders>
              <w:tl2br w:val="nil"/>
              <w:tr2bl w:val="nil"/>
            </w:tcBorders>
            <w:vAlign w:val="center"/>
          </w:tcPr>
          <w:p w14:paraId="7F39B6D2">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left"/>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玉东1增压站新建收球筒1座</w:t>
            </w:r>
          </w:p>
        </w:tc>
        <w:tc>
          <w:tcPr>
            <w:tcW w:w="1689" w:type="pct"/>
            <w:gridSpan w:val="2"/>
            <w:vMerge w:val="continue"/>
            <w:tcBorders>
              <w:tl2br w:val="nil"/>
              <w:tr2bl w:val="nil"/>
            </w:tcBorders>
            <w:vAlign w:val="center"/>
          </w:tcPr>
          <w:p w14:paraId="7CAFF28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left"/>
              <w:rPr>
                <w:rFonts w:hint="default" w:ascii="Times New Roman" w:hAnsi="Times New Roman" w:eastAsia="宋体" w:cs="Times New Roman"/>
                <w:b w:val="0"/>
                <w:bCs/>
                <w:color w:val="auto"/>
                <w:sz w:val="21"/>
                <w:szCs w:val="21"/>
                <w:lang w:val="en-US" w:eastAsia="zh-CN"/>
              </w:rPr>
            </w:pPr>
          </w:p>
        </w:tc>
        <w:tc>
          <w:tcPr>
            <w:tcW w:w="716" w:type="pct"/>
            <w:vMerge w:val="continue"/>
            <w:tcBorders>
              <w:tl2br w:val="nil"/>
              <w:tr2bl w:val="nil"/>
            </w:tcBorders>
            <w:vAlign w:val="center"/>
          </w:tcPr>
          <w:p w14:paraId="77B35F4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left"/>
              <w:rPr>
                <w:rFonts w:hint="default" w:ascii="Times New Roman" w:hAnsi="Times New Roman" w:eastAsia="宋体" w:cs="Times New Roman"/>
                <w:b w:val="0"/>
                <w:bCs/>
                <w:color w:val="auto"/>
                <w:sz w:val="21"/>
                <w:szCs w:val="21"/>
                <w:lang w:val="en-US" w:eastAsia="zh-CN"/>
              </w:rPr>
            </w:pPr>
          </w:p>
        </w:tc>
      </w:tr>
      <w:tr w14:paraId="47A962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69" w:type="pct"/>
            <w:vMerge w:val="continue"/>
            <w:tcBorders>
              <w:tl2br w:val="nil"/>
              <w:tr2bl w:val="nil"/>
            </w:tcBorders>
            <w:vAlign w:val="center"/>
          </w:tcPr>
          <w:p w14:paraId="3492DFF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z w:val="21"/>
                <w:szCs w:val="21"/>
              </w:rPr>
            </w:pPr>
          </w:p>
        </w:tc>
        <w:tc>
          <w:tcPr>
            <w:tcW w:w="170" w:type="pct"/>
            <w:vMerge w:val="restart"/>
            <w:tcBorders>
              <w:tl2br w:val="nil"/>
              <w:tr2bl w:val="nil"/>
            </w:tcBorders>
            <w:vAlign w:val="center"/>
          </w:tcPr>
          <w:p w14:paraId="4F7AD3FC">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集输工程</w:t>
            </w:r>
          </w:p>
        </w:tc>
        <w:tc>
          <w:tcPr>
            <w:tcW w:w="339" w:type="pct"/>
            <w:vMerge w:val="restart"/>
            <w:tcBorders>
              <w:tl2br w:val="nil"/>
              <w:tr2bl w:val="nil"/>
            </w:tcBorders>
            <w:vAlign w:val="center"/>
          </w:tcPr>
          <w:p w14:paraId="63E33F6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pacing w:val="-1"/>
                <w:sz w:val="21"/>
                <w:szCs w:val="21"/>
                <w:highlight w:val="none"/>
                <w:lang w:val="en-US" w:eastAsia="zh-CN"/>
              </w:rPr>
            </w:pPr>
            <w:r>
              <w:rPr>
                <w:rFonts w:hint="default" w:ascii="Times New Roman" w:hAnsi="Times New Roman" w:eastAsia="宋体" w:cs="Times New Roman"/>
                <w:b w:val="0"/>
                <w:bCs/>
                <w:color w:val="auto"/>
                <w:spacing w:val="-1"/>
                <w:sz w:val="21"/>
                <w:szCs w:val="21"/>
                <w:highlight w:val="none"/>
                <w:lang w:val="en-US" w:eastAsia="zh-CN"/>
              </w:rPr>
              <w:t>单井集输管线24.3km</w:t>
            </w:r>
          </w:p>
        </w:tc>
        <w:tc>
          <w:tcPr>
            <w:tcW w:w="1915" w:type="pct"/>
            <w:tcBorders>
              <w:tl2br w:val="nil"/>
              <w:tr2bl w:val="nil"/>
            </w:tcBorders>
            <w:vAlign w:val="center"/>
          </w:tcPr>
          <w:p w14:paraId="1D4254B4">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rPr>
                <w:rFonts w:hint="default" w:ascii="Times New Roman" w:hAnsi="Times New Roman" w:eastAsia="宋体" w:cs="Times New Roman"/>
                <w:b w:val="0"/>
                <w:bCs/>
                <w:color w:val="auto"/>
                <w:spacing w:val="-1"/>
                <w:sz w:val="21"/>
                <w:szCs w:val="21"/>
                <w:highlight w:val="none"/>
                <w:lang w:val="en-US" w:eastAsia="zh-CN"/>
              </w:rPr>
            </w:pPr>
            <w:r>
              <w:rPr>
                <w:rFonts w:hint="default" w:ascii="Times New Roman" w:hAnsi="Times New Roman" w:eastAsia="宋体" w:cs="Times New Roman"/>
                <w:b w:val="0"/>
                <w:bCs/>
                <w:color w:val="auto"/>
                <w:spacing w:val="-1"/>
                <w:sz w:val="21"/>
                <w:szCs w:val="21"/>
                <w:highlight w:val="none"/>
              </w:rPr>
              <w:t>雄探1井</w:t>
            </w:r>
            <w:r>
              <w:rPr>
                <w:rFonts w:hint="default" w:ascii="Times New Roman" w:hAnsi="Times New Roman" w:eastAsia="宋体" w:cs="Times New Roman"/>
                <w:b w:val="0"/>
                <w:bCs/>
                <w:color w:val="auto"/>
                <w:spacing w:val="-1"/>
                <w:sz w:val="21"/>
                <w:szCs w:val="21"/>
                <w:highlight w:val="none"/>
                <w:lang w:val="en-US" w:eastAsia="zh-CN"/>
              </w:rPr>
              <w:t>至脱硫站，长0.2km，DN65，柔性复合管</w:t>
            </w:r>
          </w:p>
        </w:tc>
        <w:tc>
          <w:tcPr>
            <w:tcW w:w="278" w:type="pct"/>
            <w:vMerge w:val="restart"/>
            <w:tcBorders>
              <w:tl2br w:val="nil"/>
              <w:tr2bl w:val="nil"/>
            </w:tcBorders>
            <w:vAlign w:val="center"/>
          </w:tcPr>
          <w:p w14:paraId="2CA6750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rPr>
                <w:rFonts w:hint="default" w:ascii="Times New Roman" w:hAnsi="Times New Roman" w:eastAsia="宋体" w:cs="Times New Roman"/>
                <w:b w:val="0"/>
                <w:bCs/>
                <w:color w:val="auto"/>
                <w:spacing w:val="-1"/>
                <w:sz w:val="21"/>
                <w:szCs w:val="21"/>
                <w:highlight w:val="none"/>
                <w:lang w:val="en-US" w:eastAsia="zh-CN"/>
              </w:rPr>
            </w:pPr>
            <w:r>
              <w:rPr>
                <w:rFonts w:hint="default" w:ascii="Times New Roman" w:hAnsi="Times New Roman" w:eastAsia="宋体" w:cs="Times New Roman"/>
                <w:b w:val="0"/>
                <w:bCs/>
                <w:color w:val="auto"/>
                <w:spacing w:val="-1"/>
                <w:sz w:val="21"/>
                <w:szCs w:val="21"/>
                <w:highlight w:val="none"/>
                <w:lang w:val="en-US" w:eastAsia="zh-CN"/>
              </w:rPr>
              <w:t>单井集输管线24.7km</w:t>
            </w:r>
          </w:p>
        </w:tc>
        <w:tc>
          <w:tcPr>
            <w:tcW w:w="1410" w:type="pct"/>
            <w:tcBorders>
              <w:tl2br w:val="nil"/>
              <w:tr2bl w:val="nil"/>
            </w:tcBorders>
            <w:vAlign w:val="center"/>
          </w:tcPr>
          <w:p w14:paraId="71AC2988">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rPr>
                <w:rFonts w:hint="default" w:ascii="Times New Roman" w:hAnsi="Times New Roman" w:eastAsia="宋体" w:cs="Times New Roman"/>
                <w:b w:val="0"/>
                <w:bCs/>
                <w:color w:val="auto"/>
                <w:spacing w:val="-1"/>
                <w:kern w:val="2"/>
                <w:sz w:val="21"/>
                <w:szCs w:val="21"/>
                <w:highlight w:val="none"/>
                <w:lang w:val="en-US" w:eastAsia="zh-CN" w:bidi="ar-SA"/>
              </w:rPr>
            </w:pPr>
            <w:r>
              <w:rPr>
                <w:rFonts w:hint="default" w:ascii="Times New Roman" w:hAnsi="Times New Roman" w:eastAsia="宋体" w:cs="Times New Roman"/>
                <w:b w:val="0"/>
                <w:bCs/>
                <w:color w:val="auto"/>
                <w:spacing w:val="-1"/>
                <w:sz w:val="21"/>
                <w:szCs w:val="21"/>
                <w:highlight w:val="none"/>
              </w:rPr>
              <w:t>雄</w:t>
            </w:r>
            <w:r>
              <w:rPr>
                <w:rFonts w:hint="default" w:ascii="Times New Roman" w:hAnsi="Times New Roman" w:eastAsia="宋体" w:cs="Times New Roman"/>
                <w:b w:val="0"/>
                <w:bCs/>
                <w:color w:val="auto"/>
                <w:spacing w:val="-1"/>
                <w:sz w:val="21"/>
                <w:szCs w:val="21"/>
                <w:highlight w:val="none"/>
                <w:lang w:val="en-US" w:eastAsia="zh-CN"/>
              </w:rPr>
              <w:t>英2</w:t>
            </w:r>
            <w:r>
              <w:rPr>
                <w:rFonts w:hint="default" w:ascii="Times New Roman" w:hAnsi="Times New Roman" w:eastAsia="宋体" w:cs="Times New Roman"/>
                <w:b w:val="0"/>
                <w:bCs/>
                <w:color w:val="auto"/>
                <w:spacing w:val="-1"/>
                <w:sz w:val="21"/>
                <w:szCs w:val="21"/>
                <w:highlight w:val="none"/>
              </w:rPr>
              <w:t>井</w:t>
            </w:r>
            <w:r>
              <w:rPr>
                <w:rFonts w:hint="default" w:ascii="Times New Roman" w:hAnsi="Times New Roman" w:eastAsia="宋体" w:cs="Times New Roman"/>
                <w:b w:val="0"/>
                <w:bCs/>
                <w:color w:val="auto"/>
                <w:spacing w:val="-1"/>
                <w:sz w:val="21"/>
                <w:szCs w:val="21"/>
                <w:highlight w:val="none"/>
                <w:lang w:val="en-US" w:eastAsia="zh-CN"/>
              </w:rPr>
              <w:t>至雄探1试采点阀组，长5.84km，DN80，玻璃钢管</w:t>
            </w:r>
          </w:p>
        </w:tc>
        <w:tc>
          <w:tcPr>
            <w:tcW w:w="716" w:type="pct"/>
            <w:vMerge w:val="restart"/>
            <w:tcBorders>
              <w:tl2br w:val="nil"/>
              <w:tr2bl w:val="nil"/>
            </w:tcBorders>
            <w:vAlign w:val="center"/>
          </w:tcPr>
          <w:p w14:paraId="44618A75">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rPr>
                <w:rFonts w:hint="default" w:ascii="Times New Roman" w:hAnsi="Times New Roman" w:eastAsia="宋体" w:cs="Times New Roman"/>
                <w:b w:val="0"/>
                <w:bCs/>
                <w:color w:val="auto"/>
                <w:spacing w:val="-1"/>
                <w:sz w:val="21"/>
                <w:szCs w:val="21"/>
                <w:lang w:val="en-US" w:eastAsia="zh-CN"/>
              </w:rPr>
            </w:pPr>
            <w:r>
              <w:rPr>
                <w:rFonts w:hint="default" w:ascii="Times New Roman" w:hAnsi="Times New Roman" w:eastAsia="宋体" w:cs="Times New Roman"/>
                <w:b w:val="0"/>
                <w:bCs/>
                <w:color w:val="auto"/>
                <w:spacing w:val="-1"/>
                <w:sz w:val="21"/>
                <w:szCs w:val="21"/>
                <w:lang w:val="en-US" w:eastAsia="zh-CN"/>
              </w:rPr>
              <w:t>集输工艺发生变化，管线长度增加0.4km，管线走向均发生变化</w:t>
            </w:r>
          </w:p>
        </w:tc>
      </w:tr>
      <w:tr w14:paraId="38F75D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69" w:type="pct"/>
            <w:vMerge w:val="continue"/>
            <w:tcBorders>
              <w:tl2br w:val="nil"/>
              <w:tr2bl w:val="nil"/>
            </w:tcBorders>
            <w:vAlign w:val="center"/>
          </w:tcPr>
          <w:p w14:paraId="002CFAB8">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z w:val="21"/>
                <w:szCs w:val="21"/>
              </w:rPr>
            </w:pPr>
          </w:p>
        </w:tc>
        <w:tc>
          <w:tcPr>
            <w:tcW w:w="170" w:type="pct"/>
            <w:vMerge w:val="continue"/>
            <w:tcBorders>
              <w:tl2br w:val="nil"/>
              <w:tr2bl w:val="nil"/>
            </w:tcBorders>
            <w:vAlign w:val="center"/>
          </w:tcPr>
          <w:p w14:paraId="1FF3C63E">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z w:val="21"/>
                <w:szCs w:val="21"/>
                <w:lang w:val="en-US" w:eastAsia="zh-CN"/>
              </w:rPr>
            </w:pPr>
          </w:p>
        </w:tc>
        <w:tc>
          <w:tcPr>
            <w:tcW w:w="339" w:type="pct"/>
            <w:vMerge w:val="continue"/>
            <w:tcBorders>
              <w:tl2br w:val="nil"/>
              <w:tr2bl w:val="nil"/>
            </w:tcBorders>
            <w:vAlign w:val="center"/>
          </w:tcPr>
          <w:p w14:paraId="7030C85E">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pacing w:val="-1"/>
                <w:sz w:val="21"/>
                <w:szCs w:val="21"/>
                <w:highlight w:val="none"/>
              </w:rPr>
            </w:pPr>
          </w:p>
        </w:tc>
        <w:tc>
          <w:tcPr>
            <w:tcW w:w="1915" w:type="pct"/>
            <w:tcBorders>
              <w:tl2br w:val="nil"/>
              <w:tr2bl w:val="nil"/>
            </w:tcBorders>
            <w:vAlign w:val="center"/>
          </w:tcPr>
          <w:p w14:paraId="74C32608">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rPr>
                <w:rFonts w:hint="default" w:ascii="Times New Roman" w:hAnsi="Times New Roman" w:eastAsia="宋体" w:cs="Times New Roman"/>
                <w:b w:val="0"/>
                <w:bCs/>
                <w:color w:val="auto"/>
                <w:spacing w:val="-1"/>
                <w:sz w:val="21"/>
                <w:szCs w:val="21"/>
                <w:highlight w:val="none"/>
              </w:rPr>
            </w:pPr>
            <w:r>
              <w:rPr>
                <w:rFonts w:hint="default" w:ascii="Times New Roman" w:hAnsi="Times New Roman" w:eastAsia="宋体" w:cs="Times New Roman"/>
                <w:b w:val="0"/>
                <w:bCs/>
                <w:color w:val="auto"/>
                <w:spacing w:val="-1"/>
                <w:sz w:val="21"/>
                <w:szCs w:val="21"/>
                <w:highlight w:val="none"/>
              </w:rPr>
              <w:t>雄英101井</w:t>
            </w:r>
            <w:r>
              <w:rPr>
                <w:rFonts w:hint="default" w:ascii="Times New Roman" w:hAnsi="Times New Roman" w:eastAsia="宋体" w:cs="Times New Roman"/>
                <w:b w:val="0"/>
                <w:bCs/>
                <w:color w:val="auto"/>
                <w:spacing w:val="-1"/>
                <w:sz w:val="21"/>
                <w:szCs w:val="21"/>
                <w:highlight w:val="none"/>
                <w:lang w:val="en-US" w:eastAsia="zh-CN"/>
              </w:rPr>
              <w:t>至脱硫站，长5.5km，DN65，柔性复合管</w:t>
            </w:r>
          </w:p>
        </w:tc>
        <w:tc>
          <w:tcPr>
            <w:tcW w:w="278" w:type="pct"/>
            <w:vMerge w:val="continue"/>
            <w:tcBorders>
              <w:tl2br w:val="nil"/>
              <w:tr2bl w:val="nil"/>
            </w:tcBorders>
            <w:vAlign w:val="center"/>
          </w:tcPr>
          <w:p w14:paraId="3E07AE2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rPr>
                <w:rFonts w:hint="default" w:ascii="Times New Roman" w:hAnsi="Times New Roman" w:eastAsia="宋体" w:cs="Times New Roman"/>
                <w:b w:val="0"/>
                <w:bCs/>
                <w:color w:val="auto"/>
                <w:spacing w:val="-1"/>
                <w:sz w:val="21"/>
                <w:szCs w:val="21"/>
                <w:highlight w:val="none"/>
              </w:rPr>
            </w:pPr>
          </w:p>
        </w:tc>
        <w:tc>
          <w:tcPr>
            <w:tcW w:w="1410" w:type="pct"/>
            <w:tcBorders>
              <w:tl2br w:val="nil"/>
              <w:tr2bl w:val="nil"/>
            </w:tcBorders>
            <w:vAlign w:val="center"/>
          </w:tcPr>
          <w:p w14:paraId="551D533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rPr>
                <w:rFonts w:hint="default" w:ascii="Times New Roman" w:hAnsi="Times New Roman" w:eastAsia="宋体" w:cs="Times New Roman"/>
                <w:b w:val="0"/>
                <w:bCs/>
                <w:color w:val="auto"/>
                <w:spacing w:val="-1"/>
                <w:kern w:val="2"/>
                <w:sz w:val="21"/>
                <w:szCs w:val="21"/>
                <w:highlight w:val="none"/>
                <w:lang w:val="en-US" w:eastAsia="zh-CN" w:bidi="ar-SA"/>
              </w:rPr>
            </w:pPr>
            <w:r>
              <w:rPr>
                <w:rFonts w:hint="default" w:ascii="Times New Roman" w:hAnsi="Times New Roman" w:eastAsia="宋体" w:cs="Times New Roman"/>
                <w:b w:val="0"/>
                <w:bCs/>
                <w:color w:val="auto"/>
                <w:spacing w:val="-1"/>
                <w:sz w:val="21"/>
                <w:szCs w:val="21"/>
                <w:highlight w:val="none"/>
              </w:rPr>
              <w:t>雄英101井</w:t>
            </w:r>
            <w:r>
              <w:rPr>
                <w:rFonts w:hint="default" w:ascii="Times New Roman" w:hAnsi="Times New Roman" w:eastAsia="宋体" w:cs="Times New Roman"/>
                <w:b w:val="0"/>
                <w:bCs/>
                <w:color w:val="auto"/>
                <w:spacing w:val="-1"/>
                <w:sz w:val="21"/>
                <w:szCs w:val="21"/>
                <w:highlight w:val="none"/>
                <w:lang w:val="en-US" w:eastAsia="zh-CN"/>
              </w:rPr>
              <w:t>至雄探1试采点阀组，长5.53km，DN80，玻璃钢管</w:t>
            </w:r>
          </w:p>
        </w:tc>
        <w:tc>
          <w:tcPr>
            <w:tcW w:w="716" w:type="pct"/>
            <w:vMerge w:val="continue"/>
            <w:tcBorders>
              <w:tl2br w:val="nil"/>
              <w:tr2bl w:val="nil"/>
            </w:tcBorders>
            <w:vAlign w:val="center"/>
          </w:tcPr>
          <w:p w14:paraId="26B96C1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rPr>
                <w:rFonts w:hint="default" w:ascii="Times New Roman" w:hAnsi="Times New Roman" w:eastAsia="宋体" w:cs="Times New Roman"/>
                <w:b w:val="0"/>
                <w:bCs/>
                <w:color w:val="auto"/>
                <w:spacing w:val="-1"/>
                <w:sz w:val="21"/>
                <w:szCs w:val="21"/>
                <w:lang w:val="en-US" w:eastAsia="zh-CN"/>
              </w:rPr>
            </w:pPr>
          </w:p>
        </w:tc>
      </w:tr>
      <w:tr w14:paraId="480A74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69" w:type="pct"/>
            <w:vMerge w:val="continue"/>
            <w:tcBorders>
              <w:tl2br w:val="nil"/>
              <w:tr2bl w:val="nil"/>
            </w:tcBorders>
            <w:vAlign w:val="center"/>
          </w:tcPr>
          <w:p w14:paraId="6687B3E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z w:val="21"/>
                <w:szCs w:val="21"/>
              </w:rPr>
            </w:pPr>
          </w:p>
        </w:tc>
        <w:tc>
          <w:tcPr>
            <w:tcW w:w="170" w:type="pct"/>
            <w:vMerge w:val="continue"/>
            <w:tcBorders>
              <w:tl2br w:val="nil"/>
              <w:tr2bl w:val="nil"/>
            </w:tcBorders>
            <w:vAlign w:val="center"/>
          </w:tcPr>
          <w:p w14:paraId="3FD68BD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z w:val="21"/>
                <w:szCs w:val="21"/>
                <w:lang w:val="en-US" w:eastAsia="zh-CN"/>
              </w:rPr>
            </w:pPr>
          </w:p>
        </w:tc>
        <w:tc>
          <w:tcPr>
            <w:tcW w:w="339" w:type="pct"/>
            <w:vMerge w:val="continue"/>
            <w:tcBorders>
              <w:tl2br w:val="nil"/>
              <w:tr2bl w:val="nil"/>
            </w:tcBorders>
            <w:vAlign w:val="center"/>
          </w:tcPr>
          <w:p w14:paraId="6C9C76F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pacing w:val="-1"/>
                <w:sz w:val="21"/>
                <w:szCs w:val="21"/>
                <w:highlight w:val="none"/>
              </w:rPr>
            </w:pPr>
          </w:p>
        </w:tc>
        <w:tc>
          <w:tcPr>
            <w:tcW w:w="1915" w:type="pct"/>
            <w:tcBorders>
              <w:tl2br w:val="nil"/>
              <w:tr2bl w:val="nil"/>
            </w:tcBorders>
            <w:vAlign w:val="center"/>
          </w:tcPr>
          <w:p w14:paraId="6C3C1018">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rPr>
                <w:rFonts w:hint="default" w:ascii="Times New Roman" w:hAnsi="Times New Roman" w:eastAsia="宋体" w:cs="Times New Roman"/>
                <w:b w:val="0"/>
                <w:bCs/>
                <w:color w:val="auto"/>
                <w:spacing w:val="-1"/>
                <w:sz w:val="21"/>
                <w:szCs w:val="21"/>
                <w:highlight w:val="none"/>
              </w:rPr>
            </w:pPr>
            <w:r>
              <w:rPr>
                <w:rFonts w:hint="default" w:ascii="Times New Roman" w:hAnsi="Times New Roman" w:eastAsia="宋体" w:cs="Times New Roman"/>
                <w:b w:val="0"/>
                <w:bCs/>
                <w:color w:val="auto"/>
                <w:spacing w:val="-1"/>
                <w:sz w:val="21"/>
                <w:szCs w:val="21"/>
                <w:highlight w:val="none"/>
              </w:rPr>
              <w:t>雄英102井</w:t>
            </w:r>
            <w:r>
              <w:rPr>
                <w:rFonts w:hint="default" w:ascii="Times New Roman" w:hAnsi="Times New Roman" w:eastAsia="宋体" w:cs="Times New Roman"/>
                <w:b w:val="0"/>
                <w:bCs/>
                <w:color w:val="auto"/>
                <w:spacing w:val="-1"/>
                <w:sz w:val="21"/>
                <w:szCs w:val="21"/>
                <w:highlight w:val="none"/>
                <w:lang w:val="en-US" w:eastAsia="zh-CN"/>
              </w:rPr>
              <w:t>至脱硫站，长3.3km，DN65，柔性复合管</w:t>
            </w:r>
          </w:p>
        </w:tc>
        <w:tc>
          <w:tcPr>
            <w:tcW w:w="278" w:type="pct"/>
            <w:vMerge w:val="continue"/>
            <w:tcBorders>
              <w:tl2br w:val="nil"/>
              <w:tr2bl w:val="nil"/>
            </w:tcBorders>
            <w:vAlign w:val="center"/>
          </w:tcPr>
          <w:p w14:paraId="6E36165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rPr>
                <w:rFonts w:hint="default" w:ascii="Times New Roman" w:hAnsi="Times New Roman" w:eastAsia="宋体" w:cs="Times New Roman"/>
                <w:b w:val="0"/>
                <w:bCs/>
                <w:color w:val="auto"/>
                <w:spacing w:val="-1"/>
                <w:sz w:val="21"/>
                <w:szCs w:val="21"/>
                <w:highlight w:val="none"/>
              </w:rPr>
            </w:pPr>
          </w:p>
        </w:tc>
        <w:tc>
          <w:tcPr>
            <w:tcW w:w="1410" w:type="pct"/>
            <w:tcBorders>
              <w:tl2br w:val="nil"/>
              <w:tr2bl w:val="nil"/>
            </w:tcBorders>
            <w:vAlign w:val="center"/>
          </w:tcPr>
          <w:p w14:paraId="41D5086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rPr>
                <w:rFonts w:hint="default" w:ascii="Times New Roman" w:hAnsi="Times New Roman" w:eastAsia="宋体" w:cs="Times New Roman"/>
                <w:b w:val="0"/>
                <w:bCs/>
                <w:color w:val="auto"/>
                <w:spacing w:val="-1"/>
                <w:kern w:val="2"/>
                <w:sz w:val="21"/>
                <w:szCs w:val="21"/>
                <w:highlight w:val="none"/>
                <w:lang w:val="en-US" w:eastAsia="zh-CN" w:bidi="ar-SA"/>
              </w:rPr>
            </w:pPr>
            <w:r>
              <w:rPr>
                <w:rFonts w:hint="default" w:ascii="Times New Roman" w:hAnsi="Times New Roman" w:eastAsia="宋体" w:cs="Times New Roman"/>
                <w:b w:val="0"/>
                <w:bCs/>
                <w:color w:val="auto"/>
                <w:spacing w:val="-1"/>
                <w:sz w:val="21"/>
                <w:szCs w:val="21"/>
                <w:highlight w:val="none"/>
              </w:rPr>
              <w:t>雄英102井</w:t>
            </w:r>
            <w:r>
              <w:rPr>
                <w:rFonts w:hint="default" w:ascii="Times New Roman" w:hAnsi="Times New Roman" w:eastAsia="宋体" w:cs="Times New Roman"/>
                <w:b w:val="0"/>
                <w:bCs/>
                <w:color w:val="auto"/>
                <w:spacing w:val="-1"/>
                <w:sz w:val="21"/>
                <w:szCs w:val="21"/>
                <w:highlight w:val="none"/>
                <w:lang w:val="en-US" w:eastAsia="zh-CN"/>
              </w:rPr>
              <w:t>至雄探1试采点阀组，长3.4km，DN80，玻璃钢管</w:t>
            </w:r>
          </w:p>
        </w:tc>
        <w:tc>
          <w:tcPr>
            <w:tcW w:w="716" w:type="pct"/>
            <w:vMerge w:val="continue"/>
            <w:tcBorders>
              <w:tl2br w:val="nil"/>
              <w:tr2bl w:val="nil"/>
            </w:tcBorders>
            <w:vAlign w:val="center"/>
          </w:tcPr>
          <w:p w14:paraId="7535DC10">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rPr>
                <w:rFonts w:hint="default" w:ascii="Times New Roman" w:hAnsi="Times New Roman" w:eastAsia="宋体" w:cs="Times New Roman"/>
                <w:b w:val="0"/>
                <w:bCs/>
                <w:color w:val="auto"/>
                <w:spacing w:val="-1"/>
                <w:sz w:val="21"/>
                <w:szCs w:val="21"/>
                <w:lang w:val="en-US" w:eastAsia="zh-CN"/>
              </w:rPr>
            </w:pPr>
          </w:p>
        </w:tc>
      </w:tr>
      <w:tr w14:paraId="02A66C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69" w:type="pct"/>
            <w:vMerge w:val="continue"/>
            <w:tcBorders>
              <w:tl2br w:val="nil"/>
              <w:tr2bl w:val="nil"/>
            </w:tcBorders>
            <w:vAlign w:val="center"/>
          </w:tcPr>
          <w:p w14:paraId="5DD68B1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z w:val="21"/>
                <w:szCs w:val="21"/>
              </w:rPr>
            </w:pPr>
          </w:p>
        </w:tc>
        <w:tc>
          <w:tcPr>
            <w:tcW w:w="170" w:type="pct"/>
            <w:vMerge w:val="continue"/>
            <w:tcBorders>
              <w:tl2br w:val="nil"/>
              <w:tr2bl w:val="nil"/>
            </w:tcBorders>
            <w:vAlign w:val="center"/>
          </w:tcPr>
          <w:p w14:paraId="65E9D614">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z w:val="21"/>
                <w:szCs w:val="21"/>
                <w:lang w:val="en-US" w:eastAsia="zh-CN"/>
              </w:rPr>
            </w:pPr>
          </w:p>
        </w:tc>
        <w:tc>
          <w:tcPr>
            <w:tcW w:w="339" w:type="pct"/>
            <w:vMerge w:val="continue"/>
            <w:tcBorders>
              <w:tl2br w:val="nil"/>
              <w:tr2bl w:val="nil"/>
            </w:tcBorders>
            <w:vAlign w:val="center"/>
          </w:tcPr>
          <w:p w14:paraId="73F73DB0">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pacing w:val="-1"/>
                <w:sz w:val="21"/>
                <w:szCs w:val="21"/>
                <w:highlight w:val="none"/>
              </w:rPr>
            </w:pPr>
          </w:p>
        </w:tc>
        <w:tc>
          <w:tcPr>
            <w:tcW w:w="1915" w:type="pct"/>
            <w:tcBorders>
              <w:tl2br w:val="nil"/>
              <w:tr2bl w:val="nil"/>
            </w:tcBorders>
            <w:vAlign w:val="center"/>
          </w:tcPr>
          <w:p w14:paraId="5D5FBF4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rPr>
                <w:rFonts w:hint="default" w:ascii="Times New Roman" w:hAnsi="Times New Roman" w:eastAsia="宋体" w:cs="Times New Roman"/>
                <w:b w:val="0"/>
                <w:bCs/>
                <w:color w:val="auto"/>
                <w:spacing w:val="-1"/>
                <w:sz w:val="21"/>
                <w:szCs w:val="21"/>
                <w:highlight w:val="none"/>
              </w:rPr>
            </w:pPr>
            <w:r>
              <w:rPr>
                <w:rFonts w:hint="default" w:ascii="Times New Roman" w:hAnsi="Times New Roman" w:eastAsia="宋体" w:cs="Times New Roman"/>
                <w:b w:val="0"/>
                <w:bCs/>
                <w:color w:val="auto"/>
                <w:spacing w:val="-1"/>
                <w:sz w:val="21"/>
                <w:szCs w:val="21"/>
                <w:highlight w:val="none"/>
              </w:rPr>
              <w:t>雄英103井</w:t>
            </w:r>
            <w:r>
              <w:rPr>
                <w:rFonts w:hint="default" w:ascii="Times New Roman" w:hAnsi="Times New Roman" w:eastAsia="宋体" w:cs="Times New Roman"/>
                <w:b w:val="0"/>
                <w:bCs/>
                <w:color w:val="auto"/>
                <w:spacing w:val="-1"/>
                <w:sz w:val="21"/>
                <w:szCs w:val="21"/>
                <w:highlight w:val="none"/>
                <w:lang w:val="en-US" w:eastAsia="zh-CN"/>
              </w:rPr>
              <w:t>至脱硫站，长2.2km，DN65，柔性复合管</w:t>
            </w:r>
          </w:p>
        </w:tc>
        <w:tc>
          <w:tcPr>
            <w:tcW w:w="278" w:type="pct"/>
            <w:vMerge w:val="continue"/>
            <w:tcBorders>
              <w:tl2br w:val="nil"/>
              <w:tr2bl w:val="nil"/>
            </w:tcBorders>
            <w:vAlign w:val="center"/>
          </w:tcPr>
          <w:p w14:paraId="2BF985D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rPr>
                <w:rFonts w:hint="default" w:ascii="Times New Roman" w:hAnsi="Times New Roman" w:eastAsia="宋体" w:cs="Times New Roman"/>
                <w:b w:val="0"/>
                <w:bCs/>
                <w:color w:val="auto"/>
                <w:spacing w:val="-1"/>
                <w:sz w:val="21"/>
                <w:szCs w:val="21"/>
                <w:highlight w:val="none"/>
              </w:rPr>
            </w:pPr>
          </w:p>
        </w:tc>
        <w:tc>
          <w:tcPr>
            <w:tcW w:w="1410" w:type="pct"/>
            <w:vMerge w:val="restart"/>
            <w:tcBorders>
              <w:tl2br w:val="nil"/>
              <w:tr2bl w:val="nil"/>
            </w:tcBorders>
            <w:vAlign w:val="center"/>
          </w:tcPr>
          <w:p w14:paraId="24CBF4D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rPr>
                <w:rFonts w:hint="default" w:ascii="Times New Roman" w:hAnsi="Times New Roman" w:eastAsia="宋体" w:cs="Times New Roman"/>
                <w:b w:val="0"/>
                <w:bCs/>
                <w:color w:val="auto"/>
                <w:spacing w:val="-1"/>
                <w:kern w:val="2"/>
                <w:sz w:val="21"/>
                <w:szCs w:val="21"/>
                <w:highlight w:val="none"/>
                <w:lang w:val="en-US" w:eastAsia="zh-CN" w:bidi="ar-SA"/>
              </w:rPr>
            </w:pPr>
            <w:r>
              <w:rPr>
                <w:rFonts w:hint="default" w:ascii="Times New Roman" w:hAnsi="Times New Roman" w:eastAsia="宋体" w:cs="Times New Roman"/>
                <w:b w:val="0"/>
                <w:bCs/>
                <w:color w:val="auto"/>
                <w:spacing w:val="-1"/>
                <w:sz w:val="21"/>
                <w:szCs w:val="21"/>
                <w:highlight w:val="none"/>
              </w:rPr>
              <w:t>雄英103井</w:t>
            </w:r>
            <w:r>
              <w:rPr>
                <w:rFonts w:hint="default" w:ascii="Times New Roman" w:hAnsi="Times New Roman" w:eastAsia="宋体" w:cs="Times New Roman"/>
                <w:b w:val="0"/>
                <w:bCs/>
                <w:color w:val="auto"/>
                <w:spacing w:val="-1"/>
                <w:sz w:val="21"/>
                <w:szCs w:val="21"/>
                <w:highlight w:val="none"/>
                <w:lang w:val="en-US" w:eastAsia="zh-CN"/>
              </w:rPr>
              <w:t>至雄探1试采点阀组，长2.23km，DN80，玻璃钢管</w:t>
            </w:r>
          </w:p>
        </w:tc>
        <w:tc>
          <w:tcPr>
            <w:tcW w:w="716" w:type="pct"/>
            <w:vMerge w:val="continue"/>
            <w:tcBorders>
              <w:tl2br w:val="nil"/>
              <w:tr2bl w:val="nil"/>
            </w:tcBorders>
            <w:vAlign w:val="center"/>
          </w:tcPr>
          <w:p w14:paraId="48FB007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rPr>
                <w:rFonts w:hint="default" w:ascii="Times New Roman" w:hAnsi="Times New Roman" w:eastAsia="宋体" w:cs="Times New Roman"/>
                <w:b w:val="0"/>
                <w:bCs/>
                <w:color w:val="auto"/>
                <w:spacing w:val="-1"/>
                <w:sz w:val="21"/>
                <w:szCs w:val="21"/>
                <w:lang w:val="en-US" w:eastAsia="zh-CN"/>
              </w:rPr>
            </w:pPr>
          </w:p>
        </w:tc>
      </w:tr>
      <w:tr w14:paraId="67B1BD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5" w:hRule="atLeast"/>
          <w:jc w:val="center"/>
        </w:trPr>
        <w:tc>
          <w:tcPr>
            <w:tcW w:w="169" w:type="pct"/>
            <w:vMerge w:val="continue"/>
            <w:tcBorders>
              <w:tl2br w:val="nil"/>
              <w:tr2bl w:val="nil"/>
            </w:tcBorders>
            <w:vAlign w:val="center"/>
          </w:tcPr>
          <w:p w14:paraId="0A834D3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z w:val="21"/>
                <w:szCs w:val="21"/>
              </w:rPr>
            </w:pPr>
          </w:p>
        </w:tc>
        <w:tc>
          <w:tcPr>
            <w:tcW w:w="170" w:type="pct"/>
            <w:vMerge w:val="continue"/>
            <w:tcBorders>
              <w:tl2br w:val="nil"/>
              <w:tr2bl w:val="nil"/>
            </w:tcBorders>
            <w:vAlign w:val="center"/>
          </w:tcPr>
          <w:p w14:paraId="501587E8">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z w:val="21"/>
                <w:szCs w:val="21"/>
                <w:lang w:val="en-US" w:eastAsia="zh-CN"/>
              </w:rPr>
            </w:pPr>
          </w:p>
        </w:tc>
        <w:tc>
          <w:tcPr>
            <w:tcW w:w="339" w:type="pct"/>
            <w:vMerge w:val="continue"/>
            <w:tcBorders>
              <w:tl2br w:val="nil"/>
              <w:tr2bl w:val="nil"/>
            </w:tcBorders>
            <w:vAlign w:val="center"/>
          </w:tcPr>
          <w:p w14:paraId="5A0747CE">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pacing w:val="-1"/>
                <w:sz w:val="21"/>
                <w:szCs w:val="21"/>
                <w:highlight w:val="none"/>
              </w:rPr>
            </w:pPr>
          </w:p>
        </w:tc>
        <w:tc>
          <w:tcPr>
            <w:tcW w:w="1915" w:type="pct"/>
            <w:tcBorders>
              <w:tl2br w:val="nil"/>
              <w:tr2bl w:val="nil"/>
            </w:tcBorders>
            <w:vAlign w:val="center"/>
          </w:tcPr>
          <w:p w14:paraId="110A3334">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rPr>
                <w:rFonts w:hint="default" w:ascii="Times New Roman" w:hAnsi="Times New Roman" w:eastAsia="宋体" w:cs="Times New Roman"/>
                <w:b w:val="0"/>
                <w:bCs/>
                <w:color w:val="auto"/>
                <w:spacing w:val="-1"/>
                <w:sz w:val="21"/>
                <w:szCs w:val="21"/>
                <w:highlight w:val="none"/>
                <w:lang w:val="en-US" w:eastAsia="zh-CN"/>
              </w:rPr>
            </w:pPr>
            <w:r>
              <w:rPr>
                <w:rFonts w:hint="default" w:ascii="Times New Roman" w:hAnsi="Times New Roman" w:eastAsia="宋体" w:cs="Times New Roman"/>
                <w:b w:val="0"/>
                <w:bCs/>
                <w:color w:val="auto"/>
                <w:spacing w:val="-1"/>
                <w:sz w:val="21"/>
                <w:szCs w:val="21"/>
                <w:highlight w:val="none"/>
              </w:rPr>
              <w:t>雄英</w:t>
            </w:r>
            <w:r>
              <w:rPr>
                <w:rFonts w:hint="default" w:ascii="Times New Roman" w:hAnsi="Times New Roman" w:eastAsia="宋体" w:cs="Times New Roman"/>
                <w:b w:val="0"/>
                <w:bCs/>
                <w:color w:val="auto"/>
                <w:spacing w:val="-1"/>
                <w:sz w:val="21"/>
                <w:szCs w:val="21"/>
                <w:highlight w:val="none"/>
                <w:lang w:val="en-US" w:eastAsia="zh-CN"/>
              </w:rPr>
              <w:t>2</w:t>
            </w:r>
            <w:r>
              <w:rPr>
                <w:rFonts w:hint="default" w:ascii="Times New Roman" w:hAnsi="Times New Roman" w:eastAsia="宋体" w:cs="Times New Roman"/>
                <w:b w:val="0"/>
                <w:bCs/>
                <w:color w:val="auto"/>
                <w:spacing w:val="-1"/>
                <w:sz w:val="21"/>
                <w:szCs w:val="21"/>
                <w:highlight w:val="none"/>
              </w:rPr>
              <w:t>井</w:t>
            </w:r>
            <w:r>
              <w:rPr>
                <w:rFonts w:hint="default" w:ascii="Times New Roman" w:hAnsi="Times New Roman" w:eastAsia="宋体" w:cs="Times New Roman"/>
                <w:b w:val="0"/>
                <w:bCs/>
                <w:color w:val="auto"/>
                <w:spacing w:val="-1"/>
                <w:sz w:val="21"/>
                <w:szCs w:val="21"/>
                <w:highlight w:val="none"/>
                <w:lang w:val="en-US" w:eastAsia="zh-CN"/>
              </w:rPr>
              <w:t>至脱硫站，长7.6km，DN65，柔性复合管</w:t>
            </w:r>
          </w:p>
        </w:tc>
        <w:tc>
          <w:tcPr>
            <w:tcW w:w="278" w:type="pct"/>
            <w:vMerge w:val="continue"/>
            <w:tcBorders>
              <w:tl2br w:val="nil"/>
              <w:tr2bl w:val="nil"/>
            </w:tcBorders>
            <w:vAlign w:val="center"/>
          </w:tcPr>
          <w:p w14:paraId="435EE9F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rPr>
                <w:rFonts w:hint="default" w:ascii="Times New Roman" w:hAnsi="Times New Roman" w:eastAsia="宋体" w:cs="Times New Roman"/>
                <w:b w:val="0"/>
                <w:bCs/>
                <w:color w:val="auto"/>
                <w:spacing w:val="-1"/>
                <w:sz w:val="21"/>
                <w:szCs w:val="21"/>
                <w:highlight w:val="none"/>
                <w:lang w:val="en-US" w:eastAsia="zh-CN"/>
              </w:rPr>
            </w:pPr>
          </w:p>
        </w:tc>
        <w:tc>
          <w:tcPr>
            <w:tcW w:w="1410" w:type="pct"/>
            <w:vMerge w:val="continue"/>
            <w:tcBorders>
              <w:tl2br w:val="nil"/>
              <w:tr2bl w:val="nil"/>
            </w:tcBorders>
            <w:vAlign w:val="center"/>
          </w:tcPr>
          <w:p w14:paraId="31D3F70C">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rPr>
                <w:rFonts w:hint="default" w:ascii="Times New Roman" w:hAnsi="Times New Roman" w:eastAsia="宋体" w:cs="Times New Roman"/>
                <w:b w:val="0"/>
                <w:bCs/>
                <w:color w:val="auto"/>
                <w:spacing w:val="-1"/>
                <w:sz w:val="21"/>
                <w:szCs w:val="21"/>
                <w:highlight w:val="none"/>
                <w:lang w:val="en-US" w:eastAsia="zh-CN"/>
              </w:rPr>
            </w:pPr>
          </w:p>
        </w:tc>
        <w:tc>
          <w:tcPr>
            <w:tcW w:w="716" w:type="pct"/>
            <w:vMerge w:val="continue"/>
            <w:tcBorders>
              <w:tl2br w:val="nil"/>
              <w:tr2bl w:val="nil"/>
            </w:tcBorders>
            <w:vAlign w:val="center"/>
          </w:tcPr>
          <w:p w14:paraId="3592C492">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rPr>
                <w:rFonts w:hint="default" w:ascii="Times New Roman" w:hAnsi="Times New Roman" w:eastAsia="宋体" w:cs="Times New Roman"/>
                <w:b w:val="0"/>
                <w:bCs/>
                <w:color w:val="auto"/>
                <w:spacing w:val="-1"/>
                <w:sz w:val="21"/>
                <w:szCs w:val="21"/>
                <w:lang w:val="en-US" w:eastAsia="zh-CN"/>
              </w:rPr>
            </w:pPr>
          </w:p>
        </w:tc>
      </w:tr>
      <w:tr w14:paraId="5F458F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5" w:hRule="atLeast"/>
          <w:jc w:val="center"/>
        </w:trPr>
        <w:tc>
          <w:tcPr>
            <w:tcW w:w="169" w:type="pct"/>
            <w:vMerge w:val="continue"/>
            <w:tcBorders>
              <w:tl2br w:val="nil"/>
              <w:tr2bl w:val="nil"/>
            </w:tcBorders>
            <w:vAlign w:val="center"/>
          </w:tcPr>
          <w:p w14:paraId="5DD8A7BE">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z w:val="21"/>
                <w:szCs w:val="21"/>
              </w:rPr>
            </w:pPr>
          </w:p>
        </w:tc>
        <w:tc>
          <w:tcPr>
            <w:tcW w:w="170" w:type="pct"/>
            <w:vMerge w:val="continue"/>
            <w:tcBorders>
              <w:tl2br w:val="nil"/>
              <w:tr2bl w:val="nil"/>
            </w:tcBorders>
            <w:vAlign w:val="center"/>
          </w:tcPr>
          <w:p w14:paraId="3D71D37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z w:val="21"/>
                <w:szCs w:val="21"/>
                <w:lang w:val="en-US" w:eastAsia="zh-CN"/>
              </w:rPr>
            </w:pPr>
          </w:p>
        </w:tc>
        <w:tc>
          <w:tcPr>
            <w:tcW w:w="339" w:type="pct"/>
            <w:vMerge w:val="continue"/>
            <w:tcBorders>
              <w:tl2br w:val="nil"/>
              <w:tr2bl w:val="nil"/>
            </w:tcBorders>
            <w:vAlign w:val="center"/>
          </w:tcPr>
          <w:p w14:paraId="5669CDF8">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pacing w:val="-1"/>
                <w:sz w:val="21"/>
                <w:szCs w:val="21"/>
                <w:highlight w:val="none"/>
              </w:rPr>
            </w:pPr>
          </w:p>
        </w:tc>
        <w:tc>
          <w:tcPr>
            <w:tcW w:w="1915" w:type="pct"/>
            <w:tcBorders>
              <w:tl2br w:val="nil"/>
              <w:tr2bl w:val="nil"/>
            </w:tcBorders>
            <w:vAlign w:val="center"/>
          </w:tcPr>
          <w:p w14:paraId="3CB09CC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rPr>
                <w:rFonts w:hint="default" w:ascii="Times New Roman" w:hAnsi="Times New Roman" w:eastAsia="宋体" w:cs="Times New Roman"/>
                <w:b w:val="0"/>
                <w:bCs/>
                <w:color w:val="auto"/>
                <w:spacing w:val="-1"/>
                <w:sz w:val="21"/>
                <w:szCs w:val="21"/>
                <w:highlight w:val="none"/>
              </w:rPr>
            </w:pPr>
            <w:r>
              <w:rPr>
                <w:rFonts w:hint="default" w:ascii="Times New Roman" w:hAnsi="Times New Roman" w:eastAsia="宋体" w:cs="Times New Roman"/>
                <w:b w:val="0"/>
                <w:bCs/>
                <w:color w:val="auto"/>
                <w:spacing w:val="-1"/>
                <w:sz w:val="21"/>
                <w:szCs w:val="21"/>
                <w:highlight w:val="none"/>
              </w:rPr>
              <w:t>雄英3井</w:t>
            </w:r>
            <w:r>
              <w:rPr>
                <w:rFonts w:hint="default" w:ascii="Times New Roman" w:hAnsi="Times New Roman" w:eastAsia="宋体" w:cs="Times New Roman"/>
                <w:b w:val="0"/>
                <w:bCs/>
                <w:color w:val="auto"/>
                <w:spacing w:val="-1"/>
                <w:sz w:val="21"/>
                <w:szCs w:val="21"/>
                <w:highlight w:val="none"/>
                <w:lang w:val="en-US" w:eastAsia="zh-CN"/>
              </w:rPr>
              <w:t>至脱硫站，长5.5km，DN65，柔性复合管</w:t>
            </w:r>
          </w:p>
        </w:tc>
        <w:tc>
          <w:tcPr>
            <w:tcW w:w="278" w:type="pct"/>
            <w:vMerge w:val="continue"/>
            <w:tcBorders>
              <w:tl2br w:val="nil"/>
              <w:tr2bl w:val="nil"/>
            </w:tcBorders>
            <w:vAlign w:val="center"/>
          </w:tcPr>
          <w:p w14:paraId="3FEC9498">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rPr>
                <w:rFonts w:hint="default" w:ascii="Times New Roman" w:hAnsi="Times New Roman" w:eastAsia="宋体" w:cs="Times New Roman"/>
                <w:b w:val="0"/>
                <w:bCs/>
                <w:color w:val="auto"/>
                <w:spacing w:val="-1"/>
                <w:sz w:val="21"/>
                <w:szCs w:val="21"/>
                <w:highlight w:val="none"/>
                <w:lang w:val="en-US" w:eastAsia="zh-CN"/>
              </w:rPr>
            </w:pPr>
          </w:p>
        </w:tc>
        <w:tc>
          <w:tcPr>
            <w:tcW w:w="1410" w:type="pct"/>
            <w:tcBorders>
              <w:tl2br w:val="nil"/>
              <w:tr2bl w:val="nil"/>
            </w:tcBorders>
            <w:vAlign w:val="center"/>
          </w:tcPr>
          <w:p w14:paraId="035F5930">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rPr>
                <w:rFonts w:hint="default" w:ascii="Times New Roman" w:hAnsi="Times New Roman" w:eastAsia="宋体" w:cs="Times New Roman"/>
                <w:b w:val="0"/>
                <w:bCs/>
                <w:color w:val="auto"/>
                <w:spacing w:val="-1"/>
                <w:sz w:val="21"/>
                <w:szCs w:val="21"/>
                <w:highlight w:val="none"/>
                <w:lang w:val="en-US" w:eastAsia="zh-CN"/>
              </w:rPr>
            </w:pPr>
            <w:r>
              <w:rPr>
                <w:rFonts w:hint="default" w:ascii="Times New Roman" w:hAnsi="Times New Roman" w:eastAsia="宋体" w:cs="Times New Roman"/>
                <w:b w:val="0"/>
                <w:bCs/>
                <w:color w:val="auto"/>
                <w:spacing w:val="-1"/>
                <w:sz w:val="21"/>
                <w:szCs w:val="21"/>
                <w:highlight w:val="none"/>
              </w:rPr>
              <w:t>雄</w:t>
            </w:r>
            <w:r>
              <w:rPr>
                <w:rFonts w:hint="default" w:ascii="Times New Roman" w:hAnsi="Times New Roman" w:eastAsia="宋体" w:cs="Times New Roman"/>
                <w:b w:val="0"/>
                <w:bCs/>
                <w:color w:val="auto"/>
                <w:spacing w:val="-1"/>
                <w:sz w:val="21"/>
                <w:szCs w:val="21"/>
                <w:highlight w:val="none"/>
                <w:lang w:val="en-US" w:eastAsia="zh-CN"/>
              </w:rPr>
              <w:t>英2</w:t>
            </w:r>
            <w:r>
              <w:rPr>
                <w:rFonts w:hint="default" w:ascii="Times New Roman" w:hAnsi="Times New Roman" w:eastAsia="宋体" w:cs="Times New Roman"/>
                <w:b w:val="0"/>
                <w:bCs/>
                <w:color w:val="auto"/>
                <w:spacing w:val="-1"/>
                <w:sz w:val="21"/>
                <w:szCs w:val="21"/>
                <w:highlight w:val="none"/>
              </w:rPr>
              <w:t>井</w:t>
            </w:r>
            <w:r>
              <w:rPr>
                <w:rFonts w:hint="default" w:ascii="Times New Roman" w:hAnsi="Times New Roman" w:eastAsia="宋体" w:cs="Times New Roman"/>
                <w:b w:val="0"/>
                <w:bCs/>
                <w:color w:val="auto"/>
                <w:spacing w:val="-1"/>
                <w:sz w:val="21"/>
                <w:szCs w:val="21"/>
                <w:highlight w:val="none"/>
                <w:lang w:val="en-US" w:eastAsia="zh-CN"/>
              </w:rPr>
              <w:t>至雄探1试采点阀组，长7.7km，DN80，玻璃钢管</w:t>
            </w:r>
          </w:p>
        </w:tc>
        <w:tc>
          <w:tcPr>
            <w:tcW w:w="716" w:type="pct"/>
            <w:vMerge w:val="continue"/>
            <w:tcBorders>
              <w:tl2br w:val="nil"/>
              <w:tr2bl w:val="nil"/>
            </w:tcBorders>
            <w:vAlign w:val="center"/>
          </w:tcPr>
          <w:p w14:paraId="66678B9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rPr>
                <w:rFonts w:hint="default" w:ascii="Times New Roman" w:hAnsi="Times New Roman" w:eastAsia="宋体" w:cs="Times New Roman"/>
                <w:b w:val="0"/>
                <w:bCs/>
                <w:color w:val="auto"/>
                <w:spacing w:val="-1"/>
                <w:sz w:val="21"/>
                <w:szCs w:val="21"/>
                <w:lang w:val="en-US" w:eastAsia="zh-CN"/>
              </w:rPr>
            </w:pPr>
          </w:p>
        </w:tc>
      </w:tr>
      <w:tr w14:paraId="5AF81B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69" w:type="pct"/>
            <w:vMerge w:val="continue"/>
            <w:tcBorders>
              <w:tl2br w:val="nil"/>
              <w:tr2bl w:val="nil"/>
            </w:tcBorders>
            <w:vAlign w:val="center"/>
          </w:tcPr>
          <w:p w14:paraId="504160E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rPr>
                <w:rFonts w:hint="default" w:ascii="Times New Roman" w:hAnsi="Times New Roman" w:eastAsia="宋体" w:cs="Times New Roman"/>
                <w:b w:val="0"/>
                <w:bCs/>
                <w:color w:val="auto"/>
                <w:sz w:val="21"/>
                <w:szCs w:val="21"/>
              </w:rPr>
            </w:pPr>
          </w:p>
        </w:tc>
        <w:tc>
          <w:tcPr>
            <w:tcW w:w="170" w:type="pct"/>
            <w:vMerge w:val="continue"/>
            <w:tcBorders>
              <w:tl2br w:val="nil"/>
              <w:tr2bl w:val="nil"/>
            </w:tcBorders>
            <w:vAlign w:val="center"/>
          </w:tcPr>
          <w:p w14:paraId="383753AC">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rPr>
                <w:rFonts w:hint="default" w:ascii="Times New Roman" w:hAnsi="Times New Roman" w:eastAsia="宋体" w:cs="Times New Roman"/>
                <w:b w:val="0"/>
                <w:bCs/>
                <w:color w:val="auto"/>
                <w:sz w:val="21"/>
                <w:szCs w:val="21"/>
              </w:rPr>
            </w:pPr>
          </w:p>
        </w:tc>
        <w:tc>
          <w:tcPr>
            <w:tcW w:w="339" w:type="pct"/>
            <w:tcBorders>
              <w:tl2br w:val="nil"/>
              <w:tr2bl w:val="nil"/>
            </w:tcBorders>
            <w:vAlign w:val="center"/>
          </w:tcPr>
          <w:p w14:paraId="341CBF2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pacing w:val="-1"/>
                <w:sz w:val="21"/>
                <w:szCs w:val="21"/>
                <w:lang w:val="en-US" w:eastAsia="zh-CN"/>
              </w:rPr>
            </w:pPr>
            <w:r>
              <w:rPr>
                <w:rFonts w:hint="default" w:ascii="Times New Roman" w:hAnsi="Times New Roman" w:eastAsia="宋体" w:cs="Times New Roman"/>
                <w:b w:val="0"/>
                <w:bCs/>
                <w:color w:val="auto"/>
                <w:spacing w:val="-1"/>
                <w:sz w:val="21"/>
                <w:szCs w:val="21"/>
                <w:lang w:val="en-US" w:eastAsia="zh-CN"/>
              </w:rPr>
              <w:t>外输管线</w:t>
            </w:r>
          </w:p>
        </w:tc>
        <w:tc>
          <w:tcPr>
            <w:tcW w:w="1915" w:type="pct"/>
            <w:tcBorders>
              <w:tl2br w:val="nil"/>
              <w:tr2bl w:val="nil"/>
            </w:tcBorders>
            <w:vAlign w:val="center"/>
          </w:tcPr>
          <w:p w14:paraId="2FB0D5D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rPr>
                <w:rFonts w:hint="default" w:ascii="Times New Roman" w:hAnsi="Times New Roman" w:eastAsia="宋体" w:cs="Times New Roman"/>
                <w:b w:val="0"/>
                <w:bCs/>
                <w:color w:val="auto"/>
                <w:spacing w:val="-1"/>
                <w:sz w:val="21"/>
                <w:szCs w:val="21"/>
                <w:lang w:val="en-US" w:eastAsia="zh-CN"/>
              </w:rPr>
            </w:pPr>
            <w:r>
              <w:rPr>
                <w:rFonts w:hint="default" w:ascii="Times New Roman" w:hAnsi="Times New Roman" w:eastAsia="宋体" w:cs="Times New Roman"/>
                <w:b w:val="0"/>
                <w:bCs/>
                <w:color w:val="auto"/>
                <w:spacing w:val="-1"/>
                <w:sz w:val="21"/>
                <w:szCs w:val="21"/>
                <w:lang w:val="en-US" w:eastAsia="zh-CN"/>
              </w:rPr>
              <w:t>脱硫站至玉东1增压站，长31.99km，DN150，碳钢L360NB管材</w:t>
            </w:r>
          </w:p>
        </w:tc>
        <w:tc>
          <w:tcPr>
            <w:tcW w:w="1689" w:type="pct"/>
            <w:gridSpan w:val="2"/>
            <w:tcBorders>
              <w:tl2br w:val="nil"/>
              <w:tr2bl w:val="nil"/>
            </w:tcBorders>
            <w:vAlign w:val="center"/>
          </w:tcPr>
          <w:p w14:paraId="28E83FF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rPr>
                <w:rFonts w:hint="default" w:ascii="Times New Roman" w:hAnsi="Times New Roman" w:eastAsia="宋体" w:cs="Times New Roman"/>
                <w:b w:val="0"/>
                <w:bCs/>
                <w:color w:val="auto"/>
                <w:spacing w:val="-1"/>
                <w:sz w:val="21"/>
                <w:szCs w:val="21"/>
                <w:lang w:val="en-US" w:eastAsia="zh-CN"/>
              </w:rPr>
            </w:pPr>
            <w:r>
              <w:rPr>
                <w:rFonts w:hint="default" w:ascii="Times New Roman" w:hAnsi="Times New Roman" w:eastAsia="宋体" w:cs="Times New Roman"/>
                <w:b w:val="0"/>
                <w:bCs/>
                <w:color w:val="auto"/>
                <w:spacing w:val="-1"/>
                <w:sz w:val="21"/>
                <w:szCs w:val="21"/>
                <w:lang w:val="en-US" w:eastAsia="zh-CN"/>
              </w:rPr>
              <w:t>雄探1试采点处理后天然气经依托已建24km油管输送至玉东2增压站</w:t>
            </w:r>
          </w:p>
        </w:tc>
        <w:tc>
          <w:tcPr>
            <w:tcW w:w="716" w:type="pct"/>
            <w:tcBorders>
              <w:tl2br w:val="nil"/>
              <w:tr2bl w:val="nil"/>
            </w:tcBorders>
            <w:vAlign w:val="center"/>
          </w:tcPr>
          <w:p w14:paraId="7585317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rPr>
                <w:rFonts w:hint="default" w:ascii="Times New Roman" w:hAnsi="Times New Roman" w:eastAsia="宋体" w:cs="Times New Roman"/>
                <w:b w:val="0"/>
                <w:bCs/>
                <w:color w:val="auto"/>
                <w:spacing w:val="-1"/>
                <w:sz w:val="21"/>
                <w:szCs w:val="21"/>
                <w:lang w:val="en-US" w:eastAsia="zh-CN"/>
              </w:rPr>
            </w:pPr>
            <w:r>
              <w:rPr>
                <w:rFonts w:hint="default" w:ascii="Times New Roman" w:hAnsi="Times New Roman" w:eastAsia="宋体" w:cs="Times New Roman"/>
                <w:b w:val="0"/>
                <w:bCs/>
                <w:color w:val="auto"/>
                <w:spacing w:val="-1"/>
                <w:sz w:val="21"/>
                <w:szCs w:val="21"/>
                <w:lang w:val="en-US" w:eastAsia="zh-CN"/>
              </w:rPr>
              <w:t>天然气外输依托已有，不再新建外输天然气管线</w:t>
            </w:r>
          </w:p>
        </w:tc>
      </w:tr>
      <w:tr w14:paraId="5D2822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69" w:type="pct"/>
            <w:vMerge w:val="continue"/>
            <w:tcBorders>
              <w:tl2br w:val="nil"/>
              <w:tr2bl w:val="nil"/>
            </w:tcBorders>
            <w:vAlign w:val="center"/>
          </w:tcPr>
          <w:p w14:paraId="1699D498">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rPr>
                <w:rFonts w:hint="default" w:ascii="Times New Roman" w:hAnsi="Times New Roman" w:eastAsia="宋体" w:cs="Times New Roman"/>
                <w:b w:val="0"/>
                <w:bCs/>
                <w:color w:val="auto"/>
                <w:sz w:val="21"/>
                <w:szCs w:val="21"/>
              </w:rPr>
            </w:pPr>
          </w:p>
        </w:tc>
        <w:tc>
          <w:tcPr>
            <w:tcW w:w="509" w:type="pct"/>
            <w:gridSpan w:val="2"/>
            <w:tcBorders>
              <w:tl2br w:val="nil"/>
              <w:tr2bl w:val="nil"/>
            </w:tcBorders>
            <w:vAlign w:val="center"/>
          </w:tcPr>
          <w:p w14:paraId="32786AF0">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pacing w:val="-1"/>
                <w:sz w:val="21"/>
                <w:szCs w:val="21"/>
                <w:lang w:val="en-US" w:eastAsia="zh-CN"/>
              </w:rPr>
            </w:pPr>
            <w:r>
              <w:rPr>
                <w:rFonts w:hint="default" w:ascii="Times New Roman" w:hAnsi="Times New Roman" w:eastAsia="宋体" w:cs="Times New Roman"/>
                <w:b w:val="0"/>
                <w:bCs/>
                <w:color w:val="auto"/>
                <w:spacing w:val="-1"/>
                <w:sz w:val="21"/>
                <w:szCs w:val="21"/>
                <w:lang w:val="en-US" w:eastAsia="zh-CN"/>
              </w:rPr>
              <w:t>原油外输</w:t>
            </w:r>
          </w:p>
        </w:tc>
        <w:tc>
          <w:tcPr>
            <w:tcW w:w="1915" w:type="pct"/>
            <w:tcBorders>
              <w:tl2br w:val="nil"/>
              <w:tr2bl w:val="nil"/>
            </w:tcBorders>
            <w:vAlign w:val="center"/>
          </w:tcPr>
          <w:p w14:paraId="72AF806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rPr>
                <w:rFonts w:hint="default" w:ascii="Times New Roman" w:hAnsi="Times New Roman" w:eastAsia="宋体" w:cs="Times New Roman"/>
                <w:b w:val="0"/>
                <w:bCs/>
                <w:color w:val="auto"/>
                <w:spacing w:val="-1"/>
                <w:sz w:val="21"/>
                <w:szCs w:val="21"/>
                <w:lang w:val="en-US" w:eastAsia="zh-CN"/>
              </w:rPr>
            </w:pPr>
            <w:r>
              <w:rPr>
                <w:rFonts w:hint="default" w:ascii="Times New Roman" w:hAnsi="Times New Roman" w:eastAsia="宋体" w:cs="Times New Roman"/>
                <w:b w:val="0"/>
                <w:bCs/>
                <w:color w:val="auto"/>
                <w:spacing w:val="-1"/>
                <w:sz w:val="21"/>
                <w:szCs w:val="21"/>
                <w:lang w:val="en-US" w:eastAsia="zh-CN"/>
              </w:rPr>
              <w:t>原</w:t>
            </w:r>
            <w:r>
              <w:rPr>
                <w:rFonts w:hint="default" w:ascii="Times New Roman" w:hAnsi="Times New Roman" w:eastAsia="宋体" w:cs="Times New Roman"/>
                <w:b w:val="0"/>
                <w:bCs/>
                <w:color w:val="auto"/>
                <w:spacing w:val="-1"/>
                <w:sz w:val="21"/>
                <w:szCs w:val="21"/>
                <w:highlight w:val="none"/>
                <w:lang w:val="en-US" w:eastAsia="zh-CN"/>
              </w:rPr>
              <w:t>油闪蒸后采用罐</w:t>
            </w:r>
            <w:r>
              <w:rPr>
                <w:rFonts w:hint="default" w:ascii="Times New Roman" w:hAnsi="Times New Roman" w:eastAsia="宋体" w:cs="Times New Roman"/>
                <w:b w:val="0"/>
                <w:bCs/>
                <w:color w:val="auto"/>
                <w:spacing w:val="-1"/>
                <w:sz w:val="21"/>
                <w:szCs w:val="21"/>
                <w:lang w:val="en-US" w:eastAsia="zh-CN"/>
              </w:rPr>
              <w:t>车拉运至哈六联合站</w:t>
            </w:r>
          </w:p>
        </w:tc>
        <w:tc>
          <w:tcPr>
            <w:tcW w:w="1689" w:type="pct"/>
            <w:gridSpan w:val="2"/>
            <w:tcBorders>
              <w:tl2br w:val="nil"/>
              <w:tr2bl w:val="nil"/>
            </w:tcBorders>
            <w:vAlign w:val="center"/>
          </w:tcPr>
          <w:p w14:paraId="48655A7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rPr>
                <w:rFonts w:hint="default" w:ascii="Times New Roman" w:hAnsi="Times New Roman" w:eastAsia="宋体" w:cs="Times New Roman"/>
                <w:b w:val="0"/>
                <w:bCs/>
                <w:color w:val="auto"/>
                <w:spacing w:val="-1"/>
                <w:sz w:val="21"/>
                <w:szCs w:val="21"/>
                <w:lang w:val="en-US" w:eastAsia="zh-CN"/>
              </w:rPr>
            </w:pPr>
            <w:r>
              <w:rPr>
                <w:rFonts w:hint="default" w:ascii="Times New Roman" w:hAnsi="Times New Roman" w:eastAsia="宋体" w:cs="Times New Roman"/>
                <w:b w:val="0"/>
                <w:bCs/>
                <w:color w:val="auto"/>
                <w:spacing w:val="-1"/>
                <w:sz w:val="21"/>
                <w:szCs w:val="21"/>
                <w:lang w:val="en-US" w:eastAsia="zh-CN"/>
              </w:rPr>
              <w:t>原</w:t>
            </w:r>
            <w:r>
              <w:rPr>
                <w:rFonts w:hint="default" w:ascii="Times New Roman" w:hAnsi="Times New Roman" w:eastAsia="宋体" w:cs="Times New Roman"/>
                <w:b w:val="0"/>
                <w:bCs/>
                <w:color w:val="auto"/>
                <w:spacing w:val="-1"/>
                <w:sz w:val="21"/>
                <w:szCs w:val="21"/>
                <w:highlight w:val="none"/>
                <w:lang w:val="en-US" w:eastAsia="zh-CN"/>
              </w:rPr>
              <w:t>油闪蒸后采用罐</w:t>
            </w:r>
            <w:r>
              <w:rPr>
                <w:rFonts w:hint="default" w:ascii="Times New Roman" w:hAnsi="Times New Roman" w:eastAsia="宋体" w:cs="Times New Roman"/>
                <w:b w:val="0"/>
                <w:bCs/>
                <w:color w:val="auto"/>
                <w:spacing w:val="-1"/>
                <w:sz w:val="21"/>
                <w:szCs w:val="21"/>
                <w:lang w:val="en-US" w:eastAsia="zh-CN"/>
              </w:rPr>
              <w:t>车拉运至哈六联合站</w:t>
            </w:r>
          </w:p>
        </w:tc>
        <w:tc>
          <w:tcPr>
            <w:tcW w:w="716" w:type="pct"/>
            <w:tcBorders>
              <w:tl2br w:val="nil"/>
              <w:tr2bl w:val="nil"/>
            </w:tcBorders>
            <w:vAlign w:val="center"/>
          </w:tcPr>
          <w:p w14:paraId="5E5B70C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rPr>
                <w:rFonts w:hint="default" w:ascii="Times New Roman" w:hAnsi="Times New Roman" w:eastAsia="宋体" w:cs="Times New Roman"/>
                <w:b w:val="0"/>
                <w:bCs/>
                <w:color w:val="auto"/>
                <w:spacing w:val="-1"/>
                <w:sz w:val="21"/>
                <w:szCs w:val="21"/>
                <w:lang w:val="en-US" w:eastAsia="zh-CN"/>
              </w:rPr>
            </w:pPr>
            <w:r>
              <w:rPr>
                <w:rFonts w:hint="default" w:ascii="Times New Roman" w:hAnsi="Times New Roman" w:eastAsia="宋体" w:cs="Times New Roman"/>
                <w:b w:val="0"/>
                <w:bCs/>
                <w:color w:val="auto"/>
                <w:spacing w:val="-1"/>
                <w:sz w:val="21"/>
                <w:szCs w:val="21"/>
                <w:lang w:val="en-US" w:eastAsia="zh-CN"/>
              </w:rPr>
              <w:t>一致</w:t>
            </w:r>
          </w:p>
        </w:tc>
      </w:tr>
      <w:tr w14:paraId="6E877C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69" w:type="pct"/>
            <w:vMerge w:val="restart"/>
            <w:tcBorders>
              <w:tl2br w:val="nil"/>
              <w:tr2bl w:val="nil"/>
            </w:tcBorders>
            <w:vAlign w:val="center"/>
          </w:tcPr>
          <w:p w14:paraId="228B9A7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公辅工程</w:t>
            </w:r>
          </w:p>
        </w:tc>
        <w:tc>
          <w:tcPr>
            <w:tcW w:w="509" w:type="pct"/>
            <w:gridSpan w:val="2"/>
            <w:tcBorders>
              <w:tl2br w:val="nil"/>
              <w:tr2bl w:val="nil"/>
            </w:tcBorders>
            <w:vAlign w:val="center"/>
          </w:tcPr>
          <w:p w14:paraId="5792369E">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供电工程</w:t>
            </w:r>
          </w:p>
        </w:tc>
        <w:tc>
          <w:tcPr>
            <w:tcW w:w="1915" w:type="pct"/>
            <w:tcBorders>
              <w:tl2br w:val="nil"/>
              <w:tr2bl w:val="nil"/>
            </w:tcBorders>
            <w:vAlign w:val="center"/>
          </w:tcPr>
          <w:p w14:paraId="71B554A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left"/>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在试采脱硫站新建35/0.4kV简易变电站1座，电源就近引接新派35kV电网，采用单电源单变压器供电方式。试采阶段推荐采用附近新派电网作为本工程的35kV电源。</w:t>
            </w:r>
          </w:p>
        </w:tc>
        <w:tc>
          <w:tcPr>
            <w:tcW w:w="1689" w:type="pct"/>
            <w:gridSpan w:val="2"/>
            <w:tcBorders>
              <w:tl2br w:val="nil"/>
              <w:tr2bl w:val="nil"/>
            </w:tcBorders>
            <w:vAlign w:val="center"/>
          </w:tcPr>
          <w:p w14:paraId="6A66C7E0">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left"/>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highlight w:val="none"/>
                <w:lang w:val="en-US" w:eastAsia="zh-CN"/>
              </w:rPr>
              <w:t>雄探1试采点电源引自雄探1井场现有S22-M-400/35 400kVA变压器1台，电源接入井场现有区电控信一体化橇内配电柜。试采阶段推荐采用附近新派电网作为本工程的35kV电源。</w:t>
            </w:r>
          </w:p>
        </w:tc>
        <w:tc>
          <w:tcPr>
            <w:tcW w:w="716" w:type="pct"/>
            <w:tcBorders>
              <w:tl2br w:val="nil"/>
              <w:tr2bl w:val="nil"/>
            </w:tcBorders>
            <w:vAlign w:val="center"/>
          </w:tcPr>
          <w:p w14:paraId="5B3BB714">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left"/>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r>
      <w:tr w14:paraId="76DBB8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69" w:type="pct"/>
            <w:vMerge w:val="continue"/>
            <w:tcBorders>
              <w:tl2br w:val="nil"/>
              <w:tr2bl w:val="nil"/>
            </w:tcBorders>
            <w:vAlign w:val="center"/>
          </w:tcPr>
          <w:p w14:paraId="1A6C64A2">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z w:val="21"/>
                <w:szCs w:val="21"/>
                <w:lang w:val="en-US" w:eastAsia="zh-CN"/>
              </w:rPr>
            </w:pPr>
          </w:p>
        </w:tc>
        <w:tc>
          <w:tcPr>
            <w:tcW w:w="509" w:type="pct"/>
            <w:gridSpan w:val="2"/>
            <w:tcBorders>
              <w:tl2br w:val="nil"/>
              <w:tr2bl w:val="nil"/>
            </w:tcBorders>
            <w:vAlign w:val="center"/>
          </w:tcPr>
          <w:p w14:paraId="061B34F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自控工程</w:t>
            </w:r>
          </w:p>
        </w:tc>
        <w:tc>
          <w:tcPr>
            <w:tcW w:w="1915" w:type="pct"/>
            <w:tcBorders>
              <w:tl2br w:val="nil"/>
              <w:tr2bl w:val="nil"/>
            </w:tcBorders>
            <w:vAlign w:val="center"/>
          </w:tcPr>
          <w:p w14:paraId="1E6025C2">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left"/>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rPr>
              <w:t>本项目</w:t>
            </w:r>
            <w:r>
              <w:rPr>
                <w:rFonts w:hint="default" w:ascii="Times New Roman" w:hAnsi="Times New Roman" w:eastAsia="宋体" w:cs="Times New Roman"/>
                <w:b w:val="0"/>
                <w:bCs/>
                <w:color w:val="auto"/>
                <w:sz w:val="21"/>
                <w:szCs w:val="21"/>
                <w:highlight w:val="none"/>
                <w:lang w:eastAsia="zh-CN"/>
              </w:rPr>
              <w:t>6座</w:t>
            </w:r>
            <w:r>
              <w:rPr>
                <w:rFonts w:hint="default" w:ascii="Times New Roman" w:hAnsi="Times New Roman" w:eastAsia="宋体" w:cs="Times New Roman"/>
                <w:b w:val="0"/>
                <w:bCs/>
                <w:color w:val="auto"/>
                <w:sz w:val="21"/>
                <w:szCs w:val="21"/>
                <w:highlight w:val="none"/>
              </w:rPr>
              <w:t>井场和1座试采脱硫站建成后，将采用“定期巡检+集中监控”的生产管理模式，井场和试采脱硫站实现“无人值守，定期巡检，集中监控的”自动化水平</w:t>
            </w:r>
            <w:r>
              <w:rPr>
                <w:rFonts w:hint="default" w:ascii="Times New Roman" w:hAnsi="Times New Roman" w:eastAsia="宋体" w:cs="Times New Roman"/>
                <w:b w:val="0"/>
                <w:bCs/>
                <w:color w:val="auto"/>
                <w:sz w:val="21"/>
                <w:szCs w:val="21"/>
                <w:highlight w:val="none"/>
                <w:lang w:eastAsia="zh-CN"/>
              </w:rPr>
              <w:t>。井场新建井口RTU控制系统，试采脱硫站新建DCS站控系统、GDS气体报警系统和火灾报警系统</w:t>
            </w:r>
          </w:p>
        </w:tc>
        <w:tc>
          <w:tcPr>
            <w:tcW w:w="1689" w:type="pct"/>
            <w:gridSpan w:val="2"/>
            <w:tcBorders>
              <w:tl2br w:val="nil"/>
              <w:tr2bl w:val="nil"/>
            </w:tcBorders>
            <w:vAlign w:val="center"/>
          </w:tcPr>
          <w:p w14:paraId="39E5B8A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left"/>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在雄探1试采点电控信一体化橇内扩建1面PLC控制系统I/O机柜，用于安装本次扩建工程新增I/O点的采集模块，并对操作员站进行组态调整，实现试采点扩建部分工艺生产数据和设备运行状态以及有毒气体和可燃气体泄漏浓度的监控和数据存储。</w:t>
            </w:r>
          </w:p>
        </w:tc>
        <w:tc>
          <w:tcPr>
            <w:tcW w:w="716" w:type="pct"/>
            <w:tcBorders>
              <w:tl2br w:val="nil"/>
              <w:tr2bl w:val="nil"/>
            </w:tcBorders>
            <w:vAlign w:val="center"/>
          </w:tcPr>
          <w:p w14:paraId="0BF8BA4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left"/>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w:t>
            </w:r>
          </w:p>
        </w:tc>
      </w:tr>
      <w:tr w14:paraId="38ED25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69" w:type="pct"/>
            <w:vMerge w:val="continue"/>
            <w:tcBorders>
              <w:tl2br w:val="nil"/>
              <w:tr2bl w:val="nil"/>
            </w:tcBorders>
            <w:vAlign w:val="center"/>
          </w:tcPr>
          <w:p w14:paraId="3CDAD83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z w:val="21"/>
                <w:szCs w:val="21"/>
              </w:rPr>
            </w:pPr>
          </w:p>
        </w:tc>
        <w:tc>
          <w:tcPr>
            <w:tcW w:w="509" w:type="pct"/>
            <w:gridSpan w:val="2"/>
            <w:tcBorders>
              <w:tl2br w:val="nil"/>
              <w:tr2bl w:val="nil"/>
            </w:tcBorders>
            <w:vAlign w:val="center"/>
          </w:tcPr>
          <w:p w14:paraId="14A7E2D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通信工程</w:t>
            </w:r>
          </w:p>
        </w:tc>
        <w:tc>
          <w:tcPr>
            <w:tcW w:w="1915" w:type="pct"/>
            <w:tcBorders>
              <w:tl2br w:val="nil"/>
              <w:tr2bl w:val="nil"/>
            </w:tcBorders>
            <w:vAlign w:val="center"/>
          </w:tcPr>
          <w:p w14:paraId="51883F1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left"/>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rPr>
              <w:t>本工程推荐有线通信系统采用工业以太网交换机组网</w:t>
            </w:r>
            <w:r>
              <w:rPr>
                <w:rFonts w:hint="default" w:ascii="Times New Roman" w:hAnsi="Times New Roman" w:eastAsia="宋体" w:cs="Times New Roman"/>
                <w:b w:val="0"/>
                <w:bCs/>
                <w:color w:val="auto"/>
                <w:sz w:val="21"/>
                <w:szCs w:val="21"/>
                <w:highlight w:val="none"/>
                <w:lang w:eastAsia="zh-CN"/>
              </w:rPr>
              <w:t>。</w:t>
            </w:r>
          </w:p>
        </w:tc>
        <w:tc>
          <w:tcPr>
            <w:tcW w:w="1689" w:type="pct"/>
            <w:gridSpan w:val="2"/>
            <w:tcBorders>
              <w:tl2br w:val="nil"/>
              <w:tr2bl w:val="nil"/>
            </w:tcBorders>
            <w:vAlign w:val="center"/>
          </w:tcPr>
          <w:p w14:paraId="2EF822EC">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left"/>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雄英1井区附近无油田已建光缆，且附近无油田已建电力杆路可依托，距离附近最近的油田站场直线距离约20km；已建雄探1井为有人值守，生产数据及监控图像</w:t>
            </w:r>
            <w:r>
              <w:rPr>
                <w:rFonts w:hint="default" w:ascii="Times New Roman" w:hAnsi="Times New Roman" w:eastAsia="宋体" w:cs="Times New Roman"/>
                <w:b w:val="0"/>
                <w:bCs/>
                <w:color w:val="auto"/>
                <w:sz w:val="21"/>
                <w:szCs w:val="21"/>
                <w:highlight w:val="none"/>
                <w:lang w:eastAsia="zh-CN"/>
              </w:rPr>
              <w:t>均本地管理，就地监视、未进行远传。</w:t>
            </w:r>
            <w:r>
              <w:rPr>
                <w:rFonts w:hint="default" w:ascii="Times New Roman" w:hAnsi="Times New Roman" w:eastAsia="宋体" w:cs="Times New Roman"/>
                <w:b w:val="0"/>
                <w:bCs/>
                <w:color w:val="auto"/>
                <w:sz w:val="21"/>
                <w:szCs w:val="21"/>
                <w:highlight w:val="none"/>
              </w:rPr>
              <w:t>在雄探1试采点附近新建35m单管塔1座</w:t>
            </w:r>
            <w:r>
              <w:rPr>
                <w:rFonts w:hint="default" w:ascii="Times New Roman" w:hAnsi="Times New Roman" w:eastAsia="宋体" w:cs="Times New Roman"/>
                <w:b w:val="0"/>
                <w:bCs/>
                <w:color w:val="auto"/>
                <w:sz w:val="21"/>
                <w:szCs w:val="21"/>
                <w:highlight w:val="none"/>
                <w:lang w:eastAsia="zh-CN"/>
              </w:rPr>
              <w:t>。</w:t>
            </w:r>
          </w:p>
        </w:tc>
        <w:tc>
          <w:tcPr>
            <w:tcW w:w="716" w:type="pct"/>
            <w:tcBorders>
              <w:tl2br w:val="nil"/>
              <w:tr2bl w:val="nil"/>
            </w:tcBorders>
            <w:vAlign w:val="center"/>
          </w:tcPr>
          <w:p w14:paraId="2262C93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left"/>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w:t>
            </w:r>
          </w:p>
        </w:tc>
      </w:tr>
      <w:tr w14:paraId="6923F6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69" w:type="pct"/>
            <w:vMerge w:val="continue"/>
            <w:tcBorders>
              <w:tl2br w:val="nil"/>
              <w:tr2bl w:val="nil"/>
            </w:tcBorders>
            <w:vAlign w:val="center"/>
          </w:tcPr>
          <w:p w14:paraId="145E674C">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z w:val="21"/>
                <w:szCs w:val="21"/>
              </w:rPr>
            </w:pPr>
          </w:p>
        </w:tc>
        <w:tc>
          <w:tcPr>
            <w:tcW w:w="509" w:type="pct"/>
            <w:gridSpan w:val="2"/>
            <w:tcBorders>
              <w:tl2br w:val="nil"/>
              <w:tr2bl w:val="nil"/>
            </w:tcBorders>
            <w:vAlign w:val="center"/>
          </w:tcPr>
          <w:p w14:paraId="23BE3560">
            <w:pPr>
              <w:pStyle w:val="5"/>
              <w:keepNext w:val="0"/>
              <w:keepLines w:val="0"/>
              <w:pageBreakBefore w:val="0"/>
              <w:widowControl w:val="0"/>
              <w:numPr>
                <w:ilvl w:val="3"/>
                <w:numId w:val="0"/>
              </w:numPr>
              <w:kinsoku/>
              <w:wordWrap/>
              <w:overflowPunct/>
              <w:topLinePunct w:val="0"/>
              <w:bidi w:val="0"/>
              <w:adjustRightInd w:val="0"/>
              <w:snapToGrid w:val="0"/>
              <w:spacing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smallCaps w:val="0"/>
                <w:color w:val="auto"/>
                <w:kern w:val="2"/>
                <w:sz w:val="21"/>
                <w:szCs w:val="21"/>
                <w:highlight w:val="none"/>
                <w:lang w:val="en-US" w:eastAsia="zh-CN" w:bidi="ar-SA"/>
              </w:rPr>
              <w:t>消防工程</w:t>
            </w:r>
          </w:p>
        </w:tc>
        <w:tc>
          <w:tcPr>
            <w:tcW w:w="1915" w:type="pct"/>
            <w:tcBorders>
              <w:tl2br w:val="nil"/>
              <w:tr2bl w:val="nil"/>
            </w:tcBorders>
            <w:vAlign w:val="center"/>
          </w:tcPr>
          <w:p w14:paraId="7C818C3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left"/>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本工程消防依托为英买前指的消防站，英买生活公寓的消防车库内配有2台泡沫、水罐消防车，配置消防队员8人。每口单井配置2具手提式灭火器；脱硫站配置54具手提式灭火器，8具推车式磷酸铵盐干粉灭火器。</w:t>
            </w:r>
          </w:p>
        </w:tc>
        <w:tc>
          <w:tcPr>
            <w:tcW w:w="1689" w:type="pct"/>
            <w:gridSpan w:val="2"/>
            <w:tcBorders>
              <w:tl2br w:val="nil"/>
              <w:tr2bl w:val="nil"/>
            </w:tcBorders>
            <w:vAlign w:val="center"/>
          </w:tcPr>
          <w:p w14:paraId="6E37F9B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left"/>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本工程消防依托为英买处理站的消防站。英买生活公寓的消防车库内配有2台泡沫、水罐消防车，配置消防队员8人。每口单井配置</w:t>
            </w:r>
            <w:r>
              <w:rPr>
                <w:rFonts w:hint="default" w:ascii="Times New Roman" w:hAnsi="Times New Roman" w:eastAsia="宋体" w:cs="Times New Roman"/>
                <w:b w:val="0"/>
                <w:bCs/>
                <w:color w:val="auto"/>
                <w:sz w:val="21"/>
                <w:szCs w:val="21"/>
                <w:lang w:val="en-US" w:eastAsia="zh-CN"/>
              </w:rPr>
              <w:t>4</w:t>
            </w:r>
            <w:r>
              <w:rPr>
                <w:rFonts w:hint="default" w:ascii="Times New Roman" w:hAnsi="Times New Roman" w:eastAsia="宋体" w:cs="Times New Roman"/>
                <w:b w:val="0"/>
                <w:bCs/>
                <w:color w:val="auto"/>
                <w:sz w:val="21"/>
                <w:szCs w:val="21"/>
              </w:rPr>
              <w:t>具手提式灭火器；</w:t>
            </w:r>
            <w:r>
              <w:rPr>
                <w:rFonts w:hint="default" w:ascii="Times New Roman" w:hAnsi="Times New Roman" w:eastAsia="宋体" w:cs="Times New Roman"/>
                <w:b w:val="0"/>
                <w:bCs/>
                <w:color w:val="auto"/>
                <w:sz w:val="21"/>
                <w:szCs w:val="21"/>
                <w:lang w:val="en-US" w:eastAsia="zh-CN"/>
              </w:rPr>
              <w:t>雄探1试采点</w:t>
            </w:r>
            <w:r>
              <w:rPr>
                <w:rFonts w:hint="default" w:ascii="Times New Roman" w:hAnsi="Times New Roman" w:eastAsia="宋体" w:cs="Times New Roman"/>
                <w:b w:val="0"/>
                <w:bCs/>
                <w:color w:val="auto"/>
                <w:sz w:val="21"/>
                <w:szCs w:val="21"/>
              </w:rPr>
              <w:t>配置</w:t>
            </w:r>
            <w:r>
              <w:rPr>
                <w:rFonts w:hint="default" w:ascii="Times New Roman" w:hAnsi="Times New Roman" w:eastAsia="宋体" w:cs="Times New Roman"/>
                <w:b w:val="0"/>
                <w:bCs/>
                <w:color w:val="auto"/>
                <w:sz w:val="21"/>
                <w:szCs w:val="21"/>
                <w:lang w:val="en-US" w:eastAsia="zh-CN"/>
              </w:rPr>
              <w:t>18</w:t>
            </w:r>
            <w:r>
              <w:rPr>
                <w:rFonts w:hint="default" w:ascii="Times New Roman" w:hAnsi="Times New Roman" w:eastAsia="宋体" w:cs="Times New Roman"/>
                <w:b w:val="0"/>
                <w:bCs/>
                <w:color w:val="auto"/>
                <w:sz w:val="21"/>
                <w:szCs w:val="21"/>
              </w:rPr>
              <w:t>具手提式灭火器。</w:t>
            </w:r>
          </w:p>
        </w:tc>
        <w:tc>
          <w:tcPr>
            <w:tcW w:w="716" w:type="pct"/>
            <w:tcBorders>
              <w:tl2br w:val="nil"/>
              <w:tr2bl w:val="nil"/>
            </w:tcBorders>
            <w:vAlign w:val="center"/>
          </w:tcPr>
          <w:p w14:paraId="4B59B9A5">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left"/>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w:t>
            </w:r>
          </w:p>
        </w:tc>
      </w:tr>
      <w:tr w14:paraId="1E6D17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69" w:type="pct"/>
            <w:vMerge w:val="continue"/>
            <w:tcBorders>
              <w:tl2br w:val="nil"/>
              <w:tr2bl w:val="nil"/>
            </w:tcBorders>
            <w:vAlign w:val="center"/>
          </w:tcPr>
          <w:p w14:paraId="342D361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z w:val="21"/>
                <w:szCs w:val="21"/>
              </w:rPr>
            </w:pPr>
          </w:p>
        </w:tc>
        <w:tc>
          <w:tcPr>
            <w:tcW w:w="509" w:type="pct"/>
            <w:gridSpan w:val="2"/>
            <w:tcBorders>
              <w:tl2br w:val="nil"/>
              <w:tr2bl w:val="nil"/>
            </w:tcBorders>
            <w:vAlign w:val="center"/>
          </w:tcPr>
          <w:p w14:paraId="25771D2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防腐保温</w:t>
            </w:r>
          </w:p>
        </w:tc>
        <w:tc>
          <w:tcPr>
            <w:tcW w:w="1915" w:type="pct"/>
            <w:tcBorders>
              <w:tl2br w:val="nil"/>
              <w:tr2bl w:val="nil"/>
            </w:tcBorders>
            <w:vAlign w:val="center"/>
          </w:tcPr>
          <w:p w14:paraId="7641EB4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left"/>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地面管道、设备根据工况采用适当的防腐层或防腐保温层。保温材料选用憎水型复合硅酸盐，保冷材料选用柔性保冷材料。含有腐蚀性介质的非标设备内壁，根据设备运行工况采用防腐层防腐。立式储罐底板外壁采用无溶剂液体环氧涂料防腐，罐底边缘板采用粘弹体防腐材料防水密封</w:t>
            </w:r>
            <w:r>
              <w:rPr>
                <w:rFonts w:hint="default" w:ascii="Times New Roman" w:hAnsi="Times New Roman" w:eastAsia="宋体" w:cs="Times New Roman"/>
                <w:b w:val="0"/>
                <w:bCs/>
                <w:color w:val="auto"/>
                <w:sz w:val="21"/>
                <w:szCs w:val="21"/>
                <w:highlight w:val="none"/>
                <w:lang w:eastAsia="zh-CN"/>
              </w:rPr>
              <w:t>。</w:t>
            </w:r>
          </w:p>
        </w:tc>
        <w:tc>
          <w:tcPr>
            <w:tcW w:w="1689" w:type="pct"/>
            <w:gridSpan w:val="2"/>
            <w:tcBorders>
              <w:tl2br w:val="nil"/>
              <w:tr2bl w:val="nil"/>
            </w:tcBorders>
            <w:vAlign w:val="center"/>
          </w:tcPr>
          <w:p w14:paraId="2F4073B5">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left"/>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rPr>
              <w:t>本工程站内管道、设备根据其运行温度及是否保温采用性能优良的外防腐层、保温层；含有腐蚀性介质的非标设备内壁，根据设备运行工况采用防腐层+牺牲阳极的联合保护方案</w:t>
            </w:r>
            <w:r>
              <w:rPr>
                <w:rFonts w:hint="default" w:ascii="Times New Roman" w:hAnsi="Times New Roman" w:eastAsia="宋体" w:cs="Times New Roman"/>
                <w:b w:val="0"/>
                <w:bCs/>
                <w:color w:val="auto"/>
                <w:sz w:val="21"/>
                <w:szCs w:val="21"/>
                <w:lang w:eastAsia="zh-CN"/>
              </w:rPr>
              <w:t>。</w:t>
            </w:r>
          </w:p>
        </w:tc>
        <w:tc>
          <w:tcPr>
            <w:tcW w:w="716" w:type="pct"/>
            <w:tcBorders>
              <w:tl2br w:val="nil"/>
              <w:tr2bl w:val="nil"/>
            </w:tcBorders>
            <w:vAlign w:val="center"/>
          </w:tcPr>
          <w:p w14:paraId="4CED185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left"/>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r>
      <w:tr w14:paraId="52F99E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69" w:type="pct"/>
            <w:vMerge w:val="restart"/>
            <w:tcBorders>
              <w:tl2br w:val="nil"/>
              <w:tr2bl w:val="nil"/>
            </w:tcBorders>
            <w:vAlign w:val="center"/>
          </w:tcPr>
          <w:p w14:paraId="66145BF0">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环保工程</w:t>
            </w:r>
          </w:p>
        </w:tc>
        <w:tc>
          <w:tcPr>
            <w:tcW w:w="509" w:type="pct"/>
            <w:gridSpan w:val="2"/>
            <w:tcBorders>
              <w:tl2br w:val="nil"/>
              <w:tr2bl w:val="nil"/>
            </w:tcBorders>
            <w:vAlign w:val="center"/>
          </w:tcPr>
          <w:p w14:paraId="224EE7F4">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废</w:t>
            </w:r>
            <w:r>
              <w:rPr>
                <w:rFonts w:hint="default" w:ascii="Times New Roman" w:hAnsi="Times New Roman" w:eastAsia="宋体" w:cs="Times New Roman"/>
                <w:b w:val="0"/>
                <w:bCs/>
                <w:color w:val="auto"/>
                <w:sz w:val="21"/>
                <w:szCs w:val="21"/>
                <w:highlight w:val="none"/>
                <w:lang w:val="en-US" w:eastAsia="zh-CN"/>
              </w:rPr>
              <w:t xml:space="preserve">   </w:t>
            </w:r>
            <w:r>
              <w:rPr>
                <w:rFonts w:hint="default" w:ascii="Times New Roman" w:hAnsi="Times New Roman" w:eastAsia="宋体" w:cs="Times New Roman"/>
                <w:b w:val="0"/>
                <w:bCs/>
                <w:color w:val="auto"/>
                <w:sz w:val="21"/>
                <w:szCs w:val="21"/>
                <w:highlight w:val="none"/>
              </w:rPr>
              <w:t>气</w:t>
            </w:r>
          </w:p>
        </w:tc>
        <w:tc>
          <w:tcPr>
            <w:tcW w:w="1915" w:type="pct"/>
            <w:tcBorders>
              <w:tl2br w:val="nil"/>
              <w:tr2bl w:val="nil"/>
            </w:tcBorders>
            <w:vAlign w:val="center"/>
          </w:tcPr>
          <w:p w14:paraId="3A31A82E">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left"/>
              <w:textAlignment w:val="auto"/>
              <w:rPr>
                <w:rFonts w:hint="default" w:ascii="Times New Roman" w:hAnsi="Times New Roman" w:eastAsia="宋体" w:cs="Times New Roman"/>
                <w:b w:val="0"/>
                <w:bCs/>
                <w:color w:val="auto"/>
                <w:spacing w:val="0"/>
                <w:sz w:val="21"/>
                <w:szCs w:val="21"/>
                <w:highlight w:val="none"/>
                <w:lang w:eastAsia="zh-CN"/>
              </w:rPr>
            </w:pPr>
            <w:r>
              <w:rPr>
                <w:rFonts w:hint="default" w:ascii="Times New Roman" w:hAnsi="Times New Roman" w:eastAsia="宋体" w:cs="Times New Roman"/>
                <w:b w:val="0"/>
                <w:bCs/>
                <w:color w:val="auto"/>
                <w:spacing w:val="0"/>
                <w:sz w:val="21"/>
                <w:szCs w:val="21"/>
                <w:highlight w:val="none"/>
              </w:rPr>
              <w:t>施工期废气</w:t>
            </w:r>
            <w:r>
              <w:rPr>
                <w:rFonts w:hint="default" w:ascii="Times New Roman" w:hAnsi="Times New Roman" w:eastAsia="宋体" w:cs="Times New Roman"/>
                <w:b w:val="0"/>
                <w:bCs/>
                <w:color w:val="auto"/>
                <w:spacing w:val="0"/>
                <w:sz w:val="21"/>
                <w:szCs w:val="21"/>
                <w:highlight w:val="none"/>
                <w:lang w:eastAsia="zh-CN"/>
              </w:rPr>
              <w:t>：</w:t>
            </w:r>
            <w:r>
              <w:rPr>
                <w:rFonts w:hint="default" w:ascii="Times New Roman" w:hAnsi="Times New Roman" w:eastAsia="宋体" w:cs="Times New Roman"/>
                <w:b w:val="0"/>
                <w:bCs/>
                <w:color w:val="auto"/>
                <w:spacing w:val="0"/>
                <w:sz w:val="21"/>
                <w:szCs w:val="21"/>
                <w:highlight w:val="none"/>
              </w:rPr>
              <w:t>施工扬尘、作业机械废气、车辆尾气排放；采取进出车辆减速慢行、物料苫盖、使用国家合格燃料等措施</w:t>
            </w:r>
            <w:r>
              <w:rPr>
                <w:rFonts w:hint="default" w:ascii="Times New Roman" w:hAnsi="Times New Roman" w:eastAsia="宋体" w:cs="Times New Roman"/>
                <w:b w:val="0"/>
                <w:bCs/>
                <w:color w:val="auto"/>
                <w:spacing w:val="0"/>
                <w:sz w:val="21"/>
                <w:szCs w:val="21"/>
                <w:highlight w:val="none"/>
                <w:lang w:eastAsia="zh-CN"/>
              </w:rPr>
              <w:t>。</w:t>
            </w:r>
          </w:p>
          <w:p w14:paraId="6F65FC74">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left"/>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pacing w:val="0"/>
                <w:sz w:val="21"/>
                <w:szCs w:val="21"/>
                <w:highlight w:val="none"/>
                <w:lang w:val="en-US" w:eastAsia="zh-CN"/>
              </w:rPr>
              <w:t>运营期</w:t>
            </w:r>
            <w:r>
              <w:rPr>
                <w:rFonts w:hint="default" w:ascii="Times New Roman" w:hAnsi="Times New Roman" w:eastAsia="宋体" w:cs="Times New Roman"/>
                <w:b w:val="0"/>
                <w:bCs/>
                <w:color w:val="auto"/>
                <w:spacing w:val="0"/>
                <w:sz w:val="21"/>
                <w:szCs w:val="21"/>
                <w:highlight w:val="none"/>
              </w:rPr>
              <w:t>：油气集输过程中产生一定量的烃类、天然气火炬放空</w:t>
            </w:r>
            <w:r>
              <w:rPr>
                <w:rFonts w:hint="default" w:ascii="Times New Roman" w:hAnsi="Times New Roman" w:eastAsia="宋体" w:cs="Times New Roman"/>
                <w:b w:val="0"/>
                <w:bCs/>
                <w:color w:val="auto"/>
                <w:spacing w:val="0"/>
                <w:sz w:val="21"/>
                <w:szCs w:val="21"/>
                <w:highlight w:val="none"/>
                <w:lang w:val="en-US" w:eastAsia="zh-CN"/>
              </w:rPr>
              <w:t>无组织烃类排放；天然气采用密闭流程，原油采用装车拉运，装车过程采用气相平衡，可减少烃类气体排放，减少对大气的污染。</w:t>
            </w:r>
          </w:p>
        </w:tc>
        <w:tc>
          <w:tcPr>
            <w:tcW w:w="1689" w:type="pct"/>
            <w:gridSpan w:val="2"/>
            <w:tcBorders>
              <w:tl2br w:val="nil"/>
              <w:tr2bl w:val="nil"/>
            </w:tcBorders>
            <w:vAlign w:val="center"/>
          </w:tcPr>
          <w:p w14:paraId="02FA2828">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left"/>
              <w:textAlignment w:val="auto"/>
              <w:rPr>
                <w:rFonts w:hint="default" w:ascii="Times New Roman" w:hAnsi="Times New Roman" w:eastAsia="宋体" w:cs="Times New Roman"/>
                <w:b w:val="0"/>
                <w:bCs/>
                <w:color w:val="auto"/>
                <w:spacing w:val="0"/>
                <w:sz w:val="21"/>
                <w:szCs w:val="21"/>
                <w:highlight w:val="none"/>
                <w:lang w:eastAsia="zh-CN"/>
              </w:rPr>
            </w:pPr>
            <w:r>
              <w:rPr>
                <w:rFonts w:hint="default" w:ascii="Times New Roman" w:hAnsi="Times New Roman" w:eastAsia="宋体" w:cs="Times New Roman"/>
                <w:b w:val="0"/>
                <w:bCs/>
                <w:color w:val="auto"/>
                <w:spacing w:val="0"/>
                <w:sz w:val="21"/>
                <w:szCs w:val="21"/>
                <w:highlight w:val="none"/>
              </w:rPr>
              <w:t>施工期废气</w:t>
            </w:r>
            <w:r>
              <w:rPr>
                <w:rFonts w:hint="default" w:ascii="Times New Roman" w:hAnsi="Times New Roman" w:eastAsia="宋体" w:cs="Times New Roman"/>
                <w:b w:val="0"/>
                <w:bCs/>
                <w:color w:val="auto"/>
                <w:spacing w:val="0"/>
                <w:sz w:val="21"/>
                <w:szCs w:val="21"/>
                <w:highlight w:val="none"/>
                <w:lang w:eastAsia="zh-CN"/>
              </w:rPr>
              <w:t>：</w:t>
            </w:r>
            <w:r>
              <w:rPr>
                <w:rFonts w:hint="default" w:ascii="Times New Roman" w:hAnsi="Times New Roman" w:eastAsia="宋体" w:cs="Times New Roman"/>
                <w:b w:val="0"/>
                <w:bCs/>
                <w:color w:val="auto"/>
                <w:spacing w:val="0"/>
                <w:sz w:val="21"/>
                <w:szCs w:val="21"/>
                <w:highlight w:val="none"/>
              </w:rPr>
              <w:t>施工扬尘、作业机械废气、车辆尾气排放；采取进出车辆减速慢行、物料苫盖、使用国家合格燃料等措施</w:t>
            </w:r>
            <w:r>
              <w:rPr>
                <w:rFonts w:hint="default" w:ascii="Times New Roman" w:hAnsi="Times New Roman" w:eastAsia="宋体" w:cs="Times New Roman"/>
                <w:b w:val="0"/>
                <w:bCs/>
                <w:color w:val="auto"/>
                <w:spacing w:val="0"/>
                <w:sz w:val="21"/>
                <w:szCs w:val="21"/>
                <w:highlight w:val="none"/>
                <w:lang w:eastAsia="zh-CN"/>
              </w:rPr>
              <w:t>。</w:t>
            </w:r>
          </w:p>
          <w:p w14:paraId="0A024DE5">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left"/>
              <w:rPr>
                <w:rFonts w:hint="default" w:ascii="Times New Roman" w:hAnsi="Times New Roman" w:eastAsia="宋体" w:cs="Times New Roman"/>
                <w:b w:val="0"/>
                <w:bCs/>
                <w:color w:val="auto"/>
                <w:spacing w:val="0"/>
                <w:sz w:val="21"/>
                <w:szCs w:val="21"/>
                <w:highlight w:val="none"/>
                <w:lang w:val="en-US" w:eastAsia="zh-CN"/>
              </w:rPr>
            </w:pPr>
            <w:r>
              <w:rPr>
                <w:rFonts w:hint="default" w:ascii="Times New Roman" w:hAnsi="Times New Roman" w:eastAsia="宋体" w:cs="Times New Roman"/>
                <w:b w:val="0"/>
                <w:bCs/>
                <w:color w:val="auto"/>
                <w:spacing w:val="0"/>
                <w:sz w:val="21"/>
                <w:szCs w:val="21"/>
                <w:highlight w:val="none"/>
                <w:lang w:val="en-US" w:eastAsia="zh-CN"/>
              </w:rPr>
              <w:t>运营期</w:t>
            </w:r>
            <w:r>
              <w:rPr>
                <w:rFonts w:hint="default" w:ascii="Times New Roman" w:hAnsi="Times New Roman" w:eastAsia="宋体" w:cs="Times New Roman"/>
                <w:b w:val="0"/>
                <w:bCs/>
                <w:color w:val="auto"/>
                <w:spacing w:val="0"/>
                <w:sz w:val="21"/>
                <w:szCs w:val="21"/>
                <w:highlight w:val="none"/>
              </w:rPr>
              <w:t>：</w:t>
            </w:r>
            <w:r>
              <w:rPr>
                <w:rFonts w:hint="default" w:ascii="Times New Roman" w:hAnsi="Times New Roman" w:eastAsia="宋体" w:cs="Times New Roman"/>
                <w:b w:val="0"/>
                <w:bCs/>
                <w:color w:val="auto"/>
                <w:spacing w:val="0"/>
                <w:sz w:val="21"/>
                <w:szCs w:val="21"/>
                <w:highlight w:val="none"/>
                <w:lang w:val="en-US" w:eastAsia="zh-CN"/>
              </w:rPr>
              <w:t>井场加热炉燃烧废气，采用高效的燃烧设施，由8m排气筒排放；</w:t>
            </w:r>
            <w:r>
              <w:rPr>
                <w:rFonts w:hint="default" w:ascii="Times New Roman" w:hAnsi="Times New Roman" w:eastAsia="宋体" w:cs="Times New Roman"/>
                <w:b w:val="0"/>
                <w:bCs/>
                <w:color w:val="auto"/>
                <w:spacing w:val="0"/>
                <w:sz w:val="21"/>
                <w:szCs w:val="21"/>
                <w:highlight w:val="none"/>
              </w:rPr>
              <w:t>油气集输过程中产生一定量的烃类、天然气放空火炬</w:t>
            </w:r>
            <w:r>
              <w:rPr>
                <w:rFonts w:hint="default" w:ascii="Times New Roman" w:hAnsi="Times New Roman" w:eastAsia="宋体" w:cs="Times New Roman"/>
                <w:b w:val="0"/>
                <w:bCs/>
                <w:color w:val="auto"/>
                <w:spacing w:val="0"/>
                <w:sz w:val="21"/>
                <w:szCs w:val="21"/>
                <w:highlight w:val="none"/>
                <w:lang w:val="en-US" w:eastAsia="zh-CN"/>
              </w:rPr>
              <w:t>无组织烃类排放；天然气采用密闭流程，原油采用装车拉运，装车过程采用气相平衡，可减少烃类气体排放，减少对大气的污染。</w:t>
            </w:r>
          </w:p>
        </w:tc>
        <w:tc>
          <w:tcPr>
            <w:tcW w:w="716" w:type="pct"/>
            <w:tcBorders>
              <w:tl2br w:val="nil"/>
              <w:tr2bl w:val="nil"/>
            </w:tcBorders>
            <w:vAlign w:val="center"/>
          </w:tcPr>
          <w:p w14:paraId="434D918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left"/>
              <w:rPr>
                <w:rFonts w:hint="default" w:ascii="Times New Roman" w:hAnsi="Times New Roman" w:eastAsia="宋体" w:cs="Times New Roman"/>
                <w:b w:val="0"/>
                <w:bCs/>
                <w:color w:val="auto"/>
                <w:spacing w:val="0"/>
                <w:sz w:val="21"/>
                <w:szCs w:val="21"/>
                <w:highlight w:val="none"/>
                <w:lang w:val="en-US" w:eastAsia="zh-CN"/>
              </w:rPr>
            </w:pPr>
            <w:r>
              <w:rPr>
                <w:rFonts w:hint="default" w:ascii="Times New Roman" w:hAnsi="Times New Roman" w:eastAsia="宋体" w:cs="Times New Roman"/>
                <w:b w:val="0"/>
                <w:bCs/>
                <w:color w:val="auto"/>
                <w:spacing w:val="0"/>
                <w:sz w:val="21"/>
                <w:szCs w:val="21"/>
                <w:highlight w:val="none"/>
                <w:lang w:val="en-US" w:eastAsia="zh-CN"/>
              </w:rPr>
              <w:t>生产工艺中增加了气液进加热炉加热流程，新增了加热炉燃烧废气（有组织废气），但此部分污染物排放量，在原方案环评报告中为备用状态</w:t>
            </w:r>
          </w:p>
        </w:tc>
      </w:tr>
      <w:tr w14:paraId="0BCBCE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69" w:type="pct"/>
            <w:vMerge w:val="continue"/>
            <w:tcBorders>
              <w:tl2br w:val="nil"/>
              <w:tr2bl w:val="nil"/>
            </w:tcBorders>
            <w:vAlign w:val="center"/>
          </w:tcPr>
          <w:p w14:paraId="6F8F7B7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z w:val="21"/>
                <w:szCs w:val="21"/>
              </w:rPr>
            </w:pPr>
          </w:p>
        </w:tc>
        <w:tc>
          <w:tcPr>
            <w:tcW w:w="509" w:type="pct"/>
            <w:gridSpan w:val="2"/>
            <w:tcBorders>
              <w:tl2br w:val="nil"/>
              <w:tr2bl w:val="nil"/>
            </w:tcBorders>
            <w:vAlign w:val="center"/>
          </w:tcPr>
          <w:p w14:paraId="7400E9E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废</w:t>
            </w:r>
            <w:r>
              <w:rPr>
                <w:rFonts w:hint="default" w:ascii="Times New Roman" w:hAnsi="Times New Roman" w:eastAsia="宋体" w:cs="Times New Roman"/>
                <w:b w:val="0"/>
                <w:bCs/>
                <w:color w:val="auto"/>
                <w:sz w:val="21"/>
                <w:szCs w:val="21"/>
                <w:highlight w:val="none"/>
                <w:lang w:val="en-US" w:eastAsia="zh-CN"/>
              </w:rPr>
              <w:t xml:space="preserve">   </w:t>
            </w:r>
            <w:r>
              <w:rPr>
                <w:rFonts w:hint="default" w:ascii="Times New Roman" w:hAnsi="Times New Roman" w:eastAsia="宋体" w:cs="Times New Roman"/>
                <w:b w:val="0"/>
                <w:bCs/>
                <w:color w:val="auto"/>
                <w:sz w:val="21"/>
                <w:szCs w:val="21"/>
                <w:highlight w:val="none"/>
              </w:rPr>
              <w:t>水</w:t>
            </w:r>
          </w:p>
        </w:tc>
        <w:tc>
          <w:tcPr>
            <w:tcW w:w="1915" w:type="pct"/>
            <w:tcBorders>
              <w:tl2br w:val="nil"/>
              <w:tr2bl w:val="nil"/>
            </w:tcBorders>
            <w:vAlign w:val="center"/>
          </w:tcPr>
          <w:p w14:paraId="12C877C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left"/>
              <w:textAlignment w:val="auto"/>
              <w:rPr>
                <w:rFonts w:hint="default" w:ascii="Times New Roman" w:hAnsi="Times New Roman" w:eastAsia="宋体" w:cs="Times New Roman"/>
                <w:b w:val="0"/>
                <w:bCs/>
                <w:color w:val="auto"/>
                <w:spacing w:val="0"/>
                <w:sz w:val="21"/>
                <w:szCs w:val="21"/>
                <w:highlight w:val="none"/>
              </w:rPr>
            </w:pPr>
            <w:r>
              <w:rPr>
                <w:rFonts w:hint="default" w:ascii="Times New Roman" w:hAnsi="Times New Roman" w:eastAsia="宋体" w:cs="Times New Roman"/>
                <w:b w:val="0"/>
                <w:bCs/>
                <w:color w:val="auto"/>
                <w:spacing w:val="0"/>
                <w:sz w:val="21"/>
                <w:szCs w:val="21"/>
                <w:highlight w:val="none"/>
              </w:rPr>
              <w:t>施工期废水</w:t>
            </w:r>
            <w:r>
              <w:rPr>
                <w:rFonts w:hint="default" w:ascii="Times New Roman" w:hAnsi="Times New Roman" w:eastAsia="宋体" w:cs="Times New Roman"/>
                <w:b w:val="0"/>
                <w:bCs/>
                <w:color w:val="auto"/>
                <w:spacing w:val="0"/>
                <w:sz w:val="21"/>
                <w:szCs w:val="21"/>
                <w:highlight w:val="none"/>
                <w:lang w:eastAsia="zh-CN"/>
              </w:rPr>
              <w:t>：</w:t>
            </w:r>
            <w:r>
              <w:rPr>
                <w:rFonts w:hint="default" w:ascii="Times New Roman" w:hAnsi="Times New Roman" w:eastAsia="宋体" w:cs="Times New Roman"/>
                <w:b w:val="0"/>
                <w:bCs/>
                <w:color w:val="auto"/>
                <w:spacing w:val="0"/>
                <w:sz w:val="21"/>
                <w:szCs w:val="21"/>
                <w:highlight w:val="none"/>
              </w:rPr>
              <w:t>管线试压废水及生活污水。管线试压废水属于清净废水，试压完成后用于降尘；生活污水暂存于生活污水池，定期由罐车拉运至英买力作业区生活污水处理装置处置。</w:t>
            </w:r>
          </w:p>
          <w:p w14:paraId="3B0CF3AC">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left"/>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pacing w:val="0"/>
                <w:sz w:val="21"/>
                <w:szCs w:val="21"/>
                <w:highlight w:val="none"/>
                <w:lang w:val="en-US" w:eastAsia="zh-CN"/>
              </w:rPr>
              <w:t>运营期</w:t>
            </w:r>
            <w:r>
              <w:rPr>
                <w:rFonts w:hint="default" w:ascii="Times New Roman" w:hAnsi="Times New Roman" w:eastAsia="宋体" w:cs="Times New Roman"/>
                <w:b w:val="0"/>
                <w:bCs/>
                <w:color w:val="auto"/>
                <w:spacing w:val="0"/>
                <w:sz w:val="21"/>
                <w:szCs w:val="21"/>
                <w:highlight w:val="none"/>
              </w:rPr>
              <w:t>：</w:t>
            </w:r>
            <w:r>
              <w:rPr>
                <w:rFonts w:hint="default" w:ascii="Times New Roman" w:hAnsi="Times New Roman" w:eastAsia="宋体" w:cs="Times New Roman"/>
                <w:b w:val="0"/>
                <w:bCs/>
                <w:color w:val="auto"/>
                <w:spacing w:val="0"/>
                <w:sz w:val="21"/>
                <w:szCs w:val="21"/>
                <w:highlight w:val="none"/>
                <w:lang w:val="en-US" w:eastAsia="zh-CN"/>
              </w:rPr>
              <w:t>脱盐水装置废水、</w:t>
            </w:r>
            <w:r>
              <w:rPr>
                <w:rFonts w:hint="default" w:ascii="Times New Roman" w:hAnsi="Times New Roman" w:eastAsia="宋体" w:cs="Times New Roman"/>
                <w:b w:val="0"/>
                <w:bCs/>
                <w:color w:val="auto"/>
                <w:spacing w:val="0"/>
                <w:kern w:val="2"/>
                <w:sz w:val="21"/>
                <w:szCs w:val="21"/>
                <w:highlight w:val="none"/>
                <w:lang w:val="en-US" w:eastAsia="zh-CN" w:bidi="ar-SA"/>
              </w:rPr>
              <w:t>生活污水、井下作业废水。</w:t>
            </w:r>
            <w:r>
              <w:rPr>
                <w:rFonts w:hint="default" w:ascii="Times New Roman" w:hAnsi="Times New Roman" w:eastAsia="宋体" w:cs="Times New Roman"/>
                <w:b w:val="0"/>
                <w:bCs/>
                <w:color w:val="auto"/>
                <w:spacing w:val="0"/>
                <w:sz w:val="21"/>
                <w:szCs w:val="21"/>
                <w:highlight w:val="none"/>
                <w:lang w:val="en-US" w:eastAsia="zh-CN"/>
              </w:rPr>
              <w:t>脱盐水装置废水沉淀后用于站场周边绿化。</w:t>
            </w:r>
            <w:r>
              <w:rPr>
                <w:rFonts w:hint="default" w:ascii="Times New Roman" w:hAnsi="Times New Roman" w:eastAsia="宋体" w:cs="Times New Roman"/>
                <w:b w:val="0"/>
                <w:bCs/>
                <w:color w:val="auto"/>
                <w:spacing w:val="0"/>
                <w:kern w:val="2"/>
                <w:sz w:val="21"/>
                <w:szCs w:val="21"/>
                <w:highlight w:val="none"/>
                <w:lang w:val="en-US" w:eastAsia="zh-CN" w:bidi="ar-SA"/>
              </w:rPr>
              <w:t>井下作业废水自带回收罐回收作业废水，拉运至英买力油田钻试修废弃物环保处理站处理。生活污水暂存于生活污水池，定期由罐车拉运至英买力作业区生活污水处理装置处置。</w:t>
            </w:r>
          </w:p>
        </w:tc>
        <w:tc>
          <w:tcPr>
            <w:tcW w:w="1689" w:type="pct"/>
            <w:gridSpan w:val="2"/>
            <w:tcBorders>
              <w:tl2br w:val="nil"/>
              <w:tr2bl w:val="nil"/>
            </w:tcBorders>
            <w:vAlign w:val="center"/>
          </w:tcPr>
          <w:p w14:paraId="161DBEA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left"/>
              <w:textAlignment w:val="auto"/>
              <w:rPr>
                <w:rFonts w:hint="default" w:ascii="Times New Roman" w:hAnsi="Times New Roman" w:eastAsia="宋体" w:cs="Times New Roman"/>
                <w:b w:val="0"/>
                <w:bCs/>
                <w:color w:val="auto"/>
                <w:spacing w:val="0"/>
                <w:sz w:val="21"/>
                <w:szCs w:val="21"/>
                <w:highlight w:val="none"/>
              </w:rPr>
            </w:pPr>
            <w:r>
              <w:rPr>
                <w:rFonts w:hint="default" w:ascii="Times New Roman" w:hAnsi="Times New Roman" w:eastAsia="宋体" w:cs="Times New Roman"/>
                <w:b w:val="0"/>
                <w:bCs/>
                <w:color w:val="auto"/>
                <w:spacing w:val="0"/>
                <w:sz w:val="21"/>
                <w:szCs w:val="21"/>
                <w:highlight w:val="none"/>
              </w:rPr>
              <w:t>施工期废水</w:t>
            </w:r>
            <w:r>
              <w:rPr>
                <w:rFonts w:hint="default" w:ascii="Times New Roman" w:hAnsi="Times New Roman" w:eastAsia="宋体" w:cs="Times New Roman"/>
                <w:b w:val="0"/>
                <w:bCs/>
                <w:color w:val="auto"/>
                <w:spacing w:val="0"/>
                <w:sz w:val="21"/>
                <w:szCs w:val="21"/>
                <w:highlight w:val="none"/>
                <w:lang w:eastAsia="zh-CN"/>
              </w:rPr>
              <w:t>：</w:t>
            </w:r>
            <w:r>
              <w:rPr>
                <w:rFonts w:hint="default" w:ascii="Times New Roman" w:hAnsi="Times New Roman" w:eastAsia="宋体" w:cs="Times New Roman"/>
                <w:b w:val="0"/>
                <w:bCs/>
                <w:color w:val="auto"/>
                <w:spacing w:val="0"/>
                <w:sz w:val="21"/>
                <w:szCs w:val="21"/>
                <w:highlight w:val="none"/>
              </w:rPr>
              <w:t>管线试压废水及生活污水。管线试压废水属于清净废水，试压完成后用于降尘；施工期不设置施工营地</w:t>
            </w:r>
            <w:r>
              <w:rPr>
                <w:rFonts w:hint="default" w:ascii="Times New Roman" w:hAnsi="Times New Roman" w:eastAsia="宋体" w:cs="Times New Roman"/>
                <w:b w:val="0"/>
                <w:bCs/>
                <w:color w:val="auto"/>
                <w:spacing w:val="0"/>
                <w:sz w:val="21"/>
                <w:szCs w:val="21"/>
                <w:highlight w:val="none"/>
                <w:lang w:eastAsia="zh-CN"/>
              </w:rPr>
              <w:t>，</w:t>
            </w:r>
            <w:r>
              <w:rPr>
                <w:rFonts w:hint="default" w:ascii="Times New Roman" w:hAnsi="Times New Roman" w:eastAsia="宋体" w:cs="Times New Roman"/>
                <w:b w:val="0"/>
                <w:bCs/>
                <w:color w:val="auto"/>
                <w:spacing w:val="0"/>
                <w:sz w:val="21"/>
                <w:szCs w:val="21"/>
                <w:highlight w:val="none"/>
              </w:rPr>
              <w:t>少量生活污水依托雄探1试采点。</w:t>
            </w:r>
          </w:p>
          <w:p w14:paraId="1AFC24C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left"/>
              <w:textAlignment w:val="auto"/>
              <w:rPr>
                <w:rFonts w:hint="default" w:ascii="Times New Roman" w:hAnsi="Times New Roman" w:eastAsia="宋体" w:cs="Times New Roman"/>
                <w:b w:val="0"/>
                <w:bCs/>
                <w:color w:val="auto"/>
                <w:spacing w:val="0"/>
                <w:sz w:val="21"/>
                <w:szCs w:val="21"/>
                <w:highlight w:val="none"/>
                <w:lang w:val="en-US" w:eastAsia="zh-CN"/>
              </w:rPr>
            </w:pPr>
            <w:r>
              <w:rPr>
                <w:rFonts w:hint="default" w:ascii="Times New Roman" w:hAnsi="Times New Roman" w:eastAsia="宋体" w:cs="Times New Roman"/>
                <w:b w:val="0"/>
                <w:bCs/>
                <w:color w:val="auto"/>
                <w:spacing w:val="0"/>
                <w:sz w:val="21"/>
                <w:szCs w:val="21"/>
                <w:highlight w:val="none"/>
                <w:lang w:val="en-US" w:eastAsia="zh-CN"/>
              </w:rPr>
              <w:t>运营期</w:t>
            </w:r>
            <w:r>
              <w:rPr>
                <w:rFonts w:hint="default" w:ascii="Times New Roman" w:hAnsi="Times New Roman" w:eastAsia="宋体" w:cs="Times New Roman"/>
                <w:b w:val="0"/>
                <w:bCs/>
                <w:color w:val="auto"/>
                <w:spacing w:val="0"/>
                <w:sz w:val="21"/>
                <w:szCs w:val="21"/>
                <w:highlight w:val="none"/>
              </w:rPr>
              <w:t>：</w:t>
            </w:r>
            <w:r>
              <w:rPr>
                <w:rFonts w:hint="default" w:ascii="Times New Roman" w:hAnsi="Times New Roman" w:eastAsia="宋体" w:cs="Times New Roman"/>
                <w:b w:val="0"/>
                <w:bCs/>
                <w:color w:val="auto"/>
                <w:spacing w:val="0"/>
                <w:kern w:val="2"/>
                <w:sz w:val="21"/>
                <w:szCs w:val="21"/>
                <w:highlight w:val="none"/>
                <w:lang w:val="en-US" w:eastAsia="zh-CN" w:bidi="ar-SA"/>
              </w:rPr>
              <w:t>生活污水、井下作业废水。井下作业废水自带回收罐回收作业废水，拉运至英买力油田钻试修废弃物环保处理站处理。生活污水暂存于生活污水池，定期由罐车拉运至英买力作业区生活污水处理装置处置。</w:t>
            </w:r>
          </w:p>
        </w:tc>
        <w:tc>
          <w:tcPr>
            <w:tcW w:w="716" w:type="pct"/>
            <w:tcBorders>
              <w:tl2br w:val="nil"/>
              <w:tr2bl w:val="nil"/>
            </w:tcBorders>
            <w:vAlign w:val="center"/>
          </w:tcPr>
          <w:p w14:paraId="00701790">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left"/>
              <w:textAlignment w:val="auto"/>
              <w:rPr>
                <w:rFonts w:hint="default" w:ascii="Times New Roman" w:hAnsi="Times New Roman" w:eastAsia="宋体" w:cs="Times New Roman"/>
                <w:b w:val="0"/>
                <w:bCs/>
                <w:color w:val="auto"/>
                <w:spacing w:val="0"/>
                <w:sz w:val="21"/>
                <w:szCs w:val="21"/>
                <w:highlight w:val="none"/>
                <w:lang w:val="en-US" w:eastAsia="zh-CN"/>
              </w:rPr>
            </w:pPr>
            <w:r>
              <w:rPr>
                <w:rFonts w:hint="default" w:ascii="Times New Roman" w:hAnsi="Times New Roman" w:eastAsia="宋体" w:cs="Times New Roman"/>
                <w:b w:val="0"/>
                <w:bCs/>
                <w:color w:val="auto"/>
                <w:spacing w:val="0"/>
                <w:sz w:val="21"/>
                <w:szCs w:val="21"/>
                <w:highlight w:val="none"/>
                <w:lang w:val="en-US" w:eastAsia="zh-CN"/>
              </w:rPr>
              <w:t>-</w:t>
            </w:r>
          </w:p>
        </w:tc>
      </w:tr>
      <w:tr w14:paraId="54AD32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69" w:type="pct"/>
            <w:vMerge w:val="continue"/>
            <w:tcBorders>
              <w:tl2br w:val="nil"/>
              <w:tr2bl w:val="nil"/>
            </w:tcBorders>
            <w:vAlign w:val="center"/>
          </w:tcPr>
          <w:p w14:paraId="6452C782">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z w:val="21"/>
                <w:szCs w:val="21"/>
              </w:rPr>
            </w:pPr>
          </w:p>
        </w:tc>
        <w:tc>
          <w:tcPr>
            <w:tcW w:w="509" w:type="pct"/>
            <w:gridSpan w:val="2"/>
            <w:tcBorders>
              <w:tl2br w:val="nil"/>
              <w:tr2bl w:val="nil"/>
            </w:tcBorders>
            <w:vAlign w:val="center"/>
          </w:tcPr>
          <w:p w14:paraId="70886FD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pacing w:val="0"/>
                <w:sz w:val="21"/>
                <w:szCs w:val="21"/>
                <w:highlight w:val="none"/>
                <w:lang w:val="en-US" w:eastAsia="zh-CN"/>
              </w:rPr>
              <w:t>噪   声</w:t>
            </w:r>
          </w:p>
        </w:tc>
        <w:tc>
          <w:tcPr>
            <w:tcW w:w="1915" w:type="pct"/>
            <w:tcBorders>
              <w:tl2br w:val="nil"/>
              <w:tr2bl w:val="nil"/>
            </w:tcBorders>
            <w:vAlign w:val="center"/>
          </w:tcPr>
          <w:p w14:paraId="69C2505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left"/>
              <w:textAlignment w:val="auto"/>
              <w:rPr>
                <w:rFonts w:hint="default" w:ascii="Times New Roman" w:hAnsi="Times New Roman" w:eastAsia="宋体" w:cs="Times New Roman"/>
                <w:b w:val="0"/>
                <w:bCs/>
                <w:color w:val="auto"/>
                <w:spacing w:val="0"/>
                <w:sz w:val="21"/>
                <w:szCs w:val="21"/>
                <w:highlight w:val="none"/>
              </w:rPr>
            </w:pPr>
            <w:r>
              <w:rPr>
                <w:rFonts w:hint="default" w:ascii="Times New Roman" w:hAnsi="Times New Roman" w:eastAsia="宋体" w:cs="Times New Roman"/>
                <w:b w:val="0"/>
                <w:bCs/>
                <w:color w:val="auto"/>
                <w:spacing w:val="0"/>
                <w:sz w:val="21"/>
                <w:szCs w:val="21"/>
                <w:highlight w:val="none"/>
                <w:lang w:val="en-US" w:eastAsia="zh-CN" w:bidi="ar-SA"/>
              </w:rPr>
              <w:t>施工期：选用低噪声设备，安装基础减振垫，场区四周设围挡，合理安排作业时间。</w:t>
            </w:r>
          </w:p>
          <w:p w14:paraId="149D928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left"/>
              <w:textAlignment w:val="auto"/>
              <w:rPr>
                <w:rFonts w:hint="default" w:ascii="Times New Roman" w:hAnsi="Times New Roman" w:eastAsia="宋体" w:cs="Times New Roman"/>
                <w:b w:val="0"/>
                <w:bCs/>
                <w:color w:val="auto"/>
                <w:spacing w:val="0"/>
                <w:sz w:val="21"/>
                <w:szCs w:val="21"/>
                <w:highlight w:val="none"/>
                <w:lang w:val="en-US" w:eastAsia="zh-CN"/>
              </w:rPr>
            </w:pPr>
            <w:r>
              <w:rPr>
                <w:rFonts w:hint="default" w:ascii="Times New Roman" w:hAnsi="Times New Roman" w:eastAsia="宋体" w:cs="Times New Roman"/>
                <w:b w:val="0"/>
                <w:bCs/>
                <w:color w:val="auto"/>
                <w:spacing w:val="0"/>
                <w:kern w:val="2"/>
                <w:sz w:val="21"/>
                <w:szCs w:val="21"/>
                <w:highlight w:val="none"/>
                <w:lang w:val="en-US" w:eastAsia="zh-CN" w:bidi="ar-SA"/>
              </w:rPr>
              <w:t>运营期：</w:t>
            </w:r>
            <w:r>
              <w:rPr>
                <w:rFonts w:hint="default" w:ascii="Times New Roman" w:hAnsi="Times New Roman" w:eastAsia="宋体" w:cs="Times New Roman"/>
                <w:b w:val="0"/>
                <w:bCs/>
                <w:color w:val="auto"/>
                <w:spacing w:val="0"/>
                <w:sz w:val="21"/>
                <w:szCs w:val="21"/>
                <w:highlight w:val="none"/>
                <w:lang w:val="en-US" w:eastAsia="zh-CN" w:bidi="ar-SA"/>
              </w:rPr>
              <w:t>选用低噪声设备，切合实际地提高工艺过程自动化水平，合理安排作业时间。</w:t>
            </w:r>
          </w:p>
        </w:tc>
        <w:tc>
          <w:tcPr>
            <w:tcW w:w="1689" w:type="pct"/>
            <w:gridSpan w:val="2"/>
            <w:tcBorders>
              <w:tl2br w:val="nil"/>
              <w:tr2bl w:val="nil"/>
            </w:tcBorders>
            <w:vAlign w:val="center"/>
          </w:tcPr>
          <w:p w14:paraId="0536191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left"/>
              <w:textAlignment w:val="auto"/>
              <w:rPr>
                <w:rFonts w:hint="default" w:ascii="Times New Roman" w:hAnsi="Times New Roman" w:eastAsia="宋体" w:cs="Times New Roman"/>
                <w:b w:val="0"/>
                <w:bCs/>
                <w:color w:val="auto"/>
                <w:spacing w:val="0"/>
                <w:sz w:val="21"/>
                <w:szCs w:val="21"/>
                <w:highlight w:val="none"/>
              </w:rPr>
            </w:pPr>
            <w:r>
              <w:rPr>
                <w:rFonts w:hint="default" w:ascii="Times New Roman" w:hAnsi="Times New Roman" w:eastAsia="宋体" w:cs="Times New Roman"/>
                <w:b w:val="0"/>
                <w:bCs/>
                <w:color w:val="auto"/>
                <w:spacing w:val="0"/>
                <w:sz w:val="21"/>
                <w:szCs w:val="21"/>
                <w:highlight w:val="none"/>
                <w:lang w:val="en-US" w:eastAsia="zh-CN" w:bidi="ar-SA"/>
              </w:rPr>
              <w:t>施工期：选用低噪声设备，安装基础减振垫，场区四周设围挡，合理安排作业时间。</w:t>
            </w:r>
          </w:p>
          <w:p w14:paraId="3F581C6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left"/>
              <w:textAlignment w:val="auto"/>
              <w:rPr>
                <w:rFonts w:hint="default" w:ascii="Times New Roman" w:hAnsi="Times New Roman" w:eastAsia="宋体" w:cs="Times New Roman"/>
                <w:b w:val="0"/>
                <w:bCs/>
                <w:color w:val="auto"/>
                <w:spacing w:val="0"/>
                <w:kern w:val="2"/>
                <w:sz w:val="21"/>
                <w:szCs w:val="21"/>
                <w:highlight w:val="none"/>
                <w:lang w:val="en-US" w:eastAsia="zh-CN" w:bidi="ar-SA"/>
              </w:rPr>
            </w:pPr>
            <w:r>
              <w:rPr>
                <w:rFonts w:hint="default" w:ascii="Times New Roman" w:hAnsi="Times New Roman" w:eastAsia="宋体" w:cs="Times New Roman"/>
                <w:b w:val="0"/>
                <w:bCs/>
                <w:color w:val="auto"/>
                <w:spacing w:val="0"/>
                <w:kern w:val="2"/>
                <w:sz w:val="21"/>
                <w:szCs w:val="21"/>
                <w:highlight w:val="none"/>
                <w:lang w:val="en-US" w:eastAsia="zh-CN" w:bidi="ar-SA"/>
              </w:rPr>
              <w:t>运营期：</w:t>
            </w:r>
            <w:r>
              <w:rPr>
                <w:rFonts w:hint="default" w:ascii="Times New Roman" w:hAnsi="Times New Roman" w:eastAsia="宋体" w:cs="Times New Roman"/>
                <w:b w:val="0"/>
                <w:bCs/>
                <w:color w:val="auto"/>
                <w:spacing w:val="0"/>
                <w:sz w:val="21"/>
                <w:szCs w:val="21"/>
                <w:highlight w:val="none"/>
                <w:lang w:val="en-US" w:eastAsia="zh-CN" w:bidi="ar-SA"/>
              </w:rPr>
              <w:t>选用低噪声设备，切合实际地提高工艺过程自动化水平，合理安排作业时间。</w:t>
            </w:r>
          </w:p>
        </w:tc>
        <w:tc>
          <w:tcPr>
            <w:tcW w:w="716" w:type="pct"/>
            <w:tcBorders>
              <w:tl2br w:val="nil"/>
              <w:tr2bl w:val="nil"/>
            </w:tcBorders>
            <w:vAlign w:val="center"/>
          </w:tcPr>
          <w:p w14:paraId="1BCFF80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left"/>
              <w:textAlignment w:val="auto"/>
              <w:rPr>
                <w:rFonts w:hint="default" w:ascii="Times New Roman" w:hAnsi="Times New Roman" w:eastAsia="宋体" w:cs="Times New Roman"/>
                <w:b w:val="0"/>
                <w:bCs/>
                <w:color w:val="auto"/>
                <w:spacing w:val="0"/>
                <w:kern w:val="2"/>
                <w:sz w:val="21"/>
                <w:szCs w:val="21"/>
                <w:highlight w:val="none"/>
                <w:lang w:val="en-US" w:eastAsia="zh-CN" w:bidi="ar-SA"/>
              </w:rPr>
            </w:pPr>
            <w:r>
              <w:rPr>
                <w:rFonts w:hint="default" w:ascii="Times New Roman" w:hAnsi="Times New Roman" w:eastAsia="宋体" w:cs="Times New Roman"/>
                <w:b w:val="0"/>
                <w:bCs/>
                <w:color w:val="auto"/>
                <w:spacing w:val="0"/>
                <w:kern w:val="2"/>
                <w:sz w:val="21"/>
                <w:szCs w:val="21"/>
                <w:highlight w:val="none"/>
                <w:lang w:val="en-US" w:eastAsia="zh-CN" w:bidi="ar-SA"/>
              </w:rPr>
              <w:t>-</w:t>
            </w:r>
          </w:p>
        </w:tc>
      </w:tr>
      <w:tr w14:paraId="4DBA46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69" w:type="pct"/>
            <w:vMerge w:val="continue"/>
            <w:tcBorders>
              <w:tl2br w:val="nil"/>
              <w:tr2bl w:val="nil"/>
            </w:tcBorders>
            <w:vAlign w:val="center"/>
          </w:tcPr>
          <w:p w14:paraId="123D107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z w:val="21"/>
                <w:szCs w:val="21"/>
              </w:rPr>
            </w:pPr>
          </w:p>
        </w:tc>
        <w:tc>
          <w:tcPr>
            <w:tcW w:w="509" w:type="pct"/>
            <w:gridSpan w:val="2"/>
            <w:tcBorders>
              <w:tl2br w:val="nil"/>
              <w:tr2bl w:val="nil"/>
            </w:tcBorders>
            <w:vAlign w:val="center"/>
          </w:tcPr>
          <w:p w14:paraId="6A47FAEE">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固</w:t>
            </w:r>
            <w:r>
              <w:rPr>
                <w:rFonts w:hint="default" w:ascii="Times New Roman" w:hAnsi="Times New Roman" w:eastAsia="宋体" w:cs="Times New Roman"/>
                <w:b w:val="0"/>
                <w:bCs/>
                <w:color w:val="auto"/>
                <w:sz w:val="21"/>
                <w:szCs w:val="21"/>
                <w:highlight w:val="none"/>
                <w:lang w:val="en-US" w:eastAsia="zh-CN"/>
              </w:rPr>
              <w:t xml:space="preserve">   </w:t>
            </w:r>
            <w:r>
              <w:rPr>
                <w:rFonts w:hint="default" w:ascii="Times New Roman" w:hAnsi="Times New Roman" w:eastAsia="宋体" w:cs="Times New Roman"/>
                <w:b w:val="0"/>
                <w:bCs/>
                <w:color w:val="auto"/>
                <w:sz w:val="21"/>
                <w:szCs w:val="21"/>
                <w:highlight w:val="none"/>
              </w:rPr>
              <w:t>废</w:t>
            </w:r>
          </w:p>
        </w:tc>
        <w:tc>
          <w:tcPr>
            <w:tcW w:w="1915" w:type="pct"/>
            <w:tcBorders>
              <w:tl2br w:val="nil"/>
              <w:tr2bl w:val="nil"/>
            </w:tcBorders>
            <w:vAlign w:val="center"/>
          </w:tcPr>
          <w:p w14:paraId="4BC23208">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both"/>
              <w:textAlignment w:val="auto"/>
              <w:rPr>
                <w:rFonts w:hint="default" w:ascii="Times New Roman" w:hAnsi="Times New Roman" w:eastAsia="宋体" w:cs="Times New Roman"/>
                <w:b w:val="0"/>
                <w:bCs/>
                <w:color w:val="auto"/>
                <w:spacing w:val="0"/>
                <w:sz w:val="21"/>
                <w:szCs w:val="21"/>
                <w:highlight w:val="none"/>
                <w:lang w:eastAsia="zh-CN"/>
              </w:rPr>
            </w:pPr>
            <w:r>
              <w:rPr>
                <w:rFonts w:hint="default" w:ascii="Times New Roman" w:hAnsi="Times New Roman" w:eastAsia="宋体" w:cs="Times New Roman"/>
                <w:b w:val="0"/>
                <w:bCs/>
                <w:color w:val="auto"/>
                <w:spacing w:val="0"/>
                <w:sz w:val="21"/>
                <w:szCs w:val="21"/>
                <w:highlight w:val="none"/>
              </w:rPr>
              <w:t>施工期：施工期固废主要包括施工土方、施工废料和生活垃圾。施工土方在管线施工结束后回填在管堤上，站场施工过程产生的土方回填至挖方处或回填至周边低洼场地，并实施压实平整</w:t>
            </w:r>
            <w:r>
              <w:rPr>
                <w:rFonts w:hint="default" w:ascii="Times New Roman" w:hAnsi="Times New Roman" w:eastAsia="宋体" w:cs="Times New Roman"/>
                <w:b w:val="0"/>
                <w:bCs/>
                <w:color w:val="auto"/>
                <w:spacing w:val="0"/>
                <w:sz w:val="21"/>
                <w:szCs w:val="21"/>
                <w:highlight w:val="none"/>
                <w:lang w:eastAsia="zh-CN"/>
              </w:rPr>
              <w:t>；施工废料应首先考虑回收利用，不可回收利用部分拉运至英买作业区英买7固废场进行填埋处置；生活垃圾集中收集后委托温宿县垃圾填埋场处置。</w:t>
            </w:r>
          </w:p>
          <w:p w14:paraId="60AF09B1">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left"/>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pacing w:val="0"/>
                <w:kern w:val="2"/>
                <w:sz w:val="21"/>
                <w:szCs w:val="21"/>
                <w:highlight w:val="none"/>
                <w:lang w:val="en-US" w:eastAsia="zh-CN" w:bidi="ar-SA"/>
              </w:rPr>
              <w:t>运营期：运营期产生的固体废物主要为废活性炭、清管废渣、油泥砂、落地油、废防渗膜、废润滑油、井下作业固废及生活垃圾</w:t>
            </w:r>
            <w:r>
              <w:rPr>
                <w:rFonts w:hint="default" w:ascii="Times New Roman" w:hAnsi="Times New Roman" w:eastAsia="宋体" w:cs="Times New Roman"/>
                <w:b w:val="0"/>
                <w:bCs/>
                <w:color w:val="auto"/>
                <w:spacing w:val="0"/>
                <w:sz w:val="21"/>
                <w:szCs w:val="21"/>
                <w:highlight w:val="none"/>
                <w:lang w:val="en-US" w:eastAsia="zh-CN"/>
              </w:rPr>
              <w:t>。</w:t>
            </w:r>
            <w:r>
              <w:rPr>
                <w:rFonts w:hint="default" w:ascii="Times New Roman" w:hAnsi="Times New Roman" w:eastAsia="宋体" w:cs="Times New Roman"/>
                <w:b w:val="0"/>
                <w:bCs/>
                <w:color w:val="auto"/>
                <w:spacing w:val="0"/>
                <w:kern w:val="2"/>
                <w:sz w:val="21"/>
                <w:szCs w:val="21"/>
                <w:highlight w:val="none"/>
                <w:lang w:val="en-US" w:eastAsia="zh-CN" w:bidi="ar-SA"/>
              </w:rPr>
              <w:t>清管废渣、油泥砂、落地油、废防渗膜、废润滑油等危险废物</w:t>
            </w:r>
            <w:r>
              <w:rPr>
                <w:rFonts w:hint="default" w:ascii="Times New Roman" w:hAnsi="Times New Roman" w:eastAsia="宋体" w:cs="Times New Roman"/>
                <w:b w:val="0"/>
                <w:bCs/>
                <w:color w:val="auto"/>
                <w:spacing w:val="0"/>
                <w:sz w:val="21"/>
                <w:szCs w:val="21"/>
                <w:highlight w:val="none"/>
              </w:rPr>
              <w:t>委托有危废处置资质单位进行处置</w:t>
            </w:r>
            <w:r>
              <w:rPr>
                <w:rFonts w:hint="default" w:ascii="Times New Roman" w:hAnsi="Times New Roman" w:eastAsia="宋体" w:cs="Times New Roman"/>
                <w:b w:val="0"/>
                <w:bCs/>
                <w:color w:val="auto"/>
                <w:spacing w:val="0"/>
                <w:sz w:val="21"/>
                <w:szCs w:val="21"/>
                <w:highlight w:val="none"/>
                <w:lang w:val="en-US" w:eastAsia="zh-CN"/>
              </w:rPr>
              <w:t>；</w:t>
            </w:r>
            <w:r>
              <w:rPr>
                <w:rFonts w:hint="default" w:ascii="Times New Roman" w:hAnsi="Times New Roman" w:eastAsia="宋体" w:cs="Times New Roman"/>
                <w:b w:val="0"/>
                <w:bCs/>
                <w:color w:val="auto"/>
                <w:spacing w:val="0"/>
                <w:sz w:val="21"/>
                <w:szCs w:val="21"/>
                <w:highlight w:val="none"/>
              </w:rPr>
              <w:t>落地原油由作业单位100%回收</w:t>
            </w:r>
            <w:r>
              <w:rPr>
                <w:rFonts w:hint="default" w:ascii="Times New Roman" w:hAnsi="Times New Roman" w:eastAsia="宋体" w:cs="Times New Roman"/>
                <w:b w:val="0"/>
                <w:bCs/>
                <w:color w:val="auto"/>
                <w:spacing w:val="0"/>
                <w:sz w:val="21"/>
                <w:szCs w:val="21"/>
                <w:highlight w:val="none"/>
                <w:lang w:eastAsia="zh-CN"/>
              </w:rPr>
              <w:t>，</w:t>
            </w:r>
            <w:r>
              <w:rPr>
                <w:rFonts w:hint="default" w:ascii="Times New Roman" w:hAnsi="Times New Roman" w:eastAsia="宋体" w:cs="Times New Roman"/>
                <w:b w:val="0"/>
                <w:bCs/>
                <w:color w:val="auto"/>
                <w:spacing w:val="0"/>
                <w:sz w:val="21"/>
                <w:szCs w:val="21"/>
                <w:highlight w:val="none"/>
              </w:rPr>
              <w:t>回收后的落地原油</w:t>
            </w:r>
            <w:r>
              <w:rPr>
                <w:rFonts w:hint="default" w:ascii="Times New Roman" w:hAnsi="Times New Roman" w:eastAsia="宋体" w:cs="Times New Roman"/>
                <w:b w:val="0"/>
                <w:bCs/>
                <w:color w:val="auto"/>
                <w:spacing w:val="0"/>
                <w:sz w:val="21"/>
                <w:szCs w:val="21"/>
                <w:highlight w:val="none"/>
                <w:lang w:val="en-US" w:eastAsia="zh-CN"/>
              </w:rPr>
              <w:t>委托</w:t>
            </w:r>
            <w:r>
              <w:rPr>
                <w:rFonts w:hint="default" w:ascii="Times New Roman" w:hAnsi="Times New Roman" w:eastAsia="宋体" w:cs="Times New Roman"/>
                <w:b w:val="0"/>
                <w:bCs/>
                <w:color w:val="auto"/>
                <w:spacing w:val="0"/>
                <w:sz w:val="21"/>
                <w:szCs w:val="21"/>
                <w:highlight w:val="none"/>
              </w:rPr>
              <w:t>有危废处置资质单位进行处置</w:t>
            </w:r>
            <w:r>
              <w:rPr>
                <w:rFonts w:hint="default" w:ascii="Times New Roman" w:hAnsi="Times New Roman" w:eastAsia="宋体" w:cs="Times New Roman"/>
                <w:b w:val="0"/>
                <w:bCs/>
                <w:color w:val="auto"/>
                <w:spacing w:val="0"/>
                <w:sz w:val="21"/>
                <w:szCs w:val="21"/>
                <w:highlight w:val="none"/>
                <w:lang w:eastAsia="zh-CN"/>
              </w:rPr>
              <w:t>。井下作业固废采用专用回收罐进行回收，拉运至英买力气田钻试修废弃物环保处理站进行处理。</w:t>
            </w:r>
          </w:p>
        </w:tc>
        <w:tc>
          <w:tcPr>
            <w:tcW w:w="1689" w:type="pct"/>
            <w:gridSpan w:val="2"/>
            <w:tcBorders>
              <w:tl2br w:val="nil"/>
              <w:tr2bl w:val="nil"/>
            </w:tcBorders>
            <w:vAlign w:val="center"/>
          </w:tcPr>
          <w:p w14:paraId="2020C32C">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both"/>
              <w:textAlignment w:val="auto"/>
              <w:rPr>
                <w:rFonts w:hint="default" w:ascii="Times New Roman" w:hAnsi="Times New Roman" w:eastAsia="宋体" w:cs="Times New Roman"/>
                <w:b w:val="0"/>
                <w:bCs/>
                <w:color w:val="auto"/>
                <w:spacing w:val="0"/>
                <w:sz w:val="21"/>
                <w:szCs w:val="21"/>
                <w:highlight w:val="none"/>
                <w:lang w:eastAsia="zh-CN"/>
              </w:rPr>
            </w:pPr>
            <w:r>
              <w:rPr>
                <w:rFonts w:hint="default" w:ascii="Times New Roman" w:hAnsi="Times New Roman" w:eastAsia="宋体" w:cs="Times New Roman"/>
                <w:b w:val="0"/>
                <w:bCs/>
                <w:color w:val="auto"/>
                <w:spacing w:val="0"/>
                <w:sz w:val="21"/>
                <w:szCs w:val="21"/>
                <w:highlight w:val="none"/>
              </w:rPr>
              <w:t>施工期：施工期固废主要包括施工土方、施工废料和生活垃圾。施工土方在管线施工结束后回填在管堤上，站场施工过程产生的土方回填至挖方处或回填至周边低洼场地，并实施压实平整</w:t>
            </w:r>
            <w:r>
              <w:rPr>
                <w:rFonts w:hint="default" w:ascii="Times New Roman" w:hAnsi="Times New Roman" w:eastAsia="宋体" w:cs="Times New Roman"/>
                <w:b w:val="0"/>
                <w:bCs/>
                <w:color w:val="auto"/>
                <w:spacing w:val="0"/>
                <w:sz w:val="21"/>
                <w:szCs w:val="21"/>
                <w:highlight w:val="none"/>
                <w:lang w:eastAsia="zh-CN"/>
              </w:rPr>
              <w:t>；施工废料应首先考虑回收利用，不可回收利用部分拉运至英买作业区英买7固废场进行填埋处置；施工区不设置施工营地，生活垃圾随车带走，现场不遗留。</w:t>
            </w:r>
          </w:p>
          <w:p w14:paraId="27E582F5">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left"/>
              <w:textAlignment w:val="auto"/>
              <w:rPr>
                <w:rFonts w:hint="default" w:ascii="Times New Roman" w:hAnsi="Times New Roman" w:eastAsia="宋体" w:cs="Times New Roman"/>
                <w:b w:val="0"/>
                <w:bCs/>
                <w:color w:val="auto"/>
                <w:spacing w:val="0"/>
                <w:kern w:val="2"/>
                <w:sz w:val="21"/>
                <w:szCs w:val="21"/>
                <w:highlight w:val="none"/>
                <w:lang w:val="en-US" w:eastAsia="zh-CN" w:bidi="ar-SA"/>
              </w:rPr>
            </w:pPr>
            <w:r>
              <w:rPr>
                <w:rFonts w:hint="default" w:ascii="Times New Roman" w:hAnsi="Times New Roman" w:eastAsia="宋体" w:cs="Times New Roman"/>
                <w:b w:val="0"/>
                <w:bCs/>
                <w:color w:val="auto"/>
                <w:spacing w:val="0"/>
                <w:kern w:val="2"/>
                <w:sz w:val="21"/>
                <w:szCs w:val="21"/>
                <w:highlight w:val="none"/>
                <w:lang w:val="en-US" w:eastAsia="zh-CN" w:bidi="ar-SA"/>
              </w:rPr>
              <w:t>运营期：运营期产生的固体废物主要为废脱硫剂、废分子筛、清管废渣、油泥砂、落地油、废防渗膜、废润滑油、井下作业固废及生活垃圾</w:t>
            </w:r>
            <w:r>
              <w:rPr>
                <w:rFonts w:hint="default" w:ascii="Times New Roman" w:hAnsi="Times New Roman" w:eastAsia="宋体" w:cs="Times New Roman"/>
                <w:b w:val="0"/>
                <w:bCs/>
                <w:color w:val="auto"/>
                <w:spacing w:val="0"/>
                <w:sz w:val="21"/>
                <w:szCs w:val="21"/>
                <w:highlight w:val="none"/>
                <w:lang w:val="en-US" w:eastAsia="zh-CN"/>
              </w:rPr>
              <w:t>。</w:t>
            </w:r>
            <w:r>
              <w:rPr>
                <w:rFonts w:hint="default" w:ascii="Times New Roman" w:hAnsi="Times New Roman" w:eastAsia="宋体" w:cs="Times New Roman"/>
                <w:b w:val="0"/>
                <w:bCs/>
                <w:color w:val="auto"/>
                <w:spacing w:val="0"/>
                <w:kern w:val="2"/>
                <w:sz w:val="21"/>
                <w:szCs w:val="21"/>
                <w:highlight w:val="none"/>
                <w:lang w:val="en-US" w:eastAsia="zh-CN" w:bidi="ar-SA"/>
              </w:rPr>
              <w:t>废脱硫剂、废分子筛，属于一般工业固体废物，由生产厂家进行更换，更换后由其拉走处置；清管废渣、油泥砂、落地油、废防渗膜、废润滑油等危险废物</w:t>
            </w:r>
            <w:r>
              <w:rPr>
                <w:rFonts w:hint="default" w:ascii="Times New Roman" w:hAnsi="Times New Roman" w:eastAsia="宋体" w:cs="Times New Roman"/>
                <w:b w:val="0"/>
                <w:bCs/>
                <w:color w:val="auto"/>
                <w:spacing w:val="0"/>
                <w:sz w:val="21"/>
                <w:szCs w:val="21"/>
                <w:highlight w:val="none"/>
              </w:rPr>
              <w:t>委托有危废处置资质单位进行处置</w:t>
            </w:r>
            <w:r>
              <w:rPr>
                <w:rFonts w:hint="default" w:ascii="Times New Roman" w:hAnsi="Times New Roman" w:eastAsia="宋体" w:cs="Times New Roman"/>
                <w:b w:val="0"/>
                <w:bCs/>
                <w:color w:val="auto"/>
                <w:spacing w:val="0"/>
                <w:sz w:val="21"/>
                <w:szCs w:val="21"/>
                <w:highlight w:val="none"/>
                <w:lang w:val="en-US" w:eastAsia="zh-CN"/>
              </w:rPr>
              <w:t>；</w:t>
            </w:r>
            <w:r>
              <w:rPr>
                <w:rFonts w:hint="default" w:ascii="Times New Roman" w:hAnsi="Times New Roman" w:eastAsia="宋体" w:cs="Times New Roman"/>
                <w:b w:val="0"/>
                <w:bCs/>
                <w:color w:val="auto"/>
                <w:spacing w:val="0"/>
                <w:sz w:val="21"/>
                <w:szCs w:val="21"/>
                <w:highlight w:val="none"/>
              </w:rPr>
              <w:t>落地原油由作业单位100%回收</w:t>
            </w:r>
            <w:r>
              <w:rPr>
                <w:rFonts w:hint="default" w:ascii="Times New Roman" w:hAnsi="Times New Roman" w:eastAsia="宋体" w:cs="Times New Roman"/>
                <w:b w:val="0"/>
                <w:bCs/>
                <w:color w:val="auto"/>
                <w:spacing w:val="0"/>
                <w:sz w:val="21"/>
                <w:szCs w:val="21"/>
                <w:highlight w:val="none"/>
                <w:lang w:eastAsia="zh-CN"/>
              </w:rPr>
              <w:t>，</w:t>
            </w:r>
            <w:r>
              <w:rPr>
                <w:rFonts w:hint="default" w:ascii="Times New Roman" w:hAnsi="Times New Roman" w:eastAsia="宋体" w:cs="Times New Roman"/>
                <w:b w:val="0"/>
                <w:bCs/>
                <w:color w:val="auto"/>
                <w:spacing w:val="0"/>
                <w:sz w:val="21"/>
                <w:szCs w:val="21"/>
                <w:highlight w:val="none"/>
              </w:rPr>
              <w:t>回收后的落地原油</w:t>
            </w:r>
            <w:r>
              <w:rPr>
                <w:rFonts w:hint="default" w:ascii="Times New Roman" w:hAnsi="Times New Roman" w:eastAsia="宋体" w:cs="Times New Roman"/>
                <w:b w:val="0"/>
                <w:bCs/>
                <w:color w:val="auto"/>
                <w:spacing w:val="0"/>
                <w:sz w:val="21"/>
                <w:szCs w:val="21"/>
                <w:highlight w:val="none"/>
                <w:lang w:val="en-US" w:eastAsia="zh-CN"/>
              </w:rPr>
              <w:t>委托</w:t>
            </w:r>
            <w:r>
              <w:rPr>
                <w:rFonts w:hint="default" w:ascii="Times New Roman" w:hAnsi="Times New Roman" w:eastAsia="宋体" w:cs="Times New Roman"/>
                <w:b w:val="0"/>
                <w:bCs/>
                <w:color w:val="auto"/>
                <w:spacing w:val="0"/>
                <w:sz w:val="21"/>
                <w:szCs w:val="21"/>
                <w:highlight w:val="none"/>
              </w:rPr>
              <w:t>有危废处置资质单位进行处置</w:t>
            </w:r>
            <w:r>
              <w:rPr>
                <w:rFonts w:hint="default" w:ascii="Times New Roman" w:hAnsi="Times New Roman" w:eastAsia="宋体" w:cs="Times New Roman"/>
                <w:b w:val="0"/>
                <w:bCs/>
                <w:color w:val="auto"/>
                <w:spacing w:val="0"/>
                <w:sz w:val="21"/>
                <w:szCs w:val="21"/>
                <w:highlight w:val="none"/>
                <w:lang w:eastAsia="zh-CN"/>
              </w:rPr>
              <w:t>。井下作业固废采用专用回收罐进行回收，拉运至英买力气田钻试修废弃物环保处理站进行处理。</w:t>
            </w:r>
          </w:p>
        </w:tc>
        <w:tc>
          <w:tcPr>
            <w:tcW w:w="716" w:type="pct"/>
            <w:tcBorders>
              <w:tl2br w:val="nil"/>
              <w:tr2bl w:val="nil"/>
            </w:tcBorders>
            <w:vAlign w:val="center"/>
          </w:tcPr>
          <w:p w14:paraId="49245706">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left"/>
              <w:textAlignment w:val="auto"/>
              <w:rPr>
                <w:rFonts w:hint="default" w:ascii="Times New Roman" w:hAnsi="Times New Roman" w:eastAsia="宋体" w:cs="Times New Roman"/>
                <w:b w:val="0"/>
                <w:bCs/>
                <w:color w:val="auto"/>
                <w:spacing w:val="0"/>
                <w:kern w:val="2"/>
                <w:sz w:val="21"/>
                <w:szCs w:val="21"/>
                <w:highlight w:val="none"/>
                <w:lang w:val="en-US" w:eastAsia="zh-CN" w:bidi="ar-SA"/>
              </w:rPr>
            </w:pPr>
            <w:r>
              <w:rPr>
                <w:rFonts w:hint="default" w:ascii="Times New Roman" w:hAnsi="Times New Roman" w:eastAsia="宋体" w:cs="Times New Roman"/>
                <w:b w:val="0"/>
                <w:bCs/>
                <w:color w:val="auto"/>
                <w:spacing w:val="0"/>
                <w:kern w:val="2"/>
                <w:sz w:val="21"/>
                <w:szCs w:val="21"/>
                <w:highlight w:val="none"/>
                <w:lang w:val="en-US" w:eastAsia="zh-CN" w:bidi="ar-SA"/>
              </w:rPr>
              <w:t>脱硫工艺发生变化，由湿法脱硫变为干法脱硫，新增了固体废物产生种类，废脱硫剂，废分子筛</w:t>
            </w:r>
          </w:p>
        </w:tc>
      </w:tr>
      <w:tr w14:paraId="398E64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69" w:type="pct"/>
            <w:vMerge w:val="continue"/>
            <w:tcBorders>
              <w:tl2br w:val="nil"/>
              <w:tr2bl w:val="nil"/>
            </w:tcBorders>
            <w:vAlign w:val="center"/>
          </w:tcPr>
          <w:p w14:paraId="79FCCB0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z w:val="21"/>
                <w:szCs w:val="21"/>
              </w:rPr>
            </w:pPr>
          </w:p>
        </w:tc>
        <w:tc>
          <w:tcPr>
            <w:tcW w:w="509" w:type="pct"/>
            <w:gridSpan w:val="2"/>
            <w:tcBorders>
              <w:tl2br w:val="nil"/>
              <w:tr2bl w:val="nil"/>
            </w:tcBorders>
            <w:vAlign w:val="center"/>
          </w:tcPr>
          <w:p w14:paraId="1AFF7F60">
            <w:pPr>
              <w:pStyle w:val="26"/>
              <w:keepNext w:val="0"/>
              <w:keepLines w:val="0"/>
              <w:pageBreakBefore w:val="0"/>
              <w:widowControl w:val="0"/>
              <w:kinsoku/>
              <w:wordWrap/>
              <w:overflowPunct/>
              <w:topLinePunct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pacing w:val="0"/>
                <w:sz w:val="21"/>
                <w:szCs w:val="21"/>
                <w:highlight w:val="none"/>
                <w:lang w:val="en-US" w:eastAsia="zh-CN"/>
              </w:rPr>
            </w:pPr>
            <w:r>
              <w:rPr>
                <w:rFonts w:hint="default" w:ascii="Times New Roman" w:hAnsi="Times New Roman" w:eastAsia="宋体" w:cs="Times New Roman"/>
                <w:b w:val="0"/>
                <w:bCs/>
                <w:color w:val="auto"/>
                <w:spacing w:val="0"/>
                <w:sz w:val="21"/>
                <w:szCs w:val="21"/>
                <w:highlight w:val="none"/>
                <w:lang w:val="en-US" w:eastAsia="zh-CN"/>
              </w:rPr>
              <w:t>生态保护</w:t>
            </w:r>
          </w:p>
        </w:tc>
        <w:tc>
          <w:tcPr>
            <w:tcW w:w="1915" w:type="pct"/>
            <w:tcBorders>
              <w:tl2br w:val="nil"/>
              <w:tr2bl w:val="nil"/>
            </w:tcBorders>
            <w:vAlign w:val="center"/>
          </w:tcPr>
          <w:p w14:paraId="79E5A166">
            <w:pPr>
              <w:pStyle w:val="26"/>
              <w:keepNext w:val="0"/>
              <w:keepLines w:val="0"/>
              <w:pageBreakBefore w:val="0"/>
              <w:widowControl w:val="0"/>
              <w:kinsoku/>
              <w:wordWrap/>
              <w:overflowPunct/>
              <w:topLinePunct w:val="0"/>
              <w:bidi w:val="0"/>
              <w:adjustRightInd w:val="0"/>
              <w:snapToGrid w:val="0"/>
              <w:spacing w:line="240" w:lineRule="auto"/>
              <w:ind w:left="0" w:leftChars="0" w:right="0" w:rightChars="0"/>
              <w:jc w:val="left"/>
              <w:textAlignment w:val="auto"/>
              <w:rPr>
                <w:rFonts w:hint="default" w:ascii="Times New Roman" w:hAnsi="Times New Roman" w:eastAsia="宋体" w:cs="Times New Roman"/>
                <w:b w:val="0"/>
                <w:bCs/>
                <w:color w:val="auto"/>
                <w:spacing w:val="0"/>
                <w:sz w:val="21"/>
                <w:szCs w:val="21"/>
                <w:highlight w:val="none"/>
              </w:rPr>
            </w:pPr>
            <w:r>
              <w:rPr>
                <w:rFonts w:hint="default" w:ascii="Times New Roman" w:hAnsi="Times New Roman" w:eastAsia="宋体" w:cs="Times New Roman"/>
                <w:b w:val="0"/>
                <w:bCs/>
                <w:color w:val="auto"/>
                <w:spacing w:val="0"/>
                <w:sz w:val="21"/>
                <w:szCs w:val="21"/>
                <w:highlight w:val="none"/>
                <w:lang w:val="en-US" w:eastAsia="zh-CN" w:bidi="ar-SA"/>
              </w:rPr>
              <w:t>施工期：</w:t>
            </w:r>
            <w:r>
              <w:rPr>
                <w:rFonts w:hint="default" w:ascii="Times New Roman" w:hAnsi="Times New Roman" w:eastAsia="宋体" w:cs="Times New Roman"/>
                <w:b w:val="0"/>
                <w:bCs/>
                <w:color w:val="auto"/>
                <w:spacing w:val="0"/>
                <w:sz w:val="21"/>
                <w:szCs w:val="21"/>
                <w:highlight w:val="none"/>
              </w:rPr>
              <w:t>严格控制施工作业带宽度；填埋所需土方充分利用挖方，做到土方平衡，减少弃土；临时堆土防尘网苫盖；设置限行彩条旗；洒水降尘。</w:t>
            </w:r>
          </w:p>
          <w:p w14:paraId="2943EE39">
            <w:pPr>
              <w:pStyle w:val="26"/>
              <w:keepNext w:val="0"/>
              <w:keepLines w:val="0"/>
              <w:pageBreakBefore w:val="0"/>
              <w:widowControl w:val="0"/>
              <w:kinsoku/>
              <w:wordWrap/>
              <w:overflowPunct/>
              <w:topLinePunct w:val="0"/>
              <w:bidi w:val="0"/>
              <w:adjustRightInd w:val="0"/>
              <w:snapToGrid w:val="0"/>
              <w:spacing w:line="240" w:lineRule="auto"/>
              <w:ind w:left="0" w:leftChars="0" w:right="0" w:rightChars="0"/>
              <w:jc w:val="left"/>
              <w:textAlignment w:val="auto"/>
              <w:rPr>
                <w:rFonts w:hint="default" w:ascii="Times New Roman" w:hAnsi="Times New Roman" w:eastAsia="宋体" w:cs="Times New Roman"/>
                <w:b w:val="0"/>
                <w:bCs/>
                <w:color w:val="auto"/>
                <w:spacing w:val="0"/>
                <w:sz w:val="21"/>
                <w:szCs w:val="21"/>
                <w:highlight w:val="none"/>
              </w:rPr>
            </w:pPr>
            <w:r>
              <w:rPr>
                <w:rFonts w:hint="default" w:ascii="Times New Roman" w:hAnsi="Times New Roman" w:eastAsia="宋体" w:cs="Times New Roman"/>
                <w:b w:val="0"/>
                <w:bCs/>
                <w:color w:val="auto"/>
                <w:spacing w:val="0"/>
                <w:sz w:val="21"/>
                <w:szCs w:val="21"/>
                <w:highlight w:val="none"/>
                <w:lang w:val="en-US" w:eastAsia="zh-CN" w:bidi="ar-SA"/>
              </w:rPr>
              <w:t>运营期：</w:t>
            </w:r>
            <w:r>
              <w:rPr>
                <w:rFonts w:hint="default" w:ascii="Times New Roman" w:hAnsi="Times New Roman" w:eastAsia="宋体" w:cs="Times New Roman"/>
                <w:b w:val="0"/>
                <w:bCs/>
                <w:color w:val="auto"/>
                <w:spacing w:val="0"/>
                <w:sz w:val="21"/>
                <w:szCs w:val="21"/>
                <w:highlight w:val="none"/>
              </w:rPr>
              <w:t>管线上方设置标志，定时巡查井场</w:t>
            </w:r>
            <w:r>
              <w:rPr>
                <w:rFonts w:hint="default" w:ascii="Times New Roman" w:hAnsi="Times New Roman" w:eastAsia="宋体" w:cs="Times New Roman"/>
                <w:b w:val="0"/>
                <w:bCs/>
                <w:color w:val="auto"/>
                <w:spacing w:val="0"/>
                <w:sz w:val="21"/>
                <w:szCs w:val="21"/>
                <w:highlight w:val="none"/>
                <w:lang w:val="en-US" w:eastAsia="zh-CN"/>
              </w:rPr>
              <w:t>、脱硫站</w:t>
            </w:r>
            <w:r>
              <w:rPr>
                <w:rFonts w:hint="default" w:ascii="Times New Roman" w:hAnsi="Times New Roman" w:eastAsia="宋体" w:cs="Times New Roman"/>
                <w:b w:val="0"/>
                <w:bCs/>
                <w:color w:val="auto"/>
                <w:spacing w:val="0"/>
                <w:sz w:val="21"/>
                <w:szCs w:val="21"/>
                <w:highlight w:val="none"/>
              </w:rPr>
              <w:t>、管线。</w:t>
            </w:r>
          </w:p>
          <w:p w14:paraId="639DF4DB">
            <w:pPr>
              <w:pStyle w:val="26"/>
              <w:keepNext w:val="0"/>
              <w:keepLines w:val="0"/>
              <w:pageBreakBefore w:val="0"/>
              <w:widowControl w:val="0"/>
              <w:kinsoku/>
              <w:wordWrap/>
              <w:overflowPunct/>
              <w:topLinePunct w:val="0"/>
              <w:bidi w:val="0"/>
              <w:adjustRightInd w:val="0"/>
              <w:snapToGrid w:val="0"/>
              <w:spacing w:line="240" w:lineRule="auto"/>
              <w:ind w:left="0" w:leftChars="0" w:right="0" w:rightChars="0"/>
              <w:jc w:val="left"/>
              <w:textAlignment w:val="auto"/>
              <w:rPr>
                <w:rFonts w:hint="default" w:ascii="Times New Roman" w:hAnsi="Times New Roman" w:eastAsia="宋体" w:cs="Times New Roman"/>
                <w:b w:val="0"/>
                <w:bCs/>
                <w:color w:val="auto"/>
                <w:spacing w:val="0"/>
                <w:kern w:val="2"/>
                <w:sz w:val="21"/>
                <w:szCs w:val="21"/>
                <w:highlight w:val="none"/>
                <w:lang w:val="en-US" w:eastAsia="zh-CN" w:bidi="ar-SA"/>
              </w:rPr>
            </w:pPr>
            <w:r>
              <w:rPr>
                <w:rFonts w:hint="default" w:ascii="Times New Roman" w:hAnsi="Times New Roman" w:eastAsia="宋体" w:cs="Times New Roman"/>
                <w:b w:val="0"/>
                <w:bCs/>
                <w:color w:val="auto"/>
                <w:spacing w:val="0"/>
                <w:sz w:val="21"/>
                <w:szCs w:val="21"/>
                <w:highlight w:val="none"/>
                <w:lang w:val="en-US" w:eastAsia="zh-CN" w:bidi="ar-SA"/>
              </w:rPr>
              <w:t>退役期：</w:t>
            </w:r>
            <w:r>
              <w:rPr>
                <w:rFonts w:hint="default" w:ascii="Times New Roman" w:hAnsi="Times New Roman" w:eastAsia="宋体" w:cs="Times New Roman"/>
                <w:b w:val="0"/>
                <w:bCs/>
                <w:color w:val="auto"/>
                <w:spacing w:val="0"/>
                <w:sz w:val="21"/>
                <w:szCs w:val="21"/>
                <w:highlight w:val="none"/>
                <w:lang w:bidi="ar"/>
              </w:rPr>
              <w:t>地面设施拆除、封井和井场清理等工作。</w:t>
            </w:r>
          </w:p>
        </w:tc>
        <w:tc>
          <w:tcPr>
            <w:tcW w:w="1689" w:type="pct"/>
            <w:gridSpan w:val="2"/>
            <w:tcBorders>
              <w:tl2br w:val="nil"/>
              <w:tr2bl w:val="nil"/>
            </w:tcBorders>
            <w:vAlign w:val="center"/>
          </w:tcPr>
          <w:p w14:paraId="53037712">
            <w:pPr>
              <w:pStyle w:val="26"/>
              <w:keepNext w:val="0"/>
              <w:keepLines w:val="0"/>
              <w:pageBreakBefore w:val="0"/>
              <w:widowControl w:val="0"/>
              <w:kinsoku/>
              <w:wordWrap/>
              <w:overflowPunct/>
              <w:topLinePunct w:val="0"/>
              <w:bidi w:val="0"/>
              <w:adjustRightInd w:val="0"/>
              <w:snapToGrid w:val="0"/>
              <w:spacing w:line="240" w:lineRule="auto"/>
              <w:ind w:left="0" w:leftChars="0" w:right="0" w:rightChars="0"/>
              <w:jc w:val="left"/>
              <w:textAlignment w:val="auto"/>
              <w:rPr>
                <w:rFonts w:hint="default" w:ascii="Times New Roman" w:hAnsi="Times New Roman" w:eastAsia="宋体" w:cs="Times New Roman"/>
                <w:b w:val="0"/>
                <w:bCs/>
                <w:color w:val="auto"/>
                <w:spacing w:val="0"/>
                <w:sz w:val="21"/>
                <w:szCs w:val="21"/>
                <w:highlight w:val="none"/>
              </w:rPr>
            </w:pPr>
            <w:r>
              <w:rPr>
                <w:rFonts w:hint="default" w:ascii="Times New Roman" w:hAnsi="Times New Roman" w:eastAsia="宋体" w:cs="Times New Roman"/>
                <w:b w:val="0"/>
                <w:bCs/>
                <w:color w:val="auto"/>
                <w:spacing w:val="0"/>
                <w:sz w:val="21"/>
                <w:szCs w:val="21"/>
                <w:highlight w:val="none"/>
                <w:lang w:val="en-US" w:eastAsia="zh-CN" w:bidi="ar-SA"/>
              </w:rPr>
              <w:t>施工期：</w:t>
            </w:r>
            <w:r>
              <w:rPr>
                <w:rFonts w:hint="default" w:ascii="Times New Roman" w:hAnsi="Times New Roman" w:eastAsia="宋体" w:cs="Times New Roman"/>
                <w:b w:val="0"/>
                <w:bCs/>
                <w:color w:val="auto"/>
                <w:spacing w:val="0"/>
                <w:sz w:val="21"/>
                <w:szCs w:val="21"/>
                <w:highlight w:val="none"/>
              </w:rPr>
              <w:t>严格控制施工作业带宽度；填埋所需土方充分利用挖方，做到土方平衡，减少弃土；临时堆土防尘网苫盖；设置限行彩条旗；洒水降尘。</w:t>
            </w:r>
          </w:p>
          <w:p w14:paraId="0157849A">
            <w:pPr>
              <w:pStyle w:val="26"/>
              <w:keepNext w:val="0"/>
              <w:keepLines w:val="0"/>
              <w:pageBreakBefore w:val="0"/>
              <w:widowControl w:val="0"/>
              <w:kinsoku/>
              <w:wordWrap/>
              <w:overflowPunct/>
              <w:topLinePunct w:val="0"/>
              <w:bidi w:val="0"/>
              <w:adjustRightInd w:val="0"/>
              <w:snapToGrid w:val="0"/>
              <w:spacing w:line="240" w:lineRule="auto"/>
              <w:ind w:left="0" w:leftChars="0" w:right="0" w:rightChars="0"/>
              <w:jc w:val="left"/>
              <w:textAlignment w:val="auto"/>
              <w:rPr>
                <w:rFonts w:hint="default" w:ascii="Times New Roman" w:hAnsi="Times New Roman" w:eastAsia="宋体" w:cs="Times New Roman"/>
                <w:b w:val="0"/>
                <w:bCs/>
                <w:color w:val="auto"/>
                <w:spacing w:val="0"/>
                <w:sz w:val="21"/>
                <w:szCs w:val="21"/>
                <w:highlight w:val="none"/>
              </w:rPr>
            </w:pPr>
            <w:r>
              <w:rPr>
                <w:rFonts w:hint="default" w:ascii="Times New Roman" w:hAnsi="Times New Roman" w:eastAsia="宋体" w:cs="Times New Roman"/>
                <w:b w:val="0"/>
                <w:bCs/>
                <w:color w:val="auto"/>
                <w:spacing w:val="0"/>
                <w:sz w:val="21"/>
                <w:szCs w:val="21"/>
                <w:highlight w:val="none"/>
                <w:lang w:val="en-US" w:eastAsia="zh-CN" w:bidi="ar-SA"/>
              </w:rPr>
              <w:t>运营期：</w:t>
            </w:r>
            <w:r>
              <w:rPr>
                <w:rFonts w:hint="default" w:ascii="Times New Roman" w:hAnsi="Times New Roman" w:eastAsia="宋体" w:cs="Times New Roman"/>
                <w:b w:val="0"/>
                <w:bCs/>
                <w:color w:val="auto"/>
                <w:spacing w:val="0"/>
                <w:sz w:val="21"/>
                <w:szCs w:val="21"/>
                <w:highlight w:val="none"/>
              </w:rPr>
              <w:t>管线上方设置标志，定时巡查井场</w:t>
            </w:r>
            <w:r>
              <w:rPr>
                <w:rFonts w:hint="default" w:ascii="Times New Roman" w:hAnsi="Times New Roman" w:eastAsia="宋体" w:cs="Times New Roman"/>
                <w:b w:val="0"/>
                <w:bCs/>
                <w:color w:val="auto"/>
                <w:spacing w:val="0"/>
                <w:sz w:val="21"/>
                <w:szCs w:val="21"/>
                <w:highlight w:val="none"/>
                <w:lang w:val="en-US" w:eastAsia="zh-CN"/>
              </w:rPr>
              <w:t>、雄探1试采点</w:t>
            </w:r>
            <w:r>
              <w:rPr>
                <w:rFonts w:hint="default" w:ascii="Times New Roman" w:hAnsi="Times New Roman" w:eastAsia="宋体" w:cs="Times New Roman"/>
                <w:b w:val="0"/>
                <w:bCs/>
                <w:color w:val="auto"/>
                <w:spacing w:val="0"/>
                <w:sz w:val="21"/>
                <w:szCs w:val="21"/>
                <w:highlight w:val="none"/>
              </w:rPr>
              <w:t>、管线。</w:t>
            </w:r>
          </w:p>
          <w:p w14:paraId="0122C208">
            <w:pPr>
              <w:pStyle w:val="26"/>
              <w:keepNext w:val="0"/>
              <w:keepLines w:val="0"/>
              <w:pageBreakBefore w:val="0"/>
              <w:widowControl w:val="0"/>
              <w:kinsoku/>
              <w:wordWrap/>
              <w:overflowPunct/>
              <w:topLinePunct w:val="0"/>
              <w:bidi w:val="0"/>
              <w:adjustRightInd w:val="0"/>
              <w:snapToGrid w:val="0"/>
              <w:spacing w:line="240" w:lineRule="auto"/>
              <w:ind w:left="0" w:leftChars="0" w:right="0" w:rightChars="0"/>
              <w:jc w:val="left"/>
              <w:textAlignment w:val="auto"/>
              <w:rPr>
                <w:rFonts w:hint="default" w:ascii="Times New Roman" w:hAnsi="Times New Roman" w:eastAsia="宋体" w:cs="Times New Roman"/>
                <w:b w:val="0"/>
                <w:bCs/>
                <w:color w:val="auto"/>
                <w:spacing w:val="0"/>
                <w:sz w:val="21"/>
                <w:szCs w:val="21"/>
                <w:highlight w:val="none"/>
                <w:lang w:val="en-US" w:eastAsia="zh-CN" w:bidi="ar-SA"/>
              </w:rPr>
            </w:pPr>
            <w:r>
              <w:rPr>
                <w:rFonts w:hint="default" w:ascii="Times New Roman" w:hAnsi="Times New Roman" w:eastAsia="宋体" w:cs="Times New Roman"/>
                <w:b w:val="0"/>
                <w:bCs/>
                <w:color w:val="auto"/>
                <w:spacing w:val="0"/>
                <w:sz w:val="21"/>
                <w:szCs w:val="21"/>
                <w:highlight w:val="none"/>
                <w:lang w:val="en-US" w:eastAsia="zh-CN" w:bidi="ar-SA"/>
              </w:rPr>
              <w:t>退役期：</w:t>
            </w:r>
            <w:r>
              <w:rPr>
                <w:rFonts w:hint="default" w:ascii="Times New Roman" w:hAnsi="Times New Roman" w:eastAsia="宋体" w:cs="Times New Roman"/>
                <w:b w:val="0"/>
                <w:bCs/>
                <w:color w:val="auto"/>
                <w:spacing w:val="0"/>
                <w:sz w:val="21"/>
                <w:szCs w:val="21"/>
                <w:highlight w:val="none"/>
                <w:lang w:bidi="ar"/>
              </w:rPr>
              <w:t>地面设施拆除、封井和井场清理等工作。</w:t>
            </w:r>
          </w:p>
        </w:tc>
        <w:tc>
          <w:tcPr>
            <w:tcW w:w="716" w:type="pct"/>
            <w:tcBorders>
              <w:tl2br w:val="nil"/>
              <w:tr2bl w:val="nil"/>
            </w:tcBorders>
            <w:vAlign w:val="center"/>
          </w:tcPr>
          <w:p w14:paraId="4206BDCE">
            <w:pPr>
              <w:pStyle w:val="26"/>
              <w:keepNext w:val="0"/>
              <w:keepLines w:val="0"/>
              <w:pageBreakBefore w:val="0"/>
              <w:widowControl w:val="0"/>
              <w:kinsoku/>
              <w:wordWrap/>
              <w:overflowPunct/>
              <w:topLinePunct w:val="0"/>
              <w:bidi w:val="0"/>
              <w:adjustRightInd w:val="0"/>
              <w:snapToGrid w:val="0"/>
              <w:spacing w:line="240" w:lineRule="auto"/>
              <w:ind w:left="0" w:leftChars="0" w:right="0" w:rightChars="0"/>
              <w:jc w:val="left"/>
              <w:textAlignment w:val="auto"/>
              <w:rPr>
                <w:rFonts w:hint="default" w:ascii="Times New Roman" w:hAnsi="Times New Roman" w:eastAsia="宋体" w:cs="Times New Roman"/>
                <w:b w:val="0"/>
                <w:bCs/>
                <w:color w:val="auto"/>
                <w:spacing w:val="0"/>
                <w:sz w:val="21"/>
                <w:szCs w:val="21"/>
                <w:highlight w:val="none"/>
                <w:lang w:val="en-US" w:eastAsia="zh-CN" w:bidi="ar-SA"/>
              </w:rPr>
            </w:pPr>
            <w:r>
              <w:rPr>
                <w:rFonts w:hint="default" w:ascii="Times New Roman" w:hAnsi="Times New Roman" w:eastAsia="宋体" w:cs="Times New Roman"/>
                <w:b w:val="0"/>
                <w:bCs/>
                <w:color w:val="auto"/>
                <w:spacing w:val="0"/>
                <w:sz w:val="21"/>
                <w:szCs w:val="21"/>
                <w:highlight w:val="none"/>
                <w:lang w:val="en-US" w:eastAsia="zh-CN" w:bidi="ar-SA"/>
              </w:rPr>
              <w:t>-</w:t>
            </w:r>
          </w:p>
        </w:tc>
      </w:tr>
      <w:tr w14:paraId="7FCFDA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69" w:type="pct"/>
            <w:vMerge w:val="continue"/>
            <w:tcBorders>
              <w:tl2br w:val="nil"/>
              <w:tr2bl w:val="nil"/>
            </w:tcBorders>
            <w:vAlign w:val="center"/>
          </w:tcPr>
          <w:p w14:paraId="679ABC84">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z w:val="21"/>
                <w:szCs w:val="21"/>
              </w:rPr>
            </w:pPr>
          </w:p>
        </w:tc>
        <w:tc>
          <w:tcPr>
            <w:tcW w:w="509" w:type="pct"/>
            <w:gridSpan w:val="2"/>
            <w:tcBorders>
              <w:tl2br w:val="nil"/>
              <w:tr2bl w:val="nil"/>
            </w:tcBorders>
            <w:vAlign w:val="center"/>
          </w:tcPr>
          <w:p w14:paraId="500FD915">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环境风险</w:t>
            </w:r>
          </w:p>
        </w:tc>
        <w:tc>
          <w:tcPr>
            <w:tcW w:w="1915" w:type="pct"/>
            <w:tcBorders>
              <w:tl2br w:val="nil"/>
              <w:tr2bl w:val="nil"/>
            </w:tcBorders>
            <w:vAlign w:val="center"/>
          </w:tcPr>
          <w:p w14:paraId="7B3DC4B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left"/>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管线上方设置标识，定期对管线壁厚进行超声波检查，站场设置可燃气体报警仪和硫化氢检测仪。</w:t>
            </w:r>
          </w:p>
        </w:tc>
        <w:tc>
          <w:tcPr>
            <w:tcW w:w="1689" w:type="pct"/>
            <w:gridSpan w:val="2"/>
            <w:tcBorders>
              <w:tl2br w:val="nil"/>
              <w:tr2bl w:val="nil"/>
            </w:tcBorders>
            <w:vAlign w:val="center"/>
          </w:tcPr>
          <w:p w14:paraId="1E4F90CC">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left"/>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highlight w:val="none"/>
              </w:rPr>
              <w:t>管线上方设置标识，定期对管线壁厚进行超声波检查，站场设置可燃气体报警仪和硫化氢检测仪。</w:t>
            </w:r>
          </w:p>
        </w:tc>
        <w:tc>
          <w:tcPr>
            <w:tcW w:w="716" w:type="pct"/>
            <w:tcBorders>
              <w:tl2br w:val="nil"/>
              <w:tr2bl w:val="nil"/>
            </w:tcBorders>
            <w:vAlign w:val="center"/>
          </w:tcPr>
          <w:p w14:paraId="629305DC">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left"/>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r>
      <w:tr w14:paraId="62ED1F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00" w:hRule="atLeast"/>
          <w:jc w:val="center"/>
        </w:trPr>
        <w:tc>
          <w:tcPr>
            <w:tcW w:w="169" w:type="pct"/>
            <w:vMerge w:val="restart"/>
            <w:tcBorders>
              <w:tl2br w:val="nil"/>
              <w:tr2bl w:val="nil"/>
            </w:tcBorders>
            <w:vAlign w:val="center"/>
          </w:tcPr>
          <w:p w14:paraId="0DE5BD5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依托工程</w:t>
            </w:r>
          </w:p>
          <w:p w14:paraId="04B4A455">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eastAsia="zh-CN"/>
              </w:rPr>
              <w:t xml:space="preserve"> </w:t>
            </w:r>
            <w:r>
              <w:rPr>
                <w:rFonts w:hint="default" w:ascii="Times New Roman" w:hAnsi="Times New Roman" w:eastAsia="宋体" w:cs="Times New Roman"/>
                <w:b w:val="0"/>
                <w:bCs/>
                <w:color w:val="auto"/>
                <w:sz w:val="21"/>
                <w:szCs w:val="21"/>
                <w:lang w:val="en-US" w:eastAsia="zh-CN"/>
              </w:rPr>
              <w:t xml:space="preserve"> </w:t>
            </w:r>
          </w:p>
        </w:tc>
        <w:tc>
          <w:tcPr>
            <w:tcW w:w="509" w:type="pct"/>
            <w:gridSpan w:val="2"/>
            <w:tcBorders>
              <w:tl2br w:val="nil"/>
              <w:tr2bl w:val="nil"/>
            </w:tcBorders>
            <w:vAlign w:val="center"/>
          </w:tcPr>
          <w:p w14:paraId="500FA59F">
            <w:pPr>
              <w:pStyle w:val="58"/>
              <w:keepNext w:val="0"/>
              <w:keepLines w:val="0"/>
              <w:pageBreakBefore w:val="0"/>
              <w:widowControl w:val="0"/>
              <w:kinsoku/>
              <w:wordWrap/>
              <w:overflowPunct/>
              <w:topLinePunct w:val="0"/>
              <w:bidi w:val="0"/>
              <w:adjustRightInd w:val="0"/>
              <w:snapToGrid w:val="0"/>
              <w:spacing w:line="240" w:lineRule="auto"/>
              <w:ind w:left="0" w:leftChars="0" w:right="0" w:rightChars="0"/>
              <w:jc w:val="both"/>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英买处理站</w:t>
            </w:r>
          </w:p>
        </w:tc>
        <w:tc>
          <w:tcPr>
            <w:tcW w:w="3604" w:type="pct"/>
            <w:gridSpan w:val="3"/>
            <w:tcBorders>
              <w:tl2br w:val="nil"/>
              <w:tr2bl w:val="nil"/>
            </w:tcBorders>
            <w:vAlign w:val="center"/>
          </w:tcPr>
          <w:p w14:paraId="14AEA814">
            <w:pPr>
              <w:pStyle w:val="58"/>
              <w:keepNext w:val="0"/>
              <w:keepLines w:val="0"/>
              <w:pageBreakBefore w:val="0"/>
              <w:widowControl w:val="0"/>
              <w:kinsoku/>
              <w:wordWrap/>
              <w:overflowPunct/>
              <w:topLinePunct w:val="0"/>
              <w:bidi w:val="0"/>
              <w:adjustRightInd w:val="0"/>
              <w:snapToGrid w:val="0"/>
              <w:spacing w:line="240" w:lineRule="auto"/>
              <w:ind w:left="0" w:leftChars="0" w:right="0" w:rightChars="0"/>
              <w:jc w:val="both"/>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highlight w:val="none"/>
                <w:lang w:val="en-US" w:eastAsia="zh-CN" w:bidi="ar-SA"/>
              </w:rPr>
              <w:t>英买处理厂位于气田以北314国道附近，英买油气处理厂是一座集油、气、水、电</w:t>
            </w:r>
            <w:r>
              <w:rPr>
                <w:rFonts w:hint="eastAsia" w:ascii="Times New Roman" w:hAnsi="Times New Roman" w:cs="Times New Roman"/>
                <w:b w:val="0"/>
                <w:bCs/>
                <w:color w:val="auto"/>
                <w:kern w:val="2"/>
                <w:sz w:val="21"/>
                <w:szCs w:val="21"/>
                <w:highlight w:val="none"/>
                <w:lang w:val="en-US" w:eastAsia="zh-CN" w:bidi="ar-SA"/>
              </w:rPr>
              <w:t>为</w:t>
            </w:r>
            <w:r>
              <w:rPr>
                <w:rFonts w:hint="default" w:ascii="Times New Roman" w:hAnsi="Times New Roman" w:eastAsia="宋体" w:cs="Times New Roman"/>
                <w:b w:val="0"/>
                <w:bCs/>
                <w:color w:val="auto"/>
                <w:kern w:val="2"/>
                <w:sz w:val="21"/>
                <w:szCs w:val="21"/>
                <w:highlight w:val="none"/>
                <w:lang w:val="en-US" w:eastAsia="zh-CN" w:bidi="ar-SA"/>
              </w:rPr>
              <w:t>一体的综合处理厂。本工程脱硫站脱硫后的天然气通过外输管道输至英买处理站处理。</w:t>
            </w:r>
          </w:p>
        </w:tc>
        <w:tc>
          <w:tcPr>
            <w:tcW w:w="716" w:type="pct"/>
            <w:tcBorders>
              <w:tl2br w:val="nil"/>
              <w:tr2bl w:val="nil"/>
            </w:tcBorders>
            <w:vAlign w:val="center"/>
          </w:tcPr>
          <w:p w14:paraId="68B0797F">
            <w:pPr>
              <w:pStyle w:val="58"/>
              <w:keepNext w:val="0"/>
              <w:keepLines w:val="0"/>
              <w:pageBreakBefore w:val="0"/>
              <w:widowControl w:val="0"/>
              <w:kinsoku/>
              <w:wordWrap/>
              <w:overflowPunct/>
              <w:topLinePunct w:val="0"/>
              <w:bidi w:val="0"/>
              <w:adjustRightInd w:val="0"/>
              <w:snapToGrid w:val="0"/>
              <w:spacing w:line="240" w:lineRule="auto"/>
              <w:ind w:left="0" w:leftChars="0" w:right="0" w:rightChars="0"/>
              <w:jc w:val="both"/>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r>
      <w:tr w14:paraId="6509E4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00" w:hRule="atLeast"/>
          <w:jc w:val="center"/>
        </w:trPr>
        <w:tc>
          <w:tcPr>
            <w:tcW w:w="169" w:type="pct"/>
            <w:vMerge w:val="continue"/>
            <w:tcBorders>
              <w:tl2br w:val="nil"/>
              <w:tr2bl w:val="nil"/>
            </w:tcBorders>
            <w:vAlign w:val="center"/>
          </w:tcPr>
          <w:p w14:paraId="0A4538D2">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z w:val="21"/>
                <w:szCs w:val="21"/>
                <w:lang w:eastAsia="zh-CN"/>
              </w:rPr>
            </w:pPr>
          </w:p>
        </w:tc>
        <w:tc>
          <w:tcPr>
            <w:tcW w:w="509" w:type="pct"/>
            <w:gridSpan w:val="2"/>
            <w:tcBorders>
              <w:tl2br w:val="nil"/>
              <w:tr2bl w:val="nil"/>
            </w:tcBorders>
            <w:vAlign w:val="center"/>
          </w:tcPr>
          <w:p w14:paraId="021AED2C">
            <w:pPr>
              <w:pStyle w:val="58"/>
              <w:keepNext w:val="0"/>
              <w:keepLines w:val="0"/>
              <w:pageBreakBefore w:val="0"/>
              <w:widowControl w:val="0"/>
              <w:kinsoku/>
              <w:wordWrap/>
              <w:overflowPunct/>
              <w:topLinePunct w:val="0"/>
              <w:bidi w:val="0"/>
              <w:adjustRightInd w:val="0"/>
              <w:snapToGrid w:val="0"/>
              <w:spacing w:line="240" w:lineRule="auto"/>
              <w:ind w:left="0" w:leftChars="0" w:right="0" w:rightChars="0"/>
              <w:jc w:val="both"/>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哈六联合站</w:t>
            </w:r>
          </w:p>
        </w:tc>
        <w:tc>
          <w:tcPr>
            <w:tcW w:w="3604" w:type="pct"/>
            <w:gridSpan w:val="3"/>
            <w:tcBorders>
              <w:tl2br w:val="nil"/>
              <w:tr2bl w:val="nil"/>
            </w:tcBorders>
            <w:vAlign w:val="center"/>
          </w:tcPr>
          <w:p w14:paraId="71FCA0EF">
            <w:pPr>
              <w:pStyle w:val="58"/>
              <w:keepNext w:val="0"/>
              <w:keepLines w:val="0"/>
              <w:pageBreakBefore w:val="0"/>
              <w:widowControl w:val="0"/>
              <w:kinsoku/>
              <w:wordWrap/>
              <w:overflowPunct/>
              <w:topLinePunct w:val="0"/>
              <w:bidi w:val="0"/>
              <w:adjustRightInd w:val="0"/>
              <w:snapToGrid w:val="0"/>
              <w:spacing w:line="240" w:lineRule="auto"/>
              <w:ind w:left="0" w:leftChars="0" w:right="0" w:rightChars="0"/>
              <w:jc w:val="both"/>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highlight w:val="none"/>
                <w:lang w:val="en-US" w:eastAsia="zh-CN" w:bidi="ar-SA"/>
              </w:rPr>
              <w:t>哈六联合站主要功能为油气分离，原油脱水，原油脱硫、天然气脱硫和脱水脱烃、原油外输、天然气外输、变电、注水、回灌和油田总控制中心等功能。本工程原油罐车拉运至哈六联合站处理。</w:t>
            </w:r>
          </w:p>
        </w:tc>
        <w:tc>
          <w:tcPr>
            <w:tcW w:w="716" w:type="pct"/>
            <w:tcBorders>
              <w:tl2br w:val="nil"/>
              <w:tr2bl w:val="nil"/>
            </w:tcBorders>
            <w:vAlign w:val="center"/>
          </w:tcPr>
          <w:p w14:paraId="246B9367">
            <w:pPr>
              <w:pStyle w:val="58"/>
              <w:keepNext w:val="0"/>
              <w:keepLines w:val="0"/>
              <w:pageBreakBefore w:val="0"/>
              <w:widowControl w:val="0"/>
              <w:kinsoku/>
              <w:wordWrap/>
              <w:overflowPunct/>
              <w:topLinePunct w:val="0"/>
              <w:bidi w:val="0"/>
              <w:adjustRightInd w:val="0"/>
              <w:snapToGrid w:val="0"/>
              <w:spacing w:line="240" w:lineRule="auto"/>
              <w:ind w:left="0" w:leftChars="0" w:right="0" w:rightChars="0"/>
              <w:jc w:val="both"/>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r>
      <w:tr w14:paraId="2AAB1A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00" w:hRule="atLeast"/>
          <w:jc w:val="center"/>
        </w:trPr>
        <w:tc>
          <w:tcPr>
            <w:tcW w:w="169" w:type="pct"/>
            <w:vMerge w:val="continue"/>
            <w:tcBorders>
              <w:tl2br w:val="nil"/>
              <w:tr2bl w:val="nil"/>
            </w:tcBorders>
            <w:vAlign w:val="center"/>
          </w:tcPr>
          <w:p w14:paraId="4FFCDD2E">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b w:val="0"/>
                <w:bCs/>
                <w:color w:val="auto"/>
                <w:sz w:val="21"/>
                <w:szCs w:val="21"/>
                <w:lang w:eastAsia="zh-CN"/>
              </w:rPr>
            </w:pPr>
          </w:p>
        </w:tc>
        <w:tc>
          <w:tcPr>
            <w:tcW w:w="509" w:type="pct"/>
            <w:gridSpan w:val="2"/>
            <w:tcBorders>
              <w:tl2br w:val="nil"/>
              <w:tr2bl w:val="nil"/>
            </w:tcBorders>
            <w:vAlign w:val="center"/>
          </w:tcPr>
          <w:p w14:paraId="46F07E55">
            <w:pPr>
              <w:pStyle w:val="58"/>
              <w:keepNext w:val="0"/>
              <w:keepLines w:val="0"/>
              <w:pageBreakBefore w:val="0"/>
              <w:widowControl w:val="0"/>
              <w:kinsoku/>
              <w:wordWrap/>
              <w:overflowPunct/>
              <w:topLinePunct w:val="0"/>
              <w:bidi w:val="0"/>
              <w:adjustRightInd w:val="0"/>
              <w:snapToGrid w:val="0"/>
              <w:spacing w:line="240" w:lineRule="auto"/>
              <w:ind w:left="0" w:leftChars="0" w:right="0" w:rightChars="0"/>
              <w:jc w:val="both"/>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玉东1增压站</w:t>
            </w:r>
          </w:p>
        </w:tc>
        <w:tc>
          <w:tcPr>
            <w:tcW w:w="1915" w:type="pct"/>
            <w:tcBorders>
              <w:tl2br w:val="nil"/>
              <w:tr2bl w:val="nil"/>
            </w:tcBorders>
            <w:vAlign w:val="center"/>
          </w:tcPr>
          <w:p w14:paraId="7E3BDA7B">
            <w:pPr>
              <w:pStyle w:val="58"/>
              <w:keepNext w:val="0"/>
              <w:keepLines w:val="0"/>
              <w:pageBreakBefore w:val="0"/>
              <w:widowControl w:val="0"/>
              <w:kinsoku/>
              <w:wordWrap/>
              <w:overflowPunct/>
              <w:topLinePunct w:val="0"/>
              <w:bidi w:val="0"/>
              <w:adjustRightInd w:val="0"/>
              <w:snapToGrid w:val="0"/>
              <w:spacing w:line="240" w:lineRule="auto"/>
              <w:ind w:left="0" w:leftChars="0" w:right="0" w:rightChars="0"/>
              <w:jc w:val="both"/>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雄英1井区单井油气混输至试采脱硫站计量分离后，天然气脱硫处理后输送至玉东1增压站。</w:t>
            </w:r>
          </w:p>
        </w:tc>
        <w:tc>
          <w:tcPr>
            <w:tcW w:w="1689" w:type="pct"/>
            <w:gridSpan w:val="2"/>
            <w:tcBorders>
              <w:tl2br w:val="nil"/>
              <w:tr2bl w:val="nil"/>
            </w:tcBorders>
            <w:vAlign w:val="center"/>
          </w:tcPr>
          <w:p w14:paraId="0C3247A9">
            <w:pPr>
              <w:pStyle w:val="58"/>
              <w:keepNext w:val="0"/>
              <w:keepLines w:val="0"/>
              <w:pageBreakBefore w:val="0"/>
              <w:widowControl w:val="0"/>
              <w:kinsoku/>
              <w:wordWrap/>
              <w:overflowPunct/>
              <w:topLinePunct w:val="0"/>
              <w:bidi w:val="0"/>
              <w:adjustRightInd w:val="0"/>
              <w:snapToGrid w:val="0"/>
              <w:spacing w:line="240" w:lineRule="auto"/>
              <w:ind w:left="0" w:leftChars="0" w:right="0" w:rightChars="0"/>
              <w:jc w:val="both"/>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依托已建集气管道输至玉东2增压站，管线长度约24km</w:t>
            </w:r>
          </w:p>
        </w:tc>
        <w:tc>
          <w:tcPr>
            <w:tcW w:w="716" w:type="pct"/>
            <w:tcBorders>
              <w:tl2br w:val="nil"/>
              <w:tr2bl w:val="nil"/>
            </w:tcBorders>
            <w:vAlign w:val="center"/>
          </w:tcPr>
          <w:p w14:paraId="6D19012F">
            <w:pPr>
              <w:pStyle w:val="58"/>
              <w:keepNext w:val="0"/>
              <w:keepLines w:val="0"/>
              <w:pageBreakBefore w:val="0"/>
              <w:widowControl w:val="0"/>
              <w:kinsoku/>
              <w:wordWrap/>
              <w:overflowPunct/>
              <w:topLinePunct w:val="0"/>
              <w:bidi w:val="0"/>
              <w:adjustRightInd w:val="0"/>
              <w:snapToGrid w:val="0"/>
              <w:spacing w:line="240" w:lineRule="auto"/>
              <w:ind w:left="0" w:leftChars="0" w:right="0" w:rightChars="0"/>
              <w:jc w:val="both"/>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r>
      <w:tr w14:paraId="29D3E8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00" w:hRule="atLeast"/>
          <w:jc w:val="center"/>
        </w:trPr>
        <w:tc>
          <w:tcPr>
            <w:tcW w:w="169" w:type="pct"/>
            <w:vMerge w:val="continue"/>
            <w:tcBorders>
              <w:tl2br w:val="nil"/>
              <w:tr2bl w:val="nil"/>
            </w:tcBorders>
            <w:vAlign w:val="center"/>
          </w:tcPr>
          <w:p w14:paraId="46DCA25E">
            <w:pPr>
              <w:pStyle w:val="58"/>
              <w:keepNext w:val="0"/>
              <w:keepLines w:val="0"/>
              <w:pageBreakBefore w:val="0"/>
              <w:widowControl w:val="0"/>
              <w:kinsoku/>
              <w:wordWrap/>
              <w:overflowPunct/>
              <w:topLinePunct w:val="0"/>
              <w:bidi w:val="0"/>
              <w:adjustRightInd w:val="0"/>
              <w:snapToGrid w:val="0"/>
              <w:spacing w:line="240" w:lineRule="auto"/>
              <w:ind w:left="0" w:leftChars="0" w:right="0" w:rightChars="0"/>
              <w:jc w:val="both"/>
              <w:rPr>
                <w:rFonts w:hint="default" w:ascii="Times New Roman" w:hAnsi="Times New Roman" w:eastAsia="宋体" w:cs="Times New Roman"/>
                <w:color w:val="auto"/>
                <w:sz w:val="21"/>
                <w:szCs w:val="21"/>
              </w:rPr>
            </w:pPr>
          </w:p>
        </w:tc>
        <w:tc>
          <w:tcPr>
            <w:tcW w:w="509" w:type="pct"/>
            <w:gridSpan w:val="2"/>
            <w:tcBorders>
              <w:tl2br w:val="nil"/>
              <w:tr2bl w:val="nil"/>
            </w:tcBorders>
            <w:vAlign w:val="center"/>
          </w:tcPr>
          <w:p w14:paraId="07AA86E5">
            <w:pPr>
              <w:pStyle w:val="58"/>
              <w:keepNext w:val="0"/>
              <w:keepLines w:val="0"/>
              <w:pageBreakBefore w:val="0"/>
              <w:widowControl w:val="0"/>
              <w:kinsoku/>
              <w:wordWrap/>
              <w:overflowPunct/>
              <w:topLinePunct w:val="0"/>
              <w:bidi w:val="0"/>
              <w:adjustRightInd w:val="0"/>
              <w:snapToGrid w:val="0"/>
              <w:spacing w:line="240" w:lineRule="auto"/>
              <w:ind w:left="0" w:leftChars="0" w:right="0" w:right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color w:val="auto"/>
                <w:kern w:val="2"/>
                <w:sz w:val="21"/>
                <w:szCs w:val="21"/>
                <w:highlight w:val="none"/>
                <w:lang w:val="en-US" w:eastAsia="zh-CN" w:bidi="ar-SA"/>
              </w:rPr>
              <w:t>英买力油田钻试修废弃物环保处理站</w:t>
            </w:r>
          </w:p>
        </w:tc>
        <w:tc>
          <w:tcPr>
            <w:tcW w:w="3604" w:type="pct"/>
            <w:gridSpan w:val="3"/>
            <w:tcBorders>
              <w:tl2br w:val="nil"/>
              <w:tr2bl w:val="nil"/>
            </w:tcBorders>
            <w:vAlign w:val="center"/>
          </w:tcPr>
          <w:p w14:paraId="129DE764">
            <w:pPr>
              <w:pStyle w:val="58"/>
              <w:keepNext w:val="0"/>
              <w:keepLines w:val="0"/>
              <w:pageBreakBefore w:val="0"/>
              <w:widowControl w:val="0"/>
              <w:kinsoku/>
              <w:wordWrap/>
              <w:overflowPunct/>
              <w:topLinePunct w:val="0"/>
              <w:bidi w:val="0"/>
              <w:adjustRightInd w:val="0"/>
              <w:snapToGrid w:val="0"/>
              <w:spacing w:line="240" w:lineRule="auto"/>
              <w:ind w:left="0" w:leftChars="0" w:right="0" w:rightChars="0"/>
              <w:jc w:val="both"/>
              <w:rPr>
                <w:rFonts w:hint="default" w:ascii="Times New Roman" w:hAnsi="Times New Roman" w:eastAsia="宋体" w:cs="Times New Roman"/>
                <w:b w:val="0"/>
                <w:bCs/>
                <w:color w:val="auto"/>
                <w:kern w:val="2"/>
                <w:sz w:val="21"/>
                <w:szCs w:val="21"/>
                <w:highlight w:val="yellow"/>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英买力油田钻试修废弃物环保处理站位于英买力气田内，钻试修废水处理规模300m</w:t>
            </w:r>
            <w:r>
              <w:rPr>
                <w:rFonts w:hint="default" w:ascii="Times New Roman" w:hAnsi="Times New Roman" w:eastAsia="宋体" w:cs="Times New Roman"/>
                <w:b w:val="0"/>
                <w:bCs/>
                <w:color w:val="auto"/>
                <w:kern w:val="2"/>
                <w:sz w:val="21"/>
                <w:szCs w:val="21"/>
                <w:highlight w:val="none"/>
                <w:vertAlign w:val="superscript"/>
                <w:lang w:val="en-US" w:eastAsia="zh-CN" w:bidi="ar-SA"/>
              </w:rPr>
              <w:t>3</w:t>
            </w:r>
            <w:r>
              <w:rPr>
                <w:rFonts w:hint="default" w:ascii="Times New Roman" w:hAnsi="Times New Roman" w:eastAsia="宋体" w:cs="Times New Roman"/>
                <w:b w:val="0"/>
                <w:bCs/>
                <w:color w:val="auto"/>
                <w:kern w:val="2"/>
                <w:sz w:val="21"/>
                <w:szCs w:val="21"/>
                <w:highlight w:val="none"/>
                <w:lang w:val="en-US" w:eastAsia="zh-CN" w:bidi="ar-SA"/>
              </w:rPr>
              <w:t>/d，井下作业废水自带回收罐回收作业废水，拉运至英买力油田钻试修废弃物环保处理站处理。</w:t>
            </w:r>
          </w:p>
        </w:tc>
        <w:tc>
          <w:tcPr>
            <w:tcW w:w="716" w:type="pct"/>
            <w:tcBorders>
              <w:tl2br w:val="nil"/>
              <w:tr2bl w:val="nil"/>
            </w:tcBorders>
            <w:vAlign w:val="center"/>
          </w:tcPr>
          <w:p w14:paraId="1D62EB42">
            <w:pPr>
              <w:pStyle w:val="58"/>
              <w:keepNext w:val="0"/>
              <w:keepLines w:val="0"/>
              <w:pageBreakBefore w:val="0"/>
              <w:widowControl w:val="0"/>
              <w:kinsoku/>
              <w:wordWrap/>
              <w:overflowPunct/>
              <w:topLinePunct w:val="0"/>
              <w:bidi w:val="0"/>
              <w:adjustRightInd w:val="0"/>
              <w:snapToGrid w:val="0"/>
              <w:spacing w:line="240" w:lineRule="auto"/>
              <w:ind w:left="0" w:leftChars="0" w:right="0" w:rightChars="0"/>
              <w:jc w:val="both"/>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w:t>
            </w:r>
          </w:p>
        </w:tc>
      </w:tr>
      <w:tr w14:paraId="4D27A6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00" w:hRule="atLeast"/>
          <w:jc w:val="center"/>
        </w:trPr>
        <w:tc>
          <w:tcPr>
            <w:tcW w:w="169" w:type="pct"/>
            <w:vMerge w:val="continue"/>
            <w:tcBorders>
              <w:tl2br w:val="nil"/>
              <w:tr2bl w:val="nil"/>
            </w:tcBorders>
            <w:vAlign w:val="center"/>
          </w:tcPr>
          <w:p w14:paraId="2D455DF7">
            <w:pPr>
              <w:pStyle w:val="58"/>
              <w:keepNext w:val="0"/>
              <w:keepLines w:val="0"/>
              <w:pageBreakBefore w:val="0"/>
              <w:widowControl w:val="0"/>
              <w:kinsoku/>
              <w:wordWrap/>
              <w:overflowPunct/>
              <w:topLinePunct w:val="0"/>
              <w:bidi w:val="0"/>
              <w:adjustRightInd w:val="0"/>
              <w:snapToGrid w:val="0"/>
              <w:spacing w:line="240" w:lineRule="auto"/>
              <w:ind w:left="0" w:leftChars="0" w:right="0" w:rightChars="0"/>
              <w:jc w:val="both"/>
              <w:rPr>
                <w:rFonts w:hint="default" w:ascii="Times New Roman" w:hAnsi="Times New Roman" w:eastAsia="宋体" w:cs="Times New Roman"/>
                <w:color w:val="auto"/>
                <w:sz w:val="21"/>
                <w:szCs w:val="21"/>
              </w:rPr>
            </w:pPr>
          </w:p>
        </w:tc>
        <w:tc>
          <w:tcPr>
            <w:tcW w:w="509" w:type="pct"/>
            <w:gridSpan w:val="2"/>
            <w:tcBorders>
              <w:tl2br w:val="nil"/>
              <w:tr2bl w:val="nil"/>
            </w:tcBorders>
            <w:vAlign w:val="center"/>
          </w:tcPr>
          <w:p w14:paraId="3819BBF8">
            <w:pPr>
              <w:pStyle w:val="58"/>
              <w:keepNext w:val="0"/>
              <w:keepLines w:val="0"/>
              <w:pageBreakBefore w:val="0"/>
              <w:widowControl w:val="0"/>
              <w:kinsoku/>
              <w:wordWrap/>
              <w:overflowPunct/>
              <w:topLinePunct w:val="0"/>
              <w:bidi w:val="0"/>
              <w:adjustRightInd w:val="0"/>
              <w:snapToGrid w:val="0"/>
              <w:spacing w:line="240" w:lineRule="auto"/>
              <w:ind w:left="0" w:leftChars="0" w:right="0" w:rightChars="0"/>
              <w:jc w:val="both"/>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英买7固废填埋场</w:t>
            </w:r>
          </w:p>
        </w:tc>
        <w:tc>
          <w:tcPr>
            <w:tcW w:w="3604" w:type="pct"/>
            <w:gridSpan w:val="3"/>
            <w:tcBorders>
              <w:tl2br w:val="nil"/>
              <w:tr2bl w:val="nil"/>
            </w:tcBorders>
            <w:vAlign w:val="center"/>
          </w:tcPr>
          <w:p w14:paraId="1BF6F071">
            <w:pPr>
              <w:pStyle w:val="58"/>
              <w:keepNext w:val="0"/>
              <w:keepLines w:val="0"/>
              <w:pageBreakBefore w:val="0"/>
              <w:widowControl w:val="0"/>
              <w:kinsoku/>
              <w:wordWrap/>
              <w:overflowPunct/>
              <w:topLinePunct w:val="0"/>
              <w:bidi w:val="0"/>
              <w:adjustRightInd w:val="0"/>
              <w:snapToGrid w:val="0"/>
              <w:spacing w:line="240" w:lineRule="auto"/>
              <w:ind w:left="0" w:leftChars="0" w:right="0" w:rightChars="0"/>
              <w:jc w:val="both"/>
              <w:rPr>
                <w:rFonts w:hint="default" w:ascii="Times New Roman" w:hAnsi="Times New Roman" w:eastAsia="宋体" w:cs="Times New Roman"/>
                <w:b w:val="0"/>
                <w:bCs/>
                <w:color w:val="auto"/>
                <w:kern w:val="2"/>
                <w:sz w:val="21"/>
                <w:szCs w:val="21"/>
                <w:highlight w:val="yellow"/>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英买7固废场位于新疆维吾尔自治区阿克苏地区新和县英买力作业区英买7集气站西南侧800m处。本项目施工废料主要包括管材边角料、焊接作业中产生的废焊渣等，首先考虑回收利用，不可回收利用部分拉运至英买作业区英买7固废场填埋处置。</w:t>
            </w:r>
          </w:p>
        </w:tc>
        <w:tc>
          <w:tcPr>
            <w:tcW w:w="716" w:type="pct"/>
            <w:tcBorders>
              <w:tl2br w:val="nil"/>
              <w:tr2bl w:val="nil"/>
            </w:tcBorders>
            <w:vAlign w:val="center"/>
          </w:tcPr>
          <w:p w14:paraId="489A21AE">
            <w:pPr>
              <w:pStyle w:val="58"/>
              <w:keepNext w:val="0"/>
              <w:keepLines w:val="0"/>
              <w:pageBreakBefore w:val="0"/>
              <w:widowControl w:val="0"/>
              <w:kinsoku/>
              <w:wordWrap/>
              <w:overflowPunct/>
              <w:topLinePunct w:val="0"/>
              <w:bidi w:val="0"/>
              <w:adjustRightInd w:val="0"/>
              <w:snapToGrid w:val="0"/>
              <w:spacing w:line="240" w:lineRule="auto"/>
              <w:ind w:left="0" w:leftChars="0" w:right="0" w:rightChars="0"/>
              <w:jc w:val="both"/>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w:t>
            </w:r>
          </w:p>
        </w:tc>
      </w:tr>
      <w:tr w14:paraId="5104D9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00" w:hRule="atLeast"/>
          <w:jc w:val="center"/>
        </w:trPr>
        <w:tc>
          <w:tcPr>
            <w:tcW w:w="169" w:type="pct"/>
            <w:vMerge w:val="continue"/>
            <w:tcBorders>
              <w:tl2br w:val="nil"/>
              <w:tr2bl w:val="nil"/>
            </w:tcBorders>
            <w:vAlign w:val="center"/>
          </w:tcPr>
          <w:p w14:paraId="327EB867">
            <w:pPr>
              <w:pStyle w:val="58"/>
              <w:keepNext w:val="0"/>
              <w:keepLines w:val="0"/>
              <w:pageBreakBefore w:val="0"/>
              <w:widowControl w:val="0"/>
              <w:kinsoku/>
              <w:wordWrap/>
              <w:overflowPunct/>
              <w:topLinePunct w:val="0"/>
              <w:bidi w:val="0"/>
              <w:adjustRightInd w:val="0"/>
              <w:snapToGrid w:val="0"/>
              <w:spacing w:line="240" w:lineRule="auto"/>
              <w:ind w:left="0" w:leftChars="0" w:right="0" w:rightChars="0"/>
              <w:jc w:val="both"/>
              <w:rPr>
                <w:rFonts w:hint="default" w:ascii="Times New Roman" w:hAnsi="Times New Roman" w:eastAsia="宋体" w:cs="Times New Roman"/>
                <w:color w:val="auto"/>
                <w:sz w:val="21"/>
                <w:szCs w:val="21"/>
              </w:rPr>
            </w:pPr>
          </w:p>
        </w:tc>
        <w:tc>
          <w:tcPr>
            <w:tcW w:w="509" w:type="pct"/>
            <w:gridSpan w:val="2"/>
            <w:tcBorders>
              <w:tl2br w:val="nil"/>
              <w:tr2bl w:val="nil"/>
            </w:tcBorders>
            <w:vAlign w:val="center"/>
          </w:tcPr>
          <w:p w14:paraId="6D193737">
            <w:pPr>
              <w:pStyle w:val="58"/>
              <w:keepNext w:val="0"/>
              <w:keepLines w:val="0"/>
              <w:pageBreakBefore w:val="0"/>
              <w:widowControl w:val="0"/>
              <w:kinsoku/>
              <w:wordWrap/>
              <w:overflowPunct/>
              <w:topLinePunct w:val="0"/>
              <w:bidi w:val="0"/>
              <w:adjustRightInd w:val="0"/>
              <w:snapToGrid w:val="0"/>
              <w:spacing w:line="240" w:lineRule="auto"/>
              <w:ind w:left="0" w:leftChars="0" w:right="0" w:rightChars="0"/>
              <w:jc w:val="both"/>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英买力作业区公寓生活污水处理装置</w:t>
            </w:r>
          </w:p>
        </w:tc>
        <w:tc>
          <w:tcPr>
            <w:tcW w:w="3604" w:type="pct"/>
            <w:gridSpan w:val="3"/>
            <w:tcBorders>
              <w:tl2br w:val="nil"/>
              <w:tr2bl w:val="nil"/>
            </w:tcBorders>
            <w:vAlign w:val="center"/>
          </w:tcPr>
          <w:p w14:paraId="6DE205E9">
            <w:pPr>
              <w:pStyle w:val="58"/>
              <w:keepNext w:val="0"/>
              <w:keepLines w:val="0"/>
              <w:pageBreakBefore w:val="0"/>
              <w:widowControl w:val="0"/>
              <w:kinsoku/>
              <w:wordWrap/>
              <w:overflowPunct/>
              <w:topLinePunct w:val="0"/>
              <w:bidi w:val="0"/>
              <w:adjustRightInd w:val="0"/>
              <w:snapToGrid w:val="0"/>
              <w:spacing w:line="240" w:lineRule="auto"/>
              <w:ind w:left="0" w:leftChars="0" w:right="0" w:rightChars="0"/>
              <w:jc w:val="both"/>
              <w:rPr>
                <w:rFonts w:hint="default" w:ascii="Times New Roman" w:hAnsi="Times New Roman" w:eastAsia="宋体" w:cs="Times New Roman"/>
                <w:b w:val="0"/>
                <w:bCs/>
                <w:color w:val="auto"/>
                <w:kern w:val="2"/>
                <w:sz w:val="21"/>
                <w:szCs w:val="21"/>
                <w:highlight w:val="yellow"/>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英买力作业区生活污水处理装置采用一体化污水处理装置，设计处理规模120m</w:t>
            </w:r>
            <w:r>
              <w:rPr>
                <w:rFonts w:hint="default" w:ascii="Times New Roman" w:hAnsi="Times New Roman" w:eastAsia="宋体" w:cs="Times New Roman"/>
                <w:b w:val="0"/>
                <w:bCs/>
                <w:color w:val="auto"/>
                <w:kern w:val="2"/>
                <w:sz w:val="21"/>
                <w:szCs w:val="21"/>
                <w:highlight w:val="none"/>
                <w:vertAlign w:val="superscript"/>
                <w:lang w:val="en-US" w:eastAsia="zh-CN" w:bidi="ar-SA"/>
              </w:rPr>
              <w:t>3</w:t>
            </w:r>
            <w:r>
              <w:rPr>
                <w:rFonts w:hint="default" w:ascii="Times New Roman" w:hAnsi="Times New Roman" w:eastAsia="宋体" w:cs="Times New Roman"/>
                <w:b w:val="0"/>
                <w:bCs/>
                <w:color w:val="auto"/>
                <w:kern w:val="2"/>
                <w:sz w:val="21"/>
                <w:szCs w:val="21"/>
                <w:highlight w:val="none"/>
                <w:lang w:val="en-US" w:eastAsia="zh-CN" w:bidi="ar-SA"/>
              </w:rPr>
              <w:t>/d。生活污水暂存于生活污水池，定期由罐车拉运至英买力作业区生活污水处理装置处置。</w:t>
            </w:r>
          </w:p>
        </w:tc>
        <w:tc>
          <w:tcPr>
            <w:tcW w:w="716" w:type="pct"/>
            <w:tcBorders>
              <w:tl2br w:val="nil"/>
              <w:tr2bl w:val="nil"/>
            </w:tcBorders>
            <w:vAlign w:val="center"/>
          </w:tcPr>
          <w:p w14:paraId="21242D43">
            <w:pPr>
              <w:pStyle w:val="58"/>
              <w:keepNext w:val="0"/>
              <w:keepLines w:val="0"/>
              <w:pageBreakBefore w:val="0"/>
              <w:widowControl w:val="0"/>
              <w:kinsoku/>
              <w:wordWrap/>
              <w:overflowPunct/>
              <w:topLinePunct w:val="0"/>
              <w:bidi w:val="0"/>
              <w:adjustRightInd w:val="0"/>
              <w:snapToGrid w:val="0"/>
              <w:spacing w:line="240" w:lineRule="auto"/>
              <w:ind w:left="0" w:leftChars="0" w:right="0" w:rightChars="0"/>
              <w:jc w:val="both"/>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w:t>
            </w:r>
          </w:p>
        </w:tc>
      </w:tr>
      <w:tr w14:paraId="119A53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00" w:hRule="atLeast"/>
          <w:jc w:val="center"/>
        </w:trPr>
        <w:tc>
          <w:tcPr>
            <w:tcW w:w="169" w:type="pct"/>
            <w:vMerge w:val="continue"/>
            <w:tcBorders>
              <w:tl2br w:val="nil"/>
              <w:tr2bl w:val="nil"/>
            </w:tcBorders>
            <w:vAlign w:val="center"/>
          </w:tcPr>
          <w:p w14:paraId="53ED881C">
            <w:pPr>
              <w:pStyle w:val="58"/>
              <w:keepNext w:val="0"/>
              <w:keepLines w:val="0"/>
              <w:pageBreakBefore w:val="0"/>
              <w:widowControl w:val="0"/>
              <w:kinsoku/>
              <w:wordWrap/>
              <w:overflowPunct/>
              <w:topLinePunct w:val="0"/>
              <w:bidi w:val="0"/>
              <w:adjustRightInd w:val="0"/>
              <w:snapToGrid w:val="0"/>
              <w:spacing w:line="240" w:lineRule="auto"/>
              <w:ind w:left="0" w:leftChars="0" w:right="0" w:rightChars="0"/>
              <w:jc w:val="both"/>
              <w:rPr>
                <w:rFonts w:hint="default" w:ascii="Times New Roman" w:hAnsi="Times New Roman" w:eastAsia="宋体" w:cs="Times New Roman"/>
                <w:color w:val="auto"/>
                <w:sz w:val="21"/>
                <w:szCs w:val="21"/>
              </w:rPr>
            </w:pPr>
          </w:p>
        </w:tc>
        <w:tc>
          <w:tcPr>
            <w:tcW w:w="509" w:type="pct"/>
            <w:gridSpan w:val="2"/>
            <w:tcBorders>
              <w:tl2br w:val="nil"/>
              <w:tr2bl w:val="nil"/>
            </w:tcBorders>
            <w:vAlign w:val="center"/>
          </w:tcPr>
          <w:p w14:paraId="2AE857ED">
            <w:pPr>
              <w:pStyle w:val="58"/>
              <w:keepNext w:val="0"/>
              <w:keepLines w:val="0"/>
              <w:pageBreakBefore w:val="0"/>
              <w:widowControl w:val="0"/>
              <w:kinsoku/>
              <w:wordWrap/>
              <w:overflowPunct/>
              <w:topLinePunct w:val="0"/>
              <w:bidi w:val="0"/>
              <w:adjustRightInd w:val="0"/>
              <w:snapToGrid w:val="0"/>
              <w:spacing w:line="240" w:lineRule="auto"/>
              <w:ind w:left="0" w:leftChars="0" w:right="0" w:rightChars="0"/>
              <w:jc w:val="both"/>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温宿县生活垃圾填埋场</w:t>
            </w:r>
          </w:p>
        </w:tc>
        <w:tc>
          <w:tcPr>
            <w:tcW w:w="3604" w:type="pct"/>
            <w:gridSpan w:val="3"/>
            <w:tcBorders>
              <w:tl2br w:val="nil"/>
              <w:tr2bl w:val="nil"/>
            </w:tcBorders>
            <w:vAlign w:val="center"/>
          </w:tcPr>
          <w:p w14:paraId="33065DF2">
            <w:pPr>
              <w:pStyle w:val="58"/>
              <w:keepNext w:val="0"/>
              <w:keepLines w:val="0"/>
              <w:pageBreakBefore w:val="0"/>
              <w:widowControl w:val="0"/>
              <w:kinsoku/>
              <w:wordWrap/>
              <w:overflowPunct/>
              <w:topLinePunct w:val="0"/>
              <w:bidi w:val="0"/>
              <w:adjustRightInd w:val="0"/>
              <w:snapToGrid w:val="0"/>
              <w:spacing w:line="240" w:lineRule="auto"/>
              <w:ind w:left="0" w:leftChars="0" w:right="0" w:rightChars="0"/>
              <w:jc w:val="both"/>
              <w:rPr>
                <w:rFonts w:hint="default" w:ascii="Times New Roman" w:hAnsi="Times New Roman" w:eastAsia="宋体" w:cs="Times New Roman"/>
                <w:b w:val="0"/>
                <w:bCs/>
                <w:color w:val="auto"/>
                <w:kern w:val="2"/>
                <w:sz w:val="21"/>
                <w:szCs w:val="21"/>
                <w:highlight w:val="yellow"/>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温宿县生活垃圾填埋场位于温宿县东北2km处，填埋场设计日最大处理生活垃圾量为95t/d，目前实际日处理生活垃圾量为86.12t/d，本项目生活垃圾可以委托温宿县垃圾填埋场处理</w:t>
            </w:r>
          </w:p>
        </w:tc>
        <w:tc>
          <w:tcPr>
            <w:tcW w:w="716" w:type="pct"/>
            <w:tcBorders>
              <w:tl2br w:val="nil"/>
              <w:tr2bl w:val="nil"/>
            </w:tcBorders>
            <w:vAlign w:val="center"/>
          </w:tcPr>
          <w:p w14:paraId="38F8B2C8">
            <w:pPr>
              <w:pStyle w:val="58"/>
              <w:keepNext w:val="0"/>
              <w:keepLines w:val="0"/>
              <w:pageBreakBefore w:val="0"/>
              <w:widowControl w:val="0"/>
              <w:kinsoku/>
              <w:wordWrap/>
              <w:overflowPunct/>
              <w:topLinePunct w:val="0"/>
              <w:bidi w:val="0"/>
              <w:adjustRightInd w:val="0"/>
              <w:snapToGrid w:val="0"/>
              <w:spacing w:line="240" w:lineRule="auto"/>
              <w:ind w:left="0" w:leftChars="0" w:right="0" w:rightChars="0"/>
              <w:jc w:val="both"/>
              <w:rPr>
                <w:rFonts w:hint="default" w:ascii="Times New Roman" w:hAnsi="Times New Roman" w:eastAsia="宋体" w:cs="Times New Roman"/>
                <w:b w:val="0"/>
                <w:bCs/>
                <w:color w:val="auto"/>
                <w:kern w:val="2"/>
                <w:sz w:val="21"/>
                <w:szCs w:val="21"/>
                <w:highlight w:val="yellow"/>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w:t>
            </w:r>
          </w:p>
        </w:tc>
      </w:tr>
    </w:tbl>
    <w:p w14:paraId="2E40D8AD">
      <w:pPr>
        <w:pStyle w:val="134"/>
        <w:keepNext w:val="0"/>
        <w:keepLines w:val="0"/>
        <w:pageBreakBefore w:val="0"/>
        <w:shd w:val="clear" w:color="auto" w:fill="auto"/>
        <w:kinsoku/>
        <w:wordWrap/>
        <w:overflowPunct/>
        <w:topLinePunct w:val="0"/>
        <w:autoSpaceDE/>
        <w:autoSpaceDN/>
        <w:bidi w:val="0"/>
        <w:adjustRightInd/>
        <w:snapToGrid/>
        <w:spacing w:after="0" w:line="360" w:lineRule="auto"/>
        <w:ind w:firstLine="480"/>
        <w:textAlignment w:val="auto"/>
        <w:rPr>
          <w:rFonts w:hint="eastAsia" w:ascii="Times New Roman" w:hAnsi="Times New Roman" w:eastAsia="宋体" w:cs="Times New Roman"/>
          <w:color w:val="auto"/>
          <w:sz w:val="24"/>
          <w:szCs w:val="24"/>
          <w:highlight w:val="none"/>
          <w:lang w:val="en-US" w:eastAsia="zh-CN"/>
        </w:rPr>
      </w:pPr>
    </w:p>
    <w:p w14:paraId="4655F0E8">
      <w:pPr>
        <w:pStyle w:val="134"/>
        <w:keepNext w:val="0"/>
        <w:keepLines w:val="0"/>
        <w:pageBreakBefore w:val="0"/>
        <w:shd w:val="clear" w:color="auto" w:fill="auto"/>
        <w:kinsoku/>
        <w:wordWrap/>
        <w:overflowPunct/>
        <w:topLinePunct w:val="0"/>
        <w:autoSpaceDE/>
        <w:autoSpaceDN/>
        <w:bidi w:val="0"/>
        <w:adjustRightInd/>
        <w:snapToGrid/>
        <w:spacing w:after="0" w:line="360" w:lineRule="auto"/>
        <w:ind w:firstLine="480"/>
        <w:textAlignment w:val="auto"/>
        <w:rPr>
          <w:rFonts w:hint="eastAsia" w:ascii="Times New Roman" w:hAnsi="Times New Roman" w:eastAsia="宋体" w:cs="Times New Roman"/>
          <w:color w:val="auto"/>
          <w:sz w:val="24"/>
          <w:szCs w:val="24"/>
          <w:highlight w:val="none"/>
          <w:lang w:val="en-US" w:eastAsia="zh-CN"/>
        </w:rPr>
      </w:pPr>
    </w:p>
    <w:p w14:paraId="35F281FB">
      <w:pPr>
        <w:pStyle w:val="134"/>
        <w:keepNext w:val="0"/>
        <w:keepLines w:val="0"/>
        <w:pageBreakBefore w:val="0"/>
        <w:shd w:val="clear" w:color="auto" w:fill="auto"/>
        <w:kinsoku/>
        <w:wordWrap/>
        <w:overflowPunct/>
        <w:topLinePunct w:val="0"/>
        <w:autoSpaceDE/>
        <w:autoSpaceDN/>
        <w:bidi w:val="0"/>
        <w:adjustRightInd/>
        <w:snapToGrid/>
        <w:spacing w:after="0" w:line="360" w:lineRule="auto"/>
        <w:ind w:firstLine="480"/>
        <w:textAlignment w:val="auto"/>
        <w:rPr>
          <w:rFonts w:hint="eastAsia" w:ascii="Times New Roman" w:hAnsi="Times New Roman" w:eastAsia="宋体" w:cs="Times New Roman"/>
          <w:color w:val="auto"/>
          <w:sz w:val="24"/>
          <w:szCs w:val="24"/>
          <w:highlight w:val="none"/>
          <w:lang w:val="en-US" w:eastAsia="zh-CN"/>
        </w:rPr>
      </w:pPr>
    </w:p>
    <w:p w14:paraId="2876D7F8">
      <w:pPr>
        <w:pStyle w:val="134"/>
        <w:keepNext w:val="0"/>
        <w:keepLines w:val="0"/>
        <w:pageBreakBefore w:val="0"/>
        <w:shd w:val="clear" w:color="auto" w:fill="auto"/>
        <w:kinsoku/>
        <w:wordWrap/>
        <w:overflowPunct/>
        <w:topLinePunct w:val="0"/>
        <w:autoSpaceDE/>
        <w:autoSpaceDN/>
        <w:bidi w:val="0"/>
        <w:adjustRightInd/>
        <w:snapToGrid/>
        <w:spacing w:after="0" w:line="360" w:lineRule="auto"/>
        <w:ind w:firstLine="480"/>
        <w:textAlignment w:val="auto"/>
        <w:rPr>
          <w:rFonts w:hint="eastAsia" w:ascii="Times New Roman" w:hAnsi="Times New Roman" w:eastAsia="宋体" w:cs="Times New Roman"/>
          <w:color w:val="auto"/>
          <w:sz w:val="24"/>
          <w:szCs w:val="24"/>
          <w:highlight w:val="none"/>
          <w:lang w:val="en-US" w:eastAsia="zh-CN"/>
        </w:rPr>
        <w:sectPr>
          <w:pgSz w:w="16838" w:h="11906" w:orient="landscape"/>
          <w:pgMar w:top="1814" w:right="1474" w:bottom="1474" w:left="1474" w:header="850" w:footer="992" w:gutter="0"/>
          <w:pgBorders>
            <w:top w:val="none" w:sz="0" w:space="0"/>
            <w:left w:val="none" w:sz="0" w:space="0"/>
            <w:bottom w:val="none" w:sz="0" w:space="0"/>
            <w:right w:val="none" w:sz="0" w:space="0"/>
          </w:pgBorders>
          <w:pgNumType w:fmt="decimal" w:chapStyle="1" w:chapSep="emDash"/>
          <w:cols w:space="0" w:num="1"/>
          <w:rtlGutter w:val="0"/>
          <w:docGrid w:type="linesAndChars" w:linePitch="316" w:charSpace="0"/>
        </w:sectPr>
      </w:pPr>
    </w:p>
    <w:p w14:paraId="376AEEF4">
      <w:pPr>
        <w:pStyle w:val="75"/>
        <w:bidi w:val="0"/>
        <w:rPr>
          <w:rFonts w:hint="default"/>
          <w:color w:val="auto"/>
        </w:rPr>
      </w:pPr>
      <w:bookmarkStart w:id="19" w:name="_Toc508291868"/>
      <w:bookmarkStart w:id="20" w:name="_Toc27057"/>
      <w:bookmarkStart w:id="21" w:name="_Toc14846"/>
      <w:bookmarkStart w:id="22" w:name="_Toc15953"/>
      <w:bookmarkStart w:id="23" w:name="_Toc109382903"/>
      <w:r>
        <w:rPr>
          <w:rFonts w:hint="default"/>
          <w:color w:val="auto"/>
        </w:rPr>
        <w:t>1.2</w:t>
      </w:r>
      <w:bookmarkEnd w:id="19"/>
      <w:r>
        <w:rPr>
          <w:rFonts w:hint="default"/>
          <w:color w:val="auto"/>
        </w:rPr>
        <w:t>环境影响评价的工作过程</w:t>
      </w:r>
      <w:bookmarkEnd w:id="20"/>
      <w:bookmarkEnd w:id="21"/>
      <w:bookmarkEnd w:id="22"/>
      <w:bookmarkEnd w:id="23"/>
    </w:p>
    <w:p w14:paraId="35F45791">
      <w:pPr>
        <w:pStyle w:val="79"/>
        <w:bidi w:val="0"/>
        <w:rPr>
          <w:rFonts w:hint="default"/>
          <w:color w:val="auto"/>
          <w:lang w:val="en-US" w:eastAsia="zh-CN"/>
        </w:rPr>
      </w:pPr>
      <w:r>
        <w:rPr>
          <w:rFonts w:hint="eastAsia"/>
          <w:color w:val="auto"/>
          <w:lang w:val="en-US" w:eastAsia="zh-CN"/>
        </w:rPr>
        <w:t>本</w:t>
      </w:r>
      <w:r>
        <w:rPr>
          <w:rFonts w:hint="default"/>
          <w:color w:val="auto"/>
        </w:rPr>
        <w:t>工程为油气开采项目，</w:t>
      </w:r>
      <w:r>
        <w:rPr>
          <w:rFonts w:hint="eastAsia"/>
          <w:color w:val="auto"/>
          <w:lang w:val="en-US" w:eastAsia="zh-CN"/>
        </w:rPr>
        <w:t>位于阿克苏地区温宿县，</w:t>
      </w:r>
      <w:r>
        <w:rPr>
          <w:rFonts w:hint="default"/>
          <w:color w:val="auto"/>
        </w:rPr>
        <w:t>为</w:t>
      </w:r>
      <w:r>
        <w:rPr>
          <w:rFonts w:hint="eastAsia"/>
          <w:color w:val="auto"/>
          <w:lang w:val="en-US" w:eastAsia="zh-CN"/>
        </w:rPr>
        <w:t>新</w:t>
      </w:r>
      <w:r>
        <w:rPr>
          <w:rFonts w:hint="default"/>
          <w:color w:val="auto"/>
        </w:rPr>
        <w:t>区块</w:t>
      </w:r>
      <w:r>
        <w:rPr>
          <w:rFonts w:hint="eastAsia"/>
          <w:color w:val="auto"/>
          <w:lang w:val="en-US" w:eastAsia="zh-CN"/>
        </w:rPr>
        <w:t>开发</w:t>
      </w:r>
      <w:r>
        <w:rPr>
          <w:rFonts w:hint="default"/>
          <w:color w:val="auto"/>
        </w:rPr>
        <w:t>项目。根据新水水保〔2019〕4号</w:t>
      </w:r>
      <w:r>
        <w:rPr>
          <w:rFonts w:hint="eastAsia"/>
          <w:color w:val="auto"/>
          <w:lang w:val="en-US" w:eastAsia="zh-CN"/>
        </w:rPr>
        <w:t>文件</w:t>
      </w:r>
      <w:r>
        <w:rPr>
          <w:rFonts w:hint="default"/>
          <w:color w:val="auto"/>
        </w:rPr>
        <w:t>，项目所在</w:t>
      </w:r>
      <w:r>
        <w:rPr>
          <w:rFonts w:hint="eastAsia"/>
          <w:color w:val="auto"/>
          <w:lang w:val="en-US" w:eastAsia="zh-CN"/>
        </w:rPr>
        <w:t>地阿克苏地区温宿县</w:t>
      </w:r>
      <w:r>
        <w:rPr>
          <w:rFonts w:hint="default"/>
          <w:color w:val="auto"/>
        </w:rPr>
        <w:t>属于</w:t>
      </w:r>
      <w:r>
        <w:rPr>
          <w:rFonts w:hint="eastAsia"/>
          <w:color w:val="auto"/>
          <w:lang w:val="en-US" w:eastAsia="zh-CN"/>
        </w:rPr>
        <w:t>水土流失重点治理区II</w:t>
      </w:r>
      <w:r>
        <w:rPr>
          <w:rFonts w:hint="eastAsia"/>
          <w:color w:val="auto"/>
          <w:vertAlign w:val="subscript"/>
          <w:lang w:val="en-US" w:eastAsia="zh-CN"/>
        </w:rPr>
        <w:t>3</w:t>
      </w:r>
      <w:r>
        <w:rPr>
          <w:rFonts w:hint="eastAsia"/>
          <w:color w:val="auto"/>
          <w:lang w:val="en-US" w:eastAsia="zh-CN"/>
        </w:rPr>
        <w:t>塔里木河流域重点治理区</w:t>
      </w:r>
      <w:r>
        <w:rPr>
          <w:rFonts w:hint="default"/>
          <w:color w:val="auto"/>
        </w:rPr>
        <w:t>。根据《中华人民共和国环境影响评价法》《建设项目环境影响评价分类管理名录（2021年版）》（生态环境部部令第16号），本工程属于分类管理名录</w:t>
      </w:r>
      <w:r>
        <w:rPr>
          <w:rFonts w:hint="eastAsia"/>
          <w:color w:val="auto"/>
          <w:lang w:eastAsia="zh-CN"/>
        </w:rPr>
        <w:t>“</w:t>
      </w:r>
      <w:r>
        <w:rPr>
          <w:rFonts w:hint="default"/>
          <w:color w:val="auto"/>
        </w:rPr>
        <w:t>五</w:t>
      </w:r>
      <w:r>
        <w:rPr>
          <w:rFonts w:hint="eastAsia"/>
          <w:color w:val="auto"/>
          <w:lang w:val="en-US" w:eastAsia="zh-CN"/>
        </w:rPr>
        <w:t xml:space="preserve"> </w:t>
      </w:r>
      <w:r>
        <w:rPr>
          <w:rFonts w:hint="default"/>
          <w:color w:val="auto"/>
        </w:rPr>
        <w:t>石油和天然气开采业</w:t>
      </w:r>
      <w:r>
        <w:rPr>
          <w:rFonts w:hint="eastAsia"/>
          <w:color w:val="auto"/>
          <w:lang w:val="en-US" w:eastAsia="zh-CN"/>
        </w:rPr>
        <w:t xml:space="preserve"> </w:t>
      </w:r>
      <w:r>
        <w:rPr>
          <w:rFonts w:hint="default"/>
          <w:color w:val="auto"/>
        </w:rPr>
        <w:t>07陆地</w:t>
      </w:r>
      <w:r>
        <w:rPr>
          <w:rFonts w:hint="eastAsia"/>
          <w:color w:val="auto"/>
          <w:lang w:val="en-US" w:eastAsia="zh-CN"/>
        </w:rPr>
        <w:t>石油</w:t>
      </w:r>
      <w:r>
        <w:rPr>
          <w:rFonts w:hint="default"/>
          <w:color w:val="auto"/>
        </w:rPr>
        <w:t>开采07</w:t>
      </w:r>
      <w:r>
        <w:rPr>
          <w:rFonts w:hint="eastAsia"/>
          <w:color w:val="auto"/>
          <w:lang w:val="en-US" w:eastAsia="zh-CN"/>
        </w:rPr>
        <w:t>1</w:t>
      </w:r>
      <w:r>
        <w:rPr>
          <w:rFonts w:hint="default"/>
          <w:color w:val="auto"/>
        </w:rPr>
        <w:t>1</w:t>
      </w:r>
      <w:r>
        <w:rPr>
          <w:rFonts w:hint="eastAsia"/>
          <w:color w:val="auto"/>
          <w:lang w:eastAsia="zh-CN"/>
        </w:rPr>
        <w:t>”</w:t>
      </w:r>
      <w:r>
        <w:rPr>
          <w:rFonts w:hint="default"/>
          <w:color w:val="auto"/>
        </w:rPr>
        <w:t>中的</w:t>
      </w:r>
      <w:r>
        <w:rPr>
          <w:rFonts w:hint="eastAsia"/>
          <w:color w:val="auto"/>
          <w:lang w:eastAsia="zh-CN"/>
        </w:rPr>
        <w:t>“</w:t>
      </w:r>
      <w:r>
        <w:rPr>
          <w:rFonts w:hint="eastAsia"/>
          <w:color w:val="auto"/>
          <w:lang w:val="en-US" w:eastAsia="zh-CN"/>
        </w:rPr>
        <w:t>新区块开发</w:t>
      </w:r>
      <w:r>
        <w:rPr>
          <w:rFonts w:hint="eastAsia"/>
          <w:color w:val="auto"/>
          <w:lang w:eastAsia="zh-CN"/>
        </w:rPr>
        <w:t>”“</w:t>
      </w:r>
      <w:r>
        <w:rPr>
          <w:rFonts w:hint="default"/>
          <w:color w:val="auto"/>
        </w:rPr>
        <w:t>涉及环境敏感区的（含内部集输管线建设）</w:t>
      </w:r>
      <w:r>
        <w:rPr>
          <w:rFonts w:hint="eastAsia"/>
          <w:color w:val="auto"/>
          <w:lang w:eastAsia="zh-CN"/>
        </w:rPr>
        <w:t>”</w:t>
      </w:r>
      <w:r>
        <w:rPr>
          <w:rFonts w:hint="default"/>
          <w:color w:val="auto"/>
        </w:rPr>
        <w:t>，应编制环境影响报告书。</w:t>
      </w:r>
      <w:r>
        <w:rPr>
          <w:rFonts w:hint="eastAsia"/>
          <w:color w:val="auto"/>
          <w:lang w:val="en-US" w:eastAsia="zh-CN"/>
        </w:rPr>
        <w:t>本项目属于新区块开发，根据《新疆维吾尔自治区建设项目环境影响评价文件分级审批目录（2024年本）》，本项目环境影响报告书由自治区生态环境厅审批。</w:t>
      </w:r>
    </w:p>
    <w:p w14:paraId="7DC6B667">
      <w:pPr>
        <w:pStyle w:val="79"/>
        <w:bidi w:val="0"/>
        <w:rPr>
          <w:rFonts w:hint="default"/>
          <w:color w:val="auto"/>
        </w:rPr>
      </w:pPr>
      <w:r>
        <w:rPr>
          <w:rFonts w:hint="default"/>
          <w:color w:val="auto"/>
        </w:rPr>
        <w:t>根据《中华人民共和国环境影响评价法》《国务院关于修改〈建设项目环境保护管理条例〉的决定》，202</w:t>
      </w:r>
      <w:r>
        <w:rPr>
          <w:rFonts w:hint="eastAsia"/>
          <w:color w:val="auto"/>
          <w:lang w:val="en-US" w:eastAsia="zh-CN"/>
        </w:rPr>
        <w:t>5</w:t>
      </w:r>
      <w:r>
        <w:rPr>
          <w:rFonts w:hint="default"/>
          <w:color w:val="auto"/>
        </w:rPr>
        <w:t>年</w:t>
      </w:r>
      <w:r>
        <w:rPr>
          <w:rFonts w:hint="eastAsia"/>
          <w:color w:val="auto"/>
          <w:lang w:val="en-US" w:eastAsia="zh-CN"/>
        </w:rPr>
        <w:t>1</w:t>
      </w:r>
      <w:r>
        <w:rPr>
          <w:rFonts w:hint="default"/>
          <w:color w:val="auto"/>
        </w:rPr>
        <w:t>月</w:t>
      </w:r>
      <w:r>
        <w:rPr>
          <w:rFonts w:hint="eastAsia"/>
          <w:color w:val="auto"/>
          <w:lang w:val="en-US" w:eastAsia="zh-CN"/>
        </w:rPr>
        <w:t>2</w:t>
      </w:r>
      <w:r>
        <w:rPr>
          <w:rFonts w:hint="default"/>
          <w:color w:val="auto"/>
        </w:rPr>
        <w:t>日</w:t>
      </w:r>
      <w:r>
        <w:rPr>
          <w:rFonts w:hint="eastAsia"/>
          <w:color w:val="auto"/>
          <w:lang w:eastAsia="zh-CN"/>
        </w:rPr>
        <w:t>，</w:t>
      </w:r>
      <w:r>
        <w:rPr>
          <w:rFonts w:hint="eastAsia"/>
          <w:color w:val="auto"/>
          <w:lang w:val="en-US" w:eastAsia="zh-CN"/>
        </w:rPr>
        <w:t>中国石油天然气股份有限公司塔里木油田分公司</w:t>
      </w:r>
      <w:r>
        <w:rPr>
          <w:rFonts w:hint="default"/>
          <w:color w:val="auto"/>
        </w:rPr>
        <w:t>委托新疆天合环境技术咨询有限公司（以下简称</w:t>
      </w:r>
      <w:r>
        <w:rPr>
          <w:rFonts w:hint="eastAsia"/>
          <w:color w:val="auto"/>
          <w:lang w:eastAsia="zh-CN"/>
        </w:rPr>
        <w:t>“</w:t>
      </w:r>
      <w:r>
        <w:rPr>
          <w:rFonts w:hint="default"/>
          <w:color w:val="auto"/>
        </w:rPr>
        <w:t>天合公司</w:t>
      </w:r>
      <w:r>
        <w:rPr>
          <w:rFonts w:hint="eastAsia"/>
          <w:color w:val="auto"/>
          <w:lang w:eastAsia="zh-CN"/>
        </w:rPr>
        <w:t>”</w:t>
      </w:r>
      <w:r>
        <w:rPr>
          <w:rFonts w:hint="default"/>
          <w:color w:val="auto"/>
        </w:rPr>
        <w:t>）承担本工程的环境影响评价工作（委托书见附件1）。</w:t>
      </w:r>
    </w:p>
    <w:p w14:paraId="200B28C4">
      <w:pPr>
        <w:pStyle w:val="79"/>
        <w:keepNext w:val="0"/>
        <w:keepLines w:val="0"/>
        <w:pageBreakBefore w:val="0"/>
        <w:widowControl w:val="0"/>
        <w:kinsoku/>
        <w:wordWrap/>
        <w:overflowPunct/>
        <w:topLinePunct w:val="0"/>
        <w:autoSpaceDE/>
        <w:autoSpaceDN/>
        <w:bidi w:val="0"/>
        <w:adjustRightInd/>
        <w:snapToGrid/>
        <w:textAlignment w:val="auto"/>
        <w:rPr>
          <w:rFonts w:hint="default"/>
          <w:color w:val="auto"/>
        </w:rPr>
      </w:pPr>
      <w:r>
        <w:rPr>
          <w:rFonts w:hint="default"/>
          <w:color w:val="auto"/>
        </w:rPr>
        <w:t>天合公司接受委托后，即进行了现场踏勘和资料收集，结合有关资料和当地环境特征，按国家、新疆环境保护政策以及环评技术导则、规范的要求，开展本项目的环境影响评价工作。对本项目进行初步的工程分析，同时开展初步的环境状况调查及公众意见调查。识别本项目的环境影响因素，筛选主要的环境影响评价因子，明确评价重点和环境保护目标，确定环境影响评价的范围、评价工作等级和评价标准，最后制订工作方案。委托新疆昇腾环保科技有限公司于20</w:t>
      </w:r>
      <w:r>
        <w:rPr>
          <w:rFonts w:hint="eastAsia"/>
          <w:color w:val="auto"/>
          <w:lang w:val="en-US" w:eastAsia="zh-CN"/>
        </w:rPr>
        <w:t>25</w:t>
      </w:r>
      <w:r>
        <w:rPr>
          <w:rFonts w:hint="default"/>
          <w:color w:val="auto"/>
        </w:rPr>
        <w:t>年</w:t>
      </w:r>
      <w:r>
        <w:rPr>
          <w:rFonts w:hint="eastAsia"/>
          <w:color w:val="auto"/>
          <w:lang w:val="en-US" w:eastAsia="zh-CN"/>
        </w:rPr>
        <w:t>1</w:t>
      </w:r>
      <w:r>
        <w:rPr>
          <w:rFonts w:hint="default"/>
          <w:color w:val="auto"/>
        </w:rPr>
        <w:t>月对本项目区域地下水、土壤环境质量现状进行了监测。在进一步工程分析，环境现状调查、监测并开展环境质量现状评价的基础上进行环境影响预测及评价，提出减少环境污染和生态影响的环境管理措施和工程措施。从环境保护的角度确定项目建设的可行性，给出评价结论和提出进一步减缓环境影响的措施，并最终完成环境影响报告书编制。</w:t>
      </w:r>
    </w:p>
    <w:p w14:paraId="384AA1B6">
      <w:pPr>
        <w:pStyle w:val="79"/>
        <w:bidi w:val="0"/>
        <w:rPr>
          <w:rFonts w:hint="default"/>
          <w:color w:val="auto"/>
        </w:rPr>
      </w:pPr>
      <w:r>
        <w:rPr>
          <w:rFonts w:hint="default"/>
          <w:color w:val="auto"/>
        </w:rPr>
        <w:t>报告书经生态环境主管部门批准后，可以作为本项目建设期、运营期的环境保护管理依据。</w:t>
      </w:r>
    </w:p>
    <w:p w14:paraId="3558754F">
      <w:pPr>
        <w:pStyle w:val="79"/>
        <w:bidi w:val="0"/>
        <w:rPr>
          <w:rFonts w:hint="default"/>
          <w:color w:val="auto"/>
        </w:rPr>
      </w:pPr>
      <w:r>
        <w:rPr>
          <w:rFonts w:hint="default"/>
          <w:color w:val="auto"/>
        </w:rPr>
        <w:t>环境影响评价工作一般分为三个阶段，即调查分析和工作方案制定阶段，分析论证和预测评价阶段，环境影响报告书编制阶段见图1.2-1（环境影响评价工作程序图）。</w:t>
      </w:r>
    </w:p>
    <w:p w14:paraId="5AF15125">
      <w:pPr>
        <w:pStyle w:val="79"/>
        <w:spacing w:line="360" w:lineRule="auto"/>
        <w:ind w:firstLine="480"/>
        <w:rPr>
          <w:rFonts w:hint="default" w:ascii="Times New Roman" w:hAnsi="Times New Roman" w:cs="Times New Roman"/>
          <w:bCs/>
          <w:snapToGrid w:val="0"/>
          <w:color w:val="auto"/>
          <w:szCs w:val="20"/>
        </w:rPr>
      </w:pPr>
    </w:p>
    <w:p w14:paraId="5B8A56C9">
      <w:pPr>
        <w:widowControl w:val="0"/>
        <w:ind w:firstLine="0"/>
        <w:jc w:val="both"/>
        <w:rPr>
          <w:rFonts w:hint="default" w:ascii="Times New Roman" w:hAnsi="Times New Roman" w:eastAsia="宋体" w:cs="Times New Roman"/>
          <w:color w:val="auto"/>
          <w:kern w:val="2"/>
          <w:sz w:val="21"/>
        </w:rPr>
      </w:pPr>
    </w:p>
    <w:p w14:paraId="5F6AD492">
      <w:pPr>
        <w:widowControl w:val="0"/>
        <w:spacing w:line="400" w:lineRule="atLeast"/>
        <w:ind w:firstLine="480"/>
        <w:jc w:val="both"/>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mc:AlternateContent>
          <mc:Choice Requires="wps">
            <w:drawing>
              <wp:anchor distT="0" distB="0" distL="114300" distR="114300" simplePos="0" relativeHeight="251665408" behindDoc="0" locked="0" layoutInCell="1" allowOverlap="1">
                <wp:simplePos x="0" y="0"/>
                <wp:positionH relativeFrom="column">
                  <wp:posOffset>1122045</wp:posOffset>
                </wp:positionH>
                <wp:positionV relativeFrom="paragraph">
                  <wp:posOffset>71755</wp:posOffset>
                </wp:positionV>
                <wp:extent cx="2936875" cy="553720"/>
                <wp:effectExtent l="4445" t="5080" r="11430" b="12700"/>
                <wp:wrapNone/>
                <wp:docPr id="95" name="矩形 95"/>
                <wp:cNvGraphicFramePr/>
                <a:graphic xmlns:a="http://schemas.openxmlformats.org/drawingml/2006/main">
                  <a:graphicData uri="http://schemas.microsoft.com/office/word/2010/wordprocessingShape">
                    <wps:wsp>
                      <wps:cNvSpPr/>
                      <wps:spPr>
                        <a:xfrm>
                          <a:off x="0" y="0"/>
                          <a:ext cx="2936875" cy="5537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312F46D">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收集分析工程技术文件</w:t>
                            </w:r>
                          </w:p>
                          <w:p w14:paraId="7981062C">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bidi="ar-SA"/>
                              </w:rPr>
                              <w:t>以及相关基础资料</w:t>
                            </w:r>
                          </w:p>
                        </w:txbxContent>
                      </wps:txbx>
                      <wps:bodyPr upright="1"/>
                    </wps:wsp>
                  </a:graphicData>
                </a:graphic>
              </wp:anchor>
            </w:drawing>
          </mc:Choice>
          <mc:Fallback>
            <w:pict>
              <v:rect id="_x0000_s1026" o:spid="_x0000_s1026" o:spt="1" style="position:absolute;left:0pt;margin-left:88.35pt;margin-top:5.65pt;height:43.6pt;width:231.25pt;z-index:251665408;mso-width-relative:page;mso-height-relative:page;" fillcolor="#FFFFFF" filled="t" stroked="t" coordsize="21600,21600" o:gfxdata="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Ogt5fYAAAACQEAAA8AAAAAAAAAAQAgAAAAIgAA&#10;AGRycy9kb3ducmV2LnhtbFBLAQIUABQAAAAIAIdO4kDupBHVCAIAADkEAAAOAAAAAAAAAAEAIAAA&#10;ACcBAABkcnMvZTJvRG9jLnhtbFBLBQYAAAAABgAGAFkBAAChBQAAAAA=&#10;">
                <v:fill on="t" focussize="0,0"/>
                <v:stroke color="#000000" joinstyle="miter"/>
                <v:imagedata o:title=""/>
                <o:lock v:ext="edit" aspectratio="f"/>
                <v:textbox>
                  <w:txbxContent>
                    <w:p w14:paraId="7312F46D">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收集分析工程技术文件</w:t>
                      </w:r>
                    </w:p>
                    <w:p w14:paraId="7981062C">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bidi="ar-SA"/>
                        </w:rPr>
                        <w:t>以及相关基础资料</w:t>
                      </w:r>
                    </w:p>
                  </w:txbxContent>
                </v:textbox>
              </v:rect>
            </w:pict>
          </mc:Fallback>
        </mc:AlternateContent>
      </w:r>
      <w:r>
        <w:rPr>
          <w:rFonts w:hint="default" w:ascii="Times New Roman" w:hAnsi="Times New Roman" w:eastAsia="宋体" w:cs="Times New Roman"/>
          <w:color w:val="auto"/>
          <w:kern w:val="2"/>
          <w:sz w:val="21"/>
        </w:rPr>
        <mc:AlternateContent>
          <mc:Choice Requires="wps">
            <w:drawing>
              <wp:anchor distT="0" distB="0" distL="114300" distR="114300" simplePos="0" relativeHeight="251681792" behindDoc="0" locked="0" layoutInCell="1" allowOverlap="1">
                <wp:simplePos x="0" y="0"/>
                <wp:positionH relativeFrom="column">
                  <wp:posOffset>50800</wp:posOffset>
                </wp:positionH>
                <wp:positionV relativeFrom="paragraph">
                  <wp:posOffset>-127635</wp:posOffset>
                </wp:positionV>
                <wp:extent cx="5181600" cy="6897370"/>
                <wp:effectExtent l="4445" t="4445" r="14605" b="13335"/>
                <wp:wrapNone/>
                <wp:docPr id="85" name="矩形 85"/>
                <wp:cNvGraphicFramePr/>
                <a:graphic xmlns:a="http://schemas.openxmlformats.org/drawingml/2006/main">
                  <a:graphicData uri="http://schemas.microsoft.com/office/word/2010/wordprocessingShape">
                    <wps:wsp>
                      <wps:cNvSpPr/>
                      <wps:spPr>
                        <a:xfrm>
                          <a:off x="0" y="0"/>
                          <a:ext cx="5181600" cy="6897370"/>
                        </a:xfrm>
                        <a:prstGeom prst="rect">
                          <a:avLst/>
                        </a:prstGeom>
                        <a:noFill/>
                        <a:ln w="9525" cap="flat" cmpd="sng">
                          <a:solidFill>
                            <a:srgbClr val="000000"/>
                          </a:solidFill>
                          <a:prstDash val="dash"/>
                          <a:miter/>
                          <a:headEnd type="none" w="med" len="med"/>
                          <a:tailEnd type="none" w="med" len="med"/>
                        </a:ln>
                        <a:effectLst/>
                      </wps:spPr>
                      <wps:bodyPr upright="1"/>
                    </wps:wsp>
                  </a:graphicData>
                </a:graphic>
              </wp:anchor>
            </w:drawing>
          </mc:Choice>
          <mc:Fallback>
            <w:pict>
              <v:rect id="_x0000_s1026" o:spid="_x0000_s1026" o:spt="1" style="position:absolute;left:0pt;margin-left:4pt;margin-top:-10.05pt;height:543.1pt;width:408pt;z-index:251681792;mso-width-relative:page;mso-height-relative:page;" filled="f" stroked="t" coordsize="21600,21600" o:gfxdata="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b9YhPWAAAACgEAAA8AAAAAAAAAAQAgAAAAIgAAAGRycy9kb3ducmV2&#10;LnhtbFBLAQIUABQAAAAIAIdO4kB7EOV4/gEAAAUEAAAOAAAAAAAAAAEAIAAAACUBAABkcnMvZTJv&#10;RG9jLnhtbFBLBQYAAAAABgAGAFkBAACVBQAAAAA=&#10;">
                <v:fill on="f" focussize="0,0"/>
                <v:stroke color="#000000" joinstyle="miter" dashstyle="dash"/>
                <v:imagedata o:title=""/>
                <o:lock v:ext="edit" aspectratio="f"/>
              </v:rect>
            </w:pict>
          </mc:Fallback>
        </mc:AlternateContent>
      </w:r>
    </w:p>
    <w:p w14:paraId="31A731A6">
      <w:pPr>
        <w:widowControl w:val="0"/>
        <w:spacing w:line="400" w:lineRule="atLeast"/>
        <w:ind w:firstLine="480"/>
        <w:jc w:val="both"/>
        <w:rPr>
          <w:rFonts w:hint="default" w:ascii="Times New Roman" w:hAnsi="Times New Roman" w:eastAsia="宋体" w:cs="Times New Roman"/>
          <w:color w:val="auto"/>
          <w:kern w:val="2"/>
          <w:sz w:val="21"/>
        </w:rPr>
      </w:pPr>
    </w:p>
    <w:p w14:paraId="1321E12E">
      <w:pPr>
        <w:widowControl w:val="0"/>
        <w:spacing w:line="400" w:lineRule="atLeast"/>
        <w:ind w:firstLine="480"/>
        <w:jc w:val="both"/>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mc:AlternateContent>
          <mc:Choice Requires="wps">
            <w:drawing>
              <wp:anchor distT="0" distB="0" distL="114300" distR="114300" simplePos="0" relativeHeight="251666432" behindDoc="0" locked="0" layoutInCell="1" allowOverlap="1">
                <wp:simplePos x="0" y="0"/>
                <wp:positionH relativeFrom="column">
                  <wp:posOffset>2580640</wp:posOffset>
                </wp:positionH>
                <wp:positionV relativeFrom="paragraph">
                  <wp:posOffset>102870</wp:posOffset>
                </wp:positionV>
                <wp:extent cx="6350" cy="424180"/>
                <wp:effectExtent l="36830" t="0" r="33020" b="13970"/>
                <wp:wrapNone/>
                <wp:docPr id="82" name="直接箭头连接符 82"/>
                <wp:cNvGraphicFramePr/>
                <a:graphic xmlns:a="http://schemas.openxmlformats.org/drawingml/2006/main">
                  <a:graphicData uri="http://schemas.microsoft.com/office/word/2010/wordprocessingShape">
                    <wps:wsp>
                      <wps:cNvCnPr/>
                      <wps:spPr>
                        <a:xfrm flipH="1">
                          <a:off x="0" y="0"/>
                          <a:ext cx="6350" cy="4241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3.2pt;margin-top:8.1pt;height:33.4pt;width:0.5pt;z-index:251666432;mso-width-relative:page;mso-height-relative:page;" filled="f" stroked="t" coordsize="21600,21600" o:gfxdata="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tC7G/YAAAACQEAAA8A&#10;AAAAAAAAAQAgAAAAIgAAAGRycy9kb3ducmV2LnhtbFBLAQIUABQAAAAIAIdO4kC6F/kJFwIAAAwE&#10;AAAOAAAAAAAAAAEAIAAAACcBAABkcnMvZTJvRG9jLnhtbFBLBQYAAAAABgAGAFkBAACwBQAAAAA=&#10;">
                <v:fill on="f" focussize="0,0"/>
                <v:stroke color="#000000" joinstyle="round" endarrow="block"/>
                <v:imagedata o:title=""/>
                <o:lock v:ext="edit" aspectratio="f"/>
              </v:shape>
            </w:pict>
          </mc:Fallback>
        </mc:AlternateContent>
      </w:r>
      <w:r>
        <w:rPr>
          <w:rFonts w:hint="default" w:ascii="Times New Roman" w:hAnsi="Times New Roman" w:eastAsia="宋体" w:cs="Times New Roman"/>
          <w:color w:val="auto"/>
          <w:kern w:val="2"/>
          <w:sz w:val="21"/>
        </w:rPr>
        <mc:AlternateContent>
          <mc:Choice Requires="wps">
            <w:drawing>
              <wp:anchor distT="0" distB="0" distL="114300" distR="114300" simplePos="0" relativeHeight="251678720" behindDoc="0" locked="0" layoutInCell="1" allowOverlap="1">
                <wp:simplePos x="0" y="0"/>
                <wp:positionH relativeFrom="column">
                  <wp:posOffset>100330</wp:posOffset>
                </wp:positionH>
                <wp:positionV relativeFrom="paragraph">
                  <wp:posOffset>156845</wp:posOffset>
                </wp:positionV>
                <wp:extent cx="266700" cy="1123950"/>
                <wp:effectExtent l="0" t="0" r="0" b="0"/>
                <wp:wrapNone/>
                <wp:docPr id="86" name="矩形 86"/>
                <wp:cNvGraphicFramePr/>
                <a:graphic xmlns:a="http://schemas.openxmlformats.org/drawingml/2006/main">
                  <a:graphicData uri="http://schemas.microsoft.com/office/word/2010/wordprocessingShape">
                    <wps:wsp>
                      <wps:cNvSpPr/>
                      <wps:spPr>
                        <a:xfrm>
                          <a:off x="0" y="0"/>
                          <a:ext cx="266700" cy="1123950"/>
                        </a:xfrm>
                        <a:prstGeom prst="rect">
                          <a:avLst/>
                        </a:prstGeom>
                        <a:noFill/>
                        <a:ln w="9525">
                          <a:noFill/>
                        </a:ln>
                        <a:effectLst/>
                      </wps:spPr>
                      <wps:txbx>
                        <w:txbxContent>
                          <w:p w14:paraId="162673BA">
                            <w:pPr>
                              <w:ind w:firstLine="480"/>
                              <w:jc w:val="center"/>
                              <w:rPr>
                                <w:rFonts w:ascii="宋体" w:hAnsi="宋体" w:eastAsia="宋体" w:cs="宋体"/>
                                <w:sz w:val="21"/>
                                <w:szCs w:val="24"/>
                                <w:lang w:val="en-US" w:eastAsia="zh-CN" w:bidi="ar-SA"/>
                              </w:rPr>
                            </w:pPr>
                            <w:r>
                              <w:rPr>
                                <w:rFonts w:hint="eastAsia" w:ascii="宋体" w:hAnsi="宋体" w:eastAsia="宋体" w:cs="宋体"/>
                                <w:sz w:val="21"/>
                                <w:szCs w:val="24"/>
                                <w:lang w:val="en-US" w:eastAsia="zh-CN" w:bidi="ar-SA"/>
                              </w:rPr>
                              <w:t>第第一阶段</w:t>
                            </w:r>
                          </w:p>
                        </w:txbxContent>
                      </wps:txbx>
                      <wps:bodyPr upright="1"/>
                    </wps:wsp>
                  </a:graphicData>
                </a:graphic>
              </wp:anchor>
            </w:drawing>
          </mc:Choice>
          <mc:Fallback>
            <w:pict>
              <v:rect id="_x0000_s1026" o:spid="_x0000_s1026" o:spt="1" style="position:absolute;left:0pt;margin-left:7.9pt;margin-top:12.35pt;height:88.5pt;width:21pt;z-index:251678720;mso-width-relative:page;mso-height-relative:page;" filled="f" stroked="f" coordsize="21600,21600" o:gfxdata="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BT&#10;qaXXAAAACAEAAA8AAAAAAAAAAQAgAAAAIgAAAGRycy9kb3ducmV2LnhtbFBLAQIUABQAAAAIAIdO&#10;4kCrCGzcsgEAAFoDAAAOAAAAAAAAAAEAIAAAACYBAABkcnMvZTJvRG9jLnhtbFBLBQYAAAAABgAG&#10;AFkBAABKBQAAAAA=&#10;">
                <v:fill on="f" focussize="0,0"/>
                <v:stroke on="f"/>
                <v:imagedata o:title=""/>
                <o:lock v:ext="edit" aspectratio="f"/>
                <v:textbox>
                  <w:txbxContent>
                    <w:p w14:paraId="162673BA">
                      <w:pPr>
                        <w:ind w:firstLine="480"/>
                        <w:jc w:val="center"/>
                        <w:rPr>
                          <w:rFonts w:ascii="宋体" w:hAnsi="宋体" w:eastAsia="宋体" w:cs="宋体"/>
                          <w:sz w:val="21"/>
                          <w:szCs w:val="24"/>
                          <w:lang w:val="en-US" w:eastAsia="zh-CN" w:bidi="ar-SA"/>
                        </w:rPr>
                      </w:pPr>
                      <w:r>
                        <w:rPr>
                          <w:rFonts w:hint="eastAsia" w:ascii="宋体" w:hAnsi="宋体" w:eastAsia="宋体" w:cs="宋体"/>
                          <w:sz w:val="21"/>
                          <w:szCs w:val="24"/>
                          <w:lang w:val="en-US" w:eastAsia="zh-CN" w:bidi="ar-SA"/>
                        </w:rPr>
                        <w:t>第第一阶段</w:t>
                      </w:r>
                    </w:p>
                  </w:txbxContent>
                </v:textbox>
              </v:rect>
            </w:pict>
          </mc:Fallback>
        </mc:AlternateContent>
      </w:r>
    </w:p>
    <w:p w14:paraId="7DBBE4D3">
      <w:pPr>
        <w:widowControl w:val="0"/>
        <w:spacing w:line="400" w:lineRule="atLeast"/>
        <w:ind w:firstLine="480"/>
        <w:jc w:val="both"/>
        <w:rPr>
          <w:rFonts w:hint="default" w:ascii="Times New Roman" w:hAnsi="Times New Roman" w:eastAsia="宋体" w:cs="Times New Roman"/>
          <w:color w:val="auto"/>
          <w:kern w:val="2"/>
          <w:sz w:val="21"/>
        </w:rPr>
      </w:pPr>
    </w:p>
    <w:p w14:paraId="1956C7F0">
      <w:pPr>
        <w:widowControl w:val="0"/>
        <w:spacing w:line="400" w:lineRule="atLeast"/>
        <w:ind w:firstLine="480"/>
        <w:jc w:val="both"/>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mc:AlternateContent>
          <mc:Choice Requires="wps">
            <w:drawing>
              <wp:anchor distT="0" distB="0" distL="114300" distR="114300" simplePos="0" relativeHeight="251664384" behindDoc="0" locked="0" layoutInCell="1" allowOverlap="1">
                <wp:simplePos x="0" y="0"/>
                <wp:positionH relativeFrom="column">
                  <wp:posOffset>1142365</wp:posOffset>
                </wp:positionH>
                <wp:positionV relativeFrom="paragraph">
                  <wp:posOffset>28575</wp:posOffset>
                </wp:positionV>
                <wp:extent cx="2838450" cy="687705"/>
                <wp:effectExtent l="4445" t="4445" r="14605" b="12700"/>
                <wp:wrapNone/>
                <wp:docPr id="83" name="矩形 83"/>
                <wp:cNvGraphicFramePr/>
                <a:graphic xmlns:a="http://schemas.openxmlformats.org/drawingml/2006/main">
                  <a:graphicData uri="http://schemas.microsoft.com/office/word/2010/wordprocessingShape">
                    <wps:wsp>
                      <wps:cNvSpPr/>
                      <wps:spPr>
                        <a:xfrm>
                          <a:off x="0" y="0"/>
                          <a:ext cx="2838450" cy="6877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31B8215">
                            <w:pPr>
                              <w:keepNext w:val="0"/>
                              <w:keepLines w:val="0"/>
                              <w:pageBreakBefore w:val="0"/>
                              <w:widowControl/>
                              <w:kinsoku/>
                              <w:wordWrap/>
                              <w:overflowPunct/>
                              <w:topLinePunct w:val="0"/>
                              <w:autoSpaceDE/>
                              <w:autoSpaceDN/>
                              <w:bidi w:val="0"/>
                              <w:adjustRightInd/>
                              <w:snapToGrid/>
                              <w:ind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进行工程分析，识别环境影响</w:t>
                            </w:r>
                          </w:p>
                          <w:p w14:paraId="62091449">
                            <w:pPr>
                              <w:keepNext w:val="0"/>
                              <w:keepLines w:val="0"/>
                              <w:pageBreakBefore w:val="0"/>
                              <w:widowControl/>
                              <w:kinsoku/>
                              <w:wordWrap/>
                              <w:overflowPunct/>
                              <w:topLinePunct w:val="0"/>
                              <w:autoSpaceDE/>
                              <w:autoSpaceDN/>
                              <w:bidi w:val="0"/>
                              <w:adjustRightInd/>
                              <w:snapToGrid/>
                              <w:ind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并筛选评价因子，明确环境影响</w:t>
                            </w:r>
                          </w:p>
                          <w:p w14:paraId="02DD7B8B">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评价工作重点和环境保护目标</w:t>
                            </w:r>
                          </w:p>
                        </w:txbxContent>
                      </wps:txbx>
                      <wps:bodyPr upright="1"/>
                    </wps:wsp>
                  </a:graphicData>
                </a:graphic>
              </wp:anchor>
            </w:drawing>
          </mc:Choice>
          <mc:Fallback>
            <w:pict>
              <v:rect id="_x0000_s1026" o:spid="_x0000_s1026" o:spt="1" style="position:absolute;left:0pt;margin-left:89.95pt;margin-top:2.25pt;height:54.15pt;width:223.5pt;z-index:251664384;mso-width-relative:page;mso-height-relative:page;" fillcolor="#FFFFFF" filled="t" stroked="t" coordsize="21600,21600" o:gfxdata="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&#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wUL0DWAAAACQEAAA8AAAAAAAAAAQAgAAAAIgAAAGRy&#10;cy9kb3ducmV2LnhtbFBLAQIUABQAAAAIAIdO4kCiKz56BwIAADkEAAAOAAAAAAAAAAEAIAAAACUB&#10;AABkcnMvZTJvRG9jLnhtbFBLBQYAAAAABgAGAFkBAACeBQAAAAA=&#10;">
                <v:fill on="t" focussize="0,0"/>
                <v:stroke color="#000000" joinstyle="miter"/>
                <v:imagedata o:title=""/>
                <o:lock v:ext="edit" aspectratio="f"/>
                <v:textbox>
                  <w:txbxContent>
                    <w:p w14:paraId="231B8215">
                      <w:pPr>
                        <w:keepNext w:val="0"/>
                        <w:keepLines w:val="0"/>
                        <w:pageBreakBefore w:val="0"/>
                        <w:widowControl/>
                        <w:kinsoku/>
                        <w:wordWrap/>
                        <w:overflowPunct/>
                        <w:topLinePunct w:val="0"/>
                        <w:autoSpaceDE/>
                        <w:autoSpaceDN/>
                        <w:bidi w:val="0"/>
                        <w:adjustRightInd/>
                        <w:snapToGrid/>
                        <w:ind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进行工程分析，识别环境影响</w:t>
                      </w:r>
                    </w:p>
                    <w:p w14:paraId="62091449">
                      <w:pPr>
                        <w:keepNext w:val="0"/>
                        <w:keepLines w:val="0"/>
                        <w:pageBreakBefore w:val="0"/>
                        <w:widowControl/>
                        <w:kinsoku/>
                        <w:wordWrap/>
                        <w:overflowPunct/>
                        <w:topLinePunct w:val="0"/>
                        <w:autoSpaceDE/>
                        <w:autoSpaceDN/>
                        <w:bidi w:val="0"/>
                        <w:adjustRightInd/>
                        <w:snapToGrid/>
                        <w:ind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并筛选评价因子，明确环境影响</w:t>
                      </w:r>
                    </w:p>
                    <w:p w14:paraId="02DD7B8B">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评价工作重点和环境保护目标</w:t>
                      </w:r>
                    </w:p>
                  </w:txbxContent>
                </v:textbox>
              </v:rect>
            </w:pict>
          </mc:Fallback>
        </mc:AlternateContent>
      </w:r>
    </w:p>
    <w:p w14:paraId="38FD90B1">
      <w:pPr>
        <w:widowControl w:val="0"/>
        <w:spacing w:line="400" w:lineRule="atLeast"/>
        <w:ind w:firstLine="480"/>
        <w:jc w:val="both"/>
        <w:rPr>
          <w:rFonts w:hint="default" w:ascii="Times New Roman" w:hAnsi="Times New Roman" w:eastAsia="宋体" w:cs="Times New Roman"/>
          <w:color w:val="auto"/>
          <w:kern w:val="2"/>
          <w:sz w:val="21"/>
        </w:rPr>
      </w:pPr>
    </w:p>
    <w:p w14:paraId="205EF5D5">
      <w:pPr>
        <w:widowControl w:val="0"/>
        <w:spacing w:line="400" w:lineRule="atLeast"/>
        <w:ind w:firstLine="480"/>
        <w:jc w:val="both"/>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mc:AlternateContent>
          <mc:Choice Requires="wps">
            <w:drawing>
              <wp:anchor distT="0" distB="0" distL="114300" distR="114300" simplePos="0" relativeHeight="251667456" behindDoc="0" locked="0" layoutInCell="1" allowOverlap="1">
                <wp:simplePos x="0" y="0"/>
                <wp:positionH relativeFrom="column">
                  <wp:posOffset>2567940</wp:posOffset>
                </wp:positionH>
                <wp:positionV relativeFrom="paragraph">
                  <wp:posOffset>224155</wp:posOffset>
                </wp:positionV>
                <wp:extent cx="4445" cy="352425"/>
                <wp:effectExtent l="36830" t="0" r="34925" b="9525"/>
                <wp:wrapNone/>
                <wp:docPr id="93" name="直接箭头连接符 93"/>
                <wp:cNvGraphicFramePr/>
                <a:graphic xmlns:a="http://schemas.openxmlformats.org/drawingml/2006/main">
                  <a:graphicData uri="http://schemas.microsoft.com/office/word/2010/wordprocessingShape">
                    <wps:wsp>
                      <wps:cNvCnPr>
                        <a:endCxn id="80" idx="0"/>
                      </wps:cNvCnPr>
                      <wps:spPr>
                        <a:xfrm flipH="1">
                          <a:off x="0" y="0"/>
                          <a:ext cx="4445" cy="35242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2.2pt;margin-top:17.65pt;height:27.75pt;width:0.35pt;z-index:251667456;mso-width-relative:page;mso-height-relative:page;" filled="f" stroked="t" coordsize="21600,21600" o:gfxdata="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N&#10;W7TJ2QAAAAkBAAAPAAAAAAAAAAEAIAAAACIAAABkcnMvZG93bnJldi54bWxQSwECFAAUAAAACACH&#10;TuJAQ41tXCMCAAA0BAAADgAAAAAAAAABACAAAAAoAQAAZHJzL2Uyb0RvYy54bWxQSwUGAAAAAAYA&#10;BgBZAQAAvQUAAAAA&#10;">
                <v:fill on="f" focussize="0,0"/>
                <v:stroke color="#000000" joinstyle="round" endarrow="block"/>
                <v:imagedata o:title=""/>
                <o:lock v:ext="edit" aspectratio="f"/>
              </v:shape>
            </w:pict>
          </mc:Fallback>
        </mc:AlternateContent>
      </w:r>
    </w:p>
    <w:p w14:paraId="17061FF4">
      <w:pPr>
        <w:widowControl w:val="0"/>
        <w:spacing w:line="400" w:lineRule="atLeast"/>
        <w:ind w:firstLine="480"/>
        <w:jc w:val="both"/>
        <w:rPr>
          <w:rFonts w:hint="default" w:ascii="Times New Roman" w:hAnsi="Times New Roman" w:eastAsia="宋体" w:cs="Times New Roman"/>
          <w:color w:val="auto"/>
          <w:kern w:val="2"/>
          <w:sz w:val="21"/>
        </w:rPr>
      </w:pPr>
    </w:p>
    <w:p w14:paraId="1646B8B7">
      <w:pPr>
        <w:widowControl w:val="0"/>
        <w:spacing w:line="400" w:lineRule="atLeast"/>
        <w:ind w:firstLine="480"/>
        <w:jc w:val="both"/>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mc:AlternateContent>
          <mc:Choice Requires="wps">
            <w:drawing>
              <wp:anchor distT="0" distB="0" distL="114300" distR="114300" simplePos="0" relativeHeight="251668480" behindDoc="0" locked="0" layoutInCell="1" allowOverlap="1">
                <wp:simplePos x="0" y="0"/>
                <wp:positionH relativeFrom="column">
                  <wp:posOffset>1295400</wp:posOffset>
                </wp:positionH>
                <wp:positionV relativeFrom="paragraph">
                  <wp:posOffset>68580</wp:posOffset>
                </wp:positionV>
                <wp:extent cx="2545080" cy="504825"/>
                <wp:effectExtent l="4445" t="5080" r="22225" b="4445"/>
                <wp:wrapNone/>
                <wp:docPr id="80" name="矩形 80"/>
                <wp:cNvGraphicFramePr/>
                <a:graphic xmlns:a="http://schemas.openxmlformats.org/drawingml/2006/main">
                  <a:graphicData uri="http://schemas.microsoft.com/office/word/2010/wordprocessingShape">
                    <wps:wsp>
                      <wps:cNvSpPr/>
                      <wps:spPr>
                        <a:xfrm>
                          <a:off x="0" y="0"/>
                          <a:ext cx="2545080" cy="504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73E2825">
                            <w:pPr>
                              <w:keepNext w:val="0"/>
                              <w:keepLines w:val="0"/>
                              <w:pageBreakBefore w:val="0"/>
                              <w:widowControl/>
                              <w:kinsoku/>
                              <w:wordWrap/>
                              <w:overflowPunct/>
                              <w:topLinePunct w:val="0"/>
                              <w:autoSpaceDE/>
                              <w:autoSpaceDN/>
                              <w:bidi w:val="0"/>
                              <w:adjustRightInd/>
                              <w:snapToGrid/>
                              <w:ind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确定评价工作等级、</w:t>
                            </w:r>
                          </w:p>
                          <w:p w14:paraId="50094E82">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评价范围和评价标准</w:t>
                            </w:r>
                          </w:p>
                        </w:txbxContent>
                      </wps:txbx>
                      <wps:bodyPr upright="1"/>
                    </wps:wsp>
                  </a:graphicData>
                </a:graphic>
              </wp:anchor>
            </w:drawing>
          </mc:Choice>
          <mc:Fallback>
            <w:pict>
              <v:rect id="_x0000_s1026" o:spid="_x0000_s1026" o:spt="1" style="position:absolute;left:0pt;margin-left:102pt;margin-top:5.4pt;height:39.75pt;width:200.4pt;z-index:251668480;mso-width-relative:page;mso-height-relative:page;" fillcolor="#FFFFFF" filled="t" stroked="t" coordsize="21600,21600" o:gfxdata="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47Fzm1wAAAAkBAAAPAAAAAAAAAAEAIAAAACIAAABkcnMv&#10;ZG93bnJldi54bWxQSwECFAAUAAAACACHTuJAMEq1UgQCAAA5BAAADgAAAAAAAAABACAAAAAmAQAA&#10;ZHJzL2Uyb0RvYy54bWxQSwUGAAAAAAYABgBZAQAAnAUAAAAA&#10;">
                <v:fill on="t" focussize="0,0"/>
                <v:stroke color="#000000" joinstyle="miter"/>
                <v:imagedata o:title=""/>
                <o:lock v:ext="edit" aspectratio="f"/>
                <v:textbox>
                  <w:txbxContent>
                    <w:p w14:paraId="673E2825">
                      <w:pPr>
                        <w:keepNext w:val="0"/>
                        <w:keepLines w:val="0"/>
                        <w:pageBreakBefore w:val="0"/>
                        <w:widowControl/>
                        <w:kinsoku/>
                        <w:wordWrap/>
                        <w:overflowPunct/>
                        <w:topLinePunct w:val="0"/>
                        <w:autoSpaceDE/>
                        <w:autoSpaceDN/>
                        <w:bidi w:val="0"/>
                        <w:adjustRightInd/>
                        <w:snapToGrid/>
                        <w:ind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确定评价工作等级、</w:t>
                      </w:r>
                    </w:p>
                    <w:p w14:paraId="50094E82">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评价范围和评价标准</w:t>
                      </w:r>
                    </w:p>
                  </w:txbxContent>
                </v:textbox>
              </v:rect>
            </w:pict>
          </mc:Fallback>
        </mc:AlternateContent>
      </w:r>
    </w:p>
    <w:p w14:paraId="6B2063C3">
      <w:pPr>
        <w:widowControl w:val="0"/>
        <w:spacing w:line="400" w:lineRule="atLeast"/>
        <w:ind w:firstLine="480"/>
        <w:jc w:val="both"/>
        <w:rPr>
          <w:rFonts w:hint="default" w:ascii="Times New Roman" w:hAnsi="Times New Roman" w:eastAsia="宋体" w:cs="Times New Roman"/>
          <w:color w:val="auto"/>
          <w:kern w:val="2"/>
          <w:sz w:val="21"/>
        </w:rPr>
      </w:pPr>
    </w:p>
    <w:p w14:paraId="0D31E68C">
      <w:pPr>
        <w:widowControl w:val="0"/>
        <w:spacing w:line="400" w:lineRule="atLeast"/>
        <w:ind w:firstLine="480"/>
        <w:jc w:val="both"/>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mc:AlternateContent>
          <mc:Choice Requires="wps">
            <w:drawing>
              <wp:anchor distT="0" distB="0" distL="114300" distR="114300" simplePos="0" relativeHeight="251669504" behindDoc="0" locked="0" layoutInCell="1" allowOverlap="1">
                <wp:simplePos x="0" y="0"/>
                <wp:positionH relativeFrom="column">
                  <wp:posOffset>2574290</wp:posOffset>
                </wp:positionH>
                <wp:positionV relativeFrom="paragraph">
                  <wp:posOffset>63500</wp:posOffset>
                </wp:positionV>
                <wp:extent cx="8255" cy="496570"/>
                <wp:effectExtent l="36830" t="0" r="31115" b="17780"/>
                <wp:wrapNone/>
                <wp:docPr id="84" name="直接箭头连接符 84"/>
                <wp:cNvGraphicFramePr/>
                <a:graphic xmlns:a="http://schemas.openxmlformats.org/drawingml/2006/main">
                  <a:graphicData uri="http://schemas.microsoft.com/office/word/2010/wordprocessingShape">
                    <wps:wsp>
                      <wps:cNvCnPr>
                        <a:endCxn id="80" idx="0"/>
                      </wps:cNvCnPr>
                      <wps:spPr>
                        <a:xfrm flipH="1">
                          <a:off x="0" y="0"/>
                          <a:ext cx="8255" cy="49657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2.7pt;margin-top:5pt;height:39.1pt;width:0.65pt;z-index:251669504;mso-width-relative:page;mso-height-relative:page;" filled="f" stroked="t" coordsize="21600,21600" o:gfxdata="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YqCS4dgAAAAJAQAADwAAAAAAAAABACAAAAAiAAAAZHJzL2Rvd25yZXYueG1sUEsBAhQAFAAAAAgA&#10;h07iQOSuQpklAgAANAQAAA4AAAAAAAAAAQAgAAAAJwEAAGRycy9lMm9Eb2MueG1sUEsFBgAAAAAG&#10;AAYAWQEAAL4FAAAAAA==&#10;">
                <v:fill on="f" focussize="0,0"/>
                <v:stroke color="#000000" joinstyle="round" endarrow="block"/>
                <v:imagedata o:title=""/>
                <o:lock v:ext="edit" aspectratio="f"/>
              </v:shape>
            </w:pict>
          </mc:Fallback>
        </mc:AlternateContent>
      </w:r>
    </w:p>
    <w:p w14:paraId="5296E51D">
      <w:pPr>
        <w:widowControl w:val="0"/>
        <w:spacing w:line="400" w:lineRule="atLeast"/>
        <w:ind w:firstLine="480"/>
        <w:jc w:val="both"/>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mc:AlternateContent>
          <mc:Choice Requires="wps">
            <w:drawing>
              <wp:anchor distT="0" distB="0" distL="114300" distR="114300" simplePos="0" relativeHeight="251676672" behindDoc="0" locked="0" layoutInCell="1" allowOverlap="1">
                <wp:simplePos x="0" y="0"/>
                <wp:positionH relativeFrom="column">
                  <wp:posOffset>100965</wp:posOffset>
                </wp:positionH>
                <wp:positionV relativeFrom="paragraph">
                  <wp:posOffset>1270</wp:posOffset>
                </wp:positionV>
                <wp:extent cx="5124450" cy="23495"/>
                <wp:effectExtent l="0" t="4445" r="0" b="10160"/>
                <wp:wrapNone/>
                <wp:docPr id="81" name="直接箭头连接符 81"/>
                <wp:cNvGraphicFramePr/>
                <a:graphic xmlns:a="http://schemas.openxmlformats.org/drawingml/2006/main">
                  <a:graphicData uri="http://schemas.microsoft.com/office/word/2010/wordprocessingShape">
                    <wps:wsp>
                      <wps:cNvCnPr>
                        <a:stCxn id="25" idx="2"/>
                        <a:endCxn id="80" idx="0"/>
                      </wps:cNvCnPr>
                      <wps:spPr>
                        <a:xfrm flipV="1">
                          <a:off x="0" y="0"/>
                          <a:ext cx="5124450" cy="23495"/>
                        </a:xfrm>
                        <a:prstGeom prst="straightConnector1">
                          <a:avLst/>
                        </a:prstGeom>
                        <a:ln w="9525" cap="flat" cmpd="sng">
                          <a:solidFill>
                            <a:srgbClr val="000000"/>
                          </a:solidFill>
                          <a:prstDash val="dash"/>
                          <a:headEnd type="none" w="med" len="med"/>
                          <a:tailEnd type="none" w="med" len="med"/>
                        </a:ln>
                        <a:effectLst/>
                      </wps:spPr>
                      <wps:bodyPr/>
                    </wps:wsp>
                  </a:graphicData>
                </a:graphic>
              </wp:anchor>
            </w:drawing>
          </mc:Choice>
          <mc:Fallback>
            <w:pict>
              <v:shape id="_x0000_s1026" o:spid="_x0000_s1026" o:spt="32" type="#_x0000_t32" style="position:absolute;left:0pt;flip:y;margin-left:7.95pt;margin-top:0.1pt;height:1.85pt;width:403.5pt;z-index:251676672;mso-width-relative:page;mso-height-relative:page;" filled="f" stroked="t" coordsize="21600,21600" o:gfxdata="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KNBtMAAAAFAQAADwAAAAAAAAABACAAAAAiAAAAZHJzL2Rvd25yZXYueG1sUEsBAhQAFAAAAAgA&#10;h07iQJwcC2gqAgAASwQAAA4AAAAAAAAAAQAgAAAAIgEAAGRycy9lMm9Eb2MueG1sUEsFBgAAAAAG&#10;AAYAWQEAAL4FAAAAAA==&#10;">
                <v:fill on="f" focussize="0,0"/>
                <v:stroke color="#000000" joinstyle="round" dashstyle="dash"/>
                <v:imagedata o:title=""/>
                <o:lock v:ext="edit" aspectratio="f"/>
              </v:shape>
            </w:pict>
          </mc:Fallback>
        </mc:AlternateContent>
      </w:r>
    </w:p>
    <w:p w14:paraId="6387F623">
      <w:pPr>
        <w:widowControl w:val="0"/>
        <w:spacing w:line="400" w:lineRule="atLeast"/>
        <w:ind w:firstLine="480"/>
        <w:jc w:val="both"/>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mc:AlternateContent>
          <mc:Choice Requires="wps">
            <w:drawing>
              <wp:anchor distT="0" distB="0" distL="114300" distR="114300" simplePos="0" relativeHeight="251682816" behindDoc="0" locked="0" layoutInCell="1" allowOverlap="1">
                <wp:simplePos x="0" y="0"/>
                <wp:positionH relativeFrom="column">
                  <wp:posOffset>1320800</wp:posOffset>
                </wp:positionH>
                <wp:positionV relativeFrom="paragraph">
                  <wp:posOffset>53975</wp:posOffset>
                </wp:positionV>
                <wp:extent cx="2466975" cy="311785"/>
                <wp:effectExtent l="5080" t="5080" r="4445" b="6985"/>
                <wp:wrapNone/>
                <wp:docPr id="94" name="矩形 94"/>
                <wp:cNvGraphicFramePr/>
                <a:graphic xmlns:a="http://schemas.openxmlformats.org/drawingml/2006/main">
                  <a:graphicData uri="http://schemas.microsoft.com/office/word/2010/wordprocessingShape">
                    <wps:wsp>
                      <wps:cNvSpPr/>
                      <wps:spPr>
                        <a:xfrm>
                          <a:off x="0" y="0"/>
                          <a:ext cx="2466975" cy="3117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60B35A2">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现状监测并进行调查与评价</w:t>
                            </w:r>
                          </w:p>
                        </w:txbxContent>
                      </wps:txbx>
                      <wps:bodyPr upright="1"/>
                    </wps:wsp>
                  </a:graphicData>
                </a:graphic>
              </wp:anchor>
            </w:drawing>
          </mc:Choice>
          <mc:Fallback>
            <w:pict>
              <v:rect id="_x0000_s1026" o:spid="_x0000_s1026" o:spt="1" style="position:absolute;left:0pt;margin-left:104pt;margin-top:4.25pt;height:24.55pt;width:194.25pt;z-index:251682816;mso-width-relative:page;mso-height-relative:page;" fillcolor="#FFFFFF" filled="t" stroked="t" coordsize="21600,21600" o:gfxdata="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CJnStYAAAAIAQAADwAAAAAAAAABACAAAAAiAAAAZHJz&#10;L2Rvd25yZXYueG1sUEsBAhQAFAAAAAgAh07iQBEoE+IGAgAAOQQAAA4AAAAAAAAAAQAgAAAAJQEA&#10;AGRycy9lMm9Eb2MueG1sUEsFBgAAAAAGAAYAWQEAAJ0FAAAAAA==&#10;">
                <v:fill on="t" focussize="0,0"/>
                <v:stroke color="#000000" joinstyle="miter"/>
                <v:imagedata o:title=""/>
                <o:lock v:ext="edit" aspectratio="f"/>
                <v:textbox>
                  <w:txbxContent>
                    <w:p w14:paraId="260B35A2">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现状监测并进行调查与评价</w:t>
                      </w:r>
                    </w:p>
                  </w:txbxContent>
                </v:textbox>
              </v:rect>
            </w:pict>
          </mc:Fallback>
        </mc:AlternateContent>
      </w:r>
      <w:r>
        <w:rPr>
          <w:rFonts w:hint="default" w:ascii="Times New Roman" w:hAnsi="Times New Roman" w:eastAsia="宋体" w:cs="Times New Roman"/>
          <w:color w:val="auto"/>
          <w:kern w:val="2"/>
          <w:sz w:val="21"/>
        </w:rPr>
        <mc:AlternateContent>
          <mc:Choice Requires="wps">
            <w:drawing>
              <wp:anchor distT="0" distB="0" distL="114300" distR="114300" simplePos="0" relativeHeight="251679744" behindDoc="0" locked="0" layoutInCell="1" allowOverlap="1">
                <wp:simplePos x="0" y="0"/>
                <wp:positionH relativeFrom="column">
                  <wp:posOffset>112395</wp:posOffset>
                </wp:positionH>
                <wp:positionV relativeFrom="paragraph">
                  <wp:posOffset>172085</wp:posOffset>
                </wp:positionV>
                <wp:extent cx="266700" cy="1094740"/>
                <wp:effectExtent l="0" t="0" r="0" b="0"/>
                <wp:wrapNone/>
                <wp:docPr id="79" name="矩形 79"/>
                <wp:cNvGraphicFramePr/>
                <a:graphic xmlns:a="http://schemas.openxmlformats.org/drawingml/2006/main">
                  <a:graphicData uri="http://schemas.microsoft.com/office/word/2010/wordprocessingShape">
                    <wps:wsp>
                      <wps:cNvSpPr/>
                      <wps:spPr>
                        <a:xfrm>
                          <a:off x="0" y="0"/>
                          <a:ext cx="266700" cy="1094740"/>
                        </a:xfrm>
                        <a:prstGeom prst="rect">
                          <a:avLst/>
                        </a:prstGeom>
                        <a:noFill/>
                        <a:ln w="9525">
                          <a:noFill/>
                        </a:ln>
                        <a:effectLst/>
                      </wps:spPr>
                      <wps:txbx>
                        <w:txbxContent>
                          <w:p w14:paraId="613F8D18">
                            <w:pPr>
                              <w:ind w:firstLine="480"/>
                              <w:jc w:val="center"/>
                              <w:rPr>
                                <w:rFonts w:ascii="宋体" w:hAnsi="宋体" w:eastAsia="宋体" w:cs="宋体"/>
                                <w:sz w:val="21"/>
                                <w:szCs w:val="24"/>
                                <w:lang w:val="en-US" w:eastAsia="zh-CN" w:bidi="ar-SA"/>
                              </w:rPr>
                            </w:pPr>
                            <w:r>
                              <w:rPr>
                                <w:rFonts w:hint="eastAsia" w:ascii="宋体" w:hAnsi="宋体" w:eastAsia="宋体" w:cs="宋体"/>
                                <w:sz w:val="21"/>
                                <w:szCs w:val="24"/>
                                <w:lang w:val="en-US" w:eastAsia="zh-CN" w:bidi="ar-SA"/>
                              </w:rPr>
                              <w:t>第第二阶段</w:t>
                            </w:r>
                          </w:p>
                        </w:txbxContent>
                      </wps:txbx>
                      <wps:bodyPr upright="1"/>
                    </wps:wsp>
                  </a:graphicData>
                </a:graphic>
              </wp:anchor>
            </w:drawing>
          </mc:Choice>
          <mc:Fallback>
            <w:pict>
              <v:rect id="_x0000_s1026" o:spid="_x0000_s1026" o:spt="1" style="position:absolute;left:0pt;margin-left:8.85pt;margin-top:13.55pt;height:86.2pt;width:21pt;z-index:251679744;mso-width-relative:page;mso-height-relative:page;" filled="f" stroked="f" coordsize="21600,21600" o:gfxdata="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B&#10;WJmq2AAAAAgBAAAPAAAAAAAAAAEAIAAAACIAAABkcnMvZG93bnJldi54bWxQSwECFAAUAAAACACH&#10;TuJAyliJs7IBAABaAwAADgAAAAAAAAABACAAAAAnAQAAZHJzL2Uyb0RvYy54bWxQSwUGAAAAAAYA&#10;BgBZAQAASwUAAAAA&#10;">
                <v:fill on="f" focussize="0,0"/>
                <v:stroke on="f"/>
                <v:imagedata o:title=""/>
                <o:lock v:ext="edit" aspectratio="f"/>
                <v:textbox>
                  <w:txbxContent>
                    <w:p w14:paraId="613F8D18">
                      <w:pPr>
                        <w:ind w:firstLine="480"/>
                        <w:jc w:val="center"/>
                        <w:rPr>
                          <w:rFonts w:ascii="宋体" w:hAnsi="宋体" w:eastAsia="宋体" w:cs="宋体"/>
                          <w:sz w:val="21"/>
                          <w:szCs w:val="24"/>
                          <w:lang w:val="en-US" w:eastAsia="zh-CN" w:bidi="ar-SA"/>
                        </w:rPr>
                      </w:pPr>
                      <w:r>
                        <w:rPr>
                          <w:rFonts w:hint="eastAsia" w:ascii="宋体" w:hAnsi="宋体" w:eastAsia="宋体" w:cs="宋体"/>
                          <w:sz w:val="21"/>
                          <w:szCs w:val="24"/>
                          <w:lang w:val="en-US" w:eastAsia="zh-CN" w:bidi="ar-SA"/>
                        </w:rPr>
                        <w:t>第第二阶段</w:t>
                      </w:r>
                    </w:p>
                  </w:txbxContent>
                </v:textbox>
              </v:rect>
            </w:pict>
          </mc:Fallback>
        </mc:AlternateContent>
      </w:r>
    </w:p>
    <w:p w14:paraId="78EFB3B0">
      <w:pPr>
        <w:widowControl w:val="0"/>
        <w:spacing w:line="400" w:lineRule="atLeast"/>
        <w:ind w:firstLine="480"/>
        <w:jc w:val="both"/>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mc:AlternateContent>
          <mc:Choice Requires="wps">
            <w:drawing>
              <wp:anchor distT="0" distB="0" distL="114300" distR="114300" simplePos="0" relativeHeight="251670528" behindDoc="0" locked="0" layoutInCell="1" allowOverlap="1">
                <wp:simplePos x="0" y="0"/>
                <wp:positionH relativeFrom="column">
                  <wp:posOffset>2558415</wp:posOffset>
                </wp:positionH>
                <wp:positionV relativeFrom="paragraph">
                  <wp:posOffset>99695</wp:posOffset>
                </wp:positionV>
                <wp:extent cx="7620" cy="535940"/>
                <wp:effectExtent l="36830" t="0" r="31750" b="16510"/>
                <wp:wrapNone/>
                <wp:docPr id="56" name="直接箭头连接符 56"/>
                <wp:cNvGraphicFramePr/>
                <a:graphic xmlns:a="http://schemas.openxmlformats.org/drawingml/2006/main">
                  <a:graphicData uri="http://schemas.microsoft.com/office/word/2010/wordprocessingShape">
                    <wps:wsp>
                      <wps:cNvCnPr>
                        <a:endCxn id="80" idx="0"/>
                      </wps:cNvCnPr>
                      <wps:spPr>
                        <a:xfrm flipH="1">
                          <a:off x="0" y="0"/>
                          <a:ext cx="7620" cy="5359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1.45pt;margin-top:7.85pt;height:42.2pt;width:0.6pt;z-index:251670528;mso-width-relative:page;mso-height-relative:page;" filled="f" stroked="t" coordsize="21600,21600" o:gfxdata="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5B649NgAAAAKAQAADwAAAAAAAAABACAAAAAiAAAAZHJzL2Rvd25yZXYueG1sUEsBAhQAFAAAAAgA&#10;h07iQG413TklAgAANAQAAA4AAAAAAAAAAQAgAAAAJwEAAGRycy9lMm9Eb2MueG1sUEsFBgAAAAAG&#10;AAYAWQEAAL4FAAAAAA==&#10;">
                <v:fill on="f" focussize="0,0"/>
                <v:stroke color="#000000" joinstyle="round" endarrow="block"/>
                <v:imagedata o:title=""/>
                <o:lock v:ext="edit" aspectratio="f"/>
              </v:shape>
            </w:pict>
          </mc:Fallback>
        </mc:AlternateContent>
      </w:r>
    </w:p>
    <w:p w14:paraId="6323B89B">
      <w:pPr>
        <w:widowControl w:val="0"/>
        <w:spacing w:line="400" w:lineRule="atLeast"/>
        <w:ind w:firstLine="480"/>
        <w:jc w:val="both"/>
        <w:rPr>
          <w:rFonts w:hint="default" w:ascii="Times New Roman" w:hAnsi="Times New Roman" w:eastAsia="宋体" w:cs="Times New Roman"/>
          <w:color w:val="auto"/>
          <w:kern w:val="2"/>
          <w:sz w:val="21"/>
        </w:rPr>
      </w:pPr>
    </w:p>
    <w:p w14:paraId="20E71B00">
      <w:pPr>
        <w:widowControl w:val="0"/>
        <w:spacing w:line="400" w:lineRule="atLeast"/>
        <w:ind w:firstLine="480"/>
        <w:jc w:val="both"/>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mc:AlternateContent>
          <mc:Choice Requires="wps">
            <w:drawing>
              <wp:anchor distT="0" distB="0" distL="114300" distR="114300" simplePos="0" relativeHeight="251671552" behindDoc="0" locked="0" layoutInCell="1" allowOverlap="1">
                <wp:simplePos x="0" y="0"/>
                <wp:positionH relativeFrom="column">
                  <wp:posOffset>1326515</wp:posOffset>
                </wp:positionH>
                <wp:positionV relativeFrom="paragraph">
                  <wp:posOffset>135890</wp:posOffset>
                </wp:positionV>
                <wp:extent cx="2466975" cy="389255"/>
                <wp:effectExtent l="5080" t="4445" r="4445" b="6350"/>
                <wp:wrapNone/>
                <wp:docPr id="25" name="矩形 25"/>
                <wp:cNvGraphicFramePr/>
                <a:graphic xmlns:a="http://schemas.openxmlformats.org/drawingml/2006/main">
                  <a:graphicData uri="http://schemas.microsoft.com/office/word/2010/wordprocessingShape">
                    <wps:wsp>
                      <wps:cNvSpPr/>
                      <wps:spPr>
                        <a:xfrm>
                          <a:off x="0" y="0"/>
                          <a:ext cx="2466975" cy="3892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A9A3520">
                            <w:pPr>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各环境要素和专题环境影响预测与评价</w:t>
                            </w:r>
                          </w:p>
                        </w:txbxContent>
                      </wps:txbx>
                      <wps:bodyPr upright="1"/>
                    </wps:wsp>
                  </a:graphicData>
                </a:graphic>
              </wp:anchor>
            </w:drawing>
          </mc:Choice>
          <mc:Fallback>
            <w:pict>
              <v:rect id="_x0000_s1026" o:spid="_x0000_s1026" o:spt="1" style="position:absolute;left:0pt;margin-left:104.45pt;margin-top:10.7pt;height:30.65pt;width:194.25pt;z-index:251671552;mso-width-relative:page;mso-height-relative:page;" fillcolor="#FFFFFF" filled="t" stroked="t" coordsize="21600,21600" o:gfxdata="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G6aqNcAAAAJAQAADwAAAAAAAAABACAAAAAiAAAA&#10;ZHJzL2Rvd25yZXYueG1sUEsBAhQAFAAAAAgAh07iQOCAxYoIAgAAOQQAAA4AAAAAAAAAAQAgAAAA&#10;JgEAAGRycy9lMm9Eb2MueG1sUEsFBgAAAAAGAAYAWQEAAKAFAAAAAA==&#10;">
                <v:fill on="t" focussize="0,0"/>
                <v:stroke color="#000000" joinstyle="miter"/>
                <v:imagedata o:title=""/>
                <o:lock v:ext="edit" aspectratio="f"/>
                <v:textbox>
                  <w:txbxContent>
                    <w:p w14:paraId="3A9A3520">
                      <w:pPr>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各环境要素和专题环境影响预测与评价</w:t>
                      </w:r>
                    </w:p>
                  </w:txbxContent>
                </v:textbox>
              </v:rect>
            </w:pict>
          </mc:Fallback>
        </mc:AlternateContent>
      </w:r>
    </w:p>
    <w:p w14:paraId="26ABA375">
      <w:pPr>
        <w:widowControl w:val="0"/>
        <w:spacing w:line="400" w:lineRule="atLeast"/>
        <w:ind w:firstLine="480"/>
        <w:jc w:val="both"/>
        <w:rPr>
          <w:rFonts w:hint="default" w:ascii="Times New Roman" w:hAnsi="Times New Roman" w:eastAsia="宋体" w:cs="Times New Roman"/>
          <w:color w:val="auto"/>
          <w:kern w:val="2"/>
          <w:sz w:val="21"/>
        </w:rPr>
      </w:pPr>
    </w:p>
    <w:p w14:paraId="1B506FF0">
      <w:pPr>
        <w:widowControl w:val="0"/>
        <w:spacing w:line="400" w:lineRule="atLeast"/>
        <w:ind w:firstLine="480"/>
        <w:jc w:val="both"/>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mc:AlternateContent>
          <mc:Choice Requires="wps">
            <w:drawing>
              <wp:anchor distT="0" distB="0" distL="114300" distR="114300" simplePos="0" relativeHeight="251672576" behindDoc="0" locked="0" layoutInCell="1" allowOverlap="1">
                <wp:simplePos x="0" y="0"/>
                <wp:positionH relativeFrom="column">
                  <wp:posOffset>2559685</wp:posOffset>
                </wp:positionH>
                <wp:positionV relativeFrom="paragraph">
                  <wp:posOffset>17145</wp:posOffset>
                </wp:positionV>
                <wp:extent cx="635" cy="589915"/>
                <wp:effectExtent l="38100" t="0" r="37465" b="635"/>
                <wp:wrapNone/>
                <wp:docPr id="24" name="直接箭头连接符 24"/>
                <wp:cNvGraphicFramePr/>
                <a:graphic xmlns:a="http://schemas.openxmlformats.org/drawingml/2006/main">
                  <a:graphicData uri="http://schemas.microsoft.com/office/word/2010/wordprocessingShape">
                    <wps:wsp>
                      <wps:cNvCnPr>
                        <a:stCxn id="25" idx="2"/>
                        <a:endCxn id="7" idx="0"/>
                      </wps:cNvCnPr>
                      <wps:spPr>
                        <a:xfrm flipH="1">
                          <a:off x="0" y="0"/>
                          <a:ext cx="635" cy="58991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1.55pt;margin-top:1.35pt;height:46.45pt;width:0.05pt;z-index:251672576;mso-width-relative:page;mso-height-relative:page;" filled="f" stroked="t" coordsize="21600,21600" o:gfxdata="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794EbXAAAACAEAAA8AAAAAAAAAAQAgAAAAIgAAAGRycy9kb3ducmV2LnhtbFBLAQIU&#10;ABQAAAAIAIdO4kAEL7WaLQIAAEwEAAAOAAAAAAAAAAEAIAAAACYBAABkcnMvZTJvRG9jLnhtbFBL&#10;BQYAAAAABgAGAFkBAADFBQAAAAA=&#10;">
                <v:fill on="f" focussize="0,0"/>
                <v:stroke color="#000000" joinstyle="round" endarrow="block"/>
                <v:imagedata o:title=""/>
                <o:lock v:ext="edit" aspectratio="f"/>
              </v:shape>
            </w:pict>
          </mc:Fallback>
        </mc:AlternateContent>
      </w:r>
    </w:p>
    <w:p w14:paraId="634E0045">
      <w:pPr>
        <w:widowControl w:val="0"/>
        <w:spacing w:line="400" w:lineRule="atLeast"/>
        <w:ind w:firstLine="480"/>
        <w:jc w:val="both"/>
        <w:rPr>
          <w:rFonts w:hint="default" w:ascii="Times New Roman" w:hAnsi="Times New Roman" w:eastAsia="宋体" w:cs="Times New Roman"/>
          <w:color w:val="auto"/>
          <w:kern w:val="2"/>
          <w:sz w:val="15"/>
          <w:szCs w:val="15"/>
        </w:rPr>
      </w:pPr>
      <w:r>
        <w:rPr>
          <w:rFonts w:hint="default" w:ascii="Times New Roman" w:hAnsi="Times New Roman" w:eastAsia="宋体" w:cs="Times New Roman"/>
          <w:color w:val="auto"/>
          <w:kern w:val="2"/>
          <w:sz w:val="21"/>
        </w:rPr>
        <mc:AlternateContent>
          <mc:Choice Requires="wps">
            <w:drawing>
              <wp:anchor distT="0" distB="0" distL="114300" distR="114300" simplePos="0" relativeHeight="251677696" behindDoc="0" locked="0" layoutInCell="1" allowOverlap="1">
                <wp:simplePos x="0" y="0"/>
                <wp:positionH relativeFrom="column">
                  <wp:posOffset>66040</wp:posOffset>
                </wp:positionH>
                <wp:positionV relativeFrom="paragraph">
                  <wp:posOffset>109855</wp:posOffset>
                </wp:positionV>
                <wp:extent cx="5206365" cy="2540"/>
                <wp:effectExtent l="0" t="0" r="0" b="0"/>
                <wp:wrapNone/>
                <wp:docPr id="22" name="直接箭头连接符 22"/>
                <wp:cNvGraphicFramePr/>
                <a:graphic xmlns:a="http://schemas.openxmlformats.org/drawingml/2006/main">
                  <a:graphicData uri="http://schemas.microsoft.com/office/word/2010/wordprocessingShape">
                    <wps:wsp>
                      <wps:cNvCnPr>
                        <a:stCxn id="25" idx="2"/>
                        <a:endCxn id="7" idx="0"/>
                      </wps:cNvCnPr>
                      <wps:spPr>
                        <a:xfrm flipV="1">
                          <a:off x="0" y="0"/>
                          <a:ext cx="5206365" cy="2540"/>
                        </a:xfrm>
                        <a:prstGeom prst="straightConnector1">
                          <a:avLst/>
                        </a:prstGeom>
                        <a:ln w="9525" cap="flat" cmpd="sng">
                          <a:solidFill>
                            <a:srgbClr val="000000"/>
                          </a:solidFill>
                          <a:prstDash val="dash"/>
                          <a:headEnd type="none" w="med" len="med"/>
                          <a:tailEnd type="none" w="med" len="med"/>
                        </a:ln>
                        <a:effectLst/>
                      </wps:spPr>
                      <wps:bodyPr/>
                    </wps:wsp>
                  </a:graphicData>
                </a:graphic>
              </wp:anchor>
            </w:drawing>
          </mc:Choice>
          <mc:Fallback>
            <w:pict>
              <v:shape id="_x0000_s1026" o:spid="_x0000_s1026" o:spt="32" type="#_x0000_t32" style="position:absolute;left:0pt;flip:y;margin-left:5.2pt;margin-top:8.65pt;height:0.2pt;width:409.95pt;z-index:251677696;mso-width-relative:page;mso-height-relative:page;" filled="f" stroked="t" coordsize="21600,21600" o:gfxdata="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Zr&#10;YubVAAAACAEAAA8AAAAAAAAAAQAgAAAAIgAAAGRycy9kb3ducmV2LnhtbFBLAQIUABQAAAAIAIdO&#10;4kCHDDZKJgIAAEkEAAAOAAAAAAAAAAEAIAAAACQBAABkcnMvZTJvRG9jLnhtbFBLBQYAAAAABgAG&#10;AFkBAAC8BQAAAAA=&#10;">
                <v:fill on="f" focussize="0,0"/>
                <v:stroke color="#000000" joinstyle="round" dashstyle="dash"/>
                <v:imagedata o:title=""/>
                <o:lock v:ext="edit" aspectratio="f"/>
              </v:shape>
            </w:pict>
          </mc:Fallback>
        </mc:AlternateContent>
      </w:r>
    </w:p>
    <w:p w14:paraId="2E1C6C29">
      <w:pPr>
        <w:widowControl w:val="0"/>
        <w:spacing w:line="400" w:lineRule="atLeast"/>
        <w:ind w:firstLine="480"/>
        <w:jc w:val="both"/>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mc:AlternateContent>
          <mc:Choice Requires="wps">
            <w:drawing>
              <wp:anchor distT="0" distB="0" distL="114300" distR="114300" simplePos="0" relativeHeight="251673600" behindDoc="0" locked="0" layoutInCell="1" allowOverlap="1">
                <wp:simplePos x="0" y="0"/>
                <wp:positionH relativeFrom="column">
                  <wp:posOffset>1175385</wp:posOffset>
                </wp:positionH>
                <wp:positionV relativeFrom="paragraph">
                  <wp:posOffset>99060</wp:posOffset>
                </wp:positionV>
                <wp:extent cx="2768600" cy="727075"/>
                <wp:effectExtent l="4445" t="4445" r="8255" b="11430"/>
                <wp:wrapNone/>
                <wp:docPr id="7" name="矩形 7"/>
                <wp:cNvGraphicFramePr/>
                <a:graphic xmlns:a="http://schemas.openxmlformats.org/drawingml/2006/main">
                  <a:graphicData uri="http://schemas.microsoft.com/office/word/2010/wordprocessingShape">
                    <wps:wsp>
                      <wps:cNvSpPr/>
                      <wps:spPr>
                        <a:xfrm>
                          <a:off x="0" y="0"/>
                          <a:ext cx="2768600" cy="7270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E2091F4">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确定科学合理、可行的工程方案，提出预防或减缓不利影响的对策或措施，制定相应的环境管理要求或环境监测计划</w:t>
                            </w:r>
                          </w:p>
                        </w:txbxContent>
                      </wps:txbx>
                      <wps:bodyPr upright="1"/>
                    </wps:wsp>
                  </a:graphicData>
                </a:graphic>
              </wp:anchor>
            </w:drawing>
          </mc:Choice>
          <mc:Fallback>
            <w:pict>
              <v:rect id="_x0000_s1026" o:spid="_x0000_s1026" o:spt="1" style="position:absolute;left:0pt;margin-left:92.55pt;margin-top:7.8pt;height:57.25pt;width:218pt;z-index:251673600;mso-width-relative:page;mso-height-relative:page;" fillcolor="#FFFFFF" filled="t" stroked="t" coordsize="21600,21600" o:gfxdata="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XFeQT1wAAAAoBAAAPAAAAAAAAAAEAIAAAACIAAABkcnMv&#10;ZG93bnJldi54bWxQSwECFAAUAAAACACHTuJAN/urSwQCAAA3BAAADgAAAAAAAAABACAAAAAmAQAA&#10;ZHJzL2Uyb0RvYy54bWxQSwUGAAAAAAYABgBZAQAAnAUAAAAA&#10;">
                <v:fill on="t" focussize="0,0"/>
                <v:stroke color="#000000" joinstyle="miter"/>
                <v:imagedata o:title=""/>
                <o:lock v:ext="edit" aspectratio="f"/>
                <v:textbox>
                  <w:txbxContent>
                    <w:p w14:paraId="2E2091F4">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确定科学合理、可行的工程方案，提出预防或减缓不利影响的对策或措施，制定相应的环境管理要求或环境监测计划</w:t>
                      </w:r>
                    </w:p>
                  </w:txbxContent>
                </v:textbox>
              </v:rect>
            </w:pict>
          </mc:Fallback>
        </mc:AlternateContent>
      </w:r>
      <w:r>
        <w:rPr>
          <w:rFonts w:hint="default" w:ascii="Times New Roman" w:hAnsi="Times New Roman" w:eastAsia="宋体" w:cs="Times New Roman"/>
          <w:color w:val="auto"/>
          <w:kern w:val="2"/>
          <w:sz w:val="21"/>
        </w:rPr>
        <mc:AlternateContent>
          <mc:Choice Requires="wps">
            <w:drawing>
              <wp:anchor distT="0" distB="0" distL="114300" distR="114300" simplePos="0" relativeHeight="251680768" behindDoc="0" locked="0" layoutInCell="1" allowOverlap="1">
                <wp:simplePos x="0" y="0"/>
                <wp:positionH relativeFrom="column">
                  <wp:posOffset>92710</wp:posOffset>
                </wp:positionH>
                <wp:positionV relativeFrom="paragraph">
                  <wp:posOffset>59690</wp:posOffset>
                </wp:positionV>
                <wp:extent cx="266700" cy="1260475"/>
                <wp:effectExtent l="0" t="0" r="0" b="0"/>
                <wp:wrapNone/>
                <wp:docPr id="26" name="矩形 26"/>
                <wp:cNvGraphicFramePr/>
                <a:graphic xmlns:a="http://schemas.openxmlformats.org/drawingml/2006/main">
                  <a:graphicData uri="http://schemas.microsoft.com/office/word/2010/wordprocessingShape">
                    <wps:wsp>
                      <wps:cNvSpPr/>
                      <wps:spPr>
                        <a:xfrm>
                          <a:off x="0" y="0"/>
                          <a:ext cx="266700" cy="1260475"/>
                        </a:xfrm>
                        <a:prstGeom prst="rect">
                          <a:avLst/>
                        </a:prstGeom>
                        <a:noFill/>
                        <a:ln w="9525">
                          <a:noFill/>
                        </a:ln>
                        <a:effectLst/>
                      </wps:spPr>
                      <wps:txbx>
                        <w:txbxContent>
                          <w:p w14:paraId="7FE8DF64">
                            <w:pPr>
                              <w:ind w:firstLine="480"/>
                              <w:jc w:val="center"/>
                              <w:rPr>
                                <w:rFonts w:ascii="宋体" w:hAnsi="宋体" w:eastAsia="宋体" w:cs="宋体"/>
                                <w:sz w:val="21"/>
                                <w:szCs w:val="24"/>
                                <w:lang w:val="en-US" w:eastAsia="zh-CN" w:bidi="ar-SA"/>
                              </w:rPr>
                            </w:pPr>
                            <w:r>
                              <w:rPr>
                                <w:rFonts w:hint="eastAsia" w:ascii="宋体" w:hAnsi="宋体" w:eastAsia="宋体" w:cs="宋体"/>
                                <w:sz w:val="21"/>
                                <w:szCs w:val="24"/>
                                <w:lang w:val="en-US" w:eastAsia="zh-CN" w:bidi="ar-SA"/>
                              </w:rPr>
                              <w:t>第第三阶段</w:t>
                            </w:r>
                          </w:p>
                        </w:txbxContent>
                      </wps:txbx>
                      <wps:bodyPr upright="1"/>
                    </wps:wsp>
                  </a:graphicData>
                </a:graphic>
              </wp:anchor>
            </w:drawing>
          </mc:Choice>
          <mc:Fallback>
            <w:pict>
              <v:rect id="_x0000_s1026" o:spid="_x0000_s1026" o:spt="1" style="position:absolute;left:0pt;margin-left:7.3pt;margin-top:4.7pt;height:99.25pt;width:21pt;z-index:251680768;mso-width-relative:page;mso-height-relative:page;" filled="f" stroked="f" coordsize="21600,21600" o:gfxdata="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D8BXX&#10;1wAAAAcBAAAPAAAAAAAAAAEAIAAAACIAAABkcnMvZG93bnJldi54bWxQSwECFAAUAAAACACHTuJA&#10;9uE4abABAABaAwAADgAAAAAAAAABACAAAAAmAQAAZHJzL2Uyb0RvYy54bWxQSwUGAAAAAAYABgBZ&#10;AQAASAUAAAAA&#10;">
                <v:fill on="f" focussize="0,0"/>
                <v:stroke on="f"/>
                <v:imagedata o:title=""/>
                <o:lock v:ext="edit" aspectratio="f"/>
                <v:textbox>
                  <w:txbxContent>
                    <w:p w14:paraId="7FE8DF64">
                      <w:pPr>
                        <w:ind w:firstLine="480"/>
                        <w:jc w:val="center"/>
                        <w:rPr>
                          <w:rFonts w:ascii="宋体" w:hAnsi="宋体" w:eastAsia="宋体" w:cs="宋体"/>
                          <w:sz w:val="21"/>
                          <w:szCs w:val="24"/>
                          <w:lang w:val="en-US" w:eastAsia="zh-CN" w:bidi="ar-SA"/>
                        </w:rPr>
                      </w:pPr>
                      <w:r>
                        <w:rPr>
                          <w:rFonts w:hint="eastAsia" w:ascii="宋体" w:hAnsi="宋体" w:eastAsia="宋体" w:cs="宋体"/>
                          <w:sz w:val="21"/>
                          <w:szCs w:val="24"/>
                          <w:lang w:val="en-US" w:eastAsia="zh-CN" w:bidi="ar-SA"/>
                        </w:rPr>
                        <w:t>第第三阶段</w:t>
                      </w:r>
                    </w:p>
                  </w:txbxContent>
                </v:textbox>
              </v:rect>
            </w:pict>
          </mc:Fallback>
        </mc:AlternateContent>
      </w:r>
    </w:p>
    <w:p w14:paraId="5B8BE03B">
      <w:pPr>
        <w:widowControl w:val="0"/>
        <w:spacing w:line="400" w:lineRule="atLeast"/>
        <w:ind w:firstLine="480"/>
        <w:jc w:val="both"/>
        <w:rPr>
          <w:rFonts w:hint="default" w:ascii="Times New Roman" w:hAnsi="Times New Roman" w:eastAsia="宋体" w:cs="Times New Roman"/>
          <w:color w:val="auto"/>
          <w:kern w:val="2"/>
          <w:sz w:val="21"/>
        </w:rPr>
      </w:pPr>
    </w:p>
    <w:p w14:paraId="155FA207">
      <w:pPr>
        <w:widowControl w:val="0"/>
        <w:spacing w:line="400" w:lineRule="atLeast"/>
        <w:ind w:firstLine="480"/>
        <w:jc w:val="both"/>
        <w:rPr>
          <w:rFonts w:hint="default" w:ascii="Times New Roman" w:hAnsi="Times New Roman" w:eastAsia="宋体" w:cs="Times New Roman"/>
          <w:color w:val="auto"/>
          <w:kern w:val="2"/>
          <w:sz w:val="21"/>
        </w:rPr>
      </w:pPr>
    </w:p>
    <w:p w14:paraId="2A0BA402">
      <w:pPr>
        <w:widowControl w:val="0"/>
        <w:spacing w:line="400" w:lineRule="atLeast"/>
        <w:ind w:firstLine="480"/>
        <w:jc w:val="both"/>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mc:AlternateContent>
          <mc:Choice Requires="wps">
            <w:drawing>
              <wp:anchor distT="0" distB="0" distL="114300" distR="114300" simplePos="0" relativeHeight="251674624" behindDoc="0" locked="0" layoutInCell="1" allowOverlap="1">
                <wp:simplePos x="0" y="0"/>
                <wp:positionH relativeFrom="column">
                  <wp:posOffset>2546350</wp:posOffset>
                </wp:positionH>
                <wp:positionV relativeFrom="paragraph">
                  <wp:posOffset>59690</wp:posOffset>
                </wp:positionV>
                <wp:extent cx="635" cy="230505"/>
                <wp:effectExtent l="37465" t="0" r="38100" b="17145"/>
                <wp:wrapNone/>
                <wp:docPr id="58" name="直接箭头连接符 58"/>
                <wp:cNvGraphicFramePr/>
                <a:graphic xmlns:a="http://schemas.openxmlformats.org/drawingml/2006/main">
                  <a:graphicData uri="http://schemas.microsoft.com/office/word/2010/wordprocessingShape">
                    <wps:wsp>
                      <wps:cNvCnPr>
                        <a:stCxn id="25" idx="2"/>
                        <a:endCxn id="7" idx="0"/>
                      </wps:cNvCnPr>
                      <wps:spPr>
                        <a:xfrm>
                          <a:off x="0" y="0"/>
                          <a:ext cx="635" cy="2305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00.5pt;margin-top:4.7pt;height:18.15pt;width:0.05pt;z-index:251674624;mso-width-relative:page;mso-height-relative:page;" filled="f" stroked="t" coordsize="21600,21600" o:gfxdata="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4cNitNgAAAAIAQAADwAAAAAAAAABACAAAAAiAAAAZHJzL2Rvd25yZXYueG1sUEsBAhQAFAAAAAgA&#10;h07iQPHc40QlAgAAQgQAAA4AAAAAAAAAAQAgAAAAJwEAAGRycy9lMm9Eb2MueG1sUEsFBgAAAAAG&#10;AAYAWQEAAL4FAAAAAA==&#10;">
                <v:fill on="f" focussize="0,0"/>
                <v:stroke color="#000000" joinstyle="round" endarrow="block"/>
                <v:imagedata o:title=""/>
                <o:lock v:ext="edit" aspectratio="f"/>
              </v:shape>
            </w:pict>
          </mc:Fallback>
        </mc:AlternateContent>
      </w:r>
    </w:p>
    <w:p w14:paraId="65A1CC2F">
      <w:pPr>
        <w:widowControl w:val="0"/>
        <w:spacing w:line="400" w:lineRule="atLeast"/>
        <w:ind w:firstLine="480"/>
        <w:jc w:val="both"/>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mc:AlternateContent>
          <mc:Choice Requires="wps">
            <w:drawing>
              <wp:anchor distT="0" distB="0" distL="114300" distR="114300" simplePos="0" relativeHeight="251675648" behindDoc="0" locked="0" layoutInCell="1" allowOverlap="1">
                <wp:simplePos x="0" y="0"/>
                <wp:positionH relativeFrom="column">
                  <wp:posOffset>1172845</wp:posOffset>
                </wp:positionH>
                <wp:positionV relativeFrom="paragraph">
                  <wp:posOffset>46355</wp:posOffset>
                </wp:positionV>
                <wp:extent cx="2764155" cy="527685"/>
                <wp:effectExtent l="4445" t="4445" r="12700" b="20320"/>
                <wp:wrapNone/>
                <wp:docPr id="27" name="矩形 27"/>
                <wp:cNvGraphicFramePr/>
                <a:graphic xmlns:a="http://schemas.openxmlformats.org/drawingml/2006/main">
                  <a:graphicData uri="http://schemas.microsoft.com/office/word/2010/wordprocessingShape">
                    <wps:wsp>
                      <wps:cNvSpPr/>
                      <wps:spPr>
                        <a:xfrm>
                          <a:off x="0" y="0"/>
                          <a:ext cx="2764155" cy="5276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268A215">
                            <w:pPr>
                              <w:jc w:val="center"/>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从生态环境影响的角度给出</w:t>
                            </w:r>
                          </w:p>
                          <w:p w14:paraId="77A2CD67">
                            <w:pPr>
                              <w:jc w:val="center"/>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bidi="ar-SA"/>
                              </w:rPr>
                              <w:t>工程建设项目是否可行的结论</w:t>
                            </w:r>
                          </w:p>
                        </w:txbxContent>
                      </wps:txbx>
                      <wps:bodyPr upright="1"/>
                    </wps:wsp>
                  </a:graphicData>
                </a:graphic>
              </wp:anchor>
            </w:drawing>
          </mc:Choice>
          <mc:Fallback>
            <w:pict>
              <v:rect id="_x0000_s1026" o:spid="_x0000_s1026" o:spt="1" style="position:absolute;left:0pt;margin-left:92.35pt;margin-top:3.65pt;height:41.55pt;width:217.65pt;z-index:251675648;mso-width-relative:page;mso-height-relative:page;" fillcolor="#FFFFFF" filled="t" stroked="t" coordsize="21600,21600" o:gfxdata="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xVuo81gAAAAgBAAAPAAAAAAAAAAEAIAAAACIAAABkcnMv&#10;ZG93bnJldi54bWxQSwECFAAUAAAACACHTuJACyuhWgUCAAA5BAAADgAAAAAAAAABACAAAAAlAQAA&#10;ZHJzL2Uyb0RvYy54bWxQSwUGAAAAAAYABgBZAQAAnAUAAAAA&#10;">
                <v:fill on="t" focussize="0,0"/>
                <v:stroke color="#000000" joinstyle="miter"/>
                <v:imagedata o:title=""/>
                <o:lock v:ext="edit" aspectratio="f"/>
                <v:textbox>
                  <w:txbxContent>
                    <w:p w14:paraId="0268A215">
                      <w:pPr>
                        <w:jc w:val="center"/>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从生态环境影响的角度给出</w:t>
                      </w:r>
                    </w:p>
                    <w:p w14:paraId="77A2CD67">
                      <w:pPr>
                        <w:jc w:val="center"/>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bidi="ar-SA"/>
                        </w:rPr>
                        <w:t>工程建设项目是否可行的结论</w:t>
                      </w:r>
                    </w:p>
                  </w:txbxContent>
                </v:textbox>
              </v:rect>
            </w:pict>
          </mc:Fallback>
        </mc:AlternateContent>
      </w:r>
    </w:p>
    <w:p w14:paraId="703AC83E">
      <w:pPr>
        <w:widowControl w:val="0"/>
        <w:spacing w:line="400" w:lineRule="atLeast"/>
        <w:ind w:firstLine="480"/>
        <w:jc w:val="both"/>
        <w:rPr>
          <w:rFonts w:hint="default" w:ascii="Times New Roman" w:hAnsi="Times New Roman" w:eastAsia="宋体" w:cs="Times New Roman"/>
          <w:color w:val="auto"/>
          <w:kern w:val="2"/>
          <w:sz w:val="21"/>
        </w:rPr>
      </w:pPr>
    </w:p>
    <w:p w14:paraId="73106C43">
      <w:pPr>
        <w:widowControl w:val="0"/>
        <w:ind w:firstLine="480"/>
        <w:jc w:val="both"/>
        <w:rPr>
          <w:rFonts w:hint="default" w:ascii="Times New Roman" w:hAnsi="Times New Roman" w:eastAsia="宋体" w:cs="Times New Roman"/>
          <w:color w:val="auto"/>
          <w:kern w:val="2"/>
          <w:sz w:val="21"/>
        </w:rPr>
      </w:pPr>
    </w:p>
    <w:p w14:paraId="3522049E">
      <w:pPr>
        <w:widowControl w:val="0"/>
        <w:ind w:firstLine="480"/>
        <w:jc w:val="both"/>
        <w:rPr>
          <w:rFonts w:hint="default" w:ascii="Times New Roman" w:hAnsi="Times New Roman" w:eastAsia="黑体" w:cs="Times New Roman"/>
          <w:color w:val="auto"/>
          <w:kern w:val="2"/>
          <w:sz w:val="21"/>
          <w:szCs w:val="21"/>
        </w:rPr>
      </w:pPr>
    </w:p>
    <w:p w14:paraId="78438F60">
      <w:pPr>
        <w:pStyle w:val="102"/>
        <w:keepNext w:val="0"/>
        <w:keepLines w:val="0"/>
        <w:pageBreakBefore w:val="0"/>
        <w:widowControl/>
        <w:kinsoku/>
        <w:wordWrap/>
        <w:overflowPunct/>
        <w:topLinePunct w:val="0"/>
        <w:autoSpaceDE/>
        <w:autoSpaceDN/>
        <w:bidi w:val="0"/>
        <w:adjustRightInd/>
        <w:snapToGrid w:val="0"/>
        <w:spacing w:line="400" w:lineRule="exact"/>
        <w:ind w:firstLine="422"/>
        <w:jc w:val="center"/>
        <w:textAlignment w:val="auto"/>
        <w:rPr>
          <w:rFonts w:hint="eastAsia" w:ascii="黑体" w:hAnsi="黑体" w:eastAsia="黑体" w:cs="黑体"/>
          <w:b/>
          <w:color w:val="auto"/>
          <w:sz w:val="24"/>
          <w:szCs w:val="24"/>
        </w:rPr>
      </w:pPr>
      <w:r>
        <w:rPr>
          <w:rFonts w:hint="eastAsia" w:ascii="黑体" w:hAnsi="黑体" w:eastAsia="黑体" w:cs="黑体"/>
          <w:b/>
          <w:color w:val="auto"/>
          <w:sz w:val="24"/>
          <w:szCs w:val="24"/>
        </w:rPr>
        <w:t>图1.2-1      环境影响评价工作程序图</w:t>
      </w:r>
    </w:p>
    <w:p w14:paraId="01D4FB73">
      <w:pPr>
        <w:ind w:firstLine="0"/>
        <w:rPr>
          <w:rFonts w:hint="default" w:ascii="Times New Roman" w:hAnsi="Times New Roman" w:cs="Times New Roman"/>
          <w:color w:val="auto"/>
        </w:rPr>
      </w:pPr>
      <w:r>
        <w:rPr>
          <w:rFonts w:hint="default" w:ascii="Times New Roman" w:hAnsi="Times New Roman" w:cs="Times New Roman"/>
          <w:color w:val="auto"/>
        </w:rPr>
        <w:br w:type="page"/>
      </w:r>
    </w:p>
    <w:p w14:paraId="67822435">
      <w:pPr>
        <w:pStyle w:val="75"/>
        <w:bidi w:val="0"/>
        <w:rPr>
          <w:rFonts w:hint="default"/>
          <w:color w:val="auto"/>
        </w:rPr>
      </w:pPr>
      <w:bookmarkStart w:id="24" w:name="_Toc476736276"/>
      <w:bookmarkStart w:id="25" w:name="_Toc479866255"/>
      <w:bookmarkStart w:id="26" w:name="_Toc109382904"/>
      <w:bookmarkStart w:id="27" w:name="_Toc6567"/>
      <w:bookmarkStart w:id="28" w:name="_Toc489976884"/>
      <w:bookmarkStart w:id="29" w:name="_Toc16777"/>
      <w:bookmarkStart w:id="30" w:name="_Toc508291869"/>
      <w:bookmarkStart w:id="31" w:name="_Toc9820"/>
      <w:r>
        <w:rPr>
          <w:rFonts w:hint="default"/>
          <w:color w:val="auto"/>
        </w:rPr>
        <w:t>1.3</w:t>
      </w:r>
      <w:bookmarkEnd w:id="24"/>
      <w:bookmarkEnd w:id="25"/>
      <w:r>
        <w:rPr>
          <w:rFonts w:hint="eastAsia"/>
          <w:color w:val="auto"/>
          <w:lang w:val="en-US" w:eastAsia="zh-CN"/>
        </w:rPr>
        <w:t xml:space="preserve"> </w:t>
      </w:r>
      <w:r>
        <w:rPr>
          <w:rFonts w:hint="default"/>
          <w:color w:val="auto"/>
        </w:rPr>
        <w:t>分析判定相关情况</w:t>
      </w:r>
      <w:bookmarkEnd w:id="26"/>
      <w:bookmarkEnd w:id="27"/>
      <w:bookmarkEnd w:id="28"/>
      <w:bookmarkEnd w:id="29"/>
      <w:bookmarkEnd w:id="30"/>
      <w:bookmarkEnd w:id="31"/>
    </w:p>
    <w:p w14:paraId="4840EFA0">
      <w:pPr>
        <w:pStyle w:val="79"/>
        <w:bidi w:val="0"/>
        <w:rPr>
          <w:rFonts w:hint="eastAsia"/>
          <w:color w:val="auto"/>
        </w:rPr>
      </w:pPr>
      <w:r>
        <w:rPr>
          <w:rFonts w:hint="eastAsia"/>
          <w:color w:val="auto"/>
        </w:rPr>
        <w:t>（1）产业政策符合性判定结论</w:t>
      </w:r>
    </w:p>
    <w:p w14:paraId="009DA1B7">
      <w:pPr>
        <w:pStyle w:val="79"/>
        <w:keepNext w:val="0"/>
        <w:keepLines w:val="0"/>
        <w:pageBreakBefore w:val="0"/>
        <w:widowControl w:val="0"/>
        <w:kinsoku/>
        <w:wordWrap/>
        <w:overflowPunct/>
        <w:topLinePunct w:val="0"/>
        <w:autoSpaceDE/>
        <w:autoSpaceDN/>
        <w:bidi w:val="0"/>
        <w:adjustRightInd/>
        <w:snapToGrid/>
        <w:textAlignment w:val="auto"/>
        <w:rPr>
          <w:rFonts w:hint="eastAsia"/>
          <w:color w:val="auto"/>
          <w:lang w:val="zh-CN" w:eastAsia="zh-CN"/>
        </w:rPr>
      </w:pPr>
      <w:r>
        <w:rPr>
          <w:rFonts w:hint="eastAsia"/>
          <w:color w:val="auto"/>
          <w:lang w:val="zh-CN" w:eastAsia="zh-CN"/>
        </w:rPr>
        <w:t>本工程属于石油天然气开采项目，根据《产业结构调整指导目录（2024年本）》，“</w:t>
      </w:r>
      <w:r>
        <w:rPr>
          <w:rFonts w:hint="eastAsia"/>
          <w:color w:val="auto"/>
          <w:lang w:val="en-US" w:eastAsia="zh-CN"/>
        </w:rPr>
        <w:t>第一类鼓励类”：“七、石油、天然气”中“1、</w:t>
      </w:r>
      <w:r>
        <w:rPr>
          <w:rFonts w:hint="eastAsia"/>
          <w:color w:val="auto"/>
          <w:lang w:val="zh-CN" w:eastAsia="zh-CN"/>
        </w:rPr>
        <w:t>常规石油、天然气勘探与开采”，属鼓励类项目</w:t>
      </w:r>
      <w:r>
        <w:rPr>
          <w:rFonts w:hint="eastAsia"/>
          <w:color w:val="auto"/>
          <w:lang w:val="en-US" w:eastAsia="zh-CN"/>
        </w:rPr>
        <w:t>，</w:t>
      </w:r>
      <w:r>
        <w:rPr>
          <w:rFonts w:hint="eastAsia"/>
          <w:color w:val="auto"/>
          <w:lang w:val="zh-CN" w:eastAsia="zh-CN"/>
        </w:rPr>
        <w:t>符合国家当前产业政策要求。</w:t>
      </w:r>
    </w:p>
    <w:p w14:paraId="265B3347">
      <w:pPr>
        <w:pStyle w:val="79"/>
        <w:bidi w:val="0"/>
        <w:rPr>
          <w:rFonts w:hint="eastAsia"/>
          <w:color w:val="auto"/>
        </w:rPr>
      </w:pPr>
      <w:r>
        <w:rPr>
          <w:rFonts w:hint="eastAsia"/>
          <w:color w:val="auto"/>
          <w:lang w:val="zh-CN"/>
        </w:rPr>
        <w:t>（</w:t>
      </w:r>
      <w:r>
        <w:rPr>
          <w:rFonts w:hint="eastAsia"/>
          <w:color w:val="auto"/>
        </w:rPr>
        <w:t>2</w:t>
      </w:r>
      <w:r>
        <w:rPr>
          <w:rFonts w:hint="eastAsia"/>
          <w:color w:val="auto"/>
          <w:lang w:val="zh-CN"/>
        </w:rPr>
        <w:t>）</w:t>
      </w:r>
      <w:r>
        <w:rPr>
          <w:rFonts w:hint="eastAsia"/>
          <w:color w:val="auto"/>
        </w:rPr>
        <w:t>政策、法规符合性分析</w:t>
      </w:r>
    </w:p>
    <w:p w14:paraId="6D5CCA3E">
      <w:pPr>
        <w:pStyle w:val="79"/>
        <w:bidi w:val="0"/>
        <w:rPr>
          <w:rFonts w:hint="eastAsia"/>
          <w:color w:val="auto"/>
        </w:rPr>
      </w:pPr>
      <w:r>
        <w:rPr>
          <w:rFonts w:hint="eastAsia"/>
          <w:color w:val="auto"/>
          <w:lang w:val="zh-CN"/>
        </w:rPr>
        <w:t>本工程属于</w:t>
      </w:r>
      <w:r>
        <w:rPr>
          <w:rFonts w:hint="eastAsia"/>
          <w:color w:val="auto"/>
        </w:rPr>
        <w:t>石油天然气开采项目</w:t>
      </w:r>
      <w:r>
        <w:rPr>
          <w:rFonts w:hint="eastAsia"/>
          <w:color w:val="auto"/>
          <w:lang w:val="zh-CN"/>
        </w:rPr>
        <w:t>，选址选线不涉及依法划定的国家公园、自然保护区、世界自然遗产、重要生境、自然公园、生态保护红线等生态保护区。运营期废水、固废处置措施得当。</w:t>
      </w:r>
      <w:r>
        <w:rPr>
          <w:rFonts w:hint="eastAsia"/>
          <w:color w:val="auto"/>
        </w:rPr>
        <w:t>符合《石油天然气开采业污染防治技术政策》《新疆维吾尔自治区大气污染防治条例》《关于进一步加强石油天然气行业环境影响评价管理的通知》（环办环评函〔2019〕910号）等相关政策、法律法规</w:t>
      </w:r>
      <w:r>
        <w:rPr>
          <w:rFonts w:hint="eastAsia"/>
          <w:color w:val="auto"/>
          <w:lang w:val="zh-CN"/>
        </w:rPr>
        <w:t>相关要求。</w:t>
      </w:r>
    </w:p>
    <w:p w14:paraId="356A9DAA">
      <w:pPr>
        <w:pStyle w:val="79"/>
        <w:bidi w:val="0"/>
        <w:rPr>
          <w:rFonts w:hint="eastAsia"/>
          <w:color w:val="auto"/>
          <w:lang w:val="en-US" w:eastAsia="zh-CN"/>
        </w:rPr>
      </w:pPr>
      <w:r>
        <w:rPr>
          <w:rFonts w:hint="eastAsia"/>
          <w:color w:val="auto"/>
          <w:lang w:val="zh-CN" w:eastAsia="zh-CN"/>
        </w:rPr>
        <w:t>（3）</w:t>
      </w:r>
      <w:r>
        <w:rPr>
          <w:rFonts w:hint="eastAsia"/>
          <w:color w:val="auto"/>
          <w:lang w:val="en-US" w:eastAsia="zh-CN"/>
        </w:rPr>
        <w:t>规划符合性判定结论</w:t>
      </w:r>
    </w:p>
    <w:p w14:paraId="40FB903B">
      <w:pPr>
        <w:pStyle w:val="79"/>
        <w:bidi w:val="0"/>
        <w:rPr>
          <w:rFonts w:hint="eastAsia"/>
          <w:color w:val="auto"/>
          <w:lang w:val="zh-CN" w:eastAsia="zh-CN"/>
        </w:rPr>
      </w:pPr>
      <w:r>
        <w:rPr>
          <w:rFonts w:hint="eastAsia"/>
          <w:color w:val="auto"/>
          <w:lang w:val="zh-CN" w:eastAsia="zh-CN"/>
        </w:rPr>
        <w:t>本工程属于</w:t>
      </w:r>
      <w:r>
        <w:rPr>
          <w:rFonts w:hint="eastAsia"/>
          <w:color w:val="auto"/>
          <w:lang w:val="en-US" w:eastAsia="zh-CN"/>
        </w:rPr>
        <w:t>石油天然气开采</w:t>
      </w:r>
      <w:r>
        <w:rPr>
          <w:rFonts w:hint="eastAsia"/>
          <w:color w:val="auto"/>
          <w:lang w:val="zh-CN" w:eastAsia="zh-CN"/>
        </w:rPr>
        <w:t>项目，有助于推进</w:t>
      </w:r>
      <w:r>
        <w:rPr>
          <w:rFonts w:hint="eastAsia"/>
          <w:color w:val="auto"/>
          <w:lang w:val="en-US" w:eastAsia="zh-CN"/>
        </w:rPr>
        <w:t>雄英油田雄英1井区新区块</w:t>
      </w:r>
      <w:r>
        <w:rPr>
          <w:rFonts w:hint="eastAsia"/>
          <w:color w:val="auto"/>
          <w:lang w:val="zh-CN" w:eastAsia="zh-CN"/>
        </w:rPr>
        <w:t>油气开发，加大</w:t>
      </w:r>
      <w:r>
        <w:rPr>
          <w:rFonts w:hint="eastAsia"/>
          <w:color w:val="auto"/>
          <w:lang w:val="en-US" w:eastAsia="zh-CN"/>
        </w:rPr>
        <w:t>塔里木盆地</w:t>
      </w:r>
      <w:r>
        <w:rPr>
          <w:rFonts w:hint="eastAsia"/>
          <w:color w:val="auto"/>
          <w:lang w:val="zh-CN" w:eastAsia="zh-CN"/>
        </w:rPr>
        <w:t>油气开发力度。</w:t>
      </w:r>
      <w:r>
        <w:rPr>
          <w:rFonts w:hint="eastAsia"/>
          <w:color w:val="auto"/>
          <w:lang w:val="en-US" w:eastAsia="zh-CN"/>
        </w:rPr>
        <w:t>符合《新疆维吾尔自治区国民经济和社会发展第十四个五年规划和2035年远景目标纲要》《塔里木油田“十四五”发展规划》《新疆生态环境保护“十四五”规划》等相关要求。</w:t>
      </w:r>
    </w:p>
    <w:p w14:paraId="1A2E7801">
      <w:pPr>
        <w:pStyle w:val="79"/>
        <w:bidi w:val="0"/>
        <w:rPr>
          <w:rFonts w:hint="eastAsia"/>
          <w:color w:val="auto"/>
          <w:lang w:val="zh-CN" w:eastAsia="zh-CN"/>
        </w:rPr>
      </w:pPr>
      <w:r>
        <w:rPr>
          <w:rFonts w:hint="eastAsia"/>
          <w:color w:val="auto"/>
          <w:lang w:val="zh-CN" w:eastAsia="zh-CN"/>
        </w:rPr>
        <w:t>对照《新疆维吾尔自治区主体功能区规划》，</w:t>
      </w:r>
      <w:r>
        <w:rPr>
          <w:rFonts w:hint="eastAsia"/>
          <w:color w:val="auto"/>
          <w:lang w:val="en-US" w:eastAsia="zh-CN"/>
        </w:rPr>
        <w:t>本工程</w:t>
      </w:r>
      <w:r>
        <w:rPr>
          <w:rFonts w:hint="eastAsia"/>
          <w:color w:val="auto"/>
          <w:lang w:val="zh-CN" w:eastAsia="zh-CN"/>
        </w:rPr>
        <w:t>不属于主体功能区规划中确定的国家和自治区层面的禁止开发区域，所进行的石油天然气勘探活动符合“全国重要的能源基地”定位。因此本工程的建设符合《新疆维吾尔自治区主体功能区规划》。</w:t>
      </w:r>
    </w:p>
    <w:p w14:paraId="0B4A4E52">
      <w:pPr>
        <w:pStyle w:val="79"/>
        <w:bidi w:val="0"/>
        <w:rPr>
          <w:rFonts w:hint="eastAsia"/>
          <w:color w:val="auto"/>
          <w:lang w:val="zh-CN" w:eastAsia="zh-CN"/>
        </w:rPr>
      </w:pPr>
      <w:r>
        <w:rPr>
          <w:rFonts w:hint="eastAsia"/>
          <w:color w:val="auto"/>
          <w:lang w:val="zh-CN" w:eastAsia="zh-CN"/>
        </w:rPr>
        <w:t>对照《新疆生态功能区划》，本项目所在区域属于塔里木盆地暖荒漠及绿洲农业生态区，塔里木盆地西部、北部荒漠及绿洲农业生态亚区；阿克苏河冲积平原绿洲农业生态功能区。本项目占地面积较小，对于整体的土地利用格局、植被覆盖格局、野生动物活动、土壤不会带来显著影响，项目建设符合区域生态功能定位。</w:t>
      </w:r>
    </w:p>
    <w:p w14:paraId="670087DC">
      <w:pPr>
        <w:pStyle w:val="79"/>
        <w:bidi w:val="0"/>
        <w:rPr>
          <w:rFonts w:hint="eastAsia"/>
          <w:color w:val="auto"/>
          <w:lang w:val="zh-CN" w:eastAsia="zh-CN"/>
        </w:rPr>
      </w:pPr>
      <w:r>
        <w:rPr>
          <w:rFonts w:hint="eastAsia"/>
          <w:color w:val="auto"/>
          <w:lang w:val="zh-CN" w:eastAsia="zh-CN"/>
        </w:rPr>
        <w:t>（4）选址合理性分析判定结论</w:t>
      </w:r>
    </w:p>
    <w:p w14:paraId="1723E506">
      <w:pPr>
        <w:pStyle w:val="79"/>
        <w:bidi w:val="0"/>
        <w:rPr>
          <w:rFonts w:hint="eastAsia"/>
          <w:color w:val="auto"/>
          <w:lang w:val="en-US" w:eastAsia="zh-CN"/>
        </w:rPr>
      </w:pPr>
      <w:r>
        <w:rPr>
          <w:rFonts w:hint="eastAsia"/>
          <w:color w:val="auto"/>
          <w:lang w:val="en-US" w:eastAsia="zh-CN"/>
        </w:rPr>
        <w:t>本工程为雄英油田雄英1井区新区块开发项目，符合《石油天然气开采业污染防治技术政策》中的相关要求，根据现场调查，本工程不涉及水源涵养区、地下水源、饮用水源、自然保护区、风景名胜区、森林公园、重要湿地及人群密集区等生态敏感区域内等重点保护区域内；符合地区经济发展规划、环保规划。本工程土地利用类型为天然牧草地。项目区周边5km范围内无常年地表水体分布，无长期居住人群。</w:t>
      </w:r>
    </w:p>
    <w:p w14:paraId="1AD99744">
      <w:pPr>
        <w:pStyle w:val="79"/>
        <w:bidi w:val="0"/>
        <w:rPr>
          <w:rFonts w:hint="eastAsia"/>
          <w:color w:val="auto"/>
          <w:lang w:val="en-US" w:eastAsia="zh-CN"/>
        </w:rPr>
      </w:pPr>
      <w:r>
        <w:rPr>
          <w:rFonts w:hint="eastAsia"/>
          <w:color w:val="auto"/>
          <w:lang w:val="en-US" w:eastAsia="zh-CN"/>
        </w:rPr>
        <w:t>本工程在选址、选线过程中注意避让项目区植被，尽量减少对植被的生态扰动；本工程运营期废气主要为加热炉燃烧废气、油井开采过程中排放的无组织挥发的烃类，产生的废气为持续的长期影响，但废气污染物均可以得到较好扩散，对大气污染物浓度贡献值小，且项目区地域空旷，项目实施后不会对周围环境产生明显影响；废水实现零排放，固体废物能够实现妥善处置，综上所述，本工程建成后所在区域的环境功能不会发生改变，对环境的影响属可接受的范围，项目的选址从环保角度认为可行。</w:t>
      </w:r>
    </w:p>
    <w:p w14:paraId="4FBDCBDF">
      <w:pPr>
        <w:pStyle w:val="79"/>
        <w:bidi w:val="0"/>
        <w:rPr>
          <w:rFonts w:hint="eastAsia"/>
          <w:color w:val="auto"/>
          <w:lang w:val="en-US" w:eastAsia="zh-CN"/>
        </w:rPr>
      </w:pPr>
      <w:r>
        <w:rPr>
          <w:rFonts w:hint="eastAsia"/>
          <w:color w:val="auto"/>
          <w:lang w:val="en-US" w:eastAsia="zh-CN"/>
        </w:rPr>
        <w:t>（5）生态环境分区管控方案符合性判定结论</w:t>
      </w:r>
    </w:p>
    <w:p w14:paraId="22F6CC71">
      <w:pPr>
        <w:pStyle w:val="79"/>
        <w:bidi w:val="0"/>
        <w:rPr>
          <w:rFonts w:hint="eastAsia"/>
          <w:color w:val="auto"/>
          <w:lang w:val="en-US" w:eastAsia="zh-CN"/>
        </w:rPr>
      </w:pPr>
      <w:r>
        <w:rPr>
          <w:rFonts w:hint="eastAsia"/>
          <w:color w:val="auto"/>
          <w:lang w:val="en-US" w:eastAsia="zh-CN"/>
        </w:rPr>
        <w:t>根据《新疆维吾尔自治区“三线一单”生态环境分区管控方案》（2023年动态更新版）、《新疆维吾尔自治区七大片区“三线一单”生态环境分区管控要求》（新环环评发〔2021〕162号）以及《关于印发阿克苏地区生态环境分区管控方案（2023年版）的通知》（阿地环字〔2024〕32号）要求，本项目位于温宿县一般管控单元（环境管控单元编码为ZH65292230001），不涉及拟定的生态保护红线范围内。项目区土壤、噪声环境质量可以达到功能区要求，环境空气质量属于非达标区，超标主要是由于当地气候条件干燥、自然扬尘较多。</w:t>
      </w:r>
    </w:p>
    <w:p w14:paraId="1190434C">
      <w:pPr>
        <w:pStyle w:val="79"/>
        <w:bidi w:val="0"/>
        <w:rPr>
          <w:rFonts w:hint="eastAsia"/>
          <w:color w:val="auto"/>
          <w:lang w:val="en-US" w:eastAsia="zh-CN"/>
        </w:rPr>
      </w:pPr>
      <w:r>
        <w:rPr>
          <w:rFonts w:hint="eastAsia"/>
          <w:color w:val="auto"/>
          <w:lang w:val="en-US" w:eastAsia="zh-CN"/>
        </w:rPr>
        <w:t>本工程符合管控单元生态环境准入清单一般管控单元的空间布局约束、污染物排放管控、环境风险防控和资源利用效率的要求，符合生态环境分区管控方案要求。</w:t>
      </w:r>
    </w:p>
    <w:p w14:paraId="53C83250">
      <w:pPr>
        <w:pStyle w:val="75"/>
        <w:bidi w:val="0"/>
        <w:rPr>
          <w:rFonts w:hint="default"/>
          <w:color w:val="auto"/>
        </w:rPr>
      </w:pPr>
      <w:bookmarkStart w:id="32" w:name="_Toc508291870"/>
      <w:bookmarkStart w:id="33" w:name="_Toc28419"/>
      <w:bookmarkStart w:id="34" w:name="_Toc109382905"/>
      <w:bookmarkStart w:id="35" w:name="_Toc10007"/>
      <w:bookmarkStart w:id="36" w:name="_Toc7287"/>
      <w:r>
        <w:rPr>
          <w:rFonts w:hint="default"/>
          <w:color w:val="auto"/>
        </w:rPr>
        <w:t>1.4</w:t>
      </w:r>
      <w:r>
        <w:rPr>
          <w:rFonts w:hint="eastAsia"/>
          <w:color w:val="auto"/>
          <w:lang w:val="en-US" w:eastAsia="zh-CN"/>
        </w:rPr>
        <w:t xml:space="preserve"> </w:t>
      </w:r>
      <w:r>
        <w:rPr>
          <w:rFonts w:hint="default"/>
          <w:color w:val="auto"/>
        </w:rPr>
        <w:t>关注的主要环境问题</w:t>
      </w:r>
      <w:bookmarkEnd w:id="32"/>
      <w:r>
        <w:rPr>
          <w:rFonts w:hint="eastAsia"/>
          <w:color w:val="auto"/>
          <w:lang w:val="en-US" w:eastAsia="zh-CN"/>
        </w:rPr>
        <w:t>及</w:t>
      </w:r>
      <w:r>
        <w:rPr>
          <w:rFonts w:hint="default"/>
          <w:color w:val="auto"/>
        </w:rPr>
        <w:t>环境影响</w:t>
      </w:r>
      <w:bookmarkEnd w:id="33"/>
      <w:bookmarkEnd w:id="34"/>
      <w:bookmarkEnd w:id="35"/>
      <w:bookmarkEnd w:id="36"/>
    </w:p>
    <w:p w14:paraId="4A2EDB07">
      <w:pPr>
        <w:pStyle w:val="79"/>
        <w:spacing w:line="360" w:lineRule="auto"/>
        <w:ind w:firstLine="480"/>
        <w:rPr>
          <w:rFonts w:hint="default" w:ascii="Times New Roman" w:hAnsi="Times New Roman" w:cs="Times New Roman"/>
          <w:color w:val="auto"/>
          <w:kern w:val="0"/>
        </w:rPr>
      </w:pPr>
      <w:r>
        <w:rPr>
          <w:rFonts w:hint="default" w:ascii="Times New Roman" w:hAnsi="Times New Roman" w:cs="Times New Roman"/>
          <w:color w:val="auto"/>
          <w:kern w:val="0"/>
        </w:rPr>
        <w:t>本工程为石油天然气开采项目，环境影响主要来源于施工期的</w:t>
      </w:r>
      <w:r>
        <w:rPr>
          <w:rFonts w:hint="eastAsia" w:cs="Times New Roman"/>
          <w:color w:val="auto"/>
          <w:kern w:val="0"/>
          <w:lang w:val="en-US" w:eastAsia="zh-CN"/>
        </w:rPr>
        <w:t>井场、</w:t>
      </w:r>
      <w:r>
        <w:rPr>
          <w:rFonts w:hint="default" w:ascii="Times New Roman" w:hAnsi="Times New Roman" w:cs="Times New Roman"/>
          <w:color w:val="auto"/>
          <w:kern w:val="0"/>
        </w:rPr>
        <w:t>站场建设、集输管线建设，以及运营期油气集输等工艺过程。环境影响包括</w:t>
      </w:r>
      <w:r>
        <w:rPr>
          <w:rFonts w:hint="eastAsia" w:cs="Times New Roman"/>
          <w:color w:val="auto"/>
          <w:kern w:val="0"/>
          <w:lang w:eastAsia="zh-CN"/>
        </w:rPr>
        <w:t>：</w:t>
      </w:r>
      <w:r>
        <w:rPr>
          <w:rFonts w:hint="default" w:ascii="Times New Roman" w:hAnsi="Times New Roman" w:cs="Times New Roman"/>
          <w:color w:val="auto"/>
          <w:kern w:val="0"/>
        </w:rPr>
        <w:t>施工期和运营期污染物排放造成的环境污染和占地及施工造成的生态影响。根据现状调查，本工程不占用自然保护区、风景名胜区、水源保护区、基本农田、基本草原等敏感区，主要环境敏感保护目标为塔里木河流域重点治理区。重点关注施工过</w:t>
      </w:r>
      <w:r>
        <w:rPr>
          <w:rFonts w:hint="eastAsia" w:cs="Times New Roman"/>
          <w:color w:val="auto"/>
          <w:kern w:val="0"/>
          <w:lang w:eastAsia="zh-CN"/>
        </w:rPr>
        <w:t>程中</w:t>
      </w:r>
      <w:r>
        <w:rPr>
          <w:rFonts w:hint="default" w:ascii="Times New Roman" w:hAnsi="Times New Roman" w:cs="Times New Roman"/>
          <w:color w:val="auto"/>
          <w:kern w:val="0"/>
        </w:rPr>
        <w:t>的各项污染物产生以及可能发生的风险对区域环境产生的影响、施工过程中产生的生态环境问题以及生态恢复措施；施工过程中产生的</w:t>
      </w:r>
      <w:r>
        <w:rPr>
          <w:rFonts w:hint="default" w:ascii="Times New Roman" w:hAnsi="Times New Roman" w:cs="Times New Roman"/>
          <w:color w:val="auto"/>
          <w:kern w:val="0"/>
          <w:highlight w:val="none"/>
        </w:rPr>
        <w:t>扬尘、运输车辆尾气、试压废水、生活污水、施工废料、生活垃圾等；运营期</w:t>
      </w:r>
      <w:r>
        <w:rPr>
          <w:rFonts w:hint="eastAsia" w:cs="Times New Roman"/>
          <w:color w:val="auto"/>
          <w:kern w:val="0"/>
          <w:highlight w:val="none"/>
          <w:lang w:val="en-US" w:eastAsia="zh-CN"/>
        </w:rPr>
        <w:t>加热炉燃烧废气、场站</w:t>
      </w:r>
      <w:r>
        <w:rPr>
          <w:rFonts w:hint="default" w:ascii="Times New Roman" w:hAnsi="Times New Roman" w:cs="Times New Roman"/>
          <w:color w:val="auto"/>
          <w:kern w:val="0"/>
          <w:highlight w:val="none"/>
        </w:rPr>
        <w:t>无组织挥发的非甲烷总烃、</w:t>
      </w:r>
      <w:r>
        <w:rPr>
          <w:rFonts w:hint="eastAsia" w:cs="Times New Roman"/>
          <w:color w:val="auto"/>
          <w:kern w:val="0"/>
          <w:highlight w:val="none"/>
          <w:lang w:val="en-US" w:eastAsia="zh-CN"/>
        </w:rPr>
        <w:t>井下作业废水、废脱硫剂、废分子筛、</w:t>
      </w:r>
      <w:r>
        <w:rPr>
          <w:rFonts w:hint="default" w:ascii="Times New Roman" w:hAnsi="Times New Roman" w:cs="Times New Roman"/>
          <w:color w:val="auto"/>
          <w:kern w:val="0"/>
          <w:highlight w:val="none"/>
        </w:rPr>
        <w:t>清管废渣、</w:t>
      </w:r>
      <w:r>
        <w:rPr>
          <w:rFonts w:hint="eastAsia" w:cs="Times New Roman"/>
          <w:color w:val="auto"/>
          <w:kern w:val="0"/>
          <w:highlight w:val="none"/>
          <w:lang w:val="en-US" w:eastAsia="zh-CN"/>
        </w:rPr>
        <w:t>含</w:t>
      </w:r>
      <w:r>
        <w:rPr>
          <w:rFonts w:hint="default" w:ascii="Times New Roman" w:hAnsi="Times New Roman" w:cs="Times New Roman"/>
          <w:color w:val="auto"/>
          <w:kern w:val="0"/>
          <w:highlight w:val="none"/>
        </w:rPr>
        <w:t>油</w:t>
      </w:r>
      <w:r>
        <w:rPr>
          <w:rFonts w:hint="eastAsia" w:ascii="Times New Roman" w:hAnsi="Times New Roman" w:cs="Times New Roman"/>
          <w:color w:val="auto"/>
          <w:kern w:val="0"/>
          <w:highlight w:val="none"/>
          <w:lang w:val="en-US" w:eastAsia="zh-CN"/>
        </w:rPr>
        <w:t>废物</w:t>
      </w:r>
      <w:r>
        <w:rPr>
          <w:rFonts w:hint="default" w:ascii="Times New Roman" w:hAnsi="Times New Roman" w:cs="Times New Roman"/>
          <w:color w:val="auto"/>
          <w:kern w:val="0"/>
          <w:highlight w:val="none"/>
        </w:rPr>
        <w:t>、</w:t>
      </w:r>
      <w:r>
        <w:rPr>
          <w:rFonts w:hint="eastAsia" w:ascii="Times New Roman" w:hAnsi="Times New Roman" w:cs="Times New Roman"/>
          <w:color w:val="auto"/>
          <w:kern w:val="0"/>
          <w:highlight w:val="none"/>
          <w:lang w:val="en-US" w:eastAsia="zh-CN"/>
        </w:rPr>
        <w:t>生活垃圾</w:t>
      </w:r>
      <w:r>
        <w:rPr>
          <w:rFonts w:hint="default" w:ascii="Times New Roman" w:hAnsi="Times New Roman" w:cs="Times New Roman"/>
          <w:color w:val="auto"/>
          <w:kern w:val="0"/>
          <w:highlight w:val="none"/>
        </w:rPr>
        <w:t>等对环境产生的影响。</w:t>
      </w:r>
    </w:p>
    <w:p w14:paraId="42B0209A">
      <w:pPr>
        <w:pStyle w:val="75"/>
        <w:bidi w:val="0"/>
        <w:rPr>
          <w:rFonts w:hint="default"/>
          <w:color w:val="auto"/>
        </w:rPr>
      </w:pPr>
      <w:bookmarkStart w:id="37" w:name="_Toc30705"/>
      <w:bookmarkStart w:id="38" w:name="_Toc508291871"/>
      <w:bookmarkStart w:id="39" w:name="_Toc24316"/>
      <w:bookmarkStart w:id="40" w:name="_Toc109382906"/>
      <w:bookmarkStart w:id="41" w:name="_Toc5414"/>
      <w:r>
        <w:rPr>
          <w:rFonts w:hint="default"/>
          <w:color w:val="auto"/>
        </w:rPr>
        <w:t>1.5</w:t>
      </w:r>
      <w:r>
        <w:rPr>
          <w:rFonts w:hint="eastAsia"/>
          <w:color w:val="auto"/>
          <w:lang w:val="en-US" w:eastAsia="zh-CN"/>
        </w:rPr>
        <w:t xml:space="preserve"> </w:t>
      </w:r>
      <w:r>
        <w:rPr>
          <w:rFonts w:hint="default"/>
          <w:color w:val="auto"/>
        </w:rPr>
        <w:t>环境影响评价的主要结论</w:t>
      </w:r>
      <w:bookmarkEnd w:id="37"/>
      <w:bookmarkEnd w:id="38"/>
      <w:bookmarkEnd w:id="39"/>
      <w:bookmarkEnd w:id="40"/>
      <w:bookmarkEnd w:id="41"/>
    </w:p>
    <w:p w14:paraId="3990932E">
      <w:pPr>
        <w:pStyle w:val="79"/>
        <w:spacing w:line="360" w:lineRule="auto"/>
        <w:ind w:firstLine="480"/>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本工程属于</w:t>
      </w:r>
      <w:r>
        <w:rPr>
          <w:rFonts w:hint="eastAsia" w:ascii="宋体" w:hAnsi="宋体" w:eastAsia="宋体" w:cs="宋体"/>
          <w:color w:val="auto"/>
          <w:sz w:val="24"/>
          <w:szCs w:val="24"/>
          <w:highlight w:val="none"/>
          <w:lang w:val="zh-CN" w:eastAsia="zh-CN" w:bidi="ar-SA"/>
        </w:rPr>
        <w:t>《产业结构调整指导目录（2024年本）》</w:t>
      </w:r>
      <w:r>
        <w:rPr>
          <w:rFonts w:hint="default" w:ascii="Times New Roman" w:hAnsi="Times New Roman" w:cs="Times New Roman"/>
          <w:color w:val="auto"/>
          <w:sz w:val="24"/>
          <w:szCs w:val="24"/>
          <w:lang w:val="zh-CN"/>
        </w:rPr>
        <w:t>，</w:t>
      </w:r>
      <w:r>
        <w:rPr>
          <w:rFonts w:hint="eastAsia" w:cs="Times New Roman"/>
          <w:color w:val="auto"/>
          <w:sz w:val="24"/>
          <w:szCs w:val="24"/>
          <w:lang w:val="zh-CN"/>
        </w:rPr>
        <w:t>“</w:t>
      </w:r>
      <w:r>
        <w:rPr>
          <w:rFonts w:hint="default" w:ascii="Times New Roman" w:hAnsi="Times New Roman" w:cs="Times New Roman"/>
          <w:color w:val="auto"/>
          <w:sz w:val="24"/>
          <w:szCs w:val="24"/>
          <w:lang w:val="zh-CN"/>
        </w:rPr>
        <w:t>第一类鼓励类</w:t>
      </w:r>
      <w:r>
        <w:rPr>
          <w:rFonts w:hint="eastAsia" w:cs="Times New Roman"/>
          <w:color w:val="auto"/>
          <w:sz w:val="24"/>
          <w:szCs w:val="24"/>
          <w:lang w:val="zh-CN"/>
        </w:rPr>
        <w:t>”</w:t>
      </w:r>
      <w:r>
        <w:rPr>
          <w:rFonts w:hint="default" w:ascii="Times New Roman" w:hAnsi="Times New Roman" w:cs="Times New Roman"/>
          <w:color w:val="auto"/>
          <w:sz w:val="24"/>
          <w:szCs w:val="24"/>
          <w:lang w:val="zh-CN"/>
        </w:rPr>
        <w:t>：</w:t>
      </w:r>
      <w:r>
        <w:rPr>
          <w:rFonts w:hint="eastAsia" w:cs="Times New Roman"/>
          <w:color w:val="auto"/>
          <w:sz w:val="24"/>
          <w:szCs w:val="24"/>
          <w:lang w:val="zh-CN"/>
        </w:rPr>
        <w:t>“</w:t>
      </w:r>
      <w:r>
        <w:rPr>
          <w:rFonts w:hint="default" w:ascii="Times New Roman" w:hAnsi="Times New Roman" w:cs="Times New Roman"/>
          <w:color w:val="auto"/>
          <w:sz w:val="24"/>
          <w:szCs w:val="24"/>
          <w:lang w:val="zh-CN"/>
        </w:rPr>
        <w:t>七、石油、天然气</w:t>
      </w:r>
      <w:r>
        <w:rPr>
          <w:rFonts w:hint="eastAsia" w:cs="Times New Roman"/>
          <w:color w:val="auto"/>
          <w:sz w:val="24"/>
          <w:szCs w:val="24"/>
          <w:lang w:val="zh-CN"/>
        </w:rPr>
        <w:t>”</w:t>
      </w:r>
      <w:r>
        <w:rPr>
          <w:rFonts w:hint="default" w:ascii="Times New Roman" w:hAnsi="Times New Roman" w:cs="Times New Roman"/>
          <w:color w:val="auto"/>
          <w:sz w:val="24"/>
          <w:szCs w:val="24"/>
          <w:lang w:val="zh-CN"/>
        </w:rPr>
        <w:t>中</w:t>
      </w:r>
      <w:r>
        <w:rPr>
          <w:rFonts w:hint="eastAsia" w:cs="Times New Roman"/>
          <w:color w:val="auto"/>
          <w:sz w:val="24"/>
          <w:szCs w:val="24"/>
          <w:lang w:val="zh-CN"/>
        </w:rPr>
        <w:t>“</w:t>
      </w:r>
      <w:r>
        <w:rPr>
          <w:rFonts w:hint="default" w:ascii="Times New Roman" w:hAnsi="Times New Roman" w:cs="Times New Roman"/>
          <w:color w:val="auto"/>
          <w:sz w:val="24"/>
          <w:szCs w:val="24"/>
          <w:lang w:val="zh-CN"/>
        </w:rPr>
        <w:t>1、常规石油、天然气勘探与开采</w:t>
      </w:r>
      <w:r>
        <w:rPr>
          <w:rFonts w:hint="eastAsia" w:cs="Times New Roman"/>
          <w:color w:val="auto"/>
          <w:sz w:val="24"/>
          <w:szCs w:val="24"/>
          <w:lang w:val="zh-CN"/>
        </w:rPr>
        <w:t>”</w:t>
      </w:r>
      <w:r>
        <w:rPr>
          <w:rFonts w:hint="default" w:ascii="Times New Roman" w:hAnsi="Times New Roman" w:cs="Times New Roman"/>
          <w:color w:val="auto"/>
          <w:sz w:val="24"/>
          <w:szCs w:val="24"/>
          <w:lang w:val="zh-CN"/>
        </w:rPr>
        <w:t>中鼓励类项目，项目建设符合国家产业政策；符合《新疆维吾尔自治区大气污染防治条例》《石油天然气开采业污染防治技术政策》等法规和政策要求；符合《新疆维吾尔自治区国民经济和社会发展第十四个五年规划和2035年远景目标纲要》《新疆生态环境保护“十四五”规划》《新疆维吾尔自治区主体功能区规划</w:t>
      </w:r>
      <w:r>
        <w:rPr>
          <w:rFonts w:hint="default" w:ascii="Times New Roman" w:hAnsi="Times New Roman" w:cs="Times New Roman"/>
          <w:color w:val="auto"/>
          <w:sz w:val="24"/>
          <w:szCs w:val="24"/>
          <w:highlight w:val="none"/>
          <w:lang w:val="zh-CN"/>
        </w:rPr>
        <w:t>》《</w:t>
      </w:r>
      <w:r>
        <w:rPr>
          <w:rFonts w:hint="eastAsia" w:cs="Times New Roman"/>
          <w:color w:val="auto"/>
          <w:sz w:val="24"/>
          <w:szCs w:val="24"/>
          <w:highlight w:val="none"/>
          <w:lang w:val="en-US" w:eastAsia="zh-CN"/>
        </w:rPr>
        <w:t>塔里木油田“十四五”发展规划</w:t>
      </w:r>
      <w:r>
        <w:rPr>
          <w:rFonts w:hint="default" w:ascii="Times New Roman" w:hAnsi="Times New Roman" w:cs="Times New Roman"/>
          <w:color w:val="auto"/>
          <w:sz w:val="24"/>
          <w:szCs w:val="24"/>
          <w:highlight w:val="none"/>
          <w:lang w:val="zh-CN"/>
        </w:rPr>
        <w:t>》等</w:t>
      </w:r>
      <w:r>
        <w:rPr>
          <w:rFonts w:hint="default" w:ascii="Times New Roman" w:hAnsi="Times New Roman" w:cs="Times New Roman"/>
          <w:color w:val="auto"/>
          <w:sz w:val="24"/>
          <w:szCs w:val="24"/>
          <w:lang w:val="zh-CN"/>
        </w:rPr>
        <w:t>要求；项目不涉及依法划定的自然保护区、饮用水源保护区、风景名胜区、森林公园等环境敏感区，不涉及生态保护红线，项目符合生态环境分区管控方案要求；本工程在切实落实报告书中提出的各项环保措施后，可以做到达标排放。</w:t>
      </w:r>
    </w:p>
    <w:p w14:paraId="02057905">
      <w:pPr>
        <w:pStyle w:val="79"/>
        <w:spacing w:line="360" w:lineRule="auto"/>
        <w:ind w:firstLine="480"/>
        <w:rPr>
          <w:rFonts w:hint="default" w:ascii="Times New Roman" w:hAnsi="Times New Roman" w:cs="Times New Roman"/>
          <w:color w:val="auto"/>
          <w:sz w:val="24"/>
          <w:szCs w:val="24"/>
          <w:lang w:val="zh-CN"/>
        </w:rPr>
      </w:pPr>
      <w:r>
        <w:rPr>
          <w:rFonts w:hint="eastAsia" w:cs="Times New Roman"/>
          <w:color w:val="auto"/>
          <w:highlight w:val="none"/>
          <w:lang w:val="en-US" w:eastAsia="zh-CN"/>
        </w:rPr>
        <w:t>中国石油天然气股份有限公司塔里木油田分公司</w:t>
      </w:r>
      <w:r>
        <w:rPr>
          <w:rFonts w:hint="default" w:ascii="Times New Roman" w:hAnsi="Times New Roman" w:cs="Times New Roman"/>
          <w:color w:val="auto"/>
          <w:sz w:val="24"/>
          <w:szCs w:val="24"/>
          <w:lang w:val="zh-CN"/>
        </w:rPr>
        <w:t>按照《环境影响评价公众参与办法》，在本工程环评过程中开展了公众参与调查，至信息公告的截止日期没有收到相关反对项目建设的反馈信息。</w:t>
      </w:r>
    </w:p>
    <w:p w14:paraId="024568FC">
      <w:pPr>
        <w:pStyle w:val="79"/>
        <w:spacing w:line="360" w:lineRule="auto"/>
        <w:ind w:firstLine="480"/>
        <w:rPr>
          <w:rFonts w:hint="default" w:ascii="Times New Roman" w:hAnsi="Times New Roman" w:cs="Times New Roman"/>
          <w:color w:val="auto"/>
        </w:rPr>
      </w:pPr>
      <w:r>
        <w:rPr>
          <w:rFonts w:hint="default" w:ascii="Times New Roman" w:hAnsi="Times New Roman" w:cs="Times New Roman"/>
          <w:color w:val="auto"/>
          <w:sz w:val="24"/>
          <w:szCs w:val="24"/>
          <w:lang w:val="zh-CN"/>
        </w:rPr>
        <w:t>评价认为：本工程符合国家产业政策和新疆国民经济和社会发展规划，符合生态环境分区管控方案要求，公众认同性较好。只要在建设和运营过程中认真落实各项污染防治措施、生态恢复措施、风险防范措施及应急措施，各项污染物均能够做到达标排放，其生态破坏可降至最低，环境风险可以接受，从环境保护角度看，本工程选址合理，建设是可行的。</w:t>
      </w:r>
    </w:p>
    <w:p w14:paraId="7204332A">
      <w:pPr>
        <w:rPr>
          <w:rFonts w:hint="default" w:ascii="Times New Roman" w:hAnsi="Times New Roman" w:cs="Times New Roman"/>
          <w:color w:val="auto"/>
        </w:rPr>
      </w:pPr>
      <w:bookmarkStart w:id="42" w:name="_Toc280954972"/>
      <w:bookmarkStart w:id="43" w:name="_Toc280954895"/>
      <w:bookmarkStart w:id="44" w:name="_Toc297590918"/>
      <w:bookmarkStart w:id="45" w:name="_Toc353966723"/>
      <w:bookmarkStart w:id="46" w:name="_Toc297590765"/>
      <w:bookmarkStart w:id="47" w:name="_Toc361761815"/>
      <w:bookmarkStart w:id="48" w:name="_Toc374724170"/>
      <w:bookmarkStart w:id="49" w:name="_Toc508291872"/>
      <w:bookmarkStart w:id="50" w:name="_Toc20481"/>
      <w:r>
        <w:rPr>
          <w:rFonts w:hint="default" w:ascii="Times New Roman" w:hAnsi="Times New Roman" w:cs="Times New Roman"/>
          <w:color w:val="auto"/>
        </w:rPr>
        <w:br w:type="page"/>
      </w:r>
    </w:p>
    <w:p w14:paraId="6B487C23">
      <w:pPr>
        <w:pStyle w:val="49"/>
        <w:bidi w:val="0"/>
        <w:rPr>
          <w:rFonts w:hint="default"/>
          <w:color w:val="auto"/>
        </w:rPr>
      </w:pPr>
      <w:bookmarkStart w:id="51" w:name="_Toc109382907"/>
      <w:bookmarkStart w:id="52" w:name="_Toc23101"/>
      <w:bookmarkStart w:id="53" w:name="_Toc31975"/>
      <w:r>
        <w:rPr>
          <w:rFonts w:hint="default"/>
          <w:color w:val="auto"/>
        </w:rPr>
        <w:t>2</w:t>
      </w:r>
      <w:bookmarkEnd w:id="42"/>
      <w:bookmarkEnd w:id="43"/>
      <w:bookmarkEnd w:id="44"/>
      <w:bookmarkEnd w:id="45"/>
      <w:bookmarkEnd w:id="46"/>
      <w:bookmarkEnd w:id="47"/>
      <w:bookmarkEnd w:id="48"/>
      <w:r>
        <w:rPr>
          <w:rFonts w:hint="eastAsia"/>
          <w:color w:val="auto"/>
          <w:lang w:val="en-US" w:eastAsia="zh-CN"/>
        </w:rPr>
        <w:t xml:space="preserve"> </w:t>
      </w:r>
      <w:r>
        <w:rPr>
          <w:rFonts w:hint="default"/>
          <w:color w:val="auto"/>
        </w:rPr>
        <w:t>总则</w:t>
      </w:r>
      <w:bookmarkEnd w:id="49"/>
      <w:bookmarkEnd w:id="50"/>
      <w:bookmarkEnd w:id="51"/>
      <w:bookmarkEnd w:id="52"/>
      <w:bookmarkEnd w:id="53"/>
      <w:bookmarkStart w:id="54" w:name="_Toc329026107"/>
      <w:bookmarkStart w:id="55" w:name="_Toc313911247"/>
      <w:bookmarkStart w:id="56" w:name="_Toc312148931"/>
      <w:bookmarkStart w:id="57" w:name="_Toc465181725"/>
      <w:bookmarkStart w:id="58" w:name="_Toc330418975"/>
      <w:bookmarkStart w:id="59" w:name="_Toc332317905"/>
      <w:bookmarkStart w:id="60" w:name="_Toc330418760"/>
    </w:p>
    <w:p w14:paraId="4B7E2950">
      <w:pPr>
        <w:pStyle w:val="75"/>
        <w:bidi w:val="0"/>
        <w:rPr>
          <w:rFonts w:hint="default"/>
          <w:color w:val="auto"/>
        </w:rPr>
      </w:pPr>
      <w:bookmarkStart w:id="61" w:name="_Toc109382909"/>
      <w:bookmarkStart w:id="62" w:name="_Toc227650564"/>
      <w:bookmarkStart w:id="63" w:name="_Toc26572"/>
      <w:bookmarkStart w:id="64" w:name="_Toc361761818"/>
      <w:bookmarkStart w:id="65" w:name="_Toc297590768"/>
      <w:bookmarkStart w:id="66" w:name="_Toc404"/>
      <w:bookmarkStart w:id="67" w:name="_Toc280954975"/>
      <w:bookmarkStart w:id="68" w:name="_Toc16507"/>
      <w:bookmarkStart w:id="69" w:name="_Toc297590921"/>
      <w:bookmarkStart w:id="70" w:name="_Toc280954898"/>
      <w:bookmarkStart w:id="71" w:name="_Toc255293758"/>
      <w:bookmarkStart w:id="72" w:name="_Toc353966726"/>
      <w:bookmarkStart w:id="73" w:name="_Toc508291873"/>
      <w:bookmarkStart w:id="74" w:name="_Toc374724171"/>
      <w:r>
        <w:rPr>
          <w:rFonts w:hint="default"/>
          <w:color w:val="auto"/>
        </w:rPr>
        <w:t>2.</w:t>
      </w:r>
      <w:r>
        <w:rPr>
          <w:rFonts w:hint="eastAsia"/>
          <w:color w:val="auto"/>
          <w:lang w:val="en-US" w:eastAsia="zh-CN"/>
        </w:rPr>
        <w:t xml:space="preserve">1 </w:t>
      </w:r>
      <w:r>
        <w:rPr>
          <w:rFonts w:hint="default"/>
          <w:color w:val="auto"/>
        </w:rPr>
        <w:t>编制依据</w:t>
      </w:r>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4E7B4DDF">
      <w:pPr>
        <w:pStyle w:val="54"/>
        <w:bidi w:val="0"/>
        <w:rPr>
          <w:rFonts w:hint="eastAsia"/>
          <w:color w:val="auto"/>
          <w:lang w:val="en-US" w:eastAsia="zh-CN"/>
        </w:rPr>
      </w:pPr>
      <w:r>
        <w:rPr>
          <w:rFonts w:hint="default"/>
          <w:color w:val="auto"/>
        </w:rPr>
        <w:t>2.</w:t>
      </w:r>
      <w:r>
        <w:rPr>
          <w:rFonts w:hint="eastAsia"/>
          <w:color w:val="auto"/>
          <w:lang w:val="en-US" w:eastAsia="zh-CN"/>
        </w:rPr>
        <w:t>1</w:t>
      </w:r>
      <w:r>
        <w:rPr>
          <w:rFonts w:hint="default"/>
          <w:color w:val="auto"/>
        </w:rPr>
        <w:t>.1</w:t>
      </w:r>
      <w:r>
        <w:rPr>
          <w:rFonts w:hint="eastAsia"/>
          <w:color w:val="auto"/>
          <w:lang w:val="en-US" w:eastAsia="zh-CN"/>
        </w:rPr>
        <w:t xml:space="preserve"> 环境保护</w:t>
      </w:r>
      <w:r>
        <w:rPr>
          <w:rFonts w:hint="default"/>
          <w:color w:val="auto"/>
        </w:rPr>
        <w:t>法律</w:t>
      </w:r>
    </w:p>
    <w:p w14:paraId="3A81BCCC">
      <w:pPr>
        <w:pStyle w:val="79"/>
        <w:bidi w:val="0"/>
        <w:rPr>
          <w:rFonts w:hint="default"/>
          <w:color w:val="auto"/>
        </w:rPr>
      </w:pPr>
      <w:r>
        <w:rPr>
          <w:rFonts w:hint="eastAsia"/>
          <w:color w:val="auto"/>
          <w:lang w:val="en-US" w:eastAsia="zh-CN"/>
        </w:rPr>
        <w:t>环境保护</w:t>
      </w:r>
      <w:r>
        <w:rPr>
          <w:rFonts w:hint="default"/>
          <w:color w:val="auto"/>
        </w:rPr>
        <w:t>法律</w:t>
      </w:r>
      <w:r>
        <w:rPr>
          <w:rFonts w:hint="eastAsia"/>
          <w:color w:val="auto"/>
          <w:lang w:eastAsia="zh-CN"/>
        </w:rPr>
        <w:t>，</w:t>
      </w:r>
      <w:r>
        <w:rPr>
          <w:rFonts w:hint="default"/>
          <w:color w:val="auto"/>
        </w:rPr>
        <w:t>见表2.</w:t>
      </w:r>
      <w:r>
        <w:rPr>
          <w:rFonts w:hint="eastAsia"/>
          <w:color w:val="auto"/>
          <w:lang w:val="en-US" w:eastAsia="zh-CN"/>
        </w:rPr>
        <w:t>1</w:t>
      </w:r>
      <w:r>
        <w:rPr>
          <w:rFonts w:hint="default"/>
          <w:color w:val="auto"/>
        </w:rPr>
        <w:t>-1。</w:t>
      </w:r>
    </w:p>
    <w:p w14:paraId="15611760">
      <w:pPr>
        <w:pStyle w:val="61"/>
        <w:keepNext w:val="0"/>
        <w:keepLines w:val="0"/>
        <w:pageBreakBefore w:val="0"/>
        <w:widowControl w:val="0"/>
        <w:kinsoku/>
        <w:wordWrap/>
        <w:overflowPunct/>
        <w:topLinePunct w:val="0"/>
        <w:autoSpaceDE/>
        <w:autoSpaceDN/>
        <w:bidi w:val="0"/>
        <w:adjustRightInd/>
        <w:snapToGrid/>
        <w:spacing w:line="480" w:lineRule="exact"/>
        <w:ind w:firstLine="420" w:firstLineChars="200"/>
        <w:jc w:val="both"/>
        <w:textAlignment w:val="auto"/>
        <w:rPr>
          <w:rFonts w:hint="eastAsia" w:ascii="黑体" w:hAnsi="黑体" w:eastAsia="黑体" w:cs="黑体"/>
          <w:b/>
          <w:bCs w:val="0"/>
          <w:color w:val="auto"/>
          <w:sz w:val="21"/>
          <w:szCs w:val="21"/>
        </w:rPr>
      </w:pPr>
      <w:r>
        <w:rPr>
          <w:rFonts w:hint="eastAsia" w:ascii="黑体" w:hAnsi="黑体" w:eastAsia="黑体" w:cs="黑体"/>
          <w:b/>
          <w:bCs w:val="0"/>
          <w:color w:val="auto"/>
          <w:sz w:val="21"/>
          <w:szCs w:val="21"/>
        </w:rPr>
        <w:t>表2.</w:t>
      </w:r>
      <w:r>
        <w:rPr>
          <w:rFonts w:hint="eastAsia" w:ascii="黑体" w:hAnsi="黑体" w:eastAsia="黑体" w:cs="黑体"/>
          <w:b/>
          <w:bCs w:val="0"/>
          <w:color w:val="auto"/>
          <w:sz w:val="21"/>
          <w:szCs w:val="21"/>
          <w:lang w:val="en-US" w:eastAsia="zh-CN"/>
        </w:rPr>
        <w:t>1</w:t>
      </w:r>
      <w:r>
        <w:rPr>
          <w:rFonts w:hint="eastAsia" w:ascii="黑体" w:hAnsi="黑体" w:eastAsia="黑体" w:cs="黑体"/>
          <w:b/>
          <w:bCs w:val="0"/>
          <w:color w:val="auto"/>
          <w:sz w:val="21"/>
          <w:szCs w:val="21"/>
        </w:rPr>
        <w:t>-1</w:t>
      </w:r>
      <w:r>
        <w:rPr>
          <w:rFonts w:hint="eastAsia" w:ascii="黑体" w:hAnsi="黑体" w:eastAsia="黑体" w:cs="黑体"/>
          <w:b/>
          <w:bCs w:val="0"/>
          <w:color w:val="auto"/>
          <w:sz w:val="21"/>
          <w:szCs w:val="21"/>
          <w:lang w:val="en-US" w:eastAsia="zh-CN"/>
        </w:rPr>
        <w:t xml:space="preserve">  环境保护</w:t>
      </w:r>
      <w:r>
        <w:rPr>
          <w:rFonts w:hint="eastAsia" w:ascii="黑体" w:hAnsi="黑体" w:eastAsia="黑体" w:cs="黑体"/>
          <w:b/>
          <w:bCs w:val="0"/>
          <w:color w:val="auto"/>
          <w:sz w:val="21"/>
          <w:szCs w:val="21"/>
        </w:rPr>
        <w:t>法律一览表</w:t>
      </w:r>
    </w:p>
    <w:bookmarkEnd w:id="54"/>
    <w:bookmarkEnd w:id="55"/>
    <w:bookmarkEnd w:id="56"/>
    <w:bookmarkEnd w:id="57"/>
    <w:bookmarkEnd w:id="58"/>
    <w:bookmarkEnd w:id="59"/>
    <w:bookmarkEnd w:id="60"/>
    <w:tbl>
      <w:tblPr>
        <w:tblStyle w:val="131"/>
        <w:tblW w:w="5043"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424"/>
        <w:gridCol w:w="4756"/>
        <w:gridCol w:w="2595"/>
        <w:gridCol w:w="947"/>
      </w:tblGrid>
      <w:tr w14:paraId="66E2B62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3" w:type="pct"/>
            <w:tcBorders>
              <w:tl2br w:val="nil"/>
              <w:tr2bl w:val="nil"/>
            </w:tcBorders>
            <w:noWrap w:val="0"/>
            <w:textDirection w:val="tbRlV"/>
            <w:vAlign w:val="center"/>
          </w:tcPr>
          <w:p w14:paraId="7E8D7675">
            <w:pPr>
              <w:keepNext w:val="0"/>
              <w:keepLines w:val="0"/>
              <w:pageBreakBefore w:val="0"/>
              <w:widowControl w:val="0"/>
              <w:kinsoku/>
              <w:wordWrap/>
              <w:overflowPunct/>
              <w:topLinePunct w:val="0"/>
              <w:autoSpaceDE/>
              <w:autoSpaceDN/>
              <w:bidi w:val="0"/>
              <w:adjustRightInd/>
              <w:snapToGrid/>
              <w:spacing w:before="36" w:line="400" w:lineRule="exact"/>
              <w:ind w:left="37"/>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pacing w:val="-2"/>
                <w:sz w:val="18"/>
                <w:szCs w:val="18"/>
                <w:highlight w:val="none"/>
              </w:rPr>
              <w:t>序号</w:t>
            </w:r>
          </w:p>
        </w:tc>
        <w:tc>
          <w:tcPr>
            <w:tcW w:w="2725" w:type="pct"/>
            <w:tcBorders>
              <w:tl2br w:val="nil"/>
              <w:tr2bl w:val="nil"/>
            </w:tcBorders>
            <w:noWrap w:val="0"/>
            <w:vAlign w:val="center"/>
          </w:tcPr>
          <w:p w14:paraId="3B38010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依据名</w:t>
            </w:r>
            <w:r>
              <w:rPr>
                <w:rFonts w:hint="eastAsia" w:ascii="宋体" w:hAnsi="宋体" w:eastAsia="宋体" w:cs="宋体"/>
                <w:color w:val="auto"/>
                <w:spacing w:val="7"/>
                <w:sz w:val="18"/>
                <w:szCs w:val="18"/>
                <w:highlight w:val="none"/>
              </w:rPr>
              <w:t>称</w:t>
            </w:r>
          </w:p>
        </w:tc>
        <w:tc>
          <w:tcPr>
            <w:tcW w:w="1487" w:type="pct"/>
            <w:tcBorders>
              <w:tl2br w:val="nil"/>
              <w:tr2bl w:val="nil"/>
            </w:tcBorders>
            <w:noWrap w:val="0"/>
            <w:vAlign w:val="center"/>
          </w:tcPr>
          <w:p w14:paraId="56588C0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pacing w:val="11"/>
                <w:sz w:val="18"/>
                <w:szCs w:val="18"/>
                <w:highlight w:val="none"/>
              </w:rPr>
              <w:t>会</w:t>
            </w:r>
            <w:r>
              <w:rPr>
                <w:rFonts w:hint="eastAsia" w:ascii="宋体" w:hAnsi="宋体" w:eastAsia="宋体" w:cs="宋体"/>
                <w:color w:val="auto"/>
                <w:spacing w:val="9"/>
                <w:sz w:val="18"/>
                <w:szCs w:val="18"/>
                <w:highlight w:val="none"/>
              </w:rPr>
              <w:t>议、主席令、文号</w:t>
            </w:r>
          </w:p>
        </w:tc>
        <w:tc>
          <w:tcPr>
            <w:tcW w:w="542" w:type="pct"/>
            <w:tcBorders>
              <w:tl2br w:val="nil"/>
              <w:tr2bl w:val="nil"/>
            </w:tcBorders>
            <w:noWrap w:val="0"/>
            <w:vAlign w:val="center"/>
          </w:tcPr>
          <w:p w14:paraId="7C7ECA5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pacing w:val="7"/>
                <w:sz w:val="18"/>
                <w:szCs w:val="18"/>
                <w:highlight w:val="none"/>
              </w:rPr>
              <w:t>实施时间</w:t>
            </w:r>
          </w:p>
        </w:tc>
      </w:tr>
      <w:tr w14:paraId="443782A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3" w:type="pct"/>
            <w:tcBorders>
              <w:tl2br w:val="nil"/>
              <w:tr2bl w:val="nil"/>
            </w:tcBorders>
            <w:noWrap w:val="0"/>
            <w:vAlign w:val="center"/>
          </w:tcPr>
          <w:p w14:paraId="6DED539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w:t>
            </w:r>
          </w:p>
        </w:tc>
        <w:tc>
          <w:tcPr>
            <w:tcW w:w="2725" w:type="pct"/>
            <w:tcBorders>
              <w:tl2br w:val="nil"/>
              <w:tr2bl w:val="nil"/>
            </w:tcBorders>
            <w:noWrap w:val="0"/>
            <w:vAlign w:val="center"/>
          </w:tcPr>
          <w:p w14:paraId="7D89B5B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中华人民共和国环境保护法</w:t>
            </w:r>
            <w:r>
              <w:rPr>
                <w:rFonts w:hint="eastAsia" w:ascii="宋体" w:hAnsi="宋体" w:eastAsia="宋体" w:cs="宋体"/>
                <w:color w:val="auto"/>
                <w:kern w:val="0"/>
                <w:sz w:val="18"/>
                <w:szCs w:val="18"/>
                <w:highlight w:val="none"/>
              </w:rPr>
              <w:t>（2014年修</w:t>
            </w:r>
            <w:r>
              <w:rPr>
                <w:rFonts w:hint="eastAsia" w:ascii="宋体" w:hAnsi="宋体" w:eastAsia="宋体" w:cs="宋体"/>
                <w:color w:val="auto"/>
                <w:kern w:val="0"/>
                <w:sz w:val="18"/>
                <w:szCs w:val="18"/>
                <w:highlight w:val="none"/>
                <w:lang w:val="en-US" w:eastAsia="zh-CN"/>
              </w:rPr>
              <w:t>正</w:t>
            </w:r>
            <w:r>
              <w:rPr>
                <w:rFonts w:hint="eastAsia" w:ascii="宋体" w:hAnsi="宋体" w:eastAsia="宋体" w:cs="宋体"/>
                <w:color w:val="auto"/>
                <w:kern w:val="0"/>
                <w:sz w:val="18"/>
                <w:szCs w:val="18"/>
                <w:highlight w:val="none"/>
              </w:rPr>
              <w:t>）</w:t>
            </w:r>
          </w:p>
        </w:tc>
        <w:tc>
          <w:tcPr>
            <w:tcW w:w="1487" w:type="pct"/>
            <w:tcBorders>
              <w:tl2br w:val="nil"/>
              <w:tr2bl w:val="nil"/>
            </w:tcBorders>
            <w:noWrap w:val="0"/>
            <w:vAlign w:val="center"/>
          </w:tcPr>
          <w:p w14:paraId="19F2C8C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12届人大第8次会议</w:t>
            </w:r>
          </w:p>
        </w:tc>
        <w:tc>
          <w:tcPr>
            <w:tcW w:w="542" w:type="pct"/>
            <w:tcBorders>
              <w:tl2br w:val="nil"/>
              <w:tr2bl w:val="nil"/>
            </w:tcBorders>
            <w:noWrap w:val="0"/>
            <w:vAlign w:val="center"/>
          </w:tcPr>
          <w:p w14:paraId="223C0DF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2015-01-01</w:t>
            </w:r>
          </w:p>
        </w:tc>
      </w:tr>
      <w:tr w14:paraId="4D28C78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3" w:type="pct"/>
            <w:tcBorders>
              <w:tl2br w:val="nil"/>
              <w:tr2bl w:val="nil"/>
            </w:tcBorders>
            <w:noWrap w:val="0"/>
            <w:vAlign w:val="center"/>
          </w:tcPr>
          <w:p w14:paraId="1B0BCCE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w:t>
            </w:r>
          </w:p>
        </w:tc>
        <w:tc>
          <w:tcPr>
            <w:tcW w:w="2725" w:type="pct"/>
            <w:tcBorders>
              <w:tl2br w:val="nil"/>
              <w:tr2bl w:val="nil"/>
            </w:tcBorders>
            <w:noWrap w:val="0"/>
            <w:vAlign w:val="center"/>
          </w:tcPr>
          <w:p w14:paraId="5DD9CD7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中华人民共和国环境影响评价法</w:t>
            </w: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rPr>
              <w:t>2018年修正</w:t>
            </w:r>
            <w:r>
              <w:rPr>
                <w:rFonts w:hint="eastAsia" w:ascii="宋体" w:hAnsi="宋体" w:eastAsia="宋体" w:cs="宋体"/>
                <w:color w:val="auto"/>
                <w:sz w:val="18"/>
                <w:szCs w:val="18"/>
                <w:highlight w:val="none"/>
                <w:lang w:eastAsia="zh-CN"/>
              </w:rPr>
              <w:t>）</w:t>
            </w:r>
          </w:p>
        </w:tc>
        <w:tc>
          <w:tcPr>
            <w:tcW w:w="1487" w:type="pct"/>
            <w:tcBorders>
              <w:tl2br w:val="nil"/>
              <w:tr2bl w:val="nil"/>
            </w:tcBorders>
            <w:noWrap w:val="0"/>
            <w:vAlign w:val="center"/>
          </w:tcPr>
          <w:p w14:paraId="50DBE18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13届人大第7次会议</w:t>
            </w:r>
          </w:p>
        </w:tc>
        <w:tc>
          <w:tcPr>
            <w:tcW w:w="542" w:type="pct"/>
            <w:tcBorders>
              <w:tl2br w:val="nil"/>
              <w:tr2bl w:val="nil"/>
            </w:tcBorders>
            <w:noWrap w:val="0"/>
            <w:vAlign w:val="center"/>
          </w:tcPr>
          <w:p w14:paraId="2674233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2018-12-29</w:t>
            </w:r>
          </w:p>
        </w:tc>
      </w:tr>
      <w:tr w14:paraId="739774A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3" w:type="pct"/>
            <w:tcBorders>
              <w:tl2br w:val="nil"/>
              <w:tr2bl w:val="nil"/>
            </w:tcBorders>
            <w:noWrap w:val="0"/>
            <w:vAlign w:val="center"/>
          </w:tcPr>
          <w:p w14:paraId="104E9CB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3</w:t>
            </w:r>
          </w:p>
        </w:tc>
        <w:tc>
          <w:tcPr>
            <w:tcW w:w="2725" w:type="pct"/>
            <w:tcBorders>
              <w:tl2br w:val="nil"/>
              <w:tr2bl w:val="nil"/>
            </w:tcBorders>
            <w:noWrap w:val="0"/>
            <w:vAlign w:val="center"/>
          </w:tcPr>
          <w:p w14:paraId="3682B55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中华人民共和国大气污染防治法</w:t>
            </w: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rPr>
              <w:t>2018年修正</w:t>
            </w:r>
            <w:r>
              <w:rPr>
                <w:rFonts w:hint="eastAsia" w:ascii="宋体" w:hAnsi="宋体" w:eastAsia="宋体" w:cs="宋体"/>
                <w:color w:val="auto"/>
                <w:sz w:val="18"/>
                <w:szCs w:val="18"/>
                <w:highlight w:val="none"/>
                <w:lang w:eastAsia="zh-CN"/>
              </w:rPr>
              <w:t>）</w:t>
            </w:r>
          </w:p>
        </w:tc>
        <w:tc>
          <w:tcPr>
            <w:tcW w:w="1487" w:type="pct"/>
            <w:tcBorders>
              <w:tl2br w:val="nil"/>
              <w:tr2bl w:val="nil"/>
            </w:tcBorders>
            <w:noWrap w:val="0"/>
            <w:vAlign w:val="center"/>
          </w:tcPr>
          <w:p w14:paraId="1519C23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13届人大第6次会议</w:t>
            </w:r>
          </w:p>
        </w:tc>
        <w:tc>
          <w:tcPr>
            <w:tcW w:w="542" w:type="pct"/>
            <w:tcBorders>
              <w:tl2br w:val="nil"/>
              <w:tr2bl w:val="nil"/>
            </w:tcBorders>
            <w:noWrap w:val="0"/>
            <w:vAlign w:val="center"/>
          </w:tcPr>
          <w:p w14:paraId="6CD5464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2018-10-26</w:t>
            </w:r>
          </w:p>
        </w:tc>
      </w:tr>
      <w:tr w14:paraId="5A8FE45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3" w:type="pct"/>
            <w:tcBorders>
              <w:tl2br w:val="nil"/>
              <w:tr2bl w:val="nil"/>
            </w:tcBorders>
            <w:noWrap w:val="0"/>
            <w:vAlign w:val="center"/>
          </w:tcPr>
          <w:p w14:paraId="61FD5A2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4</w:t>
            </w:r>
          </w:p>
        </w:tc>
        <w:tc>
          <w:tcPr>
            <w:tcW w:w="2725" w:type="pct"/>
            <w:tcBorders>
              <w:tl2br w:val="nil"/>
              <w:tr2bl w:val="nil"/>
            </w:tcBorders>
            <w:noWrap w:val="0"/>
            <w:vAlign w:val="center"/>
          </w:tcPr>
          <w:p w14:paraId="29507AD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中华人民共和国水污染防治法</w:t>
            </w: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rPr>
              <w:t>2017年修正</w:t>
            </w:r>
            <w:r>
              <w:rPr>
                <w:rFonts w:hint="eastAsia" w:ascii="宋体" w:hAnsi="宋体" w:eastAsia="宋体" w:cs="宋体"/>
                <w:color w:val="auto"/>
                <w:sz w:val="18"/>
                <w:szCs w:val="18"/>
                <w:highlight w:val="none"/>
                <w:lang w:eastAsia="zh-CN"/>
              </w:rPr>
              <w:t>）</w:t>
            </w:r>
          </w:p>
        </w:tc>
        <w:tc>
          <w:tcPr>
            <w:tcW w:w="1487" w:type="pct"/>
            <w:tcBorders>
              <w:tl2br w:val="nil"/>
              <w:tr2bl w:val="nil"/>
            </w:tcBorders>
            <w:noWrap w:val="0"/>
            <w:vAlign w:val="center"/>
          </w:tcPr>
          <w:p w14:paraId="2EFA75B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12届人大第28次会议</w:t>
            </w:r>
          </w:p>
        </w:tc>
        <w:tc>
          <w:tcPr>
            <w:tcW w:w="542" w:type="pct"/>
            <w:tcBorders>
              <w:tl2br w:val="nil"/>
              <w:tr2bl w:val="nil"/>
            </w:tcBorders>
            <w:noWrap w:val="0"/>
            <w:vAlign w:val="center"/>
          </w:tcPr>
          <w:p w14:paraId="0312FF9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2017-06-27</w:t>
            </w:r>
          </w:p>
        </w:tc>
      </w:tr>
      <w:tr w14:paraId="246155A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3" w:type="pct"/>
            <w:tcBorders>
              <w:tl2br w:val="nil"/>
              <w:tr2bl w:val="nil"/>
            </w:tcBorders>
            <w:noWrap w:val="0"/>
            <w:vAlign w:val="center"/>
          </w:tcPr>
          <w:p w14:paraId="1B81519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5</w:t>
            </w:r>
          </w:p>
        </w:tc>
        <w:tc>
          <w:tcPr>
            <w:tcW w:w="2725" w:type="pct"/>
            <w:tcBorders>
              <w:tl2br w:val="nil"/>
              <w:tr2bl w:val="nil"/>
            </w:tcBorders>
            <w:noWrap w:val="0"/>
            <w:vAlign w:val="center"/>
          </w:tcPr>
          <w:p w14:paraId="0BB69D7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中华人民共和国噪声污染防治法</w:t>
            </w: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rPr>
              <w:t>2021年修正</w:t>
            </w:r>
            <w:r>
              <w:rPr>
                <w:rFonts w:hint="eastAsia" w:ascii="宋体" w:hAnsi="宋体" w:eastAsia="宋体" w:cs="宋体"/>
                <w:color w:val="auto"/>
                <w:sz w:val="18"/>
                <w:szCs w:val="18"/>
                <w:highlight w:val="none"/>
                <w:lang w:eastAsia="zh-CN"/>
              </w:rPr>
              <w:t>）</w:t>
            </w:r>
          </w:p>
        </w:tc>
        <w:tc>
          <w:tcPr>
            <w:tcW w:w="1487" w:type="pct"/>
            <w:tcBorders>
              <w:tl2br w:val="nil"/>
              <w:tr2bl w:val="nil"/>
            </w:tcBorders>
            <w:noWrap w:val="0"/>
            <w:vAlign w:val="center"/>
          </w:tcPr>
          <w:p w14:paraId="3BC9083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13届人大第32次会议</w:t>
            </w:r>
          </w:p>
        </w:tc>
        <w:tc>
          <w:tcPr>
            <w:tcW w:w="542" w:type="pct"/>
            <w:tcBorders>
              <w:tl2br w:val="nil"/>
              <w:tr2bl w:val="nil"/>
            </w:tcBorders>
            <w:noWrap w:val="0"/>
            <w:vAlign w:val="center"/>
          </w:tcPr>
          <w:p w14:paraId="1DFE0AA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2022-06-05</w:t>
            </w:r>
          </w:p>
        </w:tc>
      </w:tr>
      <w:tr w14:paraId="21B446E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3" w:type="pct"/>
            <w:tcBorders>
              <w:tl2br w:val="nil"/>
              <w:tr2bl w:val="nil"/>
            </w:tcBorders>
            <w:noWrap w:val="0"/>
            <w:vAlign w:val="center"/>
          </w:tcPr>
          <w:p w14:paraId="4DB0D54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6</w:t>
            </w:r>
          </w:p>
        </w:tc>
        <w:tc>
          <w:tcPr>
            <w:tcW w:w="2725" w:type="pct"/>
            <w:tcBorders>
              <w:tl2br w:val="nil"/>
              <w:tr2bl w:val="nil"/>
            </w:tcBorders>
            <w:noWrap w:val="0"/>
            <w:vAlign w:val="center"/>
          </w:tcPr>
          <w:p w14:paraId="7B46F61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中华人民共和国固体废物污染环境防治法</w:t>
            </w: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rPr>
              <w:t>2020年修订</w:t>
            </w:r>
            <w:r>
              <w:rPr>
                <w:rFonts w:hint="eastAsia" w:ascii="宋体" w:hAnsi="宋体" w:eastAsia="宋体" w:cs="宋体"/>
                <w:color w:val="auto"/>
                <w:sz w:val="18"/>
                <w:szCs w:val="18"/>
                <w:highlight w:val="none"/>
                <w:lang w:eastAsia="zh-CN"/>
              </w:rPr>
              <w:t>）</w:t>
            </w:r>
          </w:p>
        </w:tc>
        <w:tc>
          <w:tcPr>
            <w:tcW w:w="1487" w:type="pct"/>
            <w:tcBorders>
              <w:tl2br w:val="nil"/>
              <w:tr2bl w:val="nil"/>
            </w:tcBorders>
            <w:noWrap w:val="0"/>
            <w:vAlign w:val="center"/>
          </w:tcPr>
          <w:p w14:paraId="36FCF7E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13届人大第17次会议</w:t>
            </w:r>
          </w:p>
        </w:tc>
        <w:tc>
          <w:tcPr>
            <w:tcW w:w="542" w:type="pct"/>
            <w:tcBorders>
              <w:tl2br w:val="nil"/>
              <w:tr2bl w:val="nil"/>
            </w:tcBorders>
            <w:noWrap w:val="0"/>
            <w:vAlign w:val="center"/>
          </w:tcPr>
          <w:p w14:paraId="16F2302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2020-09-01</w:t>
            </w:r>
          </w:p>
        </w:tc>
      </w:tr>
      <w:tr w14:paraId="04CED06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3" w:type="pct"/>
            <w:tcBorders>
              <w:tl2br w:val="nil"/>
              <w:tr2bl w:val="nil"/>
            </w:tcBorders>
            <w:noWrap w:val="0"/>
            <w:vAlign w:val="center"/>
          </w:tcPr>
          <w:p w14:paraId="1DB9CD2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7</w:t>
            </w:r>
          </w:p>
        </w:tc>
        <w:tc>
          <w:tcPr>
            <w:tcW w:w="2725" w:type="pct"/>
            <w:tcBorders>
              <w:tl2br w:val="nil"/>
              <w:tr2bl w:val="nil"/>
            </w:tcBorders>
            <w:noWrap w:val="0"/>
            <w:vAlign w:val="center"/>
          </w:tcPr>
          <w:p w14:paraId="3FB4B2B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中华人民共和国水土保持法</w:t>
            </w: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rPr>
              <w:t>2010年修订</w:t>
            </w:r>
            <w:r>
              <w:rPr>
                <w:rFonts w:hint="eastAsia" w:ascii="宋体" w:hAnsi="宋体" w:eastAsia="宋体" w:cs="宋体"/>
                <w:color w:val="auto"/>
                <w:sz w:val="18"/>
                <w:szCs w:val="18"/>
                <w:highlight w:val="none"/>
                <w:lang w:eastAsia="zh-CN"/>
              </w:rPr>
              <w:t>）</w:t>
            </w:r>
          </w:p>
        </w:tc>
        <w:tc>
          <w:tcPr>
            <w:tcW w:w="1487" w:type="pct"/>
            <w:tcBorders>
              <w:tl2br w:val="nil"/>
              <w:tr2bl w:val="nil"/>
            </w:tcBorders>
            <w:noWrap w:val="0"/>
            <w:vAlign w:val="center"/>
          </w:tcPr>
          <w:p w14:paraId="6E364B7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11届人大第18次会议</w:t>
            </w:r>
          </w:p>
        </w:tc>
        <w:tc>
          <w:tcPr>
            <w:tcW w:w="542" w:type="pct"/>
            <w:tcBorders>
              <w:tl2br w:val="nil"/>
              <w:tr2bl w:val="nil"/>
            </w:tcBorders>
            <w:noWrap w:val="0"/>
            <w:vAlign w:val="center"/>
          </w:tcPr>
          <w:p w14:paraId="49E8A9D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2011-03-01</w:t>
            </w:r>
          </w:p>
        </w:tc>
      </w:tr>
      <w:tr w14:paraId="13AF4FA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3" w:type="pct"/>
            <w:tcBorders>
              <w:tl2br w:val="nil"/>
              <w:tr2bl w:val="nil"/>
            </w:tcBorders>
            <w:noWrap w:val="0"/>
            <w:vAlign w:val="center"/>
          </w:tcPr>
          <w:p w14:paraId="38C15A9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8</w:t>
            </w:r>
          </w:p>
        </w:tc>
        <w:tc>
          <w:tcPr>
            <w:tcW w:w="2725" w:type="pct"/>
            <w:tcBorders>
              <w:tl2br w:val="nil"/>
              <w:tr2bl w:val="nil"/>
            </w:tcBorders>
            <w:noWrap w:val="0"/>
            <w:vAlign w:val="center"/>
          </w:tcPr>
          <w:p w14:paraId="678D8BE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中华人民共和国清洁生产促进法</w:t>
            </w: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rPr>
              <w:t>2012年修正</w:t>
            </w:r>
            <w:r>
              <w:rPr>
                <w:rFonts w:hint="eastAsia" w:ascii="宋体" w:hAnsi="宋体" w:eastAsia="宋体" w:cs="宋体"/>
                <w:color w:val="auto"/>
                <w:sz w:val="18"/>
                <w:szCs w:val="18"/>
                <w:highlight w:val="none"/>
                <w:lang w:eastAsia="zh-CN"/>
              </w:rPr>
              <w:t>）</w:t>
            </w:r>
          </w:p>
        </w:tc>
        <w:tc>
          <w:tcPr>
            <w:tcW w:w="1487" w:type="pct"/>
            <w:tcBorders>
              <w:tl2br w:val="nil"/>
              <w:tr2bl w:val="nil"/>
            </w:tcBorders>
            <w:noWrap w:val="0"/>
            <w:vAlign w:val="center"/>
          </w:tcPr>
          <w:p w14:paraId="61FE385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12届人大第25次会议</w:t>
            </w:r>
          </w:p>
        </w:tc>
        <w:tc>
          <w:tcPr>
            <w:tcW w:w="542" w:type="pct"/>
            <w:tcBorders>
              <w:tl2br w:val="nil"/>
              <w:tr2bl w:val="nil"/>
            </w:tcBorders>
            <w:noWrap w:val="0"/>
            <w:vAlign w:val="center"/>
          </w:tcPr>
          <w:p w14:paraId="63683E1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2012-07-01</w:t>
            </w:r>
          </w:p>
        </w:tc>
      </w:tr>
      <w:tr w14:paraId="061D01B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3" w:type="pct"/>
            <w:tcBorders>
              <w:tl2br w:val="nil"/>
              <w:tr2bl w:val="nil"/>
            </w:tcBorders>
            <w:noWrap w:val="0"/>
            <w:vAlign w:val="center"/>
          </w:tcPr>
          <w:p w14:paraId="54607A7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val="en-US" w:eastAsia="zh-CN"/>
              </w:rPr>
              <w:t>9</w:t>
            </w:r>
          </w:p>
        </w:tc>
        <w:tc>
          <w:tcPr>
            <w:tcW w:w="2725" w:type="pct"/>
            <w:tcBorders>
              <w:tl2br w:val="nil"/>
              <w:tr2bl w:val="nil"/>
            </w:tcBorders>
            <w:noWrap w:val="0"/>
            <w:vAlign w:val="center"/>
          </w:tcPr>
          <w:p w14:paraId="2F4779B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中华人民共和国土地管理法</w:t>
            </w:r>
            <w:r>
              <w:rPr>
                <w:rFonts w:hint="eastAsia" w:ascii="宋体" w:hAnsi="宋体" w:eastAsia="宋体" w:cs="宋体"/>
                <w:color w:val="auto"/>
                <w:kern w:val="0"/>
                <w:sz w:val="18"/>
                <w:szCs w:val="18"/>
                <w:highlight w:val="none"/>
              </w:rPr>
              <w:t>（2019年修正）</w:t>
            </w:r>
          </w:p>
        </w:tc>
        <w:tc>
          <w:tcPr>
            <w:tcW w:w="1487" w:type="pct"/>
            <w:tcBorders>
              <w:tl2br w:val="nil"/>
              <w:tr2bl w:val="nil"/>
            </w:tcBorders>
            <w:noWrap w:val="0"/>
            <w:vAlign w:val="center"/>
          </w:tcPr>
          <w:p w14:paraId="4216906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13届人大第12次会议</w:t>
            </w:r>
          </w:p>
        </w:tc>
        <w:tc>
          <w:tcPr>
            <w:tcW w:w="542" w:type="pct"/>
            <w:tcBorders>
              <w:tl2br w:val="nil"/>
              <w:tr2bl w:val="nil"/>
            </w:tcBorders>
            <w:noWrap w:val="0"/>
            <w:vAlign w:val="center"/>
          </w:tcPr>
          <w:p w14:paraId="7FC82E1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2020-01-01</w:t>
            </w:r>
          </w:p>
        </w:tc>
      </w:tr>
      <w:tr w14:paraId="7380B33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3" w:type="pct"/>
            <w:tcBorders>
              <w:tl2br w:val="nil"/>
              <w:tr2bl w:val="nil"/>
            </w:tcBorders>
            <w:noWrap w:val="0"/>
            <w:vAlign w:val="center"/>
          </w:tcPr>
          <w:p w14:paraId="0A02FD1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1</w:t>
            </w:r>
            <w:r>
              <w:rPr>
                <w:rFonts w:hint="eastAsia" w:ascii="宋体" w:hAnsi="宋体" w:cs="宋体"/>
                <w:color w:val="auto"/>
                <w:sz w:val="18"/>
                <w:szCs w:val="18"/>
                <w:highlight w:val="none"/>
                <w:lang w:val="en-US" w:eastAsia="zh-CN"/>
              </w:rPr>
              <w:t>0</w:t>
            </w:r>
          </w:p>
        </w:tc>
        <w:tc>
          <w:tcPr>
            <w:tcW w:w="2725" w:type="pct"/>
            <w:tcBorders>
              <w:tl2br w:val="nil"/>
              <w:tr2bl w:val="nil"/>
            </w:tcBorders>
            <w:noWrap w:val="0"/>
            <w:vAlign w:val="center"/>
          </w:tcPr>
          <w:p w14:paraId="285511D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中华人民共和国野生动物保护法</w:t>
            </w: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rPr>
              <w:t>20</w:t>
            </w:r>
            <w:r>
              <w:rPr>
                <w:rFonts w:hint="eastAsia" w:ascii="宋体" w:hAnsi="宋体" w:eastAsia="宋体" w:cs="宋体"/>
                <w:color w:val="auto"/>
                <w:sz w:val="18"/>
                <w:szCs w:val="18"/>
                <w:highlight w:val="none"/>
                <w:lang w:val="en-US" w:eastAsia="zh-CN"/>
              </w:rPr>
              <w:t>22</w:t>
            </w:r>
            <w:r>
              <w:rPr>
                <w:rFonts w:hint="eastAsia" w:ascii="宋体" w:hAnsi="宋体" w:eastAsia="宋体" w:cs="宋体"/>
                <w:color w:val="auto"/>
                <w:sz w:val="18"/>
                <w:szCs w:val="18"/>
                <w:highlight w:val="none"/>
              </w:rPr>
              <w:t>年修正</w:t>
            </w:r>
            <w:r>
              <w:rPr>
                <w:rFonts w:hint="eastAsia" w:ascii="宋体" w:hAnsi="宋体" w:eastAsia="宋体" w:cs="宋体"/>
                <w:color w:val="auto"/>
                <w:sz w:val="18"/>
                <w:szCs w:val="18"/>
                <w:highlight w:val="none"/>
                <w:lang w:eastAsia="zh-CN"/>
              </w:rPr>
              <w:t>）</w:t>
            </w:r>
          </w:p>
        </w:tc>
        <w:tc>
          <w:tcPr>
            <w:tcW w:w="1487" w:type="pct"/>
            <w:tcBorders>
              <w:tl2br w:val="nil"/>
              <w:tr2bl w:val="nil"/>
            </w:tcBorders>
            <w:noWrap w:val="0"/>
            <w:vAlign w:val="center"/>
          </w:tcPr>
          <w:p w14:paraId="3904AFD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13届人大第</w:t>
            </w:r>
            <w:r>
              <w:rPr>
                <w:rFonts w:hint="eastAsia" w:ascii="宋体" w:hAnsi="宋体" w:eastAsia="宋体" w:cs="宋体"/>
                <w:color w:val="auto"/>
                <w:sz w:val="18"/>
                <w:szCs w:val="18"/>
                <w:highlight w:val="none"/>
                <w:lang w:val="en-US" w:eastAsia="zh-CN"/>
              </w:rPr>
              <w:t>38</w:t>
            </w:r>
            <w:r>
              <w:rPr>
                <w:rFonts w:hint="eastAsia" w:ascii="宋体" w:hAnsi="宋体" w:eastAsia="宋体" w:cs="宋体"/>
                <w:color w:val="auto"/>
                <w:sz w:val="18"/>
                <w:szCs w:val="18"/>
                <w:highlight w:val="none"/>
              </w:rPr>
              <w:t>次会议</w:t>
            </w:r>
          </w:p>
        </w:tc>
        <w:tc>
          <w:tcPr>
            <w:tcW w:w="542" w:type="pct"/>
            <w:tcBorders>
              <w:tl2br w:val="nil"/>
              <w:tr2bl w:val="nil"/>
            </w:tcBorders>
            <w:noWrap w:val="0"/>
            <w:vAlign w:val="center"/>
          </w:tcPr>
          <w:p w14:paraId="21B0B10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20</w:t>
            </w:r>
            <w:r>
              <w:rPr>
                <w:rFonts w:hint="eastAsia" w:ascii="宋体" w:hAnsi="宋体" w:eastAsia="宋体" w:cs="宋体"/>
                <w:color w:val="auto"/>
                <w:sz w:val="18"/>
                <w:szCs w:val="18"/>
                <w:highlight w:val="none"/>
                <w:lang w:val="en-US" w:eastAsia="zh-CN"/>
              </w:rPr>
              <w:t>23</w:t>
            </w:r>
            <w:r>
              <w:rPr>
                <w:rFonts w:hint="eastAsia" w:ascii="宋体" w:hAnsi="宋体" w:eastAsia="宋体" w:cs="宋体"/>
                <w:color w:val="auto"/>
                <w:sz w:val="18"/>
                <w:szCs w:val="18"/>
                <w:highlight w:val="none"/>
              </w:rPr>
              <w:t>-</w:t>
            </w:r>
            <w:r>
              <w:rPr>
                <w:rFonts w:hint="eastAsia" w:ascii="宋体" w:hAnsi="宋体" w:eastAsia="宋体" w:cs="宋体"/>
                <w:color w:val="auto"/>
                <w:sz w:val="18"/>
                <w:szCs w:val="18"/>
                <w:highlight w:val="none"/>
                <w:lang w:val="en-US" w:eastAsia="zh-CN"/>
              </w:rPr>
              <w:t>05</w:t>
            </w:r>
            <w:r>
              <w:rPr>
                <w:rFonts w:hint="eastAsia" w:ascii="宋体" w:hAnsi="宋体" w:eastAsia="宋体" w:cs="宋体"/>
                <w:color w:val="auto"/>
                <w:sz w:val="18"/>
                <w:szCs w:val="18"/>
                <w:highlight w:val="none"/>
              </w:rPr>
              <w:t>-</w:t>
            </w:r>
            <w:r>
              <w:rPr>
                <w:rFonts w:hint="eastAsia" w:ascii="宋体" w:hAnsi="宋体" w:eastAsia="宋体" w:cs="宋体"/>
                <w:color w:val="auto"/>
                <w:sz w:val="18"/>
                <w:szCs w:val="18"/>
                <w:highlight w:val="none"/>
                <w:lang w:val="en-US" w:eastAsia="zh-CN"/>
              </w:rPr>
              <w:t>01</w:t>
            </w:r>
          </w:p>
        </w:tc>
      </w:tr>
      <w:tr w14:paraId="5E88C22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3" w:type="pct"/>
            <w:tcBorders>
              <w:tl2br w:val="nil"/>
              <w:tr2bl w:val="nil"/>
            </w:tcBorders>
            <w:noWrap w:val="0"/>
            <w:vAlign w:val="center"/>
          </w:tcPr>
          <w:p w14:paraId="1C9B6BF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rPr>
              <w:t>1</w:t>
            </w:r>
            <w:r>
              <w:rPr>
                <w:rFonts w:hint="eastAsia" w:ascii="宋体" w:hAnsi="宋体" w:cs="宋体"/>
                <w:color w:val="auto"/>
                <w:sz w:val="18"/>
                <w:szCs w:val="18"/>
                <w:highlight w:val="none"/>
                <w:lang w:val="en-US" w:eastAsia="zh-CN"/>
              </w:rPr>
              <w:t>1</w:t>
            </w:r>
          </w:p>
        </w:tc>
        <w:tc>
          <w:tcPr>
            <w:tcW w:w="2725" w:type="pct"/>
            <w:tcBorders>
              <w:tl2br w:val="nil"/>
              <w:tr2bl w:val="nil"/>
            </w:tcBorders>
            <w:noWrap w:val="0"/>
            <w:vAlign w:val="center"/>
          </w:tcPr>
          <w:p w14:paraId="13BD3C5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中华人民共和国石油天然气管道保护法</w:t>
            </w:r>
          </w:p>
        </w:tc>
        <w:tc>
          <w:tcPr>
            <w:tcW w:w="1487" w:type="pct"/>
            <w:tcBorders>
              <w:tl2br w:val="nil"/>
              <w:tr2bl w:val="nil"/>
            </w:tcBorders>
            <w:noWrap w:val="0"/>
            <w:vAlign w:val="center"/>
          </w:tcPr>
          <w:p w14:paraId="7EA328A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11届人大15次会议</w:t>
            </w:r>
          </w:p>
        </w:tc>
        <w:tc>
          <w:tcPr>
            <w:tcW w:w="542" w:type="pct"/>
            <w:tcBorders>
              <w:tl2br w:val="nil"/>
              <w:tr2bl w:val="nil"/>
            </w:tcBorders>
            <w:noWrap w:val="0"/>
            <w:vAlign w:val="center"/>
          </w:tcPr>
          <w:p w14:paraId="6A7FB79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2010-10-01</w:t>
            </w:r>
          </w:p>
        </w:tc>
      </w:tr>
      <w:tr w14:paraId="1252DCB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3" w:type="pct"/>
            <w:tcBorders>
              <w:tl2br w:val="nil"/>
              <w:tr2bl w:val="nil"/>
            </w:tcBorders>
            <w:noWrap w:val="0"/>
            <w:vAlign w:val="center"/>
          </w:tcPr>
          <w:p w14:paraId="4B6508F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rPr>
              <w:t>1</w:t>
            </w:r>
            <w:r>
              <w:rPr>
                <w:rFonts w:hint="eastAsia" w:ascii="宋体" w:hAnsi="宋体" w:cs="宋体"/>
                <w:color w:val="auto"/>
                <w:sz w:val="18"/>
                <w:szCs w:val="18"/>
                <w:highlight w:val="none"/>
                <w:lang w:val="en-US" w:eastAsia="zh-CN"/>
              </w:rPr>
              <w:t>2</w:t>
            </w:r>
          </w:p>
        </w:tc>
        <w:tc>
          <w:tcPr>
            <w:tcW w:w="2725" w:type="pct"/>
            <w:tcBorders>
              <w:tl2br w:val="nil"/>
              <w:tr2bl w:val="nil"/>
            </w:tcBorders>
            <w:noWrap w:val="0"/>
            <w:vAlign w:val="center"/>
          </w:tcPr>
          <w:p w14:paraId="5E31D82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中华人民共和国突发事件应对法</w:t>
            </w:r>
          </w:p>
        </w:tc>
        <w:tc>
          <w:tcPr>
            <w:tcW w:w="1487" w:type="pct"/>
            <w:tcBorders>
              <w:tl2br w:val="nil"/>
              <w:tr2bl w:val="nil"/>
            </w:tcBorders>
            <w:noWrap w:val="0"/>
            <w:vAlign w:val="center"/>
          </w:tcPr>
          <w:p w14:paraId="1E5BAD9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10届人大第29次会议</w:t>
            </w:r>
          </w:p>
        </w:tc>
        <w:tc>
          <w:tcPr>
            <w:tcW w:w="542" w:type="pct"/>
            <w:tcBorders>
              <w:tl2br w:val="nil"/>
              <w:tr2bl w:val="nil"/>
            </w:tcBorders>
            <w:noWrap w:val="0"/>
            <w:vAlign w:val="center"/>
          </w:tcPr>
          <w:p w14:paraId="4F8A0BA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2007-11-01</w:t>
            </w:r>
          </w:p>
        </w:tc>
      </w:tr>
      <w:tr w14:paraId="36A3AA4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3" w:type="pct"/>
            <w:tcBorders>
              <w:tl2br w:val="nil"/>
              <w:tr2bl w:val="nil"/>
            </w:tcBorders>
            <w:noWrap w:val="0"/>
            <w:vAlign w:val="center"/>
          </w:tcPr>
          <w:p w14:paraId="0C84754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rPr>
              <w:t>1</w:t>
            </w:r>
            <w:r>
              <w:rPr>
                <w:rFonts w:hint="eastAsia" w:ascii="宋体" w:hAnsi="宋体" w:cs="宋体"/>
                <w:color w:val="auto"/>
                <w:sz w:val="18"/>
                <w:szCs w:val="18"/>
                <w:highlight w:val="none"/>
                <w:lang w:val="en-US" w:eastAsia="zh-CN"/>
              </w:rPr>
              <w:t>3</w:t>
            </w:r>
          </w:p>
        </w:tc>
        <w:tc>
          <w:tcPr>
            <w:tcW w:w="2725" w:type="pct"/>
            <w:tcBorders>
              <w:tl2br w:val="nil"/>
              <w:tr2bl w:val="nil"/>
            </w:tcBorders>
            <w:noWrap w:val="0"/>
            <w:vAlign w:val="center"/>
          </w:tcPr>
          <w:p w14:paraId="1FA1E0B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中华人民共和国防沙治沙法</w:t>
            </w: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rPr>
              <w:t>2018年修正</w:t>
            </w:r>
            <w:r>
              <w:rPr>
                <w:rFonts w:hint="eastAsia" w:ascii="宋体" w:hAnsi="宋体" w:eastAsia="宋体" w:cs="宋体"/>
                <w:color w:val="auto"/>
                <w:sz w:val="18"/>
                <w:szCs w:val="18"/>
                <w:highlight w:val="none"/>
                <w:lang w:eastAsia="zh-CN"/>
              </w:rPr>
              <w:t>）</w:t>
            </w:r>
          </w:p>
        </w:tc>
        <w:tc>
          <w:tcPr>
            <w:tcW w:w="1487" w:type="pct"/>
            <w:tcBorders>
              <w:tl2br w:val="nil"/>
              <w:tr2bl w:val="nil"/>
            </w:tcBorders>
            <w:noWrap w:val="0"/>
            <w:vAlign w:val="center"/>
          </w:tcPr>
          <w:p w14:paraId="428CE81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13届人大第6次会议</w:t>
            </w:r>
          </w:p>
        </w:tc>
        <w:tc>
          <w:tcPr>
            <w:tcW w:w="542" w:type="pct"/>
            <w:tcBorders>
              <w:tl2br w:val="nil"/>
              <w:tr2bl w:val="nil"/>
            </w:tcBorders>
            <w:noWrap w:val="0"/>
            <w:vAlign w:val="center"/>
          </w:tcPr>
          <w:p w14:paraId="68B6EBC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2018-10-26</w:t>
            </w:r>
          </w:p>
        </w:tc>
      </w:tr>
      <w:tr w14:paraId="7D2AC4F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3" w:type="pct"/>
            <w:tcBorders>
              <w:tl2br w:val="nil"/>
              <w:tr2bl w:val="nil"/>
            </w:tcBorders>
            <w:noWrap w:val="0"/>
            <w:vAlign w:val="center"/>
          </w:tcPr>
          <w:p w14:paraId="6F865EB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rPr>
              <w:t>1</w:t>
            </w:r>
            <w:r>
              <w:rPr>
                <w:rFonts w:hint="eastAsia" w:ascii="宋体" w:hAnsi="宋体" w:cs="宋体"/>
                <w:color w:val="auto"/>
                <w:sz w:val="18"/>
                <w:szCs w:val="18"/>
                <w:highlight w:val="none"/>
                <w:lang w:val="en-US" w:eastAsia="zh-CN"/>
              </w:rPr>
              <w:t>4</w:t>
            </w:r>
          </w:p>
        </w:tc>
        <w:tc>
          <w:tcPr>
            <w:tcW w:w="2725" w:type="pct"/>
            <w:tcBorders>
              <w:tl2br w:val="nil"/>
              <w:tr2bl w:val="nil"/>
            </w:tcBorders>
            <w:noWrap w:val="0"/>
            <w:vAlign w:val="center"/>
          </w:tcPr>
          <w:p w14:paraId="4A6410F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中华人民共和国土壤污染防治法</w:t>
            </w:r>
          </w:p>
        </w:tc>
        <w:tc>
          <w:tcPr>
            <w:tcW w:w="1487" w:type="pct"/>
            <w:tcBorders>
              <w:tl2br w:val="nil"/>
              <w:tr2bl w:val="nil"/>
            </w:tcBorders>
            <w:noWrap w:val="0"/>
            <w:vAlign w:val="center"/>
          </w:tcPr>
          <w:p w14:paraId="68A17EA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13届人大第5次会议</w:t>
            </w:r>
          </w:p>
        </w:tc>
        <w:tc>
          <w:tcPr>
            <w:tcW w:w="542" w:type="pct"/>
            <w:tcBorders>
              <w:tl2br w:val="nil"/>
              <w:tr2bl w:val="nil"/>
            </w:tcBorders>
            <w:noWrap w:val="0"/>
            <w:vAlign w:val="center"/>
          </w:tcPr>
          <w:p w14:paraId="065F123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2019-01-01</w:t>
            </w:r>
          </w:p>
        </w:tc>
      </w:tr>
      <w:tr w14:paraId="7A3862F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3" w:type="pct"/>
            <w:tcBorders>
              <w:tl2br w:val="nil"/>
              <w:tr2bl w:val="nil"/>
            </w:tcBorders>
            <w:noWrap w:val="0"/>
            <w:vAlign w:val="center"/>
          </w:tcPr>
          <w:p w14:paraId="60ABAA7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w:t>
            </w:r>
            <w:r>
              <w:rPr>
                <w:rFonts w:hint="eastAsia" w:ascii="宋体" w:hAnsi="宋体" w:cs="宋体"/>
                <w:color w:val="auto"/>
                <w:sz w:val="18"/>
                <w:szCs w:val="18"/>
                <w:highlight w:val="none"/>
                <w:lang w:val="en-US" w:eastAsia="zh-CN"/>
              </w:rPr>
              <w:t>5</w:t>
            </w:r>
          </w:p>
        </w:tc>
        <w:tc>
          <w:tcPr>
            <w:tcW w:w="2725" w:type="pct"/>
            <w:tcBorders>
              <w:tl2br w:val="nil"/>
              <w:tr2bl w:val="nil"/>
            </w:tcBorders>
            <w:noWrap w:val="0"/>
            <w:vAlign w:val="center"/>
          </w:tcPr>
          <w:p w14:paraId="13358A2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中华人民共和国矿产资源法</w:t>
            </w:r>
            <w:r>
              <w:rPr>
                <w:rFonts w:hint="eastAsia" w:ascii="宋体" w:hAnsi="宋体" w:eastAsia="宋体" w:cs="宋体"/>
                <w:color w:val="auto"/>
                <w:sz w:val="18"/>
                <w:szCs w:val="18"/>
                <w:highlight w:val="none"/>
                <w:lang w:val="en-US" w:eastAsia="zh-CN"/>
              </w:rPr>
              <w:t>（2009年修正）</w:t>
            </w:r>
          </w:p>
        </w:tc>
        <w:tc>
          <w:tcPr>
            <w:tcW w:w="1487" w:type="pct"/>
            <w:tcBorders>
              <w:tl2br w:val="nil"/>
              <w:tr2bl w:val="nil"/>
            </w:tcBorders>
            <w:noWrap w:val="0"/>
            <w:vAlign w:val="center"/>
          </w:tcPr>
          <w:p w14:paraId="7F1BA24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中华人民共和国主席令第18号</w:t>
            </w:r>
          </w:p>
        </w:tc>
        <w:tc>
          <w:tcPr>
            <w:tcW w:w="542" w:type="pct"/>
            <w:tcBorders>
              <w:tl2br w:val="nil"/>
              <w:tr2bl w:val="nil"/>
            </w:tcBorders>
            <w:noWrap w:val="0"/>
            <w:vAlign w:val="center"/>
          </w:tcPr>
          <w:p w14:paraId="699D6ED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2009-8-27</w:t>
            </w:r>
          </w:p>
        </w:tc>
      </w:tr>
    </w:tbl>
    <w:p w14:paraId="02B19BFD">
      <w:pPr>
        <w:pStyle w:val="54"/>
        <w:bidi w:val="0"/>
        <w:rPr>
          <w:rFonts w:hint="default"/>
          <w:color w:val="auto"/>
        </w:rPr>
      </w:pPr>
      <w:r>
        <w:rPr>
          <w:rFonts w:hint="default"/>
          <w:color w:val="auto"/>
        </w:rPr>
        <w:t>2.</w:t>
      </w:r>
      <w:r>
        <w:rPr>
          <w:rFonts w:hint="eastAsia"/>
          <w:color w:val="auto"/>
          <w:lang w:val="en-US" w:eastAsia="zh-CN"/>
        </w:rPr>
        <w:t>1</w:t>
      </w:r>
      <w:r>
        <w:rPr>
          <w:rFonts w:hint="default"/>
          <w:color w:val="auto"/>
        </w:rPr>
        <w:t xml:space="preserve">.2 </w:t>
      </w:r>
      <w:r>
        <w:rPr>
          <w:rFonts w:hint="eastAsia"/>
          <w:color w:val="auto"/>
          <w:lang w:val="en-US" w:eastAsia="zh-CN"/>
        </w:rPr>
        <w:t>环境保护法规、规章</w:t>
      </w:r>
    </w:p>
    <w:p w14:paraId="1D40AD04">
      <w:pPr>
        <w:pStyle w:val="79"/>
        <w:bidi w:val="0"/>
        <w:rPr>
          <w:rFonts w:hint="default"/>
          <w:color w:val="auto"/>
        </w:rPr>
      </w:pPr>
      <w:r>
        <w:rPr>
          <w:rFonts w:hint="eastAsia"/>
          <w:color w:val="auto"/>
          <w:lang w:val="en-US" w:eastAsia="zh-CN"/>
        </w:rPr>
        <w:t>环境保护相关法规、规章</w:t>
      </w:r>
      <w:r>
        <w:rPr>
          <w:rFonts w:hint="eastAsia"/>
          <w:color w:val="auto"/>
          <w:lang w:eastAsia="zh-CN"/>
        </w:rPr>
        <w:t>，</w:t>
      </w:r>
      <w:r>
        <w:rPr>
          <w:rFonts w:hint="default"/>
          <w:color w:val="auto"/>
        </w:rPr>
        <w:t>见表2.</w:t>
      </w:r>
      <w:r>
        <w:rPr>
          <w:rFonts w:hint="eastAsia"/>
          <w:color w:val="auto"/>
          <w:lang w:val="en-US" w:eastAsia="zh-CN"/>
        </w:rPr>
        <w:t>1</w:t>
      </w:r>
      <w:r>
        <w:rPr>
          <w:rFonts w:hint="default"/>
          <w:color w:val="auto"/>
        </w:rPr>
        <w:t>-</w:t>
      </w:r>
      <w:r>
        <w:rPr>
          <w:rFonts w:hint="eastAsia"/>
          <w:color w:val="auto"/>
          <w:lang w:val="en-US" w:eastAsia="zh-CN"/>
        </w:rPr>
        <w:t>2</w:t>
      </w:r>
      <w:r>
        <w:rPr>
          <w:rFonts w:hint="default"/>
          <w:color w:val="auto"/>
        </w:rPr>
        <w:t>。</w:t>
      </w:r>
    </w:p>
    <w:p w14:paraId="762AE02E">
      <w:pPr>
        <w:pStyle w:val="61"/>
        <w:keepNext w:val="0"/>
        <w:keepLines w:val="0"/>
        <w:pageBreakBefore w:val="0"/>
        <w:widowControl w:val="0"/>
        <w:kinsoku/>
        <w:wordWrap/>
        <w:overflowPunct/>
        <w:topLinePunct w:val="0"/>
        <w:autoSpaceDE/>
        <w:autoSpaceDN/>
        <w:bidi w:val="0"/>
        <w:adjustRightInd/>
        <w:snapToGrid/>
        <w:spacing w:line="480" w:lineRule="exact"/>
        <w:ind w:firstLine="420" w:firstLineChars="200"/>
        <w:jc w:val="both"/>
        <w:textAlignment w:val="auto"/>
        <w:rPr>
          <w:rFonts w:hint="default" w:ascii="黑体" w:hAnsi="黑体" w:eastAsia="黑体" w:cs="黑体"/>
          <w:b/>
          <w:bCs w:val="0"/>
          <w:color w:val="auto"/>
          <w:sz w:val="21"/>
          <w:szCs w:val="21"/>
        </w:rPr>
      </w:pPr>
      <w:r>
        <w:rPr>
          <w:rFonts w:hint="eastAsia" w:ascii="黑体" w:hAnsi="黑体" w:eastAsia="黑体" w:cs="黑体"/>
          <w:b/>
          <w:bCs w:val="0"/>
          <w:color w:val="auto"/>
          <w:sz w:val="21"/>
          <w:szCs w:val="21"/>
        </w:rPr>
        <w:t>表2.</w:t>
      </w:r>
      <w:r>
        <w:rPr>
          <w:rFonts w:hint="eastAsia" w:ascii="黑体" w:hAnsi="黑体" w:eastAsia="黑体" w:cs="黑体"/>
          <w:b/>
          <w:bCs w:val="0"/>
          <w:color w:val="auto"/>
          <w:sz w:val="21"/>
          <w:szCs w:val="21"/>
          <w:lang w:val="en-US" w:eastAsia="zh-CN"/>
        </w:rPr>
        <w:t>1</w:t>
      </w:r>
      <w:r>
        <w:rPr>
          <w:rFonts w:hint="eastAsia" w:ascii="黑体" w:hAnsi="黑体" w:eastAsia="黑体" w:cs="黑体"/>
          <w:b/>
          <w:bCs w:val="0"/>
          <w:color w:val="auto"/>
          <w:sz w:val="21"/>
          <w:szCs w:val="21"/>
        </w:rPr>
        <w:t>-</w:t>
      </w:r>
      <w:r>
        <w:rPr>
          <w:rFonts w:hint="eastAsia" w:ascii="黑体" w:hAnsi="黑体" w:eastAsia="黑体" w:cs="黑体"/>
          <w:b/>
          <w:bCs w:val="0"/>
          <w:color w:val="auto"/>
          <w:sz w:val="21"/>
          <w:szCs w:val="21"/>
          <w:lang w:val="en-US" w:eastAsia="zh-CN"/>
        </w:rPr>
        <w:t>2   环境保护</w:t>
      </w:r>
      <w:r>
        <w:rPr>
          <w:rFonts w:hint="eastAsia" w:ascii="黑体" w:hAnsi="黑体" w:eastAsia="黑体" w:cs="黑体"/>
          <w:b/>
          <w:bCs w:val="0"/>
          <w:color w:val="auto"/>
          <w:sz w:val="21"/>
          <w:szCs w:val="21"/>
          <w:lang w:eastAsia="zh-CN"/>
        </w:rPr>
        <w:t>法规</w:t>
      </w:r>
      <w:r>
        <w:rPr>
          <w:rFonts w:hint="eastAsia" w:ascii="黑体" w:hAnsi="黑体" w:eastAsia="黑体" w:cs="黑体"/>
          <w:b/>
          <w:bCs w:val="0"/>
          <w:color w:val="auto"/>
          <w:sz w:val="21"/>
          <w:szCs w:val="21"/>
        </w:rPr>
        <w:t>、规章一览表</w:t>
      </w:r>
    </w:p>
    <w:tbl>
      <w:tblPr>
        <w:tblStyle w:val="131"/>
        <w:tblW w:w="5061"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423"/>
        <w:gridCol w:w="4725"/>
        <w:gridCol w:w="2578"/>
        <w:gridCol w:w="1028"/>
      </w:tblGrid>
      <w:tr w14:paraId="3BC6450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noWrap w:val="0"/>
            <w:textDirection w:val="tbRlV"/>
            <w:vAlign w:val="center"/>
          </w:tcPr>
          <w:p w14:paraId="792D4EE1">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pacing w:val="-2"/>
                <w:sz w:val="18"/>
                <w:szCs w:val="18"/>
                <w:highlight w:val="none"/>
              </w:rPr>
              <w:t>序号</w:t>
            </w:r>
          </w:p>
        </w:tc>
        <w:tc>
          <w:tcPr>
            <w:tcW w:w="2699" w:type="pct"/>
            <w:tcBorders>
              <w:tl2br w:val="nil"/>
              <w:tr2bl w:val="nil"/>
            </w:tcBorders>
            <w:noWrap w:val="0"/>
            <w:vAlign w:val="center"/>
          </w:tcPr>
          <w:p w14:paraId="58D690FC">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pacing w:val="8"/>
                <w:sz w:val="18"/>
                <w:szCs w:val="18"/>
                <w:highlight w:val="none"/>
              </w:rPr>
              <w:t>依据名</w:t>
            </w:r>
            <w:r>
              <w:rPr>
                <w:rFonts w:hint="default" w:ascii="Times New Roman" w:hAnsi="Times New Roman" w:eastAsia="宋体" w:cs="Times New Roman"/>
                <w:color w:val="auto"/>
                <w:spacing w:val="7"/>
                <w:sz w:val="18"/>
                <w:szCs w:val="18"/>
                <w:highlight w:val="none"/>
              </w:rPr>
              <w:t>称</w:t>
            </w:r>
          </w:p>
        </w:tc>
        <w:tc>
          <w:tcPr>
            <w:tcW w:w="1472" w:type="pct"/>
            <w:tcBorders>
              <w:tl2br w:val="nil"/>
              <w:tr2bl w:val="nil"/>
            </w:tcBorders>
            <w:noWrap w:val="0"/>
            <w:vAlign w:val="center"/>
          </w:tcPr>
          <w:p w14:paraId="433DF623">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pacing w:val="11"/>
                <w:sz w:val="18"/>
                <w:szCs w:val="18"/>
                <w:highlight w:val="none"/>
              </w:rPr>
              <w:t>会</w:t>
            </w:r>
            <w:r>
              <w:rPr>
                <w:rFonts w:hint="default" w:ascii="Times New Roman" w:hAnsi="Times New Roman" w:eastAsia="宋体" w:cs="Times New Roman"/>
                <w:color w:val="auto"/>
                <w:spacing w:val="9"/>
                <w:sz w:val="18"/>
                <w:szCs w:val="18"/>
                <w:highlight w:val="none"/>
              </w:rPr>
              <w:t>议、主席令、文号</w:t>
            </w:r>
          </w:p>
        </w:tc>
        <w:tc>
          <w:tcPr>
            <w:tcW w:w="587" w:type="pct"/>
            <w:tcBorders>
              <w:tl2br w:val="nil"/>
              <w:tr2bl w:val="nil"/>
            </w:tcBorders>
            <w:noWrap w:val="0"/>
            <w:vAlign w:val="center"/>
          </w:tcPr>
          <w:p w14:paraId="1C13B810">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pacing w:val="7"/>
                <w:sz w:val="18"/>
                <w:szCs w:val="18"/>
                <w:highlight w:val="none"/>
              </w:rPr>
              <w:t>实施时间</w:t>
            </w:r>
          </w:p>
        </w:tc>
      </w:tr>
      <w:tr w14:paraId="17756D0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noWrap w:val="0"/>
            <w:vAlign w:val="center"/>
          </w:tcPr>
          <w:p w14:paraId="712A2C74">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一</w:t>
            </w:r>
          </w:p>
        </w:tc>
        <w:tc>
          <w:tcPr>
            <w:tcW w:w="2699" w:type="pct"/>
            <w:tcBorders>
              <w:tl2br w:val="nil"/>
              <w:tr2bl w:val="nil"/>
            </w:tcBorders>
            <w:noWrap w:val="0"/>
            <w:vAlign w:val="center"/>
          </w:tcPr>
          <w:p w14:paraId="425E0F9D">
            <w:pPr>
              <w:keepNext w:val="0"/>
              <w:keepLines w:val="0"/>
              <w:pageBreakBefore w:val="0"/>
              <w:widowControl w:val="0"/>
              <w:kinsoku/>
              <w:wordWrap/>
              <w:overflowPunct/>
              <w:topLinePunct w:val="0"/>
              <w:autoSpaceDE/>
              <w:autoSpaceDN/>
              <w:bidi w:val="0"/>
              <w:adjustRightInd/>
              <w:snapToGrid/>
              <w:spacing w:line="400" w:lineRule="exact"/>
              <w:ind w:left="0"/>
              <w:jc w:val="left"/>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pacing w:val="10"/>
                <w:sz w:val="18"/>
                <w:szCs w:val="18"/>
                <w:highlight w:val="none"/>
              </w:rPr>
              <w:t>行政法规与国务院发布的规范性文</w:t>
            </w:r>
            <w:r>
              <w:rPr>
                <w:rFonts w:hint="default" w:ascii="Times New Roman" w:hAnsi="Times New Roman" w:eastAsia="宋体" w:cs="Times New Roman"/>
                <w:b/>
                <w:bCs/>
                <w:color w:val="auto"/>
                <w:spacing w:val="9"/>
                <w:sz w:val="18"/>
                <w:szCs w:val="18"/>
                <w:highlight w:val="none"/>
              </w:rPr>
              <w:t>件</w:t>
            </w:r>
          </w:p>
        </w:tc>
        <w:tc>
          <w:tcPr>
            <w:tcW w:w="1472" w:type="pct"/>
            <w:tcBorders>
              <w:tl2br w:val="nil"/>
              <w:tr2bl w:val="nil"/>
            </w:tcBorders>
            <w:noWrap w:val="0"/>
            <w:vAlign w:val="center"/>
          </w:tcPr>
          <w:p w14:paraId="6C31CBBF">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rPr>
            </w:pPr>
          </w:p>
        </w:tc>
        <w:tc>
          <w:tcPr>
            <w:tcW w:w="587" w:type="pct"/>
            <w:tcBorders>
              <w:tl2br w:val="nil"/>
              <w:tr2bl w:val="nil"/>
            </w:tcBorders>
            <w:noWrap w:val="0"/>
            <w:vAlign w:val="center"/>
          </w:tcPr>
          <w:p w14:paraId="07C4F6A0">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rPr>
            </w:pPr>
          </w:p>
        </w:tc>
      </w:tr>
      <w:tr w14:paraId="5908862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noWrap w:val="0"/>
            <w:vAlign w:val="center"/>
          </w:tcPr>
          <w:p w14:paraId="426EDEFD">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c>
          <w:tcPr>
            <w:tcW w:w="2699" w:type="pct"/>
            <w:tcBorders>
              <w:tl2br w:val="nil"/>
              <w:tr2bl w:val="nil"/>
            </w:tcBorders>
            <w:noWrap w:val="0"/>
            <w:vAlign w:val="center"/>
          </w:tcPr>
          <w:p w14:paraId="60BD9E61">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建设项目环境保护管理条例</w:t>
            </w:r>
            <w:r>
              <w:rPr>
                <w:rFonts w:hint="default" w:ascii="Times New Roman" w:hAnsi="Times New Roman" w:eastAsia="宋体" w:cs="Times New Roman"/>
                <w:color w:val="auto"/>
                <w:sz w:val="18"/>
                <w:szCs w:val="18"/>
                <w:highlight w:val="none"/>
              </w:rPr>
              <w:t>（2017年修正）</w:t>
            </w:r>
          </w:p>
        </w:tc>
        <w:tc>
          <w:tcPr>
            <w:tcW w:w="1472" w:type="pct"/>
            <w:tcBorders>
              <w:tl2br w:val="nil"/>
              <w:tr2bl w:val="nil"/>
            </w:tcBorders>
            <w:noWrap w:val="0"/>
            <w:vAlign w:val="center"/>
          </w:tcPr>
          <w:p w14:paraId="7EBFF416">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国务院令682号</w:t>
            </w:r>
          </w:p>
        </w:tc>
        <w:tc>
          <w:tcPr>
            <w:tcW w:w="587" w:type="pct"/>
            <w:tcBorders>
              <w:tl2br w:val="nil"/>
              <w:tr2bl w:val="nil"/>
            </w:tcBorders>
            <w:noWrap w:val="0"/>
            <w:vAlign w:val="center"/>
          </w:tcPr>
          <w:p w14:paraId="40FC5ECB">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2017-10-01</w:t>
            </w:r>
          </w:p>
        </w:tc>
      </w:tr>
      <w:tr w14:paraId="2785E23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noWrap w:val="0"/>
            <w:vAlign w:val="center"/>
          </w:tcPr>
          <w:p w14:paraId="7ADE5FFD">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w:t>
            </w:r>
          </w:p>
        </w:tc>
        <w:tc>
          <w:tcPr>
            <w:tcW w:w="2699" w:type="pct"/>
            <w:tcBorders>
              <w:tl2br w:val="nil"/>
              <w:tr2bl w:val="nil"/>
            </w:tcBorders>
            <w:noWrap w:val="0"/>
            <w:vAlign w:val="center"/>
          </w:tcPr>
          <w:p w14:paraId="01BBF0CF">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中华人民共和国野生植物保护条例（2017年修正）</w:t>
            </w:r>
          </w:p>
        </w:tc>
        <w:tc>
          <w:tcPr>
            <w:tcW w:w="1472" w:type="pct"/>
            <w:tcBorders>
              <w:tl2br w:val="nil"/>
              <w:tr2bl w:val="nil"/>
            </w:tcBorders>
            <w:noWrap w:val="0"/>
            <w:vAlign w:val="center"/>
          </w:tcPr>
          <w:p w14:paraId="5728F8F1">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国务院令687号</w:t>
            </w:r>
          </w:p>
        </w:tc>
        <w:tc>
          <w:tcPr>
            <w:tcW w:w="587" w:type="pct"/>
            <w:tcBorders>
              <w:tl2br w:val="nil"/>
              <w:tr2bl w:val="nil"/>
            </w:tcBorders>
            <w:noWrap w:val="0"/>
            <w:vAlign w:val="center"/>
          </w:tcPr>
          <w:p w14:paraId="13D5D580">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2017-10-07</w:t>
            </w:r>
          </w:p>
        </w:tc>
      </w:tr>
      <w:tr w14:paraId="68ADFCA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noWrap w:val="0"/>
            <w:vAlign w:val="center"/>
          </w:tcPr>
          <w:p w14:paraId="39EDB62B">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w:t>
            </w:r>
          </w:p>
        </w:tc>
        <w:tc>
          <w:tcPr>
            <w:tcW w:w="2699" w:type="pct"/>
            <w:tcBorders>
              <w:tl2br w:val="nil"/>
              <w:tr2bl w:val="nil"/>
            </w:tcBorders>
            <w:noWrap w:val="0"/>
            <w:vAlign w:val="center"/>
          </w:tcPr>
          <w:p w14:paraId="259EA494">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地下水管理条例</w:t>
            </w:r>
          </w:p>
        </w:tc>
        <w:tc>
          <w:tcPr>
            <w:tcW w:w="1472" w:type="pct"/>
            <w:tcBorders>
              <w:tl2br w:val="nil"/>
              <w:tr2bl w:val="nil"/>
            </w:tcBorders>
            <w:noWrap w:val="0"/>
            <w:vAlign w:val="center"/>
          </w:tcPr>
          <w:p w14:paraId="2C93FA74">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国务院令748号</w:t>
            </w:r>
          </w:p>
        </w:tc>
        <w:tc>
          <w:tcPr>
            <w:tcW w:w="587" w:type="pct"/>
            <w:tcBorders>
              <w:tl2br w:val="nil"/>
              <w:tr2bl w:val="nil"/>
            </w:tcBorders>
            <w:noWrap w:val="0"/>
            <w:vAlign w:val="center"/>
          </w:tcPr>
          <w:p w14:paraId="57C76B4C">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2021-12-01</w:t>
            </w:r>
          </w:p>
        </w:tc>
      </w:tr>
      <w:tr w14:paraId="5CA72A7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noWrap w:val="0"/>
            <w:vAlign w:val="center"/>
          </w:tcPr>
          <w:p w14:paraId="37BD3DC5">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w:t>
            </w:r>
          </w:p>
        </w:tc>
        <w:tc>
          <w:tcPr>
            <w:tcW w:w="2699" w:type="pct"/>
            <w:tcBorders>
              <w:tl2br w:val="nil"/>
              <w:tr2bl w:val="nil"/>
            </w:tcBorders>
            <w:noWrap w:val="0"/>
            <w:vAlign w:val="center"/>
          </w:tcPr>
          <w:p w14:paraId="41577096">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危险化学品安全管理条例（2013年修正）</w:t>
            </w:r>
          </w:p>
        </w:tc>
        <w:tc>
          <w:tcPr>
            <w:tcW w:w="1472" w:type="pct"/>
            <w:tcBorders>
              <w:tl2br w:val="nil"/>
              <w:tr2bl w:val="nil"/>
            </w:tcBorders>
            <w:noWrap w:val="0"/>
            <w:vAlign w:val="center"/>
          </w:tcPr>
          <w:p w14:paraId="1B40FD20">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国务院令645号</w:t>
            </w:r>
          </w:p>
        </w:tc>
        <w:tc>
          <w:tcPr>
            <w:tcW w:w="587" w:type="pct"/>
            <w:tcBorders>
              <w:tl2br w:val="nil"/>
              <w:tr2bl w:val="nil"/>
            </w:tcBorders>
            <w:noWrap w:val="0"/>
            <w:vAlign w:val="center"/>
          </w:tcPr>
          <w:p w14:paraId="7710C97A">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2013-12-07</w:t>
            </w:r>
          </w:p>
        </w:tc>
      </w:tr>
      <w:tr w14:paraId="535A9A7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noWrap w:val="0"/>
            <w:vAlign w:val="center"/>
          </w:tcPr>
          <w:p w14:paraId="4CBE360F">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w:t>
            </w:r>
          </w:p>
        </w:tc>
        <w:tc>
          <w:tcPr>
            <w:tcW w:w="2699" w:type="pct"/>
            <w:tcBorders>
              <w:tl2br w:val="nil"/>
              <w:tr2bl w:val="nil"/>
            </w:tcBorders>
            <w:noWrap w:val="0"/>
            <w:vAlign w:val="center"/>
          </w:tcPr>
          <w:p w14:paraId="58003E65">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中华人民共和国土地管理法实施条例（2021年修订）</w:t>
            </w:r>
          </w:p>
        </w:tc>
        <w:tc>
          <w:tcPr>
            <w:tcW w:w="1472" w:type="pct"/>
            <w:tcBorders>
              <w:tl2br w:val="nil"/>
              <w:tr2bl w:val="nil"/>
            </w:tcBorders>
            <w:noWrap w:val="0"/>
            <w:vAlign w:val="center"/>
          </w:tcPr>
          <w:p w14:paraId="695B6BB9">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国务院令743号</w:t>
            </w:r>
          </w:p>
        </w:tc>
        <w:tc>
          <w:tcPr>
            <w:tcW w:w="587" w:type="pct"/>
            <w:tcBorders>
              <w:tl2br w:val="nil"/>
              <w:tr2bl w:val="nil"/>
            </w:tcBorders>
            <w:noWrap w:val="0"/>
            <w:vAlign w:val="center"/>
          </w:tcPr>
          <w:p w14:paraId="396A269E">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2021-09-01</w:t>
            </w:r>
          </w:p>
        </w:tc>
      </w:tr>
      <w:tr w14:paraId="317AE41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noWrap w:val="0"/>
            <w:vAlign w:val="center"/>
          </w:tcPr>
          <w:p w14:paraId="306967C6">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w:t>
            </w:r>
          </w:p>
        </w:tc>
        <w:tc>
          <w:tcPr>
            <w:tcW w:w="2699" w:type="pct"/>
            <w:tcBorders>
              <w:tl2br w:val="nil"/>
              <w:tr2bl w:val="nil"/>
            </w:tcBorders>
            <w:noWrap w:val="0"/>
            <w:vAlign w:val="center"/>
          </w:tcPr>
          <w:p w14:paraId="2E398B56">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国务院关于印发水污染防治行动计划的通知</w:t>
            </w:r>
          </w:p>
        </w:tc>
        <w:tc>
          <w:tcPr>
            <w:tcW w:w="1472" w:type="pct"/>
            <w:tcBorders>
              <w:tl2br w:val="nil"/>
              <w:tr2bl w:val="nil"/>
            </w:tcBorders>
            <w:noWrap w:val="0"/>
            <w:vAlign w:val="center"/>
          </w:tcPr>
          <w:p w14:paraId="365F465A">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国发〔2015〕17号</w:t>
            </w:r>
          </w:p>
        </w:tc>
        <w:tc>
          <w:tcPr>
            <w:tcW w:w="587" w:type="pct"/>
            <w:tcBorders>
              <w:tl2br w:val="nil"/>
              <w:tr2bl w:val="nil"/>
            </w:tcBorders>
            <w:noWrap w:val="0"/>
            <w:vAlign w:val="center"/>
          </w:tcPr>
          <w:p w14:paraId="1D71D240">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2015-04-02</w:t>
            </w:r>
          </w:p>
        </w:tc>
      </w:tr>
      <w:tr w14:paraId="10BD359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noWrap w:val="0"/>
            <w:vAlign w:val="center"/>
          </w:tcPr>
          <w:p w14:paraId="33A11521">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7</w:t>
            </w:r>
          </w:p>
        </w:tc>
        <w:tc>
          <w:tcPr>
            <w:tcW w:w="2699" w:type="pct"/>
            <w:tcBorders>
              <w:tl2br w:val="nil"/>
              <w:tr2bl w:val="nil"/>
            </w:tcBorders>
            <w:noWrap w:val="0"/>
            <w:vAlign w:val="center"/>
          </w:tcPr>
          <w:p w14:paraId="5A9B68F8">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国务院关于印发大气污染防治行动计划的通知</w:t>
            </w:r>
          </w:p>
        </w:tc>
        <w:tc>
          <w:tcPr>
            <w:tcW w:w="1472" w:type="pct"/>
            <w:tcBorders>
              <w:tl2br w:val="nil"/>
              <w:tr2bl w:val="nil"/>
            </w:tcBorders>
            <w:noWrap w:val="0"/>
            <w:vAlign w:val="center"/>
          </w:tcPr>
          <w:p w14:paraId="6B5077E6">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国发〔2013〕37号</w:t>
            </w:r>
          </w:p>
        </w:tc>
        <w:tc>
          <w:tcPr>
            <w:tcW w:w="587" w:type="pct"/>
            <w:tcBorders>
              <w:tl2br w:val="nil"/>
              <w:tr2bl w:val="nil"/>
            </w:tcBorders>
            <w:noWrap w:val="0"/>
            <w:vAlign w:val="center"/>
          </w:tcPr>
          <w:p w14:paraId="1DD79C6B">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2013-9-10</w:t>
            </w:r>
          </w:p>
        </w:tc>
      </w:tr>
      <w:tr w14:paraId="2D60902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noWrap w:val="0"/>
            <w:vAlign w:val="center"/>
          </w:tcPr>
          <w:p w14:paraId="5C9CFD9E">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8</w:t>
            </w:r>
          </w:p>
        </w:tc>
        <w:tc>
          <w:tcPr>
            <w:tcW w:w="2699" w:type="pct"/>
            <w:tcBorders>
              <w:tl2br w:val="nil"/>
              <w:tr2bl w:val="nil"/>
            </w:tcBorders>
            <w:noWrap w:val="0"/>
            <w:vAlign w:val="center"/>
          </w:tcPr>
          <w:p w14:paraId="19093C46">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国务院关于印发土壤污染防治行动计划的通知</w:t>
            </w:r>
          </w:p>
        </w:tc>
        <w:tc>
          <w:tcPr>
            <w:tcW w:w="1472" w:type="pct"/>
            <w:tcBorders>
              <w:tl2br w:val="nil"/>
              <w:tr2bl w:val="nil"/>
            </w:tcBorders>
            <w:noWrap w:val="0"/>
            <w:vAlign w:val="center"/>
          </w:tcPr>
          <w:p w14:paraId="0C978815">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国发〔2016〕31号</w:t>
            </w:r>
          </w:p>
        </w:tc>
        <w:tc>
          <w:tcPr>
            <w:tcW w:w="587" w:type="pct"/>
            <w:tcBorders>
              <w:tl2br w:val="nil"/>
              <w:tr2bl w:val="nil"/>
            </w:tcBorders>
            <w:noWrap w:val="0"/>
            <w:vAlign w:val="center"/>
          </w:tcPr>
          <w:p w14:paraId="6B09FD69">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2016-05-28</w:t>
            </w:r>
          </w:p>
        </w:tc>
      </w:tr>
      <w:tr w14:paraId="1796A48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noWrap w:val="0"/>
            <w:vAlign w:val="center"/>
          </w:tcPr>
          <w:p w14:paraId="008E032B">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w:t>
            </w:r>
          </w:p>
        </w:tc>
        <w:tc>
          <w:tcPr>
            <w:tcW w:w="2699" w:type="pct"/>
            <w:tcBorders>
              <w:tl2br w:val="nil"/>
              <w:tr2bl w:val="nil"/>
            </w:tcBorders>
            <w:noWrap w:val="0"/>
            <w:vAlign w:val="center"/>
          </w:tcPr>
          <w:p w14:paraId="57C319AD">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中华人民共和国水土保持法实施条例（2011年修订）</w:t>
            </w:r>
          </w:p>
        </w:tc>
        <w:tc>
          <w:tcPr>
            <w:tcW w:w="1472" w:type="pct"/>
            <w:tcBorders>
              <w:tl2br w:val="nil"/>
              <w:tr2bl w:val="nil"/>
            </w:tcBorders>
            <w:noWrap w:val="0"/>
            <w:vAlign w:val="center"/>
          </w:tcPr>
          <w:p w14:paraId="7812B7C1">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国务院令第120号</w:t>
            </w:r>
          </w:p>
        </w:tc>
        <w:tc>
          <w:tcPr>
            <w:tcW w:w="587" w:type="pct"/>
            <w:tcBorders>
              <w:tl2br w:val="nil"/>
              <w:tr2bl w:val="nil"/>
            </w:tcBorders>
            <w:noWrap w:val="0"/>
            <w:vAlign w:val="center"/>
          </w:tcPr>
          <w:p w14:paraId="5CD72E0F">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2011-01-08</w:t>
            </w:r>
          </w:p>
        </w:tc>
      </w:tr>
      <w:tr w14:paraId="4000C50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noWrap w:val="0"/>
            <w:vAlign w:val="center"/>
          </w:tcPr>
          <w:p w14:paraId="066C8F08">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10</w:t>
            </w:r>
          </w:p>
        </w:tc>
        <w:tc>
          <w:tcPr>
            <w:tcW w:w="2699" w:type="pct"/>
            <w:tcBorders>
              <w:tl2br w:val="nil"/>
              <w:tr2bl w:val="nil"/>
            </w:tcBorders>
            <w:noWrap w:val="0"/>
            <w:vAlign w:val="center"/>
          </w:tcPr>
          <w:p w14:paraId="70E3F9F9">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中共中央 国务院关于深入打好污染防治攻坚战的意见</w:t>
            </w:r>
          </w:p>
        </w:tc>
        <w:tc>
          <w:tcPr>
            <w:tcW w:w="1472" w:type="pct"/>
            <w:tcBorders>
              <w:tl2br w:val="nil"/>
              <w:tr2bl w:val="nil"/>
            </w:tcBorders>
            <w:noWrap w:val="0"/>
            <w:vAlign w:val="center"/>
          </w:tcPr>
          <w:p w14:paraId="558197AE">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新华社北京11月7日电</w:t>
            </w:r>
          </w:p>
        </w:tc>
        <w:tc>
          <w:tcPr>
            <w:tcW w:w="587" w:type="pct"/>
            <w:tcBorders>
              <w:tl2br w:val="nil"/>
              <w:tr2bl w:val="nil"/>
            </w:tcBorders>
            <w:noWrap w:val="0"/>
            <w:vAlign w:val="center"/>
          </w:tcPr>
          <w:p w14:paraId="1411A5A7">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2021-11-07</w:t>
            </w:r>
          </w:p>
        </w:tc>
      </w:tr>
      <w:tr w14:paraId="3442A84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noWrap w:val="0"/>
            <w:vAlign w:val="center"/>
          </w:tcPr>
          <w:p w14:paraId="0B8CA44C">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b/>
                <w:bCs/>
                <w:color w:val="auto"/>
                <w:sz w:val="18"/>
                <w:szCs w:val="18"/>
                <w:highlight w:val="none"/>
                <w:lang w:eastAsia="zh-CN"/>
              </w:rPr>
            </w:pPr>
            <w:r>
              <w:rPr>
                <w:rFonts w:hint="default" w:ascii="Times New Roman" w:hAnsi="Times New Roman" w:eastAsia="宋体" w:cs="Times New Roman"/>
                <w:b/>
                <w:bCs/>
                <w:color w:val="auto"/>
                <w:spacing w:val="2"/>
                <w:position w:val="1"/>
                <w:sz w:val="18"/>
                <w:szCs w:val="18"/>
                <w:highlight w:val="none"/>
                <w:lang w:val="en-US" w:eastAsia="zh-CN"/>
              </w:rPr>
              <w:t>二</w:t>
            </w:r>
          </w:p>
        </w:tc>
        <w:tc>
          <w:tcPr>
            <w:tcW w:w="2699" w:type="pct"/>
            <w:tcBorders>
              <w:tl2br w:val="nil"/>
              <w:tr2bl w:val="nil"/>
            </w:tcBorders>
            <w:noWrap w:val="0"/>
            <w:vAlign w:val="center"/>
          </w:tcPr>
          <w:p w14:paraId="3714D980">
            <w:pPr>
              <w:keepNext w:val="0"/>
              <w:keepLines w:val="0"/>
              <w:pageBreakBefore w:val="0"/>
              <w:widowControl w:val="0"/>
              <w:kinsoku/>
              <w:wordWrap/>
              <w:overflowPunct/>
              <w:topLinePunct w:val="0"/>
              <w:autoSpaceDE/>
              <w:autoSpaceDN/>
              <w:bidi w:val="0"/>
              <w:adjustRightInd/>
              <w:snapToGrid/>
              <w:spacing w:line="400" w:lineRule="exact"/>
              <w:ind w:left="0"/>
              <w:jc w:val="left"/>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pacing w:val="10"/>
                <w:sz w:val="18"/>
                <w:szCs w:val="18"/>
                <w:highlight w:val="none"/>
              </w:rPr>
              <w:t>部门规章与部门发布的规范性文件</w:t>
            </w:r>
          </w:p>
        </w:tc>
        <w:tc>
          <w:tcPr>
            <w:tcW w:w="1472" w:type="pct"/>
            <w:tcBorders>
              <w:tl2br w:val="nil"/>
              <w:tr2bl w:val="nil"/>
            </w:tcBorders>
            <w:noWrap w:val="0"/>
            <w:vAlign w:val="center"/>
          </w:tcPr>
          <w:p w14:paraId="7D12AFEC">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rPr>
            </w:pPr>
          </w:p>
        </w:tc>
        <w:tc>
          <w:tcPr>
            <w:tcW w:w="587" w:type="pct"/>
            <w:tcBorders>
              <w:tl2br w:val="nil"/>
              <w:tr2bl w:val="nil"/>
            </w:tcBorders>
            <w:noWrap w:val="0"/>
            <w:vAlign w:val="center"/>
          </w:tcPr>
          <w:p w14:paraId="0DE725A1">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rPr>
            </w:pPr>
          </w:p>
        </w:tc>
      </w:tr>
      <w:tr w14:paraId="42E56D4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noWrap w:val="0"/>
            <w:vAlign w:val="center"/>
          </w:tcPr>
          <w:p w14:paraId="716048B7">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c>
          <w:tcPr>
            <w:tcW w:w="2699" w:type="pct"/>
            <w:tcBorders>
              <w:tl2br w:val="nil"/>
              <w:tr2bl w:val="nil"/>
            </w:tcBorders>
            <w:noWrap w:val="0"/>
            <w:vAlign w:val="center"/>
          </w:tcPr>
          <w:p w14:paraId="01A0D7AD">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建设项目环境影响评价分类管理名录（2021年版）</w:t>
            </w:r>
          </w:p>
        </w:tc>
        <w:tc>
          <w:tcPr>
            <w:tcW w:w="1472" w:type="pct"/>
            <w:tcBorders>
              <w:tl2br w:val="nil"/>
              <w:tr2bl w:val="nil"/>
            </w:tcBorders>
            <w:noWrap w:val="0"/>
            <w:vAlign w:val="center"/>
          </w:tcPr>
          <w:p w14:paraId="44E0FBC4">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生态环境部令第16号</w:t>
            </w:r>
          </w:p>
        </w:tc>
        <w:tc>
          <w:tcPr>
            <w:tcW w:w="587" w:type="pct"/>
            <w:tcBorders>
              <w:tl2br w:val="nil"/>
              <w:tr2bl w:val="nil"/>
            </w:tcBorders>
            <w:noWrap w:val="0"/>
            <w:vAlign w:val="center"/>
          </w:tcPr>
          <w:p w14:paraId="5D68B0BB">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2021-01-01</w:t>
            </w:r>
          </w:p>
        </w:tc>
      </w:tr>
      <w:tr w14:paraId="4DB7BEB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noWrap w:val="0"/>
            <w:vAlign w:val="center"/>
          </w:tcPr>
          <w:p w14:paraId="5E4CFA3F">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w:t>
            </w:r>
          </w:p>
        </w:tc>
        <w:tc>
          <w:tcPr>
            <w:tcW w:w="2699" w:type="pct"/>
            <w:tcBorders>
              <w:tl2br w:val="nil"/>
              <w:tr2bl w:val="nil"/>
            </w:tcBorders>
            <w:noWrap w:val="0"/>
            <w:vAlign w:val="center"/>
          </w:tcPr>
          <w:p w14:paraId="48BF398F">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环境影响评价公众参与办法</w:t>
            </w:r>
          </w:p>
        </w:tc>
        <w:tc>
          <w:tcPr>
            <w:tcW w:w="1472" w:type="pct"/>
            <w:tcBorders>
              <w:tl2br w:val="nil"/>
              <w:tr2bl w:val="nil"/>
            </w:tcBorders>
            <w:noWrap w:val="0"/>
            <w:vAlign w:val="center"/>
          </w:tcPr>
          <w:p w14:paraId="7A44371D">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生态环境部令第4号</w:t>
            </w:r>
          </w:p>
        </w:tc>
        <w:tc>
          <w:tcPr>
            <w:tcW w:w="587" w:type="pct"/>
            <w:tcBorders>
              <w:tl2br w:val="nil"/>
              <w:tr2bl w:val="nil"/>
            </w:tcBorders>
            <w:noWrap w:val="0"/>
            <w:vAlign w:val="center"/>
          </w:tcPr>
          <w:p w14:paraId="1939455E">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2019-01-01</w:t>
            </w:r>
          </w:p>
        </w:tc>
      </w:tr>
      <w:tr w14:paraId="0A279F0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noWrap w:val="0"/>
            <w:vAlign w:val="center"/>
          </w:tcPr>
          <w:p w14:paraId="26D1B0AC">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w:t>
            </w:r>
          </w:p>
        </w:tc>
        <w:tc>
          <w:tcPr>
            <w:tcW w:w="2699" w:type="pct"/>
            <w:tcBorders>
              <w:tl2br w:val="nil"/>
              <w:tr2bl w:val="nil"/>
            </w:tcBorders>
            <w:shd w:val="clear" w:color="auto" w:fill="auto"/>
            <w:noWrap w:val="0"/>
            <w:vAlign w:val="center"/>
          </w:tcPr>
          <w:p w14:paraId="5D663E79">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国家危险废物名录（2025版）</w:t>
            </w:r>
          </w:p>
        </w:tc>
        <w:tc>
          <w:tcPr>
            <w:tcW w:w="1472" w:type="pct"/>
            <w:tcBorders>
              <w:tl2br w:val="nil"/>
              <w:tr2bl w:val="nil"/>
            </w:tcBorders>
            <w:shd w:val="clear" w:color="auto" w:fill="auto"/>
            <w:noWrap w:val="0"/>
            <w:vAlign w:val="center"/>
          </w:tcPr>
          <w:p w14:paraId="72EEA931">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生态环境部、国家发展和改革委员会、公安部、交通运输部、国家卫生健康委员会令第36号公布</w:t>
            </w:r>
          </w:p>
        </w:tc>
        <w:tc>
          <w:tcPr>
            <w:tcW w:w="587" w:type="pct"/>
            <w:tcBorders>
              <w:tl2br w:val="nil"/>
              <w:tr2bl w:val="nil"/>
            </w:tcBorders>
            <w:shd w:val="clear" w:color="auto" w:fill="auto"/>
            <w:noWrap w:val="0"/>
            <w:vAlign w:val="center"/>
          </w:tcPr>
          <w:p w14:paraId="7BB697C0">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2025-01-01</w:t>
            </w:r>
          </w:p>
        </w:tc>
      </w:tr>
      <w:tr w14:paraId="4FF81F0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noWrap w:val="0"/>
            <w:vAlign w:val="center"/>
          </w:tcPr>
          <w:p w14:paraId="1F4AA914">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w:t>
            </w:r>
          </w:p>
        </w:tc>
        <w:tc>
          <w:tcPr>
            <w:tcW w:w="2699" w:type="pct"/>
            <w:tcBorders>
              <w:tl2br w:val="nil"/>
              <w:tr2bl w:val="nil"/>
            </w:tcBorders>
            <w:noWrap w:val="0"/>
            <w:vAlign w:val="center"/>
          </w:tcPr>
          <w:p w14:paraId="7E4AF78E">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产业结构调整指导目录（2024年本）</w:t>
            </w:r>
          </w:p>
        </w:tc>
        <w:tc>
          <w:tcPr>
            <w:tcW w:w="1472" w:type="pct"/>
            <w:tcBorders>
              <w:tl2br w:val="nil"/>
              <w:tr2bl w:val="nil"/>
            </w:tcBorders>
            <w:noWrap w:val="0"/>
            <w:vAlign w:val="center"/>
          </w:tcPr>
          <w:p w14:paraId="5EAC46D7">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中华人民共和国国家发展和改革委员会令 第7号</w:t>
            </w:r>
          </w:p>
        </w:tc>
        <w:tc>
          <w:tcPr>
            <w:tcW w:w="587" w:type="pct"/>
            <w:tcBorders>
              <w:tl2br w:val="nil"/>
              <w:tr2bl w:val="nil"/>
            </w:tcBorders>
            <w:noWrap w:val="0"/>
            <w:vAlign w:val="center"/>
          </w:tcPr>
          <w:p w14:paraId="11ECA766">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2024-02-01</w:t>
            </w:r>
          </w:p>
        </w:tc>
      </w:tr>
      <w:tr w14:paraId="365E69B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noWrap w:val="0"/>
            <w:vAlign w:val="center"/>
          </w:tcPr>
          <w:p w14:paraId="529FD29C">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w:t>
            </w:r>
          </w:p>
        </w:tc>
        <w:tc>
          <w:tcPr>
            <w:tcW w:w="2699" w:type="pct"/>
            <w:tcBorders>
              <w:tl2br w:val="nil"/>
              <w:tr2bl w:val="nil"/>
            </w:tcBorders>
            <w:noWrap w:val="0"/>
            <w:vAlign w:val="center"/>
          </w:tcPr>
          <w:p w14:paraId="6BC64B98">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国家重点保护野生植物名录（2021年）</w:t>
            </w:r>
          </w:p>
        </w:tc>
        <w:tc>
          <w:tcPr>
            <w:tcW w:w="1472" w:type="pct"/>
            <w:tcBorders>
              <w:tl2br w:val="nil"/>
              <w:tr2bl w:val="nil"/>
            </w:tcBorders>
            <w:noWrap w:val="0"/>
            <w:vAlign w:val="center"/>
          </w:tcPr>
          <w:p w14:paraId="203F9CA3">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国家林业和草原局农业农村部公告2021年第15号</w:t>
            </w:r>
          </w:p>
        </w:tc>
        <w:tc>
          <w:tcPr>
            <w:tcW w:w="587" w:type="pct"/>
            <w:tcBorders>
              <w:tl2br w:val="nil"/>
              <w:tr2bl w:val="nil"/>
            </w:tcBorders>
            <w:noWrap w:val="0"/>
            <w:vAlign w:val="center"/>
          </w:tcPr>
          <w:p w14:paraId="749F890A">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2021-09-07</w:t>
            </w:r>
          </w:p>
        </w:tc>
      </w:tr>
      <w:tr w14:paraId="745B093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noWrap w:val="0"/>
            <w:vAlign w:val="center"/>
          </w:tcPr>
          <w:p w14:paraId="7FE3C9CB">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w:t>
            </w:r>
          </w:p>
        </w:tc>
        <w:tc>
          <w:tcPr>
            <w:tcW w:w="2699" w:type="pct"/>
            <w:tcBorders>
              <w:tl2br w:val="nil"/>
              <w:tr2bl w:val="nil"/>
            </w:tcBorders>
            <w:noWrap w:val="0"/>
            <w:vAlign w:val="center"/>
          </w:tcPr>
          <w:p w14:paraId="0D29CE7D">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国家重点保护野生动物名录（2021）</w:t>
            </w:r>
          </w:p>
        </w:tc>
        <w:tc>
          <w:tcPr>
            <w:tcW w:w="1472" w:type="pct"/>
            <w:tcBorders>
              <w:tl2br w:val="nil"/>
              <w:tr2bl w:val="nil"/>
            </w:tcBorders>
            <w:noWrap w:val="0"/>
            <w:vAlign w:val="center"/>
          </w:tcPr>
          <w:p w14:paraId="7845EEB9">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国家林业和草原局农业农村部公告（2021年第3号）</w:t>
            </w:r>
          </w:p>
        </w:tc>
        <w:tc>
          <w:tcPr>
            <w:tcW w:w="587" w:type="pct"/>
            <w:tcBorders>
              <w:tl2br w:val="nil"/>
              <w:tr2bl w:val="nil"/>
            </w:tcBorders>
            <w:noWrap w:val="0"/>
            <w:vAlign w:val="center"/>
          </w:tcPr>
          <w:p w14:paraId="25201E75">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2021-02-05</w:t>
            </w:r>
          </w:p>
        </w:tc>
      </w:tr>
      <w:tr w14:paraId="69DD4AE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noWrap w:val="0"/>
            <w:vAlign w:val="center"/>
          </w:tcPr>
          <w:p w14:paraId="412735F3">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7</w:t>
            </w:r>
          </w:p>
        </w:tc>
        <w:tc>
          <w:tcPr>
            <w:tcW w:w="2699" w:type="pct"/>
            <w:tcBorders>
              <w:tl2br w:val="nil"/>
              <w:tr2bl w:val="nil"/>
            </w:tcBorders>
            <w:noWrap w:val="0"/>
            <w:vAlign w:val="center"/>
          </w:tcPr>
          <w:p w14:paraId="56FB0431">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关于印发《企业事业单位突发环境事件应急预案备案管理办法（试行）》的通知</w:t>
            </w:r>
          </w:p>
        </w:tc>
        <w:tc>
          <w:tcPr>
            <w:tcW w:w="1472" w:type="pct"/>
            <w:tcBorders>
              <w:tl2br w:val="nil"/>
              <w:tr2bl w:val="nil"/>
            </w:tcBorders>
            <w:noWrap w:val="0"/>
            <w:vAlign w:val="center"/>
          </w:tcPr>
          <w:p w14:paraId="2F71E9F0">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环发〔2015〕4号</w:t>
            </w:r>
          </w:p>
        </w:tc>
        <w:tc>
          <w:tcPr>
            <w:tcW w:w="587" w:type="pct"/>
            <w:tcBorders>
              <w:tl2br w:val="nil"/>
              <w:tr2bl w:val="nil"/>
            </w:tcBorders>
            <w:noWrap w:val="0"/>
            <w:vAlign w:val="center"/>
          </w:tcPr>
          <w:p w14:paraId="6A70F5C9">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2015-01-08</w:t>
            </w:r>
          </w:p>
        </w:tc>
      </w:tr>
      <w:tr w14:paraId="1019D49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noWrap w:val="0"/>
            <w:vAlign w:val="center"/>
          </w:tcPr>
          <w:p w14:paraId="7831C4AC">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8</w:t>
            </w:r>
          </w:p>
        </w:tc>
        <w:tc>
          <w:tcPr>
            <w:tcW w:w="2699" w:type="pct"/>
            <w:tcBorders>
              <w:tl2br w:val="nil"/>
              <w:tr2bl w:val="nil"/>
            </w:tcBorders>
            <w:noWrap w:val="0"/>
            <w:vAlign w:val="center"/>
          </w:tcPr>
          <w:p w14:paraId="02CBC8C6">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关于进一步加强环境影响评价管理防范环境风险的通知</w:t>
            </w:r>
          </w:p>
        </w:tc>
        <w:tc>
          <w:tcPr>
            <w:tcW w:w="1472" w:type="pct"/>
            <w:tcBorders>
              <w:tl2br w:val="nil"/>
              <w:tr2bl w:val="nil"/>
            </w:tcBorders>
            <w:noWrap w:val="0"/>
            <w:vAlign w:val="center"/>
          </w:tcPr>
          <w:p w14:paraId="6D2590BA">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环发〔2012〕77号</w:t>
            </w:r>
          </w:p>
        </w:tc>
        <w:tc>
          <w:tcPr>
            <w:tcW w:w="587" w:type="pct"/>
            <w:tcBorders>
              <w:tl2br w:val="nil"/>
              <w:tr2bl w:val="nil"/>
            </w:tcBorders>
            <w:noWrap w:val="0"/>
            <w:vAlign w:val="center"/>
          </w:tcPr>
          <w:p w14:paraId="6F4DCCBC">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2012-07-03</w:t>
            </w:r>
          </w:p>
        </w:tc>
      </w:tr>
      <w:tr w14:paraId="1076F56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noWrap w:val="0"/>
            <w:vAlign w:val="center"/>
          </w:tcPr>
          <w:p w14:paraId="4E678134">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w:t>
            </w:r>
          </w:p>
        </w:tc>
        <w:tc>
          <w:tcPr>
            <w:tcW w:w="2699" w:type="pct"/>
            <w:tcBorders>
              <w:tl2br w:val="nil"/>
              <w:tr2bl w:val="nil"/>
            </w:tcBorders>
            <w:noWrap w:val="0"/>
            <w:vAlign w:val="center"/>
          </w:tcPr>
          <w:p w14:paraId="67DA6321">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关于切实加强风险防范严格环境影响评价管理的通知</w:t>
            </w:r>
          </w:p>
        </w:tc>
        <w:tc>
          <w:tcPr>
            <w:tcW w:w="1472" w:type="pct"/>
            <w:tcBorders>
              <w:tl2br w:val="nil"/>
              <w:tr2bl w:val="nil"/>
            </w:tcBorders>
            <w:noWrap w:val="0"/>
            <w:vAlign w:val="center"/>
          </w:tcPr>
          <w:p w14:paraId="17E498B7">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环发〔2012〕98号</w:t>
            </w:r>
          </w:p>
        </w:tc>
        <w:tc>
          <w:tcPr>
            <w:tcW w:w="587" w:type="pct"/>
            <w:tcBorders>
              <w:tl2br w:val="nil"/>
              <w:tr2bl w:val="nil"/>
            </w:tcBorders>
            <w:noWrap w:val="0"/>
            <w:vAlign w:val="center"/>
          </w:tcPr>
          <w:p w14:paraId="5612AB87">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2012-08-07</w:t>
            </w:r>
          </w:p>
        </w:tc>
      </w:tr>
      <w:tr w14:paraId="6887204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noWrap w:val="0"/>
            <w:vAlign w:val="center"/>
          </w:tcPr>
          <w:p w14:paraId="37E922D6">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10</w:t>
            </w:r>
          </w:p>
        </w:tc>
        <w:tc>
          <w:tcPr>
            <w:tcW w:w="2699" w:type="pct"/>
            <w:tcBorders>
              <w:tl2br w:val="nil"/>
              <w:tr2bl w:val="nil"/>
            </w:tcBorders>
            <w:noWrap w:val="0"/>
            <w:vAlign w:val="center"/>
          </w:tcPr>
          <w:p w14:paraId="2C182778">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关于加强国家重点生态功能区环境保护和管理的意见</w:t>
            </w:r>
          </w:p>
        </w:tc>
        <w:tc>
          <w:tcPr>
            <w:tcW w:w="1472" w:type="pct"/>
            <w:tcBorders>
              <w:tl2br w:val="nil"/>
              <w:tr2bl w:val="nil"/>
            </w:tcBorders>
            <w:noWrap w:val="0"/>
            <w:vAlign w:val="center"/>
          </w:tcPr>
          <w:p w14:paraId="09FFD6DF">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环发〔2013〕16号</w:t>
            </w:r>
          </w:p>
        </w:tc>
        <w:tc>
          <w:tcPr>
            <w:tcW w:w="587" w:type="pct"/>
            <w:tcBorders>
              <w:tl2br w:val="nil"/>
              <w:tr2bl w:val="nil"/>
            </w:tcBorders>
            <w:noWrap w:val="0"/>
            <w:vAlign w:val="center"/>
          </w:tcPr>
          <w:p w14:paraId="2A4426A1">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2013-01-22</w:t>
            </w:r>
          </w:p>
        </w:tc>
      </w:tr>
      <w:tr w14:paraId="572232E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noWrap w:val="0"/>
            <w:vAlign w:val="center"/>
          </w:tcPr>
          <w:p w14:paraId="2F0AFCDC">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11</w:t>
            </w:r>
          </w:p>
        </w:tc>
        <w:tc>
          <w:tcPr>
            <w:tcW w:w="2699" w:type="pct"/>
            <w:tcBorders>
              <w:tl2br w:val="nil"/>
              <w:tr2bl w:val="nil"/>
            </w:tcBorders>
            <w:noWrap w:val="0"/>
            <w:vAlign w:val="center"/>
          </w:tcPr>
          <w:p w14:paraId="7198F843">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关于强化建设项目环境影响评价事中事后监管的实施意见</w:t>
            </w:r>
          </w:p>
        </w:tc>
        <w:tc>
          <w:tcPr>
            <w:tcW w:w="1472" w:type="pct"/>
            <w:tcBorders>
              <w:tl2br w:val="nil"/>
              <w:tr2bl w:val="nil"/>
            </w:tcBorders>
            <w:noWrap w:val="0"/>
            <w:vAlign w:val="center"/>
          </w:tcPr>
          <w:p w14:paraId="6ECA2F42">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环环评〔2018〕11号</w:t>
            </w:r>
          </w:p>
        </w:tc>
        <w:tc>
          <w:tcPr>
            <w:tcW w:w="587" w:type="pct"/>
            <w:tcBorders>
              <w:tl2br w:val="nil"/>
              <w:tr2bl w:val="nil"/>
            </w:tcBorders>
            <w:noWrap w:val="0"/>
            <w:vAlign w:val="center"/>
          </w:tcPr>
          <w:p w14:paraId="51EEF2C0">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2018-01-25</w:t>
            </w:r>
          </w:p>
        </w:tc>
      </w:tr>
      <w:tr w14:paraId="3BE2BDE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noWrap w:val="0"/>
            <w:vAlign w:val="center"/>
          </w:tcPr>
          <w:p w14:paraId="532C38B8">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12</w:t>
            </w:r>
          </w:p>
        </w:tc>
        <w:tc>
          <w:tcPr>
            <w:tcW w:w="2699" w:type="pct"/>
            <w:tcBorders>
              <w:tl2br w:val="nil"/>
              <w:tr2bl w:val="nil"/>
            </w:tcBorders>
            <w:noWrap w:val="0"/>
            <w:vAlign w:val="center"/>
          </w:tcPr>
          <w:p w14:paraId="72705AFF">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关于印发地下水污染防治实施方案的通知</w:t>
            </w:r>
          </w:p>
        </w:tc>
        <w:tc>
          <w:tcPr>
            <w:tcW w:w="1472" w:type="pct"/>
            <w:tcBorders>
              <w:tl2br w:val="nil"/>
              <w:tr2bl w:val="nil"/>
            </w:tcBorders>
            <w:noWrap w:val="0"/>
            <w:vAlign w:val="center"/>
          </w:tcPr>
          <w:p w14:paraId="4A023C5E">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环土壤〔2019〕25号</w:t>
            </w:r>
          </w:p>
        </w:tc>
        <w:tc>
          <w:tcPr>
            <w:tcW w:w="587" w:type="pct"/>
            <w:tcBorders>
              <w:tl2br w:val="nil"/>
              <w:tr2bl w:val="nil"/>
            </w:tcBorders>
            <w:noWrap w:val="0"/>
            <w:vAlign w:val="center"/>
          </w:tcPr>
          <w:p w14:paraId="08DDBC99">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2019-03-28</w:t>
            </w:r>
          </w:p>
        </w:tc>
      </w:tr>
      <w:tr w14:paraId="5AD2D7F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noWrap w:val="0"/>
            <w:vAlign w:val="center"/>
          </w:tcPr>
          <w:p w14:paraId="1735401E">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13</w:t>
            </w:r>
          </w:p>
        </w:tc>
        <w:tc>
          <w:tcPr>
            <w:tcW w:w="2699" w:type="pct"/>
            <w:tcBorders>
              <w:tl2br w:val="nil"/>
              <w:tr2bl w:val="nil"/>
            </w:tcBorders>
            <w:noWrap w:val="0"/>
            <w:vAlign w:val="center"/>
          </w:tcPr>
          <w:p w14:paraId="3F1A1551">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关于进一步加强石油天然气行业环境影响评价管理的通知</w:t>
            </w:r>
          </w:p>
        </w:tc>
        <w:tc>
          <w:tcPr>
            <w:tcW w:w="1472" w:type="pct"/>
            <w:tcBorders>
              <w:tl2br w:val="nil"/>
              <w:tr2bl w:val="nil"/>
            </w:tcBorders>
            <w:noWrap w:val="0"/>
            <w:vAlign w:val="center"/>
          </w:tcPr>
          <w:p w14:paraId="3FCA7D9D">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环办环评函〔2019〕910号</w:t>
            </w:r>
          </w:p>
        </w:tc>
        <w:tc>
          <w:tcPr>
            <w:tcW w:w="587" w:type="pct"/>
            <w:tcBorders>
              <w:tl2br w:val="nil"/>
              <w:tr2bl w:val="nil"/>
            </w:tcBorders>
            <w:noWrap w:val="0"/>
            <w:vAlign w:val="center"/>
          </w:tcPr>
          <w:p w14:paraId="075987B0">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2019-12-13</w:t>
            </w:r>
          </w:p>
        </w:tc>
      </w:tr>
      <w:tr w14:paraId="7CC3948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noWrap w:val="0"/>
            <w:vAlign w:val="center"/>
          </w:tcPr>
          <w:p w14:paraId="4C3097CD">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14</w:t>
            </w:r>
          </w:p>
        </w:tc>
        <w:tc>
          <w:tcPr>
            <w:tcW w:w="2699" w:type="pct"/>
            <w:tcBorders>
              <w:tl2br w:val="nil"/>
              <w:tr2bl w:val="nil"/>
            </w:tcBorders>
            <w:noWrap w:val="0"/>
            <w:vAlign w:val="center"/>
          </w:tcPr>
          <w:p w14:paraId="10E2DB37">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挥发性有机物（VOCs）污染防治技术政策</w:t>
            </w:r>
          </w:p>
        </w:tc>
        <w:tc>
          <w:tcPr>
            <w:tcW w:w="1472" w:type="pct"/>
            <w:tcBorders>
              <w:tl2br w:val="nil"/>
              <w:tr2bl w:val="nil"/>
            </w:tcBorders>
            <w:noWrap w:val="0"/>
            <w:vAlign w:val="center"/>
          </w:tcPr>
          <w:p w14:paraId="3F78FC21">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pacing w:val="-6"/>
                <w:sz w:val="18"/>
                <w:szCs w:val="18"/>
                <w:highlight w:val="none"/>
                <w:lang w:val="en-US" w:eastAsia="zh-CN"/>
              </w:rPr>
              <w:t>公告2013年第31号</w:t>
            </w:r>
          </w:p>
        </w:tc>
        <w:tc>
          <w:tcPr>
            <w:tcW w:w="587" w:type="pct"/>
            <w:tcBorders>
              <w:tl2br w:val="nil"/>
              <w:tr2bl w:val="nil"/>
            </w:tcBorders>
            <w:noWrap w:val="0"/>
            <w:vAlign w:val="center"/>
          </w:tcPr>
          <w:p w14:paraId="571A9F3E">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2013-05-24</w:t>
            </w:r>
          </w:p>
        </w:tc>
      </w:tr>
      <w:tr w14:paraId="704F29C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noWrap w:val="0"/>
            <w:vAlign w:val="center"/>
          </w:tcPr>
          <w:p w14:paraId="55004AA7">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15</w:t>
            </w:r>
          </w:p>
        </w:tc>
        <w:tc>
          <w:tcPr>
            <w:tcW w:w="2699" w:type="pct"/>
            <w:tcBorders>
              <w:tl2br w:val="nil"/>
              <w:tr2bl w:val="nil"/>
            </w:tcBorders>
            <w:noWrap w:val="0"/>
            <w:vAlign w:val="center"/>
          </w:tcPr>
          <w:p w14:paraId="264F1251">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排污许可管理条例</w:t>
            </w:r>
          </w:p>
        </w:tc>
        <w:tc>
          <w:tcPr>
            <w:tcW w:w="1472" w:type="pct"/>
            <w:tcBorders>
              <w:tl2br w:val="nil"/>
              <w:tr2bl w:val="nil"/>
            </w:tcBorders>
            <w:noWrap w:val="0"/>
            <w:vAlign w:val="center"/>
          </w:tcPr>
          <w:p w14:paraId="1CB885D3">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国务院令第736号</w:t>
            </w:r>
          </w:p>
        </w:tc>
        <w:tc>
          <w:tcPr>
            <w:tcW w:w="587" w:type="pct"/>
            <w:tcBorders>
              <w:tl2br w:val="nil"/>
              <w:tr2bl w:val="nil"/>
            </w:tcBorders>
            <w:noWrap w:val="0"/>
            <w:vAlign w:val="center"/>
          </w:tcPr>
          <w:p w14:paraId="1C4604DB">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2021-03-01</w:t>
            </w:r>
          </w:p>
        </w:tc>
      </w:tr>
      <w:tr w14:paraId="3634E49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noWrap w:val="0"/>
            <w:vAlign w:val="center"/>
          </w:tcPr>
          <w:p w14:paraId="1582AEF3">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16</w:t>
            </w:r>
          </w:p>
        </w:tc>
        <w:tc>
          <w:tcPr>
            <w:tcW w:w="2699" w:type="pct"/>
            <w:tcBorders>
              <w:tl2br w:val="nil"/>
              <w:tr2bl w:val="nil"/>
            </w:tcBorders>
            <w:noWrap w:val="0"/>
            <w:vAlign w:val="center"/>
          </w:tcPr>
          <w:p w14:paraId="27BCFDA0">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关于做好环境影响评价制度与排污许可制衔接相关工作的通知</w:t>
            </w:r>
          </w:p>
        </w:tc>
        <w:tc>
          <w:tcPr>
            <w:tcW w:w="1472" w:type="pct"/>
            <w:tcBorders>
              <w:tl2br w:val="nil"/>
              <w:tr2bl w:val="nil"/>
            </w:tcBorders>
            <w:noWrap w:val="0"/>
            <w:vAlign w:val="center"/>
          </w:tcPr>
          <w:p w14:paraId="0F31D12B">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环办环评〔2017〕84号</w:t>
            </w:r>
          </w:p>
        </w:tc>
        <w:tc>
          <w:tcPr>
            <w:tcW w:w="587" w:type="pct"/>
            <w:tcBorders>
              <w:tl2br w:val="nil"/>
              <w:tr2bl w:val="nil"/>
            </w:tcBorders>
            <w:noWrap w:val="0"/>
            <w:vAlign w:val="center"/>
          </w:tcPr>
          <w:p w14:paraId="554D9FED">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2017-11-14</w:t>
            </w:r>
          </w:p>
        </w:tc>
      </w:tr>
      <w:tr w14:paraId="7893592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noWrap w:val="0"/>
            <w:vAlign w:val="center"/>
          </w:tcPr>
          <w:p w14:paraId="702CA9DE">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17</w:t>
            </w:r>
          </w:p>
        </w:tc>
        <w:tc>
          <w:tcPr>
            <w:tcW w:w="2699" w:type="pct"/>
            <w:tcBorders>
              <w:tl2br w:val="nil"/>
              <w:tr2bl w:val="nil"/>
            </w:tcBorders>
            <w:noWrap w:val="0"/>
            <w:vAlign w:val="center"/>
          </w:tcPr>
          <w:p w14:paraId="2B5D56F6">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关于印发〈建设项目环境保护事中事后监督管理办法（试行）〉的通知</w:t>
            </w:r>
          </w:p>
        </w:tc>
        <w:tc>
          <w:tcPr>
            <w:tcW w:w="1472" w:type="pct"/>
            <w:tcBorders>
              <w:tl2br w:val="nil"/>
              <w:tr2bl w:val="nil"/>
            </w:tcBorders>
            <w:noWrap w:val="0"/>
            <w:vAlign w:val="center"/>
          </w:tcPr>
          <w:p w14:paraId="52511D3B">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环发〔2015〕163号</w:t>
            </w:r>
          </w:p>
        </w:tc>
        <w:tc>
          <w:tcPr>
            <w:tcW w:w="587" w:type="pct"/>
            <w:tcBorders>
              <w:tl2br w:val="nil"/>
              <w:tr2bl w:val="nil"/>
            </w:tcBorders>
            <w:noWrap w:val="0"/>
            <w:vAlign w:val="center"/>
          </w:tcPr>
          <w:p w14:paraId="70582AA4">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2015-12-10</w:t>
            </w:r>
          </w:p>
        </w:tc>
      </w:tr>
      <w:tr w14:paraId="24E9B92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noWrap w:val="0"/>
            <w:vAlign w:val="center"/>
          </w:tcPr>
          <w:p w14:paraId="3C488F17">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18</w:t>
            </w:r>
          </w:p>
        </w:tc>
        <w:tc>
          <w:tcPr>
            <w:tcW w:w="2699" w:type="pct"/>
            <w:tcBorders>
              <w:tl2br w:val="nil"/>
              <w:tr2bl w:val="nil"/>
            </w:tcBorders>
            <w:noWrap w:val="0"/>
            <w:vAlign w:val="center"/>
          </w:tcPr>
          <w:p w14:paraId="1312A85B">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关于印发〈生态保护红线划定指南〉的通知</w:t>
            </w:r>
          </w:p>
        </w:tc>
        <w:tc>
          <w:tcPr>
            <w:tcW w:w="1472" w:type="pct"/>
            <w:tcBorders>
              <w:tl2br w:val="nil"/>
              <w:tr2bl w:val="nil"/>
            </w:tcBorders>
            <w:noWrap w:val="0"/>
            <w:vAlign w:val="center"/>
          </w:tcPr>
          <w:p w14:paraId="0D302E38">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环办生态〔2017〕48号</w:t>
            </w:r>
          </w:p>
        </w:tc>
        <w:tc>
          <w:tcPr>
            <w:tcW w:w="587" w:type="pct"/>
            <w:tcBorders>
              <w:tl2br w:val="nil"/>
              <w:tr2bl w:val="nil"/>
            </w:tcBorders>
            <w:noWrap w:val="0"/>
            <w:vAlign w:val="center"/>
          </w:tcPr>
          <w:p w14:paraId="3414EEBF">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2017-05-27</w:t>
            </w:r>
          </w:p>
        </w:tc>
      </w:tr>
      <w:tr w14:paraId="270F128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noWrap w:val="0"/>
            <w:vAlign w:val="center"/>
          </w:tcPr>
          <w:p w14:paraId="4D225123">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19</w:t>
            </w:r>
          </w:p>
        </w:tc>
        <w:tc>
          <w:tcPr>
            <w:tcW w:w="2699" w:type="pct"/>
            <w:tcBorders>
              <w:tl2br w:val="nil"/>
              <w:tr2bl w:val="nil"/>
            </w:tcBorders>
            <w:noWrap w:val="0"/>
            <w:vAlign w:val="center"/>
          </w:tcPr>
          <w:p w14:paraId="0DEDDCDC">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石油天然气开采业污染防治技术政策</w:t>
            </w:r>
          </w:p>
        </w:tc>
        <w:tc>
          <w:tcPr>
            <w:tcW w:w="1472" w:type="pct"/>
            <w:tcBorders>
              <w:tl2br w:val="nil"/>
              <w:tr2bl w:val="nil"/>
            </w:tcBorders>
            <w:noWrap w:val="0"/>
            <w:vAlign w:val="center"/>
          </w:tcPr>
          <w:p w14:paraId="3D145491">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公告2012年第18号</w:t>
            </w:r>
          </w:p>
        </w:tc>
        <w:tc>
          <w:tcPr>
            <w:tcW w:w="587" w:type="pct"/>
            <w:tcBorders>
              <w:tl2br w:val="nil"/>
              <w:tr2bl w:val="nil"/>
            </w:tcBorders>
            <w:noWrap w:val="0"/>
            <w:vAlign w:val="center"/>
          </w:tcPr>
          <w:p w14:paraId="6D0E2CFC">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2012-03-17</w:t>
            </w:r>
          </w:p>
        </w:tc>
      </w:tr>
      <w:tr w14:paraId="0416B4C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noWrap w:val="0"/>
            <w:vAlign w:val="center"/>
          </w:tcPr>
          <w:p w14:paraId="142AD19C">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w:t>
            </w:r>
          </w:p>
        </w:tc>
        <w:tc>
          <w:tcPr>
            <w:tcW w:w="2699" w:type="pct"/>
            <w:tcBorders>
              <w:tl2br w:val="nil"/>
              <w:tr2bl w:val="nil"/>
            </w:tcBorders>
            <w:noWrap w:val="0"/>
            <w:vAlign w:val="center"/>
          </w:tcPr>
          <w:p w14:paraId="4389DC2B">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关于发布《重点监管单位土壤污染隐患排查指南（试行）》的公告</w:t>
            </w:r>
          </w:p>
        </w:tc>
        <w:tc>
          <w:tcPr>
            <w:tcW w:w="1472" w:type="pct"/>
            <w:tcBorders>
              <w:tl2br w:val="nil"/>
              <w:tr2bl w:val="nil"/>
            </w:tcBorders>
            <w:noWrap w:val="0"/>
            <w:vAlign w:val="center"/>
          </w:tcPr>
          <w:p w14:paraId="72CBAC45">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rPr>
              <w:t>生态环境部</w:t>
            </w:r>
            <w:r>
              <w:rPr>
                <w:rFonts w:hint="default" w:ascii="Times New Roman" w:hAnsi="Times New Roman" w:eastAsia="宋体" w:cs="Times New Roman"/>
                <w:color w:val="auto"/>
                <w:sz w:val="18"/>
                <w:szCs w:val="18"/>
                <w:highlight w:val="none"/>
                <w:lang w:val="en-US" w:eastAsia="zh-CN"/>
              </w:rPr>
              <w:t>公告</w:t>
            </w:r>
            <w:r>
              <w:rPr>
                <w:rFonts w:hint="default" w:ascii="Times New Roman" w:hAnsi="Times New Roman" w:eastAsia="宋体" w:cs="Times New Roman"/>
                <w:color w:val="auto"/>
                <w:sz w:val="18"/>
                <w:szCs w:val="18"/>
                <w:highlight w:val="none"/>
              </w:rPr>
              <w:t>2021第1号</w:t>
            </w:r>
          </w:p>
        </w:tc>
        <w:tc>
          <w:tcPr>
            <w:tcW w:w="587" w:type="pct"/>
            <w:tcBorders>
              <w:tl2br w:val="nil"/>
              <w:tr2bl w:val="nil"/>
            </w:tcBorders>
            <w:noWrap w:val="0"/>
            <w:vAlign w:val="center"/>
          </w:tcPr>
          <w:p w14:paraId="228A35CB">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2020-01-04</w:t>
            </w:r>
          </w:p>
        </w:tc>
      </w:tr>
      <w:tr w14:paraId="2205626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noWrap w:val="0"/>
            <w:vAlign w:val="center"/>
          </w:tcPr>
          <w:p w14:paraId="2A3AE2ED">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21</w:t>
            </w:r>
          </w:p>
        </w:tc>
        <w:tc>
          <w:tcPr>
            <w:tcW w:w="2699" w:type="pct"/>
            <w:tcBorders>
              <w:tl2br w:val="nil"/>
              <w:tr2bl w:val="nil"/>
            </w:tcBorders>
            <w:noWrap w:val="0"/>
            <w:vAlign w:val="center"/>
          </w:tcPr>
          <w:p w14:paraId="4E846746">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危险废物环境管理指南 陆上石油天然气开采</w:t>
            </w:r>
          </w:p>
        </w:tc>
        <w:tc>
          <w:tcPr>
            <w:tcW w:w="1472" w:type="pct"/>
            <w:tcBorders>
              <w:tl2br w:val="nil"/>
              <w:tr2bl w:val="nil"/>
            </w:tcBorders>
            <w:noWrap w:val="0"/>
            <w:vAlign w:val="center"/>
          </w:tcPr>
          <w:p w14:paraId="4520DB49">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pacing w:val="-6"/>
                <w:sz w:val="18"/>
                <w:szCs w:val="18"/>
                <w:highlight w:val="none"/>
                <w:lang w:val="en-US" w:eastAsia="zh-CN"/>
              </w:rPr>
              <w:t>生态环境部公告2021年第74号</w:t>
            </w:r>
          </w:p>
        </w:tc>
        <w:tc>
          <w:tcPr>
            <w:tcW w:w="587" w:type="pct"/>
            <w:tcBorders>
              <w:tl2br w:val="nil"/>
              <w:tr2bl w:val="nil"/>
            </w:tcBorders>
            <w:noWrap w:val="0"/>
            <w:vAlign w:val="center"/>
          </w:tcPr>
          <w:p w14:paraId="792BC8AB">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2021-12-22</w:t>
            </w:r>
          </w:p>
        </w:tc>
      </w:tr>
      <w:tr w14:paraId="0BC62BC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noWrap w:val="0"/>
            <w:vAlign w:val="center"/>
          </w:tcPr>
          <w:p w14:paraId="431F6E86">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22</w:t>
            </w:r>
          </w:p>
        </w:tc>
        <w:tc>
          <w:tcPr>
            <w:tcW w:w="2699" w:type="pct"/>
            <w:tcBorders>
              <w:tl2br w:val="nil"/>
              <w:tr2bl w:val="nil"/>
            </w:tcBorders>
            <w:noWrap w:val="0"/>
            <w:vAlign w:val="center"/>
          </w:tcPr>
          <w:p w14:paraId="6AA6B3B8">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危险废物转移管理办法</w:t>
            </w:r>
          </w:p>
        </w:tc>
        <w:tc>
          <w:tcPr>
            <w:tcW w:w="1472" w:type="pct"/>
            <w:tcBorders>
              <w:tl2br w:val="nil"/>
              <w:tr2bl w:val="nil"/>
            </w:tcBorders>
            <w:noWrap w:val="0"/>
            <w:vAlign w:val="center"/>
          </w:tcPr>
          <w:p w14:paraId="6D29E43F">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生态环境部令第23号</w:t>
            </w:r>
          </w:p>
        </w:tc>
        <w:tc>
          <w:tcPr>
            <w:tcW w:w="587" w:type="pct"/>
            <w:tcBorders>
              <w:tl2br w:val="nil"/>
              <w:tr2bl w:val="nil"/>
            </w:tcBorders>
            <w:noWrap w:val="0"/>
            <w:vAlign w:val="center"/>
          </w:tcPr>
          <w:p w14:paraId="70045BD8">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2022-01-01</w:t>
            </w:r>
          </w:p>
        </w:tc>
      </w:tr>
      <w:tr w14:paraId="52794E0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noWrap w:val="0"/>
            <w:vAlign w:val="center"/>
          </w:tcPr>
          <w:p w14:paraId="09F75B07">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23</w:t>
            </w:r>
          </w:p>
        </w:tc>
        <w:tc>
          <w:tcPr>
            <w:tcW w:w="2699" w:type="pct"/>
            <w:tcBorders>
              <w:tl2br w:val="nil"/>
              <w:tr2bl w:val="nil"/>
            </w:tcBorders>
            <w:noWrap w:val="0"/>
            <w:vAlign w:val="center"/>
          </w:tcPr>
          <w:p w14:paraId="465104D1">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危险废物排除管理清单（2021年版）</w:t>
            </w:r>
          </w:p>
        </w:tc>
        <w:tc>
          <w:tcPr>
            <w:tcW w:w="1472" w:type="pct"/>
            <w:tcBorders>
              <w:tl2br w:val="nil"/>
              <w:tr2bl w:val="nil"/>
            </w:tcBorders>
            <w:noWrap w:val="0"/>
            <w:vAlign w:val="center"/>
          </w:tcPr>
          <w:p w14:paraId="03F332F2">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生态环境部公告2021年第66号</w:t>
            </w:r>
          </w:p>
        </w:tc>
        <w:tc>
          <w:tcPr>
            <w:tcW w:w="587" w:type="pct"/>
            <w:tcBorders>
              <w:tl2br w:val="nil"/>
              <w:tr2bl w:val="nil"/>
            </w:tcBorders>
            <w:noWrap w:val="0"/>
            <w:vAlign w:val="center"/>
          </w:tcPr>
          <w:p w14:paraId="7586397F">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2021-12-2</w:t>
            </w:r>
          </w:p>
        </w:tc>
      </w:tr>
      <w:tr w14:paraId="452E041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noWrap w:val="0"/>
            <w:vAlign w:val="center"/>
          </w:tcPr>
          <w:p w14:paraId="65A729C4">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24</w:t>
            </w:r>
          </w:p>
        </w:tc>
        <w:tc>
          <w:tcPr>
            <w:tcW w:w="2699" w:type="pct"/>
            <w:tcBorders>
              <w:tl2br w:val="nil"/>
              <w:tr2bl w:val="nil"/>
            </w:tcBorders>
            <w:noWrap w:val="0"/>
            <w:vAlign w:val="center"/>
          </w:tcPr>
          <w:p w14:paraId="50902C08">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固体废物分类与代码目录</w:t>
            </w:r>
          </w:p>
        </w:tc>
        <w:tc>
          <w:tcPr>
            <w:tcW w:w="1472" w:type="pct"/>
            <w:tcBorders>
              <w:tl2br w:val="nil"/>
              <w:tr2bl w:val="nil"/>
            </w:tcBorders>
            <w:noWrap w:val="0"/>
            <w:vAlign w:val="center"/>
          </w:tcPr>
          <w:p w14:paraId="3D9CA5C7">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生态环境部公告2024年第4号</w:t>
            </w:r>
          </w:p>
        </w:tc>
        <w:tc>
          <w:tcPr>
            <w:tcW w:w="587" w:type="pct"/>
            <w:tcBorders>
              <w:tl2br w:val="nil"/>
              <w:tr2bl w:val="nil"/>
            </w:tcBorders>
            <w:noWrap w:val="0"/>
            <w:vAlign w:val="center"/>
          </w:tcPr>
          <w:p w14:paraId="5ACAE738">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r>
      <w:tr w14:paraId="0DB11D0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noWrap w:val="0"/>
            <w:vAlign w:val="center"/>
          </w:tcPr>
          <w:p w14:paraId="200DE76D">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25</w:t>
            </w:r>
          </w:p>
        </w:tc>
        <w:tc>
          <w:tcPr>
            <w:tcW w:w="2699" w:type="pct"/>
            <w:tcBorders>
              <w:tl2br w:val="nil"/>
              <w:tr2bl w:val="nil"/>
            </w:tcBorders>
            <w:noWrap w:val="0"/>
            <w:vAlign w:val="center"/>
          </w:tcPr>
          <w:p w14:paraId="67D06938">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危险废物产生单位管理计划制定指南</w:t>
            </w:r>
          </w:p>
        </w:tc>
        <w:tc>
          <w:tcPr>
            <w:tcW w:w="1472" w:type="pct"/>
            <w:tcBorders>
              <w:tl2br w:val="nil"/>
              <w:tr2bl w:val="nil"/>
            </w:tcBorders>
            <w:noWrap w:val="0"/>
            <w:vAlign w:val="center"/>
          </w:tcPr>
          <w:p w14:paraId="3D2A18C9">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pacing w:val="-6"/>
                <w:sz w:val="18"/>
                <w:szCs w:val="18"/>
                <w:highlight w:val="none"/>
                <w:lang w:val="en-US" w:eastAsia="zh-CN" w:bidi="ar-SA"/>
              </w:rPr>
            </w:pPr>
            <w:r>
              <w:rPr>
                <w:rFonts w:hint="default" w:ascii="Times New Roman" w:hAnsi="Times New Roman" w:eastAsia="宋体" w:cs="Times New Roman"/>
                <w:color w:val="auto"/>
                <w:spacing w:val="-6"/>
                <w:sz w:val="18"/>
                <w:szCs w:val="18"/>
                <w:highlight w:val="none"/>
                <w:lang w:val="en-US" w:eastAsia="zh-CN" w:bidi="ar-SA"/>
              </w:rPr>
              <w:t>公告2016年第7号</w:t>
            </w:r>
          </w:p>
        </w:tc>
        <w:tc>
          <w:tcPr>
            <w:tcW w:w="587" w:type="pct"/>
            <w:tcBorders>
              <w:tl2br w:val="nil"/>
              <w:tr2bl w:val="nil"/>
            </w:tcBorders>
            <w:noWrap w:val="0"/>
            <w:vAlign w:val="center"/>
          </w:tcPr>
          <w:p w14:paraId="010EA2B0">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2016-01-26</w:t>
            </w:r>
          </w:p>
        </w:tc>
      </w:tr>
      <w:tr w14:paraId="5B5AA25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noWrap w:val="0"/>
            <w:vAlign w:val="center"/>
          </w:tcPr>
          <w:p w14:paraId="0881ACFA">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26</w:t>
            </w:r>
          </w:p>
        </w:tc>
        <w:tc>
          <w:tcPr>
            <w:tcW w:w="2699" w:type="pct"/>
            <w:tcBorders>
              <w:tl2br w:val="nil"/>
              <w:tr2bl w:val="nil"/>
            </w:tcBorders>
            <w:noWrap w:val="0"/>
            <w:vAlign w:val="center"/>
          </w:tcPr>
          <w:p w14:paraId="4383EC1D">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一般固体废物分类与代码（GB/T39198-2020）</w:t>
            </w:r>
          </w:p>
        </w:tc>
        <w:tc>
          <w:tcPr>
            <w:tcW w:w="1472" w:type="pct"/>
            <w:tcBorders>
              <w:tl2br w:val="nil"/>
              <w:tr2bl w:val="nil"/>
            </w:tcBorders>
            <w:noWrap w:val="0"/>
            <w:vAlign w:val="center"/>
          </w:tcPr>
          <w:p w14:paraId="279C375E">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国家市场监督管理总局、国家标准委</w:t>
            </w:r>
          </w:p>
        </w:tc>
        <w:tc>
          <w:tcPr>
            <w:tcW w:w="587" w:type="pct"/>
            <w:tcBorders>
              <w:tl2br w:val="nil"/>
              <w:tr2bl w:val="nil"/>
            </w:tcBorders>
            <w:noWrap w:val="0"/>
            <w:vAlign w:val="center"/>
          </w:tcPr>
          <w:p w14:paraId="6BE260BC">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2021-05-01</w:t>
            </w:r>
          </w:p>
        </w:tc>
      </w:tr>
      <w:tr w14:paraId="67E3AFD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noWrap w:val="0"/>
            <w:vAlign w:val="center"/>
          </w:tcPr>
          <w:p w14:paraId="54899A9C">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27</w:t>
            </w:r>
          </w:p>
        </w:tc>
        <w:tc>
          <w:tcPr>
            <w:tcW w:w="2699" w:type="pct"/>
            <w:tcBorders>
              <w:tl2br w:val="nil"/>
              <w:tr2bl w:val="nil"/>
            </w:tcBorders>
            <w:noWrap w:val="0"/>
            <w:vAlign w:val="center"/>
          </w:tcPr>
          <w:p w14:paraId="19D57DBA">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关于发布《一般工业固体废物管理台账制定指南（试行）》的公告</w:t>
            </w:r>
          </w:p>
        </w:tc>
        <w:tc>
          <w:tcPr>
            <w:tcW w:w="1472" w:type="pct"/>
            <w:tcBorders>
              <w:tl2br w:val="nil"/>
              <w:tr2bl w:val="nil"/>
            </w:tcBorders>
            <w:noWrap w:val="0"/>
            <w:vAlign w:val="center"/>
          </w:tcPr>
          <w:p w14:paraId="6EF60EF2">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pacing w:val="-6"/>
                <w:sz w:val="18"/>
                <w:szCs w:val="18"/>
                <w:highlight w:val="none"/>
                <w:lang w:val="en-US" w:eastAsia="zh-CN"/>
              </w:rPr>
              <w:t>生态环境部公告2021年第82号</w:t>
            </w:r>
          </w:p>
        </w:tc>
        <w:tc>
          <w:tcPr>
            <w:tcW w:w="587" w:type="pct"/>
            <w:tcBorders>
              <w:tl2br w:val="nil"/>
              <w:tr2bl w:val="nil"/>
            </w:tcBorders>
            <w:noWrap w:val="0"/>
            <w:vAlign w:val="center"/>
          </w:tcPr>
          <w:p w14:paraId="542EE607">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2021-12-30</w:t>
            </w:r>
          </w:p>
        </w:tc>
      </w:tr>
      <w:tr w14:paraId="073B87C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noWrap w:val="0"/>
            <w:vAlign w:val="center"/>
          </w:tcPr>
          <w:p w14:paraId="1D3AF860">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28</w:t>
            </w:r>
          </w:p>
        </w:tc>
        <w:tc>
          <w:tcPr>
            <w:tcW w:w="2699" w:type="pct"/>
            <w:tcBorders>
              <w:tl2br w:val="nil"/>
              <w:tr2bl w:val="nil"/>
            </w:tcBorders>
            <w:noWrap w:val="0"/>
            <w:vAlign w:val="center"/>
          </w:tcPr>
          <w:p w14:paraId="105CA251">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自然资源部关于规范临时用地管理的通知</w:t>
            </w:r>
          </w:p>
        </w:tc>
        <w:tc>
          <w:tcPr>
            <w:tcW w:w="1472" w:type="pct"/>
            <w:tcBorders>
              <w:tl2br w:val="nil"/>
              <w:tr2bl w:val="nil"/>
            </w:tcBorders>
            <w:noWrap w:val="0"/>
            <w:vAlign w:val="center"/>
          </w:tcPr>
          <w:p w14:paraId="773D04DA">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自然资规〔2021〕2号</w:t>
            </w:r>
          </w:p>
        </w:tc>
        <w:tc>
          <w:tcPr>
            <w:tcW w:w="587" w:type="pct"/>
            <w:tcBorders>
              <w:tl2br w:val="nil"/>
              <w:tr2bl w:val="nil"/>
            </w:tcBorders>
            <w:noWrap w:val="0"/>
            <w:vAlign w:val="center"/>
          </w:tcPr>
          <w:p w14:paraId="758B3566">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2021-11-04</w:t>
            </w:r>
          </w:p>
        </w:tc>
      </w:tr>
      <w:tr w14:paraId="7765EC1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noWrap w:val="0"/>
            <w:vAlign w:val="center"/>
          </w:tcPr>
          <w:p w14:paraId="23FEE99A">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w:t>
            </w:r>
          </w:p>
        </w:tc>
        <w:tc>
          <w:tcPr>
            <w:tcW w:w="2699" w:type="pct"/>
            <w:tcBorders>
              <w:tl2br w:val="nil"/>
              <w:tr2bl w:val="nil"/>
            </w:tcBorders>
            <w:noWrap w:val="0"/>
            <w:vAlign w:val="center"/>
          </w:tcPr>
          <w:p w14:paraId="4AED3356">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企业环境信息依法披露管理办法</w:t>
            </w:r>
          </w:p>
        </w:tc>
        <w:tc>
          <w:tcPr>
            <w:tcW w:w="1472" w:type="pct"/>
            <w:tcBorders>
              <w:tl2br w:val="nil"/>
              <w:tr2bl w:val="nil"/>
            </w:tcBorders>
            <w:noWrap w:val="0"/>
            <w:vAlign w:val="center"/>
          </w:tcPr>
          <w:p w14:paraId="0A308878">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部令第24号</w:t>
            </w:r>
          </w:p>
        </w:tc>
        <w:tc>
          <w:tcPr>
            <w:tcW w:w="587" w:type="pct"/>
            <w:tcBorders>
              <w:tl2br w:val="nil"/>
              <w:tr2bl w:val="nil"/>
            </w:tcBorders>
            <w:noWrap w:val="0"/>
            <w:vAlign w:val="center"/>
          </w:tcPr>
          <w:p w14:paraId="7771B2D3">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2022-02-08</w:t>
            </w:r>
          </w:p>
        </w:tc>
      </w:tr>
      <w:tr w14:paraId="4DA1038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noWrap w:val="0"/>
            <w:vAlign w:val="center"/>
          </w:tcPr>
          <w:p w14:paraId="7E4DFB30">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30</w:t>
            </w:r>
          </w:p>
        </w:tc>
        <w:tc>
          <w:tcPr>
            <w:tcW w:w="2699" w:type="pct"/>
            <w:tcBorders>
              <w:tl2br w:val="nil"/>
              <w:tr2bl w:val="nil"/>
            </w:tcBorders>
            <w:noWrap w:val="0"/>
            <w:vAlign w:val="center"/>
          </w:tcPr>
          <w:p w14:paraId="561B0551">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危险废物经营许可证管理办法（2016修订）</w:t>
            </w:r>
          </w:p>
        </w:tc>
        <w:tc>
          <w:tcPr>
            <w:tcW w:w="1472" w:type="pct"/>
            <w:tcBorders>
              <w:tl2br w:val="nil"/>
              <w:tr2bl w:val="nil"/>
            </w:tcBorders>
            <w:noWrap w:val="0"/>
            <w:vAlign w:val="center"/>
          </w:tcPr>
          <w:p w14:paraId="2D7C2F46">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国务院令第666号</w:t>
            </w:r>
          </w:p>
        </w:tc>
        <w:tc>
          <w:tcPr>
            <w:tcW w:w="587" w:type="pct"/>
            <w:tcBorders>
              <w:tl2br w:val="nil"/>
              <w:tr2bl w:val="nil"/>
            </w:tcBorders>
            <w:noWrap w:val="0"/>
            <w:vAlign w:val="center"/>
          </w:tcPr>
          <w:p w14:paraId="69969DE1">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2016-02-16</w:t>
            </w:r>
          </w:p>
        </w:tc>
      </w:tr>
      <w:tr w14:paraId="3826308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noWrap w:val="0"/>
            <w:vAlign w:val="center"/>
          </w:tcPr>
          <w:p w14:paraId="6E0F3845">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31</w:t>
            </w:r>
          </w:p>
        </w:tc>
        <w:tc>
          <w:tcPr>
            <w:tcW w:w="2699" w:type="pct"/>
            <w:tcBorders>
              <w:tl2br w:val="nil"/>
              <w:tr2bl w:val="nil"/>
            </w:tcBorders>
            <w:noWrap w:val="0"/>
            <w:vAlign w:val="center"/>
          </w:tcPr>
          <w:p w14:paraId="5CAE1B35">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关于加快解决当前挥发性有机物治理突出问题的通知</w:t>
            </w:r>
          </w:p>
        </w:tc>
        <w:tc>
          <w:tcPr>
            <w:tcW w:w="1472" w:type="pct"/>
            <w:tcBorders>
              <w:tl2br w:val="nil"/>
              <w:tr2bl w:val="nil"/>
            </w:tcBorders>
            <w:noWrap w:val="0"/>
            <w:vAlign w:val="center"/>
          </w:tcPr>
          <w:p w14:paraId="136ECA4E">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环大气〔2021〕65号</w:t>
            </w:r>
          </w:p>
        </w:tc>
        <w:tc>
          <w:tcPr>
            <w:tcW w:w="587" w:type="pct"/>
            <w:tcBorders>
              <w:tl2br w:val="nil"/>
              <w:tr2bl w:val="nil"/>
            </w:tcBorders>
            <w:noWrap w:val="0"/>
            <w:vAlign w:val="center"/>
          </w:tcPr>
          <w:p w14:paraId="23DD63D6">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2021-08-04</w:t>
            </w:r>
          </w:p>
        </w:tc>
      </w:tr>
      <w:tr w14:paraId="56098C6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noWrap w:val="0"/>
            <w:vAlign w:val="center"/>
          </w:tcPr>
          <w:p w14:paraId="11240689">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b/>
                <w:bCs/>
                <w:color w:val="auto"/>
                <w:sz w:val="18"/>
                <w:szCs w:val="18"/>
                <w:highlight w:val="none"/>
                <w:lang w:eastAsia="zh-CN"/>
              </w:rPr>
            </w:pPr>
            <w:r>
              <w:rPr>
                <w:rFonts w:hint="default" w:ascii="Times New Roman" w:hAnsi="Times New Roman" w:eastAsia="宋体" w:cs="Times New Roman"/>
                <w:b/>
                <w:bCs/>
                <w:color w:val="auto"/>
                <w:sz w:val="18"/>
                <w:szCs w:val="18"/>
                <w:highlight w:val="none"/>
                <w:lang w:val="en-US" w:eastAsia="zh-CN"/>
              </w:rPr>
              <w:t>三</w:t>
            </w:r>
          </w:p>
        </w:tc>
        <w:tc>
          <w:tcPr>
            <w:tcW w:w="2699" w:type="pct"/>
            <w:tcBorders>
              <w:tl2br w:val="nil"/>
              <w:tr2bl w:val="nil"/>
            </w:tcBorders>
            <w:noWrap w:val="0"/>
            <w:vAlign w:val="center"/>
          </w:tcPr>
          <w:p w14:paraId="62489B28">
            <w:pPr>
              <w:keepNext w:val="0"/>
              <w:keepLines w:val="0"/>
              <w:pageBreakBefore w:val="0"/>
              <w:widowControl w:val="0"/>
              <w:kinsoku/>
              <w:wordWrap/>
              <w:overflowPunct/>
              <w:topLinePunct w:val="0"/>
              <w:autoSpaceDE/>
              <w:autoSpaceDN/>
              <w:bidi w:val="0"/>
              <w:adjustRightInd/>
              <w:snapToGrid/>
              <w:spacing w:line="400" w:lineRule="exact"/>
              <w:ind w:left="0"/>
              <w:jc w:val="left"/>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pacing w:val="14"/>
                <w:sz w:val="18"/>
                <w:szCs w:val="18"/>
                <w:highlight w:val="none"/>
              </w:rPr>
              <w:t>地</w:t>
            </w:r>
            <w:r>
              <w:rPr>
                <w:rFonts w:hint="default" w:ascii="Times New Roman" w:hAnsi="Times New Roman" w:eastAsia="宋体" w:cs="Times New Roman"/>
                <w:b/>
                <w:bCs/>
                <w:color w:val="auto"/>
                <w:spacing w:val="9"/>
                <w:sz w:val="18"/>
                <w:szCs w:val="18"/>
                <w:highlight w:val="none"/>
              </w:rPr>
              <w:t>方性法规及通知</w:t>
            </w:r>
          </w:p>
        </w:tc>
        <w:tc>
          <w:tcPr>
            <w:tcW w:w="1472" w:type="pct"/>
            <w:tcBorders>
              <w:tl2br w:val="nil"/>
              <w:tr2bl w:val="nil"/>
            </w:tcBorders>
            <w:noWrap w:val="0"/>
            <w:vAlign w:val="center"/>
          </w:tcPr>
          <w:p w14:paraId="65EBE516">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rPr>
            </w:pPr>
          </w:p>
        </w:tc>
        <w:tc>
          <w:tcPr>
            <w:tcW w:w="587" w:type="pct"/>
            <w:tcBorders>
              <w:tl2br w:val="nil"/>
              <w:tr2bl w:val="nil"/>
            </w:tcBorders>
            <w:noWrap w:val="0"/>
            <w:vAlign w:val="center"/>
          </w:tcPr>
          <w:p w14:paraId="71CE126C">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rPr>
            </w:pPr>
          </w:p>
        </w:tc>
      </w:tr>
      <w:tr w14:paraId="5074E59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noWrap w:val="0"/>
            <w:vAlign w:val="center"/>
          </w:tcPr>
          <w:p w14:paraId="117520BE">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c>
          <w:tcPr>
            <w:tcW w:w="2699" w:type="pct"/>
            <w:tcBorders>
              <w:tl2br w:val="nil"/>
              <w:tr2bl w:val="nil"/>
            </w:tcBorders>
            <w:noWrap w:val="0"/>
            <w:vAlign w:val="center"/>
          </w:tcPr>
          <w:p w14:paraId="52982BF6">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新疆维吾尔自治区环境保护条例（2018年修正）</w:t>
            </w:r>
          </w:p>
        </w:tc>
        <w:tc>
          <w:tcPr>
            <w:tcW w:w="1472" w:type="pct"/>
            <w:tcBorders>
              <w:tl2br w:val="nil"/>
              <w:tr2bl w:val="nil"/>
            </w:tcBorders>
            <w:noWrap w:val="0"/>
            <w:vAlign w:val="center"/>
          </w:tcPr>
          <w:p w14:paraId="08B36D57">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13届人大第6次会议</w:t>
            </w:r>
          </w:p>
        </w:tc>
        <w:tc>
          <w:tcPr>
            <w:tcW w:w="587" w:type="pct"/>
            <w:tcBorders>
              <w:tl2br w:val="nil"/>
              <w:tr2bl w:val="nil"/>
            </w:tcBorders>
            <w:noWrap w:val="0"/>
            <w:vAlign w:val="center"/>
          </w:tcPr>
          <w:p w14:paraId="6B37E0BB">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2018-09-21</w:t>
            </w:r>
          </w:p>
        </w:tc>
      </w:tr>
      <w:tr w14:paraId="7C191FD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noWrap w:val="0"/>
            <w:vAlign w:val="center"/>
          </w:tcPr>
          <w:p w14:paraId="6763D88B">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w:t>
            </w:r>
          </w:p>
        </w:tc>
        <w:tc>
          <w:tcPr>
            <w:tcW w:w="2699" w:type="pct"/>
            <w:tcBorders>
              <w:tl2br w:val="nil"/>
              <w:tr2bl w:val="nil"/>
            </w:tcBorders>
            <w:noWrap w:val="0"/>
            <w:vAlign w:val="center"/>
          </w:tcPr>
          <w:p w14:paraId="6A4F1C84">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新疆维吾尔自治区野生植物保护条例（2018年修订）</w:t>
            </w:r>
          </w:p>
        </w:tc>
        <w:tc>
          <w:tcPr>
            <w:tcW w:w="1472" w:type="pct"/>
            <w:tcBorders>
              <w:tl2br w:val="nil"/>
              <w:tr2bl w:val="nil"/>
            </w:tcBorders>
            <w:noWrap w:val="0"/>
            <w:vAlign w:val="center"/>
          </w:tcPr>
          <w:p w14:paraId="6EDFD490">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13届人大第6次会议</w:t>
            </w:r>
          </w:p>
        </w:tc>
        <w:tc>
          <w:tcPr>
            <w:tcW w:w="587" w:type="pct"/>
            <w:tcBorders>
              <w:tl2br w:val="nil"/>
              <w:tr2bl w:val="nil"/>
            </w:tcBorders>
            <w:noWrap w:val="0"/>
            <w:vAlign w:val="center"/>
          </w:tcPr>
          <w:p w14:paraId="1157896D">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2018-09-21</w:t>
            </w:r>
          </w:p>
        </w:tc>
      </w:tr>
      <w:tr w14:paraId="6B0DBF4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noWrap w:val="0"/>
            <w:vAlign w:val="center"/>
          </w:tcPr>
          <w:p w14:paraId="4D33BDDF">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w:t>
            </w:r>
          </w:p>
        </w:tc>
        <w:tc>
          <w:tcPr>
            <w:tcW w:w="2699" w:type="pct"/>
            <w:tcBorders>
              <w:tl2br w:val="nil"/>
              <w:tr2bl w:val="nil"/>
            </w:tcBorders>
            <w:noWrap w:val="0"/>
            <w:vAlign w:val="center"/>
          </w:tcPr>
          <w:p w14:paraId="383C4C8F">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新疆维吾尔自治区重点保护野生植物名录</w:t>
            </w:r>
          </w:p>
        </w:tc>
        <w:tc>
          <w:tcPr>
            <w:tcW w:w="1472" w:type="pct"/>
            <w:tcBorders>
              <w:tl2br w:val="nil"/>
              <w:tr2bl w:val="nil"/>
            </w:tcBorders>
            <w:noWrap w:val="0"/>
            <w:vAlign w:val="center"/>
          </w:tcPr>
          <w:p w14:paraId="3F7523E5">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w:t>
            </w:r>
          </w:p>
        </w:tc>
        <w:tc>
          <w:tcPr>
            <w:tcW w:w="587" w:type="pct"/>
            <w:tcBorders>
              <w:tl2br w:val="nil"/>
              <w:tr2bl w:val="nil"/>
            </w:tcBorders>
            <w:noWrap w:val="0"/>
            <w:vAlign w:val="center"/>
          </w:tcPr>
          <w:p w14:paraId="6D9F1766">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w:t>
            </w:r>
          </w:p>
        </w:tc>
      </w:tr>
      <w:tr w14:paraId="18C6103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shd w:val="clear" w:color="auto" w:fill="auto"/>
            <w:noWrap w:val="0"/>
            <w:vAlign w:val="center"/>
          </w:tcPr>
          <w:p w14:paraId="3A6D69FA">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4</w:t>
            </w:r>
          </w:p>
        </w:tc>
        <w:tc>
          <w:tcPr>
            <w:tcW w:w="2699" w:type="pct"/>
            <w:tcBorders>
              <w:tl2br w:val="nil"/>
              <w:tr2bl w:val="nil"/>
            </w:tcBorders>
            <w:noWrap w:val="0"/>
            <w:vAlign w:val="center"/>
          </w:tcPr>
          <w:p w14:paraId="0933C623">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新疆国家重点保护野生动物名录</w:t>
            </w:r>
          </w:p>
        </w:tc>
        <w:tc>
          <w:tcPr>
            <w:tcW w:w="1472" w:type="pct"/>
            <w:tcBorders>
              <w:tl2br w:val="nil"/>
              <w:tr2bl w:val="nil"/>
            </w:tcBorders>
            <w:noWrap w:val="0"/>
            <w:vAlign w:val="center"/>
          </w:tcPr>
          <w:p w14:paraId="2FCE25A8">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w:t>
            </w:r>
          </w:p>
        </w:tc>
        <w:tc>
          <w:tcPr>
            <w:tcW w:w="587" w:type="pct"/>
            <w:tcBorders>
              <w:tl2br w:val="nil"/>
              <w:tr2bl w:val="nil"/>
            </w:tcBorders>
            <w:noWrap w:val="0"/>
            <w:vAlign w:val="center"/>
          </w:tcPr>
          <w:p w14:paraId="053589AC">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2021-07-28</w:t>
            </w:r>
          </w:p>
        </w:tc>
      </w:tr>
      <w:tr w14:paraId="0B5CEAF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shd w:val="clear" w:color="auto" w:fill="auto"/>
            <w:noWrap w:val="0"/>
            <w:vAlign w:val="center"/>
          </w:tcPr>
          <w:p w14:paraId="4845E47B">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5</w:t>
            </w:r>
          </w:p>
        </w:tc>
        <w:tc>
          <w:tcPr>
            <w:tcW w:w="2699" w:type="pct"/>
            <w:tcBorders>
              <w:tl2br w:val="nil"/>
              <w:tr2bl w:val="nil"/>
            </w:tcBorders>
            <w:noWrap w:val="0"/>
            <w:vAlign w:val="center"/>
          </w:tcPr>
          <w:p w14:paraId="46464D8A">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关于印发水土流失重点预防区和重点治理区复核划分成果的通知</w:t>
            </w:r>
          </w:p>
        </w:tc>
        <w:tc>
          <w:tcPr>
            <w:tcW w:w="1472" w:type="pct"/>
            <w:tcBorders>
              <w:tl2br w:val="nil"/>
              <w:tr2bl w:val="nil"/>
            </w:tcBorders>
            <w:noWrap w:val="0"/>
            <w:vAlign w:val="center"/>
          </w:tcPr>
          <w:p w14:paraId="37EB8A75">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新水水保〔2019〕4号</w:t>
            </w:r>
          </w:p>
        </w:tc>
        <w:tc>
          <w:tcPr>
            <w:tcW w:w="587" w:type="pct"/>
            <w:tcBorders>
              <w:tl2br w:val="nil"/>
              <w:tr2bl w:val="nil"/>
            </w:tcBorders>
            <w:noWrap w:val="0"/>
            <w:vAlign w:val="center"/>
          </w:tcPr>
          <w:p w14:paraId="21A4A5FC">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2019-01-21</w:t>
            </w:r>
          </w:p>
        </w:tc>
      </w:tr>
      <w:tr w14:paraId="3138065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shd w:val="clear" w:color="auto" w:fill="auto"/>
            <w:noWrap w:val="0"/>
            <w:vAlign w:val="center"/>
          </w:tcPr>
          <w:p w14:paraId="3C7B036D">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6</w:t>
            </w:r>
          </w:p>
        </w:tc>
        <w:tc>
          <w:tcPr>
            <w:tcW w:w="2699" w:type="pct"/>
            <w:tcBorders>
              <w:tl2br w:val="nil"/>
              <w:tr2bl w:val="nil"/>
            </w:tcBorders>
            <w:noWrap w:val="0"/>
            <w:vAlign w:val="center"/>
          </w:tcPr>
          <w:p w14:paraId="791A9D0A">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新疆维吾尔自治区水环境功能区划</w:t>
            </w:r>
          </w:p>
        </w:tc>
        <w:tc>
          <w:tcPr>
            <w:tcW w:w="1472" w:type="pct"/>
            <w:tcBorders>
              <w:tl2br w:val="nil"/>
              <w:tr2bl w:val="nil"/>
            </w:tcBorders>
            <w:noWrap w:val="0"/>
            <w:vAlign w:val="center"/>
          </w:tcPr>
          <w:p w14:paraId="7B31C077">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新政函〔2002〕194号</w:t>
            </w:r>
          </w:p>
        </w:tc>
        <w:tc>
          <w:tcPr>
            <w:tcW w:w="587" w:type="pct"/>
            <w:tcBorders>
              <w:tl2br w:val="nil"/>
              <w:tr2bl w:val="nil"/>
            </w:tcBorders>
            <w:noWrap w:val="0"/>
            <w:vAlign w:val="center"/>
          </w:tcPr>
          <w:p w14:paraId="22D62C81">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2002-11-16</w:t>
            </w:r>
          </w:p>
        </w:tc>
      </w:tr>
      <w:tr w14:paraId="12AFE32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shd w:val="clear" w:color="auto" w:fill="auto"/>
            <w:noWrap w:val="0"/>
            <w:vAlign w:val="center"/>
          </w:tcPr>
          <w:p w14:paraId="032F4E91">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7</w:t>
            </w:r>
          </w:p>
        </w:tc>
        <w:tc>
          <w:tcPr>
            <w:tcW w:w="2699" w:type="pct"/>
            <w:tcBorders>
              <w:tl2br w:val="nil"/>
              <w:tr2bl w:val="nil"/>
            </w:tcBorders>
            <w:noWrap w:val="0"/>
            <w:vAlign w:val="center"/>
          </w:tcPr>
          <w:p w14:paraId="491C2C56">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新疆生态功能区划</w:t>
            </w:r>
          </w:p>
        </w:tc>
        <w:tc>
          <w:tcPr>
            <w:tcW w:w="1472" w:type="pct"/>
            <w:tcBorders>
              <w:tl2br w:val="nil"/>
              <w:tr2bl w:val="nil"/>
            </w:tcBorders>
            <w:noWrap w:val="0"/>
            <w:vAlign w:val="center"/>
          </w:tcPr>
          <w:p w14:paraId="28B90F22">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新政函〔2005〕96号</w:t>
            </w:r>
          </w:p>
        </w:tc>
        <w:tc>
          <w:tcPr>
            <w:tcW w:w="587" w:type="pct"/>
            <w:tcBorders>
              <w:tl2br w:val="nil"/>
              <w:tr2bl w:val="nil"/>
            </w:tcBorders>
            <w:noWrap w:val="0"/>
            <w:vAlign w:val="center"/>
          </w:tcPr>
          <w:p w14:paraId="23B52DD5">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2005-07-14</w:t>
            </w:r>
          </w:p>
        </w:tc>
      </w:tr>
      <w:tr w14:paraId="2693D5B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shd w:val="clear" w:color="auto" w:fill="auto"/>
            <w:noWrap w:val="0"/>
            <w:vAlign w:val="center"/>
          </w:tcPr>
          <w:p w14:paraId="55386157">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8</w:t>
            </w:r>
          </w:p>
        </w:tc>
        <w:tc>
          <w:tcPr>
            <w:tcW w:w="2699" w:type="pct"/>
            <w:tcBorders>
              <w:tl2br w:val="nil"/>
              <w:tr2bl w:val="nil"/>
            </w:tcBorders>
            <w:noWrap w:val="0"/>
            <w:vAlign w:val="center"/>
          </w:tcPr>
          <w:p w14:paraId="0CBD3895">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关于做好危险废物安全处置工作的通知</w:t>
            </w:r>
          </w:p>
        </w:tc>
        <w:tc>
          <w:tcPr>
            <w:tcW w:w="1472" w:type="pct"/>
            <w:tcBorders>
              <w:tl2br w:val="nil"/>
              <w:tr2bl w:val="nil"/>
            </w:tcBorders>
            <w:noWrap w:val="0"/>
            <w:vAlign w:val="center"/>
          </w:tcPr>
          <w:p w14:paraId="433969BF">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新环防发〔2011〕389号</w:t>
            </w:r>
          </w:p>
        </w:tc>
        <w:tc>
          <w:tcPr>
            <w:tcW w:w="587" w:type="pct"/>
            <w:tcBorders>
              <w:tl2br w:val="nil"/>
              <w:tr2bl w:val="nil"/>
            </w:tcBorders>
            <w:noWrap w:val="0"/>
            <w:vAlign w:val="center"/>
          </w:tcPr>
          <w:p w14:paraId="0B919278">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2011-07-29</w:t>
            </w:r>
          </w:p>
        </w:tc>
      </w:tr>
      <w:tr w14:paraId="00700E2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shd w:val="clear" w:color="auto" w:fill="auto"/>
            <w:noWrap w:val="0"/>
            <w:vAlign w:val="center"/>
          </w:tcPr>
          <w:p w14:paraId="4FD3063C">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9</w:t>
            </w:r>
          </w:p>
        </w:tc>
        <w:tc>
          <w:tcPr>
            <w:tcW w:w="2699" w:type="pct"/>
            <w:tcBorders>
              <w:tl2br w:val="nil"/>
              <w:tr2bl w:val="nil"/>
            </w:tcBorders>
            <w:noWrap w:val="0"/>
            <w:vAlign w:val="center"/>
          </w:tcPr>
          <w:p w14:paraId="36F181F3">
            <w:pPr>
              <w:keepNext w:val="0"/>
              <w:keepLines w:val="0"/>
              <w:pageBreakBefore w:val="0"/>
              <w:widowControl w:val="0"/>
              <w:kinsoku/>
              <w:wordWrap/>
              <w:overflowPunct/>
              <w:topLinePunct w:val="0"/>
              <w:autoSpaceDE/>
              <w:autoSpaceDN/>
              <w:bidi w:val="0"/>
              <w:adjustRightInd/>
              <w:snapToGrid/>
              <w:spacing w:line="240" w:lineRule="auto"/>
              <w:ind w:left="0"/>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关于印发新疆维吾尔自治区大气污染防治行动计划实施方案的通知</w:t>
            </w:r>
          </w:p>
        </w:tc>
        <w:tc>
          <w:tcPr>
            <w:tcW w:w="1472" w:type="pct"/>
            <w:tcBorders>
              <w:tl2br w:val="nil"/>
              <w:tr2bl w:val="nil"/>
            </w:tcBorders>
            <w:noWrap w:val="0"/>
            <w:vAlign w:val="center"/>
          </w:tcPr>
          <w:p w14:paraId="3CE1AA00">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新政发〔2014〕35号</w:t>
            </w:r>
          </w:p>
        </w:tc>
        <w:tc>
          <w:tcPr>
            <w:tcW w:w="587" w:type="pct"/>
            <w:tcBorders>
              <w:tl2br w:val="nil"/>
              <w:tr2bl w:val="nil"/>
            </w:tcBorders>
            <w:noWrap w:val="0"/>
            <w:vAlign w:val="center"/>
          </w:tcPr>
          <w:p w14:paraId="3E294C8D">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2014-04-17</w:t>
            </w:r>
          </w:p>
        </w:tc>
      </w:tr>
      <w:tr w14:paraId="036E8CF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shd w:val="clear" w:color="auto" w:fill="auto"/>
            <w:noWrap w:val="0"/>
            <w:vAlign w:val="center"/>
          </w:tcPr>
          <w:p w14:paraId="4FF9F26D">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10</w:t>
            </w:r>
          </w:p>
        </w:tc>
        <w:tc>
          <w:tcPr>
            <w:tcW w:w="2699" w:type="pct"/>
            <w:tcBorders>
              <w:tl2br w:val="nil"/>
              <w:tr2bl w:val="nil"/>
            </w:tcBorders>
            <w:noWrap w:val="0"/>
            <w:vAlign w:val="center"/>
          </w:tcPr>
          <w:p w14:paraId="4E41EC2A">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关于印发新疆维吾尔自治区水污染防治工作方案的通知</w:t>
            </w:r>
          </w:p>
        </w:tc>
        <w:tc>
          <w:tcPr>
            <w:tcW w:w="1472" w:type="pct"/>
            <w:tcBorders>
              <w:tl2br w:val="nil"/>
              <w:tr2bl w:val="nil"/>
            </w:tcBorders>
            <w:noWrap w:val="0"/>
            <w:vAlign w:val="center"/>
          </w:tcPr>
          <w:p w14:paraId="3643222B">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新政发〔2016〕21号</w:t>
            </w:r>
          </w:p>
        </w:tc>
        <w:tc>
          <w:tcPr>
            <w:tcW w:w="587" w:type="pct"/>
            <w:tcBorders>
              <w:tl2br w:val="nil"/>
              <w:tr2bl w:val="nil"/>
            </w:tcBorders>
            <w:noWrap w:val="0"/>
            <w:vAlign w:val="center"/>
          </w:tcPr>
          <w:p w14:paraId="72D991E4">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2016-01-29</w:t>
            </w:r>
          </w:p>
        </w:tc>
      </w:tr>
      <w:tr w14:paraId="3DED16B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shd w:val="clear" w:color="auto" w:fill="auto"/>
            <w:noWrap w:val="0"/>
            <w:vAlign w:val="center"/>
          </w:tcPr>
          <w:p w14:paraId="2339AA86">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11</w:t>
            </w:r>
          </w:p>
        </w:tc>
        <w:tc>
          <w:tcPr>
            <w:tcW w:w="2699" w:type="pct"/>
            <w:tcBorders>
              <w:tl2br w:val="nil"/>
              <w:tr2bl w:val="nil"/>
            </w:tcBorders>
            <w:noWrap w:val="0"/>
            <w:vAlign w:val="center"/>
          </w:tcPr>
          <w:p w14:paraId="6C49E56F">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关于印发新疆维吾尔自治区土壤污染防治工作方案的通知</w:t>
            </w:r>
          </w:p>
        </w:tc>
        <w:tc>
          <w:tcPr>
            <w:tcW w:w="1472" w:type="pct"/>
            <w:tcBorders>
              <w:tl2br w:val="nil"/>
              <w:tr2bl w:val="nil"/>
            </w:tcBorders>
            <w:noWrap w:val="0"/>
            <w:vAlign w:val="center"/>
          </w:tcPr>
          <w:p w14:paraId="3DFAFADF">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新政发〔2017〕25号</w:t>
            </w:r>
          </w:p>
        </w:tc>
        <w:tc>
          <w:tcPr>
            <w:tcW w:w="587" w:type="pct"/>
            <w:tcBorders>
              <w:tl2br w:val="nil"/>
              <w:tr2bl w:val="nil"/>
            </w:tcBorders>
            <w:noWrap w:val="0"/>
            <w:vAlign w:val="center"/>
          </w:tcPr>
          <w:p w14:paraId="780D3943">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2017-03-01</w:t>
            </w:r>
          </w:p>
        </w:tc>
      </w:tr>
      <w:tr w14:paraId="7FA587D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shd w:val="clear" w:color="auto" w:fill="auto"/>
            <w:noWrap w:val="0"/>
            <w:vAlign w:val="center"/>
          </w:tcPr>
          <w:p w14:paraId="6E4BC352">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12</w:t>
            </w:r>
          </w:p>
        </w:tc>
        <w:tc>
          <w:tcPr>
            <w:tcW w:w="2699" w:type="pct"/>
            <w:tcBorders>
              <w:tl2br w:val="nil"/>
              <w:tr2bl w:val="nil"/>
            </w:tcBorders>
            <w:noWrap w:val="0"/>
            <w:vAlign w:val="center"/>
          </w:tcPr>
          <w:p w14:paraId="10691580">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新疆维吾尔自治区重点行业生态环境准入条件（2024年）</w:t>
            </w:r>
          </w:p>
        </w:tc>
        <w:tc>
          <w:tcPr>
            <w:tcW w:w="1472" w:type="pct"/>
            <w:tcBorders>
              <w:tl2br w:val="nil"/>
              <w:tr2bl w:val="nil"/>
            </w:tcBorders>
            <w:noWrap w:val="0"/>
            <w:vAlign w:val="center"/>
          </w:tcPr>
          <w:p w14:paraId="4F30F567">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新环环评发〔2024〕93号</w:t>
            </w:r>
          </w:p>
        </w:tc>
        <w:tc>
          <w:tcPr>
            <w:tcW w:w="587" w:type="pct"/>
            <w:tcBorders>
              <w:tl2br w:val="nil"/>
              <w:tr2bl w:val="nil"/>
            </w:tcBorders>
            <w:noWrap w:val="0"/>
            <w:vAlign w:val="center"/>
          </w:tcPr>
          <w:p w14:paraId="41AEB603">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2024-06-13</w:t>
            </w:r>
          </w:p>
        </w:tc>
      </w:tr>
      <w:tr w14:paraId="4073035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shd w:val="clear" w:color="auto" w:fill="auto"/>
            <w:noWrap w:val="0"/>
            <w:vAlign w:val="center"/>
          </w:tcPr>
          <w:p w14:paraId="6F711579">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13</w:t>
            </w:r>
          </w:p>
        </w:tc>
        <w:tc>
          <w:tcPr>
            <w:tcW w:w="2699" w:type="pct"/>
            <w:tcBorders>
              <w:tl2br w:val="nil"/>
              <w:tr2bl w:val="nil"/>
            </w:tcBorders>
            <w:noWrap w:val="0"/>
            <w:vAlign w:val="center"/>
          </w:tcPr>
          <w:p w14:paraId="2D6F76AE">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新疆维吾尔自治区大气污染防治条例</w:t>
            </w:r>
          </w:p>
        </w:tc>
        <w:tc>
          <w:tcPr>
            <w:tcW w:w="1472" w:type="pct"/>
            <w:tcBorders>
              <w:tl2br w:val="nil"/>
              <w:tr2bl w:val="nil"/>
            </w:tcBorders>
            <w:noWrap w:val="0"/>
            <w:vAlign w:val="center"/>
          </w:tcPr>
          <w:p w14:paraId="708807A1">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13届人大第7次会议</w:t>
            </w:r>
          </w:p>
        </w:tc>
        <w:tc>
          <w:tcPr>
            <w:tcW w:w="587" w:type="pct"/>
            <w:tcBorders>
              <w:tl2br w:val="nil"/>
              <w:tr2bl w:val="nil"/>
            </w:tcBorders>
            <w:noWrap w:val="0"/>
            <w:vAlign w:val="center"/>
          </w:tcPr>
          <w:p w14:paraId="4E3B1251">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2019-01-01</w:t>
            </w:r>
          </w:p>
        </w:tc>
      </w:tr>
      <w:tr w14:paraId="22F88AD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shd w:val="clear" w:color="auto" w:fill="auto"/>
            <w:noWrap w:val="0"/>
            <w:vAlign w:val="center"/>
          </w:tcPr>
          <w:p w14:paraId="3A60EB15">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14</w:t>
            </w:r>
          </w:p>
        </w:tc>
        <w:tc>
          <w:tcPr>
            <w:tcW w:w="2699" w:type="pct"/>
            <w:tcBorders>
              <w:tl2br w:val="nil"/>
              <w:tr2bl w:val="nil"/>
            </w:tcBorders>
            <w:noWrap w:val="0"/>
            <w:vAlign w:val="center"/>
          </w:tcPr>
          <w:p w14:paraId="725F04FB">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新疆维吾尔自治区地下水资源管理条例（2017年修订）</w:t>
            </w:r>
          </w:p>
        </w:tc>
        <w:tc>
          <w:tcPr>
            <w:tcW w:w="1472" w:type="pct"/>
            <w:tcBorders>
              <w:tl2br w:val="nil"/>
              <w:tr2bl w:val="nil"/>
            </w:tcBorders>
            <w:noWrap w:val="0"/>
            <w:vAlign w:val="center"/>
          </w:tcPr>
          <w:p w14:paraId="10B1E5B2">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12届人大第29次会议</w:t>
            </w:r>
          </w:p>
        </w:tc>
        <w:tc>
          <w:tcPr>
            <w:tcW w:w="587" w:type="pct"/>
            <w:tcBorders>
              <w:tl2br w:val="nil"/>
              <w:tr2bl w:val="nil"/>
            </w:tcBorders>
            <w:noWrap w:val="0"/>
            <w:vAlign w:val="center"/>
          </w:tcPr>
          <w:p w14:paraId="20AC5970">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2017-05-27</w:t>
            </w:r>
          </w:p>
        </w:tc>
      </w:tr>
      <w:tr w14:paraId="61B65DE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shd w:val="clear" w:color="auto" w:fill="auto"/>
            <w:noWrap w:val="0"/>
            <w:vAlign w:val="center"/>
          </w:tcPr>
          <w:p w14:paraId="374148FC">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15</w:t>
            </w:r>
          </w:p>
        </w:tc>
        <w:tc>
          <w:tcPr>
            <w:tcW w:w="2699" w:type="pct"/>
            <w:tcBorders>
              <w:tl2br w:val="nil"/>
              <w:tr2bl w:val="nil"/>
            </w:tcBorders>
            <w:noWrap w:val="0"/>
            <w:vAlign w:val="center"/>
          </w:tcPr>
          <w:p w14:paraId="1ECDD9EB">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转发《关于强化建设项目环境影响评价事中事后监管的实施意见》</w:t>
            </w:r>
          </w:p>
        </w:tc>
        <w:tc>
          <w:tcPr>
            <w:tcW w:w="1472" w:type="pct"/>
            <w:tcBorders>
              <w:tl2br w:val="nil"/>
              <w:tr2bl w:val="nil"/>
            </w:tcBorders>
            <w:noWrap w:val="0"/>
            <w:vAlign w:val="center"/>
          </w:tcPr>
          <w:p w14:paraId="041E4A67">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新环办发〔2018〕80号</w:t>
            </w:r>
          </w:p>
        </w:tc>
        <w:tc>
          <w:tcPr>
            <w:tcW w:w="587" w:type="pct"/>
            <w:tcBorders>
              <w:tl2br w:val="nil"/>
              <w:tr2bl w:val="nil"/>
            </w:tcBorders>
            <w:noWrap w:val="0"/>
            <w:vAlign w:val="center"/>
          </w:tcPr>
          <w:p w14:paraId="3194D00C">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2018-03-27</w:t>
            </w:r>
          </w:p>
        </w:tc>
      </w:tr>
      <w:tr w14:paraId="04987EE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shd w:val="clear" w:color="auto" w:fill="auto"/>
            <w:noWrap w:val="0"/>
            <w:vAlign w:val="center"/>
          </w:tcPr>
          <w:p w14:paraId="123A3651">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16</w:t>
            </w:r>
          </w:p>
        </w:tc>
        <w:tc>
          <w:tcPr>
            <w:tcW w:w="2699" w:type="pct"/>
            <w:tcBorders>
              <w:tl2br w:val="nil"/>
              <w:tr2bl w:val="nil"/>
            </w:tcBorders>
            <w:noWrap w:val="0"/>
            <w:vAlign w:val="center"/>
          </w:tcPr>
          <w:p w14:paraId="0643A364">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关于进一步加强和规范油气田开发项目环境保护管理工作的通知</w:t>
            </w:r>
          </w:p>
        </w:tc>
        <w:tc>
          <w:tcPr>
            <w:tcW w:w="1472" w:type="pct"/>
            <w:tcBorders>
              <w:tl2br w:val="nil"/>
              <w:tr2bl w:val="nil"/>
            </w:tcBorders>
            <w:noWrap w:val="0"/>
            <w:vAlign w:val="center"/>
          </w:tcPr>
          <w:p w14:paraId="2679F158">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新环发〔2018〕133号</w:t>
            </w:r>
          </w:p>
        </w:tc>
        <w:tc>
          <w:tcPr>
            <w:tcW w:w="587" w:type="pct"/>
            <w:tcBorders>
              <w:tl2br w:val="nil"/>
              <w:tr2bl w:val="nil"/>
            </w:tcBorders>
            <w:noWrap w:val="0"/>
            <w:vAlign w:val="center"/>
          </w:tcPr>
          <w:p w14:paraId="5121499B">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2018-09-06</w:t>
            </w:r>
          </w:p>
        </w:tc>
      </w:tr>
      <w:tr w14:paraId="59B52ED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noWrap w:val="0"/>
            <w:vAlign w:val="center"/>
          </w:tcPr>
          <w:p w14:paraId="6337AC0D">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17</w:t>
            </w:r>
          </w:p>
        </w:tc>
        <w:tc>
          <w:tcPr>
            <w:tcW w:w="2699" w:type="pct"/>
            <w:tcBorders>
              <w:tl2br w:val="nil"/>
              <w:tr2bl w:val="nil"/>
            </w:tcBorders>
            <w:noWrap w:val="0"/>
            <w:vAlign w:val="center"/>
          </w:tcPr>
          <w:p w14:paraId="7EBA02E1">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关于含油污泥处置有关事宜的通知</w:t>
            </w:r>
          </w:p>
        </w:tc>
        <w:tc>
          <w:tcPr>
            <w:tcW w:w="1472" w:type="pct"/>
            <w:tcBorders>
              <w:tl2br w:val="nil"/>
              <w:tr2bl w:val="nil"/>
            </w:tcBorders>
            <w:noWrap w:val="0"/>
            <w:vAlign w:val="center"/>
          </w:tcPr>
          <w:p w14:paraId="279F4EFE">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新环发〔2018〕20号</w:t>
            </w:r>
          </w:p>
        </w:tc>
        <w:tc>
          <w:tcPr>
            <w:tcW w:w="587" w:type="pct"/>
            <w:tcBorders>
              <w:tl2br w:val="nil"/>
              <w:tr2bl w:val="nil"/>
            </w:tcBorders>
            <w:noWrap w:val="0"/>
            <w:vAlign w:val="center"/>
          </w:tcPr>
          <w:p w14:paraId="6D039E8D">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2018-12-20</w:t>
            </w:r>
          </w:p>
        </w:tc>
      </w:tr>
      <w:tr w14:paraId="227A1F5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shd w:val="clear" w:color="auto" w:fill="auto"/>
            <w:noWrap w:val="0"/>
            <w:vAlign w:val="center"/>
          </w:tcPr>
          <w:p w14:paraId="36E07F87">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18</w:t>
            </w:r>
          </w:p>
        </w:tc>
        <w:tc>
          <w:tcPr>
            <w:tcW w:w="2699" w:type="pct"/>
            <w:tcBorders>
              <w:tl2br w:val="nil"/>
              <w:tr2bl w:val="nil"/>
            </w:tcBorders>
            <w:noWrap w:val="0"/>
            <w:vAlign w:val="center"/>
          </w:tcPr>
          <w:p w14:paraId="0D89517C">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自治区党委、自治区人民政府印发《关于全面加强生态环境保护坚决打好污染防治攻坚战实施方案》</w:t>
            </w:r>
          </w:p>
        </w:tc>
        <w:tc>
          <w:tcPr>
            <w:tcW w:w="1472" w:type="pct"/>
            <w:tcBorders>
              <w:tl2br w:val="nil"/>
              <w:tr2bl w:val="nil"/>
            </w:tcBorders>
            <w:noWrap w:val="0"/>
            <w:vAlign w:val="center"/>
          </w:tcPr>
          <w:p w14:paraId="714EDD8E">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新党发〔2018〕23号</w:t>
            </w:r>
          </w:p>
        </w:tc>
        <w:tc>
          <w:tcPr>
            <w:tcW w:w="587" w:type="pct"/>
            <w:tcBorders>
              <w:tl2br w:val="nil"/>
              <w:tr2bl w:val="nil"/>
            </w:tcBorders>
            <w:noWrap w:val="0"/>
            <w:vAlign w:val="center"/>
          </w:tcPr>
          <w:p w14:paraId="47CD692A">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2018-09-04</w:t>
            </w:r>
          </w:p>
        </w:tc>
      </w:tr>
      <w:tr w14:paraId="135BBED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shd w:val="clear" w:color="auto" w:fill="auto"/>
            <w:noWrap w:val="0"/>
            <w:vAlign w:val="center"/>
          </w:tcPr>
          <w:p w14:paraId="35769E5C">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19</w:t>
            </w:r>
          </w:p>
        </w:tc>
        <w:tc>
          <w:tcPr>
            <w:tcW w:w="2699" w:type="pct"/>
            <w:tcBorders>
              <w:tl2br w:val="nil"/>
              <w:tr2bl w:val="nil"/>
            </w:tcBorders>
            <w:noWrap w:val="0"/>
            <w:vAlign w:val="center"/>
          </w:tcPr>
          <w:p w14:paraId="089ED382">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《新疆维吾尔自治区实施</w:t>
            </w:r>
            <w:r>
              <w:rPr>
                <w:rFonts w:hint="eastAsia" w:cs="Times New Roman"/>
                <w:color w:val="auto"/>
                <w:sz w:val="18"/>
                <w:szCs w:val="18"/>
                <w:highlight w:val="none"/>
                <w:lang w:val="en-US" w:eastAsia="zh-CN"/>
              </w:rPr>
              <w:t>〈</w:t>
            </w:r>
            <w:r>
              <w:rPr>
                <w:rFonts w:hint="default" w:ascii="Times New Roman" w:hAnsi="Times New Roman" w:eastAsia="宋体" w:cs="Times New Roman"/>
                <w:color w:val="auto"/>
                <w:sz w:val="18"/>
                <w:szCs w:val="18"/>
                <w:highlight w:val="none"/>
                <w:lang w:val="en-US" w:eastAsia="zh-CN"/>
              </w:rPr>
              <w:t>中华人民共和国防沙治沙法</w:t>
            </w:r>
            <w:r>
              <w:rPr>
                <w:rFonts w:hint="eastAsia" w:cs="Times New Roman"/>
                <w:color w:val="auto"/>
                <w:sz w:val="18"/>
                <w:szCs w:val="18"/>
                <w:highlight w:val="none"/>
                <w:lang w:val="en-US" w:eastAsia="zh-CN"/>
              </w:rPr>
              <w:t>〉</w:t>
            </w:r>
            <w:r>
              <w:rPr>
                <w:rFonts w:hint="default" w:ascii="Times New Roman" w:hAnsi="Times New Roman" w:eastAsia="宋体" w:cs="Times New Roman"/>
                <w:color w:val="auto"/>
                <w:sz w:val="18"/>
                <w:szCs w:val="18"/>
                <w:highlight w:val="none"/>
                <w:lang w:val="en-US" w:eastAsia="zh-CN"/>
              </w:rPr>
              <w:t>办法（2024年修订）》（2024年11月28日修订）</w:t>
            </w:r>
          </w:p>
        </w:tc>
        <w:tc>
          <w:tcPr>
            <w:tcW w:w="1472" w:type="pct"/>
            <w:tcBorders>
              <w:tl2br w:val="nil"/>
              <w:tr2bl w:val="nil"/>
            </w:tcBorders>
            <w:noWrap w:val="0"/>
            <w:vAlign w:val="center"/>
          </w:tcPr>
          <w:p w14:paraId="30273099">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587" w:type="pct"/>
            <w:tcBorders>
              <w:tl2br w:val="nil"/>
              <w:tr2bl w:val="nil"/>
            </w:tcBorders>
            <w:noWrap w:val="0"/>
            <w:vAlign w:val="center"/>
          </w:tcPr>
          <w:p w14:paraId="79471C1F">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2025-01-01</w:t>
            </w:r>
          </w:p>
        </w:tc>
      </w:tr>
      <w:tr w14:paraId="22B9258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shd w:val="clear" w:color="auto" w:fill="auto"/>
            <w:noWrap w:val="0"/>
            <w:vAlign w:val="center"/>
          </w:tcPr>
          <w:p w14:paraId="56CA6824">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20</w:t>
            </w:r>
          </w:p>
        </w:tc>
        <w:tc>
          <w:tcPr>
            <w:tcW w:w="2699" w:type="pct"/>
            <w:tcBorders>
              <w:tl2br w:val="nil"/>
              <w:tr2bl w:val="nil"/>
            </w:tcBorders>
            <w:noWrap w:val="0"/>
            <w:vAlign w:val="center"/>
          </w:tcPr>
          <w:p w14:paraId="695B1B9D">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关于加强建设项目环境影响后评价管理的通知</w:t>
            </w:r>
          </w:p>
        </w:tc>
        <w:tc>
          <w:tcPr>
            <w:tcW w:w="1472" w:type="pct"/>
            <w:tcBorders>
              <w:tl2br w:val="nil"/>
              <w:tr2bl w:val="nil"/>
            </w:tcBorders>
            <w:noWrap w:val="0"/>
            <w:vAlign w:val="center"/>
          </w:tcPr>
          <w:p w14:paraId="4017F7D2">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新环环评发〔2020〕162号</w:t>
            </w:r>
          </w:p>
        </w:tc>
        <w:tc>
          <w:tcPr>
            <w:tcW w:w="587" w:type="pct"/>
            <w:tcBorders>
              <w:tl2br w:val="nil"/>
              <w:tr2bl w:val="nil"/>
            </w:tcBorders>
            <w:noWrap w:val="0"/>
            <w:vAlign w:val="center"/>
          </w:tcPr>
          <w:p w14:paraId="405EBF9D">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2020-09-11</w:t>
            </w:r>
          </w:p>
        </w:tc>
      </w:tr>
      <w:tr w14:paraId="652DB95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shd w:val="clear" w:color="auto" w:fill="auto"/>
            <w:noWrap w:val="0"/>
            <w:vAlign w:val="center"/>
          </w:tcPr>
          <w:p w14:paraId="0163F46A">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21</w:t>
            </w:r>
          </w:p>
        </w:tc>
        <w:tc>
          <w:tcPr>
            <w:tcW w:w="2699" w:type="pct"/>
            <w:tcBorders>
              <w:tl2br w:val="nil"/>
              <w:tr2bl w:val="nil"/>
            </w:tcBorders>
            <w:noWrap w:val="0"/>
            <w:vAlign w:val="center"/>
          </w:tcPr>
          <w:p w14:paraId="7A245B3D">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新疆维吾尔自治区七大片区</w:t>
            </w:r>
            <w:r>
              <w:rPr>
                <w:rFonts w:hint="eastAsia" w:cs="Times New Roman"/>
                <w:color w:val="auto"/>
                <w:sz w:val="18"/>
                <w:szCs w:val="18"/>
                <w:highlight w:val="none"/>
                <w:lang w:val="en-US" w:eastAsia="zh-CN"/>
              </w:rPr>
              <w:t>“</w:t>
            </w:r>
            <w:r>
              <w:rPr>
                <w:rFonts w:hint="default" w:ascii="Times New Roman" w:hAnsi="Times New Roman" w:eastAsia="宋体" w:cs="Times New Roman"/>
                <w:color w:val="auto"/>
                <w:sz w:val="18"/>
                <w:szCs w:val="18"/>
                <w:highlight w:val="none"/>
                <w:lang w:val="en-US" w:eastAsia="zh-CN"/>
              </w:rPr>
              <w:t>三线一单</w:t>
            </w:r>
            <w:r>
              <w:rPr>
                <w:rFonts w:hint="eastAsia" w:cs="Times New Roman"/>
                <w:color w:val="auto"/>
                <w:sz w:val="18"/>
                <w:szCs w:val="18"/>
                <w:highlight w:val="none"/>
                <w:lang w:val="en-US" w:eastAsia="zh-CN"/>
              </w:rPr>
              <w:t>”</w:t>
            </w:r>
            <w:r>
              <w:rPr>
                <w:rFonts w:hint="default" w:ascii="Times New Roman" w:hAnsi="Times New Roman" w:eastAsia="宋体" w:cs="Times New Roman"/>
                <w:color w:val="auto"/>
                <w:sz w:val="18"/>
                <w:szCs w:val="18"/>
                <w:highlight w:val="none"/>
                <w:lang w:val="en-US" w:eastAsia="zh-CN"/>
              </w:rPr>
              <w:t>生态环境分区管控要求</w:t>
            </w:r>
          </w:p>
        </w:tc>
        <w:tc>
          <w:tcPr>
            <w:tcW w:w="1472" w:type="pct"/>
            <w:tcBorders>
              <w:tl2br w:val="nil"/>
              <w:tr2bl w:val="nil"/>
            </w:tcBorders>
            <w:noWrap w:val="0"/>
            <w:vAlign w:val="center"/>
          </w:tcPr>
          <w:p w14:paraId="59756239">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新环环评发〔2021〕162号</w:t>
            </w:r>
          </w:p>
        </w:tc>
        <w:tc>
          <w:tcPr>
            <w:tcW w:w="587" w:type="pct"/>
            <w:tcBorders>
              <w:tl2br w:val="nil"/>
              <w:tr2bl w:val="nil"/>
            </w:tcBorders>
            <w:noWrap w:val="0"/>
            <w:vAlign w:val="center"/>
          </w:tcPr>
          <w:p w14:paraId="65B7C991">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2021-07-26</w:t>
            </w:r>
          </w:p>
        </w:tc>
      </w:tr>
      <w:tr w14:paraId="77C73A6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shd w:val="clear" w:color="auto" w:fill="auto"/>
            <w:noWrap w:val="0"/>
            <w:vAlign w:val="center"/>
          </w:tcPr>
          <w:p w14:paraId="0BE196F9">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22</w:t>
            </w:r>
          </w:p>
        </w:tc>
        <w:tc>
          <w:tcPr>
            <w:tcW w:w="2699" w:type="pct"/>
            <w:tcBorders>
              <w:tl2br w:val="nil"/>
              <w:tr2bl w:val="nil"/>
            </w:tcBorders>
            <w:noWrap w:val="0"/>
            <w:vAlign w:val="center"/>
          </w:tcPr>
          <w:p w14:paraId="26DF4CD6">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新疆维吾尔自治区</w:t>
            </w:r>
            <w:r>
              <w:rPr>
                <w:rFonts w:hint="eastAsia" w:cs="Times New Roman"/>
                <w:color w:val="auto"/>
                <w:sz w:val="18"/>
                <w:szCs w:val="18"/>
                <w:highlight w:val="none"/>
                <w:lang w:val="en-US" w:eastAsia="zh-CN"/>
              </w:rPr>
              <w:t>“</w:t>
            </w:r>
            <w:r>
              <w:rPr>
                <w:rFonts w:hint="default" w:ascii="Times New Roman" w:hAnsi="Times New Roman" w:eastAsia="宋体" w:cs="Times New Roman"/>
                <w:color w:val="auto"/>
                <w:sz w:val="18"/>
                <w:szCs w:val="18"/>
                <w:highlight w:val="none"/>
                <w:lang w:val="en-US" w:eastAsia="zh-CN"/>
              </w:rPr>
              <w:t>三线一单</w:t>
            </w:r>
            <w:r>
              <w:rPr>
                <w:rFonts w:hint="eastAsia" w:cs="Times New Roman"/>
                <w:color w:val="auto"/>
                <w:sz w:val="18"/>
                <w:szCs w:val="18"/>
                <w:highlight w:val="none"/>
                <w:lang w:val="en-US" w:eastAsia="zh-CN"/>
              </w:rPr>
              <w:t>”</w:t>
            </w:r>
            <w:r>
              <w:rPr>
                <w:rFonts w:hint="default" w:ascii="Times New Roman" w:hAnsi="Times New Roman" w:eastAsia="宋体" w:cs="Times New Roman"/>
                <w:color w:val="auto"/>
                <w:sz w:val="18"/>
                <w:szCs w:val="18"/>
                <w:highlight w:val="none"/>
                <w:lang w:val="en-US" w:eastAsia="zh-CN"/>
              </w:rPr>
              <w:t>生态环境分区管控方案（2023年动态更新版）</w:t>
            </w:r>
          </w:p>
        </w:tc>
        <w:tc>
          <w:tcPr>
            <w:tcW w:w="1472" w:type="pct"/>
            <w:tcBorders>
              <w:tl2br w:val="nil"/>
              <w:tr2bl w:val="nil"/>
            </w:tcBorders>
            <w:noWrap w:val="0"/>
            <w:vAlign w:val="center"/>
          </w:tcPr>
          <w:p w14:paraId="21CF1773">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w:t>
            </w:r>
          </w:p>
        </w:tc>
        <w:tc>
          <w:tcPr>
            <w:tcW w:w="587" w:type="pct"/>
            <w:tcBorders>
              <w:tl2br w:val="nil"/>
              <w:tr2bl w:val="nil"/>
            </w:tcBorders>
            <w:noWrap w:val="0"/>
            <w:vAlign w:val="center"/>
          </w:tcPr>
          <w:p w14:paraId="78EF6A28">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w:t>
            </w:r>
          </w:p>
        </w:tc>
      </w:tr>
      <w:tr w14:paraId="3E4F1CE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shd w:val="clear" w:color="auto" w:fill="auto"/>
            <w:noWrap w:val="0"/>
            <w:vAlign w:val="center"/>
          </w:tcPr>
          <w:p w14:paraId="738C5F3B">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23</w:t>
            </w:r>
          </w:p>
        </w:tc>
        <w:tc>
          <w:tcPr>
            <w:tcW w:w="2699" w:type="pct"/>
            <w:tcBorders>
              <w:tl2br w:val="nil"/>
              <w:tr2bl w:val="nil"/>
            </w:tcBorders>
            <w:noWrap w:val="0"/>
            <w:vAlign w:val="center"/>
          </w:tcPr>
          <w:p w14:paraId="77A578B8">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关于印发阿克苏地区生态环境分区管控方案（2023年版）的通知</w:t>
            </w:r>
          </w:p>
        </w:tc>
        <w:tc>
          <w:tcPr>
            <w:tcW w:w="1472" w:type="pct"/>
            <w:tcBorders>
              <w:tl2br w:val="nil"/>
              <w:tr2bl w:val="nil"/>
            </w:tcBorders>
            <w:noWrap w:val="0"/>
            <w:vAlign w:val="center"/>
          </w:tcPr>
          <w:p w14:paraId="2138718B">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阿地环字〔2024〕32号</w:t>
            </w:r>
          </w:p>
        </w:tc>
        <w:tc>
          <w:tcPr>
            <w:tcW w:w="587" w:type="pct"/>
            <w:tcBorders>
              <w:tl2br w:val="nil"/>
              <w:tr2bl w:val="nil"/>
            </w:tcBorders>
            <w:noWrap w:val="0"/>
            <w:vAlign w:val="center"/>
          </w:tcPr>
          <w:p w14:paraId="3AE4A055">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w:t>
            </w:r>
          </w:p>
        </w:tc>
      </w:tr>
      <w:tr w14:paraId="5B10BC6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shd w:val="clear" w:color="auto" w:fill="auto"/>
            <w:noWrap w:val="0"/>
            <w:vAlign w:val="center"/>
          </w:tcPr>
          <w:p w14:paraId="56D952DE">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24</w:t>
            </w:r>
          </w:p>
        </w:tc>
        <w:tc>
          <w:tcPr>
            <w:tcW w:w="2699" w:type="pct"/>
            <w:tcBorders>
              <w:tl2br w:val="nil"/>
              <w:tr2bl w:val="nil"/>
            </w:tcBorders>
            <w:noWrap w:val="0"/>
            <w:vAlign w:val="center"/>
          </w:tcPr>
          <w:p w14:paraId="708C9874">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转发《关于进一步加强石油天然气行业环境影响评价的通知》的通知新环环评发〔2020〕142号</w:t>
            </w:r>
          </w:p>
        </w:tc>
        <w:tc>
          <w:tcPr>
            <w:tcW w:w="1472" w:type="pct"/>
            <w:tcBorders>
              <w:tl2br w:val="nil"/>
              <w:tr2bl w:val="nil"/>
            </w:tcBorders>
            <w:noWrap w:val="0"/>
            <w:vAlign w:val="center"/>
          </w:tcPr>
          <w:p w14:paraId="7B421E8C">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新环环评发〔2020〕142号</w:t>
            </w:r>
          </w:p>
        </w:tc>
        <w:tc>
          <w:tcPr>
            <w:tcW w:w="587" w:type="pct"/>
            <w:tcBorders>
              <w:tl2br w:val="nil"/>
              <w:tr2bl w:val="nil"/>
            </w:tcBorders>
            <w:noWrap w:val="0"/>
            <w:vAlign w:val="center"/>
          </w:tcPr>
          <w:p w14:paraId="39490FD2">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2020-07-30</w:t>
            </w:r>
          </w:p>
        </w:tc>
      </w:tr>
      <w:tr w14:paraId="00FAD0C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shd w:val="clear" w:color="auto" w:fill="auto"/>
            <w:noWrap w:val="0"/>
            <w:vAlign w:val="center"/>
          </w:tcPr>
          <w:p w14:paraId="43CC542F">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25</w:t>
            </w:r>
          </w:p>
        </w:tc>
        <w:tc>
          <w:tcPr>
            <w:tcW w:w="2699" w:type="pct"/>
            <w:tcBorders>
              <w:tl2br w:val="nil"/>
              <w:tr2bl w:val="nil"/>
            </w:tcBorders>
            <w:noWrap w:val="0"/>
            <w:vAlign w:val="center"/>
          </w:tcPr>
          <w:p w14:paraId="5DC562B9">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新疆生态环境保护“十四五”规划</w:t>
            </w:r>
          </w:p>
        </w:tc>
        <w:tc>
          <w:tcPr>
            <w:tcW w:w="1472" w:type="pct"/>
            <w:tcBorders>
              <w:tl2br w:val="nil"/>
              <w:tr2bl w:val="nil"/>
            </w:tcBorders>
            <w:noWrap w:val="0"/>
            <w:vAlign w:val="center"/>
          </w:tcPr>
          <w:p w14:paraId="4816EA13">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w:t>
            </w:r>
          </w:p>
        </w:tc>
        <w:tc>
          <w:tcPr>
            <w:tcW w:w="587" w:type="pct"/>
            <w:tcBorders>
              <w:tl2br w:val="nil"/>
              <w:tr2bl w:val="nil"/>
            </w:tcBorders>
            <w:noWrap w:val="0"/>
            <w:vAlign w:val="center"/>
          </w:tcPr>
          <w:p w14:paraId="360529B7">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2021-12-24</w:t>
            </w:r>
          </w:p>
        </w:tc>
      </w:tr>
      <w:tr w14:paraId="774EEAF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shd w:val="clear" w:color="auto" w:fill="auto"/>
            <w:noWrap w:val="0"/>
            <w:vAlign w:val="center"/>
          </w:tcPr>
          <w:p w14:paraId="4066DAEE">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26</w:t>
            </w:r>
          </w:p>
        </w:tc>
        <w:tc>
          <w:tcPr>
            <w:tcW w:w="2699" w:type="pct"/>
            <w:tcBorders>
              <w:tl2br w:val="nil"/>
              <w:tr2bl w:val="nil"/>
            </w:tcBorders>
            <w:noWrap w:val="0"/>
            <w:vAlign w:val="center"/>
          </w:tcPr>
          <w:p w14:paraId="6132DF3F">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关于全面加强生态环境保护坚决打好污染防治攻坚战实施方案</w:t>
            </w:r>
          </w:p>
        </w:tc>
        <w:tc>
          <w:tcPr>
            <w:tcW w:w="1472" w:type="pct"/>
            <w:tcBorders>
              <w:tl2br w:val="nil"/>
              <w:tr2bl w:val="nil"/>
            </w:tcBorders>
            <w:noWrap w:val="0"/>
            <w:vAlign w:val="center"/>
          </w:tcPr>
          <w:p w14:paraId="7D082AC8">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新党发〔2018〕23号</w:t>
            </w:r>
          </w:p>
        </w:tc>
        <w:tc>
          <w:tcPr>
            <w:tcW w:w="587" w:type="pct"/>
            <w:tcBorders>
              <w:tl2br w:val="nil"/>
              <w:tr2bl w:val="nil"/>
            </w:tcBorders>
            <w:noWrap w:val="0"/>
            <w:vAlign w:val="center"/>
          </w:tcPr>
          <w:p w14:paraId="7DBCCC7F">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2018-09-04</w:t>
            </w:r>
          </w:p>
        </w:tc>
      </w:tr>
      <w:tr w14:paraId="17A20AC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shd w:val="clear" w:color="auto" w:fill="auto"/>
            <w:noWrap w:val="0"/>
            <w:vAlign w:val="center"/>
          </w:tcPr>
          <w:p w14:paraId="5666AF13">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27</w:t>
            </w:r>
          </w:p>
        </w:tc>
        <w:tc>
          <w:tcPr>
            <w:tcW w:w="2699" w:type="pct"/>
            <w:tcBorders>
              <w:tl2br w:val="nil"/>
              <w:tr2bl w:val="nil"/>
            </w:tcBorders>
            <w:noWrap w:val="0"/>
            <w:vAlign w:val="center"/>
          </w:tcPr>
          <w:p w14:paraId="49121647">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石油和天然气开采行业清洁生产评价体系指标（试行）</w:t>
            </w:r>
          </w:p>
        </w:tc>
        <w:tc>
          <w:tcPr>
            <w:tcW w:w="1472" w:type="pct"/>
            <w:tcBorders>
              <w:tl2br w:val="nil"/>
              <w:tr2bl w:val="nil"/>
            </w:tcBorders>
            <w:noWrap w:val="0"/>
            <w:vAlign w:val="center"/>
          </w:tcPr>
          <w:p w14:paraId="6700754E">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发改委公告2009年第3号</w:t>
            </w:r>
          </w:p>
        </w:tc>
        <w:tc>
          <w:tcPr>
            <w:tcW w:w="587" w:type="pct"/>
            <w:tcBorders>
              <w:tl2br w:val="nil"/>
              <w:tr2bl w:val="nil"/>
            </w:tcBorders>
            <w:noWrap w:val="0"/>
            <w:vAlign w:val="center"/>
          </w:tcPr>
          <w:p w14:paraId="05D6D08A">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2009-02-19</w:t>
            </w:r>
          </w:p>
        </w:tc>
      </w:tr>
      <w:tr w14:paraId="10EF438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shd w:val="clear" w:color="auto" w:fill="auto"/>
            <w:noWrap w:val="0"/>
            <w:vAlign w:val="center"/>
          </w:tcPr>
          <w:p w14:paraId="5A1427AC">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28</w:t>
            </w:r>
          </w:p>
        </w:tc>
        <w:tc>
          <w:tcPr>
            <w:tcW w:w="2699" w:type="pct"/>
            <w:tcBorders>
              <w:tl2br w:val="nil"/>
              <w:tr2bl w:val="nil"/>
            </w:tcBorders>
            <w:noWrap w:val="0"/>
            <w:vAlign w:val="center"/>
          </w:tcPr>
          <w:p w14:paraId="4A838E25">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关于发布《排放源统计调查产排污核算方法和系数手册》的公告</w:t>
            </w:r>
          </w:p>
        </w:tc>
        <w:tc>
          <w:tcPr>
            <w:tcW w:w="1472" w:type="pct"/>
            <w:tcBorders>
              <w:tl2br w:val="nil"/>
              <w:tr2bl w:val="nil"/>
            </w:tcBorders>
            <w:noWrap w:val="0"/>
            <w:vAlign w:val="center"/>
          </w:tcPr>
          <w:p w14:paraId="61E90C84">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生态环境部公告2021年第24号</w:t>
            </w:r>
          </w:p>
        </w:tc>
        <w:tc>
          <w:tcPr>
            <w:tcW w:w="587" w:type="pct"/>
            <w:tcBorders>
              <w:tl2br w:val="nil"/>
              <w:tr2bl w:val="nil"/>
            </w:tcBorders>
            <w:noWrap w:val="0"/>
            <w:vAlign w:val="center"/>
          </w:tcPr>
          <w:p w14:paraId="30924AE4">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2021-06-11</w:t>
            </w:r>
          </w:p>
        </w:tc>
      </w:tr>
      <w:tr w14:paraId="30435BC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41" w:type="pct"/>
            <w:tcBorders>
              <w:tl2br w:val="nil"/>
              <w:tr2bl w:val="nil"/>
            </w:tcBorders>
            <w:shd w:val="clear" w:color="auto" w:fill="auto"/>
            <w:noWrap w:val="0"/>
            <w:vAlign w:val="center"/>
          </w:tcPr>
          <w:p w14:paraId="650ABD2B">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29</w:t>
            </w:r>
          </w:p>
        </w:tc>
        <w:tc>
          <w:tcPr>
            <w:tcW w:w="2699" w:type="pct"/>
            <w:tcBorders>
              <w:tl2br w:val="nil"/>
              <w:tr2bl w:val="nil"/>
            </w:tcBorders>
            <w:noWrap w:val="0"/>
            <w:vAlign w:val="center"/>
          </w:tcPr>
          <w:p w14:paraId="4F95390C">
            <w:pPr>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关于深入打好污染防治攻坚战的实施方案</w:t>
            </w:r>
          </w:p>
        </w:tc>
        <w:tc>
          <w:tcPr>
            <w:tcW w:w="1472" w:type="pct"/>
            <w:tcBorders>
              <w:tl2br w:val="nil"/>
              <w:tr2bl w:val="nil"/>
            </w:tcBorders>
            <w:noWrap w:val="0"/>
            <w:vAlign w:val="center"/>
          </w:tcPr>
          <w:p w14:paraId="283E1EB6">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自治区党委自治区人民政府印发</w:t>
            </w:r>
          </w:p>
        </w:tc>
        <w:tc>
          <w:tcPr>
            <w:tcW w:w="587" w:type="pct"/>
            <w:tcBorders>
              <w:tl2br w:val="nil"/>
              <w:tr2bl w:val="nil"/>
            </w:tcBorders>
            <w:noWrap w:val="0"/>
            <w:vAlign w:val="center"/>
          </w:tcPr>
          <w:p w14:paraId="4CCBB172">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2022-07-26</w:t>
            </w:r>
          </w:p>
        </w:tc>
      </w:tr>
    </w:tbl>
    <w:p w14:paraId="10A8B189">
      <w:pPr>
        <w:bidi w:val="0"/>
        <w:rPr>
          <w:rFonts w:hint="default"/>
          <w:color w:val="auto"/>
        </w:rPr>
      </w:pPr>
    </w:p>
    <w:p w14:paraId="1CCB2566">
      <w:pPr>
        <w:pStyle w:val="54"/>
        <w:bidi w:val="0"/>
        <w:rPr>
          <w:rFonts w:hint="default"/>
          <w:color w:val="auto"/>
        </w:rPr>
      </w:pPr>
      <w:r>
        <w:rPr>
          <w:rFonts w:hint="default"/>
          <w:color w:val="auto"/>
        </w:rPr>
        <w:t>2.</w:t>
      </w:r>
      <w:r>
        <w:rPr>
          <w:rFonts w:hint="eastAsia"/>
          <w:color w:val="auto"/>
          <w:lang w:val="en-US" w:eastAsia="zh-CN"/>
        </w:rPr>
        <w:t>1</w:t>
      </w:r>
      <w:r>
        <w:rPr>
          <w:rFonts w:hint="default"/>
          <w:color w:val="auto"/>
        </w:rPr>
        <w:t>.</w:t>
      </w:r>
      <w:r>
        <w:rPr>
          <w:rFonts w:hint="eastAsia"/>
          <w:color w:val="auto"/>
          <w:lang w:val="en-US" w:eastAsia="zh-CN"/>
        </w:rPr>
        <w:t>3</w:t>
      </w:r>
      <w:r>
        <w:rPr>
          <w:rFonts w:hint="default"/>
          <w:color w:val="auto"/>
        </w:rPr>
        <w:t xml:space="preserve"> 环境保护技术规范</w:t>
      </w:r>
    </w:p>
    <w:p w14:paraId="20278FA7">
      <w:pPr>
        <w:pStyle w:val="79"/>
        <w:bidi w:val="0"/>
        <w:rPr>
          <w:rFonts w:hint="default"/>
          <w:color w:val="auto"/>
        </w:rPr>
      </w:pPr>
      <w:r>
        <w:rPr>
          <w:rFonts w:hint="default"/>
          <w:color w:val="auto"/>
        </w:rPr>
        <w:t>环评有关技术规定</w:t>
      </w:r>
      <w:r>
        <w:rPr>
          <w:rFonts w:hint="eastAsia"/>
          <w:color w:val="auto"/>
          <w:lang w:eastAsia="zh-CN"/>
        </w:rPr>
        <w:t>，</w:t>
      </w:r>
      <w:r>
        <w:rPr>
          <w:rFonts w:hint="default"/>
          <w:color w:val="auto"/>
        </w:rPr>
        <w:t>见表2.</w:t>
      </w:r>
      <w:r>
        <w:rPr>
          <w:rFonts w:hint="eastAsia"/>
          <w:color w:val="auto"/>
          <w:lang w:val="en-US" w:eastAsia="zh-CN"/>
        </w:rPr>
        <w:t>1</w:t>
      </w:r>
      <w:r>
        <w:rPr>
          <w:rFonts w:hint="default"/>
          <w:color w:val="auto"/>
        </w:rPr>
        <w:t>-</w:t>
      </w:r>
      <w:r>
        <w:rPr>
          <w:rFonts w:hint="eastAsia"/>
          <w:color w:val="auto"/>
          <w:lang w:val="en-US" w:eastAsia="zh-CN"/>
        </w:rPr>
        <w:t>3</w:t>
      </w:r>
      <w:r>
        <w:rPr>
          <w:rFonts w:hint="default"/>
          <w:color w:val="auto"/>
        </w:rPr>
        <w:t>。</w:t>
      </w:r>
    </w:p>
    <w:p w14:paraId="3530045B">
      <w:pPr>
        <w:pStyle w:val="61"/>
        <w:keepNext w:val="0"/>
        <w:keepLines w:val="0"/>
        <w:pageBreakBefore w:val="0"/>
        <w:widowControl w:val="0"/>
        <w:kinsoku/>
        <w:wordWrap/>
        <w:overflowPunct/>
        <w:topLinePunct w:val="0"/>
        <w:autoSpaceDE/>
        <w:autoSpaceDN/>
        <w:bidi w:val="0"/>
        <w:adjustRightInd/>
        <w:snapToGrid/>
        <w:spacing w:line="480" w:lineRule="exact"/>
        <w:ind w:firstLine="420" w:firstLineChars="200"/>
        <w:jc w:val="both"/>
        <w:textAlignment w:val="auto"/>
        <w:rPr>
          <w:rFonts w:hint="eastAsia" w:ascii="黑体" w:hAnsi="黑体" w:eastAsia="黑体" w:cs="黑体"/>
          <w:b/>
          <w:bCs w:val="0"/>
          <w:color w:val="auto"/>
          <w:sz w:val="21"/>
          <w:szCs w:val="21"/>
        </w:rPr>
      </w:pPr>
      <w:r>
        <w:rPr>
          <w:rFonts w:hint="eastAsia" w:ascii="黑体" w:hAnsi="黑体" w:eastAsia="黑体" w:cs="黑体"/>
          <w:b/>
          <w:bCs w:val="0"/>
          <w:color w:val="auto"/>
          <w:sz w:val="21"/>
          <w:szCs w:val="21"/>
        </w:rPr>
        <w:t>表2.</w:t>
      </w:r>
      <w:r>
        <w:rPr>
          <w:rFonts w:hint="eastAsia" w:ascii="黑体" w:hAnsi="黑体" w:eastAsia="黑体" w:cs="黑体"/>
          <w:b/>
          <w:bCs w:val="0"/>
          <w:color w:val="auto"/>
          <w:sz w:val="21"/>
          <w:szCs w:val="21"/>
          <w:lang w:val="en-US" w:eastAsia="zh-CN"/>
        </w:rPr>
        <w:t>1</w:t>
      </w:r>
      <w:r>
        <w:rPr>
          <w:rFonts w:hint="eastAsia" w:ascii="黑体" w:hAnsi="黑体" w:eastAsia="黑体" w:cs="黑体"/>
          <w:b/>
          <w:bCs w:val="0"/>
          <w:color w:val="auto"/>
          <w:sz w:val="21"/>
          <w:szCs w:val="21"/>
        </w:rPr>
        <w:t>-</w:t>
      </w:r>
      <w:r>
        <w:rPr>
          <w:rFonts w:hint="eastAsia" w:ascii="黑体" w:hAnsi="黑体" w:eastAsia="黑体" w:cs="黑体"/>
          <w:b/>
          <w:bCs w:val="0"/>
          <w:color w:val="auto"/>
          <w:sz w:val="21"/>
          <w:szCs w:val="21"/>
          <w:lang w:val="en-US" w:eastAsia="zh-CN"/>
        </w:rPr>
        <w:t>3</w:t>
      </w:r>
      <w:r>
        <w:rPr>
          <w:rFonts w:hint="eastAsia" w:ascii="黑体" w:hAnsi="黑体" w:eastAsia="黑体" w:cs="黑体"/>
          <w:b/>
          <w:bCs w:val="0"/>
          <w:color w:val="auto"/>
          <w:sz w:val="21"/>
          <w:szCs w:val="21"/>
        </w:rPr>
        <w:t xml:space="preserve">  环评技术导则依据一览表</w:t>
      </w:r>
    </w:p>
    <w:tbl>
      <w:tblPr>
        <w:tblStyle w:val="36"/>
        <w:tblW w:w="4954" w:type="pct"/>
        <w:tblInd w:w="7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21"/>
        <w:gridCol w:w="4748"/>
        <w:gridCol w:w="2214"/>
        <w:gridCol w:w="1170"/>
      </w:tblGrid>
      <w:tr w14:paraId="1F0B3A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5" w:type="pct"/>
            <w:tcBorders>
              <w:tl2br w:val="nil"/>
              <w:tr2bl w:val="nil"/>
            </w:tcBorders>
            <w:noWrap w:val="0"/>
            <w:vAlign w:val="center"/>
          </w:tcPr>
          <w:p w14:paraId="01DC9CA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序号</w:t>
            </w:r>
          </w:p>
        </w:tc>
        <w:tc>
          <w:tcPr>
            <w:tcW w:w="2711" w:type="pct"/>
            <w:tcBorders>
              <w:tl2br w:val="nil"/>
              <w:tr2bl w:val="nil"/>
            </w:tcBorders>
            <w:noWrap w:val="0"/>
            <w:vAlign w:val="center"/>
          </w:tcPr>
          <w:p w14:paraId="00E541A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依据名称</w:t>
            </w:r>
          </w:p>
        </w:tc>
        <w:tc>
          <w:tcPr>
            <w:tcW w:w="1264" w:type="pct"/>
            <w:tcBorders>
              <w:tl2br w:val="nil"/>
              <w:tr2bl w:val="nil"/>
            </w:tcBorders>
            <w:noWrap w:val="0"/>
            <w:vAlign w:val="center"/>
          </w:tcPr>
          <w:p w14:paraId="4E70347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标准号</w:t>
            </w:r>
          </w:p>
        </w:tc>
        <w:tc>
          <w:tcPr>
            <w:tcW w:w="668" w:type="pct"/>
            <w:tcBorders>
              <w:tl2br w:val="nil"/>
              <w:tr2bl w:val="nil"/>
            </w:tcBorders>
            <w:noWrap w:val="0"/>
            <w:vAlign w:val="center"/>
          </w:tcPr>
          <w:p w14:paraId="7E466FC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实施时间</w:t>
            </w:r>
          </w:p>
        </w:tc>
      </w:tr>
      <w:tr w14:paraId="1CB880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5" w:type="pct"/>
            <w:tcBorders>
              <w:tl2br w:val="nil"/>
              <w:tr2bl w:val="nil"/>
            </w:tcBorders>
            <w:noWrap w:val="0"/>
            <w:vAlign w:val="center"/>
          </w:tcPr>
          <w:p w14:paraId="4709D79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2711" w:type="pct"/>
            <w:tcBorders>
              <w:tl2br w:val="nil"/>
              <w:tr2bl w:val="nil"/>
            </w:tcBorders>
            <w:noWrap w:val="0"/>
            <w:vAlign w:val="center"/>
          </w:tcPr>
          <w:p w14:paraId="4D40D7B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建设项目环境影响评价技术导则  总纲</w:t>
            </w:r>
          </w:p>
        </w:tc>
        <w:tc>
          <w:tcPr>
            <w:tcW w:w="1264" w:type="pct"/>
            <w:tcBorders>
              <w:tl2br w:val="nil"/>
              <w:tr2bl w:val="nil"/>
            </w:tcBorders>
            <w:noWrap w:val="0"/>
            <w:vAlign w:val="center"/>
          </w:tcPr>
          <w:p w14:paraId="783CEB9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HJ2.1-2016</w:t>
            </w:r>
          </w:p>
        </w:tc>
        <w:tc>
          <w:tcPr>
            <w:tcW w:w="668" w:type="pct"/>
            <w:tcBorders>
              <w:tl2br w:val="nil"/>
              <w:tr2bl w:val="nil"/>
            </w:tcBorders>
            <w:noWrap w:val="0"/>
            <w:vAlign w:val="center"/>
          </w:tcPr>
          <w:p w14:paraId="61B0AF2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2017-1-1</w:t>
            </w:r>
          </w:p>
        </w:tc>
      </w:tr>
      <w:tr w14:paraId="250971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5" w:type="pct"/>
            <w:tcBorders>
              <w:tl2br w:val="nil"/>
              <w:tr2bl w:val="nil"/>
            </w:tcBorders>
            <w:noWrap w:val="0"/>
            <w:vAlign w:val="center"/>
          </w:tcPr>
          <w:p w14:paraId="42DBFCE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w:t>
            </w:r>
          </w:p>
        </w:tc>
        <w:tc>
          <w:tcPr>
            <w:tcW w:w="2711" w:type="pct"/>
            <w:tcBorders>
              <w:tl2br w:val="nil"/>
              <w:tr2bl w:val="nil"/>
            </w:tcBorders>
            <w:noWrap w:val="0"/>
            <w:vAlign w:val="center"/>
          </w:tcPr>
          <w:p w14:paraId="280AE1D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环境影响评价技术导则  大气环境</w:t>
            </w:r>
          </w:p>
        </w:tc>
        <w:tc>
          <w:tcPr>
            <w:tcW w:w="1264" w:type="pct"/>
            <w:tcBorders>
              <w:tl2br w:val="nil"/>
              <w:tr2bl w:val="nil"/>
            </w:tcBorders>
            <w:noWrap w:val="0"/>
            <w:vAlign w:val="center"/>
          </w:tcPr>
          <w:p w14:paraId="4FE5E3E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HJ2.2-2018</w:t>
            </w:r>
          </w:p>
        </w:tc>
        <w:tc>
          <w:tcPr>
            <w:tcW w:w="668" w:type="pct"/>
            <w:tcBorders>
              <w:tl2br w:val="nil"/>
              <w:tr2bl w:val="nil"/>
            </w:tcBorders>
            <w:noWrap w:val="0"/>
            <w:vAlign w:val="center"/>
          </w:tcPr>
          <w:p w14:paraId="41B7AA6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2018-12-01</w:t>
            </w:r>
          </w:p>
        </w:tc>
      </w:tr>
      <w:tr w14:paraId="10F11D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5" w:type="pct"/>
            <w:tcBorders>
              <w:tl2br w:val="nil"/>
              <w:tr2bl w:val="nil"/>
            </w:tcBorders>
            <w:noWrap w:val="0"/>
            <w:vAlign w:val="center"/>
          </w:tcPr>
          <w:p w14:paraId="70E4B35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w:t>
            </w:r>
          </w:p>
        </w:tc>
        <w:tc>
          <w:tcPr>
            <w:tcW w:w="2711" w:type="pct"/>
            <w:tcBorders>
              <w:tl2br w:val="nil"/>
              <w:tr2bl w:val="nil"/>
            </w:tcBorders>
            <w:noWrap w:val="0"/>
            <w:vAlign w:val="center"/>
          </w:tcPr>
          <w:p w14:paraId="4249C08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环境影响评价技术导则 地表水环境</w:t>
            </w:r>
          </w:p>
        </w:tc>
        <w:tc>
          <w:tcPr>
            <w:tcW w:w="1264" w:type="pct"/>
            <w:tcBorders>
              <w:tl2br w:val="nil"/>
              <w:tr2bl w:val="nil"/>
            </w:tcBorders>
            <w:noWrap w:val="0"/>
            <w:vAlign w:val="center"/>
          </w:tcPr>
          <w:p w14:paraId="5A5C968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HJ2.3-2018</w:t>
            </w:r>
          </w:p>
        </w:tc>
        <w:tc>
          <w:tcPr>
            <w:tcW w:w="668" w:type="pct"/>
            <w:tcBorders>
              <w:tl2br w:val="nil"/>
              <w:tr2bl w:val="nil"/>
            </w:tcBorders>
            <w:noWrap w:val="0"/>
            <w:vAlign w:val="center"/>
          </w:tcPr>
          <w:p w14:paraId="13F5BD7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2019-03-01</w:t>
            </w:r>
          </w:p>
        </w:tc>
      </w:tr>
      <w:tr w14:paraId="5F572F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5" w:type="pct"/>
            <w:tcBorders>
              <w:tl2br w:val="nil"/>
              <w:tr2bl w:val="nil"/>
            </w:tcBorders>
            <w:noWrap w:val="0"/>
            <w:vAlign w:val="center"/>
          </w:tcPr>
          <w:p w14:paraId="46EBD80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4</w:t>
            </w:r>
          </w:p>
        </w:tc>
        <w:tc>
          <w:tcPr>
            <w:tcW w:w="2711" w:type="pct"/>
            <w:tcBorders>
              <w:tl2br w:val="nil"/>
              <w:tr2bl w:val="nil"/>
            </w:tcBorders>
            <w:noWrap w:val="0"/>
            <w:vAlign w:val="center"/>
          </w:tcPr>
          <w:p w14:paraId="4E759F7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环境影响评价技术导则  声环境</w:t>
            </w:r>
          </w:p>
        </w:tc>
        <w:tc>
          <w:tcPr>
            <w:tcW w:w="1264" w:type="pct"/>
            <w:tcBorders>
              <w:tl2br w:val="nil"/>
              <w:tr2bl w:val="nil"/>
            </w:tcBorders>
            <w:noWrap w:val="0"/>
            <w:vAlign w:val="center"/>
          </w:tcPr>
          <w:p w14:paraId="147BB5A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HJ2.4-2021</w:t>
            </w:r>
          </w:p>
        </w:tc>
        <w:tc>
          <w:tcPr>
            <w:tcW w:w="668" w:type="pct"/>
            <w:tcBorders>
              <w:tl2br w:val="nil"/>
              <w:tr2bl w:val="nil"/>
            </w:tcBorders>
            <w:noWrap w:val="0"/>
            <w:vAlign w:val="center"/>
          </w:tcPr>
          <w:p w14:paraId="3C98BCC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2022-07-01</w:t>
            </w:r>
          </w:p>
        </w:tc>
      </w:tr>
      <w:tr w14:paraId="29DFE6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5" w:type="pct"/>
            <w:tcBorders>
              <w:tl2br w:val="nil"/>
              <w:tr2bl w:val="nil"/>
            </w:tcBorders>
            <w:noWrap w:val="0"/>
            <w:vAlign w:val="center"/>
          </w:tcPr>
          <w:p w14:paraId="716F14E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5</w:t>
            </w:r>
          </w:p>
        </w:tc>
        <w:tc>
          <w:tcPr>
            <w:tcW w:w="2711" w:type="pct"/>
            <w:tcBorders>
              <w:tl2br w:val="nil"/>
              <w:tr2bl w:val="nil"/>
            </w:tcBorders>
            <w:noWrap w:val="0"/>
            <w:vAlign w:val="center"/>
          </w:tcPr>
          <w:p w14:paraId="19D127B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环境影响评价技术导则  生态影响</w:t>
            </w:r>
          </w:p>
        </w:tc>
        <w:tc>
          <w:tcPr>
            <w:tcW w:w="1264" w:type="pct"/>
            <w:tcBorders>
              <w:tl2br w:val="nil"/>
              <w:tr2bl w:val="nil"/>
            </w:tcBorders>
            <w:noWrap w:val="0"/>
            <w:vAlign w:val="center"/>
          </w:tcPr>
          <w:p w14:paraId="4978261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HJ19-2022</w:t>
            </w:r>
          </w:p>
        </w:tc>
        <w:tc>
          <w:tcPr>
            <w:tcW w:w="668" w:type="pct"/>
            <w:tcBorders>
              <w:tl2br w:val="nil"/>
              <w:tr2bl w:val="nil"/>
            </w:tcBorders>
            <w:noWrap w:val="0"/>
            <w:vAlign w:val="center"/>
          </w:tcPr>
          <w:p w14:paraId="6A2C0BD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2022-07-01</w:t>
            </w:r>
          </w:p>
        </w:tc>
      </w:tr>
      <w:tr w14:paraId="24C072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5" w:type="pct"/>
            <w:tcBorders>
              <w:tl2br w:val="nil"/>
              <w:tr2bl w:val="nil"/>
            </w:tcBorders>
            <w:noWrap w:val="0"/>
            <w:vAlign w:val="center"/>
          </w:tcPr>
          <w:p w14:paraId="6ABA8B9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6</w:t>
            </w:r>
          </w:p>
        </w:tc>
        <w:tc>
          <w:tcPr>
            <w:tcW w:w="2711" w:type="pct"/>
            <w:tcBorders>
              <w:tl2br w:val="nil"/>
              <w:tr2bl w:val="nil"/>
            </w:tcBorders>
            <w:noWrap w:val="0"/>
            <w:vAlign w:val="center"/>
          </w:tcPr>
          <w:p w14:paraId="352E9E4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环境影响评价技术导则  地下水环境</w:t>
            </w:r>
          </w:p>
        </w:tc>
        <w:tc>
          <w:tcPr>
            <w:tcW w:w="1264" w:type="pct"/>
            <w:tcBorders>
              <w:tl2br w:val="nil"/>
              <w:tr2bl w:val="nil"/>
            </w:tcBorders>
            <w:noWrap w:val="0"/>
            <w:vAlign w:val="center"/>
          </w:tcPr>
          <w:p w14:paraId="09B3C6C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HJ610-2016</w:t>
            </w:r>
          </w:p>
        </w:tc>
        <w:tc>
          <w:tcPr>
            <w:tcW w:w="668" w:type="pct"/>
            <w:tcBorders>
              <w:tl2br w:val="nil"/>
              <w:tr2bl w:val="nil"/>
            </w:tcBorders>
            <w:noWrap w:val="0"/>
            <w:vAlign w:val="center"/>
          </w:tcPr>
          <w:p w14:paraId="2CE94F5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2016-01-07</w:t>
            </w:r>
          </w:p>
        </w:tc>
      </w:tr>
      <w:tr w14:paraId="744A60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5" w:type="pct"/>
            <w:tcBorders>
              <w:tl2br w:val="nil"/>
              <w:tr2bl w:val="nil"/>
            </w:tcBorders>
            <w:noWrap w:val="0"/>
            <w:vAlign w:val="center"/>
          </w:tcPr>
          <w:p w14:paraId="7BC5C66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7</w:t>
            </w:r>
          </w:p>
        </w:tc>
        <w:tc>
          <w:tcPr>
            <w:tcW w:w="2711" w:type="pct"/>
            <w:tcBorders>
              <w:tl2br w:val="nil"/>
              <w:tr2bl w:val="nil"/>
            </w:tcBorders>
            <w:noWrap w:val="0"/>
            <w:vAlign w:val="center"/>
          </w:tcPr>
          <w:p w14:paraId="53BB875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环境影响评价技术导则 陆地石油天然气开发建设项目</w:t>
            </w:r>
          </w:p>
        </w:tc>
        <w:tc>
          <w:tcPr>
            <w:tcW w:w="1264" w:type="pct"/>
            <w:tcBorders>
              <w:tl2br w:val="nil"/>
              <w:tr2bl w:val="nil"/>
            </w:tcBorders>
            <w:noWrap w:val="0"/>
            <w:vAlign w:val="center"/>
          </w:tcPr>
          <w:p w14:paraId="2F2F8EA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HJ349-20</w:t>
            </w:r>
            <w:r>
              <w:rPr>
                <w:rFonts w:hint="eastAsia" w:ascii="Times New Roman" w:hAnsi="Times New Roman" w:cs="Times New Roman"/>
                <w:color w:val="auto"/>
                <w:sz w:val="18"/>
                <w:szCs w:val="18"/>
                <w:highlight w:val="none"/>
                <w:lang w:val="en-US" w:eastAsia="zh-CN"/>
              </w:rPr>
              <w:t>23</w:t>
            </w:r>
          </w:p>
        </w:tc>
        <w:tc>
          <w:tcPr>
            <w:tcW w:w="668" w:type="pct"/>
            <w:tcBorders>
              <w:tl2br w:val="nil"/>
              <w:tr2bl w:val="nil"/>
            </w:tcBorders>
            <w:noWrap w:val="0"/>
            <w:vAlign w:val="center"/>
          </w:tcPr>
          <w:p w14:paraId="4314DFE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20</w:t>
            </w:r>
            <w:r>
              <w:rPr>
                <w:rFonts w:hint="eastAsia" w:ascii="Times New Roman" w:hAnsi="Times New Roman" w:cs="Times New Roman"/>
                <w:color w:val="auto"/>
                <w:sz w:val="18"/>
                <w:szCs w:val="18"/>
                <w:highlight w:val="none"/>
                <w:lang w:val="en-US" w:eastAsia="zh-CN"/>
              </w:rPr>
              <w:t>24</w:t>
            </w:r>
            <w:r>
              <w:rPr>
                <w:rFonts w:hint="default" w:ascii="Times New Roman" w:hAnsi="Times New Roman" w:cs="Times New Roman"/>
                <w:color w:val="auto"/>
                <w:sz w:val="18"/>
                <w:szCs w:val="18"/>
                <w:highlight w:val="none"/>
              </w:rPr>
              <w:t>-0</w:t>
            </w:r>
            <w:r>
              <w:rPr>
                <w:rFonts w:hint="eastAsia" w:ascii="Times New Roman" w:hAnsi="Times New Roman" w:cs="Times New Roman"/>
                <w:color w:val="auto"/>
                <w:sz w:val="18"/>
                <w:szCs w:val="18"/>
                <w:highlight w:val="none"/>
                <w:lang w:val="en-US" w:eastAsia="zh-CN"/>
              </w:rPr>
              <w:t>1</w:t>
            </w:r>
            <w:r>
              <w:rPr>
                <w:rFonts w:hint="default" w:ascii="Times New Roman" w:hAnsi="Times New Roman" w:cs="Times New Roman"/>
                <w:color w:val="auto"/>
                <w:sz w:val="18"/>
                <w:szCs w:val="18"/>
                <w:highlight w:val="none"/>
              </w:rPr>
              <w:t>-01</w:t>
            </w:r>
          </w:p>
        </w:tc>
      </w:tr>
      <w:tr w14:paraId="1EDAF3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5" w:type="pct"/>
            <w:tcBorders>
              <w:tl2br w:val="nil"/>
              <w:tr2bl w:val="nil"/>
            </w:tcBorders>
            <w:noWrap w:val="0"/>
            <w:vAlign w:val="center"/>
          </w:tcPr>
          <w:p w14:paraId="6F565D1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8</w:t>
            </w:r>
          </w:p>
        </w:tc>
        <w:tc>
          <w:tcPr>
            <w:tcW w:w="2711" w:type="pct"/>
            <w:tcBorders>
              <w:tl2br w:val="nil"/>
              <w:tr2bl w:val="nil"/>
            </w:tcBorders>
            <w:noWrap w:val="0"/>
            <w:vAlign w:val="center"/>
          </w:tcPr>
          <w:p w14:paraId="2CA6990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建设项目环境风险评价技术导则</w:t>
            </w:r>
          </w:p>
        </w:tc>
        <w:tc>
          <w:tcPr>
            <w:tcW w:w="1264" w:type="pct"/>
            <w:tcBorders>
              <w:tl2br w:val="nil"/>
              <w:tr2bl w:val="nil"/>
            </w:tcBorders>
            <w:noWrap w:val="0"/>
            <w:vAlign w:val="center"/>
          </w:tcPr>
          <w:p w14:paraId="1AA21D6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HJ169-2018</w:t>
            </w:r>
          </w:p>
        </w:tc>
        <w:tc>
          <w:tcPr>
            <w:tcW w:w="668" w:type="pct"/>
            <w:tcBorders>
              <w:tl2br w:val="nil"/>
              <w:tr2bl w:val="nil"/>
            </w:tcBorders>
            <w:noWrap w:val="0"/>
            <w:vAlign w:val="center"/>
          </w:tcPr>
          <w:p w14:paraId="551AF14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2019-03-01</w:t>
            </w:r>
          </w:p>
        </w:tc>
      </w:tr>
      <w:tr w14:paraId="7079D2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5" w:type="pct"/>
            <w:tcBorders>
              <w:tl2br w:val="nil"/>
              <w:tr2bl w:val="nil"/>
            </w:tcBorders>
            <w:noWrap w:val="0"/>
            <w:vAlign w:val="center"/>
          </w:tcPr>
          <w:p w14:paraId="1687EBE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9</w:t>
            </w:r>
          </w:p>
        </w:tc>
        <w:tc>
          <w:tcPr>
            <w:tcW w:w="2711" w:type="pct"/>
            <w:tcBorders>
              <w:tl2br w:val="nil"/>
              <w:tr2bl w:val="nil"/>
            </w:tcBorders>
            <w:noWrap w:val="0"/>
            <w:vAlign w:val="center"/>
          </w:tcPr>
          <w:p w14:paraId="3059D6A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环境影响评价技术导则  土壤</w:t>
            </w:r>
            <w:r>
              <w:rPr>
                <w:rFonts w:hint="default" w:ascii="Times New Roman" w:hAnsi="Times New Roman" w:cs="Times New Roman"/>
                <w:color w:val="auto"/>
                <w:sz w:val="18"/>
                <w:szCs w:val="18"/>
                <w:highlight w:val="none"/>
                <w:lang w:val="en-US" w:eastAsia="zh-CN"/>
              </w:rPr>
              <w:t>环境</w:t>
            </w:r>
            <w:r>
              <w:rPr>
                <w:rFonts w:hint="default" w:ascii="Times New Roman" w:hAnsi="Times New Roman" w:cs="Times New Roman"/>
                <w:color w:val="auto"/>
                <w:sz w:val="18"/>
                <w:szCs w:val="18"/>
                <w:highlight w:val="none"/>
              </w:rPr>
              <w:t>（试行）</w:t>
            </w:r>
          </w:p>
        </w:tc>
        <w:tc>
          <w:tcPr>
            <w:tcW w:w="1264" w:type="pct"/>
            <w:tcBorders>
              <w:tl2br w:val="nil"/>
              <w:tr2bl w:val="nil"/>
            </w:tcBorders>
            <w:noWrap w:val="0"/>
            <w:vAlign w:val="center"/>
          </w:tcPr>
          <w:p w14:paraId="5037318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HJ964-2018</w:t>
            </w:r>
          </w:p>
        </w:tc>
        <w:tc>
          <w:tcPr>
            <w:tcW w:w="668" w:type="pct"/>
            <w:tcBorders>
              <w:tl2br w:val="nil"/>
              <w:tr2bl w:val="nil"/>
            </w:tcBorders>
            <w:noWrap w:val="0"/>
            <w:vAlign w:val="center"/>
          </w:tcPr>
          <w:p w14:paraId="246CA02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2019-07-01</w:t>
            </w:r>
          </w:p>
        </w:tc>
      </w:tr>
      <w:tr w14:paraId="7685E1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5" w:type="pct"/>
            <w:tcBorders>
              <w:tl2br w:val="nil"/>
              <w:tr2bl w:val="nil"/>
            </w:tcBorders>
            <w:noWrap w:val="0"/>
            <w:vAlign w:val="center"/>
          </w:tcPr>
          <w:p w14:paraId="62A9A8B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10</w:t>
            </w:r>
          </w:p>
        </w:tc>
        <w:tc>
          <w:tcPr>
            <w:tcW w:w="2711" w:type="pct"/>
            <w:tcBorders>
              <w:tl2br w:val="nil"/>
              <w:tr2bl w:val="nil"/>
            </w:tcBorders>
            <w:noWrap w:val="0"/>
            <w:vAlign w:val="center"/>
          </w:tcPr>
          <w:p w14:paraId="253B363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危险废物管理计划和管理台账制定技术导则</w:t>
            </w:r>
          </w:p>
        </w:tc>
        <w:tc>
          <w:tcPr>
            <w:tcW w:w="1264" w:type="pct"/>
            <w:tcBorders>
              <w:tl2br w:val="nil"/>
              <w:tr2bl w:val="nil"/>
            </w:tcBorders>
            <w:noWrap w:val="0"/>
            <w:vAlign w:val="center"/>
          </w:tcPr>
          <w:p w14:paraId="6F9F7C2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HJ 1259-2022</w:t>
            </w:r>
          </w:p>
        </w:tc>
        <w:tc>
          <w:tcPr>
            <w:tcW w:w="668" w:type="pct"/>
            <w:tcBorders>
              <w:tl2br w:val="nil"/>
              <w:tr2bl w:val="nil"/>
            </w:tcBorders>
            <w:noWrap w:val="0"/>
            <w:vAlign w:val="center"/>
          </w:tcPr>
          <w:p w14:paraId="23CE98B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2022.10.01</w:t>
            </w:r>
          </w:p>
        </w:tc>
      </w:tr>
      <w:tr w14:paraId="288BFE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5" w:type="pct"/>
            <w:tcBorders>
              <w:tl2br w:val="nil"/>
              <w:tr2bl w:val="nil"/>
            </w:tcBorders>
            <w:noWrap w:val="0"/>
            <w:vAlign w:val="center"/>
          </w:tcPr>
          <w:p w14:paraId="6699597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11</w:t>
            </w:r>
          </w:p>
        </w:tc>
        <w:tc>
          <w:tcPr>
            <w:tcW w:w="2711" w:type="pct"/>
            <w:tcBorders>
              <w:tl2br w:val="nil"/>
              <w:tr2bl w:val="nil"/>
            </w:tcBorders>
            <w:noWrap w:val="0"/>
            <w:vAlign w:val="center"/>
          </w:tcPr>
          <w:p w14:paraId="76A4284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水土保持综合治理技术规范</w:t>
            </w:r>
          </w:p>
        </w:tc>
        <w:tc>
          <w:tcPr>
            <w:tcW w:w="1264" w:type="pct"/>
            <w:tcBorders>
              <w:tl2br w:val="nil"/>
              <w:tr2bl w:val="nil"/>
            </w:tcBorders>
            <w:noWrap w:val="0"/>
            <w:vAlign w:val="center"/>
          </w:tcPr>
          <w:p w14:paraId="0780AD4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GB/T16453.1~6-2008</w:t>
            </w:r>
          </w:p>
        </w:tc>
        <w:tc>
          <w:tcPr>
            <w:tcW w:w="668" w:type="pct"/>
            <w:tcBorders>
              <w:tl2br w:val="nil"/>
              <w:tr2bl w:val="nil"/>
            </w:tcBorders>
            <w:noWrap w:val="0"/>
            <w:vAlign w:val="center"/>
          </w:tcPr>
          <w:p w14:paraId="751AE74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2009-02-01</w:t>
            </w:r>
          </w:p>
        </w:tc>
      </w:tr>
      <w:tr w14:paraId="2F5BEC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5" w:type="pct"/>
            <w:tcBorders>
              <w:tl2br w:val="nil"/>
              <w:tr2bl w:val="nil"/>
            </w:tcBorders>
            <w:noWrap w:val="0"/>
            <w:vAlign w:val="center"/>
          </w:tcPr>
          <w:p w14:paraId="3653964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12</w:t>
            </w:r>
          </w:p>
        </w:tc>
        <w:tc>
          <w:tcPr>
            <w:tcW w:w="2711" w:type="pct"/>
            <w:tcBorders>
              <w:tl2br w:val="nil"/>
              <w:tr2bl w:val="nil"/>
            </w:tcBorders>
            <w:noWrap w:val="0"/>
            <w:vAlign w:val="center"/>
          </w:tcPr>
          <w:p w14:paraId="48E0EFD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生产建设项目水土保持技术标准</w:t>
            </w:r>
          </w:p>
        </w:tc>
        <w:tc>
          <w:tcPr>
            <w:tcW w:w="1264" w:type="pct"/>
            <w:tcBorders>
              <w:tl2br w:val="nil"/>
              <w:tr2bl w:val="nil"/>
            </w:tcBorders>
            <w:noWrap w:val="0"/>
            <w:vAlign w:val="center"/>
          </w:tcPr>
          <w:p w14:paraId="77A3FF6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GB50433-2018</w:t>
            </w:r>
          </w:p>
        </w:tc>
        <w:tc>
          <w:tcPr>
            <w:tcW w:w="668" w:type="pct"/>
            <w:tcBorders>
              <w:tl2br w:val="nil"/>
              <w:tr2bl w:val="nil"/>
            </w:tcBorders>
            <w:noWrap w:val="0"/>
            <w:vAlign w:val="center"/>
          </w:tcPr>
          <w:p w14:paraId="602E284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2019-09-03</w:t>
            </w:r>
          </w:p>
        </w:tc>
      </w:tr>
      <w:tr w14:paraId="637405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5" w:type="pct"/>
            <w:tcBorders>
              <w:tl2br w:val="nil"/>
              <w:tr2bl w:val="nil"/>
            </w:tcBorders>
            <w:noWrap w:val="0"/>
            <w:vAlign w:val="center"/>
          </w:tcPr>
          <w:p w14:paraId="7E849DB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13</w:t>
            </w:r>
          </w:p>
        </w:tc>
        <w:tc>
          <w:tcPr>
            <w:tcW w:w="2711" w:type="pct"/>
            <w:tcBorders>
              <w:tl2br w:val="nil"/>
              <w:tr2bl w:val="nil"/>
            </w:tcBorders>
            <w:noWrap w:val="0"/>
            <w:vAlign w:val="center"/>
          </w:tcPr>
          <w:p w14:paraId="549434C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危险化学品重大危险源辨识</w:t>
            </w:r>
          </w:p>
        </w:tc>
        <w:tc>
          <w:tcPr>
            <w:tcW w:w="1264" w:type="pct"/>
            <w:tcBorders>
              <w:tl2br w:val="nil"/>
              <w:tr2bl w:val="nil"/>
            </w:tcBorders>
            <w:noWrap w:val="0"/>
            <w:vAlign w:val="center"/>
          </w:tcPr>
          <w:p w14:paraId="5842223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GB18218-2018</w:t>
            </w:r>
          </w:p>
        </w:tc>
        <w:tc>
          <w:tcPr>
            <w:tcW w:w="668" w:type="pct"/>
            <w:tcBorders>
              <w:tl2br w:val="nil"/>
              <w:tr2bl w:val="nil"/>
            </w:tcBorders>
            <w:noWrap w:val="0"/>
            <w:vAlign w:val="center"/>
          </w:tcPr>
          <w:p w14:paraId="4F0D38E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2018-11-19</w:t>
            </w:r>
          </w:p>
        </w:tc>
      </w:tr>
      <w:tr w14:paraId="45AFB6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5" w:type="pct"/>
            <w:tcBorders>
              <w:tl2br w:val="nil"/>
              <w:tr2bl w:val="nil"/>
            </w:tcBorders>
            <w:noWrap w:val="0"/>
            <w:vAlign w:val="center"/>
          </w:tcPr>
          <w:p w14:paraId="4034EFD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14</w:t>
            </w:r>
          </w:p>
        </w:tc>
        <w:tc>
          <w:tcPr>
            <w:tcW w:w="2711" w:type="pct"/>
            <w:tcBorders>
              <w:tl2br w:val="nil"/>
              <w:tr2bl w:val="nil"/>
            </w:tcBorders>
            <w:noWrap w:val="0"/>
            <w:vAlign w:val="center"/>
          </w:tcPr>
          <w:p w14:paraId="790CCCA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石油天然气工业健康、安全与环境管理体系</w:t>
            </w:r>
          </w:p>
        </w:tc>
        <w:tc>
          <w:tcPr>
            <w:tcW w:w="1264" w:type="pct"/>
            <w:tcBorders>
              <w:tl2br w:val="nil"/>
              <w:tr2bl w:val="nil"/>
            </w:tcBorders>
            <w:noWrap w:val="0"/>
            <w:vAlign w:val="center"/>
          </w:tcPr>
          <w:p w14:paraId="70AFEF8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SY/T6276-2014</w:t>
            </w:r>
          </w:p>
        </w:tc>
        <w:tc>
          <w:tcPr>
            <w:tcW w:w="668" w:type="pct"/>
            <w:tcBorders>
              <w:tl2br w:val="nil"/>
              <w:tr2bl w:val="nil"/>
            </w:tcBorders>
            <w:noWrap w:val="0"/>
            <w:vAlign w:val="center"/>
          </w:tcPr>
          <w:p w14:paraId="2AC5BB8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2015-03-01</w:t>
            </w:r>
          </w:p>
        </w:tc>
      </w:tr>
      <w:tr w14:paraId="31007C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5" w:type="pct"/>
            <w:tcBorders>
              <w:tl2br w:val="nil"/>
              <w:tr2bl w:val="nil"/>
            </w:tcBorders>
            <w:noWrap w:val="0"/>
            <w:vAlign w:val="center"/>
          </w:tcPr>
          <w:p w14:paraId="0808777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15</w:t>
            </w:r>
          </w:p>
        </w:tc>
        <w:tc>
          <w:tcPr>
            <w:tcW w:w="2711" w:type="pct"/>
            <w:tcBorders>
              <w:tl2br w:val="nil"/>
              <w:tr2bl w:val="nil"/>
            </w:tcBorders>
            <w:noWrap w:val="0"/>
            <w:vAlign w:val="center"/>
          </w:tcPr>
          <w:p w14:paraId="351D182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石油化工环境保护设计规范</w:t>
            </w:r>
          </w:p>
        </w:tc>
        <w:tc>
          <w:tcPr>
            <w:tcW w:w="1264" w:type="pct"/>
            <w:tcBorders>
              <w:tl2br w:val="nil"/>
              <w:tr2bl w:val="nil"/>
            </w:tcBorders>
            <w:noWrap w:val="0"/>
            <w:vAlign w:val="center"/>
          </w:tcPr>
          <w:p w14:paraId="2834C62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SH/T3024-2017</w:t>
            </w:r>
          </w:p>
        </w:tc>
        <w:tc>
          <w:tcPr>
            <w:tcW w:w="668" w:type="pct"/>
            <w:tcBorders>
              <w:tl2br w:val="nil"/>
              <w:tr2bl w:val="nil"/>
            </w:tcBorders>
            <w:noWrap w:val="0"/>
            <w:vAlign w:val="center"/>
          </w:tcPr>
          <w:p w14:paraId="2E1B5E1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2018-01-01</w:t>
            </w:r>
          </w:p>
        </w:tc>
      </w:tr>
      <w:tr w14:paraId="1F594B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5" w:type="pct"/>
            <w:tcBorders>
              <w:tl2br w:val="nil"/>
              <w:tr2bl w:val="nil"/>
            </w:tcBorders>
            <w:noWrap w:val="0"/>
            <w:vAlign w:val="center"/>
          </w:tcPr>
          <w:p w14:paraId="15728A7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16</w:t>
            </w:r>
          </w:p>
        </w:tc>
        <w:tc>
          <w:tcPr>
            <w:tcW w:w="2711" w:type="pct"/>
            <w:tcBorders>
              <w:tl2br w:val="nil"/>
              <w:tr2bl w:val="nil"/>
            </w:tcBorders>
            <w:noWrap w:val="0"/>
            <w:vAlign w:val="center"/>
          </w:tcPr>
          <w:p w14:paraId="727C0DB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油气田含油污泥综合利用污染控制要求</w:t>
            </w:r>
          </w:p>
        </w:tc>
        <w:tc>
          <w:tcPr>
            <w:tcW w:w="1264" w:type="pct"/>
            <w:tcBorders>
              <w:tl2br w:val="nil"/>
              <w:tr2bl w:val="nil"/>
            </w:tcBorders>
            <w:noWrap w:val="0"/>
            <w:vAlign w:val="center"/>
          </w:tcPr>
          <w:p w14:paraId="3D27C96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DB 65/T 3998-2017</w:t>
            </w:r>
          </w:p>
        </w:tc>
        <w:tc>
          <w:tcPr>
            <w:tcW w:w="668" w:type="pct"/>
            <w:tcBorders>
              <w:tl2br w:val="nil"/>
              <w:tr2bl w:val="nil"/>
            </w:tcBorders>
            <w:noWrap w:val="0"/>
            <w:vAlign w:val="center"/>
          </w:tcPr>
          <w:p w14:paraId="32E50F3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2017-05-30</w:t>
            </w:r>
          </w:p>
        </w:tc>
      </w:tr>
      <w:tr w14:paraId="5E0915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5" w:type="pct"/>
            <w:tcBorders>
              <w:tl2br w:val="nil"/>
              <w:tr2bl w:val="nil"/>
            </w:tcBorders>
            <w:noWrap w:val="0"/>
            <w:vAlign w:val="center"/>
          </w:tcPr>
          <w:p w14:paraId="340D4E9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1</w:t>
            </w:r>
            <w:r>
              <w:rPr>
                <w:rFonts w:hint="eastAsia" w:cs="Times New Roman"/>
                <w:color w:val="auto"/>
                <w:sz w:val="18"/>
                <w:szCs w:val="18"/>
                <w:highlight w:val="none"/>
                <w:lang w:val="en-US" w:eastAsia="zh-CN"/>
              </w:rPr>
              <w:t>7</w:t>
            </w:r>
          </w:p>
        </w:tc>
        <w:tc>
          <w:tcPr>
            <w:tcW w:w="2711" w:type="pct"/>
            <w:tcBorders>
              <w:tl2br w:val="nil"/>
              <w:tr2bl w:val="nil"/>
            </w:tcBorders>
            <w:noWrap w:val="0"/>
            <w:vAlign w:val="center"/>
          </w:tcPr>
          <w:p w14:paraId="7580C92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油气田含油污泥及钻井固体废物处理处置技术规范</w:t>
            </w:r>
          </w:p>
        </w:tc>
        <w:tc>
          <w:tcPr>
            <w:tcW w:w="1264" w:type="pct"/>
            <w:tcBorders>
              <w:tl2br w:val="nil"/>
              <w:tr2bl w:val="nil"/>
            </w:tcBorders>
            <w:noWrap w:val="0"/>
            <w:vAlign w:val="center"/>
          </w:tcPr>
          <w:p w14:paraId="02BF5BA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DB 65/T 3999-2017</w:t>
            </w:r>
          </w:p>
        </w:tc>
        <w:tc>
          <w:tcPr>
            <w:tcW w:w="668" w:type="pct"/>
            <w:tcBorders>
              <w:tl2br w:val="nil"/>
              <w:tr2bl w:val="nil"/>
            </w:tcBorders>
            <w:noWrap w:val="0"/>
            <w:vAlign w:val="center"/>
          </w:tcPr>
          <w:p w14:paraId="7EB2149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2017-05-30</w:t>
            </w:r>
          </w:p>
        </w:tc>
      </w:tr>
      <w:tr w14:paraId="31314E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5" w:type="pct"/>
            <w:tcBorders>
              <w:tl2br w:val="nil"/>
              <w:tr2bl w:val="nil"/>
            </w:tcBorders>
            <w:noWrap w:val="0"/>
            <w:vAlign w:val="center"/>
          </w:tcPr>
          <w:p w14:paraId="654E84C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1</w:t>
            </w:r>
            <w:r>
              <w:rPr>
                <w:rFonts w:hint="eastAsia" w:cs="Times New Roman"/>
                <w:color w:val="auto"/>
                <w:sz w:val="18"/>
                <w:szCs w:val="18"/>
                <w:highlight w:val="none"/>
                <w:lang w:val="en-US" w:eastAsia="zh-CN"/>
              </w:rPr>
              <w:t>8</w:t>
            </w:r>
          </w:p>
        </w:tc>
        <w:tc>
          <w:tcPr>
            <w:tcW w:w="2711" w:type="pct"/>
            <w:tcBorders>
              <w:tl2br w:val="nil"/>
              <w:tr2bl w:val="nil"/>
            </w:tcBorders>
            <w:noWrap w:val="0"/>
            <w:vAlign w:val="center"/>
          </w:tcPr>
          <w:p w14:paraId="7C6C4A1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陆上石油天然气开采含油污泥资源化综合利用及污染控制技术要求</w:t>
            </w:r>
          </w:p>
        </w:tc>
        <w:tc>
          <w:tcPr>
            <w:tcW w:w="1264" w:type="pct"/>
            <w:tcBorders>
              <w:tl2br w:val="nil"/>
              <w:tr2bl w:val="nil"/>
            </w:tcBorders>
            <w:noWrap w:val="0"/>
            <w:vAlign w:val="center"/>
          </w:tcPr>
          <w:p w14:paraId="0A91C55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SY/T</w:t>
            </w:r>
            <w:r>
              <w:rPr>
                <w:rFonts w:hint="default" w:ascii="Times New Roman" w:hAnsi="Times New Roman" w:cs="Times New Roman"/>
                <w:color w:val="auto"/>
                <w:sz w:val="18"/>
                <w:szCs w:val="18"/>
                <w:highlight w:val="none"/>
                <w:lang w:val="en-US" w:eastAsia="zh-CN"/>
              </w:rPr>
              <w:t>7</w:t>
            </w:r>
            <w:r>
              <w:rPr>
                <w:rFonts w:hint="default" w:ascii="Times New Roman" w:hAnsi="Times New Roman" w:cs="Times New Roman"/>
                <w:color w:val="auto"/>
                <w:sz w:val="18"/>
                <w:szCs w:val="18"/>
                <w:highlight w:val="none"/>
              </w:rPr>
              <w:t>301-2016</w:t>
            </w:r>
          </w:p>
        </w:tc>
        <w:tc>
          <w:tcPr>
            <w:tcW w:w="668" w:type="pct"/>
            <w:tcBorders>
              <w:tl2br w:val="nil"/>
              <w:tr2bl w:val="nil"/>
            </w:tcBorders>
            <w:noWrap w:val="0"/>
            <w:vAlign w:val="center"/>
          </w:tcPr>
          <w:p w14:paraId="3C407BC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2017-05-01</w:t>
            </w:r>
          </w:p>
        </w:tc>
      </w:tr>
      <w:tr w14:paraId="3EF3DA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5" w:type="pct"/>
            <w:tcBorders>
              <w:tl2br w:val="nil"/>
              <w:tr2bl w:val="nil"/>
            </w:tcBorders>
            <w:noWrap w:val="0"/>
            <w:vAlign w:val="center"/>
          </w:tcPr>
          <w:p w14:paraId="6B3E675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19</w:t>
            </w:r>
          </w:p>
        </w:tc>
        <w:tc>
          <w:tcPr>
            <w:tcW w:w="2711" w:type="pct"/>
            <w:tcBorders>
              <w:tl2br w:val="nil"/>
              <w:tr2bl w:val="nil"/>
            </w:tcBorders>
            <w:noWrap w:val="0"/>
            <w:vAlign w:val="center"/>
          </w:tcPr>
          <w:p w14:paraId="55E8D8E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建设项目危险废物环境影响评价技术指南</w:t>
            </w:r>
          </w:p>
        </w:tc>
        <w:tc>
          <w:tcPr>
            <w:tcW w:w="1264" w:type="pct"/>
            <w:tcBorders>
              <w:tl2br w:val="nil"/>
              <w:tr2bl w:val="nil"/>
            </w:tcBorders>
            <w:noWrap w:val="0"/>
            <w:vAlign w:val="center"/>
          </w:tcPr>
          <w:p w14:paraId="5588577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2017年第43号</w:t>
            </w:r>
          </w:p>
        </w:tc>
        <w:tc>
          <w:tcPr>
            <w:tcW w:w="668" w:type="pct"/>
            <w:tcBorders>
              <w:tl2br w:val="nil"/>
              <w:tr2bl w:val="nil"/>
            </w:tcBorders>
            <w:noWrap w:val="0"/>
            <w:vAlign w:val="center"/>
          </w:tcPr>
          <w:p w14:paraId="07615B3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2017-10-01</w:t>
            </w:r>
          </w:p>
        </w:tc>
      </w:tr>
      <w:tr w14:paraId="066AEE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5" w:type="pct"/>
            <w:tcBorders>
              <w:tl2br w:val="nil"/>
              <w:tr2bl w:val="nil"/>
            </w:tcBorders>
            <w:noWrap w:val="0"/>
            <w:vAlign w:val="center"/>
          </w:tcPr>
          <w:p w14:paraId="2642CE5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2</w:t>
            </w:r>
            <w:r>
              <w:rPr>
                <w:rFonts w:hint="eastAsia" w:cs="Times New Roman"/>
                <w:color w:val="auto"/>
                <w:sz w:val="18"/>
                <w:szCs w:val="18"/>
                <w:highlight w:val="none"/>
                <w:lang w:val="en-US" w:eastAsia="zh-CN"/>
              </w:rPr>
              <w:t>0</w:t>
            </w:r>
          </w:p>
        </w:tc>
        <w:tc>
          <w:tcPr>
            <w:tcW w:w="2711" w:type="pct"/>
            <w:tcBorders>
              <w:tl2br w:val="nil"/>
              <w:tr2bl w:val="nil"/>
            </w:tcBorders>
            <w:noWrap w:val="0"/>
            <w:vAlign w:val="center"/>
          </w:tcPr>
          <w:p w14:paraId="7023DB9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lang w:val="en"/>
              </w:rPr>
              <w:t>陆上石油天然气开采业绿色矿山建设规范</w:t>
            </w:r>
          </w:p>
        </w:tc>
        <w:tc>
          <w:tcPr>
            <w:tcW w:w="1264" w:type="pct"/>
            <w:tcBorders>
              <w:tl2br w:val="nil"/>
              <w:tr2bl w:val="nil"/>
            </w:tcBorders>
            <w:noWrap w:val="0"/>
            <w:vAlign w:val="center"/>
          </w:tcPr>
          <w:p w14:paraId="0BCF162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lang w:val="en"/>
              </w:rPr>
              <w:t>DZ/T 0317-2018</w:t>
            </w:r>
          </w:p>
        </w:tc>
        <w:tc>
          <w:tcPr>
            <w:tcW w:w="668" w:type="pct"/>
            <w:tcBorders>
              <w:tl2br w:val="nil"/>
              <w:tr2bl w:val="nil"/>
            </w:tcBorders>
            <w:noWrap w:val="0"/>
            <w:vAlign w:val="center"/>
          </w:tcPr>
          <w:p w14:paraId="52AB1B7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lang w:val="en"/>
              </w:rPr>
              <w:t>2018</w:t>
            </w:r>
            <w:r>
              <w:rPr>
                <w:rFonts w:hint="default" w:ascii="Times New Roman" w:hAnsi="Times New Roman" w:cs="Times New Roman"/>
                <w:bCs/>
                <w:color w:val="auto"/>
                <w:sz w:val="18"/>
                <w:szCs w:val="18"/>
                <w:highlight w:val="none"/>
              </w:rPr>
              <w:t>-10-01</w:t>
            </w:r>
          </w:p>
        </w:tc>
      </w:tr>
      <w:tr w14:paraId="26CFBC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5" w:type="pct"/>
            <w:tcBorders>
              <w:tl2br w:val="nil"/>
              <w:tr2bl w:val="nil"/>
            </w:tcBorders>
            <w:noWrap w:val="0"/>
            <w:vAlign w:val="center"/>
          </w:tcPr>
          <w:p w14:paraId="79F9A9E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2</w:t>
            </w:r>
            <w:r>
              <w:rPr>
                <w:rFonts w:hint="eastAsia" w:cs="Times New Roman"/>
                <w:color w:val="auto"/>
                <w:sz w:val="18"/>
                <w:szCs w:val="18"/>
                <w:highlight w:val="none"/>
                <w:lang w:val="en-US" w:eastAsia="zh-CN"/>
              </w:rPr>
              <w:t>1</w:t>
            </w:r>
          </w:p>
        </w:tc>
        <w:tc>
          <w:tcPr>
            <w:tcW w:w="2711" w:type="pct"/>
            <w:tcBorders>
              <w:tl2br w:val="nil"/>
              <w:tr2bl w:val="nil"/>
            </w:tcBorders>
            <w:noWrap w:val="0"/>
            <w:vAlign w:val="center"/>
          </w:tcPr>
          <w:p w14:paraId="7A87BA8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矿山生态环境保护与恢复治理技术规范</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rPr>
              <w:t>试行</w:t>
            </w:r>
            <w:r>
              <w:rPr>
                <w:rFonts w:hint="default" w:ascii="Times New Roman" w:hAnsi="Times New Roman" w:cs="Times New Roman"/>
                <w:color w:val="auto"/>
                <w:sz w:val="18"/>
                <w:szCs w:val="18"/>
                <w:highlight w:val="none"/>
                <w:lang w:eastAsia="zh-CN"/>
              </w:rPr>
              <w:t>）</w:t>
            </w:r>
          </w:p>
        </w:tc>
        <w:tc>
          <w:tcPr>
            <w:tcW w:w="1264" w:type="pct"/>
            <w:tcBorders>
              <w:tl2br w:val="nil"/>
              <w:tr2bl w:val="nil"/>
            </w:tcBorders>
            <w:noWrap w:val="0"/>
            <w:vAlign w:val="center"/>
          </w:tcPr>
          <w:p w14:paraId="7997448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HJ 651</w:t>
            </w:r>
            <w:r>
              <w:rPr>
                <w:rFonts w:hint="default" w:ascii="Times New Roman" w:hAnsi="Times New Roman" w:cs="Times New Roman"/>
                <w:color w:val="auto"/>
                <w:sz w:val="18"/>
                <w:szCs w:val="18"/>
                <w:highlight w:val="none"/>
                <w:lang w:val="en"/>
              </w:rPr>
              <w:t>-</w:t>
            </w:r>
            <w:r>
              <w:rPr>
                <w:rFonts w:hint="default" w:ascii="Times New Roman" w:hAnsi="Times New Roman" w:cs="Times New Roman"/>
                <w:color w:val="auto"/>
                <w:sz w:val="18"/>
                <w:szCs w:val="18"/>
                <w:highlight w:val="none"/>
              </w:rPr>
              <w:t>2013</w:t>
            </w:r>
          </w:p>
        </w:tc>
        <w:tc>
          <w:tcPr>
            <w:tcW w:w="668" w:type="pct"/>
            <w:tcBorders>
              <w:tl2br w:val="nil"/>
              <w:tr2bl w:val="nil"/>
            </w:tcBorders>
            <w:noWrap w:val="0"/>
            <w:vAlign w:val="center"/>
          </w:tcPr>
          <w:p w14:paraId="36FD8C3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lang w:val="en"/>
              </w:rPr>
              <w:t>2013-07-23</w:t>
            </w:r>
          </w:p>
        </w:tc>
      </w:tr>
      <w:tr w14:paraId="06427C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5" w:type="pct"/>
            <w:tcBorders>
              <w:tl2br w:val="nil"/>
              <w:tr2bl w:val="nil"/>
            </w:tcBorders>
            <w:noWrap w:val="0"/>
            <w:vAlign w:val="center"/>
          </w:tcPr>
          <w:p w14:paraId="22546EF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2</w:t>
            </w:r>
            <w:r>
              <w:rPr>
                <w:rFonts w:hint="eastAsia" w:cs="Times New Roman"/>
                <w:color w:val="auto"/>
                <w:sz w:val="18"/>
                <w:szCs w:val="18"/>
                <w:highlight w:val="none"/>
                <w:lang w:val="en-US" w:eastAsia="zh-CN"/>
              </w:rPr>
              <w:t>2</w:t>
            </w:r>
          </w:p>
        </w:tc>
        <w:tc>
          <w:tcPr>
            <w:tcW w:w="2711" w:type="pct"/>
            <w:tcBorders>
              <w:tl2br w:val="nil"/>
              <w:tr2bl w:val="nil"/>
            </w:tcBorders>
            <w:noWrap w:val="0"/>
            <w:vAlign w:val="center"/>
          </w:tcPr>
          <w:p w14:paraId="2DB5212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lang w:val="en"/>
              </w:rPr>
              <w:t>废弃井及长停井处置指南</w:t>
            </w:r>
          </w:p>
        </w:tc>
        <w:tc>
          <w:tcPr>
            <w:tcW w:w="1264" w:type="pct"/>
            <w:tcBorders>
              <w:tl2br w:val="nil"/>
              <w:tr2bl w:val="nil"/>
            </w:tcBorders>
            <w:noWrap w:val="0"/>
            <w:vAlign w:val="center"/>
          </w:tcPr>
          <w:p w14:paraId="33115BA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pacing w:val="-6"/>
                <w:sz w:val="18"/>
                <w:szCs w:val="18"/>
                <w:highlight w:val="none"/>
              </w:rPr>
            </w:pPr>
            <w:r>
              <w:rPr>
                <w:rFonts w:hint="default" w:ascii="Times New Roman" w:hAnsi="Times New Roman" w:cs="Times New Roman"/>
                <w:bCs/>
                <w:color w:val="auto"/>
                <w:spacing w:val="-6"/>
                <w:sz w:val="18"/>
                <w:szCs w:val="18"/>
                <w:highlight w:val="none"/>
                <w:lang w:val="en"/>
              </w:rPr>
              <w:t>SY/T6646-2017</w:t>
            </w:r>
          </w:p>
        </w:tc>
        <w:tc>
          <w:tcPr>
            <w:tcW w:w="668" w:type="pct"/>
            <w:tcBorders>
              <w:tl2br w:val="nil"/>
              <w:tr2bl w:val="nil"/>
            </w:tcBorders>
            <w:noWrap w:val="0"/>
            <w:vAlign w:val="center"/>
          </w:tcPr>
          <w:p w14:paraId="3E8A627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2018-03-01</w:t>
            </w:r>
          </w:p>
        </w:tc>
      </w:tr>
      <w:tr w14:paraId="7019EB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5" w:type="pct"/>
            <w:tcBorders>
              <w:tl2br w:val="nil"/>
              <w:tr2bl w:val="nil"/>
            </w:tcBorders>
            <w:noWrap w:val="0"/>
            <w:vAlign w:val="center"/>
          </w:tcPr>
          <w:p w14:paraId="7DF5663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23</w:t>
            </w:r>
          </w:p>
        </w:tc>
        <w:tc>
          <w:tcPr>
            <w:tcW w:w="2711" w:type="pct"/>
            <w:tcBorders>
              <w:tl2br w:val="nil"/>
              <w:tr2bl w:val="nil"/>
            </w:tcBorders>
            <w:noWrap w:val="0"/>
            <w:vAlign w:val="center"/>
          </w:tcPr>
          <w:p w14:paraId="22034D2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cs="Times New Roman"/>
                <w:color w:val="auto"/>
                <w:sz w:val="18"/>
                <w:szCs w:val="18"/>
                <w:highlight w:val="none"/>
                <w:lang w:val="en"/>
              </w:rPr>
            </w:pPr>
            <w:r>
              <w:rPr>
                <w:rFonts w:hint="default" w:ascii="Times New Roman" w:hAnsi="Times New Roman" w:cs="Times New Roman"/>
                <w:color w:val="auto"/>
                <w:sz w:val="18"/>
                <w:szCs w:val="18"/>
                <w:highlight w:val="none"/>
                <w:lang w:val="en"/>
              </w:rPr>
              <w:t>一般工业固体废物贮存和填埋污染控制标准</w:t>
            </w:r>
          </w:p>
        </w:tc>
        <w:tc>
          <w:tcPr>
            <w:tcW w:w="1264" w:type="pct"/>
            <w:tcBorders>
              <w:tl2br w:val="nil"/>
              <w:tr2bl w:val="nil"/>
            </w:tcBorders>
            <w:noWrap w:val="0"/>
            <w:vAlign w:val="center"/>
          </w:tcPr>
          <w:p w14:paraId="236E576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lang w:val="en"/>
              </w:rPr>
            </w:pPr>
            <w:r>
              <w:rPr>
                <w:rFonts w:hint="default" w:ascii="Times New Roman" w:hAnsi="Times New Roman" w:cs="Times New Roman"/>
                <w:color w:val="auto"/>
                <w:sz w:val="18"/>
                <w:szCs w:val="18"/>
                <w:highlight w:val="none"/>
                <w:lang w:val="en"/>
              </w:rPr>
              <w:t>GB 18599-2020</w:t>
            </w:r>
          </w:p>
        </w:tc>
        <w:tc>
          <w:tcPr>
            <w:tcW w:w="668" w:type="pct"/>
            <w:tcBorders>
              <w:tl2br w:val="nil"/>
              <w:tr2bl w:val="nil"/>
            </w:tcBorders>
            <w:noWrap w:val="0"/>
            <w:vAlign w:val="center"/>
          </w:tcPr>
          <w:p w14:paraId="4A4FDD2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lang w:val="en"/>
              </w:rPr>
            </w:pPr>
            <w:r>
              <w:rPr>
                <w:rFonts w:hint="default" w:ascii="Times New Roman" w:hAnsi="Times New Roman" w:cs="Times New Roman"/>
                <w:color w:val="auto"/>
                <w:sz w:val="18"/>
                <w:szCs w:val="18"/>
                <w:highlight w:val="none"/>
              </w:rPr>
              <w:t>2021-07-01 </w:t>
            </w:r>
          </w:p>
        </w:tc>
      </w:tr>
      <w:tr w14:paraId="28E355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5" w:type="pct"/>
            <w:tcBorders>
              <w:tl2br w:val="nil"/>
              <w:tr2bl w:val="nil"/>
            </w:tcBorders>
            <w:noWrap w:val="0"/>
            <w:vAlign w:val="center"/>
          </w:tcPr>
          <w:p w14:paraId="775FDFF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24</w:t>
            </w:r>
          </w:p>
        </w:tc>
        <w:tc>
          <w:tcPr>
            <w:tcW w:w="2711" w:type="pct"/>
            <w:tcBorders>
              <w:tl2br w:val="nil"/>
              <w:tr2bl w:val="nil"/>
            </w:tcBorders>
            <w:noWrap w:val="0"/>
            <w:vAlign w:val="center"/>
          </w:tcPr>
          <w:p w14:paraId="764E080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cs="Times New Roman"/>
                <w:color w:val="auto"/>
                <w:sz w:val="18"/>
                <w:szCs w:val="18"/>
                <w:highlight w:val="none"/>
                <w:lang w:val="en"/>
              </w:rPr>
            </w:pPr>
            <w:r>
              <w:rPr>
                <w:rFonts w:hint="default" w:ascii="Times New Roman" w:hAnsi="Times New Roman" w:cs="Times New Roman"/>
                <w:color w:val="auto"/>
                <w:sz w:val="18"/>
                <w:szCs w:val="18"/>
                <w:highlight w:val="none"/>
                <w:lang w:val="zh-CN"/>
              </w:rPr>
              <w:t>危险废物鉴别标准通则</w:t>
            </w:r>
          </w:p>
        </w:tc>
        <w:tc>
          <w:tcPr>
            <w:tcW w:w="1264" w:type="pct"/>
            <w:tcBorders>
              <w:tl2br w:val="nil"/>
              <w:tr2bl w:val="nil"/>
            </w:tcBorders>
            <w:noWrap w:val="0"/>
            <w:vAlign w:val="center"/>
          </w:tcPr>
          <w:p w14:paraId="2A17C0B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lang w:val="en"/>
              </w:rPr>
            </w:pPr>
            <w:r>
              <w:rPr>
                <w:rFonts w:hint="default" w:ascii="Times New Roman" w:hAnsi="Times New Roman" w:cs="Times New Roman"/>
                <w:color w:val="auto"/>
                <w:sz w:val="18"/>
                <w:szCs w:val="18"/>
                <w:highlight w:val="none"/>
                <w:lang w:val="zh-CN"/>
              </w:rPr>
              <w:t>GB 5085.7</w:t>
            </w:r>
            <w:r>
              <w:rPr>
                <w:rFonts w:hint="default" w:ascii="Times New Roman" w:hAnsi="Times New Roman" w:eastAsia="宋体"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zh-CN"/>
              </w:rPr>
              <w:t>2019</w:t>
            </w:r>
          </w:p>
        </w:tc>
        <w:tc>
          <w:tcPr>
            <w:tcW w:w="668" w:type="pct"/>
            <w:tcBorders>
              <w:tl2br w:val="nil"/>
              <w:tr2bl w:val="nil"/>
            </w:tcBorders>
            <w:noWrap w:val="0"/>
            <w:vAlign w:val="center"/>
          </w:tcPr>
          <w:p w14:paraId="3935593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lang w:val="en"/>
              </w:rPr>
            </w:pPr>
            <w:r>
              <w:rPr>
                <w:rFonts w:hint="default" w:ascii="Times New Roman" w:hAnsi="Times New Roman" w:cs="Times New Roman"/>
                <w:color w:val="auto"/>
                <w:sz w:val="18"/>
                <w:szCs w:val="18"/>
                <w:highlight w:val="none"/>
              </w:rPr>
              <w:t>2021-01-01</w:t>
            </w:r>
          </w:p>
        </w:tc>
      </w:tr>
      <w:tr w14:paraId="05FB95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5" w:type="pct"/>
            <w:tcBorders>
              <w:tl2br w:val="nil"/>
              <w:tr2bl w:val="nil"/>
            </w:tcBorders>
            <w:noWrap w:val="0"/>
            <w:vAlign w:val="center"/>
          </w:tcPr>
          <w:p w14:paraId="02477D0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25</w:t>
            </w:r>
          </w:p>
        </w:tc>
        <w:tc>
          <w:tcPr>
            <w:tcW w:w="2711" w:type="pct"/>
            <w:tcBorders>
              <w:tl2br w:val="nil"/>
              <w:tr2bl w:val="nil"/>
            </w:tcBorders>
            <w:noWrap w:val="0"/>
            <w:vAlign w:val="center"/>
          </w:tcPr>
          <w:p w14:paraId="7AF78FC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cs="Times New Roman"/>
                <w:color w:val="auto"/>
                <w:sz w:val="18"/>
                <w:szCs w:val="18"/>
                <w:highlight w:val="none"/>
                <w:lang w:val="zh-CN"/>
              </w:rPr>
            </w:pPr>
            <w:r>
              <w:rPr>
                <w:rFonts w:hint="default" w:ascii="Times New Roman" w:hAnsi="Times New Roman" w:eastAsia="宋体" w:cs="Times New Roman"/>
                <w:color w:val="auto"/>
                <w:sz w:val="18"/>
                <w:szCs w:val="18"/>
                <w:highlight w:val="none"/>
                <w:lang w:val="en-US" w:eastAsia="zh-CN"/>
              </w:rPr>
              <w:t>危险废物识别标志设置技术规范</w:t>
            </w:r>
          </w:p>
        </w:tc>
        <w:tc>
          <w:tcPr>
            <w:tcW w:w="1264" w:type="pct"/>
            <w:tcBorders>
              <w:tl2br w:val="nil"/>
              <w:tr2bl w:val="nil"/>
            </w:tcBorders>
            <w:noWrap w:val="0"/>
            <w:vAlign w:val="center"/>
          </w:tcPr>
          <w:p w14:paraId="762C1D7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lang w:val="zh-CN"/>
              </w:rPr>
            </w:pPr>
            <w:r>
              <w:rPr>
                <w:rFonts w:hint="default" w:ascii="Times New Roman" w:hAnsi="Times New Roman" w:eastAsia="宋体" w:cs="Times New Roman"/>
                <w:color w:val="auto"/>
                <w:sz w:val="18"/>
                <w:szCs w:val="18"/>
                <w:highlight w:val="none"/>
                <w:lang w:val="en-US" w:eastAsia="zh-CN"/>
              </w:rPr>
              <w:t>HJ1276-2022</w:t>
            </w:r>
          </w:p>
        </w:tc>
        <w:tc>
          <w:tcPr>
            <w:tcW w:w="668" w:type="pct"/>
            <w:tcBorders>
              <w:tl2br w:val="nil"/>
              <w:tr2bl w:val="nil"/>
            </w:tcBorders>
            <w:noWrap w:val="0"/>
            <w:vAlign w:val="center"/>
          </w:tcPr>
          <w:p w14:paraId="5C6AF65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2023-07-01</w:t>
            </w:r>
          </w:p>
        </w:tc>
      </w:tr>
      <w:tr w14:paraId="335B61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5" w:type="pct"/>
            <w:tcBorders>
              <w:tl2br w:val="nil"/>
              <w:tr2bl w:val="nil"/>
            </w:tcBorders>
            <w:noWrap w:val="0"/>
            <w:vAlign w:val="center"/>
          </w:tcPr>
          <w:p w14:paraId="1EB3BF1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26</w:t>
            </w:r>
          </w:p>
        </w:tc>
        <w:tc>
          <w:tcPr>
            <w:tcW w:w="2711" w:type="pct"/>
            <w:tcBorders>
              <w:tl2br w:val="nil"/>
              <w:tr2bl w:val="nil"/>
            </w:tcBorders>
            <w:noWrap w:val="0"/>
            <w:vAlign w:val="center"/>
          </w:tcPr>
          <w:p w14:paraId="17F61D0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cs="Times New Roman"/>
                <w:color w:val="auto"/>
                <w:sz w:val="18"/>
                <w:szCs w:val="18"/>
                <w:highlight w:val="none"/>
                <w:lang w:val="zh-CN"/>
              </w:rPr>
            </w:pPr>
            <w:r>
              <w:rPr>
                <w:rFonts w:hint="default" w:ascii="Times New Roman" w:hAnsi="Times New Roman" w:eastAsia="宋体" w:cs="Times New Roman"/>
                <w:color w:val="auto"/>
                <w:sz w:val="18"/>
                <w:szCs w:val="18"/>
                <w:highlight w:val="none"/>
                <w:lang w:val="en-US" w:eastAsia="zh-CN"/>
              </w:rPr>
              <w:t>危险废物贮存污染控制标准</w:t>
            </w:r>
          </w:p>
        </w:tc>
        <w:tc>
          <w:tcPr>
            <w:tcW w:w="1264" w:type="pct"/>
            <w:tcBorders>
              <w:tl2br w:val="nil"/>
              <w:tr2bl w:val="nil"/>
            </w:tcBorders>
            <w:noWrap w:val="0"/>
            <w:vAlign w:val="center"/>
          </w:tcPr>
          <w:p w14:paraId="1E175C1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GB18597-2023</w:t>
            </w:r>
          </w:p>
        </w:tc>
        <w:tc>
          <w:tcPr>
            <w:tcW w:w="668" w:type="pct"/>
            <w:tcBorders>
              <w:tl2br w:val="nil"/>
              <w:tr2bl w:val="nil"/>
            </w:tcBorders>
            <w:noWrap w:val="0"/>
            <w:vAlign w:val="center"/>
          </w:tcPr>
          <w:p w14:paraId="6B6C578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2023-07-01</w:t>
            </w:r>
          </w:p>
        </w:tc>
      </w:tr>
      <w:tr w14:paraId="21F031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5" w:type="pct"/>
            <w:tcBorders>
              <w:tl2br w:val="nil"/>
              <w:tr2bl w:val="nil"/>
            </w:tcBorders>
            <w:noWrap w:val="0"/>
            <w:vAlign w:val="center"/>
          </w:tcPr>
          <w:p w14:paraId="5B36C9A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27</w:t>
            </w:r>
          </w:p>
        </w:tc>
        <w:tc>
          <w:tcPr>
            <w:tcW w:w="2711" w:type="pct"/>
            <w:tcBorders>
              <w:tl2br w:val="nil"/>
              <w:tr2bl w:val="nil"/>
            </w:tcBorders>
            <w:noWrap w:val="0"/>
            <w:vAlign w:val="center"/>
          </w:tcPr>
          <w:p w14:paraId="25CAC50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油气回收处理设施技术标准</w:t>
            </w:r>
          </w:p>
        </w:tc>
        <w:tc>
          <w:tcPr>
            <w:tcW w:w="1264" w:type="pct"/>
            <w:tcBorders>
              <w:tl2br w:val="nil"/>
              <w:tr2bl w:val="nil"/>
            </w:tcBorders>
            <w:noWrap w:val="0"/>
            <w:vAlign w:val="center"/>
          </w:tcPr>
          <w:p w14:paraId="24D6B32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GB/T50759-2022</w:t>
            </w:r>
          </w:p>
        </w:tc>
        <w:tc>
          <w:tcPr>
            <w:tcW w:w="668" w:type="pct"/>
            <w:tcBorders>
              <w:tl2br w:val="nil"/>
              <w:tr2bl w:val="nil"/>
            </w:tcBorders>
            <w:noWrap w:val="0"/>
            <w:vAlign w:val="center"/>
          </w:tcPr>
          <w:p w14:paraId="1F31968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2022-12-01</w:t>
            </w:r>
          </w:p>
        </w:tc>
      </w:tr>
    </w:tbl>
    <w:p w14:paraId="0DE40329">
      <w:pPr>
        <w:pStyle w:val="54"/>
        <w:bidi w:val="0"/>
        <w:rPr>
          <w:rFonts w:hint="default"/>
          <w:color w:val="auto"/>
        </w:rPr>
      </w:pPr>
      <w:r>
        <w:rPr>
          <w:rFonts w:hint="default"/>
          <w:color w:val="auto"/>
        </w:rPr>
        <w:t>2.</w:t>
      </w:r>
      <w:r>
        <w:rPr>
          <w:rFonts w:hint="eastAsia"/>
          <w:color w:val="auto"/>
          <w:lang w:val="en-US" w:eastAsia="zh-CN"/>
        </w:rPr>
        <w:t>1</w:t>
      </w:r>
      <w:r>
        <w:rPr>
          <w:rFonts w:hint="default"/>
          <w:color w:val="auto"/>
        </w:rPr>
        <w:t>.</w:t>
      </w:r>
      <w:r>
        <w:rPr>
          <w:rFonts w:hint="eastAsia"/>
          <w:color w:val="auto"/>
          <w:lang w:val="en-US" w:eastAsia="zh-CN"/>
        </w:rPr>
        <w:t xml:space="preserve">4 </w:t>
      </w:r>
      <w:r>
        <w:rPr>
          <w:rFonts w:hint="default"/>
          <w:color w:val="auto"/>
        </w:rPr>
        <w:t>相关文件</w:t>
      </w:r>
      <w:r>
        <w:rPr>
          <w:rFonts w:hint="eastAsia"/>
          <w:color w:val="auto"/>
          <w:lang w:val="en-US" w:eastAsia="zh-CN"/>
        </w:rPr>
        <w:t>及</w:t>
      </w:r>
      <w:r>
        <w:rPr>
          <w:rFonts w:hint="default"/>
          <w:color w:val="auto"/>
        </w:rPr>
        <w:t>技术资料</w:t>
      </w:r>
    </w:p>
    <w:p w14:paraId="20D818AE">
      <w:pPr>
        <w:pStyle w:val="79"/>
        <w:bidi w:val="0"/>
        <w:rPr>
          <w:rFonts w:hint="default"/>
          <w:color w:val="auto"/>
        </w:rPr>
      </w:pPr>
      <w:r>
        <w:rPr>
          <w:rFonts w:hint="default"/>
          <w:color w:val="auto"/>
        </w:rPr>
        <w:t>（1）委托书，</w:t>
      </w:r>
      <w:r>
        <w:rPr>
          <w:rFonts w:hint="eastAsia"/>
          <w:color w:val="auto"/>
          <w:lang w:eastAsia="zh-CN"/>
        </w:rPr>
        <w:t>中国石油天然气股份有限公司塔里木油田分公司</w:t>
      </w:r>
      <w:r>
        <w:rPr>
          <w:rFonts w:hint="default"/>
          <w:color w:val="auto"/>
        </w:rPr>
        <w:t>，20</w:t>
      </w:r>
      <w:r>
        <w:rPr>
          <w:rFonts w:hint="eastAsia"/>
          <w:color w:val="auto"/>
          <w:lang w:val="en-US" w:eastAsia="zh-CN"/>
        </w:rPr>
        <w:t>25.1</w:t>
      </w:r>
      <w:r>
        <w:rPr>
          <w:rFonts w:hint="default"/>
          <w:color w:val="auto"/>
        </w:rPr>
        <w:t>；</w:t>
      </w:r>
    </w:p>
    <w:p w14:paraId="4573E05E">
      <w:pPr>
        <w:pStyle w:val="79"/>
        <w:bidi w:val="0"/>
        <w:rPr>
          <w:rFonts w:hint="eastAsia" w:eastAsia="宋体"/>
          <w:color w:val="auto"/>
          <w:lang w:eastAsia="zh-CN"/>
        </w:rPr>
      </w:pPr>
      <w:r>
        <w:rPr>
          <w:rFonts w:hint="default"/>
          <w:color w:val="auto"/>
        </w:rPr>
        <w:t>（2）</w:t>
      </w:r>
      <w:r>
        <w:rPr>
          <w:rFonts w:hint="default"/>
          <w:color w:val="auto"/>
          <w:lang w:eastAsia="zh-CN"/>
        </w:rPr>
        <w:t>《雄英</w:t>
      </w:r>
      <w:r>
        <w:rPr>
          <w:rFonts w:hint="eastAsia"/>
          <w:color w:val="auto"/>
          <w:lang w:val="en-US" w:eastAsia="zh-CN"/>
        </w:rPr>
        <w:t>油</w:t>
      </w:r>
      <w:r>
        <w:rPr>
          <w:rFonts w:hint="default"/>
          <w:color w:val="auto"/>
          <w:lang w:eastAsia="zh-CN"/>
        </w:rPr>
        <w:t>田雄英1区块寒武系下丘里塔格组试采</w:t>
      </w:r>
      <w:r>
        <w:rPr>
          <w:rFonts w:hint="eastAsia"/>
          <w:color w:val="auto"/>
          <w:lang w:eastAsia="zh-CN"/>
        </w:rPr>
        <w:t>优化调整项目</w:t>
      </w:r>
      <w:r>
        <w:rPr>
          <w:rFonts w:hint="default"/>
          <w:color w:val="auto"/>
          <w:lang w:eastAsia="zh-CN"/>
        </w:rPr>
        <w:t>》</w:t>
      </w:r>
      <w:r>
        <w:rPr>
          <w:rFonts w:hint="eastAsia"/>
          <w:color w:val="auto"/>
          <w:lang w:eastAsia="zh-CN"/>
        </w:rPr>
        <w:t>，</w:t>
      </w:r>
      <w:r>
        <w:rPr>
          <w:rFonts w:hint="default"/>
          <w:color w:val="auto"/>
          <w:lang w:eastAsia="zh-CN"/>
        </w:rPr>
        <w:t>中国石油天然气股份有限公司塔里木油田分公司</w:t>
      </w:r>
      <w:r>
        <w:rPr>
          <w:rFonts w:hint="default"/>
          <w:color w:val="auto"/>
        </w:rPr>
        <w:t>，20</w:t>
      </w:r>
      <w:r>
        <w:rPr>
          <w:rFonts w:hint="eastAsia"/>
          <w:color w:val="auto"/>
          <w:lang w:val="en-US" w:eastAsia="zh-CN"/>
        </w:rPr>
        <w:t>25.3</w:t>
      </w:r>
      <w:r>
        <w:rPr>
          <w:rFonts w:hint="default"/>
          <w:color w:val="auto"/>
        </w:rPr>
        <w:t>；</w:t>
      </w:r>
    </w:p>
    <w:p w14:paraId="3F594471">
      <w:pPr>
        <w:pStyle w:val="79"/>
        <w:bidi w:val="0"/>
        <w:rPr>
          <w:rFonts w:hint="eastAsia"/>
          <w:color w:val="auto"/>
          <w:lang w:eastAsia="zh-CN"/>
        </w:rPr>
      </w:pPr>
      <w:r>
        <w:rPr>
          <w:rFonts w:hint="default"/>
          <w:color w:val="auto"/>
        </w:rPr>
        <w:t>（3）</w:t>
      </w:r>
      <w:r>
        <w:rPr>
          <w:rFonts w:hint="default"/>
          <w:color w:val="auto"/>
          <w:lang w:eastAsia="zh-CN"/>
        </w:rPr>
        <w:t>工程其他相关资料</w:t>
      </w:r>
      <w:r>
        <w:rPr>
          <w:rFonts w:hint="eastAsia"/>
          <w:color w:val="auto"/>
          <w:lang w:eastAsia="zh-CN"/>
        </w:rPr>
        <w:t>。</w:t>
      </w:r>
    </w:p>
    <w:p w14:paraId="740C70FE">
      <w:pPr>
        <w:pStyle w:val="75"/>
        <w:bidi w:val="0"/>
        <w:rPr>
          <w:rFonts w:hint="default"/>
          <w:color w:val="auto"/>
        </w:rPr>
      </w:pPr>
      <w:bookmarkStart w:id="75" w:name="_Toc22739"/>
      <w:bookmarkStart w:id="76" w:name="_Toc507411704"/>
      <w:bookmarkStart w:id="77" w:name="_Toc500856903"/>
      <w:bookmarkStart w:id="78" w:name="_Toc15722"/>
      <w:bookmarkStart w:id="79" w:name="_Toc1863"/>
      <w:bookmarkStart w:id="80" w:name="_Toc109382910"/>
      <w:bookmarkStart w:id="81" w:name="_Toc36583803"/>
      <w:bookmarkStart w:id="82" w:name="_Toc390851520"/>
      <w:r>
        <w:rPr>
          <w:rFonts w:hint="default"/>
          <w:color w:val="auto"/>
        </w:rPr>
        <w:t>2.2 评价目的和评价原则</w:t>
      </w:r>
      <w:bookmarkEnd w:id="75"/>
    </w:p>
    <w:p w14:paraId="16ECB237">
      <w:pPr>
        <w:pStyle w:val="54"/>
        <w:bidi w:val="0"/>
        <w:rPr>
          <w:rFonts w:hint="default"/>
          <w:color w:val="auto"/>
        </w:rPr>
      </w:pPr>
      <w:r>
        <w:rPr>
          <w:rFonts w:hint="default"/>
          <w:color w:val="auto"/>
        </w:rPr>
        <w:t>2.2.1 评价目的</w:t>
      </w:r>
    </w:p>
    <w:p w14:paraId="2971F4C0">
      <w:pPr>
        <w:pStyle w:val="79"/>
        <w:bidi w:val="0"/>
        <w:rPr>
          <w:rFonts w:hint="default"/>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default"/>
          <w:color w:val="auto"/>
        </w:rPr>
        <w:t>通过环境现状调查和监测，掌握项目所在地的自然环境及环境质量现状。</w:t>
      </w:r>
    </w:p>
    <w:p w14:paraId="3750F0BD">
      <w:pPr>
        <w:pStyle w:val="79"/>
        <w:bidi w:val="0"/>
        <w:rPr>
          <w:rFonts w:hint="default"/>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default"/>
          <w:color w:val="auto"/>
        </w:rPr>
        <w:t>针对拟建工程特点和污染特征，确定主要环境影响要素及其污染因子。</w:t>
      </w:r>
    </w:p>
    <w:p w14:paraId="45684F50">
      <w:pPr>
        <w:pStyle w:val="79"/>
        <w:bidi w:val="0"/>
        <w:rPr>
          <w:rFonts w:hint="default"/>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rFonts w:hint="default"/>
          <w:color w:val="auto"/>
        </w:rPr>
        <w:t>预测拟建工程对当地环境可能造成影响的程度和范围，从而制定避免和减轻污染的对策和措施，并提出总量控制指标。</w:t>
      </w:r>
    </w:p>
    <w:p w14:paraId="0430D535">
      <w:pPr>
        <w:pStyle w:val="79"/>
        <w:bidi w:val="0"/>
        <w:rPr>
          <w:rFonts w:hint="default"/>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rFonts w:hint="default"/>
          <w:color w:val="auto"/>
        </w:rPr>
        <w:t>分析拟建工程可能存在的环境风险，预测风险发生后可能影响的程度和范围，对项目环境风险进行评估，并提出相应的风险防范和应急措施。</w:t>
      </w:r>
    </w:p>
    <w:p w14:paraId="4BD41DAA">
      <w:pPr>
        <w:pStyle w:val="79"/>
        <w:bidi w:val="0"/>
        <w:rPr>
          <w:rFonts w:hint="default"/>
          <w:color w:val="auto"/>
        </w:rPr>
      </w:pPr>
      <w:r>
        <w:rPr>
          <w:rFonts w:hint="eastAsia"/>
          <w:color w:val="auto"/>
          <w:lang w:eastAsia="zh-CN"/>
        </w:rPr>
        <w:t>（</w:t>
      </w:r>
      <w:r>
        <w:rPr>
          <w:rFonts w:hint="eastAsia"/>
          <w:color w:val="auto"/>
          <w:lang w:val="en-US" w:eastAsia="zh-CN"/>
        </w:rPr>
        <w:t>5</w:t>
      </w:r>
      <w:r>
        <w:rPr>
          <w:rFonts w:hint="eastAsia"/>
          <w:color w:val="auto"/>
          <w:lang w:eastAsia="zh-CN"/>
        </w:rPr>
        <w:t>）</w:t>
      </w:r>
      <w:r>
        <w:rPr>
          <w:rFonts w:hint="default"/>
          <w:color w:val="auto"/>
        </w:rPr>
        <w:t>从技术、经济角度分析拟建工程采取污染治理措施的可行性，从环境保护的角度对拟建工程的建设是否可行给出明确的结论。</w:t>
      </w:r>
    </w:p>
    <w:p w14:paraId="1F24B541">
      <w:pPr>
        <w:pStyle w:val="79"/>
        <w:bidi w:val="0"/>
        <w:rPr>
          <w:rFonts w:hint="default"/>
          <w:color w:val="auto"/>
        </w:rPr>
      </w:pPr>
      <w:r>
        <w:rPr>
          <w:rFonts w:hint="eastAsia"/>
          <w:color w:val="auto"/>
          <w:lang w:eastAsia="zh-CN"/>
        </w:rPr>
        <w:t>（</w:t>
      </w:r>
      <w:r>
        <w:rPr>
          <w:rFonts w:hint="eastAsia"/>
          <w:color w:val="auto"/>
          <w:lang w:val="en-US" w:eastAsia="zh-CN"/>
        </w:rPr>
        <w:t>6</w:t>
      </w:r>
      <w:r>
        <w:rPr>
          <w:rFonts w:hint="eastAsia"/>
          <w:color w:val="auto"/>
          <w:lang w:eastAsia="zh-CN"/>
        </w:rPr>
        <w:t>）</w:t>
      </w:r>
      <w:r>
        <w:rPr>
          <w:rFonts w:hint="default"/>
          <w:color w:val="auto"/>
        </w:rPr>
        <w:t>为环境管理主管部门决策、设计部门优化设计、建设单位环境管理提供科学依据。</w:t>
      </w:r>
    </w:p>
    <w:p w14:paraId="02B8DFC0">
      <w:pPr>
        <w:pStyle w:val="54"/>
        <w:bidi w:val="0"/>
        <w:rPr>
          <w:rFonts w:hint="default"/>
          <w:color w:val="auto"/>
        </w:rPr>
      </w:pPr>
      <w:r>
        <w:rPr>
          <w:rFonts w:hint="default"/>
          <w:color w:val="auto"/>
        </w:rPr>
        <w:t>2.2.2 评价原则</w:t>
      </w:r>
    </w:p>
    <w:p w14:paraId="48C35C3E">
      <w:pPr>
        <w:pStyle w:val="79"/>
        <w:bidi w:val="0"/>
        <w:rPr>
          <w:rFonts w:hint="default"/>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default"/>
          <w:color w:val="auto"/>
        </w:rPr>
        <w:t>坚持环境影响评价为项目建设服务，为环境管理服务，为保护生态环境服务。</w:t>
      </w:r>
    </w:p>
    <w:p w14:paraId="595AD8A5">
      <w:pPr>
        <w:pStyle w:val="79"/>
        <w:bidi w:val="0"/>
        <w:rPr>
          <w:rFonts w:hint="default"/>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default"/>
          <w:color w:val="auto"/>
        </w:rPr>
        <w:t>严格执行国家、地方环境保护相关法律法规、规章，认真遵守标准、规划相关要求。</w:t>
      </w:r>
    </w:p>
    <w:p w14:paraId="0B89A55C">
      <w:pPr>
        <w:pStyle w:val="79"/>
        <w:bidi w:val="0"/>
        <w:rPr>
          <w:rFonts w:hint="default"/>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rFonts w:hint="default"/>
          <w:color w:val="auto"/>
        </w:rPr>
        <w:t>全面贯彻环境影响评价导则、总纲，科学分析项目建设对环境质量的影响。</w:t>
      </w:r>
    </w:p>
    <w:p w14:paraId="40070F36">
      <w:pPr>
        <w:pStyle w:val="79"/>
        <w:bidi w:val="0"/>
        <w:rPr>
          <w:rFonts w:hint="default"/>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rFonts w:hint="default"/>
          <w:color w:val="auto"/>
        </w:rPr>
        <w:t>根据建设项目的工程内容及其特点，明确与环境要素间的作用效应关系，充分利用符合时效的数据资料及成果，对建设项目主要环境影响予以重点分析和评价。</w:t>
      </w:r>
    </w:p>
    <w:p w14:paraId="3FE87D34">
      <w:pPr>
        <w:pStyle w:val="79"/>
        <w:bidi w:val="0"/>
        <w:rPr>
          <w:rFonts w:hint="default"/>
          <w:color w:val="auto"/>
        </w:rPr>
      </w:pPr>
      <w:r>
        <w:rPr>
          <w:rFonts w:hint="eastAsia"/>
          <w:color w:val="auto"/>
          <w:lang w:eastAsia="zh-CN"/>
        </w:rPr>
        <w:t>（</w:t>
      </w:r>
      <w:r>
        <w:rPr>
          <w:rFonts w:hint="eastAsia"/>
          <w:color w:val="auto"/>
          <w:lang w:val="en-US" w:eastAsia="zh-CN"/>
        </w:rPr>
        <w:t>5</w:t>
      </w:r>
      <w:r>
        <w:rPr>
          <w:rFonts w:hint="eastAsia"/>
          <w:color w:val="auto"/>
          <w:lang w:eastAsia="zh-CN"/>
        </w:rPr>
        <w:t>）</w:t>
      </w:r>
      <w:r>
        <w:rPr>
          <w:rFonts w:hint="default"/>
          <w:color w:val="auto"/>
        </w:rPr>
        <w:t>严格贯彻执行</w:t>
      </w:r>
      <w:r>
        <w:rPr>
          <w:rFonts w:hint="eastAsia"/>
          <w:color w:val="auto"/>
          <w:lang w:eastAsia="zh-CN"/>
        </w:rPr>
        <w:t>“</w:t>
      </w:r>
      <w:r>
        <w:rPr>
          <w:rFonts w:hint="default"/>
          <w:color w:val="auto"/>
        </w:rPr>
        <w:t>达标排放</w:t>
      </w:r>
      <w:r>
        <w:rPr>
          <w:rFonts w:hint="eastAsia"/>
          <w:color w:val="auto"/>
          <w:lang w:eastAsia="zh-CN"/>
        </w:rPr>
        <w:t>”“</w:t>
      </w:r>
      <w:r>
        <w:rPr>
          <w:rFonts w:hint="default"/>
          <w:color w:val="auto"/>
        </w:rPr>
        <w:t>总量控制</w:t>
      </w:r>
      <w:r>
        <w:rPr>
          <w:rFonts w:hint="eastAsia"/>
          <w:color w:val="auto"/>
          <w:lang w:eastAsia="zh-CN"/>
        </w:rPr>
        <w:t>”“</w:t>
      </w:r>
      <w:r>
        <w:rPr>
          <w:rFonts w:hint="default"/>
          <w:color w:val="auto"/>
        </w:rPr>
        <w:t>以新带老</w:t>
      </w:r>
      <w:r>
        <w:rPr>
          <w:rFonts w:hint="eastAsia"/>
          <w:color w:val="auto"/>
          <w:lang w:eastAsia="zh-CN"/>
        </w:rPr>
        <w:t>”“</w:t>
      </w:r>
      <w:r>
        <w:rPr>
          <w:rFonts w:hint="default"/>
          <w:color w:val="auto"/>
        </w:rPr>
        <w:t>排污许可</w:t>
      </w:r>
      <w:r>
        <w:rPr>
          <w:rFonts w:hint="eastAsia"/>
          <w:color w:val="auto"/>
          <w:lang w:eastAsia="zh-CN"/>
        </w:rPr>
        <w:t>”</w:t>
      </w:r>
      <w:r>
        <w:rPr>
          <w:rFonts w:hint="default"/>
          <w:color w:val="auto"/>
        </w:rPr>
        <w:t>等环保</w:t>
      </w:r>
      <w:r>
        <w:rPr>
          <w:rFonts w:hint="eastAsia"/>
          <w:color w:val="auto"/>
          <w:lang w:eastAsia="zh-CN"/>
        </w:rPr>
        <w:t>法律法规</w:t>
      </w:r>
      <w:r>
        <w:rPr>
          <w:rFonts w:hint="default"/>
          <w:color w:val="auto"/>
        </w:rPr>
        <w:t>。</w:t>
      </w:r>
    </w:p>
    <w:p w14:paraId="21583BB9">
      <w:pPr>
        <w:pStyle w:val="79"/>
        <w:bidi w:val="0"/>
        <w:rPr>
          <w:rFonts w:hint="default"/>
          <w:color w:val="auto"/>
          <w:lang w:val="en-US" w:eastAsia="zh-CN"/>
        </w:rPr>
      </w:pPr>
      <w:r>
        <w:rPr>
          <w:rFonts w:hint="eastAsia"/>
          <w:color w:val="auto"/>
          <w:lang w:eastAsia="zh-CN"/>
        </w:rPr>
        <w:t>（</w:t>
      </w:r>
      <w:r>
        <w:rPr>
          <w:rFonts w:hint="eastAsia"/>
          <w:color w:val="auto"/>
          <w:lang w:val="en-US" w:eastAsia="zh-CN"/>
        </w:rPr>
        <w:t>6</w:t>
      </w:r>
      <w:r>
        <w:rPr>
          <w:rFonts w:hint="eastAsia"/>
          <w:color w:val="auto"/>
          <w:lang w:eastAsia="zh-CN"/>
        </w:rPr>
        <w:t>）</w:t>
      </w:r>
      <w:r>
        <w:rPr>
          <w:rFonts w:hint="default"/>
          <w:color w:val="auto"/>
        </w:rPr>
        <w:t>推行</w:t>
      </w:r>
      <w:r>
        <w:rPr>
          <w:rFonts w:hint="eastAsia"/>
          <w:color w:val="auto"/>
          <w:lang w:eastAsia="zh-CN"/>
        </w:rPr>
        <w:t>“</w:t>
      </w:r>
      <w:r>
        <w:rPr>
          <w:rFonts w:hint="default"/>
          <w:color w:val="auto"/>
        </w:rPr>
        <w:t>清洁生产</w:t>
      </w:r>
      <w:r>
        <w:rPr>
          <w:rFonts w:hint="eastAsia"/>
          <w:color w:val="auto"/>
          <w:lang w:eastAsia="zh-CN"/>
        </w:rPr>
        <w:t>”</w:t>
      </w:r>
      <w:r>
        <w:rPr>
          <w:rFonts w:hint="default"/>
          <w:color w:val="auto"/>
        </w:rPr>
        <w:t>，从源头抓起，实行生产全过程控制，最大限度节约能源，降低物耗，减少污染物的产生和排放</w:t>
      </w:r>
      <w:r>
        <w:rPr>
          <w:rFonts w:hint="default"/>
          <w:color w:val="auto"/>
          <w:lang w:eastAsia="zh-CN"/>
        </w:rPr>
        <w:t>。</w:t>
      </w:r>
    </w:p>
    <w:p w14:paraId="5CD866B3">
      <w:pPr>
        <w:pStyle w:val="75"/>
        <w:bidi w:val="0"/>
        <w:rPr>
          <w:rFonts w:hint="default"/>
          <w:color w:val="auto"/>
        </w:rPr>
      </w:pPr>
      <w:bookmarkStart w:id="83" w:name="_Toc26633"/>
      <w:r>
        <w:rPr>
          <w:rFonts w:hint="default"/>
          <w:color w:val="auto"/>
        </w:rPr>
        <w:t>2.</w:t>
      </w:r>
      <w:r>
        <w:rPr>
          <w:rFonts w:hint="eastAsia"/>
          <w:color w:val="auto"/>
          <w:lang w:val="en-US" w:eastAsia="zh-CN"/>
        </w:rPr>
        <w:t xml:space="preserve">3 </w:t>
      </w:r>
      <w:r>
        <w:rPr>
          <w:rFonts w:hint="default"/>
          <w:color w:val="auto"/>
        </w:rPr>
        <w:t>环境影响因素和评价因子</w:t>
      </w:r>
      <w:bookmarkEnd w:id="76"/>
      <w:bookmarkEnd w:id="77"/>
      <w:bookmarkEnd w:id="78"/>
      <w:bookmarkEnd w:id="79"/>
      <w:bookmarkEnd w:id="80"/>
      <w:bookmarkEnd w:id="81"/>
      <w:bookmarkEnd w:id="82"/>
      <w:bookmarkEnd w:id="83"/>
    </w:p>
    <w:p w14:paraId="071AD60A">
      <w:pPr>
        <w:pStyle w:val="54"/>
        <w:bidi w:val="0"/>
        <w:rPr>
          <w:rFonts w:hint="default"/>
          <w:color w:val="auto"/>
        </w:rPr>
      </w:pPr>
      <w:bookmarkStart w:id="84" w:name="_Toc500856904"/>
      <w:r>
        <w:rPr>
          <w:rFonts w:hint="default"/>
          <w:color w:val="auto"/>
        </w:rPr>
        <w:t>2.</w:t>
      </w:r>
      <w:r>
        <w:rPr>
          <w:rFonts w:hint="eastAsia"/>
          <w:color w:val="auto"/>
          <w:lang w:val="en-US" w:eastAsia="zh-CN"/>
        </w:rPr>
        <w:t>3</w:t>
      </w:r>
      <w:r>
        <w:rPr>
          <w:rFonts w:hint="default"/>
          <w:color w:val="auto"/>
        </w:rPr>
        <w:t>.1</w:t>
      </w:r>
      <w:r>
        <w:rPr>
          <w:rFonts w:hint="eastAsia"/>
          <w:color w:val="auto"/>
          <w:lang w:val="en-US" w:eastAsia="zh-CN"/>
        </w:rPr>
        <w:t xml:space="preserve"> </w:t>
      </w:r>
      <w:r>
        <w:rPr>
          <w:rFonts w:hint="default"/>
          <w:color w:val="auto"/>
        </w:rPr>
        <w:t>环境影响因素识别</w:t>
      </w:r>
      <w:bookmarkEnd w:id="84"/>
    </w:p>
    <w:p w14:paraId="4227D11B">
      <w:pPr>
        <w:pStyle w:val="79"/>
        <w:bidi w:val="0"/>
        <w:rPr>
          <w:color w:val="auto"/>
        </w:rPr>
      </w:pPr>
      <w:r>
        <w:rPr>
          <w:rFonts w:hint="eastAsia"/>
          <w:color w:val="auto"/>
        </w:rPr>
        <w:t>本工程主要包括地面工程、油气集输、油气处理等工程内容，对环境的影响主要表现在施工期、运营期和退役期。施工期以</w:t>
      </w:r>
      <w:r>
        <w:rPr>
          <w:rFonts w:hint="eastAsia"/>
          <w:color w:val="auto"/>
          <w:lang w:val="en-US" w:eastAsia="zh-CN"/>
        </w:rPr>
        <w:t>井场、</w:t>
      </w:r>
      <w:r>
        <w:rPr>
          <w:rFonts w:hint="eastAsia"/>
          <w:color w:val="auto"/>
        </w:rPr>
        <w:t>站场、管线、道路等地面工程建设过程中造成的生态影响为主，运营期以天然气处理过程、油气开采和集输过程中产生的污染为主。</w:t>
      </w:r>
    </w:p>
    <w:p w14:paraId="7527A316">
      <w:pPr>
        <w:pStyle w:val="79"/>
        <w:bidi w:val="0"/>
        <w:rPr>
          <w:color w:val="auto"/>
        </w:rPr>
      </w:pPr>
      <w:r>
        <w:rPr>
          <w:rFonts w:hint="eastAsia"/>
          <w:color w:val="auto"/>
        </w:rPr>
        <w:t>（1）</w:t>
      </w:r>
      <w:r>
        <w:rPr>
          <w:color w:val="auto"/>
        </w:rPr>
        <w:t>施工期</w:t>
      </w:r>
    </w:p>
    <w:p w14:paraId="3CF61FEF">
      <w:pPr>
        <w:pStyle w:val="79"/>
        <w:bidi w:val="0"/>
        <w:rPr>
          <w:color w:val="auto"/>
        </w:rPr>
      </w:pPr>
      <w:r>
        <w:rPr>
          <w:rFonts w:hint="eastAsia"/>
          <w:color w:val="auto"/>
        </w:rPr>
        <w:t>①</w:t>
      </w:r>
      <w:r>
        <w:rPr>
          <w:color w:val="auto"/>
        </w:rPr>
        <w:t>生态环境影响</w:t>
      </w:r>
      <w:r>
        <w:rPr>
          <w:rFonts w:hint="eastAsia"/>
          <w:color w:val="auto"/>
          <w:lang w:eastAsia="zh-CN"/>
        </w:rPr>
        <w:t>：</w:t>
      </w:r>
      <w:r>
        <w:rPr>
          <w:color w:val="auto"/>
        </w:rPr>
        <w:t>工程施工期间对生态环境的影响主要是施工期间土石方工程的开挖引起自然地貌的改变和地表自然及人工植被的破坏，引起土地利用的改变，生物量的变化，由此引发的局部生态环境破坏。</w:t>
      </w:r>
    </w:p>
    <w:p w14:paraId="53A49F57">
      <w:pPr>
        <w:pStyle w:val="79"/>
        <w:bidi w:val="0"/>
        <w:rPr>
          <w:color w:val="auto"/>
        </w:rPr>
      </w:pPr>
      <w:r>
        <w:rPr>
          <w:rFonts w:hint="eastAsia"/>
          <w:color w:val="auto"/>
        </w:rPr>
        <w:t>②</w:t>
      </w:r>
      <w:r>
        <w:rPr>
          <w:color w:val="auto"/>
        </w:rPr>
        <w:t>污染影响</w:t>
      </w:r>
      <w:r>
        <w:rPr>
          <w:rFonts w:hint="eastAsia"/>
          <w:color w:val="auto"/>
          <w:lang w:eastAsia="zh-CN"/>
        </w:rPr>
        <w:t>：</w:t>
      </w:r>
      <w:r>
        <w:rPr>
          <w:color w:val="auto"/>
        </w:rPr>
        <w:t>施工期废水主要来自施工人员在施工作业中产生的生活污水、管道试压废水等。施工废气主要来自</w:t>
      </w:r>
      <w:r>
        <w:rPr>
          <w:rFonts w:hint="eastAsia"/>
          <w:color w:val="auto"/>
        </w:rPr>
        <w:t>柴油机运行时产生废气、</w:t>
      </w:r>
      <w:r>
        <w:rPr>
          <w:color w:val="auto"/>
        </w:rPr>
        <w:t>地面开挖和运输车辆行驶产生的扬尘及施工机械排放的烟气。施工期产生的固体废物主要为施工人员生活垃圾、</w:t>
      </w:r>
      <w:r>
        <w:rPr>
          <w:rFonts w:hint="eastAsia"/>
          <w:color w:val="auto"/>
          <w:lang w:val="en-US" w:eastAsia="zh-CN"/>
        </w:rPr>
        <w:t>建筑垃圾</w:t>
      </w:r>
      <w:r>
        <w:rPr>
          <w:color w:val="auto"/>
        </w:rPr>
        <w:t>和</w:t>
      </w:r>
      <w:r>
        <w:rPr>
          <w:rFonts w:hint="eastAsia"/>
          <w:color w:val="auto"/>
          <w:lang w:val="en-US" w:eastAsia="zh-CN"/>
        </w:rPr>
        <w:t>弃土弃方</w:t>
      </w:r>
      <w:r>
        <w:rPr>
          <w:color w:val="auto"/>
        </w:rPr>
        <w:t>等。噪声源主要来自施工作业机械</w:t>
      </w:r>
      <w:r>
        <w:rPr>
          <w:rFonts w:hint="eastAsia"/>
          <w:color w:val="auto"/>
          <w:lang w:val="en-US" w:eastAsia="zh-CN"/>
        </w:rPr>
        <w:t>运输车辆</w:t>
      </w:r>
      <w:r>
        <w:rPr>
          <w:color w:val="auto"/>
        </w:rPr>
        <w:t>，</w:t>
      </w:r>
      <w:r>
        <w:rPr>
          <w:rFonts w:hint="eastAsia"/>
          <w:color w:val="auto"/>
        </w:rPr>
        <w:t>如</w:t>
      </w:r>
      <w:r>
        <w:rPr>
          <w:color w:val="auto"/>
        </w:rPr>
        <w:t>挖掘机、设备吊装机械等</w:t>
      </w:r>
      <w:r>
        <w:rPr>
          <w:rFonts w:hint="eastAsia"/>
          <w:color w:val="auto"/>
        </w:rPr>
        <w:t>。</w:t>
      </w:r>
    </w:p>
    <w:p w14:paraId="022DA590">
      <w:pPr>
        <w:pStyle w:val="79"/>
        <w:bidi w:val="0"/>
        <w:rPr>
          <w:color w:val="auto"/>
        </w:rPr>
      </w:pPr>
      <w:r>
        <w:rPr>
          <w:rFonts w:hint="eastAsia"/>
          <w:color w:val="auto"/>
        </w:rPr>
        <w:t>（2）运行期</w:t>
      </w:r>
    </w:p>
    <w:p w14:paraId="2168FA57">
      <w:pPr>
        <w:pStyle w:val="79"/>
        <w:bidi w:val="0"/>
        <w:rPr>
          <w:color w:val="auto"/>
        </w:rPr>
      </w:pPr>
      <w:r>
        <w:rPr>
          <w:rFonts w:hint="eastAsia"/>
          <w:color w:val="auto"/>
        </w:rPr>
        <w:t>运行期环境影响因素主要</w:t>
      </w:r>
      <w:bookmarkStart w:id="85" w:name="OLE_LINK103"/>
      <w:r>
        <w:rPr>
          <w:rFonts w:hint="eastAsia"/>
          <w:color w:val="auto"/>
          <w:lang w:val="en-US" w:eastAsia="zh-CN"/>
        </w:rPr>
        <w:t>是加热炉燃烧废气</w:t>
      </w:r>
      <w:bookmarkEnd w:id="85"/>
      <w:r>
        <w:rPr>
          <w:rFonts w:hint="eastAsia"/>
          <w:color w:val="auto"/>
          <w:lang w:val="en-US" w:eastAsia="zh-CN"/>
        </w:rPr>
        <w:t>，</w:t>
      </w:r>
      <w:r>
        <w:rPr>
          <w:rFonts w:hint="eastAsia"/>
          <w:color w:val="auto"/>
        </w:rPr>
        <w:t>站场及集输过程中无组织挥发烃类、硫化氢、温室气体排放</w:t>
      </w:r>
      <w:r>
        <w:rPr>
          <w:rFonts w:hint="eastAsia"/>
          <w:color w:val="auto"/>
          <w:lang w:eastAsia="zh-CN"/>
        </w:rPr>
        <w:t>；</w:t>
      </w:r>
      <w:r>
        <w:rPr>
          <w:rFonts w:hint="eastAsia"/>
          <w:color w:val="auto"/>
        </w:rPr>
        <w:t>废水主要为</w:t>
      </w:r>
      <w:r>
        <w:rPr>
          <w:rFonts w:hint="eastAsia"/>
          <w:color w:val="auto"/>
          <w:lang w:val="en-US" w:eastAsia="zh-CN"/>
        </w:rPr>
        <w:t>生活污水、井下作业废水</w:t>
      </w:r>
      <w:r>
        <w:rPr>
          <w:rFonts w:hint="eastAsia"/>
          <w:color w:val="auto"/>
        </w:rPr>
        <w:t>等</w:t>
      </w:r>
      <w:r>
        <w:rPr>
          <w:rFonts w:hint="eastAsia"/>
          <w:color w:val="auto"/>
          <w:lang w:eastAsia="zh-CN"/>
        </w:rPr>
        <w:t>；</w:t>
      </w:r>
      <w:r>
        <w:rPr>
          <w:rFonts w:hint="eastAsia"/>
          <w:color w:val="auto"/>
        </w:rPr>
        <w:t>固体废物主要为</w:t>
      </w:r>
      <w:r>
        <w:rPr>
          <w:rFonts w:hint="eastAsia"/>
          <w:color w:val="auto"/>
          <w:lang w:val="en-US" w:eastAsia="zh-CN"/>
        </w:rPr>
        <w:t>废脱硫剂、废分子筛、</w:t>
      </w:r>
      <w:r>
        <w:rPr>
          <w:rFonts w:hint="eastAsia"/>
          <w:color w:val="auto"/>
        </w:rPr>
        <w:t>清管废渣、废润滑油、含油污泥等</w:t>
      </w:r>
      <w:r>
        <w:rPr>
          <w:rFonts w:hint="eastAsia"/>
          <w:color w:val="auto"/>
          <w:lang w:eastAsia="zh-CN"/>
        </w:rPr>
        <w:t>；</w:t>
      </w:r>
      <w:r>
        <w:rPr>
          <w:color w:val="auto"/>
        </w:rPr>
        <w:t>噪声源主要来自</w:t>
      </w:r>
      <w:r>
        <w:rPr>
          <w:rFonts w:hint="eastAsia"/>
          <w:color w:val="auto"/>
          <w:lang w:val="en-US" w:eastAsia="zh-CN"/>
        </w:rPr>
        <w:t>场站设备噪声；石油、天然气、甲醇等危险物质泄漏，以及火灾、爆炸、井喷等事故引发的伴生/次生污染物</w:t>
      </w:r>
      <w:r>
        <w:rPr>
          <w:color w:val="auto"/>
        </w:rPr>
        <w:t>等</w:t>
      </w:r>
      <w:r>
        <w:rPr>
          <w:rFonts w:hint="eastAsia"/>
          <w:color w:val="auto"/>
          <w:lang w:val="en-US" w:eastAsia="zh-CN"/>
        </w:rPr>
        <w:t>环境风险</w:t>
      </w:r>
      <w:r>
        <w:rPr>
          <w:rFonts w:hint="eastAsia"/>
          <w:color w:val="auto"/>
        </w:rPr>
        <w:t>。</w:t>
      </w:r>
    </w:p>
    <w:p w14:paraId="3A457957">
      <w:pPr>
        <w:pStyle w:val="79"/>
        <w:bidi w:val="0"/>
        <w:rPr>
          <w:rFonts w:hint="default"/>
          <w:color w:val="auto"/>
        </w:rPr>
      </w:pPr>
      <w:r>
        <w:rPr>
          <w:rFonts w:hint="default"/>
          <w:color w:val="auto"/>
        </w:rPr>
        <w:t>（3）退役期</w:t>
      </w:r>
    </w:p>
    <w:p w14:paraId="5A050B86">
      <w:pPr>
        <w:pStyle w:val="79"/>
        <w:bidi w:val="0"/>
        <w:rPr>
          <w:rFonts w:hint="default"/>
          <w:color w:val="auto"/>
        </w:rPr>
      </w:pPr>
      <w:r>
        <w:rPr>
          <w:rFonts w:hint="default"/>
          <w:color w:val="auto"/>
        </w:rPr>
        <w:t>退役期，对完成油气开采的废弃井进行封堵内外井眼，拆除井口装置，清理场地工作，废气污染源主要为施工扬尘，噪声污染源主要为车辆噪声</w:t>
      </w:r>
      <w:r>
        <w:rPr>
          <w:rFonts w:hint="eastAsia"/>
          <w:color w:val="auto"/>
          <w:lang w:eastAsia="zh-CN"/>
        </w:rPr>
        <w:t>，</w:t>
      </w:r>
      <w:r>
        <w:rPr>
          <w:rFonts w:hint="default"/>
          <w:color w:val="auto"/>
        </w:rPr>
        <w:t>固废污染源主要为废弃建筑残渣等一般工业固体废物</w:t>
      </w:r>
      <w:r>
        <w:rPr>
          <w:rFonts w:hint="eastAsia"/>
          <w:color w:val="auto"/>
          <w:lang w:val="en-US" w:eastAsia="zh-CN"/>
        </w:rPr>
        <w:t>以及</w:t>
      </w:r>
      <w:r>
        <w:rPr>
          <w:rFonts w:hint="default"/>
          <w:color w:val="auto"/>
        </w:rPr>
        <w:t>设施拆除过程遗落地面的油泥</w:t>
      </w:r>
      <w:r>
        <w:rPr>
          <w:rFonts w:hint="eastAsia"/>
          <w:color w:val="auto"/>
          <w:lang w:val="en-US" w:eastAsia="zh-CN"/>
        </w:rPr>
        <w:t>等危废</w:t>
      </w:r>
      <w:r>
        <w:rPr>
          <w:rFonts w:hint="default"/>
          <w:color w:val="auto"/>
        </w:rPr>
        <w:t>。</w:t>
      </w:r>
    </w:p>
    <w:p w14:paraId="2BF741DA">
      <w:pPr>
        <w:pStyle w:val="79"/>
        <w:bidi w:val="0"/>
        <w:rPr>
          <w:rFonts w:hint="default" w:ascii="Times New Roman" w:hAnsi="Times New Roman" w:cs="Times New Roman"/>
          <w:color w:val="auto"/>
          <w:szCs w:val="24"/>
        </w:rPr>
        <w:sectPr>
          <w:pgSz w:w="11906" w:h="16838"/>
          <w:pgMar w:top="1474" w:right="1474" w:bottom="1474" w:left="1814" w:header="850" w:footer="992" w:gutter="0"/>
          <w:pgBorders>
            <w:top w:val="none" w:sz="0" w:space="0"/>
            <w:left w:val="none" w:sz="0" w:space="0"/>
            <w:bottom w:val="none" w:sz="0" w:space="0"/>
            <w:right w:val="none" w:sz="0" w:space="0"/>
          </w:pgBorders>
          <w:pgNumType w:fmt="decimal" w:chapStyle="1" w:chapSep="emDash"/>
          <w:cols w:space="0" w:num="1"/>
          <w:rtlGutter w:val="0"/>
          <w:docGrid w:type="linesAndChars" w:linePitch="316" w:charSpace="0"/>
        </w:sectPr>
      </w:pPr>
      <w:r>
        <w:rPr>
          <w:rFonts w:hint="eastAsia"/>
          <w:color w:val="auto"/>
          <w:lang w:eastAsia="zh-CN"/>
        </w:rPr>
        <w:t>油田</w:t>
      </w:r>
      <w:r>
        <w:rPr>
          <w:rFonts w:hint="default"/>
          <w:color w:val="auto"/>
        </w:rPr>
        <w:t>开发的各个阶段，环境影响因子不同，根据工程分析和油气开发工艺特征，对油</w:t>
      </w:r>
      <w:r>
        <w:rPr>
          <w:rFonts w:hint="eastAsia"/>
          <w:color w:val="auto"/>
          <w:lang w:val="en-US" w:eastAsia="zh-CN"/>
        </w:rPr>
        <w:t>田</w:t>
      </w:r>
      <w:r>
        <w:rPr>
          <w:rFonts w:hint="default"/>
          <w:color w:val="auto"/>
        </w:rPr>
        <w:t>开发过程中的施工期、运营期和退役期环境影响因子识别</w:t>
      </w:r>
      <w:r>
        <w:rPr>
          <w:rFonts w:hint="eastAsia"/>
          <w:color w:val="auto"/>
          <w:lang w:eastAsia="zh-CN"/>
        </w:rPr>
        <w:t>，</w:t>
      </w:r>
      <w:r>
        <w:rPr>
          <w:rFonts w:hint="default"/>
          <w:color w:val="auto"/>
        </w:rPr>
        <w:t>见表2.</w:t>
      </w:r>
      <w:r>
        <w:rPr>
          <w:rFonts w:hint="eastAsia"/>
          <w:color w:val="auto"/>
          <w:lang w:val="en-US" w:eastAsia="zh-CN"/>
        </w:rPr>
        <w:t>3-1</w:t>
      </w:r>
      <w:r>
        <w:rPr>
          <w:rFonts w:hint="default" w:ascii="Times New Roman" w:hAnsi="Times New Roman" w:cs="Times New Roman"/>
          <w:color w:val="auto"/>
          <w:szCs w:val="24"/>
          <w:highlight w:val="none"/>
        </w:rPr>
        <w:t>。</w:t>
      </w:r>
    </w:p>
    <w:p w14:paraId="7C20C55F">
      <w:pPr>
        <w:pStyle w:val="61"/>
        <w:keepNext w:val="0"/>
        <w:keepLines w:val="0"/>
        <w:pageBreakBefore w:val="0"/>
        <w:widowControl w:val="0"/>
        <w:kinsoku/>
        <w:wordWrap/>
        <w:overflowPunct/>
        <w:topLinePunct w:val="0"/>
        <w:autoSpaceDE/>
        <w:autoSpaceDN/>
        <w:bidi w:val="0"/>
        <w:adjustRightInd/>
        <w:snapToGrid/>
        <w:spacing w:line="480" w:lineRule="exact"/>
        <w:ind w:firstLine="420" w:firstLineChars="200"/>
        <w:jc w:val="both"/>
        <w:textAlignment w:val="auto"/>
        <w:rPr>
          <w:rFonts w:hint="default" w:asciiTheme="majorEastAsia" w:hAnsiTheme="majorEastAsia" w:eastAsiaTheme="majorEastAsia" w:cstheme="majorEastAsia"/>
          <w:b/>
          <w:bCs w:val="0"/>
          <w:color w:val="auto"/>
          <w:sz w:val="24"/>
          <w:szCs w:val="24"/>
        </w:rPr>
      </w:pPr>
      <w:r>
        <w:rPr>
          <w:rFonts w:hint="eastAsia" w:ascii="黑体" w:hAnsi="黑体" w:eastAsia="黑体" w:cs="黑体"/>
          <w:b/>
          <w:bCs w:val="0"/>
          <w:color w:val="auto"/>
          <w:sz w:val="21"/>
          <w:szCs w:val="21"/>
        </w:rPr>
        <w:t>表2.</w:t>
      </w:r>
      <w:r>
        <w:rPr>
          <w:rFonts w:hint="eastAsia" w:ascii="黑体" w:hAnsi="黑体" w:eastAsia="黑体" w:cs="黑体"/>
          <w:b/>
          <w:bCs w:val="0"/>
          <w:color w:val="auto"/>
          <w:sz w:val="21"/>
          <w:szCs w:val="21"/>
          <w:lang w:val="en-US" w:eastAsia="zh-CN"/>
        </w:rPr>
        <w:t xml:space="preserve">3-1  </w:t>
      </w:r>
      <w:r>
        <w:rPr>
          <w:rFonts w:hint="eastAsia" w:ascii="黑体" w:hAnsi="黑体" w:eastAsia="黑体" w:cs="黑体"/>
          <w:b/>
          <w:bCs w:val="0"/>
          <w:color w:val="auto"/>
          <w:sz w:val="21"/>
          <w:szCs w:val="21"/>
        </w:rPr>
        <w:t>影响因素识别</w:t>
      </w:r>
    </w:p>
    <w:tbl>
      <w:tblPr>
        <w:tblStyle w:val="36"/>
        <w:tblW w:w="507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104"/>
        <w:gridCol w:w="898"/>
        <w:gridCol w:w="1036"/>
        <w:gridCol w:w="943"/>
        <w:gridCol w:w="1068"/>
        <w:gridCol w:w="1149"/>
        <w:gridCol w:w="1022"/>
        <w:gridCol w:w="856"/>
        <w:gridCol w:w="1240"/>
        <w:gridCol w:w="754"/>
        <w:gridCol w:w="1350"/>
        <w:gridCol w:w="641"/>
        <w:gridCol w:w="1463"/>
        <w:gridCol w:w="591"/>
      </w:tblGrid>
      <w:tr w14:paraId="15B273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391" w:type="pct"/>
            <w:vMerge w:val="restart"/>
            <w:tcBorders>
              <w:tl2br w:val="nil"/>
              <w:tr2bl w:val="nil"/>
            </w:tcBorders>
            <w:noWrap w:val="0"/>
            <w:vAlign w:val="top"/>
          </w:tcPr>
          <w:p w14:paraId="1E0874E7">
            <w:pPr>
              <w:pStyle w:val="81"/>
              <w:keepNext w:val="0"/>
              <w:keepLines w:val="0"/>
              <w:pageBreakBefore w:val="0"/>
              <w:kinsoku/>
              <w:wordWrap/>
              <w:topLinePunct w:val="0"/>
              <w:bidi w:val="0"/>
              <w:spacing w:line="400" w:lineRule="exact"/>
              <w:rPr>
                <w:color w:val="auto"/>
                <w:sz w:val="21"/>
                <w:szCs w:val="21"/>
              </w:rPr>
            </w:pPr>
            <w:r>
              <w:rPr>
                <w:color w:val="auto"/>
                <w:sz w:val="21"/>
              </w:rPr>
              <mc:AlternateContent>
                <mc:Choice Requires="wps">
                  <w:drawing>
                    <wp:anchor distT="0" distB="0" distL="114300" distR="114300" simplePos="0" relativeHeight="251699200" behindDoc="0" locked="0" layoutInCell="1" allowOverlap="1">
                      <wp:simplePos x="0" y="0"/>
                      <wp:positionH relativeFrom="column">
                        <wp:posOffset>2540</wp:posOffset>
                      </wp:positionH>
                      <wp:positionV relativeFrom="paragraph">
                        <wp:posOffset>15875</wp:posOffset>
                      </wp:positionV>
                      <wp:extent cx="683260" cy="2439670"/>
                      <wp:effectExtent l="4445" t="1270" r="17145" b="16510"/>
                      <wp:wrapNone/>
                      <wp:docPr id="20" name="直接连接符 20"/>
                      <wp:cNvGraphicFramePr/>
                      <a:graphic xmlns:a="http://schemas.openxmlformats.org/drawingml/2006/main">
                        <a:graphicData uri="http://schemas.microsoft.com/office/word/2010/wordprocessingShape">
                          <wps:wsp>
                            <wps:cNvCnPr/>
                            <wps:spPr>
                              <a:xfrm>
                                <a:off x="907415" y="1391285"/>
                                <a:ext cx="683260" cy="2439670"/>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0.2pt;margin-top:1.25pt;height:192.1pt;width:53.8pt;z-index:251699200;mso-width-relative:page;mso-height-relative:page;" filled="f" stroked="t" coordsize="21600,21600" o:gfxdata="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xOCT/1gAAAAYBAAAPAAAAAAAAAAEAIAAAACIAAABkcnMvZG93bnJldi54bWxQSwEC&#10;FAAUAAAACACHTuJA7m4SAvYBAADDAwAADgAAAAAAAAABACAAAAAlAQAAZHJzL2Uyb0RvYy54bWxQ&#10;SwUGAAAAAAYABgBZAQAAjQUAAAAA&#10;">
                      <v:fill on="f" focussize="0,0"/>
                      <v:stroke color="#000000 [3213]" miterlimit="8" joinstyle="miter"/>
                      <v:imagedata o:title=""/>
                      <o:lock v:ext="edit" aspectratio="f"/>
                    </v:line>
                  </w:pict>
                </mc:Fallback>
              </mc:AlternateContent>
            </w:r>
            <w:r>
              <w:rPr>
                <w:color w:val="auto"/>
                <w:sz w:val="21"/>
                <w:szCs w:val="21"/>
              </w:rPr>
              <w:t>影响</w:t>
            </w:r>
          </w:p>
          <w:p w14:paraId="4B9BFA58">
            <w:pPr>
              <w:pStyle w:val="81"/>
              <w:keepNext w:val="0"/>
              <w:keepLines w:val="0"/>
              <w:pageBreakBefore w:val="0"/>
              <w:kinsoku/>
              <w:wordWrap/>
              <w:topLinePunct w:val="0"/>
              <w:bidi w:val="0"/>
              <w:spacing w:line="400" w:lineRule="exact"/>
              <w:rPr>
                <w:color w:val="auto"/>
                <w:sz w:val="21"/>
                <w:szCs w:val="21"/>
              </w:rPr>
            </w:pPr>
            <w:r>
              <w:rPr>
                <w:color w:val="auto"/>
                <w:sz w:val="21"/>
                <w:szCs w:val="21"/>
              </w:rPr>
              <w:t>因素</w:t>
            </w:r>
          </w:p>
          <w:p w14:paraId="0AB8EE52">
            <w:pPr>
              <w:pStyle w:val="81"/>
              <w:keepNext w:val="0"/>
              <w:keepLines w:val="0"/>
              <w:pageBreakBefore w:val="0"/>
              <w:kinsoku/>
              <w:wordWrap/>
              <w:topLinePunct w:val="0"/>
              <w:bidi w:val="0"/>
              <w:spacing w:line="400" w:lineRule="exact"/>
              <w:rPr>
                <w:color w:val="auto"/>
                <w:sz w:val="21"/>
                <w:szCs w:val="21"/>
              </w:rPr>
            </w:pPr>
          </w:p>
          <w:p w14:paraId="44E24E20">
            <w:pPr>
              <w:pStyle w:val="81"/>
              <w:keepNext w:val="0"/>
              <w:keepLines w:val="0"/>
              <w:pageBreakBefore w:val="0"/>
              <w:kinsoku/>
              <w:wordWrap/>
              <w:topLinePunct w:val="0"/>
              <w:bidi w:val="0"/>
              <w:spacing w:line="400" w:lineRule="exact"/>
              <w:jc w:val="both"/>
              <w:rPr>
                <w:color w:val="auto"/>
                <w:sz w:val="21"/>
                <w:szCs w:val="21"/>
              </w:rPr>
            </w:pPr>
          </w:p>
          <w:p w14:paraId="15370CFF">
            <w:pPr>
              <w:pStyle w:val="81"/>
              <w:keepNext w:val="0"/>
              <w:keepLines w:val="0"/>
              <w:pageBreakBefore w:val="0"/>
              <w:kinsoku/>
              <w:wordWrap/>
              <w:topLinePunct w:val="0"/>
              <w:bidi w:val="0"/>
              <w:spacing w:line="400" w:lineRule="exact"/>
              <w:jc w:val="both"/>
              <w:rPr>
                <w:color w:val="auto"/>
                <w:sz w:val="21"/>
                <w:szCs w:val="21"/>
              </w:rPr>
            </w:pPr>
            <w:r>
              <w:rPr>
                <w:color w:val="auto"/>
                <w:sz w:val="21"/>
                <w:szCs w:val="21"/>
              </w:rPr>
              <w:t>环</w:t>
            </w:r>
          </w:p>
          <w:p w14:paraId="314C164C">
            <w:pPr>
              <w:pStyle w:val="81"/>
              <w:keepNext w:val="0"/>
              <w:keepLines w:val="0"/>
              <w:pageBreakBefore w:val="0"/>
              <w:kinsoku/>
              <w:wordWrap/>
              <w:topLinePunct w:val="0"/>
              <w:bidi w:val="0"/>
              <w:spacing w:line="400" w:lineRule="exact"/>
              <w:jc w:val="both"/>
              <w:rPr>
                <w:color w:val="auto"/>
                <w:sz w:val="21"/>
                <w:szCs w:val="21"/>
              </w:rPr>
            </w:pPr>
            <w:r>
              <w:rPr>
                <w:color w:val="auto"/>
                <w:sz w:val="21"/>
                <w:szCs w:val="21"/>
              </w:rPr>
              <w:t>境</w:t>
            </w:r>
          </w:p>
          <w:p w14:paraId="2DC0D933">
            <w:pPr>
              <w:pStyle w:val="81"/>
              <w:keepNext w:val="0"/>
              <w:keepLines w:val="0"/>
              <w:pageBreakBefore w:val="0"/>
              <w:kinsoku/>
              <w:wordWrap/>
              <w:topLinePunct w:val="0"/>
              <w:bidi w:val="0"/>
              <w:spacing w:line="400" w:lineRule="exact"/>
              <w:jc w:val="both"/>
              <w:rPr>
                <w:color w:val="auto"/>
                <w:sz w:val="21"/>
                <w:szCs w:val="21"/>
              </w:rPr>
            </w:pPr>
            <w:r>
              <w:rPr>
                <w:color w:val="auto"/>
                <w:sz w:val="21"/>
                <w:szCs w:val="21"/>
              </w:rPr>
              <w:t>因</w:t>
            </w:r>
          </w:p>
          <w:p w14:paraId="5AA83291">
            <w:pPr>
              <w:pStyle w:val="81"/>
              <w:keepNext w:val="0"/>
              <w:keepLines w:val="0"/>
              <w:pageBreakBefore w:val="0"/>
              <w:kinsoku/>
              <w:wordWrap/>
              <w:topLinePunct w:val="0"/>
              <w:bidi w:val="0"/>
              <w:spacing w:line="400" w:lineRule="exact"/>
              <w:jc w:val="both"/>
              <w:rPr>
                <w:color w:val="auto"/>
                <w:sz w:val="21"/>
                <w:szCs w:val="21"/>
              </w:rPr>
            </w:pPr>
            <w:r>
              <w:rPr>
                <w:color w:val="auto"/>
                <w:sz w:val="21"/>
                <w:szCs w:val="21"/>
              </w:rPr>
              <w:t>素</w:t>
            </w:r>
          </w:p>
        </w:tc>
        <w:tc>
          <w:tcPr>
            <w:tcW w:w="1804" w:type="pct"/>
            <w:gridSpan w:val="5"/>
            <w:tcBorders>
              <w:tl2br w:val="nil"/>
              <w:tr2bl w:val="nil"/>
            </w:tcBorders>
            <w:noWrap w:val="0"/>
            <w:vAlign w:val="top"/>
          </w:tcPr>
          <w:p w14:paraId="1663B5D4">
            <w:pPr>
              <w:pStyle w:val="81"/>
              <w:keepNext w:val="0"/>
              <w:keepLines w:val="0"/>
              <w:pageBreakBefore w:val="0"/>
              <w:kinsoku/>
              <w:wordWrap/>
              <w:topLinePunct w:val="0"/>
              <w:bidi w:val="0"/>
              <w:spacing w:line="400" w:lineRule="exact"/>
              <w:rPr>
                <w:color w:val="auto"/>
                <w:sz w:val="21"/>
                <w:szCs w:val="21"/>
              </w:rPr>
            </w:pPr>
            <w:r>
              <w:rPr>
                <w:color w:val="auto"/>
                <w:position w:val="-2"/>
                <w:sz w:val="21"/>
                <w:szCs w:val="21"/>
              </w:rPr>
              <w:t>施工期</w:t>
            </w:r>
          </w:p>
        </w:tc>
        <w:tc>
          <w:tcPr>
            <w:tcW w:w="1849" w:type="pct"/>
            <w:gridSpan w:val="5"/>
            <w:tcBorders>
              <w:tl2br w:val="nil"/>
              <w:tr2bl w:val="nil"/>
            </w:tcBorders>
            <w:noWrap w:val="0"/>
            <w:vAlign w:val="top"/>
          </w:tcPr>
          <w:p w14:paraId="2DAC4B28">
            <w:pPr>
              <w:pStyle w:val="81"/>
              <w:keepNext w:val="0"/>
              <w:keepLines w:val="0"/>
              <w:pageBreakBefore w:val="0"/>
              <w:kinsoku/>
              <w:wordWrap/>
              <w:topLinePunct w:val="0"/>
              <w:bidi w:val="0"/>
              <w:spacing w:line="400" w:lineRule="exact"/>
              <w:rPr>
                <w:color w:val="auto"/>
                <w:sz w:val="21"/>
                <w:szCs w:val="21"/>
              </w:rPr>
            </w:pPr>
            <w:r>
              <w:rPr>
                <w:color w:val="auto"/>
                <w:position w:val="-2"/>
                <w:sz w:val="21"/>
                <w:szCs w:val="21"/>
              </w:rPr>
              <w:t>运营期</w:t>
            </w:r>
          </w:p>
        </w:tc>
        <w:tc>
          <w:tcPr>
            <w:tcW w:w="954" w:type="pct"/>
            <w:gridSpan w:val="3"/>
            <w:tcBorders>
              <w:tl2br w:val="nil"/>
              <w:tr2bl w:val="nil"/>
            </w:tcBorders>
            <w:noWrap w:val="0"/>
            <w:vAlign w:val="top"/>
          </w:tcPr>
          <w:p w14:paraId="14341748">
            <w:pPr>
              <w:pStyle w:val="81"/>
              <w:keepNext w:val="0"/>
              <w:keepLines w:val="0"/>
              <w:pageBreakBefore w:val="0"/>
              <w:kinsoku/>
              <w:wordWrap/>
              <w:topLinePunct w:val="0"/>
              <w:bidi w:val="0"/>
              <w:spacing w:line="400" w:lineRule="exact"/>
              <w:rPr>
                <w:color w:val="auto"/>
                <w:position w:val="-2"/>
                <w:sz w:val="21"/>
                <w:szCs w:val="21"/>
              </w:rPr>
            </w:pPr>
            <w:r>
              <w:rPr>
                <w:color w:val="auto"/>
                <w:position w:val="-2"/>
                <w:sz w:val="21"/>
                <w:szCs w:val="21"/>
              </w:rPr>
              <w:t>退役期</w:t>
            </w:r>
          </w:p>
        </w:tc>
      </w:tr>
      <w:tr w14:paraId="517A57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391" w:type="pct"/>
            <w:vMerge w:val="continue"/>
            <w:tcBorders>
              <w:tl2br w:val="nil"/>
              <w:tr2bl w:val="nil"/>
            </w:tcBorders>
            <w:noWrap w:val="0"/>
            <w:vAlign w:val="top"/>
          </w:tcPr>
          <w:p w14:paraId="78FD38D1">
            <w:pPr>
              <w:pStyle w:val="81"/>
              <w:keepNext w:val="0"/>
              <w:keepLines w:val="0"/>
              <w:pageBreakBefore w:val="0"/>
              <w:kinsoku/>
              <w:wordWrap/>
              <w:topLinePunct w:val="0"/>
              <w:bidi w:val="0"/>
              <w:spacing w:line="400" w:lineRule="exact"/>
              <w:rPr>
                <w:color w:val="auto"/>
                <w:sz w:val="21"/>
                <w:szCs w:val="21"/>
              </w:rPr>
            </w:pPr>
          </w:p>
        </w:tc>
        <w:tc>
          <w:tcPr>
            <w:tcW w:w="318" w:type="pct"/>
            <w:tcBorders>
              <w:tl2br w:val="nil"/>
              <w:tr2bl w:val="nil"/>
            </w:tcBorders>
            <w:noWrap w:val="0"/>
            <w:vAlign w:val="center"/>
          </w:tcPr>
          <w:p w14:paraId="59AFC31A">
            <w:pPr>
              <w:pStyle w:val="81"/>
              <w:keepNext w:val="0"/>
              <w:keepLines w:val="0"/>
              <w:pageBreakBefore w:val="0"/>
              <w:kinsoku/>
              <w:wordWrap/>
              <w:topLinePunct w:val="0"/>
              <w:bidi w:val="0"/>
              <w:spacing w:line="400" w:lineRule="exact"/>
              <w:rPr>
                <w:rFonts w:hint="default" w:eastAsia="宋体"/>
                <w:color w:val="auto"/>
                <w:sz w:val="21"/>
                <w:szCs w:val="21"/>
                <w:highlight w:val="none"/>
                <w:lang w:val="en-US" w:eastAsia="zh-CN"/>
              </w:rPr>
            </w:pPr>
            <w:r>
              <w:rPr>
                <w:rFonts w:hint="eastAsia"/>
                <w:color w:val="auto"/>
                <w:sz w:val="21"/>
                <w:szCs w:val="21"/>
                <w:highlight w:val="none"/>
                <w:lang w:val="en-US" w:eastAsia="zh-CN"/>
              </w:rPr>
              <w:t>生态影响</w:t>
            </w:r>
          </w:p>
        </w:tc>
        <w:tc>
          <w:tcPr>
            <w:tcW w:w="367" w:type="pct"/>
            <w:tcBorders>
              <w:tl2br w:val="nil"/>
              <w:tr2bl w:val="nil"/>
            </w:tcBorders>
            <w:noWrap w:val="0"/>
            <w:vAlign w:val="center"/>
          </w:tcPr>
          <w:p w14:paraId="1633A163">
            <w:pPr>
              <w:pStyle w:val="81"/>
              <w:keepNext w:val="0"/>
              <w:keepLines w:val="0"/>
              <w:pageBreakBefore w:val="0"/>
              <w:kinsoku/>
              <w:wordWrap/>
              <w:topLinePunct w:val="0"/>
              <w:bidi w:val="0"/>
              <w:spacing w:line="400" w:lineRule="exact"/>
              <w:rPr>
                <w:color w:val="auto"/>
                <w:sz w:val="21"/>
                <w:szCs w:val="21"/>
                <w:highlight w:val="none"/>
              </w:rPr>
            </w:pPr>
            <w:r>
              <w:rPr>
                <w:color w:val="auto"/>
                <w:sz w:val="21"/>
                <w:szCs w:val="21"/>
                <w:highlight w:val="none"/>
              </w:rPr>
              <w:t>废气</w:t>
            </w:r>
          </w:p>
        </w:tc>
        <w:tc>
          <w:tcPr>
            <w:tcW w:w="334" w:type="pct"/>
            <w:tcBorders>
              <w:tl2br w:val="nil"/>
              <w:tr2bl w:val="nil"/>
            </w:tcBorders>
            <w:noWrap w:val="0"/>
            <w:vAlign w:val="center"/>
          </w:tcPr>
          <w:p w14:paraId="3C84ECFC">
            <w:pPr>
              <w:pStyle w:val="81"/>
              <w:keepNext w:val="0"/>
              <w:keepLines w:val="0"/>
              <w:pageBreakBefore w:val="0"/>
              <w:kinsoku/>
              <w:wordWrap/>
              <w:topLinePunct w:val="0"/>
              <w:bidi w:val="0"/>
              <w:spacing w:line="400" w:lineRule="exact"/>
              <w:rPr>
                <w:color w:val="auto"/>
                <w:sz w:val="21"/>
                <w:szCs w:val="21"/>
                <w:highlight w:val="none"/>
              </w:rPr>
            </w:pPr>
            <w:r>
              <w:rPr>
                <w:color w:val="auto"/>
                <w:sz w:val="21"/>
                <w:szCs w:val="21"/>
                <w:highlight w:val="none"/>
              </w:rPr>
              <w:t>废水</w:t>
            </w:r>
          </w:p>
        </w:tc>
        <w:tc>
          <w:tcPr>
            <w:tcW w:w="378" w:type="pct"/>
            <w:tcBorders>
              <w:tl2br w:val="nil"/>
              <w:tr2bl w:val="nil"/>
            </w:tcBorders>
            <w:noWrap w:val="0"/>
            <w:vAlign w:val="center"/>
          </w:tcPr>
          <w:p w14:paraId="71D5D4DC">
            <w:pPr>
              <w:pStyle w:val="81"/>
              <w:keepNext w:val="0"/>
              <w:keepLines w:val="0"/>
              <w:pageBreakBefore w:val="0"/>
              <w:kinsoku/>
              <w:wordWrap/>
              <w:topLinePunct w:val="0"/>
              <w:bidi w:val="0"/>
              <w:spacing w:line="400" w:lineRule="exact"/>
              <w:rPr>
                <w:color w:val="auto"/>
                <w:sz w:val="21"/>
                <w:szCs w:val="21"/>
                <w:highlight w:val="none"/>
              </w:rPr>
            </w:pPr>
            <w:r>
              <w:rPr>
                <w:color w:val="auto"/>
                <w:sz w:val="21"/>
                <w:szCs w:val="21"/>
                <w:highlight w:val="none"/>
              </w:rPr>
              <w:t>固体废物</w:t>
            </w:r>
          </w:p>
        </w:tc>
        <w:tc>
          <w:tcPr>
            <w:tcW w:w="406" w:type="pct"/>
            <w:tcBorders>
              <w:tl2br w:val="nil"/>
              <w:tr2bl w:val="nil"/>
            </w:tcBorders>
            <w:noWrap w:val="0"/>
            <w:vAlign w:val="center"/>
          </w:tcPr>
          <w:p w14:paraId="46E50978">
            <w:pPr>
              <w:pStyle w:val="81"/>
              <w:keepNext w:val="0"/>
              <w:keepLines w:val="0"/>
              <w:pageBreakBefore w:val="0"/>
              <w:kinsoku/>
              <w:wordWrap/>
              <w:topLinePunct w:val="0"/>
              <w:bidi w:val="0"/>
              <w:spacing w:line="400" w:lineRule="exact"/>
              <w:rPr>
                <w:color w:val="auto"/>
                <w:sz w:val="21"/>
                <w:szCs w:val="21"/>
                <w:highlight w:val="none"/>
              </w:rPr>
            </w:pPr>
            <w:r>
              <w:rPr>
                <w:color w:val="auto"/>
                <w:sz w:val="21"/>
                <w:szCs w:val="21"/>
                <w:highlight w:val="none"/>
              </w:rPr>
              <w:t>噪声</w:t>
            </w:r>
          </w:p>
        </w:tc>
        <w:tc>
          <w:tcPr>
            <w:tcW w:w="362" w:type="pct"/>
            <w:tcBorders>
              <w:tl2br w:val="nil"/>
              <w:tr2bl w:val="nil"/>
            </w:tcBorders>
            <w:noWrap w:val="0"/>
            <w:vAlign w:val="center"/>
          </w:tcPr>
          <w:p w14:paraId="09E8AB4C">
            <w:pPr>
              <w:pStyle w:val="81"/>
              <w:keepNext w:val="0"/>
              <w:keepLines w:val="0"/>
              <w:pageBreakBefore w:val="0"/>
              <w:kinsoku/>
              <w:wordWrap/>
              <w:topLinePunct w:val="0"/>
              <w:bidi w:val="0"/>
              <w:spacing w:line="400" w:lineRule="exact"/>
              <w:rPr>
                <w:color w:val="auto"/>
                <w:sz w:val="21"/>
                <w:szCs w:val="21"/>
                <w:highlight w:val="none"/>
              </w:rPr>
            </w:pPr>
            <w:r>
              <w:rPr>
                <w:color w:val="auto"/>
                <w:sz w:val="21"/>
                <w:szCs w:val="21"/>
                <w:highlight w:val="none"/>
              </w:rPr>
              <w:t>废气</w:t>
            </w:r>
          </w:p>
        </w:tc>
        <w:tc>
          <w:tcPr>
            <w:tcW w:w="303" w:type="pct"/>
            <w:tcBorders>
              <w:tl2br w:val="nil"/>
              <w:tr2bl w:val="nil"/>
            </w:tcBorders>
            <w:noWrap w:val="0"/>
            <w:vAlign w:val="center"/>
          </w:tcPr>
          <w:p w14:paraId="5D76F49F">
            <w:pPr>
              <w:pStyle w:val="81"/>
              <w:keepNext w:val="0"/>
              <w:keepLines w:val="0"/>
              <w:pageBreakBefore w:val="0"/>
              <w:kinsoku/>
              <w:wordWrap/>
              <w:topLinePunct w:val="0"/>
              <w:bidi w:val="0"/>
              <w:spacing w:line="400" w:lineRule="exact"/>
              <w:rPr>
                <w:color w:val="auto"/>
                <w:sz w:val="21"/>
                <w:szCs w:val="21"/>
                <w:highlight w:val="none"/>
              </w:rPr>
            </w:pPr>
            <w:r>
              <w:rPr>
                <w:color w:val="auto"/>
                <w:sz w:val="21"/>
                <w:szCs w:val="21"/>
                <w:highlight w:val="none"/>
              </w:rPr>
              <w:t>废水</w:t>
            </w:r>
          </w:p>
        </w:tc>
        <w:tc>
          <w:tcPr>
            <w:tcW w:w="439" w:type="pct"/>
            <w:tcBorders>
              <w:tl2br w:val="nil"/>
              <w:tr2bl w:val="nil"/>
            </w:tcBorders>
            <w:noWrap w:val="0"/>
            <w:vAlign w:val="center"/>
          </w:tcPr>
          <w:p w14:paraId="2DBF0E69">
            <w:pPr>
              <w:pStyle w:val="81"/>
              <w:keepNext w:val="0"/>
              <w:keepLines w:val="0"/>
              <w:pageBreakBefore w:val="0"/>
              <w:kinsoku/>
              <w:wordWrap/>
              <w:topLinePunct w:val="0"/>
              <w:bidi w:val="0"/>
              <w:spacing w:line="400" w:lineRule="exact"/>
              <w:rPr>
                <w:color w:val="auto"/>
                <w:sz w:val="21"/>
                <w:szCs w:val="21"/>
                <w:highlight w:val="none"/>
              </w:rPr>
            </w:pPr>
            <w:r>
              <w:rPr>
                <w:color w:val="auto"/>
                <w:sz w:val="21"/>
                <w:szCs w:val="21"/>
                <w:highlight w:val="none"/>
              </w:rPr>
              <w:t>固体废物</w:t>
            </w:r>
          </w:p>
        </w:tc>
        <w:tc>
          <w:tcPr>
            <w:tcW w:w="267" w:type="pct"/>
            <w:tcBorders>
              <w:tl2br w:val="nil"/>
              <w:tr2bl w:val="nil"/>
            </w:tcBorders>
            <w:noWrap w:val="0"/>
            <w:vAlign w:val="center"/>
          </w:tcPr>
          <w:p w14:paraId="6AC8990F">
            <w:pPr>
              <w:pStyle w:val="81"/>
              <w:keepNext w:val="0"/>
              <w:keepLines w:val="0"/>
              <w:pageBreakBefore w:val="0"/>
              <w:kinsoku/>
              <w:wordWrap/>
              <w:topLinePunct w:val="0"/>
              <w:bidi w:val="0"/>
              <w:spacing w:line="400" w:lineRule="exact"/>
              <w:rPr>
                <w:color w:val="auto"/>
                <w:sz w:val="21"/>
                <w:szCs w:val="21"/>
                <w:highlight w:val="none"/>
              </w:rPr>
            </w:pPr>
            <w:r>
              <w:rPr>
                <w:color w:val="auto"/>
                <w:sz w:val="21"/>
                <w:szCs w:val="21"/>
                <w:highlight w:val="none"/>
              </w:rPr>
              <w:t>噪声</w:t>
            </w:r>
          </w:p>
        </w:tc>
        <w:tc>
          <w:tcPr>
            <w:tcW w:w="477" w:type="pct"/>
            <w:tcBorders>
              <w:tl2br w:val="nil"/>
              <w:tr2bl w:val="nil"/>
            </w:tcBorders>
            <w:noWrap w:val="0"/>
            <w:vAlign w:val="center"/>
          </w:tcPr>
          <w:p w14:paraId="05618008">
            <w:pPr>
              <w:pStyle w:val="81"/>
              <w:keepNext w:val="0"/>
              <w:keepLines w:val="0"/>
              <w:pageBreakBefore w:val="0"/>
              <w:kinsoku/>
              <w:wordWrap/>
              <w:topLinePunct w:val="0"/>
              <w:bidi w:val="0"/>
              <w:spacing w:line="400" w:lineRule="exact"/>
              <w:rPr>
                <w:color w:val="auto"/>
                <w:sz w:val="21"/>
                <w:szCs w:val="21"/>
                <w:highlight w:val="none"/>
              </w:rPr>
            </w:pPr>
            <w:r>
              <w:rPr>
                <w:rFonts w:hint="eastAsia"/>
                <w:color w:val="auto"/>
                <w:sz w:val="21"/>
                <w:szCs w:val="21"/>
                <w:highlight w:val="none"/>
                <w:lang w:val="en-US" w:eastAsia="zh-CN"/>
              </w:rPr>
              <w:t>环境</w:t>
            </w:r>
            <w:r>
              <w:rPr>
                <w:color w:val="auto"/>
                <w:sz w:val="21"/>
                <w:szCs w:val="21"/>
                <w:highlight w:val="none"/>
              </w:rPr>
              <w:t>风险</w:t>
            </w:r>
          </w:p>
        </w:tc>
        <w:tc>
          <w:tcPr>
            <w:tcW w:w="227" w:type="pct"/>
            <w:tcBorders>
              <w:tl2br w:val="nil"/>
              <w:tr2bl w:val="nil"/>
            </w:tcBorders>
            <w:noWrap w:val="0"/>
            <w:vAlign w:val="center"/>
          </w:tcPr>
          <w:p w14:paraId="6DA7541F">
            <w:pPr>
              <w:pStyle w:val="81"/>
              <w:keepNext w:val="0"/>
              <w:keepLines w:val="0"/>
              <w:pageBreakBefore w:val="0"/>
              <w:kinsoku/>
              <w:wordWrap/>
              <w:topLinePunct w:val="0"/>
              <w:bidi w:val="0"/>
              <w:spacing w:line="400" w:lineRule="exact"/>
              <w:rPr>
                <w:color w:val="auto"/>
                <w:sz w:val="21"/>
                <w:szCs w:val="21"/>
                <w:highlight w:val="none"/>
              </w:rPr>
            </w:pPr>
            <w:r>
              <w:rPr>
                <w:color w:val="auto"/>
                <w:sz w:val="21"/>
                <w:szCs w:val="21"/>
                <w:highlight w:val="none"/>
              </w:rPr>
              <w:t>废气</w:t>
            </w:r>
          </w:p>
        </w:tc>
        <w:tc>
          <w:tcPr>
            <w:tcW w:w="518" w:type="pct"/>
            <w:tcBorders>
              <w:tl2br w:val="nil"/>
              <w:tr2bl w:val="nil"/>
            </w:tcBorders>
            <w:noWrap w:val="0"/>
            <w:vAlign w:val="center"/>
          </w:tcPr>
          <w:p w14:paraId="4F63F669">
            <w:pPr>
              <w:pStyle w:val="81"/>
              <w:keepNext w:val="0"/>
              <w:keepLines w:val="0"/>
              <w:pageBreakBefore w:val="0"/>
              <w:kinsoku/>
              <w:wordWrap/>
              <w:topLinePunct w:val="0"/>
              <w:bidi w:val="0"/>
              <w:spacing w:line="400" w:lineRule="exact"/>
              <w:rPr>
                <w:color w:val="auto"/>
                <w:sz w:val="21"/>
                <w:szCs w:val="21"/>
                <w:highlight w:val="none"/>
              </w:rPr>
            </w:pPr>
            <w:r>
              <w:rPr>
                <w:color w:val="auto"/>
                <w:sz w:val="21"/>
                <w:szCs w:val="21"/>
                <w:highlight w:val="none"/>
              </w:rPr>
              <w:t>固体废物</w:t>
            </w:r>
          </w:p>
        </w:tc>
        <w:tc>
          <w:tcPr>
            <w:tcW w:w="208" w:type="pct"/>
            <w:tcBorders>
              <w:tl2br w:val="nil"/>
              <w:tr2bl w:val="nil"/>
            </w:tcBorders>
            <w:noWrap w:val="0"/>
            <w:vAlign w:val="center"/>
          </w:tcPr>
          <w:p w14:paraId="697A383B">
            <w:pPr>
              <w:pStyle w:val="81"/>
              <w:keepNext w:val="0"/>
              <w:keepLines w:val="0"/>
              <w:pageBreakBefore w:val="0"/>
              <w:kinsoku/>
              <w:wordWrap/>
              <w:topLinePunct w:val="0"/>
              <w:bidi w:val="0"/>
              <w:spacing w:line="400" w:lineRule="exact"/>
              <w:rPr>
                <w:rFonts w:hint="default" w:eastAsia="宋体"/>
                <w:color w:val="auto"/>
                <w:sz w:val="21"/>
                <w:szCs w:val="21"/>
                <w:highlight w:val="none"/>
                <w:lang w:val="en-US" w:eastAsia="zh-CN"/>
              </w:rPr>
            </w:pPr>
            <w:r>
              <w:rPr>
                <w:rFonts w:hint="eastAsia"/>
                <w:color w:val="auto"/>
                <w:sz w:val="21"/>
                <w:szCs w:val="21"/>
                <w:highlight w:val="none"/>
                <w:lang w:val="en-US" w:eastAsia="zh-CN"/>
              </w:rPr>
              <w:t>生态影响</w:t>
            </w:r>
          </w:p>
        </w:tc>
      </w:tr>
      <w:tr w14:paraId="2D3DCA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635" w:hRule="atLeast"/>
        </w:trPr>
        <w:tc>
          <w:tcPr>
            <w:tcW w:w="391" w:type="pct"/>
            <w:vMerge w:val="continue"/>
            <w:tcBorders>
              <w:tl2br w:val="nil"/>
              <w:tr2bl w:val="nil"/>
            </w:tcBorders>
            <w:noWrap w:val="0"/>
            <w:vAlign w:val="top"/>
          </w:tcPr>
          <w:p w14:paraId="2F408FDE">
            <w:pPr>
              <w:pStyle w:val="81"/>
              <w:keepNext w:val="0"/>
              <w:keepLines w:val="0"/>
              <w:pageBreakBefore w:val="0"/>
              <w:kinsoku/>
              <w:wordWrap/>
              <w:topLinePunct w:val="0"/>
              <w:bidi w:val="0"/>
              <w:spacing w:line="400" w:lineRule="exact"/>
              <w:rPr>
                <w:color w:val="auto"/>
                <w:sz w:val="21"/>
                <w:szCs w:val="21"/>
              </w:rPr>
            </w:pPr>
          </w:p>
        </w:tc>
        <w:tc>
          <w:tcPr>
            <w:tcW w:w="318" w:type="pct"/>
            <w:tcBorders>
              <w:tl2br w:val="nil"/>
              <w:tr2bl w:val="nil"/>
            </w:tcBorders>
            <w:noWrap w:val="0"/>
            <w:vAlign w:val="top"/>
          </w:tcPr>
          <w:p w14:paraId="602CBC50">
            <w:pPr>
              <w:pStyle w:val="81"/>
              <w:keepNext w:val="0"/>
              <w:keepLines w:val="0"/>
              <w:pageBreakBefore w:val="0"/>
              <w:kinsoku/>
              <w:wordWrap/>
              <w:topLinePunct w:val="0"/>
              <w:bidi w:val="0"/>
              <w:spacing w:line="400" w:lineRule="exact"/>
              <w:jc w:val="left"/>
              <w:rPr>
                <w:rFonts w:hint="default"/>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地面工程</w:t>
            </w:r>
            <w:r>
              <w:rPr>
                <w:rFonts w:hint="default" w:ascii="Times New Roman" w:hAnsi="Times New Roman" w:eastAsia="宋体" w:cs="Times New Roman"/>
                <w:color w:val="auto"/>
                <w:sz w:val="21"/>
                <w:szCs w:val="21"/>
                <w:highlight w:val="none"/>
                <w:lang w:val="en-US" w:eastAsia="zh-CN"/>
              </w:rPr>
              <w:t>造成的地表土壤和植被的破坏</w:t>
            </w:r>
            <w:r>
              <w:rPr>
                <w:rFonts w:hint="eastAsia" w:ascii="Times New Roman" w:hAnsi="Times New Roman" w:eastAsia="宋体" w:cs="Times New Roman"/>
                <w:color w:val="auto"/>
                <w:sz w:val="21"/>
                <w:szCs w:val="21"/>
                <w:highlight w:val="none"/>
                <w:lang w:val="en-US" w:eastAsia="zh-CN"/>
              </w:rPr>
              <w:t>等。</w:t>
            </w:r>
          </w:p>
        </w:tc>
        <w:tc>
          <w:tcPr>
            <w:tcW w:w="367" w:type="pct"/>
            <w:tcBorders>
              <w:tl2br w:val="nil"/>
              <w:tr2bl w:val="nil"/>
            </w:tcBorders>
            <w:noWrap w:val="0"/>
            <w:vAlign w:val="top"/>
          </w:tcPr>
          <w:p w14:paraId="30AB6D8E">
            <w:pPr>
              <w:keepNext w:val="0"/>
              <w:keepLines w:val="0"/>
              <w:pageBreakBefore w:val="0"/>
              <w:widowControl/>
              <w:suppressLineNumbers w:val="0"/>
              <w:kinsoku/>
              <w:wordWrap/>
              <w:topLinePunct w:val="0"/>
              <w:bidi w:val="0"/>
              <w:spacing w:line="400" w:lineRule="exact"/>
              <w:jc w:val="left"/>
              <w:rPr>
                <w:color w:val="auto"/>
                <w:sz w:val="21"/>
                <w:szCs w:val="21"/>
                <w:highlight w:val="none"/>
              </w:rPr>
            </w:pPr>
            <w:r>
              <w:rPr>
                <w:rFonts w:hint="eastAsia"/>
                <w:color w:val="auto"/>
                <w:sz w:val="21"/>
                <w:szCs w:val="21"/>
                <w:highlight w:val="none"/>
              </w:rPr>
              <w:t>施工机械和车辆废气、施工扬尘</w:t>
            </w:r>
            <w:r>
              <w:rPr>
                <w:rFonts w:hint="eastAsia" w:ascii="宋体" w:hAnsi="宋体" w:eastAsia="宋体" w:cs="宋体"/>
                <w:color w:val="auto"/>
                <w:kern w:val="0"/>
                <w:sz w:val="21"/>
                <w:szCs w:val="21"/>
                <w:highlight w:val="none"/>
                <w:lang w:val="en-US" w:eastAsia="zh-CN" w:bidi="ar"/>
              </w:rPr>
              <w:t>等废气。</w:t>
            </w:r>
          </w:p>
        </w:tc>
        <w:tc>
          <w:tcPr>
            <w:tcW w:w="334" w:type="pct"/>
            <w:tcBorders>
              <w:tl2br w:val="nil"/>
              <w:tr2bl w:val="nil"/>
            </w:tcBorders>
            <w:noWrap w:val="0"/>
            <w:vAlign w:val="top"/>
          </w:tcPr>
          <w:p w14:paraId="60A5757C">
            <w:pPr>
              <w:keepNext w:val="0"/>
              <w:keepLines w:val="0"/>
              <w:pageBreakBefore w:val="0"/>
              <w:widowControl/>
              <w:suppressLineNumbers w:val="0"/>
              <w:kinsoku/>
              <w:wordWrap/>
              <w:topLinePunct w:val="0"/>
              <w:bidi w:val="0"/>
              <w:spacing w:line="400" w:lineRule="exact"/>
              <w:jc w:val="left"/>
              <w:rPr>
                <w:rFonts w:hint="default" w:eastAsia="宋体"/>
                <w:color w:val="auto"/>
                <w:sz w:val="21"/>
                <w:szCs w:val="21"/>
                <w:highlight w:val="none"/>
                <w:lang w:val="en-US" w:eastAsia="zh-CN"/>
              </w:rPr>
            </w:pPr>
            <w:r>
              <w:rPr>
                <w:color w:val="auto"/>
                <w:sz w:val="21"/>
                <w:szCs w:val="21"/>
                <w:highlight w:val="none"/>
              </w:rPr>
              <w:t>试压废</w:t>
            </w:r>
            <w:r>
              <w:rPr>
                <w:rFonts w:hint="eastAsia" w:ascii="Times New Roman" w:hAnsi="Times New Roman" w:eastAsia="宋体" w:cs="Times New Roman"/>
                <w:color w:val="auto"/>
                <w:kern w:val="2"/>
                <w:sz w:val="21"/>
                <w:szCs w:val="21"/>
                <w:highlight w:val="none"/>
                <w:lang w:val="en-US" w:eastAsia="zh-CN" w:bidi="ar-SA"/>
              </w:rPr>
              <w:t>水、生活污水</w:t>
            </w:r>
          </w:p>
        </w:tc>
        <w:tc>
          <w:tcPr>
            <w:tcW w:w="378" w:type="pct"/>
            <w:tcBorders>
              <w:tl2br w:val="nil"/>
              <w:tr2bl w:val="nil"/>
            </w:tcBorders>
            <w:noWrap w:val="0"/>
            <w:vAlign w:val="top"/>
          </w:tcPr>
          <w:p w14:paraId="23727E7C">
            <w:pPr>
              <w:pStyle w:val="81"/>
              <w:keepNext w:val="0"/>
              <w:keepLines w:val="0"/>
              <w:pageBreakBefore w:val="0"/>
              <w:kinsoku/>
              <w:wordWrap/>
              <w:topLinePunct w:val="0"/>
              <w:bidi w:val="0"/>
              <w:spacing w:line="400" w:lineRule="exact"/>
              <w:jc w:val="left"/>
              <w:rPr>
                <w:color w:val="auto"/>
                <w:sz w:val="21"/>
                <w:szCs w:val="21"/>
                <w:highlight w:val="none"/>
              </w:rPr>
            </w:pPr>
            <w:r>
              <w:rPr>
                <w:color w:val="auto"/>
                <w:sz w:val="21"/>
                <w:szCs w:val="21"/>
                <w:highlight w:val="none"/>
              </w:rPr>
              <w:t>生活垃圾、建筑垃圾、</w:t>
            </w:r>
            <w:r>
              <w:rPr>
                <w:color w:val="auto"/>
                <w:spacing w:val="-17"/>
                <w:sz w:val="21"/>
                <w:szCs w:val="21"/>
                <w:highlight w:val="none"/>
              </w:rPr>
              <w:t>弃土弃方</w:t>
            </w:r>
            <w:r>
              <w:rPr>
                <w:rFonts w:hint="eastAsia"/>
                <w:color w:val="auto"/>
                <w:spacing w:val="-17"/>
                <w:sz w:val="21"/>
                <w:szCs w:val="21"/>
                <w:highlight w:val="none"/>
                <w:lang w:eastAsia="zh-CN"/>
              </w:rPr>
              <w:t>。</w:t>
            </w:r>
          </w:p>
        </w:tc>
        <w:tc>
          <w:tcPr>
            <w:tcW w:w="406" w:type="pct"/>
            <w:tcBorders>
              <w:tl2br w:val="nil"/>
              <w:tr2bl w:val="nil"/>
            </w:tcBorders>
            <w:noWrap w:val="0"/>
            <w:vAlign w:val="top"/>
          </w:tcPr>
          <w:p w14:paraId="28A6EF1C">
            <w:pPr>
              <w:keepNext w:val="0"/>
              <w:keepLines w:val="0"/>
              <w:pageBreakBefore w:val="0"/>
              <w:widowControl/>
              <w:suppressLineNumbers w:val="0"/>
              <w:kinsoku/>
              <w:wordWrap/>
              <w:topLinePunct w:val="0"/>
              <w:bidi w:val="0"/>
              <w:spacing w:line="400" w:lineRule="exact"/>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各类施工机械和运输车辆噪声。</w:t>
            </w:r>
          </w:p>
          <w:p w14:paraId="43018193">
            <w:pPr>
              <w:keepNext w:val="0"/>
              <w:keepLines w:val="0"/>
              <w:pageBreakBefore w:val="0"/>
              <w:widowControl/>
              <w:suppressLineNumbers w:val="0"/>
              <w:kinsoku/>
              <w:wordWrap/>
              <w:topLinePunct w:val="0"/>
              <w:bidi w:val="0"/>
              <w:spacing w:line="400" w:lineRule="exact"/>
              <w:jc w:val="left"/>
              <w:rPr>
                <w:rFonts w:hint="eastAsia" w:ascii="宋体" w:hAnsi="宋体" w:eastAsia="宋体" w:cs="宋体"/>
                <w:color w:val="auto"/>
                <w:kern w:val="0"/>
                <w:sz w:val="21"/>
                <w:szCs w:val="21"/>
                <w:highlight w:val="none"/>
                <w:lang w:val="en-US" w:eastAsia="zh-CN" w:bidi="ar"/>
              </w:rPr>
            </w:pPr>
          </w:p>
        </w:tc>
        <w:tc>
          <w:tcPr>
            <w:tcW w:w="362" w:type="pct"/>
            <w:tcBorders>
              <w:tl2br w:val="nil"/>
              <w:tr2bl w:val="nil"/>
            </w:tcBorders>
            <w:noWrap w:val="0"/>
            <w:vAlign w:val="top"/>
          </w:tcPr>
          <w:p w14:paraId="20AF39CD">
            <w:pPr>
              <w:keepNext w:val="0"/>
              <w:keepLines w:val="0"/>
              <w:pageBreakBefore w:val="0"/>
              <w:widowControl/>
              <w:suppressLineNumbers w:val="0"/>
              <w:kinsoku/>
              <w:wordWrap/>
              <w:topLinePunct w:val="0"/>
              <w:bidi w:val="0"/>
              <w:spacing w:line="400" w:lineRule="exact"/>
              <w:jc w:val="left"/>
              <w:rPr>
                <w:rFonts w:hint="eastAsia" w:ascii="宋体" w:hAnsi="宋体" w:eastAsia="宋体" w:cs="宋体"/>
                <w:color w:val="auto"/>
                <w:kern w:val="0"/>
                <w:sz w:val="21"/>
                <w:szCs w:val="21"/>
                <w:highlight w:val="none"/>
                <w:lang w:val="en-US" w:eastAsia="zh-CN" w:bidi="ar"/>
              </w:rPr>
            </w:pPr>
            <w:bookmarkStart w:id="86" w:name="OLE_LINK104"/>
            <w:r>
              <w:rPr>
                <w:rFonts w:hint="eastAsia" w:ascii="宋体" w:hAnsi="宋体" w:cs="宋体"/>
                <w:color w:val="auto"/>
                <w:kern w:val="0"/>
                <w:sz w:val="21"/>
                <w:szCs w:val="21"/>
                <w:highlight w:val="none"/>
                <w:lang w:val="en-US" w:eastAsia="zh-CN" w:bidi="ar"/>
              </w:rPr>
              <w:t>加热炉燃烧废气</w:t>
            </w:r>
            <w:bookmarkEnd w:id="86"/>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无组织挥发烃类、</w:t>
            </w:r>
            <w:r>
              <w:rPr>
                <w:rFonts w:hint="eastAsia" w:ascii="宋体" w:hAnsi="宋体" w:cs="宋体"/>
                <w:color w:val="auto"/>
                <w:kern w:val="0"/>
                <w:sz w:val="21"/>
                <w:szCs w:val="21"/>
                <w:highlight w:val="none"/>
                <w:lang w:val="en-US" w:eastAsia="zh-CN" w:bidi="ar"/>
              </w:rPr>
              <w:t>硫化氢、温室气体</w:t>
            </w:r>
            <w:r>
              <w:rPr>
                <w:rFonts w:hint="eastAsia" w:ascii="宋体" w:hAnsi="宋体" w:eastAsia="宋体" w:cs="宋体"/>
                <w:color w:val="auto"/>
                <w:kern w:val="0"/>
                <w:sz w:val="21"/>
                <w:szCs w:val="21"/>
                <w:highlight w:val="none"/>
                <w:lang w:val="en-US" w:eastAsia="zh-CN" w:bidi="ar"/>
              </w:rPr>
              <w:t>排放。</w:t>
            </w:r>
          </w:p>
        </w:tc>
        <w:tc>
          <w:tcPr>
            <w:tcW w:w="303" w:type="pct"/>
            <w:tcBorders>
              <w:tl2br w:val="nil"/>
              <w:tr2bl w:val="nil"/>
            </w:tcBorders>
            <w:noWrap w:val="0"/>
            <w:vAlign w:val="top"/>
          </w:tcPr>
          <w:p w14:paraId="174C8717">
            <w:pPr>
              <w:pStyle w:val="81"/>
              <w:keepNext w:val="0"/>
              <w:keepLines w:val="0"/>
              <w:pageBreakBefore w:val="0"/>
              <w:kinsoku/>
              <w:wordWrap/>
              <w:topLinePunct w:val="0"/>
              <w:bidi w:val="0"/>
              <w:spacing w:line="400" w:lineRule="exact"/>
              <w:jc w:val="left"/>
              <w:rPr>
                <w:rFonts w:hint="default" w:eastAsia="宋体"/>
                <w:color w:val="auto"/>
                <w:sz w:val="21"/>
                <w:szCs w:val="21"/>
                <w:highlight w:val="none"/>
                <w:lang w:val="en-US" w:eastAsia="zh-CN"/>
              </w:rPr>
            </w:pPr>
            <w:r>
              <w:rPr>
                <w:rFonts w:hint="eastAsia"/>
                <w:color w:val="auto"/>
                <w:sz w:val="21"/>
                <w:szCs w:val="21"/>
                <w:highlight w:val="none"/>
                <w:lang w:val="en-US" w:eastAsia="zh-CN"/>
              </w:rPr>
              <w:t>生活污水、井下作业废水</w:t>
            </w:r>
          </w:p>
        </w:tc>
        <w:tc>
          <w:tcPr>
            <w:tcW w:w="439" w:type="pct"/>
            <w:tcBorders>
              <w:tl2br w:val="nil"/>
              <w:tr2bl w:val="nil"/>
            </w:tcBorders>
            <w:noWrap w:val="0"/>
            <w:vAlign w:val="top"/>
          </w:tcPr>
          <w:p w14:paraId="051B3814">
            <w:pPr>
              <w:keepNext w:val="0"/>
              <w:keepLines w:val="0"/>
              <w:pageBreakBefore w:val="0"/>
              <w:kinsoku/>
              <w:wordWrap/>
              <w:topLinePunct w:val="0"/>
              <w:bidi w:val="0"/>
              <w:spacing w:line="400" w:lineRule="exact"/>
              <w:jc w:val="left"/>
              <w:rPr>
                <w:rFonts w:hint="default"/>
                <w:color w:val="auto"/>
                <w:sz w:val="21"/>
                <w:szCs w:val="21"/>
                <w:highlight w:val="none"/>
                <w:lang w:val="en-US"/>
              </w:rPr>
            </w:pPr>
            <w:r>
              <w:rPr>
                <w:color w:val="auto"/>
                <w:spacing w:val="-17"/>
                <w:sz w:val="21"/>
                <w:szCs w:val="21"/>
                <w:highlight w:val="none"/>
              </w:rPr>
              <w:t>落地油</w:t>
            </w:r>
            <w:r>
              <w:rPr>
                <w:rFonts w:hint="eastAsia"/>
                <w:color w:val="auto"/>
                <w:spacing w:val="-17"/>
                <w:sz w:val="21"/>
                <w:szCs w:val="21"/>
                <w:highlight w:val="none"/>
                <w:lang w:eastAsia="zh-CN"/>
              </w:rPr>
              <w:t>、</w:t>
            </w:r>
            <w:r>
              <w:rPr>
                <w:rFonts w:hint="eastAsia"/>
                <w:color w:val="auto"/>
                <w:spacing w:val="-17"/>
                <w:sz w:val="21"/>
                <w:szCs w:val="21"/>
                <w:highlight w:val="none"/>
                <w:lang w:val="en-US" w:eastAsia="zh-CN"/>
              </w:rPr>
              <w:t>废脱硫剂、废分子筛、清管废渣、废润滑油、生活垃圾</w:t>
            </w:r>
          </w:p>
        </w:tc>
        <w:tc>
          <w:tcPr>
            <w:tcW w:w="267" w:type="pct"/>
            <w:tcBorders>
              <w:tl2br w:val="nil"/>
              <w:tr2bl w:val="nil"/>
            </w:tcBorders>
            <w:noWrap w:val="0"/>
            <w:vAlign w:val="top"/>
          </w:tcPr>
          <w:p w14:paraId="6683B60E">
            <w:pPr>
              <w:pStyle w:val="81"/>
              <w:keepNext w:val="0"/>
              <w:keepLines w:val="0"/>
              <w:pageBreakBefore w:val="0"/>
              <w:kinsoku/>
              <w:wordWrap/>
              <w:topLinePunct w:val="0"/>
              <w:bidi w:val="0"/>
              <w:spacing w:line="400" w:lineRule="exact"/>
              <w:jc w:val="left"/>
              <w:rPr>
                <w:color w:val="auto"/>
                <w:sz w:val="21"/>
                <w:szCs w:val="21"/>
                <w:highlight w:val="none"/>
              </w:rPr>
            </w:pPr>
            <w:r>
              <w:rPr>
                <w:color w:val="auto"/>
                <w:sz w:val="21"/>
                <w:szCs w:val="21"/>
                <w:highlight w:val="none"/>
              </w:rPr>
              <w:t>设备</w:t>
            </w:r>
          </w:p>
          <w:p w14:paraId="1843BDBA">
            <w:pPr>
              <w:pStyle w:val="81"/>
              <w:keepNext w:val="0"/>
              <w:keepLines w:val="0"/>
              <w:pageBreakBefore w:val="0"/>
              <w:kinsoku/>
              <w:wordWrap/>
              <w:topLinePunct w:val="0"/>
              <w:bidi w:val="0"/>
              <w:spacing w:line="400" w:lineRule="exact"/>
              <w:jc w:val="left"/>
              <w:rPr>
                <w:rFonts w:hint="default" w:eastAsia="宋体"/>
                <w:color w:val="auto"/>
                <w:sz w:val="21"/>
                <w:szCs w:val="21"/>
                <w:highlight w:val="none"/>
                <w:lang w:val="en-US" w:eastAsia="zh-CN"/>
              </w:rPr>
            </w:pPr>
            <w:r>
              <w:rPr>
                <w:rFonts w:hint="eastAsia"/>
                <w:color w:val="auto"/>
                <w:sz w:val="21"/>
                <w:szCs w:val="21"/>
                <w:highlight w:val="none"/>
                <w:lang w:val="en-US" w:eastAsia="zh-CN"/>
              </w:rPr>
              <w:t>噪声</w:t>
            </w:r>
          </w:p>
        </w:tc>
        <w:tc>
          <w:tcPr>
            <w:tcW w:w="477" w:type="pct"/>
            <w:tcBorders>
              <w:tl2br w:val="nil"/>
              <w:tr2bl w:val="nil"/>
            </w:tcBorders>
            <w:noWrap w:val="0"/>
            <w:vAlign w:val="top"/>
          </w:tcPr>
          <w:p w14:paraId="6D473A89">
            <w:pPr>
              <w:pStyle w:val="81"/>
              <w:keepNext w:val="0"/>
              <w:keepLines w:val="0"/>
              <w:pageBreakBefore w:val="0"/>
              <w:kinsoku/>
              <w:wordWrap/>
              <w:topLinePunct w:val="0"/>
              <w:bidi w:val="0"/>
              <w:spacing w:line="400" w:lineRule="exact"/>
              <w:jc w:val="left"/>
              <w:rPr>
                <w:color w:val="auto"/>
                <w:sz w:val="21"/>
                <w:szCs w:val="21"/>
                <w:highlight w:val="none"/>
              </w:rPr>
            </w:pPr>
            <w:r>
              <w:rPr>
                <w:rFonts w:hint="eastAsia"/>
                <w:color w:val="auto"/>
                <w:sz w:val="21"/>
                <w:szCs w:val="21"/>
                <w:highlight w:val="none"/>
              </w:rPr>
              <w:t>石油、天然气</w:t>
            </w:r>
            <w:r>
              <w:rPr>
                <w:rFonts w:hint="eastAsia"/>
                <w:color w:val="auto"/>
                <w:sz w:val="21"/>
                <w:szCs w:val="21"/>
                <w:highlight w:val="none"/>
                <w:lang w:val="en-US" w:eastAsia="zh-CN"/>
              </w:rPr>
              <w:t>、</w:t>
            </w:r>
            <w:bookmarkStart w:id="87" w:name="OLE_LINK168"/>
            <w:r>
              <w:rPr>
                <w:rFonts w:hint="eastAsia"/>
                <w:color w:val="auto"/>
                <w:sz w:val="21"/>
                <w:szCs w:val="21"/>
                <w:highlight w:val="none"/>
                <w:lang w:val="en-US" w:eastAsia="zh-CN"/>
              </w:rPr>
              <w:t>甲醇</w:t>
            </w:r>
            <w:bookmarkEnd w:id="87"/>
            <w:r>
              <w:rPr>
                <w:rFonts w:hint="eastAsia"/>
                <w:color w:val="auto"/>
                <w:sz w:val="21"/>
                <w:szCs w:val="21"/>
                <w:highlight w:val="none"/>
              </w:rPr>
              <w:t>等物质泄漏，以及火灾、爆炸、井喷等</w:t>
            </w:r>
            <w:r>
              <w:rPr>
                <w:rFonts w:hint="eastAsia"/>
                <w:color w:val="auto"/>
                <w:sz w:val="21"/>
                <w:szCs w:val="21"/>
                <w:highlight w:val="none"/>
                <w:lang w:val="en-US" w:eastAsia="zh-CN"/>
              </w:rPr>
              <w:t>事故</w:t>
            </w:r>
            <w:r>
              <w:rPr>
                <w:rFonts w:hint="eastAsia"/>
                <w:color w:val="auto"/>
                <w:sz w:val="21"/>
                <w:szCs w:val="21"/>
                <w:highlight w:val="none"/>
              </w:rPr>
              <w:t>引发的伴生/次生污染物</w:t>
            </w:r>
          </w:p>
        </w:tc>
        <w:tc>
          <w:tcPr>
            <w:tcW w:w="227" w:type="pct"/>
            <w:tcBorders>
              <w:tl2br w:val="nil"/>
              <w:tr2bl w:val="nil"/>
            </w:tcBorders>
            <w:noWrap w:val="0"/>
            <w:vAlign w:val="top"/>
          </w:tcPr>
          <w:p w14:paraId="003DA5C6">
            <w:pPr>
              <w:pStyle w:val="81"/>
              <w:keepNext w:val="0"/>
              <w:keepLines w:val="0"/>
              <w:pageBreakBefore w:val="0"/>
              <w:kinsoku/>
              <w:wordWrap/>
              <w:topLinePunct w:val="0"/>
              <w:bidi w:val="0"/>
              <w:spacing w:line="400" w:lineRule="exact"/>
              <w:jc w:val="left"/>
              <w:rPr>
                <w:color w:val="auto"/>
                <w:sz w:val="21"/>
                <w:szCs w:val="21"/>
                <w:highlight w:val="none"/>
              </w:rPr>
            </w:pPr>
            <w:r>
              <w:rPr>
                <w:color w:val="auto"/>
                <w:sz w:val="21"/>
                <w:szCs w:val="21"/>
                <w:highlight w:val="none"/>
              </w:rPr>
              <w:t>构筑物拆卸扬尘</w:t>
            </w:r>
          </w:p>
        </w:tc>
        <w:tc>
          <w:tcPr>
            <w:tcW w:w="518" w:type="pct"/>
            <w:tcBorders>
              <w:tl2br w:val="nil"/>
              <w:tr2bl w:val="nil"/>
            </w:tcBorders>
            <w:noWrap w:val="0"/>
            <w:vAlign w:val="top"/>
          </w:tcPr>
          <w:p w14:paraId="73521F35">
            <w:pPr>
              <w:pStyle w:val="81"/>
              <w:keepNext w:val="0"/>
              <w:keepLines w:val="0"/>
              <w:pageBreakBefore w:val="0"/>
              <w:kinsoku/>
              <w:wordWrap/>
              <w:topLinePunct w:val="0"/>
              <w:bidi w:val="0"/>
              <w:spacing w:line="400" w:lineRule="exact"/>
              <w:jc w:val="center"/>
              <w:rPr>
                <w:color w:val="auto"/>
                <w:sz w:val="21"/>
                <w:szCs w:val="21"/>
                <w:highlight w:val="none"/>
              </w:rPr>
            </w:pPr>
            <w:r>
              <w:rPr>
                <w:rFonts w:hint="eastAsia"/>
                <w:color w:val="auto"/>
                <w:sz w:val="21"/>
                <w:szCs w:val="21"/>
                <w:highlight w:val="none"/>
                <w:lang w:val="en-US" w:eastAsia="zh-CN"/>
              </w:rPr>
              <w:t>地面设施拆除、井场清理等环节产生的废弃管道和设备、建筑垃圾、含油污泥等。</w:t>
            </w:r>
          </w:p>
        </w:tc>
        <w:tc>
          <w:tcPr>
            <w:tcW w:w="208" w:type="pct"/>
            <w:tcBorders>
              <w:tl2br w:val="nil"/>
              <w:tr2bl w:val="nil"/>
            </w:tcBorders>
            <w:noWrap w:val="0"/>
            <w:vAlign w:val="top"/>
          </w:tcPr>
          <w:p w14:paraId="75D77C2B">
            <w:pPr>
              <w:pStyle w:val="81"/>
              <w:keepNext w:val="0"/>
              <w:keepLines w:val="0"/>
              <w:pageBreakBefore w:val="0"/>
              <w:kinsoku/>
              <w:wordWrap/>
              <w:topLinePunct w:val="0"/>
              <w:bidi w:val="0"/>
              <w:spacing w:line="40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土地复垦</w:t>
            </w:r>
          </w:p>
        </w:tc>
      </w:tr>
      <w:tr w14:paraId="02389A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391" w:type="pct"/>
            <w:tcBorders>
              <w:tl2br w:val="nil"/>
              <w:tr2bl w:val="nil"/>
            </w:tcBorders>
            <w:noWrap w:val="0"/>
            <w:vAlign w:val="center"/>
          </w:tcPr>
          <w:p w14:paraId="469B8AD8">
            <w:pPr>
              <w:keepNext w:val="0"/>
              <w:keepLines w:val="0"/>
              <w:pageBreakBefore w:val="0"/>
              <w:kinsoku/>
              <w:wordWrap/>
              <w:topLinePunct w:val="0"/>
              <w:bidi w:val="0"/>
              <w:snapToGrid w:val="0"/>
              <w:spacing w:line="400" w:lineRule="exact"/>
              <w:jc w:val="center"/>
              <w:rPr>
                <w:rFonts w:hint="default" w:ascii="Calibri" w:hAnsi="Calibri"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地表水</w:t>
            </w:r>
          </w:p>
        </w:tc>
        <w:tc>
          <w:tcPr>
            <w:tcW w:w="318" w:type="pct"/>
            <w:tcBorders>
              <w:tl2br w:val="nil"/>
              <w:tr2bl w:val="nil"/>
            </w:tcBorders>
            <w:noWrap w:val="0"/>
            <w:vAlign w:val="top"/>
          </w:tcPr>
          <w:p w14:paraId="5D043E80">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position w:val="-2"/>
                <w:sz w:val="21"/>
                <w:szCs w:val="21"/>
              </w:rPr>
              <w:t>〇</w:t>
            </w:r>
          </w:p>
        </w:tc>
        <w:tc>
          <w:tcPr>
            <w:tcW w:w="367" w:type="pct"/>
            <w:tcBorders>
              <w:tl2br w:val="nil"/>
              <w:tr2bl w:val="nil"/>
            </w:tcBorders>
            <w:noWrap w:val="0"/>
            <w:vAlign w:val="top"/>
          </w:tcPr>
          <w:p w14:paraId="7C0EFF74">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position w:val="-2"/>
                <w:sz w:val="21"/>
                <w:szCs w:val="21"/>
              </w:rPr>
              <w:t>〇</w:t>
            </w:r>
          </w:p>
        </w:tc>
        <w:tc>
          <w:tcPr>
            <w:tcW w:w="334" w:type="pct"/>
            <w:tcBorders>
              <w:tl2br w:val="nil"/>
              <w:tr2bl w:val="nil"/>
            </w:tcBorders>
            <w:noWrap w:val="0"/>
            <w:vAlign w:val="top"/>
          </w:tcPr>
          <w:p w14:paraId="2CCEF020">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position w:val="-2"/>
                <w:sz w:val="21"/>
                <w:szCs w:val="21"/>
              </w:rPr>
              <w:t>〇</w:t>
            </w:r>
          </w:p>
        </w:tc>
        <w:tc>
          <w:tcPr>
            <w:tcW w:w="378" w:type="pct"/>
            <w:tcBorders>
              <w:tl2br w:val="nil"/>
              <w:tr2bl w:val="nil"/>
            </w:tcBorders>
            <w:noWrap w:val="0"/>
            <w:vAlign w:val="top"/>
          </w:tcPr>
          <w:p w14:paraId="0370D6C8">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position w:val="-2"/>
                <w:sz w:val="21"/>
                <w:szCs w:val="21"/>
              </w:rPr>
              <w:t>〇</w:t>
            </w:r>
          </w:p>
        </w:tc>
        <w:tc>
          <w:tcPr>
            <w:tcW w:w="406" w:type="pct"/>
            <w:tcBorders>
              <w:tl2br w:val="nil"/>
              <w:tr2bl w:val="nil"/>
            </w:tcBorders>
            <w:noWrap w:val="0"/>
            <w:vAlign w:val="top"/>
          </w:tcPr>
          <w:p w14:paraId="6F1799E8">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position w:val="-2"/>
                <w:sz w:val="21"/>
                <w:szCs w:val="21"/>
              </w:rPr>
              <w:t>〇</w:t>
            </w:r>
          </w:p>
        </w:tc>
        <w:tc>
          <w:tcPr>
            <w:tcW w:w="362" w:type="pct"/>
            <w:tcBorders>
              <w:tl2br w:val="nil"/>
              <w:tr2bl w:val="nil"/>
            </w:tcBorders>
            <w:noWrap w:val="0"/>
            <w:vAlign w:val="top"/>
          </w:tcPr>
          <w:p w14:paraId="446DED1E">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position w:val="-2"/>
                <w:sz w:val="21"/>
                <w:szCs w:val="21"/>
              </w:rPr>
              <w:t>〇</w:t>
            </w:r>
          </w:p>
        </w:tc>
        <w:tc>
          <w:tcPr>
            <w:tcW w:w="303" w:type="pct"/>
            <w:tcBorders>
              <w:tl2br w:val="nil"/>
              <w:tr2bl w:val="nil"/>
            </w:tcBorders>
            <w:noWrap w:val="0"/>
            <w:vAlign w:val="top"/>
          </w:tcPr>
          <w:p w14:paraId="776AE76F">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p>
        </w:tc>
        <w:tc>
          <w:tcPr>
            <w:tcW w:w="439" w:type="pct"/>
            <w:tcBorders>
              <w:tl2br w:val="nil"/>
              <w:tr2bl w:val="nil"/>
            </w:tcBorders>
            <w:noWrap w:val="0"/>
            <w:vAlign w:val="top"/>
          </w:tcPr>
          <w:p w14:paraId="47F79FE6">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position w:val="-2"/>
                <w:sz w:val="21"/>
                <w:szCs w:val="21"/>
              </w:rPr>
              <w:t>〇</w:t>
            </w:r>
          </w:p>
        </w:tc>
        <w:tc>
          <w:tcPr>
            <w:tcW w:w="267" w:type="pct"/>
            <w:tcBorders>
              <w:tl2br w:val="nil"/>
              <w:tr2bl w:val="nil"/>
            </w:tcBorders>
            <w:noWrap w:val="0"/>
            <w:vAlign w:val="top"/>
          </w:tcPr>
          <w:p w14:paraId="7FF254F0">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position w:val="-2"/>
                <w:sz w:val="21"/>
                <w:szCs w:val="21"/>
              </w:rPr>
              <w:t>〇</w:t>
            </w:r>
          </w:p>
        </w:tc>
        <w:tc>
          <w:tcPr>
            <w:tcW w:w="477" w:type="pct"/>
            <w:tcBorders>
              <w:tl2br w:val="nil"/>
              <w:tr2bl w:val="nil"/>
            </w:tcBorders>
            <w:noWrap w:val="0"/>
            <w:vAlign w:val="top"/>
          </w:tcPr>
          <w:p w14:paraId="0ADBD5A5">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position w:val="-2"/>
                <w:sz w:val="21"/>
                <w:szCs w:val="21"/>
              </w:rPr>
              <w:t>〇</w:t>
            </w:r>
          </w:p>
        </w:tc>
        <w:tc>
          <w:tcPr>
            <w:tcW w:w="227" w:type="pct"/>
            <w:tcBorders>
              <w:tl2br w:val="nil"/>
              <w:tr2bl w:val="nil"/>
            </w:tcBorders>
            <w:noWrap w:val="0"/>
            <w:vAlign w:val="top"/>
          </w:tcPr>
          <w:p w14:paraId="7D5F5C1E">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position w:val="-2"/>
                <w:sz w:val="21"/>
                <w:szCs w:val="21"/>
              </w:rPr>
              <w:t>〇</w:t>
            </w:r>
          </w:p>
        </w:tc>
        <w:tc>
          <w:tcPr>
            <w:tcW w:w="518" w:type="pct"/>
            <w:tcBorders>
              <w:tl2br w:val="nil"/>
              <w:tr2bl w:val="nil"/>
            </w:tcBorders>
            <w:noWrap w:val="0"/>
            <w:vAlign w:val="top"/>
          </w:tcPr>
          <w:p w14:paraId="582ABDBD">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position w:val="-2"/>
                <w:sz w:val="21"/>
                <w:szCs w:val="21"/>
              </w:rPr>
              <w:t>〇</w:t>
            </w:r>
          </w:p>
        </w:tc>
        <w:tc>
          <w:tcPr>
            <w:tcW w:w="208" w:type="pct"/>
            <w:tcBorders>
              <w:tl2br w:val="nil"/>
              <w:tr2bl w:val="nil"/>
            </w:tcBorders>
            <w:noWrap w:val="0"/>
            <w:vAlign w:val="top"/>
          </w:tcPr>
          <w:p w14:paraId="16FB154C">
            <w:pPr>
              <w:pStyle w:val="81"/>
              <w:keepNext w:val="0"/>
              <w:keepLines w:val="0"/>
              <w:pageBreakBefore w:val="0"/>
              <w:kinsoku/>
              <w:wordWrap/>
              <w:topLinePunct w:val="0"/>
              <w:bidi w:val="0"/>
              <w:spacing w:line="400" w:lineRule="exact"/>
              <w:rPr>
                <w:color w:val="auto"/>
                <w:w w:val="85"/>
                <w:sz w:val="21"/>
                <w:szCs w:val="21"/>
                <w:highlight w:val="yellow"/>
              </w:rPr>
            </w:pPr>
            <w:r>
              <w:rPr>
                <w:color w:val="auto"/>
                <w:position w:val="-2"/>
                <w:sz w:val="21"/>
                <w:szCs w:val="21"/>
              </w:rPr>
              <w:t>〇</w:t>
            </w:r>
          </w:p>
        </w:tc>
      </w:tr>
      <w:tr w14:paraId="3846E8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391" w:type="pct"/>
            <w:tcBorders>
              <w:tl2br w:val="nil"/>
              <w:tr2bl w:val="nil"/>
            </w:tcBorders>
            <w:noWrap w:val="0"/>
            <w:vAlign w:val="center"/>
          </w:tcPr>
          <w:p w14:paraId="479CFB22">
            <w:pPr>
              <w:keepNext w:val="0"/>
              <w:keepLines w:val="0"/>
              <w:pageBreakBefore w:val="0"/>
              <w:kinsoku/>
              <w:wordWrap/>
              <w:topLinePunct w:val="0"/>
              <w:bidi w:val="0"/>
              <w:snapToGrid w:val="0"/>
              <w:spacing w:line="400" w:lineRule="exact"/>
              <w:jc w:val="center"/>
              <w:rPr>
                <w:rFonts w:ascii="Calibri" w:hAnsi="Calibri" w:eastAsia="宋体" w:cs="Times New Roman"/>
                <w:color w:val="auto"/>
                <w:kern w:val="2"/>
                <w:sz w:val="21"/>
                <w:szCs w:val="21"/>
                <w:lang w:val="en-US" w:eastAsia="zh-CN" w:bidi="ar-SA"/>
              </w:rPr>
            </w:pPr>
            <w:r>
              <w:rPr>
                <w:color w:val="auto"/>
                <w:sz w:val="21"/>
                <w:szCs w:val="21"/>
              </w:rPr>
              <w:t>地下水</w:t>
            </w:r>
          </w:p>
        </w:tc>
        <w:tc>
          <w:tcPr>
            <w:tcW w:w="318" w:type="pct"/>
            <w:tcBorders>
              <w:tl2br w:val="nil"/>
              <w:tr2bl w:val="nil"/>
            </w:tcBorders>
            <w:noWrap w:val="0"/>
            <w:vAlign w:val="top"/>
          </w:tcPr>
          <w:p w14:paraId="4005CBDE">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position w:val="-2"/>
                <w:sz w:val="21"/>
                <w:szCs w:val="21"/>
              </w:rPr>
              <w:t>〇</w:t>
            </w:r>
          </w:p>
        </w:tc>
        <w:tc>
          <w:tcPr>
            <w:tcW w:w="367" w:type="pct"/>
            <w:tcBorders>
              <w:tl2br w:val="nil"/>
              <w:tr2bl w:val="nil"/>
            </w:tcBorders>
            <w:noWrap w:val="0"/>
            <w:vAlign w:val="top"/>
          </w:tcPr>
          <w:p w14:paraId="3A1056D4">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position w:val="-2"/>
                <w:sz w:val="21"/>
                <w:szCs w:val="21"/>
              </w:rPr>
              <w:t>〇</w:t>
            </w:r>
          </w:p>
        </w:tc>
        <w:tc>
          <w:tcPr>
            <w:tcW w:w="334" w:type="pct"/>
            <w:tcBorders>
              <w:tl2br w:val="nil"/>
              <w:tr2bl w:val="nil"/>
            </w:tcBorders>
            <w:noWrap w:val="0"/>
            <w:vAlign w:val="top"/>
          </w:tcPr>
          <w:p w14:paraId="69398ECE">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position w:val="-2"/>
                <w:sz w:val="21"/>
                <w:szCs w:val="21"/>
              </w:rPr>
              <w:t>〇</w:t>
            </w:r>
          </w:p>
        </w:tc>
        <w:tc>
          <w:tcPr>
            <w:tcW w:w="378" w:type="pct"/>
            <w:tcBorders>
              <w:tl2br w:val="nil"/>
              <w:tr2bl w:val="nil"/>
            </w:tcBorders>
            <w:noWrap w:val="0"/>
            <w:vAlign w:val="top"/>
          </w:tcPr>
          <w:p w14:paraId="4693F49C">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position w:val="-2"/>
                <w:sz w:val="21"/>
                <w:szCs w:val="21"/>
              </w:rPr>
              <w:t>〇</w:t>
            </w:r>
          </w:p>
        </w:tc>
        <w:tc>
          <w:tcPr>
            <w:tcW w:w="406" w:type="pct"/>
            <w:tcBorders>
              <w:tl2br w:val="nil"/>
              <w:tr2bl w:val="nil"/>
            </w:tcBorders>
            <w:noWrap w:val="0"/>
            <w:vAlign w:val="top"/>
          </w:tcPr>
          <w:p w14:paraId="049ED71F">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position w:val="-2"/>
                <w:sz w:val="21"/>
                <w:szCs w:val="21"/>
              </w:rPr>
              <w:t>〇</w:t>
            </w:r>
          </w:p>
        </w:tc>
        <w:tc>
          <w:tcPr>
            <w:tcW w:w="362" w:type="pct"/>
            <w:tcBorders>
              <w:tl2br w:val="nil"/>
              <w:tr2bl w:val="nil"/>
            </w:tcBorders>
            <w:noWrap w:val="0"/>
            <w:vAlign w:val="top"/>
          </w:tcPr>
          <w:p w14:paraId="12227C10">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position w:val="-2"/>
                <w:sz w:val="21"/>
                <w:szCs w:val="21"/>
              </w:rPr>
              <w:t>〇</w:t>
            </w:r>
          </w:p>
        </w:tc>
        <w:tc>
          <w:tcPr>
            <w:tcW w:w="303" w:type="pct"/>
            <w:tcBorders>
              <w:tl2br w:val="nil"/>
              <w:tr2bl w:val="nil"/>
            </w:tcBorders>
            <w:noWrap w:val="0"/>
            <w:vAlign w:val="top"/>
          </w:tcPr>
          <w:p w14:paraId="17D789DF">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p>
        </w:tc>
        <w:tc>
          <w:tcPr>
            <w:tcW w:w="439" w:type="pct"/>
            <w:tcBorders>
              <w:tl2br w:val="nil"/>
              <w:tr2bl w:val="nil"/>
            </w:tcBorders>
            <w:noWrap w:val="0"/>
            <w:vAlign w:val="top"/>
          </w:tcPr>
          <w:p w14:paraId="69FEC54B">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rFonts w:hint="default" w:ascii="Times New Roman" w:hAnsi="Times New Roman" w:cs="Times New Roman"/>
                <w:b/>
                <w:color w:val="auto"/>
                <w:sz w:val="18"/>
                <w:szCs w:val="18"/>
              </w:rPr>
              <w:t>+</w:t>
            </w:r>
          </w:p>
        </w:tc>
        <w:tc>
          <w:tcPr>
            <w:tcW w:w="267" w:type="pct"/>
            <w:tcBorders>
              <w:tl2br w:val="nil"/>
              <w:tr2bl w:val="nil"/>
            </w:tcBorders>
            <w:noWrap w:val="0"/>
            <w:vAlign w:val="top"/>
          </w:tcPr>
          <w:p w14:paraId="000F12CB">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position w:val="-2"/>
                <w:sz w:val="21"/>
                <w:szCs w:val="21"/>
              </w:rPr>
              <w:t>〇</w:t>
            </w:r>
          </w:p>
        </w:tc>
        <w:tc>
          <w:tcPr>
            <w:tcW w:w="477" w:type="pct"/>
            <w:tcBorders>
              <w:tl2br w:val="nil"/>
              <w:tr2bl w:val="nil"/>
            </w:tcBorders>
            <w:noWrap w:val="0"/>
            <w:vAlign w:val="top"/>
          </w:tcPr>
          <w:p w14:paraId="410AF03F">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w w:val="85"/>
                <w:sz w:val="21"/>
                <w:szCs w:val="21"/>
              </w:rPr>
              <w:t>+</w:t>
            </w:r>
          </w:p>
        </w:tc>
        <w:tc>
          <w:tcPr>
            <w:tcW w:w="227" w:type="pct"/>
            <w:tcBorders>
              <w:tl2br w:val="nil"/>
              <w:tr2bl w:val="nil"/>
            </w:tcBorders>
            <w:noWrap w:val="0"/>
            <w:vAlign w:val="top"/>
          </w:tcPr>
          <w:p w14:paraId="17C1D44D">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position w:val="-2"/>
                <w:sz w:val="21"/>
                <w:szCs w:val="21"/>
              </w:rPr>
              <w:t>〇</w:t>
            </w:r>
          </w:p>
        </w:tc>
        <w:tc>
          <w:tcPr>
            <w:tcW w:w="518" w:type="pct"/>
            <w:tcBorders>
              <w:tl2br w:val="nil"/>
              <w:tr2bl w:val="nil"/>
            </w:tcBorders>
            <w:noWrap w:val="0"/>
            <w:vAlign w:val="top"/>
          </w:tcPr>
          <w:p w14:paraId="38F9CCC6">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w w:val="85"/>
                <w:sz w:val="21"/>
                <w:szCs w:val="21"/>
              </w:rPr>
              <w:t>+</w:t>
            </w:r>
          </w:p>
        </w:tc>
        <w:tc>
          <w:tcPr>
            <w:tcW w:w="208" w:type="pct"/>
            <w:tcBorders>
              <w:tl2br w:val="nil"/>
              <w:tr2bl w:val="nil"/>
            </w:tcBorders>
            <w:noWrap w:val="0"/>
            <w:vAlign w:val="top"/>
          </w:tcPr>
          <w:p w14:paraId="1624FC3D">
            <w:pPr>
              <w:pStyle w:val="81"/>
              <w:keepNext w:val="0"/>
              <w:keepLines w:val="0"/>
              <w:pageBreakBefore w:val="0"/>
              <w:kinsoku/>
              <w:wordWrap/>
              <w:topLinePunct w:val="0"/>
              <w:bidi w:val="0"/>
              <w:spacing w:line="400" w:lineRule="exact"/>
              <w:rPr>
                <w:color w:val="auto"/>
                <w:position w:val="-2"/>
                <w:sz w:val="21"/>
                <w:szCs w:val="21"/>
                <w:highlight w:val="yellow"/>
              </w:rPr>
            </w:pPr>
            <w:r>
              <w:rPr>
                <w:color w:val="auto"/>
                <w:position w:val="-2"/>
                <w:sz w:val="21"/>
                <w:szCs w:val="21"/>
              </w:rPr>
              <w:t>〇</w:t>
            </w:r>
          </w:p>
        </w:tc>
      </w:tr>
      <w:tr w14:paraId="3EC01F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391" w:type="pct"/>
            <w:tcBorders>
              <w:tl2br w:val="nil"/>
              <w:tr2bl w:val="nil"/>
            </w:tcBorders>
            <w:noWrap w:val="0"/>
            <w:vAlign w:val="center"/>
          </w:tcPr>
          <w:p w14:paraId="337CEAF8">
            <w:pPr>
              <w:keepNext w:val="0"/>
              <w:keepLines w:val="0"/>
              <w:pageBreakBefore w:val="0"/>
              <w:kinsoku/>
              <w:wordWrap/>
              <w:topLinePunct w:val="0"/>
              <w:bidi w:val="0"/>
              <w:snapToGrid w:val="0"/>
              <w:spacing w:line="400" w:lineRule="exact"/>
              <w:jc w:val="center"/>
              <w:rPr>
                <w:rFonts w:hint="default" w:ascii="Calibri" w:hAnsi="Calibri" w:eastAsia="宋体" w:cs="Times New Roman"/>
                <w:color w:val="auto"/>
                <w:kern w:val="2"/>
                <w:sz w:val="21"/>
                <w:szCs w:val="21"/>
                <w:lang w:val="en-US" w:eastAsia="zh-CN" w:bidi="ar-SA"/>
              </w:rPr>
            </w:pPr>
            <w:r>
              <w:rPr>
                <w:color w:val="auto"/>
                <w:sz w:val="21"/>
                <w:szCs w:val="21"/>
              </w:rPr>
              <w:t>大气环境</w:t>
            </w:r>
          </w:p>
        </w:tc>
        <w:tc>
          <w:tcPr>
            <w:tcW w:w="318" w:type="pct"/>
            <w:tcBorders>
              <w:tl2br w:val="nil"/>
              <w:tr2bl w:val="nil"/>
            </w:tcBorders>
            <w:noWrap w:val="0"/>
            <w:vAlign w:val="top"/>
          </w:tcPr>
          <w:p w14:paraId="0A0205F0">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position w:val="-2"/>
                <w:sz w:val="21"/>
                <w:szCs w:val="21"/>
              </w:rPr>
              <w:t>〇</w:t>
            </w:r>
          </w:p>
        </w:tc>
        <w:tc>
          <w:tcPr>
            <w:tcW w:w="367" w:type="pct"/>
            <w:tcBorders>
              <w:tl2br w:val="nil"/>
              <w:tr2bl w:val="nil"/>
            </w:tcBorders>
            <w:noWrap w:val="0"/>
            <w:vAlign w:val="top"/>
          </w:tcPr>
          <w:p w14:paraId="6DCA2A5B">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w w:val="85"/>
                <w:sz w:val="21"/>
                <w:szCs w:val="21"/>
              </w:rPr>
              <w:t>+</w:t>
            </w:r>
          </w:p>
        </w:tc>
        <w:tc>
          <w:tcPr>
            <w:tcW w:w="334" w:type="pct"/>
            <w:tcBorders>
              <w:tl2br w:val="nil"/>
              <w:tr2bl w:val="nil"/>
            </w:tcBorders>
            <w:noWrap w:val="0"/>
            <w:vAlign w:val="top"/>
          </w:tcPr>
          <w:p w14:paraId="47956C39">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position w:val="-2"/>
                <w:sz w:val="21"/>
                <w:szCs w:val="21"/>
              </w:rPr>
              <w:t>〇</w:t>
            </w:r>
          </w:p>
        </w:tc>
        <w:tc>
          <w:tcPr>
            <w:tcW w:w="378" w:type="pct"/>
            <w:tcBorders>
              <w:tl2br w:val="nil"/>
              <w:tr2bl w:val="nil"/>
            </w:tcBorders>
            <w:noWrap w:val="0"/>
            <w:vAlign w:val="top"/>
          </w:tcPr>
          <w:p w14:paraId="1DFFB6E0">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w w:val="85"/>
                <w:sz w:val="21"/>
                <w:szCs w:val="21"/>
              </w:rPr>
              <w:t>+</w:t>
            </w:r>
          </w:p>
        </w:tc>
        <w:tc>
          <w:tcPr>
            <w:tcW w:w="406" w:type="pct"/>
            <w:tcBorders>
              <w:tl2br w:val="nil"/>
              <w:tr2bl w:val="nil"/>
            </w:tcBorders>
            <w:noWrap w:val="0"/>
            <w:vAlign w:val="top"/>
          </w:tcPr>
          <w:p w14:paraId="20A5A406">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position w:val="-2"/>
                <w:sz w:val="21"/>
                <w:szCs w:val="21"/>
              </w:rPr>
              <w:t>〇</w:t>
            </w:r>
          </w:p>
        </w:tc>
        <w:tc>
          <w:tcPr>
            <w:tcW w:w="362" w:type="pct"/>
            <w:tcBorders>
              <w:tl2br w:val="nil"/>
              <w:tr2bl w:val="nil"/>
            </w:tcBorders>
            <w:noWrap w:val="0"/>
            <w:vAlign w:val="top"/>
          </w:tcPr>
          <w:p w14:paraId="130E1EFC">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w w:val="85"/>
                <w:sz w:val="21"/>
                <w:szCs w:val="21"/>
              </w:rPr>
              <w:t>++</w:t>
            </w:r>
          </w:p>
        </w:tc>
        <w:tc>
          <w:tcPr>
            <w:tcW w:w="303" w:type="pct"/>
            <w:tcBorders>
              <w:tl2br w:val="nil"/>
              <w:tr2bl w:val="nil"/>
            </w:tcBorders>
            <w:noWrap w:val="0"/>
            <w:vAlign w:val="top"/>
          </w:tcPr>
          <w:p w14:paraId="14D49DBC">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p>
        </w:tc>
        <w:tc>
          <w:tcPr>
            <w:tcW w:w="439" w:type="pct"/>
            <w:tcBorders>
              <w:tl2br w:val="nil"/>
              <w:tr2bl w:val="nil"/>
            </w:tcBorders>
            <w:noWrap w:val="0"/>
            <w:vAlign w:val="top"/>
          </w:tcPr>
          <w:p w14:paraId="5D1F930E">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w w:val="85"/>
                <w:sz w:val="21"/>
                <w:szCs w:val="21"/>
              </w:rPr>
              <w:t>+</w:t>
            </w:r>
          </w:p>
        </w:tc>
        <w:tc>
          <w:tcPr>
            <w:tcW w:w="267" w:type="pct"/>
            <w:tcBorders>
              <w:tl2br w:val="nil"/>
              <w:tr2bl w:val="nil"/>
            </w:tcBorders>
            <w:noWrap w:val="0"/>
            <w:vAlign w:val="top"/>
          </w:tcPr>
          <w:p w14:paraId="12045207">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position w:val="-2"/>
                <w:sz w:val="21"/>
                <w:szCs w:val="21"/>
              </w:rPr>
              <w:t>〇</w:t>
            </w:r>
          </w:p>
        </w:tc>
        <w:tc>
          <w:tcPr>
            <w:tcW w:w="477" w:type="pct"/>
            <w:tcBorders>
              <w:tl2br w:val="nil"/>
              <w:tr2bl w:val="nil"/>
            </w:tcBorders>
            <w:noWrap w:val="0"/>
            <w:vAlign w:val="top"/>
          </w:tcPr>
          <w:p w14:paraId="63CA66EB">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w w:val="85"/>
                <w:sz w:val="21"/>
                <w:szCs w:val="21"/>
              </w:rPr>
              <w:t>+</w:t>
            </w:r>
          </w:p>
        </w:tc>
        <w:tc>
          <w:tcPr>
            <w:tcW w:w="227" w:type="pct"/>
            <w:tcBorders>
              <w:tl2br w:val="nil"/>
              <w:tr2bl w:val="nil"/>
            </w:tcBorders>
            <w:noWrap w:val="0"/>
            <w:vAlign w:val="top"/>
          </w:tcPr>
          <w:p w14:paraId="163A40B4">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w w:val="85"/>
                <w:sz w:val="21"/>
                <w:szCs w:val="21"/>
              </w:rPr>
              <w:t>+</w:t>
            </w:r>
          </w:p>
        </w:tc>
        <w:tc>
          <w:tcPr>
            <w:tcW w:w="518" w:type="pct"/>
            <w:tcBorders>
              <w:tl2br w:val="nil"/>
              <w:tr2bl w:val="nil"/>
            </w:tcBorders>
            <w:noWrap w:val="0"/>
            <w:vAlign w:val="top"/>
          </w:tcPr>
          <w:p w14:paraId="329A2D74">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w w:val="85"/>
                <w:sz w:val="21"/>
                <w:szCs w:val="21"/>
              </w:rPr>
              <w:t>+</w:t>
            </w:r>
          </w:p>
        </w:tc>
        <w:tc>
          <w:tcPr>
            <w:tcW w:w="208" w:type="pct"/>
            <w:tcBorders>
              <w:tl2br w:val="nil"/>
              <w:tr2bl w:val="nil"/>
            </w:tcBorders>
            <w:noWrap w:val="0"/>
            <w:vAlign w:val="top"/>
          </w:tcPr>
          <w:p w14:paraId="2C1DF141">
            <w:pPr>
              <w:pStyle w:val="81"/>
              <w:keepNext w:val="0"/>
              <w:keepLines w:val="0"/>
              <w:pageBreakBefore w:val="0"/>
              <w:kinsoku/>
              <w:wordWrap/>
              <w:topLinePunct w:val="0"/>
              <w:bidi w:val="0"/>
              <w:spacing w:line="400" w:lineRule="exact"/>
              <w:rPr>
                <w:color w:val="auto"/>
                <w:position w:val="-2"/>
                <w:sz w:val="21"/>
                <w:szCs w:val="21"/>
                <w:highlight w:val="yellow"/>
              </w:rPr>
            </w:pPr>
            <w:r>
              <w:rPr>
                <w:rFonts w:hint="default" w:ascii="Times New Roman" w:hAnsi="Times New Roman" w:cs="Times New Roman"/>
                <w:b/>
                <w:color w:val="auto"/>
                <w:sz w:val="18"/>
                <w:szCs w:val="18"/>
              </w:rPr>
              <w:t>+</w:t>
            </w:r>
          </w:p>
        </w:tc>
      </w:tr>
      <w:tr w14:paraId="44D061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391" w:type="pct"/>
            <w:tcBorders>
              <w:tl2br w:val="nil"/>
              <w:tr2bl w:val="nil"/>
            </w:tcBorders>
            <w:noWrap w:val="0"/>
            <w:vAlign w:val="center"/>
          </w:tcPr>
          <w:p w14:paraId="0C91E1CF">
            <w:pPr>
              <w:keepNext w:val="0"/>
              <w:keepLines w:val="0"/>
              <w:pageBreakBefore w:val="0"/>
              <w:kinsoku/>
              <w:wordWrap/>
              <w:topLinePunct w:val="0"/>
              <w:bidi w:val="0"/>
              <w:snapToGrid w:val="0"/>
              <w:spacing w:line="400" w:lineRule="exact"/>
              <w:jc w:val="center"/>
              <w:rPr>
                <w:rFonts w:ascii="Calibri" w:hAnsi="Calibri" w:eastAsia="宋体" w:cs="Times New Roman"/>
                <w:color w:val="auto"/>
                <w:kern w:val="2"/>
                <w:sz w:val="21"/>
                <w:szCs w:val="21"/>
                <w:lang w:val="en-US" w:eastAsia="zh-CN" w:bidi="ar-SA"/>
              </w:rPr>
            </w:pPr>
            <w:r>
              <w:rPr>
                <w:color w:val="auto"/>
                <w:sz w:val="21"/>
                <w:szCs w:val="21"/>
              </w:rPr>
              <w:t>声环境</w:t>
            </w:r>
          </w:p>
        </w:tc>
        <w:tc>
          <w:tcPr>
            <w:tcW w:w="318" w:type="pct"/>
            <w:tcBorders>
              <w:tl2br w:val="nil"/>
              <w:tr2bl w:val="nil"/>
            </w:tcBorders>
            <w:noWrap w:val="0"/>
            <w:vAlign w:val="top"/>
          </w:tcPr>
          <w:p w14:paraId="7EC2DAA9">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position w:val="-2"/>
                <w:sz w:val="21"/>
                <w:szCs w:val="21"/>
              </w:rPr>
              <w:t>〇</w:t>
            </w:r>
          </w:p>
        </w:tc>
        <w:tc>
          <w:tcPr>
            <w:tcW w:w="367" w:type="pct"/>
            <w:tcBorders>
              <w:tl2br w:val="nil"/>
              <w:tr2bl w:val="nil"/>
            </w:tcBorders>
            <w:noWrap w:val="0"/>
            <w:vAlign w:val="top"/>
          </w:tcPr>
          <w:p w14:paraId="146749C4">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position w:val="-2"/>
                <w:sz w:val="21"/>
                <w:szCs w:val="21"/>
              </w:rPr>
              <w:t>〇</w:t>
            </w:r>
          </w:p>
        </w:tc>
        <w:tc>
          <w:tcPr>
            <w:tcW w:w="334" w:type="pct"/>
            <w:tcBorders>
              <w:tl2br w:val="nil"/>
              <w:tr2bl w:val="nil"/>
            </w:tcBorders>
            <w:noWrap w:val="0"/>
            <w:vAlign w:val="top"/>
          </w:tcPr>
          <w:p w14:paraId="40C63ADF">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position w:val="-2"/>
                <w:sz w:val="21"/>
                <w:szCs w:val="21"/>
              </w:rPr>
              <w:t>〇</w:t>
            </w:r>
          </w:p>
        </w:tc>
        <w:tc>
          <w:tcPr>
            <w:tcW w:w="378" w:type="pct"/>
            <w:tcBorders>
              <w:tl2br w:val="nil"/>
              <w:tr2bl w:val="nil"/>
            </w:tcBorders>
            <w:noWrap w:val="0"/>
            <w:vAlign w:val="top"/>
          </w:tcPr>
          <w:p w14:paraId="12E054A8">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position w:val="-2"/>
                <w:sz w:val="21"/>
                <w:szCs w:val="21"/>
              </w:rPr>
              <w:t>〇</w:t>
            </w:r>
          </w:p>
        </w:tc>
        <w:tc>
          <w:tcPr>
            <w:tcW w:w="406" w:type="pct"/>
            <w:tcBorders>
              <w:tl2br w:val="nil"/>
              <w:tr2bl w:val="nil"/>
            </w:tcBorders>
            <w:noWrap w:val="0"/>
            <w:vAlign w:val="top"/>
          </w:tcPr>
          <w:p w14:paraId="1BBFED90">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w w:val="85"/>
                <w:sz w:val="21"/>
                <w:szCs w:val="21"/>
              </w:rPr>
              <w:t>+</w:t>
            </w:r>
          </w:p>
        </w:tc>
        <w:tc>
          <w:tcPr>
            <w:tcW w:w="362" w:type="pct"/>
            <w:tcBorders>
              <w:tl2br w:val="nil"/>
              <w:tr2bl w:val="nil"/>
            </w:tcBorders>
            <w:noWrap w:val="0"/>
            <w:vAlign w:val="top"/>
          </w:tcPr>
          <w:p w14:paraId="711A12FC">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position w:val="-2"/>
                <w:sz w:val="21"/>
                <w:szCs w:val="21"/>
              </w:rPr>
              <w:t>〇</w:t>
            </w:r>
          </w:p>
        </w:tc>
        <w:tc>
          <w:tcPr>
            <w:tcW w:w="303" w:type="pct"/>
            <w:tcBorders>
              <w:tl2br w:val="nil"/>
              <w:tr2bl w:val="nil"/>
            </w:tcBorders>
            <w:noWrap w:val="0"/>
            <w:vAlign w:val="top"/>
          </w:tcPr>
          <w:p w14:paraId="7EFD4CAD">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p>
        </w:tc>
        <w:tc>
          <w:tcPr>
            <w:tcW w:w="439" w:type="pct"/>
            <w:tcBorders>
              <w:tl2br w:val="nil"/>
              <w:tr2bl w:val="nil"/>
            </w:tcBorders>
            <w:noWrap w:val="0"/>
            <w:vAlign w:val="top"/>
          </w:tcPr>
          <w:p w14:paraId="61765A39">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position w:val="-2"/>
                <w:sz w:val="21"/>
                <w:szCs w:val="21"/>
              </w:rPr>
              <w:t>〇</w:t>
            </w:r>
          </w:p>
        </w:tc>
        <w:tc>
          <w:tcPr>
            <w:tcW w:w="267" w:type="pct"/>
            <w:tcBorders>
              <w:tl2br w:val="nil"/>
              <w:tr2bl w:val="nil"/>
            </w:tcBorders>
            <w:noWrap w:val="0"/>
            <w:vAlign w:val="top"/>
          </w:tcPr>
          <w:p w14:paraId="591380B6">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w w:val="85"/>
                <w:sz w:val="21"/>
                <w:szCs w:val="21"/>
              </w:rPr>
              <w:t>++</w:t>
            </w:r>
          </w:p>
        </w:tc>
        <w:tc>
          <w:tcPr>
            <w:tcW w:w="477" w:type="pct"/>
            <w:tcBorders>
              <w:tl2br w:val="nil"/>
              <w:tr2bl w:val="nil"/>
            </w:tcBorders>
            <w:noWrap w:val="0"/>
            <w:vAlign w:val="top"/>
          </w:tcPr>
          <w:p w14:paraId="2D2046AF">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w w:val="85"/>
                <w:sz w:val="21"/>
                <w:szCs w:val="21"/>
              </w:rPr>
              <w:t>+</w:t>
            </w:r>
          </w:p>
        </w:tc>
        <w:tc>
          <w:tcPr>
            <w:tcW w:w="227" w:type="pct"/>
            <w:tcBorders>
              <w:tl2br w:val="nil"/>
              <w:tr2bl w:val="nil"/>
            </w:tcBorders>
            <w:noWrap w:val="0"/>
            <w:vAlign w:val="top"/>
          </w:tcPr>
          <w:p w14:paraId="1AD9EDA4">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position w:val="-2"/>
                <w:sz w:val="21"/>
                <w:szCs w:val="21"/>
              </w:rPr>
              <w:t>〇</w:t>
            </w:r>
          </w:p>
        </w:tc>
        <w:tc>
          <w:tcPr>
            <w:tcW w:w="518" w:type="pct"/>
            <w:tcBorders>
              <w:tl2br w:val="nil"/>
              <w:tr2bl w:val="nil"/>
            </w:tcBorders>
            <w:noWrap w:val="0"/>
            <w:vAlign w:val="top"/>
          </w:tcPr>
          <w:p w14:paraId="151CEDE2">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position w:val="-2"/>
                <w:sz w:val="21"/>
                <w:szCs w:val="21"/>
              </w:rPr>
              <w:t>〇</w:t>
            </w:r>
          </w:p>
        </w:tc>
        <w:tc>
          <w:tcPr>
            <w:tcW w:w="208" w:type="pct"/>
            <w:tcBorders>
              <w:tl2br w:val="nil"/>
              <w:tr2bl w:val="nil"/>
            </w:tcBorders>
            <w:noWrap w:val="0"/>
            <w:vAlign w:val="top"/>
          </w:tcPr>
          <w:p w14:paraId="2B544E53">
            <w:pPr>
              <w:pStyle w:val="81"/>
              <w:keepNext w:val="0"/>
              <w:keepLines w:val="0"/>
              <w:pageBreakBefore w:val="0"/>
              <w:kinsoku/>
              <w:wordWrap/>
              <w:topLinePunct w:val="0"/>
              <w:bidi w:val="0"/>
              <w:spacing w:line="400" w:lineRule="exact"/>
              <w:rPr>
                <w:color w:val="auto"/>
                <w:position w:val="-2"/>
                <w:sz w:val="21"/>
                <w:szCs w:val="21"/>
                <w:highlight w:val="yellow"/>
              </w:rPr>
            </w:pPr>
            <w:r>
              <w:rPr>
                <w:rFonts w:hint="default" w:ascii="Times New Roman" w:hAnsi="Times New Roman" w:cs="Times New Roman"/>
                <w:b/>
                <w:color w:val="auto"/>
                <w:sz w:val="18"/>
                <w:szCs w:val="18"/>
              </w:rPr>
              <w:t>+</w:t>
            </w:r>
          </w:p>
        </w:tc>
      </w:tr>
      <w:tr w14:paraId="5E6977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391" w:type="pct"/>
            <w:tcBorders>
              <w:tl2br w:val="nil"/>
              <w:tr2bl w:val="nil"/>
            </w:tcBorders>
            <w:noWrap w:val="0"/>
            <w:vAlign w:val="center"/>
          </w:tcPr>
          <w:p w14:paraId="34C02174">
            <w:pPr>
              <w:keepNext w:val="0"/>
              <w:keepLines w:val="0"/>
              <w:pageBreakBefore w:val="0"/>
              <w:kinsoku/>
              <w:wordWrap/>
              <w:topLinePunct w:val="0"/>
              <w:bidi w:val="0"/>
              <w:snapToGrid w:val="0"/>
              <w:spacing w:line="400" w:lineRule="exact"/>
              <w:jc w:val="center"/>
              <w:rPr>
                <w:rFonts w:ascii="Calibri" w:hAnsi="Calibri" w:eastAsia="宋体" w:cs="Times New Roman"/>
                <w:color w:val="auto"/>
                <w:kern w:val="2"/>
                <w:sz w:val="21"/>
                <w:szCs w:val="21"/>
                <w:lang w:val="en-US" w:eastAsia="zh-CN" w:bidi="ar-SA"/>
              </w:rPr>
            </w:pPr>
            <w:r>
              <w:rPr>
                <w:color w:val="auto"/>
                <w:sz w:val="21"/>
                <w:szCs w:val="21"/>
              </w:rPr>
              <w:t>土壤环境</w:t>
            </w:r>
          </w:p>
        </w:tc>
        <w:tc>
          <w:tcPr>
            <w:tcW w:w="318" w:type="pct"/>
            <w:tcBorders>
              <w:tl2br w:val="nil"/>
              <w:tr2bl w:val="nil"/>
            </w:tcBorders>
            <w:noWrap w:val="0"/>
            <w:vAlign w:val="top"/>
          </w:tcPr>
          <w:p w14:paraId="315B2331">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w w:val="85"/>
                <w:sz w:val="21"/>
                <w:szCs w:val="21"/>
              </w:rPr>
              <w:t>++</w:t>
            </w:r>
          </w:p>
        </w:tc>
        <w:tc>
          <w:tcPr>
            <w:tcW w:w="367" w:type="pct"/>
            <w:tcBorders>
              <w:tl2br w:val="nil"/>
              <w:tr2bl w:val="nil"/>
            </w:tcBorders>
            <w:noWrap w:val="0"/>
            <w:vAlign w:val="top"/>
          </w:tcPr>
          <w:p w14:paraId="61E1C7D1">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w w:val="85"/>
                <w:sz w:val="21"/>
                <w:szCs w:val="21"/>
              </w:rPr>
              <w:t>+</w:t>
            </w:r>
          </w:p>
        </w:tc>
        <w:tc>
          <w:tcPr>
            <w:tcW w:w="334" w:type="pct"/>
            <w:tcBorders>
              <w:tl2br w:val="nil"/>
              <w:tr2bl w:val="nil"/>
            </w:tcBorders>
            <w:noWrap w:val="0"/>
            <w:vAlign w:val="top"/>
          </w:tcPr>
          <w:p w14:paraId="3B1DB416">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w w:val="85"/>
                <w:sz w:val="21"/>
                <w:szCs w:val="21"/>
              </w:rPr>
              <w:t>+</w:t>
            </w:r>
          </w:p>
        </w:tc>
        <w:tc>
          <w:tcPr>
            <w:tcW w:w="378" w:type="pct"/>
            <w:tcBorders>
              <w:tl2br w:val="nil"/>
              <w:tr2bl w:val="nil"/>
            </w:tcBorders>
            <w:noWrap w:val="0"/>
            <w:vAlign w:val="top"/>
          </w:tcPr>
          <w:p w14:paraId="19CB74C4">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w w:val="85"/>
                <w:sz w:val="21"/>
                <w:szCs w:val="21"/>
              </w:rPr>
              <w:t>+</w:t>
            </w:r>
          </w:p>
        </w:tc>
        <w:tc>
          <w:tcPr>
            <w:tcW w:w="406" w:type="pct"/>
            <w:tcBorders>
              <w:tl2br w:val="nil"/>
              <w:tr2bl w:val="nil"/>
            </w:tcBorders>
            <w:noWrap w:val="0"/>
            <w:vAlign w:val="top"/>
          </w:tcPr>
          <w:p w14:paraId="58D19555">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position w:val="-2"/>
                <w:sz w:val="21"/>
                <w:szCs w:val="21"/>
              </w:rPr>
              <w:t>〇</w:t>
            </w:r>
          </w:p>
        </w:tc>
        <w:tc>
          <w:tcPr>
            <w:tcW w:w="362" w:type="pct"/>
            <w:tcBorders>
              <w:tl2br w:val="nil"/>
              <w:tr2bl w:val="nil"/>
            </w:tcBorders>
            <w:noWrap w:val="0"/>
            <w:vAlign w:val="top"/>
          </w:tcPr>
          <w:p w14:paraId="62D071BE">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w w:val="85"/>
                <w:sz w:val="21"/>
                <w:szCs w:val="21"/>
              </w:rPr>
              <w:t>+</w:t>
            </w:r>
          </w:p>
        </w:tc>
        <w:tc>
          <w:tcPr>
            <w:tcW w:w="303" w:type="pct"/>
            <w:tcBorders>
              <w:tl2br w:val="nil"/>
              <w:tr2bl w:val="nil"/>
            </w:tcBorders>
            <w:noWrap w:val="0"/>
            <w:vAlign w:val="top"/>
          </w:tcPr>
          <w:p w14:paraId="0F67C9E5">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p>
        </w:tc>
        <w:tc>
          <w:tcPr>
            <w:tcW w:w="439" w:type="pct"/>
            <w:tcBorders>
              <w:tl2br w:val="nil"/>
              <w:tr2bl w:val="nil"/>
            </w:tcBorders>
            <w:noWrap w:val="0"/>
            <w:vAlign w:val="top"/>
          </w:tcPr>
          <w:p w14:paraId="3EDD7DD4">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w w:val="85"/>
                <w:sz w:val="21"/>
                <w:szCs w:val="21"/>
              </w:rPr>
              <w:t>+</w:t>
            </w:r>
          </w:p>
        </w:tc>
        <w:tc>
          <w:tcPr>
            <w:tcW w:w="267" w:type="pct"/>
            <w:tcBorders>
              <w:tl2br w:val="nil"/>
              <w:tr2bl w:val="nil"/>
            </w:tcBorders>
            <w:noWrap w:val="0"/>
            <w:vAlign w:val="top"/>
          </w:tcPr>
          <w:p w14:paraId="47BDE015">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position w:val="-2"/>
                <w:sz w:val="21"/>
                <w:szCs w:val="21"/>
              </w:rPr>
              <w:t>〇</w:t>
            </w:r>
          </w:p>
        </w:tc>
        <w:tc>
          <w:tcPr>
            <w:tcW w:w="477" w:type="pct"/>
            <w:tcBorders>
              <w:tl2br w:val="nil"/>
              <w:tr2bl w:val="nil"/>
            </w:tcBorders>
            <w:noWrap w:val="0"/>
            <w:vAlign w:val="top"/>
          </w:tcPr>
          <w:p w14:paraId="0B17FE75">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w w:val="85"/>
                <w:sz w:val="21"/>
                <w:szCs w:val="21"/>
              </w:rPr>
              <w:t>++</w:t>
            </w:r>
          </w:p>
        </w:tc>
        <w:tc>
          <w:tcPr>
            <w:tcW w:w="227" w:type="pct"/>
            <w:tcBorders>
              <w:tl2br w:val="nil"/>
              <w:tr2bl w:val="nil"/>
            </w:tcBorders>
            <w:noWrap w:val="0"/>
            <w:vAlign w:val="top"/>
          </w:tcPr>
          <w:p w14:paraId="67ABB6C1">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w w:val="85"/>
                <w:sz w:val="21"/>
                <w:szCs w:val="21"/>
              </w:rPr>
              <w:t>+</w:t>
            </w:r>
          </w:p>
        </w:tc>
        <w:tc>
          <w:tcPr>
            <w:tcW w:w="518" w:type="pct"/>
            <w:tcBorders>
              <w:tl2br w:val="nil"/>
              <w:tr2bl w:val="nil"/>
            </w:tcBorders>
            <w:noWrap w:val="0"/>
            <w:vAlign w:val="top"/>
          </w:tcPr>
          <w:p w14:paraId="53828848">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w w:val="85"/>
                <w:sz w:val="21"/>
                <w:szCs w:val="21"/>
              </w:rPr>
              <w:t>+</w:t>
            </w:r>
          </w:p>
        </w:tc>
        <w:tc>
          <w:tcPr>
            <w:tcW w:w="208" w:type="pct"/>
            <w:tcBorders>
              <w:tl2br w:val="nil"/>
              <w:tr2bl w:val="nil"/>
            </w:tcBorders>
            <w:noWrap w:val="0"/>
            <w:vAlign w:val="top"/>
          </w:tcPr>
          <w:p w14:paraId="0BB0BEAB">
            <w:pPr>
              <w:pStyle w:val="81"/>
              <w:keepNext w:val="0"/>
              <w:keepLines w:val="0"/>
              <w:pageBreakBefore w:val="0"/>
              <w:kinsoku/>
              <w:wordWrap/>
              <w:topLinePunct w:val="0"/>
              <w:bidi w:val="0"/>
              <w:spacing w:line="400" w:lineRule="exact"/>
              <w:rPr>
                <w:color w:val="auto"/>
                <w:w w:val="85"/>
                <w:sz w:val="21"/>
                <w:szCs w:val="21"/>
                <w:highlight w:val="yellow"/>
              </w:rPr>
            </w:pPr>
            <w:r>
              <w:rPr>
                <w:color w:val="auto"/>
                <w:w w:val="85"/>
                <w:sz w:val="21"/>
                <w:szCs w:val="21"/>
              </w:rPr>
              <w:t>+</w:t>
            </w:r>
          </w:p>
        </w:tc>
      </w:tr>
      <w:tr w14:paraId="330DFD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391" w:type="pct"/>
            <w:tcBorders>
              <w:tl2br w:val="nil"/>
              <w:tr2bl w:val="nil"/>
            </w:tcBorders>
            <w:noWrap w:val="0"/>
            <w:vAlign w:val="center"/>
          </w:tcPr>
          <w:p w14:paraId="322086BC">
            <w:pPr>
              <w:keepNext w:val="0"/>
              <w:keepLines w:val="0"/>
              <w:pageBreakBefore w:val="0"/>
              <w:kinsoku/>
              <w:wordWrap/>
              <w:topLinePunct w:val="0"/>
              <w:bidi w:val="0"/>
              <w:snapToGrid w:val="0"/>
              <w:spacing w:line="400" w:lineRule="exact"/>
              <w:jc w:val="center"/>
              <w:rPr>
                <w:rFonts w:ascii="Calibri" w:hAnsi="Calibri" w:eastAsia="宋体" w:cs="Times New Roman"/>
                <w:color w:val="auto"/>
                <w:kern w:val="2"/>
                <w:sz w:val="21"/>
                <w:szCs w:val="21"/>
                <w:lang w:val="en-US" w:eastAsia="zh-CN" w:bidi="ar-SA"/>
              </w:rPr>
            </w:pPr>
            <w:r>
              <w:rPr>
                <w:color w:val="auto"/>
                <w:sz w:val="21"/>
                <w:szCs w:val="21"/>
              </w:rPr>
              <w:t>陆</w:t>
            </w:r>
            <w:r>
              <w:rPr>
                <w:rFonts w:hint="eastAsia"/>
                <w:color w:val="auto"/>
                <w:sz w:val="21"/>
                <w:szCs w:val="21"/>
                <w:lang w:val="en-US" w:eastAsia="zh-CN"/>
              </w:rPr>
              <w:t>生</w:t>
            </w:r>
            <w:r>
              <w:rPr>
                <w:color w:val="auto"/>
                <w:sz w:val="21"/>
                <w:szCs w:val="21"/>
              </w:rPr>
              <w:t>动物</w:t>
            </w:r>
          </w:p>
        </w:tc>
        <w:tc>
          <w:tcPr>
            <w:tcW w:w="318" w:type="pct"/>
            <w:tcBorders>
              <w:tl2br w:val="nil"/>
              <w:tr2bl w:val="nil"/>
            </w:tcBorders>
            <w:noWrap w:val="0"/>
            <w:vAlign w:val="top"/>
          </w:tcPr>
          <w:p w14:paraId="2E4FD884">
            <w:pPr>
              <w:pStyle w:val="81"/>
              <w:keepNext w:val="0"/>
              <w:keepLines w:val="0"/>
              <w:pageBreakBefore w:val="0"/>
              <w:kinsoku/>
              <w:wordWrap/>
              <w:topLinePunct w:val="0"/>
              <w:bidi w:val="0"/>
              <w:spacing w:line="400" w:lineRule="exact"/>
              <w:rPr>
                <w:rFonts w:hint="eastAsia" w:ascii="Calibri" w:hAnsi="Calibri" w:eastAsia="宋体" w:cs="Times New Roman"/>
                <w:color w:val="auto"/>
                <w:kern w:val="2"/>
                <w:sz w:val="21"/>
                <w:szCs w:val="21"/>
                <w:lang w:val="en-US" w:eastAsia="zh-CN" w:bidi="ar-SA"/>
              </w:rPr>
            </w:pPr>
            <w:r>
              <w:rPr>
                <w:color w:val="auto"/>
                <w:w w:val="85"/>
                <w:sz w:val="21"/>
                <w:szCs w:val="21"/>
              </w:rPr>
              <w:t>+</w:t>
            </w:r>
            <w:r>
              <w:rPr>
                <w:rFonts w:hint="eastAsia"/>
                <w:color w:val="auto"/>
                <w:w w:val="85"/>
                <w:sz w:val="21"/>
                <w:szCs w:val="21"/>
                <w:lang w:val="en-US" w:eastAsia="zh-CN"/>
              </w:rPr>
              <w:t>+</w:t>
            </w:r>
          </w:p>
        </w:tc>
        <w:tc>
          <w:tcPr>
            <w:tcW w:w="367" w:type="pct"/>
            <w:tcBorders>
              <w:tl2br w:val="nil"/>
              <w:tr2bl w:val="nil"/>
            </w:tcBorders>
            <w:noWrap w:val="0"/>
            <w:vAlign w:val="top"/>
          </w:tcPr>
          <w:p w14:paraId="20F8D751">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w w:val="85"/>
                <w:sz w:val="21"/>
                <w:szCs w:val="21"/>
              </w:rPr>
              <w:t>+</w:t>
            </w:r>
          </w:p>
        </w:tc>
        <w:tc>
          <w:tcPr>
            <w:tcW w:w="334" w:type="pct"/>
            <w:tcBorders>
              <w:tl2br w:val="nil"/>
              <w:tr2bl w:val="nil"/>
            </w:tcBorders>
            <w:noWrap w:val="0"/>
            <w:vAlign w:val="top"/>
          </w:tcPr>
          <w:p w14:paraId="78DE90E3">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position w:val="-2"/>
                <w:sz w:val="21"/>
                <w:szCs w:val="21"/>
              </w:rPr>
              <w:t>〇</w:t>
            </w:r>
          </w:p>
        </w:tc>
        <w:tc>
          <w:tcPr>
            <w:tcW w:w="378" w:type="pct"/>
            <w:tcBorders>
              <w:tl2br w:val="nil"/>
              <w:tr2bl w:val="nil"/>
            </w:tcBorders>
            <w:noWrap w:val="0"/>
            <w:vAlign w:val="top"/>
          </w:tcPr>
          <w:p w14:paraId="2378D53C">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w w:val="85"/>
                <w:sz w:val="21"/>
                <w:szCs w:val="21"/>
              </w:rPr>
              <w:t>+</w:t>
            </w:r>
          </w:p>
        </w:tc>
        <w:tc>
          <w:tcPr>
            <w:tcW w:w="406" w:type="pct"/>
            <w:tcBorders>
              <w:tl2br w:val="nil"/>
              <w:tr2bl w:val="nil"/>
            </w:tcBorders>
            <w:noWrap w:val="0"/>
            <w:vAlign w:val="top"/>
          </w:tcPr>
          <w:p w14:paraId="6854B58F">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w w:val="85"/>
                <w:sz w:val="21"/>
                <w:szCs w:val="21"/>
              </w:rPr>
              <w:t>+</w:t>
            </w:r>
          </w:p>
        </w:tc>
        <w:tc>
          <w:tcPr>
            <w:tcW w:w="362" w:type="pct"/>
            <w:tcBorders>
              <w:tl2br w:val="nil"/>
              <w:tr2bl w:val="nil"/>
            </w:tcBorders>
            <w:noWrap w:val="0"/>
            <w:vAlign w:val="top"/>
          </w:tcPr>
          <w:p w14:paraId="508434E4">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w w:val="85"/>
                <w:sz w:val="21"/>
                <w:szCs w:val="21"/>
              </w:rPr>
              <w:t>++</w:t>
            </w:r>
          </w:p>
        </w:tc>
        <w:tc>
          <w:tcPr>
            <w:tcW w:w="303" w:type="pct"/>
            <w:tcBorders>
              <w:tl2br w:val="nil"/>
              <w:tr2bl w:val="nil"/>
            </w:tcBorders>
            <w:noWrap w:val="0"/>
            <w:vAlign w:val="top"/>
          </w:tcPr>
          <w:p w14:paraId="1AE4F406">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p>
        </w:tc>
        <w:tc>
          <w:tcPr>
            <w:tcW w:w="439" w:type="pct"/>
            <w:tcBorders>
              <w:tl2br w:val="nil"/>
              <w:tr2bl w:val="nil"/>
            </w:tcBorders>
            <w:noWrap w:val="0"/>
            <w:vAlign w:val="top"/>
          </w:tcPr>
          <w:p w14:paraId="3BC6CAA3">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w w:val="85"/>
                <w:sz w:val="21"/>
                <w:szCs w:val="21"/>
              </w:rPr>
              <w:t>+</w:t>
            </w:r>
          </w:p>
        </w:tc>
        <w:tc>
          <w:tcPr>
            <w:tcW w:w="267" w:type="pct"/>
            <w:tcBorders>
              <w:tl2br w:val="nil"/>
              <w:tr2bl w:val="nil"/>
            </w:tcBorders>
            <w:noWrap w:val="0"/>
            <w:vAlign w:val="top"/>
          </w:tcPr>
          <w:p w14:paraId="6460F601">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w w:val="85"/>
                <w:sz w:val="21"/>
                <w:szCs w:val="21"/>
              </w:rPr>
              <w:t>+</w:t>
            </w:r>
          </w:p>
        </w:tc>
        <w:tc>
          <w:tcPr>
            <w:tcW w:w="477" w:type="pct"/>
            <w:tcBorders>
              <w:tl2br w:val="nil"/>
              <w:tr2bl w:val="nil"/>
            </w:tcBorders>
            <w:noWrap w:val="0"/>
            <w:vAlign w:val="top"/>
          </w:tcPr>
          <w:p w14:paraId="4F483D1F">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w w:val="85"/>
                <w:sz w:val="21"/>
                <w:szCs w:val="21"/>
              </w:rPr>
              <w:t>+</w:t>
            </w:r>
          </w:p>
        </w:tc>
        <w:tc>
          <w:tcPr>
            <w:tcW w:w="227" w:type="pct"/>
            <w:tcBorders>
              <w:tl2br w:val="nil"/>
              <w:tr2bl w:val="nil"/>
            </w:tcBorders>
            <w:noWrap w:val="0"/>
            <w:vAlign w:val="top"/>
          </w:tcPr>
          <w:p w14:paraId="17789228">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w w:val="85"/>
                <w:sz w:val="21"/>
                <w:szCs w:val="21"/>
              </w:rPr>
              <w:t>+</w:t>
            </w:r>
          </w:p>
        </w:tc>
        <w:tc>
          <w:tcPr>
            <w:tcW w:w="518" w:type="pct"/>
            <w:tcBorders>
              <w:tl2br w:val="nil"/>
              <w:tr2bl w:val="nil"/>
            </w:tcBorders>
            <w:noWrap w:val="0"/>
            <w:vAlign w:val="top"/>
          </w:tcPr>
          <w:p w14:paraId="4685C430">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w w:val="85"/>
                <w:sz w:val="21"/>
                <w:szCs w:val="21"/>
              </w:rPr>
              <w:t>+</w:t>
            </w:r>
          </w:p>
        </w:tc>
        <w:tc>
          <w:tcPr>
            <w:tcW w:w="208" w:type="pct"/>
            <w:tcBorders>
              <w:tl2br w:val="nil"/>
              <w:tr2bl w:val="nil"/>
            </w:tcBorders>
            <w:noWrap w:val="0"/>
            <w:vAlign w:val="top"/>
          </w:tcPr>
          <w:p w14:paraId="1F01C8AC">
            <w:pPr>
              <w:pStyle w:val="81"/>
              <w:keepNext w:val="0"/>
              <w:keepLines w:val="0"/>
              <w:pageBreakBefore w:val="0"/>
              <w:kinsoku/>
              <w:wordWrap/>
              <w:topLinePunct w:val="0"/>
              <w:bidi w:val="0"/>
              <w:spacing w:line="400" w:lineRule="exact"/>
              <w:rPr>
                <w:color w:val="auto"/>
                <w:w w:val="85"/>
                <w:sz w:val="21"/>
                <w:szCs w:val="21"/>
                <w:highlight w:val="yellow"/>
              </w:rPr>
            </w:pPr>
            <w:r>
              <w:rPr>
                <w:color w:val="auto"/>
                <w:w w:val="85"/>
                <w:sz w:val="21"/>
                <w:szCs w:val="21"/>
              </w:rPr>
              <w:t>+</w:t>
            </w:r>
          </w:p>
        </w:tc>
      </w:tr>
      <w:tr w14:paraId="01BFE8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391" w:type="pct"/>
            <w:tcBorders>
              <w:tl2br w:val="nil"/>
              <w:tr2bl w:val="nil"/>
            </w:tcBorders>
            <w:noWrap w:val="0"/>
            <w:vAlign w:val="center"/>
          </w:tcPr>
          <w:p w14:paraId="059DC589">
            <w:pPr>
              <w:keepNext w:val="0"/>
              <w:keepLines w:val="0"/>
              <w:pageBreakBefore w:val="0"/>
              <w:kinsoku/>
              <w:wordWrap/>
              <w:topLinePunct w:val="0"/>
              <w:bidi w:val="0"/>
              <w:snapToGrid w:val="0"/>
              <w:spacing w:line="400" w:lineRule="exact"/>
              <w:jc w:val="center"/>
              <w:rPr>
                <w:rFonts w:ascii="Calibri" w:hAnsi="Calibri" w:eastAsia="宋体" w:cs="Times New Roman"/>
                <w:color w:val="auto"/>
                <w:kern w:val="2"/>
                <w:sz w:val="21"/>
                <w:szCs w:val="21"/>
                <w:lang w:val="en-US" w:eastAsia="zh-CN" w:bidi="ar-SA"/>
              </w:rPr>
            </w:pPr>
            <w:r>
              <w:rPr>
                <w:color w:val="auto"/>
                <w:sz w:val="21"/>
                <w:szCs w:val="21"/>
              </w:rPr>
              <w:t>陆生植被</w:t>
            </w:r>
          </w:p>
        </w:tc>
        <w:tc>
          <w:tcPr>
            <w:tcW w:w="318" w:type="pct"/>
            <w:tcBorders>
              <w:tl2br w:val="nil"/>
              <w:tr2bl w:val="nil"/>
            </w:tcBorders>
            <w:noWrap w:val="0"/>
            <w:vAlign w:val="top"/>
          </w:tcPr>
          <w:p w14:paraId="43819F1C">
            <w:pPr>
              <w:pStyle w:val="81"/>
              <w:keepNext w:val="0"/>
              <w:keepLines w:val="0"/>
              <w:pageBreakBefore w:val="0"/>
              <w:kinsoku/>
              <w:wordWrap/>
              <w:topLinePunct w:val="0"/>
              <w:bidi w:val="0"/>
              <w:spacing w:line="400" w:lineRule="exact"/>
              <w:rPr>
                <w:rFonts w:hint="eastAsia" w:ascii="Calibri" w:hAnsi="Calibri" w:eastAsia="宋体" w:cs="Times New Roman"/>
                <w:color w:val="auto"/>
                <w:kern w:val="2"/>
                <w:sz w:val="21"/>
                <w:szCs w:val="21"/>
                <w:lang w:val="en-US" w:eastAsia="zh-CN" w:bidi="ar-SA"/>
              </w:rPr>
            </w:pPr>
            <w:r>
              <w:rPr>
                <w:color w:val="auto"/>
                <w:w w:val="85"/>
                <w:sz w:val="21"/>
                <w:szCs w:val="21"/>
              </w:rPr>
              <w:t>+</w:t>
            </w:r>
            <w:r>
              <w:rPr>
                <w:rFonts w:hint="eastAsia"/>
                <w:color w:val="auto"/>
                <w:w w:val="85"/>
                <w:sz w:val="21"/>
                <w:szCs w:val="21"/>
                <w:lang w:val="en-US" w:eastAsia="zh-CN"/>
              </w:rPr>
              <w:t>+</w:t>
            </w:r>
          </w:p>
        </w:tc>
        <w:tc>
          <w:tcPr>
            <w:tcW w:w="367" w:type="pct"/>
            <w:tcBorders>
              <w:tl2br w:val="nil"/>
              <w:tr2bl w:val="nil"/>
            </w:tcBorders>
            <w:noWrap w:val="0"/>
            <w:vAlign w:val="top"/>
          </w:tcPr>
          <w:p w14:paraId="6EB4CC07">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w w:val="85"/>
                <w:sz w:val="21"/>
                <w:szCs w:val="21"/>
              </w:rPr>
              <w:t>+</w:t>
            </w:r>
          </w:p>
        </w:tc>
        <w:tc>
          <w:tcPr>
            <w:tcW w:w="334" w:type="pct"/>
            <w:tcBorders>
              <w:tl2br w:val="nil"/>
              <w:tr2bl w:val="nil"/>
            </w:tcBorders>
            <w:noWrap w:val="0"/>
            <w:vAlign w:val="top"/>
          </w:tcPr>
          <w:p w14:paraId="7F4F663E">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w w:val="85"/>
                <w:sz w:val="21"/>
                <w:szCs w:val="21"/>
              </w:rPr>
              <w:t>+</w:t>
            </w:r>
          </w:p>
        </w:tc>
        <w:tc>
          <w:tcPr>
            <w:tcW w:w="378" w:type="pct"/>
            <w:tcBorders>
              <w:tl2br w:val="nil"/>
              <w:tr2bl w:val="nil"/>
            </w:tcBorders>
            <w:noWrap w:val="0"/>
            <w:vAlign w:val="top"/>
          </w:tcPr>
          <w:p w14:paraId="3330EC00">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w w:val="85"/>
                <w:sz w:val="21"/>
                <w:szCs w:val="21"/>
              </w:rPr>
              <w:t>+</w:t>
            </w:r>
          </w:p>
        </w:tc>
        <w:tc>
          <w:tcPr>
            <w:tcW w:w="406" w:type="pct"/>
            <w:tcBorders>
              <w:tl2br w:val="nil"/>
              <w:tr2bl w:val="nil"/>
            </w:tcBorders>
            <w:noWrap w:val="0"/>
            <w:vAlign w:val="top"/>
          </w:tcPr>
          <w:p w14:paraId="76AFFA13">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position w:val="-2"/>
                <w:sz w:val="21"/>
                <w:szCs w:val="21"/>
              </w:rPr>
              <w:t>〇</w:t>
            </w:r>
          </w:p>
        </w:tc>
        <w:tc>
          <w:tcPr>
            <w:tcW w:w="362" w:type="pct"/>
            <w:tcBorders>
              <w:tl2br w:val="nil"/>
              <w:tr2bl w:val="nil"/>
            </w:tcBorders>
            <w:noWrap w:val="0"/>
            <w:vAlign w:val="top"/>
          </w:tcPr>
          <w:p w14:paraId="4254EBF6">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w w:val="85"/>
                <w:sz w:val="21"/>
                <w:szCs w:val="21"/>
              </w:rPr>
              <w:t>+</w:t>
            </w:r>
          </w:p>
        </w:tc>
        <w:tc>
          <w:tcPr>
            <w:tcW w:w="303" w:type="pct"/>
            <w:tcBorders>
              <w:tl2br w:val="nil"/>
              <w:tr2bl w:val="nil"/>
            </w:tcBorders>
            <w:noWrap w:val="0"/>
            <w:vAlign w:val="top"/>
          </w:tcPr>
          <w:p w14:paraId="165ECB4E">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p>
        </w:tc>
        <w:tc>
          <w:tcPr>
            <w:tcW w:w="439" w:type="pct"/>
            <w:tcBorders>
              <w:tl2br w:val="nil"/>
              <w:tr2bl w:val="nil"/>
            </w:tcBorders>
            <w:noWrap w:val="0"/>
            <w:vAlign w:val="top"/>
          </w:tcPr>
          <w:p w14:paraId="64D428FB">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w w:val="85"/>
                <w:sz w:val="21"/>
                <w:szCs w:val="21"/>
              </w:rPr>
              <w:t>+</w:t>
            </w:r>
          </w:p>
        </w:tc>
        <w:tc>
          <w:tcPr>
            <w:tcW w:w="267" w:type="pct"/>
            <w:tcBorders>
              <w:tl2br w:val="nil"/>
              <w:tr2bl w:val="nil"/>
            </w:tcBorders>
            <w:noWrap w:val="0"/>
            <w:vAlign w:val="top"/>
          </w:tcPr>
          <w:p w14:paraId="189AC6DF">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position w:val="-2"/>
                <w:sz w:val="21"/>
                <w:szCs w:val="21"/>
              </w:rPr>
              <w:t>〇</w:t>
            </w:r>
          </w:p>
        </w:tc>
        <w:tc>
          <w:tcPr>
            <w:tcW w:w="477" w:type="pct"/>
            <w:tcBorders>
              <w:tl2br w:val="nil"/>
              <w:tr2bl w:val="nil"/>
            </w:tcBorders>
            <w:noWrap w:val="0"/>
            <w:vAlign w:val="top"/>
          </w:tcPr>
          <w:p w14:paraId="26B5CC33">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w w:val="85"/>
                <w:sz w:val="21"/>
                <w:szCs w:val="21"/>
              </w:rPr>
              <w:t>++</w:t>
            </w:r>
          </w:p>
        </w:tc>
        <w:tc>
          <w:tcPr>
            <w:tcW w:w="227" w:type="pct"/>
            <w:tcBorders>
              <w:tl2br w:val="nil"/>
              <w:tr2bl w:val="nil"/>
            </w:tcBorders>
            <w:noWrap w:val="0"/>
            <w:vAlign w:val="top"/>
          </w:tcPr>
          <w:p w14:paraId="7302665F">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w w:val="85"/>
                <w:sz w:val="21"/>
                <w:szCs w:val="21"/>
              </w:rPr>
              <w:t>+</w:t>
            </w:r>
          </w:p>
        </w:tc>
        <w:tc>
          <w:tcPr>
            <w:tcW w:w="518" w:type="pct"/>
            <w:tcBorders>
              <w:tl2br w:val="nil"/>
              <w:tr2bl w:val="nil"/>
            </w:tcBorders>
            <w:noWrap w:val="0"/>
            <w:vAlign w:val="top"/>
          </w:tcPr>
          <w:p w14:paraId="759D34A0">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w w:val="85"/>
                <w:sz w:val="21"/>
                <w:szCs w:val="21"/>
              </w:rPr>
              <w:t>+</w:t>
            </w:r>
          </w:p>
        </w:tc>
        <w:tc>
          <w:tcPr>
            <w:tcW w:w="208" w:type="pct"/>
            <w:tcBorders>
              <w:tl2br w:val="nil"/>
              <w:tr2bl w:val="nil"/>
            </w:tcBorders>
            <w:noWrap w:val="0"/>
            <w:vAlign w:val="top"/>
          </w:tcPr>
          <w:p w14:paraId="4F8437DB">
            <w:pPr>
              <w:pStyle w:val="81"/>
              <w:keepNext w:val="0"/>
              <w:keepLines w:val="0"/>
              <w:pageBreakBefore w:val="0"/>
              <w:kinsoku/>
              <w:wordWrap/>
              <w:topLinePunct w:val="0"/>
              <w:bidi w:val="0"/>
              <w:spacing w:line="400" w:lineRule="exact"/>
              <w:rPr>
                <w:color w:val="auto"/>
                <w:w w:val="85"/>
                <w:sz w:val="21"/>
                <w:szCs w:val="21"/>
                <w:highlight w:val="yellow"/>
              </w:rPr>
            </w:pPr>
            <w:r>
              <w:rPr>
                <w:color w:val="auto"/>
                <w:w w:val="85"/>
                <w:sz w:val="21"/>
                <w:szCs w:val="21"/>
              </w:rPr>
              <w:t>+</w:t>
            </w:r>
          </w:p>
        </w:tc>
      </w:tr>
      <w:tr w14:paraId="7A3FC4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391" w:type="pct"/>
            <w:tcBorders>
              <w:tl2br w:val="nil"/>
              <w:tr2bl w:val="nil"/>
            </w:tcBorders>
            <w:noWrap w:val="0"/>
            <w:vAlign w:val="center"/>
          </w:tcPr>
          <w:p w14:paraId="5A32F9E6">
            <w:pPr>
              <w:keepNext w:val="0"/>
              <w:keepLines w:val="0"/>
              <w:pageBreakBefore w:val="0"/>
              <w:kinsoku/>
              <w:wordWrap/>
              <w:topLinePunct w:val="0"/>
              <w:bidi w:val="0"/>
              <w:snapToGrid w:val="0"/>
              <w:spacing w:line="400" w:lineRule="exact"/>
              <w:jc w:val="center"/>
              <w:rPr>
                <w:rFonts w:ascii="Calibri" w:hAnsi="Calibri" w:eastAsia="宋体" w:cs="Times New Roman"/>
                <w:color w:val="auto"/>
                <w:kern w:val="2"/>
                <w:sz w:val="21"/>
                <w:szCs w:val="21"/>
                <w:lang w:val="en-US" w:eastAsia="zh-CN" w:bidi="ar-SA"/>
              </w:rPr>
            </w:pPr>
            <w:r>
              <w:rPr>
                <w:color w:val="auto"/>
                <w:sz w:val="21"/>
                <w:szCs w:val="21"/>
              </w:rPr>
              <w:t>水土流失</w:t>
            </w:r>
          </w:p>
        </w:tc>
        <w:tc>
          <w:tcPr>
            <w:tcW w:w="318" w:type="pct"/>
            <w:tcBorders>
              <w:tl2br w:val="nil"/>
              <w:tr2bl w:val="nil"/>
            </w:tcBorders>
            <w:noWrap w:val="0"/>
            <w:vAlign w:val="top"/>
          </w:tcPr>
          <w:p w14:paraId="364826DE">
            <w:pPr>
              <w:pStyle w:val="81"/>
              <w:keepNext w:val="0"/>
              <w:keepLines w:val="0"/>
              <w:pageBreakBefore w:val="0"/>
              <w:kinsoku/>
              <w:wordWrap/>
              <w:topLinePunct w:val="0"/>
              <w:bidi w:val="0"/>
              <w:spacing w:line="400" w:lineRule="exact"/>
              <w:rPr>
                <w:color w:val="auto"/>
                <w:w w:val="85"/>
                <w:sz w:val="21"/>
                <w:szCs w:val="21"/>
                <w:highlight w:val="yellow"/>
              </w:rPr>
            </w:pPr>
            <w:r>
              <w:rPr>
                <w:color w:val="auto"/>
                <w:w w:val="85"/>
                <w:sz w:val="21"/>
                <w:szCs w:val="21"/>
              </w:rPr>
              <w:t>++</w:t>
            </w:r>
          </w:p>
        </w:tc>
        <w:tc>
          <w:tcPr>
            <w:tcW w:w="367" w:type="pct"/>
            <w:tcBorders>
              <w:tl2br w:val="nil"/>
              <w:tr2bl w:val="nil"/>
            </w:tcBorders>
            <w:noWrap w:val="0"/>
            <w:vAlign w:val="top"/>
          </w:tcPr>
          <w:p w14:paraId="0C1E6C23">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w w:val="85"/>
                <w:sz w:val="21"/>
                <w:szCs w:val="21"/>
              </w:rPr>
              <w:t>+</w:t>
            </w:r>
          </w:p>
        </w:tc>
        <w:tc>
          <w:tcPr>
            <w:tcW w:w="334" w:type="pct"/>
            <w:tcBorders>
              <w:tl2br w:val="nil"/>
              <w:tr2bl w:val="nil"/>
            </w:tcBorders>
            <w:noWrap w:val="0"/>
            <w:vAlign w:val="top"/>
          </w:tcPr>
          <w:p w14:paraId="716D513F">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w w:val="85"/>
                <w:sz w:val="21"/>
                <w:szCs w:val="21"/>
              </w:rPr>
              <w:t>+</w:t>
            </w:r>
          </w:p>
        </w:tc>
        <w:tc>
          <w:tcPr>
            <w:tcW w:w="378" w:type="pct"/>
            <w:tcBorders>
              <w:tl2br w:val="nil"/>
              <w:tr2bl w:val="nil"/>
            </w:tcBorders>
            <w:noWrap w:val="0"/>
            <w:vAlign w:val="top"/>
          </w:tcPr>
          <w:p w14:paraId="2ABDE7AA">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w w:val="85"/>
                <w:sz w:val="21"/>
                <w:szCs w:val="21"/>
              </w:rPr>
              <w:t>+</w:t>
            </w:r>
          </w:p>
        </w:tc>
        <w:tc>
          <w:tcPr>
            <w:tcW w:w="406" w:type="pct"/>
            <w:tcBorders>
              <w:tl2br w:val="nil"/>
              <w:tr2bl w:val="nil"/>
            </w:tcBorders>
            <w:noWrap w:val="0"/>
            <w:vAlign w:val="top"/>
          </w:tcPr>
          <w:p w14:paraId="10D4A0FA">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position w:val="-2"/>
                <w:sz w:val="21"/>
                <w:szCs w:val="21"/>
              </w:rPr>
              <w:t>〇</w:t>
            </w:r>
          </w:p>
        </w:tc>
        <w:tc>
          <w:tcPr>
            <w:tcW w:w="362" w:type="pct"/>
            <w:tcBorders>
              <w:tl2br w:val="nil"/>
              <w:tr2bl w:val="nil"/>
            </w:tcBorders>
            <w:noWrap w:val="0"/>
            <w:vAlign w:val="top"/>
          </w:tcPr>
          <w:p w14:paraId="41035350">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w w:val="85"/>
                <w:sz w:val="21"/>
                <w:szCs w:val="21"/>
              </w:rPr>
              <w:t>+</w:t>
            </w:r>
          </w:p>
        </w:tc>
        <w:tc>
          <w:tcPr>
            <w:tcW w:w="303" w:type="pct"/>
            <w:tcBorders>
              <w:tl2br w:val="nil"/>
              <w:tr2bl w:val="nil"/>
            </w:tcBorders>
            <w:noWrap w:val="0"/>
            <w:vAlign w:val="top"/>
          </w:tcPr>
          <w:p w14:paraId="2461F24A">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p>
        </w:tc>
        <w:tc>
          <w:tcPr>
            <w:tcW w:w="439" w:type="pct"/>
            <w:tcBorders>
              <w:tl2br w:val="nil"/>
              <w:tr2bl w:val="nil"/>
            </w:tcBorders>
            <w:noWrap w:val="0"/>
            <w:vAlign w:val="top"/>
          </w:tcPr>
          <w:p w14:paraId="5056447B">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w w:val="85"/>
                <w:sz w:val="21"/>
                <w:szCs w:val="21"/>
              </w:rPr>
              <w:t>+</w:t>
            </w:r>
          </w:p>
        </w:tc>
        <w:tc>
          <w:tcPr>
            <w:tcW w:w="267" w:type="pct"/>
            <w:tcBorders>
              <w:tl2br w:val="nil"/>
              <w:tr2bl w:val="nil"/>
            </w:tcBorders>
            <w:noWrap w:val="0"/>
            <w:vAlign w:val="top"/>
          </w:tcPr>
          <w:p w14:paraId="74E4CD2F">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position w:val="-2"/>
                <w:sz w:val="21"/>
                <w:szCs w:val="21"/>
              </w:rPr>
              <w:t>〇</w:t>
            </w:r>
          </w:p>
        </w:tc>
        <w:tc>
          <w:tcPr>
            <w:tcW w:w="477" w:type="pct"/>
            <w:tcBorders>
              <w:tl2br w:val="nil"/>
              <w:tr2bl w:val="nil"/>
            </w:tcBorders>
            <w:noWrap w:val="0"/>
            <w:vAlign w:val="top"/>
          </w:tcPr>
          <w:p w14:paraId="1D41CF41">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w w:val="85"/>
                <w:sz w:val="21"/>
                <w:szCs w:val="21"/>
              </w:rPr>
              <w:t>++</w:t>
            </w:r>
          </w:p>
        </w:tc>
        <w:tc>
          <w:tcPr>
            <w:tcW w:w="227" w:type="pct"/>
            <w:tcBorders>
              <w:tl2br w:val="nil"/>
              <w:tr2bl w:val="nil"/>
            </w:tcBorders>
            <w:noWrap w:val="0"/>
            <w:vAlign w:val="top"/>
          </w:tcPr>
          <w:p w14:paraId="1DCB71E9">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w w:val="85"/>
                <w:sz w:val="21"/>
                <w:szCs w:val="21"/>
              </w:rPr>
              <w:t>+</w:t>
            </w:r>
          </w:p>
        </w:tc>
        <w:tc>
          <w:tcPr>
            <w:tcW w:w="518" w:type="pct"/>
            <w:tcBorders>
              <w:tl2br w:val="nil"/>
              <w:tr2bl w:val="nil"/>
            </w:tcBorders>
            <w:noWrap w:val="0"/>
            <w:vAlign w:val="top"/>
          </w:tcPr>
          <w:p w14:paraId="1823FBBB">
            <w:pPr>
              <w:pStyle w:val="81"/>
              <w:keepNext w:val="0"/>
              <w:keepLines w:val="0"/>
              <w:pageBreakBefore w:val="0"/>
              <w:kinsoku/>
              <w:wordWrap/>
              <w:topLinePunct w:val="0"/>
              <w:bidi w:val="0"/>
              <w:spacing w:line="400" w:lineRule="exact"/>
              <w:rPr>
                <w:rFonts w:ascii="Calibri" w:hAnsi="Calibri" w:eastAsia="宋体" w:cs="Times New Roman"/>
                <w:color w:val="auto"/>
                <w:kern w:val="2"/>
                <w:sz w:val="21"/>
                <w:szCs w:val="21"/>
                <w:lang w:val="en-US" w:eastAsia="zh-CN" w:bidi="ar-SA"/>
              </w:rPr>
            </w:pPr>
            <w:r>
              <w:rPr>
                <w:color w:val="auto"/>
                <w:w w:val="85"/>
                <w:sz w:val="21"/>
                <w:szCs w:val="21"/>
              </w:rPr>
              <w:t>+</w:t>
            </w:r>
          </w:p>
        </w:tc>
        <w:tc>
          <w:tcPr>
            <w:tcW w:w="208" w:type="pct"/>
            <w:tcBorders>
              <w:tl2br w:val="nil"/>
              <w:tr2bl w:val="nil"/>
            </w:tcBorders>
            <w:noWrap w:val="0"/>
            <w:vAlign w:val="top"/>
          </w:tcPr>
          <w:p w14:paraId="5F7134C7">
            <w:pPr>
              <w:pStyle w:val="81"/>
              <w:keepNext w:val="0"/>
              <w:keepLines w:val="0"/>
              <w:pageBreakBefore w:val="0"/>
              <w:kinsoku/>
              <w:wordWrap/>
              <w:topLinePunct w:val="0"/>
              <w:bidi w:val="0"/>
              <w:spacing w:line="400" w:lineRule="exact"/>
              <w:rPr>
                <w:rFonts w:ascii="Calibri" w:hAnsi="Calibri" w:eastAsia="宋体" w:cs="Times New Roman"/>
                <w:color w:val="auto"/>
                <w:w w:val="85"/>
                <w:kern w:val="2"/>
                <w:sz w:val="21"/>
                <w:szCs w:val="21"/>
                <w:highlight w:val="yellow"/>
                <w:lang w:val="en-US" w:eastAsia="zh-CN" w:bidi="ar-SA"/>
              </w:rPr>
            </w:pPr>
            <w:r>
              <w:rPr>
                <w:color w:val="auto"/>
                <w:w w:val="85"/>
                <w:sz w:val="21"/>
                <w:szCs w:val="21"/>
              </w:rPr>
              <w:t>+</w:t>
            </w:r>
          </w:p>
        </w:tc>
      </w:tr>
      <w:tr w14:paraId="58F312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391" w:type="pct"/>
            <w:tcBorders>
              <w:tl2br w:val="nil"/>
              <w:tr2bl w:val="nil"/>
            </w:tcBorders>
            <w:noWrap w:val="0"/>
            <w:vAlign w:val="center"/>
          </w:tcPr>
          <w:p w14:paraId="782264B3">
            <w:pPr>
              <w:keepNext w:val="0"/>
              <w:keepLines w:val="0"/>
              <w:pageBreakBefore w:val="0"/>
              <w:kinsoku/>
              <w:wordWrap/>
              <w:topLinePunct w:val="0"/>
              <w:bidi w:val="0"/>
              <w:snapToGrid w:val="0"/>
              <w:spacing w:line="400" w:lineRule="exact"/>
              <w:jc w:val="center"/>
              <w:rPr>
                <w:rFonts w:hint="default" w:ascii="Calibri" w:hAnsi="Calibri" w:eastAsia="宋体" w:cs="Times New Roman"/>
                <w:color w:val="auto"/>
                <w:kern w:val="2"/>
                <w:sz w:val="21"/>
                <w:szCs w:val="21"/>
                <w:lang w:val="en-US" w:eastAsia="zh-CN" w:bidi="ar-SA"/>
              </w:rPr>
            </w:pPr>
            <w:r>
              <w:rPr>
                <w:rFonts w:hint="eastAsia"/>
                <w:color w:val="auto"/>
                <w:sz w:val="21"/>
                <w:szCs w:val="21"/>
                <w:lang w:val="en-US" w:eastAsia="zh-CN"/>
              </w:rPr>
              <w:t>生态敏感区</w:t>
            </w:r>
          </w:p>
        </w:tc>
        <w:tc>
          <w:tcPr>
            <w:tcW w:w="318" w:type="pct"/>
            <w:tcBorders>
              <w:tl2br w:val="nil"/>
              <w:tr2bl w:val="nil"/>
            </w:tcBorders>
            <w:noWrap w:val="0"/>
            <w:vAlign w:val="top"/>
          </w:tcPr>
          <w:p w14:paraId="1B375BBB">
            <w:pPr>
              <w:pStyle w:val="81"/>
              <w:keepNext w:val="0"/>
              <w:keepLines w:val="0"/>
              <w:pageBreakBefore w:val="0"/>
              <w:kinsoku/>
              <w:wordWrap/>
              <w:topLinePunct w:val="0"/>
              <w:bidi w:val="0"/>
              <w:spacing w:line="400" w:lineRule="exact"/>
              <w:rPr>
                <w:color w:val="auto"/>
                <w:w w:val="85"/>
                <w:sz w:val="21"/>
                <w:szCs w:val="21"/>
                <w:highlight w:val="yellow"/>
              </w:rPr>
            </w:pPr>
          </w:p>
        </w:tc>
        <w:tc>
          <w:tcPr>
            <w:tcW w:w="367" w:type="pct"/>
            <w:tcBorders>
              <w:tl2br w:val="nil"/>
              <w:tr2bl w:val="nil"/>
            </w:tcBorders>
            <w:noWrap w:val="0"/>
            <w:vAlign w:val="top"/>
          </w:tcPr>
          <w:p w14:paraId="552C54D4">
            <w:pPr>
              <w:pStyle w:val="81"/>
              <w:keepNext w:val="0"/>
              <w:keepLines w:val="0"/>
              <w:pageBreakBefore w:val="0"/>
              <w:kinsoku/>
              <w:wordWrap/>
              <w:topLinePunct w:val="0"/>
              <w:bidi w:val="0"/>
              <w:spacing w:line="400" w:lineRule="exact"/>
              <w:rPr>
                <w:color w:val="auto"/>
                <w:w w:val="85"/>
                <w:sz w:val="21"/>
                <w:szCs w:val="21"/>
                <w:highlight w:val="yellow"/>
              </w:rPr>
            </w:pPr>
          </w:p>
        </w:tc>
        <w:tc>
          <w:tcPr>
            <w:tcW w:w="334" w:type="pct"/>
            <w:tcBorders>
              <w:tl2br w:val="nil"/>
              <w:tr2bl w:val="nil"/>
            </w:tcBorders>
            <w:noWrap w:val="0"/>
            <w:vAlign w:val="top"/>
          </w:tcPr>
          <w:p w14:paraId="37F19410">
            <w:pPr>
              <w:pStyle w:val="81"/>
              <w:keepNext w:val="0"/>
              <w:keepLines w:val="0"/>
              <w:pageBreakBefore w:val="0"/>
              <w:kinsoku/>
              <w:wordWrap/>
              <w:topLinePunct w:val="0"/>
              <w:bidi w:val="0"/>
              <w:spacing w:line="400" w:lineRule="exact"/>
              <w:rPr>
                <w:color w:val="auto"/>
                <w:position w:val="-2"/>
                <w:sz w:val="21"/>
                <w:szCs w:val="21"/>
                <w:highlight w:val="yellow"/>
              </w:rPr>
            </w:pPr>
          </w:p>
        </w:tc>
        <w:tc>
          <w:tcPr>
            <w:tcW w:w="378" w:type="pct"/>
            <w:tcBorders>
              <w:tl2br w:val="nil"/>
              <w:tr2bl w:val="nil"/>
            </w:tcBorders>
            <w:noWrap w:val="0"/>
            <w:vAlign w:val="top"/>
          </w:tcPr>
          <w:p w14:paraId="7C72BD52">
            <w:pPr>
              <w:pStyle w:val="81"/>
              <w:keepNext w:val="0"/>
              <w:keepLines w:val="0"/>
              <w:pageBreakBefore w:val="0"/>
              <w:kinsoku/>
              <w:wordWrap/>
              <w:topLinePunct w:val="0"/>
              <w:bidi w:val="0"/>
              <w:spacing w:line="400" w:lineRule="exact"/>
              <w:rPr>
                <w:color w:val="auto"/>
                <w:w w:val="85"/>
                <w:sz w:val="21"/>
                <w:szCs w:val="21"/>
                <w:highlight w:val="yellow"/>
              </w:rPr>
            </w:pPr>
          </w:p>
        </w:tc>
        <w:tc>
          <w:tcPr>
            <w:tcW w:w="406" w:type="pct"/>
            <w:tcBorders>
              <w:tl2br w:val="nil"/>
              <w:tr2bl w:val="nil"/>
            </w:tcBorders>
            <w:noWrap w:val="0"/>
            <w:vAlign w:val="top"/>
          </w:tcPr>
          <w:p w14:paraId="7A05DE84">
            <w:pPr>
              <w:pStyle w:val="81"/>
              <w:keepNext w:val="0"/>
              <w:keepLines w:val="0"/>
              <w:pageBreakBefore w:val="0"/>
              <w:kinsoku/>
              <w:wordWrap/>
              <w:topLinePunct w:val="0"/>
              <w:bidi w:val="0"/>
              <w:spacing w:line="400" w:lineRule="exact"/>
              <w:rPr>
                <w:color w:val="auto"/>
                <w:w w:val="85"/>
                <w:sz w:val="21"/>
                <w:szCs w:val="21"/>
                <w:highlight w:val="yellow"/>
              </w:rPr>
            </w:pPr>
          </w:p>
        </w:tc>
        <w:tc>
          <w:tcPr>
            <w:tcW w:w="362" w:type="pct"/>
            <w:tcBorders>
              <w:tl2br w:val="nil"/>
              <w:tr2bl w:val="nil"/>
            </w:tcBorders>
            <w:noWrap w:val="0"/>
            <w:vAlign w:val="top"/>
          </w:tcPr>
          <w:p w14:paraId="436E447F">
            <w:pPr>
              <w:pStyle w:val="81"/>
              <w:keepNext w:val="0"/>
              <w:keepLines w:val="0"/>
              <w:pageBreakBefore w:val="0"/>
              <w:kinsoku/>
              <w:wordWrap/>
              <w:topLinePunct w:val="0"/>
              <w:bidi w:val="0"/>
              <w:spacing w:line="400" w:lineRule="exact"/>
              <w:rPr>
                <w:color w:val="auto"/>
                <w:w w:val="85"/>
                <w:sz w:val="21"/>
                <w:szCs w:val="21"/>
                <w:highlight w:val="yellow"/>
              </w:rPr>
            </w:pPr>
          </w:p>
        </w:tc>
        <w:tc>
          <w:tcPr>
            <w:tcW w:w="303" w:type="pct"/>
            <w:tcBorders>
              <w:tl2br w:val="nil"/>
              <w:tr2bl w:val="nil"/>
            </w:tcBorders>
            <w:noWrap w:val="0"/>
            <w:vAlign w:val="top"/>
          </w:tcPr>
          <w:p w14:paraId="61C7273E">
            <w:pPr>
              <w:pStyle w:val="81"/>
              <w:keepNext w:val="0"/>
              <w:keepLines w:val="0"/>
              <w:pageBreakBefore w:val="0"/>
              <w:kinsoku/>
              <w:wordWrap/>
              <w:topLinePunct w:val="0"/>
              <w:bidi w:val="0"/>
              <w:spacing w:line="400" w:lineRule="exact"/>
              <w:rPr>
                <w:color w:val="auto"/>
                <w:position w:val="-2"/>
                <w:sz w:val="21"/>
                <w:szCs w:val="21"/>
                <w:highlight w:val="yellow"/>
              </w:rPr>
            </w:pPr>
          </w:p>
        </w:tc>
        <w:tc>
          <w:tcPr>
            <w:tcW w:w="439" w:type="pct"/>
            <w:tcBorders>
              <w:tl2br w:val="nil"/>
              <w:tr2bl w:val="nil"/>
            </w:tcBorders>
            <w:noWrap w:val="0"/>
            <w:vAlign w:val="top"/>
          </w:tcPr>
          <w:p w14:paraId="31665C06">
            <w:pPr>
              <w:pStyle w:val="81"/>
              <w:keepNext w:val="0"/>
              <w:keepLines w:val="0"/>
              <w:pageBreakBefore w:val="0"/>
              <w:kinsoku/>
              <w:wordWrap/>
              <w:topLinePunct w:val="0"/>
              <w:bidi w:val="0"/>
              <w:spacing w:line="400" w:lineRule="exact"/>
              <w:rPr>
                <w:color w:val="auto"/>
                <w:w w:val="85"/>
                <w:sz w:val="21"/>
                <w:szCs w:val="21"/>
                <w:highlight w:val="yellow"/>
              </w:rPr>
            </w:pPr>
          </w:p>
        </w:tc>
        <w:tc>
          <w:tcPr>
            <w:tcW w:w="267" w:type="pct"/>
            <w:tcBorders>
              <w:tl2br w:val="nil"/>
              <w:tr2bl w:val="nil"/>
            </w:tcBorders>
            <w:noWrap w:val="0"/>
            <w:vAlign w:val="top"/>
          </w:tcPr>
          <w:p w14:paraId="042AF984">
            <w:pPr>
              <w:pStyle w:val="81"/>
              <w:keepNext w:val="0"/>
              <w:keepLines w:val="0"/>
              <w:pageBreakBefore w:val="0"/>
              <w:kinsoku/>
              <w:wordWrap/>
              <w:topLinePunct w:val="0"/>
              <w:bidi w:val="0"/>
              <w:spacing w:line="400" w:lineRule="exact"/>
              <w:rPr>
                <w:color w:val="auto"/>
                <w:position w:val="-2"/>
                <w:sz w:val="21"/>
                <w:szCs w:val="21"/>
                <w:highlight w:val="yellow"/>
              </w:rPr>
            </w:pPr>
          </w:p>
        </w:tc>
        <w:tc>
          <w:tcPr>
            <w:tcW w:w="477" w:type="pct"/>
            <w:tcBorders>
              <w:tl2br w:val="nil"/>
              <w:tr2bl w:val="nil"/>
            </w:tcBorders>
            <w:noWrap w:val="0"/>
            <w:vAlign w:val="top"/>
          </w:tcPr>
          <w:p w14:paraId="31498E07">
            <w:pPr>
              <w:pStyle w:val="81"/>
              <w:keepNext w:val="0"/>
              <w:keepLines w:val="0"/>
              <w:pageBreakBefore w:val="0"/>
              <w:kinsoku/>
              <w:wordWrap/>
              <w:topLinePunct w:val="0"/>
              <w:bidi w:val="0"/>
              <w:spacing w:line="400" w:lineRule="exact"/>
              <w:rPr>
                <w:color w:val="auto"/>
                <w:w w:val="85"/>
                <w:sz w:val="21"/>
                <w:szCs w:val="21"/>
                <w:highlight w:val="yellow"/>
              </w:rPr>
            </w:pPr>
          </w:p>
        </w:tc>
        <w:tc>
          <w:tcPr>
            <w:tcW w:w="227" w:type="pct"/>
            <w:tcBorders>
              <w:tl2br w:val="nil"/>
              <w:tr2bl w:val="nil"/>
            </w:tcBorders>
            <w:noWrap w:val="0"/>
            <w:vAlign w:val="top"/>
          </w:tcPr>
          <w:p w14:paraId="4AFBE49A">
            <w:pPr>
              <w:pStyle w:val="81"/>
              <w:keepNext w:val="0"/>
              <w:keepLines w:val="0"/>
              <w:pageBreakBefore w:val="0"/>
              <w:kinsoku/>
              <w:wordWrap/>
              <w:topLinePunct w:val="0"/>
              <w:bidi w:val="0"/>
              <w:spacing w:line="400" w:lineRule="exact"/>
              <w:rPr>
                <w:color w:val="auto"/>
                <w:w w:val="85"/>
                <w:sz w:val="21"/>
                <w:szCs w:val="21"/>
                <w:highlight w:val="yellow"/>
              </w:rPr>
            </w:pPr>
          </w:p>
        </w:tc>
        <w:tc>
          <w:tcPr>
            <w:tcW w:w="518" w:type="pct"/>
            <w:tcBorders>
              <w:tl2br w:val="nil"/>
              <w:tr2bl w:val="nil"/>
            </w:tcBorders>
            <w:noWrap w:val="0"/>
            <w:vAlign w:val="top"/>
          </w:tcPr>
          <w:p w14:paraId="1237474B">
            <w:pPr>
              <w:pStyle w:val="81"/>
              <w:keepNext w:val="0"/>
              <w:keepLines w:val="0"/>
              <w:pageBreakBefore w:val="0"/>
              <w:kinsoku/>
              <w:wordWrap/>
              <w:topLinePunct w:val="0"/>
              <w:bidi w:val="0"/>
              <w:spacing w:line="400" w:lineRule="exact"/>
              <w:rPr>
                <w:color w:val="auto"/>
                <w:w w:val="85"/>
                <w:sz w:val="21"/>
                <w:szCs w:val="21"/>
                <w:highlight w:val="yellow"/>
              </w:rPr>
            </w:pPr>
          </w:p>
        </w:tc>
        <w:tc>
          <w:tcPr>
            <w:tcW w:w="208" w:type="pct"/>
            <w:tcBorders>
              <w:tl2br w:val="nil"/>
              <w:tr2bl w:val="nil"/>
            </w:tcBorders>
            <w:noWrap w:val="0"/>
            <w:vAlign w:val="top"/>
          </w:tcPr>
          <w:p w14:paraId="3533E451">
            <w:pPr>
              <w:pStyle w:val="81"/>
              <w:keepNext w:val="0"/>
              <w:keepLines w:val="0"/>
              <w:pageBreakBefore w:val="0"/>
              <w:kinsoku/>
              <w:wordWrap/>
              <w:topLinePunct w:val="0"/>
              <w:bidi w:val="0"/>
              <w:spacing w:line="400" w:lineRule="exact"/>
              <w:rPr>
                <w:color w:val="auto"/>
                <w:w w:val="85"/>
                <w:sz w:val="21"/>
                <w:szCs w:val="21"/>
                <w:highlight w:val="yellow"/>
              </w:rPr>
            </w:pPr>
          </w:p>
        </w:tc>
      </w:tr>
    </w:tbl>
    <w:p w14:paraId="3DE0471E">
      <w:pPr>
        <w:rPr>
          <w:rFonts w:hint="default" w:ascii="Times New Roman" w:hAnsi="Times New Roman" w:cs="Times New Roman"/>
          <w:color w:val="auto"/>
          <w:sz w:val="18"/>
          <w:szCs w:val="18"/>
        </w:rPr>
      </w:pPr>
      <w:r>
        <w:rPr>
          <w:rFonts w:hint="default" w:ascii="Times New Roman" w:hAnsi="Times New Roman" w:cs="Times New Roman"/>
          <w:b/>
          <w:color w:val="auto"/>
          <w:sz w:val="18"/>
          <w:szCs w:val="18"/>
        </w:rPr>
        <w:t>注：〇：无影响；+：短期不利影响；++ ：长期不利影响。</w:t>
      </w:r>
    </w:p>
    <w:p w14:paraId="026C3543">
      <w:pPr>
        <w:pStyle w:val="4"/>
        <w:rPr>
          <w:rFonts w:hint="default" w:ascii="Times New Roman" w:hAnsi="Times New Roman" w:cs="Times New Roman"/>
          <w:color w:val="auto"/>
        </w:rPr>
        <w:sectPr>
          <w:pgSz w:w="16838" w:h="11906" w:orient="landscape"/>
          <w:pgMar w:top="1814" w:right="1474" w:bottom="1474" w:left="1474" w:header="850" w:footer="992" w:gutter="0"/>
          <w:pgBorders>
            <w:top w:val="none" w:sz="0" w:space="0"/>
            <w:left w:val="none" w:sz="0" w:space="0"/>
            <w:bottom w:val="none" w:sz="0" w:space="0"/>
            <w:right w:val="none" w:sz="0" w:space="0"/>
          </w:pgBorders>
          <w:pgNumType w:fmt="decimal" w:chapStyle="1" w:chapSep="emDash"/>
          <w:cols w:space="0" w:num="1"/>
          <w:rtlGutter w:val="0"/>
          <w:docGrid w:type="linesAndChars" w:linePitch="316" w:charSpace="0"/>
        </w:sectPr>
      </w:pPr>
    </w:p>
    <w:p w14:paraId="2EDDAD97">
      <w:pPr>
        <w:pStyle w:val="54"/>
        <w:bidi w:val="0"/>
        <w:rPr>
          <w:rFonts w:hint="default"/>
          <w:color w:val="auto"/>
        </w:rPr>
      </w:pPr>
      <w:bookmarkStart w:id="88" w:name="_Toc500856905"/>
      <w:r>
        <w:rPr>
          <w:rFonts w:hint="default"/>
          <w:color w:val="auto"/>
        </w:rPr>
        <w:t>2.</w:t>
      </w:r>
      <w:r>
        <w:rPr>
          <w:rFonts w:hint="eastAsia"/>
          <w:color w:val="auto"/>
          <w:lang w:val="en-US" w:eastAsia="zh-CN"/>
        </w:rPr>
        <w:t>3</w:t>
      </w:r>
      <w:r>
        <w:rPr>
          <w:rFonts w:hint="default"/>
          <w:color w:val="auto"/>
        </w:rPr>
        <w:t>.2</w:t>
      </w:r>
      <w:r>
        <w:rPr>
          <w:rFonts w:hint="eastAsia"/>
          <w:color w:val="auto"/>
          <w:lang w:val="en-US" w:eastAsia="zh-CN"/>
        </w:rPr>
        <w:t xml:space="preserve"> </w:t>
      </w:r>
      <w:r>
        <w:rPr>
          <w:rFonts w:hint="default"/>
          <w:color w:val="auto"/>
        </w:rPr>
        <w:t>评价因子</w:t>
      </w:r>
      <w:bookmarkEnd w:id="88"/>
    </w:p>
    <w:p w14:paraId="5A51842B">
      <w:pPr>
        <w:pStyle w:val="79"/>
        <w:bidi w:val="0"/>
        <w:rPr>
          <w:rFonts w:hint="default"/>
          <w:color w:val="auto"/>
        </w:rPr>
      </w:pPr>
      <w:bookmarkStart w:id="89" w:name="_Toc374724176"/>
      <w:bookmarkStart w:id="90" w:name="_Toc508291878"/>
      <w:bookmarkStart w:id="91" w:name="_Toc361761822"/>
      <w:bookmarkStart w:id="92" w:name="_Toc297590772"/>
      <w:bookmarkStart w:id="93" w:name="_Toc297590925"/>
      <w:bookmarkStart w:id="94" w:name="_Toc280954903"/>
      <w:bookmarkStart w:id="95" w:name="_Toc353966730"/>
      <w:bookmarkStart w:id="96" w:name="_Toc280954980"/>
      <w:r>
        <w:rPr>
          <w:rFonts w:hint="default"/>
          <w:color w:val="auto"/>
        </w:rPr>
        <w:t>根据本工程环境影响要素识别、环境影响因子表征和环境影响程度，筛选的评价因子</w:t>
      </w:r>
      <w:r>
        <w:rPr>
          <w:rFonts w:hint="eastAsia"/>
          <w:color w:val="auto"/>
          <w:lang w:eastAsia="zh-CN"/>
        </w:rPr>
        <w:t>，</w:t>
      </w:r>
      <w:r>
        <w:rPr>
          <w:rFonts w:hint="default"/>
          <w:color w:val="auto"/>
        </w:rPr>
        <w:t>见表2.</w:t>
      </w:r>
      <w:r>
        <w:rPr>
          <w:rFonts w:hint="eastAsia"/>
          <w:color w:val="auto"/>
          <w:lang w:val="en-US" w:eastAsia="zh-CN"/>
        </w:rPr>
        <w:t>3</w:t>
      </w:r>
      <w:r>
        <w:rPr>
          <w:rFonts w:hint="default"/>
          <w:color w:val="auto"/>
        </w:rPr>
        <w:t>-</w:t>
      </w:r>
      <w:r>
        <w:rPr>
          <w:rFonts w:hint="eastAsia"/>
          <w:color w:val="auto"/>
          <w:lang w:val="en-US" w:eastAsia="zh-CN"/>
        </w:rPr>
        <w:t>2</w:t>
      </w:r>
      <w:r>
        <w:rPr>
          <w:rFonts w:hint="default"/>
          <w:color w:val="auto"/>
        </w:rPr>
        <w:t>。</w:t>
      </w:r>
    </w:p>
    <w:p w14:paraId="6A6CC574">
      <w:pPr>
        <w:pStyle w:val="61"/>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黑体" w:hAnsi="黑体" w:eastAsia="黑体" w:cs="黑体"/>
          <w:b/>
          <w:bCs w:val="0"/>
          <w:color w:val="auto"/>
          <w:sz w:val="24"/>
          <w:szCs w:val="24"/>
        </w:rPr>
      </w:pPr>
      <w:r>
        <w:rPr>
          <w:rFonts w:hint="eastAsia" w:ascii="黑体" w:hAnsi="黑体" w:eastAsia="黑体" w:cs="黑体"/>
          <w:b/>
          <w:bCs w:val="0"/>
          <w:color w:val="auto"/>
          <w:sz w:val="24"/>
          <w:szCs w:val="24"/>
        </w:rPr>
        <w:t>表2.</w:t>
      </w:r>
      <w:r>
        <w:rPr>
          <w:rFonts w:hint="eastAsia" w:ascii="黑体" w:hAnsi="黑体" w:eastAsia="黑体" w:cs="黑体"/>
          <w:b/>
          <w:bCs w:val="0"/>
          <w:color w:val="auto"/>
          <w:sz w:val="24"/>
          <w:szCs w:val="24"/>
          <w:lang w:val="en-US" w:eastAsia="zh-CN"/>
        </w:rPr>
        <w:t>3</w:t>
      </w:r>
      <w:r>
        <w:rPr>
          <w:rFonts w:hint="eastAsia" w:ascii="黑体" w:hAnsi="黑体" w:eastAsia="黑体" w:cs="黑体"/>
          <w:b/>
          <w:bCs w:val="0"/>
          <w:color w:val="auto"/>
          <w:sz w:val="24"/>
          <w:szCs w:val="24"/>
        </w:rPr>
        <w:t>-</w:t>
      </w:r>
      <w:r>
        <w:rPr>
          <w:rFonts w:hint="eastAsia" w:ascii="黑体" w:hAnsi="黑体" w:eastAsia="黑体" w:cs="黑体"/>
          <w:b/>
          <w:bCs w:val="0"/>
          <w:color w:val="auto"/>
          <w:sz w:val="24"/>
          <w:szCs w:val="24"/>
          <w:lang w:val="en-US" w:eastAsia="zh-CN"/>
        </w:rPr>
        <w:t xml:space="preserve">2    </w:t>
      </w:r>
      <w:r>
        <w:rPr>
          <w:rFonts w:hint="eastAsia" w:ascii="黑体" w:hAnsi="黑体" w:eastAsia="黑体" w:cs="黑体"/>
          <w:b/>
          <w:bCs w:val="0"/>
          <w:color w:val="auto"/>
          <w:sz w:val="24"/>
          <w:szCs w:val="24"/>
        </w:rPr>
        <w:t>环境影响因子筛选表</w:t>
      </w:r>
    </w:p>
    <w:tbl>
      <w:tblPr>
        <w:tblStyle w:val="36"/>
        <w:tblW w:w="4961"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53"/>
        <w:gridCol w:w="1976"/>
        <w:gridCol w:w="4530"/>
        <w:gridCol w:w="1706"/>
      </w:tblGrid>
      <w:tr w14:paraId="1E3866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3" w:type="dxa"/>
            <w:tcBorders>
              <w:tl2br w:val="nil"/>
              <w:tr2bl w:val="nil"/>
            </w:tcBorders>
            <w:noWrap w:val="0"/>
            <w:vAlign w:val="center"/>
          </w:tcPr>
          <w:p w14:paraId="6BC96236">
            <w:pPr>
              <w:keepNext w:val="0"/>
              <w:keepLines w:val="0"/>
              <w:pageBreakBefore w:val="0"/>
              <w:kinsoku/>
              <w:wordWrap/>
              <w:topLinePunct w:val="0"/>
              <w:bidi w:val="0"/>
              <w:spacing w:line="240" w:lineRule="auto"/>
              <w:jc w:val="center"/>
              <w:rPr>
                <w:rFonts w:hint="default" w:ascii="Times New Roman" w:hAnsi="Times New Roman" w:eastAsia="宋体" w:cs="Times New Roman"/>
                <w:b w:val="0"/>
                <w:bCs/>
                <w:color w:val="auto"/>
                <w:sz w:val="21"/>
                <w:szCs w:val="21"/>
              </w:rPr>
            </w:pPr>
            <w:bookmarkStart w:id="97" w:name="OLE_LINK36" w:colFirst="0" w:colLast="3"/>
            <w:r>
              <w:rPr>
                <w:rFonts w:hint="default" w:ascii="Times New Roman" w:hAnsi="Times New Roman" w:eastAsia="宋体" w:cs="Times New Roman"/>
                <w:b w:val="0"/>
                <w:bCs/>
                <w:color w:val="auto"/>
                <w:spacing w:val="-6"/>
                <w:sz w:val="21"/>
                <w:szCs w:val="21"/>
              </w:rPr>
              <w:t>环境要素</w:t>
            </w:r>
          </w:p>
        </w:tc>
        <w:tc>
          <w:tcPr>
            <w:tcW w:w="1976" w:type="dxa"/>
            <w:tcBorders>
              <w:tl2br w:val="nil"/>
              <w:tr2bl w:val="nil"/>
            </w:tcBorders>
            <w:noWrap w:val="0"/>
            <w:vAlign w:val="center"/>
          </w:tcPr>
          <w:p w14:paraId="1E6C24BA">
            <w:pPr>
              <w:keepNext w:val="0"/>
              <w:keepLines w:val="0"/>
              <w:pageBreakBefore w:val="0"/>
              <w:kinsoku/>
              <w:wordWrap/>
              <w:topLinePunct w:val="0"/>
              <w:bidi w:val="0"/>
              <w:spacing w:line="240" w:lineRule="auto"/>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主要污染源（或影响途径）</w:t>
            </w:r>
          </w:p>
        </w:tc>
        <w:tc>
          <w:tcPr>
            <w:tcW w:w="4531" w:type="dxa"/>
            <w:tcBorders>
              <w:tl2br w:val="nil"/>
              <w:tr2bl w:val="nil"/>
            </w:tcBorders>
            <w:noWrap w:val="0"/>
            <w:vAlign w:val="center"/>
          </w:tcPr>
          <w:p w14:paraId="364AF366">
            <w:pPr>
              <w:keepNext w:val="0"/>
              <w:keepLines w:val="0"/>
              <w:pageBreakBefore w:val="0"/>
              <w:kinsoku/>
              <w:wordWrap/>
              <w:topLinePunct w:val="0"/>
              <w:bidi w:val="0"/>
              <w:spacing w:line="240" w:lineRule="auto"/>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现状评价因子</w:t>
            </w:r>
          </w:p>
        </w:tc>
        <w:tc>
          <w:tcPr>
            <w:tcW w:w="1706" w:type="dxa"/>
            <w:tcBorders>
              <w:tl2br w:val="nil"/>
              <w:tr2bl w:val="nil"/>
            </w:tcBorders>
            <w:noWrap w:val="0"/>
            <w:vAlign w:val="center"/>
          </w:tcPr>
          <w:p w14:paraId="5FC0BEED">
            <w:pPr>
              <w:keepNext w:val="0"/>
              <w:keepLines w:val="0"/>
              <w:pageBreakBefore w:val="0"/>
              <w:kinsoku/>
              <w:wordWrap/>
              <w:topLinePunct w:val="0"/>
              <w:bidi w:val="0"/>
              <w:spacing w:line="240" w:lineRule="auto"/>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影响评价或预测因子</w:t>
            </w:r>
          </w:p>
        </w:tc>
      </w:tr>
      <w:tr w14:paraId="1F1F6E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3" w:type="dxa"/>
            <w:tcBorders>
              <w:tl2br w:val="nil"/>
              <w:tr2bl w:val="nil"/>
            </w:tcBorders>
            <w:noWrap w:val="0"/>
            <w:vAlign w:val="center"/>
          </w:tcPr>
          <w:p w14:paraId="3CDEC29D">
            <w:pPr>
              <w:keepNext w:val="0"/>
              <w:keepLines w:val="0"/>
              <w:pageBreakBefore w:val="0"/>
              <w:kinsoku/>
              <w:wordWrap/>
              <w:topLinePunct w:val="0"/>
              <w:bidi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生态环境</w:t>
            </w:r>
          </w:p>
        </w:tc>
        <w:tc>
          <w:tcPr>
            <w:tcW w:w="1976" w:type="dxa"/>
            <w:tcBorders>
              <w:tl2br w:val="nil"/>
              <w:tr2bl w:val="nil"/>
            </w:tcBorders>
            <w:noWrap w:val="0"/>
            <w:vAlign w:val="center"/>
          </w:tcPr>
          <w:p w14:paraId="4043DC5D">
            <w:pPr>
              <w:keepNext w:val="0"/>
              <w:keepLines w:val="0"/>
              <w:pageBreakBefore w:val="0"/>
              <w:kinsoku/>
              <w:wordWrap/>
              <w:topLinePunct w:val="0"/>
              <w:bidi w:val="0"/>
              <w:snapToGrid w:val="0"/>
              <w:spacing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施工期地面工程施工过程的地面开挖、占地、施工方式、施工时序等对土地利用现状、动植物、重要物种、生态系统完整性、生物多样性的影响途径、范围和程度。</w:t>
            </w:r>
          </w:p>
        </w:tc>
        <w:tc>
          <w:tcPr>
            <w:tcW w:w="4531" w:type="dxa"/>
            <w:tcBorders>
              <w:tl2br w:val="nil"/>
              <w:tr2bl w:val="nil"/>
            </w:tcBorders>
            <w:noWrap w:val="0"/>
            <w:vAlign w:val="center"/>
          </w:tcPr>
          <w:p w14:paraId="14C4FA25">
            <w:pPr>
              <w:keepNext w:val="0"/>
              <w:keepLines w:val="0"/>
              <w:pageBreakBefore w:val="0"/>
              <w:kinsoku/>
              <w:wordWrap/>
              <w:topLinePunct w:val="0"/>
              <w:bidi w:val="0"/>
              <w:snapToGrid w:val="0"/>
              <w:spacing w:line="240" w:lineRule="auto"/>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物种：分布范围、种群数量、种群结构、行为；</w:t>
            </w:r>
          </w:p>
          <w:p w14:paraId="1B6FEA6D">
            <w:pPr>
              <w:keepNext w:val="0"/>
              <w:keepLines w:val="0"/>
              <w:pageBreakBefore w:val="0"/>
              <w:kinsoku/>
              <w:wordWrap/>
              <w:topLinePunct w:val="0"/>
              <w:bidi w:val="0"/>
              <w:snapToGrid w:val="0"/>
              <w:spacing w:line="240" w:lineRule="auto"/>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生境：生境面积、质量、连通性；</w:t>
            </w:r>
          </w:p>
          <w:p w14:paraId="1E0C829F">
            <w:pPr>
              <w:keepNext w:val="0"/>
              <w:keepLines w:val="0"/>
              <w:pageBreakBefore w:val="0"/>
              <w:kinsoku/>
              <w:wordWrap/>
              <w:topLinePunct w:val="0"/>
              <w:bidi w:val="0"/>
              <w:snapToGrid w:val="0"/>
              <w:spacing w:line="240" w:lineRule="auto"/>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生态群落：物种组成、群落结构等；</w:t>
            </w:r>
          </w:p>
          <w:p w14:paraId="7F2BB287">
            <w:pPr>
              <w:keepNext w:val="0"/>
              <w:keepLines w:val="0"/>
              <w:pageBreakBefore w:val="0"/>
              <w:kinsoku/>
              <w:wordWrap/>
              <w:topLinePunct w:val="0"/>
              <w:bidi w:val="0"/>
              <w:snapToGrid w:val="0"/>
              <w:spacing w:line="240" w:lineRule="auto"/>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生态系统：植被覆盖度、生产力、生物量；</w:t>
            </w:r>
          </w:p>
          <w:p w14:paraId="50285A5B">
            <w:pPr>
              <w:keepNext w:val="0"/>
              <w:keepLines w:val="0"/>
              <w:pageBreakBefore w:val="0"/>
              <w:kinsoku/>
              <w:wordWrap/>
              <w:topLinePunct w:val="0"/>
              <w:bidi w:val="0"/>
              <w:snapToGrid w:val="0"/>
              <w:spacing w:line="240" w:lineRule="auto"/>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生物多样性：物种丰富度、均匀度、优势度等；</w:t>
            </w:r>
          </w:p>
          <w:p w14:paraId="7BF09526">
            <w:pPr>
              <w:keepNext w:val="0"/>
              <w:keepLines w:val="0"/>
              <w:pageBreakBefore w:val="0"/>
              <w:kinsoku/>
              <w:wordWrap/>
              <w:topLinePunct w:val="0"/>
              <w:bidi w:val="0"/>
              <w:snapToGrid w:val="0"/>
              <w:spacing w:line="240" w:lineRule="auto"/>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生态敏感区：主要保护对象、生态功能；</w:t>
            </w:r>
          </w:p>
          <w:p w14:paraId="5B2C2983">
            <w:pPr>
              <w:keepNext w:val="0"/>
              <w:keepLines w:val="0"/>
              <w:pageBreakBefore w:val="0"/>
              <w:kinsoku/>
              <w:wordWrap/>
              <w:topLinePunct w:val="0"/>
              <w:bidi w:val="0"/>
              <w:snapToGrid w:val="0"/>
              <w:spacing w:line="240" w:lineRule="auto"/>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自然景观：景观多样性和完整性；</w:t>
            </w:r>
          </w:p>
          <w:p w14:paraId="7A8A320E">
            <w:pPr>
              <w:pStyle w:val="26"/>
              <w:keepNext w:val="0"/>
              <w:keepLines w:val="0"/>
              <w:pageBreakBefore w:val="0"/>
              <w:kinsoku/>
              <w:wordWrap/>
              <w:topLinePunct w:val="0"/>
              <w:bidi w:val="0"/>
              <w:spacing w:line="240" w:lineRule="auto"/>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自然遗迹：</w:t>
            </w:r>
            <w:r>
              <w:rPr>
                <w:rFonts w:hint="default" w:ascii="Times New Roman" w:hAnsi="Times New Roman" w:eastAsia="宋体" w:cs="Times New Roman"/>
                <w:b w:val="0"/>
                <w:bCs/>
                <w:color w:val="auto"/>
                <w:sz w:val="21"/>
                <w:szCs w:val="21"/>
                <w:highlight w:val="none"/>
              </w:rPr>
              <w:t>遗迹多样性、完整性等</w:t>
            </w:r>
            <w:r>
              <w:rPr>
                <w:rFonts w:hint="default" w:ascii="Times New Roman" w:hAnsi="Times New Roman" w:eastAsia="宋体" w:cs="Times New Roman"/>
                <w:b w:val="0"/>
                <w:bCs/>
                <w:color w:val="auto"/>
                <w:sz w:val="21"/>
                <w:szCs w:val="21"/>
                <w:highlight w:val="none"/>
                <w:lang w:eastAsia="zh-CN"/>
              </w:rPr>
              <w:t>。</w:t>
            </w:r>
          </w:p>
        </w:tc>
        <w:tc>
          <w:tcPr>
            <w:tcW w:w="1706" w:type="dxa"/>
            <w:tcBorders>
              <w:tl2br w:val="nil"/>
              <w:tr2bl w:val="nil"/>
            </w:tcBorders>
            <w:noWrap w:val="0"/>
            <w:vAlign w:val="center"/>
          </w:tcPr>
          <w:p w14:paraId="191ECF61">
            <w:pPr>
              <w:keepNext w:val="0"/>
              <w:keepLines w:val="0"/>
              <w:pageBreakBefore w:val="0"/>
              <w:widowControl/>
              <w:suppressLineNumbers w:val="0"/>
              <w:kinsoku/>
              <w:wordWrap/>
              <w:topLinePunct w:val="0"/>
              <w:bidi w:val="0"/>
              <w:spacing w:line="240" w:lineRule="auto"/>
              <w:jc w:val="left"/>
              <w:rPr>
                <w:rFonts w:hint="default" w:ascii="Times New Roman" w:hAnsi="Times New Roman" w:eastAsia="宋体" w:cs="Times New Roman"/>
                <w:color w:val="auto"/>
                <w:kern w:val="0"/>
                <w:sz w:val="21"/>
                <w:szCs w:val="21"/>
                <w:shd w:val="clear" w:color="auto" w:fill="auto"/>
                <w:lang w:val="en-US" w:eastAsia="zh-CN" w:bidi="ar"/>
              </w:rPr>
            </w:pPr>
            <w:r>
              <w:rPr>
                <w:rFonts w:hint="default" w:ascii="Times New Roman" w:hAnsi="Times New Roman" w:eastAsia="宋体" w:cs="Times New Roman"/>
                <w:color w:val="auto"/>
                <w:kern w:val="0"/>
                <w:sz w:val="21"/>
                <w:szCs w:val="21"/>
                <w:shd w:val="clear" w:color="auto" w:fill="auto"/>
                <w:lang w:val="en-US" w:eastAsia="zh-CN" w:bidi="ar"/>
              </w:rPr>
              <w:t>施工期：地表扰动面积及类型、植被覆盖度、生物量损失、物种多样性、生态系统完整性等。</w:t>
            </w:r>
          </w:p>
          <w:p w14:paraId="782EBBC1">
            <w:pPr>
              <w:keepNext w:val="0"/>
              <w:keepLines w:val="0"/>
              <w:pageBreakBefore w:val="0"/>
              <w:widowControl/>
              <w:suppressLineNumbers w:val="0"/>
              <w:kinsoku/>
              <w:wordWrap/>
              <w:topLinePunct w:val="0"/>
              <w:bidi w:val="0"/>
              <w:spacing w:line="240" w:lineRule="auto"/>
              <w:jc w:val="left"/>
              <w:rPr>
                <w:rFonts w:hint="default" w:ascii="Times New Roman" w:hAnsi="Times New Roman" w:eastAsia="宋体" w:cs="Times New Roman"/>
                <w:color w:val="auto"/>
                <w:kern w:val="44"/>
                <w:sz w:val="21"/>
                <w:szCs w:val="21"/>
                <w:shd w:val="clear" w:color="auto" w:fill="auto"/>
                <w:lang w:val="en-US" w:eastAsia="zh-CN"/>
              </w:rPr>
            </w:pPr>
            <w:r>
              <w:rPr>
                <w:rFonts w:hint="default" w:ascii="Times New Roman" w:hAnsi="Times New Roman" w:eastAsia="宋体" w:cs="Times New Roman"/>
                <w:color w:val="auto"/>
                <w:kern w:val="0"/>
                <w:sz w:val="21"/>
                <w:szCs w:val="21"/>
                <w:highlight w:val="none"/>
                <w:shd w:val="clear" w:color="auto" w:fill="auto"/>
                <w:lang w:val="en-US" w:eastAsia="zh-CN" w:bidi="ar"/>
              </w:rPr>
              <w:t>运营期：生物多样性、生态系统完整性等。</w:t>
            </w:r>
          </w:p>
        </w:tc>
      </w:tr>
      <w:tr w14:paraId="197BDD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3" w:type="dxa"/>
            <w:tcBorders>
              <w:tl2br w:val="nil"/>
              <w:tr2bl w:val="nil"/>
            </w:tcBorders>
            <w:noWrap w:val="0"/>
            <w:vAlign w:val="center"/>
          </w:tcPr>
          <w:p w14:paraId="2567D965">
            <w:pPr>
              <w:keepNext w:val="0"/>
              <w:keepLines w:val="0"/>
              <w:pageBreakBefore w:val="0"/>
              <w:kinsoku/>
              <w:wordWrap/>
              <w:topLinePunct w:val="0"/>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地下水环境</w:t>
            </w:r>
          </w:p>
        </w:tc>
        <w:tc>
          <w:tcPr>
            <w:tcW w:w="1976" w:type="dxa"/>
            <w:tcBorders>
              <w:tl2br w:val="nil"/>
              <w:tr2bl w:val="nil"/>
            </w:tcBorders>
            <w:noWrap w:val="0"/>
            <w:vAlign w:val="center"/>
          </w:tcPr>
          <w:p w14:paraId="38647FA6">
            <w:pPr>
              <w:keepNext w:val="0"/>
              <w:keepLines w:val="0"/>
              <w:pageBreakBefore w:val="0"/>
              <w:kinsoku/>
              <w:wordWrap/>
              <w:topLinePunct w:val="0"/>
              <w:bidi w:val="0"/>
              <w:spacing w:line="240" w:lineRule="auto"/>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管线及</w:t>
            </w:r>
            <w:r>
              <w:rPr>
                <w:rFonts w:hint="default" w:ascii="Times New Roman" w:hAnsi="Times New Roman" w:eastAsia="宋体" w:cs="Times New Roman"/>
                <w:color w:val="auto"/>
                <w:sz w:val="21"/>
                <w:szCs w:val="21"/>
              </w:rPr>
              <w:t>套管破损、防渗措施失效导致的渗漏以及</w:t>
            </w:r>
            <w:r>
              <w:rPr>
                <w:rFonts w:hint="default" w:ascii="Times New Roman" w:hAnsi="Times New Roman" w:eastAsia="宋体" w:cs="Times New Roman"/>
                <w:color w:val="auto"/>
                <w:sz w:val="21"/>
                <w:szCs w:val="21"/>
                <w:highlight w:val="none"/>
              </w:rPr>
              <w:t>废水回注等对地下水的影响</w:t>
            </w:r>
            <w:r>
              <w:rPr>
                <w:rFonts w:hint="default" w:ascii="Times New Roman" w:hAnsi="Times New Roman" w:eastAsia="宋体" w:cs="Times New Roman"/>
                <w:color w:val="auto"/>
                <w:sz w:val="21"/>
                <w:szCs w:val="21"/>
                <w:highlight w:val="none"/>
                <w:lang w:eastAsia="zh-CN"/>
              </w:rPr>
              <w:t>。</w:t>
            </w:r>
          </w:p>
        </w:tc>
        <w:tc>
          <w:tcPr>
            <w:tcW w:w="4531" w:type="dxa"/>
            <w:tcBorders>
              <w:tl2br w:val="nil"/>
              <w:tr2bl w:val="nil"/>
            </w:tcBorders>
            <w:noWrap w:val="0"/>
            <w:vAlign w:val="center"/>
          </w:tcPr>
          <w:p w14:paraId="0053D9AF">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八大离子（K</w:t>
            </w:r>
            <w:r>
              <w:rPr>
                <w:rFonts w:hint="default" w:ascii="Times New Roman" w:hAnsi="Times New Roman" w:eastAsia="宋体" w:cs="Times New Roman"/>
                <w:color w:val="auto"/>
                <w:spacing w:val="-6"/>
                <w:sz w:val="21"/>
                <w:szCs w:val="21"/>
                <w:highlight w:val="none"/>
                <w:vertAlign w:val="superscript"/>
                <w:lang w:val="en-US" w:eastAsia="zh-CN"/>
              </w:rPr>
              <w:t>+</w:t>
            </w:r>
            <w:r>
              <w:rPr>
                <w:rFonts w:hint="default" w:ascii="Times New Roman" w:hAnsi="Times New Roman" w:eastAsia="宋体" w:cs="Times New Roman"/>
                <w:color w:val="auto"/>
                <w:spacing w:val="-6"/>
                <w:sz w:val="21"/>
                <w:szCs w:val="21"/>
                <w:highlight w:val="none"/>
                <w:lang w:val="en-US" w:eastAsia="zh-CN"/>
              </w:rPr>
              <w:t>、Na</w:t>
            </w:r>
            <w:r>
              <w:rPr>
                <w:rFonts w:hint="default" w:ascii="Times New Roman" w:hAnsi="Times New Roman" w:eastAsia="宋体" w:cs="Times New Roman"/>
                <w:color w:val="auto"/>
                <w:spacing w:val="-6"/>
                <w:sz w:val="21"/>
                <w:szCs w:val="21"/>
                <w:highlight w:val="none"/>
                <w:vertAlign w:val="superscript"/>
                <w:lang w:val="en-US" w:eastAsia="zh-CN"/>
              </w:rPr>
              <w:t>+</w:t>
            </w:r>
            <w:r>
              <w:rPr>
                <w:rFonts w:hint="default" w:ascii="Times New Roman" w:hAnsi="Times New Roman" w:eastAsia="宋体" w:cs="Times New Roman"/>
                <w:color w:val="auto"/>
                <w:spacing w:val="-6"/>
                <w:sz w:val="21"/>
                <w:szCs w:val="21"/>
                <w:highlight w:val="none"/>
                <w:lang w:val="en-US" w:eastAsia="zh-CN"/>
              </w:rPr>
              <w:t>、Ca</w:t>
            </w:r>
            <w:r>
              <w:rPr>
                <w:rFonts w:hint="default" w:ascii="Times New Roman" w:hAnsi="Times New Roman" w:eastAsia="宋体" w:cs="Times New Roman"/>
                <w:color w:val="auto"/>
                <w:spacing w:val="-6"/>
                <w:sz w:val="21"/>
                <w:szCs w:val="21"/>
                <w:highlight w:val="none"/>
                <w:vertAlign w:val="superscript"/>
                <w:lang w:val="en-US" w:eastAsia="zh-CN"/>
              </w:rPr>
              <w:t>2+</w:t>
            </w:r>
            <w:r>
              <w:rPr>
                <w:rFonts w:hint="default" w:ascii="Times New Roman" w:hAnsi="Times New Roman" w:eastAsia="宋体" w:cs="Times New Roman"/>
                <w:color w:val="auto"/>
                <w:spacing w:val="-6"/>
                <w:sz w:val="21"/>
                <w:szCs w:val="21"/>
                <w:highlight w:val="none"/>
                <w:lang w:val="en-US" w:eastAsia="zh-CN"/>
              </w:rPr>
              <w:t>、Mg</w:t>
            </w:r>
            <w:r>
              <w:rPr>
                <w:rFonts w:hint="default" w:ascii="Times New Roman" w:hAnsi="Times New Roman" w:eastAsia="宋体" w:cs="Times New Roman"/>
                <w:color w:val="auto"/>
                <w:spacing w:val="-6"/>
                <w:sz w:val="21"/>
                <w:szCs w:val="21"/>
                <w:highlight w:val="none"/>
                <w:vertAlign w:val="superscript"/>
                <w:lang w:val="en-US" w:eastAsia="zh-CN"/>
              </w:rPr>
              <w:t>2+</w:t>
            </w:r>
            <w:r>
              <w:rPr>
                <w:rFonts w:hint="default" w:ascii="Times New Roman" w:hAnsi="Times New Roman" w:eastAsia="宋体" w:cs="Times New Roman"/>
                <w:color w:val="auto"/>
                <w:spacing w:val="-6"/>
                <w:sz w:val="21"/>
                <w:szCs w:val="21"/>
                <w:highlight w:val="none"/>
                <w:lang w:val="en-US" w:eastAsia="zh-CN"/>
              </w:rPr>
              <w:t>、CO</w:t>
            </w:r>
            <w:r>
              <w:rPr>
                <w:rFonts w:hint="default" w:ascii="Times New Roman" w:hAnsi="Times New Roman" w:eastAsia="宋体" w:cs="Times New Roman"/>
                <w:color w:val="auto"/>
                <w:spacing w:val="-6"/>
                <w:sz w:val="21"/>
                <w:szCs w:val="21"/>
                <w:highlight w:val="none"/>
                <w:vertAlign w:val="subscript"/>
                <w:lang w:val="en-US" w:eastAsia="zh-CN"/>
              </w:rPr>
              <w:t>3</w:t>
            </w:r>
            <w:r>
              <w:rPr>
                <w:rFonts w:hint="default" w:ascii="Times New Roman" w:hAnsi="Times New Roman" w:eastAsia="宋体" w:cs="Times New Roman"/>
                <w:color w:val="auto"/>
                <w:spacing w:val="-6"/>
                <w:sz w:val="21"/>
                <w:szCs w:val="21"/>
                <w:highlight w:val="none"/>
                <w:vertAlign w:val="superscript"/>
                <w:lang w:val="en-US" w:eastAsia="zh-CN"/>
              </w:rPr>
              <w:t>2-</w:t>
            </w:r>
            <w:r>
              <w:rPr>
                <w:rFonts w:hint="default" w:ascii="Times New Roman" w:hAnsi="Times New Roman" w:eastAsia="宋体" w:cs="Times New Roman"/>
                <w:color w:val="auto"/>
                <w:spacing w:val="-6"/>
                <w:sz w:val="21"/>
                <w:szCs w:val="21"/>
                <w:highlight w:val="none"/>
                <w:lang w:val="en-US" w:eastAsia="zh-CN"/>
              </w:rPr>
              <w:t>、HCO</w:t>
            </w:r>
            <w:r>
              <w:rPr>
                <w:rFonts w:hint="default" w:ascii="Times New Roman" w:hAnsi="Times New Roman" w:eastAsia="宋体" w:cs="Times New Roman"/>
                <w:color w:val="auto"/>
                <w:spacing w:val="-6"/>
                <w:sz w:val="21"/>
                <w:szCs w:val="21"/>
                <w:highlight w:val="none"/>
                <w:vertAlign w:val="subscript"/>
                <w:lang w:val="en-US" w:eastAsia="zh-CN"/>
              </w:rPr>
              <w:t>3</w:t>
            </w:r>
            <w:r>
              <w:rPr>
                <w:rFonts w:hint="default" w:ascii="Times New Roman" w:hAnsi="Times New Roman" w:eastAsia="宋体" w:cs="Times New Roman"/>
                <w:color w:val="auto"/>
                <w:spacing w:val="-6"/>
                <w:sz w:val="21"/>
                <w:szCs w:val="21"/>
                <w:highlight w:val="none"/>
                <w:vertAlign w:val="superscript"/>
                <w:lang w:val="en-US" w:eastAsia="zh-CN"/>
              </w:rPr>
              <w:t>-</w:t>
            </w:r>
            <w:r>
              <w:rPr>
                <w:rFonts w:hint="default" w:ascii="Times New Roman" w:hAnsi="Times New Roman" w:eastAsia="宋体" w:cs="Times New Roman"/>
                <w:color w:val="auto"/>
                <w:spacing w:val="-6"/>
                <w:sz w:val="21"/>
                <w:szCs w:val="21"/>
                <w:highlight w:val="none"/>
                <w:lang w:val="en-US" w:eastAsia="zh-CN"/>
              </w:rPr>
              <w:t>、Cl</w:t>
            </w:r>
            <w:r>
              <w:rPr>
                <w:rFonts w:hint="default" w:ascii="Times New Roman" w:hAnsi="Times New Roman" w:eastAsia="宋体" w:cs="Times New Roman"/>
                <w:color w:val="auto"/>
                <w:spacing w:val="-6"/>
                <w:sz w:val="21"/>
                <w:szCs w:val="21"/>
                <w:highlight w:val="none"/>
                <w:vertAlign w:val="superscript"/>
                <w:lang w:val="en-US" w:eastAsia="zh-CN"/>
              </w:rPr>
              <w:t>-</w:t>
            </w:r>
            <w:r>
              <w:rPr>
                <w:rFonts w:hint="default" w:ascii="Times New Roman" w:hAnsi="Times New Roman" w:eastAsia="宋体" w:cs="Times New Roman"/>
                <w:color w:val="auto"/>
                <w:spacing w:val="-6"/>
                <w:sz w:val="21"/>
                <w:szCs w:val="21"/>
                <w:highlight w:val="none"/>
                <w:lang w:val="en-US" w:eastAsia="zh-CN"/>
              </w:rPr>
              <w:t>、SO</w:t>
            </w:r>
            <w:r>
              <w:rPr>
                <w:rFonts w:hint="default" w:ascii="Times New Roman" w:hAnsi="Times New Roman" w:eastAsia="宋体" w:cs="Times New Roman"/>
                <w:color w:val="auto"/>
                <w:spacing w:val="-6"/>
                <w:sz w:val="21"/>
                <w:szCs w:val="21"/>
                <w:highlight w:val="none"/>
                <w:vertAlign w:val="subscript"/>
                <w:lang w:val="en-US" w:eastAsia="zh-CN"/>
              </w:rPr>
              <w:t>4</w:t>
            </w:r>
            <w:r>
              <w:rPr>
                <w:rFonts w:hint="default" w:ascii="Times New Roman" w:hAnsi="Times New Roman" w:eastAsia="宋体" w:cs="Times New Roman"/>
                <w:color w:val="auto"/>
                <w:spacing w:val="-6"/>
                <w:sz w:val="21"/>
                <w:szCs w:val="21"/>
                <w:highlight w:val="none"/>
                <w:vertAlign w:val="superscript"/>
                <w:lang w:val="en-US" w:eastAsia="zh-CN"/>
              </w:rPr>
              <w:t>2-</w:t>
            </w:r>
            <w:r>
              <w:rPr>
                <w:rFonts w:hint="default" w:ascii="Times New Roman" w:hAnsi="Times New Roman" w:eastAsia="宋体" w:cs="Times New Roman"/>
                <w:color w:val="auto"/>
                <w:spacing w:val="-6"/>
                <w:sz w:val="21"/>
                <w:szCs w:val="21"/>
                <w:highlight w:val="none"/>
                <w:lang w:val="en-US" w:eastAsia="zh-CN"/>
              </w:rPr>
              <w:t>）以及pH值、氨氮、硝酸盐氮、亚硝酸盐氮、挥发酚、氰化物、砷、汞、六价铬、总硬度、铅、镉、铁、锰、溶解性总固体、耗氧量、硫酸盐、氟化物、石油类。</w:t>
            </w:r>
          </w:p>
        </w:tc>
        <w:tc>
          <w:tcPr>
            <w:tcW w:w="1706" w:type="dxa"/>
            <w:tcBorders>
              <w:tl2br w:val="nil"/>
              <w:tr2bl w:val="nil"/>
            </w:tcBorders>
            <w:noWrap w:val="0"/>
            <w:vAlign w:val="center"/>
          </w:tcPr>
          <w:p w14:paraId="6CA4B9DB">
            <w:pPr>
              <w:keepNext w:val="0"/>
              <w:keepLines w:val="0"/>
              <w:pageBreakBefore w:val="0"/>
              <w:widowControl/>
              <w:suppressLineNumbers w:val="0"/>
              <w:kinsoku/>
              <w:wordWrap/>
              <w:topLinePunct w:val="0"/>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石油类</w:t>
            </w:r>
          </w:p>
        </w:tc>
      </w:tr>
      <w:tr w14:paraId="1CDE3C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3" w:type="dxa"/>
            <w:tcBorders>
              <w:tl2br w:val="nil"/>
              <w:tr2bl w:val="nil"/>
            </w:tcBorders>
            <w:noWrap w:val="0"/>
            <w:vAlign w:val="center"/>
          </w:tcPr>
          <w:p w14:paraId="077E8831">
            <w:pPr>
              <w:keepNext w:val="0"/>
              <w:keepLines w:val="0"/>
              <w:pageBreakBefore w:val="0"/>
              <w:kinsoku/>
              <w:wordWrap/>
              <w:topLinePunct w:val="0"/>
              <w:bidi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1976" w:type="dxa"/>
            <w:tcBorders>
              <w:tl2br w:val="nil"/>
              <w:tr2bl w:val="nil"/>
            </w:tcBorders>
            <w:noWrap w:val="0"/>
            <w:vAlign w:val="center"/>
          </w:tcPr>
          <w:p w14:paraId="3FA2B0E4">
            <w:pPr>
              <w:keepNext w:val="0"/>
              <w:keepLines w:val="0"/>
              <w:pageBreakBefore w:val="0"/>
              <w:kinsoku/>
              <w:wordWrap/>
              <w:topLinePunct w:val="0"/>
              <w:bidi w:val="0"/>
              <w:spacing w:line="240" w:lineRule="auto"/>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地面工程施工噪声，运营期站场设备噪声。</w:t>
            </w:r>
          </w:p>
        </w:tc>
        <w:tc>
          <w:tcPr>
            <w:tcW w:w="4531" w:type="dxa"/>
            <w:tcBorders>
              <w:tl2br w:val="nil"/>
              <w:tr2bl w:val="nil"/>
            </w:tcBorders>
            <w:noWrap w:val="0"/>
            <w:vAlign w:val="center"/>
          </w:tcPr>
          <w:p w14:paraId="0D2C188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等效连续A声级</w:t>
            </w:r>
          </w:p>
        </w:tc>
        <w:tc>
          <w:tcPr>
            <w:tcW w:w="1706" w:type="dxa"/>
            <w:tcBorders>
              <w:tl2br w:val="nil"/>
              <w:tr2bl w:val="nil"/>
            </w:tcBorders>
            <w:noWrap w:val="0"/>
            <w:vAlign w:val="center"/>
          </w:tcPr>
          <w:p w14:paraId="33FC942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highlight w:val="none"/>
              </w:rPr>
              <w:t>等效连续A声级</w:t>
            </w:r>
          </w:p>
        </w:tc>
      </w:tr>
      <w:tr w14:paraId="3D5604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3" w:type="dxa"/>
            <w:tcBorders>
              <w:tl2br w:val="nil"/>
              <w:tr2bl w:val="nil"/>
            </w:tcBorders>
            <w:noWrap w:val="0"/>
            <w:vAlign w:val="center"/>
          </w:tcPr>
          <w:p w14:paraId="119D048C">
            <w:pPr>
              <w:keepNext w:val="0"/>
              <w:keepLines w:val="0"/>
              <w:pageBreakBefore w:val="0"/>
              <w:kinsoku/>
              <w:wordWrap/>
              <w:topLinePunct w:val="0"/>
              <w:bidi w:val="0"/>
              <w:spacing w:line="240" w:lineRule="auto"/>
              <w:jc w:val="center"/>
              <w:rPr>
                <w:rFonts w:hint="default" w:ascii="Times New Roman" w:hAnsi="Times New Roman" w:eastAsia="宋体" w:cs="Times New Roman"/>
                <w:color w:val="auto"/>
                <w:sz w:val="21"/>
                <w:szCs w:val="21"/>
              </w:rPr>
            </w:pPr>
            <w:bookmarkStart w:id="98" w:name="OLE_LINK167" w:colFirst="1" w:colLast="3"/>
            <w:r>
              <w:rPr>
                <w:rFonts w:hint="default" w:ascii="Times New Roman" w:hAnsi="Times New Roman" w:eastAsia="宋体" w:cs="Times New Roman"/>
                <w:color w:val="auto"/>
                <w:sz w:val="21"/>
                <w:szCs w:val="21"/>
              </w:rPr>
              <w:t>大气环境</w:t>
            </w:r>
          </w:p>
        </w:tc>
        <w:tc>
          <w:tcPr>
            <w:tcW w:w="1976" w:type="dxa"/>
            <w:tcBorders>
              <w:tl2br w:val="nil"/>
              <w:tr2bl w:val="nil"/>
            </w:tcBorders>
            <w:noWrap w:val="0"/>
            <w:vAlign w:val="center"/>
          </w:tcPr>
          <w:p w14:paraId="56C8BA88">
            <w:pPr>
              <w:keepNext w:val="0"/>
              <w:keepLines w:val="0"/>
              <w:pageBreakBefore w:val="0"/>
              <w:widowControl/>
              <w:suppressLineNumbers w:val="0"/>
              <w:kinsoku/>
              <w:wordWrap/>
              <w:topLinePunct w:val="0"/>
              <w:bidi w:val="0"/>
              <w:spacing w:line="240" w:lineRule="auto"/>
              <w:jc w:val="left"/>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施工机械和车辆施工</w:t>
            </w:r>
            <w:r>
              <w:rPr>
                <w:rFonts w:hint="default" w:ascii="Times New Roman" w:hAnsi="Times New Roman" w:eastAsia="宋体" w:cs="Times New Roman"/>
                <w:color w:val="auto"/>
                <w:sz w:val="21"/>
                <w:szCs w:val="21"/>
                <w:highlight w:val="none"/>
                <w:lang w:val="en-US" w:eastAsia="zh-CN"/>
              </w:rPr>
              <w:t>扬尘；运营期站场无组织废气</w:t>
            </w:r>
            <w:r>
              <w:rPr>
                <w:rFonts w:hint="eastAsia" w:cs="Times New Roman"/>
                <w:color w:val="auto"/>
                <w:sz w:val="21"/>
                <w:szCs w:val="21"/>
                <w:highlight w:val="none"/>
                <w:lang w:val="en-US" w:eastAsia="zh-CN"/>
              </w:rPr>
              <w:t>；温室气体</w:t>
            </w:r>
            <w:r>
              <w:rPr>
                <w:rFonts w:hint="default" w:ascii="Times New Roman" w:hAnsi="Times New Roman" w:eastAsia="宋体" w:cs="Times New Roman"/>
                <w:color w:val="auto"/>
                <w:kern w:val="0"/>
                <w:sz w:val="21"/>
                <w:szCs w:val="21"/>
                <w:lang w:val="en-US" w:eastAsia="zh-CN" w:bidi="ar"/>
              </w:rPr>
              <w:t>。</w:t>
            </w:r>
          </w:p>
        </w:tc>
        <w:tc>
          <w:tcPr>
            <w:tcW w:w="4531" w:type="dxa"/>
            <w:tcBorders>
              <w:tl2br w:val="nil"/>
              <w:tr2bl w:val="nil"/>
            </w:tcBorders>
            <w:noWrap w:val="0"/>
            <w:vAlign w:val="center"/>
          </w:tcPr>
          <w:p w14:paraId="357B33C3">
            <w:pPr>
              <w:keepNext w:val="0"/>
              <w:keepLines w:val="0"/>
              <w:pageBreakBefore w:val="0"/>
              <w:kinsoku/>
              <w:wordWrap/>
              <w:topLinePunct w:val="0"/>
              <w:bidi w:val="0"/>
              <w:spacing w:line="240" w:lineRule="auto"/>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x</w:t>
            </w: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10</w:t>
            </w: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2.5</w:t>
            </w:r>
            <w:r>
              <w:rPr>
                <w:rFonts w:hint="default" w:ascii="Times New Roman" w:hAnsi="Times New Roman" w:eastAsia="宋体" w:cs="Times New Roman"/>
                <w:color w:val="auto"/>
                <w:sz w:val="21"/>
                <w:szCs w:val="21"/>
              </w:rPr>
              <w:t>、CO、O</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lang w:val="en-US" w:eastAsia="zh-CN"/>
              </w:rPr>
              <w:t>硫化氢、非甲烷总烃</w:t>
            </w:r>
            <w:r>
              <w:rPr>
                <w:rFonts w:hint="eastAsia"/>
                <w:color w:val="auto"/>
                <w:lang w:val="en-US" w:eastAsia="zh-CN"/>
              </w:rPr>
              <w:t>、甲醇、颗粒物</w:t>
            </w:r>
          </w:p>
        </w:tc>
        <w:tc>
          <w:tcPr>
            <w:tcW w:w="1706" w:type="dxa"/>
            <w:tcBorders>
              <w:tl2br w:val="nil"/>
              <w:tr2bl w:val="nil"/>
            </w:tcBorders>
            <w:noWrap w:val="0"/>
            <w:vAlign w:val="center"/>
          </w:tcPr>
          <w:p w14:paraId="439BBD26">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x</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颗粒物</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非甲烷总烃</w:t>
            </w:r>
            <w:r>
              <w:rPr>
                <w:rFonts w:hint="eastAsia" w:cs="Times New Roman"/>
                <w:color w:val="auto"/>
                <w:sz w:val="21"/>
                <w:szCs w:val="21"/>
                <w:highlight w:val="none"/>
                <w:lang w:val="en-US" w:eastAsia="zh-CN"/>
              </w:rPr>
              <w:t>、硫化氢</w:t>
            </w:r>
          </w:p>
        </w:tc>
      </w:tr>
      <w:bookmarkEnd w:id="97"/>
      <w:bookmarkEnd w:id="98"/>
      <w:tr w14:paraId="17C03D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6" w:hRule="atLeast"/>
          <w:jc w:val="center"/>
        </w:trPr>
        <w:tc>
          <w:tcPr>
            <w:tcW w:w="553" w:type="dxa"/>
            <w:tcBorders>
              <w:tl2br w:val="nil"/>
              <w:tr2bl w:val="nil"/>
            </w:tcBorders>
            <w:noWrap w:val="0"/>
            <w:vAlign w:val="center"/>
          </w:tcPr>
          <w:p w14:paraId="1F90595A">
            <w:pPr>
              <w:keepNext w:val="0"/>
              <w:keepLines w:val="0"/>
              <w:pageBreakBefore w:val="0"/>
              <w:kinsoku/>
              <w:wordWrap/>
              <w:topLinePunct w:val="0"/>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土壤环境</w:t>
            </w:r>
          </w:p>
        </w:tc>
        <w:tc>
          <w:tcPr>
            <w:tcW w:w="1976" w:type="dxa"/>
            <w:tcBorders>
              <w:tl2br w:val="nil"/>
              <w:tr2bl w:val="nil"/>
            </w:tcBorders>
            <w:noWrap w:val="0"/>
            <w:vAlign w:val="center"/>
          </w:tcPr>
          <w:p w14:paraId="5D954D9F">
            <w:pPr>
              <w:keepNext w:val="0"/>
              <w:keepLines w:val="0"/>
              <w:pageBreakBefore w:val="0"/>
              <w:widowControl/>
              <w:kinsoku/>
              <w:wordWrap/>
              <w:topLinePunct w:val="0"/>
              <w:bidi w:val="0"/>
              <w:spacing w:line="240" w:lineRule="auto"/>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地面工程对土壤影响</w:t>
            </w:r>
          </w:p>
        </w:tc>
        <w:tc>
          <w:tcPr>
            <w:tcW w:w="4531" w:type="dxa"/>
            <w:tcBorders>
              <w:tl2br w:val="nil"/>
              <w:tr2bl w:val="nil"/>
            </w:tcBorders>
            <w:noWrap w:val="0"/>
            <w:vAlign w:val="center"/>
          </w:tcPr>
          <w:p w14:paraId="3B3058E8">
            <w:pPr>
              <w:pStyle w:val="81"/>
              <w:keepNext w:val="0"/>
              <w:keepLines w:val="0"/>
              <w:pageBreakBefore w:val="0"/>
              <w:kinsoku/>
              <w:wordWrap/>
              <w:topLinePunct w:val="0"/>
              <w:bidi w:val="0"/>
              <w:spacing w:line="240" w:lineRule="auto"/>
              <w:jc w:val="left"/>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pH</w:t>
            </w:r>
            <w:r>
              <w:rPr>
                <w:rFonts w:hint="default" w:ascii="Times New Roman" w:hAnsi="Times New Roman" w:eastAsia="宋体" w:cs="Times New Roman"/>
                <w:color w:val="auto"/>
                <w:sz w:val="21"/>
                <w:szCs w:val="21"/>
                <w:highlight w:val="none"/>
              </w:rPr>
              <w:t>、石油烃</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土壤理化性质、</w:t>
            </w:r>
            <w:r>
              <w:rPr>
                <w:rFonts w:hint="eastAsia" w:ascii="Times New Roman" w:hAnsi="Times New Roman" w:eastAsia="宋体" w:cs="Times New Roman"/>
                <w:color w:val="auto"/>
                <w:kern w:val="0"/>
                <w:sz w:val="21"/>
                <w:szCs w:val="21"/>
                <w:highlight w:val="none"/>
                <w:lang w:val="en-US" w:eastAsia="zh-CN" w:bidi="ar"/>
              </w:rPr>
              <w:t>全盐量</w:t>
            </w:r>
            <w:r>
              <w:rPr>
                <w:rFonts w:hint="default" w:ascii="Times New Roman" w:hAnsi="Times New Roman" w:eastAsia="宋体" w:cs="Times New Roman"/>
                <w:color w:val="auto"/>
                <w:sz w:val="21"/>
                <w:szCs w:val="21"/>
                <w:highlight w:val="none"/>
              </w:rPr>
              <w:t>和《土壤环境质量建设用地土壤污染风险管控标准（试行）》（GB36600-2018）表1中45项基本因子：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w:t>
            </w:r>
            <w:r>
              <w:rPr>
                <w:rFonts w:hint="default" w:ascii="Times New Roman" w:hAnsi="Times New Roman" w:eastAsia="宋体" w:cs="Times New Roman"/>
                <w:color w:val="auto"/>
                <w:sz w:val="21"/>
                <w:szCs w:val="21"/>
                <w:highlight w:val="none"/>
                <w:lang w:eastAsia="zh-CN"/>
              </w:rPr>
              <w:t>。</w:t>
            </w:r>
          </w:p>
        </w:tc>
        <w:tc>
          <w:tcPr>
            <w:tcW w:w="1706" w:type="dxa"/>
            <w:tcBorders>
              <w:tl2br w:val="nil"/>
              <w:tr2bl w:val="nil"/>
            </w:tcBorders>
            <w:noWrap w:val="0"/>
            <w:vAlign w:val="center"/>
          </w:tcPr>
          <w:p w14:paraId="411F2B8F">
            <w:pPr>
              <w:keepNext w:val="0"/>
              <w:keepLines w:val="0"/>
              <w:pageBreakBefore w:val="0"/>
              <w:kinsoku/>
              <w:wordWrap/>
              <w:topLinePunct w:val="0"/>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石油烃</w:t>
            </w:r>
          </w:p>
        </w:tc>
      </w:tr>
      <w:tr w14:paraId="17722D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0" w:hRule="atLeast"/>
          <w:jc w:val="center"/>
        </w:trPr>
        <w:tc>
          <w:tcPr>
            <w:tcW w:w="553" w:type="dxa"/>
            <w:tcBorders>
              <w:tl2br w:val="nil"/>
              <w:tr2bl w:val="nil"/>
            </w:tcBorders>
            <w:noWrap w:val="0"/>
            <w:vAlign w:val="center"/>
          </w:tcPr>
          <w:p w14:paraId="2E9349F2">
            <w:pPr>
              <w:keepNext w:val="0"/>
              <w:keepLines w:val="0"/>
              <w:pageBreakBefore w:val="0"/>
              <w:kinsoku/>
              <w:wordWrap/>
              <w:topLinePunct w:val="0"/>
              <w:bidi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1976" w:type="dxa"/>
            <w:tcBorders>
              <w:tl2br w:val="nil"/>
              <w:tr2bl w:val="nil"/>
            </w:tcBorders>
            <w:noWrap w:val="0"/>
            <w:vAlign w:val="center"/>
          </w:tcPr>
          <w:p w14:paraId="63D647EE">
            <w:pPr>
              <w:keepNext w:val="0"/>
              <w:keepLines w:val="0"/>
              <w:pageBreakBefore w:val="0"/>
              <w:kinsoku/>
              <w:wordWrap/>
              <w:topLinePunct w:val="0"/>
              <w:bidi w:val="0"/>
              <w:spacing w:line="240" w:lineRule="auto"/>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6"/>
                <w:sz w:val="21"/>
                <w:szCs w:val="21"/>
                <w:lang w:val="en-US" w:eastAsia="zh-CN"/>
              </w:rPr>
              <w:t>地面工程施工</w:t>
            </w:r>
            <w:r>
              <w:rPr>
                <w:rFonts w:hint="default" w:ascii="Times New Roman" w:hAnsi="Times New Roman" w:eastAsia="宋体" w:cs="Times New Roman"/>
                <w:color w:val="auto"/>
                <w:spacing w:val="-6"/>
                <w:sz w:val="21"/>
                <w:szCs w:val="21"/>
              </w:rPr>
              <w:t>生活垃圾、建筑垃圾、工程弃土</w:t>
            </w:r>
            <w:r>
              <w:rPr>
                <w:rFonts w:hint="default" w:ascii="Times New Roman" w:hAnsi="Times New Roman" w:eastAsia="宋体" w:cs="Times New Roman"/>
                <w:color w:val="auto"/>
                <w:spacing w:val="-6"/>
                <w:sz w:val="21"/>
                <w:szCs w:val="21"/>
                <w:lang w:val="en-US" w:eastAsia="zh-CN"/>
              </w:rPr>
              <w:t>等</w:t>
            </w:r>
            <w:r>
              <w:rPr>
                <w:rFonts w:hint="default" w:ascii="Times New Roman" w:hAnsi="Times New Roman" w:eastAsia="宋体" w:cs="Times New Roman"/>
                <w:color w:val="auto"/>
                <w:spacing w:val="-6"/>
                <w:sz w:val="21"/>
                <w:szCs w:val="21"/>
                <w:highlight w:val="none"/>
                <w:lang w:val="en-US" w:eastAsia="zh-CN"/>
              </w:rPr>
              <w:t>；运营期废脱硫剂、废分子筛、清管废渣、油泥砂、落地油、废防渗膜、废润滑油、井下作业固废及生活垃圾；退役期</w:t>
            </w:r>
            <w:r>
              <w:rPr>
                <w:rFonts w:hint="default" w:ascii="Times New Roman" w:hAnsi="Times New Roman" w:eastAsia="宋体" w:cs="Times New Roman"/>
                <w:color w:val="auto"/>
                <w:spacing w:val="-6"/>
                <w:sz w:val="21"/>
                <w:szCs w:val="21"/>
                <w:lang w:val="en-US" w:eastAsia="zh-CN"/>
              </w:rPr>
              <w:t>地面设施拆除、井场清理等环节产生的废弃管道和设备、建筑垃圾、含油污泥等</w:t>
            </w:r>
          </w:p>
        </w:tc>
        <w:tc>
          <w:tcPr>
            <w:tcW w:w="4531" w:type="dxa"/>
            <w:tcBorders>
              <w:tl2br w:val="nil"/>
              <w:tr2bl w:val="nil"/>
            </w:tcBorders>
            <w:noWrap w:val="0"/>
            <w:vAlign w:val="center"/>
          </w:tcPr>
          <w:p w14:paraId="640CC6D2">
            <w:pPr>
              <w:keepNext w:val="0"/>
              <w:keepLines w:val="0"/>
              <w:pageBreakBefore w:val="0"/>
              <w:kinsoku/>
              <w:wordWrap/>
              <w:topLinePunct w:val="0"/>
              <w:bidi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06" w:type="dxa"/>
            <w:tcBorders>
              <w:tl2br w:val="nil"/>
              <w:tr2bl w:val="nil"/>
            </w:tcBorders>
            <w:noWrap w:val="0"/>
            <w:vAlign w:val="center"/>
          </w:tcPr>
          <w:p w14:paraId="7361A7B8">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lang w:val="en-US" w:eastAsia="zh-CN"/>
              </w:rPr>
              <w:t>施工期：</w:t>
            </w:r>
            <w:r>
              <w:rPr>
                <w:rFonts w:hint="default" w:ascii="Times New Roman" w:hAnsi="Times New Roman" w:eastAsia="宋体" w:cs="Times New Roman"/>
                <w:color w:val="auto"/>
                <w:spacing w:val="-6"/>
                <w:sz w:val="21"/>
                <w:szCs w:val="21"/>
                <w:highlight w:val="none"/>
              </w:rPr>
              <w:t>弃土弃方、建筑垃圾、生活垃圾</w:t>
            </w:r>
            <w:r>
              <w:rPr>
                <w:rFonts w:hint="default" w:ascii="Times New Roman" w:hAnsi="Times New Roman" w:eastAsia="宋体" w:cs="Times New Roman"/>
                <w:color w:val="auto"/>
                <w:spacing w:val="-6"/>
                <w:sz w:val="21"/>
                <w:szCs w:val="21"/>
                <w:lang w:val="en-US" w:eastAsia="zh-CN"/>
              </w:rPr>
              <w:t>。运营期：</w:t>
            </w:r>
            <w:r>
              <w:rPr>
                <w:rFonts w:hint="default" w:ascii="Times New Roman" w:hAnsi="Times New Roman" w:eastAsia="宋体" w:cs="Times New Roman"/>
                <w:color w:val="auto"/>
                <w:spacing w:val="-6"/>
                <w:sz w:val="21"/>
                <w:szCs w:val="21"/>
                <w:highlight w:val="none"/>
                <w:lang w:val="en-US" w:eastAsia="zh-CN"/>
              </w:rPr>
              <w:t>废脱硫剂、废分子筛、清管废渣、油泥砂、落地油、废防渗膜、废润滑油、井下作业固废及生活垃圾</w:t>
            </w:r>
            <w:r>
              <w:rPr>
                <w:rFonts w:hint="default" w:ascii="Times New Roman" w:hAnsi="Times New Roman" w:eastAsia="宋体" w:cs="Times New Roman"/>
                <w:color w:val="auto"/>
                <w:spacing w:val="-6"/>
                <w:sz w:val="21"/>
                <w:szCs w:val="21"/>
                <w:lang w:val="en-US" w:eastAsia="zh-CN"/>
              </w:rPr>
              <w:t>；</w:t>
            </w:r>
          </w:p>
          <w:p w14:paraId="47004C51">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lang w:val="en-US" w:eastAsia="zh-CN"/>
              </w:rPr>
              <w:t>退役期：废弃管道、设备、</w:t>
            </w:r>
            <w:r>
              <w:rPr>
                <w:rFonts w:hint="default" w:ascii="Times New Roman" w:hAnsi="Times New Roman" w:eastAsia="宋体" w:cs="Times New Roman"/>
                <w:color w:val="auto"/>
                <w:spacing w:val="-6"/>
                <w:sz w:val="21"/>
                <w:szCs w:val="21"/>
              </w:rPr>
              <w:t>建筑垃圾和</w:t>
            </w:r>
            <w:r>
              <w:rPr>
                <w:rFonts w:hint="default" w:ascii="Times New Roman" w:hAnsi="Times New Roman" w:eastAsia="宋体" w:cs="Times New Roman"/>
                <w:color w:val="auto"/>
                <w:spacing w:val="-6"/>
                <w:sz w:val="21"/>
                <w:szCs w:val="21"/>
                <w:lang w:val="en-US" w:eastAsia="zh-CN"/>
              </w:rPr>
              <w:t>含油污泥等</w:t>
            </w:r>
          </w:p>
        </w:tc>
      </w:tr>
      <w:tr w14:paraId="139BF8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3" w:type="dxa"/>
            <w:tcBorders>
              <w:tl2br w:val="nil"/>
              <w:tr2bl w:val="nil"/>
            </w:tcBorders>
            <w:noWrap w:val="0"/>
            <w:vAlign w:val="center"/>
          </w:tcPr>
          <w:p w14:paraId="33D50194">
            <w:pPr>
              <w:keepNext w:val="0"/>
              <w:keepLines w:val="0"/>
              <w:pageBreakBefore w:val="0"/>
              <w:kinsoku/>
              <w:wordWrap/>
              <w:topLinePunct w:val="0"/>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环境风险</w:t>
            </w:r>
          </w:p>
        </w:tc>
        <w:tc>
          <w:tcPr>
            <w:tcW w:w="1976" w:type="dxa"/>
            <w:tcBorders>
              <w:tl2br w:val="nil"/>
              <w:tr2bl w:val="nil"/>
            </w:tcBorders>
            <w:noWrap w:val="0"/>
            <w:vAlign w:val="center"/>
          </w:tcPr>
          <w:p w14:paraId="76FEA3D6">
            <w:pPr>
              <w:keepNext w:val="0"/>
              <w:keepLines w:val="0"/>
              <w:pageBreakBefore w:val="0"/>
              <w:kinsoku/>
              <w:wordWrap/>
              <w:topLinePunct w:val="0"/>
              <w:bidi w:val="0"/>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石油、天然气等危险物质泄漏，以及火灾、爆炸、井喷等安全生产风险事故引发的伴生/次生污染物对生态环境的影响。</w:t>
            </w:r>
          </w:p>
        </w:tc>
        <w:tc>
          <w:tcPr>
            <w:tcW w:w="4531" w:type="dxa"/>
            <w:tcBorders>
              <w:tl2br w:val="nil"/>
              <w:tr2bl w:val="nil"/>
            </w:tcBorders>
            <w:noWrap w:val="0"/>
            <w:vAlign w:val="center"/>
          </w:tcPr>
          <w:p w14:paraId="0E33137B">
            <w:pPr>
              <w:keepNext w:val="0"/>
              <w:keepLines w:val="0"/>
              <w:pageBreakBefore w:val="0"/>
              <w:kinsoku/>
              <w:wordWrap/>
              <w:topLinePunct w:val="0"/>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706" w:type="dxa"/>
            <w:tcBorders>
              <w:tl2br w:val="nil"/>
              <w:tr2bl w:val="nil"/>
            </w:tcBorders>
            <w:noWrap w:val="0"/>
            <w:vAlign w:val="center"/>
          </w:tcPr>
          <w:p w14:paraId="29609304">
            <w:pPr>
              <w:keepNext w:val="0"/>
              <w:keepLines w:val="0"/>
              <w:pageBreakBefore w:val="0"/>
              <w:widowControl w:val="0"/>
              <w:kinsoku/>
              <w:wordWrap/>
              <w:overflowPunct/>
              <w:topLinePunct w:val="0"/>
              <w:bidi w:val="0"/>
              <w:snapToGrid w:val="0"/>
              <w:spacing w:line="240" w:lineRule="auto"/>
              <w:jc w:val="left"/>
              <w:textAlignment w:val="auto"/>
              <w:rPr>
                <w:rFonts w:hint="default" w:ascii="Times New Roman" w:hAnsi="Times New Roman" w:eastAsia="宋体" w:cs="Times New Roman"/>
                <w:color w:val="auto"/>
                <w:spacing w:val="-11"/>
                <w:sz w:val="21"/>
                <w:szCs w:val="21"/>
                <w:highlight w:val="none"/>
                <w:lang w:eastAsia="zh-CN"/>
              </w:rPr>
            </w:pPr>
            <w:r>
              <w:rPr>
                <w:rFonts w:hint="default" w:ascii="Times New Roman" w:hAnsi="Times New Roman" w:eastAsia="宋体" w:cs="Times New Roman"/>
                <w:color w:val="auto"/>
                <w:spacing w:val="-11"/>
                <w:sz w:val="21"/>
                <w:szCs w:val="21"/>
                <w:highlight w:val="none"/>
                <w:lang w:val="en-US" w:eastAsia="zh-CN"/>
              </w:rPr>
              <w:t>原油</w:t>
            </w:r>
            <w:r>
              <w:rPr>
                <w:rFonts w:hint="default" w:ascii="Times New Roman" w:hAnsi="Times New Roman" w:eastAsia="宋体" w:cs="Times New Roman"/>
                <w:color w:val="auto"/>
                <w:spacing w:val="-11"/>
                <w:sz w:val="21"/>
                <w:szCs w:val="21"/>
                <w:highlight w:val="none"/>
              </w:rPr>
              <w:t>、</w:t>
            </w:r>
            <w:r>
              <w:rPr>
                <w:rFonts w:hint="default" w:ascii="Times New Roman" w:hAnsi="Times New Roman" w:eastAsia="宋体" w:cs="Times New Roman"/>
                <w:color w:val="auto"/>
                <w:spacing w:val="-11"/>
                <w:sz w:val="21"/>
                <w:szCs w:val="21"/>
                <w:highlight w:val="none"/>
                <w:lang w:val="en-US" w:eastAsia="zh-CN"/>
              </w:rPr>
              <w:t>伴生气</w:t>
            </w:r>
            <w:r>
              <w:rPr>
                <w:rFonts w:hint="default" w:ascii="Times New Roman" w:hAnsi="Times New Roman" w:eastAsia="宋体" w:cs="Times New Roman"/>
                <w:color w:val="auto"/>
                <w:spacing w:val="-11"/>
                <w:sz w:val="21"/>
                <w:szCs w:val="21"/>
                <w:highlight w:val="none"/>
                <w:lang w:eastAsia="zh-CN"/>
              </w:rPr>
              <w:t>；二次污染物：CO、CO</w:t>
            </w:r>
            <w:r>
              <w:rPr>
                <w:rFonts w:hint="default" w:ascii="Times New Roman" w:hAnsi="Times New Roman" w:eastAsia="宋体" w:cs="Times New Roman"/>
                <w:color w:val="auto"/>
                <w:spacing w:val="-11"/>
                <w:sz w:val="21"/>
                <w:szCs w:val="21"/>
                <w:highlight w:val="none"/>
                <w:vertAlign w:val="subscript"/>
                <w:lang w:eastAsia="zh-CN"/>
              </w:rPr>
              <w:t>2</w:t>
            </w:r>
          </w:p>
          <w:p w14:paraId="4CB7A9FB">
            <w:pPr>
              <w:keepNext w:val="0"/>
              <w:keepLines w:val="0"/>
              <w:pageBreakBefore w:val="0"/>
              <w:kinsoku/>
              <w:wordWrap/>
              <w:topLinePunct w:val="0"/>
              <w:bidi w:val="0"/>
              <w:spacing w:line="240" w:lineRule="auto"/>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结合当地的气象条件，对</w:t>
            </w:r>
            <w:r>
              <w:rPr>
                <w:rFonts w:hint="eastAsia" w:cs="Times New Roman"/>
                <w:color w:val="auto"/>
                <w:sz w:val="21"/>
                <w:szCs w:val="21"/>
                <w:highlight w:val="none"/>
                <w:lang w:val="en-US" w:eastAsia="zh-CN"/>
              </w:rPr>
              <w:t>油田</w:t>
            </w:r>
            <w:r>
              <w:rPr>
                <w:rFonts w:hint="default" w:ascii="Times New Roman" w:hAnsi="Times New Roman" w:eastAsia="宋体" w:cs="Times New Roman"/>
                <w:color w:val="auto"/>
                <w:sz w:val="21"/>
                <w:szCs w:val="21"/>
                <w:highlight w:val="none"/>
              </w:rPr>
              <w:t>运营期间井场、输油管道可能发生的泄漏事故进行预测分析</w:t>
            </w:r>
          </w:p>
        </w:tc>
      </w:tr>
    </w:tbl>
    <w:p w14:paraId="0AC339CD">
      <w:pPr>
        <w:pStyle w:val="75"/>
        <w:bidi w:val="0"/>
        <w:rPr>
          <w:rFonts w:hint="default"/>
          <w:color w:val="auto"/>
          <w:lang w:val="en-US" w:eastAsia="zh-CN"/>
        </w:rPr>
      </w:pPr>
      <w:bookmarkStart w:id="99" w:name="_Toc109382911"/>
      <w:bookmarkStart w:id="100" w:name="_Toc412"/>
      <w:bookmarkStart w:id="101" w:name="_Toc10324"/>
      <w:bookmarkStart w:id="102" w:name="_Toc27959"/>
      <w:r>
        <w:rPr>
          <w:rFonts w:hint="default"/>
          <w:color w:val="auto"/>
        </w:rPr>
        <w:t>2.</w:t>
      </w:r>
      <w:r>
        <w:rPr>
          <w:rFonts w:hint="eastAsia"/>
          <w:color w:val="auto"/>
          <w:lang w:val="en-US" w:eastAsia="zh-CN"/>
        </w:rPr>
        <w:t xml:space="preserve">4 </w:t>
      </w:r>
      <w:r>
        <w:rPr>
          <w:rFonts w:hint="default"/>
          <w:color w:val="auto"/>
        </w:rPr>
        <w:t>环境功能区划</w:t>
      </w:r>
      <w:bookmarkEnd w:id="89"/>
      <w:bookmarkEnd w:id="90"/>
      <w:bookmarkEnd w:id="91"/>
      <w:bookmarkEnd w:id="92"/>
      <w:bookmarkEnd w:id="93"/>
      <w:bookmarkEnd w:id="94"/>
      <w:bookmarkEnd w:id="95"/>
      <w:bookmarkEnd w:id="96"/>
      <w:bookmarkEnd w:id="99"/>
      <w:bookmarkEnd w:id="100"/>
      <w:bookmarkEnd w:id="101"/>
      <w:r>
        <w:rPr>
          <w:rFonts w:hint="eastAsia"/>
          <w:color w:val="auto"/>
          <w:lang w:val="en-US" w:eastAsia="zh-CN"/>
        </w:rPr>
        <w:t>及评价标准</w:t>
      </w:r>
      <w:bookmarkEnd w:id="102"/>
    </w:p>
    <w:p w14:paraId="3C745E86">
      <w:pPr>
        <w:pStyle w:val="54"/>
        <w:bidi w:val="0"/>
        <w:rPr>
          <w:rFonts w:hint="default"/>
          <w:color w:val="auto"/>
        </w:rPr>
      </w:pPr>
      <w:bookmarkStart w:id="103" w:name="_Toc337551362"/>
      <w:bookmarkStart w:id="104" w:name="_Toc338688632"/>
      <w:bookmarkStart w:id="105" w:name="_Toc330457759"/>
      <w:bookmarkStart w:id="106" w:name="_Toc312148945"/>
      <w:bookmarkStart w:id="107" w:name="_Toc313911261"/>
      <w:bookmarkStart w:id="108" w:name="_Toc339279448"/>
      <w:bookmarkStart w:id="109" w:name="_Toc355253832"/>
      <w:r>
        <w:rPr>
          <w:rFonts w:hint="default"/>
          <w:color w:val="auto"/>
        </w:rPr>
        <w:t>2.</w:t>
      </w:r>
      <w:r>
        <w:rPr>
          <w:rFonts w:hint="eastAsia"/>
          <w:color w:val="auto"/>
          <w:lang w:val="en-US" w:eastAsia="zh-CN"/>
        </w:rPr>
        <w:t>4</w:t>
      </w:r>
      <w:r>
        <w:rPr>
          <w:rFonts w:hint="default"/>
          <w:color w:val="auto"/>
        </w:rPr>
        <w:t>.1</w:t>
      </w:r>
      <w:r>
        <w:rPr>
          <w:rFonts w:hint="eastAsia"/>
          <w:color w:val="auto"/>
          <w:lang w:val="en-US" w:eastAsia="zh-CN"/>
        </w:rPr>
        <w:t xml:space="preserve"> </w:t>
      </w:r>
      <w:r>
        <w:rPr>
          <w:rFonts w:hint="default"/>
          <w:color w:val="auto"/>
        </w:rPr>
        <w:t>环境</w:t>
      </w:r>
      <w:r>
        <w:rPr>
          <w:rFonts w:hint="eastAsia"/>
          <w:color w:val="auto"/>
          <w:lang w:val="en-US" w:eastAsia="zh-CN"/>
        </w:rPr>
        <w:t>功能区划</w:t>
      </w:r>
    </w:p>
    <w:p w14:paraId="1368A2C5">
      <w:pPr>
        <w:pStyle w:val="55"/>
        <w:bidi w:val="0"/>
        <w:rPr>
          <w:rFonts w:hint="default"/>
          <w:color w:val="auto"/>
        </w:rPr>
      </w:pPr>
      <w:r>
        <w:rPr>
          <w:rFonts w:hint="default"/>
          <w:color w:val="auto"/>
        </w:rPr>
        <w:t>2.</w:t>
      </w:r>
      <w:r>
        <w:rPr>
          <w:rFonts w:hint="eastAsia"/>
          <w:color w:val="auto"/>
          <w:lang w:val="en-US" w:eastAsia="zh-CN"/>
        </w:rPr>
        <w:t xml:space="preserve">4.1.1 </w:t>
      </w:r>
      <w:r>
        <w:rPr>
          <w:rFonts w:hint="default"/>
          <w:color w:val="auto"/>
        </w:rPr>
        <w:t>生态环境</w:t>
      </w:r>
    </w:p>
    <w:p w14:paraId="574123B4">
      <w:pPr>
        <w:pStyle w:val="79"/>
        <w:bidi w:val="0"/>
        <w:rPr>
          <w:rFonts w:hint="default"/>
          <w:color w:val="auto"/>
        </w:rPr>
      </w:pPr>
      <w:r>
        <w:rPr>
          <w:rFonts w:hint="default"/>
          <w:color w:val="auto"/>
        </w:rPr>
        <w:t>根据《新疆生态功能区划》（2005版），项目区属于塔里木盆地暖温荒漠及绿洲农业生态区（Ⅳ），塔里木盆地西部、北部荒漠及绿洲农业生态亚区（Ⅳ</w:t>
      </w:r>
      <w:r>
        <w:rPr>
          <w:rFonts w:hint="default"/>
          <w:color w:val="auto"/>
          <w:vertAlign w:val="subscript"/>
        </w:rPr>
        <w:t>1</w:t>
      </w:r>
      <w:r>
        <w:rPr>
          <w:rFonts w:hint="default"/>
          <w:color w:val="auto"/>
        </w:rPr>
        <w:t>），阿克苏河冲积平原绿洲农业生态功能区（5</w:t>
      </w:r>
      <w:r>
        <w:rPr>
          <w:rFonts w:hint="eastAsia"/>
          <w:color w:val="auto"/>
          <w:lang w:val="en-US" w:eastAsia="zh-CN"/>
        </w:rPr>
        <w:t>6</w:t>
      </w:r>
      <w:r>
        <w:rPr>
          <w:rFonts w:hint="default"/>
          <w:color w:val="auto"/>
        </w:rPr>
        <w:t>）。区域内的油气资源丰富，</w:t>
      </w:r>
      <w:r>
        <w:rPr>
          <w:rFonts w:hint="eastAsia"/>
          <w:color w:val="auto"/>
          <w:lang w:eastAsia="zh-CN"/>
        </w:rPr>
        <w:t>油气田</w:t>
      </w:r>
      <w:r>
        <w:rPr>
          <w:rFonts w:hint="default"/>
          <w:color w:val="auto"/>
        </w:rPr>
        <w:t>勘探开发工作已开展多年。</w:t>
      </w:r>
    </w:p>
    <w:p w14:paraId="6A5645C8">
      <w:pPr>
        <w:pStyle w:val="79"/>
        <w:bidi w:val="0"/>
        <w:rPr>
          <w:rFonts w:hint="default"/>
          <w:color w:val="auto"/>
        </w:rPr>
      </w:pPr>
      <w:r>
        <w:rPr>
          <w:rFonts w:hint="default"/>
          <w:color w:val="auto"/>
        </w:rPr>
        <w:t>根据新疆维吾尔自治区水利厅于2019年1月21日印发的新水水保〔2019〕4号，水土流失重点预防区和重点治理区复核划分成果，全疆共划分了2个重点预防区，4个重点治理区，包括天山山区重点预防区、塔里木河中上游重点预防区、额尔齐斯河流域重点治理区、天山北坡诸小河流域重点治理区、塔里木河流域重点治理区、伊犁河流域重点治理区。根据水土流失重点预防区和重点治理区划分</w:t>
      </w:r>
      <w:r>
        <w:rPr>
          <w:rFonts w:hint="eastAsia"/>
          <w:color w:val="auto"/>
          <w:lang w:eastAsia="zh-CN"/>
        </w:rPr>
        <w:t>表</w:t>
      </w:r>
      <w:r>
        <w:rPr>
          <w:rFonts w:hint="default"/>
          <w:color w:val="auto"/>
        </w:rPr>
        <w:t>可知，阿克苏地区温宿县位于II</w:t>
      </w:r>
      <w:r>
        <w:rPr>
          <w:rFonts w:hint="default"/>
          <w:color w:val="auto"/>
          <w:vertAlign w:val="subscript"/>
        </w:rPr>
        <w:t>3</w:t>
      </w:r>
      <w:r>
        <w:rPr>
          <w:rFonts w:hint="default"/>
          <w:color w:val="auto"/>
        </w:rPr>
        <w:t>塔里木河流域重点治理区。</w:t>
      </w:r>
    </w:p>
    <w:p w14:paraId="1527D587">
      <w:pPr>
        <w:pStyle w:val="55"/>
        <w:bidi w:val="0"/>
        <w:rPr>
          <w:rFonts w:hint="default"/>
          <w:color w:val="auto"/>
        </w:rPr>
      </w:pPr>
      <w:r>
        <w:rPr>
          <w:rFonts w:hint="default"/>
          <w:color w:val="auto"/>
        </w:rPr>
        <w:t>2.</w:t>
      </w:r>
      <w:r>
        <w:rPr>
          <w:rFonts w:hint="eastAsia"/>
          <w:color w:val="auto"/>
          <w:lang w:val="en-US" w:eastAsia="zh-CN"/>
        </w:rPr>
        <w:t xml:space="preserve">4.1.2 </w:t>
      </w:r>
      <w:r>
        <w:rPr>
          <w:rFonts w:hint="default"/>
          <w:color w:val="auto"/>
        </w:rPr>
        <w:t>水环境</w:t>
      </w:r>
    </w:p>
    <w:p w14:paraId="5FCE7015">
      <w:pPr>
        <w:pStyle w:val="79"/>
        <w:bidi w:val="0"/>
        <w:rPr>
          <w:rFonts w:hint="eastAsia"/>
          <w:color w:val="auto"/>
          <w:lang w:eastAsia="zh-CN"/>
        </w:rPr>
      </w:pPr>
      <w:r>
        <w:rPr>
          <w:rFonts w:hint="default"/>
          <w:color w:val="auto"/>
        </w:rPr>
        <w:t>项目区</w:t>
      </w:r>
      <w:r>
        <w:rPr>
          <w:rFonts w:hint="eastAsia"/>
          <w:color w:val="auto"/>
          <w:lang w:eastAsia="zh-CN"/>
        </w:rPr>
        <w:t>周边5km范围内无地表水体，故不对区域内地表水进行现状调查。</w:t>
      </w:r>
    </w:p>
    <w:p w14:paraId="246926F0">
      <w:pPr>
        <w:pStyle w:val="79"/>
        <w:bidi w:val="0"/>
        <w:rPr>
          <w:rFonts w:hint="default"/>
          <w:color w:val="auto"/>
        </w:rPr>
      </w:pPr>
      <w:r>
        <w:rPr>
          <w:rFonts w:hint="default"/>
          <w:color w:val="auto"/>
        </w:rPr>
        <w:t>评价区</w:t>
      </w:r>
      <w:r>
        <w:rPr>
          <w:rFonts w:hint="eastAsia"/>
          <w:color w:val="auto"/>
          <w:lang w:val="en-US" w:eastAsia="zh-CN"/>
        </w:rPr>
        <w:t>因</w:t>
      </w:r>
      <w:r>
        <w:rPr>
          <w:rFonts w:hint="default"/>
          <w:color w:val="auto"/>
        </w:rPr>
        <w:t>地下水自然地质因素，属较差水质，不适宜直接饮用，项目所在区域地下水未进行功能区划分，本次执行《地下水质量标准》（GB/T14848-2017）Ⅲ类标准，其中石油类参照执行《地表水环境质量标准》（GB3838-2002）</w:t>
      </w:r>
      <w:r>
        <w:rPr>
          <w:rFonts w:hint="eastAsia"/>
          <w:color w:val="auto"/>
          <w:lang w:eastAsia="zh-CN"/>
        </w:rPr>
        <w:t>Ⅲ</w:t>
      </w:r>
      <w:r>
        <w:rPr>
          <w:rFonts w:hint="default"/>
          <w:color w:val="auto"/>
        </w:rPr>
        <w:t>类标准限值。</w:t>
      </w:r>
    </w:p>
    <w:p w14:paraId="3C54E2A2">
      <w:pPr>
        <w:pStyle w:val="55"/>
        <w:bidi w:val="0"/>
        <w:rPr>
          <w:rFonts w:hint="default"/>
          <w:color w:val="auto"/>
        </w:rPr>
      </w:pPr>
      <w:r>
        <w:rPr>
          <w:rFonts w:hint="default"/>
          <w:color w:val="auto"/>
        </w:rPr>
        <w:t>2.</w:t>
      </w:r>
      <w:r>
        <w:rPr>
          <w:rFonts w:hint="eastAsia"/>
          <w:color w:val="auto"/>
          <w:lang w:val="en-US" w:eastAsia="zh-CN"/>
        </w:rPr>
        <w:t>4.1</w:t>
      </w:r>
      <w:r>
        <w:rPr>
          <w:rFonts w:hint="default"/>
          <w:color w:val="auto"/>
        </w:rPr>
        <w:t>.</w:t>
      </w:r>
      <w:r>
        <w:rPr>
          <w:rFonts w:hint="eastAsia"/>
          <w:color w:val="auto"/>
          <w:lang w:val="en-US" w:eastAsia="zh-CN"/>
        </w:rPr>
        <w:t xml:space="preserve">3 </w:t>
      </w:r>
      <w:r>
        <w:rPr>
          <w:rFonts w:hint="default"/>
          <w:color w:val="auto"/>
        </w:rPr>
        <w:t>环境</w:t>
      </w:r>
      <w:bookmarkEnd w:id="103"/>
      <w:bookmarkEnd w:id="104"/>
      <w:bookmarkEnd w:id="105"/>
      <w:bookmarkEnd w:id="106"/>
      <w:bookmarkEnd w:id="107"/>
      <w:bookmarkEnd w:id="108"/>
      <w:bookmarkEnd w:id="109"/>
      <w:r>
        <w:rPr>
          <w:rFonts w:hint="eastAsia"/>
          <w:color w:val="auto"/>
          <w:lang w:val="en-US" w:eastAsia="zh-CN"/>
        </w:rPr>
        <w:t>空气</w:t>
      </w:r>
    </w:p>
    <w:p w14:paraId="7C8F199F">
      <w:pPr>
        <w:pStyle w:val="79"/>
        <w:bidi w:val="0"/>
        <w:rPr>
          <w:rFonts w:hint="default"/>
          <w:color w:val="auto"/>
        </w:rPr>
      </w:pPr>
      <w:r>
        <w:rPr>
          <w:rFonts w:hint="default"/>
          <w:color w:val="auto"/>
        </w:rPr>
        <w:t>本工程所在地位于新疆维吾尔自治区阿克苏地区温宿县境内，西北方向距温宿县城约80.7km，</w:t>
      </w:r>
      <w:r>
        <w:rPr>
          <w:rFonts w:hint="eastAsia"/>
          <w:color w:val="auto"/>
          <w:lang w:val="en-US" w:eastAsia="zh-CN"/>
        </w:rPr>
        <w:t>东北侧距离新和县114km</w:t>
      </w:r>
      <w:r>
        <w:rPr>
          <w:rFonts w:hint="default"/>
          <w:color w:val="auto"/>
        </w:rPr>
        <w:t>。</w:t>
      </w:r>
    </w:p>
    <w:p w14:paraId="3877274B">
      <w:pPr>
        <w:pStyle w:val="79"/>
        <w:bidi w:val="0"/>
        <w:rPr>
          <w:rFonts w:hint="default"/>
          <w:color w:val="auto"/>
        </w:rPr>
      </w:pPr>
      <w:r>
        <w:rPr>
          <w:rFonts w:hint="default"/>
          <w:color w:val="auto"/>
        </w:rPr>
        <w:t>项目区远离温宿县城镇规划区，没有划分环境空气功能区划。按《环境空气质量标准》（GB3095-2012）及其修改单的规定，该区域的环境空气质量功能区划属二类功能区。</w:t>
      </w:r>
    </w:p>
    <w:p w14:paraId="118CAA80">
      <w:pPr>
        <w:pStyle w:val="55"/>
        <w:bidi w:val="0"/>
        <w:rPr>
          <w:rFonts w:hint="default"/>
          <w:color w:val="auto"/>
        </w:rPr>
      </w:pPr>
      <w:r>
        <w:rPr>
          <w:rFonts w:hint="default"/>
          <w:color w:val="auto"/>
        </w:rPr>
        <w:t>2.</w:t>
      </w:r>
      <w:r>
        <w:rPr>
          <w:rFonts w:hint="eastAsia"/>
          <w:color w:val="auto"/>
          <w:lang w:val="en-US" w:eastAsia="zh-CN"/>
        </w:rPr>
        <w:t>4.1</w:t>
      </w:r>
      <w:r>
        <w:rPr>
          <w:rFonts w:hint="default"/>
          <w:color w:val="auto"/>
        </w:rPr>
        <w:t>.</w:t>
      </w:r>
      <w:r>
        <w:rPr>
          <w:rFonts w:hint="eastAsia"/>
          <w:color w:val="auto"/>
          <w:lang w:val="en-US" w:eastAsia="zh-CN"/>
        </w:rPr>
        <w:t xml:space="preserve">4 </w:t>
      </w:r>
      <w:r>
        <w:rPr>
          <w:rFonts w:hint="default"/>
          <w:color w:val="auto"/>
        </w:rPr>
        <w:t>声环境</w:t>
      </w:r>
    </w:p>
    <w:p w14:paraId="54F43721">
      <w:pPr>
        <w:pStyle w:val="79"/>
        <w:bidi w:val="0"/>
        <w:rPr>
          <w:rFonts w:hint="default"/>
          <w:color w:val="auto"/>
        </w:rPr>
      </w:pPr>
      <w:r>
        <w:rPr>
          <w:rFonts w:hint="default"/>
          <w:color w:val="auto"/>
        </w:rPr>
        <w:t>项目区为</w:t>
      </w:r>
      <w:r>
        <w:rPr>
          <w:rFonts w:hint="eastAsia"/>
          <w:color w:val="auto"/>
          <w:lang w:eastAsia="zh-CN"/>
        </w:rPr>
        <w:t>油田</w:t>
      </w:r>
      <w:r>
        <w:rPr>
          <w:rFonts w:hint="default"/>
          <w:color w:val="auto"/>
        </w:rPr>
        <w:t>开发区，远离温宿县城镇规划区，目前暂未进行声环境功能区划，根据《声环境质量标准》（GB3096-2008）要求，划定为2类声环境功能区。</w:t>
      </w:r>
    </w:p>
    <w:p w14:paraId="20A6333A">
      <w:pPr>
        <w:pStyle w:val="54"/>
        <w:bidi w:val="0"/>
        <w:rPr>
          <w:rFonts w:hint="default"/>
          <w:color w:val="auto"/>
          <w:lang w:val="en-US" w:eastAsia="zh-CN"/>
        </w:rPr>
      </w:pPr>
      <w:bookmarkStart w:id="110" w:name="_Toc11488"/>
      <w:bookmarkStart w:id="111" w:name="_Toc31298"/>
      <w:bookmarkStart w:id="112" w:name="_Toc119915000"/>
      <w:bookmarkStart w:id="113" w:name="_Toc29689"/>
      <w:bookmarkStart w:id="114" w:name="_Toc18899"/>
      <w:bookmarkStart w:id="115" w:name="_Toc5264"/>
      <w:r>
        <w:rPr>
          <w:rFonts w:hint="default"/>
          <w:color w:val="auto"/>
          <w:lang w:val="en-US" w:eastAsia="zh-CN"/>
        </w:rPr>
        <w:t>2.</w:t>
      </w:r>
      <w:r>
        <w:rPr>
          <w:rFonts w:hint="eastAsia"/>
          <w:color w:val="auto"/>
          <w:lang w:val="en-US" w:eastAsia="zh-CN"/>
        </w:rPr>
        <w:t>4</w:t>
      </w:r>
      <w:r>
        <w:rPr>
          <w:rFonts w:hint="default"/>
          <w:color w:val="auto"/>
          <w:lang w:val="en-US" w:eastAsia="zh-CN"/>
        </w:rPr>
        <w:t>.</w:t>
      </w:r>
      <w:r>
        <w:rPr>
          <w:rFonts w:hint="eastAsia"/>
          <w:color w:val="auto"/>
          <w:lang w:val="en-US" w:eastAsia="zh-CN"/>
        </w:rPr>
        <w:t xml:space="preserve">2 </w:t>
      </w:r>
      <w:r>
        <w:rPr>
          <w:rFonts w:hint="default"/>
          <w:color w:val="auto"/>
          <w:lang w:val="en-US" w:eastAsia="zh-CN"/>
        </w:rPr>
        <w:t>环境质量标准</w:t>
      </w:r>
    </w:p>
    <w:p w14:paraId="06539B16">
      <w:pPr>
        <w:pStyle w:val="55"/>
        <w:bidi w:val="0"/>
        <w:rPr>
          <w:rFonts w:hint="default"/>
          <w:color w:val="auto"/>
        </w:rPr>
      </w:pPr>
      <w:r>
        <w:rPr>
          <w:rFonts w:hint="eastAsia"/>
          <w:color w:val="auto"/>
          <w:lang w:val="en-US" w:eastAsia="zh-CN"/>
        </w:rPr>
        <w:t>2.4.2.1</w:t>
      </w:r>
      <w:r>
        <w:rPr>
          <w:rFonts w:hint="default"/>
          <w:color w:val="auto"/>
        </w:rPr>
        <w:t>水环境</w:t>
      </w:r>
    </w:p>
    <w:p w14:paraId="4F73ACE7">
      <w:pPr>
        <w:pStyle w:val="79"/>
        <w:bidi w:val="0"/>
        <w:rPr>
          <w:rFonts w:hint="default"/>
          <w:color w:val="auto"/>
          <w:lang w:val="en-US" w:eastAsia="zh-CN"/>
        </w:rPr>
      </w:pPr>
      <w:r>
        <w:rPr>
          <w:rFonts w:hint="default"/>
          <w:color w:val="auto"/>
        </w:rPr>
        <w:t>项目区</w:t>
      </w:r>
      <w:r>
        <w:rPr>
          <w:rFonts w:hint="eastAsia"/>
          <w:color w:val="auto"/>
          <w:lang w:val="en-US" w:eastAsia="zh-CN"/>
        </w:rPr>
        <w:t>周边5km范围内无地表水体。</w:t>
      </w:r>
    </w:p>
    <w:p w14:paraId="3BB71F0C">
      <w:pPr>
        <w:pStyle w:val="79"/>
        <w:bidi w:val="0"/>
        <w:rPr>
          <w:rFonts w:hint="default"/>
          <w:color w:val="auto"/>
        </w:rPr>
      </w:pPr>
      <w:r>
        <w:rPr>
          <w:rFonts w:hint="default"/>
          <w:color w:val="auto"/>
        </w:rPr>
        <w:t>评价区地下水</w:t>
      </w:r>
      <w:r>
        <w:rPr>
          <w:rFonts w:hint="default"/>
          <w:color w:val="auto"/>
          <w:lang w:val="en-US" w:eastAsia="zh-CN"/>
        </w:rPr>
        <w:t>因</w:t>
      </w:r>
      <w:r>
        <w:rPr>
          <w:rFonts w:hint="default"/>
          <w:color w:val="auto"/>
        </w:rPr>
        <w:t>自然地质因素</w:t>
      </w:r>
      <w:r>
        <w:rPr>
          <w:rFonts w:hint="default"/>
          <w:color w:val="auto"/>
          <w:lang w:val="en-US" w:eastAsia="zh-CN"/>
        </w:rPr>
        <w:t>影响</w:t>
      </w:r>
      <w:r>
        <w:rPr>
          <w:rFonts w:hint="default"/>
          <w:color w:val="auto"/>
        </w:rPr>
        <w:t>，属较差水质，执行《地下水质量标准》（GB/T14848-2017）中的</w:t>
      </w:r>
      <w:r>
        <w:rPr>
          <w:rFonts w:hint="default"/>
          <w:color w:val="auto"/>
        </w:rPr>
        <w:fldChar w:fldCharType="begin"/>
      </w:r>
      <w:r>
        <w:rPr>
          <w:rFonts w:hint="default"/>
          <w:color w:val="auto"/>
        </w:rPr>
        <w:instrText xml:space="preserve"> = 3 \* ROMAN \* MERGEFORMAT </w:instrText>
      </w:r>
      <w:r>
        <w:rPr>
          <w:rFonts w:hint="default"/>
          <w:color w:val="auto"/>
        </w:rPr>
        <w:fldChar w:fldCharType="separate"/>
      </w:r>
      <w:r>
        <w:rPr>
          <w:rFonts w:hint="eastAsia"/>
          <w:color w:val="auto"/>
          <w:lang w:eastAsia="zh-CN"/>
        </w:rPr>
        <w:t>Ⅲ</w:t>
      </w:r>
      <w:r>
        <w:rPr>
          <w:rFonts w:hint="default"/>
          <w:color w:val="auto"/>
        </w:rPr>
        <w:fldChar w:fldCharType="end"/>
      </w:r>
      <w:r>
        <w:rPr>
          <w:rFonts w:hint="default"/>
          <w:color w:val="auto"/>
        </w:rPr>
        <w:t>类标准，石油类参照《地表水环境质量标准》（GB3838-2002）中的</w:t>
      </w:r>
      <w:r>
        <w:rPr>
          <w:rFonts w:hint="eastAsia"/>
          <w:color w:val="auto"/>
          <w:lang w:eastAsia="zh-CN"/>
        </w:rPr>
        <w:t>Ⅲ</w:t>
      </w:r>
      <w:r>
        <w:rPr>
          <w:rFonts w:hint="default"/>
          <w:color w:val="auto"/>
        </w:rPr>
        <w:t>类标准值。</w:t>
      </w:r>
    </w:p>
    <w:p w14:paraId="6E1A9A38">
      <w:pPr>
        <w:pStyle w:val="79"/>
        <w:bidi w:val="0"/>
        <w:rPr>
          <w:rFonts w:hint="default" w:ascii="Times New Roman" w:hAnsi="Times New Roman" w:eastAsia="黑体" w:cs="Times New Roman"/>
          <w:b/>
          <w:color w:val="auto"/>
          <w:kern w:val="0"/>
          <w:szCs w:val="21"/>
          <w:highlight w:val="none"/>
        </w:rPr>
      </w:pPr>
      <w:r>
        <w:rPr>
          <w:rFonts w:hint="default"/>
          <w:color w:val="auto"/>
        </w:rPr>
        <w:t>地下水水质评价标准值</w:t>
      </w:r>
      <w:r>
        <w:rPr>
          <w:rFonts w:hint="eastAsia"/>
          <w:color w:val="auto"/>
          <w:lang w:eastAsia="zh-CN"/>
        </w:rPr>
        <w:t>，</w:t>
      </w:r>
      <w:r>
        <w:rPr>
          <w:rFonts w:hint="default"/>
          <w:color w:val="auto"/>
        </w:rPr>
        <w:t>见表2.</w:t>
      </w:r>
      <w:r>
        <w:rPr>
          <w:rFonts w:hint="eastAsia"/>
          <w:color w:val="auto"/>
          <w:lang w:val="en-US" w:eastAsia="zh-CN"/>
        </w:rPr>
        <w:t>4-1</w:t>
      </w:r>
      <w:r>
        <w:rPr>
          <w:rFonts w:hint="default"/>
          <w:color w:val="auto"/>
        </w:rPr>
        <w:t>。</w:t>
      </w:r>
    </w:p>
    <w:p w14:paraId="716589C7">
      <w:pPr>
        <w:pStyle w:val="61"/>
        <w:bidi w:val="0"/>
        <w:jc w:val="both"/>
        <w:rPr>
          <w:rFonts w:hint="default"/>
          <w:color w:val="auto"/>
        </w:rPr>
      </w:pPr>
      <w:r>
        <w:rPr>
          <w:rFonts w:hint="eastAsia"/>
          <w:color w:val="auto"/>
        </w:rPr>
        <w:t>表2.</w:t>
      </w:r>
      <w:r>
        <w:rPr>
          <w:rFonts w:hint="eastAsia"/>
          <w:color w:val="auto"/>
          <w:lang w:val="en-US" w:eastAsia="zh-CN"/>
        </w:rPr>
        <w:t>4</w:t>
      </w:r>
      <w:r>
        <w:rPr>
          <w:rFonts w:hint="eastAsia"/>
          <w:color w:val="auto"/>
        </w:rPr>
        <w:t>-</w:t>
      </w:r>
      <w:r>
        <w:rPr>
          <w:rFonts w:hint="eastAsia"/>
          <w:color w:val="auto"/>
          <w:lang w:val="en-US" w:eastAsia="zh-CN"/>
        </w:rPr>
        <w:t xml:space="preserve">1  </w:t>
      </w:r>
      <w:r>
        <w:rPr>
          <w:rFonts w:hint="eastAsia"/>
          <w:color w:val="auto"/>
        </w:rPr>
        <w:t>地下水质量标准值单位：mg/L</w:t>
      </w:r>
    </w:p>
    <w:tbl>
      <w:tblPr>
        <w:tblStyle w:val="36"/>
        <w:tblW w:w="4905" w:type="pct"/>
        <w:tblInd w:w="8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90"/>
        <w:gridCol w:w="2268"/>
        <w:gridCol w:w="1195"/>
        <w:gridCol w:w="1094"/>
        <w:gridCol w:w="1786"/>
        <w:gridCol w:w="1133"/>
      </w:tblGrid>
      <w:tr w14:paraId="74728A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blHeader/>
        </w:trPr>
        <w:tc>
          <w:tcPr>
            <w:tcW w:w="686" w:type="pct"/>
            <w:tcBorders>
              <w:tl2br w:val="nil"/>
              <w:tr2bl w:val="nil"/>
            </w:tcBorders>
            <w:noWrap w:val="0"/>
            <w:vAlign w:val="center"/>
          </w:tcPr>
          <w:p w14:paraId="75A69923">
            <w:pPr>
              <w:keepNext w:val="0"/>
              <w:keepLines w:val="0"/>
              <w:pageBreakBefore w:val="0"/>
              <w:widowControl/>
              <w:kinsoku/>
              <w:wordWrap/>
              <w:overflowPunct/>
              <w:topLinePunct w:val="0"/>
              <w:autoSpaceDE/>
              <w:autoSpaceDN/>
              <w:bidi w:val="0"/>
              <w:adjustRightIn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序号</w:t>
            </w:r>
          </w:p>
        </w:tc>
        <w:tc>
          <w:tcPr>
            <w:tcW w:w="1308" w:type="pct"/>
            <w:tcBorders>
              <w:tl2br w:val="nil"/>
              <w:tr2bl w:val="nil"/>
            </w:tcBorders>
            <w:noWrap w:val="0"/>
            <w:vAlign w:val="center"/>
          </w:tcPr>
          <w:p w14:paraId="4DC65DDC">
            <w:pPr>
              <w:keepNext w:val="0"/>
              <w:keepLines w:val="0"/>
              <w:pageBreakBefore w:val="0"/>
              <w:widowControl/>
              <w:kinsoku/>
              <w:wordWrap/>
              <w:overflowPunct/>
              <w:topLinePunct w:val="0"/>
              <w:autoSpaceDE/>
              <w:autoSpaceDN/>
              <w:bidi w:val="0"/>
              <w:adjustRightIn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w:t>
            </w:r>
          </w:p>
        </w:tc>
        <w:tc>
          <w:tcPr>
            <w:tcW w:w="689" w:type="pct"/>
            <w:tcBorders>
              <w:tl2br w:val="nil"/>
              <w:tr2bl w:val="nil"/>
            </w:tcBorders>
            <w:noWrap w:val="0"/>
            <w:vAlign w:val="center"/>
          </w:tcPr>
          <w:p w14:paraId="6A2588F6">
            <w:pPr>
              <w:keepNext w:val="0"/>
              <w:keepLines w:val="0"/>
              <w:pageBreakBefore w:val="0"/>
              <w:widowControl/>
              <w:kinsoku/>
              <w:wordWrap/>
              <w:overflowPunct/>
              <w:topLinePunct w:val="0"/>
              <w:autoSpaceDE/>
              <w:autoSpaceDN/>
              <w:bidi w:val="0"/>
              <w:adjustRightIn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标准限值</w:t>
            </w:r>
          </w:p>
        </w:tc>
        <w:tc>
          <w:tcPr>
            <w:tcW w:w="631" w:type="pct"/>
            <w:tcBorders>
              <w:tl2br w:val="nil"/>
              <w:tr2bl w:val="nil"/>
            </w:tcBorders>
            <w:noWrap w:val="0"/>
            <w:vAlign w:val="center"/>
          </w:tcPr>
          <w:p w14:paraId="36CB2D6F">
            <w:pPr>
              <w:keepNext w:val="0"/>
              <w:keepLines w:val="0"/>
              <w:pageBreakBefore w:val="0"/>
              <w:widowControl/>
              <w:kinsoku/>
              <w:wordWrap/>
              <w:overflowPunct/>
              <w:topLinePunct w:val="0"/>
              <w:autoSpaceDE/>
              <w:autoSpaceDN/>
              <w:bidi w:val="0"/>
              <w:adjustRightIn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序号</w:t>
            </w:r>
          </w:p>
        </w:tc>
        <w:tc>
          <w:tcPr>
            <w:tcW w:w="1030" w:type="pct"/>
            <w:tcBorders>
              <w:tl2br w:val="nil"/>
              <w:tr2bl w:val="nil"/>
            </w:tcBorders>
            <w:noWrap w:val="0"/>
            <w:vAlign w:val="center"/>
          </w:tcPr>
          <w:p w14:paraId="060EF412">
            <w:pPr>
              <w:keepNext w:val="0"/>
              <w:keepLines w:val="0"/>
              <w:pageBreakBefore w:val="0"/>
              <w:widowControl/>
              <w:kinsoku/>
              <w:wordWrap/>
              <w:overflowPunct/>
              <w:topLinePunct w:val="0"/>
              <w:autoSpaceDE/>
              <w:autoSpaceDN/>
              <w:bidi w:val="0"/>
              <w:adjustRightIn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w:t>
            </w:r>
          </w:p>
        </w:tc>
        <w:tc>
          <w:tcPr>
            <w:tcW w:w="653" w:type="pct"/>
            <w:tcBorders>
              <w:tl2br w:val="nil"/>
              <w:tr2bl w:val="nil"/>
            </w:tcBorders>
            <w:noWrap w:val="0"/>
            <w:vAlign w:val="center"/>
          </w:tcPr>
          <w:p w14:paraId="386D14C7">
            <w:pPr>
              <w:keepNext w:val="0"/>
              <w:keepLines w:val="0"/>
              <w:pageBreakBefore w:val="0"/>
              <w:widowControl/>
              <w:kinsoku/>
              <w:wordWrap/>
              <w:overflowPunct/>
              <w:topLinePunct w:val="0"/>
              <w:autoSpaceDE/>
              <w:autoSpaceDN/>
              <w:bidi w:val="0"/>
              <w:adjustRightIn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标准限值</w:t>
            </w:r>
          </w:p>
        </w:tc>
      </w:tr>
      <w:tr w14:paraId="38DAAD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686" w:type="pct"/>
            <w:tcBorders>
              <w:tl2br w:val="nil"/>
              <w:tr2bl w:val="nil"/>
            </w:tcBorders>
            <w:noWrap w:val="0"/>
            <w:vAlign w:val="center"/>
          </w:tcPr>
          <w:p w14:paraId="6BF1388F">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bidi="ar"/>
              </w:rPr>
              <w:t>1</w:t>
            </w:r>
          </w:p>
        </w:tc>
        <w:tc>
          <w:tcPr>
            <w:tcW w:w="1308" w:type="pct"/>
            <w:tcBorders>
              <w:tl2br w:val="nil"/>
              <w:tr2bl w:val="nil"/>
            </w:tcBorders>
            <w:noWrap w:val="0"/>
            <w:vAlign w:val="center"/>
          </w:tcPr>
          <w:p w14:paraId="40D72499">
            <w:pPr>
              <w:keepNext w:val="0"/>
              <w:keepLines w:val="0"/>
              <w:pageBreakBefore w:val="0"/>
              <w:widowControl/>
              <w:kinsoku/>
              <w:wordWrap/>
              <w:overflowPunct/>
              <w:topLinePunct w:val="0"/>
              <w:autoSpaceDE/>
              <w:autoSpaceDN/>
              <w:bidi w:val="0"/>
              <w:adjustRightIn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pH（无量纲）</w:t>
            </w:r>
          </w:p>
        </w:tc>
        <w:tc>
          <w:tcPr>
            <w:tcW w:w="689" w:type="pct"/>
            <w:tcBorders>
              <w:tl2br w:val="nil"/>
              <w:tr2bl w:val="nil"/>
            </w:tcBorders>
            <w:noWrap w:val="0"/>
            <w:vAlign w:val="center"/>
          </w:tcPr>
          <w:p w14:paraId="3651683F">
            <w:pPr>
              <w:keepNext w:val="0"/>
              <w:keepLines w:val="0"/>
              <w:pageBreakBefore w:val="0"/>
              <w:widowControl/>
              <w:kinsoku/>
              <w:wordWrap/>
              <w:overflowPunct/>
              <w:topLinePunct w:val="0"/>
              <w:autoSpaceDE/>
              <w:autoSpaceDN/>
              <w:bidi w:val="0"/>
              <w:adjustRightIn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6.5~8.5</w:t>
            </w:r>
          </w:p>
        </w:tc>
        <w:tc>
          <w:tcPr>
            <w:tcW w:w="631" w:type="pct"/>
            <w:tcBorders>
              <w:tl2br w:val="nil"/>
              <w:tr2bl w:val="nil"/>
            </w:tcBorders>
            <w:noWrap w:val="0"/>
            <w:vAlign w:val="center"/>
          </w:tcPr>
          <w:p w14:paraId="798EFCC4">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14</w:t>
            </w:r>
          </w:p>
        </w:tc>
        <w:tc>
          <w:tcPr>
            <w:tcW w:w="1030" w:type="pct"/>
            <w:tcBorders>
              <w:tl2br w:val="nil"/>
              <w:tr2bl w:val="nil"/>
            </w:tcBorders>
            <w:noWrap w:val="0"/>
            <w:vAlign w:val="center"/>
          </w:tcPr>
          <w:p w14:paraId="7384A52B">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汞</w:t>
            </w:r>
          </w:p>
        </w:tc>
        <w:tc>
          <w:tcPr>
            <w:tcW w:w="653" w:type="pct"/>
            <w:tcBorders>
              <w:tl2br w:val="nil"/>
              <w:tr2bl w:val="nil"/>
            </w:tcBorders>
            <w:noWrap w:val="0"/>
            <w:vAlign w:val="center"/>
          </w:tcPr>
          <w:p w14:paraId="1E5032C2">
            <w:pPr>
              <w:keepNext w:val="0"/>
              <w:keepLines w:val="0"/>
              <w:pageBreakBefore w:val="0"/>
              <w:widowControl/>
              <w:kinsoku/>
              <w:wordWrap/>
              <w:overflowPunct/>
              <w:topLinePunct w:val="0"/>
              <w:autoSpaceDE/>
              <w:autoSpaceDN/>
              <w:bidi w:val="0"/>
              <w:adjustRightInd/>
              <w:spacing w:line="40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≤0.001</w:t>
            </w:r>
          </w:p>
        </w:tc>
      </w:tr>
      <w:tr w14:paraId="4C1376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686" w:type="pct"/>
            <w:tcBorders>
              <w:tl2br w:val="nil"/>
              <w:tr2bl w:val="nil"/>
            </w:tcBorders>
            <w:noWrap w:val="0"/>
            <w:vAlign w:val="center"/>
          </w:tcPr>
          <w:p w14:paraId="6705664D">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bidi="ar"/>
              </w:rPr>
              <w:t>2</w:t>
            </w:r>
          </w:p>
        </w:tc>
        <w:tc>
          <w:tcPr>
            <w:tcW w:w="1308" w:type="pct"/>
            <w:tcBorders>
              <w:tl2br w:val="nil"/>
              <w:tr2bl w:val="nil"/>
            </w:tcBorders>
            <w:noWrap w:val="0"/>
            <w:vAlign w:val="center"/>
          </w:tcPr>
          <w:p w14:paraId="6698E2AA">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总硬度</w:t>
            </w:r>
          </w:p>
        </w:tc>
        <w:tc>
          <w:tcPr>
            <w:tcW w:w="689" w:type="pct"/>
            <w:tcBorders>
              <w:tl2br w:val="nil"/>
              <w:tr2bl w:val="nil"/>
            </w:tcBorders>
            <w:noWrap w:val="0"/>
            <w:vAlign w:val="center"/>
          </w:tcPr>
          <w:p w14:paraId="38F36609">
            <w:pPr>
              <w:keepNext w:val="0"/>
              <w:keepLines w:val="0"/>
              <w:pageBreakBefore w:val="0"/>
              <w:widowControl/>
              <w:kinsoku/>
              <w:wordWrap/>
              <w:overflowPunct/>
              <w:topLinePunct w:val="0"/>
              <w:autoSpaceDE/>
              <w:autoSpaceDN/>
              <w:bidi w:val="0"/>
              <w:adjustRightIn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≤450</w:t>
            </w:r>
          </w:p>
        </w:tc>
        <w:tc>
          <w:tcPr>
            <w:tcW w:w="631" w:type="pct"/>
            <w:tcBorders>
              <w:tl2br w:val="nil"/>
              <w:tr2bl w:val="nil"/>
            </w:tcBorders>
            <w:noWrap w:val="0"/>
            <w:vAlign w:val="center"/>
          </w:tcPr>
          <w:p w14:paraId="07B3DC86">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15</w:t>
            </w:r>
          </w:p>
        </w:tc>
        <w:tc>
          <w:tcPr>
            <w:tcW w:w="1030" w:type="pct"/>
            <w:tcBorders>
              <w:tl2br w:val="nil"/>
              <w:tr2bl w:val="nil"/>
            </w:tcBorders>
            <w:noWrap w:val="0"/>
            <w:vAlign w:val="center"/>
          </w:tcPr>
          <w:p w14:paraId="157C1BD7">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砷</w:t>
            </w:r>
          </w:p>
        </w:tc>
        <w:tc>
          <w:tcPr>
            <w:tcW w:w="653" w:type="pct"/>
            <w:tcBorders>
              <w:tl2br w:val="nil"/>
              <w:tr2bl w:val="nil"/>
            </w:tcBorders>
            <w:noWrap w:val="0"/>
            <w:vAlign w:val="center"/>
          </w:tcPr>
          <w:p w14:paraId="1C5042FD">
            <w:pPr>
              <w:keepNext w:val="0"/>
              <w:keepLines w:val="0"/>
              <w:pageBreakBefore w:val="0"/>
              <w:widowControl/>
              <w:kinsoku/>
              <w:wordWrap/>
              <w:overflowPunct/>
              <w:topLinePunct w:val="0"/>
              <w:autoSpaceDE/>
              <w:autoSpaceDN/>
              <w:bidi w:val="0"/>
              <w:adjustRightInd/>
              <w:spacing w:line="40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≤0.01</w:t>
            </w:r>
          </w:p>
        </w:tc>
      </w:tr>
      <w:tr w14:paraId="32CD4D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686" w:type="pct"/>
            <w:tcBorders>
              <w:tl2br w:val="nil"/>
              <w:tr2bl w:val="nil"/>
            </w:tcBorders>
            <w:noWrap w:val="0"/>
            <w:vAlign w:val="center"/>
          </w:tcPr>
          <w:p w14:paraId="429E039B">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bidi="ar"/>
              </w:rPr>
              <w:t>3</w:t>
            </w:r>
          </w:p>
        </w:tc>
        <w:tc>
          <w:tcPr>
            <w:tcW w:w="1308" w:type="pct"/>
            <w:tcBorders>
              <w:tl2br w:val="nil"/>
              <w:tr2bl w:val="nil"/>
            </w:tcBorders>
            <w:noWrap w:val="0"/>
            <w:vAlign w:val="center"/>
          </w:tcPr>
          <w:p w14:paraId="48BA123C">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溶解性总固体</w:t>
            </w:r>
          </w:p>
        </w:tc>
        <w:tc>
          <w:tcPr>
            <w:tcW w:w="689" w:type="pct"/>
            <w:tcBorders>
              <w:tl2br w:val="nil"/>
              <w:tr2bl w:val="nil"/>
            </w:tcBorders>
            <w:noWrap w:val="0"/>
            <w:vAlign w:val="center"/>
          </w:tcPr>
          <w:p w14:paraId="297B8201">
            <w:pPr>
              <w:keepNext w:val="0"/>
              <w:keepLines w:val="0"/>
              <w:pageBreakBefore w:val="0"/>
              <w:widowControl/>
              <w:kinsoku/>
              <w:wordWrap/>
              <w:overflowPunct/>
              <w:topLinePunct w:val="0"/>
              <w:autoSpaceDE/>
              <w:autoSpaceDN/>
              <w:bidi w:val="0"/>
              <w:adjustRightIn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≤1000</w:t>
            </w:r>
          </w:p>
        </w:tc>
        <w:tc>
          <w:tcPr>
            <w:tcW w:w="631" w:type="pct"/>
            <w:tcBorders>
              <w:tl2br w:val="nil"/>
              <w:tr2bl w:val="nil"/>
            </w:tcBorders>
            <w:noWrap w:val="0"/>
            <w:vAlign w:val="center"/>
          </w:tcPr>
          <w:p w14:paraId="2CF13A7E">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16</w:t>
            </w:r>
          </w:p>
        </w:tc>
        <w:tc>
          <w:tcPr>
            <w:tcW w:w="1030" w:type="pct"/>
            <w:tcBorders>
              <w:tl2br w:val="nil"/>
              <w:tr2bl w:val="nil"/>
            </w:tcBorders>
            <w:noWrap w:val="0"/>
            <w:vAlign w:val="center"/>
          </w:tcPr>
          <w:p w14:paraId="454D0DDB">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镉</w:t>
            </w:r>
          </w:p>
        </w:tc>
        <w:tc>
          <w:tcPr>
            <w:tcW w:w="653" w:type="pct"/>
            <w:tcBorders>
              <w:tl2br w:val="nil"/>
              <w:tr2bl w:val="nil"/>
            </w:tcBorders>
            <w:noWrap w:val="0"/>
            <w:vAlign w:val="center"/>
          </w:tcPr>
          <w:p w14:paraId="6F709F98">
            <w:pPr>
              <w:keepNext w:val="0"/>
              <w:keepLines w:val="0"/>
              <w:pageBreakBefore w:val="0"/>
              <w:widowControl/>
              <w:kinsoku/>
              <w:wordWrap/>
              <w:overflowPunct/>
              <w:topLinePunct w:val="0"/>
              <w:autoSpaceDE/>
              <w:autoSpaceDN/>
              <w:bidi w:val="0"/>
              <w:adjustRightInd/>
              <w:spacing w:line="40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≤0.005</w:t>
            </w:r>
          </w:p>
        </w:tc>
      </w:tr>
      <w:tr w14:paraId="66F9E7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686" w:type="pct"/>
            <w:tcBorders>
              <w:tl2br w:val="nil"/>
              <w:tr2bl w:val="nil"/>
            </w:tcBorders>
            <w:noWrap w:val="0"/>
            <w:vAlign w:val="center"/>
          </w:tcPr>
          <w:p w14:paraId="3C98929B">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bidi="ar"/>
              </w:rPr>
              <w:t>4</w:t>
            </w:r>
          </w:p>
        </w:tc>
        <w:tc>
          <w:tcPr>
            <w:tcW w:w="1308" w:type="pct"/>
            <w:tcBorders>
              <w:tl2br w:val="nil"/>
              <w:tr2bl w:val="nil"/>
            </w:tcBorders>
            <w:noWrap w:val="0"/>
            <w:vAlign w:val="center"/>
          </w:tcPr>
          <w:p w14:paraId="671ACE42">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硫酸盐</w:t>
            </w:r>
          </w:p>
        </w:tc>
        <w:tc>
          <w:tcPr>
            <w:tcW w:w="689" w:type="pct"/>
            <w:tcBorders>
              <w:tl2br w:val="nil"/>
              <w:tr2bl w:val="nil"/>
            </w:tcBorders>
            <w:noWrap w:val="0"/>
            <w:vAlign w:val="center"/>
          </w:tcPr>
          <w:p w14:paraId="77CE898D">
            <w:pPr>
              <w:keepNext w:val="0"/>
              <w:keepLines w:val="0"/>
              <w:pageBreakBefore w:val="0"/>
              <w:widowControl/>
              <w:kinsoku/>
              <w:wordWrap/>
              <w:overflowPunct/>
              <w:topLinePunct w:val="0"/>
              <w:autoSpaceDE/>
              <w:autoSpaceDN/>
              <w:bidi w:val="0"/>
              <w:adjustRightIn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≤250</w:t>
            </w:r>
          </w:p>
        </w:tc>
        <w:tc>
          <w:tcPr>
            <w:tcW w:w="631" w:type="pct"/>
            <w:tcBorders>
              <w:tl2br w:val="nil"/>
              <w:tr2bl w:val="nil"/>
            </w:tcBorders>
            <w:noWrap w:val="0"/>
            <w:vAlign w:val="center"/>
          </w:tcPr>
          <w:p w14:paraId="1AFE75F5">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17</w:t>
            </w:r>
          </w:p>
        </w:tc>
        <w:tc>
          <w:tcPr>
            <w:tcW w:w="1030" w:type="pct"/>
            <w:tcBorders>
              <w:tl2br w:val="nil"/>
              <w:tr2bl w:val="nil"/>
            </w:tcBorders>
            <w:noWrap w:val="0"/>
            <w:vAlign w:val="center"/>
          </w:tcPr>
          <w:p w14:paraId="6E7E2DB2">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六价铬</w:t>
            </w:r>
          </w:p>
        </w:tc>
        <w:tc>
          <w:tcPr>
            <w:tcW w:w="653" w:type="pct"/>
            <w:tcBorders>
              <w:tl2br w:val="nil"/>
              <w:tr2bl w:val="nil"/>
            </w:tcBorders>
            <w:noWrap w:val="0"/>
            <w:vAlign w:val="center"/>
          </w:tcPr>
          <w:p w14:paraId="586243B4">
            <w:pPr>
              <w:keepNext w:val="0"/>
              <w:keepLines w:val="0"/>
              <w:pageBreakBefore w:val="0"/>
              <w:widowControl/>
              <w:kinsoku/>
              <w:wordWrap/>
              <w:overflowPunct/>
              <w:topLinePunct w:val="0"/>
              <w:autoSpaceDE/>
              <w:autoSpaceDN/>
              <w:bidi w:val="0"/>
              <w:adjustRightInd/>
              <w:spacing w:line="40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≤0.05</w:t>
            </w:r>
          </w:p>
        </w:tc>
      </w:tr>
      <w:tr w14:paraId="016732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686" w:type="pct"/>
            <w:tcBorders>
              <w:tl2br w:val="nil"/>
              <w:tr2bl w:val="nil"/>
            </w:tcBorders>
            <w:noWrap w:val="0"/>
            <w:vAlign w:val="center"/>
          </w:tcPr>
          <w:p w14:paraId="6C60ADD7">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bidi="ar"/>
              </w:rPr>
              <w:t>5</w:t>
            </w:r>
          </w:p>
        </w:tc>
        <w:tc>
          <w:tcPr>
            <w:tcW w:w="1308" w:type="pct"/>
            <w:tcBorders>
              <w:tl2br w:val="nil"/>
              <w:tr2bl w:val="nil"/>
            </w:tcBorders>
            <w:noWrap w:val="0"/>
            <w:vAlign w:val="center"/>
          </w:tcPr>
          <w:p w14:paraId="32FBDAC7">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氯化物</w:t>
            </w:r>
          </w:p>
        </w:tc>
        <w:tc>
          <w:tcPr>
            <w:tcW w:w="689" w:type="pct"/>
            <w:tcBorders>
              <w:tl2br w:val="nil"/>
              <w:tr2bl w:val="nil"/>
            </w:tcBorders>
            <w:noWrap w:val="0"/>
            <w:vAlign w:val="center"/>
          </w:tcPr>
          <w:p w14:paraId="39CC32B3">
            <w:pPr>
              <w:keepNext w:val="0"/>
              <w:keepLines w:val="0"/>
              <w:pageBreakBefore w:val="0"/>
              <w:widowControl/>
              <w:kinsoku/>
              <w:wordWrap/>
              <w:overflowPunct/>
              <w:topLinePunct w:val="0"/>
              <w:autoSpaceDE/>
              <w:autoSpaceDN/>
              <w:bidi w:val="0"/>
              <w:adjustRightIn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≤250</w:t>
            </w:r>
          </w:p>
        </w:tc>
        <w:tc>
          <w:tcPr>
            <w:tcW w:w="631" w:type="pct"/>
            <w:tcBorders>
              <w:tl2br w:val="nil"/>
              <w:tr2bl w:val="nil"/>
            </w:tcBorders>
            <w:noWrap w:val="0"/>
            <w:vAlign w:val="center"/>
          </w:tcPr>
          <w:p w14:paraId="2377D051">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18</w:t>
            </w:r>
          </w:p>
        </w:tc>
        <w:tc>
          <w:tcPr>
            <w:tcW w:w="1030" w:type="pct"/>
            <w:tcBorders>
              <w:tl2br w:val="nil"/>
              <w:tr2bl w:val="nil"/>
            </w:tcBorders>
            <w:noWrap w:val="0"/>
            <w:vAlign w:val="center"/>
          </w:tcPr>
          <w:p w14:paraId="67E6394A">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铅</w:t>
            </w:r>
          </w:p>
        </w:tc>
        <w:tc>
          <w:tcPr>
            <w:tcW w:w="653" w:type="pct"/>
            <w:tcBorders>
              <w:tl2br w:val="nil"/>
              <w:tr2bl w:val="nil"/>
            </w:tcBorders>
            <w:noWrap w:val="0"/>
            <w:vAlign w:val="center"/>
          </w:tcPr>
          <w:p w14:paraId="743A3C60">
            <w:pPr>
              <w:keepNext w:val="0"/>
              <w:keepLines w:val="0"/>
              <w:pageBreakBefore w:val="0"/>
              <w:widowControl/>
              <w:kinsoku/>
              <w:wordWrap/>
              <w:overflowPunct/>
              <w:topLinePunct w:val="0"/>
              <w:autoSpaceDE/>
              <w:autoSpaceDN/>
              <w:bidi w:val="0"/>
              <w:adjustRightInd/>
              <w:spacing w:line="4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≤0.01</w:t>
            </w:r>
          </w:p>
        </w:tc>
      </w:tr>
      <w:tr w14:paraId="4C8F41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86" w:type="pct"/>
            <w:tcBorders>
              <w:tl2br w:val="nil"/>
              <w:tr2bl w:val="nil"/>
            </w:tcBorders>
            <w:noWrap w:val="0"/>
            <w:vAlign w:val="center"/>
          </w:tcPr>
          <w:p w14:paraId="329F34B8">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bidi="ar"/>
              </w:rPr>
              <w:t>6</w:t>
            </w:r>
          </w:p>
        </w:tc>
        <w:tc>
          <w:tcPr>
            <w:tcW w:w="1308" w:type="pct"/>
            <w:tcBorders>
              <w:tl2br w:val="nil"/>
              <w:tr2bl w:val="nil"/>
            </w:tcBorders>
            <w:noWrap w:val="0"/>
            <w:vAlign w:val="center"/>
          </w:tcPr>
          <w:p w14:paraId="45F6F245">
            <w:pPr>
              <w:keepNext w:val="0"/>
              <w:keepLines w:val="0"/>
              <w:pageBreakBefore w:val="0"/>
              <w:widowControl/>
              <w:kinsoku/>
              <w:wordWrap/>
              <w:overflowPunct/>
              <w:topLinePunct w:val="0"/>
              <w:autoSpaceDE/>
              <w:autoSpaceDN/>
              <w:bidi w:val="0"/>
              <w:adjustRightInd/>
              <w:snapToGrid w:val="0"/>
              <w:spacing w:line="400" w:lineRule="exact"/>
              <w:ind w:left="72"/>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铁</w:t>
            </w:r>
          </w:p>
        </w:tc>
        <w:tc>
          <w:tcPr>
            <w:tcW w:w="689" w:type="pct"/>
            <w:tcBorders>
              <w:tl2br w:val="nil"/>
              <w:tr2bl w:val="nil"/>
            </w:tcBorders>
            <w:noWrap w:val="0"/>
            <w:vAlign w:val="center"/>
          </w:tcPr>
          <w:p w14:paraId="3CABEF2B">
            <w:pPr>
              <w:keepNext w:val="0"/>
              <w:keepLines w:val="0"/>
              <w:pageBreakBefore w:val="0"/>
              <w:widowControl/>
              <w:kinsoku/>
              <w:wordWrap/>
              <w:overflowPunct/>
              <w:topLinePunct w:val="0"/>
              <w:autoSpaceDE/>
              <w:autoSpaceDN/>
              <w:bidi w:val="0"/>
              <w:adjustRightIn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≤0.3</w:t>
            </w:r>
          </w:p>
        </w:tc>
        <w:tc>
          <w:tcPr>
            <w:tcW w:w="631" w:type="pct"/>
            <w:tcBorders>
              <w:tl2br w:val="nil"/>
              <w:tr2bl w:val="nil"/>
            </w:tcBorders>
            <w:noWrap w:val="0"/>
            <w:vAlign w:val="center"/>
          </w:tcPr>
          <w:p w14:paraId="7AF89C80">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19</w:t>
            </w:r>
          </w:p>
        </w:tc>
        <w:tc>
          <w:tcPr>
            <w:tcW w:w="1030" w:type="pct"/>
            <w:tcBorders>
              <w:tl2br w:val="nil"/>
              <w:tr2bl w:val="nil"/>
            </w:tcBorders>
            <w:noWrap w:val="0"/>
            <w:vAlign w:val="center"/>
          </w:tcPr>
          <w:p w14:paraId="397D3994">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钾</w:t>
            </w:r>
          </w:p>
        </w:tc>
        <w:tc>
          <w:tcPr>
            <w:tcW w:w="653" w:type="pct"/>
            <w:tcBorders>
              <w:tl2br w:val="nil"/>
              <w:tr2bl w:val="nil"/>
            </w:tcBorders>
            <w:noWrap w:val="0"/>
            <w:vAlign w:val="center"/>
          </w:tcPr>
          <w:p w14:paraId="3FA63B86">
            <w:pPr>
              <w:keepNext w:val="0"/>
              <w:keepLines w:val="0"/>
              <w:pageBreakBefore w:val="0"/>
              <w:widowControl/>
              <w:kinsoku/>
              <w:wordWrap/>
              <w:overflowPunct/>
              <w:topLinePunct w:val="0"/>
              <w:autoSpaceDE/>
              <w:autoSpaceDN/>
              <w:bidi w:val="0"/>
              <w:adjustRightInd/>
              <w:spacing w:line="40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rPr>
              <w:t>/</w:t>
            </w:r>
          </w:p>
        </w:tc>
      </w:tr>
      <w:tr w14:paraId="1FB670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686" w:type="pct"/>
            <w:tcBorders>
              <w:tl2br w:val="nil"/>
              <w:tr2bl w:val="nil"/>
            </w:tcBorders>
            <w:noWrap w:val="0"/>
            <w:vAlign w:val="center"/>
          </w:tcPr>
          <w:p w14:paraId="22EDA52B">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bidi="ar"/>
              </w:rPr>
              <w:t>7</w:t>
            </w:r>
          </w:p>
        </w:tc>
        <w:tc>
          <w:tcPr>
            <w:tcW w:w="1308" w:type="pct"/>
            <w:tcBorders>
              <w:tl2br w:val="nil"/>
              <w:tr2bl w:val="nil"/>
            </w:tcBorders>
            <w:noWrap w:val="0"/>
            <w:vAlign w:val="center"/>
          </w:tcPr>
          <w:p w14:paraId="37B06841">
            <w:pPr>
              <w:keepNext w:val="0"/>
              <w:keepLines w:val="0"/>
              <w:pageBreakBefore w:val="0"/>
              <w:widowControl/>
              <w:kinsoku/>
              <w:wordWrap/>
              <w:overflowPunct/>
              <w:topLinePunct w:val="0"/>
              <w:autoSpaceDE/>
              <w:autoSpaceDN/>
              <w:bidi w:val="0"/>
              <w:adjustRightInd/>
              <w:snapToGrid w:val="0"/>
              <w:spacing w:line="400" w:lineRule="exact"/>
              <w:ind w:left="72"/>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锰</w:t>
            </w:r>
          </w:p>
        </w:tc>
        <w:tc>
          <w:tcPr>
            <w:tcW w:w="689" w:type="pct"/>
            <w:tcBorders>
              <w:tl2br w:val="nil"/>
              <w:tr2bl w:val="nil"/>
            </w:tcBorders>
            <w:noWrap w:val="0"/>
            <w:vAlign w:val="center"/>
          </w:tcPr>
          <w:p w14:paraId="051DAF49">
            <w:pPr>
              <w:keepNext w:val="0"/>
              <w:keepLines w:val="0"/>
              <w:pageBreakBefore w:val="0"/>
              <w:widowControl/>
              <w:kinsoku/>
              <w:wordWrap/>
              <w:overflowPunct/>
              <w:topLinePunct w:val="0"/>
              <w:autoSpaceDE/>
              <w:autoSpaceDN/>
              <w:bidi w:val="0"/>
              <w:adjustRightIn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≤0.10</w:t>
            </w:r>
          </w:p>
        </w:tc>
        <w:tc>
          <w:tcPr>
            <w:tcW w:w="631" w:type="pct"/>
            <w:tcBorders>
              <w:tl2br w:val="nil"/>
              <w:tr2bl w:val="nil"/>
            </w:tcBorders>
            <w:noWrap w:val="0"/>
            <w:vAlign w:val="center"/>
          </w:tcPr>
          <w:p w14:paraId="4A6C6F09">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20</w:t>
            </w:r>
          </w:p>
        </w:tc>
        <w:tc>
          <w:tcPr>
            <w:tcW w:w="1030" w:type="pct"/>
            <w:tcBorders>
              <w:tl2br w:val="nil"/>
              <w:tr2bl w:val="nil"/>
            </w:tcBorders>
            <w:noWrap w:val="0"/>
            <w:vAlign w:val="center"/>
          </w:tcPr>
          <w:p w14:paraId="3F255F4C">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钙</w:t>
            </w:r>
          </w:p>
        </w:tc>
        <w:tc>
          <w:tcPr>
            <w:tcW w:w="653" w:type="pct"/>
            <w:tcBorders>
              <w:tl2br w:val="nil"/>
              <w:tr2bl w:val="nil"/>
            </w:tcBorders>
            <w:noWrap w:val="0"/>
            <w:vAlign w:val="center"/>
          </w:tcPr>
          <w:p w14:paraId="6233CE87">
            <w:pPr>
              <w:keepNext w:val="0"/>
              <w:keepLines w:val="0"/>
              <w:pageBreakBefore w:val="0"/>
              <w:widowControl/>
              <w:kinsoku/>
              <w:wordWrap/>
              <w:overflowPunct/>
              <w:topLinePunct w:val="0"/>
              <w:autoSpaceDE/>
              <w:autoSpaceDN/>
              <w:bidi w:val="0"/>
              <w:adjustRightInd/>
              <w:spacing w:line="40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rPr>
              <w:t>/</w:t>
            </w:r>
          </w:p>
        </w:tc>
      </w:tr>
      <w:tr w14:paraId="24A8EC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686" w:type="pct"/>
            <w:tcBorders>
              <w:tl2br w:val="nil"/>
              <w:tr2bl w:val="nil"/>
            </w:tcBorders>
            <w:noWrap w:val="0"/>
            <w:vAlign w:val="center"/>
          </w:tcPr>
          <w:p w14:paraId="44A32E5A">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bidi="ar"/>
              </w:rPr>
              <w:t>8</w:t>
            </w:r>
          </w:p>
        </w:tc>
        <w:tc>
          <w:tcPr>
            <w:tcW w:w="1308" w:type="pct"/>
            <w:tcBorders>
              <w:tl2br w:val="nil"/>
              <w:tr2bl w:val="nil"/>
            </w:tcBorders>
            <w:noWrap w:val="0"/>
            <w:vAlign w:val="center"/>
          </w:tcPr>
          <w:p w14:paraId="67039C65">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挥发酚</w:t>
            </w:r>
          </w:p>
        </w:tc>
        <w:tc>
          <w:tcPr>
            <w:tcW w:w="689" w:type="pct"/>
            <w:tcBorders>
              <w:tl2br w:val="nil"/>
              <w:tr2bl w:val="nil"/>
            </w:tcBorders>
            <w:noWrap w:val="0"/>
            <w:vAlign w:val="center"/>
          </w:tcPr>
          <w:p w14:paraId="7B9A2BAC">
            <w:pPr>
              <w:keepNext w:val="0"/>
              <w:keepLines w:val="0"/>
              <w:pageBreakBefore w:val="0"/>
              <w:widowControl/>
              <w:kinsoku/>
              <w:wordWrap/>
              <w:overflowPunct/>
              <w:topLinePunct w:val="0"/>
              <w:autoSpaceDE/>
              <w:autoSpaceDN/>
              <w:bidi w:val="0"/>
              <w:adjustRightIn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≤0.002</w:t>
            </w:r>
          </w:p>
        </w:tc>
        <w:tc>
          <w:tcPr>
            <w:tcW w:w="631" w:type="pct"/>
            <w:tcBorders>
              <w:tl2br w:val="nil"/>
              <w:tr2bl w:val="nil"/>
            </w:tcBorders>
            <w:noWrap w:val="0"/>
            <w:vAlign w:val="center"/>
          </w:tcPr>
          <w:p w14:paraId="6902F627">
            <w:pPr>
              <w:keepNext w:val="0"/>
              <w:keepLines w:val="0"/>
              <w:pageBreakBefore w:val="0"/>
              <w:widowControl/>
              <w:kinsoku/>
              <w:wordWrap/>
              <w:overflowPunct/>
              <w:topLinePunct w:val="0"/>
              <w:autoSpaceDE/>
              <w:autoSpaceDN/>
              <w:bidi w:val="0"/>
              <w:adjustRightInd/>
              <w:spacing w:line="4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21</w:t>
            </w:r>
          </w:p>
        </w:tc>
        <w:tc>
          <w:tcPr>
            <w:tcW w:w="1030" w:type="pct"/>
            <w:tcBorders>
              <w:tl2br w:val="nil"/>
              <w:tr2bl w:val="nil"/>
            </w:tcBorders>
            <w:noWrap w:val="0"/>
            <w:vAlign w:val="center"/>
          </w:tcPr>
          <w:p w14:paraId="3DC5861F">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镁</w:t>
            </w:r>
          </w:p>
        </w:tc>
        <w:tc>
          <w:tcPr>
            <w:tcW w:w="653" w:type="pct"/>
            <w:tcBorders>
              <w:tl2br w:val="nil"/>
              <w:tr2bl w:val="nil"/>
            </w:tcBorders>
            <w:noWrap w:val="0"/>
            <w:vAlign w:val="center"/>
          </w:tcPr>
          <w:p w14:paraId="426F5F28">
            <w:pPr>
              <w:keepNext w:val="0"/>
              <w:keepLines w:val="0"/>
              <w:pageBreakBefore w:val="0"/>
              <w:widowControl/>
              <w:kinsoku/>
              <w:wordWrap/>
              <w:overflowPunct/>
              <w:topLinePunct w:val="0"/>
              <w:autoSpaceDE/>
              <w:autoSpaceDN/>
              <w:bidi w:val="0"/>
              <w:adjustRightInd/>
              <w:spacing w:line="4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w:t>
            </w:r>
          </w:p>
        </w:tc>
      </w:tr>
      <w:tr w14:paraId="68331E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686" w:type="pct"/>
            <w:tcBorders>
              <w:tl2br w:val="nil"/>
              <w:tr2bl w:val="nil"/>
            </w:tcBorders>
            <w:noWrap w:val="0"/>
            <w:vAlign w:val="center"/>
          </w:tcPr>
          <w:p w14:paraId="282E40E8">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bidi="ar"/>
              </w:rPr>
              <w:t>9</w:t>
            </w:r>
          </w:p>
        </w:tc>
        <w:tc>
          <w:tcPr>
            <w:tcW w:w="1308" w:type="pct"/>
            <w:tcBorders>
              <w:tl2br w:val="nil"/>
              <w:tr2bl w:val="nil"/>
            </w:tcBorders>
            <w:noWrap w:val="0"/>
            <w:vAlign w:val="center"/>
          </w:tcPr>
          <w:p w14:paraId="628C456A">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耗氧量</w:t>
            </w:r>
          </w:p>
        </w:tc>
        <w:tc>
          <w:tcPr>
            <w:tcW w:w="689" w:type="pct"/>
            <w:tcBorders>
              <w:tl2br w:val="nil"/>
              <w:tr2bl w:val="nil"/>
            </w:tcBorders>
            <w:noWrap w:val="0"/>
            <w:vAlign w:val="center"/>
          </w:tcPr>
          <w:p w14:paraId="182E514E">
            <w:pPr>
              <w:keepNext w:val="0"/>
              <w:keepLines w:val="0"/>
              <w:pageBreakBefore w:val="0"/>
              <w:widowControl/>
              <w:kinsoku/>
              <w:wordWrap/>
              <w:overflowPunct/>
              <w:topLinePunct w:val="0"/>
              <w:autoSpaceDE/>
              <w:autoSpaceDN/>
              <w:bidi w:val="0"/>
              <w:adjustRightIn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≤3.0</w:t>
            </w:r>
          </w:p>
        </w:tc>
        <w:tc>
          <w:tcPr>
            <w:tcW w:w="631" w:type="pct"/>
            <w:tcBorders>
              <w:tl2br w:val="nil"/>
              <w:tr2bl w:val="nil"/>
            </w:tcBorders>
            <w:noWrap w:val="0"/>
            <w:vAlign w:val="center"/>
          </w:tcPr>
          <w:p w14:paraId="6461307D">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22</w:t>
            </w:r>
          </w:p>
        </w:tc>
        <w:tc>
          <w:tcPr>
            <w:tcW w:w="1030" w:type="pct"/>
            <w:tcBorders>
              <w:tl2br w:val="nil"/>
              <w:tr2bl w:val="nil"/>
            </w:tcBorders>
            <w:noWrap w:val="0"/>
            <w:vAlign w:val="center"/>
          </w:tcPr>
          <w:p w14:paraId="3D67DA81">
            <w:pPr>
              <w:keepNext w:val="0"/>
              <w:keepLines w:val="0"/>
              <w:pageBreakBefore w:val="0"/>
              <w:widowControl/>
              <w:kinsoku/>
              <w:wordWrap/>
              <w:overflowPunct/>
              <w:topLinePunct w:val="0"/>
              <w:autoSpaceDE/>
              <w:autoSpaceDN/>
              <w:bidi w:val="0"/>
              <w:adjustRightInd/>
              <w:spacing w:line="400" w:lineRule="exact"/>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碳酸盐</w:t>
            </w:r>
          </w:p>
        </w:tc>
        <w:tc>
          <w:tcPr>
            <w:tcW w:w="653" w:type="pct"/>
            <w:tcBorders>
              <w:tl2br w:val="nil"/>
              <w:tr2bl w:val="nil"/>
            </w:tcBorders>
            <w:noWrap w:val="0"/>
            <w:vAlign w:val="center"/>
          </w:tcPr>
          <w:p w14:paraId="3B3C7AB2">
            <w:pPr>
              <w:keepNext w:val="0"/>
              <w:keepLines w:val="0"/>
              <w:pageBreakBefore w:val="0"/>
              <w:widowControl/>
              <w:kinsoku/>
              <w:wordWrap/>
              <w:overflowPunct/>
              <w:topLinePunct w:val="0"/>
              <w:autoSpaceDE/>
              <w:autoSpaceDN/>
              <w:bidi w:val="0"/>
              <w:adjustRightInd/>
              <w:spacing w:line="4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rPr>
              <w:t>/</w:t>
            </w:r>
          </w:p>
        </w:tc>
      </w:tr>
      <w:tr w14:paraId="7CD241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686" w:type="pct"/>
            <w:tcBorders>
              <w:tl2br w:val="nil"/>
              <w:tr2bl w:val="nil"/>
            </w:tcBorders>
            <w:noWrap w:val="0"/>
            <w:vAlign w:val="center"/>
          </w:tcPr>
          <w:p w14:paraId="121922D0">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bidi="ar"/>
              </w:rPr>
              <w:t>10</w:t>
            </w:r>
          </w:p>
        </w:tc>
        <w:tc>
          <w:tcPr>
            <w:tcW w:w="1308" w:type="pct"/>
            <w:tcBorders>
              <w:tl2br w:val="nil"/>
              <w:tr2bl w:val="nil"/>
            </w:tcBorders>
            <w:noWrap w:val="0"/>
            <w:vAlign w:val="center"/>
          </w:tcPr>
          <w:p w14:paraId="17CD6E38">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氨氮</w:t>
            </w:r>
          </w:p>
        </w:tc>
        <w:tc>
          <w:tcPr>
            <w:tcW w:w="689" w:type="pct"/>
            <w:tcBorders>
              <w:tl2br w:val="nil"/>
              <w:tr2bl w:val="nil"/>
            </w:tcBorders>
            <w:noWrap w:val="0"/>
            <w:vAlign w:val="center"/>
          </w:tcPr>
          <w:p w14:paraId="77B843B7">
            <w:pPr>
              <w:keepNext w:val="0"/>
              <w:keepLines w:val="0"/>
              <w:pageBreakBefore w:val="0"/>
              <w:widowControl/>
              <w:kinsoku/>
              <w:wordWrap/>
              <w:overflowPunct/>
              <w:topLinePunct w:val="0"/>
              <w:autoSpaceDE/>
              <w:autoSpaceDN/>
              <w:bidi w:val="0"/>
              <w:adjustRightIn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≤0.50</w:t>
            </w:r>
          </w:p>
        </w:tc>
        <w:tc>
          <w:tcPr>
            <w:tcW w:w="631" w:type="pct"/>
            <w:tcBorders>
              <w:tl2br w:val="nil"/>
              <w:tr2bl w:val="nil"/>
            </w:tcBorders>
            <w:noWrap w:val="0"/>
            <w:vAlign w:val="center"/>
          </w:tcPr>
          <w:p w14:paraId="71FF66A3">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23</w:t>
            </w:r>
          </w:p>
        </w:tc>
        <w:tc>
          <w:tcPr>
            <w:tcW w:w="1030" w:type="pct"/>
            <w:tcBorders>
              <w:tl2br w:val="nil"/>
              <w:tr2bl w:val="nil"/>
            </w:tcBorders>
            <w:shd w:val="clear" w:color="auto" w:fill="auto"/>
            <w:noWrap w:val="0"/>
            <w:vAlign w:val="center"/>
          </w:tcPr>
          <w:p w14:paraId="46BF0800">
            <w:pPr>
              <w:keepNext w:val="0"/>
              <w:keepLines w:val="0"/>
              <w:pageBreakBefore w:val="0"/>
              <w:widowControl w:val="0"/>
              <w:kinsoku/>
              <w:wordWrap/>
              <w:overflowPunct/>
              <w:topLinePunct w:val="0"/>
              <w:autoSpaceDE/>
              <w:autoSpaceDN/>
              <w:bidi w:val="0"/>
              <w:adjustRightInd/>
              <w:spacing w:line="400" w:lineRule="exact"/>
              <w:jc w:val="center"/>
              <w:textAlignment w:val="center"/>
              <w:rPr>
                <w:rFonts w:hint="default" w:ascii="Times New Roman" w:hAnsi="Times New Roman" w:eastAsia="宋体" w:cs="Times New Roman"/>
                <w:bCs/>
                <w:color w:val="auto"/>
                <w:spacing w:val="4"/>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石油类</w:t>
            </w:r>
          </w:p>
        </w:tc>
        <w:tc>
          <w:tcPr>
            <w:tcW w:w="653" w:type="pct"/>
            <w:tcBorders>
              <w:tl2br w:val="nil"/>
              <w:tr2bl w:val="nil"/>
            </w:tcBorders>
            <w:shd w:val="clear" w:color="auto" w:fill="auto"/>
            <w:noWrap w:val="0"/>
            <w:vAlign w:val="center"/>
          </w:tcPr>
          <w:p w14:paraId="5220BEDD">
            <w:pPr>
              <w:keepNext w:val="0"/>
              <w:keepLines w:val="0"/>
              <w:pageBreakBefore w:val="0"/>
              <w:widowControl/>
              <w:kinsoku/>
              <w:wordWrap/>
              <w:overflowPunct/>
              <w:topLinePunct w:val="0"/>
              <w:autoSpaceDE/>
              <w:autoSpaceDN/>
              <w:bidi w:val="0"/>
              <w:adjustRightInd/>
              <w:spacing w:line="4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≤0.05</w:t>
            </w:r>
          </w:p>
        </w:tc>
      </w:tr>
      <w:tr w14:paraId="0B283B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686" w:type="pct"/>
            <w:tcBorders>
              <w:tl2br w:val="nil"/>
              <w:tr2bl w:val="nil"/>
            </w:tcBorders>
            <w:noWrap w:val="0"/>
            <w:vAlign w:val="center"/>
          </w:tcPr>
          <w:p w14:paraId="050377CD">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bidi="ar"/>
              </w:rPr>
              <w:t>11</w:t>
            </w:r>
          </w:p>
        </w:tc>
        <w:tc>
          <w:tcPr>
            <w:tcW w:w="1308" w:type="pct"/>
            <w:tcBorders>
              <w:tl2br w:val="nil"/>
              <w:tr2bl w:val="nil"/>
            </w:tcBorders>
            <w:noWrap w:val="0"/>
            <w:vAlign w:val="center"/>
          </w:tcPr>
          <w:p w14:paraId="0E1861E5">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钠</w:t>
            </w:r>
          </w:p>
        </w:tc>
        <w:tc>
          <w:tcPr>
            <w:tcW w:w="689" w:type="pct"/>
            <w:tcBorders>
              <w:tl2br w:val="nil"/>
              <w:tr2bl w:val="nil"/>
            </w:tcBorders>
            <w:noWrap w:val="0"/>
            <w:vAlign w:val="center"/>
          </w:tcPr>
          <w:p w14:paraId="5280DBF1">
            <w:pPr>
              <w:keepNext w:val="0"/>
              <w:keepLines w:val="0"/>
              <w:pageBreakBefore w:val="0"/>
              <w:widowControl/>
              <w:kinsoku/>
              <w:wordWrap/>
              <w:overflowPunct/>
              <w:topLinePunct w:val="0"/>
              <w:autoSpaceDE/>
              <w:autoSpaceDN/>
              <w:bidi w:val="0"/>
              <w:adjustRightIn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≤200</w:t>
            </w:r>
          </w:p>
        </w:tc>
        <w:tc>
          <w:tcPr>
            <w:tcW w:w="631" w:type="pct"/>
            <w:tcBorders>
              <w:tl2br w:val="nil"/>
              <w:tr2bl w:val="nil"/>
            </w:tcBorders>
            <w:noWrap w:val="0"/>
            <w:vAlign w:val="center"/>
          </w:tcPr>
          <w:p w14:paraId="7F640F72">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24</w:t>
            </w:r>
          </w:p>
        </w:tc>
        <w:tc>
          <w:tcPr>
            <w:tcW w:w="1030" w:type="pct"/>
            <w:tcBorders>
              <w:tl2br w:val="nil"/>
              <w:tr2bl w:val="nil"/>
            </w:tcBorders>
            <w:shd w:val="clear" w:color="auto" w:fill="auto"/>
            <w:noWrap w:val="0"/>
            <w:vAlign w:val="center"/>
          </w:tcPr>
          <w:p w14:paraId="7FD12617">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硝酸盐（以氮计）</w:t>
            </w:r>
          </w:p>
        </w:tc>
        <w:tc>
          <w:tcPr>
            <w:tcW w:w="653" w:type="pct"/>
            <w:tcBorders>
              <w:tl2br w:val="nil"/>
              <w:tr2bl w:val="nil"/>
            </w:tcBorders>
            <w:shd w:val="clear" w:color="auto" w:fill="auto"/>
            <w:noWrap w:val="0"/>
            <w:vAlign w:val="center"/>
          </w:tcPr>
          <w:p w14:paraId="2BCB8997">
            <w:pPr>
              <w:keepNext w:val="0"/>
              <w:keepLines w:val="0"/>
              <w:pageBreakBefore w:val="0"/>
              <w:widowControl/>
              <w:kinsoku/>
              <w:wordWrap/>
              <w:overflowPunct/>
              <w:topLinePunct w:val="0"/>
              <w:autoSpaceDE/>
              <w:autoSpaceDN/>
              <w:bidi w:val="0"/>
              <w:adjustRightInd/>
              <w:spacing w:line="4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≤20</w:t>
            </w:r>
          </w:p>
        </w:tc>
      </w:tr>
      <w:tr w14:paraId="00CB00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686" w:type="pct"/>
            <w:tcBorders>
              <w:tl2br w:val="nil"/>
              <w:tr2bl w:val="nil"/>
            </w:tcBorders>
            <w:noWrap w:val="0"/>
            <w:vAlign w:val="center"/>
          </w:tcPr>
          <w:p w14:paraId="0EC0E591">
            <w:pPr>
              <w:keepNext w:val="0"/>
              <w:keepLines w:val="0"/>
              <w:pageBreakBefore w:val="0"/>
              <w:widowControl/>
              <w:kinsoku/>
              <w:wordWrap/>
              <w:overflowPunct/>
              <w:topLinePunct w:val="0"/>
              <w:autoSpaceDE/>
              <w:autoSpaceDN/>
              <w:bidi w:val="0"/>
              <w:adjustRightIn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12</w:t>
            </w:r>
          </w:p>
        </w:tc>
        <w:tc>
          <w:tcPr>
            <w:tcW w:w="1308" w:type="pct"/>
            <w:tcBorders>
              <w:tl2br w:val="nil"/>
              <w:tr2bl w:val="nil"/>
            </w:tcBorders>
            <w:noWrap w:val="0"/>
            <w:vAlign w:val="center"/>
          </w:tcPr>
          <w:p w14:paraId="7AB60BA1">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氰化物</w:t>
            </w:r>
          </w:p>
        </w:tc>
        <w:tc>
          <w:tcPr>
            <w:tcW w:w="689" w:type="pct"/>
            <w:tcBorders>
              <w:tl2br w:val="nil"/>
              <w:tr2bl w:val="nil"/>
            </w:tcBorders>
            <w:noWrap w:val="0"/>
            <w:vAlign w:val="center"/>
          </w:tcPr>
          <w:p w14:paraId="5F985CAC">
            <w:pPr>
              <w:keepNext w:val="0"/>
              <w:keepLines w:val="0"/>
              <w:pageBreakBefore w:val="0"/>
              <w:widowControl/>
              <w:kinsoku/>
              <w:wordWrap/>
              <w:overflowPunct/>
              <w:topLinePunct w:val="0"/>
              <w:autoSpaceDE/>
              <w:autoSpaceDN/>
              <w:bidi w:val="0"/>
              <w:adjustRightIn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≤0.05</w:t>
            </w:r>
          </w:p>
        </w:tc>
        <w:tc>
          <w:tcPr>
            <w:tcW w:w="631" w:type="pct"/>
            <w:tcBorders>
              <w:tl2br w:val="nil"/>
              <w:tr2bl w:val="nil"/>
            </w:tcBorders>
            <w:noWrap w:val="0"/>
            <w:vAlign w:val="center"/>
          </w:tcPr>
          <w:p w14:paraId="49649F14">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25</w:t>
            </w:r>
          </w:p>
        </w:tc>
        <w:tc>
          <w:tcPr>
            <w:tcW w:w="1030" w:type="pct"/>
            <w:tcBorders>
              <w:tl2br w:val="nil"/>
              <w:tr2bl w:val="nil"/>
            </w:tcBorders>
            <w:shd w:val="clear" w:color="auto" w:fill="auto"/>
            <w:noWrap w:val="0"/>
            <w:vAlign w:val="center"/>
          </w:tcPr>
          <w:p w14:paraId="6503F58D">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氟化物</w:t>
            </w:r>
          </w:p>
        </w:tc>
        <w:tc>
          <w:tcPr>
            <w:tcW w:w="653" w:type="pct"/>
            <w:tcBorders>
              <w:tl2br w:val="nil"/>
              <w:tr2bl w:val="nil"/>
            </w:tcBorders>
            <w:shd w:val="clear" w:color="auto" w:fill="auto"/>
            <w:noWrap w:val="0"/>
            <w:vAlign w:val="center"/>
          </w:tcPr>
          <w:p w14:paraId="27B04D1C">
            <w:pPr>
              <w:keepNext w:val="0"/>
              <w:keepLines w:val="0"/>
              <w:pageBreakBefore w:val="0"/>
              <w:widowControl/>
              <w:kinsoku/>
              <w:wordWrap/>
              <w:overflowPunct/>
              <w:topLinePunct w:val="0"/>
              <w:autoSpaceDE/>
              <w:autoSpaceDN/>
              <w:bidi w:val="0"/>
              <w:adjustRightInd/>
              <w:spacing w:line="4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≤1.0</w:t>
            </w:r>
          </w:p>
        </w:tc>
      </w:tr>
      <w:tr w14:paraId="5881B4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686" w:type="pct"/>
            <w:tcBorders>
              <w:tl2br w:val="nil"/>
              <w:tr2bl w:val="nil"/>
            </w:tcBorders>
            <w:noWrap w:val="0"/>
            <w:vAlign w:val="center"/>
          </w:tcPr>
          <w:p w14:paraId="643692A8">
            <w:pPr>
              <w:keepNext w:val="0"/>
              <w:keepLines w:val="0"/>
              <w:pageBreakBefore w:val="0"/>
              <w:widowControl/>
              <w:kinsoku/>
              <w:wordWrap/>
              <w:overflowPunct/>
              <w:topLinePunct w:val="0"/>
              <w:autoSpaceDE/>
              <w:autoSpaceDN/>
              <w:bidi w:val="0"/>
              <w:adjustRightIn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13</w:t>
            </w:r>
          </w:p>
        </w:tc>
        <w:tc>
          <w:tcPr>
            <w:tcW w:w="1308" w:type="pct"/>
            <w:tcBorders>
              <w:tl2br w:val="nil"/>
              <w:tr2bl w:val="nil"/>
            </w:tcBorders>
            <w:noWrap w:val="0"/>
            <w:vAlign w:val="center"/>
          </w:tcPr>
          <w:p w14:paraId="734857A4">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亚硝酸盐氮</w:t>
            </w:r>
          </w:p>
        </w:tc>
        <w:tc>
          <w:tcPr>
            <w:tcW w:w="689" w:type="pct"/>
            <w:tcBorders>
              <w:tl2br w:val="nil"/>
              <w:tr2bl w:val="nil"/>
            </w:tcBorders>
            <w:noWrap w:val="0"/>
            <w:vAlign w:val="center"/>
          </w:tcPr>
          <w:p w14:paraId="23E1AA4B">
            <w:pPr>
              <w:keepNext w:val="0"/>
              <w:keepLines w:val="0"/>
              <w:pageBreakBefore w:val="0"/>
              <w:widowControl/>
              <w:kinsoku/>
              <w:wordWrap/>
              <w:overflowPunct/>
              <w:topLinePunct w:val="0"/>
              <w:autoSpaceDE/>
              <w:autoSpaceDN/>
              <w:bidi w:val="0"/>
              <w:adjustRightInd/>
              <w:spacing w:line="400" w:lineRule="exac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≤1.0</w:t>
            </w:r>
          </w:p>
        </w:tc>
        <w:tc>
          <w:tcPr>
            <w:tcW w:w="631" w:type="pct"/>
            <w:tcBorders>
              <w:tl2br w:val="nil"/>
              <w:tr2bl w:val="nil"/>
            </w:tcBorders>
            <w:noWrap w:val="0"/>
            <w:vAlign w:val="center"/>
          </w:tcPr>
          <w:p w14:paraId="5629C4FC">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p>
        </w:tc>
        <w:tc>
          <w:tcPr>
            <w:tcW w:w="1030" w:type="pct"/>
            <w:tcBorders>
              <w:tl2br w:val="nil"/>
              <w:tr2bl w:val="nil"/>
            </w:tcBorders>
            <w:noWrap w:val="0"/>
            <w:vAlign w:val="center"/>
          </w:tcPr>
          <w:p w14:paraId="33086ADC">
            <w:pPr>
              <w:keepNext w:val="0"/>
              <w:keepLines w:val="0"/>
              <w:pageBreakBefore w:val="0"/>
              <w:widowControl/>
              <w:kinsoku/>
              <w:wordWrap/>
              <w:overflowPunct/>
              <w:topLinePunct w:val="0"/>
              <w:autoSpaceDE/>
              <w:autoSpaceDN/>
              <w:bidi w:val="0"/>
              <w:adjustRightInd/>
              <w:spacing w:line="400" w:lineRule="exact"/>
              <w:jc w:val="center"/>
              <w:textAlignment w:val="center"/>
              <w:rPr>
                <w:rFonts w:hint="default" w:ascii="Times New Roman" w:hAnsi="Times New Roman" w:eastAsia="宋体" w:cs="Times New Roman"/>
                <w:color w:val="auto"/>
                <w:spacing w:val="4"/>
                <w:kern w:val="0"/>
                <w:sz w:val="21"/>
                <w:szCs w:val="21"/>
                <w:highlight w:val="none"/>
                <w:lang w:val="en-US" w:eastAsia="zh-CN" w:bidi="ar-SA"/>
              </w:rPr>
            </w:pPr>
          </w:p>
        </w:tc>
        <w:tc>
          <w:tcPr>
            <w:tcW w:w="653" w:type="pct"/>
            <w:tcBorders>
              <w:tl2br w:val="nil"/>
              <w:tr2bl w:val="nil"/>
            </w:tcBorders>
            <w:noWrap w:val="0"/>
            <w:vAlign w:val="center"/>
          </w:tcPr>
          <w:p w14:paraId="1F68A7CA">
            <w:pPr>
              <w:keepNext w:val="0"/>
              <w:keepLines w:val="0"/>
              <w:pageBreakBefore w:val="0"/>
              <w:widowControl/>
              <w:kinsoku/>
              <w:wordWrap/>
              <w:overflowPunct/>
              <w:topLinePunct w:val="0"/>
              <w:autoSpaceDE/>
              <w:autoSpaceDN/>
              <w:bidi w:val="0"/>
              <w:adjustRightInd/>
              <w:spacing w:line="400" w:lineRule="exact"/>
              <w:jc w:val="center"/>
              <w:rPr>
                <w:rFonts w:hint="default" w:ascii="Times New Roman" w:hAnsi="Times New Roman" w:eastAsia="宋体" w:cs="Times New Roman"/>
                <w:color w:val="auto"/>
                <w:kern w:val="0"/>
                <w:sz w:val="21"/>
                <w:szCs w:val="21"/>
                <w:highlight w:val="none"/>
                <w:lang w:val="en-US" w:eastAsia="zh-CN" w:bidi="ar-SA"/>
              </w:rPr>
            </w:pPr>
          </w:p>
        </w:tc>
      </w:tr>
    </w:tbl>
    <w:p w14:paraId="3A5AEF3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color w:val="auto"/>
          <w:spacing w:val="6"/>
          <w:kern w:val="0"/>
          <w:sz w:val="21"/>
          <w:szCs w:val="21"/>
          <w:highlight w:val="none"/>
          <w:lang w:eastAsia="zh-CN"/>
        </w:rPr>
      </w:pPr>
      <w:r>
        <w:rPr>
          <w:rFonts w:hint="default" w:ascii="Times New Roman" w:hAnsi="Times New Roman" w:cs="Times New Roman"/>
          <w:b w:val="0"/>
          <w:bCs/>
          <w:color w:val="auto"/>
          <w:kern w:val="0"/>
          <w:sz w:val="21"/>
          <w:szCs w:val="21"/>
          <w:highlight w:val="none"/>
        </w:rPr>
        <w:t>注：石油类参照执行《地表水环境质量标准》（GB3838-2002）中的</w:t>
      </w:r>
      <w:r>
        <w:rPr>
          <w:rFonts w:hint="eastAsia" w:cs="Times New Roman"/>
          <w:b w:val="0"/>
          <w:bCs/>
          <w:color w:val="auto"/>
          <w:kern w:val="0"/>
          <w:sz w:val="21"/>
          <w:szCs w:val="21"/>
          <w:highlight w:val="none"/>
          <w:lang w:eastAsia="zh-CN"/>
        </w:rPr>
        <w:t>Ⅲ</w:t>
      </w:r>
      <w:r>
        <w:rPr>
          <w:rFonts w:hint="default" w:ascii="Times New Roman" w:hAnsi="Times New Roman" w:cs="Times New Roman"/>
          <w:b w:val="0"/>
          <w:bCs/>
          <w:color w:val="auto"/>
          <w:kern w:val="0"/>
          <w:sz w:val="21"/>
          <w:szCs w:val="21"/>
          <w:highlight w:val="none"/>
        </w:rPr>
        <w:t>类标准值</w:t>
      </w:r>
      <w:r>
        <w:rPr>
          <w:rFonts w:hint="eastAsia" w:cs="Times New Roman"/>
          <w:b w:val="0"/>
          <w:bCs/>
          <w:color w:val="auto"/>
          <w:kern w:val="0"/>
          <w:sz w:val="21"/>
          <w:szCs w:val="21"/>
          <w:highlight w:val="none"/>
          <w:lang w:eastAsia="zh-CN"/>
        </w:rPr>
        <w:t>。</w:t>
      </w:r>
    </w:p>
    <w:p w14:paraId="65C875B1">
      <w:pPr>
        <w:pStyle w:val="55"/>
        <w:bidi w:val="0"/>
        <w:rPr>
          <w:rFonts w:hint="eastAsia"/>
          <w:color w:val="auto"/>
          <w:lang w:val="en-US" w:eastAsia="zh-CN"/>
        </w:rPr>
      </w:pPr>
      <w:r>
        <w:rPr>
          <w:rFonts w:hint="eastAsia"/>
          <w:color w:val="auto"/>
          <w:lang w:val="en-US" w:eastAsia="zh-CN"/>
        </w:rPr>
        <w:t>2.4.2.2</w:t>
      </w:r>
      <w:r>
        <w:rPr>
          <w:rFonts w:hint="default"/>
          <w:color w:val="auto"/>
        </w:rPr>
        <w:t>环境</w:t>
      </w:r>
      <w:r>
        <w:rPr>
          <w:rFonts w:hint="eastAsia"/>
          <w:color w:val="auto"/>
          <w:lang w:val="en-US" w:eastAsia="zh-CN"/>
        </w:rPr>
        <w:t>空气</w:t>
      </w:r>
    </w:p>
    <w:p w14:paraId="42814111">
      <w:pPr>
        <w:pStyle w:val="79"/>
        <w:bidi w:val="0"/>
        <w:rPr>
          <w:rFonts w:hint="default"/>
          <w:color w:val="auto"/>
        </w:rPr>
      </w:pPr>
      <w:r>
        <w:rPr>
          <w:rFonts w:hint="default"/>
          <w:color w:val="auto"/>
        </w:rPr>
        <w:t>环境空气质量评价中SO</w:t>
      </w:r>
      <w:r>
        <w:rPr>
          <w:rFonts w:hint="default"/>
          <w:color w:val="auto"/>
          <w:vertAlign w:val="subscript"/>
        </w:rPr>
        <w:t>2</w:t>
      </w:r>
      <w:r>
        <w:rPr>
          <w:rFonts w:hint="default"/>
          <w:color w:val="auto"/>
        </w:rPr>
        <w:t>、NO</w:t>
      </w:r>
      <w:r>
        <w:rPr>
          <w:rFonts w:hint="default"/>
          <w:color w:val="auto"/>
          <w:vertAlign w:val="subscript"/>
        </w:rPr>
        <w:t>2</w:t>
      </w:r>
      <w:r>
        <w:rPr>
          <w:rFonts w:hint="default"/>
          <w:color w:val="auto"/>
        </w:rPr>
        <w:t>、PM</w:t>
      </w:r>
      <w:r>
        <w:rPr>
          <w:rFonts w:hint="default"/>
          <w:color w:val="auto"/>
          <w:vertAlign w:val="subscript"/>
        </w:rPr>
        <w:t>2.5</w:t>
      </w:r>
      <w:r>
        <w:rPr>
          <w:rFonts w:hint="default"/>
          <w:color w:val="auto"/>
        </w:rPr>
        <w:t>、PM</w:t>
      </w:r>
      <w:r>
        <w:rPr>
          <w:rFonts w:hint="default"/>
          <w:color w:val="auto"/>
          <w:vertAlign w:val="subscript"/>
        </w:rPr>
        <w:t>10</w:t>
      </w:r>
      <w:r>
        <w:rPr>
          <w:rFonts w:hint="default"/>
          <w:color w:val="auto"/>
        </w:rPr>
        <w:t>、CO、O</w:t>
      </w:r>
      <w:r>
        <w:rPr>
          <w:rFonts w:hint="default"/>
          <w:color w:val="auto"/>
          <w:vertAlign w:val="subscript"/>
        </w:rPr>
        <w:t>3</w:t>
      </w:r>
      <w:r>
        <w:rPr>
          <w:rFonts w:hint="default"/>
          <w:color w:val="auto"/>
        </w:rPr>
        <w:t>六项指标执行《环境空气质量标准》（GB3095-2012）二级标准。对于未作出规定的非甲烷总烃参照执行《大气污染物综合排放标准详解》</w:t>
      </w:r>
      <w:r>
        <w:rPr>
          <w:rFonts w:hint="default"/>
          <w:color w:val="auto"/>
          <w:lang w:val="en-US" w:eastAsia="zh-CN"/>
        </w:rPr>
        <w:t>2000</w:t>
      </w:r>
      <w:r>
        <w:rPr>
          <w:rFonts w:hint="default"/>
          <w:color w:val="auto"/>
        </w:rPr>
        <w:t>μg/m</w:t>
      </w:r>
      <w:r>
        <w:rPr>
          <w:rFonts w:hint="default"/>
          <w:color w:val="auto"/>
          <w:vertAlign w:val="superscript"/>
          <w:lang w:val="en-US" w:eastAsia="zh-CN"/>
        </w:rPr>
        <w:t>3</w:t>
      </w:r>
      <w:r>
        <w:rPr>
          <w:rFonts w:hint="default"/>
          <w:color w:val="auto"/>
        </w:rPr>
        <w:t>的标准，甲醇参照执行《环境影响评价技术导则 大气环境》（HJ2.2-2018）附录D中的1h平均浓度限值10</w:t>
      </w:r>
      <w:r>
        <w:rPr>
          <w:rFonts w:hint="eastAsia"/>
          <w:color w:val="auto"/>
          <w:lang w:val="en-US" w:eastAsia="zh-CN"/>
        </w:rPr>
        <w:t>00</w:t>
      </w:r>
      <w:r>
        <w:rPr>
          <w:rFonts w:hint="default"/>
          <w:color w:val="auto"/>
        </w:rPr>
        <w:t>μg/m</w:t>
      </w:r>
      <w:r>
        <w:rPr>
          <w:rFonts w:hint="default"/>
          <w:color w:val="auto"/>
          <w:vertAlign w:val="superscript"/>
        </w:rPr>
        <w:t>3</w:t>
      </w:r>
      <w:r>
        <w:rPr>
          <w:rFonts w:hint="eastAsia"/>
          <w:color w:val="auto"/>
          <w:lang w:eastAsia="zh-CN"/>
        </w:rPr>
        <w:t>，</w:t>
      </w:r>
      <w:r>
        <w:rPr>
          <w:rFonts w:hint="default"/>
          <w:color w:val="auto"/>
        </w:rPr>
        <w:t>H</w:t>
      </w:r>
      <w:r>
        <w:rPr>
          <w:rFonts w:hint="default"/>
          <w:color w:val="auto"/>
          <w:vertAlign w:val="subscript"/>
        </w:rPr>
        <w:t>2</w:t>
      </w:r>
      <w:r>
        <w:rPr>
          <w:rFonts w:hint="default"/>
          <w:color w:val="auto"/>
        </w:rPr>
        <w:t>S参考执行《环境影响评价技术导则</w:t>
      </w:r>
      <w:r>
        <w:rPr>
          <w:rFonts w:hint="eastAsia"/>
          <w:color w:val="auto"/>
          <w:lang w:val="en-US" w:eastAsia="zh-CN"/>
        </w:rPr>
        <w:t xml:space="preserve"> </w:t>
      </w:r>
      <w:r>
        <w:rPr>
          <w:rFonts w:hint="default"/>
          <w:color w:val="auto"/>
        </w:rPr>
        <w:t>大气环境》（HJ2.2-2018）附录D中的1h平均浓度限值10μg/m</w:t>
      </w:r>
      <w:r>
        <w:rPr>
          <w:rFonts w:hint="default"/>
          <w:color w:val="auto"/>
          <w:vertAlign w:val="superscript"/>
          <w:lang w:val="en-US" w:eastAsia="zh-CN"/>
        </w:rPr>
        <w:t>3</w:t>
      </w:r>
      <w:r>
        <w:rPr>
          <w:rFonts w:hint="default"/>
          <w:color w:val="auto"/>
        </w:rPr>
        <w:t>。指标标准取值</w:t>
      </w:r>
      <w:r>
        <w:rPr>
          <w:rFonts w:hint="eastAsia"/>
          <w:color w:val="auto"/>
          <w:lang w:eastAsia="zh-CN"/>
        </w:rPr>
        <w:t>，</w:t>
      </w:r>
      <w:r>
        <w:rPr>
          <w:rFonts w:hint="default"/>
          <w:color w:val="auto"/>
        </w:rPr>
        <w:t>见表2.</w:t>
      </w:r>
      <w:r>
        <w:rPr>
          <w:rFonts w:hint="eastAsia"/>
          <w:color w:val="auto"/>
          <w:lang w:val="en-US" w:eastAsia="zh-CN"/>
        </w:rPr>
        <w:t>4</w:t>
      </w:r>
      <w:r>
        <w:rPr>
          <w:rFonts w:hint="default"/>
          <w:color w:val="auto"/>
        </w:rPr>
        <w:t>-</w:t>
      </w:r>
      <w:r>
        <w:rPr>
          <w:rFonts w:hint="eastAsia"/>
          <w:color w:val="auto"/>
          <w:lang w:val="en-US" w:eastAsia="zh-CN"/>
        </w:rPr>
        <w:t>2</w:t>
      </w:r>
      <w:r>
        <w:rPr>
          <w:rFonts w:hint="default"/>
          <w:color w:val="auto"/>
        </w:rPr>
        <w:t>。</w:t>
      </w:r>
    </w:p>
    <w:p w14:paraId="3606C523">
      <w:pPr>
        <w:pStyle w:val="61"/>
        <w:bidi w:val="0"/>
        <w:jc w:val="both"/>
        <w:rPr>
          <w:rFonts w:hint="default"/>
          <w:color w:val="auto"/>
        </w:rPr>
      </w:pPr>
      <w:r>
        <w:rPr>
          <w:rFonts w:hint="eastAsia"/>
          <w:color w:val="auto"/>
        </w:rPr>
        <w:t>表2.</w:t>
      </w:r>
      <w:r>
        <w:rPr>
          <w:rFonts w:hint="eastAsia"/>
          <w:color w:val="auto"/>
          <w:lang w:val="en-US" w:eastAsia="zh-CN"/>
        </w:rPr>
        <w:t>4</w:t>
      </w:r>
      <w:r>
        <w:rPr>
          <w:rFonts w:hint="eastAsia"/>
          <w:color w:val="auto"/>
        </w:rPr>
        <w:t>-</w:t>
      </w:r>
      <w:r>
        <w:rPr>
          <w:rFonts w:hint="eastAsia"/>
          <w:color w:val="auto"/>
          <w:lang w:val="en-US" w:eastAsia="zh-CN"/>
        </w:rPr>
        <w:t xml:space="preserve">2  </w:t>
      </w:r>
      <w:r>
        <w:rPr>
          <w:rFonts w:hint="eastAsia"/>
          <w:color w:val="auto"/>
        </w:rPr>
        <w:t>环境空气质量标准</w:t>
      </w:r>
    </w:p>
    <w:tbl>
      <w:tblPr>
        <w:tblStyle w:val="36"/>
        <w:tblW w:w="4924" w:type="pct"/>
        <w:tblInd w:w="67"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37"/>
        <w:gridCol w:w="2085"/>
        <w:gridCol w:w="1022"/>
        <w:gridCol w:w="1399"/>
        <w:gridCol w:w="1243"/>
        <w:gridCol w:w="2514"/>
      </w:tblGrid>
      <w:tr w14:paraId="3B1E0A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51" w:type="pct"/>
            <w:vMerge w:val="restart"/>
            <w:tcBorders>
              <w:tl2br w:val="nil"/>
              <w:tr2bl w:val="nil"/>
            </w:tcBorders>
            <w:noWrap w:val="0"/>
            <w:vAlign w:val="center"/>
          </w:tcPr>
          <w:p w14:paraId="1C575D14">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序号</w:t>
            </w:r>
          </w:p>
        </w:tc>
        <w:tc>
          <w:tcPr>
            <w:tcW w:w="1198" w:type="pct"/>
            <w:vMerge w:val="restart"/>
            <w:tcBorders>
              <w:tl2br w:val="nil"/>
              <w:tr2bl w:val="nil"/>
            </w:tcBorders>
            <w:noWrap w:val="0"/>
            <w:vAlign w:val="center"/>
          </w:tcPr>
          <w:p w14:paraId="61CBDDAB">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评价因子</w:t>
            </w:r>
          </w:p>
        </w:tc>
        <w:tc>
          <w:tcPr>
            <w:tcW w:w="2105" w:type="pct"/>
            <w:gridSpan w:val="3"/>
            <w:tcBorders>
              <w:tl2br w:val="nil"/>
              <w:tr2bl w:val="nil"/>
            </w:tcBorders>
            <w:noWrap w:val="0"/>
            <w:vAlign w:val="center"/>
          </w:tcPr>
          <w:p w14:paraId="1C34D149">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二级标准限值（</w:t>
            </w:r>
            <w:r>
              <w:rPr>
                <w:rFonts w:hint="default" w:ascii="Times New Roman" w:hAnsi="Times New Roman" w:eastAsia="宋体" w:cs="Times New Roman"/>
                <w:bCs/>
                <w:color w:val="auto"/>
                <w:kern w:val="24"/>
                <w:sz w:val="21"/>
                <w:szCs w:val="21"/>
                <w:highlight w:val="none"/>
              </w:rPr>
              <w:t>μg</w:t>
            </w:r>
            <w:r>
              <w:rPr>
                <w:rFonts w:hint="default" w:ascii="Times New Roman" w:hAnsi="Times New Roman" w:eastAsia="宋体" w:cs="Times New Roman"/>
                <w:bCs/>
                <w:color w:val="auto"/>
                <w:kern w:val="0"/>
                <w:sz w:val="21"/>
                <w:szCs w:val="21"/>
                <w:highlight w:val="none"/>
              </w:rPr>
              <w:t>/m</w:t>
            </w:r>
            <w:r>
              <w:rPr>
                <w:rFonts w:hint="default" w:ascii="Times New Roman" w:hAnsi="Times New Roman" w:eastAsia="宋体" w:cs="Times New Roman"/>
                <w:bCs/>
                <w:color w:val="auto"/>
                <w:kern w:val="0"/>
                <w:sz w:val="21"/>
                <w:szCs w:val="21"/>
                <w:highlight w:val="none"/>
                <w:vertAlign w:val="superscript"/>
                <w:lang w:val="en-US" w:eastAsia="zh-CN"/>
              </w:rPr>
              <w:t>3</w:t>
            </w:r>
            <w:r>
              <w:rPr>
                <w:rFonts w:hint="default" w:ascii="Times New Roman" w:hAnsi="Times New Roman" w:eastAsia="宋体" w:cs="Times New Roman"/>
                <w:bCs/>
                <w:color w:val="auto"/>
                <w:kern w:val="0"/>
                <w:sz w:val="21"/>
                <w:szCs w:val="21"/>
                <w:highlight w:val="none"/>
              </w:rPr>
              <w:t>）</w:t>
            </w:r>
          </w:p>
        </w:tc>
        <w:tc>
          <w:tcPr>
            <w:tcW w:w="1444" w:type="pct"/>
            <w:vMerge w:val="restart"/>
            <w:tcBorders>
              <w:tl2br w:val="nil"/>
              <w:tr2bl w:val="nil"/>
            </w:tcBorders>
            <w:noWrap w:val="0"/>
            <w:vAlign w:val="center"/>
          </w:tcPr>
          <w:p w14:paraId="000DCF69">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标准来源</w:t>
            </w:r>
          </w:p>
        </w:tc>
      </w:tr>
      <w:tr w14:paraId="6D64CE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51" w:type="pct"/>
            <w:vMerge w:val="continue"/>
            <w:tcBorders>
              <w:tl2br w:val="nil"/>
              <w:tr2bl w:val="nil"/>
            </w:tcBorders>
            <w:noWrap w:val="0"/>
            <w:vAlign w:val="center"/>
          </w:tcPr>
          <w:p w14:paraId="78B4D9BC">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rPr>
            </w:pPr>
          </w:p>
        </w:tc>
        <w:tc>
          <w:tcPr>
            <w:tcW w:w="1198" w:type="pct"/>
            <w:vMerge w:val="continue"/>
            <w:tcBorders>
              <w:tl2br w:val="nil"/>
              <w:tr2bl w:val="nil"/>
            </w:tcBorders>
            <w:noWrap w:val="0"/>
            <w:vAlign w:val="center"/>
          </w:tcPr>
          <w:p w14:paraId="2571E74D">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rPr>
            </w:pPr>
          </w:p>
        </w:tc>
        <w:tc>
          <w:tcPr>
            <w:tcW w:w="587" w:type="pct"/>
            <w:tcBorders>
              <w:tl2br w:val="nil"/>
              <w:tr2bl w:val="nil"/>
            </w:tcBorders>
            <w:noWrap w:val="0"/>
            <w:vAlign w:val="center"/>
          </w:tcPr>
          <w:p w14:paraId="67C2A38F">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年平均</w:t>
            </w:r>
          </w:p>
        </w:tc>
        <w:tc>
          <w:tcPr>
            <w:tcW w:w="804" w:type="pct"/>
            <w:tcBorders>
              <w:tl2br w:val="nil"/>
              <w:tr2bl w:val="nil"/>
            </w:tcBorders>
            <w:noWrap w:val="0"/>
            <w:vAlign w:val="center"/>
          </w:tcPr>
          <w:p w14:paraId="21B0ACAF">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24小时平均</w:t>
            </w:r>
          </w:p>
        </w:tc>
        <w:tc>
          <w:tcPr>
            <w:tcW w:w="714" w:type="pct"/>
            <w:tcBorders>
              <w:tl2br w:val="nil"/>
              <w:tr2bl w:val="nil"/>
            </w:tcBorders>
            <w:noWrap w:val="0"/>
            <w:vAlign w:val="center"/>
          </w:tcPr>
          <w:p w14:paraId="0CC3664A">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1小时平均</w:t>
            </w:r>
          </w:p>
        </w:tc>
        <w:tc>
          <w:tcPr>
            <w:tcW w:w="1444" w:type="pct"/>
            <w:vMerge w:val="continue"/>
            <w:tcBorders>
              <w:tl2br w:val="nil"/>
              <w:tr2bl w:val="nil"/>
            </w:tcBorders>
            <w:noWrap w:val="0"/>
            <w:vAlign w:val="center"/>
          </w:tcPr>
          <w:p w14:paraId="1025ACA6">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rPr>
            </w:pPr>
          </w:p>
        </w:tc>
      </w:tr>
      <w:tr w14:paraId="295194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51" w:type="pct"/>
            <w:tcBorders>
              <w:tl2br w:val="nil"/>
              <w:tr2bl w:val="nil"/>
            </w:tcBorders>
            <w:noWrap w:val="0"/>
            <w:vAlign w:val="center"/>
          </w:tcPr>
          <w:p w14:paraId="7DCAB884">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1</w:t>
            </w:r>
          </w:p>
        </w:tc>
        <w:tc>
          <w:tcPr>
            <w:tcW w:w="1198" w:type="pct"/>
            <w:tcBorders>
              <w:tl2br w:val="nil"/>
              <w:tr2bl w:val="nil"/>
            </w:tcBorders>
            <w:noWrap w:val="0"/>
            <w:vAlign w:val="center"/>
          </w:tcPr>
          <w:p w14:paraId="5D51E1AE">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二氧化硫（SO</w:t>
            </w:r>
            <w:r>
              <w:rPr>
                <w:rFonts w:hint="default" w:ascii="Times New Roman" w:hAnsi="Times New Roman" w:eastAsia="宋体" w:cs="Times New Roman"/>
                <w:bCs/>
                <w:color w:val="auto"/>
                <w:kern w:val="0"/>
                <w:sz w:val="21"/>
                <w:szCs w:val="21"/>
                <w:highlight w:val="none"/>
                <w:vertAlign w:val="subscript"/>
              </w:rPr>
              <w:t>2</w:t>
            </w:r>
            <w:r>
              <w:rPr>
                <w:rFonts w:hint="default" w:ascii="Times New Roman" w:hAnsi="Times New Roman" w:eastAsia="宋体" w:cs="Times New Roman"/>
                <w:bCs/>
                <w:color w:val="auto"/>
                <w:kern w:val="0"/>
                <w:sz w:val="21"/>
                <w:szCs w:val="21"/>
                <w:highlight w:val="none"/>
              </w:rPr>
              <w:t>）</w:t>
            </w:r>
          </w:p>
        </w:tc>
        <w:tc>
          <w:tcPr>
            <w:tcW w:w="587" w:type="pct"/>
            <w:tcBorders>
              <w:tl2br w:val="nil"/>
              <w:tr2bl w:val="nil"/>
            </w:tcBorders>
            <w:noWrap w:val="0"/>
            <w:vAlign w:val="center"/>
          </w:tcPr>
          <w:p w14:paraId="43BD6130">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60</w:t>
            </w:r>
          </w:p>
        </w:tc>
        <w:tc>
          <w:tcPr>
            <w:tcW w:w="804" w:type="pct"/>
            <w:tcBorders>
              <w:tl2br w:val="nil"/>
              <w:tr2bl w:val="nil"/>
            </w:tcBorders>
            <w:noWrap w:val="0"/>
            <w:vAlign w:val="center"/>
          </w:tcPr>
          <w:p w14:paraId="4D6AECE0">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150</w:t>
            </w:r>
          </w:p>
        </w:tc>
        <w:tc>
          <w:tcPr>
            <w:tcW w:w="714" w:type="pct"/>
            <w:tcBorders>
              <w:tl2br w:val="nil"/>
              <w:tr2bl w:val="nil"/>
            </w:tcBorders>
            <w:noWrap w:val="0"/>
            <w:vAlign w:val="center"/>
          </w:tcPr>
          <w:p w14:paraId="26DED498">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500</w:t>
            </w:r>
          </w:p>
        </w:tc>
        <w:tc>
          <w:tcPr>
            <w:tcW w:w="1444" w:type="pct"/>
            <w:vMerge w:val="restart"/>
            <w:tcBorders>
              <w:tl2br w:val="nil"/>
              <w:tr2bl w:val="nil"/>
            </w:tcBorders>
            <w:noWrap w:val="0"/>
            <w:vAlign w:val="center"/>
          </w:tcPr>
          <w:p w14:paraId="31EC23FE">
            <w:pPr>
              <w:keepNext w:val="0"/>
              <w:keepLines w:val="0"/>
              <w:pageBreakBefore w:val="0"/>
              <w:widowControl/>
              <w:kinsoku/>
              <w:wordWrap/>
              <w:overflowPunct/>
              <w:topLinePunct w:val="0"/>
              <w:autoSpaceDE/>
              <w:autoSpaceDN/>
              <w:bidi w:val="0"/>
              <w:adjustRightInd/>
              <w:snapToGrid/>
              <w:spacing w:line="400" w:lineRule="exact"/>
              <w:ind w:left="0" w:right="0" w:rightChars="0"/>
              <w:jc w:val="left"/>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《环境空气质量标准》（GB3095-2012）及修改单</w:t>
            </w:r>
          </w:p>
        </w:tc>
      </w:tr>
      <w:tr w14:paraId="4CC731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51" w:type="pct"/>
            <w:tcBorders>
              <w:tl2br w:val="nil"/>
              <w:tr2bl w:val="nil"/>
            </w:tcBorders>
            <w:noWrap w:val="0"/>
            <w:vAlign w:val="center"/>
          </w:tcPr>
          <w:p w14:paraId="74867DA3">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2</w:t>
            </w:r>
          </w:p>
        </w:tc>
        <w:tc>
          <w:tcPr>
            <w:tcW w:w="1198" w:type="pct"/>
            <w:tcBorders>
              <w:tl2br w:val="nil"/>
              <w:tr2bl w:val="nil"/>
            </w:tcBorders>
            <w:noWrap w:val="0"/>
            <w:vAlign w:val="center"/>
          </w:tcPr>
          <w:p w14:paraId="7D46B9B2">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二氧化氮（NO</w:t>
            </w:r>
            <w:r>
              <w:rPr>
                <w:rFonts w:hint="default" w:ascii="Times New Roman" w:hAnsi="Times New Roman" w:eastAsia="宋体" w:cs="Times New Roman"/>
                <w:bCs/>
                <w:color w:val="auto"/>
                <w:kern w:val="0"/>
                <w:sz w:val="21"/>
                <w:szCs w:val="21"/>
                <w:highlight w:val="none"/>
                <w:vertAlign w:val="subscript"/>
              </w:rPr>
              <w:t>2</w:t>
            </w:r>
            <w:r>
              <w:rPr>
                <w:rFonts w:hint="default" w:ascii="Times New Roman" w:hAnsi="Times New Roman" w:eastAsia="宋体" w:cs="Times New Roman"/>
                <w:bCs/>
                <w:color w:val="auto"/>
                <w:kern w:val="0"/>
                <w:sz w:val="21"/>
                <w:szCs w:val="21"/>
                <w:highlight w:val="none"/>
              </w:rPr>
              <w:t>）</w:t>
            </w:r>
          </w:p>
        </w:tc>
        <w:tc>
          <w:tcPr>
            <w:tcW w:w="587" w:type="pct"/>
            <w:tcBorders>
              <w:tl2br w:val="nil"/>
              <w:tr2bl w:val="nil"/>
            </w:tcBorders>
            <w:noWrap/>
            <w:vAlign w:val="center"/>
          </w:tcPr>
          <w:p w14:paraId="70B0E59D">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50</w:t>
            </w:r>
          </w:p>
        </w:tc>
        <w:tc>
          <w:tcPr>
            <w:tcW w:w="804" w:type="pct"/>
            <w:tcBorders>
              <w:tl2br w:val="nil"/>
              <w:tr2bl w:val="nil"/>
            </w:tcBorders>
            <w:noWrap/>
            <w:vAlign w:val="center"/>
          </w:tcPr>
          <w:p w14:paraId="04771D39">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80</w:t>
            </w:r>
          </w:p>
        </w:tc>
        <w:tc>
          <w:tcPr>
            <w:tcW w:w="714" w:type="pct"/>
            <w:tcBorders>
              <w:tl2br w:val="nil"/>
              <w:tr2bl w:val="nil"/>
            </w:tcBorders>
            <w:noWrap/>
            <w:vAlign w:val="center"/>
          </w:tcPr>
          <w:p w14:paraId="2659728C">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200</w:t>
            </w:r>
          </w:p>
        </w:tc>
        <w:tc>
          <w:tcPr>
            <w:tcW w:w="1444" w:type="pct"/>
            <w:vMerge w:val="continue"/>
            <w:tcBorders>
              <w:tl2br w:val="nil"/>
              <w:tr2bl w:val="nil"/>
            </w:tcBorders>
            <w:noWrap w:val="0"/>
            <w:vAlign w:val="center"/>
          </w:tcPr>
          <w:p w14:paraId="22CE31E9">
            <w:pPr>
              <w:keepNext w:val="0"/>
              <w:keepLines w:val="0"/>
              <w:pageBreakBefore w:val="0"/>
              <w:widowControl/>
              <w:kinsoku/>
              <w:wordWrap/>
              <w:overflowPunct/>
              <w:topLinePunct w:val="0"/>
              <w:autoSpaceDE/>
              <w:autoSpaceDN/>
              <w:bidi w:val="0"/>
              <w:adjustRightInd/>
              <w:snapToGrid/>
              <w:spacing w:line="400" w:lineRule="exact"/>
              <w:ind w:left="0" w:right="0" w:rightChars="0"/>
              <w:jc w:val="left"/>
              <w:textAlignment w:val="auto"/>
              <w:rPr>
                <w:rFonts w:hint="default" w:ascii="Times New Roman" w:hAnsi="Times New Roman" w:eastAsia="宋体" w:cs="Times New Roman"/>
                <w:bCs/>
                <w:color w:val="auto"/>
                <w:kern w:val="0"/>
                <w:sz w:val="21"/>
                <w:szCs w:val="21"/>
                <w:highlight w:val="none"/>
              </w:rPr>
            </w:pPr>
          </w:p>
        </w:tc>
      </w:tr>
      <w:tr w14:paraId="17B25D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51" w:type="pct"/>
            <w:tcBorders>
              <w:tl2br w:val="nil"/>
              <w:tr2bl w:val="nil"/>
            </w:tcBorders>
            <w:noWrap w:val="0"/>
            <w:vAlign w:val="center"/>
          </w:tcPr>
          <w:p w14:paraId="3FAEFA50">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3</w:t>
            </w:r>
          </w:p>
        </w:tc>
        <w:tc>
          <w:tcPr>
            <w:tcW w:w="1198" w:type="pct"/>
            <w:tcBorders>
              <w:tl2br w:val="nil"/>
              <w:tr2bl w:val="nil"/>
            </w:tcBorders>
            <w:noWrap w:val="0"/>
            <w:vAlign w:val="center"/>
          </w:tcPr>
          <w:p w14:paraId="57E70B06">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细颗粒物（PM</w:t>
            </w:r>
            <w:r>
              <w:rPr>
                <w:rFonts w:hint="default" w:ascii="Times New Roman" w:hAnsi="Times New Roman" w:eastAsia="宋体" w:cs="Times New Roman"/>
                <w:bCs/>
                <w:color w:val="auto"/>
                <w:kern w:val="0"/>
                <w:sz w:val="21"/>
                <w:szCs w:val="21"/>
                <w:highlight w:val="none"/>
                <w:vertAlign w:val="subscript"/>
              </w:rPr>
              <w:t>2.5</w:t>
            </w:r>
            <w:r>
              <w:rPr>
                <w:rFonts w:hint="default" w:ascii="Times New Roman" w:hAnsi="Times New Roman" w:eastAsia="宋体" w:cs="Times New Roman"/>
                <w:bCs/>
                <w:color w:val="auto"/>
                <w:kern w:val="0"/>
                <w:sz w:val="21"/>
                <w:szCs w:val="21"/>
                <w:highlight w:val="none"/>
              </w:rPr>
              <w:t>）</w:t>
            </w:r>
          </w:p>
        </w:tc>
        <w:tc>
          <w:tcPr>
            <w:tcW w:w="587" w:type="pct"/>
            <w:tcBorders>
              <w:tl2br w:val="nil"/>
              <w:tr2bl w:val="nil"/>
            </w:tcBorders>
            <w:noWrap/>
            <w:vAlign w:val="center"/>
          </w:tcPr>
          <w:p w14:paraId="5058F507">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35</w:t>
            </w:r>
          </w:p>
        </w:tc>
        <w:tc>
          <w:tcPr>
            <w:tcW w:w="804" w:type="pct"/>
            <w:tcBorders>
              <w:tl2br w:val="nil"/>
              <w:tr2bl w:val="nil"/>
            </w:tcBorders>
            <w:noWrap/>
            <w:vAlign w:val="center"/>
          </w:tcPr>
          <w:p w14:paraId="64BC6556">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75</w:t>
            </w:r>
          </w:p>
        </w:tc>
        <w:tc>
          <w:tcPr>
            <w:tcW w:w="714" w:type="pct"/>
            <w:tcBorders>
              <w:tl2br w:val="nil"/>
              <w:tr2bl w:val="nil"/>
            </w:tcBorders>
            <w:noWrap/>
            <w:vAlign w:val="center"/>
          </w:tcPr>
          <w:p w14:paraId="371DC6E4">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w:t>
            </w:r>
          </w:p>
        </w:tc>
        <w:tc>
          <w:tcPr>
            <w:tcW w:w="1444" w:type="pct"/>
            <w:vMerge w:val="continue"/>
            <w:tcBorders>
              <w:tl2br w:val="nil"/>
              <w:tr2bl w:val="nil"/>
            </w:tcBorders>
            <w:noWrap w:val="0"/>
            <w:vAlign w:val="center"/>
          </w:tcPr>
          <w:p w14:paraId="6FFE04A1">
            <w:pPr>
              <w:keepNext w:val="0"/>
              <w:keepLines w:val="0"/>
              <w:pageBreakBefore w:val="0"/>
              <w:widowControl/>
              <w:kinsoku/>
              <w:wordWrap/>
              <w:overflowPunct/>
              <w:topLinePunct w:val="0"/>
              <w:autoSpaceDE/>
              <w:autoSpaceDN/>
              <w:bidi w:val="0"/>
              <w:adjustRightInd/>
              <w:snapToGrid/>
              <w:spacing w:line="400" w:lineRule="exact"/>
              <w:ind w:left="0" w:right="0" w:rightChars="0"/>
              <w:jc w:val="left"/>
              <w:textAlignment w:val="auto"/>
              <w:rPr>
                <w:rFonts w:hint="default" w:ascii="Times New Roman" w:hAnsi="Times New Roman" w:eastAsia="宋体" w:cs="Times New Roman"/>
                <w:bCs/>
                <w:color w:val="auto"/>
                <w:kern w:val="0"/>
                <w:sz w:val="21"/>
                <w:szCs w:val="21"/>
                <w:highlight w:val="none"/>
              </w:rPr>
            </w:pPr>
          </w:p>
        </w:tc>
      </w:tr>
      <w:tr w14:paraId="09E5F9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51" w:type="pct"/>
            <w:tcBorders>
              <w:tl2br w:val="nil"/>
              <w:tr2bl w:val="nil"/>
            </w:tcBorders>
            <w:noWrap w:val="0"/>
            <w:vAlign w:val="center"/>
          </w:tcPr>
          <w:p w14:paraId="5D253BDC">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4</w:t>
            </w:r>
          </w:p>
        </w:tc>
        <w:tc>
          <w:tcPr>
            <w:tcW w:w="1198" w:type="pct"/>
            <w:tcBorders>
              <w:tl2br w:val="nil"/>
              <w:tr2bl w:val="nil"/>
            </w:tcBorders>
            <w:noWrap w:val="0"/>
            <w:vAlign w:val="center"/>
          </w:tcPr>
          <w:p w14:paraId="2675692F">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可吸入颗粒物（PM</w:t>
            </w:r>
            <w:r>
              <w:rPr>
                <w:rFonts w:hint="default" w:ascii="Times New Roman" w:hAnsi="Times New Roman" w:eastAsia="宋体" w:cs="Times New Roman"/>
                <w:bCs/>
                <w:color w:val="auto"/>
                <w:kern w:val="0"/>
                <w:sz w:val="21"/>
                <w:szCs w:val="21"/>
                <w:highlight w:val="none"/>
                <w:vertAlign w:val="subscript"/>
              </w:rPr>
              <w:t>10</w:t>
            </w:r>
            <w:r>
              <w:rPr>
                <w:rFonts w:hint="default" w:ascii="Times New Roman" w:hAnsi="Times New Roman" w:eastAsia="宋体" w:cs="Times New Roman"/>
                <w:bCs/>
                <w:color w:val="auto"/>
                <w:kern w:val="0"/>
                <w:sz w:val="21"/>
                <w:szCs w:val="21"/>
                <w:highlight w:val="none"/>
              </w:rPr>
              <w:t>）</w:t>
            </w:r>
          </w:p>
        </w:tc>
        <w:tc>
          <w:tcPr>
            <w:tcW w:w="587" w:type="pct"/>
            <w:tcBorders>
              <w:tl2br w:val="nil"/>
              <w:tr2bl w:val="nil"/>
            </w:tcBorders>
            <w:noWrap/>
            <w:vAlign w:val="center"/>
          </w:tcPr>
          <w:p w14:paraId="01093F5B">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70</w:t>
            </w:r>
          </w:p>
        </w:tc>
        <w:tc>
          <w:tcPr>
            <w:tcW w:w="804" w:type="pct"/>
            <w:tcBorders>
              <w:tl2br w:val="nil"/>
              <w:tr2bl w:val="nil"/>
            </w:tcBorders>
            <w:noWrap/>
            <w:vAlign w:val="center"/>
          </w:tcPr>
          <w:p w14:paraId="10ABC262">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150</w:t>
            </w:r>
          </w:p>
        </w:tc>
        <w:tc>
          <w:tcPr>
            <w:tcW w:w="714" w:type="pct"/>
            <w:tcBorders>
              <w:tl2br w:val="nil"/>
              <w:tr2bl w:val="nil"/>
            </w:tcBorders>
            <w:noWrap w:val="0"/>
            <w:vAlign w:val="center"/>
          </w:tcPr>
          <w:p w14:paraId="3626EB5A">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w:t>
            </w:r>
          </w:p>
        </w:tc>
        <w:tc>
          <w:tcPr>
            <w:tcW w:w="1444" w:type="pct"/>
            <w:vMerge w:val="continue"/>
            <w:tcBorders>
              <w:tl2br w:val="nil"/>
              <w:tr2bl w:val="nil"/>
            </w:tcBorders>
            <w:noWrap w:val="0"/>
            <w:vAlign w:val="center"/>
          </w:tcPr>
          <w:p w14:paraId="4D4BD91F">
            <w:pPr>
              <w:keepNext w:val="0"/>
              <w:keepLines w:val="0"/>
              <w:pageBreakBefore w:val="0"/>
              <w:widowControl/>
              <w:kinsoku/>
              <w:wordWrap/>
              <w:overflowPunct/>
              <w:topLinePunct w:val="0"/>
              <w:autoSpaceDE/>
              <w:autoSpaceDN/>
              <w:bidi w:val="0"/>
              <w:adjustRightInd/>
              <w:snapToGrid/>
              <w:spacing w:line="400" w:lineRule="exact"/>
              <w:ind w:left="0" w:right="0" w:rightChars="0"/>
              <w:jc w:val="left"/>
              <w:textAlignment w:val="auto"/>
              <w:rPr>
                <w:rFonts w:hint="default" w:ascii="Times New Roman" w:hAnsi="Times New Roman" w:eastAsia="宋体" w:cs="Times New Roman"/>
                <w:bCs/>
                <w:color w:val="auto"/>
                <w:kern w:val="0"/>
                <w:sz w:val="21"/>
                <w:szCs w:val="21"/>
                <w:highlight w:val="none"/>
              </w:rPr>
            </w:pPr>
          </w:p>
        </w:tc>
      </w:tr>
      <w:tr w14:paraId="7D0879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51" w:type="pct"/>
            <w:tcBorders>
              <w:tl2br w:val="nil"/>
              <w:tr2bl w:val="nil"/>
            </w:tcBorders>
            <w:noWrap w:val="0"/>
            <w:vAlign w:val="center"/>
          </w:tcPr>
          <w:p w14:paraId="00B183B2">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5</w:t>
            </w:r>
          </w:p>
        </w:tc>
        <w:tc>
          <w:tcPr>
            <w:tcW w:w="1198" w:type="pct"/>
            <w:tcBorders>
              <w:tl2br w:val="nil"/>
              <w:tr2bl w:val="nil"/>
            </w:tcBorders>
            <w:noWrap w:val="0"/>
            <w:vAlign w:val="center"/>
          </w:tcPr>
          <w:p w14:paraId="3C36E607">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一氧化碳（CO）</w:t>
            </w:r>
          </w:p>
        </w:tc>
        <w:tc>
          <w:tcPr>
            <w:tcW w:w="587" w:type="pct"/>
            <w:tcBorders>
              <w:tl2br w:val="nil"/>
              <w:tr2bl w:val="nil"/>
            </w:tcBorders>
            <w:noWrap/>
            <w:vAlign w:val="center"/>
          </w:tcPr>
          <w:p w14:paraId="7658DA5E">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w:t>
            </w:r>
          </w:p>
        </w:tc>
        <w:tc>
          <w:tcPr>
            <w:tcW w:w="804" w:type="pct"/>
            <w:tcBorders>
              <w:tl2br w:val="nil"/>
              <w:tr2bl w:val="nil"/>
            </w:tcBorders>
            <w:noWrap/>
            <w:vAlign w:val="center"/>
          </w:tcPr>
          <w:p w14:paraId="75BB7953">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4000</w:t>
            </w:r>
          </w:p>
        </w:tc>
        <w:tc>
          <w:tcPr>
            <w:tcW w:w="714" w:type="pct"/>
            <w:tcBorders>
              <w:tl2br w:val="nil"/>
              <w:tr2bl w:val="nil"/>
            </w:tcBorders>
            <w:noWrap w:val="0"/>
            <w:vAlign w:val="center"/>
          </w:tcPr>
          <w:p w14:paraId="7F7ED8C5">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10000</w:t>
            </w:r>
          </w:p>
        </w:tc>
        <w:tc>
          <w:tcPr>
            <w:tcW w:w="1444" w:type="pct"/>
            <w:vMerge w:val="continue"/>
            <w:tcBorders>
              <w:tl2br w:val="nil"/>
              <w:tr2bl w:val="nil"/>
            </w:tcBorders>
            <w:noWrap w:val="0"/>
            <w:vAlign w:val="center"/>
          </w:tcPr>
          <w:p w14:paraId="6EC32E64">
            <w:pPr>
              <w:keepNext w:val="0"/>
              <w:keepLines w:val="0"/>
              <w:pageBreakBefore w:val="0"/>
              <w:widowControl/>
              <w:kinsoku/>
              <w:wordWrap/>
              <w:overflowPunct/>
              <w:topLinePunct w:val="0"/>
              <w:autoSpaceDE/>
              <w:autoSpaceDN/>
              <w:bidi w:val="0"/>
              <w:adjustRightInd/>
              <w:snapToGrid/>
              <w:spacing w:line="400" w:lineRule="exact"/>
              <w:ind w:left="0" w:right="0" w:rightChars="0"/>
              <w:jc w:val="left"/>
              <w:textAlignment w:val="auto"/>
              <w:rPr>
                <w:rFonts w:hint="default" w:ascii="Times New Roman" w:hAnsi="Times New Roman" w:eastAsia="宋体" w:cs="Times New Roman"/>
                <w:bCs/>
                <w:color w:val="auto"/>
                <w:kern w:val="0"/>
                <w:sz w:val="21"/>
                <w:szCs w:val="21"/>
                <w:highlight w:val="none"/>
              </w:rPr>
            </w:pPr>
          </w:p>
        </w:tc>
      </w:tr>
      <w:tr w14:paraId="082862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51" w:type="pct"/>
            <w:tcBorders>
              <w:tl2br w:val="nil"/>
              <w:tr2bl w:val="nil"/>
            </w:tcBorders>
            <w:noWrap w:val="0"/>
            <w:vAlign w:val="center"/>
          </w:tcPr>
          <w:p w14:paraId="15171098">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6</w:t>
            </w:r>
          </w:p>
        </w:tc>
        <w:tc>
          <w:tcPr>
            <w:tcW w:w="1198" w:type="pct"/>
            <w:tcBorders>
              <w:tl2br w:val="nil"/>
              <w:tr2bl w:val="nil"/>
            </w:tcBorders>
            <w:noWrap w:val="0"/>
            <w:vAlign w:val="center"/>
          </w:tcPr>
          <w:p w14:paraId="2B45F460">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臭氧（O</w:t>
            </w:r>
            <w:r>
              <w:rPr>
                <w:rFonts w:hint="default" w:ascii="Times New Roman" w:hAnsi="Times New Roman" w:eastAsia="宋体" w:cs="Times New Roman"/>
                <w:bCs/>
                <w:color w:val="auto"/>
                <w:kern w:val="0"/>
                <w:sz w:val="21"/>
                <w:szCs w:val="21"/>
                <w:highlight w:val="none"/>
                <w:vertAlign w:val="subscript"/>
              </w:rPr>
              <w:t>3</w:t>
            </w:r>
            <w:r>
              <w:rPr>
                <w:rFonts w:hint="default" w:ascii="Times New Roman" w:hAnsi="Times New Roman" w:eastAsia="宋体" w:cs="Times New Roman"/>
                <w:bCs/>
                <w:color w:val="auto"/>
                <w:kern w:val="0"/>
                <w:sz w:val="21"/>
                <w:szCs w:val="21"/>
                <w:highlight w:val="none"/>
              </w:rPr>
              <w:t>）</w:t>
            </w:r>
          </w:p>
        </w:tc>
        <w:tc>
          <w:tcPr>
            <w:tcW w:w="587" w:type="pct"/>
            <w:tcBorders>
              <w:tl2br w:val="nil"/>
              <w:tr2bl w:val="nil"/>
            </w:tcBorders>
            <w:noWrap/>
            <w:vAlign w:val="center"/>
          </w:tcPr>
          <w:p w14:paraId="000513CE">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w:t>
            </w:r>
          </w:p>
        </w:tc>
        <w:tc>
          <w:tcPr>
            <w:tcW w:w="804" w:type="pct"/>
            <w:tcBorders>
              <w:tl2br w:val="nil"/>
              <w:tr2bl w:val="nil"/>
            </w:tcBorders>
            <w:noWrap/>
            <w:vAlign w:val="center"/>
          </w:tcPr>
          <w:p w14:paraId="255C2623">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160</w:t>
            </w:r>
          </w:p>
        </w:tc>
        <w:tc>
          <w:tcPr>
            <w:tcW w:w="714" w:type="pct"/>
            <w:tcBorders>
              <w:tl2br w:val="nil"/>
              <w:tr2bl w:val="nil"/>
            </w:tcBorders>
            <w:noWrap w:val="0"/>
            <w:vAlign w:val="center"/>
          </w:tcPr>
          <w:p w14:paraId="6C9BAEB8">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200</w:t>
            </w:r>
          </w:p>
        </w:tc>
        <w:tc>
          <w:tcPr>
            <w:tcW w:w="1444" w:type="pct"/>
            <w:vMerge w:val="continue"/>
            <w:tcBorders>
              <w:tl2br w:val="nil"/>
              <w:tr2bl w:val="nil"/>
            </w:tcBorders>
            <w:noWrap w:val="0"/>
            <w:vAlign w:val="center"/>
          </w:tcPr>
          <w:p w14:paraId="71B18174">
            <w:pPr>
              <w:keepNext w:val="0"/>
              <w:keepLines w:val="0"/>
              <w:pageBreakBefore w:val="0"/>
              <w:widowControl/>
              <w:kinsoku/>
              <w:wordWrap/>
              <w:overflowPunct/>
              <w:topLinePunct w:val="0"/>
              <w:autoSpaceDE/>
              <w:autoSpaceDN/>
              <w:bidi w:val="0"/>
              <w:adjustRightInd/>
              <w:snapToGrid/>
              <w:spacing w:line="400" w:lineRule="exact"/>
              <w:ind w:left="0" w:right="0" w:rightChars="0"/>
              <w:jc w:val="left"/>
              <w:textAlignment w:val="auto"/>
              <w:rPr>
                <w:rFonts w:hint="default" w:ascii="Times New Roman" w:hAnsi="Times New Roman" w:eastAsia="宋体" w:cs="Times New Roman"/>
                <w:bCs/>
                <w:color w:val="auto"/>
                <w:kern w:val="0"/>
                <w:sz w:val="21"/>
                <w:szCs w:val="21"/>
                <w:highlight w:val="none"/>
              </w:rPr>
            </w:pPr>
          </w:p>
        </w:tc>
      </w:tr>
      <w:tr w14:paraId="3B770F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51" w:type="pct"/>
            <w:tcBorders>
              <w:tl2br w:val="nil"/>
              <w:tr2bl w:val="nil"/>
            </w:tcBorders>
            <w:noWrap w:val="0"/>
            <w:vAlign w:val="center"/>
          </w:tcPr>
          <w:p w14:paraId="41B12BBC">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7</w:t>
            </w:r>
          </w:p>
        </w:tc>
        <w:tc>
          <w:tcPr>
            <w:tcW w:w="1198" w:type="pct"/>
            <w:tcBorders>
              <w:tl2br w:val="nil"/>
              <w:tr2bl w:val="nil"/>
            </w:tcBorders>
            <w:noWrap w:val="0"/>
            <w:vAlign w:val="center"/>
          </w:tcPr>
          <w:p w14:paraId="73119D54">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氮氧化物（NOx）</w:t>
            </w:r>
          </w:p>
        </w:tc>
        <w:tc>
          <w:tcPr>
            <w:tcW w:w="587" w:type="pct"/>
            <w:tcBorders>
              <w:tl2br w:val="nil"/>
              <w:tr2bl w:val="nil"/>
            </w:tcBorders>
            <w:noWrap/>
            <w:vAlign w:val="center"/>
          </w:tcPr>
          <w:p w14:paraId="613D307E">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50</w:t>
            </w:r>
          </w:p>
        </w:tc>
        <w:tc>
          <w:tcPr>
            <w:tcW w:w="804" w:type="pct"/>
            <w:tcBorders>
              <w:tl2br w:val="nil"/>
              <w:tr2bl w:val="nil"/>
            </w:tcBorders>
            <w:noWrap/>
            <w:vAlign w:val="center"/>
          </w:tcPr>
          <w:p w14:paraId="3B94B65E">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100</w:t>
            </w:r>
          </w:p>
        </w:tc>
        <w:tc>
          <w:tcPr>
            <w:tcW w:w="714" w:type="pct"/>
            <w:tcBorders>
              <w:tl2br w:val="nil"/>
              <w:tr2bl w:val="nil"/>
            </w:tcBorders>
            <w:noWrap w:val="0"/>
            <w:vAlign w:val="center"/>
          </w:tcPr>
          <w:p w14:paraId="32311570">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250</w:t>
            </w:r>
          </w:p>
        </w:tc>
        <w:tc>
          <w:tcPr>
            <w:tcW w:w="1444" w:type="pct"/>
            <w:vMerge w:val="continue"/>
            <w:tcBorders>
              <w:tl2br w:val="nil"/>
              <w:tr2bl w:val="nil"/>
            </w:tcBorders>
            <w:noWrap w:val="0"/>
            <w:vAlign w:val="center"/>
          </w:tcPr>
          <w:p w14:paraId="3864BF63">
            <w:pPr>
              <w:keepNext w:val="0"/>
              <w:keepLines w:val="0"/>
              <w:pageBreakBefore w:val="0"/>
              <w:widowControl/>
              <w:kinsoku/>
              <w:wordWrap/>
              <w:overflowPunct/>
              <w:topLinePunct w:val="0"/>
              <w:autoSpaceDE/>
              <w:autoSpaceDN/>
              <w:bidi w:val="0"/>
              <w:adjustRightInd/>
              <w:snapToGrid/>
              <w:spacing w:line="400" w:lineRule="exact"/>
              <w:ind w:left="0" w:right="0" w:rightChars="0"/>
              <w:jc w:val="left"/>
              <w:textAlignment w:val="auto"/>
              <w:rPr>
                <w:rFonts w:hint="default" w:ascii="Times New Roman" w:hAnsi="Times New Roman" w:eastAsia="宋体" w:cs="Times New Roman"/>
                <w:bCs/>
                <w:color w:val="auto"/>
                <w:kern w:val="0"/>
                <w:sz w:val="21"/>
                <w:szCs w:val="21"/>
                <w:highlight w:val="none"/>
              </w:rPr>
            </w:pPr>
          </w:p>
        </w:tc>
      </w:tr>
      <w:tr w14:paraId="3E8DDA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51" w:type="pct"/>
            <w:tcBorders>
              <w:tl2br w:val="nil"/>
              <w:tr2bl w:val="nil"/>
            </w:tcBorders>
            <w:noWrap w:val="0"/>
            <w:vAlign w:val="center"/>
          </w:tcPr>
          <w:p w14:paraId="4105B8D9">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lang w:eastAsia="zh-CN"/>
              </w:rPr>
            </w:pPr>
            <w:r>
              <w:rPr>
                <w:rFonts w:hint="default" w:ascii="Times New Roman" w:hAnsi="Times New Roman" w:eastAsia="宋体" w:cs="Times New Roman"/>
                <w:bCs/>
                <w:color w:val="auto"/>
                <w:kern w:val="0"/>
                <w:sz w:val="21"/>
                <w:szCs w:val="21"/>
                <w:highlight w:val="none"/>
                <w:lang w:val="en-US" w:eastAsia="zh-CN"/>
              </w:rPr>
              <w:t>8</w:t>
            </w:r>
          </w:p>
        </w:tc>
        <w:tc>
          <w:tcPr>
            <w:tcW w:w="1198" w:type="pct"/>
            <w:tcBorders>
              <w:tl2br w:val="nil"/>
              <w:tr2bl w:val="nil"/>
            </w:tcBorders>
            <w:noWrap w:val="0"/>
            <w:vAlign w:val="center"/>
          </w:tcPr>
          <w:p w14:paraId="156ABB1F">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非甲烷总烃</w:t>
            </w:r>
          </w:p>
        </w:tc>
        <w:tc>
          <w:tcPr>
            <w:tcW w:w="587" w:type="pct"/>
            <w:tcBorders>
              <w:tl2br w:val="nil"/>
              <w:tr2bl w:val="nil"/>
            </w:tcBorders>
            <w:noWrap w:val="0"/>
            <w:vAlign w:val="center"/>
          </w:tcPr>
          <w:p w14:paraId="5E0B37B4">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w:t>
            </w:r>
          </w:p>
        </w:tc>
        <w:tc>
          <w:tcPr>
            <w:tcW w:w="804" w:type="pct"/>
            <w:tcBorders>
              <w:tl2br w:val="nil"/>
              <w:tr2bl w:val="nil"/>
            </w:tcBorders>
            <w:noWrap w:val="0"/>
            <w:vAlign w:val="center"/>
          </w:tcPr>
          <w:p w14:paraId="1A8848E0">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w:t>
            </w:r>
          </w:p>
        </w:tc>
        <w:tc>
          <w:tcPr>
            <w:tcW w:w="714" w:type="pct"/>
            <w:tcBorders>
              <w:tl2br w:val="nil"/>
              <w:tr2bl w:val="nil"/>
            </w:tcBorders>
            <w:noWrap w:val="0"/>
            <w:vAlign w:val="center"/>
          </w:tcPr>
          <w:p w14:paraId="7030C86A">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2000</w:t>
            </w:r>
          </w:p>
        </w:tc>
        <w:tc>
          <w:tcPr>
            <w:tcW w:w="1444" w:type="pct"/>
            <w:tcBorders>
              <w:tl2br w:val="nil"/>
              <w:tr2bl w:val="nil"/>
            </w:tcBorders>
            <w:noWrap w:val="0"/>
            <w:vAlign w:val="center"/>
          </w:tcPr>
          <w:p w14:paraId="62D6D852">
            <w:pPr>
              <w:keepNext w:val="0"/>
              <w:keepLines w:val="0"/>
              <w:pageBreakBefore w:val="0"/>
              <w:widowControl/>
              <w:kinsoku/>
              <w:wordWrap/>
              <w:overflowPunct/>
              <w:topLinePunct w:val="0"/>
              <w:autoSpaceDE/>
              <w:autoSpaceDN/>
              <w:bidi w:val="0"/>
              <w:adjustRightInd/>
              <w:snapToGrid/>
              <w:spacing w:line="400" w:lineRule="exact"/>
              <w:ind w:left="0" w:right="0" w:rightChars="0"/>
              <w:jc w:val="left"/>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《大气污染物综合排放标准》详解</w:t>
            </w:r>
          </w:p>
        </w:tc>
      </w:tr>
      <w:tr w14:paraId="011655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51" w:type="pct"/>
            <w:tcBorders>
              <w:tl2br w:val="nil"/>
              <w:tr2bl w:val="nil"/>
            </w:tcBorders>
            <w:noWrap w:val="0"/>
            <w:vAlign w:val="center"/>
          </w:tcPr>
          <w:p w14:paraId="34E04FC6">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lang w:eastAsia="zh-CN"/>
              </w:rPr>
            </w:pPr>
            <w:r>
              <w:rPr>
                <w:rFonts w:hint="default" w:ascii="Times New Roman" w:hAnsi="Times New Roman" w:eastAsia="宋体" w:cs="Times New Roman"/>
                <w:bCs/>
                <w:color w:val="auto"/>
                <w:kern w:val="0"/>
                <w:sz w:val="21"/>
                <w:szCs w:val="21"/>
                <w:highlight w:val="none"/>
                <w:lang w:val="en-US" w:eastAsia="zh-CN"/>
              </w:rPr>
              <w:t>9</w:t>
            </w:r>
          </w:p>
        </w:tc>
        <w:tc>
          <w:tcPr>
            <w:tcW w:w="1198" w:type="pct"/>
            <w:tcBorders>
              <w:tl2br w:val="nil"/>
              <w:tr2bl w:val="nil"/>
            </w:tcBorders>
            <w:noWrap w:val="0"/>
            <w:vAlign w:val="center"/>
          </w:tcPr>
          <w:p w14:paraId="7BCC12AF">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硫化氢</w:t>
            </w:r>
          </w:p>
        </w:tc>
        <w:tc>
          <w:tcPr>
            <w:tcW w:w="587" w:type="pct"/>
            <w:tcBorders>
              <w:tl2br w:val="nil"/>
              <w:tr2bl w:val="nil"/>
            </w:tcBorders>
            <w:noWrap w:val="0"/>
            <w:vAlign w:val="center"/>
          </w:tcPr>
          <w:p w14:paraId="10FB9EA8">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w:t>
            </w:r>
          </w:p>
        </w:tc>
        <w:tc>
          <w:tcPr>
            <w:tcW w:w="804" w:type="pct"/>
            <w:tcBorders>
              <w:tl2br w:val="nil"/>
              <w:tr2bl w:val="nil"/>
            </w:tcBorders>
            <w:noWrap w:val="0"/>
            <w:vAlign w:val="center"/>
          </w:tcPr>
          <w:p w14:paraId="308C4AC7">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w:t>
            </w:r>
          </w:p>
        </w:tc>
        <w:tc>
          <w:tcPr>
            <w:tcW w:w="714" w:type="pct"/>
            <w:tcBorders>
              <w:tl2br w:val="nil"/>
              <w:tr2bl w:val="nil"/>
            </w:tcBorders>
            <w:noWrap w:val="0"/>
            <w:vAlign w:val="center"/>
          </w:tcPr>
          <w:p w14:paraId="4A982F59">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10</w:t>
            </w:r>
          </w:p>
        </w:tc>
        <w:tc>
          <w:tcPr>
            <w:tcW w:w="1444" w:type="pct"/>
            <w:vMerge w:val="restart"/>
            <w:tcBorders>
              <w:tl2br w:val="nil"/>
              <w:tr2bl w:val="nil"/>
            </w:tcBorders>
            <w:noWrap w:val="0"/>
            <w:vAlign w:val="center"/>
          </w:tcPr>
          <w:p w14:paraId="6C53C5A1">
            <w:pPr>
              <w:keepNext w:val="0"/>
              <w:keepLines w:val="0"/>
              <w:pageBreakBefore w:val="0"/>
              <w:widowControl/>
              <w:kinsoku/>
              <w:wordWrap/>
              <w:overflowPunct/>
              <w:topLinePunct w:val="0"/>
              <w:autoSpaceDE/>
              <w:autoSpaceDN/>
              <w:bidi w:val="0"/>
              <w:adjustRightInd/>
              <w:snapToGrid/>
              <w:spacing w:line="400" w:lineRule="exact"/>
              <w:ind w:left="0" w:right="0" w:rightChars="0"/>
              <w:jc w:val="left"/>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24"/>
                <w:sz w:val="21"/>
                <w:szCs w:val="21"/>
                <w:highlight w:val="none"/>
              </w:rPr>
              <w:t>《环境影响评价技术导则</w:t>
            </w:r>
            <w:r>
              <w:rPr>
                <w:rFonts w:hint="default" w:ascii="Times New Roman" w:hAnsi="Times New Roman" w:eastAsia="宋体" w:cs="Times New Roman"/>
                <w:bCs/>
                <w:color w:val="auto"/>
                <w:kern w:val="24"/>
                <w:sz w:val="21"/>
                <w:szCs w:val="21"/>
                <w:highlight w:val="none"/>
                <w:lang w:val="en-US" w:eastAsia="zh-CN"/>
              </w:rPr>
              <w:t xml:space="preserve"> </w:t>
            </w:r>
            <w:r>
              <w:rPr>
                <w:rFonts w:hint="default" w:ascii="Times New Roman" w:hAnsi="Times New Roman" w:eastAsia="宋体" w:cs="Times New Roman"/>
                <w:bCs/>
                <w:color w:val="auto"/>
                <w:kern w:val="24"/>
                <w:sz w:val="21"/>
                <w:szCs w:val="21"/>
                <w:highlight w:val="none"/>
              </w:rPr>
              <w:t>大气环境》（HJ2.2-2018）附录D中的1h平均浓度限值</w:t>
            </w:r>
          </w:p>
        </w:tc>
      </w:tr>
      <w:tr w14:paraId="6384E4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51" w:type="pct"/>
            <w:tcBorders>
              <w:tl2br w:val="nil"/>
              <w:tr2bl w:val="nil"/>
            </w:tcBorders>
            <w:noWrap w:val="0"/>
            <w:vAlign w:val="center"/>
          </w:tcPr>
          <w:p w14:paraId="79349927">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10</w:t>
            </w:r>
          </w:p>
        </w:tc>
        <w:tc>
          <w:tcPr>
            <w:tcW w:w="1198" w:type="pct"/>
            <w:tcBorders>
              <w:tl2br w:val="nil"/>
              <w:tr2bl w:val="nil"/>
            </w:tcBorders>
            <w:noWrap w:val="0"/>
            <w:vAlign w:val="center"/>
          </w:tcPr>
          <w:p w14:paraId="2652458A">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甲醇</w:t>
            </w:r>
          </w:p>
        </w:tc>
        <w:tc>
          <w:tcPr>
            <w:tcW w:w="587" w:type="pct"/>
            <w:tcBorders>
              <w:tl2br w:val="nil"/>
              <w:tr2bl w:val="nil"/>
            </w:tcBorders>
            <w:noWrap w:val="0"/>
            <w:vAlign w:val="center"/>
          </w:tcPr>
          <w:p w14:paraId="4437745E">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w:t>
            </w:r>
          </w:p>
        </w:tc>
        <w:tc>
          <w:tcPr>
            <w:tcW w:w="804" w:type="pct"/>
            <w:tcBorders>
              <w:tl2br w:val="nil"/>
              <w:tr2bl w:val="nil"/>
            </w:tcBorders>
            <w:noWrap w:val="0"/>
            <w:vAlign w:val="center"/>
          </w:tcPr>
          <w:p w14:paraId="5C454809">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1000</w:t>
            </w:r>
          </w:p>
        </w:tc>
        <w:tc>
          <w:tcPr>
            <w:tcW w:w="714" w:type="pct"/>
            <w:tcBorders>
              <w:tl2br w:val="nil"/>
              <w:tr2bl w:val="nil"/>
            </w:tcBorders>
            <w:noWrap w:val="0"/>
            <w:vAlign w:val="center"/>
          </w:tcPr>
          <w:p w14:paraId="7620A0EA">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3000</w:t>
            </w:r>
          </w:p>
        </w:tc>
        <w:tc>
          <w:tcPr>
            <w:tcW w:w="1444" w:type="pct"/>
            <w:vMerge w:val="continue"/>
            <w:tcBorders>
              <w:tl2br w:val="nil"/>
              <w:tr2bl w:val="nil"/>
            </w:tcBorders>
            <w:noWrap w:val="0"/>
            <w:vAlign w:val="center"/>
          </w:tcPr>
          <w:p w14:paraId="5AF0DFF0">
            <w:pPr>
              <w:keepNext w:val="0"/>
              <w:keepLines w:val="0"/>
              <w:pageBreakBefore w:val="0"/>
              <w:widowControl/>
              <w:kinsoku/>
              <w:wordWrap/>
              <w:overflowPunct/>
              <w:topLinePunct w:val="0"/>
              <w:autoSpaceDE/>
              <w:autoSpaceDN/>
              <w:bidi w:val="0"/>
              <w:adjustRightInd/>
              <w:snapToGrid/>
              <w:spacing w:line="400" w:lineRule="exact"/>
              <w:ind w:left="0" w:right="0" w:rightChars="0"/>
              <w:jc w:val="left"/>
              <w:textAlignment w:val="auto"/>
              <w:rPr>
                <w:rFonts w:hint="default" w:ascii="Times New Roman" w:hAnsi="Times New Roman" w:eastAsia="宋体" w:cs="Times New Roman"/>
                <w:bCs/>
                <w:color w:val="auto"/>
                <w:kern w:val="24"/>
                <w:sz w:val="21"/>
                <w:szCs w:val="21"/>
                <w:highlight w:val="none"/>
              </w:rPr>
            </w:pPr>
          </w:p>
        </w:tc>
      </w:tr>
    </w:tbl>
    <w:p w14:paraId="69171037">
      <w:pPr>
        <w:widowControl/>
        <w:spacing w:line="240" w:lineRule="auto"/>
        <w:jc w:val="left"/>
        <w:rPr>
          <w:rFonts w:hint="default" w:ascii="Times New Roman" w:hAnsi="Times New Roman" w:cs="Times New Roman"/>
          <w:color w:val="auto"/>
          <w:kern w:val="0"/>
          <w:sz w:val="24"/>
          <w:szCs w:val="24"/>
          <w:highlight w:val="none"/>
          <w:lang w:eastAsia="zh-CN"/>
        </w:rPr>
      </w:pPr>
      <w:r>
        <w:rPr>
          <w:rFonts w:hint="default" w:ascii="Times New Roman" w:hAnsi="Times New Roman" w:cs="Times New Roman"/>
          <w:b w:val="0"/>
          <w:bCs w:val="0"/>
          <w:color w:val="auto"/>
          <w:kern w:val="0"/>
          <w:sz w:val="21"/>
          <w:szCs w:val="21"/>
          <w:highlight w:val="none"/>
          <w:lang w:val="en-US" w:eastAsia="zh-CN"/>
        </w:rPr>
        <w:t>注：</w:t>
      </w:r>
      <w:r>
        <w:rPr>
          <w:rFonts w:hint="default" w:ascii="Times New Roman" w:hAnsi="Times New Roman" w:cs="Times New Roman"/>
          <w:b w:val="0"/>
          <w:bCs w:val="0"/>
          <w:color w:val="auto"/>
          <w:kern w:val="0"/>
          <w:sz w:val="21"/>
          <w:szCs w:val="21"/>
          <w:highlight w:val="none"/>
        </w:rPr>
        <w:t>O</w:t>
      </w:r>
      <w:r>
        <w:rPr>
          <w:rFonts w:hint="default" w:ascii="Times New Roman" w:hAnsi="Times New Roman" w:cs="Times New Roman"/>
          <w:b w:val="0"/>
          <w:bCs w:val="0"/>
          <w:color w:val="auto"/>
          <w:kern w:val="0"/>
          <w:sz w:val="21"/>
          <w:szCs w:val="21"/>
          <w:highlight w:val="none"/>
          <w:vertAlign w:val="subscript"/>
        </w:rPr>
        <w:t>3</w:t>
      </w:r>
      <w:r>
        <w:rPr>
          <w:rFonts w:hint="default" w:ascii="Times New Roman" w:hAnsi="Times New Roman" w:cs="Times New Roman"/>
          <w:b w:val="0"/>
          <w:bCs w:val="0"/>
          <w:color w:val="auto"/>
          <w:kern w:val="0"/>
          <w:sz w:val="21"/>
          <w:szCs w:val="21"/>
          <w:highlight w:val="none"/>
          <w:vertAlign w:val="baseline"/>
          <w:lang w:val="en-US" w:eastAsia="zh-CN"/>
        </w:rPr>
        <w:t>日最大8小时平均值为160</w:t>
      </w:r>
      <w:r>
        <w:rPr>
          <w:rFonts w:hint="default" w:ascii="Times New Roman" w:hAnsi="Times New Roman" w:cs="Times New Roman"/>
          <w:b w:val="0"/>
          <w:bCs w:val="0"/>
          <w:color w:val="auto"/>
          <w:kern w:val="24"/>
          <w:sz w:val="21"/>
          <w:szCs w:val="21"/>
          <w:highlight w:val="none"/>
        </w:rPr>
        <w:t>μg</w:t>
      </w:r>
      <w:r>
        <w:rPr>
          <w:rFonts w:hint="default" w:ascii="Times New Roman" w:hAnsi="Times New Roman" w:cs="Times New Roman"/>
          <w:b w:val="0"/>
          <w:bCs w:val="0"/>
          <w:color w:val="auto"/>
          <w:kern w:val="0"/>
          <w:sz w:val="21"/>
          <w:szCs w:val="21"/>
          <w:highlight w:val="none"/>
        </w:rPr>
        <w:t>/m³</w:t>
      </w:r>
    </w:p>
    <w:p w14:paraId="4CE0E4AB">
      <w:pPr>
        <w:pStyle w:val="55"/>
        <w:bidi w:val="0"/>
        <w:rPr>
          <w:rFonts w:hint="default"/>
          <w:color w:val="auto"/>
        </w:rPr>
      </w:pPr>
      <w:r>
        <w:rPr>
          <w:rFonts w:hint="eastAsia"/>
          <w:color w:val="auto"/>
          <w:lang w:val="en-US" w:eastAsia="zh-CN"/>
        </w:rPr>
        <w:t>2.4.2.3土壤</w:t>
      </w:r>
      <w:r>
        <w:rPr>
          <w:rFonts w:hint="default"/>
          <w:color w:val="auto"/>
        </w:rPr>
        <w:t>环境</w:t>
      </w:r>
    </w:p>
    <w:p w14:paraId="18254938">
      <w:pPr>
        <w:pStyle w:val="79"/>
        <w:bidi w:val="0"/>
        <w:rPr>
          <w:rFonts w:hint="default"/>
          <w:color w:val="auto"/>
        </w:rPr>
      </w:pPr>
      <w:r>
        <w:rPr>
          <w:rFonts w:hint="default"/>
          <w:color w:val="auto"/>
        </w:rPr>
        <w:t>工程</w:t>
      </w:r>
      <w:r>
        <w:rPr>
          <w:rFonts w:hint="default"/>
          <w:color w:val="auto"/>
          <w:lang w:val="en-US" w:eastAsia="zh-CN"/>
        </w:rPr>
        <w:t>占地</w:t>
      </w:r>
      <w:r>
        <w:rPr>
          <w:rFonts w:hint="default"/>
          <w:color w:val="auto"/>
          <w:lang w:val="zh-CN"/>
        </w:rPr>
        <w:t>范围内</w:t>
      </w:r>
      <w:r>
        <w:rPr>
          <w:rFonts w:hint="eastAsia"/>
          <w:color w:val="auto"/>
          <w:lang w:val="en-US" w:eastAsia="zh-CN"/>
        </w:rPr>
        <w:t>为建设用地，</w:t>
      </w:r>
      <w:r>
        <w:rPr>
          <w:rFonts w:hint="default"/>
          <w:color w:val="auto"/>
          <w:lang w:val="zh-CN"/>
        </w:rPr>
        <w:t>土壤质量</w:t>
      </w:r>
      <w:r>
        <w:rPr>
          <w:rFonts w:hint="default"/>
          <w:color w:val="auto"/>
        </w:rPr>
        <w:t>执行《土壤环境质量 建设用地土壤污染风险管控标准（试行）》（GB36600-2018）第二类用地风险筛选值。</w:t>
      </w:r>
      <w:r>
        <w:rPr>
          <w:rFonts w:hint="default"/>
          <w:color w:val="auto"/>
          <w:lang w:val="zh-CN"/>
        </w:rPr>
        <w:t>见表</w:t>
      </w:r>
      <w:r>
        <w:rPr>
          <w:rFonts w:hint="default"/>
          <w:color w:val="auto"/>
        </w:rPr>
        <w:t>2.</w:t>
      </w:r>
      <w:r>
        <w:rPr>
          <w:rFonts w:hint="eastAsia"/>
          <w:color w:val="auto"/>
          <w:lang w:val="en-US" w:eastAsia="zh-CN"/>
        </w:rPr>
        <w:t>4</w:t>
      </w:r>
      <w:r>
        <w:rPr>
          <w:rFonts w:hint="default"/>
          <w:color w:val="auto"/>
        </w:rPr>
        <w:t>-3。</w:t>
      </w:r>
    </w:p>
    <w:p w14:paraId="3200F53E">
      <w:pPr>
        <w:pStyle w:val="61"/>
        <w:bidi w:val="0"/>
        <w:jc w:val="both"/>
        <w:rPr>
          <w:rFonts w:hint="default"/>
          <w:color w:val="auto"/>
          <w:lang w:val="en-US" w:eastAsia="zh-CN"/>
        </w:rPr>
      </w:pPr>
      <w:r>
        <w:rPr>
          <w:rFonts w:hint="default"/>
          <w:color w:val="auto"/>
          <w:lang w:val="en-US" w:eastAsia="zh-CN"/>
        </w:rPr>
        <w:t>表2.</w:t>
      </w:r>
      <w:r>
        <w:rPr>
          <w:rFonts w:hint="eastAsia"/>
          <w:color w:val="auto"/>
          <w:lang w:val="en-US" w:eastAsia="zh-CN"/>
        </w:rPr>
        <w:t>4</w:t>
      </w:r>
      <w:r>
        <w:rPr>
          <w:rFonts w:hint="default"/>
          <w:color w:val="auto"/>
          <w:lang w:val="en-US" w:eastAsia="zh-CN"/>
        </w:rPr>
        <w:t>-3</w:t>
      </w:r>
      <w:r>
        <w:rPr>
          <w:rFonts w:hint="eastAsia"/>
          <w:color w:val="auto"/>
          <w:lang w:val="en-US" w:eastAsia="zh-CN"/>
        </w:rPr>
        <w:t xml:space="preserve">  </w:t>
      </w:r>
      <w:r>
        <w:rPr>
          <w:rFonts w:hint="default"/>
          <w:color w:val="auto"/>
          <w:lang w:val="en-US" w:eastAsia="zh-CN"/>
        </w:rPr>
        <w:t>建设用地土壤污染风险筛选值</w:t>
      </w:r>
    </w:p>
    <w:tbl>
      <w:tblPr>
        <w:tblStyle w:val="36"/>
        <w:tblW w:w="4915" w:type="pct"/>
        <w:tblInd w:w="78"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615"/>
        <w:gridCol w:w="1866"/>
        <w:gridCol w:w="923"/>
        <w:gridCol w:w="923"/>
        <w:gridCol w:w="695"/>
        <w:gridCol w:w="1903"/>
        <w:gridCol w:w="905"/>
        <w:gridCol w:w="854"/>
      </w:tblGrid>
      <w:tr w14:paraId="6A86C88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49" w:hRule="atLeast"/>
        </w:trPr>
        <w:tc>
          <w:tcPr>
            <w:tcW w:w="354" w:type="pct"/>
            <w:tcBorders>
              <w:tl2br w:val="nil"/>
              <w:tr2bl w:val="nil"/>
            </w:tcBorders>
            <w:noWrap w:val="0"/>
            <w:vAlign w:val="center"/>
          </w:tcPr>
          <w:p w14:paraId="649255B3">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序号</w:t>
            </w:r>
          </w:p>
        </w:tc>
        <w:tc>
          <w:tcPr>
            <w:tcW w:w="1074" w:type="pct"/>
            <w:tcBorders>
              <w:tl2br w:val="nil"/>
              <w:tr2bl w:val="nil"/>
            </w:tcBorders>
            <w:noWrap w:val="0"/>
            <w:vAlign w:val="center"/>
          </w:tcPr>
          <w:p w14:paraId="67D0E9B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监测项目</w:t>
            </w:r>
          </w:p>
        </w:tc>
        <w:tc>
          <w:tcPr>
            <w:tcW w:w="531" w:type="pct"/>
            <w:tcBorders>
              <w:tl2br w:val="nil"/>
              <w:tr2bl w:val="nil"/>
            </w:tcBorders>
            <w:noWrap w:val="0"/>
            <w:vAlign w:val="center"/>
          </w:tcPr>
          <w:p w14:paraId="23A0EB13">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单位</w:t>
            </w:r>
          </w:p>
        </w:tc>
        <w:tc>
          <w:tcPr>
            <w:tcW w:w="531" w:type="pct"/>
            <w:tcBorders>
              <w:tl2br w:val="nil"/>
              <w:tr2bl w:val="nil"/>
            </w:tcBorders>
            <w:noWrap w:val="0"/>
            <w:vAlign w:val="center"/>
          </w:tcPr>
          <w:p w14:paraId="29DE2F0B">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标准值</w:t>
            </w:r>
          </w:p>
        </w:tc>
        <w:tc>
          <w:tcPr>
            <w:tcW w:w="400" w:type="pct"/>
            <w:tcBorders>
              <w:tl2br w:val="nil"/>
              <w:tr2bl w:val="nil"/>
            </w:tcBorders>
            <w:noWrap w:val="0"/>
            <w:vAlign w:val="center"/>
          </w:tcPr>
          <w:p w14:paraId="0E187B7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序号</w:t>
            </w:r>
          </w:p>
        </w:tc>
        <w:tc>
          <w:tcPr>
            <w:tcW w:w="1095" w:type="pct"/>
            <w:tcBorders>
              <w:tl2br w:val="nil"/>
              <w:tr2bl w:val="nil"/>
            </w:tcBorders>
            <w:noWrap w:val="0"/>
            <w:vAlign w:val="center"/>
          </w:tcPr>
          <w:p w14:paraId="65E6E6DB">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监测项目</w:t>
            </w:r>
          </w:p>
        </w:tc>
        <w:tc>
          <w:tcPr>
            <w:tcW w:w="521" w:type="pct"/>
            <w:tcBorders>
              <w:tl2br w:val="nil"/>
              <w:tr2bl w:val="nil"/>
            </w:tcBorders>
            <w:noWrap w:val="0"/>
            <w:vAlign w:val="center"/>
          </w:tcPr>
          <w:p w14:paraId="3292317F">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单位</w:t>
            </w:r>
          </w:p>
        </w:tc>
        <w:tc>
          <w:tcPr>
            <w:tcW w:w="491" w:type="pct"/>
            <w:tcBorders>
              <w:tl2br w:val="nil"/>
              <w:tr2bl w:val="nil"/>
            </w:tcBorders>
            <w:noWrap w:val="0"/>
            <w:vAlign w:val="center"/>
          </w:tcPr>
          <w:p w14:paraId="74D684E8">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标准值</w:t>
            </w:r>
          </w:p>
        </w:tc>
      </w:tr>
      <w:tr w14:paraId="6DE9647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04" w:hRule="atLeast"/>
        </w:trPr>
        <w:tc>
          <w:tcPr>
            <w:tcW w:w="354" w:type="pct"/>
            <w:tcBorders>
              <w:tl2br w:val="nil"/>
              <w:tr2bl w:val="nil"/>
            </w:tcBorders>
            <w:noWrap w:val="0"/>
            <w:vAlign w:val="center"/>
          </w:tcPr>
          <w:p w14:paraId="16949EE8">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c>
          <w:tcPr>
            <w:tcW w:w="1074" w:type="pct"/>
            <w:tcBorders>
              <w:tl2br w:val="nil"/>
              <w:tr2bl w:val="nil"/>
            </w:tcBorders>
            <w:noWrap w:val="0"/>
            <w:vAlign w:val="center"/>
          </w:tcPr>
          <w:p w14:paraId="1F1D9EB6">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砷</w:t>
            </w:r>
          </w:p>
        </w:tc>
        <w:tc>
          <w:tcPr>
            <w:tcW w:w="531" w:type="pct"/>
            <w:tcBorders>
              <w:tl2br w:val="nil"/>
              <w:tr2bl w:val="nil"/>
            </w:tcBorders>
            <w:noWrap w:val="0"/>
            <w:vAlign w:val="center"/>
          </w:tcPr>
          <w:p w14:paraId="09A91E69">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mg/kg</w:t>
            </w:r>
          </w:p>
        </w:tc>
        <w:tc>
          <w:tcPr>
            <w:tcW w:w="531" w:type="pct"/>
            <w:tcBorders>
              <w:tl2br w:val="nil"/>
              <w:tr2bl w:val="nil"/>
            </w:tcBorders>
            <w:noWrap w:val="0"/>
            <w:vAlign w:val="center"/>
          </w:tcPr>
          <w:p w14:paraId="0EFF54F1">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60</w:t>
            </w:r>
          </w:p>
        </w:tc>
        <w:tc>
          <w:tcPr>
            <w:tcW w:w="400" w:type="pct"/>
            <w:tcBorders>
              <w:tl2br w:val="nil"/>
              <w:tr2bl w:val="nil"/>
            </w:tcBorders>
            <w:noWrap w:val="0"/>
            <w:vAlign w:val="center"/>
          </w:tcPr>
          <w:p w14:paraId="5F8423FF">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25</w:t>
            </w:r>
          </w:p>
        </w:tc>
        <w:tc>
          <w:tcPr>
            <w:tcW w:w="1095" w:type="pct"/>
            <w:tcBorders>
              <w:tl2br w:val="nil"/>
              <w:tr2bl w:val="nil"/>
            </w:tcBorders>
            <w:noWrap w:val="0"/>
            <w:vAlign w:val="center"/>
          </w:tcPr>
          <w:p w14:paraId="5449C3B1">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氯乙烯</w:t>
            </w:r>
          </w:p>
        </w:tc>
        <w:tc>
          <w:tcPr>
            <w:tcW w:w="521" w:type="pct"/>
            <w:tcBorders>
              <w:tl2br w:val="nil"/>
              <w:tr2bl w:val="nil"/>
            </w:tcBorders>
            <w:noWrap w:val="0"/>
            <w:vAlign w:val="center"/>
          </w:tcPr>
          <w:p w14:paraId="67060E95">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mg/kg</w:t>
            </w:r>
          </w:p>
        </w:tc>
        <w:tc>
          <w:tcPr>
            <w:tcW w:w="491" w:type="pct"/>
            <w:tcBorders>
              <w:tl2br w:val="nil"/>
              <w:tr2bl w:val="nil"/>
            </w:tcBorders>
            <w:noWrap w:val="0"/>
            <w:vAlign w:val="center"/>
          </w:tcPr>
          <w:p w14:paraId="3AE2C81B">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0.43</w:t>
            </w:r>
          </w:p>
        </w:tc>
      </w:tr>
      <w:tr w14:paraId="6BAC0DA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04" w:hRule="atLeast"/>
        </w:trPr>
        <w:tc>
          <w:tcPr>
            <w:tcW w:w="354" w:type="pct"/>
            <w:tcBorders>
              <w:tl2br w:val="nil"/>
              <w:tr2bl w:val="nil"/>
            </w:tcBorders>
            <w:noWrap w:val="0"/>
            <w:vAlign w:val="center"/>
          </w:tcPr>
          <w:p w14:paraId="187F0B6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w:t>
            </w:r>
          </w:p>
        </w:tc>
        <w:tc>
          <w:tcPr>
            <w:tcW w:w="1074" w:type="pct"/>
            <w:tcBorders>
              <w:tl2br w:val="nil"/>
              <w:tr2bl w:val="nil"/>
            </w:tcBorders>
            <w:noWrap w:val="0"/>
            <w:vAlign w:val="center"/>
          </w:tcPr>
          <w:p w14:paraId="1DF4E204">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镉</w:t>
            </w:r>
          </w:p>
        </w:tc>
        <w:tc>
          <w:tcPr>
            <w:tcW w:w="531" w:type="pct"/>
            <w:tcBorders>
              <w:tl2br w:val="nil"/>
              <w:tr2bl w:val="nil"/>
            </w:tcBorders>
            <w:noWrap w:val="0"/>
            <w:vAlign w:val="center"/>
          </w:tcPr>
          <w:p w14:paraId="11C7B553">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mg/kg</w:t>
            </w:r>
          </w:p>
        </w:tc>
        <w:tc>
          <w:tcPr>
            <w:tcW w:w="531" w:type="pct"/>
            <w:tcBorders>
              <w:tl2br w:val="nil"/>
              <w:tr2bl w:val="nil"/>
            </w:tcBorders>
            <w:noWrap w:val="0"/>
            <w:vAlign w:val="center"/>
          </w:tcPr>
          <w:p w14:paraId="714A198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65</w:t>
            </w:r>
          </w:p>
        </w:tc>
        <w:tc>
          <w:tcPr>
            <w:tcW w:w="400" w:type="pct"/>
            <w:tcBorders>
              <w:tl2br w:val="nil"/>
              <w:tr2bl w:val="nil"/>
            </w:tcBorders>
            <w:noWrap w:val="0"/>
            <w:vAlign w:val="center"/>
          </w:tcPr>
          <w:p w14:paraId="10BA4CF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26</w:t>
            </w:r>
          </w:p>
        </w:tc>
        <w:tc>
          <w:tcPr>
            <w:tcW w:w="1095" w:type="pct"/>
            <w:tcBorders>
              <w:tl2br w:val="nil"/>
              <w:tr2bl w:val="nil"/>
            </w:tcBorders>
            <w:noWrap w:val="0"/>
            <w:vAlign w:val="center"/>
          </w:tcPr>
          <w:p w14:paraId="16B9488F">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苯</w:t>
            </w:r>
          </w:p>
        </w:tc>
        <w:tc>
          <w:tcPr>
            <w:tcW w:w="521" w:type="pct"/>
            <w:tcBorders>
              <w:tl2br w:val="nil"/>
              <w:tr2bl w:val="nil"/>
            </w:tcBorders>
            <w:noWrap w:val="0"/>
            <w:vAlign w:val="center"/>
          </w:tcPr>
          <w:p w14:paraId="55A1B607">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mg/kg</w:t>
            </w:r>
          </w:p>
        </w:tc>
        <w:tc>
          <w:tcPr>
            <w:tcW w:w="491" w:type="pct"/>
            <w:tcBorders>
              <w:tl2br w:val="nil"/>
              <w:tr2bl w:val="nil"/>
            </w:tcBorders>
            <w:noWrap w:val="0"/>
            <w:vAlign w:val="center"/>
          </w:tcPr>
          <w:p w14:paraId="2E5055A3">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4</w:t>
            </w:r>
          </w:p>
        </w:tc>
      </w:tr>
      <w:tr w14:paraId="1062350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04" w:hRule="atLeast"/>
        </w:trPr>
        <w:tc>
          <w:tcPr>
            <w:tcW w:w="354" w:type="pct"/>
            <w:tcBorders>
              <w:tl2br w:val="nil"/>
              <w:tr2bl w:val="nil"/>
            </w:tcBorders>
            <w:noWrap w:val="0"/>
            <w:vAlign w:val="center"/>
          </w:tcPr>
          <w:p w14:paraId="783E51FD">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w:t>
            </w:r>
          </w:p>
        </w:tc>
        <w:tc>
          <w:tcPr>
            <w:tcW w:w="1074" w:type="pct"/>
            <w:tcBorders>
              <w:tl2br w:val="nil"/>
              <w:tr2bl w:val="nil"/>
            </w:tcBorders>
            <w:noWrap w:val="0"/>
            <w:vAlign w:val="center"/>
          </w:tcPr>
          <w:p w14:paraId="13E36843">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铬（六价）</w:t>
            </w:r>
          </w:p>
        </w:tc>
        <w:tc>
          <w:tcPr>
            <w:tcW w:w="531" w:type="pct"/>
            <w:tcBorders>
              <w:tl2br w:val="nil"/>
              <w:tr2bl w:val="nil"/>
            </w:tcBorders>
            <w:noWrap w:val="0"/>
            <w:vAlign w:val="center"/>
          </w:tcPr>
          <w:p w14:paraId="525F57D9">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mg/kg</w:t>
            </w:r>
          </w:p>
        </w:tc>
        <w:tc>
          <w:tcPr>
            <w:tcW w:w="531" w:type="pct"/>
            <w:tcBorders>
              <w:tl2br w:val="nil"/>
              <w:tr2bl w:val="nil"/>
            </w:tcBorders>
            <w:noWrap w:val="0"/>
            <w:vAlign w:val="center"/>
          </w:tcPr>
          <w:p w14:paraId="44A7079D">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5.7</w:t>
            </w:r>
          </w:p>
        </w:tc>
        <w:tc>
          <w:tcPr>
            <w:tcW w:w="400" w:type="pct"/>
            <w:tcBorders>
              <w:tl2br w:val="nil"/>
              <w:tr2bl w:val="nil"/>
            </w:tcBorders>
            <w:noWrap w:val="0"/>
            <w:vAlign w:val="center"/>
          </w:tcPr>
          <w:p w14:paraId="26ACEA06">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27</w:t>
            </w:r>
          </w:p>
        </w:tc>
        <w:tc>
          <w:tcPr>
            <w:tcW w:w="1095" w:type="pct"/>
            <w:tcBorders>
              <w:tl2br w:val="nil"/>
              <w:tr2bl w:val="nil"/>
            </w:tcBorders>
            <w:noWrap w:val="0"/>
            <w:vAlign w:val="center"/>
          </w:tcPr>
          <w:p w14:paraId="35959DB8">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氯苯</w:t>
            </w:r>
          </w:p>
        </w:tc>
        <w:tc>
          <w:tcPr>
            <w:tcW w:w="521" w:type="pct"/>
            <w:tcBorders>
              <w:tl2br w:val="nil"/>
              <w:tr2bl w:val="nil"/>
            </w:tcBorders>
            <w:noWrap w:val="0"/>
            <w:vAlign w:val="center"/>
          </w:tcPr>
          <w:p w14:paraId="4F469E70">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mg/kg</w:t>
            </w:r>
          </w:p>
        </w:tc>
        <w:tc>
          <w:tcPr>
            <w:tcW w:w="491" w:type="pct"/>
            <w:tcBorders>
              <w:tl2br w:val="nil"/>
              <w:tr2bl w:val="nil"/>
            </w:tcBorders>
            <w:noWrap w:val="0"/>
            <w:vAlign w:val="center"/>
          </w:tcPr>
          <w:p w14:paraId="6CC8A6E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270</w:t>
            </w:r>
          </w:p>
        </w:tc>
      </w:tr>
      <w:tr w14:paraId="3541822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04" w:hRule="atLeast"/>
        </w:trPr>
        <w:tc>
          <w:tcPr>
            <w:tcW w:w="354" w:type="pct"/>
            <w:tcBorders>
              <w:tl2br w:val="nil"/>
              <w:tr2bl w:val="nil"/>
            </w:tcBorders>
            <w:noWrap w:val="0"/>
            <w:vAlign w:val="center"/>
          </w:tcPr>
          <w:p w14:paraId="12CA68F1">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w:t>
            </w:r>
          </w:p>
        </w:tc>
        <w:tc>
          <w:tcPr>
            <w:tcW w:w="1074" w:type="pct"/>
            <w:tcBorders>
              <w:tl2br w:val="nil"/>
              <w:tr2bl w:val="nil"/>
            </w:tcBorders>
            <w:noWrap w:val="0"/>
            <w:vAlign w:val="center"/>
          </w:tcPr>
          <w:p w14:paraId="69418CEE">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铜</w:t>
            </w:r>
          </w:p>
        </w:tc>
        <w:tc>
          <w:tcPr>
            <w:tcW w:w="531" w:type="pct"/>
            <w:tcBorders>
              <w:tl2br w:val="nil"/>
              <w:tr2bl w:val="nil"/>
            </w:tcBorders>
            <w:noWrap w:val="0"/>
            <w:vAlign w:val="center"/>
          </w:tcPr>
          <w:p w14:paraId="034950CF">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mg/kg</w:t>
            </w:r>
          </w:p>
        </w:tc>
        <w:tc>
          <w:tcPr>
            <w:tcW w:w="531" w:type="pct"/>
            <w:tcBorders>
              <w:tl2br w:val="nil"/>
              <w:tr2bl w:val="nil"/>
            </w:tcBorders>
            <w:noWrap w:val="0"/>
            <w:vAlign w:val="center"/>
          </w:tcPr>
          <w:p w14:paraId="260BC2F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18000</w:t>
            </w:r>
          </w:p>
        </w:tc>
        <w:tc>
          <w:tcPr>
            <w:tcW w:w="400" w:type="pct"/>
            <w:tcBorders>
              <w:tl2br w:val="nil"/>
              <w:tr2bl w:val="nil"/>
            </w:tcBorders>
            <w:noWrap w:val="0"/>
            <w:vAlign w:val="center"/>
          </w:tcPr>
          <w:p w14:paraId="341DD05F">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28</w:t>
            </w:r>
          </w:p>
        </w:tc>
        <w:tc>
          <w:tcPr>
            <w:tcW w:w="1095" w:type="pct"/>
            <w:tcBorders>
              <w:tl2br w:val="nil"/>
              <w:tr2bl w:val="nil"/>
            </w:tcBorders>
            <w:noWrap w:val="0"/>
            <w:vAlign w:val="center"/>
          </w:tcPr>
          <w:p w14:paraId="1AC68328">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1,2-二氯苯</w:t>
            </w:r>
          </w:p>
        </w:tc>
        <w:tc>
          <w:tcPr>
            <w:tcW w:w="521" w:type="pct"/>
            <w:tcBorders>
              <w:tl2br w:val="nil"/>
              <w:tr2bl w:val="nil"/>
            </w:tcBorders>
            <w:noWrap w:val="0"/>
            <w:vAlign w:val="center"/>
          </w:tcPr>
          <w:p w14:paraId="7D49402D">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mg/kg</w:t>
            </w:r>
          </w:p>
        </w:tc>
        <w:tc>
          <w:tcPr>
            <w:tcW w:w="491" w:type="pct"/>
            <w:tcBorders>
              <w:tl2br w:val="nil"/>
              <w:tr2bl w:val="nil"/>
            </w:tcBorders>
            <w:noWrap w:val="0"/>
            <w:vAlign w:val="center"/>
          </w:tcPr>
          <w:p w14:paraId="4B3F7744">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560</w:t>
            </w:r>
          </w:p>
        </w:tc>
      </w:tr>
      <w:tr w14:paraId="2F9D7B8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04" w:hRule="atLeast"/>
        </w:trPr>
        <w:tc>
          <w:tcPr>
            <w:tcW w:w="354" w:type="pct"/>
            <w:tcBorders>
              <w:tl2br w:val="nil"/>
              <w:tr2bl w:val="nil"/>
            </w:tcBorders>
            <w:noWrap w:val="0"/>
            <w:vAlign w:val="center"/>
          </w:tcPr>
          <w:p w14:paraId="65D5FF8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w:t>
            </w:r>
          </w:p>
        </w:tc>
        <w:tc>
          <w:tcPr>
            <w:tcW w:w="1074" w:type="pct"/>
            <w:tcBorders>
              <w:tl2br w:val="nil"/>
              <w:tr2bl w:val="nil"/>
            </w:tcBorders>
            <w:noWrap w:val="0"/>
            <w:vAlign w:val="center"/>
          </w:tcPr>
          <w:p w14:paraId="275E4F91">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铅</w:t>
            </w:r>
          </w:p>
        </w:tc>
        <w:tc>
          <w:tcPr>
            <w:tcW w:w="531" w:type="pct"/>
            <w:tcBorders>
              <w:tl2br w:val="nil"/>
              <w:tr2bl w:val="nil"/>
            </w:tcBorders>
            <w:noWrap w:val="0"/>
            <w:vAlign w:val="center"/>
          </w:tcPr>
          <w:p w14:paraId="6C8FF275">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mg/kg</w:t>
            </w:r>
          </w:p>
        </w:tc>
        <w:tc>
          <w:tcPr>
            <w:tcW w:w="531" w:type="pct"/>
            <w:tcBorders>
              <w:tl2br w:val="nil"/>
              <w:tr2bl w:val="nil"/>
            </w:tcBorders>
            <w:noWrap w:val="0"/>
            <w:vAlign w:val="center"/>
          </w:tcPr>
          <w:p w14:paraId="1D3A7016">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800</w:t>
            </w:r>
          </w:p>
        </w:tc>
        <w:tc>
          <w:tcPr>
            <w:tcW w:w="400" w:type="pct"/>
            <w:tcBorders>
              <w:tl2br w:val="nil"/>
              <w:tr2bl w:val="nil"/>
            </w:tcBorders>
            <w:noWrap w:val="0"/>
            <w:vAlign w:val="center"/>
          </w:tcPr>
          <w:p w14:paraId="12917FD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29</w:t>
            </w:r>
          </w:p>
        </w:tc>
        <w:tc>
          <w:tcPr>
            <w:tcW w:w="1095" w:type="pct"/>
            <w:tcBorders>
              <w:tl2br w:val="nil"/>
              <w:tr2bl w:val="nil"/>
            </w:tcBorders>
            <w:noWrap w:val="0"/>
            <w:vAlign w:val="center"/>
          </w:tcPr>
          <w:p w14:paraId="2AD8D160">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1,4-二氯苯</w:t>
            </w:r>
          </w:p>
        </w:tc>
        <w:tc>
          <w:tcPr>
            <w:tcW w:w="521" w:type="pct"/>
            <w:tcBorders>
              <w:tl2br w:val="nil"/>
              <w:tr2bl w:val="nil"/>
            </w:tcBorders>
            <w:noWrap w:val="0"/>
            <w:vAlign w:val="center"/>
          </w:tcPr>
          <w:p w14:paraId="585187D6">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mg/kg</w:t>
            </w:r>
          </w:p>
        </w:tc>
        <w:tc>
          <w:tcPr>
            <w:tcW w:w="491" w:type="pct"/>
            <w:tcBorders>
              <w:tl2br w:val="nil"/>
              <w:tr2bl w:val="nil"/>
            </w:tcBorders>
            <w:noWrap w:val="0"/>
            <w:vAlign w:val="center"/>
          </w:tcPr>
          <w:p w14:paraId="5BEFD5D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20</w:t>
            </w:r>
          </w:p>
        </w:tc>
      </w:tr>
      <w:tr w14:paraId="723E538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04" w:hRule="atLeast"/>
        </w:trPr>
        <w:tc>
          <w:tcPr>
            <w:tcW w:w="354" w:type="pct"/>
            <w:tcBorders>
              <w:tl2br w:val="nil"/>
              <w:tr2bl w:val="nil"/>
            </w:tcBorders>
            <w:noWrap w:val="0"/>
            <w:vAlign w:val="center"/>
          </w:tcPr>
          <w:p w14:paraId="0A7C2487">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w:t>
            </w:r>
          </w:p>
        </w:tc>
        <w:tc>
          <w:tcPr>
            <w:tcW w:w="1074" w:type="pct"/>
            <w:tcBorders>
              <w:tl2br w:val="nil"/>
              <w:tr2bl w:val="nil"/>
            </w:tcBorders>
            <w:noWrap w:val="0"/>
            <w:vAlign w:val="center"/>
          </w:tcPr>
          <w:p w14:paraId="362A4CAE">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汞</w:t>
            </w:r>
          </w:p>
        </w:tc>
        <w:tc>
          <w:tcPr>
            <w:tcW w:w="531" w:type="pct"/>
            <w:tcBorders>
              <w:tl2br w:val="nil"/>
              <w:tr2bl w:val="nil"/>
            </w:tcBorders>
            <w:noWrap w:val="0"/>
            <w:vAlign w:val="center"/>
          </w:tcPr>
          <w:p w14:paraId="3C9AFC01">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mg/kg</w:t>
            </w:r>
          </w:p>
        </w:tc>
        <w:tc>
          <w:tcPr>
            <w:tcW w:w="531" w:type="pct"/>
            <w:tcBorders>
              <w:tl2br w:val="nil"/>
              <w:tr2bl w:val="nil"/>
            </w:tcBorders>
            <w:noWrap w:val="0"/>
            <w:vAlign w:val="center"/>
          </w:tcPr>
          <w:p w14:paraId="10AB7CA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38</w:t>
            </w:r>
          </w:p>
        </w:tc>
        <w:tc>
          <w:tcPr>
            <w:tcW w:w="400" w:type="pct"/>
            <w:tcBorders>
              <w:tl2br w:val="nil"/>
              <w:tr2bl w:val="nil"/>
            </w:tcBorders>
            <w:noWrap w:val="0"/>
            <w:vAlign w:val="center"/>
          </w:tcPr>
          <w:p w14:paraId="7E4A9986">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30</w:t>
            </w:r>
          </w:p>
        </w:tc>
        <w:tc>
          <w:tcPr>
            <w:tcW w:w="1095" w:type="pct"/>
            <w:tcBorders>
              <w:tl2br w:val="nil"/>
              <w:tr2bl w:val="nil"/>
            </w:tcBorders>
            <w:noWrap w:val="0"/>
            <w:vAlign w:val="center"/>
          </w:tcPr>
          <w:p w14:paraId="672A35FB">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乙苯</w:t>
            </w:r>
          </w:p>
        </w:tc>
        <w:tc>
          <w:tcPr>
            <w:tcW w:w="521" w:type="pct"/>
            <w:tcBorders>
              <w:tl2br w:val="nil"/>
              <w:tr2bl w:val="nil"/>
            </w:tcBorders>
            <w:noWrap w:val="0"/>
            <w:vAlign w:val="center"/>
          </w:tcPr>
          <w:p w14:paraId="2FBF6656">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mg/kg</w:t>
            </w:r>
          </w:p>
        </w:tc>
        <w:tc>
          <w:tcPr>
            <w:tcW w:w="491" w:type="pct"/>
            <w:tcBorders>
              <w:tl2br w:val="nil"/>
              <w:tr2bl w:val="nil"/>
            </w:tcBorders>
            <w:noWrap w:val="0"/>
            <w:vAlign w:val="center"/>
          </w:tcPr>
          <w:p w14:paraId="75F2BA06">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28</w:t>
            </w:r>
          </w:p>
        </w:tc>
      </w:tr>
      <w:tr w14:paraId="6059419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04" w:hRule="atLeast"/>
        </w:trPr>
        <w:tc>
          <w:tcPr>
            <w:tcW w:w="354" w:type="pct"/>
            <w:tcBorders>
              <w:tl2br w:val="nil"/>
              <w:tr2bl w:val="nil"/>
            </w:tcBorders>
            <w:noWrap w:val="0"/>
            <w:vAlign w:val="center"/>
          </w:tcPr>
          <w:p w14:paraId="7243F0CD">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7</w:t>
            </w:r>
          </w:p>
        </w:tc>
        <w:tc>
          <w:tcPr>
            <w:tcW w:w="1074" w:type="pct"/>
            <w:tcBorders>
              <w:tl2br w:val="nil"/>
              <w:tr2bl w:val="nil"/>
            </w:tcBorders>
            <w:noWrap w:val="0"/>
            <w:vAlign w:val="center"/>
          </w:tcPr>
          <w:p w14:paraId="09F0A293">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镍</w:t>
            </w:r>
          </w:p>
        </w:tc>
        <w:tc>
          <w:tcPr>
            <w:tcW w:w="531" w:type="pct"/>
            <w:tcBorders>
              <w:tl2br w:val="nil"/>
              <w:tr2bl w:val="nil"/>
            </w:tcBorders>
            <w:noWrap w:val="0"/>
            <w:vAlign w:val="center"/>
          </w:tcPr>
          <w:p w14:paraId="20782DFF">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mg/kg</w:t>
            </w:r>
          </w:p>
        </w:tc>
        <w:tc>
          <w:tcPr>
            <w:tcW w:w="531" w:type="pct"/>
            <w:tcBorders>
              <w:tl2br w:val="nil"/>
              <w:tr2bl w:val="nil"/>
            </w:tcBorders>
            <w:noWrap w:val="0"/>
            <w:vAlign w:val="center"/>
          </w:tcPr>
          <w:p w14:paraId="19ED2661">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900</w:t>
            </w:r>
          </w:p>
        </w:tc>
        <w:tc>
          <w:tcPr>
            <w:tcW w:w="400" w:type="pct"/>
            <w:tcBorders>
              <w:tl2br w:val="nil"/>
              <w:tr2bl w:val="nil"/>
            </w:tcBorders>
            <w:noWrap w:val="0"/>
            <w:vAlign w:val="center"/>
          </w:tcPr>
          <w:p w14:paraId="172D601F">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31</w:t>
            </w:r>
          </w:p>
        </w:tc>
        <w:tc>
          <w:tcPr>
            <w:tcW w:w="1095" w:type="pct"/>
            <w:tcBorders>
              <w:tl2br w:val="nil"/>
              <w:tr2bl w:val="nil"/>
            </w:tcBorders>
            <w:noWrap w:val="0"/>
            <w:vAlign w:val="center"/>
          </w:tcPr>
          <w:p w14:paraId="54777B4F">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苯乙烯</w:t>
            </w:r>
          </w:p>
        </w:tc>
        <w:tc>
          <w:tcPr>
            <w:tcW w:w="521" w:type="pct"/>
            <w:tcBorders>
              <w:tl2br w:val="nil"/>
              <w:tr2bl w:val="nil"/>
            </w:tcBorders>
            <w:noWrap w:val="0"/>
            <w:vAlign w:val="center"/>
          </w:tcPr>
          <w:p w14:paraId="19259ED6">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mg/kg</w:t>
            </w:r>
          </w:p>
        </w:tc>
        <w:tc>
          <w:tcPr>
            <w:tcW w:w="491" w:type="pct"/>
            <w:tcBorders>
              <w:tl2br w:val="nil"/>
              <w:tr2bl w:val="nil"/>
            </w:tcBorders>
            <w:noWrap w:val="0"/>
            <w:vAlign w:val="center"/>
          </w:tcPr>
          <w:p w14:paraId="6229335D">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1290</w:t>
            </w:r>
          </w:p>
        </w:tc>
      </w:tr>
      <w:tr w14:paraId="7FED802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04" w:hRule="atLeast"/>
        </w:trPr>
        <w:tc>
          <w:tcPr>
            <w:tcW w:w="354" w:type="pct"/>
            <w:tcBorders>
              <w:tl2br w:val="nil"/>
              <w:tr2bl w:val="nil"/>
            </w:tcBorders>
            <w:noWrap w:val="0"/>
            <w:vAlign w:val="center"/>
          </w:tcPr>
          <w:p w14:paraId="0254215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8</w:t>
            </w:r>
          </w:p>
        </w:tc>
        <w:tc>
          <w:tcPr>
            <w:tcW w:w="1074" w:type="pct"/>
            <w:tcBorders>
              <w:tl2br w:val="nil"/>
              <w:tr2bl w:val="nil"/>
            </w:tcBorders>
            <w:noWrap w:val="0"/>
            <w:vAlign w:val="center"/>
          </w:tcPr>
          <w:p w14:paraId="1B91C6C2">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四氯化碳</w:t>
            </w:r>
          </w:p>
        </w:tc>
        <w:tc>
          <w:tcPr>
            <w:tcW w:w="531" w:type="pct"/>
            <w:tcBorders>
              <w:tl2br w:val="nil"/>
              <w:tr2bl w:val="nil"/>
            </w:tcBorders>
            <w:noWrap w:val="0"/>
            <w:vAlign w:val="center"/>
          </w:tcPr>
          <w:p w14:paraId="67E96407">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mg/kg</w:t>
            </w:r>
          </w:p>
        </w:tc>
        <w:tc>
          <w:tcPr>
            <w:tcW w:w="531" w:type="pct"/>
            <w:tcBorders>
              <w:tl2br w:val="nil"/>
              <w:tr2bl w:val="nil"/>
            </w:tcBorders>
            <w:noWrap w:val="0"/>
            <w:vAlign w:val="center"/>
          </w:tcPr>
          <w:p w14:paraId="2D9CF4F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2.8</w:t>
            </w:r>
          </w:p>
        </w:tc>
        <w:tc>
          <w:tcPr>
            <w:tcW w:w="400" w:type="pct"/>
            <w:tcBorders>
              <w:tl2br w:val="nil"/>
              <w:tr2bl w:val="nil"/>
            </w:tcBorders>
            <w:noWrap w:val="0"/>
            <w:vAlign w:val="center"/>
          </w:tcPr>
          <w:p w14:paraId="55CED79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32</w:t>
            </w:r>
          </w:p>
        </w:tc>
        <w:tc>
          <w:tcPr>
            <w:tcW w:w="1095" w:type="pct"/>
            <w:tcBorders>
              <w:tl2br w:val="nil"/>
              <w:tr2bl w:val="nil"/>
            </w:tcBorders>
            <w:noWrap w:val="0"/>
            <w:vAlign w:val="center"/>
          </w:tcPr>
          <w:p w14:paraId="2CD7520B">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甲苯</w:t>
            </w:r>
          </w:p>
        </w:tc>
        <w:tc>
          <w:tcPr>
            <w:tcW w:w="521" w:type="pct"/>
            <w:tcBorders>
              <w:tl2br w:val="nil"/>
              <w:tr2bl w:val="nil"/>
            </w:tcBorders>
            <w:noWrap w:val="0"/>
            <w:vAlign w:val="center"/>
          </w:tcPr>
          <w:p w14:paraId="266D5DA1">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mg/kg</w:t>
            </w:r>
          </w:p>
        </w:tc>
        <w:tc>
          <w:tcPr>
            <w:tcW w:w="491" w:type="pct"/>
            <w:tcBorders>
              <w:tl2br w:val="nil"/>
              <w:tr2bl w:val="nil"/>
            </w:tcBorders>
            <w:noWrap w:val="0"/>
            <w:vAlign w:val="center"/>
          </w:tcPr>
          <w:p w14:paraId="314DD6E7">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1200</w:t>
            </w:r>
          </w:p>
        </w:tc>
      </w:tr>
      <w:tr w14:paraId="61CA7F0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04" w:hRule="atLeast"/>
        </w:trPr>
        <w:tc>
          <w:tcPr>
            <w:tcW w:w="354" w:type="pct"/>
            <w:tcBorders>
              <w:tl2br w:val="nil"/>
              <w:tr2bl w:val="nil"/>
            </w:tcBorders>
            <w:noWrap w:val="0"/>
            <w:vAlign w:val="center"/>
          </w:tcPr>
          <w:p w14:paraId="5BB5D163">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9</w:t>
            </w:r>
          </w:p>
        </w:tc>
        <w:tc>
          <w:tcPr>
            <w:tcW w:w="1074" w:type="pct"/>
            <w:tcBorders>
              <w:tl2br w:val="nil"/>
              <w:tr2bl w:val="nil"/>
            </w:tcBorders>
            <w:noWrap w:val="0"/>
            <w:vAlign w:val="center"/>
          </w:tcPr>
          <w:p w14:paraId="7281990E">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氯仿</w:t>
            </w:r>
          </w:p>
        </w:tc>
        <w:tc>
          <w:tcPr>
            <w:tcW w:w="531" w:type="pct"/>
            <w:tcBorders>
              <w:tl2br w:val="nil"/>
              <w:tr2bl w:val="nil"/>
            </w:tcBorders>
            <w:noWrap w:val="0"/>
            <w:vAlign w:val="center"/>
          </w:tcPr>
          <w:p w14:paraId="05C78B0B">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mg/kg</w:t>
            </w:r>
          </w:p>
        </w:tc>
        <w:tc>
          <w:tcPr>
            <w:tcW w:w="531" w:type="pct"/>
            <w:tcBorders>
              <w:tl2br w:val="nil"/>
              <w:tr2bl w:val="nil"/>
            </w:tcBorders>
            <w:noWrap w:val="0"/>
            <w:vAlign w:val="center"/>
          </w:tcPr>
          <w:p w14:paraId="128A2CFF">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0.9</w:t>
            </w:r>
          </w:p>
        </w:tc>
        <w:tc>
          <w:tcPr>
            <w:tcW w:w="400" w:type="pct"/>
            <w:tcBorders>
              <w:tl2br w:val="nil"/>
              <w:tr2bl w:val="nil"/>
            </w:tcBorders>
            <w:noWrap w:val="0"/>
            <w:vAlign w:val="center"/>
          </w:tcPr>
          <w:p w14:paraId="1B0DB2E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33</w:t>
            </w:r>
          </w:p>
        </w:tc>
        <w:tc>
          <w:tcPr>
            <w:tcW w:w="1095" w:type="pct"/>
            <w:tcBorders>
              <w:tl2br w:val="nil"/>
              <w:tr2bl w:val="nil"/>
            </w:tcBorders>
            <w:noWrap w:val="0"/>
            <w:vAlign w:val="center"/>
          </w:tcPr>
          <w:p w14:paraId="73115D18">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spacing w:val="-12"/>
                <w:kern w:val="0"/>
                <w:sz w:val="21"/>
                <w:szCs w:val="21"/>
                <w:highlight w:val="none"/>
                <w:lang w:val="en-US" w:eastAsia="zh-CN" w:bidi="ar-SA"/>
              </w:rPr>
            </w:pPr>
            <w:r>
              <w:rPr>
                <w:rFonts w:hint="default" w:ascii="Times New Roman" w:hAnsi="Times New Roman" w:eastAsia="宋体" w:cs="Times New Roman"/>
                <w:color w:val="auto"/>
                <w:spacing w:val="-12"/>
                <w:kern w:val="0"/>
                <w:sz w:val="21"/>
                <w:szCs w:val="21"/>
                <w:highlight w:val="none"/>
              </w:rPr>
              <w:t>间二甲苯+对二甲苯</w:t>
            </w:r>
          </w:p>
        </w:tc>
        <w:tc>
          <w:tcPr>
            <w:tcW w:w="521" w:type="pct"/>
            <w:tcBorders>
              <w:tl2br w:val="nil"/>
              <w:tr2bl w:val="nil"/>
            </w:tcBorders>
            <w:noWrap w:val="0"/>
            <w:vAlign w:val="center"/>
          </w:tcPr>
          <w:p w14:paraId="6594BAAA">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mg/kg</w:t>
            </w:r>
          </w:p>
        </w:tc>
        <w:tc>
          <w:tcPr>
            <w:tcW w:w="491" w:type="pct"/>
            <w:tcBorders>
              <w:tl2br w:val="nil"/>
              <w:tr2bl w:val="nil"/>
            </w:tcBorders>
            <w:noWrap w:val="0"/>
            <w:vAlign w:val="center"/>
          </w:tcPr>
          <w:p w14:paraId="0056A372">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570</w:t>
            </w:r>
          </w:p>
        </w:tc>
      </w:tr>
      <w:tr w14:paraId="6BC5BAA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04" w:hRule="atLeast"/>
        </w:trPr>
        <w:tc>
          <w:tcPr>
            <w:tcW w:w="354" w:type="pct"/>
            <w:tcBorders>
              <w:tl2br w:val="nil"/>
              <w:tr2bl w:val="nil"/>
            </w:tcBorders>
            <w:noWrap w:val="0"/>
            <w:vAlign w:val="center"/>
          </w:tcPr>
          <w:p w14:paraId="59A8A9A8">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w:t>
            </w:r>
          </w:p>
        </w:tc>
        <w:tc>
          <w:tcPr>
            <w:tcW w:w="1074" w:type="pct"/>
            <w:tcBorders>
              <w:tl2br w:val="nil"/>
              <w:tr2bl w:val="nil"/>
            </w:tcBorders>
            <w:noWrap w:val="0"/>
            <w:vAlign w:val="center"/>
          </w:tcPr>
          <w:p w14:paraId="645AAAE5">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氯甲烷</w:t>
            </w:r>
          </w:p>
        </w:tc>
        <w:tc>
          <w:tcPr>
            <w:tcW w:w="531" w:type="pct"/>
            <w:tcBorders>
              <w:tl2br w:val="nil"/>
              <w:tr2bl w:val="nil"/>
            </w:tcBorders>
            <w:noWrap w:val="0"/>
            <w:vAlign w:val="center"/>
          </w:tcPr>
          <w:p w14:paraId="4BFA6F98">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mg/kg</w:t>
            </w:r>
          </w:p>
        </w:tc>
        <w:tc>
          <w:tcPr>
            <w:tcW w:w="531" w:type="pct"/>
            <w:tcBorders>
              <w:tl2br w:val="nil"/>
              <w:tr2bl w:val="nil"/>
            </w:tcBorders>
            <w:noWrap w:val="0"/>
            <w:vAlign w:val="center"/>
          </w:tcPr>
          <w:p w14:paraId="5C8228B5">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37</w:t>
            </w:r>
          </w:p>
        </w:tc>
        <w:tc>
          <w:tcPr>
            <w:tcW w:w="400" w:type="pct"/>
            <w:tcBorders>
              <w:tl2br w:val="nil"/>
              <w:tr2bl w:val="nil"/>
            </w:tcBorders>
            <w:noWrap w:val="0"/>
            <w:vAlign w:val="center"/>
          </w:tcPr>
          <w:p w14:paraId="19058A6B">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34</w:t>
            </w:r>
          </w:p>
        </w:tc>
        <w:tc>
          <w:tcPr>
            <w:tcW w:w="1095" w:type="pct"/>
            <w:tcBorders>
              <w:tl2br w:val="nil"/>
              <w:tr2bl w:val="nil"/>
            </w:tcBorders>
            <w:noWrap w:val="0"/>
            <w:vAlign w:val="center"/>
          </w:tcPr>
          <w:p w14:paraId="05F88D1D">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邻二甲苯</w:t>
            </w:r>
          </w:p>
        </w:tc>
        <w:tc>
          <w:tcPr>
            <w:tcW w:w="521" w:type="pct"/>
            <w:tcBorders>
              <w:tl2br w:val="nil"/>
              <w:tr2bl w:val="nil"/>
            </w:tcBorders>
            <w:noWrap w:val="0"/>
            <w:vAlign w:val="center"/>
          </w:tcPr>
          <w:p w14:paraId="4F8B1B4E">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mg/kg</w:t>
            </w:r>
          </w:p>
        </w:tc>
        <w:tc>
          <w:tcPr>
            <w:tcW w:w="491" w:type="pct"/>
            <w:tcBorders>
              <w:tl2br w:val="nil"/>
              <w:tr2bl w:val="nil"/>
            </w:tcBorders>
            <w:noWrap w:val="0"/>
            <w:vAlign w:val="center"/>
          </w:tcPr>
          <w:p w14:paraId="54A1658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640</w:t>
            </w:r>
          </w:p>
        </w:tc>
      </w:tr>
      <w:tr w14:paraId="30EEB6D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04" w:hRule="atLeast"/>
        </w:trPr>
        <w:tc>
          <w:tcPr>
            <w:tcW w:w="354" w:type="pct"/>
            <w:tcBorders>
              <w:tl2br w:val="nil"/>
              <w:tr2bl w:val="nil"/>
            </w:tcBorders>
            <w:noWrap w:val="0"/>
            <w:vAlign w:val="center"/>
          </w:tcPr>
          <w:p w14:paraId="4C36022F">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11</w:t>
            </w:r>
          </w:p>
        </w:tc>
        <w:tc>
          <w:tcPr>
            <w:tcW w:w="1074" w:type="pct"/>
            <w:tcBorders>
              <w:tl2br w:val="nil"/>
              <w:tr2bl w:val="nil"/>
            </w:tcBorders>
            <w:noWrap w:val="0"/>
            <w:vAlign w:val="center"/>
          </w:tcPr>
          <w:p w14:paraId="6546F002">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1,1-二氯乙烷</w:t>
            </w:r>
          </w:p>
        </w:tc>
        <w:tc>
          <w:tcPr>
            <w:tcW w:w="531" w:type="pct"/>
            <w:tcBorders>
              <w:tl2br w:val="nil"/>
              <w:tr2bl w:val="nil"/>
            </w:tcBorders>
            <w:noWrap w:val="0"/>
            <w:vAlign w:val="center"/>
          </w:tcPr>
          <w:p w14:paraId="0AEF0C24">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mg/kg</w:t>
            </w:r>
          </w:p>
        </w:tc>
        <w:tc>
          <w:tcPr>
            <w:tcW w:w="531" w:type="pct"/>
            <w:tcBorders>
              <w:tl2br w:val="nil"/>
              <w:tr2bl w:val="nil"/>
            </w:tcBorders>
            <w:noWrap w:val="0"/>
            <w:vAlign w:val="center"/>
          </w:tcPr>
          <w:p w14:paraId="15B0AF8D">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9</w:t>
            </w:r>
          </w:p>
        </w:tc>
        <w:tc>
          <w:tcPr>
            <w:tcW w:w="400" w:type="pct"/>
            <w:tcBorders>
              <w:tl2br w:val="nil"/>
              <w:tr2bl w:val="nil"/>
            </w:tcBorders>
            <w:noWrap w:val="0"/>
            <w:vAlign w:val="center"/>
          </w:tcPr>
          <w:p w14:paraId="0C6E572F">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35</w:t>
            </w:r>
          </w:p>
        </w:tc>
        <w:tc>
          <w:tcPr>
            <w:tcW w:w="1095" w:type="pct"/>
            <w:tcBorders>
              <w:tl2br w:val="nil"/>
              <w:tr2bl w:val="nil"/>
            </w:tcBorders>
            <w:noWrap w:val="0"/>
            <w:vAlign w:val="center"/>
          </w:tcPr>
          <w:p w14:paraId="1ACE67EF">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硝基苯</w:t>
            </w:r>
          </w:p>
        </w:tc>
        <w:tc>
          <w:tcPr>
            <w:tcW w:w="521" w:type="pct"/>
            <w:tcBorders>
              <w:tl2br w:val="nil"/>
              <w:tr2bl w:val="nil"/>
            </w:tcBorders>
            <w:noWrap w:val="0"/>
            <w:vAlign w:val="center"/>
          </w:tcPr>
          <w:p w14:paraId="701681C1">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mg/kg</w:t>
            </w:r>
          </w:p>
        </w:tc>
        <w:tc>
          <w:tcPr>
            <w:tcW w:w="491" w:type="pct"/>
            <w:tcBorders>
              <w:tl2br w:val="nil"/>
              <w:tr2bl w:val="nil"/>
            </w:tcBorders>
            <w:noWrap w:val="0"/>
            <w:vAlign w:val="center"/>
          </w:tcPr>
          <w:p w14:paraId="7D4CBB74">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76</w:t>
            </w:r>
          </w:p>
        </w:tc>
      </w:tr>
      <w:tr w14:paraId="4DAC434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04" w:hRule="atLeast"/>
        </w:trPr>
        <w:tc>
          <w:tcPr>
            <w:tcW w:w="354" w:type="pct"/>
            <w:tcBorders>
              <w:tl2br w:val="nil"/>
              <w:tr2bl w:val="nil"/>
            </w:tcBorders>
            <w:noWrap w:val="0"/>
            <w:vAlign w:val="center"/>
          </w:tcPr>
          <w:p w14:paraId="1A63FCC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12</w:t>
            </w:r>
          </w:p>
        </w:tc>
        <w:tc>
          <w:tcPr>
            <w:tcW w:w="1074" w:type="pct"/>
            <w:tcBorders>
              <w:tl2br w:val="nil"/>
              <w:tr2bl w:val="nil"/>
            </w:tcBorders>
            <w:noWrap w:val="0"/>
            <w:vAlign w:val="center"/>
          </w:tcPr>
          <w:p w14:paraId="79C871C0">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1,2-二氯乙烷</w:t>
            </w:r>
          </w:p>
        </w:tc>
        <w:tc>
          <w:tcPr>
            <w:tcW w:w="531" w:type="pct"/>
            <w:tcBorders>
              <w:tl2br w:val="nil"/>
              <w:tr2bl w:val="nil"/>
            </w:tcBorders>
            <w:noWrap w:val="0"/>
            <w:vAlign w:val="center"/>
          </w:tcPr>
          <w:p w14:paraId="2E131016">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mg/kg</w:t>
            </w:r>
          </w:p>
        </w:tc>
        <w:tc>
          <w:tcPr>
            <w:tcW w:w="531" w:type="pct"/>
            <w:tcBorders>
              <w:tl2br w:val="nil"/>
              <w:tr2bl w:val="nil"/>
            </w:tcBorders>
            <w:noWrap w:val="0"/>
            <w:vAlign w:val="center"/>
          </w:tcPr>
          <w:p w14:paraId="224B6EFB">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w:t>
            </w:r>
          </w:p>
        </w:tc>
        <w:tc>
          <w:tcPr>
            <w:tcW w:w="400" w:type="pct"/>
            <w:tcBorders>
              <w:tl2br w:val="nil"/>
              <w:tr2bl w:val="nil"/>
            </w:tcBorders>
            <w:noWrap w:val="0"/>
            <w:vAlign w:val="center"/>
          </w:tcPr>
          <w:p w14:paraId="72362F0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36</w:t>
            </w:r>
          </w:p>
        </w:tc>
        <w:tc>
          <w:tcPr>
            <w:tcW w:w="1095" w:type="pct"/>
            <w:tcBorders>
              <w:tl2br w:val="nil"/>
              <w:tr2bl w:val="nil"/>
            </w:tcBorders>
            <w:noWrap w:val="0"/>
            <w:vAlign w:val="center"/>
          </w:tcPr>
          <w:p w14:paraId="626703E0">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苯胺</w:t>
            </w:r>
          </w:p>
        </w:tc>
        <w:tc>
          <w:tcPr>
            <w:tcW w:w="521" w:type="pct"/>
            <w:tcBorders>
              <w:tl2br w:val="nil"/>
              <w:tr2bl w:val="nil"/>
            </w:tcBorders>
            <w:noWrap w:val="0"/>
            <w:vAlign w:val="center"/>
          </w:tcPr>
          <w:p w14:paraId="37E0603F">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mg/kg</w:t>
            </w:r>
          </w:p>
        </w:tc>
        <w:tc>
          <w:tcPr>
            <w:tcW w:w="491" w:type="pct"/>
            <w:tcBorders>
              <w:tl2br w:val="nil"/>
              <w:tr2bl w:val="nil"/>
            </w:tcBorders>
            <w:noWrap w:val="0"/>
            <w:vAlign w:val="center"/>
          </w:tcPr>
          <w:p w14:paraId="475DE803">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260</w:t>
            </w:r>
          </w:p>
        </w:tc>
      </w:tr>
      <w:tr w14:paraId="4FA7DB8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04" w:hRule="atLeast"/>
        </w:trPr>
        <w:tc>
          <w:tcPr>
            <w:tcW w:w="354" w:type="pct"/>
            <w:tcBorders>
              <w:tl2br w:val="nil"/>
              <w:tr2bl w:val="nil"/>
            </w:tcBorders>
            <w:noWrap w:val="0"/>
            <w:vAlign w:val="center"/>
          </w:tcPr>
          <w:p w14:paraId="28D671A5">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13</w:t>
            </w:r>
          </w:p>
        </w:tc>
        <w:tc>
          <w:tcPr>
            <w:tcW w:w="1074" w:type="pct"/>
            <w:tcBorders>
              <w:tl2br w:val="nil"/>
              <w:tr2bl w:val="nil"/>
            </w:tcBorders>
            <w:noWrap w:val="0"/>
            <w:vAlign w:val="center"/>
          </w:tcPr>
          <w:p w14:paraId="5E594AB9">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1,1-二氯乙烯</w:t>
            </w:r>
          </w:p>
        </w:tc>
        <w:tc>
          <w:tcPr>
            <w:tcW w:w="531" w:type="pct"/>
            <w:tcBorders>
              <w:tl2br w:val="nil"/>
              <w:tr2bl w:val="nil"/>
            </w:tcBorders>
            <w:noWrap w:val="0"/>
            <w:vAlign w:val="center"/>
          </w:tcPr>
          <w:p w14:paraId="3D054269">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mg/kg</w:t>
            </w:r>
          </w:p>
        </w:tc>
        <w:tc>
          <w:tcPr>
            <w:tcW w:w="531" w:type="pct"/>
            <w:tcBorders>
              <w:tl2br w:val="nil"/>
              <w:tr2bl w:val="nil"/>
            </w:tcBorders>
            <w:noWrap w:val="0"/>
            <w:vAlign w:val="center"/>
          </w:tcPr>
          <w:p w14:paraId="4618358D">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66</w:t>
            </w:r>
          </w:p>
        </w:tc>
        <w:tc>
          <w:tcPr>
            <w:tcW w:w="400" w:type="pct"/>
            <w:tcBorders>
              <w:tl2br w:val="nil"/>
              <w:tr2bl w:val="nil"/>
            </w:tcBorders>
            <w:noWrap w:val="0"/>
            <w:vAlign w:val="center"/>
          </w:tcPr>
          <w:p w14:paraId="45AC219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37</w:t>
            </w:r>
          </w:p>
        </w:tc>
        <w:tc>
          <w:tcPr>
            <w:tcW w:w="1095" w:type="pct"/>
            <w:tcBorders>
              <w:tl2br w:val="nil"/>
              <w:tr2bl w:val="nil"/>
            </w:tcBorders>
            <w:noWrap w:val="0"/>
            <w:vAlign w:val="center"/>
          </w:tcPr>
          <w:p w14:paraId="6FC62AF2">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2-氯酚</w:t>
            </w:r>
          </w:p>
        </w:tc>
        <w:tc>
          <w:tcPr>
            <w:tcW w:w="521" w:type="pct"/>
            <w:tcBorders>
              <w:tl2br w:val="nil"/>
              <w:tr2bl w:val="nil"/>
            </w:tcBorders>
            <w:noWrap w:val="0"/>
            <w:vAlign w:val="center"/>
          </w:tcPr>
          <w:p w14:paraId="7ECDF34A">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mg/kg</w:t>
            </w:r>
          </w:p>
        </w:tc>
        <w:tc>
          <w:tcPr>
            <w:tcW w:w="491" w:type="pct"/>
            <w:tcBorders>
              <w:tl2br w:val="nil"/>
              <w:tr2bl w:val="nil"/>
            </w:tcBorders>
            <w:noWrap w:val="0"/>
            <w:vAlign w:val="center"/>
          </w:tcPr>
          <w:p w14:paraId="77BB1E9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2256</w:t>
            </w:r>
          </w:p>
        </w:tc>
      </w:tr>
      <w:tr w14:paraId="041945F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04" w:hRule="atLeast"/>
        </w:trPr>
        <w:tc>
          <w:tcPr>
            <w:tcW w:w="354" w:type="pct"/>
            <w:tcBorders>
              <w:tl2br w:val="nil"/>
              <w:tr2bl w:val="nil"/>
            </w:tcBorders>
            <w:noWrap w:val="0"/>
            <w:vAlign w:val="center"/>
          </w:tcPr>
          <w:p w14:paraId="74A24FD7">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14</w:t>
            </w:r>
          </w:p>
        </w:tc>
        <w:tc>
          <w:tcPr>
            <w:tcW w:w="1074" w:type="pct"/>
            <w:tcBorders>
              <w:tl2br w:val="nil"/>
              <w:tr2bl w:val="nil"/>
            </w:tcBorders>
            <w:noWrap w:val="0"/>
            <w:vAlign w:val="center"/>
          </w:tcPr>
          <w:p w14:paraId="356AFAE0">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顺1,2-二氯乙烯</w:t>
            </w:r>
          </w:p>
        </w:tc>
        <w:tc>
          <w:tcPr>
            <w:tcW w:w="531" w:type="pct"/>
            <w:tcBorders>
              <w:tl2br w:val="nil"/>
              <w:tr2bl w:val="nil"/>
            </w:tcBorders>
            <w:noWrap w:val="0"/>
            <w:vAlign w:val="center"/>
          </w:tcPr>
          <w:p w14:paraId="53052D9C">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mg/kg</w:t>
            </w:r>
          </w:p>
        </w:tc>
        <w:tc>
          <w:tcPr>
            <w:tcW w:w="531" w:type="pct"/>
            <w:tcBorders>
              <w:tl2br w:val="nil"/>
              <w:tr2bl w:val="nil"/>
            </w:tcBorders>
            <w:noWrap w:val="0"/>
            <w:vAlign w:val="center"/>
          </w:tcPr>
          <w:p w14:paraId="740B242B">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596</w:t>
            </w:r>
          </w:p>
        </w:tc>
        <w:tc>
          <w:tcPr>
            <w:tcW w:w="400" w:type="pct"/>
            <w:tcBorders>
              <w:tl2br w:val="nil"/>
              <w:tr2bl w:val="nil"/>
            </w:tcBorders>
            <w:noWrap w:val="0"/>
            <w:vAlign w:val="center"/>
          </w:tcPr>
          <w:p w14:paraId="3E4040B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38</w:t>
            </w:r>
          </w:p>
        </w:tc>
        <w:tc>
          <w:tcPr>
            <w:tcW w:w="1095" w:type="pct"/>
            <w:tcBorders>
              <w:tl2br w:val="nil"/>
              <w:tr2bl w:val="nil"/>
            </w:tcBorders>
            <w:noWrap w:val="0"/>
            <w:vAlign w:val="center"/>
          </w:tcPr>
          <w:p w14:paraId="58A33F78">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苯并</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a</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蒽</w:t>
            </w:r>
          </w:p>
        </w:tc>
        <w:tc>
          <w:tcPr>
            <w:tcW w:w="521" w:type="pct"/>
            <w:tcBorders>
              <w:tl2br w:val="nil"/>
              <w:tr2bl w:val="nil"/>
            </w:tcBorders>
            <w:noWrap w:val="0"/>
            <w:vAlign w:val="center"/>
          </w:tcPr>
          <w:p w14:paraId="77D7CFE6">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mg/kg</w:t>
            </w:r>
          </w:p>
        </w:tc>
        <w:tc>
          <w:tcPr>
            <w:tcW w:w="491" w:type="pct"/>
            <w:tcBorders>
              <w:tl2br w:val="nil"/>
              <w:tr2bl w:val="nil"/>
            </w:tcBorders>
            <w:noWrap w:val="0"/>
            <w:vAlign w:val="center"/>
          </w:tcPr>
          <w:p w14:paraId="3592467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15</w:t>
            </w:r>
          </w:p>
        </w:tc>
      </w:tr>
      <w:tr w14:paraId="30FA51D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04" w:hRule="atLeast"/>
        </w:trPr>
        <w:tc>
          <w:tcPr>
            <w:tcW w:w="354" w:type="pct"/>
            <w:tcBorders>
              <w:tl2br w:val="nil"/>
              <w:tr2bl w:val="nil"/>
            </w:tcBorders>
            <w:noWrap w:val="0"/>
            <w:vAlign w:val="center"/>
          </w:tcPr>
          <w:p w14:paraId="74150B68">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15</w:t>
            </w:r>
          </w:p>
        </w:tc>
        <w:tc>
          <w:tcPr>
            <w:tcW w:w="1074" w:type="pct"/>
            <w:tcBorders>
              <w:tl2br w:val="nil"/>
              <w:tr2bl w:val="nil"/>
            </w:tcBorders>
            <w:noWrap w:val="0"/>
            <w:vAlign w:val="center"/>
          </w:tcPr>
          <w:p w14:paraId="10320CDE">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反-1,2-二氯乙烯</w:t>
            </w:r>
          </w:p>
        </w:tc>
        <w:tc>
          <w:tcPr>
            <w:tcW w:w="531" w:type="pct"/>
            <w:tcBorders>
              <w:tl2br w:val="nil"/>
              <w:tr2bl w:val="nil"/>
            </w:tcBorders>
            <w:noWrap w:val="0"/>
            <w:vAlign w:val="center"/>
          </w:tcPr>
          <w:p w14:paraId="3E7DCD5C">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mg/kg</w:t>
            </w:r>
          </w:p>
        </w:tc>
        <w:tc>
          <w:tcPr>
            <w:tcW w:w="531" w:type="pct"/>
            <w:tcBorders>
              <w:tl2br w:val="nil"/>
              <w:tr2bl w:val="nil"/>
            </w:tcBorders>
            <w:noWrap w:val="0"/>
            <w:vAlign w:val="center"/>
          </w:tcPr>
          <w:p w14:paraId="105DD00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54</w:t>
            </w:r>
          </w:p>
        </w:tc>
        <w:tc>
          <w:tcPr>
            <w:tcW w:w="400" w:type="pct"/>
            <w:tcBorders>
              <w:tl2br w:val="nil"/>
              <w:tr2bl w:val="nil"/>
            </w:tcBorders>
            <w:noWrap w:val="0"/>
            <w:vAlign w:val="center"/>
          </w:tcPr>
          <w:p w14:paraId="563D32C5">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39</w:t>
            </w:r>
          </w:p>
        </w:tc>
        <w:tc>
          <w:tcPr>
            <w:tcW w:w="1095" w:type="pct"/>
            <w:tcBorders>
              <w:tl2br w:val="nil"/>
              <w:tr2bl w:val="nil"/>
            </w:tcBorders>
            <w:noWrap w:val="0"/>
            <w:vAlign w:val="center"/>
          </w:tcPr>
          <w:p w14:paraId="118FF3A2">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苯并</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a</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芘</w:t>
            </w:r>
          </w:p>
        </w:tc>
        <w:tc>
          <w:tcPr>
            <w:tcW w:w="521" w:type="pct"/>
            <w:tcBorders>
              <w:tl2br w:val="nil"/>
              <w:tr2bl w:val="nil"/>
            </w:tcBorders>
            <w:noWrap w:val="0"/>
            <w:vAlign w:val="center"/>
          </w:tcPr>
          <w:p w14:paraId="55F30081">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mg/kg</w:t>
            </w:r>
          </w:p>
        </w:tc>
        <w:tc>
          <w:tcPr>
            <w:tcW w:w="491" w:type="pct"/>
            <w:tcBorders>
              <w:tl2br w:val="nil"/>
              <w:tr2bl w:val="nil"/>
            </w:tcBorders>
            <w:noWrap w:val="0"/>
            <w:vAlign w:val="center"/>
          </w:tcPr>
          <w:p w14:paraId="408DCEF1">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1.5</w:t>
            </w:r>
          </w:p>
        </w:tc>
      </w:tr>
      <w:tr w14:paraId="46E4072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04" w:hRule="atLeast"/>
        </w:trPr>
        <w:tc>
          <w:tcPr>
            <w:tcW w:w="354" w:type="pct"/>
            <w:tcBorders>
              <w:tl2br w:val="nil"/>
              <w:tr2bl w:val="nil"/>
            </w:tcBorders>
            <w:noWrap w:val="0"/>
            <w:vAlign w:val="center"/>
          </w:tcPr>
          <w:p w14:paraId="5334C254">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16</w:t>
            </w:r>
          </w:p>
        </w:tc>
        <w:tc>
          <w:tcPr>
            <w:tcW w:w="1074" w:type="pct"/>
            <w:tcBorders>
              <w:tl2br w:val="nil"/>
              <w:tr2bl w:val="nil"/>
            </w:tcBorders>
            <w:noWrap w:val="0"/>
            <w:vAlign w:val="center"/>
          </w:tcPr>
          <w:p w14:paraId="443F3883">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二氯甲烷</w:t>
            </w:r>
          </w:p>
        </w:tc>
        <w:tc>
          <w:tcPr>
            <w:tcW w:w="531" w:type="pct"/>
            <w:tcBorders>
              <w:tl2br w:val="nil"/>
              <w:tr2bl w:val="nil"/>
            </w:tcBorders>
            <w:noWrap w:val="0"/>
            <w:vAlign w:val="center"/>
          </w:tcPr>
          <w:p w14:paraId="33FDF3E8">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mg/kg</w:t>
            </w:r>
          </w:p>
        </w:tc>
        <w:tc>
          <w:tcPr>
            <w:tcW w:w="531" w:type="pct"/>
            <w:tcBorders>
              <w:tl2br w:val="nil"/>
              <w:tr2bl w:val="nil"/>
            </w:tcBorders>
            <w:noWrap w:val="0"/>
            <w:vAlign w:val="center"/>
          </w:tcPr>
          <w:p w14:paraId="7BEF65B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616</w:t>
            </w:r>
          </w:p>
        </w:tc>
        <w:tc>
          <w:tcPr>
            <w:tcW w:w="400" w:type="pct"/>
            <w:tcBorders>
              <w:tl2br w:val="nil"/>
              <w:tr2bl w:val="nil"/>
            </w:tcBorders>
            <w:noWrap w:val="0"/>
            <w:vAlign w:val="center"/>
          </w:tcPr>
          <w:p w14:paraId="24B07D1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40</w:t>
            </w:r>
          </w:p>
        </w:tc>
        <w:tc>
          <w:tcPr>
            <w:tcW w:w="1095" w:type="pct"/>
            <w:tcBorders>
              <w:tl2br w:val="nil"/>
              <w:tr2bl w:val="nil"/>
            </w:tcBorders>
            <w:noWrap w:val="0"/>
            <w:vAlign w:val="center"/>
          </w:tcPr>
          <w:p w14:paraId="6144C49B">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苯并</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b</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荧蒽</w:t>
            </w:r>
          </w:p>
        </w:tc>
        <w:tc>
          <w:tcPr>
            <w:tcW w:w="521" w:type="pct"/>
            <w:tcBorders>
              <w:tl2br w:val="nil"/>
              <w:tr2bl w:val="nil"/>
            </w:tcBorders>
            <w:noWrap w:val="0"/>
            <w:vAlign w:val="center"/>
          </w:tcPr>
          <w:p w14:paraId="7F1F9F19">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mg/kg</w:t>
            </w:r>
          </w:p>
        </w:tc>
        <w:tc>
          <w:tcPr>
            <w:tcW w:w="491" w:type="pct"/>
            <w:tcBorders>
              <w:tl2br w:val="nil"/>
              <w:tr2bl w:val="nil"/>
            </w:tcBorders>
            <w:noWrap w:val="0"/>
            <w:vAlign w:val="center"/>
          </w:tcPr>
          <w:p w14:paraId="570A9714">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15</w:t>
            </w:r>
          </w:p>
        </w:tc>
      </w:tr>
      <w:tr w14:paraId="2A57FB4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04" w:hRule="atLeast"/>
        </w:trPr>
        <w:tc>
          <w:tcPr>
            <w:tcW w:w="354" w:type="pct"/>
            <w:tcBorders>
              <w:tl2br w:val="nil"/>
              <w:tr2bl w:val="nil"/>
            </w:tcBorders>
            <w:noWrap w:val="0"/>
            <w:vAlign w:val="center"/>
          </w:tcPr>
          <w:p w14:paraId="5144577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17</w:t>
            </w:r>
          </w:p>
        </w:tc>
        <w:tc>
          <w:tcPr>
            <w:tcW w:w="1074" w:type="pct"/>
            <w:tcBorders>
              <w:tl2br w:val="nil"/>
              <w:tr2bl w:val="nil"/>
            </w:tcBorders>
            <w:noWrap w:val="0"/>
            <w:vAlign w:val="center"/>
          </w:tcPr>
          <w:p w14:paraId="5ED26405">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1,2-二氯乙烷</w:t>
            </w:r>
          </w:p>
        </w:tc>
        <w:tc>
          <w:tcPr>
            <w:tcW w:w="531" w:type="pct"/>
            <w:tcBorders>
              <w:tl2br w:val="nil"/>
              <w:tr2bl w:val="nil"/>
            </w:tcBorders>
            <w:noWrap w:val="0"/>
            <w:vAlign w:val="center"/>
          </w:tcPr>
          <w:p w14:paraId="5CC3E98B">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mg/kg</w:t>
            </w:r>
          </w:p>
        </w:tc>
        <w:tc>
          <w:tcPr>
            <w:tcW w:w="531" w:type="pct"/>
            <w:tcBorders>
              <w:tl2br w:val="nil"/>
              <w:tr2bl w:val="nil"/>
            </w:tcBorders>
            <w:noWrap w:val="0"/>
            <w:vAlign w:val="center"/>
          </w:tcPr>
          <w:p w14:paraId="456A7716">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w:t>
            </w:r>
          </w:p>
        </w:tc>
        <w:tc>
          <w:tcPr>
            <w:tcW w:w="400" w:type="pct"/>
            <w:tcBorders>
              <w:tl2br w:val="nil"/>
              <w:tr2bl w:val="nil"/>
            </w:tcBorders>
            <w:noWrap w:val="0"/>
            <w:vAlign w:val="center"/>
          </w:tcPr>
          <w:p w14:paraId="0A0E3F9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41</w:t>
            </w:r>
          </w:p>
        </w:tc>
        <w:tc>
          <w:tcPr>
            <w:tcW w:w="1095" w:type="pct"/>
            <w:tcBorders>
              <w:tl2br w:val="nil"/>
              <w:tr2bl w:val="nil"/>
            </w:tcBorders>
            <w:noWrap w:val="0"/>
            <w:vAlign w:val="center"/>
          </w:tcPr>
          <w:p w14:paraId="54A31F9C">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苯并</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k</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荧蒽</w:t>
            </w:r>
          </w:p>
        </w:tc>
        <w:tc>
          <w:tcPr>
            <w:tcW w:w="521" w:type="pct"/>
            <w:tcBorders>
              <w:tl2br w:val="nil"/>
              <w:tr2bl w:val="nil"/>
            </w:tcBorders>
            <w:noWrap w:val="0"/>
            <w:vAlign w:val="center"/>
          </w:tcPr>
          <w:p w14:paraId="5D0854BE">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mg/kg</w:t>
            </w:r>
          </w:p>
        </w:tc>
        <w:tc>
          <w:tcPr>
            <w:tcW w:w="491" w:type="pct"/>
            <w:tcBorders>
              <w:tl2br w:val="nil"/>
              <w:tr2bl w:val="nil"/>
            </w:tcBorders>
            <w:noWrap w:val="0"/>
            <w:vAlign w:val="center"/>
          </w:tcPr>
          <w:p w14:paraId="5F1A08B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151</w:t>
            </w:r>
          </w:p>
        </w:tc>
      </w:tr>
      <w:tr w14:paraId="1FB6EC2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04" w:hRule="atLeast"/>
        </w:trPr>
        <w:tc>
          <w:tcPr>
            <w:tcW w:w="354" w:type="pct"/>
            <w:tcBorders>
              <w:tl2br w:val="nil"/>
              <w:tr2bl w:val="nil"/>
            </w:tcBorders>
            <w:noWrap w:val="0"/>
            <w:vAlign w:val="center"/>
          </w:tcPr>
          <w:p w14:paraId="075EB0B3">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18</w:t>
            </w:r>
          </w:p>
        </w:tc>
        <w:tc>
          <w:tcPr>
            <w:tcW w:w="1074" w:type="pct"/>
            <w:tcBorders>
              <w:tl2br w:val="nil"/>
              <w:tr2bl w:val="nil"/>
            </w:tcBorders>
            <w:noWrap w:val="0"/>
            <w:vAlign w:val="center"/>
          </w:tcPr>
          <w:p w14:paraId="57EC3D1C">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1,1,1,2-四氯乙烷</w:t>
            </w:r>
          </w:p>
        </w:tc>
        <w:tc>
          <w:tcPr>
            <w:tcW w:w="531" w:type="pct"/>
            <w:tcBorders>
              <w:tl2br w:val="nil"/>
              <w:tr2bl w:val="nil"/>
            </w:tcBorders>
            <w:noWrap w:val="0"/>
            <w:vAlign w:val="center"/>
          </w:tcPr>
          <w:p w14:paraId="52C605F5">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mg/kg</w:t>
            </w:r>
          </w:p>
        </w:tc>
        <w:tc>
          <w:tcPr>
            <w:tcW w:w="531" w:type="pct"/>
            <w:tcBorders>
              <w:tl2br w:val="nil"/>
              <w:tr2bl w:val="nil"/>
            </w:tcBorders>
            <w:noWrap w:val="0"/>
            <w:vAlign w:val="center"/>
          </w:tcPr>
          <w:p w14:paraId="5F85F82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w:t>
            </w:r>
          </w:p>
        </w:tc>
        <w:tc>
          <w:tcPr>
            <w:tcW w:w="400" w:type="pct"/>
            <w:tcBorders>
              <w:tl2br w:val="nil"/>
              <w:tr2bl w:val="nil"/>
            </w:tcBorders>
            <w:noWrap w:val="0"/>
            <w:vAlign w:val="center"/>
          </w:tcPr>
          <w:p w14:paraId="086CB047">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42</w:t>
            </w:r>
          </w:p>
        </w:tc>
        <w:tc>
          <w:tcPr>
            <w:tcW w:w="1095" w:type="pct"/>
            <w:tcBorders>
              <w:tl2br w:val="nil"/>
              <w:tr2bl w:val="nil"/>
            </w:tcBorders>
            <w:noWrap w:val="0"/>
            <w:vAlign w:val="center"/>
          </w:tcPr>
          <w:p w14:paraId="3D1B25B6">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䓛</w:t>
            </w:r>
          </w:p>
        </w:tc>
        <w:tc>
          <w:tcPr>
            <w:tcW w:w="521" w:type="pct"/>
            <w:tcBorders>
              <w:tl2br w:val="nil"/>
              <w:tr2bl w:val="nil"/>
            </w:tcBorders>
            <w:noWrap w:val="0"/>
            <w:vAlign w:val="center"/>
          </w:tcPr>
          <w:p w14:paraId="1AE647FF">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mg/kg</w:t>
            </w:r>
          </w:p>
        </w:tc>
        <w:tc>
          <w:tcPr>
            <w:tcW w:w="491" w:type="pct"/>
            <w:tcBorders>
              <w:tl2br w:val="nil"/>
              <w:tr2bl w:val="nil"/>
            </w:tcBorders>
            <w:noWrap w:val="0"/>
            <w:vAlign w:val="center"/>
          </w:tcPr>
          <w:p w14:paraId="564E978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1293</w:t>
            </w:r>
          </w:p>
        </w:tc>
      </w:tr>
      <w:tr w14:paraId="17A63ED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04" w:hRule="atLeast"/>
        </w:trPr>
        <w:tc>
          <w:tcPr>
            <w:tcW w:w="354" w:type="pct"/>
            <w:tcBorders>
              <w:tl2br w:val="nil"/>
              <w:tr2bl w:val="nil"/>
            </w:tcBorders>
            <w:noWrap w:val="0"/>
            <w:vAlign w:val="center"/>
          </w:tcPr>
          <w:p w14:paraId="50DB331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19</w:t>
            </w:r>
          </w:p>
        </w:tc>
        <w:tc>
          <w:tcPr>
            <w:tcW w:w="1074" w:type="pct"/>
            <w:tcBorders>
              <w:tl2br w:val="nil"/>
              <w:tr2bl w:val="nil"/>
            </w:tcBorders>
            <w:noWrap w:val="0"/>
            <w:vAlign w:val="center"/>
          </w:tcPr>
          <w:p w14:paraId="23D1D6A5">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1,1,2,2-四氯乙烷</w:t>
            </w:r>
          </w:p>
        </w:tc>
        <w:tc>
          <w:tcPr>
            <w:tcW w:w="531" w:type="pct"/>
            <w:tcBorders>
              <w:tl2br w:val="nil"/>
              <w:tr2bl w:val="nil"/>
            </w:tcBorders>
            <w:noWrap w:val="0"/>
            <w:vAlign w:val="center"/>
          </w:tcPr>
          <w:p w14:paraId="06C4FB8F">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mg/kg</w:t>
            </w:r>
          </w:p>
        </w:tc>
        <w:tc>
          <w:tcPr>
            <w:tcW w:w="531" w:type="pct"/>
            <w:tcBorders>
              <w:tl2br w:val="nil"/>
              <w:tr2bl w:val="nil"/>
            </w:tcBorders>
            <w:noWrap w:val="0"/>
            <w:vAlign w:val="center"/>
          </w:tcPr>
          <w:p w14:paraId="15B0523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6.8</w:t>
            </w:r>
          </w:p>
        </w:tc>
        <w:tc>
          <w:tcPr>
            <w:tcW w:w="400" w:type="pct"/>
            <w:tcBorders>
              <w:tl2br w:val="nil"/>
              <w:tr2bl w:val="nil"/>
            </w:tcBorders>
            <w:noWrap w:val="0"/>
            <w:vAlign w:val="center"/>
          </w:tcPr>
          <w:p w14:paraId="3FA0064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43</w:t>
            </w:r>
          </w:p>
        </w:tc>
        <w:tc>
          <w:tcPr>
            <w:tcW w:w="1095" w:type="pct"/>
            <w:tcBorders>
              <w:tl2br w:val="nil"/>
              <w:tr2bl w:val="nil"/>
            </w:tcBorders>
            <w:noWrap w:val="0"/>
            <w:vAlign w:val="center"/>
          </w:tcPr>
          <w:p w14:paraId="1042CD83">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二苯并</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a、h</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蒽</w:t>
            </w:r>
          </w:p>
        </w:tc>
        <w:tc>
          <w:tcPr>
            <w:tcW w:w="521" w:type="pct"/>
            <w:tcBorders>
              <w:tl2br w:val="nil"/>
              <w:tr2bl w:val="nil"/>
            </w:tcBorders>
            <w:noWrap w:val="0"/>
            <w:vAlign w:val="center"/>
          </w:tcPr>
          <w:p w14:paraId="7664148F">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mg/kg</w:t>
            </w:r>
          </w:p>
        </w:tc>
        <w:tc>
          <w:tcPr>
            <w:tcW w:w="491" w:type="pct"/>
            <w:tcBorders>
              <w:tl2br w:val="nil"/>
              <w:tr2bl w:val="nil"/>
            </w:tcBorders>
            <w:noWrap w:val="0"/>
            <w:vAlign w:val="center"/>
          </w:tcPr>
          <w:p w14:paraId="2252F7D1">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1.5</w:t>
            </w:r>
          </w:p>
        </w:tc>
      </w:tr>
      <w:tr w14:paraId="429332A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04" w:hRule="atLeast"/>
        </w:trPr>
        <w:tc>
          <w:tcPr>
            <w:tcW w:w="354" w:type="pct"/>
            <w:tcBorders>
              <w:tl2br w:val="nil"/>
              <w:tr2bl w:val="nil"/>
            </w:tcBorders>
            <w:noWrap w:val="0"/>
            <w:vAlign w:val="center"/>
          </w:tcPr>
          <w:p w14:paraId="4E2B22D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w:t>
            </w:r>
          </w:p>
        </w:tc>
        <w:tc>
          <w:tcPr>
            <w:tcW w:w="1074" w:type="pct"/>
            <w:tcBorders>
              <w:tl2br w:val="nil"/>
              <w:tr2bl w:val="nil"/>
            </w:tcBorders>
            <w:noWrap w:val="0"/>
            <w:vAlign w:val="center"/>
          </w:tcPr>
          <w:p w14:paraId="0CC9D248">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四氯乙烯</w:t>
            </w:r>
          </w:p>
        </w:tc>
        <w:tc>
          <w:tcPr>
            <w:tcW w:w="531" w:type="pct"/>
            <w:tcBorders>
              <w:tl2br w:val="nil"/>
              <w:tr2bl w:val="nil"/>
            </w:tcBorders>
            <w:noWrap w:val="0"/>
            <w:vAlign w:val="center"/>
          </w:tcPr>
          <w:p w14:paraId="1C13BCB6">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mg/kg</w:t>
            </w:r>
          </w:p>
        </w:tc>
        <w:tc>
          <w:tcPr>
            <w:tcW w:w="531" w:type="pct"/>
            <w:tcBorders>
              <w:tl2br w:val="nil"/>
              <w:tr2bl w:val="nil"/>
            </w:tcBorders>
            <w:noWrap w:val="0"/>
            <w:vAlign w:val="center"/>
          </w:tcPr>
          <w:p w14:paraId="302165BF">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53</w:t>
            </w:r>
          </w:p>
        </w:tc>
        <w:tc>
          <w:tcPr>
            <w:tcW w:w="400" w:type="pct"/>
            <w:tcBorders>
              <w:tl2br w:val="nil"/>
              <w:tr2bl w:val="nil"/>
            </w:tcBorders>
            <w:noWrap w:val="0"/>
            <w:vAlign w:val="center"/>
          </w:tcPr>
          <w:p w14:paraId="56DD3038">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44</w:t>
            </w:r>
          </w:p>
        </w:tc>
        <w:tc>
          <w:tcPr>
            <w:tcW w:w="1095" w:type="pct"/>
            <w:tcBorders>
              <w:tl2br w:val="nil"/>
              <w:tr2bl w:val="nil"/>
            </w:tcBorders>
            <w:noWrap w:val="0"/>
            <w:vAlign w:val="center"/>
          </w:tcPr>
          <w:p w14:paraId="46107787">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spacing w:val="-24"/>
                <w:kern w:val="0"/>
                <w:sz w:val="21"/>
                <w:szCs w:val="21"/>
                <w:highlight w:val="none"/>
                <w:lang w:val="en-US" w:eastAsia="zh-CN" w:bidi="ar-SA"/>
              </w:rPr>
            </w:pPr>
            <w:r>
              <w:rPr>
                <w:rFonts w:hint="default" w:ascii="Times New Roman" w:hAnsi="Times New Roman" w:eastAsia="宋体" w:cs="Times New Roman"/>
                <w:color w:val="auto"/>
                <w:spacing w:val="-24"/>
                <w:kern w:val="0"/>
                <w:sz w:val="21"/>
                <w:szCs w:val="21"/>
                <w:highlight w:val="none"/>
              </w:rPr>
              <w:t>茚并</w:t>
            </w:r>
            <w:r>
              <w:rPr>
                <w:rFonts w:hint="eastAsia" w:ascii="Times New Roman" w:hAnsi="Times New Roman" w:eastAsia="宋体" w:cs="Times New Roman"/>
                <w:color w:val="auto"/>
                <w:spacing w:val="-24"/>
                <w:kern w:val="0"/>
                <w:sz w:val="21"/>
                <w:szCs w:val="21"/>
                <w:highlight w:val="none"/>
                <w:lang w:eastAsia="zh-CN"/>
              </w:rPr>
              <w:t>〔</w:t>
            </w:r>
            <w:r>
              <w:rPr>
                <w:rFonts w:hint="default" w:ascii="Times New Roman" w:hAnsi="Times New Roman" w:eastAsia="宋体" w:cs="Times New Roman"/>
                <w:color w:val="auto"/>
                <w:spacing w:val="-24"/>
                <w:kern w:val="0"/>
                <w:sz w:val="21"/>
                <w:szCs w:val="21"/>
                <w:highlight w:val="none"/>
              </w:rPr>
              <w:t>1、2、3-cd</w:t>
            </w:r>
            <w:r>
              <w:rPr>
                <w:rFonts w:hint="eastAsia" w:ascii="Times New Roman" w:hAnsi="Times New Roman" w:eastAsia="宋体" w:cs="Times New Roman"/>
                <w:color w:val="auto"/>
                <w:spacing w:val="-24"/>
                <w:kern w:val="0"/>
                <w:sz w:val="21"/>
                <w:szCs w:val="21"/>
                <w:highlight w:val="none"/>
                <w:lang w:eastAsia="zh-CN"/>
              </w:rPr>
              <w:t>〕</w:t>
            </w:r>
            <w:r>
              <w:rPr>
                <w:rFonts w:hint="default" w:ascii="Times New Roman" w:hAnsi="Times New Roman" w:eastAsia="宋体" w:cs="Times New Roman"/>
                <w:color w:val="auto"/>
                <w:spacing w:val="-24"/>
                <w:kern w:val="0"/>
                <w:sz w:val="21"/>
                <w:szCs w:val="21"/>
                <w:highlight w:val="none"/>
              </w:rPr>
              <w:t>芘</w:t>
            </w:r>
          </w:p>
        </w:tc>
        <w:tc>
          <w:tcPr>
            <w:tcW w:w="521" w:type="pct"/>
            <w:tcBorders>
              <w:tl2br w:val="nil"/>
              <w:tr2bl w:val="nil"/>
            </w:tcBorders>
            <w:noWrap w:val="0"/>
            <w:vAlign w:val="center"/>
          </w:tcPr>
          <w:p w14:paraId="04D87944">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mg/kg</w:t>
            </w:r>
          </w:p>
        </w:tc>
        <w:tc>
          <w:tcPr>
            <w:tcW w:w="491" w:type="pct"/>
            <w:tcBorders>
              <w:tl2br w:val="nil"/>
              <w:tr2bl w:val="nil"/>
            </w:tcBorders>
            <w:noWrap w:val="0"/>
            <w:vAlign w:val="center"/>
          </w:tcPr>
          <w:p w14:paraId="648136D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15</w:t>
            </w:r>
          </w:p>
        </w:tc>
      </w:tr>
      <w:tr w14:paraId="4028DD1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04" w:hRule="atLeast"/>
        </w:trPr>
        <w:tc>
          <w:tcPr>
            <w:tcW w:w="354" w:type="pct"/>
            <w:tcBorders>
              <w:tl2br w:val="nil"/>
              <w:tr2bl w:val="nil"/>
            </w:tcBorders>
            <w:noWrap w:val="0"/>
            <w:vAlign w:val="center"/>
          </w:tcPr>
          <w:p w14:paraId="6AEEBD2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21</w:t>
            </w:r>
          </w:p>
        </w:tc>
        <w:tc>
          <w:tcPr>
            <w:tcW w:w="1074" w:type="pct"/>
            <w:tcBorders>
              <w:tl2br w:val="nil"/>
              <w:tr2bl w:val="nil"/>
            </w:tcBorders>
            <w:noWrap w:val="0"/>
            <w:vAlign w:val="center"/>
          </w:tcPr>
          <w:p w14:paraId="70CD5CA9">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1,1,1-三氯乙烷</w:t>
            </w:r>
          </w:p>
        </w:tc>
        <w:tc>
          <w:tcPr>
            <w:tcW w:w="531" w:type="pct"/>
            <w:tcBorders>
              <w:tl2br w:val="nil"/>
              <w:tr2bl w:val="nil"/>
            </w:tcBorders>
            <w:noWrap w:val="0"/>
            <w:vAlign w:val="center"/>
          </w:tcPr>
          <w:p w14:paraId="5BD72CE6">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mg/kg</w:t>
            </w:r>
          </w:p>
        </w:tc>
        <w:tc>
          <w:tcPr>
            <w:tcW w:w="531" w:type="pct"/>
            <w:tcBorders>
              <w:tl2br w:val="nil"/>
              <w:tr2bl w:val="nil"/>
            </w:tcBorders>
            <w:noWrap w:val="0"/>
            <w:vAlign w:val="center"/>
          </w:tcPr>
          <w:p w14:paraId="19F2B24D">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840</w:t>
            </w:r>
          </w:p>
        </w:tc>
        <w:tc>
          <w:tcPr>
            <w:tcW w:w="400" w:type="pct"/>
            <w:tcBorders>
              <w:tl2br w:val="nil"/>
              <w:tr2bl w:val="nil"/>
            </w:tcBorders>
            <w:noWrap w:val="0"/>
            <w:vAlign w:val="center"/>
          </w:tcPr>
          <w:p w14:paraId="254D4F8B">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45</w:t>
            </w:r>
          </w:p>
        </w:tc>
        <w:tc>
          <w:tcPr>
            <w:tcW w:w="1095" w:type="pct"/>
            <w:tcBorders>
              <w:tl2br w:val="nil"/>
              <w:tr2bl w:val="nil"/>
            </w:tcBorders>
            <w:noWrap w:val="0"/>
            <w:vAlign w:val="center"/>
          </w:tcPr>
          <w:p w14:paraId="012A1317">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萘</w:t>
            </w:r>
          </w:p>
        </w:tc>
        <w:tc>
          <w:tcPr>
            <w:tcW w:w="521" w:type="pct"/>
            <w:tcBorders>
              <w:tl2br w:val="nil"/>
              <w:tr2bl w:val="nil"/>
            </w:tcBorders>
            <w:noWrap w:val="0"/>
            <w:vAlign w:val="center"/>
          </w:tcPr>
          <w:p w14:paraId="115F0C01">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mg/kg</w:t>
            </w:r>
          </w:p>
        </w:tc>
        <w:tc>
          <w:tcPr>
            <w:tcW w:w="491" w:type="pct"/>
            <w:tcBorders>
              <w:tl2br w:val="nil"/>
              <w:tr2bl w:val="nil"/>
            </w:tcBorders>
            <w:noWrap w:val="0"/>
            <w:vAlign w:val="center"/>
          </w:tcPr>
          <w:p w14:paraId="7AEAD75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70</w:t>
            </w:r>
          </w:p>
        </w:tc>
      </w:tr>
      <w:tr w14:paraId="36CD4E2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04" w:hRule="atLeast"/>
        </w:trPr>
        <w:tc>
          <w:tcPr>
            <w:tcW w:w="354" w:type="pct"/>
            <w:tcBorders>
              <w:tl2br w:val="nil"/>
              <w:tr2bl w:val="nil"/>
            </w:tcBorders>
            <w:noWrap w:val="0"/>
            <w:vAlign w:val="center"/>
          </w:tcPr>
          <w:p w14:paraId="55C13365">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22</w:t>
            </w:r>
          </w:p>
        </w:tc>
        <w:tc>
          <w:tcPr>
            <w:tcW w:w="1074" w:type="pct"/>
            <w:tcBorders>
              <w:tl2br w:val="nil"/>
              <w:tr2bl w:val="nil"/>
            </w:tcBorders>
            <w:noWrap w:val="0"/>
            <w:vAlign w:val="center"/>
          </w:tcPr>
          <w:p w14:paraId="7E2CFE7B">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1,1,2-三氯乙烷</w:t>
            </w:r>
          </w:p>
        </w:tc>
        <w:tc>
          <w:tcPr>
            <w:tcW w:w="531" w:type="pct"/>
            <w:tcBorders>
              <w:tl2br w:val="nil"/>
              <w:tr2bl w:val="nil"/>
            </w:tcBorders>
            <w:noWrap w:val="0"/>
            <w:vAlign w:val="center"/>
          </w:tcPr>
          <w:p w14:paraId="13E9D04E">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mg/kg</w:t>
            </w:r>
          </w:p>
        </w:tc>
        <w:tc>
          <w:tcPr>
            <w:tcW w:w="531" w:type="pct"/>
            <w:tcBorders>
              <w:tl2br w:val="nil"/>
              <w:tr2bl w:val="nil"/>
            </w:tcBorders>
            <w:noWrap w:val="0"/>
            <w:vAlign w:val="center"/>
          </w:tcPr>
          <w:p w14:paraId="586B4976">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2.8</w:t>
            </w:r>
          </w:p>
        </w:tc>
        <w:tc>
          <w:tcPr>
            <w:tcW w:w="400" w:type="pct"/>
            <w:tcBorders>
              <w:tl2br w:val="nil"/>
              <w:tr2bl w:val="nil"/>
            </w:tcBorders>
            <w:noWrap w:val="0"/>
            <w:vAlign w:val="center"/>
          </w:tcPr>
          <w:p w14:paraId="333B655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46</w:t>
            </w:r>
          </w:p>
        </w:tc>
        <w:tc>
          <w:tcPr>
            <w:tcW w:w="1095" w:type="pct"/>
            <w:tcBorders>
              <w:tl2br w:val="nil"/>
              <w:tr2bl w:val="nil"/>
            </w:tcBorders>
            <w:noWrap w:val="0"/>
            <w:vAlign w:val="center"/>
          </w:tcPr>
          <w:p w14:paraId="1260C127">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石油烃</w:t>
            </w:r>
          </w:p>
        </w:tc>
        <w:tc>
          <w:tcPr>
            <w:tcW w:w="521" w:type="pct"/>
            <w:tcBorders>
              <w:tl2br w:val="nil"/>
              <w:tr2bl w:val="nil"/>
            </w:tcBorders>
            <w:noWrap w:val="0"/>
            <w:vAlign w:val="center"/>
          </w:tcPr>
          <w:p w14:paraId="1EE09C2A">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mg/kg</w:t>
            </w:r>
          </w:p>
        </w:tc>
        <w:tc>
          <w:tcPr>
            <w:tcW w:w="491" w:type="pct"/>
            <w:tcBorders>
              <w:tl2br w:val="nil"/>
              <w:tr2bl w:val="nil"/>
            </w:tcBorders>
            <w:noWrap w:val="0"/>
            <w:vAlign w:val="center"/>
          </w:tcPr>
          <w:p w14:paraId="6631038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4500</w:t>
            </w:r>
          </w:p>
        </w:tc>
      </w:tr>
      <w:tr w14:paraId="1E810B5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354" w:type="pct"/>
            <w:tcBorders>
              <w:tl2br w:val="nil"/>
              <w:tr2bl w:val="nil"/>
            </w:tcBorders>
            <w:noWrap w:val="0"/>
            <w:vAlign w:val="center"/>
          </w:tcPr>
          <w:p w14:paraId="25334D8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23</w:t>
            </w:r>
          </w:p>
        </w:tc>
        <w:tc>
          <w:tcPr>
            <w:tcW w:w="1074" w:type="pct"/>
            <w:tcBorders>
              <w:tl2br w:val="nil"/>
              <w:tr2bl w:val="nil"/>
            </w:tcBorders>
            <w:noWrap w:val="0"/>
            <w:vAlign w:val="center"/>
          </w:tcPr>
          <w:p w14:paraId="4712F732">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三氯乙烯</w:t>
            </w:r>
          </w:p>
        </w:tc>
        <w:tc>
          <w:tcPr>
            <w:tcW w:w="531" w:type="pct"/>
            <w:tcBorders>
              <w:tl2br w:val="nil"/>
              <w:tr2bl w:val="nil"/>
            </w:tcBorders>
            <w:noWrap w:val="0"/>
            <w:vAlign w:val="center"/>
          </w:tcPr>
          <w:p w14:paraId="4747A796">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mg/kg</w:t>
            </w:r>
          </w:p>
        </w:tc>
        <w:tc>
          <w:tcPr>
            <w:tcW w:w="531" w:type="pct"/>
            <w:tcBorders>
              <w:tl2br w:val="nil"/>
              <w:tr2bl w:val="nil"/>
            </w:tcBorders>
            <w:noWrap w:val="0"/>
            <w:vAlign w:val="center"/>
          </w:tcPr>
          <w:p w14:paraId="501F83A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2.8</w:t>
            </w:r>
          </w:p>
        </w:tc>
        <w:tc>
          <w:tcPr>
            <w:tcW w:w="400" w:type="pct"/>
            <w:tcBorders>
              <w:tl2br w:val="nil"/>
              <w:tr2bl w:val="nil"/>
            </w:tcBorders>
            <w:noWrap w:val="0"/>
            <w:vAlign w:val="center"/>
          </w:tcPr>
          <w:p w14:paraId="60E6FECB">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47</w:t>
            </w:r>
          </w:p>
        </w:tc>
        <w:tc>
          <w:tcPr>
            <w:tcW w:w="1095" w:type="pct"/>
            <w:tcBorders>
              <w:tl2br w:val="nil"/>
              <w:tr2bl w:val="nil"/>
            </w:tcBorders>
            <w:noWrap w:val="0"/>
            <w:vAlign w:val="center"/>
          </w:tcPr>
          <w:p w14:paraId="7FB5BFCC">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pH</w:t>
            </w:r>
          </w:p>
        </w:tc>
        <w:tc>
          <w:tcPr>
            <w:tcW w:w="521" w:type="pct"/>
            <w:tcBorders>
              <w:tl2br w:val="nil"/>
              <w:tr2bl w:val="nil"/>
            </w:tcBorders>
            <w:noWrap w:val="0"/>
            <w:vAlign w:val="center"/>
          </w:tcPr>
          <w:p w14:paraId="191BCFCC">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pacing w:val="-6"/>
                <w:kern w:val="0"/>
                <w:sz w:val="21"/>
                <w:szCs w:val="21"/>
                <w:highlight w:val="none"/>
              </w:rPr>
              <w:t>无量纲</w:t>
            </w:r>
          </w:p>
        </w:tc>
        <w:tc>
          <w:tcPr>
            <w:tcW w:w="491" w:type="pct"/>
            <w:tcBorders>
              <w:tl2br w:val="nil"/>
              <w:tr2bl w:val="nil"/>
            </w:tcBorders>
            <w:noWrap w:val="0"/>
            <w:vAlign w:val="center"/>
          </w:tcPr>
          <w:p w14:paraId="66C5B6A9">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w:t>
            </w:r>
          </w:p>
        </w:tc>
      </w:tr>
      <w:tr w14:paraId="6131A1A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2" w:hRule="atLeast"/>
        </w:trPr>
        <w:tc>
          <w:tcPr>
            <w:tcW w:w="354" w:type="pct"/>
            <w:tcBorders>
              <w:tl2br w:val="nil"/>
              <w:tr2bl w:val="nil"/>
            </w:tcBorders>
            <w:noWrap w:val="0"/>
            <w:vAlign w:val="center"/>
          </w:tcPr>
          <w:p w14:paraId="6D1B929D">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24</w:t>
            </w:r>
          </w:p>
        </w:tc>
        <w:tc>
          <w:tcPr>
            <w:tcW w:w="1074" w:type="pct"/>
            <w:tcBorders>
              <w:tl2br w:val="nil"/>
              <w:tr2bl w:val="nil"/>
            </w:tcBorders>
            <w:noWrap w:val="0"/>
            <w:vAlign w:val="center"/>
          </w:tcPr>
          <w:p w14:paraId="041173E1">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1,2,3-三氯丙烷</w:t>
            </w:r>
          </w:p>
        </w:tc>
        <w:tc>
          <w:tcPr>
            <w:tcW w:w="531" w:type="pct"/>
            <w:tcBorders>
              <w:tl2br w:val="nil"/>
              <w:tr2bl w:val="nil"/>
            </w:tcBorders>
            <w:noWrap w:val="0"/>
            <w:vAlign w:val="center"/>
          </w:tcPr>
          <w:p w14:paraId="5E31CAA4">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mg/kg</w:t>
            </w:r>
          </w:p>
        </w:tc>
        <w:tc>
          <w:tcPr>
            <w:tcW w:w="531" w:type="pct"/>
            <w:tcBorders>
              <w:tl2br w:val="nil"/>
              <w:tr2bl w:val="nil"/>
            </w:tcBorders>
            <w:noWrap w:val="0"/>
            <w:vAlign w:val="center"/>
          </w:tcPr>
          <w:p w14:paraId="756F371B">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0.5</w:t>
            </w:r>
          </w:p>
        </w:tc>
        <w:tc>
          <w:tcPr>
            <w:tcW w:w="400" w:type="pct"/>
            <w:tcBorders>
              <w:tl2br w:val="nil"/>
              <w:tr2bl w:val="nil"/>
            </w:tcBorders>
            <w:noWrap w:val="0"/>
            <w:vAlign w:val="center"/>
          </w:tcPr>
          <w:p w14:paraId="415FB258">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p>
        </w:tc>
        <w:tc>
          <w:tcPr>
            <w:tcW w:w="1095" w:type="pct"/>
            <w:tcBorders>
              <w:tl2br w:val="nil"/>
              <w:tr2bl w:val="nil"/>
            </w:tcBorders>
            <w:noWrap w:val="0"/>
            <w:vAlign w:val="center"/>
          </w:tcPr>
          <w:p w14:paraId="13E98AAB">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rPr>
            </w:pPr>
          </w:p>
        </w:tc>
        <w:tc>
          <w:tcPr>
            <w:tcW w:w="521" w:type="pct"/>
            <w:tcBorders>
              <w:tl2br w:val="nil"/>
              <w:tr2bl w:val="nil"/>
            </w:tcBorders>
            <w:noWrap w:val="0"/>
            <w:vAlign w:val="center"/>
          </w:tcPr>
          <w:p w14:paraId="31343A74">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kern w:val="0"/>
                <w:sz w:val="21"/>
                <w:szCs w:val="21"/>
                <w:highlight w:val="none"/>
              </w:rPr>
            </w:pPr>
          </w:p>
        </w:tc>
        <w:tc>
          <w:tcPr>
            <w:tcW w:w="491" w:type="pct"/>
            <w:tcBorders>
              <w:tl2br w:val="nil"/>
              <w:tr2bl w:val="nil"/>
            </w:tcBorders>
            <w:noWrap w:val="0"/>
            <w:vAlign w:val="center"/>
          </w:tcPr>
          <w:p w14:paraId="3D72CD2B">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kern w:val="0"/>
                <w:sz w:val="21"/>
                <w:szCs w:val="21"/>
                <w:highlight w:val="none"/>
              </w:rPr>
            </w:pPr>
          </w:p>
        </w:tc>
      </w:tr>
    </w:tbl>
    <w:p w14:paraId="2319869F">
      <w:pPr>
        <w:pStyle w:val="79"/>
        <w:bidi w:val="0"/>
        <w:rPr>
          <w:rFonts w:hint="default"/>
          <w:color w:val="auto"/>
          <w:lang w:val="en-US" w:eastAsia="zh-CN"/>
        </w:rPr>
      </w:pPr>
      <w:r>
        <w:rPr>
          <w:rFonts w:hint="default"/>
          <w:color w:val="auto"/>
          <w:lang w:val="en-US" w:eastAsia="zh-CN"/>
        </w:rPr>
        <w:t>占地范围外为未利用地，土壤参照执行《土壤环境质量 农用地土壤污染风险管控标准（试行）》（GB15618-2018）表1筛选值标准，见表2.4-4。</w:t>
      </w:r>
    </w:p>
    <w:p w14:paraId="31C5FCC0">
      <w:pPr>
        <w:pStyle w:val="61"/>
        <w:bidi w:val="0"/>
        <w:jc w:val="both"/>
        <w:rPr>
          <w:rFonts w:hint="default"/>
          <w:color w:val="auto"/>
          <w:lang w:val="zh-CN" w:eastAsia="zh-CN"/>
        </w:rPr>
      </w:pPr>
      <w:r>
        <w:rPr>
          <w:rFonts w:hint="default"/>
          <w:color w:val="auto"/>
          <w:lang w:val="en-US" w:eastAsia="zh-CN"/>
        </w:rPr>
        <w:t>表2.4-</w:t>
      </w:r>
      <w:r>
        <w:rPr>
          <w:rFonts w:hint="eastAsia"/>
          <w:color w:val="auto"/>
          <w:lang w:val="en-US" w:eastAsia="zh-CN"/>
        </w:rPr>
        <w:t>4</w:t>
      </w:r>
      <w:r>
        <w:rPr>
          <w:rFonts w:hint="default"/>
          <w:color w:val="auto"/>
          <w:lang w:val="en-US" w:eastAsia="zh-CN"/>
        </w:rPr>
        <w:t xml:space="preserve">    农用地土壤污染风险筛选值</w:t>
      </w:r>
    </w:p>
    <w:tbl>
      <w:tblPr>
        <w:tblStyle w:val="36"/>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228"/>
        <w:gridCol w:w="2026"/>
        <w:gridCol w:w="1927"/>
        <w:gridCol w:w="3490"/>
      </w:tblGrid>
      <w:tr w14:paraId="36343D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708" w:type="pct"/>
            <w:tcBorders>
              <w:tl2br w:val="nil"/>
              <w:tr2bl w:val="nil"/>
            </w:tcBorders>
            <w:noWrap w:val="0"/>
            <w:vAlign w:val="center"/>
          </w:tcPr>
          <w:p w14:paraId="702A9EA4">
            <w:pPr>
              <w:pStyle w:val="74"/>
              <w:rPr>
                <w:rFonts w:ascii="Times New Roman" w:hAnsi="Times New Roman"/>
                <w:color w:val="auto"/>
              </w:rPr>
            </w:pPr>
            <w:r>
              <w:rPr>
                <w:rFonts w:ascii="Times New Roman" w:hAnsi="Times New Roman"/>
                <w:color w:val="auto"/>
              </w:rPr>
              <w:t>序号</w:t>
            </w:r>
          </w:p>
        </w:tc>
        <w:tc>
          <w:tcPr>
            <w:tcW w:w="1168" w:type="pct"/>
            <w:tcBorders>
              <w:tl2br w:val="nil"/>
              <w:tr2bl w:val="nil"/>
            </w:tcBorders>
            <w:noWrap w:val="0"/>
            <w:vAlign w:val="center"/>
          </w:tcPr>
          <w:p w14:paraId="200C527D">
            <w:pPr>
              <w:pStyle w:val="74"/>
              <w:rPr>
                <w:rFonts w:ascii="Times New Roman" w:hAnsi="Times New Roman"/>
                <w:color w:val="auto"/>
              </w:rPr>
            </w:pPr>
            <w:r>
              <w:rPr>
                <w:rFonts w:ascii="Times New Roman" w:hAnsi="Times New Roman"/>
                <w:color w:val="auto"/>
              </w:rPr>
              <w:t>项目</w:t>
            </w:r>
          </w:p>
        </w:tc>
        <w:tc>
          <w:tcPr>
            <w:tcW w:w="1111" w:type="pct"/>
            <w:tcBorders>
              <w:tl2br w:val="nil"/>
              <w:tr2bl w:val="nil"/>
            </w:tcBorders>
            <w:noWrap w:val="0"/>
            <w:vAlign w:val="center"/>
          </w:tcPr>
          <w:p w14:paraId="3257099D">
            <w:pPr>
              <w:pStyle w:val="74"/>
              <w:rPr>
                <w:rFonts w:ascii="Times New Roman" w:hAnsi="Times New Roman"/>
                <w:color w:val="auto"/>
              </w:rPr>
            </w:pPr>
            <w:r>
              <w:rPr>
                <w:rFonts w:ascii="Times New Roman" w:hAnsi="Times New Roman"/>
                <w:color w:val="auto"/>
              </w:rPr>
              <w:t>单位</w:t>
            </w:r>
          </w:p>
        </w:tc>
        <w:tc>
          <w:tcPr>
            <w:tcW w:w="2012" w:type="pct"/>
            <w:tcBorders>
              <w:tl2br w:val="nil"/>
              <w:tr2bl w:val="nil"/>
            </w:tcBorders>
            <w:noWrap w:val="0"/>
            <w:vAlign w:val="center"/>
          </w:tcPr>
          <w:p w14:paraId="6909E5A1">
            <w:pPr>
              <w:pStyle w:val="74"/>
              <w:rPr>
                <w:rFonts w:ascii="Times New Roman" w:hAnsi="Times New Roman"/>
                <w:color w:val="auto"/>
              </w:rPr>
            </w:pPr>
            <w:r>
              <w:rPr>
                <w:rFonts w:hint="eastAsia" w:ascii="Times New Roman" w:hAnsi="Times New Roman"/>
                <w:color w:val="auto"/>
              </w:rPr>
              <w:t>风险筛选值（</w:t>
            </w:r>
            <w:r>
              <w:rPr>
                <w:rFonts w:ascii="Times New Roman" w:hAnsi="Times New Roman"/>
                <w:color w:val="auto"/>
              </w:rPr>
              <w:t>pH＞7.5</w:t>
            </w:r>
            <w:r>
              <w:rPr>
                <w:rFonts w:hint="eastAsia" w:ascii="Times New Roman" w:hAnsi="Times New Roman"/>
                <w:color w:val="auto"/>
              </w:rPr>
              <w:t>）</w:t>
            </w:r>
          </w:p>
        </w:tc>
      </w:tr>
      <w:tr w14:paraId="60E1AD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708" w:type="pct"/>
            <w:tcBorders>
              <w:tl2br w:val="nil"/>
              <w:tr2bl w:val="nil"/>
            </w:tcBorders>
            <w:noWrap w:val="0"/>
            <w:vAlign w:val="center"/>
          </w:tcPr>
          <w:p w14:paraId="3097BAE9">
            <w:pPr>
              <w:widowControl/>
              <w:jc w:val="center"/>
              <w:textAlignment w:val="center"/>
              <w:rPr>
                <w:color w:val="auto"/>
                <w:kern w:val="0"/>
                <w:szCs w:val="21"/>
              </w:rPr>
            </w:pPr>
            <w:r>
              <w:rPr>
                <w:color w:val="auto"/>
                <w:kern w:val="0"/>
                <w:szCs w:val="21"/>
                <w:lang w:bidi="ar"/>
              </w:rPr>
              <w:t>1</w:t>
            </w:r>
          </w:p>
        </w:tc>
        <w:tc>
          <w:tcPr>
            <w:tcW w:w="1168" w:type="pct"/>
            <w:tcBorders>
              <w:tl2br w:val="nil"/>
              <w:tr2bl w:val="nil"/>
            </w:tcBorders>
            <w:noWrap w:val="0"/>
            <w:vAlign w:val="center"/>
          </w:tcPr>
          <w:p w14:paraId="06AD641B">
            <w:pPr>
              <w:jc w:val="center"/>
              <w:rPr>
                <w:color w:val="auto"/>
                <w:kern w:val="0"/>
                <w:szCs w:val="21"/>
              </w:rPr>
            </w:pPr>
            <w:r>
              <w:rPr>
                <w:color w:val="auto"/>
                <w:kern w:val="0"/>
                <w:szCs w:val="21"/>
              </w:rPr>
              <w:t>砷</w:t>
            </w:r>
          </w:p>
        </w:tc>
        <w:tc>
          <w:tcPr>
            <w:tcW w:w="1111" w:type="pct"/>
            <w:tcBorders>
              <w:tl2br w:val="nil"/>
              <w:tr2bl w:val="nil"/>
            </w:tcBorders>
            <w:noWrap w:val="0"/>
            <w:vAlign w:val="center"/>
          </w:tcPr>
          <w:p w14:paraId="5F0F2163">
            <w:pPr>
              <w:jc w:val="center"/>
              <w:rPr>
                <w:color w:val="auto"/>
                <w:kern w:val="0"/>
                <w:szCs w:val="21"/>
              </w:rPr>
            </w:pPr>
            <w:r>
              <w:rPr>
                <w:color w:val="auto"/>
                <w:kern w:val="0"/>
                <w:szCs w:val="21"/>
              </w:rPr>
              <w:t>mg/kg</w:t>
            </w:r>
          </w:p>
        </w:tc>
        <w:tc>
          <w:tcPr>
            <w:tcW w:w="2012" w:type="pct"/>
            <w:tcBorders>
              <w:tl2br w:val="nil"/>
              <w:tr2bl w:val="nil"/>
            </w:tcBorders>
            <w:noWrap w:val="0"/>
            <w:vAlign w:val="center"/>
          </w:tcPr>
          <w:p w14:paraId="3CE1E752">
            <w:pPr>
              <w:jc w:val="center"/>
              <w:rPr>
                <w:color w:val="auto"/>
                <w:kern w:val="0"/>
                <w:szCs w:val="21"/>
              </w:rPr>
            </w:pPr>
            <w:r>
              <w:rPr>
                <w:rFonts w:hint="eastAsia"/>
                <w:color w:val="auto"/>
                <w:szCs w:val="21"/>
              </w:rPr>
              <w:t>2</w:t>
            </w:r>
            <w:r>
              <w:rPr>
                <w:color w:val="auto"/>
                <w:szCs w:val="21"/>
              </w:rPr>
              <w:t>5</w:t>
            </w:r>
          </w:p>
        </w:tc>
      </w:tr>
      <w:tr w14:paraId="7DD0F1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708" w:type="pct"/>
            <w:tcBorders>
              <w:tl2br w:val="nil"/>
              <w:tr2bl w:val="nil"/>
            </w:tcBorders>
            <w:noWrap w:val="0"/>
            <w:vAlign w:val="center"/>
          </w:tcPr>
          <w:p w14:paraId="192AB1C2">
            <w:pPr>
              <w:widowControl/>
              <w:jc w:val="center"/>
              <w:textAlignment w:val="center"/>
              <w:rPr>
                <w:color w:val="auto"/>
                <w:kern w:val="0"/>
                <w:szCs w:val="21"/>
              </w:rPr>
            </w:pPr>
            <w:r>
              <w:rPr>
                <w:color w:val="auto"/>
                <w:kern w:val="0"/>
                <w:szCs w:val="21"/>
                <w:lang w:bidi="ar"/>
              </w:rPr>
              <w:t>2</w:t>
            </w:r>
          </w:p>
        </w:tc>
        <w:tc>
          <w:tcPr>
            <w:tcW w:w="1168" w:type="pct"/>
            <w:tcBorders>
              <w:tl2br w:val="nil"/>
              <w:tr2bl w:val="nil"/>
            </w:tcBorders>
            <w:noWrap w:val="0"/>
            <w:vAlign w:val="center"/>
          </w:tcPr>
          <w:p w14:paraId="4C23EB86">
            <w:pPr>
              <w:jc w:val="center"/>
              <w:rPr>
                <w:color w:val="auto"/>
                <w:kern w:val="0"/>
                <w:szCs w:val="21"/>
              </w:rPr>
            </w:pPr>
            <w:r>
              <w:rPr>
                <w:color w:val="auto"/>
                <w:kern w:val="0"/>
                <w:szCs w:val="21"/>
              </w:rPr>
              <w:t>镉</w:t>
            </w:r>
          </w:p>
        </w:tc>
        <w:tc>
          <w:tcPr>
            <w:tcW w:w="1111" w:type="pct"/>
            <w:tcBorders>
              <w:tl2br w:val="nil"/>
              <w:tr2bl w:val="nil"/>
            </w:tcBorders>
            <w:noWrap w:val="0"/>
            <w:vAlign w:val="center"/>
          </w:tcPr>
          <w:p w14:paraId="21F0C3BA">
            <w:pPr>
              <w:jc w:val="center"/>
              <w:rPr>
                <w:color w:val="auto"/>
                <w:kern w:val="0"/>
                <w:szCs w:val="21"/>
              </w:rPr>
            </w:pPr>
            <w:r>
              <w:rPr>
                <w:color w:val="auto"/>
                <w:kern w:val="0"/>
                <w:szCs w:val="21"/>
              </w:rPr>
              <w:t>mg/kg</w:t>
            </w:r>
          </w:p>
        </w:tc>
        <w:tc>
          <w:tcPr>
            <w:tcW w:w="2012" w:type="pct"/>
            <w:tcBorders>
              <w:tl2br w:val="nil"/>
              <w:tr2bl w:val="nil"/>
            </w:tcBorders>
            <w:noWrap w:val="0"/>
            <w:vAlign w:val="center"/>
          </w:tcPr>
          <w:p w14:paraId="3C197685">
            <w:pPr>
              <w:pStyle w:val="74"/>
              <w:spacing w:line="240" w:lineRule="auto"/>
              <w:rPr>
                <w:rFonts w:ascii="Times New Roman" w:hAnsi="Times New Roman"/>
                <w:color w:val="auto"/>
              </w:rPr>
            </w:pPr>
            <w:r>
              <w:rPr>
                <w:rFonts w:hint="eastAsia" w:ascii="Times New Roman" w:hAnsi="Times New Roman"/>
                <w:color w:val="auto"/>
              </w:rPr>
              <w:t>0</w:t>
            </w:r>
            <w:r>
              <w:rPr>
                <w:rFonts w:ascii="Times New Roman" w:hAnsi="Times New Roman"/>
                <w:color w:val="auto"/>
              </w:rPr>
              <w:t>.6</w:t>
            </w:r>
          </w:p>
        </w:tc>
      </w:tr>
      <w:tr w14:paraId="390257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708" w:type="pct"/>
            <w:tcBorders>
              <w:tl2br w:val="nil"/>
              <w:tr2bl w:val="nil"/>
            </w:tcBorders>
            <w:noWrap w:val="0"/>
            <w:vAlign w:val="center"/>
          </w:tcPr>
          <w:p w14:paraId="53858EA4">
            <w:pPr>
              <w:widowControl/>
              <w:jc w:val="center"/>
              <w:textAlignment w:val="center"/>
              <w:rPr>
                <w:color w:val="auto"/>
                <w:kern w:val="0"/>
                <w:szCs w:val="21"/>
              </w:rPr>
            </w:pPr>
            <w:r>
              <w:rPr>
                <w:color w:val="auto"/>
                <w:kern w:val="0"/>
                <w:szCs w:val="21"/>
                <w:lang w:bidi="ar"/>
              </w:rPr>
              <w:t>3</w:t>
            </w:r>
          </w:p>
        </w:tc>
        <w:tc>
          <w:tcPr>
            <w:tcW w:w="1168" w:type="pct"/>
            <w:tcBorders>
              <w:tl2br w:val="nil"/>
              <w:tr2bl w:val="nil"/>
            </w:tcBorders>
            <w:noWrap w:val="0"/>
            <w:vAlign w:val="center"/>
          </w:tcPr>
          <w:p w14:paraId="04F02E95">
            <w:pPr>
              <w:jc w:val="center"/>
              <w:rPr>
                <w:color w:val="auto"/>
                <w:kern w:val="0"/>
                <w:szCs w:val="21"/>
              </w:rPr>
            </w:pPr>
            <w:r>
              <w:rPr>
                <w:color w:val="auto"/>
                <w:kern w:val="0"/>
                <w:szCs w:val="21"/>
              </w:rPr>
              <w:t>铜</w:t>
            </w:r>
          </w:p>
        </w:tc>
        <w:tc>
          <w:tcPr>
            <w:tcW w:w="1111" w:type="pct"/>
            <w:tcBorders>
              <w:tl2br w:val="nil"/>
              <w:tr2bl w:val="nil"/>
            </w:tcBorders>
            <w:noWrap w:val="0"/>
            <w:vAlign w:val="center"/>
          </w:tcPr>
          <w:p w14:paraId="643780C8">
            <w:pPr>
              <w:jc w:val="center"/>
              <w:rPr>
                <w:color w:val="auto"/>
                <w:kern w:val="0"/>
                <w:szCs w:val="21"/>
              </w:rPr>
            </w:pPr>
            <w:r>
              <w:rPr>
                <w:color w:val="auto"/>
                <w:kern w:val="0"/>
                <w:szCs w:val="21"/>
              </w:rPr>
              <w:t>mg/kg</w:t>
            </w:r>
          </w:p>
        </w:tc>
        <w:tc>
          <w:tcPr>
            <w:tcW w:w="2012" w:type="pct"/>
            <w:tcBorders>
              <w:tl2br w:val="nil"/>
              <w:tr2bl w:val="nil"/>
            </w:tcBorders>
            <w:noWrap w:val="0"/>
            <w:vAlign w:val="center"/>
          </w:tcPr>
          <w:p w14:paraId="3F3D2A8F">
            <w:pPr>
              <w:pStyle w:val="74"/>
              <w:spacing w:line="240" w:lineRule="auto"/>
              <w:rPr>
                <w:rFonts w:ascii="Times New Roman" w:hAnsi="Times New Roman"/>
                <w:color w:val="auto"/>
              </w:rPr>
            </w:pPr>
            <w:r>
              <w:rPr>
                <w:rFonts w:ascii="Times New Roman" w:hAnsi="Times New Roman"/>
                <w:color w:val="auto"/>
              </w:rPr>
              <w:t>100</w:t>
            </w:r>
          </w:p>
        </w:tc>
      </w:tr>
      <w:tr w14:paraId="7B06BF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708" w:type="pct"/>
            <w:tcBorders>
              <w:tl2br w:val="nil"/>
              <w:tr2bl w:val="nil"/>
            </w:tcBorders>
            <w:noWrap w:val="0"/>
            <w:vAlign w:val="center"/>
          </w:tcPr>
          <w:p w14:paraId="4B30D040">
            <w:pPr>
              <w:widowControl/>
              <w:jc w:val="center"/>
              <w:textAlignment w:val="center"/>
              <w:rPr>
                <w:color w:val="auto"/>
                <w:kern w:val="0"/>
                <w:szCs w:val="21"/>
                <w:lang w:bidi="ar"/>
              </w:rPr>
            </w:pPr>
            <w:r>
              <w:rPr>
                <w:color w:val="auto"/>
                <w:kern w:val="0"/>
                <w:szCs w:val="21"/>
                <w:lang w:bidi="ar"/>
              </w:rPr>
              <w:t>4</w:t>
            </w:r>
          </w:p>
        </w:tc>
        <w:tc>
          <w:tcPr>
            <w:tcW w:w="1168" w:type="pct"/>
            <w:tcBorders>
              <w:tl2br w:val="nil"/>
              <w:tr2bl w:val="nil"/>
            </w:tcBorders>
            <w:noWrap w:val="0"/>
            <w:vAlign w:val="center"/>
          </w:tcPr>
          <w:p w14:paraId="04F6AE2C">
            <w:pPr>
              <w:jc w:val="center"/>
              <w:rPr>
                <w:color w:val="auto"/>
                <w:kern w:val="0"/>
                <w:szCs w:val="21"/>
              </w:rPr>
            </w:pPr>
            <w:r>
              <w:rPr>
                <w:color w:val="auto"/>
                <w:kern w:val="0"/>
                <w:szCs w:val="21"/>
              </w:rPr>
              <w:t>铅</w:t>
            </w:r>
          </w:p>
        </w:tc>
        <w:tc>
          <w:tcPr>
            <w:tcW w:w="1111" w:type="pct"/>
            <w:tcBorders>
              <w:tl2br w:val="nil"/>
              <w:tr2bl w:val="nil"/>
            </w:tcBorders>
            <w:noWrap w:val="0"/>
            <w:vAlign w:val="center"/>
          </w:tcPr>
          <w:p w14:paraId="28FA6139">
            <w:pPr>
              <w:jc w:val="center"/>
              <w:rPr>
                <w:color w:val="auto"/>
                <w:kern w:val="0"/>
                <w:szCs w:val="21"/>
              </w:rPr>
            </w:pPr>
            <w:r>
              <w:rPr>
                <w:color w:val="auto"/>
                <w:kern w:val="0"/>
                <w:szCs w:val="21"/>
              </w:rPr>
              <w:t>mg/kg</w:t>
            </w:r>
          </w:p>
        </w:tc>
        <w:tc>
          <w:tcPr>
            <w:tcW w:w="2012" w:type="pct"/>
            <w:tcBorders>
              <w:tl2br w:val="nil"/>
              <w:tr2bl w:val="nil"/>
            </w:tcBorders>
            <w:noWrap w:val="0"/>
            <w:vAlign w:val="center"/>
          </w:tcPr>
          <w:p w14:paraId="40378ECF">
            <w:pPr>
              <w:pStyle w:val="74"/>
              <w:spacing w:line="240" w:lineRule="auto"/>
              <w:rPr>
                <w:rFonts w:ascii="Times New Roman" w:hAnsi="Times New Roman"/>
                <w:color w:val="auto"/>
              </w:rPr>
            </w:pPr>
            <w:r>
              <w:rPr>
                <w:rFonts w:hint="eastAsia" w:ascii="Times New Roman" w:hAnsi="Times New Roman"/>
                <w:color w:val="auto"/>
              </w:rPr>
              <w:t>1</w:t>
            </w:r>
            <w:r>
              <w:rPr>
                <w:rFonts w:ascii="Times New Roman" w:hAnsi="Times New Roman"/>
                <w:color w:val="auto"/>
              </w:rPr>
              <w:t>70</w:t>
            </w:r>
          </w:p>
        </w:tc>
      </w:tr>
      <w:tr w14:paraId="12DEB1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708" w:type="pct"/>
            <w:tcBorders>
              <w:tl2br w:val="nil"/>
              <w:tr2bl w:val="nil"/>
            </w:tcBorders>
            <w:noWrap w:val="0"/>
            <w:vAlign w:val="center"/>
          </w:tcPr>
          <w:p w14:paraId="712C8B66">
            <w:pPr>
              <w:widowControl/>
              <w:jc w:val="center"/>
              <w:textAlignment w:val="center"/>
              <w:rPr>
                <w:color w:val="auto"/>
                <w:kern w:val="0"/>
                <w:szCs w:val="21"/>
                <w:lang w:bidi="ar"/>
              </w:rPr>
            </w:pPr>
            <w:r>
              <w:rPr>
                <w:color w:val="auto"/>
                <w:kern w:val="0"/>
                <w:szCs w:val="21"/>
                <w:lang w:bidi="ar"/>
              </w:rPr>
              <w:t>5</w:t>
            </w:r>
          </w:p>
        </w:tc>
        <w:tc>
          <w:tcPr>
            <w:tcW w:w="1168" w:type="pct"/>
            <w:tcBorders>
              <w:tl2br w:val="nil"/>
              <w:tr2bl w:val="nil"/>
            </w:tcBorders>
            <w:noWrap w:val="0"/>
            <w:vAlign w:val="center"/>
          </w:tcPr>
          <w:p w14:paraId="50CCDFFD">
            <w:pPr>
              <w:jc w:val="center"/>
              <w:rPr>
                <w:color w:val="auto"/>
                <w:kern w:val="0"/>
                <w:szCs w:val="21"/>
              </w:rPr>
            </w:pPr>
            <w:r>
              <w:rPr>
                <w:color w:val="auto"/>
                <w:kern w:val="0"/>
                <w:szCs w:val="21"/>
              </w:rPr>
              <w:t>汞</w:t>
            </w:r>
          </w:p>
        </w:tc>
        <w:tc>
          <w:tcPr>
            <w:tcW w:w="1111" w:type="pct"/>
            <w:tcBorders>
              <w:tl2br w:val="nil"/>
              <w:tr2bl w:val="nil"/>
            </w:tcBorders>
            <w:noWrap w:val="0"/>
            <w:vAlign w:val="center"/>
          </w:tcPr>
          <w:p w14:paraId="6E7989CA">
            <w:pPr>
              <w:jc w:val="center"/>
              <w:rPr>
                <w:color w:val="auto"/>
                <w:kern w:val="0"/>
                <w:szCs w:val="21"/>
              </w:rPr>
            </w:pPr>
            <w:r>
              <w:rPr>
                <w:color w:val="auto"/>
                <w:kern w:val="0"/>
                <w:szCs w:val="21"/>
              </w:rPr>
              <w:t>mg/kg</w:t>
            </w:r>
          </w:p>
        </w:tc>
        <w:tc>
          <w:tcPr>
            <w:tcW w:w="2012" w:type="pct"/>
            <w:tcBorders>
              <w:tl2br w:val="nil"/>
              <w:tr2bl w:val="nil"/>
            </w:tcBorders>
            <w:noWrap w:val="0"/>
            <w:vAlign w:val="center"/>
          </w:tcPr>
          <w:p w14:paraId="130E36DB">
            <w:pPr>
              <w:pStyle w:val="74"/>
              <w:spacing w:line="240" w:lineRule="auto"/>
              <w:rPr>
                <w:rFonts w:ascii="Times New Roman" w:hAnsi="Times New Roman"/>
                <w:color w:val="auto"/>
              </w:rPr>
            </w:pPr>
            <w:r>
              <w:rPr>
                <w:rFonts w:ascii="Times New Roman" w:hAnsi="Times New Roman"/>
                <w:color w:val="auto"/>
              </w:rPr>
              <w:t>3.4</w:t>
            </w:r>
          </w:p>
        </w:tc>
      </w:tr>
      <w:tr w14:paraId="227AD8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708" w:type="pct"/>
            <w:tcBorders>
              <w:tl2br w:val="nil"/>
              <w:tr2bl w:val="nil"/>
            </w:tcBorders>
            <w:noWrap w:val="0"/>
            <w:vAlign w:val="center"/>
          </w:tcPr>
          <w:p w14:paraId="1518343F">
            <w:pPr>
              <w:widowControl/>
              <w:jc w:val="center"/>
              <w:textAlignment w:val="center"/>
              <w:rPr>
                <w:color w:val="auto"/>
                <w:kern w:val="0"/>
                <w:szCs w:val="21"/>
                <w:lang w:bidi="ar"/>
              </w:rPr>
            </w:pPr>
            <w:r>
              <w:rPr>
                <w:color w:val="auto"/>
                <w:kern w:val="0"/>
                <w:szCs w:val="21"/>
                <w:lang w:bidi="ar"/>
              </w:rPr>
              <w:t>6</w:t>
            </w:r>
          </w:p>
        </w:tc>
        <w:tc>
          <w:tcPr>
            <w:tcW w:w="1168" w:type="pct"/>
            <w:tcBorders>
              <w:tl2br w:val="nil"/>
              <w:tr2bl w:val="nil"/>
            </w:tcBorders>
            <w:noWrap w:val="0"/>
            <w:vAlign w:val="center"/>
          </w:tcPr>
          <w:p w14:paraId="42060E29">
            <w:pPr>
              <w:jc w:val="center"/>
              <w:rPr>
                <w:color w:val="auto"/>
                <w:kern w:val="0"/>
                <w:szCs w:val="21"/>
              </w:rPr>
            </w:pPr>
            <w:r>
              <w:rPr>
                <w:color w:val="auto"/>
                <w:kern w:val="0"/>
                <w:szCs w:val="21"/>
              </w:rPr>
              <w:t>镍</w:t>
            </w:r>
          </w:p>
        </w:tc>
        <w:tc>
          <w:tcPr>
            <w:tcW w:w="1111" w:type="pct"/>
            <w:tcBorders>
              <w:tl2br w:val="nil"/>
              <w:tr2bl w:val="nil"/>
            </w:tcBorders>
            <w:noWrap w:val="0"/>
            <w:vAlign w:val="center"/>
          </w:tcPr>
          <w:p w14:paraId="1D421DAC">
            <w:pPr>
              <w:jc w:val="center"/>
              <w:rPr>
                <w:color w:val="auto"/>
                <w:kern w:val="0"/>
                <w:szCs w:val="21"/>
              </w:rPr>
            </w:pPr>
            <w:r>
              <w:rPr>
                <w:color w:val="auto"/>
                <w:kern w:val="0"/>
                <w:szCs w:val="21"/>
              </w:rPr>
              <w:t>mg/kg</w:t>
            </w:r>
          </w:p>
        </w:tc>
        <w:tc>
          <w:tcPr>
            <w:tcW w:w="2012" w:type="pct"/>
            <w:tcBorders>
              <w:tl2br w:val="nil"/>
              <w:tr2bl w:val="nil"/>
            </w:tcBorders>
            <w:noWrap w:val="0"/>
            <w:vAlign w:val="center"/>
          </w:tcPr>
          <w:p w14:paraId="65C395F2">
            <w:pPr>
              <w:pStyle w:val="74"/>
              <w:spacing w:line="240" w:lineRule="auto"/>
              <w:rPr>
                <w:rFonts w:ascii="Times New Roman" w:hAnsi="Times New Roman"/>
                <w:color w:val="auto"/>
              </w:rPr>
            </w:pPr>
            <w:r>
              <w:rPr>
                <w:rFonts w:ascii="Times New Roman" w:hAnsi="Times New Roman"/>
                <w:color w:val="auto"/>
              </w:rPr>
              <w:t>190</w:t>
            </w:r>
          </w:p>
        </w:tc>
      </w:tr>
      <w:tr w14:paraId="74A291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708" w:type="pct"/>
            <w:tcBorders>
              <w:tl2br w:val="nil"/>
              <w:tr2bl w:val="nil"/>
            </w:tcBorders>
            <w:noWrap w:val="0"/>
            <w:vAlign w:val="center"/>
          </w:tcPr>
          <w:p w14:paraId="7528A03A">
            <w:pPr>
              <w:widowControl/>
              <w:jc w:val="center"/>
              <w:textAlignment w:val="center"/>
              <w:rPr>
                <w:color w:val="auto"/>
                <w:kern w:val="0"/>
                <w:szCs w:val="21"/>
                <w:lang w:bidi="ar"/>
              </w:rPr>
            </w:pPr>
            <w:r>
              <w:rPr>
                <w:color w:val="auto"/>
                <w:kern w:val="0"/>
                <w:szCs w:val="21"/>
                <w:lang w:bidi="ar"/>
              </w:rPr>
              <w:t>7</w:t>
            </w:r>
          </w:p>
        </w:tc>
        <w:tc>
          <w:tcPr>
            <w:tcW w:w="1168" w:type="pct"/>
            <w:tcBorders>
              <w:tl2br w:val="nil"/>
              <w:tr2bl w:val="nil"/>
            </w:tcBorders>
            <w:noWrap w:val="0"/>
            <w:vAlign w:val="center"/>
          </w:tcPr>
          <w:p w14:paraId="3CBC66D7">
            <w:pPr>
              <w:jc w:val="center"/>
              <w:rPr>
                <w:color w:val="auto"/>
                <w:kern w:val="0"/>
                <w:szCs w:val="21"/>
              </w:rPr>
            </w:pPr>
            <w:r>
              <w:rPr>
                <w:color w:val="auto"/>
                <w:kern w:val="0"/>
                <w:szCs w:val="21"/>
              </w:rPr>
              <w:t>铬</w:t>
            </w:r>
          </w:p>
        </w:tc>
        <w:tc>
          <w:tcPr>
            <w:tcW w:w="1111" w:type="pct"/>
            <w:tcBorders>
              <w:tl2br w:val="nil"/>
              <w:tr2bl w:val="nil"/>
            </w:tcBorders>
            <w:noWrap w:val="0"/>
            <w:vAlign w:val="center"/>
          </w:tcPr>
          <w:p w14:paraId="247CB5B1">
            <w:pPr>
              <w:jc w:val="center"/>
              <w:rPr>
                <w:color w:val="auto"/>
                <w:kern w:val="0"/>
                <w:szCs w:val="21"/>
              </w:rPr>
            </w:pPr>
            <w:r>
              <w:rPr>
                <w:color w:val="auto"/>
                <w:kern w:val="0"/>
                <w:szCs w:val="21"/>
              </w:rPr>
              <w:t>mg/kg</w:t>
            </w:r>
          </w:p>
        </w:tc>
        <w:tc>
          <w:tcPr>
            <w:tcW w:w="2012" w:type="pct"/>
            <w:tcBorders>
              <w:tl2br w:val="nil"/>
              <w:tr2bl w:val="nil"/>
            </w:tcBorders>
            <w:noWrap w:val="0"/>
            <w:vAlign w:val="center"/>
          </w:tcPr>
          <w:p w14:paraId="333A2337">
            <w:pPr>
              <w:pStyle w:val="74"/>
              <w:spacing w:line="240" w:lineRule="auto"/>
              <w:rPr>
                <w:rFonts w:ascii="Times New Roman" w:hAnsi="Times New Roman"/>
                <w:color w:val="auto"/>
              </w:rPr>
            </w:pPr>
            <w:r>
              <w:rPr>
                <w:rFonts w:ascii="Times New Roman" w:hAnsi="Times New Roman"/>
                <w:color w:val="auto"/>
              </w:rPr>
              <w:t>250</w:t>
            </w:r>
          </w:p>
        </w:tc>
      </w:tr>
      <w:tr w14:paraId="05BC1E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708" w:type="pct"/>
            <w:tcBorders>
              <w:tl2br w:val="nil"/>
              <w:tr2bl w:val="nil"/>
            </w:tcBorders>
            <w:noWrap w:val="0"/>
            <w:vAlign w:val="center"/>
          </w:tcPr>
          <w:p w14:paraId="6B11B345">
            <w:pPr>
              <w:widowControl/>
              <w:jc w:val="center"/>
              <w:textAlignment w:val="center"/>
              <w:rPr>
                <w:color w:val="auto"/>
                <w:kern w:val="0"/>
                <w:szCs w:val="21"/>
                <w:lang w:bidi="ar"/>
              </w:rPr>
            </w:pPr>
            <w:r>
              <w:rPr>
                <w:color w:val="auto"/>
                <w:kern w:val="0"/>
                <w:szCs w:val="21"/>
                <w:lang w:bidi="ar"/>
              </w:rPr>
              <w:t>8</w:t>
            </w:r>
          </w:p>
        </w:tc>
        <w:tc>
          <w:tcPr>
            <w:tcW w:w="1168" w:type="pct"/>
            <w:tcBorders>
              <w:tl2br w:val="nil"/>
              <w:tr2bl w:val="nil"/>
            </w:tcBorders>
            <w:noWrap w:val="0"/>
            <w:vAlign w:val="center"/>
          </w:tcPr>
          <w:p w14:paraId="2D5F64DD">
            <w:pPr>
              <w:jc w:val="center"/>
              <w:rPr>
                <w:color w:val="auto"/>
                <w:kern w:val="0"/>
                <w:szCs w:val="21"/>
              </w:rPr>
            </w:pPr>
            <w:r>
              <w:rPr>
                <w:color w:val="auto"/>
                <w:kern w:val="0"/>
                <w:szCs w:val="21"/>
              </w:rPr>
              <w:t>锌</w:t>
            </w:r>
          </w:p>
        </w:tc>
        <w:tc>
          <w:tcPr>
            <w:tcW w:w="1111" w:type="pct"/>
            <w:tcBorders>
              <w:tl2br w:val="nil"/>
              <w:tr2bl w:val="nil"/>
            </w:tcBorders>
            <w:noWrap w:val="0"/>
            <w:vAlign w:val="center"/>
          </w:tcPr>
          <w:p w14:paraId="50D72195">
            <w:pPr>
              <w:jc w:val="center"/>
              <w:rPr>
                <w:color w:val="auto"/>
                <w:kern w:val="0"/>
                <w:szCs w:val="21"/>
              </w:rPr>
            </w:pPr>
            <w:r>
              <w:rPr>
                <w:color w:val="auto"/>
                <w:kern w:val="0"/>
                <w:szCs w:val="21"/>
              </w:rPr>
              <w:t>mg/kg</w:t>
            </w:r>
          </w:p>
        </w:tc>
        <w:tc>
          <w:tcPr>
            <w:tcW w:w="2012" w:type="pct"/>
            <w:tcBorders>
              <w:tl2br w:val="nil"/>
              <w:tr2bl w:val="nil"/>
            </w:tcBorders>
            <w:noWrap w:val="0"/>
            <w:vAlign w:val="center"/>
          </w:tcPr>
          <w:p w14:paraId="004A0017">
            <w:pPr>
              <w:pStyle w:val="74"/>
              <w:rPr>
                <w:rFonts w:ascii="Times New Roman" w:hAnsi="Times New Roman"/>
                <w:color w:val="auto"/>
              </w:rPr>
            </w:pPr>
            <w:r>
              <w:rPr>
                <w:rFonts w:ascii="Times New Roman" w:hAnsi="Times New Roman"/>
                <w:color w:val="auto"/>
              </w:rPr>
              <w:t>300</w:t>
            </w:r>
          </w:p>
        </w:tc>
      </w:tr>
    </w:tbl>
    <w:p w14:paraId="287FED1E">
      <w:pPr>
        <w:pStyle w:val="55"/>
        <w:bidi w:val="0"/>
        <w:rPr>
          <w:rFonts w:hint="default"/>
          <w:color w:val="auto"/>
        </w:rPr>
      </w:pPr>
      <w:r>
        <w:rPr>
          <w:rFonts w:hint="eastAsia"/>
          <w:color w:val="auto"/>
          <w:lang w:val="en-US" w:eastAsia="zh-CN"/>
        </w:rPr>
        <w:t>2.4.2.4声</w:t>
      </w:r>
      <w:r>
        <w:rPr>
          <w:rFonts w:hint="default"/>
          <w:color w:val="auto"/>
        </w:rPr>
        <w:t>环境</w:t>
      </w:r>
    </w:p>
    <w:p w14:paraId="083B451E">
      <w:pPr>
        <w:pStyle w:val="79"/>
        <w:bidi w:val="0"/>
        <w:rPr>
          <w:rFonts w:hint="default"/>
          <w:color w:val="auto"/>
        </w:rPr>
      </w:pPr>
      <w:r>
        <w:rPr>
          <w:rFonts w:hint="default"/>
          <w:color w:val="auto"/>
        </w:rPr>
        <w:t>声环境执行《声环境质量标准》（GB3096-2008）中2类标准，即昼间60dB（A），夜间50dB（A）。</w:t>
      </w:r>
    </w:p>
    <w:p w14:paraId="59FF662F">
      <w:pPr>
        <w:pStyle w:val="54"/>
        <w:bidi w:val="0"/>
        <w:rPr>
          <w:rFonts w:hint="default"/>
          <w:color w:val="auto"/>
          <w:lang w:val="en-US" w:eastAsia="zh-CN"/>
        </w:rPr>
      </w:pPr>
      <w:r>
        <w:rPr>
          <w:rFonts w:hint="default"/>
          <w:color w:val="auto"/>
          <w:lang w:val="en-US" w:eastAsia="zh-CN"/>
        </w:rPr>
        <w:t>2.</w:t>
      </w:r>
      <w:r>
        <w:rPr>
          <w:rFonts w:hint="eastAsia"/>
          <w:color w:val="auto"/>
          <w:lang w:val="en-US" w:eastAsia="zh-CN"/>
        </w:rPr>
        <w:t>4</w:t>
      </w:r>
      <w:r>
        <w:rPr>
          <w:rFonts w:hint="default"/>
          <w:color w:val="auto"/>
          <w:lang w:val="en-US" w:eastAsia="zh-CN"/>
        </w:rPr>
        <w:t>.</w:t>
      </w:r>
      <w:r>
        <w:rPr>
          <w:rFonts w:hint="eastAsia"/>
          <w:color w:val="auto"/>
          <w:lang w:val="en-US" w:eastAsia="zh-CN"/>
        </w:rPr>
        <w:t xml:space="preserve">3 </w:t>
      </w:r>
      <w:r>
        <w:rPr>
          <w:rFonts w:hint="default"/>
          <w:color w:val="auto"/>
          <w:lang w:val="en-US" w:eastAsia="zh-CN"/>
        </w:rPr>
        <w:t>污染物排放标准</w:t>
      </w:r>
    </w:p>
    <w:p w14:paraId="7707B52B">
      <w:pPr>
        <w:pStyle w:val="55"/>
        <w:bidi w:val="0"/>
        <w:rPr>
          <w:rFonts w:hint="default"/>
          <w:color w:val="auto"/>
          <w:lang w:val="en-US" w:eastAsia="zh-CN"/>
        </w:rPr>
      </w:pPr>
      <w:r>
        <w:rPr>
          <w:rFonts w:hint="eastAsia"/>
          <w:color w:val="auto"/>
          <w:lang w:val="en-US" w:eastAsia="zh-CN"/>
        </w:rPr>
        <w:t>2.4.3.1</w:t>
      </w:r>
      <w:r>
        <w:rPr>
          <w:rFonts w:hint="default"/>
          <w:color w:val="auto"/>
          <w:lang w:val="en-US" w:eastAsia="zh-CN"/>
        </w:rPr>
        <w:t>废水</w:t>
      </w:r>
    </w:p>
    <w:p w14:paraId="63B664CD">
      <w:pPr>
        <w:pStyle w:val="79"/>
        <w:bidi w:val="0"/>
        <w:rPr>
          <w:rFonts w:hint="eastAsia"/>
          <w:color w:val="auto"/>
          <w:lang w:eastAsia="zh-CN"/>
        </w:rPr>
      </w:pPr>
      <w:bookmarkStart w:id="116" w:name="OLE_LINK38"/>
      <w:r>
        <w:rPr>
          <w:rFonts w:hint="default"/>
          <w:color w:val="auto"/>
        </w:rPr>
        <w:t>生活污水暂存于生活污水池，定期由罐车拉运至英买力作业区生活污水处理装置处置，</w:t>
      </w:r>
      <w:bookmarkStart w:id="117" w:name="OLE_LINK37"/>
      <w:r>
        <w:rPr>
          <w:rFonts w:hint="default"/>
          <w:color w:val="auto"/>
        </w:rPr>
        <w:t>处理后出水水质满足</w:t>
      </w:r>
      <w:bookmarkStart w:id="118" w:name="OLE_LINK399"/>
      <w:r>
        <w:rPr>
          <w:rFonts w:hint="default"/>
          <w:color w:val="auto"/>
        </w:rPr>
        <w:t>《</w:t>
      </w:r>
      <w:bookmarkStart w:id="119" w:name="OLE_LINK39"/>
      <w:r>
        <w:rPr>
          <w:rFonts w:hint="default"/>
          <w:color w:val="auto"/>
        </w:rPr>
        <w:t>农村生活污水处理排放标准</w:t>
      </w:r>
      <w:bookmarkEnd w:id="119"/>
      <w:r>
        <w:rPr>
          <w:rFonts w:hint="default"/>
          <w:color w:val="auto"/>
        </w:rPr>
        <w:t>》</w:t>
      </w:r>
      <w:r>
        <w:rPr>
          <w:rFonts w:hint="eastAsia"/>
          <w:color w:val="auto"/>
          <w:lang w:eastAsia="zh-CN"/>
        </w:rPr>
        <w:t>（</w:t>
      </w:r>
      <w:r>
        <w:rPr>
          <w:rFonts w:hint="default"/>
          <w:color w:val="auto"/>
        </w:rPr>
        <w:t>DB65 4275-2019</w:t>
      </w:r>
      <w:r>
        <w:rPr>
          <w:rFonts w:hint="eastAsia"/>
          <w:color w:val="auto"/>
          <w:lang w:eastAsia="zh-CN"/>
        </w:rPr>
        <w:t>）</w:t>
      </w:r>
      <w:r>
        <w:rPr>
          <w:rFonts w:hint="default"/>
          <w:color w:val="auto"/>
        </w:rPr>
        <w:t>表</w:t>
      </w:r>
      <w:r>
        <w:rPr>
          <w:rFonts w:hint="eastAsia"/>
          <w:color w:val="auto"/>
          <w:lang w:val="en-US" w:eastAsia="zh-CN"/>
        </w:rPr>
        <w:t>2</w:t>
      </w:r>
      <w:r>
        <w:rPr>
          <w:rFonts w:hint="default"/>
          <w:color w:val="auto"/>
        </w:rPr>
        <w:t>中</w:t>
      </w:r>
      <w:r>
        <w:rPr>
          <w:rFonts w:hint="eastAsia"/>
          <w:color w:val="auto"/>
          <w:lang w:val="en-US" w:eastAsia="zh-CN"/>
        </w:rPr>
        <w:t>C</w:t>
      </w:r>
      <w:r>
        <w:rPr>
          <w:rFonts w:hint="default"/>
          <w:color w:val="auto"/>
        </w:rPr>
        <w:t>级标准</w:t>
      </w:r>
      <w:bookmarkEnd w:id="118"/>
      <w:r>
        <w:rPr>
          <w:rFonts w:hint="default"/>
          <w:color w:val="auto"/>
        </w:rPr>
        <w:t>限值后冬储夏灌</w:t>
      </w:r>
      <w:bookmarkEnd w:id="117"/>
      <w:r>
        <w:rPr>
          <w:rFonts w:hint="eastAsia"/>
          <w:color w:val="auto"/>
          <w:lang w:eastAsia="zh-CN"/>
        </w:rPr>
        <w:t>。</w:t>
      </w:r>
      <w:bookmarkEnd w:id="116"/>
    </w:p>
    <w:p w14:paraId="332B0AC4">
      <w:pPr>
        <w:pStyle w:val="61"/>
        <w:bidi w:val="0"/>
        <w:jc w:val="both"/>
        <w:rPr>
          <w:rFonts w:hint="default"/>
          <w:color w:val="auto"/>
          <w:lang w:val="en-US" w:eastAsia="zh-CN"/>
        </w:rPr>
      </w:pPr>
      <w:bookmarkStart w:id="120" w:name="OLE_LINK48"/>
      <w:r>
        <w:rPr>
          <w:rFonts w:hint="default"/>
          <w:color w:val="auto"/>
          <w:lang w:val="en-US" w:eastAsia="zh-CN"/>
        </w:rPr>
        <w:t>表</w:t>
      </w:r>
      <w:r>
        <w:rPr>
          <w:rFonts w:hint="eastAsia"/>
          <w:color w:val="auto"/>
          <w:lang w:val="en-US" w:eastAsia="zh-CN"/>
        </w:rPr>
        <w:t>2.4-5</w:t>
      </w:r>
      <w:r>
        <w:rPr>
          <w:rFonts w:hint="default"/>
          <w:color w:val="auto"/>
          <w:lang w:val="en-US" w:eastAsia="zh-CN"/>
        </w:rPr>
        <w:t xml:space="preserve">  《农村生活污水处理排放标准》</w:t>
      </w:r>
      <w:r>
        <w:rPr>
          <w:rFonts w:hint="eastAsia"/>
          <w:color w:val="auto"/>
          <w:lang w:val="en-US" w:eastAsia="zh-CN"/>
        </w:rPr>
        <w:t>（</w:t>
      </w:r>
      <w:r>
        <w:rPr>
          <w:rFonts w:hint="default"/>
          <w:color w:val="auto"/>
          <w:lang w:val="en-US" w:eastAsia="zh-CN"/>
        </w:rPr>
        <w:t>DB65 4275-2019</w:t>
      </w:r>
      <w:r>
        <w:rPr>
          <w:rFonts w:hint="eastAsia"/>
          <w:color w:val="auto"/>
          <w:lang w:val="en-US" w:eastAsia="zh-CN"/>
        </w:rPr>
        <w:t>）</w:t>
      </w:r>
      <w:r>
        <w:rPr>
          <w:rFonts w:hint="default"/>
          <w:color w:val="auto"/>
          <w:lang w:val="en-US" w:eastAsia="zh-CN"/>
        </w:rPr>
        <w:t>（日均值）</w:t>
      </w:r>
    </w:p>
    <w:tbl>
      <w:tblPr>
        <w:tblStyle w:val="36"/>
        <w:tblW w:w="491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36"/>
        <w:gridCol w:w="3199"/>
        <w:gridCol w:w="4849"/>
      </w:tblGrid>
      <w:tr w14:paraId="7CB674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366" w:type="pct"/>
            <w:vMerge w:val="restart"/>
            <w:tcBorders>
              <w:tl2br w:val="nil"/>
              <w:tr2bl w:val="nil"/>
            </w:tcBorders>
            <w:noWrap/>
            <w:vAlign w:val="center"/>
          </w:tcPr>
          <w:p w14:paraId="1B84D7A5">
            <w:pPr>
              <w:jc w:val="center"/>
              <w:rPr>
                <w:rFonts w:hint="default" w:ascii="Times New Roman" w:hAnsi="Times New Roman" w:eastAsia="宋体" w:cs="Times New Roman"/>
                <w:color w:val="auto"/>
                <w:sz w:val="21"/>
                <w:szCs w:val="21"/>
                <w:highlight w:val="none"/>
              </w:rPr>
            </w:pPr>
            <w:bookmarkStart w:id="121" w:name="OLE_LINK43" w:colFirst="0" w:colLast="2"/>
            <w:bookmarkStart w:id="122" w:name="OLE_LINK47" w:colFirst="0" w:colLast="2"/>
            <w:r>
              <w:rPr>
                <w:rFonts w:hint="default" w:ascii="Times New Roman" w:hAnsi="Times New Roman" w:eastAsia="宋体" w:cs="Times New Roman"/>
                <w:color w:val="auto"/>
                <w:sz w:val="21"/>
                <w:szCs w:val="21"/>
                <w:highlight w:val="none"/>
              </w:rPr>
              <w:t>序号</w:t>
            </w:r>
          </w:p>
        </w:tc>
        <w:tc>
          <w:tcPr>
            <w:tcW w:w="1841" w:type="pct"/>
            <w:vMerge w:val="restart"/>
            <w:tcBorders>
              <w:tl2br w:val="nil"/>
              <w:tr2bl w:val="nil"/>
            </w:tcBorders>
            <w:noWrap/>
            <w:vAlign w:val="center"/>
          </w:tcPr>
          <w:p w14:paraId="1D70751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w:t>
            </w:r>
          </w:p>
          <w:p w14:paraId="656BC1F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监测项目</w:t>
            </w:r>
          </w:p>
        </w:tc>
        <w:tc>
          <w:tcPr>
            <w:tcW w:w="2791" w:type="pct"/>
            <w:vMerge w:val="restart"/>
            <w:tcBorders>
              <w:tl2br w:val="nil"/>
              <w:tr2bl w:val="nil"/>
            </w:tcBorders>
            <w:noWrap w:val="0"/>
            <w:vAlign w:val="center"/>
          </w:tcPr>
          <w:p w14:paraId="279A9F2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标准限值</w:t>
            </w:r>
          </w:p>
        </w:tc>
      </w:tr>
      <w:tr w14:paraId="3593EE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366" w:type="pct"/>
            <w:vMerge w:val="continue"/>
            <w:tcBorders>
              <w:tl2br w:val="nil"/>
              <w:tr2bl w:val="nil"/>
            </w:tcBorders>
            <w:noWrap/>
            <w:vAlign w:val="center"/>
          </w:tcPr>
          <w:p w14:paraId="264DAC76">
            <w:pPr>
              <w:jc w:val="center"/>
              <w:rPr>
                <w:rFonts w:hint="default" w:ascii="Times New Roman" w:hAnsi="Times New Roman" w:eastAsia="宋体" w:cs="Times New Roman"/>
                <w:color w:val="auto"/>
                <w:sz w:val="21"/>
                <w:szCs w:val="21"/>
                <w:highlight w:val="none"/>
              </w:rPr>
            </w:pPr>
          </w:p>
        </w:tc>
        <w:tc>
          <w:tcPr>
            <w:tcW w:w="1841" w:type="pct"/>
            <w:vMerge w:val="continue"/>
            <w:tcBorders>
              <w:tl2br w:val="nil"/>
              <w:tr2bl w:val="nil"/>
            </w:tcBorders>
            <w:noWrap/>
            <w:vAlign w:val="center"/>
          </w:tcPr>
          <w:p w14:paraId="44645DF8">
            <w:pPr>
              <w:jc w:val="center"/>
              <w:rPr>
                <w:rFonts w:hint="default" w:ascii="Times New Roman" w:hAnsi="Times New Roman" w:eastAsia="宋体" w:cs="Times New Roman"/>
                <w:color w:val="auto"/>
                <w:sz w:val="21"/>
                <w:szCs w:val="21"/>
                <w:highlight w:val="none"/>
              </w:rPr>
            </w:pPr>
          </w:p>
        </w:tc>
        <w:tc>
          <w:tcPr>
            <w:tcW w:w="2791" w:type="pct"/>
            <w:vMerge w:val="continue"/>
            <w:tcBorders>
              <w:tl2br w:val="nil"/>
              <w:tr2bl w:val="nil"/>
            </w:tcBorders>
            <w:noWrap w:val="0"/>
            <w:vAlign w:val="center"/>
          </w:tcPr>
          <w:p w14:paraId="589D0CE0">
            <w:pPr>
              <w:jc w:val="center"/>
              <w:rPr>
                <w:rFonts w:hint="default" w:ascii="Times New Roman" w:hAnsi="Times New Roman" w:eastAsia="宋体" w:cs="Times New Roman"/>
                <w:color w:val="auto"/>
                <w:sz w:val="21"/>
                <w:szCs w:val="21"/>
                <w:highlight w:val="none"/>
              </w:rPr>
            </w:pPr>
          </w:p>
        </w:tc>
      </w:tr>
      <w:tr w14:paraId="3187DF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66" w:type="pct"/>
            <w:tcBorders>
              <w:tl2br w:val="nil"/>
              <w:tr2bl w:val="nil"/>
            </w:tcBorders>
            <w:noWrap/>
            <w:vAlign w:val="center"/>
          </w:tcPr>
          <w:p w14:paraId="39FFA16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841" w:type="pct"/>
            <w:tcBorders>
              <w:tl2br w:val="nil"/>
              <w:tr2bl w:val="nil"/>
            </w:tcBorders>
            <w:noWrap/>
            <w:vAlign w:val="center"/>
          </w:tcPr>
          <w:p w14:paraId="1BBFC80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pH</w:t>
            </w:r>
          </w:p>
        </w:tc>
        <w:tc>
          <w:tcPr>
            <w:tcW w:w="2791" w:type="pct"/>
            <w:tcBorders>
              <w:tl2br w:val="nil"/>
              <w:tr2bl w:val="nil"/>
            </w:tcBorders>
            <w:noWrap w:val="0"/>
            <w:vAlign w:val="center"/>
          </w:tcPr>
          <w:p w14:paraId="44F377D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w:t>
            </w:r>
          </w:p>
        </w:tc>
      </w:tr>
      <w:tr w14:paraId="3431F8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66" w:type="pct"/>
            <w:tcBorders>
              <w:tl2br w:val="nil"/>
              <w:tr2bl w:val="nil"/>
            </w:tcBorders>
            <w:noWrap/>
            <w:vAlign w:val="center"/>
          </w:tcPr>
          <w:p w14:paraId="7B08AFE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841" w:type="pct"/>
            <w:tcBorders>
              <w:tl2br w:val="nil"/>
              <w:tr2bl w:val="nil"/>
            </w:tcBorders>
            <w:noWrap/>
            <w:vAlign w:val="center"/>
          </w:tcPr>
          <w:p w14:paraId="2EAF76A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化学需氧量</w:t>
            </w:r>
          </w:p>
        </w:tc>
        <w:tc>
          <w:tcPr>
            <w:tcW w:w="2791" w:type="pct"/>
            <w:tcBorders>
              <w:tl2br w:val="nil"/>
              <w:tr2bl w:val="nil"/>
            </w:tcBorders>
            <w:noWrap w:val="0"/>
            <w:vAlign w:val="center"/>
          </w:tcPr>
          <w:p w14:paraId="024F3396">
            <w:pPr>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r>
              <w:rPr>
                <w:rFonts w:hint="default" w:ascii="Times New Roman" w:hAnsi="Times New Roman" w:eastAsia="宋体" w:cs="Times New Roman"/>
                <w:color w:val="auto"/>
                <w:sz w:val="21"/>
                <w:szCs w:val="21"/>
                <w:highlight w:val="none"/>
              </w:rPr>
              <w:t xml:space="preserve"> mg/L</w:t>
            </w:r>
          </w:p>
        </w:tc>
      </w:tr>
      <w:bookmarkEnd w:id="121"/>
      <w:tr w14:paraId="491F79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66" w:type="pct"/>
            <w:tcBorders>
              <w:tl2br w:val="nil"/>
              <w:tr2bl w:val="nil"/>
            </w:tcBorders>
            <w:noWrap/>
            <w:vAlign w:val="center"/>
          </w:tcPr>
          <w:p w14:paraId="6F7DD1DF">
            <w:pPr>
              <w:jc w:val="center"/>
              <w:rPr>
                <w:rFonts w:hint="eastAsia" w:ascii="Times New Roman" w:hAnsi="Times New Roman" w:eastAsia="宋体" w:cs="Times New Roman"/>
                <w:color w:val="auto"/>
                <w:sz w:val="21"/>
                <w:szCs w:val="21"/>
                <w:highlight w:val="none"/>
                <w:lang w:val="en-US" w:eastAsia="zh-CN"/>
              </w:rPr>
            </w:pPr>
            <w:bookmarkStart w:id="123" w:name="OLE_LINK44" w:colFirst="1" w:colLast="2"/>
            <w:bookmarkStart w:id="124" w:name="OLE_LINK42" w:colFirst="0" w:colLast="0"/>
            <w:r>
              <w:rPr>
                <w:rFonts w:hint="eastAsia" w:cs="Times New Roman"/>
                <w:color w:val="auto"/>
                <w:sz w:val="21"/>
                <w:szCs w:val="21"/>
                <w:highlight w:val="none"/>
                <w:lang w:val="en-US" w:eastAsia="zh-CN"/>
              </w:rPr>
              <w:t>3</w:t>
            </w:r>
          </w:p>
        </w:tc>
        <w:tc>
          <w:tcPr>
            <w:tcW w:w="1841" w:type="pct"/>
            <w:tcBorders>
              <w:tl2br w:val="nil"/>
              <w:tr2bl w:val="nil"/>
            </w:tcBorders>
            <w:noWrap/>
            <w:vAlign w:val="center"/>
          </w:tcPr>
          <w:p w14:paraId="20E82BF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悬浮物</w:t>
            </w:r>
          </w:p>
        </w:tc>
        <w:tc>
          <w:tcPr>
            <w:tcW w:w="2791" w:type="pct"/>
            <w:tcBorders>
              <w:tl2br w:val="nil"/>
              <w:tr2bl w:val="nil"/>
            </w:tcBorders>
            <w:noWrap w:val="0"/>
            <w:vAlign w:val="center"/>
          </w:tcPr>
          <w:p w14:paraId="6075705E">
            <w:pPr>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100</w:t>
            </w:r>
            <w:r>
              <w:rPr>
                <w:rFonts w:hint="default" w:ascii="Times New Roman" w:hAnsi="Times New Roman" w:eastAsia="宋体" w:cs="Times New Roman"/>
                <w:color w:val="auto"/>
                <w:sz w:val="21"/>
                <w:szCs w:val="21"/>
                <w:highlight w:val="none"/>
              </w:rPr>
              <w:t>mg/L</w:t>
            </w:r>
          </w:p>
        </w:tc>
      </w:tr>
      <w:bookmarkEnd w:id="123"/>
      <w:tr w14:paraId="08AE27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66" w:type="pct"/>
            <w:tcBorders>
              <w:tl2br w:val="nil"/>
              <w:tr2bl w:val="nil"/>
            </w:tcBorders>
            <w:noWrap/>
            <w:vAlign w:val="center"/>
          </w:tcPr>
          <w:p w14:paraId="2C348EA8">
            <w:pPr>
              <w:jc w:val="center"/>
              <w:rPr>
                <w:rFonts w:hint="eastAsia" w:ascii="Times New Roman" w:hAnsi="Times New Roman" w:eastAsia="宋体" w:cs="Times New Roman"/>
                <w:color w:val="auto"/>
                <w:sz w:val="21"/>
                <w:szCs w:val="21"/>
                <w:highlight w:val="none"/>
                <w:lang w:val="en-US" w:eastAsia="zh-CN"/>
              </w:rPr>
            </w:pPr>
            <w:bookmarkStart w:id="125" w:name="OLE_LINK45" w:colFirst="1" w:colLast="2"/>
            <w:r>
              <w:rPr>
                <w:rFonts w:hint="eastAsia" w:cs="Times New Roman"/>
                <w:color w:val="auto"/>
                <w:sz w:val="21"/>
                <w:szCs w:val="21"/>
                <w:highlight w:val="none"/>
                <w:lang w:val="en-US" w:eastAsia="zh-CN"/>
              </w:rPr>
              <w:t>4</w:t>
            </w:r>
          </w:p>
        </w:tc>
        <w:tc>
          <w:tcPr>
            <w:tcW w:w="1841" w:type="pct"/>
            <w:tcBorders>
              <w:tl2br w:val="nil"/>
              <w:tr2bl w:val="nil"/>
            </w:tcBorders>
            <w:noWrap/>
            <w:vAlign w:val="center"/>
          </w:tcPr>
          <w:p w14:paraId="1ED13DB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粪大肠菌群</w:t>
            </w:r>
          </w:p>
        </w:tc>
        <w:tc>
          <w:tcPr>
            <w:tcW w:w="2791" w:type="pct"/>
            <w:tcBorders>
              <w:tl2br w:val="nil"/>
              <w:tr2bl w:val="nil"/>
            </w:tcBorders>
            <w:noWrap w:val="0"/>
            <w:vAlign w:val="center"/>
          </w:tcPr>
          <w:p w14:paraId="68A4590C">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40000MPN/L</w:t>
            </w:r>
          </w:p>
        </w:tc>
      </w:tr>
      <w:bookmarkEnd w:id="125"/>
      <w:tr w14:paraId="44914C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66" w:type="pct"/>
            <w:tcBorders>
              <w:tl2br w:val="nil"/>
              <w:tr2bl w:val="nil"/>
            </w:tcBorders>
            <w:noWrap/>
            <w:vAlign w:val="center"/>
          </w:tcPr>
          <w:p w14:paraId="4D3382A8">
            <w:pPr>
              <w:jc w:val="center"/>
              <w:rPr>
                <w:rFonts w:hint="eastAsia" w:ascii="Times New Roman" w:hAnsi="Times New Roman" w:eastAsia="宋体" w:cs="Times New Roman"/>
                <w:color w:val="auto"/>
                <w:sz w:val="21"/>
                <w:szCs w:val="21"/>
                <w:highlight w:val="none"/>
                <w:lang w:val="en-US" w:eastAsia="zh-CN"/>
              </w:rPr>
            </w:pPr>
            <w:bookmarkStart w:id="126" w:name="OLE_LINK46" w:colFirst="1" w:colLast="2"/>
            <w:r>
              <w:rPr>
                <w:rFonts w:hint="eastAsia" w:cs="Times New Roman"/>
                <w:color w:val="auto"/>
                <w:sz w:val="21"/>
                <w:szCs w:val="21"/>
                <w:highlight w:val="none"/>
                <w:lang w:val="en-US" w:eastAsia="zh-CN"/>
              </w:rPr>
              <w:t>5</w:t>
            </w:r>
          </w:p>
        </w:tc>
        <w:tc>
          <w:tcPr>
            <w:tcW w:w="1841" w:type="pct"/>
            <w:tcBorders>
              <w:tl2br w:val="nil"/>
              <w:tr2bl w:val="nil"/>
            </w:tcBorders>
            <w:noWrap/>
            <w:vAlign w:val="center"/>
          </w:tcPr>
          <w:p w14:paraId="0A5CD2D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蛔虫卵个数</w:t>
            </w:r>
          </w:p>
        </w:tc>
        <w:tc>
          <w:tcPr>
            <w:tcW w:w="2791" w:type="pct"/>
            <w:tcBorders>
              <w:tl2br w:val="nil"/>
              <w:tr2bl w:val="nil"/>
            </w:tcBorders>
            <w:noWrap w:val="0"/>
            <w:vAlign w:val="center"/>
          </w:tcPr>
          <w:p w14:paraId="1FBC0396">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2个/L</w:t>
            </w:r>
          </w:p>
        </w:tc>
      </w:tr>
      <w:bookmarkEnd w:id="120"/>
      <w:bookmarkEnd w:id="122"/>
      <w:bookmarkEnd w:id="124"/>
      <w:bookmarkEnd w:id="126"/>
    </w:tbl>
    <w:p w14:paraId="2D66D981">
      <w:pPr>
        <w:pStyle w:val="55"/>
        <w:bidi w:val="0"/>
        <w:rPr>
          <w:rFonts w:hint="default"/>
          <w:color w:val="auto"/>
          <w:lang w:val="en-US" w:eastAsia="zh-CN"/>
        </w:rPr>
      </w:pPr>
      <w:r>
        <w:rPr>
          <w:rFonts w:hint="eastAsia"/>
          <w:color w:val="auto"/>
          <w:lang w:val="en-US" w:eastAsia="zh-CN"/>
        </w:rPr>
        <w:t>2.4.3.2</w:t>
      </w:r>
      <w:r>
        <w:rPr>
          <w:rFonts w:hint="default"/>
          <w:color w:val="auto"/>
          <w:lang w:val="en-US" w:eastAsia="zh-CN"/>
        </w:rPr>
        <w:t>废气</w:t>
      </w:r>
    </w:p>
    <w:p w14:paraId="40A51553">
      <w:pPr>
        <w:pStyle w:val="79"/>
        <w:bidi w:val="0"/>
        <w:rPr>
          <w:rFonts w:hint="eastAsia"/>
          <w:color w:val="auto"/>
          <w:lang w:val="en-US" w:eastAsia="zh-CN"/>
        </w:rPr>
      </w:pPr>
      <w:r>
        <w:rPr>
          <w:rFonts w:hint="eastAsia"/>
          <w:color w:val="auto"/>
          <w:lang w:val="en-US" w:eastAsia="zh-CN"/>
        </w:rPr>
        <w:t>本工程施工期无组织排放扬尘执行《大气污染物综合排放标准》（GB16297-1996）中的新污染源无</w:t>
      </w:r>
      <w:bookmarkStart w:id="127" w:name="OLE_LINK200"/>
      <w:r>
        <w:rPr>
          <w:rFonts w:hint="eastAsia"/>
          <w:color w:val="auto"/>
          <w:lang w:val="en-US" w:eastAsia="zh-CN"/>
        </w:rPr>
        <w:t>组织排放</w:t>
      </w:r>
      <w:bookmarkEnd w:id="127"/>
      <w:r>
        <w:rPr>
          <w:rFonts w:hint="eastAsia"/>
          <w:color w:val="auto"/>
          <w:lang w:val="en-US" w:eastAsia="zh-CN"/>
        </w:rPr>
        <w:t>监控浓度限值。</w:t>
      </w:r>
      <w:bookmarkStart w:id="128" w:name="OLE_LINK114"/>
      <w:r>
        <w:rPr>
          <w:rFonts w:hint="eastAsia"/>
          <w:color w:val="auto"/>
          <w:lang w:val="en-US" w:eastAsia="zh-CN"/>
        </w:rPr>
        <w:t>本工程运营期加热炉燃烧气中颗粒物</w:t>
      </w:r>
      <w:bookmarkStart w:id="129" w:name="OLE_LINK197"/>
      <w:r>
        <w:rPr>
          <w:rFonts w:hint="eastAsia"/>
          <w:color w:val="auto"/>
          <w:lang w:val="en-US" w:eastAsia="zh-CN"/>
        </w:rPr>
        <w:t>、</w:t>
      </w:r>
      <w:bookmarkEnd w:id="129"/>
      <w:r>
        <w:rPr>
          <w:rFonts w:hint="eastAsia"/>
          <w:color w:val="auto"/>
          <w:lang w:val="en-US" w:eastAsia="zh-CN"/>
        </w:rPr>
        <w:t>SO</w:t>
      </w:r>
      <w:bookmarkStart w:id="130" w:name="OLE_LINK199"/>
      <w:r>
        <w:rPr>
          <w:rFonts w:hint="eastAsia"/>
          <w:color w:val="auto"/>
          <w:vertAlign w:val="subscript"/>
          <w:lang w:val="en-US" w:eastAsia="zh-CN"/>
        </w:rPr>
        <w:t>2</w:t>
      </w:r>
      <w:bookmarkEnd w:id="130"/>
      <w:r>
        <w:rPr>
          <w:rFonts w:hint="eastAsia"/>
          <w:color w:val="auto"/>
          <w:lang w:val="en-US" w:eastAsia="zh-CN"/>
        </w:rPr>
        <w:t>、NO</w:t>
      </w:r>
      <w:r>
        <w:rPr>
          <w:rFonts w:hint="eastAsia"/>
          <w:color w:val="auto"/>
          <w:vertAlign w:val="subscript"/>
          <w:lang w:val="en-US" w:eastAsia="zh-CN"/>
        </w:rPr>
        <w:t>x</w:t>
      </w:r>
      <w:r>
        <w:rPr>
          <w:rFonts w:hint="eastAsia"/>
          <w:color w:val="auto"/>
          <w:lang w:val="en-US" w:eastAsia="zh-CN"/>
        </w:rPr>
        <w:t>执行《锅炉大气污染物排放标准》（GB13271-2014）中表2排放限值，</w:t>
      </w:r>
      <w:bookmarkEnd w:id="128"/>
      <w:r>
        <w:rPr>
          <w:rFonts w:hint="eastAsia"/>
          <w:color w:val="auto"/>
          <w:lang w:val="en-US" w:eastAsia="zh-CN"/>
        </w:rPr>
        <w:t>非甲烷总烃执行</w:t>
      </w:r>
      <w:bookmarkStart w:id="131" w:name="OLE_LINK204"/>
      <w:r>
        <w:rPr>
          <w:rFonts w:hint="eastAsia"/>
          <w:color w:val="auto"/>
          <w:lang w:val="en-US" w:eastAsia="zh-CN"/>
        </w:rPr>
        <w:t>《大气污染物综合排放标准》（GB16297-1996）表2最高允许排放浓度</w:t>
      </w:r>
      <w:bookmarkEnd w:id="131"/>
      <w:r>
        <w:rPr>
          <w:rFonts w:hint="eastAsia"/>
          <w:color w:val="auto"/>
          <w:lang w:val="en-US" w:eastAsia="zh-CN"/>
        </w:rPr>
        <w:t>；油气开采过程中井场、站场厂界外无组织排放非甲烷总烃浓度执行《陆上石油天然气开采工业大气污染物排放标准》（GB39728-2020）中企业边界污染物控制要求，厂界内非甲烷总烃执行《挥发性有机物无组织排放控制标准》（GB37822-2019）；硫化氢执行《恶臭污染物排放标准》（GB14554-93）中新建项目二级标准。</w:t>
      </w:r>
    </w:p>
    <w:p w14:paraId="326DB9F9">
      <w:pPr>
        <w:pStyle w:val="79"/>
        <w:bidi w:val="0"/>
        <w:rPr>
          <w:rFonts w:hint="eastAsia"/>
          <w:color w:val="auto"/>
          <w:lang w:val="en-US" w:eastAsia="zh-CN"/>
        </w:rPr>
      </w:pPr>
      <w:r>
        <w:rPr>
          <w:rFonts w:hint="eastAsia"/>
          <w:color w:val="auto"/>
          <w:lang w:val="en-US" w:eastAsia="zh-CN"/>
        </w:rPr>
        <w:t>具体标准限值要求，见表2.4-6。</w:t>
      </w:r>
    </w:p>
    <w:p w14:paraId="7B2D8BB6">
      <w:pPr>
        <w:pStyle w:val="61"/>
        <w:bidi w:val="0"/>
        <w:jc w:val="both"/>
        <w:rPr>
          <w:rFonts w:hint="default"/>
          <w:color w:val="auto"/>
          <w:lang w:val="en-US" w:eastAsia="zh-CN"/>
        </w:rPr>
      </w:pPr>
      <w:r>
        <w:rPr>
          <w:rFonts w:hint="default"/>
          <w:color w:val="auto"/>
          <w:lang w:val="en-US" w:eastAsia="zh-CN"/>
        </w:rPr>
        <w:t>表2.</w:t>
      </w:r>
      <w:r>
        <w:rPr>
          <w:rFonts w:hint="eastAsia"/>
          <w:color w:val="auto"/>
          <w:lang w:val="en-US" w:eastAsia="zh-CN"/>
        </w:rPr>
        <w:t>4</w:t>
      </w:r>
      <w:r>
        <w:rPr>
          <w:rFonts w:hint="default"/>
          <w:color w:val="auto"/>
          <w:lang w:val="en-US" w:eastAsia="zh-CN"/>
        </w:rPr>
        <w:t>-</w:t>
      </w:r>
      <w:r>
        <w:rPr>
          <w:rFonts w:hint="eastAsia"/>
          <w:color w:val="auto"/>
          <w:lang w:val="en-US" w:eastAsia="zh-CN"/>
        </w:rPr>
        <w:t xml:space="preserve">6  </w:t>
      </w:r>
      <w:r>
        <w:rPr>
          <w:rFonts w:hint="default"/>
          <w:color w:val="auto"/>
          <w:lang w:val="en-US" w:eastAsia="zh-CN"/>
        </w:rPr>
        <w:t>大气污染物排放标准值</w:t>
      </w:r>
    </w:p>
    <w:tbl>
      <w:tblPr>
        <w:tblStyle w:val="36"/>
        <w:tblW w:w="4886" w:type="pct"/>
        <w:tblInd w:w="9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50"/>
        <w:gridCol w:w="943"/>
        <w:gridCol w:w="967"/>
        <w:gridCol w:w="1584"/>
        <w:gridCol w:w="4189"/>
      </w:tblGrid>
      <w:tr w14:paraId="738FDF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6" w:hRule="atLeast"/>
        </w:trPr>
        <w:tc>
          <w:tcPr>
            <w:tcW w:w="550" w:type="pct"/>
            <w:tcBorders>
              <w:tl2br w:val="nil"/>
              <w:tr2bl w:val="nil"/>
            </w:tcBorders>
            <w:noWrap w:val="0"/>
            <w:vAlign w:val="center"/>
          </w:tcPr>
          <w:p w14:paraId="65820CC1">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时段</w:t>
            </w:r>
          </w:p>
        </w:tc>
        <w:tc>
          <w:tcPr>
            <w:tcW w:w="546" w:type="pct"/>
            <w:tcBorders>
              <w:tl2br w:val="nil"/>
              <w:tr2bl w:val="nil"/>
            </w:tcBorders>
            <w:noWrap w:val="0"/>
            <w:vAlign w:val="center"/>
          </w:tcPr>
          <w:p w14:paraId="6FFA457F">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污染源</w:t>
            </w:r>
          </w:p>
        </w:tc>
        <w:tc>
          <w:tcPr>
            <w:tcW w:w="560" w:type="pct"/>
            <w:tcBorders>
              <w:tl2br w:val="nil"/>
              <w:tr2bl w:val="nil"/>
            </w:tcBorders>
            <w:noWrap w:val="0"/>
            <w:vAlign w:val="center"/>
          </w:tcPr>
          <w:p w14:paraId="7CC1E75F">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污染物</w:t>
            </w:r>
          </w:p>
        </w:tc>
        <w:tc>
          <w:tcPr>
            <w:tcW w:w="917" w:type="pct"/>
            <w:tcBorders>
              <w:tl2br w:val="nil"/>
              <w:tr2bl w:val="nil"/>
            </w:tcBorders>
            <w:noWrap w:val="0"/>
            <w:vAlign w:val="center"/>
          </w:tcPr>
          <w:p w14:paraId="1CD0AB9A">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最高允许排放浓度（mg/m³）</w:t>
            </w:r>
          </w:p>
        </w:tc>
        <w:tc>
          <w:tcPr>
            <w:tcW w:w="2424" w:type="pct"/>
            <w:tcBorders>
              <w:tl2br w:val="nil"/>
              <w:tr2bl w:val="nil"/>
            </w:tcBorders>
            <w:noWrap w:val="0"/>
            <w:vAlign w:val="center"/>
          </w:tcPr>
          <w:p w14:paraId="7E4EFE49">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标准来源</w:t>
            </w:r>
          </w:p>
        </w:tc>
      </w:tr>
      <w:tr w14:paraId="764039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6" w:hRule="atLeast"/>
        </w:trPr>
        <w:tc>
          <w:tcPr>
            <w:tcW w:w="550" w:type="pct"/>
            <w:tcBorders>
              <w:tl2br w:val="nil"/>
              <w:tr2bl w:val="nil"/>
            </w:tcBorders>
            <w:noWrap w:val="0"/>
            <w:vAlign w:val="center"/>
          </w:tcPr>
          <w:p w14:paraId="65831934">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highlight w:val="none"/>
              </w:rPr>
            </w:pPr>
            <w:bookmarkStart w:id="132" w:name="OLE_LINK116" w:colFirst="0" w:colLast="4"/>
            <w:r>
              <w:rPr>
                <w:rFonts w:hint="default" w:ascii="Times New Roman" w:hAnsi="Times New Roman" w:eastAsia="宋体" w:cs="Times New Roman"/>
                <w:color w:val="auto"/>
                <w:kern w:val="0"/>
                <w:sz w:val="21"/>
                <w:szCs w:val="21"/>
                <w:highlight w:val="none"/>
                <w:lang w:val="en-US" w:eastAsia="zh-CN"/>
              </w:rPr>
              <w:t>施工期</w:t>
            </w:r>
          </w:p>
        </w:tc>
        <w:tc>
          <w:tcPr>
            <w:tcW w:w="546" w:type="pct"/>
            <w:tcBorders>
              <w:tl2br w:val="nil"/>
              <w:tr2bl w:val="nil"/>
            </w:tcBorders>
            <w:noWrap w:val="0"/>
            <w:vAlign w:val="center"/>
          </w:tcPr>
          <w:p w14:paraId="6C090960">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施工场地</w:t>
            </w:r>
          </w:p>
        </w:tc>
        <w:tc>
          <w:tcPr>
            <w:tcW w:w="560" w:type="pct"/>
            <w:tcBorders>
              <w:tl2br w:val="nil"/>
              <w:tr2bl w:val="nil"/>
            </w:tcBorders>
            <w:noWrap w:val="0"/>
            <w:vAlign w:val="center"/>
          </w:tcPr>
          <w:p w14:paraId="48190EC1">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颗粒物</w:t>
            </w:r>
          </w:p>
        </w:tc>
        <w:tc>
          <w:tcPr>
            <w:tcW w:w="917" w:type="pct"/>
            <w:tcBorders>
              <w:tl2br w:val="nil"/>
              <w:tr2bl w:val="nil"/>
            </w:tcBorders>
            <w:noWrap w:val="0"/>
            <w:vAlign w:val="center"/>
          </w:tcPr>
          <w:p w14:paraId="733FA1CC">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w:t>
            </w:r>
          </w:p>
        </w:tc>
        <w:tc>
          <w:tcPr>
            <w:tcW w:w="2424" w:type="pct"/>
            <w:tcBorders>
              <w:tl2br w:val="nil"/>
              <w:tr2bl w:val="nil"/>
            </w:tcBorders>
            <w:noWrap w:val="0"/>
            <w:vAlign w:val="center"/>
          </w:tcPr>
          <w:p w14:paraId="03FA93DA">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《大气污染物综合排放标准》（GB16297-1996）</w:t>
            </w:r>
          </w:p>
        </w:tc>
      </w:tr>
      <w:tr w14:paraId="3D7650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6" w:hRule="atLeast"/>
        </w:trPr>
        <w:tc>
          <w:tcPr>
            <w:tcW w:w="550" w:type="pct"/>
            <w:vMerge w:val="restart"/>
            <w:tcBorders>
              <w:tl2br w:val="nil"/>
              <w:tr2bl w:val="nil"/>
            </w:tcBorders>
            <w:noWrap w:val="0"/>
            <w:vAlign w:val="center"/>
          </w:tcPr>
          <w:p w14:paraId="12892DCF">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bookmarkStart w:id="133" w:name="OLE_LINK117" w:colFirst="1" w:colLast="4"/>
            <w:bookmarkStart w:id="134" w:name="OLE_LINK119" w:colFirst="4" w:colLast="4"/>
            <w:bookmarkStart w:id="135" w:name="OLE_LINK120"/>
            <w:bookmarkStart w:id="136" w:name="OLE_LINK121" w:colFirst="2" w:colLast="3"/>
            <w:bookmarkStart w:id="137" w:name="OLE_LINK115" w:colFirst="1" w:colLast="4"/>
            <w:r>
              <w:rPr>
                <w:rFonts w:hint="default" w:ascii="Times New Roman" w:hAnsi="Times New Roman" w:eastAsia="宋体" w:cs="Times New Roman"/>
                <w:color w:val="auto"/>
                <w:kern w:val="0"/>
                <w:sz w:val="21"/>
                <w:szCs w:val="21"/>
                <w:highlight w:val="none"/>
                <w:lang w:val="en-US" w:eastAsia="zh-CN"/>
              </w:rPr>
              <w:t>运营期</w:t>
            </w:r>
          </w:p>
        </w:tc>
        <w:tc>
          <w:tcPr>
            <w:tcW w:w="546" w:type="pct"/>
            <w:vMerge w:val="restart"/>
            <w:tcBorders>
              <w:tl2br w:val="nil"/>
              <w:tr2bl w:val="nil"/>
            </w:tcBorders>
            <w:noWrap w:val="0"/>
            <w:vAlign w:val="center"/>
          </w:tcPr>
          <w:p w14:paraId="7E86D134">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加热炉燃烧废气</w:t>
            </w:r>
          </w:p>
        </w:tc>
        <w:tc>
          <w:tcPr>
            <w:tcW w:w="560" w:type="pct"/>
            <w:tcBorders>
              <w:tl2br w:val="nil"/>
              <w:tr2bl w:val="nil"/>
            </w:tcBorders>
            <w:noWrap w:val="0"/>
            <w:vAlign w:val="center"/>
          </w:tcPr>
          <w:p w14:paraId="30671EB2">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颗粒物</w:t>
            </w:r>
          </w:p>
        </w:tc>
        <w:tc>
          <w:tcPr>
            <w:tcW w:w="917" w:type="pct"/>
            <w:tcBorders>
              <w:tl2br w:val="nil"/>
              <w:tr2bl w:val="nil"/>
            </w:tcBorders>
            <w:noWrap w:val="0"/>
            <w:vAlign w:val="center"/>
          </w:tcPr>
          <w:p w14:paraId="08785EDA">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w:t>
            </w:r>
          </w:p>
        </w:tc>
        <w:tc>
          <w:tcPr>
            <w:tcW w:w="2424" w:type="pct"/>
            <w:vMerge w:val="restart"/>
            <w:tcBorders>
              <w:tl2br w:val="nil"/>
              <w:tr2bl w:val="nil"/>
            </w:tcBorders>
            <w:noWrap w:val="0"/>
            <w:vAlign w:val="center"/>
          </w:tcPr>
          <w:p w14:paraId="18C9DC53">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《锅炉大气污染物排放标准》（GB13271-2014）中表2排放限值</w:t>
            </w:r>
          </w:p>
        </w:tc>
      </w:tr>
      <w:bookmarkEnd w:id="133"/>
      <w:tr w14:paraId="5F1B75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6" w:hRule="atLeast"/>
        </w:trPr>
        <w:tc>
          <w:tcPr>
            <w:tcW w:w="550" w:type="pct"/>
            <w:vMerge w:val="continue"/>
            <w:tcBorders>
              <w:tl2br w:val="nil"/>
              <w:tr2bl w:val="nil"/>
            </w:tcBorders>
            <w:noWrap w:val="0"/>
            <w:vAlign w:val="center"/>
          </w:tcPr>
          <w:p w14:paraId="4FC0E201">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546" w:type="pct"/>
            <w:vMerge w:val="continue"/>
            <w:tcBorders>
              <w:tl2br w:val="nil"/>
              <w:tr2bl w:val="nil"/>
            </w:tcBorders>
            <w:noWrap w:val="0"/>
            <w:vAlign w:val="center"/>
          </w:tcPr>
          <w:p w14:paraId="06BC1D88">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color w:val="auto"/>
                <w:kern w:val="0"/>
                <w:sz w:val="21"/>
                <w:szCs w:val="21"/>
                <w:highlight w:val="none"/>
                <w:lang w:val="en-US" w:eastAsia="zh-CN"/>
              </w:rPr>
            </w:pPr>
          </w:p>
        </w:tc>
        <w:tc>
          <w:tcPr>
            <w:tcW w:w="560" w:type="pct"/>
            <w:tcBorders>
              <w:tl2br w:val="nil"/>
              <w:tr2bl w:val="nil"/>
            </w:tcBorders>
            <w:noWrap w:val="0"/>
            <w:vAlign w:val="center"/>
          </w:tcPr>
          <w:p w14:paraId="1633B107">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rPr>
              <w:t>SO</w:t>
            </w:r>
            <w:r>
              <w:rPr>
                <w:rFonts w:hint="default" w:ascii="Times New Roman" w:hAnsi="Times New Roman" w:cs="Times New Roman"/>
                <w:color w:val="auto"/>
                <w:sz w:val="21"/>
                <w:szCs w:val="21"/>
                <w:highlight w:val="none"/>
                <w:vertAlign w:val="subscript"/>
              </w:rPr>
              <w:t>2</w:t>
            </w:r>
          </w:p>
        </w:tc>
        <w:tc>
          <w:tcPr>
            <w:tcW w:w="917" w:type="pct"/>
            <w:tcBorders>
              <w:tl2br w:val="nil"/>
              <w:tr2bl w:val="nil"/>
            </w:tcBorders>
            <w:noWrap w:val="0"/>
            <w:vAlign w:val="center"/>
          </w:tcPr>
          <w:p w14:paraId="12CBFAA7">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50</w:t>
            </w:r>
          </w:p>
        </w:tc>
        <w:tc>
          <w:tcPr>
            <w:tcW w:w="2424" w:type="pct"/>
            <w:vMerge w:val="continue"/>
            <w:tcBorders>
              <w:tl2br w:val="nil"/>
              <w:tr2bl w:val="nil"/>
            </w:tcBorders>
            <w:noWrap w:val="0"/>
            <w:vAlign w:val="center"/>
          </w:tcPr>
          <w:p w14:paraId="096A5341">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highlight w:val="none"/>
              </w:rPr>
            </w:pPr>
          </w:p>
        </w:tc>
      </w:tr>
      <w:tr w14:paraId="378EDE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6" w:hRule="atLeast"/>
        </w:trPr>
        <w:tc>
          <w:tcPr>
            <w:tcW w:w="550" w:type="pct"/>
            <w:vMerge w:val="continue"/>
            <w:tcBorders>
              <w:tl2br w:val="nil"/>
              <w:tr2bl w:val="nil"/>
            </w:tcBorders>
            <w:noWrap w:val="0"/>
            <w:vAlign w:val="center"/>
          </w:tcPr>
          <w:p w14:paraId="187A199C">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bookmarkStart w:id="138" w:name="OLE_LINK118" w:colFirst="2" w:colLast="3"/>
          </w:p>
        </w:tc>
        <w:tc>
          <w:tcPr>
            <w:tcW w:w="546" w:type="pct"/>
            <w:vMerge w:val="continue"/>
            <w:tcBorders>
              <w:tl2br w:val="nil"/>
              <w:tr2bl w:val="nil"/>
            </w:tcBorders>
            <w:noWrap w:val="0"/>
            <w:vAlign w:val="center"/>
          </w:tcPr>
          <w:p w14:paraId="1768CE49">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color w:val="auto"/>
                <w:kern w:val="0"/>
                <w:sz w:val="21"/>
                <w:szCs w:val="21"/>
                <w:highlight w:val="none"/>
                <w:lang w:val="en-US" w:eastAsia="zh-CN"/>
              </w:rPr>
            </w:pPr>
          </w:p>
        </w:tc>
        <w:tc>
          <w:tcPr>
            <w:tcW w:w="560" w:type="pct"/>
            <w:tcBorders>
              <w:tl2br w:val="nil"/>
              <w:tr2bl w:val="nil"/>
            </w:tcBorders>
            <w:noWrap w:val="0"/>
            <w:vAlign w:val="center"/>
          </w:tcPr>
          <w:p w14:paraId="762E28CD">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X</w:t>
            </w:r>
          </w:p>
        </w:tc>
        <w:tc>
          <w:tcPr>
            <w:tcW w:w="917" w:type="pct"/>
            <w:tcBorders>
              <w:tl2br w:val="nil"/>
              <w:tr2bl w:val="nil"/>
            </w:tcBorders>
            <w:noWrap w:val="0"/>
            <w:vAlign w:val="center"/>
          </w:tcPr>
          <w:p w14:paraId="4550C1FC">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200</w:t>
            </w:r>
          </w:p>
        </w:tc>
        <w:tc>
          <w:tcPr>
            <w:tcW w:w="2424" w:type="pct"/>
            <w:vMerge w:val="continue"/>
            <w:tcBorders>
              <w:tl2br w:val="nil"/>
              <w:tr2bl w:val="nil"/>
            </w:tcBorders>
            <w:noWrap w:val="0"/>
            <w:vAlign w:val="center"/>
          </w:tcPr>
          <w:p w14:paraId="6FEC66E5">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highlight w:val="none"/>
              </w:rPr>
            </w:pPr>
          </w:p>
        </w:tc>
      </w:tr>
      <w:tr w14:paraId="0F03B6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6" w:hRule="atLeast"/>
        </w:trPr>
        <w:tc>
          <w:tcPr>
            <w:tcW w:w="550" w:type="pct"/>
            <w:vMerge w:val="continue"/>
            <w:tcBorders>
              <w:tl2br w:val="nil"/>
              <w:tr2bl w:val="nil"/>
            </w:tcBorders>
            <w:noWrap w:val="0"/>
            <w:vAlign w:val="center"/>
          </w:tcPr>
          <w:p w14:paraId="0FFA9343">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bookmarkStart w:id="139" w:name="OLE_LINK203" w:colFirst="2" w:colLast="3"/>
          </w:p>
        </w:tc>
        <w:tc>
          <w:tcPr>
            <w:tcW w:w="546" w:type="pct"/>
            <w:vMerge w:val="continue"/>
            <w:tcBorders>
              <w:tl2br w:val="nil"/>
              <w:tr2bl w:val="nil"/>
            </w:tcBorders>
            <w:noWrap w:val="0"/>
            <w:vAlign w:val="center"/>
          </w:tcPr>
          <w:p w14:paraId="369B179C">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color w:val="auto"/>
                <w:kern w:val="0"/>
                <w:sz w:val="21"/>
                <w:szCs w:val="21"/>
                <w:highlight w:val="none"/>
                <w:lang w:val="en-US" w:eastAsia="zh-CN"/>
              </w:rPr>
            </w:pPr>
          </w:p>
        </w:tc>
        <w:tc>
          <w:tcPr>
            <w:tcW w:w="560" w:type="pct"/>
            <w:tcBorders>
              <w:tl2br w:val="nil"/>
              <w:tr2bl w:val="nil"/>
            </w:tcBorders>
            <w:noWrap w:val="0"/>
            <w:vAlign w:val="center"/>
          </w:tcPr>
          <w:p w14:paraId="4105FB0B">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烟气黑度</w:t>
            </w:r>
          </w:p>
        </w:tc>
        <w:tc>
          <w:tcPr>
            <w:tcW w:w="917" w:type="pct"/>
            <w:tcBorders>
              <w:tl2br w:val="nil"/>
              <w:tr2bl w:val="nil"/>
            </w:tcBorders>
            <w:noWrap w:val="0"/>
            <w:vAlign w:val="center"/>
          </w:tcPr>
          <w:p w14:paraId="5CA89348">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Arial" w:hAnsi="Arial" w:cs="Arial"/>
                <w:color w:val="auto"/>
                <w:kern w:val="0"/>
                <w:sz w:val="21"/>
                <w:szCs w:val="21"/>
                <w:highlight w:val="none"/>
                <w:lang w:val="en-US" w:eastAsia="zh-CN"/>
              </w:rPr>
              <w:t>≤</w:t>
            </w:r>
            <w:r>
              <w:rPr>
                <w:rFonts w:hint="eastAsia" w:cs="Times New Roman"/>
                <w:color w:val="auto"/>
                <w:kern w:val="0"/>
                <w:sz w:val="21"/>
                <w:szCs w:val="21"/>
                <w:highlight w:val="none"/>
                <w:lang w:val="en-US" w:eastAsia="zh-CN"/>
              </w:rPr>
              <w:t>1</w:t>
            </w:r>
          </w:p>
        </w:tc>
        <w:tc>
          <w:tcPr>
            <w:tcW w:w="2424" w:type="pct"/>
            <w:vMerge w:val="continue"/>
            <w:tcBorders>
              <w:tl2br w:val="nil"/>
              <w:tr2bl w:val="nil"/>
            </w:tcBorders>
            <w:noWrap w:val="0"/>
            <w:vAlign w:val="center"/>
          </w:tcPr>
          <w:p w14:paraId="207D1736">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highlight w:val="none"/>
              </w:rPr>
            </w:pPr>
          </w:p>
        </w:tc>
      </w:tr>
      <w:tr w14:paraId="5BE54C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6" w:hRule="atLeast"/>
        </w:trPr>
        <w:tc>
          <w:tcPr>
            <w:tcW w:w="550" w:type="pct"/>
            <w:vMerge w:val="continue"/>
            <w:tcBorders>
              <w:tl2br w:val="nil"/>
              <w:tr2bl w:val="nil"/>
            </w:tcBorders>
            <w:noWrap w:val="0"/>
            <w:vAlign w:val="center"/>
          </w:tcPr>
          <w:p w14:paraId="2D75CC01">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546" w:type="pct"/>
            <w:vMerge w:val="continue"/>
            <w:tcBorders>
              <w:tl2br w:val="nil"/>
              <w:tr2bl w:val="nil"/>
            </w:tcBorders>
            <w:noWrap w:val="0"/>
            <w:vAlign w:val="center"/>
          </w:tcPr>
          <w:p w14:paraId="12B95192">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color w:val="auto"/>
                <w:kern w:val="0"/>
                <w:sz w:val="21"/>
                <w:szCs w:val="21"/>
                <w:highlight w:val="none"/>
                <w:lang w:val="en-US" w:eastAsia="zh-CN"/>
              </w:rPr>
            </w:pPr>
          </w:p>
        </w:tc>
        <w:tc>
          <w:tcPr>
            <w:tcW w:w="560" w:type="pct"/>
            <w:tcBorders>
              <w:tl2br w:val="nil"/>
              <w:tr2bl w:val="nil"/>
            </w:tcBorders>
            <w:noWrap w:val="0"/>
            <w:vAlign w:val="center"/>
          </w:tcPr>
          <w:p w14:paraId="3ACE3753">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非甲烷总烃</w:t>
            </w:r>
          </w:p>
        </w:tc>
        <w:tc>
          <w:tcPr>
            <w:tcW w:w="917" w:type="pct"/>
            <w:tcBorders>
              <w:tl2br w:val="nil"/>
              <w:tr2bl w:val="nil"/>
            </w:tcBorders>
            <w:noWrap w:val="0"/>
            <w:vAlign w:val="center"/>
          </w:tcPr>
          <w:p w14:paraId="58E0774E">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Arial" w:hAnsi="Arial" w:cs="Arial"/>
                <w:color w:val="auto"/>
                <w:kern w:val="0"/>
                <w:sz w:val="21"/>
                <w:szCs w:val="21"/>
                <w:highlight w:val="none"/>
                <w:lang w:val="en-US" w:eastAsia="zh-CN"/>
              </w:rPr>
            </w:pPr>
            <w:r>
              <w:rPr>
                <w:rFonts w:hint="eastAsia" w:ascii="Arial" w:hAnsi="Arial" w:cs="Arial"/>
                <w:color w:val="auto"/>
                <w:kern w:val="0"/>
                <w:sz w:val="21"/>
                <w:szCs w:val="21"/>
                <w:highlight w:val="none"/>
                <w:lang w:val="en-US" w:eastAsia="zh-CN"/>
              </w:rPr>
              <w:t>120</w:t>
            </w:r>
          </w:p>
        </w:tc>
        <w:tc>
          <w:tcPr>
            <w:tcW w:w="2424" w:type="pct"/>
            <w:tcBorders>
              <w:tl2br w:val="nil"/>
              <w:tr2bl w:val="nil"/>
            </w:tcBorders>
            <w:noWrap w:val="0"/>
            <w:vAlign w:val="center"/>
          </w:tcPr>
          <w:p w14:paraId="54CC03B4">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《大气污染物综合排放标准》</w:t>
            </w:r>
            <w:r>
              <w:rPr>
                <w:rFonts w:hint="eastAsia"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GB16297-1996</w:t>
            </w:r>
            <w:r>
              <w:rPr>
                <w:rFonts w:hint="eastAsia"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表2最高允许排放浓度</w:t>
            </w:r>
          </w:p>
        </w:tc>
      </w:tr>
      <w:bookmarkEnd w:id="132"/>
      <w:bookmarkEnd w:id="134"/>
      <w:bookmarkEnd w:id="135"/>
      <w:bookmarkEnd w:id="136"/>
      <w:bookmarkEnd w:id="138"/>
      <w:bookmarkEnd w:id="139"/>
      <w:tr w14:paraId="1A9F9F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0" w:hRule="atLeast"/>
        </w:trPr>
        <w:tc>
          <w:tcPr>
            <w:tcW w:w="550" w:type="pct"/>
            <w:vMerge w:val="continue"/>
            <w:tcBorders>
              <w:tl2br w:val="nil"/>
              <w:tr2bl w:val="nil"/>
            </w:tcBorders>
            <w:noWrap w:val="0"/>
            <w:vAlign w:val="center"/>
          </w:tcPr>
          <w:p w14:paraId="794AC0B4">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546" w:type="pct"/>
            <w:vMerge w:val="restart"/>
            <w:tcBorders>
              <w:tl2br w:val="nil"/>
              <w:tr2bl w:val="nil"/>
            </w:tcBorders>
            <w:noWrap w:val="0"/>
            <w:vAlign w:val="center"/>
          </w:tcPr>
          <w:p w14:paraId="5FEDC530">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无组织排放</w:t>
            </w:r>
          </w:p>
        </w:tc>
        <w:tc>
          <w:tcPr>
            <w:tcW w:w="560" w:type="pct"/>
            <w:vMerge w:val="restart"/>
            <w:tcBorders>
              <w:tl2br w:val="nil"/>
              <w:tr2bl w:val="nil"/>
            </w:tcBorders>
            <w:noWrap w:val="0"/>
            <w:vAlign w:val="center"/>
          </w:tcPr>
          <w:p w14:paraId="116BC859">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非甲烷总烃</w:t>
            </w:r>
          </w:p>
        </w:tc>
        <w:tc>
          <w:tcPr>
            <w:tcW w:w="917" w:type="pct"/>
            <w:tcBorders>
              <w:tl2br w:val="nil"/>
              <w:tr2bl w:val="nil"/>
            </w:tcBorders>
            <w:noWrap w:val="0"/>
            <w:vAlign w:val="top"/>
          </w:tcPr>
          <w:p w14:paraId="6128BB0E">
            <w:pPr>
              <w:pStyle w:val="82"/>
              <w:keepNext w:val="0"/>
              <w:keepLines w:val="0"/>
              <w:pageBreakBefore w:val="0"/>
              <w:widowControl/>
              <w:kinsoku/>
              <w:wordWrap/>
              <w:overflowPunct/>
              <w:topLinePunct w:val="0"/>
              <w:autoSpaceDE/>
              <w:autoSpaceDN/>
              <w:bidi w:val="0"/>
              <w:adjustRightInd/>
              <w:snapToGrid w:val="0"/>
              <w:spacing w:line="240" w:lineRule="auto"/>
              <w:ind w:left="0" w:leftChars="0" w:right="-105" w:rightChars="0" w:firstLine="0" w:firstLineChars="0"/>
              <w:jc w:val="center"/>
              <w:textAlignment w:val="auto"/>
              <w:rPr>
                <w:rFonts w:hint="default" w:ascii="Times New Roman" w:hAnsi="Times New Roman" w:eastAsia="宋体" w:cs="Times New Roman"/>
                <w:color w:val="auto"/>
                <w:sz w:val="21"/>
                <w:szCs w:val="21"/>
              </w:rPr>
            </w:pPr>
          </w:p>
          <w:p w14:paraId="277EA78D">
            <w:pPr>
              <w:pStyle w:val="82"/>
              <w:keepNext w:val="0"/>
              <w:keepLines w:val="0"/>
              <w:pageBreakBefore w:val="0"/>
              <w:widowControl/>
              <w:kinsoku/>
              <w:wordWrap/>
              <w:overflowPunct/>
              <w:topLinePunct w:val="0"/>
              <w:autoSpaceDE/>
              <w:autoSpaceDN/>
              <w:bidi w:val="0"/>
              <w:adjustRightInd/>
              <w:snapToGrid w:val="0"/>
              <w:spacing w:line="240" w:lineRule="auto"/>
              <w:ind w:left="0" w:leftChars="0" w:right="-105" w:rightChars="0" w:firstLine="630" w:firstLineChars="300"/>
              <w:jc w:val="both"/>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 w:val="21"/>
                <w:szCs w:val="21"/>
              </w:rPr>
              <w:t>4.0</w:t>
            </w:r>
          </w:p>
        </w:tc>
        <w:tc>
          <w:tcPr>
            <w:tcW w:w="2424" w:type="pct"/>
            <w:tcBorders>
              <w:tl2br w:val="nil"/>
              <w:tr2bl w:val="nil"/>
            </w:tcBorders>
            <w:noWrap w:val="0"/>
            <w:vAlign w:val="top"/>
          </w:tcPr>
          <w:p w14:paraId="6B020534">
            <w:pPr>
              <w:pStyle w:val="82"/>
              <w:keepNext w:val="0"/>
              <w:keepLines w:val="0"/>
              <w:pageBreakBefore w:val="0"/>
              <w:widowControl/>
              <w:kinsoku/>
              <w:wordWrap/>
              <w:overflowPunct/>
              <w:topLinePunct w:val="0"/>
              <w:autoSpaceDE/>
              <w:autoSpaceDN/>
              <w:bidi w:val="0"/>
              <w:adjustRightInd/>
              <w:snapToGrid w:val="0"/>
              <w:spacing w:line="240" w:lineRule="auto"/>
              <w:ind w:left="-105" w:leftChars="0" w:right="-105" w:rightChars="0" w:firstLine="420" w:firstLineChars="200"/>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 w:val="21"/>
                <w:szCs w:val="21"/>
              </w:rPr>
              <w:t>《陆上石油天然气开采工业大气污染物排放标准》（GB39728-2020）厂界污染物控制浓度</w:t>
            </w:r>
          </w:p>
        </w:tc>
      </w:tr>
      <w:tr w14:paraId="19353F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0" w:hRule="atLeast"/>
        </w:trPr>
        <w:tc>
          <w:tcPr>
            <w:tcW w:w="550" w:type="pct"/>
            <w:vMerge w:val="continue"/>
            <w:tcBorders>
              <w:tl2br w:val="nil"/>
              <w:tr2bl w:val="nil"/>
            </w:tcBorders>
            <w:noWrap w:val="0"/>
            <w:vAlign w:val="center"/>
          </w:tcPr>
          <w:p w14:paraId="3F167C36">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546" w:type="pct"/>
            <w:vMerge w:val="continue"/>
            <w:tcBorders>
              <w:tl2br w:val="nil"/>
              <w:tr2bl w:val="nil"/>
            </w:tcBorders>
            <w:noWrap w:val="0"/>
            <w:vAlign w:val="center"/>
          </w:tcPr>
          <w:p w14:paraId="7647B0C8">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highlight w:val="none"/>
              </w:rPr>
            </w:pPr>
          </w:p>
        </w:tc>
        <w:tc>
          <w:tcPr>
            <w:tcW w:w="560" w:type="pct"/>
            <w:vMerge w:val="continue"/>
            <w:tcBorders>
              <w:tl2br w:val="nil"/>
              <w:tr2bl w:val="nil"/>
            </w:tcBorders>
            <w:noWrap w:val="0"/>
            <w:vAlign w:val="center"/>
          </w:tcPr>
          <w:p w14:paraId="6C35A519">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highlight w:val="none"/>
              </w:rPr>
            </w:pPr>
          </w:p>
        </w:tc>
        <w:tc>
          <w:tcPr>
            <w:tcW w:w="917" w:type="pct"/>
            <w:tcBorders>
              <w:tl2br w:val="nil"/>
              <w:tr2bl w:val="nil"/>
            </w:tcBorders>
            <w:noWrap w:val="0"/>
            <w:vAlign w:val="center"/>
          </w:tcPr>
          <w:p w14:paraId="004B9D0B">
            <w:pPr>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（监控点处1h平均浓度值）</w:t>
            </w:r>
          </w:p>
          <w:p w14:paraId="271F42D6">
            <w:pPr>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30.0mg/m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（监控点处任意一次浓度值）</w:t>
            </w:r>
          </w:p>
        </w:tc>
        <w:tc>
          <w:tcPr>
            <w:tcW w:w="2424" w:type="pct"/>
            <w:tcBorders>
              <w:tl2br w:val="nil"/>
              <w:tr2bl w:val="nil"/>
            </w:tcBorders>
            <w:noWrap w:val="0"/>
            <w:vAlign w:val="center"/>
          </w:tcPr>
          <w:p w14:paraId="1D50E493">
            <w:pPr>
              <w:pStyle w:val="53"/>
              <w:keepNext w:val="0"/>
              <w:keepLines w:val="0"/>
              <w:pageBreakBefore w:val="0"/>
              <w:widowControl/>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color w:val="auto"/>
                <w:sz w:val="21"/>
                <w:szCs w:val="21"/>
              </w:rPr>
              <w:t>《挥发性有机物无组织排放控制标准》（GB37822-2019）厂界内</w:t>
            </w:r>
          </w:p>
        </w:tc>
      </w:tr>
      <w:bookmarkEnd w:id="137"/>
      <w:tr w14:paraId="6FE18C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0" w:hRule="atLeast"/>
        </w:trPr>
        <w:tc>
          <w:tcPr>
            <w:tcW w:w="550" w:type="pct"/>
            <w:vMerge w:val="continue"/>
            <w:tcBorders>
              <w:tl2br w:val="nil"/>
              <w:tr2bl w:val="nil"/>
            </w:tcBorders>
            <w:noWrap w:val="0"/>
            <w:vAlign w:val="center"/>
          </w:tcPr>
          <w:p w14:paraId="186EEBED">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546" w:type="pct"/>
            <w:vMerge w:val="continue"/>
            <w:tcBorders>
              <w:tl2br w:val="nil"/>
              <w:tr2bl w:val="nil"/>
            </w:tcBorders>
            <w:noWrap w:val="0"/>
            <w:vAlign w:val="center"/>
          </w:tcPr>
          <w:p w14:paraId="7423805B">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highlight w:val="none"/>
              </w:rPr>
            </w:pPr>
          </w:p>
        </w:tc>
        <w:tc>
          <w:tcPr>
            <w:tcW w:w="560" w:type="pct"/>
            <w:tcBorders>
              <w:tl2br w:val="nil"/>
              <w:tr2bl w:val="nil"/>
            </w:tcBorders>
            <w:noWrap w:val="0"/>
            <w:vAlign w:val="center"/>
          </w:tcPr>
          <w:p w14:paraId="0A1DABE6">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w:t>
            </w:r>
          </w:p>
        </w:tc>
        <w:tc>
          <w:tcPr>
            <w:tcW w:w="917" w:type="pct"/>
            <w:tcBorders>
              <w:tl2br w:val="nil"/>
              <w:tr2bl w:val="nil"/>
            </w:tcBorders>
            <w:noWrap w:val="0"/>
            <w:vAlign w:val="center"/>
          </w:tcPr>
          <w:p w14:paraId="0FC009DF">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0.06</w:t>
            </w:r>
          </w:p>
        </w:tc>
        <w:tc>
          <w:tcPr>
            <w:tcW w:w="2424" w:type="pct"/>
            <w:tcBorders>
              <w:tl2br w:val="nil"/>
              <w:tr2bl w:val="nil"/>
            </w:tcBorders>
            <w:noWrap w:val="0"/>
            <w:vAlign w:val="center"/>
          </w:tcPr>
          <w:p w14:paraId="0BCF63B7">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恶臭污染物排放标准（GB14554-93）二级标准</w:t>
            </w:r>
          </w:p>
        </w:tc>
      </w:tr>
    </w:tbl>
    <w:p w14:paraId="16FF69E7">
      <w:pPr>
        <w:pStyle w:val="55"/>
        <w:bidi w:val="0"/>
        <w:rPr>
          <w:rFonts w:hint="default"/>
          <w:color w:val="auto"/>
          <w:lang w:val="en-US" w:eastAsia="zh-CN"/>
        </w:rPr>
      </w:pPr>
      <w:r>
        <w:rPr>
          <w:rFonts w:hint="eastAsia"/>
          <w:color w:val="auto"/>
          <w:lang w:val="en-US" w:eastAsia="zh-CN"/>
        </w:rPr>
        <w:t>2.4.3.3</w:t>
      </w:r>
      <w:r>
        <w:rPr>
          <w:rFonts w:hint="default"/>
          <w:color w:val="auto"/>
          <w:lang w:val="en-US" w:eastAsia="zh-CN"/>
        </w:rPr>
        <w:t>噪声</w:t>
      </w:r>
    </w:p>
    <w:p w14:paraId="3A9A159B">
      <w:pPr>
        <w:pStyle w:val="79"/>
        <w:bidi w:val="0"/>
        <w:rPr>
          <w:rFonts w:hint="default"/>
          <w:color w:val="auto"/>
        </w:rPr>
      </w:pPr>
      <w:r>
        <w:rPr>
          <w:rFonts w:hint="default"/>
          <w:color w:val="auto"/>
        </w:rPr>
        <w:t>施工期执行《建筑施工场界环境噪声排放标准》（GB12523-2011）；</w:t>
      </w:r>
      <w:r>
        <w:rPr>
          <w:rFonts w:hint="eastAsia"/>
          <w:color w:val="auto"/>
          <w:lang w:eastAsia="zh-CN"/>
        </w:rPr>
        <w:t>运营期</w:t>
      </w:r>
      <w:r>
        <w:rPr>
          <w:rFonts w:hint="default"/>
          <w:color w:val="auto"/>
        </w:rPr>
        <w:t>执行《工业企业厂界环境噪声排放标准》（GB12348-2008）中2类标准，噪声限值</w:t>
      </w:r>
      <w:r>
        <w:rPr>
          <w:rFonts w:hint="eastAsia"/>
          <w:color w:val="auto"/>
          <w:lang w:eastAsia="zh-CN"/>
        </w:rPr>
        <w:t>，</w:t>
      </w:r>
      <w:r>
        <w:rPr>
          <w:rFonts w:hint="default"/>
          <w:color w:val="auto"/>
        </w:rPr>
        <w:t>见表2.</w:t>
      </w:r>
      <w:r>
        <w:rPr>
          <w:rFonts w:hint="eastAsia"/>
          <w:color w:val="auto"/>
          <w:lang w:val="en-US" w:eastAsia="zh-CN"/>
        </w:rPr>
        <w:t>4</w:t>
      </w:r>
      <w:r>
        <w:rPr>
          <w:rFonts w:hint="default"/>
          <w:color w:val="auto"/>
        </w:rPr>
        <w:t>-</w:t>
      </w:r>
      <w:r>
        <w:rPr>
          <w:rFonts w:hint="eastAsia"/>
          <w:color w:val="auto"/>
          <w:lang w:val="en-US" w:eastAsia="zh-CN"/>
        </w:rPr>
        <w:t>7</w:t>
      </w:r>
      <w:r>
        <w:rPr>
          <w:rFonts w:hint="default"/>
          <w:color w:val="auto"/>
        </w:rPr>
        <w:t>。</w:t>
      </w:r>
    </w:p>
    <w:p w14:paraId="4810C77B">
      <w:pPr>
        <w:pStyle w:val="61"/>
        <w:bidi w:val="0"/>
        <w:jc w:val="both"/>
        <w:rPr>
          <w:rFonts w:hint="eastAsia" w:ascii="黑体" w:hAnsi="黑体" w:eastAsia="黑体" w:cs="黑体"/>
          <w:b/>
          <w:bCs w:val="0"/>
          <w:color w:val="auto"/>
          <w:szCs w:val="21"/>
          <w:lang w:val="en-US" w:eastAsia="zh-CN"/>
        </w:rPr>
      </w:pPr>
      <w:r>
        <w:rPr>
          <w:rFonts w:hint="eastAsia"/>
          <w:color w:val="auto"/>
          <w:lang w:val="en-US" w:eastAsia="zh-CN"/>
        </w:rPr>
        <w:t>表2.4-7   环境噪声排放标准</w:t>
      </w:r>
    </w:p>
    <w:tbl>
      <w:tblPr>
        <w:tblStyle w:val="36"/>
        <w:tblW w:w="0" w:type="auto"/>
        <w:tblInd w:w="9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200"/>
        <w:gridCol w:w="895"/>
        <w:gridCol w:w="1166"/>
        <w:gridCol w:w="1356"/>
      </w:tblGrid>
      <w:tr w14:paraId="6DB2EA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trPr>
        <w:tc>
          <w:tcPr>
            <w:tcW w:w="5200" w:type="dxa"/>
            <w:vMerge w:val="restart"/>
            <w:tcBorders>
              <w:tl2br w:val="nil"/>
              <w:tr2bl w:val="nil"/>
            </w:tcBorders>
            <w:noWrap w:val="0"/>
            <w:vAlign w:val="center"/>
          </w:tcPr>
          <w:p w14:paraId="09BFFB90">
            <w:pPr>
              <w:keepNext w:val="0"/>
              <w:keepLines w:val="0"/>
              <w:pageBreakBefore w:val="0"/>
              <w:widowControl/>
              <w:kinsoku/>
              <w:wordWrap/>
              <w:overflowPunct/>
              <w:topLinePunct w:val="0"/>
              <w:autoSpaceDE/>
              <w:autoSpaceDN/>
              <w:bidi w:val="0"/>
              <w:adjustRightInd w:val="0"/>
              <w:snapToGrid/>
              <w:spacing w:line="400" w:lineRule="exact"/>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标准来源</w:t>
            </w:r>
          </w:p>
        </w:tc>
        <w:tc>
          <w:tcPr>
            <w:tcW w:w="895" w:type="dxa"/>
            <w:vMerge w:val="restart"/>
            <w:tcBorders>
              <w:tl2br w:val="nil"/>
              <w:tr2bl w:val="nil"/>
            </w:tcBorders>
            <w:noWrap w:val="0"/>
            <w:vAlign w:val="center"/>
          </w:tcPr>
          <w:p w14:paraId="11E91151">
            <w:pPr>
              <w:keepNext w:val="0"/>
              <w:keepLines w:val="0"/>
              <w:pageBreakBefore w:val="0"/>
              <w:widowControl/>
              <w:kinsoku/>
              <w:wordWrap/>
              <w:overflowPunct/>
              <w:topLinePunct w:val="0"/>
              <w:autoSpaceDE/>
              <w:autoSpaceDN/>
              <w:bidi w:val="0"/>
              <w:adjustRightInd w:val="0"/>
              <w:snapToGrid/>
              <w:spacing w:line="400" w:lineRule="exact"/>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类别</w:t>
            </w:r>
          </w:p>
        </w:tc>
        <w:tc>
          <w:tcPr>
            <w:tcW w:w="2522" w:type="dxa"/>
            <w:gridSpan w:val="2"/>
            <w:tcBorders>
              <w:tl2br w:val="nil"/>
              <w:tr2bl w:val="nil"/>
            </w:tcBorders>
            <w:noWrap w:val="0"/>
            <w:vAlign w:val="center"/>
          </w:tcPr>
          <w:p w14:paraId="6314F0C1">
            <w:pPr>
              <w:keepNext w:val="0"/>
              <w:keepLines w:val="0"/>
              <w:pageBreakBefore w:val="0"/>
              <w:widowControl/>
              <w:kinsoku/>
              <w:wordWrap/>
              <w:overflowPunct/>
              <w:topLinePunct w:val="0"/>
              <w:autoSpaceDE/>
              <w:autoSpaceDN/>
              <w:bidi w:val="0"/>
              <w:adjustRightInd w:val="0"/>
              <w:snapToGrid/>
              <w:spacing w:line="400" w:lineRule="exact"/>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噪声限值dB（A）</w:t>
            </w:r>
          </w:p>
        </w:tc>
      </w:tr>
      <w:tr w14:paraId="0A10FC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3" w:hRule="atLeast"/>
        </w:trPr>
        <w:tc>
          <w:tcPr>
            <w:tcW w:w="5200" w:type="dxa"/>
            <w:vMerge w:val="continue"/>
            <w:tcBorders>
              <w:tl2br w:val="nil"/>
              <w:tr2bl w:val="nil"/>
            </w:tcBorders>
            <w:noWrap w:val="0"/>
            <w:vAlign w:val="center"/>
          </w:tcPr>
          <w:p w14:paraId="79A42072">
            <w:pPr>
              <w:keepNext w:val="0"/>
              <w:keepLines w:val="0"/>
              <w:pageBreakBefore w:val="0"/>
              <w:widowControl/>
              <w:kinsoku/>
              <w:wordWrap/>
              <w:overflowPunct/>
              <w:topLinePunct w:val="0"/>
              <w:autoSpaceDE/>
              <w:autoSpaceDN/>
              <w:bidi w:val="0"/>
              <w:adjustRightInd w:val="0"/>
              <w:snapToGrid/>
              <w:spacing w:line="400" w:lineRule="exact"/>
              <w:jc w:val="center"/>
              <w:textAlignment w:val="baseline"/>
              <w:rPr>
                <w:rFonts w:hint="default" w:ascii="Times New Roman" w:hAnsi="Times New Roman" w:cs="Times New Roman"/>
                <w:color w:val="auto"/>
                <w:kern w:val="0"/>
                <w:sz w:val="21"/>
                <w:szCs w:val="21"/>
                <w:highlight w:val="none"/>
              </w:rPr>
            </w:pPr>
          </w:p>
        </w:tc>
        <w:tc>
          <w:tcPr>
            <w:tcW w:w="895" w:type="dxa"/>
            <w:vMerge w:val="continue"/>
            <w:tcBorders>
              <w:tl2br w:val="nil"/>
              <w:tr2bl w:val="nil"/>
            </w:tcBorders>
            <w:noWrap w:val="0"/>
            <w:vAlign w:val="center"/>
          </w:tcPr>
          <w:p w14:paraId="7C93CAA8">
            <w:pPr>
              <w:keepNext w:val="0"/>
              <w:keepLines w:val="0"/>
              <w:pageBreakBefore w:val="0"/>
              <w:widowControl/>
              <w:kinsoku/>
              <w:wordWrap/>
              <w:overflowPunct/>
              <w:topLinePunct w:val="0"/>
              <w:autoSpaceDE/>
              <w:autoSpaceDN/>
              <w:bidi w:val="0"/>
              <w:adjustRightInd w:val="0"/>
              <w:snapToGrid/>
              <w:spacing w:line="400" w:lineRule="exact"/>
              <w:jc w:val="center"/>
              <w:textAlignment w:val="baseline"/>
              <w:rPr>
                <w:rFonts w:hint="default" w:ascii="Times New Roman" w:hAnsi="Times New Roman" w:cs="Times New Roman"/>
                <w:color w:val="auto"/>
                <w:kern w:val="0"/>
                <w:sz w:val="21"/>
                <w:szCs w:val="21"/>
                <w:highlight w:val="none"/>
              </w:rPr>
            </w:pPr>
          </w:p>
        </w:tc>
        <w:tc>
          <w:tcPr>
            <w:tcW w:w="1166" w:type="dxa"/>
            <w:tcBorders>
              <w:tl2br w:val="nil"/>
              <w:tr2bl w:val="nil"/>
            </w:tcBorders>
            <w:noWrap w:val="0"/>
            <w:vAlign w:val="center"/>
          </w:tcPr>
          <w:p w14:paraId="5BCB4737">
            <w:pPr>
              <w:keepNext w:val="0"/>
              <w:keepLines w:val="0"/>
              <w:pageBreakBefore w:val="0"/>
              <w:widowControl/>
              <w:kinsoku/>
              <w:wordWrap/>
              <w:overflowPunct/>
              <w:topLinePunct w:val="0"/>
              <w:autoSpaceDE/>
              <w:autoSpaceDN/>
              <w:bidi w:val="0"/>
              <w:adjustRightInd w:val="0"/>
              <w:snapToGrid/>
              <w:spacing w:line="400" w:lineRule="exact"/>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昼间</w:t>
            </w:r>
          </w:p>
        </w:tc>
        <w:tc>
          <w:tcPr>
            <w:tcW w:w="1356" w:type="dxa"/>
            <w:tcBorders>
              <w:tl2br w:val="nil"/>
              <w:tr2bl w:val="nil"/>
            </w:tcBorders>
            <w:noWrap w:val="0"/>
            <w:vAlign w:val="center"/>
          </w:tcPr>
          <w:p w14:paraId="1371CD48">
            <w:pPr>
              <w:keepNext w:val="0"/>
              <w:keepLines w:val="0"/>
              <w:pageBreakBefore w:val="0"/>
              <w:widowControl/>
              <w:kinsoku/>
              <w:wordWrap/>
              <w:overflowPunct/>
              <w:topLinePunct w:val="0"/>
              <w:autoSpaceDE/>
              <w:autoSpaceDN/>
              <w:bidi w:val="0"/>
              <w:adjustRightInd w:val="0"/>
              <w:snapToGrid/>
              <w:spacing w:line="400" w:lineRule="exact"/>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夜间</w:t>
            </w:r>
          </w:p>
        </w:tc>
      </w:tr>
      <w:tr w14:paraId="1C50FC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trPr>
        <w:tc>
          <w:tcPr>
            <w:tcW w:w="5200" w:type="dxa"/>
            <w:tcBorders>
              <w:tl2br w:val="nil"/>
              <w:tr2bl w:val="nil"/>
            </w:tcBorders>
            <w:noWrap w:val="0"/>
            <w:vAlign w:val="center"/>
          </w:tcPr>
          <w:p w14:paraId="79DE66F3">
            <w:pPr>
              <w:keepNext w:val="0"/>
              <w:keepLines w:val="0"/>
              <w:pageBreakBefore w:val="0"/>
              <w:widowControl/>
              <w:kinsoku/>
              <w:wordWrap/>
              <w:overflowPunct/>
              <w:topLinePunct w:val="0"/>
              <w:autoSpaceDE/>
              <w:autoSpaceDN/>
              <w:bidi w:val="0"/>
              <w:adjustRightInd w:val="0"/>
              <w:snapToGrid/>
              <w:spacing w:line="400" w:lineRule="exact"/>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《建筑施工场界环境噪声排放标准》（GB12523-2011）</w:t>
            </w:r>
          </w:p>
        </w:tc>
        <w:tc>
          <w:tcPr>
            <w:tcW w:w="895" w:type="dxa"/>
            <w:tcBorders>
              <w:tl2br w:val="nil"/>
              <w:tr2bl w:val="nil"/>
            </w:tcBorders>
            <w:noWrap w:val="0"/>
            <w:vAlign w:val="center"/>
          </w:tcPr>
          <w:p w14:paraId="50C52BFB">
            <w:pPr>
              <w:keepNext w:val="0"/>
              <w:keepLines w:val="0"/>
              <w:pageBreakBefore w:val="0"/>
              <w:widowControl/>
              <w:kinsoku/>
              <w:wordWrap/>
              <w:overflowPunct/>
              <w:topLinePunct w:val="0"/>
              <w:autoSpaceDE/>
              <w:autoSpaceDN/>
              <w:bidi w:val="0"/>
              <w:adjustRightInd w:val="0"/>
              <w:snapToGrid/>
              <w:spacing w:line="400" w:lineRule="exact"/>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c>
          <w:tcPr>
            <w:tcW w:w="1166" w:type="dxa"/>
            <w:tcBorders>
              <w:tl2br w:val="nil"/>
              <w:tr2bl w:val="nil"/>
            </w:tcBorders>
            <w:noWrap w:val="0"/>
            <w:vAlign w:val="center"/>
          </w:tcPr>
          <w:p w14:paraId="56A0DC19">
            <w:pPr>
              <w:keepNext w:val="0"/>
              <w:keepLines w:val="0"/>
              <w:pageBreakBefore w:val="0"/>
              <w:widowControl/>
              <w:kinsoku/>
              <w:wordWrap/>
              <w:overflowPunct/>
              <w:topLinePunct w:val="0"/>
              <w:autoSpaceDE/>
              <w:autoSpaceDN/>
              <w:bidi w:val="0"/>
              <w:adjustRightInd w:val="0"/>
              <w:snapToGrid/>
              <w:spacing w:line="400" w:lineRule="exact"/>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70</w:t>
            </w:r>
          </w:p>
        </w:tc>
        <w:tc>
          <w:tcPr>
            <w:tcW w:w="1356" w:type="dxa"/>
            <w:tcBorders>
              <w:tl2br w:val="nil"/>
              <w:tr2bl w:val="nil"/>
            </w:tcBorders>
            <w:noWrap w:val="0"/>
            <w:vAlign w:val="center"/>
          </w:tcPr>
          <w:p w14:paraId="6B7C5BDB">
            <w:pPr>
              <w:keepNext w:val="0"/>
              <w:keepLines w:val="0"/>
              <w:pageBreakBefore w:val="0"/>
              <w:widowControl/>
              <w:kinsoku/>
              <w:wordWrap/>
              <w:overflowPunct/>
              <w:topLinePunct w:val="0"/>
              <w:autoSpaceDE/>
              <w:autoSpaceDN/>
              <w:bidi w:val="0"/>
              <w:adjustRightInd w:val="0"/>
              <w:snapToGrid/>
              <w:spacing w:line="400" w:lineRule="exact"/>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55</w:t>
            </w:r>
          </w:p>
        </w:tc>
      </w:tr>
      <w:tr w14:paraId="27003F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trPr>
        <w:tc>
          <w:tcPr>
            <w:tcW w:w="5200" w:type="dxa"/>
            <w:tcBorders>
              <w:tl2br w:val="nil"/>
              <w:tr2bl w:val="nil"/>
            </w:tcBorders>
            <w:noWrap w:val="0"/>
            <w:vAlign w:val="center"/>
          </w:tcPr>
          <w:p w14:paraId="02BE5944">
            <w:pPr>
              <w:keepNext w:val="0"/>
              <w:keepLines w:val="0"/>
              <w:pageBreakBefore w:val="0"/>
              <w:widowControl/>
              <w:kinsoku/>
              <w:wordWrap/>
              <w:overflowPunct/>
              <w:topLinePunct w:val="0"/>
              <w:autoSpaceDE/>
              <w:autoSpaceDN/>
              <w:bidi w:val="0"/>
              <w:adjustRightInd w:val="0"/>
              <w:snapToGrid/>
              <w:spacing w:line="400" w:lineRule="exact"/>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《工业企业厂界环境噪声排放标准》（GB12348-2008）</w:t>
            </w:r>
          </w:p>
        </w:tc>
        <w:tc>
          <w:tcPr>
            <w:tcW w:w="895" w:type="dxa"/>
            <w:tcBorders>
              <w:tl2br w:val="nil"/>
              <w:tr2bl w:val="nil"/>
            </w:tcBorders>
            <w:noWrap w:val="0"/>
            <w:vAlign w:val="center"/>
          </w:tcPr>
          <w:p w14:paraId="04ACE148">
            <w:pPr>
              <w:keepNext w:val="0"/>
              <w:keepLines w:val="0"/>
              <w:pageBreakBefore w:val="0"/>
              <w:widowControl/>
              <w:kinsoku/>
              <w:wordWrap/>
              <w:overflowPunct/>
              <w:topLinePunct w:val="0"/>
              <w:autoSpaceDE/>
              <w:autoSpaceDN/>
              <w:bidi w:val="0"/>
              <w:adjustRightInd w:val="0"/>
              <w:snapToGrid/>
              <w:spacing w:line="400" w:lineRule="exact"/>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2类</w:t>
            </w:r>
          </w:p>
        </w:tc>
        <w:tc>
          <w:tcPr>
            <w:tcW w:w="1166" w:type="dxa"/>
            <w:tcBorders>
              <w:tl2br w:val="nil"/>
              <w:tr2bl w:val="nil"/>
            </w:tcBorders>
            <w:noWrap w:val="0"/>
            <w:vAlign w:val="center"/>
          </w:tcPr>
          <w:p w14:paraId="4841C7BC">
            <w:pPr>
              <w:keepNext w:val="0"/>
              <w:keepLines w:val="0"/>
              <w:pageBreakBefore w:val="0"/>
              <w:widowControl/>
              <w:kinsoku/>
              <w:wordWrap/>
              <w:overflowPunct/>
              <w:topLinePunct w:val="0"/>
              <w:autoSpaceDE/>
              <w:autoSpaceDN/>
              <w:bidi w:val="0"/>
              <w:adjustRightInd w:val="0"/>
              <w:snapToGrid/>
              <w:spacing w:line="400" w:lineRule="exact"/>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60</w:t>
            </w:r>
          </w:p>
        </w:tc>
        <w:tc>
          <w:tcPr>
            <w:tcW w:w="1356" w:type="dxa"/>
            <w:tcBorders>
              <w:tl2br w:val="nil"/>
              <w:tr2bl w:val="nil"/>
            </w:tcBorders>
            <w:noWrap w:val="0"/>
            <w:vAlign w:val="center"/>
          </w:tcPr>
          <w:p w14:paraId="5D0D5CE6">
            <w:pPr>
              <w:keepNext w:val="0"/>
              <w:keepLines w:val="0"/>
              <w:pageBreakBefore w:val="0"/>
              <w:widowControl/>
              <w:kinsoku/>
              <w:wordWrap/>
              <w:overflowPunct/>
              <w:topLinePunct w:val="0"/>
              <w:autoSpaceDE/>
              <w:autoSpaceDN/>
              <w:bidi w:val="0"/>
              <w:adjustRightInd w:val="0"/>
              <w:snapToGrid/>
              <w:spacing w:line="400" w:lineRule="exact"/>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50</w:t>
            </w:r>
          </w:p>
        </w:tc>
      </w:tr>
    </w:tbl>
    <w:p w14:paraId="078A5543">
      <w:pPr>
        <w:pStyle w:val="55"/>
        <w:bidi w:val="0"/>
        <w:rPr>
          <w:rFonts w:hint="default"/>
          <w:color w:val="auto"/>
          <w:lang w:val="en-US" w:eastAsia="zh-CN"/>
        </w:rPr>
      </w:pPr>
      <w:r>
        <w:rPr>
          <w:rFonts w:hint="eastAsia"/>
          <w:color w:val="auto"/>
          <w:lang w:val="en-US" w:eastAsia="zh-CN"/>
        </w:rPr>
        <w:t>2.4.3.4</w:t>
      </w:r>
      <w:r>
        <w:rPr>
          <w:rFonts w:hint="default"/>
          <w:color w:val="auto"/>
          <w:lang w:val="en-US" w:eastAsia="zh-CN"/>
        </w:rPr>
        <w:t>固体废物</w:t>
      </w:r>
    </w:p>
    <w:p w14:paraId="067E9E8B">
      <w:pPr>
        <w:pStyle w:val="79"/>
        <w:bidi w:val="0"/>
        <w:rPr>
          <w:rFonts w:hint="default"/>
          <w:color w:val="auto"/>
          <w:lang w:val="en-US" w:eastAsia="zh-CN"/>
        </w:rPr>
      </w:pPr>
      <w:r>
        <w:rPr>
          <w:rFonts w:hint="default"/>
          <w:color w:val="auto"/>
          <w:lang w:val="en-US" w:eastAsia="zh-CN"/>
        </w:rPr>
        <w:t>根据项目产生的各种固体废物的性质，一般工业固体废物执行《一般工业固体废物贮存和填埋污染控制标准》（GB18599-2020）要求。</w:t>
      </w:r>
    </w:p>
    <w:p w14:paraId="68EC941E">
      <w:pPr>
        <w:pStyle w:val="79"/>
        <w:bidi w:val="0"/>
        <w:rPr>
          <w:rFonts w:hint="default"/>
          <w:color w:val="auto"/>
          <w:lang w:val="en-US" w:eastAsia="zh-CN"/>
        </w:rPr>
      </w:pPr>
      <w:r>
        <w:rPr>
          <w:rFonts w:hint="default"/>
          <w:color w:val="auto"/>
          <w:lang w:val="en-US" w:eastAsia="zh-CN"/>
        </w:rPr>
        <w:t>危险废物的贮存执行《危险废物贮存污染控制标准》（GB18597-2023）、危险废物的转移依照《危险废物转移管理办法》及《危险废物收集贮存运输技术规范》（HJ2025-2012）进行监督和管理。含油污泥满足《陆上石油天然气开采含油污泥资源化综合利用及污染控制技术要求》（SY/T7301-2016）相关要求及《关于含油污泥处置有关事宜的通知》（新环办发〔2018〕20号）、《危险废物环境管理指南 陆上石油天然气开采》（生态环境部公告2021年第74号）要求。</w:t>
      </w:r>
    </w:p>
    <w:bookmarkEnd w:id="110"/>
    <w:bookmarkEnd w:id="111"/>
    <w:bookmarkEnd w:id="112"/>
    <w:bookmarkEnd w:id="113"/>
    <w:bookmarkEnd w:id="114"/>
    <w:bookmarkEnd w:id="115"/>
    <w:p w14:paraId="56C9D3E7">
      <w:pPr>
        <w:pStyle w:val="75"/>
        <w:bidi w:val="0"/>
        <w:rPr>
          <w:rFonts w:hint="default"/>
          <w:color w:val="auto"/>
          <w:lang w:val="en-US" w:eastAsia="zh-CN"/>
        </w:rPr>
      </w:pPr>
      <w:bookmarkStart w:id="140" w:name="_Toc30766"/>
      <w:bookmarkStart w:id="141" w:name="_Toc15439"/>
      <w:bookmarkStart w:id="142" w:name="_Toc1639"/>
      <w:bookmarkStart w:id="143" w:name="_Toc109382913"/>
      <w:bookmarkStart w:id="144" w:name="_Toc36583806"/>
      <w:bookmarkStart w:id="145" w:name="_Toc390851524"/>
      <w:bookmarkStart w:id="146" w:name="_Toc24753"/>
      <w:bookmarkStart w:id="147" w:name="_Toc500856915"/>
      <w:bookmarkStart w:id="148" w:name="_Toc507411707"/>
      <w:r>
        <w:rPr>
          <w:rFonts w:hint="eastAsia"/>
          <w:color w:val="auto"/>
          <w:lang w:val="en-US" w:eastAsia="zh-CN"/>
        </w:rPr>
        <w:t>2.5 评价工作等级和评价范围</w:t>
      </w:r>
      <w:bookmarkEnd w:id="140"/>
    </w:p>
    <w:p w14:paraId="3EB7F3B1">
      <w:pPr>
        <w:pStyle w:val="54"/>
        <w:bidi w:val="0"/>
        <w:rPr>
          <w:rFonts w:hint="default"/>
          <w:color w:val="auto"/>
          <w:lang w:val="en-US" w:eastAsia="zh-CN"/>
        </w:rPr>
      </w:pPr>
      <w:bookmarkStart w:id="149" w:name="OLE_LINK343"/>
      <w:r>
        <w:rPr>
          <w:rFonts w:hint="default"/>
          <w:color w:val="auto"/>
          <w:lang w:val="en-US" w:eastAsia="zh-CN"/>
        </w:rPr>
        <w:t>2.</w:t>
      </w:r>
      <w:r>
        <w:rPr>
          <w:rFonts w:hint="eastAsia"/>
          <w:color w:val="auto"/>
          <w:lang w:val="en-US" w:eastAsia="zh-CN"/>
        </w:rPr>
        <w:t>5</w:t>
      </w:r>
      <w:r>
        <w:rPr>
          <w:rFonts w:hint="default"/>
          <w:color w:val="auto"/>
          <w:lang w:val="en-US" w:eastAsia="zh-CN"/>
        </w:rPr>
        <w:t>.</w:t>
      </w:r>
      <w:r>
        <w:rPr>
          <w:rFonts w:hint="eastAsia"/>
          <w:color w:val="auto"/>
          <w:lang w:val="en-US" w:eastAsia="zh-CN"/>
        </w:rPr>
        <w:t xml:space="preserve">1 </w:t>
      </w:r>
      <w:r>
        <w:rPr>
          <w:rFonts w:hint="default"/>
          <w:color w:val="auto"/>
          <w:lang w:val="en-US" w:eastAsia="zh-CN"/>
        </w:rPr>
        <w:t>生态影响评价等级和评价范围</w:t>
      </w:r>
    </w:p>
    <w:p w14:paraId="48645BF1">
      <w:pPr>
        <w:pStyle w:val="79"/>
        <w:bidi w:val="0"/>
        <w:rPr>
          <w:rFonts w:hint="default"/>
          <w:color w:val="auto"/>
        </w:rPr>
      </w:pPr>
      <w:r>
        <w:rPr>
          <w:rFonts w:hint="default"/>
          <w:color w:val="auto"/>
        </w:rPr>
        <w:t>（1）评价等级</w:t>
      </w:r>
    </w:p>
    <w:p w14:paraId="640F1F7F">
      <w:pPr>
        <w:pStyle w:val="79"/>
        <w:bidi w:val="0"/>
        <w:rPr>
          <w:rFonts w:hint="eastAsia"/>
          <w:color w:val="auto"/>
          <w:lang w:eastAsia="zh-CN"/>
        </w:rPr>
      </w:pPr>
      <w:r>
        <w:rPr>
          <w:rFonts w:hint="default"/>
          <w:color w:val="auto"/>
        </w:rPr>
        <w:t>根据《环境影响评价技术导则</w:t>
      </w:r>
      <w:r>
        <w:rPr>
          <w:rFonts w:hint="eastAsia"/>
          <w:color w:val="auto"/>
          <w:lang w:val="en-US" w:eastAsia="zh-CN"/>
        </w:rPr>
        <w:t xml:space="preserve"> </w:t>
      </w:r>
      <w:r>
        <w:rPr>
          <w:rFonts w:hint="default"/>
          <w:color w:val="auto"/>
        </w:rPr>
        <w:t>生态影响》（HJ19-2022），评价区域内不涉及</w:t>
      </w:r>
      <w:r>
        <w:rPr>
          <w:rFonts w:hint="default"/>
          <w:color w:val="auto"/>
          <w:lang w:val="en-US" w:eastAsia="zh-CN"/>
        </w:rPr>
        <w:t>依法划定各类自然保护地和生态保护红线</w:t>
      </w:r>
      <w:r>
        <w:rPr>
          <w:rFonts w:hint="default"/>
          <w:color w:val="auto"/>
        </w:rPr>
        <w:t>。项目新增永久占地面积</w:t>
      </w:r>
      <w:r>
        <w:rPr>
          <w:rFonts w:hint="eastAsia"/>
          <w:color w:val="auto"/>
          <w:lang w:val="en-US" w:eastAsia="zh-CN"/>
        </w:rPr>
        <w:t>2.52</w:t>
      </w:r>
      <w:r>
        <w:rPr>
          <w:rFonts w:hint="default"/>
          <w:color w:val="auto"/>
        </w:rPr>
        <w:t>hm</w:t>
      </w:r>
      <w:r>
        <w:rPr>
          <w:rFonts w:hint="default"/>
          <w:color w:val="auto"/>
          <w:vertAlign w:val="superscript"/>
          <w:lang w:val="en-US" w:eastAsia="zh-CN"/>
        </w:rPr>
        <w:t>2</w:t>
      </w:r>
      <w:r>
        <w:rPr>
          <w:rFonts w:hint="default"/>
          <w:color w:val="auto"/>
        </w:rPr>
        <w:t>，临时占地面积</w:t>
      </w:r>
      <w:r>
        <w:rPr>
          <w:rFonts w:hint="eastAsia"/>
          <w:color w:val="auto"/>
          <w:lang w:val="en-US" w:eastAsia="zh-CN"/>
        </w:rPr>
        <w:t>24.7</w:t>
      </w:r>
      <w:r>
        <w:rPr>
          <w:rFonts w:hint="default"/>
          <w:color w:val="auto"/>
        </w:rPr>
        <w:t>hm²，总占地面积为</w:t>
      </w:r>
      <w:r>
        <w:rPr>
          <w:rFonts w:hint="eastAsia"/>
          <w:color w:val="auto"/>
          <w:lang w:val="en-US" w:eastAsia="zh-CN"/>
        </w:rPr>
        <w:t>27.22</w:t>
      </w:r>
      <w:r>
        <w:rPr>
          <w:rFonts w:hint="default"/>
          <w:color w:val="auto"/>
        </w:rPr>
        <w:t>hm²</w:t>
      </w:r>
      <w:r>
        <w:rPr>
          <w:rFonts w:hint="default"/>
          <w:color w:val="auto"/>
          <w:lang w:eastAsia="zh-CN"/>
        </w:rPr>
        <w:t>，</w:t>
      </w:r>
      <w:r>
        <w:rPr>
          <w:rFonts w:hint="default"/>
          <w:color w:val="auto"/>
        </w:rPr>
        <w:t>占地面积＜20km</w:t>
      </w:r>
      <w:r>
        <w:rPr>
          <w:rFonts w:hint="default"/>
          <w:color w:val="auto"/>
          <w:vertAlign w:val="superscript"/>
        </w:rPr>
        <w:t>2</w:t>
      </w:r>
      <w:r>
        <w:rPr>
          <w:rFonts w:hint="default"/>
          <w:color w:val="auto"/>
        </w:rPr>
        <w:t>。</w:t>
      </w:r>
      <w:r>
        <w:rPr>
          <w:rFonts w:hint="eastAsia"/>
          <w:color w:val="auto"/>
          <w:lang w:val="en-US" w:eastAsia="zh-CN"/>
        </w:rPr>
        <w:t>本工程</w:t>
      </w:r>
      <w:r>
        <w:rPr>
          <w:rFonts w:hint="default"/>
          <w:color w:val="auto"/>
        </w:rPr>
        <w:t>占地范围内土地利用现状类型为天然牧草地</w:t>
      </w:r>
      <w:r>
        <w:rPr>
          <w:rFonts w:hint="eastAsia"/>
          <w:color w:val="auto"/>
          <w:lang w:eastAsia="zh-CN"/>
        </w:rPr>
        <w:t>。</w:t>
      </w:r>
    </w:p>
    <w:p w14:paraId="755A9128">
      <w:pPr>
        <w:pStyle w:val="79"/>
        <w:bidi w:val="0"/>
        <w:rPr>
          <w:rFonts w:hint="default"/>
          <w:color w:val="auto"/>
        </w:rPr>
      </w:pPr>
      <w:r>
        <w:rPr>
          <w:rFonts w:hint="default"/>
          <w:color w:val="auto"/>
        </w:rPr>
        <w:t>根据《环境影响评价技术导则</w:t>
      </w:r>
      <w:r>
        <w:rPr>
          <w:rFonts w:hint="eastAsia"/>
          <w:color w:val="auto"/>
          <w:lang w:val="en-US" w:eastAsia="zh-CN"/>
        </w:rPr>
        <w:t xml:space="preserve"> </w:t>
      </w:r>
      <w:r>
        <w:rPr>
          <w:rFonts w:hint="default"/>
          <w:color w:val="auto"/>
        </w:rPr>
        <w:t>生态影响》（HJ19-2022）的生态评价等级判定条件，判定过程</w:t>
      </w:r>
      <w:r>
        <w:rPr>
          <w:rFonts w:hint="default"/>
          <w:color w:val="auto"/>
          <w:lang w:eastAsia="zh-CN"/>
        </w:rPr>
        <w:t>，</w:t>
      </w:r>
      <w:r>
        <w:rPr>
          <w:rFonts w:hint="default"/>
          <w:color w:val="auto"/>
        </w:rPr>
        <w:t>见表2.</w:t>
      </w:r>
      <w:r>
        <w:rPr>
          <w:rFonts w:hint="default"/>
          <w:color w:val="auto"/>
          <w:lang w:val="en-US" w:eastAsia="zh-CN"/>
        </w:rPr>
        <w:t>5</w:t>
      </w:r>
      <w:r>
        <w:rPr>
          <w:rFonts w:hint="default"/>
          <w:color w:val="auto"/>
        </w:rPr>
        <w:t>-</w:t>
      </w:r>
      <w:r>
        <w:rPr>
          <w:rFonts w:hint="default"/>
          <w:color w:val="auto"/>
          <w:lang w:val="en-US" w:eastAsia="zh-CN"/>
        </w:rPr>
        <w:t>7</w:t>
      </w:r>
      <w:r>
        <w:rPr>
          <w:rFonts w:hint="default"/>
          <w:color w:val="auto"/>
        </w:rPr>
        <w:t>。根据判定可知，</w:t>
      </w:r>
      <w:r>
        <w:rPr>
          <w:rFonts w:hint="default"/>
          <w:color w:val="auto"/>
          <w:lang w:val="en-US" w:eastAsia="zh-CN"/>
        </w:rPr>
        <w:t>本项目属于除本条a）、b）、c）、d）、e）、f）以外的情况，</w:t>
      </w:r>
      <w:r>
        <w:rPr>
          <w:rFonts w:hint="default"/>
          <w:color w:val="auto"/>
        </w:rPr>
        <w:t>因此本工程生态环境影响评价工作等级确定为三级。生态评价等级判定过程</w:t>
      </w:r>
      <w:r>
        <w:rPr>
          <w:rFonts w:hint="default"/>
          <w:color w:val="auto"/>
          <w:lang w:eastAsia="zh-CN"/>
        </w:rPr>
        <w:t>，</w:t>
      </w:r>
      <w:r>
        <w:rPr>
          <w:rFonts w:hint="default"/>
          <w:color w:val="auto"/>
          <w:lang w:val="en-US" w:eastAsia="zh-CN"/>
        </w:rPr>
        <w:t>见</w:t>
      </w:r>
      <w:r>
        <w:rPr>
          <w:rFonts w:hint="default"/>
          <w:color w:val="auto"/>
        </w:rPr>
        <w:t>表2.5-</w:t>
      </w:r>
      <w:r>
        <w:rPr>
          <w:rFonts w:hint="eastAsia"/>
          <w:color w:val="auto"/>
          <w:lang w:val="en-US" w:eastAsia="zh-CN"/>
        </w:rPr>
        <w:t>1</w:t>
      </w:r>
      <w:r>
        <w:rPr>
          <w:rFonts w:hint="default"/>
          <w:color w:val="auto"/>
          <w:lang w:eastAsia="zh-CN"/>
        </w:rPr>
        <w:t>。</w:t>
      </w:r>
    </w:p>
    <w:p w14:paraId="3F6850FF">
      <w:pPr>
        <w:pStyle w:val="61"/>
        <w:bidi w:val="0"/>
        <w:jc w:val="both"/>
        <w:rPr>
          <w:rFonts w:hint="default"/>
          <w:color w:val="auto"/>
          <w:lang w:val="en-US" w:eastAsia="zh-CN"/>
        </w:rPr>
      </w:pPr>
      <w:r>
        <w:rPr>
          <w:rFonts w:hint="default"/>
          <w:color w:val="auto"/>
          <w:lang w:val="en-US" w:eastAsia="zh-CN"/>
        </w:rPr>
        <w:t>表2.</w:t>
      </w:r>
      <w:r>
        <w:rPr>
          <w:rFonts w:hint="eastAsia"/>
          <w:color w:val="auto"/>
          <w:lang w:val="en-US" w:eastAsia="zh-CN"/>
        </w:rPr>
        <w:t>5</w:t>
      </w:r>
      <w:r>
        <w:rPr>
          <w:rFonts w:hint="default"/>
          <w:color w:val="auto"/>
          <w:lang w:val="en-US" w:eastAsia="zh-CN"/>
        </w:rPr>
        <w:t>-</w:t>
      </w:r>
      <w:r>
        <w:rPr>
          <w:rFonts w:hint="eastAsia"/>
          <w:color w:val="auto"/>
          <w:lang w:val="en-US" w:eastAsia="zh-CN"/>
        </w:rPr>
        <w:t xml:space="preserve">1  </w:t>
      </w:r>
      <w:r>
        <w:rPr>
          <w:rFonts w:hint="default"/>
          <w:color w:val="auto"/>
          <w:lang w:val="en-US" w:eastAsia="zh-CN"/>
        </w:rPr>
        <w:t>生态评价等级判定过程</w:t>
      </w:r>
    </w:p>
    <w:tbl>
      <w:tblPr>
        <w:tblStyle w:val="36"/>
        <w:tblW w:w="8600" w:type="dxa"/>
        <w:tblInd w:w="117"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07"/>
        <w:gridCol w:w="5339"/>
        <w:gridCol w:w="1470"/>
        <w:gridCol w:w="1184"/>
      </w:tblGrid>
      <w:tr w14:paraId="07DDD0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607" w:type="dxa"/>
            <w:tcBorders>
              <w:tl2br w:val="nil"/>
              <w:tr2bl w:val="nil"/>
            </w:tcBorders>
            <w:noWrap w:val="0"/>
            <w:vAlign w:val="center"/>
          </w:tcPr>
          <w:p w14:paraId="62CBAB73">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baseline"/>
              <w:rPr>
                <w:rFonts w:hint="default" w:ascii="Times New Roman" w:hAnsi="Times New Roman" w:eastAsia="宋体" w:cs="Times New Roman"/>
                <w:bCs/>
                <w:color w:val="auto"/>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bidi="ar-SA"/>
              </w:rPr>
              <w:t>序号</w:t>
            </w:r>
          </w:p>
        </w:tc>
        <w:tc>
          <w:tcPr>
            <w:tcW w:w="5339" w:type="dxa"/>
            <w:tcBorders>
              <w:tl2br w:val="nil"/>
              <w:tr2bl w:val="nil"/>
            </w:tcBorders>
            <w:noWrap w:val="0"/>
            <w:vAlign w:val="center"/>
          </w:tcPr>
          <w:p w14:paraId="293B74F3">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baseline"/>
              <w:rPr>
                <w:rFonts w:hint="default" w:ascii="Times New Roman" w:hAnsi="Times New Roman" w:eastAsia="宋体" w:cs="Times New Roman"/>
                <w:bCs/>
                <w:color w:val="auto"/>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bidi="ar-SA"/>
              </w:rPr>
              <w:t>生态评价等级判定要求</w:t>
            </w:r>
          </w:p>
        </w:tc>
        <w:tc>
          <w:tcPr>
            <w:tcW w:w="1470" w:type="dxa"/>
            <w:tcBorders>
              <w:tl2br w:val="nil"/>
              <w:tr2bl w:val="nil"/>
            </w:tcBorders>
            <w:noWrap w:val="0"/>
            <w:vAlign w:val="center"/>
          </w:tcPr>
          <w:p w14:paraId="2998D559">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baseline"/>
              <w:rPr>
                <w:rFonts w:hint="default" w:ascii="Times New Roman" w:hAnsi="Times New Roman" w:eastAsia="宋体" w:cs="Times New Roman"/>
                <w:bCs/>
                <w:color w:val="auto"/>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bidi="ar-SA"/>
              </w:rPr>
              <w:t>本工程情况</w:t>
            </w:r>
          </w:p>
        </w:tc>
        <w:tc>
          <w:tcPr>
            <w:tcW w:w="1184" w:type="dxa"/>
            <w:tcBorders>
              <w:tl2br w:val="nil"/>
              <w:tr2bl w:val="nil"/>
            </w:tcBorders>
            <w:noWrap w:val="0"/>
            <w:vAlign w:val="center"/>
          </w:tcPr>
          <w:p w14:paraId="2B37A2AB">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baseline"/>
              <w:rPr>
                <w:rFonts w:hint="default" w:ascii="Times New Roman" w:hAnsi="Times New Roman" w:eastAsia="宋体" w:cs="Times New Roman"/>
                <w:bCs/>
                <w:color w:val="auto"/>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bidi="ar-SA"/>
              </w:rPr>
              <w:t>生态影响评价等级</w:t>
            </w:r>
          </w:p>
        </w:tc>
      </w:tr>
      <w:tr w14:paraId="3F1F35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607" w:type="dxa"/>
            <w:tcBorders>
              <w:tl2br w:val="nil"/>
              <w:tr2bl w:val="nil"/>
            </w:tcBorders>
            <w:noWrap w:val="0"/>
            <w:vAlign w:val="center"/>
          </w:tcPr>
          <w:p w14:paraId="0B3992B2">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baseline"/>
              <w:rPr>
                <w:rFonts w:hint="default" w:ascii="Times New Roman" w:hAnsi="Times New Roman" w:eastAsia="宋体" w:cs="Times New Roman"/>
                <w:bCs/>
                <w:color w:val="auto"/>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bidi="ar-SA"/>
              </w:rPr>
              <w:t>a</w:t>
            </w:r>
          </w:p>
        </w:tc>
        <w:tc>
          <w:tcPr>
            <w:tcW w:w="5339" w:type="dxa"/>
            <w:tcBorders>
              <w:tl2br w:val="nil"/>
              <w:tr2bl w:val="nil"/>
            </w:tcBorders>
            <w:noWrap w:val="0"/>
            <w:vAlign w:val="center"/>
          </w:tcPr>
          <w:p w14:paraId="65810E6D">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left"/>
              <w:textAlignment w:val="baseline"/>
              <w:rPr>
                <w:rFonts w:hint="default" w:ascii="Times New Roman" w:hAnsi="Times New Roman" w:eastAsia="宋体" w:cs="Times New Roman"/>
                <w:bCs/>
                <w:color w:val="auto"/>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bidi="ar-SA"/>
              </w:rPr>
              <w:t>涉及国家公园、自然保护区、世界自然遗产、重要生境时，评价等级为一级；</w:t>
            </w:r>
          </w:p>
        </w:tc>
        <w:tc>
          <w:tcPr>
            <w:tcW w:w="1470" w:type="dxa"/>
            <w:tcBorders>
              <w:tl2br w:val="nil"/>
              <w:tr2bl w:val="nil"/>
            </w:tcBorders>
            <w:noWrap w:val="0"/>
            <w:vAlign w:val="center"/>
          </w:tcPr>
          <w:p w14:paraId="0FA2A451">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不涉及</w:t>
            </w:r>
          </w:p>
        </w:tc>
        <w:tc>
          <w:tcPr>
            <w:tcW w:w="1184" w:type="dxa"/>
            <w:tcBorders>
              <w:tl2br w:val="nil"/>
              <w:tr2bl w:val="nil"/>
            </w:tcBorders>
            <w:noWrap w:val="0"/>
            <w:vAlign w:val="center"/>
          </w:tcPr>
          <w:p w14:paraId="53959DA6">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r>
      <w:tr w14:paraId="1F7490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607" w:type="dxa"/>
            <w:tcBorders>
              <w:tl2br w:val="nil"/>
              <w:tr2bl w:val="nil"/>
            </w:tcBorders>
            <w:noWrap w:val="0"/>
            <w:vAlign w:val="center"/>
          </w:tcPr>
          <w:p w14:paraId="7CEEF46B">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baseline"/>
              <w:rPr>
                <w:rFonts w:hint="default" w:ascii="Times New Roman" w:hAnsi="Times New Roman" w:eastAsia="宋体" w:cs="Times New Roman"/>
                <w:bCs/>
                <w:color w:val="auto"/>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bidi="ar-SA"/>
              </w:rPr>
              <w:t>b</w:t>
            </w:r>
          </w:p>
        </w:tc>
        <w:tc>
          <w:tcPr>
            <w:tcW w:w="5339" w:type="dxa"/>
            <w:tcBorders>
              <w:tl2br w:val="nil"/>
              <w:tr2bl w:val="nil"/>
            </w:tcBorders>
            <w:noWrap w:val="0"/>
            <w:vAlign w:val="center"/>
          </w:tcPr>
          <w:p w14:paraId="2587E0AB">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left"/>
              <w:textAlignment w:val="baseline"/>
              <w:rPr>
                <w:rFonts w:hint="default" w:ascii="Times New Roman" w:hAnsi="Times New Roman" w:eastAsia="宋体" w:cs="Times New Roman"/>
                <w:bCs/>
                <w:color w:val="auto"/>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bidi="ar-SA"/>
              </w:rPr>
              <w:t>涉及自然公园时，评价等级为二级；</w:t>
            </w:r>
          </w:p>
        </w:tc>
        <w:tc>
          <w:tcPr>
            <w:tcW w:w="1470" w:type="dxa"/>
            <w:tcBorders>
              <w:tl2br w:val="nil"/>
              <w:tr2bl w:val="nil"/>
            </w:tcBorders>
            <w:noWrap w:val="0"/>
            <w:vAlign w:val="center"/>
          </w:tcPr>
          <w:p w14:paraId="5840DCA6">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不涉及</w:t>
            </w:r>
          </w:p>
        </w:tc>
        <w:tc>
          <w:tcPr>
            <w:tcW w:w="1184" w:type="dxa"/>
            <w:tcBorders>
              <w:tl2br w:val="nil"/>
              <w:tr2bl w:val="nil"/>
            </w:tcBorders>
            <w:noWrap w:val="0"/>
            <w:vAlign w:val="center"/>
          </w:tcPr>
          <w:p w14:paraId="7CDB28F6">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r>
      <w:tr w14:paraId="03E51C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607" w:type="dxa"/>
            <w:tcBorders>
              <w:tl2br w:val="nil"/>
              <w:tr2bl w:val="nil"/>
            </w:tcBorders>
            <w:noWrap w:val="0"/>
            <w:vAlign w:val="center"/>
          </w:tcPr>
          <w:p w14:paraId="2AA95EBA">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baseline"/>
              <w:rPr>
                <w:rFonts w:hint="default" w:ascii="Times New Roman" w:hAnsi="Times New Roman" w:eastAsia="宋体" w:cs="Times New Roman"/>
                <w:bCs/>
                <w:color w:val="auto"/>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bidi="ar-SA"/>
              </w:rPr>
              <w:t>c</w:t>
            </w:r>
          </w:p>
        </w:tc>
        <w:tc>
          <w:tcPr>
            <w:tcW w:w="5339" w:type="dxa"/>
            <w:tcBorders>
              <w:tl2br w:val="nil"/>
              <w:tr2bl w:val="nil"/>
            </w:tcBorders>
            <w:noWrap w:val="0"/>
            <w:vAlign w:val="center"/>
          </w:tcPr>
          <w:p w14:paraId="608B81F0">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left"/>
              <w:textAlignment w:val="baseline"/>
              <w:rPr>
                <w:rFonts w:hint="default" w:ascii="Times New Roman" w:hAnsi="Times New Roman" w:eastAsia="宋体" w:cs="Times New Roman"/>
                <w:bCs/>
                <w:color w:val="auto"/>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bidi="ar-SA"/>
              </w:rPr>
              <w:t>涉及生态保护红线时，评价等级不低于二级；</w:t>
            </w:r>
          </w:p>
        </w:tc>
        <w:tc>
          <w:tcPr>
            <w:tcW w:w="1470" w:type="dxa"/>
            <w:tcBorders>
              <w:tl2br w:val="nil"/>
              <w:tr2bl w:val="nil"/>
            </w:tcBorders>
            <w:noWrap w:val="0"/>
            <w:vAlign w:val="center"/>
          </w:tcPr>
          <w:p w14:paraId="3CF5B8B0">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不涉及</w:t>
            </w:r>
          </w:p>
        </w:tc>
        <w:tc>
          <w:tcPr>
            <w:tcW w:w="1184" w:type="dxa"/>
            <w:tcBorders>
              <w:tl2br w:val="nil"/>
              <w:tr2bl w:val="nil"/>
            </w:tcBorders>
            <w:noWrap w:val="0"/>
            <w:vAlign w:val="center"/>
          </w:tcPr>
          <w:p w14:paraId="2FC51AAA">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r>
      <w:tr w14:paraId="54CD75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607" w:type="dxa"/>
            <w:tcBorders>
              <w:tl2br w:val="nil"/>
              <w:tr2bl w:val="nil"/>
            </w:tcBorders>
            <w:noWrap w:val="0"/>
            <w:vAlign w:val="center"/>
          </w:tcPr>
          <w:p w14:paraId="36FAB583">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baseline"/>
              <w:rPr>
                <w:rFonts w:hint="default" w:ascii="Times New Roman" w:hAnsi="Times New Roman" w:eastAsia="宋体" w:cs="Times New Roman"/>
                <w:bCs/>
                <w:color w:val="auto"/>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bidi="ar-SA"/>
              </w:rPr>
              <w:t>d</w:t>
            </w:r>
          </w:p>
        </w:tc>
        <w:tc>
          <w:tcPr>
            <w:tcW w:w="5339" w:type="dxa"/>
            <w:tcBorders>
              <w:tl2br w:val="nil"/>
              <w:tr2bl w:val="nil"/>
            </w:tcBorders>
            <w:noWrap w:val="0"/>
            <w:vAlign w:val="center"/>
          </w:tcPr>
          <w:p w14:paraId="66427A36">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left"/>
              <w:textAlignment w:val="baseline"/>
              <w:rPr>
                <w:rFonts w:hint="default" w:ascii="Times New Roman" w:hAnsi="Times New Roman" w:eastAsia="宋体" w:cs="Times New Roman"/>
                <w:bCs/>
                <w:color w:val="auto"/>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bidi="ar-SA"/>
              </w:rPr>
              <w:t>根据HJ2.3判断属于水文要素影响型且地表水评价等级不低于二级的建设项目，生态影响评价等级不低于二级；</w:t>
            </w:r>
          </w:p>
        </w:tc>
        <w:tc>
          <w:tcPr>
            <w:tcW w:w="1470" w:type="dxa"/>
            <w:tcBorders>
              <w:tl2br w:val="nil"/>
              <w:tr2bl w:val="nil"/>
            </w:tcBorders>
            <w:noWrap w:val="0"/>
            <w:vAlign w:val="center"/>
          </w:tcPr>
          <w:p w14:paraId="3388C4B9">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不涉及</w:t>
            </w:r>
          </w:p>
        </w:tc>
        <w:tc>
          <w:tcPr>
            <w:tcW w:w="1184" w:type="dxa"/>
            <w:tcBorders>
              <w:tl2br w:val="nil"/>
              <w:tr2bl w:val="nil"/>
            </w:tcBorders>
            <w:noWrap w:val="0"/>
            <w:vAlign w:val="center"/>
          </w:tcPr>
          <w:p w14:paraId="7D2D93C3">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r>
      <w:tr w14:paraId="028C24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607" w:type="dxa"/>
            <w:tcBorders>
              <w:tl2br w:val="nil"/>
              <w:tr2bl w:val="nil"/>
            </w:tcBorders>
            <w:noWrap w:val="0"/>
            <w:vAlign w:val="center"/>
          </w:tcPr>
          <w:p w14:paraId="48510DF5">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baseline"/>
              <w:rPr>
                <w:rFonts w:hint="default" w:ascii="Times New Roman" w:hAnsi="Times New Roman" w:eastAsia="宋体" w:cs="Times New Roman"/>
                <w:bCs/>
                <w:color w:val="auto"/>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bidi="ar-SA"/>
              </w:rPr>
              <w:t>e</w:t>
            </w:r>
          </w:p>
        </w:tc>
        <w:tc>
          <w:tcPr>
            <w:tcW w:w="5339" w:type="dxa"/>
            <w:tcBorders>
              <w:tl2br w:val="nil"/>
              <w:tr2bl w:val="nil"/>
            </w:tcBorders>
            <w:noWrap w:val="0"/>
            <w:vAlign w:val="center"/>
          </w:tcPr>
          <w:p w14:paraId="15089F9F">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left"/>
              <w:textAlignment w:val="baseline"/>
              <w:rPr>
                <w:rFonts w:hint="default" w:ascii="Times New Roman" w:hAnsi="Times New Roman" w:eastAsia="宋体" w:cs="Times New Roman"/>
                <w:bCs/>
                <w:color w:val="auto"/>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bidi="ar-SA"/>
              </w:rPr>
              <w:t>根据HJ610、HJ964判断地下水水位或土壤影响范围内分布有天然林、公益林、湿地等生态保护目标的建设项目，生态影响评价等级不低于二级；</w:t>
            </w:r>
          </w:p>
        </w:tc>
        <w:tc>
          <w:tcPr>
            <w:tcW w:w="1470" w:type="dxa"/>
            <w:tcBorders>
              <w:tl2br w:val="nil"/>
              <w:tr2bl w:val="nil"/>
            </w:tcBorders>
            <w:noWrap w:val="0"/>
            <w:vAlign w:val="center"/>
          </w:tcPr>
          <w:p w14:paraId="5721799F">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不涉及</w:t>
            </w:r>
          </w:p>
        </w:tc>
        <w:tc>
          <w:tcPr>
            <w:tcW w:w="1184" w:type="dxa"/>
            <w:tcBorders>
              <w:tl2br w:val="nil"/>
              <w:tr2bl w:val="nil"/>
            </w:tcBorders>
            <w:noWrap w:val="0"/>
            <w:vAlign w:val="center"/>
          </w:tcPr>
          <w:p w14:paraId="4DC0BE04">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r>
      <w:tr w14:paraId="5DCFFF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607" w:type="dxa"/>
            <w:tcBorders>
              <w:tl2br w:val="nil"/>
              <w:tr2bl w:val="nil"/>
            </w:tcBorders>
            <w:noWrap w:val="0"/>
            <w:vAlign w:val="center"/>
          </w:tcPr>
          <w:p w14:paraId="2E0B16B3">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baseline"/>
              <w:rPr>
                <w:rFonts w:hint="default" w:ascii="Times New Roman" w:hAnsi="Times New Roman" w:eastAsia="宋体" w:cs="Times New Roman"/>
                <w:bCs/>
                <w:color w:val="auto"/>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bidi="ar-SA"/>
              </w:rPr>
              <w:t>f</w:t>
            </w:r>
          </w:p>
        </w:tc>
        <w:tc>
          <w:tcPr>
            <w:tcW w:w="5339" w:type="dxa"/>
            <w:tcBorders>
              <w:tl2br w:val="nil"/>
              <w:tr2bl w:val="nil"/>
            </w:tcBorders>
            <w:noWrap w:val="0"/>
            <w:vAlign w:val="center"/>
          </w:tcPr>
          <w:p w14:paraId="521E27B7">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left"/>
              <w:textAlignment w:val="baseline"/>
              <w:rPr>
                <w:rFonts w:hint="default" w:ascii="Times New Roman" w:hAnsi="Times New Roman" w:eastAsia="宋体" w:cs="Times New Roman"/>
                <w:bCs/>
                <w:color w:val="auto"/>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bidi="ar-SA"/>
              </w:rPr>
              <w:t>当工程占地规模大于20km</w:t>
            </w:r>
            <w:r>
              <w:rPr>
                <w:rFonts w:hint="default" w:ascii="Times New Roman" w:hAnsi="Times New Roman" w:eastAsia="宋体" w:cs="Times New Roman"/>
                <w:bCs/>
                <w:color w:val="auto"/>
                <w:sz w:val="21"/>
                <w:szCs w:val="21"/>
                <w:highlight w:val="none"/>
                <w:vertAlign w:val="superscript"/>
                <w:lang w:val="en-US" w:eastAsia="zh-CN" w:bidi="ar-SA"/>
              </w:rPr>
              <w:t>2</w:t>
            </w:r>
            <w:r>
              <w:rPr>
                <w:rFonts w:hint="default" w:ascii="Times New Roman" w:hAnsi="Times New Roman" w:eastAsia="宋体" w:cs="Times New Roman"/>
                <w:bCs/>
                <w:color w:val="auto"/>
                <w:sz w:val="21"/>
                <w:szCs w:val="21"/>
                <w:highlight w:val="none"/>
                <w:lang w:val="en-US" w:eastAsia="zh-CN" w:bidi="ar-SA"/>
              </w:rPr>
              <w:t>时（包括永久和临时占用陆域和水域），评价等级不低于二级；改扩建项目的占地范围以新增占地（包括陆域和水域）确定；</w:t>
            </w:r>
          </w:p>
        </w:tc>
        <w:tc>
          <w:tcPr>
            <w:tcW w:w="1470" w:type="dxa"/>
            <w:tcBorders>
              <w:tl2br w:val="nil"/>
              <w:tr2bl w:val="nil"/>
            </w:tcBorders>
            <w:noWrap w:val="0"/>
            <w:vAlign w:val="center"/>
          </w:tcPr>
          <w:p w14:paraId="47427496">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本工程占地面积＜</w:t>
            </w:r>
            <w:r>
              <w:rPr>
                <w:rFonts w:hint="eastAsia" w:cs="Times New Roman"/>
                <w:color w:val="auto"/>
                <w:sz w:val="21"/>
                <w:szCs w:val="21"/>
                <w:highlight w:val="none"/>
                <w:lang w:val="en-US" w:eastAsia="zh-CN" w:bidi="ar-SA"/>
              </w:rPr>
              <w:t>2</w:t>
            </w:r>
            <w:r>
              <w:rPr>
                <w:rFonts w:hint="default" w:ascii="Times New Roman" w:hAnsi="Times New Roman" w:eastAsia="宋体" w:cs="Times New Roman"/>
                <w:color w:val="auto"/>
                <w:sz w:val="21"/>
                <w:szCs w:val="21"/>
                <w:highlight w:val="none"/>
                <w:lang w:val="en-US" w:eastAsia="zh-CN" w:bidi="ar-SA"/>
              </w:rPr>
              <w:t>0km</w:t>
            </w:r>
            <w:r>
              <w:rPr>
                <w:rFonts w:hint="default" w:ascii="Times New Roman" w:hAnsi="Times New Roman" w:eastAsia="宋体" w:cs="Times New Roman"/>
                <w:color w:val="auto"/>
                <w:sz w:val="21"/>
                <w:szCs w:val="21"/>
                <w:highlight w:val="none"/>
                <w:vertAlign w:val="superscript"/>
                <w:lang w:val="en-US" w:eastAsia="zh-CN" w:bidi="ar-SA"/>
              </w:rPr>
              <w:t>2</w:t>
            </w:r>
          </w:p>
        </w:tc>
        <w:tc>
          <w:tcPr>
            <w:tcW w:w="1184" w:type="dxa"/>
            <w:tcBorders>
              <w:tl2br w:val="nil"/>
              <w:tr2bl w:val="nil"/>
            </w:tcBorders>
            <w:noWrap w:val="0"/>
            <w:vAlign w:val="center"/>
          </w:tcPr>
          <w:p w14:paraId="2D948204">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r>
      <w:tr w14:paraId="3D7272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607" w:type="dxa"/>
            <w:tcBorders>
              <w:tl2br w:val="nil"/>
              <w:tr2bl w:val="nil"/>
            </w:tcBorders>
            <w:noWrap w:val="0"/>
            <w:vAlign w:val="center"/>
          </w:tcPr>
          <w:p w14:paraId="50CC6EF1">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baseline"/>
              <w:rPr>
                <w:rFonts w:hint="default" w:ascii="Times New Roman" w:hAnsi="Times New Roman" w:eastAsia="宋体" w:cs="Times New Roman"/>
                <w:bCs/>
                <w:color w:val="auto"/>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bidi="ar-SA"/>
              </w:rPr>
              <w:t>g</w:t>
            </w:r>
          </w:p>
        </w:tc>
        <w:tc>
          <w:tcPr>
            <w:tcW w:w="5339" w:type="dxa"/>
            <w:tcBorders>
              <w:tl2br w:val="nil"/>
              <w:tr2bl w:val="nil"/>
            </w:tcBorders>
            <w:noWrap w:val="0"/>
            <w:vAlign w:val="center"/>
          </w:tcPr>
          <w:p w14:paraId="1F7B2D08">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left"/>
              <w:textAlignment w:val="baseline"/>
              <w:rPr>
                <w:rFonts w:hint="default" w:ascii="Times New Roman" w:hAnsi="Times New Roman" w:eastAsia="宋体" w:cs="Times New Roman"/>
                <w:bCs/>
                <w:color w:val="auto"/>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bidi="ar-SA"/>
              </w:rPr>
              <w:t>除本条a~f以外的情况，评价等级为三级；</w:t>
            </w:r>
          </w:p>
        </w:tc>
        <w:tc>
          <w:tcPr>
            <w:tcW w:w="1470" w:type="dxa"/>
            <w:tcBorders>
              <w:tl2br w:val="nil"/>
              <w:tr2bl w:val="nil"/>
            </w:tcBorders>
            <w:noWrap w:val="0"/>
            <w:vAlign w:val="center"/>
          </w:tcPr>
          <w:p w14:paraId="2FE66BC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baseline"/>
              <w:rPr>
                <w:rFonts w:hint="default" w:ascii="Times New Roman" w:hAnsi="Times New Roman" w:cs="Times New Roman"/>
                <w:bCs/>
                <w:color w:val="auto"/>
                <w:kern w:val="0"/>
                <w:sz w:val="21"/>
                <w:szCs w:val="21"/>
                <w:highlight w:val="none"/>
              </w:rPr>
            </w:pPr>
            <w:r>
              <w:rPr>
                <w:rFonts w:hint="default" w:ascii="Times New Roman" w:hAnsi="Times New Roman" w:cs="Times New Roman"/>
                <w:color w:val="auto"/>
                <w:kern w:val="0"/>
                <w:sz w:val="21"/>
                <w:szCs w:val="21"/>
                <w:highlight w:val="none"/>
              </w:rPr>
              <w:t>不涉及</w:t>
            </w:r>
          </w:p>
        </w:tc>
        <w:tc>
          <w:tcPr>
            <w:tcW w:w="1184" w:type="dxa"/>
            <w:tcBorders>
              <w:tl2br w:val="nil"/>
              <w:tr2bl w:val="nil"/>
            </w:tcBorders>
            <w:noWrap w:val="0"/>
            <w:vAlign w:val="center"/>
          </w:tcPr>
          <w:p w14:paraId="39501875">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baseline"/>
              <w:rPr>
                <w:rFonts w:hint="eastAsia" w:ascii="Times New Roman" w:hAnsi="Times New Roman" w:eastAsia="宋体" w:cs="Times New Roman"/>
                <w:bCs/>
                <w:color w:val="auto"/>
                <w:kern w:val="0"/>
                <w:sz w:val="21"/>
                <w:szCs w:val="21"/>
                <w:highlight w:val="none"/>
                <w:lang w:eastAsia="zh-CN"/>
              </w:rPr>
            </w:pPr>
            <w:r>
              <w:rPr>
                <w:rFonts w:hint="eastAsia" w:ascii="Times New Roman" w:hAnsi="Times New Roman" w:eastAsia="宋体" w:cs="Times New Roman"/>
                <w:bCs/>
                <w:color w:val="auto"/>
                <w:kern w:val="2"/>
                <w:sz w:val="21"/>
                <w:szCs w:val="21"/>
                <w:highlight w:val="none"/>
                <w:lang w:val="en-US" w:eastAsia="zh-CN" w:bidi="ar-SA"/>
              </w:rPr>
              <w:t>/</w:t>
            </w:r>
          </w:p>
        </w:tc>
      </w:tr>
      <w:tr w14:paraId="7BDFE5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607" w:type="dxa"/>
            <w:tcBorders>
              <w:tl2br w:val="nil"/>
              <w:tr2bl w:val="nil"/>
            </w:tcBorders>
            <w:shd w:val="clear" w:color="auto" w:fill="auto"/>
            <w:noWrap w:val="0"/>
            <w:vAlign w:val="center"/>
          </w:tcPr>
          <w:p w14:paraId="5C7522C3">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baseline"/>
              <w:rPr>
                <w:rFonts w:hint="default" w:ascii="Times New Roman" w:hAnsi="Times New Roman" w:eastAsia="宋体" w:cs="Times New Roman"/>
                <w:bCs/>
                <w:color w:val="auto"/>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bidi="ar-SA"/>
              </w:rPr>
              <w:t>h</w:t>
            </w:r>
          </w:p>
        </w:tc>
        <w:tc>
          <w:tcPr>
            <w:tcW w:w="5339" w:type="dxa"/>
            <w:tcBorders>
              <w:tl2br w:val="nil"/>
              <w:tr2bl w:val="nil"/>
            </w:tcBorders>
            <w:shd w:val="clear" w:color="auto" w:fill="auto"/>
            <w:noWrap w:val="0"/>
            <w:vAlign w:val="center"/>
          </w:tcPr>
          <w:p w14:paraId="6D0758F1">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left"/>
              <w:textAlignment w:val="baseline"/>
              <w:rPr>
                <w:rFonts w:hint="default" w:ascii="Times New Roman" w:hAnsi="Times New Roman" w:eastAsia="宋体" w:cs="Times New Roman"/>
                <w:bCs/>
                <w:color w:val="auto"/>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bidi="ar-SA"/>
              </w:rPr>
              <w:t>当评价等级判定同时符合上述多种情况时，应采用其中最高的评价等级</w:t>
            </w:r>
          </w:p>
        </w:tc>
        <w:tc>
          <w:tcPr>
            <w:tcW w:w="1470" w:type="dxa"/>
            <w:tcBorders>
              <w:tl2br w:val="nil"/>
              <w:tr2bl w:val="nil"/>
            </w:tcBorders>
            <w:shd w:val="clear" w:color="auto" w:fill="auto"/>
            <w:noWrap w:val="0"/>
            <w:vAlign w:val="center"/>
          </w:tcPr>
          <w:p w14:paraId="724C9E99">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baseline"/>
              <w:rPr>
                <w:rFonts w:hint="default" w:ascii="Times New Roman" w:hAnsi="Times New Roman" w:eastAsia="宋体" w:cs="Times New Roman"/>
                <w:bCs/>
                <w:color w:val="auto"/>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bidi="ar-SA"/>
              </w:rPr>
              <w:t>/</w:t>
            </w:r>
          </w:p>
        </w:tc>
        <w:tc>
          <w:tcPr>
            <w:tcW w:w="1184" w:type="dxa"/>
            <w:tcBorders>
              <w:tl2br w:val="nil"/>
              <w:tr2bl w:val="nil"/>
            </w:tcBorders>
            <w:shd w:val="clear" w:color="auto" w:fill="auto"/>
            <w:noWrap w:val="0"/>
            <w:vAlign w:val="center"/>
          </w:tcPr>
          <w:p w14:paraId="2A6C8C65">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baseline"/>
              <w:rPr>
                <w:rFonts w:hint="default" w:ascii="Times New Roman" w:hAnsi="Times New Roman" w:eastAsia="宋体" w:cs="Times New Roman"/>
                <w:bCs/>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三级</w:t>
            </w:r>
          </w:p>
        </w:tc>
      </w:tr>
    </w:tbl>
    <w:p w14:paraId="2D7D6C12">
      <w:pPr>
        <w:pStyle w:val="79"/>
        <w:bidi w:val="0"/>
        <w:rPr>
          <w:rFonts w:hint="default"/>
          <w:color w:val="auto"/>
        </w:rPr>
      </w:pPr>
      <w:r>
        <w:rPr>
          <w:rFonts w:hint="default"/>
          <w:color w:val="auto"/>
        </w:rPr>
        <w:t>（2）评价范围</w:t>
      </w:r>
    </w:p>
    <w:p w14:paraId="621E55DD">
      <w:pPr>
        <w:pStyle w:val="79"/>
        <w:bidi w:val="0"/>
        <w:rPr>
          <w:rFonts w:hint="default"/>
          <w:color w:val="auto"/>
        </w:rPr>
      </w:pPr>
      <w:r>
        <w:rPr>
          <w:rFonts w:hint="default"/>
          <w:color w:val="auto"/>
          <w:lang w:val="en-US" w:eastAsia="zh-CN"/>
        </w:rPr>
        <w:t>油田</w:t>
      </w:r>
      <w:r>
        <w:rPr>
          <w:rFonts w:hint="default"/>
          <w:color w:val="auto"/>
        </w:rPr>
        <w:t>开发工程具有分布面积广的特点，且基本呈点状、线状分布，故其对环境影响仅限于各站场及内部输送管线较近的范围。根据《环境影响评价技术导则</w:t>
      </w:r>
      <w:r>
        <w:rPr>
          <w:rFonts w:hint="default"/>
          <w:color w:val="auto"/>
          <w:lang w:val="en-US" w:eastAsia="zh-CN"/>
        </w:rPr>
        <w:t xml:space="preserve"> </w:t>
      </w:r>
      <w:r>
        <w:rPr>
          <w:rFonts w:hint="default"/>
          <w:color w:val="auto"/>
        </w:rPr>
        <w:t>生态影响》（HJ19-2022）</w:t>
      </w:r>
      <w:r>
        <w:rPr>
          <w:rFonts w:hint="default"/>
          <w:color w:val="auto"/>
          <w:lang w:val="en-US" w:eastAsia="zh-CN"/>
        </w:rPr>
        <w:t>、</w:t>
      </w:r>
      <w:r>
        <w:rPr>
          <w:rFonts w:hint="default"/>
          <w:color w:val="auto"/>
        </w:rPr>
        <w:t>根据《环境影响评价技术导则</w:t>
      </w:r>
      <w:r>
        <w:rPr>
          <w:rFonts w:hint="default"/>
          <w:color w:val="auto"/>
          <w:lang w:val="en-US" w:eastAsia="zh-CN"/>
        </w:rPr>
        <w:t xml:space="preserve"> 陆地石油天然气开发建设项目</w:t>
      </w:r>
      <w:r>
        <w:rPr>
          <w:rFonts w:hint="default"/>
          <w:color w:val="auto"/>
        </w:rPr>
        <w:t>》（HJ</w:t>
      </w:r>
      <w:r>
        <w:rPr>
          <w:rFonts w:hint="default"/>
          <w:color w:val="auto"/>
          <w:lang w:val="en-US" w:eastAsia="zh-CN"/>
        </w:rPr>
        <w:t>349</w:t>
      </w:r>
      <w:r>
        <w:rPr>
          <w:rFonts w:hint="default"/>
          <w:color w:val="auto"/>
        </w:rPr>
        <w:t>-202</w:t>
      </w:r>
      <w:r>
        <w:rPr>
          <w:rFonts w:hint="default"/>
          <w:color w:val="auto"/>
          <w:lang w:val="en-US" w:eastAsia="zh-CN"/>
        </w:rPr>
        <w:t>3</w:t>
      </w:r>
      <w:r>
        <w:rPr>
          <w:rFonts w:hint="default"/>
          <w:color w:val="auto"/>
        </w:rPr>
        <w:t>），考虑</w:t>
      </w:r>
      <w:r>
        <w:rPr>
          <w:rFonts w:hint="default"/>
          <w:color w:val="auto"/>
          <w:lang w:val="en-US" w:eastAsia="zh-CN"/>
        </w:rPr>
        <w:t>油田</w:t>
      </w:r>
      <w:r>
        <w:rPr>
          <w:rFonts w:hint="default"/>
          <w:color w:val="auto"/>
        </w:rPr>
        <w:t>整体开发对生态环境的影响，确定生态环境评价范围为线路中心线向两侧外延300m，场站</w:t>
      </w:r>
      <w:r>
        <w:rPr>
          <w:rFonts w:hint="default"/>
          <w:color w:val="auto"/>
          <w:lang w:val="en-US" w:eastAsia="zh-CN"/>
        </w:rPr>
        <w:t>周边</w:t>
      </w:r>
      <w:r>
        <w:rPr>
          <w:rFonts w:hint="default"/>
          <w:color w:val="auto"/>
        </w:rPr>
        <w:t>50m。评价范围图见图2.5-1。</w:t>
      </w:r>
    </w:p>
    <w:p w14:paraId="46067BB0">
      <w:pPr>
        <w:pStyle w:val="54"/>
        <w:bidi w:val="0"/>
        <w:rPr>
          <w:rFonts w:hint="default"/>
          <w:color w:val="auto"/>
          <w:lang w:val="en-US" w:eastAsia="zh-CN"/>
        </w:rPr>
      </w:pPr>
      <w:bookmarkStart w:id="150" w:name="OLE_LINK349"/>
      <w:r>
        <w:rPr>
          <w:rFonts w:hint="default"/>
          <w:color w:val="auto"/>
          <w:lang w:val="en-US" w:eastAsia="zh-CN"/>
        </w:rPr>
        <w:t>2.</w:t>
      </w:r>
      <w:r>
        <w:rPr>
          <w:rFonts w:hint="eastAsia"/>
          <w:color w:val="auto"/>
          <w:lang w:val="en-US" w:eastAsia="zh-CN"/>
        </w:rPr>
        <w:t>5</w:t>
      </w:r>
      <w:r>
        <w:rPr>
          <w:rFonts w:hint="default"/>
          <w:color w:val="auto"/>
          <w:lang w:val="en-US" w:eastAsia="zh-CN"/>
        </w:rPr>
        <w:t>.2</w:t>
      </w:r>
      <w:r>
        <w:rPr>
          <w:rFonts w:hint="eastAsia"/>
          <w:color w:val="auto"/>
          <w:lang w:val="en-US" w:eastAsia="zh-CN"/>
        </w:rPr>
        <w:t xml:space="preserve"> </w:t>
      </w:r>
      <w:r>
        <w:rPr>
          <w:rFonts w:hint="default"/>
          <w:color w:val="auto"/>
          <w:lang w:val="en-US" w:eastAsia="zh-CN"/>
        </w:rPr>
        <w:t>地下水</w:t>
      </w:r>
      <w:r>
        <w:rPr>
          <w:rFonts w:hint="eastAsia"/>
          <w:color w:val="auto"/>
          <w:lang w:val="en-US" w:eastAsia="zh-CN"/>
        </w:rPr>
        <w:t>环境影响评价等级和评价范围</w:t>
      </w:r>
    </w:p>
    <w:bookmarkEnd w:id="150"/>
    <w:p w14:paraId="57A52AA0">
      <w:pPr>
        <w:pStyle w:val="79"/>
        <w:bidi w:val="0"/>
        <w:rPr>
          <w:rFonts w:hint="default"/>
          <w:color w:val="auto"/>
        </w:rPr>
      </w:pPr>
      <w:bookmarkStart w:id="151" w:name="OLE_LINK49"/>
      <w:r>
        <w:rPr>
          <w:rFonts w:hint="default"/>
          <w:color w:val="auto"/>
        </w:rPr>
        <w:t>（1）建设项目类别</w:t>
      </w:r>
    </w:p>
    <w:p w14:paraId="6E31FEDC">
      <w:pPr>
        <w:pStyle w:val="79"/>
        <w:bidi w:val="0"/>
        <w:rPr>
          <w:rFonts w:hint="default"/>
          <w:color w:val="auto"/>
        </w:rPr>
      </w:pPr>
      <w:r>
        <w:rPr>
          <w:rFonts w:hint="default"/>
          <w:color w:val="auto"/>
          <w:lang w:eastAsia="zh-CN"/>
        </w:rPr>
        <w:t>本工程</w:t>
      </w:r>
      <w:r>
        <w:rPr>
          <w:rFonts w:hint="default"/>
          <w:color w:val="auto"/>
        </w:rPr>
        <w:t>属于</w:t>
      </w:r>
      <w:r>
        <w:rPr>
          <w:rFonts w:hint="eastAsia"/>
          <w:color w:val="auto"/>
          <w:lang w:val="en-US" w:eastAsia="zh-CN"/>
        </w:rPr>
        <w:t>石油</w:t>
      </w:r>
      <w:r>
        <w:rPr>
          <w:color w:val="auto"/>
        </w:rPr>
        <w:t>开采</w:t>
      </w:r>
      <w:r>
        <w:rPr>
          <w:rFonts w:hint="eastAsia"/>
          <w:color w:val="auto"/>
          <w:lang w:val="en-US" w:eastAsia="zh-CN"/>
        </w:rPr>
        <w:t>项目</w:t>
      </w:r>
      <w:r>
        <w:rPr>
          <w:rFonts w:hint="default"/>
          <w:color w:val="auto"/>
        </w:rPr>
        <w:t>，按照《</w:t>
      </w:r>
      <w:r>
        <w:rPr>
          <w:rFonts w:hint="default"/>
          <w:color w:val="auto"/>
          <w:lang w:eastAsia="zh-CN"/>
        </w:rPr>
        <w:t xml:space="preserve">环境影响评价技术导则 </w:t>
      </w:r>
      <w:r>
        <w:rPr>
          <w:rFonts w:hint="eastAsia"/>
          <w:color w:val="auto"/>
          <w:lang w:val="en-US" w:eastAsia="zh-CN"/>
        </w:rPr>
        <w:t>陆地石油天然气开发建设项目</w:t>
      </w:r>
      <w:r>
        <w:rPr>
          <w:rFonts w:hint="default"/>
          <w:color w:val="auto"/>
        </w:rPr>
        <w:t>》（HJ</w:t>
      </w:r>
      <w:r>
        <w:rPr>
          <w:rFonts w:hint="eastAsia"/>
          <w:color w:val="auto"/>
          <w:lang w:val="en-US" w:eastAsia="zh-CN"/>
        </w:rPr>
        <w:t>349</w:t>
      </w:r>
      <w:r>
        <w:rPr>
          <w:rFonts w:hint="default"/>
          <w:color w:val="auto"/>
        </w:rPr>
        <w:t>-20</w:t>
      </w:r>
      <w:r>
        <w:rPr>
          <w:rFonts w:hint="eastAsia"/>
          <w:color w:val="auto"/>
          <w:lang w:val="en-US" w:eastAsia="zh-CN"/>
        </w:rPr>
        <w:t>23</w:t>
      </w:r>
      <w:r>
        <w:rPr>
          <w:rFonts w:hint="default"/>
          <w:color w:val="auto"/>
        </w:rPr>
        <w:t>）中判断，本工程场站属于</w:t>
      </w:r>
      <w:r>
        <w:rPr>
          <w:rFonts w:hint="default"/>
          <w:color w:val="auto"/>
        </w:rPr>
        <w:fldChar w:fldCharType="begin"/>
      </w:r>
      <w:r>
        <w:rPr>
          <w:rFonts w:hint="default"/>
          <w:color w:val="auto"/>
        </w:rPr>
        <w:instrText xml:space="preserve"> = 1 \* ROMAN \* MERGEFORMAT </w:instrText>
      </w:r>
      <w:r>
        <w:rPr>
          <w:rFonts w:hint="default"/>
          <w:color w:val="auto"/>
        </w:rPr>
        <w:fldChar w:fldCharType="separate"/>
      </w:r>
      <w:r>
        <w:rPr>
          <w:color w:val="auto"/>
        </w:rPr>
        <w:t>I</w:t>
      </w:r>
      <w:r>
        <w:rPr>
          <w:rFonts w:hint="default"/>
          <w:color w:val="auto"/>
        </w:rPr>
        <w:fldChar w:fldCharType="end"/>
      </w:r>
      <w:r>
        <w:rPr>
          <w:rFonts w:hint="default"/>
          <w:color w:val="auto"/>
        </w:rPr>
        <w:t>类项目</w:t>
      </w:r>
      <w:r>
        <w:rPr>
          <w:rFonts w:hint="eastAsia"/>
          <w:color w:val="auto"/>
          <w:lang w:eastAsia="zh-CN"/>
        </w:rPr>
        <w:t>，集输管线建设属于Ⅱ类项目</w:t>
      </w:r>
      <w:r>
        <w:rPr>
          <w:rFonts w:hint="default"/>
          <w:color w:val="auto"/>
        </w:rPr>
        <w:t>。</w:t>
      </w:r>
    </w:p>
    <w:p w14:paraId="29D9A220">
      <w:pPr>
        <w:pStyle w:val="79"/>
        <w:bidi w:val="0"/>
        <w:rPr>
          <w:rFonts w:hint="default"/>
          <w:color w:val="auto"/>
        </w:rPr>
      </w:pPr>
      <w:r>
        <w:rPr>
          <w:rFonts w:hint="default"/>
          <w:color w:val="auto"/>
        </w:rPr>
        <w:t>（2）地下水环境敏感程度</w:t>
      </w:r>
    </w:p>
    <w:p w14:paraId="566EE09A">
      <w:pPr>
        <w:pStyle w:val="79"/>
        <w:bidi w:val="0"/>
        <w:rPr>
          <w:rFonts w:hint="default"/>
          <w:color w:val="auto"/>
        </w:rPr>
      </w:pPr>
      <w:r>
        <w:rPr>
          <w:rFonts w:hint="default"/>
          <w:color w:val="auto"/>
        </w:rPr>
        <w:t>依据《环境影响评价技术导则</w:t>
      </w:r>
      <w:r>
        <w:rPr>
          <w:rFonts w:hint="eastAsia"/>
          <w:color w:val="auto"/>
          <w:lang w:val="en-US" w:eastAsia="zh-CN"/>
        </w:rPr>
        <w:t xml:space="preserve"> </w:t>
      </w:r>
      <w:r>
        <w:rPr>
          <w:rFonts w:hint="default"/>
          <w:color w:val="auto"/>
        </w:rPr>
        <w:t>地下水环境》（HJ610-2016）中的地下水环境敏感程度分级表（表2.</w:t>
      </w:r>
      <w:r>
        <w:rPr>
          <w:rFonts w:hint="eastAsia"/>
          <w:color w:val="auto"/>
          <w:lang w:val="en-US" w:eastAsia="zh-CN"/>
        </w:rPr>
        <w:t>5</w:t>
      </w:r>
      <w:r>
        <w:rPr>
          <w:rFonts w:hint="default"/>
          <w:color w:val="auto"/>
        </w:rPr>
        <w:t>-</w:t>
      </w:r>
      <w:r>
        <w:rPr>
          <w:rFonts w:hint="eastAsia"/>
          <w:color w:val="auto"/>
          <w:lang w:val="en-US" w:eastAsia="zh-CN"/>
        </w:rPr>
        <w:t>5</w:t>
      </w:r>
      <w:r>
        <w:rPr>
          <w:rFonts w:hint="default"/>
          <w:color w:val="auto"/>
        </w:rPr>
        <w:t>）和《建设项目环境影响评价分类管理名录》，项目区不位于集中式饮用水水源保护区及补给径流区，无分散式饮用水水源地，无特殊地下水资源保护区，地下水环境敏感特征为不敏感。</w:t>
      </w:r>
    </w:p>
    <w:p w14:paraId="1A966622">
      <w:pPr>
        <w:pStyle w:val="61"/>
        <w:bidi w:val="0"/>
        <w:jc w:val="both"/>
        <w:rPr>
          <w:rFonts w:hint="eastAsia"/>
          <w:color w:val="auto"/>
          <w:lang w:val="en-US" w:eastAsia="zh-CN"/>
        </w:rPr>
      </w:pPr>
      <w:r>
        <w:rPr>
          <w:rFonts w:hint="eastAsia"/>
          <w:color w:val="auto"/>
          <w:lang w:val="en-US" w:eastAsia="zh-CN"/>
        </w:rPr>
        <w:t>表2.5-2  地下水环境敏感程度分级表</w:t>
      </w:r>
    </w:p>
    <w:tbl>
      <w:tblPr>
        <w:tblStyle w:val="3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21"/>
        <w:gridCol w:w="7279"/>
      </w:tblGrid>
      <w:tr w14:paraId="12A062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321" w:type="dxa"/>
            <w:tcBorders>
              <w:tl2br w:val="nil"/>
              <w:tr2bl w:val="nil"/>
            </w:tcBorders>
            <w:noWrap w:val="0"/>
            <w:vAlign w:val="center"/>
          </w:tcPr>
          <w:p w14:paraId="51B54A1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敏感程度</w:t>
            </w:r>
          </w:p>
        </w:tc>
        <w:tc>
          <w:tcPr>
            <w:tcW w:w="7279" w:type="dxa"/>
            <w:tcBorders>
              <w:tl2br w:val="nil"/>
              <w:tr2bl w:val="nil"/>
            </w:tcBorders>
            <w:noWrap w:val="0"/>
            <w:vAlign w:val="center"/>
          </w:tcPr>
          <w:p w14:paraId="0E08B358">
            <w:pPr>
              <w:keepNext w:val="0"/>
              <w:keepLines w:val="0"/>
              <w:pageBreakBefore w:val="0"/>
              <w:widowControl/>
              <w:tabs>
                <w:tab w:val="left" w:pos="675"/>
              </w:tabs>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2"/>
                <w:sz w:val="21"/>
                <w:szCs w:val="18"/>
                <w:highlight w:val="none"/>
              </w:rPr>
              <w:t>项目场地的地下水环境敏感特征</w:t>
            </w:r>
          </w:p>
        </w:tc>
      </w:tr>
      <w:tr w14:paraId="2D621A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321" w:type="dxa"/>
            <w:tcBorders>
              <w:tl2br w:val="nil"/>
              <w:tr2bl w:val="nil"/>
            </w:tcBorders>
            <w:noWrap w:val="0"/>
            <w:vAlign w:val="center"/>
          </w:tcPr>
          <w:p w14:paraId="5841FE5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敏感</w:t>
            </w:r>
          </w:p>
        </w:tc>
        <w:tc>
          <w:tcPr>
            <w:tcW w:w="7279" w:type="dxa"/>
            <w:tcBorders>
              <w:tl2br w:val="nil"/>
              <w:tr2bl w:val="nil"/>
            </w:tcBorders>
            <w:noWrap w:val="0"/>
            <w:vAlign w:val="top"/>
          </w:tcPr>
          <w:p w14:paraId="06424CB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14:paraId="4558CD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321" w:type="dxa"/>
            <w:tcBorders>
              <w:tl2br w:val="nil"/>
              <w:tr2bl w:val="nil"/>
            </w:tcBorders>
            <w:noWrap w:val="0"/>
            <w:vAlign w:val="center"/>
          </w:tcPr>
          <w:p w14:paraId="74B6034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较敏感</w:t>
            </w:r>
          </w:p>
        </w:tc>
        <w:tc>
          <w:tcPr>
            <w:tcW w:w="7279" w:type="dxa"/>
            <w:tcBorders>
              <w:tl2br w:val="nil"/>
              <w:tr2bl w:val="nil"/>
            </w:tcBorders>
            <w:noWrap w:val="0"/>
            <w:vAlign w:val="top"/>
          </w:tcPr>
          <w:p w14:paraId="2407AA3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集中式饮用水水源（包括已建成的在用、备用、应急水源，在建和规划的饮用水水源）准保护区以外的补给径流区；</w:t>
            </w:r>
            <w:r>
              <w:rPr>
                <w:rFonts w:hint="eastAsia" w:cs="Times New Roman"/>
                <w:color w:val="auto"/>
                <w:kern w:val="0"/>
                <w:sz w:val="21"/>
                <w:szCs w:val="21"/>
                <w:highlight w:val="none"/>
                <w:lang w:eastAsia="zh-CN"/>
              </w:rPr>
              <w:t>未</w:t>
            </w:r>
            <w:r>
              <w:rPr>
                <w:rFonts w:hint="default" w:ascii="Times New Roman" w:hAnsi="Times New Roman" w:cs="Times New Roman"/>
                <w:color w:val="auto"/>
                <w:kern w:val="0"/>
                <w:sz w:val="21"/>
                <w:szCs w:val="21"/>
                <w:highlight w:val="none"/>
              </w:rPr>
              <w:t>划定准保护区的集中式饮用水水源，其保护区以外的补给径流区；分散式饮用水水源地；特殊地下水资源（如矿泉水、温泉等）保护区以外的分布区等其他未列入上述敏感分级的环境敏感区。</w:t>
            </w:r>
          </w:p>
        </w:tc>
      </w:tr>
      <w:tr w14:paraId="66A29C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321" w:type="dxa"/>
            <w:tcBorders>
              <w:tl2br w:val="nil"/>
              <w:tr2bl w:val="nil"/>
            </w:tcBorders>
            <w:noWrap w:val="0"/>
            <w:vAlign w:val="center"/>
          </w:tcPr>
          <w:p w14:paraId="141753A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不敏感</w:t>
            </w:r>
          </w:p>
        </w:tc>
        <w:tc>
          <w:tcPr>
            <w:tcW w:w="7279" w:type="dxa"/>
            <w:tcBorders>
              <w:tl2br w:val="nil"/>
              <w:tr2bl w:val="nil"/>
            </w:tcBorders>
            <w:noWrap w:val="0"/>
            <w:vAlign w:val="top"/>
          </w:tcPr>
          <w:p w14:paraId="5FA0FD4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上述地区之外的其他地区。</w:t>
            </w:r>
          </w:p>
        </w:tc>
      </w:tr>
    </w:tbl>
    <w:p w14:paraId="50C6907F">
      <w:pPr>
        <w:widowControl/>
        <w:ind w:firstLine="420" w:firstLineChars="200"/>
        <w:jc w:val="left"/>
        <w:rPr>
          <w:rFonts w:hint="default" w:ascii="Times New Roman" w:hAnsi="Times New Roman" w:cs="Times New Roman"/>
          <w:b/>
          <w:color w:val="auto"/>
          <w:kern w:val="0"/>
          <w:sz w:val="21"/>
          <w:szCs w:val="21"/>
          <w:highlight w:val="none"/>
        </w:rPr>
      </w:pPr>
      <w:r>
        <w:rPr>
          <w:rFonts w:hint="default" w:ascii="Times New Roman" w:hAnsi="Times New Roman" w:cs="Times New Roman"/>
          <w:b w:val="0"/>
          <w:bCs/>
          <w:color w:val="auto"/>
          <w:kern w:val="0"/>
          <w:sz w:val="21"/>
          <w:szCs w:val="21"/>
          <w:highlight w:val="none"/>
        </w:rPr>
        <w:t>注：“环境敏感区”是指《建设项目环境影响评价分类管理名录》中所界定的涉及地下水的环境敏感区。</w:t>
      </w:r>
    </w:p>
    <w:p w14:paraId="5E6F509E">
      <w:pPr>
        <w:pStyle w:val="79"/>
        <w:bidi w:val="0"/>
        <w:rPr>
          <w:rFonts w:hint="default"/>
          <w:color w:val="auto"/>
          <w:lang w:eastAsia="zh-CN"/>
        </w:rPr>
      </w:pPr>
      <w:r>
        <w:rPr>
          <w:rFonts w:hint="default"/>
          <w:color w:val="auto"/>
        </w:rPr>
        <w:t>（3）工作等级划分</w:t>
      </w:r>
    </w:p>
    <w:p w14:paraId="41DB0957">
      <w:pPr>
        <w:pStyle w:val="79"/>
        <w:bidi w:val="0"/>
        <w:rPr>
          <w:rFonts w:hint="eastAsia"/>
          <w:color w:val="auto"/>
          <w:lang w:eastAsia="zh-CN"/>
        </w:rPr>
      </w:pPr>
      <w:r>
        <w:rPr>
          <w:rFonts w:hint="default"/>
          <w:color w:val="auto"/>
        </w:rPr>
        <w:t>依据《环境影响评价技术导则 陆地石油天然气开发建设项目</w:t>
      </w:r>
      <w:r>
        <w:rPr>
          <w:rFonts w:hint="eastAsia"/>
          <w:color w:val="auto"/>
          <w:lang w:eastAsia="zh-CN"/>
        </w:rPr>
        <w:t>》</w:t>
      </w:r>
      <w:r>
        <w:rPr>
          <w:rFonts w:hint="default"/>
          <w:color w:val="auto"/>
        </w:rPr>
        <w:t>（HJ349-2023），本工程场站属于</w:t>
      </w:r>
      <w:r>
        <w:rPr>
          <w:rFonts w:hint="default"/>
          <w:color w:val="auto"/>
        </w:rPr>
        <w:fldChar w:fldCharType="begin"/>
      </w:r>
      <w:r>
        <w:rPr>
          <w:rFonts w:hint="default"/>
          <w:color w:val="auto"/>
        </w:rPr>
        <w:instrText xml:space="preserve"> = 1 \* ROMAN \* MERGEFORMAT </w:instrText>
      </w:r>
      <w:r>
        <w:rPr>
          <w:rFonts w:hint="default"/>
          <w:color w:val="auto"/>
        </w:rPr>
        <w:fldChar w:fldCharType="separate"/>
      </w:r>
      <w:r>
        <w:rPr>
          <w:color w:val="auto"/>
        </w:rPr>
        <w:t>I</w:t>
      </w:r>
      <w:r>
        <w:rPr>
          <w:rFonts w:hint="default"/>
          <w:color w:val="auto"/>
        </w:rPr>
        <w:fldChar w:fldCharType="end"/>
      </w:r>
      <w:r>
        <w:rPr>
          <w:rFonts w:hint="default"/>
          <w:color w:val="auto"/>
        </w:rPr>
        <w:t>类项目</w:t>
      </w:r>
      <w:r>
        <w:rPr>
          <w:rFonts w:hint="eastAsia"/>
          <w:color w:val="auto"/>
          <w:lang w:eastAsia="zh-CN"/>
        </w:rPr>
        <w:t>，</w:t>
      </w:r>
      <w:r>
        <w:rPr>
          <w:rFonts w:hint="default"/>
          <w:color w:val="auto"/>
        </w:rPr>
        <w:t>地下水环境敏感程度为</w:t>
      </w:r>
      <w:r>
        <w:rPr>
          <w:rFonts w:hint="eastAsia"/>
          <w:color w:val="auto"/>
          <w:lang w:eastAsia="zh-CN"/>
        </w:rPr>
        <w:t>“</w:t>
      </w:r>
      <w:r>
        <w:rPr>
          <w:rFonts w:hint="default"/>
          <w:color w:val="auto"/>
        </w:rPr>
        <w:t>不敏感</w:t>
      </w:r>
      <w:r>
        <w:rPr>
          <w:rFonts w:hint="eastAsia"/>
          <w:color w:val="auto"/>
          <w:lang w:eastAsia="zh-CN"/>
        </w:rPr>
        <w:t>”</w:t>
      </w:r>
      <w:r>
        <w:rPr>
          <w:rFonts w:hint="default"/>
          <w:color w:val="auto"/>
        </w:rPr>
        <w:t>，依据表2.</w:t>
      </w:r>
      <w:r>
        <w:rPr>
          <w:rFonts w:hint="eastAsia"/>
          <w:color w:val="auto"/>
          <w:lang w:val="en-US" w:eastAsia="zh-CN"/>
        </w:rPr>
        <w:t>5</w:t>
      </w:r>
      <w:r>
        <w:rPr>
          <w:rFonts w:hint="default"/>
          <w:color w:val="auto"/>
        </w:rPr>
        <w:t>-</w:t>
      </w:r>
      <w:r>
        <w:rPr>
          <w:rFonts w:hint="eastAsia"/>
          <w:color w:val="auto"/>
          <w:lang w:val="en-US" w:eastAsia="zh-CN"/>
        </w:rPr>
        <w:t>3</w:t>
      </w:r>
      <w:r>
        <w:rPr>
          <w:rFonts w:hint="default"/>
          <w:color w:val="auto"/>
        </w:rPr>
        <w:t>，评价等级为</w:t>
      </w:r>
      <w:r>
        <w:rPr>
          <w:rFonts w:hint="eastAsia"/>
          <w:color w:val="auto"/>
          <w:lang w:val="en-US" w:eastAsia="zh-CN"/>
        </w:rPr>
        <w:t>二</w:t>
      </w:r>
      <w:r>
        <w:rPr>
          <w:rFonts w:hint="default"/>
          <w:color w:val="auto"/>
        </w:rPr>
        <w:t>级</w:t>
      </w:r>
      <w:r>
        <w:rPr>
          <w:rFonts w:hint="eastAsia"/>
          <w:color w:val="auto"/>
          <w:lang w:eastAsia="zh-CN"/>
        </w:rPr>
        <w:t>；</w:t>
      </w:r>
      <w:r>
        <w:rPr>
          <w:rFonts w:hint="default"/>
          <w:color w:val="auto"/>
        </w:rPr>
        <w:t>集输管线建设属于</w:t>
      </w:r>
      <w:r>
        <w:rPr>
          <w:rFonts w:hint="eastAsia"/>
          <w:color w:val="auto"/>
          <w:lang w:eastAsia="zh-CN"/>
        </w:rPr>
        <w:t>Ⅱ类</w:t>
      </w:r>
      <w:r>
        <w:rPr>
          <w:rFonts w:hint="default"/>
          <w:color w:val="auto"/>
        </w:rPr>
        <w:t>项目，地下水环境敏感程度为</w:t>
      </w:r>
      <w:r>
        <w:rPr>
          <w:rFonts w:hint="eastAsia"/>
          <w:color w:val="auto"/>
          <w:lang w:eastAsia="zh-CN"/>
        </w:rPr>
        <w:t>“</w:t>
      </w:r>
      <w:r>
        <w:rPr>
          <w:rFonts w:hint="default"/>
          <w:color w:val="auto"/>
        </w:rPr>
        <w:t>不敏感</w:t>
      </w:r>
      <w:r>
        <w:rPr>
          <w:rFonts w:hint="eastAsia"/>
          <w:color w:val="auto"/>
          <w:lang w:eastAsia="zh-CN"/>
        </w:rPr>
        <w:t>”</w:t>
      </w:r>
      <w:r>
        <w:rPr>
          <w:rFonts w:hint="default"/>
          <w:color w:val="auto"/>
        </w:rPr>
        <w:t>，依据表2.</w:t>
      </w:r>
      <w:r>
        <w:rPr>
          <w:rFonts w:hint="eastAsia"/>
          <w:color w:val="auto"/>
          <w:lang w:val="en-US" w:eastAsia="zh-CN"/>
        </w:rPr>
        <w:t>5</w:t>
      </w:r>
      <w:r>
        <w:rPr>
          <w:rFonts w:hint="default"/>
          <w:color w:val="auto"/>
        </w:rPr>
        <w:t>-</w:t>
      </w:r>
      <w:r>
        <w:rPr>
          <w:rFonts w:hint="eastAsia"/>
          <w:color w:val="auto"/>
          <w:lang w:val="en-US" w:eastAsia="zh-CN"/>
        </w:rPr>
        <w:t>3</w:t>
      </w:r>
      <w:r>
        <w:rPr>
          <w:rFonts w:hint="default"/>
          <w:color w:val="auto"/>
        </w:rPr>
        <w:t>，评价等级为</w:t>
      </w:r>
      <w:r>
        <w:rPr>
          <w:rFonts w:hint="eastAsia"/>
          <w:color w:val="auto"/>
          <w:lang w:val="en-US" w:eastAsia="zh-CN"/>
        </w:rPr>
        <w:t>三</w:t>
      </w:r>
      <w:r>
        <w:rPr>
          <w:rFonts w:hint="default"/>
          <w:color w:val="auto"/>
        </w:rPr>
        <w:t>级</w:t>
      </w:r>
      <w:r>
        <w:rPr>
          <w:rFonts w:hint="eastAsia"/>
          <w:color w:val="auto"/>
          <w:lang w:eastAsia="zh-CN"/>
        </w:rPr>
        <w:t>。</w:t>
      </w:r>
    </w:p>
    <w:p w14:paraId="25C9A19B">
      <w:pPr>
        <w:pStyle w:val="61"/>
        <w:bidi w:val="0"/>
        <w:jc w:val="both"/>
        <w:rPr>
          <w:rFonts w:hint="eastAsia"/>
          <w:color w:val="auto"/>
          <w:lang w:val="en-US" w:eastAsia="zh-CN"/>
        </w:rPr>
      </w:pPr>
      <w:r>
        <w:rPr>
          <w:rFonts w:hint="eastAsia"/>
          <w:color w:val="auto"/>
          <w:lang w:val="en-US" w:eastAsia="zh-CN"/>
        </w:rPr>
        <w:t>表2.5-3  评价区地下水环境影响评价工作等级划分</w:t>
      </w:r>
    </w:p>
    <w:tbl>
      <w:tblPr>
        <w:tblStyle w:val="3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720"/>
        <w:gridCol w:w="1595"/>
        <w:gridCol w:w="2125"/>
        <w:gridCol w:w="2125"/>
      </w:tblGrid>
      <w:tr w14:paraId="785F87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720" w:type="dxa"/>
            <w:tcBorders>
              <w:tl2br w:val="nil"/>
              <w:tr2bl w:val="nil"/>
            </w:tcBorders>
            <w:shd w:val="clear" w:color="auto" w:fill="auto"/>
            <w:noWrap w:val="0"/>
            <w:vAlign w:val="center"/>
          </w:tcPr>
          <w:p w14:paraId="1DF8EA6A">
            <w:pPr>
              <w:keepNext w:val="0"/>
              <w:keepLines w:val="0"/>
              <w:pageBreakBefore w:val="0"/>
              <w:widowControl w:val="0"/>
              <w:kinsoku/>
              <w:wordWrap/>
              <w:overflowPunct/>
              <w:topLinePunct w:val="0"/>
              <w:autoSpaceDE/>
              <w:autoSpaceDN/>
              <w:bidi w:val="0"/>
              <w:adjustRightInd w:val="0"/>
              <w:snapToGrid/>
              <w:spacing w:line="400" w:lineRule="exact"/>
              <w:ind w:left="-120" w:right="-119" w:firstLine="420" w:firstLineChars="20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项目类别</w:t>
            </w:r>
          </w:p>
          <w:p w14:paraId="5AA71214">
            <w:pPr>
              <w:keepNext w:val="0"/>
              <w:keepLines w:val="0"/>
              <w:pageBreakBefore w:val="0"/>
              <w:widowControl w:val="0"/>
              <w:kinsoku/>
              <w:wordWrap/>
              <w:overflowPunct/>
              <w:topLinePunct w:val="0"/>
              <w:autoSpaceDE/>
              <w:autoSpaceDN/>
              <w:bidi w:val="0"/>
              <w:adjustRightInd w:val="0"/>
              <w:snapToGrid/>
              <w:spacing w:line="400" w:lineRule="exact"/>
              <w:ind w:right="-119" w:firstLine="0" w:firstLineChars="0"/>
              <w:jc w:val="both"/>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环境敏感程度</w:t>
            </w:r>
          </w:p>
        </w:tc>
        <w:tc>
          <w:tcPr>
            <w:tcW w:w="1595" w:type="dxa"/>
            <w:tcBorders>
              <w:tl2br w:val="nil"/>
              <w:tr2bl w:val="nil"/>
            </w:tcBorders>
            <w:shd w:val="clear" w:color="auto" w:fill="auto"/>
            <w:noWrap w:val="0"/>
            <w:vAlign w:val="center"/>
          </w:tcPr>
          <w:p w14:paraId="0E8EF05B">
            <w:pPr>
              <w:keepNext w:val="0"/>
              <w:keepLines w:val="0"/>
              <w:pageBreakBefore w:val="0"/>
              <w:widowControl w:val="0"/>
              <w:kinsoku/>
              <w:wordWrap/>
              <w:overflowPunct/>
              <w:topLinePunct w:val="0"/>
              <w:autoSpaceDE/>
              <w:autoSpaceDN/>
              <w:bidi w:val="0"/>
              <w:adjustRightInd w:val="0"/>
              <w:snapToGrid/>
              <w:spacing w:line="400" w:lineRule="exact"/>
              <w:ind w:left="0" w:leftChars="0" w:right="-119"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I类项目</w:t>
            </w:r>
          </w:p>
        </w:tc>
        <w:tc>
          <w:tcPr>
            <w:tcW w:w="2125" w:type="dxa"/>
            <w:tcBorders>
              <w:tl2br w:val="nil"/>
              <w:tr2bl w:val="nil"/>
            </w:tcBorders>
            <w:shd w:val="clear" w:color="auto" w:fill="auto"/>
            <w:noWrap w:val="0"/>
            <w:vAlign w:val="center"/>
          </w:tcPr>
          <w:p w14:paraId="628FAE9B">
            <w:pPr>
              <w:keepNext w:val="0"/>
              <w:keepLines w:val="0"/>
              <w:pageBreakBefore w:val="0"/>
              <w:widowControl w:val="0"/>
              <w:kinsoku/>
              <w:wordWrap/>
              <w:overflowPunct/>
              <w:topLinePunct w:val="0"/>
              <w:autoSpaceDE/>
              <w:autoSpaceDN/>
              <w:bidi w:val="0"/>
              <w:adjustRightInd w:val="0"/>
              <w:snapToGrid/>
              <w:spacing w:line="400" w:lineRule="exact"/>
              <w:ind w:left="0" w:leftChars="0" w:right="-119"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shd w:val="clear" w:color="FFFFFF"/>
                <w:lang w:val="en-US" w:eastAsia="zh-CN" w:bidi="ar-SA"/>
              </w:rPr>
              <w:t>Ⅱ类</w:t>
            </w:r>
            <w:r>
              <w:rPr>
                <w:rFonts w:hint="default" w:ascii="Times New Roman" w:hAnsi="Times New Roman" w:eastAsia="宋体" w:cs="Times New Roman"/>
                <w:snapToGrid w:val="0"/>
                <w:color w:val="auto"/>
                <w:kern w:val="0"/>
                <w:sz w:val="21"/>
                <w:szCs w:val="21"/>
                <w:highlight w:val="none"/>
                <w:shd w:val="clear" w:color="FFFFFF"/>
                <w:lang w:val="en-US" w:eastAsia="zh-CN" w:bidi="ar-SA"/>
              </w:rPr>
              <w:t>项目</w:t>
            </w:r>
          </w:p>
        </w:tc>
        <w:tc>
          <w:tcPr>
            <w:tcW w:w="2125" w:type="dxa"/>
            <w:tcBorders>
              <w:tl2br w:val="nil"/>
              <w:tr2bl w:val="nil"/>
            </w:tcBorders>
            <w:shd w:val="clear" w:color="auto" w:fill="auto"/>
            <w:noWrap w:val="0"/>
            <w:vAlign w:val="center"/>
          </w:tcPr>
          <w:p w14:paraId="099EB909">
            <w:pPr>
              <w:keepNext w:val="0"/>
              <w:keepLines w:val="0"/>
              <w:pageBreakBefore w:val="0"/>
              <w:widowControl w:val="0"/>
              <w:kinsoku/>
              <w:wordWrap/>
              <w:overflowPunct/>
              <w:topLinePunct w:val="0"/>
              <w:autoSpaceDE/>
              <w:autoSpaceDN/>
              <w:bidi w:val="0"/>
              <w:adjustRightInd w:val="0"/>
              <w:snapToGrid/>
              <w:spacing w:line="400" w:lineRule="exact"/>
              <w:ind w:left="0" w:leftChars="0" w:right="-119"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bidi="ar-SA"/>
              </w:rPr>
              <w:t>Ⅲ</w:t>
            </w:r>
            <w:r>
              <w:rPr>
                <w:rFonts w:hint="default" w:ascii="Times New Roman" w:hAnsi="Times New Roman" w:eastAsia="宋体" w:cs="Times New Roman"/>
                <w:snapToGrid w:val="0"/>
                <w:color w:val="auto"/>
                <w:kern w:val="0"/>
                <w:sz w:val="21"/>
                <w:szCs w:val="21"/>
                <w:highlight w:val="none"/>
                <w:lang w:val="en-US" w:eastAsia="zh-CN" w:bidi="ar-SA"/>
              </w:rPr>
              <w:t>类项目</w:t>
            </w:r>
          </w:p>
        </w:tc>
      </w:tr>
      <w:tr w14:paraId="2427D1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720" w:type="dxa"/>
            <w:tcBorders>
              <w:tl2br w:val="nil"/>
              <w:tr2bl w:val="nil"/>
            </w:tcBorders>
            <w:shd w:val="clear" w:color="auto" w:fill="auto"/>
            <w:noWrap w:val="0"/>
            <w:vAlign w:val="center"/>
          </w:tcPr>
          <w:p w14:paraId="3723BF02">
            <w:pPr>
              <w:keepNext w:val="0"/>
              <w:keepLines w:val="0"/>
              <w:pageBreakBefore w:val="0"/>
              <w:widowControl w:val="0"/>
              <w:kinsoku/>
              <w:wordWrap/>
              <w:overflowPunct/>
              <w:topLinePunct w:val="0"/>
              <w:autoSpaceDE/>
              <w:autoSpaceDN/>
              <w:bidi w:val="0"/>
              <w:adjustRightInd w:val="0"/>
              <w:snapToGrid/>
              <w:spacing w:line="400" w:lineRule="exact"/>
              <w:ind w:left="0" w:leftChars="0" w:right="-119"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敏感</w:t>
            </w:r>
          </w:p>
        </w:tc>
        <w:tc>
          <w:tcPr>
            <w:tcW w:w="1595" w:type="dxa"/>
            <w:tcBorders>
              <w:tl2br w:val="nil"/>
              <w:tr2bl w:val="nil"/>
            </w:tcBorders>
            <w:shd w:val="clear" w:color="auto" w:fill="auto"/>
            <w:noWrap w:val="0"/>
            <w:vAlign w:val="center"/>
          </w:tcPr>
          <w:p w14:paraId="4BEC99AA">
            <w:pPr>
              <w:keepNext w:val="0"/>
              <w:keepLines w:val="0"/>
              <w:pageBreakBefore w:val="0"/>
              <w:widowControl w:val="0"/>
              <w:kinsoku/>
              <w:wordWrap/>
              <w:overflowPunct/>
              <w:topLinePunct w:val="0"/>
              <w:autoSpaceDE/>
              <w:autoSpaceDN/>
              <w:bidi w:val="0"/>
              <w:adjustRightInd w:val="0"/>
              <w:snapToGrid/>
              <w:spacing w:line="400" w:lineRule="exact"/>
              <w:ind w:left="0" w:leftChars="0" w:right="-119"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一</w:t>
            </w:r>
          </w:p>
        </w:tc>
        <w:tc>
          <w:tcPr>
            <w:tcW w:w="2125" w:type="dxa"/>
            <w:tcBorders>
              <w:tl2br w:val="nil"/>
              <w:tr2bl w:val="nil"/>
            </w:tcBorders>
            <w:shd w:val="clear" w:color="auto" w:fill="auto"/>
            <w:noWrap w:val="0"/>
            <w:vAlign w:val="center"/>
          </w:tcPr>
          <w:p w14:paraId="51DA2B9F">
            <w:pPr>
              <w:keepNext w:val="0"/>
              <w:keepLines w:val="0"/>
              <w:pageBreakBefore w:val="0"/>
              <w:widowControl w:val="0"/>
              <w:kinsoku/>
              <w:wordWrap/>
              <w:overflowPunct/>
              <w:topLinePunct w:val="0"/>
              <w:autoSpaceDE/>
              <w:autoSpaceDN/>
              <w:bidi w:val="0"/>
              <w:adjustRightInd w:val="0"/>
              <w:snapToGrid/>
              <w:spacing w:line="400" w:lineRule="exact"/>
              <w:ind w:left="0" w:leftChars="0" w:right="-119"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一</w:t>
            </w:r>
          </w:p>
        </w:tc>
        <w:tc>
          <w:tcPr>
            <w:tcW w:w="2125" w:type="dxa"/>
            <w:tcBorders>
              <w:tl2br w:val="nil"/>
              <w:tr2bl w:val="nil"/>
            </w:tcBorders>
            <w:shd w:val="clear" w:color="auto" w:fill="auto"/>
            <w:noWrap w:val="0"/>
            <w:vAlign w:val="center"/>
          </w:tcPr>
          <w:p w14:paraId="2150283D">
            <w:pPr>
              <w:keepNext w:val="0"/>
              <w:keepLines w:val="0"/>
              <w:pageBreakBefore w:val="0"/>
              <w:widowControl w:val="0"/>
              <w:kinsoku/>
              <w:wordWrap/>
              <w:overflowPunct/>
              <w:topLinePunct w:val="0"/>
              <w:autoSpaceDE/>
              <w:autoSpaceDN/>
              <w:bidi w:val="0"/>
              <w:adjustRightInd w:val="0"/>
              <w:snapToGrid/>
              <w:spacing w:line="400" w:lineRule="exact"/>
              <w:ind w:left="0" w:leftChars="0" w:right="-119"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二</w:t>
            </w:r>
          </w:p>
        </w:tc>
      </w:tr>
      <w:tr w14:paraId="719CCE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720" w:type="dxa"/>
            <w:tcBorders>
              <w:tl2br w:val="nil"/>
              <w:tr2bl w:val="nil"/>
            </w:tcBorders>
            <w:shd w:val="clear" w:color="auto" w:fill="auto"/>
            <w:noWrap w:val="0"/>
            <w:vAlign w:val="center"/>
          </w:tcPr>
          <w:p w14:paraId="13467467">
            <w:pPr>
              <w:keepNext w:val="0"/>
              <w:keepLines w:val="0"/>
              <w:pageBreakBefore w:val="0"/>
              <w:widowControl w:val="0"/>
              <w:kinsoku/>
              <w:wordWrap/>
              <w:overflowPunct/>
              <w:topLinePunct w:val="0"/>
              <w:autoSpaceDE/>
              <w:autoSpaceDN/>
              <w:bidi w:val="0"/>
              <w:adjustRightInd w:val="0"/>
              <w:snapToGrid/>
              <w:spacing w:line="400" w:lineRule="exact"/>
              <w:ind w:left="0" w:leftChars="0" w:right="-119"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较敏感</w:t>
            </w:r>
          </w:p>
        </w:tc>
        <w:tc>
          <w:tcPr>
            <w:tcW w:w="1595" w:type="dxa"/>
            <w:tcBorders>
              <w:tl2br w:val="nil"/>
              <w:tr2bl w:val="nil"/>
            </w:tcBorders>
            <w:shd w:val="clear" w:color="auto" w:fill="auto"/>
            <w:noWrap w:val="0"/>
            <w:vAlign w:val="center"/>
          </w:tcPr>
          <w:p w14:paraId="357102C6">
            <w:pPr>
              <w:keepNext w:val="0"/>
              <w:keepLines w:val="0"/>
              <w:pageBreakBefore w:val="0"/>
              <w:widowControl w:val="0"/>
              <w:kinsoku/>
              <w:wordWrap/>
              <w:overflowPunct/>
              <w:topLinePunct w:val="0"/>
              <w:autoSpaceDE/>
              <w:autoSpaceDN/>
              <w:bidi w:val="0"/>
              <w:adjustRightInd w:val="0"/>
              <w:snapToGrid/>
              <w:spacing w:line="400" w:lineRule="exact"/>
              <w:ind w:left="0" w:leftChars="0" w:right="-119"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一</w:t>
            </w:r>
          </w:p>
        </w:tc>
        <w:tc>
          <w:tcPr>
            <w:tcW w:w="2125" w:type="dxa"/>
            <w:tcBorders>
              <w:tl2br w:val="nil"/>
              <w:tr2bl w:val="nil"/>
            </w:tcBorders>
            <w:shd w:val="clear" w:color="auto" w:fill="auto"/>
            <w:noWrap w:val="0"/>
            <w:vAlign w:val="center"/>
          </w:tcPr>
          <w:p w14:paraId="19FCB96A">
            <w:pPr>
              <w:keepNext w:val="0"/>
              <w:keepLines w:val="0"/>
              <w:pageBreakBefore w:val="0"/>
              <w:widowControl w:val="0"/>
              <w:kinsoku/>
              <w:wordWrap/>
              <w:overflowPunct/>
              <w:topLinePunct w:val="0"/>
              <w:autoSpaceDE/>
              <w:autoSpaceDN/>
              <w:bidi w:val="0"/>
              <w:adjustRightInd w:val="0"/>
              <w:snapToGrid/>
              <w:spacing w:line="400" w:lineRule="exact"/>
              <w:ind w:left="0" w:leftChars="0" w:right="-119"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二</w:t>
            </w:r>
          </w:p>
        </w:tc>
        <w:tc>
          <w:tcPr>
            <w:tcW w:w="2125" w:type="dxa"/>
            <w:tcBorders>
              <w:tl2br w:val="nil"/>
              <w:tr2bl w:val="nil"/>
            </w:tcBorders>
            <w:shd w:val="clear" w:color="auto" w:fill="auto"/>
            <w:noWrap w:val="0"/>
            <w:vAlign w:val="center"/>
          </w:tcPr>
          <w:p w14:paraId="1F06103E">
            <w:pPr>
              <w:keepNext w:val="0"/>
              <w:keepLines w:val="0"/>
              <w:pageBreakBefore w:val="0"/>
              <w:widowControl w:val="0"/>
              <w:kinsoku/>
              <w:wordWrap/>
              <w:overflowPunct/>
              <w:topLinePunct w:val="0"/>
              <w:autoSpaceDE/>
              <w:autoSpaceDN/>
              <w:bidi w:val="0"/>
              <w:adjustRightInd w:val="0"/>
              <w:snapToGrid/>
              <w:spacing w:line="400" w:lineRule="exact"/>
              <w:ind w:left="0" w:leftChars="0" w:right="-119"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三</w:t>
            </w:r>
          </w:p>
        </w:tc>
      </w:tr>
      <w:tr w14:paraId="74179B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720" w:type="dxa"/>
            <w:tcBorders>
              <w:tl2br w:val="nil"/>
              <w:tr2bl w:val="nil"/>
            </w:tcBorders>
            <w:shd w:val="clear" w:color="auto" w:fill="auto"/>
            <w:noWrap w:val="0"/>
            <w:vAlign w:val="center"/>
          </w:tcPr>
          <w:p w14:paraId="0EDFBC90">
            <w:pPr>
              <w:keepNext w:val="0"/>
              <w:keepLines w:val="0"/>
              <w:pageBreakBefore w:val="0"/>
              <w:widowControl w:val="0"/>
              <w:kinsoku/>
              <w:wordWrap/>
              <w:overflowPunct/>
              <w:topLinePunct w:val="0"/>
              <w:autoSpaceDE/>
              <w:autoSpaceDN/>
              <w:bidi w:val="0"/>
              <w:adjustRightInd w:val="0"/>
              <w:snapToGrid/>
              <w:spacing w:line="400" w:lineRule="exact"/>
              <w:ind w:left="0" w:leftChars="0" w:right="-119"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不敏感</w:t>
            </w:r>
          </w:p>
        </w:tc>
        <w:tc>
          <w:tcPr>
            <w:tcW w:w="1595" w:type="dxa"/>
            <w:tcBorders>
              <w:tl2br w:val="nil"/>
              <w:tr2bl w:val="nil"/>
            </w:tcBorders>
            <w:shd w:val="clear" w:color="auto" w:fill="auto"/>
            <w:noWrap w:val="0"/>
            <w:vAlign w:val="center"/>
          </w:tcPr>
          <w:p w14:paraId="781AD738">
            <w:pPr>
              <w:keepNext w:val="0"/>
              <w:keepLines w:val="0"/>
              <w:pageBreakBefore w:val="0"/>
              <w:widowControl w:val="0"/>
              <w:kinsoku/>
              <w:wordWrap/>
              <w:overflowPunct/>
              <w:topLinePunct w:val="0"/>
              <w:autoSpaceDE/>
              <w:autoSpaceDN/>
              <w:bidi w:val="0"/>
              <w:adjustRightInd w:val="0"/>
              <w:snapToGrid/>
              <w:spacing w:line="400" w:lineRule="exact"/>
              <w:ind w:left="0" w:leftChars="0" w:right="-119"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二</w:t>
            </w:r>
          </w:p>
        </w:tc>
        <w:tc>
          <w:tcPr>
            <w:tcW w:w="2125" w:type="dxa"/>
            <w:tcBorders>
              <w:tl2br w:val="nil"/>
              <w:tr2bl w:val="nil"/>
            </w:tcBorders>
            <w:shd w:val="clear" w:color="auto" w:fill="auto"/>
            <w:noWrap w:val="0"/>
            <w:vAlign w:val="center"/>
          </w:tcPr>
          <w:p w14:paraId="6E9BC305">
            <w:pPr>
              <w:keepNext w:val="0"/>
              <w:keepLines w:val="0"/>
              <w:pageBreakBefore w:val="0"/>
              <w:widowControl w:val="0"/>
              <w:kinsoku/>
              <w:wordWrap/>
              <w:overflowPunct/>
              <w:topLinePunct w:val="0"/>
              <w:autoSpaceDE/>
              <w:autoSpaceDN/>
              <w:bidi w:val="0"/>
              <w:adjustRightInd w:val="0"/>
              <w:snapToGrid/>
              <w:spacing w:line="400" w:lineRule="exact"/>
              <w:ind w:left="0" w:leftChars="0" w:right="-119"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三</w:t>
            </w:r>
          </w:p>
        </w:tc>
        <w:tc>
          <w:tcPr>
            <w:tcW w:w="2125" w:type="dxa"/>
            <w:tcBorders>
              <w:tl2br w:val="nil"/>
              <w:tr2bl w:val="nil"/>
            </w:tcBorders>
            <w:shd w:val="clear" w:color="auto" w:fill="auto"/>
            <w:noWrap w:val="0"/>
            <w:vAlign w:val="center"/>
          </w:tcPr>
          <w:p w14:paraId="641F4696">
            <w:pPr>
              <w:keepNext w:val="0"/>
              <w:keepLines w:val="0"/>
              <w:pageBreakBefore w:val="0"/>
              <w:widowControl w:val="0"/>
              <w:kinsoku/>
              <w:wordWrap/>
              <w:overflowPunct/>
              <w:topLinePunct w:val="0"/>
              <w:autoSpaceDE/>
              <w:autoSpaceDN/>
              <w:bidi w:val="0"/>
              <w:adjustRightInd w:val="0"/>
              <w:snapToGrid/>
              <w:spacing w:line="400" w:lineRule="exact"/>
              <w:ind w:left="0" w:leftChars="0" w:right="-119"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三</w:t>
            </w:r>
          </w:p>
        </w:tc>
      </w:tr>
    </w:tbl>
    <w:p w14:paraId="2EF1D999">
      <w:pPr>
        <w:pStyle w:val="79"/>
        <w:bidi w:val="0"/>
        <w:rPr>
          <w:rFonts w:hint="default"/>
          <w:color w:val="auto"/>
        </w:rPr>
      </w:pPr>
      <w:r>
        <w:rPr>
          <w:rFonts w:hint="default"/>
          <w:color w:val="auto"/>
        </w:rPr>
        <w:t>综上，本工程地下水评价等级划分为</w:t>
      </w:r>
      <w:r>
        <w:rPr>
          <w:rFonts w:hint="eastAsia"/>
          <w:color w:val="auto"/>
          <w:lang w:val="en-US" w:eastAsia="zh-CN"/>
        </w:rPr>
        <w:t>二</w:t>
      </w:r>
      <w:r>
        <w:rPr>
          <w:rFonts w:hint="default"/>
          <w:color w:val="auto"/>
        </w:rPr>
        <w:t>级。</w:t>
      </w:r>
    </w:p>
    <w:p w14:paraId="008DDEB5">
      <w:pPr>
        <w:pStyle w:val="79"/>
        <w:bidi w:val="0"/>
        <w:rPr>
          <w:rFonts w:hint="default"/>
          <w:color w:val="auto"/>
        </w:rPr>
      </w:pPr>
      <w:r>
        <w:rPr>
          <w:rFonts w:hint="default"/>
          <w:color w:val="auto"/>
        </w:rPr>
        <w:t>（4）评价范围</w:t>
      </w:r>
    </w:p>
    <w:p w14:paraId="68DA5A59">
      <w:pPr>
        <w:pStyle w:val="79"/>
        <w:bidi w:val="0"/>
        <w:rPr>
          <w:rFonts w:hint="default"/>
          <w:color w:val="auto"/>
        </w:rPr>
      </w:pPr>
      <w:r>
        <w:rPr>
          <w:rFonts w:hint="default"/>
          <w:color w:val="auto"/>
        </w:rPr>
        <w:t>按照《环境影响评价技术导则</w:t>
      </w:r>
      <w:r>
        <w:rPr>
          <w:rFonts w:hint="eastAsia"/>
          <w:color w:val="auto"/>
          <w:lang w:val="en-US" w:eastAsia="zh-CN"/>
        </w:rPr>
        <w:t xml:space="preserve"> </w:t>
      </w:r>
      <w:r>
        <w:rPr>
          <w:rFonts w:hint="default"/>
          <w:color w:val="auto"/>
        </w:rPr>
        <w:t>地下水环境》（HJ610-2016）中关于</w:t>
      </w:r>
      <w:r>
        <w:rPr>
          <w:rFonts w:hint="eastAsia"/>
          <w:color w:val="auto"/>
          <w:lang w:eastAsia="zh-CN"/>
        </w:rPr>
        <w:t>“</w:t>
      </w:r>
      <w:r>
        <w:rPr>
          <w:rFonts w:hint="eastAsia"/>
          <w:color w:val="auto"/>
          <w:lang w:val="en-US" w:eastAsia="zh-CN"/>
        </w:rPr>
        <w:t>二</w:t>
      </w:r>
      <w:r>
        <w:rPr>
          <w:rFonts w:hint="default"/>
          <w:color w:val="auto"/>
        </w:rPr>
        <w:t>级评价</w:t>
      </w:r>
      <w:r>
        <w:rPr>
          <w:rFonts w:hint="eastAsia"/>
          <w:color w:val="auto"/>
          <w:lang w:eastAsia="zh-CN"/>
        </w:rPr>
        <w:t>”</w:t>
      </w:r>
      <w:r>
        <w:rPr>
          <w:rFonts w:hint="default"/>
          <w:color w:val="auto"/>
        </w:rPr>
        <w:t>范围的规定，本项目场</w:t>
      </w:r>
      <w:r>
        <w:rPr>
          <w:rFonts w:hint="eastAsia"/>
          <w:color w:val="auto"/>
          <w:lang w:val="en-US" w:eastAsia="zh-CN"/>
        </w:rPr>
        <w:t>站</w:t>
      </w:r>
      <w:r>
        <w:rPr>
          <w:rFonts w:hint="default"/>
          <w:color w:val="auto"/>
        </w:rPr>
        <w:t>评价范围为</w:t>
      </w:r>
      <w:r>
        <w:rPr>
          <w:rFonts w:hint="eastAsia"/>
          <w:color w:val="auto"/>
          <w:lang w:val="en-US" w:eastAsia="zh-CN"/>
        </w:rPr>
        <w:t>20</w:t>
      </w:r>
      <w:r>
        <w:rPr>
          <w:rFonts w:hint="default"/>
          <w:color w:val="auto"/>
        </w:rPr>
        <w:t>km</w:t>
      </w:r>
      <w:r>
        <w:rPr>
          <w:rFonts w:hint="default"/>
          <w:color w:val="auto"/>
          <w:vertAlign w:val="superscript"/>
        </w:rPr>
        <w:t>2</w:t>
      </w:r>
      <w:r>
        <w:rPr>
          <w:rFonts w:hint="default"/>
          <w:color w:val="auto"/>
        </w:rPr>
        <w:t>，根据地下水流向为</w:t>
      </w:r>
      <w:r>
        <w:rPr>
          <w:rFonts w:hint="eastAsia"/>
          <w:color w:val="auto"/>
          <w:lang w:val="en-US" w:eastAsia="zh-CN"/>
        </w:rPr>
        <w:t>自西北</w:t>
      </w:r>
      <w:r>
        <w:rPr>
          <w:rFonts w:hint="default"/>
          <w:color w:val="auto"/>
        </w:rPr>
        <w:t>向</w:t>
      </w:r>
      <w:r>
        <w:rPr>
          <w:rFonts w:hint="eastAsia"/>
          <w:color w:val="auto"/>
          <w:lang w:val="en-US" w:eastAsia="zh-CN"/>
        </w:rPr>
        <w:t>东南</w:t>
      </w:r>
      <w:r>
        <w:rPr>
          <w:rFonts w:hint="default"/>
          <w:color w:val="auto"/>
        </w:rPr>
        <w:t>，选取</w:t>
      </w:r>
      <w:r>
        <w:rPr>
          <w:rFonts w:hint="eastAsia"/>
          <w:color w:val="auto"/>
          <w:lang w:val="en-US" w:eastAsia="zh-CN"/>
        </w:rPr>
        <w:t>项目区</w:t>
      </w:r>
      <w:r>
        <w:rPr>
          <w:rFonts w:hint="default"/>
          <w:color w:val="auto"/>
        </w:rPr>
        <w:t>下游</w:t>
      </w:r>
      <w:r>
        <w:rPr>
          <w:rFonts w:hint="eastAsia"/>
          <w:color w:val="auto"/>
          <w:lang w:val="en-US" w:eastAsia="zh-CN"/>
        </w:rPr>
        <w:t>3</w:t>
      </w:r>
      <w:r>
        <w:rPr>
          <w:rFonts w:hint="default"/>
          <w:color w:val="auto"/>
        </w:rPr>
        <w:t>km，两侧</w:t>
      </w:r>
      <w:r>
        <w:rPr>
          <w:rFonts w:hint="eastAsia"/>
          <w:color w:val="auto"/>
          <w:lang w:val="en-US" w:eastAsia="zh-CN"/>
        </w:rPr>
        <w:t>2</w:t>
      </w:r>
      <w:r>
        <w:rPr>
          <w:rFonts w:hint="default"/>
          <w:color w:val="auto"/>
        </w:rPr>
        <w:t>km，上游</w:t>
      </w:r>
      <w:r>
        <w:rPr>
          <w:rFonts w:hint="eastAsia"/>
          <w:color w:val="auto"/>
          <w:lang w:val="en-US" w:eastAsia="zh-CN"/>
        </w:rPr>
        <w:t>2</w:t>
      </w:r>
      <w:r>
        <w:rPr>
          <w:rFonts w:hint="default"/>
          <w:color w:val="auto"/>
        </w:rPr>
        <w:t>km为评价范围。集输管线地下水评价范围为管线两侧200m。评价范围图见图2.5-1。</w:t>
      </w:r>
    </w:p>
    <w:bookmarkEnd w:id="151"/>
    <w:p w14:paraId="05834E35">
      <w:pPr>
        <w:pStyle w:val="54"/>
        <w:bidi w:val="0"/>
        <w:rPr>
          <w:rFonts w:hint="default"/>
          <w:color w:val="auto"/>
          <w:lang w:val="en-US" w:eastAsia="zh-CN"/>
        </w:rPr>
      </w:pPr>
      <w:bookmarkStart w:id="152" w:name="_Toc3433"/>
      <w:bookmarkStart w:id="153" w:name="_Toc115978777"/>
      <w:r>
        <w:rPr>
          <w:rFonts w:hint="default"/>
          <w:color w:val="auto"/>
          <w:lang w:val="en-US" w:eastAsia="zh-CN"/>
        </w:rPr>
        <w:t>2.</w:t>
      </w:r>
      <w:r>
        <w:rPr>
          <w:rFonts w:hint="eastAsia"/>
          <w:color w:val="auto"/>
          <w:lang w:val="en-US" w:eastAsia="zh-CN"/>
        </w:rPr>
        <w:t>5</w:t>
      </w:r>
      <w:r>
        <w:rPr>
          <w:rFonts w:hint="default"/>
          <w:color w:val="auto"/>
          <w:lang w:val="en-US" w:eastAsia="zh-CN"/>
        </w:rPr>
        <w:t>.3</w:t>
      </w:r>
      <w:r>
        <w:rPr>
          <w:rFonts w:hint="eastAsia"/>
          <w:color w:val="auto"/>
          <w:lang w:val="en-US" w:eastAsia="zh-CN"/>
        </w:rPr>
        <w:t xml:space="preserve"> </w:t>
      </w:r>
      <w:r>
        <w:rPr>
          <w:rFonts w:hint="default"/>
          <w:color w:val="auto"/>
          <w:lang w:val="en-US" w:eastAsia="zh-CN"/>
        </w:rPr>
        <w:t>地表水环境影响评价等级和评价范围</w:t>
      </w:r>
    </w:p>
    <w:p w14:paraId="5AC10F85">
      <w:pPr>
        <w:pStyle w:val="79"/>
        <w:bidi w:val="0"/>
        <w:rPr>
          <w:rFonts w:hint="eastAsia"/>
          <w:color w:val="auto"/>
        </w:rPr>
      </w:pPr>
      <w:r>
        <w:rPr>
          <w:rFonts w:hint="default"/>
          <w:color w:val="auto"/>
        </w:rPr>
        <w:t>按照《环境影响评价技术导则</w:t>
      </w:r>
      <w:r>
        <w:rPr>
          <w:rFonts w:hint="eastAsia"/>
          <w:color w:val="auto"/>
          <w:lang w:val="en-US" w:eastAsia="zh-CN"/>
        </w:rPr>
        <w:t xml:space="preserve"> </w:t>
      </w:r>
      <w:r>
        <w:rPr>
          <w:rFonts w:hint="default"/>
          <w:color w:val="auto"/>
        </w:rPr>
        <w:t>地表水环境》（HJ2.3-2018），项目属于水污染影响型建设项目。在</w:t>
      </w:r>
      <w:r>
        <w:rPr>
          <w:rFonts w:hint="eastAsia"/>
          <w:color w:val="auto"/>
          <w:lang w:val="en-US" w:eastAsia="zh-CN"/>
        </w:rPr>
        <w:t>油田</w:t>
      </w:r>
      <w:r>
        <w:rPr>
          <w:rFonts w:hint="default"/>
          <w:color w:val="auto"/>
        </w:rPr>
        <w:t>正常开采过程中，项目产生的含油污水、井下作业洗井废水不外排，项目区周边无天然地表水体，项目地表水环境影响评价等级为三级B。</w:t>
      </w:r>
    </w:p>
    <w:p w14:paraId="62664ADF">
      <w:pPr>
        <w:pStyle w:val="79"/>
        <w:bidi w:val="0"/>
        <w:rPr>
          <w:rFonts w:hint="eastAsia"/>
          <w:color w:val="auto"/>
        </w:rPr>
      </w:pPr>
      <w:r>
        <w:rPr>
          <w:rFonts w:hint="eastAsia"/>
          <w:color w:val="auto"/>
          <w:lang w:val="zh-CN" w:eastAsia="zh-CN"/>
        </w:rPr>
        <w:t>项目运营阶段正常情况无废水排放，本次地表水环境影响评价重点论证项目废水综合利用不外排的可行性和可靠性</w:t>
      </w:r>
      <w:r>
        <w:rPr>
          <w:rFonts w:hint="eastAsia"/>
          <w:color w:val="auto"/>
          <w:lang w:val="en-US" w:eastAsia="zh-CN"/>
        </w:rPr>
        <w:t>。</w:t>
      </w:r>
    </w:p>
    <w:bookmarkEnd w:id="152"/>
    <w:bookmarkEnd w:id="153"/>
    <w:p w14:paraId="000E968D">
      <w:pPr>
        <w:pStyle w:val="54"/>
        <w:bidi w:val="0"/>
        <w:rPr>
          <w:rFonts w:hint="default"/>
          <w:color w:val="auto"/>
          <w:lang w:val="en-US" w:eastAsia="zh-CN"/>
        </w:rPr>
      </w:pPr>
      <w:bookmarkStart w:id="154" w:name="_Hlk48603751"/>
      <w:r>
        <w:rPr>
          <w:rFonts w:hint="default"/>
          <w:color w:val="auto"/>
          <w:lang w:val="en-US" w:eastAsia="zh-CN"/>
        </w:rPr>
        <w:t>2.</w:t>
      </w:r>
      <w:r>
        <w:rPr>
          <w:rFonts w:hint="eastAsia"/>
          <w:color w:val="auto"/>
          <w:lang w:val="en-US" w:eastAsia="zh-CN"/>
        </w:rPr>
        <w:t>5</w:t>
      </w:r>
      <w:r>
        <w:rPr>
          <w:rFonts w:hint="default"/>
          <w:color w:val="auto"/>
          <w:lang w:val="en-US" w:eastAsia="zh-CN"/>
        </w:rPr>
        <w:t>.</w:t>
      </w:r>
      <w:r>
        <w:rPr>
          <w:rFonts w:hint="eastAsia"/>
          <w:color w:val="auto"/>
          <w:lang w:val="en-US" w:eastAsia="zh-CN"/>
        </w:rPr>
        <w:t xml:space="preserve">4 </w:t>
      </w:r>
      <w:r>
        <w:rPr>
          <w:rFonts w:hint="default"/>
          <w:color w:val="auto"/>
          <w:lang w:val="en-US" w:eastAsia="zh-CN"/>
        </w:rPr>
        <w:t>土壤环境影响评价等级和评价范围</w:t>
      </w:r>
    </w:p>
    <w:p w14:paraId="53660357">
      <w:pPr>
        <w:pStyle w:val="79"/>
        <w:bidi w:val="0"/>
        <w:rPr>
          <w:rFonts w:hint="default"/>
          <w:color w:val="auto"/>
          <w:lang w:val="en-US" w:eastAsia="zh-CN"/>
        </w:rPr>
      </w:pPr>
      <w:r>
        <w:rPr>
          <w:rFonts w:hint="default"/>
          <w:color w:val="auto"/>
          <w:lang w:val="en-US" w:eastAsia="zh-CN"/>
        </w:rPr>
        <w:t>根据《环境影响评价技术导则 陆地石油天然气开发建设项目》（HJ 349-2023），土壤盐化、酸化和碱化地区，建设项目应按照土壤污染影响型和生态影响型，按相应等级分别开展评价工作。本项目为</w:t>
      </w:r>
      <w:r>
        <w:rPr>
          <w:rFonts w:hint="eastAsia"/>
          <w:color w:val="auto"/>
          <w:lang w:val="en-US" w:eastAsia="zh-CN"/>
        </w:rPr>
        <w:t>石油</w:t>
      </w:r>
      <w:r>
        <w:rPr>
          <w:rFonts w:hint="default"/>
          <w:color w:val="auto"/>
          <w:lang w:val="en-US" w:eastAsia="zh-CN"/>
        </w:rPr>
        <w:t>开采</w:t>
      </w:r>
      <w:r>
        <w:rPr>
          <w:rFonts w:hint="eastAsia"/>
          <w:color w:val="auto"/>
          <w:lang w:val="en-US" w:eastAsia="zh-CN"/>
        </w:rPr>
        <w:t>井场、</w:t>
      </w:r>
      <w:r>
        <w:rPr>
          <w:rFonts w:hint="default"/>
          <w:color w:val="auto"/>
          <w:lang w:val="en-US" w:eastAsia="zh-CN"/>
        </w:rPr>
        <w:t>站场等工程，按照</w:t>
      </w:r>
      <w:r>
        <w:rPr>
          <w:rFonts w:hint="default"/>
          <w:color w:val="auto"/>
          <w:lang w:val="en-US" w:eastAsia="zh-CN"/>
        </w:rPr>
        <w:fldChar w:fldCharType="begin"/>
      </w:r>
      <w:r>
        <w:rPr>
          <w:rFonts w:hint="default"/>
          <w:color w:val="auto"/>
          <w:lang w:val="en-US" w:eastAsia="zh-CN"/>
        </w:rPr>
        <w:instrText xml:space="preserve"> = 1 \* ROMAN \* MERGEFORMAT </w:instrText>
      </w:r>
      <w:r>
        <w:rPr>
          <w:rFonts w:hint="default"/>
          <w:color w:val="auto"/>
          <w:lang w:val="en-US" w:eastAsia="zh-CN"/>
        </w:rPr>
        <w:fldChar w:fldCharType="separate"/>
      </w:r>
      <w:r>
        <w:rPr>
          <w:color w:val="auto"/>
        </w:rPr>
        <w:t>I</w:t>
      </w:r>
      <w:r>
        <w:rPr>
          <w:rFonts w:hint="default"/>
          <w:color w:val="auto"/>
          <w:lang w:val="en-US" w:eastAsia="zh-CN"/>
        </w:rPr>
        <w:fldChar w:fldCharType="end"/>
      </w:r>
      <w:r>
        <w:rPr>
          <w:rFonts w:hint="default"/>
          <w:color w:val="auto"/>
          <w:lang w:val="en-US" w:eastAsia="zh-CN"/>
        </w:rPr>
        <w:t>类建设项目开展土壤环境影响评价。本项目</w:t>
      </w:r>
      <w:r>
        <w:rPr>
          <w:rFonts w:hint="eastAsia"/>
          <w:color w:val="auto"/>
          <w:lang w:val="en-US" w:eastAsia="zh-CN"/>
        </w:rPr>
        <w:t>油类等</w:t>
      </w:r>
      <w:r>
        <w:rPr>
          <w:rFonts w:hint="default"/>
          <w:color w:val="auto"/>
          <w:lang w:val="en-US" w:eastAsia="zh-CN"/>
        </w:rPr>
        <w:t>管道按照</w:t>
      </w:r>
      <w:r>
        <w:rPr>
          <w:rFonts w:hint="eastAsia"/>
          <w:color w:val="auto"/>
          <w:lang w:val="en-US" w:eastAsia="zh-CN"/>
        </w:rPr>
        <w:t>Ⅱ</w:t>
      </w:r>
      <w:r>
        <w:rPr>
          <w:rFonts w:hint="default"/>
          <w:color w:val="auto"/>
          <w:lang w:val="en-US" w:eastAsia="zh-CN"/>
        </w:rPr>
        <w:t>类建设项目开展土壤环境影响评价。</w:t>
      </w:r>
    </w:p>
    <w:p w14:paraId="47E997D1">
      <w:pPr>
        <w:pStyle w:val="79"/>
        <w:bidi w:val="0"/>
        <w:rPr>
          <w:rFonts w:hint="default"/>
          <w:color w:val="auto"/>
          <w:lang w:val="en-US" w:eastAsia="zh-CN"/>
        </w:rPr>
      </w:pPr>
      <w:r>
        <w:rPr>
          <w:rFonts w:hint="default"/>
          <w:color w:val="auto"/>
          <w:lang w:val="en-US" w:eastAsia="zh-CN"/>
        </w:rPr>
        <w:t>（1）土壤生态影响型评价等级及评级范围</w:t>
      </w:r>
    </w:p>
    <w:p w14:paraId="2E4CEAA2">
      <w:pPr>
        <w:pStyle w:val="79"/>
        <w:bidi w:val="0"/>
        <w:rPr>
          <w:rFonts w:hint="default"/>
          <w:color w:val="auto"/>
          <w:lang w:val="en-US" w:eastAsia="zh-CN"/>
        </w:rPr>
      </w:pPr>
      <w:r>
        <w:rPr>
          <w:rFonts w:hint="default"/>
          <w:color w:val="auto"/>
          <w:lang w:val="en-US" w:eastAsia="zh-CN"/>
        </w:rPr>
        <w:t>1）土壤生态影响型评价等级</w:t>
      </w:r>
    </w:p>
    <w:p w14:paraId="1D1E96AC">
      <w:pPr>
        <w:pStyle w:val="79"/>
        <w:bidi w:val="0"/>
        <w:rPr>
          <w:rFonts w:hint="default"/>
          <w:color w:val="auto"/>
          <w:lang w:val="en-US" w:eastAsia="zh-CN"/>
        </w:rPr>
      </w:pPr>
      <w:r>
        <w:rPr>
          <w:rFonts w:hint="default"/>
          <w:color w:val="auto"/>
          <w:lang w:val="en-US" w:eastAsia="zh-CN"/>
        </w:rPr>
        <w:t>土壤生态影响型敏感程度分级，见表2.5-</w:t>
      </w:r>
      <w:r>
        <w:rPr>
          <w:rFonts w:hint="eastAsia"/>
          <w:color w:val="auto"/>
          <w:lang w:val="en-US" w:eastAsia="zh-CN"/>
        </w:rPr>
        <w:t>4</w:t>
      </w:r>
      <w:r>
        <w:rPr>
          <w:rFonts w:hint="default"/>
          <w:color w:val="auto"/>
          <w:lang w:val="en-US" w:eastAsia="zh-CN"/>
        </w:rPr>
        <w:t>。</w:t>
      </w:r>
    </w:p>
    <w:p w14:paraId="4C71BDD6">
      <w:pPr>
        <w:pStyle w:val="61"/>
        <w:bidi w:val="0"/>
        <w:jc w:val="both"/>
        <w:rPr>
          <w:rFonts w:hint="eastAsia"/>
          <w:color w:val="auto"/>
          <w:lang w:val="en-US" w:eastAsia="zh-CN"/>
        </w:rPr>
      </w:pPr>
      <w:r>
        <w:rPr>
          <w:rFonts w:hint="eastAsia"/>
          <w:color w:val="auto"/>
          <w:lang w:val="en-US" w:eastAsia="zh-CN"/>
        </w:rPr>
        <w:t>表2.5-4  土壤生态影响型敏感程度分级表</w:t>
      </w:r>
    </w:p>
    <w:tbl>
      <w:tblPr>
        <w:tblStyle w:val="36"/>
        <w:tblW w:w="5016"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927"/>
        <w:gridCol w:w="5669"/>
        <w:gridCol w:w="1034"/>
        <w:gridCol w:w="1046"/>
      </w:tblGrid>
      <w:tr w14:paraId="1D6798E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34" w:type="pct"/>
            <w:vMerge w:val="restart"/>
            <w:tcBorders>
              <w:tl2br w:val="nil"/>
              <w:tr2bl w:val="nil"/>
            </w:tcBorders>
            <w:noWrap w:val="0"/>
            <w:vAlign w:val="center"/>
          </w:tcPr>
          <w:p w14:paraId="2272D8ED">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default" w:ascii="Times New Roman" w:hAnsi="Times New Roman" w:eastAsia="宋体" w:cs="Times New Roman"/>
                <w:color w:val="auto"/>
                <w:kern w:val="0"/>
                <w:sz w:val="21"/>
                <w:szCs w:val="21"/>
                <w:lang w:val="en-US" w:eastAsia="en-US"/>
              </w:rPr>
            </w:pPr>
            <w:r>
              <w:rPr>
                <w:rFonts w:hint="default" w:ascii="Times New Roman" w:hAnsi="Times New Roman" w:eastAsia="宋体" w:cs="Times New Roman"/>
                <w:color w:val="auto"/>
                <w:kern w:val="0"/>
                <w:sz w:val="21"/>
                <w:szCs w:val="21"/>
                <w:lang w:val="en-US" w:eastAsia="en-US"/>
              </w:rPr>
              <w:t>敏感程度</w:t>
            </w:r>
          </w:p>
        </w:tc>
        <w:tc>
          <w:tcPr>
            <w:tcW w:w="4465" w:type="pct"/>
            <w:gridSpan w:val="3"/>
            <w:tcBorders>
              <w:tl2br w:val="nil"/>
              <w:tr2bl w:val="nil"/>
            </w:tcBorders>
            <w:noWrap w:val="0"/>
            <w:vAlign w:val="center"/>
          </w:tcPr>
          <w:p w14:paraId="2C6197B9">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default" w:ascii="Times New Roman" w:hAnsi="Times New Roman" w:eastAsia="宋体" w:cs="Times New Roman"/>
                <w:color w:val="auto"/>
                <w:kern w:val="0"/>
                <w:sz w:val="21"/>
                <w:szCs w:val="21"/>
                <w:lang w:val="en-US" w:eastAsia="en-US"/>
              </w:rPr>
            </w:pPr>
            <w:r>
              <w:rPr>
                <w:rFonts w:hint="default" w:ascii="Times New Roman" w:hAnsi="Times New Roman" w:eastAsia="宋体" w:cs="Times New Roman"/>
                <w:color w:val="auto"/>
                <w:kern w:val="0"/>
                <w:sz w:val="21"/>
                <w:szCs w:val="21"/>
                <w:lang w:val="en-US" w:eastAsia="en-US"/>
              </w:rPr>
              <w:t>判别依据</w:t>
            </w:r>
          </w:p>
        </w:tc>
      </w:tr>
      <w:tr w14:paraId="7795348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34" w:type="pct"/>
            <w:vMerge w:val="continue"/>
            <w:tcBorders>
              <w:tl2br w:val="nil"/>
              <w:tr2bl w:val="nil"/>
            </w:tcBorders>
            <w:noWrap w:val="0"/>
            <w:vAlign w:val="center"/>
          </w:tcPr>
          <w:p w14:paraId="57AA1CD7">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default" w:ascii="Times New Roman" w:hAnsi="Times New Roman" w:eastAsia="宋体" w:cs="Times New Roman"/>
                <w:color w:val="auto"/>
                <w:kern w:val="0"/>
                <w:sz w:val="21"/>
                <w:szCs w:val="21"/>
                <w:lang w:eastAsia="en-US"/>
              </w:rPr>
            </w:pPr>
          </w:p>
        </w:tc>
        <w:tc>
          <w:tcPr>
            <w:tcW w:w="3267" w:type="pct"/>
            <w:tcBorders>
              <w:tl2br w:val="nil"/>
              <w:tr2bl w:val="nil"/>
            </w:tcBorders>
            <w:noWrap w:val="0"/>
            <w:vAlign w:val="center"/>
          </w:tcPr>
          <w:p w14:paraId="46E951C7">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default" w:ascii="Times New Roman" w:hAnsi="Times New Roman" w:eastAsia="宋体" w:cs="Times New Roman"/>
                <w:color w:val="auto"/>
                <w:kern w:val="0"/>
                <w:sz w:val="21"/>
                <w:szCs w:val="21"/>
                <w:lang w:val="en-US" w:eastAsia="en-US"/>
              </w:rPr>
            </w:pPr>
            <w:r>
              <w:rPr>
                <w:rFonts w:hint="default" w:ascii="Times New Roman" w:hAnsi="Times New Roman" w:eastAsia="宋体" w:cs="Times New Roman"/>
                <w:color w:val="auto"/>
                <w:kern w:val="0"/>
                <w:sz w:val="21"/>
                <w:szCs w:val="21"/>
                <w:lang w:val="en-US" w:eastAsia="en-US"/>
              </w:rPr>
              <w:t>盐化</w:t>
            </w:r>
          </w:p>
        </w:tc>
        <w:tc>
          <w:tcPr>
            <w:tcW w:w="596" w:type="pct"/>
            <w:tcBorders>
              <w:tl2br w:val="nil"/>
              <w:tr2bl w:val="nil"/>
            </w:tcBorders>
            <w:noWrap w:val="0"/>
            <w:vAlign w:val="center"/>
          </w:tcPr>
          <w:p w14:paraId="0FD670BC">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default" w:ascii="Times New Roman" w:hAnsi="Times New Roman" w:eastAsia="宋体" w:cs="Times New Roman"/>
                <w:color w:val="auto"/>
                <w:kern w:val="0"/>
                <w:sz w:val="21"/>
                <w:szCs w:val="21"/>
                <w:lang w:val="en-US" w:eastAsia="en-US"/>
              </w:rPr>
            </w:pPr>
            <w:r>
              <w:rPr>
                <w:rFonts w:hint="default" w:ascii="Times New Roman" w:hAnsi="Times New Roman" w:eastAsia="宋体" w:cs="Times New Roman"/>
                <w:color w:val="auto"/>
                <w:kern w:val="0"/>
                <w:sz w:val="21"/>
                <w:szCs w:val="21"/>
                <w:lang w:val="en-US" w:eastAsia="en-US"/>
              </w:rPr>
              <w:t>酸化</w:t>
            </w:r>
          </w:p>
        </w:tc>
        <w:tc>
          <w:tcPr>
            <w:tcW w:w="600" w:type="pct"/>
            <w:tcBorders>
              <w:tl2br w:val="nil"/>
              <w:tr2bl w:val="nil"/>
            </w:tcBorders>
            <w:noWrap w:val="0"/>
            <w:vAlign w:val="center"/>
          </w:tcPr>
          <w:p w14:paraId="00DF3268">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default" w:ascii="Times New Roman" w:hAnsi="Times New Roman" w:eastAsia="宋体" w:cs="Times New Roman"/>
                <w:color w:val="auto"/>
                <w:kern w:val="0"/>
                <w:sz w:val="21"/>
                <w:szCs w:val="21"/>
                <w:lang w:val="en-US" w:eastAsia="en-US"/>
              </w:rPr>
            </w:pPr>
            <w:r>
              <w:rPr>
                <w:rFonts w:hint="default" w:ascii="Times New Roman" w:hAnsi="Times New Roman" w:eastAsia="宋体" w:cs="Times New Roman"/>
                <w:color w:val="auto"/>
                <w:kern w:val="0"/>
                <w:sz w:val="21"/>
                <w:szCs w:val="21"/>
                <w:lang w:val="en-US" w:eastAsia="en-US"/>
              </w:rPr>
              <w:t>碱化</w:t>
            </w:r>
          </w:p>
        </w:tc>
      </w:tr>
      <w:tr w14:paraId="03E1251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34" w:type="pct"/>
            <w:tcBorders>
              <w:tl2br w:val="nil"/>
              <w:tr2bl w:val="nil"/>
            </w:tcBorders>
            <w:noWrap w:val="0"/>
            <w:vAlign w:val="center"/>
          </w:tcPr>
          <w:p w14:paraId="463EE1A8">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default" w:ascii="Times New Roman" w:hAnsi="Times New Roman" w:eastAsia="宋体" w:cs="Times New Roman"/>
                <w:color w:val="auto"/>
                <w:kern w:val="0"/>
                <w:sz w:val="21"/>
                <w:szCs w:val="21"/>
                <w:lang w:val="en-US" w:eastAsia="en-US"/>
              </w:rPr>
            </w:pPr>
            <w:r>
              <w:rPr>
                <w:rFonts w:hint="default" w:ascii="Times New Roman" w:hAnsi="Times New Roman" w:eastAsia="宋体" w:cs="Times New Roman"/>
                <w:color w:val="auto"/>
                <w:kern w:val="0"/>
                <w:sz w:val="21"/>
                <w:szCs w:val="21"/>
                <w:lang w:val="en-US" w:eastAsia="en-US"/>
              </w:rPr>
              <w:t>敏感</w:t>
            </w:r>
          </w:p>
        </w:tc>
        <w:tc>
          <w:tcPr>
            <w:tcW w:w="3267" w:type="pct"/>
            <w:tcBorders>
              <w:tl2br w:val="nil"/>
              <w:tr2bl w:val="nil"/>
            </w:tcBorders>
            <w:noWrap w:val="0"/>
            <w:vAlign w:val="center"/>
          </w:tcPr>
          <w:p w14:paraId="5E28EB60">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default" w:ascii="Times New Roman" w:hAnsi="Times New Roman" w:eastAsia="宋体" w:cs="Times New Roman"/>
                <w:color w:val="auto"/>
                <w:kern w:val="0"/>
                <w:sz w:val="21"/>
                <w:szCs w:val="21"/>
                <w:lang w:val="en-US" w:eastAsia="en-US"/>
              </w:rPr>
            </w:pPr>
            <w:r>
              <w:rPr>
                <w:rFonts w:hint="default" w:ascii="Times New Roman" w:hAnsi="Times New Roman" w:eastAsia="宋体" w:cs="Times New Roman"/>
                <w:color w:val="auto"/>
                <w:kern w:val="0"/>
                <w:sz w:val="21"/>
                <w:szCs w:val="21"/>
                <w:lang w:val="en-US" w:eastAsia="en-US"/>
              </w:rPr>
              <w:t>建设项目所在地干燥度a＞2.5且常年地下水位平均埋深＜1.5m的地势平坦区域；或土壤含盐量＞4 g/kg的区域</w:t>
            </w:r>
          </w:p>
        </w:tc>
        <w:tc>
          <w:tcPr>
            <w:tcW w:w="596" w:type="pct"/>
            <w:tcBorders>
              <w:tl2br w:val="nil"/>
              <w:tr2bl w:val="nil"/>
            </w:tcBorders>
            <w:noWrap w:val="0"/>
            <w:vAlign w:val="center"/>
          </w:tcPr>
          <w:p w14:paraId="41380B72">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default" w:ascii="Times New Roman" w:hAnsi="Times New Roman" w:eastAsia="宋体" w:cs="Times New Roman"/>
                <w:color w:val="auto"/>
                <w:kern w:val="0"/>
                <w:sz w:val="21"/>
                <w:szCs w:val="21"/>
                <w:lang w:val="en-US" w:eastAsia="en-US"/>
              </w:rPr>
            </w:pPr>
            <w:r>
              <w:rPr>
                <w:rFonts w:hint="default" w:ascii="Times New Roman" w:hAnsi="Times New Roman" w:eastAsia="宋体" w:cs="Times New Roman"/>
                <w:color w:val="auto"/>
                <w:kern w:val="0"/>
                <w:sz w:val="21"/>
                <w:szCs w:val="21"/>
                <w:lang w:val="en-US" w:eastAsia="en-US"/>
              </w:rPr>
              <w:t>pH≤4.5</w:t>
            </w:r>
          </w:p>
        </w:tc>
        <w:tc>
          <w:tcPr>
            <w:tcW w:w="600" w:type="pct"/>
            <w:tcBorders>
              <w:tl2br w:val="nil"/>
              <w:tr2bl w:val="nil"/>
            </w:tcBorders>
            <w:noWrap w:val="0"/>
            <w:vAlign w:val="center"/>
          </w:tcPr>
          <w:p w14:paraId="1953954B">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default" w:ascii="Times New Roman" w:hAnsi="Times New Roman" w:eastAsia="宋体" w:cs="Times New Roman"/>
                <w:color w:val="auto"/>
                <w:kern w:val="0"/>
                <w:sz w:val="21"/>
                <w:szCs w:val="21"/>
                <w:lang w:val="en-US" w:eastAsia="en-US"/>
              </w:rPr>
            </w:pPr>
            <w:r>
              <w:rPr>
                <w:rFonts w:hint="default" w:ascii="Times New Roman" w:hAnsi="Times New Roman" w:eastAsia="宋体" w:cs="Times New Roman"/>
                <w:color w:val="auto"/>
                <w:kern w:val="0"/>
                <w:sz w:val="21"/>
                <w:szCs w:val="21"/>
                <w:lang w:val="en-US" w:eastAsia="en-US"/>
              </w:rPr>
              <w:t>pH≥9.0</w:t>
            </w:r>
          </w:p>
        </w:tc>
      </w:tr>
      <w:tr w14:paraId="19FC790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34" w:type="pct"/>
            <w:tcBorders>
              <w:tl2br w:val="nil"/>
              <w:tr2bl w:val="nil"/>
            </w:tcBorders>
            <w:noWrap w:val="0"/>
            <w:vAlign w:val="center"/>
          </w:tcPr>
          <w:p w14:paraId="4A98E3E4">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default" w:ascii="Times New Roman" w:hAnsi="Times New Roman" w:eastAsia="宋体" w:cs="Times New Roman"/>
                <w:color w:val="auto"/>
                <w:kern w:val="0"/>
                <w:sz w:val="21"/>
                <w:szCs w:val="21"/>
                <w:lang w:val="en-US" w:eastAsia="en-US"/>
              </w:rPr>
            </w:pPr>
            <w:r>
              <w:rPr>
                <w:rFonts w:hint="default" w:ascii="Times New Roman" w:hAnsi="Times New Roman" w:eastAsia="宋体" w:cs="Times New Roman"/>
                <w:color w:val="auto"/>
                <w:kern w:val="0"/>
                <w:sz w:val="21"/>
                <w:szCs w:val="21"/>
                <w:lang w:val="en-US" w:eastAsia="en-US"/>
              </w:rPr>
              <w:t>较敏感</w:t>
            </w:r>
          </w:p>
        </w:tc>
        <w:tc>
          <w:tcPr>
            <w:tcW w:w="3267" w:type="pct"/>
            <w:tcBorders>
              <w:tl2br w:val="nil"/>
              <w:tr2bl w:val="nil"/>
            </w:tcBorders>
            <w:noWrap w:val="0"/>
            <w:vAlign w:val="center"/>
          </w:tcPr>
          <w:p w14:paraId="5AB54244">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default" w:ascii="Times New Roman" w:hAnsi="Times New Roman" w:eastAsia="宋体" w:cs="Times New Roman"/>
                <w:color w:val="auto"/>
                <w:kern w:val="0"/>
                <w:sz w:val="21"/>
                <w:szCs w:val="21"/>
                <w:lang w:val="en-US" w:eastAsia="en-US"/>
              </w:rPr>
            </w:pPr>
            <w:r>
              <w:rPr>
                <w:rFonts w:hint="default" w:ascii="Times New Roman" w:hAnsi="Times New Roman" w:eastAsia="宋体" w:cs="Times New Roman"/>
                <w:color w:val="auto"/>
                <w:kern w:val="0"/>
                <w:sz w:val="21"/>
                <w:szCs w:val="21"/>
                <w:lang w:val="en-US" w:eastAsia="en-US"/>
              </w:rPr>
              <w:t>建设项目所在地干燥度＞2.5且常年地下水位平均埋深≥1.5 m 的，或1.8＜干燥度≤2.5且常年地下水位平均埋深＜1.8 m 的地势平坦区域；建设项目所在地干燥度＞2.5或常年地下水位平均埋深＜1.5 m的平原区；或2g/kg＜土壤含盐量≤4g/kg的区域</w:t>
            </w:r>
          </w:p>
        </w:tc>
        <w:tc>
          <w:tcPr>
            <w:tcW w:w="596" w:type="pct"/>
            <w:tcBorders>
              <w:tl2br w:val="nil"/>
              <w:tr2bl w:val="nil"/>
            </w:tcBorders>
            <w:noWrap w:val="0"/>
            <w:vAlign w:val="center"/>
          </w:tcPr>
          <w:p w14:paraId="27D0D5CB">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default" w:ascii="Times New Roman" w:hAnsi="Times New Roman" w:eastAsia="宋体" w:cs="Times New Roman"/>
                <w:color w:val="auto"/>
                <w:kern w:val="0"/>
                <w:sz w:val="21"/>
                <w:szCs w:val="21"/>
                <w:lang w:val="en-US" w:eastAsia="en-US"/>
              </w:rPr>
            </w:pPr>
            <w:r>
              <w:rPr>
                <w:rFonts w:hint="default" w:ascii="Times New Roman" w:hAnsi="Times New Roman" w:eastAsia="宋体" w:cs="Times New Roman"/>
                <w:color w:val="auto"/>
                <w:kern w:val="0"/>
                <w:sz w:val="21"/>
                <w:szCs w:val="21"/>
                <w:lang w:val="en-US" w:eastAsia="en-US"/>
              </w:rPr>
              <w:t>4.5</w:t>
            </w:r>
            <w:r>
              <w:rPr>
                <w:rFonts w:hint="eastAsia" w:cs="Times New Roman"/>
                <w:color w:val="auto"/>
                <w:kern w:val="0"/>
                <w:sz w:val="21"/>
                <w:szCs w:val="21"/>
                <w:lang w:val="en-US" w:eastAsia="zh-CN"/>
              </w:rPr>
              <w:t>&lt;</w:t>
            </w:r>
            <w:r>
              <w:rPr>
                <w:rFonts w:hint="default" w:ascii="Times New Roman" w:hAnsi="Times New Roman" w:eastAsia="宋体" w:cs="Times New Roman"/>
                <w:color w:val="auto"/>
                <w:kern w:val="0"/>
                <w:sz w:val="21"/>
                <w:szCs w:val="21"/>
                <w:lang w:val="en-US" w:eastAsia="en-US"/>
              </w:rPr>
              <w:t>pH≤5.5</w:t>
            </w:r>
          </w:p>
        </w:tc>
        <w:tc>
          <w:tcPr>
            <w:tcW w:w="600" w:type="pct"/>
            <w:tcBorders>
              <w:tl2br w:val="nil"/>
              <w:tr2bl w:val="nil"/>
            </w:tcBorders>
            <w:noWrap w:val="0"/>
            <w:vAlign w:val="center"/>
          </w:tcPr>
          <w:p w14:paraId="78D7229B">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default" w:ascii="Times New Roman" w:hAnsi="Times New Roman" w:eastAsia="宋体" w:cs="Times New Roman"/>
                <w:color w:val="auto"/>
                <w:kern w:val="0"/>
                <w:sz w:val="21"/>
                <w:szCs w:val="21"/>
                <w:lang w:val="en-US" w:eastAsia="en-US"/>
              </w:rPr>
            </w:pPr>
            <w:r>
              <w:rPr>
                <w:rFonts w:hint="default" w:ascii="Times New Roman" w:hAnsi="Times New Roman" w:eastAsia="宋体" w:cs="Times New Roman"/>
                <w:color w:val="auto"/>
                <w:kern w:val="0"/>
                <w:sz w:val="21"/>
                <w:szCs w:val="21"/>
                <w:lang w:val="en-US" w:eastAsia="en-US"/>
              </w:rPr>
              <w:t>8.5≤pH</w:t>
            </w:r>
            <w:r>
              <w:rPr>
                <w:rFonts w:hint="eastAsia" w:cs="Times New Roman"/>
                <w:color w:val="auto"/>
                <w:kern w:val="0"/>
                <w:sz w:val="21"/>
                <w:szCs w:val="21"/>
                <w:lang w:val="en-US" w:eastAsia="zh-CN"/>
              </w:rPr>
              <w:t>&lt;</w:t>
            </w:r>
            <w:r>
              <w:rPr>
                <w:rFonts w:hint="default" w:ascii="Times New Roman" w:hAnsi="Times New Roman" w:eastAsia="宋体" w:cs="Times New Roman"/>
                <w:color w:val="auto"/>
                <w:kern w:val="0"/>
                <w:sz w:val="21"/>
                <w:szCs w:val="21"/>
                <w:lang w:val="en-US" w:eastAsia="en-US"/>
              </w:rPr>
              <w:t>9.0</w:t>
            </w:r>
          </w:p>
        </w:tc>
      </w:tr>
      <w:tr w14:paraId="154DBAC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34" w:type="pct"/>
            <w:tcBorders>
              <w:tl2br w:val="nil"/>
              <w:tr2bl w:val="nil"/>
            </w:tcBorders>
            <w:noWrap w:val="0"/>
            <w:vAlign w:val="center"/>
          </w:tcPr>
          <w:p w14:paraId="49FE08A4">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default" w:ascii="Times New Roman" w:hAnsi="Times New Roman" w:eastAsia="宋体" w:cs="Times New Roman"/>
                <w:color w:val="auto"/>
                <w:kern w:val="0"/>
                <w:sz w:val="21"/>
                <w:szCs w:val="21"/>
                <w:lang w:val="en-US" w:eastAsia="en-US"/>
              </w:rPr>
            </w:pPr>
            <w:r>
              <w:rPr>
                <w:rFonts w:hint="default" w:ascii="Times New Roman" w:hAnsi="Times New Roman" w:eastAsia="宋体" w:cs="Times New Roman"/>
                <w:color w:val="auto"/>
                <w:kern w:val="0"/>
                <w:sz w:val="21"/>
                <w:szCs w:val="21"/>
                <w:lang w:val="en-US" w:eastAsia="en-US"/>
              </w:rPr>
              <w:t>不敏感</w:t>
            </w:r>
          </w:p>
        </w:tc>
        <w:tc>
          <w:tcPr>
            <w:tcW w:w="3267" w:type="pct"/>
            <w:tcBorders>
              <w:tl2br w:val="nil"/>
              <w:tr2bl w:val="nil"/>
            </w:tcBorders>
            <w:noWrap w:val="0"/>
            <w:vAlign w:val="center"/>
          </w:tcPr>
          <w:p w14:paraId="70D4E0D9">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default" w:ascii="Times New Roman" w:hAnsi="Times New Roman" w:eastAsia="宋体" w:cs="Times New Roman"/>
                <w:color w:val="auto"/>
                <w:kern w:val="0"/>
                <w:sz w:val="21"/>
                <w:szCs w:val="21"/>
                <w:lang w:val="en-US" w:eastAsia="en-US"/>
              </w:rPr>
            </w:pPr>
            <w:r>
              <w:rPr>
                <w:rFonts w:hint="default" w:ascii="Times New Roman" w:hAnsi="Times New Roman" w:eastAsia="宋体" w:cs="Times New Roman"/>
                <w:color w:val="auto"/>
                <w:kern w:val="0"/>
                <w:sz w:val="21"/>
                <w:szCs w:val="21"/>
                <w:lang w:val="en-US" w:eastAsia="en-US"/>
              </w:rPr>
              <w:t>其他</w:t>
            </w:r>
          </w:p>
        </w:tc>
        <w:tc>
          <w:tcPr>
            <w:tcW w:w="1197" w:type="pct"/>
            <w:gridSpan w:val="2"/>
            <w:tcBorders>
              <w:tl2br w:val="nil"/>
              <w:tr2bl w:val="nil"/>
            </w:tcBorders>
            <w:noWrap w:val="0"/>
            <w:vAlign w:val="center"/>
          </w:tcPr>
          <w:p w14:paraId="10E5129D">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default" w:ascii="Times New Roman" w:hAnsi="Times New Roman" w:eastAsia="宋体" w:cs="Times New Roman"/>
                <w:color w:val="auto"/>
                <w:kern w:val="0"/>
                <w:sz w:val="21"/>
                <w:szCs w:val="21"/>
                <w:lang w:val="en-US" w:eastAsia="en-US"/>
              </w:rPr>
            </w:pPr>
            <w:r>
              <w:rPr>
                <w:rFonts w:hint="default" w:ascii="Times New Roman" w:hAnsi="Times New Roman" w:eastAsia="宋体" w:cs="Times New Roman"/>
                <w:color w:val="auto"/>
                <w:kern w:val="0"/>
                <w:sz w:val="21"/>
                <w:szCs w:val="21"/>
                <w:lang w:val="en-US" w:eastAsia="en-US"/>
              </w:rPr>
              <w:t>5.5</w:t>
            </w:r>
            <w:r>
              <w:rPr>
                <w:rFonts w:hint="eastAsia" w:cs="Times New Roman"/>
                <w:color w:val="auto"/>
                <w:kern w:val="0"/>
                <w:sz w:val="21"/>
                <w:szCs w:val="21"/>
                <w:lang w:val="en-US" w:eastAsia="zh-CN"/>
              </w:rPr>
              <w:t>&lt;</w:t>
            </w:r>
            <w:r>
              <w:rPr>
                <w:rFonts w:hint="default" w:ascii="Times New Roman" w:hAnsi="Times New Roman" w:eastAsia="宋体" w:cs="Times New Roman"/>
                <w:color w:val="auto"/>
                <w:kern w:val="0"/>
                <w:sz w:val="21"/>
                <w:szCs w:val="21"/>
                <w:lang w:val="en-US" w:eastAsia="en-US"/>
              </w:rPr>
              <w:t>pH</w:t>
            </w:r>
            <w:r>
              <w:rPr>
                <w:rFonts w:hint="eastAsia" w:cs="Times New Roman"/>
                <w:color w:val="auto"/>
                <w:kern w:val="0"/>
                <w:sz w:val="21"/>
                <w:szCs w:val="21"/>
                <w:lang w:val="en-US" w:eastAsia="zh-CN"/>
              </w:rPr>
              <w:t>&lt;</w:t>
            </w:r>
            <w:r>
              <w:rPr>
                <w:rFonts w:hint="default" w:ascii="Times New Roman" w:hAnsi="Times New Roman" w:eastAsia="宋体" w:cs="Times New Roman"/>
                <w:color w:val="auto"/>
                <w:kern w:val="0"/>
                <w:sz w:val="21"/>
                <w:szCs w:val="21"/>
                <w:lang w:val="en-US" w:eastAsia="en-US"/>
              </w:rPr>
              <w:t>8.5</w:t>
            </w:r>
          </w:p>
        </w:tc>
      </w:tr>
      <w:tr w14:paraId="71CF9DC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000" w:type="pct"/>
            <w:gridSpan w:val="4"/>
            <w:tcBorders>
              <w:tl2br w:val="nil"/>
              <w:tr2bl w:val="nil"/>
            </w:tcBorders>
            <w:noWrap w:val="0"/>
            <w:vAlign w:val="center"/>
          </w:tcPr>
          <w:p w14:paraId="28F3A36E">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default" w:ascii="Times New Roman" w:hAnsi="Times New Roman" w:eastAsia="宋体" w:cs="Times New Roman"/>
                <w:color w:val="auto"/>
                <w:kern w:val="0"/>
                <w:sz w:val="21"/>
                <w:szCs w:val="21"/>
                <w:lang w:val="en-US" w:eastAsia="en-US"/>
              </w:rPr>
            </w:pPr>
            <w:r>
              <w:rPr>
                <w:rFonts w:hint="default" w:ascii="Times New Roman" w:hAnsi="Times New Roman" w:eastAsia="宋体" w:cs="Times New Roman"/>
                <w:color w:val="auto"/>
                <w:kern w:val="0"/>
                <w:sz w:val="21"/>
                <w:szCs w:val="21"/>
                <w:lang w:val="en-US" w:eastAsia="en-US"/>
              </w:rPr>
              <w:t>a 是指采用 E601 观测的多年平均水面蒸发量与降水量的比值，即蒸降比值。</w:t>
            </w:r>
          </w:p>
        </w:tc>
      </w:tr>
    </w:tbl>
    <w:p w14:paraId="0E227A99">
      <w:pPr>
        <w:pStyle w:val="79"/>
        <w:bidi w:val="0"/>
        <w:rPr>
          <w:rFonts w:hint="eastAsia"/>
          <w:color w:val="auto"/>
          <w:lang w:val="en-US" w:eastAsia="zh-CN"/>
        </w:rPr>
      </w:pPr>
      <w:r>
        <w:rPr>
          <w:rFonts w:hint="eastAsia"/>
          <w:color w:val="auto"/>
          <w:lang w:val="en-US" w:eastAsia="zh-CN"/>
        </w:rPr>
        <w:t>土壤生态影响型评价工作等级划分</w:t>
      </w:r>
      <w:r>
        <w:rPr>
          <w:rFonts w:hint="default"/>
          <w:color w:val="auto"/>
          <w:lang w:val="en-US" w:eastAsia="zh-CN"/>
        </w:rPr>
        <w:t>表2.5-</w:t>
      </w:r>
      <w:r>
        <w:rPr>
          <w:rFonts w:hint="eastAsia"/>
          <w:color w:val="auto"/>
          <w:lang w:val="en-US" w:eastAsia="zh-CN"/>
        </w:rPr>
        <w:t>5。</w:t>
      </w:r>
    </w:p>
    <w:p w14:paraId="3D970827">
      <w:pPr>
        <w:pStyle w:val="61"/>
        <w:bidi w:val="0"/>
        <w:jc w:val="both"/>
        <w:rPr>
          <w:rFonts w:hint="default"/>
          <w:color w:val="auto"/>
          <w:lang w:val="en-US" w:eastAsia="zh-CN"/>
        </w:rPr>
      </w:pPr>
      <w:r>
        <w:rPr>
          <w:rFonts w:hint="eastAsia"/>
          <w:color w:val="auto"/>
          <w:lang w:val="en-US" w:eastAsia="zh-CN"/>
        </w:rPr>
        <w:t>表 2.5-5</w:t>
      </w:r>
      <w:r>
        <w:rPr>
          <w:rFonts w:hint="eastAsia"/>
          <w:color w:val="auto"/>
          <w:lang w:val="en-US" w:eastAsia="zh-CN"/>
        </w:rPr>
        <w:tab/>
      </w:r>
      <w:r>
        <w:rPr>
          <w:rFonts w:hint="eastAsia"/>
          <w:color w:val="auto"/>
          <w:lang w:val="en-US" w:eastAsia="zh-CN"/>
        </w:rPr>
        <w:t>土壤生态影响型评价工作等级划分表</w:t>
      </w:r>
    </w:p>
    <w:tbl>
      <w:tblPr>
        <w:tblStyle w:val="36"/>
        <w:tblW w:w="5015"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2292"/>
        <w:gridCol w:w="2370"/>
        <w:gridCol w:w="1934"/>
        <w:gridCol w:w="2078"/>
      </w:tblGrid>
      <w:tr w14:paraId="28E04EB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16" w:hRule="atLeast"/>
          <w:jc w:val="center"/>
        </w:trPr>
        <w:tc>
          <w:tcPr>
            <w:tcW w:w="1321" w:type="pct"/>
            <w:tcBorders>
              <w:tl2br w:val="nil"/>
              <w:tr2bl w:val="nil"/>
            </w:tcBorders>
            <w:noWrap w:val="0"/>
            <w:vAlign w:val="center"/>
          </w:tcPr>
          <w:p w14:paraId="7F4B5C9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eastAsia="en-US"/>
              </w:rPr>
            </w:pPr>
            <w:r>
              <w:rPr>
                <w:rFonts w:hint="default" w:ascii="Times New Roman" w:hAnsi="Times New Roman" w:eastAsia="宋体" w:cs="Times New Roman"/>
                <w:b/>
                <w:color w:val="auto"/>
                <w:kern w:val="0"/>
                <w:sz w:val="20"/>
                <w:szCs w:val="16"/>
              </w:rPr>
              <mc:AlternateContent>
                <mc:Choice Requires="wps">
                  <w:drawing>
                    <wp:anchor distT="0" distB="0" distL="114300" distR="114300" simplePos="0" relativeHeight="251686912" behindDoc="0" locked="0" layoutInCell="1" allowOverlap="1">
                      <wp:simplePos x="0" y="0"/>
                      <wp:positionH relativeFrom="column">
                        <wp:posOffset>523240</wp:posOffset>
                      </wp:positionH>
                      <wp:positionV relativeFrom="paragraph">
                        <wp:posOffset>1905</wp:posOffset>
                      </wp:positionV>
                      <wp:extent cx="890270" cy="589280"/>
                      <wp:effectExtent l="2540" t="3810" r="2540" b="16510"/>
                      <wp:wrapNone/>
                      <wp:docPr id="96" name="直接箭头连接符 96"/>
                      <wp:cNvGraphicFramePr/>
                      <a:graphic xmlns:a="http://schemas.openxmlformats.org/drawingml/2006/main">
                        <a:graphicData uri="http://schemas.microsoft.com/office/word/2010/wordprocessingShape">
                          <wps:wsp>
                            <wps:cNvCnPr/>
                            <wps:spPr>
                              <a:xfrm>
                                <a:off x="0" y="0"/>
                                <a:ext cx="890270" cy="589280"/>
                              </a:xfrm>
                              <a:prstGeom prst="straightConnector1">
                                <a:avLst/>
                              </a:prstGeom>
                              <a:ln w="6350" cap="flat" cmpd="sng">
                                <a:solidFill>
                                  <a:srgbClr val="0D0D0D"/>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1.2pt;margin-top:0.15pt;height:46.4pt;width:70.1pt;z-index:251686912;mso-width-relative:page;mso-height-relative:page;" filled="f" stroked="t" coordsize="21600,21600" o:gfxdata="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QENv+1wAAAAYBAAAPAAAAAAAAAAEAIAAAACIAAABkcnMv&#10;ZG93bnJldi54bWxQSwECFAAUAAAACACHTuJAwRFrZwQCAADyAwAADgAAAAAAAAABACAAAAAmAQAA&#10;ZHJzL2Uyb0RvYy54bWxQSwUGAAAAAAYABgBZAQAAnAUAAAAA&#10;">
                      <v:fill on="f" focussize="0,0"/>
                      <v:stroke weight="0.5pt" color="#0D0D0D" joinstyle="round"/>
                      <v:imagedata o:title=""/>
                      <o:lock v:ext="edit" aspectratio="f"/>
                    </v:shape>
                  </w:pict>
                </mc:Fallback>
              </mc:AlternateContent>
            </w:r>
            <w:r>
              <w:rPr>
                <w:rFonts w:hint="default" w:ascii="Times New Roman" w:hAnsi="Times New Roman" w:eastAsia="宋体" w:cs="Times New Roman"/>
                <w:color w:val="auto"/>
                <w:kern w:val="0"/>
                <w:sz w:val="21"/>
                <w:szCs w:val="21"/>
                <w:lang w:val="en-US" w:eastAsia="zh-CN"/>
              </w:rPr>
              <w:t xml:space="preserve">            </w:t>
            </w:r>
            <w:r>
              <w:rPr>
                <w:rFonts w:hint="default" w:ascii="Times New Roman" w:hAnsi="Times New Roman" w:eastAsia="宋体" w:cs="Times New Roman"/>
                <w:color w:val="auto"/>
                <w:kern w:val="0"/>
                <w:sz w:val="21"/>
                <w:szCs w:val="21"/>
                <w:lang w:val="en-US" w:eastAsia="en-US"/>
              </w:rPr>
              <w:t>项目类别</w:t>
            </w:r>
          </w:p>
          <w:p w14:paraId="69E9CDAE">
            <w:pPr>
              <w:keepNext w:val="0"/>
              <w:keepLines w:val="0"/>
              <w:pageBreakBefore w:val="0"/>
              <w:widowControl/>
              <w:kinsoku/>
              <w:wordWrap/>
              <w:overflowPunct/>
              <w:topLinePunct w:val="0"/>
              <w:autoSpaceDE/>
              <w:autoSpaceDN/>
              <w:bidi w:val="0"/>
              <w:adjustRightInd/>
              <w:snapToGrid/>
              <w:spacing w:line="360" w:lineRule="exact"/>
              <w:ind w:firstLine="630" w:firstLineChars="300"/>
              <w:jc w:val="both"/>
              <w:textAlignment w:val="auto"/>
              <w:rPr>
                <w:rFonts w:hint="default" w:ascii="Times New Roman" w:hAnsi="Times New Roman" w:eastAsia="宋体" w:cs="Times New Roman"/>
                <w:color w:val="auto"/>
                <w:kern w:val="0"/>
                <w:sz w:val="21"/>
                <w:szCs w:val="21"/>
                <w:lang w:eastAsia="en-US"/>
              </w:rPr>
            </w:pPr>
            <w:r>
              <w:rPr>
                <w:rFonts w:hint="default" w:ascii="Times New Roman" w:hAnsi="Times New Roman" w:eastAsia="宋体" w:cs="Times New Roman"/>
                <w:color w:val="auto"/>
                <w:kern w:val="0"/>
                <w:sz w:val="21"/>
                <w:szCs w:val="21"/>
              </w:rPr>
              <mc:AlternateContent>
                <mc:Choice Requires="wps">
                  <w:drawing>
                    <wp:anchor distT="0" distB="0" distL="114300" distR="114300" simplePos="0" relativeHeight="251687936" behindDoc="0" locked="0" layoutInCell="1" allowOverlap="1">
                      <wp:simplePos x="0" y="0"/>
                      <wp:positionH relativeFrom="column">
                        <wp:posOffset>-7620</wp:posOffset>
                      </wp:positionH>
                      <wp:positionV relativeFrom="paragraph">
                        <wp:posOffset>125095</wp:posOffset>
                      </wp:positionV>
                      <wp:extent cx="1404620" cy="269875"/>
                      <wp:effectExtent l="635" t="4445" r="4445" b="11430"/>
                      <wp:wrapNone/>
                      <wp:docPr id="97" name="直接箭头连接符 97"/>
                      <wp:cNvGraphicFramePr/>
                      <a:graphic xmlns:a="http://schemas.openxmlformats.org/drawingml/2006/main">
                        <a:graphicData uri="http://schemas.microsoft.com/office/word/2010/wordprocessingShape">
                          <wps:wsp>
                            <wps:cNvCnPr/>
                            <wps:spPr>
                              <a:xfrm>
                                <a:off x="0" y="0"/>
                                <a:ext cx="1404620" cy="269875"/>
                              </a:xfrm>
                              <a:prstGeom prst="straightConnector1">
                                <a:avLst/>
                              </a:prstGeom>
                              <a:ln w="6350" cap="flat" cmpd="sng">
                                <a:solidFill>
                                  <a:srgbClr val="0D0D0D"/>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6pt;margin-top:9.85pt;height:21.25pt;width:110.6pt;z-index:251687936;mso-width-relative:page;mso-height-relative:page;" filled="f" stroked="t" coordsize="21600,21600" o:gfxdata="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m/MFtgAAAAIAQAADwAAAAAAAAABACAAAAAiAAAAZHJz&#10;L2Rvd25yZXYueG1sUEsBAhQAFAAAAAgAh07iQO3hRQ0EAgAA8wMAAA4AAAAAAAAAAQAgAAAAJwEA&#10;AGRycy9lMm9Eb2MueG1sUEsFBgAAAAAGAAYAWQEAAJ0FAAAAAA==&#10;">
                      <v:fill on="f" focussize="0,0"/>
                      <v:stroke weight="0.5pt" color="#0D0D0D" joinstyle="round"/>
                      <v:imagedata o:title=""/>
                      <o:lock v:ext="edit" aspectratio="f"/>
                    </v:shape>
                  </w:pict>
                </mc:Fallback>
              </mc:AlternateContent>
            </w:r>
            <w:r>
              <w:rPr>
                <w:rFonts w:hint="default" w:ascii="Times New Roman" w:hAnsi="Times New Roman" w:eastAsia="宋体" w:cs="Times New Roman"/>
                <w:color w:val="auto"/>
                <w:kern w:val="0"/>
                <w:sz w:val="21"/>
                <w:szCs w:val="21"/>
                <w:lang w:val="en-US" w:eastAsia="en-US"/>
              </w:rPr>
              <w:t>评价等级</w:t>
            </w:r>
          </w:p>
          <w:p w14:paraId="37AD314F">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lang w:eastAsia="en-US"/>
              </w:rPr>
            </w:pPr>
            <w:r>
              <w:rPr>
                <w:rFonts w:hint="default" w:ascii="Times New Roman" w:hAnsi="Times New Roman" w:eastAsia="宋体" w:cs="Times New Roman"/>
                <w:color w:val="auto"/>
                <w:kern w:val="0"/>
                <w:sz w:val="21"/>
                <w:szCs w:val="21"/>
                <w:lang w:val="en-US" w:eastAsia="en-US"/>
              </w:rPr>
              <w:t>敏感程度</w:t>
            </w:r>
          </w:p>
        </w:tc>
        <w:tc>
          <w:tcPr>
            <w:tcW w:w="1366" w:type="pct"/>
            <w:tcBorders>
              <w:tl2br w:val="nil"/>
              <w:tr2bl w:val="nil"/>
            </w:tcBorders>
            <w:noWrap w:val="0"/>
            <w:vAlign w:val="center"/>
          </w:tcPr>
          <w:p w14:paraId="3DA63E6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en-US"/>
              </w:rPr>
            </w:pPr>
            <w:r>
              <w:rPr>
                <w:rFonts w:hint="default" w:ascii="Times New Roman" w:hAnsi="Times New Roman" w:eastAsia="宋体" w:cs="Times New Roman"/>
                <w:color w:val="auto"/>
                <w:kern w:val="0"/>
                <w:sz w:val="21"/>
                <w:szCs w:val="21"/>
                <w:lang w:val="en-US" w:eastAsia="en-US"/>
              </w:rPr>
              <w:t>Ⅰ类</w:t>
            </w:r>
          </w:p>
        </w:tc>
        <w:tc>
          <w:tcPr>
            <w:tcW w:w="1115" w:type="pct"/>
            <w:tcBorders>
              <w:tl2br w:val="nil"/>
              <w:tr2bl w:val="nil"/>
            </w:tcBorders>
            <w:noWrap w:val="0"/>
            <w:vAlign w:val="center"/>
          </w:tcPr>
          <w:p w14:paraId="71820CB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en-US"/>
              </w:rPr>
            </w:pPr>
            <w:r>
              <w:rPr>
                <w:rFonts w:hint="default" w:ascii="Times New Roman" w:hAnsi="Times New Roman" w:eastAsia="宋体" w:cs="Times New Roman"/>
                <w:color w:val="auto"/>
                <w:kern w:val="0"/>
                <w:sz w:val="21"/>
                <w:szCs w:val="21"/>
                <w:lang w:val="en-US" w:eastAsia="en-US"/>
              </w:rPr>
              <w:t>Ⅱ类</w:t>
            </w:r>
          </w:p>
        </w:tc>
        <w:tc>
          <w:tcPr>
            <w:tcW w:w="1197" w:type="pct"/>
            <w:tcBorders>
              <w:tl2br w:val="nil"/>
              <w:tr2bl w:val="nil"/>
            </w:tcBorders>
            <w:noWrap w:val="0"/>
            <w:vAlign w:val="center"/>
          </w:tcPr>
          <w:p w14:paraId="547967B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en-US"/>
              </w:rPr>
            </w:pPr>
            <w:r>
              <w:rPr>
                <w:rFonts w:hint="default" w:ascii="Times New Roman" w:hAnsi="Times New Roman" w:eastAsia="宋体" w:cs="Times New Roman"/>
                <w:color w:val="auto"/>
                <w:kern w:val="0"/>
                <w:sz w:val="21"/>
                <w:szCs w:val="21"/>
                <w:lang w:val="en-US" w:eastAsia="en-US"/>
              </w:rPr>
              <w:t>Ⅲ类</w:t>
            </w:r>
          </w:p>
        </w:tc>
      </w:tr>
      <w:tr w14:paraId="4F6C975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321" w:type="pct"/>
            <w:tcBorders>
              <w:tl2br w:val="nil"/>
              <w:tr2bl w:val="nil"/>
            </w:tcBorders>
            <w:noWrap w:val="0"/>
            <w:vAlign w:val="center"/>
          </w:tcPr>
          <w:p w14:paraId="4D922C9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en-US"/>
              </w:rPr>
            </w:pPr>
            <w:r>
              <w:rPr>
                <w:rFonts w:hint="default" w:ascii="Times New Roman" w:hAnsi="Times New Roman" w:eastAsia="宋体" w:cs="Times New Roman"/>
                <w:color w:val="auto"/>
                <w:kern w:val="0"/>
                <w:sz w:val="21"/>
                <w:szCs w:val="21"/>
                <w:lang w:val="en-US" w:eastAsia="en-US"/>
              </w:rPr>
              <w:t>敏感</w:t>
            </w:r>
          </w:p>
        </w:tc>
        <w:tc>
          <w:tcPr>
            <w:tcW w:w="1366" w:type="pct"/>
            <w:tcBorders>
              <w:tl2br w:val="nil"/>
              <w:tr2bl w:val="nil"/>
            </w:tcBorders>
            <w:noWrap w:val="0"/>
            <w:vAlign w:val="center"/>
          </w:tcPr>
          <w:p w14:paraId="2656FF9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en-US"/>
              </w:rPr>
            </w:pPr>
            <w:r>
              <w:rPr>
                <w:rFonts w:hint="default" w:ascii="Times New Roman" w:hAnsi="Times New Roman" w:eastAsia="宋体" w:cs="Times New Roman"/>
                <w:color w:val="auto"/>
                <w:kern w:val="0"/>
                <w:sz w:val="21"/>
                <w:szCs w:val="21"/>
                <w:lang w:val="en-US" w:eastAsia="en-US"/>
              </w:rPr>
              <w:t>一级</w:t>
            </w:r>
          </w:p>
        </w:tc>
        <w:tc>
          <w:tcPr>
            <w:tcW w:w="1115" w:type="pct"/>
            <w:tcBorders>
              <w:tl2br w:val="nil"/>
              <w:tr2bl w:val="nil"/>
            </w:tcBorders>
            <w:noWrap w:val="0"/>
            <w:vAlign w:val="center"/>
          </w:tcPr>
          <w:p w14:paraId="3BD3B70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en-US"/>
              </w:rPr>
            </w:pPr>
            <w:r>
              <w:rPr>
                <w:rFonts w:hint="default" w:ascii="Times New Roman" w:hAnsi="Times New Roman" w:eastAsia="宋体" w:cs="Times New Roman"/>
                <w:color w:val="auto"/>
                <w:kern w:val="0"/>
                <w:sz w:val="21"/>
                <w:szCs w:val="21"/>
                <w:lang w:val="en-US" w:eastAsia="en-US"/>
              </w:rPr>
              <w:t>二级</w:t>
            </w:r>
          </w:p>
        </w:tc>
        <w:tc>
          <w:tcPr>
            <w:tcW w:w="1197" w:type="pct"/>
            <w:tcBorders>
              <w:tl2br w:val="nil"/>
              <w:tr2bl w:val="nil"/>
            </w:tcBorders>
            <w:noWrap w:val="0"/>
            <w:vAlign w:val="center"/>
          </w:tcPr>
          <w:p w14:paraId="2FE234D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en-US"/>
              </w:rPr>
            </w:pPr>
            <w:r>
              <w:rPr>
                <w:rFonts w:hint="default" w:ascii="Times New Roman" w:hAnsi="Times New Roman" w:eastAsia="宋体" w:cs="Times New Roman"/>
                <w:color w:val="auto"/>
                <w:kern w:val="0"/>
                <w:sz w:val="21"/>
                <w:szCs w:val="21"/>
                <w:lang w:val="en-US" w:eastAsia="en-US"/>
              </w:rPr>
              <w:t>三级</w:t>
            </w:r>
          </w:p>
        </w:tc>
      </w:tr>
      <w:tr w14:paraId="6ECD2F6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321" w:type="pct"/>
            <w:tcBorders>
              <w:tl2br w:val="nil"/>
              <w:tr2bl w:val="nil"/>
            </w:tcBorders>
            <w:noWrap w:val="0"/>
            <w:vAlign w:val="center"/>
          </w:tcPr>
          <w:p w14:paraId="77F311B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en-US"/>
              </w:rPr>
            </w:pPr>
            <w:r>
              <w:rPr>
                <w:rFonts w:hint="default" w:ascii="Times New Roman" w:hAnsi="Times New Roman" w:eastAsia="宋体" w:cs="Times New Roman"/>
                <w:color w:val="auto"/>
                <w:kern w:val="0"/>
                <w:sz w:val="21"/>
                <w:szCs w:val="21"/>
                <w:lang w:val="en-US" w:eastAsia="en-US"/>
              </w:rPr>
              <w:t>较敏感</w:t>
            </w:r>
          </w:p>
        </w:tc>
        <w:tc>
          <w:tcPr>
            <w:tcW w:w="1366" w:type="pct"/>
            <w:tcBorders>
              <w:tl2br w:val="nil"/>
              <w:tr2bl w:val="nil"/>
            </w:tcBorders>
            <w:noWrap w:val="0"/>
            <w:vAlign w:val="center"/>
          </w:tcPr>
          <w:p w14:paraId="6EECD808">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en-US"/>
              </w:rPr>
            </w:pPr>
            <w:r>
              <w:rPr>
                <w:rFonts w:hint="default" w:ascii="Times New Roman" w:hAnsi="Times New Roman" w:eastAsia="宋体" w:cs="Times New Roman"/>
                <w:color w:val="auto"/>
                <w:kern w:val="0"/>
                <w:sz w:val="21"/>
                <w:szCs w:val="21"/>
                <w:lang w:val="en-US" w:eastAsia="en-US"/>
              </w:rPr>
              <w:t>二级</w:t>
            </w:r>
          </w:p>
        </w:tc>
        <w:tc>
          <w:tcPr>
            <w:tcW w:w="1115" w:type="pct"/>
            <w:tcBorders>
              <w:tl2br w:val="nil"/>
              <w:tr2bl w:val="nil"/>
            </w:tcBorders>
            <w:noWrap w:val="0"/>
            <w:vAlign w:val="center"/>
          </w:tcPr>
          <w:p w14:paraId="22B67BE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en-US"/>
              </w:rPr>
            </w:pPr>
            <w:r>
              <w:rPr>
                <w:rFonts w:hint="default" w:ascii="Times New Roman" w:hAnsi="Times New Roman" w:eastAsia="宋体" w:cs="Times New Roman"/>
                <w:color w:val="auto"/>
                <w:kern w:val="0"/>
                <w:sz w:val="21"/>
                <w:szCs w:val="21"/>
                <w:lang w:val="en-US" w:eastAsia="en-US"/>
              </w:rPr>
              <w:t>二级</w:t>
            </w:r>
          </w:p>
        </w:tc>
        <w:tc>
          <w:tcPr>
            <w:tcW w:w="1197" w:type="pct"/>
            <w:tcBorders>
              <w:tl2br w:val="nil"/>
              <w:tr2bl w:val="nil"/>
            </w:tcBorders>
            <w:noWrap w:val="0"/>
            <w:vAlign w:val="center"/>
          </w:tcPr>
          <w:p w14:paraId="6A21E0D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en-US"/>
              </w:rPr>
            </w:pPr>
            <w:r>
              <w:rPr>
                <w:rFonts w:hint="default" w:ascii="Times New Roman" w:hAnsi="Times New Roman" w:eastAsia="宋体" w:cs="Times New Roman"/>
                <w:color w:val="auto"/>
                <w:kern w:val="0"/>
                <w:sz w:val="21"/>
                <w:szCs w:val="21"/>
                <w:lang w:val="en-US" w:eastAsia="en-US"/>
              </w:rPr>
              <w:t>三级</w:t>
            </w:r>
          </w:p>
        </w:tc>
      </w:tr>
      <w:tr w14:paraId="06BAFA5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321" w:type="pct"/>
            <w:tcBorders>
              <w:tl2br w:val="nil"/>
              <w:tr2bl w:val="nil"/>
            </w:tcBorders>
            <w:noWrap w:val="0"/>
            <w:vAlign w:val="center"/>
          </w:tcPr>
          <w:p w14:paraId="1BE81129">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en-US"/>
              </w:rPr>
            </w:pPr>
            <w:r>
              <w:rPr>
                <w:rFonts w:hint="default" w:ascii="Times New Roman" w:hAnsi="Times New Roman" w:eastAsia="宋体" w:cs="Times New Roman"/>
                <w:color w:val="auto"/>
                <w:kern w:val="0"/>
                <w:sz w:val="21"/>
                <w:szCs w:val="21"/>
                <w:lang w:val="en-US" w:eastAsia="en-US"/>
              </w:rPr>
              <w:t>不敏感</w:t>
            </w:r>
          </w:p>
        </w:tc>
        <w:tc>
          <w:tcPr>
            <w:tcW w:w="1366" w:type="pct"/>
            <w:tcBorders>
              <w:tl2br w:val="nil"/>
              <w:tr2bl w:val="nil"/>
            </w:tcBorders>
            <w:noWrap w:val="0"/>
            <w:vAlign w:val="center"/>
          </w:tcPr>
          <w:p w14:paraId="2931C2A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en-US"/>
              </w:rPr>
            </w:pPr>
            <w:r>
              <w:rPr>
                <w:rFonts w:hint="default" w:ascii="Times New Roman" w:hAnsi="Times New Roman" w:eastAsia="宋体" w:cs="Times New Roman"/>
                <w:color w:val="auto"/>
                <w:kern w:val="0"/>
                <w:sz w:val="21"/>
                <w:szCs w:val="21"/>
                <w:lang w:val="en-US" w:eastAsia="en-US"/>
              </w:rPr>
              <w:t>二级</w:t>
            </w:r>
          </w:p>
        </w:tc>
        <w:tc>
          <w:tcPr>
            <w:tcW w:w="1115" w:type="pct"/>
            <w:tcBorders>
              <w:tl2br w:val="nil"/>
              <w:tr2bl w:val="nil"/>
            </w:tcBorders>
            <w:noWrap w:val="0"/>
            <w:vAlign w:val="center"/>
          </w:tcPr>
          <w:p w14:paraId="7DC8038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en-US"/>
              </w:rPr>
            </w:pPr>
            <w:r>
              <w:rPr>
                <w:rFonts w:hint="default" w:ascii="Times New Roman" w:hAnsi="Times New Roman" w:eastAsia="宋体" w:cs="Times New Roman"/>
                <w:color w:val="auto"/>
                <w:kern w:val="0"/>
                <w:sz w:val="21"/>
                <w:szCs w:val="21"/>
                <w:lang w:val="en-US" w:eastAsia="en-US"/>
              </w:rPr>
              <w:t>三级</w:t>
            </w:r>
          </w:p>
        </w:tc>
        <w:tc>
          <w:tcPr>
            <w:tcW w:w="1197" w:type="pct"/>
            <w:tcBorders>
              <w:tl2br w:val="nil"/>
              <w:tr2bl w:val="nil"/>
            </w:tcBorders>
            <w:noWrap w:val="0"/>
            <w:vAlign w:val="center"/>
          </w:tcPr>
          <w:p w14:paraId="423E725D">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en-US"/>
              </w:rPr>
            </w:pPr>
            <w:r>
              <w:rPr>
                <w:rFonts w:hint="default" w:ascii="Times New Roman" w:hAnsi="Times New Roman" w:eastAsia="宋体" w:cs="Times New Roman"/>
                <w:color w:val="auto"/>
                <w:kern w:val="0"/>
                <w:sz w:val="21"/>
                <w:szCs w:val="21"/>
                <w:lang w:val="en-US" w:eastAsia="en-US"/>
              </w:rPr>
              <w:t>-</w:t>
            </w:r>
          </w:p>
        </w:tc>
      </w:tr>
      <w:tr w14:paraId="275E94C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5000" w:type="pct"/>
            <w:gridSpan w:val="4"/>
            <w:tcBorders>
              <w:tl2br w:val="nil"/>
              <w:tr2bl w:val="nil"/>
            </w:tcBorders>
            <w:noWrap w:val="0"/>
            <w:vAlign w:val="center"/>
          </w:tcPr>
          <w:p w14:paraId="59F0CB88">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en-US"/>
              </w:rPr>
            </w:pPr>
            <w:r>
              <w:rPr>
                <w:rFonts w:hint="default" w:ascii="Times New Roman" w:hAnsi="Times New Roman" w:eastAsia="宋体" w:cs="Times New Roman"/>
                <w:color w:val="auto"/>
                <w:kern w:val="0"/>
                <w:sz w:val="21"/>
                <w:szCs w:val="21"/>
                <w:lang w:val="en-US" w:eastAsia="en-US"/>
              </w:rPr>
              <w:t>注：“</w:t>
            </w:r>
            <w:r>
              <w:rPr>
                <w:rFonts w:hint="eastAsia"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en-US"/>
              </w:rPr>
              <w:t>”表示可不开展土壤环境影响评价工作。</w:t>
            </w:r>
          </w:p>
        </w:tc>
      </w:tr>
    </w:tbl>
    <w:p w14:paraId="43E03086">
      <w:pPr>
        <w:pStyle w:val="79"/>
        <w:bidi w:val="0"/>
        <w:rPr>
          <w:color w:val="auto"/>
          <w:lang w:val="en-US" w:eastAsia="zh-CN"/>
        </w:rPr>
      </w:pPr>
      <w:r>
        <w:rPr>
          <w:rFonts w:hint="eastAsia"/>
          <w:color w:val="auto"/>
          <w:lang w:val="en-US" w:eastAsia="zh-CN"/>
        </w:rPr>
        <w:t>根据本次现状监测，本工程占地范围内土壤含盐量为0.2～3.8g/kg，pH值在7.3-8.8之间，则判定土壤敏感程度为“较敏感”，本工程为石油开采项目，其中站场属于</w:t>
      </w:r>
      <w:r>
        <w:rPr>
          <w:rFonts w:hint="eastAsia"/>
          <w:color w:val="auto"/>
          <w:lang w:val="en-US" w:eastAsia="zh-CN"/>
        </w:rPr>
        <w:fldChar w:fldCharType="begin"/>
      </w:r>
      <w:r>
        <w:rPr>
          <w:rFonts w:hint="eastAsia"/>
          <w:color w:val="auto"/>
          <w:lang w:val="en-US" w:eastAsia="zh-CN"/>
        </w:rPr>
        <w:instrText xml:space="preserve"> = 1 \* ROMAN \* MERGEFORMAT </w:instrText>
      </w:r>
      <w:r>
        <w:rPr>
          <w:rFonts w:hint="eastAsia"/>
          <w:color w:val="auto"/>
          <w:lang w:val="en-US" w:eastAsia="zh-CN"/>
        </w:rPr>
        <w:fldChar w:fldCharType="separate"/>
      </w:r>
      <w:r>
        <w:rPr>
          <w:color w:val="auto"/>
        </w:rPr>
        <w:t>I</w:t>
      </w:r>
      <w:r>
        <w:rPr>
          <w:rFonts w:hint="eastAsia"/>
          <w:color w:val="auto"/>
          <w:lang w:val="en-US" w:eastAsia="zh-CN"/>
        </w:rPr>
        <w:fldChar w:fldCharType="end"/>
      </w:r>
      <w:r>
        <w:rPr>
          <w:rFonts w:hint="eastAsia"/>
          <w:color w:val="auto"/>
          <w:lang w:val="en-US" w:eastAsia="zh-CN"/>
        </w:rPr>
        <w:t>类项目，集输管道属于Ⅱ类项目，生态影响型评价等级划分为二级。</w:t>
      </w:r>
    </w:p>
    <w:p w14:paraId="21E66BAC">
      <w:pPr>
        <w:pStyle w:val="79"/>
        <w:bidi w:val="0"/>
        <w:rPr>
          <w:rFonts w:hint="default"/>
          <w:color w:val="auto"/>
          <w:lang w:val="en-US" w:eastAsia="zh-CN"/>
        </w:rPr>
      </w:pPr>
      <w:r>
        <w:rPr>
          <w:rFonts w:hint="eastAsia"/>
          <w:color w:val="auto"/>
          <w:lang w:val="en-US" w:eastAsia="zh-CN"/>
        </w:rPr>
        <w:t>2）评价范围</w:t>
      </w:r>
    </w:p>
    <w:p w14:paraId="3DC0F035">
      <w:pPr>
        <w:pStyle w:val="79"/>
        <w:bidi w:val="0"/>
        <w:rPr>
          <w:rFonts w:hint="eastAsia"/>
          <w:color w:val="auto"/>
          <w:lang w:val="en-US" w:eastAsia="zh-CN"/>
        </w:rPr>
      </w:pPr>
      <w:r>
        <w:rPr>
          <w:rFonts w:hint="eastAsia"/>
          <w:color w:val="auto"/>
          <w:lang w:val="en-US" w:eastAsia="zh-CN"/>
        </w:rPr>
        <w:t>根据评价工作等级，并结合本工程特点，考虑油油田整体开发对区域的影响，确定土壤生态影响型评价范围为站场边界外2km区域范围。</w:t>
      </w:r>
    </w:p>
    <w:p w14:paraId="3C00579D">
      <w:pPr>
        <w:pStyle w:val="79"/>
        <w:bidi w:val="0"/>
        <w:rPr>
          <w:rFonts w:hint="eastAsia"/>
          <w:color w:val="auto"/>
          <w:lang w:val="en-US" w:eastAsia="zh-CN"/>
        </w:rPr>
      </w:pPr>
      <w:r>
        <w:rPr>
          <w:rFonts w:hint="eastAsia"/>
          <w:color w:val="auto"/>
          <w:lang w:val="en-US" w:eastAsia="zh-CN"/>
        </w:rPr>
        <w:t>（2）土壤污染影响型评价等级及评级范围</w:t>
      </w:r>
    </w:p>
    <w:p w14:paraId="1D84D400">
      <w:pPr>
        <w:pStyle w:val="79"/>
        <w:bidi w:val="0"/>
        <w:rPr>
          <w:rFonts w:hint="eastAsia"/>
          <w:color w:val="auto"/>
          <w:lang w:val="en-US" w:eastAsia="zh-CN"/>
        </w:rPr>
      </w:pPr>
      <w:r>
        <w:rPr>
          <w:rFonts w:hint="eastAsia"/>
          <w:color w:val="auto"/>
          <w:lang w:val="en-US" w:eastAsia="zh-CN"/>
        </w:rPr>
        <w:t>1）土壤污染影响型评价等级</w:t>
      </w:r>
    </w:p>
    <w:p w14:paraId="4B4144D1">
      <w:pPr>
        <w:pStyle w:val="79"/>
        <w:bidi w:val="0"/>
        <w:rPr>
          <w:rFonts w:hint="default"/>
          <w:color w:val="auto"/>
          <w:lang w:val="en-US" w:eastAsia="zh-CN"/>
        </w:rPr>
      </w:pPr>
      <w:r>
        <w:rPr>
          <w:rFonts w:hint="eastAsia"/>
          <w:color w:val="auto"/>
          <w:lang w:val="en-US" w:eastAsia="zh-CN"/>
        </w:rPr>
        <w:t>土壤污染影响型敏感程度分级，见表2.5-6、表2.5-7。</w:t>
      </w:r>
    </w:p>
    <w:p w14:paraId="7042A974">
      <w:pPr>
        <w:pStyle w:val="61"/>
        <w:bidi w:val="0"/>
        <w:jc w:val="both"/>
        <w:rPr>
          <w:rFonts w:hint="default"/>
          <w:color w:val="auto"/>
          <w:lang w:val="en-US" w:eastAsia="en-US"/>
        </w:rPr>
      </w:pPr>
      <w:r>
        <w:rPr>
          <w:rFonts w:hint="default"/>
          <w:color w:val="auto"/>
          <w:lang w:val="en-US" w:eastAsia="en-US"/>
        </w:rPr>
        <w:t>表</w:t>
      </w:r>
      <w:r>
        <w:rPr>
          <w:rFonts w:hint="eastAsia"/>
          <w:color w:val="auto"/>
          <w:lang w:val="en-US" w:eastAsia="zh-CN"/>
        </w:rPr>
        <w:t>2.5-6  土壤</w:t>
      </w:r>
      <w:r>
        <w:rPr>
          <w:rFonts w:hint="default"/>
          <w:color w:val="auto"/>
          <w:lang w:val="en-US" w:eastAsia="en-US"/>
        </w:rPr>
        <w:t>污染影响型敏感程度分级表</w:t>
      </w:r>
    </w:p>
    <w:tbl>
      <w:tblPr>
        <w:tblStyle w:val="36"/>
        <w:tblW w:w="5112"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1613"/>
        <w:gridCol w:w="7229"/>
      </w:tblGrid>
      <w:tr w14:paraId="1D8BF01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912" w:type="pct"/>
            <w:tcBorders>
              <w:tl2br w:val="nil"/>
              <w:tr2bl w:val="nil"/>
            </w:tcBorders>
            <w:noWrap w:val="0"/>
            <w:vAlign w:val="center"/>
          </w:tcPr>
          <w:p w14:paraId="067EB1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olor w:val="auto"/>
                <w:sz w:val="21"/>
                <w:szCs w:val="21"/>
                <w:lang w:val="en-US" w:eastAsia="en-US"/>
              </w:rPr>
            </w:pPr>
            <w:r>
              <w:rPr>
                <w:rFonts w:hint="default"/>
                <w:color w:val="auto"/>
                <w:sz w:val="21"/>
                <w:szCs w:val="21"/>
                <w:lang w:val="en-US" w:eastAsia="en-US"/>
              </w:rPr>
              <w:t>敏感程度</w:t>
            </w:r>
          </w:p>
        </w:tc>
        <w:tc>
          <w:tcPr>
            <w:tcW w:w="4087" w:type="pct"/>
            <w:tcBorders>
              <w:tl2br w:val="nil"/>
              <w:tr2bl w:val="nil"/>
            </w:tcBorders>
            <w:noWrap w:val="0"/>
            <w:vAlign w:val="center"/>
          </w:tcPr>
          <w:p w14:paraId="766916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olor w:val="auto"/>
                <w:sz w:val="21"/>
                <w:szCs w:val="21"/>
                <w:lang w:val="en-US" w:eastAsia="en-US"/>
              </w:rPr>
            </w:pPr>
            <w:r>
              <w:rPr>
                <w:rFonts w:hint="default"/>
                <w:color w:val="auto"/>
                <w:sz w:val="21"/>
                <w:szCs w:val="21"/>
                <w:lang w:val="en-US" w:eastAsia="en-US"/>
              </w:rPr>
              <w:t>判别依据</w:t>
            </w:r>
          </w:p>
        </w:tc>
      </w:tr>
      <w:tr w14:paraId="29352C2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912" w:type="pct"/>
            <w:tcBorders>
              <w:tl2br w:val="nil"/>
              <w:tr2bl w:val="nil"/>
            </w:tcBorders>
            <w:noWrap w:val="0"/>
            <w:vAlign w:val="center"/>
          </w:tcPr>
          <w:p w14:paraId="3922A5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olor w:val="auto"/>
                <w:sz w:val="21"/>
                <w:szCs w:val="21"/>
                <w:lang w:val="en-US" w:eastAsia="en-US"/>
              </w:rPr>
            </w:pPr>
            <w:r>
              <w:rPr>
                <w:rFonts w:hint="default"/>
                <w:color w:val="auto"/>
                <w:sz w:val="21"/>
                <w:szCs w:val="21"/>
                <w:lang w:val="en-US" w:eastAsia="en-US"/>
              </w:rPr>
              <w:t>敏</w:t>
            </w:r>
            <w:r>
              <w:rPr>
                <w:rFonts w:hint="eastAsia"/>
                <w:color w:val="auto"/>
                <w:sz w:val="21"/>
                <w:szCs w:val="21"/>
                <w:lang w:val="en-US" w:eastAsia="zh-CN"/>
              </w:rPr>
              <w:t xml:space="preserve">  </w:t>
            </w:r>
            <w:r>
              <w:rPr>
                <w:rFonts w:hint="default"/>
                <w:color w:val="auto"/>
                <w:sz w:val="21"/>
                <w:szCs w:val="21"/>
                <w:lang w:val="en-US" w:eastAsia="en-US"/>
              </w:rPr>
              <w:t>感</w:t>
            </w:r>
          </w:p>
        </w:tc>
        <w:tc>
          <w:tcPr>
            <w:tcW w:w="4087" w:type="pct"/>
            <w:tcBorders>
              <w:tl2br w:val="nil"/>
              <w:tr2bl w:val="nil"/>
            </w:tcBorders>
            <w:noWrap w:val="0"/>
            <w:vAlign w:val="center"/>
          </w:tcPr>
          <w:p w14:paraId="5B34BD14">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color w:val="auto"/>
                <w:sz w:val="21"/>
                <w:szCs w:val="21"/>
                <w:lang w:val="en-US" w:eastAsia="en-US"/>
              </w:rPr>
            </w:pPr>
            <w:r>
              <w:rPr>
                <w:rFonts w:hint="default"/>
                <w:color w:val="auto"/>
                <w:sz w:val="21"/>
                <w:szCs w:val="21"/>
                <w:lang w:val="en-US" w:eastAsia="en-US"/>
              </w:rPr>
              <w:t>建设项目周边存在耕地、园地、牧草地、饮用水水源地或居民区、学校、医院、疗养院、养老院等土壤环境敏感目标的</w:t>
            </w:r>
          </w:p>
        </w:tc>
      </w:tr>
      <w:tr w14:paraId="78DF091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23" w:hRule="atLeast"/>
          <w:jc w:val="center"/>
        </w:trPr>
        <w:tc>
          <w:tcPr>
            <w:tcW w:w="912" w:type="pct"/>
            <w:tcBorders>
              <w:tl2br w:val="nil"/>
              <w:tr2bl w:val="nil"/>
            </w:tcBorders>
            <w:noWrap w:val="0"/>
            <w:vAlign w:val="center"/>
          </w:tcPr>
          <w:p w14:paraId="382F505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olor w:val="auto"/>
                <w:sz w:val="21"/>
                <w:szCs w:val="21"/>
                <w:lang w:val="en-US" w:eastAsia="en-US"/>
              </w:rPr>
            </w:pPr>
            <w:r>
              <w:rPr>
                <w:rFonts w:hint="default"/>
                <w:color w:val="auto"/>
                <w:sz w:val="21"/>
                <w:szCs w:val="21"/>
                <w:lang w:val="en-US" w:eastAsia="en-US"/>
              </w:rPr>
              <w:t>较敏感</w:t>
            </w:r>
          </w:p>
        </w:tc>
        <w:tc>
          <w:tcPr>
            <w:tcW w:w="4087" w:type="pct"/>
            <w:tcBorders>
              <w:tl2br w:val="nil"/>
              <w:tr2bl w:val="nil"/>
            </w:tcBorders>
            <w:noWrap w:val="0"/>
            <w:vAlign w:val="center"/>
          </w:tcPr>
          <w:p w14:paraId="664E91D8">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color w:val="auto"/>
                <w:sz w:val="21"/>
                <w:szCs w:val="21"/>
                <w:lang w:val="en-US" w:eastAsia="en-US"/>
              </w:rPr>
            </w:pPr>
            <w:r>
              <w:rPr>
                <w:rFonts w:hint="default"/>
                <w:color w:val="auto"/>
                <w:sz w:val="21"/>
                <w:szCs w:val="21"/>
                <w:lang w:val="en-US" w:eastAsia="en-US"/>
              </w:rPr>
              <w:t>建设项目周边存在其他土壤环境敏感目标的</w:t>
            </w:r>
          </w:p>
        </w:tc>
      </w:tr>
      <w:tr w14:paraId="3CC5185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23" w:hRule="atLeast"/>
          <w:jc w:val="center"/>
        </w:trPr>
        <w:tc>
          <w:tcPr>
            <w:tcW w:w="912" w:type="pct"/>
            <w:tcBorders>
              <w:tl2br w:val="nil"/>
              <w:tr2bl w:val="nil"/>
            </w:tcBorders>
            <w:noWrap w:val="0"/>
            <w:vAlign w:val="center"/>
          </w:tcPr>
          <w:p w14:paraId="5DAA34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olor w:val="auto"/>
                <w:sz w:val="21"/>
                <w:szCs w:val="21"/>
                <w:lang w:val="en-US" w:eastAsia="en-US"/>
              </w:rPr>
            </w:pPr>
            <w:r>
              <w:rPr>
                <w:rFonts w:hint="default"/>
                <w:color w:val="auto"/>
                <w:sz w:val="21"/>
                <w:szCs w:val="21"/>
                <w:lang w:val="en-US" w:eastAsia="en-US"/>
              </w:rPr>
              <w:t>不敏感</w:t>
            </w:r>
          </w:p>
        </w:tc>
        <w:tc>
          <w:tcPr>
            <w:tcW w:w="4087" w:type="pct"/>
            <w:tcBorders>
              <w:tl2br w:val="nil"/>
              <w:tr2bl w:val="nil"/>
            </w:tcBorders>
            <w:noWrap w:val="0"/>
            <w:vAlign w:val="center"/>
          </w:tcPr>
          <w:p w14:paraId="32DDFD43">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color w:val="auto"/>
                <w:sz w:val="21"/>
                <w:szCs w:val="21"/>
                <w:lang w:val="en-US" w:eastAsia="en-US"/>
              </w:rPr>
            </w:pPr>
            <w:r>
              <w:rPr>
                <w:rFonts w:hint="default"/>
                <w:color w:val="auto"/>
                <w:sz w:val="21"/>
                <w:szCs w:val="21"/>
                <w:lang w:val="en-US" w:eastAsia="en-US"/>
              </w:rPr>
              <w:t>其他情况</w:t>
            </w:r>
          </w:p>
        </w:tc>
      </w:tr>
    </w:tbl>
    <w:p w14:paraId="74C748F5">
      <w:pPr>
        <w:pStyle w:val="61"/>
        <w:bidi w:val="0"/>
        <w:jc w:val="both"/>
        <w:rPr>
          <w:rFonts w:hint="eastAsia"/>
          <w:color w:val="auto"/>
          <w:lang w:val="en-US" w:eastAsia="zh-CN"/>
        </w:rPr>
      </w:pPr>
      <w:r>
        <w:rPr>
          <w:rFonts w:hint="eastAsia"/>
          <w:color w:val="auto"/>
          <w:lang w:val="en-US" w:eastAsia="zh-CN"/>
        </w:rPr>
        <w:t>表2.5-7   土壤污染类项目评价工作等级划分表</w:t>
      </w:r>
    </w:p>
    <w:tbl>
      <w:tblPr>
        <w:tblStyle w:val="36"/>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29"/>
        <w:gridCol w:w="832"/>
        <w:gridCol w:w="832"/>
        <w:gridCol w:w="836"/>
        <w:gridCol w:w="832"/>
        <w:gridCol w:w="832"/>
        <w:gridCol w:w="836"/>
        <w:gridCol w:w="832"/>
        <w:gridCol w:w="832"/>
        <w:gridCol w:w="836"/>
      </w:tblGrid>
      <w:tr w14:paraId="68AEED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52" w:type="pct"/>
            <w:vMerge w:val="restart"/>
            <w:tcBorders>
              <w:tl2br w:val="nil"/>
              <w:tr2bl w:val="nil"/>
            </w:tcBorders>
            <w:noWrap w:val="0"/>
            <w:vAlign w:val="center"/>
          </w:tcPr>
          <w:p w14:paraId="3335A25B">
            <w:pPr>
              <w:keepNext w:val="0"/>
              <w:keepLines w:val="0"/>
              <w:pageBreakBefore w:val="0"/>
              <w:widowControl/>
              <w:kinsoku/>
              <w:wordWrap/>
              <w:overflowPunct/>
              <w:topLinePunct w:val="0"/>
              <w:autoSpaceDE/>
              <w:autoSpaceDN/>
              <w:bidi w:val="0"/>
              <w:adjustRightInd/>
              <w:snapToGrid w:val="0"/>
              <w:spacing w:line="360" w:lineRule="exact"/>
              <w:jc w:val="right"/>
              <w:textAlignment w:val="auto"/>
              <w:rPr>
                <w:rFonts w:ascii="Times New Roman" w:hAnsi="Times New Roman" w:eastAsia="宋体" w:cs="Times New Roman"/>
                <w:color w:val="auto"/>
                <w:kern w:val="0"/>
                <w:sz w:val="20"/>
                <w:szCs w:val="16"/>
              </w:rPr>
            </w:pPr>
            <w:r>
              <w:rPr>
                <w:rFonts w:ascii="Times New Roman" w:hAnsi="Times New Roman" w:eastAsia="宋体" w:cs="Times New Roman"/>
                <w:b/>
                <w:color w:val="auto"/>
                <w:kern w:val="0"/>
                <w:sz w:val="20"/>
                <w:szCs w:val="16"/>
              </w:rPr>
              <mc:AlternateContent>
                <mc:Choice Requires="wps">
                  <w:drawing>
                    <wp:anchor distT="0" distB="0" distL="114300" distR="114300" simplePos="0" relativeHeight="251684864" behindDoc="0" locked="0" layoutInCell="1" allowOverlap="1">
                      <wp:simplePos x="0" y="0"/>
                      <wp:positionH relativeFrom="column">
                        <wp:posOffset>67945</wp:posOffset>
                      </wp:positionH>
                      <wp:positionV relativeFrom="paragraph">
                        <wp:posOffset>6350</wp:posOffset>
                      </wp:positionV>
                      <wp:extent cx="688340" cy="645795"/>
                      <wp:effectExtent l="3175" t="3175" r="13335" b="17780"/>
                      <wp:wrapNone/>
                      <wp:docPr id="98" name="直接箭头连接符 98"/>
                      <wp:cNvGraphicFramePr/>
                      <a:graphic xmlns:a="http://schemas.openxmlformats.org/drawingml/2006/main">
                        <a:graphicData uri="http://schemas.microsoft.com/office/word/2010/wordprocessingShape">
                          <wps:wsp>
                            <wps:cNvCnPr/>
                            <wps:spPr>
                              <a:xfrm>
                                <a:off x="0" y="0"/>
                                <a:ext cx="688340" cy="645795"/>
                              </a:xfrm>
                              <a:prstGeom prst="straightConnector1">
                                <a:avLst/>
                              </a:prstGeom>
                              <a:ln w="6350" cap="flat" cmpd="sng">
                                <a:solidFill>
                                  <a:srgbClr val="0D0D0D"/>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35pt;margin-top:0.5pt;height:50.85pt;width:54.2pt;z-index:251684864;mso-width-relative:page;mso-height-relative:page;" filled="f" stroked="t" coordsize="21600,21600" o:gfxdata="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QKW4TVAAAACAEAAA8AAAAAAAAAAQAgAAAAIgAAAGRycy9kb3du&#10;cmV2LnhtbFBLAQIUABQAAAAIAIdO4kCjBxTkAgIAAPIDAAAOAAAAAAAAAAEAIAAAACQBAABkcnMv&#10;ZTJvRG9jLnhtbFBLBQYAAAAABgAGAFkBAACYBQAAAAA=&#10;">
                      <v:fill on="f" focussize="0,0"/>
                      <v:stroke weight="0.5pt" color="#0D0D0D" joinstyle="round"/>
                      <v:imagedata o:title=""/>
                      <o:lock v:ext="edit" aspectratio="f"/>
                    </v:shape>
                  </w:pict>
                </mc:Fallback>
              </mc:AlternateContent>
            </w:r>
            <w:r>
              <w:rPr>
                <w:rFonts w:ascii="Times New Roman" w:hAnsi="Times New Roman" w:eastAsia="宋体" w:cs="Times New Roman"/>
                <w:color w:val="auto"/>
                <w:kern w:val="0"/>
                <w:sz w:val="20"/>
                <w:szCs w:val="16"/>
              </w:rPr>
              <w:t>占地规模</w:t>
            </w:r>
          </w:p>
          <w:p w14:paraId="4677728D">
            <w:pPr>
              <w:keepNext w:val="0"/>
              <w:keepLines w:val="0"/>
              <w:pageBreakBefore w:val="0"/>
              <w:widowControl/>
              <w:kinsoku/>
              <w:wordWrap/>
              <w:overflowPunct/>
              <w:topLinePunct w:val="0"/>
              <w:autoSpaceDE/>
              <w:autoSpaceDN/>
              <w:bidi w:val="0"/>
              <w:adjustRightInd/>
              <w:snapToGrid w:val="0"/>
              <w:spacing w:line="360" w:lineRule="exact"/>
              <w:jc w:val="both"/>
              <w:textAlignment w:val="auto"/>
              <w:rPr>
                <w:rFonts w:ascii="Times New Roman" w:hAnsi="Times New Roman" w:eastAsia="宋体" w:cs="Times New Roman"/>
                <w:color w:val="auto"/>
                <w:kern w:val="0"/>
                <w:sz w:val="20"/>
                <w:szCs w:val="16"/>
              </w:rPr>
            </w:pPr>
            <w:r>
              <w:rPr>
                <w:rFonts w:hint="eastAsia" w:ascii="Times New Roman" w:hAnsi="Times New Roman" w:eastAsia="宋体" w:cs="Times New Roman"/>
                <w:color w:val="auto"/>
                <w:kern w:val="0"/>
                <w:sz w:val="20"/>
                <w:szCs w:val="16"/>
                <w:lang w:val="en-US" w:eastAsia="zh-CN"/>
              </w:rPr>
              <w:t>评价等级</w:t>
            </w:r>
            <w:r>
              <w:rPr>
                <w:rFonts w:ascii="Times New Roman" w:hAnsi="Times New Roman" w:eastAsia="宋体" w:cs="Times New Roman"/>
                <w:color w:val="auto"/>
                <w:kern w:val="0"/>
                <w:sz w:val="20"/>
                <w:szCs w:val="16"/>
              </w:rPr>
              <mc:AlternateContent>
                <mc:Choice Requires="wps">
                  <w:drawing>
                    <wp:anchor distT="0" distB="0" distL="114300" distR="114300" simplePos="0" relativeHeight="251685888" behindDoc="0" locked="0" layoutInCell="1" allowOverlap="1">
                      <wp:simplePos x="0" y="0"/>
                      <wp:positionH relativeFrom="column">
                        <wp:posOffset>-69215</wp:posOffset>
                      </wp:positionH>
                      <wp:positionV relativeFrom="paragraph">
                        <wp:posOffset>137795</wp:posOffset>
                      </wp:positionV>
                      <wp:extent cx="803910" cy="317500"/>
                      <wp:effectExtent l="1905" t="4445" r="13335" b="20955"/>
                      <wp:wrapNone/>
                      <wp:docPr id="99" name="直接箭头连接符 99"/>
                      <wp:cNvGraphicFramePr/>
                      <a:graphic xmlns:a="http://schemas.openxmlformats.org/drawingml/2006/main">
                        <a:graphicData uri="http://schemas.microsoft.com/office/word/2010/wordprocessingShape">
                          <wps:wsp>
                            <wps:cNvCnPr/>
                            <wps:spPr>
                              <a:xfrm>
                                <a:off x="0" y="0"/>
                                <a:ext cx="803910" cy="317500"/>
                              </a:xfrm>
                              <a:prstGeom prst="straightConnector1">
                                <a:avLst/>
                              </a:prstGeom>
                              <a:ln w="6350" cap="flat" cmpd="sng">
                                <a:solidFill>
                                  <a:srgbClr val="0D0D0D"/>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45pt;margin-top:10.85pt;height:25pt;width:63.3pt;z-index:251685888;mso-width-relative:page;mso-height-relative:page;" filled="f" stroked="t" coordsize="21600,21600" o:gfxdata="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gCZGjYAAAACQEAAA8AAAAAAAAAAQAgAAAAIgAAAGRy&#10;cy9kb3ducmV2LnhtbFBLAQIUABQAAAAIAIdO4kDmJv4FBQIAAPIDAAAOAAAAAAAAAAEAIAAAACcB&#10;AABkcnMvZTJvRG9jLnhtbFBLBQYAAAAABgAGAFkBAACeBQAAAAA=&#10;">
                      <v:fill on="f" focussize="0,0"/>
                      <v:stroke weight="0.5pt" color="#0D0D0D" joinstyle="round"/>
                      <v:imagedata o:title=""/>
                      <o:lock v:ext="edit" aspectratio="f"/>
                    </v:shape>
                  </w:pict>
                </mc:Fallback>
              </mc:AlternateContent>
            </w:r>
          </w:p>
          <w:p w14:paraId="14F58FDA">
            <w:pPr>
              <w:keepNext w:val="0"/>
              <w:keepLines w:val="0"/>
              <w:pageBreakBefore w:val="0"/>
              <w:widowControl/>
              <w:kinsoku/>
              <w:wordWrap/>
              <w:overflowPunct/>
              <w:topLinePunct w:val="0"/>
              <w:autoSpaceDE/>
              <w:autoSpaceDN/>
              <w:bidi w:val="0"/>
              <w:adjustRightInd/>
              <w:snapToGrid w:val="0"/>
              <w:spacing w:line="360" w:lineRule="exact"/>
              <w:jc w:val="left"/>
              <w:textAlignment w:val="auto"/>
              <w:rPr>
                <w:rFonts w:ascii="Times New Roman" w:hAnsi="Times New Roman" w:eastAsia="宋体" w:cs="Times New Roman"/>
                <w:color w:val="auto"/>
                <w:kern w:val="0"/>
                <w:sz w:val="20"/>
                <w:szCs w:val="16"/>
              </w:rPr>
            </w:pPr>
            <w:r>
              <w:rPr>
                <w:rFonts w:hint="eastAsia" w:ascii="Times New Roman" w:hAnsi="Times New Roman" w:eastAsia="宋体" w:cs="Times New Roman"/>
                <w:color w:val="auto"/>
                <w:kern w:val="0"/>
                <w:sz w:val="20"/>
                <w:szCs w:val="16"/>
                <w:lang w:val="en-US" w:eastAsia="zh-CN"/>
              </w:rPr>
              <w:t>敏感程度</w:t>
            </w:r>
          </w:p>
        </w:tc>
        <w:tc>
          <w:tcPr>
            <w:tcW w:w="1415" w:type="pct"/>
            <w:gridSpan w:val="3"/>
            <w:tcBorders>
              <w:tl2br w:val="nil"/>
              <w:tr2bl w:val="nil"/>
            </w:tcBorders>
            <w:noWrap w:val="0"/>
            <w:vAlign w:val="center"/>
          </w:tcPr>
          <w:p w14:paraId="1E3AE4CF">
            <w:pPr>
              <w:keepNext w:val="0"/>
              <w:keepLines w:val="0"/>
              <w:pageBreakBefore w:val="0"/>
              <w:widowControl/>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kern w:val="0"/>
                <w:sz w:val="20"/>
                <w:szCs w:val="16"/>
              </w:rPr>
            </w:pPr>
            <w:r>
              <w:rPr>
                <w:rFonts w:ascii="Times New Roman" w:hAnsi="Times New Roman" w:eastAsia="宋体" w:cs="Times New Roman"/>
                <w:color w:val="auto"/>
                <w:kern w:val="0"/>
                <w:sz w:val="20"/>
                <w:szCs w:val="16"/>
              </w:rPr>
              <w:t>Ⅰ类</w:t>
            </w:r>
          </w:p>
        </w:tc>
        <w:tc>
          <w:tcPr>
            <w:tcW w:w="1415" w:type="pct"/>
            <w:gridSpan w:val="3"/>
            <w:tcBorders>
              <w:tl2br w:val="nil"/>
              <w:tr2bl w:val="nil"/>
            </w:tcBorders>
            <w:noWrap w:val="0"/>
            <w:vAlign w:val="center"/>
          </w:tcPr>
          <w:p w14:paraId="6C5B5022">
            <w:pPr>
              <w:keepNext w:val="0"/>
              <w:keepLines w:val="0"/>
              <w:pageBreakBefore w:val="0"/>
              <w:widowControl/>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kern w:val="0"/>
                <w:sz w:val="20"/>
                <w:szCs w:val="16"/>
              </w:rPr>
            </w:pPr>
            <w:r>
              <w:rPr>
                <w:rFonts w:ascii="Times New Roman" w:hAnsi="Times New Roman" w:eastAsia="宋体" w:cs="Times New Roman"/>
                <w:color w:val="auto"/>
                <w:kern w:val="0"/>
                <w:sz w:val="20"/>
                <w:szCs w:val="16"/>
              </w:rPr>
              <w:t>Ⅱ类</w:t>
            </w:r>
          </w:p>
        </w:tc>
        <w:tc>
          <w:tcPr>
            <w:tcW w:w="1415" w:type="pct"/>
            <w:gridSpan w:val="3"/>
            <w:tcBorders>
              <w:tl2br w:val="nil"/>
              <w:tr2bl w:val="nil"/>
            </w:tcBorders>
            <w:noWrap w:val="0"/>
            <w:vAlign w:val="center"/>
          </w:tcPr>
          <w:p w14:paraId="452BA5EC">
            <w:pPr>
              <w:keepNext w:val="0"/>
              <w:keepLines w:val="0"/>
              <w:pageBreakBefore w:val="0"/>
              <w:widowControl/>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kern w:val="0"/>
                <w:sz w:val="20"/>
                <w:szCs w:val="16"/>
              </w:rPr>
            </w:pPr>
            <w:r>
              <w:rPr>
                <w:rFonts w:ascii="Times New Roman" w:hAnsi="Times New Roman" w:eastAsia="宋体" w:cs="Times New Roman"/>
                <w:color w:val="auto"/>
                <w:kern w:val="0"/>
                <w:sz w:val="20"/>
                <w:szCs w:val="16"/>
              </w:rPr>
              <w:t>Ⅲ类</w:t>
            </w:r>
          </w:p>
        </w:tc>
      </w:tr>
      <w:tr w14:paraId="760D19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52" w:type="pct"/>
            <w:vMerge w:val="continue"/>
            <w:tcBorders>
              <w:tl2br w:val="nil"/>
              <w:tr2bl w:val="nil"/>
            </w:tcBorders>
            <w:noWrap w:val="0"/>
            <w:vAlign w:val="center"/>
          </w:tcPr>
          <w:p w14:paraId="44F4C1C0">
            <w:pPr>
              <w:keepNext w:val="0"/>
              <w:keepLines w:val="0"/>
              <w:pageBreakBefore w:val="0"/>
              <w:widowControl/>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kern w:val="0"/>
                <w:sz w:val="20"/>
                <w:szCs w:val="16"/>
              </w:rPr>
            </w:pPr>
          </w:p>
        </w:tc>
        <w:tc>
          <w:tcPr>
            <w:tcW w:w="471" w:type="pct"/>
            <w:tcBorders>
              <w:tl2br w:val="nil"/>
              <w:tr2bl w:val="nil"/>
            </w:tcBorders>
            <w:noWrap w:val="0"/>
            <w:vAlign w:val="center"/>
          </w:tcPr>
          <w:p w14:paraId="19D72E30">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sz w:val="21"/>
                <w:szCs w:val="18"/>
                <w:lang w:val="en-US" w:eastAsia="zh-CN" w:bidi="ar-SA"/>
              </w:rPr>
            </w:pPr>
            <w:r>
              <w:rPr>
                <w:rFonts w:ascii="Times New Roman" w:hAnsi="Times New Roman" w:eastAsia="宋体" w:cs="Times New Roman"/>
                <w:color w:val="auto"/>
                <w:sz w:val="21"/>
                <w:szCs w:val="18"/>
                <w:lang w:val="en-US" w:eastAsia="zh-CN" w:bidi="ar-SA"/>
              </w:rPr>
              <w:t>大</w:t>
            </w:r>
          </w:p>
        </w:tc>
        <w:tc>
          <w:tcPr>
            <w:tcW w:w="471" w:type="pct"/>
            <w:tcBorders>
              <w:tl2br w:val="nil"/>
              <w:tr2bl w:val="nil"/>
            </w:tcBorders>
            <w:noWrap w:val="0"/>
            <w:vAlign w:val="center"/>
          </w:tcPr>
          <w:p w14:paraId="16745593">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sz w:val="21"/>
                <w:szCs w:val="18"/>
                <w:lang w:val="en-US" w:eastAsia="zh-CN" w:bidi="ar-SA"/>
              </w:rPr>
            </w:pPr>
            <w:r>
              <w:rPr>
                <w:rFonts w:ascii="Times New Roman" w:hAnsi="Times New Roman" w:eastAsia="宋体" w:cs="Times New Roman"/>
                <w:color w:val="auto"/>
                <w:sz w:val="21"/>
                <w:szCs w:val="18"/>
                <w:lang w:val="en-US" w:eastAsia="zh-CN" w:bidi="ar-SA"/>
              </w:rPr>
              <w:t>中</w:t>
            </w:r>
          </w:p>
        </w:tc>
        <w:tc>
          <w:tcPr>
            <w:tcW w:w="473" w:type="pct"/>
            <w:tcBorders>
              <w:tl2br w:val="nil"/>
              <w:tr2bl w:val="nil"/>
            </w:tcBorders>
            <w:noWrap w:val="0"/>
            <w:vAlign w:val="center"/>
          </w:tcPr>
          <w:p w14:paraId="102641E1">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sz w:val="21"/>
                <w:szCs w:val="18"/>
                <w:lang w:val="en-US" w:eastAsia="zh-CN" w:bidi="ar-SA"/>
              </w:rPr>
            </w:pPr>
            <w:r>
              <w:rPr>
                <w:rFonts w:ascii="Times New Roman" w:hAnsi="Times New Roman" w:eastAsia="宋体" w:cs="Times New Roman"/>
                <w:color w:val="auto"/>
                <w:sz w:val="21"/>
                <w:szCs w:val="18"/>
                <w:lang w:val="en-US" w:eastAsia="zh-CN" w:bidi="ar-SA"/>
              </w:rPr>
              <w:t>小</w:t>
            </w:r>
          </w:p>
        </w:tc>
        <w:tc>
          <w:tcPr>
            <w:tcW w:w="471" w:type="pct"/>
            <w:tcBorders>
              <w:tl2br w:val="nil"/>
              <w:tr2bl w:val="nil"/>
            </w:tcBorders>
            <w:noWrap w:val="0"/>
            <w:vAlign w:val="center"/>
          </w:tcPr>
          <w:p w14:paraId="362B2B6A">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sz w:val="21"/>
                <w:szCs w:val="18"/>
                <w:lang w:val="en-US" w:eastAsia="zh-CN" w:bidi="ar-SA"/>
              </w:rPr>
            </w:pPr>
            <w:r>
              <w:rPr>
                <w:rFonts w:ascii="Times New Roman" w:hAnsi="Times New Roman" w:eastAsia="宋体" w:cs="Times New Roman"/>
                <w:color w:val="auto"/>
                <w:sz w:val="21"/>
                <w:szCs w:val="18"/>
                <w:lang w:val="en-US" w:eastAsia="zh-CN" w:bidi="ar-SA"/>
              </w:rPr>
              <w:t>大</w:t>
            </w:r>
          </w:p>
        </w:tc>
        <w:tc>
          <w:tcPr>
            <w:tcW w:w="471" w:type="pct"/>
            <w:tcBorders>
              <w:tl2br w:val="nil"/>
              <w:tr2bl w:val="nil"/>
            </w:tcBorders>
            <w:noWrap w:val="0"/>
            <w:vAlign w:val="center"/>
          </w:tcPr>
          <w:p w14:paraId="4878D761">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sz w:val="21"/>
                <w:szCs w:val="18"/>
                <w:lang w:val="en-US" w:eastAsia="zh-CN" w:bidi="ar-SA"/>
              </w:rPr>
            </w:pPr>
            <w:r>
              <w:rPr>
                <w:rFonts w:ascii="Times New Roman" w:hAnsi="Times New Roman" w:eastAsia="宋体" w:cs="Times New Roman"/>
                <w:color w:val="auto"/>
                <w:sz w:val="21"/>
                <w:szCs w:val="18"/>
                <w:lang w:val="en-US" w:eastAsia="zh-CN" w:bidi="ar-SA"/>
              </w:rPr>
              <w:t>中</w:t>
            </w:r>
          </w:p>
        </w:tc>
        <w:tc>
          <w:tcPr>
            <w:tcW w:w="473" w:type="pct"/>
            <w:tcBorders>
              <w:tl2br w:val="nil"/>
              <w:tr2bl w:val="nil"/>
            </w:tcBorders>
            <w:noWrap w:val="0"/>
            <w:vAlign w:val="center"/>
          </w:tcPr>
          <w:p w14:paraId="5867FB75">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sz w:val="21"/>
                <w:szCs w:val="18"/>
                <w:lang w:val="en-US" w:eastAsia="zh-CN" w:bidi="ar-SA"/>
              </w:rPr>
            </w:pPr>
            <w:r>
              <w:rPr>
                <w:rFonts w:ascii="Times New Roman" w:hAnsi="Times New Roman" w:eastAsia="宋体" w:cs="Times New Roman"/>
                <w:color w:val="auto"/>
                <w:sz w:val="21"/>
                <w:szCs w:val="18"/>
                <w:lang w:val="en-US" w:eastAsia="zh-CN" w:bidi="ar-SA"/>
              </w:rPr>
              <w:t>小</w:t>
            </w:r>
          </w:p>
        </w:tc>
        <w:tc>
          <w:tcPr>
            <w:tcW w:w="471" w:type="pct"/>
            <w:tcBorders>
              <w:tl2br w:val="nil"/>
              <w:tr2bl w:val="nil"/>
            </w:tcBorders>
            <w:noWrap w:val="0"/>
            <w:vAlign w:val="center"/>
          </w:tcPr>
          <w:p w14:paraId="14BFDB82">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sz w:val="21"/>
                <w:szCs w:val="18"/>
                <w:lang w:val="en-US" w:eastAsia="zh-CN" w:bidi="ar-SA"/>
              </w:rPr>
            </w:pPr>
            <w:r>
              <w:rPr>
                <w:rFonts w:ascii="Times New Roman" w:hAnsi="Times New Roman" w:eastAsia="宋体" w:cs="Times New Roman"/>
                <w:color w:val="auto"/>
                <w:sz w:val="21"/>
                <w:szCs w:val="18"/>
                <w:lang w:val="en-US" w:eastAsia="zh-CN" w:bidi="ar-SA"/>
              </w:rPr>
              <w:t>大</w:t>
            </w:r>
          </w:p>
        </w:tc>
        <w:tc>
          <w:tcPr>
            <w:tcW w:w="471" w:type="pct"/>
            <w:tcBorders>
              <w:tl2br w:val="nil"/>
              <w:tr2bl w:val="nil"/>
            </w:tcBorders>
            <w:noWrap w:val="0"/>
            <w:vAlign w:val="center"/>
          </w:tcPr>
          <w:p w14:paraId="7CE26D27">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sz w:val="21"/>
                <w:szCs w:val="18"/>
                <w:lang w:val="en-US" w:eastAsia="zh-CN" w:bidi="ar-SA"/>
              </w:rPr>
            </w:pPr>
            <w:r>
              <w:rPr>
                <w:rFonts w:ascii="Times New Roman" w:hAnsi="Times New Roman" w:eastAsia="宋体" w:cs="Times New Roman"/>
                <w:color w:val="auto"/>
                <w:sz w:val="21"/>
                <w:szCs w:val="18"/>
                <w:lang w:val="en-US" w:eastAsia="zh-CN" w:bidi="ar-SA"/>
              </w:rPr>
              <w:t>中</w:t>
            </w:r>
          </w:p>
        </w:tc>
        <w:tc>
          <w:tcPr>
            <w:tcW w:w="473" w:type="pct"/>
            <w:tcBorders>
              <w:tl2br w:val="nil"/>
              <w:tr2bl w:val="nil"/>
            </w:tcBorders>
            <w:noWrap w:val="0"/>
            <w:vAlign w:val="center"/>
          </w:tcPr>
          <w:p w14:paraId="27B4628B">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sz w:val="21"/>
                <w:szCs w:val="18"/>
                <w:lang w:val="en-US" w:eastAsia="zh-CN" w:bidi="ar-SA"/>
              </w:rPr>
            </w:pPr>
            <w:r>
              <w:rPr>
                <w:rFonts w:ascii="Times New Roman" w:hAnsi="Times New Roman" w:eastAsia="宋体" w:cs="Times New Roman"/>
                <w:color w:val="auto"/>
                <w:sz w:val="21"/>
                <w:szCs w:val="18"/>
                <w:lang w:val="en-US" w:eastAsia="zh-CN" w:bidi="ar-SA"/>
              </w:rPr>
              <w:t>小</w:t>
            </w:r>
          </w:p>
        </w:tc>
      </w:tr>
      <w:tr w14:paraId="06839D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52" w:type="pct"/>
            <w:tcBorders>
              <w:tl2br w:val="nil"/>
              <w:tr2bl w:val="nil"/>
            </w:tcBorders>
            <w:noWrap w:val="0"/>
            <w:vAlign w:val="center"/>
          </w:tcPr>
          <w:p w14:paraId="13474F6C">
            <w:pPr>
              <w:keepNext w:val="0"/>
              <w:keepLines w:val="0"/>
              <w:pageBreakBefore w:val="0"/>
              <w:widowControl/>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kern w:val="0"/>
                <w:sz w:val="20"/>
                <w:szCs w:val="16"/>
              </w:rPr>
            </w:pPr>
            <w:r>
              <w:rPr>
                <w:rFonts w:ascii="Times New Roman" w:hAnsi="Times New Roman" w:eastAsia="宋体" w:cs="Times New Roman"/>
                <w:color w:val="auto"/>
                <w:kern w:val="0"/>
                <w:sz w:val="20"/>
                <w:szCs w:val="16"/>
              </w:rPr>
              <w:t>敏感</w:t>
            </w:r>
          </w:p>
        </w:tc>
        <w:tc>
          <w:tcPr>
            <w:tcW w:w="471" w:type="pct"/>
            <w:tcBorders>
              <w:tl2br w:val="nil"/>
              <w:tr2bl w:val="nil"/>
            </w:tcBorders>
            <w:noWrap w:val="0"/>
            <w:vAlign w:val="center"/>
          </w:tcPr>
          <w:p w14:paraId="57ED7AB1">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sz w:val="21"/>
                <w:szCs w:val="18"/>
                <w:lang w:val="en-US" w:eastAsia="zh-CN" w:bidi="ar-SA"/>
              </w:rPr>
            </w:pPr>
            <w:r>
              <w:rPr>
                <w:rFonts w:ascii="Times New Roman" w:hAnsi="Times New Roman" w:eastAsia="宋体" w:cs="Times New Roman"/>
                <w:color w:val="auto"/>
                <w:sz w:val="21"/>
                <w:szCs w:val="18"/>
                <w:lang w:val="en-US" w:eastAsia="zh-CN" w:bidi="ar-SA"/>
              </w:rPr>
              <w:t>一级</w:t>
            </w:r>
          </w:p>
        </w:tc>
        <w:tc>
          <w:tcPr>
            <w:tcW w:w="471" w:type="pct"/>
            <w:tcBorders>
              <w:tl2br w:val="nil"/>
              <w:tr2bl w:val="nil"/>
            </w:tcBorders>
            <w:noWrap w:val="0"/>
            <w:vAlign w:val="center"/>
          </w:tcPr>
          <w:p w14:paraId="7D578E10">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sz w:val="21"/>
                <w:szCs w:val="18"/>
                <w:lang w:val="en-US" w:eastAsia="zh-CN" w:bidi="ar-SA"/>
              </w:rPr>
            </w:pPr>
            <w:r>
              <w:rPr>
                <w:rFonts w:ascii="Times New Roman" w:hAnsi="Times New Roman" w:eastAsia="宋体" w:cs="Times New Roman"/>
                <w:color w:val="auto"/>
                <w:sz w:val="21"/>
                <w:szCs w:val="18"/>
                <w:lang w:val="en-US" w:eastAsia="zh-CN" w:bidi="ar-SA"/>
              </w:rPr>
              <w:t>一级</w:t>
            </w:r>
          </w:p>
        </w:tc>
        <w:tc>
          <w:tcPr>
            <w:tcW w:w="473" w:type="pct"/>
            <w:tcBorders>
              <w:tl2br w:val="nil"/>
              <w:tr2bl w:val="nil"/>
            </w:tcBorders>
            <w:noWrap w:val="0"/>
            <w:vAlign w:val="center"/>
          </w:tcPr>
          <w:p w14:paraId="10BC9585">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sz w:val="21"/>
                <w:szCs w:val="18"/>
                <w:lang w:val="en-US" w:eastAsia="zh-CN" w:bidi="ar-SA"/>
              </w:rPr>
            </w:pPr>
            <w:r>
              <w:rPr>
                <w:rFonts w:ascii="Times New Roman" w:hAnsi="Times New Roman" w:eastAsia="宋体" w:cs="Times New Roman"/>
                <w:color w:val="auto"/>
                <w:sz w:val="21"/>
                <w:szCs w:val="18"/>
                <w:lang w:val="en-US" w:eastAsia="zh-CN" w:bidi="ar-SA"/>
              </w:rPr>
              <w:t>一级</w:t>
            </w:r>
          </w:p>
        </w:tc>
        <w:tc>
          <w:tcPr>
            <w:tcW w:w="471" w:type="pct"/>
            <w:tcBorders>
              <w:tl2br w:val="nil"/>
              <w:tr2bl w:val="nil"/>
            </w:tcBorders>
            <w:noWrap w:val="0"/>
            <w:vAlign w:val="center"/>
          </w:tcPr>
          <w:p w14:paraId="698DE3D3">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sz w:val="21"/>
                <w:szCs w:val="18"/>
                <w:lang w:val="en-US" w:eastAsia="zh-CN" w:bidi="ar-SA"/>
              </w:rPr>
            </w:pPr>
            <w:r>
              <w:rPr>
                <w:rFonts w:ascii="Times New Roman" w:hAnsi="Times New Roman" w:eastAsia="宋体" w:cs="Times New Roman"/>
                <w:color w:val="auto"/>
                <w:sz w:val="21"/>
                <w:szCs w:val="18"/>
                <w:lang w:val="en-US" w:eastAsia="zh-CN" w:bidi="ar-SA"/>
              </w:rPr>
              <w:t>二级</w:t>
            </w:r>
          </w:p>
        </w:tc>
        <w:tc>
          <w:tcPr>
            <w:tcW w:w="471" w:type="pct"/>
            <w:tcBorders>
              <w:tl2br w:val="nil"/>
              <w:tr2bl w:val="nil"/>
            </w:tcBorders>
            <w:noWrap w:val="0"/>
            <w:vAlign w:val="center"/>
          </w:tcPr>
          <w:p w14:paraId="64B0A556">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sz w:val="21"/>
                <w:szCs w:val="18"/>
                <w:lang w:val="en-US" w:eastAsia="zh-CN" w:bidi="ar-SA"/>
              </w:rPr>
            </w:pPr>
            <w:r>
              <w:rPr>
                <w:rFonts w:ascii="Times New Roman" w:hAnsi="Times New Roman" w:eastAsia="宋体" w:cs="Times New Roman"/>
                <w:color w:val="auto"/>
                <w:sz w:val="21"/>
                <w:szCs w:val="18"/>
                <w:lang w:val="en-US" w:eastAsia="zh-CN" w:bidi="ar-SA"/>
              </w:rPr>
              <w:t>二级</w:t>
            </w:r>
          </w:p>
        </w:tc>
        <w:tc>
          <w:tcPr>
            <w:tcW w:w="473" w:type="pct"/>
            <w:tcBorders>
              <w:tl2br w:val="nil"/>
              <w:tr2bl w:val="nil"/>
            </w:tcBorders>
            <w:noWrap w:val="0"/>
            <w:vAlign w:val="center"/>
          </w:tcPr>
          <w:p w14:paraId="364A860A">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sz w:val="21"/>
                <w:szCs w:val="18"/>
                <w:lang w:val="en-US" w:eastAsia="zh-CN" w:bidi="ar-SA"/>
              </w:rPr>
            </w:pPr>
            <w:r>
              <w:rPr>
                <w:rFonts w:ascii="Times New Roman" w:hAnsi="Times New Roman" w:eastAsia="宋体" w:cs="Times New Roman"/>
                <w:color w:val="auto"/>
                <w:sz w:val="21"/>
                <w:szCs w:val="18"/>
                <w:lang w:val="en-US" w:eastAsia="zh-CN" w:bidi="ar-SA"/>
              </w:rPr>
              <w:t>二级</w:t>
            </w:r>
          </w:p>
        </w:tc>
        <w:tc>
          <w:tcPr>
            <w:tcW w:w="471" w:type="pct"/>
            <w:tcBorders>
              <w:tl2br w:val="nil"/>
              <w:tr2bl w:val="nil"/>
            </w:tcBorders>
            <w:noWrap w:val="0"/>
            <w:vAlign w:val="center"/>
          </w:tcPr>
          <w:p w14:paraId="0A02A748">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sz w:val="21"/>
                <w:szCs w:val="18"/>
                <w:lang w:val="en-US" w:eastAsia="zh-CN" w:bidi="ar-SA"/>
              </w:rPr>
            </w:pPr>
            <w:r>
              <w:rPr>
                <w:rFonts w:ascii="Times New Roman" w:hAnsi="Times New Roman" w:eastAsia="宋体" w:cs="Times New Roman"/>
                <w:color w:val="auto"/>
                <w:sz w:val="21"/>
                <w:szCs w:val="18"/>
                <w:lang w:val="en-US" w:eastAsia="zh-CN" w:bidi="ar-SA"/>
              </w:rPr>
              <w:t>三级</w:t>
            </w:r>
          </w:p>
        </w:tc>
        <w:tc>
          <w:tcPr>
            <w:tcW w:w="471" w:type="pct"/>
            <w:tcBorders>
              <w:tl2br w:val="nil"/>
              <w:tr2bl w:val="nil"/>
            </w:tcBorders>
            <w:noWrap w:val="0"/>
            <w:vAlign w:val="center"/>
          </w:tcPr>
          <w:p w14:paraId="3B9B0E31">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sz w:val="21"/>
                <w:szCs w:val="18"/>
                <w:lang w:val="en-US" w:eastAsia="zh-CN" w:bidi="ar-SA"/>
              </w:rPr>
            </w:pPr>
            <w:r>
              <w:rPr>
                <w:rFonts w:ascii="Times New Roman" w:hAnsi="Times New Roman" w:eastAsia="宋体" w:cs="Times New Roman"/>
                <w:color w:val="auto"/>
                <w:sz w:val="21"/>
                <w:szCs w:val="18"/>
                <w:lang w:val="en-US" w:eastAsia="zh-CN" w:bidi="ar-SA"/>
              </w:rPr>
              <w:t>三级</w:t>
            </w:r>
          </w:p>
        </w:tc>
        <w:tc>
          <w:tcPr>
            <w:tcW w:w="473" w:type="pct"/>
            <w:tcBorders>
              <w:tl2br w:val="nil"/>
              <w:tr2bl w:val="nil"/>
            </w:tcBorders>
            <w:noWrap w:val="0"/>
            <w:vAlign w:val="center"/>
          </w:tcPr>
          <w:p w14:paraId="7C265A2D">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sz w:val="21"/>
                <w:szCs w:val="18"/>
                <w:lang w:val="en-US" w:eastAsia="zh-CN" w:bidi="ar-SA"/>
              </w:rPr>
            </w:pPr>
            <w:r>
              <w:rPr>
                <w:rFonts w:ascii="Times New Roman" w:hAnsi="Times New Roman" w:eastAsia="宋体" w:cs="Times New Roman"/>
                <w:color w:val="auto"/>
                <w:sz w:val="21"/>
                <w:szCs w:val="18"/>
                <w:lang w:val="en-US" w:eastAsia="zh-CN" w:bidi="ar-SA"/>
              </w:rPr>
              <w:t>三级</w:t>
            </w:r>
          </w:p>
        </w:tc>
      </w:tr>
      <w:tr w14:paraId="471A7A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52" w:type="pct"/>
            <w:tcBorders>
              <w:tl2br w:val="nil"/>
              <w:tr2bl w:val="nil"/>
            </w:tcBorders>
            <w:noWrap w:val="0"/>
            <w:vAlign w:val="center"/>
          </w:tcPr>
          <w:p w14:paraId="7DA53C2E">
            <w:pPr>
              <w:keepNext w:val="0"/>
              <w:keepLines w:val="0"/>
              <w:pageBreakBefore w:val="0"/>
              <w:widowControl/>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kern w:val="0"/>
                <w:sz w:val="20"/>
                <w:szCs w:val="16"/>
              </w:rPr>
            </w:pPr>
            <w:r>
              <w:rPr>
                <w:rFonts w:ascii="Times New Roman" w:hAnsi="Times New Roman" w:eastAsia="宋体" w:cs="Times New Roman"/>
                <w:color w:val="auto"/>
                <w:kern w:val="0"/>
                <w:sz w:val="20"/>
                <w:szCs w:val="16"/>
              </w:rPr>
              <w:t>较敏感</w:t>
            </w:r>
          </w:p>
        </w:tc>
        <w:tc>
          <w:tcPr>
            <w:tcW w:w="471" w:type="pct"/>
            <w:tcBorders>
              <w:tl2br w:val="nil"/>
              <w:tr2bl w:val="nil"/>
            </w:tcBorders>
            <w:noWrap w:val="0"/>
            <w:vAlign w:val="center"/>
          </w:tcPr>
          <w:p w14:paraId="33481CCE">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sz w:val="21"/>
                <w:szCs w:val="18"/>
                <w:lang w:val="en-US" w:eastAsia="zh-CN" w:bidi="ar-SA"/>
              </w:rPr>
            </w:pPr>
            <w:r>
              <w:rPr>
                <w:rFonts w:ascii="Times New Roman" w:hAnsi="Times New Roman" w:eastAsia="宋体" w:cs="Times New Roman"/>
                <w:color w:val="auto"/>
                <w:sz w:val="21"/>
                <w:szCs w:val="18"/>
                <w:lang w:val="en-US" w:eastAsia="zh-CN" w:bidi="ar-SA"/>
              </w:rPr>
              <w:t>一级</w:t>
            </w:r>
          </w:p>
        </w:tc>
        <w:tc>
          <w:tcPr>
            <w:tcW w:w="471" w:type="pct"/>
            <w:tcBorders>
              <w:tl2br w:val="nil"/>
              <w:tr2bl w:val="nil"/>
            </w:tcBorders>
            <w:noWrap w:val="0"/>
            <w:vAlign w:val="center"/>
          </w:tcPr>
          <w:p w14:paraId="0C69723E">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sz w:val="21"/>
                <w:szCs w:val="18"/>
                <w:lang w:val="en-US" w:eastAsia="zh-CN" w:bidi="ar-SA"/>
              </w:rPr>
            </w:pPr>
            <w:r>
              <w:rPr>
                <w:rFonts w:ascii="Times New Roman" w:hAnsi="Times New Roman" w:eastAsia="宋体" w:cs="Times New Roman"/>
                <w:color w:val="auto"/>
                <w:sz w:val="21"/>
                <w:szCs w:val="18"/>
                <w:lang w:val="en-US" w:eastAsia="zh-CN" w:bidi="ar-SA"/>
              </w:rPr>
              <w:t>一级</w:t>
            </w:r>
          </w:p>
        </w:tc>
        <w:tc>
          <w:tcPr>
            <w:tcW w:w="473" w:type="pct"/>
            <w:tcBorders>
              <w:tl2br w:val="nil"/>
              <w:tr2bl w:val="nil"/>
            </w:tcBorders>
            <w:noWrap w:val="0"/>
            <w:vAlign w:val="center"/>
          </w:tcPr>
          <w:p w14:paraId="776F82F2">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sz w:val="21"/>
                <w:szCs w:val="18"/>
                <w:lang w:val="en-US" w:eastAsia="zh-CN" w:bidi="ar-SA"/>
              </w:rPr>
            </w:pPr>
            <w:r>
              <w:rPr>
                <w:rFonts w:ascii="Times New Roman" w:hAnsi="Times New Roman" w:eastAsia="宋体" w:cs="Times New Roman"/>
                <w:color w:val="auto"/>
                <w:sz w:val="21"/>
                <w:szCs w:val="18"/>
                <w:lang w:val="en-US" w:eastAsia="zh-CN" w:bidi="ar-SA"/>
              </w:rPr>
              <w:t>二级</w:t>
            </w:r>
          </w:p>
        </w:tc>
        <w:tc>
          <w:tcPr>
            <w:tcW w:w="471" w:type="pct"/>
            <w:tcBorders>
              <w:tl2br w:val="nil"/>
              <w:tr2bl w:val="nil"/>
            </w:tcBorders>
            <w:noWrap w:val="0"/>
            <w:vAlign w:val="center"/>
          </w:tcPr>
          <w:p w14:paraId="3B6E8077">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sz w:val="21"/>
                <w:szCs w:val="18"/>
                <w:lang w:val="en-US" w:eastAsia="zh-CN" w:bidi="ar-SA"/>
              </w:rPr>
            </w:pPr>
            <w:r>
              <w:rPr>
                <w:rFonts w:ascii="Times New Roman" w:hAnsi="Times New Roman" w:eastAsia="宋体" w:cs="Times New Roman"/>
                <w:color w:val="auto"/>
                <w:sz w:val="21"/>
                <w:szCs w:val="18"/>
                <w:lang w:val="en-US" w:eastAsia="zh-CN" w:bidi="ar-SA"/>
              </w:rPr>
              <w:t>二级</w:t>
            </w:r>
          </w:p>
        </w:tc>
        <w:tc>
          <w:tcPr>
            <w:tcW w:w="471" w:type="pct"/>
            <w:tcBorders>
              <w:tl2br w:val="nil"/>
              <w:tr2bl w:val="nil"/>
            </w:tcBorders>
            <w:noWrap w:val="0"/>
            <w:vAlign w:val="center"/>
          </w:tcPr>
          <w:p w14:paraId="4D41D14D">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sz w:val="21"/>
                <w:szCs w:val="18"/>
                <w:lang w:val="en-US" w:eastAsia="zh-CN" w:bidi="ar-SA"/>
              </w:rPr>
            </w:pPr>
            <w:r>
              <w:rPr>
                <w:rFonts w:ascii="Times New Roman" w:hAnsi="Times New Roman" w:eastAsia="宋体" w:cs="Times New Roman"/>
                <w:color w:val="auto"/>
                <w:sz w:val="21"/>
                <w:szCs w:val="18"/>
                <w:lang w:val="en-US" w:eastAsia="zh-CN" w:bidi="ar-SA"/>
              </w:rPr>
              <w:t>二级</w:t>
            </w:r>
          </w:p>
        </w:tc>
        <w:tc>
          <w:tcPr>
            <w:tcW w:w="473" w:type="pct"/>
            <w:tcBorders>
              <w:tl2br w:val="nil"/>
              <w:tr2bl w:val="nil"/>
            </w:tcBorders>
            <w:noWrap w:val="0"/>
            <w:vAlign w:val="center"/>
          </w:tcPr>
          <w:p w14:paraId="0788B935">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sz w:val="21"/>
                <w:szCs w:val="18"/>
                <w:lang w:val="en-US" w:eastAsia="zh-CN" w:bidi="ar-SA"/>
              </w:rPr>
            </w:pPr>
            <w:r>
              <w:rPr>
                <w:rFonts w:ascii="Times New Roman" w:hAnsi="Times New Roman" w:eastAsia="宋体" w:cs="Times New Roman"/>
                <w:color w:val="auto"/>
                <w:sz w:val="21"/>
                <w:szCs w:val="18"/>
                <w:lang w:val="en-US" w:eastAsia="zh-CN" w:bidi="ar-SA"/>
              </w:rPr>
              <w:t>三级</w:t>
            </w:r>
          </w:p>
        </w:tc>
        <w:tc>
          <w:tcPr>
            <w:tcW w:w="471" w:type="pct"/>
            <w:tcBorders>
              <w:tl2br w:val="nil"/>
              <w:tr2bl w:val="nil"/>
            </w:tcBorders>
            <w:noWrap w:val="0"/>
            <w:vAlign w:val="center"/>
          </w:tcPr>
          <w:p w14:paraId="26302CF3">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sz w:val="21"/>
                <w:szCs w:val="18"/>
                <w:lang w:val="en-US" w:eastAsia="zh-CN" w:bidi="ar-SA"/>
              </w:rPr>
            </w:pPr>
            <w:r>
              <w:rPr>
                <w:rFonts w:ascii="Times New Roman" w:hAnsi="Times New Roman" w:eastAsia="宋体" w:cs="Times New Roman"/>
                <w:color w:val="auto"/>
                <w:sz w:val="21"/>
                <w:szCs w:val="18"/>
                <w:lang w:val="en-US" w:eastAsia="zh-CN" w:bidi="ar-SA"/>
              </w:rPr>
              <w:t>三级</w:t>
            </w:r>
          </w:p>
        </w:tc>
        <w:tc>
          <w:tcPr>
            <w:tcW w:w="471" w:type="pct"/>
            <w:tcBorders>
              <w:tl2br w:val="nil"/>
              <w:tr2bl w:val="nil"/>
            </w:tcBorders>
            <w:noWrap w:val="0"/>
            <w:vAlign w:val="center"/>
          </w:tcPr>
          <w:p w14:paraId="79EFA52E">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sz w:val="21"/>
                <w:szCs w:val="18"/>
                <w:lang w:val="en-US" w:eastAsia="zh-CN" w:bidi="ar-SA"/>
              </w:rPr>
            </w:pPr>
            <w:r>
              <w:rPr>
                <w:rFonts w:ascii="Times New Roman" w:hAnsi="Times New Roman" w:eastAsia="宋体" w:cs="Times New Roman"/>
                <w:color w:val="auto"/>
                <w:sz w:val="21"/>
                <w:szCs w:val="18"/>
                <w:lang w:val="en-US" w:eastAsia="zh-CN" w:bidi="ar-SA"/>
              </w:rPr>
              <w:t>三级</w:t>
            </w:r>
          </w:p>
        </w:tc>
        <w:tc>
          <w:tcPr>
            <w:tcW w:w="473" w:type="pct"/>
            <w:tcBorders>
              <w:tl2br w:val="nil"/>
              <w:tr2bl w:val="nil"/>
            </w:tcBorders>
            <w:noWrap w:val="0"/>
            <w:vAlign w:val="center"/>
          </w:tcPr>
          <w:p w14:paraId="7AB89FDE">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sz w:val="21"/>
                <w:szCs w:val="18"/>
                <w:lang w:val="en-US" w:eastAsia="zh-CN" w:bidi="ar-SA"/>
              </w:rPr>
            </w:pPr>
            <w:r>
              <w:rPr>
                <w:rFonts w:ascii="Times New Roman" w:hAnsi="Times New Roman" w:eastAsia="宋体" w:cs="Times New Roman"/>
                <w:color w:val="auto"/>
                <w:sz w:val="21"/>
                <w:szCs w:val="18"/>
                <w:lang w:val="en-US" w:eastAsia="zh-CN" w:bidi="ar-SA"/>
              </w:rPr>
              <w:t>-</w:t>
            </w:r>
          </w:p>
        </w:tc>
      </w:tr>
      <w:tr w14:paraId="73D4FC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52" w:type="pct"/>
            <w:tcBorders>
              <w:tl2br w:val="nil"/>
              <w:tr2bl w:val="nil"/>
            </w:tcBorders>
            <w:noWrap w:val="0"/>
            <w:vAlign w:val="center"/>
          </w:tcPr>
          <w:p w14:paraId="3A761D1D">
            <w:pPr>
              <w:keepNext w:val="0"/>
              <w:keepLines w:val="0"/>
              <w:pageBreakBefore w:val="0"/>
              <w:widowControl/>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kern w:val="0"/>
                <w:sz w:val="20"/>
                <w:szCs w:val="16"/>
              </w:rPr>
            </w:pPr>
            <w:r>
              <w:rPr>
                <w:rFonts w:ascii="Times New Roman" w:hAnsi="Times New Roman" w:eastAsia="宋体" w:cs="Times New Roman"/>
                <w:color w:val="auto"/>
                <w:kern w:val="0"/>
                <w:sz w:val="20"/>
                <w:szCs w:val="16"/>
              </w:rPr>
              <w:t>不敏感</w:t>
            </w:r>
          </w:p>
        </w:tc>
        <w:tc>
          <w:tcPr>
            <w:tcW w:w="471" w:type="pct"/>
            <w:tcBorders>
              <w:tl2br w:val="nil"/>
              <w:tr2bl w:val="nil"/>
            </w:tcBorders>
            <w:noWrap w:val="0"/>
            <w:vAlign w:val="center"/>
          </w:tcPr>
          <w:p w14:paraId="2CA258D7">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sz w:val="21"/>
                <w:szCs w:val="18"/>
                <w:lang w:val="en-US" w:eastAsia="zh-CN" w:bidi="ar-SA"/>
              </w:rPr>
            </w:pPr>
            <w:r>
              <w:rPr>
                <w:rFonts w:ascii="Times New Roman" w:hAnsi="Times New Roman" w:eastAsia="宋体" w:cs="Times New Roman"/>
                <w:color w:val="auto"/>
                <w:sz w:val="21"/>
                <w:szCs w:val="18"/>
                <w:lang w:val="en-US" w:eastAsia="zh-CN" w:bidi="ar-SA"/>
              </w:rPr>
              <w:t>一级</w:t>
            </w:r>
          </w:p>
        </w:tc>
        <w:tc>
          <w:tcPr>
            <w:tcW w:w="471" w:type="pct"/>
            <w:tcBorders>
              <w:tl2br w:val="nil"/>
              <w:tr2bl w:val="nil"/>
            </w:tcBorders>
            <w:noWrap w:val="0"/>
            <w:vAlign w:val="center"/>
          </w:tcPr>
          <w:p w14:paraId="77ECF29D">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sz w:val="21"/>
                <w:szCs w:val="18"/>
                <w:lang w:val="en-US" w:eastAsia="zh-CN" w:bidi="ar-SA"/>
              </w:rPr>
            </w:pPr>
            <w:r>
              <w:rPr>
                <w:rFonts w:ascii="Times New Roman" w:hAnsi="Times New Roman" w:eastAsia="宋体" w:cs="Times New Roman"/>
                <w:color w:val="auto"/>
                <w:sz w:val="21"/>
                <w:szCs w:val="18"/>
                <w:lang w:val="en-US" w:eastAsia="zh-CN" w:bidi="ar-SA"/>
              </w:rPr>
              <w:t>二级</w:t>
            </w:r>
          </w:p>
        </w:tc>
        <w:tc>
          <w:tcPr>
            <w:tcW w:w="473" w:type="pct"/>
            <w:tcBorders>
              <w:tl2br w:val="nil"/>
              <w:tr2bl w:val="nil"/>
            </w:tcBorders>
            <w:noWrap w:val="0"/>
            <w:vAlign w:val="center"/>
          </w:tcPr>
          <w:p w14:paraId="3AFCF150">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sz w:val="21"/>
                <w:szCs w:val="18"/>
                <w:lang w:val="en-US" w:eastAsia="zh-CN" w:bidi="ar-SA"/>
              </w:rPr>
            </w:pPr>
            <w:r>
              <w:rPr>
                <w:rFonts w:ascii="Times New Roman" w:hAnsi="Times New Roman" w:eastAsia="宋体" w:cs="Times New Roman"/>
                <w:color w:val="auto"/>
                <w:sz w:val="21"/>
                <w:szCs w:val="18"/>
                <w:lang w:val="en-US" w:eastAsia="zh-CN" w:bidi="ar-SA"/>
              </w:rPr>
              <w:t>二级</w:t>
            </w:r>
          </w:p>
        </w:tc>
        <w:tc>
          <w:tcPr>
            <w:tcW w:w="471" w:type="pct"/>
            <w:tcBorders>
              <w:tl2br w:val="nil"/>
              <w:tr2bl w:val="nil"/>
            </w:tcBorders>
            <w:noWrap w:val="0"/>
            <w:vAlign w:val="center"/>
          </w:tcPr>
          <w:p w14:paraId="36F34A94">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sz w:val="21"/>
                <w:szCs w:val="18"/>
                <w:lang w:val="en-US" w:eastAsia="zh-CN" w:bidi="ar-SA"/>
              </w:rPr>
            </w:pPr>
            <w:r>
              <w:rPr>
                <w:rFonts w:ascii="Times New Roman" w:hAnsi="Times New Roman" w:eastAsia="宋体" w:cs="Times New Roman"/>
                <w:color w:val="auto"/>
                <w:sz w:val="21"/>
                <w:szCs w:val="18"/>
                <w:lang w:val="en-US" w:eastAsia="zh-CN" w:bidi="ar-SA"/>
              </w:rPr>
              <w:t>二级</w:t>
            </w:r>
          </w:p>
        </w:tc>
        <w:tc>
          <w:tcPr>
            <w:tcW w:w="471" w:type="pct"/>
            <w:tcBorders>
              <w:tl2br w:val="nil"/>
              <w:tr2bl w:val="nil"/>
            </w:tcBorders>
            <w:noWrap w:val="0"/>
            <w:vAlign w:val="center"/>
          </w:tcPr>
          <w:p w14:paraId="7AE2CC7F">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sz w:val="21"/>
                <w:szCs w:val="18"/>
                <w:lang w:val="en-US" w:eastAsia="zh-CN" w:bidi="ar-SA"/>
              </w:rPr>
            </w:pPr>
            <w:r>
              <w:rPr>
                <w:rFonts w:ascii="Times New Roman" w:hAnsi="Times New Roman" w:eastAsia="宋体" w:cs="Times New Roman"/>
                <w:color w:val="auto"/>
                <w:sz w:val="21"/>
                <w:szCs w:val="18"/>
                <w:lang w:val="en-US" w:eastAsia="zh-CN" w:bidi="ar-SA"/>
              </w:rPr>
              <w:t>三级</w:t>
            </w:r>
          </w:p>
        </w:tc>
        <w:tc>
          <w:tcPr>
            <w:tcW w:w="473" w:type="pct"/>
            <w:tcBorders>
              <w:tl2br w:val="nil"/>
              <w:tr2bl w:val="nil"/>
            </w:tcBorders>
            <w:noWrap w:val="0"/>
            <w:vAlign w:val="center"/>
          </w:tcPr>
          <w:p w14:paraId="02BE7174">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sz w:val="21"/>
                <w:szCs w:val="18"/>
                <w:lang w:val="en-US" w:eastAsia="zh-CN" w:bidi="ar-SA"/>
              </w:rPr>
            </w:pPr>
            <w:r>
              <w:rPr>
                <w:rFonts w:ascii="Times New Roman" w:hAnsi="Times New Roman" w:eastAsia="宋体" w:cs="Times New Roman"/>
                <w:color w:val="auto"/>
                <w:sz w:val="21"/>
                <w:szCs w:val="18"/>
                <w:lang w:val="en-US" w:eastAsia="zh-CN" w:bidi="ar-SA"/>
              </w:rPr>
              <w:t>三级</w:t>
            </w:r>
          </w:p>
        </w:tc>
        <w:tc>
          <w:tcPr>
            <w:tcW w:w="471" w:type="pct"/>
            <w:tcBorders>
              <w:tl2br w:val="nil"/>
              <w:tr2bl w:val="nil"/>
            </w:tcBorders>
            <w:noWrap w:val="0"/>
            <w:vAlign w:val="center"/>
          </w:tcPr>
          <w:p w14:paraId="33D23894">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sz w:val="21"/>
                <w:szCs w:val="18"/>
                <w:lang w:val="en-US" w:eastAsia="zh-CN" w:bidi="ar-SA"/>
              </w:rPr>
            </w:pPr>
            <w:r>
              <w:rPr>
                <w:rFonts w:ascii="Times New Roman" w:hAnsi="Times New Roman" w:eastAsia="宋体" w:cs="Times New Roman"/>
                <w:color w:val="auto"/>
                <w:sz w:val="21"/>
                <w:szCs w:val="18"/>
                <w:lang w:val="en-US" w:eastAsia="zh-CN" w:bidi="ar-SA"/>
              </w:rPr>
              <w:t>三级</w:t>
            </w:r>
          </w:p>
        </w:tc>
        <w:tc>
          <w:tcPr>
            <w:tcW w:w="471" w:type="pct"/>
            <w:tcBorders>
              <w:tl2br w:val="nil"/>
              <w:tr2bl w:val="nil"/>
            </w:tcBorders>
            <w:noWrap w:val="0"/>
            <w:vAlign w:val="center"/>
          </w:tcPr>
          <w:p w14:paraId="2D45C7A5">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sz w:val="21"/>
                <w:szCs w:val="18"/>
                <w:lang w:val="en-US" w:eastAsia="zh-CN" w:bidi="ar-SA"/>
              </w:rPr>
            </w:pPr>
            <w:r>
              <w:rPr>
                <w:rFonts w:ascii="Times New Roman" w:hAnsi="Times New Roman" w:eastAsia="宋体" w:cs="Times New Roman"/>
                <w:color w:val="auto"/>
                <w:sz w:val="21"/>
                <w:szCs w:val="18"/>
                <w:lang w:val="en-US" w:eastAsia="zh-CN" w:bidi="ar-SA"/>
              </w:rPr>
              <w:t>-</w:t>
            </w:r>
          </w:p>
        </w:tc>
        <w:tc>
          <w:tcPr>
            <w:tcW w:w="473" w:type="pct"/>
            <w:tcBorders>
              <w:tl2br w:val="nil"/>
              <w:tr2bl w:val="nil"/>
            </w:tcBorders>
            <w:noWrap w:val="0"/>
            <w:vAlign w:val="center"/>
          </w:tcPr>
          <w:p w14:paraId="131F65DF">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sz w:val="21"/>
                <w:szCs w:val="18"/>
                <w:lang w:val="en-US" w:eastAsia="zh-CN" w:bidi="ar-SA"/>
              </w:rPr>
            </w:pPr>
            <w:r>
              <w:rPr>
                <w:rFonts w:ascii="Times New Roman" w:hAnsi="Times New Roman" w:eastAsia="宋体" w:cs="Times New Roman"/>
                <w:color w:val="auto"/>
                <w:sz w:val="21"/>
                <w:szCs w:val="18"/>
                <w:lang w:val="en-US" w:eastAsia="zh-CN" w:bidi="ar-SA"/>
              </w:rPr>
              <w:t>-</w:t>
            </w:r>
          </w:p>
        </w:tc>
      </w:tr>
    </w:tbl>
    <w:p w14:paraId="51F6E358">
      <w:pPr>
        <w:pStyle w:val="79"/>
        <w:bidi w:val="0"/>
        <w:rPr>
          <w:color w:val="auto"/>
          <w:lang w:val="en-US" w:eastAsia="zh-CN"/>
        </w:rPr>
      </w:pPr>
      <w:r>
        <w:rPr>
          <w:rFonts w:hint="eastAsia"/>
          <w:color w:val="auto"/>
          <w:lang w:val="en-US" w:eastAsia="zh-CN"/>
        </w:rPr>
        <w:t>根据工程分析，本工程属于小型项目（永久占地2.52hm</w:t>
      </w:r>
      <w:r>
        <w:rPr>
          <w:rFonts w:hint="eastAsia"/>
          <w:color w:val="auto"/>
          <w:vertAlign w:val="superscript"/>
          <w:lang w:val="en-US" w:eastAsia="zh-CN"/>
        </w:rPr>
        <w:t>2</w:t>
      </w:r>
      <w:r>
        <w:rPr>
          <w:rFonts w:hint="eastAsia"/>
          <w:color w:val="auto"/>
          <w:lang w:val="en-US" w:eastAsia="zh-CN"/>
        </w:rPr>
        <w:t>），占地类型为牧草地，土壤敏感程度为“敏感”，本工程为石油开采项目，其中站场属于</w:t>
      </w:r>
      <w:r>
        <w:rPr>
          <w:rFonts w:hint="eastAsia"/>
          <w:color w:val="auto"/>
          <w:lang w:val="en-US" w:eastAsia="zh-CN"/>
        </w:rPr>
        <w:fldChar w:fldCharType="begin"/>
      </w:r>
      <w:r>
        <w:rPr>
          <w:rFonts w:hint="eastAsia"/>
          <w:color w:val="auto"/>
          <w:lang w:val="en-US" w:eastAsia="zh-CN"/>
        </w:rPr>
        <w:instrText xml:space="preserve"> = 1 \* ROMAN \* MERGEFORMAT </w:instrText>
      </w:r>
      <w:r>
        <w:rPr>
          <w:rFonts w:hint="eastAsia"/>
          <w:color w:val="auto"/>
          <w:lang w:val="en-US" w:eastAsia="zh-CN"/>
        </w:rPr>
        <w:fldChar w:fldCharType="separate"/>
      </w:r>
      <w:r>
        <w:rPr>
          <w:color w:val="auto"/>
        </w:rPr>
        <w:t>I</w:t>
      </w:r>
      <w:r>
        <w:rPr>
          <w:rFonts w:hint="eastAsia"/>
          <w:color w:val="auto"/>
          <w:lang w:val="en-US" w:eastAsia="zh-CN"/>
        </w:rPr>
        <w:fldChar w:fldCharType="end"/>
      </w:r>
      <w:r>
        <w:rPr>
          <w:rFonts w:hint="eastAsia"/>
          <w:color w:val="auto"/>
          <w:lang w:val="en-US" w:eastAsia="zh-CN"/>
        </w:rPr>
        <w:t>类项目，土壤污染影响型评价等级划分为一级。</w:t>
      </w:r>
    </w:p>
    <w:p w14:paraId="4E80459B">
      <w:pPr>
        <w:pStyle w:val="79"/>
        <w:bidi w:val="0"/>
        <w:rPr>
          <w:rFonts w:hint="eastAsia"/>
          <w:color w:val="auto"/>
          <w:lang w:val="en-US" w:eastAsia="zh-CN"/>
        </w:rPr>
      </w:pPr>
      <w:r>
        <w:rPr>
          <w:rFonts w:hint="eastAsia"/>
          <w:color w:val="auto"/>
          <w:lang w:val="en-US" w:eastAsia="zh-CN"/>
        </w:rPr>
        <w:t>2）评价范围</w:t>
      </w:r>
    </w:p>
    <w:p w14:paraId="74DFFF7F">
      <w:pPr>
        <w:pStyle w:val="79"/>
        <w:bidi w:val="0"/>
        <w:rPr>
          <w:rFonts w:hint="eastAsia"/>
          <w:color w:val="auto"/>
          <w:lang w:val="en-US" w:eastAsia="zh-CN"/>
        </w:rPr>
      </w:pPr>
      <w:r>
        <w:rPr>
          <w:rFonts w:hint="eastAsia"/>
          <w:color w:val="auto"/>
          <w:lang w:val="en-US" w:eastAsia="zh-CN"/>
        </w:rPr>
        <w:t>根据评价工作等级，并结合本工程特点，考虑油油田整体开发对区域的影响，确定污染影响型评价范围为场站边界外1000m区域范围。</w:t>
      </w:r>
    </w:p>
    <w:p w14:paraId="5E8A06D1">
      <w:pPr>
        <w:pStyle w:val="79"/>
        <w:bidi w:val="0"/>
        <w:rPr>
          <w:rFonts w:hint="eastAsia"/>
          <w:color w:val="auto"/>
          <w:lang w:val="en-US" w:eastAsia="zh-CN"/>
        </w:rPr>
      </w:pPr>
      <w:r>
        <w:rPr>
          <w:rFonts w:hint="eastAsia"/>
          <w:color w:val="auto"/>
          <w:lang w:val="en-US" w:eastAsia="zh-CN"/>
        </w:rPr>
        <w:t>（3）土壤评价范围</w:t>
      </w:r>
    </w:p>
    <w:p w14:paraId="5CE81912">
      <w:pPr>
        <w:pStyle w:val="79"/>
        <w:bidi w:val="0"/>
        <w:rPr>
          <w:rFonts w:hint="default"/>
          <w:color w:val="auto"/>
          <w:lang w:val="en-US" w:eastAsia="zh-CN"/>
        </w:rPr>
      </w:pPr>
      <w:r>
        <w:rPr>
          <w:rFonts w:hint="eastAsia"/>
          <w:color w:val="auto"/>
          <w:lang w:val="en-US" w:eastAsia="zh-CN"/>
        </w:rPr>
        <w:t>根据本工程生态影响型评价等级、污染影响型评价等级，结合工程特点，考虑油田整体开发对区域的影响，确定土壤评价范围为场站边界外2km区域范围。评价范围图见图2.5-1。</w:t>
      </w:r>
    </w:p>
    <w:bookmarkEnd w:id="154"/>
    <w:p w14:paraId="1D64B60C">
      <w:pPr>
        <w:pStyle w:val="54"/>
        <w:bidi w:val="0"/>
        <w:rPr>
          <w:rFonts w:hint="eastAsia"/>
          <w:color w:val="auto"/>
          <w:lang w:val="en-US" w:eastAsia="zh-CN"/>
        </w:rPr>
      </w:pPr>
      <w:r>
        <w:rPr>
          <w:rFonts w:hint="eastAsia"/>
          <w:color w:val="auto"/>
          <w:lang w:val="en-US" w:eastAsia="zh-CN"/>
        </w:rPr>
        <w:t>2</w:t>
      </w:r>
      <w:r>
        <w:rPr>
          <w:color w:val="auto"/>
          <w:lang w:val="en-US" w:eastAsia="zh-CN"/>
        </w:rPr>
        <w:t>.</w:t>
      </w:r>
      <w:r>
        <w:rPr>
          <w:rFonts w:hint="eastAsia"/>
          <w:color w:val="auto"/>
          <w:lang w:val="en-US" w:eastAsia="zh-CN"/>
        </w:rPr>
        <w:t>5</w:t>
      </w:r>
      <w:r>
        <w:rPr>
          <w:color w:val="auto"/>
          <w:lang w:val="en-US" w:eastAsia="zh-CN"/>
        </w:rPr>
        <w:t>.</w:t>
      </w:r>
      <w:r>
        <w:rPr>
          <w:rFonts w:hint="eastAsia"/>
          <w:color w:val="auto"/>
          <w:lang w:val="en-US" w:eastAsia="zh-CN"/>
        </w:rPr>
        <w:t>5大气环境影响评价等级和评价范围</w:t>
      </w:r>
    </w:p>
    <w:p w14:paraId="14A61A80">
      <w:pPr>
        <w:pStyle w:val="79"/>
        <w:bidi w:val="0"/>
        <w:rPr>
          <w:color w:val="auto"/>
        </w:rPr>
      </w:pPr>
      <w:r>
        <w:rPr>
          <w:rFonts w:hint="eastAsia"/>
          <w:color w:val="auto"/>
        </w:rPr>
        <w:t>（1）评价等级</w:t>
      </w:r>
    </w:p>
    <w:p w14:paraId="66A1B05A">
      <w:pPr>
        <w:pStyle w:val="79"/>
        <w:bidi w:val="0"/>
        <w:rPr>
          <w:color w:val="auto"/>
        </w:rPr>
      </w:pPr>
      <w:bookmarkStart w:id="155" w:name="OLE_LINK348"/>
      <w:r>
        <w:rPr>
          <w:rFonts w:hint="eastAsia"/>
          <w:color w:val="auto"/>
        </w:rPr>
        <w:t>本项目废气排放源主要为雄探1井场内1台井口加热炉有组织排放的废气，以及雄探1井、雄英101井、雄英102井、雄英103井、雄英2井、雄英3井等6座采油井以及雄探1试采点在油气开采和集油外输过程中无组织挥发的烃类和硫化氢无组织排放。根据工程特点、污染特征及周围环境状况，采用《环境影响评价技术导则</w:t>
      </w:r>
      <w:r>
        <w:rPr>
          <w:rFonts w:hint="eastAsia"/>
          <w:color w:val="auto"/>
          <w:lang w:val="en-US" w:eastAsia="zh-CN"/>
        </w:rPr>
        <w:t xml:space="preserve"> </w:t>
      </w:r>
      <w:r>
        <w:rPr>
          <w:rFonts w:hint="eastAsia"/>
          <w:color w:val="auto"/>
        </w:rPr>
        <w:t>大气环境》（HJ2.2-2018）附录A推荐的估算模型AERSCREEN计算项目污染源的最大环境影响，选取二氧化硫、氮氧化物、颗粒物、非甲烷总烃、硫化氢作为候选因子核算</w:t>
      </w:r>
      <w:bookmarkEnd w:id="155"/>
      <w:r>
        <w:rPr>
          <w:color w:val="auto"/>
        </w:rPr>
        <w:t>，计算出其最大地面浓度占标率Pi</w:t>
      </w:r>
      <w:r>
        <w:rPr>
          <w:rFonts w:hint="eastAsia"/>
          <w:color w:val="auto"/>
        </w:rPr>
        <w:t>（第</w:t>
      </w:r>
      <w:r>
        <w:rPr>
          <w:color w:val="auto"/>
        </w:rPr>
        <w:t>i</w:t>
      </w:r>
      <w:r>
        <w:rPr>
          <w:rFonts w:hint="eastAsia"/>
          <w:color w:val="auto"/>
        </w:rPr>
        <w:t>个污染物，简称</w:t>
      </w:r>
      <w:r>
        <w:rPr>
          <w:rFonts w:hint="eastAsia"/>
          <w:color w:val="auto"/>
          <w:lang w:eastAsia="zh-CN"/>
        </w:rPr>
        <w:t>“</w:t>
      </w:r>
      <w:r>
        <w:rPr>
          <w:rFonts w:hint="eastAsia"/>
          <w:color w:val="auto"/>
        </w:rPr>
        <w:t>最大浓度占标率</w:t>
      </w:r>
      <w:r>
        <w:rPr>
          <w:rFonts w:hint="eastAsia"/>
          <w:color w:val="auto"/>
          <w:lang w:eastAsia="zh-CN"/>
        </w:rPr>
        <w:t>”</w:t>
      </w:r>
      <w:r>
        <w:rPr>
          <w:rFonts w:hint="eastAsia"/>
          <w:color w:val="auto"/>
        </w:rPr>
        <w:t>）</w:t>
      </w:r>
      <w:r>
        <w:rPr>
          <w:color w:val="auto"/>
        </w:rPr>
        <w:t>及其地面浓度达标准值10%时所对应的最远距离D10%。其中Pi定义为：</w:t>
      </w:r>
    </w:p>
    <w:p w14:paraId="51886988">
      <w:pPr>
        <w:pStyle w:val="79"/>
        <w:bidi w:val="0"/>
        <w:rPr>
          <w:color w:val="auto"/>
        </w:rPr>
      </w:pPr>
      <w:r>
        <w:rPr>
          <w:color w:val="auto"/>
        </w:rPr>
        <w:drawing>
          <wp:anchor distT="0" distB="0" distL="114300" distR="114300" simplePos="0" relativeHeight="251663360" behindDoc="0" locked="0" layoutInCell="1" allowOverlap="1">
            <wp:simplePos x="0" y="0"/>
            <wp:positionH relativeFrom="column">
              <wp:posOffset>2143125</wp:posOffset>
            </wp:positionH>
            <wp:positionV relativeFrom="paragraph">
              <wp:posOffset>17780</wp:posOffset>
            </wp:positionV>
            <wp:extent cx="902335" cy="392430"/>
            <wp:effectExtent l="0" t="0" r="12065" b="6985"/>
            <wp:wrapTopAndBottom/>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10"/>
                    <a:stretch>
                      <a:fillRect/>
                    </a:stretch>
                  </pic:blipFill>
                  <pic:spPr>
                    <a:xfrm>
                      <a:off x="0" y="0"/>
                      <a:ext cx="902335" cy="392430"/>
                    </a:xfrm>
                    <a:prstGeom prst="rect">
                      <a:avLst/>
                    </a:prstGeom>
                    <a:noFill/>
                    <a:ln>
                      <a:noFill/>
                    </a:ln>
                  </pic:spPr>
                </pic:pic>
              </a:graphicData>
            </a:graphic>
          </wp:anchor>
        </w:drawing>
      </w:r>
      <w:r>
        <w:rPr>
          <w:color w:val="auto"/>
        </w:rPr>
        <w:t>式中：P</w:t>
      </w:r>
      <w:r>
        <w:rPr>
          <w:color w:val="auto"/>
          <w:vertAlign w:val="subscript"/>
        </w:rPr>
        <w:t>i</w:t>
      </w:r>
      <w:r>
        <w:rPr>
          <w:color w:val="auto"/>
        </w:rPr>
        <w:t>—第i个污染物的最大地面浓度占标率，%；</w:t>
      </w:r>
    </w:p>
    <w:p w14:paraId="0247C749">
      <w:pPr>
        <w:pStyle w:val="79"/>
        <w:bidi w:val="0"/>
        <w:rPr>
          <w:color w:val="auto"/>
        </w:rPr>
      </w:pPr>
      <w:r>
        <w:rPr>
          <w:color w:val="auto"/>
        </w:rPr>
        <w:t>C</w:t>
      </w:r>
      <w:r>
        <w:rPr>
          <w:color w:val="auto"/>
          <w:vertAlign w:val="subscript"/>
        </w:rPr>
        <w:t>i</w:t>
      </w:r>
      <w:r>
        <w:rPr>
          <w:color w:val="auto"/>
        </w:rPr>
        <w:t>—采用估算模式计算出的第i个污染物的最大1h地面环境空气质量浓度，μg/m³；</w:t>
      </w:r>
    </w:p>
    <w:p w14:paraId="5267B9D6">
      <w:pPr>
        <w:pStyle w:val="79"/>
        <w:bidi w:val="0"/>
        <w:rPr>
          <w:color w:val="auto"/>
        </w:rPr>
      </w:pPr>
      <w:r>
        <w:rPr>
          <w:color w:val="auto"/>
        </w:rPr>
        <w:t>C</w:t>
      </w:r>
      <w:r>
        <w:rPr>
          <w:color w:val="auto"/>
          <w:vertAlign w:val="subscript"/>
        </w:rPr>
        <w:t>oi</w:t>
      </w:r>
      <w:r>
        <w:rPr>
          <w:color w:val="auto"/>
        </w:rPr>
        <w:t>—环境空气质量标准，μg/m³。一般选用GB3095-</w:t>
      </w:r>
      <w:r>
        <w:rPr>
          <w:rFonts w:hint="eastAsia"/>
          <w:color w:val="auto"/>
        </w:rPr>
        <w:t>2012</w:t>
      </w:r>
      <w:r>
        <w:rPr>
          <w:color w:val="auto"/>
        </w:rPr>
        <w:t>中1小时平均取样时间的二级标准的浓度限值</w:t>
      </w:r>
      <w:r>
        <w:rPr>
          <w:rFonts w:hint="eastAsia"/>
          <w:color w:val="auto"/>
        </w:rPr>
        <w:t>，如项目位于一类环境空气功能区，应选择</w:t>
      </w:r>
      <w:r>
        <w:rPr>
          <w:rFonts w:hint="eastAsia"/>
          <w:color w:val="auto"/>
          <w:lang w:eastAsia="zh-CN"/>
        </w:rPr>
        <w:t>相应</w:t>
      </w:r>
      <w:r>
        <w:rPr>
          <w:rFonts w:hint="eastAsia"/>
          <w:color w:val="auto"/>
        </w:rPr>
        <w:t>的一级浓度限值</w:t>
      </w:r>
      <w:r>
        <w:rPr>
          <w:color w:val="auto"/>
        </w:rPr>
        <w:t>；</w:t>
      </w:r>
      <w:r>
        <w:rPr>
          <w:rFonts w:hint="eastAsia"/>
          <w:color w:val="auto"/>
        </w:rPr>
        <w:t>对仅有8h平均质量浓度限值、日平均质量浓度限值或年均质量浓度限值的，分别可按2倍、3倍、6倍折算为1h平均质量浓度限值。</w:t>
      </w:r>
    </w:p>
    <w:p w14:paraId="463A94B2">
      <w:pPr>
        <w:pStyle w:val="79"/>
        <w:bidi w:val="0"/>
        <w:rPr>
          <w:color w:val="auto"/>
        </w:rPr>
      </w:pPr>
      <w:r>
        <w:rPr>
          <w:color w:val="auto"/>
        </w:rPr>
        <w:t>大气评价工作级别</w:t>
      </w:r>
      <w:r>
        <w:rPr>
          <w:rFonts w:hint="eastAsia"/>
          <w:color w:val="auto"/>
          <w:lang w:eastAsia="zh-CN"/>
        </w:rPr>
        <w:t>，</w:t>
      </w:r>
      <w:r>
        <w:rPr>
          <w:color w:val="auto"/>
        </w:rPr>
        <w:t>见表2.</w:t>
      </w:r>
      <w:r>
        <w:rPr>
          <w:rFonts w:hint="eastAsia"/>
          <w:color w:val="auto"/>
          <w:lang w:val="en-US" w:eastAsia="zh-CN"/>
        </w:rPr>
        <w:t>5</w:t>
      </w:r>
      <w:r>
        <w:rPr>
          <w:color w:val="auto"/>
        </w:rPr>
        <w:t>-</w:t>
      </w:r>
      <w:r>
        <w:rPr>
          <w:rFonts w:hint="eastAsia"/>
          <w:color w:val="auto"/>
          <w:lang w:val="en-US" w:eastAsia="zh-CN"/>
        </w:rPr>
        <w:t>8</w:t>
      </w:r>
      <w:r>
        <w:rPr>
          <w:color w:val="auto"/>
        </w:rPr>
        <w:t>。</w:t>
      </w:r>
    </w:p>
    <w:p w14:paraId="346FCD38">
      <w:pPr>
        <w:pStyle w:val="61"/>
        <w:bidi w:val="0"/>
        <w:jc w:val="both"/>
        <w:rPr>
          <w:rFonts w:hint="eastAsia"/>
          <w:color w:val="auto"/>
          <w:lang w:val="en-US" w:eastAsia="zh-CN"/>
        </w:rPr>
      </w:pPr>
      <w:r>
        <w:rPr>
          <w:rFonts w:hint="eastAsia"/>
          <w:color w:val="auto"/>
          <w:lang w:val="en-US" w:eastAsia="zh-CN"/>
        </w:rPr>
        <w:t>表2.5-8  评价工作等级</w:t>
      </w:r>
    </w:p>
    <w:tbl>
      <w:tblPr>
        <w:tblStyle w:val="36"/>
        <w:tblW w:w="48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620"/>
        <w:gridCol w:w="6032"/>
      </w:tblGrid>
      <w:tr w14:paraId="2CC2D6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514" w:type="pct"/>
            <w:tcBorders>
              <w:tl2br w:val="nil"/>
              <w:tr2bl w:val="nil"/>
            </w:tcBorders>
            <w:noWrap w:val="0"/>
            <w:vAlign w:val="center"/>
          </w:tcPr>
          <w:p w14:paraId="3AAB8D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评价工作等级</w:t>
            </w:r>
          </w:p>
        </w:tc>
        <w:tc>
          <w:tcPr>
            <w:tcW w:w="3485" w:type="pct"/>
            <w:tcBorders>
              <w:tl2br w:val="nil"/>
              <w:tr2bl w:val="nil"/>
            </w:tcBorders>
            <w:noWrap w:val="0"/>
            <w:vAlign w:val="center"/>
          </w:tcPr>
          <w:p w14:paraId="6721D0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评价工作分级判据</w:t>
            </w:r>
          </w:p>
        </w:tc>
      </w:tr>
      <w:tr w14:paraId="1A0403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514" w:type="pct"/>
            <w:tcBorders>
              <w:tl2br w:val="nil"/>
              <w:tr2bl w:val="nil"/>
            </w:tcBorders>
            <w:noWrap w:val="0"/>
            <w:vAlign w:val="center"/>
          </w:tcPr>
          <w:p w14:paraId="54CEF9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一级评价</w:t>
            </w:r>
          </w:p>
        </w:tc>
        <w:tc>
          <w:tcPr>
            <w:tcW w:w="3485" w:type="pct"/>
            <w:tcBorders>
              <w:tl2br w:val="nil"/>
              <w:tr2bl w:val="nil"/>
            </w:tcBorders>
            <w:noWrap w:val="0"/>
            <w:vAlign w:val="center"/>
          </w:tcPr>
          <w:p w14:paraId="31E9FD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P</w:t>
            </w:r>
            <w:r>
              <w:rPr>
                <w:rFonts w:hint="default" w:ascii="Times New Roman" w:hAnsi="Times New Roman" w:eastAsia="宋体" w:cs="Times New Roman"/>
                <w:color w:val="auto"/>
                <w:szCs w:val="21"/>
                <w:highlight w:val="none"/>
                <w:vertAlign w:val="subscript"/>
              </w:rPr>
              <w:t>max</w:t>
            </w:r>
            <w:r>
              <w:rPr>
                <w:rFonts w:hint="default" w:ascii="Times New Roman" w:hAnsi="Times New Roman" w:eastAsia="宋体" w:cs="Times New Roman"/>
                <w:color w:val="auto"/>
                <w:szCs w:val="21"/>
                <w:highlight w:val="none"/>
              </w:rPr>
              <w:t>≥10%</w:t>
            </w:r>
          </w:p>
        </w:tc>
      </w:tr>
      <w:tr w14:paraId="27EB70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514" w:type="pct"/>
            <w:tcBorders>
              <w:tl2br w:val="nil"/>
              <w:tr2bl w:val="nil"/>
            </w:tcBorders>
            <w:noWrap w:val="0"/>
            <w:vAlign w:val="center"/>
          </w:tcPr>
          <w:p w14:paraId="12E5DF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二级评价</w:t>
            </w:r>
          </w:p>
        </w:tc>
        <w:tc>
          <w:tcPr>
            <w:tcW w:w="3485" w:type="pct"/>
            <w:tcBorders>
              <w:tl2br w:val="nil"/>
              <w:tr2bl w:val="nil"/>
            </w:tcBorders>
            <w:noWrap w:val="0"/>
            <w:vAlign w:val="center"/>
          </w:tcPr>
          <w:p w14:paraId="76F806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1%≤P</w:t>
            </w:r>
            <w:r>
              <w:rPr>
                <w:rFonts w:hint="default" w:ascii="Times New Roman" w:hAnsi="Times New Roman" w:eastAsia="宋体" w:cs="Times New Roman"/>
                <w:color w:val="auto"/>
                <w:szCs w:val="21"/>
                <w:highlight w:val="none"/>
                <w:vertAlign w:val="subscript"/>
              </w:rPr>
              <w:t>max</w:t>
            </w:r>
            <w:r>
              <w:rPr>
                <w:rFonts w:hint="eastAsia" w:ascii="仿宋_GB2312" w:hAnsi="仿宋_GB2312" w:eastAsia="仿宋_GB2312" w:cs="仿宋_GB2312"/>
                <w:color w:val="auto"/>
                <w:szCs w:val="21"/>
                <w:highlight w:val="none"/>
                <w:vertAlign w:val="baseline"/>
              </w:rPr>
              <w:t>&lt;</w:t>
            </w:r>
            <w:r>
              <w:rPr>
                <w:rFonts w:hint="default" w:ascii="Times New Roman" w:hAnsi="Times New Roman" w:eastAsia="宋体" w:cs="Times New Roman"/>
                <w:color w:val="auto"/>
                <w:szCs w:val="21"/>
                <w:highlight w:val="none"/>
              </w:rPr>
              <w:t>10%</w:t>
            </w:r>
          </w:p>
        </w:tc>
      </w:tr>
      <w:tr w14:paraId="745368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514" w:type="pct"/>
            <w:tcBorders>
              <w:tl2br w:val="nil"/>
              <w:tr2bl w:val="nil"/>
            </w:tcBorders>
            <w:noWrap w:val="0"/>
            <w:vAlign w:val="center"/>
          </w:tcPr>
          <w:p w14:paraId="324919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三级评价</w:t>
            </w:r>
          </w:p>
        </w:tc>
        <w:tc>
          <w:tcPr>
            <w:tcW w:w="3485" w:type="pct"/>
            <w:tcBorders>
              <w:tl2br w:val="nil"/>
              <w:tr2bl w:val="nil"/>
            </w:tcBorders>
            <w:noWrap w:val="0"/>
            <w:vAlign w:val="center"/>
          </w:tcPr>
          <w:p w14:paraId="3BE0B1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P</w:t>
            </w:r>
            <w:r>
              <w:rPr>
                <w:rFonts w:hint="default" w:ascii="Times New Roman" w:hAnsi="Times New Roman" w:eastAsia="宋体" w:cs="Times New Roman"/>
                <w:color w:val="auto"/>
                <w:szCs w:val="21"/>
                <w:highlight w:val="none"/>
                <w:vertAlign w:val="subscript"/>
              </w:rPr>
              <w:t>max</w:t>
            </w:r>
            <w:r>
              <w:rPr>
                <w:rFonts w:hint="eastAsia" w:ascii="仿宋_GB2312" w:hAnsi="仿宋_GB2312" w:eastAsia="仿宋_GB2312" w:cs="仿宋_GB2312"/>
                <w:color w:val="auto"/>
                <w:szCs w:val="21"/>
                <w:highlight w:val="none"/>
                <w:vertAlign w:val="baseline"/>
              </w:rPr>
              <w:t>&lt;</w:t>
            </w:r>
            <w:r>
              <w:rPr>
                <w:rFonts w:hint="default" w:ascii="Times New Roman" w:hAnsi="Times New Roman" w:eastAsia="宋体" w:cs="Times New Roman"/>
                <w:color w:val="auto"/>
                <w:szCs w:val="21"/>
                <w:highlight w:val="none"/>
              </w:rPr>
              <w:t xml:space="preserve">1% </w:t>
            </w:r>
          </w:p>
        </w:tc>
      </w:tr>
    </w:tbl>
    <w:p w14:paraId="3675E229">
      <w:pPr>
        <w:pStyle w:val="79"/>
        <w:bidi w:val="0"/>
        <w:rPr>
          <w:rFonts w:hint="eastAsia"/>
          <w:color w:val="auto"/>
          <w:lang w:val="en-US" w:eastAsia="zh-CN"/>
        </w:rPr>
      </w:pPr>
      <w:r>
        <w:rPr>
          <w:rFonts w:hint="eastAsia"/>
          <w:color w:val="auto"/>
        </w:rPr>
        <w:t>估算模式所用参数</w:t>
      </w:r>
      <w:r>
        <w:rPr>
          <w:rFonts w:hint="eastAsia"/>
          <w:color w:val="auto"/>
          <w:lang w:eastAsia="zh-CN"/>
        </w:rPr>
        <w:t>，</w:t>
      </w:r>
      <w:r>
        <w:rPr>
          <w:rFonts w:hint="eastAsia"/>
          <w:color w:val="auto"/>
        </w:rPr>
        <w:t>见表2.</w:t>
      </w:r>
      <w:r>
        <w:rPr>
          <w:rFonts w:hint="eastAsia"/>
          <w:color w:val="auto"/>
          <w:lang w:val="en-US" w:eastAsia="zh-CN"/>
        </w:rPr>
        <w:t>5</w:t>
      </w:r>
      <w:r>
        <w:rPr>
          <w:rFonts w:hint="eastAsia"/>
          <w:color w:val="auto"/>
        </w:rPr>
        <w:t>-</w:t>
      </w:r>
      <w:r>
        <w:rPr>
          <w:rFonts w:hint="eastAsia"/>
          <w:color w:val="auto"/>
          <w:lang w:val="en-US" w:eastAsia="zh-CN"/>
        </w:rPr>
        <w:t>9</w:t>
      </w:r>
      <w:r>
        <w:rPr>
          <w:rFonts w:hint="eastAsia"/>
          <w:color w:val="auto"/>
        </w:rPr>
        <w:t>。</w:t>
      </w:r>
    </w:p>
    <w:p w14:paraId="3081231B">
      <w:pPr>
        <w:pStyle w:val="61"/>
        <w:bidi w:val="0"/>
        <w:jc w:val="both"/>
        <w:rPr>
          <w:rFonts w:hint="eastAsia"/>
          <w:color w:val="auto"/>
          <w:lang w:val="en-US" w:eastAsia="zh-CN"/>
        </w:rPr>
      </w:pPr>
      <w:r>
        <w:rPr>
          <w:rFonts w:hint="eastAsia"/>
          <w:color w:val="auto"/>
          <w:lang w:val="en-US" w:eastAsia="zh-CN"/>
        </w:rPr>
        <w:t>表2.5-9  估算模型参数表</w:t>
      </w:r>
    </w:p>
    <w:tbl>
      <w:tblPr>
        <w:tblStyle w:val="36"/>
        <w:tblW w:w="503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2317"/>
        <w:gridCol w:w="2714"/>
        <w:gridCol w:w="3678"/>
      </w:tblGrid>
      <w:tr w14:paraId="372510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jc w:val="center"/>
        </w:trPr>
        <w:tc>
          <w:tcPr>
            <w:tcW w:w="2888" w:type="pct"/>
            <w:gridSpan w:val="2"/>
            <w:tcBorders>
              <w:tl2br w:val="nil"/>
              <w:tr2bl w:val="nil"/>
            </w:tcBorders>
            <w:noWrap w:val="0"/>
            <w:vAlign w:val="center"/>
          </w:tcPr>
          <w:p w14:paraId="1732E430">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参数</w:t>
            </w:r>
          </w:p>
        </w:tc>
        <w:tc>
          <w:tcPr>
            <w:tcW w:w="2111" w:type="pct"/>
            <w:tcBorders>
              <w:tl2br w:val="nil"/>
              <w:tr2bl w:val="nil"/>
            </w:tcBorders>
            <w:noWrap w:val="0"/>
            <w:vAlign w:val="center"/>
          </w:tcPr>
          <w:p w14:paraId="7ACB7312">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取值</w:t>
            </w:r>
          </w:p>
        </w:tc>
      </w:tr>
      <w:tr w14:paraId="096588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jc w:val="center"/>
        </w:trPr>
        <w:tc>
          <w:tcPr>
            <w:tcW w:w="1330" w:type="pct"/>
            <w:vMerge w:val="restart"/>
            <w:tcBorders>
              <w:tl2br w:val="nil"/>
              <w:tr2bl w:val="nil"/>
            </w:tcBorders>
            <w:noWrap w:val="0"/>
            <w:vAlign w:val="center"/>
          </w:tcPr>
          <w:p w14:paraId="335EDF34">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城市/农村选项</w:t>
            </w:r>
          </w:p>
        </w:tc>
        <w:tc>
          <w:tcPr>
            <w:tcW w:w="1557" w:type="pct"/>
            <w:tcBorders>
              <w:tl2br w:val="nil"/>
              <w:tr2bl w:val="nil"/>
            </w:tcBorders>
            <w:noWrap w:val="0"/>
            <w:vAlign w:val="center"/>
          </w:tcPr>
          <w:p w14:paraId="64F87737">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城市/农村</w:t>
            </w:r>
          </w:p>
        </w:tc>
        <w:tc>
          <w:tcPr>
            <w:tcW w:w="2111" w:type="pct"/>
            <w:tcBorders>
              <w:tl2br w:val="nil"/>
              <w:tr2bl w:val="nil"/>
            </w:tcBorders>
            <w:noWrap w:val="0"/>
            <w:vAlign w:val="center"/>
          </w:tcPr>
          <w:p w14:paraId="3661B1C3">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农村</w:t>
            </w:r>
          </w:p>
        </w:tc>
      </w:tr>
      <w:tr w14:paraId="70BC1D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jc w:val="center"/>
        </w:trPr>
        <w:tc>
          <w:tcPr>
            <w:tcW w:w="1330" w:type="pct"/>
            <w:vMerge w:val="continue"/>
            <w:tcBorders>
              <w:tl2br w:val="nil"/>
              <w:tr2bl w:val="nil"/>
            </w:tcBorders>
            <w:noWrap w:val="0"/>
            <w:vAlign w:val="center"/>
          </w:tcPr>
          <w:p w14:paraId="49DD9527">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cs="Times New Roman"/>
                <w:color w:val="auto"/>
                <w:szCs w:val="21"/>
                <w:highlight w:val="none"/>
              </w:rPr>
            </w:pPr>
          </w:p>
        </w:tc>
        <w:tc>
          <w:tcPr>
            <w:tcW w:w="1557" w:type="pct"/>
            <w:tcBorders>
              <w:tl2br w:val="nil"/>
              <w:tr2bl w:val="nil"/>
            </w:tcBorders>
            <w:noWrap w:val="0"/>
            <w:vAlign w:val="center"/>
          </w:tcPr>
          <w:p w14:paraId="28A0DFB5">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人口数（城市人口数）</w:t>
            </w:r>
          </w:p>
        </w:tc>
        <w:tc>
          <w:tcPr>
            <w:tcW w:w="2111" w:type="pct"/>
            <w:tcBorders>
              <w:tl2br w:val="nil"/>
              <w:tr2bl w:val="nil"/>
            </w:tcBorders>
            <w:noWrap w:val="0"/>
            <w:vAlign w:val="center"/>
          </w:tcPr>
          <w:p w14:paraId="210C1AAD">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1C21D6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jc w:val="center"/>
        </w:trPr>
        <w:tc>
          <w:tcPr>
            <w:tcW w:w="2888" w:type="pct"/>
            <w:gridSpan w:val="2"/>
            <w:tcBorders>
              <w:tl2br w:val="nil"/>
              <w:tr2bl w:val="nil"/>
            </w:tcBorders>
            <w:noWrap w:val="0"/>
            <w:vAlign w:val="center"/>
          </w:tcPr>
          <w:p w14:paraId="00A2843E">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最高环境温度/℃</w:t>
            </w:r>
          </w:p>
        </w:tc>
        <w:tc>
          <w:tcPr>
            <w:tcW w:w="2111" w:type="pct"/>
            <w:tcBorders>
              <w:tl2br w:val="nil"/>
              <w:tr2bl w:val="nil"/>
            </w:tcBorders>
            <w:noWrap w:val="0"/>
            <w:vAlign w:val="center"/>
          </w:tcPr>
          <w:p w14:paraId="6F18C865">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40.7</w:t>
            </w:r>
          </w:p>
        </w:tc>
      </w:tr>
      <w:tr w14:paraId="47581A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jc w:val="center"/>
        </w:trPr>
        <w:tc>
          <w:tcPr>
            <w:tcW w:w="2888" w:type="pct"/>
            <w:gridSpan w:val="2"/>
            <w:tcBorders>
              <w:tl2br w:val="nil"/>
              <w:tr2bl w:val="nil"/>
            </w:tcBorders>
            <w:noWrap w:val="0"/>
            <w:vAlign w:val="center"/>
          </w:tcPr>
          <w:p w14:paraId="12F9221F">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最低环境温度/℃</w:t>
            </w:r>
          </w:p>
        </w:tc>
        <w:tc>
          <w:tcPr>
            <w:tcW w:w="2111" w:type="pct"/>
            <w:tcBorders>
              <w:tl2br w:val="nil"/>
              <w:tr2bl w:val="nil"/>
            </w:tcBorders>
            <w:noWrap w:val="0"/>
            <w:vAlign w:val="center"/>
          </w:tcPr>
          <w:p w14:paraId="5CB9A033">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-27.6</w:t>
            </w:r>
          </w:p>
        </w:tc>
      </w:tr>
      <w:tr w14:paraId="63EA9D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jc w:val="center"/>
        </w:trPr>
        <w:tc>
          <w:tcPr>
            <w:tcW w:w="2888" w:type="pct"/>
            <w:gridSpan w:val="2"/>
            <w:tcBorders>
              <w:tl2br w:val="nil"/>
              <w:tr2bl w:val="nil"/>
            </w:tcBorders>
            <w:noWrap w:val="0"/>
            <w:vAlign w:val="center"/>
          </w:tcPr>
          <w:p w14:paraId="7DD39636">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土地利用类型</w:t>
            </w:r>
          </w:p>
        </w:tc>
        <w:tc>
          <w:tcPr>
            <w:tcW w:w="2111" w:type="pct"/>
            <w:tcBorders>
              <w:tl2br w:val="nil"/>
              <w:tr2bl w:val="nil"/>
            </w:tcBorders>
            <w:noWrap w:val="0"/>
            <w:vAlign w:val="center"/>
          </w:tcPr>
          <w:p w14:paraId="7DF52705">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荒漠</w:t>
            </w:r>
          </w:p>
        </w:tc>
      </w:tr>
      <w:tr w14:paraId="53D267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jc w:val="center"/>
        </w:trPr>
        <w:tc>
          <w:tcPr>
            <w:tcW w:w="2888" w:type="pct"/>
            <w:gridSpan w:val="2"/>
            <w:tcBorders>
              <w:tl2br w:val="nil"/>
              <w:tr2bl w:val="nil"/>
            </w:tcBorders>
            <w:noWrap w:val="0"/>
            <w:vAlign w:val="center"/>
          </w:tcPr>
          <w:p w14:paraId="4DA55E55">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区域湿度条件</w:t>
            </w:r>
          </w:p>
        </w:tc>
        <w:tc>
          <w:tcPr>
            <w:tcW w:w="2111" w:type="pct"/>
            <w:tcBorders>
              <w:tl2br w:val="nil"/>
              <w:tr2bl w:val="nil"/>
            </w:tcBorders>
            <w:noWrap w:val="0"/>
            <w:vAlign w:val="center"/>
          </w:tcPr>
          <w:p w14:paraId="0BAAE0A8">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干燥</w:t>
            </w:r>
          </w:p>
        </w:tc>
      </w:tr>
      <w:tr w14:paraId="43F56A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jc w:val="center"/>
        </w:trPr>
        <w:tc>
          <w:tcPr>
            <w:tcW w:w="1330" w:type="pct"/>
            <w:vMerge w:val="restart"/>
            <w:tcBorders>
              <w:tl2br w:val="nil"/>
              <w:tr2bl w:val="nil"/>
            </w:tcBorders>
            <w:noWrap w:val="0"/>
            <w:vAlign w:val="center"/>
          </w:tcPr>
          <w:p w14:paraId="5D94FC14">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是否考虑地形</w:t>
            </w:r>
          </w:p>
        </w:tc>
        <w:tc>
          <w:tcPr>
            <w:tcW w:w="1557" w:type="pct"/>
            <w:tcBorders>
              <w:tl2br w:val="nil"/>
              <w:tr2bl w:val="nil"/>
            </w:tcBorders>
            <w:noWrap w:val="0"/>
            <w:vAlign w:val="center"/>
          </w:tcPr>
          <w:p w14:paraId="544A4E24">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考虑地形</w:t>
            </w:r>
          </w:p>
        </w:tc>
        <w:tc>
          <w:tcPr>
            <w:tcW w:w="2111" w:type="pct"/>
            <w:tcBorders>
              <w:tl2br w:val="nil"/>
              <w:tr2bl w:val="nil"/>
            </w:tcBorders>
            <w:noWrap w:val="0"/>
            <w:vAlign w:val="center"/>
          </w:tcPr>
          <w:p w14:paraId="269C593B">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shd w:val="clear" w:color="auto" w:fill="FFFFFF"/>
              </w:rPr>
              <w:t>☑</w:t>
            </w:r>
            <w:r>
              <w:rPr>
                <w:rFonts w:hint="default" w:ascii="Times New Roman" w:hAnsi="Times New Roman" w:cs="Times New Roman"/>
                <w:color w:val="auto"/>
                <w:szCs w:val="21"/>
                <w:highlight w:val="none"/>
              </w:rPr>
              <w:t xml:space="preserve">是  </w:t>
            </w:r>
            <w:r>
              <w:rPr>
                <w:rFonts w:hint="default" w:ascii="Times New Roman" w:hAnsi="Times New Roman" w:cs="Times New Roman"/>
                <w:color w:val="auto"/>
                <w:szCs w:val="21"/>
                <w:highlight w:val="none"/>
                <w:shd w:val="clear" w:color="auto" w:fill="FFFFFF"/>
              </w:rPr>
              <w:t>□否</w:t>
            </w:r>
          </w:p>
        </w:tc>
      </w:tr>
      <w:tr w14:paraId="6773D9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jc w:val="center"/>
        </w:trPr>
        <w:tc>
          <w:tcPr>
            <w:tcW w:w="1330" w:type="pct"/>
            <w:vMerge w:val="continue"/>
            <w:tcBorders>
              <w:tl2br w:val="nil"/>
              <w:tr2bl w:val="nil"/>
            </w:tcBorders>
            <w:noWrap w:val="0"/>
            <w:vAlign w:val="center"/>
          </w:tcPr>
          <w:p w14:paraId="55351C88">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cs="Times New Roman"/>
                <w:color w:val="auto"/>
                <w:szCs w:val="21"/>
                <w:highlight w:val="none"/>
              </w:rPr>
            </w:pPr>
          </w:p>
        </w:tc>
        <w:tc>
          <w:tcPr>
            <w:tcW w:w="1557" w:type="pct"/>
            <w:tcBorders>
              <w:tl2br w:val="nil"/>
              <w:tr2bl w:val="nil"/>
            </w:tcBorders>
            <w:noWrap w:val="0"/>
            <w:vAlign w:val="center"/>
          </w:tcPr>
          <w:p w14:paraId="71D9F92B">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地形数据分辨率（m）</w:t>
            </w:r>
          </w:p>
        </w:tc>
        <w:tc>
          <w:tcPr>
            <w:tcW w:w="2111" w:type="pct"/>
            <w:tcBorders>
              <w:tl2br w:val="nil"/>
              <w:tr2bl w:val="nil"/>
            </w:tcBorders>
            <w:noWrap w:val="0"/>
            <w:vAlign w:val="center"/>
          </w:tcPr>
          <w:p w14:paraId="06C05EF1">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90</w:t>
            </w:r>
          </w:p>
        </w:tc>
      </w:tr>
      <w:tr w14:paraId="6A18CC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jc w:val="center"/>
        </w:trPr>
        <w:tc>
          <w:tcPr>
            <w:tcW w:w="1330" w:type="pct"/>
            <w:vMerge w:val="restart"/>
            <w:tcBorders>
              <w:tl2br w:val="nil"/>
              <w:tr2bl w:val="nil"/>
            </w:tcBorders>
            <w:noWrap w:val="0"/>
            <w:vAlign w:val="center"/>
          </w:tcPr>
          <w:p w14:paraId="2DEC96AB">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是否考虑海岸线熏烟</w:t>
            </w:r>
          </w:p>
        </w:tc>
        <w:tc>
          <w:tcPr>
            <w:tcW w:w="1557" w:type="pct"/>
            <w:tcBorders>
              <w:tl2br w:val="nil"/>
              <w:tr2bl w:val="nil"/>
            </w:tcBorders>
            <w:noWrap w:val="0"/>
            <w:vAlign w:val="center"/>
          </w:tcPr>
          <w:p w14:paraId="752281F9">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考虑海岸线熏烟</w:t>
            </w:r>
          </w:p>
        </w:tc>
        <w:tc>
          <w:tcPr>
            <w:tcW w:w="2111" w:type="pct"/>
            <w:tcBorders>
              <w:tl2br w:val="nil"/>
              <w:tr2bl w:val="nil"/>
            </w:tcBorders>
            <w:noWrap w:val="0"/>
            <w:vAlign w:val="center"/>
          </w:tcPr>
          <w:p w14:paraId="11AB3A70">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shd w:val="clear" w:color="auto" w:fill="FFFFFF"/>
              </w:rPr>
              <w:t>□</w:t>
            </w:r>
            <w:r>
              <w:rPr>
                <w:rFonts w:hint="default" w:ascii="Times New Roman" w:hAnsi="Times New Roman" w:cs="Times New Roman"/>
                <w:color w:val="auto"/>
                <w:szCs w:val="21"/>
                <w:highlight w:val="none"/>
              </w:rPr>
              <w:t xml:space="preserve">是  </w:t>
            </w:r>
            <w:r>
              <w:rPr>
                <w:rFonts w:hint="default" w:ascii="Times New Roman" w:hAnsi="Times New Roman" w:cs="Times New Roman"/>
                <w:color w:val="auto"/>
                <w:szCs w:val="21"/>
                <w:highlight w:val="none"/>
                <w:shd w:val="clear" w:color="auto" w:fill="FFFFFF"/>
              </w:rPr>
              <w:t>☑否</w:t>
            </w:r>
          </w:p>
        </w:tc>
      </w:tr>
      <w:tr w14:paraId="1505BC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jc w:val="center"/>
        </w:trPr>
        <w:tc>
          <w:tcPr>
            <w:tcW w:w="1330" w:type="pct"/>
            <w:vMerge w:val="continue"/>
            <w:tcBorders>
              <w:tl2br w:val="nil"/>
              <w:tr2bl w:val="nil"/>
            </w:tcBorders>
            <w:noWrap w:val="0"/>
            <w:vAlign w:val="center"/>
          </w:tcPr>
          <w:p w14:paraId="6C31B8D6">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cs="Times New Roman"/>
                <w:color w:val="auto"/>
                <w:szCs w:val="21"/>
                <w:highlight w:val="none"/>
              </w:rPr>
            </w:pPr>
          </w:p>
        </w:tc>
        <w:tc>
          <w:tcPr>
            <w:tcW w:w="1557" w:type="pct"/>
            <w:tcBorders>
              <w:tl2br w:val="nil"/>
              <w:tr2bl w:val="nil"/>
            </w:tcBorders>
            <w:noWrap w:val="0"/>
            <w:vAlign w:val="center"/>
          </w:tcPr>
          <w:p w14:paraId="7A7A887B">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岸线距离/km</w:t>
            </w:r>
          </w:p>
        </w:tc>
        <w:tc>
          <w:tcPr>
            <w:tcW w:w="2111" w:type="pct"/>
            <w:tcBorders>
              <w:tl2br w:val="nil"/>
              <w:tr2bl w:val="nil"/>
            </w:tcBorders>
            <w:noWrap w:val="0"/>
            <w:vAlign w:val="center"/>
          </w:tcPr>
          <w:p w14:paraId="693373E5">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193257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jc w:val="center"/>
        </w:trPr>
        <w:tc>
          <w:tcPr>
            <w:tcW w:w="1330" w:type="pct"/>
            <w:vMerge w:val="continue"/>
            <w:tcBorders>
              <w:tl2br w:val="nil"/>
              <w:tr2bl w:val="nil"/>
            </w:tcBorders>
            <w:noWrap w:val="0"/>
            <w:vAlign w:val="center"/>
          </w:tcPr>
          <w:p w14:paraId="36C6F471">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cs="Times New Roman"/>
                <w:color w:val="auto"/>
                <w:szCs w:val="21"/>
                <w:highlight w:val="none"/>
              </w:rPr>
            </w:pPr>
          </w:p>
        </w:tc>
        <w:tc>
          <w:tcPr>
            <w:tcW w:w="1557" w:type="pct"/>
            <w:tcBorders>
              <w:tl2br w:val="nil"/>
              <w:tr2bl w:val="nil"/>
            </w:tcBorders>
            <w:noWrap w:val="0"/>
            <w:vAlign w:val="center"/>
          </w:tcPr>
          <w:p w14:paraId="63913BE0">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岸线方向/°</w:t>
            </w:r>
          </w:p>
        </w:tc>
        <w:tc>
          <w:tcPr>
            <w:tcW w:w="2111" w:type="pct"/>
            <w:tcBorders>
              <w:tl2br w:val="nil"/>
              <w:tr2bl w:val="nil"/>
            </w:tcBorders>
            <w:noWrap w:val="0"/>
            <w:vAlign w:val="center"/>
          </w:tcPr>
          <w:p w14:paraId="319AF13D">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bl>
    <w:p w14:paraId="1FED5748">
      <w:pPr>
        <w:pStyle w:val="79"/>
        <w:bidi w:val="0"/>
        <w:rPr>
          <w:color w:val="auto"/>
        </w:rPr>
      </w:pPr>
      <w:bookmarkStart w:id="156" w:name="OLE_LINK113"/>
      <w:r>
        <w:rPr>
          <w:rFonts w:hint="eastAsia"/>
          <w:color w:val="auto"/>
        </w:rPr>
        <w:t>计算结果</w:t>
      </w:r>
      <w:r>
        <w:rPr>
          <w:rFonts w:hint="eastAsia"/>
          <w:color w:val="auto"/>
          <w:lang w:eastAsia="zh-CN"/>
        </w:rPr>
        <w:t>，</w:t>
      </w:r>
      <w:r>
        <w:rPr>
          <w:rFonts w:hint="eastAsia"/>
          <w:color w:val="auto"/>
        </w:rPr>
        <w:t>见表</w:t>
      </w:r>
      <w:r>
        <w:rPr>
          <w:color w:val="auto"/>
        </w:rPr>
        <w:t>2.</w:t>
      </w:r>
      <w:r>
        <w:rPr>
          <w:rFonts w:hint="eastAsia"/>
          <w:color w:val="auto"/>
          <w:lang w:val="en-US" w:eastAsia="zh-CN"/>
        </w:rPr>
        <w:t>5</w:t>
      </w:r>
      <w:r>
        <w:rPr>
          <w:color w:val="auto"/>
        </w:rPr>
        <w:t>-</w:t>
      </w:r>
      <w:r>
        <w:rPr>
          <w:rFonts w:hint="eastAsia"/>
          <w:color w:val="auto"/>
          <w:lang w:val="en-US" w:eastAsia="zh-CN"/>
        </w:rPr>
        <w:t>10、表2.5-11</w:t>
      </w:r>
      <w:r>
        <w:rPr>
          <w:color w:val="auto"/>
        </w:rPr>
        <w:t>。</w:t>
      </w:r>
    </w:p>
    <w:p w14:paraId="15B717CC">
      <w:pPr>
        <w:pStyle w:val="61"/>
        <w:bidi w:val="0"/>
        <w:jc w:val="both"/>
        <w:rPr>
          <w:rFonts w:hint="eastAsia"/>
          <w:color w:val="auto"/>
          <w:lang w:val="en-US" w:eastAsia="zh-CN"/>
        </w:rPr>
      </w:pPr>
      <w:r>
        <w:rPr>
          <w:rFonts w:hint="eastAsia"/>
          <w:color w:val="auto"/>
          <w:lang w:val="en-US" w:eastAsia="zh-CN"/>
        </w:rPr>
        <w:t>表2.5-10   有组织燃烧废气污染物的占标率和落地浓度一览表</w:t>
      </w:r>
    </w:p>
    <w:tbl>
      <w:tblPr>
        <w:tblStyle w:val="36"/>
        <w:tblW w:w="4952"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28" w:type="dxa"/>
          <w:left w:w="108" w:type="dxa"/>
          <w:bottom w:w="28" w:type="dxa"/>
          <w:right w:w="108" w:type="dxa"/>
        </w:tblCellMar>
      </w:tblPr>
      <w:tblGrid>
        <w:gridCol w:w="898"/>
        <w:gridCol w:w="1213"/>
        <w:gridCol w:w="735"/>
        <w:gridCol w:w="1232"/>
        <w:gridCol w:w="735"/>
        <w:gridCol w:w="1232"/>
        <w:gridCol w:w="735"/>
        <w:gridCol w:w="1233"/>
        <w:gridCol w:w="736"/>
      </w:tblGrid>
      <w:tr w14:paraId="0E206E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27" w:hRule="atLeast"/>
          <w:jc w:val="center"/>
        </w:trPr>
        <w:tc>
          <w:tcPr>
            <w:tcW w:w="513" w:type="pct"/>
            <w:vMerge w:val="restart"/>
            <w:tcBorders>
              <w:tl2br w:val="nil"/>
              <w:tr2bl w:val="nil"/>
            </w:tcBorders>
            <w:shd w:val="clear" w:color="auto" w:fill="auto"/>
            <w:noWrap w:val="0"/>
            <w:vAlign w:val="center"/>
          </w:tcPr>
          <w:p w14:paraId="6663CC8B">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b w:val="0"/>
                <w:bCs w:val="0"/>
                <w:color w:val="auto"/>
                <w:sz w:val="21"/>
                <w:szCs w:val="21"/>
                <w:highlight w:val="none"/>
              </w:rPr>
            </w:pPr>
            <w:bookmarkStart w:id="157" w:name="OLE_LINK281"/>
            <w:r>
              <w:rPr>
                <w:rFonts w:hint="default" w:ascii="Times New Roman" w:hAnsi="Times New Roman" w:cs="Times New Roman"/>
                <w:b w:val="0"/>
                <w:bCs w:val="0"/>
                <w:color w:val="auto"/>
                <w:sz w:val="21"/>
                <w:szCs w:val="21"/>
                <w:highlight w:val="none"/>
              </w:rPr>
              <w:t>下风向距离（m）</w:t>
            </w:r>
          </w:p>
        </w:tc>
        <w:tc>
          <w:tcPr>
            <w:tcW w:w="1113" w:type="pct"/>
            <w:gridSpan w:val="2"/>
            <w:tcBorders>
              <w:tl2br w:val="nil"/>
              <w:tr2bl w:val="nil"/>
            </w:tcBorders>
            <w:shd w:val="clear" w:color="auto" w:fill="auto"/>
            <w:noWrap w:val="0"/>
            <w:vAlign w:val="center"/>
          </w:tcPr>
          <w:p w14:paraId="6E673C81">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SO</w:t>
            </w:r>
            <w:r>
              <w:rPr>
                <w:rFonts w:hint="default" w:ascii="Times New Roman" w:hAnsi="Times New Roman" w:cs="Times New Roman"/>
                <w:b w:val="0"/>
                <w:bCs w:val="0"/>
                <w:color w:val="auto"/>
                <w:sz w:val="21"/>
                <w:szCs w:val="21"/>
                <w:highlight w:val="none"/>
                <w:vertAlign w:val="subscript"/>
              </w:rPr>
              <w:t>2</w:t>
            </w:r>
          </w:p>
        </w:tc>
        <w:tc>
          <w:tcPr>
            <w:tcW w:w="1124" w:type="pct"/>
            <w:gridSpan w:val="2"/>
            <w:tcBorders>
              <w:tl2br w:val="nil"/>
              <w:tr2bl w:val="nil"/>
            </w:tcBorders>
            <w:shd w:val="clear" w:color="auto" w:fill="auto"/>
            <w:noWrap w:val="0"/>
            <w:vAlign w:val="center"/>
          </w:tcPr>
          <w:p w14:paraId="5584A980">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NO</w:t>
            </w:r>
            <w:r>
              <w:rPr>
                <w:rFonts w:hint="default" w:ascii="Times New Roman" w:hAnsi="Times New Roman" w:cs="Times New Roman"/>
                <w:b w:val="0"/>
                <w:bCs w:val="0"/>
                <w:color w:val="auto"/>
                <w:sz w:val="21"/>
                <w:szCs w:val="21"/>
                <w:highlight w:val="none"/>
                <w:vertAlign w:val="subscript"/>
              </w:rPr>
              <w:t>X</w:t>
            </w:r>
          </w:p>
        </w:tc>
        <w:tc>
          <w:tcPr>
            <w:tcW w:w="1124" w:type="pct"/>
            <w:gridSpan w:val="2"/>
            <w:tcBorders>
              <w:tl2br w:val="nil"/>
              <w:tr2bl w:val="nil"/>
            </w:tcBorders>
            <w:shd w:val="clear" w:color="auto" w:fill="auto"/>
            <w:noWrap w:val="0"/>
            <w:vAlign w:val="center"/>
          </w:tcPr>
          <w:p w14:paraId="2F5E0656">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烟尘</w:t>
            </w:r>
          </w:p>
        </w:tc>
        <w:tc>
          <w:tcPr>
            <w:tcW w:w="1124" w:type="pct"/>
            <w:gridSpan w:val="2"/>
            <w:tcBorders>
              <w:tl2br w:val="nil"/>
              <w:tr2bl w:val="nil"/>
            </w:tcBorders>
            <w:shd w:val="clear" w:color="auto" w:fill="auto"/>
            <w:noWrap w:val="0"/>
            <w:vAlign w:val="center"/>
          </w:tcPr>
          <w:p w14:paraId="5F30216F">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非甲烷总烃</w:t>
            </w:r>
          </w:p>
        </w:tc>
      </w:tr>
      <w:tr w14:paraId="20E4B5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27" w:hRule="atLeast"/>
          <w:jc w:val="center"/>
        </w:trPr>
        <w:tc>
          <w:tcPr>
            <w:tcW w:w="513" w:type="pct"/>
            <w:vMerge w:val="continue"/>
            <w:tcBorders>
              <w:tl2br w:val="nil"/>
              <w:tr2bl w:val="nil"/>
            </w:tcBorders>
            <w:shd w:val="clear" w:color="auto" w:fill="auto"/>
            <w:noWrap w:val="0"/>
            <w:vAlign w:val="center"/>
          </w:tcPr>
          <w:p w14:paraId="452DC75B">
            <w:pPr>
              <w:keepNext w:val="0"/>
              <w:keepLines w:val="0"/>
              <w:pageBreakBefore w:val="0"/>
              <w:kinsoku/>
              <w:wordWrap/>
              <w:overflowPunct/>
              <w:topLinePunct w:val="0"/>
              <w:bidi w:val="0"/>
              <w:ind w:left="-105" w:leftChars="-50" w:right="-105" w:rightChars="-50"/>
              <w:jc w:val="center"/>
              <w:rPr>
                <w:rFonts w:hint="default" w:ascii="Times New Roman" w:hAnsi="Times New Roman" w:cs="Times New Roman"/>
                <w:b w:val="0"/>
                <w:bCs w:val="0"/>
                <w:color w:val="auto"/>
                <w:sz w:val="21"/>
                <w:szCs w:val="21"/>
                <w:highlight w:val="none"/>
              </w:rPr>
            </w:pPr>
          </w:p>
        </w:tc>
        <w:tc>
          <w:tcPr>
            <w:tcW w:w="693" w:type="pct"/>
            <w:tcBorders>
              <w:tl2br w:val="nil"/>
              <w:tr2bl w:val="nil"/>
            </w:tcBorders>
            <w:shd w:val="clear" w:color="auto" w:fill="auto"/>
            <w:noWrap w:val="0"/>
            <w:vAlign w:val="center"/>
          </w:tcPr>
          <w:p w14:paraId="074BE53D">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预测地面空气质量浓度（µg/m</w:t>
            </w:r>
            <w:r>
              <w:rPr>
                <w:rFonts w:hint="default" w:ascii="Times New Roman" w:hAnsi="Times New Roman" w:cs="Times New Roman"/>
                <w:b w:val="0"/>
                <w:bCs w:val="0"/>
                <w:color w:val="auto"/>
                <w:sz w:val="21"/>
                <w:szCs w:val="21"/>
                <w:highlight w:val="none"/>
                <w:vertAlign w:val="superscript"/>
              </w:rPr>
              <w:t>3</w:t>
            </w:r>
            <w:r>
              <w:rPr>
                <w:rFonts w:hint="default" w:ascii="Times New Roman" w:hAnsi="Times New Roman" w:cs="Times New Roman"/>
                <w:b w:val="0"/>
                <w:bCs w:val="0"/>
                <w:color w:val="auto"/>
                <w:sz w:val="21"/>
                <w:szCs w:val="21"/>
                <w:highlight w:val="none"/>
              </w:rPr>
              <w:t>）</w:t>
            </w:r>
          </w:p>
        </w:tc>
        <w:tc>
          <w:tcPr>
            <w:tcW w:w="420" w:type="pct"/>
            <w:tcBorders>
              <w:tl2br w:val="nil"/>
              <w:tr2bl w:val="nil"/>
            </w:tcBorders>
            <w:shd w:val="clear" w:color="auto" w:fill="auto"/>
            <w:noWrap w:val="0"/>
            <w:vAlign w:val="center"/>
          </w:tcPr>
          <w:p w14:paraId="11A2A745">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占标率（%）</w:t>
            </w:r>
          </w:p>
        </w:tc>
        <w:tc>
          <w:tcPr>
            <w:tcW w:w="704" w:type="pct"/>
            <w:tcBorders>
              <w:tl2br w:val="nil"/>
              <w:tr2bl w:val="nil"/>
            </w:tcBorders>
            <w:shd w:val="clear" w:color="auto" w:fill="auto"/>
            <w:noWrap w:val="0"/>
            <w:vAlign w:val="center"/>
          </w:tcPr>
          <w:p w14:paraId="77E7A9DA">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预测地面空气质量浓度（µg/m</w:t>
            </w:r>
            <w:r>
              <w:rPr>
                <w:rFonts w:hint="default" w:ascii="Times New Roman" w:hAnsi="Times New Roman" w:cs="Times New Roman"/>
                <w:b w:val="0"/>
                <w:bCs w:val="0"/>
                <w:color w:val="auto"/>
                <w:sz w:val="21"/>
                <w:szCs w:val="21"/>
                <w:highlight w:val="none"/>
                <w:vertAlign w:val="superscript"/>
              </w:rPr>
              <w:t>3</w:t>
            </w:r>
            <w:r>
              <w:rPr>
                <w:rFonts w:hint="default" w:ascii="Times New Roman" w:hAnsi="Times New Roman" w:cs="Times New Roman"/>
                <w:b w:val="0"/>
                <w:bCs w:val="0"/>
                <w:color w:val="auto"/>
                <w:sz w:val="21"/>
                <w:szCs w:val="21"/>
                <w:highlight w:val="none"/>
              </w:rPr>
              <w:t>）</w:t>
            </w:r>
          </w:p>
        </w:tc>
        <w:tc>
          <w:tcPr>
            <w:tcW w:w="420" w:type="pct"/>
            <w:tcBorders>
              <w:tl2br w:val="nil"/>
              <w:tr2bl w:val="nil"/>
            </w:tcBorders>
            <w:shd w:val="clear" w:color="auto" w:fill="auto"/>
            <w:noWrap w:val="0"/>
            <w:vAlign w:val="center"/>
          </w:tcPr>
          <w:p w14:paraId="2F40964A">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占标率（%）</w:t>
            </w:r>
          </w:p>
        </w:tc>
        <w:tc>
          <w:tcPr>
            <w:tcW w:w="704" w:type="pct"/>
            <w:tcBorders>
              <w:tl2br w:val="nil"/>
              <w:tr2bl w:val="nil"/>
            </w:tcBorders>
            <w:shd w:val="clear" w:color="auto" w:fill="auto"/>
            <w:noWrap w:val="0"/>
            <w:vAlign w:val="center"/>
          </w:tcPr>
          <w:p w14:paraId="629AC497">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rPr>
              <w:t>预测地面空气质量浓度（µg/m</w:t>
            </w:r>
            <w:r>
              <w:rPr>
                <w:rFonts w:hint="default" w:ascii="Times New Roman" w:hAnsi="Times New Roman" w:cs="Times New Roman"/>
                <w:b w:val="0"/>
                <w:bCs w:val="0"/>
                <w:color w:val="auto"/>
                <w:sz w:val="21"/>
                <w:szCs w:val="21"/>
                <w:highlight w:val="none"/>
                <w:vertAlign w:val="superscript"/>
              </w:rPr>
              <w:t>3</w:t>
            </w:r>
            <w:r>
              <w:rPr>
                <w:rFonts w:hint="default" w:ascii="Times New Roman" w:hAnsi="Times New Roman" w:cs="Times New Roman"/>
                <w:b w:val="0"/>
                <w:bCs w:val="0"/>
                <w:color w:val="auto"/>
                <w:sz w:val="21"/>
                <w:szCs w:val="21"/>
                <w:highlight w:val="none"/>
              </w:rPr>
              <w:t>）</w:t>
            </w:r>
          </w:p>
        </w:tc>
        <w:tc>
          <w:tcPr>
            <w:tcW w:w="420" w:type="pct"/>
            <w:tcBorders>
              <w:tl2br w:val="nil"/>
              <w:tr2bl w:val="nil"/>
            </w:tcBorders>
            <w:shd w:val="clear" w:color="auto" w:fill="auto"/>
            <w:noWrap w:val="0"/>
            <w:vAlign w:val="center"/>
          </w:tcPr>
          <w:p w14:paraId="0588616F">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rPr>
              <w:t>占标率（%）</w:t>
            </w:r>
          </w:p>
        </w:tc>
        <w:tc>
          <w:tcPr>
            <w:tcW w:w="704" w:type="pct"/>
            <w:tcBorders>
              <w:tl2br w:val="nil"/>
              <w:tr2bl w:val="nil"/>
            </w:tcBorders>
            <w:shd w:val="clear" w:color="auto" w:fill="auto"/>
            <w:noWrap w:val="0"/>
            <w:vAlign w:val="center"/>
          </w:tcPr>
          <w:p w14:paraId="6BF646D6">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预测地面空气质量浓度（µg/m</w:t>
            </w:r>
            <w:r>
              <w:rPr>
                <w:rFonts w:hint="default" w:ascii="Times New Roman" w:hAnsi="Times New Roman" w:cs="Times New Roman"/>
                <w:b w:val="0"/>
                <w:bCs w:val="0"/>
                <w:color w:val="auto"/>
                <w:sz w:val="21"/>
                <w:szCs w:val="21"/>
                <w:highlight w:val="none"/>
                <w:vertAlign w:val="superscript"/>
              </w:rPr>
              <w:t>3</w:t>
            </w:r>
            <w:r>
              <w:rPr>
                <w:rFonts w:hint="default" w:ascii="Times New Roman" w:hAnsi="Times New Roman" w:cs="Times New Roman"/>
                <w:b w:val="0"/>
                <w:bCs w:val="0"/>
                <w:color w:val="auto"/>
                <w:sz w:val="21"/>
                <w:szCs w:val="21"/>
                <w:highlight w:val="none"/>
              </w:rPr>
              <w:t>）</w:t>
            </w:r>
          </w:p>
        </w:tc>
        <w:tc>
          <w:tcPr>
            <w:tcW w:w="420" w:type="pct"/>
            <w:tcBorders>
              <w:tl2br w:val="nil"/>
              <w:tr2bl w:val="nil"/>
            </w:tcBorders>
            <w:shd w:val="clear" w:color="auto" w:fill="auto"/>
            <w:noWrap w:val="0"/>
            <w:vAlign w:val="center"/>
          </w:tcPr>
          <w:p w14:paraId="3D1CB69B">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占标率（%）</w:t>
            </w:r>
          </w:p>
        </w:tc>
      </w:tr>
      <w:tr w14:paraId="76E215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27" w:hRule="atLeast"/>
          <w:jc w:val="center"/>
        </w:trPr>
        <w:tc>
          <w:tcPr>
            <w:tcW w:w="513" w:type="pct"/>
            <w:tcBorders>
              <w:tl2br w:val="nil"/>
              <w:tr2bl w:val="nil"/>
            </w:tcBorders>
            <w:shd w:val="clear" w:color="auto" w:fill="auto"/>
            <w:noWrap w:val="0"/>
            <w:vAlign w:val="center"/>
          </w:tcPr>
          <w:p w14:paraId="2F3FB67E">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w:t>
            </w:r>
          </w:p>
        </w:tc>
        <w:tc>
          <w:tcPr>
            <w:tcW w:w="693" w:type="pct"/>
            <w:tcBorders>
              <w:tl2br w:val="nil"/>
              <w:tr2bl w:val="nil"/>
            </w:tcBorders>
            <w:shd w:val="clear" w:color="auto" w:fill="auto"/>
            <w:noWrap w:val="0"/>
            <w:vAlign w:val="center"/>
          </w:tcPr>
          <w:p w14:paraId="634149CB">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2.271795</w:t>
            </w:r>
          </w:p>
        </w:tc>
        <w:tc>
          <w:tcPr>
            <w:tcW w:w="420" w:type="pct"/>
            <w:tcBorders>
              <w:tl2br w:val="nil"/>
              <w:tr2bl w:val="nil"/>
            </w:tcBorders>
            <w:shd w:val="clear" w:color="auto" w:fill="auto"/>
            <w:noWrap w:val="0"/>
            <w:vAlign w:val="center"/>
          </w:tcPr>
          <w:p w14:paraId="29630A64">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0.45</w:t>
            </w:r>
          </w:p>
        </w:tc>
        <w:tc>
          <w:tcPr>
            <w:tcW w:w="704" w:type="pct"/>
            <w:tcBorders>
              <w:tl2br w:val="nil"/>
              <w:tr2bl w:val="nil"/>
            </w:tcBorders>
            <w:shd w:val="clear" w:color="auto" w:fill="auto"/>
            <w:noWrap w:val="0"/>
            <w:vAlign w:val="center"/>
          </w:tcPr>
          <w:p w14:paraId="069B2238">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9.032638</w:t>
            </w:r>
          </w:p>
        </w:tc>
        <w:tc>
          <w:tcPr>
            <w:tcW w:w="420" w:type="pct"/>
            <w:tcBorders>
              <w:tl2br w:val="nil"/>
              <w:tr2bl w:val="nil"/>
            </w:tcBorders>
            <w:shd w:val="clear" w:color="auto" w:fill="auto"/>
            <w:noWrap w:val="0"/>
            <w:vAlign w:val="center"/>
          </w:tcPr>
          <w:p w14:paraId="0BAE67FF">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4.52</w:t>
            </w:r>
          </w:p>
        </w:tc>
        <w:tc>
          <w:tcPr>
            <w:tcW w:w="704" w:type="pct"/>
            <w:tcBorders>
              <w:tl2br w:val="nil"/>
              <w:tr2bl w:val="nil"/>
            </w:tcBorders>
            <w:shd w:val="clear" w:color="auto" w:fill="auto"/>
            <w:noWrap w:val="0"/>
            <w:vAlign w:val="center"/>
          </w:tcPr>
          <w:p w14:paraId="7EE7F597">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1.222951</w:t>
            </w:r>
          </w:p>
        </w:tc>
        <w:tc>
          <w:tcPr>
            <w:tcW w:w="420" w:type="pct"/>
            <w:tcBorders>
              <w:tl2br w:val="nil"/>
              <w:tr2bl w:val="nil"/>
            </w:tcBorders>
            <w:shd w:val="clear" w:color="auto" w:fill="auto"/>
            <w:noWrap w:val="0"/>
            <w:vAlign w:val="center"/>
          </w:tcPr>
          <w:p w14:paraId="38E5DA72">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0.27</w:t>
            </w:r>
          </w:p>
        </w:tc>
        <w:tc>
          <w:tcPr>
            <w:tcW w:w="704" w:type="pct"/>
            <w:tcBorders>
              <w:tl2br w:val="nil"/>
              <w:tr2bl w:val="nil"/>
            </w:tcBorders>
            <w:shd w:val="clear" w:color="auto" w:fill="auto"/>
            <w:noWrap w:val="0"/>
            <w:vAlign w:val="center"/>
          </w:tcPr>
          <w:p w14:paraId="3CF20205">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0.89781</w:t>
            </w:r>
          </w:p>
        </w:tc>
        <w:tc>
          <w:tcPr>
            <w:tcW w:w="420" w:type="pct"/>
            <w:tcBorders>
              <w:tl2br w:val="nil"/>
              <w:tr2bl w:val="nil"/>
            </w:tcBorders>
            <w:shd w:val="clear" w:color="auto" w:fill="auto"/>
            <w:noWrap w:val="0"/>
            <w:vAlign w:val="center"/>
          </w:tcPr>
          <w:p w14:paraId="0AFE1EA0">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0.04</w:t>
            </w:r>
          </w:p>
        </w:tc>
      </w:tr>
      <w:tr w14:paraId="4A3AA0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27" w:hRule="atLeast"/>
          <w:jc w:val="center"/>
        </w:trPr>
        <w:tc>
          <w:tcPr>
            <w:tcW w:w="513" w:type="pct"/>
            <w:tcBorders>
              <w:tl2br w:val="nil"/>
              <w:tr2bl w:val="nil"/>
            </w:tcBorders>
            <w:shd w:val="clear" w:color="auto" w:fill="auto"/>
            <w:noWrap w:val="0"/>
            <w:vAlign w:val="center"/>
          </w:tcPr>
          <w:p w14:paraId="7A1DE086">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50</w:t>
            </w:r>
          </w:p>
        </w:tc>
        <w:tc>
          <w:tcPr>
            <w:tcW w:w="693" w:type="pct"/>
            <w:tcBorders>
              <w:tl2br w:val="nil"/>
              <w:tr2bl w:val="nil"/>
            </w:tcBorders>
            <w:shd w:val="clear" w:color="auto" w:fill="auto"/>
            <w:noWrap w:val="0"/>
            <w:vAlign w:val="center"/>
          </w:tcPr>
          <w:p w14:paraId="66325103">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2.024526</w:t>
            </w:r>
          </w:p>
        </w:tc>
        <w:tc>
          <w:tcPr>
            <w:tcW w:w="420" w:type="pct"/>
            <w:tcBorders>
              <w:tl2br w:val="nil"/>
              <w:tr2bl w:val="nil"/>
            </w:tcBorders>
            <w:shd w:val="clear" w:color="auto" w:fill="auto"/>
            <w:noWrap w:val="0"/>
            <w:vAlign w:val="center"/>
          </w:tcPr>
          <w:p w14:paraId="45144C20">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w:t>
            </w:r>
          </w:p>
        </w:tc>
        <w:tc>
          <w:tcPr>
            <w:tcW w:w="704" w:type="pct"/>
            <w:tcBorders>
              <w:tl2br w:val="nil"/>
              <w:tr2bl w:val="nil"/>
            </w:tcBorders>
            <w:shd w:val="clear" w:color="auto" w:fill="auto"/>
            <w:noWrap w:val="0"/>
            <w:vAlign w:val="center"/>
          </w:tcPr>
          <w:p w14:paraId="04B96E6F">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8.049502</w:t>
            </w:r>
          </w:p>
        </w:tc>
        <w:tc>
          <w:tcPr>
            <w:tcW w:w="420" w:type="pct"/>
            <w:tcBorders>
              <w:tl2br w:val="nil"/>
              <w:tr2bl w:val="nil"/>
            </w:tcBorders>
            <w:shd w:val="clear" w:color="auto" w:fill="auto"/>
            <w:noWrap w:val="0"/>
            <w:vAlign w:val="center"/>
          </w:tcPr>
          <w:p w14:paraId="386A2B8E">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4.02</w:t>
            </w:r>
          </w:p>
        </w:tc>
        <w:tc>
          <w:tcPr>
            <w:tcW w:w="704" w:type="pct"/>
            <w:tcBorders>
              <w:tl2br w:val="nil"/>
              <w:tr2bl w:val="nil"/>
            </w:tcBorders>
            <w:shd w:val="clear" w:color="auto" w:fill="auto"/>
            <w:noWrap w:val="0"/>
            <w:vAlign w:val="center"/>
          </w:tcPr>
          <w:p w14:paraId="362B97F0">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1.089842</w:t>
            </w:r>
          </w:p>
        </w:tc>
        <w:tc>
          <w:tcPr>
            <w:tcW w:w="420" w:type="pct"/>
            <w:tcBorders>
              <w:tl2br w:val="nil"/>
              <w:tr2bl w:val="nil"/>
            </w:tcBorders>
            <w:shd w:val="clear" w:color="auto" w:fill="auto"/>
            <w:noWrap w:val="0"/>
            <w:vAlign w:val="center"/>
          </w:tcPr>
          <w:p w14:paraId="32183D96">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0.24</w:t>
            </w:r>
          </w:p>
        </w:tc>
        <w:tc>
          <w:tcPr>
            <w:tcW w:w="704" w:type="pct"/>
            <w:tcBorders>
              <w:tl2br w:val="nil"/>
              <w:tr2bl w:val="nil"/>
            </w:tcBorders>
            <w:shd w:val="clear" w:color="auto" w:fill="auto"/>
            <w:noWrap w:val="0"/>
            <w:vAlign w:val="center"/>
          </w:tcPr>
          <w:p w14:paraId="2F67EAA7">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0.80009</w:t>
            </w:r>
          </w:p>
        </w:tc>
        <w:tc>
          <w:tcPr>
            <w:tcW w:w="420" w:type="pct"/>
            <w:tcBorders>
              <w:tl2br w:val="nil"/>
              <w:tr2bl w:val="nil"/>
            </w:tcBorders>
            <w:shd w:val="clear" w:color="auto" w:fill="auto"/>
            <w:noWrap w:val="0"/>
            <w:vAlign w:val="center"/>
          </w:tcPr>
          <w:p w14:paraId="3A838EA8">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0.04</w:t>
            </w:r>
          </w:p>
        </w:tc>
      </w:tr>
      <w:tr w14:paraId="2F9A8C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27" w:hRule="atLeast"/>
          <w:jc w:val="center"/>
        </w:trPr>
        <w:tc>
          <w:tcPr>
            <w:tcW w:w="513" w:type="pct"/>
            <w:tcBorders>
              <w:tl2br w:val="nil"/>
              <w:tr2bl w:val="nil"/>
            </w:tcBorders>
            <w:shd w:val="clear" w:color="auto" w:fill="auto"/>
            <w:noWrap w:val="0"/>
            <w:vAlign w:val="center"/>
          </w:tcPr>
          <w:p w14:paraId="5BAA83BE">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94</w:t>
            </w:r>
          </w:p>
        </w:tc>
        <w:tc>
          <w:tcPr>
            <w:tcW w:w="693" w:type="pct"/>
            <w:tcBorders>
              <w:tl2br w:val="nil"/>
              <w:tr2bl w:val="nil"/>
            </w:tcBorders>
            <w:shd w:val="clear" w:color="auto" w:fill="auto"/>
            <w:noWrap w:val="0"/>
            <w:vAlign w:val="center"/>
          </w:tcPr>
          <w:p w14:paraId="303BF9DB">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2.5014</w:t>
            </w:r>
          </w:p>
        </w:tc>
        <w:tc>
          <w:tcPr>
            <w:tcW w:w="420" w:type="pct"/>
            <w:tcBorders>
              <w:tl2br w:val="nil"/>
              <w:tr2bl w:val="nil"/>
            </w:tcBorders>
            <w:shd w:val="clear" w:color="auto" w:fill="auto"/>
            <w:noWrap w:val="0"/>
            <w:vAlign w:val="center"/>
          </w:tcPr>
          <w:p w14:paraId="4F74C63B">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0.5</w:t>
            </w:r>
          </w:p>
        </w:tc>
        <w:tc>
          <w:tcPr>
            <w:tcW w:w="704" w:type="pct"/>
            <w:tcBorders>
              <w:tl2br w:val="nil"/>
              <w:tr2bl w:val="nil"/>
            </w:tcBorders>
            <w:shd w:val="clear" w:color="auto" w:fill="auto"/>
            <w:noWrap w:val="0"/>
            <w:vAlign w:val="center"/>
          </w:tcPr>
          <w:p w14:paraId="6BB52455">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9.94555</w:t>
            </w:r>
          </w:p>
        </w:tc>
        <w:tc>
          <w:tcPr>
            <w:tcW w:w="420" w:type="pct"/>
            <w:tcBorders>
              <w:tl2br w:val="nil"/>
              <w:tr2bl w:val="nil"/>
            </w:tcBorders>
            <w:shd w:val="clear" w:color="auto" w:fill="auto"/>
            <w:noWrap w:val="0"/>
            <w:vAlign w:val="center"/>
          </w:tcPr>
          <w:p w14:paraId="0FFFA9CC">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4.97</w:t>
            </w:r>
          </w:p>
        </w:tc>
        <w:tc>
          <w:tcPr>
            <w:tcW w:w="704" w:type="pct"/>
            <w:tcBorders>
              <w:tl2br w:val="nil"/>
              <w:tr2bl w:val="nil"/>
            </w:tcBorders>
            <w:shd w:val="clear" w:color="auto" w:fill="auto"/>
            <w:noWrap w:val="0"/>
            <w:vAlign w:val="center"/>
          </w:tcPr>
          <w:p w14:paraId="2993EAAE">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1.346552</w:t>
            </w:r>
          </w:p>
        </w:tc>
        <w:tc>
          <w:tcPr>
            <w:tcW w:w="420" w:type="pct"/>
            <w:tcBorders>
              <w:tl2br w:val="nil"/>
              <w:tr2bl w:val="nil"/>
            </w:tcBorders>
            <w:shd w:val="clear" w:color="auto" w:fill="auto"/>
            <w:noWrap w:val="0"/>
            <w:vAlign w:val="center"/>
          </w:tcPr>
          <w:p w14:paraId="1ACA14BD">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0.3</w:t>
            </w:r>
          </w:p>
        </w:tc>
        <w:tc>
          <w:tcPr>
            <w:tcW w:w="704" w:type="pct"/>
            <w:tcBorders>
              <w:tl2br w:val="nil"/>
              <w:tr2bl w:val="nil"/>
            </w:tcBorders>
            <w:shd w:val="clear" w:color="auto" w:fill="auto"/>
            <w:noWrap w:val="0"/>
            <w:vAlign w:val="center"/>
          </w:tcPr>
          <w:p w14:paraId="56EB81EC">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0.98855</w:t>
            </w:r>
          </w:p>
        </w:tc>
        <w:tc>
          <w:tcPr>
            <w:tcW w:w="420" w:type="pct"/>
            <w:tcBorders>
              <w:tl2br w:val="nil"/>
              <w:tr2bl w:val="nil"/>
            </w:tcBorders>
            <w:shd w:val="clear" w:color="auto" w:fill="auto"/>
            <w:noWrap w:val="0"/>
            <w:vAlign w:val="center"/>
          </w:tcPr>
          <w:p w14:paraId="71F8BC41">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0.05</w:t>
            </w:r>
          </w:p>
        </w:tc>
      </w:tr>
      <w:tr w14:paraId="473D35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27" w:hRule="atLeast"/>
          <w:jc w:val="center"/>
        </w:trPr>
        <w:tc>
          <w:tcPr>
            <w:tcW w:w="513" w:type="pct"/>
            <w:tcBorders>
              <w:tl2br w:val="nil"/>
              <w:tr2bl w:val="nil"/>
            </w:tcBorders>
            <w:shd w:val="clear" w:color="auto" w:fill="auto"/>
            <w:noWrap w:val="0"/>
            <w:vAlign w:val="center"/>
          </w:tcPr>
          <w:p w14:paraId="3B5F31E6">
            <w:pPr>
              <w:pStyle w:val="176"/>
              <w:keepNext w:val="0"/>
              <w:keepLines w:val="0"/>
              <w:pageBreakBefore w:val="0"/>
              <w:kinsoku/>
              <w:wordWrap/>
              <w:overflowPunct/>
              <w:topLinePunct w:val="0"/>
              <w:bidi w:val="0"/>
              <w:ind w:left="-105" w:leftChars="-50" w:right="-105" w:rightChars="-5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100</w:t>
            </w:r>
          </w:p>
        </w:tc>
        <w:tc>
          <w:tcPr>
            <w:tcW w:w="693" w:type="pct"/>
            <w:tcBorders>
              <w:tl2br w:val="nil"/>
              <w:tr2bl w:val="nil"/>
            </w:tcBorders>
            <w:shd w:val="clear" w:color="auto" w:fill="auto"/>
            <w:noWrap w:val="0"/>
            <w:vAlign w:val="center"/>
          </w:tcPr>
          <w:p w14:paraId="4F7B687C">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2.491279</w:t>
            </w:r>
          </w:p>
        </w:tc>
        <w:tc>
          <w:tcPr>
            <w:tcW w:w="420" w:type="pct"/>
            <w:tcBorders>
              <w:tl2br w:val="nil"/>
              <w:tr2bl w:val="nil"/>
            </w:tcBorders>
            <w:shd w:val="clear" w:color="auto" w:fill="auto"/>
            <w:noWrap w:val="0"/>
            <w:vAlign w:val="center"/>
          </w:tcPr>
          <w:p w14:paraId="44A79AE8">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0.5</w:t>
            </w:r>
          </w:p>
        </w:tc>
        <w:tc>
          <w:tcPr>
            <w:tcW w:w="704" w:type="pct"/>
            <w:tcBorders>
              <w:tl2br w:val="nil"/>
              <w:tr2bl w:val="nil"/>
            </w:tcBorders>
            <w:shd w:val="clear" w:color="auto" w:fill="auto"/>
            <w:noWrap w:val="0"/>
            <w:vAlign w:val="center"/>
          </w:tcPr>
          <w:p w14:paraId="401F7EEE">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9.905308</w:t>
            </w:r>
          </w:p>
        </w:tc>
        <w:tc>
          <w:tcPr>
            <w:tcW w:w="420" w:type="pct"/>
            <w:tcBorders>
              <w:tl2br w:val="nil"/>
              <w:tr2bl w:val="nil"/>
            </w:tcBorders>
            <w:shd w:val="clear" w:color="auto" w:fill="auto"/>
            <w:noWrap w:val="0"/>
            <w:vAlign w:val="center"/>
          </w:tcPr>
          <w:p w14:paraId="0C0CC9DB">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4.95</w:t>
            </w:r>
          </w:p>
        </w:tc>
        <w:tc>
          <w:tcPr>
            <w:tcW w:w="704" w:type="pct"/>
            <w:tcBorders>
              <w:tl2br w:val="nil"/>
              <w:tr2bl w:val="nil"/>
            </w:tcBorders>
            <w:shd w:val="clear" w:color="auto" w:fill="auto"/>
            <w:noWrap w:val="0"/>
            <w:vAlign w:val="center"/>
          </w:tcPr>
          <w:p w14:paraId="7A3B4994">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1.341104</w:t>
            </w:r>
          </w:p>
        </w:tc>
        <w:tc>
          <w:tcPr>
            <w:tcW w:w="420" w:type="pct"/>
            <w:tcBorders>
              <w:tl2br w:val="nil"/>
              <w:tr2bl w:val="nil"/>
            </w:tcBorders>
            <w:shd w:val="clear" w:color="auto" w:fill="auto"/>
            <w:noWrap w:val="0"/>
            <w:vAlign w:val="center"/>
          </w:tcPr>
          <w:p w14:paraId="56AB7D4E">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0.3</w:t>
            </w:r>
          </w:p>
        </w:tc>
        <w:tc>
          <w:tcPr>
            <w:tcW w:w="704" w:type="pct"/>
            <w:tcBorders>
              <w:tl2br w:val="nil"/>
              <w:tr2bl w:val="nil"/>
            </w:tcBorders>
            <w:shd w:val="clear" w:color="auto" w:fill="auto"/>
            <w:noWrap w:val="0"/>
            <w:vAlign w:val="center"/>
          </w:tcPr>
          <w:p w14:paraId="6845F9D1">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0.98455</w:t>
            </w:r>
          </w:p>
        </w:tc>
        <w:tc>
          <w:tcPr>
            <w:tcW w:w="420" w:type="pct"/>
            <w:tcBorders>
              <w:tl2br w:val="nil"/>
              <w:tr2bl w:val="nil"/>
            </w:tcBorders>
            <w:shd w:val="clear" w:color="auto" w:fill="auto"/>
            <w:noWrap w:val="0"/>
            <w:vAlign w:val="center"/>
          </w:tcPr>
          <w:p w14:paraId="672FF3B0">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0.05</w:t>
            </w:r>
          </w:p>
        </w:tc>
      </w:tr>
      <w:tr w14:paraId="0A2677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27" w:hRule="atLeast"/>
          <w:jc w:val="center"/>
        </w:trPr>
        <w:tc>
          <w:tcPr>
            <w:tcW w:w="513" w:type="pct"/>
            <w:tcBorders>
              <w:tl2br w:val="nil"/>
              <w:tr2bl w:val="nil"/>
            </w:tcBorders>
            <w:shd w:val="clear" w:color="auto" w:fill="auto"/>
            <w:noWrap w:val="0"/>
            <w:vAlign w:val="center"/>
          </w:tcPr>
          <w:p w14:paraId="529DC8D6">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200</w:t>
            </w:r>
          </w:p>
        </w:tc>
        <w:tc>
          <w:tcPr>
            <w:tcW w:w="693" w:type="pct"/>
            <w:tcBorders>
              <w:tl2br w:val="nil"/>
              <w:tr2bl w:val="nil"/>
            </w:tcBorders>
            <w:shd w:val="clear" w:color="auto" w:fill="auto"/>
            <w:noWrap w:val="0"/>
            <w:vAlign w:val="center"/>
          </w:tcPr>
          <w:p w14:paraId="391F90EE">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1.694743</w:t>
            </w:r>
          </w:p>
        </w:tc>
        <w:tc>
          <w:tcPr>
            <w:tcW w:w="420" w:type="pct"/>
            <w:tcBorders>
              <w:tl2br w:val="nil"/>
              <w:tr2bl w:val="nil"/>
            </w:tcBorders>
            <w:shd w:val="clear" w:color="auto" w:fill="auto"/>
            <w:noWrap w:val="0"/>
            <w:vAlign w:val="center"/>
          </w:tcPr>
          <w:p w14:paraId="10246E48">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0.34</w:t>
            </w:r>
          </w:p>
        </w:tc>
        <w:tc>
          <w:tcPr>
            <w:tcW w:w="704" w:type="pct"/>
            <w:tcBorders>
              <w:tl2br w:val="nil"/>
              <w:tr2bl w:val="nil"/>
            </w:tcBorders>
            <w:shd w:val="clear" w:color="auto" w:fill="auto"/>
            <w:noWrap w:val="0"/>
            <w:vAlign w:val="center"/>
          </w:tcPr>
          <w:p w14:paraId="03C45392">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6.738286</w:t>
            </w:r>
          </w:p>
        </w:tc>
        <w:tc>
          <w:tcPr>
            <w:tcW w:w="420" w:type="pct"/>
            <w:tcBorders>
              <w:tl2br w:val="nil"/>
              <w:tr2bl w:val="nil"/>
            </w:tcBorders>
            <w:shd w:val="clear" w:color="auto" w:fill="auto"/>
            <w:noWrap w:val="0"/>
            <w:vAlign w:val="center"/>
          </w:tcPr>
          <w:p w14:paraId="2C4A9674">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3.37</w:t>
            </w:r>
          </w:p>
        </w:tc>
        <w:tc>
          <w:tcPr>
            <w:tcW w:w="704" w:type="pct"/>
            <w:tcBorders>
              <w:tl2br w:val="nil"/>
              <w:tr2bl w:val="nil"/>
            </w:tcBorders>
            <w:shd w:val="clear" w:color="auto" w:fill="auto"/>
            <w:noWrap w:val="0"/>
            <w:vAlign w:val="center"/>
          </w:tcPr>
          <w:p w14:paraId="18268012">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0.912313</w:t>
            </w:r>
          </w:p>
        </w:tc>
        <w:tc>
          <w:tcPr>
            <w:tcW w:w="420" w:type="pct"/>
            <w:tcBorders>
              <w:tl2br w:val="nil"/>
              <w:tr2bl w:val="nil"/>
            </w:tcBorders>
            <w:shd w:val="clear" w:color="auto" w:fill="auto"/>
            <w:noWrap w:val="0"/>
            <w:vAlign w:val="center"/>
          </w:tcPr>
          <w:p w14:paraId="0BC25FD1">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0.2</w:t>
            </w:r>
          </w:p>
        </w:tc>
        <w:tc>
          <w:tcPr>
            <w:tcW w:w="704" w:type="pct"/>
            <w:tcBorders>
              <w:tl2br w:val="nil"/>
              <w:tr2bl w:val="nil"/>
            </w:tcBorders>
            <w:shd w:val="clear" w:color="auto" w:fill="auto"/>
            <w:noWrap w:val="0"/>
            <w:vAlign w:val="center"/>
          </w:tcPr>
          <w:p w14:paraId="7AB9F2F7">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0.66976</w:t>
            </w:r>
          </w:p>
        </w:tc>
        <w:tc>
          <w:tcPr>
            <w:tcW w:w="420" w:type="pct"/>
            <w:tcBorders>
              <w:tl2br w:val="nil"/>
              <w:tr2bl w:val="nil"/>
            </w:tcBorders>
            <w:shd w:val="clear" w:color="auto" w:fill="auto"/>
            <w:noWrap w:val="0"/>
            <w:vAlign w:val="center"/>
          </w:tcPr>
          <w:p w14:paraId="2D523BF2">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0.03</w:t>
            </w:r>
          </w:p>
        </w:tc>
      </w:tr>
      <w:tr w14:paraId="57F853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27" w:hRule="atLeast"/>
          <w:jc w:val="center"/>
        </w:trPr>
        <w:tc>
          <w:tcPr>
            <w:tcW w:w="513" w:type="pct"/>
            <w:tcBorders>
              <w:tl2br w:val="nil"/>
              <w:tr2bl w:val="nil"/>
            </w:tcBorders>
            <w:shd w:val="clear" w:color="auto" w:fill="auto"/>
            <w:noWrap w:val="0"/>
            <w:vAlign w:val="center"/>
          </w:tcPr>
          <w:p w14:paraId="266A81F3">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500</w:t>
            </w:r>
          </w:p>
        </w:tc>
        <w:tc>
          <w:tcPr>
            <w:tcW w:w="693" w:type="pct"/>
            <w:tcBorders>
              <w:tl2br w:val="nil"/>
              <w:tr2bl w:val="nil"/>
            </w:tcBorders>
            <w:shd w:val="clear" w:color="auto" w:fill="auto"/>
            <w:noWrap w:val="0"/>
            <w:vAlign w:val="center"/>
          </w:tcPr>
          <w:p w14:paraId="19043481">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0.946613</w:t>
            </w:r>
          </w:p>
        </w:tc>
        <w:tc>
          <w:tcPr>
            <w:tcW w:w="420" w:type="pct"/>
            <w:tcBorders>
              <w:tl2br w:val="nil"/>
              <w:tr2bl w:val="nil"/>
            </w:tcBorders>
            <w:shd w:val="clear" w:color="auto" w:fill="auto"/>
            <w:noWrap w:val="0"/>
            <w:vAlign w:val="center"/>
          </w:tcPr>
          <w:p w14:paraId="51029ABE">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0.19</w:t>
            </w:r>
          </w:p>
        </w:tc>
        <w:tc>
          <w:tcPr>
            <w:tcW w:w="704" w:type="pct"/>
            <w:tcBorders>
              <w:tl2br w:val="nil"/>
              <w:tr2bl w:val="nil"/>
            </w:tcBorders>
            <w:shd w:val="clear" w:color="auto" w:fill="auto"/>
            <w:noWrap w:val="0"/>
            <w:vAlign w:val="center"/>
          </w:tcPr>
          <w:p w14:paraId="6AE4E8EF">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3.763725</w:t>
            </w:r>
          </w:p>
        </w:tc>
        <w:tc>
          <w:tcPr>
            <w:tcW w:w="420" w:type="pct"/>
            <w:tcBorders>
              <w:tl2br w:val="nil"/>
              <w:tr2bl w:val="nil"/>
            </w:tcBorders>
            <w:shd w:val="clear" w:color="auto" w:fill="auto"/>
            <w:noWrap w:val="0"/>
            <w:vAlign w:val="center"/>
          </w:tcPr>
          <w:p w14:paraId="0390E0D9">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1.88</w:t>
            </w:r>
          </w:p>
        </w:tc>
        <w:tc>
          <w:tcPr>
            <w:tcW w:w="704" w:type="pct"/>
            <w:tcBorders>
              <w:tl2br w:val="nil"/>
              <w:tr2bl w:val="nil"/>
            </w:tcBorders>
            <w:shd w:val="clear" w:color="auto" w:fill="auto"/>
            <w:noWrap w:val="0"/>
            <w:vAlign w:val="center"/>
          </w:tcPr>
          <w:p w14:paraId="285F1826">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0.50958</w:t>
            </w:r>
          </w:p>
        </w:tc>
        <w:tc>
          <w:tcPr>
            <w:tcW w:w="420" w:type="pct"/>
            <w:tcBorders>
              <w:tl2br w:val="nil"/>
              <w:tr2bl w:val="nil"/>
            </w:tcBorders>
            <w:shd w:val="clear" w:color="auto" w:fill="auto"/>
            <w:noWrap w:val="0"/>
            <w:vAlign w:val="center"/>
          </w:tcPr>
          <w:p w14:paraId="74988925">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0.11</w:t>
            </w:r>
          </w:p>
        </w:tc>
        <w:tc>
          <w:tcPr>
            <w:tcW w:w="704" w:type="pct"/>
            <w:tcBorders>
              <w:tl2br w:val="nil"/>
              <w:tr2bl w:val="nil"/>
            </w:tcBorders>
            <w:shd w:val="clear" w:color="auto" w:fill="auto"/>
            <w:noWrap w:val="0"/>
            <w:vAlign w:val="center"/>
          </w:tcPr>
          <w:p w14:paraId="4D4BE802">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0.3741</w:t>
            </w:r>
          </w:p>
        </w:tc>
        <w:tc>
          <w:tcPr>
            <w:tcW w:w="420" w:type="pct"/>
            <w:tcBorders>
              <w:tl2br w:val="nil"/>
              <w:tr2bl w:val="nil"/>
            </w:tcBorders>
            <w:shd w:val="clear" w:color="auto" w:fill="auto"/>
            <w:noWrap w:val="0"/>
            <w:vAlign w:val="center"/>
          </w:tcPr>
          <w:p w14:paraId="34581041">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0.02</w:t>
            </w:r>
          </w:p>
        </w:tc>
      </w:tr>
      <w:tr w14:paraId="23F3C6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27" w:hRule="atLeast"/>
          <w:jc w:val="center"/>
        </w:trPr>
        <w:tc>
          <w:tcPr>
            <w:tcW w:w="513" w:type="pct"/>
            <w:tcBorders>
              <w:tl2br w:val="nil"/>
              <w:tr2bl w:val="nil"/>
            </w:tcBorders>
            <w:shd w:val="clear" w:color="auto" w:fill="auto"/>
            <w:noWrap w:val="0"/>
            <w:vAlign w:val="center"/>
          </w:tcPr>
          <w:p w14:paraId="73EB0E77">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1000</w:t>
            </w:r>
          </w:p>
        </w:tc>
        <w:tc>
          <w:tcPr>
            <w:tcW w:w="693" w:type="pct"/>
            <w:tcBorders>
              <w:tl2br w:val="nil"/>
              <w:tr2bl w:val="nil"/>
            </w:tcBorders>
            <w:shd w:val="clear" w:color="auto" w:fill="auto"/>
            <w:noWrap w:val="0"/>
            <w:vAlign w:val="center"/>
          </w:tcPr>
          <w:p w14:paraId="74842BCE">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0.624268</w:t>
            </w:r>
          </w:p>
        </w:tc>
        <w:tc>
          <w:tcPr>
            <w:tcW w:w="420" w:type="pct"/>
            <w:tcBorders>
              <w:tl2br w:val="nil"/>
              <w:tr2bl w:val="nil"/>
            </w:tcBorders>
            <w:shd w:val="clear" w:color="auto" w:fill="auto"/>
            <w:noWrap w:val="0"/>
            <w:vAlign w:val="center"/>
          </w:tcPr>
          <w:p w14:paraId="3C5AEFCD">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0.12</w:t>
            </w:r>
          </w:p>
        </w:tc>
        <w:tc>
          <w:tcPr>
            <w:tcW w:w="704" w:type="pct"/>
            <w:tcBorders>
              <w:tl2br w:val="nil"/>
              <w:tr2bl w:val="nil"/>
            </w:tcBorders>
            <w:shd w:val="clear" w:color="auto" w:fill="auto"/>
            <w:noWrap w:val="0"/>
            <w:vAlign w:val="center"/>
          </w:tcPr>
          <w:p w14:paraId="4877ADBD">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2.482086</w:t>
            </w:r>
          </w:p>
        </w:tc>
        <w:tc>
          <w:tcPr>
            <w:tcW w:w="420" w:type="pct"/>
            <w:tcBorders>
              <w:tl2br w:val="nil"/>
              <w:tr2bl w:val="nil"/>
            </w:tcBorders>
            <w:shd w:val="clear" w:color="auto" w:fill="auto"/>
            <w:noWrap w:val="0"/>
            <w:vAlign w:val="center"/>
          </w:tcPr>
          <w:p w14:paraId="3316AC71">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1.24</w:t>
            </w:r>
          </w:p>
        </w:tc>
        <w:tc>
          <w:tcPr>
            <w:tcW w:w="704" w:type="pct"/>
            <w:tcBorders>
              <w:tl2br w:val="nil"/>
              <w:tr2bl w:val="nil"/>
            </w:tcBorders>
            <w:shd w:val="clear" w:color="auto" w:fill="auto"/>
            <w:noWrap w:val="0"/>
            <w:vAlign w:val="center"/>
          </w:tcPr>
          <w:p w14:paraId="4259BCBE">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0.336056</w:t>
            </w:r>
          </w:p>
        </w:tc>
        <w:tc>
          <w:tcPr>
            <w:tcW w:w="420" w:type="pct"/>
            <w:tcBorders>
              <w:tl2br w:val="nil"/>
              <w:tr2bl w:val="nil"/>
            </w:tcBorders>
            <w:shd w:val="clear" w:color="auto" w:fill="auto"/>
            <w:noWrap w:val="0"/>
            <w:vAlign w:val="center"/>
          </w:tcPr>
          <w:p w14:paraId="22B430B0">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0.07</w:t>
            </w:r>
          </w:p>
        </w:tc>
        <w:tc>
          <w:tcPr>
            <w:tcW w:w="704" w:type="pct"/>
            <w:tcBorders>
              <w:tl2br w:val="nil"/>
              <w:tr2bl w:val="nil"/>
            </w:tcBorders>
            <w:shd w:val="clear" w:color="auto" w:fill="auto"/>
            <w:noWrap w:val="0"/>
            <w:vAlign w:val="center"/>
          </w:tcPr>
          <w:p w14:paraId="1EBC9581">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0.24671</w:t>
            </w:r>
          </w:p>
        </w:tc>
        <w:tc>
          <w:tcPr>
            <w:tcW w:w="420" w:type="pct"/>
            <w:tcBorders>
              <w:tl2br w:val="nil"/>
              <w:tr2bl w:val="nil"/>
            </w:tcBorders>
            <w:shd w:val="clear" w:color="auto" w:fill="auto"/>
            <w:noWrap w:val="0"/>
            <w:vAlign w:val="center"/>
          </w:tcPr>
          <w:p w14:paraId="1F9DA798">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0.01</w:t>
            </w:r>
          </w:p>
        </w:tc>
      </w:tr>
      <w:tr w14:paraId="7C48C7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27" w:hRule="atLeast"/>
          <w:jc w:val="center"/>
        </w:trPr>
        <w:tc>
          <w:tcPr>
            <w:tcW w:w="513" w:type="pct"/>
            <w:tcBorders>
              <w:tl2br w:val="nil"/>
              <w:tr2bl w:val="nil"/>
            </w:tcBorders>
            <w:shd w:val="clear" w:color="auto" w:fill="auto"/>
            <w:noWrap w:val="0"/>
            <w:vAlign w:val="center"/>
          </w:tcPr>
          <w:p w14:paraId="041879C4">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1500</w:t>
            </w:r>
          </w:p>
        </w:tc>
        <w:tc>
          <w:tcPr>
            <w:tcW w:w="693" w:type="pct"/>
            <w:tcBorders>
              <w:tl2br w:val="nil"/>
              <w:tr2bl w:val="nil"/>
            </w:tcBorders>
            <w:shd w:val="clear" w:color="auto" w:fill="auto"/>
            <w:noWrap w:val="0"/>
            <w:vAlign w:val="center"/>
          </w:tcPr>
          <w:p w14:paraId="16DD7222">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0.472471</w:t>
            </w:r>
          </w:p>
        </w:tc>
        <w:tc>
          <w:tcPr>
            <w:tcW w:w="420" w:type="pct"/>
            <w:tcBorders>
              <w:tl2br w:val="nil"/>
              <w:tr2bl w:val="nil"/>
            </w:tcBorders>
            <w:shd w:val="clear" w:color="auto" w:fill="auto"/>
            <w:noWrap w:val="0"/>
            <w:vAlign w:val="center"/>
          </w:tcPr>
          <w:p w14:paraId="6DDD6585">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0.09</w:t>
            </w:r>
          </w:p>
        </w:tc>
        <w:tc>
          <w:tcPr>
            <w:tcW w:w="704" w:type="pct"/>
            <w:tcBorders>
              <w:tl2br w:val="nil"/>
              <w:tr2bl w:val="nil"/>
            </w:tcBorders>
            <w:shd w:val="clear" w:color="auto" w:fill="auto"/>
            <w:noWrap w:val="0"/>
            <w:vAlign w:val="center"/>
          </w:tcPr>
          <w:p w14:paraId="05BE69E8">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1.878542</w:t>
            </w:r>
          </w:p>
        </w:tc>
        <w:tc>
          <w:tcPr>
            <w:tcW w:w="420" w:type="pct"/>
            <w:tcBorders>
              <w:tl2br w:val="nil"/>
              <w:tr2bl w:val="nil"/>
            </w:tcBorders>
            <w:shd w:val="clear" w:color="auto" w:fill="auto"/>
            <w:noWrap w:val="0"/>
            <w:vAlign w:val="center"/>
          </w:tcPr>
          <w:p w14:paraId="18F1BF02">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0.94</w:t>
            </w:r>
          </w:p>
        </w:tc>
        <w:tc>
          <w:tcPr>
            <w:tcW w:w="704" w:type="pct"/>
            <w:tcBorders>
              <w:tl2br w:val="nil"/>
              <w:tr2bl w:val="nil"/>
            </w:tcBorders>
            <w:shd w:val="clear" w:color="auto" w:fill="auto"/>
            <w:noWrap w:val="0"/>
            <w:vAlign w:val="center"/>
          </w:tcPr>
          <w:p w14:paraId="2FF164E1">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0.254341</w:t>
            </w:r>
          </w:p>
        </w:tc>
        <w:tc>
          <w:tcPr>
            <w:tcW w:w="420" w:type="pct"/>
            <w:tcBorders>
              <w:tl2br w:val="nil"/>
              <w:tr2bl w:val="nil"/>
            </w:tcBorders>
            <w:shd w:val="clear" w:color="auto" w:fill="auto"/>
            <w:noWrap w:val="0"/>
            <w:vAlign w:val="center"/>
          </w:tcPr>
          <w:p w14:paraId="668D8EEA">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0.06</w:t>
            </w:r>
          </w:p>
        </w:tc>
        <w:tc>
          <w:tcPr>
            <w:tcW w:w="704" w:type="pct"/>
            <w:tcBorders>
              <w:tl2br w:val="nil"/>
              <w:tr2bl w:val="nil"/>
            </w:tcBorders>
            <w:shd w:val="clear" w:color="auto" w:fill="auto"/>
            <w:noWrap w:val="0"/>
            <w:vAlign w:val="center"/>
          </w:tcPr>
          <w:p w14:paraId="4736B0C8">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0.18672</w:t>
            </w:r>
          </w:p>
        </w:tc>
        <w:tc>
          <w:tcPr>
            <w:tcW w:w="420" w:type="pct"/>
            <w:tcBorders>
              <w:tl2br w:val="nil"/>
              <w:tr2bl w:val="nil"/>
            </w:tcBorders>
            <w:shd w:val="clear" w:color="auto" w:fill="auto"/>
            <w:noWrap w:val="0"/>
            <w:vAlign w:val="center"/>
          </w:tcPr>
          <w:p w14:paraId="4BBBB717">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0.01</w:t>
            </w:r>
          </w:p>
        </w:tc>
      </w:tr>
      <w:tr w14:paraId="3FC914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27" w:hRule="atLeast"/>
          <w:jc w:val="center"/>
        </w:trPr>
        <w:tc>
          <w:tcPr>
            <w:tcW w:w="513" w:type="pct"/>
            <w:tcBorders>
              <w:tl2br w:val="nil"/>
              <w:tr2bl w:val="nil"/>
            </w:tcBorders>
            <w:shd w:val="clear" w:color="auto" w:fill="auto"/>
            <w:noWrap w:val="0"/>
            <w:vAlign w:val="center"/>
          </w:tcPr>
          <w:p w14:paraId="6399571D">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2000</w:t>
            </w:r>
          </w:p>
        </w:tc>
        <w:tc>
          <w:tcPr>
            <w:tcW w:w="693" w:type="pct"/>
            <w:tcBorders>
              <w:tl2br w:val="nil"/>
              <w:tr2bl w:val="nil"/>
            </w:tcBorders>
            <w:shd w:val="clear" w:color="auto" w:fill="auto"/>
            <w:noWrap w:val="0"/>
            <w:vAlign w:val="center"/>
          </w:tcPr>
          <w:p w14:paraId="3CA6C88E">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0.383352</w:t>
            </w:r>
          </w:p>
        </w:tc>
        <w:tc>
          <w:tcPr>
            <w:tcW w:w="420" w:type="pct"/>
            <w:tcBorders>
              <w:tl2br w:val="nil"/>
              <w:tr2bl w:val="nil"/>
            </w:tcBorders>
            <w:shd w:val="clear" w:color="auto" w:fill="auto"/>
            <w:noWrap w:val="0"/>
            <w:vAlign w:val="center"/>
          </w:tcPr>
          <w:p w14:paraId="53D2A39F">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0.08</w:t>
            </w:r>
          </w:p>
        </w:tc>
        <w:tc>
          <w:tcPr>
            <w:tcW w:w="704" w:type="pct"/>
            <w:tcBorders>
              <w:tl2br w:val="nil"/>
              <w:tr2bl w:val="nil"/>
            </w:tcBorders>
            <w:shd w:val="clear" w:color="auto" w:fill="auto"/>
            <w:noWrap w:val="0"/>
            <w:vAlign w:val="center"/>
          </w:tcPr>
          <w:p w14:paraId="51531E5E">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1.524203</w:t>
            </w:r>
          </w:p>
        </w:tc>
        <w:tc>
          <w:tcPr>
            <w:tcW w:w="420" w:type="pct"/>
            <w:tcBorders>
              <w:tl2br w:val="nil"/>
              <w:tr2bl w:val="nil"/>
            </w:tcBorders>
            <w:shd w:val="clear" w:color="auto" w:fill="auto"/>
            <w:noWrap w:val="0"/>
            <w:vAlign w:val="center"/>
          </w:tcPr>
          <w:p w14:paraId="4834E255">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0.76</w:t>
            </w:r>
          </w:p>
        </w:tc>
        <w:tc>
          <w:tcPr>
            <w:tcW w:w="704" w:type="pct"/>
            <w:tcBorders>
              <w:tl2br w:val="nil"/>
              <w:tr2bl w:val="nil"/>
            </w:tcBorders>
            <w:shd w:val="clear" w:color="auto" w:fill="auto"/>
            <w:noWrap w:val="0"/>
            <w:vAlign w:val="center"/>
          </w:tcPr>
          <w:p w14:paraId="5DDB8AF2">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0.206366</w:t>
            </w:r>
          </w:p>
        </w:tc>
        <w:tc>
          <w:tcPr>
            <w:tcW w:w="420" w:type="pct"/>
            <w:tcBorders>
              <w:tl2br w:val="nil"/>
              <w:tr2bl w:val="nil"/>
            </w:tcBorders>
            <w:shd w:val="clear" w:color="auto" w:fill="auto"/>
            <w:noWrap w:val="0"/>
            <w:vAlign w:val="center"/>
          </w:tcPr>
          <w:p w14:paraId="76144DA0">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0.05</w:t>
            </w:r>
          </w:p>
        </w:tc>
        <w:tc>
          <w:tcPr>
            <w:tcW w:w="704" w:type="pct"/>
            <w:tcBorders>
              <w:tl2br w:val="nil"/>
              <w:tr2bl w:val="nil"/>
            </w:tcBorders>
            <w:shd w:val="clear" w:color="auto" w:fill="auto"/>
            <w:noWrap w:val="0"/>
            <w:vAlign w:val="center"/>
          </w:tcPr>
          <w:p w14:paraId="5CE2C6C6">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0.1515</w:t>
            </w:r>
          </w:p>
        </w:tc>
        <w:tc>
          <w:tcPr>
            <w:tcW w:w="420" w:type="pct"/>
            <w:tcBorders>
              <w:tl2br w:val="nil"/>
              <w:tr2bl w:val="nil"/>
            </w:tcBorders>
            <w:shd w:val="clear" w:color="auto" w:fill="auto"/>
            <w:noWrap w:val="0"/>
            <w:vAlign w:val="center"/>
          </w:tcPr>
          <w:p w14:paraId="2D8AB3F9">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0.01</w:t>
            </w:r>
          </w:p>
        </w:tc>
      </w:tr>
      <w:tr w14:paraId="1CAB3D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27" w:hRule="atLeast"/>
          <w:jc w:val="center"/>
        </w:trPr>
        <w:tc>
          <w:tcPr>
            <w:tcW w:w="513" w:type="pct"/>
            <w:tcBorders>
              <w:tl2br w:val="nil"/>
              <w:tr2bl w:val="nil"/>
            </w:tcBorders>
            <w:shd w:val="clear" w:color="auto" w:fill="auto"/>
            <w:noWrap w:val="0"/>
            <w:vAlign w:val="center"/>
          </w:tcPr>
          <w:p w14:paraId="47FDE016">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2500</w:t>
            </w:r>
          </w:p>
        </w:tc>
        <w:tc>
          <w:tcPr>
            <w:tcW w:w="693" w:type="pct"/>
            <w:tcBorders>
              <w:tl2br w:val="nil"/>
              <w:tr2bl w:val="nil"/>
            </w:tcBorders>
            <w:shd w:val="clear" w:color="auto" w:fill="auto"/>
            <w:noWrap w:val="0"/>
            <w:vAlign w:val="center"/>
          </w:tcPr>
          <w:p w14:paraId="1CFC8CC5">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0.369283</w:t>
            </w:r>
          </w:p>
        </w:tc>
        <w:tc>
          <w:tcPr>
            <w:tcW w:w="420" w:type="pct"/>
            <w:tcBorders>
              <w:tl2br w:val="nil"/>
              <w:tr2bl w:val="nil"/>
            </w:tcBorders>
            <w:shd w:val="clear" w:color="auto" w:fill="auto"/>
            <w:noWrap w:val="0"/>
            <w:vAlign w:val="center"/>
          </w:tcPr>
          <w:p w14:paraId="658127FC">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0.07</w:t>
            </w:r>
          </w:p>
        </w:tc>
        <w:tc>
          <w:tcPr>
            <w:tcW w:w="704" w:type="pct"/>
            <w:tcBorders>
              <w:tl2br w:val="nil"/>
              <w:tr2bl w:val="nil"/>
            </w:tcBorders>
            <w:shd w:val="clear" w:color="auto" w:fill="auto"/>
            <w:noWrap w:val="0"/>
            <w:vAlign w:val="center"/>
          </w:tcPr>
          <w:p w14:paraId="3DCEB12F">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1.468265</w:t>
            </w:r>
          </w:p>
        </w:tc>
        <w:tc>
          <w:tcPr>
            <w:tcW w:w="420" w:type="pct"/>
            <w:tcBorders>
              <w:tl2br w:val="nil"/>
              <w:tr2bl w:val="nil"/>
            </w:tcBorders>
            <w:shd w:val="clear" w:color="auto" w:fill="auto"/>
            <w:noWrap w:val="0"/>
            <w:vAlign w:val="center"/>
          </w:tcPr>
          <w:p w14:paraId="63DE496C">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0.73</w:t>
            </w:r>
          </w:p>
        </w:tc>
        <w:tc>
          <w:tcPr>
            <w:tcW w:w="704" w:type="pct"/>
            <w:tcBorders>
              <w:tl2br w:val="nil"/>
              <w:tr2bl w:val="nil"/>
            </w:tcBorders>
            <w:shd w:val="clear" w:color="auto" w:fill="auto"/>
            <w:noWrap w:val="0"/>
            <w:vAlign w:val="center"/>
          </w:tcPr>
          <w:p w14:paraId="56C2E30E">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0.198792</w:t>
            </w:r>
          </w:p>
        </w:tc>
        <w:tc>
          <w:tcPr>
            <w:tcW w:w="420" w:type="pct"/>
            <w:tcBorders>
              <w:tl2br w:val="nil"/>
              <w:tr2bl w:val="nil"/>
            </w:tcBorders>
            <w:shd w:val="clear" w:color="auto" w:fill="auto"/>
            <w:noWrap w:val="0"/>
            <w:vAlign w:val="center"/>
          </w:tcPr>
          <w:p w14:paraId="58494085">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0.04</w:t>
            </w:r>
          </w:p>
        </w:tc>
        <w:tc>
          <w:tcPr>
            <w:tcW w:w="704" w:type="pct"/>
            <w:tcBorders>
              <w:tl2br w:val="nil"/>
              <w:tr2bl w:val="nil"/>
            </w:tcBorders>
            <w:shd w:val="clear" w:color="auto" w:fill="auto"/>
            <w:noWrap w:val="0"/>
            <w:vAlign w:val="center"/>
          </w:tcPr>
          <w:p w14:paraId="4332D689">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0.14594</w:t>
            </w:r>
          </w:p>
        </w:tc>
        <w:tc>
          <w:tcPr>
            <w:tcW w:w="420" w:type="pct"/>
            <w:tcBorders>
              <w:tl2br w:val="nil"/>
              <w:tr2bl w:val="nil"/>
            </w:tcBorders>
            <w:shd w:val="clear" w:color="auto" w:fill="auto"/>
            <w:noWrap w:val="0"/>
            <w:vAlign w:val="center"/>
          </w:tcPr>
          <w:p w14:paraId="000BED29">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0.01</w:t>
            </w:r>
          </w:p>
        </w:tc>
      </w:tr>
      <w:tr w14:paraId="7F4F8A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27" w:hRule="atLeast"/>
          <w:jc w:val="center"/>
        </w:trPr>
        <w:tc>
          <w:tcPr>
            <w:tcW w:w="513" w:type="pct"/>
            <w:tcBorders>
              <w:tl2br w:val="nil"/>
              <w:tr2bl w:val="nil"/>
            </w:tcBorders>
            <w:shd w:val="clear" w:color="auto" w:fill="auto"/>
            <w:noWrap w:val="0"/>
            <w:vAlign w:val="center"/>
          </w:tcPr>
          <w:p w14:paraId="31825B5B">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1"/>
                <w:sz w:val="21"/>
                <w:szCs w:val="21"/>
                <w:highlight w:val="none"/>
              </w:rPr>
              <w:t>下风向最大地面空气质量浓度及占标率</w:t>
            </w:r>
          </w:p>
        </w:tc>
        <w:tc>
          <w:tcPr>
            <w:tcW w:w="693" w:type="pct"/>
            <w:tcBorders>
              <w:tl2br w:val="nil"/>
              <w:tr2bl w:val="nil"/>
            </w:tcBorders>
            <w:shd w:val="clear" w:color="auto" w:fill="auto"/>
            <w:noWrap w:val="0"/>
            <w:vAlign w:val="center"/>
          </w:tcPr>
          <w:p w14:paraId="564C028F">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rPr>
            </w:pPr>
            <w:r>
              <w:rPr>
                <w:rFonts w:hint="eastAsia" w:ascii="Times New Roman" w:hAnsi="Times New Roman" w:cs="Times New Roman"/>
                <w:b/>
                <w:bCs/>
                <w:color w:val="auto"/>
                <w:sz w:val="21"/>
                <w:szCs w:val="21"/>
                <w:highlight w:val="none"/>
                <w:lang w:val="en-US" w:eastAsia="zh-CN"/>
              </w:rPr>
              <w:t>2.5014</w:t>
            </w:r>
          </w:p>
        </w:tc>
        <w:tc>
          <w:tcPr>
            <w:tcW w:w="420" w:type="pct"/>
            <w:tcBorders>
              <w:tl2br w:val="nil"/>
              <w:tr2bl w:val="nil"/>
            </w:tcBorders>
            <w:shd w:val="clear" w:color="auto" w:fill="auto"/>
            <w:noWrap w:val="0"/>
            <w:vAlign w:val="center"/>
          </w:tcPr>
          <w:p w14:paraId="3E128047">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rPr>
            </w:pPr>
            <w:r>
              <w:rPr>
                <w:rFonts w:hint="eastAsia" w:ascii="Times New Roman" w:hAnsi="Times New Roman" w:cs="Times New Roman"/>
                <w:b/>
                <w:bCs/>
                <w:color w:val="auto"/>
                <w:sz w:val="21"/>
                <w:szCs w:val="21"/>
                <w:highlight w:val="none"/>
                <w:lang w:val="en-US" w:eastAsia="zh-CN"/>
              </w:rPr>
              <w:t>0.5</w:t>
            </w:r>
          </w:p>
        </w:tc>
        <w:tc>
          <w:tcPr>
            <w:tcW w:w="704" w:type="pct"/>
            <w:tcBorders>
              <w:tl2br w:val="nil"/>
              <w:tr2bl w:val="nil"/>
            </w:tcBorders>
            <w:shd w:val="clear" w:color="auto" w:fill="auto"/>
            <w:noWrap w:val="0"/>
            <w:vAlign w:val="center"/>
          </w:tcPr>
          <w:p w14:paraId="36B454AF">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rPr>
            </w:pPr>
            <w:r>
              <w:rPr>
                <w:rFonts w:hint="eastAsia" w:ascii="Times New Roman" w:hAnsi="Times New Roman" w:cs="Times New Roman"/>
                <w:b/>
                <w:bCs/>
                <w:color w:val="auto"/>
                <w:sz w:val="21"/>
                <w:szCs w:val="21"/>
                <w:highlight w:val="none"/>
                <w:lang w:val="en-US" w:eastAsia="zh-CN"/>
              </w:rPr>
              <w:t>9.94555</w:t>
            </w:r>
          </w:p>
        </w:tc>
        <w:tc>
          <w:tcPr>
            <w:tcW w:w="420" w:type="pct"/>
            <w:tcBorders>
              <w:tl2br w:val="nil"/>
              <w:tr2bl w:val="nil"/>
            </w:tcBorders>
            <w:shd w:val="clear" w:color="auto" w:fill="auto"/>
            <w:noWrap w:val="0"/>
            <w:vAlign w:val="center"/>
          </w:tcPr>
          <w:p w14:paraId="7F39F846">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rPr>
            </w:pPr>
            <w:r>
              <w:rPr>
                <w:rFonts w:hint="eastAsia" w:ascii="Times New Roman" w:hAnsi="Times New Roman" w:cs="Times New Roman"/>
                <w:b/>
                <w:bCs/>
                <w:color w:val="auto"/>
                <w:sz w:val="21"/>
                <w:szCs w:val="21"/>
                <w:highlight w:val="none"/>
                <w:lang w:val="en-US" w:eastAsia="zh-CN"/>
              </w:rPr>
              <w:t>4.97</w:t>
            </w:r>
          </w:p>
        </w:tc>
        <w:tc>
          <w:tcPr>
            <w:tcW w:w="704" w:type="pct"/>
            <w:tcBorders>
              <w:tl2br w:val="nil"/>
              <w:tr2bl w:val="nil"/>
            </w:tcBorders>
            <w:shd w:val="clear" w:color="auto" w:fill="auto"/>
            <w:noWrap w:val="0"/>
            <w:vAlign w:val="center"/>
          </w:tcPr>
          <w:p w14:paraId="3B539F13">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b/>
                <w:bCs/>
                <w:color w:val="auto"/>
                <w:sz w:val="21"/>
                <w:szCs w:val="21"/>
                <w:highlight w:val="none"/>
                <w:lang w:val="en-US" w:eastAsia="zh-CN"/>
              </w:rPr>
              <w:t>1.346552</w:t>
            </w:r>
          </w:p>
        </w:tc>
        <w:tc>
          <w:tcPr>
            <w:tcW w:w="420" w:type="pct"/>
            <w:tcBorders>
              <w:tl2br w:val="nil"/>
              <w:tr2bl w:val="nil"/>
            </w:tcBorders>
            <w:shd w:val="clear" w:color="auto" w:fill="auto"/>
            <w:noWrap w:val="0"/>
            <w:vAlign w:val="center"/>
          </w:tcPr>
          <w:p w14:paraId="065921CB">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b/>
                <w:bCs/>
                <w:color w:val="auto"/>
                <w:sz w:val="21"/>
                <w:szCs w:val="21"/>
                <w:highlight w:val="none"/>
                <w:lang w:val="en-US" w:eastAsia="zh-CN"/>
              </w:rPr>
              <w:t>0.3</w:t>
            </w:r>
          </w:p>
        </w:tc>
        <w:tc>
          <w:tcPr>
            <w:tcW w:w="704" w:type="pct"/>
            <w:tcBorders>
              <w:tl2br w:val="nil"/>
              <w:tr2bl w:val="nil"/>
            </w:tcBorders>
            <w:shd w:val="clear" w:color="auto" w:fill="auto"/>
            <w:noWrap w:val="0"/>
            <w:vAlign w:val="center"/>
          </w:tcPr>
          <w:p w14:paraId="207B8D71">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rPr>
            </w:pPr>
            <w:r>
              <w:rPr>
                <w:rFonts w:hint="eastAsia" w:ascii="Times New Roman" w:hAnsi="Times New Roman" w:cs="Times New Roman"/>
                <w:b/>
                <w:bCs/>
                <w:color w:val="auto"/>
                <w:sz w:val="21"/>
                <w:szCs w:val="21"/>
                <w:highlight w:val="none"/>
                <w:lang w:val="en-US" w:eastAsia="zh-CN"/>
              </w:rPr>
              <w:t>0.98855</w:t>
            </w:r>
          </w:p>
        </w:tc>
        <w:tc>
          <w:tcPr>
            <w:tcW w:w="420" w:type="pct"/>
            <w:tcBorders>
              <w:tl2br w:val="nil"/>
              <w:tr2bl w:val="nil"/>
            </w:tcBorders>
            <w:shd w:val="clear" w:color="auto" w:fill="auto"/>
            <w:noWrap w:val="0"/>
            <w:vAlign w:val="center"/>
          </w:tcPr>
          <w:p w14:paraId="16E029BC">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rPr>
            </w:pPr>
            <w:r>
              <w:rPr>
                <w:rFonts w:hint="eastAsia" w:ascii="Times New Roman" w:hAnsi="Times New Roman" w:cs="Times New Roman"/>
                <w:b/>
                <w:bCs/>
                <w:color w:val="auto"/>
                <w:sz w:val="21"/>
                <w:szCs w:val="21"/>
                <w:highlight w:val="none"/>
                <w:lang w:val="en-US" w:eastAsia="zh-CN"/>
              </w:rPr>
              <w:t>0.05</w:t>
            </w:r>
          </w:p>
        </w:tc>
      </w:tr>
      <w:tr w14:paraId="7D727C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27" w:hRule="atLeast"/>
          <w:jc w:val="center"/>
        </w:trPr>
        <w:tc>
          <w:tcPr>
            <w:tcW w:w="513" w:type="pct"/>
            <w:tcBorders>
              <w:tl2br w:val="nil"/>
              <w:tr2bl w:val="nil"/>
            </w:tcBorders>
            <w:shd w:val="clear" w:color="auto" w:fill="auto"/>
            <w:noWrap w:val="0"/>
            <w:vAlign w:val="center"/>
          </w:tcPr>
          <w:p w14:paraId="205B2D41">
            <w:pPr>
              <w:keepNext w:val="0"/>
              <w:keepLines w:val="0"/>
              <w:pageBreakBefore w:val="0"/>
              <w:kinsoku/>
              <w:wordWrap/>
              <w:overflowPunct/>
              <w:topLinePunct w:val="0"/>
              <w:bidi w:val="0"/>
              <w:adjustRightInd w:val="0"/>
              <w:snapToGrid w:val="0"/>
              <w:ind w:left="-105" w:leftChars="-50" w:right="-105" w:rightChars="-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D</w:t>
            </w:r>
            <w:r>
              <w:rPr>
                <w:rFonts w:hint="default" w:ascii="Times New Roman" w:hAnsi="Times New Roman" w:cs="Times New Roman"/>
                <w:color w:val="auto"/>
                <w:sz w:val="21"/>
                <w:szCs w:val="21"/>
                <w:highlight w:val="none"/>
                <w:vertAlign w:val="subscript"/>
              </w:rPr>
              <w:t>10%</w:t>
            </w:r>
            <w:r>
              <w:rPr>
                <w:rFonts w:hint="default" w:ascii="Times New Roman" w:hAnsi="Times New Roman" w:cs="Times New Roman"/>
                <w:color w:val="auto"/>
                <w:sz w:val="21"/>
                <w:szCs w:val="21"/>
                <w:highlight w:val="none"/>
              </w:rPr>
              <w:t>最远距离（m）</w:t>
            </w:r>
          </w:p>
        </w:tc>
        <w:tc>
          <w:tcPr>
            <w:tcW w:w="1113" w:type="pct"/>
            <w:gridSpan w:val="2"/>
            <w:tcBorders>
              <w:tl2br w:val="nil"/>
              <w:tr2bl w:val="nil"/>
            </w:tcBorders>
            <w:shd w:val="clear" w:color="auto" w:fill="auto"/>
            <w:noWrap w:val="0"/>
            <w:vAlign w:val="center"/>
          </w:tcPr>
          <w:p w14:paraId="533171B3">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未出现</w:t>
            </w:r>
          </w:p>
        </w:tc>
        <w:tc>
          <w:tcPr>
            <w:tcW w:w="1124" w:type="pct"/>
            <w:gridSpan w:val="2"/>
            <w:tcBorders>
              <w:tl2br w:val="nil"/>
              <w:tr2bl w:val="nil"/>
            </w:tcBorders>
            <w:shd w:val="clear" w:color="auto" w:fill="auto"/>
            <w:noWrap w:val="0"/>
            <w:vAlign w:val="center"/>
          </w:tcPr>
          <w:p w14:paraId="419B0940">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未出现</w:t>
            </w:r>
          </w:p>
        </w:tc>
        <w:tc>
          <w:tcPr>
            <w:tcW w:w="1124" w:type="pct"/>
            <w:gridSpan w:val="2"/>
            <w:tcBorders>
              <w:tl2br w:val="nil"/>
              <w:tr2bl w:val="nil"/>
            </w:tcBorders>
            <w:shd w:val="clear" w:color="auto" w:fill="auto"/>
            <w:noWrap w:val="0"/>
            <w:vAlign w:val="center"/>
          </w:tcPr>
          <w:p w14:paraId="12F1BAC5">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未出现</w:t>
            </w:r>
          </w:p>
        </w:tc>
        <w:tc>
          <w:tcPr>
            <w:tcW w:w="1124" w:type="pct"/>
            <w:gridSpan w:val="2"/>
            <w:tcBorders>
              <w:tl2br w:val="nil"/>
              <w:tr2bl w:val="nil"/>
            </w:tcBorders>
            <w:shd w:val="clear" w:color="auto" w:fill="auto"/>
            <w:noWrap w:val="0"/>
            <w:vAlign w:val="center"/>
          </w:tcPr>
          <w:p w14:paraId="6642A4D2">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未出现</w:t>
            </w:r>
          </w:p>
        </w:tc>
      </w:tr>
      <w:tr w14:paraId="6260C1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27" w:hRule="atLeast"/>
          <w:jc w:val="center"/>
        </w:trPr>
        <w:tc>
          <w:tcPr>
            <w:tcW w:w="513" w:type="pct"/>
            <w:tcBorders>
              <w:tl2br w:val="nil"/>
              <w:tr2bl w:val="nil"/>
            </w:tcBorders>
            <w:shd w:val="clear" w:color="auto" w:fill="auto"/>
            <w:noWrap w:val="0"/>
            <w:vAlign w:val="center"/>
          </w:tcPr>
          <w:p w14:paraId="3E546094">
            <w:pPr>
              <w:pStyle w:val="88"/>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最大地面空气质量浓度距源距离（m）</w:t>
            </w:r>
          </w:p>
        </w:tc>
        <w:tc>
          <w:tcPr>
            <w:tcW w:w="1113" w:type="pct"/>
            <w:gridSpan w:val="2"/>
            <w:tcBorders>
              <w:tl2br w:val="nil"/>
              <w:tr2bl w:val="nil"/>
            </w:tcBorders>
            <w:shd w:val="clear" w:color="auto" w:fill="auto"/>
            <w:noWrap w:val="0"/>
            <w:vAlign w:val="center"/>
          </w:tcPr>
          <w:p w14:paraId="3626B867">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94</w:t>
            </w:r>
          </w:p>
        </w:tc>
        <w:tc>
          <w:tcPr>
            <w:tcW w:w="1124" w:type="pct"/>
            <w:gridSpan w:val="2"/>
            <w:tcBorders>
              <w:tl2br w:val="nil"/>
              <w:tr2bl w:val="nil"/>
            </w:tcBorders>
            <w:shd w:val="clear" w:color="auto" w:fill="auto"/>
            <w:noWrap w:val="0"/>
            <w:vAlign w:val="center"/>
          </w:tcPr>
          <w:p w14:paraId="154425D7">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94</w:t>
            </w:r>
          </w:p>
        </w:tc>
        <w:tc>
          <w:tcPr>
            <w:tcW w:w="1124" w:type="pct"/>
            <w:gridSpan w:val="2"/>
            <w:tcBorders>
              <w:tl2br w:val="nil"/>
              <w:tr2bl w:val="nil"/>
            </w:tcBorders>
            <w:shd w:val="clear" w:color="auto" w:fill="auto"/>
            <w:noWrap w:val="0"/>
            <w:vAlign w:val="center"/>
          </w:tcPr>
          <w:p w14:paraId="300C2DB2">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94</w:t>
            </w:r>
          </w:p>
        </w:tc>
        <w:tc>
          <w:tcPr>
            <w:tcW w:w="1124" w:type="pct"/>
            <w:gridSpan w:val="2"/>
            <w:tcBorders>
              <w:tl2br w:val="nil"/>
              <w:tr2bl w:val="nil"/>
            </w:tcBorders>
            <w:shd w:val="clear" w:color="auto" w:fill="auto"/>
            <w:noWrap w:val="0"/>
            <w:vAlign w:val="center"/>
          </w:tcPr>
          <w:p w14:paraId="5C8014BB">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94</w:t>
            </w:r>
          </w:p>
        </w:tc>
      </w:tr>
    </w:tbl>
    <w:p w14:paraId="29F31C19">
      <w:pPr>
        <w:pStyle w:val="61"/>
        <w:bidi w:val="0"/>
        <w:jc w:val="both"/>
        <w:rPr>
          <w:rFonts w:hint="default"/>
          <w:color w:val="auto"/>
          <w:lang w:val="en-US" w:eastAsia="zh-CN"/>
        </w:rPr>
      </w:pPr>
      <w:r>
        <w:rPr>
          <w:rFonts w:hint="default"/>
          <w:color w:val="auto"/>
          <w:lang w:val="en-US" w:eastAsia="zh-CN"/>
        </w:rPr>
        <w:t>表</w:t>
      </w:r>
      <w:r>
        <w:rPr>
          <w:rFonts w:hint="eastAsia"/>
          <w:color w:val="auto"/>
          <w:lang w:val="en-US" w:eastAsia="zh-CN"/>
        </w:rPr>
        <w:t>2.5-11</w:t>
      </w:r>
      <w:r>
        <w:rPr>
          <w:rFonts w:hint="default"/>
          <w:color w:val="auto"/>
          <w:lang w:val="en-US" w:eastAsia="zh-CN"/>
        </w:rPr>
        <w:t xml:space="preserve">    无组织挥发废气污染物的占标率和落地浓度一览表</w:t>
      </w:r>
    </w:p>
    <w:tbl>
      <w:tblPr>
        <w:tblStyle w:val="36"/>
        <w:tblW w:w="507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496"/>
        <w:gridCol w:w="995"/>
        <w:gridCol w:w="1361"/>
        <w:gridCol w:w="1278"/>
        <w:gridCol w:w="1097"/>
        <w:gridCol w:w="796"/>
        <w:gridCol w:w="651"/>
        <w:gridCol w:w="1185"/>
        <w:gridCol w:w="935"/>
      </w:tblGrid>
      <w:tr w14:paraId="6493CB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282" w:type="pct"/>
            <w:tcBorders>
              <w:tl2br w:val="nil"/>
              <w:tr2bl w:val="nil"/>
            </w:tcBorders>
            <w:noWrap w:val="0"/>
            <w:vAlign w:val="center"/>
          </w:tcPr>
          <w:p w14:paraId="203B8717">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565" w:type="pct"/>
            <w:tcBorders>
              <w:tl2br w:val="nil"/>
              <w:tr2bl w:val="nil"/>
            </w:tcBorders>
            <w:noWrap w:val="0"/>
            <w:tcMar>
              <w:top w:w="12" w:type="dxa"/>
              <w:left w:w="12" w:type="dxa"/>
              <w:bottom w:w="0" w:type="dxa"/>
              <w:right w:w="12" w:type="dxa"/>
            </w:tcMar>
            <w:vAlign w:val="center"/>
          </w:tcPr>
          <w:p w14:paraId="58281F29">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污染源名称</w:t>
            </w:r>
          </w:p>
        </w:tc>
        <w:tc>
          <w:tcPr>
            <w:tcW w:w="773" w:type="pct"/>
            <w:tcBorders>
              <w:tl2br w:val="nil"/>
              <w:tr2bl w:val="nil"/>
            </w:tcBorders>
            <w:noWrap w:val="0"/>
            <w:tcMar>
              <w:top w:w="12" w:type="dxa"/>
              <w:left w:w="12" w:type="dxa"/>
              <w:bottom w:w="0" w:type="dxa"/>
              <w:right w:w="12" w:type="dxa"/>
            </w:tcMar>
            <w:vAlign w:val="center"/>
          </w:tcPr>
          <w:p w14:paraId="4DEE3C27">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评价因子</w:t>
            </w:r>
          </w:p>
        </w:tc>
        <w:tc>
          <w:tcPr>
            <w:tcW w:w="726" w:type="pct"/>
            <w:tcBorders>
              <w:tl2br w:val="nil"/>
              <w:tr2bl w:val="nil"/>
            </w:tcBorders>
            <w:noWrap w:val="0"/>
            <w:tcMar>
              <w:top w:w="12" w:type="dxa"/>
              <w:left w:w="12" w:type="dxa"/>
              <w:bottom w:w="0" w:type="dxa"/>
              <w:right w:w="12" w:type="dxa"/>
            </w:tcMar>
            <w:vAlign w:val="center"/>
          </w:tcPr>
          <w:p w14:paraId="4EEEBF83">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w:t>
            </w:r>
            <w:r>
              <w:rPr>
                <w:rFonts w:hint="default" w:ascii="Times New Roman" w:hAnsi="Times New Roman" w:cs="Times New Roman"/>
                <w:color w:val="auto"/>
                <w:szCs w:val="21"/>
                <w:highlight w:val="none"/>
                <w:vertAlign w:val="subscript"/>
              </w:rPr>
              <w:t>i</w:t>
            </w:r>
            <w:r>
              <w:rPr>
                <w:rFonts w:hint="eastAsia" w:cs="Times New Roman"/>
                <w:color w:val="auto"/>
                <w:szCs w:val="21"/>
                <w:highlight w:val="none"/>
                <w:vertAlign w:val="subscript"/>
                <w:lang w:eastAsia="zh-CN"/>
              </w:rPr>
              <w:t>(</w:t>
            </w:r>
            <w:r>
              <w:rPr>
                <w:rFonts w:hint="default" w:ascii="Times New Roman" w:hAnsi="Times New Roman" w:cs="Times New Roman"/>
                <w:color w:val="auto"/>
                <w:szCs w:val="21"/>
                <w:highlight w:val="none"/>
              </w:rPr>
              <w:t>μg/m</w:t>
            </w:r>
            <w:r>
              <w:rPr>
                <w:rFonts w:hint="default" w:ascii="Times New Roman" w:hAnsi="Times New Roman" w:cs="Times New Roman"/>
                <w:bCs/>
                <w:color w:val="auto"/>
                <w:szCs w:val="21"/>
                <w:highlight w:val="none"/>
                <w:vertAlign w:val="superscript"/>
              </w:rPr>
              <w:t>3</w:t>
            </w:r>
            <w:r>
              <w:rPr>
                <w:rFonts w:hint="eastAsia" w:cs="Times New Roman"/>
                <w:bCs/>
                <w:color w:val="auto"/>
                <w:szCs w:val="21"/>
                <w:highlight w:val="none"/>
                <w:vertAlign w:val="baseline"/>
                <w:lang w:eastAsia="zh-CN"/>
              </w:rPr>
              <w:t>)</w:t>
            </w:r>
          </w:p>
        </w:tc>
        <w:tc>
          <w:tcPr>
            <w:tcW w:w="623" w:type="pct"/>
            <w:tcBorders>
              <w:tl2br w:val="nil"/>
              <w:tr2bl w:val="nil"/>
            </w:tcBorders>
            <w:noWrap w:val="0"/>
            <w:tcMar>
              <w:top w:w="12" w:type="dxa"/>
              <w:left w:w="12" w:type="dxa"/>
              <w:bottom w:w="0" w:type="dxa"/>
              <w:right w:w="12" w:type="dxa"/>
            </w:tcMar>
            <w:vAlign w:val="center"/>
          </w:tcPr>
          <w:p w14:paraId="77DDF08F">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评价标准（μg/m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w:t>
            </w:r>
          </w:p>
        </w:tc>
        <w:tc>
          <w:tcPr>
            <w:tcW w:w="452" w:type="pct"/>
            <w:tcBorders>
              <w:tl2br w:val="nil"/>
              <w:tr2bl w:val="nil"/>
            </w:tcBorders>
            <w:noWrap w:val="0"/>
            <w:tcMar>
              <w:top w:w="12" w:type="dxa"/>
              <w:left w:w="12" w:type="dxa"/>
              <w:bottom w:w="0" w:type="dxa"/>
              <w:right w:w="12" w:type="dxa"/>
            </w:tcMar>
            <w:vAlign w:val="center"/>
          </w:tcPr>
          <w:p w14:paraId="33F8A381">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vertAlign w:val="subscript"/>
              </w:rPr>
            </w:pPr>
            <w:r>
              <w:rPr>
                <w:rFonts w:hint="default" w:ascii="Times New Roman" w:hAnsi="Times New Roman" w:cs="Times New Roman"/>
                <w:color w:val="auto"/>
                <w:szCs w:val="21"/>
                <w:highlight w:val="none"/>
              </w:rPr>
              <w:t>P</w:t>
            </w:r>
            <w:r>
              <w:rPr>
                <w:rFonts w:hint="default" w:ascii="Times New Roman" w:hAnsi="Times New Roman" w:cs="Times New Roman"/>
                <w:color w:val="auto"/>
                <w:szCs w:val="21"/>
                <w:highlight w:val="none"/>
                <w:vertAlign w:val="subscript"/>
              </w:rPr>
              <w:t>i</w:t>
            </w:r>
          </w:p>
          <w:p w14:paraId="3F443885">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370" w:type="pct"/>
            <w:tcBorders>
              <w:tl2br w:val="nil"/>
              <w:tr2bl w:val="nil"/>
            </w:tcBorders>
            <w:noWrap w:val="0"/>
            <w:tcMar>
              <w:top w:w="12" w:type="dxa"/>
              <w:left w:w="12" w:type="dxa"/>
              <w:bottom w:w="0" w:type="dxa"/>
              <w:right w:w="12" w:type="dxa"/>
            </w:tcMar>
            <w:vAlign w:val="center"/>
          </w:tcPr>
          <w:p w14:paraId="3C179190">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vertAlign w:val="subscript"/>
              </w:rPr>
            </w:pPr>
            <w:r>
              <w:rPr>
                <w:rFonts w:hint="default" w:ascii="Times New Roman" w:hAnsi="Times New Roman" w:cs="Times New Roman"/>
                <w:color w:val="auto"/>
                <w:szCs w:val="21"/>
                <w:highlight w:val="none"/>
              </w:rPr>
              <w:t>P</w:t>
            </w:r>
            <w:r>
              <w:rPr>
                <w:rFonts w:hint="default" w:ascii="Times New Roman" w:hAnsi="Times New Roman" w:cs="Times New Roman"/>
                <w:color w:val="auto"/>
                <w:szCs w:val="21"/>
                <w:highlight w:val="none"/>
                <w:vertAlign w:val="subscript"/>
              </w:rPr>
              <w:t>max</w:t>
            </w:r>
          </w:p>
          <w:p w14:paraId="4A3174CA">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673" w:type="pct"/>
            <w:tcBorders>
              <w:tl2br w:val="nil"/>
              <w:tr2bl w:val="nil"/>
            </w:tcBorders>
            <w:noWrap w:val="0"/>
            <w:tcMar>
              <w:top w:w="12" w:type="dxa"/>
              <w:left w:w="12" w:type="dxa"/>
              <w:bottom w:w="0" w:type="dxa"/>
              <w:right w:w="12" w:type="dxa"/>
            </w:tcMar>
            <w:vAlign w:val="center"/>
          </w:tcPr>
          <w:p w14:paraId="5FF59FC2">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最大浓度出现距离（m）</w:t>
            </w:r>
          </w:p>
        </w:tc>
        <w:tc>
          <w:tcPr>
            <w:tcW w:w="531" w:type="pct"/>
            <w:tcBorders>
              <w:tl2br w:val="nil"/>
              <w:tr2bl w:val="nil"/>
            </w:tcBorders>
            <w:noWrap w:val="0"/>
            <w:tcMar>
              <w:top w:w="12" w:type="dxa"/>
              <w:left w:w="12" w:type="dxa"/>
              <w:bottom w:w="0" w:type="dxa"/>
              <w:right w:w="12" w:type="dxa"/>
            </w:tcMar>
            <w:vAlign w:val="center"/>
          </w:tcPr>
          <w:p w14:paraId="4592D4FA">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D</w:t>
            </w:r>
            <w:r>
              <w:rPr>
                <w:rFonts w:hint="default" w:ascii="Times New Roman" w:hAnsi="Times New Roman" w:cs="Times New Roman"/>
                <w:color w:val="auto"/>
                <w:szCs w:val="21"/>
                <w:highlight w:val="none"/>
                <w:vertAlign w:val="subscript"/>
              </w:rPr>
              <w:t>10%</w:t>
            </w:r>
            <w:r>
              <w:rPr>
                <w:rFonts w:hint="eastAsia" w:cs="Times New Roman"/>
                <w:color w:val="auto"/>
                <w:szCs w:val="21"/>
                <w:highlight w:val="none"/>
                <w:vertAlign w:val="subscript"/>
                <w:lang w:eastAsia="zh-CN"/>
              </w:rPr>
              <w:t>(</w:t>
            </w:r>
            <w:r>
              <w:rPr>
                <w:rFonts w:hint="default" w:ascii="Times New Roman" w:hAnsi="Times New Roman" w:cs="Times New Roman"/>
                <w:color w:val="auto"/>
                <w:szCs w:val="21"/>
                <w:highlight w:val="none"/>
              </w:rPr>
              <w:t>m</w:t>
            </w:r>
            <w:r>
              <w:rPr>
                <w:rFonts w:hint="eastAsia" w:cs="Times New Roman"/>
                <w:color w:val="auto"/>
                <w:szCs w:val="21"/>
                <w:highlight w:val="none"/>
                <w:lang w:eastAsia="zh-CN"/>
              </w:rPr>
              <w:t>)</w:t>
            </w:r>
          </w:p>
        </w:tc>
      </w:tr>
      <w:tr w14:paraId="30BBE1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82" w:type="pct"/>
            <w:vMerge w:val="restart"/>
            <w:tcBorders>
              <w:tl2br w:val="nil"/>
              <w:tr2bl w:val="nil"/>
            </w:tcBorders>
            <w:noWrap w:val="0"/>
            <w:vAlign w:val="center"/>
          </w:tcPr>
          <w:p w14:paraId="5D9FCB74">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565" w:type="pct"/>
            <w:vMerge w:val="restart"/>
            <w:tcBorders>
              <w:tl2br w:val="nil"/>
              <w:tr2bl w:val="nil"/>
            </w:tcBorders>
            <w:noWrap w:val="0"/>
            <w:tcMar>
              <w:top w:w="12" w:type="dxa"/>
              <w:left w:w="12" w:type="dxa"/>
              <w:bottom w:w="0" w:type="dxa"/>
              <w:right w:w="12" w:type="dxa"/>
            </w:tcMar>
            <w:vAlign w:val="center"/>
          </w:tcPr>
          <w:p w14:paraId="2B069BE0">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Cs w:val="21"/>
                <w:highlight w:val="none"/>
              </w:rPr>
            </w:pPr>
            <w:r>
              <w:rPr>
                <w:rFonts w:hint="eastAsia"/>
                <w:color w:val="auto"/>
                <w:highlight w:val="none"/>
              </w:rPr>
              <w:t>雄探1井</w:t>
            </w:r>
          </w:p>
        </w:tc>
        <w:tc>
          <w:tcPr>
            <w:tcW w:w="773" w:type="pct"/>
            <w:tcBorders>
              <w:tl2br w:val="nil"/>
              <w:tr2bl w:val="nil"/>
            </w:tcBorders>
            <w:noWrap w:val="0"/>
            <w:tcMar>
              <w:top w:w="12" w:type="dxa"/>
              <w:left w:w="12" w:type="dxa"/>
              <w:bottom w:w="0" w:type="dxa"/>
              <w:right w:w="12" w:type="dxa"/>
            </w:tcMar>
            <w:vAlign w:val="center"/>
          </w:tcPr>
          <w:p w14:paraId="766E1900">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非甲烷总烃</w:t>
            </w:r>
          </w:p>
        </w:tc>
        <w:tc>
          <w:tcPr>
            <w:tcW w:w="726" w:type="pct"/>
            <w:tcBorders>
              <w:tl2br w:val="nil"/>
              <w:tr2bl w:val="nil"/>
            </w:tcBorders>
            <w:noWrap w:val="0"/>
            <w:tcMar>
              <w:top w:w="12" w:type="dxa"/>
              <w:left w:w="12" w:type="dxa"/>
              <w:bottom w:w="0" w:type="dxa"/>
              <w:right w:w="12" w:type="dxa"/>
            </w:tcMar>
            <w:vAlign w:val="center"/>
          </w:tcPr>
          <w:p w14:paraId="4DFBE250">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9.4006</w:t>
            </w:r>
          </w:p>
        </w:tc>
        <w:tc>
          <w:tcPr>
            <w:tcW w:w="623" w:type="pct"/>
            <w:tcBorders>
              <w:tl2br w:val="nil"/>
              <w:tr2bl w:val="nil"/>
            </w:tcBorders>
            <w:noWrap w:val="0"/>
            <w:tcMar>
              <w:top w:w="12" w:type="dxa"/>
              <w:left w:w="12" w:type="dxa"/>
              <w:bottom w:w="0" w:type="dxa"/>
              <w:right w:w="12" w:type="dxa"/>
            </w:tcMar>
            <w:vAlign w:val="center"/>
          </w:tcPr>
          <w:p w14:paraId="5A54AB69">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2000</w:t>
            </w:r>
          </w:p>
        </w:tc>
        <w:tc>
          <w:tcPr>
            <w:tcW w:w="452" w:type="pct"/>
            <w:tcBorders>
              <w:tl2br w:val="nil"/>
              <w:tr2bl w:val="nil"/>
            </w:tcBorders>
            <w:noWrap w:val="0"/>
            <w:tcMar>
              <w:top w:w="12" w:type="dxa"/>
              <w:left w:w="12" w:type="dxa"/>
              <w:bottom w:w="0" w:type="dxa"/>
              <w:right w:w="12" w:type="dxa"/>
            </w:tcMar>
            <w:vAlign w:val="center"/>
          </w:tcPr>
          <w:p w14:paraId="3F83EEF8">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0.47</w:t>
            </w:r>
          </w:p>
        </w:tc>
        <w:tc>
          <w:tcPr>
            <w:tcW w:w="370" w:type="pct"/>
            <w:vMerge w:val="restart"/>
            <w:tcBorders>
              <w:tl2br w:val="nil"/>
              <w:tr2bl w:val="nil"/>
            </w:tcBorders>
            <w:noWrap w:val="0"/>
            <w:tcMar>
              <w:top w:w="12" w:type="dxa"/>
              <w:left w:w="12" w:type="dxa"/>
              <w:bottom w:w="0" w:type="dxa"/>
              <w:right w:w="12" w:type="dxa"/>
            </w:tcMar>
            <w:vAlign w:val="center"/>
          </w:tcPr>
          <w:p w14:paraId="31EA4E59">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8.82</w:t>
            </w:r>
          </w:p>
        </w:tc>
        <w:tc>
          <w:tcPr>
            <w:tcW w:w="673" w:type="pct"/>
            <w:vMerge w:val="restart"/>
            <w:tcBorders>
              <w:tl2br w:val="nil"/>
              <w:tr2bl w:val="nil"/>
            </w:tcBorders>
            <w:noWrap w:val="0"/>
            <w:tcMar>
              <w:top w:w="12" w:type="dxa"/>
              <w:left w:w="12" w:type="dxa"/>
              <w:bottom w:w="0" w:type="dxa"/>
              <w:right w:w="12" w:type="dxa"/>
            </w:tcMar>
            <w:vAlign w:val="center"/>
          </w:tcPr>
          <w:p w14:paraId="489D9C15">
            <w:pPr>
              <w:keepNext w:val="0"/>
              <w:keepLines w:val="0"/>
              <w:pageBreakBefore w:val="0"/>
              <w:widowControl w:val="0"/>
              <w:kinsoku/>
              <w:bidi w:val="0"/>
              <w:jc w:val="center"/>
              <w:rPr>
                <w:rFonts w:hint="default"/>
                <w:color w:val="auto"/>
                <w:highlight w:val="none"/>
                <w:lang w:val="en-US" w:eastAsia="zh-CN"/>
              </w:rPr>
            </w:pPr>
            <w:r>
              <w:rPr>
                <w:rFonts w:hint="eastAsia" w:cs="Times New Roman"/>
                <w:color w:val="auto"/>
                <w:szCs w:val="21"/>
                <w:highlight w:val="none"/>
                <w:lang w:val="en-US" w:eastAsia="zh-CN"/>
              </w:rPr>
              <w:t>48</w:t>
            </w:r>
          </w:p>
        </w:tc>
        <w:tc>
          <w:tcPr>
            <w:tcW w:w="531" w:type="pct"/>
            <w:vMerge w:val="restart"/>
            <w:tcBorders>
              <w:tl2br w:val="nil"/>
              <w:tr2bl w:val="nil"/>
            </w:tcBorders>
            <w:noWrap w:val="0"/>
            <w:tcMar>
              <w:top w:w="12" w:type="dxa"/>
              <w:left w:w="12" w:type="dxa"/>
              <w:bottom w:w="0" w:type="dxa"/>
              <w:right w:w="12" w:type="dxa"/>
            </w:tcMar>
            <w:vAlign w:val="center"/>
          </w:tcPr>
          <w:p w14:paraId="458615AA">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3C4B3F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82" w:type="pct"/>
            <w:vMerge w:val="continue"/>
            <w:tcBorders>
              <w:tl2br w:val="nil"/>
              <w:tr2bl w:val="nil"/>
            </w:tcBorders>
            <w:noWrap w:val="0"/>
            <w:vAlign w:val="center"/>
          </w:tcPr>
          <w:p w14:paraId="60FB1C8F">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c>
          <w:tcPr>
            <w:tcW w:w="565" w:type="pct"/>
            <w:vMerge w:val="continue"/>
            <w:tcBorders>
              <w:tl2br w:val="nil"/>
              <w:tr2bl w:val="nil"/>
            </w:tcBorders>
            <w:noWrap w:val="0"/>
            <w:vAlign w:val="center"/>
          </w:tcPr>
          <w:p w14:paraId="5AFB3480">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c>
          <w:tcPr>
            <w:tcW w:w="773" w:type="pct"/>
            <w:tcBorders>
              <w:tl2br w:val="nil"/>
              <w:tr2bl w:val="nil"/>
            </w:tcBorders>
            <w:noWrap w:val="0"/>
            <w:tcMar>
              <w:top w:w="12" w:type="dxa"/>
              <w:left w:w="12" w:type="dxa"/>
              <w:bottom w:w="0" w:type="dxa"/>
              <w:right w:w="12" w:type="dxa"/>
            </w:tcMar>
            <w:vAlign w:val="center"/>
          </w:tcPr>
          <w:p w14:paraId="1885A7AB">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硫化氢</w:t>
            </w:r>
          </w:p>
        </w:tc>
        <w:tc>
          <w:tcPr>
            <w:tcW w:w="726" w:type="pct"/>
            <w:tcBorders>
              <w:tl2br w:val="nil"/>
              <w:tr2bl w:val="nil"/>
            </w:tcBorders>
            <w:noWrap w:val="0"/>
            <w:tcMar>
              <w:top w:w="12" w:type="dxa"/>
              <w:left w:w="12" w:type="dxa"/>
              <w:bottom w:w="0" w:type="dxa"/>
              <w:right w:w="12" w:type="dxa"/>
            </w:tcMar>
            <w:vAlign w:val="center"/>
          </w:tcPr>
          <w:p w14:paraId="18161E69">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0.007256</w:t>
            </w:r>
          </w:p>
        </w:tc>
        <w:tc>
          <w:tcPr>
            <w:tcW w:w="623" w:type="pct"/>
            <w:tcBorders>
              <w:tl2br w:val="nil"/>
              <w:tr2bl w:val="nil"/>
            </w:tcBorders>
            <w:noWrap w:val="0"/>
            <w:tcMar>
              <w:top w:w="12" w:type="dxa"/>
              <w:left w:w="12" w:type="dxa"/>
              <w:bottom w:w="0" w:type="dxa"/>
              <w:right w:w="12" w:type="dxa"/>
            </w:tcMar>
            <w:vAlign w:val="center"/>
          </w:tcPr>
          <w:p w14:paraId="55B03CE9">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c>
          <w:tcPr>
            <w:tcW w:w="452" w:type="pct"/>
            <w:tcBorders>
              <w:tl2br w:val="nil"/>
              <w:tr2bl w:val="nil"/>
            </w:tcBorders>
            <w:noWrap w:val="0"/>
            <w:tcMar>
              <w:top w:w="12" w:type="dxa"/>
              <w:left w:w="12" w:type="dxa"/>
              <w:bottom w:w="0" w:type="dxa"/>
              <w:right w:w="12" w:type="dxa"/>
            </w:tcMar>
            <w:vAlign w:val="center"/>
          </w:tcPr>
          <w:p w14:paraId="28945C6C">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0.07</w:t>
            </w:r>
          </w:p>
        </w:tc>
        <w:tc>
          <w:tcPr>
            <w:tcW w:w="370" w:type="pct"/>
            <w:vMerge w:val="continue"/>
            <w:tcBorders>
              <w:tl2br w:val="nil"/>
              <w:tr2bl w:val="nil"/>
            </w:tcBorders>
            <w:noWrap w:val="0"/>
            <w:vAlign w:val="center"/>
          </w:tcPr>
          <w:p w14:paraId="293121E4">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c>
          <w:tcPr>
            <w:tcW w:w="673" w:type="pct"/>
            <w:vMerge w:val="continue"/>
            <w:tcBorders>
              <w:tl2br w:val="nil"/>
              <w:tr2bl w:val="nil"/>
            </w:tcBorders>
            <w:noWrap w:val="0"/>
            <w:vAlign w:val="center"/>
          </w:tcPr>
          <w:p w14:paraId="2EF1A503">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cs="Times New Roman"/>
                <w:color w:val="auto"/>
                <w:szCs w:val="21"/>
                <w:highlight w:val="none"/>
              </w:rPr>
            </w:pPr>
          </w:p>
        </w:tc>
        <w:tc>
          <w:tcPr>
            <w:tcW w:w="531" w:type="pct"/>
            <w:vMerge w:val="continue"/>
            <w:tcBorders>
              <w:tl2br w:val="nil"/>
              <w:tr2bl w:val="nil"/>
            </w:tcBorders>
            <w:noWrap w:val="0"/>
            <w:tcMar>
              <w:top w:w="12" w:type="dxa"/>
              <w:left w:w="12" w:type="dxa"/>
              <w:bottom w:w="0" w:type="dxa"/>
              <w:right w:w="12" w:type="dxa"/>
            </w:tcMar>
            <w:vAlign w:val="center"/>
          </w:tcPr>
          <w:p w14:paraId="54E5B116">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r>
      <w:tr w14:paraId="6DA114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82" w:type="pct"/>
            <w:vMerge w:val="restart"/>
            <w:tcBorders>
              <w:tl2br w:val="nil"/>
              <w:tr2bl w:val="nil"/>
            </w:tcBorders>
            <w:noWrap w:val="0"/>
            <w:vAlign w:val="center"/>
          </w:tcPr>
          <w:p w14:paraId="1D2088DE">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565" w:type="pct"/>
            <w:vMerge w:val="restart"/>
            <w:tcBorders>
              <w:tl2br w:val="nil"/>
              <w:tr2bl w:val="nil"/>
            </w:tcBorders>
            <w:noWrap w:val="0"/>
            <w:vAlign w:val="center"/>
          </w:tcPr>
          <w:p w14:paraId="24FF815E">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Cs w:val="21"/>
                <w:highlight w:val="none"/>
              </w:rPr>
            </w:pPr>
            <w:r>
              <w:rPr>
                <w:rFonts w:hint="default" w:ascii="Times New Roman" w:hAnsi="Times New Roman" w:eastAsia="宋体" w:cs="Times New Roman"/>
                <w:b w:val="0"/>
                <w:bCs/>
                <w:color w:val="auto"/>
                <w:spacing w:val="-1"/>
                <w:sz w:val="21"/>
                <w:szCs w:val="21"/>
                <w:highlight w:val="none"/>
              </w:rPr>
              <w:t>雄英101井</w:t>
            </w:r>
          </w:p>
        </w:tc>
        <w:tc>
          <w:tcPr>
            <w:tcW w:w="773" w:type="pct"/>
            <w:tcBorders>
              <w:tl2br w:val="nil"/>
              <w:tr2bl w:val="nil"/>
            </w:tcBorders>
            <w:noWrap w:val="0"/>
            <w:tcMar>
              <w:top w:w="12" w:type="dxa"/>
              <w:left w:w="12" w:type="dxa"/>
              <w:bottom w:w="0" w:type="dxa"/>
              <w:right w:w="12" w:type="dxa"/>
            </w:tcMar>
            <w:vAlign w:val="center"/>
          </w:tcPr>
          <w:p w14:paraId="177C1CCF">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非甲烷总烃</w:t>
            </w:r>
          </w:p>
        </w:tc>
        <w:tc>
          <w:tcPr>
            <w:tcW w:w="726" w:type="pct"/>
            <w:tcBorders>
              <w:tl2br w:val="nil"/>
              <w:tr2bl w:val="nil"/>
            </w:tcBorders>
            <w:noWrap w:val="0"/>
            <w:tcMar>
              <w:top w:w="12" w:type="dxa"/>
              <w:left w:w="12" w:type="dxa"/>
              <w:bottom w:w="0" w:type="dxa"/>
              <w:right w:w="12" w:type="dxa"/>
            </w:tcMar>
            <w:vAlign w:val="center"/>
          </w:tcPr>
          <w:p w14:paraId="0B819B35">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9.4006</w:t>
            </w:r>
          </w:p>
        </w:tc>
        <w:tc>
          <w:tcPr>
            <w:tcW w:w="623" w:type="pct"/>
            <w:tcBorders>
              <w:tl2br w:val="nil"/>
              <w:tr2bl w:val="nil"/>
            </w:tcBorders>
            <w:noWrap w:val="0"/>
            <w:tcMar>
              <w:top w:w="12" w:type="dxa"/>
              <w:left w:w="12" w:type="dxa"/>
              <w:bottom w:w="0" w:type="dxa"/>
              <w:right w:w="12" w:type="dxa"/>
            </w:tcMar>
            <w:vAlign w:val="center"/>
          </w:tcPr>
          <w:p w14:paraId="531EC3A1">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2000</w:t>
            </w:r>
          </w:p>
        </w:tc>
        <w:tc>
          <w:tcPr>
            <w:tcW w:w="452" w:type="pct"/>
            <w:tcBorders>
              <w:tl2br w:val="nil"/>
              <w:tr2bl w:val="nil"/>
            </w:tcBorders>
            <w:noWrap w:val="0"/>
            <w:tcMar>
              <w:top w:w="12" w:type="dxa"/>
              <w:left w:w="12" w:type="dxa"/>
              <w:bottom w:w="0" w:type="dxa"/>
              <w:right w:w="12" w:type="dxa"/>
            </w:tcMar>
            <w:vAlign w:val="center"/>
          </w:tcPr>
          <w:p w14:paraId="22E18F5C">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0.47</w:t>
            </w:r>
          </w:p>
        </w:tc>
        <w:tc>
          <w:tcPr>
            <w:tcW w:w="370" w:type="pct"/>
            <w:vMerge w:val="continue"/>
            <w:tcBorders>
              <w:tl2br w:val="nil"/>
              <w:tr2bl w:val="nil"/>
            </w:tcBorders>
            <w:noWrap w:val="0"/>
            <w:vAlign w:val="center"/>
          </w:tcPr>
          <w:p w14:paraId="21AAFBB7">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c>
          <w:tcPr>
            <w:tcW w:w="673" w:type="pct"/>
            <w:vMerge w:val="restart"/>
            <w:tcBorders>
              <w:tl2br w:val="nil"/>
              <w:tr2bl w:val="nil"/>
            </w:tcBorders>
            <w:noWrap w:val="0"/>
            <w:vAlign w:val="center"/>
          </w:tcPr>
          <w:p w14:paraId="4E1A0A8B">
            <w:pPr>
              <w:keepNext w:val="0"/>
              <w:keepLines w:val="0"/>
              <w:pageBreakBefore w:val="0"/>
              <w:widowControl w:val="0"/>
              <w:kinsoku/>
              <w:bidi w:val="0"/>
              <w:jc w:val="center"/>
              <w:rPr>
                <w:rFonts w:hint="default"/>
                <w:color w:val="auto"/>
                <w:highlight w:val="none"/>
                <w:lang w:val="en-US"/>
              </w:rPr>
            </w:pPr>
            <w:r>
              <w:rPr>
                <w:rFonts w:hint="eastAsia" w:cs="Times New Roman"/>
                <w:color w:val="auto"/>
                <w:szCs w:val="21"/>
                <w:highlight w:val="none"/>
                <w:lang w:val="en-US" w:eastAsia="zh-CN"/>
              </w:rPr>
              <w:t>48</w:t>
            </w:r>
          </w:p>
        </w:tc>
        <w:tc>
          <w:tcPr>
            <w:tcW w:w="531" w:type="pct"/>
            <w:vMerge w:val="restart"/>
            <w:tcBorders>
              <w:tl2br w:val="nil"/>
              <w:tr2bl w:val="nil"/>
            </w:tcBorders>
            <w:noWrap w:val="0"/>
            <w:tcMar>
              <w:top w:w="12" w:type="dxa"/>
              <w:left w:w="12" w:type="dxa"/>
              <w:bottom w:w="0" w:type="dxa"/>
              <w:right w:w="12" w:type="dxa"/>
            </w:tcMar>
            <w:vAlign w:val="center"/>
          </w:tcPr>
          <w:p w14:paraId="4D9A3847">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0B7BE7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82" w:type="pct"/>
            <w:vMerge w:val="continue"/>
            <w:tcBorders>
              <w:tl2br w:val="nil"/>
              <w:tr2bl w:val="nil"/>
            </w:tcBorders>
            <w:noWrap w:val="0"/>
            <w:vAlign w:val="center"/>
          </w:tcPr>
          <w:p w14:paraId="31C7C9DB">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c>
          <w:tcPr>
            <w:tcW w:w="565" w:type="pct"/>
            <w:vMerge w:val="continue"/>
            <w:tcBorders>
              <w:tl2br w:val="nil"/>
              <w:tr2bl w:val="nil"/>
            </w:tcBorders>
            <w:noWrap w:val="0"/>
            <w:vAlign w:val="center"/>
          </w:tcPr>
          <w:p w14:paraId="448EBCB9">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c>
          <w:tcPr>
            <w:tcW w:w="773" w:type="pct"/>
            <w:tcBorders>
              <w:tl2br w:val="nil"/>
              <w:tr2bl w:val="nil"/>
            </w:tcBorders>
            <w:noWrap w:val="0"/>
            <w:tcMar>
              <w:top w:w="12" w:type="dxa"/>
              <w:left w:w="12" w:type="dxa"/>
              <w:bottom w:w="0" w:type="dxa"/>
              <w:right w:w="12" w:type="dxa"/>
            </w:tcMar>
            <w:vAlign w:val="center"/>
          </w:tcPr>
          <w:p w14:paraId="54C50889">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硫化氢</w:t>
            </w:r>
          </w:p>
        </w:tc>
        <w:tc>
          <w:tcPr>
            <w:tcW w:w="726" w:type="pct"/>
            <w:tcBorders>
              <w:tl2br w:val="nil"/>
              <w:tr2bl w:val="nil"/>
            </w:tcBorders>
            <w:noWrap w:val="0"/>
            <w:tcMar>
              <w:top w:w="12" w:type="dxa"/>
              <w:left w:w="12" w:type="dxa"/>
              <w:bottom w:w="0" w:type="dxa"/>
              <w:right w:w="12" w:type="dxa"/>
            </w:tcMar>
            <w:vAlign w:val="center"/>
          </w:tcPr>
          <w:p w14:paraId="198CA7CD">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0.007256</w:t>
            </w:r>
          </w:p>
        </w:tc>
        <w:tc>
          <w:tcPr>
            <w:tcW w:w="623" w:type="pct"/>
            <w:tcBorders>
              <w:tl2br w:val="nil"/>
              <w:tr2bl w:val="nil"/>
            </w:tcBorders>
            <w:noWrap w:val="0"/>
            <w:tcMar>
              <w:top w:w="12" w:type="dxa"/>
              <w:left w:w="12" w:type="dxa"/>
              <w:bottom w:w="0" w:type="dxa"/>
              <w:right w:w="12" w:type="dxa"/>
            </w:tcMar>
            <w:vAlign w:val="center"/>
          </w:tcPr>
          <w:p w14:paraId="410B9716">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c>
          <w:tcPr>
            <w:tcW w:w="452" w:type="pct"/>
            <w:tcBorders>
              <w:tl2br w:val="nil"/>
              <w:tr2bl w:val="nil"/>
            </w:tcBorders>
            <w:noWrap w:val="0"/>
            <w:tcMar>
              <w:top w:w="12" w:type="dxa"/>
              <w:left w:w="12" w:type="dxa"/>
              <w:bottom w:w="0" w:type="dxa"/>
              <w:right w:w="12" w:type="dxa"/>
            </w:tcMar>
            <w:vAlign w:val="center"/>
          </w:tcPr>
          <w:p w14:paraId="0FDAB71B">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0.07</w:t>
            </w:r>
          </w:p>
        </w:tc>
        <w:tc>
          <w:tcPr>
            <w:tcW w:w="370" w:type="pct"/>
            <w:vMerge w:val="continue"/>
            <w:tcBorders>
              <w:tl2br w:val="nil"/>
              <w:tr2bl w:val="nil"/>
            </w:tcBorders>
            <w:noWrap w:val="0"/>
            <w:vAlign w:val="center"/>
          </w:tcPr>
          <w:p w14:paraId="7BB2B9C0">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c>
          <w:tcPr>
            <w:tcW w:w="673" w:type="pct"/>
            <w:vMerge w:val="continue"/>
            <w:tcBorders>
              <w:tl2br w:val="nil"/>
              <w:tr2bl w:val="nil"/>
            </w:tcBorders>
            <w:noWrap w:val="0"/>
            <w:vAlign w:val="center"/>
          </w:tcPr>
          <w:p w14:paraId="3E368BD3">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cs="Times New Roman"/>
                <w:color w:val="auto"/>
                <w:szCs w:val="21"/>
                <w:highlight w:val="none"/>
              </w:rPr>
            </w:pPr>
          </w:p>
        </w:tc>
        <w:tc>
          <w:tcPr>
            <w:tcW w:w="531" w:type="pct"/>
            <w:vMerge w:val="continue"/>
            <w:tcBorders>
              <w:tl2br w:val="nil"/>
              <w:tr2bl w:val="nil"/>
            </w:tcBorders>
            <w:noWrap w:val="0"/>
            <w:tcMar>
              <w:top w:w="12" w:type="dxa"/>
              <w:left w:w="12" w:type="dxa"/>
              <w:bottom w:w="0" w:type="dxa"/>
              <w:right w:w="12" w:type="dxa"/>
            </w:tcMar>
            <w:vAlign w:val="center"/>
          </w:tcPr>
          <w:p w14:paraId="23E98A0F">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r>
      <w:tr w14:paraId="497B7E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82" w:type="pct"/>
            <w:vMerge w:val="restart"/>
            <w:tcBorders>
              <w:tl2br w:val="nil"/>
              <w:tr2bl w:val="nil"/>
            </w:tcBorders>
            <w:noWrap w:val="0"/>
            <w:vAlign w:val="center"/>
          </w:tcPr>
          <w:p w14:paraId="5FA8CD93">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p>
        </w:tc>
        <w:tc>
          <w:tcPr>
            <w:tcW w:w="565" w:type="pct"/>
            <w:vMerge w:val="restart"/>
            <w:tcBorders>
              <w:tl2br w:val="nil"/>
              <w:tr2bl w:val="nil"/>
            </w:tcBorders>
            <w:noWrap w:val="0"/>
            <w:tcMar>
              <w:top w:w="12" w:type="dxa"/>
              <w:left w:w="12" w:type="dxa"/>
              <w:bottom w:w="0" w:type="dxa"/>
              <w:right w:w="12" w:type="dxa"/>
            </w:tcMar>
            <w:vAlign w:val="center"/>
          </w:tcPr>
          <w:p w14:paraId="0C660FAE">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Cs w:val="21"/>
                <w:highlight w:val="none"/>
              </w:rPr>
            </w:pPr>
            <w:r>
              <w:rPr>
                <w:rFonts w:hint="default" w:ascii="Times New Roman" w:hAnsi="Times New Roman" w:eastAsia="宋体" w:cs="Times New Roman"/>
                <w:b w:val="0"/>
                <w:bCs/>
                <w:color w:val="auto"/>
                <w:spacing w:val="-1"/>
                <w:sz w:val="21"/>
                <w:szCs w:val="21"/>
                <w:highlight w:val="none"/>
              </w:rPr>
              <w:t>雄英102井</w:t>
            </w:r>
          </w:p>
        </w:tc>
        <w:tc>
          <w:tcPr>
            <w:tcW w:w="773" w:type="pct"/>
            <w:tcBorders>
              <w:tl2br w:val="nil"/>
              <w:tr2bl w:val="nil"/>
            </w:tcBorders>
            <w:noWrap w:val="0"/>
            <w:tcMar>
              <w:top w:w="12" w:type="dxa"/>
              <w:left w:w="12" w:type="dxa"/>
              <w:bottom w:w="0" w:type="dxa"/>
              <w:right w:w="12" w:type="dxa"/>
            </w:tcMar>
            <w:vAlign w:val="center"/>
          </w:tcPr>
          <w:p w14:paraId="0C0A1C7D">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非甲烷总烃</w:t>
            </w:r>
          </w:p>
        </w:tc>
        <w:tc>
          <w:tcPr>
            <w:tcW w:w="726" w:type="pct"/>
            <w:tcBorders>
              <w:tl2br w:val="nil"/>
              <w:tr2bl w:val="nil"/>
            </w:tcBorders>
            <w:noWrap w:val="0"/>
            <w:tcMar>
              <w:top w:w="12" w:type="dxa"/>
              <w:left w:w="12" w:type="dxa"/>
              <w:bottom w:w="0" w:type="dxa"/>
              <w:right w:w="12" w:type="dxa"/>
            </w:tcMar>
            <w:vAlign w:val="center"/>
          </w:tcPr>
          <w:p w14:paraId="71A57D1D">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9.4006</w:t>
            </w:r>
          </w:p>
        </w:tc>
        <w:tc>
          <w:tcPr>
            <w:tcW w:w="623" w:type="pct"/>
            <w:tcBorders>
              <w:tl2br w:val="nil"/>
              <w:tr2bl w:val="nil"/>
            </w:tcBorders>
            <w:noWrap w:val="0"/>
            <w:tcMar>
              <w:top w:w="12" w:type="dxa"/>
              <w:left w:w="12" w:type="dxa"/>
              <w:bottom w:w="0" w:type="dxa"/>
              <w:right w:w="12" w:type="dxa"/>
            </w:tcMar>
            <w:vAlign w:val="center"/>
          </w:tcPr>
          <w:p w14:paraId="0168D422">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2000</w:t>
            </w:r>
          </w:p>
        </w:tc>
        <w:tc>
          <w:tcPr>
            <w:tcW w:w="452" w:type="pct"/>
            <w:tcBorders>
              <w:tl2br w:val="nil"/>
              <w:tr2bl w:val="nil"/>
            </w:tcBorders>
            <w:noWrap w:val="0"/>
            <w:tcMar>
              <w:top w:w="12" w:type="dxa"/>
              <w:left w:w="12" w:type="dxa"/>
              <w:bottom w:w="0" w:type="dxa"/>
              <w:right w:w="12" w:type="dxa"/>
            </w:tcMar>
            <w:vAlign w:val="center"/>
          </w:tcPr>
          <w:p w14:paraId="11B069B9">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0.47</w:t>
            </w:r>
          </w:p>
        </w:tc>
        <w:tc>
          <w:tcPr>
            <w:tcW w:w="370" w:type="pct"/>
            <w:vMerge w:val="continue"/>
            <w:tcBorders>
              <w:tl2br w:val="nil"/>
              <w:tr2bl w:val="nil"/>
            </w:tcBorders>
            <w:noWrap w:val="0"/>
            <w:tcMar>
              <w:top w:w="12" w:type="dxa"/>
              <w:left w:w="12" w:type="dxa"/>
              <w:bottom w:w="0" w:type="dxa"/>
              <w:right w:w="12" w:type="dxa"/>
            </w:tcMar>
            <w:vAlign w:val="center"/>
          </w:tcPr>
          <w:p w14:paraId="183513D3">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c>
          <w:tcPr>
            <w:tcW w:w="673" w:type="pct"/>
            <w:vMerge w:val="restart"/>
            <w:tcBorders>
              <w:tl2br w:val="nil"/>
              <w:tr2bl w:val="nil"/>
            </w:tcBorders>
            <w:noWrap w:val="0"/>
            <w:tcMar>
              <w:top w:w="12" w:type="dxa"/>
              <w:left w:w="12" w:type="dxa"/>
              <w:bottom w:w="0" w:type="dxa"/>
              <w:right w:w="12" w:type="dxa"/>
            </w:tcMar>
            <w:vAlign w:val="center"/>
          </w:tcPr>
          <w:p w14:paraId="6325D35D">
            <w:pPr>
              <w:keepNext w:val="0"/>
              <w:keepLines w:val="0"/>
              <w:pageBreakBefore w:val="0"/>
              <w:widowControl w:val="0"/>
              <w:kinsoku/>
              <w:bidi w:val="0"/>
              <w:jc w:val="center"/>
              <w:rPr>
                <w:rFonts w:hint="default"/>
                <w:color w:val="auto"/>
                <w:highlight w:val="none"/>
              </w:rPr>
            </w:pPr>
            <w:r>
              <w:rPr>
                <w:rFonts w:hint="eastAsia" w:cs="Times New Roman"/>
                <w:color w:val="auto"/>
                <w:szCs w:val="21"/>
                <w:highlight w:val="none"/>
                <w:lang w:val="en-US" w:eastAsia="zh-CN"/>
              </w:rPr>
              <w:t>48</w:t>
            </w:r>
          </w:p>
        </w:tc>
        <w:tc>
          <w:tcPr>
            <w:tcW w:w="531" w:type="pct"/>
            <w:vMerge w:val="restart"/>
            <w:tcBorders>
              <w:tl2br w:val="nil"/>
              <w:tr2bl w:val="nil"/>
            </w:tcBorders>
            <w:noWrap w:val="0"/>
            <w:tcMar>
              <w:top w:w="12" w:type="dxa"/>
              <w:left w:w="12" w:type="dxa"/>
              <w:bottom w:w="0" w:type="dxa"/>
              <w:right w:w="12" w:type="dxa"/>
            </w:tcMar>
            <w:vAlign w:val="center"/>
          </w:tcPr>
          <w:p w14:paraId="6FFACE5D">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392623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82" w:type="pct"/>
            <w:vMerge w:val="continue"/>
            <w:tcBorders>
              <w:tl2br w:val="nil"/>
              <w:tr2bl w:val="nil"/>
            </w:tcBorders>
            <w:noWrap w:val="0"/>
            <w:vAlign w:val="center"/>
          </w:tcPr>
          <w:p w14:paraId="160FC870">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c>
          <w:tcPr>
            <w:tcW w:w="565" w:type="pct"/>
            <w:vMerge w:val="continue"/>
            <w:tcBorders>
              <w:tl2br w:val="nil"/>
              <w:tr2bl w:val="nil"/>
            </w:tcBorders>
            <w:noWrap w:val="0"/>
            <w:vAlign w:val="center"/>
          </w:tcPr>
          <w:p w14:paraId="645C4431">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c>
          <w:tcPr>
            <w:tcW w:w="773" w:type="pct"/>
            <w:tcBorders>
              <w:tl2br w:val="nil"/>
              <w:tr2bl w:val="nil"/>
            </w:tcBorders>
            <w:noWrap w:val="0"/>
            <w:tcMar>
              <w:top w:w="12" w:type="dxa"/>
              <w:left w:w="12" w:type="dxa"/>
              <w:bottom w:w="0" w:type="dxa"/>
              <w:right w:w="12" w:type="dxa"/>
            </w:tcMar>
            <w:vAlign w:val="center"/>
          </w:tcPr>
          <w:p w14:paraId="5D1A83AB">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硫化氢</w:t>
            </w:r>
          </w:p>
        </w:tc>
        <w:tc>
          <w:tcPr>
            <w:tcW w:w="726" w:type="pct"/>
            <w:tcBorders>
              <w:tl2br w:val="nil"/>
              <w:tr2bl w:val="nil"/>
            </w:tcBorders>
            <w:noWrap w:val="0"/>
            <w:tcMar>
              <w:top w:w="12" w:type="dxa"/>
              <w:left w:w="12" w:type="dxa"/>
              <w:bottom w:w="0" w:type="dxa"/>
              <w:right w:w="12" w:type="dxa"/>
            </w:tcMar>
            <w:vAlign w:val="center"/>
          </w:tcPr>
          <w:p w14:paraId="62A6608C">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0.007256</w:t>
            </w:r>
          </w:p>
        </w:tc>
        <w:tc>
          <w:tcPr>
            <w:tcW w:w="623" w:type="pct"/>
            <w:tcBorders>
              <w:tl2br w:val="nil"/>
              <w:tr2bl w:val="nil"/>
            </w:tcBorders>
            <w:noWrap w:val="0"/>
            <w:tcMar>
              <w:top w:w="12" w:type="dxa"/>
              <w:left w:w="12" w:type="dxa"/>
              <w:bottom w:w="0" w:type="dxa"/>
              <w:right w:w="12" w:type="dxa"/>
            </w:tcMar>
            <w:vAlign w:val="center"/>
          </w:tcPr>
          <w:p w14:paraId="00A79CAD">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c>
          <w:tcPr>
            <w:tcW w:w="452" w:type="pct"/>
            <w:tcBorders>
              <w:tl2br w:val="nil"/>
              <w:tr2bl w:val="nil"/>
            </w:tcBorders>
            <w:noWrap w:val="0"/>
            <w:tcMar>
              <w:top w:w="12" w:type="dxa"/>
              <w:left w:w="12" w:type="dxa"/>
              <w:bottom w:w="0" w:type="dxa"/>
              <w:right w:w="12" w:type="dxa"/>
            </w:tcMar>
            <w:vAlign w:val="center"/>
          </w:tcPr>
          <w:p w14:paraId="205695AB">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0.07</w:t>
            </w:r>
          </w:p>
        </w:tc>
        <w:tc>
          <w:tcPr>
            <w:tcW w:w="370" w:type="pct"/>
            <w:vMerge w:val="continue"/>
            <w:tcBorders>
              <w:tl2br w:val="nil"/>
              <w:tr2bl w:val="nil"/>
            </w:tcBorders>
            <w:noWrap w:val="0"/>
            <w:vAlign w:val="center"/>
          </w:tcPr>
          <w:p w14:paraId="39F976F0">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c>
          <w:tcPr>
            <w:tcW w:w="673" w:type="pct"/>
            <w:vMerge w:val="continue"/>
            <w:tcBorders>
              <w:tl2br w:val="nil"/>
              <w:tr2bl w:val="nil"/>
            </w:tcBorders>
            <w:noWrap w:val="0"/>
            <w:vAlign w:val="center"/>
          </w:tcPr>
          <w:p w14:paraId="5BA94676">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cs="Times New Roman"/>
                <w:color w:val="auto"/>
                <w:szCs w:val="21"/>
                <w:highlight w:val="none"/>
              </w:rPr>
            </w:pPr>
          </w:p>
        </w:tc>
        <w:tc>
          <w:tcPr>
            <w:tcW w:w="531" w:type="pct"/>
            <w:vMerge w:val="continue"/>
            <w:tcBorders>
              <w:tl2br w:val="nil"/>
              <w:tr2bl w:val="nil"/>
            </w:tcBorders>
            <w:noWrap w:val="0"/>
            <w:tcMar>
              <w:top w:w="12" w:type="dxa"/>
              <w:left w:w="12" w:type="dxa"/>
              <w:bottom w:w="0" w:type="dxa"/>
              <w:right w:w="12" w:type="dxa"/>
            </w:tcMar>
            <w:vAlign w:val="center"/>
          </w:tcPr>
          <w:p w14:paraId="655E6A37">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r>
      <w:tr w14:paraId="3539DE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82" w:type="pct"/>
            <w:vMerge w:val="restart"/>
            <w:tcBorders>
              <w:tl2br w:val="nil"/>
              <w:tr2bl w:val="nil"/>
            </w:tcBorders>
            <w:noWrap w:val="0"/>
            <w:vAlign w:val="center"/>
          </w:tcPr>
          <w:p w14:paraId="4F85E72E">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w:t>
            </w:r>
          </w:p>
        </w:tc>
        <w:tc>
          <w:tcPr>
            <w:tcW w:w="565" w:type="pct"/>
            <w:vMerge w:val="restart"/>
            <w:tcBorders>
              <w:tl2br w:val="nil"/>
              <w:tr2bl w:val="nil"/>
            </w:tcBorders>
            <w:noWrap w:val="0"/>
            <w:tcMar>
              <w:top w:w="12" w:type="dxa"/>
              <w:left w:w="12" w:type="dxa"/>
              <w:bottom w:w="0" w:type="dxa"/>
              <w:right w:w="12" w:type="dxa"/>
            </w:tcMar>
            <w:vAlign w:val="center"/>
          </w:tcPr>
          <w:p w14:paraId="383FF6CD">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Cs w:val="21"/>
                <w:highlight w:val="none"/>
              </w:rPr>
            </w:pPr>
            <w:r>
              <w:rPr>
                <w:rFonts w:hint="default" w:ascii="Times New Roman" w:hAnsi="Times New Roman" w:eastAsia="宋体" w:cs="Times New Roman"/>
                <w:b w:val="0"/>
                <w:bCs/>
                <w:color w:val="auto"/>
                <w:spacing w:val="-1"/>
                <w:sz w:val="21"/>
                <w:szCs w:val="21"/>
                <w:highlight w:val="none"/>
              </w:rPr>
              <w:t>雄英103井</w:t>
            </w:r>
          </w:p>
        </w:tc>
        <w:tc>
          <w:tcPr>
            <w:tcW w:w="773" w:type="pct"/>
            <w:tcBorders>
              <w:tl2br w:val="nil"/>
              <w:tr2bl w:val="nil"/>
            </w:tcBorders>
            <w:noWrap w:val="0"/>
            <w:tcMar>
              <w:top w:w="12" w:type="dxa"/>
              <w:left w:w="12" w:type="dxa"/>
              <w:bottom w:w="0" w:type="dxa"/>
              <w:right w:w="12" w:type="dxa"/>
            </w:tcMar>
            <w:vAlign w:val="center"/>
          </w:tcPr>
          <w:p w14:paraId="760274A9">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非甲烷总烃</w:t>
            </w:r>
          </w:p>
        </w:tc>
        <w:tc>
          <w:tcPr>
            <w:tcW w:w="726" w:type="pct"/>
            <w:tcBorders>
              <w:tl2br w:val="nil"/>
              <w:tr2bl w:val="nil"/>
            </w:tcBorders>
            <w:noWrap w:val="0"/>
            <w:tcMar>
              <w:top w:w="12" w:type="dxa"/>
              <w:left w:w="12" w:type="dxa"/>
              <w:bottom w:w="0" w:type="dxa"/>
              <w:right w:w="12" w:type="dxa"/>
            </w:tcMar>
            <w:vAlign w:val="center"/>
          </w:tcPr>
          <w:p w14:paraId="6D28E8F1">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9.4006</w:t>
            </w:r>
          </w:p>
        </w:tc>
        <w:tc>
          <w:tcPr>
            <w:tcW w:w="623" w:type="pct"/>
            <w:tcBorders>
              <w:tl2br w:val="nil"/>
              <w:tr2bl w:val="nil"/>
            </w:tcBorders>
            <w:noWrap w:val="0"/>
            <w:tcMar>
              <w:top w:w="12" w:type="dxa"/>
              <w:left w:w="12" w:type="dxa"/>
              <w:bottom w:w="0" w:type="dxa"/>
              <w:right w:w="12" w:type="dxa"/>
            </w:tcMar>
            <w:vAlign w:val="center"/>
          </w:tcPr>
          <w:p w14:paraId="37BC6511">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2000</w:t>
            </w:r>
          </w:p>
        </w:tc>
        <w:tc>
          <w:tcPr>
            <w:tcW w:w="452" w:type="pct"/>
            <w:tcBorders>
              <w:tl2br w:val="nil"/>
              <w:tr2bl w:val="nil"/>
            </w:tcBorders>
            <w:noWrap w:val="0"/>
            <w:tcMar>
              <w:top w:w="12" w:type="dxa"/>
              <w:left w:w="12" w:type="dxa"/>
              <w:bottom w:w="0" w:type="dxa"/>
              <w:right w:w="12" w:type="dxa"/>
            </w:tcMar>
            <w:vAlign w:val="center"/>
          </w:tcPr>
          <w:p w14:paraId="0C6F03C2">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0.47</w:t>
            </w:r>
          </w:p>
        </w:tc>
        <w:tc>
          <w:tcPr>
            <w:tcW w:w="370" w:type="pct"/>
            <w:vMerge w:val="continue"/>
            <w:tcBorders>
              <w:tl2br w:val="nil"/>
              <w:tr2bl w:val="nil"/>
            </w:tcBorders>
            <w:noWrap w:val="0"/>
            <w:tcMar>
              <w:top w:w="12" w:type="dxa"/>
              <w:left w:w="12" w:type="dxa"/>
              <w:bottom w:w="0" w:type="dxa"/>
              <w:right w:w="12" w:type="dxa"/>
            </w:tcMar>
            <w:vAlign w:val="center"/>
          </w:tcPr>
          <w:p w14:paraId="622C8E91">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eastAsia="宋体" w:cs="Times New Roman"/>
                <w:color w:val="auto"/>
                <w:szCs w:val="21"/>
                <w:highlight w:val="none"/>
                <w:lang w:val="en-US" w:eastAsia="zh-CN"/>
              </w:rPr>
            </w:pPr>
          </w:p>
        </w:tc>
        <w:tc>
          <w:tcPr>
            <w:tcW w:w="673" w:type="pct"/>
            <w:vMerge w:val="restart"/>
            <w:tcBorders>
              <w:tl2br w:val="nil"/>
              <w:tr2bl w:val="nil"/>
            </w:tcBorders>
            <w:noWrap w:val="0"/>
            <w:tcMar>
              <w:top w:w="12" w:type="dxa"/>
              <w:left w:w="12" w:type="dxa"/>
              <w:bottom w:w="0" w:type="dxa"/>
              <w:right w:w="12" w:type="dxa"/>
            </w:tcMar>
            <w:vAlign w:val="center"/>
          </w:tcPr>
          <w:p w14:paraId="15260D22">
            <w:pPr>
              <w:keepNext w:val="0"/>
              <w:keepLines w:val="0"/>
              <w:pageBreakBefore w:val="0"/>
              <w:widowControl w:val="0"/>
              <w:kinsoku/>
              <w:bidi w:val="0"/>
              <w:jc w:val="center"/>
              <w:rPr>
                <w:rFonts w:hint="default"/>
                <w:color w:val="auto"/>
                <w:highlight w:val="none"/>
                <w:lang w:val="en-US" w:eastAsia="zh-CN"/>
              </w:rPr>
            </w:pPr>
            <w:r>
              <w:rPr>
                <w:rFonts w:hint="eastAsia" w:cs="Times New Roman"/>
                <w:color w:val="auto"/>
                <w:szCs w:val="21"/>
                <w:highlight w:val="none"/>
                <w:lang w:val="en-US" w:eastAsia="zh-CN"/>
              </w:rPr>
              <w:t>48</w:t>
            </w:r>
          </w:p>
        </w:tc>
        <w:tc>
          <w:tcPr>
            <w:tcW w:w="531" w:type="pct"/>
            <w:vMerge w:val="restart"/>
            <w:tcBorders>
              <w:tl2br w:val="nil"/>
              <w:tr2bl w:val="nil"/>
            </w:tcBorders>
            <w:noWrap w:val="0"/>
            <w:tcMar>
              <w:top w:w="12" w:type="dxa"/>
              <w:left w:w="12" w:type="dxa"/>
              <w:bottom w:w="0" w:type="dxa"/>
              <w:right w:w="12" w:type="dxa"/>
            </w:tcMar>
            <w:vAlign w:val="center"/>
          </w:tcPr>
          <w:p w14:paraId="4FF7474E">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1F89FB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82" w:type="pct"/>
            <w:vMerge w:val="continue"/>
            <w:tcBorders>
              <w:tl2br w:val="nil"/>
              <w:tr2bl w:val="nil"/>
            </w:tcBorders>
            <w:noWrap w:val="0"/>
            <w:vAlign w:val="center"/>
          </w:tcPr>
          <w:p w14:paraId="56DACCC0">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c>
          <w:tcPr>
            <w:tcW w:w="565" w:type="pct"/>
            <w:vMerge w:val="continue"/>
            <w:tcBorders>
              <w:tl2br w:val="nil"/>
              <w:tr2bl w:val="nil"/>
            </w:tcBorders>
            <w:noWrap w:val="0"/>
            <w:vAlign w:val="center"/>
          </w:tcPr>
          <w:p w14:paraId="649137BB">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c>
          <w:tcPr>
            <w:tcW w:w="773" w:type="pct"/>
            <w:tcBorders>
              <w:tl2br w:val="nil"/>
              <w:tr2bl w:val="nil"/>
            </w:tcBorders>
            <w:noWrap w:val="0"/>
            <w:tcMar>
              <w:top w:w="12" w:type="dxa"/>
              <w:left w:w="12" w:type="dxa"/>
              <w:bottom w:w="0" w:type="dxa"/>
              <w:right w:w="12" w:type="dxa"/>
            </w:tcMar>
            <w:vAlign w:val="center"/>
          </w:tcPr>
          <w:p w14:paraId="13334D2D">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硫化氢</w:t>
            </w:r>
          </w:p>
        </w:tc>
        <w:tc>
          <w:tcPr>
            <w:tcW w:w="726" w:type="pct"/>
            <w:tcBorders>
              <w:tl2br w:val="nil"/>
              <w:tr2bl w:val="nil"/>
            </w:tcBorders>
            <w:noWrap w:val="0"/>
            <w:tcMar>
              <w:top w:w="12" w:type="dxa"/>
              <w:left w:w="12" w:type="dxa"/>
              <w:bottom w:w="0" w:type="dxa"/>
              <w:right w:w="12" w:type="dxa"/>
            </w:tcMar>
            <w:vAlign w:val="center"/>
          </w:tcPr>
          <w:p w14:paraId="5968A5D9">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0.007256</w:t>
            </w:r>
          </w:p>
        </w:tc>
        <w:tc>
          <w:tcPr>
            <w:tcW w:w="623" w:type="pct"/>
            <w:tcBorders>
              <w:tl2br w:val="nil"/>
              <w:tr2bl w:val="nil"/>
            </w:tcBorders>
            <w:noWrap w:val="0"/>
            <w:tcMar>
              <w:top w:w="12" w:type="dxa"/>
              <w:left w:w="12" w:type="dxa"/>
              <w:bottom w:w="0" w:type="dxa"/>
              <w:right w:w="12" w:type="dxa"/>
            </w:tcMar>
            <w:vAlign w:val="center"/>
          </w:tcPr>
          <w:p w14:paraId="06FD965A">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c>
          <w:tcPr>
            <w:tcW w:w="452" w:type="pct"/>
            <w:tcBorders>
              <w:tl2br w:val="nil"/>
              <w:tr2bl w:val="nil"/>
            </w:tcBorders>
            <w:noWrap w:val="0"/>
            <w:tcMar>
              <w:top w:w="12" w:type="dxa"/>
              <w:left w:w="12" w:type="dxa"/>
              <w:bottom w:w="0" w:type="dxa"/>
              <w:right w:w="12" w:type="dxa"/>
            </w:tcMar>
            <w:vAlign w:val="center"/>
          </w:tcPr>
          <w:p w14:paraId="05C1FF8A">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0.07</w:t>
            </w:r>
          </w:p>
        </w:tc>
        <w:tc>
          <w:tcPr>
            <w:tcW w:w="370" w:type="pct"/>
            <w:vMerge w:val="continue"/>
            <w:tcBorders>
              <w:tl2br w:val="nil"/>
              <w:tr2bl w:val="nil"/>
            </w:tcBorders>
            <w:noWrap w:val="0"/>
            <w:vAlign w:val="center"/>
          </w:tcPr>
          <w:p w14:paraId="315A3C10">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c>
          <w:tcPr>
            <w:tcW w:w="673" w:type="pct"/>
            <w:vMerge w:val="continue"/>
            <w:tcBorders>
              <w:tl2br w:val="nil"/>
              <w:tr2bl w:val="nil"/>
            </w:tcBorders>
            <w:noWrap w:val="0"/>
            <w:vAlign w:val="center"/>
          </w:tcPr>
          <w:p w14:paraId="253280CD">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cs="Times New Roman"/>
                <w:color w:val="auto"/>
                <w:szCs w:val="21"/>
                <w:highlight w:val="none"/>
              </w:rPr>
            </w:pPr>
          </w:p>
        </w:tc>
        <w:tc>
          <w:tcPr>
            <w:tcW w:w="531" w:type="pct"/>
            <w:vMerge w:val="continue"/>
            <w:tcBorders>
              <w:tl2br w:val="nil"/>
              <w:tr2bl w:val="nil"/>
            </w:tcBorders>
            <w:noWrap w:val="0"/>
            <w:tcMar>
              <w:top w:w="12" w:type="dxa"/>
              <w:left w:w="12" w:type="dxa"/>
              <w:bottom w:w="0" w:type="dxa"/>
              <w:right w:w="12" w:type="dxa"/>
            </w:tcMar>
            <w:vAlign w:val="center"/>
          </w:tcPr>
          <w:p w14:paraId="48A3BA2F">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r>
      <w:tr w14:paraId="3CD069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82" w:type="pct"/>
            <w:vMerge w:val="restart"/>
            <w:tcBorders>
              <w:tl2br w:val="nil"/>
              <w:tr2bl w:val="nil"/>
            </w:tcBorders>
            <w:noWrap w:val="0"/>
            <w:vAlign w:val="center"/>
          </w:tcPr>
          <w:p w14:paraId="1E8DFC06">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w:t>
            </w:r>
          </w:p>
        </w:tc>
        <w:tc>
          <w:tcPr>
            <w:tcW w:w="565" w:type="pct"/>
            <w:vMerge w:val="restart"/>
            <w:tcBorders>
              <w:tl2br w:val="nil"/>
              <w:tr2bl w:val="nil"/>
            </w:tcBorders>
            <w:noWrap w:val="0"/>
            <w:vAlign w:val="center"/>
          </w:tcPr>
          <w:p w14:paraId="3571753D">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pacing w:val="-1"/>
                <w:sz w:val="21"/>
                <w:szCs w:val="21"/>
                <w:highlight w:val="none"/>
              </w:rPr>
              <w:t>雄英</w:t>
            </w:r>
            <w:r>
              <w:rPr>
                <w:rFonts w:hint="eastAsia" w:cs="Times New Roman"/>
                <w:b w:val="0"/>
                <w:bCs/>
                <w:color w:val="auto"/>
                <w:spacing w:val="-1"/>
                <w:sz w:val="21"/>
                <w:szCs w:val="21"/>
                <w:highlight w:val="none"/>
                <w:lang w:val="en-US" w:eastAsia="zh-CN"/>
              </w:rPr>
              <w:t>2</w:t>
            </w:r>
            <w:r>
              <w:rPr>
                <w:rFonts w:hint="default" w:ascii="Times New Roman" w:hAnsi="Times New Roman" w:eastAsia="宋体" w:cs="Times New Roman"/>
                <w:b w:val="0"/>
                <w:bCs/>
                <w:color w:val="auto"/>
                <w:spacing w:val="-1"/>
                <w:sz w:val="21"/>
                <w:szCs w:val="21"/>
                <w:highlight w:val="none"/>
              </w:rPr>
              <w:t>井</w:t>
            </w:r>
          </w:p>
        </w:tc>
        <w:tc>
          <w:tcPr>
            <w:tcW w:w="773" w:type="pct"/>
            <w:tcBorders>
              <w:tl2br w:val="nil"/>
              <w:tr2bl w:val="nil"/>
            </w:tcBorders>
            <w:noWrap w:val="0"/>
            <w:tcMar>
              <w:top w:w="12" w:type="dxa"/>
              <w:left w:w="12" w:type="dxa"/>
              <w:bottom w:w="0" w:type="dxa"/>
              <w:right w:w="12" w:type="dxa"/>
            </w:tcMar>
            <w:vAlign w:val="center"/>
          </w:tcPr>
          <w:p w14:paraId="1FC88910">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cs="Times New Roman"/>
                <w:color w:val="auto"/>
                <w:szCs w:val="21"/>
                <w:highlight w:val="none"/>
              </w:rPr>
              <w:t>非甲烷总烃</w:t>
            </w:r>
          </w:p>
        </w:tc>
        <w:tc>
          <w:tcPr>
            <w:tcW w:w="726" w:type="pct"/>
            <w:tcBorders>
              <w:tl2br w:val="nil"/>
              <w:tr2bl w:val="nil"/>
            </w:tcBorders>
            <w:noWrap w:val="0"/>
            <w:tcMar>
              <w:top w:w="12" w:type="dxa"/>
              <w:left w:w="12" w:type="dxa"/>
              <w:bottom w:w="0" w:type="dxa"/>
              <w:right w:w="12" w:type="dxa"/>
            </w:tcMar>
            <w:vAlign w:val="center"/>
          </w:tcPr>
          <w:p w14:paraId="11373815">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eastAsia"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zCs w:val="21"/>
                <w:highlight w:val="none"/>
                <w:lang w:val="en-US" w:eastAsia="zh-CN"/>
              </w:rPr>
              <w:t>9.4006</w:t>
            </w:r>
          </w:p>
        </w:tc>
        <w:tc>
          <w:tcPr>
            <w:tcW w:w="623" w:type="pct"/>
            <w:tcBorders>
              <w:tl2br w:val="nil"/>
              <w:tr2bl w:val="nil"/>
            </w:tcBorders>
            <w:noWrap w:val="0"/>
            <w:tcMar>
              <w:top w:w="12" w:type="dxa"/>
              <w:left w:w="12" w:type="dxa"/>
              <w:bottom w:w="0" w:type="dxa"/>
              <w:right w:w="12" w:type="dxa"/>
            </w:tcMar>
            <w:vAlign w:val="center"/>
          </w:tcPr>
          <w:p w14:paraId="6D2D56D6">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cs="Times New Roman"/>
                <w:color w:val="auto"/>
                <w:szCs w:val="21"/>
                <w:highlight w:val="none"/>
              </w:rPr>
              <w:t>2000</w:t>
            </w:r>
          </w:p>
        </w:tc>
        <w:tc>
          <w:tcPr>
            <w:tcW w:w="452" w:type="pct"/>
            <w:tcBorders>
              <w:tl2br w:val="nil"/>
              <w:tr2bl w:val="nil"/>
            </w:tcBorders>
            <w:noWrap w:val="0"/>
            <w:tcMar>
              <w:top w:w="12" w:type="dxa"/>
              <w:left w:w="12" w:type="dxa"/>
              <w:bottom w:w="0" w:type="dxa"/>
              <w:right w:w="12" w:type="dxa"/>
            </w:tcMar>
            <w:vAlign w:val="center"/>
          </w:tcPr>
          <w:p w14:paraId="60AAFA2B">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eastAsia"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zCs w:val="21"/>
                <w:highlight w:val="none"/>
                <w:lang w:val="en-US" w:eastAsia="zh-CN"/>
              </w:rPr>
              <w:t>0.47</w:t>
            </w:r>
          </w:p>
        </w:tc>
        <w:tc>
          <w:tcPr>
            <w:tcW w:w="370" w:type="pct"/>
            <w:vMerge w:val="continue"/>
            <w:tcBorders>
              <w:tl2br w:val="nil"/>
              <w:tr2bl w:val="nil"/>
            </w:tcBorders>
            <w:noWrap w:val="0"/>
            <w:vAlign w:val="center"/>
          </w:tcPr>
          <w:p w14:paraId="33BF7920">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c>
          <w:tcPr>
            <w:tcW w:w="673" w:type="pct"/>
            <w:vMerge w:val="restart"/>
            <w:tcBorders>
              <w:tl2br w:val="nil"/>
              <w:tr2bl w:val="nil"/>
            </w:tcBorders>
            <w:noWrap w:val="0"/>
            <w:vAlign w:val="center"/>
          </w:tcPr>
          <w:p w14:paraId="27E5C6C4">
            <w:pPr>
              <w:keepNext w:val="0"/>
              <w:keepLines w:val="0"/>
              <w:pageBreakBefore w:val="0"/>
              <w:widowControl w:val="0"/>
              <w:kinsoku/>
              <w:bidi w:val="0"/>
              <w:jc w:val="center"/>
              <w:rPr>
                <w:rFonts w:hint="eastAsia"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48</w:t>
            </w:r>
          </w:p>
        </w:tc>
        <w:tc>
          <w:tcPr>
            <w:tcW w:w="531" w:type="pct"/>
            <w:vMerge w:val="restart"/>
            <w:tcBorders>
              <w:tl2br w:val="nil"/>
              <w:tr2bl w:val="nil"/>
            </w:tcBorders>
            <w:noWrap w:val="0"/>
            <w:tcMar>
              <w:top w:w="12" w:type="dxa"/>
              <w:left w:w="12" w:type="dxa"/>
              <w:bottom w:w="0" w:type="dxa"/>
              <w:right w:w="12" w:type="dxa"/>
            </w:tcMar>
            <w:vAlign w:val="center"/>
          </w:tcPr>
          <w:p w14:paraId="7F9F0553">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2EAB68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82" w:type="pct"/>
            <w:vMerge w:val="continue"/>
            <w:tcBorders>
              <w:tl2br w:val="nil"/>
              <w:tr2bl w:val="nil"/>
            </w:tcBorders>
            <w:noWrap w:val="0"/>
            <w:vAlign w:val="center"/>
          </w:tcPr>
          <w:p w14:paraId="4B4B5978">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p>
        </w:tc>
        <w:tc>
          <w:tcPr>
            <w:tcW w:w="565" w:type="pct"/>
            <w:vMerge w:val="continue"/>
            <w:tcBorders>
              <w:tl2br w:val="nil"/>
              <w:tr2bl w:val="nil"/>
            </w:tcBorders>
            <w:noWrap w:val="0"/>
            <w:vAlign w:val="center"/>
          </w:tcPr>
          <w:p w14:paraId="3F8962BF">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b w:val="0"/>
                <w:bCs/>
                <w:color w:val="auto"/>
                <w:spacing w:val="-1"/>
                <w:sz w:val="21"/>
                <w:szCs w:val="21"/>
                <w:highlight w:val="none"/>
              </w:rPr>
            </w:pPr>
          </w:p>
        </w:tc>
        <w:tc>
          <w:tcPr>
            <w:tcW w:w="773" w:type="pct"/>
            <w:tcBorders>
              <w:tl2br w:val="nil"/>
              <w:tr2bl w:val="nil"/>
            </w:tcBorders>
            <w:noWrap w:val="0"/>
            <w:tcMar>
              <w:top w:w="12" w:type="dxa"/>
              <w:left w:w="12" w:type="dxa"/>
              <w:bottom w:w="0" w:type="dxa"/>
              <w:right w:w="12" w:type="dxa"/>
            </w:tcMar>
            <w:vAlign w:val="center"/>
          </w:tcPr>
          <w:p w14:paraId="0C9A91E7">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cs="Times New Roman"/>
                <w:color w:val="auto"/>
                <w:szCs w:val="21"/>
                <w:highlight w:val="none"/>
              </w:rPr>
              <w:t>硫化氢</w:t>
            </w:r>
          </w:p>
        </w:tc>
        <w:tc>
          <w:tcPr>
            <w:tcW w:w="726" w:type="pct"/>
            <w:tcBorders>
              <w:tl2br w:val="nil"/>
              <w:tr2bl w:val="nil"/>
            </w:tcBorders>
            <w:noWrap w:val="0"/>
            <w:tcMar>
              <w:top w:w="12" w:type="dxa"/>
              <w:left w:w="12" w:type="dxa"/>
              <w:bottom w:w="0" w:type="dxa"/>
              <w:right w:w="12" w:type="dxa"/>
            </w:tcMar>
            <w:vAlign w:val="center"/>
          </w:tcPr>
          <w:p w14:paraId="27B14FB8">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eastAsia"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zCs w:val="21"/>
                <w:highlight w:val="none"/>
                <w:lang w:val="en-US" w:eastAsia="zh-CN"/>
              </w:rPr>
              <w:t>0.007256</w:t>
            </w:r>
          </w:p>
        </w:tc>
        <w:tc>
          <w:tcPr>
            <w:tcW w:w="623" w:type="pct"/>
            <w:tcBorders>
              <w:tl2br w:val="nil"/>
              <w:tr2bl w:val="nil"/>
            </w:tcBorders>
            <w:noWrap w:val="0"/>
            <w:tcMar>
              <w:top w:w="12" w:type="dxa"/>
              <w:left w:w="12" w:type="dxa"/>
              <w:bottom w:w="0" w:type="dxa"/>
              <w:right w:w="12" w:type="dxa"/>
            </w:tcMar>
            <w:vAlign w:val="center"/>
          </w:tcPr>
          <w:p w14:paraId="0638618B">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cs="Times New Roman"/>
                <w:color w:val="auto"/>
                <w:szCs w:val="21"/>
                <w:highlight w:val="none"/>
              </w:rPr>
              <w:t>10</w:t>
            </w:r>
          </w:p>
        </w:tc>
        <w:tc>
          <w:tcPr>
            <w:tcW w:w="452" w:type="pct"/>
            <w:tcBorders>
              <w:tl2br w:val="nil"/>
              <w:tr2bl w:val="nil"/>
            </w:tcBorders>
            <w:noWrap w:val="0"/>
            <w:tcMar>
              <w:top w:w="12" w:type="dxa"/>
              <w:left w:w="12" w:type="dxa"/>
              <w:bottom w:w="0" w:type="dxa"/>
              <w:right w:w="12" w:type="dxa"/>
            </w:tcMar>
            <w:vAlign w:val="center"/>
          </w:tcPr>
          <w:p w14:paraId="640D2A53">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eastAsia"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zCs w:val="21"/>
                <w:highlight w:val="none"/>
                <w:lang w:val="en-US" w:eastAsia="zh-CN"/>
              </w:rPr>
              <w:t>0.07</w:t>
            </w:r>
          </w:p>
        </w:tc>
        <w:tc>
          <w:tcPr>
            <w:tcW w:w="370" w:type="pct"/>
            <w:vMerge w:val="continue"/>
            <w:tcBorders>
              <w:tl2br w:val="nil"/>
              <w:tr2bl w:val="nil"/>
            </w:tcBorders>
            <w:noWrap w:val="0"/>
            <w:vAlign w:val="center"/>
          </w:tcPr>
          <w:p w14:paraId="4C6EC3FC">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c>
          <w:tcPr>
            <w:tcW w:w="673" w:type="pct"/>
            <w:vMerge w:val="continue"/>
            <w:tcBorders>
              <w:tl2br w:val="nil"/>
              <w:tr2bl w:val="nil"/>
            </w:tcBorders>
            <w:noWrap w:val="0"/>
            <w:vAlign w:val="center"/>
          </w:tcPr>
          <w:p w14:paraId="23E64CC4">
            <w:pPr>
              <w:keepNext w:val="0"/>
              <w:keepLines w:val="0"/>
              <w:pageBreakBefore w:val="0"/>
              <w:widowControl w:val="0"/>
              <w:kinsoku/>
              <w:bidi w:val="0"/>
              <w:jc w:val="center"/>
              <w:rPr>
                <w:rFonts w:hint="eastAsia" w:ascii="Times New Roman" w:hAnsi="Times New Roman" w:cs="Times New Roman"/>
                <w:color w:val="auto"/>
                <w:szCs w:val="21"/>
                <w:highlight w:val="none"/>
                <w:lang w:val="en-US" w:eastAsia="zh-CN"/>
              </w:rPr>
            </w:pPr>
          </w:p>
        </w:tc>
        <w:tc>
          <w:tcPr>
            <w:tcW w:w="531" w:type="pct"/>
            <w:vMerge w:val="continue"/>
            <w:tcBorders>
              <w:tl2br w:val="nil"/>
              <w:tr2bl w:val="nil"/>
            </w:tcBorders>
            <w:noWrap w:val="0"/>
            <w:tcMar>
              <w:top w:w="12" w:type="dxa"/>
              <w:left w:w="12" w:type="dxa"/>
              <w:bottom w:w="0" w:type="dxa"/>
              <w:right w:w="12" w:type="dxa"/>
            </w:tcMar>
            <w:vAlign w:val="center"/>
          </w:tcPr>
          <w:p w14:paraId="077AECF3">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r>
      <w:tr w14:paraId="728F74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82" w:type="pct"/>
            <w:vMerge w:val="restart"/>
            <w:tcBorders>
              <w:tl2br w:val="nil"/>
              <w:tr2bl w:val="nil"/>
            </w:tcBorders>
            <w:noWrap w:val="0"/>
            <w:vAlign w:val="center"/>
          </w:tcPr>
          <w:p w14:paraId="0D23830D">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6</w:t>
            </w:r>
          </w:p>
        </w:tc>
        <w:tc>
          <w:tcPr>
            <w:tcW w:w="565" w:type="pct"/>
            <w:vMerge w:val="restart"/>
            <w:tcBorders>
              <w:tl2br w:val="nil"/>
              <w:tr2bl w:val="nil"/>
            </w:tcBorders>
            <w:noWrap w:val="0"/>
            <w:vAlign w:val="center"/>
          </w:tcPr>
          <w:p w14:paraId="39A9CB14">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Cs w:val="21"/>
                <w:highlight w:val="none"/>
              </w:rPr>
            </w:pPr>
            <w:r>
              <w:rPr>
                <w:rFonts w:hint="default" w:ascii="Times New Roman" w:hAnsi="Times New Roman" w:eastAsia="宋体" w:cs="Times New Roman"/>
                <w:b w:val="0"/>
                <w:bCs/>
                <w:color w:val="auto"/>
                <w:spacing w:val="-1"/>
                <w:sz w:val="21"/>
                <w:szCs w:val="21"/>
                <w:highlight w:val="none"/>
              </w:rPr>
              <w:t>雄英3井</w:t>
            </w:r>
          </w:p>
        </w:tc>
        <w:tc>
          <w:tcPr>
            <w:tcW w:w="773" w:type="pct"/>
            <w:tcBorders>
              <w:tl2br w:val="nil"/>
              <w:tr2bl w:val="nil"/>
            </w:tcBorders>
            <w:noWrap w:val="0"/>
            <w:tcMar>
              <w:top w:w="12" w:type="dxa"/>
              <w:left w:w="12" w:type="dxa"/>
              <w:bottom w:w="0" w:type="dxa"/>
              <w:right w:w="12" w:type="dxa"/>
            </w:tcMar>
            <w:vAlign w:val="center"/>
          </w:tcPr>
          <w:p w14:paraId="2C550679">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非甲烷总烃</w:t>
            </w:r>
          </w:p>
        </w:tc>
        <w:tc>
          <w:tcPr>
            <w:tcW w:w="726" w:type="pct"/>
            <w:tcBorders>
              <w:tl2br w:val="nil"/>
              <w:tr2bl w:val="nil"/>
            </w:tcBorders>
            <w:noWrap w:val="0"/>
            <w:tcMar>
              <w:top w:w="12" w:type="dxa"/>
              <w:left w:w="12" w:type="dxa"/>
              <w:bottom w:w="0" w:type="dxa"/>
              <w:right w:w="12" w:type="dxa"/>
            </w:tcMar>
            <w:vAlign w:val="center"/>
          </w:tcPr>
          <w:p w14:paraId="08096F8B">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9.4006</w:t>
            </w:r>
          </w:p>
        </w:tc>
        <w:tc>
          <w:tcPr>
            <w:tcW w:w="623" w:type="pct"/>
            <w:tcBorders>
              <w:tl2br w:val="nil"/>
              <w:tr2bl w:val="nil"/>
            </w:tcBorders>
            <w:noWrap w:val="0"/>
            <w:tcMar>
              <w:top w:w="12" w:type="dxa"/>
              <w:left w:w="12" w:type="dxa"/>
              <w:bottom w:w="0" w:type="dxa"/>
              <w:right w:w="12" w:type="dxa"/>
            </w:tcMar>
            <w:vAlign w:val="center"/>
          </w:tcPr>
          <w:p w14:paraId="09167822">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2000</w:t>
            </w:r>
          </w:p>
        </w:tc>
        <w:tc>
          <w:tcPr>
            <w:tcW w:w="452" w:type="pct"/>
            <w:tcBorders>
              <w:tl2br w:val="nil"/>
              <w:tr2bl w:val="nil"/>
            </w:tcBorders>
            <w:noWrap w:val="0"/>
            <w:tcMar>
              <w:top w:w="12" w:type="dxa"/>
              <w:left w:w="12" w:type="dxa"/>
              <w:bottom w:w="0" w:type="dxa"/>
              <w:right w:w="12" w:type="dxa"/>
            </w:tcMar>
            <w:vAlign w:val="center"/>
          </w:tcPr>
          <w:p w14:paraId="59839C37">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0.47</w:t>
            </w:r>
          </w:p>
        </w:tc>
        <w:tc>
          <w:tcPr>
            <w:tcW w:w="370" w:type="pct"/>
            <w:vMerge w:val="continue"/>
            <w:tcBorders>
              <w:tl2br w:val="nil"/>
              <w:tr2bl w:val="nil"/>
            </w:tcBorders>
            <w:noWrap w:val="0"/>
            <w:vAlign w:val="center"/>
          </w:tcPr>
          <w:p w14:paraId="2E3B2D0D">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c>
          <w:tcPr>
            <w:tcW w:w="673" w:type="pct"/>
            <w:vMerge w:val="restart"/>
            <w:tcBorders>
              <w:tl2br w:val="nil"/>
              <w:tr2bl w:val="nil"/>
            </w:tcBorders>
            <w:noWrap w:val="0"/>
            <w:vAlign w:val="center"/>
          </w:tcPr>
          <w:p w14:paraId="25D5BA92">
            <w:pPr>
              <w:keepNext w:val="0"/>
              <w:keepLines w:val="0"/>
              <w:pageBreakBefore w:val="0"/>
              <w:widowControl w:val="0"/>
              <w:kinsoku/>
              <w:bidi w:val="0"/>
              <w:jc w:val="center"/>
              <w:rPr>
                <w:rFonts w:hint="default"/>
                <w:color w:val="auto"/>
                <w:highlight w:val="none"/>
              </w:rPr>
            </w:pPr>
            <w:r>
              <w:rPr>
                <w:rFonts w:hint="eastAsia" w:cs="Times New Roman"/>
                <w:color w:val="auto"/>
                <w:szCs w:val="21"/>
                <w:highlight w:val="none"/>
                <w:lang w:val="en-US" w:eastAsia="zh-CN"/>
              </w:rPr>
              <w:t>48</w:t>
            </w:r>
          </w:p>
        </w:tc>
        <w:tc>
          <w:tcPr>
            <w:tcW w:w="531" w:type="pct"/>
            <w:vMerge w:val="restart"/>
            <w:tcBorders>
              <w:tl2br w:val="nil"/>
              <w:tr2bl w:val="nil"/>
            </w:tcBorders>
            <w:noWrap w:val="0"/>
            <w:tcMar>
              <w:top w:w="12" w:type="dxa"/>
              <w:left w:w="12" w:type="dxa"/>
              <w:bottom w:w="0" w:type="dxa"/>
              <w:right w:w="12" w:type="dxa"/>
            </w:tcMar>
            <w:vAlign w:val="center"/>
          </w:tcPr>
          <w:p w14:paraId="6F334C6A">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545CCE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82" w:type="pct"/>
            <w:vMerge w:val="continue"/>
            <w:tcBorders>
              <w:tl2br w:val="nil"/>
              <w:tr2bl w:val="nil"/>
            </w:tcBorders>
            <w:noWrap w:val="0"/>
            <w:vAlign w:val="center"/>
          </w:tcPr>
          <w:p w14:paraId="74780ACD">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c>
          <w:tcPr>
            <w:tcW w:w="565" w:type="pct"/>
            <w:vMerge w:val="continue"/>
            <w:tcBorders>
              <w:tl2br w:val="nil"/>
              <w:tr2bl w:val="nil"/>
            </w:tcBorders>
            <w:noWrap w:val="0"/>
            <w:vAlign w:val="center"/>
          </w:tcPr>
          <w:p w14:paraId="3CF36008">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c>
          <w:tcPr>
            <w:tcW w:w="773" w:type="pct"/>
            <w:tcBorders>
              <w:tl2br w:val="nil"/>
              <w:tr2bl w:val="nil"/>
            </w:tcBorders>
            <w:noWrap w:val="0"/>
            <w:tcMar>
              <w:top w:w="12" w:type="dxa"/>
              <w:left w:w="12" w:type="dxa"/>
              <w:bottom w:w="0" w:type="dxa"/>
              <w:right w:w="12" w:type="dxa"/>
            </w:tcMar>
            <w:vAlign w:val="center"/>
          </w:tcPr>
          <w:p w14:paraId="662C34ED">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硫化氢</w:t>
            </w:r>
          </w:p>
        </w:tc>
        <w:tc>
          <w:tcPr>
            <w:tcW w:w="726" w:type="pct"/>
            <w:tcBorders>
              <w:tl2br w:val="nil"/>
              <w:tr2bl w:val="nil"/>
            </w:tcBorders>
            <w:noWrap w:val="0"/>
            <w:tcMar>
              <w:top w:w="12" w:type="dxa"/>
              <w:left w:w="12" w:type="dxa"/>
              <w:bottom w:w="0" w:type="dxa"/>
              <w:right w:w="12" w:type="dxa"/>
            </w:tcMar>
            <w:vAlign w:val="center"/>
          </w:tcPr>
          <w:p w14:paraId="0C5A44EB">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0.007256</w:t>
            </w:r>
          </w:p>
        </w:tc>
        <w:tc>
          <w:tcPr>
            <w:tcW w:w="623" w:type="pct"/>
            <w:tcBorders>
              <w:tl2br w:val="nil"/>
              <w:tr2bl w:val="nil"/>
            </w:tcBorders>
            <w:noWrap w:val="0"/>
            <w:tcMar>
              <w:top w:w="12" w:type="dxa"/>
              <w:left w:w="12" w:type="dxa"/>
              <w:bottom w:w="0" w:type="dxa"/>
              <w:right w:w="12" w:type="dxa"/>
            </w:tcMar>
            <w:vAlign w:val="center"/>
          </w:tcPr>
          <w:p w14:paraId="6EEA78FB">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c>
          <w:tcPr>
            <w:tcW w:w="452" w:type="pct"/>
            <w:tcBorders>
              <w:tl2br w:val="nil"/>
              <w:tr2bl w:val="nil"/>
            </w:tcBorders>
            <w:noWrap w:val="0"/>
            <w:tcMar>
              <w:top w:w="12" w:type="dxa"/>
              <w:left w:w="12" w:type="dxa"/>
              <w:bottom w:w="0" w:type="dxa"/>
              <w:right w:w="12" w:type="dxa"/>
            </w:tcMar>
            <w:vAlign w:val="center"/>
          </w:tcPr>
          <w:p w14:paraId="357F47B6">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0.07</w:t>
            </w:r>
          </w:p>
        </w:tc>
        <w:tc>
          <w:tcPr>
            <w:tcW w:w="370" w:type="pct"/>
            <w:vMerge w:val="continue"/>
            <w:tcBorders>
              <w:tl2br w:val="nil"/>
              <w:tr2bl w:val="nil"/>
            </w:tcBorders>
            <w:noWrap w:val="0"/>
            <w:vAlign w:val="center"/>
          </w:tcPr>
          <w:p w14:paraId="6449B30E">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c>
          <w:tcPr>
            <w:tcW w:w="673" w:type="pct"/>
            <w:vMerge w:val="continue"/>
            <w:tcBorders>
              <w:tl2br w:val="nil"/>
              <w:tr2bl w:val="nil"/>
            </w:tcBorders>
            <w:noWrap w:val="0"/>
            <w:vAlign w:val="center"/>
          </w:tcPr>
          <w:p w14:paraId="3F5F7CA2">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cs="Times New Roman"/>
                <w:color w:val="auto"/>
                <w:szCs w:val="21"/>
                <w:highlight w:val="none"/>
              </w:rPr>
            </w:pPr>
          </w:p>
        </w:tc>
        <w:tc>
          <w:tcPr>
            <w:tcW w:w="531" w:type="pct"/>
            <w:vMerge w:val="continue"/>
            <w:tcBorders>
              <w:tl2br w:val="nil"/>
              <w:tr2bl w:val="nil"/>
            </w:tcBorders>
            <w:noWrap w:val="0"/>
            <w:tcMar>
              <w:top w:w="12" w:type="dxa"/>
              <w:left w:w="12" w:type="dxa"/>
              <w:bottom w:w="0" w:type="dxa"/>
              <w:right w:w="12" w:type="dxa"/>
            </w:tcMar>
            <w:vAlign w:val="center"/>
          </w:tcPr>
          <w:p w14:paraId="66AFD6D4">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r>
      <w:tr w14:paraId="24D4B6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82" w:type="pct"/>
            <w:vMerge w:val="restart"/>
            <w:tcBorders>
              <w:tl2br w:val="nil"/>
              <w:tr2bl w:val="nil"/>
            </w:tcBorders>
            <w:noWrap w:val="0"/>
            <w:vAlign w:val="center"/>
          </w:tcPr>
          <w:p w14:paraId="659030EE">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7</w:t>
            </w:r>
          </w:p>
        </w:tc>
        <w:tc>
          <w:tcPr>
            <w:tcW w:w="565" w:type="pct"/>
            <w:vMerge w:val="restart"/>
            <w:tcBorders>
              <w:tl2br w:val="nil"/>
              <w:tr2bl w:val="nil"/>
            </w:tcBorders>
            <w:noWrap w:val="0"/>
            <w:tcMar>
              <w:top w:w="12" w:type="dxa"/>
              <w:left w:w="12" w:type="dxa"/>
              <w:bottom w:w="0" w:type="dxa"/>
              <w:right w:w="12" w:type="dxa"/>
            </w:tcMar>
            <w:vAlign w:val="center"/>
          </w:tcPr>
          <w:p w14:paraId="7B611D36">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雄探1试采点</w:t>
            </w:r>
          </w:p>
        </w:tc>
        <w:tc>
          <w:tcPr>
            <w:tcW w:w="773" w:type="pct"/>
            <w:tcBorders>
              <w:tl2br w:val="nil"/>
              <w:tr2bl w:val="nil"/>
            </w:tcBorders>
            <w:noWrap w:val="0"/>
            <w:tcMar>
              <w:top w:w="12" w:type="dxa"/>
              <w:left w:w="12" w:type="dxa"/>
              <w:bottom w:w="0" w:type="dxa"/>
              <w:right w:w="12" w:type="dxa"/>
            </w:tcMar>
            <w:vAlign w:val="center"/>
          </w:tcPr>
          <w:p w14:paraId="526BBED3">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非甲烷总烃</w:t>
            </w:r>
          </w:p>
        </w:tc>
        <w:tc>
          <w:tcPr>
            <w:tcW w:w="726" w:type="pct"/>
            <w:tcBorders>
              <w:tl2br w:val="nil"/>
              <w:tr2bl w:val="nil"/>
            </w:tcBorders>
            <w:noWrap w:val="0"/>
            <w:tcMar>
              <w:top w:w="12" w:type="dxa"/>
              <w:left w:w="12" w:type="dxa"/>
              <w:bottom w:w="0" w:type="dxa"/>
              <w:right w:w="12" w:type="dxa"/>
            </w:tcMar>
            <w:vAlign w:val="center"/>
          </w:tcPr>
          <w:p w14:paraId="689A3FD3">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lang w:val="en-US"/>
              </w:rPr>
            </w:pPr>
            <w:r>
              <w:rPr>
                <w:rFonts w:hint="eastAsia" w:cs="Times New Roman"/>
                <w:color w:val="auto"/>
                <w:szCs w:val="21"/>
                <w:highlight w:val="none"/>
                <w:lang w:val="en-US" w:eastAsia="zh-CN"/>
              </w:rPr>
              <w:t>176.46</w:t>
            </w:r>
          </w:p>
        </w:tc>
        <w:tc>
          <w:tcPr>
            <w:tcW w:w="623" w:type="pct"/>
            <w:tcBorders>
              <w:tl2br w:val="nil"/>
              <w:tr2bl w:val="nil"/>
            </w:tcBorders>
            <w:noWrap w:val="0"/>
            <w:tcMar>
              <w:top w:w="12" w:type="dxa"/>
              <w:left w:w="12" w:type="dxa"/>
              <w:bottom w:w="0" w:type="dxa"/>
              <w:right w:w="12" w:type="dxa"/>
            </w:tcMar>
            <w:vAlign w:val="center"/>
          </w:tcPr>
          <w:p w14:paraId="269448A6">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2000</w:t>
            </w:r>
          </w:p>
        </w:tc>
        <w:tc>
          <w:tcPr>
            <w:tcW w:w="452" w:type="pct"/>
            <w:tcBorders>
              <w:tl2br w:val="nil"/>
              <w:tr2bl w:val="nil"/>
            </w:tcBorders>
            <w:noWrap w:val="0"/>
            <w:tcMar>
              <w:top w:w="12" w:type="dxa"/>
              <w:left w:w="12" w:type="dxa"/>
              <w:bottom w:w="0" w:type="dxa"/>
              <w:right w:w="12" w:type="dxa"/>
            </w:tcMar>
            <w:vAlign w:val="center"/>
          </w:tcPr>
          <w:p w14:paraId="5A57C960">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lang w:val="en-US"/>
              </w:rPr>
            </w:pPr>
            <w:r>
              <w:rPr>
                <w:rFonts w:hint="eastAsia" w:cs="Times New Roman"/>
                <w:color w:val="auto"/>
                <w:szCs w:val="21"/>
                <w:highlight w:val="none"/>
                <w:lang w:val="en-US" w:eastAsia="zh-CN"/>
              </w:rPr>
              <w:t>8.82</w:t>
            </w:r>
          </w:p>
        </w:tc>
        <w:tc>
          <w:tcPr>
            <w:tcW w:w="370" w:type="pct"/>
            <w:vMerge w:val="continue"/>
            <w:tcBorders>
              <w:tl2br w:val="nil"/>
              <w:tr2bl w:val="nil"/>
            </w:tcBorders>
            <w:noWrap w:val="0"/>
            <w:tcMar>
              <w:top w:w="12" w:type="dxa"/>
              <w:left w:w="12" w:type="dxa"/>
              <w:bottom w:w="0" w:type="dxa"/>
              <w:right w:w="12" w:type="dxa"/>
            </w:tcMar>
            <w:vAlign w:val="center"/>
          </w:tcPr>
          <w:p w14:paraId="38334A3B">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c>
          <w:tcPr>
            <w:tcW w:w="673" w:type="pct"/>
            <w:vMerge w:val="restart"/>
            <w:tcBorders>
              <w:tl2br w:val="nil"/>
              <w:tr2bl w:val="nil"/>
            </w:tcBorders>
            <w:noWrap w:val="0"/>
            <w:tcMar>
              <w:top w:w="12" w:type="dxa"/>
              <w:left w:w="12" w:type="dxa"/>
              <w:bottom w:w="0" w:type="dxa"/>
              <w:right w:w="12" w:type="dxa"/>
            </w:tcMar>
            <w:vAlign w:val="center"/>
          </w:tcPr>
          <w:p w14:paraId="7C1DBB9D">
            <w:pPr>
              <w:keepNext w:val="0"/>
              <w:keepLines w:val="0"/>
              <w:pageBreakBefore w:val="0"/>
              <w:widowControl w:val="0"/>
              <w:kinsoku/>
              <w:bidi w:val="0"/>
              <w:jc w:val="center"/>
              <w:rPr>
                <w:rFonts w:hint="default"/>
                <w:color w:val="auto"/>
                <w:highlight w:val="none"/>
                <w:lang w:val="en-US"/>
              </w:rPr>
            </w:pPr>
            <w:r>
              <w:rPr>
                <w:rFonts w:hint="eastAsia" w:cs="Times New Roman"/>
                <w:color w:val="auto"/>
                <w:szCs w:val="21"/>
                <w:highlight w:val="none"/>
                <w:lang w:val="en-US" w:eastAsia="zh-CN"/>
              </w:rPr>
              <w:t>252</w:t>
            </w:r>
          </w:p>
        </w:tc>
        <w:tc>
          <w:tcPr>
            <w:tcW w:w="531" w:type="pct"/>
            <w:vMerge w:val="restart"/>
            <w:tcBorders>
              <w:tl2br w:val="nil"/>
              <w:tr2bl w:val="nil"/>
            </w:tcBorders>
            <w:noWrap w:val="0"/>
            <w:tcMar>
              <w:top w:w="12" w:type="dxa"/>
              <w:left w:w="12" w:type="dxa"/>
              <w:bottom w:w="0" w:type="dxa"/>
              <w:right w:w="12" w:type="dxa"/>
            </w:tcMar>
            <w:vAlign w:val="center"/>
          </w:tcPr>
          <w:p w14:paraId="55808A23">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08C520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82" w:type="pct"/>
            <w:vMerge w:val="continue"/>
            <w:tcBorders>
              <w:tl2br w:val="nil"/>
              <w:tr2bl w:val="nil"/>
            </w:tcBorders>
            <w:noWrap w:val="0"/>
            <w:vAlign w:val="center"/>
          </w:tcPr>
          <w:p w14:paraId="556242A2">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c>
          <w:tcPr>
            <w:tcW w:w="565" w:type="pct"/>
            <w:vMerge w:val="continue"/>
            <w:tcBorders>
              <w:tl2br w:val="nil"/>
              <w:tr2bl w:val="nil"/>
            </w:tcBorders>
            <w:noWrap w:val="0"/>
            <w:vAlign w:val="center"/>
          </w:tcPr>
          <w:p w14:paraId="5D99BE35">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c>
          <w:tcPr>
            <w:tcW w:w="773" w:type="pct"/>
            <w:tcBorders>
              <w:tl2br w:val="nil"/>
              <w:tr2bl w:val="nil"/>
            </w:tcBorders>
            <w:noWrap w:val="0"/>
            <w:tcMar>
              <w:top w:w="12" w:type="dxa"/>
              <w:left w:w="12" w:type="dxa"/>
              <w:bottom w:w="0" w:type="dxa"/>
              <w:right w:w="12" w:type="dxa"/>
            </w:tcMar>
            <w:vAlign w:val="center"/>
          </w:tcPr>
          <w:p w14:paraId="72BB61DB">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硫化氢</w:t>
            </w:r>
          </w:p>
        </w:tc>
        <w:tc>
          <w:tcPr>
            <w:tcW w:w="726" w:type="pct"/>
            <w:tcBorders>
              <w:tl2br w:val="nil"/>
              <w:tr2bl w:val="nil"/>
            </w:tcBorders>
            <w:noWrap w:val="0"/>
            <w:tcMar>
              <w:top w:w="12" w:type="dxa"/>
              <w:left w:w="12" w:type="dxa"/>
              <w:bottom w:w="0" w:type="dxa"/>
              <w:right w:w="12" w:type="dxa"/>
            </w:tcMar>
            <w:vAlign w:val="center"/>
          </w:tcPr>
          <w:p w14:paraId="554C7B14">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lang w:val="en-US"/>
              </w:rPr>
            </w:pPr>
            <w:r>
              <w:rPr>
                <w:rFonts w:hint="eastAsia" w:cs="Times New Roman"/>
                <w:color w:val="auto"/>
                <w:szCs w:val="21"/>
                <w:highlight w:val="none"/>
                <w:lang w:val="en-US" w:eastAsia="zh-CN"/>
              </w:rPr>
              <w:t>0.42839</w:t>
            </w:r>
          </w:p>
        </w:tc>
        <w:tc>
          <w:tcPr>
            <w:tcW w:w="623" w:type="pct"/>
            <w:tcBorders>
              <w:tl2br w:val="nil"/>
              <w:tr2bl w:val="nil"/>
            </w:tcBorders>
            <w:noWrap w:val="0"/>
            <w:tcMar>
              <w:top w:w="12" w:type="dxa"/>
              <w:left w:w="12" w:type="dxa"/>
              <w:bottom w:w="0" w:type="dxa"/>
              <w:right w:w="12" w:type="dxa"/>
            </w:tcMar>
            <w:vAlign w:val="center"/>
          </w:tcPr>
          <w:p w14:paraId="039A19A8">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c>
          <w:tcPr>
            <w:tcW w:w="452" w:type="pct"/>
            <w:tcBorders>
              <w:tl2br w:val="nil"/>
              <w:tr2bl w:val="nil"/>
            </w:tcBorders>
            <w:noWrap w:val="0"/>
            <w:tcMar>
              <w:top w:w="12" w:type="dxa"/>
              <w:left w:w="12" w:type="dxa"/>
              <w:bottom w:w="0" w:type="dxa"/>
              <w:right w:w="12" w:type="dxa"/>
            </w:tcMar>
            <w:vAlign w:val="center"/>
          </w:tcPr>
          <w:p w14:paraId="5A728536">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lang w:val="en-US"/>
              </w:rPr>
            </w:pPr>
            <w:r>
              <w:rPr>
                <w:rFonts w:hint="eastAsia" w:cs="Times New Roman"/>
                <w:color w:val="auto"/>
                <w:szCs w:val="21"/>
                <w:highlight w:val="none"/>
                <w:lang w:val="en-US" w:eastAsia="zh-CN"/>
              </w:rPr>
              <w:t>0.43</w:t>
            </w:r>
          </w:p>
        </w:tc>
        <w:tc>
          <w:tcPr>
            <w:tcW w:w="370" w:type="pct"/>
            <w:vMerge w:val="continue"/>
            <w:tcBorders>
              <w:tl2br w:val="nil"/>
              <w:tr2bl w:val="nil"/>
            </w:tcBorders>
            <w:noWrap w:val="0"/>
            <w:vAlign w:val="center"/>
          </w:tcPr>
          <w:p w14:paraId="7F857034">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c>
          <w:tcPr>
            <w:tcW w:w="673" w:type="pct"/>
            <w:vMerge w:val="continue"/>
            <w:tcBorders>
              <w:tl2br w:val="nil"/>
              <w:tr2bl w:val="nil"/>
            </w:tcBorders>
            <w:noWrap w:val="0"/>
            <w:vAlign w:val="center"/>
          </w:tcPr>
          <w:p w14:paraId="29515B0C">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cs="Times New Roman"/>
                <w:color w:val="auto"/>
                <w:szCs w:val="21"/>
                <w:highlight w:val="none"/>
              </w:rPr>
            </w:pPr>
          </w:p>
        </w:tc>
        <w:tc>
          <w:tcPr>
            <w:tcW w:w="531" w:type="pct"/>
            <w:vMerge w:val="continue"/>
            <w:tcBorders>
              <w:tl2br w:val="nil"/>
              <w:tr2bl w:val="nil"/>
            </w:tcBorders>
            <w:noWrap w:val="0"/>
            <w:tcMar>
              <w:top w:w="12" w:type="dxa"/>
              <w:left w:w="12" w:type="dxa"/>
              <w:bottom w:w="0" w:type="dxa"/>
              <w:right w:w="12" w:type="dxa"/>
            </w:tcMar>
            <w:vAlign w:val="center"/>
          </w:tcPr>
          <w:p w14:paraId="72792B7E">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r>
      <w:bookmarkEnd w:id="157"/>
    </w:tbl>
    <w:p w14:paraId="0BCA5F41">
      <w:pPr>
        <w:pStyle w:val="79"/>
        <w:bidi w:val="0"/>
        <w:rPr>
          <w:color w:val="auto"/>
        </w:rPr>
      </w:pPr>
      <w:bookmarkStart w:id="158" w:name="OLE_LINK282"/>
      <w:r>
        <w:rPr>
          <w:rFonts w:hint="eastAsia"/>
          <w:color w:val="auto"/>
          <w:lang w:val="en-US" w:eastAsia="zh-CN"/>
        </w:rPr>
        <w:t>根据上表可知，</w:t>
      </w:r>
      <w:r>
        <w:rPr>
          <w:rFonts w:hint="eastAsia"/>
          <w:color w:val="auto"/>
        </w:rPr>
        <w:t>加热炉氮氧化物最大落地浓度</w:t>
      </w:r>
      <w:r>
        <w:rPr>
          <w:rFonts w:hint="eastAsia"/>
          <w:color w:val="auto"/>
          <w:lang w:val="en-US" w:eastAsia="zh-CN"/>
        </w:rPr>
        <w:t>9.94555</w:t>
      </w:r>
      <w:r>
        <w:rPr>
          <w:color w:val="auto"/>
        </w:rPr>
        <w:t>µg/m³，占标率</w:t>
      </w:r>
      <w:r>
        <w:rPr>
          <w:rFonts w:hint="eastAsia"/>
          <w:color w:val="auto"/>
          <w:lang w:val="en-US" w:eastAsia="zh-CN"/>
        </w:rPr>
        <w:t>4.97</w:t>
      </w:r>
      <w:r>
        <w:rPr>
          <w:color w:val="auto"/>
        </w:rPr>
        <w:t>%；二氧化硫最大落地浓度</w:t>
      </w:r>
      <w:r>
        <w:rPr>
          <w:rFonts w:hint="eastAsia"/>
          <w:color w:val="auto"/>
          <w:lang w:val="en-US" w:eastAsia="zh-CN"/>
        </w:rPr>
        <w:t>2.5014</w:t>
      </w:r>
      <w:r>
        <w:rPr>
          <w:color w:val="auto"/>
        </w:rPr>
        <w:t>µg/m³，占标率</w:t>
      </w:r>
      <w:r>
        <w:rPr>
          <w:rFonts w:hint="eastAsia"/>
          <w:color w:val="auto"/>
          <w:lang w:val="en-US" w:eastAsia="zh-CN"/>
        </w:rPr>
        <w:t>0.5</w:t>
      </w:r>
      <w:r>
        <w:rPr>
          <w:color w:val="auto"/>
        </w:rPr>
        <w:t>%；烟尘最大落地浓度</w:t>
      </w:r>
      <w:r>
        <w:rPr>
          <w:rFonts w:hint="eastAsia"/>
          <w:color w:val="auto"/>
          <w:lang w:val="en-US" w:eastAsia="zh-CN"/>
        </w:rPr>
        <w:t>1.346552</w:t>
      </w:r>
      <w:r>
        <w:rPr>
          <w:color w:val="auto"/>
        </w:rPr>
        <w:t>µg/m³，占标率0.</w:t>
      </w:r>
      <w:r>
        <w:rPr>
          <w:rFonts w:hint="eastAsia"/>
          <w:color w:val="auto"/>
          <w:lang w:val="en-US" w:eastAsia="zh-CN"/>
        </w:rPr>
        <w:t>3</w:t>
      </w:r>
      <w:r>
        <w:rPr>
          <w:color w:val="auto"/>
        </w:rPr>
        <w:t>%，</w:t>
      </w:r>
      <w:r>
        <w:rPr>
          <w:rFonts w:hint="eastAsia"/>
          <w:color w:val="auto"/>
          <w:lang w:val="en-US" w:eastAsia="zh-CN"/>
        </w:rPr>
        <w:t>非甲烷总烃</w:t>
      </w:r>
      <w:r>
        <w:rPr>
          <w:color w:val="auto"/>
        </w:rPr>
        <w:t>最大落地浓度</w:t>
      </w:r>
      <w:r>
        <w:rPr>
          <w:rFonts w:hint="eastAsia"/>
          <w:color w:val="auto"/>
          <w:lang w:val="en-US" w:eastAsia="zh-CN"/>
        </w:rPr>
        <w:t>0.98855</w:t>
      </w:r>
      <w:r>
        <w:rPr>
          <w:color w:val="auto"/>
        </w:rPr>
        <w:t>µg/m³，占标率0.</w:t>
      </w:r>
      <w:r>
        <w:rPr>
          <w:rFonts w:hint="eastAsia"/>
          <w:color w:val="auto"/>
          <w:lang w:val="en-US" w:eastAsia="zh-CN"/>
        </w:rPr>
        <w:t>05</w:t>
      </w:r>
      <w:r>
        <w:rPr>
          <w:color w:val="auto"/>
        </w:rPr>
        <w:t>%，最大落地浓度点位下风向</w:t>
      </w:r>
      <w:r>
        <w:rPr>
          <w:rFonts w:hint="eastAsia"/>
          <w:color w:val="auto"/>
          <w:lang w:val="en-US" w:eastAsia="zh-CN"/>
        </w:rPr>
        <w:t>94</w:t>
      </w:r>
      <w:r>
        <w:rPr>
          <w:color w:val="auto"/>
        </w:rPr>
        <w:t>m，满足《环境空气质量标准》（GB3095-2012）二级标准要求。</w:t>
      </w:r>
    </w:p>
    <w:p w14:paraId="61594AB7">
      <w:pPr>
        <w:pStyle w:val="79"/>
        <w:bidi w:val="0"/>
        <w:rPr>
          <w:rFonts w:hint="default"/>
          <w:color w:val="auto"/>
        </w:rPr>
      </w:pPr>
      <w:r>
        <w:rPr>
          <w:rFonts w:hint="default"/>
          <w:color w:val="auto"/>
        </w:rPr>
        <w:t>根据</w:t>
      </w:r>
      <w:r>
        <w:rPr>
          <w:rFonts w:hint="eastAsia"/>
          <w:color w:val="auto"/>
          <w:lang w:val="en-US" w:eastAsia="zh-CN"/>
        </w:rPr>
        <w:t>上</w:t>
      </w:r>
      <w:r>
        <w:rPr>
          <w:rFonts w:hint="default"/>
          <w:color w:val="auto"/>
        </w:rPr>
        <w:t>表可知，</w:t>
      </w:r>
      <w:r>
        <w:rPr>
          <w:rFonts w:hint="eastAsia"/>
          <w:color w:val="auto"/>
          <w:lang w:val="en-US" w:eastAsia="zh-CN"/>
        </w:rPr>
        <w:t>无组织</w:t>
      </w:r>
      <w:r>
        <w:rPr>
          <w:rFonts w:hint="default"/>
          <w:color w:val="auto"/>
        </w:rPr>
        <w:t>废气中非甲烷总烃最大落地浓度为</w:t>
      </w:r>
      <w:r>
        <w:rPr>
          <w:rFonts w:hint="eastAsia"/>
          <w:color w:val="auto"/>
          <w:lang w:val="en-US" w:eastAsia="zh-CN"/>
        </w:rPr>
        <w:t>176.46</w:t>
      </w:r>
      <w:r>
        <w:rPr>
          <w:rFonts w:hint="default"/>
          <w:color w:val="auto"/>
        </w:rPr>
        <w:t>μg/m</w:t>
      </w:r>
      <w:r>
        <w:rPr>
          <w:rFonts w:hint="default"/>
          <w:color w:val="auto"/>
          <w:vertAlign w:val="superscript"/>
        </w:rPr>
        <w:t>3</w:t>
      </w:r>
      <w:r>
        <w:rPr>
          <w:rFonts w:hint="default"/>
          <w:color w:val="auto"/>
        </w:rPr>
        <w:t>、占标率为</w:t>
      </w:r>
      <w:r>
        <w:rPr>
          <w:rFonts w:hint="eastAsia"/>
          <w:color w:val="auto"/>
          <w:lang w:val="en-US" w:eastAsia="zh-CN"/>
        </w:rPr>
        <w:t>8.82</w:t>
      </w:r>
      <w:r>
        <w:rPr>
          <w:rFonts w:hint="default"/>
          <w:color w:val="auto"/>
        </w:rPr>
        <w:t>%，最大浓度出现距离为</w:t>
      </w:r>
      <w:r>
        <w:rPr>
          <w:rFonts w:hint="eastAsia"/>
          <w:color w:val="auto"/>
          <w:lang w:val="en-US" w:eastAsia="zh-CN"/>
        </w:rPr>
        <w:t>雄探1试采点</w:t>
      </w:r>
      <w:r>
        <w:rPr>
          <w:rFonts w:hint="default"/>
          <w:color w:val="auto"/>
        </w:rPr>
        <w:t>下风向</w:t>
      </w:r>
      <w:r>
        <w:rPr>
          <w:rFonts w:hint="eastAsia"/>
          <w:color w:val="auto"/>
          <w:lang w:val="en-US" w:eastAsia="zh-CN"/>
        </w:rPr>
        <w:t>252</w:t>
      </w:r>
      <w:r>
        <w:rPr>
          <w:rFonts w:hint="default"/>
          <w:color w:val="auto"/>
        </w:rPr>
        <w:t>m处；</w:t>
      </w:r>
      <w:r>
        <w:rPr>
          <w:rFonts w:hint="eastAsia"/>
          <w:color w:val="auto"/>
          <w:lang w:val="en-US" w:eastAsia="zh-CN"/>
        </w:rPr>
        <w:t>硫化氢</w:t>
      </w:r>
      <w:r>
        <w:rPr>
          <w:rFonts w:hint="default"/>
          <w:color w:val="auto"/>
        </w:rPr>
        <w:t>最大落地浓度为0.42839μg/m</w:t>
      </w:r>
      <w:r>
        <w:rPr>
          <w:rFonts w:hint="default"/>
          <w:color w:val="auto"/>
          <w:vertAlign w:val="superscript"/>
        </w:rPr>
        <w:t>3</w:t>
      </w:r>
      <w:r>
        <w:rPr>
          <w:rFonts w:hint="default"/>
          <w:color w:val="auto"/>
        </w:rPr>
        <w:t>、占标率为</w:t>
      </w:r>
      <w:r>
        <w:rPr>
          <w:rFonts w:hint="eastAsia"/>
          <w:color w:val="auto"/>
          <w:lang w:val="en-US" w:eastAsia="zh-CN"/>
        </w:rPr>
        <w:t>0.43</w:t>
      </w:r>
      <w:r>
        <w:rPr>
          <w:rFonts w:hint="default"/>
          <w:color w:val="auto"/>
        </w:rPr>
        <w:t>%，最大浓度出现距离为</w:t>
      </w:r>
      <w:r>
        <w:rPr>
          <w:rFonts w:hint="eastAsia"/>
          <w:color w:val="auto"/>
          <w:lang w:val="en-US" w:eastAsia="zh-CN"/>
        </w:rPr>
        <w:t>雄探1试采点</w:t>
      </w:r>
      <w:r>
        <w:rPr>
          <w:rFonts w:hint="default"/>
          <w:color w:val="auto"/>
        </w:rPr>
        <w:t>下风向</w:t>
      </w:r>
      <w:r>
        <w:rPr>
          <w:rFonts w:hint="eastAsia"/>
          <w:color w:val="auto"/>
          <w:lang w:val="en-US" w:eastAsia="zh-CN"/>
        </w:rPr>
        <w:t>252</w:t>
      </w:r>
      <w:r>
        <w:rPr>
          <w:rFonts w:hint="default"/>
          <w:color w:val="auto"/>
        </w:rPr>
        <w:t>m处，D10%均未出现。</w:t>
      </w:r>
    </w:p>
    <w:bookmarkEnd w:id="156"/>
    <w:bookmarkEnd w:id="158"/>
    <w:p w14:paraId="6F55DCBD">
      <w:pPr>
        <w:pStyle w:val="79"/>
        <w:bidi w:val="0"/>
        <w:rPr>
          <w:color w:val="auto"/>
        </w:rPr>
      </w:pPr>
      <w:r>
        <w:rPr>
          <w:rFonts w:hint="eastAsia"/>
          <w:color w:val="auto"/>
        </w:rPr>
        <w:t>（2）评价范围</w:t>
      </w:r>
    </w:p>
    <w:p w14:paraId="2D8D4D48">
      <w:pPr>
        <w:pStyle w:val="79"/>
        <w:bidi w:val="0"/>
        <w:rPr>
          <w:rFonts w:hint="default"/>
          <w:color w:val="auto"/>
          <w:lang w:val="en-US" w:eastAsia="zh-CN"/>
        </w:rPr>
      </w:pPr>
      <w:r>
        <w:rPr>
          <w:rFonts w:hint="default"/>
          <w:color w:val="auto"/>
          <w:lang w:val="en-US" w:eastAsia="zh-CN"/>
        </w:rPr>
        <w:t>根据《环境影响评价技术导则</w:t>
      </w:r>
      <w:r>
        <w:rPr>
          <w:rFonts w:hint="eastAsia"/>
          <w:color w:val="auto"/>
          <w:lang w:val="en-US" w:eastAsia="zh-CN"/>
        </w:rPr>
        <w:t xml:space="preserve"> </w:t>
      </w:r>
      <w:r>
        <w:rPr>
          <w:rFonts w:hint="default"/>
          <w:color w:val="auto"/>
          <w:lang w:val="en-US" w:eastAsia="zh-CN"/>
        </w:rPr>
        <w:t>大气环境》（HJ2.2-2018）的规定，结合本工程特点，考虑</w:t>
      </w:r>
      <w:r>
        <w:rPr>
          <w:rFonts w:hint="eastAsia"/>
          <w:color w:val="auto"/>
          <w:lang w:val="en-US" w:eastAsia="zh-CN"/>
        </w:rPr>
        <w:t>油油田</w:t>
      </w:r>
      <w:r>
        <w:rPr>
          <w:rFonts w:hint="default"/>
          <w:color w:val="auto"/>
          <w:lang w:val="en-US" w:eastAsia="zh-CN"/>
        </w:rPr>
        <w:t>整体开发对大气环境的区域影响，最终确定以井场、站场为中心，边长5km的矩形区域作为大气环境评价范围。评价范围图见图2.5-1。</w:t>
      </w:r>
    </w:p>
    <w:bookmarkEnd w:id="141"/>
    <w:bookmarkEnd w:id="142"/>
    <w:bookmarkEnd w:id="149"/>
    <w:p w14:paraId="3DC47F7F">
      <w:pPr>
        <w:pStyle w:val="54"/>
        <w:bidi w:val="0"/>
        <w:rPr>
          <w:rFonts w:hint="default"/>
          <w:color w:val="auto"/>
          <w:lang w:val="en-US" w:eastAsia="zh-CN"/>
        </w:rPr>
      </w:pPr>
      <w:bookmarkStart w:id="159" w:name="_Toc17368"/>
      <w:bookmarkStart w:id="160" w:name="_Toc115978779"/>
      <w:r>
        <w:rPr>
          <w:rFonts w:hint="default"/>
          <w:color w:val="auto"/>
          <w:lang w:val="en-US" w:eastAsia="zh-CN"/>
        </w:rPr>
        <w:t>2.</w:t>
      </w:r>
      <w:r>
        <w:rPr>
          <w:rFonts w:hint="eastAsia"/>
          <w:color w:val="auto"/>
          <w:lang w:val="en-US" w:eastAsia="zh-CN"/>
        </w:rPr>
        <w:t>5</w:t>
      </w:r>
      <w:r>
        <w:rPr>
          <w:rFonts w:hint="default"/>
          <w:color w:val="auto"/>
          <w:lang w:val="en-US" w:eastAsia="zh-CN"/>
        </w:rPr>
        <w:t>.6</w:t>
      </w:r>
      <w:r>
        <w:rPr>
          <w:rFonts w:hint="eastAsia"/>
          <w:color w:val="auto"/>
          <w:lang w:val="en-US" w:eastAsia="zh-CN"/>
        </w:rPr>
        <w:t xml:space="preserve"> </w:t>
      </w:r>
      <w:r>
        <w:rPr>
          <w:rFonts w:hint="default"/>
          <w:color w:val="auto"/>
          <w:lang w:val="en-US" w:eastAsia="zh-CN"/>
        </w:rPr>
        <w:t>声环境影响评价等级和评价范围</w:t>
      </w:r>
    </w:p>
    <w:p w14:paraId="581BB885">
      <w:pPr>
        <w:pStyle w:val="79"/>
        <w:bidi w:val="0"/>
        <w:rPr>
          <w:rFonts w:hint="default"/>
          <w:color w:val="auto"/>
          <w:lang w:val="en-US" w:eastAsia="zh-CN"/>
        </w:rPr>
      </w:pPr>
      <w:r>
        <w:rPr>
          <w:rFonts w:hint="default"/>
          <w:color w:val="auto"/>
          <w:lang w:val="en-US" w:eastAsia="zh-CN"/>
        </w:rPr>
        <w:t>本工程涉及的噪声源可分为连续稳定噪声源和流动噪声源。噪声源主要包括施工期内机械噪声、生产</w:t>
      </w:r>
      <w:r>
        <w:rPr>
          <w:rFonts w:hint="eastAsia"/>
          <w:color w:val="auto"/>
          <w:lang w:val="en-US" w:eastAsia="zh-CN"/>
        </w:rPr>
        <w:t>运营期站场设备的运转噪声等</w:t>
      </w:r>
      <w:r>
        <w:rPr>
          <w:rFonts w:hint="default"/>
          <w:color w:val="auto"/>
          <w:lang w:val="en-US" w:eastAsia="zh-CN"/>
        </w:rPr>
        <w:t>。噪声源周围200m</w:t>
      </w:r>
      <w:r>
        <w:rPr>
          <w:rFonts w:hint="eastAsia"/>
          <w:color w:val="auto"/>
          <w:lang w:val="en-US" w:eastAsia="zh-CN"/>
        </w:rPr>
        <w:t>无</w:t>
      </w:r>
      <w:r>
        <w:rPr>
          <w:rFonts w:hint="default"/>
          <w:color w:val="auto"/>
          <w:lang w:val="en-US" w:eastAsia="zh-CN"/>
        </w:rPr>
        <w:t>固定集中的人群活动。</w:t>
      </w:r>
    </w:p>
    <w:p w14:paraId="7FD24D8E">
      <w:pPr>
        <w:pStyle w:val="79"/>
        <w:bidi w:val="0"/>
        <w:rPr>
          <w:rFonts w:hint="default"/>
          <w:color w:val="auto"/>
          <w:lang w:val="en-US" w:eastAsia="zh-CN"/>
        </w:rPr>
      </w:pPr>
      <w:bookmarkStart w:id="161" w:name="OLE_LINK332"/>
      <w:r>
        <w:rPr>
          <w:rFonts w:hint="default"/>
          <w:color w:val="auto"/>
          <w:lang w:val="en-US" w:eastAsia="zh-CN"/>
        </w:rPr>
        <w:t>依据《环境影响评价技术导则 声环境》（HJ2.4-2021）中的规定，</w:t>
      </w:r>
      <w:bookmarkStart w:id="162" w:name="OLE_LINK331"/>
      <w:r>
        <w:rPr>
          <w:rFonts w:hint="default"/>
          <w:color w:val="auto"/>
          <w:lang w:val="en-US" w:eastAsia="zh-CN"/>
        </w:rPr>
        <w:t>本工程声环境影响评价工作等级定为二级。</w:t>
      </w:r>
    </w:p>
    <w:bookmarkEnd w:id="161"/>
    <w:bookmarkEnd w:id="162"/>
    <w:p w14:paraId="2C035AA2">
      <w:pPr>
        <w:pStyle w:val="79"/>
        <w:bidi w:val="0"/>
        <w:rPr>
          <w:rFonts w:hint="default"/>
          <w:color w:val="auto"/>
          <w:lang w:val="en-US" w:eastAsia="zh-CN"/>
        </w:rPr>
      </w:pPr>
      <w:r>
        <w:rPr>
          <w:rFonts w:hint="default"/>
          <w:color w:val="auto"/>
          <w:lang w:val="en-US" w:eastAsia="zh-CN"/>
        </w:rPr>
        <w:t>根据《环境影响评价技术导则</w:t>
      </w:r>
      <w:r>
        <w:rPr>
          <w:rFonts w:hint="eastAsia"/>
          <w:color w:val="auto"/>
          <w:lang w:val="en-US" w:eastAsia="zh-CN"/>
        </w:rPr>
        <w:t xml:space="preserve"> </w:t>
      </w:r>
      <w:r>
        <w:rPr>
          <w:rFonts w:hint="default"/>
          <w:color w:val="auto"/>
          <w:lang w:val="en-US" w:eastAsia="zh-CN"/>
        </w:rPr>
        <w:t>声环境》（HJ2.4-2021）要求，</w:t>
      </w:r>
      <w:r>
        <w:rPr>
          <w:rFonts w:hint="eastAsia"/>
          <w:color w:val="auto"/>
          <w:lang w:val="en-US" w:eastAsia="zh-CN"/>
        </w:rPr>
        <w:t>“</w:t>
      </w:r>
      <w:r>
        <w:rPr>
          <w:rFonts w:hint="default"/>
          <w:color w:val="auto"/>
          <w:lang w:val="en-US" w:eastAsia="zh-CN"/>
        </w:rPr>
        <w:t>满足一级评价的要求，一般以建设项目边界向外200m作为评价范围；二、三级评价范围可根据建设项目所在区域和相邻区域的声环境功能区划及敏感目标等实际情况适当缩小</w:t>
      </w:r>
      <w:r>
        <w:rPr>
          <w:rFonts w:hint="eastAsia"/>
          <w:color w:val="auto"/>
          <w:lang w:val="en-US" w:eastAsia="zh-CN"/>
        </w:rPr>
        <w:t>”</w:t>
      </w:r>
      <w:r>
        <w:rPr>
          <w:rFonts w:hint="default"/>
          <w:color w:val="auto"/>
          <w:lang w:val="en-US" w:eastAsia="zh-CN"/>
        </w:rPr>
        <w:t>，根据项目特点，本次声环境评价范围为井场边界、管线两侧向外扩200m作为评价范围。</w:t>
      </w:r>
      <w:r>
        <w:rPr>
          <w:rFonts w:hint="eastAsia"/>
          <w:color w:val="auto"/>
          <w:lang w:val="en-US" w:eastAsia="zh-CN"/>
        </w:rPr>
        <w:t>评价范围图见图2.5-1。</w:t>
      </w:r>
    </w:p>
    <w:p w14:paraId="2B9AAD34">
      <w:pPr>
        <w:pStyle w:val="54"/>
        <w:bidi w:val="0"/>
        <w:rPr>
          <w:rFonts w:hint="default"/>
          <w:color w:val="auto"/>
          <w:lang w:val="en-US" w:eastAsia="zh-CN"/>
        </w:rPr>
      </w:pPr>
      <w:r>
        <w:rPr>
          <w:rFonts w:hint="default"/>
          <w:color w:val="auto"/>
          <w:lang w:val="en-US" w:eastAsia="zh-CN"/>
        </w:rPr>
        <w:t>2.</w:t>
      </w:r>
      <w:r>
        <w:rPr>
          <w:rFonts w:hint="eastAsia"/>
          <w:color w:val="auto"/>
          <w:lang w:val="en-US" w:eastAsia="zh-CN"/>
        </w:rPr>
        <w:t>5</w:t>
      </w:r>
      <w:r>
        <w:rPr>
          <w:rFonts w:hint="default"/>
          <w:color w:val="auto"/>
          <w:lang w:val="en-US" w:eastAsia="zh-CN"/>
        </w:rPr>
        <w:t>.</w:t>
      </w:r>
      <w:r>
        <w:rPr>
          <w:rFonts w:hint="eastAsia"/>
          <w:color w:val="auto"/>
          <w:lang w:val="en-US" w:eastAsia="zh-CN"/>
        </w:rPr>
        <w:t xml:space="preserve">7 </w:t>
      </w:r>
      <w:r>
        <w:rPr>
          <w:rFonts w:hint="default"/>
          <w:color w:val="auto"/>
          <w:lang w:val="en-US" w:eastAsia="zh-CN"/>
        </w:rPr>
        <w:t>环境风险评价等级和评价范围</w:t>
      </w:r>
    </w:p>
    <w:p w14:paraId="06A79CBA">
      <w:pPr>
        <w:pStyle w:val="79"/>
        <w:bidi w:val="0"/>
        <w:rPr>
          <w:rFonts w:hint="default"/>
          <w:color w:val="auto"/>
        </w:rPr>
      </w:pPr>
      <w:r>
        <w:rPr>
          <w:rFonts w:hint="default"/>
          <w:color w:val="auto"/>
        </w:rPr>
        <w:t>根据《建设项目环境风险评价技术导则》（HJ169-2018）附录B，本工程涉及的风险物质为原油、天然气（甲烷）</w:t>
      </w:r>
      <w:bookmarkStart w:id="163" w:name="OLE_LINK63"/>
      <w:r>
        <w:rPr>
          <w:rFonts w:hint="eastAsia"/>
          <w:color w:val="auto"/>
          <w:lang w:val="en-US" w:eastAsia="zh-CN"/>
        </w:rPr>
        <w:t>、</w:t>
      </w:r>
      <w:bookmarkStart w:id="164" w:name="OLE_LINK64"/>
      <w:r>
        <w:rPr>
          <w:rFonts w:hint="eastAsia"/>
          <w:color w:val="auto"/>
          <w:lang w:val="en-US" w:eastAsia="zh-CN"/>
        </w:rPr>
        <w:t>甲醇</w:t>
      </w:r>
      <w:bookmarkEnd w:id="163"/>
      <w:bookmarkEnd w:id="164"/>
      <w:r>
        <w:rPr>
          <w:rFonts w:hint="default"/>
          <w:color w:val="auto"/>
        </w:rPr>
        <w:t>，分别属于《建设项目环境风险评价技术导则》（HJ169－2018）附录B中的油类物质（矿物油类，如石油、汽油、柴油等，生物柴油等），临界量2500t；天然气（甲烷）</w:t>
      </w:r>
      <w:bookmarkStart w:id="165" w:name="OLE_LINK65"/>
      <w:r>
        <w:rPr>
          <w:rFonts w:hint="default"/>
          <w:color w:val="auto"/>
        </w:rPr>
        <w:t>临界量10</w:t>
      </w:r>
      <w:bookmarkStart w:id="166" w:name="OLE_LINK78"/>
      <w:r>
        <w:rPr>
          <w:rFonts w:hint="default"/>
          <w:color w:val="auto"/>
        </w:rPr>
        <w:t>t</w:t>
      </w:r>
      <w:bookmarkEnd w:id="165"/>
      <w:bookmarkStart w:id="167" w:name="OLE_LINK79"/>
      <w:r>
        <w:rPr>
          <w:rFonts w:hint="eastAsia"/>
          <w:color w:val="auto"/>
          <w:lang w:eastAsia="zh-CN"/>
        </w:rPr>
        <w:t>；</w:t>
      </w:r>
      <w:bookmarkEnd w:id="166"/>
      <w:bookmarkStart w:id="168" w:name="OLE_LINK66"/>
      <w:r>
        <w:rPr>
          <w:rFonts w:hint="eastAsia"/>
          <w:color w:val="auto"/>
          <w:lang w:val="en-US" w:eastAsia="zh-CN"/>
        </w:rPr>
        <w:t>甲醇</w:t>
      </w:r>
      <w:r>
        <w:rPr>
          <w:rFonts w:hint="default"/>
          <w:color w:val="auto"/>
        </w:rPr>
        <w:t>临界量10t</w:t>
      </w:r>
      <w:bookmarkEnd w:id="167"/>
      <w:bookmarkEnd w:id="168"/>
      <w:r>
        <w:rPr>
          <w:rFonts w:hint="default"/>
          <w:color w:val="auto"/>
        </w:rPr>
        <w:t>。根据《建设项目环境风险评价技术导则》（HJ169-2018），危险单元的定义为由一个或多个风险源构成的具有相对独立功能的单元，事故状况下应可实现与其他功能单元的分割。则本工程运营期风险单元为新建的集输管线。</w:t>
      </w:r>
    </w:p>
    <w:p w14:paraId="5410D590">
      <w:pPr>
        <w:pStyle w:val="79"/>
        <w:bidi w:val="0"/>
        <w:rPr>
          <w:rFonts w:hint="default"/>
          <w:color w:val="auto"/>
        </w:rPr>
      </w:pPr>
      <w:r>
        <w:rPr>
          <w:rFonts w:hint="default"/>
          <w:color w:val="auto"/>
        </w:rPr>
        <w:drawing>
          <wp:anchor distT="0" distB="0" distL="114300" distR="114300" simplePos="0" relativeHeight="251698176" behindDoc="0" locked="0" layoutInCell="1" allowOverlap="1">
            <wp:simplePos x="0" y="0"/>
            <wp:positionH relativeFrom="column">
              <wp:posOffset>1789430</wp:posOffset>
            </wp:positionH>
            <wp:positionV relativeFrom="paragraph">
              <wp:posOffset>483870</wp:posOffset>
            </wp:positionV>
            <wp:extent cx="1725930" cy="455930"/>
            <wp:effectExtent l="0" t="0" r="7620" b="1270"/>
            <wp:wrapNone/>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1"/>
                    <a:stretch>
                      <a:fillRect/>
                    </a:stretch>
                  </pic:blipFill>
                  <pic:spPr>
                    <a:xfrm>
                      <a:off x="0" y="0"/>
                      <a:ext cx="1725930" cy="455930"/>
                    </a:xfrm>
                    <a:prstGeom prst="rect">
                      <a:avLst/>
                    </a:prstGeom>
                    <a:noFill/>
                    <a:ln>
                      <a:noFill/>
                    </a:ln>
                  </pic:spPr>
                </pic:pic>
              </a:graphicData>
            </a:graphic>
          </wp:anchor>
        </w:drawing>
      </w:r>
      <w:r>
        <w:rPr>
          <w:rFonts w:hint="default"/>
          <w:color w:val="auto"/>
        </w:rPr>
        <w:t>根据HJ169-2018附录C，按下式计算本工程涉及的危险物质总量与其临界量比值（Q）：</w:t>
      </w:r>
    </w:p>
    <w:p w14:paraId="118E9502">
      <w:pPr>
        <w:pStyle w:val="79"/>
        <w:bidi w:val="0"/>
        <w:rPr>
          <w:rFonts w:hint="default"/>
          <w:color w:val="auto"/>
        </w:rPr>
      </w:pPr>
    </w:p>
    <w:p w14:paraId="11D28717">
      <w:pPr>
        <w:pStyle w:val="79"/>
        <w:bidi w:val="0"/>
        <w:rPr>
          <w:rFonts w:hint="default"/>
          <w:color w:val="auto"/>
        </w:rPr>
      </w:pPr>
      <w:r>
        <w:rPr>
          <w:rFonts w:hint="default"/>
          <w:color w:val="auto"/>
        </w:rPr>
        <w:t>根据《建设项目环境风险评价技术导则》（HJ169-2018）中的判定方法，当存在多种危险物质时，按照下式计算物质总量与其临界量比值（Q）：</w:t>
      </w:r>
    </w:p>
    <w:p w14:paraId="6FE2C7C6">
      <w:pPr>
        <w:pStyle w:val="79"/>
        <w:bidi w:val="0"/>
        <w:rPr>
          <w:rFonts w:hint="default"/>
          <w:color w:val="auto"/>
        </w:rPr>
      </w:pPr>
      <w:r>
        <w:rPr>
          <w:rFonts w:hint="default"/>
          <w:color w:val="auto"/>
        </w:rPr>
        <w:t>式中：q</w:t>
      </w:r>
      <w:r>
        <w:rPr>
          <w:rFonts w:hint="default"/>
          <w:color w:val="auto"/>
          <w:vertAlign w:val="subscript"/>
        </w:rPr>
        <w:t>1</w:t>
      </w:r>
      <w:r>
        <w:rPr>
          <w:rFonts w:hint="default"/>
          <w:color w:val="auto"/>
        </w:rPr>
        <w:t>，q</w:t>
      </w:r>
      <w:r>
        <w:rPr>
          <w:rFonts w:hint="default"/>
          <w:color w:val="auto"/>
          <w:vertAlign w:val="subscript"/>
        </w:rPr>
        <w:t>2</w:t>
      </w:r>
      <w:r>
        <w:rPr>
          <w:rFonts w:hint="default"/>
          <w:color w:val="auto"/>
        </w:rPr>
        <w:t>，···，q</w:t>
      </w:r>
      <w:r>
        <w:rPr>
          <w:rFonts w:hint="default"/>
          <w:color w:val="auto"/>
          <w:vertAlign w:val="subscript"/>
        </w:rPr>
        <w:t>n</w:t>
      </w:r>
      <w:r>
        <w:rPr>
          <w:rFonts w:hint="default"/>
          <w:color w:val="auto"/>
        </w:rPr>
        <w:t>--每种危险物质的最大存在总量，t；</w:t>
      </w:r>
    </w:p>
    <w:p w14:paraId="5D89694D">
      <w:pPr>
        <w:pStyle w:val="79"/>
        <w:bidi w:val="0"/>
        <w:rPr>
          <w:rFonts w:hint="default"/>
          <w:color w:val="auto"/>
        </w:rPr>
      </w:pPr>
      <w:r>
        <w:rPr>
          <w:rFonts w:hint="default"/>
          <w:color w:val="auto"/>
        </w:rPr>
        <w:t>Q1，Q2，···，Qn--每种危险物质的临界量，t；</w:t>
      </w:r>
    </w:p>
    <w:p w14:paraId="0B94350A">
      <w:pPr>
        <w:pStyle w:val="79"/>
        <w:bidi w:val="0"/>
        <w:rPr>
          <w:rFonts w:hint="default"/>
          <w:color w:val="auto"/>
        </w:rPr>
      </w:pPr>
      <w:r>
        <w:rPr>
          <w:rFonts w:hint="default"/>
          <w:color w:val="auto"/>
        </w:rPr>
        <w:t>当Q&lt;1时，该项目环境风险潜势为I；</w:t>
      </w:r>
    </w:p>
    <w:p w14:paraId="71D5DCCA">
      <w:pPr>
        <w:pStyle w:val="79"/>
        <w:bidi w:val="0"/>
        <w:rPr>
          <w:rFonts w:hint="default"/>
          <w:color w:val="auto"/>
        </w:rPr>
      </w:pPr>
      <w:r>
        <w:rPr>
          <w:rFonts w:hint="default"/>
          <w:color w:val="auto"/>
        </w:rPr>
        <w:t>当Q≥1时，将Q值划分为：（1）1≤Q&lt;10；（2）10≤Q&lt;100；（3）Q≥100。</w:t>
      </w:r>
    </w:p>
    <w:p w14:paraId="5B3861C8">
      <w:pPr>
        <w:pStyle w:val="79"/>
        <w:bidi w:val="0"/>
        <w:rPr>
          <w:rFonts w:hint="eastAsia"/>
          <w:color w:val="auto"/>
          <w:lang w:eastAsia="zh-CN"/>
        </w:rPr>
      </w:pPr>
      <w:r>
        <w:rPr>
          <w:rFonts w:hint="default"/>
          <w:color w:val="auto"/>
          <w:lang w:val="en-US" w:eastAsia="zh-CN"/>
        </w:rPr>
        <w:t>本工程新建单井</w:t>
      </w:r>
      <w:r>
        <w:rPr>
          <w:rFonts w:hint="eastAsia"/>
          <w:color w:val="auto"/>
          <w:lang w:val="en-US" w:eastAsia="zh-CN"/>
        </w:rPr>
        <w:t>集输</w:t>
      </w:r>
      <w:r>
        <w:rPr>
          <w:rFonts w:hint="default"/>
          <w:color w:val="auto"/>
          <w:lang w:val="en-US" w:eastAsia="zh-CN"/>
        </w:rPr>
        <w:t>管线</w:t>
      </w:r>
      <w:r>
        <w:rPr>
          <w:rFonts w:hint="eastAsia"/>
          <w:color w:val="auto"/>
          <w:lang w:val="en-US" w:eastAsia="zh-CN"/>
        </w:rPr>
        <w:t>24.7</w:t>
      </w:r>
      <w:r>
        <w:rPr>
          <w:rFonts w:hint="default"/>
          <w:color w:val="auto"/>
          <w:lang w:val="en-US" w:eastAsia="zh-CN"/>
        </w:rPr>
        <w:t>km</w:t>
      </w:r>
      <w:r>
        <w:rPr>
          <w:rFonts w:hint="default"/>
          <w:color w:val="auto"/>
        </w:rPr>
        <w:t>。各站场和开发井均有控制（截断）阀，发生泄漏时，可通过控制（截断）阀进行紧急切断。原油密度按照0.</w:t>
      </w:r>
      <w:r>
        <w:rPr>
          <w:rFonts w:hint="eastAsia"/>
          <w:color w:val="auto"/>
          <w:lang w:val="en-US" w:eastAsia="zh-CN"/>
        </w:rPr>
        <w:t>8059</w:t>
      </w:r>
      <w:r>
        <w:rPr>
          <w:rFonts w:hint="default"/>
          <w:color w:val="auto"/>
        </w:rPr>
        <w:t>t/m³、天然气平均相对密度0.</w:t>
      </w:r>
      <w:r>
        <w:rPr>
          <w:rFonts w:hint="eastAsia"/>
          <w:color w:val="auto"/>
          <w:lang w:val="en-US" w:eastAsia="zh-CN"/>
        </w:rPr>
        <w:t>8828</w:t>
      </w:r>
      <w:r>
        <w:rPr>
          <w:rFonts w:hint="default"/>
          <w:color w:val="auto"/>
        </w:rPr>
        <w:t>kg/m³，天然气中硫化氢平均含量约</w:t>
      </w:r>
      <w:r>
        <w:rPr>
          <w:rFonts w:hint="eastAsia"/>
          <w:color w:val="auto"/>
          <w:lang w:val="en-US" w:eastAsia="zh-CN"/>
        </w:rPr>
        <w:t>3200</w:t>
      </w:r>
      <w:r>
        <w:rPr>
          <w:rFonts w:hint="default"/>
          <w:color w:val="auto"/>
        </w:rPr>
        <w:t>mg/m</w:t>
      </w:r>
      <w:r>
        <w:rPr>
          <w:rFonts w:hint="default"/>
          <w:color w:val="auto"/>
          <w:vertAlign w:val="superscript"/>
        </w:rPr>
        <w:t>3</w:t>
      </w:r>
      <w:r>
        <w:rPr>
          <w:rFonts w:hint="eastAsia"/>
          <w:color w:val="auto"/>
          <w:lang w:eastAsia="zh-CN"/>
        </w:rPr>
        <w:t>。</w:t>
      </w:r>
      <w:bookmarkStart w:id="169" w:name="OLE_LINK61"/>
      <w:bookmarkStart w:id="170" w:name="OLE_LINK60"/>
    </w:p>
    <w:p w14:paraId="05C739E3">
      <w:pPr>
        <w:pStyle w:val="79"/>
        <w:bidi w:val="0"/>
        <w:rPr>
          <w:rFonts w:hint="default"/>
          <w:color w:val="auto"/>
          <w:lang w:val="en-US" w:eastAsia="zh-CN"/>
        </w:rPr>
      </w:pPr>
      <w:bookmarkStart w:id="171" w:name="OLE_LINK80"/>
      <w:bookmarkStart w:id="172" w:name="OLE_LINK75"/>
      <w:r>
        <w:rPr>
          <w:rFonts w:hint="eastAsia"/>
          <w:color w:val="auto"/>
          <w:lang w:val="en-US" w:eastAsia="zh-CN"/>
        </w:rPr>
        <w:t>本工程拟建</w:t>
      </w:r>
      <w:bookmarkStart w:id="173" w:name="OLE_LINK73"/>
      <w:r>
        <w:rPr>
          <w:rFonts w:hint="eastAsia"/>
          <w:color w:val="auto"/>
          <w:lang w:val="en-US" w:eastAsia="zh-CN"/>
        </w:rPr>
        <w:t>雄探1试采点外输单元建设1座甲醇加注撬（25L/h ，16MPa，3m</w:t>
      </w:r>
      <w:bookmarkStart w:id="174" w:name="OLE_LINK69"/>
      <w:r>
        <w:rPr>
          <w:rFonts w:hint="eastAsia"/>
          <w:color w:val="auto"/>
          <w:vertAlign w:val="superscript"/>
          <w:lang w:val="en-US" w:eastAsia="zh-CN"/>
        </w:rPr>
        <w:t>3</w:t>
      </w:r>
      <w:bookmarkEnd w:id="174"/>
      <w:r>
        <w:rPr>
          <w:rFonts w:hint="eastAsia"/>
          <w:color w:val="auto"/>
          <w:lang w:val="en-US" w:eastAsia="zh-CN"/>
        </w:rPr>
        <w:t>），甲</w:t>
      </w:r>
      <w:bookmarkStart w:id="175" w:name="OLE_LINK58"/>
      <w:r>
        <w:rPr>
          <w:rFonts w:hint="eastAsia"/>
          <w:color w:val="auto"/>
          <w:lang w:val="en-US" w:eastAsia="zh-CN"/>
        </w:rPr>
        <w:t>醇密度778.6kg/m</w:t>
      </w:r>
      <w:bookmarkStart w:id="176" w:name="OLE_LINK71"/>
      <w:r>
        <w:rPr>
          <w:rFonts w:hint="eastAsia"/>
          <w:color w:val="auto"/>
          <w:vertAlign w:val="superscript"/>
          <w:lang w:val="en-US" w:eastAsia="zh-CN"/>
        </w:rPr>
        <w:t>3</w:t>
      </w:r>
      <w:bookmarkEnd w:id="176"/>
      <w:r>
        <w:rPr>
          <w:rFonts w:hint="eastAsia"/>
          <w:color w:val="auto"/>
          <w:lang w:val="en-US" w:eastAsia="zh-CN"/>
        </w:rPr>
        <w:t>，间歇运行</w:t>
      </w:r>
      <w:bookmarkEnd w:id="173"/>
      <w:r>
        <w:rPr>
          <w:rFonts w:hint="eastAsia"/>
          <w:color w:val="auto"/>
          <w:lang w:val="en-US" w:eastAsia="zh-CN"/>
        </w:rPr>
        <w:t>。</w:t>
      </w:r>
      <w:bookmarkEnd w:id="169"/>
      <w:bookmarkEnd w:id="171"/>
    </w:p>
    <w:bookmarkEnd w:id="170"/>
    <w:bookmarkEnd w:id="172"/>
    <w:bookmarkEnd w:id="175"/>
    <w:p w14:paraId="1F87AE7D">
      <w:pPr>
        <w:pStyle w:val="79"/>
        <w:bidi w:val="0"/>
        <w:rPr>
          <w:rFonts w:hint="default"/>
          <w:color w:val="auto"/>
        </w:rPr>
      </w:pPr>
      <w:r>
        <w:rPr>
          <w:rFonts w:hint="default"/>
          <w:color w:val="auto"/>
        </w:rPr>
        <w:t>根据克拉伯龙方程，计算管道带压运行状态下的气体质量：</w:t>
      </w:r>
    </w:p>
    <w:p w14:paraId="310881F0">
      <w:pPr>
        <w:pStyle w:val="79"/>
        <w:bidi w:val="0"/>
        <w:ind w:left="0" w:leftChars="0" w:firstLine="0" w:firstLineChars="0"/>
        <w:jc w:val="center"/>
        <w:rPr>
          <w:rFonts w:hint="default"/>
          <w:color w:val="auto"/>
        </w:rPr>
      </w:pPr>
      <w:r>
        <w:rPr>
          <w:rFonts w:hint="default"/>
          <w:color w:val="auto"/>
        </w:rPr>
        <w:t>pV=nRT</w:t>
      </w:r>
    </w:p>
    <w:p w14:paraId="58B507BF">
      <w:pPr>
        <w:pStyle w:val="79"/>
        <w:bidi w:val="0"/>
        <w:rPr>
          <w:rFonts w:hint="default"/>
          <w:color w:val="auto"/>
        </w:rPr>
      </w:pPr>
      <w:r>
        <w:rPr>
          <w:rFonts w:hint="default"/>
          <w:color w:val="auto"/>
        </w:rPr>
        <w:t>p：气体压强，标况压强0.101325M</w:t>
      </w:r>
      <w:r>
        <w:rPr>
          <w:rFonts w:hint="eastAsia"/>
          <w:color w:val="auto"/>
          <w:lang w:val="en-US" w:eastAsia="zh-CN"/>
        </w:rPr>
        <w:t>P</w:t>
      </w:r>
      <w:r>
        <w:rPr>
          <w:rFonts w:hint="default"/>
          <w:color w:val="auto"/>
        </w:rPr>
        <w:t>a，管线压力</w:t>
      </w:r>
      <w:r>
        <w:rPr>
          <w:rFonts w:hint="eastAsia"/>
          <w:color w:val="auto"/>
          <w:lang w:val="en-US" w:eastAsia="zh-CN"/>
        </w:rPr>
        <w:t>3</w:t>
      </w:r>
      <w:r>
        <w:rPr>
          <w:rFonts w:hint="default"/>
          <w:color w:val="auto"/>
        </w:rPr>
        <w:t>.</w:t>
      </w:r>
      <w:r>
        <w:rPr>
          <w:rFonts w:hint="eastAsia"/>
          <w:color w:val="auto"/>
          <w:lang w:val="en-US" w:eastAsia="zh-CN"/>
        </w:rPr>
        <w:t>5</w:t>
      </w:r>
      <w:r>
        <w:rPr>
          <w:rFonts w:hint="default"/>
          <w:color w:val="auto"/>
        </w:rPr>
        <w:t>M</w:t>
      </w:r>
      <w:r>
        <w:rPr>
          <w:rFonts w:hint="eastAsia"/>
          <w:color w:val="auto"/>
          <w:lang w:val="en-US" w:eastAsia="zh-CN"/>
        </w:rPr>
        <w:t>P</w:t>
      </w:r>
      <w:r>
        <w:rPr>
          <w:rFonts w:hint="default"/>
          <w:color w:val="auto"/>
        </w:rPr>
        <w:t>a；</w:t>
      </w:r>
    </w:p>
    <w:p w14:paraId="019F5DA9">
      <w:pPr>
        <w:pStyle w:val="79"/>
        <w:bidi w:val="0"/>
        <w:rPr>
          <w:rFonts w:hint="default"/>
          <w:color w:val="auto"/>
        </w:rPr>
      </w:pPr>
      <w:r>
        <w:rPr>
          <w:rFonts w:hint="default"/>
          <w:color w:val="auto"/>
        </w:rPr>
        <w:t>V：气体体积，管道体积；</w:t>
      </w:r>
    </w:p>
    <w:p w14:paraId="51DE996C">
      <w:pPr>
        <w:pStyle w:val="79"/>
        <w:bidi w:val="0"/>
        <w:rPr>
          <w:rFonts w:hint="default"/>
          <w:color w:val="auto"/>
        </w:rPr>
      </w:pPr>
      <w:r>
        <w:rPr>
          <w:rFonts w:hint="default"/>
          <w:color w:val="auto"/>
        </w:rPr>
        <w:t>n：气体的物质的量，单位mol；</w:t>
      </w:r>
    </w:p>
    <w:p w14:paraId="22AC853D">
      <w:pPr>
        <w:pStyle w:val="79"/>
        <w:bidi w:val="0"/>
        <w:rPr>
          <w:rFonts w:hint="default"/>
          <w:color w:val="auto"/>
        </w:rPr>
      </w:pPr>
      <w:r>
        <w:rPr>
          <w:rFonts w:hint="default"/>
          <w:color w:val="auto"/>
        </w:rPr>
        <w:t>T：绝对温度，293.15K；</w:t>
      </w:r>
    </w:p>
    <w:p w14:paraId="626C2297">
      <w:pPr>
        <w:pStyle w:val="79"/>
        <w:bidi w:val="0"/>
        <w:rPr>
          <w:rFonts w:hint="default"/>
          <w:color w:val="auto"/>
        </w:rPr>
      </w:pPr>
      <w:r>
        <w:rPr>
          <w:rFonts w:hint="default"/>
          <w:color w:val="auto"/>
        </w:rPr>
        <w:t>R：气体常数。</w:t>
      </w:r>
    </w:p>
    <w:p w14:paraId="754FAA7D">
      <w:pPr>
        <w:pStyle w:val="79"/>
        <w:bidi w:val="0"/>
        <w:rPr>
          <w:rFonts w:hint="default"/>
          <w:color w:val="auto"/>
        </w:rPr>
      </w:pPr>
      <w:bookmarkStart w:id="177" w:name="OLE_LINK62"/>
      <w:r>
        <w:rPr>
          <w:rFonts w:hint="default"/>
          <w:color w:val="auto"/>
        </w:rPr>
        <w:t>各管线原油、天然气（甲烷）、硫化氢最大在线量计算见表2.5-</w:t>
      </w:r>
      <w:r>
        <w:rPr>
          <w:rFonts w:hint="eastAsia"/>
          <w:color w:val="auto"/>
          <w:lang w:val="en-US" w:eastAsia="zh-CN"/>
        </w:rPr>
        <w:t>12</w:t>
      </w:r>
      <w:r>
        <w:rPr>
          <w:rFonts w:hint="default"/>
          <w:color w:val="auto"/>
        </w:rPr>
        <w:t>。</w:t>
      </w:r>
    </w:p>
    <w:bookmarkEnd w:id="177"/>
    <w:p w14:paraId="447A67CF">
      <w:pPr>
        <w:pStyle w:val="61"/>
        <w:bidi w:val="0"/>
        <w:jc w:val="both"/>
        <w:rPr>
          <w:rFonts w:hint="eastAsia"/>
          <w:color w:val="auto"/>
          <w:lang w:val="en-US" w:eastAsia="zh-CN"/>
        </w:rPr>
      </w:pPr>
      <w:r>
        <w:rPr>
          <w:rFonts w:hint="eastAsia"/>
          <w:color w:val="auto"/>
          <w:lang w:val="en-US" w:eastAsia="zh-CN"/>
        </w:rPr>
        <w:t>表2.5-12 本工程运营期危险物质最大在线量核算表</w:t>
      </w:r>
    </w:p>
    <w:tbl>
      <w:tblPr>
        <w:tblStyle w:val="36"/>
        <w:tblW w:w="5134" w:type="pct"/>
        <w:tblInd w:w="-113"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0" w:type="dxa"/>
          <w:bottom w:w="57" w:type="dxa"/>
          <w:right w:w="0" w:type="dxa"/>
        </w:tblCellMar>
      </w:tblPr>
      <w:tblGrid>
        <w:gridCol w:w="425"/>
        <w:gridCol w:w="1619"/>
        <w:gridCol w:w="1263"/>
        <w:gridCol w:w="786"/>
        <w:gridCol w:w="577"/>
        <w:gridCol w:w="620"/>
        <w:gridCol w:w="944"/>
        <w:gridCol w:w="853"/>
        <w:gridCol w:w="915"/>
        <w:gridCol w:w="877"/>
      </w:tblGrid>
      <w:tr w14:paraId="570E80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0" w:type="dxa"/>
            <w:bottom w:w="57" w:type="dxa"/>
            <w:right w:w="0" w:type="dxa"/>
          </w:tblCellMar>
        </w:tblPrEx>
        <w:trPr>
          <w:trHeight w:val="113" w:hRule="atLeast"/>
          <w:tblHeader/>
        </w:trPr>
        <w:tc>
          <w:tcPr>
            <w:tcW w:w="239" w:type="pct"/>
            <w:tcBorders>
              <w:tl2br w:val="nil"/>
              <w:tr2bl w:val="nil"/>
            </w:tcBorders>
            <w:noWrap/>
            <w:vAlign w:val="center"/>
          </w:tcPr>
          <w:p w14:paraId="2566F461">
            <w:pPr>
              <w:keepNext w:val="0"/>
              <w:keepLines w:val="0"/>
              <w:pageBreakBefore w:val="0"/>
              <w:widowControl w:val="0"/>
              <w:kinsoku/>
              <w:bidi w:val="0"/>
              <w:adjustRightInd/>
              <w:snapToGrid/>
              <w:jc w:val="center"/>
              <w:textAlignment w:val="auto"/>
              <w:rPr>
                <w:rFonts w:hint="default" w:ascii="Times New Roman" w:hAnsi="Times New Roman" w:eastAsia="宋体" w:cs="Times New Roman"/>
                <w:color w:val="auto"/>
                <w:highlight w:val="none"/>
              </w:rPr>
            </w:pPr>
            <w:bookmarkStart w:id="178" w:name="OLE_LINK74"/>
            <w:r>
              <w:rPr>
                <w:rFonts w:hint="default" w:ascii="Times New Roman" w:hAnsi="Times New Roman" w:eastAsia="宋体" w:cs="Times New Roman"/>
                <w:color w:val="auto"/>
                <w:highlight w:val="none"/>
              </w:rPr>
              <w:t>序号</w:t>
            </w:r>
          </w:p>
        </w:tc>
        <w:tc>
          <w:tcPr>
            <w:tcW w:w="911" w:type="pct"/>
            <w:tcBorders>
              <w:tl2br w:val="nil"/>
              <w:tr2bl w:val="nil"/>
            </w:tcBorders>
            <w:noWrap/>
            <w:vAlign w:val="center"/>
          </w:tcPr>
          <w:p w14:paraId="780EAB73">
            <w:pPr>
              <w:keepNext w:val="0"/>
              <w:keepLines w:val="0"/>
              <w:pageBreakBefore w:val="0"/>
              <w:widowControl w:val="0"/>
              <w:kinsoku/>
              <w:bidi w:val="0"/>
              <w:adjustRightInd/>
              <w:snapToGrid/>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管道名称</w:t>
            </w:r>
          </w:p>
        </w:tc>
        <w:tc>
          <w:tcPr>
            <w:tcW w:w="711" w:type="pct"/>
            <w:tcBorders>
              <w:tl2br w:val="nil"/>
              <w:tr2bl w:val="nil"/>
            </w:tcBorders>
            <w:noWrap/>
            <w:vAlign w:val="center"/>
          </w:tcPr>
          <w:p w14:paraId="6618285F">
            <w:pPr>
              <w:keepNext w:val="0"/>
              <w:keepLines w:val="0"/>
              <w:pageBreakBefore w:val="0"/>
              <w:widowControl w:val="0"/>
              <w:kinsoku/>
              <w:bidi w:val="0"/>
              <w:adjustRightInd/>
              <w:snapToGrid/>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起点</w:t>
            </w:r>
          </w:p>
        </w:tc>
        <w:tc>
          <w:tcPr>
            <w:tcW w:w="442" w:type="pct"/>
            <w:tcBorders>
              <w:tl2br w:val="nil"/>
              <w:tr2bl w:val="nil"/>
            </w:tcBorders>
            <w:noWrap/>
            <w:vAlign w:val="center"/>
          </w:tcPr>
          <w:p w14:paraId="2ECEB897">
            <w:pPr>
              <w:keepNext w:val="0"/>
              <w:keepLines w:val="0"/>
              <w:pageBreakBefore w:val="0"/>
              <w:widowControl w:val="0"/>
              <w:kinsoku/>
              <w:bidi w:val="0"/>
              <w:adjustRightInd/>
              <w:snapToGrid/>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终点</w:t>
            </w:r>
          </w:p>
        </w:tc>
        <w:tc>
          <w:tcPr>
            <w:tcW w:w="324" w:type="pct"/>
            <w:tcBorders>
              <w:tl2br w:val="nil"/>
              <w:tr2bl w:val="nil"/>
            </w:tcBorders>
            <w:noWrap/>
            <w:vAlign w:val="center"/>
          </w:tcPr>
          <w:p w14:paraId="6AA6ED90">
            <w:pPr>
              <w:keepNext w:val="0"/>
              <w:keepLines w:val="0"/>
              <w:pageBreakBefore w:val="0"/>
              <w:widowControl w:val="0"/>
              <w:kinsoku/>
              <w:bidi w:val="0"/>
              <w:adjustRightInd/>
              <w:snapToGrid/>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长度km</w:t>
            </w:r>
          </w:p>
        </w:tc>
        <w:tc>
          <w:tcPr>
            <w:tcW w:w="349" w:type="pct"/>
            <w:tcBorders>
              <w:tl2br w:val="nil"/>
              <w:tr2bl w:val="nil"/>
            </w:tcBorders>
            <w:noWrap/>
            <w:vAlign w:val="center"/>
          </w:tcPr>
          <w:p w14:paraId="00AB7F0C">
            <w:pPr>
              <w:keepNext w:val="0"/>
              <w:keepLines w:val="0"/>
              <w:pageBreakBefore w:val="0"/>
              <w:widowControl w:val="0"/>
              <w:kinsoku/>
              <w:bidi w:val="0"/>
              <w:adjustRightInd/>
              <w:snapToGrid/>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管径mm</w:t>
            </w:r>
          </w:p>
        </w:tc>
        <w:tc>
          <w:tcPr>
            <w:tcW w:w="531" w:type="pct"/>
            <w:tcBorders>
              <w:tl2br w:val="nil"/>
              <w:tr2bl w:val="nil"/>
            </w:tcBorders>
            <w:noWrap w:val="0"/>
            <w:vAlign w:val="center"/>
          </w:tcPr>
          <w:p w14:paraId="7A12D3C3">
            <w:pPr>
              <w:keepNext w:val="0"/>
              <w:keepLines w:val="0"/>
              <w:pageBreakBefore w:val="0"/>
              <w:widowControl w:val="0"/>
              <w:kinsoku/>
              <w:bidi w:val="0"/>
              <w:adjustRightInd/>
              <w:snapToGrid/>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压力</w:t>
            </w:r>
            <w:r>
              <w:rPr>
                <w:rFonts w:hint="default" w:ascii="Times New Roman" w:hAnsi="Times New Roman" w:eastAsia="宋体" w:cs="Times New Roman"/>
                <w:color w:val="auto"/>
                <w:szCs w:val="21"/>
                <w:highlight w:val="none"/>
              </w:rPr>
              <w:t>MPa</w:t>
            </w:r>
          </w:p>
        </w:tc>
        <w:tc>
          <w:tcPr>
            <w:tcW w:w="480" w:type="pct"/>
            <w:tcBorders>
              <w:tl2br w:val="nil"/>
              <w:tr2bl w:val="nil"/>
            </w:tcBorders>
            <w:noWrap w:val="0"/>
            <w:vAlign w:val="center"/>
          </w:tcPr>
          <w:p w14:paraId="6D4FB164">
            <w:pPr>
              <w:keepNext w:val="0"/>
              <w:keepLines w:val="0"/>
              <w:pageBreakBefore w:val="0"/>
              <w:widowControl w:val="0"/>
              <w:kinsoku/>
              <w:bidi w:val="0"/>
              <w:adjustRightInd/>
              <w:snapToGrid/>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原油</w:t>
            </w:r>
            <w:r>
              <w:rPr>
                <w:rFonts w:hint="default" w:ascii="Times New Roman" w:hAnsi="Times New Roman" w:eastAsia="宋体" w:cs="Times New Roman"/>
                <w:color w:val="auto"/>
                <w:highlight w:val="none"/>
              </w:rPr>
              <w:t>最大在线量t</w:t>
            </w:r>
          </w:p>
        </w:tc>
        <w:tc>
          <w:tcPr>
            <w:tcW w:w="515" w:type="pct"/>
            <w:tcBorders>
              <w:tl2br w:val="nil"/>
              <w:tr2bl w:val="nil"/>
            </w:tcBorders>
            <w:noWrap/>
            <w:vAlign w:val="center"/>
          </w:tcPr>
          <w:p w14:paraId="519177E5">
            <w:pPr>
              <w:keepNext w:val="0"/>
              <w:keepLines w:val="0"/>
              <w:pageBreakBefore w:val="0"/>
              <w:widowControl w:val="0"/>
              <w:kinsoku/>
              <w:bidi w:val="0"/>
              <w:adjustRightInd/>
              <w:snapToGrid/>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天然气最大在线量t</w:t>
            </w:r>
          </w:p>
        </w:tc>
        <w:tc>
          <w:tcPr>
            <w:tcW w:w="493" w:type="pct"/>
            <w:tcBorders>
              <w:tl2br w:val="nil"/>
              <w:tr2bl w:val="nil"/>
            </w:tcBorders>
            <w:noWrap/>
            <w:vAlign w:val="center"/>
          </w:tcPr>
          <w:p w14:paraId="75D767DA">
            <w:pPr>
              <w:keepNext w:val="0"/>
              <w:keepLines w:val="0"/>
              <w:pageBreakBefore w:val="0"/>
              <w:widowControl w:val="0"/>
              <w:kinsoku/>
              <w:bidi w:val="0"/>
              <w:adjustRightInd/>
              <w:snapToGrid/>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S最大在线量t</w:t>
            </w:r>
          </w:p>
        </w:tc>
      </w:tr>
      <w:tr w14:paraId="07B0E8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0" w:type="dxa"/>
            <w:bottom w:w="57" w:type="dxa"/>
            <w:right w:w="0" w:type="dxa"/>
          </w:tblCellMar>
        </w:tblPrEx>
        <w:trPr>
          <w:trHeight w:val="113" w:hRule="atLeast"/>
        </w:trPr>
        <w:tc>
          <w:tcPr>
            <w:tcW w:w="239" w:type="pct"/>
            <w:tcBorders>
              <w:tl2br w:val="nil"/>
              <w:tr2bl w:val="nil"/>
            </w:tcBorders>
            <w:noWrap/>
            <w:vAlign w:val="center"/>
          </w:tcPr>
          <w:p w14:paraId="3C9506F8">
            <w:pPr>
              <w:keepNext w:val="0"/>
              <w:keepLines w:val="0"/>
              <w:pageBreakBefore w:val="0"/>
              <w:widowControl w:val="0"/>
              <w:kinsoku/>
              <w:bidi w:val="0"/>
              <w:adjustRightInd/>
              <w:snapToGrid/>
              <w:jc w:val="center"/>
              <w:textAlignment w:val="auto"/>
              <w:rPr>
                <w:rFonts w:hint="default" w:ascii="Times New Roman" w:hAnsi="Times New Roman" w:eastAsia="宋体" w:cs="Times New Roman"/>
                <w:color w:val="auto"/>
                <w:kern w:val="2"/>
                <w:sz w:val="21"/>
                <w:highlight w:val="none"/>
                <w:lang w:val="en-US" w:eastAsia="zh-CN" w:bidi="ar-SA"/>
              </w:rPr>
            </w:pPr>
            <w:r>
              <w:rPr>
                <w:rFonts w:hint="eastAsia" w:cs="Times New Roman"/>
                <w:color w:val="auto"/>
                <w:kern w:val="2"/>
                <w:sz w:val="21"/>
                <w:highlight w:val="none"/>
                <w:lang w:val="en-US" w:eastAsia="zh-CN" w:bidi="ar-SA"/>
              </w:rPr>
              <w:t>1</w:t>
            </w:r>
          </w:p>
        </w:tc>
        <w:tc>
          <w:tcPr>
            <w:tcW w:w="911" w:type="pct"/>
            <w:tcBorders>
              <w:tl2br w:val="nil"/>
              <w:tr2bl w:val="nil"/>
            </w:tcBorders>
            <w:noWrap/>
            <w:vAlign w:val="center"/>
          </w:tcPr>
          <w:p w14:paraId="7BB747D0">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雄英101</w:t>
            </w:r>
            <w:r>
              <w:rPr>
                <w:rFonts w:hint="default" w:ascii="Times New Roman" w:hAnsi="Times New Roman" w:eastAsia="宋体" w:cs="Times New Roman"/>
                <w:color w:val="auto"/>
                <w:szCs w:val="21"/>
                <w:highlight w:val="none"/>
                <w:lang w:val="en-US" w:eastAsia="zh-CN"/>
              </w:rPr>
              <w:t>井</w:t>
            </w:r>
          </w:p>
          <w:p w14:paraId="74EEB788">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单井管线</w:t>
            </w:r>
          </w:p>
        </w:tc>
        <w:tc>
          <w:tcPr>
            <w:tcW w:w="711" w:type="pct"/>
            <w:tcBorders>
              <w:tl2br w:val="nil"/>
              <w:tr2bl w:val="nil"/>
            </w:tcBorders>
            <w:noWrap/>
            <w:vAlign w:val="center"/>
          </w:tcPr>
          <w:p w14:paraId="1F269AD4">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雄英101</w:t>
            </w:r>
            <w:r>
              <w:rPr>
                <w:rFonts w:hint="default" w:ascii="Times New Roman" w:hAnsi="Times New Roman" w:eastAsia="宋体" w:cs="Times New Roman"/>
                <w:color w:val="auto"/>
                <w:szCs w:val="21"/>
                <w:highlight w:val="none"/>
                <w:lang w:val="en-US" w:eastAsia="zh-CN"/>
              </w:rPr>
              <w:t>井</w:t>
            </w:r>
          </w:p>
        </w:tc>
        <w:tc>
          <w:tcPr>
            <w:tcW w:w="442" w:type="pct"/>
            <w:vMerge w:val="restart"/>
            <w:tcBorders>
              <w:tl2br w:val="nil"/>
              <w:tr2bl w:val="nil"/>
            </w:tcBorders>
            <w:noWrap/>
            <w:vAlign w:val="center"/>
          </w:tcPr>
          <w:p w14:paraId="0F9D054E">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雄探1试采点</w:t>
            </w:r>
          </w:p>
        </w:tc>
        <w:tc>
          <w:tcPr>
            <w:tcW w:w="324" w:type="pct"/>
            <w:tcBorders>
              <w:tl2br w:val="nil"/>
              <w:tr2bl w:val="nil"/>
            </w:tcBorders>
            <w:noWrap/>
            <w:vAlign w:val="center"/>
          </w:tcPr>
          <w:p w14:paraId="3042E0CC">
            <w:pPr>
              <w:keepNext w:val="0"/>
              <w:keepLines w:val="0"/>
              <w:pageBreakBefore w:val="0"/>
              <w:widowControl w:val="0"/>
              <w:suppressLineNumbers w:val="0"/>
              <w:kinsoku/>
              <w:bidi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5.53</w:t>
            </w:r>
          </w:p>
        </w:tc>
        <w:tc>
          <w:tcPr>
            <w:tcW w:w="349" w:type="pct"/>
            <w:tcBorders>
              <w:tl2br w:val="nil"/>
              <w:tr2bl w:val="nil"/>
            </w:tcBorders>
            <w:noWrap/>
            <w:vAlign w:val="center"/>
          </w:tcPr>
          <w:p w14:paraId="065A1FF6">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80</w:t>
            </w:r>
          </w:p>
        </w:tc>
        <w:tc>
          <w:tcPr>
            <w:tcW w:w="531" w:type="pct"/>
            <w:tcBorders>
              <w:tl2br w:val="nil"/>
              <w:tr2bl w:val="nil"/>
            </w:tcBorders>
            <w:noWrap w:val="0"/>
            <w:vAlign w:val="center"/>
          </w:tcPr>
          <w:p w14:paraId="5D1C71F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eastAsia" w:cs="Times New Roman"/>
                <w:i w:val="0"/>
                <w:iCs w:val="0"/>
                <w:color w:val="auto"/>
                <w:kern w:val="0"/>
                <w:sz w:val="21"/>
                <w:szCs w:val="21"/>
                <w:highlight w:val="none"/>
                <w:lang w:val="en-US" w:eastAsia="zh-CN" w:bidi="ar"/>
              </w:rPr>
              <w:t>4.758</w:t>
            </w:r>
          </w:p>
        </w:tc>
        <w:tc>
          <w:tcPr>
            <w:tcW w:w="480" w:type="pct"/>
            <w:tcBorders>
              <w:tl2br w:val="nil"/>
              <w:tr2bl w:val="nil"/>
            </w:tcBorders>
            <w:noWrap w:val="0"/>
            <w:vAlign w:val="center"/>
          </w:tcPr>
          <w:p w14:paraId="08FBB5D0">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23.37</w:t>
            </w:r>
          </w:p>
        </w:tc>
        <w:tc>
          <w:tcPr>
            <w:tcW w:w="515" w:type="pct"/>
            <w:tcBorders>
              <w:tl2br w:val="nil"/>
              <w:tr2bl w:val="nil"/>
            </w:tcBorders>
            <w:noWrap/>
            <w:vAlign w:val="center"/>
          </w:tcPr>
          <w:p w14:paraId="4A15B052">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0.0256</w:t>
            </w:r>
          </w:p>
        </w:tc>
        <w:tc>
          <w:tcPr>
            <w:tcW w:w="493" w:type="pct"/>
            <w:tcBorders>
              <w:tl2br w:val="nil"/>
              <w:tr2bl w:val="nil"/>
            </w:tcBorders>
            <w:noWrap/>
            <w:vAlign w:val="center"/>
          </w:tcPr>
          <w:p w14:paraId="0F09F139">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0.0001</w:t>
            </w:r>
          </w:p>
        </w:tc>
      </w:tr>
      <w:tr w14:paraId="337251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0" w:type="dxa"/>
            <w:bottom w:w="57" w:type="dxa"/>
            <w:right w:w="0" w:type="dxa"/>
          </w:tblCellMar>
        </w:tblPrEx>
        <w:trPr>
          <w:trHeight w:val="113" w:hRule="atLeast"/>
        </w:trPr>
        <w:tc>
          <w:tcPr>
            <w:tcW w:w="239" w:type="pct"/>
            <w:tcBorders>
              <w:tl2br w:val="nil"/>
              <w:tr2bl w:val="nil"/>
            </w:tcBorders>
            <w:noWrap/>
            <w:vAlign w:val="center"/>
          </w:tcPr>
          <w:p w14:paraId="1D71AA17">
            <w:pPr>
              <w:keepNext w:val="0"/>
              <w:keepLines w:val="0"/>
              <w:pageBreakBefore w:val="0"/>
              <w:widowControl w:val="0"/>
              <w:kinsoku/>
              <w:bidi w:val="0"/>
              <w:adjustRightInd/>
              <w:snapToGrid/>
              <w:jc w:val="center"/>
              <w:textAlignment w:val="auto"/>
              <w:rPr>
                <w:rFonts w:hint="default" w:ascii="Times New Roman" w:hAnsi="Times New Roman" w:eastAsia="宋体" w:cs="Times New Roman"/>
                <w:color w:val="auto"/>
                <w:kern w:val="2"/>
                <w:sz w:val="21"/>
                <w:highlight w:val="none"/>
                <w:lang w:val="en-US" w:eastAsia="zh-CN" w:bidi="ar-SA"/>
              </w:rPr>
            </w:pPr>
            <w:r>
              <w:rPr>
                <w:rFonts w:hint="default" w:ascii="Times New Roman" w:hAnsi="Times New Roman" w:eastAsia="宋体" w:cs="Times New Roman"/>
                <w:color w:val="auto"/>
                <w:highlight w:val="none"/>
              </w:rPr>
              <w:t>2</w:t>
            </w:r>
          </w:p>
        </w:tc>
        <w:tc>
          <w:tcPr>
            <w:tcW w:w="911" w:type="pct"/>
            <w:tcBorders>
              <w:tl2br w:val="nil"/>
              <w:tr2bl w:val="nil"/>
            </w:tcBorders>
            <w:noWrap/>
            <w:vAlign w:val="center"/>
          </w:tcPr>
          <w:p w14:paraId="03D083FC">
            <w:pPr>
              <w:keepNext w:val="0"/>
              <w:keepLines w:val="0"/>
              <w:pageBreakBefore w:val="0"/>
              <w:widowControl w:val="0"/>
              <w:kinsoku/>
              <w:bidi w:val="0"/>
              <w:adjustRightInd w:val="0"/>
              <w:snapToGrid w:val="0"/>
              <w:jc w:val="center"/>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lang w:bidi="ar"/>
              </w:rPr>
              <w:t>雄英10</w:t>
            </w:r>
            <w:r>
              <w:rPr>
                <w:rFonts w:hint="default" w:ascii="Times New Roman" w:hAnsi="Times New Roman" w:eastAsia="宋体" w:cs="Times New Roman"/>
                <w:i w:val="0"/>
                <w:iCs w:val="0"/>
                <w:color w:val="auto"/>
                <w:kern w:val="0"/>
                <w:sz w:val="21"/>
                <w:szCs w:val="21"/>
                <w:highlight w:val="none"/>
                <w:lang w:val="en-US" w:eastAsia="zh-CN" w:bidi="ar"/>
              </w:rPr>
              <w:t>2井</w:t>
            </w:r>
          </w:p>
          <w:p w14:paraId="3E66B7C2">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单井管线</w:t>
            </w:r>
          </w:p>
        </w:tc>
        <w:tc>
          <w:tcPr>
            <w:tcW w:w="711" w:type="pct"/>
            <w:tcBorders>
              <w:tl2br w:val="nil"/>
              <w:tr2bl w:val="nil"/>
            </w:tcBorders>
            <w:noWrap/>
            <w:vAlign w:val="center"/>
          </w:tcPr>
          <w:p w14:paraId="52F0DDF9">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lang w:bidi="ar"/>
              </w:rPr>
              <w:t>雄英10</w:t>
            </w:r>
            <w:r>
              <w:rPr>
                <w:rFonts w:hint="default" w:ascii="Times New Roman" w:hAnsi="Times New Roman" w:eastAsia="宋体" w:cs="Times New Roman"/>
                <w:i w:val="0"/>
                <w:iCs w:val="0"/>
                <w:color w:val="auto"/>
                <w:kern w:val="0"/>
                <w:sz w:val="21"/>
                <w:szCs w:val="21"/>
                <w:highlight w:val="none"/>
                <w:lang w:val="en-US" w:eastAsia="zh-CN" w:bidi="ar"/>
              </w:rPr>
              <w:t>2井</w:t>
            </w:r>
          </w:p>
        </w:tc>
        <w:tc>
          <w:tcPr>
            <w:tcW w:w="442" w:type="pct"/>
            <w:vMerge w:val="continue"/>
            <w:tcBorders>
              <w:tl2br w:val="nil"/>
              <w:tr2bl w:val="nil"/>
            </w:tcBorders>
            <w:noWrap/>
            <w:vAlign w:val="center"/>
          </w:tcPr>
          <w:p w14:paraId="27D83269">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24" w:type="pct"/>
            <w:tcBorders>
              <w:tl2br w:val="nil"/>
              <w:tr2bl w:val="nil"/>
            </w:tcBorders>
            <w:noWrap/>
            <w:vAlign w:val="center"/>
          </w:tcPr>
          <w:p w14:paraId="4187180E">
            <w:pPr>
              <w:keepNext w:val="0"/>
              <w:keepLines w:val="0"/>
              <w:pageBreakBefore w:val="0"/>
              <w:widowControl w:val="0"/>
              <w:suppressLineNumbers w:val="0"/>
              <w:kinsoku/>
              <w:bidi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3.4</w:t>
            </w:r>
          </w:p>
        </w:tc>
        <w:tc>
          <w:tcPr>
            <w:tcW w:w="349" w:type="pct"/>
            <w:tcBorders>
              <w:tl2br w:val="nil"/>
              <w:tr2bl w:val="nil"/>
            </w:tcBorders>
            <w:noWrap/>
            <w:vAlign w:val="center"/>
          </w:tcPr>
          <w:p w14:paraId="0F7BC4F5">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80</w:t>
            </w:r>
          </w:p>
        </w:tc>
        <w:tc>
          <w:tcPr>
            <w:tcW w:w="531" w:type="pct"/>
            <w:tcBorders>
              <w:tl2br w:val="nil"/>
              <w:tr2bl w:val="nil"/>
            </w:tcBorders>
            <w:noWrap w:val="0"/>
            <w:vAlign w:val="center"/>
          </w:tcPr>
          <w:p w14:paraId="084B857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eastAsia" w:cs="Times New Roman"/>
                <w:i w:val="0"/>
                <w:iCs w:val="0"/>
                <w:color w:val="auto"/>
                <w:kern w:val="0"/>
                <w:sz w:val="21"/>
                <w:szCs w:val="21"/>
                <w:highlight w:val="none"/>
                <w:lang w:val="en-US" w:eastAsia="zh-CN" w:bidi="ar"/>
              </w:rPr>
              <w:t>4.578</w:t>
            </w:r>
          </w:p>
        </w:tc>
        <w:tc>
          <w:tcPr>
            <w:tcW w:w="480" w:type="pct"/>
            <w:tcBorders>
              <w:tl2br w:val="nil"/>
              <w:tr2bl w:val="nil"/>
            </w:tcBorders>
            <w:noWrap w:val="0"/>
            <w:vAlign w:val="center"/>
          </w:tcPr>
          <w:p w14:paraId="6DD73EE0">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22.57</w:t>
            </w:r>
          </w:p>
        </w:tc>
        <w:tc>
          <w:tcPr>
            <w:tcW w:w="515" w:type="pct"/>
            <w:tcBorders>
              <w:tl2br w:val="nil"/>
              <w:tr2bl w:val="nil"/>
            </w:tcBorders>
            <w:noWrap/>
            <w:vAlign w:val="center"/>
          </w:tcPr>
          <w:p w14:paraId="7DE595C7">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0.0247</w:t>
            </w:r>
          </w:p>
        </w:tc>
        <w:tc>
          <w:tcPr>
            <w:tcW w:w="493" w:type="pct"/>
            <w:tcBorders>
              <w:tl2br w:val="nil"/>
              <w:tr2bl w:val="nil"/>
            </w:tcBorders>
            <w:noWrap/>
            <w:vAlign w:val="center"/>
          </w:tcPr>
          <w:p w14:paraId="02279B64">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0.0001</w:t>
            </w:r>
          </w:p>
        </w:tc>
      </w:tr>
      <w:tr w14:paraId="13DE36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0" w:type="dxa"/>
            <w:bottom w:w="57" w:type="dxa"/>
            <w:right w:w="0" w:type="dxa"/>
          </w:tblCellMar>
        </w:tblPrEx>
        <w:trPr>
          <w:trHeight w:val="113" w:hRule="atLeast"/>
        </w:trPr>
        <w:tc>
          <w:tcPr>
            <w:tcW w:w="239" w:type="pct"/>
            <w:tcBorders>
              <w:tl2br w:val="nil"/>
              <w:tr2bl w:val="nil"/>
            </w:tcBorders>
            <w:noWrap/>
            <w:vAlign w:val="center"/>
          </w:tcPr>
          <w:p w14:paraId="7657311C">
            <w:pPr>
              <w:keepNext w:val="0"/>
              <w:keepLines w:val="0"/>
              <w:pageBreakBefore w:val="0"/>
              <w:widowControl w:val="0"/>
              <w:kinsoku/>
              <w:bidi w:val="0"/>
              <w:adjustRightInd/>
              <w:snapToGrid/>
              <w:jc w:val="center"/>
              <w:textAlignment w:val="auto"/>
              <w:rPr>
                <w:rFonts w:hint="default" w:ascii="Times New Roman" w:hAnsi="Times New Roman" w:eastAsia="宋体" w:cs="Times New Roman"/>
                <w:color w:val="auto"/>
                <w:kern w:val="2"/>
                <w:sz w:val="21"/>
                <w:highlight w:val="none"/>
                <w:lang w:val="en-US" w:eastAsia="zh-CN" w:bidi="ar-SA"/>
              </w:rPr>
            </w:pPr>
            <w:r>
              <w:rPr>
                <w:rFonts w:hint="default" w:ascii="Times New Roman" w:hAnsi="Times New Roman" w:eastAsia="宋体" w:cs="Times New Roman"/>
                <w:color w:val="auto"/>
                <w:kern w:val="2"/>
                <w:sz w:val="21"/>
                <w:highlight w:val="none"/>
                <w:lang w:val="en-US" w:eastAsia="zh-CN" w:bidi="ar-SA"/>
              </w:rPr>
              <w:t>3</w:t>
            </w:r>
          </w:p>
        </w:tc>
        <w:tc>
          <w:tcPr>
            <w:tcW w:w="911" w:type="pct"/>
            <w:tcBorders>
              <w:tl2br w:val="nil"/>
              <w:tr2bl w:val="nil"/>
            </w:tcBorders>
            <w:noWrap/>
            <w:vAlign w:val="center"/>
          </w:tcPr>
          <w:p w14:paraId="66D8CF4B">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雄英</w:t>
            </w:r>
            <w:r>
              <w:rPr>
                <w:rFonts w:hint="default" w:ascii="Times New Roman" w:hAnsi="Times New Roman" w:eastAsia="宋体" w:cs="Times New Roman"/>
                <w:color w:val="auto"/>
                <w:szCs w:val="21"/>
                <w:highlight w:val="none"/>
                <w:lang w:val="en-US" w:eastAsia="zh-CN"/>
              </w:rPr>
              <w:t>103井</w:t>
            </w:r>
          </w:p>
          <w:p w14:paraId="72DA6B64">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单井管线</w:t>
            </w:r>
          </w:p>
        </w:tc>
        <w:tc>
          <w:tcPr>
            <w:tcW w:w="711" w:type="pct"/>
            <w:tcBorders>
              <w:tl2br w:val="nil"/>
              <w:tr2bl w:val="nil"/>
            </w:tcBorders>
            <w:noWrap/>
            <w:vAlign w:val="center"/>
          </w:tcPr>
          <w:p w14:paraId="204223D5">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雄英</w:t>
            </w:r>
            <w:r>
              <w:rPr>
                <w:rFonts w:hint="default" w:ascii="Times New Roman" w:hAnsi="Times New Roman" w:eastAsia="宋体" w:cs="Times New Roman"/>
                <w:color w:val="auto"/>
                <w:szCs w:val="21"/>
                <w:highlight w:val="none"/>
                <w:lang w:val="en-US" w:eastAsia="zh-CN"/>
              </w:rPr>
              <w:t>103井</w:t>
            </w:r>
          </w:p>
        </w:tc>
        <w:tc>
          <w:tcPr>
            <w:tcW w:w="442" w:type="pct"/>
            <w:vMerge w:val="continue"/>
            <w:tcBorders>
              <w:tl2br w:val="nil"/>
              <w:tr2bl w:val="nil"/>
            </w:tcBorders>
            <w:noWrap/>
            <w:vAlign w:val="center"/>
          </w:tcPr>
          <w:p w14:paraId="2944D676">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24" w:type="pct"/>
            <w:tcBorders>
              <w:tl2br w:val="nil"/>
              <w:tr2bl w:val="nil"/>
            </w:tcBorders>
            <w:noWrap/>
            <w:vAlign w:val="center"/>
          </w:tcPr>
          <w:p w14:paraId="7F2A87A4">
            <w:pPr>
              <w:keepNext w:val="0"/>
              <w:keepLines w:val="0"/>
              <w:pageBreakBefore w:val="0"/>
              <w:widowControl w:val="0"/>
              <w:suppressLineNumbers w:val="0"/>
              <w:kinsoku/>
              <w:bidi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2.23</w:t>
            </w:r>
          </w:p>
        </w:tc>
        <w:tc>
          <w:tcPr>
            <w:tcW w:w="349" w:type="pct"/>
            <w:tcBorders>
              <w:tl2br w:val="nil"/>
              <w:tr2bl w:val="nil"/>
            </w:tcBorders>
            <w:noWrap/>
            <w:vAlign w:val="center"/>
          </w:tcPr>
          <w:p w14:paraId="0948ECAD">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80</w:t>
            </w:r>
          </w:p>
        </w:tc>
        <w:tc>
          <w:tcPr>
            <w:tcW w:w="531" w:type="pct"/>
            <w:tcBorders>
              <w:tl2br w:val="nil"/>
              <w:tr2bl w:val="nil"/>
            </w:tcBorders>
            <w:noWrap w:val="0"/>
            <w:vAlign w:val="center"/>
          </w:tcPr>
          <w:p w14:paraId="04DCE85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eastAsia" w:cs="Times New Roman"/>
                <w:i w:val="0"/>
                <w:iCs w:val="0"/>
                <w:color w:val="auto"/>
                <w:kern w:val="0"/>
                <w:sz w:val="21"/>
                <w:szCs w:val="21"/>
                <w:highlight w:val="none"/>
                <w:lang w:val="en-US" w:eastAsia="zh-CN" w:bidi="ar"/>
              </w:rPr>
              <w:t>4.559</w:t>
            </w:r>
          </w:p>
        </w:tc>
        <w:tc>
          <w:tcPr>
            <w:tcW w:w="480" w:type="pct"/>
            <w:tcBorders>
              <w:tl2br w:val="nil"/>
              <w:tr2bl w:val="nil"/>
            </w:tcBorders>
            <w:noWrap w:val="0"/>
            <w:vAlign w:val="center"/>
          </w:tcPr>
          <w:p w14:paraId="5D4AA31C">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13.7</w:t>
            </w:r>
          </w:p>
        </w:tc>
        <w:tc>
          <w:tcPr>
            <w:tcW w:w="515" w:type="pct"/>
            <w:tcBorders>
              <w:tl2br w:val="nil"/>
              <w:tr2bl w:val="nil"/>
            </w:tcBorders>
            <w:noWrap/>
            <w:vAlign w:val="center"/>
          </w:tcPr>
          <w:p w14:paraId="78E179FA">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0.015</w:t>
            </w:r>
          </w:p>
        </w:tc>
        <w:tc>
          <w:tcPr>
            <w:tcW w:w="493" w:type="pct"/>
            <w:tcBorders>
              <w:tl2br w:val="nil"/>
              <w:tr2bl w:val="nil"/>
            </w:tcBorders>
            <w:noWrap/>
            <w:vAlign w:val="center"/>
          </w:tcPr>
          <w:p w14:paraId="54D7D1CE">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0.0001</w:t>
            </w:r>
          </w:p>
        </w:tc>
      </w:tr>
      <w:tr w14:paraId="0F76A1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0" w:type="dxa"/>
            <w:bottom w:w="57" w:type="dxa"/>
            <w:right w:w="0" w:type="dxa"/>
          </w:tblCellMar>
        </w:tblPrEx>
        <w:trPr>
          <w:trHeight w:val="113" w:hRule="atLeast"/>
        </w:trPr>
        <w:tc>
          <w:tcPr>
            <w:tcW w:w="239" w:type="pct"/>
            <w:tcBorders>
              <w:tl2br w:val="nil"/>
              <w:tr2bl w:val="nil"/>
            </w:tcBorders>
            <w:noWrap/>
            <w:vAlign w:val="center"/>
          </w:tcPr>
          <w:p w14:paraId="331F643D">
            <w:pPr>
              <w:keepNext w:val="0"/>
              <w:keepLines w:val="0"/>
              <w:pageBreakBefore w:val="0"/>
              <w:widowControl w:val="0"/>
              <w:kinsoku/>
              <w:bidi w:val="0"/>
              <w:adjustRightInd/>
              <w:snapToGrid/>
              <w:jc w:val="center"/>
              <w:textAlignment w:val="auto"/>
              <w:rPr>
                <w:rFonts w:hint="default" w:ascii="Times New Roman" w:hAnsi="Times New Roman" w:eastAsia="宋体" w:cs="Times New Roman"/>
                <w:color w:val="auto"/>
                <w:kern w:val="2"/>
                <w:sz w:val="21"/>
                <w:highlight w:val="none"/>
                <w:lang w:val="en-US" w:eastAsia="zh-CN" w:bidi="ar-SA"/>
              </w:rPr>
            </w:pPr>
            <w:r>
              <w:rPr>
                <w:rFonts w:hint="default" w:ascii="Times New Roman" w:hAnsi="Times New Roman" w:eastAsia="宋体" w:cs="Times New Roman"/>
                <w:color w:val="auto"/>
                <w:kern w:val="2"/>
                <w:sz w:val="21"/>
                <w:highlight w:val="none"/>
                <w:lang w:val="en-US" w:eastAsia="zh-CN" w:bidi="ar-SA"/>
              </w:rPr>
              <w:t>4</w:t>
            </w:r>
          </w:p>
        </w:tc>
        <w:tc>
          <w:tcPr>
            <w:tcW w:w="911" w:type="pct"/>
            <w:tcBorders>
              <w:tl2br w:val="nil"/>
              <w:tr2bl w:val="nil"/>
            </w:tcBorders>
            <w:noWrap/>
            <w:vAlign w:val="center"/>
          </w:tcPr>
          <w:p w14:paraId="34B57956">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雄英</w:t>
            </w:r>
            <w:r>
              <w:rPr>
                <w:rFonts w:hint="eastAsia" w:cs="Times New Roman"/>
                <w:color w:val="auto"/>
                <w:szCs w:val="21"/>
                <w:highlight w:val="none"/>
                <w:lang w:val="en-US" w:eastAsia="zh-CN"/>
              </w:rPr>
              <w:t>2</w:t>
            </w:r>
            <w:r>
              <w:rPr>
                <w:rFonts w:hint="default" w:ascii="Times New Roman" w:hAnsi="Times New Roman" w:eastAsia="宋体" w:cs="Times New Roman"/>
                <w:color w:val="auto"/>
                <w:szCs w:val="21"/>
                <w:highlight w:val="none"/>
                <w:lang w:val="en-US" w:eastAsia="zh-CN"/>
              </w:rPr>
              <w:t>井</w:t>
            </w:r>
          </w:p>
          <w:p w14:paraId="4FC852F3">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单井管线</w:t>
            </w:r>
          </w:p>
        </w:tc>
        <w:tc>
          <w:tcPr>
            <w:tcW w:w="711" w:type="pct"/>
            <w:tcBorders>
              <w:tl2br w:val="nil"/>
              <w:tr2bl w:val="nil"/>
            </w:tcBorders>
            <w:noWrap/>
            <w:vAlign w:val="center"/>
          </w:tcPr>
          <w:p w14:paraId="317BA0FB">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雄英</w:t>
            </w:r>
            <w:r>
              <w:rPr>
                <w:rFonts w:hint="eastAsia" w:cs="Times New Roman"/>
                <w:color w:val="auto"/>
                <w:szCs w:val="21"/>
                <w:highlight w:val="none"/>
                <w:lang w:val="en-US" w:eastAsia="zh-CN"/>
              </w:rPr>
              <w:t>2</w:t>
            </w:r>
            <w:r>
              <w:rPr>
                <w:rFonts w:hint="default" w:ascii="Times New Roman" w:hAnsi="Times New Roman" w:eastAsia="宋体" w:cs="Times New Roman"/>
                <w:color w:val="auto"/>
                <w:szCs w:val="21"/>
                <w:highlight w:val="none"/>
                <w:lang w:val="en-US" w:eastAsia="zh-CN"/>
              </w:rPr>
              <w:t>井</w:t>
            </w:r>
          </w:p>
        </w:tc>
        <w:tc>
          <w:tcPr>
            <w:tcW w:w="442" w:type="pct"/>
            <w:vMerge w:val="continue"/>
            <w:tcBorders>
              <w:tl2br w:val="nil"/>
              <w:tr2bl w:val="nil"/>
            </w:tcBorders>
            <w:noWrap/>
            <w:vAlign w:val="center"/>
          </w:tcPr>
          <w:p w14:paraId="731318E2">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24" w:type="pct"/>
            <w:tcBorders>
              <w:tl2br w:val="nil"/>
              <w:tr2bl w:val="nil"/>
            </w:tcBorders>
            <w:noWrap/>
            <w:vAlign w:val="center"/>
          </w:tcPr>
          <w:p w14:paraId="01BCFF3A">
            <w:pPr>
              <w:keepNext w:val="0"/>
              <w:keepLines w:val="0"/>
              <w:pageBreakBefore w:val="0"/>
              <w:widowControl w:val="0"/>
              <w:suppressLineNumbers w:val="0"/>
              <w:kinsoku/>
              <w:bidi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5.84</w:t>
            </w:r>
          </w:p>
        </w:tc>
        <w:tc>
          <w:tcPr>
            <w:tcW w:w="349" w:type="pct"/>
            <w:tcBorders>
              <w:tl2br w:val="nil"/>
              <w:tr2bl w:val="nil"/>
            </w:tcBorders>
            <w:noWrap/>
            <w:vAlign w:val="center"/>
          </w:tcPr>
          <w:p w14:paraId="254E13A4">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80</w:t>
            </w:r>
          </w:p>
        </w:tc>
        <w:tc>
          <w:tcPr>
            <w:tcW w:w="531" w:type="pct"/>
            <w:tcBorders>
              <w:tl2br w:val="nil"/>
              <w:tr2bl w:val="nil"/>
            </w:tcBorders>
            <w:noWrap w:val="0"/>
            <w:vAlign w:val="center"/>
          </w:tcPr>
          <w:p w14:paraId="56F91E5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宋体" w:cs="Times New Roman"/>
                <w:i w:val="0"/>
                <w:iCs w:val="0"/>
                <w:color w:val="auto"/>
                <w:kern w:val="0"/>
                <w:sz w:val="21"/>
                <w:szCs w:val="21"/>
                <w:highlight w:val="none"/>
                <w:lang w:val="en-US" w:eastAsia="zh-CN" w:bidi="ar"/>
              </w:rPr>
            </w:pPr>
            <w:r>
              <w:rPr>
                <w:rFonts w:hint="eastAsia" w:cs="Times New Roman"/>
                <w:i w:val="0"/>
                <w:iCs w:val="0"/>
                <w:color w:val="auto"/>
                <w:kern w:val="0"/>
                <w:sz w:val="21"/>
                <w:szCs w:val="21"/>
                <w:highlight w:val="none"/>
                <w:lang w:val="en-US" w:eastAsia="zh-CN" w:bidi="ar"/>
              </w:rPr>
              <w:t>4.576</w:t>
            </w:r>
          </w:p>
        </w:tc>
        <w:tc>
          <w:tcPr>
            <w:tcW w:w="480" w:type="pct"/>
            <w:tcBorders>
              <w:tl2br w:val="nil"/>
              <w:tr2bl w:val="nil"/>
            </w:tcBorders>
            <w:noWrap w:val="0"/>
            <w:vAlign w:val="center"/>
          </w:tcPr>
          <w:p w14:paraId="670DE66F">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8.86</w:t>
            </w:r>
          </w:p>
        </w:tc>
        <w:tc>
          <w:tcPr>
            <w:tcW w:w="515" w:type="pct"/>
            <w:tcBorders>
              <w:tl2br w:val="nil"/>
              <w:tr2bl w:val="nil"/>
            </w:tcBorders>
            <w:noWrap/>
            <w:vAlign w:val="center"/>
          </w:tcPr>
          <w:p w14:paraId="577A8214">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0.0097</w:t>
            </w:r>
          </w:p>
        </w:tc>
        <w:tc>
          <w:tcPr>
            <w:tcW w:w="493" w:type="pct"/>
            <w:tcBorders>
              <w:tl2br w:val="nil"/>
              <w:tr2bl w:val="nil"/>
            </w:tcBorders>
            <w:noWrap/>
            <w:vAlign w:val="center"/>
          </w:tcPr>
          <w:p w14:paraId="1715BD19">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0.0001</w:t>
            </w:r>
          </w:p>
        </w:tc>
      </w:tr>
      <w:tr w14:paraId="7507FA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0" w:type="dxa"/>
            <w:bottom w:w="57" w:type="dxa"/>
            <w:right w:w="0" w:type="dxa"/>
          </w:tblCellMar>
        </w:tblPrEx>
        <w:trPr>
          <w:trHeight w:val="113" w:hRule="atLeast"/>
        </w:trPr>
        <w:tc>
          <w:tcPr>
            <w:tcW w:w="239" w:type="pct"/>
            <w:tcBorders>
              <w:tl2br w:val="nil"/>
              <w:tr2bl w:val="nil"/>
            </w:tcBorders>
            <w:noWrap/>
            <w:vAlign w:val="center"/>
          </w:tcPr>
          <w:p w14:paraId="7046B5C3">
            <w:pPr>
              <w:keepNext w:val="0"/>
              <w:keepLines w:val="0"/>
              <w:pageBreakBefore w:val="0"/>
              <w:widowControl w:val="0"/>
              <w:kinsoku/>
              <w:bidi w:val="0"/>
              <w:adjustRightInd/>
              <w:snapToGrid/>
              <w:jc w:val="center"/>
              <w:textAlignment w:val="auto"/>
              <w:rPr>
                <w:rFonts w:hint="default" w:ascii="Times New Roman" w:hAnsi="Times New Roman" w:eastAsia="宋体" w:cs="Times New Roman"/>
                <w:color w:val="auto"/>
                <w:kern w:val="2"/>
                <w:sz w:val="21"/>
                <w:highlight w:val="none"/>
                <w:lang w:val="en-US" w:eastAsia="zh-CN" w:bidi="ar-SA"/>
              </w:rPr>
            </w:pPr>
            <w:r>
              <w:rPr>
                <w:rFonts w:hint="eastAsia" w:cs="Times New Roman"/>
                <w:color w:val="auto"/>
                <w:kern w:val="2"/>
                <w:sz w:val="21"/>
                <w:highlight w:val="none"/>
                <w:lang w:val="en-US" w:eastAsia="zh-CN" w:bidi="ar-SA"/>
              </w:rPr>
              <w:t>5</w:t>
            </w:r>
          </w:p>
        </w:tc>
        <w:tc>
          <w:tcPr>
            <w:tcW w:w="911" w:type="pct"/>
            <w:tcBorders>
              <w:tl2br w:val="nil"/>
              <w:tr2bl w:val="nil"/>
            </w:tcBorders>
            <w:noWrap/>
            <w:vAlign w:val="center"/>
          </w:tcPr>
          <w:p w14:paraId="249EE639">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雄英3井</w:t>
            </w:r>
          </w:p>
          <w:p w14:paraId="310D53AA">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单井管线</w:t>
            </w:r>
          </w:p>
        </w:tc>
        <w:tc>
          <w:tcPr>
            <w:tcW w:w="711" w:type="pct"/>
            <w:tcBorders>
              <w:tl2br w:val="nil"/>
              <w:tr2bl w:val="nil"/>
            </w:tcBorders>
            <w:noWrap/>
            <w:vAlign w:val="center"/>
          </w:tcPr>
          <w:p w14:paraId="2EBCFAB9">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雄英3井</w:t>
            </w:r>
          </w:p>
        </w:tc>
        <w:tc>
          <w:tcPr>
            <w:tcW w:w="442" w:type="pct"/>
            <w:vMerge w:val="continue"/>
            <w:tcBorders>
              <w:tl2br w:val="nil"/>
              <w:tr2bl w:val="nil"/>
            </w:tcBorders>
            <w:noWrap/>
            <w:vAlign w:val="center"/>
          </w:tcPr>
          <w:p w14:paraId="1436B10D">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24" w:type="pct"/>
            <w:tcBorders>
              <w:tl2br w:val="nil"/>
              <w:tr2bl w:val="nil"/>
            </w:tcBorders>
            <w:noWrap/>
            <w:vAlign w:val="center"/>
          </w:tcPr>
          <w:p w14:paraId="7D1DD6AC">
            <w:pPr>
              <w:keepNext w:val="0"/>
              <w:keepLines w:val="0"/>
              <w:pageBreakBefore w:val="0"/>
              <w:widowControl w:val="0"/>
              <w:suppressLineNumbers w:val="0"/>
              <w:kinsoku/>
              <w:bidi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7.7</w:t>
            </w:r>
          </w:p>
        </w:tc>
        <w:tc>
          <w:tcPr>
            <w:tcW w:w="349" w:type="pct"/>
            <w:tcBorders>
              <w:tl2br w:val="nil"/>
              <w:tr2bl w:val="nil"/>
            </w:tcBorders>
            <w:noWrap/>
            <w:vAlign w:val="center"/>
          </w:tcPr>
          <w:p w14:paraId="40E00E98">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80</w:t>
            </w:r>
          </w:p>
        </w:tc>
        <w:tc>
          <w:tcPr>
            <w:tcW w:w="531" w:type="pct"/>
            <w:tcBorders>
              <w:tl2br w:val="nil"/>
              <w:tr2bl w:val="nil"/>
            </w:tcBorders>
            <w:noWrap w:val="0"/>
            <w:vAlign w:val="center"/>
          </w:tcPr>
          <w:p w14:paraId="00E2706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eastAsia" w:cs="Times New Roman"/>
                <w:i w:val="0"/>
                <w:iCs w:val="0"/>
                <w:color w:val="auto"/>
                <w:kern w:val="0"/>
                <w:sz w:val="21"/>
                <w:szCs w:val="21"/>
                <w:highlight w:val="none"/>
                <w:lang w:val="en-US" w:eastAsia="zh-CN" w:bidi="ar"/>
              </w:rPr>
              <w:t>4.576</w:t>
            </w:r>
          </w:p>
        </w:tc>
        <w:tc>
          <w:tcPr>
            <w:tcW w:w="480" w:type="pct"/>
            <w:tcBorders>
              <w:tl2br w:val="nil"/>
              <w:tr2bl w:val="nil"/>
            </w:tcBorders>
            <w:noWrap w:val="0"/>
            <w:vAlign w:val="center"/>
          </w:tcPr>
          <w:p w14:paraId="3E031E56">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31.43</w:t>
            </w:r>
          </w:p>
        </w:tc>
        <w:tc>
          <w:tcPr>
            <w:tcW w:w="515" w:type="pct"/>
            <w:tcBorders>
              <w:tl2br w:val="nil"/>
              <w:tr2bl w:val="nil"/>
            </w:tcBorders>
            <w:noWrap/>
            <w:vAlign w:val="center"/>
          </w:tcPr>
          <w:p w14:paraId="53926296">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0.0344</w:t>
            </w:r>
          </w:p>
        </w:tc>
        <w:tc>
          <w:tcPr>
            <w:tcW w:w="493" w:type="pct"/>
            <w:tcBorders>
              <w:tl2br w:val="nil"/>
              <w:tr2bl w:val="nil"/>
            </w:tcBorders>
            <w:noWrap/>
            <w:vAlign w:val="center"/>
          </w:tcPr>
          <w:p w14:paraId="0837AD4E">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0.0001</w:t>
            </w:r>
          </w:p>
        </w:tc>
      </w:tr>
      <w:tr w14:paraId="69AFED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0" w:type="dxa"/>
            <w:bottom w:w="57" w:type="dxa"/>
            <w:right w:w="0" w:type="dxa"/>
          </w:tblCellMar>
        </w:tblPrEx>
        <w:trPr>
          <w:trHeight w:val="113" w:hRule="atLeast"/>
        </w:trPr>
        <w:tc>
          <w:tcPr>
            <w:tcW w:w="239" w:type="pct"/>
            <w:tcBorders>
              <w:tl2br w:val="nil"/>
              <w:tr2bl w:val="nil"/>
            </w:tcBorders>
            <w:noWrap/>
            <w:vAlign w:val="center"/>
          </w:tcPr>
          <w:p w14:paraId="5B7495D7">
            <w:pPr>
              <w:keepNext w:val="0"/>
              <w:keepLines w:val="0"/>
              <w:pageBreakBefore w:val="0"/>
              <w:widowControl w:val="0"/>
              <w:kinsoku/>
              <w:bidi w:val="0"/>
              <w:adjustRightInd/>
              <w:snapToGrid/>
              <w:jc w:val="center"/>
              <w:textAlignment w:val="auto"/>
              <w:rPr>
                <w:rFonts w:hint="default" w:ascii="Times New Roman" w:hAnsi="Times New Roman" w:eastAsia="宋体" w:cs="Times New Roman"/>
                <w:color w:val="auto"/>
                <w:kern w:val="2"/>
                <w:sz w:val="21"/>
                <w:highlight w:val="none"/>
                <w:lang w:val="en-US" w:eastAsia="zh-CN" w:bidi="ar-SA"/>
              </w:rPr>
            </w:pPr>
          </w:p>
        </w:tc>
        <w:tc>
          <w:tcPr>
            <w:tcW w:w="2065" w:type="pct"/>
            <w:gridSpan w:val="3"/>
            <w:tcBorders>
              <w:tl2br w:val="nil"/>
              <w:tr2bl w:val="nil"/>
            </w:tcBorders>
            <w:noWrap/>
            <w:vAlign w:val="center"/>
          </w:tcPr>
          <w:p w14:paraId="22918C4C">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危险源位置</w:t>
            </w:r>
          </w:p>
        </w:tc>
        <w:tc>
          <w:tcPr>
            <w:tcW w:w="324" w:type="pct"/>
            <w:tcBorders>
              <w:tl2br w:val="nil"/>
              <w:tr2bl w:val="nil"/>
            </w:tcBorders>
            <w:noWrap/>
            <w:vAlign w:val="center"/>
          </w:tcPr>
          <w:p w14:paraId="3E7D47D4">
            <w:pPr>
              <w:keepNext w:val="0"/>
              <w:keepLines w:val="0"/>
              <w:pageBreakBefore w:val="0"/>
              <w:widowControl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个数</w:t>
            </w:r>
          </w:p>
        </w:tc>
        <w:tc>
          <w:tcPr>
            <w:tcW w:w="349" w:type="pct"/>
            <w:tcBorders>
              <w:tl2br w:val="nil"/>
              <w:tr2bl w:val="nil"/>
            </w:tcBorders>
            <w:noWrap/>
            <w:vAlign w:val="center"/>
          </w:tcPr>
          <w:p w14:paraId="1965D5A1">
            <w:pPr>
              <w:keepNext w:val="0"/>
              <w:keepLines w:val="0"/>
              <w:pageBreakBefore w:val="0"/>
              <w:widowControl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体积m</w:t>
            </w:r>
            <w:r>
              <w:rPr>
                <w:rFonts w:hint="eastAsia" w:cs="Times New Roman"/>
                <w:color w:val="auto"/>
                <w:highlight w:val="none"/>
                <w:vertAlign w:val="superscript"/>
                <w:lang w:val="en-US" w:eastAsia="zh-CN"/>
              </w:rPr>
              <w:t>3</w:t>
            </w:r>
          </w:p>
        </w:tc>
        <w:tc>
          <w:tcPr>
            <w:tcW w:w="531" w:type="pct"/>
            <w:tcBorders>
              <w:tl2br w:val="nil"/>
              <w:tr2bl w:val="nil"/>
            </w:tcBorders>
            <w:noWrap/>
            <w:vAlign w:val="center"/>
          </w:tcPr>
          <w:p w14:paraId="79ADDB90">
            <w:pPr>
              <w:keepNext w:val="0"/>
              <w:keepLines w:val="0"/>
              <w:pageBreakBefore w:val="0"/>
              <w:widowControl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压力</w:t>
            </w:r>
            <w:r>
              <w:rPr>
                <w:rFonts w:hint="default" w:ascii="Times New Roman" w:hAnsi="Times New Roman" w:eastAsia="宋体" w:cs="Times New Roman"/>
                <w:color w:val="auto"/>
                <w:szCs w:val="21"/>
                <w:highlight w:val="none"/>
              </w:rPr>
              <w:t>MPa</w:t>
            </w:r>
          </w:p>
        </w:tc>
        <w:tc>
          <w:tcPr>
            <w:tcW w:w="480" w:type="pct"/>
            <w:tcBorders>
              <w:tl2br w:val="nil"/>
              <w:tr2bl w:val="nil"/>
            </w:tcBorders>
            <w:noWrap w:val="0"/>
            <w:vAlign w:val="center"/>
          </w:tcPr>
          <w:p w14:paraId="4BE34774">
            <w:pPr>
              <w:keepNext w:val="0"/>
              <w:keepLines w:val="0"/>
              <w:pageBreakBefore w:val="0"/>
              <w:widowControl w:val="0"/>
              <w:kinsoku/>
              <w:bidi w:val="0"/>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原油最大在线量t</w:t>
            </w:r>
          </w:p>
        </w:tc>
        <w:tc>
          <w:tcPr>
            <w:tcW w:w="515" w:type="pct"/>
            <w:tcBorders>
              <w:tl2br w:val="nil"/>
              <w:tr2bl w:val="nil"/>
            </w:tcBorders>
            <w:noWrap/>
            <w:vAlign w:val="center"/>
          </w:tcPr>
          <w:p w14:paraId="6C5E8043">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c>
          <w:tcPr>
            <w:tcW w:w="493" w:type="pct"/>
            <w:tcBorders>
              <w:tl2br w:val="nil"/>
              <w:tr2bl w:val="nil"/>
            </w:tcBorders>
            <w:noWrap/>
            <w:vAlign w:val="center"/>
          </w:tcPr>
          <w:p w14:paraId="729DA393">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r>
      <w:tr w14:paraId="5B1FCA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0" w:type="dxa"/>
            <w:bottom w:w="57" w:type="dxa"/>
            <w:right w:w="0" w:type="dxa"/>
          </w:tblCellMar>
        </w:tblPrEx>
        <w:trPr>
          <w:trHeight w:val="113" w:hRule="atLeast"/>
        </w:trPr>
        <w:tc>
          <w:tcPr>
            <w:tcW w:w="239" w:type="pct"/>
            <w:tcBorders>
              <w:tl2br w:val="nil"/>
              <w:tr2bl w:val="nil"/>
            </w:tcBorders>
            <w:noWrap/>
            <w:vAlign w:val="center"/>
          </w:tcPr>
          <w:p w14:paraId="6C7578C1">
            <w:pPr>
              <w:keepNext w:val="0"/>
              <w:keepLines w:val="0"/>
              <w:pageBreakBefore w:val="0"/>
              <w:widowControl w:val="0"/>
              <w:kinsoku/>
              <w:bidi w:val="0"/>
              <w:adjustRightInd/>
              <w:snapToGrid/>
              <w:jc w:val="center"/>
              <w:textAlignment w:val="auto"/>
              <w:rPr>
                <w:rFonts w:hint="default" w:ascii="Times New Roman" w:hAnsi="Times New Roman" w:eastAsia="宋体" w:cs="Times New Roman"/>
                <w:color w:val="auto"/>
                <w:kern w:val="2"/>
                <w:sz w:val="21"/>
                <w:highlight w:val="none"/>
                <w:lang w:val="en-US" w:eastAsia="zh-CN" w:bidi="ar-SA"/>
              </w:rPr>
            </w:pPr>
            <w:r>
              <w:rPr>
                <w:rFonts w:hint="eastAsia" w:cs="Times New Roman"/>
                <w:color w:val="auto"/>
                <w:kern w:val="2"/>
                <w:sz w:val="21"/>
                <w:highlight w:val="none"/>
                <w:lang w:val="en-US" w:eastAsia="zh-CN" w:bidi="ar-SA"/>
              </w:rPr>
              <w:t>1</w:t>
            </w:r>
          </w:p>
        </w:tc>
        <w:tc>
          <w:tcPr>
            <w:tcW w:w="2065" w:type="pct"/>
            <w:gridSpan w:val="3"/>
            <w:tcBorders>
              <w:tl2br w:val="nil"/>
              <w:tr2bl w:val="nil"/>
            </w:tcBorders>
            <w:noWrap/>
            <w:vAlign w:val="center"/>
          </w:tcPr>
          <w:p w14:paraId="69C73522">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雄探1试采点原油方罐</w:t>
            </w:r>
          </w:p>
        </w:tc>
        <w:tc>
          <w:tcPr>
            <w:tcW w:w="324" w:type="pct"/>
            <w:tcBorders>
              <w:tl2br w:val="nil"/>
              <w:tr2bl w:val="nil"/>
            </w:tcBorders>
            <w:noWrap/>
            <w:vAlign w:val="center"/>
          </w:tcPr>
          <w:p w14:paraId="7BEC1EEB">
            <w:pPr>
              <w:keepNext w:val="0"/>
              <w:keepLines w:val="0"/>
              <w:pageBreakBefore w:val="0"/>
              <w:widowControl w:val="0"/>
              <w:suppressLineNumbers w:val="0"/>
              <w:kinsoku/>
              <w:bidi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9</w:t>
            </w:r>
          </w:p>
        </w:tc>
        <w:tc>
          <w:tcPr>
            <w:tcW w:w="349" w:type="pct"/>
            <w:tcBorders>
              <w:tl2br w:val="nil"/>
              <w:tr2bl w:val="nil"/>
            </w:tcBorders>
            <w:noWrap/>
            <w:vAlign w:val="center"/>
          </w:tcPr>
          <w:p w14:paraId="58359E85">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30</w:t>
            </w:r>
          </w:p>
        </w:tc>
        <w:tc>
          <w:tcPr>
            <w:tcW w:w="531" w:type="pct"/>
            <w:tcBorders>
              <w:tl2br w:val="nil"/>
              <w:tr2bl w:val="nil"/>
            </w:tcBorders>
            <w:noWrap w:val="0"/>
            <w:vAlign w:val="center"/>
          </w:tcPr>
          <w:p w14:paraId="5709D00A">
            <w:pPr>
              <w:keepNext w:val="0"/>
              <w:keepLines w:val="0"/>
              <w:pageBreakBefore w:val="0"/>
              <w:widowControl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常压</w:t>
            </w:r>
          </w:p>
        </w:tc>
        <w:tc>
          <w:tcPr>
            <w:tcW w:w="480" w:type="pct"/>
            <w:tcBorders>
              <w:tl2br w:val="nil"/>
              <w:tr2bl w:val="nil"/>
            </w:tcBorders>
            <w:noWrap w:val="0"/>
            <w:vAlign w:val="center"/>
          </w:tcPr>
          <w:p w14:paraId="7353BC95">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217.59</w:t>
            </w:r>
          </w:p>
        </w:tc>
        <w:tc>
          <w:tcPr>
            <w:tcW w:w="515" w:type="pct"/>
            <w:tcBorders>
              <w:tl2br w:val="nil"/>
              <w:tr2bl w:val="nil"/>
            </w:tcBorders>
            <w:noWrap/>
            <w:vAlign w:val="center"/>
          </w:tcPr>
          <w:p w14:paraId="36D171D5">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c>
          <w:tcPr>
            <w:tcW w:w="493" w:type="pct"/>
            <w:tcBorders>
              <w:tl2br w:val="nil"/>
              <w:tr2bl w:val="nil"/>
            </w:tcBorders>
            <w:noWrap/>
            <w:vAlign w:val="center"/>
          </w:tcPr>
          <w:p w14:paraId="567FFDE2">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r>
      <w:tr w14:paraId="78812C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0" w:type="dxa"/>
            <w:bottom w:w="57" w:type="dxa"/>
            <w:right w:w="0" w:type="dxa"/>
          </w:tblCellMar>
        </w:tblPrEx>
        <w:trPr>
          <w:trHeight w:val="113" w:hRule="atLeast"/>
        </w:trPr>
        <w:tc>
          <w:tcPr>
            <w:tcW w:w="3510" w:type="pct"/>
            <w:gridSpan w:val="7"/>
            <w:tcBorders>
              <w:tl2br w:val="nil"/>
              <w:tr2bl w:val="nil"/>
            </w:tcBorders>
            <w:noWrap/>
            <w:vAlign w:val="center"/>
          </w:tcPr>
          <w:p w14:paraId="4CEA0FDA">
            <w:pPr>
              <w:keepNext w:val="0"/>
              <w:keepLines w:val="0"/>
              <w:pageBreakBefore w:val="0"/>
              <w:widowControl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合计</w:t>
            </w:r>
          </w:p>
        </w:tc>
        <w:tc>
          <w:tcPr>
            <w:tcW w:w="480" w:type="pct"/>
            <w:tcBorders>
              <w:tl2br w:val="nil"/>
              <w:tr2bl w:val="nil"/>
            </w:tcBorders>
            <w:noWrap w:val="0"/>
            <w:vAlign w:val="center"/>
          </w:tcPr>
          <w:p w14:paraId="3EA7C994">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317.52</w:t>
            </w:r>
          </w:p>
        </w:tc>
        <w:tc>
          <w:tcPr>
            <w:tcW w:w="515" w:type="pct"/>
            <w:tcBorders>
              <w:tl2br w:val="nil"/>
              <w:tr2bl w:val="nil"/>
            </w:tcBorders>
            <w:noWrap/>
            <w:vAlign w:val="center"/>
          </w:tcPr>
          <w:p w14:paraId="755FF921">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0.1094</w:t>
            </w:r>
          </w:p>
        </w:tc>
        <w:tc>
          <w:tcPr>
            <w:tcW w:w="493" w:type="pct"/>
            <w:tcBorders>
              <w:tl2br w:val="nil"/>
              <w:tr2bl w:val="nil"/>
            </w:tcBorders>
            <w:noWrap/>
            <w:vAlign w:val="center"/>
          </w:tcPr>
          <w:p w14:paraId="111BB0C8">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0.0004</w:t>
            </w:r>
          </w:p>
        </w:tc>
      </w:tr>
    </w:tbl>
    <w:p w14:paraId="26803FC1">
      <w:pPr>
        <w:pStyle w:val="79"/>
        <w:bidi w:val="0"/>
        <w:rPr>
          <w:rFonts w:hint="eastAsia"/>
          <w:color w:val="auto"/>
          <w:lang w:val="en-US" w:eastAsia="zh-CN"/>
        </w:rPr>
      </w:pPr>
      <w:r>
        <w:rPr>
          <w:rFonts w:hint="eastAsia"/>
          <w:color w:val="auto"/>
          <w:lang w:val="en-US" w:eastAsia="zh-CN"/>
        </w:rPr>
        <w:t>拟建雄探1试采点甲醇最大在线量为</w:t>
      </w:r>
      <w:bookmarkStart w:id="179" w:name="OLE_LINK76"/>
      <w:r>
        <w:rPr>
          <w:rFonts w:hint="eastAsia"/>
          <w:color w:val="auto"/>
          <w:lang w:val="en-US" w:eastAsia="zh-CN"/>
        </w:rPr>
        <w:t>2.335t</w:t>
      </w:r>
      <w:bookmarkEnd w:id="179"/>
      <w:r>
        <w:rPr>
          <w:rFonts w:hint="eastAsia"/>
          <w:color w:val="auto"/>
          <w:lang w:val="en-US" w:eastAsia="zh-CN"/>
        </w:rPr>
        <w:t>。</w:t>
      </w:r>
    </w:p>
    <w:bookmarkEnd w:id="178"/>
    <w:p w14:paraId="316D086B">
      <w:pPr>
        <w:pStyle w:val="79"/>
        <w:bidi w:val="0"/>
        <w:rPr>
          <w:rFonts w:hint="default"/>
          <w:color w:val="auto"/>
        </w:rPr>
      </w:pPr>
      <w:r>
        <w:rPr>
          <w:rFonts w:hint="default"/>
          <w:color w:val="auto"/>
        </w:rPr>
        <w:t>本工程危险物质辨识结果详见表2.5-</w:t>
      </w:r>
      <w:r>
        <w:rPr>
          <w:rFonts w:hint="eastAsia"/>
          <w:color w:val="auto"/>
          <w:lang w:val="en-US" w:eastAsia="zh-CN"/>
        </w:rPr>
        <w:t>13</w:t>
      </w:r>
      <w:r>
        <w:rPr>
          <w:rFonts w:hint="default"/>
          <w:color w:val="auto"/>
        </w:rPr>
        <w:t>。</w:t>
      </w:r>
    </w:p>
    <w:p w14:paraId="1A41503C">
      <w:pPr>
        <w:pStyle w:val="61"/>
        <w:bidi w:val="0"/>
        <w:jc w:val="both"/>
        <w:rPr>
          <w:rFonts w:hint="eastAsia"/>
          <w:color w:val="auto"/>
          <w:lang w:val="en-US" w:eastAsia="zh-CN"/>
        </w:rPr>
      </w:pPr>
      <w:r>
        <w:rPr>
          <w:rFonts w:hint="eastAsia"/>
          <w:color w:val="auto"/>
          <w:lang w:val="en-US" w:eastAsia="zh-CN"/>
        </w:rPr>
        <w:t>表2.5-13  本工程危险物质Q值一览表</w:t>
      </w:r>
    </w:p>
    <w:tbl>
      <w:tblPr>
        <w:tblStyle w:val="36"/>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20"/>
        <w:gridCol w:w="1971"/>
        <w:gridCol w:w="1971"/>
        <w:gridCol w:w="2561"/>
        <w:gridCol w:w="1507"/>
      </w:tblGrid>
      <w:tr w14:paraId="5029B4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trPr>
        <w:tc>
          <w:tcPr>
            <w:tcW w:w="464" w:type="pct"/>
            <w:tcBorders>
              <w:tl2br w:val="nil"/>
              <w:tr2bl w:val="nil"/>
            </w:tcBorders>
            <w:noWrap w:val="0"/>
            <w:vAlign w:val="center"/>
          </w:tcPr>
          <w:p w14:paraId="704C9780">
            <w:pPr>
              <w:keepNext w:val="0"/>
              <w:keepLines w:val="0"/>
              <w:pageBreakBefore w:val="0"/>
              <w:widowControl w:val="0"/>
              <w:kinsoku/>
              <w:wordWrap/>
              <w:overflowPunct/>
              <w:topLinePunct w:val="0"/>
              <w:autoSpaceDE/>
              <w:autoSpaceDN/>
              <w:bidi w:val="0"/>
              <w:adjustRightInd w:val="0"/>
              <w:snapToGrid w:val="0"/>
              <w:jc w:val="center"/>
              <w:textAlignment w:val="auto"/>
              <w:rPr>
                <w:b w:val="0"/>
                <w:bCs w:val="0"/>
                <w:color w:val="auto"/>
                <w:szCs w:val="21"/>
                <w:highlight w:val="none"/>
              </w:rPr>
            </w:pPr>
            <w:r>
              <w:rPr>
                <w:b w:val="0"/>
                <w:bCs w:val="0"/>
                <w:color w:val="auto"/>
                <w:szCs w:val="21"/>
                <w:highlight w:val="none"/>
              </w:rPr>
              <w:t>序号</w:t>
            </w:r>
          </w:p>
        </w:tc>
        <w:tc>
          <w:tcPr>
            <w:tcW w:w="1116" w:type="pct"/>
            <w:tcBorders>
              <w:tl2br w:val="nil"/>
              <w:tr2bl w:val="nil"/>
            </w:tcBorders>
            <w:noWrap w:val="0"/>
            <w:vAlign w:val="center"/>
          </w:tcPr>
          <w:p w14:paraId="2D81BA27">
            <w:pPr>
              <w:keepNext w:val="0"/>
              <w:keepLines w:val="0"/>
              <w:pageBreakBefore w:val="0"/>
              <w:widowControl w:val="0"/>
              <w:kinsoku/>
              <w:wordWrap/>
              <w:overflowPunct/>
              <w:topLinePunct w:val="0"/>
              <w:autoSpaceDE/>
              <w:autoSpaceDN/>
              <w:bidi w:val="0"/>
              <w:adjustRightInd w:val="0"/>
              <w:snapToGrid w:val="0"/>
              <w:jc w:val="center"/>
              <w:textAlignment w:val="auto"/>
              <w:rPr>
                <w:b w:val="0"/>
                <w:bCs w:val="0"/>
                <w:color w:val="auto"/>
                <w:szCs w:val="21"/>
                <w:highlight w:val="none"/>
              </w:rPr>
            </w:pPr>
            <w:r>
              <w:rPr>
                <w:b w:val="0"/>
                <w:bCs w:val="0"/>
                <w:color w:val="auto"/>
                <w:szCs w:val="21"/>
                <w:highlight w:val="none"/>
              </w:rPr>
              <w:t>物质名称</w:t>
            </w:r>
          </w:p>
        </w:tc>
        <w:tc>
          <w:tcPr>
            <w:tcW w:w="1116" w:type="pct"/>
            <w:tcBorders>
              <w:tl2br w:val="nil"/>
              <w:tr2bl w:val="nil"/>
            </w:tcBorders>
            <w:noWrap w:val="0"/>
            <w:vAlign w:val="center"/>
          </w:tcPr>
          <w:p w14:paraId="1D90F1BF">
            <w:pPr>
              <w:keepNext w:val="0"/>
              <w:keepLines w:val="0"/>
              <w:pageBreakBefore w:val="0"/>
              <w:widowControl w:val="0"/>
              <w:kinsoku/>
              <w:wordWrap/>
              <w:overflowPunct/>
              <w:topLinePunct w:val="0"/>
              <w:autoSpaceDE/>
              <w:autoSpaceDN/>
              <w:bidi w:val="0"/>
              <w:adjustRightInd w:val="0"/>
              <w:snapToGrid w:val="0"/>
              <w:jc w:val="center"/>
              <w:textAlignment w:val="auto"/>
              <w:rPr>
                <w:b w:val="0"/>
                <w:bCs w:val="0"/>
                <w:color w:val="auto"/>
                <w:szCs w:val="21"/>
                <w:highlight w:val="none"/>
              </w:rPr>
            </w:pPr>
            <w:r>
              <w:rPr>
                <w:b w:val="0"/>
                <w:bCs w:val="0"/>
                <w:color w:val="auto"/>
                <w:szCs w:val="21"/>
                <w:highlight w:val="none"/>
              </w:rPr>
              <w:t>临界量（t）</w:t>
            </w:r>
          </w:p>
        </w:tc>
        <w:tc>
          <w:tcPr>
            <w:tcW w:w="1449" w:type="pct"/>
            <w:tcBorders>
              <w:tl2br w:val="nil"/>
              <w:tr2bl w:val="nil"/>
            </w:tcBorders>
            <w:noWrap w:val="0"/>
            <w:vAlign w:val="center"/>
          </w:tcPr>
          <w:p w14:paraId="71511636">
            <w:pPr>
              <w:keepNext w:val="0"/>
              <w:keepLines w:val="0"/>
              <w:pageBreakBefore w:val="0"/>
              <w:widowControl w:val="0"/>
              <w:kinsoku/>
              <w:wordWrap/>
              <w:overflowPunct/>
              <w:topLinePunct w:val="0"/>
              <w:autoSpaceDE/>
              <w:autoSpaceDN/>
              <w:bidi w:val="0"/>
              <w:adjustRightInd w:val="0"/>
              <w:snapToGrid w:val="0"/>
              <w:jc w:val="center"/>
              <w:textAlignment w:val="auto"/>
              <w:rPr>
                <w:b w:val="0"/>
                <w:bCs w:val="0"/>
                <w:color w:val="auto"/>
                <w:szCs w:val="21"/>
                <w:highlight w:val="none"/>
              </w:rPr>
            </w:pPr>
            <w:r>
              <w:rPr>
                <w:b w:val="0"/>
                <w:bCs w:val="0"/>
                <w:color w:val="auto"/>
                <w:szCs w:val="21"/>
                <w:highlight w:val="none"/>
              </w:rPr>
              <w:t>最大储存量（t）</w:t>
            </w:r>
          </w:p>
        </w:tc>
        <w:tc>
          <w:tcPr>
            <w:tcW w:w="853" w:type="pct"/>
            <w:tcBorders>
              <w:tl2br w:val="nil"/>
              <w:tr2bl w:val="nil"/>
            </w:tcBorders>
            <w:noWrap w:val="0"/>
            <w:vAlign w:val="center"/>
          </w:tcPr>
          <w:p w14:paraId="699C86A1">
            <w:pPr>
              <w:keepNext w:val="0"/>
              <w:keepLines w:val="0"/>
              <w:pageBreakBefore w:val="0"/>
              <w:widowControl w:val="0"/>
              <w:kinsoku/>
              <w:wordWrap/>
              <w:overflowPunct/>
              <w:topLinePunct w:val="0"/>
              <w:autoSpaceDE/>
              <w:autoSpaceDN/>
              <w:bidi w:val="0"/>
              <w:adjustRightInd w:val="0"/>
              <w:snapToGrid w:val="0"/>
              <w:jc w:val="center"/>
              <w:textAlignment w:val="auto"/>
              <w:rPr>
                <w:b w:val="0"/>
                <w:bCs w:val="0"/>
                <w:color w:val="auto"/>
                <w:szCs w:val="21"/>
                <w:highlight w:val="none"/>
              </w:rPr>
            </w:pPr>
            <w:r>
              <w:rPr>
                <w:b w:val="0"/>
                <w:bCs w:val="0"/>
                <w:color w:val="auto"/>
                <w:szCs w:val="21"/>
                <w:highlight w:val="none"/>
              </w:rPr>
              <w:t>Q</w:t>
            </w:r>
          </w:p>
        </w:tc>
      </w:tr>
      <w:tr w14:paraId="5D1ABD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64" w:type="pct"/>
            <w:tcBorders>
              <w:tl2br w:val="nil"/>
              <w:tr2bl w:val="nil"/>
            </w:tcBorders>
            <w:noWrap w:val="0"/>
            <w:vAlign w:val="center"/>
          </w:tcPr>
          <w:p w14:paraId="365E70D2">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rPr>
            </w:pPr>
            <w:r>
              <w:rPr>
                <w:color w:val="auto"/>
                <w:szCs w:val="21"/>
                <w:highlight w:val="none"/>
              </w:rPr>
              <w:t>1</w:t>
            </w:r>
          </w:p>
        </w:tc>
        <w:tc>
          <w:tcPr>
            <w:tcW w:w="1116" w:type="pct"/>
            <w:tcBorders>
              <w:tl2br w:val="nil"/>
              <w:tr2bl w:val="nil"/>
            </w:tcBorders>
            <w:noWrap w:val="0"/>
            <w:vAlign w:val="center"/>
          </w:tcPr>
          <w:p w14:paraId="0E3E2D26">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rPr>
            </w:pPr>
            <w:r>
              <w:rPr>
                <w:color w:val="auto"/>
                <w:szCs w:val="21"/>
                <w:highlight w:val="none"/>
              </w:rPr>
              <w:t>原油</w:t>
            </w:r>
          </w:p>
        </w:tc>
        <w:tc>
          <w:tcPr>
            <w:tcW w:w="1116" w:type="pct"/>
            <w:tcBorders>
              <w:tl2br w:val="nil"/>
              <w:tr2bl w:val="nil"/>
            </w:tcBorders>
            <w:noWrap w:val="0"/>
            <w:vAlign w:val="center"/>
          </w:tcPr>
          <w:p w14:paraId="3E180A60">
            <w:pPr>
              <w:keepNext w:val="0"/>
              <w:keepLines w:val="0"/>
              <w:pageBreakBefore w:val="0"/>
              <w:widowControl w:val="0"/>
              <w:kinsoku/>
              <w:wordWrap/>
              <w:overflowPunct/>
              <w:topLinePunct w:val="0"/>
              <w:autoSpaceDE/>
              <w:autoSpaceDN/>
              <w:bidi w:val="0"/>
              <w:adjustRightInd w:val="0"/>
              <w:snapToGrid w:val="0"/>
              <w:jc w:val="center"/>
              <w:textAlignment w:val="auto"/>
              <w:rPr>
                <w:rFonts w:eastAsia="宋体"/>
                <w:color w:val="auto"/>
                <w:szCs w:val="21"/>
                <w:highlight w:val="none"/>
              </w:rPr>
            </w:pPr>
            <w:r>
              <w:rPr>
                <w:color w:val="auto"/>
                <w:szCs w:val="21"/>
                <w:highlight w:val="none"/>
              </w:rPr>
              <w:t>2500</w:t>
            </w:r>
          </w:p>
        </w:tc>
        <w:tc>
          <w:tcPr>
            <w:tcW w:w="1449" w:type="pct"/>
            <w:tcBorders>
              <w:tl2br w:val="nil"/>
              <w:tr2bl w:val="nil"/>
            </w:tcBorders>
            <w:noWrap w:val="0"/>
            <w:vAlign w:val="center"/>
          </w:tcPr>
          <w:p w14:paraId="18DF1BF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highlight w:val="none"/>
                <w:lang w:val="en-US" w:eastAsia="zh-CN"/>
              </w:rPr>
              <w:t>317.52</w:t>
            </w:r>
          </w:p>
        </w:tc>
        <w:tc>
          <w:tcPr>
            <w:tcW w:w="853" w:type="pct"/>
            <w:tcBorders>
              <w:tl2br w:val="nil"/>
              <w:tr2bl w:val="nil"/>
            </w:tcBorders>
            <w:noWrap w:val="0"/>
            <w:vAlign w:val="center"/>
          </w:tcPr>
          <w:p w14:paraId="440B439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0.13</w:t>
            </w:r>
          </w:p>
        </w:tc>
      </w:tr>
      <w:tr w14:paraId="6BB7E6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64" w:type="pct"/>
            <w:tcBorders>
              <w:tl2br w:val="nil"/>
              <w:tr2bl w:val="nil"/>
            </w:tcBorders>
            <w:noWrap w:val="0"/>
            <w:vAlign w:val="center"/>
          </w:tcPr>
          <w:p w14:paraId="26453222">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rPr>
            </w:pPr>
            <w:r>
              <w:rPr>
                <w:color w:val="auto"/>
                <w:szCs w:val="21"/>
                <w:highlight w:val="none"/>
              </w:rPr>
              <w:t>2</w:t>
            </w:r>
          </w:p>
        </w:tc>
        <w:tc>
          <w:tcPr>
            <w:tcW w:w="1116" w:type="pct"/>
            <w:tcBorders>
              <w:tl2br w:val="nil"/>
              <w:tr2bl w:val="nil"/>
            </w:tcBorders>
            <w:noWrap w:val="0"/>
            <w:vAlign w:val="center"/>
          </w:tcPr>
          <w:p w14:paraId="6898D564">
            <w:pPr>
              <w:keepNext w:val="0"/>
              <w:keepLines w:val="0"/>
              <w:pageBreakBefore w:val="0"/>
              <w:widowControl w:val="0"/>
              <w:kinsoku/>
              <w:wordWrap/>
              <w:overflowPunct/>
              <w:topLinePunct w:val="0"/>
              <w:autoSpaceDE/>
              <w:autoSpaceDN/>
              <w:bidi w:val="0"/>
              <w:adjustRightInd w:val="0"/>
              <w:snapToGrid w:val="0"/>
              <w:jc w:val="center"/>
              <w:textAlignment w:val="auto"/>
              <w:rPr>
                <w:rFonts w:eastAsia="宋体"/>
                <w:color w:val="auto"/>
                <w:szCs w:val="21"/>
                <w:highlight w:val="none"/>
              </w:rPr>
            </w:pPr>
            <w:r>
              <w:rPr>
                <w:color w:val="auto"/>
                <w:szCs w:val="21"/>
                <w:highlight w:val="none"/>
              </w:rPr>
              <w:t>天然气</w:t>
            </w:r>
          </w:p>
        </w:tc>
        <w:tc>
          <w:tcPr>
            <w:tcW w:w="1116" w:type="pct"/>
            <w:tcBorders>
              <w:tl2br w:val="nil"/>
              <w:tr2bl w:val="nil"/>
            </w:tcBorders>
            <w:noWrap w:val="0"/>
            <w:vAlign w:val="center"/>
          </w:tcPr>
          <w:p w14:paraId="30CEE85F">
            <w:pPr>
              <w:keepNext w:val="0"/>
              <w:keepLines w:val="0"/>
              <w:pageBreakBefore w:val="0"/>
              <w:widowControl w:val="0"/>
              <w:kinsoku/>
              <w:wordWrap/>
              <w:overflowPunct/>
              <w:topLinePunct w:val="0"/>
              <w:autoSpaceDE/>
              <w:autoSpaceDN/>
              <w:bidi w:val="0"/>
              <w:adjustRightInd w:val="0"/>
              <w:snapToGrid w:val="0"/>
              <w:jc w:val="center"/>
              <w:textAlignment w:val="auto"/>
              <w:rPr>
                <w:rFonts w:eastAsia="宋体"/>
                <w:color w:val="auto"/>
                <w:szCs w:val="21"/>
                <w:highlight w:val="none"/>
              </w:rPr>
            </w:pPr>
            <w:r>
              <w:rPr>
                <w:color w:val="auto"/>
                <w:szCs w:val="21"/>
                <w:highlight w:val="none"/>
              </w:rPr>
              <w:t>10</w:t>
            </w:r>
          </w:p>
        </w:tc>
        <w:tc>
          <w:tcPr>
            <w:tcW w:w="1449" w:type="pct"/>
            <w:tcBorders>
              <w:tl2br w:val="nil"/>
              <w:tr2bl w:val="nil"/>
            </w:tcBorders>
            <w:noWrap w:val="0"/>
            <w:vAlign w:val="center"/>
          </w:tcPr>
          <w:p w14:paraId="235A650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0.1094</w:t>
            </w:r>
          </w:p>
        </w:tc>
        <w:tc>
          <w:tcPr>
            <w:tcW w:w="853" w:type="pct"/>
            <w:tcBorders>
              <w:tl2br w:val="nil"/>
              <w:tr2bl w:val="nil"/>
            </w:tcBorders>
            <w:noWrap w:val="0"/>
            <w:vAlign w:val="center"/>
          </w:tcPr>
          <w:p w14:paraId="6C252FF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0.01</w:t>
            </w:r>
          </w:p>
        </w:tc>
      </w:tr>
      <w:tr w14:paraId="7BF6A4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64" w:type="pct"/>
            <w:tcBorders>
              <w:tl2br w:val="nil"/>
              <w:tr2bl w:val="nil"/>
            </w:tcBorders>
            <w:noWrap w:val="0"/>
            <w:vAlign w:val="center"/>
          </w:tcPr>
          <w:p w14:paraId="453E17F6">
            <w:pPr>
              <w:keepNext w:val="0"/>
              <w:keepLines w:val="0"/>
              <w:pageBreakBefore w:val="0"/>
              <w:widowControl w:val="0"/>
              <w:kinsoku/>
              <w:wordWrap/>
              <w:overflowPunct/>
              <w:topLinePunct w:val="0"/>
              <w:autoSpaceDE/>
              <w:autoSpaceDN/>
              <w:bidi w:val="0"/>
              <w:adjustRightInd w:val="0"/>
              <w:snapToGrid w:val="0"/>
              <w:jc w:val="center"/>
              <w:textAlignment w:val="auto"/>
              <w:rPr>
                <w:rFonts w:eastAsia="宋体"/>
                <w:color w:val="auto"/>
                <w:szCs w:val="21"/>
                <w:highlight w:val="none"/>
              </w:rPr>
            </w:pPr>
            <w:bookmarkStart w:id="180" w:name="OLE_LINK50" w:colFirst="0" w:colLast="4"/>
            <w:r>
              <w:rPr>
                <w:color w:val="auto"/>
                <w:szCs w:val="21"/>
                <w:highlight w:val="none"/>
              </w:rPr>
              <w:t>3</w:t>
            </w:r>
          </w:p>
        </w:tc>
        <w:tc>
          <w:tcPr>
            <w:tcW w:w="1116" w:type="pct"/>
            <w:tcBorders>
              <w:tl2br w:val="nil"/>
              <w:tr2bl w:val="nil"/>
            </w:tcBorders>
            <w:noWrap w:val="0"/>
            <w:vAlign w:val="center"/>
          </w:tcPr>
          <w:p w14:paraId="1F250D55">
            <w:pPr>
              <w:keepNext w:val="0"/>
              <w:keepLines w:val="0"/>
              <w:pageBreakBefore w:val="0"/>
              <w:widowControl w:val="0"/>
              <w:kinsoku/>
              <w:wordWrap/>
              <w:overflowPunct/>
              <w:topLinePunct w:val="0"/>
              <w:autoSpaceDE/>
              <w:autoSpaceDN/>
              <w:bidi w:val="0"/>
              <w:adjustRightInd w:val="0"/>
              <w:snapToGrid w:val="0"/>
              <w:jc w:val="center"/>
              <w:textAlignment w:val="auto"/>
              <w:rPr>
                <w:rFonts w:eastAsia="宋体"/>
                <w:color w:val="auto"/>
                <w:szCs w:val="21"/>
                <w:highlight w:val="none"/>
              </w:rPr>
            </w:pPr>
            <w:r>
              <w:rPr>
                <w:color w:val="auto"/>
                <w:szCs w:val="21"/>
                <w:highlight w:val="none"/>
              </w:rPr>
              <w:t>硫化氢</w:t>
            </w:r>
          </w:p>
        </w:tc>
        <w:tc>
          <w:tcPr>
            <w:tcW w:w="1116" w:type="pct"/>
            <w:tcBorders>
              <w:tl2br w:val="nil"/>
              <w:tr2bl w:val="nil"/>
            </w:tcBorders>
            <w:noWrap w:val="0"/>
            <w:vAlign w:val="center"/>
          </w:tcPr>
          <w:p w14:paraId="5D147BBF">
            <w:pPr>
              <w:keepNext w:val="0"/>
              <w:keepLines w:val="0"/>
              <w:pageBreakBefore w:val="0"/>
              <w:widowControl w:val="0"/>
              <w:kinsoku/>
              <w:wordWrap/>
              <w:overflowPunct/>
              <w:topLinePunct w:val="0"/>
              <w:autoSpaceDE/>
              <w:autoSpaceDN/>
              <w:bidi w:val="0"/>
              <w:adjustRightInd w:val="0"/>
              <w:snapToGrid w:val="0"/>
              <w:jc w:val="center"/>
              <w:textAlignment w:val="auto"/>
              <w:rPr>
                <w:rFonts w:eastAsia="宋体"/>
                <w:color w:val="auto"/>
                <w:szCs w:val="21"/>
                <w:highlight w:val="none"/>
              </w:rPr>
            </w:pPr>
            <w:r>
              <w:rPr>
                <w:color w:val="auto"/>
                <w:szCs w:val="21"/>
                <w:highlight w:val="none"/>
              </w:rPr>
              <w:t>2.5</w:t>
            </w:r>
          </w:p>
        </w:tc>
        <w:tc>
          <w:tcPr>
            <w:tcW w:w="1449" w:type="pct"/>
            <w:tcBorders>
              <w:tl2br w:val="nil"/>
              <w:tr2bl w:val="nil"/>
            </w:tcBorders>
            <w:noWrap w:val="0"/>
            <w:vAlign w:val="center"/>
          </w:tcPr>
          <w:p w14:paraId="68840CE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0.0004</w:t>
            </w:r>
          </w:p>
        </w:tc>
        <w:tc>
          <w:tcPr>
            <w:tcW w:w="853" w:type="pct"/>
            <w:tcBorders>
              <w:tl2br w:val="nil"/>
              <w:tr2bl w:val="nil"/>
            </w:tcBorders>
            <w:noWrap w:val="0"/>
            <w:vAlign w:val="center"/>
          </w:tcPr>
          <w:p w14:paraId="37768EC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0.0002</w:t>
            </w:r>
          </w:p>
        </w:tc>
      </w:tr>
      <w:tr w14:paraId="7FAD3A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64" w:type="pct"/>
            <w:tcBorders>
              <w:tl2br w:val="nil"/>
              <w:tr2bl w:val="nil"/>
            </w:tcBorders>
            <w:noWrap w:val="0"/>
            <w:vAlign w:val="center"/>
          </w:tcPr>
          <w:p w14:paraId="58FB37B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szCs w:val="21"/>
                <w:highlight w:val="none"/>
                <w:lang w:val="en-US" w:eastAsia="zh-CN"/>
              </w:rPr>
            </w:pPr>
            <w:bookmarkStart w:id="181" w:name="OLE_LINK81" w:colFirst="0" w:colLast="4"/>
            <w:r>
              <w:rPr>
                <w:rFonts w:hint="eastAsia"/>
                <w:color w:val="auto"/>
                <w:szCs w:val="21"/>
                <w:highlight w:val="none"/>
                <w:lang w:val="en-US" w:eastAsia="zh-CN"/>
              </w:rPr>
              <w:t>4</w:t>
            </w:r>
          </w:p>
        </w:tc>
        <w:tc>
          <w:tcPr>
            <w:tcW w:w="1116" w:type="pct"/>
            <w:tcBorders>
              <w:tl2br w:val="nil"/>
              <w:tr2bl w:val="nil"/>
            </w:tcBorders>
            <w:noWrap w:val="0"/>
            <w:vAlign w:val="center"/>
          </w:tcPr>
          <w:p w14:paraId="4B1FE5B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甲醇</w:t>
            </w:r>
          </w:p>
        </w:tc>
        <w:tc>
          <w:tcPr>
            <w:tcW w:w="1116" w:type="pct"/>
            <w:tcBorders>
              <w:tl2br w:val="nil"/>
              <w:tr2bl w:val="nil"/>
            </w:tcBorders>
            <w:noWrap w:val="0"/>
            <w:vAlign w:val="center"/>
          </w:tcPr>
          <w:p w14:paraId="247DF73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10</w:t>
            </w:r>
          </w:p>
        </w:tc>
        <w:tc>
          <w:tcPr>
            <w:tcW w:w="1449" w:type="pct"/>
            <w:tcBorders>
              <w:tl2br w:val="nil"/>
              <w:tr2bl w:val="nil"/>
            </w:tcBorders>
            <w:noWrap w:val="0"/>
            <w:vAlign w:val="center"/>
          </w:tcPr>
          <w:p w14:paraId="7768D71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2.335</w:t>
            </w:r>
          </w:p>
        </w:tc>
        <w:tc>
          <w:tcPr>
            <w:tcW w:w="853" w:type="pct"/>
            <w:tcBorders>
              <w:tl2br w:val="nil"/>
              <w:tr2bl w:val="nil"/>
            </w:tcBorders>
            <w:noWrap w:val="0"/>
            <w:vAlign w:val="center"/>
          </w:tcPr>
          <w:p w14:paraId="35CF7F5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0.2335</w:t>
            </w:r>
          </w:p>
        </w:tc>
      </w:tr>
      <w:bookmarkEnd w:id="180"/>
      <w:bookmarkEnd w:id="181"/>
      <w:tr w14:paraId="7D9446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146" w:type="pct"/>
            <w:gridSpan w:val="4"/>
            <w:tcBorders>
              <w:tl2br w:val="nil"/>
              <w:tr2bl w:val="nil"/>
            </w:tcBorders>
            <w:noWrap w:val="0"/>
            <w:vAlign w:val="center"/>
          </w:tcPr>
          <w:p w14:paraId="6D0C944A">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rPr>
            </w:pPr>
            <w:r>
              <w:rPr>
                <w:color w:val="auto"/>
                <w:szCs w:val="21"/>
                <w:highlight w:val="none"/>
              </w:rPr>
              <w:t>合计</w:t>
            </w:r>
          </w:p>
        </w:tc>
        <w:tc>
          <w:tcPr>
            <w:tcW w:w="853" w:type="pct"/>
            <w:tcBorders>
              <w:tl2br w:val="nil"/>
              <w:tr2bl w:val="nil"/>
            </w:tcBorders>
            <w:noWrap w:val="0"/>
            <w:vAlign w:val="center"/>
          </w:tcPr>
          <w:p w14:paraId="6F6567F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0.3737</w:t>
            </w:r>
          </w:p>
        </w:tc>
      </w:tr>
    </w:tbl>
    <w:p w14:paraId="7287CD42">
      <w:pPr>
        <w:pStyle w:val="79"/>
        <w:bidi w:val="0"/>
        <w:rPr>
          <w:rFonts w:hint="default"/>
          <w:color w:val="auto"/>
        </w:rPr>
      </w:pPr>
      <w:r>
        <w:rPr>
          <w:rFonts w:hint="default"/>
          <w:color w:val="auto"/>
        </w:rPr>
        <w:t>根据上表计算结果，本工程Q=</w:t>
      </w:r>
      <w:r>
        <w:rPr>
          <w:rFonts w:hint="default"/>
          <w:color w:val="auto"/>
          <w:lang w:val="en-US" w:eastAsia="zh-CN"/>
        </w:rPr>
        <w:t>0.</w:t>
      </w:r>
      <w:r>
        <w:rPr>
          <w:rFonts w:hint="eastAsia"/>
          <w:color w:val="auto"/>
          <w:lang w:val="en-US" w:eastAsia="zh-CN"/>
        </w:rPr>
        <w:t>3737</w:t>
      </w:r>
      <w:r>
        <w:rPr>
          <w:rFonts w:hint="default"/>
          <w:color w:val="auto"/>
        </w:rPr>
        <w:t>，Q＜1。判断项目风险潜势为Ⅰ。根据《建设项目环境风险评价技术导则》（HJ 169-2018）相关要求，本次评价仅对项目可能存在的环境风险进行简单分析。不设置环境风险评价范围。</w:t>
      </w:r>
    </w:p>
    <w:bookmarkEnd w:id="143"/>
    <w:bookmarkEnd w:id="144"/>
    <w:bookmarkEnd w:id="145"/>
    <w:bookmarkEnd w:id="146"/>
    <w:bookmarkEnd w:id="147"/>
    <w:bookmarkEnd w:id="148"/>
    <w:bookmarkEnd w:id="159"/>
    <w:bookmarkEnd w:id="160"/>
    <w:p w14:paraId="6E5CCB13">
      <w:pPr>
        <w:pStyle w:val="75"/>
        <w:bidi w:val="0"/>
        <w:rPr>
          <w:rFonts w:hint="default"/>
          <w:color w:val="auto"/>
        </w:rPr>
      </w:pPr>
      <w:bookmarkStart w:id="182" w:name="_Toc18914"/>
      <w:bookmarkStart w:id="183" w:name="_Toc12024"/>
      <w:bookmarkStart w:id="184" w:name="_Toc15574"/>
      <w:r>
        <w:rPr>
          <w:rFonts w:hint="default"/>
          <w:color w:val="auto"/>
        </w:rPr>
        <w:t>2.</w:t>
      </w:r>
      <w:r>
        <w:rPr>
          <w:rFonts w:hint="eastAsia"/>
          <w:color w:val="auto"/>
          <w:lang w:val="en-US" w:eastAsia="zh-CN"/>
        </w:rPr>
        <w:t xml:space="preserve">6 </w:t>
      </w:r>
      <w:r>
        <w:rPr>
          <w:rFonts w:hint="default"/>
          <w:color w:val="auto"/>
        </w:rPr>
        <w:t>环境保护目标</w:t>
      </w:r>
      <w:bookmarkEnd w:id="182"/>
      <w:bookmarkEnd w:id="183"/>
      <w:bookmarkEnd w:id="184"/>
    </w:p>
    <w:p w14:paraId="67D4A177">
      <w:pPr>
        <w:pStyle w:val="79"/>
        <w:bidi w:val="0"/>
        <w:rPr>
          <w:rFonts w:hint="eastAsia"/>
          <w:color w:val="auto"/>
          <w:lang w:val="en-US" w:eastAsia="zh-CN"/>
        </w:rPr>
      </w:pPr>
      <w:r>
        <w:rPr>
          <w:rFonts w:hint="eastAsia"/>
          <w:color w:val="auto"/>
          <w:lang w:val="en-US" w:eastAsia="zh-CN"/>
        </w:rPr>
        <w:t>现场踏勘结果表明，区域为典型的荒漠生态系统，以天然牧草地为主，项目区属于塔里木河流域重点治理区。评价范围内无国家公园、自然保护区、世界文化和自然遗产地、饮用水水源保护区、永久基本农田、基本草原、自然公园、重要湿地、重点保护野生动物栖息地、重点保护野生植物生长繁殖地、沙化土地封禁保护区等，项目远离人群居住区。</w:t>
      </w:r>
    </w:p>
    <w:p w14:paraId="3E982C0F">
      <w:pPr>
        <w:pStyle w:val="79"/>
        <w:bidi w:val="0"/>
        <w:rPr>
          <w:rFonts w:hint="default"/>
          <w:color w:val="auto"/>
        </w:rPr>
      </w:pPr>
      <w:r>
        <w:rPr>
          <w:rFonts w:hint="eastAsia"/>
          <w:color w:val="auto"/>
        </w:rPr>
        <w:t>据现场调查，确定</w:t>
      </w:r>
      <w:r>
        <w:rPr>
          <w:rFonts w:hint="eastAsia"/>
          <w:color w:val="auto"/>
          <w:lang w:eastAsia="zh-CN"/>
        </w:rPr>
        <w:t>本工程</w:t>
      </w:r>
      <w:r>
        <w:rPr>
          <w:rFonts w:hint="eastAsia"/>
          <w:color w:val="auto"/>
        </w:rPr>
        <w:t>评价范围内主要环境保护敏感目标</w:t>
      </w:r>
      <w:r>
        <w:rPr>
          <w:rFonts w:hint="eastAsia"/>
          <w:color w:val="auto"/>
          <w:lang w:eastAsia="zh-CN"/>
        </w:rPr>
        <w:t>，</w:t>
      </w:r>
      <w:r>
        <w:rPr>
          <w:rFonts w:hint="eastAsia"/>
          <w:color w:val="auto"/>
        </w:rPr>
        <w:t>见表2.</w:t>
      </w:r>
      <w:r>
        <w:rPr>
          <w:rFonts w:hint="eastAsia"/>
          <w:color w:val="auto"/>
          <w:lang w:val="en-US" w:eastAsia="zh-CN"/>
        </w:rPr>
        <w:t>6</w:t>
      </w:r>
      <w:r>
        <w:rPr>
          <w:rFonts w:hint="eastAsia"/>
          <w:color w:val="auto"/>
        </w:rPr>
        <w:t>-1。</w:t>
      </w:r>
    </w:p>
    <w:p w14:paraId="131AE66C">
      <w:pPr>
        <w:pStyle w:val="61"/>
        <w:bidi w:val="0"/>
        <w:jc w:val="both"/>
        <w:rPr>
          <w:rFonts w:hint="eastAsia"/>
          <w:color w:val="auto"/>
        </w:rPr>
      </w:pPr>
      <w:r>
        <w:rPr>
          <w:rFonts w:hint="eastAsia"/>
          <w:color w:val="auto"/>
          <w:lang w:val="en-US" w:eastAsia="zh-CN"/>
        </w:rPr>
        <w:t>表2.6-1  环境保护目标</w:t>
      </w:r>
    </w:p>
    <w:tbl>
      <w:tblPr>
        <w:tblStyle w:val="36"/>
        <w:tblW w:w="507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058"/>
        <w:gridCol w:w="1682"/>
        <w:gridCol w:w="1280"/>
        <w:gridCol w:w="4781"/>
      </w:tblGrid>
      <w:tr w14:paraId="4E3EEB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601" w:type="pct"/>
            <w:tcBorders>
              <w:tl2br w:val="nil"/>
              <w:tr2bl w:val="nil"/>
            </w:tcBorders>
            <w:noWrap w:val="0"/>
            <w:vAlign w:val="center"/>
          </w:tcPr>
          <w:p w14:paraId="6B7C122C">
            <w:pPr>
              <w:keepNext w:val="0"/>
              <w:keepLines w:val="0"/>
              <w:pageBreakBefore w:val="0"/>
              <w:widowControl/>
              <w:kinsoku/>
              <w:wordWrap/>
              <w:overflowPunct/>
              <w:topLinePunct w:val="0"/>
              <w:autoSpaceDE/>
              <w:autoSpaceDN/>
              <w:bidi w:val="0"/>
              <w:adjustRightInd/>
              <w:snapToGrid w:val="0"/>
              <w:spacing w:line="360" w:lineRule="exact"/>
              <w:jc w:val="both"/>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环境要素</w:t>
            </w:r>
          </w:p>
        </w:tc>
        <w:tc>
          <w:tcPr>
            <w:tcW w:w="955" w:type="pct"/>
            <w:tcBorders>
              <w:tl2br w:val="nil"/>
              <w:tr2bl w:val="nil"/>
            </w:tcBorders>
            <w:noWrap w:val="0"/>
            <w:vAlign w:val="center"/>
          </w:tcPr>
          <w:p w14:paraId="4427BCF3">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环境保护</w:t>
            </w:r>
          </w:p>
          <w:p w14:paraId="76F2F68F">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目标名称</w:t>
            </w:r>
          </w:p>
        </w:tc>
        <w:tc>
          <w:tcPr>
            <w:tcW w:w="727" w:type="pct"/>
            <w:tcBorders>
              <w:tl2br w:val="nil"/>
              <w:tr2bl w:val="nil"/>
            </w:tcBorders>
            <w:noWrap w:val="0"/>
            <w:vAlign w:val="center"/>
          </w:tcPr>
          <w:p w14:paraId="74060E9A">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与</w:t>
            </w:r>
            <w:r>
              <w:rPr>
                <w:rFonts w:hint="default" w:ascii="Times New Roman" w:hAnsi="Times New Roman" w:eastAsia="宋体" w:cs="Times New Roman"/>
                <w:color w:val="auto"/>
                <w:kern w:val="0"/>
                <w:sz w:val="21"/>
                <w:szCs w:val="21"/>
                <w:highlight w:val="none"/>
                <w:lang w:eastAsia="zh-CN"/>
              </w:rPr>
              <w:t>本工程</w:t>
            </w:r>
            <w:r>
              <w:rPr>
                <w:rFonts w:hint="default" w:ascii="Times New Roman" w:hAnsi="Times New Roman" w:eastAsia="宋体" w:cs="Times New Roman"/>
                <w:color w:val="auto"/>
                <w:kern w:val="0"/>
                <w:sz w:val="21"/>
                <w:szCs w:val="21"/>
                <w:highlight w:val="none"/>
              </w:rPr>
              <w:t>位置关系</w:t>
            </w:r>
          </w:p>
        </w:tc>
        <w:tc>
          <w:tcPr>
            <w:tcW w:w="2715" w:type="pct"/>
            <w:tcBorders>
              <w:tl2br w:val="nil"/>
              <w:tr2bl w:val="nil"/>
            </w:tcBorders>
            <w:noWrap w:val="0"/>
            <w:vAlign w:val="center"/>
          </w:tcPr>
          <w:p w14:paraId="746A65A6">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保护要求</w:t>
            </w:r>
          </w:p>
        </w:tc>
      </w:tr>
      <w:tr w14:paraId="095E30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601" w:type="pct"/>
            <w:vMerge w:val="restart"/>
            <w:tcBorders>
              <w:tl2br w:val="nil"/>
              <w:tr2bl w:val="nil"/>
            </w:tcBorders>
            <w:noWrap w:val="0"/>
            <w:vAlign w:val="center"/>
          </w:tcPr>
          <w:p w14:paraId="454D7CB9">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生态环境</w:t>
            </w:r>
          </w:p>
        </w:tc>
        <w:tc>
          <w:tcPr>
            <w:tcW w:w="955" w:type="pct"/>
            <w:tcBorders>
              <w:tl2br w:val="nil"/>
              <w:tr2bl w:val="nil"/>
            </w:tcBorders>
            <w:noWrap w:val="0"/>
            <w:vAlign w:val="center"/>
          </w:tcPr>
          <w:p w14:paraId="54F006AA">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塔里木河流域重点治理区</w:t>
            </w:r>
          </w:p>
        </w:tc>
        <w:tc>
          <w:tcPr>
            <w:tcW w:w="727" w:type="pct"/>
            <w:tcBorders>
              <w:tl2br w:val="nil"/>
              <w:tr2bl w:val="nil"/>
            </w:tcBorders>
            <w:noWrap w:val="0"/>
            <w:vAlign w:val="center"/>
          </w:tcPr>
          <w:p w14:paraId="1D1F1698">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项目区及</w:t>
            </w:r>
          </w:p>
          <w:p w14:paraId="1B2FC6CB">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周边</w:t>
            </w:r>
          </w:p>
        </w:tc>
        <w:tc>
          <w:tcPr>
            <w:tcW w:w="2715" w:type="pct"/>
            <w:tcBorders>
              <w:tl2br w:val="nil"/>
              <w:tr2bl w:val="nil"/>
            </w:tcBorders>
            <w:noWrap w:val="0"/>
            <w:vAlign w:val="center"/>
          </w:tcPr>
          <w:p w14:paraId="2CC62FE3">
            <w:pPr>
              <w:keepNext w:val="0"/>
              <w:keepLines w:val="0"/>
              <w:pageBreakBefore w:val="0"/>
              <w:widowControl/>
              <w:kinsoku/>
              <w:wordWrap/>
              <w:overflowPunct/>
              <w:topLinePunct w:val="0"/>
              <w:autoSpaceDE/>
              <w:autoSpaceDN/>
              <w:bidi w:val="0"/>
              <w:adjustRightInd/>
              <w:snapToGrid w:val="0"/>
              <w:spacing w:line="360" w:lineRule="exact"/>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zh-TW"/>
              </w:rPr>
              <w:t>保护项目区生态系统完整性和稳定性，保护土壤环境质量，</w:t>
            </w:r>
            <w:r>
              <w:rPr>
                <w:rFonts w:hint="default" w:ascii="Times New Roman" w:hAnsi="Times New Roman" w:eastAsia="宋体" w:cs="Times New Roman"/>
                <w:color w:val="auto"/>
                <w:kern w:val="0"/>
                <w:sz w:val="21"/>
                <w:szCs w:val="21"/>
                <w:highlight w:val="none"/>
              </w:rPr>
              <w:t>做好植被恢复与水土保持工作</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zh-TW"/>
              </w:rPr>
              <w:t>使项目区现有生态环境不因本工程的建设受到破坏</w:t>
            </w:r>
          </w:p>
        </w:tc>
      </w:tr>
      <w:tr w14:paraId="4D77B5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601" w:type="pct"/>
            <w:vMerge w:val="continue"/>
            <w:tcBorders>
              <w:tl2br w:val="nil"/>
              <w:tr2bl w:val="nil"/>
            </w:tcBorders>
            <w:noWrap w:val="0"/>
            <w:vAlign w:val="center"/>
          </w:tcPr>
          <w:p w14:paraId="02521778">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color w:val="auto"/>
                <w:kern w:val="0"/>
                <w:sz w:val="21"/>
                <w:szCs w:val="21"/>
                <w:highlight w:val="none"/>
              </w:rPr>
            </w:pPr>
          </w:p>
        </w:tc>
        <w:tc>
          <w:tcPr>
            <w:tcW w:w="955" w:type="pct"/>
            <w:tcBorders>
              <w:tl2br w:val="nil"/>
              <w:tr2bl w:val="nil"/>
            </w:tcBorders>
            <w:noWrap w:val="0"/>
            <w:vAlign w:val="center"/>
          </w:tcPr>
          <w:p w14:paraId="7B6E15BC">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野生动植物、天然牧草地</w:t>
            </w:r>
          </w:p>
        </w:tc>
        <w:tc>
          <w:tcPr>
            <w:tcW w:w="727" w:type="pct"/>
            <w:tcBorders>
              <w:tl2br w:val="nil"/>
              <w:tr2bl w:val="nil"/>
            </w:tcBorders>
            <w:noWrap w:val="0"/>
            <w:vAlign w:val="center"/>
          </w:tcPr>
          <w:p w14:paraId="04194C2F">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项目区及周边</w:t>
            </w:r>
          </w:p>
        </w:tc>
        <w:tc>
          <w:tcPr>
            <w:tcW w:w="2715" w:type="pct"/>
            <w:tcBorders>
              <w:tl2br w:val="nil"/>
              <w:tr2bl w:val="nil"/>
            </w:tcBorders>
            <w:noWrap w:val="0"/>
            <w:vAlign w:val="center"/>
          </w:tcPr>
          <w:p w14:paraId="3891E860">
            <w:pPr>
              <w:keepNext w:val="0"/>
              <w:keepLines w:val="0"/>
              <w:pageBreakBefore w:val="0"/>
              <w:widowControl/>
              <w:kinsoku/>
              <w:wordWrap/>
              <w:overflowPunct/>
              <w:topLinePunct w:val="0"/>
              <w:autoSpaceDE/>
              <w:autoSpaceDN/>
              <w:bidi w:val="0"/>
              <w:adjustRightInd/>
              <w:snapToGrid w:val="0"/>
              <w:spacing w:line="360" w:lineRule="exact"/>
              <w:jc w:val="left"/>
              <w:textAlignment w:val="auto"/>
              <w:rPr>
                <w:rFonts w:hint="default" w:ascii="Times New Roman" w:hAnsi="Times New Roman" w:eastAsia="宋体" w:cs="Times New Roman"/>
                <w:color w:val="auto"/>
                <w:kern w:val="0"/>
                <w:sz w:val="21"/>
                <w:szCs w:val="21"/>
                <w:highlight w:val="none"/>
                <w:lang w:val="zh-TW"/>
              </w:rPr>
            </w:pPr>
            <w:r>
              <w:rPr>
                <w:rFonts w:hint="default" w:ascii="Times New Roman" w:hAnsi="Times New Roman" w:eastAsia="宋体" w:cs="Times New Roman"/>
                <w:color w:val="auto"/>
                <w:kern w:val="0"/>
                <w:sz w:val="21"/>
                <w:szCs w:val="21"/>
                <w:highlight w:val="none"/>
                <w:lang w:val="zh-TW"/>
              </w:rPr>
              <w:t>控制占地面积，禁止捕杀野生动物，禁止对占地范围外的植被造成破坏</w:t>
            </w:r>
          </w:p>
        </w:tc>
      </w:tr>
      <w:tr w14:paraId="3B8D40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9" w:hRule="atLeast"/>
          <w:jc w:val="center"/>
        </w:trPr>
        <w:tc>
          <w:tcPr>
            <w:tcW w:w="601" w:type="pct"/>
            <w:tcBorders>
              <w:tl2br w:val="nil"/>
              <w:tr2bl w:val="nil"/>
            </w:tcBorders>
            <w:noWrap w:val="0"/>
            <w:vAlign w:val="center"/>
          </w:tcPr>
          <w:p w14:paraId="2E81FFF7">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空气</w:t>
            </w:r>
          </w:p>
        </w:tc>
        <w:tc>
          <w:tcPr>
            <w:tcW w:w="955" w:type="pct"/>
            <w:tcBorders>
              <w:tl2br w:val="nil"/>
              <w:tr2bl w:val="nil"/>
            </w:tcBorders>
            <w:noWrap w:val="0"/>
            <w:vAlign w:val="center"/>
          </w:tcPr>
          <w:p w14:paraId="308B83E0">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727" w:type="pct"/>
            <w:tcBorders>
              <w:tl2br w:val="nil"/>
              <w:tr2bl w:val="nil"/>
            </w:tcBorders>
            <w:noWrap w:val="0"/>
            <w:vAlign w:val="center"/>
          </w:tcPr>
          <w:p w14:paraId="3DB5588E">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2715" w:type="pct"/>
            <w:tcBorders>
              <w:tl2br w:val="nil"/>
              <w:tr2bl w:val="nil"/>
            </w:tcBorders>
            <w:noWrap w:val="0"/>
            <w:vAlign w:val="center"/>
          </w:tcPr>
          <w:p w14:paraId="694E6346">
            <w:pPr>
              <w:keepNext w:val="0"/>
              <w:keepLines w:val="0"/>
              <w:pageBreakBefore w:val="0"/>
              <w:widowControl/>
              <w:kinsoku/>
              <w:wordWrap/>
              <w:overflowPunct/>
              <w:topLinePunct w:val="0"/>
              <w:autoSpaceDE/>
              <w:autoSpaceDN/>
              <w:bidi w:val="0"/>
              <w:adjustRightInd/>
              <w:snapToGrid w:val="0"/>
              <w:spacing w:line="360" w:lineRule="exact"/>
              <w:jc w:val="left"/>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《环境空气质量标准》（GB3095-2012）中二级标准</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不因本工程建设降低区域环境空气质量</w:t>
            </w:r>
          </w:p>
        </w:tc>
      </w:tr>
      <w:tr w14:paraId="5FA292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601" w:type="pct"/>
            <w:tcBorders>
              <w:tl2br w:val="nil"/>
              <w:tr2bl w:val="nil"/>
            </w:tcBorders>
            <w:noWrap w:val="0"/>
            <w:vAlign w:val="center"/>
          </w:tcPr>
          <w:p w14:paraId="00E90F1F">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水环境</w:t>
            </w:r>
          </w:p>
        </w:tc>
        <w:tc>
          <w:tcPr>
            <w:tcW w:w="955" w:type="pct"/>
            <w:tcBorders>
              <w:tl2br w:val="nil"/>
              <w:tr2bl w:val="nil"/>
            </w:tcBorders>
            <w:noWrap w:val="0"/>
            <w:vAlign w:val="center"/>
          </w:tcPr>
          <w:p w14:paraId="52C3E27F">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评价范围内的潜水含水层</w:t>
            </w:r>
          </w:p>
        </w:tc>
        <w:tc>
          <w:tcPr>
            <w:tcW w:w="727" w:type="pct"/>
            <w:tcBorders>
              <w:tl2br w:val="nil"/>
              <w:tr2bl w:val="nil"/>
            </w:tcBorders>
            <w:noWrap w:val="0"/>
            <w:vAlign w:val="center"/>
          </w:tcPr>
          <w:p w14:paraId="134AD29F">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项目区及</w:t>
            </w:r>
          </w:p>
          <w:p w14:paraId="497BE684">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周边</w:t>
            </w:r>
          </w:p>
        </w:tc>
        <w:tc>
          <w:tcPr>
            <w:tcW w:w="2715" w:type="pct"/>
            <w:tcBorders>
              <w:tl2br w:val="nil"/>
              <w:tr2bl w:val="nil"/>
            </w:tcBorders>
            <w:noWrap w:val="0"/>
            <w:vAlign w:val="center"/>
          </w:tcPr>
          <w:p w14:paraId="0522944F">
            <w:pPr>
              <w:keepNext w:val="0"/>
              <w:keepLines w:val="0"/>
              <w:pageBreakBefore w:val="0"/>
              <w:widowControl/>
              <w:kinsoku/>
              <w:wordWrap/>
              <w:overflowPunct/>
              <w:topLinePunct w:val="0"/>
              <w:autoSpaceDE/>
              <w:autoSpaceDN/>
              <w:bidi w:val="0"/>
              <w:adjustRightInd/>
              <w:snapToGrid w:val="0"/>
              <w:spacing w:line="360" w:lineRule="exact"/>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《地下水质量标准》（GB/T14848-2017）中Ⅲ类标准</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不因本工程建设降低区域地下水环境质量</w:t>
            </w:r>
          </w:p>
        </w:tc>
      </w:tr>
      <w:tr w14:paraId="2E6980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601" w:type="pct"/>
            <w:tcBorders>
              <w:tl2br w:val="nil"/>
              <w:tr2bl w:val="nil"/>
            </w:tcBorders>
            <w:noWrap w:val="0"/>
            <w:vAlign w:val="center"/>
          </w:tcPr>
          <w:p w14:paraId="476D6B49">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声</w:t>
            </w:r>
          </w:p>
        </w:tc>
        <w:tc>
          <w:tcPr>
            <w:tcW w:w="955" w:type="pct"/>
            <w:tcBorders>
              <w:tl2br w:val="nil"/>
              <w:tr2bl w:val="nil"/>
            </w:tcBorders>
            <w:noWrap w:val="0"/>
            <w:vAlign w:val="center"/>
          </w:tcPr>
          <w:p w14:paraId="1C7F61FF">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727" w:type="pct"/>
            <w:tcBorders>
              <w:tl2br w:val="nil"/>
              <w:tr2bl w:val="nil"/>
            </w:tcBorders>
            <w:noWrap w:val="0"/>
            <w:vAlign w:val="center"/>
          </w:tcPr>
          <w:p w14:paraId="17AEBD86">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2715" w:type="pct"/>
            <w:tcBorders>
              <w:tl2br w:val="nil"/>
              <w:tr2bl w:val="nil"/>
            </w:tcBorders>
            <w:noWrap w:val="0"/>
            <w:vAlign w:val="center"/>
          </w:tcPr>
          <w:p w14:paraId="6E008918">
            <w:pPr>
              <w:keepNext w:val="0"/>
              <w:keepLines w:val="0"/>
              <w:pageBreakBefore w:val="0"/>
              <w:widowControl/>
              <w:kinsoku/>
              <w:wordWrap/>
              <w:overflowPunct/>
              <w:topLinePunct w:val="0"/>
              <w:autoSpaceDE/>
              <w:autoSpaceDN/>
              <w:bidi w:val="0"/>
              <w:adjustRightInd/>
              <w:snapToGrid w:val="0"/>
              <w:spacing w:line="360" w:lineRule="exact"/>
              <w:jc w:val="left"/>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《声环境质量标准》（GB3096-2008）中2类区标准</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不因本工程建设降低区域声环境质量</w:t>
            </w:r>
          </w:p>
        </w:tc>
      </w:tr>
      <w:tr w14:paraId="284016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601" w:type="pct"/>
            <w:tcBorders>
              <w:tl2br w:val="nil"/>
              <w:tr2bl w:val="nil"/>
            </w:tcBorders>
            <w:noWrap w:val="0"/>
            <w:vAlign w:val="center"/>
          </w:tcPr>
          <w:p w14:paraId="65073925">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土壤</w:t>
            </w:r>
          </w:p>
        </w:tc>
        <w:tc>
          <w:tcPr>
            <w:tcW w:w="955" w:type="pct"/>
            <w:tcBorders>
              <w:tl2br w:val="nil"/>
              <w:tr2bl w:val="nil"/>
            </w:tcBorders>
            <w:noWrap w:val="0"/>
            <w:vAlign w:val="center"/>
          </w:tcPr>
          <w:p w14:paraId="22157BCF">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评价范围内土壤</w:t>
            </w:r>
          </w:p>
        </w:tc>
        <w:tc>
          <w:tcPr>
            <w:tcW w:w="727" w:type="pct"/>
            <w:tcBorders>
              <w:tl2br w:val="nil"/>
              <w:tr2bl w:val="nil"/>
            </w:tcBorders>
            <w:noWrap w:val="0"/>
            <w:vAlign w:val="center"/>
          </w:tcPr>
          <w:p w14:paraId="24DD38A8">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站</w:t>
            </w:r>
            <w:r>
              <w:rPr>
                <w:rFonts w:hint="default" w:ascii="Times New Roman" w:hAnsi="Times New Roman" w:eastAsia="宋体" w:cs="Times New Roman"/>
                <w:color w:val="auto"/>
                <w:kern w:val="0"/>
                <w:sz w:val="21"/>
                <w:szCs w:val="21"/>
                <w:highlight w:val="none"/>
              </w:rPr>
              <w:t>场周边</w:t>
            </w:r>
            <w:r>
              <w:rPr>
                <w:rFonts w:hint="default" w:ascii="Times New Roman" w:hAnsi="Times New Roman" w:eastAsia="宋体" w:cs="Times New Roman"/>
                <w:color w:val="auto"/>
                <w:kern w:val="0"/>
                <w:sz w:val="21"/>
                <w:szCs w:val="21"/>
                <w:highlight w:val="none"/>
                <w:lang w:val="en-US" w:eastAsia="zh-CN"/>
              </w:rPr>
              <w:t>2k</w:t>
            </w:r>
            <w:r>
              <w:rPr>
                <w:rFonts w:hint="default" w:ascii="Times New Roman" w:hAnsi="Times New Roman" w:eastAsia="宋体" w:cs="Times New Roman"/>
                <w:color w:val="auto"/>
                <w:kern w:val="0"/>
                <w:sz w:val="21"/>
                <w:szCs w:val="21"/>
                <w:highlight w:val="none"/>
              </w:rPr>
              <w:t>m</w:t>
            </w:r>
          </w:p>
        </w:tc>
        <w:tc>
          <w:tcPr>
            <w:tcW w:w="2715" w:type="pct"/>
            <w:tcBorders>
              <w:tl2br w:val="nil"/>
              <w:tr2bl w:val="nil"/>
            </w:tcBorders>
            <w:noWrap w:val="0"/>
            <w:vAlign w:val="center"/>
          </w:tcPr>
          <w:p w14:paraId="121BCEEF">
            <w:pPr>
              <w:keepNext w:val="0"/>
              <w:keepLines w:val="0"/>
              <w:pageBreakBefore w:val="0"/>
              <w:widowControl/>
              <w:kinsoku/>
              <w:wordWrap/>
              <w:overflowPunct/>
              <w:topLinePunct w:val="0"/>
              <w:autoSpaceDE/>
              <w:autoSpaceDN/>
              <w:bidi w:val="0"/>
              <w:adjustRightInd/>
              <w:snapToGrid w:val="0"/>
              <w:spacing w:line="360" w:lineRule="exact"/>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确保</w:t>
            </w:r>
            <w:r>
              <w:rPr>
                <w:rFonts w:hint="default" w:ascii="Times New Roman" w:hAnsi="Times New Roman" w:eastAsia="宋体" w:cs="Times New Roman"/>
                <w:color w:val="auto"/>
                <w:kern w:val="0"/>
                <w:sz w:val="21"/>
                <w:szCs w:val="21"/>
                <w:highlight w:val="none"/>
                <w:lang w:val="en-US" w:eastAsia="zh-CN"/>
              </w:rPr>
              <w:t>占地</w:t>
            </w:r>
            <w:r>
              <w:rPr>
                <w:rFonts w:hint="default" w:ascii="Times New Roman" w:hAnsi="Times New Roman" w:eastAsia="宋体" w:cs="Times New Roman"/>
                <w:color w:val="auto"/>
                <w:kern w:val="0"/>
                <w:sz w:val="21"/>
                <w:szCs w:val="21"/>
                <w:highlight w:val="none"/>
              </w:rPr>
              <w:t>范围内土壤质量达到</w:t>
            </w:r>
            <w:r>
              <w:rPr>
                <w:rFonts w:hint="default" w:ascii="Times New Roman" w:hAnsi="Times New Roman" w:eastAsia="宋体" w:cs="Times New Roman"/>
                <w:color w:val="auto"/>
                <w:spacing w:val="-6"/>
                <w:kern w:val="0"/>
                <w:sz w:val="21"/>
                <w:szCs w:val="21"/>
                <w:highlight w:val="none"/>
              </w:rPr>
              <w:t>《土壤环境质量建设用地土壤污染风险管控标准（试行）》（GB36600-2018）</w:t>
            </w:r>
            <w:r>
              <w:rPr>
                <w:rFonts w:hint="default" w:ascii="Times New Roman" w:hAnsi="Times New Roman" w:eastAsia="宋体" w:cs="Times New Roman"/>
                <w:color w:val="auto"/>
                <w:kern w:val="0"/>
                <w:sz w:val="21"/>
                <w:szCs w:val="21"/>
                <w:highlight w:val="none"/>
              </w:rPr>
              <w:t>第二类用地土壤筛选值要求</w:t>
            </w:r>
          </w:p>
        </w:tc>
      </w:tr>
      <w:tr w14:paraId="51EA2F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601" w:type="pct"/>
            <w:tcBorders>
              <w:tl2br w:val="nil"/>
              <w:tr2bl w:val="nil"/>
            </w:tcBorders>
            <w:noWrap w:val="0"/>
            <w:vAlign w:val="center"/>
          </w:tcPr>
          <w:p w14:paraId="09262F6F">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环境风险</w:t>
            </w:r>
          </w:p>
        </w:tc>
        <w:tc>
          <w:tcPr>
            <w:tcW w:w="955" w:type="pct"/>
            <w:tcBorders>
              <w:tl2br w:val="nil"/>
              <w:tr2bl w:val="nil"/>
            </w:tcBorders>
            <w:noWrap w:val="0"/>
            <w:vAlign w:val="center"/>
          </w:tcPr>
          <w:p w14:paraId="20EFD2D9">
            <w:pPr>
              <w:keepNext w:val="0"/>
              <w:keepLines w:val="0"/>
              <w:pageBreakBefore w:val="0"/>
              <w:widowControl/>
              <w:kinsoku/>
              <w:wordWrap/>
              <w:overflowPunct/>
              <w:topLinePunct w:val="0"/>
              <w:autoSpaceDE/>
              <w:autoSpaceDN/>
              <w:bidi w:val="0"/>
              <w:adjustRightInd/>
              <w:snapToGrid w:val="0"/>
              <w:spacing w:line="360" w:lineRule="exact"/>
              <w:jc w:val="both"/>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rPr>
              <w:t>项目区土壤、地下水</w:t>
            </w:r>
          </w:p>
        </w:tc>
        <w:tc>
          <w:tcPr>
            <w:tcW w:w="727" w:type="pct"/>
            <w:tcBorders>
              <w:tl2br w:val="nil"/>
              <w:tr2bl w:val="nil"/>
            </w:tcBorders>
            <w:noWrap w:val="0"/>
            <w:vAlign w:val="center"/>
          </w:tcPr>
          <w:p w14:paraId="0EE619CA">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项目区及</w:t>
            </w:r>
          </w:p>
          <w:p w14:paraId="5CC04F91">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周边</w:t>
            </w:r>
          </w:p>
        </w:tc>
        <w:tc>
          <w:tcPr>
            <w:tcW w:w="2715" w:type="pct"/>
            <w:tcBorders>
              <w:tl2br w:val="nil"/>
              <w:tr2bl w:val="nil"/>
            </w:tcBorders>
            <w:noWrap w:val="0"/>
            <w:vAlign w:val="center"/>
          </w:tcPr>
          <w:p w14:paraId="58F25ECD">
            <w:pPr>
              <w:keepNext w:val="0"/>
              <w:keepLines w:val="0"/>
              <w:pageBreakBefore w:val="0"/>
              <w:widowControl/>
              <w:kinsoku/>
              <w:wordWrap/>
              <w:overflowPunct/>
              <w:topLinePunct w:val="0"/>
              <w:autoSpaceDE/>
              <w:autoSpaceDN/>
              <w:bidi w:val="0"/>
              <w:adjustRightInd/>
              <w:snapToGrid w:val="0"/>
              <w:spacing w:line="360" w:lineRule="exact"/>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6"/>
                <w:kern w:val="0"/>
                <w:sz w:val="21"/>
                <w:szCs w:val="21"/>
                <w:highlight w:val="none"/>
              </w:rPr>
              <w:t>发生风险事故时，可快速采取环境风险防范措施，确保风险事故对土壤、地下水等环境的影响程度可控</w:t>
            </w:r>
          </w:p>
        </w:tc>
      </w:tr>
    </w:tbl>
    <w:p w14:paraId="257B174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lang w:eastAsia="zh-CN"/>
        </w:rPr>
        <w:sectPr>
          <w:pgSz w:w="11906"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AndChars" w:linePitch="316" w:charSpace="0"/>
        </w:sectPr>
      </w:pPr>
    </w:p>
    <w:p w14:paraId="56C70738">
      <w:pPr>
        <w:pStyle w:val="26"/>
        <w:jc w:val="center"/>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图2.5-1    本项目评价范围图</w:t>
      </w:r>
    </w:p>
    <w:p w14:paraId="13CCDE71">
      <w:pPr>
        <w:pStyle w:val="26"/>
        <w:rPr>
          <w:rFonts w:hint="default"/>
          <w:color w:val="auto"/>
          <w:sz w:val="24"/>
          <w:szCs w:val="24"/>
        </w:rPr>
        <w:sectPr>
          <w:pgSz w:w="16838" w:h="11906" w:orient="landscape"/>
          <w:pgMar w:top="1814" w:right="1474" w:bottom="1474" w:left="1474" w:header="850" w:footer="992" w:gutter="0"/>
          <w:pgBorders>
            <w:top w:val="none" w:sz="0" w:space="0"/>
            <w:left w:val="none" w:sz="0" w:space="0"/>
            <w:bottom w:val="none" w:sz="0" w:space="0"/>
            <w:right w:val="none" w:sz="0" w:space="0"/>
          </w:pgBorders>
          <w:pgNumType w:fmt="decimal"/>
          <w:cols w:space="0" w:num="1"/>
          <w:rtlGutter w:val="0"/>
          <w:docGrid w:type="linesAndChars" w:linePitch="316" w:charSpace="0"/>
        </w:sectPr>
      </w:pPr>
    </w:p>
    <w:p w14:paraId="6BECD410">
      <w:pPr>
        <w:pStyle w:val="75"/>
        <w:bidi w:val="0"/>
        <w:rPr>
          <w:rFonts w:hint="default"/>
          <w:color w:val="auto"/>
        </w:rPr>
      </w:pPr>
      <w:bookmarkStart w:id="185" w:name="_Toc25234"/>
      <w:bookmarkStart w:id="186" w:name="_Toc8116"/>
      <w:bookmarkStart w:id="187" w:name="_Toc390851523"/>
      <w:bookmarkStart w:id="188" w:name="_Toc36583807"/>
      <w:bookmarkStart w:id="189" w:name="_Toc10886"/>
      <w:bookmarkStart w:id="190" w:name="_Toc507411708"/>
      <w:bookmarkStart w:id="191" w:name="_Toc500856914"/>
      <w:bookmarkStart w:id="192" w:name="_Toc19961"/>
      <w:r>
        <w:rPr>
          <w:rFonts w:hint="default"/>
          <w:color w:val="auto"/>
        </w:rPr>
        <w:t>2.</w:t>
      </w:r>
      <w:r>
        <w:rPr>
          <w:rFonts w:hint="eastAsia"/>
          <w:color w:val="auto"/>
          <w:lang w:val="en-US" w:eastAsia="zh-CN"/>
        </w:rPr>
        <w:t xml:space="preserve">7 </w:t>
      </w:r>
      <w:r>
        <w:rPr>
          <w:rFonts w:hint="default"/>
          <w:color w:val="auto"/>
        </w:rPr>
        <w:t>评价</w:t>
      </w:r>
      <w:r>
        <w:rPr>
          <w:rFonts w:hint="eastAsia"/>
          <w:color w:val="auto"/>
          <w:lang w:val="en-US" w:eastAsia="zh-CN"/>
        </w:rPr>
        <w:t>内容</w:t>
      </w:r>
      <w:r>
        <w:rPr>
          <w:rFonts w:hint="default"/>
          <w:color w:val="auto"/>
        </w:rPr>
        <w:t>和评价重点</w:t>
      </w:r>
      <w:bookmarkEnd w:id="185"/>
      <w:bookmarkEnd w:id="186"/>
      <w:bookmarkEnd w:id="187"/>
      <w:bookmarkEnd w:id="188"/>
      <w:bookmarkEnd w:id="189"/>
      <w:bookmarkEnd w:id="190"/>
      <w:bookmarkEnd w:id="191"/>
      <w:bookmarkEnd w:id="192"/>
    </w:p>
    <w:p w14:paraId="3AAE4B30">
      <w:pPr>
        <w:pStyle w:val="54"/>
        <w:bidi w:val="0"/>
        <w:rPr>
          <w:rFonts w:hint="default"/>
          <w:color w:val="auto"/>
          <w:lang w:val="en-US" w:eastAsia="zh-CN"/>
        </w:rPr>
      </w:pPr>
      <w:bookmarkStart w:id="193" w:name="_Toc14039"/>
      <w:r>
        <w:rPr>
          <w:rFonts w:hint="eastAsia"/>
          <w:color w:val="auto"/>
          <w:lang w:val="en-US" w:eastAsia="zh-CN"/>
        </w:rPr>
        <w:t>2.7.1评价内容</w:t>
      </w:r>
    </w:p>
    <w:p w14:paraId="4D0937A7">
      <w:pPr>
        <w:pStyle w:val="79"/>
        <w:bidi w:val="0"/>
        <w:rPr>
          <w:rFonts w:hint="default"/>
          <w:color w:val="auto"/>
        </w:rPr>
      </w:pPr>
      <w:r>
        <w:rPr>
          <w:rFonts w:hint="default"/>
          <w:color w:val="auto"/>
        </w:rPr>
        <w:t>根据拟建工程特点及周围环境特征，将本次评价工作内容列于表2.</w:t>
      </w:r>
      <w:r>
        <w:rPr>
          <w:rFonts w:hint="eastAsia"/>
          <w:color w:val="auto"/>
          <w:lang w:val="en-US" w:eastAsia="zh-CN"/>
        </w:rPr>
        <w:t>7</w:t>
      </w:r>
      <w:r>
        <w:rPr>
          <w:rFonts w:hint="default"/>
          <w:color w:val="auto"/>
        </w:rPr>
        <w:t>-1。</w:t>
      </w:r>
    </w:p>
    <w:p w14:paraId="7CB9CAEA">
      <w:pPr>
        <w:pStyle w:val="61"/>
        <w:bidi w:val="0"/>
        <w:jc w:val="both"/>
        <w:rPr>
          <w:rFonts w:hint="default"/>
          <w:color w:val="auto"/>
        </w:rPr>
      </w:pPr>
      <w:r>
        <w:rPr>
          <w:rFonts w:hint="default"/>
          <w:color w:val="auto"/>
        </w:rPr>
        <w:t>表</w:t>
      </w:r>
      <w:r>
        <w:rPr>
          <w:rFonts w:hint="eastAsia"/>
          <w:color w:val="auto"/>
          <w:lang w:val="en-US" w:eastAsia="zh-CN"/>
        </w:rPr>
        <w:t>2.7</w:t>
      </w:r>
      <w:r>
        <w:rPr>
          <w:rFonts w:hint="default"/>
          <w:color w:val="auto"/>
        </w:rPr>
        <w:t>-1     评价内容一览表</w:t>
      </w:r>
    </w:p>
    <w:tbl>
      <w:tblPr>
        <w:tblStyle w:val="36"/>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525"/>
        <w:gridCol w:w="1136"/>
        <w:gridCol w:w="6989"/>
        <w:gridCol w:w="21"/>
      </w:tblGrid>
      <w:tr w14:paraId="2D3661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303" w:type="pct"/>
            <w:tcBorders>
              <w:tl2br w:val="nil"/>
              <w:tr2bl w:val="nil"/>
            </w:tcBorders>
            <w:noWrap w:val="0"/>
            <w:vAlign w:val="center"/>
          </w:tcPr>
          <w:p w14:paraId="68E0427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序号</w:t>
            </w:r>
          </w:p>
        </w:tc>
        <w:tc>
          <w:tcPr>
            <w:tcW w:w="655" w:type="pct"/>
            <w:tcBorders>
              <w:tl2br w:val="nil"/>
              <w:tr2bl w:val="nil"/>
            </w:tcBorders>
            <w:noWrap w:val="0"/>
            <w:vAlign w:val="center"/>
          </w:tcPr>
          <w:p w14:paraId="063E2A6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项 目</w:t>
            </w:r>
          </w:p>
        </w:tc>
        <w:tc>
          <w:tcPr>
            <w:tcW w:w="4041" w:type="pct"/>
            <w:gridSpan w:val="2"/>
            <w:tcBorders>
              <w:tl2br w:val="nil"/>
              <w:tr2bl w:val="nil"/>
            </w:tcBorders>
            <w:noWrap w:val="0"/>
            <w:vAlign w:val="center"/>
          </w:tcPr>
          <w:p w14:paraId="5D9E60A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内   容</w:t>
            </w:r>
          </w:p>
        </w:tc>
      </w:tr>
      <w:tr w14:paraId="0DAAAE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95" w:hRule="atLeast"/>
          <w:jc w:val="center"/>
        </w:trPr>
        <w:tc>
          <w:tcPr>
            <w:tcW w:w="303" w:type="pct"/>
            <w:tcBorders>
              <w:tl2br w:val="nil"/>
              <w:tr2bl w:val="nil"/>
            </w:tcBorders>
            <w:noWrap w:val="0"/>
            <w:vAlign w:val="center"/>
          </w:tcPr>
          <w:p w14:paraId="31730074">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1</w:t>
            </w:r>
          </w:p>
        </w:tc>
        <w:tc>
          <w:tcPr>
            <w:tcW w:w="655" w:type="pct"/>
            <w:tcBorders>
              <w:tl2br w:val="nil"/>
              <w:tr2bl w:val="nil"/>
            </w:tcBorders>
            <w:noWrap w:val="0"/>
            <w:vAlign w:val="center"/>
          </w:tcPr>
          <w:p w14:paraId="6A4A4BE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概述</w:t>
            </w:r>
          </w:p>
        </w:tc>
        <w:tc>
          <w:tcPr>
            <w:tcW w:w="4041" w:type="pct"/>
            <w:gridSpan w:val="2"/>
            <w:tcBorders>
              <w:tl2br w:val="nil"/>
              <w:tr2bl w:val="nil"/>
            </w:tcBorders>
            <w:noWrap w:val="0"/>
            <w:vAlign w:val="center"/>
          </w:tcPr>
          <w:p w14:paraId="70FF7E6C">
            <w:pPr>
              <w:keepNext w:val="0"/>
              <w:keepLines w:val="0"/>
              <w:pageBreakBefore w:val="0"/>
              <w:widowControl w:val="0"/>
              <w:kinsoku/>
              <w:wordWrap/>
              <w:overflowPunct/>
              <w:topLinePunct w:val="0"/>
              <w:bidi w:val="0"/>
              <w:adjustRightInd w:val="0"/>
              <w:snapToGrid w:val="0"/>
              <w:spacing w:line="240" w:lineRule="auto"/>
              <w:jc w:val="left"/>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项目由来、环境影响评价工作过程、分析判定相关情况、关注的主要环境问题及环境影响、主要结论</w:t>
            </w:r>
          </w:p>
        </w:tc>
      </w:tr>
      <w:tr w14:paraId="187B13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64" w:hRule="atLeast"/>
          <w:jc w:val="center"/>
        </w:trPr>
        <w:tc>
          <w:tcPr>
            <w:tcW w:w="303" w:type="pct"/>
            <w:tcBorders>
              <w:tl2br w:val="nil"/>
              <w:tr2bl w:val="nil"/>
            </w:tcBorders>
            <w:noWrap w:val="0"/>
            <w:vAlign w:val="center"/>
          </w:tcPr>
          <w:p w14:paraId="170D0C5A">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2</w:t>
            </w:r>
          </w:p>
        </w:tc>
        <w:tc>
          <w:tcPr>
            <w:tcW w:w="655" w:type="pct"/>
            <w:tcBorders>
              <w:tl2br w:val="nil"/>
              <w:tr2bl w:val="nil"/>
            </w:tcBorders>
            <w:noWrap w:val="0"/>
            <w:vAlign w:val="center"/>
          </w:tcPr>
          <w:p w14:paraId="345277D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总则</w:t>
            </w:r>
          </w:p>
        </w:tc>
        <w:tc>
          <w:tcPr>
            <w:tcW w:w="4041" w:type="pct"/>
            <w:gridSpan w:val="2"/>
            <w:tcBorders>
              <w:tl2br w:val="nil"/>
              <w:tr2bl w:val="nil"/>
            </w:tcBorders>
            <w:noWrap w:val="0"/>
            <w:vAlign w:val="center"/>
          </w:tcPr>
          <w:p w14:paraId="324D65BB">
            <w:pPr>
              <w:keepNext w:val="0"/>
              <w:keepLines w:val="0"/>
              <w:pageBreakBefore w:val="0"/>
              <w:widowControl w:val="0"/>
              <w:kinsoku/>
              <w:wordWrap/>
              <w:overflowPunct/>
              <w:topLinePunct w:val="0"/>
              <w:bidi w:val="0"/>
              <w:adjustRightInd w:val="0"/>
              <w:snapToGrid w:val="0"/>
              <w:spacing w:line="240" w:lineRule="auto"/>
              <w:jc w:val="left"/>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编制依据、评价目的和评价原则、环境影响要素和评价因子、评价等级与评价范围、评价内容和评价重点、相关规划、技术规范、政策法规及环境功能区划、评价标准、环境保护目标</w:t>
            </w:r>
          </w:p>
        </w:tc>
      </w:tr>
      <w:tr w14:paraId="691E8F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303" w:type="pct"/>
            <w:tcBorders>
              <w:tl2br w:val="nil"/>
              <w:tr2bl w:val="nil"/>
            </w:tcBorders>
            <w:noWrap w:val="0"/>
            <w:vAlign w:val="center"/>
          </w:tcPr>
          <w:p w14:paraId="159DD91D">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3</w:t>
            </w:r>
          </w:p>
        </w:tc>
        <w:tc>
          <w:tcPr>
            <w:tcW w:w="655" w:type="pct"/>
            <w:tcBorders>
              <w:tl2br w:val="nil"/>
              <w:tr2bl w:val="nil"/>
            </w:tcBorders>
            <w:noWrap w:val="0"/>
            <w:vAlign w:val="center"/>
          </w:tcPr>
          <w:p w14:paraId="6169D62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建设项目工程分析</w:t>
            </w:r>
          </w:p>
        </w:tc>
        <w:tc>
          <w:tcPr>
            <w:tcW w:w="4041" w:type="pct"/>
            <w:gridSpan w:val="2"/>
            <w:tcBorders>
              <w:tl2br w:val="nil"/>
              <w:tr2bl w:val="nil"/>
            </w:tcBorders>
            <w:noWrap w:val="0"/>
            <w:vAlign w:val="center"/>
          </w:tcPr>
          <w:p w14:paraId="43BDB22D">
            <w:pPr>
              <w:keepNext w:val="0"/>
              <w:keepLines w:val="0"/>
              <w:pageBreakBefore w:val="0"/>
              <w:widowControl w:val="0"/>
              <w:kinsoku/>
              <w:wordWrap/>
              <w:overflowPunct/>
              <w:topLinePunct w:val="0"/>
              <w:bidi w:val="0"/>
              <w:adjustRightInd w:val="0"/>
              <w:snapToGrid w:val="0"/>
              <w:spacing w:line="240" w:lineRule="auto"/>
              <w:jc w:val="left"/>
              <w:textAlignment w:val="auto"/>
              <w:rPr>
                <w:rFonts w:hint="default" w:ascii="Times New Roman" w:hAnsi="Times New Roman" w:eastAsia="宋体" w:cs="Times New Roman"/>
                <w:bCs/>
                <w:color w:val="auto"/>
                <w:spacing w:val="-16"/>
                <w:sz w:val="21"/>
                <w:szCs w:val="21"/>
                <w:highlight w:val="none"/>
              </w:rPr>
            </w:pPr>
            <w:r>
              <w:rPr>
                <w:rFonts w:hint="default" w:ascii="Times New Roman" w:hAnsi="Times New Roman" w:eastAsia="宋体" w:cs="Times New Roman"/>
                <w:bCs/>
                <w:color w:val="auto"/>
                <w:spacing w:val="-16"/>
                <w:sz w:val="21"/>
                <w:szCs w:val="21"/>
                <w:highlight w:val="none"/>
              </w:rPr>
              <w:t>现有工程：</w:t>
            </w:r>
            <w:r>
              <w:rPr>
                <w:rFonts w:hint="default" w:ascii="Times New Roman" w:hAnsi="Times New Roman" w:eastAsia="宋体" w:cs="Times New Roman"/>
                <w:color w:val="auto"/>
                <w:spacing w:val="-16"/>
                <w:sz w:val="21"/>
                <w:szCs w:val="21"/>
                <w:highlight w:val="none"/>
                <w:lang w:val="en-US" w:eastAsia="zh-CN"/>
              </w:rPr>
              <w:t>雄英1区块</w:t>
            </w:r>
            <w:r>
              <w:rPr>
                <w:rFonts w:hint="default" w:ascii="Times New Roman" w:hAnsi="Times New Roman" w:eastAsia="宋体" w:cs="Times New Roman"/>
                <w:color w:val="auto"/>
                <w:spacing w:val="-16"/>
                <w:sz w:val="21"/>
                <w:szCs w:val="21"/>
                <w:highlight w:val="none"/>
              </w:rPr>
              <w:t>开发现状、</w:t>
            </w:r>
            <w:r>
              <w:rPr>
                <w:rFonts w:hint="eastAsia" w:cs="Times New Roman"/>
                <w:color w:val="auto"/>
                <w:spacing w:val="-16"/>
                <w:sz w:val="21"/>
                <w:szCs w:val="21"/>
                <w:highlight w:val="none"/>
                <w:lang w:eastAsia="zh-CN"/>
              </w:rPr>
              <w:t>“</w:t>
            </w:r>
            <w:r>
              <w:rPr>
                <w:rFonts w:hint="default" w:ascii="Times New Roman" w:hAnsi="Times New Roman" w:eastAsia="宋体" w:cs="Times New Roman"/>
                <w:color w:val="auto"/>
                <w:spacing w:val="-16"/>
                <w:sz w:val="21"/>
                <w:szCs w:val="21"/>
                <w:highlight w:val="none"/>
              </w:rPr>
              <w:t>三同时</w:t>
            </w:r>
            <w:r>
              <w:rPr>
                <w:rFonts w:hint="eastAsia" w:cs="Times New Roman"/>
                <w:color w:val="auto"/>
                <w:spacing w:val="-16"/>
                <w:sz w:val="21"/>
                <w:szCs w:val="21"/>
                <w:highlight w:val="none"/>
                <w:lang w:eastAsia="zh-CN"/>
              </w:rPr>
              <w:t>”</w:t>
            </w:r>
            <w:r>
              <w:rPr>
                <w:rFonts w:hint="default" w:ascii="Times New Roman" w:hAnsi="Times New Roman" w:eastAsia="宋体" w:cs="Times New Roman"/>
                <w:color w:val="auto"/>
                <w:spacing w:val="-16"/>
                <w:sz w:val="21"/>
                <w:szCs w:val="21"/>
                <w:highlight w:val="none"/>
              </w:rPr>
              <w:t>执行情况、环境影响回顾评价、存在环保问题及整改措施</w:t>
            </w:r>
            <w:r>
              <w:rPr>
                <w:rFonts w:hint="default" w:ascii="Times New Roman" w:hAnsi="Times New Roman" w:eastAsia="宋体" w:cs="Times New Roman"/>
                <w:bCs/>
                <w:color w:val="auto"/>
                <w:spacing w:val="-16"/>
                <w:sz w:val="21"/>
                <w:szCs w:val="21"/>
                <w:highlight w:val="none"/>
              </w:rPr>
              <w:t>。</w:t>
            </w:r>
          </w:p>
          <w:p w14:paraId="2BD74D6E">
            <w:pPr>
              <w:keepNext w:val="0"/>
              <w:keepLines w:val="0"/>
              <w:pageBreakBefore w:val="0"/>
              <w:widowControl w:val="0"/>
              <w:kinsoku/>
              <w:wordWrap/>
              <w:overflowPunct/>
              <w:topLinePunct w:val="0"/>
              <w:bidi w:val="0"/>
              <w:adjustRightInd w:val="0"/>
              <w:snapToGrid w:val="0"/>
              <w:spacing w:line="240" w:lineRule="auto"/>
              <w:jc w:val="left"/>
              <w:textAlignment w:val="auto"/>
              <w:rPr>
                <w:rFonts w:hint="default" w:ascii="Times New Roman" w:hAnsi="Times New Roman" w:eastAsia="宋体" w:cs="Times New Roman"/>
                <w:bCs/>
                <w:color w:val="auto"/>
                <w:spacing w:val="-10"/>
                <w:sz w:val="21"/>
                <w:szCs w:val="21"/>
                <w:highlight w:val="none"/>
              </w:rPr>
            </w:pPr>
            <w:r>
              <w:rPr>
                <w:rFonts w:hint="default" w:ascii="Times New Roman" w:hAnsi="Times New Roman" w:eastAsia="宋体" w:cs="Times New Roman"/>
                <w:bCs/>
                <w:color w:val="auto"/>
                <w:spacing w:val="-10"/>
                <w:sz w:val="21"/>
                <w:szCs w:val="21"/>
                <w:highlight w:val="none"/>
              </w:rPr>
              <w:t>拟建工程：</w:t>
            </w:r>
            <w:r>
              <w:rPr>
                <w:rFonts w:hint="default" w:ascii="Times New Roman" w:hAnsi="Times New Roman" w:eastAsia="宋体" w:cs="Times New Roman"/>
                <w:color w:val="auto"/>
                <w:spacing w:val="-10"/>
                <w:sz w:val="21"/>
                <w:szCs w:val="21"/>
                <w:highlight w:val="none"/>
              </w:rPr>
              <w:t>项目概况、油气资源概况、主要技术经济指标、工程组成、工艺流程及产排污节点、施工期污染源及其防治措施、运营期污染源及其防治措施、退役期污染源及其防治措施、非正常排放、清洁生产分析、污染物年排放量、污染物总量控制分析</w:t>
            </w:r>
            <w:r>
              <w:rPr>
                <w:rFonts w:hint="default" w:ascii="Times New Roman" w:hAnsi="Times New Roman" w:eastAsia="宋体" w:cs="Times New Roman"/>
                <w:bCs/>
                <w:color w:val="auto"/>
                <w:spacing w:val="-10"/>
                <w:sz w:val="21"/>
                <w:szCs w:val="21"/>
                <w:highlight w:val="none"/>
              </w:rPr>
              <w:t>。</w:t>
            </w:r>
          </w:p>
          <w:p w14:paraId="2F5AB199">
            <w:pPr>
              <w:keepNext w:val="0"/>
              <w:keepLines w:val="0"/>
              <w:pageBreakBefore w:val="0"/>
              <w:widowControl w:val="0"/>
              <w:kinsoku/>
              <w:wordWrap/>
              <w:overflowPunct/>
              <w:topLinePunct w:val="0"/>
              <w:bidi w:val="0"/>
              <w:adjustRightInd w:val="0"/>
              <w:snapToGrid w:val="0"/>
              <w:spacing w:line="240" w:lineRule="auto"/>
              <w:jc w:val="left"/>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bCs/>
                <w:color w:val="auto"/>
                <w:spacing w:val="-10"/>
                <w:sz w:val="21"/>
                <w:szCs w:val="21"/>
                <w:highlight w:val="none"/>
              </w:rPr>
              <w:t>依托工程：介绍</w:t>
            </w:r>
            <w:r>
              <w:rPr>
                <w:rFonts w:hint="default" w:ascii="Times New Roman" w:hAnsi="Times New Roman" w:eastAsia="宋体" w:cs="Times New Roman"/>
                <w:color w:val="auto"/>
                <w:spacing w:val="-10"/>
                <w:sz w:val="21"/>
                <w:szCs w:val="21"/>
                <w:highlight w:val="none"/>
              </w:rPr>
              <w:t>英买处理站、哈六联合站、英买力油田钻试修废弃物环保处理站、英买7固废填埋场</w:t>
            </w:r>
            <w:r>
              <w:rPr>
                <w:rFonts w:hint="default" w:ascii="Times New Roman" w:hAnsi="Times New Roman" w:eastAsia="宋体" w:cs="Times New Roman"/>
                <w:color w:val="auto"/>
                <w:spacing w:val="-10"/>
                <w:sz w:val="21"/>
                <w:szCs w:val="21"/>
                <w:highlight w:val="none"/>
                <w:lang w:val="en-US" w:eastAsia="zh-CN"/>
              </w:rPr>
              <w:t>、英买力作业区公寓生活污水处理装置</w:t>
            </w:r>
            <w:r>
              <w:rPr>
                <w:rFonts w:hint="default" w:ascii="Times New Roman" w:hAnsi="Times New Roman" w:eastAsia="宋体" w:cs="Times New Roman"/>
                <w:bCs/>
                <w:color w:val="auto"/>
                <w:spacing w:val="-10"/>
                <w:sz w:val="21"/>
                <w:szCs w:val="21"/>
                <w:highlight w:val="none"/>
              </w:rPr>
              <w:t>等基本情况及依托可行性分析</w:t>
            </w:r>
          </w:p>
        </w:tc>
      </w:tr>
      <w:tr w14:paraId="12F60F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303" w:type="pct"/>
            <w:tcBorders>
              <w:tl2br w:val="nil"/>
              <w:tr2bl w:val="nil"/>
            </w:tcBorders>
            <w:noWrap w:val="0"/>
            <w:vAlign w:val="center"/>
          </w:tcPr>
          <w:p w14:paraId="2E6A705E">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4</w:t>
            </w:r>
          </w:p>
        </w:tc>
        <w:tc>
          <w:tcPr>
            <w:tcW w:w="655" w:type="pct"/>
            <w:tcBorders>
              <w:tl2br w:val="nil"/>
              <w:tr2bl w:val="nil"/>
            </w:tcBorders>
            <w:noWrap w:val="0"/>
            <w:vAlign w:val="center"/>
          </w:tcPr>
          <w:p w14:paraId="1A24350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环境现状调查与评价</w:t>
            </w:r>
          </w:p>
        </w:tc>
        <w:tc>
          <w:tcPr>
            <w:tcW w:w="4041" w:type="pct"/>
            <w:gridSpan w:val="2"/>
            <w:tcBorders>
              <w:tl2br w:val="nil"/>
              <w:tr2bl w:val="nil"/>
            </w:tcBorders>
            <w:noWrap w:val="0"/>
            <w:vAlign w:val="center"/>
          </w:tcPr>
          <w:p w14:paraId="512C9DC0">
            <w:pPr>
              <w:keepNext w:val="0"/>
              <w:keepLines w:val="0"/>
              <w:pageBreakBefore w:val="0"/>
              <w:widowControl w:val="0"/>
              <w:kinsoku/>
              <w:wordWrap/>
              <w:overflowPunct/>
              <w:topLinePunct w:val="0"/>
              <w:bidi w:val="0"/>
              <w:adjustRightInd w:val="0"/>
              <w:snapToGrid w:val="0"/>
              <w:spacing w:line="240" w:lineRule="auto"/>
              <w:jc w:val="left"/>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自然环境概况、环境质量现状监测与评价</w:t>
            </w:r>
          </w:p>
        </w:tc>
      </w:tr>
      <w:tr w14:paraId="14CA0C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gridAfter w:val="1"/>
          <w:wAfter w:w="11" w:type="pct"/>
          <w:trHeight w:val="369" w:hRule="atLeast"/>
          <w:jc w:val="center"/>
        </w:trPr>
        <w:tc>
          <w:tcPr>
            <w:tcW w:w="303" w:type="pct"/>
            <w:tcBorders>
              <w:tl2br w:val="nil"/>
              <w:tr2bl w:val="nil"/>
            </w:tcBorders>
            <w:noWrap w:val="0"/>
            <w:vAlign w:val="center"/>
          </w:tcPr>
          <w:p w14:paraId="0E631453">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5</w:t>
            </w:r>
          </w:p>
        </w:tc>
        <w:tc>
          <w:tcPr>
            <w:tcW w:w="655" w:type="pct"/>
            <w:tcBorders>
              <w:tl2br w:val="nil"/>
              <w:tr2bl w:val="nil"/>
            </w:tcBorders>
            <w:noWrap w:val="0"/>
            <w:vAlign w:val="center"/>
          </w:tcPr>
          <w:p w14:paraId="4E6AD60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环境影响预测与评价</w:t>
            </w:r>
          </w:p>
        </w:tc>
        <w:tc>
          <w:tcPr>
            <w:tcW w:w="4029" w:type="pct"/>
            <w:tcBorders>
              <w:tl2br w:val="nil"/>
              <w:tr2bl w:val="nil"/>
            </w:tcBorders>
            <w:noWrap w:val="0"/>
            <w:vAlign w:val="center"/>
          </w:tcPr>
          <w:p w14:paraId="08FBEB78">
            <w:pPr>
              <w:keepNext w:val="0"/>
              <w:keepLines w:val="0"/>
              <w:pageBreakBefore w:val="0"/>
              <w:widowControl w:val="0"/>
              <w:kinsoku/>
              <w:wordWrap/>
              <w:overflowPunct/>
              <w:topLinePunct w:val="0"/>
              <w:bidi w:val="0"/>
              <w:adjustRightInd w:val="0"/>
              <w:snapToGrid w:val="0"/>
              <w:spacing w:line="240" w:lineRule="auto"/>
              <w:jc w:val="left"/>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施工期环境影响分析</w:t>
            </w:r>
            <w:r>
              <w:rPr>
                <w:rFonts w:hint="eastAsia" w:cs="Times New Roman"/>
                <w:color w:val="auto"/>
                <w:spacing w:val="-10"/>
                <w:sz w:val="21"/>
                <w:szCs w:val="21"/>
                <w:highlight w:val="none"/>
                <w:lang w:eastAsia="zh-CN"/>
              </w:rPr>
              <w:t>（</w:t>
            </w:r>
            <w:r>
              <w:rPr>
                <w:rFonts w:hint="default" w:ascii="Times New Roman" w:hAnsi="Times New Roman" w:eastAsia="宋体" w:cs="Times New Roman"/>
                <w:color w:val="auto"/>
                <w:spacing w:val="-10"/>
                <w:sz w:val="21"/>
                <w:szCs w:val="21"/>
                <w:highlight w:val="none"/>
              </w:rPr>
              <w:t>大气环境、地表水环境、地下水环境、声环境、固体废物、生态影响、土壤环境影响分析</w:t>
            </w:r>
            <w:r>
              <w:rPr>
                <w:rFonts w:hint="eastAsia" w:cs="Times New Roman"/>
                <w:color w:val="auto"/>
                <w:spacing w:val="-10"/>
                <w:sz w:val="21"/>
                <w:szCs w:val="21"/>
                <w:highlight w:val="none"/>
                <w:lang w:eastAsia="zh-CN"/>
              </w:rPr>
              <w:t>）</w:t>
            </w:r>
          </w:p>
          <w:p w14:paraId="5EAB2DB7">
            <w:pPr>
              <w:keepNext w:val="0"/>
              <w:keepLines w:val="0"/>
              <w:pageBreakBefore w:val="0"/>
              <w:widowControl w:val="0"/>
              <w:kinsoku/>
              <w:wordWrap/>
              <w:overflowPunct/>
              <w:topLinePunct w:val="0"/>
              <w:bidi w:val="0"/>
              <w:adjustRightInd w:val="0"/>
              <w:snapToGrid w:val="0"/>
              <w:spacing w:line="240" w:lineRule="auto"/>
              <w:jc w:val="left"/>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运营期环境影响预测与评价</w:t>
            </w:r>
            <w:r>
              <w:rPr>
                <w:rFonts w:hint="eastAsia" w:cs="Times New Roman"/>
                <w:color w:val="auto"/>
                <w:spacing w:val="-10"/>
                <w:sz w:val="21"/>
                <w:szCs w:val="21"/>
                <w:highlight w:val="none"/>
                <w:lang w:eastAsia="zh-CN"/>
              </w:rPr>
              <w:t>（</w:t>
            </w:r>
            <w:r>
              <w:rPr>
                <w:rFonts w:hint="default" w:ascii="Times New Roman" w:hAnsi="Times New Roman" w:eastAsia="宋体" w:cs="Times New Roman"/>
                <w:color w:val="auto"/>
                <w:spacing w:val="-10"/>
                <w:sz w:val="21"/>
                <w:szCs w:val="21"/>
                <w:highlight w:val="none"/>
              </w:rPr>
              <w:t>大气环境、地表水环境、地下水环境、声环境、固体废物、生态影响、土壤环境及环境风险</w:t>
            </w:r>
            <w:r>
              <w:rPr>
                <w:rFonts w:hint="eastAsia" w:cs="Times New Roman"/>
                <w:color w:val="auto"/>
                <w:spacing w:val="-10"/>
                <w:sz w:val="21"/>
                <w:szCs w:val="21"/>
                <w:highlight w:val="none"/>
                <w:lang w:eastAsia="zh-CN"/>
              </w:rPr>
              <w:t>）</w:t>
            </w:r>
          </w:p>
          <w:p w14:paraId="66EBF028">
            <w:pPr>
              <w:keepNext w:val="0"/>
              <w:keepLines w:val="0"/>
              <w:pageBreakBefore w:val="0"/>
              <w:widowControl w:val="0"/>
              <w:kinsoku/>
              <w:wordWrap/>
              <w:overflowPunct/>
              <w:topLinePunct w:val="0"/>
              <w:bidi w:val="0"/>
              <w:adjustRightInd w:val="0"/>
              <w:snapToGrid w:val="0"/>
              <w:spacing w:line="240" w:lineRule="auto"/>
              <w:jc w:val="left"/>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退役期环境影响分析</w:t>
            </w:r>
            <w:r>
              <w:rPr>
                <w:rFonts w:hint="eastAsia" w:cs="Times New Roman"/>
                <w:color w:val="auto"/>
                <w:spacing w:val="-10"/>
                <w:sz w:val="21"/>
                <w:szCs w:val="21"/>
                <w:highlight w:val="none"/>
                <w:lang w:eastAsia="zh-CN"/>
              </w:rPr>
              <w:t>（</w:t>
            </w:r>
            <w:r>
              <w:rPr>
                <w:rFonts w:hint="default" w:ascii="Times New Roman" w:hAnsi="Times New Roman" w:eastAsia="宋体" w:cs="Times New Roman"/>
                <w:color w:val="auto"/>
                <w:spacing w:val="-10"/>
                <w:sz w:val="21"/>
                <w:szCs w:val="21"/>
                <w:highlight w:val="none"/>
              </w:rPr>
              <w:t>退役期污染物情况、退役期生态保护措施</w:t>
            </w:r>
            <w:r>
              <w:rPr>
                <w:rFonts w:hint="eastAsia" w:cs="Times New Roman"/>
                <w:color w:val="auto"/>
                <w:spacing w:val="-10"/>
                <w:sz w:val="21"/>
                <w:szCs w:val="21"/>
                <w:highlight w:val="none"/>
                <w:lang w:eastAsia="zh-CN"/>
              </w:rPr>
              <w:t>）</w:t>
            </w:r>
          </w:p>
        </w:tc>
      </w:tr>
      <w:tr w14:paraId="6A7C8A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gridAfter w:val="1"/>
          <w:wAfter w:w="11" w:type="pct"/>
          <w:trHeight w:val="369" w:hRule="atLeast"/>
          <w:jc w:val="center"/>
        </w:trPr>
        <w:tc>
          <w:tcPr>
            <w:tcW w:w="303" w:type="pct"/>
            <w:tcBorders>
              <w:tl2br w:val="nil"/>
              <w:tr2bl w:val="nil"/>
            </w:tcBorders>
            <w:noWrap w:val="0"/>
            <w:vAlign w:val="center"/>
          </w:tcPr>
          <w:p w14:paraId="20C50DCB">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6</w:t>
            </w:r>
          </w:p>
        </w:tc>
        <w:tc>
          <w:tcPr>
            <w:tcW w:w="655" w:type="pct"/>
            <w:tcBorders>
              <w:tl2br w:val="nil"/>
              <w:tr2bl w:val="nil"/>
            </w:tcBorders>
            <w:noWrap w:val="0"/>
            <w:vAlign w:val="center"/>
          </w:tcPr>
          <w:p w14:paraId="0E321991">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环保措施及其可行性</w:t>
            </w:r>
          </w:p>
          <w:p w14:paraId="00164ED4">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论证</w:t>
            </w:r>
          </w:p>
        </w:tc>
        <w:tc>
          <w:tcPr>
            <w:tcW w:w="4029" w:type="pct"/>
            <w:tcBorders>
              <w:tl2br w:val="nil"/>
              <w:tr2bl w:val="nil"/>
            </w:tcBorders>
            <w:noWrap w:val="0"/>
            <w:vAlign w:val="center"/>
          </w:tcPr>
          <w:p w14:paraId="1E287604">
            <w:pPr>
              <w:keepNext w:val="0"/>
              <w:keepLines w:val="0"/>
              <w:pageBreakBefore w:val="0"/>
              <w:widowControl w:val="0"/>
              <w:kinsoku/>
              <w:wordWrap/>
              <w:overflowPunct/>
              <w:topLinePunct w:val="0"/>
              <w:bidi w:val="0"/>
              <w:adjustRightInd w:val="0"/>
              <w:snapToGrid w:val="0"/>
              <w:spacing w:line="240" w:lineRule="auto"/>
              <w:jc w:val="left"/>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针对项目拟采取的污染防治、生态保护、环境风险防范等环境保护措施，分析论证其技术可行性、经济合理性、长期稳定运行和达标排放的可靠性、满足环境质量改善和排污许可要求的可行性、生态保护和恢复效果的可达性</w:t>
            </w:r>
          </w:p>
        </w:tc>
      </w:tr>
      <w:tr w14:paraId="7A1AD4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gridAfter w:val="1"/>
          <w:wAfter w:w="11" w:type="pct"/>
          <w:trHeight w:val="369" w:hRule="atLeast"/>
          <w:jc w:val="center"/>
        </w:trPr>
        <w:tc>
          <w:tcPr>
            <w:tcW w:w="303" w:type="pct"/>
            <w:tcBorders>
              <w:tl2br w:val="nil"/>
              <w:tr2bl w:val="nil"/>
            </w:tcBorders>
            <w:noWrap w:val="0"/>
            <w:vAlign w:val="center"/>
          </w:tcPr>
          <w:p w14:paraId="5C4F0FB1">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7</w:t>
            </w:r>
          </w:p>
        </w:tc>
        <w:tc>
          <w:tcPr>
            <w:tcW w:w="655" w:type="pct"/>
            <w:tcBorders>
              <w:tl2br w:val="nil"/>
              <w:tr2bl w:val="nil"/>
            </w:tcBorders>
            <w:noWrap w:val="0"/>
            <w:vAlign w:val="center"/>
          </w:tcPr>
          <w:p w14:paraId="7DC8A0B7">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碳排放影响评价</w:t>
            </w:r>
          </w:p>
        </w:tc>
        <w:tc>
          <w:tcPr>
            <w:tcW w:w="4029" w:type="pct"/>
            <w:tcBorders>
              <w:tl2br w:val="nil"/>
              <w:tr2bl w:val="nil"/>
            </w:tcBorders>
            <w:noWrap w:val="0"/>
            <w:vAlign w:val="center"/>
          </w:tcPr>
          <w:p w14:paraId="0157A5D0">
            <w:pPr>
              <w:keepNext w:val="0"/>
              <w:keepLines w:val="0"/>
              <w:pageBreakBefore w:val="0"/>
              <w:widowControl w:val="0"/>
              <w:kinsoku/>
              <w:wordWrap/>
              <w:overflowPunct/>
              <w:topLinePunct w:val="0"/>
              <w:bidi w:val="0"/>
              <w:adjustRightInd w:val="0"/>
              <w:snapToGrid w:val="0"/>
              <w:spacing w:line="240" w:lineRule="auto"/>
              <w:jc w:val="left"/>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碳排放分析、减污降碳措施、碳排放评价结论及建议</w:t>
            </w:r>
          </w:p>
        </w:tc>
      </w:tr>
      <w:tr w14:paraId="1A301C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gridAfter w:val="1"/>
          <w:wAfter w:w="11" w:type="pct"/>
          <w:trHeight w:val="369" w:hRule="atLeast"/>
          <w:jc w:val="center"/>
        </w:trPr>
        <w:tc>
          <w:tcPr>
            <w:tcW w:w="303" w:type="pct"/>
            <w:tcBorders>
              <w:tl2br w:val="nil"/>
              <w:tr2bl w:val="nil"/>
            </w:tcBorders>
            <w:noWrap w:val="0"/>
            <w:vAlign w:val="center"/>
          </w:tcPr>
          <w:p w14:paraId="75BF02ED">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8</w:t>
            </w:r>
          </w:p>
        </w:tc>
        <w:tc>
          <w:tcPr>
            <w:tcW w:w="655" w:type="pct"/>
            <w:tcBorders>
              <w:tl2br w:val="nil"/>
              <w:tr2bl w:val="nil"/>
            </w:tcBorders>
            <w:noWrap w:val="0"/>
            <w:vAlign w:val="center"/>
          </w:tcPr>
          <w:p w14:paraId="0623827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环境影响经济损益分析</w:t>
            </w:r>
          </w:p>
        </w:tc>
        <w:tc>
          <w:tcPr>
            <w:tcW w:w="4029" w:type="pct"/>
            <w:tcBorders>
              <w:tl2br w:val="nil"/>
              <w:tr2bl w:val="nil"/>
            </w:tcBorders>
            <w:noWrap w:val="0"/>
            <w:vAlign w:val="center"/>
          </w:tcPr>
          <w:p w14:paraId="29B76424">
            <w:pPr>
              <w:keepNext w:val="0"/>
              <w:keepLines w:val="0"/>
              <w:pageBreakBefore w:val="0"/>
              <w:widowControl w:val="0"/>
              <w:kinsoku/>
              <w:wordWrap/>
              <w:overflowPunct/>
              <w:topLinePunct w:val="0"/>
              <w:bidi w:val="0"/>
              <w:adjustRightInd w:val="0"/>
              <w:snapToGrid w:val="0"/>
              <w:spacing w:line="240" w:lineRule="auto"/>
              <w:jc w:val="left"/>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从项目实施后的环境影响的正负两方面，以定性和定量相结合方式估算建设项目环境影响的经济价值</w:t>
            </w:r>
          </w:p>
        </w:tc>
      </w:tr>
      <w:tr w14:paraId="447BA7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03" w:type="pct"/>
            <w:tcBorders>
              <w:tl2br w:val="nil"/>
              <w:tr2bl w:val="nil"/>
            </w:tcBorders>
            <w:noWrap w:val="0"/>
            <w:vAlign w:val="center"/>
          </w:tcPr>
          <w:p w14:paraId="702D3F31">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9</w:t>
            </w:r>
          </w:p>
        </w:tc>
        <w:tc>
          <w:tcPr>
            <w:tcW w:w="655" w:type="pct"/>
            <w:tcBorders>
              <w:tl2br w:val="nil"/>
              <w:tr2bl w:val="nil"/>
            </w:tcBorders>
            <w:noWrap w:val="0"/>
            <w:vAlign w:val="center"/>
          </w:tcPr>
          <w:p w14:paraId="4B2C06E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环境管理与监测计划</w:t>
            </w:r>
          </w:p>
        </w:tc>
        <w:tc>
          <w:tcPr>
            <w:tcW w:w="4041" w:type="pct"/>
            <w:gridSpan w:val="2"/>
            <w:tcBorders>
              <w:tl2br w:val="nil"/>
              <w:tr2bl w:val="nil"/>
            </w:tcBorders>
            <w:noWrap w:val="0"/>
            <w:vAlign w:val="center"/>
          </w:tcPr>
          <w:p w14:paraId="01D8DD59">
            <w:pPr>
              <w:keepNext w:val="0"/>
              <w:keepLines w:val="0"/>
              <w:pageBreakBefore w:val="0"/>
              <w:widowControl w:val="0"/>
              <w:kinsoku/>
              <w:wordWrap/>
              <w:overflowPunct/>
              <w:topLinePunct w:val="0"/>
              <w:bidi w:val="0"/>
              <w:adjustRightInd w:val="0"/>
              <w:snapToGrid w:val="0"/>
              <w:spacing w:line="240" w:lineRule="auto"/>
              <w:jc w:val="left"/>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按项目建设阶段、生产运行阶段，提出具体环境管理要求；给出污染物排放清单，明确污染物排放的管理要求；提出应向社会公开的信息内容；提出建立日常环境管理制度、组织机构和环境管理台账相关要求；提出环境监理要求；提出环境监测计划</w:t>
            </w:r>
          </w:p>
        </w:tc>
      </w:tr>
      <w:tr w14:paraId="0CB4A3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03" w:type="pct"/>
            <w:tcBorders>
              <w:tl2br w:val="nil"/>
              <w:tr2bl w:val="nil"/>
            </w:tcBorders>
            <w:noWrap w:val="0"/>
            <w:vAlign w:val="center"/>
          </w:tcPr>
          <w:p w14:paraId="47E36A90">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10</w:t>
            </w:r>
          </w:p>
        </w:tc>
        <w:tc>
          <w:tcPr>
            <w:tcW w:w="655" w:type="pct"/>
            <w:tcBorders>
              <w:tl2br w:val="nil"/>
              <w:tr2bl w:val="nil"/>
            </w:tcBorders>
            <w:noWrap w:val="0"/>
            <w:vAlign w:val="center"/>
          </w:tcPr>
          <w:p w14:paraId="3EC36A1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环境影响评价结论</w:t>
            </w:r>
          </w:p>
        </w:tc>
        <w:tc>
          <w:tcPr>
            <w:tcW w:w="4041" w:type="pct"/>
            <w:gridSpan w:val="2"/>
            <w:tcBorders>
              <w:tl2br w:val="nil"/>
              <w:tr2bl w:val="nil"/>
            </w:tcBorders>
            <w:noWrap w:val="0"/>
            <w:vAlign w:val="center"/>
          </w:tcPr>
          <w:p w14:paraId="416270D3">
            <w:pPr>
              <w:keepNext w:val="0"/>
              <w:keepLines w:val="0"/>
              <w:pageBreakBefore w:val="0"/>
              <w:widowControl w:val="0"/>
              <w:kinsoku/>
              <w:wordWrap/>
              <w:overflowPunct/>
              <w:topLinePunct w:val="0"/>
              <w:bidi w:val="0"/>
              <w:adjustRightInd w:val="0"/>
              <w:snapToGrid w:val="0"/>
              <w:spacing w:line="240" w:lineRule="auto"/>
              <w:jc w:val="left"/>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对建设项目环境影响评价各章节结论进行概括总结和综合分析，结合环境质量目标要求，明确给出建设项目的环境影响可行性结论</w:t>
            </w:r>
          </w:p>
        </w:tc>
      </w:tr>
    </w:tbl>
    <w:p w14:paraId="354EA5FC">
      <w:pPr>
        <w:pStyle w:val="54"/>
        <w:bidi w:val="0"/>
        <w:rPr>
          <w:rFonts w:hint="default"/>
          <w:color w:val="auto"/>
          <w:lang w:val="en-US" w:eastAsia="zh-CN"/>
        </w:rPr>
      </w:pPr>
      <w:r>
        <w:rPr>
          <w:rFonts w:hint="eastAsia"/>
          <w:color w:val="auto"/>
          <w:lang w:val="en-US" w:eastAsia="zh-CN"/>
        </w:rPr>
        <w:t>2.7.1评价重点</w:t>
      </w:r>
    </w:p>
    <w:p w14:paraId="70A638B3">
      <w:pPr>
        <w:pStyle w:val="79"/>
        <w:bidi w:val="0"/>
        <w:rPr>
          <w:rFonts w:hint="default"/>
          <w:color w:val="auto"/>
        </w:rPr>
      </w:pPr>
      <w:r>
        <w:rPr>
          <w:rFonts w:hint="default"/>
          <w:color w:val="auto"/>
        </w:rPr>
        <w:t>经对项目区域自然地理、环境现状和社会经济的调查研究及工程排污特点的分析，确定评价工作的重点如下：</w:t>
      </w:r>
    </w:p>
    <w:p w14:paraId="425823B6">
      <w:pPr>
        <w:pStyle w:val="79"/>
        <w:bidi w:val="0"/>
        <w:rPr>
          <w:rFonts w:hint="default"/>
          <w:color w:val="auto"/>
        </w:rPr>
      </w:pPr>
      <w:r>
        <w:rPr>
          <w:rFonts w:hint="default"/>
          <w:color w:val="auto"/>
        </w:rPr>
        <w:t>（1）工程分析；</w:t>
      </w:r>
    </w:p>
    <w:p w14:paraId="4D2D1D34">
      <w:pPr>
        <w:pStyle w:val="79"/>
        <w:bidi w:val="0"/>
        <w:rPr>
          <w:rFonts w:hint="default"/>
          <w:color w:val="auto"/>
        </w:rPr>
      </w:pPr>
      <w:r>
        <w:rPr>
          <w:rFonts w:hint="default"/>
          <w:color w:val="auto"/>
        </w:rPr>
        <w:t>（2）生态环境影响评价及水土保持；</w:t>
      </w:r>
    </w:p>
    <w:p w14:paraId="33D3495B">
      <w:pPr>
        <w:pStyle w:val="79"/>
        <w:bidi w:val="0"/>
        <w:rPr>
          <w:rFonts w:hint="default"/>
          <w:color w:val="auto"/>
        </w:rPr>
      </w:pPr>
      <w:r>
        <w:rPr>
          <w:rFonts w:hint="default"/>
          <w:color w:val="auto"/>
        </w:rPr>
        <w:t>（3）地下水环境影响评价；</w:t>
      </w:r>
    </w:p>
    <w:p w14:paraId="31FA8C75">
      <w:pPr>
        <w:pStyle w:val="79"/>
        <w:bidi w:val="0"/>
        <w:rPr>
          <w:rFonts w:hint="default"/>
          <w:color w:val="auto"/>
        </w:rPr>
      </w:pPr>
      <w:r>
        <w:rPr>
          <w:rFonts w:hint="default"/>
          <w:color w:val="auto"/>
        </w:rPr>
        <w:t>（4）</w:t>
      </w:r>
      <w:r>
        <w:rPr>
          <w:rFonts w:hint="eastAsia"/>
          <w:color w:val="auto"/>
          <w:lang w:val="en-US" w:eastAsia="zh-CN"/>
        </w:rPr>
        <w:t>土壤环境</w:t>
      </w:r>
      <w:r>
        <w:rPr>
          <w:rFonts w:hint="default"/>
          <w:color w:val="auto"/>
        </w:rPr>
        <w:t>影响评价；</w:t>
      </w:r>
    </w:p>
    <w:p w14:paraId="38DFEAC6">
      <w:pPr>
        <w:pStyle w:val="79"/>
        <w:bidi w:val="0"/>
        <w:rPr>
          <w:rFonts w:hint="default"/>
          <w:color w:val="auto"/>
        </w:rPr>
      </w:pPr>
      <w:r>
        <w:rPr>
          <w:rFonts w:hint="default"/>
          <w:color w:val="auto"/>
        </w:rPr>
        <w:t>（5）环境风险影响评价及风险管理；</w:t>
      </w:r>
    </w:p>
    <w:p w14:paraId="41D6EF04">
      <w:pPr>
        <w:pStyle w:val="79"/>
        <w:bidi w:val="0"/>
        <w:rPr>
          <w:rFonts w:hint="eastAsia"/>
          <w:color w:val="auto"/>
          <w:lang w:val="en-US" w:eastAsia="zh-CN"/>
        </w:rPr>
      </w:pPr>
      <w:r>
        <w:rPr>
          <w:rFonts w:hint="default"/>
          <w:color w:val="auto"/>
        </w:rPr>
        <w:t>（6）环境保护措施技术经济及可行性论证</w:t>
      </w:r>
      <w:bookmarkStart w:id="194" w:name="_Toc18423"/>
      <w:r>
        <w:rPr>
          <w:rFonts w:hint="eastAsia"/>
          <w:color w:val="auto"/>
          <w:lang w:eastAsia="zh-CN"/>
        </w:rPr>
        <w:t>。</w:t>
      </w:r>
    </w:p>
    <w:p w14:paraId="3D450D3E">
      <w:pPr>
        <w:pStyle w:val="75"/>
        <w:bidi w:val="0"/>
        <w:rPr>
          <w:rFonts w:hint="default"/>
          <w:color w:val="auto"/>
        </w:rPr>
      </w:pPr>
      <w:bookmarkStart w:id="195" w:name="_Toc1926"/>
      <w:bookmarkStart w:id="196" w:name="_Toc20528"/>
      <w:r>
        <w:rPr>
          <w:rFonts w:hint="default"/>
          <w:color w:val="auto"/>
        </w:rPr>
        <w:t>2.</w:t>
      </w:r>
      <w:r>
        <w:rPr>
          <w:rFonts w:hint="eastAsia"/>
          <w:color w:val="auto"/>
          <w:lang w:val="en-US" w:eastAsia="zh-CN"/>
        </w:rPr>
        <w:t>8 评价时段和</w:t>
      </w:r>
      <w:r>
        <w:rPr>
          <w:rFonts w:hint="default"/>
          <w:color w:val="auto"/>
        </w:rPr>
        <w:t>评价方法</w:t>
      </w:r>
      <w:bookmarkEnd w:id="193"/>
      <w:bookmarkEnd w:id="194"/>
      <w:bookmarkEnd w:id="195"/>
      <w:bookmarkEnd w:id="196"/>
    </w:p>
    <w:p w14:paraId="38552293">
      <w:pPr>
        <w:pStyle w:val="79"/>
        <w:bidi w:val="0"/>
        <w:rPr>
          <w:rFonts w:hint="default"/>
          <w:color w:val="auto"/>
        </w:rPr>
      </w:pPr>
      <w:r>
        <w:rPr>
          <w:rFonts w:hint="default"/>
          <w:color w:val="auto"/>
        </w:rPr>
        <w:t>评价时段包括</w:t>
      </w:r>
      <w:r>
        <w:rPr>
          <w:rFonts w:hint="eastAsia"/>
          <w:color w:val="auto"/>
          <w:lang w:eastAsia="zh-CN"/>
        </w:rPr>
        <w:t>：</w:t>
      </w:r>
      <w:r>
        <w:rPr>
          <w:rFonts w:hint="default"/>
          <w:color w:val="auto"/>
        </w:rPr>
        <w:t>施工期、运营期、退役期三个时段</w:t>
      </w:r>
      <w:r>
        <w:rPr>
          <w:rFonts w:hint="eastAsia"/>
          <w:color w:val="auto"/>
          <w:lang w:eastAsia="zh-CN"/>
        </w:rPr>
        <w:t>。</w:t>
      </w:r>
      <w:r>
        <w:rPr>
          <w:rFonts w:hint="default"/>
          <w:color w:val="auto"/>
        </w:rPr>
        <w:t>其中</w:t>
      </w:r>
      <w:r>
        <w:rPr>
          <w:rFonts w:hint="eastAsia"/>
          <w:color w:val="auto"/>
          <w:lang w:eastAsia="zh-CN"/>
        </w:rPr>
        <w:t>：</w:t>
      </w:r>
      <w:r>
        <w:rPr>
          <w:rFonts w:hint="default"/>
          <w:color w:val="auto"/>
        </w:rPr>
        <w:t>以施工期和运营期为主。</w:t>
      </w:r>
    </w:p>
    <w:p w14:paraId="46B1A8C3">
      <w:pPr>
        <w:pStyle w:val="79"/>
        <w:bidi w:val="0"/>
        <w:rPr>
          <w:rFonts w:hint="default"/>
          <w:color w:val="auto"/>
          <w:lang w:val="zh-CN"/>
        </w:rPr>
      </w:pPr>
      <w:r>
        <w:rPr>
          <w:rFonts w:hint="eastAsia"/>
          <w:color w:val="auto"/>
          <w:lang w:val="zh-CN"/>
        </w:rPr>
        <w:t>本工程环境影响评价采用定量评价与定性评价相结合的方法，以量化评价为主。采用环境影响评价技术导则规定的评价方法予以分析。本次评价采用了类比法、产污系数法、排污系数法、数学模式法等。本次环境评价使用的评价方法，见表2.</w:t>
      </w:r>
      <w:r>
        <w:rPr>
          <w:rFonts w:hint="eastAsia"/>
          <w:color w:val="auto"/>
          <w:lang w:val="en-US" w:eastAsia="zh-CN"/>
        </w:rPr>
        <w:t>8</w:t>
      </w:r>
      <w:r>
        <w:rPr>
          <w:rFonts w:hint="eastAsia"/>
          <w:color w:val="auto"/>
          <w:lang w:val="zh-CN"/>
        </w:rPr>
        <w:t>-1。</w:t>
      </w:r>
    </w:p>
    <w:p w14:paraId="5CBE973E">
      <w:pPr>
        <w:pStyle w:val="61"/>
        <w:bidi w:val="0"/>
        <w:jc w:val="both"/>
        <w:rPr>
          <w:rFonts w:hint="eastAsia"/>
          <w:color w:val="auto"/>
          <w:lang w:val="en-US" w:eastAsia="zh-CN"/>
        </w:rPr>
      </w:pPr>
      <w:r>
        <w:rPr>
          <w:rFonts w:hint="eastAsia"/>
          <w:color w:val="auto"/>
          <w:lang w:val="en-US" w:eastAsia="zh-CN"/>
        </w:rPr>
        <w:t>表2.8-1   评价内容一览表</w:t>
      </w:r>
    </w:p>
    <w:tbl>
      <w:tblPr>
        <w:tblStyle w:val="36"/>
        <w:tblW w:w="4999"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48"/>
        <w:gridCol w:w="2589"/>
        <w:gridCol w:w="5395"/>
      </w:tblGrid>
      <w:tr w14:paraId="1205CB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1" w:hRule="atLeast"/>
        </w:trPr>
        <w:tc>
          <w:tcPr>
            <w:tcW w:w="480" w:type="pct"/>
            <w:tcBorders>
              <w:tl2br w:val="nil"/>
              <w:tr2bl w:val="nil"/>
            </w:tcBorders>
            <w:noWrap w:val="0"/>
            <w:vAlign w:val="center"/>
          </w:tcPr>
          <w:p w14:paraId="1DAA65AF">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465" w:type="pct"/>
            <w:tcBorders>
              <w:tl2br w:val="nil"/>
              <w:tr2bl w:val="nil"/>
            </w:tcBorders>
            <w:noWrap w:val="0"/>
            <w:vAlign w:val="center"/>
          </w:tcPr>
          <w:p w14:paraId="24B34580">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w:t>
            </w:r>
          </w:p>
        </w:tc>
        <w:tc>
          <w:tcPr>
            <w:tcW w:w="3053" w:type="pct"/>
            <w:tcBorders>
              <w:tl2br w:val="nil"/>
              <w:tr2bl w:val="nil"/>
            </w:tcBorders>
            <w:noWrap w:val="0"/>
            <w:vAlign w:val="center"/>
          </w:tcPr>
          <w:p w14:paraId="431F0C17">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采用方法</w:t>
            </w:r>
          </w:p>
        </w:tc>
      </w:tr>
      <w:tr w14:paraId="412C32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1" w:hRule="atLeast"/>
        </w:trPr>
        <w:tc>
          <w:tcPr>
            <w:tcW w:w="480" w:type="pct"/>
            <w:tcBorders>
              <w:tl2br w:val="nil"/>
              <w:tr2bl w:val="nil"/>
            </w:tcBorders>
            <w:noWrap w:val="0"/>
            <w:vAlign w:val="center"/>
          </w:tcPr>
          <w:p w14:paraId="6F9F9EE2">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465" w:type="pct"/>
            <w:tcBorders>
              <w:tl2br w:val="nil"/>
              <w:tr2bl w:val="nil"/>
            </w:tcBorders>
            <w:noWrap w:val="0"/>
            <w:vAlign w:val="center"/>
          </w:tcPr>
          <w:p w14:paraId="244A6E47">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环境影响因素识别方法</w:t>
            </w:r>
          </w:p>
        </w:tc>
        <w:tc>
          <w:tcPr>
            <w:tcW w:w="3053" w:type="pct"/>
            <w:tcBorders>
              <w:tl2br w:val="nil"/>
              <w:tr2bl w:val="nil"/>
            </w:tcBorders>
            <w:noWrap w:val="0"/>
            <w:vAlign w:val="center"/>
          </w:tcPr>
          <w:p w14:paraId="01C9CB6F">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矩阵法</w:t>
            </w:r>
          </w:p>
        </w:tc>
      </w:tr>
      <w:tr w14:paraId="0EE33D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1" w:hRule="atLeast"/>
        </w:trPr>
        <w:tc>
          <w:tcPr>
            <w:tcW w:w="480" w:type="pct"/>
            <w:tcBorders>
              <w:tl2br w:val="nil"/>
              <w:tr2bl w:val="nil"/>
            </w:tcBorders>
            <w:noWrap w:val="0"/>
            <w:vAlign w:val="center"/>
          </w:tcPr>
          <w:p w14:paraId="02427B99">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465" w:type="pct"/>
            <w:tcBorders>
              <w:tl2br w:val="nil"/>
              <w:tr2bl w:val="nil"/>
            </w:tcBorders>
            <w:noWrap w:val="0"/>
            <w:vAlign w:val="center"/>
          </w:tcPr>
          <w:p w14:paraId="5D5F8525">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环境现状调查</w:t>
            </w:r>
          </w:p>
        </w:tc>
        <w:tc>
          <w:tcPr>
            <w:tcW w:w="3053" w:type="pct"/>
            <w:tcBorders>
              <w:tl2br w:val="nil"/>
              <w:tr2bl w:val="nil"/>
            </w:tcBorders>
            <w:noWrap w:val="0"/>
            <w:vAlign w:val="center"/>
          </w:tcPr>
          <w:p w14:paraId="2D9BDE86">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收集资料法、现场调查法</w:t>
            </w:r>
          </w:p>
        </w:tc>
      </w:tr>
      <w:tr w14:paraId="4F9508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1" w:hRule="atLeast"/>
        </w:trPr>
        <w:tc>
          <w:tcPr>
            <w:tcW w:w="480" w:type="pct"/>
            <w:tcBorders>
              <w:tl2br w:val="nil"/>
              <w:tr2bl w:val="nil"/>
            </w:tcBorders>
            <w:noWrap w:val="0"/>
            <w:vAlign w:val="center"/>
          </w:tcPr>
          <w:p w14:paraId="0EDD2838">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465" w:type="pct"/>
            <w:tcBorders>
              <w:tl2br w:val="nil"/>
              <w:tr2bl w:val="nil"/>
            </w:tcBorders>
            <w:noWrap w:val="0"/>
            <w:vAlign w:val="center"/>
          </w:tcPr>
          <w:p w14:paraId="6DA455F0">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工程分析</w:t>
            </w:r>
          </w:p>
        </w:tc>
        <w:tc>
          <w:tcPr>
            <w:tcW w:w="3053" w:type="pct"/>
            <w:tcBorders>
              <w:tl2br w:val="nil"/>
              <w:tr2bl w:val="nil"/>
            </w:tcBorders>
            <w:noWrap w:val="0"/>
            <w:vAlign w:val="center"/>
          </w:tcPr>
          <w:p w14:paraId="007A15F4">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类比分析法、查阅参考资料法、产污系数法</w:t>
            </w:r>
            <w:r>
              <w:rPr>
                <w:rFonts w:hint="eastAsia" w:ascii="宋体" w:hAnsi="宋体" w:eastAsia="宋体" w:cs="宋体"/>
                <w:color w:val="auto"/>
                <w:sz w:val="21"/>
                <w:szCs w:val="21"/>
                <w:highlight w:val="none"/>
              </w:rPr>
              <w:t>、排污系数法</w:t>
            </w:r>
          </w:p>
        </w:tc>
      </w:tr>
      <w:tr w14:paraId="479CBA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1" w:hRule="atLeast"/>
        </w:trPr>
        <w:tc>
          <w:tcPr>
            <w:tcW w:w="480" w:type="pct"/>
            <w:tcBorders>
              <w:tl2br w:val="nil"/>
              <w:tr2bl w:val="nil"/>
            </w:tcBorders>
            <w:noWrap w:val="0"/>
            <w:vAlign w:val="center"/>
          </w:tcPr>
          <w:p w14:paraId="74F3AFC9">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465" w:type="pct"/>
            <w:tcBorders>
              <w:tl2br w:val="nil"/>
              <w:tr2bl w:val="nil"/>
            </w:tcBorders>
            <w:noWrap w:val="0"/>
            <w:vAlign w:val="center"/>
          </w:tcPr>
          <w:p w14:paraId="51A3D69B">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影响评价</w:t>
            </w:r>
          </w:p>
        </w:tc>
        <w:tc>
          <w:tcPr>
            <w:tcW w:w="3053" w:type="pct"/>
            <w:tcBorders>
              <w:tl2br w:val="nil"/>
              <w:tr2bl w:val="nil"/>
            </w:tcBorders>
            <w:noWrap w:val="0"/>
            <w:vAlign w:val="center"/>
          </w:tcPr>
          <w:p w14:paraId="7B830B2A">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类比分析法</w:t>
            </w:r>
            <w:r>
              <w:rPr>
                <w:rFonts w:hint="eastAsia" w:ascii="宋体" w:hAnsi="宋体" w:eastAsia="宋体" w:cs="宋体"/>
                <w:color w:val="auto"/>
                <w:spacing w:val="-6"/>
                <w:sz w:val="21"/>
                <w:szCs w:val="21"/>
                <w:highlight w:val="none"/>
              </w:rPr>
              <w:t>、</w:t>
            </w:r>
            <w:r>
              <w:rPr>
                <w:rFonts w:hint="eastAsia" w:ascii="宋体" w:hAnsi="宋体" w:eastAsia="宋体" w:cs="宋体"/>
                <w:color w:val="auto"/>
                <w:sz w:val="21"/>
                <w:szCs w:val="21"/>
                <w:highlight w:val="none"/>
              </w:rPr>
              <w:t>数学模式法、预测模式</w:t>
            </w:r>
          </w:p>
        </w:tc>
      </w:tr>
    </w:tbl>
    <w:p w14:paraId="5E9D6243">
      <w:pPr>
        <w:rPr>
          <w:rFonts w:hint="default" w:ascii="Times New Roman" w:hAnsi="Times New Roman" w:eastAsia="黑体" w:cs="Times New Roman"/>
          <w:color w:val="auto"/>
          <w:szCs w:val="36"/>
        </w:rPr>
      </w:pPr>
      <w:r>
        <w:rPr>
          <w:rFonts w:hint="default" w:ascii="Times New Roman" w:hAnsi="Times New Roman" w:eastAsia="黑体" w:cs="Times New Roman"/>
          <w:color w:val="auto"/>
          <w:szCs w:val="36"/>
        </w:rPr>
        <w:br w:type="page"/>
      </w:r>
    </w:p>
    <w:p w14:paraId="1E19539C">
      <w:pPr>
        <w:pStyle w:val="49"/>
        <w:bidi w:val="0"/>
        <w:rPr>
          <w:rFonts w:hint="default"/>
          <w:color w:val="auto"/>
        </w:rPr>
      </w:pPr>
      <w:bookmarkStart w:id="197" w:name="_Toc109382916"/>
      <w:bookmarkStart w:id="198" w:name="_Toc13602"/>
      <w:bookmarkStart w:id="199" w:name="_Toc28148"/>
      <w:r>
        <w:rPr>
          <w:rFonts w:hint="eastAsia"/>
          <w:color w:val="auto"/>
        </w:rPr>
        <w:t>3</w:t>
      </w:r>
      <w:r>
        <w:rPr>
          <w:rFonts w:hint="eastAsia"/>
          <w:color w:val="auto"/>
          <w:lang w:val="en-US" w:eastAsia="zh-CN"/>
        </w:rPr>
        <w:t xml:space="preserve"> </w:t>
      </w:r>
      <w:r>
        <w:rPr>
          <w:rFonts w:hint="eastAsia"/>
          <w:color w:val="auto"/>
        </w:rPr>
        <w:t>建设项目工程分析</w:t>
      </w:r>
      <w:bookmarkEnd w:id="197"/>
      <w:bookmarkEnd w:id="198"/>
      <w:bookmarkEnd w:id="199"/>
    </w:p>
    <w:p w14:paraId="3A85400D">
      <w:pPr>
        <w:pStyle w:val="75"/>
        <w:bidi w:val="0"/>
        <w:rPr>
          <w:rFonts w:hint="default"/>
          <w:color w:val="auto"/>
          <w:lang w:val="en-US" w:eastAsia="zh-CN"/>
        </w:rPr>
      </w:pPr>
      <w:bookmarkStart w:id="200" w:name="_Toc947"/>
      <w:bookmarkStart w:id="201" w:name="_Toc6032"/>
      <w:bookmarkStart w:id="202" w:name="_Toc109382917"/>
      <w:bookmarkStart w:id="203" w:name="_Toc68025012"/>
      <w:bookmarkStart w:id="204" w:name="_Toc508291880"/>
      <w:bookmarkStart w:id="205" w:name="_Toc9926"/>
      <w:r>
        <w:rPr>
          <w:rFonts w:hint="default"/>
          <w:color w:val="auto"/>
          <w:lang w:val="en-US" w:eastAsia="zh-CN"/>
        </w:rPr>
        <w:t>3.</w:t>
      </w:r>
      <w:r>
        <w:rPr>
          <w:rFonts w:hint="eastAsia"/>
          <w:color w:val="auto"/>
          <w:lang w:val="en-US" w:eastAsia="zh-CN"/>
        </w:rPr>
        <w:t xml:space="preserve">1 </w:t>
      </w:r>
      <w:r>
        <w:rPr>
          <w:rFonts w:hint="default"/>
          <w:color w:val="auto"/>
          <w:lang w:val="en-US" w:eastAsia="zh-CN"/>
        </w:rPr>
        <w:t>现有工程</w:t>
      </w:r>
      <w:bookmarkEnd w:id="200"/>
    </w:p>
    <w:p w14:paraId="34B28DB1">
      <w:pPr>
        <w:pStyle w:val="54"/>
        <w:bidi w:val="0"/>
        <w:rPr>
          <w:rFonts w:hint="default"/>
          <w:color w:val="auto"/>
          <w:lang w:val="en-US" w:eastAsia="zh-CN"/>
        </w:rPr>
      </w:pPr>
      <w:r>
        <w:rPr>
          <w:rFonts w:hint="default"/>
          <w:color w:val="auto"/>
          <w:lang w:val="en-US" w:eastAsia="zh-CN"/>
        </w:rPr>
        <w:t>3.</w:t>
      </w:r>
      <w:r>
        <w:rPr>
          <w:rFonts w:hint="eastAsia"/>
          <w:color w:val="auto"/>
          <w:lang w:val="en-US" w:eastAsia="zh-CN"/>
        </w:rPr>
        <w:t>1</w:t>
      </w:r>
      <w:r>
        <w:rPr>
          <w:rFonts w:hint="default"/>
          <w:color w:val="auto"/>
          <w:lang w:val="en-US" w:eastAsia="zh-CN"/>
        </w:rPr>
        <w:t>.1</w:t>
      </w:r>
      <w:r>
        <w:rPr>
          <w:rFonts w:hint="eastAsia"/>
          <w:color w:val="auto"/>
          <w:lang w:val="en-US" w:eastAsia="zh-CN"/>
        </w:rPr>
        <w:t xml:space="preserve"> </w:t>
      </w:r>
      <w:r>
        <w:rPr>
          <w:rFonts w:hint="default"/>
          <w:color w:val="auto"/>
          <w:lang w:val="en-US" w:eastAsia="zh-CN"/>
        </w:rPr>
        <w:t>现有工程</w:t>
      </w:r>
      <w:r>
        <w:rPr>
          <w:rFonts w:hint="eastAsia"/>
          <w:color w:val="auto"/>
          <w:lang w:val="en-US" w:eastAsia="zh-CN"/>
        </w:rPr>
        <w:t>概</w:t>
      </w:r>
      <w:r>
        <w:rPr>
          <w:rFonts w:hint="default"/>
          <w:color w:val="auto"/>
          <w:lang w:val="en-US" w:eastAsia="zh-CN"/>
        </w:rPr>
        <w:t>况</w:t>
      </w:r>
    </w:p>
    <w:p w14:paraId="2F5BECB1">
      <w:pPr>
        <w:pStyle w:val="79"/>
        <w:bidi w:val="0"/>
        <w:rPr>
          <w:rFonts w:hint="eastAsia"/>
          <w:color w:val="auto"/>
          <w:lang w:val="en-US" w:eastAsia="zh-CN"/>
        </w:rPr>
      </w:pPr>
      <w:bookmarkStart w:id="206" w:name="_Hlk69406362"/>
      <w:r>
        <w:rPr>
          <w:rFonts w:hint="default"/>
          <w:color w:val="auto"/>
          <w:lang w:val="en-US" w:eastAsia="zh-CN"/>
        </w:rPr>
        <w:t>雄探1</w:t>
      </w:r>
      <w:r>
        <w:rPr>
          <w:rFonts w:hint="eastAsia"/>
          <w:color w:val="auto"/>
          <w:lang w:val="en-US" w:eastAsia="zh-CN"/>
        </w:rPr>
        <w:t>井</w:t>
      </w:r>
      <w:r>
        <w:rPr>
          <w:rFonts w:hint="default"/>
          <w:color w:val="auto"/>
          <w:lang w:val="en-US" w:eastAsia="zh-CN"/>
        </w:rPr>
        <w:t>于202</w:t>
      </w:r>
      <w:r>
        <w:rPr>
          <w:rFonts w:hint="eastAsia"/>
          <w:color w:val="auto"/>
          <w:lang w:val="en-US" w:eastAsia="zh-CN"/>
        </w:rPr>
        <w:t>4</w:t>
      </w:r>
      <w:r>
        <w:rPr>
          <w:rFonts w:hint="default"/>
          <w:color w:val="auto"/>
          <w:lang w:val="en-US" w:eastAsia="zh-CN"/>
        </w:rPr>
        <w:t>年4月30日试采，目前日产气</w:t>
      </w:r>
      <w:bookmarkStart w:id="207" w:name="OLE_LINK72"/>
      <w:r>
        <w:rPr>
          <w:rFonts w:hint="eastAsia"/>
          <w:color w:val="auto"/>
          <w:lang w:val="en-US" w:eastAsia="zh-CN"/>
        </w:rPr>
        <w:t>5.5</w:t>
      </w:r>
      <w:r>
        <w:rPr>
          <w:rFonts w:hint="default"/>
          <w:color w:val="auto"/>
          <w:lang w:val="en-US" w:eastAsia="zh-CN"/>
        </w:rPr>
        <w:t>×10</w:t>
      </w:r>
      <w:r>
        <w:rPr>
          <w:rFonts w:hint="default"/>
          <w:color w:val="auto"/>
          <w:vertAlign w:val="superscript"/>
          <w:lang w:val="en-US" w:eastAsia="zh-CN"/>
        </w:rPr>
        <w:t>4</w:t>
      </w:r>
      <w:r>
        <w:rPr>
          <w:rFonts w:hint="default"/>
          <w:color w:val="auto"/>
          <w:lang w:val="en-US" w:eastAsia="zh-CN"/>
        </w:rPr>
        <w:t>m</w:t>
      </w:r>
      <w:r>
        <w:rPr>
          <w:rFonts w:hint="default"/>
          <w:color w:val="auto"/>
          <w:vertAlign w:val="superscript"/>
          <w:lang w:val="en-US" w:eastAsia="zh-CN"/>
        </w:rPr>
        <w:t>3</w:t>
      </w:r>
      <w:r>
        <w:rPr>
          <w:rFonts w:hint="default"/>
          <w:color w:val="auto"/>
          <w:lang w:val="en-US" w:eastAsia="zh-CN"/>
        </w:rPr>
        <w:t>/d，日产油</w:t>
      </w:r>
      <w:r>
        <w:rPr>
          <w:rFonts w:hint="eastAsia"/>
          <w:color w:val="auto"/>
          <w:lang w:val="en-US" w:eastAsia="zh-CN"/>
        </w:rPr>
        <w:t>57</w:t>
      </w:r>
      <w:r>
        <w:rPr>
          <w:rFonts w:hint="default"/>
          <w:color w:val="auto"/>
          <w:lang w:val="en-US" w:eastAsia="zh-CN"/>
        </w:rPr>
        <w:t>t/d，</w:t>
      </w:r>
      <w:bookmarkEnd w:id="207"/>
      <w:r>
        <w:rPr>
          <w:rFonts w:hint="default"/>
          <w:color w:val="auto"/>
          <w:lang w:val="en-US" w:eastAsia="zh-CN"/>
        </w:rPr>
        <w:t>不含水</w:t>
      </w:r>
      <w:r>
        <w:rPr>
          <w:rFonts w:hint="eastAsia"/>
          <w:color w:val="auto"/>
          <w:lang w:val="en-US" w:eastAsia="zh-CN"/>
        </w:rPr>
        <w:t>。</w:t>
      </w:r>
      <w:bookmarkStart w:id="208" w:name="OLE_LINK172"/>
      <w:r>
        <w:rPr>
          <w:rFonts w:hint="eastAsia"/>
          <w:color w:val="auto"/>
          <w:lang w:val="en-US" w:eastAsia="zh-CN"/>
        </w:rPr>
        <w:t>雄探1井现有处理量：</w:t>
      </w:r>
      <w:bookmarkStart w:id="209" w:name="OLE_LINK52"/>
      <w:r>
        <w:rPr>
          <w:rFonts w:hint="eastAsia"/>
          <w:color w:val="auto"/>
          <w:lang w:val="en-US" w:eastAsia="zh-CN"/>
        </w:rPr>
        <w:t>原油57t/d，天然气5.5×10</w:t>
      </w:r>
      <w:r>
        <w:rPr>
          <w:rFonts w:hint="eastAsia"/>
          <w:color w:val="auto"/>
          <w:vertAlign w:val="superscript"/>
          <w:lang w:val="en-US" w:eastAsia="zh-CN"/>
        </w:rPr>
        <w:t>4</w:t>
      </w:r>
      <w:r>
        <w:rPr>
          <w:rFonts w:hint="eastAsia"/>
          <w:color w:val="auto"/>
          <w:lang w:val="en-US" w:eastAsia="zh-CN"/>
        </w:rPr>
        <w:t>m</w:t>
      </w:r>
      <w:r>
        <w:rPr>
          <w:rFonts w:hint="eastAsia"/>
          <w:color w:val="auto"/>
          <w:vertAlign w:val="superscript"/>
          <w:lang w:val="en-US" w:eastAsia="zh-CN"/>
        </w:rPr>
        <w:t>3</w:t>
      </w:r>
      <w:r>
        <w:rPr>
          <w:rFonts w:hint="eastAsia"/>
          <w:color w:val="auto"/>
          <w:lang w:val="en-US" w:eastAsia="zh-CN"/>
        </w:rPr>
        <w:t>/d</w:t>
      </w:r>
      <w:bookmarkEnd w:id="208"/>
      <w:bookmarkEnd w:id="209"/>
      <w:r>
        <w:rPr>
          <w:rFonts w:hint="eastAsia"/>
          <w:color w:val="auto"/>
          <w:lang w:val="en-US" w:eastAsia="zh-CN"/>
        </w:rPr>
        <w:t>。</w:t>
      </w:r>
      <w:r>
        <w:rPr>
          <w:rFonts w:hint="default"/>
          <w:color w:val="auto"/>
        </w:rPr>
        <w:t>雄探1井采出的油气经过加热、降压、分离，分离出的原料气脱硫后集输至YD2增压站，井口分离出的原油经过降压闪蒸，将原油储存在站内储罐内，通过罐车拉运至哈六联合站处理</w:t>
      </w:r>
      <w:r>
        <w:rPr>
          <w:rFonts w:hint="eastAsia"/>
          <w:color w:val="auto"/>
          <w:lang w:val="en-US" w:eastAsia="zh-CN"/>
        </w:rPr>
        <w:t>。</w:t>
      </w:r>
    </w:p>
    <w:p w14:paraId="0EC0505F">
      <w:pPr>
        <w:pStyle w:val="79"/>
        <w:bidi w:val="0"/>
        <w:rPr>
          <w:rFonts w:hint="default"/>
          <w:color w:val="auto"/>
        </w:rPr>
      </w:pPr>
      <w:r>
        <w:rPr>
          <w:rFonts w:hint="eastAsia"/>
          <w:color w:val="auto"/>
          <w:lang w:val="en-US" w:eastAsia="zh-CN"/>
        </w:rPr>
        <w:t>雄探1井场已建装置主要包括采油井口装置1套、加热节流橇1座、气液分离器橇1座、闪蒸罐1座、50m</w:t>
      </w:r>
      <w:r>
        <w:rPr>
          <w:rFonts w:hint="eastAsia"/>
          <w:color w:val="auto"/>
          <w:vertAlign w:val="superscript"/>
          <w:lang w:val="en-US" w:eastAsia="zh-CN"/>
        </w:rPr>
        <w:t>3</w:t>
      </w:r>
      <w:r>
        <w:rPr>
          <w:rFonts w:hint="eastAsia"/>
          <w:color w:val="auto"/>
          <w:lang w:val="en-US" w:eastAsia="zh-CN"/>
        </w:rPr>
        <w:t>原油储罐9座、密闭定量装车橇1座、甲醇加注橇1座、稳硫剂加注橇1座。设有干法脱硫塔4座，脱硫塔由厂家维护。辅助生产区建有值班间8座、配电间及机柜间1座。试采流程中增压、脱水等装置属于第三方，主要包括甲醇加注橇1套，压缩机1台（排量：3.83~8.52×10</w:t>
      </w:r>
      <w:r>
        <w:rPr>
          <w:rFonts w:hint="eastAsia"/>
          <w:color w:val="auto"/>
          <w:vertAlign w:val="superscript"/>
          <w:lang w:val="en-US" w:eastAsia="zh-CN"/>
        </w:rPr>
        <w:t>4</w:t>
      </w:r>
      <w:r>
        <w:rPr>
          <w:rFonts w:hint="eastAsia"/>
          <w:color w:val="auto"/>
          <w:lang w:val="en-US" w:eastAsia="zh-CN"/>
        </w:rPr>
        <w:t>Nm</w:t>
      </w:r>
      <w:r>
        <w:rPr>
          <w:rFonts w:hint="eastAsia"/>
          <w:color w:val="auto"/>
          <w:vertAlign w:val="superscript"/>
          <w:lang w:val="en-US" w:eastAsia="zh-CN"/>
        </w:rPr>
        <w:t>3</w:t>
      </w:r>
      <w:r>
        <w:rPr>
          <w:rFonts w:hint="eastAsia"/>
          <w:color w:val="auto"/>
          <w:lang w:val="en-US" w:eastAsia="zh-CN"/>
        </w:rPr>
        <w:t>/d，进口压力0.3~0.5MPa，出口压力16MPa）、分子筛脱水橇1座。雄探1外输管线起点雄探1井，末点YD2增压站，管道规格：D88.9×6.45，全长约24km，采用地面敷设。雄探1井</w:t>
      </w:r>
      <w:r>
        <w:rPr>
          <w:rFonts w:hint="default"/>
          <w:color w:val="auto"/>
        </w:rPr>
        <w:t>已建设施见表</w:t>
      </w:r>
      <w:r>
        <w:rPr>
          <w:rFonts w:hint="eastAsia"/>
          <w:color w:val="auto"/>
          <w:lang w:val="en-US" w:eastAsia="zh-CN"/>
        </w:rPr>
        <w:t>3.1-1</w:t>
      </w:r>
      <w:r>
        <w:rPr>
          <w:rFonts w:hint="default"/>
          <w:color w:val="auto"/>
        </w:rPr>
        <w:t>。</w:t>
      </w:r>
    </w:p>
    <w:p w14:paraId="7ECDF7CC">
      <w:pPr>
        <w:pStyle w:val="61"/>
        <w:bidi w:val="0"/>
        <w:jc w:val="both"/>
        <w:rPr>
          <w:rFonts w:hint="eastAsia"/>
          <w:color w:val="auto"/>
          <w:lang w:val="en-US" w:eastAsia="zh-CN"/>
        </w:rPr>
      </w:pPr>
      <w:r>
        <w:rPr>
          <w:rFonts w:hint="eastAsia"/>
          <w:color w:val="auto"/>
          <w:lang w:val="en-US" w:eastAsia="zh-CN"/>
        </w:rPr>
        <w:t>表3.1-1   目前已建设施</w:t>
      </w:r>
    </w:p>
    <w:tbl>
      <w:tblPr>
        <w:tblStyle w:val="36"/>
        <w:tblW w:w="4895" w:type="pct"/>
        <w:tblInd w:w="9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36"/>
        <w:gridCol w:w="2153"/>
        <w:gridCol w:w="874"/>
        <w:gridCol w:w="761"/>
        <w:gridCol w:w="3638"/>
        <w:gridCol w:w="786"/>
      </w:tblGrid>
      <w:tr w14:paraId="7020FB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2" w:type="pct"/>
            <w:tcBorders>
              <w:tl2br w:val="nil"/>
              <w:tr2bl w:val="nil"/>
            </w:tcBorders>
            <w:noWrap w:val="0"/>
            <w:vAlign w:val="center"/>
          </w:tcPr>
          <w:p w14:paraId="4A3F9F99">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rPr>
            </w:pPr>
            <w:r>
              <w:rPr>
                <w:rFonts w:hint="default" w:ascii="Times New Roman" w:hAnsi="Times New Roman" w:eastAsia="宋体" w:cs="Times New Roman"/>
                <w:i w:val="0"/>
                <w:iCs w:val="0"/>
                <w:color w:val="auto"/>
                <w:sz w:val="21"/>
                <w:szCs w:val="21"/>
                <w:highlight w:val="none"/>
              </w:rPr>
              <w:t>序号</w:t>
            </w:r>
          </w:p>
        </w:tc>
        <w:tc>
          <w:tcPr>
            <w:tcW w:w="1244" w:type="pct"/>
            <w:tcBorders>
              <w:tl2br w:val="nil"/>
              <w:tr2bl w:val="nil"/>
            </w:tcBorders>
            <w:noWrap w:val="0"/>
            <w:vAlign w:val="center"/>
          </w:tcPr>
          <w:p w14:paraId="7837C3B0">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rPr>
            </w:pPr>
            <w:r>
              <w:rPr>
                <w:rFonts w:hint="default" w:ascii="Times New Roman" w:hAnsi="Times New Roman" w:eastAsia="宋体" w:cs="Times New Roman"/>
                <w:i w:val="0"/>
                <w:iCs w:val="0"/>
                <w:color w:val="auto"/>
                <w:sz w:val="21"/>
                <w:szCs w:val="21"/>
                <w:highlight w:val="none"/>
              </w:rPr>
              <w:t>设备名称</w:t>
            </w:r>
          </w:p>
        </w:tc>
        <w:tc>
          <w:tcPr>
            <w:tcW w:w="505" w:type="pct"/>
            <w:tcBorders>
              <w:tl2br w:val="nil"/>
              <w:tr2bl w:val="nil"/>
            </w:tcBorders>
            <w:noWrap w:val="0"/>
            <w:vAlign w:val="center"/>
          </w:tcPr>
          <w:p w14:paraId="77BB7984">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rPr>
            </w:pPr>
            <w:r>
              <w:rPr>
                <w:rFonts w:hint="default" w:ascii="Times New Roman" w:hAnsi="Times New Roman" w:eastAsia="宋体" w:cs="Times New Roman"/>
                <w:i w:val="0"/>
                <w:iCs w:val="0"/>
                <w:color w:val="auto"/>
                <w:sz w:val="21"/>
                <w:szCs w:val="21"/>
                <w:highlight w:val="none"/>
              </w:rPr>
              <w:t>单位</w:t>
            </w:r>
          </w:p>
        </w:tc>
        <w:tc>
          <w:tcPr>
            <w:tcW w:w="440" w:type="pct"/>
            <w:tcBorders>
              <w:tl2br w:val="nil"/>
              <w:tr2bl w:val="nil"/>
            </w:tcBorders>
            <w:noWrap w:val="0"/>
            <w:vAlign w:val="center"/>
          </w:tcPr>
          <w:p w14:paraId="382C315B">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数量</w:t>
            </w:r>
          </w:p>
        </w:tc>
        <w:tc>
          <w:tcPr>
            <w:tcW w:w="2102" w:type="pct"/>
            <w:tcBorders>
              <w:tl2br w:val="nil"/>
              <w:tr2bl w:val="nil"/>
            </w:tcBorders>
            <w:noWrap w:val="0"/>
            <w:vAlign w:val="center"/>
          </w:tcPr>
          <w:p w14:paraId="55B6F841">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rPr>
            </w:pPr>
            <w:r>
              <w:rPr>
                <w:rFonts w:hint="default" w:ascii="Times New Roman" w:hAnsi="Times New Roman" w:eastAsia="宋体" w:cs="Times New Roman"/>
                <w:i w:val="0"/>
                <w:iCs w:val="0"/>
                <w:color w:val="auto"/>
                <w:sz w:val="21"/>
                <w:szCs w:val="21"/>
                <w:highlight w:val="none"/>
              </w:rPr>
              <w:t>规格</w:t>
            </w:r>
          </w:p>
        </w:tc>
        <w:tc>
          <w:tcPr>
            <w:tcW w:w="454" w:type="pct"/>
            <w:tcBorders>
              <w:tl2br w:val="nil"/>
              <w:tr2bl w:val="nil"/>
            </w:tcBorders>
            <w:noWrap w:val="0"/>
            <w:vAlign w:val="center"/>
          </w:tcPr>
          <w:p w14:paraId="58028A61">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备注</w:t>
            </w:r>
          </w:p>
        </w:tc>
      </w:tr>
      <w:tr w14:paraId="283520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2" w:type="pct"/>
            <w:tcBorders>
              <w:tl2br w:val="nil"/>
              <w:tr2bl w:val="nil"/>
            </w:tcBorders>
            <w:noWrap w:val="0"/>
            <w:vAlign w:val="center"/>
          </w:tcPr>
          <w:p w14:paraId="0111E8F3">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w:t>
            </w:r>
          </w:p>
        </w:tc>
        <w:tc>
          <w:tcPr>
            <w:tcW w:w="1244" w:type="pct"/>
            <w:tcBorders>
              <w:tl2br w:val="nil"/>
              <w:tr2bl w:val="nil"/>
            </w:tcBorders>
            <w:noWrap w:val="0"/>
            <w:vAlign w:val="center"/>
          </w:tcPr>
          <w:p w14:paraId="79AB9729">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采油井口装置</w:t>
            </w:r>
          </w:p>
        </w:tc>
        <w:tc>
          <w:tcPr>
            <w:tcW w:w="505" w:type="pct"/>
            <w:tcBorders>
              <w:tl2br w:val="nil"/>
              <w:tr2bl w:val="nil"/>
            </w:tcBorders>
            <w:noWrap w:val="0"/>
            <w:vAlign w:val="center"/>
          </w:tcPr>
          <w:p w14:paraId="1D4B825E">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套</w:t>
            </w:r>
          </w:p>
        </w:tc>
        <w:tc>
          <w:tcPr>
            <w:tcW w:w="440" w:type="pct"/>
            <w:tcBorders>
              <w:tl2br w:val="nil"/>
              <w:tr2bl w:val="nil"/>
            </w:tcBorders>
            <w:noWrap w:val="0"/>
            <w:vAlign w:val="center"/>
          </w:tcPr>
          <w:p w14:paraId="6A029322">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w:t>
            </w:r>
          </w:p>
        </w:tc>
        <w:tc>
          <w:tcPr>
            <w:tcW w:w="2102" w:type="pct"/>
            <w:tcBorders>
              <w:tl2br w:val="nil"/>
              <w:tr2bl w:val="nil"/>
            </w:tcBorders>
            <w:noWrap w:val="0"/>
            <w:vAlign w:val="center"/>
          </w:tcPr>
          <w:p w14:paraId="5D6506EA">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kern w:val="0"/>
                <w:sz w:val="21"/>
                <w:szCs w:val="21"/>
                <w:highlight w:val="none"/>
              </w:rPr>
            </w:pPr>
          </w:p>
        </w:tc>
        <w:tc>
          <w:tcPr>
            <w:tcW w:w="454" w:type="pct"/>
            <w:tcBorders>
              <w:tl2br w:val="nil"/>
              <w:tr2bl w:val="nil"/>
            </w:tcBorders>
            <w:noWrap w:val="0"/>
            <w:vAlign w:val="center"/>
          </w:tcPr>
          <w:p w14:paraId="0F7FC7AE">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rPr>
            </w:pPr>
          </w:p>
        </w:tc>
      </w:tr>
      <w:tr w14:paraId="4A5862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2" w:type="pct"/>
            <w:tcBorders>
              <w:tl2br w:val="nil"/>
              <w:tr2bl w:val="nil"/>
            </w:tcBorders>
            <w:noWrap w:val="0"/>
            <w:vAlign w:val="center"/>
          </w:tcPr>
          <w:p w14:paraId="584B8A04">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2</w:t>
            </w:r>
          </w:p>
        </w:tc>
        <w:tc>
          <w:tcPr>
            <w:tcW w:w="1244" w:type="pct"/>
            <w:tcBorders>
              <w:tl2br w:val="nil"/>
              <w:tr2bl w:val="nil"/>
            </w:tcBorders>
            <w:noWrap w:val="0"/>
            <w:vAlign w:val="center"/>
          </w:tcPr>
          <w:p w14:paraId="03162926">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rPr>
            </w:pPr>
            <w:r>
              <w:rPr>
                <w:rFonts w:hint="default" w:ascii="Times New Roman" w:hAnsi="Times New Roman" w:eastAsia="宋体" w:cs="Times New Roman"/>
                <w:color w:val="auto"/>
                <w:sz w:val="21"/>
                <w:szCs w:val="21"/>
                <w:highlight w:val="none"/>
                <w:lang w:val="en-US" w:eastAsia="zh-CN"/>
              </w:rPr>
              <w:t>加热节流橇</w:t>
            </w:r>
          </w:p>
        </w:tc>
        <w:tc>
          <w:tcPr>
            <w:tcW w:w="505" w:type="pct"/>
            <w:tcBorders>
              <w:tl2br w:val="nil"/>
              <w:tr2bl w:val="nil"/>
            </w:tcBorders>
            <w:noWrap w:val="0"/>
            <w:vAlign w:val="center"/>
          </w:tcPr>
          <w:p w14:paraId="43486BCF">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rPr>
            </w:pPr>
            <w:r>
              <w:rPr>
                <w:rFonts w:hint="default" w:ascii="Times New Roman" w:hAnsi="Times New Roman" w:eastAsia="宋体" w:cs="Times New Roman"/>
                <w:i w:val="0"/>
                <w:iCs w:val="0"/>
                <w:color w:val="auto"/>
                <w:sz w:val="21"/>
                <w:szCs w:val="21"/>
                <w:highlight w:val="none"/>
              </w:rPr>
              <w:t>座</w:t>
            </w:r>
          </w:p>
        </w:tc>
        <w:tc>
          <w:tcPr>
            <w:tcW w:w="440" w:type="pct"/>
            <w:tcBorders>
              <w:tl2br w:val="nil"/>
              <w:tr2bl w:val="nil"/>
            </w:tcBorders>
            <w:noWrap w:val="0"/>
            <w:vAlign w:val="center"/>
          </w:tcPr>
          <w:p w14:paraId="3D2625CB">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w:t>
            </w:r>
          </w:p>
        </w:tc>
        <w:tc>
          <w:tcPr>
            <w:tcW w:w="2102" w:type="pct"/>
            <w:tcBorders>
              <w:tl2br w:val="nil"/>
              <w:tr2bl w:val="nil"/>
            </w:tcBorders>
            <w:noWrap w:val="0"/>
            <w:vAlign w:val="center"/>
          </w:tcPr>
          <w:p w14:paraId="2D9BA444">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rPr>
              <w:t>200kW加热节流橇42MPa 20G抗硫</w:t>
            </w:r>
          </w:p>
        </w:tc>
        <w:tc>
          <w:tcPr>
            <w:tcW w:w="454" w:type="pct"/>
            <w:tcBorders>
              <w:tl2br w:val="nil"/>
              <w:tr2bl w:val="nil"/>
            </w:tcBorders>
            <w:noWrap w:val="0"/>
            <w:vAlign w:val="center"/>
          </w:tcPr>
          <w:p w14:paraId="478FA1E2">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rPr>
            </w:pPr>
          </w:p>
        </w:tc>
      </w:tr>
      <w:tr w14:paraId="340300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2" w:type="pct"/>
            <w:tcBorders>
              <w:tl2br w:val="nil"/>
              <w:tr2bl w:val="nil"/>
            </w:tcBorders>
            <w:noWrap w:val="0"/>
            <w:vAlign w:val="center"/>
          </w:tcPr>
          <w:p w14:paraId="512D70C8">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3</w:t>
            </w:r>
          </w:p>
        </w:tc>
        <w:tc>
          <w:tcPr>
            <w:tcW w:w="1244" w:type="pct"/>
            <w:tcBorders>
              <w:tl2br w:val="nil"/>
              <w:tr2bl w:val="nil"/>
            </w:tcBorders>
            <w:noWrap w:val="0"/>
            <w:vAlign w:val="center"/>
          </w:tcPr>
          <w:p w14:paraId="590FD84F">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rPr>
            </w:pPr>
            <w:r>
              <w:rPr>
                <w:rFonts w:hint="default" w:ascii="Times New Roman" w:hAnsi="Times New Roman" w:eastAsia="宋体" w:cs="Times New Roman"/>
                <w:color w:val="auto"/>
                <w:sz w:val="21"/>
                <w:szCs w:val="21"/>
                <w:highlight w:val="none"/>
                <w:lang w:val="en-US" w:eastAsia="zh-CN"/>
              </w:rPr>
              <w:t>气液分离器橇</w:t>
            </w:r>
          </w:p>
        </w:tc>
        <w:tc>
          <w:tcPr>
            <w:tcW w:w="505" w:type="pct"/>
            <w:tcBorders>
              <w:tl2br w:val="nil"/>
              <w:tr2bl w:val="nil"/>
            </w:tcBorders>
            <w:noWrap w:val="0"/>
            <w:vAlign w:val="center"/>
          </w:tcPr>
          <w:p w14:paraId="0E660E25">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rPr>
            </w:pPr>
            <w:r>
              <w:rPr>
                <w:rFonts w:hint="default" w:ascii="Times New Roman" w:hAnsi="Times New Roman" w:eastAsia="宋体" w:cs="Times New Roman"/>
                <w:i w:val="0"/>
                <w:iCs w:val="0"/>
                <w:color w:val="auto"/>
                <w:sz w:val="21"/>
                <w:szCs w:val="21"/>
                <w:highlight w:val="none"/>
              </w:rPr>
              <w:t>座</w:t>
            </w:r>
          </w:p>
        </w:tc>
        <w:tc>
          <w:tcPr>
            <w:tcW w:w="440" w:type="pct"/>
            <w:tcBorders>
              <w:tl2br w:val="nil"/>
              <w:tr2bl w:val="nil"/>
            </w:tcBorders>
            <w:noWrap w:val="0"/>
            <w:vAlign w:val="center"/>
          </w:tcPr>
          <w:p w14:paraId="6D3C8C9E">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rPr>
            </w:pPr>
            <w:r>
              <w:rPr>
                <w:rFonts w:hint="default" w:ascii="Times New Roman" w:hAnsi="Times New Roman" w:eastAsia="宋体" w:cs="Times New Roman"/>
                <w:i w:val="0"/>
                <w:iCs w:val="0"/>
                <w:color w:val="auto"/>
                <w:sz w:val="21"/>
                <w:szCs w:val="21"/>
                <w:highlight w:val="none"/>
                <w:lang w:val="en-US" w:eastAsia="zh-CN"/>
              </w:rPr>
              <w:t>1</w:t>
            </w:r>
          </w:p>
        </w:tc>
        <w:tc>
          <w:tcPr>
            <w:tcW w:w="2102" w:type="pct"/>
            <w:tcBorders>
              <w:tl2br w:val="nil"/>
              <w:tr2bl w:val="nil"/>
            </w:tcBorders>
            <w:noWrap w:val="0"/>
            <w:vAlign w:val="center"/>
          </w:tcPr>
          <w:p w14:paraId="0C0AFDF1">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rPr>
              <w:t>6.</w:t>
            </w:r>
            <w:r>
              <w:rPr>
                <w:rFonts w:hint="default" w:ascii="Times New Roman" w:hAnsi="Times New Roman" w:eastAsia="宋体" w:cs="Times New Roman"/>
                <w:i w:val="0"/>
                <w:iCs w:val="0"/>
                <w:color w:val="auto"/>
                <w:kern w:val="0"/>
                <w:sz w:val="21"/>
                <w:szCs w:val="21"/>
                <w:highlight w:val="none"/>
                <w:lang w:val="en-US" w:eastAsia="zh-CN"/>
              </w:rPr>
              <w:t>3</w:t>
            </w:r>
            <w:r>
              <w:rPr>
                <w:rFonts w:hint="default" w:ascii="Times New Roman" w:hAnsi="Times New Roman" w:eastAsia="宋体" w:cs="Times New Roman"/>
                <w:i w:val="0"/>
                <w:iCs w:val="0"/>
                <w:color w:val="auto"/>
                <w:kern w:val="0"/>
                <w:sz w:val="21"/>
                <w:szCs w:val="21"/>
                <w:highlight w:val="none"/>
              </w:rPr>
              <w:t>MPa DN1800*7200 抗硫</w:t>
            </w:r>
          </w:p>
        </w:tc>
        <w:tc>
          <w:tcPr>
            <w:tcW w:w="454" w:type="pct"/>
            <w:tcBorders>
              <w:tl2br w:val="nil"/>
              <w:tr2bl w:val="nil"/>
            </w:tcBorders>
            <w:noWrap w:val="0"/>
            <w:vAlign w:val="center"/>
          </w:tcPr>
          <w:p w14:paraId="1A4E3461">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rPr>
            </w:pPr>
          </w:p>
        </w:tc>
      </w:tr>
      <w:tr w14:paraId="728B0E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2" w:type="pct"/>
            <w:tcBorders>
              <w:tl2br w:val="nil"/>
              <w:tr2bl w:val="nil"/>
            </w:tcBorders>
            <w:noWrap w:val="0"/>
            <w:vAlign w:val="center"/>
          </w:tcPr>
          <w:p w14:paraId="5D7197D4">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4</w:t>
            </w:r>
          </w:p>
        </w:tc>
        <w:tc>
          <w:tcPr>
            <w:tcW w:w="1244" w:type="pct"/>
            <w:tcBorders>
              <w:tl2br w:val="nil"/>
              <w:tr2bl w:val="nil"/>
            </w:tcBorders>
            <w:noWrap w:val="0"/>
            <w:vAlign w:val="center"/>
          </w:tcPr>
          <w:p w14:paraId="1D208F2D">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rPr>
            </w:pPr>
            <w:r>
              <w:rPr>
                <w:rFonts w:hint="default" w:ascii="Times New Roman" w:hAnsi="Times New Roman" w:eastAsia="宋体" w:cs="Times New Roman"/>
                <w:color w:val="auto"/>
                <w:sz w:val="21"/>
                <w:szCs w:val="21"/>
                <w:highlight w:val="none"/>
                <w:lang w:val="en-US" w:eastAsia="zh-CN"/>
              </w:rPr>
              <w:t>闪蒸罐</w:t>
            </w:r>
          </w:p>
        </w:tc>
        <w:tc>
          <w:tcPr>
            <w:tcW w:w="505" w:type="pct"/>
            <w:tcBorders>
              <w:tl2br w:val="nil"/>
              <w:tr2bl w:val="nil"/>
            </w:tcBorders>
            <w:noWrap w:val="0"/>
            <w:vAlign w:val="center"/>
          </w:tcPr>
          <w:p w14:paraId="7BBD4E9F">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rPr>
              <w:t>座</w:t>
            </w:r>
          </w:p>
        </w:tc>
        <w:tc>
          <w:tcPr>
            <w:tcW w:w="440" w:type="pct"/>
            <w:tcBorders>
              <w:tl2br w:val="nil"/>
              <w:tr2bl w:val="nil"/>
            </w:tcBorders>
            <w:noWrap w:val="0"/>
            <w:vAlign w:val="center"/>
          </w:tcPr>
          <w:p w14:paraId="0B345AF3">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lang w:val="en-US" w:eastAsia="zh-CN"/>
              </w:rPr>
              <w:t>1</w:t>
            </w:r>
          </w:p>
        </w:tc>
        <w:tc>
          <w:tcPr>
            <w:tcW w:w="2102" w:type="pct"/>
            <w:tcBorders>
              <w:tl2br w:val="nil"/>
              <w:tr2bl w:val="nil"/>
            </w:tcBorders>
            <w:noWrap w:val="0"/>
            <w:vAlign w:val="center"/>
          </w:tcPr>
          <w:p w14:paraId="443EBB3A">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rPr>
              <w:t>分离器1.76MPa φ1200*5950 (HIC)</w:t>
            </w:r>
          </w:p>
        </w:tc>
        <w:tc>
          <w:tcPr>
            <w:tcW w:w="454" w:type="pct"/>
            <w:tcBorders>
              <w:tl2br w:val="nil"/>
              <w:tr2bl w:val="nil"/>
            </w:tcBorders>
            <w:noWrap w:val="0"/>
            <w:vAlign w:val="center"/>
          </w:tcPr>
          <w:p w14:paraId="6556B619">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rPr>
            </w:pPr>
          </w:p>
        </w:tc>
      </w:tr>
      <w:tr w14:paraId="5980F5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2" w:type="pct"/>
            <w:tcBorders>
              <w:tl2br w:val="nil"/>
              <w:tr2bl w:val="nil"/>
            </w:tcBorders>
            <w:noWrap w:val="0"/>
            <w:vAlign w:val="center"/>
          </w:tcPr>
          <w:p w14:paraId="3076F2DC">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5</w:t>
            </w:r>
          </w:p>
        </w:tc>
        <w:tc>
          <w:tcPr>
            <w:tcW w:w="1244" w:type="pct"/>
            <w:tcBorders>
              <w:tl2br w:val="nil"/>
              <w:tr2bl w:val="nil"/>
            </w:tcBorders>
            <w:noWrap w:val="0"/>
            <w:vAlign w:val="center"/>
          </w:tcPr>
          <w:p w14:paraId="5A183A96">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rPr>
            </w:pPr>
            <w:r>
              <w:rPr>
                <w:rFonts w:hint="default" w:ascii="Times New Roman" w:hAnsi="Times New Roman" w:eastAsia="宋体" w:cs="Times New Roman"/>
                <w:color w:val="auto"/>
                <w:sz w:val="21"/>
                <w:szCs w:val="21"/>
                <w:highlight w:val="none"/>
                <w:lang w:val="en-US" w:eastAsia="zh-CN"/>
              </w:rPr>
              <w:t>原油储罐</w:t>
            </w:r>
          </w:p>
        </w:tc>
        <w:tc>
          <w:tcPr>
            <w:tcW w:w="505" w:type="pct"/>
            <w:tcBorders>
              <w:tl2br w:val="nil"/>
              <w:tr2bl w:val="nil"/>
            </w:tcBorders>
            <w:noWrap w:val="0"/>
            <w:vAlign w:val="center"/>
          </w:tcPr>
          <w:p w14:paraId="13FFD74E">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rPr>
              <w:t>座</w:t>
            </w:r>
          </w:p>
        </w:tc>
        <w:tc>
          <w:tcPr>
            <w:tcW w:w="440" w:type="pct"/>
            <w:tcBorders>
              <w:tl2br w:val="nil"/>
              <w:tr2bl w:val="nil"/>
            </w:tcBorders>
            <w:noWrap w:val="0"/>
            <w:vAlign w:val="center"/>
          </w:tcPr>
          <w:p w14:paraId="5A0FA985">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rPr>
              <w:t>9</w:t>
            </w:r>
          </w:p>
        </w:tc>
        <w:tc>
          <w:tcPr>
            <w:tcW w:w="2102" w:type="pct"/>
            <w:tcBorders>
              <w:tl2br w:val="nil"/>
              <w:tr2bl w:val="nil"/>
            </w:tcBorders>
            <w:noWrap w:val="0"/>
            <w:vAlign w:val="center"/>
          </w:tcPr>
          <w:p w14:paraId="7E0510F0">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rPr>
              <w:t>50m</w:t>
            </w:r>
            <w:r>
              <w:rPr>
                <w:rFonts w:hint="default" w:ascii="Times New Roman" w:hAnsi="Times New Roman" w:eastAsia="宋体" w:cs="Times New Roman"/>
                <w:i w:val="0"/>
                <w:iCs w:val="0"/>
                <w:color w:val="auto"/>
                <w:kern w:val="0"/>
                <w:sz w:val="21"/>
                <w:szCs w:val="21"/>
                <w:highlight w:val="none"/>
                <w:vertAlign w:val="superscript"/>
              </w:rPr>
              <w:t>3</w:t>
            </w:r>
          </w:p>
        </w:tc>
        <w:tc>
          <w:tcPr>
            <w:tcW w:w="454" w:type="pct"/>
            <w:tcBorders>
              <w:tl2br w:val="nil"/>
              <w:tr2bl w:val="nil"/>
            </w:tcBorders>
            <w:noWrap w:val="0"/>
            <w:vAlign w:val="center"/>
          </w:tcPr>
          <w:p w14:paraId="574E4FC3">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rPr>
            </w:pPr>
          </w:p>
        </w:tc>
      </w:tr>
      <w:tr w14:paraId="254C29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2" w:type="pct"/>
            <w:tcBorders>
              <w:tl2br w:val="nil"/>
              <w:tr2bl w:val="nil"/>
            </w:tcBorders>
            <w:noWrap w:val="0"/>
            <w:vAlign w:val="center"/>
          </w:tcPr>
          <w:p w14:paraId="01039FD6">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6</w:t>
            </w:r>
          </w:p>
        </w:tc>
        <w:tc>
          <w:tcPr>
            <w:tcW w:w="1244" w:type="pct"/>
            <w:tcBorders>
              <w:tl2br w:val="nil"/>
              <w:tr2bl w:val="nil"/>
            </w:tcBorders>
            <w:noWrap w:val="0"/>
            <w:vAlign w:val="center"/>
          </w:tcPr>
          <w:p w14:paraId="227E07A9">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rPr>
            </w:pPr>
            <w:r>
              <w:rPr>
                <w:rFonts w:hint="default" w:ascii="Times New Roman" w:hAnsi="Times New Roman" w:eastAsia="宋体" w:cs="Times New Roman"/>
                <w:color w:val="auto"/>
                <w:sz w:val="21"/>
                <w:szCs w:val="21"/>
                <w:highlight w:val="none"/>
                <w:lang w:val="en-US" w:eastAsia="zh-CN"/>
              </w:rPr>
              <w:t>密闭定量装车橇</w:t>
            </w:r>
          </w:p>
        </w:tc>
        <w:tc>
          <w:tcPr>
            <w:tcW w:w="505" w:type="pct"/>
            <w:tcBorders>
              <w:tl2br w:val="nil"/>
              <w:tr2bl w:val="nil"/>
            </w:tcBorders>
            <w:noWrap w:val="0"/>
            <w:vAlign w:val="center"/>
          </w:tcPr>
          <w:p w14:paraId="796B6C7F">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rPr>
              <w:t>座</w:t>
            </w:r>
          </w:p>
        </w:tc>
        <w:tc>
          <w:tcPr>
            <w:tcW w:w="440" w:type="pct"/>
            <w:tcBorders>
              <w:tl2br w:val="nil"/>
              <w:tr2bl w:val="nil"/>
            </w:tcBorders>
            <w:noWrap w:val="0"/>
            <w:vAlign w:val="center"/>
          </w:tcPr>
          <w:p w14:paraId="5A8A0830">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lang w:val="en-US" w:eastAsia="zh-CN"/>
              </w:rPr>
              <w:t>1</w:t>
            </w:r>
          </w:p>
        </w:tc>
        <w:tc>
          <w:tcPr>
            <w:tcW w:w="2102" w:type="pct"/>
            <w:tcBorders>
              <w:tl2br w:val="nil"/>
              <w:tr2bl w:val="nil"/>
            </w:tcBorders>
            <w:noWrap w:val="0"/>
            <w:vAlign w:val="center"/>
          </w:tcPr>
          <w:p w14:paraId="673F8000">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rPr>
              <w:t>装车泵</w:t>
            </w:r>
            <w:r>
              <w:rPr>
                <w:rFonts w:hint="default" w:ascii="Times New Roman" w:hAnsi="Times New Roman" w:eastAsia="宋体" w:cs="Times New Roman"/>
                <w:i w:val="0"/>
                <w:iCs w:val="0"/>
                <w:color w:val="auto"/>
                <w:kern w:val="0"/>
                <w:sz w:val="21"/>
                <w:szCs w:val="21"/>
                <w:highlight w:val="none"/>
                <w:lang w:eastAsia="zh-CN"/>
              </w:rPr>
              <w:t>：</w:t>
            </w:r>
            <w:r>
              <w:rPr>
                <w:rFonts w:hint="default" w:ascii="Times New Roman" w:hAnsi="Times New Roman" w:eastAsia="宋体" w:cs="Times New Roman"/>
                <w:i w:val="0"/>
                <w:iCs w:val="0"/>
                <w:color w:val="auto"/>
                <w:kern w:val="0"/>
                <w:sz w:val="21"/>
                <w:szCs w:val="21"/>
                <w:highlight w:val="none"/>
              </w:rPr>
              <w:t>齿轮泵Q=38m</w:t>
            </w:r>
            <w:r>
              <w:rPr>
                <w:rFonts w:hint="default" w:ascii="Times New Roman" w:hAnsi="Times New Roman" w:eastAsia="宋体" w:cs="Times New Roman"/>
                <w:i w:val="0"/>
                <w:iCs w:val="0"/>
                <w:color w:val="auto"/>
                <w:kern w:val="0"/>
                <w:sz w:val="21"/>
                <w:szCs w:val="21"/>
                <w:highlight w:val="none"/>
                <w:vertAlign w:val="superscript"/>
              </w:rPr>
              <w:t>3</w:t>
            </w:r>
            <w:r>
              <w:rPr>
                <w:rFonts w:hint="default" w:ascii="Times New Roman" w:hAnsi="Times New Roman" w:eastAsia="宋体" w:cs="Times New Roman"/>
                <w:i w:val="0"/>
                <w:iCs w:val="0"/>
                <w:color w:val="auto"/>
                <w:kern w:val="0"/>
                <w:sz w:val="21"/>
                <w:szCs w:val="21"/>
                <w:highlight w:val="none"/>
              </w:rPr>
              <w:t>/h H=28m P=11kW</w:t>
            </w:r>
          </w:p>
        </w:tc>
        <w:tc>
          <w:tcPr>
            <w:tcW w:w="454" w:type="pct"/>
            <w:tcBorders>
              <w:tl2br w:val="nil"/>
              <w:tr2bl w:val="nil"/>
            </w:tcBorders>
            <w:noWrap w:val="0"/>
            <w:vAlign w:val="center"/>
          </w:tcPr>
          <w:p w14:paraId="20DF0FFF">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rPr>
            </w:pPr>
          </w:p>
        </w:tc>
      </w:tr>
      <w:tr w14:paraId="6C0B28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2" w:type="pct"/>
            <w:tcBorders>
              <w:tl2br w:val="nil"/>
              <w:tr2bl w:val="nil"/>
            </w:tcBorders>
            <w:noWrap w:val="0"/>
            <w:vAlign w:val="center"/>
          </w:tcPr>
          <w:p w14:paraId="710E9B45">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7</w:t>
            </w:r>
          </w:p>
        </w:tc>
        <w:tc>
          <w:tcPr>
            <w:tcW w:w="1244" w:type="pct"/>
            <w:tcBorders>
              <w:tl2br w:val="nil"/>
              <w:tr2bl w:val="nil"/>
            </w:tcBorders>
            <w:noWrap w:val="0"/>
            <w:vAlign w:val="center"/>
          </w:tcPr>
          <w:p w14:paraId="6DC4A3CB">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甲醇加注橇</w:t>
            </w:r>
          </w:p>
        </w:tc>
        <w:tc>
          <w:tcPr>
            <w:tcW w:w="505" w:type="pct"/>
            <w:tcBorders>
              <w:tl2br w:val="nil"/>
              <w:tr2bl w:val="nil"/>
            </w:tcBorders>
            <w:noWrap w:val="0"/>
            <w:vAlign w:val="center"/>
          </w:tcPr>
          <w:p w14:paraId="7B545CE9">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rPr>
              <w:t>座</w:t>
            </w:r>
          </w:p>
        </w:tc>
        <w:tc>
          <w:tcPr>
            <w:tcW w:w="440" w:type="pct"/>
            <w:tcBorders>
              <w:tl2br w:val="nil"/>
              <w:tr2bl w:val="nil"/>
            </w:tcBorders>
            <w:noWrap w:val="0"/>
            <w:vAlign w:val="center"/>
          </w:tcPr>
          <w:p w14:paraId="7D9D3462">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lang w:val="en-US" w:eastAsia="zh-CN"/>
              </w:rPr>
              <w:t>1</w:t>
            </w:r>
          </w:p>
        </w:tc>
        <w:tc>
          <w:tcPr>
            <w:tcW w:w="2102" w:type="pct"/>
            <w:tcBorders>
              <w:tl2br w:val="nil"/>
              <w:tr2bl w:val="nil"/>
            </w:tcBorders>
            <w:noWrap w:val="0"/>
            <w:vAlign w:val="center"/>
          </w:tcPr>
          <w:p w14:paraId="4A79CAD1">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kern w:val="0"/>
                <w:sz w:val="21"/>
                <w:szCs w:val="21"/>
                <w:highlight w:val="none"/>
              </w:rPr>
            </w:pPr>
          </w:p>
        </w:tc>
        <w:tc>
          <w:tcPr>
            <w:tcW w:w="454" w:type="pct"/>
            <w:tcBorders>
              <w:tl2br w:val="nil"/>
              <w:tr2bl w:val="nil"/>
            </w:tcBorders>
            <w:noWrap w:val="0"/>
            <w:vAlign w:val="center"/>
          </w:tcPr>
          <w:p w14:paraId="1767D2DF">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rPr>
            </w:pPr>
          </w:p>
        </w:tc>
      </w:tr>
      <w:tr w14:paraId="770C82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2" w:type="pct"/>
            <w:tcBorders>
              <w:tl2br w:val="nil"/>
              <w:tr2bl w:val="nil"/>
            </w:tcBorders>
            <w:noWrap w:val="0"/>
            <w:vAlign w:val="center"/>
          </w:tcPr>
          <w:p w14:paraId="485C7801">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8</w:t>
            </w:r>
          </w:p>
        </w:tc>
        <w:tc>
          <w:tcPr>
            <w:tcW w:w="1244" w:type="pct"/>
            <w:tcBorders>
              <w:tl2br w:val="nil"/>
              <w:tr2bl w:val="nil"/>
            </w:tcBorders>
            <w:noWrap w:val="0"/>
            <w:vAlign w:val="center"/>
          </w:tcPr>
          <w:p w14:paraId="64B26E69">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稳硫剂加注橇</w:t>
            </w:r>
          </w:p>
        </w:tc>
        <w:tc>
          <w:tcPr>
            <w:tcW w:w="505" w:type="pct"/>
            <w:tcBorders>
              <w:tl2br w:val="nil"/>
              <w:tr2bl w:val="nil"/>
            </w:tcBorders>
            <w:noWrap w:val="0"/>
            <w:vAlign w:val="center"/>
          </w:tcPr>
          <w:p w14:paraId="26A26695">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rPr>
              <w:t>座</w:t>
            </w:r>
          </w:p>
        </w:tc>
        <w:tc>
          <w:tcPr>
            <w:tcW w:w="440" w:type="pct"/>
            <w:tcBorders>
              <w:tl2br w:val="nil"/>
              <w:tr2bl w:val="nil"/>
            </w:tcBorders>
            <w:noWrap w:val="0"/>
            <w:vAlign w:val="center"/>
          </w:tcPr>
          <w:p w14:paraId="2A3176FC">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lang w:val="en-US" w:eastAsia="zh-CN"/>
              </w:rPr>
              <w:t>1</w:t>
            </w:r>
          </w:p>
        </w:tc>
        <w:tc>
          <w:tcPr>
            <w:tcW w:w="2102" w:type="pct"/>
            <w:tcBorders>
              <w:tl2br w:val="nil"/>
              <w:tr2bl w:val="nil"/>
            </w:tcBorders>
            <w:noWrap w:val="0"/>
            <w:vAlign w:val="center"/>
          </w:tcPr>
          <w:p w14:paraId="045ADEBE">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kern w:val="0"/>
                <w:sz w:val="21"/>
                <w:szCs w:val="21"/>
                <w:highlight w:val="none"/>
              </w:rPr>
            </w:pPr>
          </w:p>
        </w:tc>
        <w:tc>
          <w:tcPr>
            <w:tcW w:w="454" w:type="pct"/>
            <w:tcBorders>
              <w:tl2br w:val="nil"/>
              <w:tr2bl w:val="nil"/>
            </w:tcBorders>
            <w:noWrap w:val="0"/>
            <w:vAlign w:val="center"/>
          </w:tcPr>
          <w:p w14:paraId="03034A56">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rPr>
            </w:pPr>
          </w:p>
        </w:tc>
      </w:tr>
      <w:tr w14:paraId="437033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2" w:type="pct"/>
            <w:tcBorders>
              <w:tl2br w:val="nil"/>
              <w:tr2bl w:val="nil"/>
            </w:tcBorders>
            <w:noWrap w:val="0"/>
            <w:vAlign w:val="center"/>
          </w:tcPr>
          <w:p w14:paraId="1EFB48CF">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9</w:t>
            </w:r>
          </w:p>
        </w:tc>
        <w:tc>
          <w:tcPr>
            <w:tcW w:w="1244" w:type="pct"/>
            <w:tcBorders>
              <w:tl2br w:val="nil"/>
              <w:tr2bl w:val="nil"/>
            </w:tcBorders>
            <w:noWrap w:val="0"/>
            <w:vAlign w:val="center"/>
          </w:tcPr>
          <w:p w14:paraId="0C92DAF3">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干法脱硫塔</w:t>
            </w:r>
          </w:p>
        </w:tc>
        <w:tc>
          <w:tcPr>
            <w:tcW w:w="505" w:type="pct"/>
            <w:tcBorders>
              <w:tl2br w:val="nil"/>
              <w:tr2bl w:val="nil"/>
            </w:tcBorders>
            <w:noWrap w:val="0"/>
            <w:vAlign w:val="center"/>
          </w:tcPr>
          <w:p w14:paraId="7F166D87">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rPr>
            </w:pPr>
            <w:r>
              <w:rPr>
                <w:rFonts w:hint="default" w:ascii="Times New Roman" w:hAnsi="Times New Roman" w:eastAsia="宋体" w:cs="Times New Roman"/>
                <w:i w:val="0"/>
                <w:iCs w:val="0"/>
                <w:color w:val="auto"/>
                <w:sz w:val="21"/>
                <w:szCs w:val="21"/>
                <w:highlight w:val="none"/>
              </w:rPr>
              <w:t>座</w:t>
            </w:r>
          </w:p>
        </w:tc>
        <w:tc>
          <w:tcPr>
            <w:tcW w:w="440" w:type="pct"/>
            <w:tcBorders>
              <w:tl2br w:val="nil"/>
              <w:tr2bl w:val="nil"/>
            </w:tcBorders>
            <w:noWrap w:val="0"/>
            <w:vAlign w:val="center"/>
          </w:tcPr>
          <w:p w14:paraId="04A517D9">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4</w:t>
            </w:r>
          </w:p>
        </w:tc>
        <w:tc>
          <w:tcPr>
            <w:tcW w:w="2102" w:type="pct"/>
            <w:tcBorders>
              <w:tl2br w:val="nil"/>
              <w:tr2bl w:val="nil"/>
            </w:tcBorders>
            <w:noWrap w:val="0"/>
            <w:vAlign w:val="center"/>
          </w:tcPr>
          <w:p w14:paraId="3AE2FF51">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color w:val="auto"/>
                <w:lang w:val="en-US" w:eastAsia="zh-CN"/>
              </w:rPr>
            </w:pPr>
            <w:r>
              <w:rPr>
                <w:rFonts w:hint="eastAsia"/>
                <w:color w:val="auto"/>
                <w:lang w:val="en-US" w:eastAsia="zh-CN"/>
              </w:rPr>
              <w:t xml:space="preserve"> </w:t>
            </w:r>
          </w:p>
        </w:tc>
        <w:tc>
          <w:tcPr>
            <w:tcW w:w="454" w:type="pct"/>
            <w:tcBorders>
              <w:tl2br w:val="nil"/>
              <w:tr2bl w:val="nil"/>
            </w:tcBorders>
            <w:noWrap w:val="0"/>
            <w:vAlign w:val="center"/>
          </w:tcPr>
          <w:p w14:paraId="62278BB6">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rPr>
            </w:pPr>
          </w:p>
        </w:tc>
      </w:tr>
      <w:tr w14:paraId="32FE8B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2" w:type="pct"/>
            <w:tcBorders>
              <w:tl2br w:val="nil"/>
              <w:tr2bl w:val="nil"/>
            </w:tcBorders>
            <w:noWrap w:val="0"/>
            <w:vAlign w:val="center"/>
          </w:tcPr>
          <w:p w14:paraId="23607768">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10</w:t>
            </w:r>
          </w:p>
        </w:tc>
        <w:tc>
          <w:tcPr>
            <w:tcW w:w="1244" w:type="pct"/>
            <w:tcBorders>
              <w:tl2br w:val="nil"/>
              <w:tr2bl w:val="nil"/>
            </w:tcBorders>
            <w:noWrap w:val="0"/>
            <w:vAlign w:val="center"/>
          </w:tcPr>
          <w:p w14:paraId="6BC36B0A">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值班间</w:t>
            </w:r>
          </w:p>
        </w:tc>
        <w:tc>
          <w:tcPr>
            <w:tcW w:w="505" w:type="pct"/>
            <w:tcBorders>
              <w:tl2br w:val="nil"/>
              <w:tr2bl w:val="nil"/>
            </w:tcBorders>
            <w:noWrap w:val="0"/>
            <w:vAlign w:val="center"/>
          </w:tcPr>
          <w:p w14:paraId="4A5CE527">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rPr>
            </w:pPr>
            <w:r>
              <w:rPr>
                <w:rFonts w:hint="default" w:ascii="Times New Roman" w:hAnsi="Times New Roman" w:eastAsia="宋体" w:cs="Times New Roman"/>
                <w:color w:val="auto"/>
                <w:sz w:val="21"/>
                <w:szCs w:val="21"/>
                <w:highlight w:val="none"/>
                <w:lang w:val="en-US" w:eastAsia="zh-CN"/>
              </w:rPr>
              <w:t>座</w:t>
            </w:r>
          </w:p>
        </w:tc>
        <w:tc>
          <w:tcPr>
            <w:tcW w:w="440" w:type="pct"/>
            <w:tcBorders>
              <w:tl2br w:val="nil"/>
              <w:tr2bl w:val="nil"/>
            </w:tcBorders>
            <w:noWrap w:val="0"/>
            <w:vAlign w:val="center"/>
          </w:tcPr>
          <w:p w14:paraId="025C6445">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2102" w:type="pct"/>
            <w:tcBorders>
              <w:tl2br w:val="nil"/>
              <w:tr2bl w:val="nil"/>
            </w:tcBorders>
            <w:noWrap w:val="0"/>
            <w:vAlign w:val="center"/>
          </w:tcPr>
          <w:p w14:paraId="35715B1B">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kern w:val="0"/>
                <w:sz w:val="21"/>
                <w:szCs w:val="21"/>
                <w:highlight w:val="none"/>
              </w:rPr>
            </w:pPr>
          </w:p>
        </w:tc>
        <w:tc>
          <w:tcPr>
            <w:tcW w:w="454" w:type="pct"/>
            <w:tcBorders>
              <w:tl2br w:val="nil"/>
              <w:tr2bl w:val="nil"/>
            </w:tcBorders>
            <w:noWrap w:val="0"/>
            <w:vAlign w:val="center"/>
          </w:tcPr>
          <w:p w14:paraId="42874527">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rPr>
            </w:pPr>
          </w:p>
        </w:tc>
      </w:tr>
      <w:tr w14:paraId="095627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2" w:type="pct"/>
            <w:tcBorders>
              <w:tl2br w:val="nil"/>
              <w:tr2bl w:val="nil"/>
            </w:tcBorders>
            <w:noWrap w:val="0"/>
            <w:vAlign w:val="center"/>
          </w:tcPr>
          <w:p w14:paraId="408BDA46">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11</w:t>
            </w:r>
          </w:p>
        </w:tc>
        <w:tc>
          <w:tcPr>
            <w:tcW w:w="1244" w:type="pct"/>
            <w:tcBorders>
              <w:tl2br w:val="nil"/>
              <w:tr2bl w:val="nil"/>
            </w:tcBorders>
            <w:noWrap w:val="0"/>
            <w:vAlign w:val="center"/>
          </w:tcPr>
          <w:p w14:paraId="131AF174">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配电间及机柜间</w:t>
            </w:r>
          </w:p>
        </w:tc>
        <w:tc>
          <w:tcPr>
            <w:tcW w:w="505" w:type="pct"/>
            <w:tcBorders>
              <w:tl2br w:val="nil"/>
              <w:tr2bl w:val="nil"/>
            </w:tcBorders>
            <w:noWrap w:val="0"/>
            <w:vAlign w:val="center"/>
          </w:tcPr>
          <w:p w14:paraId="7190EF7C">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rPr>
            </w:pPr>
            <w:r>
              <w:rPr>
                <w:rFonts w:hint="default" w:ascii="Times New Roman" w:hAnsi="Times New Roman" w:eastAsia="宋体" w:cs="Times New Roman"/>
                <w:color w:val="auto"/>
                <w:sz w:val="21"/>
                <w:szCs w:val="21"/>
                <w:highlight w:val="none"/>
                <w:lang w:val="en-US" w:eastAsia="zh-CN"/>
              </w:rPr>
              <w:t>座</w:t>
            </w:r>
          </w:p>
        </w:tc>
        <w:tc>
          <w:tcPr>
            <w:tcW w:w="440" w:type="pct"/>
            <w:tcBorders>
              <w:tl2br w:val="nil"/>
              <w:tr2bl w:val="nil"/>
            </w:tcBorders>
            <w:noWrap w:val="0"/>
            <w:vAlign w:val="center"/>
          </w:tcPr>
          <w:p w14:paraId="5A714E04">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102" w:type="pct"/>
            <w:tcBorders>
              <w:tl2br w:val="nil"/>
              <w:tr2bl w:val="nil"/>
            </w:tcBorders>
            <w:noWrap w:val="0"/>
            <w:vAlign w:val="center"/>
          </w:tcPr>
          <w:p w14:paraId="6ED21CD9">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kern w:val="0"/>
                <w:sz w:val="21"/>
                <w:szCs w:val="21"/>
                <w:highlight w:val="none"/>
              </w:rPr>
            </w:pPr>
          </w:p>
        </w:tc>
        <w:tc>
          <w:tcPr>
            <w:tcW w:w="454" w:type="pct"/>
            <w:tcBorders>
              <w:tl2br w:val="nil"/>
              <w:tr2bl w:val="nil"/>
            </w:tcBorders>
            <w:noWrap w:val="0"/>
            <w:vAlign w:val="center"/>
          </w:tcPr>
          <w:p w14:paraId="08E75993">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rPr>
            </w:pPr>
          </w:p>
        </w:tc>
      </w:tr>
      <w:tr w14:paraId="777696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2" w:type="pct"/>
            <w:tcBorders>
              <w:tl2br w:val="nil"/>
              <w:tr2bl w:val="nil"/>
            </w:tcBorders>
            <w:noWrap w:val="0"/>
            <w:vAlign w:val="center"/>
          </w:tcPr>
          <w:p w14:paraId="7D928FF2">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12</w:t>
            </w:r>
          </w:p>
        </w:tc>
        <w:tc>
          <w:tcPr>
            <w:tcW w:w="1244" w:type="pct"/>
            <w:tcBorders>
              <w:tl2br w:val="nil"/>
              <w:tr2bl w:val="nil"/>
            </w:tcBorders>
            <w:noWrap w:val="0"/>
            <w:vAlign w:val="center"/>
          </w:tcPr>
          <w:p w14:paraId="708C1FBA">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甲醇加注橇</w:t>
            </w:r>
          </w:p>
        </w:tc>
        <w:tc>
          <w:tcPr>
            <w:tcW w:w="505" w:type="pct"/>
            <w:tcBorders>
              <w:tl2br w:val="nil"/>
              <w:tr2bl w:val="nil"/>
            </w:tcBorders>
            <w:noWrap w:val="0"/>
            <w:vAlign w:val="center"/>
          </w:tcPr>
          <w:p w14:paraId="4EDE1486">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座</w:t>
            </w:r>
          </w:p>
        </w:tc>
        <w:tc>
          <w:tcPr>
            <w:tcW w:w="440" w:type="pct"/>
            <w:tcBorders>
              <w:tl2br w:val="nil"/>
              <w:tr2bl w:val="nil"/>
            </w:tcBorders>
            <w:noWrap w:val="0"/>
            <w:vAlign w:val="center"/>
          </w:tcPr>
          <w:p w14:paraId="4C3B88B0">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2102" w:type="pct"/>
            <w:tcBorders>
              <w:tl2br w:val="nil"/>
              <w:tr2bl w:val="nil"/>
            </w:tcBorders>
            <w:noWrap w:val="0"/>
            <w:vAlign w:val="center"/>
          </w:tcPr>
          <w:p w14:paraId="45680F6D">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kern w:val="0"/>
                <w:sz w:val="21"/>
                <w:szCs w:val="21"/>
                <w:highlight w:val="yellow"/>
              </w:rPr>
            </w:pPr>
          </w:p>
        </w:tc>
        <w:tc>
          <w:tcPr>
            <w:tcW w:w="454" w:type="pct"/>
            <w:tcBorders>
              <w:tl2br w:val="nil"/>
              <w:tr2bl w:val="nil"/>
            </w:tcBorders>
            <w:noWrap w:val="0"/>
            <w:vAlign w:val="center"/>
          </w:tcPr>
          <w:p w14:paraId="18D51289">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rPr>
            </w:pPr>
          </w:p>
        </w:tc>
      </w:tr>
      <w:tr w14:paraId="1ADA58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2" w:type="pct"/>
            <w:tcBorders>
              <w:tl2br w:val="nil"/>
              <w:tr2bl w:val="nil"/>
            </w:tcBorders>
            <w:noWrap w:val="0"/>
            <w:vAlign w:val="center"/>
          </w:tcPr>
          <w:p w14:paraId="1CF06202">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13</w:t>
            </w:r>
          </w:p>
        </w:tc>
        <w:tc>
          <w:tcPr>
            <w:tcW w:w="1244" w:type="pct"/>
            <w:tcBorders>
              <w:tl2br w:val="nil"/>
              <w:tr2bl w:val="nil"/>
            </w:tcBorders>
            <w:noWrap w:val="0"/>
            <w:vAlign w:val="center"/>
          </w:tcPr>
          <w:p w14:paraId="592D4467">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压缩机</w:t>
            </w:r>
          </w:p>
        </w:tc>
        <w:tc>
          <w:tcPr>
            <w:tcW w:w="505" w:type="pct"/>
            <w:tcBorders>
              <w:tl2br w:val="nil"/>
              <w:tr2bl w:val="nil"/>
            </w:tcBorders>
            <w:noWrap w:val="0"/>
            <w:vAlign w:val="center"/>
          </w:tcPr>
          <w:p w14:paraId="4AE7ACAF">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台</w:t>
            </w:r>
          </w:p>
        </w:tc>
        <w:tc>
          <w:tcPr>
            <w:tcW w:w="440" w:type="pct"/>
            <w:tcBorders>
              <w:tl2br w:val="nil"/>
              <w:tr2bl w:val="nil"/>
            </w:tcBorders>
            <w:noWrap w:val="0"/>
            <w:vAlign w:val="center"/>
          </w:tcPr>
          <w:p w14:paraId="13586E78">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w:t>
            </w:r>
          </w:p>
        </w:tc>
        <w:tc>
          <w:tcPr>
            <w:tcW w:w="2102" w:type="pct"/>
            <w:tcBorders>
              <w:tl2br w:val="nil"/>
              <w:tr2bl w:val="nil"/>
            </w:tcBorders>
            <w:noWrap w:val="0"/>
            <w:vAlign w:val="center"/>
          </w:tcPr>
          <w:p w14:paraId="57422395">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kern w:val="0"/>
                <w:sz w:val="21"/>
                <w:szCs w:val="21"/>
                <w:highlight w:val="yellow"/>
              </w:rPr>
            </w:pPr>
            <w:r>
              <w:rPr>
                <w:rFonts w:hint="default" w:ascii="Times New Roman" w:hAnsi="Times New Roman" w:eastAsia="宋体" w:cs="Times New Roman"/>
                <w:i w:val="0"/>
                <w:iCs w:val="0"/>
                <w:color w:val="auto"/>
                <w:kern w:val="0"/>
                <w:sz w:val="21"/>
                <w:szCs w:val="21"/>
                <w:highlight w:val="none"/>
              </w:rPr>
              <w:t>3.83~8.52×10</w:t>
            </w:r>
            <w:r>
              <w:rPr>
                <w:rFonts w:hint="default" w:ascii="Times New Roman" w:hAnsi="Times New Roman" w:eastAsia="宋体" w:cs="Times New Roman"/>
                <w:i w:val="0"/>
                <w:iCs w:val="0"/>
                <w:color w:val="auto"/>
                <w:kern w:val="0"/>
                <w:sz w:val="21"/>
                <w:szCs w:val="21"/>
                <w:highlight w:val="none"/>
                <w:vertAlign w:val="superscript"/>
              </w:rPr>
              <w:t>4</w:t>
            </w:r>
            <w:r>
              <w:rPr>
                <w:rFonts w:hint="default" w:ascii="Times New Roman" w:hAnsi="Times New Roman" w:eastAsia="宋体" w:cs="Times New Roman"/>
                <w:i w:val="0"/>
                <w:iCs w:val="0"/>
                <w:color w:val="auto"/>
                <w:kern w:val="0"/>
                <w:sz w:val="21"/>
                <w:szCs w:val="21"/>
                <w:highlight w:val="none"/>
              </w:rPr>
              <w:t>Nm</w:t>
            </w:r>
            <w:r>
              <w:rPr>
                <w:rFonts w:hint="default" w:ascii="Times New Roman" w:hAnsi="Times New Roman" w:eastAsia="宋体" w:cs="Times New Roman"/>
                <w:i w:val="0"/>
                <w:iCs w:val="0"/>
                <w:color w:val="auto"/>
                <w:kern w:val="0"/>
                <w:sz w:val="21"/>
                <w:szCs w:val="21"/>
                <w:highlight w:val="none"/>
                <w:vertAlign w:val="superscript"/>
              </w:rPr>
              <w:t>3</w:t>
            </w:r>
            <w:r>
              <w:rPr>
                <w:rFonts w:hint="default" w:ascii="Times New Roman" w:hAnsi="Times New Roman" w:eastAsia="宋体" w:cs="Times New Roman"/>
                <w:i w:val="0"/>
                <w:iCs w:val="0"/>
                <w:color w:val="auto"/>
                <w:kern w:val="0"/>
                <w:sz w:val="21"/>
                <w:szCs w:val="21"/>
                <w:highlight w:val="none"/>
              </w:rPr>
              <w:t>/d</w:t>
            </w:r>
          </w:p>
        </w:tc>
        <w:tc>
          <w:tcPr>
            <w:tcW w:w="454" w:type="pct"/>
            <w:tcBorders>
              <w:tl2br w:val="nil"/>
              <w:tr2bl w:val="nil"/>
            </w:tcBorders>
            <w:noWrap w:val="0"/>
            <w:vAlign w:val="center"/>
          </w:tcPr>
          <w:p w14:paraId="39E0DAE6">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rPr>
            </w:pPr>
          </w:p>
        </w:tc>
      </w:tr>
      <w:tr w14:paraId="61BFA0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2" w:type="pct"/>
            <w:tcBorders>
              <w:tl2br w:val="nil"/>
              <w:tr2bl w:val="nil"/>
            </w:tcBorders>
            <w:noWrap w:val="0"/>
            <w:vAlign w:val="center"/>
          </w:tcPr>
          <w:p w14:paraId="0D789AF3">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14</w:t>
            </w:r>
          </w:p>
        </w:tc>
        <w:tc>
          <w:tcPr>
            <w:tcW w:w="1244" w:type="pct"/>
            <w:tcBorders>
              <w:tl2br w:val="nil"/>
              <w:tr2bl w:val="nil"/>
            </w:tcBorders>
            <w:noWrap w:val="0"/>
            <w:vAlign w:val="center"/>
          </w:tcPr>
          <w:p w14:paraId="7D38C53A">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分子筛脱水橇</w:t>
            </w:r>
          </w:p>
        </w:tc>
        <w:tc>
          <w:tcPr>
            <w:tcW w:w="505" w:type="pct"/>
            <w:tcBorders>
              <w:tl2br w:val="nil"/>
              <w:tr2bl w:val="nil"/>
            </w:tcBorders>
            <w:noWrap w:val="0"/>
            <w:vAlign w:val="center"/>
          </w:tcPr>
          <w:p w14:paraId="2BC06ED1">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座</w:t>
            </w:r>
          </w:p>
        </w:tc>
        <w:tc>
          <w:tcPr>
            <w:tcW w:w="440" w:type="pct"/>
            <w:tcBorders>
              <w:tl2br w:val="nil"/>
              <w:tr2bl w:val="nil"/>
            </w:tcBorders>
            <w:noWrap w:val="0"/>
            <w:vAlign w:val="center"/>
          </w:tcPr>
          <w:p w14:paraId="34ED0167">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2102" w:type="pct"/>
            <w:tcBorders>
              <w:tl2br w:val="nil"/>
              <w:tr2bl w:val="nil"/>
            </w:tcBorders>
            <w:noWrap w:val="0"/>
            <w:vAlign w:val="center"/>
          </w:tcPr>
          <w:p w14:paraId="3A7EF64D">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kern w:val="0"/>
                <w:sz w:val="21"/>
                <w:szCs w:val="21"/>
                <w:highlight w:val="yellow"/>
              </w:rPr>
            </w:pPr>
            <w:r>
              <w:rPr>
                <w:rFonts w:hint="eastAsia" w:cs="Times New Roman"/>
                <w:i w:val="0"/>
                <w:iCs w:val="0"/>
                <w:color w:val="auto"/>
                <w:kern w:val="0"/>
                <w:sz w:val="21"/>
                <w:szCs w:val="21"/>
                <w:highlight w:val="none"/>
                <w:lang w:val="en-US" w:eastAsia="zh-CN"/>
              </w:rPr>
              <w:t>30</w:t>
            </w:r>
            <w:r>
              <w:rPr>
                <w:rFonts w:hint="default" w:ascii="Times New Roman" w:hAnsi="Times New Roman" w:eastAsia="宋体" w:cs="Times New Roman"/>
                <w:i w:val="0"/>
                <w:iCs w:val="0"/>
                <w:color w:val="auto"/>
                <w:kern w:val="0"/>
                <w:sz w:val="21"/>
                <w:szCs w:val="21"/>
                <w:highlight w:val="none"/>
              </w:rPr>
              <w:t>×10</w:t>
            </w:r>
            <w:r>
              <w:rPr>
                <w:rFonts w:hint="default" w:ascii="Times New Roman" w:hAnsi="Times New Roman" w:eastAsia="宋体" w:cs="Times New Roman"/>
                <w:i w:val="0"/>
                <w:iCs w:val="0"/>
                <w:color w:val="auto"/>
                <w:kern w:val="0"/>
                <w:sz w:val="21"/>
                <w:szCs w:val="21"/>
                <w:highlight w:val="none"/>
                <w:vertAlign w:val="superscript"/>
              </w:rPr>
              <w:t>4</w:t>
            </w:r>
            <w:r>
              <w:rPr>
                <w:rFonts w:hint="default" w:ascii="Times New Roman" w:hAnsi="Times New Roman" w:eastAsia="宋体" w:cs="Times New Roman"/>
                <w:i w:val="0"/>
                <w:iCs w:val="0"/>
                <w:color w:val="auto"/>
                <w:kern w:val="0"/>
                <w:sz w:val="21"/>
                <w:szCs w:val="21"/>
                <w:highlight w:val="none"/>
              </w:rPr>
              <w:t>Nm</w:t>
            </w:r>
            <w:r>
              <w:rPr>
                <w:rFonts w:hint="default" w:ascii="Times New Roman" w:hAnsi="Times New Roman" w:eastAsia="宋体" w:cs="Times New Roman"/>
                <w:i w:val="0"/>
                <w:iCs w:val="0"/>
                <w:color w:val="auto"/>
                <w:kern w:val="0"/>
                <w:sz w:val="21"/>
                <w:szCs w:val="21"/>
                <w:highlight w:val="none"/>
                <w:vertAlign w:val="superscript"/>
              </w:rPr>
              <w:t>3</w:t>
            </w:r>
            <w:r>
              <w:rPr>
                <w:rFonts w:hint="default" w:ascii="Times New Roman" w:hAnsi="Times New Roman" w:eastAsia="宋体" w:cs="Times New Roman"/>
                <w:i w:val="0"/>
                <w:iCs w:val="0"/>
                <w:color w:val="auto"/>
                <w:kern w:val="0"/>
                <w:sz w:val="21"/>
                <w:szCs w:val="21"/>
                <w:highlight w:val="none"/>
              </w:rPr>
              <w:t>/d</w:t>
            </w:r>
          </w:p>
        </w:tc>
        <w:tc>
          <w:tcPr>
            <w:tcW w:w="454" w:type="pct"/>
            <w:tcBorders>
              <w:tl2br w:val="nil"/>
              <w:tr2bl w:val="nil"/>
            </w:tcBorders>
            <w:noWrap w:val="0"/>
            <w:vAlign w:val="center"/>
          </w:tcPr>
          <w:p w14:paraId="1EBA9723">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sz w:val="21"/>
                <w:szCs w:val="21"/>
                <w:highlight w:val="none"/>
              </w:rPr>
            </w:pPr>
          </w:p>
        </w:tc>
      </w:tr>
    </w:tbl>
    <w:p w14:paraId="38364C41">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bookmarkStart w:id="210" w:name="OLE_LINK351"/>
    </w:p>
    <w:p w14:paraId="43EDE82C">
      <w:pPr>
        <w:pStyle w:val="79"/>
        <w:bidi w:val="0"/>
        <w:rPr>
          <w:rFonts w:hint="eastAsia"/>
          <w:color w:val="auto"/>
          <w:lang w:eastAsia="zh-CN"/>
        </w:rPr>
      </w:pPr>
      <w:r>
        <w:rPr>
          <w:rFonts w:hint="eastAsia"/>
          <w:color w:val="auto"/>
          <w:lang w:val="en-US" w:eastAsia="zh-CN"/>
        </w:rPr>
        <w:t>雄英1区块试采6口井为雄探1井、雄英101井、雄英102井、雄英103井、雄英2井、雄英3井。</w:t>
      </w:r>
      <w:bookmarkEnd w:id="206"/>
      <w:bookmarkEnd w:id="210"/>
      <w:bookmarkStart w:id="211" w:name="OLE_LINK5"/>
      <w:r>
        <w:rPr>
          <w:rFonts w:hint="eastAsia"/>
          <w:color w:val="auto"/>
          <w:lang w:val="en-US" w:eastAsia="zh-CN"/>
        </w:rPr>
        <w:t>雄探1井于2024年4月30日试采，</w:t>
      </w:r>
      <w:bookmarkStart w:id="212" w:name="OLE_LINK170"/>
      <w:r>
        <w:rPr>
          <w:rFonts w:hint="default"/>
          <w:color w:val="auto"/>
        </w:rPr>
        <w:t>于2024年6月5日关井，目前处于未生产状态</w:t>
      </w:r>
      <w:bookmarkEnd w:id="212"/>
      <w:r>
        <w:rPr>
          <w:rFonts w:hint="eastAsia"/>
          <w:color w:val="auto"/>
          <w:lang w:eastAsia="zh-CN"/>
        </w:rPr>
        <w:t>。</w:t>
      </w:r>
      <w:r>
        <w:rPr>
          <w:rFonts w:hint="eastAsia"/>
          <w:color w:val="auto"/>
          <w:lang w:val="en-US" w:eastAsia="zh-CN"/>
        </w:rPr>
        <w:t>雄英101井、雄英102井、雄英2井、雄英103井、</w:t>
      </w:r>
      <w:r>
        <w:rPr>
          <w:rFonts w:hint="default"/>
          <w:color w:val="auto"/>
        </w:rPr>
        <w:t>雄英3井</w:t>
      </w:r>
      <w:r>
        <w:rPr>
          <w:rFonts w:hint="eastAsia"/>
          <w:color w:val="auto"/>
          <w:lang w:val="en-US" w:eastAsia="zh-CN"/>
        </w:rPr>
        <w:t>均已完钻且进行了试油</w:t>
      </w:r>
      <w:r>
        <w:rPr>
          <w:rFonts w:hint="eastAsia"/>
          <w:color w:val="auto"/>
          <w:lang w:eastAsia="zh-CN"/>
        </w:rPr>
        <w:t>。</w:t>
      </w:r>
    </w:p>
    <w:bookmarkEnd w:id="211"/>
    <w:p w14:paraId="71E71E4F">
      <w:pPr>
        <w:pStyle w:val="54"/>
        <w:bidi w:val="0"/>
        <w:rPr>
          <w:rFonts w:hint="default"/>
          <w:color w:val="auto"/>
          <w:lang w:val="en-US" w:eastAsia="zh-CN"/>
        </w:rPr>
      </w:pPr>
      <w:r>
        <w:rPr>
          <w:rFonts w:hint="default"/>
          <w:color w:val="auto"/>
          <w:lang w:val="en-US" w:eastAsia="zh-CN"/>
        </w:rPr>
        <w:t>3.</w:t>
      </w:r>
      <w:r>
        <w:rPr>
          <w:rFonts w:hint="eastAsia"/>
          <w:color w:val="auto"/>
          <w:lang w:val="en-US" w:eastAsia="zh-CN"/>
        </w:rPr>
        <w:t>1</w:t>
      </w:r>
      <w:r>
        <w:rPr>
          <w:rFonts w:hint="default"/>
          <w:color w:val="auto"/>
          <w:lang w:val="en-US" w:eastAsia="zh-CN"/>
        </w:rPr>
        <w:t>.</w:t>
      </w:r>
      <w:r>
        <w:rPr>
          <w:rFonts w:hint="eastAsia"/>
          <w:color w:val="auto"/>
          <w:lang w:val="en-US" w:eastAsia="zh-CN"/>
        </w:rPr>
        <w:t xml:space="preserve">2 </w:t>
      </w:r>
      <w:r>
        <w:rPr>
          <w:rFonts w:hint="default"/>
          <w:color w:val="auto"/>
          <w:lang w:val="en-US" w:eastAsia="zh-CN"/>
        </w:rPr>
        <w:t>现有工程</w:t>
      </w:r>
      <w:r>
        <w:rPr>
          <w:rFonts w:hint="eastAsia"/>
          <w:color w:val="auto"/>
          <w:lang w:val="en-US" w:eastAsia="zh-CN"/>
        </w:rPr>
        <w:t>“三同时”执行</w:t>
      </w:r>
      <w:r>
        <w:rPr>
          <w:rFonts w:hint="default"/>
          <w:color w:val="auto"/>
          <w:lang w:val="en-US" w:eastAsia="zh-CN"/>
        </w:rPr>
        <w:t>情况</w:t>
      </w:r>
    </w:p>
    <w:p w14:paraId="61E8D009">
      <w:pPr>
        <w:pStyle w:val="79"/>
        <w:bidi w:val="0"/>
        <w:rPr>
          <w:rFonts w:hint="default"/>
          <w:color w:val="auto"/>
          <w:lang w:val="en-US" w:eastAsia="zh-CN"/>
        </w:rPr>
      </w:pPr>
      <w:bookmarkStart w:id="213" w:name="_Hlk69147654"/>
      <w:bookmarkStart w:id="214" w:name="_Hlk69147216"/>
      <w:r>
        <w:rPr>
          <w:rFonts w:hint="eastAsia"/>
          <w:color w:val="auto"/>
          <w:lang w:val="en-US" w:eastAsia="zh-CN"/>
        </w:rPr>
        <w:t>本项目雄英油田</w:t>
      </w:r>
      <w:r>
        <w:rPr>
          <w:rFonts w:hint="default"/>
          <w:color w:val="auto"/>
          <w:lang w:val="en-US" w:eastAsia="zh-CN"/>
        </w:rPr>
        <w:t>雄英1</w:t>
      </w:r>
      <w:r>
        <w:rPr>
          <w:rFonts w:hint="eastAsia"/>
          <w:color w:val="auto"/>
          <w:lang w:val="en-US" w:eastAsia="zh-CN"/>
        </w:rPr>
        <w:t>井区为</w:t>
      </w:r>
      <w:r>
        <w:rPr>
          <w:rFonts w:hint="default"/>
          <w:color w:val="auto"/>
          <w:lang w:val="en-US" w:eastAsia="zh-CN"/>
        </w:rPr>
        <w:t>新区块的试采开发及配套地面建设</w:t>
      </w:r>
      <w:r>
        <w:rPr>
          <w:rFonts w:hint="eastAsia"/>
          <w:color w:val="auto"/>
          <w:lang w:val="en-US" w:eastAsia="zh-CN"/>
        </w:rPr>
        <w:t>。</w:t>
      </w:r>
    </w:p>
    <w:p w14:paraId="3898E38A">
      <w:pPr>
        <w:pStyle w:val="79"/>
        <w:bidi w:val="0"/>
        <w:rPr>
          <w:rFonts w:hint="default"/>
          <w:color w:val="auto"/>
          <w:lang w:val="en-US" w:eastAsia="zh-CN"/>
        </w:rPr>
      </w:pPr>
      <w:r>
        <w:rPr>
          <w:rFonts w:hint="eastAsia"/>
          <w:color w:val="auto"/>
          <w:lang w:val="en-US" w:eastAsia="zh-CN"/>
        </w:rPr>
        <w:t>雄英油田</w:t>
      </w:r>
      <w:r>
        <w:rPr>
          <w:rFonts w:hint="default"/>
          <w:color w:val="auto"/>
          <w:lang w:val="en-US" w:eastAsia="zh-CN"/>
        </w:rPr>
        <w:t>雄英1区</w:t>
      </w:r>
      <w:r>
        <w:rPr>
          <w:rFonts w:hint="eastAsia"/>
          <w:color w:val="auto"/>
          <w:lang w:val="en-US" w:eastAsia="zh-CN"/>
        </w:rPr>
        <w:t>块</w:t>
      </w:r>
      <w:r>
        <w:rPr>
          <w:rFonts w:hint="default"/>
          <w:color w:val="auto"/>
          <w:lang w:val="en-US" w:eastAsia="zh-CN"/>
        </w:rPr>
        <w:t>是英买油气田近年来石油勘探的重大发现，是油气上产增储的接力区块。</w:t>
      </w:r>
      <w:r>
        <w:rPr>
          <w:rFonts w:hint="eastAsia"/>
          <w:color w:val="auto"/>
          <w:lang w:val="en-US" w:eastAsia="zh-CN"/>
        </w:rPr>
        <w:t>雄英油田</w:t>
      </w:r>
      <w:r>
        <w:rPr>
          <w:rFonts w:hint="default"/>
          <w:color w:val="auto"/>
          <w:lang w:val="en-US" w:eastAsia="zh-CN"/>
        </w:rPr>
        <w:t>雄探1</w:t>
      </w:r>
      <w:r>
        <w:rPr>
          <w:rFonts w:hint="eastAsia"/>
          <w:color w:val="auto"/>
          <w:lang w:val="en-US" w:eastAsia="zh-CN"/>
        </w:rPr>
        <w:t>区块</w:t>
      </w:r>
      <w:r>
        <w:rPr>
          <w:rFonts w:hint="default"/>
          <w:color w:val="auto"/>
          <w:lang w:val="en-US" w:eastAsia="zh-CN"/>
        </w:rPr>
        <w:t>开发效果较好，已在喀拉玉尔衮构造带志留系、奥陶系目的层获得良好的油气产量。</w:t>
      </w:r>
      <w:r>
        <w:rPr>
          <w:rFonts w:hint="eastAsia"/>
          <w:color w:val="auto"/>
          <w:lang w:val="en-US" w:eastAsia="zh-CN"/>
        </w:rPr>
        <w:t>根据塔里木油田分公司油气工艺研究院提供的《试采井基础信息及指标预测》，雄英1区块试采6口井建设后（在探评井均成功且地面配套情况下）2025年实现产油6.9×10</w:t>
      </w:r>
      <w:r>
        <w:rPr>
          <w:rFonts w:hint="eastAsia"/>
          <w:color w:val="auto"/>
          <w:vertAlign w:val="superscript"/>
          <w:lang w:val="en-US" w:eastAsia="zh-CN"/>
        </w:rPr>
        <w:t>4</w:t>
      </w:r>
      <w:r>
        <w:rPr>
          <w:rFonts w:hint="eastAsia"/>
          <w:color w:val="auto"/>
          <w:lang w:val="en-US" w:eastAsia="zh-CN"/>
        </w:rPr>
        <w:t>t/a，产气0.285×10</w:t>
      </w:r>
      <w:r>
        <w:rPr>
          <w:rFonts w:hint="eastAsia"/>
          <w:color w:val="auto"/>
          <w:vertAlign w:val="superscript"/>
          <w:lang w:val="en-US" w:eastAsia="zh-CN"/>
        </w:rPr>
        <w:t>8</w:t>
      </w:r>
      <w:r>
        <w:rPr>
          <w:rFonts w:hint="eastAsia"/>
          <w:color w:val="auto"/>
          <w:lang w:val="en-US" w:eastAsia="zh-CN"/>
        </w:rPr>
        <w:t>m</w:t>
      </w:r>
      <w:r>
        <w:rPr>
          <w:rFonts w:hint="eastAsia"/>
          <w:color w:val="auto"/>
          <w:vertAlign w:val="superscript"/>
          <w:lang w:val="en-US" w:eastAsia="zh-CN"/>
        </w:rPr>
        <w:t>3</w:t>
      </w:r>
      <w:r>
        <w:rPr>
          <w:rFonts w:hint="eastAsia"/>
          <w:color w:val="auto"/>
          <w:lang w:val="en-US" w:eastAsia="zh-CN"/>
        </w:rPr>
        <w:t>/a，预计2058年方案期末累产油439.49×10</w:t>
      </w:r>
      <w:r>
        <w:rPr>
          <w:rFonts w:hint="eastAsia"/>
          <w:color w:val="auto"/>
          <w:vertAlign w:val="superscript"/>
          <w:lang w:val="en-US" w:eastAsia="zh-CN"/>
        </w:rPr>
        <w:t>4</w:t>
      </w:r>
      <w:r>
        <w:rPr>
          <w:rFonts w:hint="eastAsia"/>
          <w:color w:val="auto"/>
          <w:lang w:val="en-US" w:eastAsia="zh-CN"/>
        </w:rPr>
        <w:t>t，产气9.28×10</w:t>
      </w:r>
      <w:r>
        <w:rPr>
          <w:rFonts w:hint="eastAsia"/>
          <w:color w:val="auto"/>
          <w:vertAlign w:val="superscript"/>
          <w:lang w:val="en-US" w:eastAsia="zh-CN"/>
        </w:rPr>
        <w:t>8</w:t>
      </w:r>
      <w:r>
        <w:rPr>
          <w:rFonts w:hint="eastAsia"/>
          <w:color w:val="auto"/>
          <w:lang w:val="en-US" w:eastAsia="zh-CN"/>
        </w:rPr>
        <w:t>m</w:t>
      </w:r>
      <w:r>
        <w:rPr>
          <w:rFonts w:hint="eastAsia"/>
          <w:color w:val="auto"/>
          <w:vertAlign w:val="superscript"/>
          <w:lang w:val="en-US" w:eastAsia="zh-CN"/>
        </w:rPr>
        <w:t>3</w:t>
      </w:r>
      <w:r>
        <w:rPr>
          <w:rFonts w:hint="eastAsia"/>
          <w:color w:val="auto"/>
          <w:lang w:val="en-US" w:eastAsia="zh-CN"/>
        </w:rPr>
        <w:t>。</w:t>
      </w:r>
    </w:p>
    <w:p w14:paraId="60FBB019">
      <w:pPr>
        <w:pStyle w:val="79"/>
        <w:bidi w:val="0"/>
        <w:rPr>
          <w:color w:val="auto"/>
        </w:rPr>
      </w:pPr>
      <w:bookmarkStart w:id="215" w:name="OLE_LINK350"/>
      <w:r>
        <w:rPr>
          <w:rFonts w:hint="eastAsia"/>
          <w:color w:val="auto"/>
          <w:lang w:val="en-US" w:eastAsia="zh-CN"/>
        </w:rPr>
        <w:t>雄英1区块试采6口井为雄探1井、雄英101井、雄英102井、雄英103井、雄英2井、雄英3井。</w:t>
      </w:r>
      <w:bookmarkEnd w:id="215"/>
      <w:r>
        <w:rPr>
          <w:rFonts w:hint="eastAsia"/>
          <w:color w:val="auto"/>
          <w:lang w:val="en-US" w:eastAsia="zh-CN"/>
        </w:rPr>
        <w:t>雄英1区块试采6口井均已取得环评批复（附件2-8），现有工程</w:t>
      </w:r>
      <w:r>
        <w:rPr>
          <w:rFonts w:hint="default"/>
          <w:color w:val="auto"/>
        </w:rPr>
        <w:t>环保手续履行情况</w:t>
      </w:r>
      <w:r>
        <w:rPr>
          <w:rFonts w:hint="eastAsia"/>
          <w:color w:val="auto"/>
          <w:lang w:eastAsia="zh-CN"/>
        </w:rPr>
        <w:t>，</w:t>
      </w:r>
      <w:r>
        <w:rPr>
          <w:rFonts w:hint="default"/>
          <w:color w:val="auto"/>
        </w:rPr>
        <w:t>见表3.</w:t>
      </w:r>
      <w:r>
        <w:rPr>
          <w:rFonts w:hint="eastAsia"/>
          <w:color w:val="auto"/>
          <w:lang w:val="en-US" w:eastAsia="zh-CN"/>
        </w:rPr>
        <w:t>1</w:t>
      </w:r>
      <w:r>
        <w:rPr>
          <w:rFonts w:hint="default"/>
          <w:color w:val="auto"/>
        </w:rPr>
        <w:t>-</w:t>
      </w:r>
      <w:r>
        <w:rPr>
          <w:rFonts w:hint="eastAsia"/>
          <w:color w:val="auto"/>
          <w:lang w:val="en-US" w:eastAsia="zh-CN"/>
        </w:rPr>
        <w:t>2</w:t>
      </w:r>
      <w:r>
        <w:rPr>
          <w:rFonts w:hint="default"/>
          <w:color w:val="auto"/>
        </w:rPr>
        <w:t>。</w:t>
      </w:r>
    </w:p>
    <w:p w14:paraId="4788C811">
      <w:pPr>
        <w:pStyle w:val="61"/>
        <w:bidi w:val="0"/>
        <w:jc w:val="both"/>
        <w:rPr>
          <w:rFonts w:hint="eastAsia" w:ascii="黑体" w:hAnsi="黑体" w:eastAsia="黑体" w:cs="黑体"/>
          <w:b/>
          <w:bCs w:val="0"/>
          <w:color w:val="auto"/>
          <w:szCs w:val="21"/>
          <w:lang w:val="zh-CN" w:eastAsia="zh-CN"/>
        </w:rPr>
      </w:pPr>
      <w:r>
        <w:rPr>
          <w:rFonts w:hint="eastAsia"/>
          <w:color w:val="auto"/>
          <w:lang w:val="en-US" w:eastAsia="zh-CN"/>
        </w:rPr>
        <w:t>表3.1-2  现有工程环保手续履行情况</w:t>
      </w:r>
      <w:r>
        <w:rPr>
          <w:rFonts w:hint="eastAsia"/>
          <w:color w:val="auto"/>
          <w:lang w:val="zh-CN" w:eastAsia="zh-CN"/>
        </w:rPr>
        <w:t>一览表</w:t>
      </w:r>
    </w:p>
    <w:tbl>
      <w:tblPr>
        <w:tblStyle w:val="36"/>
        <w:tblW w:w="5042"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469"/>
        <w:gridCol w:w="1497"/>
        <w:gridCol w:w="2394"/>
        <w:gridCol w:w="2843"/>
        <w:gridCol w:w="1518"/>
      </w:tblGrid>
      <w:tr w14:paraId="62F1D1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tblHeader/>
          <w:jc w:val="center"/>
        </w:trPr>
        <w:tc>
          <w:tcPr>
            <w:tcW w:w="269" w:type="pct"/>
            <w:tcBorders>
              <w:tl2br w:val="nil"/>
              <w:tr2bl w:val="nil"/>
            </w:tcBorders>
            <w:noWrap w:val="0"/>
            <w:vAlign w:val="center"/>
          </w:tcPr>
          <w:p w14:paraId="071E29B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序号</w:t>
            </w:r>
          </w:p>
        </w:tc>
        <w:tc>
          <w:tcPr>
            <w:tcW w:w="858" w:type="pct"/>
            <w:tcBorders>
              <w:tl2br w:val="nil"/>
              <w:tr2bl w:val="nil"/>
            </w:tcBorders>
            <w:noWrap w:val="0"/>
            <w:vAlign w:val="center"/>
          </w:tcPr>
          <w:p w14:paraId="1BA3984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井场</w:t>
            </w:r>
          </w:p>
        </w:tc>
        <w:tc>
          <w:tcPr>
            <w:tcW w:w="1372" w:type="pct"/>
            <w:tcBorders>
              <w:tl2br w:val="nil"/>
              <w:tr2bl w:val="nil"/>
            </w:tcBorders>
            <w:noWrap w:val="0"/>
            <w:vAlign w:val="center"/>
          </w:tcPr>
          <w:p w14:paraId="1F9DCCC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项目名称</w:t>
            </w:r>
          </w:p>
        </w:tc>
        <w:tc>
          <w:tcPr>
            <w:tcW w:w="1629" w:type="pct"/>
            <w:tcBorders>
              <w:tl2br w:val="nil"/>
              <w:tr2bl w:val="nil"/>
            </w:tcBorders>
            <w:noWrap w:val="0"/>
            <w:vAlign w:val="center"/>
          </w:tcPr>
          <w:p w14:paraId="70E87A2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审批</w:t>
            </w:r>
            <w:r>
              <w:rPr>
                <w:rFonts w:hint="eastAsia" w:ascii="宋体" w:hAnsi="宋体" w:eastAsia="宋体" w:cs="宋体"/>
                <w:color w:val="auto"/>
                <w:sz w:val="21"/>
                <w:szCs w:val="21"/>
                <w:lang w:val="en-US" w:eastAsia="zh-CN"/>
              </w:rPr>
              <w:t>部门及</w:t>
            </w:r>
            <w:r>
              <w:rPr>
                <w:rFonts w:hint="eastAsia" w:ascii="宋体" w:hAnsi="宋体" w:eastAsia="宋体" w:cs="宋体"/>
                <w:color w:val="auto"/>
                <w:sz w:val="21"/>
                <w:szCs w:val="21"/>
              </w:rPr>
              <w:t>文号</w:t>
            </w:r>
          </w:p>
        </w:tc>
        <w:tc>
          <w:tcPr>
            <w:tcW w:w="869" w:type="pct"/>
            <w:tcBorders>
              <w:tl2br w:val="nil"/>
              <w:tr2bl w:val="nil"/>
            </w:tcBorders>
            <w:noWrap w:val="0"/>
            <w:vAlign w:val="center"/>
          </w:tcPr>
          <w:p w14:paraId="7CB9A25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验收情况</w:t>
            </w:r>
          </w:p>
        </w:tc>
      </w:tr>
      <w:tr w14:paraId="1C56BF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tblHeader/>
          <w:jc w:val="center"/>
        </w:trPr>
        <w:tc>
          <w:tcPr>
            <w:tcW w:w="269" w:type="pct"/>
            <w:tcBorders>
              <w:tl2br w:val="nil"/>
              <w:tr2bl w:val="nil"/>
            </w:tcBorders>
            <w:noWrap w:val="0"/>
            <w:vAlign w:val="center"/>
          </w:tcPr>
          <w:p w14:paraId="3AD6E15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w:t>
            </w:r>
          </w:p>
        </w:tc>
        <w:tc>
          <w:tcPr>
            <w:tcW w:w="858" w:type="pct"/>
            <w:tcBorders>
              <w:tl2br w:val="nil"/>
              <w:tr2bl w:val="nil"/>
            </w:tcBorders>
            <w:noWrap w:val="0"/>
            <w:vAlign w:val="center"/>
          </w:tcPr>
          <w:p w14:paraId="39F49FA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雄探1井</w:t>
            </w:r>
          </w:p>
          <w:p w14:paraId="03AD982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震探1井</w:t>
            </w:r>
            <w:r>
              <w:rPr>
                <w:rFonts w:hint="eastAsia" w:ascii="宋体" w:hAnsi="宋体" w:cs="宋体"/>
                <w:color w:val="auto"/>
                <w:sz w:val="21"/>
                <w:szCs w:val="21"/>
                <w:lang w:eastAsia="zh-CN"/>
              </w:rPr>
              <w:t>）</w:t>
            </w:r>
          </w:p>
        </w:tc>
        <w:tc>
          <w:tcPr>
            <w:tcW w:w="1372" w:type="pct"/>
            <w:tcBorders>
              <w:tl2br w:val="nil"/>
              <w:tr2bl w:val="nil"/>
            </w:tcBorders>
            <w:noWrap w:val="0"/>
            <w:vAlign w:val="center"/>
          </w:tcPr>
          <w:p w14:paraId="546F788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震探1井钻井工程</w:t>
            </w:r>
          </w:p>
          <w:p w14:paraId="11CE735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（勘探井）</w:t>
            </w:r>
          </w:p>
        </w:tc>
        <w:tc>
          <w:tcPr>
            <w:tcW w:w="1629" w:type="pct"/>
            <w:tcBorders>
              <w:tl2br w:val="nil"/>
              <w:tr2bl w:val="nil"/>
            </w:tcBorders>
            <w:noWrap w:val="0"/>
            <w:vAlign w:val="center"/>
          </w:tcPr>
          <w:p w14:paraId="206106E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阿克苏地区生态环境局，</w:t>
            </w:r>
          </w:p>
          <w:p w14:paraId="429EF0C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阿地环审</w:t>
            </w:r>
            <w:r>
              <w:rPr>
                <w:rFonts w:hint="eastAsia" w:ascii="宋体" w:hAnsi="宋体" w:eastAsia="宋体" w:cs="宋体"/>
                <w:color w:val="auto"/>
                <w:sz w:val="21"/>
                <w:szCs w:val="21"/>
                <w:lang w:val="en-US" w:eastAsia="zh-CN"/>
              </w:rPr>
              <w:t>〔</w:t>
            </w:r>
            <w:r>
              <w:rPr>
                <w:rFonts w:hint="eastAsia" w:ascii="宋体" w:hAnsi="宋体" w:cs="宋体"/>
                <w:color w:val="auto"/>
                <w:sz w:val="21"/>
                <w:szCs w:val="21"/>
                <w:lang w:val="en-US" w:eastAsia="zh-CN"/>
              </w:rPr>
              <w:t>2021</w:t>
            </w:r>
            <w:r>
              <w:rPr>
                <w:rFonts w:hint="eastAsia" w:ascii="宋体" w:hAnsi="宋体" w:eastAsia="宋体" w:cs="宋体"/>
                <w:color w:val="auto"/>
                <w:sz w:val="21"/>
                <w:szCs w:val="21"/>
                <w:lang w:val="en-US" w:eastAsia="zh-CN"/>
              </w:rPr>
              <w:t>〕</w:t>
            </w:r>
            <w:r>
              <w:rPr>
                <w:rFonts w:hint="eastAsia" w:ascii="宋体" w:hAnsi="宋体" w:cs="宋体"/>
                <w:color w:val="auto"/>
                <w:sz w:val="21"/>
                <w:szCs w:val="21"/>
                <w:lang w:val="en-US" w:eastAsia="zh-CN"/>
              </w:rPr>
              <w:t>182号</w:t>
            </w:r>
          </w:p>
        </w:tc>
        <w:tc>
          <w:tcPr>
            <w:tcW w:w="869" w:type="pct"/>
            <w:tcBorders>
              <w:tl2br w:val="nil"/>
              <w:tr2bl w:val="nil"/>
            </w:tcBorders>
            <w:noWrap w:val="0"/>
            <w:vAlign w:val="center"/>
          </w:tcPr>
          <w:p w14:paraId="154DF61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正在组织验收</w:t>
            </w:r>
          </w:p>
        </w:tc>
      </w:tr>
      <w:tr w14:paraId="08882B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tblHeader/>
          <w:jc w:val="center"/>
        </w:trPr>
        <w:tc>
          <w:tcPr>
            <w:tcW w:w="269" w:type="pct"/>
            <w:tcBorders>
              <w:tl2br w:val="nil"/>
              <w:tr2bl w:val="nil"/>
            </w:tcBorders>
            <w:noWrap w:val="0"/>
            <w:vAlign w:val="center"/>
          </w:tcPr>
          <w:p w14:paraId="1D20C2A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w:t>
            </w:r>
          </w:p>
        </w:tc>
        <w:tc>
          <w:tcPr>
            <w:tcW w:w="858" w:type="pct"/>
            <w:tcBorders>
              <w:tl2br w:val="nil"/>
              <w:tr2bl w:val="nil"/>
            </w:tcBorders>
            <w:noWrap w:val="0"/>
            <w:vAlign w:val="center"/>
          </w:tcPr>
          <w:p w14:paraId="23BA530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雄英101井</w:t>
            </w:r>
          </w:p>
        </w:tc>
        <w:tc>
          <w:tcPr>
            <w:tcW w:w="1372" w:type="pct"/>
            <w:tcBorders>
              <w:tl2br w:val="nil"/>
              <w:tr2bl w:val="nil"/>
            </w:tcBorders>
            <w:noWrap w:val="0"/>
            <w:vAlign w:val="center"/>
          </w:tcPr>
          <w:p w14:paraId="397E963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1"/>
                <w:szCs w:val="21"/>
                <w:lang w:val="en-US" w:eastAsia="zh-CN"/>
              </w:rPr>
            </w:pPr>
            <w:r>
              <w:rPr>
                <w:rFonts w:hint="eastAsia" w:ascii="宋体" w:hAnsi="宋体" w:eastAsia="宋体" w:cs="宋体"/>
                <w:color w:val="auto"/>
                <w:sz w:val="21"/>
                <w:szCs w:val="21"/>
              </w:rPr>
              <w:t>雄英101井</w:t>
            </w:r>
            <w:r>
              <w:rPr>
                <w:rFonts w:hint="eastAsia" w:ascii="宋体" w:hAnsi="宋体" w:cs="宋体"/>
                <w:color w:val="auto"/>
                <w:sz w:val="21"/>
                <w:szCs w:val="21"/>
                <w:lang w:val="en-US" w:eastAsia="zh-CN"/>
              </w:rPr>
              <w:t>钻井工程</w:t>
            </w:r>
          </w:p>
          <w:p w14:paraId="611DBD5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（勘探井）</w:t>
            </w:r>
          </w:p>
        </w:tc>
        <w:tc>
          <w:tcPr>
            <w:tcW w:w="1629" w:type="pct"/>
            <w:tcBorders>
              <w:tl2br w:val="nil"/>
              <w:tr2bl w:val="nil"/>
            </w:tcBorders>
            <w:noWrap w:val="0"/>
            <w:vAlign w:val="center"/>
          </w:tcPr>
          <w:p w14:paraId="6EED996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阿克苏地区生态环境局，</w:t>
            </w:r>
          </w:p>
          <w:p w14:paraId="2C55B67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阿地环审</w:t>
            </w:r>
            <w:r>
              <w:rPr>
                <w:rFonts w:hint="eastAsia" w:ascii="宋体" w:hAnsi="宋体" w:eastAsia="宋体" w:cs="宋体"/>
                <w:color w:val="auto"/>
                <w:sz w:val="21"/>
                <w:szCs w:val="21"/>
                <w:lang w:val="en-US" w:eastAsia="zh-CN"/>
              </w:rPr>
              <w:t>〔</w:t>
            </w:r>
            <w:r>
              <w:rPr>
                <w:rFonts w:hint="eastAsia" w:ascii="宋体" w:hAnsi="宋体" w:cs="宋体"/>
                <w:color w:val="auto"/>
                <w:sz w:val="21"/>
                <w:szCs w:val="21"/>
                <w:lang w:val="en-US" w:eastAsia="zh-CN"/>
              </w:rPr>
              <w:t>2024</w:t>
            </w:r>
            <w:r>
              <w:rPr>
                <w:rFonts w:hint="eastAsia" w:ascii="宋体" w:hAnsi="宋体" w:eastAsia="宋体" w:cs="宋体"/>
                <w:color w:val="auto"/>
                <w:sz w:val="21"/>
                <w:szCs w:val="21"/>
                <w:lang w:val="en-US" w:eastAsia="zh-CN"/>
              </w:rPr>
              <w:t>〕</w:t>
            </w:r>
            <w:r>
              <w:rPr>
                <w:rFonts w:hint="eastAsia" w:ascii="宋体" w:hAnsi="宋体" w:cs="宋体"/>
                <w:color w:val="auto"/>
                <w:sz w:val="21"/>
                <w:szCs w:val="21"/>
                <w:lang w:val="en-US" w:eastAsia="zh-CN"/>
              </w:rPr>
              <w:t>29号</w:t>
            </w:r>
          </w:p>
        </w:tc>
        <w:tc>
          <w:tcPr>
            <w:tcW w:w="869" w:type="pct"/>
            <w:tcBorders>
              <w:tl2br w:val="nil"/>
              <w:tr2bl w:val="nil"/>
            </w:tcBorders>
            <w:noWrap w:val="0"/>
            <w:vAlign w:val="center"/>
          </w:tcPr>
          <w:p w14:paraId="74B40F8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已验收</w:t>
            </w:r>
          </w:p>
        </w:tc>
      </w:tr>
      <w:tr w14:paraId="4EB76F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tblHeader/>
          <w:jc w:val="center"/>
        </w:trPr>
        <w:tc>
          <w:tcPr>
            <w:tcW w:w="269" w:type="pct"/>
            <w:tcBorders>
              <w:tl2br w:val="nil"/>
              <w:tr2bl w:val="nil"/>
            </w:tcBorders>
            <w:noWrap w:val="0"/>
            <w:vAlign w:val="center"/>
          </w:tcPr>
          <w:p w14:paraId="2D6D391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3</w:t>
            </w:r>
          </w:p>
        </w:tc>
        <w:tc>
          <w:tcPr>
            <w:tcW w:w="858" w:type="pct"/>
            <w:tcBorders>
              <w:tl2br w:val="nil"/>
              <w:tr2bl w:val="nil"/>
            </w:tcBorders>
            <w:noWrap w:val="0"/>
            <w:vAlign w:val="center"/>
          </w:tcPr>
          <w:p w14:paraId="2C3FD81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雄英102井</w:t>
            </w:r>
          </w:p>
        </w:tc>
        <w:tc>
          <w:tcPr>
            <w:tcW w:w="1372" w:type="pct"/>
            <w:tcBorders>
              <w:tl2br w:val="nil"/>
              <w:tr2bl w:val="nil"/>
            </w:tcBorders>
            <w:noWrap w:val="0"/>
            <w:vAlign w:val="center"/>
          </w:tcPr>
          <w:p w14:paraId="13ED9D0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雄英102井</w:t>
            </w:r>
            <w:r>
              <w:rPr>
                <w:rFonts w:hint="eastAsia" w:ascii="宋体" w:hAnsi="宋体" w:eastAsia="宋体" w:cs="宋体"/>
                <w:color w:val="auto"/>
                <w:sz w:val="21"/>
                <w:szCs w:val="21"/>
                <w:lang w:val="en-US" w:eastAsia="zh-CN"/>
              </w:rPr>
              <w:t>钻井工程</w:t>
            </w:r>
          </w:p>
          <w:p w14:paraId="15849DF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（勘探井）</w:t>
            </w:r>
          </w:p>
        </w:tc>
        <w:tc>
          <w:tcPr>
            <w:tcW w:w="1629" w:type="pct"/>
            <w:tcBorders>
              <w:tl2br w:val="nil"/>
              <w:tr2bl w:val="nil"/>
            </w:tcBorders>
            <w:noWrap w:val="0"/>
            <w:vAlign w:val="center"/>
          </w:tcPr>
          <w:p w14:paraId="5414F66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阿克苏地区生态环境局，</w:t>
            </w:r>
          </w:p>
          <w:p w14:paraId="3F91097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阿地环审</w:t>
            </w:r>
            <w:r>
              <w:rPr>
                <w:rFonts w:hint="eastAsia" w:ascii="宋体" w:hAnsi="宋体" w:eastAsia="宋体" w:cs="宋体"/>
                <w:color w:val="auto"/>
                <w:sz w:val="21"/>
                <w:szCs w:val="21"/>
                <w:lang w:val="en-US" w:eastAsia="zh-CN"/>
              </w:rPr>
              <w:t>〔</w:t>
            </w:r>
            <w:r>
              <w:rPr>
                <w:rFonts w:hint="eastAsia" w:ascii="宋体" w:hAnsi="宋体" w:cs="宋体"/>
                <w:color w:val="auto"/>
                <w:sz w:val="21"/>
                <w:szCs w:val="21"/>
                <w:lang w:val="en-US" w:eastAsia="zh-CN"/>
              </w:rPr>
              <w:t>2024</w:t>
            </w:r>
            <w:r>
              <w:rPr>
                <w:rFonts w:hint="eastAsia" w:ascii="宋体" w:hAnsi="宋体" w:eastAsia="宋体" w:cs="宋体"/>
                <w:color w:val="auto"/>
                <w:sz w:val="21"/>
                <w:szCs w:val="21"/>
                <w:lang w:val="en-US" w:eastAsia="zh-CN"/>
              </w:rPr>
              <w:t>〕</w:t>
            </w:r>
            <w:r>
              <w:rPr>
                <w:rFonts w:hint="eastAsia" w:ascii="宋体" w:hAnsi="宋体" w:cs="宋体"/>
                <w:color w:val="auto"/>
                <w:sz w:val="21"/>
                <w:szCs w:val="21"/>
                <w:lang w:val="en-US" w:eastAsia="zh-CN"/>
              </w:rPr>
              <w:t>201号</w:t>
            </w:r>
          </w:p>
        </w:tc>
        <w:tc>
          <w:tcPr>
            <w:tcW w:w="869" w:type="pct"/>
            <w:tcBorders>
              <w:tl2br w:val="nil"/>
              <w:tr2bl w:val="nil"/>
            </w:tcBorders>
            <w:noWrap w:val="0"/>
            <w:vAlign w:val="center"/>
          </w:tcPr>
          <w:p w14:paraId="4DFF16B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已验收</w:t>
            </w:r>
          </w:p>
        </w:tc>
      </w:tr>
      <w:tr w14:paraId="2A85DF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tblHeader/>
          <w:jc w:val="center"/>
        </w:trPr>
        <w:tc>
          <w:tcPr>
            <w:tcW w:w="269" w:type="pct"/>
            <w:tcBorders>
              <w:tl2br w:val="nil"/>
              <w:tr2bl w:val="nil"/>
            </w:tcBorders>
            <w:noWrap w:val="0"/>
            <w:vAlign w:val="center"/>
          </w:tcPr>
          <w:p w14:paraId="3609331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4</w:t>
            </w:r>
          </w:p>
        </w:tc>
        <w:tc>
          <w:tcPr>
            <w:tcW w:w="858" w:type="pct"/>
            <w:tcBorders>
              <w:tl2br w:val="nil"/>
              <w:tr2bl w:val="nil"/>
            </w:tcBorders>
            <w:noWrap w:val="0"/>
            <w:vAlign w:val="center"/>
          </w:tcPr>
          <w:p w14:paraId="69CE1D0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雄英103井</w:t>
            </w:r>
          </w:p>
        </w:tc>
        <w:tc>
          <w:tcPr>
            <w:tcW w:w="1372" w:type="pct"/>
            <w:tcBorders>
              <w:tl2br w:val="nil"/>
              <w:tr2bl w:val="nil"/>
            </w:tcBorders>
            <w:noWrap w:val="0"/>
            <w:vAlign w:val="center"/>
          </w:tcPr>
          <w:p w14:paraId="29D13D3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雄英103井钻井工程</w:t>
            </w:r>
          </w:p>
          <w:p w14:paraId="2130EE5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（勘探井）</w:t>
            </w:r>
          </w:p>
        </w:tc>
        <w:tc>
          <w:tcPr>
            <w:tcW w:w="1629" w:type="pct"/>
            <w:tcBorders>
              <w:tl2br w:val="nil"/>
              <w:tr2bl w:val="nil"/>
            </w:tcBorders>
            <w:noWrap w:val="0"/>
            <w:vAlign w:val="center"/>
          </w:tcPr>
          <w:p w14:paraId="5144565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阿克苏地区生态环境局，</w:t>
            </w:r>
          </w:p>
          <w:p w14:paraId="6119FC2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阿地环审</w:t>
            </w:r>
            <w:r>
              <w:rPr>
                <w:rFonts w:hint="eastAsia" w:ascii="宋体" w:hAnsi="宋体" w:eastAsia="宋体" w:cs="宋体"/>
                <w:color w:val="auto"/>
                <w:sz w:val="21"/>
                <w:szCs w:val="21"/>
                <w:lang w:val="en-US" w:eastAsia="zh-CN"/>
              </w:rPr>
              <w:t>〔</w:t>
            </w:r>
            <w:r>
              <w:rPr>
                <w:rFonts w:hint="eastAsia" w:ascii="宋体" w:hAnsi="宋体" w:cs="宋体"/>
                <w:color w:val="auto"/>
                <w:sz w:val="21"/>
                <w:szCs w:val="21"/>
                <w:lang w:val="en-US" w:eastAsia="zh-CN"/>
              </w:rPr>
              <w:t>2024</w:t>
            </w:r>
            <w:r>
              <w:rPr>
                <w:rFonts w:hint="eastAsia" w:ascii="宋体" w:hAnsi="宋体" w:eastAsia="宋体" w:cs="宋体"/>
                <w:color w:val="auto"/>
                <w:sz w:val="21"/>
                <w:szCs w:val="21"/>
                <w:lang w:val="en-US" w:eastAsia="zh-CN"/>
              </w:rPr>
              <w:t>〕</w:t>
            </w:r>
            <w:r>
              <w:rPr>
                <w:rFonts w:hint="eastAsia" w:ascii="宋体" w:hAnsi="宋体" w:cs="宋体"/>
                <w:color w:val="auto"/>
                <w:sz w:val="21"/>
                <w:szCs w:val="21"/>
                <w:lang w:val="en-US" w:eastAsia="zh-CN"/>
              </w:rPr>
              <w:t>202号</w:t>
            </w:r>
          </w:p>
        </w:tc>
        <w:tc>
          <w:tcPr>
            <w:tcW w:w="869" w:type="pct"/>
            <w:tcBorders>
              <w:tl2br w:val="nil"/>
              <w:tr2bl w:val="nil"/>
            </w:tcBorders>
            <w:noWrap w:val="0"/>
            <w:vAlign w:val="center"/>
          </w:tcPr>
          <w:p w14:paraId="579A182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正在组织验收</w:t>
            </w:r>
          </w:p>
        </w:tc>
      </w:tr>
      <w:tr w14:paraId="05A491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tblHeader/>
          <w:jc w:val="center"/>
        </w:trPr>
        <w:tc>
          <w:tcPr>
            <w:tcW w:w="269" w:type="pct"/>
            <w:tcBorders>
              <w:tl2br w:val="nil"/>
              <w:tr2bl w:val="nil"/>
            </w:tcBorders>
            <w:noWrap w:val="0"/>
            <w:vAlign w:val="center"/>
          </w:tcPr>
          <w:p w14:paraId="52637A8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lang w:val="en-US" w:eastAsia="zh-CN" w:bidi="ar-SA"/>
              </w:rPr>
            </w:pPr>
            <w:bookmarkStart w:id="216" w:name="OLE_LINK1" w:colFirst="0" w:colLast="3"/>
            <w:r>
              <w:rPr>
                <w:rFonts w:hint="eastAsia" w:ascii="宋体" w:hAnsi="宋体" w:cs="宋体"/>
                <w:color w:val="auto"/>
                <w:sz w:val="21"/>
                <w:szCs w:val="21"/>
                <w:highlight w:val="none"/>
                <w:lang w:val="en-US" w:eastAsia="zh-CN"/>
              </w:rPr>
              <w:t>5</w:t>
            </w:r>
          </w:p>
        </w:tc>
        <w:tc>
          <w:tcPr>
            <w:tcW w:w="858" w:type="pct"/>
            <w:tcBorders>
              <w:tl2br w:val="nil"/>
              <w:tr2bl w:val="nil"/>
            </w:tcBorders>
            <w:noWrap w:val="0"/>
            <w:vAlign w:val="center"/>
          </w:tcPr>
          <w:p w14:paraId="6F95AC2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雄英</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井</w:t>
            </w:r>
          </w:p>
        </w:tc>
        <w:tc>
          <w:tcPr>
            <w:tcW w:w="1372" w:type="pct"/>
            <w:tcBorders>
              <w:tl2br w:val="nil"/>
              <w:tr2bl w:val="nil"/>
            </w:tcBorders>
            <w:noWrap w:val="0"/>
            <w:vAlign w:val="center"/>
          </w:tcPr>
          <w:p w14:paraId="688B82B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雄英</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井钻井工程</w:t>
            </w:r>
          </w:p>
          <w:p w14:paraId="142517F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（勘探井）</w:t>
            </w:r>
          </w:p>
        </w:tc>
        <w:tc>
          <w:tcPr>
            <w:tcW w:w="1629" w:type="pct"/>
            <w:tcBorders>
              <w:tl2br w:val="nil"/>
              <w:tr2bl w:val="nil"/>
            </w:tcBorders>
            <w:noWrap w:val="0"/>
            <w:vAlign w:val="center"/>
          </w:tcPr>
          <w:p w14:paraId="764CC60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阿克苏地区生态环境局，</w:t>
            </w:r>
          </w:p>
          <w:p w14:paraId="34DF730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阿地环审</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2023</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691号</w:t>
            </w:r>
          </w:p>
        </w:tc>
        <w:tc>
          <w:tcPr>
            <w:tcW w:w="869" w:type="pct"/>
            <w:tcBorders>
              <w:tl2br w:val="nil"/>
              <w:tr2bl w:val="nil"/>
            </w:tcBorders>
            <w:noWrap w:val="0"/>
            <w:vAlign w:val="center"/>
          </w:tcPr>
          <w:p w14:paraId="406646D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已验收</w:t>
            </w:r>
          </w:p>
        </w:tc>
      </w:tr>
      <w:bookmarkEnd w:id="216"/>
      <w:tr w14:paraId="0C2988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tblHeader/>
          <w:jc w:val="center"/>
        </w:trPr>
        <w:tc>
          <w:tcPr>
            <w:tcW w:w="269" w:type="pct"/>
            <w:tcBorders>
              <w:tl2br w:val="nil"/>
              <w:tr2bl w:val="nil"/>
            </w:tcBorders>
            <w:noWrap w:val="0"/>
            <w:vAlign w:val="center"/>
          </w:tcPr>
          <w:p w14:paraId="1C42311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858" w:type="pct"/>
            <w:tcBorders>
              <w:tl2br w:val="nil"/>
              <w:tr2bl w:val="nil"/>
            </w:tcBorders>
            <w:noWrap w:val="0"/>
            <w:vAlign w:val="center"/>
          </w:tcPr>
          <w:p w14:paraId="058C784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雄英3井</w:t>
            </w:r>
          </w:p>
        </w:tc>
        <w:tc>
          <w:tcPr>
            <w:tcW w:w="1372" w:type="pct"/>
            <w:tcBorders>
              <w:tl2br w:val="nil"/>
              <w:tr2bl w:val="nil"/>
            </w:tcBorders>
            <w:noWrap w:val="0"/>
            <w:vAlign w:val="center"/>
          </w:tcPr>
          <w:p w14:paraId="590FC6B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雄英3井钻井工程</w:t>
            </w:r>
          </w:p>
          <w:p w14:paraId="49CB9D0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（勘探井）</w:t>
            </w:r>
          </w:p>
        </w:tc>
        <w:tc>
          <w:tcPr>
            <w:tcW w:w="1629" w:type="pct"/>
            <w:tcBorders>
              <w:tl2br w:val="nil"/>
              <w:tr2bl w:val="nil"/>
            </w:tcBorders>
            <w:noWrap w:val="0"/>
            <w:vAlign w:val="center"/>
          </w:tcPr>
          <w:p w14:paraId="1876116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阿克苏地区生态环境局，</w:t>
            </w:r>
          </w:p>
          <w:p w14:paraId="14D0EBF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阿地环审</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2024</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17号</w:t>
            </w:r>
          </w:p>
        </w:tc>
        <w:tc>
          <w:tcPr>
            <w:tcW w:w="869" w:type="pct"/>
            <w:tcBorders>
              <w:tl2br w:val="nil"/>
              <w:tr2bl w:val="nil"/>
            </w:tcBorders>
            <w:noWrap w:val="0"/>
            <w:vAlign w:val="center"/>
          </w:tcPr>
          <w:p w14:paraId="7DDC714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已验收</w:t>
            </w:r>
          </w:p>
        </w:tc>
      </w:tr>
      <w:bookmarkEnd w:id="213"/>
      <w:bookmarkEnd w:id="214"/>
    </w:tbl>
    <w:p w14:paraId="5DA870C3">
      <w:pPr>
        <w:pStyle w:val="54"/>
        <w:bidi w:val="0"/>
        <w:rPr>
          <w:rFonts w:hint="eastAsia"/>
          <w:color w:val="auto"/>
          <w:lang w:val="en-US" w:eastAsia="zh-CN"/>
        </w:rPr>
      </w:pPr>
      <w:r>
        <w:rPr>
          <w:rFonts w:hint="eastAsia"/>
          <w:color w:val="auto"/>
          <w:lang w:val="en-US" w:eastAsia="zh-CN"/>
        </w:rPr>
        <w:fldChar w:fldCharType="begin"/>
      </w:r>
      <w:r>
        <w:rPr>
          <w:rFonts w:hint="eastAsia"/>
          <w:color w:val="auto"/>
          <w:lang w:val="en-US" w:eastAsia="zh-CN"/>
        </w:rPr>
        <w:instrText xml:space="preserve"> HYPERLINK \l _Toc6301 </w:instrText>
      </w:r>
      <w:r>
        <w:rPr>
          <w:rFonts w:hint="eastAsia"/>
          <w:color w:val="auto"/>
          <w:lang w:val="en-US" w:eastAsia="zh-CN"/>
        </w:rPr>
        <w:fldChar w:fldCharType="separate"/>
      </w:r>
      <w:r>
        <w:rPr>
          <w:rFonts w:hint="eastAsia"/>
          <w:color w:val="auto"/>
          <w:lang w:val="en-US" w:eastAsia="zh-CN"/>
        </w:rPr>
        <w:t>3.1.3 现有工程环境问题及“以新带老”改进意见</w:t>
      </w:r>
      <w:r>
        <w:rPr>
          <w:rFonts w:hint="eastAsia"/>
          <w:color w:val="auto"/>
          <w:lang w:val="en-US" w:eastAsia="zh-CN"/>
        </w:rPr>
        <w:fldChar w:fldCharType="end"/>
      </w:r>
    </w:p>
    <w:bookmarkEnd w:id="201"/>
    <w:bookmarkEnd w:id="202"/>
    <w:bookmarkEnd w:id="203"/>
    <w:p w14:paraId="0AC1AA22">
      <w:pPr>
        <w:pStyle w:val="79"/>
        <w:bidi w:val="0"/>
        <w:rPr>
          <w:rFonts w:hint="default"/>
          <w:color w:val="auto"/>
        </w:rPr>
      </w:pPr>
      <w:bookmarkStart w:id="217" w:name="OLE_LINK352"/>
      <w:bookmarkStart w:id="218" w:name="OLE_LINK53"/>
      <w:bookmarkStart w:id="219" w:name="OLE_LINK353"/>
      <w:bookmarkStart w:id="220" w:name="_Toc17519"/>
      <w:bookmarkStart w:id="221" w:name="_Toc109382918"/>
      <w:r>
        <w:rPr>
          <w:rFonts w:hint="default"/>
          <w:color w:val="auto"/>
        </w:rPr>
        <w:t>目前，</w:t>
      </w:r>
      <w:r>
        <w:rPr>
          <w:rFonts w:hint="eastAsia"/>
          <w:color w:val="auto"/>
          <w:lang w:val="en-US" w:eastAsia="zh-CN"/>
        </w:rPr>
        <w:t>已完钻井</w:t>
      </w:r>
      <w:r>
        <w:rPr>
          <w:rFonts w:hint="default"/>
          <w:color w:val="auto"/>
        </w:rPr>
        <w:t>周边生态环境处于逐步恢复过程中。油田开发区域基本保持原有的荒漠生态系统，部分地区还在建设中，自然恢复缓慢。生态环境的主要</w:t>
      </w:r>
      <w:bookmarkStart w:id="222" w:name="OLE_LINK177"/>
      <w:r>
        <w:rPr>
          <w:rFonts w:hint="default"/>
          <w:color w:val="auto"/>
        </w:rPr>
        <w:t>影响为土地的永久/临时征用以及原有植被的破坏。项目区内已对建成的井场永久性占地范围内进行了平整硬化处理，临时占地已平整。油区道路总体规范，但部分地段有车辆乱碾乱轧的痕迹。</w:t>
      </w:r>
    </w:p>
    <w:p w14:paraId="02372C17">
      <w:pPr>
        <w:pStyle w:val="79"/>
        <w:bidi w:val="0"/>
        <w:rPr>
          <w:rFonts w:hint="default"/>
          <w:color w:val="auto"/>
        </w:rPr>
      </w:pPr>
      <w:r>
        <w:rPr>
          <w:rFonts w:hint="default"/>
          <w:color w:val="auto"/>
        </w:rPr>
        <w:t>由于区域气候较为干旱，自然恢复过程缓</w:t>
      </w:r>
      <w:bookmarkEnd w:id="222"/>
      <w:r>
        <w:rPr>
          <w:rFonts w:hint="default"/>
          <w:color w:val="auto"/>
        </w:rPr>
        <w:t>慢，调查期间植被尚未恢复，区域植被覆盖度较低，项目的建设对原有的植被造成一定的影响；从土地利用类型来看，项目的建设使油田区域内的荒漠略有减少，建设用地面积略有增加，其中用地类型由荒漠转变为建设用地。总体来说，项目区依旧是荒漠景观。油田开发区域基本保持原有的荒漠生态系统。</w:t>
      </w:r>
    </w:p>
    <w:bookmarkEnd w:id="217"/>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6"/>
        <w:gridCol w:w="4256"/>
      </w:tblGrid>
      <w:tr w14:paraId="41ACA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6" w:type="dxa"/>
          </w:tcPr>
          <w:p w14:paraId="3E7A8A77">
            <w:pPr>
              <w:bidi w:val="0"/>
              <w:rPr>
                <w:rFonts w:hint="eastAsia" w:eastAsia="宋体"/>
                <w:color w:val="auto"/>
                <w:vertAlign w:val="baseline"/>
                <w:lang w:eastAsia="zh-CN"/>
              </w:rPr>
            </w:pPr>
          </w:p>
        </w:tc>
        <w:tc>
          <w:tcPr>
            <w:tcW w:w="4256" w:type="dxa"/>
          </w:tcPr>
          <w:p w14:paraId="755312EE">
            <w:pPr>
              <w:bidi w:val="0"/>
              <w:rPr>
                <w:rFonts w:hint="eastAsia" w:eastAsia="宋体"/>
                <w:color w:val="auto"/>
                <w:vertAlign w:val="baseline"/>
                <w:lang w:eastAsia="zh-CN"/>
              </w:rPr>
            </w:pPr>
          </w:p>
          <w:p w14:paraId="6802C32B">
            <w:pPr>
              <w:bidi w:val="0"/>
              <w:rPr>
                <w:rFonts w:hint="eastAsia" w:eastAsia="宋体"/>
                <w:color w:val="auto"/>
                <w:vertAlign w:val="baseline"/>
                <w:lang w:eastAsia="zh-CN"/>
              </w:rPr>
            </w:pPr>
          </w:p>
          <w:p w14:paraId="6A4CF684">
            <w:pPr>
              <w:bidi w:val="0"/>
              <w:rPr>
                <w:rFonts w:hint="eastAsia" w:eastAsia="宋体"/>
                <w:color w:val="auto"/>
                <w:vertAlign w:val="baseline"/>
                <w:lang w:eastAsia="zh-CN"/>
              </w:rPr>
            </w:pPr>
          </w:p>
          <w:p w14:paraId="25C04B3D">
            <w:pPr>
              <w:bidi w:val="0"/>
              <w:rPr>
                <w:rFonts w:hint="eastAsia" w:eastAsia="宋体"/>
                <w:color w:val="auto"/>
                <w:vertAlign w:val="baseline"/>
                <w:lang w:eastAsia="zh-CN"/>
              </w:rPr>
            </w:pPr>
          </w:p>
          <w:p w14:paraId="7F177E13">
            <w:pPr>
              <w:bidi w:val="0"/>
              <w:rPr>
                <w:rFonts w:hint="eastAsia" w:eastAsia="宋体"/>
                <w:color w:val="auto"/>
                <w:vertAlign w:val="baseline"/>
                <w:lang w:eastAsia="zh-CN"/>
              </w:rPr>
            </w:pPr>
          </w:p>
          <w:p w14:paraId="362364E4">
            <w:pPr>
              <w:bidi w:val="0"/>
              <w:rPr>
                <w:rFonts w:hint="eastAsia" w:eastAsia="宋体"/>
                <w:color w:val="auto"/>
                <w:vertAlign w:val="baseline"/>
                <w:lang w:eastAsia="zh-CN"/>
              </w:rPr>
            </w:pPr>
          </w:p>
          <w:p w14:paraId="49379455">
            <w:pPr>
              <w:bidi w:val="0"/>
              <w:rPr>
                <w:rFonts w:hint="eastAsia" w:eastAsia="宋体"/>
                <w:color w:val="auto"/>
                <w:vertAlign w:val="baseline"/>
                <w:lang w:eastAsia="zh-CN"/>
              </w:rPr>
            </w:pPr>
          </w:p>
          <w:p w14:paraId="5913FAF9">
            <w:pPr>
              <w:bidi w:val="0"/>
              <w:rPr>
                <w:rFonts w:hint="eastAsia" w:eastAsia="宋体"/>
                <w:color w:val="auto"/>
                <w:vertAlign w:val="baseline"/>
                <w:lang w:eastAsia="zh-CN"/>
              </w:rPr>
            </w:pPr>
          </w:p>
          <w:p w14:paraId="79E216ED">
            <w:pPr>
              <w:bidi w:val="0"/>
              <w:rPr>
                <w:rFonts w:hint="eastAsia" w:eastAsia="宋体"/>
                <w:color w:val="auto"/>
                <w:vertAlign w:val="baseline"/>
                <w:lang w:eastAsia="zh-CN"/>
              </w:rPr>
            </w:pPr>
          </w:p>
        </w:tc>
      </w:tr>
      <w:tr w14:paraId="270B2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14:paraId="0C8752A4">
            <w:pPr>
              <w:bidi w:val="0"/>
              <w:jc w:val="center"/>
              <w:rPr>
                <w:rFonts w:hint="default" w:eastAsia="宋体"/>
                <w:color w:val="auto"/>
                <w:vertAlign w:val="baseline"/>
                <w:lang w:val="en-US" w:eastAsia="zh-CN"/>
              </w:rPr>
            </w:pPr>
            <w:bookmarkStart w:id="223" w:name="OLE_LINK171" w:colFirst="0" w:colLast="1"/>
            <w:r>
              <w:rPr>
                <w:rFonts w:hint="eastAsia" w:ascii="黑体" w:hAnsi="黑体" w:eastAsia="黑体" w:cs="黑体"/>
                <w:color w:val="auto"/>
                <w:sz w:val="24"/>
                <w:szCs w:val="24"/>
                <w:vertAlign w:val="baseline"/>
                <w:lang w:val="en-US" w:eastAsia="zh-CN"/>
              </w:rPr>
              <w:t>雄探1井现状环境</w:t>
            </w:r>
          </w:p>
        </w:tc>
      </w:tr>
      <w:bookmarkEnd w:id="223"/>
    </w:tbl>
    <w:p w14:paraId="4BCF9851">
      <w:pPr>
        <w:bidi w:val="0"/>
        <w:rPr>
          <w:rFonts w:hint="default"/>
          <w:color w:val="auto"/>
        </w:rPr>
      </w:pPr>
    </w:p>
    <w:p w14:paraId="1A36DFA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rPr>
      </w:pPr>
      <w:bookmarkStart w:id="224" w:name="OLE_LINK176"/>
      <w:r>
        <w:rPr>
          <w:rFonts w:hint="default" w:ascii="Times New Roman" w:hAnsi="Times New Roman" w:eastAsia="宋体" w:cs="Times New Roman"/>
          <w:color w:val="auto"/>
          <w:sz w:val="24"/>
          <w:szCs w:val="24"/>
        </w:rPr>
        <w:t>据现场调查和资料收集，现场调查未发现明显环境问题。钻井工程结束后，钻井队应对钻井期间产生的废水、固废进行清理、清运，同时进行设备拆除等作业，钻井队撤出井场后，将及时对临时占地区域进行平整恢复。</w:t>
      </w:r>
      <w:bookmarkStart w:id="225" w:name="OLE_LINK175"/>
      <w:r>
        <w:rPr>
          <w:rFonts w:hint="eastAsia" w:ascii="Times New Roman" w:hAnsi="Times New Roman" w:eastAsia="宋体" w:cs="Times New Roman"/>
          <w:color w:val="auto"/>
          <w:sz w:val="24"/>
          <w:szCs w:val="24"/>
          <w:lang w:val="en-US" w:eastAsia="zh-CN"/>
        </w:rPr>
        <w:t>应</w:t>
      </w:r>
      <w:r>
        <w:rPr>
          <w:rFonts w:hint="default" w:ascii="Times New Roman" w:hAnsi="Times New Roman" w:eastAsia="宋体" w:cs="Times New Roman"/>
          <w:color w:val="auto"/>
          <w:sz w:val="24"/>
          <w:szCs w:val="24"/>
        </w:rPr>
        <w:t>加强施工管理，施工结束后及时对临时占地区域进行平整恢复等</w:t>
      </w:r>
      <w:bookmarkEnd w:id="225"/>
      <w:r>
        <w:rPr>
          <w:rFonts w:hint="default" w:ascii="Times New Roman" w:hAnsi="Times New Roman" w:eastAsia="宋体" w:cs="Times New Roman"/>
          <w:color w:val="auto"/>
          <w:sz w:val="24"/>
          <w:szCs w:val="24"/>
        </w:rPr>
        <w:t>。已完工的井场等工程未及时开展验收工作，建议建设单位</w:t>
      </w:r>
      <w:r>
        <w:rPr>
          <w:rFonts w:hint="eastAsia" w:ascii="Times New Roman" w:hAnsi="Times New Roman" w:eastAsia="宋体" w:cs="Times New Roman"/>
          <w:color w:val="auto"/>
          <w:sz w:val="24"/>
          <w:szCs w:val="24"/>
          <w:lang w:val="en-US" w:eastAsia="zh-CN"/>
        </w:rPr>
        <w:t>尽快</w:t>
      </w:r>
      <w:r>
        <w:rPr>
          <w:rFonts w:hint="default" w:ascii="Times New Roman" w:hAnsi="Times New Roman" w:eastAsia="宋体" w:cs="Times New Roman"/>
          <w:color w:val="auto"/>
          <w:sz w:val="24"/>
          <w:szCs w:val="24"/>
        </w:rPr>
        <w:t>开展验收工作。</w:t>
      </w:r>
    </w:p>
    <w:bookmarkEnd w:id="218"/>
    <w:bookmarkEnd w:id="219"/>
    <w:bookmarkEnd w:id="224"/>
    <w:p w14:paraId="78098B18">
      <w:pPr>
        <w:pStyle w:val="75"/>
        <w:bidi w:val="0"/>
        <w:rPr>
          <w:rFonts w:hint="default"/>
          <w:color w:val="auto"/>
        </w:rPr>
      </w:pPr>
      <w:bookmarkStart w:id="226" w:name="_Toc8003"/>
      <w:r>
        <w:rPr>
          <w:rFonts w:hint="default"/>
          <w:color w:val="auto"/>
        </w:rPr>
        <w:t>3.</w:t>
      </w:r>
      <w:bookmarkStart w:id="227" w:name="OLE_LINK54"/>
      <w:r>
        <w:rPr>
          <w:rFonts w:hint="eastAsia"/>
          <w:color w:val="auto"/>
          <w:lang w:val="en-US" w:eastAsia="zh-CN"/>
        </w:rPr>
        <w:t xml:space="preserve">2 </w:t>
      </w:r>
      <w:bookmarkEnd w:id="227"/>
      <w:r>
        <w:rPr>
          <w:rFonts w:hint="eastAsia"/>
          <w:color w:val="auto"/>
          <w:lang w:val="en-US" w:eastAsia="zh-CN"/>
        </w:rPr>
        <w:t>拟建</w:t>
      </w:r>
      <w:r>
        <w:rPr>
          <w:rFonts w:hint="default"/>
          <w:color w:val="auto"/>
        </w:rPr>
        <w:t>工程</w:t>
      </w:r>
      <w:bookmarkEnd w:id="204"/>
      <w:bookmarkEnd w:id="205"/>
      <w:bookmarkEnd w:id="220"/>
      <w:bookmarkEnd w:id="221"/>
      <w:bookmarkEnd w:id="226"/>
    </w:p>
    <w:p w14:paraId="79745036">
      <w:pPr>
        <w:pStyle w:val="54"/>
        <w:bidi w:val="0"/>
        <w:rPr>
          <w:rFonts w:hint="default"/>
          <w:color w:val="auto"/>
          <w:lang w:val="en-US"/>
        </w:rPr>
      </w:pPr>
      <w:r>
        <w:rPr>
          <w:rFonts w:hint="default"/>
          <w:color w:val="auto"/>
        </w:rPr>
        <w:t>3.</w:t>
      </w:r>
      <w:r>
        <w:rPr>
          <w:rFonts w:hint="eastAsia"/>
          <w:color w:val="auto"/>
          <w:lang w:val="en-US" w:eastAsia="zh-CN"/>
        </w:rPr>
        <w:t>2</w:t>
      </w:r>
      <w:r>
        <w:rPr>
          <w:rFonts w:hint="default"/>
          <w:color w:val="auto"/>
        </w:rPr>
        <w:t>.1</w:t>
      </w:r>
      <w:r>
        <w:rPr>
          <w:rFonts w:hint="eastAsia"/>
          <w:color w:val="auto"/>
          <w:lang w:val="en-US" w:eastAsia="zh-CN"/>
        </w:rPr>
        <w:t xml:space="preserve"> 项目概况</w:t>
      </w:r>
    </w:p>
    <w:p w14:paraId="2F0607F9">
      <w:pPr>
        <w:pStyle w:val="79"/>
        <w:bidi w:val="0"/>
        <w:rPr>
          <w:rFonts w:hint="eastAsia"/>
          <w:color w:val="auto"/>
          <w:lang w:eastAsia="zh-CN"/>
        </w:rPr>
      </w:pPr>
      <w:r>
        <w:rPr>
          <w:rFonts w:hint="default"/>
          <w:color w:val="auto"/>
        </w:rPr>
        <w:t>（1）项目名称：</w:t>
      </w:r>
      <w:r>
        <w:rPr>
          <w:rFonts w:hint="eastAsia"/>
          <w:color w:val="auto"/>
          <w:lang w:eastAsia="zh-CN"/>
        </w:rPr>
        <w:t>塔里木油田雄英油田雄英1区块寒武系下丘里塔格组试采优化调整项目</w:t>
      </w:r>
    </w:p>
    <w:p w14:paraId="1B9A00FE">
      <w:pPr>
        <w:pStyle w:val="79"/>
        <w:bidi w:val="0"/>
        <w:rPr>
          <w:rFonts w:hint="default"/>
          <w:color w:val="auto"/>
        </w:rPr>
      </w:pPr>
      <w:r>
        <w:rPr>
          <w:rFonts w:hint="default"/>
          <w:color w:val="auto"/>
        </w:rPr>
        <w:t>（2）建设性质：</w:t>
      </w:r>
      <w:r>
        <w:rPr>
          <w:rFonts w:hint="eastAsia"/>
          <w:color w:val="auto"/>
          <w:lang w:val="en-US" w:eastAsia="zh-CN"/>
        </w:rPr>
        <w:t>新</w:t>
      </w:r>
      <w:r>
        <w:rPr>
          <w:rFonts w:hint="default"/>
          <w:color w:val="auto"/>
        </w:rPr>
        <w:t>建</w:t>
      </w:r>
    </w:p>
    <w:p w14:paraId="57D3E8F3">
      <w:pPr>
        <w:pStyle w:val="79"/>
        <w:bidi w:val="0"/>
        <w:rPr>
          <w:rFonts w:hint="default"/>
          <w:color w:val="auto"/>
        </w:rPr>
      </w:pPr>
      <w:r>
        <w:rPr>
          <w:rFonts w:hint="default"/>
          <w:color w:val="auto"/>
        </w:rPr>
        <w:t>（3）建设单位：中国石油天然气股份有限公司塔里木油田分公司</w:t>
      </w:r>
    </w:p>
    <w:p w14:paraId="0C5CACDC">
      <w:pPr>
        <w:pStyle w:val="79"/>
        <w:bidi w:val="0"/>
        <w:rPr>
          <w:rFonts w:hint="eastAsia"/>
          <w:color w:val="auto"/>
          <w:lang w:eastAsia="zh-CN"/>
        </w:rPr>
      </w:pPr>
      <w:r>
        <w:rPr>
          <w:rFonts w:hint="default"/>
          <w:color w:val="auto"/>
        </w:rPr>
        <w:t>（</w:t>
      </w:r>
      <w:r>
        <w:rPr>
          <w:rFonts w:hint="eastAsia"/>
          <w:color w:val="auto"/>
          <w:lang w:val="en-US" w:eastAsia="zh-CN"/>
        </w:rPr>
        <w:t>4</w:t>
      </w:r>
      <w:r>
        <w:rPr>
          <w:rFonts w:hint="default"/>
          <w:color w:val="auto"/>
        </w:rPr>
        <w:t>）项目投资：</w:t>
      </w:r>
      <w:bookmarkStart w:id="228" w:name="OLE_LINK174"/>
      <w:r>
        <w:rPr>
          <w:rFonts w:hint="eastAsia"/>
          <w:color w:val="auto"/>
          <w:lang w:val="en-US" w:eastAsia="zh-CN"/>
        </w:rPr>
        <w:t>4785.44</w:t>
      </w:r>
      <w:r>
        <w:rPr>
          <w:rFonts w:hint="default"/>
          <w:color w:val="auto"/>
        </w:rPr>
        <w:t>万元</w:t>
      </w:r>
      <w:bookmarkEnd w:id="228"/>
    </w:p>
    <w:p w14:paraId="335BF95C">
      <w:pPr>
        <w:pStyle w:val="79"/>
        <w:bidi w:val="0"/>
        <w:rPr>
          <w:rFonts w:hint="default"/>
          <w:color w:val="auto"/>
        </w:rPr>
      </w:pPr>
      <w:r>
        <w:rPr>
          <w:rFonts w:hint="default"/>
          <w:color w:val="auto"/>
        </w:rPr>
        <w:t>（</w:t>
      </w:r>
      <w:r>
        <w:rPr>
          <w:rFonts w:hint="default"/>
          <w:color w:val="auto"/>
          <w:lang w:val="en-US" w:eastAsia="zh-CN"/>
        </w:rPr>
        <w:t>5</w:t>
      </w:r>
      <w:r>
        <w:rPr>
          <w:rFonts w:hint="default"/>
          <w:color w:val="auto"/>
        </w:rPr>
        <w:t>）建设地点：本工程</w:t>
      </w:r>
      <w:r>
        <w:rPr>
          <w:rFonts w:hint="default"/>
          <w:color w:val="auto"/>
          <w:lang w:val="en-US" w:eastAsia="zh-CN"/>
        </w:rPr>
        <w:t>位于雄英1井区，隶属于</w:t>
      </w:r>
      <w:r>
        <w:rPr>
          <w:rFonts w:hint="default"/>
          <w:color w:val="auto"/>
        </w:rPr>
        <w:t>新疆维吾尔自治区阿克苏地区温宿县境内，西北方向距温宿县城约80.7km，东北侧距离新和县114km，中心地理坐标为：</w:t>
      </w:r>
      <w:r>
        <w:rPr>
          <w:rFonts w:hint="eastAsia"/>
          <w:color w:val="auto"/>
          <w:lang w:val="en-US" w:eastAsia="zh-CN"/>
        </w:rPr>
        <w:t xml:space="preserve">                                 </w:t>
      </w:r>
      <w:r>
        <w:rPr>
          <w:rFonts w:hint="default"/>
          <w:color w:val="auto"/>
          <w:lang w:eastAsia="zh-CN"/>
        </w:rPr>
        <w:t>（</w:t>
      </w:r>
      <w:r>
        <w:rPr>
          <w:rFonts w:hint="eastAsia"/>
          <w:color w:val="auto"/>
          <w:lang w:val="en-US" w:eastAsia="zh-CN"/>
        </w:rPr>
        <w:t>雄探1试采点</w:t>
      </w:r>
      <w:r>
        <w:rPr>
          <w:rFonts w:hint="default"/>
          <w:color w:val="auto"/>
          <w:lang w:eastAsia="zh-CN"/>
        </w:rPr>
        <w:t>）。</w:t>
      </w:r>
      <w:r>
        <w:rPr>
          <w:rFonts w:hint="default"/>
          <w:color w:val="auto"/>
          <w:lang w:val="en-US" w:eastAsia="zh-CN"/>
        </w:rPr>
        <w:t>本工程地理位置图见图3.2-1</w:t>
      </w:r>
      <w:r>
        <w:rPr>
          <w:rFonts w:hint="default"/>
          <w:color w:val="auto"/>
        </w:rPr>
        <w:t>。</w:t>
      </w:r>
      <w:bookmarkStart w:id="229" w:name="_Hlk48603948"/>
    </w:p>
    <w:p w14:paraId="3B23B8B6">
      <w:pPr>
        <w:pStyle w:val="54"/>
        <w:bidi w:val="0"/>
        <w:rPr>
          <w:rFonts w:hint="default"/>
          <w:color w:val="auto"/>
        </w:rPr>
      </w:pPr>
      <w:r>
        <w:rPr>
          <w:rFonts w:hint="default"/>
          <w:color w:val="auto"/>
        </w:rPr>
        <w:t>3.</w:t>
      </w:r>
      <w:r>
        <w:rPr>
          <w:rFonts w:hint="eastAsia"/>
          <w:color w:val="auto"/>
          <w:lang w:val="en-US" w:eastAsia="zh-CN"/>
        </w:rPr>
        <w:t xml:space="preserve">2.2 </w:t>
      </w:r>
      <w:r>
        <w:rPr>
          <w:rFonts w:hint="default"/>
          <w:color w:val="auto"/>
        </w:rPr>
        <w:t>油气资源概况</w:t>
      </w:r>
    </w:p>
    <w:p w14:paraId="055D85F6">
      <w:pPr>
        <w:pStyle w:val="79"/>
        <w:bidi w:val="0"/>
        <w:rPr>
          <w:rFonts w:hint="default"/>
          <w:color w:val="auto"/>
          <w:lang w:val="en-US" w:eastAsia="zh-CN"/>
        </w:rPr>
      </w:pPr>
      <w:r>
        <w:rPr>
          <w:rFonts w:hint="default"/>
          <w:color w:val="auto"/>
          <w:lang w:eastAsia="zh-CN"/>
        </w:rPr>
        <w:t>（</w:t>
      </w:r>
      <w:r>
        <w:rPr>
          <w:rFonts w:hint="default"/>
          <w:color w:val="auto"/>
          <w:lang w:val="en-US" w:eastAsia="zh-CN"/>
        </w:rPr>
        <w:t>1</w:t>
      </w:r>
      <w:r>
        <w:rPr>
          <w:rFonts w:hint="default"/>
          <w:color w:val="auto"/>
          <w:lang w:eastAsia="zh-CN"/>
        </w:rPr>
        <w:t>）</w:t>
      </w:r>
      <w:r>
        <w:rPr>
          <w:rFonts w:hint="eastAsia"/>
          <w:color w:val="auto"/>
          <w:lang w:val="en-US" w:eastAsia="zh-CN"/>
        </w:rPr>
        <w:t>油</w:t>
      </w:r>
      <w:r>
        <w:rPr>
          <w:rFonts w:hint="default"/>
          <w:color w:val="auto"/>
          <w:lang w:val="en-US" w:eastAsia="zh-CN"/>
        </w:rPr>
        <w:t>藏概况</w:t>
      </w:r>
    </w:p>
    <w:p w14:paraId="537593BB">
      <w:pPr>
        <w:pStyle w:val="79"/>
        <w:bidi w:val="0"/>
        <w:rPr>
          <w:rFonts w:hint="default"/>
          <w:color w:val="auto"/>
        </w:rPr>
      </w:pPr>
      <w:r>
        <w:rPr>
          <w:rFonts w:hint="default"/>
          <w:color w:val="auto"/>
        </w:rPr>
        <w:t>雄英</w:t>
      </w:r>
      <w:r>
        <w:rPr>
          <w:rFonts w:hint="eastAsia"/>
          <w:color w:val="auto"/>
          <w:lang w:val="en-US" w:eastAsia="zh-CN"/>
        </w:rPr>
        <w:t>1</w:t>
      </w:r>
      <w:r>
        <w:rPr>
          <w:rFonts w:hint="default"/>
          <w:color w:val="auto"/>
        </w:rPr>
        <w:t>区块油气藏类型为带气顶挥发油藏，以雄探</w:t>
      </w:r>
      <w:r>
        <w:rPr>
          <w:rFonts w:hint="eastAsia"/>
          <w:color w:val="auto"/>
          <w:lang w:val="en-US" w:eastAsia="zh-CN"/>
        </w:rPr>
        <w:t>1</w:t>
      </w:r>
      <w:r>
        <w:rPr>
          <w:rFonts w:hint="default"/>
          <w:color w:val="auto"/>
        </w:rPr>
        <w:t>井北部F3断层为界，以下盘溢出点-5750m圈定圈闭面积3.30km</w:t>
      </w:r>
      <w:r>
        <w:rPr>
          <w:rFonts w:hint="default"/>
          <w:color w:val="auto"/>
          <w:vertAlign w:val="superscript"/>
        </w:rPr>
        <w:t>2</w:t>
      </w:r>
      <w:r>
        <w:rPr>
          <w:rFonts w:hint="default"/>
          <w:color w:val="auto"/>
        </w:rPr>
        <w:t>，以上盘油水界面-5782m为圈闭闭合线，圈定圈闭面积8.70km</w:t>
      </w:r>
      <w:r>
        <w:rPr>
          <w:rFonts w:hint="default"/>
          <w:color w:val="auto"/>
          <w:vertAlign w:val="superscript"/>
        </w:rPr>
        <w:t>2</w:t>
      </w:r>
      <w:r>
        <w:rPr>
          <w:rFonts w:hint="default"/>
          <w:color w:val="auto"/>
        </w:rPr>
        <w:t>，雄探</w:t>
      </w:r>
      <w:r>
        <w:rPr>
          <w:rFonts w:hint="eastAsia"/>
          <w:color w:val="auto"/>
          <w:lang w:val="en-US" w:eastAsia="zh-CN"/>
        </w:rPr>
        <w:t>1</w:t>
      </w:r>
      <w:r>
        <w:rPr>
          <w:rFonts w:hint="default"/>
          <w:color w:val="auto"/>
        </w:rPr>
        <w:t>探明储量含油面积16.99km</w:t>
      </w:r>
      <w:r>
        <w:rPr>
          <w:rFonts w:hint="default"/>
          <w:color w:val="auto"/>
          <w:vertAlign w:val="superscript"/>
        </w:rPr>
        <w:t>2</w:t>
      </w:r>
      <w:r>
        <w:rPr>
          <w:rFonts w:hint="default"/>
          <w:color w:val="auto"/>
        </w:rPr>
        <w:t>，石油2362.83万吨，溶解气53.64亿方。雄英2为独立油藏</w:t>
      </w:r>
      <w:r>
        <w:rPr>
          <w:rFonts w:hint="eastAsia"/>
          <w:color w:val="auto"/>
          <w:lang w:eastAsia="zh-CN"/>
        </w:rPr>
        <w:t>，</w:t>
      </w:r>
      <w:r>
        <w:rPr>
          <w:rFonts w:hint="default"/>
          <w:color w:val="auto"/>
        </w:rPr>
        <w:t>以雄英2油水界面-5436m作为圈闭闭合线圈定面积4.80km</w:t>
      </w:r>
      <w:r>
        <w:rPr>
          <w:rFonts w:hint="default"/>
          <w:color w:val="auto"/>
          <w:vertAlign w:val="superscript"/>
        </w:rPr>
        <w:t>2</w:t>
      </w:r>
      <w:r>
        <w:rPr>
          <w:rFonts w:hint="default"/>
          <w:color w:val="auto"/>
        </w:rPr>
        <w:t>，雄英</w:t>
      </w:r>
      <w:r>
        <w:rPr>
          <w:rFonts w:hint="eastAsia"/>
          <w:color w:val="auto"/>
          <w:lang w:val="en-US" w:eastAsia="zh-CN"/>
        </w:rPr>
        <w:t>2</w:t>
      </w:r>
      <w:r>
        <w:rPr>
          <w:rFonts w:hint="default"/>
          <w:color w:val="auto"/>
        </w:rPr>
        <w:t>控制储量含油面积4.9km</w:t>
      </w:r>
      <w:r>
        <w:rPr>
          <w:rFonts w:hint="default"/>
          <w:color w:val="auto"/>
          <w:vertAlign w:val="superscript"/>
        </w:rPr>
        <w:t>2</w:t>
      </w:r>
      <w:r>
        <w:rPr>
          <w:rFonts w:hint="default"/>
          <w:color w:val="auto"/>
        </w:rPr>
        <w:t>，石油728万吨，溶解气5.66亿方。目的层为上寒武统下丘里塔格组白云岩，中深地层温度分别为143.64℃</w:t>
      </w:r>
      <w:r>
        <w:rPr>
          <w:rFonts w:hint="eastAsia"/>
          <w:color w:val="auto"/>
          <w:lang w:val="en-US" w:eastAsia="zh-CN"/>
        </w:rPr>
        <w:t>、</w:t>
      </w:r>
      <w:r>
        <w:rPr>
          <w:rFonts w:hint="default"/>
          <w:color w:val="auto"/>
        </w:rPr>
        <w:t>144.12℃</w:t>
      </w:r>
      <w:r>
        <w:rPr>
          <w:rFonts w:hint="eastAsia"/>
          <w:color w:val="auto"/>
          <w:lang w:eastAsia="zh-CN"/>
        </w:rPr>
        <w:t>，</w:t>
      </w:r>
      <w:r>
        <w:rPr>
          <w:rFonts w:hint="default"/>
          <w:color w:val="auto"/>
        </w:rPr>
        <w:t>温度梯度1.86℃/100m</w:t>
      </w:r>
      <w:r>
        <w:rPr>
          <w:rFonts w:hint="eastAsia"/>
          <w:color w:val="auto"/>
          <w:lang w:eastAsia="zh-CN"/>
        </w:rPr>
        <w:t>；</w:t>
      </w:r>
      <w:r>
        <w:rPr>
          <w:rFonts w:hint="default"/>
          <w:color w:val="auto"/>
        </w:rPr>
        <w:t>地层压力74.838MPa</w:t>
      </w:r>
      <w:r>
        <w:rPr>
          <w:rFonts w:hint="eastAsia"/>
          <w:color w:val="auto"/>
          <w:lang w:val="en-US" w:eastAsia="zh-CN"/>
        </w:rPr>
        <w:t>、</w:t>
      </w:r>
      <w:r>
        <w:rPr>
          <w:rFonts w:hint="default"/>
          <w:color w:val="auto"/>
        </w:rPr>
        <w:t>74.964MPa，压力系数1.13，属于常温常压特征。根据《试采井基础信息及指标预测》，本次工程采用一套井网开发，</w:t>
      </w:r>
      <w:bookmarkStart w:id="230" w:name="OLE_LINK166"/>
      <w:r>
        <w:rPr>
          <w:rFonts w:hint="default"/>
          <w:color w:val="auto"/>
        </w:rPr>
        <w:t>动用原油地质储量</w:t>
      </w:r>
      <w:bookmarkStart w:id="231" w:name="OLE_LINK68"/>
      <w:r>
        <w:rPr>
          <w:rFonts w:hint="default"/>
          <w:color w:val="auto"/>
        </w:rPr>
        <w:t>315×10</w:t>
      </w:r>
      <w:r>
        <w:rPr>
          <w:rFonts w:hint="default"/>
          <w:color w:val="auto"/>
          <w:vertAlign w:val="superscript"/>
        </w:rPr>
        <w:t>4</w:t>
      </w:r>
      <w:r>
        <w:rPr>
          <w:rFonts w:hint="default"/>
          <w:color w:val="auto"/>
        </w:rPr>
        <w:t>t</w:t>
      </w:r>
      <w:bookmarkEnd w:id="230"/>
      <w:bookmarkEnd w:id="231"/>
      <w:r>
        <w:rPr>
          <w:rFonts w:hint="default"/>
          <w:color w:val="auto"/>
        </w:rPr>
        <w:t>。</w:t>
      </w:r>
    </w:p>
    <w:p w14:paraId="08082632">
      <w:pPr>
        <w:pStyle w:val="79"/>
        <w:bidi w:val="0"/>
        <w:rPr>
          <w:rFonts w:hint="default"/>
          <w:color w:val="auto"/>
          <w:lang w:val="en-US" w:eastAsia="zh-CN"/>
        </w:rPr>
      </w:pPr>
      <w:r>
        <w:rPr>
          <w:rFonts w:hint="default"/>
          <w:color w:val="auto"/>
          <w:lang w:eastAsia="zh-CN"/>
        </w:rPr>
        <w:t>（</w:t>
      </w:r>
      <w:r>
        <w:rPr>
          <w:rFonts w:hint="eastAsia"/>
          <w:color w:val="auto"/>
          <w:lang w:val="en-US" w:eastAsia="zh-CN"/>
        </w:rPr>
        <w:t>2</w:t>
      </w:r>
      <w:r>
        <w:rPr>
          <w:rFonts w:hint="default"/>
          <w:color w:val="auto"/>
          <w:lang w:eastAsia="zh-CN"/>
        </w:rPr>
        <w:t>）</w:t>
      </w:r>
      <w:r>
        <w:rPr>
          <w:rFonts w:hint="eastAsia"/>
          <w:color w:val="auto"/>
          <w:lang w:val="en-US" w:eastAsia="zh-CN"/>
        </w:rPr>
        <w:t>油气条件</w:t>
      </w:r>
    </w:p>
    <w:p w14:paraId="3146AF08">
      <w:pPr>
        <w:pStyle w:val="79"/>
        <w:bidi w:val="0"/>
        <w:rPr>
          <w:rFonts w:hint="default"/>
          <w:color w:val="auto"/>
        </w:rPr>
      </w:pPr>
      <w:r>
        <w:rPr>
          <w:rFonts w:hint="default"/>
          <w:color w:val="auto"/>
        </w:rPr>
        <w:t>雄英1井区油气物性见表</w:t>
      </w:r>
      <w:r>
        <w:rPr>
          <w:rFonts w:hint="eastAsia"/>
          <w:color w:val="auto"/>
          <w:lang w:val="en-US" w:eastAsia="zh-CN"/>
        </w:rPr>
        <w:t>3.2-1～</w:t>
      </w:r>
      <w:r>
        <w:rPr>
          <w:rFonts w:hint="default"/>
          <w:color w:val="auto"/>
        </w:rPr>
        <w:t>表</w:t>
      </w:r>
      <w:r>
        <w:rPr>
          <w:rFonts w:hint="eastAsia"/>
          <w:color w:val="auto"/>
          <w:lang w:val="en-US" w:eastAsia="zh-CN"/>
        </w:rPr>
        <w:t>3.2-5</w:t>
      </w:r>
      <w:r>
        <w:rPr>
          <w:rFonts w:hint="default"/>
          <w:color w:val="auto"/>
        </w:rPr>
        <w:t>。</w:t>
      </w:r>
    </w:p>
    <w:p w14:paraId="5CDD296B">
      <w:pPr>
        <w:pStyle w:val="79"/>
        <w:bidi w:val="0"/>
        <w:rPr>
          <w:rFonts w:hint="default"/>
          <w:color w:val="auto"/>
          <w:lang w:val="en-US" w:eastAsia="zh-CN"/>
        </w:rPr>
      </w:pPr>
      <w:r>
        <w:rPr>
          <w:rFonts w:hint="eastAsia"/>
          <w:color w:val="auto"/>
        </w:rPr>
        <w:fldChar w:fldCharType="begin"/>
      </w:r>
      <w:r>
        <w:rPr>
          <w:rFonts w:hint="eastAsia"/>
          <w:color w:val="auto"/>
        </w:rPr>
        <w:instrText xml:space="preserve"> = 1 \* GB3 \* MERGEFORMAT </w:instrText>
      </w:r>
      <w:r>
        <w:rPr>
          <w:rFonts w:hint="eastAsia"/>
          <w:color w:val="auto"/>
        </w:rPr>
        <w:fldChar w:fldCharType="separate"/>
      </w:r>
      <w:r>
        <w:rPr>
          <w:rFonts w:hint="default"/>
          <w:color w:val="auto"/>
        </w:rPr>
        <w:t>①</w:t>
      </w:r>
      <w:r>
        <w:rPr>
          <w:rFonts w:hint="eastAsia"/>
          <w:color w:val="auto"/>
        </w:rPr>
        <w:fldChar w:fldCharType="end"/>
      </w:r>
      <w:r>
        <w:rPr>
          <w:rFonts w:hint="eastAsia"/>
          <w:color w:val="auto"/>
          <w:lang w:val="en-US" w:eastAsia="zh-CN"/>
        </w:rPr>
        <w:t>天然气物性</w:t>
      </w:r>
    </w:p>
    <w:p w14:paraId="0D140550">
      <w:pPr>
        <w:pStyle w:val="61"/>
        <w:bidi w:val="0"/>
        <w:jc w:val="both"/>
        <w:rPr>
          <w:rFonts w:hint="eastAsia"/>
          <w:color w:val="auto"/>
        </w:rPr>
      </w:pPr>
      <w:r>
        <w:rPr>
          <w:rFonts w:hint="eastAsia"/>
          <w:color w:val="auto"/>
        </w:rPr>
        <w:t>表</w:t>
      </w:r>
      <w:r>
        <w:rPr>
          <w:rFonts w:hint="eastAsia"/>
          <w:color w:val="auto"/>
          <w:lang w:val="en-US" w:eastAsia="zh-CN"/>
        </w:rPr>
        <w:t>3</w:t>
      </w:r>
      <w:r>
        <w:rPr>
          <w:rFonts w:hint="eastAsia"/>
          <w:color w:val="auto"/>
        </w:rPr>
        <w:t>.2-</w:t>
      </w:r>
      <w:r>
        <w:rPr>
          <w:rFonts w:hint="eastAsia"/>
          <w:color w:val="auto"/>
          <w:lang w:val="en-US" w:eastAsia="zh-CN"/>
        </w:rPr>
        <w:t>1</w:t>
      </w:r>
      <w:r>
        <w:rPr>
          <w:rFonts w:hint="eastAsia"/>
          <w:color w:val="auto"/>
        </w:rPr>
        <w:t xml:space="preserve"> </w:t>
      </w:r>
      <w:r>
        <w:rPr>
          <w:rFonts w:hint="eastAsia"/>
          <w:color w:val="auto"/>
          <w:lang w:val="en-US" w:eastAsia="zh-CN"/>
        </w:rPr>
        <w:t xml:space="preserve">  </w:t>
      </w:r>
      <w:r>
        <w:rPr>
          <w:rFonts w:hint="eastAsia"/>
          <w:color w:val="auto"/>
        </w:rPr>
        <w:t xml:space="preserve"> </w:t>
      </w:r>
      <w:r>
        <w:rPr>
          <w:rFonts w:hint="eastAsia"/>
          <w:color w:val="auto"/>
          <w:lang w:eastAsia="zh-CN"/>
        </w:rPr>
        <w:t>雄</w:t>
      </w:r>
      <w:r>
        <w:rPr>
          <w:rFonts w:hint="eastAsia"/>
          <w:color w:val="auto"/>
          <w:lang w:val="en-US" w:eastAsia="zh-CN"/>
        </w:rPr>
        <w:t>探1井</w:t>
      </w:r>
      <w:r>
        <w:rPr>
          <w:rFonts w:hint="eastAsia"/>
          <w:color w:val="auto"/>
        </w:rPr>
        <w:t>天然气物性表</w:t>
      </w:r>
    </w:p>
    <w:tbl>
      <w:tblPr>
        <w:tblStyle w:val="36"/>
        <w:tblW w:w="496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444"/>
        <w:gridCol w:w="1442"/>
        <w:gridCol w:w="1392"/>
        <w:gridCol w:w="2458"/>
        <w:gridCol w:w="603"/>
        <w:gridCol w:w="1254"/>
      </w:tblGrid>
      <w:tr w14:paraId="675779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840" w:type="pct"/>
            <w:noWrap w:val="0"/>
            <w:tcMar>
              <w:top w:w="12" w:type="dxa"/>
              <w:left w:w="12" w:type="dxa"/>
              <w:right w:w="12" w:type="dxa"/>
            </w:tcMar>
            <w:vAlign w:val="center"/>
          </w:tcPr>
          <w:p w14:paraId="2055397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top"/>
              <w:rPr>
                <w:i w:val="0"/>
                <w:iCs w:val="0"/>
                <w:color w:val="auto"/>
                <w:sz w:val="21"/>
                <w:szCs w:val="21"/>
                <w:highlight w:val="none"/>
              </w:rPr>
            </w:pPr>
            <w:r>
              <w:rPr>
                <w:i w:val="0"/>
                <w:iCs w:val="0"/>
                <w:color w:val="auto"/>
                <w:kern w:val="0"/>
                <w:sz w:val="21"/>
                <w:szCs w:val="21"/>
                <w:highlight w:val="none"/>
                <w:lang w:bidi="ar"/>
              </w:rPr>
              <w:t>组分</w:t>
            </w:r>
          </w:p>
        </w:tc>
        <w:tc>
          <w:tcPr>
            <w:tcW w:w="1648" w:type="pct"/>
            <w:gridSpan w:val="2"/>
            <w:noWrap w:val="0"/>
            <w:tcMar>
              <w:top w:w="12" w:type="dxa"/>
              <w:left w:w="12" w:type="dxa"/>
              <w:right w:w="12" w:type="dxa"/>
            </w:tcMar>
            <w:vAlign w:val="center"/>
          </w:tcPr>
          <w:p w14:paraId="1BFDB8A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top"/>
              <w:rPr>
                <w:i w:val="0"/>
                <w:iCs w:val="0"/>
                <w:color w:val="auto"/>
                <w:sz w:val="21"/>
                <w:szCs w:val="21"/>
                <w:highlight w:val="none"/>
              </w:rPr>
            </w:pPr>
            <w:r>
              <w:rPr>
                <w:i w:val="0"/>
                <w:iCs w:val="0"/>
                <w:color w:val="auto"/>
                <w:kern w:val="0"/>
                <w:sz w:val="21"/>
                <w:szCs w:val="21"/>
                <w:highlight w:val="none"/>
                <w:lang w:bidi="ar"/>
              </w:rPr>
              <w:t>摩尔百分数，%</w:t>
            </w:r>
          </w:p>
        </w:tc>
        <w:tc>
          <w:tcPr>
            <w:tcW w:w="1430" w:type="pct"/>
            <w:noWrap w:val="0"/>
            <w:tcMar>
              <w:top w:w="12" w:type="dxa"/>
              <w:left w:w="12" w:type="dxa"/>
              <w:right w:w="12" w:type="dxa"/>
            </w:tcMar>
            <w:vAlign w:val="center"/>
          </w:tcPr>
          <w:p w14:paraId="7EB9DA4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top"/>
              <w:rPr>
                <w:i w:val="0"/>
                <w:iCs w:val="0"/>
                <w:color w:val="auto"/>
                <w:sz w:val="21"/>
                <w:szCs w:val="21"/>
                <w:highlight w:val="none"/>
              </w:rPr>
            </w:pPr>
            <w:r>
              <w:rPr>
                <w:i w:val="0"/>
                <w:iCs w:val="0"/>
                <w:color w:val="auto"/>
                <w:kern w:val="0"/>
                <w:sz w:val="21"/>
                <w:szCs w:val="21"/>
                <w:highlight w:val="none"/>
                <w:lang w:bidi="ar"/>
              </w:rPr>
              <w:t>组分</w:t>
            </w:r>
          </w:p>
        </w:tc>
        <w:tc>
          <w:tcPr>
            <w:tcW w:w="1079" w:type="pct"/>
            <w:gridSpan w:val="2"/>
            <w:noWrap w:val="0"/>
            <w:tcMar>
              <w:top w:w="12" w:type="dxa"/>
              <w:left w:w="12" w:type="dxa"/>
              <w:right w:w="12" w:type="dxa"/>
            </w:tcMar>
            <w:vAlign w:val="center"/>
          </w:tcPr>
          <w:p w14:paraId="27EB4B9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top"/>
              <w:rPr>
                <w:i w:val="0"/>
                <w:iCs w:val="0"/>
                <w:color w:val="auto"/>
                <w:sz w:val="21"/>
                <w:szCs w:val="21"/>
                <w:highlight w:val="none"/>
              </w:rPr>
            </w:pPr>
            <w:r>
              <w:rPr>
                <w:i w:val="0"/>
                <w:iCs w:val="0"/>
                <w:color w:val="auto"/>
                <w:kern w:val="0"/>
                <w:sz w:val="21"/>
                <w:szCs w:val="21"/>
                <w:highlight w:val="none"/>
                <w:lang w:bidi="ar"/>
              </w:rPr>
              <w:t>摩尔百分数，%</w:t>
            </w:r>
          </w:p>
        </w:tc>
      </w:tr>
      <w:tr w14:paraId="423D30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840" w:type="pct"/>
            <w:noWrap w:val="0"/>
            <w:tcMar>
              <w:top w:w="12" w:type="dxa"/>
              <w:left w:w="12" w:type="dxa"/>
              <w:right w:w="12" w:type="dxa"/>
            </w:tcMar>
            <w:vAlign w:val="center"/>
          </w:tcPr>
          <w:p w14:paraId="57E36CB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甲烷</w:t>
            </w:r>
          </w:p>
        </w:tc>
        <w:tc>
          <w:tcPr>
            <w:tcW w:w="1648" w:type="pct"/>
            <w:gridSpan w:val="2"/>
            <w:noWrap w:val="0"/>
            <w:tcMar>
              <w:top w:w="12" w:type="dxa"/>
              <w:left w:w="12" w:type="dxa"/>
              <w:right w:w="12" w:type="dxa"/>
            </w:tcMar>
            <w:vAlign w:val="center"/>
          </w:tcPr>
          <w:p w14:paraId="0AEF881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75.2</w:t>
            </w:r>
          </w:p>
        </w:tc>
        <w:tc>
          <w:tcPr>
            <w:tcW w:w="1430" w:type="pct"/>
            <w:noWrap w:val="0"/>
            <w:tcMar>
              <w:top w:w="12" w:type="dxa"/>
              <w:left w:w="12" w:type="dxa"/>
              <w:right w:w="12" w:type="dxa"/>
            </w:tcMar>
            <w:vAlign w:val="center"/>
          </w:tcPr>
          <w:p w14:paraId="64D45A4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辛烷及更重组分</w:t>
            </w:r>
          </w:p>
        </w:tc>
        <w:tc>
          <w:tcPr>
            <w:tcW w:w="1079" w:type="pct"/>
            <w:gridSpan w:val="2"/>
            <w:noWrap w:val="0"/>
            <w:tcMar>
              <w:top w:w="12" w:type="dxa"/>
              <w:left w:w="12" w:type="dxa"/>
              <w:right w:w="12" w:type="dxa"/>
            </w:tcMar>
            <w:vAlign w:val="center"/>
          </w:tcPr>
          <w:p w14:paraId="2764312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bidi="ar"/>
              </w:rPr>
              <w:t>0.0</w:t>
            </w:r>
            <w:r>
              <w:rPr>
                <w:rFonts w:hint="eastAsia"/>
                <w:i w:val="0"/>
                <w:iCs w:val="0"/>
                <w:color w:val="auto"/>
                <w:kern w:val="0"/>
                <w:sz w:val="21"/>
                <w:szCs w:val="21"/>
                <w:highlight w:val="none"/>
                <w:lang w:val="en-US" w:eastAsia="zh-CN" w:bidi="ar"/>
              </w:rPr>
              <w:t>113</w:t>
            </w:r>
          </w:p>
        </w:tc>
      </w:tr>
      <w:tr w14:paraId="33D7A4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840" w:type="pct"/>
            <w:noWrap w:val="0"/>
            <w:tcMar>
              <w:top w:w="12" w:type="dxa"/>
              <w:left w:w="12" w:type="dxa"/>
              <w:right w:w="12" w:type="dxa"/>
            </w:tcMar>
            <w:vAlign w:val="center"/>
          </w:tcPr>
          <w:p w14:paraId="76D95EB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乙烷</w:t>
            </w:r>
          </w:p>
        </w:tc>
        <w:tc>
          <w:tcPr>
            <w:tcW w:w="1648" w:type="pct"/>
            <w:gridSpan w:val="2"/>
            <w:noWrap w:val="0"/>
            <w:tcMar>
              <w:top w:w="12" w:type="dxa"/>
              <w:left w:w="12" w:type="dxa"/>
              <w:right w:w="12" w:type="dxa"/>
            </w:tcMar>
            <w:vAlign w:val="center"/>
          </w:tcPr>
          <w:p w14:paraId="59E9C04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kern w:val="0"/>
                <w:sz w:val="21"/>
                <w:szCs w:val="21"/>
                <w:highlight w:val="none"/>
                <w:lang w:bidi="ar"/>
              </w:rPr>
            </w:pPr>
            <w:r>
              <w:rPr>
                <w:rFonts w:hint="eastAsia"/>
                <w:i w:val="0"/>
                <w:iCs w:val="0"/>
                <w:color w:val="auto"/>
                <w:kern w:val="0"/>
                <w:sz w:val="21"/>
                <w:szCs w:val="21"/>
                <w:highlight w:val="none"/>
                <w:lang w:bidi="ar"/>
              </w:rPr>
              <w:t>10.2</w:t>
            </w:r>
          </w:p>
        </w:tc>
        <w:tc>
          <w:tcPr>
            <w:tcW w:w="1430" w:type="pct"/>
            <w:noWrap w:val="0"/>
            <w:tcMar>
              <w:top w:w="12" w:type="dxa"/>
              <w:left w:w="12" w:type="dxa"/>
              <w:right w:w="12" w:type="dxa"/>
            </w:tcMar>
            <w:vAlign w:val="center"/>
          </w:tcPr>
          <w:p w14:paraId="1647E5E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氮气</w:t>
            </w:r>
          </w:p>
        </w:tc>
        <w:tc>
          <w:tcPr>
            <w:tcW w:w="1079" w:type="pct"/>
            <w:gridSpan w:val="2"/>
            <w:noWrap w:val="0"/>
            <w:tcMar>
              <w:top w:w="12" w:type="dxa"/>
              <w:left w:w="12" w:type="dxa"/>
              <w:right w:w="12" w:type="dxa"/>
            </w:tcMar>
            <w:vAlign w:val="center"/>
          </w:tcPr>
          <w:p w14:paraId="2E322AE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bidi="ar"/>
              </w:rPr>
              <w:t>3.</w:t>
            </w:r>
            <w:r>
              <w:rPr>
                <w:rFonts w:hint="eastAsia"/>
                <w:i w:val="0"/>
                <w:iCs w:val="0"/>
                <w:color w:val="auto"/>
                <w:kern w:val="0"/>
                <w:sz w:val="21"/>
                <w:szCs w:val="21"/>
                <w:highlight w:val="none"/>
                <w:lang w:val="en-US" w:eastAsia="zh-CN" w:bidi="ar"/>
              </w:rPr>
              <w:t>82</w:t>
            </w:r>
          </w:p>
        </w:tc>
      </w:tr>
      <w:tr w14:paraId="09A388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840" w:type="pct"/>
            <w:noWrap w:val="0"/>
            <w:tcMar>
              <w:top w:w="12" w:type="dxa"/>
              <w:left w:w="12" w:type="dxa"/>
              <w:right w:w="12" w:type="dxa"/>
            </w:tcMar>
            <w:vAlign w:val="center"/>
          </w:tcPr>
          <w:p w14:paraId="61C0910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丙烷</w:t>
            </w:r>
          </w:p>
        </w:tc>
        <w:tc>
          <w:tcPr>
            <w:tcW w:w="1648" w:type="pct"/>
            <w:gridSpan w:val="2"/>
            <w:noWrap w:val="0"/>
            <w:tcMar>
              <w:top w:w="12" w:type="dxa"/>
              <w:left w:w="12" w:type="dxa"/>
              <w:right w:w="12" w:type="dxa"/>
            </w:tcMar>
            <w:vAlign w:val="center"/>
          </w:tcPr>
          <w:p w14:paraId="53EA0D3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3.66</w:t>
            </w:r>
          </w:p>
        </w:tc>
        <w:tc>
          <w:tcPr>
            <w:tcW w:w="1430" w:type="pct"/>
            <w:noWrap w:val="0"/>
            <w:tcMar>
              <w:top w:w="12" w:type="dxa"/>
              <w:left w:w="12" w:type="dxa"/>
              <w:right w:w="12" w:type="dxa"/>
            </w:tcMar>
            <w:vAlign w:val="center"/>
          </w:tcPr>
          <w:p w14:paraId="5B46130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氧气</w:t>
            </w:r>
          </w:p>
        </w:tc>
        <w:tc>
          <w:tcPr>
            <w:tcW w:w="1079" w:type="pct"/>
            <w:gridSpan w:val="2"/>
            <w:noWrap w:val="0"/>
            <w:tcMar>
              <w:top w:w="12" w:type="dxa"/>
              <w:left w:w="12" w:type="dxa"/>
              <w:right w:w="12" w:type="dxa"/>
            </w:tcMar>
            <w:vAlign w:val="center"/>
          </w:tcPr>
          <w:p w14:paraId="16CF20D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bidi="ar"/>
              </w:rPr>
              <w:t>0.</w:t>
            </w:r>
            <w:r>
              <w:rPr>
                <w:rFonts w:hint="eastAsia"/>
                <w:i w:val="0"/>
                <w:iCs w:val="0"/>
                <w:color w:val="auto"/>
                <w:kern w:val="0"/>
                <w:sz w:val="21"/>
                <w:szCs w:val="21"/>
                <w:highlight w:val="none"/>
                <w:lang w:val="en-US" w:eastAsia="zh-CN" w:bidi="ar"/>
              </w:rPr>
              <w:t>332</w:t>
            </w:r>
          </w:p>
        </w:tc>
      </w:tr>
      <w:tr w14:paraId="740C95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840" w:type="pct"/>
            <w:noWrap w:val="0"/>
            <w:tcMar>
              <w:top w:w="12" w:type="dxa"/>
              <w:left w:w="12" w:type="dxa"/>
              <w:right w:w="12" w:type="dxa"/>
            </w:tcMar>
            <w:vAlign w:val="center"/>
          </w:tcPr>
          <w:p w14:paraId="0F3F845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异丁烷</w:t>
            </w:r>
          </w:p>
        </w:tc>
        <w:tc>
          <w:tcPr>
            <w:tcW w:w="1648" w:type="pct"/>
            <w:gridSpan w:val="2"/>
            <w:noWrap w:val="0"/>
            <w:tcMar>
              <w:top w:w="12" w:type="dxa"/>
              <w:left w:w="12" w:type="dxa"/>
              <w:right w:w="12" w:type="dxa"/>
            </w:tcMar>
            <w:vAlign w:val="center"/>
          </w:tcPr>
          <w:p w14:paraId="3261A2F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0.498</w:t>
            </w:r>
          </w:p>
        </w:tc>
        <w:tc>
          <w:tcPr>
            <w:tcW w:w="1430" w:type="pct"/>
            <w:noWrap w:val="0"/>
            <w:tcMar>
              <w:top w:w="12" w:type="dxa"/>
              <w:left w:w="12" w:type="dxa"/>
              <w:right w:w="12" w:type="dxa"/>
            </w:tcMar>
            <w:vAlign w:val="center"/>
          </w:tcPr>
          <w:p w14:paraId="26EAA1A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二氧化碳</w:t>
            </w:r>
          </w:p>
        </w:tc>
        <w:tc>
          <w:tcPr>
            <w:tcW w:w="1079" w:type="pct"/>
            <w:gridSpan w:val="2"/>
            <w:noWrap w:val="0"/>
            <w:tcMar>
              <w:top w:w="12" w:type="dxa"/>
              <w:left w:w="12" w:type="dxa"/>
              <w:right w:w="12" w:type="dxa"/>
            </w:tcMar>
            <w:vAlign w:val="center"/>
          </w:tcPr>
          <w:p w14:paraId="4D3B537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bidi="ar"/>
              </w:rPr>
              <w:t>4.</w:t>
            </w:r>
            <w:r>
              <w:rPr>
                <w:rFonts w:hint="eastAsia"/>
                <w:i w:val="0"/>
                <w:iCs w:val="0"/>
                <w:color w:val="auto"/>
                <w:kern w:val="0"/>
                <w:sz w:val="21"/>
                <w:szCs w:val="21"/>
                <w:highlight w:val="none"/>
                <w:lang w:val="en-US" w:eastAsia="zh-CN" w:bidi="ar"/>
              </w:rPr>
              <w:t>15</w:t>
            </w:r>
          </w:p>
        </w:tc>
      </w:tr>
      <w:tr w14:paraId="75EAC8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840" w:type="pct"/>
            <w:noWrap w:val="0"/>
            <w:tcMar>
              <w:top w:w="12" w:type="dxa"/>
              <w:left w:w="12" w:type="dxa"/>
              <w:right w:w="12" w:type="dxa"/>
            </w:tcMar>
            <w:vAlign w:val="center"/>
          </w:tcPr>
          <w:p w14:paraId="3E40881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正丁烷</w:t>
            </w:r>
          </w:p>
        </w:tc>
        <w:tc>
          <w:tcPr>
            <w:tcW w:w="1648" w:type="pct"/>
            <w:gridSpan w:val="2"/>
            <w:noWrap w:val="0"/>
            <w:tcMar>
              <w:top w:w="12" w:type="dxa"/>
              <w:left w:w="12" w:type="dxa"/>
              <w:right w:w="12" w:type="dxa"/>
            </w:tcMar>
            <w:vAlign w:val="center"/>
          </w:tcPr>
          <w:p w14:paraId="1E5A742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1.11</w:t>
            </w:r>
          </w:p>
        </w:tc>
        <w:tc>
          <w:tcPr>
            <w:tcW w:w="1430" w:type="pct"/>
            <w:noWrap w:val="0"/>
            <w:tcMar>
              <w:top w:w="12" w:type="dxa"/>
              <w:left w:w="12" w:type="dxa"/>
              <w:right w:w="12" w:type="dxa"/>
            </w:tcMar>
            <w:vAlign w:val="center"/>
          </w:tcPr>
          <w:p w14:paraId="140324B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硫化氢</w:t>
            </w:r>
          </w:p>
        </w:tc>
        <w:tc>
          <w:tcPr>
            <w:tcW w:w="1079" w:type="pct"/>
            <w:gridSpan w:val="2"/>
            <w:noWrap w:val="0"/>
            <w:tcMar>
              <w:top w:w="12" w:type="dxa"/>
              <w:left w:w="12" w:type="dxa"/>
              <w:right w:w="12" w:type="dxa"/>
            </w:tcMar>
            <w:vAlign w:val="center"/>
          </w:tcPr>
          <w:p w14:paraId="735FF48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bidi="ar"/>
              </w:rPr>
              <w:t>0.</w:t>
            </w:r>
            <w:r>
              <w:rPr>
                <w:rFonts w:hint="eastAsia"/>
                <w:i w:val="0"/>
                <w:iCs w:val="0"/>
                <w:color w:val="auto"/>
                <w:kern w:val="0"/>
                <w:sz w:val="21"/>
                <w:szCs w:val="21"/>
                <w:highlight w:val="none"/>
                <w:lang w:val="en-US" w:eastAsia="zh-CN" w:bidi="ar"/>
              </w:rPr>
              <w:t>220</w:t>
            </w:r>
          </w:p>
        </w:tc>
      </w:tr>
      <w:tr w14:paraId="179340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840" w:type="pct"/>
            <w:noWrap w:val="0"/>
            <w:tcMar>
              <w:top w:w="12" w:type="dxa"/>
              <w:left w:w="12" w:type="dxa"/>
              <w:right w:w="12" w:type="dxa"/>
            </w:tcMar>
            <w:vAlign w:val="center"/>
          </w:tcPr>
          <w:p w14:paraId="09335A6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异戊烷</w:t>
            </w:r>
          </w:p>
        </w:tc>
        <w:tc>
          <w:tcPr>
            <w:tcW w:w="1648" w:type="pct"/>
            <w:gridSpan w:val="2"/>
            <w:noWrap w:val="0"/>
            <w:tcMar>
              <w:top w:w="12" w:type="dxa"/>
              <w:left w:w="12" w:type="dxa"/>
              <w:right w:w="12" w:type="dxa"/>
            </w:tcMar>
            <w:vAlign w:val="center"/>
          </w:tcPr>
          <w:p w14:paraId="63CE459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bidi="ar"/>
              </w:rPr>
              <w:t>0.</w:t>
            </w:r>
            <w:r>
              <w:rPr>
                <w:rFonts w:hint="eastAsia"/>
                <w:i w:val="0"/>
                <w:iCs w:val="0"/>
                <w:color w:val="auto"/>
                <w:kern w:val="0"/>
                <w:sz w:val="21"/>
                <w:szCs w:val="21"/>
                <w:highlight w:val="none"/>
                <w:lang w:val="en-US" w:eastAsia="zh-CN" w:bidi="ar"/>
              </w:rPr>
              <w:t>226</w:t>
            </w:r>
          </w:p>
        </w:tc>
        <w:tc>
          <w:tcPr>
            <w:tcW w:w="1430" w:type="pct"/>
            <w:noWrap w:val="0"/>
            <w:tcMar>
              <w:top w:w="12" w:type="dxa"/>
              <w:left w:w="12" w:type="dxa"/>
              <w:right w:w="12" w:type="dxa"/>
            </w:tcMar>
            <w:vAlign w:val="center"/>
          </w:tcPr>
          <w:p w14:paraId="48083C1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氢气</w:t>
            </w:r>
          </w:p>
        </w:tc>
        <w:tc>
          <w:tcPr>
            <w:tcW w:w="1079" w:type="pct"/>
            <w:gridSpan w:val="2"/>
            <w:noWrap w:val="0"/>
            <w:tcMar>
              <w:top w:w="12" w:type="dxa"/>
              <w:left w:w="12" w:type="dxa"/>
              <w:right w:w="12" w:type="dxa"/>
            </w:tcMar>
            <w:vAlign w:val="center"/>
          </w:tcPr>
          <w:p w14:paraId="4237159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i w:val="0"/>
                <w:iCs w:val="0"/>
                <w:color w:val="auto"/>
                <w:kern w:val="0"/>
                <w:sz w:val="21"/>
                <w:szCs w:val="21"/>
                <w:highlight w:val="none"/>
                <w:lang w:bidi="ar"/>
              </w:rPr>
            </w:pPr>
            <w:r>
              <w:rPr>
                <w:rFonts w:hint="eastAsia"/>
                <w:i w:val="0"/>
                <w:iCs w:val="0"/>
                <w:color w:val="auto"/>
                <w:kern w:val="0"/>
                <w:sz w:val="21"/>
                <w:szCs w:val="21"/>
                <w:highlight w:val="none"/>
                <w:lang w:bidi="ar"/>
              </w:rPr>
              <w:t>/</w:t>
            </w:r>
          </w:p>
        </w:tc>
      </w:tr>
      <w:tr w14:paraId="5140F6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840" w:type="pct"/>
            <w:noWrap w:val="0"/>
            <w:tcMar>
              <w:top w:w="12" w:type="dxa"/>
              <w:left w:w="12" w:type="dxa"/>
              <w:right w:w="12" w:type="dxa"/>
            </w:tcMar>
            <w:vAlign w:val="center"/>
          </w:tcPr>
          <w:p w14:paraId="4B5CD95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正戊烷</w:t>
            </w:r>
          </w:p>
        </w:tc>
        <w:tc>
          <w:tcPr>
            <w:tcW w:w="1648" w:type="pct"/>
            <w:gridSpan w:val="2"/>
            <w:noWrap w:val="0"/>
            <w:tcMar>
              <w:top w:w="12" w:type="dxa"/>
              <w:left w:w="12" w:type="dxa"/>
              <w:right w:w="12" w:type="dxa"/>
            </w:tcMar>
            <w:vAlign w:val="center"/>
          </w:tcPr>
          <w:p w14:paraId="741B73C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bidi="ar"/>
              </w:rPr>
              <w:t>0.</w:t>
            </w:r>
            <w:r>
              <w:rPr>
                <w:rFonts w:hint="eastAsia"/>
                <w:i w:val="0"/>
                <w:iCs w:val="0"/>
                <w:color w:val="auto"/>
                <w:kern w:val="0"/>
                <w:sz w:val="21"/>
                <w:szCs w:val="21"/>
                <w:highlight w:val="none"/>
                <w:lang w:val="en-US" w:eastAsia="zh-CN" w:bidi="ar"/>
              </w:rPr>
              <w:t>331</w:t>
            </w:r>
          </w:p>
        </w:tc>
        <w:tc>
          <w:tcPr>
            <w:tcW w:w="1430" w:type="pct"/>
            <w:noWrap w:val="0"/>
            <w:tcMar>
              <w:top w:w="12" w:type="dxa"/>
              <w:left w:w="12" w:type="dxa"/>
              <w:right w:w="12" w:type="dxa"/>
            </w:tcMar>
            <w:vAlign w:val="center"/>
          </w:tcPr>
          <w:p w14:paraId="0259BEF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氦气</w:t>
            </w:r>
          </w:p>
        </w:tc>
        <w:tc>
          <w:tcPr>
            <w:tcW w:w="1079" w:type="pct"/>
            <w:gridSpan w:val="2"/>
            <w:noWrap w:val="0"/>
            <w:tcMar>
              <w:top w:w="12" w:type="dxa"/>
              <w:left w:w="12" w:type="dxa"/>
              <w:right w:w="12" w:type="dxa"/>
            </w:tcMar>
            <w:vAlign w:val="center"/>
          </w:tcPr>
          <w:p w14:paraId="2674711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i w:val="0"/>
                <w:iCs w:val="0"/>
                <w:color w:val="auto"/>
                <w:kern w:val="0"/>
                <w:sz w:val="21"/>
                <w:szCs w:val="21"/>
                <w:highlight w:val="none"/>
                <w:lang w:bidi="ar"/>
              </w:rPr>
            </w:pPr>
            <w:r>
              <w:rPr>
                <w:rFonts w:hint="eastAsia"/>
                <w:i w:val="0"/>
                <w:iCs w:val="0"/>
                <w:color w:val="auto"/>
                <w:kern w:val="0"/>
                <w:sz w:val="21"/>
                <w:szCs w:val="21"/>
                <w:highlight w:val="none"/>
                <w:lang w:bidi="ar"/>
              </w:rPr>
              <w:t>/</w:t>
            </w:r>
          </w:p>
        </w:tc>
      </w:tr>
      <w:tr w14:paraId="66954E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840" w:type="pct"/>
            <w:noWrap w:val="0"/>
            <w:tcMar>
              <w:top w:w="12" w:type="dxa"/>
              <w:left w:w="12" w:type="dxa"/>
              <w:right w:w="12" w:type="dxa"/>
            </w:tcMar>
            <w:vAlign w:val="center"/>
          </w:tcPr>
          <w:p w14:paraId="224A6F1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己烷</w:t>
            </w:r>
          </w:p>
        </w:tc>
        <w:tc>
          <w:tcPr>
            <w:tcW w:w="1648" w:type="pct"/>
            <w:gridSpan w:val="2"/>
            <w:noWrap w:val="0"/>
            <w:tcMar>
              <w:top w:w="12" w:type="dxa"/>
              <w:left w:w="12" w:type="dxa"/>
              <w:right w:w="12" w:type="dxa"/>
            </w:tcMar>
            <w:vAlign w:val="center"/>
          </w:tcPr>
          <w:p w14:paraId="0A11299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bidi="ar"/>
              </w:rPr>
              <w:t>0.</w:t>
            </w:r>
            <w:r>
              <w:rPr>
                <w:rFonts w:hint="eastAsia"/>
                <w:i w:val="0"/>
                <w:iCs w:val="0"/>
                <w:color w:val="auto"/>
                <w:kern w:val="0"/>
                <w:sz w:val="21"/>
                <w:szCs w:val="21"/>
                <w:highlight w:val="none"/>
                <w:lang w:val="en-US" w:eastAsia="zh-CN" w:bidi="ar"/>
              </w:rPr>
              <w:t>190</w:t>
            </w:r>
          </w:p>
        </w:tc>
        <w:tc>
          <w:tcPr>
            <w:tcW w:w="1430" w:type="pct"/>
            <w:noWrap w:val="0"/>
            <w:tcMar>
              <w:top w:w="12" w:type="dxa"/>
              <w:left w:w="12" w:type="dxa"/>
              <w:right w:w="12" w:type="dxa"/>
            </w:tcMar>
            <w:vAlign w:val="center"/>
          </w:tcPr>
          <w:p w14:paraId="22A770D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取样含空气</w:t>
            </w:r>
          </w:p>
        </w:tc>
        <w:tc>
          <w:tcPr>
            <w:tcW w:w="1079" w:type="pct"/>
            <w:gridSpan w:val="2"/>
            <w:noWrap w:val="0"/>
            <w:tcMar>
              <w:top w:w="12" w:type="dxa"/>
              <w:left w:w="12" w:type="dxa"/>
              <w:right w:w="12" w:type="dxa"/>
            </w:tcMar>
            <w:vAlign w:val="center"/>
          </w:tcPr>
          <w:p w14:paraId="07DB0BE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i w:val="0"/>
                <w:iCs w:val="0"/>
                <w:color w:val="auto"/>
                <w:kern w:val="0"/>
                <w:sz w:val="21"/>
                <w:szCs w:val="21"/>
                <w:highlight w:val="none"/>
                <w:lang w:bidi="ar"/>
              </w:rPr>
            </w:pPr>
            <w:r>
              <w:rPr>
                <w:rFonts w:hint="eastAsia"/>
                <w:i w:val="0"/>
                <w:iCs w:val="0"/>
                <w:color w:val="auto"/>
                <w:kern w:val="0"/>
                <w:sz w:val="21"/>
                <w:szCs w:val="21"/>
                <w:highlight w:val="none"/>
                <w:lang w:bidi="ar"/>
              </w:rPr>
              <w:t>/</w:t>
            </w:r>
          </w:p>
        </w:tc>
      </w:tr>
      <w:tr w14:paraId="6BECF6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840" w:type="pct"/>
            <w:noWrap w:val="0"/>
            <w:tcMar>
              <w:top w:w="12" w:type="dxa"/>
              <w:left w:w="12" w:type="dxa"/>
              <w:right w:w="12" w:type="dxa"/>
            </w:tcMar>
            <w:vAlign w:val="center"/>
          </w:tcPr>
          <w:p w14:paraId="2A5F6CB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庚烷</w:t>
            </w:r>
          </w:p>
        </w:tc>
        <w:tc>
          <w:tcPr>
            <w:tcW w:w="1648" w:type="pct"/>
            <w:gridSpan w:val="2"/>
            <w:noWrap w:val="0"/>
            <w:tcMar>
              <w:top w:w="12" w:type="dxa"/>
              <w:left w:w="12" w:type="dxa"/>
              <w:right w:w="12" w:type="dxa"/>
            </w:tcMar>
            <w:vAlign w:val="center"/>
          </w:tcPr>
          <w:p w14:paraId="7AA69BE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bidi="ar"/>
              </w:rPr>
              <w:t>0.0</w:t>
            </w:r>
            <w:r>
              <w:rPr>
                <w:rFonts w:hint="eastAsia"/>
                <w:i w:val="0"/>
                <w:iCs w:val="0"/>
                <w:color w:val="auto"/>
                <w:kern w:val="0"/>
                <w:sz w:val="21"/>
                <w:szCs w:val="21"/>
                <w:highlight w:val="none"/>
                <w:lang w:val="en-US" w:eastAsia="zh-CN" w:bidi="ar"/>
              </w:rPr>
              <w:t>543</w:t>
            </w:r>
          </w:p>
        </w:tc>
        <w:tc>
          <w:tcPr>
            <w:tcW w:w="1430" w:type="pct"/>
            <w:noWrap w:val="0"/>
            <w:tcMar>
              <w:top w:w="12" w:type="dxa"/>
              <w:left w:w="12" w:type="dxa"/>
              <w:right w:w="12" w:type="dxa"/>
            </w:tcMar>
            <w:vAlign w:val="center"/>
          </w:tcPr>
          <w:p w14:paraId="5241498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w:t>
            </w:r>
          </w:p>
        </w:tc>
        <w:tc>
          <w:tcPr>
            <w:tcW w:w="1079" w:type="pct"/>
            <w:gridSpan w:val="2"/>
            <w:noWrap w:val="0"/>
            <w:tcMar>
              <w:top w:w="12" w:type="dxa"/>
              <w:left w:w="12" w:type="dxa"/>
              <w:right w:w="12" w:type="dxa"/>
            </w:tcMar>
            <w:vAlign w:val="center"/>
          </w:tcPr>
          <w:p w14:paraId="74C6E32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i w:val="0"/>
                <w:iCs w:val="0"/>
                <w:color w:val="auto"/>
                <w:kern w:val="0"/>
                <w:sz w:val="21"/>
                <w:szCs w:val="21"/>
                <w:highlight w:val="none"/>
                <w:lang w:bidi="ar"/>
              </w:rPr>
            </w:pPr>
            <w:r>
              <w:rPr>
                <w:rFonts w:hint="eastAsia"/>
                <w:i w:val="0"/>
                <w:iCs w:val="0"/>
                <w:color w:val="auto"/>
                <w:kern w:val="0"/>
                <w:sz w:val="21"/>
                <w:szCs w:val="21"/>
                <w:highlight w:val="none"/>
                <w:lang w:bidi="ar"/>
              </w:rPr>
              <w:t>/</w:t>
            </w:r>
          </w:p>
        </w:tc>
      </w:tr>
      <w:tr w14:paraId="4A7E2D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679" w:type="pct"/>
            <w:gridSpan w:val="2"/>
            <w:noWrap w:val="0"/>
            <w:tcMar>
              <w:top w:w="12" w:type="dxa"/>
              <w:left w:w="12" w:type="dxa"/>
              <w:right w:w="12" w:type="dxa"/>
            </w:tcMar>
            <w:vAlign w:val="center"/>
          </w:tcPr>
          <w:p w14:paraId="05769E9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硫化氢/(mg/m</w:t>
            </w:r>
            <w:r>
              <w:rPr>
                <w:i w:val="0"/>
                <w:iCs w:val="0"/>
                <w:color w:val="auto"/>
                <w:kern w:val="0"/>
                <w:sz w:val="21"/>
                <w:szCs w:val="21"/>
                <w:highlight w:val="none"/>
                <w:vertAlign w:val="superscript"/>
                <w:lang w:bidi="ar"/>
              </w:rPr>
              <w:t>3</w:t>
            </w:r>
            <w:r>
              <w:rPr>
                <w:i w:val="0"/>
                <w:iCs w:val="0"/>
                <w:color w:val="auto"/>
                <w:kern w:val="0"/>
                <w:sz w:val="21"/>
                <w:szCs w:val="21"/>
                <w:highlight w:val="none"/>
                <w:lang w:bidi="ar"/>
              </w:rPr>
              <w:t>)</w:t>
            </w:r>
          </w:p>
        </w:tc>
        <w:tc>
          <w:tcPr>
            <w:tcW w:w="810" w:type="pct"/>
            <w:noWrap w:val="0"/>
            <w:tcMar>
              <w:top w:w="12" w:type="dxa"/>
              <w:left w:w="12" w:type="dxa"/>
              <w:right w:w="12" w:type="dxa"/>
            </w:tcMar>
            <w:vAlign w:val="center"/>
          </w:tcPr>
          <w:p w14:paraId="4E36A5A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sz w:val="21"/>
                <w:szCs w:val="21"/>
                <w:highlight w:val="none"/>
                <w:lang w:val="en-US" w:eastAsia="zh-CN"/>
              </w:rPr>
            </w:pPr>
            <w:r>
              <w:rPr>
                <w:rFonts w:hint="eastAsia"/>
                <w:i w:val="0"/>
                <w:iCs w:val="0"/>
                <w:color w:val="auto"/>
                <w:sz w:val="21"/>
                <w:szCs w:val="21"/>
                <w:highlight w:val="none"/>
                <w:lang w:val="en-US" w:eastAsia="zh-CN"/>
              </w:rPr>
              <w:t>3200</w:t>
            </w:r>
          </w:p>
        </w:tc>
        <w:tc>
          <w:tcPr>
            <w:tcW w:w="1781" w:type="pct"/>
            <w:gridSpan w:val="2"/>
            <w:noWrap w:val="0"/>
            <w:tcMar>
              <w:top w:w="12" w:type="dxa"/>
              <w:left w:w="12" w:type="dxa"/>
              <w:right w:w="12" w:type="dxa"/>
            </w:tcMar>
            <w:vAlign w:val="center"/>
          </w:tcPr>
          <w:p w14:paraId="6817028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甲硫醇/(mg/m</w:t>
            </w:r>
            <w:r>
              <w:rPr>
                <w:i w:val="0"/>
                <w:iCs w:val="0"/>
                <w:color w:val="auto"/>
                <w:kern w:val="0"/>
                <w:sz w:val="21"/>
                <w:szCs w:val="21"/>
                <w:highlight w:val="none"/>
                <w:vertAlign w:val="superscript"/>
                <w:lang w:bidi="ar"/>
              </w:rPr>
              <w:t>3</w:t>
            </w:r>
            <w:r>
              <w:rPr>
                <w:i w:val="0"/>
                <w:iCs w:val="0"/>
                <w:color w:val="auto"/>
                <w:kern w:val="0"/>
                <w:sz w:val="21"/>
                <w:szCs w:val="21"/>
                <w:highlight w:val="none"/>
                <w:lang w:bidi="ar"/>
              </w:rPr>
              <w:t>)</w:t>
            </w:r>
          </w:p>
        </w:tc>
        <w:tc>
          <w:tcPr>
            <w:tcW w:w="728" w:type="pct"/>
            <w:noWrap w:val="0"/>
            <w:tcMar>
              <w:top w:w="12" w:type="dxa"/>
              <w:left w:w="12" w:type="dxa"/>
              <w:right w:w="12" w:type="dxa"/>
            </w:tcMar>
            <w:vAlign w:val="center"/>
          </w:tcPr>
          <w:p w14:paraId="2D1F3CD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sz w:val="21"/>
                <w:szCs w:val="21"/>
                <w:highlight w:val="none"/>
                <w:lang w:val="en-US" w:eastAsia="zh-CN"/>
              </w:rPr>
            </w:pPr>
            <w:r>
              <w:rPr>
                <w:rFonts w:hint="eastAsia"/>
                <w:i w:val="0"/>
                <w:iCs w:val="0"/>
                <w:color w:val="auto"/>
                <w:kern w:val="0"/>
                <w:sz w:val="21"/>
                <w:szCs w:val="21"/>
                <w:highlight w:val="none"/>
                <w:lang w:val="en-US" w:eastAsia="zh-CN" w:bidi="ar"/>
              </w:rPr>
              <w:t>22</w:t>
            </w:r>
          </w:p>
        </w:tc>
      </w:tr>
      <w:tr w14:paraId="461377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679" w:type="pct"/>
            <w:gridSpan w:val="2"/>
            <w:noWrap w:val="0"/>
            <w:tcMar>
              <w:top w:w="12" w:type="dxa"/>
              <w:left w:w="12" w:type="dxa"/>
              <w:right w:w="12" w:type="dxa"/>
            </w:tcMar>
            <w:vAlign w:val="center"/>
          </w:tcPr>
          <w:p w14:paraId="514429F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总硫</w:t>
            </w:r>
            <w:r>
              <w:rPr>
                <w:rFonts w:hint="eastAsia"/>
                <w:i w:val="0"/>
                <w:iCs w:val="0"/>
                <w:color w:val="auto"/>
                <w:kern w:val="0"/>
                <w:sz w:val="21"/>
                <w:szCs w:val="21"/>
                <w:highlight w:val="none"/>
                <w:lang w:eastAsia="zh-CN" w:bidi="ar"/>
              </w:rPr>
              <w:t>（</w:t>
            </w:r>
            <w:r>
              <w:rPr>
                <w:rFonts w:hint="eastAsia" w:ascii="宋体" w:hAnsi="宋体" w:cs="宋体"/>
                <w:i w:val="0"/>
                <w:iCs w:val="0"/>
                <w:color w:val="auto"/>
                <w:kern w:val="0"/>
                <w:sz w:val="21"/>
                <w:szCs w:val="21"/>
                <w:highlight w:val="none"/>
                <w:lang w:bidi="ar"/>
              </w:rPr>
              <w:t>以硫计</w:t>
            </w:r>
            <w:r>
              <w:rPr>
                <w:rFonts w:hint="eastAsia" w:ascii="宋体" w:hAnsi="宋体" w:cs="宋体"/>
                <w:i w:val="0"/>
                <w:iCs w:val="0"/>
                <w:color w:val="auto"/>
                <w:kern w:val="0"/>
                <w:sz w:val="21"/>
                <w:szCs w:val="21"/>
                <w:highlight w:val="none"/>
                <w:lang w:eastAsia="zh-CN" w:bidi="ar"/>
              </w:rPr>
              <w:t>）</w:t>
            </w:r>
            <w:r>
              <w:rPr>
                <w:i w:val="0"/>
                <w:iCs w:val="0"/>
                <w:color w:val="auto"/>
                <w:kern w:val="0"/>
                <w:sz w:val="21"/>
                <w:szCs w:val="21"/>
                <w:highlight w:val="none"/>
                <w:lang w:bidi="ar"/>
              </w:rPr>
              <w:t>/(mg/m</w:t>
            </w:r>
            <w:r>
              <w:rPr>
                <w:i w:val="0"/>
                <w:iCs w:val="0"/>
                <w:color w:val="auto"/>
                <w:kern w:val="0"/>
                <w:sz w:val="21"/>
                <w:szCs w:val="21"/>
                <w:highlight w:val="none"/>
                <w:vertAlign w:val="superscript"/>
                <w:lang w:bidi="ar"/>
              </w:rPr>
              <w:t>3</w:t>
            </w:r>
            <w:r>
              <w:rPr>
                <w:i w:val="0"/>
                <w:iCs w:val="0"/>
                <w:color w:val="auto"/>
                <w:kern w:val="0"/>
                <w:sz w:val="21"/>
                <w:szCs w:val="21"/>
                <w:highlight w:val="none"/>
                <w:lang w:bidi="ar"/>
              </w:rPr>
              <w:t>)</w:t>
            </w:r>
          </w:p>
        </w:tc>
        <w:tc>
          <w:tcPr>
            <w:tcW w:w="810" w:type="pct"/>
            <w:noWrap w:val="0"/>
            <w:tcMar>
              <w:top w:w="12" w:type="dxa"/>
              <w:left w:w="12" w:type="dxa"/>
              <w:right w:w="12" w:type="dxa"/>
            </w:tcMar>
            <w:vAlign w:val="center"/>
          </w:tcPr>
          <w:p w14:paraId="0E899B5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w:t>
            </w:r>
          </w:p>
        </w:tc>
        <w:tc>
          <w:tcPr>
            <w:tcW w:w="1781" w:type="pct"/>
            <w:gridSpan w:val="2"/>
            <w:noWrap w:val="0"/>
            <w:tcMar>
              <w:top w:w="12" w:type="dxa"/>
              <w:left w:w="12" w:type="dxa"/>
              <w:right w:w="12" w:type="dxa"/>
            </w:tcMar>
            <w:vAlign w:val="center"/>
          </w:tcPr>
          <w:p w14:paraId="6E3280C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羰基硫/(mg/m</w:t>
            </w:r>
            <w:r>
              <w:rPr>
                <w:i w:val="0"/>
                <w:iCs w:val="0"/>
                <w:color w:val="auto"/>
                <w:kern w:val="0"/>
                <w:sz w:val="21"/>
                <w:szCs w:val="21"/>
                <w:highlight w:val="none"/>
                <w:vertAlign w:val="superscript"/>
                <w:lang w:bidi="ar"/>
              </w:rPr>
              <w:t>3</w:t>
            </w:r>
            <w:r>
              <w:rPr>
                <w:i w:val="0"/>
                <w:iCs w:val="0"/>
                <w:color w:val="auto"/>
                <w:kern w:val="0"/>
                <w:sz w:val="21"/>
                <w:szCs w:val="21"/>
                <w:highlight w:val="none"/>
                <w:lang w:bidi="ar"/>
              </w:rPr>
              <w:t>)</w:t>
            </w:r>
          </w:p>
        </w:tc>
        <w:tc>
          <w:tcPr>
            <w:tcW w:w="728" w:type="pct"/>
            <w:noWrap w:val="0"/>
            <w:tcMar>
              <w:top w:w="12" w:type="dxa"/>
              <w:left w:w="12" w:type="dxa"/>
              <w:right w:w="12" w:type="dxa"/>
            </w:tcMar>
            <w:vAlign w:val="center"/>
          </w:tcPr>
          <w:p w14:paraId="431ABCA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sz w:val="21"/>
                <w:szCs w:val="21"/>
                <w:highlight w:val="none"/>
                <w:lang w:val="en-US" w:eastAsia="zh-CN"/>
              </w:rPr>
            </w:pPr>
            <w:r>
              <w:rPr>
                <w:rFonts w:hint="eastAsia"/>
                <w:i w:val="0"/>
                <w:iCs w:val="0"/>
                <w:color w:val="auto"/>
                <w:kern w:val="0"/>
                <w:sz w:val="21"/>
                <w:szCs w:val="21"/>
                <w:highlight w:val="none"/>
                <w:lang w:val="en-US" w:eastAsia="zh-CN" w:bidi="ar"/>
              </w:rPr>
              <w:t>9.3</w:t>
            </w:r>
          </w:p>
        </w:tc>
      </w:tr>
      <w:tr w14:paraId="785B3B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679" w:type="pct"/>
            <w:gridSpan w:val="2"/>
            <w:noWrap w:val="0"/>
            <w:tcMar>
              <w:top w:w="12" w:type="dxa"/>
              <w:left w:w="12" w:type="dxa"/>
              <w:right w:w="12" w:type="dxa"/>
            </w:tcMar>
            <w:vAlign w:val="center"/>
          </w:tcPr>
          <w:p w14:paraId="6B83BD1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水露点/℃</w:t>
            </w:r>
          </w:p>
        </w:tc>
        <w:tc>
          <w:tcPr>
            <w:tcW w:w="810" w:type="pct"/>
            <w:noWrap w:val="0"/>
            <w:tcMar>
              <w:top w:w="12" w:type="dxa"/>
              <w:left w:w="12" w:type="dxa"/>
              <w:right w:w="12" w:type="dxa"/>
            </w:tcMar>
            <w:vAlign w:val="center"/>
          </w:tcPr>
          <w:p w14:paraId="1D55AC5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w:t>
            </w:r>
          </w:p>
        </w:tc>
        <w:tc>
          <w:tcPr>
            <w:tcW w:w="1781" w:type="pct"/>
            <w:gridSpan w:val="2"/>
            <w:noWrap w:val="0"/>
            <w:tcMar>
              <w:top w:w="12" w:type="dxa"/>
              <w:left w:w="12" w:type="dxa"/>
              <w:right w:w="12" w:type="dxa"/>
            </w:tcMar>
            <w:vAlign w:val="center"/>
          </w:tcPr>
          <w:p w14:paraId="19EEE34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二氧化硫/(mg/m</w:t>
            </w:r>
            <w:r>
              <w:rPr>
                <w:i w:val="0"/>
                <w:iCs w:val="0"/>
                <w:color w:val="auto"/>
                <w:kern w:val="0"/>
                <w:sz w:val="21"/>
                <w:szCs w:val="21"/>
                <w:highlight w:val="none"/>
                <w:vertAlign w:val="superscript"/>
                <w:lang w:bidi="ar"/>
              </w:rPr>
              <w:t>3</w:t>
            </w:r>
            <w:r>
              <w:rPr>
                <w:i w:val="0"/>
                <w:iCs w:val="0"/>
                <w:color w:val="auto"/>
                <w:kern w:val="0"/>
                <w:sz w:val="21"/>
                <w:szCs w:val="21"/>
                <w:highlight w:val="none"/>
                <w:lang w:bidi="ar"/>
              </w:rPr>
              <w:t>)</w:t>
            </w:r>
          </w:p>
        </w:tc>
        <w:tc>
          <w:tcPr>
            <w:tcW w:w="728" w:type="pct"/>
            <w:noWrap w:val="0"/>
            <w:tcMar>
              <w:top w:w="12" w:type="dxa"/>
              <w:left w:w="12" w:type="dxa"/>
              <w:right w:w="12" w:type="dxa"/>
            </w:tcMar>
            <w:vAlign w:val="center"/>
          </w:tcPr>
          <w:p w14:paraId="049435E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sz w:val="21"/>
                <w:szCs w:val="21"/>
                <w:highlight w:val="none"/>
                <w:lang w:val="en-US" w:eastAsia="zh-CN"/>
              </w:rPr>
            </w:pPr>
            <w:r>
              <w:rPr>
                <w:rFonts w:hint="eastAsia"/>
                <w:i w:val="0"/>
                <w:iCs w:val="0"/>
                <w:color w:val="auto"/>
                <w:kern w:val="0"/>
                <w:sz w:val="21"/>
                <w:szCs w:val="21"/>
                <w:highlight w:val="none"/>
                <w:lang w:val="en-US" w:eastAsia="zh-CN" w:bidi="ar"/>
              </w:rPr>
              <w:t>0.16</w:t>
            </w:r>
          </w:p>
        </w:tc>
      </w:tr>
      <w:tr w14:paraId="2AD44D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679" w:type="pct"/>
            <w:gridSpan w:val="2"/>
            <w:noWrap w:val="0"/>
            <w:tcMar>
              <w:top w:w="12" w:type="dxa"/>
              <w:left w:w="12" w:type="dxa"/>
              <w:right w:w="12" w:type="dxa"/>
            </w:tcMar>
            <w:vAlign w:val="center"/>
          </w:tcPr>
          <w:p w14:paraId="31FF213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汞含量/(μg/m</w:t>
            </w:r>
            <w:r>
              <w:rPr>
                <w:i w:val="0"/>
                <w:iCs w:val="0"/>
                <w:color w:val="auto"/>
                <w:kern w:val="0"/>
                <w:sz w:val="21"/>
                <w:szCs w:val="21"/>
                <w:highlight w:val="none"/>
                <w:vertAlign w:val="superscript"/>
                <w:lang w:bidi="ar"/>
              </w:rPr>
              <w:t>3</w:t>
            </w:r>
            <w:r>
              <w:rPr>
                <w:i w:val="0"/>
                <w:iCs w:val="0"/>
                <w:color w:val="auto"/>
                <w:kern w:val="0"/>
                <w:sz w:val="21"/>
                <w:szCs w:val="21"/>
                <w:highlight w:val="none"/>
                <w:lang w:bidi="ar"/>
              </w:rPr>
              <w:t>)</w:t>
            </w:r>
          </w:p>
        </w:tc>
        <w:tc>
          <w:tcPr>
            <w:tcW w:w="810" w:type="pct"/>
            <w:noWrap w:val="0"/>
            <w:tcMar>
              <w:top w:w="12" w:type="dxa"/>
              <w:left w:w="12" w:type="dxa"/>
              <w:right w:w="12" w:type="dxa"/>
            </w:tcMar>
            <w:vAlign w:val="center"/>
          </w:tcPr>
          <w:p w14:paraId="5E28839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w:t>
            </w:r>
          </w:p>
        </w:tc>
        <w:tc>
          <w:tcPr>
            <w:tcW w:w="1781" w:type="pct"/>
            <w:gridSpan w:val="2"/>
            <w:noWrap w:val="0"/>
            <w:tcMar>
              <w:top w:w="12" w:type="dxa"/>
              <w:left w:w="12" w:type="dxa"/>
              <w:right w:w="12" w:type="dxa"/>
            </w:tcMar>
            <w:vAlign w:val="center"/>
          </w:tcPr>
          <w:p w14:paraId="4EAD744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乙硫醇/(mg/m</w:t>
            </w:r>
            <w:r>
              <w:rPr>
                <w:i w:val="0"/>
                <w:iCs w:val="0"/>
                <w:color w:val="auto"/>
                <w:kern w:val="0"/>
                <w:sz w:val="21"/>
                <w:szCs w:val="21"/>
                <w:highlight w:val="none"/>
                <w:vertAlign w:val="superscript"/>
                <w:lang w:bidi="ar"/>
              </w:rPr>
              <w:t>3</w:t>
            </w:r>
            <w:r>
              <w:rPr>
                <w:i w:val="0"/>
                <w:iCs w:val="0"/>
                <w:color w:val="auto"/>
                <w:kern w:val="0"/>
                <w:sz w:val="21"/>
                <w:szCs w:val="21"/>
                <w:highlight w:val="none"/>
                <w:lang w:bidi="ar"/>
              </w:rPr>
              <w:t>)</w:t>
            </w:r>
          </w:p>
        </w:tc>
        <w:tc>
          <w:tcPr>
            <w:tcW w:w="728" w:type="pct"/>
            <w:noWrap w:val="0"/>
            <w:tcMar>
              <w:top w:w="12" w:type="dxa"/>
              <w:left w:w="12" w:type="dxa"/>
              <w:right w:w="12" w:type="dxa"/>
            </w:tcMar>
            <w:vAlign w:val="center"/>
          </w:tcPr>
          <w:p w14:paraId="2150504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sz w:val="21"/>
                <w:szCs w:val="21"/>
                <w:highlight w:val="none"/>
                <w:lang w:val="en-US" w:eastAsia="zh-CN"/>
              </w:rPr>
            </w:pPr>
            <w:r>
              <w:rPr>
                <w:rFonts w:hint="eastAsia"/>
                <w:i w:val="0"/>
                <w:iCs w:val="0"/>
                <w:color w:val="auto"/>
                <w:kern w:val="0"/>
                <w:sz w:val="21"/>
                <w:szCs w:val="21"/>
                <w:highlight w:val="none"/>
                <w:lang w:val="en-US" w:eastAsia="zh-CN" w:bidi="ar"/>
              </w:rPr>
              <w:t>12</w:t>
            </w:r>
          </w:p>
        </w:tc>
      </w:tr>
      <w:tr w14:paraId="5175E9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679" w:type="pct"/>
            <w:gridSpan w:val="2"/>
            <w:noWrap w:val="0"/>
            <w:tcMar>
              <w:top w:w="12" w:type="dxa"/>
              <w:left w:w="12" w:type="dxa"/>
              <w:right w:w="12" w:type="dxa"/>
            </w:tcMar>
            <w:vAlign w:val="center"/>
          </w:tcPr>
          <w:p w14:paraId="54F14C7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eastAsia="宋体"/>
                <w:i w:val="0"/>
                <w:iCs w:val="0"/>
                <w:color w:val="auto"/>
                <w:sz w:val="21"/>
                <w:szCs w:val="21"/>
                <w:highlight w:val="none"/>
                <w:lang w:eastAsia="zh-CN"/>
              </w:rPr>
            </w:pPr>
            <w:r>
              <w:rPr>
                <w:i w:val="0"/>
                <w:iCs w:val="0"/>
                <w:color w:val="auto"/>
                <w:kern w:val="0"/>
                <w:sz w:val="21"/>
                <w:szCs w:val="21"/>
                <w:highlight w:val="none"/>
                <w:lang w:bidi="ar"/>
              </w:rPr>
              <w:t>密度</w:t>
            </w:r>
            <w:r>
              <w:rPr>
                <w:rFonts w:hint="eastAsia"/>
                <w:i w:val="0"/>
                <w:iCs w:val="0"/>
                <w:color w:val="auto"/>
                <w:kern w:val="0"/>
                <w:sz w:val="21"/>
                <w:szCs w:val="21"/>
                <w:highlight w:val="none"/>
                <w:lang w:eastAsia="zh-CN" w:bidi="ar"/>
              </w:rPr>
              <w:t>（</w:t>
            </w:r>
            <w:r>
              <w:rPr>
                <w:i w:val="0"/>
                <w:iCs w:val="0"/>
                <w:color w:val="auto"/>
                <w:kern w:val="0"/>
                <w:sz w:val="21"/>
                <w:szCs w:val="21"/>
                <w:highlight w:val="none"/>
                <w:lang w:bidi="ar"/>
              </w:rPr>
              <w:t>kg/m</w:t>
            </w:r>
            <w:r>
              <w:rPr>
                <w:i w:val="0"/>
                <w:iCs w:val="0"/>
                <w:color w:val="auto"/>
                <w:kern w:val="0"/>
                <w:sz w:val="21"/>
                <w:szCs w:val="21"/>
                <w:highlight w:val="none"/>
                <w:vertAlign w:val="superscript"/>
                <w:lang w:bidi="ar"/>
              </w:rPr>
              <w:t>3</w:t>
            </w:r>
            <w:r>
              <w:rPr>
                <w:rFonts w:hint="eastAsia"/>
                <w:i w:val="0"/>
                <w:iCs w:val="0"/>
                <w:color w:val="auto"/>
                <w:kern w:val="0"/>
                <w:sz w:val="21"/>
                <w:szCs w:val="21"/>
                <w:highlight w:val="none"/>
                <w:lang w:eastAsia="zh-CN" w:bidi="ar"/>
              </w:rPr>
              <w:t>）</w:t>
            </w:r>
          </w:p>
        </w:tc>
        <w:tc>
          <w:tcPr>
            <w:tcW w:w="810" w:type="pct"/>
            <w:noWrap w:val="0"/>
            <w:tcMar>
              <w:top w:w="12" w:type="dxa"/>
              <w:left w:w="12" w:type="dxa"/>
              <w:right w:w="12" w:type="dxa"/>
            </w:tcMar>
            <w:vAlign w:val="center"/>
          </w:tcPr>
          <w:p w14:paraId="13ADF46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bidi="ar"/>
              </w:rPr>
              <w:t>0.</w:t>
            </w:r>
            <w:r>
              <w:rPr>
                <w:rFonts w:hint="eastAsia"/>
                <w:i w:val="0"/>
                <w:iCs w:val="0"/>
                <w:color w:val="auto"/>
                <w:kern w:val="0"/>
                <w:sz w:val="21"/>
                <w:szCs w:val="21"/>
                <w:highlight w:val="none"/>
                <w:lang w:val="en-US" w:eastAsia="zh-CN" w:bidi="ar"/>
              </w:rPr>
              <w:t>8922</w:t>
            </w:r>
          </w:p>
        </w:tc>
        <w:tc>
          <w:tcPr>
            <w:tcW w:w="1781" w:type="pct"/>
            <w:gridSpan w:val="2"/>
            <w:noWrap w:val="0"/>
            <w:tcMar>
              <w:top w:w="12" w:type="dxa"/>
              <w:left w:w="12" w:type="dxa"/>
              <w:right w:w="12" w:type="dxa"/>
            </w:tcMar>
            <w:vAlign w:val="center"/>
          </w:tcPr>
          <w:p w14:paraId="27343E0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相对密度</w:t>
            </w:r>
          </w:p>
        </w:tc>
        <w:tc>
          <w:tcPr>
            <w:tcW w:w="728" w:type="pct"/>
            <w:noWrap w:val="0"/>
            <w:tcMar>
              <w:top w:w="12" w:type="dxa"/>
              <w:left w:w="12" w:type="dxa"/>
              <w:right w:w="12" w:type="dxa"/>
            </w:tcMar>
            <w:vAlign w:val="center"/>
          </w:tcPr>
          <w:p w14:paraId="523790A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sz w:val="21"/>
                <w:szCs w:val="21"/>
                <w:highlight w:val="none"/>
                <w:lang w:val="en-US" w:eastAsia="zh-CN"/>
              </w:rPr>
            </w:pPr>
            <w:r>
              <w:rPr>
                <w:i w:val="0"/>
                <w:iCs w:val="0"/>
                <w:color w:val="auto"/>
                <w:kern w:val="0"/>
                <w:sz w:val="21"/>
                <w:szCs w:val="21"/>
                <w:highlight w:val="none"/>
                <w:lang w:bidi="ar"/>
              </w:rPr>
              <w:t>0.</w:t>
            </w:r>
            <w:r>
              <w:rPr>
                <w:rFonts w:hint="eastAsia"/>
                <w:i w:val="0"/>
                <w:iCs w:val="0"/>
                <w:color w:val="auto"/>
                <w:kern w:val="0"/>
                <w:sz w:val="21"/>
                <w:szCs w:val="21"/>
                <w:highlight w:val="none"/>
                <w:lang w:val="en-US" w:eastAsia="zh-CN" w:bidi="ar"/>
              </w:rPr>
              <w:t>7387</w:t>
            </w:r>
          </w:p>
        </w:tc>
      </w:tr>
      <w:tr w14:paraId="6DF819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679" w:type="pct"/>
            <w:gridSpan w:val="2"/>
            <w:noWrap w:val="0"/>
            <w:tcMar>
              <w:top w:w="12" w:type="dxa"/>
              <w:left w:w="12" w:type="dxa"/>
              <w:right w:w="12" w:type="dxa"/>
            </w:tcMar>
            <w:vAlign w:val="center"/>
          </w:tcPr>
          <w:p w14:paraId="7A9291E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平均分子量</w:t>
            </w:r>
          </w:p>
        </w:tc>
        <w:tc>
          <w:tcPr>
            <w:tcW w:w="810" w:type="pct"/>
            <w:noWrap w:val="0"/>
            <w:tcMar>
              <w:top w:w="12" w:type="dxa"/>
              <w:left w:w="12" w:type="dxa"/>
              <w:right w:w="12" w:type="dxa"/>
            </w:tcMar>
            <w:vAlign w:val="center"/>
          </w:tcPr>
          <w:p w14:paraId="327D9FE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21.40</w:t>
            </w:r>
          </w:p>
        </w:tc>
        <w:tc>
          <w:tcPr>
            <w:tcW w:w="2510" w:type="pct"/>
            <w:gridSpan w:val="3"/>
            <w:noWrap w:val="0"/>
            <w:tcMar>
              <w:top w:w="12" w:type="dxa"/>
              <w:left w:w="12" w:type="dxa"/>
              <w:right w:w="12" w:type="dxa"/>
            </w:tcMar>
            <w:vAlign w:val="center"/>
          </w:tcPr>
          <w:p w14:paraId="3432354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w:t>
            </w:r>
          </w:p>
        </w:tc>
      </w:tr>
      <w:tr w14:paraId="2CF2A6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679" w:type="pct"/>
            <w:gridSpan w:val="2"/>
            <w:noWrap w:val="0"/>
            <w:tcMar>
              <w:top w:w="12" w:type="dxa"/>
              <w:left w:w="12" w:type="dxa"/>
              <w:right w:w="12" w:type="dxa"/>
            </w:tcMar>
            <w:vAlign w:val="center"/>
          </w:tcPr>
          <w:p w14:paraId="6A67D31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eastAsia="宋体"/>
                <w:i w:val="0"/>
                <w:iCs w:val="0"/>
                <w:color w:val="auto"/>
                <w:sz w:val="21"/>
                <w:szCs w:val="21"/>
                <w:highlight w:val="none"/>
                <w:lang w:eastAsia="zh-CN"/>
              </w:rPr>
            </w:pPr>
            <w:r>
              <w:rPr>
                <w:i w:val="0"/>
                <w:iCs w:val="0"/>
                <w:color w:val="auto"/>
                <w:kern w:val="0"/>
                <w:sz w:val="21"/>
                <w:szCs w:val="21"/>
                <w:highlight w:val="none"/>
                <w:lang w:bidi="ar"/>
              </w:rPr>
              <w:t>20℃</w:t>
            </w:r>
            <w:r>
              <w:rPr>
                <w:rFonts w:hint="eastAsia" w:ascii="宋体" w:hAnsi="宋体" w:cs="宋体"/>
                <w:i w:val="0"/>
                <w:iCs w:val="0"/>
                <w:color w:val="auto"/>
                <w:kern w:val="0"/>
                <w:sz w:val="21"/>
                <w:szCs w:val="21"/>
                <w:highlight w:val="none"/>
                <w:lang w:bidi="ar"/>
              </w:rPr>
              <w:t>理想体积高位发热量</w:t>
            </w:r>
            <w:r>
              <w:rPr>
                <w:rFonts w:hint="eastAsia" w:ascii="宋体" w:hAnsi="宋体" w:cs="宋体"/>
                <w:i w:val="0"/>
                <w:iCs w:val="0"/>
                <w:color w:val="auto"/>
                <w:kern w:val="0"/>
                <w:sz w:val="21"/>
                <w:szCs w:val="21"/>
                <w:highlight w:val="none"/>
                <w:lang w:eastAsia="zh-CN" w:bidi="ar"/>
              </w:rPr>
              <w:t>（</w:t>
            </w:r>
            <w:r>
              <w:rPr>
                <w:i w:val="0"/>
                <w:iCs w:val="0"/>
                <w:color w:val="auto"/>
                <w:kern w:val="0"/>
                <w:sz w:val="21"/>
                <w:szCs w:val="21"/>
                <w:highlight w:val="none"/>
                <w:lang w:bidi="ar"/>
              </w:rPr>
              <w:t>MJ/m</w:t>
            </w:r>
            <w:r>
              <w:rPr>
                <w:i w:val="0"/>
                <w:iCs w:val="0"/>
                <w:color w:val="auto"/>
                <w:kern w:val="0"/>
                <w:sz w:val="21"/>
                <w:szCs w:val="21"/>
                <w:highlight w:val="none"/>
                <w:vertAlign w:val="superscript"/>
                <w:lang w:bidi="ar"/>
              </w:rPr>
              <w:t>3</w:t>
            </w:r>
            <w:r>
              <w:rPr>
                <w:rFonts w:hint="eastAsia"/>
                <w:i w:val="0"/>
                <w:iCs w:val="0"/>
                <w:color w:val="auto"/>
                <w:kern w:val="0"/>
                <w:sz w:val="21"/>
                <w:szCs w:val="21"/>
                <w:highlight w:val="none"/>
                <w:lang w:eastAsia="zh-CN" w:bidi="ar"/>
              </w:rPr>
              <w:t>）</w:t>
            </w:r>
          </w:p>
        </w:tc>
        <w:tc>
          <w:tcPr>
            <w:tcW w:w="810" w:type="pct"/>
            <w:noWrap w:val="0"/>
            <w:tcMar>
              <w:top w:w="12" w:type="dxa"/>
              <w:left w:w="12" w:type="dxa"/>
              <w:right w:w="12" w:type="dxa"/>
            </w:tcMar>
            <w:vAlign w:val="center"/>
          </w:tcPr>
          <w:p w14:paraId="6B8C7AA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41.25</w:t>
            </w:r>
          </w:p>
        </w:tc>
        <w:tc>
          <w:tcPr>
            <w:tcW w:w="1781" w:type="pct"/>
            <w:gridSpan w:val="2"/>
            <w:noWrap w:val="0"/>
            <w:tcMar>
              <w:top w:w="12" w:type="dxa"/>
              <w:left w:w="12" w:type="dxa"/>
              <w:right w:w="12" w:type="dxa"/>
            </w:tcMar>
            <w:vAlign w:val="center"/>
          </w:tcPr>
          <w:p w14:paraId="6C676CF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eastAsia="宋体"/>
                <w:i w:val="0"/>
                <w:iCs w:val="0"/>
                <w:color w:val="auto"/>
                <w:sz w:val="21"/>
                <w:szCs w:val="21"/>
                <w:highlight w:val="none"/>
                <w:lang w:val="en-US" w:eastAsia="zh-CN"/>
              </w:rPr>
            </w:pPr>
            <w:r>
              <w:rPr>
                <w:i w:val="0"/>
                <w:iCs w:val="0"/>
                <w:color w:val="auto"/>
                <w:kern w:val="0"/>
                <w:sz w:val="21"/>
                <w:szCs w:val="21"/>
                <w:highlight w:val="none"/>
                <w:lang w:bidi="ar"/>
              </w:rPr>
              <w:t>20℃</w:t>
            </w:r>
            <w:r>
              <w:rPr>
                <w:rFonts w:hint="eastAsia" w:ascii="宋体" w:hAnsi="宋体" w:cs="宋体"/>
                <w:i w:val="0"/>
                <w:iCs w:val="0"/>
                <w:color w:val="auto"/>
                <w:kern w:val="0"/>
                <w:sz w:val="21"/>
                <w:szCs w:val="21"/>
                <w:highlight w:val="none"/>
                <w:lang w:bidi="ar"/>
              </w:rPr>
              <w:t>理想体积低位发热量</w:t>
            </w:r>
            <w:r>
              <w:rPr>
                <w:rFonts w:hint="eastAsia" w:ascii="宋体" w:hAnsi="宋体" w:cs="宋体"/>
                <w:i w:val="0"/>
                <w:iCs w:val="0"/>
                <w:color w:val="auto"/>
                <w:kern w:val="0"/>
                <w:sz w:val="21"/>
                <w:szCs w:val="21"/>
                <w:highlight w:val="none"/>
                <w:lang w:eastAsia="zh-CN" w:bidi="ar"/>
              </w:rPr>
              <w:t>（</w:t>
            </w:r>
            <w:r>
              <w:rPr>
                <w:i w:val="0"/>
                <w:iCs w:val="0"/>
                <w:color w:val="auto"/>
                <w:kern w:val="0"/>
                <w:sz w:val="21"/>
                <w:szCs w:val="21"/>
                <w:highlight w:val="none"/>
                <w:lang w:bidi="ar"/>
              </w:rPr>
              <w:t>MJ/m</w:t>
            </w:r>
            <w:r>
              <w:rPr>
                <w:i w:val="0"/>
                <w:iCs w:val="0"/>
                <w:color w:val="auto"/>
                <w:kern w:val="0"/>
                <w:sz w:val="21"/>
                <w:szCs w:val="21"/>
                <w:highlight w:val="none"/>
                <w:vertAlign w:val="superscript"/>
                <w:lang w:bidi="ar"/>
              </w:rPr>
              <w:t>3</w:t>
            </w:r>
            <w:r>
              <w:rPr>
                <w:rFonts w:hint="eastAsia"/>
                <w:i w:val="0"/>
                <w:iCs w:val="0"/>
                <w:color w:val="auto"/>
                <w:kern w:val="0"/>
                <w:sz w:val="21"/>
                <w:szCs w:val="21"/>
                <w:highlight w:val="none"/>
                <w:vertAlign w:val="baseline"/>
                <w:lang w:eastAsia="zh-CN" w:bidi="ar"/>
              </w:rPr>
              <w:t>）</w:t>
            </w:r>
          </w:p>
        </w:tc>
        <w:tc>
          <w:tcPr>
            <w:tcW w:w="728" w:type="pct"/>
            <w:noWrap w:val="0"/>
            <w:tcMar>
              <w:top w:w="12" w:type="dxa"/>
              <w:left w:w="12" w:type="dxa"/>
              <w:right w:w="12" w:type="dxa"/>
            </w:tcMar>
            <w:vAlign w:val="center"/>
          </w:tcPr>
          <w:p w14:paraId="05E5EC6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sz w:val="21"/>
                <w:szCs w:val="21"/>
                <w:highlight w:val="none"/>
                <w:lang w:val="en-US" w:eastAsia="zh-CN"/>
              </w:rPr>
            </w:pPr>
            <w:r>
              <w:rPr>
                <w:rFonts w:hint="eastAsia"/>
                <w:i w:val="0"/>
                <w:iCs w:val="0"/>
                <w:color w:val="auto"/>
                <w:kern w:val="0"/>
                <w:sz w:val="21"/>
                <w:szCs w:val="21"/>
                <w:highlight w:val="none"/>
                <w:lang w:val="en-US" w:eastAsia="zh-CN" w:bidi="ar"/>
              </w:rPr>
              <w:t>37.39</w:t>
            </w:r>
          </w:p>
        </w:tc>
      </w:tr>
      <w:tr w14:paraId="53CCA1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679" w:type="pct"/>
            <w:gridSpan w:val="2"/>
            <w:noWrap w:val="0"/>
            <w:tcMar>
              <w:top w:w="12" w:type="dxa"/>
              <w:left w:w="12" w:type="dxa"/>
              <w:right w:w="12" w:type="dxa"/>
            </w:tcMar>
            <w:vAlign w:val="center"/>
          </w:tcPr>
          <w:p w14:paraId="27DCC0E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20℃</w:t>
            </w:r>
            <w:r>
              <w:rPr>
                <w:rFonts w:hint="eastAsia" w:ascii="宋体" w:hAnsi="宋体" w:cs="宋体"/>
                <w:i w:val="0"/>
                <w:iCs w:val="0"/>
                <w:color w:val="auto"/>
                <w:kern w:val="0"/>
                <w:sz w:val="21"/>
                <w:szCs w:val="21"/>
                <w:highlight w:val="none"/>
                <w:lang w:bidi="ar"/>
              </w:rPr>
              <w:t>高位沃泊指数（</w:t>
            </w:r>
            <w:r>
              <w:rPr>
                <w:i w:val="0"/>
                <w:iCs w:val="0"/>
                <w:color w:val="auto"/>
                <w:kern w:val="0"/>
                <w:sz w:val="21"/>
                <w:szCs w:val="21"/>
                <w:highlight w:val="none"/>
                <w:lang w:bidi="ar"/>
              </w:rPr>
              <w:t>MJ/m</w:t>
            </w:r>
            <w:r>
              <w:rPr>
                <w:i w:val="0"/>
                <w:iCs w:val="0"/>
                <w:color w:val="auto"/>
                <w:kern w:val="0"/>
                <w:sz w:val="21"/>
                <w:szCs w:val="21"/>
                <w:highlight w:val="none"/>
                <w:vertAlign w:val="superscript"/>
                <w:lang w:bidi="ar"/>
              </w:rPr>
              <w:t>3</w:t>
            </w:r>
            <w:r>
              <w:rPr>
                <w:i w:val="0"/>
                <w:iCs w:val="0"/>
                <w:color w:val="auto"/>
                <w:kern w:val="0"/>
                <w:sz w:val="21"/>
                <w:szCs w:val="21"/>
                <w:highlight w:val="none"/>
                <w:lang w:bidi="ar"/>
              </w:rPr>
              <w:t>）</w:t>
            </w:r>
          </w:p>
        </w:tc>
        <w:tc>
          <w:tcPr>
            <w:tcW w:w="810" w:type="pct"/>
            <w:noWrap w:val="0"/>
            <w:tcMar>
              <w:top w:w="12" w:type="dxa"/>
              <w:left w:w="12" w:type="dxa"/>
              <w:right w:w="12" w:type="dxa"/>
            </w:tcMar>
            <w:vAlign w:val="center"/>
          </w:tcPr>
          <w:p w14:paraId="079C0C2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kern w:val="0"/>
                <w:sz w:val="21"/>
                <w:szCs w:val="21"/>
                <w:highlight w:val="none"/>
                <w:lang w:bidi="ar"/>
              </w:rPr>
            </w:pPr>
            <w:r>
              <w:rPr>
                <w:rFonts w:hint="eastAsia"/>
                <w:i w:val="0"/>
                <w:iCs w:val="0"/>
                <w:color w:val="auto"/>
                <w:kern w:val="0"/>
                <w:sz w:val="21"/>
                <w:szCs w:val="21"/>
                <w:highlight w:val="none"/>
                <w:lang w:bidi="ar"/>
              </w:rPr>
              <w:t>47.79</w:t>
            </w:r>
          </w:p>
        </w:tc>
        <w:tc>
          <w:tcPr>
            <w:tcW w:w="1430" w:type="pct"/>
            <w:noWrap w:val="0"/>
            <w:tcMar>
              <w:top w:w="12" w:type="dxa"/>
              <w:left w:w="12" w:type="dxa"/>
              <w:right w:w="12" w:type="dxa"/>
            </w:tcMar>
            <w:vAlign w:val="center"/>
          </w:tcPr>
          <w:p w14:paraId="7831E6C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20℃</w:t>
            </w:r>
            <w:r>
              <w:rPr>
                <w:rFonts w:hint="eastAsia" w:ascii="宋体" w:hAnsi="宋体" w:cs="宋体"/>
                <w:i w:val="0"/>
                <w:iCs w:val="0"/>
                <w:color w:val="auto"/>
                <w:kern w:val="0"/>
                <w:sz w:val="21"/>
                <w:szCs w:val="21"/>
                <w:highlight w:val="none"/>
                <w:lang w:bidi="ar"/>
              </w:rPr>
              <w:t>低位沃泊指数（</w:t>
            </w:r>
            <w:r>
              <w:rPr>
                <w:i w:val="0"/>
                <w:iCs w:val="0"/>
                <w:color w:val="auto"/>
                <w:kern w:val="0"/>
                <w:sz w:val="21"/>
                <w:szCs w:val="21"/>
                <w:highlight w:val="none"/>
                <w:lang w:bidi="ar"/>
              </w:rPr>
              <w:t>MJ/m</w:t>
            </w:r>
            <w:r>
              <w:rPr>
                <w:i w:val="0"/>
                <w:iCs w:val="0"/>
                <w:color w:val="auto"/>
                <w:kern w:val="0"/>
                <w:sz w:val="21"/>
                <w:szCs w:val="21"/>
                <w:highlight w:val="none"/>
                <w:vertAlign w:val="superscript"/>
                <w:lang w:bidi="ar"/>
              </w:rPr>
              <w:t>3</w:t>
            </w:r>
            <w:r>
              <w:rPr>
                <w:i w:val="0"/>
                <w:iCs w:val="0"/>
                <w:color w:val="auto"/>
                <w:kern w:val="0"/>
                <w:sz w:val="21"/>
                <w:szCs w:val="21"/>
                <w:highlight w:val="none"/>
                <w:lang w:bidi="ar"/>
              </w:rPr>
              <w:t>）</w:t>
            </w:r>
          </w:p>
        </w:tc>
        <w:tc>
          <w:tcPr>
            <w:tcW w:w="1079" w:type="pct"/>
            <w:gridSpan w:val="2"/>
            <w:noWrap w:val="0"/>
            <w:tcMar>
              <w:top w:w="12" w:type="dxa"/>
              <w:left w:w="12" w:type="dxa"/>
              <w:right w:w="12" w:type="dxa"/>
            </w:tcMar>
            <w:vAlign w:val="center"/>
          </w:tcPr>
          <w:p w14:paraId="369B5F0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sz w:val="21"/>
                <w:szCs w:val="21"/>
                <w:highlight w:val="none"/>
                <w:lang w:val="en-US" w:eastAsia="zh-CN"/>
              </w:rPr>
            </w:pPr>
            <w:r>
              <w:rPr>
                <w:rFonts w:hint="eastAsia"/>
                <w:i w:val="0"/>
                <w:iCs w:val="0"/>
                <w:color w:val="auto"/>
                <w:kern w:val="0"/>
                <w:sz w:val="21"/>
                <w:szCs w:val="21"/>
                <w:highlight w:val="none"/>
                <w:lang w:val="en-US" w:eastAsia="zh-CN" w:bidi="ar"/>
              </w:rPr>
              <w:t>43.50</w:t>
            </w:r>
          </w:p>
        </w:tc>
      </w:tr>
    </w:tbl>
    <w:p w14:paraId="55807C88">
      <w:pPr>
        <w:keepNext w:val="0"/>
        <w:keepLines w:val="0"/>
        <w:pageBreakBefore w:val="0"/>
        <w:widowControl w:val="0"/>
        <w:kinsoku/>
        <w:wordWrap/>
        <w:overflowPunct/>
        <w:topLinePunct w:val="0"/>
        <w:autoSpaceDE/>
        <w:autoSpaceDN/>
        <w:bidi w:val="0"/>
        <w:adjustRightInd/>
        <w:snapToGrid w:val="0"/>
        <w:spacing w:line="240" w:lineRule="auto"/>
        <w:ind w:firstLine="360" w:firstLineChars="200"/>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注：以上数据来自2024年5月10日雄探1井天然气分析报告。</w:t>
      </w:r>
    </w:p>
    <w:p w14:paraId="0D2B1C71">
      <w:pPr>
        <w:pStyle w:val="61"/>
        <w:bidi w:val="0"/>
        <w:jc w:val="both"/>
        <w:rPr>
          <w:rFonts w:hint="eastAsia"/>
          <w:color w:val="auto"/>
        </w:rPr>
      </w:pPr>
      <w:r>
        <w:rPr>
          <w:rFonts w:hint="eastAsia"/>
          <w:color w:val="auto"/>
        </w:rPr>
        <w:t>表</w:t>
      </w:r>
      <w:r>
        <w:rPr>
          <w:rFonts w:hint="eastAsia"/>
          <w:color w:val="auto"/>
          <w:lang w:val="en-US" w:eastAsia="zh-CN"/>
        </w:rPr>
        <w:t>3</w:t>
      </w:r>
      <w:r>
        <w:rPr>
          <w:rFonts w:hint="eastAsia"/>
          <w:color w:val="auto"/>
        </w:rPr>
        <w:t>.2-</w:t>
      </w:r>
      <w:r>
        <w:rPr>
          <w:rFonts w:hint="eastAsia"/>
          <w:color w:val="auto"/>
          <w:lang w:val="en-US" w:eastAsia="zh-CN"/>
        </w:rPr>
        <w:t>2</w:t>
      </w:r>
      <w:r>
        <w:rPr>
          <w:rFonts w:hint="eastAsia"/>
          <w:color w:val="auto"/>
        </w:rPr>
        <w:t xml:space="preserve"> </w:t>
      </w:r>
      <w:r>
        <w:rPr>
          <w:rFonts w:hint="eastAsia"/>
          <w:color w:val="auto"/>
          <w:lang w:val="en-US" w:eastAsia="zh-CN"/>
        </w:rPr>
        <w:t xml:space="preserve">  </w:t>
      </w:r>
      <w:r>
        <w:rPr>
          <w:rFonts w:hint="eastAsia"/>
          <w:color w:val="auto"/>
        </w:rPr>
        <w:t xml:space="preserve"> </w:t>
      </w:r>
      <w:r>
        <w:rPr>
          <w:rFonts w:hint="eastAsia"/>
          <w:color w:val="auto"/>
          <w:lang w:eastAsia="zh-CN"/>
        </w:rPr>
        <w:t>雄英</w:t>
      </w:r>
      <w:r>
        <w:rPr>
          <w:rFonts w:hint="eastAsia"/>
          <w:color w:val="auto"/>
          <w:lang w:val="en-US" w:eastAsia="zh-CN"/>
        </w:rPr>
        <w:t>101井</w:t>
      </w:r>
      <w:r>
        <w:rPr>
          <w:rFonts w:hint="eastAsia"/>
          <w:color w:val="auto"/>
        </w:rPr>
        <w:t>天然气物性表</w:t>
      </w:r>
    </w:p>
    <w:tbl>
      <w:tblPr>
        <w:tblStyle w:val="36"/>
        <w:tblW w:w="4975"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444"/>
        <w:gridCol w:w="1441"/>
        <w:gridCol w:w="1393"/>
        <w:gridCol w:w="2458"/>
        <w:gridCol w:w="604"/>
        <w:gridCol w:w="1265"/>
      </w:tblGrid>
      <w:tr w14:paraId="747526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839" w:type="pct"/>
            <w:noWrap w:val="0"/>
            <w:tcMar>
              <w:top w:w="12" w:type="dxa"/>
              <w:left w:w="12" w:type="dxa"/>
              <w:right w:w="12" w:type="dxa"/>
            </w:tcMar>
            <w:vAlign w:val="center"/>
          </w:tcPr>
          <w:p w14:paraId="100FAFD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top"/>
              <w:rPr>
                <w:i w:val="0"/>
                <w:iCs w:val="0"/>
                <w:color w:val="auto"/>
                <w:sz w:val="21"/>
                <w:szCs w:val="21"/>
                <w:highlight w:val="none"/>
              </w:rPr>
            </w:pPr>
            <w:r>
              <w:rPr>
                <w:i w:val="0"/>
                <w:iCs w:val="0"/>
                <w:color w:val="auto"/>
                <w:kern w:val="0"/>
                <w:sz w:val="21"/>
                <w:szCs w:val="21"/>
                <w:highlight w:val="none"/>
                <w:lang w:bidi="ar"/>
              </w:rPr>
              <w:t>组分</w:t>
            </w:r>
          </w:p>
        </w:tc>
        <w:tc>
          <w:tcPr>
            <w:tcW w:w="1646" w:type="pct"/>
            <w:gridSpan w:val="2"/>
            <w:noWrap w:val="0"/>
            <w:tcMar>
              <w:top w:w="12" w:type="dxa"/>
              <w:left w:w="12" w:type="dxa"/>
              <w:right w:w="12" w:type="dxa"/>
            </w:tcMar>
            <w:vAlign w:val="center"/>
          </w:tcPr>
          <w:p w14:paraId="1F595B4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top"/>
              <w:rPr>
                <w:i w:val="0"/>
                <w:iCs w:val="0"/>
                <w:color w:val="auto"/>
                <w:sz w:val="21"/>
                <w:szCs w:val="21"/>
                <w:highlight w:val="none"/>
              </w:rPr>
            </w:pPr>
            <w:r>
              <w:rPr>
                <w:i w:val="0"/>
                <w:iCs w:val="0"/>
                <w:color w:val="auto"/>
                <w:kern w:val="0"/>
                <w:sz w:val="21"/>
                <w:szCs w:val="21"/>
                <w:highlight w:val="none"/>
                <w:lang w:bidi="ar"/>
              </w:rPr>
              <w:t>摩尔百分数，%</w:t>
            </w:r>
          </w:p>
        </w:tc>
        <w:tc>
          <w:tcPr>
            <w:tcW w:w="1428" w:type="pct"/>
            <w:noWrap w:val="0"/>
            <w:tcMar>
              <w:top w:w="12" w:type="dxa"/>
              <w:left w:w="12" w:type="dxa"/>
              <w:right w:w="12" w:type="dxa"/>
            </w:tcMar>
            <w:vAlign w:val="center"/>
          </w:tcPr>
          <w:p w14:paraId="3CB6C09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top"/>
              <w:rPr>
                <w:i w:val="0"/>
                <w:iCs w:val="0"/>
                <w:color w:val="auto"/>
                <w:sz w:val="21"/>
                <w:szCs w:val="21"/>
                <w:highlight w:val="none"/>
              </w:rPr>
            </w:pPr>
            <w:r>
              <w:rPr>
                <w:i w:val="0"/>
                <w:iCs w:val="0"/>
                <w:color w:val="auto"/>
                <w:kern w:val="0"/>
                <w:sz w:val="21"/>
                <w:szCs w:val="21"/>
                <w:highlight w:val="none"/>
                <w:lang w:bidi="ar"/>
              </w:rPr>
              <w:t>组分</w:t>
            </w:r>
          </w:p>
        </w:tc>
        <w:tc>
          <w:tcPr>
            <w:tcW w:w="1085" w:type="pct"/>
            <w:gridSpan w:val="2"/>
            <w:noWrap w:val="0"/>
            <w:tcMar>
              <w:top w:w="12" w:type="dxa"/>
              <w:left w:w="12" w:type="dxa"/>
              <w:right w:w="12" w:type="dxa"/>
            </w:tcMar>
            <w:vAlign w:val="center"/>
          </w:tcPr>
          <w:p w14:paraId="45CF029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top"/>
              <w:rPr>
                <w:i w:val="0"/>
                <w:iCs w:val="0"/>
                <w:color w:val="auto"/>
                <w:sz w:val="21"/>
                <w:szCs w:val="21"/>
                <w:highlight w:val="none"/>
              </w:rPr>
            </w:pPr>
            <w:r>
              <w:rPr>
                <w:i w:val="0"/>
                <w:iCs w:val="0"/>
                <w:color w:val="auto"/>
                <w:kern w:val="0"/>
                <w:sz w:val="21"/>
                <w:szCs w:val="21"/>
                <w:highlight w:val="none"/>
                <w:lang w:bidi="ar"/>
              </w:rPr>
              <w:t>摩尔百分数，%</w:t>
            </w:r>
          </w:p>
        </w:tc>
      </w:tr>
      <w:tr w14:paraId="076C7E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839" w:type="pct"/>
            <w:noWrap w:val="0"/>
            <w:tcMar>
              <w:top w:w="12" w:type="dxa"/>
              <w:left w:w="12" w:type="dxa"/>
              <w:right w:w="12" w:type="dxa"/>
            </w:tcMar>
            <w:vAlign w:val="center"/>
          </w:tcPr>
          <w:p w14:paraId="341465C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甲烷</w:t>
            </w:r>
          </w:p>
        </w:tc>
        <w:tc>
          <w:tcPr>
            <w:tcW w:w="1646" w:type="pct"/>
            <w:gridSpan w:val="2"/>
            <w:noWrap w:val="0"/>
            <w:tcMar>
              <w:top w:w="12" w:type="dxa"/>
              <w:left w:w="12" w:type="dxa"/>
              <w:right w:w="12" w:type="dxa"/>
            </w:tcMar>
            <w:vAlign w:val="center"/>
          </w:tcPr>
          <w:p w14:paraId="40DC086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71.7</w:t>
            </w:r>
          </w:p>
        </w:tc>
        <w:tc>
          <w:tcPr>
            <w:tcW w:w="1428" w:type="pct"/>
            <w:noWrap w:val="0"/>
            <w:tcMar>
              <w:top w:w="12" w:type="dxa"/>
              <w:left w:w="12" w:type="dxa"/>
              <w:right w:w="12" w:type="dxa"/>
            </w:tcMar>
            <w:vAlign w:val="center"/>
          </w:tcPr>
          <w:p w14:paraId="7086D91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辛烷及更重组分</w:t>
            </w:r>
          </w:p>
        </w:tc>
        <w:tc>
          <w:tcPr>
            <w:tcW w:w="1085" w:type="pct"/>
            <w:gridSpan w:val="2"/>
            <w:noWrap w:val="0"/>
            <w:tcMar>
              <w:top w:w="12" w:type="dxa"/>
              <w:left w:w="12" w:type="dxa"/>
              <w:right w:w="12" w:type="dxa"/>
            </w:tcMar>
            <w:vAlign w:val="center"/>
          </w:tcPr>
          <w:p w14:paraId="705E77C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0.017</w:t>
            </w:r>
          </w:p>
        </w:tc>
      </w:tr>
      <w:tr w14:paraId="017BE6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839" w:type="pct"/>
            <w:noWrap w:val="0"/>
            <w:tcMar>
              <w:top w:w="12" w:type="dxa"/>
              <w:left w:w="12" w:type="dxa"/>
              <w:right w:w="12" w:type="dxa"/>
            </w:tcMar>
            <w:vAlign w:val="center"/>
          </w:tcPr>
          <w:p w14:paraId="3837BC3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乙烷</w:t>
            </w:r>
          </w:p>
        </w:tc>
        <w:tc>
          <w:tcPr>
            <w:tcW w:w="1646" w:type="pct"/>
            <w:gridSpan w:val="2"/>
            <w:noWrap w:val="0"/>
            <w:tcMar>
              <w:top w:w="12" w:type="dxa"/>
              <w:left w:w="12" w:type="dxa"/>
              <w:right w:w="12" w:type="dxa"/>
            </w:tcMar>
            <w:vAlign w:val="center"/>
          </w:tcPr>
          <w:p w14:paraId="32B6EAB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11.5</w:t>
            </w:r>
          </w:p>
        </w:tc>
        <w:tc>
          <w:tcPr>
            <w:tcW w:w="1428" w:type="pct"/>
            <w:noWrap w:val="0"/>
            <w:tcMar>
              <w:top w:w="12" w:type="dxa"/>
              <w:left w:w="12" w:type="dxa"/>
              <w:right w:w="12" w:type="dxa"/>
            </w:tcMar>
            <w:vAlign w:val="center"/>
          </w:tcPr>
          <w:p w14:paraId="02ECF77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氮气</w:t>
            </w:r>
          </w:p>
        </w:tc>
        <w:tc>
          <w:tcPr>
            <w:tcW w:w="1085" w:type="pct"/>
            <w:gridSpan w:val="2"/>
            <w:noWrap w:val="0"/>
            <w:tcMar>
              <w:top w:w="12" w:type="dxa"/>
              <w:left w:w="12" w:type="dxa"/>
              <w:right w:w="12" w:type="dxa"/>
            </w:tcMar>
            <w:vAlign w:val="center"/>
          </w:tcPr>
          <w:p w14:paraId="06C9FEF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4.85</w:t>
            </w:r>
          </w:p>
        </w:tc>
      </w:tr>
      <w:tr w14:paraId="41FCD9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839" w:type="pct"/>
            <w:noWrap w:val="0"/>
            <w:tcMar>
              <w:top w:w="12" w:type="dxa"/>
              <w:left w:w="12" w:type="dxa"/>
              <w:right w:w="12" w:type="dxa"/>
            </w:tcMar>
            <w:vAlign w:val="center"/>
          </w:tcPr>
          <w:p w14:paraId="2B2DCDB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丙烷</w:t>
            </w:r>
          </w:p>
        </w:tc>
        <w:tc>
          <w:tcPr>
            <w:tcW w:w="1646" w:type="pct"/>
            <w:gridSpan w:val="2"/>
            <w:noWrap w:val="0"/>
            <w:tcMar>
              <w:top w:w="12" w:type="dxa"/>
              <w:left w:w="12" w:type="dxa"/>
              <w:right w:w="12" w:type="dxa"/>
            </w:tcMar>
            <w:vAlign w:val="center"/>
          </w:tcPr>
          <w:p w14:paraId="25008FF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4.32</w:t>
            </w:r>
          </w:p>
        </w:tc>
        <w:tc>
          <w:tcPr>
            <w:tcW w:w="1428" w:type="pct"/>
            <w:noWrap w:val="0"/>
            <w:tcMar>
              <w:top w:w="12" w:type="dxa"/>
              <w:left w:w="12" w:type="dxa"/>
              <w:right w:w="12" w:type="dxa"/>
            </w:tcMar>
            <w:vAlign w:val="center"/>
          </w:tcPr>
          <w:p w14:paraId="394CA5F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氧气</w:t>
            </w:r>
          </w:p>
        </w:tc>
        <w:tc>
          <w:tcPr>
            <w:tcW w:w="1085" w:type="pct"/>
            <w:gridSpan w:val="2"/>
            <w:noWrap w:val="0"/>
            <w:tcMar>
              <w:top w:w="12" w:type="dxa"/>
              <w:left w:w="12" w:type="dxa"/>
              <w:right w:w="12" w:type="dxa"/>
            </w:tcMar>
            <w:vAlign w:val="center"/>
          </w:tcPr>
          <w:p w14:paraId="20DB42D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0.603</w:t>
            </w:r>
          </w:p>
        </w:tc>
      </w:tr>
      <w:tr w14:paraId="60C59F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839" w:type="pct"/>
            <w:noWrap w:val="0"/>
            <w:tcMar>
              <w:top w:w="12" w:type="dxa"/>
              <w:left w:w="12" w:type="dxa"/>
              <w:right w:w="12" w:type="dxa"/>
            </w:tcMar>
            <w:vAlign w:val="center"/>
          </w:tcPr>
          <w:p w14:paraId="4B345E6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异丁烷</w:t>
            </w:r>
          </w:p>
        </w:tc>
        <w:tc>
          <w:tcPr>
            <w:tcW w:w="1646" w:type="pct"/>
            <w:gridSpan w:val="2"/>
            <w:noWrap w:val="0"/>
            <w:tcMar>
              <w:top w:w="12" w:type="dxa"/>
              <w:left w:w="12" w:type="dxa"/>
              <w:right w:w="12" w:type="dxa"/>
            </w:tcMar>
            <w:vAlign w:val="center"/>
          </w:tcPr>
          <w:p w14:paraId="6282EB7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0.563</w:t>
            </w:r>
          </w:p>
        </w:tc>
        <w:tc>
          <w:tcPr>
            <w:tcW w:w="1428" w:type="pct"/>
            <w:noWrap w:val="0"/>
            <w:tcMar>
              <w:top w:w="12" w:type="dxa"/>
              <w:left w:w="12" w:type="dxa"/>
              <w:right w:w="12" w:type="dxa"/>
            </w:tcMar>
            <w:vAlign w:val="center"/>
          </w:tcPr>
          <w:p w14:paraId="1A94367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二氧化碳</w:t>
            </w:r>
          </w:p>
        </w:tc>
        <w:tc>
          <w:tcPr>
            <w:tcW w:w="1085" w:type="pct"/>
            <w:gridSpan w:val="2"/>
            <w:noWrap w:val="0"/>
            <w:tcMar>
              <w:top w:w="12" w:type="dxa"/>
              <w:left w:w="12" w:type="dxa"/>
              <w:right w:w="12" w:type="dxa"/>
            </w:tcMar>
            <w:vAlign w:val="center"/>
          </w:tcPr>
          <w:p w14:paraId="15B7A51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4.47</w:t>
            </w:r>
          </w:p>
        </w:tc>
      </w:tr>
      <w:tr w14:paraId="4DBE36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839" w:type="pct"/>
            <w:noWrap w:val="0"/>
            <w:tcMar>
              <w:top w:w="12" w:type="dxa"/>
              <w:left w:w="12" w:type="dxa"/>
              <w:right w:w="12" w:type="dxa"/>
            </w:tcMar>
            <w:vAlign w:val="center"/>
          </w:tcPr>
          <w:p w14:paraId="2A300C4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正丁烷</w:t>
            </w:r>
          </w:p>
        </w:tc>
        <w:tc>
          <w:tcPr>
            <w:tcW w:w="1646" w:type="pct"/>
            <w:gridSpan w:val="2"/>
            <w:noWrap w:val="0"/>
            <w:tcMar>
              <w:top w:w="12" w:type="dxa"/>
              <w:left w:w="12" w:type="dxa"/>
              <w:right w:w="12" w:type="dxa"/>
            </w:tcMar>
            <w:vAlign w:val="center"/>
          </w:tcPr>
          <w:p w14:paraId="5B94B09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1.22</w:t>
            </w:r>
          </w:p>
        </w:tc>
        <w:tc>
          <w:tcPr>
            <w:tcW w:w="1428" w:type="pct"/>
            <w:noWrap w:val="0"/>
            <w:tcMar>
              <w:top w:w="12" w:type="dxa"/>
              <w:left w:w="12" w:type="dxa"/>
              <w:right w:w="12" w:type="dxa"/>
            </w:tcMar>
            <w:vAlign w:val="center"/>
          </w:tcPr>
          <w:p w14:paraId="5928E9C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硫化氢</w:t>
            </w:r>
          </w:p>
        </w:tc>
        <w:tc>
          <w:tcPr>
            <w:tcW w:w="1085" w:type="pct"/>
            <w:gridSpan w:val="2"/>
            <w:noWrap w:val="0"/>
            <w:tcMar>
              <w:top w:w="12" w:type="dxa"/>
              <w:left w:w="12" w:type="dxa"/>
              <w:right w:w="12" w:type="dxa"/>
            </w:tcMar>
            <w:vAlign w:val="center"/>
          </w:tcPr>
          <w:p w14:paraId="08B0C1C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0.204</w:t>
            </w:r>
          </w:p>
        </w:tc>
      </w:tr>
      <w:tr w14:paraId="491238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839" w:type="pct"/>
            <w:noWrap w:val="0"/>
            <w:tcMar>
              <w:top w:w="12" w:type="dxa"/>
              <w:left w:w="12" w:type="dxa"/>
              <w:right w:w="12" w:type="dxa"/>
            </w:tcMar>
            <w:vAlign w:val="center"/>
          </w:tcPr>
          <w:p w14:paraId="58A980E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异戊烷</w:t>
            </w:r>
          </w:p>
        </w:tc>
        <w:tc>
          <w:tcPr>
            <w:tcW w:w="1646" w:type="pct"/>
            <w:gridSpan w:val="2"/>
            <w:noWrap w:val="0"/>
            <w:tcMar>
              <w:top w:w="12" w:type="dxa"/>
              <w:left w:w="12" w:type="dxa"/>
              <w:right w:w="12" w:type="dxa"/>
            </w:tcMar>
            <w:vAlign w:val="center"/>
          </w:tcPr>
          <w:p w14:paraId="046ADB2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0.202</w:t>
            </w:r>
          </w:p>
        </w:tc>
        <w:tc>
          <w:tcPr>
            <w:tcW w:w="1428" w:type="pct"/>
            <w:noWrap w:val="0"/>
            <w:tcMar>
              <w:top w:w="12" w:type="dxa"/>
              <w:left w:w="12" w:type="dxa"/>
              <w:right w:w="12" w:type="dxa"/>
            </w:tcMar>
            <w:vAlign w:val="center"/>
          </w:tcPr>
          <w:p w14:paraId="4BF7B85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氢气</w:t>
            </w:r>
          </w:p>
        </w:tc>
        <w:tc>
          <w:tcPr>
            <w:tcW w:w="1085" w:type="pct"/>
            <w:gridSpan w:val="2"/>
            <w:noWrap w:val="0"/>
            <w:tcMar>
              <w:top w:w="12" w:type="dxa"/>
              <w:left w:w="12" w:type="dxa"/>
              <w:right w:w="12" w:type="dxa"/>
            </w:tcMar>
            <w:vAlign w:val="center"/>
          </w:tcPr>
          <w:p w14:paraId="46D28F9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0.0409</w:t>
            </w:r>
          </w:p>
        </w:tc>
      </w:tr>
      <w:tr w14:paraId="506A92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839" w:type="pct"/>
            <w:noWrap w:val="0"/>
            <w:tcMar>
              <w:top w:w="12" w:type="dxa"/>
              <w:left w:w="12" w:type="dxa"/>
              <w:right w:w="12" w:type="dxa"/>
            </w:tcMar>
            <w:vAlign w:val="center"/>
          </w:tcPr>
          <w:p w14:paraId="2A7FF4E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正戊烷</w:t>
            </w:r>
          </w:p>
        </w:tc>
        <w:tc>
          <w:tcPr>
            <w:tcW w:w="1646" w:type="pct"/>
            <w:gridSpan w:val="2"/>
            <w:noWrap w:val="0"/>
            <w:tcMar>
              <w:top w:w="12" w:type="dxa"/>
              <w:left w:w="12" w:type="dxa"/>
              <w:right w:w="12" w:type="dxa"/>
            </w:tcMar>
            <w:vAlign w:val="center"/>
          </w:tcPr>
          <w:p w14:paraId="1E14D38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0.271</w:t>
            </w:r>
          </w:p>
        </w:tc>
        <w:tc>
          <w:tcPr>
            <w:tcW w:w="1428" w:type="pct"/>
            <w:noWrap w:val="0"/>
            <w:tcMar>
              <w:top w:w="12" w:type="dxa"/>
              <w:left w:w="12" w:type="dxa"/>
              <w:right w:w="12" w:type="dxa"/>
            </w:tcMar>
            <w:vAlign w:val="center"/>
          </w:tcPr>
          <w:p w14:paraId="475B687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氦气</w:t>
            </w:r>
          </w:p>
        </w:tc>
        <w:tc>
          <w:tcPr>
            <w:tcW w:w="1085" w:type="pct"/>
            <w:gridSpan w:val="2"/>
            <w:noWrap w:val="0"/>
            <w:tcMar>
              <w:top w:w="12" w:type="dxa"/>
              <w:left w:w="12" w:type="dxa"/>
              <w:right w:w="12" w:type="dxa"/>
            </w:tcMar>
            <w:vAlign w:val="center"/>
          </w:tcPr>
          <w:p w14:paraId="1A6A303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0.0394</w:t>
            </w:r>
          </w:p>
        </w:tc>
      </w:tr>
      <w:tr w14:paraId="1AEA42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839" w:type="pct"/>
            <w:noWrap w:val="0"/>
            <w:tcMar>
              <w:top w:w="12" w:type="dxa"/>
              <w:left w:w="12" w:type="dxa"/>
              <w:right w:w="12" w:type="dxa"/>
            </w:tcMar>
            <w:vAlign w:val="center"/>
          </w:tcPr>
          <w:p w14:paraId="4E01368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己烷</w:t>
            </w:r>
          </w:p>
        </w:tc>
        <w:tc>
          <w:tcPr>
            <w:tcW w:w="1646" w:type="pct"/>
            <w:gridSpan w:val="2"/>
            <w:noWrap w:val="0"/>
            <w:tcMar>
              <w:top w:w="12" w:type="dxa"/>
              <w:left w:w="12" w:type="dxa"/>
              <w:right w:w="12" w:type="dxa"/>
            </w:tcMar>
            <w:vAlign w:val="center"/>
          </w:tcPr>
          <w:p w14:paraId="700DD65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0.11</w:t>
            </w:r>
          </w:p>
        </w:tc>
        <w:tc>
          <w:tcPr>
            <w:tcW w:w="1428" w:type="pct"/>
            <w:noWrap w:val="0"/>
            <w:tcMar>
              <w:top w:w="12" w:type="dxa"/>
              <w:left w:w="12" w:type="dxa"/>
              <w:right w:w="12" w:type="dxa"/>
            </w:tcMar>
            <w:vAlign w:val="center"/>
          </w:tcPr>
          <w:p w14:paraId="059998E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取样含空气</w:t>
            </w:r>
          </w:p>
        </w:tc>
        <w:tc>
          <w:tcPr>
            <w:tcW w:w="1085" w:type="pct"/>
            <w:gridSpan w:val="2"/>
            <w:noWrap w:val="0"/>
            <w:tcMar>
              <w:top w:w="12" w:type="dxa"/>
              <w:left w:w="12" w:type="dxa"/>
              <w:right w:w="12" w:type="dxa"/>
            </w:tcMar>
            <w:vAlign w:val="center"/>
          </w:tcPr>
          <w:p w14:paraId="287D0CF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w:t>
            </w:r>
          </w:p>
        </w:tc>
      </w:tr>
      <w:tr w14:paraId="2547CD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839" w:type="pct"/>
            <w:noWrap w:val="0"/>
            <w:tcMar>
              <w:top w:w="12" w:type="dxa"/>
              <w:left w:w="12" w:type="dxa"/>
              <w:right w:w="12" w:type="dxa"/>
            </w:tcMar>
            <w:vAlign w:val="center"/>
          </w:tcPr>
          <w:p w14:paraId="5A31F3E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庚烷</w:t>
            </w:r>
          </w:p>
        </w:tc>
        <w:tc>
          <w:tcPr>
            <w:tcW w:w="1646" w:type="pct"/>
            <w:gridSpan w:val="2"/>
            <w:noWrap w:val="0"/>
            <w:tcMar>
              <w:top w:w="12" w:type="dxa"/>
              <w:left w:w="12" w:type="dxa"/>
              <w:right w:w="12" w:type="dxa"/>
            </w:tcMar>
            <w:vAlign w:val="center"/>
          </w:tcPr>
          <w:p w14:paraId="6DD8545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0.019</w:t>
            </w:r>
          </w:p>
        </w:tc>
        <w:tc>
          <w:tcPr>
            <w:tcW w:w="1428" w:type="pct"/>
            <w:noWrap w:val="0"/>
            <w:tcMar>
              <w:top w:w="12" w:type="dxa"/>
              <w:left w:w="12" w:type="dxa"/>
              <w:right w:w="12" w:type="dxa"/>
            </w:tcMar>
            <w:vAlign w:val="center"/>
          </w:tcPr>
          <w:p w14:paraId="1D5ADF0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w:t>
            </w:r>
          </w:p>
        </w:tc>
        <w:tc>
          <w:tcPr>
            <w:tcW w:w="1085" w:type="pct"/>
            <w:gridSpan w:val="2"/>
            <w:noWrap w:val="0"/>
            <w:tcMar>
              <w:top w:w="12" w:type="dxa"/>
              <w:left w:w="12" w:type="dxa"/>
              <w:right w:w="12" w:type="dxa"/>
            </w:tcMar>
            <w:vAlign w:val="center"/>
          </w:tcPr>
          <w:p w14:paraId="1B50EB4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w:t>
            </w:r>
          </w:p>
        </w:tc>
      </w:tr>
      <w:tr w14:paraId="57D8C6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676" w:type="pct"/>
            <w:gridSpan w:val="2"/>
            <w:noWrap w:val="0"/>
            <w:tcMar>
              <w:top w:w="12" w:type="dxa"/>
              <w:left w:w="12" w:type="dxa"/>
              <w:right w:w="12" w:type="dxa"/>
            </w:tcMar>
            <w:vAlign w:val="center"/>
          </w:tcPr>
          <w:p w14:paraId="024FA15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硫化氢/(mg/m</w:t>
            </w:r>
            <w:r>
              <w:rPr>
                <w:i w:val="0"/>
                <w:iCs w:val="0"/>
                <w:color w:val="auto"/>
                <w:kern w:val="0"/>
                <w:sz w:val="21"/>
                <w:szCs w:val="21"/>
                <w:highlight w:val="none"/>
                <w:vertAlign w:val="superscript"/>
                <w:lang w:bidi="ar"/>
              </w:rPr>
              <w:t>3</w:t>
            </w:r>
            <w:r>
              <w:rPr>
                <w:i w:val="0"/>
                <w:iCs w:val="0"/>
                <w:color w:val="auto"/>
                <w:kern w:val="0"/>
                <w:sz w:val="21"/>
                <w:szCs w:val="21"/>
                <w:highlight w:val="none"/>
                <w:lang w:bidi="ar"/>
              </w:rPr>
              <w:t>)</w:t>
            </w:r>
          </w:p>
        </w:tc>
        <w:tc>
          <w:tcPr>
            <w:tcW w:w="809" w:type="pct"/>
            <w:noWrap w:val="0"/>
            <w:tcMar>
              <w:top w:w="12" w:type="dxa"/>
              <w:left w:w="12" w:type="dxa"/>
              <w:right w:w="12" w:type="dxa"/>
            </w:tcMar>
            <w:vAlign w:val="center"/>
          </w:tcPr>
          <w:p w14:paraId="6077061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sz w:val="21"/>
                <w:szCs w:val="21"/>
                <w:highlight w:val="none"/>
                <w:lang w:val="en-US" w:eastAsia="zh-CN"/>
              </w:rPr>
            </w:pPr>
            <w:r>
              <w:rPr>
                <w:rFonts w:hint="eastAsia"/>
                <w:i w:val="0"/>
                <w:iCs w:val="0"/>
                <w:color w:val="auto"/>
                <w:sz w:val="21"/>
                <w:szCs w:val="21"/>
                <w:highlight w:val="none"/>
                <w:lang w:val="en-US" w:eastAsia="zh-CN"/>
              </w:rPr>
              <w:t>2900</w:t>
            </w:r>
          </w:p>
        </w:tc>
        <w:tc>
          <w:tcPr>
            <w:tcW w:w="1779" w:type="pct"/>
            <w:gridSpan w:val="2"/>
            <w:noWrap w:val="0"/>
            <w:tcMar>
              <w:top w:w="12" w:type="dxa"/>
              <w:left w:w="12" w:type="dxa"/>
              <w:right w:w="12" w:type="dxa"/>
            </w:tcMar>
            <w:vAlign w:val="center"/>
          </w:tcPr>
          <w:p w14:paraId="7C48A54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甲硫醇/(mg/m</w:t>
            </w:r>
            <w:r>
              <w:rPr>
                <w:i w:val="0"/>
                <w:iCs w:val="0"/>
                <w:color w:val="auto"/>
                <w:kern w:val="0"/>
                <w:sz w:val="21"/>
                <w:szCs w:val="21"/>
                <w:highlight w:val="none"/>
                <w:vertAlign w:val="superscript"/>
                <w:lang w:bidi="ar"/>
              </w:rPr>
              <w:t>3</w:t>
            </w:r>
            <w:r>
              <w:rPr>
                <w:i w:val="0"/>
                <w:iCs w:val="0"/>
                <w:color w:val="auto"/>
                <w:kern w:val="0"/>
                <w:sz w:val="21"/>
                <w:szCs w:val="21"/>
                <w:highlight w:val="none"/>
                <w:lang w:bidi="ar"/>
              </w:rPr>
              <w:t>)</w:t>
            </w:r>
          </w:p>
        </w:tc>
        <w:tc>
          <w:tcPr>
            <w:tcW w:w="734" w:type="pct"/>
            <w:noWrap w:val="0"/>
            <w:tcMar>
              <w:top w:w="12" w:type="dxa"/>
              <w:left w:w="12" w:type="dxa"/>
              <w:right w:w="12" w:type="dxa"/>
            </w:tcMar>
            <w:vAlign w:val="center"/>
          </w:tcPr>
          <w:p w14:paraId="31E0000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w:t>
            </w:r>
          </w:p>
        </w:tc>
      </w:tr>
      <w:tr w14:paraId="1DC501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676" w:type="pct"/>
            <w:gridSpan w:val="2"/>
            <w:noWrap w:val="0"/>
            <w:tcMar>
              <w:top w:w="12" w:type="dxa"/>
              <w:left w:w="12" w:type="dxa"/>
              <w:right w:w="12" w:type="dxa"/>
            </w:tcMar>
            <w:vAlign w:val="center"/>
          </w:tcPr>
          <w:p w14:paraId="038F967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总硫</w:t>
            </w:r>
            <w:r>
              <w:rPr>
                <w:rFonts w:hint="eastAsia"/>
                <w:i w:val="0"/>
                <w:iCs w:val="0"/>
                <w:color w:val="auto"/>
                <w:kern w:val="0"/>
                <w:sz w:val="21"/>
                <w:szCs w:val="21"/>
                <w:highlight w:val="none"/>
                <w:lang w:eastAsia="zh-CN" w:bidi="ar"/>
              </w:rPr>
              <w:t>（</w:t>
            </w:r>
            <w:r>
              <w:rPr>
                <w:rFonts w:hint="eastAsia" w:ascii="宋体" w:hAnsi="宋体" w:cs="宋体"/>
                <w:i w:val="0"/>
                <w:iCs w:val="0"/>
                <w:color w:val="auto"/>
                <w:kern w:val="0"/>
                <w:sz w:val="21"/>
                <w:szCs w:val="21"/>
                <w:highlight w:val="none"/>
                <w:lang w:bidi="ar"/>
              </w:rPr>
              <w:t>以硫计</w:t>
            </w:r>
            <w:r>
              <w:rPr>
                <w:rFonts w:hint="eastAsia" w:ascii="宋体" w:hAnsi="宋体" w:cs="宋体"/>
                <w:i w:val="0"/>
                <w:iCs w:val="0"/>
                <w:color w:val="auto"/>
                <w:kern w:val="0"/>
                <w:sz w:val="21"/>
                <w:szCs w:val="21"/>
                <w:highlight w:val="none"/>
                <w:lang w:eastAsia="zh-CN" w:bidi="ar"/>
              </w:rPr>
              <w:t>）</w:t>
            </w:r>
            <w:r>
              <w:rPr>
                <w:i w:val="0"/>
                <w:iCs w:val="0"/>
                <w:color w:val="auto"/>
                <w:kern w:val="0"/>
                <w:sz w:val="21"/>
                <w:szCs w:val="21"/>
                <w:highlight w:val="none"/>
                <w:lang w:bidi="ar"/>
              </w:rPr>
              <w:t>/(mg/m</w:t>
            </w:r>
            <w:r>
              <w:rPr>
                <w:i w:val="0"/>
                <w:iCs w:val="0"/>
                <w:color w:val="auto"/>
                <w:kern w:val="0"/>
                <w:sz w:val="21"/>
                <w:szCs w:val="21"/>
                <w:highlight w:val="none"/>
                <w:vertAlign w:val="superscript"/>
                <w:lang w:bidi="ar"/>
              </w:rPr>
              <w:t>3</w:t>
            </w:r>
            <w:r>
              <w:rPr>
                <w:i w:val="0"/>
                <w:iCs w:val="0"/>
                <w:color w:val="auto"/>
                <w:kern w:val="0"/>
                <w:sz w:val="21"/>
                <w:szCs w:val="21"/>
                <w:highlight w:val="none"/>
                <w:lang w:bidi="ar"/>
              </w:rPr>
              <w:t>)</w:t>
            </w:r>
          </w:p>
        </w:tc>
        <w:tc>
          <w:tcPr>
            <w:tcW w:w="809" w:type="pct"/>
            <w:noWrap w:val="0"/>
            <w:tcMar>
              <w:top w:w="12" w:type="dxa"/>
              <w:left w:w="12" w:type="dxa"/>
              <w:right w:w="12" w:type="dxa"/>
            </w:tcMar>
            <w:vAlign w:val="center"/>
          </w:tcPr>
          <w:p w14:paraId="3FA02FF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w:t>
            </w:r>
          </w:p>
        </w:tc>
        <w:tc>
          <w:tcPr>
            <w:tcW w:w="1779" w:type="pct"/>
            <w:gridSpan w:val="2"/>
            <w:noWrap w:val="0"/>
            <w:tcMar>
              <w:top w:w="12" w:type="dxa"/>
              <w:left w:w="12" w:type="dxa"/>
              <w:right w:w="12" w:type="dxa"/>
            </w:tcMar>
            <w:vAlign w:val="center"/>
          </w:tcPr>
          <w:p w14:paraId="39397B1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羰基硫/(mg/m</w:t>
            </w:r>
            <w:r>
              <w:rPr>
                <w:i w:val="0"/>
                <w:iCs w:val="0"/>
                <w:color w:val="auto"/>
                <w:kern w:val="0"/>
                <w:sz w:val="21"/>
                <w:szCs w:val="21"/>
                <w:highlight w:val="none"/>
                <w:vertAlign w:val="superscript"/>
                <w:lang w:bidi="ar"/>
              </w:rPr>
              <w:t>3</w:t>
            </w:r>
            <w:r>
              <w:rPr>
                <w:i w:val="0"/>
                <w:iCs w:val="0"/>
                <w:color w:val="auto"/>
                <w:kern w:val="0"/>
                <w:sz w:val="21"/>
                <w:szCs w:val="21"/>
                <w:highlight w:val="none"/>
                <w:lang w:bidi="ar"/>
              </w:rPr>
              <w:t>)</w:t>
            </w:r>
          </w:p>
        </w:tc>
        <w:tc>
          <w:tcPr>
            <w:tcW w:w="734" w:type="pct"/>
            <w:noWrap w:val="0"/>
            <w:tcMar>
              <w:top w:w="12" w:type="dxa"/>
              <w:left w:w="12" w:type="dxa"/>
              <w:right w:w="12" w:type="dxa"/>
            </w:tcMar>
            <w:vAlign w:val="center"/>
          </w:tcPr>
          <w:p w14:paraId="1783751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w:t>
            </w:r>
          </w:p>
        </w:tc>
      </w:tr>
      <w:tr w14:paraId="2B2E26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676" w:type="pct"/>
            <w:gridSpan w:val="2"/>
            <w:noWrap w:val="0"/>
            <w:tcMar>
              <w:top w:w="12" w:type="dxa"/>
              <w:left w:w="12" w:type="dxa"/>
              <w:right w:w="12" w:type="dxa"/>
            </w:tcMar>
            <w:vAlign w:val="center"/>
          </w:tcPr>
          <w:p w14:paraId="2DC25EA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水露点/℃</w:t>
            </w:r>
          </w:p>
        </w:tc>
        <w:tc>
          <w:tcPr>
            <w:tcW w:w="809" w:type="pct"/>
            <w:noWrap w:val="0"/>
            <w:tcMar>
              <w:top w:w="12" w:type="dxa"/>
              <w:left w:w="12" w:type="dxa"/>
              <w:right w:w="12" w:type="dxa"/>
            </w:tcMar>
            <w:vAlign w:val="center"/>
          </w:tcPr>
          <w:p w14:paraId="23A62F4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w:t>
            </w:r>
          </w:p>
        </w:tc>
        <w:tc>
          <w:tcPr>
            <w:tcW w:w="1779" w:type="pct"/>
            <w:gridSpan w:val="2"/>
            <w:noWrap w:val="0"/>
            <w:tcMar>
              <w:top w:w="12" w:type="dxa"/>
              <w:left w:w="12" w:type="dxa"/>
              <w:right w:w="12" w:type="dxa"/>
            </w:tcMar>
            <w:vAlign w:val="center"/>
          </w:tcPr>
          <w:p w14:paraId="067FA95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二氧化硫/(mg/m</w:t>
            </w:r>
            <w:r>
              <w:rPr>
                <w:i w:val="0"/>
                <w:iCs w:val="0"/>
                <w:color w:val="auto"/>
                <w:kern w:val="0"/>
                <w:sz w:val="21"/>
                <w:szCs w:val="21"/>
                <w:highlight w:val="none"/>
                <w:vertAlign w:val="superscript"/>
                <w:lang w:bidi="ar"/>
              </w:rPr>
              <w:t>3</w:t>
            </w:r>
            <w:r>
              <w:rPr>
                <w:i w:val="0"/>
                <w:iCs w:val="0"/>
                <w:color w:val="auto"/>
                <w:kern w:val="0"/>
                <w:sz w:val="21"/>
                <w:szCs w:val="21"/>
                <w:highlight w:val="none"/>
                <w:lang w:bidi="ar"/>
              </w:rPr>
              <w:t>)</w:t>
            </w:r>
          </w:p>
        </w:tc>
        <w:tc>
          <w:tcPr>
            <w:tcW w:w="734" w:type="pct"/>
            <w:noWrap w:val="0"/>
            <w:tcMar>
              <w:top w:w="12" w:type="dxa"/>
              <w:left w:w="12" w:type="dxa"/>
              <w:right w:w="12" w:type="dxa"/>
            </w:tcMar>
            <w:vAlign w:val="center"/>
          </w:tcPr>
          <w:p w14:paraId="00B7A19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w:t>
            </w:r>
          </w:p>
        </w:tc>
      </w:tr>
      <w:tr w14:paraId="5B40AC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676" w:type="pct"/>
            <w:gridSpan w:val="2"/>
            <w:noWrap w:val="0"/>
            <w:tcMar>
              <w:top w:w="12" w:type="dxa"/>
              <w:left w:w="12" w:type="dxa"/>
              <w:right w:w="12" w:type="dxa"/>
            </w:tcMar>
            <w:vAlign w:val="center"/>
          </w:tcPr>
          <w:p w14:paraId="70E6679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汞含量/(μg/m</w:t>
            </w:r>
            <w:r>
              <w:rPr>
                <w:i w:val="0"/>
                <w:iCs w:val="0"/>
                <w:color w:val="auto"/>
                <w:kern w:val="0"/>
                <w:sz w:val="21"/>
                <w:szCs w:val="21"/>
                <w:highlight w:val="none"/>
                <w:vertAlign w:val="superscript"/>
                <w:lang w:bidi="ar"/>
              </w:rPr>
              <w:t>3</w:t>
            </w:r>
            <w:r>
              <w:rPr>
                <w:i w:val="0"/>
                <w:iCs w:val="0"/>
                <w:color w:val="auto"/>
                <w:kern w:val="0"/>
                <w:sz w:val="21"/>
                <w:szCs w:val="21"/>
                <w:highlight w:val="none"/>
                <w:lang w:bidi="ar"/>
              </w:rPr>
              <w:t>)</w:t>
            </w:r>
          </w:p>
        </w:tc>
        <w:tc>
          <w:tcPr>
            <w:tcW w:w="809" w:type="pct"/>
            <w:noWrap w:val="0"/>
            <w:tcMar>
              <w:top w:w="12" w:type="dxa"/>
              <w:left w:w="12" w:type="dxa"/>
              <w:right w:w="12" w:type="dxa"/>
            </w:tcMar>
            <w:vAlign w:val="center"/>
          </w:tcPr>
          <w:p w14:paraId="356B352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w:t>
            </w:r>
          </w:p>
        </w:tc>
        <w:tc>
          <w:tcPr>
            <w:tcW w:w="1779" w:type="pct"/>
            <w:gridSpan w:val="2"/>
            <w:noWrap w:val="0"/>
            <w:tcMar>
              <w:top w:w="12" w:type="dxa"/>
              <w:left w:w="12" w:type="dxa"/>
              <w:right w:w="12" w:type="dxa"/>
            </w:tcMar>
            <w:vAlign w:val="center"/>
          </w:tcPr>
          <w:p w14:paraId="6FF8252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乙硫醇/(mg/m</w:t>
            </w:r>
            <w:r>
              <w:rPr>
                <w:i w:val="0"/>
                <w:iCs w:val="0"/>
                <w:color w:val="auto"/>
                <w:kern w:val="0"/>
                <w:sz w:val="21"/>
                <w:szCs w:val="21"/>
                <w:highlight w:val="none"/>
                <w:vertAlign w:val="superscript"/>
                <w:lang w:bidi="ar"/>
              </w:rPr>
              <w:t>3</w:t>
            </w:r>
            <w:r>
              <w:rPr>
                <w:i w:val="0"/>
                <w:iCs w:val="0"/>
                <w:color w:val="auto"/>
                <w:kern w:val="0"/>
                <w:sz w:val="21"/>
                <w:szCs w:val="21"/>
                <w:highlight w:val="none"/>
                <w:lang w:bidi="ar"/>
              </w:rPr>
              <w:t>)</w:t>
            </w:r>
          </w:p>
        </w:tc>
        <w:tc>
          <w:tcPr>
            <w:tcW w:w="734" w:type="pct"/>
            <w:noWrap w:val="0"/>
            <w:tcMar>
              <w:top w:w="12" w:type="dxa"/>
              <w:left w:w="12" w:type="dxa"/>
              <w:right w:w="12" w:type="dxa"/>
            </w:tcMar>
            <w:vAlign w:val="center"/>
          </w:tcPr>
          <w:p w14:paraId="7A9EFAD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w:t>
            </w:r>
          </w:p>
        </w:tc>
      </w:tr>
      <w:tr w14:paraId="3465D5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676" w:type="pct"/>
            <w:gridSpan w:val="2"/>
            <w:noWrap w:val="0"/>
            <w:tcMar>
              <w:top w:w="12" w:type="dxa"/>
              <w:left w:w="12" w:type="dxa"/>
              <w:right w:w="12" w:type="dxa"/>
            </w:tcMar>
            <w:vAlign w:val="center"/>
          </w:tcPr>
          <w:p w14:paraId="3ED8B72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eastAsia="宋体"/>
                <w:i w:val="0"/>
                <w:iCs w:val="0"/>
                <w:color w:val="auto"/>
                <w:sz w:val="21"/>
                <w:szCs w:val="21"/>
                <w:highlight w:val="none"/>
                <w:lang w:val="en-US" w:eastAsia="zh-CN"/>
              </w:rPr>
            </w:pPr>
            <w:r>
              <w:rPr>
                <w:i w:val="0"/>
                <w:iCs w:val="0"/>
                <w:color w:val="auto"/>
                <w:kern w:val="0"/>
                <w:sz w:val="21"/>
                <w:szCs w:val="21"/>
                <w:highlight w:val="none"/>
                <w:lang w:bidi="ar"/>
              </w:rPr>
              <w:t>密度</w:t>
            </w:r>
            <w:r>
              <w:rPr>
                <w:rFonts w:hint="eastAsia"/>
                <w:i w:val="0"/>
                <w:iCs w:val="0"/>
                <w:color w:val="auto"/>
                <w:kern w:val="0"/>
                <w:sz w:val="21"/>
                <w:szCs w:val="21"/>
                <w:highlight w:val="none"/>
                <w:lang w:eastAsia="zh-CN" w:bidi="ar"/>
              </w:rPr>
              <w:t>（</w:t>
            </w:r>
            <w:r>
              <w:rPr>
                <w:i w:val="0"/>
                <w:iCs w:val="0"/>
                <w:color w:val="auto"/>
                <w:kern w:val="0"/>
                <w:sz w:val="21"/>
                <w:szCs w:val="21"/>
                <w:highlight w:val="none"/>
                <w:lang w:bidi="ar"/>
              </w:rPr>
              <w:t>kg/m</w:t>
            </w:r>
            <w:r>
              <w:rPr>
                <w:i w:val="0"/>
                <w:iCs w:val="0"/>
                <w:color w:val="auto"/>
                <w:kern w:val="0"/>
                <w:sz w:val="21"/>
                <w:szCs w:val="21"/>
                <w:highlight w:val="none"/>
                <w:vertAlign w:val="superscript"/>
                <w:lang w:bidi="ar"/>
              </w:rPr>
              <w:t>3</w:t>
            </w:r>
            <w:r>
              <w:rPr>
                <w:rFonts w:hint="eastAsia"/>
                <w:i w:val="0"/>
                <w:iCs w:val="0"/>
                <w:color w:val="auto"/>
                <w:kern w:val="0"/>
                <w:sz w:val="21"/>
                <w:szCs w:val="21"/>
                <w:highlight w:val="none"/>
                <w:vertAlign w:val="baseline"/>
                <w:lang w:eastAsia="zh-CN" w:bidi="ar"/>
              </w:rPr>
              <w:t>）</w:t>
            </w:r>
          </w:p>
        </w:tc>
        <w:tc>
          <w:tcPr>
            <w:tcW w:w="809" w:type="pct"/>
            <w:noWrap w:val="0"/>
            <w:tcMar>
              <w:top w:w="12" w:type="dxa"/>
              <w:left w:w="12" w:type="dxa"/>
              <w:right w:w="12" w:type="dxa"/>
            </w:tcMar>
            <w:vAlign w:val="center"/>
          </w:tcPr>
          <w:p w14:paraId="709B0B4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bidi="ar"/>
              </w:rPr>
              <w:t>0</w:t>
            </w:r>
            <w:r>
              <w:rPr>
                <w:rFonts w:hint="eastAsia"/>
                <w:i w:val="0"/>
                <w:iCs w:val="0"/>
                <w:color w:val="auto"/>
                <w:kern w:val="0"/>
                <w:sz w:val="21"/>
                <w:szCs w:val="21"/>
                <w:highlight w:val="none"/>
                <w:lang w:val="en-US" w:eastAsia="zh-CN" w:bidi="ar"/>
              </w:rPr>
              <w:t>.9146</w:t>
            </w:r>
          </w:p>
        </w:tc>
        <w:tc>
          <w:tcPr>
            <w:tcW w:w="1779" w:type="pct"/>
            <w:gridSpan w:val="2"/>
            <w:noWrap w:val="0"/>
            <w:tcMar>
              <w:top w:w="12" w:type="dxa"/>
              <w:left w:w="12" w:type="dxa"/>
              <w:right w:w="12" w:type="dxa"/>
            </w:tcMar>
            <w:vAlign w:val="center"/>
          </w:tcPr>
          <w:p w14:paraId="4EF0DD1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相对密度</w:t>
            </w:r>
          </w:p>
        </w:tc>
        <w:tc>
          <w:tcPr>
            <w:tcW w:w="734" w:type="pct"/>
            <w:noWrap w:val="0"/>
            <w:tcMar>
              <w:top w:w="12" w:type="dxa"/>
              <w:left w:w="12" w:type="dxa"/>
              <w:right w:w="12" w:type="dxa"/>
            </w:tcMar>
            <w:vAlign w:val="center"/>
          </w:tcPr>
          <w:p w14:paraId="371DEBE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sz w:val="21"/>
                <w:szCs w:val="21"/>
                <w:highlight w:val="none"/>
                <w:lang w:val="en-US" w:eastAsia="zh-CN"/>
              </w:rPr>
            </w:pPr>
            <w:r>
              <w:rPr>
                <w:rFonts w:hint="eastAsia"/>
                <w:i w:val="0"/>
                <w:iCs w:val="0"/>
                <w:color w:val="auto"/>
                <w:kern w:val="0"/>
                <w:sz w:val="21"/>
                <w:szCs w:val="21"/>
                <w:highlight w:val="none"/>
                <w:lang w:val="en-US" w:eastAsia="zh-CN" w:bidi="ar"/>
              </w:rPr>
              <w:t>0.7572</w:t>
            </w:r>
          </w:p>
        </w:tc>
      </w:tr>
      <w:tr w14:paraId="2D2FEA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676" w:type="pct"/>
            <w:gridSpan w:val="2"/>
            <w:noWrap w:val="0"/>
            <w:tcMar>
              <w:top w:w="12" w:type="dxa"/>
              <w:left w:w="12" w:type="dxa"/>
              <w:right w:w="12" w:type="dxa"/>
            </w:tcMar>
            <w:vAlign w:val="center"/>
          </w:tcPr>
          <w:p w14:paraId="1A58DED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平均分子量</w:t>
            </w:r>
          </w:p>
        </w:tc>
        <w:tc>
          <w:tcPr>
            <w:tcW w:w="809" w:type="pct"/>
            <w:noWrap w:val="0"/>
            <w:tcMar>
              <w:top w:w="12" w:type="dxa"/>
              <w:left w:w="12" w:type="dxa"/>
              <w:right w:w="12" w:type="dxa"/>
            </w:tcMar>
            <w:vAlign w:val="center"/>
          </w:tcPr>
          <w:p w14:paraId="1E64F4E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21.93</w:t>
            </w:r>
          </w:p>
        </w:tc>
        <w:tc>
          <w:tcPr>
            <w:tcW w:w="2513" w:type="pct"/>
            <w:gridSpan w:val="3"/>
            <w:noWrap w:val="0"/>
            <w:tcMar>
              <w:top w:w="12" w:type="dxa"/>
              <w:left w:w="12" w:type="dxa"/>
              <w:right w:w="12" w:type="dxa"/>
            </w:tcMar>
            <w:vAlign w:val="center"/>
          </w:tcPr>
          <w:p w14:paraId="6D0EBE5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w:t>
            </w:r>
          </w:p>
        </w:tc>
      </w:tr>
      <w:tr w14:paraId="56E11C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676" w:type="pct"/>
            <w:gridSpan w:val="2"/>
            <w:noWrap w:val="0"/>
            <w:tcMar>
              <w:top w:w="12" w:type="dxa"/>
              <w:left w:w="12" w:type="dxa"/>
              <w:right w:w="12" w:type="dxa"/>
            </w:tcMar>
            <w:vAlign w:val="center"/>
          </w:tcPr>
          <w:p w14:paraId="13422BD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eastAsia="宋体"/>
                <w:i w:val="0"/>
                <w:iCs w:val="0"/>
                <w:color w:val="auto"/>
                <w:sz w:val="21"/>
                <w:szCs w:val="21"/>
                <w:highlight w:val="none"/>
                <w:lang w:val="en-US" w:eastAsia="zh-CN"/>
              </w:rPr>
            </w:pPr>
            <w:r>
              <w:rPr>
                <w:i w:val="0"/>
                <w:iCs w:val="0"/>
                <w:color w:val="auto"/>
                <w:kern w:val="0"/>
                <w:sz w:val="21"/>
                <w:szCs w:val="21"/>
                <w:highlight w:val="none"/>
                <w:lang w:bidi="ar"/>
              </w:rPr>
              <w:t>20℃</w:t>
            </w:r>
            <w:r>
              <w:rPr>
                <w:rFonts w:hint="eastAsia" w:ascii="宋体" w:hAnsi="宋体" w:cs="宋体"/>
                <w:i w:val="0"/>
                <w:iCs w:val="0"/>
                <w:color w:val="auto"/>
                <w:kern w:val="0"/>
                <w:sz w:val="21"/>
                <w:szCs w:val="21"/>
                <w:highlight w:val="none"/>
                <w:lang w:bidi="ar"/>
              </w:rPr>
              <w:t>理想体积高位发热量</w:t>
            </w:r>
            <w:r>
              <w:rPr>
                <w:rFonts w:hint="eastAsia" w:ascii="宋体" w:hAnsi="宋体" w:cs="宋体"/>
                <w:i w:val="0"/>
                <w:iCs w:val="0"/>
                <w:color w:val="auto"/>
                <w:kern w:val="0"/>
                <w:sz w:val="21"/>
                <w:szCs w:val="21"/>
                <w:highlight w:val="none"/>
                <w:lang w:eastAsia="zh-CN" w:bidi="ar"/>
              </w:rPr>
              <w:t>（</w:t>
            </w:r>
            <w:r>
              <w:rPr>
                <w:i w:val="0"/>
                <w:iCs w:val="0"/>
                <w:color w:val="auto"/>
                <w:kern w:val="0"/>
                <w:sz w:val="21"/>
                <w:szCs w:val="21"/>
                <w:highlight w:val="none"/>
                <w:lang w:bidi="ar"/>
              </w:rPr>
              <w:t>MJ/m</w:t>
            </w:r>
            <w:r>
              <w:rPr>
                <w:i w:val="0"/>
                <w:iCs w:val="0"/>
                <w:color w:val="auto"/>
                <w:kern w:val="0"/>
                <w:sz w:val="21"/>
                <w:szCs w:val="21"/>
                <w:highlight w:val="none"/>
                <w:vertAlign w:val="superscript"/>
                <w:lang w:bidi="ar"/>
              </w:rPr>
              <w:t>3</w:t>
            </w:r>
            <w:r>
              <w:rPr>
                <w:rFonts w:hint="eastAsia"/>
                <w:i w:val="0"/>
                <w:iCs w:val="0"/>
                <w:color w:val="auto"/>
                <w:kern w:val="0"/>
                <w:sz w:val="21"/>
                <w:szCs w:val="21"/>
                <w:highlight w:val="none"/>
                <w:vertAlign w:val="baseline"/>
                <w:lang w:eastAsia="zh-CN" w:bidi="ar"/>
              </w:rPr>
              <w:t>）</w:t>
            </w:r>
          </w:p>
        </w:tc>
        <w:tc>
          <w:tcPr>
            <w:tcW w:w="809" w:type="pct"/>
            <w:noWrap w:val="0"/>
            <w:tcMar>
              <w:top w:w="12" w:type="dxa"/>
              <w:left w:w="12" w:type="dxa"/>
              <w:right w:w="12" w:type="dxa"/>
            </w:tcMar>
            <w:vAlign w:val="center"/>
          </w:tcPr>
          <w:p w14:paraId="3A1E930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41.22</w:t>
            </w:r>
          </w:p>
        </w:tc>
        <w:tc>
          <w:tcPr>
            <w:tcW w:w="1779" w:type="pct"/>
            <w:gridSpan w:val="2"/>
            <w:noWrap w:val="0"/>
            <w:tcMar>
              <w:top w:w="12" w:type="dxa"/>
              <w:left w:w="12" w:type="dxa"/>
              <w:right w:w="12" w:type="dxa"/>
            </w:tcMar>
            <w:vAlign w:val="center"/>
          </w:tcPr>
          <w:p w14:paraId="1685DD7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eastAsia="宋体"/>
                <w:i w:val="0"/>
                <w:iCs w:val="0"/>
                <w:color w:val="auto"/>
                <w:sz w:val="21"/>
                <w:szCs w:val="21"/>
                <w:highlight w:val="none"/>
                <w:lang w:val="en-US" w:eastAsia="zh-CN"/>
              </w:rPr>
            </w:pPr>
            <w:r>
              <w:rPr>
                <w:i w:val="0"/>
                <w:iCs w:val="0"/>
                <w:color w:val="auto"/>
                <w:kern w:val="0"/>
                <w:sz w:val="21"/>
                <w:szCs w:val="21"/>
                <w:highlight w:val="none"/>
                <w:lang w:bidi="ar"/>
              </w:rPr>
              <w:t>20℃</w:t>
            </w:r>
            <w:r>
              <w:rPr>
                <w:rFonts w:hint="eastAsia" w:ascii="宋体" w:hAnsi="宋体" w:cs="宋体"/>
                <w:i w:val="0"/>
                <w:iCs w:val="0"/>
                <w:color w:val="auto"/>
                <w:kern w:val="0"/>
                <w:sz w:val="21"/>
                <w:szCs w:val="21"/>
                <w:highlight w:val="none"/>
                <w:lang w:bidi="ar"/>
              </w:rPr>
              <w:t>理想体积低位发热量</w:t>
            </w:r>
            <w:r>
              <w:rPr>
                <w:rFonts w:hint="eastAsia" w:ascii="宋体" w:hAnsi="宋体" w:cs="宋体"/>
                <w:i w:val="0"/>
                <w:iCs w:val="0"/>
                <w:color w:val="auto"/>
                <w:kern w:val="0"/>
                <w:sz w:val="21"/>
                <w:szCs w:val="21"/>
                <w:highlight w:val="none"/>
                <w:lang w:eastAsia="zh-CN" w:bidi="ar"/>
              </w:rPr>
              <w:t>（</w:t>
            </w:r>
            <w:r>
              <w:rPr>
                <w:i w:val="0"/>
                <w:iCs w:val="0"/>
                <w:color w:val="auto"/>
                <w:kern w:val="0"/>
                <w:sz w:val="21"/>
                <w:szCs w:val="21"/>
                <w:highlight w:val="none"/>
                <w:lang w:bidi="ar"/>
              </w:rPr>
              <w:t>MJ/m</w:t>
            </w:r>
            <w:r>
              <w:rPr>
                <w:i w:val="0"/>
                <w:iCs w:val="0"/>
                <w:color w:val="auto"/>
                <w:kern w:val="0"/>
                <w:sz w:val="21"/>
                <w:szCs w:val="21"/>
                <w:highlight w:val="none"/>
                <w:vertAlign w:val="superscript"/>
                <w:lang w:bidi="ar"/>
              </w:rPr>
              <w:t>3</w:t>
            </w:r>
            <w:r>
              <w:rPr>
                <w:rFonts w:hint="eastAsia"/>
                <w:i w:val="0"/>
                <w:iCs w:val="0"/>
                <w:color w:val="auto"/>
                <w:kern w:val="0"/>
                <w:sz w:val="21"/>
                <w:szCs w:val="21"/>
                <w:highlight w:val="none"/>
                <w:vertAlign w:val="baseline"/>
                <w:lang w:eastAsia="zh-CN" w:bidi="ar"/>
              </w:rPr>
              <w:t>）</w:t>
            </w:r>
          </w:p>
        </w:tc>
        <w:tc>
          <w:tcPr>
            <w:tcW w:w="734" w:type="pct"/>
            <w:noWrap w:val="0"/>
            <w:tcMar>
              <w:top w:w="12" w:type="dxa"/>
              <w:left w:w="12" w:type="dxa"/>
              <w:right w:w="12" w:type="dxa"/>
            </w:tcMar>
            <w:vAlign w:val="center"/>
          </w:tcPr>
          <w:p w14:paraId="2C4EBBD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sz w:val="21"/>
                <w:szCs w:val="21"/>
                <w:highlight w:val="none"/>
                <w:lang w:val="en-US" w:eastAsia="zh-CN"/>
              </w:rPr>
            </w:pPr>
            <w:r>
              <w:rPr>
                <w:rFonts w:hint="eastAsia"/>
                <w:i w:val="0"/>
                <w:iCs w:val="0"/>
                <w:color w:val="auto"/>
                <w:kern w:val="0"/>
                <w:sz w:val="21"/>
                <w:szCs w:val="21"/>
                <w:highlight w:val="none"/>
                <w:lang w:val="en-US" w:eastAsia="zh-CN" w:bidi="ar"/>
              </w:rPr>
              <w:t>37.38</w:t>
            </w:r>
          </w:p>
        </w:tc>
      </w:tr>
      <w:tr w14:paraId="5A002D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676" w:type="pct"/>
            <w:gridSpan w:val="2"/>
            <w:noWrap w:val="0"/>
            <w:tcMar>
              <w:top w:w="12" w:type="dxa"/>
              <w:left w:w="12" w:type="dxa"/>
              <w:right w:w="12" w:type="dxa"/>
            </w:tcMar>
            <w:vAlign w:val="center"/>
          </w:tcPr>
          <w:p w14:paraId="653B3EC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20℃</w:t>
            </w:r>
            <w:r>
              <w:rPr>
                <w:rFonts w:hint="eastAsia" w:ascii="宋体" w:hAnsi="宋体" w:cs="宋体"/>
                <w:i w:val="0"/>
                <w:iCs w:val="0"/>
                <w:color w:val="auto"/>
                <w:kern w:val="0"/>
                <w:sz w:val="21"/>
                <w:szCs w:val="21"/>
                <w:highlight w:val="none"/>
                <w:lang w:bidi="ar"/>
              </w:rPr>
              <w:t>高位沃泊指数（</w:t>
            </w:r>
            <w:r>
              <w:rPr>
                <w:i w:val="0"/>
                <w:iCs w:val="0"/>
                <w:color w:val="auto"/>
                <w:kern w:val="0"/>
                <w:sz w:val="21"/>
                <w:szCs w:val="21"/>
                <w:highlight w:val="none"/>
                <w:lang w:bidi="ar"/>
              </w:rPr>
              <w:t>MJ/m</w:t>
            </w:r>
            <w:r>
              <w:rPr>
                <w:i w:val="0"/>
                <w:iCs w:val="0"/>
                <w:color w:val="auto"/>
                <w:kern w:val="0"/>
                <w:sz w:val="21"/>
                <w:szCs w:val="21"/>
                <w:highlight w:val="none"/>
                <w:vertAlign w:val="superscript"/>
                <w:lang w:bidi="ar"/>
              </w:rPr>
              <w:t>3</w:t>
            </w:r>
            <w:r>
              <w:rPr>
                <w:i w:val="0"/>
                <w:iCs w:val="0"/>
                <w:color w:val="auto"/>
                <w:kern w:val="0"/>
                <w:sz w:val="21"/>
                <w:szCs w:val="21"/>
                <w:highlight w:val="none"/>
                <w:lang w:bidi="ar"/>
              </w:rPr>
              <w:t>）</w:t>
            </w:r>
          </w:p>
        </w:tc>
        <w:tc>
          <w:tcPr>
            <w:tcW w:w="809" w:type="pct"/>
            <w:noWrap w:val="0"/>
            <w:tcMar>
              <w:top w:w="12" w:type="dxa"/>
              <w:left w:w="12" w:type="dxa"/>
              <w:right w:w="12" w:type="dxa"/>
            </w:tcMar>
            <w:vAlign w:val="center"/>
          </w:tcPr>
          <w:p w14:paraId="644521D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47.37</w:t>
            </w:r>
          </w:p>
        </w:tc>
        <w:tc>
          <w:tcPr>
            <w:tcW w:w="1428" w:type="pct"/>
            <w:noWrap w:val="0"/>
            <w:tcMar>
              <w:top w:w="12" w:type="dxa"/>
              <w:left w:w="12" w:type="dxa"/>
              <w:right w:w="12" w:type="dxa"/>
            </w:tcMar>
            <w:vAlign w:val="center"/>
          </w:tcPr>
          <w:p w14:paraId="36A6CAA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20℃</w:t>
            </w:r>
            <w:r>
              <w:rPr>
                <w:rFonts w:hint="eastAsia" w:ascii="宋体" w:hAnsi="宋体" w:cs="宋体"/>
                <w:i w:val="0"/>
                <w:iCs w:val="0"/>
                <w:color w:val="auto"/>
                <w:kern w:val="0"/>
                <w:sz w:val="21"/>
                <w:szCs w:val="21"/>
                <w:highlight w:val="none"/>
                <w:lang w:bidi="ar"/>
              </w:rPr>
              <w:t>低位沃泊指数（</w:t>
            </w:r>
            <w:r>
              <w:rPr>
                <w:i w:val="0"/>
                <w:iCs w:val="0"/>
                <w:color w:val="auto"/>
                <w:kern w:val="0"/>
                <w:sz w:val="21"/>
                <w:szCs w:val="21"/>
                <w:highlight w:val="none"/>
                <w:lang w:bidi="ar"/>
              </w:rPr>
              <w:t>MJ/m</w:t>
            </w:r>
            <w:r>
              <w:rPr>
                <w:i w:val="0"/>
                <w:iCs w:val="0"/>
                <w:color w:val="auto"/>
                <w:kern w:val="0"/>
                <w:sz w:val="21"/>
                <w:szCs w:val="21"/>
                <w:highlight w:val="none"/>
                <w:vertAlign w:val="superscript"/>
                <w:lang w:bidi="ar"/>
              </w:rPr>
              <w:t>3</w:t>
            </w:r>
            <w:r>
              <w:rPr>
                <w:i w:val="0"/>
                <w:iCs w:val="0"/>
                <w:color w:val="auto"/>
                <w:kern w:val="0"/>
                <w:sz w:val="21"/>
                <w:szCs w:val="21"/>
                <w:highlight w:val="none"/>
                <w:lang w:bidi="ar"/>
              </w:rPr>
              <w:t>）</w:t>
            </w:r>
          </w:p>
        </w:tc>
        <w:tc>
          <w:tcPr>
            <w:tcW w:w="1085" w:type="pct"/>
            <w:gridSpan w:val="2"/>
            <w:noWrap w:val="0"/>
            <w:tcMar>
              <w:top w:w="12" w:type="dxa"/>
              <w:left w:w="12" w:type="dxa"/>
              <w:right w:w="12" w:type="dxa"/>
            </w:tcMar>
            <w:vAlign w:val="center"/>
          </w:tcPr>
          <w:p w14:paraId="35F8EB9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sz w:val="21"/>
                <w:szCs w:val="21"/>
                <w:highlight w:val="none"/>
                <w:lang w:val="en-US" w:eastAsia="zh-CN"/>
              </w:rPr>
            </w:pPr>
            <w:r>
              <w:rPr>
                <w:rFonts w:hint="eastAsia"/>
                <w:i w:val="0"/>
                <w:iCs w:val="0"/>
                <w:color w:val="auto"/>
                <w:kern w:val="0"/>
                <w:sz w:val="21"/>
                <w:szCs w:val="21"/>
                <w:highlight w:val="none"/>
                <w:lang w:val="en-US" w:eastAsia="zh-CN" w:bidi="ar"/>
              </w:rPr>
              <w:t>42.96</w:t>
            </w:r>
          </w:p>
        </w:tc>
      </w:tr>
    </w:tbl>
    <w:p w14:paraId="16421F70">
      <w:pPr>
        <w:keepNext w:val="0"/>
        <w:keepLines w:val="0"/>
        <w:pageBreakBefore w:val="0"/>
        <w:widowControl w:val="0"/>
        <w:kinsoku/>
        <w:wordWrap/>
        <w:overflowPunct/>
        <w:topLinePunct w:val="0"/>
        <w:autoSpaceDE/>
        <w:autoSpaceDN/>
        <w:bidi w:val="0"/>
        <w:adjustRightInd/>
        <w:snapToGrid w:val="0"/>
        <w:spacing w:line="240" w:lineRule="auto"/>
        <w:ind w:firstLine="360" w:firstLineChars="200"/>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注：以上数据来自2024年9月18日雄英101井天然气分析报告。</w:t>
      </w:r>
    </w:p>
    <w:p w14:paraId="6C3C9E15">
      <w:pPr>
        <w:pStyle w:val="61"/>
        <w:bidi w:val="0"/>
        <w:jc w:val="both"/>
        <w:rPr>
          <w:rFonts w:hint="eastAsia"/>
          <w:color w:val="auto"/>
        </w:rPr>
      </w:pPr>
      <w:r>
        <w:rPr>
          <w:rFonts w:hint="eastAsia"/>
          <w:color w:val="auto"/>
        </w:rPr>
        <w:t>表</w:t>
      </w:r>
      <w:r>
        <w:rPr>
          <w:rFonts w:hint="eastAsia"/>
          <w:color w:val="auto"/>
          <w:lang w:val="en-US" w:eastAsia="zh-CN"/>
        </w:rPr>
        <w:t>3</w:t>
      </w:r>
      <w:r>
        <w:rPr>
          <w:rFonts w:hint="eastAsia"/>
          <w:color w:val="auto"/>
        </w:rPr>
        <w:t>.2-</w:t>
      </w:r>
      <w:r>
        <w:rPr>
          <w:rFonts w:hint="eastAsia"/>
          <w:color w:val="auto"/>
          <w:lang w:val="en-US" w:eastAsia="zh-CN"/>
        </w:rPr>
        <w:t>3</w:t>
      </w:r>
      <w:r>
        <w:rPr>
          <w:rFonts w:hint="eastAsia"/>
          <w:color w:val="auto"/>
        </w:rPr>
        <w:t xml:space="preserve"> </w:t>
      </w:r>
      <w:r>
        <w:rPr>
          <w:rFonts w:hint="eastAsia"/>
          <w:color w:val="auto"/>
          <w:lang w:val="en-US" w:eastAsia="zh-CN"/>
        </w:rPr>
        <w:t xml:space="preserve">  </w:t>
      </w:r>
      <w:r>
        <w:rPr>
          <w:rFonts w:hint="eastAsia"/>
          <w:color w:val="auto"/>
        </w:rPr>
        <w:t xml:space="preserve"> </w:t>
      </w:r>
      <w:r>
        <w:rPr>
          <w:rFonts w:hint="eastAsia"/>
          <w:color w:val="auto"/>
          <w:lang w:eastAsia="zh-CN"/>
        </w:rPr>
        <w:t>雄英</w:t>
      </w:r>
      <w:r>
        <w:rPr>
          <w:rFonts w:hint="eastAsia"/>
          <w:color w:val="auto"/>
          <w:lang w:val="en-US" w:eastAsia="zh-CN"/>
        </w:rPr>
        <w:t>2井</w:t>
      </w:r>
      <w:r>
        <w:rPr>
          <w:rFonts w:hint="eastAsia"/>
          <w:color w:val="auto"/>
        </w:rPr>
        <w:t>天然气物性表</w:t>
      </w:r>
    </w:p>
    <w:tbl>
      <w:tblPr>
        <w:tblStyle w:val="36"/>
        <w:tblW w:w="498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444"/>
        <w:gridCol w:w="1441"/>
        <w:gridCol w:w="1393"/>
        <w:gridCol w:w="2459"/>
        <w:gridCol w:w="602"/>
        <w:gridCol w:w="1287"/>
      </w:tblGrid>
      <w:tr w14:paraId="040B72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837" w:type="pct"/>
            <w:noWrap w:val="0"/>
            <w:tcMar>
              <w:top w:w="12" w:type="dxa"/>
              <w:left w:w="12" w:type="dxa"/>
              <w:right w:w="12" w:type="dxa"/>
            </w:tcMar>
            <w:vAlign w:val="center"/>
          </w:tcPr>
          <w:p w14:paraId="0B89A74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top"/>
              <w:rPr>
                <w:i w:val="0"/>
                <w:iCs w:val="0"/>
                <w:color w:val="auto"/>
                <w:sz w:val="21"/>
                <w:szCs w:val="21"/>
                <w:highlight w:val="none"/>
              </w:rPr>
            </w:pPr>
            <w:r>
              <w:rPr>
                <w:i w:val="0"/>
                <w:iCs w:val="0"/>
                <w:color w:val="auto"/>
                <w:kern w:val="0"/>
                <w:sz w:val="21"/>
                <w:szCs w:val="21"/>
                <w:highlight w:val="none"/>
                <w:lang w:bidi="ar"/>
              </w:rPr>
              <w:t>组分</w:t>
            </w:r>
          </w:p>
        </w:tc>
        <w:tc>
          <w:tcPr>
            <w:tcW w:w="1642" w:type="pct"/>
            <w:gridSpan w:val="2"/>
            <w:noWrap w:val="0"/>
            <w:tcMar>
              <w:top w:w="12" w:type="dxa"/>
              <w:left w:w="12" w:type="dxa"/>
              <w:right w:w="12" w:type="dxa"/>
            </w:tcMar>
            <w:vAlign w:val="center"/>
          </w:tcPr>
          <w:p w14:paraId="0BAEFD5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top"/>
              <w:rPr>
                <w:i w:val="0"/>
                <w:iCs w:val="0"/>
                <w:color w:val="auto"/>
                <w:sz w:val="21"/>
                <w:szCs w:val="21"/>
                <w:highlight w:val="none"/>
              </w:rPr>
            </w:pPr>
            <w:r>
              <w:rPr>
                <w:i w:val="0"/>
                <w:iCs w:val="0"/>
                <w:color w:val="auto"/>
                <w:kern w:val="0"/>
                <w:sz w:val="21"/>
                <w:szCs w:val="21"/>
                <w:highlight w:val="none"/>
                <w:lang w:bidi="ar"/>
              </w:rPr>
              <w:t>摩尔百分数，%</w:t>
            </w:r>
          </w:p>
        </w:tc>
        <w:tc>
          <w:tcPr>
            <w:tcW w:w="1425" w:type="pct"/>
            <w:noWrap w:val="0"/>
            <w:tcMar>
              <w:top w:w="12" w:type="dxa"/>
              <w:left w:w="12" w:type="dxa"/>
              <w:right w:w="12" w:type="dxa"/>
            </w:tcMar>
            <w:vAlign w:val="center"/>
          </w:tcPr>
          <w:p w14:paraId="17AE9BE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top"/>
              <w:rPr>
                <w:i w:val="0"/>
                <w:iCs w:val="0"/>
                <w:color w:val="auto"/>
                <w:sz w:val="21"/>
                <w:szCs w:val="21"/>
                <w:highlight w:val="none"/>
              </w:rPr>
            </w:pPr>
            <w:r>
              <w:rPr>
                <w:i w:val="0"/>
                <w:iCs w:val="0"/>
                <w:color w:val="auto"/>
                <w:kern w:val="0"/>
                <w:sz w:val="21"/>
                <w:szCs w:val="21"/>
                <w:highlight w:val="none"/>
                <w:lang w:bidi="ar"/>
              </w:rPr>
              <w:t>组分</w:t>
            </w:r>
          </w:p>
        </w:tc>
        <w:tc>
          <w:tcPr>
            <w:tcW w:w="1095" w:type="pct"/>
            <w:gridSpan w:val="2"/>
            <w:noWrap w:val="0"/>
            <w:tcMar>
              <w:top w:w="12" w:type="dxa"/>
              <w:left w:w="12" w:type="dxa"/>
              <w:right w:w="12" w:type="dxa"/>
            </w:tcMar>
            <w:vAlign w:val="center"/>
          </w:tcPr>
          <w:p w14:paraId="04F21CE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top"/>
              <w:rPr>
                <w:i w:val="0"/>
                <w:iCs w:val="0"/>
                <w:color w:val="auto"/>
                <w:sz w:val="21"/>
                <w:szCs w:val="21"/>
                <w:highlight w:val="none"/>
              </w:rPr>
            </w:pPr>
            <w:r>
              <w:rPr>
                <w:i w:val="0"/>
                <w:iCs w:val="0"/>
                <w:color w:val="auto"/>
                <w:kern w:val="0"/>
                <w:sz w:val="21"/>
                <w:szCs w:val="21"/>
                <w:highlight w:val="none"/>
                <w:lang w:bidi="ar"/>
              </w:rPr>
              <w:t>摩尔百分数，%</w:t>
            </w:r>
          </w:p>
        </w:tc>
      </w:tr>
      <w:tr w14:paraId="4D68F0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837" w:type="pct"/>
            <w:noWrap w:val="0"/>
            <w:tcMar>
              <w:top w:w="12" w:type="dxa"/>
              <w:left w:w="12" w:type="dxa"/>
              <w:right w:w="12" w:type="dxa"/>
            </w:tcMar>
            <w:vAlign w:val="center"/>
          </w:tcPr>
          <w:p w14:paraId="618959C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甲烷</w:t>
            </w:r>
          </w:p>
        </w:tc>
        <w:tc>
          <w:tcPr>
            <w:tcW w:w="1642" w:type="pct"/>
            <w:gridSpan w:val="2"/>
            <w:noWrap w:val="0"/>
            <w:tcMar>
              <w:top w:w="12" w:type="dxa"/>
              <w:left w:w="12" w:type="dxa"/>
              <w:right w:w="12" w:type="dxa"/>
            </w:tcMar>
            <w:vAlign w:val="center"/>
          </w:tcPr>
          <w:p w14:paraId="6E803BC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60.7</w:t>
            </w:r>
          </w:p>
        </w:tc>
        <w:tc>
          <w:tcPr>
            <w:tcW w:w="1425" w:type="pct"/>
            <w:noWrap w:val="0"/>
            <w:tcMar>
              <w:top w:w="12" w:type="dxa"/>
              <w:left w:w="12" w:type="dxa"/>
              <w:right w:w="12" w:type="dxa"/>
            </w:tcMar>
            <w:vAlign w:val="center"/>
          </w:tcPr>
          <w:p w14:paraId="53B0B21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辛烷及更重组分</w:t>
            </w:r>
          </w:p>
        </w:tc>
        <w:tc>
          <w:tcPr>
            <w:tcW w:w="1095" w:type="pct"/>
            <w:gridSpan w:val="2"/>
            <w:noWrap w:val="0"/>
            <w:tcMar>
              <w:top w:w="12" w:type="dxa"/>
              <w:left w:w="12" w:type="dxa"/>
              <w:right w:w="12" w:type="dxa"/>
            </w:tcMar>
            <w:vAlign w:val="center"/>
          </w:tcPr>
          <w:p w14:paraId="1832060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0.00483</w:t>
            </w:r>
          </w:p>
        </w:tc>
      </w:tr>
      <w:tr w14:paraId="34FDDF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837" w:type="pct"/>
            <w:noWrap w:val="0"/>
            <w:tcMar>
              <w:top w:w="12" w:type="dxa"/>
              <w:left w:w="12" w:type="dxa"/>
              <w:right w:w="12" w:type="dxa"/>
            </w:tcMar>
            <w:vAlign w:val="center"/>
          </w:tcPr>
          <w:p w14:paraId="63D10DE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乙烷</w:t>
            </w:r>
          </w:p>
        </w:tc>
        <w:tc>
          <w:tcPr>
            <w:tcW w:w="1642" w:type="pct"/>
            <w:gridSpan w:val="2"/>
            <w:noWrap w:val="0"/>
            <w:tcMar>
              <w:top w:w="12" w:type="dxa"/>
              <w:left w:w="12" w:type="dxa"/>
              <w:right w:w="12" w:type="dxa"/>
            </w:tcMar>
            <w:vAlign w:val="center"/>
          </w:tcPr>
          <w:p w14:paraId="77F3626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16.7</w:t>
            </w:r>
          </w:p>
        </w:tc>
        <w:tc>
          <w:tcPr>
            <w:tcW w:w="1425" w:type="pct"/>
            <w:noWrap w:val="0"/>
            <w:tcMar>
              <w:top w:w="12" w:type="dxa"/>
              <w:left w:w="12" w:type="dxa"/>
              <w:right w:w="12" w:type="dxa"/>
            </w:tcMar>
            <w:vAlign w:val="center"/>
          </w:tcPr>
          <w:p w14:paraId="5C56B58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氮气</w:t>
            </w:r>
          </w:p>
        </w:tc>
        <w:tc>
          <w:tcPr>
            <w:tcW w:w="1095" w:type="pct"/>
            <w:gridSpan w:val="2"/>
            <w:noWrap w:val="0"/>
            <w:tcMar>
              <w:top w:w="12" w:type="dxa"/>
              <w:left w:w="12" w:type="dxa"/>
              <w:right w:w="12" w:type="dxa"/>
            </w:tcMar>
            <w:vAlign w:val="center"/>
          </w:tcPr>
          <w:p w14:paraId="635DBD6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3.43</w:t>
            </w:r>
          </w:p>
        </w:tc>
      </w:tr>
      <w:tr w14:paraId="036DA6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837" w:type="pct"/>
            <w:noWrap w:val="0"/>
            <w:tcMar>
              <w:top w:w="12" w:type="dxa"/>
              <w:left w:w="12" w:type="dxa"/>
              <w:right w:w="12" w:type="dxa"/>
            </w:tcMar>
            <w:vAlign w:val="center"/>
          </w:tcPr>
          <w:p w14:paraId="62FFAD6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丙烷</w:t>
            </w:r>
          </w:p>
        </w:tc>
        <w:tc>
          <w:tcPr>
            <w:tcW w:w="1642" w:type="pct"/>
            <w:gridSpan w:val="2"/>
            <w:noWrap w:val="0"/>
            <w:tcMar>
              <w:top w:w="12" w:type="dxa"/>
              <w:left w:w="12" w:type="dxa"/>
              <w:right w:w="12" w:type="dxa"/>
            </w:tcMar>
            <w:vAlign w:val="center"/>
          </w:tcPr>
          <w:p w14:paraId="500EB80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8.24</w:t>
            </w:r>
          </w:p>
        </w:tc>
        <w:tc>
          <w:tcPr>
            <w:tcW w:w="1425" w:type="pct"/>
            <w:noWrap w:val="0"/>
            <w:tcMar>
              <w:top w:w="12" w:type="dxa"/>
              <w:left w:w="12" w:type="dxa"/>
              <w:right w:w="12" w:type="dxa"/>
            </w:tcMar>
            <w:vAlign w:val="center"/>
          </w:tcPr>
          <w:p w14:paraId="2DF64DC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氧气</w:t>
            </w:r>
          </w:p>
        </w:tc>
        <w:tc>
          <w:tcPr>
            <w:tcW w:w="1095" w:type="pct"/>
            <w:gridSpan w:val="2"/>
            <w:noWrap w:val="0"/>
            <w:tcMar>
              <w:top w:w="12" w:type="dxa"/>
              <w:left w:w="12" w:type="dxa"/>
              <w:right w:w="12" w:type="dxa"/>
            </w:tcMar>
            <w:vAlign w:val="center"/>
          </w:tcPr>
          <w:p w14:paraId="07A6366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0</w:t>
            </w:r>
          </w:p>
        </w:tc>
      </w:tr>
      <w:tr w14:paraId="416B70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837" w:type="pct"/>
            <w:noWrap w:val="0"/>
            <w:tcMar>
              <w:top w:w="12" w:type="dxa"/>
              <w:left w:w="12" w:type="dxa"/>
              <w:right w:w="12" w:type="dxa"/>
            </w:tcMar>
            <w:vAlign w:val="center"/>
          </w:tcPr>
          <w:p w14:paraId="7B03A9A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异丁烷</w:t>
            </w:r>
          </w:p>
        </w:tc>
        <w:tc>
          <w:tcPr>
            <w:tcW w:w="1642" w:type="pct"/>
            <w:gridSpan w:val="2"/>
            <w:noWrap w:val="0"/>
            <w:tcMar>
              <w:top w:w="12" w:type="dxa"/>
              <w:left w:w="12" w:type="dxa"/>
              <w:right w:w="12" w:type="dxa"/>
            </w:tcMar>
            <w:vAlign w:val="center"/>
          </w:tcPr>
          <w:p w14:paraId="06543FA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1.27</w:t>
            </w:r>
          </w:p>
        </w:tc>
        <w:tc>
          <w:tcPr>
            <w:tcW w:w="1425" w:type="pct"/>
            <w:noWrap w:val="0"/>
            <w:tcMar>
              <w:top w:w="12" w:type="dxa"/>
              <w:left w:w="12" w:type="dxa"/>
              <w:right w:w="12" w:type="dxa"/>
            </w:tcMar>
            <w:vAlign w:val="center"/>
          </w:tcPr>
          <w:p w14:paraId="63E0750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二氧化碳</w:t>
            </w:r>
          </w:p>
        </w:tc>
        <w:tc>
          <w:tcPr>
            <w:tcW w:w="1095" w:type="pct"/>
            <w:gridSpan w:val="2"/>
            <w:noWrap w:val="0"/>
            <w:tcMar>
              <w:top w:w="12" w:type="dxa"/>
              <w:left w:w="12" w:type="dxa"/>
              <w:right w:w="12" w:type="dxa"/>
            </w:tcMar>
            <w:vAlign w:val="center"/>
          </w:tcPr>
          <w:p w14:paraId="5324F79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5.23</w:t>
            </w:r>
          </w:p>
        </w:tc>
      </w:tr>
      <w:tr w14:paraId="4950F5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837" w:type="pct"/>
            <w:noWrap w:val="0"/>
            <w:tcMar>
              <w:top w:w="12" w:type="dxa"/>
              <w:left w:w="12" w:type="dxa"/>
              <w:right w:w="12" w:type="dxa"/>
            </w:tcMar>
            <w:vAlign w:val="center"/>
          </w:tcPr>
          <w:p w14:paraId="03C8DCB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正丁烷</w:t>
            </w:r>
          </w:p>
        </w:tc>
        <w:tc>
          <w:tcPr>
            <w:tcW w:w="1642" w:type="pct"/>
            <w:gridSpan w:val="2"/>
            <w:noWrap w:val="0"/>
            <w:tcMar>
              <w:top w:w="12" w:type="dxa"/>
              <w:left w:w="12" w:type="dxa"/>
              <w:right w:w="12" w:type="dxa"/>
            </w:tcMar>
            <w:vAlign w:val="center"/>
          </w:tcPr>
          <w:p w14:paraId="39CB1D0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2.8</w:t>
            </w:r>
          </w:p>
        </w:tc>
        <w:tc>
          <w:tcPr>
            <w:tcW w:w="1425" w:type="pct"/>
            <w:noWrap w:val="0"/>
            <w:tcMar>
              <w:top w:w="12" w:type="dxa"/>
              <w:left w:w="12" w:type="dxa"/>
              <w:right w:w="12" w:type="dxa"/>
            </w:tcMar>
            <w:vAlign w:val="center"/>
          </w:tcPr>
          <w:p w14:paraId="26429AE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硫化氢</w:t>
            </w:r>
          </w:p>
        </w:tc>
        <w:tc>
          <w:tcPr>
            <w:tcW w:w="1095" w:type="pct"/>
            <w:gridSpan w:val="2"/>
            <w:noWrap w:val="0"/>
            <w:tcMar>
              <w:top w:w="12" w:type="dxa"/>
              <w:left w:w="12" w:type="dxa"/>
              <w:right w:w="12" w:type="dxa"/>
            </w:tcMar>
            <w:vAlign w:val="center"/>
          </w:tcPr>
          <w:p w14:paraId="46E81A3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0</w:t>
            </w:r>
          </w:p>
        </w:tc>
      </w:tr>
      <w:tr w14:paraId="1266BB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837" w:type="pct"/>
            <w:noWrap w:val="0"/>
            <w:tcMar>
              <w:top w:w="12" w:type="dxa"/>
              <w:left w:w="12" w:type="dxa"/>
              <w:right w:w="12" w:type="dxa"/>
            </w:tcMar>
            <w:vAlign w:val="center"/>
          </w:tcPr>
          <w:p w14:paraId="41660EC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异戊烷</w:t>
            </w:r>
          </w:p>
        </w:tc>
        <w:tc>
          <w:tcPr>
            <w:tcW w:w="1642" w:type="pct"/>
            <w:gridSpan w:val="2"/>
            <w:noWrap w:val="0"/>
            <w:tcMar>
              <w:top w:w="12" w:type="dxa"/>
              <w:left w:w="12" w:type="dxa"/>
              <w:right w:w="12" w:type="dxa"/>
            </w:tcMar>
            <w:vAlign w:val="center"/>
          </w:tcPr>
          <w:p w14:paraId="5161BF7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0.542</w:t>
            </w:r>
          </w:p>
        </w:tc>
        <w:tc>
          <w:tcPr>
            <w:tcW w:w="1425" w:type="pct"/>
            <w:noWrap w:val="0"/>
            <w:tcMar>
              <w:top w:w="12" w:type="dxa"/>
              <w:left w:w="12" w:type="dxa"/>
              <w:right w:w="12" w:type="dxa"/>
            </w:tcMar>
            <w:vAlign w:val="center"/>
          </w:tcPr>
          <w:p w14:paraId="562A631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氢气</w:t>
            </w:r>
          </w:p>
        </w:tc>
        <w:tc>
          <w:tcPr>
            <w:tcW w:w="1095" w:type="pct"/>
            <w:gridSpan w:val="2"/>
            <w:noWrap w:val="0"/>
            <w:tcMar>
              <w:top w:w="12" w:type="dxa"/>
              <w:left w:w="12" w:type="dxa"/>
              <w:right w:w="12" w:type="dxa"/>
            </w:tcMar>
            <w:vAlign w:val="center"/>
          </w:tcPr>
          <w:p w14:paraId="59FABDC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i w:val="0"/>
                <w:iCs w:val="0"/>
                <w:color w:val="auto"/>
                <w:kern w:val="0"/>
                <w:sz w:val="21"/>
                <w:szCs w:val="21"/>
                <w:highlight w:val="none"/>
                <w:lang w:bidi="ar"/>
              </w:rPr>
            </w:pPr>
            <w:r>
              <w:rPr>
                <w:rFonts w:hint="eastAsia"/>
                <w:i w:val="0"/>
                <w:iCs w:val="0"/>
                <w:color w:val="auto"/>
                <w:kern w:val="0"/>
                <w:sz w:val="21"/>
                <w:szCs w:val="21"/>
                <w:highlight w:val="none"/>
                <w:lang w:bidi="ar"/>
              </w:rPr>
              <w:t>/</w:t>
            </w:r>
          </w:p>
        </w:tc>
      </w:tr>
      <w:tr w14:paraId="2CECA3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837" w:type="pct"/>
            <w:noWrap w:val="0"/>
            <w:tcMar>
              <w:top w:w="12" w:type="dxa"/>
              <w:left w:w="12" w:type="dxa"/>
              <w:right w:w="12" w:type="dxa"/>
            </w:tcMar>
            <w:vAlign w:val="center"/>
          </w:tcPr>
          <w:p w14:paraId="4F6FD50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正戊烷</w:t>
            </w:r>
          </w:p>
        </w:tc>
        <w:tc>
          <w:tcPr>
            <w:tcW w:w="1642" w:type="pct"/>
            <w:gridSpan w:val="2"/>
            <w:noWrap w:val="0"/>
            <w:tcMar>
              <w:top w:w="12" w:type="dxa"/>
              <w:left w:w="12" w:type="dxa"/>
              <w:right w:w="12" w:type="dxa"/>
            </w:tcMar>
            <w:vAlign w:val="center"/>
          </w:tcPr>
          <w:p w14:paraId="4F6229A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0.713</w:t>
            </w:r>
          </w:p>
        </w:tc>
        <w:tc>
          <w:tcPr>
            <w:tcW w:w="1425" w:type="pct"/>
            <w:noWrap w:val="0"/>
            <w:tcMar>
              <w:top w:w="12" w:type="dxa"/>
              <w:left w:w="12" w:type="dxa"/>
              <w:right w:w="12" w:type="dxa"/>
            </w:tcMar>
            <w:vAlign w:val="center"/>
          </w:tcPr>
          <w:p w14:paraId="1CE65DE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氦气</w:t>
            </w:r>
          </w:p>
        </w:tc>
        <w:tc>
          <w:tcPr>
            <w:tcW w:w="1095" w:type="pct"/>
            <w:gridSpan w:val="2"/>
            <w:noWrap w:val="0"/>
            <w:tcMar>
              <w:top w:w="12" w:type="dxa"/>
              <w:left w:w="12" w:type="dxa"/>
              <w:right w:w="12" w:type="dxa"/>
            </w:tcMar>
            <w:vAlign w:val="center"/>
          </w:tcPr>
          <w:p w14:paraId="0B375CE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0.0247</w:t>
            </w:r>
          </w:p>
        </w:tc>
      </w:tr>
      <w:tr w14:paraId="2C1F3F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837" w:type="pct"/>
            <w:noWrap w:val="0"/>
            <w:tcMar>
              <w:top w:w="12" w:type="dxa"/>
              <w:left w:w="12" w:type="dxa"/>
              <w:right w:w="12" w:type="dxa"/>
            </w:tcMar>
            <w:vAlign w:val="center"/>
          </w:tcPr>
          <w:p w14:paraId="3B9061F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己烷</w:t>
            </w:r>
          </w:p>
        </w:tc>
        <w:tc>
          <w:tcPr>
            <w:tcW w:w="1642" w:type="pct"/>
            <w:gridSpan w:val="2"/>
            <w:noWrap w:val="0"/>
            <w:tcMar>
              <w:top w:w="12" w:type="dxa"/>
              <w:left w:w="12" w:type="dxa"/>
              <w:right w:w="12" w:type="dxa"/>
            </w:tcMar>
            <w:vAlign w:val="center"/>
          </w:tcPr>
          <w:p w14:paraId="3E8516A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0.305</w:t>
            </w:r>
          </w:p>
        </w:tc>
        <w:tc>
          <w:tcPr>
            <w:tcW w:w="1425" w:type="pct"/>
            <w:noWrap w:val="0"/>
            <w:tcMar>
              <w:top w:w="12" w:type="dxa"/>
              <w:left w:w="12" w:type="dxa"/>
              <w:right w:w="12" w:type="dxa"/>
            </w:tcMar>
            <w:vAlign w:val="center"/>
          </w:tcPr>
          <w:p w14:paraId="2B30FF0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取样含空气</w:t>
            </w:r>
          </w:p>
        </w:tc>
        <w:tc>
          <w:tcPr>
            <w:tcW w:w="1095" w:type="pct"/>
            <w:gridSpan w:val="2"/>
            <w:noWrap w:val="0"/>
            <w:tcMar>
              <w:top w:w="12" w:type="dxa"/>
              <w:left w:w="12" w:type="dxa"/>
              <w:right w:w="12" w:type="dxa"/>
            </w:tcMar>
            <w:vAlign w:val="center"/>
          </w:tcPr>
          <w:p w14:paraId="0A3D59B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0.933</w:t>
            </w:r>
          </w:p>
        </w:tc>
      </w:tr>
      <w:tr w14:paraId="56602C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837" w:type="pct"/>
            <w:noWrap w:val="0"/>
            <w:tcMar>
              <w:top w:w="12" w:type="dxa"/>
              <w:left w:w="12" w:type="dxa"/>
              <w:right w:w="12" w:type="dxa"/>
            </w:tcMar>
            <w:vAlign w:val="center"/>
          </w:tcPr>
          <w:p w14:paraId="15CC658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庚烷</w:t>
            </w:r>
          </w:p>
        </w:tc>
        <w:tc>
          <w:tcPr>
            <w:tcW w:w="1642" w:type="pct"/>
            <w:gridSpan w:val="2"/>
            <w:noWrap w:val="0"/>
            <w:tcMar>
              <w:top w:w="12" w:type="dxa"/>
              <w:left w:w="12" w:type="dxa"/>
              <w:right w:w="12" w:type="dxa"/>
            </w:tcMar>
            <w:vAlign w:val="center"/>
          </w:tcPr>
          <w:p w14:paraId="0532E59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0.0508</w:t>
            </w:r>
          </w:p>
        </w:tc>
        <w:tc>
          <w:tcPr>
            <w:tcW w:w="1425" w:type="pct"/>
            <w:noWrap w:val="0"/>
            <w:tcMar>
              <w:top w:w="12" w:type="dxa"/>
              <w:left w:w="12" w:type="dxa"/>
              <w:right w:w="12" w:type="dxa"/>
            </w:tcMar>
            <w:vAlign w:val="center"/>
          </w:tcPr>
          <w:p w14:paraId="3D95034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w:t>
            </w:r>
          </w:p>
        </w:tc>
        <w:tc>
          <w:tcPr>
            <w:tcW w:w="1095" w:type="pct"/>
            <w:gridSpan w:val="2"/>
            <w:noWrap w:val="0"/>
            <w:tcMar>
              <w:top w:w="12" w:type="dxa"/>
              <w:left w:w="12" w:type="dxa"/>
              <w:right w:w="12" w:type="dxa"/>
            </w:tcMar>
            <w:vAlign w:val="center"/>
          </w:tcPr>
          <w:p w14:paraId="1F335F9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i w:val="0"/>
                <w:iCs w:val="0"/>
                <w:color w:val="auto"/>
                <w:kern w:val="0"/>
                <w:sz w:val="21"/>
                <w:szCs w:val="21"/>
                <w:highlight w:val="none"/>
                <w:lang w:bidi="ar"/>
              </w:rPr>
            </w:pPr>
            <w:r>
              <w:rPr>
                <w:rFonts w:hint="eastAsia"/>
                <w:i w:val="0"/>
                <w:iCs w:val="0"/>
                <w:color w:val="auto"/>
                <w:kern w:val="0"/>
                <w:sz w:val="21"/>
                <w:szCs w:val="21"/>
                <w:highlight w:val="none"/>
                <w:lang w:bidi="ar"/>
              </w:rPr>
              <w:t>/</w:t>
            </w:r>
          </w:p>
        </w:tc>
      </w:tr>
      <w:tr w14:paraId="366AD3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672" w:type="pct"/>
            <w:gridSpan w:val="2"/>
            <w:noWrap w:val="0"/>
            <w:tcMar>
              <w:top w:w="12" w:type="dxa"/>
              <w:left w:w="12" w:type="dxa"/>
              <w:right w:w="12" w:type="dxa"/>
            </w:tcMar>
            <w:vAlign w:val="center"/>
          </w:tcPr>
          <w:p w14:paraId="4F647E1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硫化氢/(mg/m</w:t>
            </w:r>
            <w:r>
              <w:rPr>
                <w:i w:val="0"/>
                <w:iCs w:val="0"/>
                <w:color w:val="auto"/>
                <w:kern w:val="0"/>
                <w:sz w:val="21"/>
                <w:szCs w:val="21"/>
                <w:highlight w:val="none"/>
                <w:vertAlign w:val="superscript"/>
                <w:lang w:bidi="ar"/>
              </w:rPr>
              <w:t>3</w:t>
            </w:r>
            <w:r>
              <w:rPr>
                <w:i w:val="0"/>
                <w:iCs w:val="0"/>
                <w:color w:val="auto"/>
                <w:kern w:val="0"/>
                <w:sz w:val="21"/>
                <w:szCs w:val="21"/>
                <w:highlight w:val="none"/>
                <w:lang w:bidi="ar"/>
              </w:rPr>
              <w:t>)</w:t>
            </w:r>
          </w:p>
        </w:tc>
        <w:tc>
          <w:tcPr>
            <w:tcW w:w="807" w:type="pct"/>
            <w:noWrap w:val="0"/>
            <w:tcMar>
              <w:top w:w="12" w:type="dxa"/>
              <w:left w:w="12" w:type="dxa"/>
              <w:right w:w="12" w:type="dxa"/>
            </w:tcMar>
            <w:vAlign w:val="center"/>
          </w:tcPr>
          <w:p w14:paraId="70369F1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eastAsia="宋体"/>
                <w:i w:val="0"/>
                <w:iCs w:val="0"/>
                <w:color w:val="auto"/>
                <w:sz w:val="21"/>
                <w:szCs w:val="21"/>
                <w:highlight w:val="none"/>
                <w:lang w:eastAsia="zh-CN"/>
              </w:rPr>
            </w:pPr>
            <w:r>
              <w:rPr>
                <w:rFonts w:hint="eastAsia"/>
                <w:i w:val="0"/>
                <w:iCs w:val="0"/>
                <w:color w:val="auto"/>
                <w:sz w:val="21"/>
                <w:szCs w:val="21"/>
                <w:highlight w:val="none"/>
                <w:lang w:val="en-US" w:eastAsia="zh-CN"/>
              </w:rPr>
              <w:t>0</w:t>
            </w:r>
          </w:p>
        </w:tc>
        <w:tc>
          <w:tcPr>
            <w:tcW w:w="1774" w:type="pct"/>
            <w:gridSpan w:val="2"/>
            <w:noWrap w:val="0"/>
            <w:tcMar>
              <w:top w:w="12" w:type="dxa"/>
              <w:left w:w="12" w:type="dxa"/>
              <w:right w:w="12" w:type="dxa"/>
            </w:tcMar>
            <w:vAlign w:val="center"/>
          </w:tcPr>
          <w:p w14:paraId="259E0A3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甲硫醇/(mg/m</w:t>
            </w:r>
            <w:r>
              <w:rPr>
                <w:i w:val="0"/>
                <w:iCs w:val="0"/>
                <w:color w:val="auto"/>
                <w:kern w:val="0"/>
                <w:sz w:val="21"/>
                <w:szCs w:val="21"/>
                <w:highlight w:val="none"/>
                <w:vertAlign w:val="superscript"/>
                <w:lang w:bidi="ar"/>
              </w:rPr>
              <w:t>3</w:t>
            </w:r>
            <w:r>
              <w:rPr>
                <w:i w:val="0"/>
                <w:iCs w:val="0"/>
                <w:color w:val="auto"/>
                <w:kern w:val="0"/>
                <w:sz w:val="21"/>
                <w:szCs w:val="21"/>
                <w:highlight w:val="none"/>
                <w:lang w:bidi="ar"/>
              </w:rPr>
              <w:t>)</w:t>
            </w:r>
          </w:p>
        </w:tc>
        <w:tc>
          <w:tcPr>
            <w:tcW w:w="745" w:type="pct"/>
            <w:noWrap w:val="0"/>
            <w:tcMar>
              <w:top w:w="12" w:type="dxa"/>
              <w:left w:w="12" w:type="dxa"/>
              <w:right w:w="12" w:type="dxa"/>
            </w:tcMar>
            <w:vAlign w:val="center"/>
          </w:tcPr>
          <w:p w14:paraId="4DDC3B5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w:t>
            </w:r>
          </w:p>
        </w:tc>
      </w:tr>
      <w:tr w14:paraId="71EC16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672" w:type="pct"/>
            <w:gridSpan w:val="2"/>
            <w:noWrap w:val="0"/>
            <w:tcMar>
              <w:top w:w="12" w:type="dxa"/>
              <w:left w:w="12" w:type="dxa"/>
              <w:right w:w="12" w:type="dxa"/>
            </w:tcMar>
            <w:vAlign w:val="center"/>
          </w:tcPr>
          <w:p w14:paraId="2FD6B73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总硫</w:t>
            </w:r>
            <w:r>
              <w:rPr>
                <w:rFonts w:hint="eastAsia"/>
                <w:i w:val="0"/>
                <w:iCs w:val="0"/>
                <w:color w:val="auto"/>
                <w:kern w:val="0"/>
                <w:sz w:val="21"/>
                <w:szCs w:val="21"/>
                <w:highlight w:val="none"/>
                <w:lang w:eastAsia="zh-CN" w:bidi="ar"/>
              </w:rPr>
              <w:t>（</w:t>
            </w:r>
            <w:r>
              <w:rPr>
                <w:rFonts w:hint="eastAsia" w:ascii="宋体" w:hAnsi="宋体" w:cs="宋体"/>
                <w:i w:val="0"/>
                <w:iCs w:val="0"/>
                <w:color w:val="auto"/>
                <w:kern w:val="0"/>
                <w:sz w:val="21"/>
                <w:szCs w:val="21"/>
                <w:highlight w:val="none"/>
                <w:lang w:bidi="ar"/>
              </w:rPr>
              <w:t>以硫计</w:t>
            </w:r>
            <w:r>
              <w:rPr>
                <w:rFonts w:hint="eastAsia" w:ascii="宋体" w:hAnsi="宋体" w:cs="宋体"/>
                <w:i w:val="0"/>
                <w:iCs w:val="0"/>
                <w:color w:val="auto"/>
                <w:kern w:val="0"/>
                <w:sz w:val="21"/>
                <w:szCs w:val="21"/>
                <w:highlight w:val="none"/>
                <w:lang w:eastAsia="zh-CN" w:bidi="ar"/>
              </w:rPr>
              <w:t>）</w:t>
            </w:r>
            <w:r>
              <w:rPr>
                <w:i w:val="0"/>
                <w:iCs w:val="0"/>
                <w:color w:val="auto"/>
                <w:kern w:val="0"/>
                <w:sz w:val="21"/>
                <w:szCs w:val="21"/>
                <w:highlight w:val="none"/>
                <w:lang w:bidi="ar"/>
              </w:rPr>
              <w:t>/(mg/m</w:t>
            </w:r>
            <w:r>
              <w:rPr>
                <w:i w:val="0"/>
                <w:iCs w:val="0"/>
                <w:color w:val="auto"/>
                <w:kern w:val="0"/>
                <w:sz w:val="21"/>
                <w:szCs w:val="21"/>
                <w:highlight w:val="none"/>
                <w:vertAlign w:val="superscript"/>
                <w:lang w:bidi="ar"/>
              </w:rPr>
              <w:t>3</w:t>
            </w:r>
            <w:r>
              <w:rPr>
                <w:i w:val="0"/>
                <w:iCs w:val="0"/>
                <w:color w:val="auto"/>
                <w:kern w:val="0"/>
                <w:sz w:val="21"/>
                <w:szCs w:val="21"/>
                <w:highlight w:val="none"/>
                <w:lang w:bidi="ar"/>
              </w:rPr>
              <w:t>)</w:t>
            </w:r>
          </w:p>
        </w:tc>
        <w:tc>
          <w:tcPr>
            <w:tcW w:w="807" w:type="pct"/>
            <w:noWrap w:val="0"/>
            <w:tcMar>
              <w:top w:w="12" w:type="dxa"/>
              <w:left w:w="12" w:type="dxa"/>
              <w:right w:w="12" w:type="dxa"/>
            </w:tcMar>
            <w:vAlign w:val="center"/>
          </w:tcPr>
          <w:p w14:paraId="55F8C3A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w:t>
            </w:r>
          </w:p>
        </w:tc>
        <w:tc>
          <w:tcPr>
            <w:tcW w:w="1774" w:type="pct"/>
            <w:gridSpan w:val="2"/>
            <w:noWrap w:val="0"/>
            <w:tcMar>
              <w:top w:w="12" w:type="dxa"/>
              <w:left w:w="12" w:type="dxa"/>
              <w:right w:w="12" w:type="dxa"/>
            </w:tcMar>
            <w:vAlign w:val="center"/>
          </w:tcPr>
          <w:p w14:paraId="6017AF6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羰基硫/(mg/m</w:t>
            </w:r>
            <w:r>
              <w:rPr>
                <w:i w:val="0"/>
                <w:iCs w:val="0"/>
                <w:color w:val="auto"/>
                <w:kern w:val="0"/>
                <w:sz w:val="21"/>
                <w:szCs w:val="21"/>
                <w:highlight w:val="none"/>
                <w:vertAlign w:val="superscript"/>
                <w:lang w:bidi="ar"/>
              </w:rPr>
              <w:t>3</w:t>
            </w:r>
            <w:r>
              <w:rPr>
                <w:i w:val="0"/>
                <w:iCs w:val="0"/>
                <w:color w:val="auto"/>
                <w:kern w:val="0"/>
                <w:sz w:val="21"/>
                <w:szCs w:val="21"/>
                <w:highlight w:val="none"/>
                <w:lang w:bidi="ar"/>
              </w:rPr>
              <w:t>)</w:t>
            </w:r>
          </w:p>
        </w:tc>
        <w:tc>
          <w:tcPr>
            <w:tcW w:w="745" w:type="pct"/>
            <w:noWrap w:val="0"/>
            <w:tcMar>
              <w:top w:w="12" w:type="dxa"/>
              <w:left w:w="12" w:type="dxa"/>
              <w:right w:w="12" w:type="dxa"/>
            </w:tcMar>
            <w:vAlign w:val="center"/>
          </w:tcPr>
          <w:p w14:paraId="6D4CCBE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w:t>
            </w:r>
          </w:p>
        </w:tc>
      </w:tr>
      <w:tr w14:paraId="78BFF0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672" w:type="pct"/>
            <w:gridSpan w:val="2"/>
            <w:noWrap w:val="0"/>
            <w:tcMar>
              <w:top w:w="12" w:type="dxa"/>
              <w:left w:w="12" w:type="dxa"/>
              <w:right w:w="12" w:type="dxa"/>
            </w:tcMar>
            <w:vAlign w:val="center"/>
          </w:tcPr>
          <w:p w14:paraId="71AE708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水露点/℃</w:t>
            </w:r>
          </w:p>
        </w:tc>
        <w:tc>
          <w:tcPr>
            <w:tcW w:w="807" w:type="pct"/>
            <w:noWrap w:val="0"/>
            <w:tcMar>
              <w:top w:w="12" w:type="dxa"/>
              <w:left w:w="12" w:type="dxa"/>
              <w:right w:w="12" w:type="dxa"/>
            </w:tcMar>
            <w:vAlign w:val="center"/>
          </w:tcPr>
          <w:p w14:paraId="0462AF1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w:t>
            </w:r>
          </w:p>
        </w:tc>
        <w:tc>
          <w:tcPr>
            <w:tcW w:w="1774" w:type="pct"/>
            <w:gridSpan w:val="2"/>
            <w:noWrap w:val="0"/>
            <w:tcMar>
              <w:top w:w="12" w:type="dxa"/>
              <w:left w:w="12" w:type="dxa"/>
              <w:right w:w="12" w:type="dxa"/>
            </w:tcMar>
            <w:vAlign w:val="center"/>
          </w:tcPr>
          <w:p w14:paraId="3CA2FE4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二氧化硫/(mg/m</w:t>
            </w:r>
            <w:r>
              <w:rPr>
                <w:i w:val="0"/>
                <w:iCs w:val="0"/>
                <w:color w:val="auto"/>
                <w:kern w:val="0"/>
                <w:sz w:val="21"/>
                <w:szCs w:val="21"/>
                <w:highlight w:val="none"/>
                <w:vertAlign w:val="superscript"/>
                <w:lang w:bidi="ar"/>
              </w:rPr>
              <w:t>3</w:t>
            </w:r>
            <w:r>
              <w:rPr>
                <w:i w:val="0"/>
                <w:iCs w:val="0"/>
                <w:color w:val="auto"/>
                <w:kern w:val="0"/>
                <w:sz w:val="21"/>
                <w:szCs w:val="21"/>
                <w:highlight w:val="none"/>
                <w:lang w:bidi="ar"/>
              </w:rPr>
              <w:t>)</w:t>
            </w:r>
          </w:p>
        </w:tc>
        <w:tc>
          <w:tcPr>
            <w:tcW w:w="745" w:type="pct"/>
            <w:noWrap w:val="0"/>
            <w:tcMar>
              <w:top w:w="12" w:type="dxa"/>
              <w:left w:w="12" w:type="dxa"/>
              <w:right w:w="12" w:type="dxa"/>
            </w:tcMar>
            <w:vAlign w:val="center"/>
          </w:tcPr>
          <w:p w14:paraId="059CB0F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w:t>
            </w:r>
          </w:p>
        </w:tc>
      </w:tr>
      <w:tr w14:paraId="7A6C20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672" w:type="pct"/>
            <w:gridSpan w:val="2"/>
            <w:noWrap w:val="0"/>
            <w:tcMar>
              <w:top w:w="12" w:type="dxa"/>
              <w:left w:w="12" w:type="dxa"/>
              <w:right w:w="12" w:type="dxa"/>
            </w:tcMar>
            <w:vAlign w:val="center"/>
          </w:tcPr>
          <w:p w14:paraId="2A0129A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汞含量/(μg/m</w:t>
            </w:r>
            <w:r>
              <w:rPr>
                <w:i w:val="0"/>
                <w:iCs w:val="0"/>
                <w:color w:val="auto"/>
                <w:kern w:val="0"/>
                <w:sz w:val="21"/>
                <w:szCs w:val="21"/>
                <w:highlight w:val="none"/>
                <w:vertAlign w:val="superscript"/>
                <w:lang w:bidi="ar"/>
              </w:rPr>
              <w:t>3</w:t>
            </w:r>
            <w:r>
              <w:rPr>
                <w:i w:val="0"/>
                <w:iCs w:val="0"/>
                <w:color w:val="auto"/>
                <w:kern w:val="0"/>
                <w:sz w:val="21"/>
                <w:szCs w:val="21"/>
                <w:highlight w:val="none"/>
                <w:lang w:bidi="ar"/>
              </w:rPr>
              <w:t>)</w:t>
            </w:r>
          </w:p>
        </w:tc>
        <w:tc>
          <w:tcPr>
            <w:tcW w:w="807" w:type="pct"/>
            <w:noWrap w:val="0"/>
            <w:tcMar>
              <w:top w:w="12" w:type="dxa"/>
              <w:left w:w="12" w:type="dxa"/>
              <w:right w:w="12" w:type="dxa"/>
            </w:tcMar>
            <w:vAlign w:val="center"/>
          </w:tcPr>
          <w:p w14:paraId="371BCF5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w:t>
            </w:r>
          </w:p>
        </w:tc>
        <w:tc>
          <w:tcPr>
            <w:tcW w:w="1774" w:type="pct"/>
            <w:gridSpan w:val="2"/>
            <w:noWrap w:val="0"/>
            <w:tcMar>
              <w:top w:w="12" w:type="dxa"/>
              <w:left w:w="12" w:type="dxa"/>
              <w:right w:w="12" w:type="dxa"/>
            </w:tcMar>
            <w:vAlign w:val="center"/>
          </w:tcPr>
          <w:p w14:paraId="6B48DA6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乙硫醇/(mg/m</w:t>
            </w:r>
            <w:r>
              <w:rPr>
                <w:i w:val="0"/>
                <w:iCs w:val="0"/>
                <w:color w:val="auto"/>
                <w:kern w:val="0"/>
                <w:sz w:val="21"/>
                <w:szCs w:val="21"/>
                <w:highlight w:val="none"/>
                <w:vertAlign w:val="superscript"/>
                <w:lang w:bidi="ar"/>
              </w:rPr>
              <w:t>3</w:t>
            </w:r>
            <w:r>
              <w:rPr>
                <w:i w:val="0"/>
                <w:iCs w:val="0"/>
                <w:color w:val="auto"/>
                <w:kern w:val="0"/>
                <w:sz w:val="21"/>
                <w:szCs w:val="21"/>
                <w:highlight w:val="none"/>
                <w:lang w:bidi="ar"/>
              </w:rPr>
              <w:t>)</w:t>
            </w:r>
          </w:p>
        </w:tc>
        <w:tc>
          <w:tcPr>
            <w:tcW w:w="745" w:type="pct"/>
            <w:noWrap w:val="0"/>
            <w:tcMar>
              <w:top w:w="12" w:type="dxa"/>
              <w:left w:w="12" w:type="dxa"/>
              <w:right w:w="12" w:type="dxa"/>
            </w:tcMar>
            <w:vAlign w:val="center"/>
          </w:tcPr>
          <w:p w14:paraId="307F03B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w:t>
            </w:r>
          </w:p>
        </w:tc>
      </w:tr>
      <w:tr w14:paraId="73E0F5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672" w:type="pct"/>
            <w:gridSpan w:val="2"/>
            <w:noWrap w:val="0"/>
            <w:tcMar>
              <w:top w:w="12" w:type="dxa"/>
              <w:left w:w="12" w:type="dxa"/>
              <w:right w:w="12" w:type="dxa"/>
            </w:tcMar>
            <w:vAlign w:val="center"/>
          </w:tcPr>
          <w:p w14:paraId="0AA233A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eastAsia="宋体"/>
                <w:i w:val="0"/>
                <w:iCs w:val="0"/>
                <w:color w:val="auto"/>
                <w:sz w:val="21"/>
                <w:szCs w:val="21"/>
                <w:highlight w:val="none"/>
                <w:lang w:val="en-US" w:eastAsia="zh-CN"/>
              </w:rPr>
            </w:pPr>
            <w:r>
              <w:rPr>
                <w:i w:val="0"/>
                <w:iCs w:val="0"/>
                <w:color w:val="auto"/>
                <w:kern w:val="0"/>
                <w:sz w:val="21"/>
                <w:szCs w:val="21"/>
                <w:highlight w:val="none"/>
                <w:lang w:bidi="ar"/>
              </w:rPr>
              <w:t>密度</w:t>
            </w:r>
            <w:r>
              <w:rPr>
                <w:rFonts w:hint="eastAsia"/>
                <w:i w:val="0"/>
                <w:iCs w:val="0"/>
                <w:color w:val="auto"/>
                <w:kern w:val="0"/>
                <w:sz w:val="21"/>
                <w:szCs w:val="21"/>
                <w:highlight w:val="none"/>
                <w:lang w:eastAsia="zh-CN" w:bidi="ar"/>
              </w:rPr>
              <w:t>（</w:t>
            </w:r>
            <w:r>
              <w:rPr>
                <w:i w:val="0"/>
                <w:iCs w:val="0"/>
                <w:color w:val="auto"/>
                <w:kern w:val="0"/>
                <w:sz w:val="21"/>
                <w:szCs w:val="21"/>
                <w:highlight w:val="none"/>
                <w:lang w:bidi="ar"/>
              </w:rPr>
              <w:t>kg/m</w:t>
            </w:r>
            <w:r>
              <w:rPr>
                <w:i w:val="0"/>
                <w:iCs w:val="0"/>
                <w:color w:val="auto"/>
                <w:kern w:val="0"/>
                <w:sz w:val="21"/>
                <w:szCs w:val="21"/>
                <w:highlight w:val="none"/>
                <w:vertAlign w:val="superscript"/>
                <w:lang w:bidi="ar"/>
              </w:rPr>
              <w:t>3</w:t>
            </w:r>
            <w:r>
              <w:rPr>
                <w:rFonts w:hint="eastAsia"/>
                <w:i w:val="0"/>
                <w:iCs w:val="0"/>
                <w:color w:val="auto"/>
                <w:kern w:val="0"/>
                <w:sz w:val="21"/>
                <w:szCs w:val="21"/>
                <w:highlight w:val="none"/>
                <w:lang w:val="en-US" w:eastAsia="zh-CN" w:bidi="ar"/>
              </w:rPr>
              <w:t>)</w:t>
            </w:r>
          </w:p>
        </w:tc>
        <w:tc>
          <w:tcPr>
            <w:tcW w:w="807" w:type="pct"/>
            <w:noWrap w:val="0"/>
            <w:tcMar>
              <w:top w:w="12" w:type="dxa"/>
              <w:left w:w="12" w:type="dxa"/>
              <w:right w:w="12" w:type="dxa"/>
            </w:tcMar>
            <w:vAlign w:val="center"/>
          </w:tcPr>
          <w:p w14:paraId="1853D69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1.054</w:t>
            </w:r>
          </w:p>
        </w:tc>
        <w:tc>
          <w:tcPr>
            <w:tcW w:w="1774" w:type="pct"/>
            <w:gridSpan w:val="2"/>
            <w:noWrap w:val="0"/>
            <w:tcMar>
              <w:top w:w="12" w:type="dxa"/>
              <w:left w:w="12" w:type="dxa"/>
              <w:right w:w="12" w:type="dxa"/>
            </w:tcMar>
            <w:vAlign w:val="center"/>
          </w:tcPr>
          <w:p w14:paraId="1002448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相对密度</w:t>
            </w:r>
          </w:p>
        </w:tc>
        <w:tc>
          <w:tcPr>
            <w:tcW w:w="745" w:type="pct"/>
            <w:noWrap w:val="0"/>
            <w:tcMar>
              <w:top w:w="12" w:type="dxa"/>
              <w:left w:w="12" w:type="dxa"/>
              <w:right w:w="12" w:type="dxa"/>
            </w:tcMar>
            <w:vAlign w:val="center"/>
          </w:tcPr>
          <w:p w14:paraId="270E024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sz w:val="21"/>
                <w:szCs w:val="21"/>
                <w:highlight w:val="none"/>
                <w:lang w:val="en-US" w:eastAsia="zh-CN"/>
              </w:rPr>
            </w:pPr>
            <w:r>
              <w:rPr>
                <w:rFonts w:hint="eastAsia"/>
                <w:i w:val="0"/>
                <w:iCs w:val="0"/>
                <w:color w:val="auto"/>
                <w:sz w:val="21"/>
                <w:szCs w:val="21"/>
                <w:highlight w:val="none"/>
                <w:lang w:val="en-US" w:eastAsia="zh-CN"/>
              </w:rPr>
              <w:t>0.8718</w:t>
            </w:r>
          </w:p>
        </w:tc>
      </w:tr>
      <w:tr w14:paraId="68C79C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672" w:type="pct"/>
            <w:gridSpan w:val="2"/>
            <w:noWrap w:val="0"/>
            <w:tcMar>
              <w:top w:w="12" w:type="dxa"/>
              <w:left w:w="12" w:type="dxa"/>
              <w:right w:w="12" w:type="dxa"/>
            </w:tcMar>
            <w:vAlign w:val="center"/>
          </w:tcPr>
          <w:p w14:paraId="6F8DD43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平均分子量</w:t>
            </w:r>
          </w:p>
        </w:tc>
        <w:tc>
          <w:tcPr>
            <w:tcW w:w="807" w:type="pct"/>
            <w:noWrap w:val="0"/>
            <w:tcMar>
              <w:top w:w="12" w:type="dxa"/>
              <w:left w:w="12" w:type="dxa"/>
              <w:right w:w="12" w:type="dxa"/>
            </w:tcMar>
            <w:vAlign w:val="center"/>
          </w:tcPr>
          <w:p w14:paraId="08700FF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25.25</w:t>
            </w:r>
          </w:p>
        </w:tc>
        <w:tc>
          <w:tcPr>
            <w:tcW w:w="2520" w:type="pct"/>
            <w:gridSpan w:val="3"/>
            <w:noWrap w:val="0"/>
            <w:tcMar>
              <w:top w:w="12" w:type="dxa"/>
              <w:left w:w="12" w:type="dxa"/>
              <w:right w:w="12" w:type="dxa"/>
            </w:tcMar>
            <w:vAlign w:val="center"/>
          </w:tcPr>
          <w:p w14:paraId="05D2A6A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w:t>
            </w:r>
          </w:p>
        </w:tc>
      </w:tr>
      <w:tr w14:paraId="230047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672" w:type="pct"/>
            <w:gridSpan w:val="2"/>
            <w:noWrap w:val="0"/>
            <w:tcMar>
              <w:top w:w="12" w:type="dxa"/>
              <w:left w:w="12" w:type="dxa"/>
              <w:right w:w="12" w:type="dxa"/>
            </w:tcMar>
            <w:vAlign w:val="center"/>
          </w:tcPr>
          <w:p w14:paraId="38F2BB0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eastAsia="宋体"/>
                <w:i w:val="0"/>
                <w:iCs w:val="0"/>
                <w:color w:val="auto"/>
                <w:sz w:val="21"/>
                <w:szCs w:val="21"/>
                <w:highlight w:val="none"/>
                <w:lang w:val="en-US" w:eastAsia="zh-CN"/>
              </w:rPr>
            </w:pPr>
            <w:r>
              <w:rPr>
                <w:i w:val="0"/>
                <w:iCs w:val="0"/>
                <w:color w:val="auto"/>
                <w:kern w:val="0"/>
                <w:sz w:val="21"/>
                <w:szCs w:val="21"/>
                <w:highlight w:val="none"/>
                <w:lang w:bidi="ar"/>
              </w:rPr>
              <w:t>20℃</w:t>
            </w:r>
            <w:r>
              <w:rPr>
                <w:rFonts w:hint="eastAsia" w:ascii="宋体" w:hAnsi="宋体" w:cs="宋体"/>
                <w:i w:val="0"/>
                <w:iCs w:val="0"/>
                <w:color w:val="auto"/>
                <w:kern w:val="0"/>
                <w:sz w:val="21"/>
                <w:szCs w:val="21"/>
                <w:highlight w:val="none"/>
                <w:lang w:bidi="ar"/>
              </w:rPr>
              <w:t>理想体积高位发热量</w:t>
            </w:r>
            <w:r>
              <w:rPr>
                <w:rFonts w:hint="eastAsia" w:ascii="宋体" w:hAnsi="宋体" w:cs="宋体"/>
                <w:i w:val="0"/>
                <w:iCs w:val="0"/>
                <w:color w:val="auto"/>
                <w:kern w:val="0"/>
                <w:sz w:val="21"/>
                <w:szCs w:val="21"/>
                <w:highlight w:val="none"/>
                <w:lang w:eastAsia="zh-CN" w:bidi="ar"/>
              </w:rPr>
              <w:t>（</w:t>
            </w:r>
            <w:r>
              <w:rPr>
                <w:i w:val="0"/>
                <w:iCs w:val="0"/>
                <w:color w:val="auto"/>
                <w:kern w:val="0"/>
                <w:sz w:val="21"/>
                <w:szCs w:val="21"/>
                <w:highlight w:val="none"/>
                <w:lang w:bidi="ar"/>
              </w:rPr>
              <w:t>MJ/m</w:t>
            </w:r>
            <w:r>
              <w:rPr>
                <w:i w:val="0"/>
                <w:iCs w:val="0"/>
                <w:color w:val="auto"/>
                <w:kern w:val="0"/>
                <w:sz w:val="21"/>
                <w:szCs w:val="21"/>
                <w:highlight w:val="none"/>
                <w:vertAlign w:val="superscript"/>
                <w:lang w:bidi="ar"/>
              </w:rPr>
              <w:t>3</w:t>
            </w:r>
            <w:r>
              <w:rPr>
                <w:rFonts w:hint="eastAsia"/>
                <w:i w:val="0"/>
                <w:iCs w:val="0"/>
                <w:color w:val="auto"/>
                <w:kern w:val="0"/>
                <w:sz w:val="21"/>
                <w:szCs w:val="21"/>
                <w:highlight w:val="none"/>
                <w:lang w:val="en-US" w:eastAsia="zh-CN" w:bidi="ar"/>
              </w:rPr>
              <w:t>)</w:t>
            </w:r>
          </w:p>
        </w:tc>
        <w:tc>
          <w:tcPr>
            <w:tcW w:w="807" w:type="pct"/>
            <w:noWrap w:val="0"/>
            <w:tcMar>
              <w:top w:w="12" w:type="dxa"/>
              <w:left w:w="12" w:type="dxa"/>
              <w:right w:w="12" w:type="dxa"/>
            </w:tcMar>
            <w:vAlign w:val="center"/>
          </w:tcPr>
          <w:p w14:paraId="71E2CCF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48.56</w:t>
            </w:r>
          </w:p>
        </w:tc>
        <w:tc>
          <w:tcPr>
            <w:tcW w:w="1774" w:type="pct"/>
            <w:gridSpan w:val="2"/>
            <w:noWrap w:val="0"/>
            <w:tcMar>
              <w:top w:w="12" w:type="dxa"/>
              <w:left w:w="12" w:type="dxa"/>
              <w:right w:w="12" w:type="dxa"/>
            </w:tcMar>
            <w:vAlign w:val="center"/>
          </w:tcPr>
          <w:p w14:paraId="43E4908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eastAsia="宋体"/>
                <w:i w:val="0"/>
                <w:iCs w:val="0"/>
                <w:color w:val="auto"/>
                <w:sz w:val="21"/>
                <w:szCs w:val="21"/>
                <w:highlight w:val="none"/>
                <w:lang w:val="en-US" w:eastAsia="zh-CN"/>
              </w:rPr>
            </w:pPr>
            <w:r>
              <w:rPr>
                <w:i w:val="0"/>
                <w:iCs w:val="0"/>
                <w:color w:val="auto"/>
                <w:kern w:val="0"/>
                <w:sz w:val="21"/>
                <w:szCs w:val="21"/>
                <w:highlight w:val="none"/>
                <w:lang w:bidi="ar"/>
              </w:rPr>
              <w:t>20℃</w:t>
            </w:r>
            <w:r>
              <w:rPr>
                <w:rFonts w:hint="eastAsia" w:ascii="宋体" w:hAnsi="宋体" w:cs="宋体"/>
                <w:i w:val="0"/>
                <w:iCs w:val="0"/>
                <w:color w:val="auto"/>
                <w:kern w:val="0"/>
                <w:sz w:val="21"/>
                <w:szCs w:val="21"/>
                <w:highlight w:val="none"/>
                <w:lang w:bidi="ar"/>
              </w:rPr>
              <w:t>理想体积低位发热量</w:t>
            </w:r>
            <w:r>
              <w:rPr>
                <w:rFonts w:hint="eastAsia" w:ascii="宋体" w:hAnsi="宋体" w:cs="宋体"/>
                <w:i w:val="0"/>
                <w:iCs w:val="0"/>
                <w:color w:val="auto"/>
                <w:kern w:val="0"/>
                <w:sz w:val="21"/>
                <w:szCs w:val="21"/>
                <w:highlight w:val="none"/>
                <w:lang w:eastAsia="zh-CN" w:bidi="ar"/>
              </w:rPr>
              <w:t>（</w:t>
            </w:r>
            <w:r>
              <w:rPr>
                <w:i w:val="0"/>
                <w:iCs w:val="0"/>
                <w:color w:val="auto"/>
                <w:kern w:val="0"/>
                <w:sz w:val="21"/>
                <w:szCs w:val="21"/>
                <w:highlight w:val="none"/>
                <w:lang w:bidi="ar"/>
              </w:rPr>
              <w:t>MJ/m</w:t>
            </w:r>
            <w:r>
              <w:rPr>
                <w:i w:val="0"/>
                <w:iCs w:val="0"/>
                <w:color w:val="auto"/>
                <w:kern w:val="0"/>
                <w:sz w:val="21"/>
                <w:szCs w:val="21"/>
                <w:highlight w:val="none"/>
                <w:vertAlign w:val="superscript"/>
                <w:lang w:bidi="ar"/>
              </w:rPr>
              <w:t>3</w:t>
            </w:r>
            <w:r>
              <w:rPr>
                <w:rFonts w:hint="eastAsia"/>
                <w:i w:val="0"/>
                <w:iCs w:val="0"/>
                <w:color w:val="auto"/>
                <w:kern w:val="0"/>
                <w:sz w:val="21"/>
                <w:szCs w:val="21"/>
                <w:highlight w:val="none"/>
                <w:lang w:val="en-US" w:eastAsia="zh-CN" w:bidi="ar"/>
              </w:rPr>
              <w:t>)</w:t>
            </w:r>
          </w:p>
        </w:tc>
        <w:tc>
          <w:tcPr>
            <w:tcW w:w="745" w:type="pct"/>
            <w:noWrap w:val="0"/>
            <w:tcMar>
              <w:top w:w="12" w:type="dxa"/>
              <w:left w:w="12" w:type="dxa"/>
              <w:right w:w="12" w:type="dxa"/>
            </w:tcMar>
            <w:vAlign w:val="center"/>
          </w:tcPr>
          <w:p w14:paraId="4276023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sz w:val="21"/>
                <w:szCs w:val="21"/>
                <w:highlight w:val="none"/>
                <w:lang w:val="en-US" w:eastAsia="zh-CN"/>
              </w:rPr>
            </w:pPr>
            <w:r>
              <w:rPr>
                <w:rFonts w:hint="eastAsia"/>
                <w:i w:val="0"/>
                <w:iCs w:val="0"/>
                <w:color w:val="auto"/>
                <w:kern w:val="0"/>
                <w:sz w:val="21"/>
                <w:szCs w:val="21"/>
                <w:highlight w:val="none"/>
                <w:lang w:val="en-US" w:eastAsia="zh-CN" w:bidi="ar"/>
              </w:rPr>
              <w:t>44.21</w:t>
            </w:r>
          </w:p>
        </w:tc>
      </w:tr>
      <w:tr w14:paraId="19D0E1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672" w:type="pct"/>
            <w:gridSpan w:val="2"/>
            <w:noWrap w:val="0"/>
            <w:tcMar>
              <w:top w:w="12" w:type="dxa"/>
              <w:left w:w="12" w:type="dxa"/>
              <w:right w:w="12" w:type="dxa"/>
            </w:tcMar>
            <w:vAlign w:val="center"/>
          </w:tcPr>
          <w:p w14:paraId="4EFD77C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20℃</w:t>
            </w:r>
            <w:r>
              <w:rPr>
                <w:rFonts w:hint="eastAsia" w:ascii="宋体" w:hAnsi="宋体" w:cs="宋体"/>
                <w:i w:val="0"/>
                <w:iCs w:val="0"/>
                <w:color w:val="auto"/>
                <w:kern w:val="0"/>
                <w:sz w:val="21"/>
                <w:szCs w:val="21"/>
                <w:highlight w:val="none"/>
                <w:lang w:bidi="ar"/>
              </w:rPr>
              <w:t>高位沃泊指数（</w:t>
            </w:r>
            <w:r>
              <w:rPr>
                <w:i w:val="0"/>
                <w:iCs w:val="0"/>
                <w:color w:val="auto"/>
                <w:kern w:val="0"/>
                <w:sz w:val="21"/>
                <w:szCs w:val="21"/>
                <w:highlight w:val="none"/>
                <w:lang w:bidi="ar"/>
              </w:rPr>
              <w:t>MJ/m</w:t>
            </w:r>
            <w:r>
              <w:rPr>
                <w:i w:val="0"/>
                <w:iCs w:val="0"/>
                <w:color w:val="auto"/>
                <w:kern w:val="0"/>
                <w:sz w:val="21"/>
                <w:szCs w:val="21"/>
                <w:highlight w:val="none"/>
                <w:vertAlign w:val="superscript"/>
                <w:lang w:bidi="ar"/>
              </w:rPr>
              <w:t>3</w:t>
            </w:r>
            <w:r>
              <w:rPr>
                <w:i w:val="0"/>
                <w:iCs w:val="0"/>
                <w:color w:val="auto"/>
                <w:kern w:val="0"/>
                <w:sz w:val="21"/>
                <w:szCs w:val="21"/>
                <w:highlight w:val="none"/>
                <w:lang w:bidi="ar"/>
              </w:rPr>
              <w:t>）</w:t>
            </w:r>
          </w:p>
        </w:tc>
        <w:tc>
          <w:tcPr>
            <w:tcW w:w="807" w:type="pct"/>
            <w:noWrap w:val="0"/>
            <w:tcMar>
              <w:top w:w="12" w:type="dxa"/>
              <w:left w:w="12" w:type="dxa"/>
              <w:right w:w="12" w:type="dxa"/>
            </w:tcMar>
            <w:vAlign w:val="center"/>
          </w:tcPr>
          <w:p w14:paraId="631E9E9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52</w:t>
            </w:r>
          </w:p>
        </w:tc>
        <w:tc>
          <w:tcPr>
            <w:tcW w:w="1425" w:type="pct"/>
            <w:noWrap w:val="0"/>
            <w:tcMar>
              <w:top w:w="12" w:type="dxa"/>
              <w:left w:w="12" w:type="dxa"/>
              <w:right w:w="12" w:type="dxa"/>
            </w:tcMar>
            <w:vAlign w:val="center"/>
          </w:tcPr>
          <w:p w14:paraId="11C8346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20℃</w:t>
            </w:r>
            <w:r>
              <w:rPr>
                <w:rFonts w:hint="eastAsia" w:ascii="宋体" w:hAnsi="宋体" w:cs="宋体"/>
                <w:i w:val="0"/>
                <w:iCs w:val="0"/>
                <w:color w:val="auto"/>
                <w:kern w:val="0"/>
                <w:sz w:val="21"/>
                <w:szCs w:val="21"/>
                <w:highlight w:val="none"/>
                <w:lang w:bidi="ar"/>
              </w:rPr>
              <w:t>低位沃泊指数（</w:t>
            </w:r>
            <w:r>
              <w:rPr>
                <w:i w:val="0"/>
                <w:iCs w:val="0"/>
                <w:color w:val="auto"/>
                <w:kern w:val="0"/>
                <w:sz w:val="21"/>
                <w:szCs w:val="21"/>
                <w:highlight w:val="none"/>
                <w:lang w:bidi="ar"/>
              </w:rPr>
              <w:t>MJ/m</w:t>
            </w:r>
            <w:r>
              <w:rPr>
                <w:i w:val="0"/>
                <w:iCs w:val="0"/>
                <w:color w:val="auto"/>
                <w:kern w:val="0"/>
                <w:sz w:val="21"/>
                <w:szCs w:val="21"/>
                <w:highlight w:val="none"/>
                <w:vertAlign w:val="superscript"/>
                <w:lang w:bidi="ar"/>
              </w:rPr>
              <w:t>3</w:t>
            </w:r>
            <w:r>
              <w:rPr>
                <w:i w:val="0"/>
                <w:iCs w:val="0"/>
                <w:color w:val="auto"/>
                <w:kern w:val="0"/>
                <w:sz w:val="21"/>
                <w:szCs w:val="21"/>
                <w:highlight w:val="none"/>
                <w:lang w:bidi="ar"/>
              </w:rPr>
              <w:t>）</w:t>
            </w:r>
          </w:p>
        </w:tc>
        <w:tc>
          <w:tcPr>
            <w:tcW w:w="1095" w:type="pct"/>
            <w:gridSpan w:val="2"/>
            <w:noWrap w:val="0"/>
            <w:tcMar>
              <w:top w:w="12" w:type="dxa"/>
              <w:left w:w="12" w:type="dxa"/>
              <w:right w:w="12" w:type="dxa"/>
            </w:tcMar>
            <w:vAlign w:val="center"/>
          </w:tcPr>
          <w:p w14:paraId="6AE4874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sz w:val="21"/>
                <w:szCs w:val="21"/>
                <w:highlight w:val="none"/>
                <w:lang w:val="en-US" w:eastAsia="zh-CN"/>
              </w:rPr>
            </w:pPr>
            <w:r>
              <w:rPr>
                <w:rFonts w:hint="eastAsia"/>
                <w:i w:val="0"/>
                <w:iCs w:val="0"/>
                <w:color w:val="auto"/>
                <w:kern w:val="0"/>
                <w:sz w:val="21"/>
                <w:szCs w:val="21"/>
                <w:highlight w:val="none"/>
                <w:lang w:val="en-US" w:eastAsia="zh-CN" w:bidi="ar"/>
              </w:rPr>
              <w:t>47.35</w:t>
            </w:r>
          </w:p>
        </w:tc>
      </w:tr>
    </w:tbl>
    <w:p w14:paraId="5FD85717">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eastAsia" w:cs="Times New Roman"/>
          <w:color w:val="auto"/>
          <w:sz w:val="18"/>
          <w:szCs w:val="18"/>
          <w:lang w:val="en-US" w:eastAsia="zh-CN"/>
        </w:rPr>
      </w:pPr>
      <w:r>
        <w:rPr>
          <w:rFonts w:hint="eastAsia" w:cs="Times New Roman"/>
          <w:color w:val="auto"/>
          <w:sz w:val="18"/>
          <w:szCs w:val="18"/>
          <w:lang w:val="en-US" w:eastAsia="zh-CN"/>
        </w:rPr>
        <w:t>注：以上数据来自2024年9月2日雄英2井天然气分析报告。</w:t>
      </w:r>
    </w:p>
    <w:p w14:paraId="443907A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fldChar w:fldCharType="begin"/>
      </w:r>
      <w:r>
        <w:rPr>
          <w:rFonts w:hint="eastAsia" w:ascii="Times New Roman" w:hAnsi="Times New Roman" w:eastAsia="宋体" w:cs="Times New Roman"/>
          <w:color w:val="auto"/>
          <w:sz w:val="24"/>
          <w:szCs w:val="24"/>
          <w:highlight w:val="none"/>
          <w:lang w:val="en-US" w:eastAsia="zh-CN"/>
        </w:rPr>
        <w:instrText xml:space="preserve"> = 2 \* GB3 \* MERGEFORMAT </w:instrText>
      </w:r>
      <w:r>
        <w:rPr>
          <w:rFonts w:hint="eastAsia"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olor w:val="auto"/>
          <w:sz w:val="24"/>
          <w:szCs w:val="24"/>
          <w:highlight w:val="none"/>
          <w:lang w:val="en-US" w:eastAsia="zh-CN"/>
        </w:rPr>
        <w:t>②</w:t>
      </w:r>
      <w:r>
        <w:rPr>
          <w:rFonts w:hint="eastAsia" w:ascii="Times New Roman" w:hAnsi="Times New Roman" w:eastAsia="宋体" w:cs="Times New Roman"/>
          <w:color w:val="auto"/>
          <w:sz w:val="24"/>
          <w:szCs w:val="24"/>
          <w:highlight w:val="none"/>
          <w:lang w:val="en-US" w:eastAsia="zh-CN"/>
        </w:rPr>
        <w:fldChar w:fldCharType="end"/>
      </w:r>
      <w:r>
        <w:rPr>
          <w:rFonts w:hint="eastAsia" w:ascii="Times New Roman" w:hAnsi="Times New Roman" w:eastAsia="宋体" w:cs="Times New Roman"/>
          <w:color w:val="auto"/>
          <w:sz w:val="24"/>
          <w:szCs w:val="24"/>
          <w:highlight w:val="none"/>
          <w:lang w:val="en-US" w:eastAsia="zh-CN"/>
        </w:rPr>
        <w:t>原油物性</w:t>
      </w:r>
    </w:p>
    <w:p w14:paraId="226E5F53">
      <w:pPr>
        <w:pStyle w:val="61"/>
        <w:bidi w:val="0"/>
        <w:jc w:val="both"/>
        <w:rPr>
          <w:rFonts w:hint="default"/>
          <w:color w:val="auto"/>
        </w:rPr>
      </w:pPr>
      <w:r>
        <w:rPr>
          <w:rFonts w:hint="default"/>
          <w:color w:val="auto"/>
        </w:rPr>
        <w:t>表</w:t>
      </w:r>
      <w:r>
        <w:rPr>
          <w:rFonts w:hint="default"/>
          <w:color w:val="auto"/>
          <w:lang w:val="en-US" w:eastAsia="zh-CN"/>
        </w:rPr>
        <w:t>3</w:t>
      </w:r>
      <w:r>
        <w:rPr>
          <w:rFonts w:hint="default"/>
          <w:color w:val="auto"/>
        </w:rPr>
        <w:t>.2-</w:t>
      </w:r>
      <w:r>
        <w:rPr>
          <w:rFonts w:hint="eastAsia"/>
          <w:color w:val="auto"/>
          <w:lang w:val="en-US" w:eastAsia="zh-CN"/>
        </w:rPr>
        <w:t>4</w:t>
      </w:r>
      <w:r>
        <w:rPr>
          <w:rFonts w:hint="default"/>
          <w:color w:val="auto"/>
        </w:rPr>
        <w:t xml:space="preserve">  </w:t>
      </w:r>
      <w:r>
        <w:rPr>
          <w:rFonts w:hint="default"/>
          <w:color w:val="auto"/>
          <w:lang w:eastAsia="zh-CN"/>
        </w:rPr>
        <w:t>雄</w:t>
      </w:r>
      <w:r>
        <w:rPr>
          <w:rFonts w:hint="eastAsia"/>
          <w:color w:val="auto"/>
          <w:lang w:val="en-US" w:eastAsia="zh-CN"/>
        </w:rPr>
        <w:t>探1井</w:t>
      </w:r>
      <w:r>
        <w:rPr>
          <w:rFonts w:hint="default"/>
          <w:color w:val="auto"/>
        </w:rPr>
        <w:t>原油物性表</w:t>
      </w:r>
    </w:p>
    <w:tbl>
      <w:tblPr>
        <w:tblStyle w:val="36"/>
        <w:tblW w:w="4971"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086"/>
        <w:gridCol w:w="1086"/>
        <w:gridCol w:w="947"/>
        <w:gridCol w:w="936"/>
        <w:gridCol w:w="720"/>
        <w:gridCol w:w="704"/>
        <w:gridCol w:w="795"/>
        <w:gridCol w:w="795"/>
        <w:gridCol w:w="704"/>
        <w:gridCol w:w="825"/>
      </w:tblGrid>
      <w:tr w14:paraId="678AA7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6" w:hRule="atLeast"/>
        </w:trPr>
        <w:tc>
          <w:tcPr>
            <w:tcW w:w="631" w:type="pct"/>
            <w:noWrap w:val="0"/>
            <w:tcMar>
              <w:top w:w="12" w:type="dxa"/>
              <w:left w:w="12" w:type="dxa"/>
              <w:right w:w="12" w:type="dxa"/>
            </w:tcMar>
            <w:vAlign w:val="center"/>
          </w:tcPr>
          <w:p w14:paraId="5139D943">
            <w:pPr>
              <w:bidi w:val="0"/>
              <w:jc w:val="center"/>
              <w:rPr>
                <w:color w:val="auto"/>
              </w:rPr>
            </w:pPr>
            <w:r>
              <w:rPr>
                <w:color w:val="auto"/>
              </w:rPr>
              <w:t>20</w:t>
            </w:r>
            <w:r>
              <w:rPr>
                <w:rFonts w:hint="eastAsia"/>
                <w:color w:val="auto"/>
              </w:rPr>
              <w:t>℃密度</w:t>
            </w:r>
          </w:p>
        </w:tc>
        <w:tc>
          <w:tcPr>
            <w:tcW w:w="631" w:type="pct"/>
            <w:noWrap w:val="0"/>
            <w:tcMar>
              <w:top w:w="12" w:type="dxa"/>
              <w:left w:w="12" w:type="dxa"/>
              <w:right w:w="12" w:type="dxa"/>
            </w:tcMar>
            <w:vAlign w:val="center"/>
          </w:tcPr>
          <w:p w14:paraId="7FA23534">
            <w:pPr>
              <w:bidi w:val="0"/>
              <w:jc w:val="center"/>
              <w:rPr>
                <w:color w:val="auto"/>
              </w:rPr>
            </w:pPr>
            <w:r>
              <w:rPr>
                <w:color w:val="auto"/>
              </w:rPr>
              <w:t>50</w:t>
            </w:r>
            <w:r>
              <w:rPr>
                <w:rFonts w:hint="eastAsia"/>
                <w:color w:val="auto"/>
              </w:rPr>
              <w:t>℃密度</w:t>
            </w:r>
          </w:p>
        </w:tc>
        <w:tc>
          <w:tcPr>
            <w:tcW w:w="550" w:type="pct"/>
            <w:noWrap w:val="0"/>
            <w:tcMar>
              <w:top w:w="12" w:type="dxa"/>
              <w:left w:w="12" w:type="dxa"/>
              <w:right w:w="12" w:type="dxa"/>
            </w:tcMar>
            <w:vAlign w:val="center"/>
          </w:tcPr>
          <w:p w14:paraId="2AC79013">
            <w:pPr>
              <w:bidi w:val="0"/>
              <w:jc w:val="center"/>
              <w:rPr>
                <w:color w:val="auto"/>
              </w:rPr>
            </w:pPr>
            <w:r>
              <w:rPr>
                <w:color w:val="auto"/>
              </w:rPr>
              <w:t>50℃</w:t>
            </w:r>
            <w:r>
              <w:rPr>
                <w:rFonts w:hint="eastAsia"/>
                <w:color w:val="auto"/>
              </w:rPr>
              <w:t>运动粘度</w:t>
            </w:r>
          </w:p>
        </w:tc>
        <w:tc>
          <w:tcPr>
            <w:tcW w:w="544" w:type="pct"/>
            <w:noWrap w:val="0"/>
            <w:tcMar>
              <w:top w:w="12" w:type="dxa"/>
              <w:left w:w="12" w:type="dxa"/>
              <w:right w:w="12" w:type="dxa"/>
            </w:tcMar>
            <w:vAlign w:val="center"/>
          </w:tcPr>
          <w:p w14:paraId="3D387267">
            <w:pPr>
              <w:bidi w:val="0"/>
              <w:jc w:val="center"/>
              <w:rPr>
                <w:color w:val="auto"/>
              </w:rPr>
            </w:pPr>
            <w:r>
              <w:rPr>
                <w:color w:val="auto"/>
              </w:rPr>
              <w:t>50℃</w:t>
            </w:r>
            <w:r>
              <w:rPr>
                <w:rFonts w:hint="eastAsia"/>
                <w:color w:val="auto"/>
              </w:rPr>
              <w:t>动力粘度</w:t>
            </w:r>
          </w:p>
        </w:tc>
        <w:tc>
          <w:tcPr>
            <w:tcW w:w="418" w:type="pct"/>
            <w:noWrap w:val="0"/>
            <w:tcMar>
              <w:top w:w="12" w:type="dxa"/>
              <w:left w:w="12" w:type="dxa"/>
              <w:right w:w="12" w:type="dxa"/>
            </w:tcMar>
            <w:vAlign w:val="center"/>
          </w:tcPr>
          <w:p w14:paraId="52496BDC">
            <w:pPr>
              <w:bidi w:val="0"/>
              <w:jc w:val="center"/>
              <w:rPr>
                <w:color w:val="auto"/>
              </w:rPr>
            </w:pPr>
            <w:r>
              <w:rPr>
                <w:color w:val="auto"/>
              </w:rPr>
              <w:t>凝点</w:t>
            </w:r>
          </w:p>
        </w:tc>
        <w:tc>
          <w:tcPr>
            <w:tcW w:w="409" w:type="pct"/>
            <w:noWrap w:val="0"/>
            <w:tcMar>
              <w:top w:w="12" w:type="dxa"/>
              <w:left w:w="12" w:type="dxa"/>
              <w:right w:w="12" w:type="dxa"/>
            </w:tcMar>
            <w:vAlign w:val="center"/>
          </w:tcPr>
          <w:p w14:paraId="3AA7F6FD">
            <w:pPr>
              <w:bidi w:val="0"/>
              <w:jc w:val="center"/>
              <w:rPr>
                <w:color w:val="auto"/>
              </w:rPr>
            </w:pPr>
            <w:r>
              <w:rPr>
                <w:color w:val="auto"/>
              </w:rPr>
              <w:t>蜡含量</w:t>
            </w:r>
          </w:p>
        </w:tc>
        <w:tc>
          <w:tcPr>
            <w:tcW w:w="462" w:type="pct"/>
            <w:noWrap w:val="0"/>
            <w:tcMar>
              <w:top w:w="12" w:type="dxa"/>
              <w:left w:w="12" w:type="dxa"/>
              <w:right w:w="12" w:type="dxa"/>
            </w:tcMar>
            <w:vAlign w:val="center"/>
          </w:tcPr>
          <w:p w14:paraId="07160DD9">
            <w:pPr>
              <w:bidi w:val="0"/>
              <w:jc w:val="center"/>
              <w:rPr>
                <w:rFonts w:hint="eastAsia"/>
                <w:color w:val="auto"/>
              </w:rPr>
            </w:pPr>
            <w:r>
              <w:rPr>
                <w:rFonts w:hint="eastAsia"/>
                <w:color w:val="auto"/>
              </w:rPr>
              <w:t>析蜡点</w:t>
            </w:r>
          </w:p>
        </w:tc>
        <w:tc>
          <w:tcPr>
            <w:tcW w:w="462" w:type="pct"/>
            <w:noWrap w:val="0"/>
            <w:tcMar>
              <w:top w:w="12" w:type="dxa"/>
              <w:left w:w="12" w:type="dxa"/>
              <w:right w:w="12" w:type="dxa"/>
            </w:tcMar>
            <w:vAlign w:val="center"/>
          </w:tcPr>
          <w:p w14:paraId="770FD3EB">
            <w:pPr>
              <w:bidi w:val="0"/>
              <w:jc w:val="center"/>
              <w:rPr>
                <w:color w:val="auto"/>
              </w:rPr>
            </w:pPr>
            <w:r>
              <w:rPr>
                <w:color w:val="auto"/>
              </w:rPr>
              <w:t>胶质</w:t>
            </w:r>
          </w:p>
        </w:tc>
        <w:tc>
          <w:tcPr>
            <w:tcW w:w="409" w:type="pct"/>
            <w:noWrap w:val="0"/>
            <w:tcMar>
              <w:top w:w="12" w:type="dxa"/>
              <w:left w:w="12" w:type="dxa"/>
              <w:right w:w="12" w:type="dxa"/>
            </w:tcMar>
            <w:vAlign w:val="center"/>
          </w:tcPr>
          <w:p w14:paraId="70B3D80D">
            <w:pPr>
              <w:bidi w:val="0"/>
              <w:jc w:val="center"/>
              <w:rPr>
                <w:color w:val="auto"/>
              </w:rPr>
            </w:pPr>
            <w:r>
              <w:rPr>
                <w:color w:val="auto"/>
              </w:rPr>
              <w:t>沥青质</w:t>
            </w:r>
          </w:p>
        </w:tc>
        <w:tc>
          <w:tcPr>
            <w:tcW w:w="479" w:type="pct"/>
            <w:noWrap w:val="0"/>
            <w:tcMar>
              <w:top w:w="12" w:type="dxa"/>
              <w:left w:w="12" w:type="dxa"/>
              <w:right w:w="12" w:type="dxa"/>
            </w:tcMar>
            <w:vAlign w:val="center"/>
          </w:tcPr>
          <w:p w14:paraId="663913BC">
            <w:pPr>
              <w:bidi w:val="0"/>
              <w:jc w:val="center"/>
              <w:rPr>
                <w:color w:val="auto"/>
              </w:rPr>
            </w:pPr>
            <w:r>
              <w:rPr>
                <w:color w:val="auto"/>
              </w:rPr>
              <w:t>硫含量</w:t>
            </w:r>
          </w:p>
        </w:tc>
      </w:tr>
      <w:tr w14:paraId="49ECCB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631" w:type="pct"/>
            <w:noWrap w:val="0"/>
            <w:tcMar>
              <w:top w:w="12" w:type="dxa"/>
              <w:left w:w="12" w:type="dxa"/>
              <w:right w:w="12" w:type="dxa"/>
            </w:tcMar>
            <w:vAlign w:val="center"/>
          </w:tcPr>
          <w:p w14:paraId="2E38D79B">
            <w:pPr>
              <w:bidi w:val="0"/>
              <w:jc w:val="center"/>
              <w:rPr>
                <w:color w:val="auto"/>
              </w:rPr>
            </w:pPr>
            <w:r>
              <w:rPr>
                <w:color w:val="auto"/>
              </w:rPr>
              <w:t>g/cm</w:t>
            </w:r>
            <w:r>
              <w:rPr>
                <w:color w:val="auto"/>
                <w:vertAlign w:val="superscript"/>
              </w:rPr>
              <w:t>3</w:t>
            </w:r>
          </w:p>
        </w:tc>
        <w:tc>
          <w:tcPr>
            <w:tcW w:w="631" w:type="pct"/>
            <w:noWrap w:val="0"/>
            <w:tcMar>
              <w:top w:w="12" w:type="dxa"/>
              <w:left w:w="12" w:type="dxa"/>
              <w:right w:w="12" w:type="dxa"/>
            </w:tcMar>
            <w:vAlign w:val="center"/>
          </w:tcPr>
          <w:p w14:paraId="483830C8">
            <w:pPr>
              <w:bidi w:val="0"/>
              <w:jc w:val="center"/>
              <w:rPr>
                <w:color w:val="auto"/>
              </w:rPr>
            </w:pPr>
            <w:r>
              <w:rPr>
                <w:color w:val="auto"/>
              </w:rPr>
              <w:t>g/cm</w:t>
            </w:r>
            <w:r>
              <w:rPr>
                <w:color w:val="auto"/>
                <w:vertAlign w:val="superscript"/>
              </w:rPr>
              <w:t>3</w:t>
            </w:r>
          </w:p>
        </w:tc>
        <w:tc>
          <w:tcPr>
            <w:tcW w:w="550" w:type="pct"/>
            <w:noWrap w:val="0"/>
            <w:tcMar>
              <w:top w:w="12" w:type="dxa"/>
              <w:left w:w="12" w:type="dxa"/>
              <w:right w:w="12" w:type="dxa"/>
            </w:tcMar>
            <w:vAlign w:val="center"/>
          </w:tcPr>
          <w:p w14:paraId="57C5CBB2">
            <w:pPr>
              <w:bidi w:val="0"/>
              <w:jc w:val="center"/>
              <w:rPr>
                <w:color w:val="auto"/>
              </w:rPr>
            </w:pPr>
            <w:r>
              <w:rPr>
                <w:color w:val="auto"/>
              </w:rPr>
              <w:t>mm</w:t>
            </w:r>
            <w:r>
              <w:rPr>
                <w:color w:val="auto"/>
                <w:vertAlign w:val="superscript"/>
              </w:rPr>
              <w:t>2</w:t>
            </w:r>
            <w:r>
              <w:rPr>
                <w:color w:val="auto"/>
              </w:rPr>
              <w:t>/s</w:t>
            </w:r>
          </w:p>
        </w:tc>
        <w:tc>
          <w:tcPr>
            <w:tcW w:w="544" w:type="pct"/>
            <w:noWrap w:val="0"/>
            <w:tcMar>
              <w:top w:w="12" w:type="dxa"/>
              <w:left w:w="12" w:type="dxa"/>
              <w:right w:w="12" w:type="dxa"/>
            </w:tcMar>
            <w:vAlign w:val="center"/>
          </w:tcPr>
          <w:p w14:paraId="6D34D6ED">
            <w:pPr>
              <w:bidi w:val="0"/>
              <w:jc w:val="center"/>
              <w:rPr>
                <w:color w:val="auto"/>
              </w:rPr>
            </w:pPr>
            <w:r>
              <w:rPr>
                <w:color w:val="auto"/>
              </w:rPr>
              <w:t>mPa·s</w:t>
            </w:r>
          </w:p>
        </w:tc>
        <w:tc>
          <w:tcPr>
            <w:tcW w:w="418" w:type="pct"/>
            <w:noWrap w:val="0"/>
            <w:tcMar>
              <w:top w:w="12" w:type="dxa"/>
              <w:left w:w="12" w:type="dxa"/>
              <w:right w:w="12" w:type="dxa"/>
            </w:tcMar>
            <w:vAlign w:val="center"/>
          </w:tcPr>
          <w:p w14:paraId="4FD0F328">
            <w:pPr>
              <w:bidi w:val="0"/>
              <w:jc w:val="center"/>
              <w:rPr>
                <w:color w:val="auto"/>
              </w:rPr>
            </w:pPr>
            <w:r>
              <w:rPr>
                <w:color w:val="auto"/>
              </w:rPr>
              <w:t>℃</w:t>
            </w:r>
          </w:p>
        </w:tc>
        <w:tc>
          <w:tcPr>
            <w:tcW w:w="409" w:type="pct"/>
            <w:noWrap w:val="0"/>
            <w:tcMar>
              <w:top w:w="12" w:type="dxa"/>
              <w:left w:w="12" w:type="dxa"/>
              <w:right w:w="12" w:type="dxa"/>
            </w:tcMar>
            <w:vAlign w:val="center"/>
          </w:tcPr>
          <w:p w14:paraId="7F060E5F">
            <w:pPr>
              <w:bidi w:val="0"/>
              <w:jc w:val="center"/>
              <w:rPr>
                <w:color w:val="auto"/>
              </w:rPr>
            </w:pPr>
            <w:r>
              <w:rPr>
                <w:color w:val="auto"/>
              </w:rPr>
              <w:t>%</w:t>
            </w:r>
          </w:p>
        </w:tc>
        <w:tc>
          <w:tcPr>
            <w:tcW w:w="462" w:type="pct"/>
            <w:noWrap w:val="0"/>
            <w:tcMar>
              <w:top w:w="12" w:type="dxa"/>
              <w:left w:w="12" w:type="dxa"/>
              <w:right w:w="12" w:type="dxa"/>
            </w:tcMar>
            <w:vAlign w:val="center"/>
          </w:tcPr>
          <w:p w14:paraId="5D74E3F5">
            <w:pPr>
              <w:bidi w:val="0"/>
              <w:jc w:val="center"/>
              <w:rPr>
                <w:color w:val="auto"/>
              </w:rPr>
            </w:pPr>
            <w:r>
              <w:rPr>
                <w:color w:val="auto"/>
              </w:rPr>
              <w:t>℃</w:t>
            </w:r>
          </w:p>
        </w:tc>
        <w:tc>
          <w:tcPr>
            <w:tcW w:w="462" w:type="pct"/>
            <w:noWrap w:val="0"/>
            <w:tcMar>
              <w:top w:w="12" w:type="dxa"/>
              <w:left w:w="12" w:type="dxa"/>
              <w:right w:w="12" w:type="dxa"/>
            </w:tcMar>
            <w:vAlign w:val="center"/>
          </w:tcPr>
          <w:p w14:paraId="1EF70D24">
            <w:pPr>
              <w:bidi w:val="0"/>
              <w:jc w:val="center"/>
              <w:rPr>
                <w:color w:val="auto"/>
              </w:rPr>
            </w:pPr>
            <w:r>
              <w:rPr>
                <w:color w:val="auto"/>
              </w:rPr>
              <w:t>%</w:t>
            </w:r>
          </w:p>
        </w:tc>
        <w:tc>
          <w:tcPr>
            <w:tcW w:w="409" w:type="pct"/>
            <w:noWrap w:val="0"/>
            <w:tcMar>
              <w:top w:w="12" w:type="dxa"/>
              <w:left w:w="12" w:type="dxa"/>
              <w:right w:w="12" w:type="dxa"/>
            </w:tcMar>
            <w:vAlign w:val="center"/>
          </w:tcPr>
          <w:p w14:paraId="5FCEC887">
            <w:pPr>
              <w:bidi w:val="0"/>
              <w:jc w:val="center"/>
              <w:rPr>
                <w:color w:val="auto"/>
              </w:rPr>
            </w:pPr>
            <w:r>
              <w:rPr>
                <w:color w:val="auto"/>
              </w:rPr>
              <w:t>%</w:t>
            </w:r>
          </w:p>
        </w:tc>
        <w:tc>
          <w:tcPr>
            <w:tcW w:w="479" w:type="pct"/>
            <w:noWrap w:val="0"/>
            <w:tcMar>
              <w:top w:w="12" w:type="dxa"/>
              <w:left w:w="12" w:type="dxa"/>
              <w:right w:w="12" w:type="dxa"/>
            </w:tcMar>
            <w:vAlign w:val="center"/>
          </w:tcPr>
          <w:p w14:paraId="6A954ECA">
            <w:pPr>
              <w:bidi w:val="0"/>
              <w:jc w:val="center"/>
              <w:rPr>
                <w:color w:val="auto"/>
              </w:rPr>
            </w:pPr>
            <w:r>
              <w:rPr>
                <w:color w:val="auto"/>
              </w:rPr>
              <w:t>%</w:t>
            </w:r>
          </w:p>
        </w:tc>
      </w:tr>
      <w:tr w14:paraId="2C30E0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631" w:type="pct"/>
            <w:noWrap w:val="0"/>
            <w:tcMar>
              <w:top w:w="12" w:type="dxa"/>
              <w:left w:w="12" w:type="dxa"/>
              <w:right w:w="12" w:type="dxa"/>
            </w:tcMar>
            <w:vAlign w:val="center"/>
          </w:tcPr>
          <w:p w14:paraId="1723E08C">
            <w:pPr>
              <w:bidi w:val="0"/>
              <w:jc w:val="center"/>
              <w:rPr>
                <w:color w:val="auto"/>
              </w:rPr>
            </w:pPr>
            <w:r>
              <w:rPr>
                <w:color w:val="auto"/>
              </w:rPr>
              <w:t>0.80</w:t>
            </w:r>
            <w:r>
              <w:rPr>
                <w:rFonts w:hint="eastAsia"/>
                <w:color w:val="auto"/>
              </w:rPr>
              <w:t>59</w:t>
            </w:r>
          </w:p>
        </w:tc>
        <w:tc>
          <w:tcPr>
            <w:tcW w:w="631" w:type="pct"/>
            <w:noWrap w:val="0"/>
            <w:tcMar>
              <w:top w:w="12" w:type="dxa"/>
              <w:left w:w="12" w:type="dxa"/>
              <w:right w:w="12" w:type="dxa"/>
            </w:tcMar>
            <w:vAlign w:val="center"/>
          </w:tcPr>
          <w:p w14:paraId="492130EC">
            <w:pPr>
              <w:bidi w:val="0"/>
              <w:jc w:val="center"/>
              <w:rPr>
                <w:color w:val="auto"/>
              </w:rPr>
            </w:pPr>
            <w:r>
              <w:rPr>
                <w:color w:val="auto"/>
              </w:rPr>
              <w:t>0.78</w:t>
            </w:r>
            <w:r>
              <w:rPr>
                <w:rFonts w:hint="eastAsia"/>
                <w:color w:val="auto"/>
              </w:rPr>
              <w:t>3</w:t>
            </w:r>
            <w:r>
              <w:rPr>
                <w:color w:val="auto"/>
              </w:rPr>
              <w:t>5</w:t>
            </w:r>
          </w:p>
        </w:tc>
        <w:tc>
          <w:tcPr>
            <w:tcW w:w="550" w:type="pct"/>
            <w:noWrap w:val="0"/>
            <w:tcMar>
              <w:top w:w="12" w:type="dxa"/>
              <w:left w:w="12" w:type="dxa"/>
              <w:right w:w="12" w:type="dxa"/>
            </w:tcMar>
            <w:vAlign w:val="center"/>
          </w:tcPr>
          <w:p w14:paraId="73536CEB">
            <w:pPr>
              <w:bidi w:val="0"/>
              <w:jc w:val="center"/>
              <w:rPr>
                <w:color w:val="auto"/>
              </w:rPr>
            </w:pPr>
            <w:r>
              <w:rPr>
                <w:rFonts w:hint="eastAsia"/>
                <w:color w:val="auto"/>
              </w:rPr>
              <w:t>1.885</w:t>
            </w:r>
          </w:p>
        </w:tc>
        <w:tc>
          <w:tcPr>
            <w:tcW w:w="544" w:type="pct"/>
            <w:noWrap w:val="0"/>
            <w:tcMar>
              <w:top w:w="12" w:type="dxa"/>
              <w:left w:w="12" w:type="dxa"/>
              <w:right w:w="12" w:type="dxa"/>
            </w:tcMar>
            <w:vAlign w:val="center"/>
          </w:tcPr>
          <w:p w14:paraId="300C9A07">
            <w:pPr>
              <w:bidi w:val="0"/>
              <w:jc w:val="center"/>
              <w:rPr>
                <w:color w:val="auto"/>
              </w:rPr>
            </w:pPr>
            <w:r>
              <w:rPr>
                <w:color w:val="auto"/>
              </w:rPr>
              <w:t>1.</w:t>
            </w:r>
            <w:r>
              <w:rPr>
                <w:rFonts w:hint="eastAsia"/>
                <w:color w:val="auto"/>
              </w:rPr>
              <w:t>477</w:t>
            </w:r>
          </w:p>
        </w:tc>
        <w:tc>
          <w:tcPr>
            <w:tcW w:w="418" w:type="pct"/>
            <w:noWrap w:val="0"/>
            <w:tcMar>
              <w:top w:w="12" w:type="dxa"/>
              <w:left w:w="12" w:type="dxa"/>
              <w:right w:w="12" w:type="dxa"/>
            </w:tcMar>
            <w:vAlign w:val="center"/>
          </w:tcPr>
          <w:p w14:paraId="4A7A75D9">
            <w:pPr>
              <w:bidi w:val="0"/>
              <w:jc w:val="center"/>
              <w:rPr>
                <w:color w:val="auto"/>
              </w:rPr>
            </w:pPr>
            <w:r>
              <w:rPr>
                <w:rFonts w:hint="eastAsia"/>
                <w:color w:val="auto"/>
              </w:rPr>
              <w:t>&lt;-30</w:t>
            </w:r>
          </w:p>
        </w:tc>
        <w:tc>
          <w:tcPr>
            <w:tcW w:w="409" w:type="pct"/>
            <w:noWrap w:val="0"/>
            <w:tcMar>
              <w:top w:w="12" w:type="dxa"/>
              <w:left w:w="12" w:type="dxa"/>
              <w:right w:w="12" w:type="dxa"/>
            </w:tcMar>
            <w:vAlign w:val="center"/>
          </w:tcPr>
          <w:p w14:paraId="211E5AA2">
            <w:pPr>
              <w:bidi w:val="0"/>
              <w:jc w:val="center"/>
              <w:rPr>
                <w:color w:val="auto"/>
              </w:rPr>
            </w:pPr>
            <w:r>
              <w:rPr>
                <w:rFonts w:hint="eastAsia"/>
                <w:color w:val="auto"/>
              </w:rPr>
              <w:t>3.5</w:t>
            </w:r>
          </w:p>
        </w:tc>
        <w:tc>
          <w:tcPr>
            <w:tcW w:w="462" w:type="pct"/>
            <w:noWrap w:val="0"/>
            <w:tcMar>
              <w:top w:w="12" w:type="dxa"/>
              <w:left w:w="12" w:type="dxa"/>
              <w:right w:w="12" w:type="dxa"/>
            </w:tcMar>
            <w:vAlign w:val="center"/>
          </w:tcPr>
          <w:p w14:paraId="2A6906D1">
            <w:pPr>
              <w:bidi w:val="0"/>
              <w:jc w:val="center"/>
              <w:rPr>
                <w:rFonts w:hint="eastAsia"/>
                <w:color w:val="auto"/>
              </w:rPr>
            </w:pPr>
            <w:r>
              <w:rPr>
                <w:rFonts w:hint="eastAsia"/>
                <w:color w:val="auto"/>
              </w:rPr>
              <w:t>5</w:t>
            </w:r>
          </w:p>
        </w:tc>
        <w:tc>
          <w:tcPr>
            <w:tcW w:w="462" w:type="pct"/>
            <w:noWrap w:val="0"/>
            <w:tcMar>
              <w:top w:w="12" w:type="dxa"/>
              <w:left w:w="12" w:type="dxa"/>
              <w:right w:w="12" w:type="dxa"/>
            </w:tcMar>
            <w:vAlign w:val="center"/>
          </w:tcPr>
          <w:p w14:paraId="2120D576">
            <w:pPr>
              <w:bidi w:val="0"/>
              <w:jc w:val="center"/>
              <w:rPr>
                <w:color w:val="auto"/>
              </w:rPr>
            </w:pPr>
            <w:r>
              <w:rPr>
                <w:color w:val="auto"/>
              </w:rPr>
              <w:t>0.</w:t>
            </w:r>
            <w:r>
              <w:rPr>
                <w:rFonts w:hint="eastAsia"/>
                <w:color w:val="auto"/>
              </w:rPr>
              <w:t>44</w:t>
            </w:r>
          </w:p>
        </w:tc>
        <w:tc>
          <w:tcPr>
            <w:tcW w:w="409" w:type="pct"/>
            <w:noWrap w:val="0"/>
            <w:tcMar>
              <w:top w:w="12" w:type="dxa"/>
              <w:left w:w="12" w:type="dxa"/>
              <w:right w:w="12" w:type="dxa"/>
            </w:tcMar>
            <w:vAlign w:val="center"/>
          </w:tcPr>
          <w:p w14:paraId="797BF8AA">
            <w:pPr>
              <w:bidi w:val="0"/>
              <w:jc w:val="center"/>
              <w:rPr>
                <w:color w:val="auto"/>
              </w:rPr>
            </w:pPr>
            <w:r>
              <w:rPr>
                <w:color w:val="auto"/>
              </w:rPr>
              <w:t>0.</w:t>
            </w:r>
            <w:r>
              <w:rPr>
                <w:rFonts w:hint="eastAsia"/>
                <w:color w:val="auto"/>
              </w:rPr>
              <w:t>04</w:t>
            </w:r>
          </w:p>
        </w:tc>
        <w:tc>
          <w:tcPr>
            <w:tcW w:w="479" w:type="pct"/>
            <w:noWrap w:val="0"/>
            <w:tcMar>
              <w:top w:w="12" w:type="dxa"/>
              <w:left w:w="12" w:type="dxa"/>
              <w:right w:w="12" w:type="dxa"/>
            </w:tcMar>
            <w:vAlign w:val="center"/>
          </w:tcPr>
          <w:p w14:paraId="050849FA">
            <w:pPr>
              <w:bidi w:val="0"/>
              <w:jc w:val="center"/>
              <w:rPr>
                <w:color w:val="auto"/>
              </w:rPr>
            </w:pPr>
            <w:r>
              <w:rPr>
                <w:color w:val="auto"/>
              </w:rPr>
              <w:t>0.</w:t>
            </w:r>
            <w:r>
              <w:rPr>
                <w:rFonts w:hint="eastAsia"/>
                <w:color w:val="auto"/>
              </w:rPr>
              <w:t>394</w:t>
            </w:r>
          </w:p>
        </w:tc>
      </w:tr>
    </w:tbl>
    <w:p w14:paraId="787A7C25">
      <w:pPr>
        <w:pStyle w:val="171"/>
        <w:keepNext w:val="0"/>
        <w:keepLines w:val="0"/>
        <w:pageBreakBefore w:val="0"/>
        <w:widowControl w:val="0"/>
        <w:kinsoku/>
        <w:wordWrap/>
        <w:overflowPunct/>
        <w:topLinePunct w:val="0"/>
        <w:autoSpaceDE/>
        <w:autoSpaceDN/>
        <w:bidi w:val="0"/>
        <w:adjustRightInd/>
        <w:snapToGrid/>
        <w:spacing w:beforeLines="0" w:afterLines="0" w:line="360" w:lineRule="exact"/>
        <w:ind w:firstLine="360" w:firstLineChars="200"/>
        <w:textAlignment w:val="auto"/>
        <w:rPr>
          <w:rFonts w:hint="eastAsia" w:ascii="Times New Roman" w:hAnsi="Times New Roman" w:eastAsia="宋体" w:cs="Times New Roman"/>
          <w:b w:val="0"/>
          <w:bCs/>
          <w:i w:val="0"/>
          <w:iCs w:val="0"/>
          <w:color w:val="auto"/>
          <w:sz w:val="18"/>
          <w:szCs w:val="18"/>
          <w:highlight w:val="none"/>
          <w:lang w:eastAsia="zh-CN"/>
        </w:rPr>
      </w:pPr>
      <w:r>
        <w:rPr>
          <w:rFonts w:hint="default" w:ascii="Times New Roman" w:hAnsi="Times New Roman" w:eastAsia="宋体" w:cs="Times New Roman"/>
          <w:b w:val="0"/>
          <w:bCs/>
          <w:i w:val="0"/>
          <w:iCs w:val="0"/>
          <w:color w:val="auto"/>
          <w:sz w:val="18"/>
          <w:szCs w:val="18"/>
          <w:highlight w:val="none"/>
        </w:rPr>
        <w:t>注：以上数据来自2024年1月25日雄探1井油气分析报告</w:t>
      </w:r>
      <w:r>
        <w:rPr>
          <w:rFonts w:hint="eastAsia" w:ascii="Times New Roman" w:hAnsi="Times New Roman" w:eastAsia="宋体" w:cs="Times New Roman"/>
          <w:b w:val="0"/>
          <w:bCs/>
          <w:i w:val="0"/>
          <w:iCs w:val="0"/>
          <w:color w:val="auto"/>
          <w:sz w:val="18"/>
          <w:szCs w:val="18"/>
          <w:highlight w:val="none"/>
          <w:lang w:eastAsia="zh-CN"/>
        </w:rPr>
        <w:t>。</w:t>
      </w:r>
    </w:p>
    <w:p w14:paraId="247A12E7">
      <w:pPr>
        <w:pStyle w:val="61"/>
        <w:bidi w:val="0"/>
        <w:jc w:val="both"/>
        <w:rPr>
          <w:rFonts w:hint="default"/>
          <w:color w:val="auto"/>
        </w:rPr>
      </w:pPr>
      <w:r>
        <w:rPr>
          <w:rFonts w:hint="default"/>
          <w:color w:val="auto"/>
        </w:rPr>
        <w:t>表</w:t>
      </w:r>
      <w:r>
        <w:rPr>
          <w:rFonts w:hint="default"/>
          <w:color w:val="auto"/>
          <w:lang w:val="en-US" w:eastAsia="zh-CN"/>
        </w:rPr>
        <w:t>3</w:t>
      </w:r>
      <w:r>
        <w:rPr>
          <w:rFonts w:hint="default"/>
          <w:color w:val="auto"/>
        </w:rPr>
        <w:t>.2-</w:t>
      </w:r>
      <w:r>
        <w:rPr>
          <w:rFonts w:hint="eastAsia"/>
          <w:color w:val="auto"/>
          <w:lang w:val="en-US" w:eastAsia="zh-CN"/>
        </w:rPr>
        <w:t>5</w:t>
      </w:r>
      <w:r>
        <w:rPr>
          <w:rFonts w:hint="default"/>
          <w:color w:val="auto"/>
        </w:rPr>
        <w:t xml:space="preserve">  </w:t>
      </w:r>
      <w:r>
        <w:rPr>
          <w:rFonts w:hint="default"/>
          <w:color w:val="auto"/>
          <w:lang w:eastAsia="zh-CN"/>
        </w:rPr>
        <w:t>雄英</w:t>
      </w:r>
      <w:r>
        <w:rPr>
          <w:rFonts w:hint="eastAsia"/>
          <w:color w:val="auto"/>
          <w:lang w:val="en-US" w:eastAsia="zh-CN"/>
        </w:rPr>
        <w:t>2</w:t>
      </w:r>
      <w:r>
        <w:rPr>
          <w:rFonts w:hint="default"/>
          <w:color w:val="auto"/>
          <w:lang w:val="en-US" w:eastAsia="zh-CN"/>
        </w:rPr>
        <w:t>井</w:t>
      </w:r>
      <w:r>
        <w:rPr>
          <w:rFonts w:hint="default"/>
          <w:color w:val="auto"/>
        </w:rPr>
        <w:t>原油物性表</w:t>
      </w:r>
    </w:p>
    <w:tbl>
      <w:tblPr>
        <w:tblStyle w:val="36"/>
        <w:tblW w:w="500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085"/>
        <w:gridCol w:w="1085"/>
        <w:gridCol w:w="946"/>
        <w:gridCol w:w="936"/>
        <w:gridCol w:w="719"/>
        <w:gridCol w:w="704"/>
        <w:gridCol w:w="795"/>
        <w:gridCol w:w="795"/>
        <w:gridCol w:w="704"/>
        <w:gridCol w:w="891"/>
      </w:tblGrid>
      <w:tr w14:paraId="745436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6" w:hRule="atLeast"/>
        </w:trPr>
        <w:tc>
          <w:tcPr>
            <w:tcW w:w="626" w:type="pct"/>
            <w:noWrap w:val="0"/>
            <w:tcMar>
              <w:top w:w="12" w:type="dxa"/>
              <w:left w:w="12" w:type="dxa"/>
              <w:right w:w="12" w:type="dxa"/>
            </w:tcMar>
            <w:vAlign w:val="center"/>
          </w:tcPr>
          <w:p w14:paraId="41507E7F">
            <w:pPr>
              <w:bidi w:val="0"/>
              <w:jc w:val="center"/>
              <w:rPr>
                <w:color w:val="auto"/>
              </w:rPr>
            </w:pPr>
            <w:r>
              <w:rPr>
                <w:color w:val="auto"/>
              </w:rPr>
              <w:t>20</w:t>
            </w:r>
            <w:r>
              <w:rPr>
                <w:rFonts w:hint="eastAsia"/>
                <w:color w:val="auto"/>
              </w:rPr>
              <w:t>℃密度</w:t>
            </w:r>
          </w:p>
        </w:tc>
        <w:tc>
          <w:tcPr>
            <w:tcW w:w="626" w:type="pct"/>
            <w:noWrap w:val="0"/>
            <w:tcMar>
              <w:top w:w="12" w:type="dxa"/>
              <w:left w:w="12" w:type="dxa"/>
              <w:right w:w="12" w:type="dxa"/>
            </w:tcMar>
            <w:vAlign w:val="center"/>
          </w:tcPr>
          <w:p w14:paraId="67B5A03B">
            <w:pPr>
              <w:bidi w:val="0"/>
              <w:jc w:val="center"/>
              <w:rPr>
                <w:color w:val="auto"/>
              </w:rPr>
            </w:pPr>
            <w:r>
              <w:rPr>
                <w:color w:val="auto"/>
              </w:rPr>
              <w:t>50</w:t>
            </w:r>
            <w:r>
              <w:rPr>
                <w:rFonts w:hint="eastAsia"/>
                <w:color w:val="auto"/>
              </w:rPr>
              <w:t>℃密度</w:t>
            </w:r>
          </w:p>
        </w:tc>
        <w:tc>
          <w:tcPr>
            <w:tcW w:w="546" w:type="pct"/>
            <w:noWrap w:val="0"/>
            <w:tcMar>
              <w:top w:w="12" w:type="dxa"/>
              <w:left w:w="12" w:type="dxa"/>
              <w:right w:w="12" w:type="dxa"/>
            </w:tcMar>
            <w:vAlign w:val="center"/>
          </w:tcPr>
          <w:p w14:paraId="4D41E98E">
            <w:pPr>
              <w:bidi w:val="0"/>
              <w:jc w:val="center"/>
              <w:rPr>
                <w:color w:val="auto"/>
              </w:rPr>
            </w:pPr>
            <w:r>
              <w:rPr>
                <w:color w:val="auto"/>
              </w:rPr>
              <w:t>50℃</w:t>
            </w:r>
            <w:r>
              <w:rPr>
                <w:rFonts w:hint="eastAsia"/>
                <w:color w:val="auto"/>
              </w:rPr>
              <w:t>运动粘度</w:t>
            </w:r>
          </w:p>
        </w:tc>
        <w:tc>
          <w:tcPr>
            <w:tcW w:w="540" w:type="pct"/>
            <w:noWrap w:val="0"/>
            <w:tcMar>
              <w:top w:w="12" w:type="dxa"/>
              <w:left w:w="12" w:type="dxa"/>
              <w:right w:w="12" w:type="dxa"/>
            </w:tcMar>
            <w:vAlign w:val="center"/>
          </w:tcPr>
          <w:p w14:paraId="0C439DE0">
            <w:pPr>
              <w:bidi w:val="0"/>
              <w:jc w:val="center"/>
              <w:rPr>
                <w:color w:val="auto"/>
              </w:rPr>
            </w:pPr>
            <w:r>
              <w:rPr>
                <w:color w:val="auto"/>
              </w:rPr>
              <w:t>50℃</w:t>
            </w:r>
            <w:r>
              <w:rPr>
                <w:rFonts w:hint="eastAsia"/>
                <w:color w:val="auto"/>
              </w:rPr>
              <w:t>动力粘度</w:t>
            </w:r>
          </w:p>
        </w:tc>
        <w:tc>
          <w:tcPr>
            <w:tcW w:w="415" w:type="pct"/>
            <w:noWrap w:val="0"/>
            <w:tcMar>
              <w:top w:w="12" w:type="dxa"/>
              <w:left w:w="12" w:type="dxa"/>
              <w:right w:w="12" w:type="dxa"/>
            </w:tcMar>
            <w:vAlign w:val="center"/>
          </w:tcPr>
          <w:p w14:paraId="7F66C58E">
            <w:pPr>
              <w:bidi w:val="0"/>
              <w:jc w:val="center"/>
              <w:rPr>
                <w:color w:val="auto"/>
              </w:rPr>
            </w:pPr>
            <w:r>
              <w:rPr>
                <w:color w:val="auto"/>
              </w:rPr>
              <w:t>凝点</w:t>
            </w:r>
          </w:p>
        </w:tc>
        <w:tc>
          <w:tcPr>
            <w:tcW w:w="406" w:type="pct"/>
            <w:noWrap w:val="0"/>
            <w:tcMar>
              <w:top w:w="12" w:type="dxa"/>
              <w:left w:w="12" w:type="dxa"/>
              <w:right w:w="12" w:type="dxa"/>
            </w:tcMar>
            <w:vAlign w:val="center"/>
          </w:tcPr>
          <w:p w14:paraId="5FF7EE57">
            <w:pPr>
              <w:bidi w:val="0"/>
              <w:jc w:val="center"/>
              <w:rPr>
                <w:color w:val="auto"/>
              </w:rPr>
            </w:pPr>
            <w:r>
              <w:rPr>
                <w:color w:val="auto"/>
              </w:rPr>
              <w:t>蜡含量</w:t>
            </w:r>
          </w:p>
        </w:tc>
        <w:tc>
          <w:tcPr>
            <w:tcW w:w="459" w:type="pct"/>
            <w:noWrap w:val="0"/>
            <w:tcMar>
              <w:top w:w="12" w:type="dxa"/>
              <w:left w:w="12" w:type="dxa"/>
              <w:right w:w="12" w:type="dxa"/>
            </w:tcMar>
            <w:vAlign w:val="center"/>
          </w:tcPr>
          <w:p w14:paraId="51C69558">
            <w:pPr>
              <w:bidi w:val="0"/>
              <w:jc w:val="center"/>
              <w:rPr>
                <w:rFonts w:hint="eastAsia"/>
                <w:color w:val="auto"/>
              </w:rPr>
            </w:pPr>
            <w:r>
              <w:rPr>
                <w:rFonts w:hint="eastAsia"/>
                <w:color w:val="auto"/>
              </w:rPr>
              <w:t>析蜡点</w:t>
            </w:r>
          </w:p>
        </w:tc>
        <w:tc>
          <w:tcPr>
            <w:tcW w:w="459" w:type="pct"/>
            <w:noWrap w:val="0"/>
            <w:tcMar>
              <w:top w:w="12" w:type="dxa"/>
              <w:left w:w="12" w:type="dxa"/>
              <w:right w:w="12" w:type="dxa"/>
            </w:tcMar>
            <w:vAlign w:val="center"/>
          </w:tcPr>
          <w:p w14:paraId="68F79735">
            <w:pPr>
              <w:bidi w:val="0"/>
              <w:jc w:val="center"/>
              <w:rPr>
                <w:color w:val="auto"/>
              </w:rPr>
            </w:pPr>
            <w:r>
              <w:rPr>
                <w:color w:val="auto"/>
              </w:rPr>
              <w:t>胶质</w:t>
            </w:r>
          </w:p>
        </w:tc>
        <w:tc>
          <w:tcPr>
            <w:tcW w:w="406" w:type="pct"/>
            <w:noWrap w:val="0"/>
            <w:tcMar>
              <w:top w:w="12" w:type="dxa"/>
              <w:left w:w="12" w:type="dxa"/>
              <w:right w:w="12" w:type="dxa"/>
            </w:tcMar>
            <w:vAlign w:val="center"/>
          </w:tcPr>
          <w:p w14:paraId="0AC32309">
            <w:pPr>
              <w:bidi w:val="0"/>
              <w:jc w:val="center"/>
              <w:rPr>
                <w:color w:val="auto"/>
              </w:rPr>
            </w:pPr>
            <w:r>
              <w:rPr>
                <w:color w:val="auto"/>
              </w:rPr>
              <w:t>沥青质</w:t>
            </w:r>
          </w:p>
        </w:tc>
        <w:tc>
          <w:tcPr>
            <w:tcW w:w="514" w:type="pct"/>
            <w:noWrap w:val="0"/>
            <w:tcMar>
              <w:top w:w="12" w:type="dxa"/>
              <w:left w:w="12" w:type="dxa"/>
              <w:right w:w="12" w:type="dxa"/>
            </w:tcMar>
            <w:vAlign w:val="center"/>
          </w:tcPr>
          <w:p w14:paraId="67A13248">
            <w:pPr>
              <w:bidi w:val="0"/>
              <w:jc w:val="center"/>
              <w:rPr>
                <w:color w:val="auto"/>
              </w:rPr>
            </w:pPr>
            <w:r>
              <w:rPr>
                <w:color w:val="auto"/>
              </w:rPr>
              <w:t>硫含量</w:t>
            </w:r>
          </w:p>
        </w:tc>
      </w:tr>
      <w:tr w14:paraId="5E17AD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626" w:type="pct"/>
            <w:noWrap w:val="0"/>
            <w:tcMar>
              <w:top w:w="12" w:type="dxa"/>
              <w:left w:w="12" w:type="dxa"/>
              <w:right w:w="12" w:type="dxa"/>
            </w:tcMar>
            <w:vAlign w:val="center"/>
          </w:tcPr>
          <w:p w14:paraId="78D7065F">
            <w:pPr>
              <w:bidi w:val="0"/>
              <w:jc w:val="center"/>
              <w:rPr>
                <w:color w:val="auto"/>
              </w:rPr>
            </w:pPr>
            <w:r>
              <w:rPr>
                <w:color w:val="auto"/>
              </w:rPr>
              <w:t>g/cm</w:t>
            </w:r>
            <w:r>
              <w:rPr>
                <w:color w:val="auto"/>
                <w:vertAlign w:val="superscript"/>
              </w:rPr>
              <w:t>3</w:t>
            </w:r>
          </w:p>
        </w:tc>
        <w:tc>
          <w:tcPr>
            <w:tcW w:w="626" w:type="pct"/>
            <w:noWrap w:val="0"/>
            <w:tcMar>
              <w:top w:w="12" w:type="dxa"/>
              <w:left w:w="12" w:type="dxa"/>
              <w:right w:w="12" w:type="dxa"/>
            </w:tcMar>
            <w:vAlign w:val="center"/>
          </w:tcPr>
          <w:p w14:paraId="10CEE029">
            <w:pPr>
              <w:bidi w:val="0"/>
              <w:jc w:val="center"/>
              <w:rPr>
                <w:color w:val="auto"/>
              </w:rPr>
            </w:pPr>
            <w:r>
              <w:rPr>
                <w:color w:val="auto"/>
              </w:rPr>
              <w:t>g/cm</w:t>
            </w:r>
            <w:r>
              <w:rPr>
                <w:color w:val="auto"/>
                <w:vertAlign w:val="superscript"/>
              </w:rPr>
              <w:t>3</w:t>
            </w:r>
          </w:p>
        </w:tc>
        <w:tc>
          <w:tcPr>
            <w:tcW w:w="546" w:type="pct"/>
            <w:noWrap w:val="0"/>
            <w:tcMar>
              <w:top w:w="12" w:type="dxa"/>
              <w:left w:w="12" w:type="dxa"/>
              <w:right w:w="12" w:type="dxa"/>
            </w:tcMar>
            <w:vAlign w:val="center"/>
          </w:tcPr>
          <w:p w14:paraId="000CEB16">
            <w:pPr>
              <w:bidi w:val="0"/>
              <w:jc w:val="center"/>
              <w:rPr>
                <w:color w:val="auto"/>
              </w:rPr>
            </w:pPr>
            <w:r>
              <w:rPr>
                <w:color w:val="auto"/>
              </w:rPr>
              <w:t>mm</w:t>
            </w:r>
            <w:r>
              <w:rPr>
                <w:color w:val="auto"/>
                <w:vertAlign w:val="superscript"/>
              </w:rPr>
              <w:t>2</w:t>
            </w:r>
            <w:r>
              <w:rPr>
                <w:color w:val="auto"/>
              </w:rPr>
              <w:t>/s</w:t>
            </w:r>
          </w:p>
        </w:tc>
        <w:tc>
          <w:tcPr>
            <w:tcW w:w="540" w:type="pct"/>
            <w:noWrap w:val="0"/>
            <w:tcMar>
              <w:top w:w="12" w:type="dxa"/>
              <w:left w:w="12" w:type="dxa"/>
              <w:right w:w="12" w:type="dxa"/>
            </w:tcMar>
            <w:vAlign w:val="center"/>
          </w:tcPr>
          <w:p w14:paraId="5D1C4AB6">
            <w:pPr>
              <w:bidi w:val="0"/>
              <w:jc w:val="center"/>
              <w:rPr>
                <w:color w:val="auto"/>
              </w:rPr>
            </w:pPr>
            <w:r>
              <w:rPr>
                <w:color w:val="auto"/>
              </w:rPr>
              <w:t>mPa·s</w:t>
            </w:r>
          </w:p>
        </w:tc>
        <w:tc>
          <w:tcPr>
            <w:tcW w:w="415" w:type="pct"/>
            <w:noWrap w:val="0"/>
            <w:tcMar>
              <w:top w:w="12" w:type="dxa"/>
              <w:left w:w="12" w:type="dxa"/>
              <w:right w:w="12" w:type="dxa"/>
            </w:tcMar>
            <w:vAlign w:val="center"/>
          </w:tcPr>
          <w:p w14:paraId="674FEC47">
            <w:pPr>
              <w:bidi w:val="0"/>
              <w:jc w:val="center"/>
              <w:rPr>
                <w:color w:val="auto"/>
              </w:rPr>
            </w:pPr>
            <w:r>
              <w:rPr>
                <w:color w:val="auto"/>
              </w:rPr>
              <w:t>℃</w:t>
            </w:r>
          </w:p>
        </w:tc>
        <w:tc>
          <w:tcPr>
            <w:tcW w:w="406" w:type="pct"/>
            <w:noWrap w:val="0"/>
            <w:tcMar>
              <w:top w:w="12" w:type="dxa"/>
              <w:left w:w="12" w:type="dxa"/>
              <w:right w:w="12" w:type="dxa"/>
            </w:tcMar>
            <w:vAlign w:val="center"/>
          </w:tcPr>
          <w:p w14:paraId="32FE225D">
            <w:pPr>
              <w:bidi w:val="0"/>
              <w:jc w:val="center"/>
              <w:rPr>
                <w:color w:val="auto"/>
              </w:rPr>
            </w:pPr>
            <w:r>
              <w:rPr>
                <w:color w:val="auto"/>
              </w:rPr>
              <w:t>%</w:t>
            </w:r>
          </w:p>
        </w:tc>
        <w:tc>
          <w:tcPr>
            <w:tcW w:w="459" w:type="pct"/>
            <w:noWrap w:val="0"/>
            <w:tcMar>
              <w:top w:w="12" w:type="dxa"/>
              <w:left w:w="12" w:type="dxa"/>
              <w:right w:w="12" w:type="dxa"/>
            </w:tcMar>
            <w:vAlign w:val="center"/>
          </w:tcPr>
          <w:p w14:paraId="51CCAC63">
            <w:pPr>
              <w:bidi w:val="0"/>
              <w:jc w:val="center"/>
              <w:rPr>
                <w:color w:val="auto"/>
              </w:rPr>
            </w:pPr>
            <w:r>
              <w:rPr>
                <w:color w:val="auto"/>
              </w:rPr>
              <w:t>℃</w:t>
            </w:r>
          </w:p>
        </w:tc>
        <w:tc>
          <w:tcPr>
            <w:tcW w:w="459" w:type="pct"/>
            <w:noWrap w:val="0"/>
            <w:tcMar>
              <w:top w:w="12" w:type="dxa"/>
              <w:left w:w="12" w:type="dxa"/>
              <w:right w:w="12" w:type="dxa"/>
            </w:tcMar>
            <w:vAlign w:val="center"/>
          </w:tcPr>
          <w:p w14:paraId="25BA475F">
            <w:pPr>
              <w:bidi w:val="0"/>
              <w:jc w:val="center"/>
              <w:rPr>
                <w:color w:val="auto"/>
              </w:rPr>
            </w:pPr>
            <w:r>
              <w:rPr>
                <w:color w:val="auto"/>
              </w:rPr>
              <w:t>%</w:t>
            </w:r>
          </w:p>
        </w:tc>
        <w:tc>
          <w:tcPr>
            <w:tcW w:w="406" w:type="pct"/>
            <w:noWrap w:val="0"/>
            <w:tcMar>
              <w:top w:w="12" w:type="dxa"/>
              <w:left w:w="12" w:type="dxa"/>
              <w:right w:w="12" w:type="dxa"/>
            </w:tcMar>
            <w:vAlign w:val="center"/>
          </w:tcPr>
          <w:p w14:paraId="380D568A">
            <w:pPr>
              <w:bidi w:val="0"/>
              <w:jc w:val="center"/>
              <w:rPr>
                <w:color w:val="auto"/>
              </w:rPr>
            </w:pPr>
            <w:r>
              <w:rPr>
                <w:color w:val="auto"/>
              </w:rPr>
              <w:t>%</w:t>
            </w:r>
          </w:p>
        </w:tc>
        <w:tc>
          <w:tcPr>
            <w:tcW w:w="514" w:type="pct"/>
            <w:noWrap w:val="0"/>
            <w:tcMar>
              <w:top w:w="12" w:type="dxa"/>
              <w:left w:w="12" w:type="dxa"/>
              <w:right w:w="12" w:type="dxa"/>
            </w:tcMar>
            <w:vAlign w:val="center"/>
          </w:tcPr>
          <w:p w14:paraId="770F62C3">
            <w:pPr>
              <w:bidi w:val="0"/>
              <w:jc w:val="center"/>
              <w:rPr>
                <w:color w:val="auto"/>
              </w:rPr>
            </w:pPr>
            <w:r>
              <w:rPr>
                <w:color w:val="auto"/>
              </w:rPr>
              <w:t>%</w:t>
            </w:r>
          </w:p>
        </w:tc>
      </w:tr>
      <w:tr w14:paraId="375008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626" w:type="pct"/>
            <w:noWrap w:val="0"/>
            <w:tcMar>
              <w:top w:w="12" w:type="dxa"/>
              <w:left w:w="12" w:type="dxa"/>
              <w:right w:w="12" w:type="dxa"/>
            </w:tcMar>
            <w:vAlign w:val="center"/>
          </w:tcPr>
          <w:p w14:paraId="2E1A3595">
            <w:pPr>
              <w:bidi w:val="0"/>
              <w:jc w:val="center"/>
              <w:rPr>
                <w:rFonts w:hint="default" w:eastAsia="宋体"/>
                <w:color w:val="auto"/>
                <w:lang w:val="en-US" w:eastAsia="zh-CN"/>
              </w:rPr>
            </w:pPr>
            <w:r>
              <w:rPr>
                <w:color w:val="auto"/>
              </w:rPr>
              <w:t>0.8</w:t>
            </w:r>
            <w:r>
              <w:rPr>
                <w:rFonts w:hint="eastAsia"/>
                <w:color w:val="auto"/>
                <w:lang w:val="en-US" w:eastAsia="zh-CN"/>
              </w:rPr>
              <w:t>52</w:t>
            </w:r>
          </w:p>
        </w:tc>
        <w:tc>
          <w:tcPr>
            <w:tcW w:w="626" w:type="pct"/>
            <w:noWrap w:val="0"/>
            <w:tcMar>
              <w:top w:w="12" w:type="dxa"/>
              <w:left w:w="12" w:type="dxa"/>
              <w:right w:w="12" w:type="dxa"/>
            </w:tcMar>
            <w:vAlign w:val="center"/>
          </w:tcPr>
          <w:p w14:paraId="3D4DFBCF">
            <w:pPr>
              <w:bidi w:val="0"/>
              <w:jc w:val="center"/>
              <w:rPr>
                <w:rFonts w:hint="default" w:eastAsia="宋体"/>
                <w:color w:val="auto"/>
                <w:lang w:val="en-US" w:eastAsia="zh-CN"/>
              </w:rPr>
            </w:pPr>
            <w:r>
              <w:rPr>
                <w:color w:val="auto"/>
              </w:rPr>
              <w:t>0.</w:t>
            </w:r>
            <w:r>
              <w:rPr>
                <w:rFonts w:hint="eastAsia"/>
                <w:color w:val="auto"/>
                <w:lang w:val="en-US" w:eastAsia="zh-CN"/>
              </w:rPr>
              <w:t>8308</w:t>
            </w:r>
          </w:p>
        </w:tc>
        <w:tc>
          <w:tcPr>
            <w:tcW w:w="546" w:type="pct"/>
            <w:noWrap w:val="0"/>
            <w:tcMar>
              <w:top w:w="12" w:type="dxa"/>
              <w:left w:w="12" w:type="dxa"/>
              <w:right w:w="12" w:type="dxa"/>
            </w:tcMar>
            <w:vAlign w:val="center"/>
          </w:tcPr>
          <w:p w14:paraId="08291060">
            <w:pPr>
              <w:bidi w:val="0"/>
              <w:jc w:val="center"/>
              <w:rPr>
                <w:rFonts w:hint="default" w:eastAsia="宋体"/>
                <w:color w:val="auto"/>
                <w:lang w:val="en-US" w:eastAsia="zh-CN"/>
              </w:rPr>
            </w:pPr>
            <w:r>
              <w:rPr>
                <w:rFonts w:hint="eastAsia"/>
                <w:color w:val="auto"/>
                <w:lang w:val="en-US" w:eastAsia="zh-CN"/>
              </w:rPr>
              <w:t>6.423</w:t>
            </w:r>
          </w:p>
        </w:tc>
        <w:tc>
          <w:tcPr>
            <w:tcW w:w="540" w:type="pct"/>
            <w:noWrap w:val="0"/>
            <w:tcMar>
              <w:top w:w="12" w:type="dxa"/>
              <w:left w:w="12" w:type="dxa"/>
              <w:right w:w="12" w:type="dxa"/>
            </w:tcMar>
            <w:vAlign w:val="center"/>
          </w:tcPr>
          <w:p w14:paraId="267E5DD9">
            <w:pPr>
              <w:bidi w:val="0"/>
              <w:jc w:val="center"/>
              <w:rPr>
                <w:rFonts w:hint="default" w:eastAsia="宋体"/>
                <w:color w:val="auto"/>
                <w:lang w:val="en-US" w:eastAsia="zh-CN"/>
              </w:rPr>
            </w:pPr>
            <w:r>
              <w:rPr>
                <w:rFonts w:hint="eastAsia"/>
                <w:color w:val="auto"/>
                <w:lang w:val="en-US" w:eastAsia="zh-CN"/>
              </w:rPr>
              <w:t>5.336</w:t>
            </w:r>
          </w:p>
        </w:tc>
        <w:tc>
          <w:tcPr>
            <w:tcW w:w="415" w:type="pct"/>
            <w:noWrap w:val="0"/>
            <w:tcMar>
              <w:top w:w="12" w:type="dxa"/>
              <w:left w:w="12" w:type="dxa"/>
              <w:right w:w="12" w:type="dxa"/>
            </w:tcMar>
            <w:vAlign w:val="center"/>
          </w:tcPr>
          <w:p w14:paraId="03402869">
            <w:pPr>
              <w:bidi w:val="0"/>
              <w:jc w:val="center"/>
              <w:rPr>
                <w:rFonts w:hint="default" w:eastAsia="宋体"/>
                <w:color w:val="auto"/>
                <w:lang w:val="en-US" w:eastAsia="zh-CN"/>
              </w:rPr>
            </w:pPr>
            <w:r>
              <w:rPr>
                <w:rFonts w:hint="eastAsia"/>
                <w:color w:val="auto"/>
              </w:rPr>
              <w:t>-</w:t>
            </w:r>
            <w:r>
              <w:rPr>
                <w:rFonts w:hint="eastAsia"/>
                <w:color w:val="auto"/>
                <w:lang w:val="en-US" w:eastAsia="zh-CN"/>
              </w:rPr>
              <w:t>12</w:t>
            </w:r>
          </w:p>
        </w:tc>
        <w:tc>
          <w:tcPr>
            <w:tcW w:w="406" w:type="pct"/>
            <w:noWrap w:val="0"/>
            <w:tcMar>
              <w:top w:w="12" w:type="dxa"/>
              <w:left w:w="12" w:type="dxa"/>
              <w:right w:w="12" w:type="dxa"/>
            </w:tcMar>
            <w:vAlign w:val="center"/>
          </w:tcPr>
          <w:p w14:paraId="7522EA5E">
            <w:pPr>
              <w:bidi w:val="0"/>
              <w:jc w:val="center"/>
              <w:rPr>
                <w:rFonts w:hint="default" w:eastAsia="宋体"/>
                <w:color w:val="auto"/>
                <w:lang w:val="en-US" w:eastAsia="zh-CN"/>
              </w:rPr>
            </w:pPr>
            <w:r>
              <w:rPr>
                <w:rFonts w:hint="eastAsia"/>
                <w:color w:val="auto"/>
                <w:lang w:val="en-US" w:eastAsia="zh-CN"/>
              </w:rPr>
              <w:t>4.4</w:t>
            </w:r>
          </w:p>
        </w:tc>
        <w:tc>
          <w:tcPr>
            <w:tcW w:w="459" w:type="pct"/>
            <w:noWrap w:val="0"/>
            <w:tcMar>
              <w:top w:w="12" w:type="dxa"/>
              <w:left w:w="12" w:type="dxa"/>
              <w:right w:w="12" w:type="dxa"/>
            </w:tcMar>
            <w:vAlign w:val="center"/>
          </w:tcPr>
          <w:p w14:paraId="38A92085">
            <w:pPr>
              <w:bidi w:val="0"/>
              <w:jc w:val="center"/>
              <w:rPr>
                <w:rFonts w:hint="default" w:eastAsia="宋体"/>
                <w:color w:val="auto"/>
                <w:lang w:val="en-US" w:eastAsia="zh-CN"/>
              </w:rPr>
            </w:pPr>
            <w:r>
              <w:rPr>
                <w:rFonts w:hint="eastAsia"/>
                <w:color w:val="auto"/>
                <w:lang w:val="en-US" w:eastAsia="zh-CN"/>
              </w:rPr>
              <w:t>30</w:t>
            </w:r>
          </w:p>
        </w:tc>
        <w:tc>
          <w:tcPr>
            <w:tcW w:w="459" w:type="pct"/>
            <w:noWrap w:val="0"/>
            <w:tcMar>
              <w:top w:w="12" w:type="dxa"/>
              <w:left w:w="12" w:type="dxa"/>
              <w:right w:w="12" w:type="dxa"/>
            </w:tcMar>
            <w:vAlign w:val="center"/>
          </w:tcPr>
          <w:p w14:paraId="6FFE6F74">
            <w:pPr>
              <w:bidi w:val="0"/>
              <w:jc w:val="center"/>
              <w:rPr>
                <w:rFonts w:hint="default" w:eastAsia="宋体"/>
                <w:color w:val="auto"/>
                <w:lang w:val="en-US" w:eastAsia="zh-CN"/>
              </w:rPr>
            </w:pPr>
            <w:r>
              <w:rPr>
                <w:rFonts w:hint="eastAsia"/>
                <w:color w:val="auto"/>
                <w:lang w:val="en-US" w:eastAsia="zh-CN"/>
              </w:rPr>
              <w:t>1.87</w:t>
            </w:r>
          </w:p>
        </w:tc>
        <w:tc>
          <w:tcPr>
            <w:tcW w:w="406" w:type="pct"/>
            <w:noWrap w:val="0"/>
            <w:tcMar>
              <w:top w:w="12" w:type="dxa"/>
              <w:left w:w="12" w:type="dxa"/>
              <w:right w:w="12" w:type="dxa"/>
            </w:tcMar>
            <w:vAlign w:val="center"/>
          </w:tcPr>
          <w:p w14:paraId="7C19376C">
            <w:pPr>
              <w:bidi w:val="0"/>
              <w:jc w:val="center"/>
              <w:rPr>
                <w:rFonts w:hint="default" w:eastAsia="宋体"/>
                <w:color w:val="auto"/>
                <w:lang w:val="en-US" w:eastAsia="zh-CN"/>
              </w:rPr>
            </w:pPr>
            <w:r>
              <w:rPr>
                <w:rFonts w:hint="eastAsia"/>
                <w:color w:val="auto"/>
                <w:lang w:val="en-US" w:eastAsia="zh-CN"/>
              </w:rPr>
              <w:t>1.48</w:t>
            </w:r>
          </w:p>
        </w:tc>
        <w:tc>
          <w:tcPr>
            <w:tcW w:w="514" w:type="pct"/>
            <w:noWrap w:val="0"/>
            <w:tcMar>
              <w:top w:w="12" w:type="dxa"/>
              <w:left w:w="12" w:type="dxa"/>
              <w:right w:w="12" w:type="dxa"/>
            </w:tcMar>
            <w:vAlign w:val="center"/>
          </w:tcPr>
          <w:p w14:paraId="3FAA8793">
            <w:pPr>
              <w:bidi w:val="0"/>
              <w:jc w:val="center"/>
              <w:rPr>
                <w:rFonts w:hint="default" w:eastAsia="宋体"/>
                <w:color w:val="auto"/>
                <w:lang w:val="en-US" w:eastAsia="zh-CN"/>
              </w:rPr>
            </w:pPr>
            <w:r>
              <w:rPr>
                <w:rFonts w:hint="eastAsia"/>
                <w:color w:val="auto"/>
                <w:lang w:val="en-US" w:eastAsia="zh-CN"/>
              </w:rPr>
              <w:t>0.743</w:t>
            </w:r>
          </w:p>
        </w:tc>
      </w:tr>
    </w:tbl>
    <w:p w14:paraId="725F062D">
      <w:pPr>
        <w:pStyle w:val="171"/>
        <w:keepNext w:val="0"/>
        <w:keepLines w:val="0"/>
        <w:pageBreakBefore w:val="0"/>
        <w:widowControl w:val="0"/>
        <w:kinsoku/>
        <w:wordWrap/>
        <w:overflowPunct/>
        <w:topLinePunct w:val="0"/>
        <w:autoSpaceDE/>
        <w:autoSpaceDN/>
        <w:bidi w:val="0"/>
        <w:adjustRightInd/>
        <w:snapToGrid/>
        <w:spacing w:beforeLines="0" w:afterLines="0" w:line="360" w:lineRule="exact"/>
        <w:ind w:firstLine="360" w:firstLineChars="200"/>
        <w:textAlignment w:val="auto"/>
        <w:rPr>
          <w:rFonts w:hint="eastAsia" w:ascii="Times New Roman" w:hAnsi="Times New Roman" w:eastAsia="宋体" w:cs="Times New Roman"/>
          <w:b w:val="0"/>
          <w:bCs/>
          <w:i w:val="0"/>
          <w:iCs w:val="0"/>
          <w:color w:val="auto"/>
          <w:sz w:val="18"/>
          <w:szCs w:val="18"/>
          <w:highlight w:val="none"/>
          <w:lang w:eastAsia="zh-CN"/>
        </w:rPr>
      </w:pPr>
      <w:r>
        <w:rPr>
          <w:rFonts w:hint="default" w:ascii="Times New Roman" w:hAnsi="Times New Roman" w:eastAsia="宋体" w:cs="Times New Roman"/>
          <w:b w:val="0"/>
          <w:bCs/>
          <w:i w:val="0"/>
          <w:iCs w:val="0"/>
          <w:color w:val="auto"/>
          <w:sz w:val="18"/>
          <w:szCs w:val="18"/>
          <w:highlight w:val="none"/>
        </w:rPr>
        <w:t>注：以上数据来自2024年</w:t>
      </w:r>
      <w:r>
        <w:rPr>
          <w:rFonts w:hint="eastAsia" w:ascii="Times New Roman" w:hAnsi="Times New Roman" w:eastAsia="宋体" w:cs="Times New Roman"/>
          <w:b w:val="0"/>
          <w:bCs/>
          <w:i w:val="0"/>
          <w:iCs w:val="0"/>
          <w:color w:val="auto"/>
          <w:sz w:val="18"/>
          <w:szCs w:val="18"/>
          <w:highlight w:val="none"/>
          <w:lang w:val="en-US" w:eastAsia="zh-CN"/>
        </w:rPr>
        <w:t>9</w:t>
      </w:r>
      <w:r>
        <w:rPr>
          <w:rFonts w:hint="default" w:ascii="Times New Roman" w:hAnsi="Times New Roman" w:eastAsia="宋体" w:cs="Times New Roman"/>
          <w:b w:val="0"/>
          <w:bCs/>
          <w:i w:val="0"/>
          <w:iCs w:val="0"/>
          <w:color w:val="auto"/>
          <w:sz w:val="18"/>
          <w:szCs w:val="18"/>
          <w:highlight w:val="none"/>
        </w:rPr>
        <w:t>月</w:t>
      </w:r>
      <w:r>
        <w:rPr>
          <w:rFonts w:hint="eastAsia" w:ascii="Times New Roman" w:hAnsi="Times New Roman" w:eastAsia="宋体" w:cs="Times New Roman"/>
          <w:b w:val="0"/>
          <w:bCs/>
          <w:i w:val="0"/>
          <w:iCs w:val="0"/>
          <w:color w:val="auto"/>
          <w:sz w:val="18"/>
          <w:szCs w:val="18"/>
          <w:highlight w:val="none"/>
          <w:lang w:val="en-US" w:eastAsia="zh-CN"/>
        </w:rPr>
        <w:t>2</w:t>
      </w:r>
      <w:r>
        <w:rPr>
          <w:rFonts w:hint="default" w:ascii="Times New Roman" w:hAnsi="Times New Roman" w:eastAsia="宋体" w:cs="Times New Roman"/>
          <w:b w:val="0"/>
          <w:bCs/>
          <w:i w:val="0"/>
          <w:iCs w:val="0"/>
          <w:color w:val="auto"/>
          <w:sz w:val="18"/>
          <w:szCs w:val="18"/>
          <w:highlight w:val="none"/>
        </w:rPr>
        <w:t>日雄</w:t>
      </w:r>
      <w:r>
        <w:rPr>
          <w:rFonts w:hint="eastAsia" w:ascii="Times New Roman" w:hAnsi="Times New Roman" w:eastAsia="宋体" w:cs="Times New Roman"/>
          <w:b w:val="0"/>
          <w:bCs/>
          <w:i w:val="0"/>
          <w:iCs w:val="0"/>
          <w:color w:val="auto"/>
          <w:sz w:val="18"/>
          <w:szCs w:val="18"/>
          <w:highlight w:val="none"/>
          <w:lang w:val="en-US" w:eastAsia="zh-CN"/>
        </w:rPr>
        <w:t>英2</w:t>
      </w:r>
      <w:r>
        <w:rPr>
          <w:rFonts w:hint="default" w:ascii="Times New Roman" w:hAnsi="Times New Roman" w:eastAsia="宋体" w:cs="Times New Roman"/>
          <w:b w:val="0"/>
          <w:bCs/>
          <w:i w:val="0"/>
          <w:iCs w:val="0"/>
          <w:color w:val="auto"/>
          <w:sz w:val="18"/>
          <w:szCs w:val="18"/>
          <w:highlight w:val="none"/>
        </w:rPr>
        <w:t>井油气分析报告</w:t>
      </w:r>
      <w:r>
        <w:rPr>
          <w:rFonts w:hint="eastAsia" w:ascii="Times New Roman" w:hAnsi="Times New Roman" w:eastAsia="宋体" w:cs="Times New Roman"/>
          <w:b w:val="0"/>
          <w:bCs/>
          <w:i w:val="0"/>
          <w:iCs w:val="0"/>
          <w:color w:val="auto"/>
          <w:sz w:val="18"/>
          <w:szCs w:val="18"/>
          <w:highlight w:val="none"/>
          <w:lang w:eastAsia="zh-CN"/>
        </w:rPr>
        <w:t>。</w:t>
      </w:r>
    </w:p>
    <w:p w14:paraId="544AB934">
      <w:pPr>
        <w:pStyle w:val="54"/>
        <w:bidi w:val="0"/>
        <w:rPr>
          <w:rFonts w:hint="default"/>
          <w:color w:val="auto"/>
          <w:lang w:val="en-US"/>
        </w:rPr>
      </w:pPr>
      <w:r>
        <w:rPr>
          <w:rFonts w:hint="default"/>
          <w:color w:val="auto"/>
        </w:rPr>
        <w:t>3.</w:t>
      </w:r>
      <w:r>
        <w:rPr>
          <w:rFonts w:hint="eastAsia"/>
          <w:color w:val="auto"/>
          <w:lang w:val="en-US" w:eastAsia="zh-CN"/>
        </w:rPr>
        <w:t>2.3 主要技术经济指标</w:t>
      </w:r>
    </w:p>
    <w:p w14:paraId="78A3CC81">
      <w:pPr>
        <w:pStyle w:val="79"/>
        <w:bidi w:val="0"/>
        <w:rPr>
          <w:rFonts w:hint="default"/>
          <w:color w:val="auto"/>
          <w:lang w:val="en-US" w:eastAsia="zh-CN"/>
        </w:rPr>
      </w:pPr>
      <w:r>
        <w:rPr>
          <w:rFonts w:hint="default"/>
          <w:color w:val="auto"/>
          <w:lang w:val="en-US" w:eastAsia="zh-CN"/>
        </w:rPr>
        <w:t>（1）建设规模</w:t>
      </w:r>
    </w:p>
    <w:p w14:paraId="7E2F89A4">
      <w:pPr>
        <w:pStyle w:val="79"/>
        <w:bidi w:val="0"/>
        <w:rPr>
          <w:rFonts w:hint="default"/>
          <w:color w:val="auto"/>
          <w:lang w:val="en-US" w:eastAsia="zh-CN"/>
        </w:rPr>
      </w:pPr>
      <w:r>
        <w:rPr>
          <w:rFonts w:hint="default"/>
          <w:color w:val="auto"/>
          <w:lang w:val="en-US" w:eastAsia="zh-CN"/>
        </w:rPr>
        <w:t>方案设计试采井</w:t>
      </w:r>
      <w:r>
        <w:rPr>
          <w:rFonts w:hint="eastAsia"/>
          <w:color w:val="auto"/>
          <w:lang w:val="en-US" w:eastAsia="zh-CN"/>
        </w:rPr>
        <w:t>6</w:t>
      </w:r>
      <w:r>
        <w:rPr>
          <w:rFonts w:hint="default"/>
          <w:color w:val="auto"/>
          <w:lang w:val="en-US" w:eastAsia="zh-CN"/>
        </w:rPr>
        <w:t>口（雄探1、雄英101、雄英102、雄英103、雄英</w:t>
      </w:r>
      <w:r>
        <w:rPr>
          <w:rFonts w:hint="eastAsia"/>
          <w:color w:val="auto"/>
          <w:lang w:val="en-US" w:eastAsia="zh-CN"/>
        </w:rPr>
        <w:t>2</w:t>
      </w:r>
      <w:r>
        <w:rPr>
          <w:rFonts w:hint="default"/>
          <w:color w:val="auto"/>
          <w:lang w:val="en-US" w:eastAsia="zh-CN"/>
        </w:rPr>
        <w:t>、雄英3），采用标准化</w:t>
      </w:r>
      <w:r>
        <w:rPr>
          <w:rFonts w:hint="eastAsia"/>
          <w:color w:val="auto"/>
          <w:lang w:val="en-US" w:eastAsia="zh-CN"/>
        </w:rPr>
        <w:t>油井</w:t>
      </w:r>
      <w:r>
        <w:rPr>
          <w:rFonts w:hint="default"/>
          <w:color w:val="auto"/>
          <w:lang w:val="en-US" w:eastAsia="zh-CN"/>
        </w:rPr>
        <w:t>设计。本工程设计规模见表</w:t>
      </w:r>
      <w:r>
        <w:rPr>
          <w:rFonts w:hint="eastAsia"/>
          <w:color w:val="auto"/>
          <w:lang w:val="en-US" w:eastAsia="zh-CN"/>
        </w:rPr>
        <w:t>3.2-6</w:t>
      </w:r>
      <w:r>
        <w:rPr>
          <w:rFonts w:hint="default"/>
          <w:color w:val="auto"/>
          <w:lang w:val="en-US" w:eastAsia="zh-CN"/>
        </w:rPr>
        <w:t>。</w:t>
      </w:r>
    </w:p>
    <w:p w14:paraId="3FFCDBA6">
      <w:pPr>
        <w:pStyle w:val="61"/>
        <w:bidi w:val="0"/>
        <w:jc w:val="both"/>
        <w:rPr>
          <w:rFonts w:hint="eastAsia"/>
          <w:color w:val="auto"/>
          <w:lang w:val="en-US" w:eastAsia="zh-CN"/>
        </w:rPr>
      </w:pPr>
      <w:r>
        <w:rPr>
          <w:rFonts w:hint="eastAsia"/>
          <w:color w:val="auto"/>
          <w:lang w:eastAsia="zh-CN"/>
        </w:rPr>
        <w:t>表</w:t>
      </w:r>
      <w:r>
        <w:rPr>
          <w:rFonts w:hint="eastAsia"/>
          <w:color w:val="auto"/>
          <w:lang w:val="en-US" w:eastAsia="zh-CN"/>
        </w:rPr>
        <w:t>3.2-6  地面工程建设规模一览表</w:t>
      </w:r>
    </w:p>
    <w:tbl>
      <w:tblPr>
        <w:tblStyle w:val="36"/>
        <w:tblW w:w="494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26"/>
        <w:gridCol w:w="1111"/>
        <w:gridCol w:w="1909"/>
        <w:gridCol w:w="2750"/>
        <w:gridCol w:w="2148"/>
      </w:tblGrid>
      <w:tr w14:paraId="71FEE2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2" w:type="pct"/>
            <w:tcBorders>
              <w:tl2br w:val="nil"/>
              <w:tr2bl w:val="nil"/>
            </w:tcBorders>
            <w:noWrap w:val="0"/>
            <w:vAlign w:val="center"/>
          </w:tcPr>
          <w:p w14:paraId="2779779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top"/>
              <w:rPr>
                <w:i w:val="0"/>
                <w:iCs w:val="0"/>
                <w:color w:val="auto"/>
                <w:kern w:val="0"/>
                <w:sz w:val="21"/>
                <w:szCs w:val="21"/>
                <w:highlight w:val="none"/>
                <w:lang w:bidi="ar"/>
              </w:rPr>
            </w:pPr>
            <w:r>
              <w:rPr>
                <w:i w:val="0"/>
                <w:iCs w:val="0"/>
                <w:color w:val="auto"/>
                <w:kern w:val="0"/>
                <w:sz w:val="21"/>
                <w:szCs w:val="21"/>
                <w:highlight w:val="none"/>
                <w:lang w:bidi="ar"/>
              </w:rPr>
              <w:t>序号</w:t>
            </w:r>
          </w:p>
        </w:tc>
        <w:tc>
          <w:tcPr>
            <w:tcW w:w="1726" w:type="pct"/>
            <w:gridSpan w:val="2"/>
            <w:tcBorders>
              <w:tl2br w:val="nil"/>
              <w:tr2bl w:val="nil"/>
            </w:tcBorders>
            <w:noWrap w:val="0"/>
            <w:vAlign w:val="center"/>
          </w:tcPr>
          <w:p w14:paraId="0B470E8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top"/>
              <w:rPr>
                <w:rFonts w:hint="eastAsia" w:eastAsia="宋体"/>
                <w:i w:val="0"/>
                <w:iCs w:val="0"/>
                <w:color w:val="auto"/>
                <w:kern w:val="0"/>
                <w:sz w:val="21"/>
                <w:szCs w:val="21"/>
                <w:highlight w:val="none"/>
                <w:lang w:eastAsia="zh-CN" w:bidi="ar"/>
              </w:rPr>
            </w:pPr>
            <w:r>
              <w:rPr>
                <w:rFonts w:hint="eastAsia"/>
                <w:i w:val="0"/>
                <w:iCs w:val="0"/>
                <w:color w:val="auto"/>
                <w:kern w:val="0"/>
                <w:sz w:val="21"/>
                <w:szCs w:val="21"/>
                <w:highlight w:val="none"/>
                <w:lang w:eastAsia="zh-CN" w:bidi="ar"/>
              </w:rPr>
              <w:t>工程内容</w:t>
            </w:r>
          </w:p>
        </w:tc>
        <w:tc>
          <w:tcPr>
            <w:tcW w:w="1572" w:type="pct"/>
            <w:tcBorders>
              <w:tl2br w:val="nil"/>
              <w:tr2bl w:val="nil"/>
            </w:tcBorders>
            <w:noWrap w:val="0"/>
            <w:vAlign w:val="center"/>
          </w:tcPr>
          <w:p w14:paraId="1A2CFDD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top"/>
              <w:rPr>
                <w:rFonts w:hint="eastAsia" w:eastAsia="宋体"/>
                <w:i w:val="0"/>
                <w:iCs w:val="0"/>
                <w:color w:val="auto"/>
                <w:kern w:val="0"/>
                <w:sz w:val="21"/>
                <w:szCs w:val="21"/>
                <w:highlight w:val="none"/>
                <w:lang w:eastAsia="zh-CN" w:bidi="ar"/>
              </w:rPr>
            </w:pPr>
            <w:r>
              <w:rPr>
                <w:rFonts w:hint="eastAsia"/>
                <w:i w:val="0"/>
                <w:iCs w:val="0"/>
                <w:color w:val="auto"/>
                <w:kern w:val="0"/>
                <w:sz w:val="21"/>
                <w:szCs w:val="21"/>
                <w:highlight w:val="none"/>
                <w:lang w:eastAsia="zh-CN" w:bidi="ar"/>
              </w:rPr>
              <w:t>单位</w:t>
            </w:r>
          </w:p>
        </w:tc>
        <w:tc>
          <w:tcPr>
            <w:tcW w:w="1228" w:type="pct"/>
            <w:tcBorders>
              <w:tl2br w:val="nil"/>
              <w:tr2bl w:val="nil"/>
            </w:tcBorders>
            <w:noWrap w:val="0"/>
            <w:vAlign w:val="center"/>
          </w:tcPr>
          <w:p w14:paraId="7A7A968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top"/>
              <w:rPr>
                <w:rFonts w:hint="eastAsia" w:eastAsia="宋体"/>
                <w:i w:val="0"/>
                <w:iCs w:val="0"/>
                <w:color w:val="auto"/>
                <w:kern w:val="0"/>
                <w:sz w:val="21"/>
                <w:szCs w:val="21"/>
                <w:highlight w:val="none"/>
                <w:lang w:eastAsia="zh-CN" w:bidi="ar"/>
              </w:rPr>
            </w:pPr>
            <w:r>
              <w:rPr>
                <w:rFonts w:hint="eastAsia"/>
                <w:i w:val="0"/>
                <w:iCs w:val="0"/>
                <w:color w:val="auto"/>
                <w:kern w:val="0"/>
                <w:sz w:val="21"/>
                <w:szCs w:val="21"/>
                <w:highlight w:val="none"/>
                <w:lang w:eastAsia="zh-CN" w:bidi="ar"/>
              </w:rPr>
              <w:t>规模</w:t>
            </w:r>
          </w:p>
        </w:tc>
      </w:tr>
      <w:tr w14:paraId="3F7BB2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2" w:type="pct"/>
            <w:tcBorders>
              <w:tl2br w:val="nil"/>
              <w:tr2bl w:val="nil"/>
            </w:tcBorders>
            <w:noWrap w:val="0"/>
            <w:vAlign w:val="center"/>
          </w:tcPr>
          <w:p w14:paraId="47004B1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top"/>
              <w:rPr>
                <w:i w:val="0"/>
                <w:iCs w:val="0"/>
                <w:color w:val="auto"/>
                <w:kern w:val="0"/>
                <w:sz w:val="21"/>
                <w:szCs w:val="21"/>
                <w:highlight w:val="none"/>
                <w:lang w:bidi="ar"/>
              </w:rPr>
            </w:pPr>
            <w:r>
              <w:rPr>
                <w:i w:val="0"/>
                <w:iCs w:val="0"/>
                <w:color w:val="auto"/>
                <w:kern w:val="0"/>
                <w:sz w:val="21"/>
                <w:szCs w:val="21"/>
                <w:highlight w:val="none"/>
                <w:lang w:bidi="ar"/>
              </w:rPr>
              <w:t>1</w:t>
            </w:r>
          </w:p>
        </w:tc>
        <w:tc>
          <w:tcPr>
            <w:tcW w:w="1726" w:type="pct"/>
            <w:gridSpan w:val="2"/>
            <w:tcBorders>
              <w:tl2br w:val="nil"/>
              <w:tr2bl w:val="nil"/>
            </w:tcBorders>
            <w:noWrap w:val="0"/>
            <w:vAlign w:val="center"/>
          </w:tcPr>
          <w:p w14:paraId="6F1939E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top"/>
              <w:rPr>
                <w:rFonts w:hint="default"/>
                <w:i w:val="0"/>
                <w:iCs w:val="0"/>
                <w:color w:val="auto"/>
                <w:sz w:val="21"/>
                <w:szCs w:val="21"/>
                <w:highlight w:val="none"/>
                <w:lang w:val="en-US" w:eastAsia="zh-CN"/>
              </w:rPr>
            </w:pPr>
            <w:r>
              <w:rPr>
                <w:rFonts w:hint="eastAsia"/>
                <w:i w:val="0"/>
                <w:iCs w:val="0"/>
                <w:color w:val="auto"/>
                <w:sz w:val="21"/>
                <w:szCs w:val="21"/>
                <w:highlight w:val="none"/>
                <w:lang w:val="en-US" w:eastAsia="zh-CN"/>
              </w:rPr>
              <w:t>生产井数</w:t>
            </w:r>
          </w:p>
        </w:tc>
        <w:tc>
          <w:tcPr>
            <w:tcW w:w="1572" w:type="pct"/>
            <w:tcBorders>
              <w:tl2br w:val="nil"/>
              <w:tr2bl w:val="nil"/>
            </w:tcBorders>
            <w:noWrap w:val="0"/>
            <w:vAlign w:val="center"/>
          </w:tcPr>
          <w:p w14:paraId="23C25BA3">
            <w:pPr>
              <w:pStyle w:val="86"/>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eastAsia="宋体"/>
                <w:i w:val="0"/>
                <w:iCs w:val="0"/>
                <w:color w:val="auto"/>
                <w:kern w:val="0"/>
                <w:sz w:val="21"/>
                <w:szCs w:val="21"/>
                <w:highlight w:val="none"/>
                <w:lang w:eastAsia="zh-CN" w:bidi="ar"/>
              </w:rPr>
            </w:pPr>
            <w:r>
              <w:rPr>
                <w:rFonts w:hint="eastAsia" w:eastAsia="宋体"/>
                <w:i w:val="0"/>
                <w:iCs w:val="0"/>
                <w:color w:val="auto"/>
                <w:kern w:val="0"/>
                <w:sz w:val="21"/>
                <w:szCs w:val="21"/>
                <w:highlight w:val="none"/>
                <w:lang w:eastAsia="zh-CN" w:bidi="ar"/>
              </w:rPr>
              <w:t>口</w:t>
            </w:r>
          </w:p>
        </w:tc>
        <w:tc>
          <w:tcPr>
            <w:tcW w:w="1228" w:type="pct"/>
            <w:tcBorders>
              <w:tl2br w:val="nil"/>
              <w:tr2bl w:val="nil"/>
            </w:tcBorders>
            <w:noWrap w:val="0"/>
            <w:vAlign w:val="center"/>
          </w:tcPr>
          <w:p w14:paraId="5F27728F">
            <w:pPr>
              <w:pStyle w:val="86"/>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6</w:t>
            </w:r>
          </w:p>
        </w:tc>
      </w:tr>
      <w:tr w14:paraId="338155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2" w:type="pct"/>
            <w:vMerge w:val="restart"/>
            <w:tcBorders>
              <w:tl2br w:val="nil"/>
              <w:tr2bl w:val="nil"/>
            </w:tcBorders>
            <w:noWrap w:val="0"/>
            <w:vAlign w:val="center"/>
          </w:tcPr>
          <w:p w14:paraId="1A784EE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top"/>
              <w:rPr>
                <w:i w:val="0"/>
                <w:iCs w:val="0"/>
                <w:color w:val="auto"/>
                <w:kern w:val="0"/>
                <w:sz w:val="21"/>
                <w:szCs w:val="21"/>
                <w:highlight w:val="none"/>
                <w:lang w:bidi="ar"/>
              </w:rPr>
            </w:pPr>
            <w:r>
              <w:rPr>
                <w:i w:val="0"/>
                <w:iCs w:val="0"/>
                <w:color w:val="auto"/>
                <w:kern w:val="0"/>
                <w:sz w:val="21"/>
                <w:szCs w:val="21"/>
                <w:highlight w:val="none"/>
                <w:lang w:bidi="ar"/>
              </w:rPr>
              <w:t>2</w:t>
            </w:r>
          </w:p>
        </w:tc>
        <w:tc>
          <w:tcPr>
            <w:tcW w:w="635" w:type="pct"/>
            <w:vMerge w:val="restart"/>
            <w:tcBorders>
              <w:tl2br w:val="nil"/>
              <w:tr2bl w:val="nil"/>
            </w:tcBorders>
            <w:noWrap w:val="0"/>
            <w:vAlign w:val="center"/>
          </w:tcPr>
          <w:p w14:paraId="7AC8A64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top"/>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配产能力</w:t>
            </w:r>
          </w:p>
        </w:tc>
        <w:tc>
          <w:tcPr>
            <w:tcW w:w="1090" w:type="pct"/>
            <w:tcBorders>
              <w:tl2br w:val="nil"/>
              <w:tr2bl w:val="nil"/>
            </w:tcBorders>
            <w:noWrap w:val="0"/>
            <w:vAlign w:val="center"/>
          </w:tcPr>
          <w:p w14:paraId="158DDB8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top"/>
              <w:rPr>
                <w:rFonts w:hint="eastAsia"/>
                <w:i w:val="0"/>
                <w:iCs w:val="0"/>
                <w:color w:val="auto"/>
                <w:kern w:val="0"/>
                <w:sz w:val="21"/>
                <w:szCs w:val="21"/>
                <w:highlight w:val="none"/>
                <w:lang w:eastAsia="zh-CN" w:bidi="ar"/>
              </w:rPr>
            </w:pPr>
            <w:r>
              <w:rPr>
                <w:rFonts w:hint="eastAsia"/>
                <w:i w:val="0"/>
                <w:iCs w:val="0"/>
                <w:color w:val="auto"/>
                <w:kern w:val="0"/>
                <w:sz w:val="21"/>
                <w:szCs w:val="21"/>
                <w:highlight w:val="none"/>
                <w:lang w:eastAsia="zh-CN" w:bidi="ar"/>
              </w:rPr>
              <w:t>天然气</w:t>
            </w:r>
          </w:p>
        </w:tc>
        <w:tc>
          <w:tcPr>
            <w:tcW w:w="1572" w:type="pct"/>
            <w:tcBorders>
              <w:tl2br w:val="nil"/>
              <w:tr2bl w:val="nil"/>
            </w:tcBorders>
            <w:noWrap w:val="0"/>
            <w:vAlign w:val="center"/>
          </w:tcPr>
          <w:p w14:paraId="00A26EA6">
            <w:pPr>
              <w:pStyle w:val="86"/>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eastAsia="宋体"/>
                <w:i w:val="0"/>
                <w:iCs w:val="0"/>
                <w:color w:val="auto"/>
                <w:kern w:val="0"/>
                <w:sz w:val="21"/>
                <w:szCs w:val="21"/>
                <w:highlight w:val="none"/>
                <w:lang w:val="en-US" w:eastAsia="zh-CN" w:bidi="ar"/>
              </w:rPr>
            </w:pPr>
            <w:r>
              <w:rPr>
                <w:i w:val="0"/>
                <w:iCs w:val="0"/>
                <w:color w:val="auto"/>
                <w:kern w:val="0"/>
                <w:sz w:val="21"/>
                <w:szCs w:val="21"/>
                <w:highlight w:val="none"/>
                <w:lang w:bidi="ar"/>
              </w:rPr>
              <w:t>10</w:t>
            </w:r>
            <w:r>
              <w:rPr>
                <w:rFonts w:hint="eastAsia"/>
                <w:i w:val="0"/>
                <w:iCs w:val="0"/>
                <w:color w:val="auto"/>
                <w:kern w:val="0"/>
                <w:sz w:val="21"/>
                <w:szCs w:val="21"/>
                <w:highlight w:val="none"/>
                <w:vertAlign w:val="superscript"/>
                <w:lang w:val="en-US" w:eastAsia="zh-CN" w:bidi="ar"/>
              </w:rPr>
              <w:t>8</w:t>
            </w:r>
            <w:r>
              <w:rPr>
                <w:i w:val="0"/>
                <w:iCs w:val="0"/>
                <w:color w:val="auto"/>
                <w:kern w:val="0"/>
                <w:sz w:val="21"/>
                <w:szCs w:val="21"/>
                <w:highlight w:val="none"/>
                <w:lang w:bidi="ar"/>
              </w:rPr>
              <w:t>m</w:t>
            </w:r>
            <w:r>
              <w:rPr>
                <w:i w:val="0"/>
                <w:iCs w:val="0"/>
                <w:color w:val="auto"/>
                <w:kern w:val="0"/>
                <w:sz w:val="21"/>
                <w:szCs w:val="21"/>
                <w:highlight w:val="none"/>
                <w:vertAlign w:val="superscript"/>
                <w:lang w:bidi="ar"/>
              </w:rPr>
              <w:t>3</w:t>
            </w:r>
            <w:r>
              <w:rPr>
                <w:i w:val="0"/>
                <w:iCs w:val="0"/>
                <w:color w:val="auto"/>
                <w:kern w:val="0"/>
                <w:sz w:val="21"/>
                <w:szCs w:val="21"/>
                <w:highlight w:val="none"/>
                <w:lang w:bidi="ar"/>
              </w:rPr>
              <w:t>/</w:t>
            </w:r>
            <w:r>
              <w:rPr>
                <w:rFonts w:hint="eastAsia"/>
                <w:i w:val="0"/>
                <w:iCs w:val="0"/>
                <w:color w:val="auto"/>
                <w:kern w:val="0"/>
                <w:sz w:val="21"/>
                <w:szCs w:val="21"/>
                <w:highlight w:val="none"/>
                <w:lang w:val="en-US" w:eastAsia="zh-CN" w:bidi="ar"/>
              </w:rPr>
              <w:t>a</w:t>
            </w:r>
          </w:p>
        </w:tc>
        <w:tc>
          <w:tcPr>
            <w:tcW w:w="1228" w:type="pct"/>
            <w:tcBorders>
              <w:tl2br w:val="nil"/>
              <w:tr2bl w:val="nil"/>
            </w:tcBorders>
            <w:noWrap w:val="0"/>
            <w:vAlign w:val="center"/>
          </w:tcPr>
          <w:p w14:paraId="43830F1F">
            <w:pPr>
              <w:pStyle w:val="86"/>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0.285</w:t>
            </w:r>
          </w:p>
        </w:tc>
      </w:tr>
      <w:tr w14:paraId="2B01E2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2" w:type="pct"/>
            <w:vMerge w:val="continue"/>
            <w:tcBorders>
              <w:tl2br w:val="nil"/>
              <w:tr2bl w:val="nil"/>
            </w:tcBorders>
            <w:noWrap w:val="0"/>
            <w:vAlign w:val="center"/>
          </w:tcPr>
          <w:p w14:paraId="3428840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top"/>
              <w:rPr>
                <w:i w:val="0"/>
                <w:iCs w:val="0"/>
                <w:color w:val="auto"/>
                <w:kern w:val="0"/>
                <w:sz w:val="21"/>
                <w:szCs w:val="21"/>
                <w:highlight w:val="none"/>
                <w:lang w:bidi="ar"/>
              </w:rPr>
            </w:pPr>
          </w:p>
        </w:tc>
        <w:tc>
          <w:tcPr>
            <w:tcW w:w="635" w:type="pct"/>
            <w:vMerge w:val="continue"/>
            <w:tcBorders>
              <w:tl2br w:val="nil"/>
              <w:tr2bl w:val="nil"/>
            </w:tcBorders>
            <w:noWrap w:val="0"/>
            <w:vAlign w:val="center"/>
          </w:tcPr>
          <w:p w14:paraId="1018CC8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top"/>
              <w:rPr>
                <w:rFonts w:hint="eastAsia"/>
                <w:i w:val="0"/>
                <w:iCs w:val="0"/>
                <w:color w:val="auto"/>
                <w:kern w:val="0"/>
                <w:sz w:val="21"/>
                <w:szCs w:val="21"/>
                <w:highlight w:val="none"/>
                <w:lang w:eastAsia="zh-CN" w:bidi="ar"/>
              </w:rPr>
            </w:pPr>
          </w:p>
        </w:tc>
        <w:tc>
          <w:tcPr>
            <w:tcW w:w="1090" w:type="pct"/>
            <w:tcBorders>
              <w:tl2br w:val="nil"/>
              <w:tr2bl w:val="nil"/>
            </w:tcBorders>
            <w:noWrap w:val="0"/>
            <w:vAlign w:val="center"/>
          </w:tcPr>
          <w:p w14:paraId="3B40E64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top"/>
              <w:rPr>
                <w:rFonts w:hint="eastAsia"/>
                <w:i w:val="0"/>
                <w:iCs w:val="0"/>
                <w:color w:val="auto"/>
                <w:kern w:val="0"/>
                <w:sz w:val="21"/>
                <w:szCs w:val="21"/>
                <w:highlight w:val="none"/>
                <w:lang w:eastAsia="zh-CN" w:bidi="ar"/>
              </w:rPr>
            </w:pPr>
            <w:r>
              <w:rPr>
                <w:rFonts w:hint="eastAsia"/>
                <w:i w:val="0"/>
                <w:iCs w:val="0"/>
                <w:color w:val="auto"/>
                <w:kern w:val="0"/>
                <w:sz w:val="21"/>
                <w:szCs w:val="21"/>
                <w:highlight w:val="none"/>
                <w:lang w:eastAsia="zh-CN" w:bidi="ar"/>
              </w:rPr>
              <w:t>原油</w:t>
            </w:r>
          </w:p>
        </w:tc>
        <w:tc>
          <w:tcPr>
            <w:tcW w:w="1572" w:type="pct"/>
            <w:tcBorders>
              <w:tl2br w:val="nil"/>
              <w:tr2bl w:val="nil"/>
            </w:tcBorders>
            <w:noWrap w:val="0"/>
            <w:vAlign w:val="center"/>
          </w:tcPr>
          <w:p w14:paraId="10ECF992">
            <w:pPr>
              <w:pStyle w:val="86"/>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eastAsia="宋体"/>
                <w:i w:val="0"/>
                <w:iCs w:val="0"/>
                <w:color w:val="auto"/>
                <w:kern w:val="0"/>
                <w:sz w:val="21"/>
                <w:szCs w:val="21"/>
                <w:highlight w:val="none"/>
                <w:lang w:val="en-US" w:eastAsia="zh-CN" w:bidi="ar"/>
              </w:rPr>
            </w:pPr>
            <w:r>
              <w:rPr>
                <w:i w:val="0"/>
                <w:iCs w:val="0"/>
                <w:color w:val="auto"/>
                <w:kern w:val="0"/>
                <w:sz w:val="21"/>
                <w:szCs w:val="21"/>
                <w:highlight w:val="none"/>
                <w:lang w:bidi="ar"/>
              </w:rPr>
              <w:t>10</w:t>
            </w:r>
            <w:r>
              <w:rPr>
                <w:rFonts w:hint="eastAsia"/>
                <w:i w:val="0"/>
                <w:iCs w:val="0"/>
                <w:color w:val="auto"/>
                <w:kern w:val="0"/>
                <w:sz w:val="21"/>
                <w:szCs w:val="21"/>
                <w:highlight w:val="none"/>
                <w:vertAlign w:val="superscript"/>
                <w:lang w:val="en-US" w:eastAsia="zh-CN" w:bidi="ar"/>
              </w:rPr>
              <w:t>4</w:t>
            </w:r>
            <w:r>
              <w:rPr>
                <w:rFonts w:hint="eastAsia"/>
                <w:i w:val="0"/>
                <w:iCs w:val="0"/>
                <w:color w:val="auto"/>
                <w:kern w:val="0"/>
                <w:sz w:val="21"/>
                <w:szCs w:val="21"/>
                <w:highlight w:val="none"/>
                <w:lang w:val="en-US" w:eastAsia="zh-CN" w:bidi="ar"/>
              </w:rPr>
              <w:t>t</w:t>
            </w:r>
            <w:r>
              <w:rPr>
                <w:i w:val="0"/>
                <w:iCs w:val="0"/>
                <w:color w:val="auto"/>
                <w:kern w:val="0"/>
                <w:sz w:val="21"/>
                <w:szCs w:val="21"/>
                <w:highlight w:val="none"/>
                <w:lang w:bidi="ar"/>
              </w:rPr>
              <w:t>/</w:t>
            </w:r>
            <w:r>
              <w:rPr>
                <w:rFonts w:hint="eastAsia"/>
                <w:i w:val="0"/>
                <w:iCs w:val="0"/>
                <w:color w:val="auto"/>
                <w:kern w:val="0"/>
                <w:sz w:val="21"/>
                <w:szCs w:val="21"/>
                <w:highlight w:val="none"/>
                <w:lang w:val="en-US" w:eastAsia="zh-CN" w:bidi="ar"/>
              </w:rPr>
              <w:t>a</w:t>
            </w:r>
          </w:p>
        </w:tc>
        <w:tc>
          <w:tcPr>
            <w:tcW w:w="1228" w:type="pct"/>
            <w:tcBorders>
              <w:tl2br w:val="nil"/>
              <w:tr2bl w:val="nil"/>
            </w:tcBorders>
            <w:noWrap w:val="0"/>
            <w:vAlign w:val="center"/>
          </w:tcPr>
          <w:p w14:paraId="04046296">
            <w:pPr>
              <w:pStyle w:val="86"/>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6.9</w:t>
            </w:r>
          </w:p>
        </w:tc>
      </w:tr>
      <w:tr w14:paraId="721FD6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2" w:type="pct"/>
            <w:vMerge w:val="restart"/>
            <w:tcBorders>
              <w:tl2br w:val="nil"/>
              <w:tr2bl w:val="nil"/>
            </w:tcBorders>
            <w:noWrap w:val="0"/>
            <w:vAlign w:val="center"/>
          </w:tcPr>
          <w:p w14:paraId="2C0237E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top"/>
              <w:rPr>
                <w:rFonts w:hint="eastAsia"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3</w:t>
            </w:r>
          </w:p>
        </w:tc>
        <w:tc>
          <w:tcPr>
            <w:tcW w:w="635" w:type="pct"/>
            <w:vMerge w:val="restart"/>
            <w:tcBorders>
              <w:tl2br w:val="nil"/>
              <w:tr2bl w:val="nil"/>
            </w:tcBorders>
            <w:noWrap w:val="0"/>
            <w:vAlign w:val="center"/>
          </w:tcPr>
          <w:p w14:paraId="4E8D1B2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top"/>
              <w:rPr>
                <w:rFonts w:hint="default"/>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油气分离</w:t>
            </w:r>
          </w:p>
        </w:tc>
        <w:tc>
          <w:tcPr>
            <w:tcW w:w="1090" w:type="pct"/>
            <w:tcBorders>
              <w:tl2br w:val="nil"/>
              <w:tr2bl w:val="nil"/>
            </w:tcBorders>
            <w:noWrap w:val="0"/>
            <w:vAlign w:val="center"/>
          </w:tcPr>
          <w:p w14:paraId="5E9989F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top"/>
              <w:rPr>
                <w:rFonts w:hint="eastAsia" w:ascii="Times New Roman" w:hAnsi="Times New Roman" w:eastAsia="宋体" w:cs="Times New Roman"/>
                <w:i w:val="0"/>
                <w:iCs w:val="0"/>
                <w:color w:val="auto"/>
                <w:kern w:val="0"/>
                <w:sz w:val="21"/>
                <w:szCs w:val="21"/>
                <w:highlight w:val="none"/>
                <w:lang w:val="en-US" w:eastAsia="zh-CN" w:bidi="ar"/>
              </w:rPr>
            </w:pPr>
            <w:r>
              <w:rPr>
                <w:rFonts w:hint="eastAsia"/>
                <w:i w:val="0"/>
                <w:iCs w:val="0"/>
                <w:color w:val="auto"/>
                <w:kern w:val="0"/>
                <w:sz w:val="21"/>
                <w:szCs w:val="21"/>
                <w:highlight w:val="none"/>
                <w:lang w:eastAsia="zh-CN" w:bidi="ar"/>
              </w:rPr>
              <w:t>天然气</w:t>
            </w:r>
          </w:p>
        </w:tc>
        <w:tc>
          <w:tcPr>
            <w:tcW w:w="1572" w:type="pct"/>
            <w:tcBorders>
              <w:tl2br w:val="nil"/>
              <w:tr2bl w:val="nil"/>
            </w:tcBorders>
            <w:noWrap w:val="0"/>
            <w:vAlign w:val="center"/>
          </w:tcPr>
          <w:p w14:paraId="0031006D">
            <w:pPr>
              <w:pStyle w:val="86"/>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s="Times New Roman"/>
                <w:i w:val="0"/>
                <w:iCs w:val="0"/>
                <w:color w:val="auto"/>
                <w:kern w:val="0"/>
                <w:sz w:val="21"/>
                <w:szCs w:val="21"/>
                <w:highlight w:val="none"/>
                <w:lang w:val="en-US" w:eastAsia="zh-CN" w:bidi="ar"/>
              </w:rPr>
            </w:pPr>
            <w:r>
              <w:rPr>
                <w:i w:val="0"/>
                <w:iCs w:val="0"/>
                <w:color w:val="auto"/>
                <w:kern w:val="0"/>
                <w:sz w:val="21"/>
                <w:szCs w:val="21"/>
                <w:highlight w:val="none"/>
                <w:lang w:bidi="ar"/>
              </w:rPr>
              <w:t>10</w:t>
            </w:r>
            <w:r>
              <w:rPr>
                <w:rFonts w:hint="eastAsia"/>
                <w:i w:val="0"/>
                <w:iCs w:val="0"/>
                <w:color w:val="auto"/>
                <w:kern w:val="0"/>
                <w:sz w:val="21"/>
                <w:szCs w:val="21"/>
                <w:highlight w:val="none"/>
                <w:vertAlign w:val="superscript"/>
                <w:lang w:val="en-US" w:eastAsia="zh-CN" w:bidi="ar"/>
              </w:rPr>
              <w:t>8</w:t>
            </w:r>
            <w:r>
              <w:rPr>
                <w:i w:val="0"/>
                <w:iCs w:val="0"/>
                <w:color w:val="auto"/>
                <w:kern w:val="0"/>
                <w:sz w:val="21"/>
                <w:szCs w:val="21"/>
                <w:highlight w:val="none"/>
                <w:lang w:bidi="ar"/>
              </w:rPr>
              <w:t>m</w:t>
            </w:r>
            <w:r>
              <w:rPr>
                <w:i w:val="0"/>
                <w:iCs w:val="0"/>
                <w:color w:val="auto"/>
                <w:kern w:val="0"/>
                <w:sz w:val="21"/>
                <w:szCs w:val="21"/>
                <w:highlight w:val="none"/>
                <w:vertAlign w:val="superscript"/>
                <w:lang w:bidi="ar"/>
              </w:rPr>
              <w:t>3</w:t>
            </w:r>
            <w:r>
              <w:rPr>
                <w:i w:val="0"/>
                <w:iCs w:val="0"/>
                <w:color w:val="auto"/>
                <w:kern w:val="0"/>
                <w:sz w:val="21"/>
                <w:szCs w:val="21"/>
                <w:highlight w:val="none"/>
                <w:lang w:bidi="ar"/>
              </w:rPr>
              <w:t>/</w:t>
            </w:r>
            <w:r>
              <w:rPr>
                <w:rFonts w:hint="eastAsia"/>
                <w:i w:val="0"/>
                <w:iCs w:val="0"/>
                <w:color w:val="auto"/>
                <w:kern w:val="0"/>
                <w:sz w:val="21"/>
                <w:szCs w:val="21"/>
                <w:highlight w:val="none"/>
                <w:lang w:val="en-US" w:eastAsia="zh-CN" w:bidi="ar"/>
              </w:rPr>
              <w:t>d</w:t>
            </w:r>
          </w:p>
        </w:tc>
        <w:tc>
          <w:tcPr>
            <w:tcW w:w="1228" w:type="pct"/>
            <w:tcBorders>
              <w:tl2br w:val="nil"/>
              <w:tr2bl w:val="nil"/>
            </w:tcBorders>
            <w:noWrap w:val="0"/>
            <w:vAlign w:val="center"/>
          </w:tcPr>
          <w:p w14:paraId="30DB62FA">
            <w:pPr>
              <w:pStyle w:val="86"/>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9.5</w:t>
            </w:r>
          </w:p>
        </w:tc>
      </w:tr>
      <w:tr w14:paraId="341B5D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2" w:type="pct"/>
            <w:vMerge w:val="continue"/>
            <w:tcBorders>
              <w:tl2br w:val="nil"/>
              <w:tr2bl w:val="nil"/>
            </w:tcBorders>
            <w:noWrap w:val="0"/>
            <w:vAlign w:val="center"/>
          </w:tcPr>
          <w:p w14:paraId="4AE9E40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top"/>
              <w:rPr>
                <w:i w:val="0"/>
                <w:iCs w:val="0"/>
                <w:color w:val="auto"/>
                <w:kern w:val="0"/>
                <w:sz w:val="21"/>
                <w:szCs w:val="21"/>
                <w:highlight w:val="none"/>
                <w:lang w:bidi="ar"/>
              </w:rPr>
            </w:pPr>
          </w:p>
        </w:tc>
        <w:tc>
          <w:tcPr>
            <w:tcW w:w="635" w:type="pct"/>
            <w:vMerge w:val="continue"/>
            <w:tcBorders>
              <w:tl2br w:val="nil"/>
              <w:tr2bl w:val="nil"/>
            </w:tcBorders>
            <w:noWrap w:val="0"/>
            <w:vAlign w:val="center"/>
          </w:tcPr>
          <w:p w14:paraId="00E96F3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top"/>
              <w:rPr>
                <w:rFonts w:hint="eastAsia"/>
                <w:i w:val="0"/>
                <w:iCs w:val="0"/>
                <w:color w:val="auto"/>
                <w:kern w:val="0"/>
                <w:sz w:val="21"/>
                <w:szCs w:val="21"/>
                <w:highlight w:val="none"/>
                <w:lang w:eastAsia="zh-CN" w:bidi="ar"/>
              </w:rPr>
            </w:pPr>
          </w:p>
        </w:tc>
        <w:tc>
          <w:tcPr>
            <w:tcW w:w="1090" w:type="pct"/>
            <w:tcBorders>
              <w:tl2br w:val="nil"/>
              <w:tr2bl w:val="nil"/>
            </w:tcBorders>
            <w:noWrap w:val="0"/>
            <w:vAlign w:val="center"/>
          </w:tcPr>
          <w:p w14:paraId="2EDE7A0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top"/>
              <w:rPr>
                <w:rFonts w:hint="eastAsia" w:ascii="Times New Roman" w:hAnsi="Times New Roman" w:eastAsia="宋体" w:cs="Times New Roman"/>
                <w:i w:val="0"/>
                <w:iCs w:val="0"/>
                <w:color w:val="auto"/>
                <w:kern w:val="0"/>
                <w:sz w:val="21"/>
                <w:szCs w:val="21"/>
                <w:highlight w:val="none"/>
                <w:lang w:val="en-US" w:eastAsia="zh-CN" w:bidi="ar"/>
              </w:rPr>
            </w:pPr>
            <w:r>
              <w:rPr>
                <w:rFonts w:hint="eastAsia"/>
                <w:i w:val="0"/>
                <w:iCs w:val="0"/>
                <w:color w:val="auto"/>
                <w:kern w:val="0"/>
                <w:sz w:val="21"/>
                <w:szCs w:val="21"/>
                <w:highlight w:val="none"/>
                <w:lang w:eastAsia="zh-CN" w:bidi="ar"/>
              </w:rPr>
              <w:t>原油</w:t>
            </w:r>
          </w:p>
        </w:tc>
        <w:tc>
          <w:tcPr>
            <w:tcW w:w="1572" w:type="pct"/>
            <w:tcBorders>
              <w:tl2br w:val="nil"/>
              <w:tr2bl w:val="nil"/>
            </w:tcBorders>
            <w:noWrap w:val="0"/>
            <w:vAlign w:val="center"/>
          </w:tcPr>
          <w:p w14:paraId="3D6A6289">
            <w:pPr>
              <w:pStyle w:val="86"/>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s="Times New Roman"/>
                <w:i w:val="0"/>
                <w:iCs w:val="0"/>
                <w:color w:val="auto"/>
                <w:kern w:val="0"/>
                <w:sz w:val="21"/>
                <w:szCs w:val="21"/>
                <w:highlight w:val="none"/>
                <w:lang w:val="en-US" w:eastAsia="zh-CN" w:bidi="ar"/>
              </w:rPr>
            </w:pPr>
            <w:r>
              <w:rPr>
                <w:i w:val="0"/>
                <w:iCs w:val="0"/>
                <w:color w:val="auto"/>
                <w:kern w:val="0"/>
                <w:sz w:val="21"/>
                <w:szCs w:val="21"/>
                <w:highlight w:val="none"/>
                <w:lang w:bidi="ar"/>
              </w:rPr>
              <w:t>10</w:t>
            </w:r>
            <w:r>
              <w:rPr>
                <w:rFonts w:hint="eastAsia"/>
                <w:i w:val="0"/>
                <w:iCs w:val="0"/>
                <w:color w:val="auto"/>
                <w:kern w:val="0"/>
                <w:sz w:val="21"/>
                <w:szCs w:val="21"/>
                <w:highlight w:val="none"/>
                <w:vertAlign w:val="superscript"/>
                <w:lang w:val="en-US" w:eastAsia="zh-CN" w:bidi="ar"/>
              </w:rPr>
              <w:t>4</w:t>
            </w:r>
            <w:r>
              <w:rPr>
                <w:rFonts w:hint="eastAsia"/>
                <w:i w:val="0"/>
                <w:iCs w:val="0"/>
                <w:color w:val="auto"/>
                <w:kern w:val="0"/>
                <w:sz w:val="21"/>
                <w:szCs w:val="21"/>
                <w:highlight w:val="none"/>
                <w:lang w:val="en-US" w:eastAsia="zh-CN" w:bidi="ar"/>
              </w:rPr>
              <w:t>t</w:t>
            </w:r>
            <w:r>
              <w:rPr>
                <w:i w:val="0"/>
                <w:iCs w:val="0"/>
                <w:color w:val="auto"/>
                <w:kern w:val="0"/>
                <w:sz w:val="21"/>
                <w:szCs w:val="21"/>
                <w:highlight w:val="none"/>
                <w:lang w:bidi="ar"/>
              </w:rPr>
              <w:t>/</w:t>
            </w:r>
            <w:r>
              <w:rPr>
                <w:rFonts w:hint="eastAsia"/>
                <w:i w:val="0"/>
                <w:iCs w:val="0"/>
                <w:color w:val="auto"/>
                <w:kern w:val="0"/>
                <w:sz w:val="21"/>
                <w:szCs w:val="21"/>
                <w:highlight w:val="none"/>
                <w:lang w:val="en-US" w:eastAsia="zh-CN" w:bidi="ar"/>
              </w:rPr>
              <w:t>d</w:t>
            </w:r>
          </w:p>
        </w:tc>
        <w:tc>
          <w:tcPr>
            <w:tcW w:w="1228" w:type="pct"/>
            <w:tcBorders>
              <w:tl2br w:val="nil"/>
              <w:tr2bl w:val="nil"/>
            </w:tcBorders>
            <w:noWrap w:val="0"/>
            <w:vAlign w:val="center"/>
          </w:tcPr>
          <w:p w14:paraId="3001B759">
            <w:pPr>
              <w:pStyle w:val="86"/>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230</w:t>
            </w:r>
          </w:p>
        </w:tc>
      </w:tr>
      <w:tr w14:paraId="0E0A33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472" w:type="pct"/>
            <w:tcBorders>
              <w:tl2br w:val="nil"/>
              <w:tr2bl w:val="nil"/>
            </w:tcBorders>
            <w:noWrap w:val="0"/>
            <w:vAlign w:val="center"/>
          </w:tcPr>
          <w:p w14:paraId="564065E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top"/>
              <w:rPr>
                <w:rFonts w:hint="eastAsia"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4</w:t>
            </w:r>
          </w:p>
        </w:tc>
        <w:tc>
          <w:tcPr>
            <w:tcW w:w="1726" w:type="pct"/>
            <w:gridSpan w:val="2"/>
            <w:tcBorders>
              <w:tl2br w:val="nil"/>
              <w:tr2bl w:val="nil"/>
            </w:tcBorders>
            <w:noWrap w:val="0"/>
            <w:vAlign w:val="center"/>
          </w:tcPr>
          <w:p w14:paraId="48CC5B9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top"/>
              <w:rPr>
                <w:rFonts w:hint="default"/>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天然气脱硫</w:t>
            </w:r>
          </w:p>
        </w:tc>
        <w:tc>
          <w:tcPr>
            <w:tcW w:w="1572" w:type="pct"/>
            <w:tcBorders>
              <w:tl2br w:val="nil"/>
              <w:tr2bl w:val="nil"/>
            </w:tcBorders>
            <w:noWrap w:val="0"/>
            <w:vAlign w:val="center"/>
          </w:tcPr>
          <w:p w14:paraId="7D41DB50">
            <w:pPr>
              <w:pStyle w:val="86"/>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eastAsia="宋体"/>
                <w:i w:val="0"/>
                <w:iCs w:val="0"/>
                <w:color w:val="auto"/>
                <w:kern w:val="0"/>
                <w:sz w:val="21"/>
                <w:szCs w:val="21"/>
                <w:highlight w:val="none"/>
                <w:lang w:val="en-US" w:eastAsia="zh-CN" w:bidi="ar"/>
              </w:rPr>
            </w:pPr>
            <w:r>
              <w:rPr>
                <w:i w:val="0"/>
                <w:iCs w:val="0"/>
                <w:color w:val="auto"/>
                <w:kern w:val="0"/>
                <w:sz w:val="21"/>
                <w:szCs w:val="21"/>
                <w:highlight w:val="none"/>
                <w:lang w:bidi="ar"/>
              </w:rPr>
              <w:t>10</w:t>
            </w:r>
            <w:r>
              <w:rPr>
                <w:rFonts w:hint="eastAsia"/>
                <w:i w:val="0"/>
                <w:iCs w:val="0"/>
                <w:color w:val="auto"/>
                <w:kern w:val="0"/>
                <w:sz w:val="21"/>
                <w:szCs w:val="21"/>
                <w:highlight w:val="none"/>
                <w:vertAlign w:val="superscript"/>
                <w:lang w:val="en-US" w:eastAsia="zh-CN" w:bidi="ar"/>
              </w:rPr>
              <w:t>4</w:t>
            </w:r>
            <w:r>
              <w:rPr>
                <w:i w:val="0"/>
                <w:iCs w:val="0"/>
                <w:color w:val="auto"/>
                <w:kern w:val="0"/>
                <w:sz w:val="21"/>
                <w:szCs w:val="21"/>
                <w:highlight w:val="none"/>
                <w:lang w:bidi="ar"/>
              </w:rPr>
              <w:t>m</w:t>
            </w:r>
            <w:r>
              <w:rPr>
                <w:i w:val="0"/>
                <w:iCs w:val="0"/>
                <w:color w:val="auto"/>
                <w:kern w:val="0"/>
                <w:sz w:val="21"/>
                <w:szCs w:val="21"/>
                <w:highlight w:val="none"/>
                <w:vertAlign w:val="superscript"/>
                <w:lang w:bidi="ar"/>
              </w:rPr>
              <w:t>3</w:t>
            </w:r>
            <w:r>
              <w:rPr>
                <w:i w:val="0"/>
                <w:iCs w:val="0"/>
                <w:color w:val="auto"/>
                <w:kern w:val="0"/>
                <w:sz w:val="21"/>
                <w:szCs w:val="21"/>
                <w:highlight w:val="none"/>
                <w:lang w:bidi="ar"/>
              </w:rPr>
              <w:t>/</w:t>
            </w:r>
            <w:r>
              <w:rPr>
                <w:rFonts w:hint="eastAsia"/>
                <w:i w:val="0"/>
                <w:iCs w:val="0"/>
                <w:color w:val="auto"/>
                <w:kern w:val="0"/>
                <w:sz w:val="21"/>
                <w:szCs w:val="21"/>
                <w:highlight w:val="none"/>
                <w:lang w:val="en-US" w:eastAsia="zh-CN" w:bidi="ar"/>
              </w:rPr>
              <w:t>d</w:t>
            </w:r>
          </w:p>
        </w:tc>
        <w:tc>
          <w:tcPr>
            <w:tcW w:w="1228" w:type="pct"/>
            <w:tcBorders>
              <w:tl2br w:val="nil"/>
              <w:tr2bl w:val="nil"/>
            </w:tcBorders>
            <w:noWrap w:val="0"/>
            <w:vAlign w:val="center"/>
          </w:tcPr>
          <w:p w14:paraId="6C9EEC36">
            <w:pPr>
              <w:pStyle w:val="86"/>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9.5</w:t>
            </w:r>
          </w:p>
        </w:tc>
      </w:tr>
    </w:tbl>
    <w:p w14:paraId="2FDE0547">
      <w:pPr>
        <w:pStyle w:val="79"/>
        <w:bidi w:val="0"/>
        <w:rPr>
          <w:rFonts w:hint="default"/>
          <w:color w:val="auto"/>
          <w:lang w:val="en-US" w:eastAsia="zh-CN"/>
        </w:rPr>
      </w:pPr>
      <w:r>
        <w:rPr>
          <w:rFonts w:hint="default"/>
          <w:color w:val="auto"/>
          <w:lang w:val="en-US" w:eastAsia="zh-CN"/>
        </w:rPr>
        <w:t>（2）开发指标预测</w:t>
      </w:r>
    </w:p>
    <w:p w14:paraId="5E818BDC">
      <w:pPr>
        <w:pStyle w:val="79"/>
        <w:bidi w:val="0"/>
        <w:rPr>
          <w:rFonts w:hint="default"/>
          <w:color w:val="auto"/>
          <w:lang w:eastAsia="zh-CN"/>
        </w:rPr>
      </w:pPr>
      <w:r>
        <w:rPr>
          <w:rFonts w:hint="default"/>
          <w:color w:val="auto"/>
          <w:lang w:eastAsia="zh-CN"/>
        </w:rPr>
        <w:t>工程</w:t>
      </w:r>
      <w:r>
        <w:rPr>
          <w:rFonts w:hint="default"/>
          <w:color w:val="auto"/>
        </w:rPr>
        <w:t>方案</w:t>
      </w:r>
      <w:r>
        <w:rPr>
          <w:rFonts w:hint="default"/>
          <w:color w:val="auto"/>
          <w:lang w:val="en-US" w:eastAsia="zh-CN"/>
        </w:rPr>
        <w:t>2025年</w:t>
      </w:r>
      <w:r>
        <w:rPr>
          <w:rFonts w:hint="default"/>
          <w:color w:val="auto"/>
        </w:rPr>
        <w:t>实现</w:t>
      </w:r>
      <w:r>
        <w:rPr>
          <w:rFonts w:hint="default"/>
          <w:color w:val="auto"/>
          <w:lang w:eastAsia="zh-CN"/>
        </w:rPr>
        <w:t>产</w:t>
      </w:r>
      <w:r>
        <w:rPr>
          <w:rFonts w:hint="eastAsia"/>
          <w:color w:val="auto"/>
          <w:lang w:val="en-US" w:eastAsia="zh-CN"/>
        </w:rPr>
        <w:t>油6.9</w:t>
      </w:r>
      <w:r>
        <w:rPr>
          <w:rFonts w:hint="default"/>
          <w:color w:val="auto"/>
        </w:rPr>
        <w:t>×10</w:t>
      </w:r>
      <w:r>
        <w:rPr>
          <w:rFonts w:hint="eastAsia"/>
          <w:color w:val="auto"/>
          <w:vertAlign w:val="superscript"/>
          <w:lang w:val="en-US" w:eastAsia="zh-CN"/>
        </w:rPr>
        <w:t>4</w:t>
      </w:r>
      <w:r>
        <w:rPr>
          <w:rFonts w:hint="default"/>
          <w:color w:val="auto"/>
        </w:rPr>
        <w:t>t</w:t>
      </w:r>
      <w:r>
        <w:rPr>
          <w:rFonts w:hint="default"/>
          <w:color w:val="auto"/>
          <w:lang w:val="en-US" w:eastAsia="zh-CN"/>
        </w:rPr>
        <w:t>/a</w:t>
      </w:r>
      <w:r>
        <w:rPr>
          <w:rFonts w:hint="default"/>
          <w:color w:val="auto"/>
        </w:rPr>
        <w:t>、</w:t>
      </w:r>
      <w:r>
        <w:rPr>
          <w:rFonts w:hint="default"/>
          <w:color w:val="auto"/>
          <w:lang w:eastAsia="zh-CN"/>
        </w:rPr>
        <w:t>产</w:t>
      </w:r>
      <w:r>
        <w:rPr>
          <w:rFonts w:hint="eastAsia"/>
          <w:color w:val="auto"/>
          <w:lang w:val="en-US" w:eastAsia="zh-CN"/>
        </w:rPr>
        <w:t>气0.285</w:t>
      </w:r>
      <w:r>
        <w:rPr>
          <w:rFonts w:hint="default"/>
          <w:color w:val="auto"/>
        </w:rPr>
        <w:t>×10</w:t>
      </w:r>
      <w:r>
        <w:rPr>
          <w:rFonts w:hint="eastAsia"/>
          <w:color w:val="auto"/>
          <w:vertAlign w:val="superscript"/>
          <w:lang w:val="en-US" w:eastAsia="zh-CN"/>
        </w:rPr>
        <w:t>8</w:t>
      </w:r>
      <w:r>
        <w:rPr>
          <w:rFonts w:hint="default"/>
          <w:color w:val="auto"/>
        </w:rPr>
        <w:t>m</w:t>
      </w:r>
      <w:r>
        <w:rPr>
          <w:rFonts w:hint="default"/>
          <w:color w:val="auto"/>
          <w:vertAlign w:val="superscript"/>
        </w:rPr>
        <w:t>3</w:t>
      </w:r>
      <w:r>
        <w:rPr>
          <w:rFonts w:hint="default"/>
          <w:color w:val="auto"/>
          <w:lang w:val="en-US" w:eastAsia="zh-CN"/>
        </w:rPr>
        <w:t>/a</w:t>
      </w:r>
      <w:r>
        <w:rPr>
          <w:rFonts w:hint="default"/>
          <w:color w:val="auto"/>
        </w:rPr>
        <w:t>。</w:t>
      </w:r>
      <w:r>
        <w:rPr>
          <w:rFonts w:hint="default"/>
          <w:color w:val="auto"/>
          <w:lang w:eastAsia="zh-CN"/>
        </w:rPr>
        <w:t>本</w:t>
      </w:r>
      <w:r>
        <w:rPr>
          <w:rFonts w:hint="eastAsia"/>
          <w:color w:val="auto"/>
          <w:lang w:val="en-US" w:eastAsia="zh-CN"/>
        </w:rPr>
        <w:t>方案指标</w:t>
      </w:r>
      <w:r>
        <w:rPr>
          <w:rFonts w:hint="default"/>
          <w:color w:val="auto"/>
          <w:lang w:eastAsia="zh-CN"/>
        </w:rPr>
        <w:t>预测详见表</w:t>
      </w:r>
      <w:r>
        <w:rPr>
          <w:rFonts w:hint="eastAsia"/>
          <w:color w:val="auto"/>
          <w:lang w:val="en-US" w:eastAsia="zh-CN"/>
        </w:rPr>
        <w:t>3.2-7</w:t>
      </w:r>
      <w:r>
        <w:rPr>
          <w:rFonts w:hint="default"/>
          <w:color w:val="auto"/>
          <w:lang w:eastAsia="zh-CN"/>
        </w:rPr>
        <w:t>。</w:t>
      </w:r>
    </w:p>
    <w:p w14:paraId="56732D5A">
      <w:pPr>
        <w:pStyle w:val="61"/>
        <w:bidi w:val="0"/>
        <w:jc w:val="both"/>
        <w:rPr>
          <w:rFonts w:hint="default"/>
          <w:color w:val="auto"/>
          <w:lang w:eastAsia="zh-CN"/>
        </w:rPr>
      </w:pPr>
      <w:r>
        <w:rPr>
          <w:rFonts w:hint="default"/>
          <w:color w:val="auto"/>
          <w:lang w:eastAsia="zh-CN"/>
        </w:rPr>
        <w:t>表</w:t>
      </w:r>
      <w:r>
        <w:rPr>
          <w:rFonts w:hint="eastAsia"/>
          <w:color w:val="auto"/>
          <w:lang w:val="en-US" w:eastAsia="zh-CN"/>
        </w:rPr>
        <w:t>3.2-7</w:t>
      </w:r>
      <w:r>
        <w:rPr>
          <w:rFonts w:hint="default"/>
          <w:color w:val="auto"/>
          <w:lang w:eastAsia="zh-CN"/>
        </w:rPr>
        <w:t xml:space="preserve"> </w:t>
      </w:r>
      <w:r>
        <w:rPr>
          <w:rFonts w:hint="eastAsia"/>
          <w:color w:val="auto"/>
          <w:lang w:val="en-US" w:eastAsia="zh-CN"/>
        </w:rPr>
        <w:t xml:space="preserve"> </w:t>
      </w:r>
      <w:r>
        <w:rPr>
          <w:rFonts w:hint="default"/>
          <w:color w:val="auto"/>
          <w:lang w:eastAsia="zh-CN"/>
        </w:rPr>
        <w:t xml:space="preserve"> 雄英1井区</w:t>
      </w:r>
      <w:r>
        <w:rPr>
          <w:rFonts w:hint="eastAsia"/>
          <w:color w:val="auto"/>
          <w:lang w:val="en-US" w:eastAsia="zh-CN"/>
        </w:rPr>
        <w:t>产量</w:t>
      </w:r>
      <w:r>
        <w:rPr>
          <w:rFonts w:hint="default"/>
          <w:color w:val="auto"/>
          <w:lang w:eastAsia="zh-CN"/>
        </w:rPr>
        <w:t>预测表</w:t>
      </w:r>
    </w:p>
    <w:tbl>
      <w:tblPr>
        <w:tblStyle w:val="37"/>
        <w:tblW w:w="4959"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70"/>
        <w:gridCol w:w="942"/>
        <w:gridCol w:w="829"/>
        <w:gridCol w:w="724"/>
        <w:gridCol w:w="971"/>
        <w:gridCol w:w="784"/>
        <w:gridCol w:w="912"/>
        <w:gridCol w:w="673"/>
        <w:gridCol w:w="861"/>
        <w:gridCol w:w="724"/>
        <w:gridCol w:w="572"/>
      </w:tblGrid>
      <w:tr w14:paraId="640466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439" w:type="pct"/>
            <w:vMerge w:val="restart"/>
            <w:tcBorders>
              <w:tl2br w:val="nil"/>
              <w:tr2bl w:val="nil"/>
            </w:tcBorders>
          </w:tcPr>
          <w:p w14:paraId="457451C6">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年度</w:t>
            </w:r>
          </w:p>
        </w:tc>
        <w:tc>
          <w:tcPr>
            <w:tcW w:w="1423" w:type="pct"/>
            <w:gridSpan w:val="3"/>
            <w:tcBorders>
              <w:tl2br w:val="nil"/>
              <w:tr2bl w:val="nil"/>
            </w:tcBorders>
          </w:tcPr>
          <w:p w14:paraId="5B99E508">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vertAlign w:val="baseline"/>
                <w:lang w:eastAsia="zh-CN"/>
              </w:rPr>
            </w:pPr>
            <w:r>
              <w:rPr>
                <w:rFonts w:hint="default" w:ascii="Times New Roman" w:hAnsi="Times New Roman" w:eastAsia="宋体" w:cs="Times New Roman"/>
                <w:color w:val="auto"/>
                <w:sz w:val="18"/>
                <w:szCs w:val="18"/>
                <w:vertAlign w:val="baseline"/>
                <w:lang w:val="en-US" w:eastAsia="zh-CN"/>
              </w:rPr>
              <w:t>日产量</w:t>
            </w:r>
          </w:p>
        </w:tc>
        <w:tc>
          <w:tcPr>
            <w:tcW w:w="1521" w:type="pct"/>
            <w:gridSpan w:val="3"/>
            <w:tcBorders>
              <w:tl2br w:val="nil"/>
              <w:tr2bl w:val="nil"/>
            </w:tcBorders>
          </w:tcPr>
          <w:p w14:paraId="57389104">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vertAlign w:val="baseline"/>
                <w:lang w:eastAsia="zh-CN"/>
              </w:rPr>
            </w:pPr>
            <w:r>
              <w:rPr>
                <w:rFonts w:hint="default" w:ascii="Times New Roman" w:hAnsi="Times New Roman" w:eastAsia="宋体" w:cs="Times New Roman"/>
                <w:color w:val="auto"/>
                <w:sz w:val="18"/>
                <w:szCs w:val="18"/>
                <w:vertAlign w:val="baseline"/>
                <w:lang w:val="en-US" w:eastAsia="zh-CN"/>
              </w:rPr>
              <w:t>年产量</w:t>
            </w:r>
          </w:p>
        </w:tc>
        <w:tc>
          <w:tcPr>
            <w:tcW w:w="1288" w:type="pct"/>
            <w:gridSpan w:val="3"/>
            <w:tcBorders>
              <w:tl2br w:val="nil"/>
              <w:tr2bl w:val="nil"/>
            </w:tcBorders>
          </w:tcPr>
          <w:p w14:paraId="39B55108">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vertAlign w:val="baseline"/>
                <w:lang w:eastAsia="zh-CN"/>
              </w:rPr>
            </w:pPr>
            <w:r>
              <w:rPr>
                <w:rFonts w:hint="default" w:ascii="Times New Roman" w:hAnsi="Times New Roman" w:eastAsia="宋体" w:cs="Times New Roman"/>
                <w:color w:val="auto"/>
                <w:sz w:val="18"/>
                <w:szCs w:val="18"/>
                <w:vertAlign w:val="baseline"/>
                <w:lang w:val="en-US" w:eastAsia="zh-CN"/>
              </w:rPr>
              <w:t>累产量</w:t>
            </w:r>
          </w:p>
        </w:tc>
        <w:tc>
          <w:tcPr>
            <w:tcW w:w="326" w:type="pct"/>
            <w:tcBorders>
              <w:tl2br w:val="nil"/>
              <w:tr2bl w:val="nil"/>
            </w:tcBorders>
          </w:tcPr>
          <w:p w14:paraId="4634F305">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含水</w:t>
            </w:r>
          </w:p>
        </w:tc>
      </w:tr>
      <w:tr w14:paraId="24A3D2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39" w:type="pct"/>
            <w:vMerge w:val="continue"/>
            <w:tcBorders>
              <w:tl2br w:val="nil"/>
              <w:tr2bl w:val="nil"/>
            </w:tcBorders>
          </w:tcPr>
          <w:p w14:paraId="725908CD">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vertAlign w:val="baseline"/>
                <w:lang w:eastAsia="zh-CN"/>
              </w:rPr>
            </w:pPr>
          </w:p>
        </w:tc>
        <w:tc>
          <w:tcPr>
            <w:tcW w:w="537" w:type="pct"/>
            <w:tcBorders>
              <w:tl2br w:val="nil"/>
              <w:tr2bl w:val="nil"/>
            </w:tcBorders>
          </w:tcPr>
          <w:p w14:paraId="398EEBB6">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气</w:t>
            </w:r>
          </w:p>
        </w:tc>
        <w:tc>
          <w:tcPr>
            <w:tcW w:w="473" w:type="pct"/>
            <w:tcBorders>
              <w:tl2br w:val="nil"/>
              <w:tr2bl w:val="nil"/>
            </w:tcBorders>
          </w:tcPr>
          <w:p w14:paraId="0EF58B11">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油</w:t>
            </w:r>
          </w:p>
        </w:tc>
        <w:tc>
          <w:tcPr>
            <w:tcW w:w="413" w:type="pct"/>
            <w:tcBorders>
              <w:tl2br w:val="nil"/>
              <w:tr2bl w:val="nil"/>
            </w:tcBorders>
          </w:tcPr>
          <w:p w14:paraId="574F2EAF">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水</w:t>
            </w:r>
          </w:p>
        </w:tc>
        <w:tc>
          <w:tcPr>
            <w:tcW w:w="554" w:type="pct"/>
            <w:tcBorders>
              <w:tl2br w:val="nil"/>
              <w:tr2bl w:val="nil"/>
            </w:tcBorders>
          </w:tcPr>
          <w:p w14:paraId="405BBF12">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气</w:t>
            </w:r>
          </w:p>
        </w:tc>
        <w:tc>
          <w:tcPr>
            <w:tcW w:w="447" w:type="pct"/>
            <w:tcBorders>
              <w:tl2br w:val="nil"/>
              <w:tr2bl w:val="nil"/>
            </w:tcBorders>
          </w:tcPr>
          <w:p w14:paraId="58F979A8">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油</w:t>
            </w:r>
          </w:p>
        </w:tc>
        <w:tc>
          <w:tcPr>
            <w:tcW w:w="520" w:type="pct"/>
            <w:tcBorders>
              <w:tl2br w:val="nil"/>
              <w:tr2bl w:val="nil"/>
            </w:tcBorders>
          </w:tcPr>
          <w:p w14:paraId="7C930DA6">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水</w:t>
            </w:r>
          </w:p>
        </w:tc>
        <w:tc>
          <w:tcPr>
            <w:tcW w:w="384" w:type="pct"/>
            <w:tcBorders>
              <w:tl2br w:val="nil"/>
              <w:tr2bl w:val="nil"/>
            </w:tcBorders>
          </w:tcPr>
          <w:p w14:paraId="51C00A5D">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气</w:t>
            </w:r>
          </w:p>
        </w:tc>
        <w:tc>
          <w:tcPr>
            <w:tcW w:w="491" w:type="pct"/>
            <w:tcBorders>
              <w:tl2br w:val="nil"/>
              <w:tr2bl w:val="nil"/>
            </w:tcBorders>
          </w:tcPr>
          <w:p w14:paraId="09EC8B39">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油</w:t>
            </w:r>
          </w:p>
        </w:tc>
        <w:tc>
          <w:tcPr>
            <w:tcW w:w="413" w:type="pct"/>
            <w:tcBorders>
              <w:tl2br w:val="nil"/>
              <w:tr2bl w:val="nil"/>
            </w:tcBorders>
          </w:tcPr>
          <w:p w14:paraId="02863149">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水</w:t>
            </w:r>
          </w:p>
        </w:tc>
        <w:tc>
          <w:tcPr>
            <w:tcW w:w="326" w:type="pct"/>
            <w:vMerge w:val="restart"/>
            <w:tcBorders>
              <w:tl2br w:val="nil"/>
              <w:tr2bl w:val="nil"/>
            </w:tcBorders>
          </w:tcPr>
          <w:p w14:paraId="4FEBA121">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w:t>
            </w:r>
          </w:p>
        </w:tc>
      </w:tr>
      <w:tr w14:paraId="1C8608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39" w:type="pct"/>
            <w:vMerge w:val="continue"/>
            <w:tcBorders>
              <w:tl2br w:val="nil"/>
              <w:tr2bl w:val="nil"/>
            </w:tcBorders>
          </w:tcPr>
          <w:p w14:paraId="2C1214E2">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eastAsia="zh-CN"/>
              </w:rPr>
            </w:pPr>
          </w:p>
        </w:tc>
        <w:tc>
          <w:tcPr>
            <w:tcW w:w="537" w:type="pct"/>
            <w:tcBorders>
              <w:tl2br w:val="nil"/>
              <w:tr2bl w:val="nil"/>
            </w:tcBorders>
          </w:tcPr>
          <w:p w14:paraId="12F99434">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eastAsia="zh-CN"/>
              </w:rPr>
            </w:pPr>
            <w:r>
              <w:rPr>
                <w:rFonts w:hint="default" w:ascii="Times New Roman" w:hAnsi="Times New Roman" w:eastAsia="宋体" w:cs="Times New Roman"/>
                <w:i w:val="0"/>
                <w:iCs w:val="0"/>
                <w:color w:val="auto"/>
                <w:sz w:val="18"/>
                <w:szCs w:val="18"/>
                <w:highlight w:val="none"/>
              </w:rPr>
              <w:t>10</w:t>
            </w:r>
            <w:r>
              <w:rPr>
                <w:rFonts w:hint="default" w:ascii="Times New Roman" w:hAnsi="Times New Roman" w:eastAsia="宋体" w:cs="Times New Roman"/>
                <w:i w:val="0"/>
                <w:iCs w:val="0"/>
                <w:color w:val="auto"/>
                <w:sz w:val="18"/>
                <w:szCs w:val="18"/>
                <w:highlight w:val="none"/>
                <w:vertAlign w:val="superscript"/>
                <w:lang w:val="en-US" w:eastAsia="zh-CN"/>
              </w:rPr>
              <w:t>4</w:t>
            </w:r>
            <w:r>
              <w:rPr>
                <w:rFonts w:hint="default" w:ascii="Times New Roman" w:hAnsi="Times New Roman" w:eastAsia="宋体" w:cs="Times New Roman"/>
                <w:i w:val="0"/>
                <w:iCs w:val="0"/>
                <w:color w:val="auto"/>
                <w:sz w:val="18"/>
                <w:szCs w:val="18"/>
                <w:highlight w:val="none"/>
              </w:rPr>
              <w:t>m</w:t>
            </w:r>
            <w:r>
              <w:rPr>
                <w:rFonts w:hint="default" w:ascii="Times New Roman" w:hAnsi="Times New Roman" w:eastAsia="宋体" w:cs="Times New Roman"/>
                <w:i w:val="0"/>
                <w:iCs w:val="0"/>
                <w:color w:val="auto"/>
                <w:sz w:val="18"/>
                <w:szCs w:val="18"/>
                <w:highlight w:val="none"/>
                <w:vertAlign w:val="superscript"/>
              </w:rPr>
              <w:t>3</w:t>
            </w:r>
            <w:r>
              <w:rPr>
                <w:rFonts w:hint="default" w:ascii="Times New Roman" w:hAnsi="Times New Roman" w:eastAsia="宋体" w:cs="Times New Roman"/>
                <w:i w:val="0"/>
                <w:iCs w:val="0"/>
                <w:color w:val="auto"/>
                <w:sz w:val="18"/>
                <w:szCs w:val="18"/>
                <w:highlight w:val="none"/>
                <w:vertAlign w:val="baseline"/>
                <w:lang w:val="en-US" w:eastAsia="zh-CN"/>
              </w:rPr>
              <w:t>/</w:t>
            </w:r>
            <w:r>
              <w:rPr>
                <w:rFonts w:hint="default" w:ascii="Times New Roman" w:hAnsi="Times New Roman" w:eastAsia="宋体" w:cs="Times New Roman"/>
                <w:color w:val="auto"/>
                <w:sz w:val="18"/>
                <w:szCs w:val="18"/>
                <w:highlight w:val="none"/>
                <w:vertAlign w:val="baseline"/>
                <w:lang w:val="en-US" w:eastAsia="zh-CN"/>
              </w:rPr>
              <w:t>d</w:t>
            </w:r>
          </w:p>
        </w:tc>
        <w:tc>
          <w:tcPr>
            <w:tcW w:w="473" w:type="pct"/>
            <w:tcBorders>
              <w:tl2br w:val="nil"/>
              <w:tr2bl w:val="nil"/>
            </w:tcBorders>
          </w:tcPr>
          <w:p w14:paraId="7EDFE5F8">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t/d</w:t>
            </w:r>
          </w:p>
        </w:tc>
        <w:tc>
          <w:tcPr>
            <w:tcW w:w="413" w:type="pct"/>
            <w:tcBorders>
              <w:tl2br w:val="nil"/>
              <w:tr2bl w:val="nil"/>
            </w:tcBorders>
          </w:tcPr>
          <w:p w14:paraId="4005B96D">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eastAsia="zh-CN"/>
              </w:rPr>
            </w:pPr>
            <w:r>
              <w:rPr>
                <w:rFonts w:hint="default" w:ascii="Times New Roman" w:hAnsi="Times New Roman" w:eastAsia="宋体" w:cs="Times New Roman"/>
                <w:i w:val="0"/>
                <w:iCs w:val="0"/>
                <w:color w:val="auto"/>
                <w:sz w:val="18"/>
                <w:szCs w:val="18"/>
                <w:highlight w:val="none"/>
              </w:rPr>
              <w:t>m</w:t>
            </w:r>
            <w:r>
              <w:rPr>
                <w:rFonts w:hint="default" w:ascii="Times New Roman" w:hAnsi="Times New Roman" w:eastAsia="宋体" w:cs="Times New Roman"/>
                <w:i w:val="0"/>
                <w:iCs w:val="0"/>
                <w:color w:val="auto"/>
                <w:sz w:val="18"/>
                <w:szCs w:val="18"/>
                <w:highlight w:val="none"/>
                <w:vertAlign w:val="superscript"/>
              </w:rPr>
              <w:t>3</w:t>
            </w:r>
            <w:r>
              <w:rPr>
                <w:rFonts w:hint="default" w:ascii="Times New Roman" w:hAnsi="Times New Roman" w:eastAsia="宋体" w:cs="Times New Roman"/>
                <w:i w:val="0"/>
                <w:iCs w:val="0"/>
                <w:color w:val="auto"/>
                <w:sz w:val="18"/>
                <w:szCs w:val="18"/>
                <w:highlight w:val="none"/>
                <w:vertAlign w:val="baseline"/>
                <w:lang w:val="en-US" w:eastAsia="zh-CN"/>
              </w:rPr>
              <w:t>/</w:t>
            </w:r>
            <w:r>
              <w:rPr>
                <w:rFonts w:hint="default" w:ascii="Times New Roman" w:hAnsi="Times New Roman" w:eastAsia="宋体" w:cs="Times New Roman"/>
                <w:color w:val="auto"/>
                <w:sz w:val="18"/>
                <w:szCs w:val="18"/>
                <w:highlight w:val="none"/>
                <w:vertAlign w:val="baseline"/>
                <w:lang w:val="en-US" w:eastAsia="zh-CN"/>
              </w:rPr>
              <w:t>d</w:t>
            </w:r>
          </w:p>
        </w:tc>
        <w:tc>
          <w:tcPr>
            <w:tcW w:w="554" w:type="pct"/>
            <w:tcBorders>
              <w:tl2br w:val="nil"/>
              <w:tr2bl w:val="nil"/>
            </w:tcBorders>
            <w:vAlign w:val="top"/>
          </w:tcPr>
          <w:p w14:paraId="5D1438C5">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sz w:val="18"/>
                <w:szCs w:val="18"/>
                <w:highlight w:val="none"/>
              </w:rPr>
              <w:t>10</w:t>
            </w:r>
            <w:r>
              <w:rPr>
                <w:rFonts w:hint="default" w:ascii="Times New Roman" w:hAnsi="Times New Roman" w:eastAsia="宋体" w:cs="Times New Roman"/>
                <w:i w:val="0"/>
                <w:iCs w:val="0"/>
                <w:color w:val="auto"/>
                <w:sz w:val="18"/>
                <w:szCs w:val="18"/>
                <w:highlight w:val="none"/>
                <w:vertAlign w:val="superscript"/>
                <w:lang w:val="en-US" w:eastAsia="zh-CN"/>
              </w:rPr>
              <w:t>8</w:t>
            </w:r>
            <w:r>
              <w:rPr>
                <w:rFonts w:hint="default" w:ascii="Times New Roman" w:hAnsi="Times New Roman" w:eastAsia="宋体" w:cs="Times New Roman"/>
                <w:i w:val="0"/>
                <w:iCs w:val="0"/>
                <w:color w:val="auto"/>
                <w:sz w:val="18"/>
                <w:szCs w:val="18"/>
                <w:highlight w:val="none"/>
              </w:rPr>
              <w:t>m</w:t>
            </w:r>
            <w:r>
              <w:rPr>
                <w:rFonts w:hint="default" w:ascii="Times New Roman" w:hAnsi="Times New Roman" w:eastAsia="宋体" w:cs="Times New Roman"/>
                <w:i w:val="0"/>
                <w:iCs w:val="0"/>
                <w:color w:val="auto"/>
                <w:sz w:val="18"/>
                <w:szCs w:val="18"/>
                <w:highlight w:val="none"/>
                <w:vertAlign w:val="superscript"/>
              </w:rPr>
              <w:t>3</w:t>
            </w:r>
            <w:r>
              <w:rPr>
                <w:rFonts w:hint="default" w:ascii="Times New Roman" w:hAnsi="Times New Roman" w:eastAsia="宋体" w:cs="Times New Roman"/>
                <w:i w:val="0"/>
                <w:iCs w:val="0"/>
                <w:color w:val="auto"/>
                <w:sz w:val="18"/>
                <w:szCs w:val="18"/>
                <w:highlight w:val="none"/>
                <w:vertAlign w:val="baseline"/>
                <w:lang w:val="en-US" w:eastAsia="zh-CN"/>
              </w:rPr>
              <w:t>/</w:t>
            </w:r>
            <w:r>
              <w:rPr>
                <w:rFonts w:hint="default" w:ascii="Times New Roman" w:hAnsi="Times New Roman" w:eastAsia="宋体" w:cs="Times New Roman"/>
                <w:color w:val="auto"/>
                <w:sz w:val="18"/>
                <w:szCs w:val="18"/>
                <w:highlight w:val="none"/>
                <w:vertAlign w:val="baseline"/>
                <w:lang w:val="en-US" w:eastAsia="zh-CN"/>
              </w:rPr>
              <w:t>a</w:t>
            </w:r>
          </w:p>
        </w:tc>
        <w:tc>
          <w:tcPr>
            <w:tcW w:w="447" w:type="pct"/>
            <w:tcBorders>
              <w:tl2br w:val="nil"/>
              <w:tr2bl w:val="nil"/>
            </w:tcBorders>
            <w:vAlign w:val="top"/>
          </w:tcPr>
          <w:p w14:paraId="534315D4">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sz w:val="18"/>
                <w:szCs w:val="18"/>
                <w:highlight w:val="none"/>
              </w:rPr>
              <w:t>10</w:t>
            </w:r>
            <w:r>
              <w:rPr>
                <w:rFonts w:hint="default" w:ascii="Times New Roman" w:hAnsi="Times New Roman" w:eastAsia="宋体" w:cs="Times New Roman"/>
                <w:i w:val="0"/>
                <w:iCs w:val="0"/>
                <w:color w:val="auto"/>
                <w:sz w:val="18"/>
                <w:szCs w:val="18"/>
                <w:highlight w:val="none"/>
                <w:vertAlign w:val="superscript"/>
                <w:lang w:val="en-US" w:eastAsia="zh-CN"/>
              </w:rPr>
              <w:t>4</w:t>
            </w:r>
            <w:r>
              <w:rPr>
                <w:rFonts w:hint="default" w:ascii="Times New Roman" w:hAnsi="Times New Roman" w:eastAsia="宋体" w:cs="Times New Roman"/>
                <w:color w:val="auto"/>
                <w:sz w:val="18"/>
                <w:szCs w:val="18"/>
                <w:highlight w:val="none"/>
                <w:vertAlign w:val="baseline"/>
                <w:lang w:val="en-US" w:eastAsia="zh-CN"/>
              </w:rPr>
              <w:t>t/a</w:t>
            </w:r>
          </w:p>
        </w:tc>
        <w:tc>
          <w:tcPr>
            <w:tcW w:w="520" w:type="pct"/>
            <w:tcBorders>
              <w:tl2br w:val="nil"/>
              <w:tr2bl w:val="nil"/>
            </w:tcBorders>
            <w:vAlign w:val="top"/>
          </w:tcPr>
          <w:p w14:paraId="5AC5F624">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sz w:val="18"/>
                <w:szCs w:val="18"/>
                <w:highlight w:val="none"/>
              </w:rPr>
              <w:t>10</w:t>
            </w:r>
            <w:r>
              <w:rPr>
                <w:rFonts w:hint="default" w:ascii="Times New Roman" w:hAnsi="Times New Roman" w:eastAsia="宋体" w:cs="Times New Roman"/>
                <w:i w:val="0"/>
                <w:iCs w:val="0"/>
                <w:color w:val="auto"/>
                <w:sz w:val="18"/>
                <w:szCs w:val="18"/>
                <w:highlight w:val="none"/>
                <w:vertAlign w:val="superscript"/>
                <w:lang w:val="en-US" w:eastAsia="zh-CN"/>
              </w:rPr>
              <w:t>4</w:t>
            </w:r>
            <w:r>
              <w:rPr>
                <w:rFonts w:hint="default" w:ascii="Times New Roman" w:hAnsi="Times New Roman" w:eastAsia="宋体" w:cs="Times New Roman"/>
                <w:i w:val="0"/>
                <w:iCs w:val="0"/>
                <w:color w:val="auto"/>
                <w:sz w:val="18"/>
                <w:szCs w:val="18"/>
                <w:highlight w:val="none"/>
              </w:rPr>
              <w:t>m</w:t>
            </w:r>
            <w:r>
              <w:rPr>
                <w:rFonts w:hint="default" w:ascii="Times New Roman" w:hAnsi="Times New Roman" w:eastAsia="宋体" w:cs="Times New Roman"/>
                <w:i w:val="0"/>
                <w:iCs w:val="0"/>
                <w:color w:val="auto"/>
                <w:sz w:val="18"/>
                <w:szCs w:val="18"/>
                <w:highlight w:val="none"/>
                <w:vertAlign w:val="superscript"/>
              </w:rPr>
              <w:t>3</w:t>
            </w:r>
            <w:r>
              <w:rPr>
                <w:rFonts w:hint="default" w:ascii="Times New Roman" w:hAnsi="Times New Roman" w:eastAsia="宋体" w:cs="Times New Roman"/>
                <w:i w:val="0"/>
                <w:iCs w:val="0"/>
                <w:color w:val="auto"/>
                <w:sz w:val="18"/>
                <w:szCs w:val="18"/>
                <w:highlight w:val="none"/>
                <w:vertAlign w:val="baseline"/>
                <w:lang w:val="en-US" w:eastAsia="zh-CN"/>
              </w:rPr>
              <w:t>/</w:t>
            </w:r>
            <w:r>
              <w:rPr>
                <w:rFonts w:hint="default" w:ascii="Times New Roman" w:hAnsi="Times New Roman" w:eastAsia="宋体" w:cs="Times New Roman"/>
                <w:color w:val="auto"/>
                <w:sz w:val="18"/>
                <w:szCs w:val="18"/>
                <w:highlight w:val="none"/>
                <w:vertAlign w:val="baseline"/>
                <w:lang w:val="en-US" w:eastAsia="zh-CN"/>
              </w:rPr>
              <w:t>a</w:t>
            </w:r>
          </w:p>
        </w:tc>
        <w:tc>
          <w:tcPr>
            <w:tcW w:w="384" w:type="pct"/>
            <w:tcBorders>
              <w:tl2br w:val="nil"/>
              <w:tr2bl w:val="nil"/>
            </w:tcBorders>
            <w:vAlign w:val="top"/>
          </w:tcPr>
          <w:p w14:paraId="2714305A">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sz w:val="18"/>
                <w:szCs w:val="18"/>
                <w:highlight w:val="none"/>
              </w:rPr>
              <w:t>10</w:t>
            </w:r>
            <w:r>
              <w:rPr>
                <w:rFonts w:hint="default" w:ascii="Times New Roman" w:hAnsi="Times New Roman" w:eastAsia="宋体" w:cs="Times New Roman"/>
                <w:i w:val="0"/>
                <w:iCs w:val="0"/>
                <w:color w:val="auto"/>
                <w:sz w:val="18"/>
                <w:szCs w:val="18"/>
                <w:highlight w:val="none"/>
                <w:vertAlign w:val="superscript"/>
                <w:lang w:val="en-US" w:eastAsia="zh-CN"/>
              </w:rPr>
              <w:t>4</w:t>
            </w:r>
            <w:r>
              <w:rPr>
                <w:rFonts w:hint="default" w:ascii="Times New Roman" w:hAnsi="Times New Roman" w:eastAsia="宋体" w:cs="Times New Roman"/>
                <w:i w:val="0"/>
                <w:iCs w:val="0"/>
                <w:color w:val="auto"/>
                <w:sz w:val="18"/>
                <w:szCs w:val="18"/>
                <w:highlight w:val="none"/>
              </w:rPr>
              <w:t>m</w:t>
            </w:r>
            <w:r>
              <w:rPr>
                <w:rFonts w:hint="default" w:ascii="Times New Roman" w:hAnsi="Times New Roman" w:eastAsia="宋体" w:cs="Times New Roman"/>
                <w:i w:val="0"/>
                <w:iCs w:val="0"/>
                <w:color w:val="auto"/>
                <w:sz w:val="18"/>
                <w:szCs w:val="18"/>
                <w:highlight w:val="none"/>
                <w:vertAlign w:val="superscript"/>
              </w:rPr>
              <w:t>3</w:t>
            </w:r>
          </w:p>
        </w:tc>
        <w:tc>
          <w:tcPr>
            <w:tcW w:w="491" w:type="pct"/>
            <w:tcBorders>
              <w:tl2br w:val="nil"/>
              <w:tr2bl w:val="nil"/>
            </w:tcBorders>
            <w:vAlign w:val="top"/>
          </w:tcPr>
          <w:p w14:paraId="1307F3B6">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sz w:val="18"/>
                <w:szCs w:val="18"/>
                <w:highlight w:val="none"/>
              </w:rPr>
              <w:t>10</w:t>
            </w:r>
            <w:r>
              <w:rPr>
                <w:rFonts w:hint="default" w:ascii="Times New Roman" w:hAnsi="Times New Roman" w:eastAsia="宋体" w:cs="Times New Roman"/>
                <w:i w:val="0"/>
                <w:iCs w:val="0"/>
                <w:color w:val="auto"/>
                <w:sz w:val="18"/>
                <w:szCs w:val="18"/>
                <w:highlight w:val="none"/>
                <w:vertAlign w:val="superscript"/>
                <w:lang w:val="en-US" w:eastAsia="zh-CN"/>
              </w:rPr>
              <w:t>4</w:t>
            </w:r>
            <w:r>
              <w:rPr>
                <w:rFonts w:hint="default" w:ascii="Times New Roman" w:hAnsi="Times New Roman" w:eastAsia="宋体" w:cs="Times New Roman"/>
                <w:color w:val="auto"/>
                <w:sz w:val="18"/>
                <w:szCs w:val="18"/>
                <w:highlight w:val="none"/>
                <w:vertAlign w:val="baseline"/>
                <w:lang w:val="en-US" w:eastAsia="zh-CN"/>
              </w:rPr>
              <w:t>t</w:t>
            </w:r>
          </w:p>
        </w:tc>
        <w:tc>
          <w:tcPr>
            <w:tcW w:w="413" w:type="pct"/>
            <w:tcBorders>
              <w:tl2br w:val="nil"/>
              <w:tr2bl w:val="nil"/>
            </w:tcBorders>
            <w:vAlign w:val="top"/>
          </w:tcPr>
          <w:p w14:paraId="28E89AD3">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sz w:val="18"/>
                <w:szCs w:val="18"/>
                <w:highlight w:val="none"/>
              </w:rPr>
              <w:t>10</w:t>
            </w:r>
            <w:r>
              <w:rPr>
                <w:rFonts w:hint="default" w:ascii="Times New Roman" w:hAnsi="Times New Roman" w:eastAsia="宋体" w:cs="Times New Roman"/>
                <w:i w:val="0"/>
                <w:iCs w:val="0"/>
                <w:color w:val="auto"/>
                <w:sz w:val="18"/>
                <w:szCs w:val="18"/>
                <w:highlight w:val="none"/>
                <w:vertAlign w:val="superscript"/>
                <w:lang w:val="en-US" w:eastAsia="zh-CN"/>
              </w:rPr>
              <w:t>4</w:t>
            </w:r>
            <w:r>
              <w:rPr>
                <w:rFonts w:hint="default" w:ascii="Times New Roman" w:hAnsi="Times New Roman" w:eastAsia="宋体" w:cs="Times New Roman"/>
                <w:i w:val="0"/>
                <w:iCs w:val="0"/>
                <w:color w:val="auto"/>
                <w:sz w:val="18"/>
                <w:szCs w:val="18"/>
                <w:highlight w:val="none"/>
              </w:rPr>
              <w:t>m</w:t>
            </w:r>
            <w:r>
              <w:rPr>
                <w:rFonts w:hint="default" w:ascii="Times New Roman" w:hAnsi="Times New Roman" w:eastAsia="宋体" w:cs="Times New Roman"/>
                <w:i w:val="0"/>
                <w:iCs w:val="0"/>
                <w:color w:val="auto"/>
                <w:sz w:val="18"/>
                <w:szCs w:val="18"/>
                <w:highlight w:val="none"/>
                <w:vertAlign w:val="superscript"/>
              </w:rPr>
              <w:t>3</w:t>
            </w:r>
          </w:p>
        </w:tc>
        <w:tc>
          <w:tcPr>
            <w:tcW w:w="326" w:type="pct"/>
            <w:vMerge w:val="continue"/>
            <w:tcBorders>
              <w:tl2br w:val="nil"/>
              <w:tr2bl w:val="nil"/>
            </w:tcBorders>
          </w:tcPr>
          <w:p w14:paraId="0ED48E44">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eastAsia="zh-CN"/>
              </w:rPr>
            </w:pPr>
          </w:p>
        </w:tc>
      </w:tr>
      <w:tr w14:paraId="51C5F2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39" w:type="pct"/>
            <w:tcBorders>
              <w:tl2br w:val="nil"/>
              <w:tr2bl w:val="nil"/>
            </w:tcBorders>
          </w:tcPr>
          <w:p w14:paraId="69304544">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2024</w:t>
            </w:r>
          </w:p>
        </w:tc>
        <w:tc>
          <w:tcPr>
            <w:tcW w:w="537" w:type="pct"/>
            <w:tcBorders>
              <w:tl2br w:val="nil"/>
              <w:tr2bl w:val="nil"/>
            </w:tcBorders>
          </w:tcPr>
          <w:p w14:paraId="059568B1">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5</w:t>
            </w:r>
          </w:p>
        </w:tc>
        <w:tc>
          <w:tcPr>
            <w:tcW w:w="473" w:type="pct"/>
            <w:tcBorders>
              <w:tl2br w:val="nil"/>
              <w:tr2bl w:val="nil"/>
            </w:tcBorders>
          </w:tcPr>
          <w:p w14:paraId="420CA392">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59</w:t>
            </w:r>
          </w:p>
        </w:tc>
        <w:tc>
          <w:tcPr>
            <w:tcW w:w="413" w:type="pct"/>
            <w:tcBorders>
              <w:tl2br w:val="nil"/>
              <w:tr2bl w:val="nil"/>
            </w:tcBorders>
          </w:tcPr>
          <w:p w14:paraId="4980E622">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w:t>
            </w:r>
          </w:p>
        </w:tc>
        <w:tc>
          <w:tcPr>
            <w:tcW w:w="554" w:type="pct"/>
            <w:tcBorders>
              <w:tl2br w:val="nil"/>
              <w:tr2bl w:val="nil"/>
            </w:tcBorders>
          </w:tcPr>
          <w:p w14:paraId="11008D4C">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0.15</w:t>
            </w:r>
          </w:p>
        </w:tc>
        <w:tc>
          <w:tcPr>
            <w:tcW w:w="447" w:type="pct"/>
            <w:tcBorders>
              <w:tl2br w:val="nil"/>
              <w:tr2bl w:val="nil"/>
            </w:tcBorders>
          </w:tcPr>
          <w:p w14:paraId="43D7B861">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1.78</w:t>
            </w:r>
          </w:p>
        </w:tc>
        <w:tc>
          <w:tcPr>
            <w:tcW w:w="520" w:type="pct"/>
            <w:tcBorders>
              <w:tl2br w:val="nil"/>
              <w:tr2bl w:val="nil"/>
            </w:tcBorders>
          </w:tcPr>
          <w:p w14:paraId="662FBDE8">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w:t>
            </w:r>
          </w:p>
        </w:tc>
        <w:tc>
          <w:tcPr>
            <w:tcW w:w="384" w:type="pct"/>
            <w:tcBorders>
              <w:tl2br w:val="nil"/>
              <w:tr2bl w:val="nil"/>
            </w:tcBorders>
          </w:tcPr>
          <w:p w14:paraId="19B29120">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0.15</w:t>
            </w:r>
          </w:p>
        </w:tc>
        <w:tc>
          <w:tcPr>
            <w:tcW w:w="491" w:type="pct"/>
            <w:tcBorders>
              <w:tl2br w:val="nil"/>
              <w:tr2bl w:val="nil"/>
            </w:tcBorders>
          </w:tcPr>
          <w:p w14:paraId="1101794A">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1.78</w:t>
            </w:r>
          </w:p>
        </w:tc>
        <w:tc>
          <w:tcPr>
            <w:tcW w:w="413" w:type="pct"/>
            <w:tcBorders>
              <w:tl2br w:val="nil"/>
              <w:tr2bl w:val="nil"/>
            </w:tcBorders>
          </w:tcPr>
          <w:p w14:paraId="0D8AD6EE">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w:t>
            </w:r>
          </w:p>
        </w:tc>
        <w:tc>
          <w:tcPr>
            <w:tcW w:w="326" w:type="pct"/>
            <w:tcBorders>
              <w:tl2br w:val="nil"/>
              <w:tr2bl w:val="nil"/>
            </w:tcBorders>
          </w:tcPr>
          <w:p w14:paraId="63FD1374">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w:t>
            </w:r>
          </w:p>
        </w:tc>
      </w:tr>
      <w:tr w14:paraId="37D588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39" w:type="pct"/>
            <w:tcBorders>
              <w:tl2br w:val="nil"/>
              <w:tr2bl w:val="nil"/>
            </w:tcBorders>
          </w:tcPr>
          <w:p w14:paraId="41248F86">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202</w:t>
            </w:r>
            <w:r>
              <w:rPr>
                <w:rFonts w:hint="eastAsia" w:cs="Times New Roman"/>
                <w:color w:val="auto"/>
                <w:sz w:val="18"/>
                <w:szCs w:val="18"/>
                <w:highlight w:val="none"/>
                <w:vertAlign w:val="baseline"/>
                <w:lang w:val="en-US" w:eastAsia="zh-CN"/>
              </w:rPr>
              <w:t>5</w:t>
            </w:r>
          </w:p>
        </w:tc>
        <w:tc>
          <w:tcPr>
            <w:tcW w:w="537" w:type="pct"/>
            <w:tcBorders>
              <w:tl2br w:val="nil"/>
              <w:tr2bl w:val="nil"/>
            </w:tcBorders>
          </w:tcPr>
          <w:p w14:paraId="7E08541F">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7</w:t>
            </w:r>
          </w:p>
        </w:tc>
        <w:tc>
          <w:tcPr>
            <w:tcW w:w="473" w:type="pct"/>
            <w:tcBorders>
              <w:tl2br w:val="nil"/>
              <w:tr2bl w:val="nil"/>
            </w:tcBorders>
          </w:tcPr>
          <w:p w14:paraId="63EB6EC9">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179</w:t>
            </w:r>
          </w:p>
        </w:tc>
        <w:tc>
          <w:tcPr>
            <w:tcW w:w="413" w:type="pct"/>
            <w:tcBorders>
              <w:tl2br w:val="nil"/>
              <w:tr2bl w:val="nil"/>
            </w:tcBorders>
          </w:tcPr>
          <w:p w14:paraId="1109200D">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w:t>
            </w:r>
          </w:p>
        </w:tc>
        <w:tc>
          <w:tcPr>
            <w:tcW w:w="554" w:type="pct"/>
            <w:tcBorders>
              <w:tl2br w:val="nil"/>
              <w:tr2bl w:val="nil"/>
            </w:tcBorders>
          </w:tcPr>
          <w:p w14:paraId="494ACA3A">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0.22</w:t>
            </w:r>
          </w:p>
        </w:tc>
        <w:tc>
          <w:tcPr>
            <w:tcW w:w="447" w:type="pct"/>
            <w:tcBorders>
              <w:tl2br w:val="nil"/>
              <w:tr2bl w:val="nil"/>
            </w:tcBorders>
          </w:tcPr>
          <w:p w14:paraId="3BF7B06B">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5.38</w:t>
            </w:r>
          </w:p>
        </w:tc>
        <w:tc>
          <w:tcPr>
            <w:tcW w:w="520" w:type="pct"/>
            <w:tcBorders>
              <w:tl2br w:val="nil"/>
              <w:tr2bl w:val="nil"/>
            </w:tcBorders>
          </w:tcPr>
          <w:p w14:paraId="5740DA38">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w:t>
            </w:r>
          </w:p>
        </w:tc>
        <w:tc>
          <w:tcPr>
            <w:tcW w:w="384" w:type="pct"/>
            <w:tcBorders>
              <w:tl2br w:val="nil"/>
              <w:tr2bl w:val="nil"/>
            </w:tcBorders>
          </w:tcPr>
          <w:p w14:paraId="79519538">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0.37</w:t>
            </w:r>
          </w:p>
        </w:tc>
        <w:tc>
          <w:tcPr>
            <w:tcW w:w="491" w:type="pct"/>
            <w:tcBorders>
              <w:tl2br w:val="nil"/>
              <w:tr2bl w:val="nil"/>
            </w:tcBorders>
          </w:tcPr>
          <w:p w14:paraId="18EF1A8B">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7.15</w:t>
            </w:r>
          </w:p>
        </w:tc>
        <w:tc>
          <w:tcPr>
            <w:tcW w:w="413" w:type="pct"/>
            <w:tcBorders>
              <w:tl2br w:val="nil"/>
              <w:tr2bl w:val="nil"/>
            </w:tcBorders>
          </w:tcPr>
          <w:p w14:paraId="63EF7113">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w:t>
            </w:r>
          </w:p>
        </w:tc>
        <w:tc>
          <w:tcPr>
            <w:tcW w:w="326" w:type="pct"/>
            <w:tcBorders>
              <w:tl2br w:val="nil"/>
              <w:tr2bl w:val="nil"/>
            </w:tcBorders>
          </w:tcPr>
          <w:p w14:paraId="3A4834A0">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w:t>
            </w:r>
          </w:p>
        </w:tc>
      </w:tr>
      <w:tr w14:paraId="6BD4A8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39" w:type="pct"/>
            <w:tcBorders>
              <w:tl2br w:val="nil"/>
              <w:tr2bl w:val="nil"/>
            </w:tcBorders>
          </w:tcPr>
          <w:p w14:paraId="0AFA07BD">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2026</w:t>
            </w:r>
          </w:p>
        </w:tc>
        <w:tc>
          <w:tcPr>
            <w:tcW w:w="537" w:type="pct"/>
            <w:tcBorders>
              <w:tl2br w:val="nil"/>
              <w:tr2bl w:val="nil"/>
            </w:tcBorders>
          </w:tcPr>
          <w:p w14:paraId="23C3B312">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7</w:t>
            </w:r>
          </w:p>
        </w:tc>
        <w:tc>
          <w:tcPr>
            <w:tcW w:w="473" w:type="pct"/>
            <w:tcBorders>
              <w:tl2br w:val="nil"/>
              <w:tr2bl w:val="nil"/>
            </w:tcBorders>
          </w:tcPr>
          <w:p w14:paraId="7C875AC0">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179</w:t>
            </w:r>
          </w:p>
        </w:tc>
        <w:tc>
          <w:tcPr>
            <w:tcW w:w="413" w:type="pct"/>
            <w:tcBorders>
              <w:tl2br w:val="nil"/>
              <w:tr2bl w:val="nil"/>
            </w:tcBorders>
          </w:tcPr>
          <w:p w14:paraId="51FAF922">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w:t>
            </w:r>
          </w:p>
        </w:tc>
        <w:tc>
          <w:tcPr>
            <w:tcW w:w="554" w:type="pct"/>
            <w:tcBorders>
              <w:tl2br w:val="nil"/>
              <w:tr2bl w:val="nil"/>
            </w:tcBorders>
          </w:tcPr>
          <w:p w14:paraId="3DFA826F">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0.22</w:t>
            </w:r>
          </w:p>
        </w:tc>
        <w:tc>
          <w:tcPr>
            <w:tcW w:w="447" w:type="pct"/>
            <w:tcBorders>
              <w:tl2br w:val="nil"/>
              <w:tr2bl w:val="nil"/>
            </w:tcBorders>
          </w:tcPr>
          <w:p w14:paraId="7F877942">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5.38</w:t>
            </w:r>
          </w:p>
        </w:tc>
        <w:tc>
          <w:tcPr>
            <w:tcW w:w="520" w:type="pct"/>
            <w:tcBorders>
              <w:tl2br w:val="nil"/>
              <w:tr2bl w:val="nil"/>
            </w:tcBorders>
          </w:tcPr>
          <w:p w14:paraId="2F4B59C3">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w:t>
            </w:r>
          </w:p>
        </w:tc>
        <w:tc>
          <w:tcPr>
            <w:tcW w:w="384" w:type="pct"/>
            <w:tcBorders>
              <w:tl2br w:val="nil"/>
              <w:tr2bl w:val="nil"/>
            </w:tcBorders>
          </w:tcPr>
          <w:p w14:paraId="67BC941C">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0.59</w:t>
            </w:r>
          </w:p>
        </w:tc>
        <w:tc>
          <w:tcPr>
            <w:tcW w:w="491" w:type="pct"/>
            <w:tcBorders>
              <w:tl2br w:val="nil"/>
              <w:tr2bl w:val="nil"/>
            </w:tcBorders>
          </w:tcPr>
          <w:p w14:paraId="7EBED888">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12.53</w:t>
            </w:r>
          </w:p>
        </w:tc>
        <w:tc>
          <w:tcPr>
            <w:tcW w:w="413" w:type="pct"/>
            <w:tcBorders>
              <w:tl2br w:val="nil"/>
              <w:tr2bl w:val="nil"/>
            </w:tcBorders>
          </w:tcPr>
          <w:p w14:paraId="7D773D05">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w:t>
            </w:r>
          </w:p>
        </w:tc>
        <w:tc>
          <w:tcPr>
            <w:tcW w:w="326" w:type="pct"/>
            <w:tcBorders>
              <w:tl2br w:val="nil"/>
              <w:tr2bl w:val="nil"/>
            </w:tcBorders>
          </w:tcPr>
          <w:p w14:paraId="58554D36">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w:t>
            </w:r>
          </w:p>
        </w:tc>
      </w:tr>
      <w:tr w14:paraId="11D882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39" w:type="pct"/>
            <w:tcBorders>
              <w:tl2br w:val="nil"/>
              <w:tr2bl w:val="nil"/>
            </w:tcBorders>
          </w:tcPr>
          <w:p w14:paraId="25F5AFF8">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2027</w:t>
            </w:r>
          </w:p>
        </w:tc>
        <w:tc>
          <w:tcPr>
            <w:tcW w:w="537" w:type="pct"/>
            <w:tcBorders>
              <w:tl2br w:val="nil"/>
              <w:tr2bl w:val="nil"/>
            </w:tcBorders>
          </w:tcPr>
          <w:p w14:paraId="42FA9AA9">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7</w:t>
            </w:r>
          </w:p>
        </w:tc>
        <w:tc>
          <w:tcPr>
            <w:tcW w:w="473" w:type="pct"/>
            <w:tcBorders>
              <w:tl2br w:val="nil"/>
              <w:tr2bl w:val="nil"/>
            </w:tcBorders>
          </w:tcPr>
          <w:p w14:paraId="26E882EA">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162</w:t>
            </w:r>
          </w:p>
        </w:tc>
        <w:tc>
          <w:tcPr>
            <w:tcW w:w="413" w:type="pct"/>
            <w:tcBorders>
              <w:tl2br w:val="nil"/>
              <w:tr2bl w:val="nil"/>
            </w:tcBorders>
          </w:tcPr>
          <w:p w14:paraId="52CB4ACB">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17</w:t>
            </w:r>
          </w:p>
        </w:tc>
        <w:tc>
          <w:tcPr>
            <w:tcW w:w="554" w:type="pct"/>
            <w:tcBorders>
              <w:tl2br w:val="nil"/>
              <w:tr2bl w:val="nil"/>
            </w:tcBorders>
          </w:tcPr>
          <w:p w14:paraId="249E2F3B">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0.21</w:t>
            </w:r>
          </w:p>
        </w:tc>
        <w:tc>
          <w:tcPr>
            <w:tcW w:w="447" w:type="pct"/>
            <w:tcBorders>
              <w:tl2br w:val="nil"/>
              <w:tr2bl w:val="nil"/>
            </w:tcBorders>
          </w:tcPr>
          <w:p w14:paraId="58E5DB36">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4.87</w:t>
            </w:r>
          </w:p>
        </w:tc>
        <w:tc>
          <w:tcPr>
            <w:tcW w:w="520" w:type="pct"/>
            <w:tcBorders>
              <w:tl2br w:val="nil"/>
              <w:tr2bl w:val="nil"/>
            </w:tcBorders>
          </w:tcPr>
          <w:p w14:paraId="3C34DBBC">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0.5</w:t>
            </w:r>
          </w:p>
        </w:tc>
        <w:tc>
          <w:tcPr>
            <w:tcW w:w="384" w:type="pct"/>
            <w:tcBorders>
              <w:tl2br w:val="nil"/>
              <w:tr2bl w:val="nil"/>
            </w:tcBorders>
          </w:tcPr>
          <w:p w14:paraId="5263BC8D">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0.80</w:t>
            </w:r>
          </w:p>
        </w:tc>
        <w:tc>
          <w:tcPr>
            <w:tcW w:w="491" w:type="pct"/>
            <w:tcBorders>
              <w:tl2br w:val="nil"/>
              <w:tr2bl w:val="nil"/>
            </w:tcBorders>
          </w:tcPr>
          <w:p w14:paraId="592AAEEE">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17.40</w:t>
            </w:r>
          </w:p>
        </w:tc>
        <w:tc>
          <w:tcPr>
            <w:tcW w:w="413" w:type="pct"/>
            <w:tcBorders>
              <w:tl2br w:val="nil"/>
              <w:tr2bl w:val="nil"/>
            </w:tcBorders>
          </w:tcPr>
          <w:p w14:paraId="25686E17">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0.50</w:t>
            </w:r>
          </w:p>
        </w:tc>
        <w:tc>
          <w:tcPr>
            <w:tcW w:w="326" w:type="pct"/>
            <w:tcBorders>
              <w:tl2br w:val="nil"/>
              <w:tr2bl w:val="nil"/>
            </w:tcBorders>
          </w:tcPr>
          <w:p w14:paraId="1234F817">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9.3</w:t>
            </w:r>
          </w:p>
        </w:tc>
      </w:tr>
      <w:tr w14:paraId="72B90C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39" w:type="pct"/>
            <w:tcBorders>
              <w:tl2br w:val="nil"/>
              <w:tr2bl w:val="nil"/>
            </w:tcBorders>
          </w:tcPr>
          <w:p w14:paraId="39E13749">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2028</w:t>
            </w:r>
          </w:p>
        </w:tc>
        <w:tc>
          <w:tcPr>
            <w:tcW w:w="537" w:type="pct"/>
            <w:tcBorders>
              <w:tl2br w:val="nil"/>
              <w:tr2bl w:val="nil"/>
            </w:tcBorders>
          </w:tcPr>
          <w:p w14:paraId="3210F88C">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6</w:t>
            </w:r>
          </w:p>
        </w:tc>
        <w:tc>
          <w:tcPr>
            <w:tcW w:w="473" w:type="pct"/>
            <w:tcBorders>
              <w:tl2br w:val="nil"/>
              <w:tr2bl w:val="nil"/>
            </w:tcBorders>
          </w:tcPr>
          <w:p w14:paraId="7FCA1019">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145</w:t>
            </w:r>
          </w:p>
        </w:tc>
        <w:tc>
          <w:tcPr>
            <w:tcW w:w="413" w:type="pct"/>
            <w:tcBorders>
              <w:tl2br w:val="nil"/>
              <w:tr2bl w:val="nil"/>
            </w:tcBorders>
          </w:tcPr>
          <w:p w14:paraId="6676F303">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31</w:t>
            </w:r>
          </w:p>
        </w:tc>
        <w:tc>
          <w:tcPr>
            <w:tcW w:w="554" w:type="pct"/>
            <w:tcBorders>
              <w:tl2br w:val="nil"/>
              <w:tr2bl w:val="nil"/>
            </w:tcBorders>
          </w:tcPr>
          <w:p w14:paraId="4C5198DB">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0.19</w:t>
            </w:r>
          </w:p>
        </w:tc>
        <w:tc>
          <w:tcPr>
            <w:tcW w:w="447" w:type="pct"/>
            <w:tcBorders>
              <w:tl2br w:val="nil"/>
              <w:tr2bl w:val="nil"/>
            </w:tcBorders>
          </w:tcPr>
          <w:p w14:paraId="4190B650">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4.36</w:t>
            </w:r>
          </w:p>
        </w:tc>
        <w:tc>
          <w:tcPr>
            <w:tcW w:w="520" w:type="pct"/>
            <w:tcBorders>
              <w:tl2br w:val="nil"/>
              <w:tr2bl w:val="nil"/>
            </w:tcBorders>
          </w:tcPr>
          <w:p w14:paraId="62783573">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0.93</w:t>
            </w:r>
          </w:p>
        </w:tc>
        <w:tc>
          <w:tcPr>
            <w:tcW w:w="384" w:type="pct"/>
            <w:tcBorders>
              <w:tl2br w:val="nil"/>
              <w:tr2bl w:val="nil"/>
            </w:tcBorders>
          </w:tcPr>
          <w:p w14:paraId="70ED0073">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0.99</w:t>
            </w:r>
          </w:p>
        </w:tc>
        <w:tc>
          <w:tcPr>
            <w:tcW w:w="491" w:type="pct"/>
            <w:tcBorders>
              <w:tl2br w:val="nil"/>
              <w:tr2bl w:val="nil"/>
            </w:tcBorders>
          </w:tcPr>
          <w:p w14:paraId="02E180EA">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21.76</w:t>
            </w:r>
          </w:p>
        </w:tc>
        <w:tc>
          <w:tcPr>
            <w:tcW w:w="413" w:type="pct"/>
            <w:tcBorders>
              <w:tl2br w:val="nil"/>
              <w:tr2bl w:val="nil"/>
            </w:tcBorders>
          </w:tcPr>
          <w:p w14:paraId="60B60AC9">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1.43</w:t>
            </w:r>
          </w:p>
        </w:tc>
        <w:tc>
          <w:tcPr>
            <w:tcW w:w="326" w:type="pct"/>
            <w:tcBorders>
              <w:tl2br w:val="nil"/>
              <w:tr2bl w:val="nil"/>
            </w:tcBorders>
          </w:tcPr>
          <w:p w14:paraId="5876EF99">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17.6</w:t>
            </w:r>
          </w:p>
        </w:tc>
      </w:tr>
      <w:tr w14:paraId="1527D5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39" w:type="pct"/>
            <w:tcBorders>
              <w:tl2br w:val="nil"/>
              <w:tr2bl w:val="nil"/>
            </w:tcBorders>
          </w:tcPr>
          <w:p w14:paraId="1AEE5E8B">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2029</w:t>
            </w:r>
          </w:p>
        </w:tc>
        <w:tc>
          <w:tcPr>
            <w:tcW w:w="537" w:type="pct"/>
            <w:tcBorders>
              <w:tl2br w:val="nil"/>
              <w:tr2bl w:val="nil"/>
            </w:tcBorders>
          </w:tcPr>
          <w:p w14:paraId="64AE9A93">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6</w:t>
            </w:r>
          </w:p>
        </w:tc>
        <w:tc>
          <w:tcPr>
            <w:tcW w:w="473" w:type="pct"/>
            <w:tcBorders>
              <w:tl2br w:val="nil"/>
              <w:tr2bl w:val="nil"/>
            </w:tcBorders>
          </w:tcPr>
          <w:p w14:paraId="7F802198">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127</w:t>
            </w:r>
          </w:p>
        </w:tc>
        <w:tc>
          <w:tcPr>
            <w:tcW w:w="413" w:type="pct"/>
            <w:tcBorders>
              <w:tl2br w:val="nil"/>
              <w:tr2bl w:val="nil"/>
            </w:tcBorders>
          </w:tcPr>
          <w:p w14:paraId="381E9CA5">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44</w:t>
            </w:r>
          </w:p>
        </w:tc>
        <w:tc>
          <w:tcPr>
            <w:tcW w:w="554" w:type="pct"/>
            <w:tcBorders>
              <w:tl2br w:val="nil"/>
              <w:tr2bl w:val="nil"/>
            </w:tcBorders>
          </w:tcPr>
          <w:p w14:paraId="3A9A171C">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0.17</w:t>
            </w:r>
          </w:p>
        </w:tc>
        <w:tc>
          <w:tcPr>
            <w:tcW w:w="447" w:type="pct"/>
            <w:tcBorders>
              <w:tl2br w:val="nil"/>
              <w:tr2bl w:val="nil"/>
            </w:tcBorders>
          </w:tcPr>
          <w:p w14:paraId="1C684174">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3.82</w:t>
            </w:r>
          </w:p>
        </w:tc>
        <w:tc>
          <w:tcPr>
            <w:tcW w:w="520" w:type="pct"/>
            <w:tcBorders>
              <w:tl2br w:val="nil"/>
              <w:tr2bl w:val="nil"/>
            </w:tcBorders>
          </w:tcPr>
          <w:p w14:paraId="7C2BFC2F">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1.33</w:t>
            </w:r>
          </w:p>
        </w:tc>
        <w:tc>
          <w:tcPr>
            <w:tcW w:w="384" w:type="pct"/>
            <w:tcBorders>
              <w:tl2br w:val="nil"/>
              <w:tr2bl w:val="nil"/>
            </w:tcBorders>
          </w:tcPr>
          <w:p w14:paraId="03AB0E5D">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1.17</w:t>
            </w:r>
          </w:p>
        </w:tc>
        <w:tc>
          <w:tcPr>
            <w:tcW w:w="491" w:type="pct"/>
            <w:tcBorders>
              <w:tl2br w:val="nil"/>
              <w:tr2bl w:val="nil"/>
            </w:tcBorders>
          </w:tcPr>
          <w:p w14:paraId="6F4E22C3">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25.58</w:t>
            </w:r>
          </w:p>
        </w:tc>
        <w:tc>
          <w:tcPr>
            <w:tcW w:w="413" w:type="pct"/>
            <w:tcBorders>
              <w:tl2br w:val="nil"/>
              <w:tr2bl w:val="nil"/>
            </w:tcBorders>
          </w:tcPr>
          <w:p w14:paraId="35B09484">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2.76</w:t>
            </w:r>
          </w:p>
        </w:tc>
        <w:tc>
          <w:tcPr>
            <w:tcW w:w="326" w:type="pct"/>
            <w:tcBorders>
              <w:tl2br w:val="nil"/>
              <w:tr2bl w:val="nil"/>
            </w:tcBorders>
          </w:tcPr>
          <w:p w14:paraId="3174B4C6">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25.8</w:t>
            </w:r>
          </w:p>
        </w:tc>
      </w:tr>
      <w:tr w14:paraId="72D0A9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39" w:type="pct"/>
            <w:tcBorders>
              <w:tl2br w:val="nil"/>
              <w:tr2bl w:val="nil"/>
            </w:tcBorders>
          </w:tcPr>
          <w:p w14:paraId="69150625">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2030</w:t>
            </w:r>
          </w:p>
        </w:tc>
        <w:tc>
          <w:tcPr>
            <w:tcW w:w="537" w:type="pct"/>
            <w:tcBorders>
              <w:tl2br w:val="nil"/>
              <w:tr2bl w:val="nil"/>
            </w:tcBorders>
          </w:tcPr>
          <w:p w14:paraId="2B8FB4DD">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5</w:t>
            </w:r>
          </w:p>
        </w:tc>
        <w:tc>
          <w:tcPr>
            <w:tcW w:w="473" w:type="pct"/>
            <w:tcBorders>
              <w:tl2br w:val="nil"/>
              <w:tr2bl w:val="nil"/>
            </w:tcBorders>
          </w:tcPr>
          <w:p w14:paraId="246033BD">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109</w:t>
            </w:r>
          </w:p>
        </w:tc>
        <w:tc>
          <w:tcPr>
            <w:tcW w:w="413" w:type="pct"/>
            <w:tcBorders>
              <w:tl2br w:val="nil"/>
              <w:tr2bl w:val="nil"/>
            </w:tcBorders>
          </w:tcPr>
          <w:p w14:paraId="6AF69980">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55</w:t>
            </w:r>
          </w:p>
        </w:tc>
        <w:tc>
          <w:tcPr>
            <w:tcW w:w="554" w:type="pct"/>
            <w:tcBorders>
              <w:tl2br w:val="nil"/>
              <w:tr2bl w:val="nil"/>
            </w:tcBorders>
          </w:tcPr>
          <w:p w14:paraId="435A825A">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0.15</w:t>
            </w:r>
          </w:p>
        </w:tc>
        <w:tc>
          <w:tcPr>
            <w:tcW w:w="447" w:type="pct"/>
            <w:tcBorders>
              <w:tl2br w:val="nil"/>
              <w:tr2bl w:val="nil"/>
            </w:tcBorders>
          </w:tcPr>
          <w:p w14:paraId="323CE66F">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3.27</w:t>
            </w:r>
          </w:p>
        </w:tc>
        <w:tc>
          <w:tcPr>
            <w:tcW w:w="520" w:type="pct"/>
            <w:tcBorders>
              <w:tl2br w:val="nil"/>
              <w:tr2bl w:val="nil"/>
            </w:tcBorders>
          </w:tcPr>
          <w:p w14:paraId="225DC4F8">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1.65</w:t>
            </w:r>
          </w:p>
        </w:tc>
        <w:tc>
          <w:tcPr>
            <w:tcW w:w="384" w:type="pct"/>
            <w:tcBorders>
              <w:tl2br w:val="nil"/>
              <w:tr2bl w:val="nil"/>
            </w:tcBorders>
          </w:tcPr>
          <w:p w14:paraId="3FB1EB99">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1.31</w:t>
            </w:r>
          </w:p>
        </w:tc>
        <w:tc>
          <w:tcPr>
            <w:tcW w:w="491" w:type="pct"/>
            <w:tcBorders>
              <w:tl2br w:val="nil"/>
              <w:tr2bl w:val="nil"/>
            </w:tcBorders>
          </w:tcPr>
          <w:p w14:paraId="2E9F845A">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28.85</w:t>
            </w:r>
          </w:p>
        </w:tc>
        <w:tc>
          <w:tcPr>
            <w:tcW w:w="413" w:type="pct"/>
            <w:tcBorders>
              <w:tl2br w:val="nil"/>
              <w:tr2bl w:val="nil"/>
            </w:tcBorders>
          </w:tcPr>
          <w:p w14:paraId="3355FD91">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4.41</w:t>
            </w:r>
          </w:p>
        </w:tc>
        <w:tc>
          <w:tcPr>
            <w:tcW w:w="326" w:type="pct"/>
            <w:tcBorders>
              <w:tl2br w:val="nil"/>
              <w:tr2bl w:val="nil"/>
            </w:tcBorders>
          </w:tcPr>
          <w:p w14:paraId="781D3CD1">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33.5</w:t>
            </w:r>
          </w:p>
        </w:tc>
      </w:tr>
      <w:tr w14:paraId="56614C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39" w:type="pct"/>
            <w:tcBorders>
              <w:tl2br w:val="nil"/>
              <w:tr2bl w:val="nil"/>
            </w:tcBorders>
          </w:tcPr>
          <w:p w14:paraId="42751DD3">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2031</w:t>
            </w:r>
          </w:p>
        </w:tc>
        <w:tc>
          <w:tcPr>
            <w:tcW w:w="537" w:type="pct"/>
            <w:tcBorders>
              <w:tl2br w:val="nil"/>
              <w:tr2bl w:val="nil"/>
            </w:tcBorders>
          </w:tcPr>
          <w:p w14:paraId="025806D6">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4</w:t>
            </w:r>
          </w:p>
        </w:tc>
        <w:tc>
          <w:tcPr>
            <w:tcW w:w="473" w:type="pct"/>
            <w:tcBorders>
              <w:tl2br w:val="nil"/>
              <w:tr2bl w:val="nil"/>
            </w:tcBorders>
          </w:tcPr>
          <w:p w14:paraId="75DBB897">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93</w:t>
            </w:r>
          </w:p>
        </w:tc>
        <w:tc>
          <w:tcPr>
            <w:tcW w:w="413" w:type="pct"/>
            <w:tcBorders>
              <w:tl2br w:val="nil"/>
              <w:tr2bl w:val="nil"/>
            </w:tcBorders>
          </w:tcPr>
          <w:p w14:paraId="47B7EB34">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65</w:t>
            </w:r>
          </w:p>
        </w:tc>
        <w:tc>
          <w:tcPr>
            <w:tcW w:w="554" w:type="pct"/>
            <w:tcBorders>
              <w:tl2br w:val="nil"/>
              <w:tr2bl w:val="nil"/>
            </w:tcBorders>
          </w:tcPr>
          <w:p w14:paraId="3B126ABC">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0.13</w:t>
            </w:r>
          </w:p>
        </w:tc>
        <w:tc>
          <w:tcPr>
            <w:tcW w:w="447" w:type="pct"/>
            <w:tcBorders>
              <w:tl2br w:val="nil"/>
              <w:tr2bl w:val="nil"/>
            </w:tcBorders>
          </w:tcPr>
          <w:p w14:paraId="2657DB0A">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2.80</w:t>
            </w:r>
          </w:p>
        </w:tc>
        <w:tc>
          <w:tcPr>
            <w:tcW w:w="520" w:type="pct"/>
            <w:tcBorders>
              <w:tl2br w:val="nil"/>
              <w:tr2bl w:val="nil"/>
            </w:tcBorders>
          </w:tcPr>
          <w:p w14:paraId="57F634A7">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1.96</w:t>
            </w:r>
          </w:p>
        </w:tc>
        <w:tc>
          <w:tcPr>
            <w:tcW w:w="384" w:type="pct"/>
            <w:tcBorders>
              <w:tl2br w:val="nil"/>
              <w:tr2bl w:val="nil"/>
            </w:tcBorders>
          </w:tcPr>
          <w:p w14:paraId="6FFD8EC0">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1.44</w:t>
            </w:r>
          </w:p>
        </w:tc>
        <w:tc>
          <w:tcPr>
            <w:tcW w:w="491" w:type="pct"/>
            <w:tcBorders>
              <w:tl2br w:val="nil"/>
              <w:tr2bl w:val="nil"/>
            </w:tcBorders>
          </w:tcPr>
          <w:p w14:paraId="52EFF14A">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31.65</w:t>
            </w:r>
          </w:p>
        </w:tc>
        <w:tc>
          <w:tcPr>
            <w:tcW w:w="413" w:type="pct"/>
            <w:tcBorders>
              <w:tl2br w:val="nil"/>
              <w:tr2bl w:val="nil"/>
            </w:tcBorders>
          </w:tcPr>
          <w:p w14:paraId="7D286EA2">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6.37</w:t>
            </w:r>
          </w:p>
        </w:tc>
        <w:tc>
          <w:tcPr>
            <w:tcW w:w="326" w:type="pct"/>
            <w:tcBorders>
              <w:tl2br w:val="nil"/>
              <w:tr2bl w:val="nil"/>
            </w:tcBorders>
          </w:tcPr>
          <w:p w14:paraId="29D3C84F">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41.1</w:t>
            </w:r>
          </w:p>
        </w:tc>
      </w:tr>
      <w:tr w14:paraId="0BD403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39" w:type="pct"/>
            <w:tcBorders>
              <w:tl2br w:val="nil"/>
              <w:tr2bl w:val="nil"/>
            </w:tcBorders>
          </w:tcPr>
          <w:p w14:paraId="5CE6B452">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2032</w:t>
            </w:r>
          </w:p>
        </w:tc>
        <w:tc>
          <w:tcPr>
            <w:tcW w:w="537" w:type="pct"/>
            <w:tcBorders>
              <w:tl2br w:val="nil"/>
              <w:tr2bl w:val="nil"/>
            </w:tcBorders>
          </w:tcPr>
          <w:p w14:paraId="240E7757">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4</w:t>
            </w:r>
          </w:p>
        </w:tc>
        <w:tc>
          <w:tcPr>
            <w:tcW w:w="473" w:type="pct"/>
            <w:tcBorders>
              <w:tl2br w:val="nil"/>
              <w:tr2bl w:val="nil"/>
            </w:tcBorders>
          </w:tcPr>
          <w:p w14:paraId="19B5EE99">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80</w:t>
            </w:r>
          </w:p>
        </w:tc>
        <w:tc>
          <w:tcPr>
            <w:tcW w:w="413" w:type="pct"/>
            <w:tcBorders>
              <w:tl2br w:val="nil"/>
              <w:tr2bl w:val="nil"/>
            </w:tcBorders>
          </w:tcPr>
          <w:p w14:paraId="5DEAD4B3">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76</w:t>
            </w:r>
          </w:p>
        </w:tc>
        <w:tc>
          <w:tcPr>
            <w:tcW w:w="554" w:type="pct"/>
            <w:tcBorders>
              <w:tl2br w:val="nil"/>
              <w:tr2bl w:val="nil"/>
            </w:tcBorders>
          </w:tcPr>
          <w:p w14:paraId="36107E5E">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0.11</w:t>
            </w:r>
          </w:p>
        </w:tc>
        <w:tc>
          <w:tcPr>
            <w:tcW w:w="447" w:type="pct"/>
            <w:tcBorders>
              <w:tl2br w:val="nil"/>
              <w:tr2bl w:val="nil"/>
            </w:tcBorders>
          </w:tcPr>
          <w:p w14:paraId="03DD7780">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2.40</w:t>
            </w:r>
          </w:p>
        </w:tc>
        <w:tc>
          <w:tcPr>
            <w:tcW w:w="520" w:type="pct"/>
            <w:tcBorders>
              <w:tl2br w:val="nil"/>
              <w:tr2bl w:val="nil"/>
            </w:tcBorders>
          </w:tcPr>
          <w:p w14:paraId="5C99491F">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2.28</w:t>
            </w:r>
          </w:p>
        </w:tc>
        <w:tc>
          <w:tcPr>
            <w:tcW w:w="384" w:type="pct"/>
            <w:tcBorders>
              <w:tl2br w:val="nil"/>
              <w:tr2bl w:val="nil"/>
            </w:tcBorders>
          </w:tcPr>
          <w:p w14:paraId="5CF8A25C">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1.55</w:t>
            </w:r>
          </w:p>
        </w:tc>
        <w:tc>
          <w:tcPr>
            <w:tcW w:w="491" w:type="pct"/>
            <w:tcBorders>
              <w:tl2br w:val="nil"/>
              <w:tr2bl w:val="nil"/>
            </w:tcBorders>
          </w:tcPr>
          <w:p w14:paraId="6E1B2420">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34.05</w:t>
            </w:r>
          </w:p>
        </w:tc>
        <w:tc>
          <w:tcPr>
            <w:tcW w:w="413" w:type="pct"/>
            <w:tcBorders>
              <w:tl2br w:val="nil"/>
              <w:tr2bl w:val="nil"/>
            </w:tcBorders>
          </w:tcPr>
          <w:p w14:paraId="15686AA7">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8.65</w:t>
            </w:r>
          </w:p>
        </w:tc>
        <w:tc>
          <w:tcPr>
            <w:tcW w:w="326" w:type="pct"/>
            <w:tcBorders>
              <w:tl2br w:val="nil"/>
              <w:tr2bl w:val="nil"/>
            </w:tcBorders>
          </w:tcPr>
          <w:p w14:paraId="06CA93F1">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48.7</w:t>
            </w:r>
          </w:p>
        </w:tc>
      </w:tr>
      <w:tr w14:paraId="16EB7B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39" w:type="pct"/>
            <w:tcBorders>
              <w:tl2br w:val="nil"/>
              <w:tr2bl w:val="nil"/>
            </w:tcBorders>
          </w:tcPr>
          <w:p w14:paraId="42748249">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2033</w:t>
            </w:r>
          </w:p>
        </w:tc>
        <w:tc>
          <w:tcPr>
            <w:tcW w:w="537" w:type="pct"/>
            <w:tcBorders>
              <w:tl2br w:val="nil"/>
              <w:tr2bl w:val="nil"/>
            </w:tcBorders>
          </w:tcPr>
          <w:p w14:paraId="2E1D6B90">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3</w:t>
            </w:r>
          </w:p>
        </w:tc>
        <w:tc>
          <w:tcPr>
            <w:tcW w:w="473" w:type="pct"/>
            <w:tcBorders>
              <w:tl2br w:val="nil"/>
              <w:tr2bl w:val="nil"/>
            </w:tcBorders>
          </w:tcPr>
          <w:p w14:paraId="0E83EDD3">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69</w:t>
            </w:r>
          </w:p>
        </w:tc>
        <w:tc>
          <w:tcPr>
            <w:tcW w:w="413" w:type="pct"/>
            <w:tcBorders>
              <w:tl2br w:val="nil"/>
              <w:tr2bl w:val="nil"/>
            </w:tcBorders>
          </w:tcPr>
          <w:p w14:paraId="6563266F">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90</w:t>
            </w:r>
          </w:p>
        </w:tc>
        <w:tc>
          <w:tcPr>
            <w:tcW w:w="554" w:type="pct"/>
            <w:tcBorders>
              <w:tl2br w:val="nil"/>
              <w:tr2bl w:val="nil"/>
            </w:tcBorders>
          </w:tcPr>
          <w:p w14:paraId="0BA85087">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0.09</w:t>
            </w:r>
          </w:p>
        </w:tc>
        <w:tc>
          <w:tcPr>
            <w:tcW w:w="447" w:type="pct"/>
            <w:tcBorders>
              <w:tl2br w:val="nil"/>
              <w:tr2bl w:val="nil"/>
            </w:tcBorders>
          </w:tcPr>
          <w:p w14:paraId="0017FE00">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2.06</w:t>
            </w:r>
          </w:p>
        </w:tc>
        <w:tc>
          <w:tcPr>
            <w:tcW w:w="520" w:type="pct"/>
            <w:tcBorders>
              <w:tl2br w:val="nil"/>
              <w:tr2bl w:val="nil"/>
            </w:tcBorders>
          </w:tcPr>
          <w:p w14:paraId="0ABD5730">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2.69</w:t>
            </w:r>
          </w:p>
        </w:tc>
        <w:tc>
          <w:tcPr>
            <w:tcW w:w="384" w:type="pct"/>
            <w:tcBorders>
              <w:tl2br w:val="nil"/>
              <w:tr2bl w:val="nil"/>
            </w:tcBorders>
          </w:tcPr>
          <w:p w14:paraId="222FB8FC">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1.64</w:t>
            </w:r>
          </w:p>
        </w:tc>
        <w:tc>
          <w:tcPr>
            <w:tcW w:w="491" w:type="pct"/>
            <w:tcBorders>
              <w:tl2br w:val="nil"/>
              <w:tr2bl w:val="nil"/>
            </w:tcBorders>
          </w:tcPr>
          <w:p w14:paraId="047CC8C5">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36.11</w:t>
            </w:r>
          </w:p>
        </w:tc>
        <w:tc>
          <w:tcPr>
            <w:tcW w:w="413" w:type="pct"/>
            <w:tcBorders>
              <w:tl2br w:val="nil"/>
              <w:tr2bl w:val="nil"/>
            </w:tcBorders>
          </w:tcPr>
          <w:p w14:paraId="1CBE93EB">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11.34</w:t>
            </w:r>
          </w:p>
        </w:tc>
        <w:tc>
          <w:tcPr>
            <w:tcW w:w="326" w:type="pct"/>
            <w:tcBorders>
              <w:tl2br w:val="nil"/>
              <w:tr2bl w:val="nil"/>
            </w:tcBorders>
          </w:tcPr>
          <w:p w14:paraId="60BC40F0">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56.7</w:t>
            </w:r>
          </w:p>
        </w:tc>
      </w:tr>
      <w:tr w14:paraId="57540A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39" w:type="pct"/>
            <w:tcBorders>
              <w:tl2br w:val="nil"/>
              <w:tr2bl w:val="nil"/>
            </w:tcBorders>
          </w:tcPr>
          <w:p w14:paraId="67A792EE">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2034</w:t>
            </w:r>
          </w:p>
        </w:tc>
        <w:tc>
          <w:tcPr>
            <w:tcW w:w="537" w:type="pct"/>
            <w:tcBorders>
              <w:tl2br w:val="nil"/>
              <w:tr2bl w:val="nil"/>
            </w:tcBorders>
          </w:tcPr>
          <w:p w14:paraId="1E7A2F39">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3</w:t>
            </w:r>
          </w:p>
        </w:tc>
        <w:tc>
          <w:tcPr>
            <w:tcW w:w="473" w:type="pct"/>
            <w:tcBorders>
              <w:tl2br w:val="nil"/>
              <w:tr2bl w:val="nil"/>
            </w:tcBorders>
          </w:tcPr>
          <w:p w14:paraId="7EE56C68">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59</w:t>
            </w:r>
          </w:p>
        </w:tc>
        <w:tc>
          <w:tcPr>
            <w:tcW w:w="413" w:type="pct"/>
            <w:tcBorders>
              <w:tl2br w:val="nil"/>
              <w:tr2bl w:val="nil"/>
            </w:tcBorders>
          </w:tcPr>
          <w:p w14:paraId="24E944DC">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113</w:t>
            </w:r>
          </w:p>
        </w:tc>
        <w:tc>
          <w:tcPr>
            <w:tcW w:w="554" w:type="pct"/>
            <w:tcBorders>
              <w:tl2br w:val="nil"/>
              <w:tr2bl w:val="nil"/>
            </w:tcBorders>
          </w:tcPr>
          <w:p w14:paraId="56F8FD14">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0.08</w:t>
            </w:r>
          </w:p>
        </w:tc>
        <w:tc>
          <w:tcPr>
            <w:tcW w:w="447" w:type="pct"/>
            <w:tcBorders>
              <w:tl2br w:val="nil"/>
              <w:tr2bl w:val="nil"/>
            </w:tcBorders>
          </w:tcPr>
          <w:p w14:paraId="508AF2F1">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1.76</w:t>
            </w:r>
          </w:p>
        </w:tc>
        <w:tc>
          <w:tcPr>
            <w:tcW w:w="520" w:type="pct"/>
            <w:tcBorders>
              <w:tl2br w:val="nil"/>
              <w:tr2bl w:val="nil"/>
            </w:tcBorders>
          </w:tcPr>
          <w:p w14:paraId="385E2367">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3.38</w:t>
            </w:r>
          </w:p>
        </w:tc>
        <w:tc>
          <w:tcPr>
            <w:tcW w:w="384" w:type="pct"/>
            <w:tcBorders>
              <w:tl2br w:val="nil"/>
              <w:tr2bl w:val="nil"/>
            </w:tcBorders>
          </w:tcPr>
          <w:p w14:paraId="01F9F1BB">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1.71</w:t>
            </w:r>
          </w:p>
        </w:tc>
        <w:tc>
          <w:tcPr>
            <w:tcW w:w="491" w:type="pct"/>
            <w:tcBorders>
              <w:tl2br w:val="nil"/>
              <w:tr2bl w:val="nil"/>
            </w:tcBorders>
          </w:tcPr>
          <w:p w14:paraId="25B7DF17">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37.87</w:t>
            </w:r>
          </w:p>
        </w:tc>
        <w:tc>
          <w:tcPr>
            <w:tcW w:w="413" w:type="pct"/>
            <w:tcBorders>
              <w:tl2br w:val="nil"/>
              <w:tr2bl w:val="nil"/>
            </w:tcBorders>
          </w:tcPr>
          <w:p w14:paraId="59C47B65">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14.72</w:t>
            </w:r>
          </w:p>
        </w:tc>
        <w:tc>
          <w:tcPr>
            <w:tcW w:w="326" w:type="pct"/>
            <w:tcBorders>
              <w:tl2br w:val="nil"/>
              <w:tr2bl w:val="nil"/>
            </w:tcBorders>
          </w:tcPr>
          <w:p w14:paraId="7D94B4BE">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65.8</w:t>
            </w:r>
          </w:p>
        </w:tc>
      </w:tr>
      <w:tr w14:paraId="70F2D8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39" w:type="pct"/>
            <w:tcBorders>
              <w:tl2br w:val="nil"/>
              <w:tr2bl w:val="nil"/>
            </w:tcBorders>
          </w:tcPr>
          <w:p w14:paraId="59534092">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2035</w:t>
            </w:r>
          </w:p>
        </w:tc>
        <w:tc>
          <w:tcPr>
            <w:tcW w:w="537" w:type="pct"/>
            <w:tcBorders>
              <w:tl2br w:val="nil"/>
              <w:tr2bl w:val="nil"/>
            </w:tcBorders>
          </w:tcPr>
          <w:p w14:paraId="64C03A0B">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2</w:t>
            </w:r>
          </w:p>
        </w:tc>
        <w:tc>
          <w:tcPr>
            <w:tcW w:w="473" w:type="pct"/>
            <w:tcBorders>
              <w:tl2br w:val="nil"/>
              <w:tr2bl w:val="nil"/>
            </w:tcBorders>
          </w:tcPr>
          <w:p w14:paraId="6263DD65">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50</w:t>
            </w:r>
          </w:p>
        </w:tc>
        <w:tc>
          <w:tcPr>
            <w:tcW w:w="413" w:type="pct"/>
            <w:tcBorders>
              <w:tl2br w:val="nil"/>
              <w:tr2bl w:val="nil"/>
            </w:tcBorders>
          </w:tcPr>
          <w:p w14:paraId="299B0B83">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160</w:t>
            </w:r>
          </w:p>
        </w:tc>
        <w:tc>
          <w:tcPr>
            <w:tcW w:w="554" w:type="pct"/>
            <w:tcBorders>
              <w:tl2br w:val="nil"/>
              <w:tr2bl w:val="nil"/>
            </w:tcBorders>
          </w:tcPr>
          <w:p w14:paraId="36F95DDE">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0.07</w:t>
            </w:r>
          </w:p>
        </w:tc>
        <w:tc>
          <w:tcPr>
            <w:tcW w:w="447" w:type="pct"/>
            <w:tcBorders>
              <w:tl2br w:val="nil"/>
              <w:tr2bl w:val="nil"/>
            </w:tcBorders>
          </w:tcPr>
          <w:p w14:paraId="2E96DA4C">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1.51</w:t>
            </w:r>
          </w:p>
        </w:tc>
        <w:tc>
          <w:tcPr>
            <w:tcW w:w="520" w:type="pct"/>
            <w:tcBorders>
              <w:tl2br w:val="nil"/>
              <w:tr2bl w:val="nil"/>
            </w:tcBorders>
          </w:tcPr>
          <w:p w14:paraId="419F233D">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4.79</w:t>
            </w:r>
          </w:p>
        </w:tc>
        <w:tc>
          <w:tcPr>
            <w:tcW w:w="384" w:type="pct"/>
            <w:tcBorders>
              <w:tl2br w:val="nil"/>
              <w:tr2bl w:val="nil"/>
            </w:tcBorders>
          </w:tcPr>
          <w:p w14:paraId="5844CC88">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1.78</w:t>
            </w:r>
          </w:p>
        </w:tc>
        <w:tc>
          <w:tcPr>
            <w:tcW w:w="491" w:type="pct"/>
            <w:tcBorders>
              <w:tl2br w:val="nil"/>
              <w:tr2bl w:val="nil"/>
            </w:tcBorders>
          </w:tcPr>
          <w:p w14:paraId="257CBA4B">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39.38</w:t>
            </w:r>
          </w:p>
        </w:tc>
        <w:tc>
          <w:tcPr>
            <w:tcW w:w="413" w:type="pct"/>
            <w:tcBorders>
              <w:tl2br w:val="nil"/>
              <w:tr2bl w:val="nil"/>
            </w:tcBorders>
          </w:tcPr>
          <w:p w14:paraId="55A53E96">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19.51</w:t>
            </w:r>
          </w:p>
        </w:tc>
        <w:tc>
          <w:tcPr>
            <w:tcW w:w="326" w:type="pct"/>
            <w:tcBorders>
              <w:tl2br w:val="nil"/>
              <w:tr2bl w:val="nil"/>
            </w:tcBorders>
          </w:tcPr>
          <w:p w14:paraId="1852E916">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76.0</w:t>
            </w:r>
          </w:p>
        </w:tc>
      </w:tr>
      <w:tr w14:paraId="335CC3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39" w:type="pct"/>
            <w:tcBorders>
              <w:tl2br w:val="nil"/>
              <w:tr2bl w:val="nil"/>
            </w:tcBorders>
          </w:tcPr>
          <w:p w14:paraId="7FCA1520">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2036</w:t>
            </w:r>
          </w:p>
        </w:tc>
        <w:tc>
          <w:tcPr>
            <w:tcW w:w="537" w:type="pct"/>
            <w:tcBorders>
              <w:tl2br w:val="nil"/>
              <w:tr2bl w:val="nil"/>
            </w:tcBorders>
          </w:tcPr>
          <w:p w14:paraId="5C4CC9FF">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2</w:t>
            </w:r>
          </w:p>
        </w:tc>
        <w:tc>
          <w:tcPr>
            <w:tcW w:w="473" w:type="pct"/>
            <w:tcBorders>
              <w:tl2br w:val="nil"/>
              <w:tr2bl w:val="nil"/>
            </w:tcBorders>
          </w:tcPr>
          <w:p w14:paraId="52638823">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43</w:t>
            </w:r>
          </w:p>
        </w:tc>
        <w:tc>
          <w:tcPr>
            <w:tcW w:w="413" w:type="pct"/>
            <w:tcBorders>
              <w:tl2br w:val="nil"/>
              <w:tr2bl w:val="nil"/>
            </w:tcBorders>
          </w:tcPr>
          <w:p w14:paraId="2371D5ED">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139</w:t>
            </w:r>
          </w:p>
        </w:tc>
        <w:tc>
          <w:tcPr>
            <w:tcW w:w="554" w:type="pct"/>
            <w:tcBorders>
              <w:tl2br w:val="nil"/>
              <w:tr2bl w:val="nil"/>
            </w:tcBorders>
          </w:tcPr>
          <w:p w14:paraId="7A7FC747">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0.06</w:t>
            </w:r>
          </w:p>
        </w:tc>
        <w:tc>
          <w:tcPr>
            <w:tcW w:w="447" w:type="pct"/>
            <w:tcBorders>
              <w:tl2br w:val="nil"/>
              <w:tr2bl w:val="nil"/>
            </w:tcBorders>
          </w:tcPr>
          <w:p w14:paraId="3E4C2324">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1.29</w:t>
            </w:r>
          </w:p>
        </w:tc>
        <w:tc>
          <w:tcPr>
            <w:tcW w:w="520" w:type="pct"/>
            <w:tcBorders>
              <w:tl2br w:val="nil"/>
              <w:tr2bl w:val="nil"/>
            </w:tcBorders>
          </w:tcPr>
          <w:p w14:paraId="7436C514">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4.17</w:t>
            </w:r>
          </w:p>
        </w:tc>
        <w:tc>
          <w:tcPr>
            <w:tcW w:w="384" w:type="pct"/>
            <w:tcBorders>
              <w:tl2br w:val="nil"/>
              <w:tr2bl w:val="nil"/>
            </w:tcBorders>
          </w:tcPr>
          <w:p w14:paraId="0C278539">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1.84</w:t>
            </w:r>
          </w:p>
        </w:tc>
        <w:tc>
          <w:tcPr>
            <w:tcW w:w="491" w:type="pct"/>
            <w:tcBorders>
              <w:tl2br w:val="nil"/>
              <w:tr2bl w:val="nil"/>
            </w:tcBorders>
          </w:tcPr>
          <w:p w14:paraId="63B07389">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40.67</w:t>
            </w:r>
          </w:p>
        </w:tc>
        <w:tc>
          <w:tcPr>
            <w:tcW w:w="413" w:type="pct"/>
            <w:tcBorders>
              <w:tl2br w:val="nil"/>
              <w:tr2bl w:val="nil"/>
            </w:tcBorders>
          </w:tcPr>
          <w:p w14:paraId="755430E0">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23.68</w:t>
            </w:r>
          </w:p>
        </w:tc>
        <w:tc>
          <w:tcPr>
            <w:tcW w:w="326" w:type="pct"/>
            <w:tcBorders>
              <w:tl2br w:val="nil"/>
              <w:tr2bl w:val="nil"/>
            </w:tcBorders>
          </w:tcPr>
          <w:p w14:paraId="1B3826D6">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76.4</w:t>
            </w:r>
          </w:p>
        </w:tc>
      </w:tr>
      <w:tr w14:paraId="10AF7D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39" w:type="pct"/>
            <w:tcBorders>
              <w:tl2br w:val="nil"/>
              <w:tr2bl w:val="nil"/>
            </w:tcBorders>
          </w:tcPr>
          <w:p w14:paraId="2BF95BA1">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2037</w:t>
            </w:r>
          </w:p>
        </w:tc>
        <w:tc>
          <w:tcPr>
            <w:tcW w:w="537" w:type="pct"/>
            <w:tcBorders>
              <w:tl2br w:val="nil"/>
              <w:tr2bl w:val="nil"/>
            </w:tcBorders>
          </w:tcPr>
          <w:p w14:paraId="374380E0">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2</w:t>
            </w:r>
          </w:p>
        </w:tc>
        <w:tc>
          <w:tcPr>
            <w:tcW w:w="473" w:type="pct"/>
            <w:tcBorders>
              <w:tl2br w:val="nil"/>
              <w:tr2bl w:val="nil"/>
            </w:tcBorders>
          </w:tcPr>
          <w:p w14:paraId="4D5D8206">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37</w:t>
            </w:r>
          </w:p>
        </w:tc>
        <w:tc>
          <w:tcPr>
            <w:tcW w:w="413" w:type="pct"/>
            <w:tcBorders>
              <w:tl2br w:val="nil"/>
              <w:tr2bl w:val="nil"/>
            </w:tcBorders>
          </w:tcPr>
          <w:p w14:paraId="0F496BDA">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127</w:t>
            </w:r>
          </w:p>
        </w:tc>
        <w:tc>
          <w:tcPr>
            <w:tcW w:w="554" w:type="pct"/>
            <w:tcBorders>
              <w:tl2br w:val="nil"/>
              <w:tr2bl w:val="nil"/>
            </w:tcBorders>
          </w:tcPr>
          <w:p w14:paraId="756DADAF">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0.05</w:t>
            </w:r>
          </w:p>
        </w:tc>
        <w:tc>
          <w:tcPr>
            <w:tcW w:w="447" w:type="pct"/>
            <w:tcBorders>
              <w:tl2br w:val="nil"/>
              <w:tr2bl w:val="nil"/>
            </w:tcBorders>
          </w:tcPr>
          <w:p w14:paraId="1A64AB1E">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1.11</w:t>
            </w:r>
          </w:p>
        </w:tc>
        <w:tc>
          <w:tcPr>
            <w:tcW w:w="520" w:type="pct"/>
            <w:tcBorders>
              <w:tl2br w:val="nil"/>
              <w:tr2bl w:val="nil"/>
            </w:tcBorders>
          </w:tcPr>
          <w:p w14:paraId="76DE73D6">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3.80</w:t>
            </w:r>
          </w:p>
        </w:tc>
        <w:tc>
          <w:tcPr>
            <w:tcW w:w="384" w:type="pct"/>
            <w:tcBorders>
              <w:tl2br w:val="nil"/>
              <w:tr2bl w:val="nil"/>
            </w:tcBorders>
          </w:tcPr>
          <w:p w14:paraId="22740C88">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1.89</w:t>
            </w:r>
          </w:p>
        </w:tc>
        <w:tc>
          <w:tcPr>
            <w:tcW w:w="491" w:type="pct"/>
            <w:tcBorders>
              <w:tl2br w:val="nil"/>
              <w:tr2bl w:val="nil"/>
            </w:tcBorders>
          </w:tcPr>
          <w:p w14:paraId="4E7EFDC1">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41.78</w:t>
            </w:r>
          </w:p>
        </w:tc>
        <w:tc>
          <w:tcPr>
            <w:tcW w:w="413" w:type="pct"/>
            <w:tcBorders>
              <w:tl2br w:val="nil"/>
              <w:tr2bl w:val="nil"/>
            </w:tcBorders>
          </w:tcPr>
          <w:p w14:paraId="33F22247">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27.49</w:t>
            </w:r>
          </w:p>
        </w:tc>
        <w:tc>
          <w:tcPr>
            <w:tcW w:w="326" w:type="pct"/>
            <w:tcBorders>
              <w:tl2br w:val="nil"/>
              <w:tr2bl w:val="nil"/>
            </w:tcBorders>
          </w:tcPr>
          <w:p w14:paraId="50A7D67C">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77.5</w:t>
            </w:r>
          </w:p>
        </w:tc>
      </w:tr>
      <w:tr w14:paraId="7EE85A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39" w:type="pct"/>
            <w:tcBorders>
              <w:tl2br w:val="nil"/>
              <w:tr2bl w:val="nil"/>
            </w:tcBorders>
          </w:tcPr>
          <w:p w14:paraId="6E7E5BB1">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2038</w:t>
            </w:r>
          </w:p>
        </w:tc>
        <w:tc>
          <w:tcPr>
            <w:tcW w:w="537" w:type="pct"/>
            <w:tcBorders>
              <w:tl2br w:val="nil"/>
              <w:tr2bl w:val="nil"/>
            </w:tcBorders>
          </w:tcPr>
          <w:p w14:paraId="2D4FBBA3">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1</w:t>
            </w:r>
          </w:p>
        </w:tc>
        <w:tc>
          <w:tcPr>
            <w:tcW w:w="473" w:type="pct"/>
            <w:tcBorders>
              <w:tl2br w:val="nil"/>
              <w:tr2bl w:val="nil"/>
            </w:tcBorders>
          </w:tcPr>
          <w:p w14:paraId="7F5773E2">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32</w:t>
            </w:r>
          </w:p>
        </w:tc>
        <w:tc>
          <w:tcPr>
            <w:tcW w:w="413" w:type="pct"/>
            <w:tcBorders>
              <w:tl2br w:val="nil"/>
              <w:tr2bl w:val="nil"/>
            </w:tcBorders>
          </w:tcPr>
          <w:p w14:paraId="7F9A9A95">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120</w:t>
            </w:r>
          </w:p>
        </w:tc>
        <w:tc>
          <w:tcPr>
            <w:tcW w:w="554" w:type="pct"/>
            <w:tcBorders>
              <w:tl2br w:val="nil"/>
              <w:tr2bl w:val="nil"/>
            </w:tcBorders>
          </w:tcPr>
          <w:p w14:paraId="24111C15">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0.04</w:t>
            </w:r>
          </w:p>
        </w:tc>
        <w:tc>
          <w:tcPr>
            <w:tcW w:w="447" w:type="pct"/>
            <w:tcBorders>
              <w:tl2br w:val="nil"/>
              <w:tr2bl w:val="nil"/>
            </w:tcBorders>
          </w:tcPr>
          <w:p w14:paraId="51319384">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0.95</w:t>
            </w:r>
          </w:p>
        </w:tc>
        <w:tc>
          <w:tcPr>
            <w:tcW w:w="520" w:type="pct"/>
            <w:tcBorders>
              <w:tl2br w:val="nil"/>
              <w:tr2bl w:val="nil"/>
            </w:tcBorders>
          </w:tcPr>
          <w:p w14:paraId="1D2D190C">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3.59</w:t>
            </w:r>
          </w:p>
        </w:tc>
        <w:tc>
          <w:tcPr>
            <w:tcW w:w="384" w:type="pct"/>
            <w:tcBorders>
              <w:tl2br w:val="nil"/>
              <w:tr2bl w:val="nil"/>
            </w:tcBorders>
          </w:tcPr>
          <w:p w14:paraId="17758F04">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1.93</w:t>
            </w:r>
          </w:p>
        </w:tc>
        <w:tc>
          <w:tcPr>
            <w:tcW w:w="491" w:type="pct"/>
            <w:tcBorders>
              <w:tl2br w:val="nil"/>
              <w:tr2bl w:val="nil"/>
            </w:tcBorders>
          </w:tcPr>
          <w:p w14:paraId="5FD7DFF4">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42.72</w:t>
            </w:r>
          </w:p>
        </w:tc>
        <w:tc>
          <w:tcPr>
            <w:tcW w:w="413" w:type="pct"/>
            <w:tcBorders>
              <w:tl2br w:val="nil"/>
              <w:tr2bl w:val="nil"/>
            </w:tcBorders>
          </w:tcPr>
          <w:p w14:paraId="2B088A59">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31.07</w:t>
            </w:r>
          </w:p>
        </w:tc>
        <w:tc>
          <w:tcPr>
            <w:tcW w:w="326" w:type="pct"/>
            <w:tcBorders>
              <w:tl2br w:val="nil"/>
              <w:tr2bl w:val="nil"/>
            </w:tcBorders>
          </w:tcPr>
          <w:p w14:paraId="1150BCC7">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79.1</w:t>
            </w:r>
          </w:p>
        </w:tc>
      </w:tr>
    </w:tbl>
    <w:p w14:paraId="5433000B">
      <w:pPr>
        <w:pStyle w:val="54"/>
        <w:bidi w:val="0"/>
        <w:rPr>
          <w:rFonts w:hint="default"/>
          <w:color w:val="auto"/>
          <w:lang w:val="en-US"/>
        </w:rPr>
      </w:pPr>
      <w:r>
        <w:rPr>
          <w:rFonts w:hint="default"/>
          <w:color w:val="auto"/>
        </w:rPr>
        <w:t>3.</w:t>
      </w:r>
      <w:r>
        <w:rPr>
          <w:rFonts w:hint="eastAsia"/>
          <w:color w:val="auto"/>
          <w:lang w:val="en-US" w:eastAsia="zh-CN"/>
        </w:rPr>
        <w:t>2</w:t>
      </w:r>
      <w:r>
        <w:rPr>
          <w:rFonts w:hint="default"/>
          <w:color w:val="auto"/>
        </w:rPr>
        <w:t>.</w:t>
      </w:r>
      <w:r>
        <w:rPr>
          <w:rFonts w:hint="eastAsia"/>
          <w:color w:val="auto"/>
          <w:lang w:val="en-US" w:eastAsia="zh-CN"/>
        </w:rPr>
        <w:t>4 工程组成</w:t>
      </w:r>
    </w:p>
    <w:bookmarkEnd w:id="229"/>
    <w:p w14:paraId="2C9B6E25">
      <w:pPr>
        <w:pStyle w:val="79"/>
        <w:bidi w:val="0"/>
        <w:rPr>
          <w:rFonts w:hint="default"/>
          <w:color w:val="auto"/>
          <w:lang w:val="en-US" w:eastAsia="zh-CN"/>
        </w:rPr>
      </w:pPr>
      <w:r>
        <w:rPr>
          <w:rFonts w:hint="default"/>
          <w:color w:val="auto"/>
          <w:lang w:val="en-US" w:eastAsia="zh-CN"/>
        </w:rPr>
        <w:t>本项目</w:t>
      </w:r>
      <w:bookmarkStart w:id="232" w:name="OLE_LINK216"/>
      <w:r>
        <w:rPr>
          <w:rFonts w:hint="default"/>
          <w:color w:val="auto"/>
          <w:lang w:val="en-US" w:eastAsia="zh-CN"/>
        </w:rPr>
        <w:t>主要建设内容包括：</w:t>
      </w:r>
      <w:r>
        <w:rPr>
          <w:rFonts w:hint="default"/>
          <w:color w:val="auto"/>
          <w:lang w:val="en-US" w:eastAsia="zh-CN"/>
        </w:rPr>
        <w:fldChar w:fldCharType="begin"/>
      </w:r>
      <w:r>
        <w:rPr>
          <w:rFonts w:hint="default"/>
          <w:color w:val="auto"/>
          <w:lang w:val="en-US" w:eastAsia="zh-CN"/>
        </w:rPr>
        <w:instrText xml:space="preserve"> = 1 \* GB3 \* MERGEFORMAT </w:instrText>
      </w:r>
      <w:r>
        <w:rPr>
          <w:rFonts w:hint="default"/>
          <w:color w:val="auto"/>
          <w:lang w:val="en-US" w:eastAsia="zh-CN"/>
        </w:rPr>
        <w:fldChar w:fldCharType="separate"/>
      </w:r>
      <w:r>
        <w:rPr>
          <w:rFonts w:hint="default"/>
          <w:color w:val="auto"/>
          <w:lang w:val="en-US" w:eastAsia="zh-CN"/>
        </w:rPr>
        <w:t>①</w:t>
      </w:r>
      <w:r>
        <w:rPr>
          <w:rFonts w:hint="default"/>
          <w:color w:val="auto"/>
          <w:lang w:val="en-US" w:eastAsia="zh-CN"/>
        </w:rPr>
        <w:fldChar w:fldCharType="end"/>
      </w:r>
      <w:r>
        <w:rPr>
          <w:rFonts w:hint="eastAsia"/>
          <w:color w:val="auto"/>
          <w:lang w:val="en-US" w:eastAsia="zh-CN"/>
        </w:rPr>
        <w:t>新建</w:t>
      </w:r>
      <w:r>
        <w:rPr>
          <w:rFonts w:hint="default"/>
          <w:color w:val="auto"/>
          <w:lang w:val="en-US" w:eastAsia="zh-CN"/>
        </w:rPr>
        <w:t>采油井场</w:t>
      </w:r>
      <w:r>
        <w:rPr>
          <w:rFonts w:hint="eastAsia"/>
          <w:color w:val="auto"/>
          <w:lang w:val="en-US" w:eastAsia="zh-CN"/>
        </w:rPr>
        <w:t>5</w:t>
      </w:r>
      <w:r>
        <w:rPr>
          <w:rFonts w:hint="default"/>
          <w:color w:val="auto"/>
          <w:lang w:val="en-US" w:eastAsia="zh-CN"/>
        </w:rPr>
        <w:t>座：雄英101井、雄英102井、雄英103井、雄英2井、雄英3井，</w:t>
      </w:r>
      <w:r>
        <w:rPr>
          <w:rFonts w:hint="eastAsia"/>
          <w:color w:val="auto"/>
          <w:lang w:val="en-US" w:eastAsia="zh-CN"/>
        </w:rPr>
        <w:t>改造采油井场1座（</w:t>
      </w:r>
      <w:r>
        <w:rPr>
          <w:rFonts w:hint="default"/>
          <w:color w:val="auto"/>
          <w:lang w:val="en-US" w:eastAsia="zh-CN"/>
        </w:rPr>
        <w:t>雄探1井</w:t>
      </w:r>
      <w:r>
        <w:rPr>
          <w:rFonts w:hint="eastAsia"/>
          <w:color w:val="auto"/>
          <w:lang w:val="en-US" w:eastAsia="zh-CN"/>
        </w:rPr>
        <w:t>），均</w:t>
      </w:r>
      <w:r>
        <w:rPr>
          <w:rFonts w:hint="default"/>
          <w:color w:val="auto"/>
          <w:lang w:val="en-US" w:eastAsia="zh-CN"/>
        </w:rPr>
        <w:t>采用油井标准化井场。</w:t>
      </w:r>
      <w:r>
        <w:rPr>
          <w:rFonts w:hint="default"/>
          <w:color w:val="auto"/>
          <w:lang w:val="en-US" w:eastAsia="zh-CN"/>
        </w:rPr>
        <w:fldChar w:fldCharType="begin"/>
      </w:r>
      <w:r>
        <w:rPr>
          <w:rFonts w:hint="default"/>
          <w:color w:val="auto"/>
          <w:lang w:val="en-US" w:eastAsia="zh-CN"/>
        </w:rPr>
        <w:instrText xml:space="preserve"> = 2 \* GB3 \* MERGEFORMAT </w:instrText>
      </w:r>
      <w:r>
        <w:rPr>
          <w:rFonts w:hint="default"/>
          <w:color w:val="auto"/>
          <w:lang w:val="en-US" w:eastAsia="zh-CN"/>
        </w:rPr>
        <w:fldChar w:fldCharType="separate"/>
      </w:r>
      <w:r>
        <w:rPr>
          <w:rFonts w:hint="default"/>
          <w:color w:val="auto"/>
        </w:rPr>
        <w:t>②</w:t>
      </w:r>
      <w:r>
        <w:rPr>
          <w:rFonts w:hint="default"/>
          <w:color w:val="auto"/>
          <w:lang w:val="en-US" w:eastAsia="zh-CN"/>
        </w:rPr>
        <w:fldChar w:fldCharType="end"/>
      </w:r>
      <w:r>
        <w:rPr>
          <w:rFonts w:hint="default"/>
          <w:color w:val="auto"/>
          <w:lang w:val="en-US" w:eastAsia="zh-CN"/>
        </w:rPr>
        <w:t>单井集输：新建单井集输管道总长度为</w:t>
      </w:r>
      <w:r>
        <w:rPr>
          <w:rFonts w:hint="eastAsia"/>
          <w:color w:val="auto"/>
          <w:lang w:val="en-US" w:eastAsia="zh-CN"/>
        </w:rPr>
        <w:t>24.</w:t>
      </w:r>
      <w:r>
        <w:rPr>
          <w:rFonts w:hint="default"/>
          <w:color w:val="auto"/>
          <w:lang w:val="en-US" w:eastAsia="zh-CN"/>
        </w:rPr>
        <w:t>7km，管道选用材质为</w:t>
      </w:r>
      <w:r>
        <w:rPr>
          <w:rFonts w:hint="eastAsia"/>
          <w:color w:val="auto"/>
          <w:lang w:val="en-US" w:eastAsia="zh-CN"/>
        </w:rPr>
        <w:t>玻璃钢管</w:t>
      </w:r>
      <w:r>
        <w:rPr>
          <w:rFonts w:hint="default"/>
          <w:color w:val="auto"/>
          <w:lang w:val="en-US" w:eastAsia="zh-CN"/>
        </w:rPr>
        <w:t>。</w:t>
      </w:r>
      <w:r>
        <w:rPr>
          <w:rFonts w:hint="default"/>
          <w:color w:val="auto"/>
          <w:lang w:val="en-US" w:eastAsia="zh-CN"/>
        </w:rPr>
        <w:fldChar w:fldCharType="begin"/>
      </w:r>
      <w:r>
        <w:rPr>
          <w:rFonts w:hint="default"/>
          <w:color w:val="auto"/>
          <w:lang w:val="en-US" w:eastAsia="zh-CN"/>
        </w:rPr>
        <w:instrText xml:space="preserve"> = 3 \* GB3 \* MERGEFORMAT </w:instrText>
      </w:r>
      <w:r>
        <w:rPr>
          <w:rFonts w:hint="default"/>
          <w:color w:val="auto"/>
          <w:lang w:val="en-US" w:eastAsia="zh-CN"/>
        </w:rPr>
        <w:fldChar w:fldCharType="separate"/>
      </w:r>
      <w:r>
        <w:rPr>
          <w:rFonts w:hint="default"/>
          <w:color w:val="auto"/>
          <w:lang w:val="en-US" w:eastAsia="zh-CN"/>
        </w:rPr>
        <w:t>③</w:t>
      </w:r>
      <w:r>
        <w:rPr>
          <w:rFonts w:hint="default"/>
          <w:color w:val="auto"/>
          <w:lang w:val="en-US" w:eastAsia="zh-CN"/>
        </w:rPr>
        <w:fldChar w:fldCharType="end"/>
      </w:r>
      <w:bookmarkStart w:id="233" w:name="OLE_LINK214"/>
      <w:r>
        <w:rPr>
          <w:rFonts w:hint="default"/>
          <w:color w:val="auto"/>
          <w:lang w:val="en-US" w:eastAsia="zh-CN"/>
        </w:rPr>
        <w:t>扩建雄探1试采点，处理规模为产油</w:t>
      </w:r>
      <w:bookmarkStart w:id="234" w:name="OLE_LINK220"/>
      <w:r>
        <w:rPr>
          <w:rFonts w:hint="default"/>
          <w:color w:val="auto"/>
          <w:lang w:val="en-US" w:eastAsia="zh-CN"/>
        </w:rPr>
        <w:t>2</w:t>
      </w:r>
      <w:r>
        <w:rPr>
          <w:rFonts w:hint="eastAsia"/>
          <w:color w:val="auto"/>
          <w:lang w:val="en-US" w:eastAsia="zh-CN"/>
        </w:rPr>
        <w:t>3</w:t>
      </w:r>
      <w:r>
        <w:rPr>
          <w:rFonts w:hint="default"/>
          <w:color w:val="auto"/>
          <w:lang w:val="en-US" w:eastAsia="zh-CN"/>
        </w:rPr>
        <w:t>0</w:t>
      </w:r>
      <w:bookmarkStart w:id="235" w:name="OLE_LINK221"/>
      <w:r>
        <w:rPr>
          <w:rFonts w:hint="default"/>
          <w:color w:val="auto"/>
          <w:lang w:val="en-US" w:eastAsia="zh-CN"/>
        </w:rPr>
        <w:t>t/d</w:t>
      </w:r>
      <w:bookmarkEnd w:id="234"/>
      <w:bookmarkEnd w:id="235"/>
      <w:r>
        <w:rPr>
          <w:rFonts w:hint="default"/>
          <w:color w:val="auto"/>
          <w:lang w:val="en-US" w:eastAsia="zh-CN"/>
        </w:rPr>
        <w:t>、产气</w:t>
      </w:r>
      <w:r>
        <w:rPr>
          <w:rFonts w:hint="eastAsia"/>
          <w:color w:val="auto"/>
          <w:lang w:val="en-US" w:eastAsia="zh-CN"/>
        </w:rPr>
        <w:t>9</w:t>
      </w:r>
      <w:r>
        <w:rPr>
          <w:rFonts w:hint="default"/>
          <w:color w:val="auto"/>
          <w:lang w:val="en-US" w:eastAsia="zh-CN"/>
        </w:rPr>
        <w:t>.5×10</w:t>
      </w:r>
      <w:r>
        <w:rPr>
          <w:rFonts w:hint="default"/>
          <w:color w:val="auto"/>
          <w:vertAlign w:val="superscript"/>
          <w:lang w:val="en-US" w:eastAsia="zh-CN"/>
        </w:rPr>
        <w:t>4</w:t>
      </w:r>
      <w:r>
        <w:rPr>
          <w:rFonts w:hint="default"/>
          <w:color w:val="auto"/>
          <w:lang w:val="en-US" w:eastAsia="zh-CN"/>
        </w:rPr>
        <w:t>m</w:t>
      </w:r>
      <w:r>
        <w:rPr>
          <w:rFonts w:hint="default"/>
          <w:color w:val="auto"/>
          <w:vertAlign w:val="superscript"/>
          <w:lang w:val="en-US" w:eastAsia="zh-CN"/>
        </w:rPr>
        <w:t>3</w:t>
      </w:r>
      <w:r>
        <w:rPr>
          <w:rFonts w:hint="default"/>
          <w:color w:val="auto"/>
          <w:lang w:val="en-US" w:eastAsia="zh-CN"/>
        </w:rPr>
        <w:t>/d，</w:t>
      </w:r>
      <w:bookmarkEnd w:id="233"/>
      <w:r>
        <w:rPr>
          <w:rFonts w:hint="default"/>
          <w:color w:val="auto"/>
          <w:lang w:val="en-US" w:eastAsia="zh-CN"/>
        </w:rPr>
        <w:t>对各单井来的油气进行计量、加热、分离、天然气脱硫和增压脱水、原油闪蒸和储存。</w:t>
      </w:r>
      <w:r>
        <w:rPr>
          <w:rFonts w:hint="default"/>
          <w:color w:val="auto"/>
          <w:lang w:val="en-US" w:eastAsia="zh-CN"/>
        </w:rPr>
        <w:fldChar w:fldCharType="begin"/>
      </w:r>
      <w:r>
        <w:rPr>
          <w:rFonts w:hint="default"/>
          <w:color w:val="auto"/>
          <w:lang w:val="en-US" w:eastAsia="zh-CN"/>
        </w:rPr>
        <w:instrText xml:space="preserve"> = 4 \* GB3 \* MERGEFORMAT </w:instrText>
      </w:r>
      <w:r>
        <w:rPr>
          <w:rFonts w:hint="default"/>
          <w:color w:val="auto"/>
          <w:lang w:val="en-US" w:eastAsia="zh-CN"/>
        </w:rPr>
        <w:fldChar w:fldCharType="separate"/>
      </w:r>
      <w:r>
        <w:rPr>
          <w:rFonts w:hint="default"/>
          <w:color w:val="auto"/>
          <w:lang w:val="en-US" w:eastAsia="zh-CN"/>
        </w:rPr>
        <w:t>④</w:t>
      </w:r>
      <w:r>
        <w:rPr>
          <w:rFonts w:hint="default"/>
          <w:color w:val="auto"/>
          <w:lang w:val="en-US" w:eastAsia="zh-CN"/>
        </w:rPr>
        <w:fldChar w:fldCharType="end"/>
      </w:r>
      <w:r>
        <w:rPr>
          <w:rFonts w:hint="default"/>
          <w:color w:val="auto"/>
          <w:lang w:val="en-US" w:eastAsia="zh-CN"/>
        </w:rPr>
        <w:t>天然气外输：依托已建集气管道输至玉东2增压站；</w:t>
      </w:r>
      <w:r>
        <w:rPr>
          <w:rFonts w:hint="default"/>
          <w:color w:val="auto"/>
          <w:lang w:val="en-US" w:eastAsia="zh-CN"/>
        </w:rPr>
        <w:fldChar w:fldCharType="begin"/>
      </w:r>
      <w:r>
        <w:rPr>
          <w:rFonts w:hint="default"/>
          <w:color w:val="auto"/>
          <w:lang w:val="en-US" w:eastAsia="zh-CN"/>
        </w:rPr>
        <w:instrText xml:space="preserve"> = 5 \* GB3 \* MERGEFORMAT </w:instrText>
      </w:r>
      <w:r>
        <w:rPr>
          <w:rFonts w:hint="default"/>
          <w:color w:val="auto"/>
          <w:lang w:val="en-US" w:eastAsia="zh-CN"/>
        </w:rPr>
        <w:fldChar w:fldCharType="separate"/>
      </w:r>
      <w:r>
        <w:rPr>
          <w:rFonts w:hint="default"/>
          <w:color w:val="auto"/>
          <w:lang w:val="en-US" w:eastAsia="zh-CN"/>
        </w:rPr>
        <w:t>⑤</w:t>
      </w:r>
      <w:r>
        <w:rPr>
          <w:rFonts w:hint="default"/>
          <w:color w:val="auto"/>
          <w:lang w:val="en-US" w:eastAsia="zh-CN"/>
        </w:rPr>
        <w:fldChar w:fldCharType="end"/>
      </w:r>
      <w:r>
        <w:rPr>
          <w:rFonts w:hint="default"/>
          <w:color w:val="auto"/>
          <w:lang w:val="en-US" w:eastAsia="zh-CN"/>
        </w:rPr>
        <w:t>原油外输：采用罐车拉运至哈六联合站。</w:t>
      </w:r>
      <w:r>
        <w:rPr>
          <w:rFonts w:hint="default"/>
          <w:color w:val="auto"/>
          <w:lang w:val="en-US" w:eastAsia="zh-CN"/>
        </w:rPr>
        <w:fldChar w:fldCharType="begin"/>
      </w:r>
      <w:r>
        <w:rPr>
          <w:rFonts w:hint="default"/>
          <w:color w:val="auto"/>
          <w:lang w:val="en-US" w:eastAsia="zh-CN"/>
        </w:rPr>
        <w:instrText xml:space="preserve"> = 6 \* GB3 \* MERGEFORMAT </w:instrText>
      </w:r>
      <w:r>
        <w:rPr>
          <w:rFonts w:hint="default"/>
          <w:color w:val="auto"/>
          <w:lang w:val="en-US" w:eastAsia="zh-CN"/>
        </w:rPr>
        <w:fldChar w:fldCharType="separate"/>
      </w:r>
      <w:r>
        <w:rPr>
          <w:rFonts w:hint="default"/>
          <w:color w:val="auto"/>
        </w:rPr>
        <w:t>⑥</w:t>
      </w:r>
      <w:r>
        <w:rPr>
          <w:rFonts w:hint="default"/>
          <w:color w:val="auto"/>
          <w:lang w:val="en-US" w:eastAsia="zh-CN"/>
        </w:rPr>
        <w:fldChar w:fldCharType="end"/>
      </w:r>
      <w:r>
        <w:rPr>
          <w:rFonts w:hint="default"/>
          <w:color w:val="auto"/>
          <w:lang w:val="en-US" w:eastAsia="zh-CN"/>
        </w:rPr>
        <w:t>配套电力、通信、自控、土建、机械、防腐等工程。</w:t>
      </w:r>
      <w:bookmarkEnd w:id="232"/>
      <w:bookmarkStart w:id="236" w:name="OLE_LINK217"/>
    </w:p>
    <w:p w14:paraId="42F011F3">
      <w:pPr>
        <w:pStyle w:val="79"/>
        <w:bidi w:val="0"/>
        <w:rPr>
          <w:rFonts w:hint="default"/>
          <w:color w:val="auto"/>
          <w:lang w:val="en-US" w:eastAsia="zh-CN"/>
        </w:rPr>
      </w:pPr>
      <w:bookmarkStart w:id="237" w:name="OLE_LINK222"/>
      <w:r>
        <w:rPr>
          <w:rFonts w:hint="default"/>
          <w:color w:val="auto"/>
          <w:lang w:val="en-US" w:eastAsia="zh-CN"/>
        </w:rPr>
        <w:t>本工程</w:t>
      </w:r>
      <w:r>
        <w:rPr>
          <w:rFonts w:hint="eastAsia"/>
          <w:color w:val="auto"/>
          <w:lang w:val="en-US" w:eastAsia="zh-CN"/>
        </w:rPr>
        <w:t>建成投产后2025年实现</w:t>
      </w:r>
      <w:r>
        <w:rPr>
          <w:rFonts w:hint="default"/>
          <w:color w:val="auto"/>
          <w:lang w:val="en-US" w:eastAsia="zh-CN"/>
        </w:rPr>
        <w:t>产油</w:t>
      </w:r>
      <w:bookmarkStart w:id="238" w:name="OLE_LINK223"/>
      <w:r>
        <w:rPr>
          <w:rFonts w:hint="eastAsia"/>
          <w:color w:val="auto"/>
          <w:lang w:val="en-US" w:eastAsia="zh-CN"/>
        </w:rPr>
        <w:t>6.9</w:t>
      </w:r>
      <w:r>
        <w:rPr>
          <w:rFonts w:hint="default"/>
          <w:color w:val="auto"/>
          <w:lang w:val="en-US" w:eastAsia="zh-CN"/>
        </w:rPr>
        <w:t>×10</w:t>
      </w:r>
      <w:r>
        <w:rPr>
          <w:rFonts w:hint="default"/>
          <w:color w:val="auto"/>
          <w:vertAlign w:val="superscript"/>
          <w:lang w:val="en-US" w:eastAsia="zh-CN"/>
        </w:rPr>
        <w:t>4</w:t>
      </w:r>
      <w:r>
        <w:rPr>
          <w:rFonts w:hint="default"/>
          <w:color w:val="auto"/>
          <w:lang w:val="en-US" w:eastAsia="zh-CN"/>
        </w:rPr>
        <w:t>t/a</w:t>
      </w:r>
      <w:bookmarkEnd w:id="238"/>
      <w:r>
        <w:rPr>
          <w:rFonts w:hint="default"/>
          <w:color w:val="auto"/>
          <w:lang w:val="en-US" w:eastAsia="zh-CN"/>
        </w:rPr>
        <w:t>、产气0.</w:t>
      </w:r>
      <w:r>
        <w:rPr>
          <w:rFonts w:hint="eastAsia"/>
          <w:color w:val="auto"/>
          <w:lang w:val="en-US" w:eastAsia="zh-CN"/>
        </w:rPr>
        <w:t>285</w:t>
      </w:r>
      <w:r>
        <w:rPr>
          <w:rFonts w:hint="default"/>
          <w:color w:val="auto"/>
          <w:lang w:val="en-US" w:eastAsia="zh-CN"/>
        </w:rPr>
        <w:t>×10</w:t>
      </w:r>
      <w:r>
        <w:rPr>
          <w:rFonts w:hint="default"/>
          <w:color w:val="auto"/>
          <w:vertAlign w:val="superscript"/>
          <w:lang w:val="en-US" w:eastAsia="zh-CN"/>
        </w:rPr>
        <w:t>8</w:t>
      </w:r>
      <w:r>
        <w:rPr>
          <w:rFonts w:hint="default"/>
          <w:color w:val="auto"/>
          <w:lang w:val="en-US" w:eastAsia="zh-CN"/>
        </w:rPr>
        <w:t>m</w:t>
      </w:r>
      <w:r>
        <w:rPr>
          <w:rFonts w:hint="default"/>
          <w:color w:val="auto"/>
          <w:vertAlign w:val="superscript"/>
          <w:lang w:val="en-US" w:eastAsia="zh-CN"/>
        </w:rPr>
        <w:t>3</w:t>
      </w:r>
      <w:r>
        <w:rPr>
          <w:rFonts w:hint="default"/>
          <w:color w:val="auto"/>
          <w:lang w:val="en-US" w:eastAsia="zh-CN"/>
        </w:rPr>
        <w:t>/a</w:t>
      </w:r>
      <w:bookmarkEnd w:id="237"/>
      <w:r>
        <w:rPr>
          <w:rFonts w:hint="default"/>
          <w:color w:val="auto"/>
          <w:lang w:val="en-US" w:eastAsia="zh-CN"/>
        </w:rPr>
        <w:t>。</w:t>
      </w:r>
    </w:p>
    <w:bookmarkEnd w:id="236"/>
    <w:p w14:paraId="75B6CDD7">
      <w:pPr>
        <w:pStyle w:val="79"/>
        <w:bidi w:val="0"/>
        <w:rPr>
          <w:color w:val="auto"/>
        </w:rPr>
        <w:sectPr>
          <w:pgSz w:w="11906"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AndChars" w:linePitch="316" w:charSpace="0"/>
        </w:sectPr>
      </w:pPr>
    </w:p>
    <w:p w14:paraId="212F7543">
      <w:pPr>
        <w:pStyle w:val="56"/>
        <w:jc w:val="center"/>
        <w:rPr>
          <w:rFonts w:hint="eastAsia" w:ascii="黑体" w:hAnsi="黑体" w:eastAsia="黑体" w:cs="黑体"/>
          <w:b/>
          <w:bCs w:val="0"/>
          <w:color w:val="auto"/>
          <w:lang w:val="en-US" w:eastAsia="zh-CN"/>
        </w:rPr>
      </w:pPr>
    </w:p>
    <w:p w14:paraId="31ABE5D3">
      <w:pPr>
        <w:pStyle w:val="56"/>
        <w:jc w:val="center"/>
        <w:rPr>
          <w:rFonts w:hint="eastAsia" w:ascii="黑体" w:hAnsi="黑体" w:eastAsia="黑体" w:cs="黑体"/>
          <w:color w:val="auto"/>
          <w:lang w:val="en-US"/>
        </w:rPr>
      </w:pPr>
      <w:r>
        <w:rPr>
          <w:rFonts w:hint="eastAsia" w:ascii="黑体" w:hAnsi="黑体" w:eastAsia="黑体" w:cs="黑体"/>
          <w:b/>
          <w:bCs w:val="0"/>
          <w:color w:val="auto"/>
          <w:lang w:val="en-US" w:eastAsia="zh-CN"/>
        </w:rPr>
        <w:t>图3.2-1   本工程地理位置图</w:t>
      </w:r>
    </w:p>
    <w:p w14:paraId="03559100">
      <w:pPr>
        <w:pStyle w:val="56"/>
        <w:rPr>
          <w:rFonts w:hint="default"/>
          <w:color w:val="auto"/>
        </w:rPr>
        <w:sectPr>
          <w:pgSz w:w="16838" w:h="11906" w:orient="landscape"/>
          <w:pgMar w:top="1814" w:right="1474" w:bottom="1474" w:left="1474" w:header="850" w:footer="992" w:gutter="0"/>
          <w:pgBorders>
            <w:top w:val="none" w:sz="0" w:space="0"/>
            <w:left w:val="none" w:sz="0" w:space="0"/>
            <w:bottom w:val="none" w:sz="0" w:space="0"/>
            <w:right w:val="none" w:sz="0" w:space="0"/>
          </w:pgBorders>
          <w:pgNumType w:fmt="decimal"/>
          <w:cols w:space="0" w:num="1"/>
          <w:rtlGutter w:val="0"/>
          <w:docGrid w:type="linesAndChars" w:linePitch="316" w:charSpace="0"/>
        </w:sectPr>
      </w:pPr>
    </w:p>
    <w:p w14:paraId="4AC4BCB8">
      <w:pPr>
        <w:pStyle w:val="79"/>
        <w:bidi w:val="0"/>
        <w:rPr>
          <w:rFonts w:hint="default"/>
          <w:color w:val="auto"/>
        </w:rPr>
      </w:pPr>
      <w:r>
        <w:rPr>
          <w:rFonts w:hint="default"/>
          <w:color w:val="auto"/>
        </w:rPr>
        <w:t>本项目工程组成</w:t>
      </w:r>
      <w:r>
        <w:rPr>
          <w:rFonts w:hint="eastAsia"/>
          <w:color w:val="auto"/>
          <w:lang w:eastAsia="zh-CN"/>
        </w:rPr>
        <w:t>，</w:t>
      </w:r>
      <w:r>
        <w:rPr>
          <w:rFonts w:hint="default"/>
          <w:color w:val="auto"/>
        </w:rPr>
        <w:t>见表</w:t>
      </w:r>
      <w:r>
        <w:rPr>
          <w:rFonts w:hint="eastAsia"/>
          <w:color w:val="auto"/>
          <w:lang w:val="en-US" w:eastAsia="zh-CN"/>
        </w:rPr>
        <w:t>3.2-8</w:t>
      </w:r>
      <w:r>
        <w:rPr>
          <w:rFonts w:hint="default"/>
          <w:color w:val="auto"/>
        </w:rPr>
        <w:t>。</w:t>
      </w:r>
    </w:p>
    <w:p w14:paraId="1907438A">
      <w:pPr>
        <w:pStyle w:val="61"/>
        <w:bidi w:val="0"/>
        <w:jc w:val="both"/>
        <w:rPr>
          <w:rFonts w:hint="eastAsia"/>
          <w:color w:val="auto"/>
        </w:rPr>
      </w:pPr>
      <w:r>
        <w:rPr>
          <w:rFonts w:hint="eastAsia"/>
          <w:color w:val="auto"/>
          <w:lang w:val="en-US" w:eastAsia="zh-CN"/>
        </w:rPr>
        <w:t>表3.2-8 工程组成一览表</w:t>
      </w:r>
    </w:p>
    <w:tbl>
      <w:tblPr>
        <w:tblStyle w:val="36"/>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42"/>
        <w:gridCol w:w="574"/>
        <w:gridCol w:w="994"/>
        <w:gridCol w:w="5894"/>
        <w:gridCol w:w="926"/>
      </w:tblGrid>
      <w:tr w14:paraId="48353E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250" w:type="pct"/>
            <w:tcBorders>
              <w:tl2br w:val="nil"/>
              <w:tr2bl w:val="nil"/>
            </w:tcBorders>
            <w:vAlign w:val="center"/>
          </w:tcPr>
          <w:p w14:paraId="20271BB4">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i w:val="0"/>
                <w:iCs w:val="0"/>
                <w:color w:val="auto"/>
                <w:sz w:val="21"/>
                <w:szCs w:val="21"/>
                <w:lang w:eastAsia="zh-CN"/>
              </w:rPr>
            </w:pPr>
            <w:bookmarkStart w:id="239" w:name="OLE_LINK56" w:colFirst="0" w:colLast="4"/>
            <w:r>
              <w:rPr>
                <w:rFonts w:hint="default" w:ascii="Times New Roman" w:hAnsi="Times New Roman" w:eastAsia="宋体" w:cs="Times New Roman"/>
                <w:b w:val="0"/>
                <w:bCs/>
                <w:i w:val="0"/>
                <w:iCs w:val="0"/>
                <w:color w:val="auto"/>
                <w:sz w:val="21"/>
                <w:szCs w:val="21"/>
              </w:rPr>
              <w:t>工程</w:t>
            </w:r>
            <w:r>
              <w:rPr>
                <w:rFonts w:hint="default" w:ascii="Times New Roman" w:hAnsi="Times New Roman" w:eastAsia="宋体" w:cs="Times New Roman"/>
                <w:b w:val="0"/>
                <w:bCs/>
                <w:i w:val="0"/>
                <w:iCs w:val="0"/>
                <w:color w:val="auto"/>
                <w:sz w:val="21"/>
                <w:szCs w:val="21"/>
                <w:lang w:val="en-US" w:eastAsia="zh-CN"/>
              </w:rPr>
              <w:t>类别</w:t>
            </w:r>
          </w:p>
        </w:tc>
        <w:tc>
          <w:tcPr>
            <w:tcW w:w="888" w:type="pct"/>
            <w:gridSpan w:val="2"/>
            <w:tcBorders>
              <w:tl2br w:val="nil"/>
              <w:tr2bl w:val="nil"/>
            </w:tcBorders>
            <w:vAlign w:val="center"/>
          </w:tcPr>
          <w:p w14:paraId="0EE4D4A2">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i w:val="0"/>
                <w:iCs w:val="0"/>
                <w:color w:val="auto"/>
                <w:sz w:val="21"/>
                <w:szCs w:val="21"/>
                <w:lang w:val="en-US" w:eastAsia="zh-CN"/>
              </w:rPr>
            </w:pPr>
            <w:r>
              <w:rPr>
                <w:rFonts w:hint="default" w:ascii="Times New Roman" w:hAnsi="Times New Roman" w:eastAsia="宋体" w:cs="Times New Roman"/>
                <w:b w:val="0"/>
                <w:bCs/>
                <w:i w:val="0"/>
                <w:iCs w:val="0"/>
                <w:color w:val="auto"/>
                <w:sz w:val="21"/>
                <w:szCs w:val="21"/>
                <w:lang w:val="en-US" w:eastAsia="zh-CN"/>
              </w:rPr>
              <w:t>工程名称</w:t>
            </w:r>
          </w:p>
        </w:tc>
        <w:tc>
          <w:tcPr>
            <w:tcW w:w="3337" w:type="pct"/>
            <w:tcBorders>
              <w:tl2br w:val="nil"/>
              <w:tr2bl w:val="nil"/>
            </w:tcBorders>
            <w:vAlign w:val="center"/>
          </w:tcPr>
          <w:p w14:paraId="24AE08F2">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i w:val="0"/>
                <w:iCs w:val="0"/>
                <w:color w:val="auto"/>
                <w:sz w:val="21"/>
                <w:szCs w:val="21"/>
              </w:rPr>
            </w:pPr>
            <w:r>
              <w:rPr>
                <w:rFonts w:hint="default" w:ascii="Times New Roman" w:hAnsi="Times New Roman" w:eastAsia="宋体" w:cs="Times New Roman"/>
                <w:b w:val="0"/>
                <w:bCs/>
                <w:i w:val="0"/>
                <w:iCs w:val="0"/>
                <w:color w:val="auto"/>
                <w:sz w:val="21"/>
                <w:szCs w:val="21"/>
              </w:rPr>
              <w:t>工程内容及规模</w:t>
            </w:r>
          </w:p>
        </w:tc>
        <w:tc>
          <w:tcPr>
            <w:tcW w:w="524" w:type="pct"/>
            <w:tcBorders>
              <w:tl2br w:val="nil"/>
              <w:tr2bl w:val="nil"/>
            </w:tcBorders>
            <w:vAlign w:val="center"/>
          </w:tcPr>
          <w:p w14:paraId="274F4C2D">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eastAsia" w:ascii="Times New Roman" w:hAnsi="Times New Roman" w:eastAsia="宋体" w:cs="Times New Roman"/>
                <w:b w:val="0"/>
                <w:bCs/>
                <w:i w:val="0"/>
                <w:iCs w:val="0"/>
                <w:color w:val="auto"/>
                <w:sz w:val="21"/>
                <w:szCs w:val="21"/>
                <w:lang w:val="en-US" w:eastAsia="zh-CN"/>
              </w:rPr>
            </w:pPr>
            <w:r>
              <w:rPr>
                <w:rFonts w:hint="eastAsia" w:cs="Times New Roman"/>
                <w:b w:val="0"/>
                <w:bCs/>
                <w:i w:val="0"/>
                <w:iCs w:val="0"/>
                <w:color w:val="auto"/>
                <w:sz w:val="21"/>
                <w:szCs w:val="21"/>
                <w:lang w:val="en-US" w:eastAsia="zh-CN"/>
              </w:rPr>
              <w:t>备注</w:t>
            </w:r>
          </w:p>
        </w:tc>
      </w:tr>
      <w:tr w14:paraId="7C45E4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50" w:type="pct"/>
            <w:vMerge w:val="restart"/>
            <w:tcBorders>
              <w:tl2br w:val="nil"/>
              <w:tr2bl w:val="nil"/>
            </w:tcBorders>
            <w:vAlign w:val="center"/>
          </w:tcPr>
          <w:p w14:paraId="0F935F87">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z w:val="21"/>
                <w:szCs w:val="21"/>
              </w:rPr>
            </w:pPr>
            <w:bookmarkStart w:id="240" w:name="OLE_LINK55" w:colFirst="1" w:colLast="3"/>
            <w:r>
              <w:rPr>
                <w:rFonts w:hint="default" w:ascii="Times New Roman" w:hAnsi="Times New Roman" w:eastAsia="宋体" w:cs="Times New Roman"/>
                <w:b w:val="0"/>
                <w:bCs/>
                <w:color w:val="auto"/>
                <w:sz w:val="21"/>
                <w:szCs w:val="21"/>
                <w:lang w:val="en-US" w:eastAsia="zh-CN"/>
              </w:rPr>
              <w:t>主体工程</w:t>
            </w:r>
          </w:p>
        </w:tc>
        <w:tc>
          <w:tcPr>
            <w:tcW w:w="325" w:type="pct"/>
            <w:vMerge w:val="restart"/>
            <w:tcBorders>
              <w:tl2br w:val="nil"/>
              <w:tr2bl w:val="nil"/>
            </w:tcBorders>
            <w:vAlign w:val="center"/>
          </w:tcPr>
          <w:p w14:paraId="66EFE058">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地面</w:t>
            </w:r>
            <w:r>
              <w:rPr>
                <w:rFonts w:hint="default" w:ascii="Times New Roman" w:hAnsi="Times New Roman" w:eastAsia="宋体" w:cs="Times New Roman"/>
                <w:b w:val="0"/>
                <w:bCs/>
                <w:color w:val="auto"/>
                <w:sz w:val="21"/>
                <w:szCs w:val="21"/>
              </w:rPr>
              <w:t>工程</w:t>
            </w:r>
          </w:p>
        </w:tc>
        <w:tc>
          <w:tcPr>
            <w:tcW w:w="562" w:type="pct"/>
            <w:tcBorders>
              <w:tl2br w:val="nil"/>
              <w:tr2bl w:val="nil"/>
            </w:tcBorders>
            <w:vAlign w:val="center"/>
          </w:tcPr>
          <w:p w14:paraId="78748EA4">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pacing w:val="-1"/>
                <w:sz w:val="21"/>
                <w:szCs w:val="21"/>
                <w:lang w:val="en-US" w:eastAsia="zh-CN"/>
              </w:rPr>
            </w:pPr>
            <w:r>
              <w:rPr>
                <w:rFonts w:hint="default" w:ascii="Times New Roman" w:hAnsi="Times New Roman" w:eastAsia="宋体" w:cs="Times New Roman"/>
                <w:b w:val="0"/>
                <w:bCs/>
                <w:color w:val="auto"/>
                <w:spacing w:val="-1"/>
                <w:sz w:val="21"/>
                <w:szCs w:val="21"/>
                <w:lang w:val="en-US" w:eastAsia="zh-CN"/>
              </w:rPr>
              <w:t>井场</w:t>
            </w:r>
          </w:p>
        </w:tc>
        <w:tc>
          <w:tcPr>
            <w:tcW w:w="3337" w:type="pct"/>
            <w:tcBorders>
              <w:tl2br w:val="nil"/>
              <w:tr2bl w:val="nil"/>
            </w:tcBorders>
            <w:vAlign w:val="center"/>
          </w:tcPr>
          <w:p w14:paraId="2B4297CA">
            <w:pPr>
              <w:keepNext w:val="0"/>
              <w:keepLines w:val="0"/>
              <w:pageBreakBefore w:val="0"/>
              <w:widowControl w:val="0"/>
              <w:kinsoku/>
              <w:wordWrap/>
              <w:overflowPunct/>
              <w:topLinePunct w:val="0"/>
              <w:autoSpaceDE w:val="0"/>
              <w:autoSpaceDN w:val="0"/>
              <w:bidi w:val="0"/>
              <w:spacing w:line="240" w:lineRule="auto"/>
              <w:ind w:left="0" w:leftChars="0" w:right="0" w:rightChars="0"/>
              <w:jc w:val="left"/>
              <w:rPr>
                <w:rFonts w:hint="eastAsia" w:ascii="Times New Roman" w:hAnsi="Times New Roman" w:eastAsia="宋体" w:cs="Times New Roman"/>
                <w:b w:val="0"/>
                <w:bCs/>
                <w:color w:val="auto"/>
                <w:spacing w:val="-1"/>
                <w:sz w:val="21"/>
                <w:szCs w:val="21"/>
                <w:lang w:val="en-US" w:eastAsia="zh-CN"/>
              </w:rPr>
            </w:pPr>
            <w:r>
              <w:rPr>
                <w:rFonts w:hint="default" w:ascii="Times New Roman" w:hAnsi="Times New Roman" w:eastAsia="宋体" w:cs="Times New Roman"/>
                <w:b w:val="0"/>
                <w:bCs/>
                <w:color w:val="auto"/>
                <w:spacing w:val="-1"/>
                <w:sz w:val="21"/>
                <w:szCs w:val="21"/>
                <w:highlight w:val="none"/>
                <w:lang w:val="en-US" w:eastAsia="zh-CN"/>
              </w:rPr>
              <w:t>新建</w:t>
            </w:r>
            <w:r>
              <w:rPr>
                <w:rFonts w:hint="eastAsia" w:cs="Times New Roman"/>
                <w:b w:val="0"/>
                <w:bCs/>
                <w:color w:val="auto"/>
                <w:spacing w:val="-1"/>
                <w:sz w:val="21"/>
                <w:szCs w:val="21"/>
                <w:highlight w:val="none"/>
                <w:lang w:val="en-US" w:eastAsia="zh-CN"/>
              </w:rPr>
              <w:t>5</w:t>
            </w:r>
            <w:r>
              <w:rPr>
                <w:rFonts w:hint="eastAsia" w:cs="Times New Roman"/>
                <w:b w:val="0"/>
                <w:bCs/>
                <w:color w:val="auto"/>
                <w:spacing w:val="-1"/>
                <w:sz w:val="21"/>
                <w:szCs w:val="21"/>
                <w:highlight w:val="none"/>
                <w:lang w:eastAsia="zh-CN"/>
              </w:rPr>
              <w:t>座</w:t>
            </w:r>
            <w:r>
              <w:rPr>
                <w:rFonts w:hint="eastAsia" w:cs="Times New Roman"/>
                <w:b w:val="0"/>
                <w:bCs/>
                <w:color w:val="auto"/>
                <w:spacing w:val="-1"/>
                <w:sz w:val="21"/>
                <w:szCs w:val="21"/>
                <w:highlight w:val="none"/>
                <w:lang w:val="en-US" w:eastAsia="zh-CN"/>
              </w:rPr>
              <w:t>油</w:t>
            </w:r>
            <w:r>
              <w:rPr>
                <w:rFonts w:hint="default" w:ascii="Times New Roman" w:hAnsi="Times New Roman" w:eastAsia="宋体" w:cs="Times New Roman"/>
                <w:b w:val="0"/>
                <w:bCs/>
                <w:color w:val="auto"/>
                <w:spacing w:val="-1"/>
                <w:sz w:val="21"/>
                <w:szCs w:val="21"/>
              </w:rPr>
              <w:t>井标准化井场：雄英101井、雄英102井、雄英103井、雄英</w:t>
            </w:r>
            <w:r>
              <w:rPr>
                <w:rFonts w:hint="eastAsia" w:cs="Times New Roman"/>
                <w:b w:val="0"/>
                <w:bCs/>
                <w:color w:val="auto"/>
                <w:spacing w:val="-1"/>
                <w:sz w:val="21"/>
                <w:szCs w:val="21"/>
                <w:lang w:val="en-US" w:eastAsia="zh-CN"/>
              </w:rPr>
              <w:t>2</w:t>
            </w:r>
            <w:r>
              <w:rPr>
                <w:rFonts w:hint="default" w:ascii="Times New Roman" w:hAnsi="Times New Roman" w:eastAsia="宋体" w:cs="Times New Roman"/>
                <w:b w:val="0"/>
                <w:bCs/>
                <w:color w:val="auto"/>
                <w:spacing w:val="-1"/>
                <w:sz w:val="21"/>
                <w:szCs w:val="21"/>
              </w:rPr>
              <w:t>井、雄英</w:t>
            </w:r>
            <w:r>
              <w:rPr>
                <w:rFonts w:hint="eastAsia" w:cs="Times New Roman"/>
                <w:b w:val="0"/>
                <w:bCs/>
                <w:color w:val="auto"/>
                <w:spacing w:val="-1"/>
                <w:sz w:val="21"/>
                <w:szCs w:val="21"/>
                <w:lang w:val="en-US" w:eastAsia="zh-CN"/>
              </w:rPr>
              <w:t>3</w:t>
            </w:r>
            <w:r>
              <w:rPr>
                <w:rFonts w:hint="default" w:ascii="Times New Roman" w:hAnsi="Times New Roman" w:eastAsia="宋体" w:cs="Times New Roman"/>
                <w:b w:val="0"/>
                <w:bCs/>
                <w:color w:val="auto"/>
                <w:spacing w:val="-1"/>
                <w:sz w:val="21"/>
                <w:szCs w:val="21"/>
              </w:rPr>
              <w:t>井</w:t>
            </w:r>
            <w:r>
              <w:rPr>
                <w:rFonts w:hint="eastAsia" w:cs="Times New Roman"/>
                <w:b w:val="0"/>
                <w:bCs/>
                <w:color w:val="auto"/>
                <w:spacing w:val="-1"/>
                <w:sz w:val="21"/>
                <w:szCs w:val="21"/>
                <w:lang w:eastAsia="zh-CN"/>
              </w:rPr>
              <w:t>，</w:t>
            </w:r>
            <w:r>
              <w:rPr>
                <w:rFonts w:hint="eastAsia" w:cs="Times New Roman"/>
                <w:b w:val="0"/>
                <w:bCs/>
                <w:color w:val="auto"/>
                <w:spacing w:val="-1"/>
                <w:sz w:val="21"/>
                <w:szCs w:val="21"/>
                <w:lang w:val="en-US" w:eastAsia="zh-CN"/>
              </w:rPr>
              <w:t>改造采油井场1座：</w:t>
            </w:r>
            <w:r>
              <w:rPr>
                <w:rFonts w:hint="default" w:ascii="Times New Roman" w:hAnsi="Times New Roman" w:eastAsia="宋体" w:cs="Times New Roman"/>
                <w:b w:val="0"/>
                <w:bCs/>
                <w:color w:val="auto"/>
                <w:spacing w:val="-1"/>
                <w:sz w:val="21"/>
                <w:szCs w:val="21"/>
              </w:rPr>
              <w:t>雄探1井</w:t>
            </w:r>
            <w:r>
              <w:rPr>
                <w:rFonts w:hint="eastAsia" w:cs="Times New Roman"/>
                <w:b w:val="0"/>
                <w:bCs/>
                <w:color w:val="auto"/>
                <w:spacing w:val="-1"/>
                <w:sz w:val="21"/>
                <w:szCs w:val="21"/>
                <w:lang w:eastAsia="zh-CN"/>
              </w:rPr>
              <w:t>。</w:t>
            </w:r>
          </w:p>
        </w:tc>
        <w:tc>
          <w:tcPr>
            <w:tcW w:w="524" w:type="pct"/>
            <w:tcBorders>
              <w:tl2br w:val="nil"/>
              <w:tr2bl w:val="nil"/>
            </w:tcBorders>
            <w:vAlign w:val="center"/>
          </w:tcPr>
          <w:p w14:paraId="2FE3FCC9">
            <w:pPr>
              <w:keepNext w:val="0"/>
              <w:keepLines w:val="0"/>
              <w:pageBreakBefore w:val="0"/>
              <w:widowControl w:val="0"/>
              <w:kinsoku/>
              <w:wordWrap/>
              <w:overflowPunct/>
              <w:topLinePunct w:val="0"/>
              <w:autoSpaceDE w:val="0"/>
              <w:autoSpaceDN w:val="0"/>
              <w:bidi w:val="0"/>
              <w:spacing w:line="240" w:lineRule="auto"/>
              <w:ind w:left="0" w:leftChars="0" w:right="0" w:rightChars="0"/>
              <w:jc w:val="left"/>
              <w:rPr>
                <w:rFonts w:hint="default" w:ascii="Times New Roman" w:hAnsi="Times New Roman" w:eastAsia="宋体" w:cs="Times New Roman"/>
                <w:b w:val="0"/>
                <w:bCs/>
                <w:color w:val="auto"/>
                <w:spacing w:val="-1"/>
                <w:sz w:val="21"/>
                <w:szCs w:val="21"/>
                <w:lang w:val="en-US" w:eastAsia="zh-CN"/>
              </w:rPr>
            </w:pPr>
            <w:r>
              <w:rPr>
                <w:rFonts w:hint="eastAsia" w:cs="Times New Roman"/>
                <w:b w:val="0"/>
                <w:bCs/>
                <w:color w:val="auto"/>
                <w:spacing w:val="-1"/>
                <w:sz w:val="21"/>
                <w:szCs w:val="21"/>
                <w:lang w:val="en-US" w:eastAsia="zh-CN"/>
              </w:rPr>
              <w:t>除雄探1井改造，均为新建</w:t>
            </w:r>
          </w:p>
        </w:tc>
      </w:tr>
      <w:tr w14:paraId="77C44F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3" w:hRule="atLeast"/>
          <w:jc w:val="center"/>
        </w:trPr>
        <w:tc>
          <w:tcPr>
            <w:tcW w:w="250" w:type="pct"/>
            <w:vMerge w:val="continue"/>
            <w:tcBorders>
              <w:tl2br w:val="nil"/>
              <w:tr2bl w:val="nil"/>
            </w:tcBorders>
            <w:vAlign w:val="center"/>
          </w:tcPr>
          <w:p w14:paraId="53013AC1">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z w:val="21"/>
                <w:szCs w:val="21"/>
                <w:lang w:val="en-US" w:eastAsia="zh-CN"/>
              </w:rPr>
            </w:pPr>
          </w:p>
        </w:tc>
        <w:tc>
          <w:tcPr>
            <w:tcW w:w="325" w:type="pct"/>
            <w:vMerge w:val="continue"/>
            <w:tcBorders>
              <w:tl2br w:val="nil"/>
              <w:tr2bl w:val="nil"/>
            </w:tcBorders>
            <w:vAlign w:val="center"/>
          </w:tcPr>
          <w:p w14:paraId="1422547C">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z w:val="21"/>
                <w:szCs w:val="21"/>
                <w:lang w:val="en-US" w:eastAsia="zh-CN"/>
              </w:rPr>
            </w:pPr>
          </w:p>
        </w:tc>
        <w:tc>
          <w:tcPr>
            <w:tcW w:w="562" w:type="pct"/>
            <w:tcBorders>
              <w:tl2br w:val="nil"/>
              <w:tr2bl w:val="nil"/>
            </w:tcBorders>
            <w:vAlign w:val="center"/>
          </w:tcPr>
          <w:p w14:paraId="18A42602">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站场</w:t>
            </w:r>
          </w:p>
        </w:tc>
        <w:tc>
          <w:tcPr>
            <w:tcW w:w="3337" w:type="pct"/>
            <w:tcBorders>
              <w:tl2br w:val="nil"/>
              <w:tr2bl w:val="nil"/>
            </w:tcBorders>
            <w:vAlign w:val="center"/>
          </w:tcPr>
          <w:p w14:paraId="0D385B49">
            <w:pPr>
              <w:keepNext w:val="0"/>
              <w:keepLines w:val="0"/>
              <w:pageBreakBefore w:val="0"/>
              <w:widowControl w:val="0"/>
              <w:kinsoku/>
              <w:wordWrap/>
              <w:overflowPunct/>
              <w:topLinePunct w:val="0"/>
              <w:autoSpaceDE w:val="0"/>
              <w:autoSpaceDN w:val="0"/>
              <w:bidi w:val="0"/>
              <w:spacing w:line="240" w:lineRule="auto"/>
              <w:ind w:left="0" w:leftChars="0" w:right="0" w:rightChars="0"/>
              <w:jc w:val="left"/>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扩建雄探1试采点1座，</w:t>
            </w:r>
            <w:r>
              <w:rPr>
                <w:rFonts w:hint="eastAsia" w:cs="Times New Roman"/>
                <w:b w:val="0"/>
                <w:bCs/>
                <w:color w:val="auto"/>
                <w:sz w:val="21"/>
                <w:szCs w:val="21"/>
                <w:highlight w:val="none"/>
                <w:lang w:val="en-US" w:eastAsia="zh-CN"/>
              </w:rPr>
              <w:t>建设规模油230t/d、气9.5×10</w:t>
            </w:r>
            <w:r>
              <w:rPr>
                <w:rFonts w:hint="eastAsia" w:cs="Times New Roman"/>
                <w:b w:val="0"/>
                <w:bCs/>
                <w:color w:val="auto"/>
                <w:sz w:val="21"/>
                <w:szCs w:val="21"/>
                <w:highlight w:val="none"/>
                <w:vertAlign w:val="superscript"/>
                <w:lang w:val="en-US" w:eastAsia="zh-CN"/>
              </w:rPr>
              <w:t>4</w:t>
            </w:r>
            <w:r>
              <w:rPr>
                <w:rFonts w:hint="eastAsia" w:cs="Times New Roman"/>
                <w:b w:val="0"/>
                <w:bCs/>
                <w:color w:val="auto"/>
                <w:sz w:val="21"/>
                <w:szCs w:val="21"/>
                <w:highlight w:val="none"/>
                <w:lang w:val="en-US" w:eastAsia="zh-CN"/>
              </w:rPr>
              <w:t>m</w:t>
            </w:r>
            <w:r>
              <w:rPr>
                <w:rFonts w:hint="eastAsia" w:cs="Times New Roman"/>
                <w:b w:val="0"/>
                <w:bCs/>
                <w:color w:val="auto"/>
                <w:sz w:val="21"/>
                <w:szCs w:val="21"/>
                <w:highlight w:val="none"/>
                <w:vertAlign w:val="superscript"/>
                <w:lang w:val="en-US" w:eastAsia="zh-CN"/>
              </w:rPr>
              <w:t>3</w:t>
            </w:r>
            <w:r>
              <w:rPr>
                <w:rFonts w:hint="eastAsia" w:cs="Times New Roman"/>
                <w:b w:val="0"/>
                <w:bCs/>
                <w:color w:val="auto"/>
                <w:sz w:val="21"/>
                <w:szCs w:val="21"/>
                <w:highlight w:val="none"/>
                <w:lang w:val="en-US" w:eastAsia="zh-CN"/>
              </w:rPr>
              <w:t>/d，</w:t>
            </w:r>
            <w:r>
              <w:rPr>
                <w:rFonts w:hint="eastAsia" w:cs="Times New Roman"/>
                <w:b w:val="0"/>
                <w:bCs/>
                <w:color w:val="auto"/>
                <w:sz w:val="21"/>
                <w:szCs w:val="21"/>
                <w:lang w:val="en-US" w:eastAsia="zh-CN"/>
              </w:rPr>
              <w:t>主要包括进站、计量、分离、加热、原油闪蒸、闪蒸气增压、原油储存和装车、天然气脱硫、天然气增压和脱水功能。工艺装置主要包括：进站阀组橇、计量分离器橇、缓蚀剂加注橇、干法脱硫塔、原油密闭装车橇、闪蒸气压缩机、地面自动点火装置、生产分离器橇、气液分离器橇。</w:t>
            </w:r>
          </w:p>
        </w:tc>
        <w:tc>
          <w:tcPr>
            <w:tcW w:w="524" w:type="pct"/>
            <w:tcBorders>
              <w:tl2br w:val="nil"/>
              <w:tr2bl w:val="nil"/>
            </w:tcBorders>
            <w:vAlign w:val="center"/>
          </w:tcPr>
          <w:p w14:paraId="5E397AB1">
            <w:pPr>
              <w:keepNext w:val="0"/>
              <w:keepLines w:val="0"/>
              <w:pageBreakBefore w:val="0"/>
              <w:widowControl w:val="0"/>
              <w:kinsoku/>
              <w:wordWrap/>
              <w:overflowPunct/>
              <w:topLinePunct w:val="0"/>
              <w:autoSpaceDE w:val="0"/>
              <w:autoSpaceDN w:val="0"/>
              <w:bidi w:val="0"/>
              <w:spacing w:line="240" w:lineRule="auto"/>
              <w:ind w:left="0" w:leftChars="0" w:right="0" w:rightChars="0"/>
              <w:jc w:val="left"/>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pacing w:val="-1"/>
                <w:sz w:val="21"/>
                <w:szCs w:val="21"/>
                <w:lang w:val="en-US" w:eastAsia="zh-CN"/>
              </w:rPr>
              <w:t>扩建</w:t>
            </w:r>
          </w:p>
        </w:tc>
      </w:tr>
      <w:tr w14:paraId="59C7D2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50" w:type="pct"/>
            <w:vMerge w:val="continue"/>
            <w:tcBorders>
              <w:tl2br w:val="nil"/>
              <w:tr2bl w:val="nil"/>
            </w:tcBorders>
            <w:vAlign w:val="center"/>
          </w:tcPr>
          <w:p w14:paraId="11A093C7">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z w:val="21"/>
                <w:szCs w:val="21"/>
              </w:rPr>
            </w:pPr>
          </w:p>
        </w:tc>
        <w:tc>
          <w:tcPr>
            <w:tcW w:w="325" w:type="pct"/>
            <w:vMerge w:val="restart"/>
            <w:tcBorders>
              <w:tl2br w:val="nil"/>
              <w:tr2bl w:val="nil"/>
            </w:tcBorders>
            <w:vAlign w:val="center"/>
          </w:tcPr>
          <w:p w14:paraId="613C7BE7">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集输工程</w:t>
            </w:r>
          </w:p>
        </w:tc>
        <w:tc>
          <w:tcPr>
            <w:tcW w:w="562" w:type="pct"/>
            <w:vMerge w:val="restart"/>
            <w:tcBorders>
              <w:tl2br w:val="nil"/>
              <w:tr2bl w:val="nil"/>
            </w:tcBorders>
            <w:vAlign w:val="center"/>
          </w:tcPr>
          <w:p w14:paraId="29D24788">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pacing w:val="-1"/>
                <w:sz w:val="21"/>
                <w:szCs w:val="21"/>
                <w:highlight w:val="none"/>
                <w:lang w:val="en-US" w:eastAsia="zh-CN"/>
              </w:rPr>
            </w:pPr>
            <w:r>
              <w:rPr>
                <w:rFonts w:hint="default" w:ascii="Times New Roman" w:hAnsi="Times New Roman" w:eastAsia="宋体" w:cs="Times New Roman"/>
                <w:b w:val="0"/>
                <w:bCs/>
                <w:color w:val="auto"/>
                <w:spacing w:val="-1"/>
                <w:sz w:val="21"/>
                <w:szCs w:val="21"/>
                <w:highlight w:val="none"/>
                <w:lang w:val="en-US" w:eastAsia="zh-CN"/>
              </w:rPr>
              <w:t>单井集输管线</w:t>
            </w:r>
            <w:r>
              <w:rPr>
                <w:rFonts w:hint="eastAsia" w:cs="Times New Roman"/>
                <w:b w:val="0"/>
                <w:bCs/>
                <w:color w:val="auto"/>
                <w:spacing w:val="-1"/>
                <w:sz w:val="21"/>
                <w:szCs w:val="21"/>
                <w:highlight w:val="none"/>
                <w:lang w:val="en-US" w:eastAsia="zh-CN"/>
              </w:rPr>
              <w:t>24.7</w:t>
            </w:r>
            <w:r>
              <w:rPr>
                <w:rFonts w:hint="default" w:ascii="Times New Roman" w:hAnsi="Times New Roman" w:eastAsia="宋体" w:cs="Times New Roman"/>
                <w:b w:val="0"/>
                <w:bCs/>
                <w:color w:val="auto"/>
                <w:spacing w:val="-1"/>
                <w:sz w:val="21"/>
                <w:szCs w:val="21"/>
                <w:highlight w:val="none"/>
                <w:lang w:val="en-US" w:eastAsia="zh-CN"/>
              </w:rPr>
              <w:t>km</w:t>
            </w:r>
          </w:p>
        </w:tc>
        <w:tc>
          <w:tcPr>
            <w:tcW w:w="3337" w:type="pct"/>
            <w:tcBorders>
              <w:tl2br w:val="nil"/>
              <w:tr2bl w:val="nil"/>
            </w:tcBorders>
            <w:vAlign w:val="center"/>
          </w:tcPr>
          <w:p w14:paraId="3F879307">
            <w:pPr>
              <w:keepNext w:val="0"/>
              <w:keepLines w:val="0"/>
              <w:pageBreakBefore w:val="0"/>
              <w:widowControl w:val="0"/>
              <w:kinsoku/>
              <w:wordWrap/>
              <w:overflowPunct/>
              <w:topLinePunct w:val="0"/>
              <w:autoSpaceDE w:val="0"/>
              <w:autoSpaceDN w:val="0"/>
              <w:bidi w:val="0"/>
              <w:spacing w:line="240" w:lineRule="auto"/>
              <w:ind w:left="0" w:leftChars="0" w:right="0" w:rightChars="0"/>
              <w:rPr>
                <w:rFonts w:hint="default" w:ascii="Times New Roman" w:hAnsi="Times New Roman" w:eastAsia="宋体" w:cs="Times New Roman"/>
                <w:b w:val="0"/>
                <w:bCs/>
                <w:color w:val="auto"/>
                <w:spacing w:val="-1"/>
                <w:sz w:val="21"/>
                <w:szCs w:val="21"/>
                <w:highlight w:val="none"/>
                <w:lang w:val="en-US" w:eastAsia="zh-CN"/>
              </w:rPr>
            </w:pPr>
            <w:r>
              <w:rPr>
                <w:rFonts w:hint="default" w:ascii="Times New Roman" w:hAnsi="Times New Roman" w:eastAsia="宋体" w:cs="Times New Roman"/>
                <w:b w:val="0"/>
                <w:bCs/>
                <w:color w:val="auto"/>
                <w:spacing w:val="-1"/>
                <w:sz w:val="21"/>
                <w:szCs w:val="21"/>
                <w:highlight w:val="none"/>
              </w:rPr>
              <w:t>雄</w:t>
            </w:r>
            <w:r>
              <w:rPr>
                <w:rFonts w:hint="eastAsia" w:cs="Times New Roman"/>
                <w:b w:val="0"/>
                <w:bCs/>
                <w:color w:val="auto"/>
                <w:spacing w:val="-1"/>
                <w:sz w:val="21"/>
                <w:szCs w:val="21"/>
                <w:highlight w:val="none"/>
                <w:lang w:val="en-US" w:eastAsia="zh-CN"/>
              </w:rPr>
              <w:t>英2</w:t>
            </w:r>
            <w:r>
              <w:rPr>
                <w:rFonts w:hint="default" w:ascii="Times New Roman" w:hAnsi="Times New Roman" w:eastAsia="宋体" w:cs="Times New Roman"/>
                <w:b w:val="0"/>
                <w:bCs/>
                <w:color w:val="auto"/>
                <w:spacing w:val="-1"/>
                <w:sz w:val="21"/>
                <w:szCs w:val="21"/>
                <w:highlight w:val="none"/>
              </w:rPr>
              <w:t>井</w:t>
            </w:r>
            <w:r>
              <w:rPr>
                <w:rFonts w:hint="default" w:ascii="Times New Roman" w:hAnsi="Times New Roman" w:eastAsia="宋体" w:cs="Times New Roman"/>
                <w:b w:val="0"/>
                <w:bCs/>
                <w:color w:val="auto"/>
                <w:spacing w:val="-1"/>
                <w:sz w:val="21"/>
                <w:szCs w:val="21"/>
                <w:highlight w:val="none"/>
                <w:lang w:val="en-US" w:eastAsia="zh-CN"/>
              </w:rPr>
              <w:t>至雄探1试采点，长</w:t>
            </w:r>
            <w:r>
              <w:rPr>
                <w:rFonts w:hint="eastAsia" w:cs="Times New Roman"/>
                <w:b w:val="0"/>
                <w:bCs/>
                <w:color w:val="auto"/>
                <w:spacing w:val="-1"/>
                <w:sz w:val="21"/>
                <w:szCs w:val="21"/>
                <w:highlight w:val="none"/>
                <w:lang w:val="en-US" w:eastAsia="zh-CN"/>
              </w:rPr>
              <w:t>5.84</w:t>
            </w:r>
            <w:r>
              <w:rPr>
                <w:rFonts w:hint="default" w:ascii="Times New Roman" w:hAnsi="Times New Roman" w:eastAsia="宋体" w:cs="Times New Roman"/>
                <w:b w:val="0"/>
                <w:bCs/>
                <w:color w:val="auto"/>
                <w:spacing w:val="-1"/>
                <w:sz w:val="21"/>
                <w:szCs w:val="21"/>
                <w:highlight w:val="none"/>
                <w:lang w:val="en-US" w:eastAsia="zh-CN"/>
              </w:rPr>
              <w:t>km，DN</w:t>
            </w:r>
            <w:r>
              <w:rPr>
                <w:rFonts w:hint="eastAsia" w:cs="Times New Roman"/>
                <w:b w:val="0"/>
                <w:bCs/>
                <w:color w:val="auto"/>
                <w:spacing w:val="-1"/>
                <w:sz w:val="21"/>
                <w:szCs w:val="21"/>
                <w:highlight w:val="none"/>
                <w:lang w:val="en-US" w:eastAsia="zh-CN"/>
              </w:rPr>
              <w:t>80</w:t>
            </w:r>
            <w:r>
              <w:rPr>
                <w:rFonts w:hint="default" w:ascii="Times New Roman" w:hAnsi="Times New Roman" w:eastAsia="宋体" w:cs="Times New Roman"/>
                <w:b w:val="0"/>
                <w:bCs/>
                <w:color w:val="auto"/>
                <w:spacing w:val="-1"/>
                <w:sz w:val="21"/>
                <w:szCs w:val="21"/>
                <w:highlight w:val="none"/>
                <w:lang w:val="en-US" w:eastAsia="zh-CN"/>
              </w:rPr>
              <w:t>，</w:t>
            </w:r>
            <w:r>
              <w:rPr>
                <w:rFonts w:hint="eastAsia" w:cs="Times New Roman"/>
                <w:b w:val="0"/>
                <w:bCs/>
                <w:color w:val="auto"/>
                <w:spacing w:val="-1"/>
                <w:sz w:val="21"/>
                <w:szCs w:val="21"/>
                <w:highlight w:val="none"/>
                <w:lang w:val="en-US" w:eastAsia="zh-CN"/>
              </w:rPr>
              <w:t>玻璃钢管</w:t>
            </w:r>
          </w:p>
        </w:tc>
        <w:tc>
          <w:tcPr>
            <w:tcW w:w="524" w:type="pct"/>
            <w:tcBorders>
              <w:tl2br w:val="nil"/>
              <w:tr2bl w:val="nil"/>
            </w:tcBorders>
            <w:vAlign w:val="center"/>
          </w:tcPr>
          <w:p w14:paraId="50D8B76C">
            <w:pPr>
              <w:keepNext w:val="0"/>
              <w:keepLines w:val="0"/>
              <w:pageBreakBefore w:val="0"/>
              <w:widowControl w:val="0"/>
              <w:kinsoku/>
              <w:wordWrap/>
              <w:overflowPunct/>
              <w:topLinePunct w:val="0"/>
              <w:autoSpaceDE w:val="0"/>
              <w:autoSpaceDN w:val="0"/>
              <w:bidi w:val="0"/>
              <w:spacing w:line="240" w:lineRule="auto"/>
              <w:ind w:left="0" w:leftChars="0" w:right="0" w:rightChars="0"/>
              <w:rPr>
                <w:rFonts w:hint="default" w:ascii="Times New Roman" w:hAnsi="Times New Roman" w:eastAsia="宋体" w:cs="Times New Roman"/>
                <w:b w:val="0"/>
                <w:bCs/>
                <w:color w:val="auto"/>
                <w:spacing w:val="-1"/>
                <w:sz w:val="21"/>
                <w:szCs w:val="21"/>
                <w:highlight w:val="none"/>
                <w:lang w:val="en-US" w:eastAsia="zh-CN"/>
              </w:rPr>
            </w:pPr>
            <w:r>
              <w:rPr>
                <w:rFonts w:hint="eastAsia" w:cs="Times New Roman"/>
                <w:b w:val="0"/>
                <w:bCs/>
                <w:color w:val="auto"/>
                <w:spacing w:val="-1"/>
                <w:sz w:val="21"/>
                <w:szCs w:val="21"/>
                <w:lang w:val="en-US" w:eastAsia="zh-CN"/>
              </w:rPr>
              <w:t>新建</w:t>
            </w:r>
          </w:p>
        </w:tc>
      </w:tr>
      <w:tr w14:paraId="5318A2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50" w:type="pct"/>
            <w:vMerge w:val="continue"/>
            <w:tcBorders>
              <w:tl2br w:val="nil"/>
              <w:tr2bl w:val="nil"/>
            </w:tcBorders>
            <w:vAlign w:val="center"/>
          </w:tcPr>
          <w:p w14:paraId="62A07455">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z w:val="21"/>
                <w:szCs w:val="21"/>
              </w:rPr>
            </w:pPr>
          </w:p>
        </w:tc>
        <w:tc>
          <w:tcPr>
            <w:tcW w:w="325" w:type="pct"/>
            <w:vMerge w:val="continue"/>
            <w:tcBorders>
              <w:tl2br w:val="nil"/>
              <w:tr2bl w:val="nil"/>
            </w:tcBorders>
            <w:vAlign w:val="center"/>
          </w:tcPr>
          <w:p w14:paraId="7E8706C7">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z w:val="21"/>
                <w:szCs w:val="21"/>
                <w:lang w:val="en-US" w:eastAsia="zh-CN"/>
              </w:rPr>
            </w:pPr>
          </w:p>
        </w:tc>
        <w:tc>
          <w:tcPr>
            <w:tcW w:w="562" w:type="pct"/>
            <w:vMerge w:val="continue"/>
            <w:tcBorders>
              <w:tl2br w:val="nil"/>
              <w:tr2bl w:val="nil"/>
            </w:tcBorders>
            <w:vAlign w:val="center"/>
          </w:tcPr>
          <w:p w14:paraId="6B85D979">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pacing w:val="-1"/>
                <w:sz w:val="21"/>
                <w:szCs w:val="21"/>
                <w:highlight w:val="none"/>
              </w:rPr>
            </w:pPr>
          </w:p>
        </w:tc>
        <w:tc>
          <w:tcPr>
            <w:tcW w:w="3337" w:type="pct"/>
            <w:tcBorders>
              <w:tl2br w:val="nil"/>
              <w:tr2bl w:val="nil"/>
            </w:tcBorders>
            <w:vAlign w:val="center"/>
          </w:tcPr>
          <w:p w14:paraId="5EEB8DB8">
            <w:pPr>
              <w:keepNext w:val="0"/>
              <w:keepLines w:val="0"/>
              <w:pageBreakBefore w:val="0"/>
              <w:widowControl w:val="0"/>
              <w:kinsoku/>
              <w:wordWrap/>
              <w:overflowPunct/>
              <w:topLinePunct w:val="0"/>
              <w:autoSpaceDE w:val="0"/>
              <w:autoSpaceDN w:val="0"/>
              <w:bidi w:val="0"/>
              <w:spacing w:line="240" w:lineRule="auto"/>
              <w:ind w:left="0" w:leftChars="0" w:right="0" w:rightChars="0"/>
              <w:rPr>
                <w:rFonts w:hint="default" w:ascii="Times New Roman" w:hAnsi="Times New Roman" w:eastAsia="宋体" w:cs="Times New Roman"/>
                <w:b w:val="0"/>
                <w:bCs/>
                <w:color w:val="auto"/>
                <w:spacing w:val="-1"/>
                <w:sz w:val="21"/>
                <w:szCs w:val="21"/>
                <w:highlight w:val="none"/>
              </w:rPr>
            </w:pPr>
            <w:r>
              <w:rPr>
                <w:rFonts w:hint="default" w:ascii="Times New Roman" w:hAnsi="Times New Roman" w:eastAsia="宋体" w:cs="Times New Roman"/>
                <w:b w:val="0"/>
                <w:bCs/>
                <w:color w:val="auto"/>
                <w:spacing w:val="-1"/>
                <w:sz w:val="21"/>
                <w:szCs w:val="21"/>
                <w:highlight w:val="none"/>
              </w:rPr>
              <w:t>雄英101井</w:t>
            </w:r>
            <w:r>
              <w:rPr>
                <w:rFonts w:hint="default" w:ascii="Times New Roman" w:hAnsi="Times New Roman" w:eastAsia="宋体" w:cs="Times New Roman"/>
                <w:b w:val="0"/>
                <w:bCs/>
                <w:color w:val="auto"/>
                <w:spacing w:val="-1"/>
                <w:sz w:val="21"/>
                <w:szCs w:val="21"/>
                <w:highlight w:val="none"/>
                <w:lang w:val="en-US" w:eastAsia="zh-CN"/>
              </w:rPr>
              <w:t>至雄探1试采点，长</w:t>
            </w:r>
            <w:r>
              <w:rPr>
                <w:rFonts w:hint="eastAsia" w:cs="Times New Roman"/>
                <w:b w:val="0"/>
                <w:bCs/>
                <w:color w:val="auto"/>
                <w:spacing w:val="-1"/>
                <w:sz w:val="21"/>
                <w:szCs w:val="21"/>
                <w:highlight w:val="none"/>
                <w:lang w:val="en-US" w:eastAsia="zh-CN"/>
              </w:rPr>
              <w:t>5.53</w:t>
            </w:r>
            <w:r>
              <w:rPr>
                <w:rFonts w:hint="default" w:ascii="Times New Roman" w:hAnsi="Times New Roman" w:eastAsia="宋体" w:cs="Times New Roman"/>
                <w:b w:val="0"/>
                <w:bCs/>
                <w:color w:val="auto"/>
                <w:spacing w:val="-1"/>
                <w:sz w:val="21"/>
                <w:szCs w:val="21"/>
                <w:highlight w:val="none"/>
                <w:lang w:val="en-US" w:eastAsia="zh-CN"/>
              </w:rPr>
              <w:t>km，DN</w:t>
            </w:r>
            <w:r>
              <w:rPr>
                <w:rFonts w:hint="eastAsia" w:cs="Times New Roman"/>
                <w:b w:val="0"/>
                <w:bCs/>
                <w:color w:val="auto"/>
                <w:spacing w:val="-1"/>
                <w:sz w:val="21"/>
                <w:szCs w:val="21"/>
                <w:highlight w:val="none"/>
                <w:lang w:val="en-US" w:eastAsia="zh-CN"/>
              </w:rPr>
              <w:t>80</w:t>
            </w:r>
            <w:r>
              <w:rPr>
                <w:rFonts w:hint="default" w:ascii="Times New Roman" w:hAnsi="Times New Roman" w:eastAsia="宋体" w:cs="Times New Roman"/>
                <w:b w:val="0"/>
                <w:bCs/>
                <w:color w:val="auto"/>
                <w:spacing w:val="-1"/>
                <w:sz w:val="21"/>
                <w:szCs w:val="21"/>
                <w:highlight w:val="none"/>
                <w:lang w:val="en-US" w:eastAsia="zh-CN"/>
              </w:rPr>
              <w:t>，</w:t>
            </w:r>
            <w:r>
              <w:rPr>
                <w:rFonts w:hint="eastAsia" w:cs="Times New Roman"/>
                <w:b w:val="0"/>
                <w:bCs/>
                <w:color w:val="auto"/>
                <w:spacing w:val="-1"/>
                <w:sz w:val="21"/>
                <w:szCs w:val="21"/>
                <w:highlight w:val="none"/>
                <w:lang w:val="en-US" w:eastAsia="zh-CN"/>
              </w:rPr>
              <w:t>玻璃钢管</w:t>
            </w:r>
          </w:p>
        </w:tc>
        <w:tc>
          <w:tcPr>
            <w:tcW w:w="524" w:type="pct"/>
            <w:tcBorders>
              <w:tl2br w:val="nil"/>
              <w:tr2bl w:val="nil"/>
            </w:tcBorders>
            <w:vAlign w:val="center"/>
          </w:tcPr>
          <w:p w14:paraId="09A5D6A5">
            <w:pPr>
              <w:keepNext w:val="0"/>
              <w:keepLines w:val="0"/>
              <w:pageBreakBefore w:val="0"/>
              <w:widowControl w:val="0"/>
              <w:kinsoku/>
              <w:wordWrap/>
              <w:overflowPunct/>
              <w:topLinePunct w:val="0"/>
              <w:autoSpaceDE w:val="0"/>
              <w:autoSpaceDN w:val="0"/>
              <w:bidi w:val="0"/>
              <w:spacing w:line="240" w:lineRule="auto"/>
              <w:ind w:left="0" w:leftChars="0" w:right="0" w:rightChars="0"/>
              <w:rPr>
                <w:rFonts w:hint="default" w:ascii="Times New Roman" w:hAnsi="Times New Roman" w:eastAsia="宋体" w:cs="Times New Roman"/>
                <w:b w:val="0"/>
                <w:bCs/>
                <w:color w:val="auto"/>
                <w:spacing w:val="-1"/>
                <w:sz w:val="21"/>
                <w:szCs w:val="21"/>
                <w:highlight w:val="none"/>
              </w:rPr>
            </w:pPr>
            <w:r>
              <w:rPr>
                <w:rFonts w:hint="eastAsia" w:cs="Times New Roman"/>
                <w:b w:val="0"/>
                <w:bCs/>
                <w:color w:val="auto"/>
                <w:spacing w:val="-1"/>
                <w:sz w:val="21"/>
                <w:szCs w:val="21"/>
                <w:lang w:val="en-US" w:eastAsia="zh-CN"/>
              </w:rPr>
              <w:t>新建</w:t>
            </w:r>
          </w:p>
        </w:tc>
      </w:tr>
      <w:tr w14:paraId="51DA71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50" w:type="pct"/>
            <w:vMerge w:val="continue"/>
            <w:tcBorders>
              <w:tl2br w:val="nil"/>
              <w:tr2bl w:val="nil"/>
            </w:tcBorders>
            <w:vAlign w:val="center"/>
          </w:tcPr>
          <w:p w14:paraId="69ACED28">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z w:val="21"/>
                <w:szCs w:val="21"/>
              </w:rPr>
            </w:pPr>
          </w:p>
        </w:tc>
        <w:tc>
          <w:tcPr>
            <w:tcW w:w="325" w:type="pct"/>
            <w:vMerge w:val="continue"/>
            <w:tcBorders>
              <w:tl2br w:val="nil"/>
              <w:tr2bl w:val="nil"/>
            </w:tcBorders>
            <w:vAlign w:val="center"/>
          </w:tcPr>
          <w:p w14:paraId="3EB24563">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z w:val="21"/>
                <w:szCs w:val="21"/>
                <w:lang w:val="en-US" w:eastAsia="zh-CN"/>
              </w:rPr>
            </w:pPr>
          </w:p>
        </w:tc>
        <w:tc>
          <w:tcPr>
            <w:tcW w:w="562" w:type="pct"/>
            <w:vMerge w:val="continue"/>
            <w:tcBorders>
              <w:tl2br w:val="nil"/>
              <w:tr2bl w:val="nil"/>
            </w:tcBorders>
            <w:vAlign w:val="center"/>
          </w:tcPr>
          <w:p w14:paraId="4C9962BA">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pacing w:val="-1"/>
                <w:sz w:val="21"/>
                <w:szCs w:val="21"/>
                <w:highlight w:val="none"/>
              </w:rPr>
            </w:pPr>
          </w:p>
        </w:tc>
        <w:tc>
          <w:tcPr>
            <w:tcW w:w="3337" w:type="pct"/>
            <w:tcBorders>
              <w:tl2br w:val="nil"/>
              <w:tr2bl w:val="nil"/>
            </w:tcBorders>
            <w:vAlign w:val="center"/>
          </w:tcPr>
          <w:p w14:paraId="5818CAE5">
            <w:pPr>
              <w:keepNext w:val="0"/>
              <w:keepLines w:val="0"/>
              <w:pageBreakBefore w:val="0"/>
              <w:widowControl w:val="0"/>
              <w:kinsoku/>
              <w:wordWrap/>
              <w:overflowPunct/>
              <w:topLinePunct w:val="0"/>
              <w:autoSpaceDE w:val="0"/>
              <w:autoSpaceDN w:val="0"/>
              <w:bidi w:val="0"/>
              <w:spacing w:line="240" w:lineRule="auto"/>
              <w:ind w:left="0" w:leftChars="0" w:right="0" w:rightChars="0"/>
              <w:rPr>
                <w:rFonts w:hint="default" w:ascii="Times New Roman" w:hAnsi="Times New Roman" w:eastAsia="宋体" w:cs="Times New Roman"/>
                <w:b w:val="0"/>
                <w:bCs/>
                <w:color w:val="auto"/>
                <w:spacing w:val="-1"/>
                <w:sz w:val="21"/>
                <w:szCs w:val="21"/>
                <w:highlight w:val="none"/>
              </w:rPr>
            </w:pPr>
            <w:r>
              <w:rPr>
                <w:rFonts w:hint="default" w:ascii="Times New Roman" w:hAnsi="Times New Roman" w:eastAsia="宋体" w:cs="Times New Roman"/>
                <w:b w:val="0"/>
                <w:bCs/>
                <w:color w:val="auto"/>
                <w:spacing w:val="-1"/>
                <w:sz w:val="21"/>
                <w:szCs w:val="21"/>
                <w:highlight w:val="none"/>
              </w:rPr>
              <w:t>雄英102井</w:t>
            </w:r>
            <w:r>
              <w:rPr>
                <w:rFonts w:hint="default" w:ascii="Times New Roman" w:hAnsi="Times New Roman" w:eastAsia="宋体" w:cs="Times New Roman"/>
                <w:b w:val="0"/>
                <w:bCs/>
                <w:color w:val="auto"/>
                <w:spacing w:val="-1"/>
                <w:sz w:val="21"/>
                <w:szCs w:val="21"/>
                <w:highlight w:val="none"/>
                <w:lang w:val="en-US" w:eastAsia="zh-CN"/>
              </w:rPr>
              <w:t>至雄探1试采点，长</w:t>
            </w:r>
            <w:r>
              <w:rPr>
                <w:rFonts w:hint="eastAsia" w:cs="Times New Roman"/>
                <w:b w:val="0"/>
                <w:bCs/>
                <w:color w:val="auto"/>
                <w:spacing w:val="-1"/>
                <w:sz w:val="21"/>
                <w:szCs w:val="21"/>
                <w:highlight w:val="none"/>
                <w:lang w:val="en-US" w:eastAsia="zh-CN"/>
              </w:rPr>
              <w:t>3.4</w:t>
            </w:r>
            <w:r>
              <w:rPr>
                <w:rFonts w:hint="default" w:ascii="Times New Roman" w:hAnsi="Times New Roman" w:eastAsia="宋体" w:cs="Times New Roman"/>
                <w:b w:val="0"/>
                <w:bCs/>
                <w:color w:val="auto"/>
                <w:spacing w:val="-1"/>
                <w:sz w:val="21"/>
                <w:szCs w:val="21"/>
                <w:highlight w:val="none"/>
                <w:lang w:val="en-US" w:eastAsia="zh-CN"/>
              </w:rPr>
              <w:t>km，DN</w:t>
            </w:r>
            <w:r>
              <w:rPr>
                <w:rFonts w:hint="eastAsia" w:cs="Times New Roman"/>
                <w:b w:val="0"/>
                <w:bCs/>
                <w:color w:val="auto"/>
                <w:spacing w:val="-1"/>
                <w:sz w:val="21"/>
                <w:szCs w:val="21"/>
                <w:highlight w:val="none"/>
                <w:lang w:val="en-US" w:eastAsia="zh-CN"/>
              </w:rPr>
              <w:t>80</w:t>
            </w:r>
            <w:r>
              <w:rPr>
                <w:rFonts w:hint="default" w:ascii="Times New Roman" w:hAnsi="Times New Roman" w:eastAsia="宋体" w:cs="Times New Roman"/>
                <w:b w:val="0"/>
                <w:bCs/>
                <w:color w:val="auto"/>
                <w:spacing w:val="-1"/>
                <w:sz w:val="21"/>
                <w:szCs w:val="21"/>
                <w:highlight w:val="none"/>
                <w:lang w:val="en-US" w:eastAsia="zh-CN"/>
              </w:rPr>
              <w:t>，</w:t>
            </w:r>
            <w:r>
              <w:rPr>
                <w:rFonts w:hint="eastAsia" w:cs="Times New Roman"/>
                <w:b w:val="0"/>
                <w:bCs/>
                <w:color w:val="auto"/>
                <w:spacing w:val="-1"/>
                <w:sz w:val="21"/>
                <w:szCs w:val="21"/>
                <w:highlight w:val="none"/>
                <w:lang w:val="en-US" w:eastAsia="zh-CN"/>
              </w:rPr>
              <w:t>玻璃钢管</w:t>
            </w:r>
          </w:p>
        </w:tc>
        <w:tc>
          <w:tcPr>
            <w:tcW w:w="524" w:type="pct"/>
            <w:tcBorders>
              <w:tl2br w:val="nil"/>
              <w:tr2bl w:val="nil"/>
            </w:tcBorders>
            <w:vAlign w:val="center"/>
          </w:tcPr>
          <w:p w14:paraId="5F21051F">
            <w:pPr>
              <w:keepNext w:val="0"/>
              <w:keepLines w:val="0"/>
              <w:pageBreakBefore w:val="0"/>
              <w:widowControl w:val="0"/>
              <w:kinsoku/>
              <w:wordWrap/>
              <w:overflowPunct/>
              <w:topLinePunct w:val="0"/>
              <w:autoSpaceDE w:val="0"/>
              <w:autoSpaceDN w:val="0"/>
              <w:bidi w:val="0"/>
              <w:spacing w:line="240" w:lineRule="auto"/>
              <w:ind w:left="0" w:leftChars="0" w:right="0" w:rightChars="0"/>
              <w:rPr>
                <w:rFonts w:hint="default" w:ascii="Times New Roman" w:hAnsi="Times New Roman" w:eastAsia="宋体" w:cs="Times New Roman"/>
                <w:b w:val="0"/>
                <w:bCs/>
                <w:color w:val="auto"/>
                <w:spacing w:val="-1"/>
                <w:sz w:val="21"/>
                <w:szCs w:val="21"/>
                <w:highlight w:val="none"/>
              </w:rPr>
            </w:pPr>
            <w:r>
              <w:rPr>
                <w:rFonts w:hint="eastAsia" w:cs="Times New Roman"/>
                <w:b w:val="0"/>
                <w:bCs/>
                <w:color w:val="auto"/>
                <w:spacing w:val="-1"/>
                <w:sz w:val="21"/>
                <w:szCs w:val="21"/>
                <w:lang w:val="en-US" w:eastAsia="zh-CN"/>
              </w:rPr>
              <w:t>新建</w:t>
            </w:r>
          </w:p>
        </w:tc>
      </w:tr>
      <w:tr w14:paraId="7EFDD1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50" w:type="pct"/>
            <w:vMerge w:val="continue"/>
            <w:tcBorders>
              <w:tl2br w:val="nil"/>
              <w:tr2bl w:val="nil"/>
            </w:tcBorders>
            <w:vAlign w:val="center"/>
          </w:tcPr>
          <w:p w14:paraId="26C69C57">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z w:val="21"/>
                <w:szCs w:val="21"/>
              </w:rPr>
            </w:pPr>
          </w:p>
        </w:tc>
        <w:tc>
          <w:tcPr>
            <w:tcW w:w="325" w:type="pct"/>
            <w:vMerge w:val="continue"/>
            <w:tcBorders>
              <w:tl2br w:val="nil"/>
              <w:tr2bl w:val="nil"/>
            </w:tcBorders>
            <w:vAlign w:val="center"/>
          </w:tcPr>
          <w:p w14:paraId="31E48B10">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z w:val="21"/>
                <w:szCs w:val="21"/>
                <w:lang w:val="en-US" w:eastAsia="zh-CN"/>
              </w:rPr>
            </w:pPr>
          </w:p>
        </w:tc>
        <w:tc>
          <w:tcPr>
            <w:tcW w:w="562" w:type="pct"/>
            <w:vMerge w:val="continue"/>
            <w:tcBorders>
              <w:tl2br w:val="nil"/>
              <w:tr2bl w:val="nil"/>
            </w:tcBorders>
            <w:vAlign w:val="center"/>
          </w:tcPr>
          <w:p w14:paraId="6893B2A9">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pacing w:val="-1"/>
                <w:sz w:val="21"/>
                <w:szCs w:val="21"/>
                <w:highlight w:val="none"/>
              </w:rPr>
            </w:pPr>
          </w:p>
        </w:tc>
        <w:tc>
          <w:tcPr>
            <w:tcW w:w="3337" w:type="pct"/>
            <w:tcBorders>
              <w:tl2br w:val="nil"/>
              <w:tr2bl w:val="nil"/>
            </w:tcBorders>
            <w:vAlign w:val="center"/>
          </w:tcPr>
          <w:p w14:paraId="19767412">
            <w:pPr>
              <w:keepNext w:val="0"/>
              <w:keepLines w:val="0"/>
              <w:pageBreakBefore w:val="0"/>
              <w:widowControl w:val="0"/>
              <w:kinsoku/>
              <w:wordWrap/>
              <w:overflowPunct/>
              <w:topLinePunct w:val="0"/>
              <w:autoSpaceDE w:val="0"/>
              <w:autoSpaceDN w:val="0"/>
              <w:bidi w:val="0"/>
              <w:spacing w:line="240" w:lineRule="auto"/>
              <w:ind w:left="0" w:leftChars="0" w:right="0" w:rightChars="0"/>
              <w:rPr>
                <w:rFonts w:hint="default" w:ascii="Times New Roman" w:hAnsi="Times New Roman" w:eastAsia="宋体" w:cs="Times New Roman"/>
                <w:b w:val="0"/>
                <w:bCs/>
                <w:color w:val="auto"/>
                <w:spacing w:val="-1"/>
                <w:sz w:val="21"/>
                <w:szCs w:val="21"/>
                <w:highlight w:val="none"/>
              </w:rPr>
            </w:pPr>
            <w:r>
              <w:rPr>
                <w:rFonts w:hint="default" w:ascii="Times New Roman" w:hAnsi="Times New Roman" w:eastAsia="宋体" w:cs="Times New Roman"/>
                <w:b w:val="0"/>
                <w:bCs/>
                <w:color w:val="auto"/>
                <w:spacing w:val="-1"/>
                <w:sz w:val="21"/>
                <w:szCs w:val="21"/>
                <w:highlight w:val="none"/>
              </w:rPr>
              <w:t>雄英103井</w:t>
            </w:r>
            <w:r>
              <w:rPr>
                <w:rFonts w:hint="default" w:ascii="Times New Roman" w:hAnsi="Times New Roman" w:eastAsia="宋体" w:cs="Times New Roman"/>
                <w:b w:val="0"/>
                <w:bCs/>
                <w:color w:val="auto"/>
                <w:spacing w:val="-1"/>
                <w:sz w:val="21"/>
                <w:szCs w:val="21"/>
                <w:highlight w:val="none"/>
                <w:lang w:val="en-US" w:eastAsia="zh-CN"/>
              </w:rPr>
              <w:t>至雄探1试采点，长</w:t>
            </w:r>
            <w:r>
              <w:rPr>
                <w:rFonts w:hint="eastAsia" w:cs="Times New Roman"/>
                <w:b w:val="0"/>
                <w:bCs/>
                <w:color w:val="auto"/>
                <w:spacing w:val="-1"/>
                <w:sz w:val="21"/>
                <w:szCs w:val="21"/>
                <w:highlight w:val="none"/>
                <w:lang w:val="en-US" w:eastAsia="zh-CN"/>
              </w:rPr>
              <w:t>2.23</w:t>
            </w:r>
            <w:r>
              <w:rPr>
                <w:rFonts w:hint="default" w:ascii="Times New Roman" w:hAnsi="Times New Roman" w:eastAsia="宋体" w:cs="Times New Roman"/>
                <w:b w:val="0"/>
                <w:bCs/>
                <w:color w:val="auto"/>
                <w:spacing w:val="-1"/>
                <w:sz w:val="21"/>
                <w:szCs w:val="21"/>
                <w:highlight w:val="none"/>
                <w:lang w:val="en-US" w:eastAsia="zh-CN"/>
              </w:rPr>
              <w:t>km，DN</w:t>
            </w:r>
            <w:r>
              <w:rPr>
                <w:rFonts w:hint="eastAsia" w:cs="Times New Roman"/>
                <w:b w:val="0"/>
                <w:bCs/>
                <w:color w:val="auto"/>
                <w:spacing w:val="-1"/>
                <w:sz w:val="21"/>
                <w:szCs w:val="21"/>
                <w:highlight w:val="none"/>
                <w:lang w:val="en-US" w:eastAsia="zh-CN"/>
              </w:rPr>
              <w:t>80</w:t>
            </w:r>
            <w:r>
              <w:rPr>
                <w:rFonts w:hint="default" w:ascii="Times New Roman" w:hAnsi="Times New Roman" w:eastAsia="宋体" w:cs="Times New Roman"/>
                <w:b w:val="0"/>
                <w:bCs/>
                <w:color w:val="auto"/>
                <w:spacing w:val="-1"/>
                <w:sz w:val="21"/>
                <w:szCs w:val="21"/>
                <w:highlight w:val="none"/>
                <w:lang w:val="en-US" w:eastAsia="zh-CN"/>
              </w:rPr>
              <w:t>，</w:t>
            </w:r>
            <w:r>
              <w:rPr>
                <w:rFonts w:hint="eastAsia" w:cs="Times New Roman"/>
                <w:b w:val="0"/>
                <w:bCs/>
                <w:color w:val="auto"/>
                <w:spacing w:val="-1"/>
                <w:sz w:val="21"/>
                <w:szCs w:val="21"/>
                <w:highlight w:val="none"/>
                <w:lang w:val="en-US" w:eastAsia="zh-CN"/>
              </w:rPr>
              <w:t>玻璃钢管</w:t>
            </w:r>
          </w:p>
        </w:tc>
        <w:tc>
          <w:tcPr>
            <w:tcW w:w="524" w:type="pct"/>
            <w:tcBorders>
              <w:tl2br w:val="nil"/>
              <w:tr2bl w:val="nil"/>
            </w:tcBorders>
            <w:vAlign w:val="center"/>
          </w:tcPr>
          <w:p w14:paraId="2E85EC59">
            <w:pPr>
              <w:keepNext w:val="0"/>
              <w:keepLines w:val="0"/>
              <w:pageBreakBefore w:val="0"/>
              <w:widowControl w:val="0"/>
              <w:kinsoku/>
              <w:wordWrap/>
              <w:overflowPunct/>
              <w:topLinePunct w:val="0"/>
              <w:autoSpaceDE w:val="0"/>
              <w:autoSpaceDN w:val="0"/>
              <w:bidi w:val="0"/>
              <w:spacing w:line="240" w:lineRule="auto"/>
              <w:ind w:left="0" w:leftChars="0" w:right="0" w:rightChars="0"/>
              <w:rPr>
                <w:rFonts w:hint="default" w:ascii="Times New Roman" w:hAnsi="Times New Roman" w:eastAsia="宋体" w:cs="Times New Roman"/>
                <w:b w:val="0"/>
                <w:bCs/>
                <w:color w:val="auto"/>
                <w:spacing w:val="-1"/>
                <w:sz w:val="21"/>
                <w:szCs w:val="21"/>
                <w:highlight w:val="none"/>
              </w:rPr>
            </w:pPr>
            <w:r>
              <w:rPr>
                <w:rFonts w:hint="eastAsia" w:cs="Times New Roman"/>
                <w:b w:val="0"/>
                <w:bCs/>
                <w:color w:val="auto"/>
                <w:spacing w:val="-1"/>
                <w:sz w:val="21"/>
                <w:szCs w:val="21"/>
                <w:lang w:val="en-US" w:eastAsia="zh-CN"/>
              </w:rPr>
              <w:t>新建</w:t>
            </w:r>
          </w:p>
        </w:tc>
      </w:tr>
      <w:tr w14:paraId="62AE97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50" w:type="pct"/>
            <w:vMerge w:val="continue"/>
            <w:tcBorders>
              <w:tl2br w:val="nil"/>
              <w:tr2bl w:val="nil"/>
            </w:tcBorders>
            <w:vAlign w:val="center"/>
          </w:tcPr>
          <w:p w14:paraId="75DC48CF">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z w:val="21"/>
                <w:szCs w:val="21"/>
              </w:rPr>
            </w:pPr>
          </w:p>
        </w:tc>
        <w:tc>
          <w:tcPr>
            <w:tcW w:w="325" w:type="pct"/>
            <w:vMerge w:val="continue"/>
            <w:tcBorders>
              <w:tl2br w:val="nil"/>
              <w:tr2bl w:val="nil"/>
            </w:tcBorders>
            <w:vAlign w:val="center"/>
          </w:tcPr>
          <w:p w14:paraId="1840ED18">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z w:val="21"/>
                <w:szCs w:val="21"/>
                <w:lang w:val="en-US" w:eastAsia="zh-CN"/>
              </w:rPr>
            </w:pPr>
          </w:p>
        </w:tc>
        <w:tc>
          <w:tcPr>
            <w:tcW w:w="562" w:type="pct"/>
            <w:vMerge w:val="continue"/>
            <w:tcBorders>
              <w:tl2br w:val="nil"/>
              <w:tr2bl w:val="nil"/>
            </w:tcBorders>
            <w:vAlign w:val="center"/>
          </w:tcPr>
          <w:p w14:paraId="07263165">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pacing w:val="-1"/>
                <w:sz w:val="21"/>
                <w:szCs w:val="21"/>
                <w:highlight w:val="none"/>
              </w:rPr>
            </w:pPr>
          </w:p>
        </w:tc>
        <w:tc>
          <w:tcPr>
            <w:tcW w:w="3337" w:type="pct"/>
            <w:tcBorders>
              <w:tl2br w:val="nil"/>
              <w:tr2bl w:val="nil"/>
            </w:tcBorders>
            <w:vAlign w:val="center"/>
          </w:tcPr>
          <w:p w14:paraId="5D3A5333">
            <w:pPr>
              <w:keepNext w:val="0"/>
              <w:keepLines w:val="0"/>
              <w:pageBreakBefore w:val="0"/>
              <w:widowControl w:val="0"/>
              <w:kinsoku/>
              <w:wordWrap/>
              <w:overflowPunct/>
              <w:topLinePunct w:val="0"/>
              <w:autoSpaceDE w:val="0"/>
              <w:autoSpaceDN w:val="0"/>
              <w:bidi w:val="0"/>
              <w:spacing w:line="240" w:lineRule="auto"/>
              <w:ind w:left="0" w:leftChars="0" w:right="0" w:rightChars="0"/>
              <w:rPr>
                <w:rFonts w:hint="default" w:ascii="Times New Roman" w:hAnsi="Times New Roman" w:eastAsia="宋体" w:cs="Times New Roman"/>
                <w:b w:val="0"/>
                <w:bCs/>
                <w:color w:val="auto"/>
                <w:spacing w:val="-1"/>
                <w:sz w:val="21"/>
                <w:szCs w:val="21"/>
                <w:highlight w:val="none"/>
              </w:rPr>
            </w:pPr>
            <w:r>
              <w:rPr>
                <w:rFonts w:hint="default" w:ascii="Times New Roman" w:hAnsi="Times New Roman" w:eastAsia="宋体" w:cs="Times New Roman"/>
                <w:b w:val="0"/>
                <w:bCs/>
                <w:color w:val="auto"/>
                <w:spacing w:val="-1"/>
                <w:sz w:val="21"/>
                <w:szCs w:val="21"/>
                <w:highlight w:val="none"/>
              </w:rPr>
              <w:t>雄</w:t>
            </w:r>
            <w:r>
              <w:rPr>
                <w:rFonts w:hint="eastAsia" w:cs="Times New Roman"/>
                <w:b w:val="0"/>
                <w:bCs/>
                <w:color w:val="auto"/>
                <w:spacing w:val="-1"/>
                <w:sz w:val="21"/>
                <w:szCs w:val="21"/>
                <w:highlight w:val="none"/>
                <w:lang w:val="en-US" w:eastAsia="zh-CN"/>
              </w:rPr>
              <w:t>英3</w:t>
            </w:r>
            <w:r>
              <w:rPr>
                <w:rFonts w:hint="default" w:ascii="Times New Roman" w:hAnsi="Times New Roman" w:eastAsia="宋体" w:cs="Times New Roman"/>
                <w:b w:val="0"/>
                <w:bCs/>
                <w:color w:val="auto"/>
                <w:spacing w:val="-1"/>
                <w:sz w:val="21"/>
                <w:szCs w:val="21"/>
                <w:highlight w:val="none"/>
              </w:rPr>
              <w:t>井</w:t>
            </w:r>
            <w:r>
              <w:rPr>
                <w:rFonts w:hint="default" w:ascii="Times New Roman" w:hAnsi="Times New Roman" w:eastAsia="宋体" w:cs="Times New Roman"/>
                <w:b w:val="0"/>
                <w:bCs/>
                <w:color w:val="auto"/>
                <w:spacing w:val="-1"/>
                <w:sz w:val="21"/>
                <w:szCs w:val="21"/>
                <w:highlight w:val="none"/>
                <w:lang w:val="en-US" w:eastAsia="zh-CN"/>
              </w:rPr>
              <w:t>至雄探1试采点，长</w:t>
            </w:r>
            <w:r>
              <w:rPr>
                <w:rFonts w:hint="eastAsia" w:cs="Times New Roman"/>
                <w:b w:val="0"/>
                <w:bCs/>
                <w:color w:val="auto"/>
                <w:spacing w:val="-1"/>
                <w:sz w:val="21"/>
                <w:szCs w:val="21"/>
                <w:highlight w:val="none"/>
                <w:lang w:val="en-US" w:eastAsia="zh-CN"/>
              </w:rPr>
              <w:t>7.7</w:t>
            </w:r>
            <w:r>
              <w:rPr>
                <w:rFonts w:hint="default" w:ascii="Times New Roman" w:hAnsi="Times New Roman" w:eastAsia="宋体" w:cs="Times New Roman"/>
                <w:b w:val="0"/>
                <w:bCs/>
                <w:color w:val="auto"/>
                <w:spacing w:val="-1"/>
                <w:sz w:val="21"/>
                <w:szCs w:val="21"/>
                <w:highlight w:val="none"/>
                <w:lang w:val="en-US" w:eastAsia="zh-CN"/>
              </w:rPr>
              <w:t>km，DN</w:t>
            </w:r>
            <w:r>
              <w:rPr>
                <w:rFonts w:hint="eastAsia" w:cs="Times New Roman"/>
                <w:b w:val="0"/>
                <w:bCs/>
                <w:color w:val="auto"/>
                <w:spacing w:val="-1"/>
                <w:sz w:val="21"/>
                <w:szCs w:val="21"/>
                <w:highlight w:val="none"/>
                <w:lang w:val="en-US" w:eastAsia="zh-CN"/>
              </w:rPr>
              <w:t>80</w:t>
            </w:r>
            <w:r>
              <w:rPr>
                <w:rFonts w:hint="default" w:ascii="Times New Roman" w:hAnsi="Times New Roman" w:eastAsia="宋体" w:cs="Times New Roman"/>
                <w:b w:val="0"/>
                <w:bCs/>
                <w:color w:val="auto"/>
                <w:spacing w:val="-1"/>
                <w:sz w:val="21"/>
                <w:szCs w:val="21"/>
                <w:highlight w:val="none"/>
                <w:lang w:val="en-US" w:eastAsia="zh-CN"/>
              </w:rPr>
              <w:t>，</w:t>
            </w:r>
            <w:r>
              <w:rPr>
                <w:rFonts w:hint="eastAsia" w:cs="Times New Roman"/>
                <w:b w:val="0"/>
                <w:bCs/>
                <w:color w:val="auto"/>
                <w:spacing w:val="-1"/>
                <w:sz w:val="21"/>
                <w:szCs w:val="21"/>
                <w:highlight w:val="none"/>
                <w:lang w:val="en-US" w:eastAsia="zh-CN"/>
              </w:rPr>
              <w:t>玻璃钢管</w:t>
            </w:r>
          </w:p>
        </w:tc>
        <w:tc>
          <w:tcPr>
            <w:tcW w:w="524" w:type="pct"/>
            <w:tcBorders>
              <w:tl2br w:val="nil"/>
              <w:tr2bl w:val="nil"/>
            </w:tcBorders>
            <w:vAlign w:val="center"/>
          </w:tcPr>
          <w:p w14:paraId="4E6B4A27">
            <w:pPr>
              <w:keepNext w:val="0"/>
              <w:keepLines w:val="0"/>
              <w:pageBreakBefore w:val="0"/>
              <w:widowControl w:val="0"/>
              <w:kinsoku/>
              <w:wordWrap/>
              <w:overflowPunct/>
              <w:topLinePunct w:val="0"/>
              <w:autoSpaceDE w:val="0"/>
              <w:autoSpaceDN w:val="0"/>
              <w:bidi w:val="0"/>
              <w:spacing w:line="240" w:lineRule="auto"/>
              <w:ind w:left="0" w:leftChars="0" w:right="0" w:rightChars="0"/>
              <w:rPr>
                <w:rFonts w:hint="eastAsia" w:cs="Times New Roman"/>
                <w:b w:val="0"/>
                <w:bCs/>
                <w:color w:val="auto"/>
                <w:spacing w:val="-1"/>
                <w:sz w:val="21"/>
                <w:szCs w:val="21"/>
                <w:highlight w:val="none"/>
                <w:lang w:val="en-US" w:eastAsia="zh-CN"/>
              </w:rPr>
            </w:pPr>
            <w:r>
              <w:rPr>
                <w:rFonts w:hint="eastAsia" w:cs="Times New Roman"/>
                <w:b w:val="0"/>
                <w:bCs/>
                <w:color w:val="auto"/>
                <w:spacing w:val="-1"/>
                <w:sz w:val="21"/>
                <w:szCs w:val="21"/>
                <w:highlight w:val="none"/>
                <w:lang w:val="en-US" w:eastAsia="zh-CN"/>
              </w:rPr>
              <w:t>新建</w:t>
            </w:r>
          </w:p>
        </w:tc>
      </w:tr>
      <w:tr w14:paraId="70C597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50" w:type="pct"/>
            <w:vMerge w:val="continue"/>
            <w:tcBorders>
              <w:tl2br w:val="nil"/>
              <w:tr2bl w:val="nil"/>
            </w:tcBorders>
            <w:vAlign w:val="center"/>
          </w:tcPr>
          <w:p w14:paraId="0C33746D">
            <w:pPr>
              <w:keepNext w:val="0"/>
              <w:keepLines w:val="0"/>
              <w:pageBreakBefore w:val="0"/>
              <w:widowControl w:val="0"/>
              <w:kinsoku/>
              <w:wordWrap/>
              <w:overflowPunct/>
              <w:topLinePunct w:val="0"/>
              <w:autoSpaceDE w:val="0"/>
              <w:autoSpaceDN w:val="0"/>
              <w:bidi w:val="0"/>
              <w:spacing w:line="240" w:lineRule="auto"/>
              <w:ind w:left="0" w:leftChars="0" w:right="0" w:rightChars="0"/>
              <w:rPr>
                <w:rFonts w:hint="default" w:ascii="Times New Roman" w:hAnsi="Times New Roman" w:eastAsia="宋体" w:cs="Times New Roman"/>
                <w:b w:val="0"/>
                <w:bCs/>
                <w:color w:val="auto"/>
                <w:sz w:val="21"/>
                <w:szCs w:val="21"/>
              </w:rPr>
            </w:pPr>
          </w:p>
        </w:tc>
        <w:tc>
          <w:tcPr>
            <w:tcW w:w="888" w:type="pct"/>
            <w:gridSpan w:val="2"/>
            <w:tcBorders>
              <w:tl2br w:val="nil"/>
              <w:tr2bl w:val="nil"/>
            </w:tcBorders>
            <w:vAlign w:val="center"/>
          </w:tcPr>
          <w:p w14:paraId="46F1CD6D">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pacing w:val="-1"/>
                <w:sz w:val="21"/>
                <w:szCs w:val="21"/>
                <w:lang w:val="en-US" w:eastAsia="zh-CN"/>
              </w:rPr>
            </w:pPr>
            <w:r>
              <w:rPr>
                <w:rFonts w:hint="eastAsia" w:cs="Times New Roman"/>
                <w:b w:val="0"/>
                <w:bCs/>
                <w:color w:val="auto"/>
                <w:spacing w:val="-1"/>
                <w:sz w:val="21"/>
                <w:szCs w:val="21"/>
                <w:lang w:val="en-US" w:eastAsia="zh-CN"/>
              </w:rPr>
              <w:t>天然气外输</w:t>
            </w:r>
          </w:p>
        </w:tc>
        <w:tc>
          <w:tcPr>
            <w:tcW w:w="3337" w:type="pct"/>
            <w:tcBorders>
              <w:tl2br w:val="nil"/>
              <w:tr2bl w:val="nil"/>
            </w:tcBorders>
            <w:vAlign w:val="center"/>
          </w:tcPr>
          <w:p w14:paraId="58153F1A">
            <w:pPr>
              <w:keepNext w:val="0"/>
              <w:keepLines w:val="0"/>
              <w:pageBreakBefore w:val="0"/>
              <w:widowControl w:val="0"/>
              <w:kinsoku/>
              <w:wordWrap/>
              <w:overflowPunct/>
              <w:topLinePunct w:val="0"/>
              <w:autoSpaceDE w:val="0"/>
              <w:autoSpaceDN w:val="0"/>
              <w:bidi w:val="0"/>
              <w:spacing w:line="240" w:lineRule="auto"/>
              <w:ind w:left="0" w:leftChars="0" w:right="0" w:rightChars="0"/>
              <w:rPr>
                <w:rFonts w:hint="default" w:ascii="Times New Roman" w:hAnsi="Times New Roman" w:eastAsia="宋体" w:cs="Times New Roman"/>
                <w:b w:val="0"/>
                <w:bCs/>
                <w:color w:val="auto"/>
                <w:spacing w:val="-1"/>
                <w:sz w:val="21"/>
                <w:szCs w:val="21"/>
                <w:lang w:val="en-US" w:eastAsia="zh-CN"/>
              </w:rPr>
            </w:pPr>
            <w:r>
              <w:rPr>
                <w:rFonts w:hint="default" w:ascii="Times New Roman" w:hAnsi="Times New Roman" w:eastAsia="宋体" w:cs="Times New Roman"/>
                <w:b w:val="0"/>
                <w:bCs/>
                <w:color w:val="auto"/>
                <w:spacing w:val="-1"/>
                <w:sz w:val="21"/>
                <w:szCs w:val="21"/>
                <w:lang w:val="en-US" w:eastAsia="zh-CN"/>
              </w:rPr>
              <w:t>依托已建集气管道输至玉东2增压站</w:t>
            </w:r>
            <w:r>
              <w:rPr>
                <w:rFonts w:hint="eastAsia" w:cs="Times New Roman"/>
                <w:b w:val="0"/>
                <w:bCs/>
                <w:color w:val="auto"/>
                <w:spacing w:val="-1"/>
                <w:sz w:val="21"/>
                <w:szCs w:val="21"/>
                <w:lang w:val="en-US" w:eastAsia="zh-CN"/>
              </w:rPr>
              <w:t>，管线长度约24km</w:t>
            </w:r>
          </w:p>
        </w:tc>
        <w:tc>
          <w:tcPr>
            <w:tcW w:w="524" w:type="pct"/>
            <w:tcBorders>
              <w:tl2br w:val="nil"/>
              <w:tr2bl w:val="nil"/>
            </w:tcBorders>
            <w:vAlign w:val="center"/>
          </w:tcPr>
          <w:p w14:paraId="55EFB90D">
            <w:pPr>
              <w:keepNext w:val="0"/>
              <w:keepLines w:val="0"/>
              <w:pageBreakBefore w:val="0"/>
              <w:widowControl w:val="0"/>
              <w:kinsoku/>
              <w:wordWrap/>
              <w:overflowPunct/>
              <w:topLinePunct w:val="0"/>
              <w:autoSpaceDE w:val="0"/>
              <w:autoSpaceDN w:val="0"/>
              <w:bidi w:val="0"/>
              <w:spacing w:line="240" w:lineRule="auto"/>
              <w:ind w:left="0" w:leftChars="0" w:right="0" w:rightChars="0"/>
              <w:rPr>
                <w:rFonts w:hint="eastAsia" w:cs="Times New Roman"/>
                <w:b w:val="0"/>
                <w:bCs/>
                <w:color w:val="auto"/>
                <w:spacing w:val="-1"/>
                <w:sz w:val="21"/>
                <w:szCs w:val="21"/>
                <w:lang w:val="en-US" w:eastAsia="zh-CN"/>
              </w:rPr>
            </w:pPr>
            <w:r>
              <w:rPr>
                <w:rFonts w:hint="eastAsia" w:cs="Times New Roman"/>
                <w:b w:val="0"/>
                <w:bCs/>
                <w:color w:val="auto"/>
                <w:spacing w:val="-1"/>
                <w:sz w:val="21"/>
                <w:szCs w:val="21"/>
                <w:lang w:val="en-US" w:eastAsia="zh-CN"/>
              </w:rPr>
              <w:t>依托</w:t>
            </w:r>
          </w:p>
        </w:tc>
      </w:tr>
      <w:bookmarkEnd w:id="239"/>
      <w:bookmarkEnd w:id="240"/>
      <w:tr w14:paraId="1D86E2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50" w:type="pct"/>
            <w:vMerge w:val="continue"/>
            <w:tcBorders>
              <w:tl2br w:val="nil"/>
              <w:tr2bl w:val="nil"/>
            </w:tcBorders>
            <w:vAlign w:val="center"/>
          </w:tcPr>
          <w:p w14:paraId="6D725DED">
            <w:pPr>
              <w:keepNext w:val="0"/>
              <w:keepLines w:val="0"/>
              <w:pageBreakBefore w:val="0"/>
              <w:widowControl w:val="0"/>
              <w:kinsoku/>
              <w:wordWrap/>
              <w:overflowPunct/>
              <w:topLinePunct w:val="0"/>
              <w:autoSpaceDE w:val="0"/>
              <w:autoSpaceDN w:val="0"/>
              <w:bidi w:val="0"/>
              <w:spacing w:line="240" w:lineRule="auto"/>
              <w:ind w:left="0" w:leftChars="0" w:right="0" w:rightChars="0"/>
              <w:rPr>
                <w:rFonts w:hint="default" w:ascii="Times New Roman" w:hAnsi="Times New Roman" w:eastAsia="宋体" w:cs="Times New Roman"/>
                <w:b w:val="0"/>
                <w:bCs/>
                <w:color w:val="auto"/>
                <w:sz w:val="21"/>
                <w:szCs w:val="21"/>
              </w:rPr>
            </w:pPr>
          </w:p>
        </w:tc>
        <w:tc>
          <w:tcPr>
            <w:tcW w:w="888" w:type="pct"/>
            <w:gridSpan w:val="2"/>
            <w:tcBorders>
              <w:tl2br w:val="nil"/>
              <w:tr2bl w:val="nil"/>
            </w:tcBorders>
            <w:vAlign w:val="center"/>
          </w:tcPr>
          <w:p w14:paraId="1A127A68">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pacing w:val="-1"/>
                <w:sz w:val="21"/>
                <w:szCs w:val="21"/>
                <w:lang w:val="en-US" w:eastAsia="zh-CN"/>
              </w:rPr>
            </w:pPr>
            <w:r>
              <w:rPr>
                <w:rFonts w:hint="default" w:ascii="Times New Roman" w:hAnsi="Times New Roman" w:eastAsia="宋体" w:cs="Times New Roman"/>
                <w:b w:val="0"/>
                <w:bCs/>
                <w:color w:val="auto"/>
                <w:spacing w:val="-1"/>
                <w:sz w:val="21"/>
                <w:szCs w:val="21"/>
                <w:lang w:val="en-US" w:eastAsia="zh-CN"/>
              </w:rPr>
              <w:t>原油外输</w:t>
            </w:r>
          </w:p>
        </w:tc>
        <w:tc>
          <w:tcPr>
            <w:tcW w:w="3337" w:type="pct"/>
            <w:tcBorders>
              <w:tl2br w:val="nil"/>
              <w:tr2bl w:val="nil"/>
            </w:tcBorders>
            <w:vAlign w:val="center"/>
          </w:tcPr>
          <w:p w14:paraId="5E51779F">
            <w:pPr>
              <w:keepNext w:val="0"/>
              <w:keepLines w:val="0"/>
              <w:pageBreakBefore w:val="0"/>
              <w:widowControl w:val="0"/>
              <w:kinsoku/>
              <w:wordWrap/>
              <w:overflowPunct/>
              <w:topLinePunct w:val="0"/>
              <w:autoSpaceDE w:val="0"/>
              <w:autoSpaceDN w:val="0"/>
              <w:bidi w:val="0"/>
              <w:spacing w:line="240" w:lineRule="auto"/>
              <w:ind w:left="0" w:leftChars="0" w:right="0" w:rightChars="0"/>
              <w:rPr>
                <w:rFonts w:hint="default" w:ascii="Times New Roman" w:hAnsi="Times New Roman" w:eastAsia="宋体" w:cs="Times New Roman"/>
                <w:b w:val="0"/>
                <w:bCs/>
                <w:color w:val="auto"/>
                <w:spacing w:val="-1"/>
                <w:sz w:val="21"/>
                <w:szCs w:val="21"/>
                <w:lang w:val="en-US" w:eastAsia="zh-CN"/>
              </w:rPr>
            </w:pPr>
            <w:r>
              <w:rPr>
                <w:rFonts w:hint="default" w:ascii="Times New Roman" w:hAnsi="Times New Roman" w:eastAsia="宋体" w:cs="Times New Roman"/>
                <w:b w:val="0"/>
                <w:bCs/>
                <w:color w:val="auto"/>
                <w:spacing w:val="-1"/>
                <w:sz w:val="21"/>
                <w:szCs w:val="21"/>
                <w:lang w:val="en-US" w:eastAsia="zh-CN"/>
              </w:rPr>
              <w:t>原</w:t>
            </w:r>
            <w:r>
              <w:rPr>
                <w:rFonts w:hint="default" w:ascii="Times New Roman" w:hAnsi="Times New Roman" w:eastAsia="宋体" w:cs="Times New Roman"/>
                <w:b w:val="0"/>
                <w:bCs/>
                <w:color w:val="auto"/>
                <w:spacing w:val="-1"/>
                <w:sz w:val="21"/>
                <w:szCs w:val="21"/>
                <w:highlight w:val="none"/>
                <w:lang w:val="en-US" w:eastAsia="zh-CN"/>
              </w:rPr>
              <w:t>油闪蒸后采用罐</w:t>
            </w:r>
            <w:r>
              <w:rPr>
                <w:rFonts w:hint="default" w:ascii="Times New Roman" w:hAnsi="Times New Roman" w:eastAsia="宋体" w:cs="Times New Roman"/>
                <w:b w:val="0"/>
                <w:bCs/>
                <w:color w:val="auto"/>
                <w:spacing w:val="-1"/>
                <w:sz w:val="21"/>
                <w:szCs w:val="21"/>
                <w:lang w:val="en-US" w:eastAsia="zh-CN"/>
              </w:rPr>
              <w:t>车拉运至哈六联合站</w:t>
            </w:r>
          </w:p>
        </w:tc>
        <w:tc>
          <w:tcPr>
            <w:tcW w:w="524" w:type="pct"/>
            <w:tcBorders>
              <w:tl2br w:val="nil"/>
              <w:tr2bl w:val="nil"/>
            </w:tcBorders>
            <w:vAlign w:val="center"/>
          </w:tcPr>
          <w:p w14:paraId="4488BFBD">
            <w:pPr>
              <w:keepNext w:val="0"/>
              <w:keepLines w:val="0"/>
              <w:pageBreakBefore w:val="0"/>
              <w:widowControl w:val="0"/>
              <w:kinsoku/>
              <w:wordWrap/>
              <w:overflowPunct/>
              <w:topLinePunct w:val="0"/>
              <w:autoSpaceDE w:val="0"/>
              <w:autoSpaceDN w:val="0"/>
              <w:bidi w:val="0"/>
              <w:spacing w:line="240" w:lineRule="auto"/>
              <w:ind w:left="0" w:leftChars="0" w:right="0" w:rightChars="0"/>
              <w:rPr>
                <w:rFonts w:hint="default" w:ascii="Times New Roman" w:hAnsi="Times New Roman" w:eastAsia="宋体" w:cs="Times New Roman"/>
                <w:b w:val="0"/>
                <w:bCs/>
                <w:color w:val="auto"/>
                <w:spacing w:val="-1"/>
                <w:sz w:val="21"/>
                <w:szCs w:val="21"/>
                <w:lang w:val="en-US" w:eastAsia="zh-CN"/>
              </w:rPr>
            </w:pPr>
            <w:r>
              <w:rPr>
                <w:rFonts w:hint="eastAsia" w:cs="Times New Roman"/>
                <w:b w:val="0"/>
                <w:bCs/>
                <w:color w:val="auto"/>
                <w:spacing w:val="-1"/>
                <w:sz w:val="21"/>
                <w:szCs w:val="21"/>
                <w:lang w:val="en-US" w:eastAsia="zh-CN"/>
              </w:rPr>
              <w:t>依托</w:t>
            </w:r>
          </w:p>
        </w:tc>
      </w:tr>
      <w:tr w14:paraId="5DEF4F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50" w:type="pct"/>
            <w:vMerge w:val="restart"/>
            <w:tcBorders>
              <w:tl2br w:val="nil"/>
              <w:tr2bl w:val="nil"/>
            </w:tcBorders>
            <w:vAlign w:val="center"/>
          </w:tcPr>
          <w:p w14:paraId="3A5968C7">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公辅工程</w:t>
            </w:r>
          </w:p>
        </w:tc>
        <w:tc>
          <w:tcPr>
            <w:tcW w:w="888" w:type="pct"/>
            <w:gridSpan w:val="2"/>
            <w:tcBorders>
              <w:tl2br w:val="nil"/>
              <w:tr2bl w:val="nil"/>
            </w:tcBorders>
            <w:vAlign w:val="center"/>
          </w:tcPr>
          <w:p w14:paraId="2479D37E">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供电工程</w:t>
            </w:r>
          </w:p>
        </w:tc>
        <w:tc>
          <w:tcPr>
            <w:tcW w:w="3337" w:type="pct"/>
            <w:tcBorders>
              <w:tl2br w:val="nil"/>
              <w:tr2bl w:val="nil"/>
            </w:tcBorders>
            <w:vAlign w:val="center"/>
          </w:tcPr>
          <w:p w14:paraId="7CB0CACC">
            <w:pPr>
              <w:keepNext w:val="0"/>
              <w:keepLines w:val="0"/>
              <w:pageBreakBefore w:val="0"/>
              <w:widowControl w:val="0"/>
              <w:kinsoku/>
              <w:wordWrap/>
              <w:overflowPunct/>
              <w:topLinePunct w:val="0"/>
              <w:autoSpaceDE w:val="0"/>
              <w:autoSpaceDN w:val="0"/>
              <w:bidi w:val="0"/>
              <w:spacing w:line="240" w:lineRule="auto"/>
              <w:ind w:left="0" w:leftChars="0" w:right="0" w:rightChars="0"/>
              <w:jc w:val="left"/>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试采阶段推荐采用附近新派电网作为本工程的35kV电源。雄探1试采点电源引自雄探1井场现有S22-M-400/35 400kVA变压器1台，电源接入井场现有区电控信一体化橇内配电柜。由新派电网为新建井场生产用电新建35kV架空线路，采用架空线路引至井场附近。</w:t>
            </w:r>
          </w:p>
        </w:tc>
        <w:tc>
          <w:tcPr>
            <w:tcW w:w="524" w:type="pct"/>
            <w:tcBorders>
              <w:tl2br w:val="nil"/>
              <w:tr2bl w:val="nil"/>
            </w:tcBorders>
            <w:vAlign w:val="center"/>
          </w:tcPr>
          <w:p w14:paraId="71C986F8">
            <w:pPr>
              <w:keepNext w:val="0"/>
              <w:keepLines w:val="0"/>
              <w:pageBreakBefore w:val="0"/>
              <w:widowControl w:val="0"/>
              <w:kinsoku/>
              <w:wordWrap/>
              <w:overflowPunct/>
              <w:topLinePunct w:val="0"/>
              <w:autoSpaceDE w:val="0"/>
              <w:autoSpaceDN w:val="0"/>
              <w:bidi w:val="0"/>
              <w:spacing w:line="240" w:lineRule="auto"/>
              <w:ind w:left="0" w:leftChars="0" w:right="0" w:rightChars="0"/>
              <w:jc w:val="left"/>
              <w:rPr>
                <w:rFonts w:hint="default" w:ascii="Times New Roman" w:hAnsi="Times New Roman" w:eastAsia="宋体" w:cs="Times New Roman"/>
                <w:b w:val="0"/>
                <w:bCs/>
                <w:color w:val="auto"/>
                <w:sz w:val="21"/>
                <w:szCs w:val="21"/>
                <w:lang w:val="en-US" w:eastAsia="zh-CN"/>
              </w:rPr>
            </w:pPr>
          </w:p>
        </w:tc>
      </w:tr>
      <w:tr w14:paraId="041954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50" w:type="pct"/>
            <w:vMerge w:val="continue"/>
            <w:tcBorders>
              <w:tl2br w:val="nil"/>
              <w:tr2bl w:val="nil"/>
            </w:tcBorders>
            <w:vAlign w:val="center"/>
          </w:tcPr>
          <w:p w14:paraId="1A907C35">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z w:val="21"/>
                <w:szCs w:val="21"/>
                <w:lang w:val="en-US" w:eastAsia="zh-CN"/>
              </w:rPr>
            </w:pPr>
          </w:p>
        </w:tc>
        <w:tc>
          <w:tcPr>
            <w:tcW w:w="888" w:type="pct"/>
            <w:gridSpan w:val="2"/>
            <w:tcBorders>
              <w:tl2br w:val="nil"/>
              <w:tr2bl w:val="nil"/>
            </w:tcBorders>
            <w:vAlign w:val="center"/>
          </w:tcPr>
          <w:p w14:paraId="5CC2CF1F">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自控工程</w:t>
            </w:r>
          </w:p>
        </w:tc>
        <w:tc>
          <w:tcPr>
            <w:tcW w:w="3337" w:type="pct"/>
            <w:tcBorders>
              <w:tl2br w:val="nil"/>
              <w:tr2bl w:val="nil"/>
            </w:tcBorders>
            <w:vAlign w:val="center"/>
          </w:tcPr>
          <w:p w14:paraId="57B6EABC">
            <w:pPr>
              <w:keepNext w:val="0"/>
              <w:keepLines w:val="0"/>
              <w:pageBreakBefore w:val="0"/>
              <w:widowControl w:val="0"/>
              <w:kinsoku/>
              <w:wordWrap/>
              <w:overflowPunct/>
              <w:topLinePunct w:val="0"/>
              <w:autoSpaceDE w:val="0"/>
              <w:autoSpaceDN w:val="0"/>
              <w:bidi w:val="0"/>
              <w:spacing w:line="240" w:lineRule="auto"/>
              <w:ind w:left="0" w:leftChars="0" w:right="0" w:rightChars="0"/>
              <w:jc w:val="left"/>
              <w:rPr>
                <w:rFonts w:hint="default" w:ascii="Times New Roman" w:hAnsi="Times New Roman" w:eastAsia="宋体" w:cs="Times New Roman"/>
                <w:b w:val="0"/>
                <w:bCs/>
                <w:color w:val="auto"/>
                <w:sz w:val="21"/>
                <w:szCs w:val="21"/>
                <w:highlight w:val="none"/>
                <w:lang w:eastAsia="zh-CN"/>
              </w:rPr>
            </w:pPr>
            <w:r>
              <w:rPr>
                <w:rFonts w:hint="eastAsia"/>
                <w:color w:val="auto"/>
              </w:rPr>
              <w:t>试采点PLC控制系统数据通过新建无线网桥（通信专业设计）上传英买生产指挥中心站外SCADA系统进行远程监控，然后数据上传至英买采油气管理区A11系统进行监视、管理。</w:t>
            </w:r>
          </w:p>
        </w:tc>
        <w:tc>
          <w:tcPr>
            <w:tcW w:w="524" w:type="pct"/>
            <w:tcBorders>
              <w:tl2br w:val="nil"/>
              <w:tr2bl w:val="nil"/>
            </w:tcBorders>
            <w:vAlign w:val="center"/>
          </w:tcPr>
          <w:p w14:paraId="271AAE31">
            <w:pPr>
              <w:keepNext w:val="0"/>
              <w:keepLines w:val="0"/>
              <w:pageBreakBefore w:val="0"/>
              <w:widowControl w:val="0"/>
              <w:kinsoku/>
              <w:wordWrap/>
              <w:overflowPunct/>
              <w:topLinePunct w:val="0"/>
              <w:autoSpaceDE w:val="0"/>
              <w:autoSpaceDN w:val="0"/>
              <w:bidi w:val="0"/>
              <w:spacing w:line="240" w:lineRule="auto"/>
              <w:ind w:left="0" w:leftChars="0" w:right="0" w:rightChars="0"/>
              <w:jc w:val="left"/>
              <w:rPr>
                <w:rFonts w:hint="default" w:ascii="Times New Roman" w:hAnsi="Times New Roman" w:eastAsia="宋体" w:cs="Times New Roman"/>
                <w:b w:val="0"/>
                <w:bCs/>
                <w:color w:val="auto"/>
                <w:sz w:val="21"/>
                <w:szCs w:val="21"/>
              </w:rPr>
            </w:pPr>
          </w:p>
        </w:tc>
      </w:tr>
      <w:tr w14:paraId="2E7254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50" w:type="pct"/>
            <w:vMerge w:val="continue"/>
            <w:tcBorders>
              <w:tl2br w:val="nil"/>
              <w:tr2bl w:val="nil"/>
            </w:tcBorders>
            <w:vAlign w:val="center"/>
          </w:tcPr>
          <w:p w14:paraId="2EAF449D">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z w:val="21"/>
                <w:szCs w:val="21"/>
              </w:rPr>
            </w:pPr>
          </w:p>
        </w:tc>
        <w:tc>
          <w:tcPr>
            <w:tcW w:w="888" w:type="pct"/>
            <w:gridSpan w:val="2"/>
            <w:tcBorders>
              <w:tl2br w:val="nil"/>
              <w:tr2bl w:val="nil"/>
            </w:tcBorders>
            <w:vAlign w:val="center"/>
          </w:tcPr>
          <w:p w14:paraId="47F0AA91">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通信工程</w:t>
            </w:r>
          </w:p>
        </w:tc>
        <w:tc>
          <w:tcPr>
            <w:tcW w:w="3337" w:type="pct"/>
            <w:tcBorders>
              <w:tl2br w:val="nil"/>
              <w:tr2bl w:val="nil"/>
            </w:tcBorders>
            <w:vAlign w:val="center"/>
          </w:tcPr>
          <w:p w14:paraId="1246F7FB">
            <w:pPr>
              <w:keepNext w:val="0"/>
              <w:keepLines w:val="0"/>
              <w:pageBreakBefore w:val="0"/>
              <w:widowControl w:val="0"/>
              <w:kinsoku/>
              <w:wordWrap/>
              <w:overflowPunct/>
              <w:topLinePunct w:val="0"/>
              <w:autoSpaceDE w:val="0"/>
              <w:autoSpaceDN w:val="0"/>
              <w:bidi w:val="0"/>
              <w:spacing w:line="240" w:lineRule="auto"/>
              <w:ind w:left="0" w:leftChars="0" w:right="0" w:rightChars="0"/>
              <w:jc w:val="left"/>
              <w:rPr>
                <w:rFonts w:hint="eastAsia"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rPr>
              <w:t>在雄探1试采点附近新建35m单管塔1座，新建点对点无线网桥2对</w:t>
            </w:r>
            <w:r>
              <w:rPr>
                <w:rFonts w:hint="eastAsia"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生产数据和视频数据传输物理隔离</w:t>
            </w:r>
            <w:r>
              <w:rPr>
                <w:rFonts w:hint="eastAsia"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安装于两端铁塔上方并配备高增益外置天线，可将生产数据和视频数据上传至YT5集气站，通过YT5集气站已建传输链路将生产数据和视频数据上传至英买生产指挥中心</w:t>
            </w:r>
            <w:r>
              <w:rPr>
                <w:rFonts w:hint="eastAsia" w:cs="Times New Roman"/>
                <w:b w:val="0"/>
                <w:bCs/>
                <w:color w:val="auto"/>
                <w:sz w:val="21"/>
                <w:szCs w:val="21"/>
                <w:highlight w:val="none"/>
                <w:lang w:eastAsia="zh-CN"/>
              </w:rPr>
              <w:t>。</w:t>
            </w:r>
          </w:p>
        </w:tc>
        <w:tc>
          <w:tcPr>
            <w:tcW w:w="524" w:type="pct"/>
            <w:tcBorders>
              <w:tl2br w:val="nil"/>
              <w:tr2bl w:val="nil"/>
            </w:tcBorders>
            <w:vAlign w:val="center"/>
          </w:tcPr>
          <w:p w14:paraId="71C1C132">
            <w:pPr>
              <w:keepNext w:val="0"/>
              <w:keepLines w:val="0"/>
              <w:pageBreakBefore w:val="0"/>
              <w:widowControl w:val="0"/>
              <w:kinsoku/>
              <w:wordWrap/>
              <w:overflowPunct/>
              <w:topLinePunct w:val="0"/>
              <w:autoSpaceDE w:val="0"/>
              <w:autoSpaceDN w:val="0"/>
              <w:bidi w:val="0"/>
              <w:spacing w:line="240" w:lineRule="auto"/>
              <w:ind w:left="0" w:leftChars="0" w:right="0" w:rightChars="0"/>
              <w:jc w:val="left"/>
              <w:rPr>
                <w:rFonts w:hint="default" w:ascii="Times New Roman" w:hAnsi="Times New Roman" w:eastAsia="宋体" w:cs="Times New Roman"/>
                <w:b w:val="0"/>
                <w:bCs/>
                <w:color w:val="auto"/>
                <w:sz w:val="21"/>
                <w:szCs w:val="21"/>
              </w:rPr>
            </w:pPr>
          </w:p>
        </w:tc>
      </w:tr>
      <w:tr w14:paraId="42C668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50" w:type="pct"/>
            <w:vMerge w:val="continue"/>
            <w:tcBorders>
              <w:tl2br w:val="nil"/>
              <w:tr2bl w:val="nil"/>
            </w:tcBorders>
            <w:vAlign w:val="center"/>
          </w:tcPr>
          <w:p w14:paraId="066A1DC3">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z w:val="21"/>
                <w:szCs w:val="21"/>
              </w:rPr>
            </w:pPr>
          </w:p>
        </w:tc>
        <w:tc>
          <w:tcPr>
            <w:tcW w:w="888" w:type="pct"/>
            <w:gridSpan w:val="2"/>
            <w:tcBorders>
              <w:tl2br w:val="nil"/>
              <w:tr2bl w:val="nil"/>
            </w:tcBorders>
            <w:vAlign w:val="center"/>
          </w:tcPr>
          <w:p w14:paraId="007D70D1">
            <w:pPr>
              <w:pStyle w:val="5"/>
              <w:keepNext w:val="0"/>
              <w:keepLines w:val="0"/>
              <w:pageBreakBefore w:val="0"/>
              <w:widowControl w:val="0"/>
              <w:numPr>
                <w:ilvl w:val="3"/>
                <w:numId w:val="0"/>
              </w:numPr>
              <w:kinsoku/>
              <w:wordWrap/>
              <w:overflowPunct/>
              <w:topLinePunct w:val="0"/>
              <w:bidi w:val="0"/>
              <w:spacing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smallCaps w:val="0"/>
                <w:color w:val="auto"/>
                <w:kern w:val="2"/>
                <w:sz w:val="21"/>
                <w:szCs w:val="21"/>
                <w:highlight w:val="none"/>
                <w:lang w:val="en-US" w:eastAsia="zh-CN" w:bidi="ar-SA"/>
              </w:rPr>
              <w:t>消防工程</w:t>
            </w:r>
          </w:p>
        </w:tc>
        <w:tc>
          <w:tcPr>
            <w:tcW w:w="3337" w:type="pct"/>
            <w:tcBorders>
              <w:tl2br w:val="nil"/>
              <w:tr2bl w:val="nil"/>
            </w:tcBorders>
            <w:vAlign w:val="center"/>
          </w:tcPr>
          <w:p w14:paraId="04CA6919">
            <w:pPr>
              <w:keepNext w:val="0"/>
              <w:keepLines w:val="0"/>
              <w:pageBreakBefore w:val="0"/>
              <w:widowControl w:val="0"/>
              <w:kinsoku/>
              <w:wordWrap/>
              <w:overflowPunct/>
              <w:topLinePunct w:val="0"/>
              <w:autoSpaceDE w:val="0"/>
              <w:autoSpaceDN w:val="0"/>
              <w:bidi w:val="0"/>
              <w:spacing w:line="240" w:lineRule="auto"/>
              <w:ind w:left="0" w:leftChars="0" w:right="0" w:rightChars="0"/>
              <w:jc w:val="left"/>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本工程消防依托为英买处理站的消防站。英买生活公寓的消防车库内配有2台泡沫、水罐消防车，配置消防队员8人。</w:t>
            </w:r>
          </w:p>
        </w:tc>
        <w:tc>
          <w:tcPr>
            <w:tcW w:w="524" w:type="pct"/>
            <w:tcBorders>
              <w:tl2br w:val="nil"/>
              <w:tr2bl w:val="nil"/>
            </w:tcBorders>
            <w:vAlign w:val="center"/>
          </w:tcPr>
          <w:p w14:paraId="67774C07">
            <w:pPr>
              <w:keepNext w:val="0"/>
              <w:keepLines w:val="0"/>
              <w:pageBreakBefore w:val="0"/>
              <w:widowControl w:val="0"/>
              <w:kinsoku/>
              <w:wordWrap/>
              <w:overflowPunct/>
              <w:topLinePunct w:val="0"/>
              <w:autoSpaceDE w:val="0"/>
              <w:autoSpaceDN w:val="0"/>
              <w:bidi w:val="0"/>
              <w:spacing w:line="240" w:lineRule="auto"/>
              <w:ind w:left="0" w:leftChars="0" w:right="0" w:rightChars="0"/>
              <w:jc w:val="left"/>
              <w:rPr>
                <w:rFonts w:hint="default" w:ascii="Times New Roman" w:hAnsi="Times New Roman" w:eastAsia="宋体" w:cs="Times New Roman"/>
                <w:b w:val="0"/>
                <w:bCs/>
                <w:color w:val="auto"/>
                <w:sz w:val="21"/>
                <w:szCs w:val="21"/>
              </w:rPr>
            </w:pPr>
          </w:p>
        </w:tc>
      </w:tr>
      <w:tr w14:paraId="4C26B7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50" w:type="pct"/>
            <w:vMerge w:val="continue"/>
            <w:tcBorders>
              <w:tl2br w:val="nil"/>
              <w:tr2bl w:val="nil"/>
            </w:tcBorders>
            <w:vAlign w:val="center"/>
          </w:tcPr>
          <w:p w14:paraId="60D13886">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z w:val="21"/>
                <w:szCs w:val="21"/>
              </w:rPr>
            </w:pPr>
          </w:p>
        </w:tc>
        <w:tc>
          <w:tcPr>
            <w:tcW w:w="888" w:type="pct"/>
            <w:gridSpan w:val="2"/>
            <w:tcBorders>
              <w:tl2br w:val="nil"/>
              <w:tr2bl w:val="nil"/>
            </w:tcBorders>
            <w:vAlign w:val="center"/>
          </w:tcPr>
          <w:p w14:paraId="31D90AB2">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防腐保温</w:t>
            </w:r>
          </w:p>
        </w:tc>
        <w:tc>
          <w:tcPr>
            <w:tcW w:w="3337" w:type="pct"/>
            <w:tcBorders>
              <w:tl2br w:val="nil"/>
              <w:tr2bl w:val="nil"/>
            </w:tcBorders>
            <w:vAlign w:val="center"/>
          </w:tcPr>
          <w:p w14:paraId="04F2A7F7">
            <w:pPr>
              <w:keepNext w:val="0"/>
              <w:keepLines w:val="0"/>
              <w:pageBreakBefore w:val="0"/>
              <w:widowControl w:val="0"/>
              <w:kinsoku/>
              <w:wordWrap/>
              <w:overflowPunct/>
              <w:topLinePunct w:val="0"/>
              <w:autoSpaceDE w:val="0"/>
              <w:autoSpaceDN w:val="0"/>
              <w:bidi w:val="0"/>
              <w:adjustRightInd w:val="0"/>
              <w:spacing w:line="240" w:lineRule="auto"/>
              <w:ind w:left="0" w:leftChars="0" w:right="0" w:rightChars="0"/>
              <w:jc w:val="left"/>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本工程站内管道、设备根据其运行温度及是否保温采用性能优良的外防腐层、保温层；含有腐蚀性介质的非标设备内壁，根据设备运行工况采用防腐层+牺牲阳极的联合保护方案。</w:t>
            </w:r>
          </w:p>
        </w:tc>
        <w:tc>
          <w:tcPr>
            <w:tcW w:w="524" w:type="pct"/>
            <w:tcBorders>
              <w:tl2br w:val="nil"/>
              <w:tr2bl w:val="nil"/>
            </w:tcBorders>
            <w:vAlign w:val="center"/>
          </w:tcPr>
          <w:p w14:paraId="678761C0">
            <w:pPr>
              <w:keepNext w:val="0"/>
              <w:keepLines w:val="0"/>
              <w:pageBreakBefore w:val="0"/>
              <w:widowControl w:val="0"/>
              <w:kinsoku/>
              <w:wordWrap/>
              <w:overflowPunct/>
              <w:topLinePunct w:val="0"/>
              <w:autoSpaceDE w:val="0"/>
              <w:autoSpaceDN w:val="0"/>
              <w:bidi w:val="0"/>
              <w:adjustRightInd w:val="0"/>
              <w:spacing w:line="240" w:lineRule="auto"/>
              <w:ind w:left="0" w:leftChars="0" w:right="0" w:rightChars="0"/>
              <w:jc w:val="left"/>
              <w:rPr>
                <w:rFonts w:hint="default" w:ascii="Times New Roman" w:hAnsi="Times New Roman" w:eastAsia="宋体" w:cs="Times New Roman"/>
                <w:b w:val="0"/>
                <w:bCs/>
                <w:color w:val="auto"/>
                <w:sz w:val="21"/>
                <w:szCs w:val="21"/>
              </w:rPr>
            </w:pPr>
          </w:p>
        </w:tc>
      </w:tr>
      <w:tr w14:paraId="4558B1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50" w:type="pct"/>
            <w:vMerge w:val="restart"/>
            <w:tcBorders>
              <w:tl2br w:val="nil"/>
              <w:tr2bl w:val="nil"/>
            </w:tcBorders>
            <w:vAlign w:val="center"/>
          </w:tcPr>
          <w:p w14:paraId="460EAFC2">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z w:val="21"/>
                <w:szCs w:val="21"/>
              </w:rPr>
            </w:pPr>
          </w:p>
          <w:p w14:paraId="09979B35">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z w:val="21"/>
                <w:szCs w:val="21"/>
              </w:rPr>
            </w:pPr>
          </w:p>
          <w:p w14:paraId="0A4E7E4C">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z w:val="21"/>
                <w:szCs w:val="21"/>
              </w:rPr>
            </w:pPr>
          </w:p>
          <w:p w14:paraId="48FA39C8">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z w:val="21"/>
                <w:szCs w:val="21"/>
              </w:rPr>
            </w:pPr>
          </w:p>
          <w:p w14:paraId="0D5FF0AE">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z w:val="21"/>
                <w:szCs w:val="21"/>
              </w:rPr>
            </w:pPr>
          </w:p>
          <w:p w14:paraId="0FA9E062">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z w:val="21"/>
                <w:szCs w:val="21"/>
              </w:rPr>
            </w:pPr>
          </w:p>
          <w:p w14:paraId="3B5C9250">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z w:val="21"/>
                <w:szCs w:val="21"/>
              </w:rPr>
            </w:pPr>
          </w:p>
          <w:p w14:paraId="6D1E8E42">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z w:val="21"/>
                <w:szCs w:val="21"/>
              </w:rPr>
            </w:pPr>
          </w:p>
          <w:p w14:paraId="1AE8D8FA">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z w:val="21"/>
                <w:szCs w:val="21"/>
              </w:rPr>
            </w:pPr>
          </w:p>
          <w:p w14:paraId="764A4940">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z w:val="21"/>
                <w:szCs w:val="21"/>
              </w:rPr>
            </w:pPr>
          </w:p>
          <w:p w14:paraId="141B76AB">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环保工程</w:t>
            </w:r>
          </w:p>
        </w:tc>
        <w:tc>
          <w:tcPr>
            <w:tcW w:w="888" w:type="pct"/>
            <w:gridSpan w:val="2"/>
            <w:tcBorders>
              <w:tl2br w:val="nil"/>
              <w:tr2bl w:val="nil"/>
            </w:tcBorders>
            <w:vAlign w:val="center"/>
          </w:tcPr>
          <w:p w14:paraId="7E919BD7">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废</w:t>
            </w:r>
            <w:r>
              <w:rPr>
                <w:rFonts w:hint="default" w:ascii="Times New Roman" w:hAnsi="Times New Roman" w:eastAsia="宋体" w:cs="Times New Roman"/>
                <w:b w:val="0"/>
                <w:bCs/>
                <w:color w:val="auto"/>
                <w:sz w:val="21"/>
                <w:szCs w:val="21"/>
                <w:highlight w:val="none"/>
                <w:lang w:val="en-US" w:eastAsia="zh-CN"/>
              </w:rPr>
              <w:t xml:space="preserve">   </w:t>
            </w:r>
            <w:r>
              <w:rPr>
                <w:rFonts w:hint="default" w:ascii="Times New Roman" w:hAnsi="Times New Roman" w:eastAsia="宋体" w:cs="Times New Roman"/>
                <w:b w:val="0"/>
                <w:bCs/>
                <w:color w:val="auto"/>
                <w:sz w:val="21"/>
                <w:szCs w:val="21"/>
                <w:highlight w:val="none"/>
              </w:rPr>
              <w:t>气</w:t>
            </w:r>
          </w:p>
        </w:tc>
        <w:tc>
          <w:tcPr>
            <w:tcW w:w="3337" w:type="pct"/>
            <w:tcBorders>
              <w:tl2br w:val="nil"/>
              <w:tr2bl w:val="nil"/>
            </w:tcBorders>
            <w:vAlign w:val="center"/>
          </w:tcPr>
          <w:p w14:paraId="2FB99A85">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jc w:val="left"/>
              <w:textAlignment w:val="auto"/>
              <w:rPr>
                <w:rFonts w:hint="default" w:ascii="Times New Roman" w:hAnsi="Times New Roman" w:eastAsia="宋体" w:cs="Times New Roman"/>
                <w:b w:val="0"/>
                <w:bCs/>
                <w:color w:val="auto"/>
                <w:spacing w:val="0"/>
                <w:sz w:val="21"/>
                <w:szCs w:val="21"/>
                <w:highlight w:val="none"/>
                <w:lang w:eastAsia="zh-CN"/>
              </w:rPr>
            </w:pPr>
            <w:r>
              <w:rPr>
                <w:rFonts w:hint="default" w:ascii="Times New Roman" w:hAnsi="Times New Roman" w:eastAsia="宋体" w:cs="Times New Roman"/>
                <w:b w:val="0"/>
                <w:bCs/>
                <w:color w:val="auto"/>
                <w:spacing w:val="0"/>
                <w:sz w:val="21"/>
                <w:szCs w:val="21"/>
                <w:highlight w:val="none"/>
              </w:rPr>
              <w:t>施工期废气</w:t>
            </w:r>
            <w:r>
              <w:rPr>
                <w:rFonts w:hint="default" w:ascii="Times New Roman" w:hAnsi="Times New Roman" w:eastAsia="宋体" w:cs="Times New Roman"/>
                <w:b w:val="0"/>
                <w:bCs/>
                <w:color w:val="auto"/>
                <w:spacing w:val="0"/>
                <w:sz w:val="21"/>
                <w:szCs w:val="21"/>
                <w:highlight w:val="none"/>
                <w:lang w:eastAsia="zh-CN"/>
              </w:rPr>
              <w:t>：</w:t>
            </w:r>
            <w:r>
              <w:rPr>
                <w:rFonts w:hint="default" w:ascii="Times New Roman" w:hAnsi="Times New Roman" w:eastAsia="宋体" w:cs="Times New Roman"/>
                <w:b w:val="0"/>
                <w:bCs/>
                <w:color w:val="auto"/>
                <w:spacing w:val="0"/>
                <w:sz w:val="21"/>
                <w:szCs w:val="21"/>
                <w:highlight w:val="none"/>
              </w:rPr>
              <w:t>施工扬尘、作业机械废气、车辆尾气排放；采取进出车辆减速慢行、物料苫盖、使用国家合格燃料等措施</w:t>
            </w:r>
            <w:r>
              <w:rPr>
                <w:rFonts w:hint="default" w:ascii="Times New Roman" w:hAnsi="Times New Roman" w:eastAsia="宋体" w:cs="Times New Roman"/>
                <w:b w:val="0"/>
                <w:bCs/>
                <w:color w:val="auto"/>
                <w:spacing w:val="0"/>
                <w:sz w:val="21"/>
                <w:szCs w:val="21"/>
                <w:highlight w:val="none"/>
                <w:lang w:eastAsia="zh-CN"/>
              </w:rPr>
              <w:t>。</w:t>
            </w:r>
          </w:p>
          <w:p w14:paraId="1AB6403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left"/>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pacing w:val="0"/>
                <w:sz w:val="21"/>
                <w:szCs w:val="21"/>
                <w:highlight w:val="none"/>
                <w:lang w:val="en-US" w:eastAsia="zh-CN"/>
              </w:rPr>
              <w:t>运营期</w:t>
            </w:r>
            <w:r>
              <w:rPr>
                <w:rFonts w:hint="default" w:ascii="Times New Roman" w:hAnsi="Times New Roman" w:eastAsia="宋体" w:cs="Times New Roman"/>
                <w:b w:val="0"/>
                <w:bCs/>
                <w:color w:val="auto"/>
                <w:spacing w:val="0"/>
                <w:sz w:val="21"/>
                <w:szCs w:val="21"/>
                <w:highlight w:val="none"/>
              </w:rPr>
              <w:t>：</w:t>
            </w:r>
            <w:r>
              <w:rPr>
                <w:rFonts w:hint="eastAsia" w:cs="Times New Roman"/>
                <w:b w:val="0"/>
                <w:bCs/>
                <w:color w:val="auto"/>
                <w:spacing w:val="0"/>
                <w:sz w:val="21"/>
                <w:szCs w:val="21"/>
                <w:highlight w:val="none"/>
                <w:lang w:val="en-US" w:eastAsia="zh-CN"/>
              </w:rPr>
              <w:t>井场加热炉燃烧废气，采用高效的燃烧设施，由8m排气筒排放；</w:t>
            </w:r>
            <w:r>
              <w:rPr>
                <w:rFonts w:hint="default" w:ascii="Times New Roman" w:hAnsi="Times New Roman" w:eastAsia="宋体" w:cs="Times New Roman"/>
                <w:b w:val="0"/>
                <w:bCs/>
                <w:color w:val="auto"/>
                <w:spacing w:val="0"/>
                <w:sz w:val="21"/>
                <w:szCs w:val="21"/>
                <w:highlight w:val="none"/>
              </w:rPr>
              <w:t>油气集输过程中产生一定量的烃类、天然气火炬放空</w:t>
            </w:r>
            <w:r>
              <w:rPr>
                <w:rFonts w:hint="default" w:ascii="Times New Roman" w:hAnsi="Times New Roman" w:eastAsia="宋体" w:cs="Times New Roman"/>
                <w:b w:val="0"/>
                <w:bCs/>
                <w:color w:val="auto"/>
                <w:spacing w:val="0"/>
                <w:sz w:val="21"/>
                <w:szCs w:val="21"/>
                <w:highlight w:val="none"/>
                <w:lang w:val="en-US" w:eastAsia="zh-CN"/>
              </w:rPr>
              <w:t>无组织烃类排放；天然气采用密闭流程，原油采用装车拉运，装车过程采用气相平衡，可减少烃类气体排放，减少对大气的污染。</w:t>
            </w:r>
          </w:p>
        </w:tc>
        <w:tc>
          <w:tcPr>
            <w:tcW w:w="524" w:type="pct"/>
            <w:tcBorders>
              <w:tl2br w:val="nil"/>
              <w:tr2bl w:val="nil"/>
            </w:tcBorders>
            <w:vAlign w:val="center"/>
          </w:tcPr>
          <w:p w14:paraId="192F44B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left"/>
              <w:rPr>
                <w:rFonts w:hint="default" w:ascii="Times New Roman" w:hAnsi="Times New Roman" w:eastAsia="宋体" w:cs="Times New Roman"/>
                <w:b w:val="0"/>
                <w:bCs/>
                <w:color w:val="auto"/>
                <w:spacing w:val="0"/>
                <w:sz w:val="21"/>
                <w:szCs w:val="21"/>
                <w:highlight w:val="none"/>
                <w:lang w:val="en-US" w:eastAsia="zh-CN"/>
              </w:rPr>
            </w:pPr>
          </w:p>
        </w:tc>
      </w:tr>
      <w:tr w14:paraId="13BABC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50" w:type="pct"/>
            <w:vMerge w:val="continue"/>
            <w:tcBorders>
              <w:tl2br w:val="nil"/>
              <w:tr2bl w:val="nil"/>
            </w:tcBorders>
            <w:vAlign w:val="center"/>
          </w:tcPr>
          <w:p w14:paraId="1DD02C67">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z w:val="21"/>
                <w:szCs w:val="21"/>
              </w:rPr>
            </w:pPr>
          </w:p>
        </w:tc>
        <w:tc>
          <w:tcPr>
            <w:tcW w:w="888" w:type="pct"/>
            <w:gridSpan w:val="2"/>
            <w:tcBorders>
              <w:tl2br w:val="nil"/>
              <w:tr2bl w:val="nil"/>
            </w:tcBorders>
            <w:vAlign w:val="center"/>
          </w:tcPr>
          <w:p w14:paraId="032877DD">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废</w:t>
            </w:r>
            <w:r>
              <w:rPr>
                <w:rFonts w:hint="default" w:ascii="Times New Roman" w:hAnsi="Times New Roman" w:eastAsia="宋体" w:cs="Times New Roman"/>
                <w:b w:val="0"/>
                <w:bCs/>
                <w:color w:val="auto"/>
                <w:sz w:val="21"/>
                <w:szCs w:val="21"/>
                <w:highlight w:val="none"/>
                <w:lang w:val="en-US" w:eastAsia="zh-CN"/>
              </w:rPr>
              <w:t xml:space="preserve">   </w:t>
            </w:r>
            <w:r>
              <w:rPr>
                <w:rFonts w:hint="default" w:ascii="Times New Roman" w:hAnsi="Times New Roman" w:eastAsia="宋体" w:cs="Times New Roman"/>
                <w:b w:val="0"/>
                <w:bCs/>
                <w:color w:val="auto"/>
                <w:sz w:val="21"/>
                <w:szCs w:val="21"/>
                <w:highlight w:val="none"/>
              </w:rPr>
              <w:t>水</w:t>
            </w:r>
          </w:p>
        </w:tc>
        <w:tc>
          <w:tcPr>
            <w:tcW w:w="3337" w:type="pct"/>
            <w:tcBorders>
              <w:tl2br w:val="nil"/>
              <w:tr2bl w:val="nil"/>
            </w:tcBorders>
            <w:vAlign w:val="center"/>
          </w:tcPr>
          <w:p w14:paraId="04834431">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jc w:val="left"/>
              <w:textAlignment w:val="auto"/>
              <w:rPr>
                <w:rFonts w:hint="default" w:ascii="Times New Roman" w:hAnsi="Times New Roman" w:eastAsia="宋体" w:cs="Times New Roman"/>
                <w:b w:val="0"/>
                <w:bCs/>
                <w:color w:val="auto"/>
                <w:spacing w:val="0"/>
                <w:sz w:val="21"/>
                <w:szCs w:val="21"/>
                <w:highlight w:val="none"/>
              </w:rPr>
            </w:pPr>
            <w:r>
              <w:rPr>
                <w:rFonts w:hint="default" w:ascii="Times New Roman" w:hAnsi="Times New Roman" w:eastAsia="宋体" w:cs="Times New Roman"/>
                <w:b w:val="0"/>
                <w:bCs/>
                <w:color w:val="auto"/>
                <w:spacing w:val="0"/>
                <w:sz w:val="21"/>
                <w:szCs w:val="21"/>
                <w:highlight w:val="none"/>
              </w:rPr>
              <w:t>施工期废水</w:t>
            </w:r>
            <w:r>
              <w:rPr>
                <w:rFonts w:hint="default" w:ascii="Times New Roman" w:hAnsi="Times New Roman" w:eastAsia="宋体" w:cs="Times New Roman"/>
                <w:b w:val="0"/>
                <w:bCs/>
                <w:color w:val="auto"/>
                <w:spacing w:val="0"/>
                <w:sz w:val="21"/>
                <w:szCs w:val="21"/>
                <w:highlight w:val="none"/>
                <w:lang w:eastAsia="zh-CN"/>
              </w:rPr>
              <w:t>：</w:t>
            </w:r>
            <w:r>
              <w:rPr>
                <w:rFonts w:hint="default" w:ascii="Times New Roman" w:hAnsi="Times New Roman" w:eastAsia="宋体" w:cs="Times New Roman"/>
                <w:b w:val="0"/>
                <w:bCs/>
                <w:color w:val="auto"/>
                <w:spacing w:val="0"/>
                <w:sz w:val="21"/>
                <w:szCs w:val="21"/>
                <w:highlight w:val="none"/>
              </w:rPr>
              <w:t>管线试压废水及生活污水。管线试压废水属于清净废水，试压完成后用于降尘；施工期不设置施工营地</w:t>
            </w:r>
            <w:r>
              <w:rPr>
                <w:rFonts w:hint="eastAsia" w:cs="Times New Roman"/>
                <w:b w:val="0"/>
                <w:bCs/>
                <w:color w:val="auto"/>
                <w:spacing w:val="0"/>
                <w:sz w:val="21"/>
                <w:szCs w:val="21"/>
                <w:highlight w:val="none"/>
                <w:lang w:eastAsia="zh-CN"/>
              </w:rPr>
              <w:t>，</w:t>
            </w:r>
            <w:r>
              <w:rPr>
                <w:rFonts w:hint="default" w:ascii="Times New Roman" w:hAnsi="Times New Roman" w:eastAsia="宋体" w:cs="Times New Roman"/>
                <w:b w:val="0"/>
                <w:bCs/>
                <w:color w:val="auto"/>
                <w:spacing w:val="0"/>
                <w:sz w:val="21"/>
                <w:szCs w:val="21"/>
                <w:highlight w:val="none"/>
              </w:rPr>
              <w:t>少量生活污水依托雄探1试采点。</w:t>
            </w:r>
          </w:p>
          <w:p w14:paraId="348B82F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left"/>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pacing w:val="0"/>
                <w:sz w:val="21"/>
                <w:szCs w:val="21"/>
                <w:highlight w:val="none"/>
                <w:lang w:val="en-US" w:eastAsia="zh-CN"/>
              </w:rPr>
              <w:t>运营期</w:t>
            </w:r>
            <w:r>
              <w:rPr>
                <w:rFonts w:hint="default" w:ascii="Times New Roman" w:hAnsi="Times New Roman" w:eastAsia="宋体" w:cs="Times New Roman"/>
                <w:b w:val="0"/>
                <w:bCs/>
                <w:color w:val="auto"/>
                <w:spacing w:val="0"/>
                <w:sz w:val="21"/>
                <w:szCs w:val="21"/>
                <w:highlight w:val="none"/>
              </w:rPr>
              <w:t>：</w:t>
            </w:r>
            <w:r>
              <w:rPr>
                <w:rFonts w:hint="default" w:ascii="Times New Roman" w:hAnsi="Times New Roman" w:eastAsia="宋体" w:cs="Times New Roman"/>
                <w:b w:val="0"/>
                <w:bCs/>
                <w:color w:val="auto"/>
                <w:spacing w:val="0"/>
                <w:kern w:val="2"/>
                <w:sz w:val="21"/>
                <w:szCs w:val="21"/>
                <w:highlight w:val="none"/>
                <w:lang w:val="en-US" w:eastAsia="zh-CN" w:bidi="ar-SA"/>
              </w:rPr>
              <w:t>生活污水、井下作业废水。井下作业废水自带回收罐回收作业废水，拉运至英买力油田钻试修废弃物环保处理站处理。生活污水暂存于生活污水池，定期由罐车拉运至英买力作业区生活污水处理装置处置。</w:t>
            </w:r>
          </w:p>
        </w:tc>
        <w:tc>
          <w:tcPr>
            <w:tcW w:w="524" w:type="pct"/>
            <w:tcBorders>
              <w:tl2br w:val="nil"/>
              <w:tr2bl w:val="nil"/>
            </w:tcBorders>
            <w:vAlign w:val="center"/>
          </w:tcPr>
          <w:p w14:paraId="7B8B769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left"/>
              <w:textAlignment w:val="auto"/>
              <w:rPr>
                <w:rFonts w:hint="default" w:ascii="Times New Roman" w:hAnsi="Times New Roman" w:eastAsia="宋体" w:cs="Times New Roman"/>
                <w:b w:val="0"/>
                <w:bCs/>
                <w:color w:val="auto"/>
                <w:spacing w:val="0"/>
                <w:sz w:val="21"/>
                <w:szCs w:val="21"/>
                <w:highlight w:val="none"/>
                <w:lang w:val="en-US" w:eastAsia="zh-CN"/>
              </w:rPr>
            </w:pPr>
          </w:p>
        </w:tc>
      </w:tr>
      <w:tr w14:paraId="331392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50" w:type="pct"/>
            <w:vMerge w:val="continue"/>
            <w:tcBorders>
              <w:tl2br w:val="nil"/>
              <w:tr2bl w:val="nil"/>
            </w:tcBorders>
            <w:vAlign w:val="center"/>
          </w:tcPr>
          <w:p w14:paraId="42DE2DA8">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z w:val="21"/>
                <w:szCs w:val="21"/>
              </w:rPr>
            </w:pPr>
          </w:p>
        </w:tc>
        <w:tc>
          <w:tcPr>
            <w:tcW w:w="888" w:type="pct"/>
            <w:gridSpan w:val="2"/>
            <w:tcBorders>
              <w:tl2br w:val="nil"/>
              <w:tr2bl w:val="nil"/>
            </w:tcBorders>
            <w:vAlign w:val="center"/>
          </w:tcPr>
          <w:p w14:paraId="165794F3">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pacing w:val="0"/>
                <w:sz w:val="21"/>
                <w:szCs w:val="21"/>
                <w:highlight w:val="none"/>
                <w:lang w:val="en-US" w:eastAsia="zh-CN"/>
              </w:rPr>
              <w:t>噪   声</w:t>
            </w:r>
          </w:p>
        </w:tc>
        <w:tc>
          <w:tcPr>
            <w:tcW w:w="3337" w:type="pct"/>
            <w:tcBorders>
              <w:tl2br w:val="nil"/>
              <w:tr2bl w:val="nil"/>
            </w:tcBorders>
            <w:vAlign w:val="center"/>
          </w:tcPr>
          <w:p w14:paraId="7C61AC9C">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jc w:val="left"/>
              <w:textAlignment w:val="auto"/>
              <w:rPr>
                <w:rFonts w:hint="default" w:ascii="Times New Roman" w:hAnsi="Times New Roman" w:eastAsia="宋体" w:cs="Times New Roman"/>
                <w:b w:val="0"/>
                <w:bCs/>
                <w:color w:val="auto"/>
                <w:spacing w:val="0"/>
                <w:sz w:val="21"/>
                <w:szCs w:val="21"/>
                <w:highlight w:val="none"/>
              </w:rPr>
            </w:pPr>
            <w:r>
              <w:rPr>
                <w:rFonts w:hint="default" w:ascii="Times New Roman" w:hAnsi="Times New Roman" w:eastAsia="宋体" w:cs="Times New Roman"/>
                <w:b w:val="0"/>
                <w:bCs/>
                <w:color w:val="auto"/>
                <w:spacing w:val="0"/>
                <w:sz w:val="21"/>
                <w:szCs w:val="21"/>
                <w:highlight w:val="none"/>
                <w:lang w:val="en-US" w:eastAsia="zh-CN" w:bidi="ar-SA"/>
              </w:rPr>
              <w:t>施工期：选用低噪声设备，安装基础减振垫，场区四周设围挡，合理安排作业时间。</w:t>
            </w:r>
          </w:p>
          <w:p w14:paraId="54014978">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jc w:val="left"/>
              <w:textAlignment w:val="auto"/>
              <w:rPr>
                <w:rFonts w:hint="default" w:ascii="Times New Roman" w:hAnsi="Times New Roman" w:eastAsia="宋体" w:cs="Times New Roman"/>
                <w:b w:val="0"/>
                <w:bCs/>
                <w:color w:val="auto"/>
                <w:spacing w:val="0"/>
                <w:sz w:val="21"/>
                <w:szCs w:val="21"/>
                <w:highlight w:val="none"/>
                <w:lang w:val="en-US" w:eastAsia="zh-CN"/>
              </w:rPr>
            </w:pPr>
            <w:r>
              <w:rPr>
                <w:rFonts w:hint="default" w:ascii="Times New Roman" w:hAnsi="Times New Roman" w:eastAsia="宋体" w:cs="Times New Roman"/>
                <w:b w:val="0"/>
                <w:bCs/>
                <w:color w:val="auto"/>
                <w:spacing w:val="0"/>
                <w:kern w:val="2"/>
                <w:sz w:val="21"/>
                <w:szCs w:val="21"/>
                <w:highlight w:val="none"/>
                <w:lang w:val="en-US" w:eastAsia="zh-CN" w:bidi="ar-SA"/>
              </w:rPr>
              <w:t>运营期：</w:t>
            </w:r>
            <w:r>
              <w:rPr>
                <w:rFonts w:hint="default" w:ascii="Times New Roman" w:hAnsi="Times New Roman" w:eastAsia="宋体" w:cs="Times New Roman"/>
                <w:b w:val="0"/>
                <w:bCs/>
                <w:color w:val="auto"/>
                <w:spacing w:val="0"/>
                <w:sz w:val="21"/>
                <w:szCs w:val="21"/>
                <w:highlight w:val="none"/>
                <w:lang w:val="en-US" w:eastAsia="zh-CN" w:bidi="ar-SA"/>
              </w:rPr>
              <w:t>选用低噪声设备，切合实际地提高工艺过程自动化水平，合理安排作业时间。</w:t>
            </w:r>
          </w:p>
        </w:tc>
        <w:tc>
          <w:tcPr>
            <w:tcW w:w="524" w:type="pct"/>
            <w:tcBorders>
              <w:tl2br w:val="nil"/>
              <w:tr2bl w:val="nil"/>
            </w:tcBorders>
            <w:vAlign w:val="center"/>
          </w:tcPr>
          <w:p w14:paraId="2BDC0B6E">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jc w:val="left"/>
              <w:textAlignment w:val="auto"/>
              <w:rPr>
                <w:rFonts w:hint="default" w:ascii="Times New Roman" w:hAnsi="Times New Roman" w:eastAsia="宋体" w:cs="Times New Roman"/>
                <w:b w:val="0"/>
                <w:bCs/>
                <w:color w:val="auto"/>
                <w:spacing w:val="0"/>
                <w:kern w:val="2"/>
                <w:sz w:val="21"/>
                <w:szCs w:val="21"/>
                <w:highlight w:val="none"/>
                <w:lang w:val="en-US" w:eastAsia="zh-CN" w:bidi="ar-SA"/>
              </w:rPr>
            </w:pPr>
          </w:p>
        </w:tc>
      </w:tr>
      <w:tr w14:paraId="487DD4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50" w:type="pct"/>
            <w:vMerge w:val="continue"/>
            <w:tcBorders>
              <w:tl2br w:val="nil"/>
              <w:tr2bl w:val="nil"/>
            </w:tcBorders>
            <w:vAlign w:val="center"/>
          </w:tcPr>
          <w:p w14:paraId="6AB023FA">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z w:val="21"/>
                <w:szCs w:val="21"/>
              </w:rPr>
            </w:pPr>
          </w:p>
        </w:tc>
        <w:tc>
          <w:tcPr>
            <w:tcW w:w="888" w:type="pct"/>
            <w:gridSpan w:val="2"/>
            <w:tcBorders>
              <w:tl2br w:val="nil"/>
              <w:tr2bl w:val="nil"/>
            </w:tcBorders>
            <w:vAlign w:val="center"/>
          </w:tcPr>
          <w:p w14:paraId="13A35A0B">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固</w:t>
            </w:r>
            <w:r>
              <w:rPr>
                <w:rFonts w:hint="default" w:ascii="Times New Roman" w:hAnsi="Times New Roman" w:eastAsia="宋体" w:cs="Times New Roman"/>
                <w:b w:val="0"/>
                <w:bCs/>
                <w:color w:val="auto"/>
                <w:sz w:val="21"/>
                <w:szCs w:val="21"/>
                <w:highlight w:val="none"/>
                <w:lang w:val="en-US" w:eastAsia="zh-CN"/>
              </w:rPr>
              <w:t xml:space="preserve">   </w:t>
            </w:r>
            <w:r>
              <w:rPr>
                <w:rFonts w:hint="default" w:ascii="Times New Roman" w:hAnsi="Times New Roman" w:eastAsia="宋体" w:cs="Times New Roman"/>
                <w:b w:val="0"/>
                <w:bCs/>
                <w:color w:val="auto"/>
                <w:sz w:val="21"/>
                <w:szCs w:val="21"/>
                <w:highlight w:val="none"/>
              </w:rPr>
              <w:t>废</w:t>
            </w:r>
          </w:p>
        </w:tc>
        <w:tc>
          <w:tcPr>
            <w:tcW w:w="3337" w:type="pct"/>
            <w:tcBorders>
              <w:tl2br w:val="nil"/>
              <w:tr2bl w:val="nil"/>
            </w:tcBorders>
            <w:vAlign w:val="center"/>
          </w:tcPr>
          <w:p w14:paraId="67F5B460">
            <w:pPr>
              <w:pStyle w:val="26"/>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both"/>
              <w:textAlignment w:val="auto"/>
              <w:rPr>
                <w:rFonts w:hint="default" w:ascii="Times New Roman" w:hAnsi="Times New Roman" w:eastAsia="宋体" w:cs="Times New Roman"/>
                <w:b w:val="0"/>
                <w:bCs/>
                <w:color w:val="auto"/>
                <w:spacing w:val="0"/>
                <w:sz w:val="21"/>
                <w:szCs w:val="21"/>
                <w:highlight w:val="none"/>
                <w:lang w:eastAsia="zh-CN"/>
              </w:rPr>
            </w:pPr>
            <w:r>
              <w:rPr>
                <w:rFonts w:hint="default" w:ascii="Times New Roman" w:hAnsi="Times New Roman" w:eastAsia="宋体" w:cs="Times New Roman"/>
                <w:b w:val="0"/>
                <w:bCs/>
                <w:color w:val="auto"/>
                <w:spacing w:val="0"/>
                <w:sz w:val="21"/>
                <w:szCs w:val="21"/>
                <w:highlight w:val="none"/>
              </w:rPr>
              <w:t>施工期：施工期固废主要包括施工土方、施工废料和生活垃圾。施工土方在管线施工结束后回填在管堤上，站场施工过程产生的土方回填至挖方处或回填至周边低洼场地，并实施压实平整</w:t>
            </w:r>
            <w:r>
              <w:rPr>
                <w:rFonts w:hint="default" w:ascii="Times New Roman" w:hAnsi="Times New Roman" w:eastAsia="宋体" w:cs="Times New Roman"/>
                <w:b w:val="0"/>
                <w:bCs/>
                <w:color w:val="auto"/>
                <w:spacing w:val="0"/>
                <w:sz w:val="21"/>
                <w:szCs w:val="21"/>
                <w:highlight w:val="none"/>
                <w:lang w:eastAsia="zh-CN"/>
              </w:rPr>
              <w:t>；施工废料应首先考虑回收利用，不可回收利用部分拉运至英买作业区英买7固废场进行填埋处置；施工区不设置施工营地，生活垃圾随车带走，现场不遗留。</w:t>
            </w:r>
          </w:p>
          <w:p w14:paraId="25AC9537">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left"/>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pacing w:val="0"/>
                <w:kern w:val="2"/>
                <w:sz w:val="21"/>
                <w:szCs w:val="21"/>
                <w:highlight w:val="none"/>
                <w:lang w:val="en-US" w:eastAsia="zh-CN" w:bidi="ar-SA"/>
              </w:rPr>
              <w:t>运营期：运营期产生的固体废物主要为</w:t>
            </w:r>
            <w:r>
              <w:rPr>
                <w:rFonts w:hint="eastAsia" w:cs="Times New Roman"/>
                <w:b w:val="0"/>
                <w:bCs/>
                <w:color w:val="auto"/>
                <w:spacing w:val="0"/>
                <w:kern w:val="2"/>
                <w:sz w:val="21"/>
                <w:szCs w:val="21"/>
                <w:highlight w:val="none"/>
                <w:lang w:val="en-US" w:eastAsia="zh-CN" w:bidi="ar-SA"/>
              </w:rPr>
              <w:t>废脱硫剂、废分子筛、</w:t>
            </w:r>
            <w:r>
              <w:rPr>
                <w:rFonts w:hint="default" w:ascii="Times New Roman" w:hAnsi="Times New Roman" w:eastAsia="宋体" w:cs="Times New Roman"/>
                <w:b w:val="0"/>
                <w:bCs/>
                <w:color w:val="auto"/>
                <w:spacing w:val="0"/>
                <w:kern w:val="2"/>
                <w:sz w:val="21"/>
                <w:szCs w:val="21"/>
                <w:highlight w:val="none"/>
                <w:lang w:val="en-US" w:eastAsia="zh-CN" w:bidi="ar-SA"/>
              </w:rPr>
              <w:t>清管废渣、油泥砂、落地油、废防渗膜、废润滑油、井下作业固废及生活垃圾</w:t>
            </w:r>
            <w:r>
              <w:rPr>
                <w:rFonts w:hint="default" w:ascii="Times New Roman" w:hAnsi="Times New Roman" w:eastAsia="宋体" w:cs="Times New Roman"/>
                <w:b w:val="0"/>
                <w:bCs/>
                <w:color w:val="auto"/>
                <w:spacing w:val="0"/>
                <w:sz w:val="21"/>
                <w:szCs w:val="21"/>
                <w:highlight w:val="none"/>
                <w:lang w:val="en-US" w:eastAsia="zh-CN"/>
              </w:rPr>
              <w:t>。</w:t>
            </w:r>
            <w:r>
              <w:rPr>
                <w:rFonts w:hint="eastAsia" w:cs="Times New Roman"/>
                <w:b w:val="0"/>
                <w:bCs/>
                <w:color w:val="auto"/>
                <w:spacing w:val="0"/>
                <w:kern w:val="2"/>
                <w:sz w:val="21"/>
                <w:szCs w:val="21"/>
                <w:highlight w:val="none"/>
                <w:lang w:val="en-US" w:eastAsia="zh-CN" w:bidi="ar-SA"/>
              </w:rPr>
              <w:t>废脱硫剂、废分子筛，属于一般工业固体废物，由生产厂家进行更换，更换后由其拉走处置；</w:t>
            </w:r>
            <w:r>
              <w:rPr>
                <w:rFonts w:hint="default" w:ascii="Times New Roman" w:hAnsi="Times New Roman" w:eastAsia="宋体" w:cs="Times New Roman"/>
                <w:b w:val="0"/>
                <w:bCs/>
                <w:color w:val="auto"/>
                <w:spacing w:val="0"/>
                <w:kern w:val="2"/>
                <w:sz w:val="21"/>
                <w:szCs w:val="21"/>
                <w:highlight w:val="none"/>
                <w:lang w:val="en-US" w:eastAsia="zh-CN" w:bidi="ar-SA"/>
              </w:rPr>
              <w:t>清管废渣、油泥砂、落地油、废防渗膜、废润滑油等危险废物</w:t>
            </w:r>
            <w:r>
              <w:rPr>
                <w:rFonts w:hint="default" w:ascii="Times New Roman" w:hAnsi="Times New Roman" w:eastAsia="宋体" w:cs="Times New Roman"/>
                <w:b w:val="0"/>
                <w:bCs/>
                <w:color w:val="auto"/>
                <w:spacing w:val="0"/>
                <w:sz w:val="21"/>
                <w:szCs w:val="21"/>
                <w:highlight w:val="none"/>
                <w:lang w:val="en-US" w:eastAsia="zh-CN"/>
              </w:rPr>
              <w:t>委托</w:t>
            </w:r>
            <w:r>
              <w:rPr>
                <w:rFonts w:hint="default" w:ascii="Times New Roman" w:hAnsi="Times New Roman" w:eastAsia="宋体" w:cs="Times New Roman"/>
                <w:b w:val="0"/>
                <w:bCs/>
                <w:color w:val="auto"/>
                <w:spacing w:val="0"/>
                <w:sz w:val="21"/>
                <w:szCs w:val="21"/>
                <w:highlight w:val="none"/>
              </w:rPr>
              <w:t>有危废处置资质单位进行处置</w:t>
            </w:r>
            <w:r>
              <w:rPr>
                <w:rFonts w:hint="default" w:ascii="Times New Roman" w:hAnsi="Times New Roman" w:eastAsia="宋体" w:cs="Times New Roman"/>
                <w:b w:val="0"/>
                <w:bCs/>
                <w:color w:val="auto"/>
                <w:spacing w:val="0"/>
                <w:sz w:val="21"/>
                <w:szCs w:val="21"/>
                <w:highlight w:val="none"/>
                <w:lang w:val="en-US" w:eastAsia="zh-CN"/>
              </w:rPr>
              <w:t>；</w:t>
            </w:r>
            <w:r>
              <w:rPr>
                <w:rFonts w:hint="default" w:ascii="Times New Roman" w:hAnsi="Times New Roman" w:eastAsia="宋体" w:cs="Times New Roman"/>
                <w:b w:val="0"/>
                <w:bCs/>
                <w:color w:val="auto"/>
                <w:spacing w:val="0"/>
                <w:sz w:val="21"/>
                <w:szCs w:val="21"/>
                <w:highlight w:val="none"/>
              </w:rPr>
              <w:t>落地原油由作业单位100%回收</w:t>
            </w:r>
            <w:r>
              <w:rPr>
                <w:rFonts w:hint="default" w:ascii="Times New Roman" w:hAnsi="Times New Roman" w:eastAsia="宋体" w:cs="Times New Roman"/>
                <w:b w:val="0"/>
                <w:bCs/>
                <w:color w:val="auto"/>
                <w:spacing w:val="0"/>
                <w:sz w:val="21"/>
                <w:szCs w:val="21"/>
                <w:highlight w:val="none"/>
                <w:lang w:eastAsia="zh-CN"/>
              </w:rPr>
              <w:t>，</w:t>
            </w:r>
            <w:r>
              <w:rPr>
                <w:rFonts w:hint="default" w:ascii="Times New Roman" w:hAnsi="Times New Roman" w:eastAsia="宋体" w:cs="Times New Roman"/>
                <w:b w:val="0"/>
                <w:bCs/>
                <w:color w:val="auto"/>
                <w:spacing w:val="0"/>
                <w:sz w:val="21"/>
                <w:szCs w:val="21"/>
                <w:highlight w:val="none"/>
              </w:rPr>
              <w:t>回收后的落地原油</w:t>
            </w:r>
            <w:r>
              <w:rPr>
                <w:rFonts w:hint="default" w:ascii="Times New Roman" w:hAnsi="Times New Roman" w:eastAsia="宋体" w:cs="Times New Roman"/>
                <w:b w:val="0"/>
                <w:bCs/>
                <w:color w:val="auto"/>
                <w:spacing w:val="0"/>
                <w:sz w:val="21"/>
                <w:szCs w:val="21"/>
                <w:highlight w:val="none"/>
                <w:lang w:val="en-US" w:eastAsia="zh-CN"/>
              </w:rPr>
              <w:t>委托</w:t>
            </w:r>
            <w:r>
              <w:rPr>
                <w:rFonts w:hint="default" w:ascii="Times New Roman" w:hAnsi="Times New Roman" w:eastAsia="宋体" w:cs="Times New Roman"/>
                <w:b w:val="0"/>
                <w:bCs/>
                <w:color w:val="auto"/>
                <w:spacing w:val="0"/>
                <w:sz w:val="21"/>
                <w:szCs w:val="21"/>
                <w:highlight w:val="none"/>
              </w:rPr>
              <w:t>有危废处置资质单位进行处置</w:t>
            </w:r>
            <w:r>
              <w:rPr>
                <w:rFonts w:hint="default" w:ascii="Times New Roman" w:hAnsi="Times New Roman" w:eastAsia="宋体" w:cs="Times New Roman"/>
                <w:b w:val="0"/>
                <w:bCs/>
                <w:color w:val="auto"/>
                <w:spacing w:val="0"/>
                <w:sz w:val="21"/>
                <w:szCs w:val="21"/>
                <w:highlight w:val="none"/>
                <w:lang w:eastAsia="zh-CN"/>
              </w:rPr>
              <w:t>。井下作业固废采用专用回收罐进行回收，拉运至英买力</w:t>
            </w:r>
            <w:r>
              <w:rPr>
                <w:rFonts w:hint="eastAsia" w:cs="Times New Roman"/>
                <w:b w:val="0"/>
                <w:bCs/>
                <w:color w:val="auto"/>
                <w:spacing w:val="0"/>
                <w:sz w:val="21"/>
                <w:szCs w:val="21"/>
                <w:highlight w:val="none"/>
                <w:lang w:eastAsia="zh-CN"/>
              </w:rPr>
              <w:t>气田</w:t>
            </w:r>
            <w:r>
              <w:rPr>
                <w:rFonts w:hint="default" w:ascii="Times New Roman" w:hAnsi="Times New Roman" w:eastAsia="宋体" w:cs="Times New Roman"/>
                <w:b w:val="0"/>
                <w:bCs/>
                <w:color w:val="auto"/>
                <w:spacing w:val="0"/>
                <w:sz w:val="21"/>
                <w:szCs w:val="21"/>
                <w:highlight w:val="none"/>
                <w:lang w:eastAsia="zh-CN"/>
              </w:rPr>
              <w:t>钻试修废弃物环保处理站进行处理。</w:t>
            </w:r>
          </w:p>
        </w:tc>
        <w:tc>
          <w:tcPr>
            <w:tcW w:w="524" w:type="pct"/>
            <w:tcBorders>
              <w:tl2br w:val="nil"/>
              <w:tr2bl w:val="nil"/>
            </w:tcBorders>
            <w:vAlign w:val="center"/>
          </w:tcPr>
          <w:p w14:paraId="3BA6AA5B">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left"/>
              <w:textAlignment w:val="auto"/>
              <w:rPr>
                <w:rFonts w:hint="default" w:ascii="Times New Roman" w:hAnsi="Times New Roman" w:eastAsia="宋体" w:cs="Times New Roman"/>
                <w:b w:val="0"/>
                <w:bCs/>
                <w:color w:val="auto"/>
                <w:spacing w:val="0"/>
                <w:kern w:val="2"/>
                <w:sz w:val="21"/>
                <w:szCs w:val="21"/>
                <w:highlight w:val="none"/>
                <w:lang w:val="en-US" w:eastAsia="zh-CN" w:bidi="ar-SA"/>
              </w:rPr>
            </w:pPr>
          </w:p>
        </w:tc>
      </w:tr>
      <w:tr w14:paraId="49BE52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50" w:type="pct"/>
            <w:vMerge w:val="continue"/>
            <w:tcBorders>
              <w:tl2br w:val="nil"/>
              <w:tr2bl w:val="nil"/>
            </w:tcBorders>
            <w:vAlign w:val="center"/>
          </w:tcPr>
          <w:p w14:paraId="31D9D08A">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z w:val="21"/>
                <w:szCs w:val="21"/>
              </w:rPr>
            </w:pPr>
          </w:p>
        </w:tc>
        <w:tc>
          <w:tcPr>
            <w:tcW w:w="888" w:type="pct"/>
            <w:gridSpan w:val="2"/>
            <w:tcBorders>
              <w:tl2br w:val="nil"/>
              <w:tr2bl w:val="nil"/>
            </w:tcBorders>
            <w:vAlign w:val="center"/>
          </w:tcPr>
          <w:p w14:paraId="47548C00">
            <w:pPr>
              <w:pStyle w:val="26"/>
              <w:keepNext w:val="0"/>
              <w:keepLines w:val="0"/>
              <w:pageBreakBefore w:val="0"/>
              <w:widowControl w:val="0"/>
              <w:kinsoku/>
              <w:wordWrap/>
              <w:overflowPunct/>
              <w:topLinePunct w:val="0"/>
              <w:bidi w:val="0"/>
              <w:adjustRightInd/>
              <w:snapToGrid w:val="0"/>
              <w:spacing w:line="240" w:lineRule="auto"/>
              <w:ind w:left="0" w:leftChars="0" w:right="0" w:rightChars="0"/>
              <w:jc w:val="center"/>
              <w:rPr>
                <w:rFonts w:hint="default" w:ascii="Times New Roman" w:hAnsi="Times New Roman" w:eastAsia="宋体" w:cs="Times New Roman"/>
                <w:b w:val="0"/>
                <w:bCs/>
                <w:color w:val="auto"/>
                <w:spacing w:val="0"/>
                <w:sz w:val="21"/>
                <w:szCs w:val="21"/>
                <w:highlight w:val="none"/>
                <w:lang w:val="en-US" w:eastAsia="zh-CN"/>
              </w:rPr>
            </w:pPr>
            <w:r>
              <w:rPr>
                <w:rFonts w:hint="default" w:ascii="Times New Roman" w:hAnsi="Times New Roman" w:eastAsia="宋体" w:cs="Times New Roman"/>
                <w:b w:val="0"/>
                <w:bCs/>
                <w:color w:val="auto"/>
                <w:spacing w:val="0"/>
                <w:sz w:val="21"/>
                <w:szCs w:val="21"/>
                <w:highlight w:val="none"/>
                <w:lang w:val="en-US" w:eastAsia="zh-CN"/>
              </w:rPr>
              <w:t>生态保护</w:t>
            </w:r>
          </w:p>
        </w:tc>
        <w:tc>
          <w:tcPr>
            <w:tcW w:w="3337" w:type="pct"/>
            <w:tcBorders>
              <w:tl2br w:val="nil"/>
              <w:tr2bl w:val="nil"/>
            </w:tcBorders>
            <w:vAlign w:val="center"/>
          </w:tcPr>
          <w:p w14:paraId="3B3EAC53">
            <w:pPr>
              <w:pStyle w:val="26"/>
              <w:keepNext w:val="0"/>
              <w:keepLines w:val="0"/>
              <w:pageBreakBefore w:val="0"/>
              <w:widowControl w:val="0"/>
              <w:kinsoku/>
              <w:wordWrap/>
              <w:overflowPunct/>
              <w:topLinePunct w:val="0"/>
              <w:bidi w:val="0"/>
              <w:adjustRightInd/>
              <w:snapToGrid w:val="0"/>
              <w:spacing w:line="240" w:lineRule="auto"/>
              <w:ind w:left="0" w:leftChars="0" w:right="0" w:rightChars="0"/>
              <w:jc w:val="left"/>
              <w:textAlignment w:val="auto"/>
              <w:rPr>
                <w:rFonts w:hint="default" w:ascii="Times New Roman" w:hAnsi="Times New Roman" w:eastAsia="宋体" w:cs="Times New Roman"/>
                <w:b w:val="0"/>
                <w:bCs/>
                <w:color w:val="auto"/>
                <w:spacing w:val="0"/>
                <w:sz w:val="21"/>
                <w:szCs w:val="21"/>
                <w:highlight w:val="none"/>
              </w:rPr>
            </w:pPr>
            <w:r>
              <w:rPr>
                <w:rFonts w:hint="default" w:ascii="Times New Roman" w:hAnsi="Times New Roman" w:eastAsia="宋体" w:cs="Times New Roman"/>
                <w:b w:val="0"/>
                <w:bCs/>
                <w:color w:val="auto"/>
                <w:spacing w:val="0"/>
                <w:sz w:val="21"/>
                <w:szCs w:val="21"/>
                <w:highlight w:val="none"/>
                <w:lang w:val="en-US" w:eastAsia="zh-CN" w:bidi="ar-SA"/>
              </w:rPr>
              <w:t>施工期：</w:t>
            </w:r>
            <w:r>
              <w:rPr>
                <w:rFonts w:hint="default" w:ascii="Times New Roman" w:hAnsi="Times New Roman" w:eastAsia="宋体" w:cs="Times New Roman"/>
                <w:b w:val="0"/>
                <w:bCs/>
                <w:color w:val="auto"/>
                <w:spacing w:val="0"/>
                <w:sz w:val="21"/>
                <w:szCs w:val="21"/>
                <w:highlight w:val="none"/>
              </w:rPr>
              <w:t>严格控制施工作业带宽度；填埋所需土方充分利用挖方，做到土方平衡，减少弃土；临时堆土防尘网苫盖；设置限行彩条旗；洒水降尘。</w:t>
            </w:r>
          </w:p>
          <w:p w14:paraId="6818F937">
            <w:pPr>
              <w:pStyle w:val="26"/>
              <w:keepNext w:val="0"/>
              <w:keepLines w:val="0"/>
              <w:pageBreakBefore w:val="0"/>
              <w:widowControl w:val="0"/>
              <w:kinsoku/>
              <w:wordWrap/>
              <w:overflowPunct/>
              <w:topLinePunct w:val="0"/>
              <w:bidi w:val="0"/>
              <w:adjustRightInd/>
              <w:snapToGrid w:val="0"/>
              <w:spacing w:line="240" w:lineRule="auto"/>
              <w:ind w:left="0" w:leftChars="0" w:right="0" w:rightChars="0"/>
              <w:jc w:val="left"/>
              <w:textAlignment w:val="auto"/>
              <w:rPr>
                <w:rFonts w:hint="default" w:ascii="Times New Roman" w:hAnsi="Times New Roman" w:eastAsia="宋体" w:cs="Times New Roman"/>
                <w:b w:val="0"/>
                <w:bCs/>
                <w:color w:val="auto"/>
                <w:spacing w:val="0"/>
                <w:sz w:val="21"/>
                <w:szCs w:val="21"/>
                <w:highlight w:val="none"/>
              </w:rPr>
            </w:pPr>
            <w:r>
              <w:rPr>
                <w:rFonts w:hint="default" w:ascii="Times New Roman" w:hAnsi="Times New Roman" w:eastAsia="宋体" w:cs="Times New Roman"/>
                <w:b w:val="0"/>
                <w:bCs/>
                <w:color w:val="auto"/>
                <w:spacing w:val="0"/>
                <w:sz w:val="21"/>
                <w:szCs w:val="21"/>
                <w:highlight w:val="none"/>
                <w:lang w:val="en-US" w:eastAsia="zh-CN" w:bidi="ar-SA"/>
              </w:rPr>
              <w:t>运营期：</w:t>
            </w:r>
            <w:r>
              <w:rPr>
                <w:rFonts w:hint="default" w:ascii="Times New Roman" w:hAnsi="Times New Roman" w:eastAsia="宋体" w:cs="Times New Roman"/>
                <w:b w:val="0"/>
                <w:bCs/>
                <w:color w:val="auto"/>
                <w:spacing w:val="0"/>
                <w:sz w:val="21"/>
                <w:szCs w:val="21"/>
                <w:highlight w:val="none"/>
              </w:rPr>
              <w:t>管线上方设置标志，定时巡查井场</w:t>
            </w:r>
            <w:r>
              <w:rPr>
                <w:rFonts w:hint="default" w:ascii="Times New Roman" w:hAnsi="Times New Roman" w:eastAsia="宋体" w:cs="Times New Roman"/>
                <w:b w:val="0"/>
                <w:bCs/>
                <w:color w:val="auto"/>
                <w:spacing w:val="0"/>
                <w:sz w:val="21"/>
                <w:szCs w:val="21"/>
                <w:highlight w:val="none"/>
                <w:lang w:val="en-US" w:eastAsia="zh-CN"/>
              </w:rPr>
              <w:t>、</w:t>
            </w:r>
            <w:r>
              <w:rPr>
                <w:rFonts w:hint="eastAsia" w:cs="Times New Roman"/>
                <w:b w:val="0"/>
                <w:bCs/>
                <w:color w:val="auto"/>
                <w:spacing w:val="0"/>
                <w:sz w:val="21"/>
                <w:szCs w:val="21"/>
                <w:highlight w:val="none"/>
                <w:lang w:val="en-US" w:eastAsia="zh-CN"/>
              </w:rPr>
              <w:t>雄探1试采点</w:t>
            </w:r>
            <w:r>
              <w:rPr>
                <w:rFonts w:hint="default" w:ascii="Times New Roman" w:hAnsi="Times New Roman" w:eastAsia="宋体" w:cs="Times New Roman"/>
                <w:b w:val="0"/>
                <w:bCs/>
                <w:color w:val="auto"/>
                <w:spacing w:val="0"/>
                <w:sz w:val="21"/>
                <w:szCs w:val="21"/>
                <w:highlight w:val="none"/>
              </w:rPr>
              <w:t>、管线。</w:t>
            </w:r>
          </w:p>
          <w:p w14:paraId="04E0F177">
            <w:pPr>
              <w:pStyle w:val="26"/>
              <w:keepNext w:val="0"/>
              <w:keepLines w:val="0"/>
              <w:pageBreakBefore w:val="0"/>
              <w:widowControl w:val="0"/>
              <w:kinsoku/>
              <w:wordWrap/>
              <w:overflowPunct/>
              <w:topLinePunct w:val="0"/>
              <w:bidi w:val="0"/>
              <w:adjustRightInd/>
              <w:snapToGrid w:val="0"/>
              <w:spacing w:line="240" w:lineRule="auto"/>
              <w:ind w:left="0" w:leftChars="0" w:right="0" w:rightChars="0"/>
              <w:jc w:val="left"/>
              <w:textAlignment w:val="auto"/>
              <w:rPr>
                <w:rFonts w:hint="default" w:ascii="Times New Roman" w:hAnsi="Times New Roman" w:eastAsia="宋体" w:cs="Times New Roman"/>
                <w:b w:val="0"/>
                <w:bCs/>
                <w:color w:val="auto"/>
                <w:spacing w:val="0"/>
                <w:kern w:val="2"/>
                <w:sz w:val="21"/>
                <w:szCs w:val="21"/>
                <w:highlight w:val="none"/>
                <w:lang w:val="en-US" w:eastAsia="zh-CN" w:bidi="ar-SA"/>
              </w:rPr>
            </w:pPr>
            <w:r>
              <w:rPr>
                <w:rFonts w:hint="default" w:ascii="Times New Roman" w:hAnsi="Times New Roman" w:eastAsia="宋体" w:cs="Times New Roman"/>
                <w:b w:val="0"/>
                <w:bCs/>
                <w:color w:val="auto"/>
                <w:spacing w:val="0"/>
                <w:sz w:val="21"/>
                <w:szCs w:val="21"/>
                <w:highlight w:val="none"/>
                <w:lang w:val="en-US" w:eastAsia="zh-CN" w:bidi="ar-SA"/>
              </w:rPr>
              <w:t>退役期：</w:t>
            </w:r>
            <w:r>
              <w:rPr>
                <w:rFonts w:hint="default" w:ascii="Times New Roman" w:hAnsi="Times New Roman" w:eastAsia="宋体" w:cs="Times New Roman"/>
                <w:b w:val="0"/>
                <w:bCs/>
                <w:color w:val="auto"/>
                <w:spacing w:val="0"/>
                <w:sz w:val="21"/>
                <w:szCs w:val="21"/>
                <w:highlight w:val="none"/>
                <w:lang w:bidi="ar"/>
              </w:rPr>
              <w:t>地面设施拆除、封井和井场清理等工作。</w:t>
            </w:r>
          </w:p>
        </w:tc>
        <w:tc>
          <w:tcPr>
            <w:tcW w:w="524" w:type="pct"/>
            <w:tcBorders>
              <w:tl2br w:val="nil"/>
              <w:tr2bl w:val="nil"/>
            </w:tcBorders>
            <w:vAlign w:val="center"/>
          </w:tcPr>
          <w:p w14:paraId="658B9962">
            <w:pPr>
              <w:pStyle w:val="26"/>
              <w:keepNext w:val="0"/>
              <w:keepLines w:val="0"/>
              <w:pageBreakBefore w:val="0"/>
              <w:widowControl w:val="0"/>
              <w:kinsoku/>
              <w:wordWrap/>
              <w:overflowPunct/>
              <w:topLinePunct w:val="0"/>
              <w:bidi w:val="0"/>
              <w:adjustRightInd/>
              <w:snapToGrid w:val="0"/>
              <w:spacing w:line="240" w:lineRule="auto"/>
              <w:ind w:left="0" w:leftChars="0" w:right="0" w:rightChars="0"/>
              <w:jc w:val="left"/>
              <w:textAlignment w:val="auto"/>
              <w:rPr>
                <w:rFonts w:hint="default" w:ascii="Times New Roman" w:hAnsi="Times New Roman" w:eastAsia="宋体" w:cs="Times New Roman"/>
                <w:b w:val="0"/>
                <w:bCs/>
                <w:color w:val="auto"/>
                <w:spacing w:val="0"/>
                <w:sz w:val="21"/>
                <w:szCs w:val="21"/>
                <w:highlight w:val="none"/>
                <w:lang w:val="en-US" w:eastAsia="zh-CN" w:bidi="ar-SA"/>
              </w:rPr>
            </w:pPr>
          </w:p>
        </w:tc>
      </w:tr>
      <w:tr w14:paraId="0EA9BF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50" w:type="pct"/>
            <w:vMerge w:val="continue"/>
            <w:tcBorders>
              <w:tl2br w:val="nil"/>
              <w:tr2bl w:val="nil"/>
            </w:tcBorders>
            <w:vAlign w:val="center"/>
          </w:tcPr>
          <w:p w14:paraId="2041BA5C">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z w:val="21"/>
                <w:szCs w:val="21"/>
              </w:rPr>
            </w:pPr>
          </w:p>
        </w:tc>
        <w:tc>
          <w:tcPr>
            <w:tcW w:w="888" w:type="pct"/>
            <w:gridSpan w:val="2"/>
            <w:tcBorders>
              <w:tl2br w:val="nil"/>
              <w:tr2bl w:val="nil"/>
            </w:tcBorders>
            <w:vAlign w:val="center"/>
          </w:tcPr>
          <w:p w14:paraId="1810BEC2">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环境风险</w:t>
            </w:r>
          </w:p>
        </w:tc>
        <w:tc>
          <w:tcPr>
            <w:tcW w:w="3337" w:type="pct"/>
            <w:tcBorders>
              <w:tl2br w:val="nil"/>
              <w:tr2bl w:val="nil"/>
            </w:tcBorders>
            <w:vAlign w:val="center"/>
          </w:tcPr>
          <w:p w14:paraId="1A9A22F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left"/>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管线上方设置标识，定期对管线壁厚进行超声波检查，站场设置可燃气体报警仪和硫化氢检测仪。</w:t>
            </w:r>
          </w:p>
        </w:tc>
        <w:tc>
          <w:tcPr>
            <w:tcW w:w="524" w:type="pct"/>
            <w:tcBorders>
              <w:tl2br w:val="nil"/>
              <w:tr2bl w:val="nil"/>
            </w:tcBorders>
            <w:vAlign w:val="center"/>
          </w:tcPr>
          <w:p w14:paraId="266D260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left"/>
              <w:rPr>
                <w:rFonts w:hint="default" w:ascii="Times New Roman" w:hAnsi="Times New Roman" w:eastAsia="宋体" w:cs="Times New Roman"/>
                <w:b w:val="0"/>
                <w:bCs/>
                <w:color w:val="auto"/>
                <w:sz w:val="21"/>
                <w:szCs w:val="21"/>
              </w:rPr>
            </w:pPr>
          </w:p>
        </w:tc>
      </w:tr>
      <w:tr w14:paraId="02A5E7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00" w:hRule="atLeast"/>
          <w:jc w:val="center"/>
        </w:trPr>
        <w:tc>
          <w:tcPr>
            <w:tcW w:w="250" w:type="pct"/>
            <w:vMerge w:val="restart"/>
            <w:tcBorders>
              <w:tl2br w:val="nil"/>
              <w:tr2bl w:val="nil"/>
            </w:tcBorders>
            <w:vAlign w:val="center"/>
          </w:tcPr>
          <w:p w14:paraId="0BD26D81">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z w:val="21"/>
                <w:szCs w:val="21"/>
              </w:rPr>
            </w:pPr>
          </w:p>
          <w:p w14:paraId="5EFC8335">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z w:val="21"/>
                <w:szCs w:val="21"/>
              </w:rPr>
            </w:pPr>
          </w:p>
          <w:p w14:paraId="54EF5D29">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z w:val="21"/>
                <w:szCs w:val="21"/>
              </w:rPr>
            </w:pPr>
          </w:p>
          <w:p w14:paraId="3E3A2F01">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z w:val="21"/>
                <w:szCs w:val="21"/>
              </w:rPr>
            </w:pPr>
          </w:p>
          <w:p w14:paraId="7989F549">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z w:val="21"/>
                <w:szCs w:val="21"/>
              </w:rPr>
            </w:pPr>
          </w:p>
          <w:p w14:paraId="47AAAFEB">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依托工程</w:t>
            </w:r>
          </w:p>
          <w:p w14:paraId="748BA330">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eastAsia="zh-CN"/>
              </w:rPr>
              <w:t xml:space="preserve"> </w:t>
            </w:r>
            <w:r>
              <w:rPr>
                <w:rFonts w:hint="default" w:ascii="Times New Roman" w:hAnsi="Times New Roman" w:eastAsia="宋体" w:cs="Times New Roman"/>
                <w:b w:val="0"/>
                <w:bCs/>
                <w:color w:val="auto"/>
                <w:sz w:val="21"/>
                <w:szCs w:val="21"/>
                <w:lang w:val="en-US" w:eastAsia="zh-CN"/>
              </w:rPr>
              <w:t xml:space="preserve"> </w:t>
            </w:r>
          </w:p>
        </w:tc>
        <w:tc>
          <w:tcPr>
            <w:tcW w:w="888" w:type="pct"/>
            <w:gridSpan w:val="2"/>
            <w:tcBorders>
              <w:tl2br w:val="nil"/>
              <w:tr2bl w:val="nil"/>
            </w:tcBorders>
            <w:vAlign w:val="center"/>
          </w:tcPr>
          <w:p w14:paraId="0A0F71BD">
            <w:pPr>
              <w:pStyle w:val="58"/>
              <w:keepNext w:val="0"/>
              <w:keepLines w:val="0"/>
              <w:pageBreakBefore w:val="0"/>
              <w:widowControl w:val="0"/>
              <w:kinsoku/>
              <w:wordWrap/>
              <w:overflowPunct/>
              <w:topLinePunct w:val="0"/>
              <w:bidi w:val="0"/>
              <w:spacing w:line="240" w:lineRule="auto"/>
              <w:ind w:left="0" w:leftChars="0" w:right="0" w:rightChars="0"/>
              <w:jc w:val="both"/>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英买处理站</w:t>
            </w:r>
          </w:p>
        </w:tc>
        <w:tc>
          <w:tcPr>
            <w:tcW w:w="3337" w:type="pct"/>
            <w:tcBorders>
              <w:tl2br w:val="nil"/>
              <w:tr2bl w:val="nil"/>
            </w:tcBorders>
            <w:vAlign w:val="center"/>
          </w:tcPr>
          <w:p w14:paraId="525705EB">
            <w:pPr>
              <w:pStyle w:val="58"/>
              <w:keepNext w:val="0"/>
              <w:keepLines w:val="0"/>
              <w:pageBreakBefore w:val="0"/>
              <w:widowControl w:val="0"/>
              <w:kinsoku/>
              <w:wordWrap/>
              <w:overflowPunct/>
              <w:topLinePunct w:val="0"/>
              <w:bidi w:val="0"/>
              <w:spacing w:line="240" w:lineRule="auto"/>
              <w:ind w:left="0" w:leftChars="0" w:right="0" w:rightChars="0"/>
              <w:jc w:val="both"/>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cs="Times New Roman"/>
                <w:b w:val="0"/>
                <w:bCs/>
                <w:color w:val="auto"/>
                <w:kern w:val="2"/>
                <w:sz w:val="21"/>
                <w:szCs w:val="21"/>
                <w:highlight w:val="none"/>
                <w:lang w:val="en-US" w:eastAsia="zh-CN" w:bidi="ar-SA"/>
              </w:rPr>
              <w:t>英买处理厂位于油田以北314国道附近，英买油气处理厂是一座集油、气、水、电为一体的综合处理厂。本工程雄探1试采点脱硫后的天然气通过外输管道输至英买处理站处理。</w:t>
            </w:r>
          </w:p>
        </w:tc>
        <w:tc>
          <w:tcPr>
            <w:tcW w:w="524" w:type="pct"/>
            <w:vMerge w:val="restart"/>
            <w:tcBorders>
              <w:tl2br w:val="nil"/>
              <w:tr2bl w:val="nil"/>
            </w:tcBorders>
            <w:vAlign w:val="center"/>
          </w:tcPr>
          <w:p w14:paraId="038FA1F9">
            <w:pPr>
              <w:pStyle w:val="58"/>
              <w:keepNext w:val="0"/>
              <w:keepLines w:val="0"/>
              <w:pageBreakBefore w:val="0"/>
              <w:widowControl w:val="0"/>
              <w:kinsoku/>
              <w:wordWrap/>
              <w:overflowPunct/>
              <w:topLinePunct w:val="0"/>
              <w:bidi w:val="0"/>
              <w:spacing w:line="240" w:lineRule="auto"/>
              <w:ind w:left="0" w:leftChars="0" w:right="0" w:rightChars="0"/>
              <w:jc w:val="both"/>
              <w:rPr>
                <w:rFonts w:hint="eastAsia"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依托</w:t>
            </w:r>
          </w:p>
        </w:tc>
      </w:tr>
      <w:tr w14:paraId="21DE9C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00" w:hRule="atLeast"/>
          <w:jc w:val="center"/>
        </w:trPr>
        <w:tc>
          <w:tcPr>
            <w:tcW w:w="250" w:type="pct"/>
            <w:vMerge w:val="continue"/>
            <w:tcBorders>
              <w:tl2br w:val="nil"/>
              <w:tr2bl w:val="nil"/>
            </w:tcBorders>
            <w:vAlign w:val="center"/>
          </w:tcPr>
          <w:p w14:paraId="0AC7CBC2">
            <w:pPr>
              <w:keepNext w:val="0"/>
              <w:keepLines w:val="0"/>
              <w:pageBreakBefore w:val="0"/>
              <w:widowControl w:val="0"/>
              <w:kinsoku/>
              <w:wordWrap/>
              <w:overflowPunct/>
              <w:topLinePunct w:val="0"/>
              <w:autoSpaceDE w:val="0"/>
              <w:autoSpaceDN w:val="0"/>
              <w:bidi w:val="0"/>
              <w:spacing w:line="240" w:lineRule="auto"/>
              <w:ind w:left="0" w:leftChars="0" w:right="0" w:rightChars="0"/>
              <w:jc w:val="center"/>
              <w:rPr>
                <w:rFonts w:hint="default" w:ascii="Times New Roman" w:hAnsi="Times New Roman" w:eastAsia="宋体" w:cs="Times New Roman"/>
                <w:b w:val="0"/>
                <w:bCs/>
                <w:color w:val="auto"/>
                <w:sz w:val="21"/>
                <w:szCs w:val="21"/>
                <w:lang w:eastAsia="zh-CN"/>
              </w:rPr>
            </w:pPr>
          </w:p>
        </w:tc>
        <w:tc>
          <w:tcPr>
            <w:tcW w:w="888" w:type="pct"/>
            <w:gridSpan w:val="2"/>
            <w:tcBorders>
              <w:tl2br w:val="nil"/>
              <w:tr2bl w:val="nil"/>
            </w:tcBorders>
            <w:vAlign w:val="center"/>
          </w:tcPr>
          <w:p w14:paraId="7378342A">
            <w:pPr>
              <w:pStyle w:val="58"/>
              <w:keepNext w:val="0"/>
              <w:keepLines w:val="0"/>
              <w:pageBreakBefore w:val="0"/>
              <w:widowControl w:val="0"/>
              <w:kinsoku/>
              <w:wordWrap/>
              <w:overflowPunct/>
              <w:topLinePunct w:val="0"/>
              <w:bidi w:val="0"/>
              <w:spacing w:line="240" w:lineRule="auto"/>
              <w:ind w:left="0" w:leftChars="0" w:right="0" w:rightChars="0"/>
              <w:jc w:val="both"/>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cs="Times New Roman"/>
                <w:b w:val="0"/>
                <w:bCs/>
                <w:color w:val="auto"/>
                <w:kern w:val="2"/>
                <w:sz w:val="21"/>
                <w:szCs w:val="21"/>
                <w:highlight w:val="none"/>
                <w:lang w:val="en-US" w:eastAsia="zh-CN" w:bidi="ar-SA"/>
              </w:rPr>
              <w:t>哈六联合站</w:t>
            </w:r>
          </w:p>
        </w:tc>
        <w:tc>
          <w:tcPr>
            <w:tcW w:w="3337" w:type="pct"/>
            <w:tcBorders>
              <w:tl2br w:val="nil"/>
              <w:tr2bl w:val="nil"/>
            </w:tcBorders>
            <w:vAlign w:val="center"/>
          </w:tcPr>
          <w:p w14:paraId="01E46EBA">
            <w:pPr>
              <w:pStyle w:val="58"/>
              <w:keepNext w:val="0"/>
              <w:keepLines w:val="0"/>
              <w:pageBreakBefore w:val="0"/>
              <w:widowControl w:val="0"/>
              <w:kinsoku/>
              <w:wordWrap/>
              <w:overflowPunct/>
              <w:topLinePunct w:val="0"/>
              <w:bidi w:val="0"/>
              <w:spacing w:line="240" w:lineRule="auto"/>
              <w:ind w:left="0" w:leftChars="0" w:right="0" w:rightChars="0"/>
              <w:jc w:val="both"/>
              <w:rPr>
                <w:rFonts w:hint="eastAsia" w:ascii="Times New Roman" w:hAnsi="Times New Roman" w:cs="Times New Roman"/>
                <w:b w:val="0"/>
                <w:bCs/>
                <w:color w:val="auto"/>
                <w:kern w:val="2"/>
                <w:sz w:val="21"/>
                <w:szCs w:val="21"/>
                <w:highlight w:val="none"/>
                <w:lang w:val="en-US" w:eastAsia="zh-CN" w:bidi="ar-SA"/>
              </w:rPr>
            </w:pPr>
            <w:r>
              <w:rPr>
                <w:rFonts w:hint="eastAsia" w:ascii="Times New Roman" w:hAnsi="Times New Roman" w:cs="Times New Roman"/>
                <w:b w:val="0"/>
                <w:bCs/>
                <w:color w:val="auto"/>
                <w:kern w:val="2"/>
                <w:sz w:val="21"/>
                <w:szCs w:val="21"/>
                <w:highlight w:val="none"/>
                <w:lang w:val="en-US" w:eastAsia="zh-CN" w:bidi="ar-SA"/>
              </w:rPr>
              <w:t>哈六联合站主要功能为油气分离，原油脱水，原油脱硫、天然气脱硫和脱水脱烃、原油外输、天然气外输、变电、注水、回灌和油田总控制中心等功能。本工程原油罐车拉运至哈六联合站处理。</w:t>
            </w:r>
          </w:p>
        </w:tc>
        <w:tc>
          <w:tcPr>
            <w:tcW w:w="524" w:type="pct"/>
            <w:vMerge w:val="continue"/>
            <w:tcBorders>
              <w:tl2br w:val="nil"/>
              <w:tr2bl w:val="nil"/>
            </w:tcBorders>
            <w:vAlign w:val="center"/>
          </w:tcPr>
          <w:p w14:paraId="1ACD5B28">
            <w:pPr>
              <w:pStyle w:val="58"/>
              <w:keepNext w:val="0"/>
              <w:keepLines w:val="0"/>
              <w:pageBreakBefore w:val="0"/>
              <w:widowControl w:val="0"/>
              <w:kinsoku/>
              <w:wordWrap/>
              <w:overflowPunct/>
              <w:topLinePunct w:val="0"/>
              <w:bidi w:val="0"/>
              <w:spacing w:line="240" w:lineRule="auto"/>
              <w:ind w:left="0" w:leftChars="0" w:right="0" w:rightChars="0"/>
              <w:jc w:val="both"/>
              <w:rPr>
                <w:rFonts w:hint="eastAsia" w:ascii="Times New Roman" w:hAnsi="Times New Roman" w:cs="Times New Roman"/>
                <w:b w:val="0"/>
                <w:bCs/>
                <w:color w:val="auto"/>
                <w:sz w:val="21"/>
                <w:szCs w:val="21"/>
                <w:lang w:val="en-US" w:eastAsia="zh-CN"/>
              </w:rPr>
            </w:pPr>
          </w:p>
        </w:tc>
      </w:tr>
      <w:tr w14:paraId="4AE450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00" w:hRule="atLeast"/>
          <w:jc w:val="center"/>
        </w:trPr>
        <w:tc>
          <w:tcPr>
            <w:tcW w:w="250" w:type="pct"/>
            <w:vMerge w:val="continue"/>
            <w:tcBorders>
              <w:tl2br w:val="nil"/>
              <w:tr2bl w:val="nil"/>
            </w:tcBorders>
            <w:vAlign w:val="center"/>
          </w:tcPr>
          <w:p w14:paraId="12D7B0BF">
            <w:pPr>
              <w:pStyle w:val="58"/>
              <w:keepNext w:val="0"/>
              <w:keepLines w:val="0"/>
              <w:pageBreakBefore w:val="0"/>
              <w:widowControl w:val="0"/>
              <w:kinsoku/>
              <w:wordWrap/>
              <w:overflowPunct/>
              <w:topLinePunct w:val="0"/>
              <w:bidi w:val="0"/>
              <w:spacing w:line="240" w:lineRule="auto"/>
              <w:ind w:left="0" w:leftChars="0" w:right="0" w:rightChars="0"/>
              <w:jc w:val="both"/>
              <w:rPr>
                <w:rFonts w:hint="default" w:ascii="Times New Roman" w:hAnsi="Times New Roman" w:eastAsia="宋体" w:cs="Times New Roman"/>
                <w:color w:val="auto"/>
                <w:sz w:val="21"/>
                <w:szCs w:val="21"/>
              </w:rPr>
            </w:pPr>
          </w:p>
        </w:tc>
        <w:tc>
          <w:tcPr>
            <w:tcW w:w="888" w:type="pct"/>
            <w:gridSpan w:val="2"/>
            <w:tcBorders>
              <w:tl2br w:val="nil"/>
              <w:tr2bl w:val="nil"/>
            </w:tcBorders>
            <w:vAlign w:val="center"/>
          </w:tcPr>
          <w:p w14:paraId="48016931">
            <w:pPr>
              <w:pStyle w:val="58"/>
              <w:keepNext w:val="0"/>
              <w:keepLines w:val="0"/>
              <w:pageBreakBefore w:val="0"/>
              <w:widowControl w:val="0"/>
              <w:kinsoku/>
              <w:wordWrap/>
              <w:overflowPunct/>
              <w:topLinePunct w:val="0"/>
              <w:bidi w:val="0"/>
              <w:spacing w:line="240" w:lineRule="auto"/>
              <w:ind w:left="0" w:leftChars="0" w:right="0" w:right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color w:val="auto"/>
                <w:kern w:val="2"/>
                <w:sz w:val="21"/>
                <w:szCs w:val="21"/>
                <w:highlight w:val="none"/>
                <w:lang w:val="en-US" w:eastAsia="zh-CN" w:bidi="ar-SA"/>
              </w:rPr>
              <w:t>英买力油田钻试修废弃物环保处理站</w:t>
            </w:r>
          </w:p>
        </w:tc>
        <w:tc>
          <w:tcPr>
            <w:tcW w:w="3337" w:type="pct"/>
            <w:tcBorders>
              <w:tl2br w:val="nil"/>
              <w:tr2bl w:val="nil"/>
            </w:tcBorders>
            <w:vAlign w:val="center"/>
          </w:tcPr>
          <w:p w14:paraId="0F44D205">
            <w:pPr>
              <w:pStyle w:val="58"/>
              <w:keepNext w:val="0"/>
              <w:keepLines w:val="0"/>
              <w:pageBreakBefore w:val="0"/>
              <w:widowControl w:val="0"/>
              <w:kinsoku/>
              <w:wordWrap/>
              <w:overflowPunct/>
              <w:topLinePunct w:val="0"/>
              <w:bidi w:val="0"/>
              <w:spacing w:line="240" w:lineRule="auto"/>
              <w:ind w:left="0" w:leftChars="0" w:right="0" w:rightChars="0"/>
              <w:jc w:val="both"/>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英买力油田钻试修废弃物环保处理站位于英买力气田内，钻试修废水处理规模300m</w:t>
            </w:r>
            <w:r>
              <w:rPr>
                <w:rFonts w:hint="default" w:ascii="Times New Roman" w:hAnsi="Times New Roman" w:eastAsia="宋体" w:cs="Times New Roman"/>
                <w:b w:val="0"/>
                <w:bCs/>
                <w:color w:val="auto"/>
                <w:kern w:val="2"/>
                <w:sz w:val="21"/>
                <w:szCs w:val="21"/>
                <w:highlight w:val="none"/>
                <w:vertAlign w:val="superscript"/>
                <w:lang w:val="en-US" w:eastAsia="zh-CN" w:bidi="ar-SA"/>
              </w:rPr>
              <w:t>3</w:t>
            </w:r>
            <w:r>
              <w:rPr>
                <w:rFonts w:hint="default" w:ascii="Times New Roman" w:hAnsi="Times New Roman" w:eastAsia="宋体" w:cs="Times New Roman"/>
                <w:b w:val="0"/>
                <w:bCs/>
                <w:color w:val="auto"/>
                <w:kern w:val="2"/>
                <w:sz w:val="21"/>
                <w:szCs w:val="21"/>
                <w:highlight w:val="none"/>
                <w:lang w:val="en-US" w:eastAsia="zh-CN" w:bidi="ar-SA"/>
              </w:rPr>
              <w:t>/d，井下作业废水自带回收罐回收作业废水，拉运至英买力油田钻试修废弃物环保处理站处理</w:t>
            </w:r>
            <w:r>
              <w:rPr>
                <w:rFonts w:hint="eastAsia" w:ascii="Times New Roman" w:hAnsi="Times New Roman" w:cs="Times New Roman"/>
                <w:b w:val="0"/>
                <w:bCs/>
                <w:color w:val="auto"/>
                <w:kern w:val="2"/>
                <w:sz w:val="21"/>
                <w:szCs w:val="21"/>
                <w:highlight w:val="none"/>
                <w:lang w:val="en-US" w:eastAsia="zh-CN" w:bidi="ar-SA"/>
              </w:rPr>
              <w:t>。</w:t>
            </w:r>
          </w:p>
        </w:tc>
        <w:tc>
          <w:tcPr>
            <w:tcW w:w="524" w:type="pct"/>
            <w:vMerge w:val="continue"/>
            <w:tcBorders>
              <w:tl2br w:val="nil"/>
              <w:tr2bl w:val="nil"/>
            </w:tcBorders>
            <w:vAlign w:val="center"/>
          </w:tcPr>
          <w:p w14:paraId="365B4036">
            <w:pPr>
              <w:pStyle w:val="58"/>
              <w:keepNext w:val="0"/>
              <w:keepLines w:val="0"/>
              <w:pageBreakBefore w:val="0"/>
              <w:widowControl w:val="0"/>
              <w:kinsoku/>
              <w:wordWrap/>
              <w:overflowPunct/>
              <w:topLinePunct w:val="0"/>
              <w:bidi w:val="0"/>
              <w:spacing w:line="240" w:lineRule="auto"/>
              <w:ind w:left="0" w:leftChars="0" w:right="0" w:rightChars="0"/>
              <w:jc w:val="both"/>
              <w:rPr>
                <w:rFonts w:hint="default" w:ascii="Times New Roman" w:hAnsi="Times New Roman" w:eastAsia="宋体" w:cs="Times New Roman"/>
                <w:b w:val="0"/>
                <w:bCs/>
                <w:color w:val="auto"/>
                <w:kern w:val="2"/>
                <w:sz w:val="21"/>
                <w:szCs w:val="21"/>
                <w:highlight w:val="yellow"/>
                <w:lang w:val="en-US" w:eastAsia="zh-CN" w:bidi="ar-SA"/>
              </w:rPr>
            </w:pPr>
          </w:p>
        </w:tc>
      </w:tr>
      <w:tr w14:paraId="043201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00" w:hRule="atLeast"/>
          <w:jc w:val="center"/>
        </w:trPr>
        <w:tc>
          <w:tcPr>
            <w:tcW w:w="250" w:type="pct"/>
            <w:vMerge w:val="continue"/>
            <w:tcBorders>
              <w:tl2br w:val="nil"/>
              <w:tr2bl w:val="nil"/>
            </w:tcBorders>
            <w:vAlign w:val="center"/>
          </w:tcPr>
          <w:p w14:paraId="4810AA3A">
            <w:pPr>
              <w:pStyle w:val="58"/>
              <w:keepNext w:val="0"/>
              <w:keepLines w:val="0"/>
              <w:pageBreakBefore w:val="0"/>
              <w:widowControl w:val="0"/>
              <w:kinsoku/>
              <w:wordWrap/>
              <w:overflowPunct/>
              <w:topLinePunct w:val="0"/>
              <w:bidi w:val="0"/>
              <w:spacing w:line="240" w:lineRule="auto"/>
              <w:ind w:left="0" w:leftChars="0" w:right="0" w:rightChars="0"/>
              <w:jc w:val="both"/>
              <w:rPr>
                <w:rFonts w:hint="default" w:ascii="Times New Roman" w:hAnsi="Times New Roman" w:eastAsia="宋体" w:cs="Times New Roman"/>
                <w:color w:val="auto"/>
                <w:sz w:val="21"/>
                <w:szCs w:val="21"/>
              </w:rPr>
            </w:pPr>
          </w:p>
        </w:tc>
        <w:tc>
          <w:tcPr>
            <w:tcW w:w="888" w:type="pct"/>
            <w:gridSpan w:val="2"/>
            <w:tcBorders>
              <w:tl2br w:val="nil"/>
              <w:tr2bl w:val="nil"/>
            </w:tcBorders>
            <w:vAlign w:val="center"/>
          </w:tcPr>
          <w:p w14:paraId="3E3486AF">
            <w:pPr>
              <w:pStyle w:val="58"/>
              <w:keepNext w:val="0"/>
              <w:keepLines w:val="0"/>
              <w:pageBreakBefore w:val="0"/>
              <w:widowControl w:val="0"/>
              <w:kinsoku/>
              <w:wordWrap/>
              <w:overflowPunct/>
              <w:topLinePunct w:val="0"/>
              <w:bidi w:val="0"/>
              <w:spacing w:line="240" w:lineRule="auto"/>
              <w:ind w:left="0" w:leftChars="0" w:right="0" w:rightChars="0"/>
              <w:jc w:val="both"/>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英买7固废填埋场</w:t>
            </w:r>
          </w:p>
        </w:tc>
        <w:tc>
          <w:tcPr>
            <w:tcW w:w="3337" w:type="pct"/>
            <w:tcBorders>
              <w:tl2br w:val="nil"/>
              <w:tr2bl w:val="nil"/>
            </w:tcBorders>
            <w:vAlign w:val="center"/>
          </w:tcPr>
          <w:p w14:paraId="2745311E">
            <w:pPr>
              <w:pStyle w:val="58"/>
              <w:keepNext w:val="0"/>
              <w:keepLines w:val="0"/>
              <w:pageBreakBefore w:val="0"/>
              <w:widowControl w:val="0"/>
              <w:kinsoku/>
              <w:wordWrap/>
              <w:overflowPunct/>
              <w:topLinePunct w:val="0"/>
              <w:bidi w:val="0"/>
              <w:spacing w:line="240" w:lineRule="auto"/>
              <w:ind w:left="0" w:leftChars="0" w:right="0" w:rightChars="0"/>
              <w:jc w:val="both"/>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英买7固废场位于新疆维吾尔自治区阿克苏地区新和县英买力作业区英买7集气站西南侧800m处</w:t>
            </w:r>
            <w:r>
              <w:rPr>
                <w:rFonts w:hint="eastAsia" w:ascii="Times New Roman" w:hAnsi="Times New Roman"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color w:val="auto"/>
                <w:kern w:val="2"/>
                <w:sz w:val="21"/>
                <w:szCs w:val="21"/>
                <w:highlight w:val="none"/>
                <w:lang w:val="en-US" w:eastAsia="zh-CN" w:bidi="ar-SA"/>
              </w:rPr>
              <w:t>本项目施工废料主要包括管材边角料、焊接作业中产生的废焊渣等，首先考虑回收利用，不可回收利用部分拉运至英买作业区英买7固废场填埋处置</w:t>
            </w:r>
            <w:r>
              <w:rPr>
                <w:rFonts w:hint="eastAsia" w:ascii="Times New Roman" w:hAnsi="Times New Roman" w:cs="Times New Roman"/>
                <w:b w:val="0"/>
                <w:bCs/>
                <w:color w:val="auto"/>
                <w:kern w:val="2"/>
                <w:sz w:val="21"/>
                <w:szCs w:val="21"/>
                <w:highlight w:val="none"/>
                <w:lang w:val="en-US" w:eastAsia="zh-CN" w:bidi="ar-SA"/>
              </w:rPr>
              <w:t>。</w:t>
            </w:r>
          </w:p>
        </w:tc>
        <w:tc>
          <w:tcPr>
            <w:tcW w:w="524" w:type="pct"/>
            <w:vMerge w:val="continue"/>
            <w:tcBorders>
              <w:tl2br w:val="nil"/>
              <w:tr2bl w:val="nil"/>
            </w:tcBorders>
            <w:vAlign w:val="center"/>
          </w:tcPr>
          <w:p w14:paraId="2DF974A1">
            <w:pPr>
              <w:pStyle w:val="58"/>
              <w:keepNext w:val="0"/>
              <w:keepLines w:val="0"/>
              <w:pageBreakBefore w:val="0"/>
              <w:widowControl w:val="0"/>
              <w:kinsoku/>
              <w:wordWrap/>
              <w:overflowPunct/>
              <w:topLinePunct w:val="0"/>
              <w:bidi w:val="0"/>
              <w:spacing w:line="240" w:lineRule="auto"/>
              <w:ind w:left="0" w:leftChars="0" w:right="0" w:rightChars="0"/>
              <w:jc w:val="both"/>
              <w:rPr>
                <w:rFonts w:hint="default" w:ascii="Times New Roman" w:hAnsi="Times New Roman" w:eastAsia="宋体" w:cs="Times New Roman"/>
                <w:b w:val="0"/>
                <w:bCs/>
                <w:color w:val="auto"/>
                <w:kern w:val="2"/>
                <w:sz w:val="21"/>
                <w:szCs w:val="21"/>
                <w:highlight w:val="yellow"/>
                <w:lang w:val="en-US" w:eastAsia="zh-CN" w:bidi="ar-SA"/>
              </w:rPr>
            </w:pPr>
          </w:p>
        </w:tc>
      </w:tr>
      <w:tr w14:paraId="2130C9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00" w:hRule="atLeast"/>
          <w:jc w:val="center"/>
        </w:trPr>
        <w:tc>
          <w:tcPr>
            <w:tcW w:w="250" w:type="pct"/>
            <w:vMerge w:val="continue"/>
            <w:tcBorders>
              <w:tl2br w:val="nil"/>
              <w:tr2bl w:val="nil"/>
            </w:tcBorders>
            <w:vAlign w:val="center"/>
          </w:tcPr>
          <w:p w14:paraId="27423DE5">
            <w:pPr>
              <w:pStyle w:val="58"/>
              <w:keepNext w:val="0"/>
              <w:keepLines w:val="0"/>
              <w:pageBreakBefore w:val="0"/>
              <w:widowControl w:val="0"/>
              <w:kinsoku/>
              <w:wordWrap/>
              <w:overflowPunct/>
              <w:topLinePunct w:val="0"/>
              <w:bidi w:val="0"/>
              <w:spacing w:line="240" w:lineRule="auto"/>
              <w:ind w:left="0" w:leftChars="0" w:right="0" w:rightChars="0"/>
              <w:jc w:val="both"/>
              <w:rPr>
                <w:rFonts w:hint="default" w:ascii="Times New Roman" w:hAnsi="Times New Roman" w:eastAsia="宋体" w:cs="Times New Roman"/>
                <w:color w:val="auto"/>
                <w:sz w:val="21"/>
                <w:szCs w:val="21"/>
              </w:rPr>
            </w:pPr>
          </w:p>
        </w:tc>
        <w:tc>
          <w:tcPr>
            <w:tcW w:w="888" w:type="pct"/>
            <w:gridSpan w:val="2"/>
            <w:tcBorders>
              <w:tl2br w:val="nil"/>
              <w:tr2bl w:val="nil"/>
            </w:tcBorders>
            <w:vAlign w:val="center"/>
          </w:tcPr>
          <w:p w14:paraId="615CF2B1">
            <w:pPr>
              <w:pStyle w:val="58"/>
              <w:keepNext w:val="0"/>
              <w:keepLines w:val="0"/>
              <w:pageBreakBefore w:val="0"/>
              <w:widowControl w:val="0"/>
              <w:kinsoku/>
              <w:wordWrap/>
              <w:overflowPunct/>
              <w:topLinePunct w:val="0"/>
              <w:bidi w:val="0"/>
              <w:spacing w:line="240" w:lineRule="auto"/>
              <w:ind w:left="0" w:leftChars="0" w:right="0" w:rightChars="0"/>
              <w:jc w:val="both"/>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英买力作业区公寓生活污水处理装置</w:t>
            </w:r>
          </w:p>
        </w:tc>
        <w:tc>
          <w:tcPr>
            <w:tcW w:w="3337" w:type="pct"/>
            <w:tcBorders>
              <w:tl2br w:val="nil"/>
              <w:tr2bl w:val="nil"/>
            </w:tcBorders>
            <w:vAlign w:val="center"/>
          </w:tcPr>
          <w:p w14:paraId="6CCB0B69">
            <w:pPr>
              <w:pStyle w:val="58"/>
              <w:keepNext w:val="0"/>
              <w:keepLines w:val="0"/>
              <w:pageBreakBefore w:val="0"/>
              <w:widowControl w:val="0"/>
              <w:kinsoku/>
              <w:wordWrap/>
              <w:overflowPunct/>
              <w:topLinePunct w:val="0"/>
              <w:bidi w:val="0"/>
              <w:spacing w:line="240" w:lineRule="auto"/>
              <w:ind w:left="0" w:leftChars="0" w:right="0" w:rightChars="0"/>
              <w:jc w:val="both"/>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英买力作业区生活污水处理装置采用一体化污水处理装置，设计处理规模120m</w:t>
            </w:r>
            <w:r>
              <w:rPr>
                <w:rFonts w:hint="eastAsia" w:ascii="Times New Roman" w:hAnsi="Times New Roman" w:eastAsia="宋体" w:cs="Times New Roman"/>
                <w:b w:val="0"/>
                <w:bCs/>
                <w:color w:val="auto"/>
                <w:kern w:val="2"/>
                <w:sz w:val="21"/>
                <w:szCs w:val="21"/>
                <w:highlight w:val="none"/>
                <w:vertAlign w:val="superscript"/>
                <w:lang w:val="en-US" w:eastAsia="zh-CN" w:bidi="ar-SA"/>
              </w:rPr>
              <w:t>3</w:t>
            </w:r>
            <w:r>
              <w:rPr>
                <w:rFonts w:hint="eastAsia" w:ascii="Times New Roman" w:hAnsi="Times New Roman" w:eastAsia="宋体" w:cs="Times New Roman"/>
                <w:b w:val="0"/>
                <w:bCs/>
                <w:color w:val="auto"/>
                <w:kern w:val="2"/>
                <w:sz w:val="21"/>
                <w:szCs w:val="21"/>
                <w:highlight w:val="none"/>
                <w:lang w:val="en-US" w:eastAsia="zh-CN" w:bidi="ar-SA"/>
              </w:rPr>
              <w:t>/d。生活污水暂存于生活污水池，定期由罐车拉运至英买力作业区生活污水处理装置处置。</w:t>
            </w:r>
          </w:p>
        </w:tc>
        <w:tc>
          <w:tcPr>
            <w:tcW w:w="524" w:type="pct"/>
            <w:vMerge w:val="continue"/>
            <w:tcBorders>
              <w:tl2br w:val="nil"/>
              <w:tr2bl w:val="nil"/>
            </w:tcBorders>
            <w:vAlign w:val="center"/>
          </w:tcPr>
          <w:p w14:paraId="717C0D30">
            <w:pPr>
              <w:pStyle w:val="58"/>
              <w:keepNext w:val="0"/>
              <w:keepLines w:val="0"/>
              <w:pageBreakBefore w:val="0"/>
              <w:widowControl w:val="0"/>
              <w:kinsoku/>
              <w:wordWrap/>
              <w:overflowPunct/>
              <w:topLinePunct w:val="0"/>
              <w:bidi w:val="0"/>
              <w:spacing w:line="240" w:lineRule="auto"/>
              <w:ind w:left="0" w:leftChars="0" w:right="0" w:rightChars="0"/>
              <w:jc w:val="both"/>
              <w:rPr>
                <w:rFonts w:hint="default" w:ascii="Times New Roman" w:hAnsi="Times New Roman" w:eastAsia="宋体" w:cs="Times New Roman"/>
                <w:b w:val="0"/>
                <w:bCs/>
                <w:color w:val="auto"/>
                <w:kern w:val="2"/>
                <w:sz w:val="21"/>
                <w:szCs w:val="21"/>
                <w:highlight w:val="yellow"/>
                <w:lang w:val="en-US" w:eastAsia="zh-CN" w:bidi="ar-SA"/>
              </w:rPr>
            </w:pPr>
          </w:p>
        </w:tc>
      </w:tr>
      <w:tr w14:paraId="5B6093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00" w:hRule="atLeast"/>
          <w:jc w:val="center"/>
        </w:trPr>
        <w:tc>
          <w:tcPr>
            <w:tcW w:w="250" w:type="pct"/>
            <w:vMerge w:val="continue"/>
            <w:tcBorders>
              <w:tl2br w:val="nil"/>
              <w:tr2bl w:val="nil"/>
            </w:tcBorders>
            <w:vAlign w:val="center"/>
          </w:tcPr>
          <w:p w14:paraId="12C6C93F">
            <w:pPr>
              <w:pStyle w:val="58"/>
              <w:keepNext w:val="0"/>
              <w:keepLines w:val="0"/>
              <w:pageBreakBefore w:val="0"/>
              <w:widowControl w:val="0"/>
              <w:kinsoku/>
              <w:wordWrap/>
              <w:overflowPunct/>
              <w:topLinePunct w:val="0"/>
              <w:bidi w:val="0"/>
              <w:spacing w:line="240" w:lineRule="auto"/>
              <w:ind w:left="0" w:leftChars="0" w:right="0" w:rightChars="0"/>
              <w:jc w:val="both"/>
              <w:rPr>
                <w:rFonts w:hint="default" w:ascii="Times New Roman" w:hAnsi="Times New Roman" w:eastAsia="宋体" w:cs="Times New Roman"/>
                <w:color w:val="auto"/>
                <w:sz w:val="21"/>
                <w:szCs w:val="21"/>
              </w:rPr>
            </w:pPr>
          </w:p>
        </w:tc>
        <w:tc>
          <w:tcPr>
            <w:tcW w:w="888" w:type="pct"/>
            <w:gridSpan w:val="2"/>
            <w:tcBorders>
              <w:tl2br w:val="nil"/>
              <w:tr2bl w:val="nil"/>
            </w:tcBorders>
            <w:vAlign w:val="center"/>
          </w:tcPr>
          <w:p w14:paraId="2D8F2B0C">
            <w:pPr>
              <w:pStyle w:val="58"/>
              <w:keepNext w:val="0"/>
              <w:keepLines w:val="0"/>
              <w:pageBreakBefore w:val="0"/>
              <w:widowControl w:val="0"/>
              <w:kinsoku/>
              <w:wordWrap/>
              <w:overflowPunct/>
              <w:topLinePunct w:val="0"/>
              <w:bidi w:val="0"/>
              <w:spacing w:line="240" w:lineRule="auto"/>
              <w:ind w:left="0" w:leftChars="0" w:right="0" w:rightChars="0"/>
              <w:jc w:val="both"/>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温宿县生活垃圾填埋场</w:t>
            </w:r>
          </w:p>
        </w:tc>
        <w:tc>
          <w:tcPr>
            <w:tcW w:w="3337" w:type="pct"/>
            <w:tcBorders>
              <w:tl2br w:val="nil"/>
              <w:tr2bl w:val="nil"/>
            </w:tcBorders>
            <w:vAlign w:val="center"/>
          </w:tcPr>
          <w:p w14:paraId="2A21E7C8">
            <w:pPr>
              <w:pStyle w:val="58"/>
              <w:keepNext w:val="0"/>
              <w:keepLines w:val="0"/>
              <w:pageBreakBefore w:val="0"/>
              <w:widowControl w:val="0"/>
              <w:kinsoku/>
              <w:wordWrap/>
              <w:overflowPunct/>
              <w:topLinePunct w:val="0"/>
              <w:bidi w:val="0"/>
              <w:spacing w:line="240" w:lineRule="auto"/>
              <w:ind w:left="0" w:leftChars="0" w:right="0" w:rightChars="0"/>
              <w:jc w:val="both"/>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温宿县生活垃圾填埋场位于温宿县东北2km处</w:t>
            </w:r>
            <w:r>
              <w:rPr>
                <w:rFonts w:hint="eastAsia" w:ascii="Times New Roman" w:hAnsi="Times New Roman" w:cs="Times New Roman"/>
                <w:b w:val="0"/>
                <w:bCs/>
                <w:color w:val="auto"/>
                <w:kern w:val="2"/>
                <w:sz w:val="21"/>
                <w:szCs w:val="21"/>
                <w:highlight w:val="none"/>
                <w:lang w:val="en-US" w:eastAsia="zh-CN" w:bidi="ar-SA"/>
              </w:rPr>
              <w:t>，填埋场设计日最大处理生活垃圾量为95t/d，目前实际日处理生活垃圾量为86.12t/d，本项目生活垃圾可以</w:t>
            </w:r>
            <w:r>
              <w:rPr>
                <w:rFonts w:hint="default" w:ascii="Times New Roman" w:hAnsi="Times New Roman" w:eastAsia="宋体" w:cs="Times New Roman"/>
                <w:b w:val="0"/>
                <w:bCs/>
                <w:color w:val="auto"/>
                <w:kern w:val="2"/>
                <w:sz w:val="21"/>
                <w:szCs w:val="21"/>
                <w:highlight w:val="none"/>
                <w:lang w:val="en-US" w:eastAsia="zh-CN" w:bidi="ar-SA"/>
              </w:rPr>
              <w:t>委托温宿县垃圾填埋场处理</w:t>
            </w:r>
          </w:p>
        </w:tc>
        <w:tc>
          <w:tcPr>
            <w:tcW w:w="524" w:type="pct"/>
            <w:vMerge w:val="continue"/>
            <w:tcBorders>
              <w:tl2br w:val="nil"/>
              <w:tr2bl w:val="nil"/>
            </w:tcBorders>
            <w:vAlign w:val="center"/>
          </w:tcPr>
          <w:p w14:paraId="1D3F41AA">
            <w:pPr>
              <w:pStyle w:val="58"/>
              <w:keepNext w:val="0"/>
              <w:keepLines w:val="0"/>
              <w:pageBreakBefore w:val="0"/>
              <w:widowControl w:val="0"/>
              <w:kinsoku/>
              <w:wordWrap/>
              <w:overflowPunct/>
              <w:topLinePunct w:val="0"/>
              <w:bidi w:val="0"/>
              <w:spacing w:line="240" w:lineRule="auto"/>
              <w:ind w:left="0" w:leftChars="0" w:right="0" w:rightChars="0"/>
              <w:jc w:val="both"/>
              <w:rPr>
                <w:rFonts w:hint="default" w:ascii="Times New Roman" w:hAnsi="Times New Roman" w:eastAsia="宋体" w:cs="Times New Roman"/>
                <w:b w:val="0"/>
                <w:bCs/>
                <w:color w:val="auto"/>
                <w:kern w:val="2"/>
                <w:sz w:val="21"/>
                <w:szCs w:val="21"/>
                <w:highlight w:val="yellow"/>
                <w:lang w:val="en-US" w:eastAsia="zh-CN" w:bidi="ar-SA"/>
              </w:rPr>
            </w:pPr>
          </w:p>
        </w:tc>
      </w:tr>
    </w:tbl>
    <w:p w14:paraId="3E9D4000">
      <w:pPr>
        <w:pStyle w:val="79"/>
        <w:bidi w:val="0"/>
        <w:rPr>
          <w:rFonts w:hint="default"/>
          <w:color w:val="auto"/>
          <w:lang w:val="en-US" w:eastAsia="zh-CN"/>
        </w:rPr>
      </w:pPr>
      <w:bookmarkStart w:id="241" w:name="OLE_LINK269"/>
      <w:bookmarkStart w:id="242" w:name="OLE_LINK273"/>
      <w:bookmarkStart w:id="243" w:name="OLE_LINK359"/>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lang w:val="en-US" w:eastAsia="zh-CN"/>
        </w:rPr>
        <w:t>劳动定员、施工组织</w:t>
      </w:r>
    </w:p>
    <w:bookmarkEnd w:id="241"/>
    <w:p w14:paraId="0BF7873C">
      <w:pPr>
        <w:pStyle w:val="79"/>
        <w:bidi w:val="0"/>
        <w:rPr>
          <w:rFonts w:hint="eastAsia"/>
          <w:color w:val="auto"/>
          <w:lang w:val="en-US" w:eastAsia="zh-CN"/>
        </w:rPr>
      </w:pPr>
      <w:bookmarkStart w:id="244" w:name="OLE_LINK275"/>
      <w:bookmarkStart w:id="245" w:name="OLE_LINK360"/>
      <w:r>
        <w:rPr>
          <w:rFonts w:hint="eastAsia"/>
          <w:color w:val="auto"/>
          <w:lang w:val="en-US" w:eastAsia="zh-CN"/>
        </w:rPr>
        <w:t>本工程运营期</w:t>
      </w:r>
      <w:bookmarkStart w:id="246" w:name="OLE_LINK271"/>
      <w:r>
        <w:rPr>
          <w:rFonts w:hint="eastAsia"/>
          <w:color w:val="auto"/>
          <w:lang w:val="en-US" w:eastAsia="zh-CN"/>
        </w:rPr>
        <w:t>依托现有雄探1井场工作人员</w:t>
      </w:r>
      <w:bookmarkEnd w:id="244"/>
      <w:r>
        <w:rPr>
          <w:rFonts w:hint="eastAsia"/>
          <w:color w:val="auto"/>
          <w:lang w:val="en-US" w:eastAsia="zh-CN"/>
        </w:rPr>
        <w:t>9人，在雄探1试采点外设置有1处生活点，设置有8座营房（7个房间、1个值班室），</w:t>
      </w:r>
      <w:bookmarkStart w:id="247" w:name="OLE_LINK224"/>
      <w:r>
        <w:rPr>
          <w:rFonts w:hint="eastAsia"/>
          <w:color w:val="auto"/>
          <w:lang w:val="en-US" w:eastAsia="zh-CN"/>
        </w:rPr>
        <w:t>年</w:t>
      </w:r>
      <w:bookmarkStart w:id="248" w:name="OLE_LINK280"/>
      <w:r>
        <w:rPr>
          <w:rFonts w:hint="eastAsia"/>
          <w:color w:val="auto"/>
          <w:lang w:val="en-US" w:eastAsia="zh-CN"/>
        </w:rPr>
        <w:t>运行时间</w:t>
      </w:r>
      <w:bookmarkEnd w:id="248"/>
      <w:r>
        <w:rPr>
          <w:rFonts w:hint="eastAsia"/>
          <w:color w:val="auto"/>
          <w:lang w:val="en-US" w:eastAsia="zh-CN"/>
        </w:rPr>
        <w:t>7200h（300天）。</w:t>
      </w:r>
      <w:bookmarkEnd w:id="246"/>
    </w:p>
    <w:bookmarkEnd w:id="242"/>
    <w:bookmarkEnd w:id="247"/>
    <w:p w14:paraId="529949C0">
      <w:pPr>
        <w:pStyle w:val="79"/>
        <w:bidi w:val="0"/>
        <w:rPr>
          <w:rFonts w:hint="eastAsia"/>
          <w:color w:val="auto"/>
          <w:lang w:val="en-US" w:eastAsia="zh-CN"/>
        </w:rPr>
      </w:pPr>
      <w:r>
        <w:rPr>
          <w:rFonts w:hint="eastAsia"/>
          <w:color w:val="auto"/>
          <w:lang w:val="en-US" w:eastAsia="zh-CN"/>
        </w:rPr>
        <w:t>本工程施工人员预计30人，有效施工天数90天，工程施工期不设置施工营地。</w:t>
      </w:r>
    </w:p>
    <w:bookmarkEnd w:id="243"/>
    <w:bookmarkEnd w:id="245"/>
    <w:p w14:paraId="3699B114">
      <w:pPr>
        <w:pStyle w:val="55"/>
        <w:bidi w:val="0"/>
        <w:rPr>
          <w:rFonts w:hint="default"/>
          <w:color w:val="auto"/>
        </w:rPr>
      </w:pPr>
      <w:r>
        <w:rPr>
          <w:rFonts w:hint="default"/>
          <w:color w:val="auto"/>
        </w:rPr>
        <w:t>3.</w:t>
      </w:r>
      <w:r>
        <w:rPr>
          <w:rFonts w:hint="eastAsia"/>
          <w:color w:val="auto"/>
          <w:lang w:val="en-US" w:eastAsia="zh-CN"/>
        </w:rPr>
        <w:t xml:space="preserve">2.4.1 </w:t>
      </w:r>
      <w:r>
        <w:rPr>
          <w:rFonts w:hint="default"/>
          <w:color w:val="auto"/>
        </w:rPr>
        <w:t>主体工程</w:t>
      </w:r>
    </w:p>
    <w:p w14:paraId="0612E434">
      <w:pPr>
        <w:pStyle w:val="79"/>
        <w:bidi w:val="0"/>
        <w:rPr>
          <w:rFonts w:hint="default"/>
          <w:color w:val="auto"/>
        </w:rPr>
      </w:pPr>
      <w:r>
        <w:rPr>
          <w:rFonts w:hint="default"/>
          <w:color w:val="auto"/>
        </w:rPr>
        <w:t>主体工程包括</w:t>
      </w:r>
      <w:r>
        <w:rPr>
          <w:rFonts w:hint="eastAsia"/>
          <w:color w:val="auto"/>
          <w:lang w:eastAsia="zh-CN"/>
        </w:rPr>
        <w:t>：</w:t>
      </w:r>
      <w:r>
        <w:rPr>
          <w:rFonts w:hint="eastAsia"/>
          <w:color w:val="auto"/>
          <w:lang w:val="en-US" w:eastAsia="zh-CN"/>
        </w:rPr>
        <w:t>地面</w:t>
      </w:r>
      <w:r>
        <w:rPr>
          <w:rFonts w:hint="default"/>
          <w:color w:val="auto"/>
        </w:rPr>
        <w:t>工程</w:t>
      </w:r>
      <w:r>
        <w:rPr>
          <w:rFonts w:hint="eastAsia"/>
          <w:color w:val="auto"/>
          <w:lang w:eastAsia="zh-CN"/>
        </w:rPr>
        <w:t>（</w:t>
      </w:r>
      <w:r>
        <w:rPr>
          <w:rFonts w:hint="eastAsia"/>
          <w:color w:val="auto"/>
          <w:lang w:val="en-US" w:eastAsia="zh-CN"/>
        </w:rPr>
        <w:t>井场工程、站场工程</w:t>
      </w:r>
      <w:r>
        <w:rPr>
          <w:rFonts w:hint="eastAsia"/>
          <w:color w:val="auto"/>
          <w:lang w:eastAsia="zh-CN"/>
        </w:rPr>
        <w:t>）</w:t>
      </w:r>
      <w:r>
        <w:rPr>
          <w:rFonts w:hint="eastAsia"/>
          <w:color w:val="auto"/>
          <w:lang w:val="en-US" w:eastAsia="zh-CN"/>
        </w:rPr>
        <w:t>、</w:t>
      </w:r>
      <w:r>
        <w:rPr>
          <w:rFonts w:hint="default"/>
          <w:color w:val="auto"/>
        </w:rPr>
        <w:t>集输工程。</w:t>
      </w:r>
    </w:p>
    <w:p w14:paraId="2D5A4CE9">
      <w:pPr>
        <w:pStyle w:val="79"/>
        <w:bidi w:val="0"/>
        <w:rPr>
          <w:rFonts w:hint="default"/>
          <w:color w:val="auto"/>
          <w:lang w:val="en-US" w:eastAsia="zh-CN"/>
        </w:rPr>
      </w:pPr>
      <w:r>
        <w:rPr>
          <w:rFonts w:hint="eastAsia"/>
          <w:color w:val="auto"/>
          <w:lang w:val="en-US" w:eastAsia="zh-CN"/>
        </w:rPr>
        <w:t>（1）井场工程</w:t>
      </w:r>
    </w:p>
    <w:p w14:paraId="5BF16812">
      <w:pPr>
        <w:pStyle w:val="79"/>
        <w:bidi w:val="0"/>
        <w:rPr>
          <w:rFonts w:hint="default"/>
          <w:color w:val="auto"/>
          <w:lang w:eastAsia="zh-CN"/>
        </w:rPr>
      </w:pPr>
      <w:r>
        <w:rPr>
          <w:rFonts w:hint="eastAsia"/>
          <w:color w:val="auto"/>
          <w:lang w:val="en-US" w:eastAsia="zh-CN"/>
        </w:rPr>
        <w:t>本工程新建采油井场5座：雄英101井、雄英102井、雄英103井、雄英2井、雄英3井，改造1座采油井场（雄探1井）。本工程</w:t>
      </w:r>
      <w:r>
        <w:rPr>
          <w:rFonts w:hint="default"/>
          <w:color w:val="auto"/>
          <w:lang w:eastAsia="zh-CN"/>
        </w:rPr>
        <w:t>单井井场采用0201-I-2型常温抗硫集输井场（DN80 6.3MPa）标准化</w:t>
      </w:r>
      <w:r>
        <w:rPr>
          <w:rFonts w:hint="eastAsia"/>
          <w:color w:val="auto"/>
          <w:lang w:val="en-US" w:eastAsia="zh-CN"/>
        </w:rPr>
        <w:t>设计</w:t>
      </w:r>
      <w:r>
        <w:rPr>
          <w:rFonts w:hint="default"/>
          <w:color w:val="auto"/>
          <w:lang w:eastAsia="zh-CN"/>
        </w:rPr>
        <w:t>，通过油嘴套一级节流后直接出井场外输，通过单井集输管道输至</w:t>
      </w:r>
      <w:r>
        <w:rPr>
          <w:rFonts w:hint="eastAsia"/>
          <w:color w:val="auto"/>
          <w:lang w:val="en-US" w:eastAsia="zh-CN"/>
        </w:rPr>
        <w:t>雄探1</w:t>
      </w:r>
      <w:r>
        <w:rPr>
          <w:rFonts w:hint="default"/>
          <w:color w:val="auto"/>
          <w:lang w:eastAsia="zh-CN"/>
        </w:rPr>
        <w:t>试采</w:t>
      </w:r>
      <w:r>
        <w:rPr>
          <w:rFonts w:hint="eastAsia"/>
          <w:color w:val="auto"/>
          <w:lang w:val="en-US" w:eastAsia="zh-CN"/>
        </w:rPr>
        <w:t>点</w:t>
      </w:r>
      <w:r>
        <w:rPr>
          <w:rFonts w:hint="eastAsia"/>
          <w:color w:val="auto"/>
          <w:lang w:eastAsia="zh-CN"/>
        </w:rPr>
        <w:t>。</w:t>
      </w:r>
      <w:r>
        <w:rPr>
          <w:rFonts w:hint="default"/>
          <w:color w:val="auto"/>
          <w:lang w:eastAsia="zh-CN"/>
        </w:rPr>
        <w:t>本工程单井井场压力操作范围0.5~5.7MPa，设计压力级为6.3MPa。</w:t>
      </w:r>
      <w:r>
        <w:rPr>
          <w:rFonts w:hint="eastAsia"/>
          <w:color w:val="auto"/>
          <w:lang w:val="en-US" w:eastAsia="zh-CN"/>
        </w:rPr>
        <w:t>井场平面布置图见下图3.2-2。</w:t>
      </w:r>
    </w:p>
    <w:p w14:paraId="7BEC1C38">
      <w:pPr>
        <w:pStyle w:val="79"/>
        <w:bidi w:val="0"/>
        <w:rPr>
          <w:rFonts w:hint="default"/>
          <w:color w:val="auto"/>
          <w:lang w:val="en-US" w:eastAsia="zh-CN"/>
        </w:rPr>
      </w:pPr>
      <w:r>
        <w:rPr>
          <w:rFonts w:hint="eastAsia"/>
          <w:color w:val="auto"/>
          <w:lang w:val="en-US" w:eastAsia="zh-CN"/>
        </w:rPr>
        <w:t>井场主要工程量见表3.2-9。</w:t>
      </w:r>
    </w:p>
    <w:p w14:paraId="0DD1924A">
      <w:pPr>
        <w:pStyle w:val="61"/>
        <w:bidi w:val="0"/>
        <w:jc w:val="both"/>
        <w:rPr>
          <w:rFonts w:hint="eastAsia"/>
          <w:color w:val="auto"/>
          <w:lang w:val="en-US" w:eastAsia="zh-CN"/>
        </w:rPr>
      </w:pPr>
    </w:p>
    <w:p w14:paraId="244166EA">
      <w:pPr>
        <w:pStyle w:val="61"/>
        <w:bidi w:val="0"/>
        <w:jc w:val="both"/>
        <w:rPr>
          <w:rFonts w:hint="default"/>
          <w:color w:val="auto"/>
          <w:lang w:val="en-US" w:eastAsia="zh-CN"/>
        </w:rPr>
      </w:pPr>
      <w:r>
        <w:rPr>
          <w:rFonts w:hint="eastAsia"/>
          <w:color w:val="auto"/>
          <w:lang w:val="en-US" w:eastAsia="zh-CN"/>
        </w:rPr>
        <w:t>表3.2-9   单座井场主要工程量一览表</w:t>
      </w:r>
    </w:p>
    <w:tbl>
      <w:tblPr>
        <w:tblStyle w:val="36"/>
        <w:tblW w:w="501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46"/>
        <w:gridCol w:w="3510"/>
        <w:gridCol w:w="809"/>
        <w:gridCol w:w="793"/>
        <w:gridCol w:w="2818"/>
      </w:tblGrid>
      <w:tr w14:paraId="1AD99A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3" w:hRule="atLeast"/>
          <w:tblHeader/>
          <w:jc w:val="center"/>
        </w:trPr>
        <w:tc>
          <w:tcPr>
            <w:tcW w:w="430" w:type="pct"/>
            <w:tcBorders>
              <w:tl2br w:val="nil"/>
              <w:tr2bl w:val="nil"/>
            </w:tcBorders>
            <w:noWrap w:val="0"/>
            <w:vAlign w:val="top"/>
          </w:tcPr>
          <w:p w14:paraId="21C895C3">
            <w:pPr>
              <w:pStyle w:val="158"/>
              <w:keepNext w:val="0"/>
              <w:keepLines w:val="0"/>
              <w:pageBreakBefore w:val="0"/>
              <w:kinsoku/>
              <w:wordWrap/>
              <w:overflowPunct/>
              <w:topLinePunct w:val="0"/>
              <w:autoSpaceDE/>
              <w:autoSpaceDN/>
              <w:bidi w:val="0"/>
              <w:snapToGrid/>
              <w:spacing w:line="240" w:lineRule="auto"/>
              <w:rPr>
                <w:i w:val="0"/>
                <w:iCs w:val="0"/>
                <w:color w:val="auto"/>
                <w:highlight w:val="none"/>
              </w:rPr>
            </w:pPr>
            <w:r>
              <w:rPr>
                <w:rFonts w:hint="eastAsia"/>
                <w:i w:val="0"/>
                <w:iCs w:val="0"/>
                <w:color w:val="auto"/>
                <w:highlight w:val="none"/>
              </w:rPr>
              <w:t>序号</w:t>
            </w:r>
          </w:p>
        </w:tc>
        <w:tc>
          <w:tcPr>
            <w:tcW w:w="2022" w:type="pct"/>
            <w:tcBorders>
              <w:tl2br w:val="nil"/>
              <w:tr2bl w:val="nil"/>
            </w:tcBorders>
            <w:noWrap w:val="0"/>
            <w:vAlign w:val="top"/>
          </w:tcPr>
          <w:p w14:paraId="2400264E">
            <w:pPr>
              <w:pStyle w:val="158"/>
              <w:keepNext w:val="0"/>
              <w:keepLines w:val="0"/>
              <w:pageBreakBefore w:val="0"/>
              <w:kinsoku/>
              <w:wordWrap/>
              <w:overflowPunct/>
              <w:topLinePunct w:val="0"/>
              <w:autoSpaceDE/>
              <w:autoSpaceDN/>
              <w:bidi w:val="0"/>
              <w:snapToGrid/>
              <w:spacing w:line="240" w:lineRule="auto"/>
              <w:rPr>
                <w:i w:val="0"/>
                <w:iCs w:val="0"/>
                <w:color w:val="auto"/>
                <w:highlight w:val="none"/>
              </w:rPr>
            </w:pPr>
            <w:r>
              <w:rPr>
                <w:rFonts w:hint="eastAsia"/>
                <w:i w:val="0"/>
                <w:iCs w:val="0"/>
                <w:color w:val="auto"/>
                <w:highlight w:val="none"/>
              </w:rPr>
              <w:t>工程内容</w:t>
            </w:r>
          </w:p>
        </w:tc>
        <w:tc>
          <w:tcPr>
            <w:tcW w:w="466" w:type="pct"/>
            <w:tcBorders>
              <w:tl2br w:val="nil"/>
              <w:tr2bl w:val="nil"/>
            </w:tcBorders>
            <w:noWrap w:val="0"/>
            <w:vAlign w:val="top"/>
          </w:tcPr>
          <w:p w14:paraId="61CC287D">
            <w:pPr>
              <w:pStyle w:val="158"/>
              <w:keepNext w:val="0"/>
              <w:keepLines w:val="0"/>
              <w:pageBreakBefore w:val="0"/>
              <w:kinsoku/>
              <w:wordWrap/>
              <w:overflowPunct/>
              <w:topLinePunct w:val="0"/>
              <w:autoSpaceDE/>
              <w:autoSpaceDN/>
              <w:bidi w:val="0"/>
              <w:snapToGrid/>
              <w:spacing w:line="240" w:lineRule="auto"/>
              <w:rPr>
                <w:i w:val="0"/>
                <w:iCs w:val="0"/>
                <w:color w:val="auto"/>
                <w:highlight w:val="none"/>
              </w:rPr>
            </w:pPr>
            <w:r>
              <w:rPr>
                <w:rFonts w:hint="eastAsia"/>
                <w:i w:val="0"/>
                <w:iCs w:val="0"/>
                <w:color w:val="auto"/>
                <w:highlight w:val="none"/>
              </w:rPr>
              <w:t>单位</w:t>
            </w:r>
          </w:p>
        </w:tc>
        <w:tc>
          <w:tcPr>
            <w:tcW w:w="457" w:type="pct"/>
            <w:tcBorders>
              <w:tl2br w:val="nil"/>
              <w:tr2bl w:val="nil"/>
            </w:tcBorders>
            <w:noWrap w:val="0"/>
            <w:vAlign w:val="top"/>
          </w:tcPr>
          <w:p w14:paraId="6A24D3E2">
            <w:pPr>
              <w:pStyle w:val="158"/>
              <w:keepNext w:val="0"/>
              <w:keepLines w:val="0"/>
              <w:pageBreakBefore w:val="0"/>
              <w:kinsoku/>
              <w:wordWrap/>
              <w:overflowPunct/>
              <w:topLinePunct w:val="0"/>
              <w:autoSpaceDE/>
              <w:autoSpaceDN/>
              <w:bidi w:val="0"/>
              <w:snapToGrid/>
              <w:spacing w:line="240" w:lineRule="auto"/>
              <w:rPr>
                <w:i w:val="0"/>
                <w:iCs w:val="0"/>
                <w:color w:val="auto"/>
                <w:highlight w:val="none"/>
              </w:rPr>
            </w:pPr>
            <w:r>
              <w:rPr>
                <w:rFonts w:hint="eastAsia"/>
                <w:i w:val="0"/>
                <w:iCs w:val="0"/>
                <w:color w:val="auto"/>
                <w:highlight w:val="none"/>
              </w:rPr>
              <w:t>数量</w:t>
            </w:r>
          </w:p>
        </w:tc>
        <w:tc>
          <w:tcPr>
            <w:tcW w:w="1623" w:type="pct"/>
            <w:tcBorders>
              <w:tl2br w:val="nil"/>
              <w:tr2bl w:val="nil"/>
            </w:tcBorders>
            <w:noWrap w:val="0"/>
            <w:vAlign w:val="top"/>
          </w:tcPr>
          <w:p w14:paraId="25FD8A46">
            <w:pPr>
              <w:pStyle w:val="158"/>
              <w:keepNext w:val="0"/>
              <w:keepLines w:val="0"/>
              <w:pageBreakBefore w:val="0"/>
              <w:kinsoku/>
              <w:wordWrap/>
              <w:overflowPunct/>
              <w:topLinePunct w:val="0"/>
              <w:autoSpaceDE/>
              <w:autoSpaceDN/>
              <w:bidi w:val="0"/>
              <w:snapToGrid/>
              <w:spacing w:line="240" w:lineRule="auto"/>
              <w:rPr>
                <w:i w:val="0"/>
                <w:iCs w:val="0"/>
                <w:color w:val="auto"/>
                <w:highlight w:val="none"/>
              </w:rPr>
            </w:pPr>
            <w:r>
              <w:rPr>
                <w:rFonts w:hint="eastAsia"/>
                <w:i w:val="0"/>
                <w:iCs w:val="0"/>
                <w:color w:val="auto"/>
                <w:highlight w:val="none"/>
              </w:rPr>
              <w:t>备注</w:t>
            </w:r>
          </w:p>
        </w:tc>
      </w:tr>
      <w:tr w14:paraId="2113AC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1" w:hRule="atLeast"/>
          <w:jc w:val="center"/>
        </w:trPr>
        <w:tc>
          <w:tcPr>
            <w:tcW w:w="2452" w:type="pct"/>
            <w:gridSpan w:val="2"/>
            <w:tcBorders>
              <w:tl2br w:val="nil"/>
              <w:tr2bl w:val="nil"/>
            </w:tcBorders>
            <w:noWrap w:val="0"/>
            <w:vAlign w:val="center"/>
          </w:tcPr>
          <w:p w14:paraId="4665B4D6">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i w:val="0"/>
                <w:iCs w:val="0"/>
                <w:color w:val="auto"/>
                <w:sz w:val="21"/>
                <w:szCs w:val="21"/>
                <w:highlight w:val="none"/>
              </w:rPr>
            </w:pPr>
            <w:r>
              <w:rPr>
                <w:rFonts w:hint="eastAsia"/>
                <w:i w:val="0"/>
                <w:iCs w:val="0"/>
                <w:color w:val="auto"/>
                <w:kern w:val="0"/>
                <w:sz w:val="21"/>
                <w:szCs w:val="21"/>
                <w:highlight w:val="none"/>
                <w:lang w:val="en-US" w:eastAsia="zh-CN" w:bidi="ar"/>
              </w:rPr>
              <w:t>油</w:t>
            </w:r>
            <w:r>
              <w:rPr>
                <w:i w:val="0"/>
                <w:iCs w:val="0"/>
                <w:color w:val="auto"/>
                <w:kern w:val="0"/>
                <w:sz w:val="21"/>
                <w:szCs w:val="21"/>
                <w:highlight w:val="none"/>
                <w:lang w:bidi="ar"/>
              </w:rPr>
              <w:t>井标准化井场</w:t>
            </w:r>
          </w:p>
        </w:tc>
        <w:tc>
          <w:tcPr>
            <w:tcW w:w="466" w:type="pct"/>
            <w:tcBorders>
              <w:tl2br w:val="nil"/>
              <w:tr2bl w:val="nil"/>
            </w:tcBorders>
            <w:noWrap w:val="0"/>
            <w:vAlign w:val="center"/>
          </w:tcPr>
          <w:p w14:paraId="6D85F619">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座</w:t>
            </w:r>
          </w:p>
        </w:tc>
        <w:tc>
          <w:tcPr>
            <w:tcW w:w="457" w:type="pct"/>
            <w:tcBorders>
              <w:tl2br w:val="nil"/>
              <w:tr2bl w:val="nil"/>
            </w:tcBorders>
            <w:noWrap w:val="0"/>
            <w:vAlign w:val="center"/>
          </w:tcPr>
          <w:p w14:paraId="4ED578B2">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eastAsia="宋体"/>
                <w:i w:val="0"/>
                <w:iCs w:val="0"/>
                <w:color w:val="auto"/>
                <w:sz w:val="21"/>
                <w:szCs w:val="21"/>
                <w:highlight w:val="none"/>
                <w:lang w:eastAsia="zh-CN"/>
              </w:rPr>
            </w:pPr>
            <w:r>
              <w:rPr>
                <w:rFonts w:hint="eastAsia"/>
                <w:i w:val="0"/>
                <w:iCs w:val="0"/>
                <w:color w:val="auto"/>
                <w:kern w:val="0"/>
                <w:sz w:val="21"/>
                <w:szCs w:val="21"/>
                <w:highlight w:val="none"/>
                <w:lang w:val="en-US" w:eastAsia="zh-CN" w:bidi="ar"/>
              </w:rPr>
              <w:t>1</w:t>
            </w:r>
          </w:p>
        </w:tc>
        <w:tc>
          <w:tcPr>
            <w:tcW w:w="1623" w:type="pct"/>
            <w:tcBorders>
              <w:tl2br w:val="nil"/>
              <w:tr2bl w:val="nil"/>
            </w:tcBorders>
            <w:noWrap w:val="0"/>
            <w:vAlign w:val="top"/>
          </w:tcPr>
          <w:p w14:paraId="4B14489F">
            <w:pPr>
              <w:pStyle w:val="158"/>
              <w:keepNext w:val="0"/>
              <w:keepLines w:val="0"/>
              <w:pageBreakBefore w:val="0"/>
              <w:kinsoku/>
              <w:wordWrap/>
              <w:overflowPunct/>
              <w:topLinePunct w:val="0"/>
              <w:autoSpaceDE/>
              <w:autoSpaceDN/>
              <w:bidi w:val="0"/>
              <w:snapToGrid/>
              <w:spacing w:line="240" w:lineRule="auto"/>
              <w:rPr>
                <w:i w:val="0"/>
                <w:iCs w:val="0"/>
                <w:color w:val="auto"/>
                <w:highlight w:val="none"/>
              </w:rPr>
            </w:pPr>
            <w:r>
              <w:rPr>
                <w:rFonts w:hint="eastAsia"/>
                <w:i w:val="0"/>
                <w:iCs w:val="0"/>
                <w:color w:val="auto"/>
                <w:highlight w:val="none"/>
                <w:lang w:eastAsia="zh-CN"/>
              </w:rPr>
              <w:t>雄探</w:t>
            </w:r>
            <w:r>
              <w:rPr>
                <w:rFonts w:hint="eastAsia"/>
                <w:i w:val="0"/>
                <w:iCs w:val="0"/>
                <w:color w:val="auto"/>
                <w:highlight w:val="none"/>
                <w:lang w:val="en-US" w:eastAsia="zh-CN"/>
              </w:rPr>
              <w:t>1井部分设备利旧</w:t>
            </w:r>
          </w:p>
        </w:tc>
      </w:tr>
      <w:tr w14:paraId="2565E2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430" w:type="pct"/>
            <w:tcBorders>
              <w:tl2br w:val="nil"/>
              <w:tr2bl w:val="nil"/>
            </w:tcBorders>
            <w:noWrap w:val="0"/>
            <w:vAlign w:val="center"/>
          </w:tcPr>
          <w:p w14:paraId="5BE2589F">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eastAsia="宋体"/>
                <w:i w:val="0"/>
                <w:iCs w:val="0"/>
                <w:color w:val="auto"/>
                <w:sz w:val="21"/>
                <w:szCs w:val="21"/>
                <w:highlight w:val="none"/>
                <w:lang w:eastAsia="zh-CN"/>
              </w:rPr>
            </w:pPr>
            <w:r>
              <w:rPr>
                <w:rFonts w:hint="eastAsia"/>
                <w:i w:val="0"/>
                <w:iCs w:val="0"/>
                <w:color w:val="auto"/>
                <w:kern w:val="0"/>
                <w:sz w:val="21"/>
                <w:szCs w:val="21"/>
                <w:highlight w:val="none"/>
                <w:lang w:val="en-US" w:eastAsia="zh-CN" w:bidi="ar"/>
              </w:rPr>
              <w:t>1</w:t>
            </w:r>
          </w:p>
        </w:tc>
        <w:tc>
          <w:tcPr>
            <w:tcW w:w="2022" w:type="pct"/>
            <w:tcBorders>
              <w:tl2br w:val="nil"/>
              <w:tr2bl w:val="nil"/>
            </w:tcBorders>
            <w:noWrap w:val="0"/>
            <w:vAlign w:val="center"/>
          </w:tcPr>
          <w:p w14:paraId="466C3FE5">
            <w:pPr>
              <w:keepNext w:val="0"/>
              <w:keepLines w:val="0"/>
              <w:pageBreakBefore w:val="0"/>
              <w:widowControl/>
              <w:kinsoku/>
              <w:wordWrap/>
              <w:overflowPunct/>
              <w:topLinePunct w:val="0"/>
              <w:autoSpaceDE/>
              <w:autoSpaceDN/>
              <w:bidi w:val="0"/>
              <w:snapToGrid/>
              <w:spacing w:line="240" w:lineRule="auto"/>
              <w:ind w:left="57" w:firstLine="0" w:firstLineChars="0"/>
              <w:jc w:val="left"/>
              <w:textAlignment w:val="center"/>
              <w:rPr>
                <w:rFonts w:hint="eastAsia"/>
                <w:i w:val="0"/>
                <w:iCs w:val="0"/>
                <w:color w:val="auto"/>
                <w:sz w:val="21"/>
                <w:szCs w:val="21"/>
                <w:highlight w:val="none"/>
              </w:rPr>
            </w:pPr>
            <w:r>
              <w:rPr>
                <w:rFonts w:hint="eastAsia"/>
                <w:i w:val="0"/>
                <w:iCs w:val="0"/>
                <w:color w:val="auto"/>
                <w:sz w:val="21"/>
                <w:szCs w:val="21"/>
                <w:highlight w:val="none"/>
                <w:lang w:val="en-US" w:eastAsia="zh-CN"/>
              </w:rPr>
              <w:t>采油树</w:t>
            </w:r>
          </w:p>
        </w:tc>
        <w:tc>
          <w:tcPr>
            <w:tcW w:w="466" w:type="pct"/>
            <w:tcBorders>
              <w:tl2br w:val="nil"/>
              <w:tr2bl w:val="nil"/>
            </w:tcBorders>
            <w:noWrap w:val="0"/>
            <w:vAlign w:val="center"/>
          </w:tcPr>
          <w:p w14:paraId="166B85E3">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cs="Times New Roman"/>
                <w:i w:val="0"/>
                <w:iCs w:val="0"/>
                <w:color w:val="auto"/>
                <w:kern w:val="2"/>
                <w:sz w:val="21"/>
                <w:szCs w:val="21"/>
                <w:highlight w:val="none"/>
                <w:lang w:val="en-US" w:eastAsia="zh-CN" w:bidi="ar-SA"/>
              </w:rPr>
            </w:pPr>
            <w:r>
              <w:rPr>
                <w:i w:val="0"/>
                <w:iCs w:val="0"/>
                <w:color w:val="auto"/>
                <w:kern w:val="0"/>
                <w:sz w:val="21"/>
                <w:szCs w:val="21"/>
                <w:highlight w:val="none"/>
                <w:lang w:bidi="ar"/>
              </w:rPr>
              <w:t>座</w:t>
            </w:r>
          </w:p>
        </w:tc>
        <w:tc>
          <w:tcPr>
            <w:tcW w:w="457" w:type="pct"/>
            <w:tcBorders>
              <w:tl2br w:val="nil"/>
              <w:tr2bl w:val="nil"/>
            </w:tcBorders>
            <w:noWrap w:val="0"/>
            <w:vAlign w:val="center"/>
          </w:tcPr>
          <w:p w14:paraId="1F53A8A5">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cs="Times New Roman"/>
                <w:i w:val="0"/>
                <w:iCs w:val="0"/>
                <w:color w:val="auto"/>
                <w:kern w:val="2"/>
                <w:sz w:val="21"/>
                <w:szCs w:val="21"/>
                <w:highlight w:val="none"/>
                <w:lang w:val="en-US" w:eastAsia="zh-CN" w:bidi="ar-SA"/>
              </w:rPr>
            </w:pPr>
            <w:r>
              <w:rPr>
                <w:rFonts w:hint="eastAsia" w:eastAsia="宋体"/>
                <w:i w:val="0"/>
                <w:iCs w:val="0"/>
                <w:color w:val="auto"/>
                <w:sz w:val="21"/>
                <w:szCs w:val="21"/>
                <w:highlight w:val="none"/>
                <w:lang w:val="en-US" w:eastAsia="zh-CN"/>
              </w:rPr>
              <w:t>1</w:t>
            </w:r>
          </w:p>
        </w:tc>
        <w:tc>
          <w:tcPr>
            <w:tcW w:w="1623" w:type="pct"/>
            <w:tcBorders>
              <w:tl2br w:val="nil"/>
              <w:tr2bl w:val="nil"/>
            </w:tcBorders>
            <w:noWrap w:val="0"/>
            <w:vAlign w:val="top"/>
          </w:tcPr>
          <w:p w14:paraId="74227FDC">
            <w:pPr>
              <w:pStyle w:val="158"/>
              <w:keepNext w:val="0"/>
              <w:keepLines w:val="0"/>
              <w:pageBreakBefore w:val="0"/>
              <w:kinsoku/>
              <w:wordWrap/>
              <w:overflowPunct/>
              <w:topLinePunct w:val="0"/>
              <w:autoSpaceDE/>
              <w:autoSpaceDN/>
              <w:bidi w:val="0"/>
              <w:snapToGrid/>
              <w:spacing w:line="240" w:lineRule="auto"/>
              <w:rPr>
                <w:rFonts w:hint="default" w:eastAsia="宋体"/>
                <w:i w:val="0"/>
                <w:iCs w:val="0"/>
                <w:color w:val="auto"/>
                <w:highlight w:val="none"/>
                <w:lang w:val="en-US" w:eastAsia="zh-CN"/>
              </w:rPr>
            </w:pPr>
          </w:p>
        </w:tc>
      </w:tr>
      <w:tr w14:paraId="3D7BAD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430" w:type="pct"/>
            <w:tcBorders>
              <w:tl2br w:val="nil"/>
              <w:tr2bl w:val="nil"/>
            </w:tcBorders>
            <w:noWrap w:val="0"/>
            <w:vAlign w:val="center"/>
          </w:tcPr>
          <w:p w14:paraId="0C446630">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eastAsia="宋体"/>
                <w:i w:val="0"/>
                <w:iCs w:val="0"/>
                <w:color w:val="auto"/>
                <w:sz w:val="21"/>
                <w:szCs w:val="21"/>
                <w:highlight w:val="none"/>
                <w:lang w:eastAsia="zh-CN"/>
              </w:rPr>
            </w:pPr>
            <w:r>
              <w:rPr>
                <w:rFonts w:hint="eastAsia"/>
                <w:i w:val="0"/>
                <w:iCs w:val="0"/>
                <w:color w:val="auto"/>
                <w:kern w:val="0"/>
                <w:sz w:val="21"/>
                <w:szCs w:val="21"/>
                <w:highlight w:val="none"/>
                <w:lang w:val="en-US" w:eastAsia="zh-CN" w:bidi="ar"/>
              </w:rPr>
              <w:t>2</w:t>
            </w:r>
          </w:p>
        </w:tc>
        <w:tc>
          <w:tcPr>
            <w:tcW w:w="2022" w:type="pct"/>
            <w:tcBorders>
              <w:tl2br w:val="nil"/>
              <w:tr2bl w:val="nil"/>
            </w:tcBorders>
            <w:noWrap w:val="0"/>
            <w:vAlign w:val="center"/>
          </w:tcPr>
          <w:p w14:paraId="69680F29">
            <w:pPr>
              <w:keepNext w:val="0"/>
              <w:keepLines w:val="0"/>
              <w:pageBreakBefore w:val="0"/>
              <w:widowControl/>
              <w:kinsoku/>
              <w:wordWrap/>
              <w:overflowPunct/>
              <w:topLinePunct w:val="0"/>
              <w:autoSpaceDE/>
              <w:autoSpaceDN/>
              <w:bidi w:val="0"/>
              <w:snapToGrid/>
              <w:spacing w:line="240" w:lineRule="auto"/>
              <w:ind w:left="57" w:firstLine="0" w:firstLineChars="0"/>
              <w:jc w:val="left"/>
              <w:textAlignment w:val="center"/>
              <w:rPr>
                <w:i w:val="0"/>
                <w:iCs w:val="0"/>
                <w:color w:val="auto"/>
                <w:sz w:val="21"/>
                <w:szCs w:val="21"/>
                <w:highlight w:val="none"/>
              </w:rPr>
            </w:pPr>
            <w:r>
              <w:rPr>
                <w:rFonts w:hint="eastAsia"/>
                <w:i w:val="0"/>
                <w:iCs w:val="0"/>
                <w:color w:val="auto"/>
                <w:kern w:val="0"/>
                <w:sz w:val="21"/>
                <w:szCs w:val="21"/>
                <w:highlight w:val="none"/>
                <w:lang w:eastAsia="zh-CN" w:bidi="ar"/>
              </w:rPr>
              <w:t>加药橇</w:t>
            </w:r>
          </w:p>
        </w:tc>
        <w:tc>
          <w:tcPr>
            <w:tcW w:w="466" w:type="pct"/>
            <w:tcBorders>
              <w:tl2br w:val="nil"/>
              <w:tr2bl w:val="nil"/>
            </w:tcBorders>
            <w:noWrap w:val="0"/>
            <w:vAlign w:val="center"/>
          </w:tcPr>
          <w:p w14:paraId="1899F383">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座</w:t>
            </w:r>
          </w:p>
        </w:tc>
        <w:tc>
          <w:tcPr>
            <w:tcW w:w="457" w:type="pct"/>
            <w:tcBorders>
              <w:tl2br w:val="nil"/>
              <w:tr2bl w:val="nil"/>
            </w:tcBorders>
            <w:noWrap w:val="0"/>
            <w:vAlign w:val="center"/>
          </w:tcPr>
          <w:p w14:paraId="2B59F4F3">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default" w:eastAsia="宋体"/>
                <w:i w:val="0"/>
                <w:iCs w:val="0"/>
                <w:color w:val="auto"/>
                <w:sz w:val="21"/>
                <w:szCs w:val="21"/>
                <w:highlight w:val="none"/>
                <w:lang w:val="en-US" w:eastAsia="zh-CN"/>
              </w:rPr>
            </w:pPr>
            <w:r>
              <w:rPr>
                <w:rFonts w:hint="eastAsia" w:eastAsia="宋体"/>
                <w:i w:val="0"/>
                <w:iCs w:val="0"/>
                <w:color w:val="auto"/>
                <w:sz w:val="21"/>
                <w:szCs w:val="21"/>
                <w:highlight w:val="none"/>
                <w:lang w:val="en-US" w:eastAsia="zh-CN"/>
              </w:rPr>
              <w:t>1</w:t>
            </w:r>
          </w:p>
        </w:tc>
        <w:tc>
          <w:tcPr>
            <w:tcW w:w="1623" w:type="pct"/>
            <w:tcBorders>
              <w:tl2br w:val="nil"/>
              <w:tr2bl w:val="nil"/>
            </w:tcBorders>
            <w:noWrap w:val="0"/>
            <w:vAlign w:val="top"/>
          </w:tcPr>
          <w:p w14:paraId="00F58284">
            <w:pPr>
              <w:pStyle w:val="158"/>
              <w:keepNext w:val="0"/>
              <w:keepLines w:val="0"/>
              <w:pageBreakBefore w:val="0"/>
              <w:kinsoku/>
              <w:wordWrap/>
              <w:overflowPunct/>
              <w:topLinePunct w:val="0"/>
              <w:autoSpaceDE/>
              <w:autoSpaceDN/>
              <w:bidi w:val="0"/>
              <w:snapToGrid/>
              <w:spacing w:line="240" w:lineRule="auto"/>
              <w:jc w:val="both"/>
              <w:rPr>
                <w:rFonts w:hint="default"/>
                <w:i w:val="0"/>
                <w:iCs w:val="0"/>
                <w:color w:val="auto"/>
                <w:highlight w:val="none"/>
                <w:lang w:val="en-US" w:eastAsia="zh-CN"/>
              </w:rPr>
            </w:pPr>
          </w:p>
        </w:tc>
      </w:tr>
      <w:tr w14:paraId="20DB63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62" w:hRule="atLeast"/>
          <w:jc w:val="center"/>
        </w:trPr>
        <w:tc>
          <w:tcPr>
            <w:tcW w:w="430" w:type="pct"/>
            <w:tcBorders>
              <w:tl2br w:val="nil"/>
              <w:tr2bl w:val="nil"/>
            </w:tcBorders>
            <w:noWrap w:val="0"/>
            <w:vAlign w:val="center"/>
          </w:tcPr>
          <w:p w14:paraId="44EB74E2">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default"/>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3</w:t>
            </w:r>
          </w:p>
        </w:tc>
        <w:tc>
          <w:tcPr>
            <w:tcW w:w="2022" w:type="pct"/>
            <w:tcBorders>
              <w:tl2br w:val="nil"/>
              <w:tr2bl w:val="nil"/>
            </w:tcBorders>
            <w:noWrap w:val="0"/>
            <w:vAlign w:val="center"/>
          </w:tcPr>
          <w:p w14:paraId="5A9E0C27">
            <w:pPr>
              <w:keepNext w:val="0"/>
              <w:keepLines w:val="0"/>
              <w:pageBreakBefore w:val="0"/>
              <w:widowControl/>
              <w:kinsoku/>
              <w:wordWrap/>
              <w:overflowPunct/>
              <w:topLinePunct w:val="0"/>
              <w:autoSpaceDE/>
              <w:autoSpaceDN/>
              <w:bidi w:val="0"/>
              <w:snapToGrid/>
              <w:spacing w:line="240" w:lineRule="auto"/>
              <w:ind w:left="57" w:firstLine="0" w:firstLineChars="0"/>
              <w:jc w:val="left"/>
              <w:textAlignment w:val="center"/>
              <w:rPr>
                <w:rFonts w:hint="default"/>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RTU</w:t>
            </w:r>
          </w:p>
        </w:tc>
        <w:tc>
          <w:tcPr>
            <w:tcW w:w="466" w:type="pct"/>
            <w:tcBorders>
              <w:tl2br w:val="nil"/>
              <w:tr2bl w:val="nil"/>
            </w:tcBorders>
            <w:noWrap w:val="0"/>
            <w:vAlign w:val="center"/>
          </w:tcPr>
          <w:p w14:paraId="0F4685DE">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i w:val="0"/>
                <w:iCs w:val="0"/>
                <w:color w:val="auto"/>
                <w:kern w:val="0"/>
                <w:sz w:val="21"/>
                <w:szCs w:val="21"/>
                <w:highlight w:val="none"/>
                <w:lang w:bidi="ar"/>
              </w:rPr>
            </w:pPr>
            <w:r>
              <w:rPr>
                <w:i w:val="0"/>
                <w:iCs w:val="0"/>
                <w:color w:val="auto"/>
                <w:kern w:val="0"/>
                <w:sz w:val="21"/>
                <w:szCs w:val="21"/>
                <w:highlight w:val="none"/>
                <w:lang w:bidi="ar"/>
              </w:rPr>
              <w:t>座</w:t>
            </w:r>
          </w:p>
        </w:tc>
        <w:tc>
          <w:tcPr>
            <w:tcW w:w="457" w:type="pct"/>
            <w:tcBorders>
              <w:tl2br w:val="nil"/>
              <w:tr2bl w:val="nil"/>
            </w:tcBorders>
            <w:noWrap w:val="0"/>
            <w:vAlign w:val="center"/>
          </w:tcPr>
          <w:p w14:paraId="0C9A4114">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default" w:eastAsia="宋体"/>
                <w:i w:val="0"/>
                <w:iCs w:val="0"/>
                <w:color w:val="auto"/>
                <w:sz w:val="21"/>
                <w:szCs w:val="21"/>
                <w:highlight w:val="none"/>
                <w:lang w:val="en-US" w:eastAsia="zh-CN"/>
              </w:rPr>
            </w:pPr>
            <w:r>
              <w:rPr>
                <w:rFonts w:hint="eastAsia"/>
                <w:i w:val="0"/>
                <w:iCs w:val="0"/>
                <w:color w:val="auto"/>
                <w:sz w:val="21"/>
                <w:szCs w:val="21"/>
                <w:highlight w:val="none"/>
                <w:lang w:val="en-US" w:eastAsia="zh-CN"/>
              </w:rPr>
              <w:t>1</w:t>
            </w:r>
          </w:p>
        </w:tc>
        <w:tc>
          <w:tcPr>
            <w:tcW w:w="1623" w:type="pct"/>
            <w:tcBorders>
              <w:tl2br w:val="nil"/>
              <w:tr2bl w:val="nil"/>
            </w:tcBorders>
            <w:noWrap w:val="0"/>
            <w:vAlign w:val="top"/>
          </w:tcPr>
          <w:p w14:paraId="6F7389E6">
            <w:pPr>
              <w:pStyle w:val="158"/>
              <w:keepNext w:val="0"/>
              <w:keepLines w:val="0"/>
              <w:pageBreakBefore w:val="0"/>
              <w:kinsoku/>
              <w:wordWrap/>
              <w:overflowPunct/>
              <w:topLinePunct w:val="0"/>
              <w:autoSpaceDE/>
              <w:autoSpaceDN/>
              <w:bidi w:val="0"/>
              <w:snapToGrid/>
              <w:spacing w:line="240" w:lineRule="auto"/>
              <w:rPr>
                <w:rFonts w:hint="eastAsia" w:eastAsia="宋体"/>
                <w:i w:val="0"/>
                <w:iCs w:val="0"/>
                <w:color w:val="auto"/>
                <w:highlight w:val="none"/>
                <w:lang w:val="en-US" w:eastAsia="zh-CN"/>
              </w:rPr>
            </w:pPr>
          </w:p>
        </w:tc>
      </w:tr>
      <w:tr w14:paraId="01C5D7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430" w:type="pct"/>
            <w:tcBorders>
              <w:tl2br w:val="nil"/>
              <w:tr2bl w:val="nil"/>
            </w:tcBorders>
            <w:noWrap w:val="0"/>
            <w:vAlign w:val="center"/>
          </w:tcPr>
          <w:p w14:paraId="6837DE30">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eastAsia="宋体"/>
                <w:i w:val="0"/>
                <w:iCs w:val="0"/>
                <w:color w:val="auto"/>
                <w:sz w:val="21"/>
                <w:szCs w:val="21"/>
                <w:highlight w:val="none"/>
                <w:lang w:eastAsia="zh-CN"/>
              </w:rPr>
            </w:pPr>
            <w:r>
              <w:rPr>
                <w:rFonts w:hint="eastAsia"/>
                <w:i w:val="0"/>
                <w:iCs w:val="0"/>
                <w:color w:val="auto"/>
                <w:sz w:val="21"/>
                <w:szCs w:val="21"/>
                <w:highlight w:val="none"/>
                <w:lang w:val="en-US" w:eastAsia="zh-CN"/>
              </w:rPr>
              <w:t>4</w:t>
            </w:r>
          </w:p>
        </w:tc>
        <w:tc>
          <w:tcPr>
            <w:tcW w:w="2022" w:type="pct"/>
            <w:tcBorders>
              <w:tl2br w:val="nil"/>
              <w:tr2bl w:val="nil"/>
            </w:tcBorders>
            <w:noWrap w:val="0"/>
            <w:vAlign w:val="center"/>
          </w:tcPr>
          <w:p w14:paraId="2DB24CB1">
            <w:pPr>
              <w:keepNext w:val="0"/>
              <w:keepLines w:val="0"/>
              <w:pageBreakBefore w:val="0"/>
              <w:widowControl/>
              <w:kinsoku/>
              <w:wordWrap/>
              <w:overflowPunct/>
              <w:topLinePunct w:val="0"/>
              <w:autoSpaceDE/>
              <w:autoSpaceDN/>
              <w:bidi w:val="0"/>
              <w:snapToGrid/>
              <w:spacing w:line="240" w:lineRule="auto"/>
              <w:ind w:left="57" w:leftChars="0" w:firstLine="0" w:firstLineChars="0"/>
              <w:jc w:val="left"/>
              <w:textAlignment w:val="center"/>
              <w:rPr>
                <w:rFonts w:hint="eastAsia"/>
                <w:i w:val="0"/>
                <w:iCs w:val="0"/>
                <w:color w:val="auto"/>
                <w:kern w:val="2"/>
                <w:sz w:val="21"/>
                <w:szCs w:val="21"/>
                <w:highlight w:val="none"/>
                <w:lang w:val="en-US" w:eastAsia="zh-CN" w:bidi="ar-SA"/>
              </w:rPr>
            </w:pPr>
            <w:r>
              <w:rPr>
                <w:rFonts w:hint="eastAsia"/>
                <w:i w:val="0"/>
                <w:iCs w:val="0"/>
                <w:color w:val="auto"/>
                <w:sz w:val="21"/>
                <w:szCs w:val="21"/>
                <w:highlight w:val="none"/>
              </w:rPr>
              <w:t>井口取样器</w:t>
            </w:r>
          </w:p>
        </w:tc>
        <w:tc>
          <w:tcPr>
            <w:tcW w:w="466" w:type="pct"/>
            <w:tcBorders>
              <w:tl2br w:val="nil"/>
              <w:tr2bl w:val="nil"/>
            </w:tcBorders>
            <w:noWrap w:val="0"/>
            <w:vAlign w:val="center"/>
          </w:tcPr>
          <w:p w14:paraId="6375356B">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i w:val="0"/>
                <w:iCs w:val="0"/>
                <w:color w:val="auto"/>
                <w:kern w:val="2"/>
                <w:sz w:val="21"/>
                <w:szCs w:val="21"/>
                <w:highlight w:val="none"/>
                <w:lang w:val="en-US" w:eastAsia="zh-CN" w:bidi="ar-SA"/>
              </w:rPr>
            </w:pPr>
            <w:r>
              <w:rPr>
                <w:rFonts w:hint="eastAsia"/>
                <w:i w:val="0"/>
                <w:iCs w:val="0"/>
                <w:color w:val="auto"/>
                <w:sz w:val="21"/>
                <w:szCs w:val="21"/>
                <w:highlight w:val="none"/>
              </w:rPr>
              <w:t>套</w:t>
            </w:r>
          </w:p>
        </w:tc>
        <w:tc>
          <w:tcPr>
            <w:tcW w:w="457" w:type="pct"/>
            <w:tcBorders>
              <w:tl2br w:val="nil"/>
              <w:tr2bl w:val="nil"/>
            </w:tcBorders>
            <w:noWrap w:val="0"/>
            <w:vAlign w:val="center"/>
          </w:tcPr>
          <w:p w14:paraId="75217921">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eastAsia="宋体"/>
                <w:i w:val="0"/>
                <w:iCs w:val="0"/>
                <w:color w:val="auto"/>
                <w:kern w:val="2"/>
                <w:sz w:val="21"/>
                <w:szCs w:val="21"/>
                <w:highlight w:val="none"/>
                <w:lang w:val="en-US" w:eastAsia="zh-CN" w:bidi="ar-SA"/>
              </w:rPr>
            </w:pPr>
            <w:r>
              <w:rPr>
                <w:rFonts w:hint="eastAsia"/>
                <w:i w:val="0"/>
                <w:iCs w:val="0"/>
                <w:color w:val="auto"/>
                <w:kern w:val="0"/>
                <w:sz w:val="21"/>
                <w:szCs w:val="21"/>
                <w:highlight w:val="none"/>
                <w:lang w:val="en-US" w:eastAsia="zh-CN" w:bidi="ar"/>
              </w:rPr>
              <w:t>1</w:t>
            </w:r>
          </w:p>
        </w:tc>
        <w:tc>
          <w:tcPr>
            <w:tcW w:w="1623" w:type="pct"/>
            <w:tcBorders>
              <w:tl2br w:val="nil"/>
              <w:tr2bl w:val="nil"/>
            </w:tcBorders>
            <w:noWrap w:val="0"/>
            <w:vAlign w:val="top"/>
          </w:tcPr>
          <w:p w14:paraId="28A31564">
            <w:pPr>
              <w:pStyle w:val="158"/>
              <w:keepNext w:val="0"/>
              <w:keepLines w:val="0"/>
              <w:pageBreakBefore w:val="0"/>
              <w:kinsoku/>
              <w:wordWrap/>
              <w:overflowPunct/>
              <w:topLinePunct w:val="0"/>
              <w:autoSpaceDE/>
              <w:autoSpaceDN/>
              <w:bidi w:val="0"/>
              <w:snapToGrid/>
              <w:spacing w:line="240" w:lineRule="auto"/>
              <w:rPr>
                <w:i w:val="0"/>
                <w:iCs w:val="0"/>
                <w:color w:val="auto"/>
                <w:highlight w:val="none"/>
              </w:rPr>
            </w:pPr>
          </w:p>
        </w:tc>
      </w:tr>
      <w:tr w14:paraId="5F23B0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2" w:hRule="atLeast"/>
          <w:jc w:val="center"/>
        </w:trPr>
        <w:tc>
          <w:tcPr>
            <w:tcW w:w="430" w:type="pct"/>
            <w:tcBorders>
              <w:tl2br w:val="nil"/>
              <w:tr2bl w:val="nil"/>
            </w:tcBorders>
            <w:noWrap w:val="0"/>
            <w:vAlign w:val="center"/>
          </w:tcPr>
          <w:p w14:paraId="2CE51825">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default"/>
                <w:i w:val="0"/>
                <w:iCs w:val="0"/>
                <w:color w:val="auto"/>
                <w:sz w:val="21"/>
                <w:szCs w:val="21"/>
                <w:highlight w:val="none"/>
                <w:lang w:val="en-US" w:eastAsia="zh-CN"/>
              </w:rPr>
            </w:pPr>
            <w:r>
              <w:rPr>
                <w:rFonts w:hint="eastAsia"/>
                <w:i w:val="0"/>
                <w:iCs w:val="0"/>
                <w:color w:val="auto"/>
                <w:sz w:val="21"/>
                <w:szCs w:val="21"/>
                <w:highlight w:val="none"/>
                <w:lang w:val="en-US" w:eastAsia="zh-CN"/>
              </w:rPr>
              <w:t>5</w:t>
            </w:r>
          </w:p>
        </w:tc>
        <w:tc>
          <w:tcPr>
            <w:tcW w:w="2022" w:type="pct"/>
            <w:tcBorders>
              <w:tl2br w:val="nil"/>
              <w:tr2bl w:val="nil"/>
            </w:tcBorders>
            <w:noWrap w:val="0"/>
            <w:vAlign w:val="center"/>
          </w:tcPr>
          <w:p w14:paraId="67879E64">
            <w:pPr>
              <w:keepNext w:val="0"/>
              <w:keepLines w:val="0"/>
              <w:pageBreakBefore w:val="0"/>
              <w:widowControl/>
              <w:kinsoku/>
              <w:wordWrap/>
              <w:overflowPunct/>
              <w:topLinePunct w:val="0"/>
              <w:autoSpaceDE/>
              <w:autoSpaceDN/>
              <w:bidi w:val="0"/>
              <w:snapToGrid/>
              <w:spacing w:line="240" w:lineRule="auto"/>
              <w:ind w:left="57" w:leftChars="0" w:firstLine="0" w:firstLineChars="0"/>
              <w:jc w:val="left"/>
              <w:textAlignment w:val="center"/>
              <w:rPr>
                <w:rFonts w:hint="default" w:eastAsia="宋体"/>
                <w:i w:val="0"/>
                <w:iCs w:val="0"/>
                <w:color w:val="auto"/>
                <w:sz w:val="21"/>
                <w:szCs w:val="21"/>
                <w:highlight w:val="none"/>
                <w:lang w:val="en-US" w:eastAsia="zh-CN"/>
              </w:rPr>
            </w:pPr>
            <w:r>
              <w:rPr>
                <w:rFonts w:hint="eastAsia"/>
                <w:i w:val="0"/>
                <w:iCs w:val="0"/>
                <w:color w:val="auto"/>
                <w:sz w:val="21"/>
                <w:szCs w:val="21"/>
                <w:highlight w:val="none"/>
                <w:lang w:val="en-US" w:eastAsia="zh-CN"/>
              </w:rPr>
              <w:t>设备间</w:t>
            </w:r>
          </w:p>
        </w:tc>
        <w:tc>
          <w:tcPr>
            <w:tcW w:w="466" w:type="pct"/>
            <w:tcBorders>
              <w:tl2br w:val="nil"/>
              <w:tr2bl w:val="nil"/>
            </w:tcBorders>
            <w:noWrap w:val="0"/>
            <w:vAlign w:val="center"/>
          </w:tcPr>
          <w:p w14:paraId="6E14BEF7">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i w:val="0"/>
                <w:iCs w:val="0"/>
                <w:color w:val="auto"/>
                <w:sz w:val="21"/>
                <w:szCs w:val="21"/>
                <w:highlight w:val="none"/>
              </w:rPr>
            </w:pPr>
            <w:r>
              <w:rPr>
                <w:i w:val="0"/>
                <w:iCs w:val="0"/>
                <w:color w:val="auto"/>
                <w:kern w:val="0"/>
                <w:sz w:val="21"/>
                <w:szCs w:val="21"/>
                <w:highlight w:val="none"/>
                <w:lang w:bidi="ar"/>
              </w:rPr>
              <w:t>座</w:t>
            </w:r>
          </w:p>
        </w:tc>
        <w:tc>
          <w:tcPr>
            <w:tcW w:w="457" w:type="pct"/>
            <w:tcBorders>
              <w:tl2br w:val="nil"/>
              <w:tr2bl w:val="nil"/>
            </w:tcBorders>
            <w:noWrap w:val="0"/>
            <w:vAlign w:val="center"/>
          </w:tcPr>
          <w:p w14:paraId="03D0EC21">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eastAsia"/>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1</w:t>
            </w:r>
          </w:p>
        </w:tc>
        <w:tc>
          <w:tcPr>
            <w:tcW w:w="1623" w:type="pct"/>
            <w:tcBorders>
              <w:tl2br w:val="nil"/>
              <w:tr2bl w:val="nil"/>
            </w:tcBorders>
            <w:noWrap w:val="0"/>
            <w:vAlign w:val="top"/>
          </w:tcPr>
          <w:p w14:paraId="14A4E12C">
            <w:pPr>
              <w:pStyle w:val="158"/>
              <w:keepNext w:val="0"/>
              <w:keepLines w:val="0"/>
              <w:pageBreakBefore w:val="0"/>
              <w:kinsoku/>
              <w:wordWrap/>
              <w:overflowPunct/>
              <w:topLinePunct w:val="0"/>
              <w:autoSpaceDE/>
              <w:autoSpaceDN/>
              <w:bidi w:val="0"/>
              <w:snapToGrid/>
              <w:spacing w:line="240" w:lineRule="auto"/>
              <w:rPr>
                <w:i w:val="0"/>
                <w:iCs w:val="0"/>
                <w:color w:val="auto"/>
                <w:highlight w:val="none"/>
              </w:rPr>
            </w:pPr>
          </w:p>
        </w:tc>
      </w:tr>
    </w:tbl>
    <w:p w14:paraId="4EEFF7AC">
      <w:pPr>
        <w:bidi w:val="0"/>
        <w:rPr>
          <w:rFonts w:hint="eastAsia" w:eastAsia="宋体"/>
          <w:color w:val="auto"/>
          <w:lang w:eastAsia="zh-CN"/>
        </w:rPr>
      </w:pPr>
    </w:p>
    <w:p w14:paraId="24C50B8C">
      <w:pPr>
        <w:bidi w:val="0"/>
        <w:jc w:val="center"/>
        <w:rPr>
          <w:rFonts w:hint="eastAsia" w:ascii="黑体" w:hAnsi="黑体" w:eastAsia="黑体" w:cs="黑体"/>
          <w:b/>
          <w:bCs/>
          <w:color w:val="auto"/>
          <w:sz w:val="24"/>
          <w:szCs w:val="24"/>
          <w:lang w:val="en-US" w:eastAsia="zh-CN"/>
        </w:rPr>
      </w:pPr>
    </w:p>
    <w:p w14:paraId="0EB6D7C5">
      <w:pPr>
        <w:bidi w:val="0"/>
        <w:jc w:val="center"/>
        <w:rPr>
          <w:rFonts w:hint="eastAsia" w:ascii="黑体" w:hAnsi="黑体" w:eastAsia="黑体" w:cs="黑体"/>
          <w:b/>
          <w:bCs/>
          <w:color w:val="auto"/>
          <w:sz w:val="24"/>
          <w:szCs w:val="24"/>
          <w:lang w:val="en-US" w:eastAsia="zh-CN"/>
        </w:rPr>
      </w:pPr>
    </w:p>
    <w:p w14:paraId="55D0CBE0">
      <w:pPr>
        <w:bidi w:val="0"/>
        <w:jc w:val="center"/>
        <w:rPr>
          <w:rFonts w:hint="eastAsia" w:ascii="黑体" w:hAnsi="黑体" w:eastAsia="黑体" w:cs="黑体"/>
          <w:b/>
          <w:bCs/>
          <w:color w:val="auto"/>
          <w:sz w:val="24"/>
          <w:szCs w:val="24"/>
          <w:lang w:val="en-US" w:eastAsia="zh-CN"/>
        </w:rPr>
      </w:pPr>
    </w:p>
    <w:p w14:paraId="19C64DCF">
      <w:pPr>
        <w:bidi w:val="0"/>
        <w:jc w:val="center"/>
        <w:rPr>
          <w:rFonts w:hint="eastAsia" w:ascii="黑体" w:hAnsi="黑体" w:eastAsia="黑体" w:cs="黑体"/>
          <w:b/>
          <w:bCs/>
          <w:color w:val="auto"/>
          <w:sz w:val="24"/>
          <w:szCs w:val="24"/>
          <w:lang w:val="en-US" w:eastAsia="zh-CN"/>
        </w:rPr>
      </w:pPr>
    </w:p>
    <w:p w14:paraId="4B47AC9A">
      <w:pPr>
        <w:bidi w:val="0"/>
        <w:jc w:val="center"/>
        <w:rPr>
          <w:rFonts w:hint="eastAsia" w:ascii="黑体" w:hAnsi="黑体" w:eastAsia="黑体" w:cs="黑体"/>
          <w:b/>
          <w:bCs/>
          <w:color w:val="auto"/>
          <w:sz w:val="24"/>
          <w:szCs w:val="24"/>
          <w:lang w:val="en-US" w:eastAsia="zh-CN"/>
        </w:rPr>
      </w:pPr>
    </w:p>
    <w:p w14:paraId="09A895D4">
      <w:pPr>
        <w:bidi w:val="0"/>
        <w:jc w:val="center"/>
        <w:rPr>
          <w:rFonts w:hint="eastAsia" w:ascii="黑体" w:hAnsi="黑体" w:eastAsia="黑体" w:cs="黑体"/>
          <w:b/>
          <w:bCs/>
          <w:color w:val="auto"/>
          <w:sz w:val="24"/>
          <w:szCs w:val="24"/>
          <w:lang w:val="en-US" w:eastAsia="zh-CN"/>
        </w:rPr>
      </w:pPr>
    </w:p>
    <w:p w14:paraId="160A081A">
      <w:pPr>
        <w:bidi w:val="0"/>
        <w:jc w:val="center"/>
        <w:rPr>
          <w:rFonts w:hint="eastAsia" w:ascii="黑体" w:hAnsi="黑体" w:eastAsia="黑体" w:cs="黑体"/>
          <w:b/>
          <w:bCs/>
          <w:color w:val="auto"/>
          <w:sz w:val="24"/>
          <w:szCs w:val="24"/>
          <w:lang w:val="en-US" w:eastAsia="zh-CN"/>
        </w:rPr>
      </w:pPr>
    </w:p>
    <w:p w14:paraId="574B178B">
      <w:pPr>
        <w:bidi w:val="0"/>
        <w:jc w:val="center"/>
        <w:rPr>
          <w:rFonts w:hint="eastAsia" w:ascii="黑体" w:hAnsi="黑体" w:eastAsia="黑体" w:cs="黑体"/>
          <w:b/>
          <w:bCs/>
          <w:color w:val="auto"/>
          <w:sz w:val="24"/>
          <w:szCs w:val="24"/>
          <w:lang w:val="en-US" w:eastAsia="zh-CN"/>
        </w:rPr>
      </w:pPr>
    </w:p>
    <w:p w14:paraId="2E9730C1">
      <w:pPr>
        <w:bidi w:val="0"/>
        <w:jc w:val="center"/>
        <w:rPr>
          <w:rFonts w:hint="eastAsia" w:ascii="黑体" w:hAnsi="黑体" w:eastAsia="黑体" w:cs="黑体"/>
          <w:b/>
          <w:bCs/>
          <w:color w:val="auto"/>
          <w:sz w:val="24"/>
          <w:szCs w:val="24"/>
          <w:lang w:val="en-US" w:eastAsia="zh-CN"/>
        </w:rPr>
      </w:pPr>
    </w:p>
    <w:p w14:paraId="1B62D420">
      <w:pPr>
        <w:bidi w:val="0"/>
        <w:jc w:val="center"/>
        <w:rPr>
          <w:rFonts w:hint="eastAsia" w:ascii="黑体" w:hAnsi="黑体" w:eastAsia="黑体" w:cs="黑体"/>
          <w:b/>
          <w:bCs/>
          <w:color w:val="auto"/>
          <w:sz w:val="24"/>
          <w:szCs w:val="24"/>
          <w:lang w:val="en-US" w:eastAsia="zh-CN"/>
        </w:rPr>
      </w:pPr>
    </w:p>
    <w:p w14:paraId="1A81024A">
      <w:pPr>
        <w:bidi w:val="0"/>
        <w:jc w:val="center"/>
        <w:rPr>
          <w:rFonts w:hint="eastAsia" w:ascii="黑体" w:hAnsi="黑体" w:eastAsia="黑体" w:cs="黑体"/>
          <w:b/>
          <w:bCs/>
          <w:color w:val="auto"/>
          <w:sz w:val="24"/>
          <w:szCs w:val="24"/>
          <w:lang w:val="en-US" w:eastAsia="zh-CN"/>
        </w:rPr>
      </w:pPr>
    </w:p>
    <w:p w14:paraId="29401D7C">
      <w:pPr>
        <w:bidi w:val="0"/>
        <w:jc w:val="center"/>
        <w:rPr>
          <w:rFonts w:hint="eastAsia" w:ascii="黑体" w:hAnsi="黑体" w:eastAsia="黑体" w:cs="黑体"/>
          <w:b/>
          <w:bCs/>
          <w:color w:val="auto"/>
          <w:sz w:val="24"/>
          <w:szCs w:val="24"/>
          <w:lang w:val="en-US" w:eastAsia="zh-CN"/>
        </w:rPr>
      </w:pPr>
    </w:p>
    <w:p w14:paraId="57991F4D">
      <w:pPr>
        <w:bidi w:val="0"/>
        <w:jc w:val="center"/>
        <w:rPr>
          <w:rFonts w:hint="eastAsia" w:ascii="黑体" w:hAnsi="黑体" w:eastAsia="黑体" w:cs="黑体"/>
          <w:b/>
          <w:bCs/>
          <w:color w:val="auto"/>
          <w:sz w:val="24"/>
          <w:szCs w:val="24"/>
          <w:lang w:val="en-US" w:eastAsia="zh-CN"/>
        </w:rPr>
      </w:pPr>
    </w:p>
    <w:p w14:paraId="0DC59B01">
      <w:pPr>
        <w:bidi w:val="0"/>
        <w:jc w:val="center"/>
        <w:rPr>
          <w:rFonts w:hint="eastAsia" w:ascii="黑体" w:hAnsi="黑体" w:eastAsia="黑体" w:cs="黑体"/>
          <w:b/>
          <w:bCs/>
          <w:color w:val="auto"/>
          <w:sz w:val="24"/>
          <w:szCs w:val="24"/>
          <w:lang w:val="en-US" w:eastAsia="zh-CN"/>
        </w:rPr>
      </w:pPr>
    </w:p>
    <w:p w14:paraId="6BCF2737">
      <w:pPr>
        <w:bidi w:val="0"/>
        <w:jc w:val="center"/>
        <w:rPr>
          <w:rFonts w:hint="eastAsia" w:ascii="黑体" w:hAnsi="黑体" w:eastAsia="黑体" w:cs="黑体"/>
          <w:b/>
          <w:bCs/>
          <w:color w:val="auto"/>
          <w:sz w:val="24"/>
          <w:szCs w:val="24"/>
          <w:lang w:val="en-US" w:eastAsia="zh-CN"/>
        </w:rPr>
      </w:pPr>
    </w:p>
    <w:p w14:paraId="633BA501">
      <w:pPr>
        <w:bidi w:val="0"/>
        <w:jc w:val="center"/>
        <w:rPr>
          <w:rFonts w:hint="eastAsia" w:ascii="黑体" w:hAnsi="黑体" w:eastAsia="黑体" w:cs="黑体"/>
          <w:b/>
          <w:bCs/>
          <w:color w:val="auto"/>
          <w:sz w:val="24"/>
          <w:szCs w:val="24"/>
          <w:lang w:val="en-US" w:eastAsia="zh-CN"/>
        </w:rPr>
      </w:pPr>
    </w:p>
    <w:p w14:paraId="7A7339E1">
      <w:pPr>
        <w:bidi w:val="0"/>
        <w:jc w:val="center"/>
        <w:rPr>
          <w:rFonts w:hint="eastAsia" w:ascii="黑体" w:hAnsi="黑体" w:eastAsia="黑体" w:cs="黑体"/>
          <w:b/>
          <w:bCs/>
          <w:color w:val="auto"/>
          <w:sz w:val="24"/>
          <w:szCs w:val="24"/>
          <w:lang w:val="en-US" w:eastAsia="zh-CN"/>
        </w:rPr>
      </w:pPr>
    </w:p>
    <w:p w14:paraId="2A833F53">
      <w:pPr>
        <w:bidi w:val="0"/>
        <w:jc w:val="center"/>
        <w:rPr>
          <w:rFonts w:hint="eastAsia" w:ascii="黑体" w:hAnsi="黑体" w:eastAsia="黑体" w:cs="黑体"/>
          <w:b/>
          <w:bCs/>
          <w:color w:val="auto"/>
          <w:sz w:val="24"/>
          <w:szCs w:val="24"/>
          <w:lang w:val="en-US" w:eastAsia="zh-CN"/>
        </w:rPr>
      </w:pPr>
    </w:p>
    <w:p w14:paraId="4CE0E9B9">
      <w:pPr>
        <w:bidi w:val="0"/>
        <w:jc w:val="center"/>
        <w:rPr>
          <w:rFonts w:hint="eastAsia" w:ascii="黑体" w:hAnsi="黑体" w:eastAsia="黑体" w:cs="黑体"/>
          <w:b/>
          <w:bCs/>
          <w:color w:val="auto"/>
          <w:sz w:val="24"/>
          <w:szCs w:val="24"/>
          <w:lang w:val="en-US" w:eastAsia="zh-CN"/>
        </w:rPr>
      </w:pPr>
    </w:p>
    <w:p w14:paraId="586138EC">
      <w:pPr>
        <w:bidi w:val="0"/>
        <w:jc w:val="center"/>
        <w:rPr>
          <w:rFonts w:hint="eastAsia" w:ascii="黑体" w:hAnsi="黑体" w:eastAsia="黑体" w:cs="黑体"/>
          <w:b/>
          <w:bCs/>
          <w:color w:val="auto"/>
          <w:sz w:val="24"/>
          <w:szCs w:val="24"/>
          <w:lang w:val="en-US" w:eastAsia="zh-CN"/>
        </w:rPr>
      </w:pPr>
    </w:p>
    <w:p w14:paraId="7D8A630E">
      <w:pPr>
        <w:bidi w:val="0"/>
        <w:jc w:val="center"/>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图3.2-2  单座井场平面布置图</w:t>
      </w:r>
    </w:p>
    <w:p w14:paraId="10545CA3">
      <w:pPr>
        <w:bidi w:val="0"/>
        <w:rPr>
          <w:rFonts w:hint="default"/>
          <w:color w:val="auto"/>
        </w:rPr>
      </w:pPr>
    </w:p>
    <w:p w14:paraId="4E66869D">
      <w:pPr>
        <w:pStyle w:val="79"/>
        <w:bidi w:val="0"/>
        <w:rPr>
          <w:rFonts w:hint="default"/>
          <w:color w:val="auto"/>
          <w:lang w:val="en-US"/>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lang w:val="en-US" w:eastAsia="zh-CN"/>
        </w:rPr>
        <w:t>雄探1试采点</w:t>
      </w:r>
    </w:p>
    <w:p w14:paraId="238259B9">
      <w:pPr>
        <w:pStyle w:val="79"/>
        <w:bidi w:val="0"/>
        <w:rPr>
          <w:rFonts w:hint="default"/>
          <w:color w:val="auto"/>
          <w:lang w:val="en-US" w:eastAsia="zh-CN"/>
        </w:rPr>
      </w:pPr>
      <w:r>
        <w:rPr>
          <w:rFonts w:hint="eastAsia"/>
          <w:color w:val="auto"/>
          <w:lang w:val="en-US" w:eastAsia="zh-CN"/>
        </w:rPr>
        <w:t>本项目扩建1座雄探1试采点，其</w:t>
      </w:r>
      <w:r>
        <w:rPr>
          <w:rFonts w:hint="default"/>
          <w:color w:val="auto"/>
          <w:lang w:val="en-US" w:eastAsia="zh-CN"/>
        </w:rPr>
        <w:t>建设规模原油2</w:t>
      </w:r>
      <w:r>
        <w:rPr>
          <w:rFonts w:hint="eastAsia"/>
          <w:color w:val="auto"/>
          <w:lang w:val="en-US" w:eastAsia="zh-CN"/>
        </w:rPr>
        <w:t>3</w:t>
      </w:r>
      <w:r>
        <w:rPr>
          <w:rFonts w:hint="default"/>
          <w:color w:val="auto"/>
          <w:lang w:val="en-US" w:eastAsia="zh-CN"/>
        </w:rPr>
        <w:t>0t/d、天然气</w:t>
      </w:r>
      <w:r>
        <w:rPr>
          <w:rFonts w:hint="eastAsia"/>
          <w:color w:val="auto"/>
          <w:lang w:val="en-US" w:eastAsia="zh-CN"/>
        </w:rPr>
        <w:t>9</w:t>
      </w:r>
      <w:r>
        <w:rPr>
          <w:rFonts w:hint="default"/>
          <w:color w:val="auto"/>
          <w:lang w:val="en-US" w:eastAsia="zh-CN"/>
        </w:rPr>
        <w:t>.5×10</w:t>
      </w:r>
      <w:r>
        <w:rPr>
          <w:rFonts w:hint="default"/>
          <w:color w:val="auto"/>
          <w:vertAlign w:val="superscript"/>
          <w:lang w:val="en-US" w:eastAsia="zh-CN"/>
        </w:rPr>
        <w:t>4</w:t>
      </w:r>
      <w:r>
        <w:rPr>
          <w:rFonts w:hint="default"/>
          <w:color w:val="auto"/>
          <w:lang w:val="en-US" w:eastAsia="zh-CN"/>
        </w:rPr>
        <w:t>Nm</w:t>
      </w:r>
      <w:r>
        <w:rPr>
          <w:rFonts w:hint="default"/>
          <w:color w:val="auto"/>
          <w:vertAlign w:val="superscript"/>
          <w:lang w:val="en-US" w:eastAsia="zh-CN"/>
        </w:rPr>
        <w:t>3</w:t>
      </w:r>
      <w:r>
        <w:rPr>
          <w:rFonts w:hint="default"/>
          <w:color w:val="auto"/>
          <w:lang w:val="en-US" w:eastAsia="zh-CN"/>
        </w:rPr>
        <w:t>/d</w:t>
      </w:r>
      <w:r>
        <w:rPr>
          <w:rFonts w:hint="eastAsia"/>
          <w:color w:val="auto"/>
          <w:lang w:val="en-US" w:eastAsia="zh-CN"/>
        </w:rPr>
        <w:t>。雄探1试采点</w:t>
      </w:r>
      <w:r>
        <w:rPr>
          <w:rFonts w:hint="default"/>
          <w:color w:val="auto"/>
          <w:lang w:val="en-US" w:eastAsia="zh-CN"/>
        </w:rPr>
        <w:t>包括进站、计量、分离、加热、原油闪蒸、闪蒸气增压、原油储存和装车、天然气脱硫、天然气增压和脱水功能。雄探1试采点工艺装置主要包括：进站阀组橇、计量分离器橇、缓蚀剂加注橇、干法脱硫塔、原油密闭装车橇、闪蒸气压缩机、地面自动点火装置、生产分离器橇、气液分离器橇。</w:t>
      </w:r>
    </w:p>
    <w:p w14:paraId="3DE762C4">
      <w:pPr>
        <w:pStyle w:val="79"/>
        <w:bidi w:val="0"/>
        <w:rPr>
          <w:rFonts w:hint="default"/>
          <w:color w:val="auto"/>
          <w:lang w:val="en-US" w:eastAsia="zh-CN"/>
        </w:rPr>
      </w:pPr>
      <w:r>
        <w:rPr>
          <w:rFonts w:hint="default"/>
          <w:color w:val="auto"/>
          <w:lang w:val="en-US" w:eastAsia="zh-CN"/>
        </w:rPr>
        <w:t>1）工艺流程</w:t>
      </w:r>
    </w:p>
    <w:p w14:paraId="73DB72D7">
      <w:pPr>
        <w:pStyle w:val="79"/>
        <w:bidi w:val="0"/>
        <w:rPr>
          <w:rFonts w:hint="default"/>
          <w:color w:val="auto"/>
          <w:lang w:val="en-US" w:eastAsia="zh-CN"/>
        </w:rPr>
      </w:pPr>
      <w:r>
        <w:rPr>
          <w:rFonts w:hint="default"/>
          <w:color w:val="auto"/>
          <w:lang w:val="en-US" w:eastAsia="zh-CN"/>
        </w:rPr>
        <w:t>单井来油气通过试采点进站阀组进站，气液计量分离后，油气进加热炉加热，加热后油气进气液分离器分离，分离后天然气采用干法脱硫处理；分离后原油闪蒸后输至储罐，闪蒸气增压后去干法脱硫塔脱硫。不含硫单井去不抗硫分离装置进行油气分离。</w:t>
      </w:r>
    </w:p>
    <w:p w14:paraId="567952A6">
      <w:pPr>
        <w:pStyle w:val="79"/>
        <w:bidi w:val="0"/>
        <w:rPr>
          <w:rFonts w:hint="default"/>
          <w:color w:val="auto"/>
          <w:lang w:val="en-US" w:eastAsia="zh-CN"/>
        </w:rPr>
      </w:pPr>
      <w:r>
        <w:rPr>
          <w:rFonts w:hint="default"/>
          <w:color w:val="auto"/>
          <w:lang w:val="en-US" w:eastAsia="zh-CN"/>
        </w:rPr>
        <w:fldChar w:fldCharType="begin"/>
      </w:r>
      <w:r>
        <w:rPr>
          <w:rFonts w:hint="default"/>
          <w:color w:val="auto"/>
          <w:lang w:val="en-US" w:eastAsia="zh-CN"/>
        </w:rPr>
        <w:instrText xml:space="preserve"> = 1 \* GB3 \* MERGEFORMAT </w:instrText>
      </w:r>
      <w:r>
        <w:rPr>
          <w:rFonts w:hint="default"/>
          <w:color w:val="auto"/>
          <w:lang w:val="en-US" w:eastAsia="zh-CN"/>
        </w:rPr>
        <w:fldChar w:fldCharType="separate"/>
      </w:r>
      <w:r>
        <w:rPr>
          <w:rFonts w:hint="default"/>
          <w:color w:val="auto"/>
          <w:lang w:val="en-US" w:eastAsia="zh-CN"/>
        </w:rPr>
        <w:t>①</w:t>
      </w:r>
      <w:r>
        <w:rPr>
          <w:rFonts w:hint="default"/>
          <w:color w:val="auto"/>
          <w:lang w:val="en-US" w:eastAsia="zh-CN"/>
        </w:rPr>
        <w:fldChar w:fldCharType="end"/>
      </w:r>
      <w:r>
        <w:rPr>
          <w:rFonts w:hint="default"/>
          <w:color w:val="auto"/>
          <w:lang w:val="en-US" w:eastAsia="zh-CN"/>
        </w:rPr>
        <w:t>进站计量分离部分</w:t>
      </w:r>
    </w:p>
    <w:p w14:paraId="5DEF4A46">
      <w:pPr>
        <w:pStyle w:val="79"/>
        <w:bidi w:val="0"/>
        <w:rPr>
          <w:rFonts w:hint="default"/>
          <w:color w:val="auto"/>
          <w:lang w:val="en-US" w:eastAsia="zh-CN"/>
        </w:rPr>
      </w:pPr>
      <w:r>
        <w:rPr>
          <w:rFonts w:hint="default"/>
          <w:color w:val="auto"/>
          <w:lang w:val="en-US" w:eastAsia="zh-CN"/>
        </w:rPr>
        <w:t>井场来油气经进站阀组汇集后（4.5MPa，8.5~15.0℃）一路去计量分离器进行单井轮换计量，一路进入加热节流橇加热，加热节流后气液（2.5MPa，27℃）进入气液分离器分离。分离后天然气经调压后（为适应脱硫塔运行压力节流至压力 0.5MPa，15℃）去干法脱硫塔前气液分离器橇，分离出游离烃和水后进入干法脱硫塔，脱硫后湿气进入第三方压缩机增压至5.0MPa后外输（5.0MPa，48℃）；分离后原油进入闪蒸分离器闪蒸，闪蒸气</w:t>
      </w:r>
      <w:r>
        <w:rPr>
          <w:rFonts w:hint="eastAsia"/>
          <w:color w:val="auto"/>
          <w:lang w:val="en-US" w:eastAsia="zh-CN"/>
        </w:rPr>
        <w:t>进</w:t>
      </w:r>
      <w:r>
        <w:rPr>
          <w:rFonts w:hint="default"/>
          <w:color w:val="auto"/>
          <w:lang w:val="en-US" w:eastAsia="zh-CN"/>
        </w:rPr>
        <w:t>闪蒸气增压装置，闪蒸后原油进入原油储罐储存。</w:t>
      </w:r>
    </w:p>
    <w:p w14:paraId="0E13C4E4">
      <w:pPr>
        <w:pStyle w:val="79"/>
        <w:bidi w:val="0"/>
        <w:rPr>
          <w:rFonts w:hint="eastAsia"/>
          <w:color w:val="auto"/>
          <w:lang w:val="en-US" w:eastAsia="zh-CN"/>
        </w:rPr>
      </w:pPr>
      <w:r>
        <w:rPr>
          <w:rFonts w:hint="eastAsia"/>
          <w:color w:val="auto"/>
          <w:lang w:val="en-US" w:eastAsia="zh-CN"/>
        </w:rPr>
        <w:fldChar w:fldCharType="begin"/>
      </w:r>
      <w:r>
        <w:rPr>
          <w:rFonts w:hint="eastAsia"/>
          <w:color w:val="auto"/>
          <w:lang w:val="en-US" w:eastAsia="zh-CN"/>
        </w:rPr>
        <w:instrText xml:space="preserve"> = 2 \* GB3 \* MERGEFORMAT </w:instrText>
      </w:r>
      <w:r>
        <w:rPr>
          <w:rFonts w:hint="eastAsia"/>
          <w:color w:val="auto"/>
          <w:lang w:val="en-US" w:eastAsia="zh-CN"/>
        </w:rPr>
        <w:fldChar w:fldCharType="separate"/>
      </w:r>
      <w:r>
        <w:rPr>
          <w:rFonts w:hint="default"/>
          <w:color w:val="auto"/>
          <w:lang w:val="en-US" w:eastAsia="zh-CN"/>
        </w:rPr>
        <w:t>②</w:t>
      </w:r>
      <w:r>
        <w:rPr>
          <w:rFonts w:hint="eastAsia"/>
          <w:color w:val="auto"/>
          <w:lang w:val="en-US" w:eastAsia="zh-CN"/>
        </w:rPr>
        <w:fldChar w:fldCharType="end"/>
      </w:r>
      <w:r>
        <w:rPr>
          <w:rFonts w:hint="eastAsia"/>
          <w:color w:val="auto"/>
          <w:lang w:val="en-US" w:eastAsia="zh-CN"/>
        </w:rPr>
        <w:t>闪蒸气增压部分</w:t>
      </w:r>
    </w:p>
    <w:p w14:paraId="2D001A5A">
      <w:pPr>
        <w:pStyle w:val="79"/>
        <w:bidi w:val="0"/>
        <w:rPr>
          <w:rFonts w:hint="eastAsia"/>
          <w:color w:val="auto"/>
          <w:lang w:val="en-US" w:eastAsia="zh-CN"/>
        </w:rPr>
      </w:pPr>
      <w:r>
        <w:rPr>
          <w:rFonts w:hint="eastAsia"/>
          <w:color w:val="auto"/>
          <w:lang w:val="en-US" w:eastAsia="zh-CN"/>
        </w:rPr>
        <w:t>原油闪蒸气（0.2MPa，20.08℃）进入压缩机增压，增压后闪蒸气（0.5MPa，80℃）汇入天然气去干法脱硫塔前气液分离器橇主管线。压缩机排液汇入闪蒸分离器液相至储罐主管道。</w:t>
      </w:r>
    </w:p>
    <w:p w14:paraId="15B3933B">
      <w:pPr>
        <w:pStyle w:val="79"/>
        <w:bidi w:val="0"/>
        <w:rPr>
          <w:rFonts w:hint="default"/>
          <w:color w:val="auto"/>
          <w:lang w:val="en-US" w:eastAsia="zh-CN"/>
        </w:rPr>
      </w:pPr>
      <w:r>
        <w:rPr>
          <w:rFonts w:hint="eastAsia"/>
          <w:color w:val="auto"/>
          <w:lang w:val="en-US" w:eastAsia="zh-CN"/>
        </w:rPr>
        <w:fldChar w:fldCharType="begin"/>
      </w:r>
      <w:r>
        <w:rPr>
          <w:rFonts w:hint="eastAsia"/>
          <w:color w:val="auto"/>
          <w:lang w:val="en-US" w:eastAsia="zh-CN"/>
        </w:rPr>
        <w:instrText xml:space="preserve"> = 3 \* GB3 \* MERGEFORMAT </w:instrText>
      </w:r>
      <w:r>
        <w:rPr>
          <w:rFonts w:hint="eastAsia"/>
          <w:color w:val="auto"/>
          <w:lang w:val="en-US" w:eastAsia="zh-CN"/>
        </w:rPr>
        <w:fldChar w:fldCharType="separate"/>
      </w:r>
      <w:r>
        <w:rPr>
          <w:rFonts w:hint="eastAsia"/>
          <w:color w:val="auto"/>
          <w:lang w:val="en-US" w:eastAsia="zh-CN"/>
        </w:rPr>
        <w:t>③</w:t>
      </w:r>
      <w:r>
        <w:rPr>
          <w:rFonts w:hint="eastAsia"/>
          <w:color w:val="auto"/>
          <w:lang w:val="en-US" w:eastAsia="zh-CN"/>
        </w:rPr>
        <w:fldChar w:fldCharType="end"/>
      </w:r>
      <w:r>
        <w:rPr>
          <w:rFonts w:hint="eastAsia"/>
          <w:color w:val="auto"/>
          <w:lang w:val="en-US" w:eastAsia="zh-CN"/>
        </w:rPr>
        <w:t>脱硫部分</w:t>
      </w:r>
    </w:p>
    <w:p w14:paraId="4EA3A9E1">
      <w:pPr>
        <w:pStyle w:val="79"/>
        <w:bidi w:val="0"/>
        <w:rPr>
          <w:rFonts w:hint="eastAsia"/>
          <w:color w:val="auto"/>
          <w:lang w:val="en-US" w:eastAsia="zh-CN"/>
        </w:rPr>
      </w:pPr>
      <w:r>
        <w:rPr>
          <w:rFonts w:hint="eastAsia"/>
          <w:color w:val="auto"/>
          <w:lang w:val="en-US" w:eastAsia="zh-CN"/>
        </w:rPr>
        <w:t>含硫天然气进入B16干法脱硫塔脱硫，运行压力0.5MPa，脱硫塔轮换频次为13～15d/次。本次扩建两座脱硫塔（利旧），雄探1试采点共计四座脱硫塔。</w:t>
      </w:r>
    </w:p>
    <w:p w14:paraId="347E7F0F">
      <w:pPr>
        <w:pStyle w:val="79"/>
        <w:bidi w:val="0"/>
        <w:rPr>
          <w:rFonts w:hint="default"/>
          <w:color w:val="auto"/>
          <w:lang w:val="en-US" w:eastAsia="zh-CN"/>
        </w:rPr>
      </w:pPr>
      <w:r>
        <w:rPr>
          <w:rFonts w:hint="eastAsia"/>
          <w:color w:val="auto"/>
          <w:lang w:val="en-US" w:eastAsia="zh-CN"/>
        </w:rPr>
        <w:t>干法脱硫工艺原理：利用固体脱硫剂吸附天然气中的硫化氢。其主要的化学反应根据脱硫剂的不同而有所差异。本工程使用氧化铁脱硫剂，主要反应是FeOOH+2H</w:t>
      </w:r>
      <w:r>
        <w:rPr>
          <w:rFonts w:hint="eastAsia"/>
          <w:color w:val="auto"/>
          <w:vertAlign w:val="subscript"/>
          <w:lang w:val="en-US" w:eastAsia="zh-CN"/>
        </w:rPr>
        <w:t>2</w:t>
      </w:r>
      <w:r>
        <w:rPr>
          <w:rFonts w:hint="eastAsia"/>
          <w:color w:val="auto"/>
          <w:lang w:val="en-US" w:eastAsia="zh-CN"/>
        </w:rPr>
        <w:t>S→Fe</w:t>
      </w:r>
      <w:bookmarkStart w:id="249" w:name="OLE_LINK9"/>
      <w:r>
        <w:rPr>
          <w:rFonts w:hint="eastAsia"/>
          <w:color w:val="auto"/>
          <w:lang w:val="en-US" w:eastAsia="zh-CN"/>
        </w:rPr>
        <w:t>S</w:t>
      </w:r>
      <w:bookmarkEnd w:id="249"/>
      <w:r>
        <w:rPr>
          <w:rFonts w:hint="eastAsia"/>
          <w:color w:val="auto"/>
          <w:lang w:val="en-US" w:eastAsia="zh-CN"/>
        </w:rPr>
        <w:t>SH+2H</w:t>
      </w:r>
      <w:r>
        <w:rPr>
          <w:rFonts w:hint="eastAsia"/>
          <w:color w:val="auto"/>
          <w:vertAlign w:val="subscript"/>
          <w:lang w:val="en-US" w:eastAsia="zh-CN"/>
        </w:rPr>
        <w:t>2</w:t>
      </w:r>
      <w:r>
        <w:rPr>
          <w:rFonts w:hint="eastAsia"/>
          <w:color w:val="auto"/>
          <w:lang w:val="en-US" w:eastAsia="zh-CN"/>
        </w:rPr>
        <w:t>O。氧化铁和硫化氢反应生成硫化铁和水，从而将硫化氢从天然气中除去。</w:t>
      </w:r>
    </w:p>
    <w:p w14:paraId="3A33D340">
      <w:pPr>
        <w:pStyle w:val="79"/>
        <w:bidi w:val="0"/>
        <w:rPr>
          <w:rFonts w:hint="default"/>
          <w:color w:val="auto"/>
          <w:lang w:val="en-US" w:eastAsia="zh-CN"/>
        </w:rPr>
      </w:pPr>
      <w:r>
        <w:rPr>
          <w:rFonts w:hint="eastAsia"/>
          <w:color w:val="auto"/>
          <w:lang w:val="en-US" w:eastAsia="zh-CN"/>
        </w:rPr>
        <w:fldChar w:fldCharType="begin"/>
      </w:r>
      <w:r>
        <w:rPr>
          <w:rFonts w:hint="eastAsia"/>
          <w:color w:val="auto"/>
          <w:lang w:val="en-US" w:eastAsia="zh-CN"/>
        </w:rPr>
        <w:instrText xml:space="preserve"> = 4 \* GB3 \* MERGEFORMAT </w:instrText>
      </w:r>
      <w:r>
        <w:rPr>
          <w:rFonts w:hint="eastAsia"/>
          <w:color w:val="auto"/>
          <w:lang w:val="en-US" w:eastAsia="zh-CN"/>
        </w:rPr>
        <w:fldChar w:fldCharType="separate"/>
      </w:r>
      <w:r>
        <w:rPr>
          <w:rFonts w:hint="eastAsia"/>
          <w:color w:val="auto"/>
          <w:lang w:val="en-US" w:eastAsia="zh-CN"/>
        </w:rPr>
        <w:t>④</w:t>
      </w:r>
      <w:r>
        <w:rPr>
          <w:rFonts w:hint="eastAsia"/>
          <w:color w:val="auto"/>
          <w:lang w:val="en-US" w:eastAsia="zh-CN"/>
        </w:rPr>
        <w:fldChar w:fldCharType="end"/>
      </w:r>
      <w:r>
        <w:rPr>
          <w:rFonts w:hint="eastAsia"/>
          <w:color w:val="auto"/>
          <w:lang w:val="en-US" w:eastAsia="zh-CN"/>
        </w:rPr>
        <w:t>第三方增压部分</w:t>
      </w:r>
    </w:p>
    <w:p w14:paraId="5588C249">
      <w:pPr>
        <w:pStyle w:val="79"/>
        <w:bidi w:val="0"/>
        <w:rPr>
          <w:rFonts w:hint="eastAsia"/>
          <w:color w:val="auto"/>
          <w:lang w:val="en-US" w:eastAsia="zh-CN"/>
        </w:rPr>
      </w:pPr>
      <w:r>
        <w:rPr>
          <w:rFonts w:hint="eastAsia"/>
          <w:color w:val="auto"/>
          <w:lang w:val="en-US" w:eastAsia="zh-CN"/>
        </w:rPr>
        <w:t>脱硫后天然气输至第三方压缩机增压至5.0MPa，增压后天然气外输至玉东2增压站。</w:t>
      </w:r>
    </w:p>
    <w:p w14:paraId="58906A46">
      <w:pPr>
        <w:pStyle w:val="79"/>
        <w:bidi w:val="0"/>
        <w:rPr>
          <w:rFonts w:hint="default"/>
          <w:color w:val="auto"/>
          <w:lang w:val="en-US" w:eastAsia="zh-CN"/>
        </w:rPr>
      </w:pPr>
      <w:r>
        <w:rPr>
          <w:rFonts w:hint="eastAsia"/>
          <w:color w:val="auto"/>
          <w:lang w:val="en-US" w:eastAsia="zh-CN"/>
        </w:rPr>
        <w:fldChar w:fldCharType="begin"/>
      </w:r>
      <w:r>
        <w:rPr>
          <w:rFonts w:hint="eastAsia"/>
          <w:color w:val="auto"/>
          <w:lang w:val="en-US" w:eastAsia="zh-CN"/>
        </w:rPr>
        <w:instrText xml:space="preserve"> = 5 \* GB3 \* MERGEFORMAT </w:instrText>
      </w:r>
      <w:r>
        <w:rPr>
          <w:rFonts w:hint="eastAsia"/>
          <w:color w:val="auto"/>
          <w:lang w:val="en-US" w:eastAsia="zh-CN"/>
        </w:rPr>
        <w:fldChar w:fldCharType="separate"/>
      </w:r>
      <w:r>
        <w:rPr>
          <w:rFonts w:hint="eastAsia"/>
          <w:color w:val="auto"/>
          <w:lang w:val="en-US" w:eastAsia="zh-CN"/>
        </w:rPr>
        <w:t>⑤</w:t>
      </w:r>
      <w:r>
        <w:rPr>
          <w:rFonts w:hint="eastAsia"/>
          <w:color w:val="auto"/>
          <w:lang w:val="en-US" w:eastAsia="zh-CN"/>
        </w:rPr>
        <w:fldChar w:fldCharType="end"/>
      </w:r>
      <w:r>
        <w:rPr>
          <w:rFonts w:hint="eastAsia"/>
          <w:color w:val="auto"/>
          <w:lang w:val="en-US" w:eastAsia="zh-CN"/>
        </w:rPr>
        <w:t>原油装车部分</w:t>
      </w:r>
    </w:p>
    <w:p w14:paraId="586D11D4">
      <w:pPr>
        <w:pStyle w:val="79"/>
        <w:bidi w:val="0"/>
        <w:rPr>
          <w:rFonts w:hint="default"/>
          <w:color w:val="auto"/>
          <w:lang w:val="en-US" w:eastAsia="zh-CN"/>
        </w:rPr>
      </w:pPr>
      <w:r>
        <w:rPr>
          <w:rFonts w:hint="eastAsia"/>
          <w:color w:val="auto"/>
          <w:lang w:val="en-US" w:eastAsia="zh-CN"/>
        </w:rPr>
        <w:t>经计算，按原油最大产量230t/d，每天装车时间9.35h，超出8h工作时间，同时考虑拉运过程的稳定性，本工程需再扩建1套定量装车系统（DN80、1.6MPa）。届时，一共2套装车系统，满足8h之内完成装车工况。本工程新建原油装车橇设</w:t>
      </w:r>
      <w:r>
        <w:rPr>
          <w:rFonts w:hint="default"/>
          <w:color w:val="auto"/>
          <w:lang w:val="en-US" w:eastAsia="zh-CN"/>
        </w:rPr>
        <w:t>备推荐利库DN2800储罐橇。</w:t>
      </w:r>
    </w:p>
    <w:p w14:paraId="682D1736">
      <w:pPr>
        <w:pStyle w:val="79"/>
        <w:bidi w:val="0"/>
        <w:rPr>
          <w:rFonts w:hint="default"/>
          <w:color w:val="auto"/>
          <w:lang w:val="en-US" w:eastAsia="zh-CN"/>
        </w:rPr>
      </w:pPr>
      <w:r>
        <w:rPr>
          <w:rFonts w:hint="default"/>
          <w:color w:val="auto"/>
          <w:lang w:val="en-US" w:eastAsia="zh-CN"/>
        </w:rPr>
        <w:fldChar w:fldCharType="begin"/>
      </w:r>
      <w:r>
        <w:rPr>
          <w:rFonts w:hint="default"/>
          <w:color w:val="auto"/>
          <w:lang w:val="en-US" w:eastAsia="zh-CN"/>
        </w:rPr>
        <w:instrText xml:space="preserve"> = 6 \* GB3 \* MERGEFORMAT </w:instrText>
      </w:r>
      <w:r>
        <w:rPr>
          <w:rFonts w:hint="default"/>
          <w:color w:val="auto"/>
          <w:lang w:val="en-US" w:eastAsia="zh-CN"/>
        </w:rPr>
        <w:fldChar w:fldCharType="separate"/>
      </w:r>
      <w:r>
        <w:rPr>
          <w:rFonts w:hint="default"/>
          <w:color w:val="auto"/>
          <w:lang w:val="en-US" w:eastAsia="zh-CN"/>
        </w:rPr>
        <w:t>⑥</w:t>
      </w:r>
      <w:r>
        <w:rPr>
          <w:rFonts w:hint="default"/>
          <w:color w:val="auto"/>
          <w:lang w:val="en-US" w:eastAsia="zh-CN"/>
        </w:rPr>
        <w:fldChar w:fldCharType="end"/>
      </w:r>
      <w:r>
        <w:rPr>
          <w:rFonts w:hint="default"/>
          <w:color w:val="auto"/>
          <w:lang w:val="en-US" w:eastAsia="zh-CN"/>
        </w:rPr>
        <w:t>放空系统、放散系统</w:t>
      </w:r>
    </w:p>
    <w:p w14:paraId="73433F2D">
      <w:pPr>
        <w:pStyle w:val="79"/>
        <w:bidi w:val="0"/>
        <w:rPr>
          <w:rFonts w:hint="default"/>
          <w:color w:val="auto"/>
          <w:lang w:val="en-US" w:eastAsia="zh-CN"/>
        </w:rPr>
      </w:pPr>
      <w:r>
        <w:rPr>
          <w:rFonts w:hint="default"/>
          <w:color w:val="auto"/>
          <w:lang w:val="en-US" w:eastAsia="zh-CN"/>
        </w:rPr>
        <w:t>本次试采工程在雄探1试采点新建地面自动点火装置一套，采用电子点火，放空量设计为10×10</w:t>
      </w:r>
      <w:r>
        <w:rPr>
          <w:rFonts w:hint="default"/>
          <w:color w:val="auto"/>
          <w:vertAlign w:val="superscript"/>
          <w:lang w:val="en-US" w:eastAsia="zh-CN"/>
        </w:rPr>
        <w:t>4</w:t>
      </w:r>
      <w:r>
        <w:rPr>
          <w:rFonts w:hint="default"/>
          <w:color w:val="auto"/>
          <w:lang w:val="en-US" w:eastAsia="zh-CN"/>
        </w:rPr>
        <w:t>m</w:t>
      </w:r>
      <w:r>
        <w:rPr>
          <w:rFonts w:hint="default"/>
          <w:color w:val="auto"/>
          <w:vertAlign w:val="superscript"/>
          <w:lang w:val="en-US" w:eastAsia="zh-CN"/>
        </w:rPr>
        <w:t>3</w:t>
      </w:r>
      <w:r>
        <w:rPr>
          <w:rFonts w:hint="default"/>
          <w:color w:val="auto"/>
          <w:lang w:val="en-US" w:eastAsia="zh-CN"/>
        </w:rPr>
        <w:t>/d。</w:t>
      </w:r>
      <w:r>
        <w:rPr>
          <w:rFonts w:hint="eastAsia"/>
          <w:color w:val="auto"/>
          <w:lang w:val="en-US" w:eastAsia="zh-CN"/>
        </w:rPr>
        <w:t>设置</w:t>
      </w:r>
      <w:r>
        <w:rPr>
          <w:rFonts w:hint="default"/>
          <w:color w:val="auto"/>
          <w:lang w:val="en-US" w:eastAsia="zh-CN"/>
        </w:rPr>
        <w:t>放散系统1套，在放散管前新建碱液罐1座，放散气经碱液吸收酸气后放散，减少有毒气体的排放。</w:t>
      </w:r>
    </w:p>
    <w:p w14:paraId="7B61CA15">
      <w:pPr>
        <w:pStyle w:val="79"/>
        <w:bidi w:val="0"/>
        <w:rPr>
          <w:rFonts w:hint="default"/>
          <w:color w:val="auto"/>
          <w:lang w:val="en-US" w:eastAsia="zh-CN"/>
        </w:rPr>
      </w:pPr>
      <w:bookmarkStart w:id="250" w:name="OLE_LINK365"/>
      <w:r>
        <w:rPr>
          <w:rFonts w:hint="eastAsia"/>
          <w:color w:val="auto"/>
          <w:lang w:val="en-US" w:eastAsia="zh-CN"/>
        </w:rPr>
        <w:t>2）产品方案</w:t>
      </w:r>
    </w:p>
    <w:p w14:paraId="0EE87184">
      <w:pPr>
        <w:pStyle w:val="79"/>
        <w:bidi w:val="0"/>
        <w:rPr>
          <w:color w:val="auto"/>
        </w:rPr>
      </w:pPr>
      <w:r>
        <w:rPr>
          <w:color w:val="auto"/>
        </w:rPr>
        <w:t>产品方案详见表</w:t>
      </w:r>
      <w:r>
        <w:rPr>
          <w:rFonts w:hint="eastAsia"/>
          <w:color w:val="auto"/>
          <w:lang w:val="en-US" w:eastAsia="zh-CN"/>
        </w:rPr>
        <w:t>3.2-10</w:t>
      </w:r>
      <w:r>
        <w:rPr>
          <w:color w:val="auto"/>
        </w:rPr>
        <w:t>。</w:t>
      </w:r>
    </w:p>
    <w:p w14:paraId="267078BB">
      <w:pPr>
        <w:pStyle w:val="61"/>
        <w:bidi w:val="0"/>
        <w:jc w:val="both"/>
        <w:rPr>
          <w:color w:val="auto"/>
        </w:rPr>
      </w:pPr>
      <w:bookmarkStart w:id="251" w:name="OLE_LINK219"/>
      <w:r>
        <w:rPr>
          <w:rFonts w:hint="eastAsia"/>
          <w:color w:val="auto"/>
        </w:rPr>
        <w:t>表</w:t>
      </w:r>
      <w:r>
        <w:rPr>
          <w:rFonts w:hint="eastAsia"/>
          <w:color w:val="auto"/>
          <w:lang w:val="en-US" w:eastAsia="zh-CN"/>
        </w:rPr>
        <w:t>3.2-10</w:t>
      </w:r>
      <w:r>
        <w:rPr>
          <w:color w:val="auto"/>
        </w:rPr>
        <w:t xml:space="preserve">   </w:t>
      </w:r>
      <w:r>
        <w:rPr>
          <w:rFonts w:hint="eastAsia"/>
          <w:color w:val="auto"/>
        </w:rPr>
        <w:t xml:space="preserve"> </w:t>
      </w:r>
      <w:r>
        <w:rPr>
          <w:color w:val="auto"/>
        </w:rPr>
        <w:t xml:space="preserve"> </w:t>
      </w:r>
      <w:r>
        <w:rPr>
          <w:rFonts w:hint="eastAsia"/>
          <w:color w:val="auto"/>
        </w:rPr>
        <w:t>产品方案表</w:t>
      </w:r>
    </w:p>
    <w:bookmarkEnd w:id="251"/>
    <w:tbl>
      <w:tblPr>
        <w:tblStyle w:val="36"/>
        <w:tblW w:w="494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03"/>
        <w:gridCol w:w="1322"/>
        <w:gridCol w:w="1322"/>
        <w:gridCol w:w="880"/>
        <w:gridCol w:w="2644"/>
        <w:gridCol w:w="1968"/>
      </w:tblGrid>
      <w:tr w14:paraId="0F9053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5" w:hRule="atLeast"/>
          <w:jc w:val="center"/>
        </w:trPr>
        <w:tc>
          <w:tcPr>
            <w:tcW w:w="345" w:type="pct"/>
            <w:tcBorders>
              <w:tl2br w:val="nil"/>
              <w:tr2bl w:val="nil"/>
            </w:tcBorders>
            <w:noWrap w:val="0"/>
            <w:vAlign w:val="center"/>
          </w:tcPr>
          <w:p w14:paraId="091CF1BA">
            <w:pPr>
              <w:spacing w:line="240" w:lineRule="exact"/>
              <w:jc w:val="center"/>
              <w:rPr>
                <w:color w:val="auto"/>
                <w:szCs w:val="21"/>
              </w:rPr>
            </w:pPr>
            <w:r>
              <w:rPr>
                <w:color w:val="auto"/>
                <w:szCs w:val="21"/>
              </w:rPr>
              <w:t>序号</w:t>
            </w:r>
          </w:p>
        </w:tc>
        <w:tc>
          <w:tcPr>
            <w:tcW w:w="756" w:type="pct"/>
            <w:tcBorders>
              <w:tl2br w:val="nil"/>
              <w:tr2bl w:val="nil"/>
            </w:tcBorders>
            <w:noWrap w:val="0"/>
            <w:vAlign w:val="center"/>
          </w:tcPr>
          <w:p w14:paraId="0277015A">
            <w:pPr>
              <w:spacing w:line="240" w:lineRule="exact"/>
              <w:jc w:val="center"/>
              <w:rPr>
                <w:color w:val="auto"/>
                <w:szCs w:val="21"/>
              </w:rPr>
            </w:pPr>
            <w:r>
              <w:rPr>
                <w:color w:val="auto"/>
                <w:szCs w:val="21"/>
              </w:rPr>
              <w:t>产品名称</w:t>
            </w:r>
          </w:p>
        </w:tc>
        <w:tc>
          <w:tcPr>
            <w:tcW w:w="756" w:type="pct"/>
            <w:tcBorders>
              <w:tl2br w:val="nil"/>
              <w:tr2bl w:val="nil"/>
            </w:tcBorders>
            <w:noWrap w:val="0"/>
            <w:vAlign w:val="center"/>
          </w:tcPr>
          <w:p w14:paraId="14670D29">
            <w:pPr>
              <w:spacing w:line="240" w:lineRule="exact"/>
              <w:jc w:val="center"/>
              <w:rPr>
                <w:color w:val="auto"/>
                <w:szCs w:val="21"/>
              </w:rPr>
            </w:pPr>
            <w:r>
              <w:rPr>
                <w:color w:val="auto"/>
                <w:szCs w:val="21"/>
              </w:rPr>
              <w:t>单位</w:t>
            </w:r>
          </w:p>
        </w:tc>
        <w:tc>
          <w:tcPr>
            <w:tcW w:w="503" w:type="pct"/>
            <w:tcBorders>
              <w:tl2br w:val="nil"/>
              <w:tr2bl w:val="nil"/>
            </w:tcBorders>
            <w:noWrap w:val="0"/>
            <w:vAlign w:val="center"/>
          </w:tcPr>
          <w:p w14:paraId="562FCA4A">
            <w:pPr>
              <w:spacing w:line="240" w:lineRule="exact"/>
              <w:jc w:val="center"/>
              <w:rPr>
                <w:color w:val="auto"/>
                <w:szCs w:val="21"/>
              </w:rPr>
            </w:pPr>
            <w:r>
              <w:rPr>
                <w:color w:val="auto"/>
                <w:szCs w:val="21"/>
              </w:rPr>
              <w:t>数量</w:t>
            </w:r>
          </w:p>
        </w:tc>
        <w:tc>
          <w:tcPr>
            <w:tcW w:w="1512" w:type="pct"/>
            <w:tcBorders>
              <w:tl2br w:val="nil"/>
              <w:tr2bl w:val="nil"/>
            </w:tcBorders>
            <w:noWrap w:val="0"/>
            <w:vAlign w:val="center"/>
          </w:tcPr>
          <w:p w14:paraId="4AB810B6">
            <w:pPr>
              <w:spacing w:line="240" w:lineRule="exact"/>
              <w:jc w:val="center"/>
              <w:rPr>
                <w:color w:val="auto"/>
                <w:szCs w:val="21"/>
              </w:rPr>
            </w:pPr>
            <w:r>
              <w:rPr>
                <w:color w:val="auto"/>
                <w:szCs w:val="21"/>
              </w:rPr>
              <w:t>产品标准</w:t>
            </w:r>
          </w:p>
        </w:tc>
        <w:tc>
          <w:tcPr>
            <w:tcW w:w="1125" w:type="pct"/>
            <w:tcBorders>
              <w:tl2br w:val="nil"/>
              <w:tr2bl w:val="nil"/>
            </w:tcBorders>
            <w:noWrap w:val="0"/>
            <w:vAlign w:val="center"/>
          </w:tcPr>
          <w:p w14:paraId="2242A62C">
            <w:pPr>
              <w:spacing w:line="240" w:lineRule="exact"/>
              <w:jc w:val="center"/>
              <w:rPr>
                <w:color w:val="auto"/>
                <w:szCs w:val="21"/>
              </w:rPr>
            </w:pPr>
            <w:r>
              <w:rPr>
                <w:color w:val="auto"/>
                <w:szCs w:val="21"/>
              </w:rPr>
              <w:t>备注</w:t>
            </w:r>
          </w:p>
        </w:tc>
      </w:tr>
      <w:tr w14:paraId="335C6F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45" w:type="pct"/>
            <w:tcBorders>
              <w:tl2br w:val="nil"/>
              <w:tr2bl w:val="nil"/>
            </w:tcBorders>
            <w:noWrap w:val="0"/>
            <w:vAlign w:val="center"/>
          </w:tcPr>
          <w:p w14:paraId="7F2F70DD">
            <w:pPr>
              <w:spacing w:line="240" w:lineRule="exact"/>
              <w:jc w:val="center"/>
              <w:rPr>
                <w:color w:val="auto"/>
                <w:szCs w:val="21"/>
              </w:rPr>
            </w:pPr>
            <w:r>
              <w:rPr>
                <w:color w:val="auto"/>
                <w:szCs w:val="21"/>
              </w:rPr>
              <w:t>1</w:t>
            </w:r>
          </w:p>
        </w:tc>
        <w:tc>
          <w:tcPr>
            <w:tcW w:w="756" w:type="pct"/>
            <w:tcBorders>
              <w:tl2br w:val="nil"/>
              <w:tr2bl w:val="nil"/>
            </w:tcBorders>
            <w:noWrap w:val="0"/>
            <w:vAlign w:val="center"/>
          </w:tcPr>
          <w:p w14:paraId="5BA4839F">
            <w:pPr>
              <w:spacing w:line="240" w:lineRule="exact"/>
              <w:jc w:val="center"/>
              <w:rPr>
                <w:color w:val="auto"/>
                <w:szCs w:val="21"/>
              </w:rPr>
            </w:pPr>
            <w:r>
              <w:rPr>
                <w:color w:val="auto"/>
                <w:szCs w:val="21"/>
              </w:rPr>
              <w:t>商品天然气</w:t>
            </w:r>
          </w:p>
        </w:tc>
        <w:tc>
          <w:tcPr>
            <w:tcW w:w="756" w:type="pct"/>
            <w:tcBorders>
              <w:tl2br w:val="nil"/>
              <w:tr2bl w:val="nil"/>
            </w:tcBorders>
            <w:noWrap w:val="0"/>
            <w:vAlign w:val="center"/>
          </w:tcPr>
          <w:p w14:paraId="03416723">
            <w:pPr>
              <w:spacing w:line="240" w:lineRule="exact"/>
              <w:jc w:val="center"/>
              <w:rPr>
                <w:rFonts w:hint="eastAsia" w:eastAsia="宋体"/>
                <w:color w:val="auto"/>
                <w:spacing w:val="10"/>
                <w:kern w:val="0"/>
                <w:szCs w:val="21"/>
                <w:lang w:eastAsia="zh-CN"/>
              </w:rPr>
            </w:pPr>
            <w:r>
              <w:rPr>
                <w:color w:val="auto"/>
                <w:spacing w:val="10"/>
                <w:kern w:val="0"/>
                <w:szCs w:val="21"/>
              </w:rPr>
              <w:t>10</w:t>
            </w:r>
            <w:r>
              <w:rPr>
                <w:rFonts w:hint="eastAsia"/>
                <w:color w:val="auto"/>
                <w:spacing w:val="10"/>
                <w:kern w:val="0"/>
                <w:szCs w:val="21"/>
                <w:vertAlign w:val="superscript"/>
                <w:lang w:val="en-US" w:eastAsia="zh-CN"/>
              </w:rPr>
              <w:t>4</w:t>
            </w:r>
            <w:r>
              <w:rPr>
                <w:color w:val="auto"/>
                <w:spacing w:val="10"/>
                <w:kern w:val="0"/>
                <w:szCs w:val="21"/>
              </w:rPr>
              <w:t>m</w:t>
            </w:r>
            <w:r>
              <w:rPr>
                <w:color w:val="auto"/>
                <w:spacing w:val="10"/>
                <w:kern w:val="0"/>
                <w:szCs w:val="21"/>
                <w:vertAlign w:val="superscript"/>
              </w:rPr>
              <w:t>3</w:t>
            </w:r>
            <w:r>
              <w:rPr>
                <w:color w:val="auto"/>
                <w:spacing w:val="10"/>
                <w:kern w:val="0"/>
                <w:szCs w:val="21"/>
              </w:rPr>
              <w:t>/</w:t>
            </w:r>
            <w:r>
              <w:rPr>
                <w:rFonts w:hint="eastAsia"/>
                <w:color w:val="auto"/>
                <w:spacing w:val="10"/>
                <w:kern w:val="0"/>
                <w:szCs w:val="21"/>
                <w:lang w:val="en-US" w:eastAsia="zh-CN"/>
              </w:rPr>
              <w:t>d</w:t>
            </w:r>
          </w:p>
        </w:tc>
        <w:tc>
          <w:tcPr>
            <w:tcW w:w="503" w:type="pct"/>
            <w:tcBorders>
              <w:tl2br w:val="nil"/>
              <w:tr2bl w:val="nil"/>
            </w:tcBorders>
            <w:noWrap w:val="0"/>
            <w:vAlign w:val="center"/>
          </w:tcPr>
          <w:p w14:paraId="64059350">
            <w:pPr>
              <w:spacing w:line="240" w:lineRule="exact"/>
              <w:jc w:val="center"/>
              <w:rPr>
                <w:rFonts w:hint="default" w:eastAsia="宋体"/>
                <w:color w:val="auto"/>
                <w:spacing w:val="10"/>
                <w:kern w:val="0"/>
                <w:szCs w:val="21"/>
                <w:lang w:val="en-US" w:eastAsia="zh-CN"/>
              </w:rPr>
            </w:pPr>
            <w:r>
              <w:rPr>
                <w:rFonts w:hint="eastAsia"/>
                <w:color w:val="auto"/>
                <w:spacing w:val="10"/>
                <w:kern w:val="0"/>
                <w:szCs w:val="21"/>
                <w:lang w:val="en-US" w:eastAsia="zh-CN"/>
              </w:rPr>
              <w:t>9.5</w:t>
            </w:r>
          </w:p>
        </w:tc>
        <w:tc>
          <w:tcPr>
            <w:tcW w:w="1512" w:type="pct"/>
            <w:tcBorders>
              <w:tl2br w:val="nil"/>
              <w:tr2bl w:val="nil"/>
            </w:tcBorders>
            <w:noWrap w:val="0"/>
            <w:vAlign w:val="center"/>
          </w:tcPr>
          <w:p w14:paraId="296341E8">
            <w:pPr>
              <w:spacing w:line="240" w:lineRule="exact"/>
              <w:jc w:val="center"/>
              <w:rPr>
                <w:rFonts w:hint="eastAsia"/>
                <w:bCs/>
                <w:color w:val="auto"/>
                <w:szCs w:val="21"/>
              </w:rPr>
            </w:pPr>
            <w:r>
              <w:rPr>
                <w:bCs/>
                <w:color w:val="auto"/>
                <w:szCs w:val="21"/>
              </w:rPr>
              <w:t>《天然气》</w:t>
            </w:r>
          </w:p>
          <w:p w14:paraId="2FBFFD41">
            <w:pPr>
              <w:spacing w:line="240" w:lineRule="exact"/>
              <w:jc w:val="center"/>
              <w:rPr>
                <w:bCs/>
                <w:color w:val="auto"/>
                <w:szCs w:val="21"/>
              </w:rPr>
            </w:pPr>
            <w:r>
              <w:rPr>
                <w:bCs/>
                <w:color w:val="auto"/>
                <w:szCs w:val="21"/>
              </w:rPr>
              <w:t>GB 17820-2018中</w:t>
            </w:r>
            <w:r>
              <w:rPr>
                <w:rFonts w:hint="eastAsia"/>
                <w:bCs/>
                <w:color w:val="auto"/>
                <w:szCs w:val="21"/>
                <w:lang w:val="en-US" w:eastAsia="zh-CN"/>
              </w:rPr>
              <w:t>一</w:t>
            </w:r>
            <w:r>
              <w:rPr>
                <w:rFonts w:hint="eastAsia"/>
                <w:bCs/>
                <w:color w:val="auto"/>
                <w:szCs w:val="21"/>
              </w:rPr>
              <w:t>类气</w:t>
            </w:r>
          </w:p>
        </w:tc>
        <w:tc>
          <w:tcPr>
            <w:tcW w:w="1125" w:type="pct"/>
            <w:tcBorders>
              <w:tl2br w:val="nil"/>
              <w:tr2bl w:val="nil"/>
            </w:tcBorders>
            <w:noWrap w:val="0"/>
            <w:vAlign w:val="center"/>
          </w:tcPr>
          <w:p w14:paraId="634364EA">
            <w:pPr>
              <w:spacing w:line="240" w:lineRule="exact"/>
              <w:jc w:val="center"/>
              <w:rPr>
                <w:color w:val="auto"/>
                <w:szCs w:val="21"/>
              </w:rPr>
            </w:pPr>
            <w:r>
              <w:rPr>
                <w:color w:val="auto"/>
                <w:szCs w:val="21"/>
              </w:rPr>
              <w:t>管道外输</w:t>
            </w:r>
          </w:p>
        </w:tc>
      </w:tr>
      <w:tr w14:paraId="717798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0" w:hRule="atLeast"/>
          <w:jc w:val="center"/>
        </w:trPr>
        <w:tc>
          <w:tcPr>
            <w:tcW w:w="345" w:type="pct"/>
            <w:tcBorders>
              <w:tl2br w:val="nil"/>
              <w:tr2bl w:val="nil"/>
            </w:tcBorders>
            <w:noWrap w:val="0"/>
            <w:vAlign w:val="center"/>
          </w:tcPr>
          <w:p w14:paraId="66BB466F">
            <w:pPr>
              <w:spacing w:line="240" w:lineRule="exact"/>
              <w:jc w:val="center"/>
              <w:rPr>
                <w:color w:val="auto"/>
                <w:szCs w:val="21"/>
              </w:rPr>
            </w:pPr>
            <w:r>
              <w:rPr>
                <w:color w:val="auto"/>
                <w:szCs w:val="21"/>
              </w:rPr>
              <w:t>2</w:t>
            </w:r>
          </w:p>
        </w:tc>
        <w:tc>
          <w:tcPr>
            <w:tcW w:w="756" w:type="pct"/>
            <w:tcBorders>
              <w:tl2br w:val="nil"/>
              <w:tr2bl w:val="nil"/>
            </w:tcBorders>
            <w:noWrap w:val="0"/>
            <w:vAlign w:val="center"/>
          </w:tcPr>
          <w:p w14:paraId="3DA40804">
            <w:pPr>
              <w:spacing w:line="240" w:lineRule="exact"/>
              <w:jc w:val="center"/>
              <w:rPr>
                <w:rFonts w:hint="default" w:eastAsia="宋体"/>
                <w:color w:val="auto"/>
                <w:szCs w:val="21"/>
                <w:lang w:val="en-US" w:eastAsia="zh-CN"/>
              </w:rPr>
            </w:pPr>
            <w:r>
              <w:rPr>
                <w:rFonts w:hint="eastAsia"/>
                <w:color w:val="auto"/>
                <w:szCs w:val="21"/>
                <w:lang w:val="en-US" w:eastAsia="zh-CN"/>
              </w:rPr>
              <w:t>含硫原油</w:t>
            </w:r>
          </w:p>
        </w:tc>
        <w:tc>
          <w:tcPr>
            <w:tcW w:w="756" w:type="pct"/>
            <w:tcBorders>
              <w:tl2br w:val="nil"/>
              <w:tr2bl w:val="nil"/>
            </w:tcBorders>
            <w:noWrap w:val="0"/>
            <w:vAlign w:val="center"/>
          </w:tcPr>
          <w:p w14:paraId="6306DDD4">
            <w:pPr>
              <w:spacing w:line="240" w:lineRule="exact"/>
              <w:jc w:val="center"/>
              <w:rPr>
                <w:color w:val="auto"/>
                <w:spacing w:val="10"/>
                <w:szCs w:val="21"/>
              </w:rPr>
            </w:pPr>
            <w:r>
              <w:rPr>
                <w:rFonts w:hint="eastAsia"/>
                <w:color w:val="auto"/>
                <w:spacing w:val="10"/>
                <w:szCs w:val="21"/>
                <w:lang w:val="en-US" w:eastAsia="zh-CN"/>
              </w:rPr>
              <w:t>t</w:t>
            </w:r>
            <w:r>
              <w:rPr>
                <w:color w:val="auto"/>
                <w:spacing w:val="10"/>
                <w:szCs w:val="21"/>
              </w:rPr>
              <w:t>/</w:t>
            </w:r>
            <w:r>
              <w:rPr>
                <w:rFonts w:hint="eastAsia"/>
                <w:color w:val="auto"/>
                <w:spacing w:val="10"/>
                <w:kern w:val="0"/>
                <w:szCs w:val="21"/>
                <w:lang w:val="en-US" w:eastAsia="zh-CN"/>
              </w:rPr>
              <w:t>d</w:t>
            </w:r>
          </w:p>
        </w:tc>
        <w:tc>
          <w:tcPr>
            <w:tcW w:w="503" w:type="pct"/>
            <w:tcBorders>
              <w:tl2br w:val="nil"/>
              <w:tr2bl w:val="nil"/>
            </w:tcBorders>
            <w:noWrap w:val="0"/>
            <w:vAlign w:val="center"/>
          </w:tcPr>
          <w:p w14:paraId="74ECD1B5">
            <w:pPr>
              <w:spacing w:line="240" w:lineRule="exact"/>
              <w:jc w:val="center"/>
              <w:rPr>
                <w:rFonts w:hint="default" w:eastAsia="宋体"/>
                <w:color w:val="auto"/>
                <w:spacing w:val="10"/>
                <w:szCs w:val="21"/>
                <w:lang w:val="en-US" w:eastAsia="zh-CN"/>
              </w:rPr>
            </w:pPr>
            <w:r>
              <w:rPr>
                <w:rFonts w:hint="eastAsia"/>
                <w:color w:val="auto"/>
                <w:spacing w:val="10"/>
                <w:szCs w:val="21"/>
                <w:lang w:val="en-US" w:eastAsia="zh-CN"/>
              </w:rPr>
              <w:t>230</w:t>
            </w:r>
          </w:p>
        </w:tc>
        <w:tc>
          <w:tcPr>
            <w:tcW w:w="1512" w:type="pct"/>
            <w:tcBorders>
              <w:tl2br w:val="nil"/>
              <w:tr2bl w:val="nil"/>
            </w:tcBorders>
            <w:noWrap w:val="0"/>
            <w:vAlign w:val="center"/>
          </w:tcPr>
          <w:p w14:paraId="6B10ED8A">
            <w:pPr>
              <w:spacing w:line="240" w:lineRule="exact"/>
              <w:jc w:val="center"/>
              <w:rPr>
                <w:rFonts w:hint="eastAsia" w:eastAsia="宋体"/>
                <w:bCs/>
                <w:color w:val="auto"/>
                <w:szCs w:val="21"/>
                <w:lang w:eastAsia="zh-CN"/>
              </w:rPr>
            </w:pPr>
            <w:r>
              <w:rPr>
                <w:rFonts w:hint="eastAsia"/>
                <w:bCs/>
                <w:color w:val="auto"/>
                <w:szCs w:val="21"/>
                <w:lang w:val="en-US" w:eastAsia="zh-CN"/>
              </w:rPr>
              <w:t>/</w:t>
            </w:r>
          </w:p>
        </w:tc>
        <w:tc>
          <w:tcPr>
            <w:tcW w:w="1125" w:type="pct"/>
            <w:tcBorders>
              <w:tl2br w:val="nil"/>
              <w:tr2bl w:val="nil"/>
            </w:tcBorders>
            <w:noWrap w:val="0"/>
            <w:vAlign w:val="center"/>
          </w:tcPr>
          <w:p w14:paraId="5BF42748">
            <w:pPr>
              <w:spacing w:line="240" w:lineRule="exact"/>
              <w:jc w:val="center"/>
              <w:rPr>
                <w:color w:val="auto"/>
                <w:szCs w:val="21"/>
              </w:rPr>
            </w:pPr>
            <w:r>
              <w:rPr>
                <w:color w:val="auto"/>
                <w:szCs w:val="21"/>
              </w:rPr>
              <w:t>储存、</w:t>
            </w:r>
            <w:r>
              <w:rPr>
                <w:rFonts w:hint="eastAsia"/>
                <w:color w:val="auto"/>
                <w:szCs w:val="21"/>
                <w:lang w:val="en-US" w:eastAsia="zh-CN"/>
              </w:rPr>
              <w:t>罐</w:t>
            </w:r>
            <w:r>
              <w:rPr>
                <w:color w:val="auto"/>
                <w:szCs w:val="21"/>
              </w:rPr>
              <w:t>车外运</w:t>
            </w:r>
          </w:p>
        </w:tc>
      </w:tr>
      <w:bookmarkEnd w:id="250"/>
    </w:tbl>
    <w:p w14:paraId="3283602E">
      <w:pPr>
        <w:pStyle w:val="79"/>
        <w:bidi w:val="0"/>
        <w:rPr>
          <w:rFonts w:hint="default"/>
          <w:color w:val="auto"/>
          <w:lang w:val="en-US" w:eastAsia="zh-CN"/>
        </w:rPr>
      </w:pPr>
      <w:bookmarkStart w:id="252" w:name="OLE_LINK355"/>
      <w:r>
        <w:rPr>
          <w:rFonts w:hint="eastAsia"/>
          <w:color w:val="auto"/>
          <w:lang w:val="en-US" w:eastAsia="zh-CN"/>
        </w:rPr>
        <w:t>3）主要工程量及平面布置图</w:t>
      </w:r>
    </w:p>
    <w:p w14:paraId="61823318">
      <w:pPr>
        <w:pStyle w:val="79"/>
        <w:bidi w:val="0"/>
        <w:rPr>
          <w:rFonts w:hint="default"/>
          <w:color w:val="auto"/>
          <w:lang w:val="en-US" w:eastAsia="zh-CN"/>
        </w:rPr>
      </w:pPr>
      <w:r>
        <w:rPr>
          <w:rFonts w:hint="eastAsia"/>
          <w:color w:val="auto"/>
          <w:lang w:val="en-US" w:eastAsia="zh-CN"/>
        </w:rPr>
        <w:t>雄探1试采点扩建工程主要工程量见表3.2-11</w:t>
      </w:r>
      <w:bookmarkStart w:id="253" w:name="OLE_LINK231"/>
      <w:r>
        <w:rPr>
          <w:rFonts w:hint="eastAsia"/>
          <w:color w:val="auto"/>
          <w:lang w:val="en-US" w:eastAsia="zh-CN"/>
        </w:rPr>
        <w:t>，平面布置图见图3.2-</w:t>
      </w:r>
      <w:bookmarkEnd w:id="253"/>
      <w:r>
        <w:rPr>
          <w:rFonts w:hint="eastAsia"/>
          <w:color w:val="auto"/>
          <w:lang w:val="en-US" w:eastAsia="zh-CN"/>
        </w:rPr>
        <w:t>3。</w:t>
      </w:r>
    </w:p>
    <w:p w14:paraId="50832B57">
      <w:pPr>
        <w:pStyle w:val="61"/>
        <w:bidi w:val="0"/>
        <w:jc w:val="both"/>
        <w:rPr>
          <w:rFonts w:hint="default"/>
          <w:color w:val="auto"/>
          <w:lang w:val="en-US" w:eastAsia="zh-CN"/>
        </w:rPr>
      </w:pPr>
      <w:r>
        <w:rPr>
          <w:rFonts w:hint="eastAsia"/>
          <w:color w:val="auto"/>
          <w:lang w:val="en-US" w:eastAsia="zh-CN"/>
        </w:rPr>
        <w:t>表3.2-11   雄探1试采点扩建工程主要工程量一览表</w:t>
      </w:r>
    </w:p>
    <w:tbl>
      <w:tblPr>
        <w:tblStyle w:val="36"/>
        <w:tblW w:w="501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512"/>
        <w:gridCol w:w="2512"/>
        <w:gridCol w:w="576"/>
        <w:gridCol w:w="561"/>
        <w:gridCol w:w="2460"/>
        <w:gridCol w:w="2055"/>
      </w:tblGrid>
      <w:tr w14:paraId="6A1F17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295" w:type="pct"/>
            <w:tcBorders>
              <w:tl2br w:val="nil"/>
              <w:tr2bl w:val="nil"/>
            </w:tcBorders>
            <w:noWrap w:val="0"/>
            <w:vAlign w:val="center"/>
          </w:tcPr>
          <w:p w14:paraId="421A160C">
            <w:pPr>
              <w:widowControl/>
              <w:spacing w:line="360" w:lineRule="exact"/>
              <w:ind w:firstLine="0" w:firstLineChars="0"/>
              <w:jc w:val="center"/>
              <w:textAlignment w:val="center"/>
              <w:rPr>
                <w:rFonts w:hint="eastAsia" w:eastAsia="宋体"/>
                <w:i w:val="0"/>
                <w:iCs w:val="0"/>
                <w:color w:val="auto"/>
                <w:sz w:val="21"/>
                <w:szCs w:val="21"/>
                <w:highlight w:val="none"/>
                <w:lang w:eastAsia="zh-CN"/>
              </w:rPr>
            </w:pPr>
            <w:r>
              <w:rPr>
                <w:rFonts w:hint="eastAsia"/>
                <w:i w:val="0"/>
                <w:iCs w:val="0"/>
                <w:color w:val="auto"/>
                <w:highlight w:val="none"/>
              </w:rPr>
              <w:t>序号</w:t>
            </w:r>
          </w:p>
        </w:tc>
        <w:tc>
          <w:tcPr>
            <w:tcW w:w="1447" w:type="pct"/>
            <w:tcBorders>
              <w:tl2br w:val="nil"/>
              <w:tr2bl w:val="nil"/>
            </w:tcBorders>
            <w:noWrap w:val="0"/>
            <w:vAlign w:val="center"/>
          </w:tcPr>
          <w:p w14:paraId="31EA216A">
            <w:pPr>
              <w:widowControl/>
              <w:spacing w:line="360" w:lineRule="exact"/>
              <w:ind w:firstLine="0" w:firstLineChars="0"/>
              <w:jc w:val="center"/>
              <w:textAlignment w:val="center"/>
              <w:rPr>
                <w:i w:val="0"/>
                <w:iCs w:val="0"/>
                <w:color w:val="auto"/>
                <w:kern w:val="0"/>
                <w:sz w:val="21"/>
                <w:szCs w:val="21"/>
                <w:highlight w:val="none"/>
                <w:lang w:bidi="ar"/>
              </w:rPr>
            </w:pPr>
            <w:r>
              <w:rPr>
                <w:rFonts w:hint="eastAsia"/>
                <w:i w:val="0"/>
                <w:iCs w:val="0"/>
                <w:color w:val="auto"/>
                <w:highlight w:val="none"/>
              </w:rPr>
              <w:t>工程内容</w:t>
            </w:r>
          </w:p>
        </w:tc>
        <w:tc>
          <w:tcPr>
            <w:tcW w:w="332" w:type="pct"/>
            <w:tcBorders>
              <w:tl2br w:val="nil"/>
              <w:tr2bl w:val="nil"/>
            </w:tcBorders>
            <w:noWrap w:val="0"/>
            <w:vAlign w:val="center"/>
          </w:tcPr>
          <w:p w14:paraId="1660CB74">
            <w:pPr>
              <w:widowControl/>
              <w:spacing w:line="360" w:lineRule="exact"/>
              <w:ind w:firstLine="0" w:firstLineChars="0"/>
              <w:jc w:val="center"/>
              <w:textAlignment w:val="center"/>
              <w:rPr>
                <w:i w:val="0"/>
                <w:iCs w:val="0"/>
                <w:color w:val="auto"/>
                <w:kern w:val="0"/>
                <w:sz w:val="21"/>
                <w:szCs w:val="21"/>
                <w:highlight w:val="none"/>
                <w:lang w:bidi="ar"/>
              </w:rPr>
            </w:pPr>
            <w:r>
              <w:rPr>
                <w:rFonts w:hint="eastAsia"/>
                <w:i w:val="0"/>
                <w:iCs w:val="0"/>
                <w:color w:val="auto"/>
                <w:highlight w:val="none"/>
              </w:rPr>
              <w:t>单位</w:t>
            </w:r>
          </w:p>
        </w:tc>
        <w:tc>
          <w:tcPr>
            <w:tcW w:w="323" w:type="pct"/>
            <w:tcBorders>
              <w:tl2br w:val="nil"/>
              <w:tr2bl w:val="nil"/>
            </w:tcBorders>
            <w:noWrap w:val="0"/>
            <w:vAlign w:val="center"/>
          </w:tcPr>
          <w:p w14:paraId="26A52067">
            <w:pPr>
              <w:widowControl/>
              <w:spacing w:line="360" w:lineRule="exact"/>
              <w:ind w:firstLine="0" w:firstLineChars="0"/>
              <w:jc w:val="center"/>
              <w:textAlignment w:val="center"/>
              <w:rPr>
                <w:i w:val="0"/>
                <w:iCs w:val="0"/>
                <w:color w:val="auto"/>
                <w:kern w:val="0"/>
                <w:sz w:val="21"/>
                <w:szCs w:val="21"/>
                <w:highlight w:val="none"/>
                <w:lang w:bidi="ar"/>
              </w:rPr>
            </w:pPr>
            <w:r>
              <w:rPr>
                <w:rFonts w:hint="eastAsia"/>
                <w:i w:val="0"/>
                <w:iCs w:val="0"/>
                <w:color w:val="auto"/>
                <w:highlight w:val="none"/>
              </w:rPr>
              <w:t>数量</w:t>
            </w:r>
          </w:p>
        </w:tc>
        <w:tc>
          <w:tcPr>
            <w:tcW w:w="1417" w:type="pct"/>
            <w:tcBorders>
              <w:tl2br w:val="nil"/>
              <w:tr2bl w:val="nil"/>
            </w:tcBorders>
            <w:noWrap w:val="0"/>
            <w:vAlign w:val="top"/>
          </w:tcPr>
          <w:p w14:paraId="35CF2BD6">
            <w:pPr>
              <w:pStyle w:val="158"/>
              <w:ind w:firstLine="0" w:firstLineChars="0"/>
              <w:jc w:val="center"/>
              <w:rPr>
                <w:i w:val="0"/>
                <w:iCs w:val="0"/>
                <w:color w:val="auto"/>
                <w:kern w:val="0"/>
                <w:sz w:val="21"/>
                <w:szCs w:val="21"/>
                <w:highlight w:val="none"/>
                <w:lang w:val="en-US" w:eastAsia="zh-CN" w:bidi="ar-SA"/>
              </w:rPr>
            </w:pPr>
            <w:r>
              <w:rPr>
                <w:rFonts w:hint="eastAsia"/>
                <w:i w:val="0"/>
                <w:iCs w:val="0"/>
                <w:color w:val="auto"/>
                <w:highlight w:val="none"/>
              </w:rPr>
              <w:t>规模</w:t>
            </w:r>
          </w:p>
        </w:tc>
        <w:tc>
          <w:tcPr>
            <w:tcW w:w="1183" w:type="pct"/>
            <w:tcBorders>
              <w:tl2br w:val="nil"/>
              <w:tr2bl w:val="nil"/>
            </w:tcBorders>
            <w:noWrap w:val="0"/>
            <w:vAlign w:val="top"/>
          </w:tcPr>
          <w:p w14:paraId="6BCAFF12">
            <w:pPr>
              <w:pStyle w:val="158"/>
              <w:jc w:val="center"/>
              <w:rPr>
                <w:i w:val="0"/>
                <w:iCs w:val="0"/>
                <w:color w:val="auto"/>
                <w:highlight w:val="none"/>
              </w:rPr>
            </w:pPr>
            <w:r>
              <w:rPr>
                <w:rFonts w:hint="eastAsia"/>
                <w:i w:val="0"/>
                <w:iCs w:val="0"/>
                <w:color w:val="auto"/>
                <w:highlight w:val="none"/>
              </w:rPr>
              <w:t>备注</w:t>
            </w:r>
          </w:p>
        </w:tc>
      </w:tr>
      <w:tr w14:paraId="457140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295" w:type="pct"/>
            <w:tcBorders>
              <w:tl2br w:val="nil"/>
              <w:tr2bl w:val="nil"/>
            </w:tcBorders>
            <w:noWrap w:val="0"/>
            <w:vAlign w:val="center"/>
          </w:tcPr>
          <w:p w14:paraId="4ED78658">
            <w:pPr>
              <w:widowControl/>
              <w:spacing w:line="360" w:lineRule="exact"/>
              <w:ind w:firstLine="0" w:firstLineChars="0"/>
              <w:jc w:val="center"/>
              <w:textAlignment w:val="center"/>
              <w:rPr>
                <w:rFonts w:hint="default"/>
                <w:i w:val="0"/>
                <w:iCs w:val="0"/>
                <w:color w:val="auto"/>
                <w:sz w:val="21"/>
                <w:szCs w:val="21"/>
                <w:highlight w:val="none"/>
                <w:lang w:val="en-US" w:eastAsia="zh-CN"/>
              </w:rPr>
            </w:pPr>
            <w:r>
              <w:rPr>
                <w:rFonts w:hint="eastAsia"/>
                <w:i w:val="0"/>
                <w:iCs w:val="0"/>
                <w:color w:val="auto"/>
                <w:sz w:val="21"/>
                <w:szCs w:val="21"/>
                <w:highlight w:val="none"/>
                <w:lang w:val="en-US" w:eastAsia="zh-CN"/>
              </w:rPr>
              <w:t>1</w:t>
            </w:r>
          </w:p>
        </w:tc>
        <w:tc>
          <w:tcPr>
            <w:tcW w:w="1447" w:type="pct"/>
            <w:tcBorders>
              <w:tl2br w:val="nil"/>
              <w:tr2bl w:val="nil"/>
            </w:tcBorders>
            <w:noWrap w:val="0"/>
            <w:vAlign w:val="center"/>
          </w:tcPr>
          <w:p w14:paraId="50C41335">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lang w:eastAsia="zh-CN" w:bidi="ar"/>
              </w:rPr>
            </w:pPr>
            <w:r>
              <w:rPr>
                <w:rFonts w:hint="default" w:ascii="Times New Roman" w:hAnsi="Times New Roman" w:eastAsia="宋体" w:cs="Times New Roman"/>
                <w:i w:val="0"/>
                <w:iCs w:val="0"/>
                <w:color w:val="auto"/>
                <w:kern w:val="0"/>
                <w:sz w:val="21"/>
                <w:szCs w:val="21"/>
                <w:highlight w:val="none"/>
                <w:lang w:val="en-US" w:eastAsia="zh-CN" w:bidi="ar"/>
              </w:rPr>
              <w:t>4</w:t>
            </w:r>
            <w:r>
              <w:rPr>
                <w:rFonts w:hint="default" w:ascii="Times New Roman" w:hAnsi="Times New Roman" w:eastAsia="宋体" w:cs="Times New Roman"/>
                <w:i w:val="0"/>
                <w:iCs w:val="0"/>
                <w:color w:val="auto"/>
                <w:kern w:val="0"/>
                <w:sz w:val="21"/>
                <w:szCs w:val="21"/>
                <w:highlight w:val="none"/>
                <w:lang w:eastAsia="zh-CN" w:bidi="ar"/>
              </w:rPr>
              <w:t>井式进站阀组橇</w:t>
            </w:r>
          </w:p>
        </w:tc>
        <w:tc>
          <w:tcPr>
            <w:tcW w:w="332" w:type="pct"/>
            <w:tcBorders>
              <w:tl2br w:val="nil"/>
              <w:tr2bl w:val="nil"/>
            </w:tcBorders>
            <w:noWrap w:val="0"/>
            <w:vAlign w:val="center"/>
          </w:tcPr>
          <w:p w14:paraId="6E591479">
            <w:pPr>
              <w:widowControl/>
              <w:spacing w:line="360" w:lineRule="exact"/>
              <w:ind w:firstLine="0" w:firstLineChars="0"/>
              <w:jc w:val="center"/>
              <w:textAlignment w:val="center"/>
              <w:rPr>
                <w:i w:val="0"/>
                <w:iCs w:val="0"/>
                <w:color w:val="auto"/>
                <w:kern w:val="0"/>
                <w:sz w:val="21"/>
                <w:szCs w:val="21"/>
                <w:highlight w:val="none"/>
                <w:lang w:bidi="ar"/>
              </w:rPr>
            </w:pPr>
            <w:r>
              <w:rPr>
                <w:rFonts w:hint="eastAsia" w:eastAsia="宋体"/>
                <w:i w:val="0"/>
                <w:iCs w:val="0"/>
                <w:color w:val="auto"/>
                <w:kern w:val="0"/>
                <w:sz w:val="21"/>
                <w:szCs w:val="21"/>
                <w:highlight w:val="none"/>
                <w:lang w:eastAsia="zh-CN" w:bidi="ar"/>
              </w:rPr>
              <w:t>座</w:t>
            </w:r>
          </w:p>
        </w:tc>
        <w:tc>
          <w:tcPr>
            <w:tcW w:w="323" w:type="pct"/>
            <w:tcBorders>
              <w:tl2br w:val="nil"/>
              <w:tr2bl w:val="nil"/>
            </w:tcBorders>
            <w:noWrap w:val="0"/>
            <w:vAlign w:val="center"/>
          </w:tcPr>
          <w:p w14:paraId="3CCC6237">
            <w:pPr>
              <w:widowControl/>
              <w:spacing w:line="360" w:lineRule="exact"/>
              <w:ind w:firstLine="0" w:firstLineChars="0"/>
              <w:jc w:val="center"/>
              <w:textAlignment w:val="center"/>
              <w:rPr>
                <w:rFonts w:hint="eastAsia"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2</w:t>
            </w:r>
          </w:p>
        </w:tc>
        <w:tc>
          <w:tcPr>
            <w:tcW w:w="1417" w:type="pct"/>
            <w:tcBorders>
              <w:tl2br w:val="nil"/>
              <w:tr2bl w:val="nil"/>
            </w:tcBorders>
            <w:noWrap w:val="0"/>
            <w:vAlign w:val="top"/>
          </w:tcPr>
          <w:p w14:paraId="589C516A">
            <w:pPr>
              <w:pStyle w:val="158"/>
              <w:ind w:firstLine="0" w:firstLineChars="0"/>
              <w:jc w:val="left"/>
              <w:rPr>
                <w:i w:val="0"/>
                <w:iCs w:val="0"/>
                <w:color w:val="auto"/>
                <w:kern w:val="0"/>
                <w:sz w:val="21"/>
                <w:szCs w:val="21"/>
                <w:highlight w:val="none"/>
                <w:lang w:val="en-US" w:eastAsia="zh-CN" w:bidi="ar-SA"/>
              </w:rPr>
            </w:pPr>
            <w:r>
              <w:rPr>
                <w:rFonts w:hint="eastAsia" w:eastAsia="宋体"/>
                <w:i w:val="0"/>
                <w:iCs w:val="0"/>
                <w:color w:val="auto"/>
                <w:kern w:val="0"/>
                <w:sz w:val="21"/>
                <w:szCs w:val="21"/>
                <w:highlight w:val="none"/>
                <w:lang w:eastAsia="zh-CN" w:bidi="ar"/>
              </w:rPr>
              <w:t>PN6.3MPa</w:t>
            </w:r>
          </w:p>
        </w:tc>
        <w:tc>
          <w:tcPr>
            <w:tcW w:w="1183" w:type="pct"/>
            <w:tcBorders>
              <w:tl2br w:val="nil"/>
              <w:tr2bl w:val="nil"/>
            </w:tcBorders>
            <w:noWrap w:val="0"/>
            <w:vAlign w:val="top"/>
          </w:tcPr>
          <w:p w14:paraId="045CA500">
            <w:pPr>
              <w:pStyle w:val="158"/>
              <w:rPr>
                <w:i w:val="0"/>
                <w:iCs w:val="0"/>
                <w:color w:val="auto"/>
                <w:highlight w:val="none"/>
              </w:rPr>
            </w:pPr>
            <w:r>
              <w:rPr>
                <w:rFonts w:hint="eastAsia" w:eastAsia="宋体"/>
                <w:i w:val="0"/>
                <w:iCs w:val="0"/>
                <w:color w:val="auto"/>
                <w:kern w:val="0"/>
                <w:sz w:val="21"/>
                <w:szCs w:val="21"/>
                <w:highlight w:val="none"/>
                <w:lang w:eastAsia="zh-CN" w:bidi="ar"/>
              </w:rPr>
              <w:t>新购</w:t>
            </w:r>
          </w:p>
        </w:tc>
      </w:tr>
      <w:tr w14:paraId="659EA3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295" w:type="pct"/>
            <w:tcBorders>
              <w:tl2br w:val="nil"/>
              <w:tr2bl w:val="nil"/>
            </w:tcBorders>
            <w:noWrap w:val="0"/>
            <w:vAlign w:val="center"/>
          </w:tcPr>
          <w:p w14:paraId="5CEC5BC4">
            <w:pPr>
              <w:widowControl/>
              <w:spacing w:line="360" w:lineRule="exact"/>
              <w:ind w:firstLine="0" w:firstLineChars="0"/>
              <w:jc w:val="center"/>
              <w:textAlignment w:val="center"/>
              <w:rPr>
                <w:rFonts w:hint="default" w:eastAsia="宋体"/>
                <w:i w:val="0"/>
                <w:iCs w:val="0"/>
                <w:color w:val="auto"/>
                <w:sz w:val="21"/>
                <w:szCs w:val="21"/>
                <w:highlight w:val="none"/>
                <w:lang w:val="en-US" w:eastAsia="zh-CN"/>
              </w:rPr>
            </w:pPr>
            <w:r>
              <w:rPr>
                <w:rFonts w:hint="eastAsia"/>
                <w:i w:val="0"/>
                <w:iCs w:val="0"/>
                <w:color w:val="auto"/>
                <w:sz w:val="21"/>
                <w:szCs w:val="21"/>
                <w:highlight w:val="none"/>
                <w:lang w:val="en-US" w:eastAsia="zh-CN"/>
              </w:rPr>
              <w:t>2</w:t>
            </w:r>
          </w:p>
        </w:tc>
        <w:tc>
          <w:tcPr>
            <w:tcW w:w="1447" w:type="pct"/>
            <w:tcBorders>
              <w:tl2br w:val="nil"/>
              <w:tr2bl w:val="nil"/>
            </w:tcBorders>
            <w:noWrap w:val="0"/>
            <w:vAlign w:val="center"/>
          </w:tcPr>
          <w:p w14:paraId="2848B5F7">
            <w:pPr>
              <w:widowControl/>
              <w:spacing w:line="360" w:lineRule="exact"/>
              <w:ind w:left="57" w:firstLine="0" w:firstLineChars="0"/>
              <w:jc w:val="center"/>
              <w:textAlignment w:val="center"/>
              <w:rPr>
                <w:rFonts w:hint="default" w:ascii="Times New Roman" w:hAnsi="Times New Roman" w:eastAsia="宋体" w:cs="Times New Roman"/>
                <w:i w:val="0"/>
                <w:iCs w:val="0"/>
                <w:color w:val="auto"/>
                <w:sz w:val="21"/>
                <w:szCs w:val="21"/>
                <w:highlight w:val="none"/>
              </w:rPr>
            </w:pPr>
            <w:r>
              <w:rPr>
                <w:rFonts w:hint="default" w:ascii="Times New Roman" w:hAnsi="Times New Roman" w:eastAsia="宋体" w:cs="Times New Roman"/>
                <w:i w:val="0"/>
                <w:iCs w:val="0"/>
                <w:color w:val="auto"/>
                <w:kern w:val="0"/>
                <w:sz w:val="21"/>
                <w:szCs w:val="21"/>
                <w:highlight w:val="none"/>
                <w:lang w:bidi="ar"/>
              </w:rPr>
              <w:t>计量分离器橇</w:t>
            </w:r>
          </w:p>
        </w:tc>
        <w:tc>
          <w:tcPr>
            <w:tcW w:w="332" w:type="pct"/>
            <w:tcBorders>
              <w:tl2br w:val="nil"/>
              <w:tr2bl w:val="nil"/>
            </w:tcBorders>
            <w:noWrap w:val="0"/>
            <w:vAlign w:val="center"/>
          </w:tcPr>
          <w:p w14:paraId="72BBD51E">
            <w:pPr>
              <w:widowControl/>
              <w:spacing w:line="360" w:lineRule="exact"/>
              <w:ind w:firstLine="0" w:firstLineChars="0"/>
              <w:jc w:val="center"/>
              <w:textAlignment w:val="center"/>
              <w:rPr>
                <w:rFonts w:ascii="Times New Roman" w:hAnsi="Times New Roman" w:eastAsia="宋体" w:cs="Times New Roman"/>
                <w:i w:val="0"/>
                <w:iCs w:val="0"/>
                <w:color w:val="auto"/>
                <w:kern w:val="2"/>
                <w:sz w:val="21"/>
                <w:szCs w:val="21"/>
                <w:highlight w:val="none"/>
                <w:lang w:val="en-US" w:eastAsia="zh-CN" w:bidi="ar-SA"/>
              </w:rPr>
            </w:pPr>
            <w:r>
              <w:rPr>
                <w:i w:val="0"/>
                <w:iCs w:val="0"/>
                <w:color w:val="auto"/>
                <w:kern w:val="0"/>
                <w:sz w:val="21"/>
                <w:szCs w:val="21"/>
                <w:highlight w:val="none"/>
                <w:lang w:bidi="ar"/>
              </w:rPr>
              <w:t>座</w:t>
            </w:r>
          </w:p>
        </w:tc>
        <w:tc>
          <w:tcPr>
            <w:tcW w:w="323" w:type="pct"/>
            <w:tcBorders>
              <w:tl2br w:val="nil"/>
              <w:tr2bl w:val="nil"/>
            </w:tcBorders>
            <w:noWrap w:val="0"/>
            <w:vAlign w:val="center"/>
          </w:tcPr>
          <w:p w14:paraId="654441E2">
            <w:pPr>
              <w:widowControl/>
              <w:spacing w:line="360" w:lineRule="exact"/>
              <w:ind w:firstLine="0" w:firstLineChars="0"/>
              <w:jc w:val="center"/>
              <w:textAlignment w:val="center"/>
              <w:rPr>
                <w:rFonts w:ascii="Times New Roman" w:hAnsi="Times New Roman" w:eastAsia="宋体" w:cs="Times New Roman"/>
                <w:i w:val="0"/>
                <w:iCs w:val="0"/>
                <w:color w:val="auto"/>
                <w:kern w:val="2"/>
                <w:sz w:val="21"/>
                <w:szCs w:val="21"/>
                <w:highlight w:val="none"/>
                <w:lang w:val="en-US" w:eastAsia="zh-CN" w:bidi="ar-SA"/>
              </w:rPr>
            </w:pPr>
            <w:r>
              <w:rPr>
                <w:i w:val="0"/>
                <w:iCs w:val="0"/>
                <w:color w:val="auto"/>
                <w:kern w:val="0"/>
                <w:sz w:val="21"/>
                <w:szCs w:val="21"/>
                <w:highlight w:val="none"/>
                <w:lang w:bidi="ar"/>
              </w:rPr>
              <w:t>1</w:t>
            </w:r>
          </w:p>
        </w:tc>
        <w:tc>
          <w:tcPr>
            <w:tcW w:w="1417" w:type="pct"/>
            <w:tcBorders>
              <w:tl2br w:val="nil"/>
              <w:tr2bl w:val="nil"/>
            </w:tcBorders>
            <w:noWrap w:val="0"/>
            <w:vAlign w:val="top"/>
          </w:tcPr>
          <w:p w14:paraId="503C0CFF">
            <w:pPr>
              <w:pStyle w:val="158"/>
              <w:ind w:firstLine="0" w:firstLineChars="0"/>
              <w:jc w:val="left"/>
              <w:rPr>
                <w:rFonts w:hint="default"/>
                <w:i w:val="0"/>
                <w:iCs w:val="0"/>
                <w:color w:val="auto"/>
                <w:kern w:val="0"/>
                <w:sz w:val="21"/>
                <w:szCs w:val="21"/>
                <w:highlight w:val="none"/>
                <w:lang w:val="en-US" w:eastAsia="zh-CN" w:bidi="ar-SA"/>
              </w:rPr>
            </w:pPr>
            <w:r>
              <w:rPr>
                <w:rFonts w:hint="eastAsia" w:eastAsia="宋体"/>
                <w:i w:val="0"/>
                <w:iCs w:val="0"/>
                <w:color w:val="auto"/>
                <w:kern w:val="0"/>
                <w:sz w:val="21"/>
                <w:szCs w:val="21"/>
                <w:highlight w:val="none"/>
                <w:lang w:eastAsia="zh-CN" w:bidi="ar"/>
              </w:rPr>
              <w:t>PN</w:t>
            </w:r>
            <w:r>
              <w:rPr>
                <w:rFonts w:hint="eastAsia"/>
                <w:i w:val="0"/>
                <w:iCs w:val="0"/>
                <w:color w:val="auto"/>
                <w:kern w:val="0"/>
                <w:sz w:val="21"/>
                <w:szCs w:val="21"/>
                <w:highlight w:val="none"/>
                <w:lang w:val="en-US" w:eastAsia="zh-CN" w:bidi="ar"/>
              </w:rPr>
              <w:t>10</w:t>
            </w:r>
            <w:r>
              <w:rPr>
                <w:rFonts w:hint="eastAsia" w:eastAsia="宋体"/>
                <w:i w:val="0"/>
                <w:iCs w:val="0"/>
                <w:color w:val="auto"/>
                <w:kern w:val="0"/>
                <w:sz w:val="21"/>
                <w:szCs w:val="21"/>
                <w:highlight w:val="none"/>
                <w:lang w:eastAsia="zh-CN" w:bidi="ar"/>
              </w:rPr>
              <w:t>MPa</w:t>
            </w:r>
            <w:r>
              <w:rPr>
                <w:rFonts w:hint="eastAsia"/>
                <w:i w:val="0"/>
                <w:iCs w:val="0"/>
                <w:color w:val="auto"/>
                <w:kern w:val="0"/>
                <w:sz w:val="21"/>
                <w:szCs w:val="21"/>
                <w:highlight w:val="none"/>
                <w:lang w:val="en-US" w:eastAsia="zh-CN" w:bidi="ar"/>
              </w:rPr>
              <w:t xml:space="preserve"> D1200</w:t>
            </w:r>
            <w:r>
              <w:rPr>
                <w:rFonts w:hint="default" w:ascii="Arial" w:hAnsi="Arial" w:cs="Arial"/>
                <w:i w:val="0"/>
                <w:iCs w:val="0"/>
                <w:color w:val="auto"/>
                <w:kern w:val="0"/>
                <w:sz w:val="21"/>
                <w:szCs w:val="21"/>
                <w:highlight w:val="none"/>
                <w:lang w:val="en-US" w:eastAsia="zh-CN" w:bidi="ar"/>
              </w:rPr>
              <w:t>×</w:t>
            </w:r>
            <w:r>
              <w:rPr>
                <w:rFonts w:hint="eastAsia"/>
                <w:i w:val="0"/>
                <w:iCs w:val="0"/>
                <w:color w:val="auto"/>
                <w:kern w:val="0"/>
                <w:sz w:val="21"/>
                <w:szCs w:val="21"/>
                <w:highlight w:val="none"/>
                <w:lang w:val="en-US" w:eastAsia="zh-CN" w:bidi="ar"/>
              </w:rPr>
              <w:t>6000</w:t>
            </w:r>
          </w:p>
        </w:tc>
        <w:tc>
          <w:tcPr>
            <w:tcW w:w="1183" w:type="pct"/>
            <w:tcBorders>
              <w:tl2br w:val="nil"/>
              <w:tr2bl w:val="nil"/>
            </w:tcBorders>
            <w:noWrap w:val="0"/>
            <w:vAlign w:val="top"/>
          </w:tcPr>
          <w:p w14:paraId="2E0B2A9C">
            <w:pPr>
              <w:pStyle w:val="158"/>
              <w:rPr>
                <w:rFonts w:hint="eastAsia" w:eastAsia="宋体"/>
                <w:i w:val="0"/>
                <w:iCs w:val="0"/>
                <w:color w:val="auto"/>
                <w:highlight w:val="none"/>
                <w:lang w:val="en-US" w:eastAsia="zh-CN"/>
              </w:rPr>
            </w:pPr>
            <w:r>
              <w:rPr>
                <w:rFonts w:hint="eastAsia"/>
                <w:i w:val="0"/>
                <w:iCs w:val="0"/>
                <w:color w:val="auto"/>
                <w:highlight w:val="none"/>
                <w:lang w:val="en-US" w:eastAsia="zh-CN"/>
              </w:rPr>
              <w:t>利库</w:t>
            </w:r>
          </w:p>
        </w:tc>
      </w:tr>
      <w:tr w14:paraId="6641B4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295" w:type="pct"/>
            <w:tcBorders>
              <w:tl2br w:val="nil"/>
              <w:tr2bl w:val="nil"/>
            </w:tcBorders>
            <w:noWrap w:val="0"/>
            <w:vAlign w:val="center"/>
          </w:tcPr>
          <w:p w14:paraId="1F6AF297">
            <w:pPr>
              <w:widowControl/>
              <w:spacing w:line="360" w:lineRule="exact"/>
              <w:ind w:firstLine="0" w:firstLineChars="0"/>
              <w:jc w:val="center"/>
              <w:textAlignment w:val="center"/>
              <w:rPr>
                <w:rFonts w:hint="default" w:eastAsia="宋体"/>
                <w:i w:val="0"/>
                <w:iCs w:val="0"/>
                <w:color w:val="auto"/>
                <w:sz w:val="21"/>
                <w:szCs w:val="21"/>
                <w:highlight w:val="none"/>
                <w:lang w:val="en-US" w:eastAsia="zh-CN"/>
              </w:rPr>
            </w:pPr>
            <w:r>
              <w:rPr>
                <w:rFonts w:hint="eastAsia"/>
                <w:i w:val="0"/>
                <w:iCs w:val="0"/>
                <w:color w:val="auto"/>
                <w:sz w:val="21"/>
                <w:szCs w:val="21"/>
                <w:highlight w:val="none"/>
                <w:lang w:val="en-US" w:eastAsia="zh-CN"/>
              </w:rPr>
              <w:t>3</w:t>
            </w:r>
          </w:p>
        </w:tc>
        <w:tc>
          <w:tcPr>
            <w:tcW w:w="1447" w:type="pct"/>
            <w:tcBorders>
              <w:tl2br w:val="nil"/>
              <w:tr2bl w:val="nil"/>
            </w:tcBorders>
            <w:noWrap w:val="0"/>
            <w:vAlign w:val="center"/>
          </w:tcPr>
          <w:p w14:paraId="277C2B64">
            <w:pPr>
              <w:widowControl/>
              <w:spacing w:line="360" w:lineRule="exact"/>
              <w:ind w:left="57" w:firstLine="0" w:firstLineChars="0"/>
              <w:jc w:val="center"/>
              <w:textAlignment w:val="center"/>
              <w:rPr>
                <w:rFonts w:hint="default" w:ascii="Times New Roman" w:hAnsi="Times New Roman" w:eastAsia="宋体" w:cs="Times New Roman"/>
                <w:i w:val="0"/>
                <w:iCs w:val="0"/>
                <w:color w:val="auto"/>
                <w:sz w:val="21"/>
                <w:szCs w:val="21"/>
                <w:highlight w:val="none"/>
              </w:rPr>
            </w:pPr>
            <w:r>
              <w:rPr>
                <w:rFonts w:hint="default" w:ascii="Times New Roman" w:hAnsi="Times New Roman" w:eastAsia="宋体" w:cs="Times New Roman"/>
                <w:i w:val="0"/>
                <w:iCs w:val="0"/>
                <w:color w:val="auto"/>
                <w:sz w:val="21"/>
                <w:szCs w:val="21"/>
                <w:highlight w:val="none"/>
              </w:rPr>
              <w:t>缓蚀剂加注橇</w:t>
            </w:r>
          </w:p>
        </w:tc>
        <w:tc>
          <w:tcPr>
            <w:tcW w:w="332" w:type="pct"/>
            <w:tcBorders>
              <w:tl2br w:val="nil"/>
              <w:tr2bl w:val="nil"/>
            </w:tcBorders>
            <w:noWrap w:val="0"/>
            <w:vAlign w:val="center"/>
          </w:tcPr>
          <w:p w14:paraId="2C212D31">
            <w:pPr>
              <w:widowControl/>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座</w:t>
            </w:r>
          </w:p>
        </w:tc>
        <w:tc>
          <w:tcPr>
            <w:tcW w:w="323" w:type="pct"/>
            <w:tcBorders>
              <w:tl2br w:val="nil"/>
              <w:tr2bl w:val="nil"/>
            </w:tcBorders>
            <w:noWrap w:val="0"/>
            <w:vAlign w:val="center"/>
          </w:tcPr>
          <w:p w14:paraId="2AF84290">
            <w:pPr>
              <w:widowControl/>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1</w:t>
            </w:r>
          </w:p>
        </w:tc>
        <w:tc>
          <w:tcPr>
            <w:tcW w:w="1417" w:type="pct"/>
            <w:tcBorders>
              <w:tl2br w:val="nil"/>
              <w:tr2bl w:val="nil"/>
            </w:tcBorders>
            <w:noWrap w:val="0"/>
            <w:vAlign w:val="top"/>
          </w:tcPr>
          <w:p w14:paraId="4960562D">
            <w:pPr>
              <w:pStyle w:val="158"/>
              <w:ind w:firstLine="0" w:firstLineChars="0"/>
              <w:jc w:val="left"/>
              <w:rPr>
                <w:rFonts w:hint="default" w:eastAsia="宋体"/>
                <w:i w:val="0"/>
                <w:iCs w:val="0"/>
                <w:color w:val="auto"/>
                <w:kern w:val="0"/>
                <w:sz w:val="21"/>
                <w:szCs w:val="21"/>
                <w:highlight w:val="none"/>
                <w:lang w:val="en-US" w:eastAsia="zh-CN" w:bidi="ar-SA"/>
              </w:rPr>
            </w:pPr>
          </w:p>
        </w:tc>
        <w:tc>
          <w:tcPr>
            <w:tcW w:w="1183" w:type="pct"/>
            <w:tcBorders>
              <w:tl2br w:val="nil"/>
              <w:tr2bl w:val="nil"/>
            </w:tcBorders>
            <w:noWrap w:val="0"/>
            <w:vAlign w:val="top"/>
          </w:tcPr>
          <w:p w14:paraId="631F7C7C">
            <w:pPr>
              <w:pStyle w:val="158"/>
              <w:rPr>
                <w:i w:val="0"/>
                <w:iCs w:val="0"/>
                <w:color w:val="auto"/>
                <w:highlight w:val="none"/>
              </w:rPr>
            </w:pPr>
            <w:r>
              <w:rPr>
                <w:rFonts w:hint="eastAsia" w:eastAsia="宋体"/>
                <w:i w:val="0"/>
                <w:iCs w:val="0"/>
                <w:color w:val="auto"/>
                <w:kern w:val="0"/>
                <w:sz w:val="21"/>
                <w:szCs w:val="21"/>
                <w:highlight w:val="none"/>
                <w:lang w:eastAsia="zh-CN" w:bidi="ar"/>
              </w:rPr>
              <w:t>新购</w:t>
            </w:r>
          </w:p>
        </w:tc>
      </w:tr>
      <w:tr w14:paraId="4CD995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295" w:type="pct"/>
            <w:tcBorders>
              <w:tl2br w:val="nil"/>
              <w:tr2bl w:val="nil"/>
            </w:tcBorders>
            <w:noWrap w:val="0"/>
            <w:vAlign w:val="center"/>
          </w:tcPr>
          <w:p w14:paraId="26B4C119">
            <w:pPr>
              <w:widowControl/>
              <w:spacing w:line="360" w:lineRule="exact"/>
              <w:ind w:firstLine="0" w:firstLineChars="0"/>
              <w:jc w:val="center"/>
              <w:textAlignment w:val="center"/>
              <w:rPr>
                <w:rFonts w:hint="default" w:eastAsia="宋体"/>
                <w:i w:val="0"/>
                <w:iCs w:val="0"/>
                <w:color w:val="auto"/>
                <w:sz w:val="21"/>
                <w:szCs w:val="21"/>
                <w:highlight w:val="none"/>
                <w:lang w:val="en-US" w:eastAsia="zh-CN"/>
              </w:rPr>
            </w:pPr>
            <w:r>
              <w:rPr>
                <w:rFonts w:hint="eastAsia"/>
                <w:i w:val="0"/>
                <w:iCs w:val="0"/>
                <w:color w:val="auto"/>
                <w:sz w:val="21"/>
                <w:szCs w:val="21"/>
                <w:highlight w:val="none"/>
                <w:lang w:val="en-US" w:eastAsia="zh-CN"/>
              </w:rPr>
              <w:t>4</w:t>
            </w:r>
          </w:p>
        </w:tc>
        <w:tc>
          <w:tcPr>
            <w:tcW w:w="1447" w:type="pct"/>
            <w:tcBorders>
              <w:tl2br w:val="nil"/>
              <w:tr2bl w:val="nil"/>
            </w:tcBorders>
            <w:noWrap w:val="0"/>
            <w:vAlign w:val="center"/>
          </w:tcPr>
          <w:p w14:paraId="7A6AE0F7">
            <w:pPr>
              <w:widowControl/>
              <w:spacing w:line="360" w:lineRule="exact"/>
              <w:ind w:left="57" w:firstLine="0" w:firstLineChars="0"/>
              <w:jc w:val="center"/>
              <w:textAlignment w:val="center"/>
              <w:rPr>
                <w:rFonts w:hint="default" w:ascii="Times New Roman" w:hAnsi="Times New Roman" w:eastAsia="宋体" w:cs="Times New Roman"/>
                <w:i w:val="0"/>
                <w:iCs w:val="0"/>
                <w:color w:val="auto"/>
                <w:sz w:val="21"/>
                <w:szCs w:val="21"/>
                <w:highlight w:val="none"/>
              </w:rPr>
            </w:pPr>
            <w:r>
              <w:rPr>
                <w:rFonts w:hint="default" w:ascii="Times New Roman" w:hAnsi="Times New Roman" w:eastAsia="宋体" w:cs="Times New Roman"/>
                <w:i w:val="0"/>
                <w:iCs w:val="0"/>
                <w:color w:val="auto"/>
                <w:sz w:val="21"/>
                <w:szCs w:val="21"/>
                <w:highlight w:val="none"/>
              </w:rPr>
              <w:t>原油装车橇</w:t>
            </w:r>
          </w:p>
        </w:tc>
        <w:tc>
          <w:tcPr>
            <w:tcW w:w="332" w:type="pct"/>
            <w:tcBorders>
              <w:tl2br w:val="nil"/>
              <w:tr2bl w:val="nil"/>
            </w:tcBorders>
            <w:noWrap w:val="0"/>
            <w:vAlign w:val="center"/>
          </w:tcPr>
          <w:p w14:paraId="6F25C096">
            <w:pPr>
              <w:widowControl/>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座</w:t>
            </w:r>
          </w:p>
        </w:tc>
        <w:tc>
          <w:tcPr>
            <w:tcW w:w="323" w:type="pct"/>
            <w:tcBorders>
              <w:tl2br w:val="nil"/>
              <w:tr2bl w:val="nil"/>
            </w:tcBorders>
            <w:noWrap w:val="0"/>
            <w:vAlign w:val="center"/>
          </w:tcPr>
          <w:p w14:paraId="2BB8A943">
            <w:pPr>
              <w:widowControl/>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1</w:t>
            </w:r>
          </w:p>
        </w:tc>
        <w:tc>
          <w:tcPr>
            <w:tcW w:w="1417" w:type="pct"/>
            <w:tcBorders>
              <w:tl2br w:val="nil"/>
              <w:tr2bl w:val="nil"/>
            </w:tcBorders>
            <w:noWrap w:val="0"/>
            <w:vAlign w:val="top"/>
          </w:tcPr>
          <w:p w14:paraId="1E697DD8">
            <w:pPr>
              <w:pStyle w:val="158"/>
              <w:ind w:firstLine="0" w:firstLineChars="0"/>
              <w:jc w:val="left"/>
              <w:rPr>
                <w:rFonts w:hint="default" w:eastAsia="宋体"/>
                <w:i w:val="0"/>
                <w:iCs w:val="0"/>
                <w:color w:val="auto"/>
                <w:kern w:val="0"/>
                <w:sz w:val="21"/>
                <w:szCs w:val="21"/>
                <w:highlight w:val="none"/>
                <w:lang w:val="en-US" w:eastAsia="zh-CN" w:bidi="ar-SA"/>
              </w:rPr>
            </w:pPr>
          </w:p>
        </w:tc>
        <w:tc>
          <w:tcPr>
            <w:tcW w:w="1183" w:type="pct"/>
            <w:tcBorders>
              <w:tl2br w:val="nil"/>
              <w:tr2bl w:val="nil"/>
            </w:tcBorders>
            <w:noWrap w:val="0"/>
            <w:vAlign w:val="top"/>
          </w:tcPr>
          <w:p w14:paraId="0EA56674">
            <w:pPr>
              <w:pStyle w:val="158"/>
              <w:rPr>
                <w:i w:val="0"/>
                <w:iCs w:val="0"/>
                <w:color w:val="auto"/>
                <w:highlight w:val="none"/>
              </w:rPr>
            </w:pPr>
            <w:r>
              <w:rPr>
                <w:rFonts w:hint="eastAsia"/>
                <w:i w:val="0"/>
                <w:iCs w:val="0"/>
                <w:color w:val="auto"/>
                <w:kern w:val="0"/>
                <w:sz w:val="21"/>
                <w:szCs w:val="21"/>
                <w:highlight w:val="none"/>
                <w:lang w:bidi="ar"/>
              </w:rPr>
              <w:t>利旧，厂家改造</w:t>
            </w:r>
          </w:p>
        </w:tc>
      </w:tr>
      <w:tr w14:paraId="76F05D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295" w:type="pct"/>
            <w:tcBorders>
              <w:tl2br w:val="nil"/>
              <w:tr2bl w:val="nil"/>
            </w:tcBorders>
            <w:noWrap w:val="0"/>
            <w:vAlign w:val="center"/>
          </w:tcPr>
          <w:p w14:paraId="00C68A49">
            <w:pPr>
              <w:widowControl/>
              <w:spacing w:line="360" w:lineRule="exact"/>
              <w:ind w:firstLine="0" w:firstLineChars="0"/>
              <w:jc w:val="center"/>
              <w:textAlignment w:val="center"/>
              <w:rPr>
                <w:rFonts w:hint="default" w:eastAsia="宋体"/>
                <w:i w:val="0"/>
                <w:iCs w:val="0"/>
                <w:color w:val="auto"/>
                <w:sz w:val="21"/>
                <w:szCs w:val="21"/>
                <w:highlight w:val="none"/>
                <w:lang w:val="en-US" w:eastAsia="zh-CN"/>
              </w:rPr>
            </w:pPr>
            <w:r>
              <w:rPr>
                <w:rFonts w:hint="eastAsia"/>
                <w:i w:val="0"/>
                <w:iCs w:val="0"/>
                <w:color w:val="auto"/>
                <w:sz w:val="21"/>
                <w:szCs w:val="21"/>
                <w:highlight w:val="none"/>
                <w:lang w:val="en-US" w:eastAsia="zh-CN"/>
              </w:rPr>
              <w:t>5</w:t>
            </w:r>
          </w:p>
        </w:tc>
        <w:tc>
          <w:tcPr>
            <w:tcW w:w="1447" w:type="pct"/>
            <w:tcBorders>
              <w:tl2br w:val="nil"/>
              <w:tr2bl w:val="nil"/>
            </w:tcBorders>
            <w:noWrap w:val="0"/>
            <w:vAlign w:val="center"/>
          </w:tcPr>
          <w:p w14:paraId="7374A45C">
            <w:pPr>
              <w:widowControl/>
              <w:spacing w:line="360" w:lineRule="exact"/>
              <w:ind w:left="57" w:firstLine="0" w:firstLineChars="0"/>
              <w:jc w:val="center"/>
              <w:textAlignment w:val="center"/>
              <w:rPr>
                <w:rFonts w:hint="eastAsia"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lang w:bidi="ar"/>
              </w:rPr>
              <w:t>闪蒸气压缩机</w:t>
            </w:r>
            <w:r>
              <w:rPr>
                <w:rFonts w:hint="eastAsia" w:cs="Times New Roman"/>
                <w:i w:val="0"/>
                <w:iCs w:val="0"/>
                <w:color w:val="auto"/>
                <w:kern w:val="0"/>
                <w:sz w:val="21"/>
                <w:szCs w:val="21"/>
                <w:highlight w:val="none"/>
                <w:lang w:val="en-US" w:eastAsia="zh-CN" w:bidi="ar"/>
              </w:rPr>
              <w:t>撬</w:t>
            </w:r>
          </w:p>
        </w:tc>
        <w:tc>
          <w:tcPr>
            <w:tcW w:w="332" w:type="pct"/>
            <w:tcBorders>
              <w:tl2br w:val="nil"/>
              <w:tr2bl w:val="nil"/>
            </w:tcBorders>
            <w:noWrap w:val="0"/>
            <w:vAlign w:val="center"/>
          </w:tcPr>
          <w:p w14:paraId="04BA366C">
            <w:pPr>
              <w:widowControl/>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座</w:t>
            </w:r>
          </w:p>
        </w:tc>
        <w:tc>
          <w:tcPr>
            <w:tcW w:w="323" w:type="pct"/>
            <w:tcBorders>
              <w:tl2br w:val="nil"/>
              <w:tr2bl w:val="nil"/>
            </w:tcBorders>
            <w:noWrap w:val="0"/>
            <w:vAlign w:val="center"/>
          </w:tcPr>
          <w:p w14:paraId="126F8063">
            <w:pPr>
              <w:widowControl/>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1</w:t>
            </w:r>
          </w:p>
        </w:tc>
        <w:tc>
          <w:tcPr>
            <w:tcW w:w="1417" w:type="pct"/>
            <w:tcBorders>
              <w:tl2br w:val="nil"/>
              <w:tr2bl w:val="nil"/>
            </w:tcBorders>
            <w:noWrap w:val="0"/>
            <w:vAlign w:val="top"/>
          </w:tcPr>
          <w:p w14:paraId="2BCFB133">
            <w:pPr>
              <w:pStyle w:val="158"/>
              <w:ind w:firstLine="0" w:firstLineChars="0"/>
              <w:jc w:val="left"/>
              <w:rPr>
                <w:rFonts w:hint="default" w:eastAsia="宋体"/>
                <w:i w:val="0"/>
                <w:iCs w:val="0"/>
                <w:color w:val="auto"/>
                <w:kern w:val="0"/>
                <w:sz w:val="21"/>
                <w:szCs w:val="21"/>
                <w:highlight w:val="none"/>
                <w:lang w:val="en-US" w:eastAsia="zh-CN" w:bidi="ar-SA"/>
              </w:rPr>
            </w:pPr>
          </w:p>
        </w:tc>
        <w:tc>
          <w:tcPr>
            <w:tcW w:w="1183" w:type="pct"/>
            <w:tcBorders>
              <w:tl2br w:val="nil"/>
              <w:tr2bl w:val="nil"/>
            </w:tcBorders>
            <w:noWrap w:val="0"/>
            <w:vAlign w:val="top"/>
          </w:tcPr>
          <w:p w14:paraId="43B93444">
            <w:pPr>
              <w:pStyle w:val="158"/>
              <w:rPr>
                <w:i w:val="0"/>
                <w:iCs w:val="0"/>
                <w:color w:val="auto"/>
                <w:highlight w:val="none"/>
              </w:rPr>
            </w:pPr>
            <w:r>
              <w:rPr>
                <w:rFonts w:hint="eastAsia"/>
                <w:i w:val="0"/>
                <w:iCs w:val="0"/>
                <w:color w:val="auto"/>
                <w:kern w:val="0"/>
                <w:sz w:val="21"/>
                <w:szCs w:val="21"/>
                <w:highlight w:val="none"/>
                <w:lang w:bidi="ar"/>
              </w:rPr>
              <w:t>利旧，厂家改造</w:t>
            </w:r>
          </w:p>
        </w:tc>
      </w:tr>
      <w:tr w14:paraId="519EE6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295" w:type="pct"/>
            <w:tcBorders>
              <w:tl2br w:val="nil"/>
              <w:tr2bl w:val="nil"/>
            </w:tcBorders>
            <w:noWrap w:val="0"/>
            <w:vAlign w:val="center"/>
          </w:tcPr>
          <w:p w14:paraId="1CC7248C">
            <w:pPr>
              <w:widowControl/>
              <w:spacing w:line="360" w:lineRule="exact"/>
              <w:ind w:firstLine="0" w:firstLineChars="0"/>
              <w:jc w:val="center"/>
              <w:textAlignment w:val="center"/>
              <w:rPr>
                <w:rFonts w:hint="default"/>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6</w:t>
            </w:r>
          </w:p>
        </w:tc>
        <w:tc>
          <w:tcPr>
            <w:tcW w:w="1447" w:type="pct"/>
            <w:tcBorders>
              <w:tl2br w:val="nil"/>
              <w:tr2bl w:val="nil"/>
            </w:tcBorders>
            <w:noWrap w:val="0"/>
            <w:vAlign w:val="center"/>
          </w:tcPr>
          <w:p w14:paraId="6B2894A8">
            <w:pPr>
              <w:keepNext w:val="0"/>
              <w:keepLines w:val="0"/>
              <w:widowControl/>
              <w:suppressLineNumbers w:val="0"/>
              <w:jc w:val="center"/>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lang w:val="en-US" w:eastAsia="zh-CN" w:bidi="ar"/>
              </w:rPr>
              <w:t>地面自动点火装置</w:t>
            </w:r>
          </w:p>
        </w:tc>
        <w:tc>
          <w:tcPr>
            <w:tcW w:w="332" w:type="pct"/>
            <w:tcBorders>
              <w:tl2br w:val="nil"/>
              <w:tr2bl w:val="nil"/>
            </w:tcBorders>
            <w:noWrap w:val="0"/>
            <w:vAlign w:val="center"/>
          </w:tcPr>
          <w:p w14:paraId="26FE1138">
            <w:pPr>
              <w:widowControl/>
              <w:spacing w:line="360" w:lineRule="exact"/>
              <w:ind w:firstLine="0" w:firstLineChars="0"/>
              <w:jc w:val="center"/>
              <w:textAlignment w:val="center"/>
              <w:rPr>
                <w:i w:val="0"/>
                <w:iCs w:val="0"/>
                <w:color w:val="auto"/>
                <w:kern w:val="2"/>
                <w:sz w:val="21"/>
                <w:szCs w:val="21"/>
                <w:highlight w:val="none"/>
                <w:lang w:val="en-US" w:eastAsia="zh-CN" w:bidi="ar-SA"/>
              </w:rPr>
            </w:pPr>
            <w:r>
              <w:rPr>
                <w:i w:val="0"/>
                <w:iCs w:val="0"/>
                <w:color w:val="auto"/>
                <w:kern w:val="0"/>
                <w:sz w:val="21"/>
                <w:szCs w:val="21"/>
                <w:highlight w:val="none"/>
                <w:lang w:bidi="ar"/>
              </w:rPr>
              <w:t>座</w:t>
            </w:r>
          </w:p>
        </w:tc>
        <w:tc>
          <w:tcPr>
            <w:tcW w:w="323" w:type="pct"/>
            <w:tcBorders>
              <w:tl2br w:val="nil"/>
              <w:tr2bl w:val="nil"/>
            </w:tcBorders>
            <w:noWrap w:val="0"/>
            <w:vAlign w:val="center"/>
          </w:tcPr>
          <w:p w14:paraId="363FEE5F">
            <w:pPr>
              <w:widowControl/>
              <w:spacing w:line="360" w:lineRule="exact"/>
              <w:ind w:firstLine="0" w:firstLineChars="0"/>
              <w:jc w:val="center"/>
              <w:textAlignment w:val="center"/>
              <w:rPr>
                <w:i w:val="0"/>
                <w:iCs w:val="0"/>
                <w:color w:val="auto"/>
                <w:kern w:val="2"/>
                <w:sz w:val="21"/>
                <w:szCs w:val="21"/>
                <w:highlight w:val="none"/>
                <w:lang w:val="en-US" w:eastAsia="zh-CN" w:bidi="ar-SA"/>
              </w:rPr>
            </w:pPr>
            <w:r>
              <w:rPr>
                <w:i w:val="0"/>
                <w:iCs w:val="0"/>
                <w:color w:val="auto"/>
                <w:kern w:val="0"/>
                <w:sz w:val="21"/>
                <w:szCs w:val="21"/>
                <w:highlight w:val="none"/>
                <w:lang w:bidi="ar"/>
              </w:rPr>
              <w:t>1</w:t>
            </w:r>
          </w:p>
        </w:tc>
        <w:tc>
          <w:tcPr>
            <w:tcW w:w="1417" w:type="pct"/>
            <w:tcBorders>
              <w:tl2br w:val="nil"/>
              <w:tr2bl w:val="nil"/>
            </w:tcBorders>
            <w:noWrap w:val="0"/>
            <w:vAlign w:val="top"/>
          </w:tcPr>
          <w:p w14:paraId="13CEDADE">
            <w:pPr>
              <w:pStyle w:val="158"/>
              <w:ind w:firstLine="0" w:firstLineChars="0"/>
              <w:jc w:val="left"/>
              <w:rPr>
                <w:rFonts w:hint="eastAsia"/>
                <w:i w:val="0"/>
                <w:iCs w:val="0"/>
                <w:color w:val="auto"/>
                <w:highlight w:val="none"/>
                <w:lang w:val="en-US" w:eastAsia="zh-CN" w:bidi="ar"/>
              </w:rPr>
            </w:pPr>
          </w:p>
        </w:tc>
        <w:tc>
          <w:tcPr>
            <w:tcW w:w="1183" w:type="pct"/>
            <w:tcBorders>
              <w:tl2br w:val="nil"/>
              <w:tr2bl w:val="nil"/>
            </w:tcBorders>
            <w:noWrap w:val="0"/>
            <w:vAlign w:val="top"/>
          </w:tcPr>
          <w:p w14:paraId="0C0884FD">
            <w:pPr>
              <w:pStyle w:val="158"/>
              <w:rPr>
                <w:i w:val="0"/>
                <w:iCs w:val="0"/>
                <w:color w:val="auto"/>
                <w:highlight w:val="none"/>
              </w:rPr>
            </w:pPr>
          </w:p>
        </w:tc>
      </w:tr>
      <w:tr w14:paraId="7DD6D3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295" w:type="pct"/>
            <w:tcBorders>
              <w:tl2br w:val="nil"/>
              <w:tr2bl w:val="nil"/>
            </w:tcBorders>
            <w:noWrap w:val="0"/>
            <w:vAlign w:val="center"/>
          </w:tcPr>
          <w:p w14:paraId="39A6E255">
            <w:pPr>
              <w:widowControl/>
              <w:spacing w:line="360" w:lineRule="exact"/>
              <w:ind w:firstLine="0" w:firstLineChars="0"/>
              <w:jc w:val="center"/>
              <w:textAlignment w:val="center"/>
              <w:rPr>
                <w:rFonts w:hint="default" w:eastAsia="宋体"/>
                <w:i w:val="0"/>
                <w:iCs w:val="0"/>
                <w:color w:val="auto"/>
                <w:sz w:val="21"/>
                <w:szCs w:val="21"/>
                <w:highlight w:val="none"/>
                <w:lang w:val="en-US" w:eastAsia="zh-CN"/>
              </w:rPr>
            </w:pPr>
            <w:r>
              <w:rPr>
                <w:rFonts w:hint="eastAsia"/>
                <w:i w:val="0"/>
                <w:iCs w:val="0"/>
                <w:color w:val="auto"/>
                <w:sz w:val="21"/>
                <w:szCs w:val="21"/>
                <w:highlight w:val="none"/>
                <w:lang w:val="en-US" w:eastAsia="zh-CN"/>
              </w:rPr>
              <w:t>7</w:t>
            </w:r>
          </w:p>
        </w:tc>
        <w:tc>
          <w:tcPr>
            <w:tcW w:w="1447" w:type="pct"/>
            <w:tcBorders>
              <w:tl2br w:val="nil"/>
              <w:tr2bl w:val="nil"/>
            </w:tcBorders>
            <w:noWrap w:val="0"/>
            <w:vAlign w:val="center"/>
          </w:tcPr>
          <w:p w14:paraId="4E7A79AF">
            <w:pPr>
              <w:widowControl/>
              <w:spacing w:line="360" w:lineRule="exact"/>
              <w:jc w:val="center"/>
              <w:textAlignment w:val="center"/>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2"/>
                <w:sz w:val="21"/>
                <w:szCs w:val="21"/>
                <w:highlight w:val="none"/>
                <w:lang w:val="en-US" w:eastAsia="zh-CN" w:bidi="ar-SA"/>
              </w:rPr>
              <w:t>放散管碱液罐</w:t>
            </w:r>
          </w:p>
        </w:tc>
        <w:tc>
          <w:tcPr>
            <w:tcW w:w="332" w:type="pct"/>
            <w:tcBorders>
              <w:tl2br w:val="nil"/>
              <w:tr2bl w:val="nil"/>
            </w:tcBorders>
            <w:noWrap w:val="0"/>
            <w:vAlign w:val="center"/>
          </w:tcPr>
          <w:p w14:paraId="3FBBAEBC">
            <w:pPr>
              <w:widowControl/>
              <w:spacing w:line="360" w:lineRule="exact"/>
              <w:ind w:firstLine="0" w:firstLineChars="0"/>
              <w:jc w:val="center"/>
              <w:textAlignment w:val="center"/>
              <w:rPr>
                <w:rFonts w:hint="default" w:ascii="Times New Roman" w:hAnsi="Times New Roman" w:eastAsia="宋体" w:cs="Times New Roman"/>
                <w:i w:val="0"/>
                <w:iCs w:val="0"/>
                <w:color w:val="auto"/>
                <w:kern w:val="2"/>
                <w:sz w:val="21"/>
                <w:szCs w:val="21"/>
                <w:highlight w:val="none"/>
                <w:lang w:val="en-US" w:eastAsia="zh-CN" w:bidi="ar-SA"/>
              </w:rPr>
            </w:pPr>
            <w:r>
              <w:rPr>
                <w:i w:val="0"/>
                <w:iCs w:val="0"/>
                <w:color w:val="auto"/>
                <w:kern w:val="0"/>
                <w:sz w:val="21"/>
                <w:szCs w:val="21"/>
                <w:highlight w:val="none"/>
                <w:lang w:bidi="ar"/>
              </w:rPr>
              <w:t>座</w:t>
            </w:r>
          </w:p>
        </w:tc>
        <w:tc>
          <w:tcPr>
            <w:tcW w:w="323" w:type="pct"/>
            <w:tcBorders>
              <w:tl2br w:val="nil"/>
              <w:tr2bl w:val="nil"/>
            </w:tcBorders>
            <w:noWrap w:val="0"/>
            <w:vAlign w:val="center"/>
          </w:tcPr>
          <w:p w14:paraId="3977D64F">
            <w:pPr>
              <w:widowControl/>
              <w:spacing w:line="360" w:lineRule="exact"/>
              <w:ind w:firstLine="0" w:firstLineChars="0"/>
              <w:jc w:val="center"/>
              <w:textAlignment w:val="center"/>
              <w:rPr>
                <w:rFonts w:hint="default" w:ascii="Times New Roman" w:hAnsi="Times New Roman" w:eastAsia="宋体" w:cs="Times New Roman"/>
                <w:i w:val="0"/>
                <w:iCs w:val="0"/>
                <w:color w:val="auto"/>
                <w:kern w:val="2"/>
                <w:sz w:val="21"/>
                <w:szCs w:val="21"/>
                <w:highlight w:val="none"/>
                <w:lang w:val="en-US" w:eastAsia="zh-CN" w:bidi="ar-SA"/>
              </w:rPr>
            </w:pPr>
            <w:r>
              <w:rPr>
                <w:i w:val="0"/>
                <w:iCs w:val="0"/>
                <w:color w:val="auto"/>
                <w:kern w:val="0"/>
                <w:sz w:val="21"/>
                <w:szCs w:val="21"/>
                <w:highlight w:val="none"/>
                <w:lang w:bidi="ar"/>
              </w:rPr>
              <w:t>1</w:t>
            </w:r>
          </w:p>
        </w:tc>
        <w:tc>
          <w:tcPr>
            <w:tcW w:w="1417" w:type="pct"/>
            <w:tcBorders>
              <w:tl2br w:val="nil"/>
              <w:tr2bl w:val="nil"/>
            </w:tcBorders>
            <w:noWrap w:val="0"/>
            <w:vAlign w:val="top"/>
          </w:tcPr>
          <w:p w14:paraId="16C38B2B">
            <w:pPr>
              <w:pStyle w:val="158"/>
              <w:ind w:firstLine="0" w:firstLineChars="0"/>
              <w:jc w:val="left"/>
              <w:rPr>
                <w:i w:val="0"/>
                <w:iCs w:val="0"/>
                <w:color w:val="auto"/>
                <w:kern w:val="0"/>
                <w:sz w:val="21"/>
                <w:szCs w:val="21"/>
                <w:highlight w:val="none"/>
                <w:lang w:val="en-US" w:eastAsia="zh-CN" w:bidi="ar-SA"/>
              </w:rPr>
            </w:pPr>
          </w:p>
        </w:tc>
        <w:tc>
          <w:tcPr>
            <w:tcW w:w="1183" w:type="pct"/>
            <w:tcBorders>
              <w:tl2br w:val="nil"/>
              <w:tr2bl w:val="nil"/>
            </w:tcBorders>
            <w:noWrap w:val="0"/>
            <w:vAlign w:val="top"/>
          </w:tcPr>
          <w:p w14:paraId="59677953">
            <w:pPr>
              <w:pStyle w:val="158"/>
              <w:rPr>
                <w:rFonts w:hint="eastAsia" w:eastAsia="宋体"/>
                <w:i w:val="0"/>
                <w:iCs w:val="0"/>
                <w:color w:val="auto"/>
                <w:highlight w:val="none"/>
                <w:lang w:val="en-US" w:eastAsia="zh-CN"/>
              </w:rPr>
            </w:pPr>
          </w:p>
        </w:tc>
      </w:tr>
      <w:tr w14:paraId="05C59B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295" w:type="pct"/>
            <w:tcBorders>
              <w:tl2br w:val="nil"/>
              <w:tr2bl w:val="nil"/>
            </w:tcBorders>
            <w:noWrap w:val="0"/>
            <w:vAlign w:val="center"/>
          </w:tcPr>
          <w:p w14:paraId="39F1F90F">
            <w:pPr>
              <w:widowControl/>
              <w:spacing w:line="360" w:lineRule="exact"/>
              <w:ind w:firstLine="0" w:firstLineChars="0"/>
              <w:jc w:val="center"/>
              <w:textAlignment w:val="center"/>
              <w:rPr>
                <w:rFonts w:hint="default" w:eastAsia="宋体"/>
                <w:i w:val="0"/>
                <w:iCs w:val="0"/>
                <w:color w:val="auto"/>
                <w:kern w:val="2"/>
                <w:sz w:val="21"/>
                <w:szCs w:val="21"/>
                <w:highlight w:val="none"/>
                <w:lang w:val="en-US" w:eastAsia="zh-CN" w:bidi="ar-SA"/>
              </w:rPr>
            </w:pPr>
            <w:r>
              <w:rPr>
                <w:rFonts w:hint="eastAsia"/>
                <w:i w:val="0"/>
                <w:iCs w:val="0"/>
                <w:color w:val="auto"/>
                <w:kern w:val="2"/>
                <w:sz w:val="21"/>
                <w:szCs w:val="21"/>
                <w:highlight w:val="none"/>
                <w:lang w:val="en-US" w:eastAsia="zh-CN" w:bidi="ar-SA"/>
              </w:rPr>
              <w:t>8</w:t>
            </w:r>
          </w:p>
        </w:tc>
        <w:tc>
          <w:tcPr>
            <w:tcW w:w="1447" w:type="pct"/>
            <w:tcBorders>
              <w:tl2br w:val="nil"/>
              <w:tr2bl w:val="nil"/>
            </w:tcBorders>
            <w:noWrap w:val="0"/>
            <w:vAlign w:val="center"/>
          </w:tcPr>
          <w:p w14:paraId="41C502CB">
            <w:pPr>
              <w:widowControl/>
              <w:spacing w:line="360" w:lineRule="exact"/>
              <w:ind w:left="57" w:leftChars="0" w:firstLine="0" w:firstLineChars="0"/>
              <w:jc w:val="center"/>
              <w:textAlignment w:val="center"/>
              <w:rPr>
                <w:rFonts w:hint="eastAsia" w:ascii="Times New Roman" w:hAnsi="Times New Roman" w:eastAsia="宋体" w:cs="Times New Roman"/>
                <w:i w:val="0"/>
                <w:iCs w:val="0"/>
                <w:color w:val="auto"/>
                <w:kern w:val="0"/>
                <w:sz w:val="21"/>
                <w:szCs w:val="21"/>
                <w:highlight w:val="none"/>
                <w:lang w:val="en-US" w:eastAsia="zh-CN" w:bidi="ar"/>
              </w:rPr>
            </w:pPr>
            <w:r>
              <w:rPr>
                <w:rFonts w:hint="eastAsia" w:ascii="Times New Roman" w:hAnsi="Times New Roman" w:eastAsia="宋体" w:cs="Times New Roman"/>
                <w:i w:val="0"/>
                <w:iCs w:val="0"/>
                <w:color w:val="auto"/>
                <w:kern w:val="0"/>
                <w:sz w:val="21"/>
                <w:szCs w:val="21"/>
                <w:highlight w:val="none"/>
                <w:lang w:val="en-US" w:eastAsia="zh-CN" w:bidi="ar"/>
              </w:rPr>
              <w:t>干法脱硫塔</w:t>
            </w:r>
          </w:p>
        </w:tc>
        <w:tc>
          <w:tcPr>
            <w:tcW w:w="332" w:type="pct"/>
            <w:tcBorders>
              <w:tl2br w:val="nil"/>
              <w:tr2bl w:val="nil"/>
            </w:tcBorders>
            <w:noWrap w:val="0"/>
            <w:vAlign w:val="center"/>
          </w:tcPr>
          <w:p w14:paraId="1393CEC1">
            <w:pPr>
              <w:widowControl/>
              <w:spacing w:line="360" w:lineRule="exact"/>
              <w:ind w:firstLine="0" w:firstLineChars="0"/>
              <w:jc w:val="center"/>
              <w:textAlignment w:val="center"/>
              <w:rPr>
                <w:rFonts w:hint="eastAsia" w:ascii="Times New Roman" w:hAnsi="Times New Roman" w:eastAsia="宋体" w:cs="Times New Roman"/>
                <w:i w:val="0"/>
                <w:iCs w:val="0"/>
                <w:color w:val="auto"/>
                <w:kern w:val="2"/>
                <w:sz w:val="21"/>
                <w:szCs w:val="21"/>
                <w:highlight w:val="none"/>
                <w:lang w:val="en-US" w:eastAsia="zh-CN" w:bidi="ar-SA"/>
              </w:rPr>
            </w:pPr>
            <w:r>
              <w:rPr>
                <w:i w:val="0"/>
                <w:iCs w:val="0"/>
                <w:color w:val="auto"/>
                <w:kern w:val="0"/>
                <w:sz w:val="21"/>
                <w:szCs w:val="21"/>
                <w:highlight w:val="none"/>
                <w:lang w:bidi="ar"/>
              </w:rPr>
              <w:t>座</w:t>
            </w:r>
          </w:p>
        </w:tc>
        <w:tc>
          <w:tcPr>
            <w:tcW w:w="323" w:type="pct"/>
            <w:tcBorders>
              <w:tl2br w:val="nil"/>
              <w:tr2bl w:val="nil"/>
            </w:tcBorders>
            <w:noWrap w:val="0"/>
            <w:vAlign w:val="center"/>
          </w:tcPr>
          <w:p w14:paraId="329A1ED7">
            <w:pPr>
              <w:widowControl/>
              <w:spacing w:line="360" w:lineRule="exact"/>
              <w:ind w:firstLine="0" w:firstLineChars="0"/>
              <w:jc w:val="center"/>
              <w:textAlignment w:val="center"/>
              <w:rPr>
                <w:rFonts w:hint="eastAsia" w:ascii="Times New Roman" w:hAnsi="Times New Roman" w:eastAsia="宋体" w:cs="Times New Roman"/>
                <w:i w:val="0"/>
                <w:iCs w:val="0"/>
                <w:color w:val="auto"/>
                <w:kern w:val="2"/>
                <w:sz w:val="21"/>
                <w:szCs w:val="21"/>
                <w:highlight w:val="none"/>
                <w:lang w:val="en-US" w:eastAsia="zh-CN" w:bidi="ar-SA"/>
              </w:rPr>
            </w:pPr>
            <w:r>
              <w:rPr>
                <w:rFonts w:hint="eastAsia"/>
                <w:i w:val="0"/>
                <w:iCs w:val="0"/>
                <w:color w:val="auto"/>
                <w:kern w:val="0"/>
                <w:sz w:val="21"/>
                <w:szCs w:val="21"/>
                <w:highlight w:val="none"/>
                <w:lang w:val="en-US" w:eastAsia="zh-CN" w:bidi="ar"/>
              </w:rPr>
              <w:t>2</w:t>
            </w:r>
          </w:p>
        </w:tc>
        <w:tc>
          <w:tcPr>
            <w:tcW w:w="1417" w:type="pct"/>
            <w:tcBorders>
              <w:tl2br w:val="nil"/>
              <w:tr2bl w:val="nil"/>
            </w:tcBorders>
            <w:noWrap w:val="0"/>
            <w:vAlign w:val="center"/>
          </w:tcPr>
          <w:p w14:paraId="2F0921FE">
            <w:pPr>
              <w:widowControl/>
              <w:spacing w:line="360" w:lineRule="exact"/>
              <w:ind w:firstLine="0" w:firstLineChars="0"/>
              <w:jc w:val="left"/>
              <w:textAlignment w:val="center"/>
              <w:rPr>
                <w:rFonts w:hint="eastAsia"/>
                <w:i w:val="0"/>
                <w:iCs w:val="0"/>
                <w:color w:val="auto"/>
                <w:kern w:val="0"/>
                <w:sz w:val="21"/>
                <w:szCs w:val="21"/>
                <w:highlight w:val="none"/>
                <w:lang w:val="en-US" w:eastAsia="zh-CN" w:bidi="ar"/>
              </w:rPr>
            </w:pPr>
          </w:p>
        </w:tc>
        <w:tc>
          <w:tcPr>
            <w:tcW w:w="1183" w:type="pct"/>
            <w:tcBorders>
              <w:tl2br w:val="nil"/>
              <w:tr2bl w:val="nil"/>
            </w:tcBorders>
            <w:noWrap w:val="0"/>
            <w:vAlign w:val="center"/>
          </w:tcPr>
          <w:p w14:paraId="6C36E675">
            <w:pPr>
              <w:pStyle w:val="158"/>
              <w:ind w:firstLine="0" w:firstLineChars="0"/>
              <w:rPr>
                <w:i w:val="0"/>
                <w:iCs w:val="0"/>
                <w:color w:val="auto"/>
                <w:kern w:val="0"/>
                <w:sz w:val="21"/>
                <w:szCs w:val="21"/>
                <w:highlight w:val="none"/>
                <w:lang w:val="en-US" w:eastAsia="zh-CN" w:bidi="ar-SA"/>
              </w:rPr>
            </w:pPr>
            <w:r>
              <w:rPr>
                <w:rFonts w:hint="eastAsia"/>
                <w:i w:val="0"/>
                <w:iCs w:val="0"/>
                <w:color w:val="auto"/>
                <w:highlight w:val="none"/>
                <w:lang w:val="en-US" w:eastAsia="zh-CN"/>
              </w:rPr>
              <w:t>利旧</w:t>
            </w:r>
          </w:p>
        </w:tc>
      </w:tr>
      <w:tr w14:paraId="3B0857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295" w:type="pct"/>
            <w:tcBorders>
              <w:tl2br w:val="nil"/>
              <w:tr2bl w:val="nil"/>
            </w:tcBorders>
            <w:noWrap w:val="0"/>
            <w:vAlign w:val="center"/>
          </w:tcPr>
          <w:p w14:paraId="553117E0">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9</w:t>
            </w:r>
          </w:p>
        </w:tc>
        <w:tc>
          <w:tcPr>
            <w:tcW w:w="1447" w:type="pct"/>
            <w:tcBorders>
              <w:tl2br w:val="nil"/>
              <w:tr2bl w:val="nil"/>
            </w:tcBorders>
            <w:noWrap w:val="0"/>
            <w:vAlign w:val="center"/>
          </w:tcPr>
          <w:p w14:paraId="123BB9DE">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气液分离器橇</w:t>
            </w:r>
          </w:p>
        </w:tc>
        <w:tc>
          <w:tcPr>
            <w:tcW w:w="332" w:type="pct"/>
            <w:tcBorders>
              <w:tl2br w:val="nil"/>
              <w:tr2bl w:val="nil"/>
            </w:tcBorders>
            <w:noWrap w:val="0"/>
            <w:vAlign w:val="center"/>
          </w:tcPr>
          <w:p w14:paraId="02DA79FC">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座</w:t>
            </w:r>
          </w:p>
        </w:tc>
        <w:tc>
          <w:tcPr>
            <w:tcW w:w="323" w:type="pct"/>
            <w:tcBorders>
              <w:tl2br w:val="nil"/>
              <w:tr2bl w:val="nil"/>
            </w:tcBorders>
            <w:noWrap w:val="0"/>
            <w:vAlign w:val="center"/>
          </w:tcPr>
          <w:p w14:paraId="0F4439D2">
            <w:pPr>
              <w:keepNext w:val="0"/>
              <w:keepLines w:val="0"/>
              <w:widowControl/>
              <w:suppressLineNumbers w:val="0"/>
              <w:jc w:val="center"/>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1417" w:type="pct"/>
            <w:tcBorders>
              <w:tl2br w:val="nil"/>
              <w:tr2bl w:val="nil"/>
            </w:tcBorders>
            <w:noWrap w:val="0"/>
            <w:vAlign w:val="center"/>
          </w:tcPr>
          <w:p w14:paraId="0AC08B5F">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PN1.6MPa D1600×4800</w:t>
            </w:r>
          </w:p>
        </w:tc>
        <w:tc>
          <w:tcPr>
            <w:tcW w:w="1183" w:type="pct"/>
            <w:tcBorders>
              <w:tl2br w:val="nil"/>
              <w:tr2bl w:val="nil"/>
            </w:tcBorders>
            <w:noWrap w:val="0"/>
            <w:vAlign w:val="center"/>
          </w:tcPr>
          <w:p w14:paraId="1A810D02">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新购</w:t>
            </w:r>
          </w:p>
        </w:tc>
      </w:tr>
      <w:bookmarkEnd w:id="252"/>
    </w:tbl>
    <w:p w14:paraId="2D2F2599">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cs="Times New Roman"/>
          <w:b w:val="0"/>
          <w:bCs w:val="0"/>
          <w:color w:val="auto"/>
          <w:sz w:val="24"/>
          <w:szCs w:val="24"/>
          <w:lang w:val="en-US" w:eastAsia="zh-CN"/>
        </w:rPr>
      </w:pPr>
    </w:p>
    <w:p w14:paraId="46CBA84D">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cs="Times New Roman"/>
          <w:b w:val="0"/>
          <w:bCs w:val="0"/>
          <w:color w:val="auto"/>
          <w:sz w:val="24"/>
          <w:szCs w:val="24"/>
          <w:lang w:val="en-US" w:eastAsia="zh-CN"/>
        </w:rPr>
      </w:pPr>
    </w:p>
    <w:p w14:paraId="1FB63224">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cs="Times New Roman"/>
          <w:b w:val="0"/>
          <w:bCs w:val="0"/>
          <w:color w:val="auto"/>
          <w:sz w:val="24"/>
          <w:szCs w:val="24"/>
          <w:lang w:val="en-US" w:eastAsia="zh-CN"/>
        </w:rPr>
      </w:pPr>
    </w:p>
    <w:p w14:paraId="30896AAE">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cs="Times New Roman"/>
          <w:b w:val="0"/>
          <w:bCs w:val="0"/>
          <w:color w:val="auto"/>
          <w:sz w:val="24"/>
          <w:szCs w:val="24"/>
          <w:lang w:val="en-US" w:eastAsia="zh-CN"/>
        </w:rPr>
      </w:pPr>
    </w:p>
    <w:p w14:paraId="4D7A7748">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cs="Times New Roman"/>
          <w:b w:val="0"/>
          <w:bCs w:val="0"/>
          <w:color w:val="auto"/>
          <w:sz w:val="24"/>
          <w:szCs w:val="24"/>
          <w:lang w:val="en-US" w:eastAsia="zh-CN"/>
        </w:rPr>
      </w:pPr>
    </w:p>
    <w:p w14:paraId="241828C4">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cs="Times New Roman"/>
          <w:b w:val="0"/>
          <w:bCs w:val="0"/>
          <w:color w:val="auto"/>
          <w:sz w:val="24"/>
          <w:szCs w:val="24"/>
          <w:lang w:val="en-US" w:eastAsia="zh-CN"/>
        </w:rPr>
      </w:pPr>
    </w:p>
    <w:p w14:paraId="2C9A582A">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cs="Times New Roman"/>
          <w:b w:val="0"/>
          <w:bCs w:val="0"/>
          <w:color w:val="auto"/>
          <w:sz w:val="24"/>
          <w:szCs w:val="24"/>
          <w:lang w:val="en-US" w:eastAsia="zh-CN"/>
        </w:rPr>
      </w:pPr>
    </w:p>
    <w:p w14:paraId="79742323">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cs="Times New Roman"/>
          <w:b w:val="0"/>
          <w:bCs w:val="0"/>
          <w:color w:val="auto"/>
          <w:sz w:val="24"/>
          <w:szCs w:val="24"/>
          <w:lang w:val="en-US" w:eastAsia="zh-CN"/>
        </w:rPr>
      </w:pPr>
    </w:p>
    <w:p w14:paraId="0F4ACF3B">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cs="Times New Roman"/>
          <w:b w:val="0"/>
          <w:bCs w:val="0"/>
          <w:color w:val="auto"/>
          <w:sz w:val="24"/>
          <w:szCs w:val="24"/>
          <w:lang w:val="en-US" w:eastAsia="zh-CN"/>
        </w:rPr>
      </w:pPr>
    </w:p>
    <w:p w14:paraId="65C29B43">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cs="Times New Roman"/>
          <w:b w:val="0"/>
          <w:bCs w:val="0"/>
          <w:color w:val="auto"/>
          <w:sz w:val="24"/>
          <w:szCs w:val="24"/>
          <w:lang w:val="en-US" w:eastAsia="zh-CN"/>
        </w:rPr>
      </w:pPr>
    </w:p>
    <w:p w14:paraId="600A77EC">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cs="Times New Roman"/>
          <w:b w:val="0"/>
          <w:bCs w:val="0"/>
          <w:color w:val="auto"/>
          <w:sz w:val="24"/>
          <w:szCs w:val="24"/>
          <w:lang w:val="en-US" w:eastAsia="zh-CN"/>
        </w:rPr>
      </w:pPr>
    </w:p>
    <w:p w14:paraId="271FA40F">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cs="Times New Roman"/>
          <w:b w:val="0"/>
          <w:bCs w:val="0"/>
          <w:color w:val="auto"/>
          <w:sz w:val="24"/>
          <w:szCs w:val="24"/>
          <w:lang w:val="en-US" w:eastAsia="zh-CN"/>
        </w:rPr>
      </w:pPr>
    </w:p>
    <w:p w14:paraId="6E5F3DE8">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cs="Times New Roman"/>
          <w:b w:val="0"/>
          <w:bCs w:val="0"/>
          <w:color w:val="auto"/>
          <w:sz w:val="24"/>
          <w:szCs w:val="24"/>
          <w:lang w:val="en-US" w:eastAsia="zh-CN"/>
        </w:rPr>
      </w:pPr>
    </w:p>
    <w:p w14:paraId="4B4FD942">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cs="Times New Roman"/>
          <w:b w:val="0"/>
          <w:bCs w:val="0"/>
          <w:color w:val="auto"/>
          <w:sz w:val="24"/>
          <w:szCs w:val="24"/>
          <w:lang w:val="en-US" w:eastAsia="zh-CN"/>
        </w:rPr>
      </w:pPr>
    </w:p>
    <w:p w14:paraId="3323D323">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cs="Times New Roman"/>
          <w:b w:val="0"/>
          <w:bCs w:val="0"/>
          <w:color w:val="auto"/>
          <w:sz w:val="24"/>
          <w:szCs w:val="24"/>
          <w:lang w:val="en-US" w:eastAsia="zh-CN"/>
        </w:rPr>
      </w:pPr>
    </w:p>
    <w:p w14:paraId="7228C61E">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cs="Times New Roman"/>
          <w:b w:val="0"/>
          <w:bCs w:val="0"/>
          <w:color w:val="auto"/>
          <w:sz w:val="24"/>
          <w:szCs w:val="24"/>
          <w:lang w:val="en-US" w:eastAsia="zh-CN"/>
        </w:rPr>
      </w:pPr>
    </w:p>
    <w:p w14:paraId="7111353A">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cs="Times New Roman"/>
          <w:b w:val="0"/>
          <w:bCs w:val="0"/>
          <w:color w:val="auto"/>
          <w:sz w:val="24"/>
          <w:szCs w:val="24"/>
          <w:lang w:val="en-US" w:eastAsia="zh-CN"/>
        </w:rPr>
      </w:pPr>
    </w:p>
    <w:p w14:paraId="1C1DBCC7">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cs="Times New Roman"/>
          <w:b w:val="0"/>
          <w:bCs w:val="0"/>
          <w:color w:val="auto"/>
          <w:sz w:val="24"/>
          <w:szCs w:val="24"/>
          <w:lang w:val="en-US" w:eastAsia="zh-CN"/>
        </w:rPr>
      </w:pPr>
    </w:p>
    <w:p w14:paraId="3F7BF8F1">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cs="Times New Roman"/>
          <w:b w:val="0"/>
          <w:bCs w:val="0"/>
          <w:color w:val="auto"/>
          <w:sz w:val="24"/>
          <w:szCs w:val="24"/>
          <w:lang w:val="en-US" w:eastAsia="zh-CN"/>
        </w:rPr>
      </w:pPr>
    </w:p>
    <w:p w14:paraId="73A16B63">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cs="Times New Roman"/>
          <w:b w:val="0"/>
          <w:bCs w:val="0"/>
          <w:color w:val="auto"/>
          <w:sz w:val="24"/>
          <w:szCs w:val="24"/>
          <w:lang w:val="en-US" w:eastAsia="zh-CN"/>
        </w:rPr>
      </w:pPr>
    </w:p>
    <w:p w14:paraId="47143DB8">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cs="Times New Roman"/>
          <w:b w:val="0"/>
          <w:bCs w:val="0"/>
          <w:color w:val="auto"/>
          <w:sz w:val="24"/>
          <w:szCs w:val="24"/>
          <w:lang w:val="en-US" w:eastAsia="zh-CN"/>
        </w:rPr>
      </w:pPr>
    </w:p>
    <w:p w14:paraId="01642A81">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cs="Times New Roman"/>
          <w:b w:val="0"/>
          <w:bCs w:val="0"/>
          <w:color w:val="auto"/>
          <w:sz w:val="24"/>
          <w:szCs w:val="24"/>
          <w:lang w:val="en-US" w:eastAsia="zh-CN"/>
        </w:rPr>
      </w:pPr>
    </w:p>
    <w:p w14:paraId="1149DD3A">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cs="Times New Roman"/>
          <w:b w:val="0"/>
          <w:bCs w:val="0"/>
          <w:color w:val="auto"/>
          <w:sz w:val="24"/>
          <w:szCs w:val="24"/>
          <w:lang w:val="en-US" w:eastAsia="zh-CN"/>
        </w:rPr>
      </w:pPr>
    </w:p>
    <w:p w14:paraId="2D9DE0C5">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cs="Times New Roman"/>
          <w:b w:val="0"/>
          <w:bCs w:val="0"/>
          <w:color w:val="auto"/>
          <w:sz w:val="24"/>
          <w:szCs w:val="24"/>
          <w:lang w:val="en-US" w:eastAsia="zh-CN"/>
        </w:rPr>
      </w:pPr>
    </w:p>
    <w:p w14:paraId="4175B751">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cs="Times New Roman"/>
          <w:b w:val="0"/>
          <w:bCs w:val="0"/>
          <w:color w:val="auto"/>
          <w:sz w:val="24"/>
          <w:szCs w:val="24"/>
          <w:lang w:val="en-US" w:eastAsia="zh-CN"/>
        </w:rPr>
      </w:pPr>
    </w:p>
    <w:p w14:paraId="5F3A4F0C">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cs="Times New Roman"/>
          <w:b w:val="0"/>
          <w:bCs w:val="0"/>
          <w:color w:val="auto"/>
          <w:sz w:val="24"/>
          <w:szCs w:val="24"/>
          <w:lang w:val="en-US" w:eastAsia="zh-CN"/>
        </w:rPr>
      </w:pPr>
    </w:p>
    <w:p w14:paraId="15B2E43B">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cs="Times New Roman"/>
          <w:b w:val="0"/>
          <w:bCs w:val="0"/>
          <w:color w:val="auto"/>
          <w:sz w:val="24"/>
          <w:szCs w:val="24"/>
          <w:lang w:val="en-US" w:eastAsia="zh-CN"/>
        </w:rPr>
      </w:pPr>
    </w:p>
    <w:p w14:paraId="2128981F">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cs="Times New Roman"/>
          <w:b w:val="0"/>
          <w:bCs w:val="0"/>
          <w:color w:val="auto"/>
          <w:sz w:val="24"/>
          <w:szCs w:val="24"/>
          <w:lang w:val="en-US" w:eastAsia="zh-CN"/>
        </w:rPr>
      </w:pPr>
    </w:p>
    <w:p w14:paraId="399CFCDE">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cs="Times New Roman"/>
          <w:b w:val="0"/>
          <w:bCs w:val="0"/>
          <w:color w:val="auto"/>
          <w:sz w:val="24"/>
          <w:szCs w:val="24"/>
          <w:lang w:val="en-US" w:eastAsia="zh-CN"/>
        </w:rPr>
      </w:pPr>
    </w:p>
    <w:p w14:paraId="7799ABC6">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cs="Times New Roman"/>
          <w:b w:val="0"/>
          <w:bCs w:val="0"/>
          <w:color w:val="auto"/>
          <w:sz w:val="24"/>
          <w:szCs w:val="24"/>
          <w:lang w:val="en-US" w:eastAsia="zh-CN"/>
        </w:rPr>
      </w:pPr>
    </w:p>
    <w:p w14:paraId="1BB56C7C">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cs="Times New Roman"/>
          <w:b w:val="0"/>
          <w:bCs w:val="0"/>
          <w:color w:val="auto"/>
          <w:sz w:val="24"/>
          <w:szCs w:val="24"/>
          <w:lang w:val="en-US" w:eastAsia="zh-CN"/>
        </w:rPr>
      </w:pPr>
    </w:p>
    <w:p w14:paraId="72F8BD69">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cs="Times New Roman"/>
          <w:b w:val="0"/>
          <w:bCs w:val="0"/>
          <w:color w:val="auto"/>
          <w:sz w:val="24"/>
          <w:szCs w:val="24"/>
          <w:lang w:val="en-US" w:eastAsia="zh-CN"/>
        </w:rPr>
      </w:pPr>
    </w:p>
    <w:p w14:paraId="47573E90">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center"/>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图 3.2-3      雄探1试采点平面布置图</w:t>
      </w:r>
    </w:p>
    <w:p w14:paraId="749BC0F4">
      <w:pPr>
        <w:pStyle w:val="79"/>
        <w:bidi w:val="0"/>
        <w:rPr>
          <w:rFonts w:hint="default"/>
          <w:color w:val="auto"/>
        </w:rPr>
      </w:pPr>
      <w:bookmarkStart w:id="254" w:name="_Toc4840"/>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lang w:val="en-US" w:eastAsia="zh-CN"/>
        </w:rPr>
        <w:t xml:space="preserve"> </w:t>
      </w:r>
      <w:r>
        <w:rPr>
          <w:rFonts w:hint="default"/>
          <w:color w:val="auto"/>
        </w:rPr>
        <w:t>集输工程</w:t>
      </w:r>
      <w:bookmarkEnd w:id="254"/>
    </w:p>
    <w:p w14:paraId="4D804B6D">
      <w:pPr>
        <w:pStyle w:val="79"/>
        <w:bidi w:val="0"/>
        <w:rPr>
          <w:rFonts w:hint="default"/>
          <w:color w:val="auto"/>
          <w:lang w:val="en-US" w:eastAsia="zh-CN"/>
        </w:rPr>
      </w:pPr>
      <w:r>
        <w:rPr>
          <w:rFonts w:hint="default"/>
          <w:color w:val="auto"/>
          <w:lang w:val="en-US" w:eastAsia="zh-CN"/>
        </w:rPr>
        <w:t>本工程集输工程主要包括：新建单井集输管线</w:t>
      </w:r>
      <w:bookmarkStart w:id="255" w:name="OLE_LINK35"/>
      <w:r>
        <w:rPr>
          <w:rFonts w:hint="eastAsia"/>
          <w:color w:val="auto"/>
          <w:lang w:val="en-US" w:eastAsia="zh-CN"/>
        </w:rPr>
        <w:t>24.7</w:t>
      </w:r>
      <w:r>
        <w:rPr>
          <w:rFonts w:hint="default"/>
          <w:color w:val="auto"/>
          <w:lang w:val="en-US" w:eastAsia="zh-CN"/>
        </w:rPr>
        <w:t>km</w:t>
      </w:r>
      <w:bookmarkEnd w:id="255"/>
      <w:r>
        <w:rPr>
          <w:rFonts w:hint="eastAsia"/>
          <w:color w:val="auto"/>
          <w:lang w:val="en-US" w:eastAsia="zh-CN"/>
        </w:rPr>
        <w:t>；</w:t>
      </w:r>
      <w:r>
        <w:rPr>
          <w:rFonts w:hint="default"/>
          <w:color w:val="auto"/>
          <w:lang w:val="en-US" w:eastAsia="zh-CN"/>
        </w:rPr>
        <w:t>试采点外输依托已建的雄探1至玉东2增压站集气管道（DN80 D88.9×6.45 修复油管）输气管线起点雄探1井，末点玉东2增压站，管线长度约24km</w:t>
      </w:r>
      <w:r>
        <w:rPr>
          <w:rFonts w:hint="eastAsia"/>
          <w:color w:val="auto"/>
          <w:lang w:val="en-US" w:eastAsia="zh-CN"/>
        </w:rPr>
        <w:t>；</w:t>
      </w:r>
      <w:r>
        <w:rPr>
          <w:rFonts w:hint="default"/>
          <w:color w:val="auto"/>
          <w:lang w:val="en-US" w:eastAsia="zh-CN"/>
        </w:rPr>
        <w:t>原油外输采用罐车拉运</w:t>
      </w:r>
      <w:r>
        <w:rPr>
          <w:rFonts w:hint="eastAsia"/>
          <w:color w:val="auto"/>
          <w:lang w:val="en-US" w:eastAsia="zh-CN"/>
        </w:rPr>
        <w:t>至哈六联合站</w:t>
      </w:r>
      <w:r>
        <w:rPr>
          <w:rFonts w:hint="default"/>
          <w:color w:val="auto"/>
          <w:lang w:val="en-US" w:eastAsia="zh-CN"/>
        </w:rPr>
        <w:t>。</w:t>
      </w:r>
    </w:p>
    <w:p w14:paraId="5B0DEEE3">
      <w:pPr>
        <w:pStyle w:val="79"/>
        <w:bidi w:val="0"/>
        <w:rPr>
          <w:rFonts w:hint="default"/>
          <w:color w:val="auto"/>
          <w:lang w:val="en-US" w:eastAsia="zh-CN"/>
        </w:rPr>
      </w:pPr>
      <w:r>
        <w:rPr>
          <w:rFonts w:hint="default"/>
          <w:color w:val="auto"/>
          <w:lang w:val="en-US" w:eastAsia="zh-CN"/>
        </w:rPr>
        <w:t>1）单井集输管线</w:t>
      </w:r>
    </w:p>
    <w:p w14:paraId="6212051B">
      <w:pPr>
        <w:pStyle w:val="79"/>
        <w:bidi w:val="0"/>
        <w:rPr>
          <w:rFonts w:hint="default"/>
          <w:color w:val="auto"/>
          <w:lang w:val="en-US" w:eastAsia="zh-CN"/>
        </w:rPr>
      </w:pPr>
      <w:r>
        <w:rPr>
          <w:rFonts w:hint="default"/>
          <w:color w:val="auto"/>
          <w:lang w:val="en-US" w:eastAsia="zh-CN"/>
        </w:rPr>
        <w:t>本项目</w:t>
      </w:r>
      <w:r>
        <w:rPr>
          <w:rFonts w:hint="eastAsia"/>
          <w:color w:val="auto"/>
          <w:lang w:val="en-US" w:eastAsia="zh-CN"/>
        </w:rPr>
        <w:t>5口</w:t>
      </w:r>
      <w:r>
        <w:rPr>
          <w:rFonts w:hint="default"/>
          <w:color w:val="auto"/>
          <w:lang w:val="en-US" w:eastAsia="zh-CN"/>
        </w:rPr>
        <w:t>单井采用</w:t>
      </w:r>
      <w:r>
        <w:rPr>
          <w:rFonts w:hint="eastAsia"/>
          <w:color w:val="auto"/>
          <w:lang w:val="en-US" w:eastAsia="zh-CN"/>
        </w:rPr>
        <w:t>“</w:t>
      </w:r>
      <w:r>
        <w:rPr>
          <w:rFonts w:hint="default"/>
          <w:color w:val="auto"/>
          <w:lang w:val="en-US" w:eastAsia="zh-CN"/>
        </w:rPr>
        <w:t>采</w:t>
      </w:r>
      <w:r>
        <w:rPr>
          <w:rFonts w:hint="eastAsia"/>
          <w:color w:val="auto"/>
          <w:lang w:val="en-US" w:eastAsia="zh-CN"/>
        </w:rPr>
        <w:t>油</w:t>
      </w:r>
      <w:r>
        <w:rPr>
          <w:rFonts w:hint="default"/>
          <w:color w:val="auto"/>
          <w:lang w:val="en-US" w:eastAsia="zh-CN"/>
        </w:rPr>
        <w:t>井口→</w:t>
      </w:r>
      <w:r>
        <w:rPr>
          <w:rFonts w:hint="eastAsia"/>
          <w:color w:val="auto"/>
          <w:lang w:val="en-US" w:eastAsia="zh-CN"/>
        </w:rPr>
        <w:t>雄探1试采点”</w:t>
      </w:r>
      <w:r>
        <w:rPr>
          <w:rFonts w:hint="default"/>
          <w:color w:val="auto"/>
          <w:lang w:val="en-US" w:eastAsia="zh-CN"/>
        </w:rPr>
        <w:t>的布站工艺，共新建单井集输管线</w:t>
      </w:r>
      <w:r>
        <w:rPr>
          <w:rFonts w:hint="eastAsia"/>
          <w:color w:val="auto"/>
          <w:lang w:val="en-US" w:eastAsia="zh-CN"/>
        </w:rPr>
        <w:t>24.7</w:t>
      </w:r>
      <w:r>
        <w:rPr>
          <w:rFonts w:hint="default"/>
          <w:color w:val="auto"/>
          <w:lang w:val="en-US" w:eastAsia="zh-CN"/>
        </w:rPr>
        <w:t>km，</w:t>
      </w:r>
      <w:r>
        <w:rPr>
          <w:rFonts w:hint="eastAsia"/>
          <w:color w:val="auto"/>
          <w:lang w:val="en-US" w:eastAsia="zh-CN"/>
        </w:rPr>
        <w:t>管线材质选用玻璃钢管</w:t>
      </w:r>
      <w:r>
        <w:rPr>
          <w:rFonts w:hint="default"/>
          <w:color w:val="auto"/>
          <w:lang w:val="en-US" w:eastAsia="zh-CN"/>
        </w:rPr>
        <w:t>。新建单井集输管线具体内容见表3.2-1</w:t>
      </w:r>
      <w:r>
        <w:rPr>
          <w:rFonts w:hint="eastAsia"/>
          <w:color w:val="auto"/>
          <w:lang w:val="en-US" w:eastAsia="zh-CN"/>
        </w:rPr>
        <w:t>2</w:t>
      </w:r>
      <w:r>
        <w:rPr>
          <w:rFonts w:hint="default"/>
          <w:color w:val="auto"/>
          <w:lang w:val="en-US" w:eastAsia="zh-CN"/>
        </w:rPr>
        <w:t>。</w:t>
      </w:r>
    </w:p>
    <w:p w14:paraId="1EFBC6EA">
      <w:pPr>
        <w:pStyle w:val="61"/>
        <w:bidi w:val="0"/>
        <w:jc w:val="both"/>
        <w:rPr>
          <w:rFonts w:hint="default"/>
          <w:color w:val="auto"/>
          <w:lang w:val="en-US" w:eastAsia="zh-CN"/>
        </w:rPr>
      </w:pPr>
      <w:r>
        <w:rPr>
          <w:rFonts w:hint="default"/>
          <w:color w:val="auto"/>
          <w:lang w:val="en-US" w:eastAsia="zh-CN"/>
        </w:rPr>
        <w:t>表</w:t>
      </w:r>
      <w:r>
        <w:rPr>
          <w:rFonts w:hint="eastAsia"/>
          <w:color w:val="auto"/>
          <w:lang w:val="en-US" w:eastAsia="zh-CN"/>
        </w:rPr>
        <w:t xml:space="preserve">3.2-12 </w:t>
      </w:r>
      <w:r>
        <w:rPr>
          <w:rFonts w:hint="default"/>
          <w:color w:val="auto"/>
          <w:lang w:val="en-US" w:eastAsia="zh-CN"/>
        </w:rPr>
        <w:t xml:space="preserve"> </w:t>
      </w:r>
      <w:r>
        <w:rPr>
          <w:rFonts w:hint="eastAsia"/>
          <w:color w:val="auto"/>
          <w:lang w:val="en-US" w:eastAsia="zh-CN"/>
        </w:rPr>
        <w:t xml:space="preserve"> </w:t>
      </w:r>
      <w:r>
        <w:rPr>
          <w:rFonts w:hint="default"/>
          <w:color w:val="auto"/>
          <w:lang w:val="en-US" w:eastAsia="zh-CN"/>
        </w:rPr>
        <w:t>新建单井集输管道</w:t>
      </w:r>
      <w:r>
        <w:rPr>
          <w:rFonts w:hint="eastAsia"/>
          <w:color w:val="auto"/>
          <w:lang w:val="en-US" w:eastAsia="zh-CN"/>
        </w:rPr>
        <w:t>具体内容一览表</w:t>
      </w:r>
    </w:p>
    <w:tbl>
      <w:tblPr>
        <w:tblStyle w:val="36"/>
        <w:tblW w:w="501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613"/>
        <w:gridCol w:w="1095"/>
        <w:gridCol w:w="1392"/>
        <w:gridCol w:w="1109"/>
        <w:gridCol w:w="1055"/>
        <w:gridCol w:w="1163"/>
        <w:gridCol w:w="995"/>
        <w:gridCol w:w="1250"/>
      </w:tblGrid>
      <w:tr w14:paraId="2B630F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353" w:type="pct"/>
            <w:vMerge w:val="restart"/>
            <w:noWrap w:val="0"/>
            <w:tcMar>
              <w:top w:w="12" w:type="dxa"/>
              <w:left w:w="12" w:type="dxa"/>
              <w:right w:w="12" w:type="dxa"/>
            </w:tcMar>
            <w:vAlign w:val="center"/>
          </w:tcPr>
          <w:p w14:paraId="2E292FB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序号</w:t>
            </w:r>
          </w:p>
        </w:tc>
        <w:tc>
          <w:tcPr>
            <w:tcW w:w="631" w:type="pct"/>
            <w:vMerge w:val="restart"/>
            <w:noWrap w:val="0"/>
            <w:tcMar>
              <w:top w:w="12" w:type="dxa"/>
              <w:left w:w="12" w:type="dxa"/>
              <w:right w:w="12" w:type="dxa"/>
            </w:tcMar>
            <w:vAlign w:val="center"/>
          </w:tcPr>
          <w:p w14:paraId="409FF01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井号</w:t>
            </w:r>
          </w:p>
        </w:tc>
        <w:tc>
          <w:tcPr>
            <w:tcW w:w="802" w:type="pct"/>
            <w:noWrap w:val="0"/>
            <w:tcMar>
              <w:top w:w="12" w:type="dxa"/>
              <w:left w:w="12" w:type="dxa"/>
              <w:right w:w="12" w:type="dxa"/>
            </w:tcMar>
            <w:vAlign w:val="center"/>
          </w:tcPr>
          <w:p w14:paraId="2A9C89E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日产气</w:t>
            </w:r>
          </w:p>
        </w:tc>
        <w:tc>
          <w:tcPr>
            <w:tcW w:w="639" w:type="pct"/>
            <w:noWrap w:val="0"/>
            <w:tcMar>
              <w:top w:w="12" w:type="dxa"/>
              <w:left w:w="12" w:type="dxa"/>
              <w:right w:w="12" w:type="dxa"/>
            </w:tcMar>
            <w:vAlign w:val="center"/>
          </w:tcPr>
          <w:p w14:paraId="097C039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日产油</w:t>
            </w:r>
          </w:p>
        </w:tc>
        <w:tc>
          <w:tcPr>
            <w:tcW w:w="608" w:type="pct"/>
            <w:vMerge w:val="restart"/>
            <w:noWrap w:val="0"/>
            <w:tcMar>
              <w:top w:w="12" w:type="dxa"/>
              <w:left w:w="12" w:type="dxa"/>
              <w:right w:w="12" w:type="dxa"/>
            </w:tcMar>
            <w:vAlign w:val="center"/>
          </w:tcPr>
          <w:p w14:paraId="786C902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井、站</w:t>
            </w:r>
            <w:r>
              <w:rPr>
                <w:rFonts w:hint="eastAsia"/>
                <w:i w:val="0"/>
                <w:iCs w:val="0"/>
                <w:color w:val="auto"/>
                <w:kern w:val="0"/>
                <w:sz w:val="21"/>
                <w:szCs w:val="21"/>
                <w:highlight w:val="none"/>
                <w:lang w:val="en-US" w:eastAsia="zh-CN" w:bidi="ar"/>
              </w:rPr>
              <w:t>阀组</w:t>
            </w:r>
            <w:r>
              <w:rPr>
                <w:i w:val="0"/>
                <w:iCs w:val="0"/>
                <w:color w:val="auto"/>
                <w:kern w:val="0"/>
                <w:sz w:val="21"/>
                <w:szCs w:val="21"/>
                <w:highlight w:val="none"/>
                <w:lang w:bidi="ar"/>
              </w:rPr>
              <w:t>挂接关系</w:t>
            </w:r>
          </w:p>
        </w:tc>
        <w:tc>
          <w:tcPr>
            <w:tcW w:w="670" w:type="pct"/>
            <w:vMerge w:val="restart"/>
            <w:noWrap w:val="0"/>
            <w:tcMar>
              <w:top w:w="12" w:type="dxa"/>
              <w:left w:w="12" w:type="dxa"/>
              <w:right w:w="12" w:type="dxa"/>
            </w:tcMar>
            <w:vAlign w:val="center"/>
          </w:tcPr>
          <w:p w14:paraId="355F73E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单井管线长度（</w:t>
            </w:r>
            <w:r>
              <w:rPr>
                <w:rFonts w:hint="eastAsia"/>
                <w:i w:val="0"/>
                <w:iCs w:val="0"/>
                <w:color w:val="auto"/>
                <w:kern w:val="0"/>
                <w:sz w:val="21"/>
                <w:szCs w:val="21"/>
                <w:highlight w:val="none"/>
                <w:lang w:val="en-US" w:eastAsia="zh-CN" w:bidi="ar"/>
              </w:rPr>
              <w:t>k</w:t>
            </w:r>
            <w:r>
              <w:rPr>
                <w:i w:val="0"/>
                <w:iCs w:val="0"/>
                <w:color w:val="auto"/>
                <w:kern w:val="0"/>
                <w:sz w:val="21"/>
                <w:szCs w:val="21"/>
                <w:highlight w:val="none"/>
                <w:lang w:bidi="ar"/>
              </w:rPr>
              <w:t>m</w:t>
            </w:r>
            <w:r>
              <w:rPr>
                <w:rFonts w:hint="eastAsia" w:ascii="宋体" w:hAnsi="宋体" w:cs="宋体"/>
                <w:i w:val="0"/>
                <w:iCs w:val="0"/>
                <w:color w:val="auto"/>
                <w:kern w:val="0"/>
                <w:sz w:val="21"/>
                <w:szCs w:val="21"/>
                <w:highlight w:val="none"/>
                <w:lang w:bidi="ar"/>
              </w:rPr>
              <w:t>）</w:t>
            </w:r>
          </w:p>
        </w:tc>
        <w:tc>
          <w:tcPr>
            <w:tcW w:w="573" w:type="pct"/>
            <w:vMerge w:val="restart"/>
            <w:noWrap w:val="0"/>
            <w:tcMar>
              <w:top w:w="12" w:type="dxa"/>
              <w:left w:w="12" w:type="dxa"/>
              <w:right w:w="12" w:type="dxa"/>
            </w:tcMar>
            <w:vAlign w:val="center"/>
          </w:tcPr>
          <w:p w14:paraId="4D3C744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管径（mm</w:t>
            </w:r>
            <w:r>
              <w:rPr>
                <w:rFonts w:hint="eastAsia" w:ascii="宋体" w:hAnsi="宋体" w:cs="宋体"/>
                <w:i w:val="0"/>
                <w:iCs w:val="0"/>
                <w:color w:val="auto"/>
                <w:kern w:val="0"/>
                <w:sz w:val="21"/>
                <w:szCs w:val="21"/>
                <w:highlight w:val="none"/>
                <w:lang w:bidi="ar"/>
              </w:rPr>
              <w:t>）</w:t>
            </w:r>
          </w:p>
        </w:tc>
        <w:tc>
          <w:tcPr>
            <w:tcW w:w="720" w:type="pct"/>
            <w:vMerge w:val="restart"/>
            <w:noWrap w:val="0"/>
            <w:tcMar>
              <w:top w:w="12" w:type="dxa"/>
              <w:left w:w="12" w:type="dxa"/>
              <w:right w:w="12" w:type="dxa"/>
            </w:tcMar>
            <w:vAlign w:val="center"/>
          </w:tcPr>
          <w:p w14:paraId="5ECC02D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kern w:val="0"/>
                <w:sz w:val="21"/>
                <w:szCs w:val="21"/>
                <w:highlight w:val="none"/>
                <w:lang w:bidi="ar"/>
              </w:rPr>
            </w:pPr>
            <w:r>
              <w:rPr>
                <w:rFonts w:hint="eastAsia"/>
                <w:i w:val="0"/>
                <w:iCs w:val="0"/>
                <w:color w:val="auto"/>
                <w:kern w:val="0"/>
                <w:sz w:val="21"/>
                <w:szCs w:val="21"/>
                <w:highlight w:val="none"/>
                <w:lang w:val="en-US" w:eastAsia="zh-CN" w:bidi="ar"/>
              </w:rPr>
              <w:t>出</w:t>
            </w:r>
            <w:r>
              <w:rPr>
                <w:i w:val="0"/>
                <w:iCs w:val="0"/>
                <w:color w:val="auto"/>
                <w:kern w:val="0"/>
                <w:sz w:val="21"/>
                <w:szCs w:val="21"/>
                <w:highlight w:val="none"/>
                <w:lang w:bidi="ar"/>
              </w:rPr>
              <w:t>井口</w:t>
            </w:r>
          </w:p>
          <w:p w14:paraId="53C09EE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rFonts w:hint="eastAsia"/>
                <w:i w:val="0"/>
                <w:iCs w:val="0"/>
                <w:color w:val="auto"/>
                <w:kern w:val="0"/>
                <w:sz w:val="21"/>
                <w:szCs w:val="21"/>
                <w:highlight w:val="none"/>
                <w:lang w:val="en-US" w:eastAsia="zh-CN" w:bidi="ar"/>
              </w:rPr>
              <w:t>压力</w:t>
            </w:r>
            <w:r>
              <w:rPr>
                <w:i w:val="0"/>
                <w:iCs w:val="0"/>
                <w:color w:val="auto"/>
                <w:kern w:val="0"/>
                <w:sz w:val="21"/>
                <w:szCs w:val="21"/>
                <w:highlight w:val="none"/>
                <w:lang w:bidi="ar"/>
              </w:rPr>
              <w:t>（MPa</w:t>
            </w:r>
            <w:r>
              <w:rPr>
                <w:rFonts w:hint="eastAsia" w:ascii="宋体" w:hAnsi="宋体" w:cs="宋体"/>
                <w:i w:val="0"/>
                <w:iCs w:val="0"/>
                <w:color w:val="auto"/>
                <w:kern w:val="0"/>
                <w:sz w:val="21"/>
                <w:szCs w:val="21"/>
                <w:highlight w:val="none"/>
                <w:lang w:bidi="ar"/>
              </w:rPr>
              <w:t>）</w:t>
            </w:r>
          </w:p>
        </w:tc>
      </w:tr>
      <w:tr w14:paraId="6A0CA0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353" w:type="pct"/>
            <w:vMerge w:val="continue"/>
            <w:noWrap w:val="0"/>
            <w:tcMar>
              <w:top w:w="12" w:type="dxa"/>
              <w:left w:w="12" w:type="dxa"/>
              <w:right w:w="12" w:type="dxa"/>
            </w:tcMar>
            <w:vAlign w:val="center"/>
          </w:tcPr>
          <w:p w14:paraId="4D8F039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i w:val="0"/>
                <w:iCs w:val="0"/>
                <w:color w:val="auto"/>
                <w:sz w:val="21"/>
                <w:szCs w:val="21"/>
                <w:highlight w:val="none"/>
              </w:rPr>
            </w:pPr>
          </w:p>
        </w:tc>
        <w:tc>
          <w:tcPr>
            <w:tcW w:w="631" w:type="pct"/>
            <w:vMerge w:val="continue"/>
            <w:noWrap w:val="0"/>
            <w:tcMar>
              <w:top w:w="12" w:type="dxa"/>
              <w:left w:w="12" w:type="dxa"/>
              <w:right w:w="12" w:type="dxa"/>
            </w:tcMar>
            <w:vAlign w:val="center"/>
          </w:tcPr>
          <w:p w14:paraId="5E9D84B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i w:val="0"/>
                <w:iCs w:val="0"/>
                <w:color w:val="auto"/>
                <w:sz w:val="21"/>
                <w:szCs w:val="21"/>
                <w:highlight w:val="none"/>
              </w:rPr>
            </w:pPr>
          </w:p>
        </w:tc>
        <w:tc>
          <w:tcPr>
            <w:tcW w:w="802" w:type="pct"/>
            <w:noWrap w:val="0"/>
            <w:tcMar>
              <w:top w:w="12" w:type="dxa"/>
              <w:left w:w="12" w:type="dxa"/>
              <w:right w:w="12" w:type="dxa"/>
            </w:tcMar>
            <w:vAlign w:val="center"/>
          </w:tcPr>
          <w:p w14:paraId="54946CD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rFonts w:hint="eastAsia"/>
                <w:i w:val="0"/>
                <w:iCs w:val="0"/>
                <w:color w:val="auto"/>
                <w:kern w:val="0"/>
                <w:sz w:val="21"/>
                <w:szCs w:val="21"/>
                <w:highlight w:val="none"/>
                <w:lang w:eastAsia="zh-CN" w:bidi="ar"/>
              </w:rPr>
              <w:t>(</w:t>
            </w:r>
            <w:r>
              <w:rPr>
                <w:i w:val="0"/>
                <w:iCs w:val="0"/>
                <w:color w:val="auto"/>
                <w:kern w:val="0"/>
                <w:sz w:val="21"/>
                <w:szCs w:val="21"/>
                <w:highlight w:val="none"/>
                <w:lang w:bidi="ar"/>
              </w:rPr>
              <w:t>m</w:t>
            </w:r>
            <w:r>
              <w:rPr>
                <w:i w:val="0"/>
                <w:iCs w:val="0"/>
                <w:color w:val="auto"/>
                <w:kern w:val="0"/>
                <w:sz w:val="21"/>
                <w:szCs w:val="21"/>
                <w:highlight w:val="none"/>
                <w:vertAlign w:val="superscript"/>
                <w:lang w:bidi="ar"/>
              </w:rPr>
              <w:t>3</w:t>
            </w:r>
            <w:r>
              <w:rPr>
                <w:i w:val="0"/>
                <w:iCs w:val="0"/>
                <w:color w:val="auto"/>
                <w:kern w:val="0"/>
                <w:sz w:val="21"/>
                <w:szCs w:val="21"/>
                <w:highlight w:val="none"/>
                <w:lang w:bidi="ar"/>
              </w:rPr>
              <w:t>/d</w:t>
            </w:r>
            <w:r>
              <w:rPr>
                <w:rFonts w:hint="eastAsia"/>
                <w:i w:val="0"/>
                <w:iCs w:val="0"/>
                <w:color w:val="auto"/>
                <w:kern w:val="0"/>
                <w:sz w:val="21"/>
                <w:szCs w:val="21"/>
                <w:highlight w:val="none"/>
                <w:lang w:eastAsia="zh-CN" w:bidi="ar"/>
              </w:rPr>
              <w:t>)</w:t>
            </w:r>
          </w:p>
        </w:tc>
        <w:tc>
          <w:tcPr>
            <w:tcW w:w="639" w:type="pct"/>
            <w:noWrap w:val="0"/>
            <w:tcMar>
              <w:top w:w="12" w:type="dxa"/>
              <w:left w:w="12" w:type="dxa"/>
              <w:right w:w="12" w:type="dxa"/>
            </w:tcMar>
            <w:vAlign w:val="center"/>
          </w:tcPr>
          <w:p w14:paraId="7C37083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rFonts w:hint="eastAsia"/>
                <w:i w:val="0"/>
                <w:iCs w:val="0"/>
                <w:color w:val="auto"/>
                <w:kern w:val="0"/>
                <w:sz w:val="21"/>
                <w:szCs w:val="21"/>
                <w:highlight w:val="none"/>
                <w:lang w:eastAsia="zh-CN" w:bidi="ar"/>
              </w:rPr>
              <w:t>(</w:t>
            </w:r>
            <w:r>
              <w:rPr>
                <w:i w:val="0"/>
                <w:iCs w:val="0"/>
                <w:color w:val="auto"/>
                <w:kern w:val="0"/>
                <w:sz w:val="21"/>
                <w:szCs w:val="21"/>
                <w:highlight w:val="none"/>
                <w:lang w:bidi="ar"/>
              </w:rPr>
              <w:t>t/d</w:t>
            </w:r>
            <w:r>
              <w:rPr>
                <w:rFonts w:hint="eastAsia"/>
                <w:i w:val="0"/>
                <w:iCs w:val="0"/>
                <w:color w:val="auto"/>
                <w:kern w:val="0"/>
                <w:sz w:val="21"/>
                <w:szCs w:val="21"/>
                <w:highlight w:val="none"/>
                <w:lang w:eastAsia="zh-CN" w:bidi="ar"/>
              </w:rPr>
              <w:t>)</w:t>
            </w:r>
          </w:p>
        </w:tc>
        <w:tc>
          <w:tcPr>
            <w:tcW w:w="608" w:type="pct"/>
            <w:vMerge w:val="continue"/>
            <w:noWrap w:val="0"/>
            <w:tcMar>
              <w:top w:w="12" w:type="dxa"/>
              <w:left w:w="12" w:type="dxa"/>
              <w:right w:w="12" w:type="dxa"/>
            </w:tcMar>
            <w:vAlign w:val="center"/>
          </w:tcPr>
          <w:p w14:paraId="4040153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i w:val="0"/>
                <w:iCs w:val="0"/>
                <w:color w:val="auto"/>
                <w:sz w:val="21"/>
                <w:szCs w:val="21"/>
                <w:highlight w:val="none"/>
              </w:rPr>
            </w:pPr>
          </w:p>
        </w:tc>
        <w:tc>
          <w:tcPr>
            <w:tcW w:w="670" w:type="pct"/>
            <w:vMerge w:val="continue"/>
            <w:noWrap w:val="0"/>
            <w:tcMar>
              <w:top w:w="12" w:type="dxa"/>
              <w:left w:w="12" w:type="dxa"/>
              <w:right w:w="12" w:type="dxa"/>
            </w:tcMar>
            <w:vAlign w:val="center"/>
          </w:tcPr>
          <w:p w14:paraId="37DBCEE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i w:val="0"/>
                <w:iCs w:val="0"/>
                <w:color w:val="auto"/>
                <w:sz w:val="21"/>
                <w:szCs w:val="21"/>
                <w:highlight w:val="none"/>
              </w:rPr>
            </w:pPr>
          </w:p>
        </w:tc>
        <w:tc>
          <w:tcPr>
            <w:tcW w:w="573" w:type="pct"/>
            <w:vMerge w:val="continue"/>
            <w:noWrap w:val="0"/>
            <w:tcMar>
              <w:top w:w="12" w:type="dxa"/>
              <w:left w:w="12" w:type="dxa"/>
              <w:right w:w="12" w:type="dxa"/>
            </w:tcMar>
            <w:vAlign w:val="center"/>
          </w:tcPr>
          <w:p w14:paraId="3849FD6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i w:val="0"/>
                <w:iCs w:val="0"/>
                <w:color w:val="auto"/>
                <w:sz w:val="21"/>
                <w:szCs w:val="21"/>
                <w:highlight w:val="none"/>
              </w:rPr>
            </w:pPr>
          </w:p>
        </w:tc>
        <w:tc>
          <w:tcPr>
            <w:tcW w:w="720" w:type="pct"/>
            <w:vMerge w:val="continue"/>
            <w:noWrap w:val="0"/>
            <w:tcMar>
              <w:top w:w="12" w:type="dxa"/>
              <w:left w:w="12" w:type="dxa"/>
              <w:right w:w="12" w:type="dxa"/>
            </w:tcMar>
            <w:vAlign w:val="center"/>
          </w:tcPr>
          <w:p w14:paraId="6FE8A08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i w:val="0"/>
                <w:iCs w:val="0"/>
                <w:color w:val="auto"/>
                <w:sz w:val="21"/>
                <w:szCs w:val="21"/>
                <w:highlight w:val="none"/>
              </w:rPr>
            </w:pPr>
          </w:p>
        </w:tc>
      </w:tr>
      <w:tr w14:paraId="275E3A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353" w:type="pct"/>
            <w:noWrap w:val="0"/>
            <w:tcMar>
              <w:top w:w="12" w:type="dxa"/>
              <w:left w:w="12" w:type="dxa"/>
              <w:right w:w="12" w:type="dxa"/>
            </w:tcMar>
            <w:vAlign w:val="center"/>
          </w:tcPr>
          <w:p w14:paraId="3D6F7AD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1</w:t>
            </w:r>
          </w:p>
        </w:tc>
        <w:tc>
          <w:tcPr>
            <w:tcW w:w="631" w:type="pct"/>
            <w:noWrap w:val="0"/>
            <w:tcMar>
              <w:top w:w="12" w:type="dxa"/>
              <w:left w:w="12" w:type="dxa"/>
              <w:right w:w="12" w:type="dxa"/>
            </w:tcMar>
            <w:vAlign w:val="center"/>
          </w:tcPr>
          <w:p w14:paraId="4692B7B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sz w:val="21"/>
                <w:szCs w:val="21"/>
                <w:highlight w:val="none"/>
                <w:lang w:val="en-US" w:eastAsia="zh-CN"/>
              </w:rPr>
            </w:pPr>
            <w:r>
              <w:rPr>
                <w:rFonts w:hint="eastAsia"/>
                <w:i w:val="0"/>
                <w:iCs w:val="0"/>
                <w:color w:val="auto"/>
                <w:kern w:val="0"/>
                <w:sz w:val="21"/>
                <w:szCs w:val="21"/>
                <w:highlight w:val="none"/>
                <w:lang w:eastAsia="zh-CN" w:bidi="ar"/>
              </w:rPr>
              <w:t>雄英</w:t>
            </w:r>
            <w:r>
              <w:rPr>
                <w:rFonts w:hint="eastAsia"/>
                <w:i w:val="0"/>
                <w:iCs w:val="0"/>
                <w:color w:val="auto"/>
                <w:kern w:val="0"/>
                <w:sz w:val="21"/>
                <w:szCs w:val="21"/>
                <w:highlight w:val="none"/>
                <w:lang w:val="en-US" w:eastAsia="zh-CN" w:bidi="ar"/>
              </w:rPr>
              <w:t>2</w:t>
            </w:r>
          </w:p>
        </w:tc>
        <w:tc>
          <w:tcPr>
            <w:tcW w:w="802" w:type="pct"/>
            <w:noWrap w:val="0"/>
            <w:tcMar>
              <w:top w:w="12" w:type="dxa"/>
              <w:left w:w="12" w:type="dxa"/>
              <w:right w:w="12" w:type="dxa"/>
            </w:tcMar>
            <w:vAlign w:val="center"/>
          </w:tcPr>
          <w:p w14:paraId="724B1F66">
            <w:pPr>
              <w:pStyle w:val="86"/>
              <w:keepNext w:val="0"/>
              <w:keepLines w:val="0"/>
              <w:pageBreakBefore w:val="0"/>
              <w:widowControl/>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i w:val="0"/>
                <w:iCs w:val="0"/>
                <w:color w:val="auto"/>
                <w:kern w:val="0"/>
                <w:sz w:val="21"/>
                <w:szCs w:val="21"/>
                <w:highlight w:val="none"/>
                <w:lang w:val="en-US" w:eastAsia="zh-CN" w:bidi="ar"/>
              </w:rPr>
            </w:pPr>
            <w:r>
              <w:rPr>
                <w:rFonts w:hint="eastAsia" w:cs="Times New Roman"/>
                <w:i w:val="0"/>
                <w:iCs w:val="0"/>
                <w:color w:val="auto"/>
                <w:kern w:val="0"/>
                <w:sz w:val="21"/>
                <w:szCs w:val="21"/>
                <w:highlight w:val="none"/>
                <w:lang w:val="en-US" w:eastAsia="zh-CN" w:bidi="ar"/>
              </w:rPr>
              <w:t>5000</w:t>
            </w:r>
          </w:p>
        </w:tc>
        <w:tc>
          <w:tcPr>
            <w:tcW w:w="639" w:type="pct"/>
            <w:noWrap w:val="0"/>
            <w:tcMar>
              <w:top w:w="12" w:type="dxa"/>
              <w:left w:w="12" w:type="dxa"/>
              <w:right w:w="12" w:type="dxa"/>
            </w:tcMar>
            <w:vAlign w:val="center"/>
          </w:tcPr>
          <w:p w14:paraId="6735F53E">
            <w:pPr>
              <w:pStyle w:val="86"/>
              <w:keepNext w:val="0"/>
              <w:keepLines w:val="0"/>
              <w:pageBreakBefore w:val="0"/>
              <w:widowControl/>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i w:val="0"/>
                <w:iCs w:val="0"/>
                <w:color w:val="auto"/>
                <w:kern w:val="0"/>
                <w:sz w:val="21"/>
                <w:szCs w:val="21"/>
                <w:highlight w:val="none"/>
                <w:lang w:val="en-US" w:eastAsia="zh-CN" w:bidi="ar"/>
              </w:rPr>
            </w:pPr>
            <w:r>
              <w:rPr>
                <w:rFonts w:hint="eastAsia" w:cs="Times New Roman"/>
                <w:i w:val="0"/>
                <w:iCs w:val="0"/>
                <w:color w:val="auto"/>
                <w:kern w:val="0"/>
                <w:sz w:val="21"/>
                <w:szCs w:val="21"/>
                <w:highlight w:val="none"/>
                <w:lang w:val="en-US" w:eastAsia="zh-CN" w:bidi="ar"/>
              </w:rPr>
              <w:t>50</w:t>
            </w:r>
          </w:p>
        </w:tc>
        <w:tc>
          <w:tcPr>
            <w:tcW w:w="608" w:type="pct"/>
            <w:vMerge w:val="restart"/>
            <w:noWrap w:val="0"/>
            <w:tcMar>
              <w:top w:w="12" w:type="dxa"/>
              <w:left w:w="12" w:type="dxa"/>
              <w:right w:w="12" w:type="dxa"/>
            </w:tcMar>
            <w:vAlign w:val="center"/>
          </w:tcPr>
          <w:p w14:paraId="0FB3A33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eastAsia" w:cs="Times New Roman"/>
                <w:i w:val="0"/>
                <w:iCs w:val="0"/>
                <w:color w:val="auto"/>
                <w:kern w:val="0"/>
                <w:sz w:val="21"/>
                <w:szCs w:val="21"/>
                <w:highlight w:val="none"/>
                <w:lang w:val="en-US" w:eastAsia="zh-CN" w:bidi="ar"/>
              </w:rPr>
              <w:t>雄探1试采点阀组</w:t>
            </w:r>
          </w:p>
        </w:tc>
        <w:tc>
          <w:tcPr>
            <w:tcW w:w="670" w:type="pct"/>
            <w:noWrap w:val="0"/>
            <w:tcMar>
              <w:top w:w="12" w:type="dxa"/>
              <w:left w:w="12" w:type="dxa"/>
              <w:right w:w="12" w:type="dxa"/>
            </w:tcMar>
            <w:vAlign w:val="center"/>
          </w:tcPr>
          <w:p w14:paraId="2F9E132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2"/>
                <w:sz w:val="21"/>
                <w:szCs w:val="21"/>
                <w:highlight w:val="none"/>
                <w:lang w:val="en-US" w:eastAsia="zh-CN" w:bidi="ar-SA"/>
              </w:rPr>
            </w:pPr>
            <w:r>
              <w:rPr>
                <w:rFonts w:hint="eastAsia"/>
                <w:i w:val="0"/>
                <w:iCs w:val="0"/>
                <w:color w:val="auto"/>
                <w:kern w:val="2"/>
                <w:sz w:val="21"/>
                <w:szCs w:val="21"/>
                <w:highlight w:val="none"/>
                <w:lang w:val="en-US" w:eastAsia="zh-CN" w:bidi="ar-SA"/>
              </w:rPr>
              <w:t>5.84</w:t>
            </w:r>
          </w:p>
        </w:tc>
        <w:tc>
          <w:tcPr>
            <w:tcW w:w="573" w:type="pct"/>
            <w:noWrap w:val="0"/>
            <w:tcMar>
              <w:top w:w="12" w:type="dxa"/>
              <w:left w:w="12" w:type="dxa"/>
              <w:right w:w="12" w:type="dxa"/>
            </w:tcMar>
            <w:vAlign w:val="center"/>
          </w:tcPr>
          <w:p w14:paraId="2CD7D78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lang w:bidi="ar"/>
              </w:rPr>
              <w:t>DN</w:t>
            </w:r>
            <w:r>
              <w:rPr>
                <w:rFonts w:hint="eastAsia" w:cs="Times New Roman"/>
                <w:i w:val="0"/>
                <w:iCs w:val="0"/>
                <w:color w:val="auto"/>
                <w:kern w:val="0"/>
                <w:sz w:val="21"/>
                <w:szCs w:val="21"/>
                <w:highlight w:val="none"/>
                <w:lang w:val="en-US" w:eastAsia="zh-CN" w:bidi="ar"/>
              </w:rPr>
              <w:t>80</w:t>
            </w:r>
          </w:p>
        </w:tc>
        <w:tc>
          <w:tcPr>
            <w:tcW w:w="720" w:type="pct"/>
            <w:noWrap w:val="0"/>
            <w:tcMar>
              <w:top w:w="12" w:type="dxa"/>
              <w:left w:w="12" w:type="dxa"/>
              <w:right w:w="12" w:type="dxa"/>
            </w:tcMar>
            <w:vAlign w:val="center"/>
          </w:tcPr>
          <w:p w14:paraId="6F790DE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eastAsia" w:cs="Times New Roman"/>
                <w:i w:val="0"/>
                <w:iCs w:val="0"/>
                <w:color w:val="auto"/>
                <w:kern w:val="0"/>
                <w:sz w:val="21"/>
                <w:szCs w:val="21"/>
                <w:highlight w:val="none"/>
                <w:lang w:val="en-US" w:eastAsia="zh-CN" w:bidi="ar"/>
              </w:rPr>
              <w:t>4.576</w:t>
            </w:r>
          </w:p>
        </w:tc>
      </w:tr>
      <w:tr w14:paraId="7C7128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353" w:type="pct"/>
            <w:noWrap w:val="0"/>
            <w:tcMar>
              <w:top w:w="12" w:type="dxa"/>
              <w:left w:w="12" w:type="dxa"/>
              <w:right w:w="12" w:type="dxa"/>
            </w:tcMar>
            <w:vAlign w:val="center"/>
          </w:tcPr>
          <w:p w14:paraId="6792318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2</w:t>
            </w:r>
          </w:p>
        </w:tc>
        <w:tc>
          <w:tcPr>
            <w:tcW w:w="631" w:type="pct"/>
            <w:noWrap w:val="0"/>
            <w:tcMar>
              <w:top w:w="12" w:type="dxa"/>
              <w:left w:w="12" w:type="dxa"/>
              <w:right w:w="12" w:type="dxa"/>
            </w:tcMar>
            <w:vAlign w:val="center"/>
          </w:tcPr>
          <w:p w14:paraId="1DF4AB5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2"/>
                <w:sz w:val="21"/>
                <w:szCs w:val="21"/>
                <w:highlight w:val="none"/>
                <w:lang w:val="en-US" w:eastAsia="zh-CN" w:bidi="ar-SA"/>
              </w:rPr>
            </w:pPr>
            <w:r>
              <w:rPr>
                <w:i w:val="0"/>
                <w:iCs w:val="0"/>
                <w:color w:val="auto"/>
                <w:kern w:val="0"/>
                <w:sz w:val="21"/>
                <w:szCs w:val="21"/>
                <w:highlight w:val="none"/>
                <w:lang w:bidi="ar"/>
              </w:rPr>
              <w:t>雄英101</w:t>
            </w:r>
          </w:p>
        </w:tc>
        <w:tc>
          <w:tcPr>
            <w:tcW w:w="802" w:type="pct"/>
            <w:noWrap w:val="0"/>
            <w:tcMar>
              <w:top w:w="12" w:type="dxa"/>
              <w:left w:w="12" w:type="dxa"/>
              <w:right w:w="12" w:type="dxa"/>
            </w:tcMar>
            <w:vAlign w:val="center"/>
          </w:tcPr>
          <w:p w14:paraId="2CE19FCE">
            <w:pPr>
              <w:pStyle w:val="86"/>
              <w:keepNext w:val="0"/>
              <w:keepLines w:val="0"/>
              <w:pageBreakBefore w:val="0"/>
              <w:widowControl/>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i w:val="0"/>
                <w:iCs w:val="0"/>
                <w:color w:val="auto"/>
                <w:kern w:val="0"/>
                <w:sz w:val="21"/>
                <w:szCs w:val="21"/>
                <w:highlight w:val="none"/>
                <w:lang w:val="en-US" w:eastAsia="zh-CN" w:bidi="ar"/>
              </w:rPr>
            </w:pPr>
            <w:r>
              <w:rPr>
                <w:rFonts w:hint="eastAsia" w:cs="Times New Roman"/>
                <w:i w:val="0"/>
                <w:iCs w:val="0"/>
                <w:color w:val="auto"/>
                <w:kern w:val="0"/>
                <w:sz w:val="21"/>
                <w:szCs w:val="21"/>
                <w:highlight w:val="none"/>
                <w:lang w:val="en-US" w:eastAsia="zh-CN" w:bidi="ar"/>
              </w:rPr>
              <w:t>16000</w:t>
            </w:r>
          </w:p>
        </w:tc>
        <w:tc>
          <w:tcPr>
            <w:tcW w:w="639" w:type="pct"/>
            <w:noWrap w:val="0"/>
            <w:tcMar>
              <w:top w:w="12" w:type="dxa"/>
              <w:left w:w="12" w:type="dxa"/>
              <w:right w:w="12" w:type="dxa"/>
            </w:tcMar>
            <w:vAlign w:val="center"/>
          </w:tcPr>
          <w:p w14:paraId="48A15455">
            <w:pPr>
              <w:pStyle w:val="86"/>
              <w:keepNext w:val="0"/>
              <w:keepLines w:val="0"/>
              <w:pageBreakBefore w:val="0"/>
              <w:widowControl/>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i w:val="0"/>
                <w:iCs w:val="0"/>
                <w:color w:val="auto"/>
                <w:kern w:val="0"/>
                <w:sz w:val="21"/>
                <w:szCs w:val="21"/>
                <w:highlight w:val="none"/>
                <w:lang w:val="en-US" w:eastAsia="zh-CN" w:bidi="ar"/>
              </w:rPr>
            </w:pPr>
            <w:r>
              <w:rPr>
                <w:rFonts w:hint="eastAsia" w:cs="Times New Roman"/>
                <w:i w:val="0"/>
                <w:iCs w:val="0"/>
                <w:color w:val="auto"/>
                <w:kern w:val="0"/>
                <w:sz w:val="21"/>
                <w:szCs w:val="21"/>
                <w:highlight w:val="none"/>
                <w:lang w:val="en-US" w:eastAsia="zh-CN" w:bidi="ar"/>
              </w:rPr>
              <w:t>70</w:t>
            </w:r>
          </w:p>
        </w:tc>
        <w:tc>
          <w:tcPr>
            <w:tcW w:w="608" w:type="pct"/>
            <w:vMerge w:val="continue"/>
            <w:noWrap w:val="0"/>
            <w:tcMar>
              <w:top w:w="12" w:type="dxa"/>
              <w:left w:w="12" w:type="dxa"/>
              <w:right w:w="12" w:type="dxa"/>
            </w:tcMar>
            <w:vAlign w:val="center"/>
          </w:tcPr>
          <w:p w14:paraId="5390F1C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p>
        </w:tc>
        <w:tc>
          <w:tcPr>
            <w:tcW w:w="670" w:type="pct"/>
            <w:noWrap w:val="0"/>
            <w:tcMar>
              <w:top w:w="12" w:type="dxa"/>
              <w:left w:w="12" w:type="dxa"/>
              <w:right w:w="12" w:type="dxa"/>
            </w:tcMar>
            <w:vAlign w:val="center"/>
          </w:tcPr>
          <w:p w14:paraId="2143C1D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2"/>
                <w:sz w:val="21"/>
                <w:szCs w:val="21"/>
                <w:highlight w:val="none"/>
                <w:lang w:val="en-US" w:eastAsia="zh-CN" w:bidi="ar-SA"/>
              </w:rPr>
            </w:pPr>
            <w:r>
              <w:rPr>
                <w:rFonts w:hint="eastAsia"/>
                <w:i w:val="0"/>
                <w:iCs w:val="0"/>
                <w:color w:val="auto"/>
                <w:kern w:val="2"/>
                <w:sz w:val="21"/>
                <w:szCs w:val="21"/>
                <w:highlight w:val="none"/>
                <w:lang w:val="en-US" w:eastAsia="zh-CN" w:bidi="ar-SA"/>
              </w:rPr>
              <w:t>5.53</w:t>
            </w:r>
          </w:p>
        </w:tc>
        <w:tc>
          <w:tcPr>
            <w:tcW w:w="573" w:type="pct"/>
            <w:noWrap w:val="0"/>
            <w:tcMar>
              <w:top w:w="12" w:type="dxa"/>
              <w:left w:w="12" w:type="dxa"/>
              <w:right w:w="12" w:type="dxa"/>
            </w:tcMar>
            <w:vAlign w:val="center"/>
          </w:tcPr>
          <w:p w14:paraId="455CC8B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lang w:bidi="ar"/>
              </w:rPr>
              <w:t>DN</w:t>
            </w:r>
            <w:r>
              <w:rPr>
                <w:rFonts w:hint="eastAsia" w:cs="Times New Roman"/>
                <w:i w:val="0"/>
                <w:iCs w:val="0"/>
                <w:color w:val="auto"/>
                <w:kern w:val="0"/>
                <w:sz w:val="21"/>
                <w:szCs w:val="21"/>
                <w:highlight w:val="none"/>
                <w:lang w:val="en-US" w:eastAsia="zh-CN" w:bidi="ar"/>
              </w:rPr>
              <w:t>80</w:t>
            </w:r>
          </w:p>
        </w:tc>
        <w:tc>
          <w:tcPr>
            <w:tcW w:w="720" w:type="pct"/>
            <w:noWrap w:val="0"/>
            <w:tcMar>
              <w:top w:w="12" w:type="dxa"/>
              <w:left w:w="12" w:type="dxa"/>
              <w:right w:w="12" w:type="dxa"/>
            </w:tcMar>
            <w:vAlign w:val="center"/>
          </w:tcPr>
          <w:p w14:paraId="2F3742B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eastAsia" w:cs="Times New Roman"/>
                <w:i w:val="0"/>
                <w:iCs w:val="0"/>
                <w:color w:val="auto"/>
                <w:kern w:val="0"/>
                <w:sz w:val="21"/>
                <w:szCs w:val="21"/>
                <w:highlight w:val="none"/>
                <w:lang w:val="en-US" w:eastAsia="zh-CN" w:bidi="ar"/>
              </w:rPr>
              <w:t>4.758</w:t>
            </w:r>
          </w:p>
        </w:tc>
      </w:tr>
      <w:tr w14:paraId="30C23F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353" w:type="pct"/>
            <w:noWrap w:val="0"/>
            <w:tcMar>
              <w:top w:w="12" w:type="dxa"/>
              <w:left w:w="12" w:type="dxa"/>
              <w:right w:w="12" w:type="dxa"/>
            </w:tcMar>
            <w:vAlign w:val="center"/>
          </w:tcPr>
          <w:p w14:paraId="623A24D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3</w:t>
            </w:r>
          </w:p>
        </w:tc>
        <w:tc>
          <w:tcPr>
            <w:tcW w:w="631" w:type="pct"/>
            <w:noWrap w:val="0"/>
            <w:tcMar>
              <w:top w:w="12" w:type="dxa"/>
              <w:left w:w="12" w:type="dxa"/>
              <w:right w:w="12" w:type="dxa"/>
            </w:tcMar>
            <w:vAlign w:val="center"/>
          </w:tcPr>
          <w:p w14:paraId="3FE1EF3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Times New Roman" w:hAnsi="Times New Roman" w:eastAsia="宋体" w:cs="Times New Roman"/>
                <w:i w:val="0"/>
                <w:iCs w:val="0"/>
                <w:color w:val="auto"/>
                <w:kern w:val="2"/>
                <w:sz w:val="21"/>
                <w:szCs w:val="21"/>
                <w:highlight w:val="none"/>
                <w:lang w:val="en-US" w:eastAsia="zh-CN" w:bidi="ar-SA"/>
              </w:rPr>
            </w:pPr>
            <w:r>
              <w:rPr>
                <w:i w:val="0"/>
                <w:iCs w:val="0"/>
                <w:color w:val="auto"/>
                <w:kern w:val="0"/>
                <w:sz w:val="21"/>
                <w:szCs w:val="21"/>
                <w:highlight w:val="none"/>
                <w:lang w:bidi="ar"/>
              </w:rPr>
              <w:t>雄英102</w:t>
            </w:r>
          </w:p>
        </w:tc>
        <w:tc>
          <w:tcPr>
            <w:tcW w:w="802" w:type="pct"/>
            <w:noWrap w:val="0"/>
            <w:tcMar>
              <w:top w:w="12" w:type="dxa"/>
              <w:left w:w="12" w:type="dxa"/>
              <w:right w:w="12" w:type="dxa"/>
            </w:tcMar>
            <w:vAlign w:val="center"/>
          </w:tcPr>
          <w:p w14:paraId="15F639D4">
            <w:pPr>
              <w:pStyle w:val="86"/>
              <w:keepNext w:val="0"/>
              <w:keepLines w:val="0"/>
              <w:pageBreakBefore w:val="0"/>
              <w:widowControl/>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i w:val="0"/>
                <w:iCs w:val="0"/>
                <w:color w:val="auto"/>
                <w:kern w:val="0"/>
                <w:sz w:val="21"/>
                <w:szCs w:val="21"/>
                <w:highlight w:val="none"/>
                <w:lang w:val="en-US" w:eastAsia="zh-CN" w:bidi="ar"/>
              </w:rPr>
            </w:pPr>
            <w:r>
              <w:rPr>
                <w:rFonts w:hint="eastAsia" w:cs="Times New Roman"/>
                <w:i w:val="0"/>
                <w:iCs w:val="0"/>
                <w:color w:val="auto"/>
                <w:kern w:val="0"/>
                <w:sz w:val="21"/>
                <w:szCs w:val="21"/>
                <w:highlight w:val="none"/>
                <w:lang w:val="en-US" w:eastAsia="zh-CN" w:bidi="ar"/>
              </w:rPr>
              <w:t>12000</w:t>
            </w:r>
          </w:p>
        </w:tc>
        <w:tc>
          <w:tcPr>
            <w:tcW w:w="639" w:type="pct"/>
            <w:noWrap w:val="0"/>
            <w:tcMar>
              <w:top w:w="12" w:type="dxa"/>
              <w:left w:w="12" w:type="dxa"/>
              <w:right w:w="12" w:type="dxa"/>
            </w:tcMar>
            <w:vAlign w:val="center"/>
          </w:tcPr>
          <w:p w14:paraId="1403A38C">
            <w:pPr>
              <w:pStyle w:val="86"/>
              <w:keepNext w:val="0"/>
              <w:keepLines w:val="0"/>
              <w:pageBreakBefore w:val="0"/>
              <w:widowControl/>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i w:val="0"/>
                <w:iCs w:val="0"/>
                <w:color w:val="auto"/>
                <w:kern w:val="0"/>
                <w:sz w:val="21"/>
                <w:szCs w:val="21"/>
                <w:highlight w:val="none"/>
                <w:lang w:val="en-US" w:eastAsia="zh-CN" w:bidi="ar"/>
              </w:rPr>
            </w:pPr>
            <w:r>
              <w:rPr>
                <w:rFonts w:hint="eastAsia" w:cs="Times New Roman"/>
                <w:i w:val="0"/>
                <w:iCs w:val="0"/>
                <w:color w:val="auto"/>
                <w:kern w:val="0"/>
                <w:sz w:val="21"/>
                <w:szCs w:val="21"/>
                <w:highlight w:val="none"/>
                <w:lang w:val="en-US" w:eastAsia="zh-CN" w:bidi="ar"/>
              </w:rPr>
              <w:t>50</w:t>
            </w:r>
          </w:p>
        </w:tc>
        <w:tc>
          <w:tcPr>
            <w:tcW w:w="608" w:type="pct"/>
            <w:vMerge w:val="continue"/>
            <w:noWrap w:val="0"/>
            <w:tcMar>
              <w:top w:w="12" w:type="dxa"/>
              <w:left w:w="12" w:type="dxa"/>
              <w:right w:w="12" w:type="dxa"/>
            </w:tcMar>
            <w:vAlign w:val="center"/>
          </w:tcPr>
          <w:p w14:paraId="4760942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宋体" w:cs="Times New Roman"/>
                <w:i w:val="0"/>
                <w:iCs w:val="0"/>
                <w:color w:val="auto"/>
                <w:kern w:val="0"/>
                <w:sz w:val="21"/>
                <w:szCs w:val="21"/>
                <w:highlight w:val="none"/>
                <w:lang w:val="en-US" w:eastAsia="zh-CN" w:bidi="ar"/>
              </w:rPr>
            </w:pPr>
          </w:p>
        </w:tc>
        <w:tc>
          <w:tcPr>
            <w:tcW w:w="670" w:type="pct"/>
            <w:noWrap w:val="0"/>
            <w:tcMar>
              <w:top w:w="12" w:type="dxa"/>
              <w:left w:w="12" w:type="dxa"/>
              <w:right w:w="12" w:type="dxa"/>
            </w:tcMar>
            <w:vAlign w:val="center"/>
          </w:tcPr>
          <w:p w14:paraId="049CE05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2"/>
                <w:sz w:val="21"/>
                <w:szCs w:val="21"/>
                <w:highlight w:val="none"/>
                <w:lang w:val="en-US" w:eastAsia="zh-CN" w:bidi="ar-SA"/>
              </w:rPr>
            </w:pPr>
            <w:r>
              <w:rPr>
                <w:rFonts w:hint="eastAsia"/>
                <w:i w:val="0"/>
                <w:iCs w:val="0"/>
                <w:color w:val="auto"/>
                <w:kern w:val="2"/>
                <w:sz w:val="21"/>
                <w:szCs w:val="21"/>
                <w:highlight w:val="none"/>
                <w:lang w:val="en-US" w:eastAsia="zh-CN" w:bidi="ar-SA"/>
              </w:rPr>
              <w:t>3.4</w:t>
            </w:r>
          </w:p>
        </w:tc>
        <w:tc>
          <w:tcPr>
            <w:tcW w:w="573" w:type="pct"/>
            <w:noWrap w:val="0"/>
            <w:tcMar>
              <w:top w:w="12" w:type="dxa"/>
              <w:left w:w="12" w:type="dxa"/>
              <w:right w:w="12" w:type="dxa"/>
            </w:tcMar>
            <w:vAlign w:val="center"/>
          </w:tcPr>
          <w:p w14:paraId="52D0CC8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lang w:bidi="ar"/>
              </w:rPr>
              <w:t>DN</w:t>
            </w:r>
            <w:r>
              <w:rPr>
                <w:rFonts w:hint="eastAsia" w:cs="Times New Roman"/>
                <w:i w:val="0"/>
                <w:iCs w:val="0"/>
                <w:color w:val="auto"/>
                <w:kern w:val="0"/>
                <w:sz w:val="21"/>
                <w:szCs w:val="21"/>
                <w:highlight w:val="none"/>
                <w:lang w:val="en-US" w:eastAsia="zh-CN" w:bidi="ar"/>
              </w:rPr>
              <w:t>80</w:t>
            </w:r>
          </w:p>
        </w:tc>
        <w:tc>
          <w:tcPr>
            <w:tcW w:w="720" w:type="pct"/>
            <w:noWrap w:val="0"/>
            <w:tcMar>
              <w:top w:w="12" w:type="dxa"/>
              <w:left w:w="12" w:type="dxa"/>
              <w:right w:w="12" w:type="dxa"/>
            </w:tcMar>
            <w:vAlign w:val="center"/>
          </w:tcPr>
          <w:p w14:paraId="1346DD8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eastAsia" w:cs="Times New Roman"/>
                <w:i w:val="0"/>
                <w:iCs w:val="0"/>
                <w:color w:val="auto"/>
                <w:kern w:val="0"/>
                <w:sz w:val="21"/>
                <w:szCs w:val="21"/>
                <w:highlight w:val="none"/>
                <w:lang w:val="en-US" w:eastAsia="zh-CN" w:bidi="ar"/>
              </w:rPr>
              <w:t>4.578</w:t>
            </w:r>
          </w:p>
        </w:tc>
      </w:tr>
      <w:tr w14:paraId="665A79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353" w:type="pct"/>
            <w:noWrap w:val="0"/>
            <w:tcMar>
              <w:top w:w="12" w:type="dxa"/>
              <w:left w:w="12" w:type="dxa"/>
              <w:right w:w="12" w:type="dxa"/>
            </w:tcMar>
            <w:vAlign w:val="center"/>
          </w:tcPr>
          <w:p w14:paraId="7AF176B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i w:val="0"/>
                <w:iCs w:val="0"/>
                <w:color w:val="auto"/>
                <w:sz w:val="21"/>
                <w:szCs w:val="21"/>
                <w:highlight w:val="none"/>
              </w:rPr>
            </w:pPr>
            <w:r>
              <w:rPr>
                <w:i w:val="0"/>
                <w:iCs w:val="0"/>
                <w:color w:val="auto"/>
                <w:kern w:val="0"/>
                <w:sz w:val="21"/>
                <w:szCs w:val="21"/>
                <w:highlight w:val="none"/>
                <w:lang w:bidi="ar"/>
              </w:rPr>
              <w:t>4</w:t>
            </w:r>
          </w:p>
        </w:tc>
        <w:tc>
          <w:tcPr>
            <w:tcW w:w="631" w:type="pct"/>
            <w:noWrap w:val="0"/>
            <w:tcMar>
              <w:top w:w="12" w:type="dxa"/>
              <w:left w:w="12" w:type="dxa"/>
              <w:right w:w="12" w:type="dxa"/>
            </w:tcMar>
            <w:vAlign w:val="center"/>
          </w:tcPr>
          <w:p w14:paraId="7BF8F1E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Times New Roman" w:hAnsi="Times New Roman" w:eastAsia="宋体" w:cs="Times New Roman"/>
                <w:i w:val="0"/>
                <w:iCs w:val="0"/>
                <w:color w:val="auto"/>
                <w:kern w:val="2"/>
                <w:sz w:val="21"/>
                <w:szCs w:val="21"/>
                <w:highlight w:val="none"/>
                <w:lang w:val="en-US" w:eastAsia="zh-CN" w:bidi="ar-SA"/>
              </w:rPr>
            </w:pPr>
            <w:r>
              <w:rPr>
                <w:i w:val="0"/>
                <w:iCs w:val="0"/>
                <w:color w:val="auto"/>
                <w:kern w:val="0"/>
                <w:sz w:val="21"/>
                <w:szCs w:val="21"/>
                <w:highlight w:val="none"/>
                <w:lang w:bidi="ar"/>
              </w:rPr>
              <w:t>雄英103</w:t>
            </w:r>
          </w:p>
        </w:tc>
        <w:tc>
          <w:tcPr>
            <w:tcW w:w="802" w:type="pct"/>
            <w:noWrap w:val="0"/>
            <w:tcMar>
              <w:top w:w="12" w:type="dxa"/>
              <w:left w:w="12" w:type="dxa"/>
              <w:right w:w="12" w:type="dxa"/>
            </w:tcMar>
            <w:vAlign w:val="center"/>
          </w:tcPr>
          <w:p w14:paraId="1147D594">
            <w:pPr>
              <w:pStyle w:val="86"/>
              <w:keepNext w:val="0"/>
              <w:keepLines w:val="0"/>
              <w:pageBreakBefore w:val="0"/>
              <w:widowControl/>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i w:val="0"/>
                <w:iCs w:val="0"/>
                <w:color w:val="auto"/>
                <w:kern w:val="0"/>
                <w:sz w:val="21"/>
                <w:szCs w:val="21"/>
                <w:highlight w:val="none"/>
                <w:lang w:val="en-US" w:eastAsia="zh-CN" w:bidi="ar"/>
              </w:rPr>
            </w:pPr>
            <w:r>
              <w:rPr>
                <w:rFonts w:hint="eastAsia" w:cs="Times New Roman"/>
                <w:i w:val="0"/>
                <w:iCs w:val="0"/>
                <w:color w:val="auto"/>
                <w:kern w:val="0"/>
                <w:sz w:val="21"/>
                <w:szCs w:val="21"/>
                <w:highlight w:val="none"/>
                <w:lang w:val="en-US" w:eastAsia="zh-CN" w:bidi="ar"/>
              </w:rPr>
              <w:t>12000</w:t>
            </w:r>
          </w:p>
        </w:tc>
        <w:tc>
          <w:tcPr>
            <w:tcW w:w="639" w:type="pct"/>
            <w:noWrap w:val="0"/>
            <w:tcMar>
              <w:top w:w="12" w:type="dxa"/>
              <w:left w:w="12" w:type="dxa"/>
              <w:right w:w="12" w:type="dxa"/>
            </w:tcMar>
            <w:vAlign w:val="center"/>
          </w:tcPr>
          <w:p w14:paraId="2676C93B">
            <w:pPr>
              <w:pStyle w:val="86"/>
              <w:keepNext w:val="0"/>
              <w:keepLines w:val="0"/>
              <w:pageBreakBefore w:val="0"/>
              <w:widowControl/>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i w:val="0"/>
                <w:iCs w:val="0"/>
                <w:color w:val="auto"/>
                <w:kern w:val="0"/>
                <w:sz w:val="21"/>
                <w:szCs w:val="21"/>
                <w:highlight w:val="none"/>
                <w:lang w:val="en-US" w:eastAsia="zh-CN" w:bidi="ar"/>
              </w:rPr>
            </w:pPr>
            <w:r>
              <w:rPr>
                <w:rFonts w:hint="eastAsia" w:cs="Times New Roman"/>
                <w:i w:val="0"/>
                <w:iCs w:val="0"/>
                <w:color w:val="auto"/>
                <w:kern w:val="0"/>
                <w:sz w:val="21"/>
                <w:szCs w:val="21"/>
                <w:highlight w:val="none"/>
                <w:lang w:val="en-US" w:eastAsia="zh-CN" w:bidi="ar"/>
              </w:rPr>
              <w:t>50</w:t>
            </w:r>
          </w:p>
        </w:tc>
        <w:tc>
          <w:tcPr>
            <w:tcW w:w="608" w:type="pct"/>
            <w:vMerge w:val="continue"/>
            <w:noWrap w:val="0"/>
            <w:tcMar>
              <w:top w:w="12" w:type="dxa"/>
              <w:left w:w="12" w:type="dxa"/>
              <w:right w:w="12" w:type="dxa"/>
            </w:tcMar>
            <w:vAlign w:val="center"/>
          </w:tcPr>
          <w:p w14:paraId="143787D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宋体" w:cs="Times New Roman"/>
                <w:i w:val="0"/>
                <w:iCs w:val="0"/>
                <w:color w:val="auto"/>
                <w:kern w:val="0"/>
                <w:sz w:val="21"/>
                <w:szCs w:val="21"/>
                <w:highlight w:val="none"/>
                <w:lang w:val="en-US" w:eastAsia="zh-CN" w:bidi="ar"/>
              </w:rPr>
            </w:pPr>
          </w:p>
        </w:tc>
        <w:tc>
          <w:tcPr>
            <w:tcW w:w="670" w:type="pct"/>
            <w:noWrap w:val="0"/>
            <w:tcMar>
              <w:top w:w="12" w:type="dxa"/>
              <w:left w:w="12" w:type="dxa"/>
              <w:right w:w="12" w:type="dxa"/>
            </w:tcMar>
            <w:vAlign w:val="center"/>
          </w:tcPr>
          <w:p w14:paraId="2C94856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2"/>
                <w:sz w:val="21"/>
                <w:szCs w:val="21"/>
                <w:highlight w:val="none"/>
                <w:lang w:val="en-US" w:eastAsia="zh-CN" w:bidi="ar-SA"/>
              </w:rPr>
            </w:pPr>
            <w:r>
              <w:rPr>
                <w:rFonts w:hint="eastAsia"/>
                <w:i w:val="0"/>
                <w:iCs w:val="0"/>
                <w:color w:val="auto"/>
                <w:kern w:val="2"/>
                <w:sz w:val="21"/>
                <w:szCs w:val="21"/>
                <w:highlight w:val="none"/>
                <w:lang w:val="en-US" w:eastAsia="zh-CN" w:bidi="ar-SA"/>
              </w:rPr>
              <w:t>2.23</w:t>
            </w:r>
          </w:p>
        </w:tc>
        <w:tc>
          <w:tcPr>
            <w:tcW w:w="573" w:type="pct"/>
            <w:noWrap w:val="0"/>
            <w:tcMar>
              <w:top w:w="12" w:type="dxa"/>
              <w:left w:w="12" w:type="dxa"/>
              <w:right w:w="12" w:type="dxa"/>
            </w:tcMar>
            <w:vAlign w:val="center"/>
          </w:tcPr>
          <w:p w14:paraId="64FCCED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lang w:bidi="ar"/>
              </w:rPr>
              <w:t>DN</w:t>
            </w:r>
            <w:r>
              <w:rPr>
                <w:rFonts w:hint="eastAsia" w:cs="Times New Roman"/>
                <w:i w:val="0"/>
                <w:iCs w:val="0"/>
                <w:color w:val="auto"/>
                <w:kern w:val="0"/>
                <w:sz w:val="21"/>
                <w:szCs w:val="21"/>
                <w:highlight w:val="none"/>
                <w:lang w:val="en-US" w:eastAsia="zh-CN" w:bidi="ar"/>
              </w:rPr>
              <w:t>80</w:t>
            </w:r>
          </w:p>
        </w:tc>
        <w:tc>
          <w:tcPr>
            <w:tcW w:w="720" w:type="pct"/>
            <w:noWrap w:val="0"/>
            <w:tcMar>
              <w:top w:w="12" w:type="dxa"/>
              <w:left w:w="12" w:type="dxa"/>
              <w:right w:w="12" w:type="dxa"/>
            </w:tcMar>
            <w:vAlign w:val="center"/>
          </w:tcPr>
          <w:p w14:paraId="6117472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eastAsia" w:cs="Times New Roman"/>
                <w:i w:val="0"/>
                <w:iCs w:val="0"/>
                <w:color w:val="auto"/>
                <w:kern w:val="0"/>
                <w:sz w:val="21"/>
                <w:szCs w:val="21"/>
                <w:highlight w:val="none"/>
                <w:lang w:val="en-US" w:eastAsia="zh-CN" w:bidi="ar"/>
              </w:rPr>
              <w:t>4.559</w:t>
            </w:r>
          </w:p>
        </w:tc>
      </w:tr>
      <w:tr w14:paraId="78A06A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353" w:type="pct"/>
            <w:noWrap w:val="0"/>
            <w:tcMar>
              <w:top w:w="12" w:type="dxa"/>
              <w:left w:w="12" w:type="dxa"/>
              <w:right w:w="12" w:type="dxa"/>
            </w:tcMar>
            <w:vAlign w:val="center"/>
          </w:tcPr>
          <w:p w14:paraId="050C435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5</w:t>
            </w:r>
          </w:p>
        </w:tc>
        <w:tc>
          <w:tcPr>
            <w:tcW w:w="631" w:type="pct"/>
            <w:noWrap w:val="0"/>
            <w:tcMar>
              <w:top w:w="12" w:type="dxa"/>
              <w:left w:w="12" w:type="dxa"/>
              <w:right w:w="12" w:type="dxa"/>
            </w:tcMar>
            <w:vAlign w:val="center"/>
          </w:tcPr>
          <w:p w14:paraId="17E15D0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eastAsia="宋体"/>
                <w:i w:val="0"/>
                <w:iCs w:val="0"/>
                <w:color w:val="auto"/>
                <w:kern w:val="0"/>
                <w:sz w:val="21"/>
                <w:szCs w:val="21"/>
                <w:highlight w:val="none"/>
                <w:lang w:val="en-US" w:eastAsia="zh-CN" w:bidi="ar"/>
              </w:rPr>
            </w:pPr>
            <w:r>
              <w:rPr>
                <w:rFonts w:hint="eastAsia"/>
                <w:i w:val="0"/>
                <w:iCs w:val="0"/>
                <w:color w:val="auto"/>
                <w:kern w:val="0"/>
                <w:sz w:val="21"/>
                <w:szCs w:val="21"/>
                <w:highlight w:val="none"/>
                <w:lang w:val="en-US" w:eastAsia="zh-CN" w:bidi="ar"/>
              </w:rPr>
              <w:t>雄英3井</w:t>
            </w:r>
          </w:p>
        </w:tc>
        <w:tc>
          <w:tcPr>
            <w:tcW w:w="802" w:type="pct"/>
            <w:noWrap w:val="0"/>
            <w:tcMar>
              <w:top w:w="12" w:type="dxa"/>
              <w:left w:w="12" w:type="dxa"/>
              <w:right w:w="12" w:type="dxa"/>
            </w:tcMar>
            <w:vAlign w:val="center"/>
          </w:tcPr>
          <w:p w14:paraId="51BE2C4C">
            <w:pPr>
              <w:pStyle w:val="86"/>
              <w:keepNext w:val="0"/>
              <w:keepLines w:val="0"/>
              <w:pageBreakBefore w:val="0"/>
              <w:widowControl/>
              <w:kinsoku/>
              <w:wordWrap/>
              <w:overflowPunct/>
              <w:topLinePunct w:val="0"/>
              <w:autoSpaceDE/>
              <w:autoSpaceDN/>
              <w:bidi w:val="0"/>
              <w:adjustRightInd/>
              <w:snapToGrid/>
              <w:spacing w:line="360" w:lineRule="atLeast"/>
              <w:ind w:firstLine="0" w:firstLineChars="0"/>
              <w:jc w:val="center"/>
              <w:textAlignment w:val="auto"/>
              <w:rPr>
                <w:rFonts w:hint="eastAsia" w:ascii="Times New Roman" w:hAnsi="Times New Roman" w:eastAsia="宋体" w:cs="Times New Roman"/>
                <w:i w:val="0"/>
                <w:iCs w:val="0"/>
                <w:color w:val="auto"/>
                <w:kern w:val="0"/>
                <w:sz w:val="21"/>
                <w:szCs w:val="21"/>
                <w:highlight w:val="none"/>
                <w:lang w:val="en-US" w:eastAsia="zh-CN" w:bidi="ar"/>
              </w:rPr>
            </w:pPr>
            <w:r>
              <w:rPr>
                <w:rFonts w:hint="eastAsia" w:cs="Times New Roman"/>
                <w:i w:val="0"/>
                <w:iCs w:val="0"/>
                <w:color w:val="auto"/>
                <w:kern w:val="0"/>
                <w:sz w:val="21"/>
                <w:szCs w:val="21"/>
                <w:highlight w:val="none"/>
                <w:lang w:val="en-US" w:eastAsia="zh-CN" w:bidi="ar"/>
              </w:rPr>
              <w:t>5000</w:t>
            </w:r>
          </w:p>
        </w:tc>
        <w:tc>
          <w:tcPr>
            <w:tcW w:w="639" w:type="pct"/>
            <w:noWrap w:val="0"/>
            <w:tcMar>
              <w:top w:w="12" w:type="dxa"/>
              <w:left w:w="12" w:type="dxa"/>
              <w:right w:w="12" w:type="dxa"/>
            </w:tcMar>
            <w:vAlign w:val="center"/>
          </w:tcPr>
          <w:p w14:paraId="78D6F4F4">
            <w:pPr>
              <w:pStyle w:val="86"/>
              <w:keepNext w:val="0"/>
              <w:keepLines w:val="0"/>
              <w:pageBreakBefore w:val="0"/>
              <w:widowControl/>
              <w:kinsoku/>
              <w:wordWrap/>
              <w:overflowPunct/>
              <w:topLinePunct w:val="0"/>
              <w:autoSpaceDE/>
              <w:autoSpaceDN/>
              <w:bidi w:val="0"/>
              <w:adjustRightInd/>
              <w:snapToGrid/>
              <w:spacing w:line="360" w:lineRule="atLeast"/>
              <w:ind w:firstLine="0" w:firstLineChars="0"/>
              <w:jc w:val="center"/>
              <w:textAlignment w:val="auto"/>
              <w:rPr>
                <w:rFonts w:hint="eastAsia" w:ascii="Times New Roman" w:hAnsi="Times New Roman" w:eastAsia="宋体" w:cs="Times New Roman"/>
                <w:i w:val="0"/>
                <w:iCs w:val="0"/>
                <w:color w:val="auto"/>
                <w:kern w:val="0"/>
                <w:sz w:val="21"/>
                <w:szCs w:val="21"/>
                <w:highlight w:val="none"/>
                <w:lang w:val="en-US" w:eastAsia="zh-CN" w:bidi="ar"/>
              </w:rPr>
            </w:pPr>
            <w:r>
              <w:rPr>
                <w:rFonts w:hint="eastAsia" w:cs="Times New Roman"/>
                <w:i w:val="0"/>
                <w:iCs w:val="0"/>
                <w:color w:val="auto"/>
                <w:kern w:val="0"/>
                <w:sz w:val="21"/>
                <w:szCs w:val="21"/>
                <w:highlight w:val="none"/>
                <w:lang w:val="en-US" w:eastAsia="zh-CN" w:bidi="ar"/>
              </w:rPr>
              <w:t>50</w:t>
            </w:r>
          </w:p>
        </w:tc>
        <w:tc>
          <w:tcPr>
            <w:tcW w:w="608" w:type="pct"/>
            <w:vMerge w:val="continue"/>
            <w:noWrap w:val="0"/>
            <w:tcMar>
              <w:top w:w="12" w:type="dxa"/>
              <w:left w:w="12" w:type="dxa"/>
              <w:right w:w="12" w:type="dxa"/>
            </w:tcMar>
            <w:vAlign w:val="center"/>
          </w:tcPr>
          <w:p w14:paraId="6E839C4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宋体" w:cs="Times New Roman"/>
                <w:i w:val="0"/>
                <w:iCs w:val="0"/>
                <w:color w:val="auto"/>
                <w:kern w:val="0"/>
                <w:sz w:val="21"/>
                <w:szCs w:val="21"/>
                <w:highlight w:val="none"/>
                <w:lang w:val="en-US" w:eastAsia="zh-CN" w:bidi="ar"/>
              </w:rPr>
            </w:pPr>
          </w:p>
        </w:tc>
        <w:tc>
          <w:tcPr>
            <w:tcW w:w="670" w:type="pct"/>
            <w:noWrap w:val="0"/>
            <w:tcMar>
              <w:top w:w="12" w:type="dxa"/>
              <w:left w:w="12" w:type="dxa"/>
              <w:right w:w="12" w:type="dxa"/>
            </w:tcMar>
            <w:vAlign w:val="center"/>
          </w:tcPr>
          <w:p w14:paraId="4382199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2"/>
                <w:sz w:val="21"/>
                <w:szCs w:val="21"/>
                <w:highlight w:val="none"/>
                <w:lang w:val="en-US" w:eastAsia="zh-CN" w:bidi="ar-SA"/>
              </w:rPr>
            </w:pPr>
            <w:r>
              <w:rPr>
                <w:rFonts w:hint="eastAsia" w:cs="Times New Roman"/>
                <w:i w:val="0"/>
                <w:iCs w:val="0"/>
                <w:color w:val="auto"/>
                <w:kern w:val="2"/>
                <w:sz w:val="21"/>
                <w:szCs w:val="21"/>
                <w:highlight w:val="none"/>
                <w:lang w:val="en-US" w:eastAsia="zh-CN" w:bidi="ar-SA"/>
              </w:rPr>
              <w:t>7.7</w:t>
            </w:r>
          </w:p>
        </w:tc>
        <w:tc>
          <w:tcPr>
            <w:tcW w:w="573" w:type="pct"/>
            <w:noWrap w:val="0"/>
            <w:tcMar>
              <w:top w:w="12" w:type="dxa"/>
              <w:left w:w="12" w:type="dxa"/>
              <w:right w:w="12" w:type="dxa"/>
            </w:tcMar>
            <w:vAlign w:val="center"/>
          </w:tcPr>
          <w:p w14:paraId="27DE1E5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lang w:bidi="ar"/>
              </w:rPr>
              <w:t>DN</w:t>
            </w:r>
            <w:r>
              <w:rPr>
                <w:rFonts w:hint="eastAsia" w:cs="Times New Roman"/>
                <w:i w:val="0"/>
                <w:iCs w:val="0"/>
                <w:color w:val="auto"/>
                <w:kern w:val="0"/>
                <w:sz w:val="21"/>
                <w:szCs w:val="21"/>
                <w:highlight w:val="none"/>
                <w:lang w:val="en-US" w:eastAsia="zh-CN" w:bidi="ar"/>
              </w:rPr>
              <w:t>80</w:t>
            </w:r>
          </w:p>
        </w:tc>
        <w:tc>
          <w:tcPr>
            <w:tcW w:w="720" w:type="pct"/>
            <w:noWrap w:val="0"/>
            <w:tcMar>
              <w:top w:w="12" w:type="dxa"/>
              <w:left w:w="12" w:type="dxa"/>
              <w:right w:w="12" w:type="dxa"/>
            </w:tcMar>
            <w:vAlign w:val="center"/>
          </w:tcPr>
          <w:p w14:paraId="60A0881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宋体" w:cs="Times New Roman"/>
                <w:i w:val="0"/>
                <w:iCs w:val="0"/>
                <w:color w:val="auto"/>
                <w:kern w:val="0"/>
                <w:sz w:val="21"/>
                <w:szCs w:val="21"/>
                <w:highlight w:val="none"/>
                <w:lang w:val="en-US" w:eastAsia="zh-CN" w:bidi="ar"/>
              </w:rPr>
            </w:pPr>
            <w:r>
              <w:rPr>
                <w:rFonts w:hint="eastAsia" w:cs="Times New Roman"/>
                <w:i w:val="0"/>
                <w:iCs w:val="0"/>
                <w:color w:val="auto"/>
                <w:kern w:val="0"/>
                <w:sz w:val="21"/>
                <w:szCs w:val="21"/>
                <w:highlight w:val="none"/>
                <w:lang w:val="en-US" w:eastAsia="zh-CN" w:bidi="ar"/>
              </w:rPr>
              <w:t>4.576</w:t>
            </w:r>
          </w:p>
        </w:tc>
      </w:tr>
    </w:tbl>
    <w:p w14:paraId="7C7B3AFB">
      <w:pPr>
        <w:pStyle w:val="79"/>
        <w:keepNext w:val="0"/>
        <w:keepLines w:val="0"/>
        <w:pageBreakBefore w:val="0"/>
        <w:widowControl w:val="0"/>
        <w:kinsoku/>
        <w:wordWrap/>
        <w:overflowPunct/>
        <w:topLinePunct w:val="0"/>
        <w:autoSpaceDE/>
        <w:autoSpaceDN/>
        <w:bidi w:val="0"/>
        <w:adjustRightInd/>
        <w:snapToGrid/>
        <w:textAlignment w:val="auto"/>
        <w:rPr>
          <w:rFonts w:hint="default"/>
          <w:color w:val="auto"/>
          <w:lang w:val="en-US" w:eastAsia="zh-CN"/>
        </w:rPr>
      </w:pPr>
      <w:r>
        <w:rPr>
          <w:rFonts w:hint="default"/>
          <w:color w:val="auto"/>
          <w:lang w:val="en-US" w:eastAsia="zh-CN"/>
        </w:rPr>
        <w:t>2）天然气、原油外输</w:t>
      </w:r>
    </w:p>
    <w:p w14:paraId="6D80CA5E">
      <w:pPr>
        <w:pStyle w:val="79"/>
        <w:keepNext w:val="0"/>
        <w:keepLines w:val="0"/>
        <w:pageBreakBefore w:val="0"/>
        <w:widowControl w:val="0"/>
        <w:kinsoku/>
        <w:wordWrap/>
        <w:overflowPunct/>
        <w:topLinePunct w:val="0"/>
        <w:autoSpaceDE/>
        <w:autoSpaceDN/>
        <w:bidi w:val="0"/>
        <w:adjustRightInd/>
        <w:snapToGrid/>
        <w:textAlignment w:val="auto"/>
        <w:rPr>
          <w:rFonts w:hint="default"/>
          <w:color w:val="auto"/>
          <w:lang w:val="en-US" w:eastAsia="zh-CN"/>
        </w:rPr>
      </w:pPr>
      <w:bookmarkStart w:id="256" w:name="OLE_LINK247"/>
      <w:bookmarkStart w:id="257" w:name="OLE_LINK243"/>
      <w:r>
        <w:rPr>
          <w:rFonts w:hint="eastAsia"/>
          <w:color w:val="auto"/>
          <w:lang w:val="en-US" w:eastAsia="zh-CN"/>
        </w:rPr>
        <w:t>本工程雄探1</w:t>
      </w:r>
      <w:r>
        <w:rPr>
          <w:rFonts w:hint="default"/>
          <w:color w:val="auto"/>
          <w:lang w:val="en-US" w:eastAsia="zh-CN"/>
        </w:rPr>
        <w:t>试采点外输依托已建的雄探1至玉东2增压站集气管道（DN80 D88.9×6.45修复油管）输气管线起点雄探1井，末点玉东2增压站，管线长度约24km；原油外输采用罐车拉运</w:t>
      </w:r>
      <w:r>
        <w:rPr>
          <w:rFonts w:hint="eastAsia"/>
          <w:color w:val="auto"/>
          <w:lang w:val="en-US" w:eastAsia="zh-CN"/>
        </w:rPr>
        <w:t>至哈六联合站</w:t>
      </w:r>
      <w:r>
        <w:rPr>
          <w:rFonts w:hint="default"/>
          <w:color w:val="auto"/>
          <w:lang w:val="en-US" w:eastAsia="zh-CN"/>
        </w:rPr>
        <w:t>。</w:t>
      </w:r>
    </w:p>
    <w:bookmarkEnd w:id="256"/>
    <w:p w14:paraId="1D57FF5D">
      <w:pPr>
        <w:pStyle w:val="79"/>
        <w:keepNext w:val="0"/>
        <w:keepLines w:val="0"/>
        <w:pageBreakBefore w:val="0"/>
        <w:widowControl w:val="0"/>
        <w:kinsoku/>
        <w:wordWrap/>
        <w:overflowPunct/>
        <w:topLinePunct w:val="0"/>
        <w:autoSpaceDE/>
        <w:autoSpaceDN/>
        <w:bidi w:val="0"/>
        <w:adjustRightInd/>
        <w:snapToGrid/>
        <w:textAlignment w:val="auto"/>
        <w:rPr>
          <w:rFonts w:hint="default"/>
          <w:color w:val="auto"/>
          <w:lang w:val="en-US" w:eastAsia="zh-CN"/>
        </w:rPr>
      </w:pPr>
      <w:r>
        <w:rPr>
          <w:rFonts w:hint="eastAsia"/>
          <w:color w:val="auto"/>
          <w:lang w:val="en-US" w:eastAsia="zh-CN"/>
        </w:rPr>
        <w:t>本工程雄探1井现有1套装车系统。根据建设单位提供资料，本工程按原油最大产量230t/d，每天装车时间9.35h，超出8h工作时间，同时考虑拉运过程的稳定性，本工程需再扩建1套定量装车系统（DN80、1.6MPa）。届时，一共2套装车系统，满足8h之内完成装车工况。</w:t>
      </w:r>
    </w:p>
    <w:p w14:paraId="58D1C671">
      <w:pPr>
        <w:spacing w:line="360" w:lineRule="auto"/>
        <w:ind w:firstLine="480" w:firstLineChars="200"/>
        <w:rPr>
          <w:rFonts w:hint="eastAsia" w:ascii="Times New Roman" w:hAnsi="Times New Roman" w:eastAsia="宋体" w:cs="Times New Roman"/>
          <w:color w:val="auto"/>
          <w:sz w:val="24"/>
          <w:szCs w:val="24"/>
          <w:highlight w:val="yellow"/>
          <w:lang w:val="en-US" w:eastAsia="zh-CN"/>
        </w:rPr>
      </w:pPr>
    </w:p>
    <w:p w14:paraId="02AB5877">
      <w:pPr>
        <w:spacing w:line="360" w:lineRule="auto"/>
        <w:ind w:firstLine="480" w:firstLineChars="200"/>
        <w:rPr>
          <w:rFonts w:hint="default" w:ascii="Times New Roman" w:hAnsi="Times New Roman" w:eastAsia="宋体" w:cs="Times New Roman"/>
          <w:color w:val="auto"/>
          <w:sz w:val="24"/>
          <w:szCs w:val="24"/>
          <w:highlight w:val="yellow"/>
          <w:lang w:val="en-US" w:eastAsia="zh-CN"/>
        </w:rPr>
        <w:sectPr>
          <w:pgSz w:w="11906"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AndChars" w:linePitch="316" w:charSpace="0"/>
        </w:sectPr>
      </w:pPr>
    </w:p>
    <w:bookmarkEnd w:id="257"/>
    <w:p w14:paraId="3DE5D222">
      <w:pPr>
        <w:pStyle w:val="10"/>
        <w:jc w:val="center"/>
        <w:rPr>
          <w:rFonts w:hint="eastAsia" w:ascii="黑体" w:hAnsi="黑体" w:eastAsia="黑体" w:cs="黑体"/>
          <w:b/>
          <w:bCs/>
          <w:color w:val="auto"/>
          <w:sz w:val="21"/>
          <w:szCs w:val="21"/>
          <w:highlight w:val="none"/>
          <w:lang w:val="en-US" w:eastAsia="zh-CN"/>
        </w:rPr>
      </w:pPr>
    </w:p>
    <w:p w14:paraId="24BB65CA">
      <w:pPr>
        <w:pStyle w:val="10"/>
        <w:jc w:val="center"/>
        <w:rPr>
          <w:rFonts w:hint="eastAsia"/>
          <w:color w:val="auto"/>
          <w:lang w:val="en-US" w:eastAsia="zh-CN"/>
        </w:rPr>
      </w:pPr>
      <w:r>
        <w:rPr>
          <w:rFonts w:hint="eastAsia" w:ascii="黑体" w:hAnsi="黑体" w:eastAsia="黑体" w:cs="黑体"/>
          <w:b/>
          <w:bCs/>
          <w:color w:val="auto"/>
          <w:sz w:val="24"/>
          <w:szCs w:val="24"/>
          <w:highlight w:val="none"/>
          <w:lang w:val="en-US" w:eastAsia="zh-CN"/>
        </w:rPr>
        <w:t>图3.2-4   本项目集输管道工程走向图</w:t>
      </w:r>
    </w:p>
    <w:p w14:paraId="5C2F43C6">
      <w:pPr>
        <w:pStyle w:val="20"/>
        <w:widowControl w:val="0"/>
        <w:numPr>
          <w:ilvl w:val="0"/>
          <w:numId w:val="0"/>
        </w:numPr>
        <w:jc w:val="both"/>
        <w:rPr>
          <w:rFonts w:hint="eastAsia"/>
          <w:color w:val="auto"/>
          <w:lang w:val="en-US" w:eastAsia="zh-CN"/>
        </w:rPr>
        <w:sectPr>
          <w:pgSz w:w="16838" w:h="11906" w:orient="landscape"/>
          <w:pgMar w:top="1814" w:right="1474" w:bottom="1474" w:left="1474" w:header="850" w:footer="992" w:gutter="0"/>
          <w:pgBorders>
            <w:top w:val="none" w:sz="0" w:space="0"/>
            <w:left w:val="none" w:sz="0" w:space="0"/>
            <w:bottom w:val="none" w:sz="0" w:space="0"/>
            <w:right w:val="none" w:sz="0" w:space="0"/>
          </w:pgBorders>
          <w:pgNumType w:fmt="decimal"/>
          <w:cols w:space="0" w:num="1"/>
          <w:rtlGutter w:val="0"/>
          <w:docGrid w:type="linesAndChars" w:linePitch="316" w:charSpace="0"/>
        </w:sectPr>
      </w:pPr>
    </w:p>
    <w:p w14:paraId="49B1FD7F">
      <w:pPr>
        <w:pStyle w:val="54"/>
        <w:bidi w:val="0"/>
        <w:rPr>
          <w:rFonts w:hint="default"/>
          <w:color w:val="auto"/>
        </w:rPr>
      </w:pPr>
      <w:r>
        <w:rPr>
          <w:rFonts w:hint="default"/>
          <w:color w:val="auto"/>
        </w:rPr>
        <w:t>3.</w:t>
      </w:r>
      <w:r>
        <w:rPr>
          <w:rFonts w:hint="eastAsia"/>
          <w:color w:val="auto"/>
          <w:lang w:val="en-US" w:eastAsia="zh-CN"/>
        </w:rPr>
        <w:t>2.4.2 公</w:t>
      </w:r>
      <w:r>
        <w:rPr>
          <w:rFonts w:hint="default"/>
          <w:color w:val="auto"/>
        </w:rPr>
        <w:t>辅工程</w:t>
      </w:r>
    </w:p>
    <w:p w14:paraId="7ECDBC02">
      <w:pPr>
        <w:pStyle w:val="79"/>
        <w:bidi w:val="0"/>
        <w:rPr>
          <w:rFonts w:hint="default"/>
          <w:color w:val="auto"/>
        </w:rPr>
      </w:pPr>
      <w:r>
        <w:rPr>
          <w:rFonts w:hint="default"/>
          <w:color w:val="auto"/>
        </w:rPr>
        <w:t>公辅工程包括</w:t>
      </w:r>
      <w:r>
        <w:rPr>
          <w:rFonts w:hint="eastAsia"/>
          <w:color w:val="auto"/>
          <w:lang w:eastAsia="zh-CN"/>
        </w:rPr>
        <w:t>：</w:t>
      </w:r>
      <w:r>
        <w:rPr>
          <w:rFonts w:hint="eastAsia"/>
          <w:color w:val="auto"/>
          <w:lang w:val="en-US" w:eastAsia="zh-CN"/>
        </w:rPr>
        <w:t>供电工程、自控工程、通信工程、消防工程、防腐与保温</w:t>
      </w:r>
      <w:r>
        <w:rPr>
          <w:rFonts w:hint="default"/>
          <w:color w:val="auto"/>
        </w:rPr>
        <w:t>。</w:t>
      </w:r>
    </w:p>
    <w:p w14:paraId="3DF52C57">
      <w:pPr>
        <w:pStyle w:val="79"/>
        <w:bidi w:val="0"/>
        <w:rPr>
          <w:rFonts w:hint="eastAsia"/>
          <w:color w:val="auto"/>
          <w:lang w:val="en-US" w:eastAsia="zh-CN"/>
        </w:rPr>
      </w:pPr>
      <w:bookmarkStart w:id="258" w:name="_Toc23039"/>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lang w:val="en-US" w:eastAsia="zh-CN"/>
        </w:rPr>
        <w:t>供电工程</w:t>
      </w:r>
    </w:p>
    <w:p w14:paraId="098EEFA4">
      <w:pPr>
        <w:pStyle w:val="79"/>
        <w:bidi w:val="0"/>
        <w:rPr>
          <w:rFonts w:hint="eastAsia"/>
          <w:color w:val="auto"/>
          <w:lang w:eastAsia="zh-CN"/>
        </w:rPr>
      </w:pPr>
      <w:r>
        <w:rPr>
          <w:rFonts w:hint="eastAsia"/>
          <w:color w:val="auto"/>
          <w:lang w:eastAsia="zh-CN"/>
        </w:rPr>
        <w:t>为新建雄探1试采点做低压配电、场区工艺设备做防雷防静电设计。主要包括：8井式进站阀组橇1套、计量分离器橇1套、缓蚀剂加注橇1套、闪蒸气压缩机1套、自动点火装置1套、装车橇1套、场区电伴热1套、干法脱硫塔扩建部分、生产分离器橇1座、闪蒸分离器橇1座、气液分离器橇1座等设备配电，以及新建管线设备防雷防静电接地。为新建油井设备做配电设计，雄探1井利用已建电力系统。主要包括：预留加药橇1座、管线电伴热1处、设备间1套、液控柜1套、井场RTU、摄像机、照明等设备配电，以及新建管线设备防雷防静电接地。</w:t>
      </w:r>
    </w:p>
    <w:p w14:paraId="10CA1E30">
      <w:pPr>
        <w:pStyle w:val="79"/>
        <w:bidi w:val="0"/>
        <w:rPr>
          <w:rFonts w:hint="eastAsia"/>
          <w:color w:val="auto"/>
          <w:lang w:eastAsia="zh-CN"/>
        </w:rPr>
      </w:pPr>
      <w:r>
        <w:rPr>
          <w:rFonts w:hint="eastAsia"/>
          <w:color w:val="auto"/>
          <w:lang w:eastAsia="zh-CN"/>
        </w:rPr>
        <w:t>经现场实地调研，新开发的雄探1井区附近有已建新派35kV钻井线路一条，35kV玉油线引自玉尔衮110kV变电站。雄探1井区东侧17km处有</w:t>
      </w:r>
      <w:r>
        <w:rPr>
          <w:rFonts w:hint="eastAsia"/>
          <w:color w:val="auto"/>
          <w:lang w:val="en-US" w:eastAsia="zh-CN"/>
        </w:rPr>
        <w:t>油气</w:t>
      </w:r>
      <w:r>
        <w:rPr>
          <w:rFonts w:hint="eastAsia"/>
          <w:color w:val="auto"/>
          <w:lang w:eastAsia="zh-CN"/>
        </w:rPr>
        <w:t>田35kV电力线一条，引自英买力油气处理厂110/35/10kV变电所。经分析对比，试采阶段推荐采用附近新派电网作为本工程的35kV电源。</w:t>
      </w:r>
    </w:p>
    <w:p w14:paraId="0EE39FAC">
      <w:pPr>
        <w:pStyle w:val="79"/>
        <w:bidi w:val="0"/>
        <w:rPr>
          <w:rFonts w:hint="eastAsia"/>
          <w:color w:val="auto"/>
          <w:lang w:eastAsia="zh-CN"/>
        </w:rPr>
      </w:pPr>
      <w:r>
        <w:rPr>
          <w:rFonts w:hint="eastAsia"/>
          <w:color w:val="auto"/>
          <w:lang w:eastAsia="zh-CN"/>
        </w:rPr>
        <w:t>本工程雄探1试采点电源引自雄探1井场现有S22-M-400/35 400kVA变压器1台，电源接入井场现有区电控信一体化橇内配电柜。每口油井在防火分区外建设柱上式变电站1座，油浸式电力变压器1台，变压器装机容量均为50kVA，在柱上式变电站附近设一级配电箱1面，为井场的设备间提供电源。由新派电网为新建</w:t>
      </w:r>
      <w:r>
        <w:rPr>
          <w:rFonts w:hint="eastAsia"/>
          <w:color w:val="auto"/>
          <w:lang w:val="en-US" w:eastAsia="zh-CN"/>
        </w:rPr>
        <w:t>井场</w:t>
      </w:r>
      <w:r>
        <w:rPr>
          <w:rFonts w:hint="eastAsia"/>
          <w:color w:val="auto"/>
          <w:lang w:eastAsia="zh-CN"/>
        </w:rPr>
        <w:t>生产用电新建35kV架空线路，采用架空线路引至井场附近。</w:t>
      </w:r>
    </w:p>
    <w:bookmarkEnd w:id="258"/>
    <w:p w14:paraId="77E1B0B1">
      <w:pPr>
        <w:pStyle w:val="79"/>
        <w:bidi w:val="0"/>
        <w:rPr>
          <w:rFonts w:hint="default"/>
          <w:color w:val="auto"/>
          <w:lang w:val="en-US"/>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lang w:val="en-US" w:eastAsia="zh-CN"/>
        </w:rPr>
        <w:t xml:space="preserve"> 自控工程</w:t>
      </w:r>
    </w:p>
    <w:p w14:paraId="01FB266B">
      <w:pPr>
        <w:pStyle w:val="79"/>
        <w:bidi w:val="0"/>
        <w:rPr>
          <w:rFonts w:hint="eastAsia"/>
          <w:color w:val="auto"/>
          <w:lang w:eastAsia="zh-CN"/>
        </w:rPr>
      </w:pPr>
      <w:r>
        <w:rPr>
          <w:rFonts w:hint="eastAsia"/>
          <w:color w:val="auto"/>
          <w:lang w:eastAsia="zh-CN"/>
        </w:rPr>
        <w:t>在雄探1试采点电控信一体化橇内扩建1面PLC控制系统I/O机柜，用于安装本次扩建工程新增I/O点的采集模块，并对操作员站进行组态调整，实现试采点扩建部分工艺生产数据和设备运行状态以及有毒气体和可燃气体泄漏浓度的监控和数据存储。试采点PLC控制系统数据通过新建无线网桥（通信专业设计）上传英买生产指挥中心站外SCADA系统进行远程监控，然后数据上传至英买采油气管理区A11系统进行监视、管理。</w:t>
      </w:r>
    </w:p>
    <w:p w14:paraId="75D984CB">
      <w:pPr>
        <w:pStyle w:val="79"/>
        <w:bidi w:val="0"/>
        <w:rPr>
          <w:rFonts w:hint="eastAsia"/>
          <w:color w:val="auto"/>
          <w:lang w:eastAsia="zh-CN"/>
        </w:rPr>
      </w:pPr>
      <w:r>
        <w:rPr>
          <w:rFonts w:hint="eastAsia"/>
          <w:color w:val="auto"/>
          <w:lang w:eastAsia="zh-CN"/>
        </w:rPr>
        <w:t>站控系统采用PLC+操作站模式。PLC过程控制系统由控制器、电源模块、I/O模块和通讯模块组成，控制器按1:1冗余设置，控制器负荷及通信负荷不大于60%，I/O备用量按20%预留，可燃气体探测器和有毒气体探测器信号采集采用独立的AI模块。</w:t>
      </w:r>
    </w:p>
    <w:p w14:paraId="1307A325">
      <w:pPr>
        <w:pStyle w:val="79"/>
        <w:bidi w:val="0"/>
        <w:rPr>
          <w:rFonts w:hint="default"/>
          <w:color w:val="auto"/>
          <w:lang w:val="en-US"/>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lang w:val="en-US" w:eastAsia="zh-CN"/>
        </w:rPr>
        <w:t xml:space="preserve"> 通信工程</w:t>
      </w:r>
    </w:p>
    <w:p w14:paraId="5DDAFC55">
      <w:pPr>
        <w:pStyle w:val="79"/>
        <w:bidi w:val="0"/>
        <w:rPr>
          <w:rFonts w:hint="default"/>
          <w:color w:val="auto"/>
        </w:rPr>
      </w:pPr>
      <w:r>
        <w:rPr>
          <w:rFonts w:hint="default"/>
          <w:color w:val="auto"/>
          <w:lang w:val="en-US" w:eastAsia="zh-CN"/>
        </w:rPr>
        <w:t>本工程通信系统主要为雄探1试采点、油井井场等工艺站场、井场通信业务传输提供数据传输通道。设计内容主要包括数据传输系统、工业电视监控系统、安防监控系统、语 音告警系统、一键报警、无线集群系统、铁塔建设、通信线路、通信电源及供电接地防雷系统等9部分。</w:t>
      </w:r>
    </w:p>
    <w:p w14:paraId="2D16B3FE">
      <w:pPr>
        <w:pStyle w:val="79"/>
        <w:bidi w:val="0"/>
        <w:rPr>
          <w:rFonts w:hint="default"/>
          <w:color w:val="auto"/>
          <w:lang w:eastAsia="zh-CN"/>
        </w:rPr>
      </w:pPr>
      <w:r>
        <w:rPr>
          <w:rFonts w:hint="default"/>
          <w:color w:val="auto"/>
          <w:lang w:eastAsia="zh-CN"/>
        </w:rPr>
        <w:t>雄英1井区附近无油田已建光缆，且附近无油田已建电力杆路可依托，距离附近最近的油田站场直线距离约20km；已建雄探1井为有人值守，生产数据及监控图像均本地管理，就地监视、未进行远传。</w:t>
      </w:r>
    </w:p>
    <w:p w14:paraId="55B2CB06">
      <w:pPr>
        <w:pStyle w:val="79"/>
        <w:bidi w:val="0"/>
        <w:rPr>
          <w:rFonts w:hint="eastAsia"/>
          <w:color w:val="auto"/>
          <w:lang w:eastAsia="zh-CN"/>
        </w:rPr>
      </w:pPr>
      <w:r>
        <w:rPr>
          <w:rFonts w:hint="eastAsia"/>
          <w:color w:val="auto"/>
          <w:lang w:eastAsia="zh-CN"/>
        </w:rPr>
        <w:t>本工程雄探1试采点供电采用第三方电源，目前雄探1试采点附近无油田电力线路可依托挂设ADSS光缆，且本工程产品气依托已建集气管道输至玉东2增压站，原油拉运至哈六联合站，无新建外输管线，故本工程雄探1试采点数据传输采用无线传输的方式进行上传，YT5集气站附近有铁塔公司建设50m高通信铁塔，在雄探1试采点附近新建35m单管塔1座，新建点对点无线网桥2对（生产数据和视频数据传输物理隔离）安装于两端铁塔上方并配备高增益外置天线，可将生产数据和视频数据上传至YT5集气站，通过YT5集气站已建传输链路将生产数据和视频数据上传至英买生产指挥中心。</w:t>
      </w:r>
    </w:p>
    <w:p w14:paraId="6FE742C6">
      <w:pPr>
        <w:pStyle w:val="79"/>
        <w:bidi w:val="0"/>
        <w:rPr>
          <w:rFonts w:hint="default"/>
          <w:color w:val="auto"/>
          <w:lang w:val="en-US"/>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lang w:val="en-US" w:eastAsia="zh-CN"/>
        </w:rPr>
        <w:t>消防工程</w:t>
      </w:r>
    </w:p>
    <w:p w14:paraId="6CE1F778">
      <w:pPr>
        <w:pStyle w:val="79"/>
        <w:bidi w:val="0"/>
        <w:rPr>
          <w:rFonts w:hint="eastAsia"/>
          <w:color w:val="auto"/>
          <w:lang w:eastAsia="zh-CN"/>
        </w:rPr>
      </w:pPr>
      <w:r>
        <w:rPr>
          <w:rFonts w:hint="eastAsia"/>
          <w:color w:val="auto"/>
          <w:lang w:eastAsia="zh-CN"/>
        </w:rPr>
        <w:t>本工程消防设计范围为新建</w:t>
      </w:r>
      <w:r>
        <w:rPr>
          <w:rFonts w:hint="eastAsia"/>
          <w:color w:val="auto"/>
          <w:lang w:val="en-US" w:eastAsia="zh-CN"/>
        </w:rPr>
        <w:t>油井</w:t>
      </w:r>
      <w:r>
        <w:rPr>
          <w:rFonts w:hint="eastAsia"/>
          <w:color w:val="auto"/>
          <w:lang w:eastAsia="zh-CN"/>
        </w:rPr>
        <w:t>和扩建的雄探1试采点的消防设计（已建设施依托已建的消防设施）。本工程消防依托为英买处理站的消防站。英买生活公寓的消防车库内配有2台泡沫、水罐消防车，配置消防队员8人。</w:t>
      </w:r>
    </w:p>
    <w:p w14:paraId="64198B10">
      <w:pPr>
        <w:pStyle w:val="79"/>
        <w:bidi w:val="0"/>
        <w:rPr>
          <w:rFonts w:hint="default"/>
          <w:color w:val="auto"/>
          <w:lang w:eastAsia="zh-CN"/>
        </w:rPr>
      </w:pPr>
      <w:r>
        <w:rPr>
          <w:rFonts w:hint="default"/>
          <w:color w:val="auto"/>
          <w:lang w:eastAsia="zh-CN"/>
        </w:rPr>
        <w:t>根据《建筑灭火器配置设计规范》（GB50140-2005）的有关要求配备移动式灭火器具，采用手提式磷酸铵盐干粉灭火器。灭火器设在灭火器箱内，置于地上，铭牌朝外。手提式灭火器每个设置点数量为2具。灭火器的具体配置详见表</w:t>
      </w:r>
      <w:r>
        <w:rPr>
          <w:rFonts w:hint="eastAsia"/>
          <w:color w:val="auto"/>
          <w:lang w:val="en-US" w:eastAsia="zh-CN"/>
        </w:rPr>
        <w:t>3.2-13</w:t>
      </w:r>
      <w:r>
        <w:rPr>
          <w:rFonts w:hint="default"/>
          <w:color w:val="auto"/>
          <w:lang w:eastAsia="zh-CN"/>
        </w:rPr>
        <w:t>。</w:t>
      </w:r>
    </w:p>
    <w:p w14:paraId="0EE4DA15">
      <w:pPr>
        <w:pStyle w:val="61"/>
        <w:bidi w:val="0"/>
        <w:jc w:val="both"/>
        <w:rPr>
          <w:rFonts w:hint="default"/>
          <w:color w:val="auto"/>
          <w:lang w:val="en-US" w:eastAsia="zh-CN"/>
        </w:rPr>
      </w:pPr>
      <w:r>
        <w:rPr>
          <w:rFonts w:hint="default"/>
          <w:color w:val="auto"/>
          <w:lang w:val="en-US" w:eastAsia="zh-CN"/>
        </w:rPr>
        <w:t>表</w:t>
      </w:r>
      <w:r>
        <w:rPr>
          <w:rFonts w:hint="eastAsia"/>
          <w:color w:val="auto"/>
          <w:lang w:val="en-US" w:eastAsia="zh-CN"/>
        </w:rPr>
        <w:t xml:space="preserve">3.2-13   </w:t>
      </w:r>
      <w:r>
        <w:rPr>
          <w:rFonts w:hint="default"/>
          <w:color w:val="auto"/>
          <w:lang w:val="en-US" w:eastAsia="zh-CN"/>
        </w:rPr>
        <w:t>灭火器配置一览表</w:t>
      </w:r>
    </w:p>
    <w:tbl>
      <w:tblPr>
        <w:tblStyle w:val="36"/>
        <w:tblW w:w="4953"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596"/>
        <w:gridCol w:w="1132"/>
        <w:gridCol w:w="1004"/>
        <w:gridCol w:w="1132"/>
        <w:gridCol w:w="2011"/>
        <w:gridCol w:w="751"/>
        <w:gridCol w:w="881"/>
        <w:gridCol w:w="1244"/>
      </w:tblGrid>
      <w:tr w14:paraId="5ADEA8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3" w:hRule="atLeast"/>
          <w:jc w:val="center"/>
        </w:trPr>
        <w:tc>
          <w:tcPr>
            <w:tcW w:w="341" w:type="pct"/>
            <w:noWrap w:val="0"/>
            <w:vAlign w:val="center"/>
          </w:tcPr>
          <w:p w14:paraId="68FBEDFF">
            <w:pPr>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646" w:type="pct"/>
            <w:noWrap w:val="0"/>
            <w:vAlign w:val="center"/>
          </w:tcPr>
          <w:p w14:paraId="1FE7F070">
            <w:pPr>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设置地点</w:t>
            </w:r>
          </w:p>
        </w:tc>
        <w:tc>
          <w:tcPr>
            <w:tcW w:w="573" w:type="pct"/>
            <w:noWrap w:val="0"/>
            <w:vAlign w:val="center"/>
          </w:tcPr>
          <w:p w14:paraId="7D580D7E">
            <w:pPr>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火灾种类</w:t>
            </w:r>
          </w:p>
        </w:tc>
        <w:tc>
          <w:tcPr>
            <w:tcW w:w="646" w:type="pct"/>
            <w:noWrap w:val="0"/>
            <w:vAlign w:val="center"/>
          </w:tcPr>
          <w:p w14:paraId="46EA2CCD">
            <w:pPr>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危险等级</w:t>
            </w:r>
          </w:p>
        </w:tc>
        <w:tc>
          <w:tcPr>
            <w:tcW w:w="1148" w:type="pct"/>
            <w:noWrap w:val="0"/>
            <w:vAlign w:val="center"/>
          </w:tcPr>
          <w:p w14:paraId="6420D6DF">
            <w:pPr>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灭火器型号及规格</w:t>
            </w:r>
          </w:p>
        </w:tc>
        <w:tc>
          <w:tcPr>
            <w:tcW w:w="429" w:type="pct"/>
            <w:noWrap w:val="0"/>
            <w:vAlign w:val="center"/>
          </w:tcPr>
          <w:p w14:paraId="1121F9E0">
            <w:pPr>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c>
          <w:tcPr>
            <w:tcW w:w="503" w:type="pct"/>
            <w:noWrap w:val="0"/>
            <w:vAlign w:val="center"/>
          </w:tcPr>
          <w:p w14:paraId="76AEBD3F">
            <w:pPr>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数量</w:t>
            </w:r>
          </w:p>
        </w:tc>
        <w:tc>
          <w:tcPr>
            <w:tcW w:w="710" w:type="pct"/>
            <w:noWrap w:val="0"/>
            <w:vAlign w:val="center"/>
          </w:tcPr>
          <w:p w14:paraId="6568C988">
            <w:pPr>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r>
      <w:tr w14:paraId="052299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40" w:hRule="atLeast"/>
          <w:jc w:val="center"/>
        </w:trPr>
        <w:tc>
          <w:tcPr>
            <w:tcW w:w="341" w:type="pct"/>
            <w:noWrap w:val="0"/>
            <w:vAlign w:val="center"/>
          </w:tcPr>
          <w:p w14:paraId="2C92B741">
            <w:pPr>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46" w:type="pct"/>
            <w:noWrap w:val="0"/>
            <w:vAlign w:val="center"/>
          </w:tcPr>
          <w:p w14:paraId="0F6ACCC0">
            <w:pPr>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每口单井</w:t>
            </w:r>
          </w:p>
        </w:tc>
        <w:tc>
          <w:tcPr>
            <w:tcW w:w="573" w:type="pct"/>
            <w:noWrap w:val="0"/>
            <w:vAlign w:val="center"/>
          </w:tcPr>
          <w:p w14:paraId="458D6B21">
            <w:pPr>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B、C</w:t>
            </w:r>
          </w:p>
        </w:tc>
        <w:tc>
          <w:tcPr>
            <w:tcW w:w="646" w:type="pct"/>
            <w:noWrap w:val="0"/>
            <w:vAlign w:val="center"/>
          </w:tcPr>
          <w:p w14:paraId="1DAA3542">
            <w:pPr>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严重危险级</w:t>
            </w:r>
          </w:p>
        </w:tc>
        <w:tc>
          <w:tcPr>
            <w:tcW w:w="1148" w:type="pct"/>
            <w:noWrap w:val="0"/>
            <w:vAlign w:val="center"/>
          </w:tcPr>
          <w:p w14:paraId="19E7E041">
            <w:pPr>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手提式磷酸铵盐干粉灭火器MF/ABC8</w:t>
            </w:r>
          </w:p>
        </w:tc>
        <w:tc>
          <w:tcPr>
            <w:tcW w:w="429" w:type="pct"/>
            <w:noWrap w:val="0"/>
            <w:vAlign w:val="center"/>
          </w:tcPr>
          <w:p w14:paraId="0A688112">
            <w:pPr>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具</w:t>
            </w:r>
          </w:p>
        </w:tc>
        <w:tc>
          <w:tcPr>
            <w:tcW w:w="503" w:type="pct"/>
            <w:noWrap w:val="0"/>
            <w:vAlign w:val="center"/>
          </w:tcPr>
          <w:p w14:paraId="216C3DFB">
            <w:pPr>
              <w:bidi w:val="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4</w:t>
            </w:r>
          </w:p>
        </w:tc>
        <w:tc>
          <w:tcPr>
            <w:tcW w:w="710" w:type="pct"/>
            <w:noWrap w:val="0"/>
            <w:vAlign w:val="center"/>
          </w:tcPr>
          <w:p w14:paraId="2BEC3C6C">
            <w:pPr>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2具1箱</w:t>
            </w:r>
          </w:p>
        </w:tc>
      </w:tr>
      <w:tr w14:paraId="628AE1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41" w:hRule="atLeast"/>
          <w:jc w:val="center"/>
        </w:trPr>
        <w:tc>
          <w:tcPr>
            <w:tcW w:w="341" w:type="pct"/>
            <w:noWrap w:val="0"/>
            <w:vAlign w:val="center"/>
          </w:tcPr>
          <w:p w14:paraId="672AB7FB">
            <w:pPr>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646" w:type="pct"/>
            <w:noWrap w:val="0"/>
            <w:vAlign w:val="center"/>
          </w:tcPr>
          <w:p w14:paraId="57FCCDBE">
            <w:pPr>
              <w:bidi w:val="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雄探1试采点</w:t>
            </w:r>
          </w:p>
        </w:tc>
        <w:tc>
          <w:tcPr>
            <w:tcW w:w="573" w:type="pct"/>
            <w:noWrap w:val="0"/>
            <w:vAlign w:val="center"/>
          </w:tcPr>
          <w:p w14:paraId="5E7F82AC">
            <w:pPr>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B、C</w:t>
            </w:r>
          </w:p>
        </w:tc>
        <w:tc>
          <w:tcPr>
            <w:tcW w:w="646" w:type="pct"/>
            <w:noWrap w:val="0"/>
            <w:vAlign w:val="center"/>
          </w:tcPr>
          <w:p w14:paraId="764B43F6">
            <w:pPr>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严重危险级</w:t>
            </w:r>
          </w:p>
        </w:tc>
        <w:tc>
          <w:tcPr>
            <w:tcW w:w="1148" w:type="pct"/>
            <w:noWrap w:val="0"/>
            <w:vAlign w:val="center"/>
          </w:tcPr>
          <w:p w14:paraId="3C673132">
            <w:pPr>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手提式磷酸铵盐干粉灭火器MF/ABC8</w:t>
            </w:r>
          </w:p>
        </w:tc>
        <w:tc>
          <w:tcPr>
            <w:tcW w:w="429" w:type="pct"/>
            <w:noWrap w:val="0"/>
            <w:vAlign w:val="center"/>
          </w:tcPr>
          <w:p w14:paraId="245C7598">
            <w:pPr>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具</w:t>
            </w:r>
          </w:p>
        </w:tc>
        <w:tc>
          <w:tcPr>
            <w:tcW w:w="503" w:type="pct"/>
            <w:noWrap w:val="0"/>
            <w:vAlign w:val="center"/>
          </w:tcPr>
          <w:p w14:paraId="2920213B">
            <w:pPr>
              <w:bidi w:val="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w:t>
            </w:r>
          </w:p>
        </w:tc>
        <w:tc>
          <w:tcPr>
            <w:tcW w:w="710" w:type="pct"/>
            <w:noWrap w:val="0"/>
            <w:vAlign w:val="center"/>
          </w:tcPr>
          <w:p w14:paraId="098062D3">
            <w:pPr>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2具1箱</w:t>
            </w:r>
          </w:p>
        </w:tc>
      </w:tr>
    </w:tbl>
    <w:p w14:paraId="2AF1A4D0">
      <w:pPr>
        <w:pStyle w:val="79"/>
        <w:bidi w:val="0"/>
        <w:rPr>
          <w:rFonts w:hint="default"/>
          <w:color w:val="auto"/>
          <w:lang w:val="en-US"/>
        </w:rPr>
      </w:pPr>
      <w:r>
        <w:rPr>
          <w:rFonts w:hint="eastAsia"/>
          <w:color w:val="auto"/>
          <w:lang w:eastAsia="zh-CN"/>
        </w:rPr>
        <w:t>（</w:t>
      </w:r>
      <w:r>
        <w:rPr>
          <w:rFonts w:hint="eastAsia"/>
          <w:color w:val="auto"/>
          <w:lang w:val="en-US" w:eastAsia="zh-CN"/>
        </w:rPr>
        <w:t>5</w:t>
      </w:r>
      <w:r>
        <w:rPr>
          <w:rFonts w:hint="eastAsia"/>
          <w:color w:val="auto"/>
          <w:lang w:eastAsia="zh-CN"/>
        </w:rPr>
        <w:t>）</w:t>
      </w:r>
      <w:r>
        <w:rPr>
          <w:rFonts w:hint="eastAsia"/>
          <w:color w:val="auto"/>
          <w:lang w:val="en-US" w:eastAsia="zh-CN"/>
        </w:rPr>
        <w:t>防腐保温</w:t>
      </w:r>
    </w:p>
    <w:p w14:paraId="1E7AEBF3">
      <w:pPr>
        <w:pStyle w:val="79"/>
        <w:bidi w:val="0"/>
        <w:rPr>
          <w:rFonts w:hint="eastAsia"/>
          <w:color w:val="auto"/>
          <w:lang w:val="ru-RU" w:eastAsia="zh-CN"/>
        </w:rPr>
      </w:pPr>
      <w:r>
        <w:rPr>
          <w:rFonts w:hint="eastAsia"/>
          <w:color w:val="auto"/>
          <w:lang w:val="ru-RU" w:eastAsia="zh-CN"/>
        </w:rPr>
        <w:t>本工程站内管道、设备根据其运行温度及是否保温采用性能优良的外防腐层、保温层；含有腐蚀性介质的非标设备内壁，根据设备运行工况采用防腐层+牺牲阳极的联合保护方案。</w:t>
      </w:r>
    </w:p>
    <w:p w14:paraId="2306330D">
      <w:pPr>
        <w:pStyle w:val="79"/>
        <w:bidi w:val="0"/>
        <w:rPr>
          <w:rFonts w:hint="eastAsia"/>
          <w:color w:val="auto"/>
          <w:lang w:val="en-US" w:eastAsia="zh-CN"/>
        </w:rPr>
      </w:pPr>
      <w:r>
        <w:rPr>
          <w:rFonts w:hint="eastAsia"/>
          <w:color w:val="auto"/>
          <w:lang w:val="en-US" w:eastAsia="zh-CN"/>
        </w:rPr>
        <w:t>管道防腐结构：</w:t>
      </w:r>
      <w:r>
        <w:rPr>
          <w:rFonts w:hint="default"/>
          <w:color w:val="auto"/>
          <w:lang w:val="en-US" w:eastAsia="zh-CN"/>
        </w:rPr>
        <w:t>电伴热保温碳钢管道外壁</w:t>
      </w:r>
      <w:r>
        <w:rPr>
          <w:rFonts w:hint="eastAsia"/>
          <w:color w:val="auto"/>
          <w:lang w:val="en-US" w:eastAsia="zh-CN"/>
        </w:rPr>
        <w:t>，耐高温环氧酚醛底漆（130~150μm）+耐高温环氧酚醛面漆（120~150μm），总厚度250~300μm；</w:t>
      </w:r>
      <w:r>
        <w:rPr>
          <w:rFonts w:hint="default"/>
          <w:color w:val="auto"/>
          <w:lang w:val="ru-RU" w:eastAsia="zh-CN"/>
        </w:rPr>
        <w:t>其他保温碳钢管道外壁</w:t>
      </w:r>
      <w:r>
        <w:rPr>
          <w:rFonts w:hint="eastAsia"/>
          <w:color w:val="auto"/>
          <w:lang w:val="ru-RU" w:eastAsia="zh-CN"/>
        </w:rPr>
        <w:t>，</w:t>
      </w:r>
      <w:r>
        <w:rPr>
          <w:rFonts w:hint="default"/>
          <w:color w:val="auto"/>
          <w:lang w:val="ru-RU" w:eastAsia="zh-CN"/>
        </w:rPr>
        <w:t>1道无溶剂环氧底漆（100μm）+1 道环氧云铁中间漆（100μm），防腐层总干膜厚度≥200μm</w:t>
      </w:r>
      <w:r>
        <w:rPr>
          <w:rFonts w:hint="eastAsia"/>
          <w:color w:val="auto"/>
          <w:lang w:val="ru-RU" w:eastAsia="zh-CN"/>
        </w:rPr>
        <w:t>；</w:t>
      </w:r>
      <w:r>
        <w:rPr>
          <w:rFonts w:hint="default"/>
          <w:color w:val="auto"/>
          <w:lang w:val="ru-RU" w:eastAsia="zh-CN"/>
        </w:rPr>
        <w:t>穿路套管内外壁</w:t>
      </w:r>
      <w:r>
        <w:rPr>
          <w:rFonts w:hint="eastAsia"/>
          <w:color w:val="auto"/>
          <w:lang w:val="ru-RU" w:eastAsia="zh-CN"/>
        </w:rPr>
        <w:t>，</w:t>
      </w:r>
      <w:r>
        <w:rPr>
          <w:rFonts w:hint="default"/>
          <w:color w:val="auto"/>
          <w:lang w:val="ru-RU" w:eastAsia="zh-CN"/>
        </w:rPr>
        <w:t>无溶剂环氧涂料，普通级，4道，防腐层干膜厚度≥400μm</w:t>
      </w:r>
      <w:r>
        <w:rPr>
          <w:rFonts w:hint="eastAsia"/>
          <w:color w:val="auto"/>
          <w:lang w:val="ru-RU" w:eastAsia="zh-CN"/>
        </w:rPr>
        <w:t>；</w:t>
      </w:r>
      <w:r>
        <w:rPr>
          <w:rFonts w:hint="default"/>
          <w:color w:val="auto"/>
          <w:lang w:val="ru-RU" w:eastAsia="zh-CN"/>
        </w:rPr>
        <w:t>DN≥40埋地预制钢质保温管道外防腐</w:t>
      </w:r>
      <w:r>
        <w:rPr>
          <w:rFonts w:hint="eastAsia"/>
          <w:color w:val="auto"/>
          <w:lang w:val="ru-RU" w:eastAsia="zh-CN"/>
        </w:rPr>
        <w:t>，</w:t>
      </w:r>
      <w:r>
        <w:rPr>
          <w:rFonts w:hint="default"/>
          <w:color w:val="auto"/>
          <w:lang w:val="ru-RU" w:eastAsia="zh-CN"/>
        </w:rPr>
        <w:t>熔结环氧粉末防腐层，防腐层厚度≥300μm</w:t>
      </w:r>
      <w:r>
        <w:rPr>
          <w:rFonts w:hint="eastAsia"/>
          <w:color w:val="auto"/>
          <w:lang w:val="ru-RU" w:eastAsia="zh-CN"/>
        </w:rPr>
        <w:t>；</w:t>
      </w:r>
      <w:r>
        <w:rPr>
          <w:rFonts w:hint="default"/>
          <w:color w:val="auto"/>
          <w:lang w:val="ru-RU" w:eastAsia="zh-CN"/>
        </w:rPr>
        <w:t>埋地预制钢质保温管道外防腐层补口</w:t>
      </w:r>
      <w:r>
        <w:rPr>
          <w:rFonts w:hint="eastAsia"/>
          <w:color w:val="auto"/>
          <w:lang w:val="ru-RU" w:eastAsia="zh-CN"/>
        </w:rPr>
        <w:t>，</w:t>
      </w:r>
      <w:r>
        <w:rPr>
          <w:rFonts w:hint="default"/>
          <w:color w:val="auto"/>
          <w:lang w:val="ru-RU" w:eastAsia="zh-CN"/>
        </w:rPr>
        <w:t>无溶剂环氧涂料，总干膜厚度≥300μm。</w:t>
      </w:r>
    </w:p>
    <w:p w14:paraId="09EC908F">
      <w:pPr>
        <w:pStyle w:val="79"/>
        <w:bidi w:val="0"/>
        <w:rPr>
          <w:rFonts w:hint="default"/>
          <w:color w:val="auto"/>
          <w:lang w:val="ru-RU" w:eastAsia="zh-CN"/>
        </w:rPr>
      </w:pPr>
      <w:r>
        <w:rPr>
          <w:rFonts w:hint="eastAsia"/>
          <w:color w:val="auto"/>
          <w:lang w:val="en-US" w:eastAsia="zh-CN"/>
        </w:rPr>
        <w:t>设备防腐结构：分离器保温外壁，耐高温环氧酚醛底漆（</w:t>
      </w:r>
      <w:r>
        <w:rPr>
          <w:rFonts w:hint="default"/>
          <w:color w:val="auto"/>
          <w:lang w:val="en-US" w:eastAsia="zh-CN"/>
        </w:rPr>
        <w:t>130~150μm</w:t>
      </w:r>
      <w:r>
        <w:rPr>
          <w:rFonts w:hint="eastAsia"/>
          <w:color w:val="auto"/>
          <w:lang w:val="en-US" w:eastAsia="zh-CN"/>
        </w:rPr>
        <w:t>）</w:t>
      </w:r>
      <w:r>
        <w:rPr>
          <w:rFonts w:hint="default"/>
          <w:color w:val="auto"/>
          <w:lang w:val="en-US" w:eastAsia="zh-CN"/>
        </w:rPr>
        <w:t>+</w:t>
      </w:r>
      <w:r>
        <w:rPr>
          <w:rFonts w:hint="eastAsia"/>
          <w:color w:val="auto"/>
          <w:lang w:val="en-US" w:eastAsia="zh-CN"/>
        </w:rPr>
        <w:t>耐高温环氧酚醛面漆（</w:t>
      </w:r>
      <w:r>
        <w:rPr>
          <w:rFonts w:hint="default"/>
          <w:color w:val="auto"/>
          <w:lang w:val="en-US" w:eastAsia="zh-CN"/>
        </w:rPr>
        <w:t>120~150μm</w:t>
      </w:r>
      <w:r>
        <w:rPr>
          <w:rFonts w:hint="eastAsia"/>
          <w:color w:val="auto"/>
          <w:lang w:val="en-US" w:eastAsia="zh-CN"/>
        </w:rPr>
        <w:t>），总厚度</w:t>
      </w:r>
      <w:r>
        <w:rPr>
          <w:rFonts w:hint="default"/>
          <w:color w:val="auto"/>
          <w:lang w:val="en-US" w:eastAsia="zh-CN"/>
        </w:rPr>
        <w:t>250~300μm</w:t>
      </w:r>
      <w:r>
        <w:rPr>
          <w:rFonts w:hint="eastAsia"/>
          <w:color w:val="auto"/>
          <w:lang w:val="en-US" w:eastAsia="zh-CN"/>
        </w:rPr>
        <w:t>；分离器内壁及内件，陶瓷聚合物涂料（底漆厚度不小于</w:t>
      </w:r>
      <w:r>
        <w:rPr>
          <w:rFonts w:hint="default"/>
          <w:color w:val="auto"/>
          <w:lang w:val="en-US" w:eastAsia="zh-CN"/>
        </w:rPr>
        <w:t>300μm</w:t>
      </w:r>
      <w:r>
        <w:rPr>
          <w:rFonts w:hint="eastAsia"/>
          <w:color w:val="auto"/>
          <w:lang w:val="en-US" w:eastAsia="zh-CN"/>
        </w:rPr>
        <w:t>，面漆厚度不小于</w:t>
      </w:r>
      <w:r>
        <w:rPr>
          <w:rFonts w:hint="default"/>
          <w:color w:val="auto"/>
          <w:lang w:val="en-US" w:eastAsia="zh-CN"/>
        </w:rPr>
        <w:t>300μm</w:t>
      </w:r>
      <w:r>
        <w:rPr>
          <w:rFonts w:hint="eastAsia"/>
          <w:color w:val="auto"/>
          <w:lang w:val="en-US" w:eastAsia="zh-CN"/>
        </w:rPr>
        <w:t>），总干膜厚度不小于</w:t>
      </w:r>
      <w:r>
        <w:rPr>
          <w:rFonts w:hint="default"/>
          <w:color w:val="auto"/>
          <w:lang w:val="en-US" w:eastAsia="zh-CN"/>
        </w:rPr>
        <w:t>600μm</w:t>
      </w:r>
      <w:r>
        <w:rPr>
          <w:rFonts w:hint="eastAsia"/>
          <w:color w:val="auto"/>
          <w:lang w:val="en-US" w:eastAsia="zh-CN"/>
        </w:rPr>
        <w:t>；分离器外部非保温金属附件表面，</w:t>
      </w:r>
      <w:r>
        <w:rPr>
          <w:rFonts w:hint="default"/>
          <w:color w:val="auto"/>
          <w:lang w:val="en-US" w:eastAsia="zh-CN"/>
        </w:rPr>
        <w:t>1</w:t>
      </w:r>
      <w:r>
        <w:rPr>
          <w:rFonts w:hint="eastAsia"/>
          <w:color w:val="auto"/>
          <w:lang w:val="en-US" w:eastAsia="zh-CN"/>
        </w:rPr>
        <w:t>道环氧富锌底漆（</w:t>
      </w:r>
      <w:r>
        <w:rPr>
          <w:rFonts w:hint="default"/>
          <w:color w:val="auto"/>
          <w:lang w:val="en-US" w:eastAsia="zh-CN"/>
        </w:rPr>
        <w:t>60μm</w:t>
      </w:r>
      <w:r>
        <w:rPr>
          <w:rFonts w:hint="eastAsia"/>
          <w:color w:val="auto"/>
          <w:lang w:val="en-US" w:eastAsia="zh-CN"/>
        </w:rPr>
        <w:t>）</w:t>
      </w:r>
      <w:r>
        <w:rPr>
          <w:rFonts w:hint="default"/>
          <w:color w:val="auto"/>
          <w:lang w:val="en-US" w:eastAsia="zh-CN"/>
        </w:rPr>
        <w:t>+1</w:t>
      </w:r>
      <w:r>
        <w:rPr>
          <w:rFonts w:hint="eastAsia"/>
          <w:color w:val="auto"/>
          <w:lang w:val="en-US" w:eastAsia="zh-CN"/>
        </w:rPr>
        <w:t>道环氧云铁中间漆（</w:t>
      </w:r>
      <w:r>
        <w:rPr>
          <w:rFonts w:hint="default"/>
          <w:color w:val="auto"/>
          <w:lang w:val="en-US" w:eastAsia="zh-CN"/>
        </w:rPr>
        <w:t>100μm</w:t>
      </w:r>
      <w:r>
        <w:rPr>
          <w:rFonts w:hint="eastAsia"/>
          <w:color w:val="auto"/>
          <w:lang w:val="en-US" w:eastAsia="zh-CN"/>
        </w:rPr>
        <w:t>）</w:t>
      </w:r>
      <w:r>
        <w:rPr>
          <w:rFonts w:hint="default"/>
          <w:color w:val="auto"/>
          <w:lang w:val="en-US" w:eastAsia="zh-CN"/>
        </w:rPr>
        <w:t>+2</w:t>
      </w:r>
      <w:r>
        <w:rPr>
          <w:rFonts w:hint="eastAsia"/>
          <w:color w:val="auto"/>
          <w:lang w:val="en-US" w:eastAsia="zh-CN"/>
        </w:rPr>
        <w:t>道交联氟碳面漆</w:t>
      </w:r>
      <w:r>
        <w:rPr>
          <w:rFonts w:hint="default"/>
          <w:color w:val="auto"/>
          <w:lang w:val="en-US" w:eastAsia="zh-CN"/>
        </w:rPr>
        <w:t>/</w:t>
      </w:r>
      <w:r>
        <w:rPr>
          <w:rFonts w:hint="eastAsia"/>
          <w:color w:val="auto"/>
          <w:lang w:val="en-US" w:eastAsia="zh-CN"/>
        </w:rPr>
        <w:t>丙烯酸聚氨酯面漆（</w:t>
      </w:r>
      <w:r>
        <w:rPr>
          <w:rFonts w:hint="default"/>
          <w:color w:val="auto"/>
          <w:lang w:val="en-US" w:eastAsia="zh-CN"/>
        </w:rPr>
        <w:t>80μm</w:t>
      </w:r>
      <w:r>
        <w:rPr>
          <w:rFonts w:hint="eastAsia"/>
          <w:color w:val="auto"/>
          <w:lang w:val="en-US" w:eastAsia="zh-CN"/>
        </w:rPr>
        <w:t>），防腐层干膜厚度</w:t>
      </w:r>
      <w:r>
        <w:rPr>
          <w:rFonts w:hint="default"/>
          <w:color w:val="auto"/>
          <w:lang w:val="en-US" w:eastAsia="zh-CN"/>
        </w:rPr>
        <w:t>≥240μm</w:t>
      </w:r>
      <w:r>
        <w:rPr>
          <w:rFonts w:hint="eastAsia"/>
          <w:color w:val="auto"/>
          <w:lang w:val="en-US" w:eastAsia="zh-CN"/>
        </w:rPr>
        <w:t>。</w:t>
      </w:r>
    </w:p>
    <w:p w14:paraId="2BFCAF9E">
      <w:pPr>
        <w:pStyle w:val="79"/>
        <w:bidi w:val="0"/>
        <w:rPr>
          <w:rFonts w:hint="default"/>
          <w:color w:val="auto"/>
          <w:lang w:val="ru-RU"/>
        </w:rPr>
      </w:pPr>
      <w:r>
        <w:rPr>
          <w:rFonts w:hint="default"/>
          <w:color w:val="auto"/>
          <w:lang w:val="ru-RU"/>
        </w:rPr>
        <w:t>保温层：硬质聚氨酯泡沫塑料管壳，DN＜150保温层厚40mm，150≤DN＜400保温层厚50mm。</w:t>
      </w:r>
    </w:p>
    <w:p w14:paraId="75510136">
      <w:pPr>
        <w:pStyle w:val="79"/>
        <w:bidi w:val="0"/>
        <w:rPr>
          <w:rFonts w:hint="default"/>
          <w:color w:val="auto"/>
          <w:lang w:val="ru-RU"/>
        </w:rPr>
      </w:pPr>
      <w:r>
        <w:rPr>
          <w:rFonts w:hint="default"/>
          <w:color w:val="auto"/>
          <w:lang w:val="ru-RU"/>
        </w:rPr>
        <w:t>保护层：聚乙烯胶粘带（搭接宽度50%</w:t>
      </w:r>
      <w:r>
        <w:rPr>
          <w:rFonts w:hint="eastAsia"/>
          <w:color w:val="auto"/>
          <w:lang w:val="ru-RU" w:eastAsia="zh-CN"/>
        </w:rPr>
        <w:t>～</w:t>
      </w:r>
      <w:r>
        <w:rPr>
          <w:rFonts w:hint="default"/>
          <w:color w:val="auto"/>
          <w:lang w:val="ru-RU"/>
        </w:rPr>
        <w:t>55%，单层胶带厚度≥1.0mm，宽度为100mm），顺缠一道（搭接50%</w:t>
      </w:r>
      <w:r>
        <w:rPr>
          <w:rFonts w:hint="eastAsia"/>
          <w:color w:val="auto"/>
          <w:lang w:val="ru-RU" w:eastAsia="zh-CN"/>
        </w:rPr>
        <w:t>～</w:t>
      </w:r>
      <w:r>
        <w:rPr>
          <w:rFonts w:hint="default"/>
          <w:color w:val="auto"/>
          <w:lang w:val="ru-RU"/>
        </w:rPr>
        <w:t>55%）→反缠一道（搭接50%</w:t>
      </w:r>
      <w:r>
        <w:rPr>
          <w:rFonts w:hint="eastAsia"/>
          <w:color w:val="auto"/>
          <w:lang w:val="ru-RU" w:eastAsia="zh-CN"/>
        </w:rPr>
        <w:t>～</w:t>
      </w:r>
      <w:r>
        <w:rPr>
          <w:rFonts w:hint="default"/>
          <w:color w:val="auto"/>
          <w:lang w:val="ru-RU"/>
        </w:rPr>
        <w:t>55%），胶粘带层总厚度不小于4mm。</w:t>
      </w:r>
    </w:p>
    <w:p w14:paraId="312E5BB1">
      <w:pPr>
        <w:pStyle w:val="79"/>
        <w:bidi w:val="0"/>
        <w:rPr>
          <w:color w:val="auto"/>
        </w:rPr>
      </w:pPr>
      <w:bookmarkStart w:id="259" w:name="OLE_LINK178"/>
      <w:r>
        <w:rPr>
          <w:rFonts w:hint="eastAsia"/>
          <w:color w:val="auto"/>
          <w:lang w:val="en-US" w:eastAsia="zh-CN"/>
        </w:rPr>
        <w:t>（6）道路工程</w:t>
      </w:r>
    </w:p>
    <w:p w14:paraId="307F2980">
      <w:pPr>
        <w:pStyle w:val="79"/>
        <w:bidi w:val="0"/>
        <w:rPr>
          <w:rFonts w:hint="eastAsia"/>
          <w:color w:val="auto"/>
          <w:lang w:val="ru-RU" w:eastAsia="zh-CN"/>
        </w:rPr>
      </w:pPr>
      <w:bookmarkStart w:id="260" w:name="OLE_LINK366"/>
      <w:bookmarkStart w:id="261" w:name="OLE_LINK179"/>
      <w:bookmarkStart w:id="262" w:name="OLE_LINK249"/>
      <w:r>
        <w:rPr>
          <w:rFonts w:hint="eastAsia"/>
          <w:color w:val="auto"/>
          <w:lang w:val="en-US" w:eastAsia="zh-CN"/>
        </w:rPr>
        <w:t>本工程位于英买油气田已开发区域附近，油田内部已形成较为完善的路网，且本次涉及的井场工程在钻井时已修建好通井道路。本工程可</w:t>
      </w:r>
      <w:r>
        <w:rPr>
          <w:rFonts w:hint="eastAsia"/>
          <w:color w:val="auto"/>
          <w:lang w:val="ru-RU"/>
        </w:rPr>
        <w:t>充分</w:t>
      </w:r>
      <w:r>
        <w:rPr>
          <w:rFonts w:hint="eastAsia"/>
          <w:color w:val="auto"/>
          <w:lang w:val="en-US" w:eastAsia="zh-CN"/>
        </w:rPr>
        <w:t>利用</w:t>
      </w:r>
      <w:r>
        <w:rPr>
          <w:rFonts w:hint="eastAsia"/>
          <w:color w:val="auto"/>
          <w:lang w:val="ru-RU"/>
        </w:rPr>
        <w:t>现有油田道路，施工车辆利用现有道路，无需新修施工便道、伴行路</w:t>
      </w:r>
      <w:r>
        <w:rPr>
          <w:rFonts w:hint="eastAsia"/>
          <w:color w:val="auto"/>
          <w:lang w:val="en-US" w:eastAsia="zh-CN"/>
        </w:rPr>
        <w:t>等临时工程</w:t>
      </w:r>
      <w:r>
        <w:rPr>
          <w:rFonts w:hint="eastAsia"/>
          <w:color w:val="auto"/>
          <w:lang w:val="ru-RU" w:eastAsia="zh-CN"/>
        </w:rPr>
        <w:t>。</w:t>
      </w:r>
      <w:bookmarkEnd w:id="260"/>
    </w:p>
    <w:bookmarkEnd w:id="259"/>
    <w:bookmarkEnd w:id="261"/>
    <w:bookmarkEnd w:id="262"/>
    <w:p w14:paraId="04F8D3D9">
      <w:pPr>
        <w:pStyle w:val="55"/>
        <w:bidi w:val="0"/>
        <w:rPr>
          <w:rFonts w:hint="default"/>
          <w:color w:val="auto"/>
        </w:rPr>
      </w:pPr>
      <w:r>
        <w:rPr>
          <w:rFonts w:hint="default"/>
          <w:color w:val="auto"/>
        </w:rPr>
        <w:t>3.</w:t>
      </w:r>
      <w:r>
        <w:rPr>
          <w:rFonts w:hint="eastAsia"/>
          <w:color w:val="auto"/>
          <w:lang w:val="en-US" w:eastAsia="zh-CN"/>
        </w:rPr>
        <w:t xml:space="preserve">2.4.3 </w:t>
      </w:r>
      <w:r>
        <w:rPr>
          <w:rFonts w:hint="default"/>
          <w:color w:val="auto"/>
        </w:rPr>
        <w:t>依托工程</w:t>
      </w:r>
    </w:p>
    <w:p w14:paraId="228AA8A6">
      <w:pPr>
        <w:pStyle w:val="79"/>
        <w:bidi w:val="0"/>
        <w:rPr>
          <w:rFonts w:hint="default"/>
          <w:color w:val="auto"/>
          <w:lang w:val="en-US" w:eastAsia="zh-CN"/>
        </w:rPr>
      </w:pPr>
      <w:bookmarkStart w:id="263" w:name="_Toc21260"/>
      <w:r>
        <w:rPr>
          <w:rFonts w:hint="eastAsia"/>
          <w:color w:val="auto"/>
          <w:lang w:val="en-US" w:eastAsia="zh-CN"/>
        </w:rPr>
        <w:t>（1） 西集气干线</w:t>
      </w:r>
    </w:p>
    <w:p w14:paraId="1EB19159">
      <w:pPr>
        <w:pStyle w:val="79"/>
        <w:bidi w:val="0"/>
        <w:rPr>
          <w:rFonts w:hint="default"/>
          <w:color w:val="auto"/>
        </w:rPr>
      </w:pPr>
      <w:r>
        <w:rPr>
          <w:rFonts w:hint="default"/>
          <w:color w:val="auto"/>
        </w:rPr>
        <w:t>1）基本情况</w:t>
      </w:r>
    </w:p>
    <w:p w14:paraId="3E5C783B">
      <w:pPr>
        <w:pStyle w:val="79"/>
        <w:bidi w:val="0"/>
        <w:rPr>
          <w:rFonts w:hint="default"/>
          <w:color w:val="auto"/>
        </w:rPr>
      </w:pPr>
      <w:r>
        <w:rPr>
          <w:rFonts w:hint="default"/>
          <w:color w:val="auto"/>
        </w:rPr>
        <w:t>英买采油气管理区地面系统分为气田和油田两大区域，建有</w:t>
      </w:r>
      <w:r>
        <w:rPr>
          <w:rFonts w:hint="eastAsia"/>
          <w:color w:val="auto"/>
          <w:lang w:val="en-US" w:eastAsia="zh-CN"/>
        </w:rPr>
        <w:t>2</w:t>
      </w:r>
      <w:r>
        <w:rPr>
          <w:rFonts w:hint="default"/>
          <w:color w:val="auto"/>
        </w:rPr>
        <w:t>座油气处理站（</w:t>
      </w:r>
      <w:r>
        <w:rPr>
          <w:rFonts w:hint="eastAsia"/>
          <w:color w:val="auto"/>
          <w:lang w:val="en-US" w:eastAsia="zh-CN"/>
        </w:rPr>
        <w:t>1</w:t>
      </w:r>
      <w:r>
        <w:rPr>
          <w:rFonts w:hint="default"/>
          <w:color w:val="auto"/>
        </w:rPr>
        <w:t>座天然气处理站</w:t>
      </w:r>
      <w:r>
        <w:rPr>
          <w:rFonts w:hint="eastAsia"/>
          <w:color w:val="auto"/>
          <w:lang w:eastAsia="zh-CN"/>
        </w:rPr>
        <w:t>，</w:t>
      </w:r>
      <w:r>
        <w:rPr>
          <w:rFonts w:hint="eastAsia"/>
          <w:color w:val="auto"/>
          <w:lang w:val="en-US" w:eastAsia="zh-CN"/>
        </w:rPr>
        <w:t>1</w:t>
      </w:r>
      <w:r>
        <w:rPr>
          <w:rFonts w:hint="default"/>
          <w:color w:val="auto"/>
        </w:rPr>
        <w:t>座原油处理站），</w:t>
      </w:r>
      <w:r>
        <w:rPr>
          <w:rFonts w:hint="eastAsia"/>
          <w:color w:val="auto"/>
          <w:lang w:val="en-US" w:eastAsia="zh-CN"/>
        </w:rPr>
        <w:t>4</w:t>
      </w:r>
      <w:r>
        <w:rPr>
          <w:rFonts w:hint="default"/>
          <w:color w:val="auto"/>
        </w:rPr>
        <w:t>座转油站</w:t>
      </w:r>
      <w:r>
        <w:rPr>
          <w:rFonts w:hint="eastAsia"/>
          <w:color w:val="auto"/>
          <w:lang w:eastAsia="zh-CN"/>
        </w:rPr>
        <w:t>，</w:t>
      </w:r>
      <w:r>
        <w:rPr>
          <w:rFonts w:hint="eastAsia"/>
          <w:color w:val="auto"/>
          <w:lang w:val="en-US" w:eastAsia="zh-CN"/>
        </w:rPr>
        <w:t>10</w:t>
      </w:r>
      <w:r>
        <w:rPr>
          <w:rFonts w:hint="default"/>
          <w:color w:val="auto"/>
        </w:rPr>
        <w:t>座集气站。英买处理站定位为处理凝析油、气及含水处理功能；英潜联合站定位为处理含水原油处理功能。集输系统采用</w:t>
      </w:r>
      <w:r>
        <w:rPr>
          <w:rFonts w:hint="eastAsia"/>
          <w:color w:val="auto"/>
          <w:lang w:eastAsia="zh-CN"/>
        </w:rPr>
        <w:t>“</w:t>
      </w:r>
      <w:r>
        <w:rPr>
          <w:rFonts w:hint="default"/>
          <w:color w:val="auto"/>
        </w:rPr>
        <w:t>单井—转油站/集气站—处理站</w:t>
      </w:r>
      <w:r>
        <w:rPr>
          <w:rFonts w:hint="eastAsia"/>
          <w:color w:val="auto"/>
          <w:lang w:eastAsia="zh-CN"/>
        </w:rPr>
        <w:t>”</w:t>
      </w:r>
      <w:r>
        <w:rPr>
          <w:rFonts w:hint="default"/>
          <w:color w:val="auto"/>
        </w:rPr>
        <w:t>的布置方式。英买力油气田内部集输共分为西干线和东干线。西干线的核心部分共有</w:t>
      </w:r>
      <w:r>
        <w:rPr>
          <w:rFonts w:hint="eastAsia"/>
          <w:color w:val="auto"/>
          <w:lang w:val="en-US" w:eastAsia="zh-CN"/>
        </w:rPr>
        <w:t>2</w:t>
      </w:r>
      <w:r>
        <w:rPr>
          <w:rFonts w:hint="default"/>
          <w:color w:val="auto"/>
        </w:rPr>
        <w:t>条干线，设计输气量分别为450×10</w:t>
      </w:r>
      <w:r>
        <w:rPr>
          <w:rFonts w:hint="default"/>
          <w:color w:val="auto"/>
          <w:vertAlign w:val="superscript"/>
        </w:rPr>
        <w:t>4</w:t>
      </w:r>
      <w:r>
        <w:rPr>
          <w:rFonts w:hint="default"/>
          <w:color w:val="auto"/>
        </w:rPr>
        <w:t>Nm</w:t>
      </w:r>
      <w:r>
        <w:rPr>
          <w:rFonts w:hint="default"/>
          <w:color w:val="auto"/>
          <w:vertAlign w:val="superscript"/>
        </w:rPr>
        <w:t>3</w:t>
      </w:r>
      <w:r>
        <w:rPr>
          <w:rFonts w:hint="default"/>
          <w:color w:val="auto"/>
        </w:rPr>
        <w:t>/d、150×10</w:t>
      </w:r>
      <w:r>
        <w:rPr>
          <w:rFonts w:hint="default"/>
          <w:color w:val="auto"/>
          <w:vertAlign w:val="superscript"/>
        </w:rPr>
        <w:t>4</w:t>
      </w:r>
      <w:r>
        <w:rPr>
          <w:rFonts w:hint="default"/>
          <w:color w:val="auto"/>
        </w:rPr>
        <w:t>Nm</w:t>
      </w:r>
      <w:r>
        <w:rPr>
          <w:rFonts w:hint="default"/>
          <w:color w:val="auto"/>
          <w:vertAlign w:val="superscript"/>
        </w:rPr>
        <w:t>3</w:t>
      </w:r>
      <w:r>
        <w:rPr>
          <w:rFonts w:hint="default"/>
          <w:color w:val="auto"/>
        </w:rPr>
        <w:t>/d，辖有</w:t>
      </w:r>
      <w:r>
        <w:rPr>
          <w:rFonts w:hint="eastAsia"/>
          <w:color w:val="auto"/>
          <w:lang w:val="en-US" w:eastAsia="zh-CN"/>
        </w:rPr>
        <w:t>6</w:t>
      </w:r>
      <w:r>
        <w:rPr>
          <w:rFonts w:hint="default"/>
          <w:color w:val="auto"/>
        </w:rPr>
        <w:t>个集气站、</w:t>
      </w:r>
      <w:r>
        <w:rPr>
          <w:rFonts w:hint="eastAsia"/>
          <w:color w:val="auto"/>
          <w:lang w:val="en-US" w:eastAsia="zh-CN"/>
        </w:rPr>
        <w:t>1</w:t>
      </w:r>
      <w:r>
        <w:rPr>
          <w:rFonts w:hint="default"/>
          <w:color w:val="auto"/>
        </w:rPr>
        <w:t>个转油站，设计压力16MPa</w:t>
      </w:r>
      <w:r>
        <w:rPr>
          <w:rFonts w:hint="eastAsia"/>
          <w:color w:val="auto"/>
          <w:lang w:eastAsia="zh-CN"/>
        </w:rPr>
        <w:t>，</w:t>
      </w:r>
      <w:r>
        <w:rPr>
          <w:rFonts w:hint="default"/>
          <w:color w:val="auto"/>
        </w:rPr>
        <w:t>目前西干线最高输气量达550×10</w:t>
      </w:r>
      <w:r>
        <w:rPr>
          <w:rFonts w:hint="default"/>
          <w:color w:val="auto"/>
          <w:vertAlign w:val="superscript"/>
        </w:rPr>
        <w:t>4</w:t>
      </w:r>
      <w:r>
        <w:rPr>
          <w:rFonts w:hint="default"/>
          <w:color w:val="auto"/>
        </w:rPr>
        <w:t>m</w:t>
      </w:r>
      <w:r>
        <w:rPr>
          <w:rFonts w:hint="default"/>
          <w:color w:val="auto"/>
          <w:vertAlign w:val="superscript"/>
        </w:rPr>
        <w:t>3</w:t>
      </w:r>
      <w:r>
        <w:rPr>
          <w:rFonts w:hint="default"/>
          <w:color w:val="auto"/>
        </w:rPr>
        <w:t>/d。东干线设计输量为270×10</w:t>
      </w:r>
      <w:r>
        <w:rPr>
          <w:rFonts w:hint="default"/>
          <w:color w:val="auto"/>
          <w:vertAlign w:val="superscript"/>
        </w:rPr>
        <w:t>4</w:t>
      </w:r>
      <w:r>
        <w:rPr>
          <w:rFonts w:hint="default"/>
          <w:color w:val="auto"/>
        </w:rPr>
        <w:t>m</w:t>
      </w:r>
      <w:r>
        <w:rPr>
          <w:rFonts w:hint="default"/>
          <w:color w:val="auto"/>
          <w:vertAlign w:val="superscript"/>
        </w:rPr>
        <w:t>3</w:t>
      </w:r>
      <w:r>
        <w:rPr>
          <w:rFonts w:hint="default"/>
          <w:color w:val="auto"/>
        </w:rPr>
        <w:t>/d，东线辖有</w:t>
      </w:r>
      <w:r>
        <w:rPr>
          <w:rFonts w:hint="eastAsia"/>
          <w:color w:val="auto"/>
          <w:lang w:val="en-US" w:eastAsia="zh-CN"/>
        </w:rPr>
        <w:t>4</w:t>
      </w:r>
      <w:r>
        <w:rPr>
          <w:rFonts w:hint="default"/>
          <w:color w:val="auto"/>
        </w:rPr>
        <w:t>个集气站</w:t>
      </w:r>
      <w:r>
        <w:rPr>
          <w:rFonts w:hint="eastAsia"/>
          <w:color w:val="auto"/>
          <w:lang w:val="en-US" w:eastAsia="zh-CN"/>
        </w:rPr>
        <w:t>、4</w:t>
      </w:r>
      <w:r>
        <w:rPr>
          <w:rFonts w:hint="default"/>
          <w:color w:val="auto"/>
        </w:rPr>
        <w:t>个转油站，产量逐年下降，目前产气量约60×10</w:t>
      </w:r>
      <w:r>
        <w:rPr>
          <w:rFonts w:hint="default"/>
          <w:color w:val="auto"/>
          <w:vertAlign w:val="superscript"/>
        </w:rPr>
        <w:t>4</w:t>
      </w:r>
      <w:r>
        <w:rPr>
          <w:rFonts w:hint="default"/>
          <w:color w:val="auto"/>
        </w:rPr>
        <w:t>m</w:t>
      </w:r>
      <w:r>
        <w:rPr>
          <w:rFonts w:hint="default"/>
          <w:color w:val="auto"/>
          <w:vertAlign w:val="superscript"/>
        </w:rPr>
        <w:t>3</w:t>
      </w:r>
      <w:r>
        <w:rPr>
          <w:rFonts w:hint="default"/>
          <w:color w:val="auto"/>
        </w:rPr>
        <w:t>/d。英买力油气田内部集输西干线和东干线</w:t>
      </w:r>
      <w:r>
        <w:rPr>
          <w:rFonts w:hint="eastAsia"/>
          <w:color w:val="auto"/>
          <w:lang w:val="en-US" w:eastAsia="zh-CN"/>
        </w:rPr>
        <w:t>现状</w:t>
      </w:r>
      <w:r>
        <w:rPr>
          <w:rFonts w:hint="default"/>
          <w:color w:val="auto"/>
        </w:rPr>
        <w:t>图</w:t>
      </w:r>
      <w:r>
        <w:rPr>
          <w:rFonts w:hint="eastAsia"/>
          <w:color w:val="auto"/>
          <w:lang w:val="en-US" w:eastAsia="zh-CN"/>
        </w:rPr>
        <w:t>3.2-5</w:t>
      </w:r>
      <w:r>
        <w:rPr>
          <w:rFonts w:hint="default"/>
          <w:color w:val="auto"/>
        </w:rPr>
        <w:t>。</w:t>
      </w:r>
    </w:p>
    <w:p w14:paraId="14BB668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eastAsia" w:ascii="黑体" w:hAnsi="黑体" w:eastAsia="黑体" w:cs="黑体"/>
          <w:b/>
          <w:bCs/>
          <w:color w:val="auto"/>
          <w:sz w:val="24"/>
          <w:szCs w:val="24"/>
          <w:highlight w:val="none"/>
          <w:lang w:val="en-US" w:eastAsia="zh-CN"/>
        </w:rPr>
      </w:pPr>
    </w:p>
    <w:p w14:paraId="06EBA20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eastAsia" w:ascii="黑体" w:hAnsi="黑体" w:eastAsia="黑体" w:cs="黑体"/>
          <w:b/>
          <w:bCs/>
          <w:color w:val="auto"/>
          <w:sz w:val="24"/>
          <w:szCs w:val="24"/>
          <w:highlight w:val="none"/>
          <w:lang w:val="en-US" w:eastAsia="zh-CN"/>
        </w:rPr>
      </w:pPr>
    </w:p>
    <w:p w14:paraId="679C071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eastAsia" w:ascii="黑体" w:hAnsi="黑体" w:eastAsia="黑体" w:cs="黑体"/>
          <w:b/>
          <w:bCs/>
          <w:color w:val="auto"/>
          <w:sz w:val="24"/>
          <w:szCs w:val="24"/>
          <w:highlight w:val="none"/>
          <w:lang w:val="en-US" w:eastAsia="zh-CN"/>
        </w:rPr>
      </w:pPr>
    </w:p>
    <w:p w14:paraId="1EF0F6A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eastAsia" w:ascii="黑体" w:hAnsi="黑体" w:eastAsia="黑体" w:cs="黑体"/>
          <w:b/>
          <w:bCs/>
          <w:color w:val="auto"/>
          <w:sz w:val="24"/>
          <w:szCs w:val="24"/>
          <w:highlight w:val="none"/>
          <w:lang w:val="en-US" w:eastAsia="zh-CN"/>
        </w:rPr>
      </w:pPr>
    </w:p>
    <w:p w14:paraId="477E624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eastAsia" w:ascii="黑体" w:hAnsi="黑体" w:eastAsia="黑体" w:cs="黑体"/>
          <w:b/>
          <w:bCs/>
          <w:color w:val="auto"/>
          <w:sz w:val="24"/>
          <w:szCs w:val="24"/>
          <w:highlight w:val="none"/>
          <w:lang w:val="en-US" w:eastAsia="zh-CN"/>
        </w:rPr>
      </w:pPr>
    </w:p>
    <w:p w14:paraId="4A06187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eastAsia" w:ascii="黑体" w:hAnsi="黑体" w:eastAsia="黑体" w:cs="黑体"/>
          <w:b/>
          <w:bCs/>
          <w:color w:val="auto"/>
          <w:sz w:val="24"/>
          <w:szCs w:val="24"/>
          <w:highlight w:val="none"/>
          <w:lang w:val="en-US" w:eastAsia="zh-CN"/>
        </w:rPr>
      </w:pPr>
    </w:p>
    <w:p w14:paraId="4AF335F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eastAsia" w:ascii="黑体" w:hAnsi="黑体" w:eastAsia="黑体" w:cs="黑体"/>
          <w:b/>
          <w:bCs/>
          <w:color w:val="auto"/>
          <w:sz w:val="24"/>
          <w:szCs w:val="24"/>
          <w:highlight w:val="none"/>
          <w:lang w:val="en-US" w:eastAsia="zh-CN"/>
        </w:rPr>
      </w:pPr>
    </w:p>
    <w:p w14:paraId="3CF5F95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eastAsia" w:ascii="黑体" w:hAnsi="黑体" w:eastAsia="黑体" w:cs="黑体"/>
          <w:b/>
          <w:bCs/>
          <w:color w:val="auto"/>
          <w:sz w:val="24"/>
          <w:szCs w:val="24"/>
          <w:highlight w:val="none"/>
          <w:lang w:val="en-US" w:eastAsia="zh-CN"/>
        </w:rPr>
      </w:pPr>
    </w:p>
    <w:p w14:paraId="7191A42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eastAsia" w:ascii="黑体" w:hAnsi="黑体" w:eastAsia="黑体" w:cs="黑体"/>
          <w:b/>
          <w:bCs/>
          <w:color w:val="auto"/>
          <w:sz w:val="24"/>
          <w:szCs w:val="24"/>
          <w:highlight w:val="none"/>
          <w:lang w:val="en-US" w:eastAsia="zh-CN"/>
        </w:rPr>
      </w:pPr>
    </w:p>
    <w:p w14:paraId="69BD7F3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eastAsia" w:ascii="黑体" w:hAnsi="黑体" w:eastAsia="黑体" w:cs="黑体"/>
          <w:b/>
          <w:bCs/>
          <w:color w:val="auto"/>
          <w:sz w:val="24"/>
          <w:szCs w:val="24"/>
          <w:highlight w:val="none"/>
          <w:lang w:val="en-US" w:eastAsia="zh-CN"/>
        </w:rPr>
      </w:pPr>
      <w:r>
        <w:rPr>
          <w:rFonts w:hint="eastAsia" w:ascii="黑体" w:hAnsi="黑体" w:eastAsia="黑体" w:cs="黑体"/>
          <w:b/>
          <w:bCs/>
          <w:color w:val="auto"/>
          <w:sz w:val="24"/>
          <w:szCs w:val="24"/>
          <w:highlight w:val="none"/>
          <w:lang w:val="en-US" w:eastAsia="zh-CN"/>
        </w:rPr>
        <w:t>图3.2-5  英买力油气田内部集输西干线和东干线现状图</w:t>
      </w:r>
    </w:p>
    <w:p w14:paraId="3BFD70D2">
      <w:pPr>
        <w:pStyle w:val="79"/>
        <w:bidi w:val="0"/>
        <w:rPr>
          <w:rFonts w:hint="default"/>
          <w:color w:val="auto"/>
        </w:rPr>
      </w:pPr>
      <w:r>
        <w:rPr>
          <w:rFonts w:hint="default"/>
          <w:color w:val="auto"/>
        </w:rPr>
        <w:t>西集气干线环境影响评价包含在《中国石油天然气股份有限公司塔里木油田分公司英买力气田群建设工程环境影响报告书》内，于2007年8月由原环境保护总局予以批复（环审</w:t>
      </w:r>
      <w:r>
        <w:rPr>
          <w:rFonts w:hint="eastAsia"/>
          <w:color w:val="auto"/>
          <w:lang w:eastAsia="zh-CN"/>
        </w:rPr>
        <w:t>〔2007〕336号</w:t>
      </w:r>
      <w:r>
        <w:rPr>
          <w:rFonts w:hint="default"/>
          <w:color w:val="auto"/>
        </w:rPr>
        <w:t>文）。2009年6月，北京中油建设项目劳动安全卫生预评价有限公司编制《英买力气田群开发建设工程竣工环境保护验收调查报告》，2010年1月，</w:t>
      </w:r>
      <w:r>
        <w:rPr>
          <w:rFonts w:hint="eastAsia"/>
          <w:color w:val="auto"/>
          <w:lang w:val="en-US" w:eastAsia="zh-CN"/>
        </w:rPr>
        <w:t>原</w:t>
      </w:r>
      <w:r>
        <w:rPr>
          <w:rFonts w:hint="default"/>
          <w:color w:val="auto"/>
        </w:rPr>
        <w:t>环境保护部以环验</w:t>
      </w:r>
      <w:r>
        <w:rPr>
          <w:rFonts w:hint="eastAsia"/>
          <w:color w:val="auto"/>
          <w:lang w:eastAsia="zh-CN"/>
        </w:rPr>
        <w:t>〔2010〕23号</w:t>
      </w:r>
      <w:r>
        <w:rPr>
          <w:rFonts w:hint="default"/>
          <w:color w:val="auto"/>
        </w:rPr>
        <w:t>文通过验收。</w:t>
      </w:r>
    </w:p>
    <w:p w14:paraId="0CAF9BD5">
      <w:pPr>
        <w:pStyle w:val="79"/>
        <w:bidi w:val="0"/>
        <w:rPr>
          <w:rFonts w:hint="default"/>
          <w:color w:val="auto"/>
          <w:lang w:val="en-US" w:eastAsia="zh-CN"/>
        </w:rPr>
      </w:pPr>
      <w:r>
        <w:rPr>
          <w:rFonts w:hint="default"/>
          <w:color w:val="auto"/>
        </w:rPr>
        <w:t>本工程天然气经西干线进英买处理站，原油罐车拉运至哈六联合站。西集气干线设计压力16MPa，天然气设计输</w:t>
      </w:r>
      <w:r>
        <w:rPr>
          <w:rFonts w:hint="default"/>
          <w:color w:val="auto"/>
          <w:lang w:val="en-US" w:eastAsia="zh-CN"/>
        </w:rPr>
        <w:t>送</w:t>
      </w:r>
      <w:r>
        <w:rPr>
          <w:rFonts w:hint="default"/>
          <w:color w:val="auto"/>
        </w:rPr>
        <w:t>量450×10</w:t>
      </w:r>
      <w:r>
        <w:rPr>
          <w:rFonts w:hint="default"/>
          <w:color w:val="auto"/>
          <w:vertAlign w:val="superscript"/>
        </w:rPr>
        <w:t>4</w:t>
      </w:r>
      <w:r>
        <w:rPr>
          <w:rFonts w:hint="default"/>
          <w:color w:val="auto"/>
        </w:rPr>
        <w:t>m</w:t>
      </w:r>
      <w:r>
        <w:rPr>
          <w:rFonts w:hint="default"/>
          <w:color w:val="auto"/>
          <w:vertAlign w:val="superscript"/>
        </w:rPr>
        <w:t>3</w:t>
      </w:r>
      <w:r>
        <w:rPr>
          <w:rFonts w:hint="default"/>
          <w:color w:val="auto"/>
        </w:rPr>
        <w:t>/d（标态）；西集气干线实际天然气输量为438×10</w:t>
      </w:r>
      <w:r>
        <w:rPr>
          <w:rFonts w:hint="default"/>
          <w:color w:val="auto"/>
          <w:vertAlign w:val="superscript"/>
        </w:rPr>
        <w:t>4</w:t>
      </w:r>
      <w:r>
        <w:rPr>
          <w:rFonts w:hint="default"/>
          <w:color w:val="auto"/>
        </w:rPr>
        <w:t>m</w:t>
      </w:r>
      <w:r>
        <w:rPr>
          <w:rFonts w:hint="default"/>
          <w:color w:val="auto"/>
          <w:vertAlign w:val="superscript"/>
        </w:rPr>
        <w:t>3</w:t>
      </w:r>
      <w:r>
        <w:rPr>
          <w:rFonts w:hint="default"/>
          <w:color w:val="auto"/>
        </w:rPr>
        <w:t>/d</w:t>
      </w:r>
      <w:r>
        <w:rPr>
          <w:rFonts w:hint="eastAsia"/>
          <w:color w:val="auto"/>
          <w:lang w:eastAsia="zh-CN"/>
        </w:rPr>
        <w:t>。</w:t>
      </w:r>
      <w:r>
        <w:rPr>
          <w:rFonts w:hint="default"/>
          <w:color w:val="auto"/>
          <w:lang w:val="en-US" w:eastAsia="zh-CN"/>
        </w:rPr>
        <w:t>玉东</w:t>
      </w:r>
      <w:r>
        <w:rPr>
          <w:rFonts w:hint="eastAsia"/>
          <w:color w:val="auto"/>
          <w:lang w:val="en-US" w:eastAsia="zh-CN"/>
        </w:rPr>
        <w:t>2</w:t>
      </w:r>
      <w:r>
        <w:rPr>
          <w:rFonts w:hint="default"/>
          <w:color w:val="auto"/>
          <w:lang w:val="en-US" w:eastAsia="zh-CN"/>
        </w:rPr>
        <w:t>增压站已建</w:t>
      </w:r>
      <w:r>
        <w:rPr>
          <w:rFonts w:hint="eastAsia"/>
          <w:color w:val="auto"/>
          <w:lang w:val="en-US" w:eastAsia="zh-CN"/>
        </w:rPr>
        <w:t>2</w:t>
      </w:r>
      <w:r>
        <w:rPr>
          <w:rFonts w:hint="default"/>
          <w:color w:val="auto"/>
          <w:lang w:val="en-US" w:eastAsia="zh-CN"/>
        </w:rPr>
        <w:t>台压缩机</w:t>
      </w:r>
      <w:r>
        <w:rPr>
          <w:rFonts w:hint="eastAsia"/>
          <w:color w:val="auto"/>
          <w:lang w:val="en-US" w:eastAsia="zh-CN"/>
        </w:rPr>
        <w:t>，1</w:t>
      </w:r>
      <w:r>
        <w:rPr>
          <w:rFonts w:hint="default"/>
          <w:color w:val="auto"/>
          <w:lang w:val="en-US" w:eastAsia="zh-CN"/>
        </w:rPr>
        <w:t>台处理量10×10</w:t>
      </w:r>
      <w:r>
        <w:rPr>
          <w:rFonts w:hint="default"/>
          <w:color w:val="auto"/>
          <w:vertAlign w:val="superscript"/>
          <w:lang w:val="en-US" w:eastAsia="zh-CN"/>
        </w:rPr>
        <w:t>4</w:t>
      </w:r>
      <w:r>
        <w:rPr>
          <w:rFonts w:hint="default"/>
          <w:color w:val="auto"/>
          <w:lang w:val="en-US" w:eastAsia="zh-CN"/>
        </w:rPr>
        <w:t>m</w:t>
      </w:r>
      <w:r>
        <w:rPr>
          <w:rFonts w:hint="default"/>
          <w:color w:val="auto"/>
          <w:vertAlign w:val="superscript"/>
          <w:lang w:val="en-US" w:eastAsia="zh-CN"/>
        </w:rPr>
        <w:t>3</w:t>
      </w:r>
      <w:r>
        <w:rPr>
          <w:rFonts w:hint="default"/>
          <w:color w:val="auto"/>
          <w:lang w:val="en-US" w:eastAsia="zh-CN"/>
        </w:rPr>
        <w:t>/d，1台处理量5×10</w:t>
      </w:r>
      <w:r>
        <w:rPr>
          <w:rFonts w:hint="default"/>
          <w:color w:val="auto"/>
          <w:vertAlign w:val="superscript"/>
          <w:lang w:val="en-US" w:eastAsia="zh-CN"/>
        </w:rPr>
        <w:t>4</w:t>
      </w:r>
      <w:r>
        <w:rPr>
          <w:rFonts w:hint="default"/>
          <w:color w:val="auto"/>
          <w:lang w:val="en-US" w:eastAsia="zh-CN"/>
        </w:rPr>
        <w:t>m</w:t>
      </w:r>
      <w:r>
        <w:rPr>
          <w:rFonts w:hint="default"/>
          <w:color w:val="auto"/>
          <w:vertAlign w:val="superscript"/>
          <w:lang w:val="en-US" w:eastAsia="zh-CN"/>
        </w:rPr>
        <w:t>3</w:t>
      </w:r>
      <w:r>
        <w:rPr>
          <w:rFonts w:hint="default"/>
          <w:color w:val="auto"/>
          <w:lang w:val="en-US" w:eastAsia="zh-CN"/>
        </w:rPr>
        <w:t>/d，按天然气处理量9.5×10</w:t>
      </w:r>
      <w:r>
        <w:rPr>
          <w:rFonts w:hint="default"/>
          <w:color w:val="auto"/>
          <w:vertAlign w:val="superscript"/>
          <w:lang w:val="en-US" w:eastAsia="zh-CN"/>
        </w:rPr>
        <w:t>4</w:t>
      </w:r>
      <w:r>
        <w:rPr>
          <w:rFonts w:hint="default"/>
          <w:color w:val="auto"/>
          <w:lang w:val="en-US" w:eastAsia="zh-CN"/>
        </w:rPr>
        <w:t>m</w:t>
      </w:r>
      <w:r>
        <w:rPr>
          <w:rFonts w:hint="default"/>
          <w:color w:val="auto"/>
          <w:vertAlign w:val="superscript"/>
          <w:lang w:val="en-US" w:eastAsia="zh-CN"/>
        </w:rPr>
        <w:t>3</w:t>
      </w:r>
      <w:r>
        <w:rPr>
          <w:rFonts w:hint="default"/>
          <w:color w:val="auto"/>
          <w:lang w:val="en-US" w:eastAsia="zh-CN"/>
        </w:rPr>
        <w:t>/d，玉东</w:t>
      </w:r>
      <w:r>
        <w:rPr>
          <w:rFonts w:hint="eastAsia"/>
          <w:color w:val="auto"/>
          <w:lang w:val="en-US" w:eastAsia="zh-CN"/>
        </w:rPr>
        <w:t>2</w:t>
      </w:r>
      <w:r>
        <w:rPr>
          <w:rFonts w:hint="default"/>
          <w:color w:val="auto"/>
          <w:lang w:val="en-US" w:eastAsia="zh-CN"/>
        </w:rPr>
        <w:t>压缩机进气压力3.0MPa、排气压力12.2MPa 对玉东</w:t>
      </w:r>
      <w:r>
        <w:rPr>
          <w:rFonts w:hint="eastAsia"/>
          <w:color w:val="auto"/>
          <w:lang w:val="en-US" w:eastAsia="zh-CN"/>
        </w:rPr>
        <w:t>2</w:t>
      </w:r>
      <w:r>
        <w:rPr>
          <w:rFonts w:hint="default"/>
          <w:color w:val="auto"/>
          <w:lang w:val="en-US" w:eastAsia="zh-CN"/>
        </w:rPr>
        <w:t>压缩机进行核算，核算压缩机功率为280kW，已建的348kW、10万方/天压缩机满足需求。</w:t>
      </w:r>
    </w:p>
    <w:p w14:paraId="2A3CD0D1">
      <w:pPr>
        <w:pStyle w:val="79"/>
        <w:bidi w:val="0"/>
        <w:rPr>
          <w:rFonts w:hint="default"/>
          <w:color w:val="auto"/>
          <w:lang w:eastAsia="zh-CN"/>
        </w:rPr>
      </w:pPr>
      <w:r>
        <w:rPr>
          <w:rFonts w:hint="default"/>
          <w:color w:val="auto"/>
        </w:rPr>
        <w:t>本项目新增天然气</w:t>
      </w:r>
      <w:r>
        <w:rPr>
          <w:rFonts w:hint="eastAsia"/>
          <w:color w:val="auto"/>
          <w:lang w:val="en-US" w:eastAsia="zh-CN"/>
        </w:rPr>
        <w:t>依托已建雄探1井至玉东2增压站管线</w:t>
      </w:r>
      <w:r>
        <w:rPr>
          <w:rFonts w:hint="default"/>
          <w:color w:val="auto"/>
          <w:lang w:val="en-US" w:eastAsia="zh-CN"/>
        </w:rPr>
        <w:t>（长度24km，设计压力6.3MPa，Φ89×6.45）</w:t>
      </w:r>
      <w:r>
        <w:rPr>
          <w:rFonts w:hint="default"/>
          <w:color w:val="auto"/>
        </w:rPr>
        <w:t>进入西集气干线可行</w:t>
      </w:r>
      <w:r>
        <w:rPr>
          <w:rFonts w:hint="default"/>
          <w:color w:val="auto"/>
          <w:lang w:eastAsia="zh-CN"/>
        </w:rPr>
        <w:t>。</w:t>
      </w:r>
    </w:p>
    <w:p w14:paraId="29B83231">
      <w:pPr>
        <w:pStyle w:val="79"/>
        <w:bidi w:val="0"/>
        <w:rPr>
          <w:rFonts w:hint="default"/>
          <w:color w:val="auto"/>
          <w:lang w:val="en-US" w:eastAsia="zh-CN"/>
        </w:rPr>
      </w:pPr>
      <w:r>
        <w:rPr>
          <w:rFonts w:hint="default"/>
          <w:color w:val="auto"/>
          <w:lang w:val="en-US" w:eastAsia="zh-CN"/>
        </w:rPr>
        <w:t>2</w:t>
      </w:r>
      <w:r>
        <w:rPr>
          <w:rFonts w:hint="default"/>
          <w:color w:val="auto"/>
        </w:rPr>
        <w:t>）依托可行性</w:t>
      </w:r>
    </w:p>
    <w:p w14:paraId="5D86BA3B">
      <w:pPr>
        <w:pStyle w:val="79"/>
        <w:bidi w:val="0"/>
        <w:rPr>
          <w:rFonts w:hint="default"/>
          <w:color w:val="auto"/>
          <w:lang w:val="en-US" w:eastAsia="zh-CN"/>
        </w:rPr>
      </w:pPr>
      <w:r>
        <w:rPr>
          <w:rFonts w:hint="default"/>
          <w:color w:val="auto"/>
        </w:rPr>
        <w:t>西集气干线天然气设计输</w:t>
      </w:r>
      <w:r>
        <w:rPr>
          <w:rFonts w:hint="default"/>
          <w:color w:val="auto"/>
          <w:lang w:val="en-US" w:eastAsia="zh-CN"/>
        </w:rPr>
        <w:t>送</w:t>
      </w:r>
      <w:r>
        <w:rPr>
          <w:rFonts w:hint="default"/>
          <w:color w:val="auto"/>
        </w:rPr>
        <w:t>量450×10</w:t>
      </w:r>
      <w:r>
        <w:rPr>
          <w:rFonts w:hint="default"/>
          <w:color w:val="auto"/>
          <w:vertAlign w:val="superscript"/>
        </w:rPr>
        <w:t>4</w:t>
      </w:r>
      <w:r>
        <w:rPr>
          <w:rFonts w:hint="default"/>
          <w:color w:val="auto"/>
        </w:rPr>
        <w:t>m</w:t>
      </w:r>
      <w:r>
        <w:rPr>
          <w:rFonts w:hint="default"/>
          <w:color w:val="auto"/>
          <w:vertAlign w:val="superscript"/>
        </w:rPr>
        <w:t>3</w:t>
      </w:r>
      <w:r>
        <w:rPr>
          <w:rFonts w:hint="default"/>
          <w:color w:val="auto"/>
        </w:rPr>
        <w:t>/d（标态）</w:t>
      </w:r>
      <w:r>
        <w:rPr>
          <w:rFonts w:hint="default"/>
          <w:color w:val="auto"/>
          <w:lang w:eastAsia="zh-CN"/>
        </w:rPr>
        <w:t>，</w:t>
      </w:r>
      <w:r>
        <w:rPr>
          <w:rFonts w:hint="default"/>
          <w:color w:val="auto"/>
        </w:rPr>
        <w:t>实际天然气输量为438×10</w:t>
      </w:r>
      <w:r>
        <w:rPr>
          <w:rFonts w:hint="default"/>
          <w:color w:val="auto"/>
          <w:vertAlign w:val="superscript"/>
        </w:rPr>
        <w:t>4</w:t>
      </w:r>
      <w:r>
        <w:rPr>
          <w:rFonts w:hint="default"/>
          <w:color w:val="auto"/>
        </w:rPr>
        <w:t>m</w:t>
      </w:r>
      <w:r>
        <w:rPr>
          <w:rFonts w:hint="default"/>
          <w:color w:val="auto"/>
          <w:vertAlign w:val="superscript"/>
        </w:rPr>
        <w:t>3</w:t>
      </w:r>
      <w:r>
        <w:rPr>
          <w:rFonts w:hint="default"/>
          <w:color w:val="auto"/>
        </w:rPr>
        <w:t>/d</w:t>
      </w:r>
      <w:r>
        <w:rPr>
          <w:rFonts w:hint="default"/>
          <w:color w:val="auto"/>
          <w:lang w:eastAsia="zh-CN"/>
        </w:rPr>
        <w:t>，</w:t>
      </w:r>
      <w:r>
        <w:rPr>
          <w:rFonts w:hint="default"/>
          <w:color w:val="auto"/>
          <w:lang w:val="en-US" w:eastAsia="zh-CN"/>
        </w:rPr>
        <w:t>剩余输送量为12</w:t>
      </w:r>
      <w:r>
        <w:rPr>
          <w:rFonts w:hint="default"/>
          <w:color w:val="auto"/>
        </w:rPr>
        <w:t>×10</w:t>
      </w:r>
      <w:r>
        <w:rPr>
          <w:rFonts w:hint="default"/>
          <w:color w:val="auto"/>
          <w:vertAlign w:val="superscript"/>
        </w:rPr>
        <w:t>4</w:t>
      </w:r>
      <w:r>
        <w:rPr>
          <w:rFonts w:hint="default"/>
          <w:color w:val="auto"/>
        </w:rPr>
        <w:t>m</w:t>
      </w:r>
      <w:r>
        <w:rPr>
          <w:rFonts w:hint="default"/>
          <w:color w:val="auto"/>
          <w:vertAlign w:val="superscript"/>
        </w:rPr>
        <w:t>3</w:t>
      </w:r>
      <w:r>
        <w:rPr>
          <w:rFonts w:hint="default"/>
          <w:color w:val="auto"/>
        </w:rPr>
        <w:t>/d</w:t>
      </w:r>
      <w:r>
        <w:rPr>
          <w:rFonts w:hint="default"/>
          <w:color w:val="auto"/>
          <w:lang w:eastAsia="zh-CN"/>
        </w:rPr>
        <w:t>，</w:t>
      </w:r>
      <w:r>
        <w:rPr>
          <w:rFonts w:hint="default"/>
          <w:color w:val="auto"/>
          <w:lang w:val="en-US" w:eastAsia="zh-CN"/>
        </w:rPr>
        <w:t>本项目</w:t>
      </w:r>
      <w:r>
        <w:rPr>
          <w:rFonts w:hint="eastAsia"/>
          <w:color w:val="auto"/>
          <w:lang w:val="en-US" w:eastAsia="zh-CN"/>
        </w:rPr>
        <w:t>雄探1试采点设计规模8.5</w:t>
      </w:r>
      <w:r>
        <w:rPr>
          <w:rFonts w:hint="default"/>
          <w:color w:val="auto"/>
        </w:rPr>
        <w:t>×10</w:t>
      </w:r>
      <w:r>
        <w:rPr>
          <w:rFonts w:hint="default"/>
          <w:color w:val="auto"/>
          <w:vertAlign w:val="superscript"/>
        </w:rPr>
        <w:t>4</w:t>
      </w:r>
      <w:r>
        <w:rPr>
          <w:rFonts w:hint="default"/>
          <w:color w:val="auto"/>
        </w:rPr>
        <w:t>m</w:t>
      </w:r>
      <w:r>
        <w:rPr>
          <w:rFonts w:hint="default"/>
          <w:color w:val="auto"/>
          <w:vertAlign w:val="superscript"/>
          <w:lang w:val="en-US" w:eastAsia="zh-CN"/>
        </w:rPr>
        <w:t>3</w:t>
      </w:r>
      <w:r>
        <w:rPr>
          <w:rFonts w:hint="default"/>
          <w:color w:val="auto"/>
        </w:rPr>
        <w:t>/d</w:t>
      </w:r>
      <w:r>
        <w:rPr>
          <w:rFonts w:hint="default"/>
          <w:color w:val="auto"/>
          <w:lang w:eastAsia="zh-CN"/>
        </w:rPr>
        <w:t>，</w:t>
      </w:r>
      <w:r>
        <w:rPr>
          <w:rFonts w:hint="default"/>
          <w:color w:val="auto"/>
          <w:lang w:val="en-US" w:eastAsia="zh-CN"/>
        </w:rPr>
        <w:t>可以满足本项目产能处理需求，依托可行。</w:t>
      </w:r>
    </w:p>
    <w:p w14:paraId="71CFD350">
      <w:pPr>
        <w:pStyle w:val="79"/>
        <w:bidi w:val="0"/>
        <w:rPr>
          <w:rFonts w:hint="default"/>
          <w:color w:val="auto"/>
          <w:lang w:val="en-US" w:eastAsia="zh-CN"/>
        </w:rPr>
      </w:pPr>
      <w:r>
        <w:rPr>
          <w:rFonts w:hint="eastAsia"/>
          <w:color w:val="auto"/>
          <w:lang w:val="en-US" w:eastAsia="zh-CN"/>
        </w:rPr>
        <w:t>（2） 英买处理站</w:t>
      </w:r>
    </w:p>
    <w:bookmarkEnd w:id="263"/>
    <w:p w14:paraId="171218C8">
      <w:pPr>
        <w:pStyle w:val="79"/>
        <w:bidi w:val="0"/>
        <w:rPr>
          <w:color w:val="auto"/>
        </w:rPr>
      </w:pPr>
      <w:bookmarkStart w:id="264" w:name="_Toc9243"/>
      <w:bookmarkStart w:id="265" w:name="_Toc13897"/>
      <w:bookmarkStart w:id="266" w:name="_Toc109382919"/>
      <w:r>
        <w:rPr>
          <w:color w:val="auto"/>
        </w:rPr>
        <w:t>英买处理</w:t>
      </w:r>
      <w:r>
        <w:rPr>
          <w:rFonts w:hint="eastAsia"/>
          <w:color w:val="auto"/>
          <w:lang w:val="en-US" w:eastAsia="zh-CN"/>
        </w:rPr>
        <w:t>站</w:t>
      </w:r>
      <w:r>
        <w:rPr>
          <w:color w:val="auto"/>
        </w:rPr>
        <w:t>位于</w:t>
      </w:r>
      <w:r>
        <w:rPr>
          <w:rFonts w:hint="eastAsia"/>
          <w:color w:val="auto"/>
          <w:lang w:eastAsia="zh-CN"/>
        </w:rPr>
        <w:t>油气田</w:t>
      </w:r>
      <w:r>
        <w:rPr>
          <w:color w:val="auto"/>
        </w:rPr>
        <w:t>以北314国道附近，英买油气处理厂是一座集油、气、水、电</w:t>
      </w:r>
      <w:r>
        <w:rPr>
          <w:rFonts w:hint="eastAsia"/>
          <w:color w:val="auto"/>
          <w:lang w:val="en-US" w:eastAsia="zh-CN"/>
        </w:rPr>
        <w:t>为</w:t>
      </w:r>
      <w:r>
        <w:rPr>
          <w:color w:val="auto"/>
        </w:rPr>
        <w:t>一体的综合处理厂。包括350×10</w:t>
      </w:r>
      <w:r>
        <w:rPr>
          <w:color w:val="auto"/>
          <w:vertAlign w:val="superscript"/>
        </w:rPr>
        <w:t>4</w:t>
      </w:r>
      <w:r>
        <w:rPr>
          <w:rFonts w:hint="eastAsia"/>
          <w:color w:val="auto"/>
        </w:rPr>
        <w:t>m</w:t>
      </w:r>
      <w:r>
        <w:rPr>
          <w:rFonts w:hint="eastAsia"/>
          <w:color w:val="auto"/>
          <w:vertAlign w:val="superscript"/>
          <w:lang w:val="en-US" w:eastAsia="zh-CN"/>
        </w:rPr>
        <w:t>3</w:t>
      </w:r>
      <w:r>
        <w:rPr>
          <w:color w:val="auto"/>
        </w:rPr>
        <w:t>/d天然气处理装置2套；25×10</w:t>
      </w:r>
      <w:r>
        <w:rPr>
          <w:color w:val="auto"/>
          <w:vertAlign w:val="superscript"/>
        </w:rPr>
        <w:t>4</w:t>
      </w:r>
      <w:r>
        <w:rPr>
          <w:color w:val="auto"/>
        </w:rPr>
        <w:t>t/a凝析油稳定装置2套、三个罐区、5个站、2座火炬等共22个单元，以及相应配套的供电系统、自动化系统、仪表风系统、通讯系统、水处理系统、供热及暖通系统、消防系统、总图工程、输水管线、外输电力等，各类建筑面积共10035m</w:t>
      </w:r>
      <w:r>
        <w:rPr>
          <w:color w:val="auto"/>
          <w:vertAlign w:val="superscript"/>
        </w:rPr>
        <w:t>2</w:t>
      </w:r>
      <w:r>
        <w:rPr>
          <w:color w:val="auto"/>
        </w:rPr>
        <w:t>。</w:t>
      </w:r>
    </w:p>
    <w:p w14:paraId="7B3F52F0">
      <w:pPr>
        <w:pStyle w:val="79"/>
        <w:bidi w:val="0"/>
        <w:rPr>
          <w:color w:val="auto"/>
        </w:rPr>
      </w:pPr>
      <w:r>
        <w:rPr>
          <w:color w:val="auto"/>
        </w:rPr>
        <w:t>英买处理</w:t>
      </w:r>
      <w:r>
        <w:rPr>
          <w:rFonts w:hint="eastAsia"/>
          <w:color w:val="auto"/>
          <w:lang w:val="en-US" w:eastAsia="zh-CN"/>
        </w:rPr>
        <w:t>站</w:t>
      </w:r>
      <w:r>
        <w:rPr>
          <w:color w:val="auto"/>
        </w:rPr>
        <w:t>属《中国石油天然气股份有限公司塔里木油田分公司英买力油气田群建设工程环境影响报告书》中的工程内容，工程于2007年8月27日取得原国家环境保护总局批复</w:t>
      </w:r>
      <w:r>
        <w:rPr>
          <w:rFonts w:hint="eastAsia"/>
          <w:color w:val="auto"/>
          <w:lang w:eastAsia="zh-CN"/>
        </w:rPr>
        <w:t>（</w:t>
      </w:r>
      <w:r>
        <w:rPr>
          <w:color w:val="auto"/>
        </w:rPr>
        <w:t>环审</w:t>
      </w:r>
      <w:r>
        <w:rPr>
          <w:rFonts w:hint="eastAsia"/>
          <w:color w:val="auto"/>
          <w:lang w:eastAsia="zh-CN"/>
        </w:rPr>
        <w:t>〔2007〕336号，</w:t>
      </w:r>
      <w:r>
        <w:rPr>
          <w:rFonts w:hint="eastAsia"/>
          <w:color w:val="auto"/>
          <w:lang w:val="en-US" w:eastAsia="zh-CN"/>
        </w:rPr>
        <w:t>附件11）</w:t>
      </w:r>
      <w:r>
        <w:rPr>
          <w:color w:val="auto"/>
        </w:rPr>
        <w:t>，2010年1月21日取得原环境保护部竣工环境保护验收意见</w:t>
      </w:r>
      <w:r>
        <w:rPr>
          <w:rFonts w:hint="eastAsia"/>
          <w:color w:val="auto"/>
          <w:lang w:eastAsia="zh-CN"/>
        </w:rPr>
        <w:t>（</w:t>
      </w:r>
      <w:r>
        <w:rPr>
          <w:color w:val="auto"/>
        </w:rPr>
        <w:t>环验</w:t>
      </w:r>
      <w:r>
        <w:rPr>
          <w:rFonts w:hint="eastAsia"/>
          <w:color w:val="auto"/>
          <w:lang w:eastAsia="zh-CN"/>
        </w:rPr>
        <w:t>〔2010〕23号，</w:t>
      </w:r>
      <w:r>
        <w:rPr>
          <w:rFonts w:hint="eastAsia"/>
          <w:color w:val="auto"/>
          <w:lang w:val="en-US" w:eastAsia="zh-CN"/>
        </w:rPr>
        <w:t>附件12）</w:t>
      </w:r>
      <w:r>
        <w:rPr>
          <w:color w:val="auto"/>
        </w:rPr>
        <w:t>。</w:t>
      </w:r>
    </w:p>
    <w:p w14:paraId="7588BA06">
      <w:pPr>
        <w:pStyle w:val="79"/>
        <w:bidi w:val="0"/>
        <w:rPr>
          <w:color w:val="auto"/>
        </w:rPr>
      </w:pPr>
      <w:r>
        <w:rPr>
          <w:color w:val="auto"/>
        </w:rPr>
        <w:t>1）处理规模</w:t>
      </w:r>
    </w:p>
    <w:p w14:paraId="308E17EC">
      <w:pPr>
        <w:pStyle w:val="79"/>
        <w:bidi w:val="0"/>
        <w:rPr>
          <w:color w:val="auto"/>
        </w:rPr>
      </w:pPr>
      <w:r>
        <w:rPr>
          <w:color w:val="auto"/>
        </w:rPr>
        <w:t>英买处理厂的设计处理规模：原油稳定</w:t>
      </w:r>
      <w:r>
        <w:rPr>
          <w:rFonts w:hint="eastAsia"/>
          <w:color w:val="auto"/>
          <w:lang w:eastAsia="zh-CN"/>
        </w:rPr>
        <w:t>（</w:t>
      </w:r>
      <w:r>
        <w:rPr>
          <w:color w:val="auto"/>
        </w:rPr>
        <w:t>含油、气、水的分离</w:t>
      </w:r>
      <w:r>
        <w:rPr>
          <w:rFonts w:hint="eastAsia"/>
          <w:color w:val="auto"/>
          <w:lang w:eastAsia="zh-CN"/>
        </w:rPr>
        <w:t>）</w:t>
      </w:r>
      <w:r>
        <w:rPr>
          <w:color w:val="auto"/>
        </w:rPr>
        <w:t>为1500t/d，天然气处理能力为700×10</w:t>
      </w:r>
      <w:r>
        <w:rPr>
          <w:color w:val="auto"/>
          <w:vertAlign w:val="superscript"/>
        </w:rPr>
        <w:t>4</w:t>
      </w:r>
      <w:r>
        <w:rPr>
          <w:color w:val="auto"/>
        </w:rPr>
        <w:t>m</w:t>
      </w:r>
      <w:r>
        <w:rPr>
          <w:color w:val="auto"/>
          <w:vertAlign w:val="superscript"/>
        </w:rPr>
        <w:t>3</w:t>
      </w:r>
      <w:r>
        <w:rPr>
          <w:color w:val="auto"/>
        </w:rPr>
        <w:t>/d</w:t>
      </w:r>
      <w:r>
        <w:rPr>
          <w:rFonts w:hint="eastAsia"/>
          <w:color w:val="auto"/>
        </w:rPr>
        <w:t>，采出水处理规模为1</w:t>
      </w:r>
      <w:r>
        <w:rPr>
          <w:color w:val="auto"/>
        </w:rPr>
        <w:t>400m</w:t>
      </w:r>
      <w:r>
        <w:rPr>
          <w:color w:val="auto"/>
          <w:vertAlign w:val="superscript"/>
        </w:rPr>
        <w:t>3</w:t>
      </w:r>
      <w:r>
        <w:rPr>
          <w:color w:val="auto"/>
        </w:rPr>
        <w:t>/d。</w:t>
      </w:r>
    </w:p>
    <w:p w14:paraId="292383F7">
      <w:pPr>
        <w:pStyle w:val="79"/>
        <w:bidi w:val="0"/>
        <w:rPr>
          <w:color w:val="auto"/>
        </w:rPr>
      </w:pPr>
      <w:r>
        <w:rPr>
          <w:color w:val="auto"/>
        </w:rPr>
        <w:t>2）英买处理厂总工艺流程</w:t>
      </w:r>
    </w:p>
    <w:p w14:paraId="2FA6FA4A">
      <w:pPr>
        <w:pStyle w:val="79"/>
        <w:bidi w:val="0"/>
        <w:rPr>
          <w:color w:val="auto"/>
        </w:rPr>
      </w:pPr>
      <w:r>
        <w:rPr>
          <w:rFonts w:hint="eastAsia"/>
          <w:color w:val="auto"/>
        </w:rPr>
        <w:t>进站气液先</w:t>
      </w:r>
      <w:r>
        <w:rPr>
          <w:color w:val="auto"/>
        </w:rPr>
        <w:t>进行两相分离，分离出来的凝析油进入凝析油稳定装置，凝析油经多级闪蒸、脱水、脱盐和低压提馏进行稳定。稳定后凝析油去外输油首站。天然气和凝析油稳定的脱出气平均分成两路进入天然气处理装置，经脱水、回收轻烃、轻烃脱乙烷后，生产的干气经外输气压缩机增压后进入集气干线，输至轮南末站，脱乙烷轻烃经与脱丁烷塔底稳定轻烃换热后进入脱丁烷塔，生产液化气和稳定轻烃；装置生产的液化气进入液化气罐区经泵加压后管输至牙哈铁路装车站；装置生产的稳定轻烃经冷却后自压进入凝析油罐区，与凝析油经外输油首站管输至牙哈铁路装车站。段塞流捕集器分离出来的油气田采出水去污水处理站处理。</w:t>
      </w:r>
    </w:p>
    <w:p w14:paraId="31CE466F">
      <w:pPr>
        <w:pStyle w:val="79"/>
        <w:bidi w:val="0"/>
        <w:rPr>
          <w:color w:val="auto"/>
        </w:rPr>
      </w:pPr>
      <w:r>
        <w:rPr>
          <w:color w:val="auto"/>
        </w:rPr>
        <w:t>3）天然气处理装置工艺</w:t>
      </w:r>
    </w:p>
    <w:p w14:paraId="49A24A2B">
      <w:pPr>
        <w:pStyle w:val="79"/>
        <w:bidi w:val="0"/>
        <w:rPr>
          <w:color w:val="auto"/>
        </w:rPr>
      </w:pPr>
      <w:r>
        <w:rPr>
          <w:rFonts w:hint="eastAsia"/>
          <w:color w:val="auto"/>
        </w:rPr>
        <w:t>①</w:t>
      </w:r>
      <w:r>
        <w:rPr>
          <w:color w:val="auto"/>
        </w:rPr>
        <w:t>原料气脱水部分</w:t>
      </w:r>
    </w:p>
    <w:p w14:paraId="4852C33A">
      <w:pPr>
        <w:pStyle w:val="79"/>
        <w:bidi w:val="0"/>
        <w:rPr>
          <w:color w:val="auto"/>
        </w:rPr>
      </w:pPr>
      <w:r>
        <w:rPr>
          <w:color w:val="auto"/>
        </w:rPr>
        <w:t>采用分子筛吸附脱除原料气中的水分，吸附塔内装填4A分子筛，使原料气含水降到1ppm以下。</w:t>
      </w:r>
    </w:p>
    <w:p w14:paraId="10147C83">
      <w:pPr>
        <w:pStyle w:val="79"/>
        <w:bidi w:val="0"/>
        <w:rPr>
          <w:color w:val="auto"/>
        </w:rPr>
      </w:pPr>
      <w:r>
        <w:rPr>
          <w:color w:val="auto"/>
        </w:rPr>
        <w:t>天然气和凝析油稳定后的闪蒸气在11.7MPa、25℃以上进装置，首先进入原料气预冷器，与脱甲烷塔顶和脱乙烷塔顶的低温稳定气换热，使原料气温度稳定在25℃，然后进入原料气分离器，再经调压后进入过滤分离器，除去其中少量的铁锈、灰尘、油滴及游离水，然后进分子筛脱水器脱水。采用两塔流程，一塔吸附，一塔再生，吸附周期为8h。脱水后原料气经过滤器脱除夹带的粉尘后去轻烃回收部分。再生气和冷却气取自外输气压缩机出口的干气。再生操作时，这部分干气直接进再生气加热器，被导热油加热至300℃以上，去分子筛脱除干燥剂吸附的水分，然后经再生气冷器冷却至50℃，进再生气分水罐分离出游离水。冷却操作时，干气直接进再生后的分子筛脱水器进行冷却。再生气和冷却气返回外输气压缩机进口。</w:t>
      </w:r>
    </w:p>
    <w:p w14:paraId="1F937EF2">
      <w:pPr>
        <w:pStyle w:val="79"/>
        <w:bidi w:val="0"/>
        <w:rPr>
          <w:color w:val="auto"/>
        </w:rPr>
      </w:pPr>
      <w:r>
        <w:rPr>
          <w:rFonts w:hint="eastAsia"/>
          <w:color w:val="auto"/>
        </w:rPr>
        <w:t>②</w:t>
      </w:r>
      <w:r>
        <w:rPr>
          <w:color w:val="auto"/>
        </w:rPr>
        <w:t>轻烃回收部分</w:t>
      </w:r>
    </w:p>
    <w:p w14:paraId="13AD4EB9">
      <w:pPr>
        <w:pStyle w:val="79"/>
        <w:bidi w:val="0"/>
        <w:rPr>
          <w:rFonts w:hint="eastAsia"/>
          <w:color w:val="auto"/>
          <w:lang w:val="en-US" w:eastAsia="zh-CN"/>
        </w:rPr>
      </w:pPr>
      <w:r>
        <w:rPr>
          <w:color w:val="auto"/>
        </w:rPr>
        <w:t>原料气11.0MPa、25℃经分子筛脱水后，分成两路，主路原料气首先进入主换热器，与二级低温分离器分离出来的气相换热后与次路原料气经换热器与脱乙烷塔顶气换热的次路原料气汇合，温度为-27.7℃，进入一级低温分离器。分离出来的液相经节流后进入脱乙烷塔，分离出来的气相经J-T阀膨胀至6.0MPa、-50.5℃，进入二级低温分离器进行分离。二级分离器分离出来的气相进入主换热器与主路原料气换热后温度为20℃，与增压后脱乙烷塔顶气汇合，经外输气压缩机增压至9.6MPa，作为干气产品出装置。二级低温分离器分离出来的液相进入脱乙烷塔顶作为脱乙烷塔回流，脱乙烷塔为提馏塔，塔顶压力为2.8MPa。脱乙烷塔顶气相与次路原料气换热后温度为20℃，分成两路，一路作为厂内燃料气，另一路去脱乙烷塔顶气压缩机增压至6.0MPa去外输气压缩机。脱除乙烷后的液体与脱丁烷塔底稳定轻烃换热后进入脱丁烷塔，脱丁烷塔塔顶压力为1.4MPa，生产液化气和稳定轻烃。脱乙烷塔和脱丁烷塔底重沸器热源为导热油，脱丁烷塔顶冷凝器采用空冷器。</w:t>
      </w:r>
      <w:r>
        <w:rPr>
          <w:rFonts w:hint="eastAsia"/>
          <w:color w:val="auto"/>
          <w:lang w:val="en-US" w:eastAsia="zh-CN"/>
        </w:rPr>
        <w:t xml:space="preserve"> </w:t>
      </w:r>
    </w:p>
    <w:p w14:paraId="4F336505">
      <w:pPr>
        <w:pStyle w:val="79"/>
        <w:bidi w:val="0"/>
        <w:rPr>
          <w:color w:val="auto"/>
        </w:rPr>
      </w:pPr>
      <w:r>
        <w:rPr>
          <w:color w:val="auto"/>
        </w:rPr>
        <w:t>4）英买处理厂依托可行性分析</w:t>
      </w:r>
    </w:p>
    <w:p w14:paraId="7A2CFBEE">
      <w:pPr>
        <w:pStyle w:val="79"/>
        <w:bidi w:val="0"/>
        <w:rPr>
          <w:color w:val="auto"/>
        </w:rPr>
      </w:pPr>
      <w:r>
        <w:rPr>
          <w:color w:val="auto"/>
        </w:rPr>
        <w:t>英买处理厂实际天然气处理量</w:t>
      </w:r>
      <w:r>
        <w:rPr>
          <w:rFonts w:hint="eastAsia"/>
          <w:color w:val="auto"/>
          <w:lang w:val="en-US" w:eastAsia="zh-CN"/>
        </w:rPr>
        <w:t>600</w:t>
      </w:r>
      <w:r>
        <w:rPr>
          <w:color w:val="auto"/>
        </w:rPr>
        <w:t>×10</w:t>
      </w:r>
      <w:r>
        <w:rPr>
          <w:color w:val="auto"/>
          <w:vertAlign w:val="superscript"/>
        </w:rPr>
        <w:t>4</w:t>
      </w:r>
      <w:r>
        <w:rPr>
          <w:color w:val="auto"/>
        </w:rPr>
        <w:t>m</w:t>
      </w:r>
      <w:r>
        <w:rPr>
          <w:color w:val="auto"/>
          <w:vertAlign w:val="superscript"/>
        </w:rPr>
        <w:t>3</w:t>
      </w:r>
      <w:r>
        <w:rPr>
          <w:color w:val="auto"/>
        </w:rPr>
        <w:t>/d</w:t>
      </w:r>
      <w:r>
        <w:rPr>
          <w:rFonts w:hint="eastAsia"/>
          <w:color w:val="auto"/>
          <w:lang w:eastAsia="zh-CN"/>
        </w:rPr>
        <w:t>，</w:t>
      </w:r>
      <w:r>
        <w:rPr>
          <w:color w:val="auto"/>
        </w:rPr>
        <w:t>现英买处理厂天然气处理能力富余</w:t>
      </w:r>
      <w:r>
        <w:rPr>
          <w:rFonts w:hint="eastAsia"/>
          <w:color w:val="auto"/>
          <w:lang w:val="en-US" w:eastAsia="zh-CN"/>
        </w:rPr>
        <w:t>100</w:t>
      </w:r>
      <w:r>
        <w:rPr>
          <w:color w:val="auto"/>
        </w:rPr>
        <w:t>×10</w:t>
      </w:r>
      <w:r>
        <w:rPr>
          <w:color w:val="auto"/>
          <w:vertAlign w:val="superscript"/>
        </w:rPr>
        <w:t>4</w:t>
      </w:r>
      <w:r>
        <w:rPr>
          <w:color w:val="auto"/>
        </w:rPr>
        <w:t>m</w:t>
      </w:r>
      <w:r>
        <w:rPr>
          <w:color w:val="auto"/>
          <w:vertAlign w:val="superscript"/>
        </w:rPr>
        <w:t>3</w:t>
      </w:r>
      <w:r>
        <w:rPr>
          <w:color w:val="auto"/>
        </w:rPr>
        <w:t>/d。</w:t>
      </w:r>
    </w:p>
    <w:p w14:paraId="64083E16">
      <w:pPr>
        <w:pStyle w:val="61"/>
        <w:bidi w:val="0"/>
        <w:jc w:val="both"/>
        <w:rPr>
          <w:rFonts w:hint="default"/>
          <w:color w:val="auto"/>
          <w:lang w:val="zh-CN" w:eastAsia="zh-CN"/>
        </w:rPr>
      </w:pPr>
      <w:r>
        <w:rPr>
          <w:rFonts w:hint="default"/>
          <w:color w:val="auto"/>
          <w:lang w:val="en-US" w:eastAsia="zh-CN"/>
        </w:rPr>
        <w:t>表</w:t>
      </w:r>
      <w:r>
        <w:rPr>
          <w:rFonts w:hint="eastAsia"/>
          <w:color w:val="auto"/>
          <w:lang w:val="en-US" w:eastAsia="zh-CN"/>
        </w:rPr>
        <w:t xml:space="preserve">3.2-14  </w:t>
      </w:r>
      <w:r>
        <w:rPr>
          <w:rFonts w:hint="default"/>
          <w:color w:val="auto"/>
          <w:lang w:val="zh-CN" w:eastAsia="zh-CN"/>
        </w:rPr>
        <w:t>英买处理厂</w:t>
      </w:r>
      <w:r>
        <w:rPr>
          <w:rFonts w:hint="default"/>
          <w:color w:val="auto"/>
          <w:lang w:val="en-US" w:eastAsia="zh-CN"/>
        </w:rPr>
        <w:t>处理能力一览</w:t>
      </w:r>
      <w:r>
        <w:rPr>
          <w:rFonts w:hint="default"/>
          <w:color w:val="auto"/>
          <w:lang w:val="zh-CN" w:eastAsia="zh-CN"/>
        </w:rPr>
        <w:t>表</w:t>
      </w:r>
    </w:p>
    <w:tbl>
      <w:tblPr>
        <w:tblStyle w:val="36"/>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681"/>
        <w:gridCol w:w="1140"/>
        <w:gridCol w:w="1403"/>
        <w:gridCol w:w="1162"/>
        <w:gridCol w:w="1881"/>
        <w:gridCol w:w="1404"/>
      </w:tblGrid>
      <w:tr w14:paraId="705A56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4" w:hRule="atLeast"/>
          <w:jc w:val="center"/>
        </w:trPr>
        <w:tc>
          <w:tcPr>
            <w:tcW w:w="969" w:type="pct"/>
            <w:tcBorders>
              <w:tl2br w:val="nil"/>
              <w:tr2bl w:val="nil"/>
            </w:tcBorders>
            <w:noWrap w:val="0"/>
            <w:vAlign w:val="center"/>
          </w:tcPr>
          <w:p w14:paraId="4C4856FB">
            <w:pPr>
              <w:adjustRightInd w:val="0"/>
              <w:spacing w:line="0" w:lineRule="atLeast"/>
              <w:jc w:val="center"/>
              <w:rPr>
                <w:rFonts w:ascii="Times New Roman" w:hAnsi="Times New Roman" w:cs="Times New Roman"/>
                <w:color w:val="auto"/>
                <w:sz w:val="21"/>
                <w:szCs w:val="21"/>
              </w:rPr>
            </w:pPr>
            <w:r>
              <w:rPr>
                <w:rFonts w:ascii="Times New Roman" w:hAnsi="Times New Roman" w:cs="Times New Roman"/>
                <w:color w:val="auto"/>
                <w:sz w:val="21"/>
                <w:szCs w:val="21"/>
              </w:rPr>
              <w:t>英买处理厂</w:t>
            </w:r>
          </w:p>
        </w:tc>
        <w:tc>
          <w:tcPr>
            <w:tcW w:w="657" w:type="pct"/>
            <w:tcBorders>
              <w:tl2br w:val="nil"/>
              <w:tr2bl w:val="nil"/>
            </w:tcBorders>
            <w:noWrap w:val="0"/>
            <w:vAlign w:val="center"/>
          </w:tcPr>
          <w:p w14:paraId="31D1D35A">
            <w:pPr>
              <w:adjustRightInd w:val="0"/>
              <w:spacing w:line="0" w:lineRule="atLeast"/>
              <w:jc w:val="center"/>
              <w:rPr>
                <w:rFonts w:ascii="Times New Roman" w:hAnsi="Times New Roman" w:cs="Times New Roman"/>
                <w:color w:val="auto"/>
                <w:sz w:val="21"/>
                <w:szCs w:val="21"/>
              </w:rPr>
            </w:pPr>
            <w:r>
              <w:rPr>
                <w:rFonts w:ascii="Times New Roman" w:hAnsi="Times New Roman" w:cs="Times New Roman"/>
                <w:color w:val="auto"/>
                <w:sz w:val="21"/>
                <w:szCs w:val="21"/>
              </w:rPr>
              <w:t>设计规模</w:t>
            </w:r>
          </w:p>
        </w:tc>
        <w:tc>
          <w:tcPr>
            <w:tcW w:w="809" w:type="pct"/>
            <w:tcBorders>
              <w:tl2br w:val="nil"/>
              <w:tr2bl w:val="nil"/>
            </w:tcBorders>
            <w:noWrap w:val="0"/>
            <w:vAlign w:val="center"/>
          </w:tcPr>
          <w:p w14:paraId="23C3BE73">
            <w:pPr>
              <w:adjustRightInd w:val="0"/>
              <w:spacing w:line="0" w:lineRule="atLeast"/>
              <w:jc w:val="center"/>
              <w:rPr>
                <w:rFonts w:ascii="Times New Roman" w:hAnsi="Times New Roman" w:cs="Times New Roman"/>
                <w:color w:val="auto"/>
                <w:sz w:val="21"/>
                <w:szCs w:val="21"/>
              </w:rPr>
            </w:pPr>
            <w:r>
              <w:rPr>
                <w:rFonts w:ascii="Times New Roman" w:hAnsi="Times New Roman" w:cs="Times New Roman"/>
                <w:color w:val="auto"/>
                <w:sz w:val="21"/>
                <w:szCs w:val="21"/>
              </w:rPr>
              <w:t>实际处理量</w:t>
            </w:r>
          </w:p>
        </w:tc>
        <w:tc>
          <w:tcPr>
            <w:tcW w:w="670" w:type="pct"/>
            <w:tcBorders>
              <w:tl2br w:val="nil"/>
              <w:tr2bl w:val="nil"/>
            </w:tcBorders>
            <w:noWrap w:val="0"/>
            <w:vAlign w:val="center"/>
          </w:tcPr>
          <w:p w14:paraId="4C430D07">
            <w:pPr>
              <w:adjustRightInd w:val="0"/>
              <w:spacing w:line="0" w:lineRule="atLeast"/>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富余能力</w:t>
            </w:r>
          </w:p>
        </w:tc>
        <w:tc>
          <w:tcPr>
            <w:tcW w:w="1084" w:type="pct"/>
            <w:tcBorders>
              <w:tl2br w:val="nil"/>
              <w:tr2bl w:val="nil"/>
            </w:tcBorders>
            <w:noWrap w:val="0"/>
            <w:vAlign w:val="center"/>
          </w:tcPr>
          <w:p w14:paraId="6AF348DF">
            <w:pPr>
              <w:adjustRightInd w:val="0"/>
              <w:spacing w:line="0" w:lineRule="atLeast"/>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本项目新增处理量</w:t>
            </w:r>
          </w:p>
        </w:tc>
        <w:tc>
          <w:tcPr>
            <w:tcW w:w="809" w:type="pct"/>
            <w:tcBorders>
              <w:tl2br w:val="nil"/>
              <w:tr2bl w:val="nil"/>
            </w:tcBorders>
            <w:noWrap w:val="0"/>
            <w:vAlign w:val="center"/>
          </w:tcPr>
          <w:p w14:paraId="50E45776">
            <w:pPr>
              <w:adjustRightInd w:val="0"/>
              <w:spacing w:line="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依托可行性</w:t>
            </w:r>
          </w:p>
        </w:tc>
      </w:tr>
      <w:tr w14:paraId="0E6A1B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969" w:type="pct"/>
            <w:tcBorders>
              <w:tl2br w:val="nil"/>
              <w:tr2bl w:val="nil"/>
            </w:tcBorders>
            <w:noWrap w:val="0"/>
            <w:vAlign w:val="center"/>
          </w:tcPr>
          <w:p w14:paraId="15F47B36">
            <w:pPr>
              <w:adjustRightInd w:val="0"/>
              <w:spacing w:line="0" w:lineRule="atLeast"/>
              <w:jc w:val="center"/>
              <w:rPr>
                <w:rFonts w:ascii="Times New Roman" w:hAnsi="Times New Roman" w:cs="Times New Roman"/>
                <w:color w:val="auto"/>
                <w:sz w:val="21"/>
                <w:szCs w:val="21"/>
              </w:rPr>
            </w:pPr>
            <w:r>
              <w:rPr>
                <w:rFonts w:ascii="Times New Roman" w:hAnsi="Times New Roman" w:cs="Times New Roman"/>
                <w:color w:val="auto"/>
                <w:sz w:val="21"/>
                <w:szCs w:val="21"/>
              </w:rPr>
              <w:t>天然气10</w:t>
            </w:r>
            <w:r>
              <w:rPr>
                <w:rFonts w:ascii="Times New Roman" w:hAnsi="Times New Roman" w:cs="Times New Roman"/>
                <w:color w:val="auto"/>
                <w:sz w:val="21"/>
                <w:szCs w:val="21"/>
                <w:vertAlign w:val="superscript"/>
              </w:rPr>
              <w:t>4</w:t>
            </w:r>
            <w:r>
              <w:rPr>
                <w:rFonts w:ascii="Times New Roman" w:hAnsi="Times New Roman" w:cs="Times New Roman"/>
                <w:color w:val="auto"/>
                <w:sz w:val="21"/>
                <w:szCs w:val="21"/>
              </w:rPr>
              <w:t>m</w:t>
            </w:r>
            <w:r>
              <w:rPr>
                <w:rFonts w:ascii="Times New Roman" w:hAnsi="Times New Roman" w:cs="Times New Roman"/>
                <w:color w:val="auto"/>
                <w:sz w:val="21"/>
                <w:szCs w:val="21"/>
                <w:vertAlign w:val="superscript"/>
              </w:rPr>
              <w:t>3</w:t>
            </w:r>
            <w:r>
              <w:rPr>
                <w:rFonts w:ascii="Times New Roman" w:hAnsi="Times New Roman" w:cs="Times New Roman"/>
                <w:color w:val="auto"/>
                <w:sz w:val="21"/>
                <w:szCs w:val="21"/>
              </w:rPr>
              <w:t>/d</w:t>
            </w:r>
          </w:p>
        </w:tc>
        <w:tc>
          <w:tcPr>
            <w:tcW w:w="657" w:type="pct"/>
            <w:tcBorders>
              <w:tl2br w:val="nil"/>
              <w:tr2bl w:val="nil"/>
            </w:tcBorders>
            <w:noWrap w:val="0"/>
            <w:vAlign w:val="center"/>
          </w:tcPr>
          <w:p w14:paraId="75228518">
            <w:pPr>
              <w:adjustRightInd w:val="0"/>
              <w:spacing w:line="0" w:lineRule="atLeast"/>
              <w:jc w:val="center"/>
              <w:rPr>
                <w:rFonts w:ascii="Times New Roman" w:hAnsi="Times New Roman" w:cs="Times New Roman"/>
                <w:color w:val="auto"/>
                <w:sz w:val="21"/>
                <w:szCs w:val="21"/>
              </w:rPr>
            </w:pPr>
            <w:r>
              <w:rPr>
                <w:rFonts w:ascii="Times New Roman" w:hAnsi="Times New Roman" w:cs="Times New Roman"/>
                <w:color w:val="auto"/>
                <w:sz w:val="21"/>
                <w:szCs w:val="21"/>
              </w:rPr>
              <w:t>700</w:t>
            </w:r>
          </w:p>
        </w:tc>
        <w:tc>
          <w:tcPr>
            <w:tcW w:w="809" w:type="pct"/>
            <w:tcBorders>
              <w:tl2br w:val="nil"/>
              <w:tr2bl w:val="nil"/>
            </w:tcBorders>
            <w:noWrap w:val="0"/>
            <w:vAlign w:val="center"/>
          </w:tcPr>
          <w:p w14:paraId="7392BFC0">
            <w:pPr>
              <w:adjustRightInd w:val="0"/>
              <w:spacing w:line="0" w:lineRule="atLeast"/>
              <w:jc w:val="center"/>
              <w:rPr>
                <w:rFonts w:hint="default" w:ascii="Times New Roman" w:hAnsi="Times New Roman" w:eastAsia="宋体" w:cs="Times New Roman"/>
                <w:color w:val="auto"/>
                <w:sz w:val="21"/>
                <w:szCs w:val="21"/>
                <w:lang w:val="en-US" w:eastAsia="zh-CN"/>
              </w:rPr>
            </w:pPr>
            <w:r>
              <w:rPr>
                <w:rFonts w:hint="eastAsia" w:cs="Times New Roman"/>
                <w:snapToGrid w:val="0"/>
                <w:color w:val="auto"/>
                <w:sz w:val="21"/>
                <w:szCs w:val="21"/>
                <w:lang w:val="en-US" w:eastAsia="zh-CN"/>
              </w:rPr>
              <w:t>600</w:t>
            </w:r>
          </w:p>
        </w:tc>
        <w:tc>
          <w:tcPr>
            <w:tcW w:w="670" w:type="pct"/>
            <w:tcBorders>
              <w:tl2br w:val="nil"/>
              <w:tr2bl w:val="nil"/>
            </w:tcBorders>
            <w:noWrap w:val="0"/>
            <w:vAlign w:val="center"/>
          </w:tcPr>
          <w:p w14:paraId="2F9430DB">
            <w:pPr>
              <w:adjustRightInd w:val="0"/>
              <w:spacing w:line="0" w:lineRule="atLeas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100</w:t>
            </w:r>
          </w:p>
        </w:tc>
        <w:tc>
          <w:tcPr>
            <w:tcW w:w="1084" w:type="pct"/>
            <w:tcBorders>
              <w:tl2br w:val="nil"/>
              <w:tr2bl w:val="nil"/>
            </w:tcBorders>
            <w:noWrap w:val="0"/>
            <w:vAlign w:val="center"/>
          </w:tcPr>
          <w:p w14:paraId="13E80A46">
            <w:pPr>
              <w:adjustRightIn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809" w:type="pct"/>
            <w:tcBorders>
              <w:tl2br w:val="nil"/>
              <w:tr2bl w:val="nil"/>
            </w:tcBorders>
            <w:noWrap w:val="0"/>
            <w:vAlign w:val="center"/>
          </w:tcPr>
          <w:p w14:paraId="15A8D83F">
            <w:pPr>
              <w:adjustRightInd w:val="0"/>
              <w:spacing w:line="0" w:lineRule="atLeas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依托可行</w:t>
            </w:r>
          </w:p>
        </w:tc>
      </w:tr>
    </w:tbl>
    <w:p w14:paraId="57A4BDC4">
      <w:pPr>
        <w:pStyle w:val="79"/>
        <w:bidi w:val="0"/>
        <w:rPr>
          <w:color w:val="auto"/>
        </w:rPr>
      </w:pPr>
      <w:r>
        <w:rPr>
          <w:color w:val="auto"/>
        </w:rPr>
        <w:t>由上表可知，因此</w:t>
      </w:r>
      <w:r>
        <w:rPr>
          <w:color w:val="auto"/>
          <w:lang w:val="zh-CN"/>
        </w:rPr>
        <w:t>英买处理厂</w:t>
      </w:r>
      <w:r>
        <w:rPr>
          <w:color w:val="auto"/>
        </w:rPr>
        <w:t>处理能力可满足本项目生产需求。</w:t>
      </w:r>
    </w:p>
    <w:p w14:paraId="611AC3D8">
      <w:pPr>
        <w:pStyle w:val="79"/>
        <w:bidi w:val="0"/>
        <w:rPr>
          <w:rFonts w:hint="eastAsia"/>
          <w:color w:val="auto"/>
          <w:lang w:val="en-US" w:eastAsia="zh-CN"/>
        </w:rPr>
      </w:pPr>
      <w:r>
        <w:rPr>
          <w:rFonts w:hint="eastAsia"/>
          <w:color w:val="auto"/>
          <w:lang w:val="en-US" w:eastAsia="zh-CN"/>
        </w:rPr>
        <w:t>（3） 哈六联合站</w:t>
      </w:r>
    </w:p>
    <w:p w14:paraId="3448D7DC">
      <w:pPr>
        <w:pStyle w:val="79"/>
        <w:bidi w:val="0"/>
        <w:rPr>
          <w:rFonts w:hint="default"/>
          <w:color w:val="auto"/>
          <w:lang w:val="en-US" w:eastAsia="zh-CN"/>
        </w:rPr>
      </w:pPr>
      <w:bookmarkStart w:id="267" w:name="_Hlk76761104"/>
      <w:bookmarkStart w:id="268" w:name="_Hlk82082883"/>
      <w:r>
        <w:rPr>
          <w:rFonts w:hint="eastAsia"/>
          <w:color w:val="auto"/>
          <w:lang w:val="en-US" w:eastAsia="zh-CN"/>
        </w:rPr>
        <w:t>1</w:t>
      </w:r>
      <w:r>
        <w:rPr>
          <w:rFonts w:hint="eastAsia"/>
          <w:color w:val="auto"/>
          <w:lang w:eastAsia="zh-CN"/>
        </w:rPr>
        <w:t>）</w:t>
      </w:r>
      <w:r>
        <w:rPr>
          <w:rFonts w:hint="eastAsia"/>
          <w:color w:val="auto"/>
          <w:lang w:val="en-US" w:eastAsia="zh-CN"/>
        </w:rPr>
        <w:t>基本情况</w:t>
      </w:r>
    </w:p>
    <w:p w14:paraId="35FC162B">
      <w:pPr>
        <w:pStyle w:val="79"/>
        <w:bidi w:val="0"/>
        <w:rPr>
          <w:rFonts w:hint="default"/>
          <w:color w:val="auto"/>
        </w:rPr>
      </w:pPr>
      <w:bookmarkStart w:id="269" w:name="OLE_LINK262"/>
      <w:r>
        <w:rPr>
          <w:rFonts w:hint="default"/>
          <w:color w:val="auto"/>
        </w:rPr>
        <w:t>哈</w:t>
      </w:r>
      <w:r>
        <w:rPr>
          <w:rFonts w:hint="default"/>
          <w:color w:val="auto"/>
          <w:lang w:val="en-US" w:eastAsia="zh-CN"/>
        </w:rPr>
        <w:t>六</w:t>
      </w:r>
      <w:r>
        <w:rPr>
          <w:rFonts w:hint="default"/>
          <w:color w:val="auto"/>
        </w:rPr>
        <w:t>联合站</w:t>
      </w:r>
      <w:bookmarkEnd w:id="267"/>
      <w:bookmarkEnd w:id="269"/>
      <w:r>
        <w:rPr>
          <w:rFonts w:hint="default"/>
          <w:color w:val="auto"/>
        </w:rPr>
        <w:t>主要功能为油气分离，原油脱水，原油脱硫、天然气脱硫和脱水脱烃、原油外输、天然气外输、变电、注水、回灌和油田总控制中心等功能。哈</w:t>
      </w:r>
      <w:r>
        <w:rPr>
          <w:rFonts w:hint="default"/>
          <w:color w:val="auto"/>
          <w:lang w:val="en-US" w:eastAsia="zh-CN"/>
        </w:rPr>
        <w:t>六</w:t>
      </w:r>
      <w:r>
        <w:rPr>
          <w:rFonts w:hint="default"/>
          <w:color w:val="auto"/>
        </w:rPr>
        <w:t>区原油经脱水、脱H</w:t>
      </w:r>
      <w:r>
        <w:rPr>
          <w:rFonts w:hint="default"/>
          <w:color w:val="auto"/>
          <w:vertAlign w:val="subscript"/>
        </w:rPr>
        <w:t>2</w:t>
      </w:r>
      <w:r>
        <w:rPr>
          <w:rFonts w:hint="default"/>
          <w:color w:val="auto"/>
        </w:rPr>
        <w:t>S后，管道外输至轮一联。</w:t>
      </w:r>
      <w:bookmarkEnd w:id="268"/>
      <w:r>
        <w:rPr>
          <w:rFonts w:hint="default"/>
          <w:color w:val="auto"/>
        </w:rPr>
        <w:t>原油脱水采用稠稀油分质脱水工艺。稀油脱水采用二段热化学沉降脱水工艺，稠油脱水采用二级大罐沉降脱水工艺。</w:t>
      </w:r>
      <w:bookmarkStart w:id="270" w:name="_Hlk81933273"/>
      <w:r>
        <w:rPr>
          <w:rFonts w:hint="default"/>
          <w:color w:val="auto"/>
        </w:rPr>
        <w:t>油田伴生气经脱除H</w:t>
      </w:r>
      <w:r>
        <w:rPr>
          <w:rFonts w:hint="default"/>
          <w:color w:val="auto"/>
          <w:vertAlign w:val="subscript"/>
        </w:rPr>
        <w:t>2</w:t>
      </w:r>
      <w:r>
        <w:rPr>
          <w:rFonts w:hint="default"/>
          <w:color w:val="auto"/>
        </w:rPr>
        <w:t>S、脱水和脱烃达到商品气条件后，外输至英东线并最终进入西气东输管道。</w:t>
      </w:r>
      <w:bookmarkEnd w:id="270"/>
      <w:r>
        <w:rPr>
          <w:rFonts w:hint="default"/>
          <w:color w:val="auto"/>
        </w:rPr>
        <w:t>由于哈</w:t>
      </w:r>
      <w:r>
        <w:rPr>
          <w:rFonts w:hint="eastAsia"/>
          <w:color w:val="auto"/>
          <w:lang w:val="en-US" w:eastAsia="zh-CN"/>
        </w:rPr>
        <w:t>六</w:t>
      </w:r>
      <w:r>
        <w:rPr>
          <w:rFonts w:hint="default"/>
          <w:color w:val="auto"/>
        </w:rPr>
        <w:t>区原油、伴生气中的H</w:t>
      </w:r>
      <w:r>
        <w:rPr>
          <w:rFonts w:hint="default"/>
          <w:color w:val="auto"/>
          <w:vertAlign w:val="subscript"/>
        </w:rPr>
        <w:t>2</w:t>
      </w:r>
      <w:r>
        <w:rPr>
          <w:rFonts w:hint="default"/>
          <w:color w:val="auto"/>
        </w:rPr>
        <w:t>S含量高，伴生气考虑就地在哈</w:t>
      </w:r>
      <w:r>
        <w:rPr>
          <w:rFonts w:hint="eastAsia"/>
          <w:color w:val="auto"/>
          <w:lang w:val="en-US" w:eastAsia="zh-CN"/>
        </w:rPr>
        <w:t>六</w:t>
      </w:r>
      <w:r>
        <w:rPr>
          <w:rFonts w:hint="default"/>
          <w:color w:val="auto"/>
        </w:rPr>
        <w:t>联进行脱硫处理。脱硫后的天然气采用加乙二醇防冻剂丙烷制冷工艺进一步脱水、脱烃后增压后进入外输气管道至东河天然气处理站。</w:t>
      </w:r>
      <w:bookmarkStart w:id="271" w:name="_Hlk82082861"/>
      <w:bookmarkStart w:id="272" w:name="_Hlk76761094"/>
      <w:r>
        <w:rPr>
          <w:rFonts w:hint="default"/>
          <w:color w:val="auto"/>
        </w:rPr>
        <w:t>自治区环保厅以新环评价函</w:t>
      </w:r>
      <w:r>
        <w:rPr>
          <w:rFonts w:hint="eastAsia"/>
          <w:color w:val="auto"/>
          <w:lang w:eastAsia="zh-CN"/>
        </w:rPr>
        <w:t>〔2011〕1094号（</w:t>
      </w:r>
      <w:r>
        <w:rPr>
          <w:rFonts w:hint="eastAsia"/>
          <w:color w:val="auto"/>
          <w:lang w:val="en-US" w:eastAsia="zh-CN"/>
        </w:rPr>
        <w:t>附件13</w:t>
      </w:r>
      <w:r>
        <w:rPr>
          <w:rFonts w:hint="eastAsia"/>
          <w:color w:val="auto"/>
          <w:lang w:eastAsia="zh-CN"/>
        </w:rPr>
        <w:t>）</w:t>
      </w:r>
      <w:r>
        <w:rPr>
          <w:rFonts w:hint="default"/>
          <w:color w:val="auto"/>
        </w:rPr>
        <w:t>进行批复，自治区环保厅以新环函</w:t>
      </w:r>
      <w:r>
        <w:rPr>
          <w:rFonts w:hint="eastAsia"/>
          <w:color w:val="auto"/>
          <w:lang w:eastAsia="zh-CN"/>
        </w:rPr>
        <w:t>〔2017〕1548号（</w:t>
      </w:r>
      <w:r>
        <w:rPr>
          <w:rFonts w:hint="eastAsia"/>
          <w:color w:val="auto"/>
          <w:lang w:val="en-US" w:eastAsia="zh-CN"/>
        </w:rPr>
        <w:t>附件14</w:t>
      </w:r>
      <w:r>
        <w:rPr>
          <w:rFonts w:hint="eastAsia"/>
          <w:color w:val="auto"/>
          <w:lang w:eastAsia="zh-CN"/>
        </w:rPr>
        <w:t>）</w:t>
      </w:r>
      <w:r>
        <w:rPr>
          <w:rFonts w:hint="default"/>
          <w:color w:val="auto"/>
        </w:rPr>
        <w:t>通过竣工环境保护验收。</w:t>
      </w:r>
      <w:bookmarkEnd w:id="271"/>
    </w:p>
    <w:bookmarkEnd w:id="272"/>
    <w:p w14:paraId="3982C1C6">
      <w:pPr>
        <w:pStyle w:val="79"/>
        <w:bidi w:val="0"/>
        <w:rPr>
          <w:rFonts w:hint="default"/>
          <w:color w:val="auto"/>
        </w:rPr>
      </w:pPr>
      <w:r>
        <w:rPr>
          <w:rFonts w:hint="default"/>
          <w:color w:val="auto"/>
        </w:rPr>
        <w:t>原油脱水工艺流程描述如下：系统来稀油与稠油混合进入三相分离器预脱水，预脱水后的低含水油</w:t>
      </w:r>
      <w:r>
        <w:rPr>
          <w:rFonts w:hint="eastAsia"/>
          <w:color w:val="auto"/>
          <w:lang w:eastAsia="zh-CN"/>
        </w:rPr>
        <w:t>（</w:t>
      </w:r>
      <w:r>
        <w:rPr>
          <w:rFonts w:hint="default"/>
          <w:color w:val="auto"/>
        </w:rPr>
        <w:t>含水10%</w:t>
      </w:r>
      <w:r>
        <w:rPr>
          <w:rFonts w:hint="eastAsia"/>
          <w:color w:val="auto"/>
          <w:lang w:eastAsia="zh-CN"/>
        </w:rPr>
        <w:t>）</w:t>
      </w:r>
      <w:r>
        <w:rPr>
          <w:rFonts w:hint="default"/>
          <w:color w:val="auto"/>
        </w:rPr>
        <w:t>一部分为哈15转油站提供掺稀油及为北站所辖稠油井进行掺稀，一部分经预换热器管程与高温净化油换热，并由原油——导热油换热器换热至65℃后进入稠油缓冲罐缓冲，后经提升泵增压进气提塔脱硫，脱硫后的低含水高温原油进入热化学沉降脱水器进行二段脱水。脱水后的高温净化油</w:t>
      </w:r>
      <w:r>
        <w:rPr>
          <w:rFonts w:hint="eastAsia"/>
          <w:color w:val="auto"/>
          <w:lang w:eastAsia="zh-CN"/>
        </w:rPr>
        <w:t>（</w:t>
      </w:r>
      <w:r>
        <w:rPr>
          <w:rFonts w:hint="default"/>
          <w:color w:val="auto"/>
        </w:rPr>
        <w:t>含水率不大于1%</w:t>
      </w:r>
      <w:r>
        <w:rPr>
          <w:rFonts w:hint="eastAsia"/>
          <w:color w:val="auto"/>
          <w:lang w:eastAsia="zh-CN"/>
        </w:rPr>
        <w:t>）</w:t>
      </w:r>
      <w:r>
        <w:rPr>
          <w:rFonts w:hint="default"/>
          <w:color w:val="auto"/>
        </w:rPr>
        <w:t>进入换热器壳程与一段脱水后的低温原油换热，降温后的净化油进净化油缓冲罐，经增压进入外输管道输至轮一联。</w:t>
      </w:r>
    </w:p>
    <w:p w14:paraId="75C308CE">
      <w:pPr>
        <w:pStyle w:val="79"/>
        <w:bidi w:val="0"/>
        <w:rPr>
          <w:rFonts w:hint="default"/>
          <w:color w:val="auto"/>
        </w:rPr>
      </w:pPr>
      <w:r>
        <w:rPr>
          <w:rFonts w:hint="default"/>
          <w:color w:val="auto"/>
        </w:rPr>
        <w:t>三相分离器及热化学沉降脱水器脱出的天然气按不同压力等级调压、计量后输送去天然气处理装置处理，两级脱水器脱出的产出水去采出水处理单元处理后回注。稠油脱H</w:t>
      </w:r>
      <w:r>
        <w:rPr>
          <w:rFonts w:hint="default"/>
          <w:color w:val="auto"/>
          <w:vertAlign w:val="subscript"/>
        </w:rPr>
        <w:t>2</w:t>
      </w:r>
      <w:r>
        <w:rPr>
          <w:rFonts w:hint="default"/>
          <w:color w:val="auto"/>
        </w:rPr>
        <w:t>S采用气提工艺。</w:t>
      </w:r>
    </w:p>
    <w:p w14:paraId="165A75FC">
      <w:pPr>
        <w:pStyle w:val="79"/>
        <w:bidi w:val="0"/>
        <w:rPr>
          <w:rFonts w:hint="default"/>
          <w:color w:val="auto"/>
        </w:rPr>
      </w:pPr>
      <w:r>
        <w:rPr>
          <w:rFonts w:hint="default"/>
          <w:color w:val="auto"/>
        </w:rPr>
        <w:t>哈</w:t>
      </w:r>
      <w:r>
        <w:rPr>
          <w:rFonts w:hint="eastAsia"/>
          <w:color w:val="auto"/>
          <w:lang w:val="en-US" w:eastAsia="zh-CN"/>
        </w:rPr>
        <w:t>六</w:t>
      </w:r>
      <w:r>
        <w:rPr>
          <w:rFonts w:hint="default"/>
          <w:color w:val="auto"/>
        </w:rPr>
        <w:t>联</w:t>
      </w:r>
      <w:r>
        <w:rPr>
          <w:rFonts w:hint="eastAsia"/>
          <w:color w:val="auto"/>
          <w:lang w:val="en-US" w:eastAsia="zh-CN"/>
        </w:rPr>
        <w:t>合站</w:t>
      </w:r>
      <w:r>
        <w:rPr>
          <w:rFonts w:hint="default"/>
          <w:color w:val="auto"/>
        </w:rPr>
        <w:t>原油脱水、脱硫工艺原理流程见图3.2-</w:t>
      </w:r>
      <w:r>
        <w:rPr>
          <w:rFonts w:hint="eastAsia"/>
          <w:color w:val="auto"/>
          <w:lang w:val="en-US" w:eastAsia="zh-CN"/>
        </w:rPr>
        <w:t>6</w:t>
      </w:r>
      <w:r>
        <w:rPr>
          <w:rFonts w:hint="default"/>
          <w:color w:val="auto"/>
        </w:rPr>
        <w:t>。</w:t>
      </w:r>
    </w:p>
    <w:p w14:paraId="4A77D3E7">
      <w:pPr>
        <w:ind w:firstLine="480" w:firstLineChars="200"/>
        <w:jc w:val="center"/>
        <w:rPr>
          <w:rFonts w:hint="eastAsia" w:ascii="黑体" w:hAnsi="黑体" w:eastAsia="黑体" w:cs="黑体"/>
          <w:b/>
          <w:color w:val="auto"/>
          <w:sz w:val="24"/>
          <w:szCs w:val="24"/>
        </w:rPr>
      </w:pPr>
    </w:p>
    <w:p w14:paraId="55676FA4">
      <w:pPr>
        <w:ind w:firstLine="480" w:firstLineChars="200"/>
        <w:jc w:val="center"/>
        <w:rPr>
          <w:rFonts w:hint="eastAsia" w:ascii="黑体" w:hAnsi="黑体" w:eastAsia="黑体" w:cs="黑体"/>
          <w:b/>
          <w:color w:val="auto"/>
          <w:sz w:val="24"/>
          <w:szCs w:val="24"/>
        </w:rPr>
      </w:pPr>
    </w:p>
    <w:p w14:paraId="74307594">
      <w:pPr>
        <w:ind w:firstLine="480" w:firstLineChars="200"/>
        <w:jc w:val="center"/>
        <w:rPr>
          <w:rFonts w:hint="eastAsia" w:ascii="黑体" w:hAnsi="黑体" w:eastAsia="黑体" w:cs="黑体"/>
          <w:b/>
          <w:color w:val="auto"/>
          <w:sz w:val="24"/>
          <w:szCs w:val="24"/>
        </w:rPr>
      </w:pPr>
    </w:p>
    <w:p w14:paraId="58F2D35A">
      <w:pPr>
        <w:ind w:firstLine="480" w:firstLineChars="200"/>
        <w:jc w:val="center"/>
        <w:rPr>
          <w:rFonts w:hint="eastAsia" w:ascii="黑体" w:hAnsi="黑体" w:eastAsia="黑体" w:cs="黑体"/>
          <w:b/>
          <w:color w:val="auto"/>
          <w:sz w:val="24"/>
          <w:szCs w:val="24"/>
        </w:rPr>
      </w:pPr>
    </w:p>
    <w:p w14:paraId="13886C91">
      <w:pPr>
        <w:ind w:firstLine="480" w:firstLineChars="200"/>
        <w:jc w:val="center"/>
        <w:rPr>
          <w:rFonts w:hint="eastAsia" w:ascii="黑体" w:hAnsi="黑体" w:eastAsia="黑体" w:cs="黑体"/>
          <w:b/>
          <w:color w:val="auto"/>
          <w:sz w:val="24"/>
          <w:szCs w:val="24"/>
        </w:rPr>
      </w:pPr>
    </w:p>
    <w:p w14:paraId="1F0051C6">
      <w:pPr>
        <w:ind w:firstLine="480" w:firstLineChars="200"/>
        <w:jc w:val="center"/>
        <w:rPr>
          <w:rFonts w:hint="eastAsia" w:ascii="黑体" w:hAnsi="黑体" w:eastAsia="黑体" w:cs="黑体"/>
          <w:b/>
          <w:color w:val="auto"/>
          <w:sz w:val="24"/>
          <w:szCs w:val="24"/>
        </w:rPr>
      </w:pPr>
    </w:p>
    <w:p w14:paraId="3D6BB053">
      <w:pPr>
        <w:ind w:firstLine="480" w:firstLineChars="200"/>
        <w:jc w:val="center"/>
        <w:rPr>
          <w:rFonts w:hint="eastAsia" w:ascii="黑体" w:hAnsi="黑体" w:eastAsia="黑体" w:cs="黑体"/>
          <w:b/>
          <w:color w:val="auto"/>
          <w:sz w:val="24"/>
          <w:szCs w:val="24"/>
        </w:rPr>
      </w:pPr>
    </w:p>
    <w:p w14:paraId="1F76BEE3">
      <w:pPr>
        <w:ind w:firstLine="480" w:firstLineChars="200"/>
        <w:jc w:val="center"/>
        <w:rPr>
          <w:rFonts w:hint="eastAsia" w:ascii="黑体" w:hAnsi="黑体" w:eastAsia="黑体" w:cs="黑体"/>
          <w:b/>
          <w:color w:val="auto"/>
          <w:sz w:val="24"/>
          <w:szCs w:val="24"/>
        </w:rPr>
      </w:pPr>
    </w:p>
    <w:p w14:paraId="1C5345D3">
      <w:pPr>
        <w:ind w:firstLine="480" w:firstLineChars="200"/>
        <w:jc w:val="center"/>
        <w:rPr>
          <w:rFonts w:hint="eastAsia" w:ascii="黑体" w:hAnsi="黑体" w:eastAsia="黑体" w:cs="黑体"/>
          <w:b/>
          <w:color w:val="auto"/>
          <w:sz w:val="24"/>
          <w:szCs w:val="24"/>
        </w:rPr>
      </w:pPr>
    </w:p>
    <w:p w14:paraId="668417CA">
      <w:pPr>
        <w:ind w:firstLine="480" w:firstLineChars="200"/>
        <w:jc w:val="center"/>
        <w:rPr>
          <w:rFonts w:hint="eastAsia" w:ascii="黑体" w:hAnsi="黑体" w:eastAsia="黑体" w:cs="黑体"/>
          <w:b/>
          <w:color w:val="auto"/>
          <w:sz w:val="24"/>
          <w:szCs w:val="24"/>
        </w:rPr>
      </w:pPr>
    </w:p>
    <w:p w14:paraId="39A35BBC">
      <w:pPr>
        <w:ind w:firstLine="480" w:firstLineChars="200"/>
        <w:jc w:val="center"/>
        <w:rPr>
          <w:rFonts w:hint="eastAsia" w:ascii="黑体" w:hAnsi="黑体" w:eastAsia="黑体" w:cs="黑体"/>
          <w:b/>
          <w:color w:val="auto"/>
          <w:sz w:val="24"/>
          <w:szCs w:val="24"/>
        </w:rPr>
      </w:pPr>
    </w:p>
    <w:p w14:paraId="34603741">
      <w:pPr>
        <w:ind w:firstLine="480" w:firstLineChars="200"/>
        <w:jc w:val="center"/>
        <w:rPr>
          <w:rFonts w:hint="eastAsia" w:ascii="黑体" w:hAnsi="黑体" w:eastAsia="黑体" w:cs="黑体"/>
          <w:b/>
          <w:color w:val="auto"/>
          <w:sz w:val="24"/>
          <w:szCs w:val="24"/>
        </w:rPr>
      </w:pPr>
    </w:p>
    <w:p w14:paraId="4D49765A">
      <w:pPr>
        <w:ind w:firstLine="480" w:firstLineChars="200"/>
        <w:jc w:val="center"/>
        <w:rPr>
          <w:rFonts w:hint="eastAsia" w:ascii="黑体" w:hAnsi="黑体" w:eastAsia="黑体" w:cs="黑体"/>
          <w:b/>
          <w:color w:val="auto"/>
          <w:sz w:val="24"/>
          <w:szCs w:val="24"/>
        </w:rPr>
      </w:pPr>
    </w:p>
    <w:p w14:paraId="52822E13">
      <w:pPr>
        <w:ind w:firstLine="480" w:firstLineChars="200"/>
        <w:jc w:val="center"/>
        <w:rPr>
          <w:rFonts w:hint="eastAsia" w:ascii="黑体" w:hAnsi="黑体" w:eastAsia="黑体" w:cs="黑体"/>
          <w:b/>
          <w:color w:val="auto"/>
          <w:sz w:val="24"/>
          <w:szCs w:val="24"/>
        </w:rPr>
      </w:pPr>
      <w:r>
        <w:rPr>
          <w:rFonts w:hint="eastAsia" w:ascii="黑体" w:hAnsi="黑体" w:eastAsia="黑体" w:cs="黑体"/>
          <w:b/>
          <w:color w:val="auto"/>
          <w:sz w:val="24"/>
          <w:szCs w:val="24"/>
        </w:rPr>
        <w:t>图3.2-</w:t>
      </w:r>
      <w:r>
        <w:rPr>
          <w:rFonts w:hint="eastAsia" w:ascii="黑体" w:hAnsi="黑体" w:eastAsia="黑体" w:cs="黑体"/>
          <w:b/>
          <w:color w:val="auto"/>
          <w:sz w:val="24"/>
          <w:szCs w:val="24"/>
          <w:lang w:val="en-US" w:eastAsia="zh-CN"/>
        </w:rPr>
        <w:t>6</w:t>
      </w:r>
      <w:r>
        <w:rPr>
          <w:rFonts w:hint="eastAsia" w:ascii="黑体" w:hAnsi="黑体" w:eastAsia="黑体" w:cs="黑体"/>
          <w:b/>
          <w:color w:val="auto"/>
          <w:sz w:val="24"/>
          <w:szCs w:val="24"/>
        </w:rPr>
        <w:t xml:space="preserve">   哈</w:t>
      </w:r>
      <w:r>
        <w:rPr>
          <w:rFonts w:hint="eastAsia" w:ascii="黑体" w:hAnsi="黑体" w:eastAsia="黑体" w:cs="黑体"/>
          <w:b/>
          <w:color w:val="auto"/>
          <w:sz w:val="24"/>
          <w:szCs w:val="24"/>
          <w:lang w:val="en-US" w:eastAsia="zh-CN"/>
        </w:rPr>
        <w:t>六</w:t>
      </w:r>
      <w:r>
        <w:rPr>
          <w:rFonts w:hint="eastAsia" w:ascii="黑体" w:hAnsi="黑体" w:eastAsia="黑体" w:cs="黑体"/>
          <w:b/>
          <w:color w:val="auto"/>
          <w:sz w:val="24"/>
          <w:szCs w:val="24"/>
        </w:rPr>
        <w:t>联原油脱水、脱硫工艺原理流程</w:t>
      </w:r>
    </w:p>
    <w:p w14:paraId="68A5B405">
      <w:pPr>
        <w:pStyle w:val="79"/>
        <w:bidi w:val="0"/>
        <w:rPr>
          <w:rFonts w:hint="default"/>
          <w:color w:val="auto"/>
          <w:lang w:val="en-US" w:eastAsia="zh-CN"/>
        </w:rPr>
      </w:pPr>
      <w:r>
        <w:rPr>
          <w:rFonts w:hint="default"/>
          <w:color w:val="auto"/>
          <w:lang w:val="en-US" w:eastAsia="zh-CN"/>
        </w:rPr>
        <w:t>2）依托可行性</w:t>
      </w:r>
    </w:p>
    <w:p w14:paraId="0F489F46">
      <w:pPr>
        <w:pStyle w:val="79"/>
        <w:bidi w:val="0"/>
        <w:rPr>
          <w:rFonts w:hint="default"/>
          <w:color w:val="auto"/>
          <w:lang w:val="en-US" w:eastAsia="zh-CN"/>
        </w:rPr>
      </w:pPr>
      <w:r>
        <w:rPr>
          <w:rFonts w:hint="default"/>
          <w:color w:val="auto"/>
        </w:rPr>
        <w:t>哈</w:t>
      </w:r>
      <w:r>
        <w:rPr>
          <w:rFonts w:hint="eastAsia"/>
          <w:color w:val="auto"/>
          <w:lang w:val="en-US" w:eastAsia="zh-CN"/>
        </w:rPr>
        <w:t>六</w:t>
      </w:r>
      <w:r>
        <w:rPr>
          <w:rFonts w:hint="default"/>
          <w:color w:val="auto"/>
        </w:rPr>
        <w:t>联</w:t>
      </w:r>
      <w:r>
        <w:rPr>
          <w:rFonts w:hint="eastAsia"/>
          <w:color w:val="auto"/>
          <w:lang w:val="en-US" w:eastAsia="zh-CN"/>
        </w:rPr>
        <w:t>合站</w:t>
      </w:r>
      <w:r>
        <w:rPr>
          <w:rFonts w:hint="default"/>
          <w:color w:val="auto"/>
        </w:rPr>
        <w:t>原油</w:t>
      </w:r>
      <w:r>
        <w:rPr>
          <w:rFonts w:hint="default"/>
          <w:color w:val="auto"/>
          <w:lang w:val="en-US" w:eastAsia="zh-CN"/>
        </w:rPr>
        <w:t>处理规模为</w:t>
      </w:r>
      <w:r>
        <w:rPr>
          <w:rFonts w:hint="eastAsia"/>
          <w:color w:val="auto"/>
          <w:lang w:val="en-US" w:eastAsia="zh-CN"/>
        </w:rPr>
        <w:t>1</w:t>
      </w:r>
      <w:r>
        <w:rPr>
          <w:rFonts w:hint="default"/>
          <w:color w:val="auto"/>
          <w:lang w:val="en-US" w:eastAsia="zh-CN"/>
        </w:rPr>
        <w:t>00×</w:t>
      </w:r>
      <w:r>
        <w:rPr>
          <w:rFonts w:hint="eastAsia"/>
          <w:color w:val="auto"/>
          <w:lang w:val="en-US" w:eastAsia="zh-CN"/>
        </w:rPr>
        <w:t>10</w:t>
      </w:r>
      <w:r>
        <w:rPr>
          <w:rFonts w:hint="eastAsia"/>
          <w:color w:val="auto"/>
          <w:vertAlign w:val="superscript"/>
          <w:lang w:val="en-US" w:eastAsia="zh-CN"/>
        </w:rPr>
        <w:t>4</w:t>
      </w:r>
      <w:r>
        <w:rPr>
          <w:rFonts w:hint="eastAsia"/>
          <w:color w:val="auto"/>
          <w:lang w:val="en-US" w:eastAsia="zh-CN"/>
        </w:rPr>
        <w:t>t</w:t>
      </w:r>
      <w:r>
        <w:rPr>
          <w:rFonts w:hint="default"/>
          <w:color w:val="auto"/>
          <w:lang w:val="en-US" w:eastAsia="zh-CN"/>
        </w:rPr>
        <w:t>/d，现状处理量为</w:t>
      </w:r>
      <w:r>
        <w:rPr>
          <w:rFonts w:hint="eastAsia"/>
          <w:color w:val="auto"/>
          <w:lang w:val="en-US" w:eastAsia="zh-CN"/>
        </w:rPr>
        <w:t>68</w:t>
      </w:r>
      <w:r>
        <w:rPr>
          <w:rFonts w:hint="default"/>
          <w:color w:val="auto"/>
          <w:lang w:val="en-US" w:eastAsia="zh-CN"/>
        </w:rPr>
        <w:t>×</w:t>
      </w:r>
      <w:r>
        <w:rPr>
          <w:rFonts w:hint="eastAsia"/>
          <w:color w:val="auto"/>
          <w:lang w:val="en-US" w:eastAsia="zh-CN"/>
        </w:rPr>
        <w:t>10</w:t>
      </w:r>
      <w:r>
        <w:rPr>
          <w:rFonts w:hint="eastAsia"/>
          <w:color w:val="auto"/>
          <w:vertAlign w:val="superscript"/>
          <w:lang w:val="en-US" w:eastAsia="zh-CN"/>
        </w:rPr>
        <w:t>4</w:t>
      </w:r>
      <w:r>
        <w:rPr>
          <w:rFonts w:hint="eastAsia"/>
          <w:color w:val="auto"/>
          <w:lang w:val="en-US" w:eastAsia="zh-CN"/>
        </w:rPr>
        <w:t>t</w:t>
      </w:r>
      <w:r>
        <w:rPr>
          <w:rFonts w:hint="default"/>
          <w:color w:val="auto"/>
          <w:lang w:val="en-US" w:eastAsia="zh-CN"/>
        </w:rPr>
        <w:t>/d，富余处理能力为</w:t>
      </w:r>
      <w:r>
        <w:rPr>
          <w:rFonts w:hint="eastAsia"/>
          <w:color w:val="auto"/>
          <w:lang w:val="en-US" w:eastAsia="zh-CN"/>
        </w:rPr>
        <w:t>32</w:t>
      </w:r>
      <w:r>
        <w:rPr>
          <w:rFonts w:hint="default"/>
          <w:color w:val="auto"/>
          <w:lang w:val="en-US" w:eastAsia="zh-CN"/>
        </w:rPr>
        <w:t>×</w:t>
      </w:r>
      <w:r>
        <w:rPr>
          <w:rFonts w:hint="eastAsia"/>
          <w:color w:val="auto"/>
          <w:lang w:val="en-US" w:eastAsia="zh-CN"/>
        </w:rPr>
        <w:t>10</w:t>
      </w:r>
      <w:r>
        <w:rPr>
          <w:rFonts w:hint="eastAsia"/>
          <w:color w:val="auto"/>
          <w:vertAlign w:val="superscript"/>
          <w:lang w:val="en-US" w:eastAsia="zh-CN"/>
        </w:rPr>
        <w:t>4</w:t>
      </w:r>
      <w:r>
        <w:rPr>
          <w:rFonts w:hint="eastAsia"/>
          <w:color w:val="auto"/>
          <w:lang w:val="en-US" w:eastAsia="zh-CN"/>
        </w:rPr>
        <w:t>t</w:t>
      </w:r>
      <w:r>
        <w:rPr>
          <w:rFonts w:hint="default"/>
          <w:color w:val="auto"/>
          <w:lang w:val="en-US" w:eastAsia="zh-CN"/>
        </w:rPr>
        <w:t>/d，本工程</w:t>
      </w:r>
      <w:r>
        <w:rPr>
          <w:rFonts w:hint="eastAsia"/>
          <w:color w:val="auto"/>
          <w:lang w:val="en-US" w:eastAsia="zh-CN"/>
        </w:rPr>
        <w:t>原油产生量</w:t>
      </w:r>
      <w:r>
        <w:rPr>
          <w:rFonts w:hint="default"/>
          <w:color w:val="auto"/>
          <w:lang w:val="en-US" w:eastAsia="zh-CN"/>
        </w:rPr>
        <w:t>为</w:t>
      </w:r>
      <w:r>
        <w:rPr>
          <w:rFonts w:hint="eastAsia"/>
          <w:color w:val="auto"/>
          <w:lang w:val="en-US" w:eastAsia="zh-CN"/>
        </w:rPr>
        <w:t>230</w:t>
      </w:r>
      <w:r>
        <w:rPr>
          <w:rFonts w:hint="default"/>
          <w:color w:val="auto"/>
          <w:lang w:val="en-US" w:eastAsia="zh-CN"/>
        </w:rPr>
        <w:t>t/</w:t>
      </w:r>
      <w:r>
        <w:rPr>
          <w:rFonts w:hint="eastAsia"/>
          <w:color w:val="auto"/>
          <w:lang w:val="en-US" w:eastAsia="zh-CN"/>
        </w:rPr>
        <w:t>d</w:t>
      </w:r>
      <w:r>
        <w:rPr>
          <w:rFonts w:hint="default"/>
          <w:color w:val="auto"/>
          <w:lang w:val="en-US" w:eastAsia="zh-CN"/>
        </w:rPr>
        <w:t>。因此</w:t>
      </w:r>
      <w:r>
        <w:rPr>
          <w:rFonts w:hint="default"/>
          <w:color w:val="auto"/>
        </w:rPr>
        <w:t>哈</w:t>
      </w:r>
      <w:r>
        <w:rPr>
          <w:rFonts w:hint="eastAsia"/>
          <w:color w:val="auto"/>
          <w:lang w:val="en-US" w:eastAsia="zh-CN"/>
        </w:rPr>
        <w:t>六</w:t>
      </w:r>
      <w:r>
        <w:rPr>
          <w:rFonts w:hint="default"/>
          <w:color w:val="auto"/>
        </w:rPr>
        <w:t>联</w:t>
      </w:r>
      <w:r>
        <w:rPr>
          <w:rFonts w:hint="eastAsia"/>
          <w:color w:val="auto"/>
          <w:lang w:val="en-US" w:eastAsia="zh-CN"/>
        </w:rPr>
        <w:t>合站</w:t>
      </w:r>
      <w:r>
        <w:rPr>
          <w:rFonts w:hint="default"/>
          <w:color w:val="auto"/>
          <w:lang w:val="en-US" w:eastAsia="zh-CN"/>
        </w:rPr>
        <w:t>处理能力可满足本工程需求。</w:t>
      </w:r>
    </w:p>
    <w:p w14:paraId="4DEDAA8E">
      <w:pPr>
        <w:pStyle w:val="79"/>
        <w:bidi w:val="0"/>
        <w:rPr>
          <w:rFonts w:hint="eastAsia"/>
          <w:color w:val="auto"/>
          <w:lang w:val="en-US" w:eastAsia="zh-CN"/>
        </w:rPr>
      </w:pPr>
      <w:r>
        <w:rPr>
          <w:rFonts w:hint="eastAsia"/>
          <w:color w:val="auto"/>
          <w:lang w:val="en-US" w:eastAsia="zh-CN"/>
        </w:rPr>
        <w:t xml:space="preserve">（4） </w:t>
      </w:r>
      <w:bookmarkStart w:id="273" w:name="OLE_LINK254"/>
      <w:r>
        <w:rPr>
          <w:rFonts w:hint="eastAsia"/>
          <w:color w:val="auto"/>
          <w:lang w:val="en-US" w:eastAsia="zh-CN"/>
        </w:rPr>
        <w:t>英买力油田钻试修废弃物环保处理站</w:t>
      </w:r>
      <w:bookmarkEnd w:id="273"/>
    </w:p>
    <w:p w14:paraId="5CD1FD1A">
      <w:pPr>
        <w:pStyle w:val="79"/>
        <w:bidi w:val="0"/>
        <w:rPr>
          <w:rFonts w:hint="default"/>
          <w:color w:val="auto"/>
          <w:lang w:val="en-US" w:eastAsia="zh-CN"/>
        </w:rPr>
      </w:pPr>
      <w:r>
        <w:rPr>
          <w:rFonts w:hint="default"/>
          <w:color w:val="auto"/>
          <w:lang w:val="en-US" w:eastAsia="zh-CN"/>
        </w:rPr>
        <w:t>1</w:t>
      </w:r>
      <w:r>
        <w:rPr>
          <w:rFonts w:hint="default"/>
          <w:color w:val="auto"/>
          <w:lang w:eastAsia="zh-CN"/>
        </w:rPr>
        <w:t>）</w:t>
      </w:r>
      <w:r>
        <w:rPr>
          <w:rFonts w:hint="default"/>
          <w:color w:val="auto"/>
          <w:lang w:val="en-US" w:eastAsia="zh-CN"/>
        </w:rPr>
        <w:t>基本情况</w:t>
      </w:r>
      <w:bookmarkStart w:id="274" w:name="OLE_LINK261"/>
    </w:p>
    <w:bookmarkEnd w:id="274"/>
    <w:p w14:paraId="138C76E8">
      <w:pPr>
        <w:pStyle w:val="79"/>
        <w:bidi w:val="0"/>
        <w:rPr>
          <w:rFonts w:hint="default"/>
          <w:color w:val="auto"/>
        </w:rPr>
      </w:pPr>
      <w:bookmarkStart w:id="275" w:name="OLE_LINK253"/>
      <w:bookmarkStart w:id="276" w:name="OLE_LINK260"/>
      <w:r>
        <w:rPr>
          <w:rFonts w:hint="default"/>
          <w:color w:val="auto"/>
        </w:rPr>
        <w:t>英买力油田钻试修废弃物</w:t>
      </w:r>
      <w:bookmarkEnd w:id="275"/>
      <w:r>
        <w:rPr>
          <w:rFonts w:hint="default"/>
          <w:color w:val="auto"/>
        </w:rPr>
        <w:t>环保处理站</w:t>
      </w:r>
      <w:bookmarkEnd w:id="276"/>
      <w:r>
        <w:rPr>
          <w:rFonts w:hint="default"/>
          <w:color w:val="auto"/>
        </w:rPr>
        <w:t>位于英买力气田内，设施的中心坐标为</w:t>
      </w:r>
      <w:bookmarkStart w:id="277" w:name="OLE_LINK252"/>
      <w:r>
        <w:rPr>
          <w:rFonts w:hint="default"/>
          <w:color w:val="auto"/>
        </w:rPr>
        <w:t>北纬</w:t>
      </w:r>
      <w:bookmarkEnd w:id="277"/>
      <w:r>
        <w:rPr>
          <w:rFonts w:hint="eastAsia"/>
          <w:color w:val="auto"/>
          <w:lang w:val="en-US" w:eastAsia="zh-CN"/>
        </w:rPr>
        <w:t xml:space="preserve">                 </w:t>
      </w:r>
      <w:r>
        <w:rPr>
          <w:rFonts w:hint="default"/>
          <w:color w:val="auto"/>
        </w:rPr>
        <w:t>，是为周边区域油田钻试修过程中产生的固废及废液而建设的，于2016年11月7日取得新疆维吾尔自治区环境保护厅批复</w:t>
      </w:r>
      <w:r>
        <w:rPr>
          <w:rFonts w:hint="eastAsia"/>
          <w:color w:val="auto"/>
          <w:lang w:eastAsia="zh-CN"/>
        </w:rPr>
        <w:t>（</w:t>
      </w:r>
      <w:r>
        <w:rPr>
          <w:rFonts w:hint="default"/>
          <w:color w:val="auto"/>
        </w:rPr>
        <w:t>新环函</w:t>
      </w:r>
      <w:r>
        <w:rPr>
          <w:rFonts w:hint="eastAsia"/>
          <w:color w:val="auto"/>
          <w:lang w:eastAsia="zh-CN"/>
        </w:rPr>
        <w:t>〔2016〕1626号，</w:t>
      </w:r>
      <w:r>
        <w:rPr>
          <w:rFonts w:hint="eastAsia"/>
          <w:color w:val="auto"/>
          <w:lang w:val="en-US" w:eastAsia="zh-CN"/>
        </w:rPr>
        <w:t>附件15）</w:t>
      </w:r>
      <w:r>
        <w:rPr>
          <w:rFonts w:hint="default"/>
          <w:color w:val="auto"/>
        </w:rPr>
        <w:t>。2020年5月4日塔里木油田分公司开展自主验收。</w:t>
      </w:r>
    </w:p>
    <w:p w14:paraId="1E0CA2B6">
      <w:pPr>
        <w:pStyle w:val="79"/>
        <w:bidi w:val="0"/>
        <w:rPr>
          <w:rFonts w:hint="default"/>
          <w:color w:val="auto"/>
        </w:rPr>
      </w:pPr>
      <w:r>
        <w:rPr>
          <w:rFonts w:hint="default"/>
          <w:color w:val="auto"/>
        </w:rPr>
        <w:t>钻试修废水处理规模300m3/d，环保站钻试修废水处理工艺简介如下：</w:t>
      </w:r>
    </w:p>
    <w:p w14:paraId="6931E013">
      <w:pPr>
        <w:pStyle w:val="79"/>
        <w:bidi w:val="0"/>
        <w:rPr>
          <w:rFonts w:hint="default"/>
          <w:color w:val="auto"/>
        </w:rPr>
      </w:pPr>
      <w:r>
        <w:rPr>
          <w:rFonts w:hint="default"/>
          <w:color w:val="auto"/>
        </w:rPr>
        <w:t>采取均质除油+絮凝沉淀+过滤工艺对废水进行净化处理，即主要通过物理分离作用，将废水中的油类物质、悬浮物、SRB菌等去除，从而达到水质净化的目的，处置后的废水可满足中国石油天然气股份有限公司企业标准《生产回注水质指标及推荐方法》</w:t>
      </w:r>
      <w:r>
        <w:rPr>
          <w:rFonts w:hint="eastAsia"/>
          <w:color w:val="auto"/>
          <w:lang w:eastAsia="zh-CN"/>
        </w:rPr>
        <w:t>（</w:t>
      </w:r>
      <w:r>
        <w:rPr>
          <w:rFonts w:hint="default"/>
          <w:color w:val="auto"/>
        </w:rPr>
        <w:t>Q/SY 0149-2011</w:t>
      </w:r>
      <w:r>
        <w:rPr>
          <w:rFonts w:hint="eastAsia"/>
          <w:color w:val="auto"/>
          <w:lang w:eastAsia="zh-CN"/>
        </w:rPr>
        <w:t>）</w:t>
      </w:r>
      <w:r>
        <w:rPr>
          <w:rFonts w:hint="default"/>
          <w:color w:val="auto"/>
        </w:rPr>
        <w:t>的生产回注水质指标要求，用于油田油层回注用水。废水处理工艺主要包括预处理</w:t>
      </w:r>
      <w:r>
        <w:rPr>
          <w:rFonts w:hint="eastAsia"/>
          <w:color w:val="auto"/>
          <w:lang w:eastAsia="zh-CN"/>
        </w:rPr>
        <w:t>（</w:t>
      </w:r>
      <w:r>
        <w:rPr>
          <w:rFonts w:hint="default"/>
          <w:color w:val="auto"/>
        </w:rPr>
        <w:t>均质除油</w:t>
      </w:r>
      <w:r>
        <w:rPr>
          <w:rFonts w:hint="eastAsia"/>
          <w:color w:val="auto"/>
          <w:lang w:eastAsia="zh-CN"/>
        </w:rPr>
        <w:t>）</w:t>
      </w:r>
      <w:r>
        <w:rPr>
          <w:rFonts w:hint="default"/>
          <w:color w:val="auto"/>
        </w:rPr>
        <w:t>、破乳絮凝、固液分离、过滤、回注等工序，具体流程见图</w:t>
      </w:r>
      <w:r>
        <w:rPr>
          <w:rFonts w:hint="eastAsia"/>
          <w:color w:val="auto"/>
          <w:lang w:val="en-US" w:eastAsia="zh-CN"/>
        </w:rPr>
        <w:t>3.2-7</w:t>
      </w:r>
      <w:r>
        <w:rPr>
          <w:rFonts w:hint="default"/>
          <w:color w:val="auto"/>
        </w:rPr>
        <w:t>。</w:t>
      </w:r>
    </w:p>
    <w:p w14:paraId="588DA64D">
      <w:pPr>
        <w:pStyle w:val="35"/>
        <w:ind w:left="480" w:firstLine="482"/>
        <w:jc w:val="center"/>
        <w:rPr>
          <w:rFonts w:ascii="Times New Roman" w:hAnsi="Times New Roman" w:cs="Times New Roman"/>
          <w:color w:val="auto"/>
          <w:sz w:val="24"/>
        </w:rPr>
      </w:pPr>
    </w:p>
    <w:p w14:paraId="17F99DC2">
      <w:pPr>
        <w:bidi w:val="0"/>
        <w:jc w:val="center"/>
        <w:rPr>
          <w:rFonts w:hint="eastAsia" w:ascii="黑体" w:hAnsi="黑体" w:eastAsia="黑体" w:cs="黑体"/>
          <w:b/>
          <w:bCs/>
          <w:color w:val="auto"/>
          <w:sz w:val="24"/>
          <w:szCs w:val="24"/>
          <w:highlight w:val="none"/>
        </w:rPr>
      </w:pPr>
    </w:p>
    <w:p w14:paraId="081EE136">
      <w:pPr>
        <w:bidi w:val="0"/>
        <w:jc w:val="center"/>
        <w:rPr>
          <w:rFonts w:hint="eastAsia" w:ascii="黑体" w:hAnsi="黑体" w:eastAsia="黑体" w:cs="黑体"/>
          <w:b/>
          <w:bCs/>
          <w:color w:val="auto"/>
          <w:sz w:val="24"/>
          <w:szCs w:val="24"/>
          <w:highlight w:val="none"/>
        </w:rPr>
      </w:pPr>
    </w:p>
    <w:p w14:paraId="0D46997B">
      <w:pPr>
        <w:bidi w:val="0"/>
        <w:jc w:val="center"/>
        <w:rPr>
          <w:rFonts w:hint="eastAsia" w:ascii="黑体" w:hAnsi="黑体" w:eastAsia="黑体" w:cs="黑体"/>
          <w:b/>
          <w:bCs/>
          <w:color w:val="auto"/>
          <w:sz w:val="24"/>
          <w:szCs w:val="24"/>
          <w:highlight w:val="none"/>
        </w:rPr>
      </w:pPr>
    </w:p>
    <w:p w14:paraId="42829E59">
      <w:pPr>
        <w:bidi w:val="0"/>
        <w:jc w:val="center"/>
        <w:rPr>
          <w:rFonts w:hint="eastAsia" w:ascii="黑体" w:hAnsi="黑体" w:eastAsia="黑体" w:cs="黑体"/>
          <w:b/>
          <w:bCs/>
          <w:color w:val="auto"/>
          <w:sz w:val="24"/>
          <w:szCs w:val="24"/>
          <w:highlight w:val="none"/>
        </w:rPr>
      </w:pPr>
    </w:p>
    <w:p w14:paraId="0B1E203F">
      <w:pPr>
        <w:bidi w:val="0"/>
        <w:jc w:val="center"/>
        <w:rPr>
          <w:rFonts w:hint="eastAsia" w:ascii="黑体" w:hAnsi="黑体" w:eastAsia="黑体" w:cs="黑体"/>
          <w:b/>
          <w:bCs/>
          <w:color w:val="auto"/>
          <w:sz w:val="24"/>
          <w:szCs w:val="24"/>
          <w:highlight w:val="none"/>
        </w:rPr>
      </w:pPr>
    </w:p>
    <w:p w14:paraId="1702C926">
      <w:pPr>
        <w:bidi w:val="0"/>
        <w:jc w:val="center"/>
        <w:rPr>
          <w:rFonts w:hint="eastAsia" w:ascii="黑体" w:hAnsi="黑体" w:eastAsia="黑体" w:cs="黑体"/>
          <w:b/>
          <w:bCs/>
          <w:color w:val="auto"/>
          <w:sz w:val="24"/>
          <w:szCs w:val="24"/>
          <w:highlight w:val="none"/>
        </w:rPr>
      </w:pPr>
    </w:p>
    <w:p w14:paraId="04A6D10B">
      <w:pPr>
        <w:bidi w:val="0"/>
        <w:jc w:val="center"/>
        <w:rPr>
          <w:rFonts w:hint="eastAsia" w:ascii="黑体" w:hAnsi="黑体" w:eastAsia="黑体" w:cs="黑体"/>
          <w:b/>
          <w:bCs/>
          <w:color w:val="auto"/>
          <w:sz w:val="24"/>
          <w:szCs w:val="24"/>
          <w:highlight w:val="none"/>
        </w:rPr>
      </w:pPr>
    </w:p>
    <w:p w14:paraId="7B8832E4">
      <w:pPr>
        <w:bidi w:val="0"/>
        <w:jc w:val="center"/>
        <w:rPr>
          <w:rFonts w:hint="eastAsia" w:ascii="黑体" w:hAnsi="黑体" w:eastAsia="黑体" w:cs="黑体"/>
          <w:b/>
          <w:bCs/>
          <w:color w:val="auto"/>
          <w:sz w:val="24"/>
          <w:szCs w:val="24"/>
          <w:highlight w:val="none"/>
        </w:rPr>
      </w:pPr>
    </w:p>
    <w:p w14:paraId="10375D4F">
      <w:pPr>
        <w:bidi w:val="0"/>
        <w:jc w:val="center"/>
        <w:rPr>
          <w:rFonts w:hint="eastAsia" w:ascii="黑体" w:hAnsi="黑体" w:eastAsia="黑体" w:cs="黑体"/>
          <w:b/>
          <w:bCs/>
          <w:color w:val="auto"/>
          <w:sz w:val="24"/>
          <w:szCs w:val="24"/>
          <w:highlight w:val="none"/>
        </w:rPr>
      </w:pPr>
    </w:p>
    <w:p w14:paraId="58B538EC">
      <w:pPr>
        <w:bidi w:val="0"/>
        <w:jc w:val="center"/>
        <w:rPr>
          <w:rFonts w:hint="eastAsia" w:ascii="黑体" w:hAnsi="黑体" w:eastAsia="黑体" w:cs="黑体"/>
          <w:b/>
          <w:bCs/>
          <w:color w:val="auto"/>
          <w:sz w:val="24"/>
          <w:szCs w:val="24"/>
          <w:highlight w:val="none"/>
        </w:rPr>
      </w:pPr>
    </w:p>
    <w:p w14:paraId="7B391685">
      <w:pPr>
        <w:bidi w:val="0"/>
        <w:jc w:val="center"/>
        <w:rPr>
          <w:rFonts w:hint="eastAsia" w:ascii="黑体" w:hAnsi="黑体" w:eastAsia="黑体" w:cs="黑体"/>
          <w:b/>
          <w:bCs/>
          <w:color w:val="auto"/>
          <w:sz w:val="24"/>
          <w:szCs w:val="24"/>
          <w:highlight w:val="none"/>
        </w:rPr>
      </w:pPr>
    </w:p>
    <w:p w14:paraId="22506C43">
      <w:pPr>
        <w:bidi w:val="0"/>
        <w:jc w:val="center"/>
        <w:rPr>
          <w:rFonts w:hint="eastAsia" w:ascii="黑体" w:hAnsi="黑体" w:eastAsia="黑体" w:cs="黑体"/>
          <w:b/>
          <w:bCs/>
          <w:color w:val="auto"/>
          <w:sz w:val="24"/>
          <w:szCs w:val="24"/>
          <w:highlight w:val="none"/>
        </w:rPr>
      </w:pPr>
    </w:p>
    <w:p w14:paraId="307E5A16">
      <w:pPr>
        <w:bidi w:val="0"/>
        <w:jc w:val="center"/>
        <w:rPr>
          <w:rFonts w:hint="eastAsia" w:ascii="黑体" w:hAnsi="黑体" w:eastAsia="黑体" w:cs="黑体"/>
          <w:b/>
          <w:bCs/>
          <w:color w:val="auto"/>
          <w:sz w:val="24"/>
          <w:szCs w:val="24"/>
          <w:highlight w:val="none"/>
        </w:rPr>
      </w:pPr>
    </w:p>
    <w:p w14:paraId="462C9A43">
      <w:pPr>
        <w:bidi w:val="0"/>
        <w:jc w:val="center"/>
        <w:rPr>
          <w:rFonts w:hint="eastAsia" w:ascii="黑体" w:hAnsi="黑体" w:eastAsia="黑体" w:cs="黑体"/>
          <w:b/>
          <w:bCs/>
          <w:color w:val="auto"/>
          <w:spacing w:val="5"/>
          <w:sz w:val="24"/>
          <w:szCs w:val="24"/>
          <w:highlight w:val="none"/>
        </w:rPr>
      </w:pPr>
      <w:r>
        <w:rPr>
          <w:rFonts w:hint="eastAsia" w:ascii="黑体" w:hAnsi="黑体" w:eastAsia="黑体" w:cs="黑体"/>
          <w:b/>
          <w:bCs/>
          <w:color w:val="auto"/>
          <w:sz w:val="24"/>
          <w:szCs w:val="24"/>
          <w:highlight w:val="none"/>
        </w:rPr>
        <w:t>图</w:t>
      </w:r>
      <w:r>
        <w:rPr>
          <w:rFonts w:hint="eastAsia" w:ascii="黑体" w:hAnsi="黑体" w:eastAsia="黑体" w:cs="黑体"/>
          <w:b/>
          <w:bCs/>
          <w:color w:val="auto"/>
          <w:sz w:val="24"/>
          <w:szCs w:val="24"/>
          <w:highlight w:val="none"/>
          <w:lang w:val="en-US" w:eastAsia="zh-CN"/>
        </w:rPr>
        <w:t xml:space="preserve">3.2-7 </w:t>
      </w:r>
      <w:r>
        <w:rPr>
          <w:rFonts w:hint="eastAsia" w:ascii="黑体" w:hAnsi="黑体" w:eastAsia="黑体" w:cs="黑体"/>
          <w:b/>
          <w:bCs/>
          <w:color w:val="auto"/>
          <w:spacing w:val="5"/>
          <w:sz w:val="24"/>
          <w:szCs w:val="24"/>
          <w:highlight w:val="none"/>
        </w:rPr>
        <w:t xml:space="preserve"> 钻试修废弃物环保站试修废水处理工艺流程图</w:t>
      </w:r>
    </w:p>
    <w:p w14:paraId="0A266D24">
      <w:pPr>
        <w:pStyle w:val="79"/>
        <w:bidi w:val="0"/>
        <w:rPr>
          <w:rFonts w:hint="default"/>
          <w:color w:val="auto"/>
          <w:lang w:val="en-US" w:eastAsia="zh-CN"/>
        </w:rPr>
      </w:pPr>
      <w:r>
        <w:rPr>
          <w:rFonts w:hint="default"/>
          <w:color w:val="auto"/>
          <w:lang w:val="en-US" w:eastAsia="zh-CN"/>
        </w:rPr>
        <w:t>2）依托可行性</w:t>
      </w:r>
    </w:p>
    <w:p w14:paraId="6AD90337">
      <w:pPr>
        <w:pStyle w:val="79"/>
        <w:bidi w:val="0"/>
        <w:rPr>
          <w:rFonts w:hint="default"/>
          <w:color w:val="auto"/>
          <w:lang w:val="en-US" w:eastAsia="zh-CN"/>
        </w:rPr>
      </w:pPr>
      <w:r>
        <w:rPr>
          <w:rFonts w:hint="default"/>
          <w:color w:val="auto"/>
          <w:lang w:val="en-US" w:eastAsia="zh-CN"/>
        </w:rPr>
        <w:t>钻试修废弃物环保处理站作业废水处理规模为300m</w:t>
      </w:r>
      <w:r>
        <w:rPr>
          <w:rFonts w:hint="default"/>
          <w:color w:val="auto"/>
          <w:vertAlign w:val="superscript"/>
          <w:lang w:val="en-US" w:eastAsia="zh-CN"/>
        </w:rPr>
        <w:t>3</w:t>
      </w:r>
      <w:r>
        <w:rPr>
          <w:rFonts w:hint="default"/>
          <w:color w:val="auto"/>
          <w:lang w:val="en-US" w:eastAsia="zh-CN"/>
        </w:rPr>
        <w:t>/d，现状处理量为215.3m</w:t>
      </w:r>
      <w:r>
        <w:rPr>
          <w:rFonts w:hint="default"/>
          <w:color w:val="auto"/>
          <w:vertAlign w:val="superscript"/>
          <w:lang w:val="en-US" w:eastAsia="zh-CN"/>
        </w:rPr>
        <w:t>3</w:t>
      </w:r>
      <w:r>
        <w:rPr>
          <w:rFonts w:hint="default"/>
          <w:color w:val="auto"/>
          <w:lang w:val="en-US" w:eastAsia="zh-CN"/>
        </w:rPr>
        <w:t>/d，富余处理能力为84.7m</w:t>
      </w:r>
      <w:r>
        <w:rPr>
          <w:rFonts w:hint="default"/>
          <w:color w:val="auto"/>
          <w:vertAlign w:val="superscript"/>
          <w:lang w:val="en-US" w:eastAsia="zh-CN"/>
        </w:rPr>
        <w:t>3</w:t>
      </w:r>
      <w:r>
        <w:rPr>
          <w:rFonts w:hint="default"/>
          <w:color w:val="auto"/>
          <w:lang w:val="en-US" w:eastAsia="zh-CN"/>
        </w:rPr>
        <w:t>/d，本工程井下作业废水量</w:t>
      </w:r>
      <w:r>
        <w:rPr>
          <w:rFonts w:hint="eastAsia"/>
          <w:color w:val="auto"/>
          <w:lang w:val="en-US" w:eastAsia="zh-CN"/>
        </w:rPr>
        <w:t>较小，</w:t>
      </w:r>
      <w:r>
        <w:rPr>
          <w:rFonts w:hint="default"/>
          <w:color w:val="auto"/>
          <w:lang w:val="en-US" w:eastAsia="zh-CN"/>
        </w:rPr>
        <w:t>因此英买力油气田钻试修废弃物环保处理站处理装置处理能力可满足本工程需求。</w:t>
      </w:r>
    </w:p>
    <w:p w14:paraId="4815D374">
      <w:pPr>
        <w:pStyle w:val="79"/>
        <w:bidi w:val="0"/>
        <w:rPr>
          <w:rFonts w:hint="default"/>
          <w:color w:val="auto"/>
          <w:lang w:val="en-US" w:eastAsia="zh-CN"/>
        </w:rPr>
      </w:pPr>
      <w:bookmarkStart w:id="278" w:name="OLE_LINK256"/>
      <w:r>
        <w:rPr>
          <w:rFonts w:hint="eastAsia"/>
          <w:color w:val="auto"/>
          <w:lang w:val="en-US" w:eastAsia="zh-CN"/>
        </w:rPr>
        <w:t>（5）英买7固废填埋场</w:t>
      </w:r>
      <w:bookmarkEnd w:id="278"/>
    </w:p>
    <w:p w14:paraId="06251D14">
      <w:pPr>
        <w:pStyle w:val="79"/>
        <w:bidi w:val="0"/>
        <w:rPr>
          <w:rFonts w:hint="default"/>
          <w:color w:val="auto"/>
        </w:rPr>
      </w:pPr>
      <w:r>
        <w:rPr>
          <w:rFonts w:hint="default"/>
          <w:color w:val="auto"/>
        </w:rPr>
        <w:t>1）基本情况</w:t>
      </w:r>
    </w:p>
    <w:p w14:paraId="7D615615">
      <w:pPr>
        <w:pStyle w:val="79"/>
        <w:bidi w:val="0"/>
        <w:rPr>
          <w:rFonts w:hint="default"/>
          <w:color w:val="auto"/>
        </w:rPr>
      </w:pPr>
      <w:bookmarkStart w:id="279" w:name="OLE_LINK263"/>
      <w:r>
        <w:rPr>
          <w:rFonts w:hint="default"/>
          <w:color w:val="auto"/>
        </w:rPr>
        <w:t>英买7固废场</w:t>
      </w:r>
      <w:bookmarkEnd w:id="279"/>
      <w:r>
        <w:rPr>
          <w:rFonts w:hint="default"/>
          <w:color w:val="auto"/>
        </w:rPr>
        <w:t>位于新疆维吾尔自治区阿克苏地区新和县英买力作业区英买7集气站西南侧800m处，项目中心地理坐标为：</w:t>
      </w:r>
      <w:r>
        <w:rPr>
          <w:rFonts w:hint="eastAsia"/>
          <w:color w:val="auto"/>
          <w:lang w:val="en-US" w:eastAsia="zh-CN"/>
        </w:rPr>
        <w:t xml:space="preserve">                              </w:t>
      </w:r>
      <w:r>
        <w:rPr>
          <w:rFonts w:hint="default"/>
          <w:color w:val="auto"/>
        </w:rPr>
        <w:t>。日均处理生活垃圾量1.5t、工业固废2.74m</w:t>
      </w:r>
      <w:r>
        <w:rPr>
          <w:rFonts w:hint="default"/>
          <w:color w:val="auto"/>
          <w:vertAlign w:val="superscript"/>
        </w:rPr>
        <w:t>3</w:t>
      </w:r>
      <w:r>
        <w:rPr>
          <w:rFonts w:hint="default"/>
          <w:color w:val="auto"/>
        </w:rPr>
        <w:t>，年均处理生活垃圾量547.5t、工业固废1000m3。共有4个固废填埋池，其中生活垃圾填埋池2个，总库容10000m</w:t>
      </w:r>
      <w:r>
        <w:rPr>
          <w:rFonts w:hint="default"/>
          <w:color w:val="auto"/>
          <w:vertAlign w:val="superscript"/>
        </w:rPr>
        <w:t>3</w:t>
      </w:r>
      <w:r>
        <w:rPr>
          <w:rFonts w:hint="default"/>
          <w:color w:val="auto"/>
        </w:rPr>
        <w:t>，有效容积约为8000m</w:t>
      </w:r>
      <w:r>
        <w:rPr>
          <w:rFonts w:hint="default"/>
          <w:color w:val="auto"/>
          <w:vertAlign w:val="superscript"/>
        </w:rPr>
        <w:t>3</w:t>
      </w:r>
      <w:r>
        <w:rPr>
          <w:rFonts w:hint="default"/>
          <w:color w:val="auto"/>
        </w:rPr>
        <w:t>，设计使用年限为10.44年；工业固废填埋池2个，总库容10000m</w:t>
      </w:r>
      <w:r>
        <w:rPr>
          <w:rFonts w:hint="default"/>
          <w:color w:val="auto"/>
          <w:vertAlign w:val="superscript"/>
        </w:rPr>
        <w:t>3</w:t>
      </w:r>
      <w:r>
        <w:rPr>
          <w:rFonts w:hint="default"/>
          <w:color w:val="auto"/>
        </w:rPr>
        <w:t>，有效容积约为8000m</w:t>
      </w:r>
      <w:r>
        <w:rPr>
          <w:rFonts w:hint="default"/>
          <w:color w:val="auto"/>
          <w:vertAlign w:val="superscript"/>
        </w:rPr>
        <w:t>3</w:t>
      </w:r>
      <w:r>
        <w:rPr>
          <w:rFonts w:hint="default"/>
          <w:color w:val="auto"/>
        </w:rPr>
        <w:t>，设计使用年限为8年。英买7固废场主要收集塔里木油田分公司英买力作业区职工在工作、生活中产生的各类生活垃圾和建设过程中产生的一般工业固废</w:t>
      </w:r>
      <w:r>
        <w:rPr>
          <w:rFonts w:hint="eastAsia"/>
          <w:color w:val="auto"/>
          <w:lang w:eastAsia="zh-CN"/>
        </w:rPr>
        <w:t>（</w:t>
      </w:r>
      <w:r>
        <w:rPr>
          <w:rFonts w:hint="default"/>
          <w:color w:val="auto"/>
        </w:rPr>
        <w:t>不包括含油废物等危险固废</w:t>
      </w:r>
      <w:r>
        <w:rPr>
          <w:rFonts w:hint="eastAsia"/>
          <w:color w:val="auto"/>
          <w:lang w:eastAsia="zh-CN"/>
        </w:rPr>
        <w:t>）</w:t>
      </w:r>
      <w:r>
        <w:rPr>
          <w:rFonts w:hint="default"/>
          <w:color w:val="auto"/>
        </w:rPr>
        <w:t>。英买7固废场新建工程于2017年12月16日取得原阿克苏地区环境保护局批复</w:t>
      </w:r>
      <w:r>
        <w:rPr>
          <w:rFonts w:hint="eastAsia"/>
          <w:color w:val="auto"/>
          <w:lang w:eastAsia="zh-CN"/>
        </w:rPr>
        <w:t>（</w:t>
      </w:r>
      <w:r>
        <w:rPr>
          <w:rFonts w:hint="default"/>
          <w:color w:val="auto"/>
        </w:rPr>
        <w:t>阿地环函字</w:t>
      </w:r>
      <w:r>
        <w:rPr>
          <w:rFonts w:hint="eastAsia"/>
          <w:color w:val="auto"/>
          <w:lang w:eastAsia="zh-CN"/>
        </w:rPr>
        <w:t>〔2017〕656号，</w:t>
      </w:r>
      <w:r>
        <w:rPr>
          <w:rFonts w:hint="eastAsia"/>
          <w:color w:val="auto"/>
          <w:lang w:val="en-US" w:eastAsia="zh-CN"/>
        </w:rPr>
        <w:t>附件16）</w:t>
      </w:r>
      <w:r>
        <w:rPr>
          <w:rFonts w:hint="default"/>
          <w:color w:val="auto"/>
        </w:rPr>
        <w:t>，并于2019年7月22日塔里木油田分公司英买采油气管理区开展自主验收</w:t>
      </w:r>
      <w:r>
        <w:rPr>
          <w:rFonts w:hint="eastAsia"/>
          <w:color w:val="auto"/>
          <w:lang w:eastAsia="zh-CN"/>
        </w:rPr>
        <w:t>（</w:t>
      </w:r>
      <w:r>
        <w:rPr>
          <w:rFonts w:hint="default"/>
          <w:color w:val="auto"/>
        </w:rPr>
        <w:t>油英买质健安环委</w:t>
      </w:r>
      <w:r>
        <w:rPr>
          <w:rFonts w:hint="eastAsia"/>
          <w:color w:val="auto"/>
          <w:lang w:eastAsia="zh-CN"/>
        </w:rPr>
        <w:t>〔2019〕3号，</w:t>
      </w:r>
      <w:r>
        <w:rPr>
          <w:rFonts w:hint="eastAsia"/>
          <w:color w:val="auto"/>
          <w:lang w:val="en-US" w:eastAsia="zh-CN"/>
        </w:rPr>
        <w:t>附件17）</w:t>
      </w:r>
      <w:r>
        <w:rPr>
          <w:rFonts w:hint="default"/>
          <w:color w:val="auto"/>
        </w:rPr>
        <w:t>。</w:t>
      </w:r>
    </w:p>
    <w:p w14:paraId="29AC429E">
      <w:pPr>
        <w:pStyle w:val="79"/>
        <w:bidi w:val="0"/>
        <w:rPr>
          <w:rFonts w:hint="default"/>
          <w:color w:val="auto"/>
        </w:rPr>
      </w:pPr>
      <w:r>
        <w:rPr>
          <w:rFonts w:hint="default"/>
          <w:color w:val="auto"/>
        </w:rPr>
        <w:t>2）依托可行性</w:t>
      </w:r>
    </w:p>
    <w:p w14:paraId="0525F33E">
      <w:pPr>
        <w:pStyle w:val="79"/>
        <w:bidi w:val="0"/>
        <w:rPr>
          <w:rFonts w:hint="default"/>
          <w:color w:val="auto"/>
        </w:rPr>
      </w:pPr>
      <w:r>
        <w:rPr>
          <w:rFonts w:hint="default"/>
          <w:color w:val="auto"/>
        </w:rPr>
        <w:t>本项目施工废料主要包括管材边角料、焊接作业中产生的废焊渣等，首先考虑回收利用，不可回收利用部分拉运至英买作业区英买7固废场填埋处置。英买7固废场4个固废填埋池，目前填埋工业固废为3000m</w:t>
      </w:r>
      <w:r>
        <w:rPr>
          <w:rFonts w:hint="default"/>
          <w:color w:val="auto"/>
          <w:vertAlign w:val="superscript"/>
        </w:rPr>
        <w:t>3</w:t>
      </w:r>
      <w:r>
        <w:rPr>
          <w:rFonts w:hint="default"/>
          <w:color w:val="auto"/>
        </w:rPr>
        <w:t>，工业固废富余处理能力为5000m</w:t>
      </w:r>
      <w:r>
        <w:rPr>
          <w:rFonts w:hint="default"/>
          <w:color w:val="auto"/>
          <w:vertAlign w:val="superscript"/>
        </w:rPr>
        <w:t>3</w:t>
      </w:r>
      <w:r>
        <w:rPr>
          <w:rFonts w:hint="default"/>
          <w:color w:val="auto"/>
        </w:rPr>
        <w:t>，本项目施工期产生的一般工业固废约</w:t>
      </w:r>
      <w:r>
        <w:rPr>
          <w:rFonts w:hint="eastAsia"/>
          <w:color w:val="auto"/>
          <w:lang w:val="en-US" w:eastAsia="zh-CN"/>
        </w:rPr>
        <w:t>4.94</w:t>
      </w:r>
      <w:r>
        <w:rPr>
          <w:rFonts w:hint="default"/>
          <w:color w:val="auto"/>
        </w:rPr>
        <w:t>t，可满足处理需求。</w:t>
      </w:r>
    </w:p>
    <w:p w14:paraId="4DD57CAD">
      <w:pPr>
        <w:pStyle w:val="79"/>
        <w:bidi w:val="0"/>
        <w:rPr>
          <w:rFonts w:hint="default"/>
          <w:color w:val="auto"/>
          <w:lang w:val="en-US" w:eastAsia="zh-CN"/>
        </w:rPr>
      </w:pPr>
      <w:r>
        <w:rPr>
          <w:rFonts w:hint="eastAsia"/>
          <w:color w:val="auto"/>
          <w:lang w:val="en-US" w:eastAsia="zh-CN"/>
        </w:rPr>
        <w:t>（6）英买力作业区公寓生活污水处理装置</w:t>
      </w:r>
    </w:p>
    <w:p w14:paraId="65C94153">
      <w:pPr>
        <w:pStyle w:val="79"/>
        <w:bidi w:val="0"/>
        <w:rPr>
          <w:rFonts w:hint="default"/>
          <w:color w:val="auto"/>
        </w:rPr>
      </w:pPr>
      <w:bookmarkStart w:id="280" w:name="OLE_LINK258"/>
      <w:r>
        <w:rPr>
          <w:rFonts w:hint="default"/>
          <w:color w:val="auto"/>
        </w:rPr>
        <w:t>英买力作业区公寓生活污水处理设施</w:t>
      </w:r>
      <w:bookmarkEnd w:id="280"/>
      <w:r>
        <w:rPr>
          <w:rFonts w:hint="default"/>
          <w:color w:val="auto"/>
        </w:rPr>
        <w:t>位于英买处理厂东侧约300m的英买作业区生活公寓内。该工程环评在《英买力气田整体开发调整工程环境影响报告书》中，2015年6月23日取得原新疆维吾尔自治区环境保护厅批复</w:t>
      </w:r>
      <w:r>
        <w:rPr>
          <w:rFonts w:hint="eastAsia"/>
          <w:color w:val="auto"/>
          <w:lang w:eastAsia="zh-CN"/>
        </w:rPr>
        <w:t>（</w:t>
      </w:r>
      <w:r>
        <w:rPr>
          <w:rFonts w:hint="default"/>
          <w:color w:val="auto"/>
        </w:rPr>
        <w:t>新环评价函</w:t>
      </w:r>
      <w:r>
        <w:rPr>
          <w:rFonts w:hint="default"/>
          <w:color w:val="auto"/>
          <w:lang w:eastAsia="zh-CN"/>
        </w:rPr>
        <w:t>〔</w:t>
      </w:r>
      <w:r>
        <w:rPr>
          <w:rFonts w:hint="default"/>
          <w:color w:val="auto"/>
          <w:lang w:val="en-US" w:eastAsia="zh-CN"/>
        </w:rPr>
        <w:t>2015</w:t>
      </w:r>
      <w:r>
        <w:rPr>
          <w:rFonts w:hint="default"/>
          <w:color w:val="auto"/>
          <w:lang w:eastAsia="zh-CN"/>
        </w:rPr>
        <w:t>〕</w:t>
      </w:r>
      <w:r>
        <w:rPr>
          <w:rFonts w:hint="default"/>
          <w:color w:val="auto"/>
        </w:rPr>
        <w:t>699号</w:t>
      </w:r>
      <w:r>
        <w:rPr>
          <w:rFonts w:hint="eastAsia"/>
          <w:color w:val="auto"/>
          <w:lang w:eastAsia="zh-CN"/>
        </w:rPr>
        <w:t>）</w:t>
      </w:r>
      <w:r>
        <w:rPr>
          <w:rFonts w:hint="default"/>
          <w:color w:val="auto"/>
        </w:rPr>
        <w:t>；并于2019年7月22日塔里木油田分公司英买油气开发部开展自主验收</w:t>
      </w:r>
      <w:r>
        <w:rPr>
          <w:rFonts w:hint="default"/>
          <w:color w:val="auto"/>
          <w:lang w:eastAsia="zh-CN"/>
        </w:rPr>
        <w:t>（</w:t>
      </w:r>
      <w:r>
        <w:rPr>
          <w:rFonts w:hint="default"/>
          <w:color w:val="auto"/>
        </w:rPr>
        <w:t>油英买质健安环委</w:t>
      </w:r>
      <w:r>
        <w:rPr>
          <w:rFonts w:hint="default"/>
          <w:color w:val="auto"/>
          <w:lang w:eastAsia="zh-CN"/>
        </w:rPr>
        <w:t>〔</w:t>
      </w:r>
      <w:r>
        <w:rPr>
          <w:rFonts w:hint="default"/>
          <w:color w:val="auto"/>
          <w:lang w:val="en-US" w:eastAsia="zh-CN"/>
        </w:rPr>
        <w:t>2019</w:t>
      </w:r>
      <w:r>
        <w:rPr>
          <w:rFonts w:hint="default"/>
          <w:color w:val="auto"/>
          <w:lang w:eastAsia="zh-CN"/>
        </w:rPr>
        <w:t>〕</w:t>
      </w:r>
      <w:r>
        <w:rPr>
          <w:rFonts w:hint="default"/>
          <w:color w:val="auto"/>
        </w:rPr>
        <w:t>3号</w:t>
      </w:r>
      <w:r>
        <w:rPr>
          <w:rFonts w:hint="default"/>
          <w:color w:val="auto"/>
          <w:lang w:eastAsia="zh-CN"/>
        </w:rPr>
        <w:t>）</w:t>
      </w:r>
      <w:r>
        <w:rPr>
          <w:rFonts w:hint="default"/>
          <w:color w:val="auto"/>
        </w:rPr>
        <w:t>。</w:t>
      </w:r>
    </w:p>
    <w:p w14:paraId="39ABAB1C">
      <w:pPr>
        <w:pStyle w:val="79"/>
        <w:bidi w:val="0"/>
        <w:rPr>
          <w:rFonts w:hint="default"/>
          <w:color w:val="auto"/>
        </w:rPr>
      </w:pPr>
      <w:r>
        <w:rPr>
          <w:rFonts w:hint="default"/>
          <w:color w:val="auto"/>
        </w:rPr>
        <w:t>英买力作业区生活污水处理装置采用一体化污水处理装置，生活排水经管线汇集后进入化粪池，经化粪池处理后的上清液排入调节水池，再经调节水池进入地埋式污水处理装置处理后进入清水池，</w:t>
      </w:r>
      <w:bookmarkStart w:id="281" w:name="OLE_LINK40"/>
      <w:r>
        <w:rPr>
          <w:rFonts w:hint="default"/>
          <w:color w:val="auto"/>
        </w:rPr>
        <w:t>处理后出水水质满足《</w:t>
      </w:r>
      <w:bookmarkStart w:id="282" w:name="OLE_LINK41"/>
      <w:r>
        <w:rPr>
          <w:rFonts w:hint="default"/>
          <w:color w:val="auto"/>
        </w:rPr>
        <w:t>农村生活污水处理排放标准</w:t>
      </w:r>
      <w:bookmarkEnd w:id="282"/>
      <w:r>
        <w:rPr>
          <w:rFonts w:hint="default"/>
          <w:color w:val="auto"/>
        </w:rPr>
        <w:t>》(DB65 4275-2019</w:t>
      </w:r>
      <w:r>
        <w:rPr>
          <w:rFonts w:hint="eastAsia"/>
          <w:color w:val="auto"/>
          <w:lang w:eastAsia="zh-CN"/>
        </w:rPr>
        <w:t>）</w:t>
      </w:r>
      <w:r>
        <w:rPr>
          <w:rFonts w:hint="default"/>
          <w:color w:val="auto"/>
        </w:rPr>
        <w:t>表2中</w:t>
      </w:r>
      <w:r>
        <w:rPr>
          <w:rFonts w:hint="eastAsia"/>
          <w:color w:val="auto"/>
          <w:lang w:val="en-US" w:eastAsia="zh-CN"/>
        </w:rPr>
        <w:t>C</w:t>
      </w:r>
      <w:r>
        <w:rPr>
          <w:rFonts w:hint="default"/>
          <w:color w:val="auto"/>
        </w:rPr>
        <w:t>级标准后冬储夏灌，夏季用于荒漠灌溉，冬季排至污水暂存池。</w:t>
      </w:r>
    </w:p>
    <w:bookmarkEnd w:id="281"/>
    <w:p w14:paraId="518B9168">
      <w:pPr>
        <w:pStyle w:val="79"/>
        <w:bidi w:val="0"/>
        <w:rPr>
          <w:rFonts w:hint="default"/>
          <w:color w:val="auto"/>
        </w:rPr>
      </w:pPr>
      <w:r>
        <w:rPr>
          <w:rFonts w:hint="default"/>
          <w:color w:val="auto"/>
        </w:rPr>
        <w:t>英买力作业区公寓生活污水处理设施设计处理规模120m</w:t>
      </w:r>
      <w:r>
        <w:rPr>
          <w:rFonts w:hint="default"/>
          <w:color w:val="auto"/>
          <w:vertAlign w:val="superscript"/>
        </w:rPr>
        <w:t>3</w:t>
      </w:r>
      <w:r>
        <w:rPr>
          <w:rFonts w:hint="default"/>
          <w:color w:val="auto"/>
        </w:rPr>
        <w:t>/d，本项目运营期生活污水产生量生活污水排放量为0.</w:t>
      </w:r>
      <w:r>
        <w:rPr>
          <w:rFonts w:hint="eastAsia"/>
          <w:color w:val="auto"/>
          <w:lang w:val="en-US" w:eastAsia="zh-CN"/>
        </w:rPr>
        <w:t>49</w:t>
      </w:r>
      <w:r>
        <w:rPr>
          <w:rFonts w:hint="default"/>
          <w:color w:val="auto"/>
        </w:rPr>
        <w:t>m</w:t>
      </w:r>
      <w:r>
        <w:rPr>
          <w:rFonts w:hint="default"/>
          <w:color w:val="auto"/>
          <w:vertAlign w:val="superscript"/>
        </w:rPr>
        <w:t>3</w:t>
      </w:r>
      <w:r>
        <w:rPr>
          <w:rFonts w:hint="default"/>
          <w:color w:val="auto"/>
        </w:rPr>
        <w:t>/d，实际处理量为80m</w:t>
      </w:r>
      <w:r>
        <w:rPr>
          <w:rFonts w:hint="default"/>
          <w:color w:val="auto"/>
          <w:vertAlign w:val="superscript"/>
        </w:rPr>
        <w:t>3</w:t>
      </w:r>
      <w:r>
        <w:rPr>
          <w:rFonts w:hint="default"/>
          <w:color w:val="auto"/>
        </w:rPr>
        <w:t>/d，可以满足本项目钻井期生活污水</w:t>
      </w:r>
      <w:bookmarkStart w:id="283" w:name="OLE_LINK364"/>
      <w:r>
        <w:rPr>
          <w:rFonts w:hint="default"/>
          <w:color w:val="auto"/>
        </w:rPr>
        <w:t>处理需求。</w:t>
      </w:r>
    </w:p>
    <w:bookmarkEnd w:id="283"/>
    <w:p w14:paraId="4F22DE9D">
      <w:pPr>
        <w:pStyle w:val="79"/>
        <w:bidi w:val="0"/>
        <w:rPr>
          <w:rFonts w:hint="default"/>
          <w:color w:val="auto"/>
          <w:lang w:val="en-US" w:eastAsia="zh-CN"/>
        </w:rPr>
      </w:pPr>
      <w:r>
        <w:rPr>
          <w:rFonts w:hint="eastAsia"/>
          <w:color w:val="auto"/>
          <w:lang w:val="en-US" w:eastAsia="zh-CN"/>
        </w:rPr>
        <w:t>（7）温宿县生活垃圾填埋场</w:t>
      </w:r>
    </w:p>
    <w:p w14:paraId="27935D8B">
      <w:pPr>
        <w:pStyle w:val="79"/>
        <w:bidi w:val="0"/>
        <w:rPr>
          <w:rFonts w:hint="default"/>
          <w:color w:val="auto"/>
        </w:rPr>
      </w:pPr>
      <w:bookmarkStart w:id="284" w:name="OLE_LINK259"/>
      <w:bookmarkStart w:id="285" w:name="OLE_LINK257"/>
      <w:r>
        <w:rPr>
          <w:rFonts w:hint="default"/>
          <w:color w:val="auto"/>
        </w:rPr>
        <w:t>温宿县生活垃圾填埋场</w:t>
      </w:r>
      <w:bookmarkEnd w:id="284"/>
      <w:r>
        <w:rPr>
          <w:rFonts w:hint="default"/>
          <w:color w:val="auto"/>
        </w:rPr>
        <w:t>位于温宿县东北2km处。中心坐标为</w:t>
      </w:r>
      <w:bookmarkEnd w:id="285"/>
      <w:r>
        <w:rPr>
          <w:rFonts w:hint="eastAsia"/>
          <w:color w:val="auto"/>
          <w:lang w:val="en-US" w:eastAsia="zh-CN"/>
        </w:rPr>
        <w:t xml:space="preserve">                         </w:t>
      </w:r>
      <w:r>
        <w:rPr>
          <w:rFonts w:hint="default"/>
          <w:color w:val="auto"/>
        </w:rPr>
        <w:t>。于2012年12月19日取得原新疆维吾尔自治区环境保护厅批复新环评价函〔2012〕1293号。该项目于2014年建设，近期规模为95t/d，占地面积</w:t>
      </w:r>
      <w:r>
        <w:rPr>
          <w:rFonts w:hint="default"/>
          <w:color w:val="auto"/>
          <w:lang w:val="en-US" w:eastAsia="zh-CN"/>
        </w:rPr>
        <w:t>61</w:t>
      </w:r>
      <w:r>
        <w:rPr>
          <w:rFonts w:hint="default"/>
          <w:color w:val="auto"/>
        </w:rPr>
        <w:t>万m</w:t>
      </w:r>
      <w:r>
        <w:rPr>
          <w:rFonts w:hint="default"/>
          <w:color w:val="auto"/>
          <w:vertAlign w:val="superscript"/>
        </w:rPr>
        <w:t>2</w:t>
      </w:r>
      <w:r>
        <w:rPr>
          <w:rFonts w:hint="default"/>
          <w:color w:val="auto"/>
        </w:rPr>
        <w:t>，于</w:t>
      </w:r>
      <w:r>
        <w:rPr>
          <w:rFonts w:hint="default"/>
          <w:color w:val="auto"/>
          <w:lang w:val="en-US" w:eastAsia="zh-CN"/>
        </w:rPr>
        <w:t>2020</w:t>
      </w:r>
      <w:r>
        <w:rPr>
          <w:rFonts w:hint="default"/>
          <w:color w:val="auto"/>
        </w:rPr>
        <w:t>年</w:t>
      </w:r>
      <w:r>
        <w:rPr>
          <w:rFonts w:hint="default"/>
          <w:color w:val="auto"/>
          <w:lang w:val="en-US" w:eastAsia="zh-CN"/>
        </w:rPr>
        <w:t>5</w:t>
      </w:r>
      <w:r>
        <w:rPr>
          <w:rFonts w:hint="default"/>
          <w:color w:val="auto"/>
        </w:rPr>
        <w:t>月进行了自主验收。</w:t>
      </w:r>
    </w:p>
    <w:p w14:paraId="6519756A">
      <w:pPr>
        <w:pStyle w:val="79"/>
        <w:bidi w:val="0"/>
        <w:rPr>
          <w:rFonts w:hint="default"/>
          <w:color w:val="auto"/>
          <w:lang w:val="en-US" w:eastAsia="zh-CN"/>
        </w:rPr>
      </w:pPr>
      <w:r>
        <w:rPr>
          <w:rFonts w:hint="default"/>
          <w:color w:val="auto"/>
        </w:rPr>
        <w:t>本项目</w:t>
      </w:r>
      <w:r>
        <w:rPr>
          <w:rFonts w:hint="eastAsia"/>
          <w:color w:val="auto"/>
          <w:lang w:val="en-US" w:eastAsia="zh-CN"/>
        </w:rPr>
        <w:t>西北</w:t>
      </w:r>
      <w:r>
        <w:rPr>
          <w:rFonts w:hint="default"/>
          <w:color w:val="auto"/>
        </w:rPr>
        <w:t>距离温宿县生活垃圾填埋场</w:t>
      </w:r>
      <w:r>
        <w:rPr>
          <w:rFonts w:hint="eastAsia"/>
          <w:color w:val="auto"/>
          <w:lang w:val="en-US" w:eastAsia="zh-CN"/>
        </w:rPr>
        <w:t>44.5</w:t>
      </w:r>
      <w:r>
        <w:rPr>
          <w:rFonts w:hint="default"/>
          <w:color w:val="auto"/>
        </w:rPr>
        <w:t>km，填埋场设计日最大处理生活垃圾量为95t/d，目前实际日处理生活垃圾量为86.12t/d，本项目</w:t>
      </w:r>
      <w:r>
        <w:rPr>
          <w:rFonts w:hint="eastAsia"/>
          <w:color w:val="auto"/>
          <w:lang w:val="en-US" w:eastAsia="zh-CN"/>
        </w:rPr>
        <w:t>运营期</w:t>
      </w:r>
      <w:r>
        <w:rPr>
          <w:rFonts w:hint="default"/>
          <w:color w:val="auto"/>
        </w:rPr>
        <w:t>日产生生活垃圾0.0</w:t>
      </w:r>
      <w:r>
        <w:rPr>
          <w:rFonts w:hint="eastAsia"/>
          <w:color w:val="auto"/>
          <w:lang w:val="en-US" w:eastAsia="zh-CN"/>
        </w:rPr>
        <w:t>045</w:t>
      </w:r>
      <w:r>
        <w:rPr>
          <w:rFonts w:hint="default"/>
          <w:color w:val="auto"/>
        </w:rPr>
        <w:t>t，可以依托温宿县生活垃圾填埋场处理。</w:t>
      </w:r>
    </w:p>
    <w:p w14:paraId="0C5C20B5">
      <w:pPr>
        <w:pStyle w:val="75"/>
        <w:bidi w:val="0"/>
        <w:rPr>
          <w:rFonts w:hint="default"/>
          <w:color w:val="auto"/>
        </w:rPr>
      </w:pPr>
      <w:bookmarkStart w:id="286" w:name="_Toc20092"/>
      <w:r>
        <w:rPr>
          <w:rFonts w:hint="default"/>
          <w:color w:val="auto"/>
        </w:rPr>
        <w:t>3</w:t>
      </w:r>
      <w:r>
        <w:rPr>
          <w:rFonts w:hint="eastAsia"/>
          <w:color w:val="auto"/>
          <w:lang w:val="en-US" w:eastAsia="zh-CN"/>
        </w:rPr>
        <w:t xml:space="preserve">.3 </w:t>
      </w:r>
      <w:r>
        <w:rPr>
          <w:rFonts w:hint="default"/>
          <w:color w:val="auto"/>
        </w:rPr>
        <w:t>工程分析</w:t>
      </w:r>
      <w:bookmarkEnd w:id="264"/>
      <w:bookmarkEnd w:id="265"/>
      <w:bookmarkEnd w:id="266"/>
      <w:bookmarkEnd w:id="286"/>
    </w:p>
    <w:p w14:paraId="6749DEAF">
      <w:pPr>
        <w:pStyle w:val="54"/>
        <w:bidi w:val="0"/>
        <w:rPr>
          <w:rFonts w:hint="default"/>
          <w:color w:val="auto"/>
          <w:lang w:val="en-US" w:eastAsia="zh-CN"/>
        </w:rPr>
      </w:pPr>
      <w:bookmarkStart w:id="287" w:name="_Toc66979812"/>
      <w:r>
        <w:rPr>
          <w:rFonts w:hint="default"/>
          <w:color w:val="auto"/>
        </w:rPr>
        <w:t>3.</w:t>
      </w:r>
      <w:r>
        <w:rPr>
          <w:rFonts w:hint="eastAsia"/>
          <w:color w:val="auto"/>
          <w:lang w:val="en-US" w:eastAsia="zh-CN"/>
        </w:rPr>
        <w:t>3</w:t>
      </w:r>
      <w:r>
        <w:rPr>
          <w:rFonts w:hint="default"/>
          <w:color w:val="auto"/>
        </w:rPr>
        <w:t>.1</w:t>
      </w:r>
      <w:r>
        <w:rPr>
          <w:rFonts w:hint="eastAsia"/>
          <w:color w:val="auto"/>
          <w:lang w:val="en-US" w:eastAsia="zh-CN"/>
        </w:rPr>
        <w:t xml:space="preserve"> </w:t>
      </w:r>
      <w:r>
        <w:rPr>
          <w:rFonts w:hint="default"/>
          <w:color w:val="auto"/>
        </w:rPr>
        <w:t>工艺过程</w:t>
      </w:r>
      <w:r>
        <w:rPr>
          <w:rFonts w:hint="eastAsia"/>
          <w:color w:val="auto"/>
          <w:lang w:val="en-US" w:eastAsia="zh-CN"/>
        </w:rPr>
        <w:t>及产排污节点</w:t>
      </w:r>
    </w:p>
    <w:p w14:paraId="09751599">
      <w:pPr>
        <w:pStyle w:val="55"/>
        <w:bidi w:val="0"/>
        <w:rPr>
          <w:rFonts w:hint="default"/>
          <w:color w:val="auto"/>
          <w:lang w:val="en-US" w:eastAsia="zh-CN"/>
        </w:rPr>
      </w:pPr>
      <w:bookmarkStart w:id="288" w:name="_Toc25534"/>
      <w:r>
        <w:rPr>
          <w:rFonts w:hint="default"/>
          <w:color w:val="auto"/>
          <w:lang w:val="en-US" w:eastAsia="zh-CN"/>
        </w:rPr>
        <w:t>3.</w:t>
      </w:r>
      <w:r>
        <w:rPr>
          <w:rFonts w:hint="eastAsia"/>
          <w:color w:val="auto"/>
          <w:lang w:val="en-US" w:eastAsia="zh-CN"/>
        </w:rPr>
        <w:t>3</w:t>
      </w:r>
      <w:r>
        <w:rPr>
          <w:rFonts w:hint="default"/>
          <w:color w:val="auto"/>
          <w:lang w:val="en-US" w:eastAsia="zh-CN"/>
        </w:rPr>
        <w:t>.1.1</w:t>
      </w:r>
      <w:r>
        <w:rPr>
          <w:rFonts w:hint="eastAsia"/>
          <w:color w:val="auto"/>
          <w:lang w:val="en-US" w:eastAsia="zh-CN"/>
        </w:rPr>
        <w:t xml:space="preserve"> </w:t>
      </w:r>
      <w:r>
        <w:rPr>
          <w:rFonts w:hint="default"/>
          <w:color w:val="auto"/>
          <w:lang w:val="en-US" w:eastAsia="zh-CN"/>
        </w:rPr>
        <w:t>施工期</w:t>
      </w:r>
      <w:bookmarkEnd w:id="288"/>
    </w:p>
    <w:p w14:paraId="15CE9E7C">
      <w:pPr>
        <w:pStyle w:val="79"/>
        <w:bidi w:val="0"/>
        <w:rPr>
          <w:rFonts w:hint="default"/>
          <w:color w:val="auto"/>
          <w:lang w:val="en-US" w:eastAsia="zh-CN"/>
        </w:rPr>
      </w:pPr>
      <w:bookmarkStart w:id="289" w:name="_Toc8258"/>
      <w:bookmarkStart w:id="290" w:name="_Toc14116"/>
      <w:bookmarkStart w:id="291" w:name="_Toc8970"/>
      <w:bookmarkStart w:id="292" w:name="_Toc19549"/>
      <w:bookmarkStart w:id="293" w:name="_Toc2453"/>
      <w:bookmarkStart w:id="294" w:name="_Toc17526"/>
      <w:bookmarkStart w:id="295" w:name="_Toc23533"/>
      <w:r>
        <w:rPr>
          <w:rFonts w:hint="default"/>
          <w:color w:val="auto"/>
          <w:lang w:val="en-US" w:eastAsia="zh-CN"/>
        </w:rPr>
        <w:t>（</w:t>
      </w:r>
      <w:r>
        <w:rPr>
          <w:rFonts w:hint="eastAsia"/>
          <w:color w:val="auto"/>
          <w:lang w:val="en-US" w:eastAsia="zh-CN"/>
        </w:rPr>
        <w:t>1</w:t>
      </w:r>
      <w:r>
        <w:rPr>
          <w:rFonts w:hint="default"/>
          <w:color w:val="auto"/>
          <w:lang w:val="en-US" w:eastAsia="zh-CN"/>
        </w:rPr>
        <w:t>）场</w:t>
      </w:r>
      <w:r>
        <w:rPr>
          <w:rFonts w:hint="eastAsia"/>
          <w:color w:val="auto"/>
          <w:lang w:val="en-US" w:eastAsia="zh-CN"/>
        </w:rPr>
        <w:t>站</w:t>
      </w:r>
      <w:r>
        <w:rPr>
          <w:rFonts w:hint="default"/>
          <w:color w:val="auto"/>
          <w:lang w:val="en-US" w:eastAsia="zh-CN"/>
        </w:rPr>
        <w:t>建设</w:t>
      </w:r>
      <w:bookmarkEnd w:id="289"/>
      <w:bookmarkEnd w:id="290"/>
      <w:bookmarkEnd w:id="291"/>
      <w:bookmarkEnd w:id="292"/>
      <w:bookmarkEnd w:id="293"/>
      <w:bookmarkEnd w:id="294"/>
      <w:bookmarkEnd w:id="295"/>
    </w:p>
    <w:p w14:paraId="7CD346FE">
      <w:pPr>
        <w:pStyle w:val="79"/>
        <w:bidi w:val="0"/>
        <w:rPr>
          <w:rFonts w:hint="default"/>
          <w:color w:val="auto"/>
        </w:rPr>
      </w:pPr>
      <w:r>
        <w:rPr>
          <w:rFonts w:hint="default"/>
          <w:color w:val="auto"/>
        </w:rPr>
        <w:t>新建场</w:t>
      </w:r>
      <w:r>
        <w:rPr>
          <w:rFonts w:hint="eastAsia"/>
          <w:color w:val="auto"/>
          <w:lang w:val="en-US" w:eastAsia="zh-CN"/>
        </w:rPr>
        <w:t>站施工</w:t>
      </w:r>
      <w:r>
        <w:rPr>
          <w:rFonts w:hint="default"/>
          <w:color w:val="auto"/>
        </w:rPr>
        <w:t>内容主要为设备安装及管线连接。新增设备为成品外购</w:t>
      </w:r>
      <w:r>
        <w:rPr>
          <w:rFonts w:hint="default"/>
          <w:color w:val="auto"/>
          <w:lang w:eastAsia="zh-CN"/>
        </w:rPr>
        <w:t>，</w:t>
      </w:r>
      <w:r>
        <w:rPr>
          <w:rFonts w:hint="default"/>
          <w:color w:val="auto"/>
        </w:rPr>
        <w:t>用施工车辆运至指定位置即可。首先需对占地进行场地平整，将各类设备拉运至场地，进行安装调试。</w:t>
      </w:r>
    </w:p>
    <w:p w14:paraId="39DC3AAD">
      <w:pPr>
        <w:pStyle w:val="79"/>
        <w:bidi w:val="0"/>
        <w:rPr>
          <w:rFonts w:hint="default"/>
          <w:color w:val="auto"/>
        </w:rPr>
      </w:pPr>
      <w:r>
        <w:rPr>
          <w:rFonts w:hint="default"/>
          <w:color w:val="auto"/>
        </w:rPr>
        <w:t>该过程废气污染源主要为施工车辆尾气，设备运输和装卸时产生的扬尘，通过洒水抑尘减少扬尘产生量；噪声污染源为施工机械产生的噪声；固体废物主要为</w:t>
      </w:r>
      <w:r>
        <w:rPr>
          <w:rFonts w:hint="eastAsia"/>
          <w:color w:val="auto"/>
          <w:lang w:val="en-US" w:eastAsia="zh-CN"/>
        </w:rPr>
        <w:t>施工人员</w:t>
      </w:r>
      <w:r>
        <w:rPr>
          <w:rFonts w:hint="default"/>
          <w:color w:val="auto"/>
        </w:rPr>
        <w:t>生活垃圾及设备废弃包装等。</w:t>
      </w:r>
    </w:p>
    <w:p w14:paraId="425023A0">
      <w:pPr>
        <w:pStyle w:val="79"/>
        <w:bidi w:val="0"/>
        <w:rPr>
          <w:rFonts w:hint="default"/>
          <w:color w:val="auto"/>
        </w:rPr>
      </w:pPr>
      <w:r>
        <w:rPr>
          <w:rFonts w:hint="default"/>
          <w:color w:val="auto"/>
        </w:rPr>
        <w:t>站场建设流程及产污环节示意图</w:t>
      </w:r>
      <w:r>
        <w:rPr>
          <w:rFonts w:hint="eastAsia"/>
          <w:color w:val="auto"/>
          <w:lang w:eastAsia="zh-CN"/>
        </w:rPr>
        <w:t>，</w:t>
      </w:r>
      <w:r>
        <w:rPr>
          <w:rFonts w:hint="eastAsia"/>
          <w:color w:val="auto"/>
          <w:lang w:val="en-US" w:eastAsia="zh-CN"/>
        </w:rPr>
        <w:t>见图3.3-1。</w:t>
      </w:r>
    </w:p>
    <w:p w14:paraId="1DA0D180">
      <w:pPr>
        <w:widowControl/>
        <w:spacing w:after="120" w:afterLines="0" w:afterAutospacing="0" w:line="360" w:lineRule="auto"/>
        <w:ind w:firstLine="0" w:firstLineChars="0"/>
        <w:jc w:val="center"/>
        <w:rPr>
          <w:rFonts w:ascii="Times New Roman" w:hAnsi="Times New Roman" w:eastAsia="黑体" w:cs="宋体"/>
          <w:b/>
          <w:color w:val="auto"/>
          <w:spacing w:val="0"/>
          <w:kern w:val="0"/>
          <w:sz w:val="21"/>
          <w:szCs w:val="24"/>
          <w:lang w:val="en-US" w:eastAsia="zh-CN" w:bidi="ar-SA"/>
        </w:rPr>
      </w:pPr>
      <w:bookmarkStart w:id="296" w:name="_Toc22849"/>
      <w:bookmarkStart w:id="297" w:name="_Toc12508"/>
      <w:bookmarkStart w:id="298" w:name="_Toc11004"/>
      <w:bookmarkStart w:id="299" w:name="_Toc22637"/>
      <w:bookmarkStart w:id="300" w:name="_Toc4248"/>
      <w:bookmarkStart w:id="301" w:name="_Toc9844"/>
    </w:p>
    <w:p w14:paraId="6C839449">
      <w:pPr>
        <w:keepNext w:val="0"/>
        <w:keepLines w:val="0"/>
        <w:pageBreakBefore w:val="0"/>
        <w:widowControl/>
        <w:kinsoku/>
        <w:wordWrap/>
        <w:overflowPunct/>
        <w:topLinePunct w:val="0"/>
        <w:autoSpaceDE/>
        <w:autoSpaceDN/>
        <w:bidi w:val="0"/>
        <w:adjustRightInd/>
        <w:snapToGrid/>
        <w:spacing w:after="120" w:afterLines="0" w:afterAutospacing="0" w:line="400" w:lineRule="exact"/>
        <w:ind w:firstLine="0" w:firstLineChars="0"/>
        <w:jc w:val="center"/>
        <w:textAlignment w:val="auto"/>
        <w:rPr>
          <w:rFonts w:hint="eastAsia" w:ascii="黑体" w:hAnsi="黑体" w:eastAsia="黑体" w:cs="黑体"/>
          <w:b/>
          <w:bCs w:val="0"/>
          <w:color w:val="auto"/>
          <w:kern w:val="2"/>
          <w:sz w:val="24"/>
          <w:szCs w:val="24"/>
          <w:lang w:val="en-US" w:eastAsia="zh-CN" w:bidi="ar-SA"/>
        </w:rPr>
      </w:pPr>
      <w:bookmarkStart w:id="302" w:name="_Toc169"/>
      <w:bookmarkStart w:id="303" w:name="_Toc31104"/>
    </w:p>
    <w:p w14:paraId="1EDA9C75">
      <w:pPr>
        <w:keepNext w:val="0"/>
        <w:keepLines w:val="0"/>
        <w:pageBreakBefore w:val="0"/>
        <w:widowControl/>
        <w:kinsoku/>
        <w:wordWrap/>
        <w:overflowPunct/>
        <w:topLinePunct w:val="0"/>
        <w:autoSpaceDE/>
        <w:autoSpaceDN/>
        <w:bidi w:val="0"/>
        <w:adjustRightInd/>
        <w:snapToGrid/>
        <w:spacing w:after="120" w:afterLines="0" w:afterAutospacing="0" w:line="400" w:lineRule="exact"/>
        <w:ind w:firstLine="0" w:firstLineChars="0"/>
        <w:jc w:val="center"/>
        <w:textAlignment w:val="auto"/>
        <w:rPr>
          <w:rFonts w:hint="eastAsia" w:ascii="黑体" w:hAnsi="黑体" w:eastAsia="黑体" w:cs="黑体"/>
          <w:b/>
          <w:bCs w:val="0"/>
          <w:color w:val="auto"/>
          <w:kern w:val="2"/>
          <w:sz w:val="24"/>
          <w:szCs w:val="24"/>
          <w:lang w:val="en-US" w:eastAsia="zh-CN" w:bidi="ar-SA"/>
        </w:rPr>
      </w:pPr>
    </w:p>
    <w:p w14:paraId="581AAD6C">
      <w:pPr>
        <w:keepNext w:val="0"/>
        <w:keepLines w:val="0"/>
        <w:pageBreakBefore w:val="0"/>
        <w:widowControl/>
        <w:kinsoku/>
        <w:wordWrap/>
        <w:overflowPunct/>
        <w:topLinePunct w:val="0"/>
        <w:autoSpaceDE/>
        <w:autoSpaceDN/>
        <w:bidi w:val="0"/>
        <w:adjustRightInd/>
        <w:snapToGrid/>
        <w:spacing w:after="120" w:afterLines="0" w:afterAutospacing="0" w:line="400" w:lineRule="exact"/>
        <w:ind w:firstLine="0" w:firstLineChars="0"/>
        <w:jc w:val="center"/>
        <w:textAlignment w:val="auto"/>
        <w:rPr>
          <w:rFonts w:hint="eastAsia" w:ascii="黑体" w:hAnsi="黑体" w:eastAsia="黑体" w:cs="黑体"/>
          <w:b/>
          <w:bCs w:val="0"/>
          <w:color w:val="auto"/>
          <w:kern w:val="2"/>
          <w:sz w:val="24"/>
          <w:szCs w:val="24"/>
          <w:lang w:val="en-US" w:eastAsia="zh-CN" w:bidi="ar-SA"/>
        </w:rPr>
      </w:pPr>
    </w:p>
    <w:p w14:paraId="20FF2AAA">
      <w:pPr>
        <w:keepNext w:val="0"/>
        <w:keepLines w:val="0"/>
        <w:pageBreakBefore w:val="0"/>
        <w:widowControl/>
        <w:kinsoku/>
        <w:wordWrap/>
        <w:overflowPunct/>
        <w:topLinePunct w:val="0"/>
        <w:autoSpaceDE/>
        <w:autoSpaceDN/>
        <w:bidi w:val="0"/>
        <w:adjustRightInd/>
        <w:snapToGrid/>
        <w:spacing w:after="120" w:afterLines="0" w:afterAutospacing="0" w:line="400" w:lineRule="exact"/>
        <w:ind w:firstLine="0" w:firstLineChars="0"/>
        <w:jc w:val="center"/>
        <w:textAlignment w:val="auto"/>
        <w:rPr>
          <w:rFonts w:hint="eastAsia" w:ascii="黑体" w:hAnsi="黑体" w:eastAsia="黑体" w:cs="黑体"/>
          <w:b/>
          <w:bCs w:val="0"/>
          <w:color w:val="auto"/>
          <w:kern w:val="2"/>
          <w:sz w:val="24"/>
          <w:szCs w:val="24"/>
          <w:lang w:val="en-US" w:eastAsia="zh-CN" w:bidi="ar-SA"/>
        </w:rPr>
      </w:pPr>
    </w:p>
    <w:p w14:paraId="721A2FA9">
      <w:pPr>
        <w:keepNext w:val="0"/>
        <w:keepLines w:val="0"/>
        <w:pageBreakBefore w:val="0"/>
        <w:widowControl/>
        <w:kinsoku/>
        <w:wordWrap/>
        <w:overflowPunct/>
        <w:topLinePunct w:val="0"/>
        <w:autoSpaceDE/>
        <w:autoSpaceDN/>
        <w:bidi w:val="0"/>
        <w:adjustRightInd/>
        <w:snapToGrid/>
        <w:spacing w:after="120" w:afterLines="0" w:afterAutospacing="0" w:line="400" w:lineRule="exact"/>
        <w:ind w:firstLine="0" w:firstLineChars="0"/>
        <w:jc w:val="center"/>
        <w:textAlignment w:val="auto"/>
        <w:rPr>
          <w:rFonts w:hint="eastAsia" w:ascii="黑体" w:hAnsi="黑体" w:eastAsia="黑体" w:cs="黑体"/>
          <w:b w:val="0"/>
          <w:bCs w:val="0"/>
          <w:color w:val="auto"/>
          <w:spacing w:val="0"/>
          <w:kern w:val="0"/>
          <w:sz w:val="24"/>
          <w:szCs w:val="24"/>
          <w:highlight w:val="none"/>
          <w:lang w:val="en-US" w:eastAsia="zh-CN" w:bidi="ar-SA"/>
        </w:rPr>
      </w:pPr>
      <w:r>
        <w:rPr>
          <w:rFonts w:hint="eastAsia" w:ascii="黑体" w:hAnsi="黑体" w:eastAsia="黑体" w:cs="黑体"/>
          <w:b/>
          <w:bCs w:val="0"/>
          <w:color w:val="auto"/>
          <w:kern w:val="2"/>
          <w:sz w:val="24"/>
          <w:szCs w:val="24"/>
          <w:lang w:val="en-US" w:eastAsia="zh-CN" w:bidi="ar-SA"/>
        </w:rPr>
        <w:t>图3.3-1   井场、试采点建设流程及产污环节示意图</w:t>
      </w:r>
      <w:bookmarkEnd w:id="302"/>
      <w:bookmarkEnd w:id="303"/>
    </w:p>
    <w:p w14:paraId="0E7EC430">
      <w:pPr>
        <w:pStyle w:val="79"/>
        <w:bidi w:val="0"/>
        <w:rPr>
          <w:rFonts w:hint="default"/>
          <w:color w:val="auto"/>
        </w:rPr>
      </w:pPr>
      <w:r>
        <w:rPr>
          <w:rFonts w:hint="default"/>
          <w:color w:val="auto"/>
        </w:rPr>
        <w:t>（</w:t>
      </w:r>
      <w:r>
        <w:rPr>
          <w:rFonts w:hint="eastAsia"/>
          <w:color w:val="auto"/>
          <w:lang w:val="en-US" w:eastAsia="zh-CN"/>
        </w:rPr>
        <w:t>2</w:t>
      </w:r>
      <w:r>
        <w:rPr>
          <w:rFonts w:hint="default"/>
          <w:color w:val="auto"/>
        </w:rPr>
        <w:t>）管线敷设</w:t>
      </w:r>
      <w:bookmarkEnd w:id="296"/>
      <w:bookmarkEnd w:id="297"/>
      <w:bookmarkEnd w:id="298"/>
      <w:bookmarkEnd w:id="299"/>
      <w:bookmarkEnd w:id="300"/>
      <w:bookmarkEnd w:id="301"/>
    </w:p>
    <w:p w14:paraId="7BFDE7A8">
      <w:pPr>
        <w:pStyle w:val="79"/>
        <w:bidi w:val="0"/>
        <w:rPr>
          <w:rFonts w:hint="default"/>
          <w:color w:val="auto"/>
          <w:lang w:val="en-US" w:eastAsia="zh-CN"/>
        </w:rPr>
      </w:pPr>
      <w:r>
        <w:rPr>
          <w:rFonts w:hint="default"/>
          <w:color w:val="auto"/>
          <w:lang w:val="en-US" w:eastAsia="zh-CN"/>
        </w:rPr>
        <w:t>管线主要施工内容包括</w:t>
      </w:r>
      <w:r>
        <w:rPr>
          <w:rFonts w:hint="eastAsia"/>
          <w:color w:val="auto"/>
          <w:lang w:val="en-US" w:eastAsia="zh-CN"/>
        </w:rPr>
        <w:t>：</w:t>
      </w:r>
      <w:r>
        <w:rPr>
          <w:rFonts w:hint="default"/>
          <w:color w:val="auto"/>
          <w:lang w:val="en-US" w:eastAsia="zh-CN"/>
        </w:rPr>
        <w:t>施工准备、管沟开挖及下管、管道连接与试压、连头、配套设备安装、收尾工序等。管道工程施工阶段工艺流程</w:t>
      </w:r>
      <w:r>
        <w:rPr>
          <w:rFonts w:hint="eastAsia"/>
          <w:color w:val="auto"/>
          <w:lang w:val="en-US" w:eastAsia="zh-CN"/>
        </w:rPr>
        <w:t>，</w:t>
      </w:r>
      <w:r>
        <w:rPr>
          <w:rFonts w:hint="default"/>
          <w:color w:val="auto"/>
          <w:lang w:val="en-US" w:eastAsia="zh-CN"/>
        </w:rPr>
        <w:t>见图</w:t>
      </w:r>
      <w:r>
        <w:rPr>
          <w:rFonts w:hint="eastAsia"/>
          <w:color w:val="auto"/>
          <w:lang w:val="en-US" w:eastAsia="zh-CN"/>
        </w:rPr>
        <w:t>3.3</w:t>
      </w:r>
      <w:r>
        <w:rPr>
          <w:rFonts w:hint="default"/>
          <w:color w:val="auto"/>
          <w:lang w:val="en-US" w:eastAsia="zh-CN"/>
        </w:rPr>
        <w:t>-</w:t>
      </w:r>
      <w:r>
        <w:rPr>
          <w:rFonts w:hint="eastAsia"/>
          <w:color w:val="auto"/>
          <w:lang w:val="en-US" w:eastAsia="zh-CN"/>
        </w:rPr>
        <w:t>2</w:t>
      </w:r>
      <w:r>
        <w:rPr>
          <w:rFonts w:hint="default"/>
          <w:color w:val="auto"/>
          <w:lang w:val="en-US" w:eastAsia="zh-CN"/>
        </w:rPr>
        <w:t>。</w:t>
      </w:r>
    </w:p>
    <w:p w14:paraId="3B0D6512">
      <w:pPr>
        <w:widowControl/>
        <w:jc w:val="center"/>
        <w:rPr>
          <w:rFonts w:hint="default" w:ascii="Times New Roman" w:hAnsi="Times New Roman" w:eastAsia="宋体" w:cs="Times New Roman"/>
          <w:b/>
          <w:snapToGrid w:val="0"/>
          <w:color w:val="auto"/>
          <w:kern w:val="2"/>
          <w:sz w:val="21"/>
          <w:szCs w:val="21"/>
          <w:highlight w:val="none"/>
          <w:lang w:val="en-US" w:eastAsia="zh-CN" w:bidi="ar-SA"/>
        </w:rPr>
      </w:pPr>
    </w:p>
    <w:p w14:paraId="6A28DAFB">
      <w:pPr>
        <w:keepNext w:val="0"/>
        <w:keepLines w:val="0"/>
        <w:pageBreakBefore w:val="0"/>
        <w:widowControl/>
        <w:kinsoku/>
        <w:wordWrap/>
        <w:overflowPunct/>
        <w:topLinePunct w:val="0"/>
        <w:autoSpaceDE/>
        <w:autoSpaceDN/>
        <w:bidi w:val="0"/>
        <w:adjustRightInd w:val="0"/>
        <w:snapToGrid/>
        <w:spacing w:line="400" w:lineRule="exact"/>
        <w:ind w:left="0" w:leftChars="0" w:firstLine="0" w:firstLineChars="0"/>
        <w:jc w:val="center"/>
        <w:textAlignment w:val="baseline"/>
        <w:rPr>
          <w:rFonts w:hint="eastAsia" w:ascii="黑体" w:hAnsi="黑体" w:eastAsia="黑体" w:cs="黑体"/>
          <w:b/>
          <w:bCs w:val="0"/>
          <w:color w:val="auto"/>
          <w:kern w:val="2"/>
          <w:sz w:val="24"/>
          <w:szCs w:val="24"/>
          <w:lang w:val="en-US" w:eastAsia="zh-CN" w:bidi="ar-SA"/>
        </w:rPr>
      </w:pPr>
    </w:p>
    <w:p w14:paraId="7DA85CC7">
      <w:pPr>
        <w:keepNext w:val="0"/>
        <w:keepLines w:val="0"/>
        <w:pageBreakBefore w:val="0"/>
        <w:widowControl/>
        <w:kinsoku/>
        <w:wordWrap/>
        <w:overflowPunct/>
        <w:topLinePunct w:val="0"/>
        <w:autoSpaceDE/>
        <w:autoSpaceDN/>
        <w:bidi w:val="0"/>
        <w:adjustRightInd w:val="0"/>
        <w:snapToGrid/>
        <w:spacing w:line="400" w:lineRule="exact"/>
        <w:ind w:left="0" w:leftChars="0" w:firstLine="0" w:firstLineChars="0"/>
        <w:jc w:val="center"/>
        <w:textAlignment w:val="baseline"/>
        <w:rPr>
          <w:rFonts w:hint="eastAsia" w:ascii="黑体" w:hAnsi="黑体" w:eastAsia="黑体" w:cs="黑体"/>
          <w:b/>
          <w:bCs w:val="0"/>
          <w:color w:val="auto"/>
          <w:kern w:val="2"/>
          <w:sz w:val="24"/>
          <w:szCs w:val="24"/>
          <w:lang w:val="en-US" w:eastAsia="zh-CN" w:bidi="ar-SA"/>
        </w:rPr>
      </w:pPr>
    </w:p>
    <w:p w14:paraId="402BB6AD">
      <w:pPr>
        <w:keepNext w:val="0"/>
        <w:keepLines w:val="0"/>
        <w:pageBreakBefore w:val="0"/>
        <w:widowControl/>
        <w:kinsoku/>
        <w:wordWrap/>
        <w:overflowPunct/>
        <w:topLinePunct w:val="0"/>
        <w:autoSpaceDE/>
        <w:autoSpaceDN/>
        <w:bidi w:val="0"/>
        <w:adjustRightInd w:val="0"/>
        <w:snapToGrid/>
        <w:spacing w:line="400" w:lineRule="exact"/>
        <w:ind w:left="0" w:leftChars="0" w:firstLine="0" w:firstLineChars="0"/>
        <w:jc w:val="center"/>
        <w:textAlignment w:val="baseline"/>
        <w:rPr>
          <w:rFonts w:hint="eastAsia" w:ascii="黑体" w:hAnsi="黑体" w:eastAsia="黑体" w:cs="黑体"/>
          <w:b/>
          <w:bCs w:val="0"/>
          <w:color w:val="auto"/>
          <w:kern w:val="2"/>
          <w:sz w:val="24"/>
          <w:szCs w:val="24"/>
          <w:lang w:val="en-US" w:eastAsia="zh-CN" w:bidi="ar-SA"/>
        </w:rPr>
      </w:pPr>
    </w:p>
    <w:p w14:paraId="57C2CE2B">
      <w:pPr>
        <w:keepNext w:val="0"/>
        <w:keepLines w:val="0"/>
        <w:pageBreakBefore w:val="0"/>
        <w:widowControl/>
        <w:kinsoku/>
        <w:wordWrap/>
        <w:overflowPunct/>
        <w:topLinePunct w:val="0"/>
        <w:autoSpaceDE/>
        <w:autoSpaceDN/>
        <w:bidi w:val="0"/>
        <w:adjustRightInd w:val="0"/>
        <w:snapToGrid/>
        <w:spacing w:line="400" w:lineRule="exact"/>
        <w:ind w:left="0" w:leftChars="0" w:firstLine="0" w:firstLineChars="0"/>
        <w:jc w:val="center"/>
        <w:textAlignment w:val="baseline"/>
        <w:rPr>
          <w:rFonts w:hint="eastAsia" w:ascii="黑体" w:hAnsi="黑体" w:eastAsia="黑体" w:cs="黑体"/>
          <w:b/>
          <w:snapToGrid w:val="0"/>
          <w:color w:val="auto"/>
          <w:kern w:val="2"/>
          <w:sz w:val="24"/>
          <w:szCs w:val="24"/>
          <w:highlight w:val="none"/>
          <w:lang w:val="en-US" w:eastAsia="zh-CN" w:bidi="ar-SA"/>
        </w:rPr>
      </w:pPr>
      <w:r>
        <w:rPr>
          <w:rFonts w:hint="eastAsia" w:ascii="黑体" w:hAnsi="黑体" w:eastAsia="黑体" w:cs="黑体"/>
          <w:b/>
          <w:bCs w:val="0"/>
          <w:color w:val="auto"/>
          <w:kern w:val="2"/>
          <w:sz w:val="24"/>
          <w:szCs w:val="24"/>
          <w:lang w:val="en-US" w:eastAsia="zh-CN" w:bidi="ar-SA"/>
        </w:rPr>
        <w:t>图3.3-2  管道工程施工阶段工艺流程图</w:t>
      </w:r>
    </w:p>
    <w:p w14:paraId="7964EBD1">
      <w:pPr>
        <w:pStyle w:val="79"/>
        <w:bidi w:val="0"/>
        <w:rPr>
          <w:rFonts w:hint="default"/>
          <w:color w:val="auto"/>
          <w:lang w:val="en-US" w:eastAsia="zh-CN"/>
        </w:rPr>
      </w:pPr>
      <w:r>
        <w:rPr>
          <w:rFonts w:hint="eastAsia"/>
          <w:color w:val="auto"/>
          <w:lang w:val="en-US" w:eastAsia="zh-CN"/>
        </w:rPr>
        <w:t>1）</w:t>
      </w:r>
      <w:r>
        <w:rPr>
          <w:rFonts w:hint="default"/>
          <w:color w:val="auto"/>
          <w:lang w:val="en-US" w:eastAsia="zh-CN"/>
        </w:rPr>
        <w:t>施工准备</w:t>
      </w:r>
    </w:p>
    <w:p w14:paraId="7701106C">
      <w:pPr>
        <w:pStyle w:val="79"/>
        <w:bidi w:val="0"/>
        <w:rPr>
          <w:rFonts w:hint="default"/>
          <w:color w:val="auto"/>
          <w:lang w:val="en-US" w:eastAsia="zh-CN"/>
        </w:rPr>
      </w:pPr>
      <w:r>
        <w:rPr>
          <w:rFonts w:hint="default"/>
          <w:color w:val="auto"/>
          <w:lang w:val="en-US" w:eastAsia="zh-CN"/>
        </w:rPr>
        <w:t>施工前需对场地进行平整，设置施工车辆临时停放场地。施工期间根据不同管线沿设计的管线走向设置一定宽度的作业带并取管沟一侧作为挖方存放点，在合适地点设置车辆临时停放场地。</w:t>
      </w:r>
    </w:p>
    <w:p w14:paraId="5621B528">
      <w:pPr>
        <w:pStyle w:val="79"/>
        <w:bidi w:val="0"/>
        <w:rPr>
          <w:rFonts w:hint="default"/>
          <w:color w:val="auto"/>
          <w:lang w:val="en-US" w:eastAsia="zh-CN"/>
        </w:rPr>
      </w:pPr>
      <w:r>
        <w:rPr>
          <w:rFonts w:hint="eastAsia"/>
          <w:color w:val="auto"/>
          <w:lang w:val="en-US" w:eastAsia="zh-CN"/>
        </w:rPr>
        <w:t>2）</w:t>
      </w:r>
      <w:r>
        <w:rPr>
          <w:rFonts w:hint="default"/>
          <w:color w:val="auto"/>
          <w:lang w:val="en-US" w:eastAsia="zh-CN"/>
        </w:rPr>
        <w:t>管沟开挖及下管</w:t>
      </w:r>
    </w:p>
    <w:p w14:paraId="0E7E8855">
      <w:pPr>
        <w:pStyle w:val="79"/>
        <w:bidi w:val="0"/>
        <w:rPr>
          <w:rFonts w:hint="default"/>
          <w:color w:val="auto"/>
          <w:lang w:val="en-US" w:eastAsia="zh-CN"/>
        </w:rPr>
      </w:pPr>
      <w:r>
        <w:rPr>
          <w:rFonts w:hint="default"/>
          <w:color w:val="auto"/>
          <w:lang w:val="en-US" w:eastAsia="zh-CN"/>
        </w:rPr>
        <w:t>开挖管沟前，应根据管道施工用地宽度清理其中的杂物，平整沟、坎，以便施工机具通行，同时清除管线中心线两侧以及附近斜坡上危及管道安全的崩塌堆积物。施工前应按照设计图纸要求及各个区域的地质情况向施工人员</w:t>
      </w:r>
      <w:r>
        <w:rPr>
          <w:rFonts w:hint="eastAsia"/>
          <w:color w:val="auto"/>
          <w:lang w:val="en-US" w:eastAsia="zh-CN"/>
        </w:rPr>
        <w:t>做好</w:t>
      </w:r>
      <w:r>
        <w:rPr>
          <w:rFonts w:hint="default"/>
          <w:color w:val="auto"/>
          <w:lang w:val="en-US" w:eastAsia="zh-CN"/>
        </w:rPr>
        <w:t>管沟断面开挖要求（开挖深度及边坡比）、堆土位置及技术要求等的交底工作。管沟开挖可采用机械开挖与人工开挖相结合的方式，有地下障碍物时，障碍物两侧5m范围内，应采用人工开挖。对于重要设施，开挖前应征得其管理方的同意，并应在其监督下开挖管沟。施工机械在纵坡上挖沟，必须根据坡度的大小、土壤的类别、性质及状态计算施工机械的稳定性，并采取相应的措施，确保安全操作。</w:t>
      </w:r>
    </w:p>
    <w:p w14:paraId="121FD11A">
      <w:pPr>
        <w:pStyle w:val="79"/>
        <w:bidi w:val="0"/>
        <w:rPr>
          <w:rFonts w:hint="default"/>
          <w:color w:val="auto"/>
          <w:lang w:val="en-US" w:eastAsia="zh-CN"/>
        </w:rPr>
      </w:pPr>
      <w:r>
        <w:rPr>
          <w:rFonts w:hint="eastAsia"/>
          <w:color w:val="auto"/>
          <w:lang w:val="en-US" w:eastAsia="zh-CN"/>
        </w:rPr>
        <w:t>3）</w:t>
      </w:r>
      <w:r>
        <w:rPr>
          <w:rFonts w:hint="default"/>
          <w:color w:val="auto"/>
          <w:lang w:val="en-US" w:eastAsia="zh-CN"/>
        </w:rPr>
        <w:t>管道连接与试压</w:t>
      </w:r>
    </w:p>
    <w:p w14:paraId="595BACF0">
      <w:pPr>
        <w:pStyle w:val="79"/>
        <w:bidi w:val="0"/>
        <w:rPr>
          <w:rFonts w:hint="default"/>
          <w:color w:val="auto"/>
          <w:lang w:val="en-US" w:eastAsia="zh-CN"/>
        </w:rPr>
      </w:pPr>
      <w:r>
        <w:rPr>
          <w:rFonts w:hint="default"/>
          <w:color w:val="auto"/>
          <w:lang w:val="en-US" w:eastAsia="zh-CN"/>
        </w:rPr>
        <w:t>管道连接应在自然状态下进行，不得强迫对应，钢管焊接必须按规定进行坡口加工。管道在组焊或者连接前，应对管内、管端进行清理，应达到管内无砂、无尘，同时应对坡口及其内表面用手工或机械进行清理，清除管道边缘100mm范围内的油、漆、锈、毛刺等污物。焊接施工时，应根据连接件的材质，先进行试焊选择适当的焊条。</w:t>
      </w:r>
    </w:p>
    <w:p w14:paraId="0129D738">
      <w:pPr>
        <w:pStyle w:val="79"/>
        <w:bidi w:val="0"/>
        <w:rPr>
          <w:rFonts w:hint="default"/>
          <w:color w:val="auto"/>
          <w:lang w:val="en-US" w:eastAsia="zh-CN"/>
        </w:rPr>
      </w:pPr>
      <w:r>
        <w:rPr>
          <w:rFonts w:hint="default"/>
          <w:color w:val="auto"/>
          <w:lang w:val="en-US" w:eastAsia="zh-CN"/>
        </w:rPr>
        <w:t>管线经过连接、防腐补口，进行注水试压</w:t>
      </w:r>
      <w:r>
        <w:rPr>
          <w:rFonts w:hint="eastAsia"/>
          <w:color w:val="auto"/>
          <w:lang w:val="en-US" w:eastAsia="zh-CN"/>
        </w:rPr>
        <w:t>，</w:t>
      </w:r>
      <w:r>
        <w:rPr>
          <w:rFonts w:hint="default"/>
          <w:color w:val="auto"/>
          <w:lang w:val="en-US" w:eastAsia="zh-CN"/>
        </w:rPr>
        <w:t>对管道管线强度试验及严密性试验均以中性洁净水为试验介质</w:t>
      </w:r>
      <w:r>
        <w:rPr>
          <w:rFonts w:hint="eastAsia"/>
          <w:color w:val="auto"/>
          <w:lang w:val="en-US" w:eastAsia="zh-CN"/>
        </w:rPr>
        <w:t>，试压后</w:t>
      </w:r>
      <w:r>
        <w:rPr>
          <w:rFonts w:hint="default"/>
          <w:color w:val="auto"/>
          <w:lang w:val="en-US" w:eastAsia="zh-CN"/>
        </w:rPr>
        <w:t>采用压缩空气进行吹扫，保持管道内清洁。</w:t>
      </w:r>
    </w:p>
    <w:p w14:paraId="36652A31">
      <w:pPr>
        <w:pStyle w:val="79"/>
        <w:bidi w:val="0"/>
        <w:rPr>
          <w:rFonts w:hint="default"/>
          <w:color w:val="auto"/>
          <w:lang w:val="en-US" w:eastAsia="zh-CN"/>
        </w:rPr>
      </w:pPr>
      <w:r>
        <w:rPr>
          <w:rFonts w:hint="eastAsia"/>
          <w:color w:val="auto"/>
          <w:lang w:val="en-US" w:eastAsia="zh-CN"/>
        </w:rPr>
        <w:t>4）</w:t>
      </w:r>
      <w:r>
        <w:rPr>
          <w:rFonts w:hint="default"/>
          <w:color w:val="auto"/>
          <w:lang w:val="en-US" w:eastAsia="zh-CN"/>
        </w:rPr>
        <w:t>井场配套设备安装及连头</w:t>
      </w:r>
    </w:p>
    <w:p w14:paraId="4A8C2BCE">
      <w:pPr>
        <w:pStyle w:val="79"/>
        <w:bidi w:val="0"/>
        <w:rPr>
          <w:rFonts w:hint="default"/>
          <w:color w:val="auto"/>
          <w:lang w:val="en-US" w:eastAsia="zh-CN"/>
        </w:rPr>
      </w:pPr>
      <w:r>
        <w:rPr>
          <w:rFonts w:hint="default"/>
          <w:color w:val="auto"/>
          <w:lang w:val="en-US" w:eastAsia="zh-CN"/>
        </w:rPr>
        <w:t>将配套设备拉运至井场，并完成安装工作。管线施工完成后在井场将管线与</w:t>
      </w:r>
      <w:r>
        <w:rPr>
          <w:rFonts w:hint="eastAsia"/>
          <w:color w:val="auto"/>
          <w:lang w:val="en-US" w:eastAsia="zh-CN"/>
        </w:rPr>
        <w:t>采油树</w:t>
      </w:r>
      <w:r>
        <w:rPr>
          <w:rFonts w:hint="default"/>
          <w:color w:val="auto"/>
          <w:lang w:val="en-US" w:eastAsia="zh-CN"/>
        </w:rPr>
        <w:t>阀门连接，并安装RTU室等辅助设施。</w:t>
      </w:r>
    </w:p>
    <w:p w14:paraId="701A82F3">
      <w:pPr>
        <w:pStyle w:val="79"/>
        <w:bidi w:val="0"/>
        <w:rPr>
          <w:rFonts w:hint="default"/>
          <w:color w:val="auto"/>
          <w:lang w:val="en-US" w:eastAsia="zh-CN"/>
        </w:rPr>
      </w:pPr>
      <w:r>
        <w:rPr>
          <w:rFonts w:hint="eastAsia"/>
          <w:color w:val="auto"/>
          <w:lang w:val="en-US" w:eastAsia="zh-CN"/>
        </w:rPr>
        <w:t>5）</w:t>
      </w:r>
      <w:r>
        <w:rPr>
          <w:rFonts w:hint="default"/>
          <w:color w:val="auto"/>
          <w:lang w:val="en-US" w:eastAsia="zh-CN"/>
        </w:rPr>
        <w:t>收尾工作</w:t>
      </w:r>
    </w:p>
    <w:p w14:paraId="32DE0A10">
      <w:pPr>
        <w:pStyle w:val="79"/>
        <w:bidi w:val="0"/>
        <w:rPr>
          <w:rFonts w:hint="default"/>
          <w:color w:val="auto"/>
          <w:lang w:val="en-US" w:eastAsia="zh-CN"/>
        </w:rPr>
      </w:pPr>
      <w:r>
        <w:rPr>
          <w:rFonts w:hint="default"/>
          <w:color w:val="auto"/>
          <w:lang w:val="en-US" w:eastAsia="zh-CN"/>
        </w:rPr>
        <w:t>收尾工作包括</w:t>
      </w:r>
      <w:r>
        <w:rPr>
          <w:rFonts w:hint="eastAsia"/>
          <w:color w:val="auto"/>
          <w:lang w:val="en-US" w:eastAsia="zh-CN"/>
        </w:rPr>
        <w:t>：</w:t>
      </w:r>
      <w:r>
        <w:rPr>
          <w:rFonts w:hint="default"/>
          <w:color w:val="auto"/>
          <w:lang w:val="en-US" w:eastAsia="zh-CN"/>
        </w:rPr>
        <w:t>管沟回填、场地平整和临时场地恢复。管线连接成功并检验合格后进行管沟回填。对管沟实施土方回填，回填时分二次回填，回填土应与管沟自然土相似，首先距管壁300mm范围先用较小粒径的原土进行小回填，最大回填粒径不超过10mm，然后采用原土进行回填，管顶距自然地坪不小于1.2m且管沟回填土高出自然地面300mm，沿管线铺设方向形成垄，</w:t>
      </w:r>
      <w:r>
        <w:rPr>
          <w:rFonts w:hint="eastAsia"/>
          <w:color w:val="auto"/>
          <w:lang w:val="en-US" w:eastAsia="zh-CN"/>
        </w:rPr>
        <w:t>作为</w:t>
      </w:r>
      <w:r>
        <w:rPr>
          <w:rFonts w:hint="default"/>
          <w:color w:val="auto"/>
          <w:lang w:val="en-US" w:eastAsia="zh-CN"/>
        </w:rPr>
        <w:t>管道上方土层自然沉降富裕量，且可以作为巡视管线的地表标志，剩余土方用于场地平整和临时施工场地土地恢复。第一次回填采用人工回填，第二次回填可采用机械回填，机械回填时，严禁施工机械碾压管道。管沟回填后，在管线沿线设置管道标识、里程桩、转角桩、标志桩、警示牌和警示带等标识。</w:t>
      </w:r>
    </w:p>
    <w:p w14:paraId="1BFFBD3D">
      <w:pPr>
        <w:pStyle w:val="55"/>
        <w:bidi w:val="0"/>
        <w:rPr>
          <w:rFonts w:hint="default"/>
          <w:color w:val="auto"/>
          <w:lang w:val="en-US" w:eastAsia="zh-CN"/>
        </w:rPr>
      </w:pPr>
      <w:r>
        <w:rPr>
          <w:rFonts w:hint="default"/>
          <w:color w:val="auto"/>
          <w:lang w:val="en-US" w:eastAsia="zh-CN"/>
        </w:rPr>
        <w:t>3.</w:t>
      </w:r>
      <w:r>
        <w:rPr>
          <w:rFonts w:hint="eastAsia"/>
          <w:color w:val="auto"/>
          <w:lang w:val="en-US" w:eastAsia="zh-CN"/>
        </w:rPr>
        <w:t>3.</w:t>
      </w:r>
      <w:r>
        <w:rPr>
          <w:rFonts w:hint="default"/>
          <w:color w:val="auto"/>
          <w:lang w:val="en-US" w:eastAsia="zh-CN"/>
        </w:rPr>
        <w:t>1.2</w:t>
      </w:r>
      <w:r>
        <w:rPr>
          <w:rFonts w:hint="eastAsia"/>
          <w:color w:val="auto"/>
          <w:lang w:val="en-US" w:eastAsia="zh-CN"/>
        </w:rPr>
        <w:t xml:space="preserve"> </w:t>
      </w:r>
      <w:r>
        <w:rPr>
          <w:rFonts w:hint="default"/>
          <w:color w:val="auto"/>
          <w:lang w:val="en-US" w:eastAsia="zh-CN"/>
        </w:rPr>
        <w:t>运营期</w:t>
      </w:r>
    </w:p>
    <w:p w14:paraId="18E3CC36">
      <w:pPr>
        <w:pStyle w:val="79"/>
        <w:bidi w:val="0"/>
        <w:rPr>
          <w:rFonts w:hint="default"/>
          <w:color w:val="auto"/>
          <w:lang w:val="en-US" w:eastAsia="zh-CN"/>
        </w:rPr>
      </w:pPr>
      <w:r>
        <w:rPr>
          <w:rFonts w:hint="default"/>
          <w:color w:val="auto"/>
          <w:lang w:val="en-US" w:eastAsia="zh-CN"/>
        </w:rPr>
        <w:t>单井集输：单井采用标准化油井井场，通过单井集输管道输至雄探1试采点。</w:t>
      </w:r>
    </w:p>
    <w:p w14:paraId="55242D96">
      <w:pPr>
        <w:pStyle w:val="79"/>
        <w:bidi w:val="0"/>
        <w:rPr>
          <w:rFonts w:hint="default"/>
          <w:color w:val="auto"/>
          <w:lang w:val="en-US" w:eastAsia="zh-CN"/>
        </w:rPr>
      </w:pPr>
      <w:r>
        <w:rPr>
          <w:rFonts w:hint="eastAsia"/>
          <w:color w:val="auto"/>
          <w:lang w:val="en-US" w:eastAsia="zh-CN"/>
        </w:rPr>
        <w:t>雄探1试采点</w:t>
      </w:r>
      <w:r>
        <w:rPr>
          <w:rFonts w:hint="default"/>
          <w:color w:val="auto"/>
          <w:lang w:val="en-US" w:eastAsia="zh-CN"/>
        </w:rPr>
        <w:t>：井场来油气通过进站阀组进站，经计量分离器计量后的油气汇入进站阀组的生产汇管，油气经加热节流橇节流加热后进气液分离器进行油气分离。分离后天然气节流进入干法脱硫装置脱硫，满足天然气外输品质的要求，脱硫后的湿天然气增压、脱水后外输至玉东</w:t>
      </w:r>
      <w:r>
        <w:rPr>
          <w:rFonts w:hint="eastAsia"/>
          <w:color w:val="auto"/>
          <w:lang w:val="en-US" w:eastAsia="zh-CN"/>
        </w:rPr>
        <w:t>2</w:t>
      </w:r>
      <w:r>
        <w:rPr>
          <w:rFonts w:hint="default"/>
          <w:color w:val="auto"/>
          <w:lang w:val="en-US" w:eastAsia="zh-CN"/>
        </w:rPr>
        <w:t>增压站；分离后原油经闪蒸分离器闪蒸后进50m</w:t>
      </w:r>
      <w:r>
        <w:rPr>
          <w:rFonts w:hint="default"/>
          <w:color w:val="auto"/>
          <w:vertAlign w:val="superscript"/>
          <w:lang w:val="en-US" w:eastAsia="zh-CN"/>
        </w:rPr>
        <w:t>3</w:t>
      </w:r>
      <w:r>
        <w:rPr>
          <w:rFonts w:hint="default"/>
          <w:color w:val="auto"/>
          <w:lang w:val="en-US" w:eastAsia="zh-CN"/>
        </w:rPr>
        <w:t>原油方罐储存，经装车单元装车拉运至哈六联合站。</w:t>
      </w:r>
    </w:p>
    <w:p w14:paraId="3CB0FF84">
      <w:pPr>
        <w:pStyle w:val="79"/>
        <w:bidi w:val="0"/>
        <w:rPr>
          <w:rFonts w:hint="default"/>
          <w:color w:val="auto"/>
          <w:lang w:val="en-US" w:eastAsia="zh-CN"/>
        </w:rPr>
      </w:pPr>
      <w:r>
        <w:rPr>
          <w:rFonts w:hint="eastAsia"/>
          <w:color w:val="auto"/>
          <w:lang w:val="en-US" w:eastAsia="zh-CN"/>
        </w:rPr>
        <w:t>产品外输</w:t>
      </w:r>
      <w:r>
        <w:rPr>
          <w:rFonts w:hint="default"/>
          <w:color w:val="auto"/>
          <w:lang w:val="en-US" w:eastAsia="zh-CN"/>
        </w:rPr>
        <w:t>：天然气经已建集气干线输至玉东2增压站，增压后进入西干线，与西干线其他站场的气液混输至英买处理站，天然气在英买处理站进行脱水、脱烃处理。原油经装车单元装车拉运至哈六联合站进行脱硫、脱水处理。</w:t>
      </w:r>
    </w:p>
    <w:p w14:paraId="0869C74D">
      <w:pPr>
        <w:widowControl/>
        <w:spacing w:line="360" w:lineRule="auto"/>
        <w:ind w:firstLine="480" w:firstLineChars="200"/>
        <w:jc w:val="center"/>
        <w:rPr>
          <w:rFonts w:hint="eastAsia" w:ascii="黑体" w:hAnsi="黑体" w:eastAsia="黑体" w:cs="黑体"/>
          <w:b/>
          <w:bCs/>
          <w:color w:val="auto"/>
          <w:sz w:val="24"/>
          <w:szCs w:val="24"/>
          <w:highlight w:val="none"/>
          <w:lang w:val="en-US" w:eastAsia="zh-CN"/>
        </w:rPr>
      </w:pPr>
    </w:p>
    <w:p w14:paraId="37C701AA">
      <w:pPr>
        <w:widowControl/>
        <w:spacing w:line="360" w:lineRule="auto"/>
        <w:ind w:firstLine="480" w:firstLineChars="200"/>
        <w:jc w:val="center"/>
        <w:rPr>
          <w:rFonts w:hint="eastAsia" w:ascii="黑体" w:hAnsi="黑体" w:eastAsia="黑体" w:cs="黑体"/>
          <w:b/>
          <w:bCs/>
          <w:color w:val="auto"/>
          <w:sz w:val="24"/>
          <w:szCs w:val="24"/>
          <w:highlight w:val="none"/>
          <w:lang w:val="en-US" w:eastAsia="zh-CN"/>
        </w:rPr>
      </w:pPr>
    </w:p>
    <w:p w14:paraId="5182C23C">
      <w:pPr>
        <w:widowControl/>
        <w:spacing w:line="360" w:lineRule="auto"/>
        <w:ind w:firstLine="480" w:firstLineChars="200"/>
        <w:jc w:val="center"/>
        <w:rPr>
          <w:rFonts w:hint="eastAsia" w:ascii="黑体" w:hAnsi="黑体" w:eastAsia="黑体" w:cs="黑体"/>
          <w:b/>
          <w:bCs/>
          <w:color w:val="auto"/>
          <w:sz w:val="24"/>
          <w:szCs w:val="24"/>
          <w:highlight w:val="none"/>
          <w:lang w:val="en-US" w:eastAsia="zh-CN"/>
        </w:rPr>
      </w:pPr>
    </w:p>
    <w:p w14:paraId="1930F91B">
      <w:pPr>
        <w:widowControl/>
        <w:spacing w:line="360" w:lineRule="auto"/>
        <w:ind w:firstLine="480" w:firstLineChars="200"/>
        <w:jc w:val="center"/>
        <w:rPr>
          <w:rFonts w:hint="eastAsia" w:ascii="黑体" w:hAnsi="黑体" w:eastAsia="黑体" w:cs="黑体"/>
          <w:b/>
          <w:bCs/>
          <w:color w:val="auto"/>
          <w:sz w:val="24"/>
          <w:szCs w:val="24"/>
          <w:highlight w:val="none"/>
          <w:lang w:val="en-US" w:eastAsia="zh-CN"/>
        </w:rPr>
      </w:pPr>
    </w:p>
    <w:p w14:paraId="5970D5D5">
      <w:pPr>
        <w:widowControl/>
        <w:spacing w:line="360" w:lineRule="auto"/>
        <w:ind w:firstLine="480" w:firstLineChars="200"/>
        <w:jc w:val="center"/>
        <w:rPr>
          <w:rFonts w:hint="eastAsia" w:ascii="黑体" w:hAnsi="黑体" w:eastAsia="黑体" w:cs="黑体"/>
          <w:b/>
          <w:bCs/>
          <w:color w:val="auto"/>
          <w:sz w:val="24"/>
          <w:szCs w:val="24"/>
          <w:highlight w:val="none"/>
          <w:lang w:val="en-US" w:eastAsia="zh-CN"/>
        </w:rPr>
      </w:pPr>
    </w:p>
    <w:p w14:paraId="1EDC5E4A">
      <w:pPr>
        <w:widowControl/>
        <w:spacing w:line="360" w:lineRule="auto"/>
        <w:ind w:firstLine="480" w:firstLineChars="200"/>
        <w:jc w:val="center"/>
        <w:rPr>
          <w:rFonts w:hint="eastAsia" w:ascii="黑体" w:hAnsi="黑体" w:eastAsia="黑体" w:cs="黑体"/>
          <w:b/>
          <w:bCs/>
          <w:color w:val="auto"/>
          <w:sz w:val="24"/>
          <w:szCs w:val="24"/>
          <w:highlight w:val="none"/>
          <w:lang w:val="en-US" w:eastAsia="zh-CN"/>
        </w:rPr>
      </w:pPr>
    </w:p>
    <w:p w14:paraId="5F3F7D37">
      <w:pPr>
        <w:widowControl/>
        <w:spacing w:line="360" w:lineRule="auto"/>
        <w:ind w:firstLine="480" w:firstLineChars="200"/>
        <w:jc w:val="center"/>
        <w:rPr>
          <w:rFonts w:hint="eastAsia" w:ascii="黑体" w:hAnsi="黑体" w:eastAsia="黑体" w:cs="黑体"/>
          <w:b/>
          <w:bCs/>
          <w:color w:val="auto"/>
          <w:sz w:val="24"/>
          <w:szCs w:val="24"/>
          <w:highlight w:val="none"/>
          <w:lang w:val="en-US" w:eastAsia="zh-CN"/>
        </w:rPr>
      </w:pPr>
      <w:r>
        <w:rPr>
          <w:rFonts w:hint="eastAsia" w:ascii="黑体" w:hAnsi="黑体" w:eastAsia="黑体" w:cs="黑体"/>
          <w:b/>
          <w:bCs/>
          <w:color w:val="auto"/>
          <w:sz w:val="24"/>
          <w:szCs w:val="24"/>
          <w:highlight w:val="none"/>
          <w:lang w:val="en-US" w:eastAsia="zh-CN"/>
        </w:rPr>
        <w:t>图3.3-3  运营期工艺流程及产污环节示意图</w:t>
      </w:r>
    </w:p>
    <w:p w14:paraId="7D836538">
      <w:pPr>
        <w:pStyle w:val="55"/>
        <w:bidi w:val="0"/>
        <w:rPr>
          <w:rFonts w:hint="default"/>
          <w:color w:val="auto"/>
          <w:lang w:val="en-US" w:eastAsia="zh-CN"/>
        </w:rPr>
      </w:pPr>
      <w:r>
        <w:rPr>
          <w:rFonts w:hint="default"/>
          <w:color w:val="auto"/>
          <w:lang w:val="en-US" w:eastAsia="zh-CN"/>
        </w:rPr>
        <w:t>3</w:t>
      </w:r>
      <w:r>
        <w:rPr>
          <w:rFonts w:hint="eastAsia"/>
          <w:color w:val="auto"/>
          <w:lang w:val="en-US" w:eastAsia="zh-CN"/>
        </w:rPr>
        <w:t>.3</w:t>
      </w:r>
      <w:r>
        <w:rPr>
          <w:rFonts w:hint="default"/>
          <w:color w:val="auto"/>
          <w:lang w:val="en-US" w:eastAsia="zh-CN"/>
        </w:rPr>
        <w:t>.1.3</w:t>
      </w:r>
      <w:r>
        <w:rPr>
          <w:rFonts w:hint="eastAsia"/>
          <w:color w:val="auto"/>
          <w:lang w:val="en-US" w:eastAsia="zh-CN"/>
        </w:rPr>
        <w:t xml:space="preserve"> 退役期</w:t>
      </w:r>
    </w:p>
    <w:p w14:paraId="54103ACA">
      <w:pPr>
        <w:pStyle w:val="79"/>
        <w:bidi w:val="0"/>
        <w:rPr>
          <w:rFonts w:hint="default"/>
          <w:color w:val="auto"/>
          <w:lang w:val="en-US" w:eastAsia="zh-CN"/>
        </w:rPr>
      </w:pPr>
      <w:r>
        <w:rPr>
          <w:rFonts w:hint="default"/>
          <w:color w:val="auto"/>
          <w:lang w:val="en-US" w:eastAsia="zh-CN"/>
        </w:rPr>
        <w:t>随着开采的不断进行，其储量逐渐下降，最终井区将进入</w:t>
      </w:r>
      <w:r>
        <w:rPr>
          <w:rFonts w:hint="eastAsia"/>
          <w:color w:val="auto"/>
          <w:lang w:val="en-US" w:eastAsia="zh-CN"/>
        </w:rPr>
        <w:t>退役期</w:t>
      </w:r>
      <w:r>
        <w:rPr>
          <w:rFonts w:hint="default"/>
          <w:color w:val="auto"/>
          <w:lang w:val="en-US" w:eastAsia="zh-CN"/>
        </w:rPr>
        <w:t>。</w:t>
      </w:r>
    </w:p>
    <w:p w14:paraId="32123D7E">
      <w:pPr>
        <w:pStyle w:val="79"/>
        <w:bidi w:val="0"/>
        <w:rPr>
          <w:rFonts w:hint="default"/>
          <w:color w:val="auto"/>
          <w:lang w:val="en-US" w:eastAsia="zh-CN"/>
        </w:rPr>
      </w:pPr>
      <w:r>
        <w:rPr>
          <w:rFonts w:hint="default"/>
          <w:color w:val="auto"/>
          <w:lang w:val="en-US" w:eastAsia="zh-CN"/>
        </w:rPr>
        <w:t>首先采用清水清洗注水通道，然后将固化堵剂和水泥浆从井口平推挤入油层并充满井筒、后凝固化，完成封层和封井。由于清洗后井筒中仍存在被油污、垢体和泥沙堵塞的区域，使固化堵剂和水泥浆无法进入这些区域，但是由于固化堵剂具有优良的胶结性能，且在凝固的过程中存在膨胀性，使该区域的堵塞物被挤压得更结实且能与固化堵剂胶合在一起，完成井筒的封固，使得地层的水在此井筒中无法形成窜流，达到了封井的目的。</w:t>
      </w:r>
    </w:p>
    <w:p w14:paraId="2BCE432F">
      <w:pPr>
        <w:pStyle w:val="54"/>
        <w:bidi w:val="0"/>
        <w:rPr>
          <w:rFonts w:hint="default"/>
          <w:color w:val="auto"/>
        </w:rPr>
      </w:pPr>
      <w:r>
        <w:rPr>
          <w:rFonts w:hint="default"/>
          <w:color w:val="auto"/>
        </w:rPr>
        <w:t>3.</w:t>
      </w:r>
      <w:r>
        <w:rPr>
          <w:rFonts w:hint="eastAsia"/>
          <w:color w:val="auto"/>
          <w:lang w:val="en-US" w:eastAsia="zh-CN"/>
        </w:rPr>
        <w:t>3</w:t>
      </w:r>
      <w:r>
        <w:rPr>
          <w:rFonts w:hint="default"/>
          <w:color w:val="auto"/>
        </w:rPr>
        <w:t>.</w:t>
      </w:r>
      <w:r>
        <w:rPr>
          <w:rFonts w:hint="eastAsia"/>
          <w:color w:val="auto"/>
          <w:lang w:val="en-US" w:eastAsia="zh-CN"/>
        </w:rPr>
        <w:t xml:space="preserve">2 </w:t>
      </w:r>
      <w:r>
        <w:rPr>
          <w:rFonts w:hint="default"/>
          <w:color w:val="auto"/>
        </w:rPr>
        <w:t>施工期环境影响因素分析</w:t>
      </w:r>
    </w:p>
    <w:p w14:paraId="185FCA32">
      <w:pPr>
        <w:pStyle w:val="79"/>
        <w:bidi w:val="0"/>
        <w:rPr>
          <w:rFonts w:hint="default"/>
          <w:color w:val="auto"/>
        </w:rPr>
      </w:pPr>
      <w:r>
        <w:rPr>
          <w:rFonts w:hint="default"/>
          <w:color w:val="auto"/>
        </w:rPr>
        <w:t>工程施工内容主要包括</w:t>
      </w:r>
      <w:r>
        <w:rPr>
          <w:rFonts w:hint="eastAsia"/>
          <w:color w:val="auto"/>
          <w:lang w:val="en-US" w:eastAsia="zh-CN"/>
        </w:rPr>
        <w:t>站场建设、</w:t>
      </w:r>
      <w:r>
        <w:rPr>
          <w:rFonts w:hint="default"/>
          <w:color w:val="auto"/>
        </w:rPr>
        <w:t>管沟开挖、设备安装、覆土回填等，施工过程中占用土地，对地表植被及土壤环境造成一定的扰动。同时施工期间将产生</w:t>
      </w:r>
      <w:r>
        <w:rPr>
          <w:rFonts w:hint="eastAsia"/>
          <w:color w:val="auto"/>
          <w:lang w:eastAsia="zh-CN"/>
        </w:rPr>
        <w:t>：</w:t>
      </w:r>
      <w:r>
        <w:rPr>
          <w:rFonts w:hint="default"/>
          <w:color w:val="auto"/>
        </w:rPr>
        <w:t>废气、废水、噪声、固废等，对区域大气环境、声环境产生一定的影响。</w:t>
      </w:r>
    </w:p>
    <w:p w14:paraId="1D8DEAC6">
      <w:pPr>
        <w:pStyle w:val="55"/>
        <w:bidi w:val="0"/>
        <w:rPr>
          <w:rFonts w:hint="default"/>
          <w:color w:val="auto"/>
          <w:lang w:val="en-US" w:eastAsia="zh-CN"/>
        </w:rPr>
      </w:pPr>
      <w:bookmarkStart w:id="304" w:name="_Toc10183"/>
      <w:r>
        <w:rPr>
          <w:rFonts w:hint="default"/>
          <w:color w:val="auto"/>
          <w:lang w:val="en-US" w:eastAsia="zh-CN"/>
        </w:rPr>
        <w:t>3.</w:t>
      </w:r>
      <w:r>
        <w:rPr>
          <w:rFonts w:hint="eastAsia"/>
          <w:color w:val="auto"/>
          <w:lang w:val="en-US" w:eastAsia="zh-CN"/>
        </w:rPr>
        <w:t>3</w:t>
      </w:r>
      <w:r>
        <w:rPr>
          <w:rFonts w:hint="default"/>
          <w:color w:val="auto"/>
          <w:lang w:val="en-US" w:eastAsia="zh-CN"/>
        </w:rPr>
        <w:t>.</w:t>
      </w:r>
      <w:r>
        <w:rPr>
          <w:rFonts w:hint="eastAsia"/>
          <w:color w:val="auto"/>
          <w:lang w:val="en-US" w:eastAsia="zh-CN"/>
        </w:rPr>
        <w:t>2</w:t>
      </w:r>
      <w:r>
        <w:rPr>
          <w:rFonts w:hint="default"/>
          <w:color w:val="auto"/>
          <w:lang w:val="en-US" w:eastAsia="zh-CN"/>
        </w:rPr>
        <w:t>.1</w:t>
      </w:r>
      <w:r>
        <w:rPr>
          <w:rFonts w:hint="eastAsia"/>
          <w:color w:val="auto"/>
          <w:lang w:val="en-US" w:eastAsia="zh-CN"/>
        </w:rPr>
        <w:t xml:space="preserve"> </w:t>
      </w:r>
      <w:r>
        <w:rPr>
          <w:rFonts w:hint="default"/>
          <w:color w:val="auto"/>
          <w:lang w:val="en-US" w:eastAsia="zh-CN"/>
        </w:rPr>
        <w:t>生态影响因素</w:t>
      </w:r>
      <w:bookmarkEnd w:id="304"/>
    </w:p>
    <w:p w14:paraId="0E998B3F">
      <w:pPr>
        <w:pStyle w:val="79"/>
        <w:bidi w:val="0"/>
        <w:rPr>
          <w:rFonts w:hint="default"/>
          <w:color w:val="auto"/>
        </w:rPr>
      </w:pPr>
      <w:r>
        <w:rPr>
          <w:rFonts w:hint="default"/>
          <w:color w:val="auto"/>
        </w:rPr>
        <w:t>生态影响主要体现在</w:t>
      </w:r>
      <w:r>
        <w:rPr>
          <w:rFonts w:hint="eastAsia"/>
          <w:color w:val="auto"/>
          <w:lang w:eastAsia="zh-CN"/>
        </w:rPr>
        <w:t>：</w:t>
      </w:r>
      <w:r>
        <w:rPr>
          <w:rFonts w:hint="eastAsia"/>
          <w:color w:val="auto"/>
          <w:lang w:val="en-US" w:eastAsia="zh-CN"/>
        </w:rPr>
        <w:t>站场</w:t>
      </w:r>
      <w:r>
        <w:rPr>
          <w:rFonts w:hint="default"/>
          <w:color w:val="auto"/>
        </w:rPr>
        <w:t>、管线建设阶段，如</w:t>
      </w:r>
      <w:r>
        <w:rPr>
          <w:rFonts w:hint="eastAsia"/>
          <w:color w:val="auto"/>
          <w:lang w:eastAsia="zh-CN"/>
        </w:rPr>
        <w:t>：</w:t>
      </w:r>
      <w:r>
        <w:rPr>
          <w:rFonts w:hint="default"/>
          <w:color w:val="auto"/>
        </w:rPr>
        <w:t>占用土地、施工对地表植被的影响、土壤扰动等。</w:t>
      </w:r>
    </w:p>
    <w:p w14:paraId="512FDFCE">
      <w:pPr>
        <w:pStyle w:val="79"/>
        <w:bidi w:val="0"/>
        <w:rPr>
          <w:rFonts w:hint="default"/>
          <w:color w:val="auto"/>
        </w:rPr>
      </w:pPr>
      <w:r>
        <w:rPr>
          <w:rFonts w:hint="default"/>
          <w:color w:val="auto"/>
        </w:rPr>
        <w:t>占用土地包括</w:t>
      </w:r>
      <w:r>
        <w:rPr>
          <w:rFonts w:hint="eastAsia"/>
          <w:color w:val="auto"/>
          <w:lang w:eastAsia="zh-CN"/>
        </w:rPr>
        <w:t>：</w:t>
      </w:r>
      <w:r>
        <w:rPr>
          <w:rFonts w:hint="default"/>
          <w:color w:val="auto"/>
        </w:rPr>
        <w:t>临时占地和永久占地，将暂时或永久改变土地原有使用功能。临时占地包括管线施工便道的临时占地，施工结束后临时占地可恢复原有使用功能。永久占地主要为采</w:t>
      </w:r>
      <w:r>
        <w:rPr>
          <w:rFonts w:hint="eastAsia"/>
          <w:color w:val="auto"/>
          <w:lang w:val="en-US" w:eastAsia="zh-CN"/>
        </w:rPr>
        <w:t>油井</w:t>
      </w:r>
      <w:r>
        <w:rPr>
          <w:rFonts w:hint="default"/>
          <w:color w:val="auto"/>
        </w:rPr>
        <w:t>场的永久占地。</w:t>
      </w:r>
    </w:p>
    <w:p w14:paraId="5C492E1A">
      <w:pPr>
        <w:pStyle w:val="79"/>
        <w:bidi w:val="0"/>
        <w:rPr>
          <w:rFonts w:hint="default"/>
          <w:color w:val="auto"/>
        </w:rPr>
      </w:pPr>
      <w:r>
        <w:rPr>
          <w:rFonts w:hint="default"/>
          <w:color w:val="auto"/>
        </w:rPr>
        <w:t>地面工程施工作业包括</w:t>
      </w:r>
      <w:r>
        <w:rPr>
          <w:rFonts w:hint="eastAsia"/>
          <w:color w:val="auto"/>
          <w:lang w:eastAsia="zh-CN"/>
        </w:rPr>
        <w:t>：</w:t>
      </w:r>
      <w:r>
        <w:rPr>
          <w:rFonts w:hint="default"/>
          <w:color w:val="auto"/>
        </w:rPr>
        <w:t>场</w:t>
      </w:r>
      <w:r>
        <w:rPr>
          <w:rFonts w:hint="eastAsia"/>
          <w:color w:val="auto"/>
          <w:lang w:val="en-US" w:eastAsia="zh-CN"/>
        </w:rPr>
        <w:t>站</w:t>
      </w:r>
      <w:r>
        <w:rPr>
          <w:rFonts w:hint="default"/>
          <w:color w:val="auto"/>
        </w:rPr>
        <w:t>场地平整、管线敷设等，施工作业直接破坏了地面植被，造成了土壤扰动，容易导致水土流失。</w:t>
      </w:r>
    </w:p>
    <w:p w14:paraId="63D16E09">
      <w:pPr>
        <w:pStyle w:val="79"/>
        <w:bidi w:val="0"/>
        <w:rPr>
          <w:rFonts w:hint="default"/>
          <w:color w:val="auto"/>
        </w:rPr>
      </w:pPr>
      <w:r>
        <w:rPr>
          <w:rFonts w:hint="default"/>
          <w:color w:val="auto"/>
        </w:rPr>
        <w:t>根据估算，本工程总占地面积</w:t>
      </w:r>
      <w:r>
        <w:rPr>
          <w:rFonts w:hint="eastAsia"/>
          <w:color w:val="auto"/>
          <w:lang w:val="en-US" w:eastAsia="zh-CN"/>
        </w:rPr>
        <w:t>约27.22</w:t>
      </w:r>
      <w:r>
        <w:rPr>
          <w:rFonts w:hint="default"/>
          <w:color w:val="auto"/>
        </w:rPr>
        <w:t>hm</w:t>
      </w:r>
      <w:r>
        <w:rPr>
          <w:rFonts w:hint="default"/>
          <w:color w:val="auto"/>
          <w:vertAlign w:val="superscript"/>
        </w:rPr>
        <w:t>2</w:t>
      </w:r>
      <w:r>
        <w:rPr>
          <w:rFonts w:hint="default"/>
          <w:color w:val="auto"/>
        </w:rPr>
        <w:t>，其中</w:t>
      </w:r>
      <w:r>
        <w:rPr>
          <w:rFonts w:hint="eastAsia"/>
          <w:color w:val="auto"/>
          <w:lang w:eastAsia="zh-CN"/>
        </w:rPr>
        <w:t>：</w:t>
      </w:r>
      <w:r>
        <w:rPr>
          <w:rFonts w:hint="default"/>
          <w:color w:val="auto"/>
        </w:rPr>
        <w:t>永久性占地面积</w:t>
      </w:r>
      <w:r>
        <w:rPr>
          <w:rFonts w:hint="eastAsia"/>
          <w:color w:val="auto"/>
          <w:lang w:val="en-US" w:eastAsia="zh-CN"/>
        </w:rPr>
        <w:t>约2.52</w:t>
      </w:r>
      <w:r>
        <w:rPr>
          <w:rFonts w:hint="default"/>
          <w:color w:val="auto"/>
        </w:rPr>
        <w:t>hm</w:t>
      </w:r>
      <w:r>
        <w:rPr>
          <w:rFonts w:hint="default"/>
          <w:color w:val="auto"/>
          <w:vertAlign w:val="superscript"/>
        </w:rPr>
        <w:t>2</w:t>
      </w:r>
      <w:r>
        <w:rPr>
          <w:rFonts w:hint="default"/>
          <w:color w:val="auto"/>
        </w:rPr>
        <w:t>，临时占地面积</w:t>
      </w:r>
      <w:r>
        <w:rPr>
          <w:rFonts w:hint="eastAsia"/>
          <w:color w:val="auto"/>
          <w:lang w:val="en-US" w:eastAsia="zh-CN"/>
        </w:rPr>
        <w:t>约24.7</w:t>
      </w:r>
      <w:r>
        <w:rPr>
          <w:rFonts w:hint="default"/>
          <w:color w:val="auto"/>
        </w:rPr>
        <w:t>hm</w:t>
      </w:r>
      <w:r>
        <w:rPr>
          <w:rFonts w:hint="default"/>
          <w:color w:val="auto"/>
          <w:vertAlign w:val="superscript"/>
        </w:rPr>
        <w:t>2</w:t>
      </w:r>
      <w:r>
        <w:rPr>
          <w:rFonts w:hint="default"/>
          <w:color w:val="auto"/>
        </w:rPr>
        <w:t>，工程占地类型为</w:t>
      </w:r>
      <w:r>
        <w:rPr>
          <w:rFonts w:hint="eastAsia"/>
          <w:color w:val="auto"/>
          <w:lang w:val="en-US" w:eastAsia="zh-CN"/>
        </w:rPr>
        <w:t>天然牧草地</w:t>
      </w:r>
      <w:r>
        <w:rPr>
          <w:rFonts w:hint="default"/>
          <w:color w:val="auto"/>
        </w:rPr>
        <w:t>，见表</w:t>
      </w:r>
      <w:r>
        <w:rPr>
          <w:rFonts w:hint="eastAsia"/>
          <w:color w:val="auto"/>
          <w:lang w:val="en-US" w:eastAsia="zh-CN"/>
        </w:rPr>
        <w:t>3.3-1</w:t>
      </w:r>
      <w:r>
        <w:rPr>
          <w:rFonts w:hint="default"/>
          <w:color w:val="auto"/>
        </w:rPr>
        <w:t>。</w:t>
      </w:r>
    </w:p>
    <w:p w14:paraId="54996BF1">
      <w:pPr>
        <w:pStyle w:val="61"/>
        <w:bidi w:val="0"/>
        <w:jc w:val="both"/>
        <w:rPr>
          <w:rFonts w:hint="eastAsia"/>
          <w:color w:val="auto"/>
        </w:rPr>
      </w:pPr>
      <w:r>
        <w:rPr>
          <w:rFonts w:hint="eastAsia"/>
          <w:color w:val="auto"/>
          <w:lang w:val="en-US" w:eastAsia="zh-CN"/>
        </w:rPr>
        <w:t>表3.3-1  占地面积统计表</w:t>
      </w:r>
    </w:p>
    <w:tbl>
      <w:tblPr>
        <w:tblStyle w:val="36"/>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84"/>
        <w:gridCol w:w="917"/>
        <w:gridCol w:w="1290"/>
        <w:gridCol w:w="1290"/>
        <w:gridCol w:w="1088"/>
        <w:gridCol w:w="3560"/>
      </w:tblGrid>
      <w:tr w14:paraId="57AB5F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restart"/>
            <w:tcBorders>
              <w:tl2br w:val="nil"/>
              <w:tr2bl w:val="nil"/>
            </w:tcBorders>
            <w:vAlign w:val="center"/>
          </w:tcPr>
          <w:p w14:paraId="03AA64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519" w:type="pct"/>
            <w:vMerge w:val="restart"/>
            <w:tcBorders>
              <w:tl2br w:val="nil"/>
              <w:tr2bl w:val="nil"/>
            </w:tcBorders>
            <w:vAlign w:val="center"/>
          </w:tcPr>
          <w:p w14:paraId="74C096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w:t>
            </w:r>
          </w:p>
          <w:p w14:paraId="6A920E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w:t>
            </w:r>
          </w:p>
        </w:tc>
        <w:tc>
          <w:tcPr>
            <w:tcW w:w="2077" w:type="pct"/>
            <w:gridSpan w:val="3"/>
            <w:tcBorders>
              <w:tl2br w:val="nil"/>
              <w:tr2bl w:val="nil"/>
            </w:tcBorders>
            <w:vAlign w:val="center"/>
          </w:tcPr>
          <w:p w14:paraId="13FEDB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面积（hm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p>
        </w:tc>
        <w:tc>
          <w:tcPr>
            <w:tcW w:w="2015" w:type="pct"/>
            <w:vMerge w:val="restart"/>
            <w:tcBorders>
              <w:tl2br w:val="nil"/>
              <w:tr2bl w:val="nil"/>
            </w:tcBorders>
            <w:vAlign w:val="center"/>
          </w:tcPr>
          <w:p w14:paraId="40EDE0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备</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注</w:t>
            </w:r>
          </w:p>
        </w:tc>
      </w:tr>
      <w:tr w14:paraId="37B03E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tl2br w:val="nil"/>
              <w:tr2bl w:val="nil"/>
            </w:tcBorders>
            <w:vAlign w:val="center"/>
          </w:tcPr>
          <w:p w14:paraId="6DA316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p>
        </w:tc>
        <w:tc>
          <w:tcPr>
            <w:tcW w:w="519" w:type="pct"/>
            <w:vMerge w:val="continue"/>
            <w:tcBorders>
              <w:tl2br w:val="nil"/>
              <w:tr2bl w:val="nil"/>
            </w:tcBorders>
            <w:vAlign w:val="center"/>
          </w:tcPr>
          <w:p w14:paraId="7CCB0D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p>
        </w:tc>
        <w:tc>
          <w:tcPr>
            <w:tcW w:w="730" w:type="pct"/>
            <w:tcBorders>
              <w:tl2br w:val="nil"/>
              <w:tr2bl w:val="nil"/>
            </w:tcBorders>
            <w:vAlign w:val="center"/>
          </w:tcPr>
          <w:p w14:paraId="285F45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永久占地</w:t>
            </w:r>
          </w:p>
        </w:tc>
        <w:tc>
          <w:tcPr>
            <w:tcW w:w="730" w:type="pct"/>
            <w:tcBorders>
              <w:tl2br w:val="nil"/>
              <w:tr2bl w:val="nil"/>
            </w:tcBorders>
            <w:vAlign w:val="center"/>
          </w:tcPr>
          <w:p w14:paraId="1E3DF3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临时占地</w:t>
            </w:r>
          </w:p>
        </w:tc>
        <w:tc>
          <w:tcPr>
            <w:tcW w:w="616" w:type="pct"/>
            <w:tcBorders>
              <w:tl2br w:val="nil"/>
              <w:tr2bl w:val="nil"/>
            </w:tcBorders>
            <w:vAlign w:val="center"/>
          </w:tcPr>
          <w:p w14:paraId="736842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总占地</w:t>
            </w:r>
          </w:p>
        </w:tc>
        <w:tc>
          <w:tcPr>
            <w:tcW w:w="2015" w:type="pct"/>
            <w:vMerge w:val="continue"/>
            <w:tcBorders>
              <w:tl2br w:val="nil"/>
              <w:tr2bl w:val="nil"/>
            </w:tcBorders>
            <w:vAlign w:val="center"/>
          </w:tcPr>
          <w:p w14:paraId="0F37C7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p>
        </w:tc>
      </w:tr>
      <w:tr w14:paraId="1801A5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tcBorders>
              <w:tl2br w:val="nil"/>
              <w:tr2bl w:val="nil"/>
            </w:tcBorders>
            <w:vAlign w:val="center"/>
          </w:tcPr>
          <w:p w14:paraId="4F35BB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519" w:type="pct"/>
            <w:tcBorders>
              <w:tl2br w:val="nil"/>
              <w:tr2bl w:val="nil"/>
            </w:tcBorders>
            <w:vAlign w:val="center"/>
          </w:tcPr>
          <w:p w14:paraId="666490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井场</w:t>
            </w:r>
          </w:p>
        </w:tc>
        <w:tc>
          <w:tcPr>
            <w:tcW w:w="730" w:type="pct"/>
            <w:tcBorders>
              <w:tl2br w:val="nil"/>
              <w:tr2bl w:val="nil"/>
            </w:tcBorders>
            <w:vAlign w:val="center"/>
          </w:tcPr>
          <w:p w14:paraId="516191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0.84</w:t>
            </w:r>
          </w:p>
        </w:tc>
        <w:tc>
          <w:tcPr>
            <w:tcW w:w="730" w:type="pct"/>
            <w:tcBorders>
              <w:tl2br w:val="nil"/>
              <w:tr2bl w:val="nil"/>
            </w:tcBorders>
            <w:vAlign w:val="center"/>
          </w:tcPr>
          <w:p w14:paraId="00503E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616" w:type="pct"/>
            <w:tcBorders>
              <w:tl2br w:val="nil"/>
              <w:tr2bl w:val="nil"/>
            </w:tcBorders>
            <w:vAlign w:val="center"/>
          </w:tcPr>
          <w:p w14:paraId="51E510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0.84</w:t>
            </w:r>
          </w:p>
        </w:tc>
        <w:tc>
          <w:tcPr>
            <w:tcW w:w="2015" w:type="pct"/>
            <w:tcBorders>
              <w:tl2br w:val="nil"/>
              <w:tr2bl w:val="nil"/>
            </w:tcBorders>
            <w:vAlign w:val="center"/>
          </w:tcPr>
          <w:p w14:paraId="7DB6871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单个</w:t>
            </w:r>
            <w:r>
              <w:rPr>
                <w:rFonts w:hint="default" w:ascii="Times New Roman" w:hAnsi="Times New Roman" w:eastAsia="宋体" w:cs="Times New Roman"/>
                <w:color w:val="auto"/>
                <w:sz w:val="21"/>
                <w:szCs w:val="21"/>
                <w:highlight w:val="none"/>
              </w:rPr>
              <w:t>井场永久占地</w:t>
            </w:r>
            <w:r>
              <w:rPr>
                <w:rFonts w:hint="default" w:ascii="Times New Roman" w:hAnsi="Times New Roman" w:eastAsia="宋体" w:cs="Times New Roman"/>
                <w:color w:val="auto"/>
                <w:sz w:val="21"/>
                <w:szCs w:val="21"/>
                <w:highlight w:val="none"/>
                <w:lang w:val="en-US" w:eastAsia="zh-CN"/>
              </w:rPr>
              <w:t>35</w:t>
            </w:r>
            <w:r>
              <w:rPr>
                <w:rFonts w:hint="default" w:ascii="Times New Roman" w:hAnsi="Times New Roman" w:eastAsia="宋体" w:cs="Times New Roman"/>
                <w:color w:val="auto"/>
                <w:sz w:val="21"/>
                <w:szCs w:val="21"/>
                <w:highlight w:val="none"/>
              </w:rPr>
              <w:t>m</w:t>
            </w:r>
            <w:r>
              <w:rPr>
                <w:rFonts w:hint="default" w:ascii="Arial" w:hAnsi="Arial" w:eastAsia="宋体" w:cs="Arial"/>
                <w:color w:val="auto"/>
                <w:sz w:val="21"/>
                <w:szCs w:val="21"/>
                <w:highlight w:val="none"/>
              </w:rPr>
              <w:t>×</w:t>
            </w:r>
            <w:r>
              <w:rPr>
                <w:rFonts w:hint="default" w:ascii="Times New Roman" w:hAnsi="Times New Roman" w:eastAsia="宋体"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lang w:val="en-US" w:eastAsia="zh-CN"/>
              </w:rPr>
              <w:t>占地类型为天然牧草地。</w:t>
            </w:r>
          </w:p>
        </w:tc>
      </w:tr>
      <w:tr w14:paraId="316DAB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0" w:hRule="atLeast"/>
          <w:jc w:val="center"/>
        </w:trPr>
        <w:tc>
          <w:tcPr>
            <w:tcW w:w="387" w:type="pct"/>
            <w:tcBorders>
              <w:tl2br w:val="nil"/>
              <w:tr2bl w:val="nil"/>
            </w:tcBorders>
            <w:vAlign w:val="center"/>
          </w:tcPr>
          <w:p w14:paraId="55E99B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519" w:type="pct"/>
            <w:tcBorders>
              <w:tl2br w:val="nil"/>
              <w:tr2bl w:val="nil"/>
            </w:tcBorders>
            <w:vAlign w:val="center"/>
          </w:tcPr>
          <w:p w14:paraId="199726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雄探1试采点</w:t>
            </w:r>
          </w:p>
        </w:tc>
        <w:tc>
          <w:tcPr>
            <w:tcW w:w="730" w:type="pct"/>
            <w:tcBorders>
              <w:tl2br w:val="nil"/>
              <w:tr2bl w:val="nil"/>
            </w:tcBorders>
            <w:vAlign w:val="center"/>
          </w:tcPr>
          <w:p w14:paraId="58E60F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highlight w:val="none"/>
                <w:lang w:val="en-US" w:eastAsia="zh-CN"/>
              </w:rPr>
            </w:pPr>
            <w:r>
              <w:rPr>
                <w:rFonts w:hint="eastAsia"/>
                <w:color w:val="auto"/>
                <w:highlight w:val="none"/>
                <w:lang w:val="en-US" w:eastAsia="zh-CN"/>
              </w:rPr>
              <w:t>1.68</w:t>
            </w:r>
          </w:p>
        </w:tc>
        <w:tc>
          <w:tcPr>
            <w:tcW w:w="730" w:type="pct"/>
            <w:tcBorders>
              <w:tl2br w:val="nil"/>
              <w:tr2bl w:val="nil"/>
            </w:tcBorders>
            <w:vAlign w:val="center"/>
          </w:tcPr>
          <w:p w14:paraId="25C508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616" w:type="pct"/>
            <w:tcBorders>
              <w:tl2br w:val="nil"/>
              <w:tr2bl w:val="nil"/>
            </w:tcBorders>
            <w:vAlign w:val="center"/>
          </w:tcPr>
          <w:p w14:paraId="00EB88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1.68</w:t>
            </w:r>
          </w:p>
        </w:tc>
        <w:tc>
          <w:tcPr>
            <w:tcW w:w="2015" w:type="pct"/>
            <w:tcBorders>
              <w:tl2br w:val="nil"/>
              <w:tr2bl w:val="nil"/>
            </w:tcBorders>
            <w:vAlign w:val="center"/>
          </w:tcPr>
          <w:p w14:paraId="0D50FBA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雄探1试采点</w:t>
            </w:r>
            <w:r>
              <w:rPr>
                <w:rFonts w:hint="default" w:ascii="Times New Roman" w:hAnsi="Times New Roman" w:eastAsia="宋体" w:cs="Times New Roman"/>
                <w:color w:val="auto"/>
                <w:sz w:val="21"/>
                <w:szCs w:val="21"/>
                <w:highlight w:val="none"/>
              </w:rPr>
              <w:t>永久占地</w:t>
            </w:r>
            <w:r>
              <w:rPr>
                <w:rFonts w:hint="eastAsia" w:cs="Times New Roman"/>
                <w:color w:val="auto"/>
                <w:sz w:val="21"/>
                <w:szCs w:val="21"/>
                <w:highlight w:val="none"/>
                <w:lang w:val="en-US" w:eastAsia="zh-CN"/>
              </w:rPr>
              <w:t>120</w:t>
            </w:r>
            <w:r>
              <w:rPr>
                <w:rFonts w:hint="default" w:ascii="Times New Roman" w:hAnsi="Times New Roman" w:eastAsia="宋体" w:cs="Times New Roman"/>
                <w:color w:val="auto"/>
                <w:sz w:val="21"/>
                <w:szCs w:val="21"/>
                <w:highlight w:val="none"/>
              </w:rPr>
              <w:t>m</w:t>
            </w:r>
            <w:r>
              <w:rPr>
                <w:rFonts w:hint="default" w:ascii="Arial" w:hAnsi="Arial" w:eastAsia="宋体" w:cs="Arial"/>
                <w:color w:val="auto"/>
                <w:sz w:val="21"/>
                <w:szCs w:val="21"/>
                <w:highlight w:val="none"/>
              </w:rPr>
              <w:t>×</w:t>
            </w:r>
            <w:r>
              <w:rPr>
                <w:rFonts w:hint="eastAsia" w:cs="Times New Roman"/>
                <w:color w:val="auto"/>
                <w:sz w:val="21"/>
                <w:szCs w:val="21"/>
                <w:highlight w:val="none"/>
                <w:lang w:val="en-US" w:eastAsia="zh-CN"/>
              </w:rPr>
              <w:t>140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lang w:val="en-US" w:eastAsia="zh-CN"/>
              </w:rPr>
              <w:t>占地类型为天然牧草地。</w:t>
            </w:r>
          </w:p>
        </w:tc>
      </w:tr>
      <w:tr w14:paraId="44F70D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0" w:hRule="atLeast"/>
          <w:jc w:val="center"/>
        </w:trPr>
        <w:tc>
          <w:tcPr>
            <w:tcW w:w="387" w:type="pct"/>
            <w:tcBorders>
              <w:tl2br w:val="nil"/>
              <w:tr2bl w:val="nil"/>
            </w:tcBorders>
            <w:vAlign w:val="center"/>
          </w:tcPr>
          <w:p w14:paraId="6C88A6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519" w:type="pct"/>
            <w:tcBorders>
              <w:tl2br w:val="nil"/>
              <w:tr2bl w:val="nil"/>
            </w:tcBorders>
            <w:vAlign w:val="center"/>
          </w:tcPr>
          <w:p w14:paraId="7439B5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集输</w:t>
            </w:r>
          </w:p>
          <w:p w14:paraId="08C215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管线</w:t>
            </w:r>
          </w:p>
        </w:tc>
        <w:tc>
          <w:tcPr>
            <w:tcW w:w="730" w:type="pct"/>
            <w:tcBorders>
              <w:tl2br w:val="nil"/>
              <w:tr2bl w:val="nil"/>
            </w:tcBorders>
            <w:vAlign w:val="center"/>
          </w:tcPr>
          <w:p w14:paraId="79531A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730" w:type="pct"/>
            <w:tcBorders>
              <w:tl2br w:val="nil"/>
              <w:tr2bl w:val="nil"/>
            </w:tcBorders>
            <w:vAlign w:val="center"/>
          </w:tcPr>
          <w:p w14:paraId="635700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24.7</w:t>
            </w:r>
          </w:p>
        </w:tc>
        <w:tc>
          <w:tcPr>
            <w:tcW w:w="616" w:type="pct"/>
            <w:tcBorders>
              <w:tl2br w:val="nil"/>
              <w:tr2bl w:val="nil"/>
            </w:tcBorders>
            <w:vAlign w:val="center"/>
          </w:tcPr>
          <w:p w14:paraId="4EC8F8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24.7</w:t>
            </w:r>
          </w:p>
        </w:tc>
        <w:tc>
          <w:tcPr>
            <w:tcW w:w="2015" w:type="pct"/>
            <w:tcBorders>
              <w:tl2br w:val="nil"/>
              <w:tr2bl w:val="nil"/>
            </w:tcBorders>
            <w:vAlign w:val="center"/>
          </w:tcPr>
          <w:p w14:paraId="15111F4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新建各类</w:t>
            </w:r>
            <w:r>
              <w:rPr>
                <w:rFonts w:hint="default" w:ascii="Times New Roman" w:hAnsi="Times New Roman" w:eastAsia="宋体" w:cs="Times New Roman"/>
                <w:color w:val="auto"/>
                <w:sz w:val="21"/>
                <w:szCs w:val="21"/>
                <w:highlight w:val="none"/>
              </w:rPr>
              <w:t>集输管线长</w:t>
            </w:r>
            <w:r>
              <w:rPr>
                <w:rFonts w:hint="eastAsia" w:cs="Times New Roman"/>
                <w:color w:val="auto"/>
                <w:sz w:val="21"/>
                <w:szCs w:val="21"/>
                <w:highlight w:val="none"/>
                <w:lang w:val="en-US" w:eastAsia="zh-CN"/>
              </w:rPr>
              <w:t>24.7</w:t>
            </w:r>
            <w:r>
              <w:rPr>
                <w:rFonts w:hint="default" w:ascii="Times New Roman" w:hAnsi="Times New Roman" w:eastAsia="宋体" w:cs="Times New Roman"/>
                <w:color w:val="auto"/>
                <w:sz w:val="21"/>
                <w:szCs w:val="21"/>
                <w:highlight w:val="none"/>
              </w:rPr>
              <w:t>km，作业带宽度</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lang w:val="en-US" w:eastAsia="zh-CN"/>
              </w:rPr>
              <w:t>占地类型为天然牧草地。</w:t>
            </w:r>
          </w:p>
        </w:tc>
      </w:tr>
      <w:tr w14:paraId="19467C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06" w:type="pct"/>
            <w:gridSpan w:val="2"/>
            <w:tcBorders>
              <w:tl2br w:val="nil"/>
              <w:tr2bl w:val="nil"/>
            </w:tcBorders>
            <w:vAlign w:val="center"/>
          </w:tcPr>
          <w:p w14:paraId="13816D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合计</w:t>
            </w:r>
          </w:p>
        </w:tc>
        <w:tc>
          <w:tcPr>
            <w:tcW w:w="730" w:type="pct"/>
            <w:tcBorders>
              <w:tl2br w:val="nil"/>
              <w:tr2bl w:val="nil"/>
            </w:tcBorders>
            <w:vAlign w:val="center"/>
          </w:tcPr>
          <w:p w14:paraId="604CA5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2.52</w:t>
            </w:r>
          </w:p>
        </w:tc>
        <w:tc>
          <w:tcPr>
            <w:tcW w:w="730" w:type="pct"/>
            <w:tcBorders>
              <w:tl2br w:val="nil"/>
              <w:tr2bl w:val="nil"/>
            </w:tcBorders>
            <w:vAlign w:val="center"/>
          </w:tcPr>
          <w:p w14:paraId="34621F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24.7</w:t>
            </w:r>
          </w:p>
        </w:tc>
        <w:tc>
          <w:tcPr>
            <w:tcW w:w="616" w:type="pct"/>
            <w:tcBorders>
              <w:tl2br w:val="nil"/>
              <w:tr2bl w:val="nil"/>
            </w:tcBorders>
            <w:vAlign w:val="center"/>
          </w:tcPr>
          <w:p w14:paraId="2978B0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27.22</w:t>
            </w:r>
          </w:p>
        </w:tc>
        <w:tc>
          <w:tcPr>
            <w:tcW w:w="2015" w:type="pct"/>
            <w:tcBorders>
              <w:tl2br w:val="nil"/>
              <w:tr2bl w:val="nil"/>
            </w:tcBorders>
            <w:vAlign w:val="center"/>
          </w:tcPr>
          <w:p w14:paraId="1E1462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bl>
    <w:p w14:paraId="44C229A1">
      <w:pPr>
        <w:pStyle w:val="55"/>
        <w:bidi w:val="0"/>
        <w:rPr>
          <w:rFonts w:hint="default"/>
          <w:color w:val="auto"/>
          <w:lang w:val="en-US" w:eastAsia="zh-CN"/>
        </w:rPr>
      </w:pPr>
      <w:bookmarkStart w:id="305" w:name="_Toc32327"/>
      <w:r>
        <w:rPr>
          <w:rFonts w:hint="default"/>
          <w:color w:val="auto"/>
          <w:lang w:val="en-US" w:eastAsia="zh-CN"/>
        </w:rPr>
        <w:t>3.</w:t>
      </w:r>
      <w:r>
        <w:rPr>
          <w:rFonts w:hint="eastAsia"/>
          <w:color w:val="auto"/>
          <w:lang w:val="en-US" w:eastAsia="zh-CN"/>
        </w:rPr>
        <w:t>3</w:t>
      </w:r>
      <w:r>
        <w:rPr>
          <w:rFonts w:hint="default"/>
          <w:color w:val="auto"/>
          <w:lang w:val="en-US" w:eastAsia="zh-CN"/>
        </w:rPr>
        <w:t>.</w:t>
      </w:r>
      <w:r>
        <w:rPr>
          <w:rFonts w:hint="eastAsia"/>
          <w:color w:val="auto"/>
          <w:lang w:val="en-US" w:eastAsia="zh-CN"/>
        </w:rPr>
        <w:t>2</w:t>
      </w:r>
      <w:r>
        <w:rPr>
          <w:rFonts w:hint="default"/>
          <w:color w:val="auto"/>
          <w:lang w:val="en-US" w:eastAsia="zh-CN"/>
        </w:rPr>
        <w:t>.2</w:t>
      </w:r>
      <w:r>
        <w:rPr>
          <w:rFonts w:hint="eastAsia"/>
          <w:color w:val="auto"/>
          <w:lang w:val="en-US" w:eastAsia="zh-CN"/>
        </w:rPr>
        <w:t xml:space="preserve"> </w:t>
      </w:r>
      <w:r>
        <w:rPr>
          <w:rFonts w:hint="default"/>
          <w:color w:val="auto"/>
          <w:lang w:val="en-US" w:eastAsia="zh-CN"/>
        </w:rPr>
        <w:t>施工期污染源分析</w:t>
      </w:r>
      <w:bookmarkEnd w:id="305"/>
    </w:p>
    <w:p w14:paraId="6C586543">
      <w:pPr>
        <w:pStyle w:val="79"/>
        <w:bidi w:val="0"/>
        <w:rPr>
          <w:rFonts w:hint="eastAsia"/>
          <w:color w:val="auto"/>
        </w:rPr>
      </w:pPr>
      <w:bookmarkStart w:id="306" w:name="_Toc11185"/>
      <w:bookmarkStart w:id="307" w:name="_Toc4165"/>
      <w:bookmarkStart w:id="308" w:name="_Toc17975"/>
      <w:bookmarkStart w:id="309" w:name="_Toc27869"/>
      <w:bookmarkStart w:id="310" w:name="_Toc31230"/>
      <w:bookmarkStart w:id="311" w:name="_Toc20426"/>
      <w:bookmarkStart w:id="312" w:name="_Toc23794"/>
      <w:r>
        <w:rPr>
          <w:rFonts w:hint="eastAsia"/>
          <w:color w:val="auto"/>
        </w:rPr>
        <w:t>（1）废气</w:t>
      </w:r>
      <w:bookmarkEnd w:id="306"/>
      <w:bookmarkEnd w:id="307"/>
      <w:bookmarkEnd w:id="308"/>
      <w:bookmarkEnd w:id="309"/>
      <w:bookmarkEnd w:id="310"/>
      <w:bookmarkEnd w:id="311"/>
      <w:bookmarkEnd w:id="312"/>
    </w:p>
    <w:p w14:paraId="422408F4">
      <w:pPr>
        <w:pStyle w:val="79"/>
        <w:bidi w:val="0"/>
        <w:rPr>
          <w:rFonts w:hint="default"/>
          <w:color w:val="auto"/>
          <w:lang w:val="en-US" w:eastAsia="zh-CN"/>
        </w:rPr>
      </w:pPr>
      <w:r>
        <w:rPr>
          <w:rFonts w:hint="eastAsia"/>
          <w:color w:val="auto"/>
          <w:lang w:val="en-US" w:eastAsia="zh-CN"/>
        </w:rPr>
        <w:t>本项目施工期产生的废气主要为施工扬尘、作业机械废气、运输车辆尾气排放。</w:t>
      </w:r>
    </w:p>
    <w:p w14:paraId="7AD6357D">
      <w:pPr>
        <w:pStyle w:val="79"/>
        <w:bidi w:val="0"/>
        <w:rPr>
          <w:rFonts w:hint="default"/>
          <w:color w:val="auto"/>
          <w:lang w:val="zh-CN"/>
        </w:rPr>
      </w:pPr>
      <w:r>
        <w:rPr>
          <w:rFonts w:hint="eastAsia"/>
          <w:color w:val="auto"/>
          <w:lang w:val="en-US" w:eastAsia="zh-CN"/>
        </w:rPr>
        <w:t>1</w:t>
      </w:r>
      <w:r>
        <w:rPr>
          <w:rFonts w:hint="default"/>
          <w:color w:val="auto"/>
          <w:lang w:val="zh-CN"/>
        </w:rPr>
        <w:t>）扬尘</w:t>
      </w:r>
    </w:p>
    <w:p w14:paraId="0C5806CB">
      <w:pPr>
        <w:pStyle w:val="79"/>
        <w:bidi w:val="0"/>
        <w:rPr>
          <w:rFonts w:hint="default"/>
          <w:color w:val="auto"/>
          <w:lang w:val="zh-CN"/>
        </w:rPr>
      </w:pPr>
      <w:r>
        <w:rPr>
          <w:rFonts w:hint="default"/>
          <w:color w:val="auto"/>
          <w:lang w:val="zh-CN"/>
        </w:rPr>
        <w:t>①</w:t>
      </w:r>
      <w:r>
        <w:rPr>
          <w:rFonts w:hint="eastAsia"/>
          <w:color w:val="auto"/>
          <w:lang w:val="en-US" w:eastAsia="zh-CN"/>
        </w:rPr>
        <w:t xml:space="preserve"> </w:t>
      </w:r>
      <w:r>
        <w:rPr>
          <w:rFonts w:hint="default"/>
          <w:color w:val="auto"/>
          <w:lang w:val="zh-CN"/>
        </w:rPr>
        <w:t>车辆行驶产生的扬尘</w:t>
      </w:r>
    </w:p>
    <w:p w14:paraId="0DFCD120">
      <w:pPr>
        <w:pStyle w:val="79"/>
        <w:bidi w:val="0"/>
        <w:rPr>
          <w:rFonts w:hint="default"/>
          <w:color w:val="auto"/>
          <w:lang w:val="zh-CN"/>
        </w:rPr>
      </w:pPr>
      <w:r>
        <w:rPr>
          <w:rFonts w:hint="default"/>
          <w:color w:val="auto"/>
          <w:lang w:val="zh-CN"/>
        </w:rPr>
        <w:t>据有关调查显示，施工工地的扬尘以运输车辆行驶时产生的量最多，约占扬尘总量的60%。</w:t>
      </w:r>
    </w:p>
    <w:p w14:paraId="05A3E616">
      <w:pPr>
        <w:pStyle w:val="79"/>
        <w:bidi w:val="0"/>
        <w:rPr>
          <w:rFonts w:hint="default"/>
          <w:color w:val="auto"/>
          <w:lang w:val="en-US" w:eastAsia="zh-CN"/>
        </w:rPr>
      </w:pPr>
      <w:r>
        <w:rPr>
          <w:rFonts w:hint="default"/>
          <w:color w:val="auto"/>
          <w:lang w:val="zh-CN"/>
        </w:rPr>
        <w:t>表</w:t>
      </w:r>
      <w:r>
        <w:rPr>
          <w:rFonts w:hint="eastAsia"/>
          <w:color w:val="auto"/>
          <w:lang w:val="en-US" w:eastAsia="zh-CN"/>
        </w:rPr>
        <w:t>3.3-3</w:t>
      </w:r>
      <w:r>
        <w:rPr>
          <w:rFonts w:hint="default"/>
          <w:color w:val="auto"/>
          <w:lang w:val="zh-CN"/>
        </w:rPr>
        <w:t>为一辆载重5t的卡车，通过一段长度为500m的路面时，不同路面清洁程度、不同行驶速度情况下产生的扬尘量。不同车速和地面清洁程度时的道路表面起尘量</w:t>
      </w:r>
      <w:r>
        <w:rPr>
          <w:rFonts w:hint="eastAsia"/>
          <w:color w:val="auto"/>
          <w:lang w:val="zh-CN"/>
        </w:rPr>
        <w:t>，</w:t>
      </w:r>
      <w:r>
        <w:rPr>
          <w:rFonts w:hint="eastAsia"/>
          <w:color w:val="auto"/>
          <w:lang w:val="en-US" w:eastAsia="zh-CN"/>
        </w:rPr>
        <w:t>见表3.3-2。</w:t>
      </w:r>
    </w:p>
    <w:p w14:paraId="309BB43B">
      <w:pPr>
        <w:pStyle w:val="61"/>
        <w:bidi w:val="0"/>
        <w:jc w:val="both"/>
        <w:rPr>
          <w:rFonts w:hint="default"/>
          <w:color w:val="auto"/>
          <w:lang w:val="en-US" w:eastAsia="zh-CN"/>
        </w:rPr>
      </w:pPr>
      <w:r>
        <w:rPr>
          <w:rFonts w:hint="default"/>
          <w:color w:val="auto"/>
          <w:lang w:val="en-US" w:eastAsia="zh-CN"/>
        </w:rPr>
        <w:t>表3.</w:t>
      </w:r>
      <w:r>
        <w:rPr>
          <w:rFonts w:hint="eastAsia"/>
          <w:color w:val="auto"/>
          <w:lang w:val="en-US" w:eastAsia="zh-CN"/>
        </w:rPr>
        <w:t>3</w:t>
      </w:r>
      <w:r>
        <w:rPr>
          <w:rFonts w:hint="default"/>
          <w:color w:val="auto"/>
          <w:lang w:val="en-US" w:eastAsia="zh-CN"/>
        </w:rPr>
        <w:t>-</w:t>
      </w:r>
      <w:r>
        <w:rPr>
          <w:rFonts w:hint="eastAsia"/>
          <w:color w:val="auto"/>
          <w:lang w:val="en-US" w:eastAsia="zh-CN"/>
        </w:rPr>
        <w:t>2</w:t>
      </w:r>
      <w:r>
        <w:rPr>
          <w:rFonts w:hint="default"/>
          <w:color w:val="auto"/>
          <w:lang w:val="en-US" w:eastAsia="zh-CN"/>
        </w:rPr>
        <w:t xml:space="preserve">   不同车速和地面清洁程度时的道路表面起尘量单位：kg/辆·km</w:t>
      </w:r>
    </w:p>
    <w:tbl>
      <w:tblPr>
        <w:tblStyle w:val="36"/>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307"/>
        <w:gridCol w:w="1137"/>
        <w:gridCol w:w="1241"/>
        <w:gridCol w:w="1241"/>
        <w:gridCol w:w="1239"/>
        <w:gridCol w:w="1241"/>
        <w:gridCol w:w="1239"/>
      </w:tblGrid>
      <w:tr w14:paraId="40C677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73" w:hRule="atLeast"/>
          <w:jc w:val="center"/>
        </w:trPr>
        <w:tc>
          <w:tcPr>
            <w:tcW w:w="756" w:type="pct"/>
            <w:tcBorders>
              <w:tl2br w:val="nil"/>
              <w:tr2bl w:val="nil"/>
            </w:tcBorders>
            <w:vAlign w:val="center"/>
          </w:tcPr>
          <w:p w14:paraId="46525EF7">
            <w:pPr>
              <w:keepLines/>
              <w:widowControl/>
              <w:autoSpaceDE w:val="0"/>
              <w:autoSpaceDN w:val="0"/>
              <w:adjustRightInd w:val="0"/>
              <w:snapToGrid w:val="0"/>
              <w:jc w:val="center"/>
              <w:textAlignment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color w:val="auto"/>
                <w:kern w:val="0"/>
                <w:szCs w:val="21"/>
                <w:highlight w:val="none"/>
                <w:lang w:bidi="en-US"/>
              </w:rPr>
              <w:t>车速</w:t>
            </w:r>
          </w:p>
        </w:tc>
        <w:tc>
          <w:tcPr>
            <w:tcW w:w="657" w:type="pct"/>
            <w:tcBorders>
              <w:tl2br w:val="nil"/>
              <w:tr2bl w:val="nil"/>
            </w:tcBorders>
            <w:vAlign w:val="center"/>
          </w:tcPr>
          <w:p w14:paraId="12B5B3ED">
            <w:pPr>
              <w:keepLines/>
              <w:widowControl/>
              <w:autoSpaceDE w:val="0"/>
              <w:autoSpaceDN w:val="0"/>
              <w:adjustRightInd w:val="0"/>
              <w:snapToGrid w:val="0"/>
              <w:jc w:val="center"/>
              <w:textAlignment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color w:val="auto"/>
                <w:kern w:val="0"/>
                <w:szCs w:val="21"/>
                <w:highlight w:val="none"/>
                <w:lang w:bidi="en-US"/>
              </w:rPr>
              <w:t>0.1(kg/m</w:t>
            </w:r>
            <w:r>
              <w:rPr>
                <w:rFonts w:hint="default" w:ascii="Times New Roman" w:hAnsi="Times New Roman" w:cs="Times New Roman"/>
                <w:color w:val="auto"/>
                <w:kern w:val="0"/>
                <w:szCs w:val="21"/>
                <w:highlight w:val="none"/>
                <w:vertAlign w:val="superscript"/>
                <w:lang w:bidi="en-US"/>
              </w:rPr>
              <w:t>2</w:t>
            </w:r>
            <w:r>
              <w:rPr>
                <w:rFonts w:hint="default" w:ascii="Times New Roman" w:hAnsi="Times New Roman" w:cs="Times New Roman"/>
                <w:color w:val="auto"/>
                <w:kern w:val="0"/>
                <w:szCs w:val="21"/>
                <w:highlight w:val="none"/>
                <w:lang w:bidi="en-US"/>
              </w:rPr>
              <w:t>)</w:t>
            </w:r>
          </w:p>
        </w:tc>
        <w:tc>
          <w:tcPr>
            <w:tcW w:w="717" w:type="pct"/>
            <w:tcBorders>
              <w:tl2br w:val="nil"/>
              <w:tr2bl w:val="nil"/>
            </w:tcBorders>
            <w:vAlign w:val="center"/>
          </w:tcPr>
          <w:p w14:paraId="6DC4D528">
            <w:pPr>
              <w:keepLines/>
              <w:widowControl/>
              <w:autoSpaceDE w:val="0"/>
              <w:autoSpaceDN w:val="0"/>
              <w:adjustRightInd w:val="0"/>
              <w:snapToGrid w:val="0"/>
              <w:jc w:val="center"/>
              <w:textAlignment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color w:val="auto"/>
                <w:kern w:val="0"/>
                <w:szCs w:val="21"/>
                <w:highlight w:val="none"/>
                <w:lang w:bidi="en-US"/>
              </w:rPr>
              <w:t>0.2(kg/m</w:t>
            </w:r>
            <w:r>
              <w:rPr>
                <w:rFonts w:hint="default" w:ascii="Times New Roman" w:hAnsi="Times New Roman" w:cs="Times New Roman"/>
                <w:color w:val="auto"/>
                <w:kern w:val="0"/>
                <w:szCs w:val="21"/>
                <w:highlight w:val="none"/>
                <w:vertAlign w:val="superscript"/>
                <w:lang w:bidi="en-US"/>
              </w:rPr>
              <w:t>2</w:t>
            </w:r>
            <w:r>
              <w:rPr>
                <w:rFonts w:hint="default" w:ascii="Times New Roman" w:hAnsi="Times New Roman" w:cs="Times New Roman"/>
                <w:color w:val="auto"/>
                <w:kern w:val="0"/>
                <w:szCs w:val="21"/>
                <w:highlight w:val="none"/>
                <w:lang w:bidi="en-US"/>
              </w:rPr>
              <w:t>)</w:t>
            </w:r>
          </w:p>
        </w:tc>
        <w:tc>
          <w:tcPr>
            <w:tcW w:w="717" w:type="pct"/>
            <w:tcBorders>
              <w:tl2br w:val="nil"/>
              <w:tr2bl w:val="nil"/>
            </w:tcBorders>
            <w:vAlign w:val="center"/>
          </w:tcPr>
          <w:p w14:paraId="3E5C98B8">
            <w:pPr>
              <w:keepLines/>
              <w:widowControl/>
              <w:autoSpaceDE w:val="0"/>
              <w:autoSpaceDN w:val="0"/>
              <w:adjustRightInd w:val="0"/>
              <w:snapToGrid w:val="0"/>
              <w:jc w:val="center"/>
              <w:textAlignment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color w:val="auto"/>
                <w:kern w:val="0"/>
                <w:szCs w:val="21"/>
                <w:highlight w:val="none"/>
                <w:lang w:bidi="en-US"/>
              </w:rPr>
              <w:t>0.3(kg/m</w:t>
            </w:r>
            <w:r>
              <w:rPr>
                <w:rFonts w:hint="default" w:ascii="Times New Roman" w:hAnsi="Times New Roman" w:cs="Times New Roman"/>
                <w:color w:val="auto"/>
                <w:kern w:val="0"/>
                <w:szCs w:val="21"/>
                <w:highlight w:val="none"/>
                <w:vertAlign w:val="superscript"/>
                <w:lang w:bidi="en-US"/>
              </w:rPr>
              <w:t>2</w:t>
            </w:r>
            <w:r>
              <w:rPr>
                <w:rFonts w:hint="default" w:ascii="Times New Roman" w:hAnsi="Times New Roman" w:cs="Times New Roman"/>
                <w:color w:val="auto"/>
                <w:kern w:val="0"/>
                <w:szCs w:val="21"/>
                <w:highlight w:val="none"/>
                <w:lang w:bidi="en-US"/>
              </w:rPr>
              <w:t>)</w:t>
            </w:r>
          </w:p>
        </w:tc>
        <w:tc>
          <w:tcPr>
            <w:tcW w:w="716" w:type="pct"/>
            <w:tcBorders>
              <w:tl2br w:val="nil"/>
              <w:tr2bl w:val="nil"/>
            </w:tcBorders>
            <w:vAlign w:val="center"/>
          </w:tcPr>
          <w:p w14:paraId="3AA44505">
            <w:pPr>
              <w:keepLines/>
              <w:widowControl/>
              <w:autoSpaceDE w:val="0"/>
              <w:autoSpaceDN w:val="0"/>
              <w:adjustRightInd w:val="0"/>
              <w:snapToGrid w:val="0"/>
              <w:jc w:val="center"/>
              <w:textAlignment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color w:val="auto"/>
                <w:kern w:val="0"/>
                <w:szCs w:val="21"/>
                <w:highlight w:val="none"/>
                <w:lang w:bidi="en-US"/>
              </w:rPr>
              <w:t>0.4(kg/m</w:t>
            </w:r>
            <w:r>
              <w:rPr>
                <w:rFonts w:hint="default" w:ascii="Times New Roman" w:hAnsi="Times New Roman" w:cs="Times New Roman"/>
                <w:color w:val="auto"/>
                <w:kern w:val="0"/>
                <w:szCs w:val="21"/>
                <w:highlight w:val="none"/>
                <w:vertAlign w:val="superscript"/>
                <w:lang w:bidi="en-US"/>
              </w:rPr>
              <w:t>2</w:t>
            </w:r>
            <w:r>
              <w:rPr>
                <w:rFonts w:hint="default" w:ascii="Times New Roman" w:hAnsi="Times New Roman" w:cs="Times New Roman"/>
                <w:color w:val="auto"/>
                <w:kern w:val="0"/>
                <w:szCs w:val="21"/>
                <w:highlight w:val="none"/>
                <w:lang w:bidi="en-US"/>
              </w:rPr>
              <w:t>)</w:t>
            </w:r>
          </w:p>
        </w:tc>
        <w:tc>
          <w:tcPr>
            <w:tcW w:w="717" w:type="pct"/>
            <w:tcBorders>
              <w:tl2br w:val="nil"/>
              <w:tr2bl w:val="nil"/>
            </w:tcBorders>
            <w:vAlign w:val="center"/>
          </w:tcPr>
          <w:p w14:paraId="5FF9B2FA">
            <w:pPr>
              <w:keepLines/>
              <w:widowControl/>
              <w:autoSpaceDE w:val="0"/>
              <w:autoSpaceDN w:val="0"/>
              <w:adjustRightInd w:val="0"/>
              <w:snapToGrid w:val="0"/>
              <w:jc w:val="center"/>
              <w:textAlignment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color w:val="auto"/>
                <w:kern w:val="0"/>
                <w:szCs w:val="21"/>
                <w:highlight w:val="none"/>
                <w:lang w:bidi="en-US"/>
              </w:rPr>
              <w:t>0.5(kg/m</w:t>
            </w:r>
            <w:r>
              <w:rPr>
                <w:rFonts w:hint="default" w:ascii="Times New Roman" w:hAnsi="Times New Roman" w:cs="Times New Roman"/>
                <w:color w:val="auto"/>
                <w:kern w:val="0"/>
                <w:szCs w:val="21"/>
                <w:highlight w:val="none"/>
                <w:vertAlign w:val="superscript"/>
                <w:lang w:bidi="en-US"/>
              </w:rPr>
              <w:t>2</w:t>
            </w:r>
            <w:r>
              <w:rPr>
                <w:rFonts w:hint="default" w:ascii="Times New Roman" w:hAnsi="Times New Roman" w:cs="Times New Roman"/>
                <w:color w:val="auto"/>
                <w:kern w:val="0"/>
                <w:szCs w:val="21"/>
                <w:highlight w:val="none"/>
                <w:lang w:bidi="en-US"/>
              </w:rPr>
              <w:t>)</w:t>
            </w:r>
          </w:p>
        </w:tc>
        <w:tc>
          <w:tcPr>
            <w:tcW w:w="716" w:type="pct"/>
            <w:tcBorders>
              <w:tl2br w:val="nil"/>
              <w:tr2bl w:val="nil"/>
            </w:tcBorders>
            <w:vAlign w:val="center"/>
          </w:tcPr>
          <w:p w14:paraId="13AD9302">
            <w:pPr>
              <w:keepLines/>
              <w:widowControl/>
              <w:autoSpaceDE w:val="0"/>
              <w:autoSpaceDN w:val="0"/>
              <w:adjustRightInd w:val="0"/>
              <w:snapToGrid w:val="0"/>
              <w:jc w:val="center"/>
              <w:textAlignment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color w:val="auto"/>
                <w:kern w:val="0"/>
                <w:szCs w:val="21"/>
                <w:highlight w:val="none"/>
                <w:lang w:bidi="en-US"/>
              </w:rPr>
              <w:t>1.0(kg/m</w:t>
            </w:r>
            <w:r>
              <w:rPr>
                <w:rFonts w:hint="default" w:ascii="Times New Roman" w:hAnsi="Times New Roman" w:cs="Times New Roman"/>
                <w:color w:val="auto"/>
                <w:kern w:val="0"/>
                <w:szCs w:val="21"/>
                <w:highlight w:val="none"/>
                <w:vertAlign w:val="superscript"/>
                <w:lang w:bidi="en-US"/>
              </w:rPr>
              <w:t>2</w:t>
            </w:r>
            <w:r>
              <w:rPr>
                <w:rFonts w:hint="default" w:ascii="Times New Roman" w:hAnsi="Times New Roman" w:cs="Times New Roman"/>
                <w:color w:val="auto"/>
                <w:kern w:val="0"/>
                <w:szCs w:val="21"/>
                <w:highlight w:val="none"/>
                <w:lang w:bidi="en-US"/>
              </w:rPr>
              <w:t>)</w:t>
            </w:r>
          </w:p>
        </w:tc>
      </w:tr>
      <w:tr w14:paraId="7C61D4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56" w:type="pct"/>
            <w:tcBorders>
              <w:tl2br w:val="nil"/>
              <w:tr2bl w:val="nil"/>
            </w:tcBorders>
            <w:vAlign w:val="center"/>
          </w:tcPr>
          <w:p w14:paraId="366CB826">
            <w:pPr>
              <w:keepLines/>
              <w:widowControl/>
              <w:autoSpaceDE w:val="0"/>
              <w:autoSpaceDN w:val="0"/>
              <w:adjustRightInd w:val="0"/>
              <w:snapToGrid w:val="0"/>
              <w:jc w:val="center"/>
              <w:textAlignment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color w:val="auto"/>
                <w:kern w:val="0"/>
                <w:szCs w:val="21"/>
                <w:highlight w:val="none"/>
                <w:lang w:bidi="en-US"/>
              </w:rPr>
              <w:t>5km/h</w:t>
            </w:r>
          </w:p>
        </w:tc>
        <w:tc>
          <w:tcPr>
            <w:tcW w:w="657" w:type="pct"/>
            <w:tcBorders>
              <w:tl2br w:val="nil"/>
              <w:tr2bl w:val="nil"/>
            </w:tcBorders>
            <w:vAlign w:val="center"/>
          </w:tcPr>
          <w:p w14:paraId="490A2931">
            <w:pPr>
              <w:keepLines/>
              <w:widowControl/>
              <w:autoSpaceDE w:val="0"/>
              <w:autoSpaceDN w:val="0"/>
              <w:adjustRightInd w:val="0"/>
              <w:snapToGrid w:val="0"/>
              <w:jc w:val="center"/>
              <w:textAlignment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color w:val="auto"/>
                <w:kern w:val="0"/>
                <w:szCs w:val="21"/>
                <w:highlight w:val="none"/>
                <w:lang w:bidi="en-US"/>
              </w:rPr>
              <w:t>0.0283</w:t>
            </w:r>
          </w:p>
        </w:tc>
        <w:tc>
          <w:tcPr>
            <w:tcW w:w="717" w:type="pct"/>
            <w:tcBorders>
              <w:tl2br w:val="nil"/>
              <w:tr2bl w:val="nil"/>
            </w:tcBorders>
            <w:vAlign w:val="center"/>
          </w:tcPr>
          <w:p w14:paraId="47E0503C">
            <w:pPr>
              <w:keepLines/>
              <w:widowControl/>
              <w:autoSpaceDE w:val="0"/>
              <w:autoSpaceDN w:val="0"/>
              <w:adjustRightInd w:val="0"/>
              <w:snapToGrid w:val="0"/>
              <w:jc w:val="center"/>
              <w:textAlignment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color w:val="auto"/>
                <w:kern w:val="0"/>
                <w:szCs w:val="21"/>
                <w:highlight w:val="none"/>
                <w:lang w:bidi="en-US"/>
              </w:rPr>
              <w:t>0.0476</w:t>
            </w:r>
          </w:p>
        </w:tc>
        <w:tc>
          <w:tcPr>
            <w:tcW w:w="717" w:type="pct"/>
            <w:tcBorders>
              <w:tl2br w:val="nil"/>
              <w:tr2bl w:val="nil"/>
            </w:tcBorders>
            <w:vAlign w:val="center"/>
          </w:tcPr>
          <w:p w14:paraId="2E4462BA">
            <w:pPr>
              <w:keepLines/>
              <w:widowControl/>
              <w:autoSpaceDE w:val="0"/>
              <w:autoSpaceDN w:val="0"/>
              <w:adjustRightInd w:val="0"/>
              <w:snapToGrid w:val="0"/>
              <w:jc w:val="center"/>
              <w:textAlignment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color w:val="auto"/>
                <w:kern w:val="0"/>
                <w:szCs w:val="21"/>
                <w:highlight w:val="none"/>
                <w:lang w:bidi="en-US"/>
              </w:rPr>
              <w:t>0.0646</w:t>
            </w:r>
          </w:p>
        </w:tc>
        <w:tc>
          <w:tcPr>
            <w:tcW w:w="716" w:type="pct"/>
            <w:tcBorders>
              <w:tl2br w:val="nil"/>
              <w:tr2bl w:val="nil"/>
            </w:tcBorders>
            <w:vAlign w:val="center"/>
          </w:tcPr>
          <w:p w14:paraId="23DCBA8D">
            <w:pPr>
              <w:keepLines/>
              <w:widowControl/>
              <w:autoSpaceDE w:val="0"/>
              <w:autoSpaceDN w:val="0"/>
              <w:adjustRightInd w:val="0"/>
              <w:snapToGrid w:val="0"/>
              <w:jc w:val="center"/>
              <w:textAlignment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color w:val="auto"/>
                <w:kern w:val="0"/>
                <w:szCs w:val="21"/>
                <w:highlight w:val="none"/>
                <w:lang w:bidi="en-US"/>
              </w:rPr>
              <w:t>0.0801</w:t>
            </w:r>
          </w:p>
        </w:tc>
        <w:tc>
          <w:tcPr>
            <w:tcW w:w="717" w:type="pct"/>
            <w:tcBorders>
              <w:tl2br w:val="nil"/>
              <w:tr2bl w:val="nil"/>
            </w:tcBorders>
            <w:vAlign w:val="center"/>
          </w:tcPr>
          <w:p w14:paraId="73728AAB">
            <w:pPr>
              <w:keepLines/>
              <w:widowControl/>
              <w:autoSpaceDE w:val="0"/>
              <w:autoSpaceDN w:val="0"/>
              <w:adjustRightInd w:val="0"/>
              <w:snapToGrid w:val="0"/>
              <w:jc w:val="center"/>
              <w:textAlignment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color w:val="auto"/>
                <w:kern w:val="0"/>
                <w:szCs w:val="21"/>
                <w:highlight w:val="none"/>
                <w:lang w:bidi="en-US"/>
              </w:rPr>
              <w:t>0.0947</w:t>
            </w:r>
          </w:p>
        </w:tc>
        <w:tc>
          <w:tcPr>
            <w:tcW w:w="716" w:type="pct"/>
            <w:tcBorders>
              <w:tl2br w:val="nil"/>
              <w:tr2bl w:val="nil"/>
            </w:tcBorders>
            <w:vAlign w:val="center"/>
          </w:tcPr>
          <w:p w14:paraId="79557BC2">
            <w:pPr>
              <w:keepLines/>
              <w:widowControl/>
              <w:autoSpaceDE w:val="0"/>
              <w:autoSpaceDN w:val="0"/>
              <w:adjustRightInd w:val="0"/>
              <w:snapToGrid w:val="0"/>
              <w:jc w:val="center"/>
              <w:textAlignment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color w:val="auto"/>
                <w:kern w:val="0"/>
                <w:szCs w:val="21"/>
                <w:highlight w:val="none"/>
                <w:lang w:bidi="en-US"/>
              </w:rPr>
              <w:t>0.1593</w:t>
            </w:r>
          </w:p>
        </w:tc>
      </w:tr>
      <w:tr w14:paraId="68A853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56" w:type="pct"/>
            <w:tcBorders>
              <w:tl2br w:val="nil"/>
              <w:tr2bl w:val="nil"/>
            </w:tcBorders>
            <w:vAlign w:val="center"/>
          </w:tcPr>
          <w:p w14:paraId="54AAEFF4">
            <w:pPr>
              <w:keepLines/>
              <w:widowControl/>
              <w:autoSpaceDE w:val="0"/>
              <w:autoSpaceDN w:val="0"/>
              <w:adjustRightInd w:val="0"/>
              <w:snapToGrid w:val="0"/>
              <w:jc w:val="center"/>
              <w:textAlignment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color w:val="auto"/>
                <w:kern w:val="0"/>
                <w:szCs w:val="21"/>
                <w:highlight w:val="none"/>
                <w:lang w:bidi="en-US"/>
              </w:rPr>
              <w:t>10km/h</w:t>
            </w:r>
          </w:p>
        </w:tc>
        <w:tc>
          <w:tcPr>
            <w:tcW w:w="657" w:type="pct"/>
            <w:tcBorders>
              <w:tl2br w:val="nil"/>
              <w:tr2bl w:val="nil"/>
            </w:tcBorders>
            <w:vAlign w:val="center"/>
          </w:tcPr>
          <w:p w14:paraId="42A5A94D">
            <w:pPr>
              <w:keepLines/>
              <w:widowControl/>
              <w:autoSpaceDE w:val="0"/>
              <w:autoSpaceDN w:val="0"/>
              <w:adjustRightInd w:val="0"/>
              <w:snapToGrid w:val="0"/>
              <w:jc w:val="center"/>
              <w:textAlignment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color w:val="auto"/>
                <w:kern w:val="0"/>
                <w:szCs w:val="21"/>
                <w:highlight w:val="none"/>
                <w:lang w:bidi="en-US"/>
              </w:rPr>
              <w:t>0.0566</w:t>
            </w:r>
          </w:p>
        </w:tc>
        <w:tc>
          <w:tcPr>
            <w:tcW w:w="717" w:type="pct"/>
            <w:tcBorders>
              <w:tl2br w:val="nil"/>
              <w:tr2bl w:val="nil"/>
            </w:tcBorders>
            <w:vAlign w:val="center"/>
          </w:tcPr>
          <w:p w14:paraId="7950EBFD">
            <w:pPr>
              <w:keepLines/>
              <w:widowControl/>
              <w:autoSpaceDE w:val="0"/>
              <w:autoSpaceDN w:val="0"/>
              <w:adjustRightInd w:val="0"/>
              <w:snapToGrid w:val="0"/>
              <w:jc w:val="center"/>
              <w:textAlignment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color w:val="auto"/>
                <w:kern w:val="0"/>
                <w:szCs w:val="21"/>
                <w:highlight w:val="none"/>
                <w:lang w:bidi="en-US"/>
              </w:rPr>
              <w:t>0.0953</w:t>
            </w:r>
          </w:p>
        </w:tc>
        <w:tc>
          <w:tcPr>
            <w:tcW w:w="717" w:type="pct"/>
            <w:tcBorders>
              <w:tl2br w:val="nil"/>
              <w:tr2bl w:val="nil"/>
            </w:tcBorders>
            <w:vAlign w:val="center"/>
          </w:tcPr>
          <w:p w14:paraId="61F85488">
            <w:pPr>
              <w:keepLines/>
              <w:widowControl/>
              <w:autoSpaceDE w:val="0"/>
              <w:autoSpaceDN w:val="0"/>
              <w:adjustRightInd w:val="0"/>
              <w:snapToGrid w:val="0"/>
              <w:jc w:val="center"/>
              <w:textAlignment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color w:val="auto"/>
                <w:kern w:val="0"/>
                <w:szCs w:val="21"/>
                <w:highlight w:val="none"/>
                <w:lang w:bidi="en-US"/>
              </w:rPr>
              <w:t>0.1291</w:t>
            </w:r>
          </w:p>
        </w:tc>
        <w:tc>
          <w:tcPr>
            <w:tcW w:w="716" w:type="pct"/>
            <w:tcBorders>
              <w:tl2br w:val="nil"/>
              <w:tr2bl w:val="nil"/>
            </w:tcBorders>
            <w:vAlign w:val="center"/>
          </w:tcPr>
          <w:p w14:paraId="4ACBF562">
            <w:pPr>
              <w:keepLines/>
              <w:widowControl/>
              <w:autoSpaceDE w:val="0"/>
              <w:autoSpaceDN w:val="0"/>
              <w:adjustRightInd w:val="0"/>
              <w:snapToGrid w:val="0"/>
              <w:jc w:val="center"/>
              <w:textAlignment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color w:val="auto"/>
                <w:kern w:val="0"/>
                <w:szCs w:val="21"/>
                <w:highlight w:val="none"/>
                <w:lang w:bidi="en-US"/>
              </w:rPr>
              <w:t>0.1602</w:t>
            </w:r>
          </w:p>
        </w:tc>
        <w:tc>
          <w:tcPr>
            <w:tcW w:w="717" w:type="pct"/>
            <w:tcBorders>
              <w:tl2br w:val="nil"/>
              <w:tr2bl w:val="nil"/>
            </w:tcBorders>
            <w:vAlign w:val="center"/>
          </w:tcPr>
          <w:p w14:paraId="669B207E">
            <w:pPr>
              <w:keepLines/>
              <w:widowControl/>
              <w:autoSpaceDE w:val="0"/>
              <w:autoSpaceDN w:val="0"/>
              <w:adjustRightInd w:val="0"/>
              <w:snapToGrid w:val="0"/>
              <w:jc w:val="center"/>
              <w:textAlignment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color w:val="auto"/>
                <w:kern w:val="0"/>
                <w:szCs w:val="21"/>
                <w:highlight w:val="none"/>
                <w:lang w:bidi="en-US"/>
              </w:rPr>
              <w:t>0.1894</w:t>
            </w:r>
          </w:p>
        </w:tc>
        <w:tc>
          <w:tcPr>
            <w:tcW w:w="716" w:type="pct"/>
            <w:tcBorders>
              <w:tl2br w:val="nil"/>
              <w:tr2bl w:val="nil"/>
            </w:tcBorders>
            <w:vAlign w:val="center"/>
          </w:tcPr>
          <w:p w14:paraId="4C1AAF65">
            <w:pPr>
              <w:keepLines/>
              <w:widowControl/>
              <w:autoSpaceDE w:val="0"/>
              <w:autoSpaceDN w:val="0"/>
              <w:adjustRightInd w:val="0"/>
              <w:snapToGrid w:val="0"/>
              <w:jc w:val="center"/>
              <w:textAlignment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color w:val="auto"/>
                <w:kern w:val="0"/>
                <w:szCs w:val="21"/>
                <w:highlight w:val="none"/>
                <w:lang w:bidi="en-US"/>
              </w:rPr>
              <w:t>0.3186</w:t>
            </w:r>
          </w:p>
        </w:tc>
      </w:tr>
      <w:tr w14:paraId="47DCD4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56" w:type="pct"/>
            <w:tcBorders>
              <w:tl2br w:val="nil"/>
              <w:tr2bl w:val="nil"/>
            </w:tcBorders>
            <w:vAlign w:val="center"/>
          </w:tcPr>
          <w:p w14:paraId="5452DB6B">
            <w:pPr>
              <w:keepLines/>
              <w:widowControl/>
              <w:autoSpaceDE w:val="0"/>
              <w:autoSpaceDN w:val="0"/>
              <w:adjustRightInd w:val="0"/>
              <w:snapToGrid w:val="0"/>
              <w:jc w:val="center"/>
              <w:textAlignment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color w:val="auto"/>
                <w:kern w:val="0"/>
                <w:szCs w:val="21"/>
                <w:highlight w:val="none"/>
                <w:lang w:bidi="en-US"/>
              </w:rPr>
              <w:t>15km/h</w:t>
            </w:r>
          </w:p>
        </w:tc>
        <w:tc>
          <w:tcPr>
            <w:tcW w:w="657" w:type="pct"/>
            <w:tcBorders>
              <w:tl2br w:val="nil"/>
              <w:tr2bl w:val="nil"/>
            </w:tcBorders>
            <w:vAlign w:val="center"/>
          </w:tcPr>
          <w:p w14:paraId="0CFFD742">
            <w:pPr>
              <w:keepLines/>
              <w:widowControl/>
              <w:autoSpaceDE w:val="0"/>
              <w:autoSpaceDN w:val="0"/>
              <w:adjustRightInd w:val="0"/>
              <w:snapToGrid w:val="0"/>
              <w:jc w:val="center"/>
              <w:textAlignment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color w:val="auto"/>
                <w:kern w:val="0"/>
                <w:szCs w:val="21"/>
                <w:highlight w:val="none"/>
                <w:lang w:bidi="en-US"/>
              </w:rPr>
              <w:t>0.0850</w:t>
            </w:r>
          </w:p>
        </w:tc>
        <w:tc>
          <w:tcPr>
            <w:tcW w:w="717" w:type="pct"/>
            <w:tcBorders>
              <w:tl2br w:val="nil"/>
              <w:tr2bl w:val="nil"/>
            </w:tcBorders>
            <w:vAlign w:val="center"/>
          </w:tcPr>
          <w:p w14:paraId="23DF212D">
            <w:pPr>
              <w:keepLines/>
              <w:widowControl/>
              <w:autoSpaceDE w:val="0"/>
              <w:autoSpaceDN w:val="0"/>
              <w:adjustRightInd w:val="0"/>
              <w:snapToGrid w:val="0"/>
              <w:jc w:val="center"/>
              <w:textAlignment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color w:val="auto"/>
                <w:kern w:val="0"/>
                <w:szCs w:val="21"/>
                <w:highlight w:val="none"/>
                <w:lang w:bidi="en-US"/>
              </w:rPr>
              <w:t>0.1429</w:t>
            </w:r>
          </w:p>
        </w:tc>
        <w:tc>
          <w:tcPr>
            <w:tcW w:w="717" w:type="pct"/>
            <w:tcBorders>
              <w:tl2br w:val="nil"/>
              <w:tr2bl w:val="nil"/>
            </w:tcBorders>
            <w:vAlign w:val="center"/>
          </w:tcPr>
          <w:p w14:paraId="7B50AF13">
            <w:pPr>
              <w:keepLines/>
              <w:widowControl/>
              <w:autoSpaceDE w:val="0"/>
              <w:autoSpaceDN w:val="0"/>
              <w:adjustRightInd w:val="0"/>
              <w:snapToGrid w:val="0"/>
              <w:jc w:val="center"/>
              <w:textAlignment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color w:val="auto"/>
                <w:kern w:val="0"/>
                <w:szCs w:val="21"/>
                <w:highlight w:val="none"/>
                <w:lang w:bidi="en-US"/>
              </w:rPr>
              <w:t>0.1937</w:t>
            </w:r>
          </w:p>
        </w:tc>
        <w:tc>
          <w:tcPr>
            <w:tcW w:w="716" w:type="pct"/>
            <w:tcBorders>
              <w:tl2br w:val="nil"/>
              <w:tr2bl w:val="nil"/>
            </w:tcBorders>
            <w:vAlign w:val="center"/>
          </w:tcPr>
          <w:p w14:paraId="5ABA3770">
            <w:pPr>
              <w:keepLines/>
              <w:widowControl/>
              <w:autoSpaceDE w:val="0"/>
              <w:autoSpaceDN w:val="0"/>
              <w:adjustRightInd w:val="0"/>
              <w:snapToGrid w:val="0"/>
              <w:jc w:val="center"/>
              <w:textAlignment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color w:val="auto"/>
                <w:kern w:val="0"/>
                <w:szCs w:val="21"/>
                <w:highlight w:val="none"/>
                <w:lang w:bidi="en-US"/>
              </w:rPr>
              <w:t>0.2352</w:t>
            </w:r>
          </w:p>
        </w:tc>
        <w:tc>
          <w:tcPr>
            <w:tcW w:w="717" w:type="pct"/>
            <w:tcBorders>
              <w:tl2br w:val="nil"/>
              <w:tr2bl w:val="nil"/>
            </w:tcBorders>
            <w:vAlign w:val="center"/>
          </w:tcPr>
          <w:p w14:paraId="5011A6D8">
            <w:pPr>
              <w:keepLines/>
              <w:widowControl/>
              <w:autoSpaceDE w:val="0"/>
              <w:autoSpaceDN w:val="0"/>
              <w:adjustRightInd w:val="0"/>
              <w:snapToGrid w:val="0"/>
              <w:jc w:val="center"/>
              <w:textAlignment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color w:val="auto"/>
                <w:kern w:val="0"/>
                <w:szCs w:val="21"/>
                <w:highlight w:val="none"/>
                <w:lang w:bidi="en-US"/>
              </w:rPr>
              <w:t>0.2841</w:t>
            </w:r>
          </w:p>
        </w:tc>
        <w:tc>
          <w:tcPr>
            <w:tcW w:w="716" w:type="pct"/>
            <w:tcBorders>
              <w:tl2br w:val="nil"/>
              <w:tr2bl w:val="nil"/>
            </w:tcBorders>
            <w:vAlign w:val="center"/>
          </w:tcPr>
          <w:p w14:paraId="329925D3">
            <w:pPr>
              <w:keepLines/>
              <w:widowControl/>
              <w:autoSpaceDE w:val="0"/>
              <w:autoSpaceDN w:val="0"/>
              <w:adjustRightInd w:val="0"/>
              <w:snapToGrid w:val="0"/>
              <w:jc w:val="center"/>
              <w:textAlignment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color w:val="auto"/>
                <w:kern w:val="0"/>
                <w:szCs w:val="21"/>
                <w:highlight w:val="none"/>
                <w:lang w:bidi="en-US"/>
              </w:rPr>
              <w:t>0.4778</w:t>
            </w:r>
          </w:p>
        </w:tc>
      </w:tr>
      <w:tr w14:paraId="5CB44A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56" w:type="pct"/>
            <w:tcBorders>
              <w:tl2br w:val="nil"/>
              <w:tr2bl w:val="nil"/>
            </w:tcBorders>
            <w:vAlign w:val="center"/>
          </w:tcPr>
          <w:p w14:paraId="506BB7C1">
            <w:pPr>
              <w:keepLines/>
              <w:widowControl/>
              <w:autoSpaceDE w:val="0"/>
              <w:autoSpaceDN w:val="0"/>
              <w:adjustRightInd w:val="0"/>
              <w:snapToGrid w:val="0"/>
              <w:jc w:val="center"/>
              <w:textAlignment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color w:val="auto"/>
                <w:kern w:val="0"/>
                <w:szCs w:val="21"/>
                <w:highlight w:val="none"/>
                <w:lang w:bidi="en-US"/>
              </w:rPr>
              <w:t>20km/h</w:t>
            </w:r>
          </w:p>
        </w:tc>
        <w:tc>
          <w:tcPr>
            <w:tcW w:w="657" w:type="pct"/>
            <w:tcBorders>
              <w:tl2br w:val="nil"/>
              <w:tr2bl w:val="nil"/>
            </w:tcBorders>
            <w:vAlign w:val="center"/>
          </w:tcPr>
          <w:p w14:paraId="6D0B0EF1">
            <w:pPr>
              <w:keepLines/>
              <w:widowControl/>
              <w:autoSpaceDE w:val="0"/>
              <w:autoSpaceDN w:val="0"/>
              <w:adjustRightInd w:val="0"/>
              <w:snapToGrid w:val="0"/>
              <w:jc w:val="center"/>
              <w:textAlignment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color w:val="auto"/>
                <w:kern w:val="0"/>
                <w:szCs w:val="21"/>
                <w:highlight w:val="none"/>
                <w:lang w:bidi="en-US"/>
              </w:rPr>
              <w:t>0.1133</w:t>
            </w:r>
          </w:p>
        </w:tc>
        <w:tc>
          <w:tcPr>
            <w:tcW w:w="717" w:type="pct"/>
            <w:tcBorders>
              <w:tl2br w:val="nil"/>
              <w:tr2bl w:val="nil"/>
            </w:tcBorders>
            <w:vAlign w:val="center"/>
          </w:tcPr>
          <w:p w14:paraId="22145FAD">
            <w:pPr>
              <w:keepLines/>
              <w:widowControl/>
              <w:autoSpaceDE w:val="0"/>
              <w:autoSpaceDN w:val="0"/>
              <w:adjustRightInd w:val="0"/>
              <w:snapToGrid w:val="0"/>
              <w:jc w:val="center"/>
              <w:textAlignment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color w:val="auto"/>
                <w:kern w:val="0"/>
                <w:szCs w:val="21"/>
                <w:highlight w:val="none"/>
                <w:lang w:bidi="en-US"/>
              </w:rPr>
              <w:t>0.1905</w:t>
            </w:r>
          </w:p>
        </w:tc>
        <w:tc>
          <w:tcPr>
            <w:tcW w:w="717" w:type="pct"/>
            <w:tcBorders>
              <w:tl2br w:val="nil"/>
              <w:tr2bl w:val="nil"/>
            </w:tcBorders>
            <w:vAlign w:val="center"/>
          </w:tcPr>
          <w:p w14:paraId="48A4CF2E">
            <w:pPr>
              <w:keepLines/>
              <w:widowControl/>
              <w:autoSpaceDE w:val="0"/>
              <w:autoSpaceDN w:val="0"/>
              <w:adjustRightInd w:val="0"/>
              <w:snapToGrid w:val="0"/>
              <w:jc w:val="center"/>
              <w:textAlignment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color w:val="auto"/>
                <w:kern w:val="0"/>
                <w:szCs w:val="21"/>
                <w:highlight w:val="none"/>
                <w:lang w:bidi="en-US"/>
              </w:rPr>
              <w:t>0.2583</w:t>
            </w:r>
          </w:p>
        </w:tc>
        <w:tc>
          <w:tcPr>
            <w:tcW w:w="716" w:type="pct"/>
            <w:tcBorders>
              <w:tl2br w:val="nil"/>
              <w:tr2bl w:val="nil"/>
            </w:tcBorders>
            <w:vAlign w:val="center"/>
          </w:tcPr>
          <w:p w14:paraId="0D87A9A5">
            <w:pPr>
              <w:keepLines/>
              <w:widowControl/>
              <w:autoSpaceDE w:val="0"/>
              <w:autoSpaceDN w:val="0"/>
              <w:adjustRightInd w:val="0"/>
              <w:snapToGrid w:val="0"/>
              <w:jc w:val="center"/>
              <w:textAlignment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color w:val="auto"/>
                <w:kern w:val="0"/>
                <w:szCs w:val="21"/>
                <w:highlight w:val="none"/>
                <w:lang w:bidi="en-US"/>
              </w:rPr>
              <w:t>0.3204</w:t>
            </w:r>
          </w:p>
        </w:tc>
        <w:tc>
          <w:tcPr>
            <w:tcW w:w="717" w:type="pct"/>
            <w:tcBorders>
              <w:tl2br w:val="nil"/>
              <w:tr2bl w:val="nil"/>
            </w:tcBorders>
            <w:vAlign w:val="center"/>
          </w:tcPr>
          <w:p w14:paraId="27C59C09">
            <w:pPr>
              <w:keepLines/>
              <w:widowControl/>
              <w:autoSpaceDE w:val="0"/>
              <w:autoSpaceDN w:val="0"/>
              <w:adjustRightInd w:val="0"/>
              <w:snapToGrid w:val="0"/>
              <w:jc w:val="center"/>
              <w:textAlignment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color w:val="auto"/>
                <w:kern w:val="0"/>
                <w:szCs w:val="21"/>
                <w:highlight w:val="none"/>
                <w:lang w:bidi="en-US"/>
              </w:rPr>
              <w:t>0.3788</w:t>
            </w:r>
          </w:p>
        </w:tc>
        <w:tc>
          <w:tcPr>
            <w:tcW w:w="716" w:type="pct"/>
            <w:tcBorders>
              <w:tl2br w:val="nil"/>
              <w:tr2bl w:val="nil"/>
            </w:tcBorders>
            <w:vAlign w:val="center"/>
          </w:tcPr>
          <w:p w14:paraId="2091E8EB">
            <w:pPr>
              <w:keepLines/>
              <w:widowControl/>
              <w:autoSpaceDE w:val="0"/>
              <w:autoSpaceDN w:val="0"/>
              <w:adjustRightInd w:val="0"/>
              <w:snapToGrid w:val="0"/>
              <w:jc w:val="center"/>
              <w:textAlignment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color w:val="auto"/>
                <w:kern w:val="0"/>
                <w:szCs w:val="21"/>
                <w:highlight w:val="none"/>
                <w:lang w:bidi="en-US"/>
              </w:rPr>
              <w:t>0.6371</w:t>
            </w:r>
          </w:p>
        </w:tc>
      </w:tr>
    </w:tbl>
    <w:p w14:paraId="5ACD27A1">
      <w:pPr>
        <w:pStyle w:val="79"/>
        <w:bidi w:val="0"/>
        <w:rPr>
          <w:rFonts w:hint="default"/>
          <w:color w:val="auto"/>
          <w:lang w:val="zh-CN"/>
        </w:rPr>
      </w:pPr>
      <w:r>
        <w:rPr>
          <w:rFonts w:hint="default"/>
          <w:color w:val="auto"/>
          <w:lang w:val="zh-CN"/>
        </w:rPr>
        <w:t>由此可见，在同样路面清洁度情况下，车速越快，扬尘量越大；而在同样车速情况下，路面清洁度越差，则扬尘量越大。</w:t>
      </w:r>
    </w:p>
    <w:p w14:paraId="3DBBC642">
      <w:pPr>
        <w:pStyle w:val="79"/>
        <w:bidi w:val="0"/>
        <w:rPr>
          <w:rFonts w:hint="default"/>
          <w:color w:val="auto"/>
          <w:lang w:val="zh-CN"/>
        </w:rPr>
      </w:pPr>
      <w:r>
        <w:rPr>
          <w:rFonts w:hint="default"/>
          <w:color w:val="auto"/>
          <w:lang w:val="zh-CN"/>
        </w:rPr>
        <w:t>②裸露场地产生的扬尘</w:t>
      </w:r>
    </w:p>
    <w:p w14:paraId="60D9D5DA">
      <w:pPr>
        <w:pStyle w:val="79"/>
        <w:bidi w:val="0"/>
        <w:rPr>
          <w:rFonts w:hint="default"/>
          <w:color w:val="auto"/>
          <w:lang w:val="zh-CN"/>
        </w:rPr>
      </w:pPr>
      <w:r>
        <w:rPr>
          <w:rFonts w:hint="default"/>
          <w:color w:val="auto"/>
          <w:lang w:val="zh-CN"/>
        </w:rPr>
        <w:t>施工期扬尘的另一个主要来源是露天堆场和裸露场地的风力扬尘。由于施工的需要，一些建材需露天堆放，一些施工点表层土壤需开挖、堆放，在气候干燥又有风的情况下，较易产生扬尘。起尘风速与物料或土壤粒径、含水率等因素有关，减少露天堆放、减少裸露地面面积、缩短地表裸露时间和保证物料或土壤一定的含水率是减少风力起尘的有效手段。</w:t>
      </w:r>
    </w:p>
    <w:p w14:paraId="1784E828">
      <w:pPr>
        <w:pStyle w:val="79"/>
        <w:bidi w:val="0"/>
        <w:rPr>
          <w:rFonts w:hint="eastAsia"/>
          <w:color w:val="auto"/>
          <w:lang w:val="en-US" w:eastAsia="zh-CN"/>
        </w:rPr>
      </w:pPr>
      <w:r>
        <w:rPr>
          <w:rFonts w:hint="eastAsia"/>
          <w:color w:val="auto"/>
          <w:lang w:val="en-US" w:eastAsia="zh-CN"/>
        </w:rPr>
        <w:t>2</w:t>
      </w:r>
      <w:r>
        <w:rPr>
          <w:rFonts w:hint="default"/>
          <w:color w:val="auto"/>
          <w:lang w:val="zh-CN"/>
        </w:rPr>
        <w:t>）施工机械及运输车辆尾气</w:t>
      </w:r>
    </w:p>
    <w:p w14:paraId="3C18EFDE">
      <w:pPr>
        <w:pStyle w:val="79"/>
        <w:bidi w:val="0"/>
        <w:rPr>
          <w:rFonts w:hint="default"/>
          <w:color w:val="auto"/>
          <w:lang w:val="zh-CN"/>
        </w:rPr>
      </w:pPr>
      <w:r>
        <w:rPr>
          <w:rFonts w:hint="default"/>
          <w:color w:val="auto"/>
          <w:lang w:val="zh-CN"/>
        </w:rPr>
        <w:t>本工程的作业机械废气主要为施工机械（装载机、载重车、挖掘机等燃油机械）和运输车辆的燃油废气，所排放的污染物主要有CO、NO</w:t>
      </w:r>
      <w:r>
        <w:rPr>
          <w:rFonts w:hint="default"/>
          <w:color w:val="auto"/>
          <w:vertAlign w:val="subscript"/>
          <w:lang w:val="zh-CN"/>
        </w:rPr>
        <w:t>2</w:t>
      </w:r>
      <w:r>
        <w:rPr>
          <w:rFonts w:hint="default"/>
          <w:color w:val="auto"/>
          <w:lang w:val="zh-CN"/>
        </w:rPr>
        <w:t>、THC，为无组织排放源。由于施工机械多为大型机械，单车排放系数较大，但施工机械数量少且较分散，主要对作业点周围和运输路线两侧局部范围内产生一定影响，排放量不大，其污染程度也相对较轻，且随着施工活动结束而消失。</w:t>
      </w:r>
    </w:p>
    <w:p w14:paraId="5D7E650B">
      <w:pPr>
        <w:pStyle w:val="79"/>
        <w:bidi w:val="0"/>
        <w:rPr>
          <w:rFonts w:hint="default"/>
          <w:color w:val="auto"/>
        </w:rPr>
      </w:pPr>
      <w:r>
        <w:rPr>
          <w:rFonts w:hint="default"/>
          <w:color w:val="auto"/>
        </w:rPr>
        <w:t>（2）废水</w:t>
      </w:r>
    </w:p>
    <w:p w14:paraId="025D4100">
      <w:pPr>
        <w:pStyle w:val="79"/>
        <w:bidi w:val="0"/>
        <w:rPr>
          <w:rFonts w:hint="eastAsia"/>
          <w:color w:val="auto"/>
          <w:lang w:val="zh-CN"/>
        </w:rPr>
      </w:pPr>
      <w:r>
        <w:rPr>
          <w:rFonts w:hint="eastAsia"/>
          <w:color w:val="auto"/>
          <w:lang w:val="zh-CN"/>
        </w:rPr>
        <w:t>本工程施工期产生的废水主要包括管道试压废水和施工人员生活污水。</w:t>
      </w:r>
    </w:p>
    <w:p w14:paraId="6A08879D">
      <w:pPr>
        <w:pStyle w:val="79"/>
        <w:bidi w:val="0"/>
        <w:rPr>
          <w:rFonts w:hint="default"/>
          <w:color w:val="auto"/>
          <w:lang w:val="zh-CN"/>
        </w:rPr>
      </w:pPr>
      <w:r>
        <w:rPr>
          <w:rFonts w:hint="eastAsia"/>
          <w:color w:val="auto"/>
          <w:lang w:val="en-US" w:eastAsia="zh-CN"/>
        </w:rPr>
        <w:t>1）</w:t>
      </w:r>
      <w:r>
        <w:rPr>
          <w:rFonts w:hint="default"/>
          <w:color w:val="auto"/>
          <w:lang w:val="zh-CN"/>
        </w:rPr>
        <w:t>管道试压废水</w:t>
      </w:r>
    </w:p>
    <w:p w14:paraId="49A00B2E">
      <w:pPr>
        <w:pStyle w:val="79"/>
        <w:bidi w:val="0"/>
        <w:rPr>
          <w:rFonts w:hint="default"/>
          <w:color w:val="auto"/>
          <w:lang w:val="zh-CN"/>
        </w:rPr>
      </w:pPr>
      <w:r>
        <w:rPr>
          <w:rFonts w:hint="default"/>
          <w:color w:val="auto"/>
          <w:lang w:val="zh-CN"/>
        </w:rPr>
        <w:t>本工程新建管道试压采用洁净水，管道试压废水中主要污染物为SS。管道试压分段进行，试压水排出后进入下一段管线循环使用。试压结束后，产生的试压废水按照每千米2.5m</w:t>
      </w:r>
      <w:r>
        <w:rPr>
          <w:rFonts w:hint="default"/>
          <w:color w:val="auto"/>
          <w:vertAlign w:val="superscript"/>
          <w:lang w:val="zh-CN"/>
        </w:rPr>
        <w:t>3</w:t>
      </w:r>
      <w:r>
        <w:rPr>
          <w:rFonts w:hint="default"/>
          <w:color w:val="auto"/>
          <w:lang w:val="zh-CN"/>
        </w:rPr>
        <w:t>计算，本工程新建</w:t>
      </w:r>
      <w:r>
        <w:rPr>
          <w:rFonts w:hint="eastAsia"/>
          <w:color w:val="auto"/>
          <w:lang w:val="en-US" w:eastAsia="zh-CN"/>
        </w:rPr>
        <w:t>各类</w:t>
      </w:r>
      <w:r>
        <w:rPr>
          <w:rFonts w:hint="default"/>
          <w:color w:val="auto"/>
          <w:lang w:val="zh-CN"/>
        </w:rPr>
        <w:t>集输管线</w:t>
      </w:r>
      <w:r>
        <w:rPr>
          <w:rFonts w:hint="eastAsia"/>
          <w:color w:val="auto"/>
          <w:lang w:val="en-US" w:eastAsia="zh-CN"/>
        </w:rPr>
        <w:t>24.7</w:t>
      </w:r>
      <w:r>
        <w:rPr>
          <w:rFonts w:hint="default"/>
          <w:color w:val="auto"/>
          <w:lang w:val="zh-CN"/>
        </w:rPr>
        <w:t>km</w:t>
      </w:r>
      <w:r>
        <w:rPr>
          <w:rFonts w:hint="default"/>
          <w:color w:val="auto"/>
          <w:lang w:val="en-US" w:eastAsia="zh-CN"/>
        </w:rPr>
        <w:t>，</w:t>
      </w:r>
      <w:r>
        <w:rPr>
          <w:rFonts w:hint="default"/>
          <w:color w:val="auto"/>
          <w:lang w:val="zh-CN"/>
        </w:rPr>
        <w:t>试压废水</w:t>
      </w:r>
      <w:r>
        <w:rPr>
          <w:rFonts w:hint="eastAsia"/>
          <w:color w:val="auto"/>
          <w:lang w:val="en-US" w:eastAsia="zh-CN"/>
        </w:rPr>
        <w:t>产生量约</w:t>
      </w:r>
      <w:r>
        <w:rPr>
          <w:rFonts w:hint="default"/>
          <w:color w:val="auto"/>
          <w:lang w:val="zh-CN"/>
        </w:rPr>
        <w:t>为</w:t>
      </w:r>
      <w:r>
        <w:rPr>
          <w:rFonts w:hint="eastAsia"/>
          <w:color w:val="auto"/>
          <w:lang w:val="en-US" w:eastAsia="zh-CN"/>
        </w:rPr>
        <w:t>61.75</w:t>
      </w:r>
      <w:r>
        <w:rPr>
          <w:rFonts w:hint="default"/>
          <w:color w:val="auto"/>
          <w:lang w:val="zh-CN"/>
        </w:rPr>
        <w:t>m</w:t>
      </w:r>
      <w:r>
        <w:rPr>
          <w:rFonts w:hint="default"/>
          <w:color w:val="auto"/>
          <w:vertAlign w:val="superscript"/>
          <w:lang w:val="zh-CN"/>
        </w:rPr>
        <w:t>3</w:t>
      </w:r>
      <w:r>
        <w:rPr>
          <w:rFonts w:hint="default"/>
          <w:color w:val="auto"/>
          <w:lang w:val="zh-CN"/>
        </w:rPr>
        <w:t>，主要污染物为SS。试压废水用作场地降尘用水。</w:t>
      </w:r>
    </w:p>
    <w:p w14:paraId="4AD8B675">
      <w:pPr>
        <w:pStyle w:val="79"/>
        <w:bidi w:val="0"/>
        <w:rPr>
          <w:rFonts w:hint="default"/>
          <w:color w:val="auto"/>
          <w:lang w:val="zh-CN"/>
        </w:rPr>
      </w:pPr>
      <w:r>
        <w:rPr>
          <w:rFonts w:hint="eastAsia"/>
          <w:color w:val="auto"/>
          <w:lang w:val="en-US" w:eastAsia="zh-CN"/>
        </w:rPr>
        <w:t>2）</w:t>
      </w:r>
      <w:r>
        <w:rPr>
          <w:rFonts w:hint="default"/>
          <w:color w:val="auto"/>
          <w:lang w:val="zh-CN"/>
        </w:rPr>
        <w:t>生活污水</w:t>
      </w:r>
    </w:p>
    <w:p w14:paraId="62BFF352">
      <w:pPr>
        <w:pStyle w:val="79"/>
        <w:bidi w:val="0"/>
        <w:rPr>
          <w:rFonts w:hint="default"/>
          <w:color w:val="auto"/>
          <w:lang w:val="zh-CN"/>
        </w:rPr>
      </w:pPr>
      <w:bookmarkStart w:id="313" w:name="OLE_LINK361"/>
      <w:bookmarkStart w:id="314" w:name="OLE_LINK362"/>
      <w:r>
        <w:rPr>
          <w:rFonts w:hint="default"/>
          <w:color w:val="auto"/>
          <w:lang w:val="zh-CN"/>
        </w:rPr>
        <w:t>本工程施工人员依托现有作业区，施工期</w:t>
      </w:r>
      <w:r>
        <w:rPr>
          <w:rFonts w:hint="eastAsia"/>
          <w:color w:val="auto"/>
          <w:lang w:val="en-US" w:eastAsia="zh-CN"/>
        </w:rPr>
        <w:t>不</w:t>
      </w:r>
      <w:r>
        <w:rPr>
          <w:rFonts w:hint="default"/>
          <w:color w:val="auto"/>
          <w:lang w:val="zh-CN"/>
        </w:rPr>
        <w:t>设置施工营地</w:t>
      </w:r>
      <w:bookmarkEnd w:id="313"/>
      <w:r>
        <w:rPr>
          <w:rFonts w:hint="eastAsia"/>
          <w:color w:val="auto"/>
          <w:lang w:val="zh-CN"/>
        </w:rPr>
        <w:t>。</w:t>
      </w:r>
      <w:r>
        <w:rPr>
          <w:rFonts w:hint="eastAsia"/>
          <w:color w:val="auto"/>
          <w:lang w:val="en-US" w:eastAsia="zh-CN"/>
        </w:rPr>
        <w:t>施工现场产生的少量</w:t>
      </w:r>
      <w:r>
        <w:rPr>
          <w:rFonts w:hint="default"/>
          <w:color w:val="auto"/>
          <w:lang w:val="zh-CN"/>
        </w:rPr>
        <w:t>生活污水</w:t>
      </w:r>
      <w:r>
        <w:rPr>
          <w:rFonts w:hint="eastAsia"/>
          <w:color w:val="auto"/>
          <w:lang w:val="en-US" w:eastAsia="zh-CN"/>
        </w:rPr>
        <w:t>依托雄探1试采点，雄探1试采点生活污水进入生活污水池，</w:t>
      </w:r>
      <w:r>
        <w:rPr>
          <w:rFonts w:hint="default"/>
          <w:color w:val="auto"/>
          <w:lang w:val="zh-CN"/>
        </w:rPr>
        <w:t>定期由罐车拉运至英买力作业区生活污水处理装置处置。</w:t>
      </w:r>
      <w:bookmarkEnd w:id="314"/>
    </w:p>
    <w:p w14:paraId="6D568B04">
      <w:pPr>
        <w:pStyle w:val="79"/>
        <w:bidi w:val="0"/>
        <w:rPr>
          <w:rFonts w:hint="default"/>
          <w:color w:val="auto"/>
        </w:rPr>
      </w:pPr>
      <w:r>
        <w:rPr>
          <w:rFonts w:hint="default"/>
          <w:color w:val="auto"/>
        </w:rPr>
        <w:t>（</w:t>
      </w:r>
      <w:r>
        <w:rPr>
          <w:rFonts w:hint="eastAsia"/>
          <w:color w:val="auto"/>
          <w:lang w:val="en-US" w:eastAsia="zh-CN"/>
        </w:rPr>
        <w:t>3</w:t>
      </w:r>
      <w:r>
        <w:rPr>
          <w:rFonts w:hint="default"/>
          <w:color w:val="auto"/>
        </w:rPr>
        <w:t>）固体废物</w:t>
      </w:r>
    </w:p>
    <w:p w14:paraId="10FA07C6">
      <w:pPr>
        <w:pStyle w:val="79"/>
        <w:bidi w:val="0"/>
        <w:rPr>
          <w:rFonts w:hint="default"/>
          <w:color w:val="auto"/>
        </w:rPr>
      </w:pPr>
      <w:bookmarkStart w:id="315" w:name="OLE_LINK367"/>
      <w:r>
        <w:rPr>
          <w:rFonts w:hint="default"/>
          <w:color w:val="auto"/>
          <w:lang w:eastAsia="zh-CN"/>
        </w:rPr>
        <w:t>本工程施工期固体废物主要</w:t>
      </w:r>
      <w:r>
        <w:rPr>
          <w:rFonts w:hint="eastAsia"/>
          <w:color w:val="auto"/>
          <w:lang w:val="en-US" w:eastAsia="zh-CN"/>
        </w:rPr>
        <w:t>为土石方、</w:t>
      </w:r>
      <w:r>
        <w:rPr>
          <w:rFonts w:hint="default"/>
          <w:color w:val="auto"/>
          <w:lang w:eastAsia="zh-CN"/>
        </w:rPr>
        <w:t>施工废料、生活垃圾等。</w:t>
      </w:r>
    </w:p>
    <w:p w14:paraId="684E186E">
      <w:pPr>
        <w:pStyle w:val="79"/>
        <w:bidi w:val="0"/>
        <w:rPr>
          <w:rFonts w:hint="default"/>
          <w:color w:val="auto"/>
        </w:rPr>
      </w:pPr>
      <w:r>
        <w:rPr>
          <w:rFonts w:hint="eastAsia"/>
          <w:color w:val="auto"/>
          <w:lang w:val="en-US" w:eastAsia="zh-CN"/>
        </w:rPr>
        <w:fldChar w:fldCharType="begin"/>
      </w:r>
      <w:r>
        <w:rPr>
          <w:rFonts w:hint="eastAsia"/>
          <w:color w:val="auto"/>
          <w:lang w:val="en-US" w:eastAsia="zh-CN"/>
        </w:rPr>
        <w:instrText xml:space="preserve"> = 1 \* GB3 \* MERGEFORMAT </w:instrText>
      </w:r>
      <w:r>
        <w:rPr>
          <w:rFonts w:hint="eastAsia"/>
          <w:color w:val="auto"/>
          <w:lang w:val="en-US" w:eastAsia="zh-CN"/>
        </w:rPr>
        <w:fldChar w:fldCharType="separate"/>
      </w:r>
      <w:r>
        <w:rPr>
          <w:color w:val="auto"/>
        </w:rPr>
        <w:t>①</w:t>
      </w:r>
      <w:r>
        <w:rPr>
          <w:rFonts w:hint="eastAsia"/>
          <w:color w:val="auto"/>
          <w:lang w:val="en-US" w:eastAsia="zh-CN"/>
        </w:rPr>
        <w:fldChar w:fldCharType="end"/>
      </w:r>
      <w:r>
        <w:rPr>
          <w:rFonts w:hint="default"/>
          <w:color w:val="auto"/>
        </w:rPr>
        <w:t>土石方</w:t>
      </w:r>
    </w:p>
    <w:p w14:paraId="52B45E29">
      <w:pPr>
        <w:pStyle w:val="79"/>
        <w:bidi w:val="0"/>
        <w:rPr>
          <w:rFonts w:hint="default"/>
          <w:color w:val="auto"/>
          <w:lang w:val="en-US" w:eastAsia="zh-CN"/>
        </w:rPr>
      </w:pPr>
      <w:r>
        <w:rPr>
          <w:rFonts w:hint="default"/>
          <w:color w:val="auto"/>
          <w:lang w:val="en-US" w:eastAsia="zh-CN"/>
        </w:rPr>
        <w:t>项目区永久占地</w:t>
      </w:r>
      <w:r>
        <w:rPr>
          <w:rFonts w:hint="eastAsia"/>
          <w:color w:val="auto"/>
          <w:lang w:val="en-US" w:eastAsia="zh-CN"/>
        </w:rPr>
        <w:t>约</w:t>
      </w:r>
      <w:r>
        <w:rPr>
          <w:rFonts w:hint="default"/>
          <w:color w:val="auto"/>
          <w:lang w:val="en-US" w:eastAsia="zh-CN"/>
        </w:rPr>
        <w:t>为</w:t>
      </w:r>
      <w:r>
        <w:rPr>
          <w:rFonts w:hint="eastAsia"/>
          <w:color w:val="auto"/>
          <w:lang w:val="en-US" w:eastAsia="zh-CN"/>
        </w:rPr>
        <w:t>2.52hm</w:t>
      </w:r>
      <w:r>
        <w:rPr>
          <w:rFonts w:hint="eastAsia"/>
          <w:color w:val="auto"/>
          <w:vertAlign w:val="superscript"/>
          <w:lang w:val="en-US" w:eastAsia="zh-CN"/>
        </w:rPr>
        <w:t>2</w:t>
      </w:r>
      <w:r>
        <w:rPr>
          <w:rFonts w:hint="default"/>
          <w:color w:val="auto"/>
          <w:lang w:val="en-US" w:eastAsia="zh-CN"/>
        </w:rPr>
        <w:t>，场平高度约为</w:t>
      </w:r>
      <w:r>
        <w:rPr>
          <w:rFonts w:hint="eastAsia"/>
          <w:color w:val="auto"/>
          <w:lang w:val="en-US" w:eastAsia="zh-CN"/>
        </w:rPr>
        <w:t>0.5</w:t>
      </w:r>
      <w:r>
        <w:rPr>
          <w:rFonts w:hint="default"/>
          <w:color w:val="auto"/>
          <w:lang w:val="en-US" w:eastAsia="zh-CN"/>
        </w:rPr>
        <w:t>m，开挖量为</w:t>
      </w:r>
      <w:r>
        <w:rPr>
          <w:rFonts w:hint="eastAsia"/>
          <w:color w:val="auto"/>
          <w:lang w:val="en-US" w:eastAsia="zh-CN"/>
        </w:rPr>
        <w:t>12600</w:t>
      </w:r>
      <w:r>
        <w:rPr>
          <w:rFonts w:hint="default"/>
          <w:color w:val="auto"/>
          <w:lang w:val="en-US" w:eastAsia="zh-CN"/>
        </w:rPr>
        <w:t>m</w:t>
      </w:r>
      <w:r>
        <w:rPr>
          <w:rFonts w:hint="default"/>
          <w:color w:val="auto"/>
          <w:vertAlign w:val="superscript"/>
          <w:lang w:val="en-US" w:eastAsia="zh-CN"/>
        </w:rPr>
        <w:t>3</w:t>
      </w:r>
      <w:r>
        <w:rPr>
          <w:rFonts w:hint="default"/>
          <w:color w:val="auto"/>
          <w:lang w:val="en-US" w:eastAsia="zh-CN"/>
        </w:rPr>
        <w:t>，全部用于回填，场地平整。</w:t>
      </w:r>
    </w:p>
    <w:p w14:paraId="6D177BE2">
      <w:pPr>
        <w:pStyle w:val="79"/>
        <w:bidi w:val="0"/>
        <w:rPr>
          <w:rFonts w:hint="default"/>
          <w:color w:val="auto"/>
          <w:lang w:eastAsia="zh-CN"/>
        </w:rPr>
      </w:pPr>
      <w:r>
        <w:rPr>
          <w:rFonts w:hint="default"/>
          <w:color w:val="auto"/>
        </w:rPr>
        <w:t>新建</w:t>
      </w:r>
      <w:r>
        <w:rPr>
          <w:rFonts w:hint="eastAsia"/>
          <w:color w:val="auto"/>
          <w:lang w:val="en-US" w:eastAsia="zh-CN"/>
        </w:rPr>
        <w:t>各类</w:t>
      </w:r>
      <w:r>
        <w:rPr>
          <w:rFonts w:hint="default"/>
          <w:color w:val="auto"/>
          <w:lang w:val="en-US" w:eastAsia="zh-CN"/>
        </w:rPr>
        <w:t>集输管线</w:t>
      </w:r>
      <w:r>
        <w:rPr>
          <w:rFonts w:hint="eastAsia"/>
          <w:color w:val="auto"/>
          <w:lang w:val="en-US" w:eastAsia="zh-CN"/>
        </w:rPr>
        <w:t>24.7</w:t>
      </w:r>
      <w:r>
        <w:rPr>
          <w:rFonts w:hint="default"/>
          <w:color w:val="auto"/>
        </w:rPr>
        <w:t>km</w:t>
      </w:r>
      <w:r>
        <w:rPr>
          <w:rFonts w:hint="default"/>
          <w:color w:val="auto"/>
          <w:lang w:val="en-US" w:eastAsia="zh-CN"/>
        </w:rPr>
        <w:t>，开挖宽度2m、开挖深度</w:t>
      </w:r>
      <w:r>
        <w:rPr>
          <w:rFonts w:hint="eastAsia"/>
          <w:color w:val="auto"/>
          <w:lang w:val="en-US" w:eastAsia="zh-CN"/>
        </w:rPr>
        <w:t>1.8</w:t>
      </w:r>
      <w:r>
        <w:rPr>
          <w:rFonts w:hint="default"/>
          <w:color w:val="auto"/>
          <w:lang w:val="en-US" w:eastAsia="zh-CN"/>
        </w:rPr>
        <w:t>m，挖方量</w:t>
      </w:r>
      <w:r>
        <w:rPr>
          <w:rFonts w:hint="eastAsia"/>
          <w:color w:val="auto"/>
          <w:lang w:val="en-US" w:eastAsia="zh-CN"/>
        </w:rPr>
        <w:t>88920</w:t>
      </w:r>
      <w:r>
        <w:rPr>
          <w:rFonts w:hint="default"/>
          <w:color w:val="auto"/>
          <w:lang w:val="en-US" w:eastAsia="zh-CN"/>
        </w:rPr>
        <w:t>m</w:t>
      </w:r>
      <w:r>
        <w:rPr>
          <w:rFonts w:hint="default"/>
          <w:color w:val="auto"/>
          <w:vertAlign w:val="superscript"/>
          <w:lang w:val="en-US" w:eastAsia="zh-CN"/>
        </w:rPr>
        <w:t>3</w:t>
      </w:r>
      <w:r>
        <w:rPr>
          <w:rFonts w:hint="default"/>
          <w:color w:val="auto"/>
          <w:lang w:val="en-US" w:eastAsia="zh-CN"/>
        </w:rPr>
        <w:t>。</w:t>
      </w:r>
      <w:r>
        <w:rPr>
          <w:rFonts w:hint="default"/>
          <w:color w:val="auto"/>
        </w:rPr>
        <w:t>施工土方在管线施工结束后回填在管堤上</w:t>
      </w:r>
      <w:r>
        <w:rPr>
          <w:rFonts w:hint="default"/>
          <w:color w:val="auto"/>
          <w:lang w:eastAsia="zh-CN"/>
        </w:rPr>
        <w:t>。</w:t>
      </w:r>
    </w:p>
    <w:p w14:paraId="43384E3C">
      <w:pPr>
        <w:pStyle w:val="79"/>
        <w:bidi w:val="0"/>
        <w:rPr>
          <w:rFonts w:hint="default"/>
          <w:color w:val="auto"/>
        </w:rPr>
      </w:pPr>
      <w:r>
        <w:rPr>
          <w:rFonts w:hint="default"/>
          <w:color w:val="auto"/>
        </w:rPr>
        <w:t>预计</w:t>
      </w:r>
      <w:r>
        <w:rPr>
          <w:rFonts w:hint="default"/>
          <w:color w:val="auto"/>
          <w:lang w:eastAsia="zh-CN"/>
        </w:rPr>
        <w:t>本工程</w:t>
      </w:r>
      <w:r>
        <w:rPr>
          <w:rFonts w:hint="default"/>
          <w:color w:val="auto"/>
        </w:rPr>
        <w:t>挖方量约为</w:t>
      </w:r>
      <w:r>
        <w:rPr>
          <w:rFonts w:hint="eastAsia"/>
          <w:color w:val="auto"/>
          <w:lang w:val="en-US" w:eastAsia="zh-CN"/>
        </w:rPr>
        <w:t>101520</w:t>
      </w:r>
      <w:r>
        <w:rPr>
          <w:rFonts w:hint="default"/>
          <w:color w:val="auto"/>
          <w:lang w:eastAsia="zh-CN"/>
        </w:rPr>
        <w:t>m</w:t>
      </w:r>
      <w:r>
        <w:rPr>
          <w:rFonts w:hint="default"/>
          <w:color w:val="auto"/>
          <w:vertAlign w:val="superscript"/>
          <w:lang w:eastAsia="zh-CN"/>
        </w:rPr>
        <w:t>3</w:t>
      </w:r>
      <w:r>
        <w:rPr>
          <w:rFonts w:hint="default"/>
          <w:color w:val="auto"/>
        </w:rPr>
        <w:t>，填方总量为</w:t>
      </w:r>
      <w:r>
        <w:rPr>
          <w:rFonts w:hint="eastAsia"/>
          <w:color w:val="auto"/>
          <w:lang w:val="en-US" w:eastAsia="zh-CN"/>
        </w:rPr>
        <w:t>101520</w:t>
      </w:r>
      <w:r>
        <w:rPr>
          <w:rFonts w:hint="default"/>
          <w:color w:val="auto"/>
          <w:lang w:eastAsia="zh-CN"/>
        </w:rPr>
        <w:t>m</w:t>
      </w:r>
      <w:r>
        <w:rPr>
          <w:rFonts w:hint="default"/>
          <w:color w:val="auto"/>
          <w:vertAlign w:val="superscript"/>
          <w:lang w:eastAsia="zh-CN"/>
        </w:rPr>
        <w:t>3</w:t>
      </w:r>
      <w:r>
        <w:rPr>
          <w:rFonts w:hint="default"/>
          <w:color w:val="auto"/>
        </w:rPr>
        <w:t>，无废弃土方</w:t>
      </w:r>
      <w:r>
        <w:rPr>
          <w:rFonts w:hint="eastAsia"/>
          <w:color w:val="auto"/>
          <w:lang w:val="en-US" w:eastAsia="zh-CN"/>
        </w:rPr>
        <w:t>及借方</w:t>
      </w:r>
      <w:r>
        <w:rPr>
          <w:rFonts w:hint="default"/>
          <w:color w:val="auto"/>
        </w:rPr>
        <w:t>。施工土方在管线施工结束后回填在管堤上，</w:t>
      </w:r>
      <w:r>
        <w:rPr>
          <w:rFonts w:hint="eastAsia"/>
          <w:color w:val="auto"/>
          <w:lang w:val="en-US" w:eastAsia="zh-CN"/>
        </w:rPr>
        <w:t>站场</w:t>
      </w:r>
      <w:r>
        <w:rPr>
          <w:rFonts w:hint="default"/>
          <w:color w:val="auto"/>
        </w:rPr>
        <w:t>施工过程产生的土方回填至挖方处或回填至周边低洼场地，并实施压实平整。</w:t>
      </w:r>
    </w:p>
    <w:p w14:paraId="33EABD6A">
      <w:pPr>
        <w:pStyle w:val="79"/>
        <w:bidi w:val="0"/>
        <w:rPr>
          <w:rFonts w:hint="eastAsia"/>
          <w:color w:val="auto"/>
        </w:rPr>
      </w:pPr>
      <w:r>
        <w:rPr>
          <w:rFonts w:hint="eastAsia"/>
          <w:color w:val="auto"/>
          <w:lang w:eastAsia="zh-CN"/>
        </w:rPr>
        <w:t>本工程</w:t>
      </w:r>
      <w:r>
        <w:rPr>
          <w:color w:val="auto"/>
        </w:rPr>
        <w:t>土石方平衡表</w:t>
      </w:r>
      <w:r>
        <w:rPr>
          <w:rFonts w:hint="eastAsia"/>
          <w:color w:val="auto"/>
          <w:lang w:eastAsia="zh-CN"/>
        </w:rPr>
        <w:t>，</w:t>
      </w:r>
      <w:r>
        <w:rPr>
          <w:color w:val="auto"/>
        </w:rPr>
        <w:t>见表3.</w:t>
      </w:r>
      <w:r>
        <w:rPr>
          <w:rFonts w:hint="eastAsia"/>
          <w:color w:val="auto"/>
          <w:lang w:val="en-US" w:eastAsia="zh-CN"/>
        </w:rPr>
        <w:t>3</w:t>
      </w:r>
      <w:r>
        <w:rPr>
          <w:color w:val="auto"/>
        </w:rPr>
        <w:t>-</w:t>
      </w:r>
      <w:r>
        <w:rPr>
          <w:rFonts w:hint="eastAsia"/>
          <w:color w:val="auto"/>
          <w:lang w:val="en-US" w:eastAsia="zh-CN"/>
        </w:rPr>
        <w:t>3</w:t>
      </w:r>
      <w:r>
        <w:rPr>
          <w:color w:val="auto"/>
        </w:rPr>
        <w:t>。</w:t>
      </w:r>
    </w:p>
    <w:p w14:paraId="77A30D4C">
      <w:pPr>
        <w:pStyle w:val="61"/>
        <w:bidi w:val="0"/>
        <w:jc w:val="both"/>
        <w:rPr>
          <w:rFonts w:hint="eastAsia"/>
          <w:color w:val="auto"/>
          <w:lang w:val="en-US" w:eastAsia="zh-CN"/>
        </w:rPr>
      </w:pPr>
      <w:r>
        <w:rPr>
          <w:rFonts w:hint="eastAsia"/>
          <w:color w:val="auto"/>
          <w:lang w:val="en-US" w:eastAsia="zh-CN"/>
        </w:rPr>
        <w:t>表3.3-3   土方挖填方平衡表               单位：m3</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00"/>
        <w:gridCol w:w="1169"/>
        <w:gridCol w:w="846"/>
        <w:gridCol w:w="930"/>
        <w:gridCol w:w="741"/>
        <w:gridCol w:w="734"/>
        <w:gridCol w:w="741"/>
        <w:gridCol w:w="554"/>
        <w:gridCol w:w="704"/>
        <w:gridCol w:w="667"/>
        <w:gridCol w:w="502"/>
        <w:gridCol w:w="546"/>
      </w:tblGrid>
      <w:tr w14:paraId="7D7D5B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396" w:type="pct"/>
            <w:vMerge w:val="restart"/>
            <w:tcBorders>
              <w:tl2br w:val="nil"/>
              <w:tr2bl w:val="nil"/>
            </w:tcBorders>
            <w:noWrap w:val="0"/>
            <w:vAlign w:val="center"/>
          </w:tcPr>
          <w:p w14:paraId="1F2896F3">
            <w:pPr>
              <w:pStyle w:val="69"/>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rPr>
            </w:pPr>
            <w:r>
              <w:rPr>
                <w:color w:val="auto"/>
                <w:sz w:val="21"/>
                <w:szCs w:val="21"/>
                <w:highlight w:val="none"/>
              </w:rPr>
              <w:t>序号</w:t>
            </w:r>
          </w:p>
        </w:tc>
        <w:tc>
          <w:tcPr>
            <w:tcW w:w="661" w:type="pct"/>
            <w:vMerge w:val="restart"/>
            <w:tcBorders>
              <w:tl2br w:val="nil"/>
              <w:tr2bl w:val="nil"/>
            </w:tcBorders>
            <w:noWrap w:val="0"/>
            <w:vAlign w:val="center"/>
          </w:tcPr>
          <w:p w14:paraId="0DF97F09">
            <w:pPr>
              <w:pStyle w:val="69"/>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rPr>
            </w:pPr>
            <w:r>
              <w:rPr>
                <w:color w:val="auto"/>
                <w:sz w:val="21"/>
                <w:szCs w:val="21"/>
                <w:highlight w:val="none"/>
              </w:rPr>
              <w:t>分区或分段</w:t>
            </w:r>
          </w:p>
        </w:tc>
        <w:tc>
          <w:tcPr>
            <w:tcW w:w="478" w:type="pct"/>
            <w:vMerge w:val="restart"/>
            <w:tcBorders>
              <w:tl2br w:val="nil"/>
              <w:tr2bl w:val="nil"/>
            </w:tcBorders>
            <w:noWrap w:val="0"/>
            <w:vAlign w:val="center"/>
          </w:tcPr>
          <w:p w14:paraId="561B3EB1">
            <w:pPr>
              <w:pStyle w:val="69"/>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rPr>
            </w:pPr>
            <w:r>
              <w:rPr>
                <w:color w:val="auto"/>
                <w:sz w:val="21"/>
                <w:szCs w:val="21"/>
                <w:highlight w:val="none"/>
              </w:rPr>
              <w:t>开挖</w:t>
            </w:r>
          </w:p>
        </w:tc>
        <w:tc>
          <w:tcPr>
            <w:tcW w:w="526" w:type="pct"/>
            <w:vMerge w:val="restart"/>
            <w:tcBorders>
              <w:tl2br w:val="nil"/>
              <w:tr2bl w:val="nil"/>
            </w:tcBorders>
            <w:noWrap w:val="0"/>
            <w:vAlign w:val="center"/>
          </w:tcPr>
          <w:p w14:paraId="5457CFD4">
            <w:pPr>
              <w:pStyle w:val="69"/>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rPr>
            </w:pPr>
            <w:r>
              <w:rPr>
                <w:color w:val="auto"/>
                <w:sz w:val="21"/>
                <w:szCs w:val="21"/>
                <w:highlight w:val="none"/>
              </w:rPr>
              <w:t>回填</w:t>
            </w:r>
          </w:p>
        </w:tc>
        <w:tc>
          <w:tcPr>
            <w:tcW w:w="834" w:type="pct"/>
            <w:gridSpan w:val="2"/>
            <w:tcBorders>
              <w:tl2br w:val="nil"/>
              <w:tr2bl w:val="nil"/>
            </w:tcBorders>
            <w:noWrap w:val="0"/>
            <w:vAlign w:val="center"/>
          </w:tcPr>
          <w:p w14:paraId="546EFC02">
            <w:pPr>
              <w:pStyle w:val="69"/>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rPr>
            </w:pPr>
            <w:r>
              <w:rPr>
                <w:color w:val="auto"/>
                <w:sz w:val="21"/>
                <w:szCs w:val="21"/>
                <w:highlight w:val="none"/>
              </w:rPr>
              <w:t>调入</w:t>
            </w:r>
          </w:p>
        </w:tc>
        <w:tc>
          <w:tcPr>
            <w:tcW w:w="732" w:type="pct"/>
            <w:gridSpan w:val="2"/>
            <w:tcBorders>
              <w:tl2br w:val="nil"/>
              <w:tr2bl w:val="nil"/>
            </w:tcBorders>
            <w:noWrap w:val="0"/>
            <w:vAlign w:val="center"/>
          </w:tcPr>
          <w:p w14:paraId="0091053F">
            <w:pPr>
              <w:pStyle w:val="69"/>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rPr>
            </w:pPr>
            <w:r>
              <w:rPr>
                <w:color w:val="auto"/>
                <w:sz w:val="21"/>
                <w:szCs w:val="21"/>
                <w:highlight w:val="none"/>
              </w:rPr>
              <w:t>调出</w:t>
            </w:r>
          </w:p>
        </w:tc>
        <w:tc>
          <w:tcPr>
            <w:tcW w:w="775" w:type="pct"/>
            <w:gridSpan w:val="2"/>
            <w:tcBorders>
              <w:tl2br w:val="nil"/>
              <w:tr2bl w:val="nil"/>
            </w:tcBorders>
            <w:noWrap w:val="0"/>
            <w:vAlign w:val="center"/>
          </w:tcPr>
          <w:p w14:paraId="14A86338">
            <w:pPr>
              <w:pStyle w:val="69"/>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rFonts w:hint="eastAsia" w:eastAsia="宋体"/>
                <w:color w:val="auto"/>
                <w:sz w:val="21"/>
                <w:szCs w:val="21"/>
                <w:highlight w:val="none"/>
                <w:lang w:eastAsia="zh-CN"/>
              </w:rPr>
            </w:pPr>
            <w:r>
              <w:rPr>
                <w:rFonts w:hint="eastAsia"/>
                <w:color w:val="auto"/>
                <w:sz w:val="21"/>
                <w:szCs w:val="21"/>
                <w:highlight w:val="none"/>
                <w:lang w:val="en-US" w:eastAsia="zh-CN"/>
              </w:rPr>
              <w:t>借方</w:t>
            </w:r>
          </w:p>
        </w:tc>
        <w:tc>
          <w:tcPr>
            <w:tcW w:w="593" w:type="pct"/>
            <w:gridSpan w:val="2"/>
            <w:tcBorders>
              <w:tl2br w:val="nil"/>
              <w:tr2bl w:val="nil"/>
            </w:tcBorders>
            <w:noWrap w:val="0"/>
            <w:vAlign w:val="center"/>
          </w:tcPr>
          <w:p w14:paraId="4E45EFD5">
            <w:pPr>
              <w:pStyle w:val="69"/>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rPr>
            </w:pPr>
            <w:r>
              <w:rPr>
                <w:color w:val="auto"/>
                <w:sz w:val="21"/>
                <w:szCs w:val="21"/>
                <w:highlight w:val="none"/>
              </w:rPr>
              <w:t>弃方</w:t>
            </w:r>
          </w:p>
        </w:tc>
      </w:tr>
      <w:tr w14:paraId="52FCE3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396" w:type="pct"/>
            <w:vMerge w:val="continue"/>
            <w:tcBorders>
              <w:tl2br w:val="nil"/>
              <w:tr2bl w:val="nil"/>
            </w:tcBorders>
            <w:noWrap w:val="0"/>
            <w:vAlign w:val="center"/>
          </w:tcPr>
          <w:p w14:paraId="0C270B8B">
            <w:pPr>
              <w:pStyle w:val="69"/>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rPr>
            </w:pPr>
          </w:p>
        </w:tc>
        <w:tc>
          <w:tcPr>
            <w:tcW w:w="661" w:type="pct"/>
            <w:vMerge w:val="continue"/>
            <w:tcBorders>
              <w:tl2br w:val="nil"/>
              <w:tr2bl w:val="nil"/>
            </w:tcBorders>
            <w:noWrap w:val="0"/>
            <w:vAlign w:val="center"/>
          </w:tcPr>
          <w:p w14:paraId="6A249BD1">
            <w:pPr>
              <w:pStyle w:val="69"/>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rPr>
            </w:pPr>
          </w:p>
        </w:tc>
        <w:tc>
          <w:tcPr>
            <w:tcW w:w="478" w:type="pct"/>
            <w:vMerge w:val="continue"/>
            <w:tcBorders>
              <w:tl2br w:val="nil"/>
              <w:tr2bl w:val="nil"/>
            </w:tcBorders>
            <w:noWrap w:val="0"/>
            <w:vAlign w:val="center"/>
          </w:tcPr>
          <w:p w14:paraId="02890687">
            <w:pPr>
              <w:pStyle w:val="69"/>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rPr>
            </w:pPr>
          </w:p>
        </w:tc>
        <w:tc>
          <w:tcPr>
            <w:tcW w:w="526" w:type="pct"/>
            <w:vMerge w:val="continue"/>
            <w:tcBorders>
              <w:tl2br w:val="nil"/>
              <w:tr2bl w:val="nil"/>
            </w:tcBorders>
            <w:noWrap w:val="0"/>
            <w:vAlign w:val="center"/>
          </w:tcPr>
          <w:p w14:paraId="68E935E4">
            <w:pPr>
              <w:pStyle w:val="69"/>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rPr>
            </w:pPr>
          </w:p>
        </w:tc>
        <w:tc>
          <w:tcPr>
            <w:tcW w:w="419" w:type="pct"/>
            <w:tcBorders>
              <w:tl2br w:val="nil"/>
              <w:tr2bl w:val="nil"/>
            </w:tcBorders>
            <w:noWrap w:val="0"/>
            <w:vAlign w:val="center"/>
          </w:tcPr>
          <w:p w14:paraId="749D7B57">
            <w:pPr>
              <w:pStyle w:val="69"/>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rPr>
            </w:pPr>
            <w:r>
              <w:rPr>
                <w:color w:val="auto"/>
                <w:sz w:val="21"/>
                <w:szCs w:val="21"/>
                <w:highlight w:val="none"/>
              </w:rPr>
              <w:t>数量</w:t>
            </w:r>
          </w:p>
        </w:tc>
        <w:tc>
          <w:tcPr>
            <w:tcW w:w="414" w:type="pct"/>
            <w:tcBorders>
              <w:tl2br w:val="nil"/>
              <w:tr2bl w:val="nil"/>
            </w:tcBorders>
            <w:noWrap w:val="0"/>
            <w:vAlign w:val="center"/>
          </w:tcPr>
          <w:p w14:paraId="0AFB00FC">
            <w:pPr>
              <w:pStyle w:val="69"/>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rPr>
            </w:pPr>
            <w:r>
              <w:rPr>
                <w:color w:val="auto"/>
                <w:sz w:val="21"/>
                <w:szCs w:val="21"/>
                <w:highlight w:val="none"/>
              </w:rPr>
              <w:t>来源</w:t>
            </w:r>
          </w:p>
        </w:tc>
        <w:tc>
          <w:tcPr>
            <w:tcW w:w="419" w:type="pct"/>
            <w:tcBorders>
              <w:tl2br w:val="nil"/>
              <w:tr2bl w:val="nil"/>
            </w:tcBorders>
            <w:noWrap w:val="0"/>
            <w:vAlign w:val="center"/>
          </w:tcPr>
          <w:p w14:paraId="0BC0954D">
            <w:pPr>
              <w:pStyle w:val="69"/>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rPr>
            </w:pPr>
            <w:r>
              <w:rPr>
                <w:color w:val="auto"/>
                <w:sz w:val="21"/>
                <w:szCs w:val="21"/>
                <w:highlight w:val="none"/>
              </w:rPr>
              <w:t>数量</w:t>
            </w:r>
          </w:p>
        </w:tc>
        <w:tc>
          <w:tcPr>
            <w:tcW w:w="313" w:type="pct"/>
            <w:tcBorders>
              <w:tl2br w:val="nil"/>
              <w:tr2bl w:val="nil"/>
            </w:tcBorders>
            <w:noWrap w:val="0"/>
            <w:vAlign w:val="center"/>
          </w:tcPr>
          <w:p w14:paraId="0B249868">
            <w:pPr>
              <w:pStyle w:val="69"/>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rPr>
            </w:pPr>
            <w:r>
              <w:rPr>
                <w:color w:val="auto"/>
                <w:sz w:val="21"/>
                <w:szCs w:val="21"/>
                <w:highlight w:val="none"/>
              </w:rPr>
              <w:t>去向</w:t>
            </w:r>
          </w:p>
        </w:tc>
        <w:tc>
          <w:tcPr>
            <w:tcW w:w="398" w:type="pct"/>
            <w:tcBorders>
              <w:tl2br w:val="nil"/>
              <w:tr2bl w:val="nil"/>
            </w:tcBorders>
            <w:noWrap w:val="0"/>
            <w:vAlign w:val="center"/>
          </w:tcPr>
          <w:p w14:paraId="7D0D9DEA">
            <w:pPr>
              <w:pStyle w:val="69"/>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rPr>
            </w:pPr>
            <w:r>
              <w:rPr>
                <w:color w:val="auto"/>
                <w:sz w:val="21"/>
                <w:szCs w:val="21"/>
                <w:highlight w:val="none"/>
              </w:rPr>
              <w:t>数量</w:t>
            </w:r>
          </w:p>
        </w:tc>
        <w:tc>
          <w:tcPr>
            <w:tcW w:w="377" w:type="pct"/>
            <w:tcBorders>
              <w:tl2br w:val="nil"/>
              <w:tr2bl w:val="nil"/>
            </w:tcBorders>
            <w:noWrap w:val="0"/>
            <w:vAlign w:val="center"/>
          </w:tcPr>
          <w:p w14:paraId="17ABA129">
            <w:pPr>
              <w:pStyle w:val="69"/>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rPr>
            </w:pPr>
            <w:r>
              <w:rPr>
                <w:color w:val="auto"/>
                <w:sz w:val="21"/>
                <w:szCs w:val="21"/>
                <w:highlight w:val="none"/>
              </w:rPr>
              <w:t>来源</w:t>
            </w:r>
          </w:p>
        </w:tc>
        <w:tc>
          <w:tcPr>
            <w:tcW w:w="284" w:type="pct"/>
            <w:tcBorders>
              <w:tl2br w:val="nil"/>
              <w:tr2bl w:val="nil"/>
            </w:tcBorders>
            <w:noWrap w:val="0"/>
            <w:vAlign w:val="center"/>
          </w:tcPr>
          <w:p w14:paraId="6FD364BD">
            <w:pPr>
              <w:pStyle w:val="69"/>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rPr>
            </w:pPr>
            <w:r>
              <w:rPr>
                <w:color w:val="auto"/>
                <w:sz w:val="21"/>
                <w:szCs w:val="21"/>
                <w:highlight w:val="none"/>
              </w:rPr>
              <w:t>数量</w:t>
            </w:r>
          </w:p>
        </w:tc>
        <w:tc>
          <w:tcPr>
            <w:tcW w:w="308" w:type="pct"/>
            <w:tcBorders>
              <w:tl2br w:val="nil"/>
              <w:tr2bl w:val="nil"/>
            </w:tcBorders>
            <w:noWrap w:val="0"/>
            <w:vAlign w:val="center"/>
          </w:tcPr>
          <w:p w14:paraId="7D71E10F">
            <w:pPr>
              <w:pStyle w:val="69"/>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rPr>
            </w:pPr>
            <w:r>
              <w:rPr>
                <w:color w:val="auto"/>
                <w:sz w:val="21"/>
                <w:szCs w:val="21"/>
                <w:highlight w:val="none"/>
              </w:rPr>
              <w:t>去向</w:t>
            </w:r>
          </w:p>
        </w:tc>
      </w:tr>
      <w:tr w14:paraId="56C3E7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2" w:hRule="atLeast"/>
          <w:jc w:val="center"/>
        </w:trPr>
        <w:tc>
          <w:tcPr>
            <w:tcW w:w="396" w:type="pct"/>
            <w:tcBorders>
              <w:tl2br w:val="nil"/>
              <w:tr2bl w:val="nil"/>
            </w:tcBorders>
            <w:noWrap w:val="0"/>
            <w:vAlign w:val="center"/>
          </w:tcPr>
          <w:p w14:paraId="798245D9">
            <w:pPr>
              <w:pStyle w:val="69"/>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rPr>
            </w:pPr>
            <w:r>
              <w:rPr>
                <w:rFonts w:hint="eastAsia"/>
                <w:color w:val="auto"/>
                <w:sz w:val="21"/>
                <w:szCs w:val="21"/>
                <w:highlight w:val="none"/>
              </w:rPr>
              <w:t>①</w:t>
            </w:r>
          </w:p>
        </w:tc>
        <w:tc>
          <w:tcPr>
            <w:tcW w:w="661" w:type="pct"/>
            <w:tcBorders>
              <w:tl2br w:val="nil"/>
              <w:tr2bl w:val="nil"/>
            </w:tcBorders>
            <w:noWrap w:val="0"/>
            <w:vAlign w:val="center"/>
          </w:tcPr>
          <w:p w14:paraId="2604A6AD">
            <w:pPr>
              <w:pStyle w:val="69"/>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rPr>
            </w:pPr>
            <w:r>
              <w:rPr>
                <w:color w:val="auto"/>
                <w:sz w:val="21"/>
                <w:szCs w:val="21"/>
                <w:highlight w:val="none"/>
              </w:rPr>
              <w:t>表土剥离</w:t>
            </w:r>
          </w:p>
        </w:tc>
        <w:tc>
          <w:tcPr>
            <w:tcW w:w="478" w:type="pct"/>
            <w:tcBorders>
              <w:tl2br w:val="nil"/>
              <w:tr2bl w:val="nil"/>
            </w:tcBorders>
            <w:noWrap w:val="0"/>
            <w:vAlign w:val="center"/>
          </w:tcPr>
          <w:p w14:paraId="0A87DD4A">
            <w:pPr>
              <w:pStyle w:val="52"/>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12600</w:t>
            </w:r>
          </w:p>
        </w:tc>
        <w:tc>
          <w:tcPr>
            <w:tcW w:w="526" w:type="pct"/>
            <w:tcBorders>
              <w:tl2br w:val="nil"/>
              <w:tr2bl w:val="nil"/>
            </w:tcBorders>
            <w:noWrap w:val="0"/>
            <w:vAlign w:val="center"/>
          </w:tcPr>
          <w:p w14:paraId="57A5AAB9">
            <w:pPr>
              <w:pStyle w:val="52"/>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rPr>
            </w:pPr>
            <w:r>
              <w:rPr>
                <w:color w:val="auto"/>
                <w:sz w:val="21"/>
                <w:szCs w:val="21"/>
                <w:highlight w:val="none"/>
              </w:rPr>
              <w:t>0</w:t>
            </w:r>
          </w:p>
        </w:tc>
        <w:tc>
          <w:tcPr>
            <w:tcW w:w="419" w:type="pct"/>
            <w:tcBorders>
              <w:tl2br w:val="nil"/>
              <w:tr2bl w:val="nil"/>
            </w:tcBorders>
            <w:noWrap w:val="0"/>
            <w:vAlign w:val="center"/>
          </w:tcPr>
          <w:p w14:paraId="798845D1">
            <w:pPr>
              <w:pStyle w:val="52"/>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rPr>
            </w:pPr>
            <w:r>
              <w:rPr>
                <w:color w:val="auto"/>
                <w:sz w:val="21"/>
                <w:szCs w:val="21"/>
                <w:highlight w:val="none"/>
              </w:rPr>
              <w:t>0</w:t>
            </w:r>
          </w:p>
        </w:tc>
        <w:tc>
          <w:tcPr>
            <w:tcW w:w="414" w:type="pct"/>
            <w:tcBorders>
              <w:tl2br w:val="nil"/>
              <w:tr2bl w:val="nil"/>
            </w:tcBorders>
            <w:noWrap w:val="0"/>
            <w:vAlign w:val="center"/>
          </w:tcPr>
          <w:p w14:paraId="31893F30">
            <w:pPr>
              <w:pStyle w:val="52"/>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rPr>
            </w:pPr>
            <w:r>
              <w:rPr>
                <w:color w:val="auto"/>
                <w:sz w:val="21"/>
                <w:szCs w:val="21"/>
                <w:highlight w:val="none"/>
              </w:rPr>
              <w:t>/</w:t>
            </w:r>
          </w:p>
        </w:tc>
        <w:tc>
          <w:tcPr>
            <w:tcW w:w="419" w:type="pct"/>
            <w:tcBorders>
              <w:tl2br w:val="nil"/>
              <w:tr2bl w:val="nil"/>
            </w:tcBorders>
            <w:noWrap w:val="0"/>
            <w:vAlign w:val="center"/>
          </w:tcPr>
          <w:p w14:paraId="7DBB81F7">
            <w:pPr>
              <w:pStyle w:val="52"/>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12600</w:t>
            </w:r>
          </w:p>
        </w:tc>
        <w:tc>
          <w:tcPr>
            <w:tcW w:w="313" w:type="pct"/>
            <w:tcBorders>
              <w:tl2br w:val="nil"/>
              <w:tr2bl w:val="nil"/>
            </w:tcBorders>
            <w:noWrap w:val="0"/>
            <w:vAlign w:val="center"/>
          </w:tcPr>
          <w:p w14:paraId="6567477A">
            <w:pPr>
              <w:pStyle w:val="52"/>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rPr>
            </w:pPr>
            <w:r>
              <w:rPr>
                <w:rFonts w:hint="eastAsia"/>
                <w:color w:val="auto"/>
                <w:sz w:val="21"/>
                <w:szCs w:val="21"/>
                <w:highlight w:val="none"/>
              </w:rPr>
              <w:t>②</w:t>
            </w:r>
          </w:p>
        </w:tc>
        <w:tc>
          <w:tcPr>
            <w:tcW w:w="398" w:type="pct"/>
            <w:tcBorders>
              <w:tl2br w:val="nil"/>
              <w:tr2bl w:val="nil"/>
            </w:tcBorders>
            <w:noWrap w:val="0"/>
            <w:vAlign w:val="center"/>
          </w:tcPr>
          <w:p w14:paraId="73636850">
            <w:pPr>
              <w:pStyle w:val="52"/>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rPr>
            </w:pPr>
            <w:r>
              <w:rPr>
                <w:color w:val="auto"/>
                <w:sz w:val="21"/>
                <w:szCs w:val="21"/>
                <w:highlight w:val="none"/>
              </w:rPr>
              <w:t>0</w:t>
            </w:r>
          </w:p>
        </w:tc>
        <w:tc>
          <w:tcPr>
            <w:tcW w:w="377" w:type="pct"/>
            <w:tcBorders>
              <w:tl2br w:val="nil"/>
              <w:tr2bl w:val="nil"/>
            </w:tcBorders>
            <w:noWrap w:val="0"/>
            <w:vAlign w:val="center"/>
          </w:tcPr>
          <w:p w14:paraId="7CA39833">
            <w:pPr>
              <w:pStyle w:val="52"/>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rPr>
            </w:pPr>
            <w:r>
              <w:rPr>
                <w:color w:val="auto"/>
                <w:sz w:val="21"/>
                <w:szCs w:val="21"/>
                <w:highlight w:val="none"/>
              </w:rPr>
              <w:t>/</w:t>
            </w:r>
          </w:p>
        </w:tc>
        <w:tc>
          <w:tcPr>
            <w:tcW w:w="284" w:type="pct"/>
            <w:tcBorders>
              <w:tl2br w:val="nil"/>
              <w:tr2bl w:val="nil"/>
            </w:tcBorders>
            <w:noWrap w:val="0"/>
            <w:vAlign w:val="center"/>
          </w:tcPr>
          <w:p w14:paraId="24E77DC2">
            <w:pPr>
              <w:pStyle w:val="52"/>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rPr>
            </w:pPr>
            <w:r>
              <w:rPr>
                <w:color w:val="auto"/>
                <w:sz w:val="21"/>
                <w:szCs w:val="21"/>
                <w:highlight w:val="none"/>
              </w:rPr>
              <w:t>0</w:t>
            </w:r>
          </w:p>
        </w:tc>
        <w:tc>
          <w:tcPr>
            <w:tcW w:w="308" w:type="pct"/>
            <w:tcBorders>
              <w:tl2br w:val="nil"/>
              <w:tr2bl w:val="nil"/>
            </w:tcBorders>
            <w:noWrap w:val="0"/>
            <w:vAlign w:val="center"/>
          </w:tcPr>
          <w:p w14:paraId="42C4A08D">
            <w:pPr>
              <w:pStyle w:val="69"/>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rPr>
            </w:pPr>
            <w:r>
              <w:rPr>
                <w:color w:val="auto"/>
                <w:sz w:val="21"/>
                <w:szCs w:val="21"/>
                <w:highlight w:val="none"/>
              </w:rPr>
              <w:t>/</w:t>
            </w:r>
          </w:p>
        </w:tc>
      </w:tr>
      <w:tr w14:paraId="246C07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4" w:hRule="atLeast"/>
          <w:jc w:val="center"/>
        </w:trPr>
        <w:tc>
          <w:tcPr>
            <w:tcW w:w="396" w:type="pct"/>
            <w:tcBorders>
              <w:tl2br w:val="nil"/>
              <w:tr2bl w:val="nil"/>
            </w:tcBorders>
            <w:noWrap w:val="0"/>
            <w:vAlign w:val="center"/>
          </w:tcPr>
          <w:p w14:paraId="07245636">
            <w:pPr>
              <w:pStyle w:val="69"/>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rPr>
            </w:pPr>
            <w:r>
              <w:rPr>
                <w:rFonts w:hint="eastAsia"/>
                <w:color w:val="auto"/>
                <w:sz w:val="21"/>
                <w:szCs w:val="21"/>
                <w:highlight w:val="none"/>
              </w:rPr>
              <w:t>②</w:t>
            </w:r>
          </w:p>
        </w:tc>
        <w:tc>
          <w:tcPr>
            <w:tcW w:w="661" w:type="pct"/>
            <w:tcBorders>
              <w:tl2br w:val="nil"/>
              <w:tr2bl w:val="nil"/>
            </w:tcBorders>
            <w:noWrap w:val="0"/>
            <w:vAlign w:val="center"/>
          </w:tcPr>
          <w:p w14:paraId="7DB34979">
            <w:pPr>
              <w:pStyle w:val="69"/>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rPr>
            </w:pPr>
            <w:r>
              <w:rPr>
                <w:color w:val="auto"/>
                <w:sz w:val="21"/>
                <w:szCs w:val="21"/>
                <w:highlight w:val="none"/>
              </w:rPr>
              <w:t>场地平整</w:t>
            </w:r>
          </w:p>
        </w:tc>
        <w:tc>
          <w:tcPr>
            <w:tcW w:w="478" w:type="pct"/>
            <w:tcBorders>
              <w:tl2br w:val="nil"/>
              <w:tr2bl w:val="nil"/>
            </w:tcBorders>
            <w:noWrap w:val="0"/>
            <w:vAlign w:val="center"/>
          </w:tcPr>
          <w:p w14:paraId="3ABBB2D6">
            <w:pPr>
              <w:pStyle w:val="52"/>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rPr>
            </w:pPr>
            <w:r>
              <w:rPr>
                <w:color w:val="auto"/>
                <w:sz w:val="21"/>
                <w:szCs w:val="21"/>
                <w:highlight w:val="none"/>
              </w:rPr>
              <w:t>0</w:t>
            </w:r>
          </w:p>
        </w:tc>
        <w:tc>
          <w:tcPr>
            <w:tcW w:w="526" w:type="pct"/>
            <w:tcBorders>
              <w:tl2br w:val="nil"/>
              <w:tr2bl w:val="nil"/>
            </w:tcBorders>
            <w:noWrap w:val="0"/>
            <w:vAlign w:val="center"/>
          </w:tcPr>
          <w:p w14:paraId="61C021F1">
            <w:pPr>
              <w:pStyle w:val="52"/>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12600</w:t>
            </w:r>
          </w:p>
        </w:tc>
        <w:tc>
          <w:tcPr>
            <w:tcW w:w="419" w:type="pct"/>
            <w:tcBorders>
              <w:tl2br w:val="nil"/>
              <w:tr2bl w:val="nil"/>
            </w:tcBorders>
            <w:noWrap w:val="0"/>
            <w:vAlign w:val="center"/>
          </w:tcPr>
          <w:p w14:paraId="47F1AC61">
            <w:pPr>
              <w:pStyle w:val="52"/>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12600</w:t>
            </w:r>
          </w:p>
        </w:tc>
        <w:tc>
          <w:tcPr>
            <w:tcW w:w="414" w:type="pct"/>
            <w:tcBorders>
              <w:tl2br w:val="nil"/>
              <w:tr2bl w:val="nil"/>
            </w:tcBorders>
            <w:noWrap w:val="0"/>
            <w:vAlign w:val="center"/>
          </w:tcPr>
          <w:p w14:paraId="1920B57D">
            <w:pPr>
              <w:pStyle w:val="52"/>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①</w:t>
            </w:r>
          </w:p>
        </w:tc>
        <w:tc>
          <w:tcPr>
            <w:tcW w:w="419" w:type="pct"/>
            <w:tcBorders>
              <w:tl2br w:val="nil"/>
              <w:tr2bl w:val="nil"/>
            </w:tcBorders>
            <w:noWrap w:val="0"/>
            <w:vAlign w:val="center"/>
          </w:tcPr>
          <w:p w14:paraId="1273840B">
            <w:pPr>
              <w:pStyle w:val="52"/>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rPr>
            </w:pPr>
            <w:r>
              <w:rPr>
                <w:color w:val="auto"/>
                <w:sz w:val="21"/>
                <w:szCs w:val="21"/>
                <w:highlight w:val="none"/>
              </w:rPr>
              <w:t>0</w:t>
            </w:r>
          </w:p>
        </w:tc>
        <w:tc>
          <w:tcPr>
            <w:tcW w:w="313" w:type="pct"/>
            <w:tcBorders>
              <w:tl2br w:val="nil"/>
              <w:tr2bl w:val="nil"/>
            </w:tcBorders>
            <w:noWrap w:val="0"/>
            <w:vAlign w:val="center"/>
          </w:tcPr>
          <w:p w14:paraId="2E9C980B">
            <w:pPr>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rPr>
            </w:pPr>
            <w:r>
              <w:rPr>
                <w:color w:val="auto"/>
                <w:sz w:val="21"/>
                <w:szCs w:val="21"/>
                <w:highlight w:val="none"/>
              </w:rPr>
              <w:t>/</w:t>
            </w:r>
          </w:p>
        </w:tc>
        <w:tc>
          <w:tcPr>
            <w:tcW w:w="398" w:type="pct"/>
            <w:tcBorders>
              <w:tl2br w:val="nil"/>
              <w:tr2bl w:val="nil"/>
            </w:tcBorders>
            <w:noWrap w:val="0"/>
            <w:vAlign w:val="center"/>
          </w:tcPr>
          <w:p w14:paraId="11A5D112">
            <w:pPr>
              <w:pStyle w:val="52"/>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rPr>
            </w:pPr>
            <w:r>
              <w:rPr>
                <w:color w:val="auto"/>
                <w:sz w:val="21"/>
                <w:szCs w:val="21"/>
                <w:highlight w:val="none"/>
              </w:rPr>
              <w:t>0</w:t>
            </w:r>
          </w:p>
        </w:tc>
        <w:tc>
          <w:tcPr>
            <w:tcW w:w="377" w:type="pct"/>
            <w:tcBorders>
              <w:tl2br w:val="nil"/>
              <w:tr2bl w:val="nil"/>
            </w:tcBorders>
            <w:noWrap w:val="0"/>
            <w:vAlign w:val="center"/>
          </w:tcPr>
          <w:p w14:paraId="02FE115E">
            <w:pPr>
              <w:pStyle w:val="52"/>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rPr>
            </w:pPr>
            <w:r>
              <w:rPr>
                <w:color w:val="auto"/>
                <w:sz w:val="21"/>
                <w:szCs w:val="21"/>
                <w:highlight w:val="none"/>
              </w:rPr>
              <w:t>/</w:t>
            </w:r>
          </w:p>
        </w:tc>
        <w:tc>
          <w:tcPr>
            <w:tcW w:w="284" w:type="pct"/>
            <w:tcBorders>
              <w:tl2br w:val="nil"/>
              <w:tr2bl w:val="nil"/>
            </w:tcBorders>
            <w:noWrap w:val="0"/>
            <w:vAlign w:val="center"/>
          </w:tcPr>
          <w:p w14:paraId="4A706556">
            <w:pPr>
              <w:pStyle w:val="52"/>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rPr>
            </w:pPr>
            <w:r>
              <w:rPr>
                <w:color w:val="auto"/>
                <w:sz w:val="21"/>
                <w:szCs w:val="21"/>
                <w:highlight w:val="none"/>
              </w:rPr>
              <w:t>0</w:t>
            </w:r>
          </w:p>
        </w:tc>
        <w:tc>
          <w:tcPr>
            <w:tcW w:w="308" w:type="pct"/>
            <w:tcBorders>
              <w:tl2br w:val="nil"/>
              <w:tr2bl w:val="nil"/>
            </w:tcBorders>
            <w:noWrap w:val="0"/>
            <w:vAlign w:val="center"/>
          </w:tcPr>
          <w:p w14:paraId="380378B9">
            <w:pPr>
              <w:pStyle w:val="69"/>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rPr>
            </w:pPr>
            <w:r>
              <w:rPr>
                <w:color w:val="auto"/>
                <w:sz w:val="21"/>
                <w:szCs w:val="21"/>
                <w:highlight w:val="none"/>
              </w:rPr>
              <w:t>/</w:t>
            </w:r>
          </w:p>
        </w:tc>
      </w:tr>
      <w:tr w14:paraId="33BB7E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396" w:type="pct"/>
            <w:tcBorders>
              <w:tl2br w:val="nil"/>
              <w:tr2bl w:val="nil"/>
            </w:tcBorders>
            <w:noWrap w:val="0"/>
            <w:vAlign w:val="center"/>
          </w:tcPr>
          <w:p w14:paraId="7EC7266D">
            <w:pPr>
              <w:pStyle w:val="69"/>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w:instrText>
            </w:r>
            <w:r>
              <w:rPr>
                <w:rFonts w:hint="eastAsia"/>
                <w:color w:val="auto"/>
                <w:sz w:val="21"/>
                <w:szCs w:val="21"/>
                <w:highlight w:val="none"/>
              </w:rPr>
              <w:instrText xml:space="preserve">= 3 \* GB3</w:instrText>
            </w:r>
            <w:r>
              <w:rPr>
                <w:color w:val="auto"/>
                <w:sz w:val="21"/>
                <w:szCs w:val="21"/>
                <w:highlight w:val="none"/>
              </w:rPr>
              <w:instrText xml:space="preserve"> </w:instrText>
            </w:r>
            <w:r>
              <w:rPr>
                <w:color w:val="auto"/>
                <w:sz w:val="21"/>
                <w:szCs w:val="21"/>
                <w:highlight w:val="none"/>
              </w:rPr>
              <w:fldChar w:fldCharType="separate"/>
            </w:r>
            <w:r>
              <w:rPr>
                <w:rFonts w:hint="eastAsia"/>
                <w:color w:val="auto"/>
                <w:sz w:val="21"/>
                <w:szCs w:val="21"/>
                <w:highlight w:val="none"/>
              </w:rPr>
              <w:t>③</w:t>
            </w:r>
            <w:r>
              <w:rPr>
                <w:color w:val="auto"/>
                <w:sz w:val="21"/>
                <w:szCs w:val="21"/>
                <w:highlight w:val="none"/>
              </w:rPr>
              <w:fldChar w:fldCharType="end"/>
            </w:r>
          </w:p>
        </w:tc>
        <w:tc>
          <w:tcPr>
            <w:tcW w:w="661" w:type="pct"/>
            <w:tcBorders>
              <w:tl2br w:val="nil"/>
              <w:tr2bl w:val="nil"/>
            </w:tcBorders>
            <w:noWrap w:val="0"/>
            <w:vAlign w:val="center"/>
          </w:tcPr>
          <w:p w14:paraId="730D589A">
            <w:pPr>
              <w:pStyle w:val="69"/>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rPr>
            </w:pPr>
            <w:r>
              <w:rPr>
                <w:color w:val="auto"/>
                <w:sz w:val="21"/>
                <w:szCs w:val="21"/>
                <w:highlight w:val="none"/>
              </w:rPr>
              <w:t>管线</w:t>
            </w:r>
          </w:p>
        </w:tc>
        <w:tc>
          <w:tcPr>
            <w:tcW w:w="478" w:type="pct"/>
            <w:tcBorders>
              <w:tl2br w:val="nil"/>
              <w:tr2bl w:val="nil"/>
            </w:tcBorders>
            <w:noWrap w:val="0"/>
            <w:vAlign w:val="center"/>
          </w:tcPr>
          <w:p w14:paraId="4821F11E">
            <w:pPr>
              <w:pStyle w:val="52"/>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88920</w:t>
            </w:r>
          </w:p>
        </w:tc>
        <w:tc>
          <w:tcPr>
            <w:tcW w:w="526" w:type="pct"/>
            <w:tcBorders>
              <w:tl2br w:val="nil"/>
              <w:tr2bl w:val="nil"/>
            </w:tcBorders>
            <w:noWrap w:val="0"/>
            <w:vAlign w:val="center"/>
          </w:tcPr>
          <w:p w14:paraId="2DF534D3">
            <w:pPr>
              <w:pStyle w:val="52"/>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88920</w:t>
            </w:r>
          </w:p>
        </w:tc>
        <w:tc>
          <w:tcPr>
            <w:tcW w:w="419" w:type="pct"/>
            <w:tcBorders>
              <w:tl2br w:val="nil"/>
              <w:tr2bl w:val="nil"/>
            </w:tcBorders>
            <w:noWrap w:val="0"/>
            <w:vAlign w:val="center"/>
          </w:tcPr>
          <w:p w14:paraId="444E47F9">
            <w:pPr>
              <w:pStyle w:val="52"/>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rPr>
            </w:pPr>
            <w:r>
              <w:rPr>
                <w:color w:val="auto"/>
                <w:sz w:val="21"/>
                <w:szCs w:val="21"/>
                <w:highlight w:val="none"/>
              </w:rPr>
              <w:t>0</w:t>
            </w:r>
          </w:p>
        </w:tc>
        <w:tc>
          <w:tcPr>
            <w:tcW w:w="414" w:type="pct"/>
            <w:tcBorders>
              <w:tl2br w:val="nil"/>
              <w:tr2bl w:val="nil"/>
            </w:tcBorders>
            <w:noWrap w:val="0"/>
            <w:vAlign w:val="center"/>
          </w:tcPr>
          <w:p w14:paraId="028270FE">
            <w:pPr>
              <w:pStyle w:val="52"/>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rPr>
            </w:pPr>
            <w:r>
              <w:rPr>
                <w:color w:val="auto"/>
                <w:sz w:val="21"/>
                <w:szCs w:val="21"/>
                <w:highlight w:val="none"/>
              </w:rPr>
              <w:t>/</w:t>
            </w:r>
          </w:p>
        </w:tc>
        <w:tc>
          <w:tcPr>
            <w:tcW w:w="419" w:type="pct"/>
            <w:tcBorders>
              <w:tl2br w:val="nil"/>
              <w:tr2bl w:val="nil"/>
            </w:tcBorders>
            <w:noWrap w:val="0"/>
            <w:vAlign w:val="center"/>
          </w:tcPr>
          <w:p w14:paraId="56EA698B">
            <w:pPr>
              <w:pStyle w:val="52"/>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rPr>
            </w:pPr>
            <w:r>
              <w:rPr>
                <w:color w:val="auto"/>
                <w:sz w:val="21"/>
                <w:szCs w:val="21"/>
                <w:highlight w:val="none"/>
              </w:rPr>
              <w:t>0</w:t>
            </w:r>
          </w:p>
        </w:tc>
        <w:tc>
          <w:tcPr>
            <w:tcW w:w="313" w:type="pct"/>
            <w:tcBorders>
              <w:tl2br w:val="nil"/>
              <w:tr2bl w:val="nil"/>
            </w:tcBorders>
            <w:noWrap w:val="0"/>
            <w:vAlign w:val="center"/>
          </w:tcPr>
          <w:p w14:paraId="6D840566">
            <w:pPr>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rPr>
            </w:pPr>
            <w:r>
              <w:rPr>
                <w:color w:val="auto"/>
                <w:sz w:val="21"/>
                <w:szCs w:val="21"/>
                <w:highlight w:val="none"/>
              </w:rPr>
              <w:t>/</w:t>
            </w:r>
          </w:p>
        </w:tc>
        <w:tc>
          <w:tcPr>
            <w:tcW w:w="398" w:type="pct"/>
            <w:tcBorders>
              <w:tl2br w:val="nil"/>
              <w:tr2bl w:val="nil"/>
            </w:tcBorders>
            <w:noWrap w:val="0"/>
            <w:vAlign w:val="center"/>
          </w:tcPr>
          <w:p w14:paraId="04C8BE08">
            <w:pPr>
              <w:pStyle w:val="52"/>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rPr>
            </w:pPr>
            <w:r>
              <w:rPr>
                <w:color w:val="auto"/>
                <w:sz w:val="21"/>
                <w:szCs w:val="21"/>
                <w:highlight w:val="none"/>
              </w:rPr>
              <w:t>0</w:t>
            </w:r>
          </w:p>
        </w:tc>
        <w:tc>
          <w:tcPr>
            <w:tcW w:w="377" w:type="pct"/>
            <w:tcBorders>
              <w:tl2br w:val="nil"/>
              <w:tr2bl w:val="nil"/>
            </w:tcBorders>
            <w:noWrap w:val="0"/>
            <w:vAlign w:val="center"/>
          </w:tcPr>
          <w:p w14:paraId="5B5CA6FA">
            <w:pPr>
              <w:pStyle w:val="52"/>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w:t>
            </w:r>
          </w:p>
        </w:tc>
        <w:tc>
          <w:tcPr>
            <w:tcW w:w="284" w:type="pct"/>
            <w:tcBorders>
              <w:tl2br w:val="nil"/>
              <w:tr2bl w:val="nil"/>
            </w:tcBorders>
            <w:noWrap w:val="0"/>
            <w:vAlign w:val="center"/>
          </w:tcPr>
          <w:p w14:paraId="452B8B44">
            <w:pPr>
              <w:pStyle w:val="52"/>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rPr>
            </w:pPr>
            <w:r>
              <w:rPr>
                <w:color w:val="auto"/>
                <w:sz w:val="21"/>
                <w:szCs w:val="21"/>
                <w:highlight w:val="none"/>
              </w:rPr>
              <w:t>0</w:t>
            </w:r>
          </w:p>
        </w:tc>
        <w:tc>
          <w:tcPr>
            <w:tcW w:w="308" w:type="pct"/>
            <w:tcBorders>
              <w:tl2br w:val="nil"/>
              <w:tr2bl w:val="nil"/>
            </w:tcBorders>
            <w:noWrap w:val="0"/>
            <w:vAlign w:val="center"/>
          </w:tcPr>
          <w:p w14:paraId="681CB9C3">
            <w:pPr>
              <w:pStyle w:val="69"/>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rPr>
            </w:pPr>
            <w:r>
              <w:rPr>
                <w:color w:val="auto"/>
                <w:sz w:val="21"/>
                <w:szCs w:val="21"/>
                <w:highlight w:val="none"/>
              </w:rPr>
              <w:t>/</w:t>
            </w:r>
          </w:p>
        </w:tc>
      </w:tr>
      <w:tr w14:paraId="3674DC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396" w:type="pct"/>
            <w:tcBorders>
              <w:tl2br w:val="nil"/>
              <w:tr2bl w:val="nil"/>
            </w:tcBorders>
            <w:noWrap w:val="0"/>
            <w:vAlign w:val="center"/>
          </w:tcPr>
          <w:p w14:paraId="4EF7D660">
            <w:pPr>
              <w:pStyle w:val="69"/>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661" w:type="pct"/>
            <w:tcBorders>
              <w:tl2br w:val="nil"/>
              <w:tr2bl w:val="nil"/>
            </w:tcBorders>
            <w:noWrap w:val="0"/>
            <w:vAlign w:val="center"/>
          </w:tcPr>
          <w:p w14:paraId="7E141A49">
            <w:pPr>
              <w:pStyle w:val="69"/>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color w:val="auto"/>
                <w:sz w:val="21"/>
                <w:szCs w:val="21"/>
                <w:highlight w:val="none"/>
              </w:rPr>
            </w:pPr>
            <w:r>
              <w:rPr>
                <w:color w:val="auto"/>
                <w:sz w:val="21"/>
                <w:szCs w:val="21"/>
                <w:highlight w:val="none"/>
              </w:rPr>
              <w:t>合计</w:t>
            </w:r>
          </w:p>
        </w:tc>
        <w:tc>
          <w:tcPr>
            <w:tcW w:w="478" w:type="pct"/>
            <w:tcBorders>
              <w:tl2br w:val="nil"/>
              <w:tr2bl w:val="nil"/>
            </w:tcBorders>
            <w:noWrap w:val="0"/>
            <w:vAlign w:val="center"/>
          </w:tcPr>
          <w:p w14:paraId="2D3CAD3E">
            <w:pPr>
              <w:pStyle w:val="52"/>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101520</w:t>
            </w:r>
          </w:p>
        </w:tc>
        <w:tc>
          <w:tcPr>
            <w:tcW w:w="526" w:type="pct"/>
            <w:tcBorders>
              <w:tl2br w:val="nil"/>
              <w:tr2bl w:val="nil"/>
            </w:tcBorders>
            <w:noWrap w:val="0"/>
            <w:vAlign w:val="center"/>
          </w:tcPr>
          <w:p w14:paraId="78050CC0">
            <w:pPr>
              <w:pStyle w:val="52"/>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101520</w:t>
            </w:r>
          </w:p>
        </w:tc>
        <w:tc>
          <w:tcPr>
            <w:tcW w:w="419" w:type="pct"/>
            <w:tcBorders>
              <w:tl2br w:val="nil"/>
              <w:tr2bl w:val="nil"/>
            </w:tcBorders>
            <w:noWrap w:val="0"/>
            <w:vAlign w:val="center"/>
          </w:tcPr>
          <w:p w14:paraId="274B19AF">
            <w:pPr>
              <w:pStyle w:val="52"/>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12600</w:t>
            </w:r>
          </w:p>
        </w:tc>
        <w:tc>
          <w:tcPr>
            <w:tcW w:w="414" w:type="pct"/>
            <w:tcBorders>
              <w:tl2br w:val="nil"/>
              <w:tr2bl w:val="nil"/>
            </w:tcBorders>
            <w:noWrap w:val="0"/>
            <w:vAlign w:val="center"/>
          </w:tcPr>
          <w:p w14:paraId="3AB3BD95">
            <w:pPr>
              <w:pStyle w:val="52"/>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419" w:type="pct"/>
            <w:tcBorders>
              <w:tl2br w:val="nil"/>
              <w:tr2bl w:val="nil"/>
            </w:tcBorders>
            <w:noWrap w:val="0"/>
            <w:vAlign w:val="center"/>
          </w:tcPr>
          <w:p w14:paraId="14DAC380">
            <w:pPr>
              <w:pStyle w:val="52"/>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12600</w:t>
            </w:r>
          </w:p>
        </w:tc>
        <w:tc>
          <w:tcPr>
            <w:tcW w:w="313" w:type="pct"/>
            <w:tcBorders>
              <w:tl2br w:val="nil"/>
              <w:tr2bl w:val="nil"/>
            </w:tcBorders>
            <w:noWrap w:val="0"/>
            <w:vAlign w:val="center"/>
          </w:tcPr>
          <w:p w14:paraId="09026345">
            <w:pPr>
              <w:pStyle w:val="52"/>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398" w:type="pct"/>
            <w:tcBorders>
              <w:tl2br w:val="nil"/>
              <w:tr2bl w:val="nil"/>
            </w:tcBorders>
            <w:noWrap w:val="0"/>
            <w:vAlign w:val="center"/>
          </w:tcPr>
          <w:p w14:paraId="7B238BE6">
            <w:pPr>
              <w:pStyle w:val="52"/>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w:t>
            </w:r>
          </w:p>
        </w:tc>
        <w:tc>
          <w:tcPr>
            <w:tcW w:w="377" w:type="pct"/>
            <w:tcBorders>
              <w:tl2br w:val="nil"/>
              <w:tr2bl w:val="nil"/>
            </w:tcBorders>
            <w:noWrap w:val="0"/>
            <w:vAlign w:val="center"/>
          </w:tcPr>
          <w:p w14:paraId="720E967E">
            <w:pPr>
              <w:pStyle w:val="52"/>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84" w:type="pct"/>
            <w:tcBorders>
              <w:tl2br w:val="nil"/>
              <w:tr2bl w:val="nil"/>
            </w:tcBorders>
            <w:noWrap w:val="0"/>
            <w:vAlign w:val="center"/>
          </w:tcPr>
          <w:p w14:paraId="5EC9B7BE">
            <w:pPr>
              <w:pStyle w:val="52"/>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w:t>
            </w:r>
          </w:p>
        </w:tc>
        <w:tc>
          <w:tcPr>
            <w:tcW w:w="308" w:type="pct"/>
            <w:tcBorders>
              <w:tl2br w:val="nil"/>
              <w:tr2bl w:val="nil"/>
            </w:tcBorders>
            <w:noWrap w:val="0"/>
            <w:vAlign w:val="center"/>
          </w:tcPr>
          <w:p w14:paraId="7F900E17">
            <w:pPr>
              <w:pStyle w:val="69"/>
              <w:keepNext w:val="0"/>
              <w:keepLines w:val="0"/>
              <w:pageBreakBefore w:val="0"/>
              <w:widowControl w:val="0"/>
              <w:kinsoku/>
              <w:wordWrap/>
              <w:overflowPunct/>
              <w:topLinePunct w:val="0"/>
              <w:autoSpaceDE/>
              <w:autoSpaceDN/>
              <w:bidi w:val="0"/>
              <w:snapToGrid/>
              <w:spacing w:line="400" w:lineRule="exact"/>
              <w:ind w:left="0" w:leftChars="0" w:right="0" w:rightChars="0"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r>
      <w:bookmarkEnd w:id="315"/>
    </w:tbl>
    <w:p w14:paraId="1BB1E95B">
      <w:pPr>
        <w:pStyle w:val="79"/>
        <w:bidi w:val="0"/>
        <w:rPr>
          <w:rFonts w:hint="default"/>
          <w:color w:val="auto"/>
        </w:rPr>
      </w:pPr>
      <w:r>
        <w:rPr>
          <w:rFonts w:hint="eastAsia"/>
          <w:color w:val="auto"/>
          <w:lang w:val="en-US" w:eastAsia="zh-CN"/>
        </w:rPr>
        <w:fldChar w:fldCharType="begin"/>
      </w:r>
      <w:r>
        <w:rPr>
          <w:rFonts w:hint="eastAsia"/>
          <w:color w:val="auto"/>
          <w:lang w:val="en-US" w:eastAsia="zh-CN"/>
        </w:rPr>
        <w:instrText xml:space="preserve"> = 2 \* GB3 \* MERGEFORMAT </w:instrText>
      </w:r>
      <w:r>
        <w:rPr>
          <w:rFonts w:hint="eastAsia"/>
          <w:color w:val="auto"/>
          <w:lang w:val="en-US" w:eastAsia="zh-CN"/>
        </w:rPr>
        <w:fldChar w:fldCharType="separate"/>
      </w:r>
      <w:r>
        <w:rPr>
          <w:color w:val="auto"/>
        </w:rPr>
        <w:t>②</w:t>
      </w:r>
      <w:r>
        <w:rPr>
          <w:rFonts w:hint="eastAsia"/>
          <w:color w:val="auto"/>
          <w:lang w:val="en-US" w:eastAsia="zh-CN"/>
        </w:rPr>
        <w:fldChar w:fldCharType="end"/>
      </w:r>
      <w:r>
        <w:rPr>
          <w:rFonts w:hint="default"/>
          <w:color w:val="auto"/>
        </w:rPr>
        <w:t>施工废料</w:t>
      </w:r>
    </w:p>
    <w:p w14:paraId="6FBE64AC">
      <w:pPr>
        <w:pStyle w:val="79"/>
        <w:bidi w:val="0"/>
        <w:rPr>
          <w:rFonts w:hint="default"/>
          <w:color w:val="auto"/>
          <w:lang w:val="zh-CN"/>
        </w:rPr>
      </w:pPr>
      <w:r>
        <w:rPr>
          <w:rFonts w:hint="default"/>
          <w:color w:val="auto"/>
          <w:lang w:val="zh-CN"/>
        </w:rPr>
        <w:t>施工废料主要包括管材边角料、焊接作业中产生的废焊</w:t>
      </w:r>
      <w:r>
        <w:rPr>
          <w:rFonts w:hint="eastAsia"/>
          <w:color w:val="auto"/>
          <w:lang w:val="en-US" w:eastAsia="zh-CN"/>
        </w:rPr>
        <w:t>条</w:t>
      </w:r>
      <w:r>
        <w:rPr>
          <w:rFonts w:hint="default"/>
          <w:color w:val="auto"/>
          <w:lang w:val="zh-CN"/>
        </w:rPr>
        <w:t>及其包装盒等。根据类比调查，施工废料的产生量约0.2t/km，本工程新建</w:t>
      </w:r>
      <w:r>
        <w:rPr>
          <w:rFonts w:hint="eastAsia"/>
          <w:color w:val="auto"/>
          <w:lang w:val="en-US" w:eastAsia="zh-CN"/>
        </w:rPr>
        <w:t>各类</w:t>
      </w:r>
      <w:r>
        <w:rPr>
          <w:rFonts w:hint="default"/>
          <w:color w:val="auto"/>
          <w:lang w:val="zh-CN"/>
        </w:rPr>
        <w:t>集输管线</w:t>
      </w:r>
      <w:r>
        <w:rPr>
          <w:rFonts w:hint="eastAsia"/>
          <w:color w:val="auto"/>
          <w:lang w:val="en-US" w:eastAsia="zh-CN"/>
        </w:rPr>
        <w:t>24.7</w:t>
      </w:r>
      <w:r>
        <w:rPr>
          <w:rFonts w:hint="default"/>
          <w:color w:val="auto"/>
          <w:lang w:val="zh-CN"/>
        </w:rPr>
        <w:t>km</w:t>
      </w:r>
      <w:r>
        <w:rPr>
          <w:rFonts w:hint="eastAsia"/>
          <w:color w:val="auto"/>
          <w:lang w:val="zh-CN"/>
        </w:rPr>
        <w:t>，</w:t>
      </w:r>
      <w:r>
        <w:rPr>
          <w:rFonts w:hint="default"/>
          <w:color w:val="auto"/>
          <w:lang w:val="zh-CN"/>
        </w:rPr>
        <w:t>施工废料产生量约为</w:t>
      </w:r>
      <w:r>
        <w:rPr>
          <w:rFonts w:hint="eastAsia"/>
          <w:color w:val="auto"/>
          <w:lang w:val="en-US" w:eastAsia="zh-CN"/>
        </w:rPr>
        <w:t>4.94</w:t>
      </w:r>
      <w:r>
        <w:rPr>
          <w:rFonts w:hint="default"/>
          <w:color w:val="auto"/>
          <w:lang w:val="zh-CN"/>
        </w:rPr>
        <w:t>t。施工废料应首先考虑回收利用，不可回收利用部分拉运至英买作业区英买7固废场进行填埋处置。</w:t>
      </w:r>
    </w:p>
    <w:p w14:paraId="7FAB3D7F">
      <w:pPr>
        <w:pStyle w:val="79"/>
        <w:bidi w:val="0"/>
        <w:rPr>
          <w:rFonts w:hint="default"/>
          <w:color w:val="auto"/>
          <w:lang w:val="zh-CN"/>
        </w:rPr>
      </w:pPr>
      <w:r>
        <w:rPr>
          <w:rFonts w:hint="eastAsia"/>
          <w:color w:val="auto"/>
          <w:lang w:val="en-US" w:eastAsia="zh-CN"/>
        </w:rPr>
        <w:fldChar w:fldCharType="begin"/>
      </w:r>
      <w:r>
        <w:rPr>
          <w:rFonts w:hint="eastAsia"/>
          <w:color w:val="auto"/>
          <w:lang w:val="en-US" w:eastAsia="zh-CN"/>
        </w:rPr>
        <w:instrText xml:space="preserve"> = 3 \* GB3 \* MERGEFORMAT </w:instrText>
      </w:r>
      <w:r>
        <w:rPr>
          <w:rFonts w:hint="eastAsia"/>
          <w:color w:val="auto"/>
          <w:lang w:val="en-US" w:eastAsia="zh-CN"/>
        </w:rPr>
        <w:fldChar w:fldCharType="separate"/>
      </w:r>
      <w:r>
        <w:rPr>
          <w:color w:val="auto"/>
        </w:rPr>
        <w:t>③</w:t>
      </w:r>
      <w:r>
        <w:rPr>
          <w:rFonts w:hint="eastAsia"/>
          <w:color w:val="auto"/>
          <w:lang w:val="en-US" w:eastAsia="zh-CN"/>
        </w:rPr>
        <w:fldChar w:fldCharType="end"/>
      </w:r>
      <w:r>
        <w:rPr>
          <w:rFonts w:hint="default"/>
          <w:color w:val="auto"/>
          <w:lang w:val="zh-CN"/>
        </w:rPr>
        <w:t>生活垃圾</w:t>
      </w:r>
    </w:p>
    <w:p w14:paraId="25BC7224">
      <w:pPr>
        <w:pStyle w:val="79"/>
        <w:bidi w:val="0"/>
        <w:rPr>
          <w:rFonts w:hint="default"/>
          <w:color w:val="auto"/>
          <w:lang w:val="zh-CN"/>
        </w:rPr>
      </w:pPr>
      <w:r>
        <w:rPr>
          <w:rFonts w:hint="default"/>
          <w:color w:val="auto"/>
          <w:lang w:val="zh-CN"/>
        </w:rPr>
        <w:t>本工程施工人员依托现有作业区，</w:t>
      </w:r>
      <w:bookmarkStart w:id="316" w:name="OLE_LINK26"/>
      <w:r>
        <w:rPr>
          <w:rFonts w:hint="default"/>
          <w:color w:val="auto"/>
          <w:lang w:val="zh-CN"/>
        </w:rPr>
        <w:t>施工区不设置施工营地。施工现场应及时、集中收集处理现场遗留的快餐盒、饮料瓶包装盒等废物，生活垃圾随车带走，现场不遗留。</w:t>
      </w:r>
      <w:bookmarkEnd w:id="316"/>
    </w:p>
    <w:p w14:paraId="31AD7AA7">
      <w:pPr>
        <w:pStyle w:val="79"/>
        <w:bidi w:val="0"/>
        <w:rPr>
          <w:rFonts w:hint="default"/>
          <w:color w:val="auto"/>
          <w:lang w:val="en-US" w:eastAsia="zh-CN"/>
        </w:rPr>
      </w:pPr>
      <w:r>
        <w:rPr>
          <w:rFonts w:hint="eastAsia"/>
          <w:color w:val="auto"/>
          <w:lang w:val="en-US" w:eastAsia="zh-CN"/>
        </w:rPr>
        <w:t>（4）</w:t>
      </w:r>
      <w:r>
        <w:rPr>
          <w:rFonts w:hint="default"/>
          <w:color w:val="auto"/>
          <w:lang w:val="en-US" w:eastAsia="zh-CN"/>
        </w:rPr>
        <w:t>噪声</w:t>
      </w:r>
    </w:p>
    <w:p w14:paraId="04AEC6C7">
      <w:pPr>
        <w:pStyle w:val="79"/>
        <w:bidi w:val="0"/>
        <w:rPr>
          <w:rFonts w:hint="default"/>
          <w:color w:val="auto"/>
          <w:lang w:val="zh-CN" w:eastAsia="zh-CN"/>
        </w:rPr>
      </w:pPr>
      <w:r>
        <w:rPr>
          <w:rFonts w:hint="default"/>
          <w:color w:val="auto"/>
          <w:lang w:val="zh-CN" w:eastAsia="zh-CN"/>
        </w:rPr>
        <w:t>本工程施工期噪声源主要是各类施工机械和运输车辆。施工场地噪声主要是施工机械设备噪声、施工人员的活动噪声和物料运输车辆产生的噪声。</w:t>
      </w:r>
    </w:p>
    <w:p w14:paraId="3308D23C">
      <w:pPr>
        <w:pStyle w:val="79"/>
        <w:bidi w:val="0"/>
        <w:rPr>
          <w:rFonts w:hint="default"/>
          <w:color w:val="auto"/>
          <w:lang w:val="zh-CN" w:eastAsia="zh-CN"/>
        </w:rPr>
      </w:pPr>
      <w:r>
        <w:rPr>
          <w:rFonts w:hint="default"/>
          <w:color w:val="auto"/>
          <w:lang w:val="zh-CN" w:eastAsia="zh-CN"/>
        </w:rPr>
        <w:t>施工期主要噪声源及其源强</w:t>
      </w:r>
      <w:r>
        <w:rPr>
          <w:rFonts w:hint="eastAsia"/>
          <w:color w:val="auto"/>
          <w:lang w:val="zh-CN" w:eastAsia="zh-CN"/>
        </w:rPr>
        <w:t>，</w:t>
      </w:r>
      <w:r>
        <w:rPr>
          <w:rFonts w:hint="default"/>
          <w:color w:val="auto"/>
          <w:lang w:val="zh-CN" w:eastAsia="zh-CN"/>
        </w:rPr>
        <w:t>见表3.</w:t>
      </w:r>
      <w:r>
        <w:rPr>
          <w:rFonts w:hint="eastAsia"/>
          <w:color w:val="auto"/>
          <w:lang w:val="en-US" w:eastAsia="zh-CN"/>
        </w:rPr>
        <w:t>3</w:t>
      </w:r>
      <w:r>
        <w:rPr>
          <w:rFonts w:hint="default"/>
          <w:color w:val="auto"/>
          <w:lang w:val="zh-CN" w:eastAsia="zh-CN"/>
        </w:rPr>
        <w:t>-</w:t>
      </w:r>
      <w:r>
        <w:rPr>
          <w:rFonts w:hint="eastAsia"/>
          <w:color w:val="auto"/>
          <w:lang w:val="en-US" w:eastAsia="zh-CN"/>
        </w:rPr>
        <w:t>4</w:t>
      </w:r>
      <w:r>
        <w:rPr>
          <w:rFonts w:hint="default"/>
          <w:color w:val="auto"/>
          <w:lang w:val="zh-CN" w:eastAsia="zh-CN"/>
        </w:rPr>
        <w:t>。</w:t>
      </w:r>
    </w:p>
    <w:p w14:paraId="0FAA2E28">
      <w:pPr>
        <w:pStyle w:val="61"/>
        <w:bidi w:val="0"/>
        <w:jc w:val="both"/>
        <w:rPr>
          <w:rFonts w:hint="default"/>
          <w:color w:val="auto"/>
          <w:lang w:val="en-US" w:eastAsia="zh-CN"/>
        </w:rPr>
      </w:pPr>
      <w:r>
        <w:rPr>
          <w:rFonts w:hint="default"/>
          <w:color w:val="auto"/>
          <w:lang w:val="en-US" w:eastAsia="zh-CN"/>
        </w:rPr>
        <w:t>表3.</w:t>
      </w:r>
      <w:r>
        <w:rPr>
          <w:rFonts w:hint="eastAsia"/>
          <w:color w:val="auto"/>
          <w:lang w:val="en-US" w:eastAsia="zh-CN"/>
        </w:rPr>
        <w:t>3</w:t>
      </w:r>
      <w:r>
        <w:rPr>
          <w:rFonts w:hint="default"/>
          <w:color w:val="auto"/>
          <w:lang w:val="en-US" w:eastAsia="zh-CN"/>
        </w:rPr>
        <w:t>-</w:t>
      </w:r>
      <w:r>
        <w:rPr>
          <w:rFonts w:hint="eastAsia"/>
          <w:color w:val="auto"/>
          <w:lang w:val="en-US" w:eastAsia="zh-CN"/>
        </w:rPr>
        <w:t>4</w:t>
      </w:r>
      <w:r>
        <w:rPr>
          <w:rFonts w:hint="default"/>
          <w:color w:val="auto"/>
          <w:lang w:val="en-US" w:eastAsia="zh-CN"/>
        </w:rPr>
        <w:t xml:space="preserve">     施工期主要噪声源及源强</w:t>
      </w:r>
    </w:p>
    <w:tbl>
      <w:tblPr>
        <w:tblStyle w:val="36"/>
        <w:tblW w:w="496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45"/>
        <w:gridCol w:w="1618"/>
        <w:gridCol w:w="2496"/>
        <w:gridCol w:w="3818"/>
      </w:tblGrid>
      <w:tr w14:paraId="25C100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81" w:type="pct"/>
            <w:tcBorders>
              <w:tl2br w:val="nil"/>
              <w:tr2bl w:val="nil"/>
            </w:tcBorders>
            <w:noWrap w:val="0"/>
            <w:vAlign w:val="center"/>
          </w:tcPr>
          <w:p w14:paraId="6CDDE0F1">
            <w:pPr>
              <w:pStyle w:val="166"/>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rPr>
              <w:t>序号</w:t>
            </w:r>
          </w:p>
        </w:tc>
        <w:tc>
          <w:tcPr>
            <w:tcW w:w="921" w:type="pct"/>
            <w:tcBorders>
              <w:tl2br w:val="nil"/>
              <w:tr2bl w:val="nil"/>
            </w:tcBorders>
            <w:noWrap w:val="0"/>
            <w:vAlign w:val="center"/>
          </w:tcPr>
          <w:p w14:paraId="5AE1DBE1">
            <w:pPr>
              <w:pStyle w:val="166"/>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rPr>
              <w:t>项目</w:t>
            </w:r>
          </w:p>
        </w:tc>
        <w:tc>
          <w:tcPr>
            <w:tcW w:w="1421" w:type="pct"/>
            <w:tcBorders>
              <w:tl2br w:val="nil"/>
              <w:tr2bl w:val="nil"/>
            </w:tcBorders>
            <w:noWrap w:val="0"/>
            <w:vAlign w:val="center"/>
          </w:tcPr>
          <w:p w14:paraId="239EC41C">
            <w:pPr>
              <w:pStyle w:val="166"/>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rPr>
              <w:t>设备名称</w:t>
            </w:r>
          </w:p>
        </w:tc>
        <w:tc>
          <w:tcPr>
            <w:tcW w:w="2174" w:type="pct"/>
            <w:tcBorders>
              <w:tl2br w:val="nil"/>
              <w:tr2bl w:val="nil"/>
            </w:tcBorders>
            <w:noWrap w:val="0"/>
            <w:vAlign w:val="center"/>
          </w:tcPr>
          <w:p w14:paraId="318739CC">
            <w:pPr>
              <w:pStyle w:val="166"/>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rPr>
              <w:t>声压级（dB（A））</w:t>
            </w:r>
          </w:p>
        </w:tc>
      </w:tr>
      <w:tr w14:paraId="1E9EE7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1" w:type="pct"/>
            <w:tcBorders>
              <w:tl2br w:val="nil"/>
              <w:tr2bl w:val="nil"/>
            </w:tcBorders>
            <w:noWrap w:val="0"/>
            <w:vAlign w:val="center"/>
          </w:tcPr>
          <w:p w14:paraId="767743B3">
            <w:pPr>
              <w:pStyle w:val="166"/>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921" w:type="pct"/>
            <w:vMerge w:val="restart"/>
            <w:tcBorders>
              <w:tl2br w:val="nil"/>
              <w:tr2bl w:val="nil"/>
            </w:tcBorders>
            <w:noWrap w:val="0"/>
            <w:vAlign w:val="center"/>
          </w:tcPr>
          <w:p w14:paraId="58CDA0EC">
            <w:pPr>
              <w:pStyle w:val="166"/>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宋体" w:cs="Times New Roman"/>
                <w:color w:val="auto"/>
              </w:rPr>
            </w:pPr>
            <w:r>
              <w:rPr>
                <w:rFonts w:hint="default" w:ascii="Times New Roman" w:hAnsi="Times New Roman" w:cs="Times New Roman"/>
                <w:color w:val="auto"/>
                <w:lang w:val="en-US" w:eastAsia="zh-CN"/>
              </w:rPr>
              <w:t>场站</w:t>
            </w:r>
            <w:r>
              <w:rPr>
                <w:rFonts w:hint="default" w:ascii="Times New Roman" w:hAnsi="Times New Roman" w:eastAsia="宋体" w:cs="Times New Roman"/>
                <w:color w:val="auto"/>
              </w:rPr>
              <w:t>建设、管道敷设</w:t>
            </w:r>
          </w:p>
        </w:tc>
        <w:tc>
          <w:tcPr>
            <w:tcW w:w="1421" w:type="pct"/>
            <w:tcBorders>
              <w:tl2br w:val="nil"/>
              <w:tr2bl w:val="nil"/>
            </w:tcBorders>
            <w:noWrap w:val="0"/>
            <w:vAlign w:val="center"/>
          </w:tcPr>
          <w:p w14:paraId="4A04CF09">
            <w:pPr>
              <w:pStyle w:val="166"/>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rPr>
              <w:t>挖掘机</w:t>
            </w:r>
          </w:p>
        </w:tc>
        <w:tc>
          <w:tcPr>
            <w:tcW w:w="2174" w:type="pct"/>
            <w:tcBorders>
              <w:tl2br w:val="nil"/>
              <w:tr2bl w:val="nil"/>
            </w:tcBorders>
            <w:noWrap w:val="0"/>
            <w:vAlign w:val="center"/>
          </w:tcPr>
          <w:p w14:paraId="6AF14590">
            <w:pPr>
              <w:pStyle w:val="166"/>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rPr>
              <w:t>92</w:t>
            </w:r>
          </w:p>
        </w:tc>
      </w:tr>
      <w:tr w14:paraId="3C8E23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1" w:type="pct"/>
            <w:tcBorders>
              <w:tl2br w:val="nil"/>
              <w:tr2bl w:val="nil"/>
            </w:tcBorders>
            <w:noWrap w:val="0"/>
            <w:vAlign w:val="center"/>
          </w:tcPr>
          <w:p w14:paraId="3FE94594">
            <w:pPr>
              <w:pStyle w:val="166"/>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rPr>
              <w:t>2</w:t>
            </w:r>
          </w:p>
        </w:tc>
        <w:tc>
          <w:tcPr>
            <w:tcW w:w="921" w:type="pct"/>
            <w:vMerge w:val="continue"/>
            <w:tcBorders>
              <w:tl2br w:val="nil"/>
              <w:tr2bl w:val="nil"/>
            </w:tcBorders>
            <w:noWrap w:val="0"/>
            <w:vAlign w:val="center"/>
          </w:tcPr>
          <w:p w14:paraId="56E99B9B">
            <w:pPr>
              <w:pStyle w:val="166"/>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宋体" w:cs="Times New Roman"/>
                <w:color w:val="auto"/>
              </w:rPr>
            </w:pPr>
          </w:p>
        </w:tc>
        <w:tc>
          <w:tcPr>
            <w:tcW w:w="1421" w:type="pct"/>
            <w:tcBorders>
              <w:tl2br w:val="nil"/>
              <w:tr2bl w:val="nil"/>
            </w:tcBorders>
            <w:noWrap w:val="0"/>
            <w:vAlign w:val="center"/>
          </w:tcPr>
          <w:p w14:paraId="65985201">
            <w:pPr>
              <w:pStyle w:val="166"/>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rPr>
              <w:t>推土机</w:t>
            </w:r>
          </w:p>
        </w:tc>
        <w:tc>
          <w:tcPr>
            <w:tcW w:w="2174" w:type="pct"/>
            <w:tcBorders>
              <w:tl2br w:val="nil"/>
              <w:tr2bl w:val="nil"/>
            </w:tcBorders>
            <w:noWrap w:val="0"/>
            <w:vAlign w:val="center"/>
          </w:tcPr>
          <w:p w14:paraId="1FCB116B">
            <w:pPr>
              <w:pStyle w:val="166"/>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rPr>
              <w:t>95</w:t>
            </w:r>
          </w:p>
        </w:tc>
      </w:tr>
      <w:tr w14:paraId="37AE19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1" w:type="pct"/>
            <w:tcBorders>
              <w:tl2br w:val="nil"/>
              <w:tr2bl w:val="nil"/>
            </w:tcBorders>
            <w:noWrap w:val="0"/>
            <w:vAlign w:val="center"/>
          </w:tcPr>
          <w:p w14:paraId="1958706B">
            <w:pPr>
              <w:pStyle w:val="166"/>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rPr>
              <w:t>3</w:t>
            </w:r>
          </w:p>
        </w:tc>
        <w:tc>
          <w:tcPr>
            <w:tcW w:w="921" w:type="pct"/>
            <w:vMerge w:val="continue"/>
            <w:tcBorders>
              <w:tl2br w:val="nil"/>
              <w:tr2bl w:val="nil"/>
            </w:tcBorders>
            <w:noWrap w:val="0"/>
            <w:vAlign w:val="center"/>
          </w:tcPr>
          <w:p w14:paraId="6B4A7345">
            <w:pPr>
              <w:pStyle w:val="166"/>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宋体" w:cs="Times New Roman"/>
                <w:color w:val="auto"/>
              </w:rPr>
            </w:pPr>
          </w:p>
        </w:tc>
        <w:tc>
          <w:tcPr>
            <w:tcW w:w="1421" w:type="pct"/>
            <w:tcBorders>
              <w:tl2br w:val="nil"/>
              <w:tr2bl w:val="nil"/>
            </w:tcBorders>
            <w:noWrap w:val="0"/>
            <w:vAlign w:val="center"/>
          </w:tcPr>
          <w:p w14:paraId="05B00730">
            <w:pPr>
              <w:pStyle w:val="166"/>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rPr>
              <w:t>吊管机</w:t>
            </w:r>
          </w:p>
        </w:tc>
        <w:tc>
          <w:tcPr>
            <w:tcW w:w="2174" w:type="pct"/>
            <w:tcBorders>
              <w:tl2br w:val="nil"/>
              <w:tr2bl w:val="nil"/>
            </w:tcBorders>
            <w:noWrap w:val="0"/>
            <w:vAlign w:val="center"/>
          </w:tcPr>
          <w:p w14:paraId="7637C60B">
            <w:pPr>
              <w:pStyle w:val="166"/>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rPr>
              <w:t>80</w:t>
            </w:r>
          </w:p>
        </w:tc>
      </w:tr>
      <w:tr w14:paraId="33C324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1" w:type="pct"/>
            <w:tcBorders>
              <w:tl2br w:val="nil"/>
              <w:tr2bl w:val="nil"/>
            </w:tcBorders>
            <w:noWrap w:val="0"/>
            <w:vAlign w:val="center"/>
          </w:tcPr>
          <w:p w14:paraId="3AAB8A74">
            <w:pPr>
              <w:pStyle w:val="166"/>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rPr>
              <w:t>4</w:t>
            </w:r>
          </w:p>
        </w:tc>
        <w:tc>
          <w:tcPr>
            <w:tcW w:w="921" w:type="pct"/>
            <w:vMerge w:val="continue"/>
            <w:tcBorders>
              <w:tl2br w:val="nil"/>
              <w:tr2bl w:val="nil"/>
            </w:tcBorders>
            <w:noWrap w:val="0"/>
            <w:vAlign w:val="center"/>
          </w:tcPr>
          <w:p w14:paraId="51DAAE5C">
            <w:pPr>
              <w:pStyle w:val="166"/>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宋体" w:cs="Times New Roman"/>
                <w:color w:val="auto"/>
              </w:rPr>
            </w:pPr>
          </w:p>
        </w:tc>
        <w:tc>
          <w:tcPr>
            <w:tcW w:w="1421" w:type="pct"/>
            <w:tcBorders>
              <w:tl2br w:val="nil"/>
              <w:tr2bl w:val="nil"/>
            </w:tcBorders>
            <w:noWrap w:val="0"/>
            <w:vAlign w:val="center"/>
          </w:tcPr>
          <w:p w14:paraId="37EFD91A">
            <w:pPr>
              <w:pStyle w:val="166"/>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rPr>
              <w:t>大型运输车</w:t>
            </w:r>
          </w:p>
        </w:tc>
        <w:tc>
          <w:tcPr>
            <w:tcW w:w="2174" w:type="pct"/>
            <w:tcBorders>
              <w:tl2br w:val="nil"/>
              <w:tr2bl w:val="nil"/>
            </w:tcBorders>
            <w:noWrap w:val="0"/>
            <w:vAlign w:val="center"/>
          </w:tcPr>
          <w:p w14:paraId="5101DB91">
            <w:pPr>
              <w:pStyle w:val="166"/>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rPr>
              <w:t>92</w:t>
            </w:r>
          </w:p>
        </w:tc>
      </w:tr>
      <w:tr w14:paraId="044FD5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1" w:type="pct"/>
            <w:tcBorders>
              <w:tl2br w:val="nil"/>
              <w:tr2bl w:val="nil"/>
            </w:tcBorders>
            <w:noWrap w:val="0"/>
            <w:vAlign w:val="center"/>
          </w:tcPr>
          <w:p w14:paraId="035D388A">
            <w:pPr>
              <w:pStyle w:val="166"/>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rPr>
              <w:t>5</w:t>
            </w:r>
          </w:p>
        </w:tc>
        <w:tc>
          <w:tcPr>
            <w:tcW w:w="921" w:type="pct"/>
            <w:vMerge w:val="continue"/>
            <w:tcBorders>
              <w:tl2br w:val="nil"/>
              <w:tr2bl w:val="nil"/>
            </w:tcBorders>
            <w:noWrap w:val="0"/>
            <w:vAlign w:val="center"/>
          </w:tcPr>
          <w:p w14:paraId="3FAACDE5">
            <w:pPr>
              <w:pStyle w:val="166"/>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宋体" w:cs="Times New Roman"/>
                <w:color w:val="auto"/>
              </w:rPr>
            </w:pPr>
          </w:p>
        </w:tc>
        <w:tc>
          <w:tcPr>
            <w:tcW w:w="1421" w:type="pct"/>
            <w:tcBorders>
              <w:tl2br w:val="nil"/>
              <w:tr2bl w:val="nil"/>
            </w:tcBorders>
            <w:noWrap w:val="0"/>
            <w:vAlign w:val="center"/>
          </w:tcPr>
          <w:p w14:paraId="4ECA53C6">
            <w:pPr>
              <w:pStyle w:val="166"/>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rPr>
              <w:t>切割机</w:t>
            </w:r>
          </w:p>
        </w:tc>
        <w:tc>
          <w:tcPr>
            <w:tcW w:w="2174" w:type="pct"/>
            <w:tcBorders>
              <w:tl2br w:val="nil"/>
              <w:tr2bl w:val="nil"/>
            </w:tcBorders>
            <w:noWrap w:val="0"/>
            <w:vAlign w:val="center"/>
          </w:tcPr>
          <w:p w14:paraId="07CFAB3F">
            <w:pPr>
              <w:pStyle w:val="166"/>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rPr>
              <w:t>95</w:t>
            </w:r>
          </w:p>
        </w:tc>
      </w:tr>
    </w:tbl>
    <w:p w14:paraId="1A6CBE77">
      <w:pPr>
        <w:pStyle w:val="79"/>
        <w:bidi w:val="0"/>
        <w:rPr>
          <w:rFonts w:hint="default"/>
          <w:color w:val="auto"/>
        </w:rPr>
      </w:pPr>
      <w:r>
        <w:rPr>
          <w:rFonts w:hint="default"/>
          <w:color w:val="auto"/>
        </w:rPr>
        <w:t>（5）施工期污染物排放情况汇总</w:t>
      </w:r>
    </w:p>
    <w:p w14:paraId="00323409">
      <w:pPr>
        <w:pStyle w:val="79"/>
        <w:bidi w:val="0"/>
        <w:rPr>
          <w:rFonts w:hint="default"/>
          <w:color w:val="auto"/>
        </w:rPr>
      </w:pPr>
      <w:r>
        <w:rPr>
          <w:rFonts w:hint="default"/>
          <w:color w:val="auto"/>
        </w:rPr>
        <w:t>本工程施工期污染物排放情况汇总</w:t>
      </w:r>
      <w:r>
        <w:rPr>
          <w:rFonts w:hint="eastAsia"/>
          <w:color w:val="auto"/>
          <w:lang w:eastAsia="zh-CN"/>
        </w:rPr>
        <w:t>，</w:t>
      </w:r>
      <w:r>
        <w:rPr>
          <w:rFonts w:hint="default"/>
          <w:color w:val="auto"/>
        </w:rPr>
        <w:t>见表3.</w:t>
      </w:r>
      <w:r>
        <w:rPr>
          <w:rFonts w:hint="eastAsia"/>
          <w:color w:val="auto"/>
          <w:lang w:val="en-US" w:eastAsia="zh-CN"/>
        </w:rPr>
        <w:t>3-5</w:t>
      </w:r>
      <w:r>
        <w:rPr>
          <w:rFonts w:hint="default"/>
          <w:color w:val="auto"/>
        </w:rPr>
        <w:t>。</w:t>
      </w:r>
    </w:p>
    <w:p w14:paraId="0C48FDBC">
      <w:pPr>
        <w:pStyle w:val="61"/>
        <w:bidi w:val="0"/>
        <w:jc w:val="both"/>
        <w:rPr>
          <w:rFonts w:hint="default"/>
          <w:color w:val="auto"/>
          <w:lang w:val="en-US" w:eastAsia="zh-CN"/>
        </w:rPr>
      </w:pPr>
      <w:r>
        <w:rPr>
          <w:rFonts w:hint="default"/>
          <w:color w:val="auto"/>
          <w:lang w:val="en-US" w:eastAsia="zh-CN"/>
        </w:rPr>
        <w:t>表</w:t>
      </w:r>
      <w:r>
        <w:rPr>
          <w:rFonts w:hint="eastAsia"/>
          <w:color w:val="auto"/>
          <w:lang w:val="en-US" w:eastAsia="zh-CN"/>
        </w:rPr>
        <w:t>3.3-5</w:t>
      </w:r>
      <w:r>
        <w:rPr>
          <w:rFonts w:hint="default"/>
          <w:color w:val="auto"/>
          <w:lang w:val="en-US" w:eastAsia="zh-CN"/>
        </w:rPr>
        <w:t xml:space="preserve">         本工程施工期污染物排放情况汇总表</w:t>
      </w:r>
    </w:p>
    <w:tbl>
      <w:tblPr>
        <w:tblStyle w:val="36"/>
        <w:tblW w:w="49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autofit"/>
        <w:tblCellMar>
          <w:top w:w="0" w:type="dxa"/>
          <w:left w:w="108" w:type="dxa"/>
          <w:bottom w:w="0" w:type="dxa"/>
          <w:right w:w="108" w:type="dxa"/>
        </w:tblCellMar>
      </w:tblPr>
      <w:tblGrid>
        <w:gridCol w:w="763"/>
        <w:gridCol w:w="1200"/>
        <w:gridCol w:w="1541"/>
        <w:gridCol w:w="1287"/>
        <w:gridCol w:w="3951"/>
      </w:tblGrid>
      <w:tr w14:paraId="04CF8ACC">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23" w:hRule="atLeast"/>
          <w:jc w:val="center"/>
        </w:trPr>
        <w:tc>
          <w:tcPr>
            <w:tcW w:w="436" w:type="pct"/>
            <w:tcBorders>
              <w:top w:val="single" w:color="auto" w:sz="12" w:space="0"/>
              <w:left w:val="single" w:color="auto" w:sz="12" w:space="0"/>
              <w:bottom w:val="single" w:color="auto" w:sz="6" w:space="0"/>
            </w:tcBorders>
            <w:vAlign w:val="center"/>
          </w:tcPr>
          <w:p w14:paraId="1B9E78A7">
            <w:pPr>
              <w:keepNext w:val="0"/>
              <w:pageBreakBefore w:val="0"/>
              <w:kinsoku/>
              <w:wordWrap/>
              <w:overflowPunct/>
              <w:topLinePunct w:val="0"/>
              <w:bidi w:val="0"/>
              <w:adjustRightInd w:val="0"/>
              <w:snapToGrid w:val="0"/>
              <w:spacing w:line="240" w:lineRule="auto"/>
              <w:jc w:val="center"/>
              <w:rPr>
                <w:rFonts w:hint="default" w:ascii="Times New Roman" w:hAnsi="Times New Roman" w:cs="Times New Roman"/>
                <w:bCs/>
                <w:snapToGrid w:val="0"/>
                <w:color w:val="auto"/>
                <w:szCs w:val="21"/>
                <w:highlight w:val="none"/>
                <w:lang w:val="zh-CN"/>
              </w:rPr>
            </w:pPr>
            <w:r>
              <w:rPr>
                <w:rFonts w:hint="default" w:ascii="Times New Roman" w:hAnsi="Times New Roman" w:cs="Times New Roman"/>
                <w:bCs/>
                <w:snapToGrid w:val="0"/>
                <w:color w:val="auto"/>
                <w:szCs w:val="21"/>
                <w:highlight w:val="none"/>
                <w:lang w:val="zh-CN"/>
              </w:rPr>
              <w:t>项目</w:t>
            </w:r>
          </w:p>
        </w:tc>
        <w:tc>
          <w:tcPr>
            <w:tcW w:w="686" w:type="pct"/>
            <w:tcBorders>
              <w:top w:val="single" w:color="auto" w:sz="12" w:space="0"/>
              <w:bottom w:val="single" w:color="auto" w:sz="6" w:space="0"/>
            </w:tcBorders>
            <w:vAlign w:val="center"/>
          </w:tcPr>
          <w:p w14:paraId="6328FC9D">
            <w:pPr>
              <w:keepNext w:val="0"/>
              <w:keepLines/>
              <w:pageBreakBefore w:val="0"/>
              <w:widowControl/>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color w:val="auto"/>
                <w:kern w:val="0"/>
                <w:szCs w:val="21"/>
                <w:highlight w:val="none"/>
                <w:lang w:bidi="en-US"/>
              </w:rPr>
              <w:t>污染源</w:t>
            </w:r>
          </w:p>
        </w:tc>
        <w:tc>
          <w:tcPr>
            <w:tcW w:w="881" w:type="pct"/>
            <w:tcBorders>
              <w:top w:val="single" w:color="auto" w:sz="12" w:space="0"/>
              <w:bottom w:val="single" w:color="auto" w:sz="6" w:space="0"/>
            </w:tcBorders>
            <w:vAlign w:val="center"/>
          </w:tcPr>
          <w:p w14:paraId="2FEB0B99">
            <w:pPr>
              <w:keepNext w:val="0"/>
              <w:keepLines/>
              <w:pageBreakBefore w:val="0"/>
              <w:widowControl/>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color w:val="auto"/>
                <w:kern w:val="0"/>
                <w:szCs w:val="21"/>
                <w:highlight w:val="none"/>
                <w:lang w:bidi="en-US"/>
              </w:rPr>
              <w:t>污染物</w:t>
            </w:r>
          </w:p>
        </w:tc>
        <w:tc>
          <w:tcPr>
            <w:tcW w:w="736" w:type="pct"/>
            <w:tcBorders>
              <w:top w:val="single" w:color="auto" w:sz="12" w:space="0"/>
              <w:bottom w:val="single" w:color="auto" w:sz="6" w:space="0"/>
            </w:tcBorders>
            <w:vAlign w:val="center"/>
          </w:tcPr>
          <w:p w14:paraId="70BFEAE6">
            <w:pPr>
              <w:keepNext w:val="0"/>
              <w:keepLines/>
              <w:pageBreakBefore w:val="0"/>
              <w:widowControl/>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color w:val="auto"/>
                <w:kern w:val="0"/>
                <w:szCs w:val="21"/>
                <w:highlight w:val="none"/>
                <w:lang w:bidi="en-US"/>
              </w:rPr>
              <w:t>产生量</w:t>
            </w:r>
          </w:p>
        </w:tc>
        <w:tc>
          <w:tcPr>
            <w:tcW w:w="2259" w:type="pct"/>
            <w:tcBorders>
              <w:top w:val="single" w:color="auto" w:sz="12" w:space="0"/>
              <w:bottom w:val="single" w:color="auto" w:sz="6" w:space="0"/>
              <w:right w:val="single" w:color="auto" w:sz="12" w:space="0"/>
            </w:tcBorders>
            <w:vAlign w:val="center"/>
          </w:tcPr>
          <w:p w14:paraId="491F6309">
            <w:pPr>
              <w:keepNext w:val="0"/>
              <w:keepLines/>
              <w:pageBreakBefore w:val="0"/>
              <w:widowControl/>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color w:val="auto"/>
                <w:kern w:val="0"/>
                <w:szCs w:val="21"/>
                <w:highlight w:val="none"/>
                <w:lang w:bidi="en-US"/>
              </w:rPr>
              <w:t>主要处理措施及排放去向</w:t>
            </w:r>
          </w:p>
        </w:tc>
      </w:tr>
      <w:tr w14:paraId="4749AE98">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23" w:hRule="atLeast"/>
          <w:jc w:val="center"/>
        </w:trPr>
        <w:tc>
          <w:tcPr>
            <w:tcW w:w="436" w:type="pct"/>
            <w:tcBorders>
              <w:top w:val="single" w:color="auto" w:sz="6" w:space="0"/>
              <w:left w:val="single" w:color="auto" w:sz="12" w:space="0"/>
              <w:bottom w:val="single" w:color="auto" w:sz="6" w:space="0"/>
            </w:tcBorders>
            <w:vAlign w:val="center"/>
          </w:tcPr>
          <w:p w14:paraId="7F81624C">
            <w:pPr>
              <w:keepNext w:val="0"/>
              <w:pageBreakBefore w:val="0"/>
              <w:kinsoku/>
              <w:wordWrap/>
              <w:overflowPunct/>
              <w:topLinePunct w:val="0"/>
              <w:bidi w:val="0"/>
              <w:adjustRightInd w:val="0"/>
              <w:snapToGrid w:val="0"/>
              <w:spacing w:line="240" w:lineRule="auto"/>
              <w:jc w:val="center"/>
              <w:rPr>
                <w:rFonts w:hint="eastAsia" w:ascii="Times New Roman" w:hAnsi="Times New Roman" w:eastAsia="宋体" w:cs="Times New Roman"/>
                <w:bCs/>
                <w:snapToGrid w:val="0"/>
                <w:color w:val="auto"/>
                <w:szCs w:val="21"/>
                <w:highlight w:val="none"/>
                <w:lang w:val="en-US" w:eastAsia="zh-CN"/>
              </w:rPr>
            </w:pPr>
            <w:r>
              <w:rPr>
                <w:rFonts w:hint="eastAsia" w:cs="Times New Roman"/>
                <w:bCs/>
                <w:snapToGrid w:val="0"/>
                <w:color w:val="auto"/>
                <w:szCs w:val="21"/>
                <w:highlight w:val="none"/>
                <w:lang w:val="en-US" w:eastAsia="zh-CN"/>
              </w:rPr>
              <w:t>废气</w:t>
            </w:r>
          </w:p>
        </w:tc>
        <w:tc>
          <w:tcPr>
            <w:tcW w:w="686" w:type="pct"/>
            <w:tcBorders>
              <w:top w:val="single" w:color="auto" w:sz="6" w:space="0"/>
              <w:bottom w:val="single" w:color="auto" w:sz="6" w:space="0"/>
            </w:tcBorders>
            <w:vAlign w:val="center"/>
          </w:tcPr>
          <w:p w14:paraId="28030F52">
            <w:pPr>
              <w:keepNext w:val="0"/>
              <w:keepLines/>
              <w:pageBreakBefore w:val="0"/>
              <w:widowControl/>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color w:val="auto"/>
                <w:kern w:val="0"/>
                <w:szCs w:val="21"/>
                <w:highlight w:val="none"/>
                <w:lang w:bidi="en-US"/>
              </w:rPr>
              <w:t>施工场地</w:t>
            </w:r>
          </w:p>
        </w:tc>
        <w:tc>
          <w:tcPr>
            <w:tcW w:w="881" w:type="pct"/>
            <w:tcBorders>
              <w:top w:val="single" w:color="auto" w:sz="6" w:space="0"/>
              <w:bottom w:val="single" w:color="auto" w:sz="6" w:space="0"/>
            </w:tcBorders>
            <w:vAlign w:val="center"/>
          </w:tcPr>
          <w:p w14:paraId="134440ED">
            <w:pPr>
              <w:keepNext w:val="0"/>
              <w:keepLines/>
              <w:pageBreakBefore w:val="0"/>
              <w:widowControl/>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cs="Times New Roman"/>
                <w:color w:val="auto"/>
                <w:kern w:val="0"/>
                <w:szCs w:val="21"/>
                <w:highlight w:val="none"/>
                <w:lang w:bidi="en-US"/>
              </w:rPr>
            </w:pPr>
            <w:r>
              <w:rPr>
                <w:rFonts w:hint="eastAsia" w:cs="Times New Roman"/>
                <w:color w:val="auto"/>
                <w:kern w:val="0"/>
                <w:szCs w:val="21"/>
                <w:highlight w:val="none"/>
                <w:lang w:val="en-US" w:eastAsia="zh-CN" w:bidi="en-US"/>
              </w:rPr>
              <w:t>扬尘、</w:t>
            </w:r>
            <w:r>
              <w:rPr>
                <w:rFonts w:hint="default" w:ascii="Times New Roman" w:hAnsi="Times New Roman" w:cs="Times New Roman"/>
                <w:color w:val="auto"/>
                <w:kern w:val="0"/>
                <w:szCs w:val="21"/>
                <w:highlight w:val="none"/>
                <w:lang w:bidi="en-US"/>
              </w:rPr>
              <w:t>CO、NO</w:t>
            </w:r>
            <w:r>
              <w:rPr>
                <w:rFonts w:hint="default" w:ascii="Times New Roman" w:hAnsi="Times New Roman" w:cs="Times New Roman"/>
                <w:color w:val="auto"/>
                <w:kern w:val="0"/>
                <w:szCs w:val="21"/>
                <w:highlight w:val="none"/>
                <w:vertAlign w:val="subscript"/>
                <w:lang w:bidi="en-US"/>
              </w:rPr>
              <w:t>2</w:t>
            </w:r>
            <w:r>
              <w:rPr>
                <w:rFonts w:hint="default" w:ascii="Times New Roman" w:hAnsi="Times New Roman" w:cs="Times New Roman"/>
                <w:color w:val="auto"/>
                <w:kern w:val="0"/>
                <w:szCs w:val="21"/>
                <w:highlight w:val="none"/>
                <w:lang w:bidi="en-US"/>
              </w:rPr>
              <w:t>、THC</w:t>
            </w:r>
          </w:p>
        </w:tc>
        <w:tc>
          <w:tcPr>
            <w:tcW w:w="736" w:type="pct"/>
            <w:tcBorders>
              <w:top w:val="single" w:color="auto" w:sz="6" w:space="0"/>
              <w:bottom w:val="single" w:color="auto" w:sz="6" w:space="0"/>
            </w:tcBorders>
            <w:vAlign w:val="center"/>
          </w:tcPr>
          <w:p w14:paraId="7C5D8860">
            <w:pPr>
              <w:keepNext w:val="0"/>
              <w:keepLines/>
              <w:pageBreakBefore w:val="0"/>
              <w:widowControl/>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color w:val="auto"/>
                <w:kern w:val="0"/>
                <w:szCs w:val="21"/>
                <w:highlight w:val="none"/>
                <w:lang w:bidi="en-US"/>
              </w:rPr>
              <w:t>少量</w:t>
            </w:r>
          </w:p>
        </w:tc>
        <w:tc>
          <w:tcPr>
            <w:tcW w:w="2259" w:type="pct"/>
            <w:tcBorders>
              <w:top w:val="single" w:color="auto" w:sz="6" w:space="0"/>
              <w:bottom w:val="single" w:color="auto" w:sz="6" w:space="0"/>
              <w:right w:val="single" w:color="auto" w:sz="12" w:space="0"/>
            </w:tcBorders>
            <w:vAlign w:val="center"/>
          </w:tcPr>
          <w:p w14:paraId="62AD65A9">
            <w:pPr>
              <w:keepNext w:val="0"/>
              <w:keepLines/>
              <w:pageBreakBefore w:val="0"/>
              <w:widowControl/>
              <w:kinsoku/>
              <w:wordWrap/>
              <w:overflowPunct/>
              <w:topLinePunct w:val="0"/>
              <w:autoSpaceDE w:val="0"/>
              <w:autoSpaceDN w:val="0"/>
              <w:bidi w:val="0"/>
              <w:adjustRightInd w:val="0"/>
              <w:snapToGrid w:val="0"/>
              <w:spacing w:line="240" w:lineRule="auto"/>
              <w:textAlignment w:val="center"/>
              <w:rPr>
                <w:rFonts w:hint="eastAsia" w:ascii="Times New Roman" w:hAnsi="Times New Roman" w:eastAsia="宋体" w:cs="Times New Roman"/>
                <w:color w:val="auto"/>
                <w:kern w:val="0"/>
                <w:szCs w:val="21"/>
                <w:highlight w:val="none"/>
                <w:lang w:val="en-US" w:eastAsia="zh-CN" w:bidi="en-US"/>
              </w:rPr>
            </w:pPr>
            <w:r>
              <w:rPr>
                <w:rFonts w:hint="default" w:ascii="Times New Roman" w:hAnsi="Times New Roman" w:cs="Times New Roman"/>
                <w:color w:val="auto"/>
                <w:kern w:val="0"/>
                <w:szCs w:val="21"/>
                <w:highlight w:val="none"/>
                <w:lang w:bidi="en-US"/>
              </w:rPr>
              <w:t>洒水降尘，使用合格燃料</w:t>
            </w:r>
          </w:p>
        </w:tc>
      </w:tr>
      <w:tr w14:paraId="273EDB46">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23" w:hRule="atLeast"/>
          <w:jc w:val="center"/>
        </w:trPr>
        <w:tc>
          <w:tcPr>
            <w:tcW w:w="436" w:type="pct"/>
            <w:vMerge w:val="restart"/>
            <w:tcBorders>
              <w:top w:val="single" w:color="auto" w:sz="6" w:space="0"/>
              <w:left w:val="single" w:color="auto" w:sz="12" w:space="0"/>
              <w:bottom w:val="single" w:color="auto" w:sz="6" w:space="0"/>
            </w:tcBorders>
            <w:vAlign w:val="center"/>
          </w:tcPr>
          <w:p w14:paraId="20F59C3F">
            <w:pPr>
              <w:keepNext w:val="0"/>
              <w:pageBreakBefore w:val="0"/>
              <w:kinsoku/>
              <w:wordWrap/>
              <w:overflowPunct/>
              <w:topLinePunct w:val="0"/>
              <w:bidi w:val="0"/>
              <w:adjustRightInd w:val="0"/>
              <w:snapToGrid w:val="0"/>
              <w:spacing w:line="240" w:lineRule="auto"/>
              <w:jc w:val="center"/>
              <w:rPr>
                <w:rFonts w:hint="default" w:ascii="Times New Roman" w:hAnsi="Times New Roman" w:cs="Times New Roman"/>
                <w:bCs/>
                <w:snapToGrid w:val="0"/>
                <w:color w:val="auto"/>
                <w:szCs w:val="21"/>
                <w:highlight w:val="none"/>
                <w:lang w:val="zh-CN"/>
              </w:rPr>
            </w:pPr>
            <w:r>
              <w:rPr>
                <w:rFonts w:hint="default" w:ascii="Times New Roman" w:hAnsi="Times New Roman" w:cs="Times New Roman"/>
                <w:bCs/>
                <w:snapToGrid w:val="0"/>
                <w:color w:val="auto"/>
                <w:szCs w:val="21"/>
                <w:highlight w:val="none"/>
                <w:lang w:val="zh-CN"/>
              </w:rPr>
              <w:t>废水</w:t>
            </w:r>
          </w:p>
        </w:tc>
        <w:tc>
          <w:tcPr>
            <w:tcW w:w="686" w:type="pct"/>
            <w:tcBorders>
              <w:top w:val="single" w:color="auto" w:sz="6" w:space="0"/>
              <w:bottom w:val="single" w:color="auto" w:sz="6" w:space="0"/>
            </w:tcBorders>
            <w:vAlign w:val="center"/>
          </w:tcPr>
          <w:p w14:paraId="2A4B9F44">
            <w:pPr>
              <w:keepNext w:val="0"/>
              <w:keepLines/>
              <w:pageBreakBefore w:val="0"/>
              <w:widowControl/>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color w:val="auto"/>
                <w:kern w:val="0"/>
                <w:szCs w:val="21"/>
                <w:highlight w:val="none"/>
                <w:lang w:bidi="en-US"/>
              </w:rPr>
              <w:t>管道试压废水</w:t>
            </w:r>
          </w:p>
        </w:tc>
        <w:tc>
          <w:tcPr>
            <w:tcW w:w="881" w:type="pct"/>
            <w:tcBorders>
              <w:top w:val="single" w:color="auto" w:sz="6" w:space="0"/>
              <w:bottom w:val="single" w:color="auto" w:sz="6" w:space="0"/>
            </w:tcBorders>
            <w:vAlign w:val="center"/>
          </w:tcPr>
          <w:p w14:paraId="737FAE14">
            <w:pPr>
              <w:keepNext w:val="0"/>
              <w:keepLines/>
              <w:pageBreakBefore w:val="0"/>
              <w:widowControl/>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color w:val="auto"/>
                <w:kern w:val="0"/>
                <w:szCs w:val="21"/>
                <w:highlight w:val="none"/>
                <w:lang w:bidi="en-US"/>
              </w:rPr>
              <w:t>SS</w:t>
            </w:r>
          </w:p>
        </w:tc>
        <w:tc>
          <w:tcPr>
            <w:tcW w:w="736" w:type="pct"/>
            <w:tcBorders>
              <w:top w:val="single" w:color="auto" w:sz="6" w:space="0"/>
              <w:bottom w:val="single" w:color="auto" w:sz="6" w:space="0"/>
            </w:tcBorders>
            <w:vAlign w:val="center"/>
          </w:tcPr>
          <w:p w14:paraId="4FA56270">
            <w:pPr>
              <w:keepNext w:val="0"/>
              <w:keepLines/>
              <w:pageBreakBefore w:val="0"/>
              <w:widowControl/>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cs="Times New Roman"/>
                <w:color w:val="auto"/>
                <w:kern w:val="0"/>
                <w:szCs w:val="21"/>
                <w:highlight w:val="none"/>
                <w:lang w:bidi="en-US"/>
              </w:rPr>
            </w:pPr>
            <w:r>
              <w:rPr>
                <w:rFonts w:hint="eastAsia" w:cs="Times New Roman"/>
                <w:color w:val="auto"/>
                <w:kern w:val="0"/>
                <w:szCs w:val="21"/>
                <w:highlight w:val="none"/>
                <w:lang w:val="en-US" w:eastAsia="zh-CN" w:bidi="en-US"/>
              </w:rPr>
              <w:t>61.75</w:t>
            </w:r>
            <w:r>
              <w:rPr>
                <w:rFonts w:hint="default" w:ascii="Times New Roman" w:hAnsi="Times New Roman" w:cs="Times New Roman"/>
                <w:color w:val="auto"/>
                <w:kern w:val="0"/>
                <w:szCs w:val="21"/>
                <w:highlight w:val="none"/>
                <w:lang w:bidi="en-US"/>
              </w:rPr>
              <w:t>m</w:t>
            </w:r>
            <w:r>
              <w:rPr>
                <w:rFonts w:hint="default" w:ascii="Times New Roman" w:hAnsi="Times New Roman" w:cs="Times New Roman"/>
                <w:color w:val="auto"/>
                <w:kern w:val="0"/>
                <w:szCs w:val="21"/>
                <w:highlight w:val="none"/>
                <w:vertAlign w:val="superscript"/>
                <w:lang w:bidi="en-US"/>
              </w:rPr>
              <w:t>3</w:t>
            </w:r>
          </w:p>
        </w:tc>
        <w:tc>
          <w:tcPr>
            <w:tcW w:w="2259" w:type="pct"/>
            <w:tcBorders>
              <w:top w:val="single" w:color="auto" w:sz="6" w:space="0"/>
              <w:bottom w:val="single" w:color="auto" w:sz="6" w:space="0"/>
              <w:right w:val="single" w:color="auto" w:sz="12" w:space="0"/>
            </w:tcBorders>
            <w:vAlign w:val="center"/>
          </w:tcPr>
          <w:p w14:paraId="4314D8B3">
            <w:pPr>
              <w:keepNext w:val="0"/>
              <w:keepLines/>
              <w:pageBreakBefore w:val="0"/>
              <w:widowControl/>
              <w:kinsoku/>
              <w:wordWrap/>
              <w:overflowPunct/>
              <w:topLinePunct w:val="0"/>
              <w:autoSpaceDE w:val="0"/>
              <w:autoSpaceDN w:val="0"/>
              <w:bidi w:val="0"/>
              <w:adjustRightInd w:val="0"/>
              <w:snapToGrid w:val="0"/>
              <w:spacing w:line="240" w:lineRule="auto"/>
              <w:textAlignment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color w:val="auto"/>
                <w:kern w:val="0"/>
                <w:szCs w:val="21"/>
                <w:highlight w:val="none"/>
                <w:lang w:bidi="en-US"/>
              </w:rPr>
              <w:t>试压期间循环使用，试压结束后，试压废水可用作场地降尘用水</w:t>
            </w:r>
          </w:p>
        </w:tc>
      </w:tr>
      <w:tr w14:paraId="1D37CE58">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1203" w:hRule="atLeast"/>
          <w:jc w:val="center"/>
        </w:trPr>
        <w:tc>
          <w:tcPr>
            <w:tcW w:w="436" w:type="pct"/>
            <w:vMerge w:val="continue"/>
            <w:tcBorders>
              <w:top w:val="single" w:color="auto" w:sz="6" w:space="0"/>
              <w:left w:val="single" w:color="auto" w:sz="12" w:space="0"/>
              <w:bottom w:val="single" w:color="auto" w:sz="6" w:space="0"/>
            </w:tcBorders>
            <w:vAlign w:val="center"/>
          </w:tcPr>
          <w:p w14:paraId="1B4DD7BD">
            <w:pPr>
              <w:keepNext w:val="0"/>
              <w:pageBreakBefore w:val="0"/>
              <w:kinsoku/>
              <w:wordWrap/>
              <w:overflowPunct/>
              <w:topLinePunct w:val="0"/>
              <w:bidi w:val="0"/>
              <w:adjustRightInd w:val="0"/>
              <w:snapToGrid w:val="0"/>
              <w:spacing w:line="240" w:lineRule="auto"/>
              <w:jc w:val="center"/>
              <w:rPr>
                <w:rFonts w:hint="default" w:ascii="Times New Roman" w:hAnsi="Times New Roman" w:cs="Times New Roman"/>
                <w:bCs/>
                <w:snapToGrid w:val="0"/>
                <w:color w:val="auto"/>
                <w:szCs w:val="21"/>
                <w:highlight w:val="none"/>
                <w:lang w:val="zh-CN"/>
              </w:rPr>
            </w:pPr>
          </w:p>
        </w:tc>
        <w:tc>
          <w:tcPr>
            <w:tcW w:w="686" w:type="pct"/>
            <w:tcBorders>
              <w:top w:val="single" w:color="auto" w:sz="6" w:space="0"/>
              <w:bottom w:val="single" w:color="auto" w:sz="6" w:space="0"/>
            </w:tcBorders>
            <w:vAlign w:val="center"/>
          </w:tcPr>
          <w:p w14:paraId="2E477416">
            <w:pPr>
              <w:keepNext w:val="0"/>
              <w:keepLines/>
              <w:pageBreakBefore w:val="0"/>
              <w:widowControl/>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color w:val="auto"/>
                <w:kern w:val="0"/>
                <w:szCs w:val="21"/>
                <w:highlight w:val="none"/>
                <w:lang w:bidi="en-US"/>
              </w:rPr>
              <w:t>生活污水</w:t>
            </w:r>
          </w:p>
        </w:tc>
        <w:tc>
          <w:tcPr>
            <w:tcW w:w="881" w:type="pct"/>
            <w:tcBorders>
              <w:top w:val="single" w:color="auto" w:sz="6" w:space="0"/>
              <w:bottom w:val="single" w:color="auto" w:sz="6" w:space="0"/>
            </w:tcBorders>
            <w:vAlign w:val="center"/>
          </w:tcPr>
          <w:p w14:paraId="7D355919">
            <w:pPr>
              <w:keepNext w:val="0"/>
              <w:keepLines/>
              <w:pageBreakBefore w:val="0"/>
              <w:widowControl/>
              <w:kinsoku/>
              <w:wordWrap/>
              <w:overflowPunct/>
              <w:topLinePunct w:val="0"/>
              <w:autoSpaceDE w:val="0"/>
              <w:autoSpaceDN w:val="0"/>
              <w:bidi w:val="0"/>
              <w:adjustRightInd w:val="0"/>
              <w:snapToGrid w:val="0"/>
              <w:spacing w:line="240" w:lineRule="auto"/>
              <w:jc w:val="center"/>
              <w:textAlignment w:val="center"/>
              <w:rPr>
                <w:rFonts w:hint="eastAsia" w:ascii="Times New Roman" w:hAnsi="Times New Roman" w:eastAsia="宋体" w:cs="Times New Roman"/>
                <w:color w:val="auto"/>
                <w:kern w:val="0"/>
                <w:szCs w:val="21"/>
                <w:highlight w:val="none"/>
                <w:lang w:eastAsia="zh-CN" w:bidi="en-US"/>
              </w:rPr>
            </w:pPr>
            <w:r>
              <w:rPr>
                <w:rFonts w:hint="eastAsia" w:ascii="Times New Roman" w:hAnsi="Times New Roman" w:eastAsia="宋体" w:cs="Times New Roman"/>
                <w:color w:val="auto"/>
                <w:kern w:val="0"/>
                <w:szCs w:val="21"/>
                <w:highlight w:val="none"/>
                <w:lang w:eastAsia="zh-CN" w:bidi="en-US"/>
              </w:rPr>
              <w:t>COD、BOD</w:t>
            </w:r>
            <w:r>
              <w:rPr>
                <w:rFonts w:hint="eastAsia" w:ascii="Times New Roman" w:hAnsi="Times New Roman" w:eastAsia="宋体" w:cs="Times New Roman"/>
                <w:color w:val="auto"/>
                <w:kern w:val="0"/>
                <w:szCs w:val="21"/>
                <w:highlight w:val="none"/>
                <w:vertAlign w:val="subscript"/>
                <w:lang w:eastAsia="zh-CN" w:bidi="en-US"/>
              </w:rPr>
              <w:t>5</w:t>
            </w:r>
          </w:p>
          <w:p w14:paraId="49FCB0C7">
            <w:pPr>
              <w:keepNext w:val="0"/>
              <w:keepLines/>
              <w:pageBreakBefore w:val="0"/>
              <w:widowControl/>
              <w:kinsoku/>
              <w:wordWrap/>
              <w:overflowPunct/>
              <w:topLinePunct w:val="0"/>
              <w:autoSpaceDE w:val="0"/>
              <w:autoSpaceDN w:val="0"/>
              <w:bidi w:val="0"/>
              <w:adjustRightInd w:val="0"/>
              <w:snapToGrid w:val="0"/>
              <w:spacing w:line="240" w:lineRule="auto"/>
              <w:jc w:val="center"/>
              <w:textAlignment w:val="center"/>
              <w:rPr>
                <w:rFonts w:hint="eastAsia" w:ascii="Times New Roman" w:hAnsi="Times New Roman" w:eastAsia="宋体" w:cs="Times New Roman"/>
                <w:color w:val="auto"/>
                <w:kern w:val="0"/>
                <w:szCs w:val="21"/>
                <w:highlight w:val="none"/>
                <w:lang w:eastAsia="zh-CN" w:bidi="en-US"/>
              </w:rPr>
            </w:pPr>
            <w:r>
              <w:rPr>
                <w:rFonts w:hint="eastAsia" w:ascii="Times New Roman" w:hAnsi="Times New Roman" w:eastAsia="宋体" w:cs="Times New Roman"/>
                <w:color w:val="auto"/>
                <w:kern w:val="0"/>
                <w:szCs w:val="21"/>
                <w:highlight w:val="none"/>
                <w:lang w:eastAsia="zh-CN" w:bidi="en-US"/>
              </w:rPr>
              <w:t>氨氮等</w:t>
            </w:r>
          </w:p>
        </w:tc>
        <w:tc>
          <w:tcPr>
            <w:tcW w:w="736" w:type="pct"/>
            <w:tcBorders>
              <w:top w:val="single" w:color="auto" w:sz="6" w:space="0"/>
              <w:bottom w:val="single" w:color="auto" w:sz="6" w:space="0"/>
            </w:tcBorders>
            <w:vAlign w:val="center"/>
          </w:tcPr>
          <w:p w14:paraId="4FE82C97">
            <w:pPr>
              <w:keepNext w:val="0"/>
              <w:keepLines/>
              <w:pageBreakBefore w:val="0"/>
              <w:widowControl/>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color w:val="auto"/>
                <w:kern w:val="0"/>
                <w:szCs w:val="21"/>
                <w:highlight w:val="none"/>
                <w:lang w:val="en-US" w:eastAsia="zh-CN" w:bidi="en-US"/>
              </w:rPr>
            </w:pPr>
            <w:r>
              <w:rPr>
                <w:rFonts w:hint="default" w:ascii="Times New Roman" w:hAnsi="Times New Roman" w:cs="Times New Roman"/>
                <w:color w:val="auto"/>
                <w:kern w:val="0"/>
                <w:szCs w:val="21"/>
                <w:highlight w:val="none"/>
                <w:lang w:bidi="en-US"/>
              </w:rPr>
              <w:t>少量</w:t>
            </w:r>
          </w:p>
        </w:tc>
        <w:tc>
          <w:tcPr>
            <w:tcW w:w="2259" w:type="pct"/>
            <w:tcBorders>
              <w:top w:val="single" w:color="auto" w:sz="6" w:space="0"/>
              <w:bottom w:val="single" w:color="auto" w:sz="6" w:space="0"/>
              <w:right w:val="single" w:color="auto" w:sz="12" w:space="0"/>
            </w:tcBorders>
            <w:vAlign w:val="center"/>
          </w:tcPr>
          <w:p w14:paraId="182829B4">
            <w:pPr>
              <w:keepNext w:val="0"/>
              <w:keepLines/>
              <w:pageBreakBefore w:val="0"/>
              <w:widowControl/>
              <w:kinsoku/>
              <w:wordWrap/>
              <w:overflowPunct/>
              <w:topLinePunct w:val="0"/>
              <w:autoSpaceDE w:val="0"/>
              <w:autoSpaceDN w:val="0"/>
              <w:bidi w:val="0"/>
              <w:adjustRightInd w:val="0"/>
              <w:snapToGrid w:val="0"/>
              <w:spacing w:line="240" w:lineRule="auto"/>
              <w:textAlignment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color w:val="auto"/>
                <w:kern w:val="0"/>
                <w:szCs w:val="21"/>
                <w:highlight w:val="none"/>
                <w:lang w:bidi="en-US"/>
              </w:rPr>
              <w:t>施工期不设置施工营地。施工现场产生的少量生活污水依托雄探1试采点</w:t>
            </w:r>
          </w:p>
        </w:tc>
      </w:tr>
      <w:tr w14:paraId="79E2703D">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23" w:hRule="atLeast"/>
          <w:jc w:val="center"/>
        </w:trPr>
        <w:tc>
          <w:tcPr>
            <w:tcW w:w="436" w:type="pct"/>
            <w:vMerge w:val="restart"/>
            <w:tcBorders>
              <w:top w:val="single" w:color="auto" w:sz="6" w:space="0"/>
              <w:left w:val="single" w:color="auto" w:sz="12" w:space="0"/>
              <w:bottom w:val="single" w:color="auto" w:sz="6" w:space="0"/>
            </w:tcBorders>
            <w:vAlign w:val="center"/>
          </w:tcPr>
          <w:p w14:paraId="6175B75D">
            <w:pPr>
              <w:keepNext w:val="0"/>
              <w:pageBreakBefore w:val="0"/>
              <w:kinsoku/>
              <w:wordWrap/>
              <w:overflowPunct/>
              <w:topLinePunct w:val="0"/>
              <w:bidi w:val="0"/>
              <w:adjustRightInd w:val="0"/>
              <w:snapToGrid w:val="0"/>
              <w:spacing w:line="240" w:lineRule="auto"/>
              <w:jc w:val="center"/>
              <w:rPr>
                <w:rFonts w:hint="default" w:ascii="Times New Roman" w:hAnsi="Times New Roman" w:cs="Times New Roman"/>
                <w:bCs/>
                <w:snapToGrid w:val="0"/>
                <w:color w:val="auto"/>
                <w:szCs w:val="21"/>
                <w:highlight w:val="none"/>
                <w:lang w:val="zh-CN"/>
              </w:rPr>
            </w:pPr>
            <w:r>
              <w:rPr>
                <w:rFonts w:hint="default" w:ascii="Times New Roman" w:hAnsi="Times New Roman" w:cs="Times New Roman"/>
                <w:bCs/>
                <w:snapToGrid w:val="0"/>
                <w:color w:val="auto"/>
                <w:szCs w:val="21"/>
                <w:highlight w:val="none"/>
                <w:lang w:val="zh-CN"/>
              </w:rPr>
              <w:t>固体废物</w:t>
            </w:r>
          </w:p>
        </w:tc>
        <w:tc>
          <w:tcPr>
            <w:tcW w:w="686" w:type="pct"/>
            <w:tcBorders>
              <w:top w:val="single" w:color="auto" w:sz="6" w:space="0"/>
              <w:bottom w:val="single" w:color="auto" w:sz="6" w:space="0"/>
            </w:tcBorders>
            <w:vAlign w:val="center"/>
          </w:tcPr>
          <w:p w14:paraId="56D3EDF5">
            <w:pPr>
              <w:keepNext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施工废料</w:t>
            </w:r>
          </w:p>
        </w:tc>
        <w:tc>
          <w:tcPr>
            <w:tcW w:w="881" w:type="pct"/>
            <w:tcBorders>
              <w:top w:val="single" w:color="auto" w:sz="6" w:space="0"/>
              <w:bottom w:val="single" w:color="auto" w:sz="6" w:space="0"/>
            </w:tcBorders>
            <w:vAlign w:val="center"/>
          </w:tcPr>
          <w:p w14:paraId="47CA8758">
            <w:pPr>
              <w:keepNext w:val="0"/>
              <w:keepLines/>
              <w:pageBreakBefore w:val="0"/>
              <w:widowControl/>
              <w:kinsoku/>
              <w:wordWrap/>
              <w:overflowPunct/>
              <w:topLinePunct w:val="0"/>
              <w:autoSpaceDE w:val="0"/>
              <w:autoSpaceDN w:val="0"/>
              <w:bidi w:val="0"/>
              <w:adjustRightInd w:val="0"/>
              <w:snapToGrid w:val="0"/>
              <w:spacing w:line="240" w:lineRule="auto"/>
              <w:jc w:val="center"/>
              <w:textAlignment w:val="center"/>
              <w:rPr>
                <w:rFonts w:hint="eastAsia" w:ascii="Times New Roman" w:hAnsi="Times New Roman" w:eastAsia="宋体" w:cs="Times New Roman"/>
                <w:color w:val="auto"/>
                <w:kern w:val="0"/>
                <w:szCs w:val="21"/>
                <w:highlight w:val="none"/>
                <w:lang w:eastAsia="zh-CN" w:bidi="en-US"/>
              </w:rPr>
            </w:pPr>
            <w:r>
              <w:rPr>
                <w:rFonts w:hint="eastAsia" w:cs="Times New Roman"/>
                <w:color w:val="auto"/>
                <w:kern w:val="0"/>
                <w:szCs w:val="21"/>
                <w:highlight w:val="none"/>
                <w:lang w:val="en-US" w:eastAsia="zh-CN" w:bidi="en-US"/>
              </w:rPr>
              <w:t>管材边角料、水泥块、焊接作业中产生的废焊条及其包装盒等</w:t>
            </w:r>
          </w:p>
        </w:tc>
        <w:tc>
          <w:tcPr>
            <w:tcW w:w="736" w:type="pct"/>
            <w:tcBorders>
              <w:top w:val="single" w:color="auto" w:sz="6" w:space="0"/>
              <w:bottom w:val="single" w:color="auto" w:sz="6" w:space="0"/>
            </w:tcBorders>
            <w:vAlign w:val="center"/>
          </w:tcPr>
          <w:p w14:paraId="5288F49D">
            <w:pPr>
              <w:keepNext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4.94</w:t>
            </w:r>
            <w:r>
              <w:rPr>
                <w:rFonts w:hint="default" w:ascii="Times New Roman" w:hAnsi="Times New Roman" w:cs="Times New Roman"/>
                <w:color w:val="auto"/>
                <w:szCs w:val="21"/>
                <w:highlight w:val="none"/>
              </w:rPr>
              <w:t>t</w:t>
            </w:r>
          </w:p>
        </w:tc>
        <w:tc>
          <w:tcPr>
            <w:tcW w:w="2259" w:type="pct"/>
            <w:tcBorders>
              <w:top w:val="single" w:color="auto" w:sz="6" w:space="0"/>
              <w:bottom w:val="single" w:color="auto" w:sz="6" w:space="0"/>
              <w:right w:val="single" w:color="auto" w:sz="12" w:space="0"/>
            </w:tcBorders>
            <w:vAlign w:val="center"/>
          </w:tcPr>
          <w:p w14:paraId="7A5E8A1C">
            <w:pPr>
              <w:keepNext w:val="0"/>
              <w:pageBreakBefore w:val="0"/>
              <w:kinsoku/>
              <w:wordWrap/>
              <w:overflowPunct/>
              <w:topLinePunct w:val="0"/>
              <w:bidi w:val="0"/>
              <w:adjustRightInd w:val="0"/>
              <w:snapToGrid w:val="0"/>
              <w:spacing w:line="240" w:lineRule="auto"/>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首先考虑回收利用，不可回收利用部分拉运至英买作业区英买7固废场进行填埋处置</w:t>
            </w:r>
          </w:p>
        </w:tc>
      </w:tr>
      <w:tr w14:paraId="071B8CAB">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23" w:hRule="atLeast"/>
          <w:jc w:val="center"/>
        </w:trPr>
        <w:tc>
          <w:tcPr>
            <w:tcW w:w="436" w:type="pct"/>
            <w:vMerge w:val="continue"/>
            <w:tcBorders>
              <w:top w:val="single" w:color="auto" w:sz="6" w:space="0"/>
              <w:left w:val="single" w:color="auto" w:sz="12" w:space="0"/>
              <w:bottom w:val="single" w:color="auto" w:sz="6" w:space="0"/>
            </w:tcBorders>
            <w:vAlign w:val="center"/>
          </w:tcPr>
          <w:p w14:paraId="55CEEF81">
            <w:pPr>
              <w:keepNext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Cs/>
                <w:snapToGrid w:val="0"/>
                <w:color w:val="auto"/>
                <w:szCs w:val="21"/>
                <w:highlight w:val="none"/>
                <w:lang w:val="en-US" w:eastAsia="zh-CN"/>
              </w:rPr>
            </w:pPr>
            <w:r>
              <w:rPr>
                <w:rFonts w:hint="default" w:ascii="Times New Roman" w:hAnsi="Times New Roman" w:cs="Times New Roman"/>
                <w:bCs/>
                <w:snapToGrid w:val="0"/>
                <w:color w:val="auto"/>
                <w:szCs w:val="21"/>
                <w:highlight w:val="none"/>
                <w:lang w:val="zh-CN"/>
              </w:rPr>
              <w:t>9</w:t>
            </w:r>
            <w:r>
              <w:rPr>
                <w:rFonts w:hint="default" w:ascii="Times New Roman" w:hAnsi="Times New Roman" w:cs="Times New Roman"/>
                <w:bCs/>
                <w:snapToGrid w:val="0"/>
                <w:color w:val="auto"/>
                <w:szCs w:val="21"/>
                <w:highlight w:val="none"/>
                <w:lang w:val="en-US" w:eastAsia="zh-CN"/>
              </w:rPr>
              <w:t>63</w:t>
            </w:r>
          </w:p>
        </w:tc>
        <w:tc>
          <w:tcPr>
            <w:tcW w:w="686" w:type="pct"/>
            <w:tcBorders>
              <w:top w:val="single" w:color="auto" w:sz="6" w:space="0"/>
              <w:bottom w:val="single" w:color="auto" w:sz="6" w:space="0"/>
            </w:tcBorders>
            <w:vAlign w:val="center"/>
          </w:tcPr>
          <w:p w14:paraId="6344406C">
            <w:pPr>
              <w:keepNext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生活垃圾</w:t>
            </w:r>
          </w:p>
        </w:tc>
        <w:tc>
          <w:tcPr>
            <w:tcW w:w="881" w:type="pct"/>
            <w:tcBorders>
              <w:top w:val="single" w:color="auto" w:sz="6" w:space="0"/>
              <w:bottom w:val="single" w:color="auto" w:sz="6" w:space="0"/>
            </w:tcBorders>
            <w:vAlign w:val="center"/>
          </w:tcPr>
          <w:p w14:paraId="4AD4F770">
            <w:pPr>
              <w:keepNext w:val="0"/>
              <w:keepLines/>
              <w:pageBreakBefore w:val="0"/>
              <w:widowControl/>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color w:val="auto"/>
                <w:kern w:val="0"/>
                <w:szCs w:val="21"/>
                <w:highlight w:val="none"/>
                <w:lang w:val="en-US" w:eastAsia="zh-CN" w:bidi="en-US"/>
              </w:rPr>
            </w:pPr>
            <w:r>
              <w:rPr>
                <w:rFonts w:hint="eastAsia" w:cs="Times New Roman"/>
                <w:color w:val="auto"/>
                <w:kern w:val="0"/>
                <w:szCs w:val="21"/>
                <w:highlight w:val="none"/>
                <w:lang w:val="en-US" w:eastAsia="zh-CN" w:bidi="en-US"/>
              </w:rPr>
              <w:t>快餐盒、饮料瓶包装盒等废物</w:t>
            </w:r>
          </w:p>
        </w:tc>
        <w:tc>
          <w:tcPr>
            <w:tcW w:w="736" w:type="pct"/>
            <w:tcBorders>
              <w:top w:val="single" w:color="auto" w:sz="6" w:space="0"/>
              <w:bottom w:val="single" w:color="auto" w:sz="6" w:space="0"/>
            </w:tcBorders>
            <w:vAlign w:val="center"/>
          </w:tcPr>
          <w:p w14:paraId="2BC7452E">
            <w:pPr>
              <w:keepNext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少量</w:t>
            </w:r>
          </w:p>
        </w:tc>
        <w:tc>
          <w:tcPr>
            <w:tcW w:w="2259" w:type="pct"/>
            <w:tcBorders>
              <w:top w:val="single" w:color="auto" w:sz="6" w:space="0"/>
              <w:bottom w:val="single" w:color="auto" w:sz="6" w:space="0"/>
              <w:right w:val="single" w:color="auto" w:sz="12" w:space="0"/>
            </w:tcBorders>
            <w:vAlign w:val="center"/>
          </w:tcPr>
          <w:p w14:paraId="22E7C8B3">
            <w:pPr>
              <w:keepNext w:val="0"/>
              <w:pageBreakBefore w:val="0"/>
              <w:kinsoku/>
              <w:wordWrap/>
              <w:overflowPunct/>
              <w:topLinePunct w:val="0"/>
              <w:bidi w:val="0"/>
              <w:adjustRightInd w:val="0"/>
              <w:snapToGrid w:val="0"/>
              <w:spacing w:line="240" w:lineRule="auto"/>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施工区不设置施工营地。施工现场应及时、集中收集处理现场遗留的快餐盒、饮料瓶包装盒等废物，生活垃圾随车带走，现场不遗留。</w:t>
            </w:r>
          </w:p>
        </w:tc>
      </w:tr>
      <w:tr w14:paraId="5E5A3CB1">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23" w:hRule="atLeast"/>
          <w:jc w:val="center"/>
        </w:trPr>
        <w:tc>
          <w:tcPr>
            <w:tcW w:w="436" w:type="pct"/>
            <w:tcBorders>
              <w:top w:val="single" w:color="auto" w:sz="6" w:space="0"/>
              <w:left w:val="single" w:color="auto" w:sz="12" w:space="0"/>
              <w:bottom w:val="single" w:color="auto" w:sz="12" w:space="0"/>
            </w:tcBorders>
            <w:vAlign w:val="center"/>
          </w:tcPr>
          <w:p w14:paraId="04F80BEF">
            <w:pPr>
              <w:keepNext w:val="0"/>
              <w:pageBreakBefore w:val="0"/>
              <w:kinsoku/>
              <w:wordWrap/>
              <w:overflowPunct/>
              <w:topLinePunct w:val="0"/>
              <w:bidi w:val="0"/>
              <w:adjustRightInd w:val="0"/>
              <w:snapToGrid w:val="0"/>
              <w:spacing w:line="240" w:lineRule="auto"/>
              <w:jc w:val="center"/>
              <w:rPr>
                <w:rFonts w:hint="default" w:ascii="Times New Roman" w:hAnsi="Times New Roman" w:cs="Times New Roman"/>
                <w:bCs/>
                <w:snapToGrid w:val="0"/>
                <w:color w:val="auto"/>
                <w:szCs w:val="21"/>
                <w:highlight w:val="none"/>
                <w:lang w:val="zh-CN"/>
              </w:rPr>
            </w:pPr>
            <w:r>
              <w:rPr>
                <w:rFonts w:hint="default" w:ascii="Times New Roman" w:hAnsi="Times New Roman" w:cs="Times New Roman"/>
                <w:bCs/>
                <w:snapToGrid w:val="0"/>
                <w:color w:val="auto"/>
                <w:szCs w:val="21"/>
                <w:highlight w:val="none"/>
                <w:lang w:val="zh-CN"/>
              </w:rPr>
              <w:t>噪声</w:t>
            </w:r>
          </w:p>
        </w:tc>
        <w:tc>
          <w:tcPr>
            <w:tcW w:w="686" w:type="pct"/>
            <w:tcBorders>
              <w:top w:val="single" w:color="auto" w:sz="6" w:space="0"/>
              <w:bottom w:val="single" w:color="auto" w:sz="12" w:space="0"/>
            </w:tcBorders>
            <w:vAlign w:val="center"/>
          </w:tcPr>
          <w:p w14:paraId="6341C50F">
            <w:pPr>
              <w:keepNext w:val="0"/>
              <w:keepLines/>
              <w:pageBreakBefore w:val="0"/>
              <w:widowControl/>
              <w:kinsoku/>
              <w:wordWrap/>
              <w:overflowPunct/>
              <w:topLinePunct w:val="0"/>
              <w:autoSpaceDE w:val="0"/>
              <w:autoSpaceDN w:val="0"/>
              <w:bidi w:val="0"/>
              <w:adjustRightInd w:val="0"/>
              <w:snapToGrid w:val="0"/>
              <w:spacing w:line="240" w:lineRule="auto"/>
              <w:textAlignment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color w:val="auto"/>
                <w:kern w:val="0"/>
                <w:szCs w:val="21"/>
                <w:highlight w:val="none"/>
                <w:lang w:bidi="en-US"/>
              </w:rPr>
              <w:t>施工机械、运输车辆</w:t>
            </w:r>
          </w:p>
        </w:tc>
        <w:tc>
          <w:tcPr>
            <w:tcW w:w="881" w:type="pct"/>
            <w:tcBorders>
              <w:top w:val="single" w:color="auto" w:sz="6" w:space="0"/>
              <w:bottom w:val="single" w:color="auto" w:sz="12" w:space="0"/>
            </w:tcBorders>
            <w:vAlign w:val="center"/>
          </w:tcPr>
          <w:p w14:paraId="6FEF930D">
            <w:pPr>
              <w:keepNext w:val="0"/>
              <w:keepLines/>
              <w:pageBreakBefore w:val="0"/>
              <w:widowControl/>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color w:val="auto"/>
                <w:kern w:val="0"/>
                <w:szCs w:val="21"/>
                <w:highlight w:val="none"/>
                <w:lang w:bidi="en-US"/>
              </w:rPr>
              <w:t>/</w:t>
            </w:r>
          </w:p>
        </w:tc>
        <w:tc>
          <w:tcPr>
            <w:tcW w:w="736" w:type="pct"/>
            <w:tcBorders>
              <w:top w:val="single" w:color="auto" w:sz="6" w:space="0"/>
              <w:bottom w:val="single" w:color="auto" w:sz="12" w:space="0"/>
            </w:tcBorders>
            <w:vAlign w:val="center"/>
          </w:tcPr>
          <w:p w14:paraId="4BDF63BB">
            <w:pPr>
              <w:keepNext w:val="0"/>
              <w:keepLines/>
              <w:pageBreakBefore w:val="0"/>
              <w:widowControl/>
              <w:kinsoku/>
              <w:wordWrap/>
              <w:overflowPunct/>
              <w:topLinePunct w:val="0"/>
              <w:autoSpaceDE w:val="0"/>
              <w:autoSpaceDN w:val="0"/>
              <w:bidi w:val="0"/>
              <w:adjustRightInd w:val="0"/>
              <w:snapToGrid w:val="0"/>
              <w:spacing w:line="240" w:lineRule="auto"/>
              <w:jc w:val="both"/>
              <w:textAlignment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color w:val="auto"/>
                <w:kern w:val="0"/>
                <w:szCs w:val="21"/>
                <w:highlight w:val="none"/>
                <w:lang w:bidi="en-US"/>
              </w:rPr>
              <w:t>8</w:t>
            </w:r>
            <w:r>
              <w:rPr>
                <w:rFonts w:hint="eastAsia" w:cs="Times New Roman"/>
                <w:color w:val="auto"/>
                <w:kern w:val="0"/>
                <w:szCs w:val="21"/>
                <w:highlight w:val="none"/>
                <w:lang w:val="en-US" w:eastAsia="zh-CN" w:bidi="en-US"/>
              </w:rPr>
              <w:t>0</w:t>
            </w:r>
            <w:r>
              <w:rPr>
                <w:rFonts w:hint="default" w:ascii="Times New Roman" w:hAnsi="Times New Roman" w:cs="Times New Roman"/>
                <w:color w:val="auto"/>
                <w:kern w:val="0"/>
                <w:szCs w:val="21"/>
                <w:highlight w:val="none"/>
                <w:lang w:bidi="en-US"/>
              </w:rPr>
              <w:t>~</w:t>
            </w:r>
            <w:r>
              <w:rPr>
                <w:rFonts w:hint="eastAsia" w:cs="Times New Roman"/>
                <w:color w:val="auto"/>
                <w:kern w:val="0"/>
                <w:szCs w:val="21"/>
                <w:highlight w:val="none"/>
                <w:lang w:val="en-US" w:eastAsia="zh-CN" w:bidi="en-US"/>
              </w:rPr>
              <w:t>95</w:t>
            </w:r>
            <w:r>
              <w:rPr>
                <w:rFonts w:hint="default" w:ascii="Times New Roman" w:hAnsi="Times New Roman" w:cs="Times New Roman"/>
                <w:color w:val="auto"/>
                <w:kern w:val="0"/>
                <w:szCs w:val="21"/>
                <w:highlight w:val="none"/>
                <w:lang w:bidi="en-US"/>
              </w:rPr>
              <w:t>dB(A)</w:t>
            </w:r>
          </w:p>
        </w:tc>
        <w:tc>
          <w:tcPr>
            <w:tcW w:w="2259" w:type="pct"/>
            <w:tcBorders>
              <w:top w:val="single" w:color="auto" w:sz="6" w:space="0"/>
              <w:bottom w:val="single" w:color="auto" w:sz="12" w:space="0"/>
              <w:right w:val="single" w:color="auto" w:sz="12" w:space="0"/>
            </w:tcBorders>
            <w:vAlign w:val="center"/>
          </w:tcPr>
          <w:p w14:paraId="34C910AE">
            <w:pPr>
              <w:keepNext w:val="0"/>
              <w:keepLines/>
              <w:pageBreakBefore w:val="0"/>
              <w:widowControl/>
              <w:kinsoku/>
              <w:wordWrap/>
              <w:overflowPunct/>
              <w:topLinePunct w:val="0"/>
              <w:autoSpaceDE w:val="0"/>
              <w:autoSpaceDN w:val="0"/>
              <w:bidi w:val="0"/>
              <w:adjustRightInd w:val="0"/>
              <w:snapToGrid w:val="0"/>
              <w:spacing w:line="240" w:lineRule="auto"/>
              <w:textAlignment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color w:val="auto"/>
                <w:kern w:val="0"/>
                <w:szCs w:val="21"/>
                <w:highlight w:val="none"/>
                <w:lang w:bidi="en-US"/>
              </w:rPr>
              <w:t>加强施工管理</w:t>
            </w:r>
          </w:p>
        </w:tc>
      </w:tr>
    </w:tbl>
    <w:p w14:paraId="597D7AB2">
      <w:pPr>
        <w:pStyle w:val="54"/>
        <w:bidi w:val="0"/>
        <w:rPr>
          <w:rFonts w:hint="default"/>
          <w:color w:val="auto"/>
        </w:rPr>
      </w:pPr>
      <w:r>
        <w:rPr>
          <w:rFonts w:hint="default"/>
          <w:color w:val="auto"/>
        </w:rPr>
        <w:t>3.</w:t>
      </w:r>
      <w:r>
        <w:rPr>
          <w:rFonts w:hint="eastAsia"/>
          <w:color w:val="auto"/>
          <w:lang w:val="en-US" w:eastAsia="zh-CN"/>
        </w:rPr>
        <w:t>3</w:t>
      </w:r>
      <w:r>
        <w:rPr>
          <w:rFonts w:hint="default"/>
          <w:color w:val="auto"/>
        </w:rPr>
        <w:t>.</w:t>
      </w:r>
      <w:r>
        <w:rPr>
          <w:rFonts w:hint="eastAsia"/>
          <w:color w:val="auto"/>
          <w:lang w:val="en-US" w:eastAsia="zh-CN"/>
        </w:rPr>
        <w:t xml:space="preserve">3 </w:t>
      </w:r>
      <w:r>
        <w:rPr>
          <w:rFonts w:hint="default"/>
          <w:color w:val="auto"/>
        </w:rPr>
        <w:t>运营期环境影响因素分析</w:t>
      </w:r>
    </w:p>
    <w:p w14:paraId="483E738B">
      <w:pPr>
        <w:pStyle w:val="55"/>
        <w:bidi w:val="0"/>
        <w:rPr>
          <w:rFonts w:hint="default"/>
          <w:color w:val="auto"/>
          <w:lang w:val="en-US" w:eastAsia="zh-CN"/>
        </w:rPr>
      </w:pPr>
      <w:bookmarkStart w:id="317" w:name="_Toc30460"/>
      <w:r>
        <w:rPr>
          <w:rFonts w:hint="default"/>
          <w:color w:val="auto"/>
          <w:lang w:val="en-US" w:eastAsia="zh-CN"/>
        </w:rPr>
        <w:t>3.</w:t>
      </w:r>
      <w:r>
        <w:rPr>
          <w:rFonts w:hint="eastAsia"/>
          <w:color w:val="auto"/>
          <w:lang w:val="en-US" w:eastAsia="zh-CN"/>
        </w:rPr>
        <w:t xml:space="preserve">3.3.1 </w:t>
      </w:r>
      <w:r>
        <w:rPr>
          <w:rFonts w:hint="default"/>
          <w:color w:val="auto"/>
          <w:lang w:val="en-US" w:eastAsia="zh-CN"/>
        </w:rPr>
        <w:t>废水污染源</w:t>
      </w:r>
      <w:bookmarkEnd w:id="317"/>
    </w:p>
    <w:p w14:paraId="6617A782">
      <w:pPr>
        <w:pStyle w:val="79"/>
        <w:bidi w:val="0"/>
        <w:rPr>
          <w:rFonts w:hint="default"/>
          <w:color w:val="auto"/>
        </w:rPr>
      </w:pPr>
      <w:bookmarkStart w:id="318" w:name="_Toc11764"/>
      <w:r>
        <w:rPr>
          <w:rFonts w:hint="default"/>
          <w:color w:val="auto"/>
        </w:rPr>
        <w:t>本工程废水主要为生活污水</w:t>
      </w:r>
      <w:r>
        <w:rPr>
          <w:rFonts w:hint="eastAsia"/>
          <w:color w:val="auto"/>
          <w:lang w:val="en-US" w:eastAsia="zh-CN"/>
        </w:rPr>
        <w:t>、井下作业废水</w:t>
      </w:r>
      <w:r>
        <w:rPr>
          <w:rFonts w:hint="default"/>
          <w:color w:val="auto"/>
        </w:rPr>
        <w:t>。</w:t>
      </w:r>
    </w:p>
    <w:p w14:paraId="19A34A56">
      <w:pPr>
        <w:pStyle w:val="79"/>
        <w:bidi w:val="0"/>
        <w:rPr>
          <w:rFonts w:hint="eastAsia"/>
          <w:color w:val="auto"/>
          <w:lang w:val="en-US" w:eastAsia="zh-CN"/>
        </w:rPr>
      </w:pPr>
      <w:r>
        <w:rPr>
          <w:rFonts w:hint="default"/>
          <w:color w:val="auto"/>
        </w:rPr>
        <w:t>（</w:t>
      </w:r>
      <w:r>
        <w:rPr>
          <w:rFonts w:hint="eastAsia"/>
          <w:color w:val="auto"/>
          <w:lang w:val="en-US" w:eastAsia="zh-CN"/>
        </w:rPr>
        <w:t>1</w:t>
      </w:r>
      <w:r>
        <w:rPr>
          <w:rFonts w:hint="default"/>
          <w:color w:val="auto"/>
        </w:rPr>
        <w:t>）</w:t>
      </w:r>
      <w:bookmarkStart w:id="319" w:name="OLE_LINK392"/>
      <w:r>
        <w:rPr>
          <w:rFonts w:hint="default"/>
          <w:color w:val="auto"/>
        </w:rPr>
        <w:t>生活污水</w:t>
      </w:r>
      <w:bookmarkEnd w:id="319"/>
    </w:p>
    <w:p w14:paraId="3C7B4464">
      <w:pPr>
        <w:pStyle w:val="79"/>
        <w:bidi w:val="0"/>
        <w:rPr>
          <w:rFonts w:hint="default"/>
          <w:color w:val="auto"/>
        </w:rPr>
      </w:pPr>
      <w:r>
        <w:rPr>
          <w:rFonts w:hint="default"/>
          <w:color w:val="auto"/>
        </w:rPr>
        <w:t>本工程</w:t>
      </w:r>
      <w:r>
        <w:rPr>
          <w:rFonts w:hint="eastAsia"/>
          <w:color w:val="auto"/>
          <w:lang w:val="en-US" w:eastAsia="zh-CN"/>
        </w:rPr>
        <w:t>雄探1试采点值守人员为9</w:t>
      </w:r>
      <w:r>
        <w:rPr>
          <w:rFonts w:hint="default"/>
          <w:color w:val="auto"/>
        </w:rPr>
        <w:t>人，参照《关于印发新疆维吾尔自治区工业和生活用水定额的通知》（新政办发〔2007〕105号），用水定额按照60升/人</w:t>
      </w:r>
      <w:r>
        <w:rPr>
          <w:rFonts w:hint="eastAsia"/>
          <w:color w:val="auto"/>
          <w:lang w:val="en-US" w:eastAsia="zh-CN"/>
        </w:rPr>
        <w:t>.</w:t>
      </w:r>
      <w:r>
        <w:rPr>
          <w:rFonts w:hint="default"/>
          <w:color w:val="auto"/>
        </w:rPr>
        <w:t>天核算，</w:t>
      </w:r>
      <w:r>
        <w:rPr>
          <w:rFonts w:hint="eastAsia"/>
          <w:color w:val="auto"/>
          <w:lang w:val="en-US" w:eastAsia="zh-CN"/>
        </w:rPr>
        <w:t>年工作300天，</w:t>
      </w:r>
      <w:r>
        <w:rPr>
          <w:rFonts w:hint="default"/>
          <w:color w:val="auto"/>
        </w:rPr>
        <w:t>运营期生活用水总量为</w:t>
      </w:r>
      <w:r>
        <w:rPr>
          <w:rFonts w:hint="eastAsia"/>
          <w:color w:val="auto"/>
          <w:lang w:val="en-US" w:eastAsia="zh-CN"/>
        </w:rPr>
        <w:t>162</w:t>
      </w:r>
      <w:r>
        <w:rPr>
          <w:rFonts w:hint="default"/>
          <w:color w:val="auto"/>
        </w:rPr>
        <w:t>m</w:t>
      </w:r>
      <w:r>
        <w:rPr>
          <w:rFonts w:hint="default"/>
          <w:color w:val="auto"/>
          <w:vertAlign w:val="superscript"/>
        </w:rPr>
        <w:t>3</w:t>
      </w:r>
      <w:r>
        <w:rPr>
          <w:rFonts w:hint="default"/>
          <w:color w:val="auto"/>
        </w:rPr>
        <w:t>/a，生活污水排放系数按照</w:t>
      </w:r>
      <w:r>
        <w:rPr>
          <w:rFonts w:hint="eastAsia"/>
          <w:color w:val="auto"/>
          <w:lang w:val="en-US" w:eastAsia="zh-CN"/>
        </w:rPr>
        <w:t>0.9</w:t>
      </w:r>
      <w:r>
        <w:rPr>
          <w:rFonts w:hint="default"/>
          <w:color w:val="auto"/>
        </w:rPr>
        <w:t>计算，生活污水</w:t>
      </w:r>
      <w:r>
        <w:rPr>
          <w:rFonts w:hint="eastAsia"/>
          <w:color w:val="auto"/>
          <w:lang w:val="en-US" w:eastAsia="zh-CN"/>
        </w:rPr>
        <w:t>排放</w:t>
      </w:r>
      <w:r>
        <w:rPr>
          <w:rFonts w:hint="default"/>
          <w:color w:val="auto"/>
        </w:rPr>
        <w:t>量为</w:t>
      </w:r>
      <w:r>
        <w:rPr>
          <w:rFonts w:hint="eastAsia"/>
          <w:color w:val="auto"/>
          <w:lang w:val="en-US" w:eastAsia="zh-CN"/>
        </w:rPr>
        <w:t>145.8</w:t>
      </w:r>
      <w:r>
        <w:rPr>
          <w:rFonts w:hint="default"/>
          <w:color w:val="auto"/>
        </w:rPr>
        <w:t>m</w:t>
      </w:r>
      <w:r>
        <w:rPr>
          <w:rFonts w:hint="default"/>
          <w:color w:val="auto"/>
          <w:vertAlign w:val="superscript"/>
        </w:rPr>
        <w:t>3</w:t>
      </w:r>
      <w:r>
        <w:rPr>
          <w:rFonts w:hint="default"/>
          <w:color w:val="auto"/>
        </w:rPr>
        <w:t>/a。</w:t>
      </w:r>
    </w:p>
    <w:p w14:paraId="192EFF23">
      <w:pPr>
        <w:pStyle w:val="79"/>
        <w:bidi w:val="0"/>
        <w:rPr>
          <w:rFonts w:hint="eastAsia"/>
          <w:color w:val="auto"/>
          <w:lang w:val="en-US" w:eastAsia="zh-CN"/>
        </w:rPr>
      </w:pPr>
      <w:bookmarkStart w:id="320" w:name="OLE_LINK393"/>
      <w:r>
        <w:rPr>
          <w:rFonts w:hint="default"/>
          <w:color w:val="auto"/>
        </w:rPr>
        <w:t>生活污水暂存于生活污水池，定期由罐车拉运至英买力作业区生活污水处理装置处置</w:t>
      </w:r>
      <w:r>
        <w:rPr>
          <w:rFonts w:hint="eastAsia"/>
          <w:color w:val="auto"/>
          <w:lang w:eastAsia="zh-CN"/>
        </w:rPr>
        <w:t>。</w:t>
      </w:r>
    </w:p>
    <w:bookmarkEnd w:id="320"/>
    <w:p w14:paraId="718DB936">
      <w:pPr>
        <w:pStyle w:val="79"/>
        <w:bidi w:val="0"/>
        <w:rPr>
          <w:rFonts w:hint="default"/>
          <w:color w:val="auto"/>
        </w:rPr>
      </w:pPr>
      <w:r>
        <w:rPr>
          <w:rFonts w:hint="default"/>
          <w:color w:val="auto"/>
        </w:rPr>
        <w:t>（</w:t>
      </w:r>
      <w:bookmarkStart w:id="321" w:name="OLE_LINK395"/>
      <w:r>
        <w:rPr>
          <w:rFonts w:hint="eastAsia"/>
          <w:color w:val="auto"/>
          <w:lang w:val="en-US" w:eastAsia="zh-CN"/>
        </w:rPr>
        <w:t>2</w:t>
      </w:r>
      <w:r>
        <w:rPr>
          <w:rFonts w:hint="default"/>
          <w:color w:val="auto"/>
        </w:rPr>
        <w:t>）</w:t>
      </w:r>
      <w:bookmarkStart w:id="322" w:name="OLE_LINK396"/>
      <w:bookmarkStart w:id="323" w:name="OLE_LINK394"/>
      <w:r>
        <w:rPr>
          <w:rFonts w:hint="default"/>
          <w:color w:val="auto"/>
        </w:rPr>
        <w:t>井下作业废水</w:t>
      </w:r>
      <w:bookmarkEnd w:id="321"/>
      <w:bookmarkEnd w:id="322"/>
    </w:p>
    <w:bookmarkEnd w:id="323"/>
    <w:p w14:paraId="53770A02">
      <w:pPr>
        <w:pStyle w:val="79"/>
        <w:bidi w:val="0"/>
        <w:rPr>
          <w:rFonts w:hint="default"/>
          <w:color w:val="auto"/>
        </w:rPr>
      </w:pPr>
      <w:r>
        <w:rPr>
          <w:rFonts w:hint="default"/>
          <w:color w:val="auto"/>
        </w:rPr>
        <w:t>井下作业废水的主要来源为修井过程产生的压井水和压井液、修井时的循环水及洗井时产生的洗井废水。根据排放源统计调查产排污核算方法和系数手册中1120石油和天然气开采专业及辅助性活动行业系数手册（见表3.</w:t>
      </w:r>
      <w:r>
        <w:rPr>
          <w:rFonts w:hint="default"/>
          <w:color w:val="auto"/>
          <w:lang w:val="en-US" w:eastAsia="zh-CN"/>
        </w:rPr>
        <w:t>3-</w:t>
      </w:r>
      <w:r>
        <w:rPr>
          <w:rFonts w:hint="eastAsia"/>
          <w:color w:val="auto"/>
          <w:lang w:val="en-US" w:eastAsia="zh-CN"/>
        </w:rPr>
        <w:t>6</w:t>
      </w:r>
      <w:r>
        <w:rPr>
          <w:rFonts w:hint="default"/>
          <w:color w:val="auto"/>
        </w:rPr>
        <w:t>），计算井下作业废水的产生量。</w:t>
      </w:r>
    </w:p>
    <w:p w14:paraId="3565A549">
      <w:pPr>
        <w:pStyle w:val="61"/>
        <w:bidi w:val="0"/>
        <w:jc w:val="both"/>
        <w:rPr>
          <w:rFonts w:hint="eastAsia"/>
          <w:color w:val="auto"/>
        </w:rPr>
      </w:pPr>
      <w:r>
        <w:rPr>
          <w:rFonts w:hint="eastAsia"/>
          <w:color w:val="auto"/>
        </w:rPr>
        <w:t>表3.</w:t>
      </w:r>
      <w:r>
        <w:rPr>
          <w:rFonts w:hint="eastAsia"/>
          <w:color w:val="auto"/>
          <w:lang w:val="en-US" w:eastAsia="zh-CN"/>
        </w:rPr>
        <w:t xml:space="preserve">3-6  </w:t>
      </w:r>
      <w:r>
        <w:rPr>
          <w:rFonts w:hint="eastAsia"/>
          <w:color w:val="auto"/>
        </w:rPr>
        <w:t>与石油和天然气开采有关的服务活动产排污系数一览表</w:t>
      </w:r>
    </w:p>
    <w:tbl>
      <w:tblPr>
        <w:tblStyle w:val="3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
        <w:gridCol w:w="877"/>
        <w:gridCol w:w="1113"/>
        <w:gridCol w:w="659"/>
        <w:gridCol w:w="1380"/>
        <w:gridCol w:w="1447"/>
        <w:gridCol w:w="1066"/>
        <w:gridCol w:w="1136"/>
        <w:gridCol w:w="684"/>
      </w:tblGrid>
      <w:tr w14:paraId="19D2E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 w:type="pct"/>
            <w:tcBorders>
              <w:top w:val="single" w:color="auto" w:sz="12" w:space="0"/>
              <w:left w:val="single" w:color="auto" w:sz="12" w:space="0"/>
              <w:bottom w:val="single" w:color="auto" w:sz="6" w:space="0"/>
              <w:right w:val="single" w:color="auto" w:sz="6" w:space="0"/>
            </w:tcBorders>
            <w:noWrap w:val="0"/>
            <w:vAlign w:val="center"/>
          </w:tcPr>
          <w:p w14:paraId="368F2542">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产品</w:t>
            </w:r>
          </w:p>
          <w:p w14:paraId="70C97BE8">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名称</w:t>
            </w:r>
          </w:p>
        </w:tc>
        <w:tc>
          <w:tcPr>
            <w:tcW w:w="496" w:type="pct"/>
            <w:tcBorders>
              <w:top w:val="single" w:color="auto" w:sz="12" w:space="0"/>
              <w:left w:val="single" w:color="auto" w:sz="6" w:space="0"/>
              <w:bottom w:val="single" w:color="auto" w:sz="6" w:space="0"/>
              <w:right w:val="single" w:color="auto" w:sz="6" w:space="0"/>
            </w:tcBorders>
            <w:noWrap w:val="0"/>
            <w:vAlign w:val="center"/>
          </w:tcPr>
          <w:p w14:paraId="4B15AC12">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原料</w:t>
            </w:r>
          </w:p>
          <w:p w14:paraId="4F0731AE">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名称</w:t>
            </w:r>
          </w:p>
        </w:tc>
        <w:tc>
          <w:tcPr>
            <w:tcW w:w="630" w:type="pct"/>
            <w:tcBorders>
              <w:top w:val="single" w:color="auto" w:sz="12" w:space="0"/>
              <w:left w:val="single" w:color="auto" w:sz="6" w:space="0"/>
              <w:bottom w:val="single" w:color="auto" w:sz="6" w:space="0"/>
              <w:right w:val="single" w:color="auto" w:sz="6" w:space="0"/>
            </w:tcBorders>
            <w:noWrap w:val="0"/>
            <w:vAlign w:val="center"/>
          </w:tcPr>
          <w:p w14:paraId="1A285A4F">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工艺</w:t>
            </w:r>
          </w:p>
          <w:p w14:paraId="0E765239">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名称</w:t>
            </w:r>
          </w:p>
        </w:tc>
        <w:tc>
          <w:tcPr>
            <w:tcW w:w="373" w:type="pct"/>
            <w:tcBorders>
              <w:top w:val="single" w:color="auto" w:sz="12" w:space="0"/>
              <w:left w:val="single" w:color="auto" w:sz="6" w:space="0"/>
              <w:bottom w:val="single" w:color="auto" w:sz="6" w:space="0"/>
              <w:right w:val="single" w:color="auto" w:sz="6" w:space="0"/>
            </w:tcBorders>
            <w:noWrap w:val="0"/>
            <w:vAlign w:val="center"/>
          </w:tcPr>
          <w:p w14:paraId="42E7502D">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规模</w:t>
            </w:r>
          </w:p>
          <w:p w14:paraId="25D221BC">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等级</w:t>
            </w:r>
          </w:p>
        </w:tc>
        <w:tc>
          <w:tcPr>
            <w:tcW w:w="781" w:type="pct"/>
            <w:tcBorders>
              <w:top w:val="single" w:color="auto" w:sz="12" w:space="0"/>
              <w:left w:val="single" w:color="auto" w:sz="6" w:space="0"/>
              <w:bottom w:val="single" w:color="auto" w:sz="6" w:space="0"/>
              <w:right w:val="single" w:color="auto" w:sz="6" w:space="0"/>
            </w:tcBorders>
            <w:noWrap w:val="0"/>
            <w:vAlign w:val="center"/>
          </w:tcPr>
          <w:p w14:paraId="2EB78C32">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污染物指标</w:t>
            </w:r>
          </w:p>
        </w:tc>
        <w:tc>
          <w:tcPr>
            <w:tcW w:w="819" w:type="pct"/>
            <w:tcBorders>
              <w:top w:val="single" w:color="auto" w:sz="12" w:space="0"/>
              <w:left w:val="single" w:color="auto" w:sz="6" w:space="0"/>
              <w:bottom w:val="single" w:color="auto" w:sz="6" w:space="0"/>
              <w:right w:val="single" w:color="auto" w:sz="6" w:space="0"/>
            </w:tcBorders>
            <w:noWrap w:val="0"/>
            <w:vAlign w:val="center"/>
          </w:tcPr>
          <w:p w14:paraId="218C58E5">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单位</w:t>
            </w:r>
          </w:p>
        </w:tc>
        <w:tc>
          <w:tcPr>
            <w:tcW w:w="603" w:type="pct"/>
            <w:tcBorders>
              <w:top w:val="single" w:color="auto" w:sz="12" w:space="0"/>
              <w:left w:val="single" w:color="auto" w:sz="6" w:space="0"/>
              <w:bottom w:val="single" w:color="auto" w:sz="6" w:space="0"/>
              <w:right w:val="single" w:color="auto" w:sz="6" w:space="0"/>
            </w:tcBorders>
            <w:noWrap w:val="0"/>
            <w:vAlign w:val="center"/>
          </w:tcPr>
          <w:p w14:paraId="011EE33B">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产污</w:t>
            </w:r>
          </w:p>
          <w:p w14:paraId="77DD80BE">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系数</w:t>
            </w:r>
          </w:p>
        </w:tc>
        <w:tc>
          <w:tcPr>
            <w:tcW w:w="643" w:type="pct"/>
            <w:tcBorders>
              <w:top w:val="single" w:color="auto" w:sz="12" w:space="0"/>
              <w:left w:val="single" w:color="auto" w:sz="6" w:space="0"/>
              <w:bottom w:val="single" w:color="auto" w:sz="6" w:space="0"/>
              <w:right w:val="single" w:color="auto" w:sz="6" w:space="0"/>
            </w:tcBorders>
            <w:noWrap w:val="0"/>
            <w:vAlign w:val="center"/>
          </w:tcPr>
          <w:p w14:paraId="39A4E2B4">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末端治理技术名称</w:t>
            </w:r>
          </w:p>
        </w:tc>
        <w:tc>
          <w:tcPr>
            <w:tcW w:w="387" w:type="pct"/>
            <w:tcBorders>
              <w:top w:val="single" w:color="auto" w:sz="12" w:space="0"/>
              <w:left w:val="single" w:color="auto" w:sz="6" w:space="0"/>
              <w:bottom w:val="single" w:color="auto" w:sz="6" w:space="0"/>
              <w:right w:val="single" w:color="auto" w:sz="12" w:space="0"/>
            </w:tcBorders>
            <w:noWrap w:val="0"/>
            <w:vAlign w:val="center"/>
          </w:tcPr>
          <w:p w14:paraId="42C1D575">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排污</w:t>
            </w:r>
          </w:p>
          <w:p w14:paraId="47C908C8">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系数</w:t>
            </w:r>
          </w:p>
        </w:tc>
      </w:tr>
      <w:tr w14:paraId="4BE42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264" w:type="pct"/>
            <w:vMerge w:val="restart"/>
            <w:tcBorders>
              <w:top w:val="single" w:color="auto" w:sz="6" w:space="0"/>
              <w:left w:val="single" w:color="auto" w:sz="12" w:space="0"/>
              <w:bottom w:val="single" w:color="auto" w:sz="6" w:space="0"/>
              <w:right w:val="single" w:color="auto" w:sz="6" w:space="0"/>
            </w:tcBorders>
            <w:noWrap w:val="0"/>
            <w:vAlign w:val="center"/>
          </w:tcPr>
          <w:p w14:paraId="550BDE11">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井下作业</w:t>
            </w:r>
          </w:p>
        </w:tc>
        <w:tc>
          <w:tcPr>
            <w:tcW w:w="496" w:type="pct"/>
            <w:vMerge w:val="restart"/>
            <w:tcBorders>
              <w:top w:val="single" w:color="auto" w:sz="6" w:space="0"/>
              <w:left w:val="single" w:color="auto" w:sz="6" w:space="0"/>
              <w:bottom w:val="single" w:color="auto" w:sz="6" w:space="0"/>
              <w:right w:val="single" w:color="auto" w:sz="6" w:space="0"/>
            </w:tcBorders>
            <w:noWrap w:val="0"/>
            <w:vAlign w:val="center"/>
          </w:tcPr>
          <w:p w14:paraId="1A884771">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洗井液</w:t>
            </w:r>
          </w:p>
          <w:p w14:paraId="330FD678">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w:t>
            </w:r>
          </w:p>
        </w:tc>
        <w:tc>
          <w:tcPr>
            <w:tcW w:w="630" w:type="pct"/>
            <w:vMerge w:val="restart"/>
            <w:tcBorders>
              <w:top w:val="single" w:color="auto" w:sz="6" w:space="0"/>
              <w:left w:val="single" w:color="auto" w:sz="6" w:space="0"/>
              <w:bottom w:val="single" w:color="auto" w:sz="6" w:space="0"/>
              <w:right w:val="single" w:color="auto" w:sz="6" w:space="0"/>
            </w:tcBorders>
            <w:noWrap w:val="0"/>
            <w:vAlign w:val="center"/>
          </w:tcPr>
          <w:p w14:paraId="5C721CB5">
            <w:pPr>
              <w:spacing w:line="280" w:lineRule="exac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非低渗透油井洗井作业</w:t>
            </w:r>
          </w:p>
        </w:tc>
        <w:tc>
          <w:tcPr>
            <w:tcW w:w="373" w:type="pct"/>
            <w:vMerge w:val="restart"/>
            <w:tcBorders>
              <w:top w:val="single" w:color="auto" w:sz="6" w:space="0"/>
              <w:left w:val="single" w:color="auto" w:sz="6" w:space="0"/>
              <w:bottom w:val="single" w:color="auto" w:sz="6" w:space="0"/>
              <w:right w:val="single" w:color="auto" w:sz="6" w:space="0"/>
            </w:tcBorders>
            <w:noWrap w:val="0"/>
            <w:vAlign w:val="center"/>
          </w:tcPr>
          <w:p w14:paraId="175B120F">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所有规模</w:t>
            </w:r>
          </w:p>
        </w:tc>
        <w:tc>
          <w:tcPr>
            <w:tcW w:w="781" w:type="pct"/>
            <w:tcBorders>
              <w:top w:val="single" w:color="auto" w:sz="6" w:space="0"/>
              <w:left w:val="single" w:color="auto" w:sz="6" w:space="0"/>
              <w:bottom w:val="single" w:color="auto" w:sz="6" w:space="0"/>
              <w:right w:val="single" w:color="auto" w:sz="6" w:space="0"/>
            </w:tcBorders>
            <w:noWrap w:val="0"/>
            <w:vAlign w:val="center"/>
          </w:tcPr>
          <w:p w14:paraId="7060310E">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工业废水量</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16316A77">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吨/井次-产品</w:t>
            </w:r>
          </w:p>
        </w:tc>
        <w:tc>
          <w:tcPr>
            <w:tcW w:w="603" w:type="pct"/>
            <w:tcBorders>
              <w:top w:val="single" w:color="auto" w:sz="6" w:space="0"/>
              <w:left w:val="single" w:color="auto" w:sz="6" w:space="0"/>
              <w:bottom w:val="single" w:color="auto" w:sz="6" w:space="0"/>
              <w:right w:val="single" w:color="auto" w:sz="6" w:space="0"/>
            </w:tcBorders>
            <w:noWrap w:val="0"/>
            <w:vAlign w:val="center"/>
          </w:tcPr>
          <w:p w14:paraId="74EAE09E">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76.0</w:t>
            </w:r>
          </w:p>
        </w:tc>
        <w:tc>
          <w:tcPr>
            <w:tcW w:w="643" w:type="pct"/>
            <w:tcBorders>
              <w:top w:val="single" w:color="auto" w:sz="6" w:space="0"/>
              <w:left w:val="single" w:color="auto" w:sz="6" w:space="0"/>
              <w:bottom w:val="single" w:color="auto" w:sz="6" w:space="0"/>
              <w:right w:val="single" w:color="auto" w:sz="6" w:space="0"/>
            </w:tcBorders>
            <w:noWrap w:val="0"/>
            <w:vAlign w:val="center"/>
          </w:tcPr>
          <w:p w14:paraId="45692007">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回收回注</w:t>
            </w:r>
          </w:p>
        </w:tc>
        <w:tc>
          <w:tcPr>
            <w:tcW w:w="387" w:type="pct"/>
            <w:tcBorders>
              <w:top w:val="single" w:color="auto" w:sz="6" w:space="0"/>
              <w:left w:val="single" w:color="auto" w:sz="6" w:space="0"/>
              <w:bottom w:val="single" w:color="auto" w:sz="6" w:space="0"/>
              <w:right w:val="single" w:color="auto" w:sz="12" w:space="0"/>
            </w:tcBorders>
            <w:noWrap w:val="0"/>
            <w:vAlign w:val="center"/>
          </w:tcPr>
          <w:p w14:paraId="5909872D">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r>
      <w:tr w14:paraId="257A3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 w:type="pct"/>
            <w:vMerge w:val="continue"/>
            <w:tcBorders>
              <w:top w:val="single" w:color="auto" w:sz="6" w:space="0"/>
              <w:left w:val="single" w:color="auto" w:sz="12" w:space="0"/>
              <w:bottom w:val="single" w:color="auto" w:sz="6" w:space="0"/>
              <w:right w:val="single" w:color="auto" w:sz="6" w:space="0"/>
            </w:tcBorders>
            <w:noWrap w:val="0"/>
            <w:vAlign w:val="center"/>
          </w:tcPr>
          <w:p w14:paraId="3B1A5D4C">
            <w:pPr>
              <w:spacing w:line="280" w:lineRule="exact"/>
              <w:jc w:val="center"/>
              <w:rPr>
                <w:rFonts w:hint="default" w:ascii="Times New Roman" w:hAnsi="Times New Roman" w:cs="Times New Roman"/>
                <w:color w:val="auto"/>
                <w:sz w:val="21"/>
                <w:szCs w:val="21"/>
                <w:highlight w:val="none"/>
              </w:rPr>
            </w:pPr>
          </w:p>
        </w:tc>
        <w:tc>
          <w:tcPr>
            <w:tcW w:w="496" w:type="pct"/>
            <w:vMerge w:val="continue"/>
            <w:tcBorders>
              <w:top w:val="single" w:color="auto" w:sz="6" w:space="0"/>
              <w:left w:val="single" w:color="auto" w:sz="6" w:space="0"/>
              <w:bottom w:val="single" w:color="auto" w:sz="6" w:space="0"/>
              <w:right w:val="single" w:color="auto" w:sz="6" w:space="0"/>
            </w:tcBorders>
            <w:noWrap w:val="0"/>
            <w:vAlign w:val="center"/>
          </w:tcPr>
          <w:p w14:paraId="3F3BF090">
            <w:pPr>
              <w:spacing w:line="280" w:lineRule="exact"/>
              <w:jc w:val="center"/>
              <w:rPr>
                <w:rFonts w:hint="default" w:ascii="Times New Roman" w:hAnsi="Times New Roman" w:cs="Times New Roman"/>
                <w:color w:val="auto"/>
                <w:sz w:val="21"/>
                <w:szCs w:val="21"/>
                <w:highlight w:val="none"/>
              </w:rPr>
            </w:pPr>
          </w:p>
        </w:tc>
        <w:tc>
          <w:tcPr>
            <w:tcW w:w="630" w:type="pct"/>
            <w:vMerge w:val="continue"/>
            <w:tcBorders>
              <w:top w:val="single" w:color="auto" w:sz="6" w:space="0"/>
              <w:left w:val="single" w:color="auto" w:sz="6" w:space="0"/>
              <w:bottom w:val="single" w:color="auto" w:sz="6" w:space="0"/>
              <w:right w:val="single" w:color="auto" w:sz="6" w:space="0"/>
            </w:tcBorders>
            <w:noWrap w:val="0"/>
            <w:vAlign w:val="center"/>
          </w:tcPr>
          <w:p w14:paraId="41356252">
            <w:pPr>
              <w:spacing w:line="280" w:lineRule="exact"/>
              <w:rPr>
                <w:rFonts w:hint="default" w:ascii="Times New Roman" w:hAnsi="Times New Roman" w:cs="Times New Roman"/>
                <w:color w:val="auto"/>
                <w:sz w:val="21"/>
                <w:szCs w:val="21"/>
                <w:highlight w:val="none"/>
              </w:rPr>
            </w:pPr>
          </w:p>
        </w:tc>
        <w:tc>
          <w:tcPr>
            <w:tcW w:w="373" w:type="pct"/>
            <w:vMerge w:val="continue"/>
            <w:tcBorders>
              <w:top w:val="single" w:color="auto" w:sz="6" w:space="0"/>
              <w:left w:val="single" w:color="auto" w:sz="6" w:space="0"/>
              <w:bottom w:val="single" w:color="auto" w:sz="6" w:space="0"/>
              <w:right w:val="single" w:color="auto" w:sz="6" w:space="0"/>
            </w:tcBorders>
            <w:noWrap w:val="0"/>
            <w:vAlign w:val="center"/>
          </w:tcPr>
          <w:p w14:paraId="45508278">
            <w:pPr>
              <w:spacing w:line="280" w:lineRule="exact"/>
              <w:jc w:val="center"/>
              <w:rPr>
                <w:rFonts w:hint="default" w:ascii="Times New Roman" w:hAnsi="Times New Roman" w:cs="Times New Roman"/>
                <w:color w:val="auto"/>
                <w:sz w:val="21"/>
                <w:szCs w:val="21"/>
                <w:highlight w:val="none"/>
              </w:rPr>
            </w:pPr>
          </w:p>
        </w:tc>
        <w:tc>
          <w:tcPr>
            <w:tcW w:w="781" w:type="pct"/>
            <w:tcBorders>
              <w:top w:val="single" w:color="auto" w:sz="6" w:space="0"/>
              <w:left w:val="single" w:color="auto" w:sz="6" w:space="0"/>
              <w:bottom w:val="single" w:color="auto" w:sz="6" w:space="0"/>
              <w:right w:val="single" w:color="auto" w:sz="6" w:space="0"/>
            </w:tcBorders>
            <w:noWrap w:val="0"/>
            <w:vAlign w:val="center"/>
          </w:tcPr>
          <w:p w14:paraId="319375E7">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化学需氧量</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2AFEDC19">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克/井次-产品</w:t>
            </w:r>
          </w:p>
        </w:tc>
        <w:tc>
          <w:tcPr>
            <w:tcW w:w="603" w:type="pct"/>
            <w:tcBorders>
              <w:top w:val="single" w:color="auto" w:sz="6" w:space="0"/>
              <w:left w:val="single" w:color="auto" w:sz="6" w:space="0"/>
              <w:bottom w:val="single" w:color="auto" w:sz="6" w:space="0"/>
              <w:right w:val="single" w:color="auto" w:sz="6" w:space="0"/>
            </w:tcBorders>
            <w:noWrap w:val="0"/>
            <w:vAlign w:val="center"/>
          </w:tcPr>
          <w:p w14:paraId="07F4F30F">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104525</w:t>
            </w:r>
          </w:p>
        </w:tc>
        <w:tc>
          <w:tcPr>
            <w:tcW w:w="643" w:type="pct"/>
            <w:tcBorders>
              <w:top w:val="single" w:color="auto" w:sz="6" w:space="0"/>
              <w:left w:val="single" w:color="auto" w:sz="6" w:space="0"/>
              <w:bottom w:val="single" w:color="auto" w:sz="6" w:space="0"/>
              <w:right w:val="single" w:color="auto" w:sz="6" w:space="0"/>
            </w:tcBorders>
            <w:noWrap w:val="0"/>
            <w:vAlign w:val="center"/>
          </w:tcPr>
          <w:p w14:paraId="4C3C0DA8">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回收回注</w:t>
            </w:r>
          </w:p>
        </w:tc>
        <w:tc>
          <w:tcPr>
            <w:tcW w:w="387" w:type="pct"/>
            <w:tcBorders>
              <w:top w:val="single" w:color="auto" w:sz="6" w:space="0"/>
              <w:left w:val="single" w:color="auto" w:sz="6" w:space="0"/>
              <w:bottom w:val="single" w:color="auto" w:sz="6" w:space="0"/>
              <w:right w:val="single" w:color="auto" w:sz="12" w:space="0"/>
            </w:tcBorders>
            <w:noWrap w:val="0"/>
            <w:vAlign w:val="center"/>
          </w:tcPr>
          <w:p w14:paraId="0AC2E46F">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r>
      <w:tr w14:paraId="5B941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 w:type="pct"/>
            <w:vMerge w:val="continue"/>
            <w:tcBorders>
              <w:top w:val="single" w:color="auto" w:sz="6" w:space="0"/>
              <w:left w:val="single" w:color="auto" w:sz="12" w:space="0"/>
              <w:bottom w:val="single" w:color="auto" w:sz="6" w:space="0"/>
              <w:right w:val="single" w:color="auto" w:sz="6" w:space="0"/>
            </w:tcBorders>
            <w:noWrap w:val="0"/>
            <w:vAlign w:val="center"/>
          </w:tcPr>
          <w:p w14:paraId="20EA9508">
            <w:pPr>
              <w:spacing w:line="280" w:lineRule="exact"/>
              <w:jc w:val="center"/>
              <w:rPr>
                <w:rFonts w:hint="default" w:ascii="Times New Roman" w:hAnsi="Times New Roman" w:cs="Times New Roman"/>
                <w:color w:val="auto"/>
                <w:sz w:val="21"/>
                <w:szCs w:val="21"/>
                <w:highlight w:val="none"/>
              </w:rPr>
            </w:pPr>
          </w:p>
        </w:tc>
        <w:tc>
          <w:tcPr>
            <w:tcW w:w="496" w:type="pct"/>
            <w:vMerge w:val="continue"/>
            <w:tcBorders>
              <w:top w:val="single" w:color="auto" w:sz="6" w:space="0"/>
              <w:left w:val="single" w:color="auto" w:sz="6" w:space="0"/>
              <w:bottom w:val="single" w:color="auto" w:sz="6" w:space="0"/>
              <w:right w:val="single" w:color="auto" w:sz="6" w:space="0"/>
            </w:tcBorders>
            <w:noWrap w:val="0"/>
            <w:vAlign w:val="center"/>
          </w:tcPr>
          <w:p w14:paraId="053A9B71">
            <w:pPr>
              <w:spacing w:line="280" w:lineRule="exact"/>
              <w:jc w:val="center"/>
              <w:rPr>
                <w:rFonts w:hint="default" w:ascii="Times New Roman" w:hAnsi="Times New Roman" w:cs="Times New Roman"/>
                <w:color w:val="auto"/>
                <w:sz w:val="21"/>
                <w:szCs w:val="21"/>
                <w:highlight w:val="none"/>
              </w:rPr>
            </w:pPr>
          </w:p>
        </w:tc>
        <w:tc>
          <w:tcPr>
            <w:tcW w:w="630" w:type="pct"/>
            <w:vMerge w:val="continue"/>
            <w:tcBorders>
              <w:top w:val="single" w:color="auto" w:sz="6" w:space="0"/>
              <w:left w:val="single" w:color="auto" w:sz="6" w:space="0"/>
              <w:bottom w:val="single" w:color="auto" w:sz="6" w:space="0"/>
              <w:right w:val="single" w:color="auto" w:sz="6" w:space="0"/>
            </w:tcBorders>
            <w:noWrap w:val="0"/>
            <w:vAlign w:val="center"/>
          </w:tcPr>
          <w:p w14:paraId="4576A271">
            <w:pPr>
              <w:spacing w:line="280" w:lineRule="exact"/>
              <w:rPr>
                <w:rFonts w:hint="default" w:ascii="Times New Roman" w:hAnsi="Times New Roman" w:cs="Times New Roman"/>
                <w:color w:val="auto"/>
                <w:sz w:val="21"/>
                <w:szCs w:val="21"/>
                <w:highlight w:val="none"/>
              </w:rPr>
            </w:pPr>
          </w:p>
        </w:tc>
        <w:tc>
          <w:tcPr>
            <w:tcW w:w="373" w:type="pct"/>
            <w:vMerge w:val="continue"/>
            <w:tcBorders>
              <w:top w:val="single" w:color="auto" w:sz="6" w:space="0"/>
              <w:left w:val="single" w:color="auto" w:sz="6" w:space="0"/>
              <w:bottom w:val="single" w:color="auto" w:sz="6" w:space="0"/>
              <w:right w:val="single" w:color="auto" w:sz="6" w:space="0"/>
            </w:tcBorders>
            <w:noWrap w:val="0"/>
            <w:vAlign w:val="center"/>
          </w:tcPr>
          <w:p w14:paraId="1F16145E">
            <w:pPr>
              <w:spacing w:line="280" w:lineRule="exact"/>
              <w:jc w:val="center"/>
              <w:rPr>
                <w:rFonts w:hint="default" w:ascii="Times New Roman" w:hAnsi="Times New Roman" w:cs="Times New Roman"/>
                <w:color w:val="auto"/>
                <w:sz w:val="21"/>
                <w:szCs w:val="21"/>
                <w:highlight w:val="none"/>
              </w:rPr>
            </w:pPr>
          </w:p>
        </w:tc>
        <w:tc>
          <w:tcPr>
            <w:tcW w:w="781" w:type="pct"/>
            <w:tcBorders>
              <w:top w:val="single" w:color="auto" w:sz="6" w:space="0"/>
              <w:left w:val="single" w:color="auto" w:sz="6" w:space="0"/>
              <w:bottom w:val="single" w:color="auto" w:sz="6" w:space="0"/>
              <w:right w:val="single" w:color="auto" w:sz="6" w:space="0"/>
            </w:tcBorders>
            <w:noWrap w:val="0"/>
            <w:vAlign w:val="center"/>
          </w:tcPr>
          <w:p w14:paraId="3B90E1DB">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石油类</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45FC0400">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克/井次-产品</w:t>
            </w:r>
          </w:p>
        </w:tc>
        <w:tc>
          <w:tcPr>
            <w:tcW w:w="603" w:type="pct"/>
            <w:tcBorders>
              <w:top w:val="single" w:color="auto" w:sz="6" w:space="0"/>
              <w:left w:val="single" w:color="auto" w:sz="6" w:space="0"/>
              <w:bottom w:val="single" w:color="auto" w:sz="6" w:space="0"/>
              <w:right w:val="single" w:color="auto" w:sz="6" w:space="0"/>
            </w:tcBorders>
            <w:noWrap w:val="0"/>
            <w:vAlign w:val="center"/>
          </w:tcPr>
          <w:p w14:paraId="788E1E25">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17645</w:t>
            </w:r>
          </w:p>
        </w:tc>
        <w:tc>
          <w:tcPr>
            <w:tcW w:w="643" w:type="pct"/>
            <w:tcBorders>
              <w:top w:val="single" w:color="auto" w:sz="6" w:space="0"/>
              <w:left w:val="single" w:color="auto" w:sz="6" w:space="0"/>
              <w:bottom w:val="single" w:color="auto" w:sz="6" w:space="0"/>
              <w:right w:val="single" w:color="auto" w:sz="6" w:space="0"/>
            </w:tcBorders>
            <w:noWrap w:val="0"/>
            <w:vAlign w:val="center"/>
          </w:tcPr>
          <w:p w14:paraId="76D04D26">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回收回注</w:t>
            </w:r>
          </w:p>
        </w:tc>
        <w:tc>
          <w:tcPr>
            <w:tcW w:w="387" w:type="pct"/>
            <w:tcBorders>
              <w:top w:val="single" w:color="auto" w:sz="6" w:space="0"/>
              <w:left w:val="single" w:color="auto" w:sz="6" w:space="0"/>
              <w:bottom w:val="single" w:color="auto" w:sz="6" w:space="0"/>
              <w:right w:val="single" w:color="auto" w:sz="12" w:space="0"/>
            </w:tcBorders>
            <w:noWrap w:val="0"/>
            <w:vAlign w:val="center"/>
          </w:tcPr>
          <w:p w14:paraId="49CFCE71">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r>
      <w:tr w14:paraId="1D770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 w:type="pct"/>
            <w:vMerge w:val="continue"/>
            <w:tcBorders>
              <w:top w:val="single" w:color="auto" w:sz="6" w:space="0"/>
              <w:left w:val="single" w:color="auto" w:sz="12" w:space="0"/>
              <w:bottom w:val="single" w:color="auto" w:sz="6" w:space="0"/>
              <w:right w:val="single" w:color="auto" w:sz="6" w:space="0"/>
            </w:tcBorders>
            <w:noWrap w:val="0"/>
            <w:vAlign w:val="center"/>
          </w:tcPr>
          <w:p w14:paraId="1485FDF8">
            <w:pPr>
              <w:spacing w:line="280" w:lineRule="exact"/>
              <w:jc w:val="center"/>
              <w:rPr>
                <w:rFonts w:hint="default" w:ascii="Times New Roman" w:hAnsi="Times New Roman" w:cs="Times New Roman"/>
                <w:color w:val="auto"/>
                <w:sz w:val="21"/>
                <w:szCs w:val="21"/>
                <w:highlight w:val="none"/>
              </w:rPr>
            </w:pPr>
          </w:p>
        </w:tc>
        <w:tc>
          <w:tcPr>
            <w:tcW w:w="496" w:type="pct"/>
            <w:vMerge w:val="continue"/>
            <w:tcBorders>
              <w:top w:val="single" w:color="auto" w:sz="6" w:space="0"/>
              <w:left w:val="single" w:color="auto" w:sz="6" w:space="0"/>
              <w:bottom w:val="single" w:color="auto" w:sz="6" w:space="0"/>
              <w:right w:val="single" w:color="auto" w:sz="6" w:space="0"/>
            </w:tcBorders>
            <w:noWrap w:val="0"/>
            <w:vAlign w:val="center"/>
          </w:tcPr>
          <w:p w14:paraId="0EFBFF36">
            <w:pPr>
              <w:spacing w:line="280" w:lineRule="exact"/>
              <w:jc w:val="center"/>
              <w:rPr>
                <w:rFonts w:hint="default" w:ascii="Times New Roman" w:hAnsi="Times New Roman" w:cs="Times New Roman"/>
                <w:color w:val="auto"/>
                <w:sz w:val="21"/>
                <w:szCs w:val="21"/>
                <w:highlight w:val="none"/>
              </w:rPr>
            </w:pPr>
          </w:p>
        </w:tc>
        <w:tc>
          <w:tcPr>
            <w:tcW w:w="630" w:type="pct"/>
            <w:vMerge w:val="restart"/>
            <w:tcBorders>
              <w:top w:val="single" w:color="auto" w:sz="6" w:space="0"/>
              <w:left w:val="single" w:color="auto" w:sz="6" w:space="0"/>
              <w:bottom w:val="single" w:color="auto" w:sz="6" w:space="0"/>
              <w:right w:val="single" w:color="auto" w:sz="6" w:space="0"/>
            </w:tcBorders>
            <w:noWrap w:val="0"/>
            <w:vAlign w:val="center"/>
          </w:tcPr>
          <w:p w14:paraId="4A60AC1D">
            <w:pPr>
              <w:spacing w:line="280" w:lineRule="exac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低渗透油井洗井作业</w:t>
            </w:r>
          </w:p>
        </w:tc>
        <w:tc>
          <w:tcPr>
            <w:tcW w:w="373" w:type="pct"/>
            <w:vMerge w:val="restart"/>
            <w:tcBorders>
              <w:top w:val="single" w:color="auto" w:sz="6" w:space="0"/>
              <w:left w:val="single" w:color="auto" w:sz="6" w:space="0"/>
              <w:bottom w:val="single" w:color="auto" w:sz="6" w:space="0"/>
              <w:right w:val="single" w:color="auto" w:sz="6" w:space="0"/>
            </w:tcBorders>
            <w:noWrap w:val="0"/>
            <w:vAlign w:val="center"/>
          </w:tcPr>
          <w:p w14:paraId="3A7DA669">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所有规模</w:t>
            </w:r>
          </w:p>
        </w:tc>
        <w:tc>
          <w:tcPr>
            <w:tcW w:w="781" w:type="pct"/>
            <w:tcBorders>
              <w:top w:val="single" w:color="auto" w:sz="6" w:space="0"/>
              <w:left w:val="single" w:color="auto" w:sz="6" w:space="0"/>
              <w:bottom w:val="single" w:color="auto" w:sz="6" w:space="0"/>
              <w:right w:val="single" w:color="auto" w:sz="6" w:space="0"/>
            </w:tcBorders>
            <w:noWrap w:val="0"/>
            <w:vAlign w:val="center"/>
          </w:tcPr>
          <w:p w14:paraId="06DE30BD">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工业废水量</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69022ABD">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吨/井次-产品</w:t>
            </w:r>
          </w:p>
        </w:tc>
        <w:tc>
          <w:tcPr>
            <w:tcW w:w="603" w:type="pct"/>
            <w:tcBorders>
              <w:top w:val="single" w:color="auto" w:sz="6" w:space="0"/>
              <w:left w:val="single" w:color="auto" w:sz="6" w:space="0"/>
              <w:bottom w:val="single" w:color="auto" w:sz="6" w:space="0"/>
              <w:right w:val="single" w:color="auto" w:sz="6" w:space="0"/>
            </w:tcBorders>
            <w:noWrap w:val="0"/>
            <w:vAlign w:val="center"/>
          </w:tcPr>
          <w:p w14:paraId="6D01FA55">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27.13</w:t>
            </w:r>
          </w:p>
        </w:tc>
        <w:tc>
          <w:tcPr>
            <w:tcW w:w="643" w:type="pct"/>
            <w:tcBorders>
              <w:top w:val="single" w:color="auto" w:sz="6" w:space="0"/>
              <w:left w:val="single" w:color="auto" w:sz="6" w:space="0"/>
              <w:bottom w:val="single" w:color="auto" w:sz="6" w:space="0"/>
              <w:right w:val="single" w:color="auto" w:sz="6" w:space="0"/>
            </w:tcBorders>
            <w:noWrap w:val="0"/>
            <w:vAlign w:val="center"/>
          </w:tcPr>
          <w:p w14:paraId="7E12CCB3">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回收回注</w:t>
            </w:r>
          </w:p>
        </w:tc>
        <w:tc>
          <w:tcPr>
            <w:tcW w:w="387" w:type="pct"/>
            <w:tcBorders>
              <w:top w:val="single" w:color="auto" w:sz="6" w:space="0"/>
              <w:left w:val="single" w:color="auto" w:sz="6" w:space="0"/>
              <w:bottom w:val="single" w:color="auto" w:sz="6" w:space="0"/>
              <w:right w:val="single" w:color="auto" w:sz="12" w:space="0"/>
            </w:tcBorders>
            <w:noWrap w:val="0"/>
            <w:vAlign w:val="center"/>
          </w:tcPr>
          <w:p w14:paraId="7534CFCE">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r>
      <w:tr w14:paraId="3ECAD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 w:type="pct"/>
            <w:vMerge w:val="continue"/>
            <w:tcBorders>
              <w:top w:val="single" w:color="auto" w:sz="6" w:space="0"/>
              <w:left w:val="single" w:color="auto" w:sz="12" w:space="0"/>
              <w:bottom w:val="single" w:color="auto" w:sz="6" w:space="0"/>
              <w:right w:val="single" w:color="auto" w:sz="6" w:space="0"/>
            </w:tcBorders>
            <w:noWrap w:val="0"/>
            <w:vAlign w:val="center"/>
          </w:tcPr>
          <w:p w14:paraId="32B90803">
            <w:pPr>
              <w:spacing w:line="280" w:lineRule="exact"/>
              <w:jc w:val="center"/>
              <w:rPr>
                <w:rFonts w:hint="default" w:ascii="Times New Roman" w:hAnsi="Times New Roman" w:cs="Times New Roman"/>
                <w:color w:val="auto"/>
                <w:sz w:val="21"/>
                <w:szCs w:val="21"/>
                <w:highlight w:val="none"/>
              </w:rPr>
            </w:pPr>
          </w:p>
        </w:tc>
        <w:tc>
          <w:tcPr>
            <w:tcW w:w="496" w:type="pct"/>
            <w:vMerge w:val="continue"/>
            <w:tcBorders>
              <w:top w:val="single" w:color="auto" w:sz="6" w:space="0"/>
              <w:left w:val="single" w:color="auto" w:sz="6" w:space="0"/>
              <w:bottom w:val="single" w:color="auto" w:sz="6" w:space="0"/>
              <w:right w:val="single" w:color="auto" w:sz="6" w:space="0"/>
            </w:tcBorders>
            <w:noWrap w:val="0"/>
            <w:vAlign w:val="center"/>
          </w:tcPr>
          <w:p w14:paraId="4BAFB894">
            <w:pPr>
              <w:spacing w:line="280" w:lineRule="exact"/>
              <w:jc w:val="center"/>
              <w:rPr>
                <w:rFonts w:hint="default" w:ascii="Times New Roman" w:hAnsi="Times New Roman" w:cs="Times New Roman"/>
                <w:color w:val="auto"/>
                <w:sz w:val="21"/>
                <w:szCs w:val="21"/>
                <w:highlight w:val="none"/>
              </w:rPr>
            </w:pPr>
          </w:p>
        </w:tc>
        <w:tc>
          <w:tcPr>
            <w:tcW w:w="630" w:type="pct"/>
            <w:vMerge w:val="continue"/>
            <w:tcBorders>
              <w:top w:val="single" w:color="auto" w:sz="6" w:space="0"/>
              <w:left w:val="single" w:color="auto" w:sz="6" w:space="0"/>
              <w:bottom w:val="single" w:color="auto" w:sz="6" w:space="0"/>
              <w:right w:val="single" w:color="auto" w:sz="6" w:space="0"/>
            </w:tcBorders>
            <w:noWrap w:val="0"/>
            <w:vAlign w:val="center"/>
          </w:tcPr>
          <w:p w14:paraId="030A04DB">
            <w:pPr>
              <w:spacing w:line="280" w:lineRule="exact"/>
              <w:jc w:val="center"/>
              <w:rPr>
                <w:rFonts w:hint="default" w:ascii="Times New Roman" w:hAnsi="Times New Roman" w:cs="Times New Roman"/>
                <w:color w:val="auto"/>
                <w:sz w:val="21"/>
                <w:szCs w:val="21"/>
                <w:highlight w:val="none"/>
              </w:rPr>
            </w:pPr>
          </w:p>
        </w:tc>
        <w:tc>
          <w:tcPr>
            <w:tcW w:w="373" w:type="pct"/>
            <w:vMerge w:val="continue"/>
            <w:tcBorders>
              <w:top w:val="single" w:color="auto" w:sz="6" w:space="0"/>
              <w:left w:val="single" w:color="auto" w:sz="6" w:space="0"/>
              <w:bottom w:val="single" w:color="auto" w:sz="6" w:space="0"/>
              <w:right w:val="single" w:color="auto" w:sz="6" w:space="0"/>
            </w:tcBorders>
            <w:noWrap w:val="0"/>
            <w:vAlign w:val="center"/>
          </w:tcPr>
          <w:p w14:paraId="2951726B">
            <w:pPr>
              <w:spacing w:line="280" w:lineRule="exact"/>
              <w:jc w:val="center"/>
              <w:rPr>
                <w:rFonts w:hint="default" w:ascii="Times New Roman" w:hAnsi="Times New Roman" w:cs="Times New Roman"/>
                <w:color w:val="auto"/>
                <w:sz w:val="21"/>
                <w:szCs w:val="21"/>
                <w:highlight w:val="none"/>
              </w:rPr>
            </w:pPr>
          </w:p>
        </w:tc>
        <w:tc>
          <w:tcPr>
            <w:tcW w:w="781" w:type="pct"/>
            <w:tcBorders>
              <w:top w:val="single" w:color="auto" w:sz="6" w:space="0"/>
              <w:left w:val="single" w:color="auto" w:sz="6" w:space="0"/>
              <w:bottom w:val="single" w:color="auto" w:sz="6" w:space="0"/>
              <w:right w:val="single" w:color="auto" w:sz="6" w:space="0"/>
            </w:tcBorders>
            <w:noWrap w:val="0"/>
            <w:vAlign w:val="center"/>
          </w:tcPr>
          <w:p w14:paraId="3CAD6E6C">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化学需氧量</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7F244C17">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克/井次-产品</w:t>
            </w:r>
          </w:p>
        </w:tc>
        <w:tc>
          <w:tcPr>
            <w:tcW w:w="603" w:type="pct"/>
            <w:tcBorders>
              <w:top w:val="single" w:color="auto" w:sz="6" w:space="0"/>
              <w:left w:val="single" w:color="auto" w:sz="6" w:space="0"/>
              <w:bottom w:val="single" w:color="auto" w:sz="6" w:space="0"/>
              <w:right w:val="single" w:color="auto" w:sz="6" w:space="0"/>
            </w:tcBorders>
            <w:noWrap w:val="0"/>
            <w:vAlign w:val="center"/>
          </w:tcPr>
          <w:p w14:paraId="00CA9A46">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34679</w:t>
            </w:r>
          </w:p>
        </w:tc>
        <w:tc>
          <w:tcPr>
            <w:tcW w:w="643" w:type="pct"/>
            <w:tcBorders>
              <w:top w:val="single" w:color="auto" w:sz="6" w:space="0"/>
              <w:left w:val="single" w:color="auto" w:sz="6" w:space="0"/>
              <w:bottom w:val="single" w:color="auto" w:sz="6" w:space="0"/>
              <w:right w:val="single" w:color="auto" w:sz="6" w:space="0"/>
            </w:tcBorders>
            <w:noWrap w:val="0"/>
            <w:vAlign w:val="center"/>
          </w:tcPr>
          <w:p w14:paraId="33924C13">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回收回注</w:t>
            </w:r>
          </w:p>
        </w:tc>
        <w:tc>
          <w:tcPr>
            <w:tcW w:w="387" w:type="pct"/>
            <w:tcBorders>
              <w:top w:val="single" w:color="auto" w:sz="6" w:space="0"/>
              <w:left w:val="single" w:color="auto" w:sz="6" w:space="0"/>
              <w:bottom w:val="single" w:color="auto" w:sz="6" w:space="0"/>
              <w:right w:val="single" w:color="auto" w:sz="12" w:space="0"/>
            </w:tcBorders>
            <w:noWrap w:val="0"/>
            <w:vAlign w:val="center"/>
          </w:tcPr>
          <w:p w14:paraId="6A704A14">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r>
      <w:tr w14:paraId="1A743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 w:type="pct"/>
            <w:vMerge w:val="continue"/>
            <w:tcBorders>
              <w:top w:val="single" w:color="auto" w:sz="6" w:space="0"/>
              <w:left w:val="single" w:color="auto" w:sz="12" w:space="0"/>
              <w:bottom w:val="single" w:color="auto" w:sz="12" w:space="0"/>
              <w:right w:val="single" w:color="auto" w:sz="6" w:space="0"/>
            </w:tcBorders>
            <w:noWrap w:val="0"/>
            <w:vAlign w:val="center"/>
          </w:tcPr>
          <w:p w14:paraId="65A939CF">
            <w:pPr>
              <w:spacing w:line="280" w:lineRule="exact"/>
              <w:jc w:val="center"/>
              <w:rPr>
                <w:rFonts w:hint="default" w:ascii="Times New Roman" w:hAnsi="Times New Roman" w:cs="Times New Roman"/>
                <w:color w:val="auto"/>
                <w:sz w:val="21"/>
                <w:szCs w:val="21"/>
                <w:highlight w:val="none"/>
              </w:rPr>
            </w:pPr>
          </w:p>
        </w:tc>
        <w:tc>
          <w:tcPr>
            <w:tcW w:w="496" w:type="pct"/>
            <w:vMerge w:val="continue"/>
            <w:tcBorders>
              <w:top w:val="single" w:color="auto" w:sz="6" w:space="0"/>
              <w:left w:val="single" w:color="auto" w:sz="6" w:space="0"/>
              <w:bottom w:val="single" w:color="auto" w:sz="12" w:space="0"/>
              <w:right w:val="single" w:color="auto" w:sz="6" w:space="0"/>
            </w:tcBorders>
            <w:noWrap w:val="0"/>
            <w:vAlign w:val="center"/>
          </w:tcPr>
          <w:p w14:paraId="26E372E2">
            <w:pPr>
              <w:spacing w:line="280" w:lineRule="exact"/>
              <w:jc w:val="center"/>
              <w:rPr>
                <w:rFonts w:hint="default" w:ascii="Times New Roman" w:hAnsi="Times New Roman" w:cs="Times New Roman"/>
                <w:color w:val="auto"/>
                <w:sz w:val="21"/>
                <w:szCs w:val="21"/>
                <w:highlight w:val="none"/>
              </w:rPr>
            </w:pPr>
          </w:p>
        </w:tc>
        <w:tc>
          <w:tcPr>
            <w:tcW w:w="630" w:type="pct"/>
            <w:vMerge w:val="continue"/>
            <w:tcBorders>
              <w:top w:val="single" w:color="auto" w:sz="6" w:space="0"/>
              <w:left w:val="single" w:color="auto" w:sz="6" w:space="0"/>
              <w:bottom w:val="single" w:color="auto" w:sz="12" w:space="0"/>
              <w:right w:val="single" w:color="auto" w:sz="6" w:space="0"/>
            </w:tcBorders>
            <w:noWrap w:val="0"/>
            <w:vAlign w:val="center"/>
          </w:tcPr>
          <w:p w14:paraId="5B032AB6">
            <w:pPr>
              <w:spacing w:line="280" w:lineRule="exact"/>
              <w:jc w:val="center"/>
              <w:rPr>
                <w:rFonts w:hint="default" w:ascii="Times New Roman" w:hAnsi="Times New Roman" w:cs="Times New Roman"/>
                <w:color w:val="auto"/>
                <w:sz w:val="21"/>
                <w:szCs w:val="21"/>
                <w:highlight w:val="none"/>
              </w:rPr>
            </w:pPr>
          </w:p>
        </w:tc>
        <w:tc>
          <w:tcPr>
            <w:tcW w:w="373" w:type="pct"/>
            <w:vMerge w:val="continue"/>
            <w:tcBorders>
              <w:top w:val="single" w:color="auto" w:sz="6" w:space="0"/>
              <w:left w:val="single" w:color="auto" w:sz="6" w:space="0"/>
              <w:bottom w:val="single" w:color="auto" w:sz="12" w:space="0"/>
              <w:right w:val="single" w:color="auto" w:sz="6" w:space="0"/>
            </w:tcBorders>
            <w:noWrap w:val="0"/>
            <w:vAlign w:val="center"/>
          </w:tcPr>
          <w:p w14:paraId="674DE463">
            <w:pPr>
              <w:spacing w:line="280" w:lineRule="exact"/>
              <w:jc w:val="center"/>
              <w:rPr>
                <w:rFonts w:hint="default" w:ascii="Times New Roman" w:hAnsi="Times New Roman" w:cs="Times New Roman"/>
                <w:color w:val="auto"/>
                <w:sz w:val="21"/>
                <w:szCs w:val="21"/>
                <w:highlight w:val="none"/>
              </w:rPr>
            </w:pPr>
          </w:p>
        </w:tc>
        <w:tc>
          <w:tcPr>
            <w:tcW w:w="781" w:type="pct"/>
            <w:tcBorders>
              <w:top w:val="single" w:color="auto" w:sz="6" w:space="0"/>
              <w:left w:val="single" w:color="auto" w:sz="6" w:space="0"/>
              <w:bottom w:val="single" w:color="auto" w:sz="12" w:space="0"/>
              <w:right w:val="single" w:color="auto" w:sz="6" w:space="0"/>
            </w:tcBorders>
            <w:noWrap w:val="0"/>
            <w:vAlign w:val="center"/>
          </w:tcPr>
          <w:p w14:paraId="2996D1C1">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石油类</w:t>
            </w:r>
          </w:p>
        </w:tc>
        <w:tc>
          <w:tcPr>
            <w:tcW w:w="819" w:type="pct"/>
            <w:tcBorders>
              <w:top w:val="single" w:color="auto" w:sz="6" w:space="0"/>
              <w:left w:val="single" w:color="auto" w:sz="6" w:space="0"/>
              <w:bottom w:val="single" w:color="auto" w:sz="12" w:space="0"/>
              <w:right w:val="single" w:color="auto" w:sz="6" w:space="0"/>
            </w:tcBorders>
            <w:noWrap w:val="0"/>
            <w:vAlign w:val="center"/>
          </w:tcPr>
          <w:p w14:paraId="2966E28C">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克/井次-产品</w:t>
            </w:r>
          </w:p>
        </w:tc>
        <w:tc>
          <w:tcPr>
            <w:tcW w:w="603" w:type="pct"/>
            <w:tcBorders>
              <w:top w:val="single" w:color="auto" w:sz="6" w:space="0"/>
              <w:left w:val="single" w:color="auto" w:sz="6" w:space="0"/>
              <w:bottom w:val="single" w:color="auto" w:sz="12" w:space="0"/>
              <w:right w:val="single" w:color="auto" w:sz="6" w:space="0"/>
            </w:tcBorders>
            <w:noWrap w:val="0"/>
            <w:vAlign w:val="center"/>
          </w:tcPr>
          <w:p w14:paraId="368B0528">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6122</w:t>
            </w:r>
          </w:p>
        </w:tc>
        <w:tc>
          <w:tcPr>
            <w:tcW w:w="643" w:type="pct"/>
            <w:tcBorders>
              <w:top w:val="single" w:color="auto" w:sz="6" w:space="0"/>
              <w:left w:val="single" w:color="auto" w:sz="6" w:space="0"/>
              <w:bottom w:val="single" w:color="auto" w:sz="12" w:space="0"/>
              <w:right w:val="single" w:color="auto" w:sz="6" w:space="0"/>
            </w:tcBorders>
            <w:noWrap w:val="0"/>
            <w:vAlign w:val="center"/>
          </w:tcPr>
          <w:p w14:paraId="7E624FD1">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回收回注</w:t>
            </w:r>
          </w:p>
        </w:tc>
        <w:tc>
          <w:tcPr>
            <w:tcW w:w="387" w:type="pct"/>
            <w:tcBorders>
              <w:top w:val="single" w:color="auto" w:sz="6" w:space="0"/>
              <w:left w:val="single" w:color="auto" w:sz="6" w:space="0"/>
              <w:bottom w:val="single" w:color="auto" w:sz="12" w:space="0"/>
              <w:right w:val="single" w:color="auto" w:sz="12" w:space="0"/>
            </w:tcBorders>
            <w:noWrap w:val="0"/>
            <w:vAlign w:val="center"/>
          </w:tcPr>
          <w:p w14:paraId="0F58B3E0">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r>
    </w:tbl>
    <w:p w14:paraId="2AB66CE4">
      <w:pPr>
        <w:pStyle w:val="79"/>
        <w:bidi w:val="0"/>
        <w:rPr>
          <w:rFonts w:hint="eastAsia"/>
          <w:color w:val="auto"/>
          <w:lang w:val="en-US" w:eastAsia="zh-CN"/>
        </w:rPr>
      </w:pPr>
      <w:r>
        <w:rPr>
          <w:rFonts w:hint="eastAsia"/>
          <w:color w:val="auto"/>
          <w:lang w:eastAsia="zh-CN"/>
        </w:rPr>
        <w:t>本项目</w:t>
      </w:r>
      <w:r>
        <w:rPr>
          <w:rFonts w:hint="eastAsia"/>
          <w:color w:val="auto"/>
          <w:lang w:val="en-US" w:eastAsia="zh-CN"/>
        </w:rPr>
        <w:t>部署6口采油井，开采层位为喀拉玉尔衮构造带志留系、奥陶系，为凝析气层</w:t>
      </w:r>
      <w:r>
        <w:rPr>
          <w:rFonts w:hint="eastAsia"/>
          <w:color w:val="auto"/>
          <w:lang w:eastAsia="zh-CN"/>
        </w:rPr>
        <w:t>低渗透油藏，根据上表计算井下作业废水产生量为27.13t/井次，化学需氧量产生量为34679g/井次，石油类产生量为6122g/井次。按井下作业每2年1次计算，则单井每年产生井下作业废水13.57t、化学需氧量17340g、石油类3061g，则本</w:t>
      </w:r>
      <w:r>
        <w:rPr>
          <w:rFonts w:hint="eastAsia"/>
          <w:color w:val="auto"/>
          <w:lang w:val="en-US" w:eastAsia="zh-CN"/>
        </w:rPr>
        <w:t>项目6口井</w:t>
      </w:r>
      <w:r>
        <w:rPr>
          <w:rFonts w:hint="eastAsia"/>
          <w:color w:val="auto"/>
          <w:lang w:eastAsia="zh-CN"/>
        </w:rPr>
        <w:t>井下作业工程产生的井下作业废水量为</w:t>
      </w:r>
      <w:r>
        <w:rPr>
          <w:rFonts w:hint="eastAsia"/>
          <w:color w:val="auto"/>
          <w:lang w:val="en-US" w:eastAsia="zh-CN"/>
        </w:rPr>
        <w:t>81.39</w:t>
      </w:r>
      <w:r>
        <w:rPr>
          <w:rFonts w:hint="eastAsia"/>
          <w:color w:val="auto"/>
          <w:lang w:eastAsia="zh-CN"/>
        </w:rPr>
        <w:t>t/a，其中污染物化学需氧量、石油类为</w:t>
      </w:r>
      <w:r>
        <w:rPr>
          <w:rFonts w:hint="eastAsia"/>
          <w:color w:val="auto"/>
          <w:lang w:val="en-US" w:eastAsia="zh-CN"/>
        </w:rPr>
        <w:t>0.104</w:t>
      </w:r>
      <w:r>
        <w:rPr>
          <w:rFonts w:hint="eastAsia"/>
          <w:color w:val="auto"/>
          <w:lang w:eastAsia="zh-CN"/>
        </w:rPr>
        <w:t>t/a、0.</w:t>
      </w:r>
      <w:r>
        <w:rPr>
          <w:rFonts w:hint="eastAsia"/>
          <w:color w:val="auto"/>
          <w:lang w:val="en-US" w:eastAsia="zh-CN"/>
        </w:rPr>
        <w:t>018</w:t>
      </w:r>
      <w:r>
        <w:rPr>
          <w:rFonts w:hint="eastAsia"/>
          <w:color w:val="auto"/>
          <w:lang w:eastAsia="zh-CN"/>
        </w:rPr>
        <w:t>t/a。</w:t>
      </w:r>
      <w:bookmarkStart w:id="324" w:name="OLE_LINK398"/>
      <w:r>
        <w:rPr>
          <w:rFonts w:hint="eastAsia"/>
          <w:color w:val="auto"/>
          <w:lang w:eastAsia="zh-CN"/>
        </w:rPr>
        <w:t>井</w:t>
      </w:r>
      <w:bookmarkStart w:id="325" w:name="OLE_LINK397"/>
      <w:r>
        <w:rPr>
          <w:rFonts w:hint="eastAsia"/>
          <w:color w:val="auto"/>
          <w:lang w:eastAsia="zh-CN"/>
        </w:rPr>
        <w:t>下作业废水自带回收罐回收作业废水，拉运至英买力油田钻试修废弃物环保处理站处理</w:t>
      </w:r>
      <w:bookmarkEnd w:id="324"/>
      <w:bookmarkEnd w:id="325"/>
      <w:r>
        <w:rPr>
          <w:rFonts w:hint="eastAsia"/>
          <w:color w:val="auto"/>
          <w:lang w:eastAsia="zh-CN"/>
        </w:rPr>
        <w:t>。</w:t>
      </w:r>
    </w:p>
    <w:p w14:paraId="2954B912">
      <w:pPr>
        <w:pStyle w:val="55"/>
        <w:bidi w:val="0"/>
        <w:rPr>
          <w:rFonts w:hint="default"/>
          <w:color w:val="auto"/>
          <w:lang w:val="en-US" w:eastAsia="zh-CN"/>
        </w:rPr>
      </w:pPr>
      <w:bookmarkStart w:id="326" w:name="_Toc29885"/>
      <w:r>
        <w:rPr>
          <w:rFonts w:hint="default"/>
          <w:color w:val="auto"/>
          <w:lang w:val="en-US" w:eastAsia="zh-CN"/>
        </w:rPr>
        <w:t>3.</w:t>
      </w:r>
      <w:r>
        <w:rPr>
          <w:rFonts w:hint="eastAsia"/>
          <w:color w:val="auto"/>
          <w:lang w:val="en-US" w:eastAsia="zh-CN"/>
        </w:rPr>
        <w:t>3.3</w:t>
      </w:r>
      <w:r>
        <w:rPr>
          <w:rFonts w:hint="default"/>
          <w:color w:val="auto"/>
          <w:lang w:val="en-US" w:eastAsia="zh-CN"/>
        </w:rPr>
        <w:t>.2</w:t>
      </w:r>
      <w:r>
        <w:rPr>
          <w:rFonts w:hint="eastAsia"/>
          <w:color w:val="auto"/>
          <w:lang w:val="en-US" w:eastAsia="zh-CN"/>
        </w:rPr>
        <w:t xml:space="preserve"> </w:t>
      </w:r>
      <w:r>
        <w:rPr>
          <w:rFonts w:hint="default"/>
          <w:color w:val="auto"/>
          <w:lang w:val="en-US" w:eastAsia="zh-CN"/>
        </w:rPr>
        <w:t>废气污染源</w:t>
      </w:r>
      <w:bookmarkEnd w:id="326"/>
    </w:p>
    <w:p w14:paraId="593EBFA3">
      <w:pPr>
        <w:pStyle w:val="79"/>
        <w:bidi w:val="0"/>
        <w:rPr>
          <w:rFonts w:hint="default"/>
          <w:color w:val="auto"/>
        </w:rPr>
      </w:pPr>
      <w:bookmarkStart w:id="327" w:name="OLE_LINK51"/>
      <w:bookmarkStart w:id="328" w:name="OLE_LINK8"/>
      <w:bookmarkStart w:id="329" w:name="OLE_LINK370"/>
      <w:r>
        <w:rPr>
          <w:rFonts w:hint="default"/>
          <w:color w:val="auto"/>
        </w:rPr>
        <w:t>本工程运营期间，对大气环境影响主要为</w:t>
      </w:r>
      <w:r>
        <w:rPr>
          <w:rFonts w:hint="eastAsia"/>
          <w:color w:val="auto"/>
          <w:lang w:val="en-US" w:eastAsia="zh-CN"/>
        </w:rPr>
        <w:t>1</w:t>
      </w:r>
      <w:r>
        <w:rPr>
          <w:rFonts w:hint="default"/>
          <w:color w:val="auto"/>
        </w:rPr>
        <w:t>台200kW</w:t>
      </w:r>
      <w:r>
        <w:rPr>
          <w:rFonts w:hint="eastAsia"/>
          <w:color w:val="auto"/>
          <w:lang w:val="en-US" w:eastAsia="zh-CN"/>
        </w:rPr>
        <w:t>加热</w:t>
      </w:r>
      <w:r>
        <w:rPr>
          <w:rFonts w:hint="default"/>
          <w:color w:val="auto"/>
        </w:rPr>
        <w:t>炉</w:t>
      </w:r>
      <w:r>
        <w:rPr>
          <w:rFonts w:hint="eastAsia"/>
          <w:color w:val="auto"/>
          <w:lang w:val="en-US" w:eastAsia="zh-CN"/>
        </w:rPr>
        <w:t>燃烧废气</w:t>
      </w:r>
      <w:r>
        <w:rPr>
          <w:rFonts w:hint="default"/>
          <w:color w:val="auto"/>
        </w:rPr>
        <w:t>，油气集输</w:t>
      </w:r>
      <w:r>
        <w:rPr>
          <w:rFonts w:hint="eastAsia"/>
          <w:color w:val="auto"/>
          <w:lang w:val="en-US" w:eastAsia="zh-CN"/>
        </w:rPr>
        <w:t>、天然气放空火炬</w:t>
      </w:r>
      <w:r>
        <w:rPr>
          <w:rFonts w:hint="default"/>
          <w:color w:val="auto"/>
        </w:rPr>
        <w:t>中产生一定量的烃类</w:t>
      </w:r>
      <w:r>
        <w:rPr>
          <w:rFonts w:hint="eastAsia"/>
          <w:color w:val="auto"/>
          <w:lang w:val="en-US" w:eastAsia="zh-CN"/>
        </w:rPr>
        <w:t>、少量H</w:t>
      </w:r>
      <w:r>
        <w:rPr>
          <w:rFonts w:hint="eastAsia"/>
          <w:color w:val="auto"/>
          <w:vertAlign w:val="subscript"/>
          <w:lang w:val="en-US" w:eastAsia="zh-CN"/>
        </w:rPr>
        <w:t>2</w:t>
      </w:r>
      <w:r>
        <w:rPr>
          <w:rFonts w:hint="eastAsia"/>
          <w:color w:val="auto"/>
          <w:lang w:val="en-US" w:eastAsia="zh-CN"/>
        </w:rPr>
        <w:t>S排放</w:t>
      </w:r>
      <w:r>
        <w:rPr>
          <w:rFonts w:hint="default"/>
          <w:color w:val="auto"/>
        </w:rPr>
        <w:t>。</w:t>
      </w:r>
      <w:bookmarkEnd w:id="327"/>
    </w:p>
    <w:bookmarkEnd w:id="328"/>
    <w:p w14:paraId="2F153959">
      <w:pPr>
        <w:pStyle w:val="79"/>
        <w:bidi w:val="0"/>
        <w:rPr>
          <w:rFonts w:hint="default"/>
          <w:color w:val="auto"/>
          <w:lang w:val="en-US" w:eastAsia="zh-CN"/>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lang w:val="en-US" w:eastAsia="zh-CN"/>
        </w:rPr>
        <w:t>加热炉</w:t>
      </w:r>
      <w:bookmarkStart w:id="330" w:name="OLE_LINK86"/>
      <w:r>
        <w:rPr>
          <w:rFonts w:hint="eastAsia"/>
          <w:color w:val="auto"/>
          <w:lang w:val="en-US" w:eastAsia="zh-CN"/>
        </w:rPr>
        <w:t>燃烧废气</w:t>
      </w:r>
    </w:p>
    <w:bookmarkEnd w:id="330"/>
    <w:p w14:paraId="75AAA8B7">
      <w:pPr>
        <w:pStyle w:val="79"/>
        <w:bidi w:val="0"/>
        <w:rPr>
          <w:rFonts w:hint="default"/>
          <w:color w:val="auto"/>
          <w:lang w:val="en-US" w:eastAsia="zh-CN"/>
        </w:rPr>
      </w:pPr>
      <w:bookmarkStart w:id="331" w:name="OLE_LINK88"/>
      <w:bookmarkStart w:id="332" w:name="OLE_LINK82"/>
      <w:r>
        <w:rPr>
          <w:rFonts w:hint="eastAsia"/>
          <w:color w:val="auto"/>
          <w:lang w:val="en-US" w:eastAsia="zh-CN"/>
        </w:rPr>
        <w:t>本工程利用雄探1井井场现有1台</w:t>
      </w:r>
      <w:bookmarkStart w:id="333" w:name="OLE_LINK84"/>
      <w:r>
        <w:rPr>
          <w:rFonts w:hint="default"/>
          <w:color w:val="auto"/>
        </w:rPr>
        <w:t>200</w:t>
      </w:r>
      <w:r>
        <w:rPr>
          <w:rFonts w:hint="eastAsia"/>
          <w:color w:val="auto"/>
          <w:lang w:eastAsia="zh-CN"/>
        </w:rPr>
        <w:t>kW</w:t>
      </w:r>
      <w:r>
        <w:rPr>
          <w:rFonts w:hint="default"/>
          <w:color w:val="auto"/>
        </w:rPr>
        <w:t>抗硫</w:t>
      </w:r>
      <w:bookmarkEnd w:id="333"/>
      <w:r>
        <w:rPr>
          <w:rFonts w:hint="eastAsia"/>
          <w:color w:val="auto"/>
          <w:lang w:val="en-US" w:eastAsia="zh-CN"/>
        </w:rPr>
        <w:t>加热炉，作为雄探1试采点生产流程中的气液加热流程。</w:t>
      </w:r>
    </w:p>
    <w:p w14:paraId="1B316144">
      <w:pPr>
        <w:pStyle w:val="79"/>
        <w:bidi w:val="0"/>
        <w:rPr>
          <w:rFonts w:hint="default"/>
          <w:color w:val="auto"/>
        </w:rPr>
      </w:pPr>
      <w:r>
        <w:rPr>
          <w:rFonts w:hint="default"/>
          <w:color w:val="auto"/>
        </w:rPr>
        <w:t>燃料为</w:t>
      </w:r>
      <w:r>
        <w:rPr>
          <w:rFonts w:hint="default"/>
          <w:color w:val="auto"/>
          <w:lang w:val="en-US" w:eastAsia="zh-CN"/>
        </w:rPr>
        <w:t>处理后的</w:t>
      </w:r>
      <w:bookmarkStart w:id="334" w:name="OLE_LINK180"/>
      <w:r>
        <w:rPr>
          <w:rFonts w:hint="default"/>
          <w:color w:val="auto"/>
        </w:rPr>
        <w:t>返输</w:t>
      </w:r>
      <w:bookmarkEnd w:id="334"/>
      <w:bookmarkStart w:id="335" w:name="OLE_LINK181"/>
      <w:r>
        <w:rPr>
          <w:rFonts w:hint="default"/>
          <w:color w:val="auto"/>
        </w:rPr>
        <w:t>干气</w:t>
      </w:r>
      <w:bookmarkEnd w:id="335"/>
      <w:r>
        <w:rPr>
          <w:rFonts w:hint="default"/>
          <w:color w:val="auto"/>
        </w:rPr>
        <w:t>，</w:t>
      </w:r>
      <w:bookmarkStart w:id="336" w:name="OLE_LINK135"/>
      <w:r>
        <w:rPr>
          <w:rFonts w:hint="default"/>
          <w:color w:val="auto"/>
        </w:rPr>
        <w:t>烟囱高度为8m</w:t>
      </w:r>
      <w:bookmarkEnd w:id="336"/>
      <w:r>
        <w:rPr>
          <w:rFonts w:hint="default"/>
          <w:color w:val="auto"/>
        </w:rPr>
        <w:t>。根据现场调查，加热炉日最大用气量650m</w:t>
      </w:r>
      <w:r>
        <w:rPr>
          <w:rFonts w:hint="eastAsia"/>
          <w:color w:val="auto"/>
          <w:vertAlign w:val="superscript"/>
          <w:lang w:val="en-US" w:eastAsia="zh-CN"/>
        </w:rPr>
        <w:t>3</w:t>
      </w:r>
      <w:r>
        <w:rPr>
          <w:rFonts w:hint="default"/>
          <w:color w:val="auto"/>
        </w:rPr>
        <w:t>（9.75万m</w:t>
      </w:r>
      <w:r>
        <w:rPr>
          <w:rFonts w:hint="eastAsia"/>
          <w:color w:val="auto"/>
          <w:vertAlign w:val="superscript"/>
          <w:lang w:val="en-US" w:eastAsia="zh-CN"/>
        </w:rPr>
        <w:t>3</w:t>
      </w:r>
      <w:r>
        <w:rPr>
          <w:rFonts w:hint="default"/>
          <w:color w:val="auto"/>
        </w:rPr>
        <w:t>/a），年用气天数为150d（3600h）。根据《关于印发</w:t>
      </w:r>
      <w:r>
        <w:rPr>
          <w:rFonts w:hint="eastAsia"/>
          <w:color w:val="auto"/>
          <w:lang w:eastAsia="zh-CN"/>
        </w:rPr>
        <w:t>〈</w:t>
      </w:r>
      <w:r>
        <w:rPr>
          <w:rFonts w:hint="default"/>
          <w:color w:val="auto"/>
        </w:rPr>
        <w:t>建设项目主要污染物排放总量指标审核及管理暂行办法</w:t>
      </w:r>
      <w:r>
        <w:rPr>
          <w:rFonts w:hint="eastAsia"/>
          <w:color w:val="auto"/>
          <w:lang w:eastAsia="zh-CN"/>
        </w:rPr>
        <w:t>〉</w:t>
      </w:r>
      <w:r>
        <w:rPr>
          <w:rFonts w:hint="default"/>
          <w:color w:val="auto"/>
        </w:rPr>
        <w:t>的通知》</w:t>
      </w:r>
      <w:r>
        <w:rPr>
          <w:rFonts w:hint="eastAsia"/>
          <w:color w:val="auto"/>
          <w:lang w:eastAsia="zh-CN"/>
        </w:rPr>
        <w:t>（</w:t>
      </w:r>
      <w:r>
        <w:rPr>
          <w:rFonts w:hint="default"/>
          <w:color w:val="auto"/>
        </w:rPr>
        <w:t>环发</w:t>
      </w:r>
      <w:r>
        <w:rPr>
          <w:rFonts w:hint="default"/>
          <w:color w:val="auto"/>
          <w:lang w:eastAsia="zh-CN"/>
        </w:rPr>
        <w:t>〔</w:t>
      </w:r>
      <w:r>
        <w:rPr>
          <w:rFonts w:hint="default"/>
          <w:color w:val="auto"/>
          <w:lang w:val="en-US" w:eastAsia="zh-CN"/>
        </w:rPr>
        <w:t>2014</w:t>
      </w:r>
      <w:r>
        <w:rPr>
          <w:rFonts w:hint="default"/>
          <w:color w:val="auto"/>
          <w:lang w:eastAsia="zh-CN"/>
        </w:rPr>
        <w:t>〕</w:t>
      </w:r>
      <w:r>
        <w:rPr>
          <w:rFonts w:hint="default"/>
          <w:color w:val="auto"/>
        </w:rPr>
        <w:t>197号</w:t>
      </w:r>
      <w:r>
        <w:rPr>
          <w:rFonts w:hint="eastAsia"/>
          <w:color w:val="auto"/>
          <w:lang w:eastAsia="zh-CN"/>
        </w:rPr>
        <w:t>）</w:t>
      </w:r>
      <w:r>
        <w:rPr>
          <w:rFonts w:hint="default"/>
          <w:color w:val="auto"/>
        </w:rPr>
        <w:t>及《关于印发</w:t>
      </w:r>
      <w:r>
        <w:rPr>
          <w:rFonts w:hint="eastAsia"/>
          <w:color w:val="auto"/>
          <w:lang w:eastAsia="zh-CN"/>
        </w:rPr>
        <w:t>〈</w:t>
      </w:r>
      <w:bookmarkEnd w:id="331"/>
      <w:r>
        <w:rPr>
          <w:rFonts w:hint="default"/>
          <w:color w:val="auto"/>
        </w:rPr>
        <w:t>自治区建设项目主要污染物排放总量指标审核及管理暂行办法</w:t>
      </w:r>
      <w:r>
        <w:rPr>
          <w:rFonts w:hint="eastAsia"/>
          <w:color w:val="auto"/>
          <w:lang w:eastAsia="zh-CN"/>
        </w:rPr>
        <w:t>〉</w:t>
      </w:r>
      <w:r>
        <w:rPr>
          <w:rFonts w:hint="default"/>
          <w:color w:val="auto"/>
        </w:rPr>
        <w:t>的通知》</w:t>
      </w:r>
      <w:r>
        <w:rPr>
          <w:rFonts w:hint="eastAsia"/>
          <w:color w:val="auto"/>
          <w:lang w:eastAsia="zh-CN"/>
        </w:rPr>
        <w:t>（</w:t>
      </w:r>
      <w:r>
        <w:rPr>
          <w:rFonts w:hint="default"/>
          <w:color w:val="auto"/>
        </w:rPr>
        <w:t>新环发</w:t>
      </w:r>
      <w:r>
        <w:rPr>
          <w:rFonts w:hint="default"/>
          <w:color w:val="auto"/>
          <w:lang w:eastAsia="zh-CN"/>
        </w:rPr>
        <w:t>〔</w:t>
      </w:r>
      <w:r>
        <w:rPr>
          <w:rFonts w:hint="default"/>
          <w:color w:val="auto"/>
        </w:rPr>
        <w:t>2016</w:t>
      </w:r>
      <w:r>
        <w:rPr>
          <w:rFonts w:hint="default"/>
          <w:color w:val="auto"/>
          <w:lang w:eastAsia="zh-CN"/>
        </w:rPr>
        <w:t>〕</w:t>
      </w:r>
      <w:r>
        <w:rPr>
          <w:rFonts w:hint="default"/>
          <w:color w:val="auto"/>
        </w:rPr>
        <w:t>126号</w:t>
      </w:r>
      <w:r>
        <w:rPr>
          <w:rFonts w:hint="eastAsia"/>
          <w:color w:val="auto"/>
          <w:lang w:eastAsia="zh-CN"/>
        </w:rPr>
        <w:t>）</w:t>
      </w:r>
      <w:r>
        <w:rPr>
          <w:rFonts w:hint="default"/>
          <w:color w:val="auto"/>
        </w:rPr>
        <w:t>要求，工业废气量、二氧化硫、氮氧化物根据《排放源统计调查产排污核算方法和系数手册》（生态环境部公告2021年第24号）中4430锅炉产排污量核算系数计算</w:t>
      </w:r>
      <w:bookmarkStart w:id="337" w:name="OLE_LINK87"/>
      <w:r>
        <w:rPr>
          <w:rFonts w:hint="default"/>
          <w:color w:val="auto"/>
          <w:lang w:eastAsia="zh-CN"/>
        </w:rPr>
        <w:t>，</w:t>
      </w:r>
      <w:r>
        <w:rPr>
          <w:rFonts w:hint="default"/>
          <w:color w:val="auto"/>
        </w:rPr>
        <w:t>见表3.3-</w:t>
      </w:r>
      <w:bookmarkEnd w:id="337"/>
      <w:r>
        <w:rPr>
          <w:rFonts w:hint="default"/>
          <w:color w:val="auto"/>
          <w:lang w:val="en-US" w:eastAsia="zh-CN"/>
        </w:rPr>
        <w:t>7</w:t>
      </w:r>
      <w:r>
        <w:rPr>
          <w:rFonts w:hint="default"/>
          <w:color w:val="auto"/>
        </w:rPr>
        <w:t>。</w:t>
      </w:r>
    </w:p>
    <w:bookmarkEnd w:id="332"/>
    <w:p w14:paraId="16694824">
      <w:pPr>
        <w:pStyle w:val="61"/>
        <w:bidi w:val="0"/>
        <w:jc w:val="both"/>
        <w:rPr>
          <w:color w:val="auto"/>
        </w:rPr>
      </w:pPr>
      <w:r>
        <w:rPr>
          <w:color w:val="auto"/>
        </w:rPr>
        <w:t>表</w:t>
      </w:r>
      <w:r>
        <w:rPr>
          <w:rFonts w:hint="eastAsia"/>
          <w:color w:val="auto"/>
        </w:rPr>
        <w:t>3.</w:t>
      </w:r>
      <w:r>
        <w:rPr>
          <w:rFonts w:hint="eastAsia"/>
          <w:color w:val="auto"/>
          <w:lang w:val="en-US" w:eastAsia="zh-CN"/>
        </w:rPr>
        <w:t>3</w:t>
      </w:r>
      <w:r>
        <w:rPr>
          <w:rFonts w:hint="eastAsia"/>
          <w:color w:val="auto"/>
        </w:rPr>
        <w:t>-</w:t>
      </w:r>
      <w:r>
        <w:rPr>
          <w:rFonts w:hint="eastAsia"/>
          <w:color w:val="auto"/>
          <w:lang w:val="en-US" w:eastAsia="zh-CN"/>
        </w:rPr>
        <w:t xml:space="preserve">7   </w:t>
      </w:r>
      <w:r>
        <w:rPr>
          <w:rFonts w:hint="eastAsia"/>
          <w:color w:val="auto"/>
        </w:rPr>
        <w:t>燃气工业锅炉的废气</w:t>
      </w:r>
      <w:r>
        <w:rPr>
          <w:color w:val="auto"/>
        </w:rPr>
        <w:t>产排污系数表</w:t>
      </w:r>
    </w:p>
    <w:tbl>
      <w:tblPr>
        <w:tblStyle w:val="36"/>
        <w:tblW w:w="4996"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75"/>
        <w:gridCol w:w="702"/>
        <w:gridCol w:w="698"/>
        <w:gridCol w:w="721"/>
        <w:gridCol w:w="995"/>
        <w:gridCol w:w="1411"/>
        <w:gridCol w:w="901"/>
        <w:gridCol w:w="1170"/>
        <w:gridCol w:w="1154"/>
      </w:tblGrid>
      <w:tr w14:paraId="764E8A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trPr>
        <w:tc>
          <w:tcPr>
            <w:tcW w:w="608" w:type="pct"/>
            <w:tcBorders>
              <w:tl2br w:val="nil"/>
              <w:tr2bl w:val="nil"/>
            </w:tcBorders>
            <w:noWrap w:val="0"/>
            <w:vAlign w:val="center"/>
          </w:tcPr>
          <w:p w14:paraId="49C319D4">
            <w:pPr>
              <w:pStyle w:val="65"/>
              <w:ind w:firstLine="0"/>
              <w:rPr>
                <w:color w:val="auto"/>
                <w:sz w:val="21"/>
              </w:rPr>
            </w:pPr>
            <w:r>
              <w:rPr>
                <w:rFonts w:hint="eastAsia"/>
                <w:color w:val="auto"/>
                <w:sz w:val="21"/>
              </w:rPr>
              <w:t>产品名称</w:t>
            </w:r>
          </w:p>
        </w:tc>
        <w:tc>
          <w:tcPr>
            <w:tcW w:w="397" w:type="pct"/>
            <w:tcBorders>
              <w:tl2br w:val="nil"/>
              <w:tr2bl w:val="nil"/>
            </w:tcBorders>
            <w:noWrap w:val="0"/>
            <w:vAlign w:val="center"/>
          </w:tcPr>
          <w:p w14:paraId="71C7B56E">
            <w:pPr>
              <w:pStyle w:val="65"/>
              <w:ind w:firstLine="0"/>
              <w:rPr>
                <w:color w:val="auto"/>
                <w:sz w:val="21"/>
              </w:rPr>
            </w:pPr>
            <w:r>
              <w:rPr>
                <w:rFonts w:hint="eastAsia"/>
                <w:color w:val="auto"/>
                <w:sz w:val="21"/>
              </w:rPr>
              <w:t>原料名称</w:t>
            </w:r>
          </w:p>
        </w:tc>
        <w:tc>
          <w:tcPr>
            <w:tcW w:w="395" w:type="pct"/>
            <w:tcBorders>
              <w:tl2br w:val="nil"/>
              <w:tr2bl w:val="nil"/>
            </w:tcBorders>
            <w:noWrap w:val="0"/>
            <w:vAlign w:val="center"/>
          </w:tcPr>
          <w:p w14:paraId="7831077D">
            <w:pPr>
              <w:pStyle w:val="65"/>
              <w:ind w:firstLine="0"/>
              <w:rPr>
                <w:color w:val="auto"/>
                <w:sz w:val="21"/>
              </w:rPr>
            </w:pPr>
            <w:r>
              <w:rPr>
                <w:rFonts w:hint="eastAsia"/>
                <w:color w:val="auto"/>
                <w:sz w:val="21"/>
              </w:rPr>
              <w:t>工艺名称</w:t>
            </w:r>
          </w:p>
        </w:tc>
        <w:tc>
          <w:tcPr>
            <w:tcW w:w="408" w:type="pct"/>
            <w:tcBorders>
              <w:tl2br w:val="nil"/>
              <w:tr2bl w:val="nil"/>
            </w:tcBorders>
            <w:noWrap w:val="0"/>
            <w:vAlign w:val="center"/>
          </w:tcPr>
          <w:p w14:paraId="09F967EE">
            <w:pPr>
              <w:pStyle w:val="65"/>
              <w:ind w:firstLine="0"/>
              <w:rPr>
                <w:color w:val="auto"/>
                <w:sz w:val="21"/>
              </w:rPr>
            </w:pPr>
            <w:r>
              <w:rPr>
                <w:rFonts w:hint="eastAsia"/>
                <w:color w:val="auto"/>
                <w:sz w:val="21"/>
              </w:rPr>
              <w:t>规模等级</w:t>
            </w:r>
          </w:p>
        </w:tc>
        <w:tc>
          <w:tcPr>
            <w:tcW w:w="563" w:type="pct"/>
            <w:tcBorders>
              <w:tl2br w:val="nil"/>
              <w:tr2bl w:val="nil"/>
            </w:tcBorders>
            <w:noWrap w:val="0"/>
            <w:vAlign w:val="center"/>
          </w:tcPr>
          <w:p w14:paraId="0959FE6B">
            <w:pPr>
              <w:pStyle w:val="65"/>
              <w:ind w:firstLine="0"/>
              <w:rPr>
                <w:color w:val="auto"/>
                <w:sz w:val="21"/>
              </w:rPr>
            </w:pPr>
            <w:r>
              <w:rPr>
                <w:rFonts w:hint="eastAsia"/>
                <w:color w:val="auto"/>
                <w:sz w:val="21"/>
              </w:rPr>
              <w:t>污染物指标</w:t>
            </w:r>
          </w:p>
        </w:tc>
        <w:tc>
          <w:tcPr>
            <w:tcW w:w="798" w:type="pct"/>
            <w:tcBorders>
              <w:tl2br w:val="nil"/>
              <w:tr2bl w:val="nil"/>
            </w:tcBorders>
            <w:noWrap w:val="0"/>
            <w:vAlign w:val="center"/>
          </w:tcPr>
          <w:p w14:paraId="43F47267">
            <w:pPr>
              <w:pStyle w:val="65"/>
              <w:ind w:firstLine="0"/>
              <w:rPr>
                <w:color w:val="auto"/>
                <w:sz w:val="21"/>
              </w:rPr>
            </w:pPr>
            <w:r>
              <w:rPr>
                <w:rFonts w:hint="eastAsia"/>
                <w:color w:val="auto"/>
                <w:sz w:val="21"/>
              </w:rPr>
              <w:t>单位</w:t>
            </w:r>
          </w:p>
        </w:tc>
        <w:tc>
          <w:tcPr>
            <w:tcW w:w="510" w:type="pct"/>
            <w:tcBorders>
              <w:tl2br w:val="nil"/>
              <w:tr2bl w:val="nil"/>
            </w:tcBorders>
            <w:noWrap w:val="0"/>
            <w:vAlign w:val="center"/>
          </w:tcPr>
          <w:p w14:paraId="37FC5817">
            <w:pPr>
              <w:pStyle w:val="65"/>
              <w:ind w:firstLine="0"/>
              <w:rPr>
                <w:color w:val="auto"/>
                <w:sz w:val="21"/>
              </w:rPr>
            </w:pPr>
            <w:r>
              <w:rPr>
                <w:rFonts w:hint="eastAsia"/>
                <w:color w:val="auto"/>
                <w:sz w:val="21"/>
              </w:rPr>
              <w:t>产污系数</w:t>
            </w:r>
          </w:p>
        </w:tc>
        <w:tc>
          <w:tcPr>
            <w:tcW w:w="662" w:type="pct"/>
            <w:tcBorders>
              <w:tl2br w:val="nil"/>
              <w:tr2bl w:val="nil"/>
            </w:tcBorders>
            <w:noWrap w:val="0"/>
            <w:vAlign w:val="center"/>
          </w:tcPr>
          <w:p w14:paraId="79A948A5">
            <w:pPr>
              <w:pStyle w:val="65"/>
              <w:ind w:firstLine="0"/>
              <w:rPr>
                <w:color w:val="auto"/>
                <w:sz w:val="21"/>
              </w:rPr>
            </w:pPr>
            <w:r>
              <w:rPr>
                <w:rFonts w:hint="eastAsia"/>
                <w:color w:val="auto"/>
                <w:sz w:val="21"/>
              </w:rPr>
              <w:t>末端治理技术名称</w:t>
            </w:r>
          </w:p>
        </w:tc>
        <w:tc>
          <w:tcPr>
            <w:tcW w:w="653" w:type="pct"/>
            <w:tcBorders>
              <w:tl2br w:val="nil"/>
              <w:tr2bl w:val="nil"/>
            </w:tcBorders>
            <w:noWrap w:val="0"/>
            <w:vAlign w:val="center"/>
          </w:tcPr>
          <w:p w14:paraId="6A9C6415">
            <w:pPr>
              <w:pStyle w:val="65"/>
              <w:ind w:firstLine="0"/>
              <w:rPr>
                <w:color w:val="auto"/>
                <w:sz w:val="21"/>
              </w:rPr>
            </w:pPr>
            <w:r>
              <w:rPr>
                <w:rFonts w:hint="eastAsia"/>
                <w:color w:val="auto"/>
                <w:sz w:val="21"/>
              </w:rPr>
              <w:t>排污系数</w:t>
            </w:r>
          </w:p>
        </w:tc>
      </w:tr>
      <w:tr w14:paraId="422B9C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trPr>
        <w:tc>
          <w:tcPr>
            <w:tcW w:w="608" w:type="pct"/>
            <w:vMerge w:val="restart"/>
            <w:tcBorders>
              <w:tl2br w:val="nil"/>
              <w:tr2bl w:val="nil"/>
            </w:tcBorders>
            <w:noWrap w:val="0"/>
            <w:vAlign w:val="center"/>
          </w:tcPr>
          <w:p w14:paraId="0CB3D78D">
            <w:pPr>
              <w:pStyle w:val="65"/>
              <w:ind w:firstLine="0"/>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蒸汽/热水/其它</w:t>
            </w:r>
          </w:p>
        </w:tc>
        <w:tc>
          <w:tcPr>
            <w:tcW w:w="397" w:type="pct"/>
            <w:vMerge w:val="restart"/>
            <w:tcBorders>
              <w:tl2br w:val="nil"/>
              <w:tr2bl w:val="nil"/>
            </w:tcBorders>
            <w:noWrap w:val="0"/>
            <w:vAlign w:val="center"/>
          </w:tcPr>
          <w:p w14:paraId="7416C61C">
            <w:pPr>
              <w:pStyle w:val="65"/>
              <w:ind w:firstLine="0"/>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天然气</w:t>
            </w:r>
          </w:p>
        </w:tc>
        <w:tc>
          <w:tcPr>
            <w:tcW w:w="395" w:type="pct"/>
            <w:vMerge w:val="restart"/>
            <w:tcBorders>
              <w:tl2br w:val="nil"/>
              <w:tr2bl w:val="nil"/>
            </w:tcBorders>
            <w:noWrap w:val="0"/>
            <w:vAlign w:val="center"/>
          </w:tcPr>
          <w:p w14:paraId="42BC79D0">
            <w:pPr>
              <w:pStyle w:val="65"/>
              <w:ind w:firstLine="0"/>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室燃炉</w:t>
            </w:r>
          </w:p>
        </w:tc>
        <w:tc>
          <w:tcPr>
            <w:tcW w:w="408" w:type="pct"/>
            <w:vMerge w:val="restart"/>
            <w:tcBorders>
              <w:tl2br w:val="nil"/>
              <w:tr2bl w:val="nil"/>
            </w:tcBorders>
            <w:noWrap w:val="0"/>
            <w:vAlign w:val="center"/>
          </w:tcPr>
          <w:p w14:paraId="688795D1">
            <w:pPr>
              <w:pStyle w:val="65"/>
              <w:ind w:firstLine="0"/>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所有规模</w:t>
            </w:r>
          </w:p>
        </w:tc>
        <w:tc>
          <w:tcPr>
            <w:tcW w:w="563" w:type="pct"/>
            <w:tcBorders>
              <w:tl2br w:val="nil"/>
              <w:tr2bl w:val="nil"/>
            </w:tcBorders>
            <w:noWrap w:val="0"/>
            <w:vAlign w:val="center"/>
          </w:tcPr>
          <w:p w14:paraId="5B10A42C">
            <w:pPr>
              <w:pStyle w:val="65"/>
              <w:ind w:firstLine="0"/>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工业废气量</w:t>
            </w:r>
          </w:p>
        </w:tc>
        <w:tc>
          <w:tcPr>
            <w:tcW w:w="798" w:type="pct"/>
            <w:tcBorders>
              <w:tl2br w:val="nil"/>
              <w:tr2bl w:val="nil"/>
            </w:tcBorders>
            <w:noWrap w:val="0"/>
            <w:vAlign w:val="center"/>
          </w:tcPr>
          <w:p w14:paraId="2FC944CA">
            <w:pPr>
              <w:pStyle w:val="65"/>
              <w:ind w:firstLine="0"/>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标立方米/万立方米</w:t>
            </w:r>
            <w:r>
              <w:rPr>
                <w:rFonts w:hint="eastAsia" w:cs="Times New Roman"/>
                <w:color w:val="auto"/>
                <w:sz w:val="21"/>
                <w:lang w:eastAsia="zh-CN"/>
              </w:rPr>
              <w:t>－</w:t>
            </w:r>
            <w:r>
              <w:rPr>
                <w:rFonts w:hint="eastAsia" w:ascii="Times New Roman" w:hAnsi="Times New Roman" w:eastAsia="宋体" w:cs="Times New Roman"/>
                <w:color w:val="auto"/>
                <w:sz w:val="21"/>
              </w:rPr>
              <w:t>原料</w:t>
            </w:r>
          </w:p>
        </w:tc>
        <w:tc>
          <w:tcPr>
            <w:tcW w:w="510" w:type="pct"/>
            <w:tcBorders>
              <w:tl2br w:val="nil"/>
              <w:tr2bl w:val="nil"/>
            </w:tcBorders>
            <w:noWrap w:val="0"/>
            <w:vAlign w:val="center"/>
          </w:tcPr>
          <w:p w14:paraId="1DE95E59">
            <w:pPr>
              <w:pStyle w:val="65"/>
              <w:ind w:firstLine="0"/>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107753</w:t>
            </w:r>
          </w:p>
        </w:tc>
        <w:tc>
          <w:tcPr>
            <w:tcW w:w="662" w:type="pct"/>
            <w:tcBorders>
              <w:tl2br w:val="nil"/>
              <w:tr2bl w:val="nil"/>
            </w:tcBorders>
            <w:noWrap w:val="0"/>
            <w:vAlign w:val="center"/>
          </w:tcPr>
          <w:p w14:paraId="4F648570">
            <w:pPr>
              <w:pStyle w:val="65"/>
              <w:ind w:firstLine="0"/>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直排</w:t>
            </w:r>
          </w:p>
        </w:tc>
        <w:tc>
          <w:tcPr>
            <w:tcW w:w="653" w:type="pct"/>
            <w:tcBorders>
              <w:tl2br w:val="nil"/>
              <w:tr2bl w:val="nil"/>
            </w:tcBorders>
            <w:noWrap w:val="0"/>
            <w:vAlign w:val="center"/>
          </w:tcPr>
          <w:p w14:paraId="36BCE609">
            <w:pPr>
              <w:pStyle w:val="65"/>
              <w:ind w:firstLine="0"/>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107753</w:t>
            </w:r>
          </w:p>
        </w:tc>
      </w:tr>
      <w:tr w14:paraId="136571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trPr>
        <w:tc>
          <w:tcPr>
            <w:tcW w:w="608" w:type="pct"/>
            <w:vMerge w:val="continue"/>
            <w:tcBorders>
              <w:tl2br w:val="nil"/>
              <w:tr2bl w:val="nil"/>
            </w:tcBorders>
            <w:noWrap w:val="0"/>
            <w:vAlign w:val="center"/>
          </w:tcPr>
          <w:p w14:paraId="27E679D0">
            <w:pPr>
              <w:pStyle w:val="65"/>
              <w:ind w:firstLine="0"/>
              <w:rPr>
                <w:rFonts w:hint="eastAsia" w:ascii="Times New Roman" w:hAnsi="Times New Roman" w:eastAsia="宋体" w:cs="Times New Roman"/>
                <w:color w:val="auto"/>
                <w:sz w:val="21"/>
              </w:rPr>
            </w:pPr>
          </w:p>
        </w:tc>
        <w:tc>
          <w:tcPr>
            <w:tcW w:w="397" w:type="pct"/>
            <w:vMerge w:val="continue"/>
            <w:tcBorders>
              <w:tl2br w:val="nil"/>
              <w:tr2bl w:val="nil"/>
            </w:tcBorders>
            <w:noWrap w:val="0"/>
            <w:vAlign w:val="center"/>
          </w:tcPr>
          <w:p w14:paraId="1B12DB69">
            <w:pPr>
              <w:pStyle w:val="65"/>
              <w:ind w:firstLine="0"/>
              <w:rPr>
                <w:rFonts w:hint="eastAsia" w:ascii="Times New Roman" w:hAnsi="Times New Roman" w:eastAsia="宋体" w:cs="Times New Roman"/>
                <w:color w:val="auto"/>
                <w:sz w:val="21"/>
              </w:rPr>
            </w:pPr>
          </w:p>
        </w:tc>
        <w:tc>
          <w:tcPr>
            <w:tcW w:w="395" w:type="pct"/>
            <w:vMerge w:val="continue"/>
            <w:tcBorders>
              <w:tl2br w:val="nil"/>
              <w:tr2bl w:val="nil"/>
            </w:tcBorders>
            <w:noWrap w:val="0"/>
            <w:vAlign w:val="center"/>
          </w:tcPr>
          <w:p w14:paraId="494CEF86">
            <w:pPr>
              <w:pStyle w:val="65"/>
              <w:ind w:firstLine="0"/>
              <w:rPr>
                <w:rFonts w:hint="eastAsia" w:ascii="Times New Roman" w:hAnsi="Times New Roman" w:eastAsia="宋体" w:cs="Times New Roman"/>
                <w:color w:val="auto"/>
                <w:sz w:val="21"/>
              </w:rPr>
            </w:pPr>
          </w:p>
        </w:tc>
        <w:tc>
          <w:tcPr>
            <w:tcW w:w="408" w:type="pct"/>
            <w:vMerge w:val="continue"/>
            <w:tcBorders>
              <w:tl2br w:val="nil"/>
              <w:tr2bl w:val="nil"/>
            </w:tcBorders>
            <w:noWrap w:val="0"/>
            <w:vAlign w:val="center"/>
          </w:tcPr>
          <w:p w14:paraId="076538EA">
            <w:pPr>
              <w:pStyle w:val="65"/>
              <w:ind w:firstLine="0"/>
              <w:rPr>
                <w:rFonts w:hint="eastAsia" w:ascii="Times New Roman" w:hAnsi="Times New Roman" w:eastAsia="宋体" w:cs="Times New Roman"/>
                <w:color w:val="auto"/>
                <w:sz w:val="21"/>
              </w:rPr>
            </w:pPr>
          </w:p>
        </w:tc>
        <w:tc>
          <w:tcPr>
            <w:tcW w:w="563" w:type="pct"/>
            <w:tcBorders>
              <w:tl2br w:val="nil"/>
              <w:tr2bl w:val="nil"/>
            </w:tcBorders>
            <w:noWrap w:val="0"/>
            <w:vAlign w:val="center"/>
          </w:tcPr>
          <w:p w14:paraId="606A57FD">
            <w:pPr>
              <w:pStyle w:val="65"/>
              <w:ind w:firstLine="0"/>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二氧化硫</w:t>
            </w:r>
          </w:p>
        </w:tc>
        <w:tc>
          <w:tcPr>
            <w:tcW w:w="798" w:type="pct"/>
            <w:tcBorders>
              <w:tl2br w:val="nil"/>
              <w:tr2bl w:val="nil"/>
            </w:tcBorders>
            <w:noWrap w:val="0"/>
            <w:vAlign w:val="center"/>
          </w:tcPr>
          <w:p w14:paraId="1097A612">
            <w:pPr>
              <w:pStyle w:val="65"/>
              <w:ind w:firstLine="0"/>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千克/万立方米</w:t>
            </w:r>
            <w:r>
              <w:rPr>
                <w:rFonts w:hint="eastAsia" w:cs="Times New Roman"/>
                <w:color w:val="auto"/>
                <w:sz w:val="21"/>
                <w:lang w:eastAsia="zh-CN"/>
              </w:rPr>
              <w:t>－</w:t>
            </w:r>
            <w:r>
              <w:rPr>
                <w:rFonts w:hint="eastAsia" w:ascii="Times New Roman" w:hAnsi="Times New Roman" w:eastAsia="宋体" w:cs="Times New Roman"/>
                <w:color w:val="auto"/>
                <w:sz w:val="21"/>
              </w:rPr>
              <w:t>原料</w:t>
            </w:r>
          </w:p>
        </w:tc>
        <w:tc>
          <w:tcPr>
            <w:tcW w:w="510" w:type="pct"/>
            <w:tcBorders>
              <w:tl2br w:val="nil"/>
              <w:tr2bl w:val="nil"/>
            </w:tcBorders>
            <w:noWrap w:val="0"/>
            <w:vAlign w:val="center"/>
          </w:tcPr>
          <w:p w14:paraId="655B04EF">
            <w:pPr>
              <w:pStyle w:val="65"/>
              <w:ind w:firstLine="0"/>
              <w:rPr>
                <w:rFonts w:hint="eastAsia" w:ascii="Times New Roman" w:hAnsi="Times New Roman" w:eastAsia="宋体" w:cs="Times New Roman"/>
                <w:color w:val="auto"/>
                <w:sz w:val="21"/>
                <w:lang w:eastAsia="zh-CN"/>
              </w:rPr>
            </w:pPr>
            <w:r>
              <w:rPr>
                <w:rFonts w:hint="eastAsia" w:ascii="Times New Roman" w:hAnsi="Times New Roman" w:eastAsia="宋体" w:cs="Times New Roman"/>
                <w:color w:val="auto"/>
                <w:sz w:val="21"/>
              </w:rPr>
              <w:t>0.02S</w:t>
            </w:r>
          </w:p>
        </w:tc>
        <w:tc>
          <w:tcPr>
            <w:tcW w:w="662" w:type="pct"/>
            <w:tcBorders>
              <w:tl2br w:val="nil"/>
              <w:tr2bl w:val="nil"/>
            </w:tcBorders>
            <w:noWrap w:val="0"/>
            <w:vAlign w:val="center"/>
          </w:tcPr>
          <w:p w14:paraId="772F86A2">
            <w:pPr>
              <w:pStyle w:val="65"/>
              <w:ind w:firstLine="0"/>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直排</w:t>
            </w:r>
          </w:p>
        </w:tc>
        <w:tc>
          <w:tcPr>
            <w:tcW w:w="653" w:type="pct"/>
            <w:tcBorders>
              <w:tl2br w:val="nil"/>
              <w:tr2bl w:val="nil"/>
            </w:tcBorders>
            <w:noWrap w:val="0"/>
            <w:vAlign w:val="center"/>
          </w:tcPr>
          <w:p w14:paraId="3321F088">
            <w:pPr>
              <w:pStyle w:val="65"/>
              <w:ind w:left="-31" w:leftChars="-15" w:right="-31" w:rightChars="-15" w:firstLine="0" w:firstLineChars="0"/>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0.02S</w:t>
            </w:r>
            <w:r>
              <w:rPr>
                <w:rFonts w:hint="eastAsia" w:ascii="Times New Roman" w:hAnsi="Times New Roman" w:eastAsia="宋体" w:cs="Times New Roman"/>
                <w:color w:val="auto"/>
                <w:sz w:val="21"/>
                <w:vertAlign w:val="superscript"/>
              </w:rPr>
              <w:t>4</w:t>
            </w:r>
          </w:p>
        </w:tc>
      </w:tr>
      <w:tr w14:paraId="43633A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trPr>
        <w:tc>
          <w:tcPr>
            <w:tcW w:w="608" w:type="pct"/>
            <w:vMerge w:val="continue"/>
            <w:tcBorders>
              <w:tl2br w:val="nil"/>
              <w:tr2bl w:val="nil"/>
            </w:tcBorders>
            <w:noWrap w:val="0"/>
            <w:vAlign w:val="center"/>
          </w:tcPr>
          <w:p w14:paraId="0711034B">
            <w:pPr>
              <w:pStyle w:val="65"/>
              <w:ind w:firstLine="0"/>
              <w:rPr>
                <w:rFonts w:hint="eastAsia" w:ascii="Times New Roman" w:hAnsi="Times New Roman" w:eastAsia="宋体" w:cs="Times New Roman"/>
                <w:color w:val="auto"/>
                <w:sz w:val="21"/>
              </w:rPr>
            </w:pPr>
          </w:p>
        </w:tc>
        <w:tc>
          <w:tcPr>
            <w:tcW w:w="397" w:type="pct"/>
            <w:vMerge w:val="continue"/>
            <w:tcBorders>
              <w:tl2br w:val="nil"/>
              <w:tr2bl w:val="nil"/>
            </w:tcBorders>
            <w:noWrap w:val="0"/>
            <w:vAlign w:val="center"/>
          </w:tcPr>
          <w:p w14:paraId="69F821CB">
            <w:pPr>
              <w:pStyle w:val="65"/>
              <w:ind w:firstLine="0"/>
              <w:rPr>
                <w:rFonts w:hint="eastAsia" w:ascii="Times New Roman" w:hAnsi="Times New Roman" w:eastAsia="宋体" w:cs="Times New Roman"/>
                <w:color w:val="auto"/>
                <w:sz w:val="21"/>
              </w:rPr>
            </w:pPr>
          </w:p>
        </w:tc>
        <w:tc>
          <w:tcPr>
            <w:tcW w:w="395" w:type="pct"/>
            <w:vMerge w:val="continue"/>
            <w:tcBorders>
              <w:tl2br w:val="nil"/>
              <w:tr2bl w:val="nil"/>
            </w:tcBorders>
            <w:noWrap w:val="0"/>
            <w:vAlign w:val="center"/>
          </w:tcPr>
          <w:p w14:paraId="4ACF606B">
            <w:pPr>
              <w:pStyle w:val="65"/>
              <w:ind w:firstLine="0"/>
              <w:rPr>
                <w:rFonts w:hint="eastAsia" w:ascii="Times New Roman" w:hAnsi="Times New Roman" w:eastAsia="宋体" w:cs="Times New Roman"/>
                <w:color w:val="auto"/>
                <w:sz w:val="21"/>
              </w:rPr>
            </w:pPr>
          </w:p>
        </w:tc>
        <w:tc>
          <w:tcPr>
            <w:tcW w:w="408" w:type="pct"/>
            <w:vMerge w:val="continue"/>
            <w:tcBorders>
              <w:tl2br w:val="nil"/>
              <w:tr2bl w:val="nil"/>
            </w:tcBorders>
            <w:noWrap w:val="0"/>
            <w:vAlign w:val="center"/>
          </w:tcPr>
          <w:p w14:paraId="69CFB74E">
            <w:pPr>
              <w:pStyle w:val="65"/>
              <w:ind w:firstLine="0"/>
              <w:rPr>
                <w:rFonts w:hint="eastAsia" w:ascii="Times New Roman" w:hAnsi="Times New Roman" w:eastAsia="宋体" w:cs="Times New Roman"/>
                <w:color w:val="auto"/>
                <w:sz w:val="21"/>
              </w:rPr>
            </w:pPr>
          </w:p>
        </w:tc>
        <w:tc>
          <w:tcPr>
            <w:tcW w:w="563" w:type="pct"/>
            <w:tcBorders>
              <w:tl2br w:val="nil"/>
              <w:tr2bl w:val="nil"/>
            </w:tcBorders>
            <w:noWrap w:val="0"/>
            <w:vAlign w:val="center"/>
          </w:tcPr>
          <w:p w14:paraId="160BF5E4">
            <w:pPr>
              <w:pStyle w:val="65"/>
              <w:ind w:firstLine="0"/>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氮氧化物</w:t>
            </w:r>
          </w:p>
        </w:tc>
        <w:tc>
          <w:tcPr>
            <w:tcW w:w="798" w:type="pct"/>
            <w:tcBorders>
              <w:tl2br w:val="nil"/>
              <w:tr2bl w:val="nil"/>
            </w:tcBorders>
            <w:noWrap w:val="0"/>
            <w:vAlign w:val="center"/>
          </w:tcPr>
          <w:p w14:paraId="5A483BA5">
            <w:pPr>
              <w:pStyle w:val="65"/>
              <w:ind w:firstLine="0"/>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千克/万立方米</w:t>
            </w:r>
            <w:r>
              <w:rPr>
                <w:rFonts w:hint="eastAsia" w:cs="Times New Roman"/>
                <w:color w:val="auto"/>
                <w:sz w:val="21"/>
                <w:lang w:eastAsia="zh-CN"/>
              </w:rPr>
              <w:t>－</w:t>
            </w:r>
            <w:r>
              <w:rPr>
                <w:rFonts w:hint="eastAsia" w:ascii="Times New Roman" w:hAnsi="Times New Roman" w:eastAsia="宋体" w:cs="Times New Roman"/>
                <w:color w:val="auto"/>
                <w:sz w:val="21"/>
              </w:rPr>
              <w:t>原料</w:t>
            </w:r>
          </w:p>
        </w:tc>
        <w:tc>
          <w:tcPr>
            <w:tcW w:w="510" w:type="pct"/>
            <w:tcBorders>
              <w:tl2br w:val="nil"/>
              <w:tr2bl w:val="nil"/>
            </w:tcBorders>
            <w:noWrap w:val="0"/>
            <w:vAlign w:val="center"/>
          </w:tcPr>
          <w:p w14:paraId="25BDB7BD">
            <w:pPr>
              <w:pStyle w:val="65"/>
              <w:ind w:firstLine="0"/>
              <w:rPr>
                <w:rFonts w:hint="eastAsia" w:ascii="Times New Roman" w:hAnsi="Times New Roman" w:eastAsia="宋体" w:cs="Times New Roman"/>
                <w:color w:val="auto"/>
                <w:sz w:val="21"/>
                <w:lang w:eastAsia="zh-CN"/>
              </w:rPr>
            </w:pPr>
            <w:r>
              <w:rPr>
                <w:rFonts w:hint="eastAsia" w:ascii="Times New Roman" w:hAnsi="Times New Roman" w:eastAsia="宋体" w:cs="Times New Roman"/>
                <w:color w:val="auto"/>
                <w:sz w:val="21"/>
              </w:rPr>
              <w:t>15.87</w:t>
            </w:r>
          </w:p>
        </w:tc>
        <w:tc>
          <w:tcPr>
            <w:tcW w:w="662" w:type="pct"/>
            <w:tcBorders>
              <w:tl2br w:val="nil"/>
              <w:tr2bl w:val="nil"/>
            </w:tcBorders>
            <w:noWrap w:val="0"/>
            <w:vAlign w:val="center"/>
          </w:tcPr>
          <w:p w14:paraId="17D9743F">
            <w:pPr>
              <w:ind w:firstLine="0"/>
              <w:jc w:val="center"/>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直排</w:t>
            </w:r>
          </w:p>
        </w:tc>
        <w:tc>
          <w:tcPr>
            <w:tcW w:w="653" w:type="pct"/>
            <w:tcBorders>
              <w:tl2br w:val="nil"/>
              <w:tr2bl w:val="nil"/>
            </w:tcBorders>
            <w:noWrap w:val="0"/>
            <w:vAlign w:val="center"/>
          </w:tcPr>
          <w:p w14:paraId="1536FCE5">
            <w:pPr>
              <w:pStyle w:val="65"/>
              <w:ind w:left="-31" w:leftChars="-15" w:right="-31" w:rightChars="-15" w:firstLine="0" w:firstLineChars="0"/>
              <w:rPr>
                <w:rFonts w:hint="eastAsia" w:ascii="Times New Roman" w:hAnsi="Times New Roman" w:eastAsia="宋体" w:cs="Times New Roman"/>
                <w:color w:val="auto"/>
                <w:sz w:val="21"/>
                <w:lang w:eastAsia="zh-CN"/>
              </w:rPr>
            </w:pPr>
            <w:r>
              <w:rPr>
                <w:rFonts w:hint="eastAsia" w:ascii="Times New Roman" w:hAnsi="Times New Roman" w:eastAsia="宋体" w:cs="Times New Roman"/>
                <w:color w:val="auto"/>
                <w:sz w:val="21"/>
              </w:rPr>
              <w:t>15.87</w:t>
            </w:r>
          </w:p>
        </w:tc>
      </w:tr>
    </w:tbl>
    <w:p w14:paraId="6823EFA0">
      <w:pPr>
        <w:keepNext w:val="0"/>
        <w:keepLines w:val="0"/>
        <w:pageBreakBefore w:val="0"/>
        <w:widowControl/>
        <w:kinsoku/>
        <w:wordWrap/>
        <w:overflowPunct/>
        <w:topLinePunct w:val="0"/>
        <w:autoSpaceDE/>
        <w:autoSpaceDN/>
        <w:bidi w:val="0"/>
        <w:adjustRightInd/>
        <w:snapToGrid/>
        <w:spacing w:line="240" w:lineRule="auto"/>
        <w:ind w:left="0" w:hanging="529" w:hangingChars="294"/>
        <w:jc w:val="left"/>
        <w:textAlignment w:val="auto"/>
        <w:rPr>
          <w:color w:val="auto"/>
          <w:highlight w:val="yellow"/>
        </w:rPr>
      </w:pPr>
      <w:r>
        <w:rPr>
          <w:b/>
          <w:color w:val="auto"/>
          <w:kern w:val="0"/>
          <w:sz w:val="18"/>
          <w:szCs w:val="18"/>
        </w:rPr>
        <w:t>注：</w:t>
      </w:r>
      <w:r>
        <w:rPr>
          <w:rFonts w:hint="default" w:ascii="Times New Roman" w:hAnsi="Times New Roman" w:cs="Times New Roman"/>
          <w:color w:val="auto"/>
          <w:kern w:val="0"/>
          <w:sz w:val="18"/>
          <w:szCs w:val="18"/>
        </w:rPr>
        <w:fldChar w:fldCharType="begin"/>
      </w:r>
      <w:r>
        <w:rPr>
          <w:rFonts w:hint="default" w:ascii="Times New Roman" w:hAnsi="Times New Roman" w:cs="Times New Roman"/>
          <w:color w:val="auto"/>
          <w:kern w:val="0"/>
          <w:sz w:val="18"/>
          <w:szCs w:val="18"/>
        </w:rPr>
        <w:instrText xml:space="preserve"> = 1 \* GB3 </w:instrText>
      </w:r>
      <w:r>
        <w:rPr>
          <w:rFonts w:hint="default" w:ascii="Times New Roman" w:hAnsi="Times New Roman" w:cs="Times New Roman"/>
          <w:color w:val="auto"/>
          <w:kern w:val="0"/>
          <w:sz w:val="18"/>
          <w:szCs w:val="18"/>
        </w:rPr>
        <w:fldChar w:fldCharType="separate"/>
      </w:r>
      <w:r>
        <w:rPr>
          <w:rFonts w:hint="default" w:ascii="Times New Roman" w:hAnsi="Times New Roman" w:cs="Times New Roman"/>
          <w:color w:val="auto"/>
          <w:kern w:val="0"/>
          <w:sz w:val="18"/>
          <w:szCs w:val="18"/>
        </w:rPr>
        <w:t>①</w:t>
      </w:r>
      <w:r>
        <w:rPr>
          <w:rFonts w:hint="default" w:ascii="Times New Roman" w:hAnsi="Times New Roman" w:cs="Times New Roman"/>
          <w:color w:val="auto"/>
          <w:kern w:val="0"/>
          <w:sz w:val="18"/>
          <w:szCs w:val="18"/>
        </w:rPr>
        <w:fldChar w:fldCharType="end"/>
      </w:r>
      <w:r>
        <w:rPr>
          <w:rFonts w:hint="default" w:ascii="Times New Roman" w:hAnsi="Times New Roman" w:eastAsia="宋体" w:cs="Times New Roman"/>
          <w:color w:val="auto"/>
          <w:kern w:val="0"/>
          <w:sz w:val="18"/>
          <w:szCs w:val="18"/>
        </w:rPr>
        <w:t>低氮燃烧</w:t>
      </w:r>
      <w:r>
        <w:rPr>
          <w:rFonts w:hint="eastAsia" w:cs="Times New Roman"/>
          <w:color w:val="auto"/>
          <w:kern w:val="0"/>
          <w:sz w:val="18"/>
          <w:szCs w:val="18"/>
          <w:lang w:eastAsia="zh-CN"/>
        </w:rPr>
        <w:t>－</w:t>
      </w:r>
      <w:r>
        <w:rPr>
          <w:rFonts w:hint="default" w:ascii="Times New Roman" w:hAnsi="Times New Roman" w:eastAsia="宋体" w:cs="Times New Roman"/>
          <w:color w:val="auto"/>
          <w:kern w:val="0"/>
          <w:sz w:val="18"/>
          <w:szCs w:val="18"/>
        </w:rPr>
        <w:t>国内一般技术的天然气锅炉设计NOx排放控制要求一般介于100mg/m</w:t>
      </w:r>
      <w:r>
        <w:rPr>
          <w:rFonts w:hint="default" w:ascii="Times New Roman" w:hAnsi="Times New Roman" w:eastAsia="宋体" w:cs="Times New Roman"/>
          <w:color w:val="auto"/>
          <w:kern w:val="0"/>
          <w:sz w:val="18"/>
          <w:szCs w:val="18"/>
          <w:vertAlign w:val="superscript"/>
        </w:rPr>
        <w:t>3</w:t>
      </w:r>
      <w:r>
        <w:rPr>
          <w:rFonts w:hint="default" w:ascii="Times New Roman" w:hAnsi="Times New Roman" w:eastAsia="宋体" w:cs="Times New Roman"/>
          <w:color w:val="auto"/>
          <w:kern w:val="0"/>
          <w:sz w:val="18"/>
          <w:szCs w:val="18"/>
        </w:rPr>
        <w:t>(@</w:t>
      </w:r>
      <w:r>
        <w:rPr>
          <w:rFonts w:hint="eastAsia" w:ascii="Times New Roman" w:hAnsi="Times New Roman" w:eastAsia="宋体" w:cs="Times New Roman"/>
          <w:color w:val="auto"/>
          <w:kern w:val="0"/>
          <w:sz w:val="18"/>
          <w:szCs w:val="18"/>
          <w:lang w:eastAsia="zh-CN"/>
        </w:rPr>
        <w:t>3.</w:t>
      </w:r>
      <w:r>
        <w:rPr>
          <w:rFonts w:hint="eastAsia" w:ascii="Times New Roman" w:hAnsi="Times New Roman" w:eastAsia="宋体" w:cs="Times New Roman"/>
          <w:color w:val="auto"/>
          <w:kern w:val="0"/>
          <w:sz w:val="18"/>
          <w:szCs w:val="18"/>
          <w:lang w:val="en-US" w:eastAsia="zh-CN"/>
        </w:rPr>
        <w:t>5</w:t>
      </w:r>
      <w:r>
        <w:rPr>
          <w:rFonts w:hint="eastAsia" w:ascii="Times New Roman" w:hAnsi="Times New Roman" w:eastAsia="宋体" w:cs="Times New Roman"/>
          <w:color w:val="auto"/>
          <w:kern w:val="0"/>
          <w:sz w:val="18"/>
          <w:szCs w:val="18"/>
          <w:lang w:eastAsia="zh-CN"/>
        </w:rPr>
        <w:t>%</w:t>
      </w:r>
      <w:r>
        <w:rPr>
          <w:rFonts w:hint="default" w:ascii="Times New Roman" w:hAnsi="Times New Roman" w:eastAsia="宋体" w:cs="Times New Roman"/>
          <w:color w:val="auto"/>
          <w:kern w:val="0"/>
          <w:sz w:val="18"/>
          <w:szCs w:val="18"/>
        </w:rPr>
        <w:t>O</w:t>
      </w:r>
      <w:r>
        <w:rPr>
          <w:rFonts w:hint="default" w:ascii="Times New Roman" w:hAnsi="Times New Roman" w:eastAsia="宋体" w:cs="Times New Roman"/>
          <w:color w:val="auto"/>
          <w:kern w:val="0"/>
          <w:sz w:val="18"/>
          <w:szCs w:val="18"/>
          <w:vertAlign w:val="subscript"/>
        </w:rPr>
        <w:t>2</w:t>
      </w:r>
      <w:r>
        <w:rPr>
          <w:rFonts w:hint="default" w:ascii="Times New Roman" w:hAnsi="Times New Roman" w:eastAsia="宋体" w:cs="Times New Roman"/>
          <w:color w:val="auto"/>
          <w:kern w:val="0"/>
          <w:sz w:val="18"/>
          <w:szCs w:val="18"/>
        </w:rPr>
        <w:t>)～200mg/m</w:t>
      </w:r>
      <w:r>
        <w:rPr>
          <w:rFonts w:hint="default" w:ascii="Times New Roman" w:hAnsi="Times New Roman" w:eastAsia="宋体" w:cs="Times New Roman"/>
          <w:color w:val="auto"/>
          <w:kern w:val="0"/>
          <w:sz w:val="18"/>
          <w:szCs w:val="18"/>
          <w:vertAlign w:val="superscript"/>
        </w:rPr>
        <w:t>3</w:t>
      </w:r>
      <w:r>
        <w:rPr>
          <w:rFonts w:hint="default" w:ascii="Times New Roman" w:hAnsi="Times New Roman" w:eastAsia="宋体" w:cs="Times New Roman"/>
          <w:color w:val="auto"/>
          <w:kern w:val="0"/>
          <w:sz w:val="18"/>
          <w:szCs w:val="18"/>
        </w:rPr>
        <w:t>(@</w:t>
      </w:r>
      <w:r>
        <w:rPr>
          <w:rFonts w:hint="eastAsia" w:ascii="Times New Roman" w:hAnsi="Times New Roman" w:eastAsia="宋体" w:cs="Times New Roman"/>
          <w:color w:val="auto"/>
          <w:kern w:val="0"/>
          <w:sz w:val="18"/>
          <w:szCs w:val="18"/>
          <w:lang w:eastAsia="zh-CN"/>
        </w:rPr>
        <w:t>3.</w:t>
      </w:r>
      <w:r>
        <w:rPr>
          <w:rFonts w:hint="eastAsia" w:ascii="Times New Roman" w:hAnsi="Times New Roman" w:eastAsia="宋体" w:cs="Times New Roman"/>
          <w:color w:val="auto"/>
          <w:kern w:val="0"/>
          <w:sz w:val="18"/>
          <w:szCs w:val="18"/>
          <w:lang w:val="en-US" w:eastAsia="zh-CN"/>
        </w:rPr>
        <w:t>5</w:t>
      </w:r>
      <w:r>
        <w:rPr>
          <w:rFonts w:hint="eastAsia" w:ascii="Times New Roman" w:hAnsi="Times New Roman" w:eastAsia="宋体" w:cs="Times New Roman"/>
          <w:color w:val="auto"/>
          <w:kern w:val="0"/>
          <w:sz w:val="18"/>
          <w:szCs w:val="18"/>
          <w:lang w:eastAsia="zh-CN"/>
        </w:rPr>
        <w:t>%</w:t>
      </w:r>
      <w:r>
        <w:rPr>
          <w:rFonts w:hint="default" w:ascii="Times New Roman" w:hAnsi="Times New Roman" w:eastAsia="宋体" w:cs="Times New Roman"/>
          <w:color w:val="auto"/>
          <w:kern w:val="0"/>
          <w:sz w:val="18"/>
          <w:szCs w:val="18"/>
        </w:rPr>
        <w:t>O</w:t>
      </w:r>
      <w:r>
        <w:rPr>
          <w:rFonts w:hint="default" w:ascii="Times New Roman" w:hAnsi="Times New Roman" w:eastAsia="宋体" w:cs="Times New Roman"/>
          <w:color w:val="auto"/>
          <w:kern w:val="0"/>
          <w:sz w:val="18"/>
          <w:szCs w:val="18"/>
          <w:vertAlign w:val="subscript"/>
        </w:rPr>
        <w:t>2</w:t>
      </w:r>
      <w:r>
        <w:rPr>
          <w:rFonts w:hint="default" w:ascii="Times New Roman" w:hAnsi="Times New Roman" w:eastAsia="宋体" w:cs="Times New Roman"/>
          <w:color w:val="auto"/>
          <w:kern w:val="0"/>
          <w:sz w:val="18"/>
          <w:szCs w:val="18"/>
        </w:rPr>
        <w:t>)。</w:t>
      </w:r>
      <w:r>
        <w:rPr>
          <w:rFonts w:hint="eastAsia" w:ascii="Times New Roman" w:hAnsi="Times New Roman" w:cs="Times New Roman"/>
          <w:color w:val="auto"/>
          <w:kern w:val="0"/>
          <w:sz w:val="18"/>
          <w:szCs w:val="18"/>
          <w:lang w:val="en-US" w:eastAsia="zh-CN"/>
        </w:rPr>
        <w:t>②</w:t>
      </w:r>
      <w:r>
        <w:rPr>
          <w:rFonts w:hint="default" w:ascii="Times New Roman" w:hAnsi="Times New Roman" w:cs="Times New Roman"/>
          <w:color w:val="auto"/>
          <w:kern w:val="0"/>
          <w:sz w:val="18"/>
          <w:szCs w:val="18"/>
        </w:rPr>
        <w:t>产排污系数表中二氧化硫的产排污系数是以含硫量（S）的形式表示的，其中含硫量（S）是指燃气收到基硫分含量，单位为毫克/立方米。</w:t>
      </w:r>
      <w:r>
        <w:rPr>
          <w:rFonts w:hint="default" w:ascii="Times New Roman" w:hAnsi="Times New Roman" w:cs="Times New Roman"/>
          <w:color w:val="auto"/>
          <w:kern w:val="0"/>
          <w:sz w:val="18"/>
          <w:szCs w:val="18"/>
          <w:highlight w:val="none"/>
        </w:rPr>
        <w:t>本次评价燃料中含硫量（S）为</w:t>
      </w:r>
      <w:r>
        <w:rPr>
          <w:rFonts w:hint="eastAsia" w:cs="Times New Roman"/>
          <w:color w:val="auto"/>
          <w:kern w:val="0"/>
          <w:sz w:val="18"/>
          <w:szCs w:val="18"/>
          <w:highlight w:val="none"/>
          <w:lang w:val="en-US" w:eastAsia="zh-CN"/>
        </w:rPr>
        <w:t>20</w:t>
      </w:r>
      <w:r>
        <w:rPr>
          <w:rFonts w:hint="default" w:ascii="Times New Roman" w:hAnsi="Times New Roman" w:cs="Times New Roman"/>
          <w:color w:val="auto"/>
          <w:kern w:val="0"/>
          <w:sz w:val="18"/>
          <w:szCs w:val="18"/>
          <w:highlight w:val="none"/>
        </w:rPr>
        <w:t>毫克/立方米，则S=</w:t>
      </w:r>
      <w:r>
        <w:rPr>
          <w:rFonts w:hint="eastAsia" w:cs="Times New Roman"/>
          <w:color w:val="auto"/>
          <w:kern w:val="0"/>
          <w:sz w:val="18"/>
          <w:szCs w:val="18"/>
          <w:highlight w:val="none"/>
          <w:lang w:val="en-US" w:eastAsia="zh-CN"/>
        </w:rPr>
        <w:t>2</w:t>
      </w:r>
      <w:r>
        <w:rPr>
          <w:rFonts w:hint="default" w:ascii="Times New Roman" w:hAnsi="Times New Roman" w:cs="Times New Roman"/>
          <w:color w:val="auto"/>
          <w:kern w:val="0"/>
          <w:sz w:val="18"/>
          <w:szCs w:val="18"/>
          <w:highlight w:val="none"/>
        </w:rPr>
        <w:t>0。</w:t>
      </w:r>
    </w:p>
    <w:p w14:paraId="0CF00462">
      <w:pPr>
        <w:pStyle w:val="79"/>
        <w:bidi w:val="0"/>
        <w:rPr>
          <w:rFonts w:hint="eastAsia"/>
          <w:color w:val="auto"/>
          <w:lang w:val="en-US" w:eastAsia="zh-CN"/>
        </w:rPr>
      </w:pPr>
      <w:r>
        <w:rPr>
          <w:rFonts w:hint="eastAsia"/>
          <w:color w:val="auto"/>
          <w:lang w:val="en-US" w:eastAsia="zh-CN"/>
        </w:rPr>
        <w:t>本项目燃烧天然气排放废</w:t>
      </w:r>
      <w:bookmarkStart w:id="338" w:name="OLE_LINK182"/>
      <w:r>
        <w:rPr>
          <w:rFonts w:hint="eastAsia"/>
          <w:color w:val="auto"/>
          <w:lang w:val="en-US" w:eastAsia="zh-CN"/>
        </w:rPr>
        <w:t>气总量105.1万m</w:t>
      </w:r>
      <w:r>
        <w:rPr>
          <w:rFonts w:hint="eastAsia"/>
          <w:color w:val="auto"/>
          <w:vertAlign w:val="superscript"/>
          <w:lang w:val="en-US" w:eastAsia="zh-CN"/>
        </w:rPr>
        <w:t>3</w:t>
      </w:r>
      <w:r>
        <w:rPr>
          <w:rFonts w:hint="eastAsia"/>
          <w:color w:val="auto"/>
          <w:lang w:val="en-US" w:eastAsia="zh-CN"/>
        </w:rPr>
        <w:t>/a，排放颗粒物0.021t/a、SO</w:t>
      </w:r>
      <w:bookmarkStart w:id="339" w:name="OLE_LINK99"/>
      <w:r>
        <w:rPr>
          <w:rFonts w:hint="eastAsia"/>
          <w:color w:val="auto"/>
          <w:vertAlign w:val="subscript"/>
          <w:lang w:val="en-US" w:eastAsia="zh-CN"/>
        </w:rPr>
        <w:t>2</w:t>
      </w:r>
      <w:bookmarkEnd w:id="339"/>
      <w:r>
        <w:rPr>
          <w:rFonts w:hint="eastAsia"/>
          <w:color w:val="auto"/>
          <w:lang w:val="en-US" w:eastAsia="zh-CN"/>
        </w:rPr>
        <w:t xml:space="preserve"> 0.0039t/a、NO</w:t>
      </w:r>
      <w:bookmarkStart w:id="340" w:name="OLE_LINK98"/>
      <w:r>
        <w:rPr>
          <w:rFonts w:hint="eastAsia"/>
          <w:color w:val="auto"/>
          <w:vertAlign w:val="subscript"/>
          <w:lang w:val="en-US" w:eastAsia="zh-CN"/>
        </w:rPr>
        <w:t>X</w:t>
      </w:r>
      <w:bookmarkEnd w:id="340"/>
      <w:r>
        <w:rPr>
          <w:rFonts w:hint="eastAsia"/>
          <w:color w:val="auto"/>
          <w:lang w:val="en-US" w:eastAsia="zh-CN"/>
        </w:rPr>
        <w:t xml:space="preserve"> 0.155</w:t>
      </w:r>
      <w:bookmarkStart w:id="341" w:name="OLE_LINK108"/>
      <w:r>
        <w:rPr>
          <w:rFonts w:hint="eastAsia"/>
          <w:color w:val="auto"/>
          <w:lang w:val="en-US" w:eastAsia="zh-CN"/>
        </w:rPr>
        <w:t>t</w:t>
      </w:r>
      <w:bookmarkStart w:id="342" w:name="OLE_LINK107"/>
      <w:r>
        <w:rPr>
          <w:rFonts w:hint="eastAsia"/>
          <w:color w:val="auto"/>
          <w:lang w:val="en-US" w:eastAsia="zh-CN"/>
        </w:rPr>
        <w:t>/a</w:t>
      </w:r>
      <w:bookmarkEnd w:id="341"/>
      <w:bookmarkEnd w:id="342"/>
      <w:r>
        <w:rPr>
          <w:rFonts w:hint="eastAsia"/>
          <w:color w:val="auto"/>
          <w:lang w:val="en-US" w:eastAsia="zh-CN"/>
        </w:rPr>
        <w:t>，浓度分别为：</w:t>
      </w:r>
      <w:bookmarkStart w:id="343" w:name="OLE_LINK111"/>
      <w:bookmarkStart w:id="344" w:name="OLE_LINK112"/>
      <w:r>
        <w:rPr>
          <w:rFonts w:hint="eastAsia"/>
          <w:color w:val="auto"/>
          <w:lang w:val="en-US" w:eastAsia="zh-CN"/>
        </w:rPr>
        <w:t>颗粒物</w:t>
      </w:r>
      <w:bookmarkEnd w:id="343"/>
      <w:r>
        <w:rPr>
          <w:rFonts w:hint="eastAsia"/>
          <w:color w:val="auto"/>
          <w:lang w:val="en-US" w:eastAsia="zh-CN"/>
        </w:rPr>
        <w:t>20mg/m</w:t>
      </w:r>
      <w:r>
        <w:rPr>
          <w:rFonts w:hint="eastAsia"/>
          <w:color w:val="auto"/>
          <w:vertAlign w:val="superscript"/>
          <w:lang w:val="en-US" w:eastAsia="zh-CN"/>
        </w:rPr>
        <w:t>3</w:t>
      </w:r>
      <w:bookmarkEnd w:id="344"/>
      <w:r>
        <w:rPr>
          <w:rFonts w:hint="eastAsia"/>
          <w:color w:val="auto"/>
          <w:lang w:val="en-US" w:eastAsia="zh-CN"/>
        </w:rPr>
        <w:t>，SO</w:t>
      </w:r>
      <w:bookmarkStart w:id="345" w:name="OLE_LINK94"/>
      <w:r>
        <w:rPr>
          <w:rFonts w:hint="eastAsia"/>
          <w:color w:val="auto"/>
          <w:vertAlign w:val="subscript"/>
          <w:lang w:val="en-US" w:eastAsia="zh-CN"/>
        </w:rPr>
        <w:t>2</w:t>
      </w:r>
      <w:bookmarkEnd w:id="345"/>
      <w:r>
        <w:rPr>
          <w:rFonts w:hint="eastAsia"/>
          <w:color w:val="auto"/>
          <w:lang w:val="en-US" w:eastAsia="zh-CN"/>
        </w:rPr>
        <w:t xml:space="preserve"> 37</w:t>
      </w:r>
      <w:bookmarkStart w:id="346" w:name="OLE_LINK109"/>
      <w:r>
        <w:rPr>
          <w:rFonts w:hint="eastAsia"/>
          <w:color w:val="auto"/>
          <w:lang w:val="en-US" w:eastAsia="zh-CN"/>
        </w:rPr>
        <w:t>m</w:t>
      </w:r>
      <w:bookmarkStart w:id="347" w:name="OLE_LINK110"/>
      <w:r>
        <w:rPr>
          <w:rFonts w:hint="eastAsia"/>
          <w:color w:val="auto"/>
          <w:lang w:val="en-US" w:eastAsia="zh-CN"/>
        </w:rPr>
        <w:t>g/m</w:t>
      </w:r>
      <w:bookmarkEnd w:id="347"/>
      <w:bookmarkStart w:id="348" w:name="OLE_LINK97"/>
      <w:r>
        <w:rPr>
          <w:rFonts w:hint="eastAsia"/>
          <w:color w:val="auto"/>
          <w:vertAlign w:val="superscript"/>
          <w:lang w:val="en-US" w:eastAsia="zh-CN"/>
        </w:rPr>
        <w:t>3</w:t>
      </w:r>
      <w:bookmarkEnd w:id="346"/>
      <w:bookmarkEnd w:id="348"/>
      <w:r>
        <w:rPr>
          <w:rFonts w:hint="eastAsia"/>
          <w:color w:val="auto"/>
          <w:lang w:val="en-US" w:eastAsia="zh-CN"/>
        </w:rPr>
        <w:t>，NO</w:t>
      </w:r>
      <w:bookmarkStart w:id="349" w:name="OLE_LINK95"/>
      <w:r>
        <w:rPr>
          <w:rFonts w:hint="eastAsia"/>
          <w:color w:val="auto"/>
          <w:vertAlign w:val="subscript"/>
          <w:lang w:val="en-US" w:eastAsia="zh-CN"/>
        </w:rPr>
        <w:t>X</w:t>
      </w:r>
      <w:bookmarkEnd w:id="349"/>
      <w:r>
        <w:rPr>
          <w:rFonts w:hint="eastAsia"/>
          <w:color w:val="auto"/>
          <w:lang w:val="en-US" w:eastAsia="zh-CN"/>
        </w:rPr>
        <w:t xml:space="preserve"> 147mg/m</w:t>
      </w:r>
      <w:bookmarkStart w:id="350" w:name="OLE_LINK96"/>
      <w:r>
        <w:rPr>
          <w:rFonts w:hint="eastAsia"/>
          <w:color w:val="auto"/>
          <w:vertAlign w:val="superscript"/>
          <w:lang w:val="en-US" w:eastAsia="zh-CN"/>
        </w:rPr>
        <w:t>3</w:t>
      </w:r>
      <w:bookmarkEnd w:id="350"/>
      <w:r>
        <w:rPr>
          <w:rFonts w:hint="eastAsia"/>
          <w:color w:val="auto"/>
          <w:lang w:val="en-US" w:eastAsia="zh-CN"/>
        </w:rPr>
        <w:t>。颗粒物、SO</w:t>
      </w:r>
      <w:bookmarkStart w:id="351" w:name="OLE_LINK92"/>
      <w:r>
        <w:rPr>
          <w:rFonts w:hint="eastAsia"/>
          <w:color w:val="auto"/>
          <w:vertAlign w:val="subscript"/>
          <w:lang w:val="en-US" w:eastAsia="zh-CN"/>
        </w:rPr>
        <w:t>2</w:t>
      </w:r>
      <w:bookmarkEnd w:id="351"/>
      <w:r>
        <w:rPr>
          <w:rFonts w:hint="eastAsia"/>
          <w:color w:val="auto"/>
          <w:lang w:val="en-US" w:eastAsia="zh-CN"/>
        </w:rPr>
        <w:t>、NO</w:t>
      </w:r>
      <w:r>
        <w:rPr>
          <w:rFonts w:hint="eastAsia"/>
          <w:color w:val="auto"/>
          <w:vertAlign w:val="subscript"/>
          <w:lang w:val="en-US" w:eastAsia="zh-CN"/>
        </w:rPr>
        <w:t>X</w:t>
      </w:r>
      <w:r>
        <w:rPr>
          <w:rFonts w:hint="eastAsia"/>
          <w:color w:val="auto"/>
          <w:lang w:val="en-US" w:eastAsia="zh-CN"/>
        </w:rPr>
        <w:t>达到</w:t>
      </w:r>
      <w:bookmarkStart w:id="352" w:name="OLE_LINK138"/>
      <w:r>
        <w:rPr>
          <w:rFonts w:hint="eastAsia"/>
          <w:color w:val="auto"/>
          <w:lang w:val="en-US" w:eastAsia="zh-CN"/>
        </w:rPr>
        <w:t>《锅炉大气污染物排放标准》（GB13271－2014）中新建燃气锅炉标准限值</w:t>
      </w:r>
      <w:bookmarkEnd w:id="352"/>
      <w:r>
        <w:rPr>
          <w:rFonts w:hint="eastAsia"/>
          <w:color w:val="auto"/>
          <w:lang w:val="en-US" w:eastAsia="zh-CN"/>
        </w:rPr>
        <w:t>颗</w:t>
      </w:r>
      <w:bookmarkEnd w:id="338"/>
      <w:r>
        <w:rPr>
          <w:rFonts w:hint="eastAsia"/>
          <w:color w:val="auto"/>
          <w:lang w:val="en-US" w:eastAsia="zh-CN"/>
        </w:rPr>
        <w:t>粒物：20mg/m</w:t>
      </w:r>
      <w:r>
        <w:rPr>
          <w:rFonts w:hint="eastAsia"/>
          <w:color w:val="auto"/>
          <w:vertAlign w:val="superscript"/>
          <w:lang w:val="en-US" w:eastAsia="zh-CN"/>
        </w:rPr>
        <w:t>3</w:t>
      </w:r>
      <w:r>
        <w:rPr>
          <w:rFonts w:hint="eastAsia"/>
          <w:color w:val="auto"/>
          <w:lang w:val="en-US" w:eastAsia="zh-CN"/>
        </w:rPr>
        <w:t>，SO</w:t>
      </w:r>
      <w:bookmarkStart w:id="353" w:name="OLE_LINK91"/>
      <w:r>
        <w:rPr>
          <w:rFonts w:hint="eastAsia"/>
          <w:color w:val="auto"/>
          <w:vertAlign w:val="subscript"/>
          <w:lang w:val="en-US" w:eastAsia="zh-CN"/>
        </w:rPr>
        <w:t>2</w:t>
      </w:r>
      <w:bookmarkEnd w:id="353"/>
      <w:r>
        <w:rPr>
          <w:rFonts w:hint="eastAsia"/>
          <w:color w:val="auto"/>
          <w:lang w:val="en-US" w:eastAsia="zh-CN"/>
        </w:rPr>
        <w:t>：50mg/m</w:t>
      </w:r>
      <w:bookmarkStart w:id="354" w:name="OLE_LINK100"/>
      <w:r>
        <w:rPr>
          <w:rFonts w:hint="eastAsia"/>
          <w:color w:val="auto"/>
          <w:vertAlign w:val="superscript"/>
          <w:lang w:val="en-US" w:eastAsia="zh-CN"/>
        </w:rPr>
        <w:t>3</w:t>
      </w:r>
      <w:bookmarkEnd w:id="354"/>
      <w:r>
        <w:rPr>
          <w:rFonts w:hint="eastAsia"/>
          <w:color w:val="auto"/>
          <w:lang w:val="en-US" w:eastAsia="zh-CN"/>
        </w:rPr>
        <w:t>，NO</w:t>
      </w:r>
      <w:bookmarkStart w:id="355" w:name="OLE_LINK90"/>
      <w:r>
        <w:rPr>
          <w:rFonts w:hint="eastAsia"/>
          <w:color w:val="auto"/>
          <w:vertAlign w:val="subscript"/>
          <w:lang w:val="en-US" w:eastAsia="zh-CN"/>
        </w:rPr>
        <w:t>X</w:t>
      </w:r>
      <w:bookmarkEnd w:id="355"/>
      <w:r>
        <w:rPr>
          <w:rFonts w:hint="eastAsia"/>
          <w:color w:val="auto"/>
          <w:lang w:val="en-US" w:eastAsia="zh-CN"/>
        </w:rPr>
        <w:t>：200mg/m</w:t>
      </w:r>
      <w:bookmarkStart w:id="356" w:name="OLE_LINK101"/>
      <w:r>
        <w:rPr>
          <w:rFonts w:hint="eastAsia"/>
          <w:color w:val="auto"/>
          <w:vertAlign w:val="superscript"/>
          <w:lang w:val="en-US" w:eastAsia="zh-CN"/>
        </w:rPr>
        <w:t>3</w:t>
      </w:r>
      <w:bookmarkEnd w:id="356"/>
      <w:r>
        <w:rPr>
          <w:rFonts w:hint="eastAsia"/>
          <w:color w:val="auto"/>
          <w:lang w:val="en-US" w:eastAsia="zh-CN"/>
        </w:rPr>
        <w:t>。本项目加热炉污染物排放情况详见表3.3-8。</w:t>
      </w:r>
    </w:p>
    <w:p w14:paraId="0978FBBD">
      <w:pPr>
        <w:pStyle w:val="61"/>
        <w:bidi w:val="0"/>
        <w:jc w:val="both"/>
        <w:rPr>
          <w:color w:val="auto"/>
        </w:rPr>
      </w:pPr>
      <w:r>
        <w:rPr>
          <w:color w:val="auto"/>
        </w:rPr>
        <w:t>表</w:t>
      </w:r>
      <w:r>
        <w:rPr>
          <w:rFonts w:hint="eastAsia"/>
          <w:color w:val="auto"/>
        </w:rPr>
        <w:t>3.3-</w:t>
      </w:r>
      <w:r>
        <w:rPr>
          <w:rFonts w:hint="eastAsia"/>
          <w:color w:val="auto"/>
          <w:lang w:val="en-US" w:eastAsia="zh-CN"/>
        </w:rPr>
        <w:t xml:space="preserve">8   </w:t>
      </w:r>
      <w:r>
        <w:rPr>
          <w:color w:val="auto"/>
        </w:rPr>
        <w:t>加热炉排放的烟气情况一览表</w:t>
      </w:r>
    </w:p>
    <w:tbl>
      <w:tblPr>
        <w:tblStyle w:val="36"/>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568"/>
        <w:gridCol w:w="905"/>
        <w:gridCol w:w="1017"/>
        <w:gridCol w:w="1100"/>
        <w:gridCol w:w="770"/>
        <w:gridCol w:w="924"/>
        <w:gridCol w:w="782"/>
        <w:gridCol w:w="778"/>
        <w:gridCol w:w="801"/>
      </w:tblGrid>
      <w:tr w14:paraId="144854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96" w:hRule="atLeast"/>
          <w:jc w:val="center"/>
        </w:trPr>
        <w:tc>
          <w:tcPr>
            <w:tcW w:w="907" w:type="pct"/>
            <w:vMerge w:val="restart"/>
            <w:tcBorders>
              <w:tl2br w:val="nil"/>
              <w:tr2bl w:val="nil"/>
            </w:tcBorders>
            <w:noWrap w:val="0"/>
            <w:vAlign w:val="center"/>
          </w:tcPr>
          <w:p w14:paraId="51CBDCC5">
            <w:pPr>
              <w:pStyle w:val="65"/>
              <w:ind w:firstLineChars="200"/>
              <w:rPr>
                <w:rFonts w:cs="Times New Roman"/>
                <w:color w:val="auto"/>
                <w:sz w:val="21"/>
                <w:highlight w:val="none"/>
              </w:rPr>
            </w:pPr>
            <w:bookmarkStart w:id="357" w:name="OLE_LINK105" w:colFirst="3" w:colLast="7"/>
            <w:bookmarkStart w:id="358" w:name="OLE_LINK93" w:colFirst="3" w:colLast="5"/>
            <w:bookmarkStart w:id="359" w:name="OLE_LINK102" w:colFirst="0" w:colLast="6"/>
            <w:r>
              <w:rPr>
                <w:color w:val="auto"/>
                <w:sz w:val="21"/>
              </w:rPr>
              <mc:AlternateContent>
                <mc:Choice Requires="wps">
                  <w:drawing>
                    <wp:anchor distT="0" distB="0" distL="114300" distR="114300" simplePos="0" relativeHeight="251700224" behindDoc="0" locked="0" layoutInCell="1" allowOverlap="1">
                      <wp:simplePos x="0" y="0"/>
                      <wp:positionH relativeFrom="column">
                        <wp:posOffset>15240</wp:posOffset>
                      </wp:positionH>
                      <wp:positionV relativeFrom="paragraph">
                        <wp:posOffset>-4445</wp:posOffset>
                      </wp:positionV>
                      <wp:extent cx="944245" cy="635000"/>
                      <wp:effectExtent l="2540" t="3810" r="5715" b="8890"/>
                      <wp:wrapNone/>
                      <wp:docPr id="72" name="直接连接符 72"/>
                      <wp:cNvGraphicFramePr/>
                      <a:graphic xmlns:a="http://schemas.openxmlformats.org/drawingml/2006/main">
                        <a:graphicData uri="http://schemas.microsoft.com/office/word/2010/wordprocessingShape">
                          <wps:wsp>
                            <wps:cNvCnPr/>
                            <wps:spPr>
                              <a:xfrm>
                                <a:off x="1130300" y="6972935"/>
                                <a:ext cx="944245" cy="635000"/>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2pt;margin-top:-0.35pt;height:50pt;width:74.35pt;z-index:251700224;mso-width-relative:page;mso-height-relative:page;" filled="f" stroked="t" coordsize="21600,21600" o:gfxdata="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1iZxX9YAAAAGAQAADwAAAAAAAAABACAAAAAiAAAAZHJzL2Rvd25yZXYueG1sUEsBAhQA&#10;FAAAAAgAh07iQA/MIa70AQAAwwMAAA4AAAAAAAAAAQAgAAAAJQEAAGRycy9lMm9Eb2MueG1sUEsF&#10;BgAAAAAGAAYAWQEAAIsFAAAAAA==&#10;">
                      <v:fill on="f" focussize="0,0"/>
                      <v:stroke color="#000000 [3213]" miterlimit="8" joinstyle="miter"/>
                      <v:imagedata o:title=""/>
                      <o:lock v:ext="edit" aspectratio="f"/>
                    </v:line>
                  </w:pict>
                </mc:Fallback>
              </mc:AlternateContent>
            </w:r>
            <w:r>
              <w:rPr>
                <w:rFonts w:hint="eastAsia" w:cs="Times New Roman"/>
                <w:color w:val="auto"/>
                <w:sz w:val="21"/>
                <w:highlight w:val="none"/>
              </w:rPr>
              <w:t>污染物</w:t>
            </w:r>
          </w:p>
          <w:p w14:paraId="779A835B">
            <w:pPr>
              <w:pStyle w:val="65"/>
              <w:ind w:firstLine="0"/>
              <w:jc w:val="both"/>
              <w:rPr>
                <w:rFonts w:hint="eastAsia" w:cs="Times New Roman"/>
                <w:color w:val="auto"/>
                <w:sz w:val="21"/>
                <w:highlight w:val="none"/>
              </w:rPr>
            </w:pPr>
          </w:p>
          <w:p w14:paraId="21C2DE9E">
            <w:pPr>
              <w:pStyle w:val="65"/>
              <w:ind w:firstLine="0"/>
              <w:jc w:val="both"/>
              <w:rPr>
                <w:rFonts w:cs="Times New Roman"/>
                <w:color w:val="auto"/>
                <w:sz w:val="21"/>
                <w:highlight w:val="none"/>
              </w:rPr>
            </w:pPr>
            <w:r>
              <w:rPr>
                <w:rFonts w:hint="eastAsia" w:cs="Times New Roman"/>
                <w:color w:val="auto"/>
                <w:sz w:val="21"/>
                <w:highlight w:val="none"/>
              </w:rPr>
              <w:t>污染源</w:t>
            </w:r>
          </w:p>
        </w:tc>
        <w:tc>
          <w:tcPr>
            <w:tcW w:w="523" w:type="pct"/>
            <w:tcBorders>
              <w:tl2br w:val="nil"/>
              <w:tr2bl w:val="nil"/>
            </w:tcBorders>
            <w:noWrap w:val="0"/>
            <w:vAlign w:val="center"/>
          </w:tcPr>
          <w:p w14:paraId="528305DD">
            <w:pPr>
              <w:pStyle w:val="65"/>
              <w:ind w:firstLine="0"/>
              <w:rPr>
                <w:rFonts w:cs="Times New Roman"/>
                <w:color w:val="auto"/>
                <w:sz w:val="21"/>
                <w:highlight w:val="none"/>
              </w:rPr>
            </w:pPr>
            <w:r>
              <w:rPr>
                <w:rFonts w:hint="eastAsia" w:cs="Times New Roman"/>
                <w:color w:val="auto"/>
                <w:sz w:val="21"/>
                <w:highlight w:val="none"/>
              </w:rPr>
              <w:t>燃气量</w:t>
            </w:r>
          </w:p>
        </w:tc>
        <w:tc>
          <w:tcPr>
            <w:tcW w:w="588" w:type="pct"/>
            <w:tcBorders>
              <w:tl2br w:val="nil"/>
              <w:tr2bl w:val="nil"/>
            </w:tcBorders>
            <w:noWrap w:val="0"/>
            <w:vAlign w:val="center"/>
          </w:tcPr>
          <w:p w14:paraId="04A2C1AC">
            <w:pPr>
              <w:pStyle w:val="65"/>
              <w:ind w:firstLine="0"/>
              <w:rPr>
                <w:rFonts w:cs="Times New Roman"/>
                <w:color w:val="auto"/>
                <w:sz w:val="21"/>
                <w:highlight w:val="none"/>
              </w:rPr>
            </w:pPr>
            <w:r>
              <w:rPr>
                <w:rFonts w:hint="eastAsia" w:cs="Times New Roman"/>
                <w:color w:val="auto"/>
                <w:sz w:val="21"/>
                <w:highlight w:val="none"/>
              </w:rPr>
              <w:t>烟气量</w:t>
            </w:r>
          </w:p>
        </w:tc>
        <w:tc>
          <w:tcPr>
            <w:tcW w:w="2980" w:type="pct"/>
            <w:gridSpan w:val="6"/>
            <w:tcBorders>
              <w:tl2br w:val="nil"/>
              <w:tr2bl w:val="nil"/>
            </w:tcBorders>
            <w:noWrap w:val="0"/>
            <w:vAlign w:val="center"/>
          </w:tcPr>
          <w:p w14:paraId="2DD8441A">
            <w:pPr>
              <w:pStyle w:val="65"/>
              <w:ind w:firstLineChars="200"/>
              <w:rPr>
                <w:rFonts w:hint="eastAsia" w:cs="Times New Roman"/>
                <w:color w:val="auto"/>
                <w:sz w:val="21"/>
                <w:highlight w:val="none"/>
              </w:rPr>
            </w:pPr>
            <w:r>
              <w:rPr>
                <w:rFonts w:hint="eastAsia" w:cs="Times New Roman"/>
                <w:color w:val="auto"/>
                <w:sz w:val="21"/>
                <w:highlight w:val="none"/>
              </w:rPr>
              <w:t>主要污染物排放情况</w:t>
            </w:r>
          </w:p>
        </w:tc>
      </w:tr>
      <w:bookmarkEnd w:id="357"/>
      <w:bookmarkEnd w:id="358"/>
      <w:tr w14:paraId="70CA4E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96" w:hRule="atLeast"/>
          <w:jc w:val="center"/>
        </w:trPr>
        <w:tc>
          <w:tcPr>
            <w:tcW w:w="907" w:type="pct"/>
            <w:vMerge w:val="continue"/>
            <w:tcBorders>
              <w:tl2br w:val="nil"/>
              <w:tr2bl w:val="nil"/>
            </w:tcBorders>
            <w:noWrap w:val="0"/>
            <w:vAlign w:val="center"/>
          </w:tcPr>
          <w:p w14:paraId="4DEB54C9">
            <w:pPr>
              <w:pStyle w:val="65"/>
              <w:ind w:firstLineChars="200"/>
              <w:rPr>
                <w:rFonts w:cs="Times New Roman"/>
                <w:color w:val="auto"/>
                <w:sz w:val="21"/>
                <w:highlight w:val="none"/>
              </w:rPr>
            </w:pPr>
            <w:bookmarkStart w:id="360" w:name="OLE_LINK106" w:colFirst="4" w:colLast="5"/>
            <w:bookmarkStart w:id="361" w:name="OLE_LINK89" w:colFirst="5" w:colLast="8"/>
          </w:p>
        </w:tc>
        <w:tc>
          <w:tcPr>
            <w:tcW w:w="523" w:type="pct"/>
            <w:vMerge w:val="restart"/>
            <w:tcBorders>
              <w:tl2br w:val="nil"/>
              <w:tr2bl w:val="nil"/>
            </w:tcBorders>
            <w:noWrap w:val="0"/>
            <w:vAlign w:val="center"/>
          </w:tcPr>
          <w:p w14:paraId="4F102638">
            <w:pPr>
              <w:pStyle w:val="65"/>
              <w:ind w:firstLine="0"/>
              <w:rPr>
                <w:rFonts w:cs="Times New Roman"/>
                <w:color w:val="auto"/>
                <w:sz w:val="21"/>
                <w:highlight w:val="none"/>
              </w:rPr>
            </w:pPr>
            <w:r>
              <w:rPr>
                <w:rFonts w:hint="eastAsia" w:cs="Times New Roman"/>
                <w:color w:val="auto"/>
                <w:sz w:val="21"/>
                <w:highlight w:val="none"/>
              </w:rPr>
              <w:t>万</w:t>
            </w:r>
            <w:r>
              <w:rPr>
                <w:rFonts w:cs="Times New Roman"/>
                <w:color w:val="auto"/>
                <w:sz w:val="21"/>
                <w:highlight w:val="none"/>
              </w:rPr>
              <w:t>m</w:t>
            </w:r>
            <w:r>
              <w:rPr>
                <w:rFonts w:cs="Times New Roman"/>
                <w:color w:val="auto"/>
                <w:sz w:val="21"/>
                <w:highlight w:val="none"/>
                <w:vertAlign w:val="superscript"/>
              </w:rPr>
              <w:t>3</w:t>
            </w:r>
            <w:r>
              <w:rPr>
                <w:rFonts w:cs="Times New Roman"/>
                <w:color w:val="auto"/>
                <w:sz w:val="21"/>
                <w:highlight w:val="none"/>
              </w:rPr>
              <w:t>/a</w:t>
            </w:r>
          </w:p>
        </w:tc>
        <w:tc>
          <w:tcPr>
            <w:tcW w:w="588" w:type="pct"/>
            <w:vMerge w:val="restart"/>
            <w:tcBorders>
              <w:tl2br w:val="nil"/>
              <w:tr2bl w:val="nil"/>
            </w:tcBorders>
            <w:noWrap w:val="0"/>
            <w:vAlign w:val="center"/>
          </w:tcPr>
          <w:p w14:paraId="6ED29A93">
            <w:pPr>
              <w:pStyle w:val="65"/>
              <w:ind w:firstLine="0"/>
              <w:rPr>
                <w:rFonts w:cs="Times New Roman"/>
                <w:color w:val="auto"/>
                <w:sz w:val="21"/>
                <w:highlight w:val="none"/>
              </w:rPr>
            </w:pPr>
            <w:r>
              <w:rPr>
                <w:rFonts w:hint="eastAsia" w:cs="Times New Roman"/>
                <w:color w:val="auto"/>
                <w:sz w:val="21"/>
                <w:highlight w:val="none"/>
              </w:rPr>
              <w:t>万</w:t>
            </w:r>
            <w:r>
              <w:rPr>
                <w:rFonts w:cs="Times New Roman"/>
                <w:color w:val="auto"/>
                <w:sz w:val="21"/>
                <w:highlight w:val="none"/>
              </w:rPr>
              <w:t>m</w:t>
            </w:r>
            <w:r>
              <w:rPr>
                <w:rFonts w:cs="Times New Roman"/>
                <w:color w:val="auto"/>
                <w:sz w:val="21"/>
                <w:highlight w:val="none"/>
                <w:vertAlign w:val="superscript"/>
              </w:rPr>
              <w:t>3</w:t>
            </w:r>
            <w:r>
              <w:rPr>
                <w:rFonts w:cs="Times New Roman"/>
                <w:color w:val="auto"/>
                <w:sz w:val="21"/>
                <w:highlight w:val="none"/>
              </w:rPr>
              <w:t>/a</w:t>
            </w:r>
          </w:p>
        </w:tc>
        <w:tc>
          <w:tcPr>
            <w:tcW w:w="1081" w:type="pct"/>
            <w:gridSpan w:val="2"/>
            <w:tcBorders>
              <w:tl2br w:val="nil"/>
              <w:tr2bl w:val="nil"/>
            </w:tcBorders>
            <w:noWrap w:val="0"/>
            <w:vAlign w:val="center"/>
          </w:tcPr>
          <w:p w14:paraId="452751F0">
            <w:pPr>
              <w:pStyle w:val="65"/>
              <w:ind w:left="-31" w:leftChars="-15" w:right="-31" w:rightChars="-15" w:firstLine="0" w:firstLineChars="0"/>
              <w:rPr>
                <w:rFonts w:cs="Times New Roman"/>
                <w:color w:val="auto"/>
                <w:sz w:val="21"/>
                <w:highlight w:val="none"/>
              </w:rPr>
            </w:pPr>
            <w:bookmarkStart w:id="362" w:name="OLE_LINK128"/>
            <w:r>
              <w:rPr>
                <w:rFonts w:cs="Times New Roman"/>
                <w:color w:val="auto"/>
                <w:sz w:val="21"/>
                <w:highlight w:val="none"/>
              </w:rPr>
              <w:t>NOx</w:t>
            </w:r>
            <w:bookmarkEnd w:id="362"/>
          </w:p>
        </w:tc>
        <w:tc>
          <w:tcPr>
            <w:tcW w:w="986" w:type="pct"/>
            <w:gridSpan w:val="2"/>
            <w:tcBorders>
              <w:tl2br w:val="nil"/>
              <w:tr2bl w:val="nil"/>
            </w:tcBorders>
            <w:noWrap w:val="0"/>
            <w:vAlign w:val="center"/>
          </w:tcPr>
          <w:p w14:paraId="0088DC8A">
            <w:pPr>
              <w:pStyle w:val="65"/>
              <w:ind w:left="-31" w:leftChars="-15" w:right="-31" w:rightChars="-15" w:firstLine="0" w:firstLineChars="0"/>
              <w:rPr>
                <w:rFonts w:cs="Times New Roman"/>
                <w:color w:val="auto"/>
                <w:sz w:val="21"/>
                <w:highlight w:val="none"/>
              </w:rPr>
            </w:pPr>
            <w:bookmarkStart w:id="363" w:name="OLE_LINK127"/>
            <w:r>
              <w:rPr>
                <w:rFonts w:cs="Times New Roman"/>
                <w:color w:val="auto"/>
                <w:sz w:val="21"/>
                <w:highlight w:val="none"/>
              </w:rPr>
              <w:t>SO</w:t>
            </w:r>
            <w:r>
              <w:rPr>
                <w:rFonts w:cs="Times New Roman"/>
                <w:color w:val="auto"/>
                <w:sz w:val="21"/>
                <w:highlight w:val="none"/>
                <w:vertAlign w:val="subscript"/>
              </w:rPr>
              <w:t>2</w:t>
            </w:r>
            <w:bookmarkEnd w:id="363"/>
          </w:p>
        </w:tc>
        <w:tc>
          <w:tcPr>
            <w:tcW w:w="912" w:type="pct"/>
            <w:gridSpan w:val="2"/>
            <w:tcBorders>
              <w:tl2br w:val="nil"/>
              <w:tr2bl w:val="nil"/>
            </w:tcBorders>
            <w:noWrap w:val="0"/>
            <w:vAlign w:val="center"/>
          </w:tcPr>
          <w:p w14:paraId="2C73C7BC">
            <w:pPr>
              <w:pStyle w:val="65"/>
              <w:ind w:left="-31" w:leftChars="-15" w:right="-31" w:rightChars="-15" w:firstLine="0" w:firstLineChars="0"/>
              <w:rPr>
                <w:rFonts w:hint="eastAsia" w:eastAsia="宋体" w:cs="Times New Roman"/>
                <w:color w:val="auto"/>
                <w:sz w:val="21"/>
                <w:highlight w:val="none"/>
                <w:lang w:val="en-US" w:eastAsia="zh-CN"/>
              </w:rPr>
            </w:pPr>
            <w:r>
              <w:rPr>
                <w:rFonts w:hint="eastAsia" w:cs="Times New Roman"/>
                <w:color w:val="auto"/>
                <w:sz w:val="21"/>
                <w:highlight w:val="none"/>
                <w:lang w:val="en-US" w:eastAsia="zh-CN"/>
              </w:rPr>
              <w:t>颗粒物</w:t>
            </w:r>
          </w:p>
        </w:tc>
      </w:tr>
      <w:bookmarkEnd w:id="360"/>
      <w:tr w14:paraId="2E6A47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29" w:hRule="atLeast"/>
          <w:jc w:val="center"/>
        </w:trPr>
        <w:tc>
          <w:tcPr>
            <w:tcW w:w="907" w:type="pct"/>
            <w:vMerge w:val="continue"/>
            <w:tcBorders>
              <w:tl2br w:val="nil"/>
              <w:tr2bl w:val="nil"/>
            </w:tcBorders>
            <w:noWrap w:val="0"/>
            <w:vAlign w:val="center"/>
          </w:tcPr>
          <w:p w14:paraId="0F801F08">
            <w:pPr>
              <w:pStyle w:val="65"/>
              <w:ind w:firstLineChars="200"/>
              <w:rPr>
                <w:rFonts w:cs="Times New Roman"/>
                <w:color w:val="auto"/>
                <w:sz w:val="21"/>
                <w:highlight w:val="none"/>
              </w:rPr>
            </w:pPr>
          </w:p>
        </w:tc>
        <w:tc>
          <w:tcPr>
            <w:tcW w:w="523" w:type="pct"/>
            <w:vMerge w:val="continue"/>
            <w:tcBorders>
              <w:tl2br w:val="nil"/>
              <w:tr2bl w:val="nil"/>
            </w:tcBorders>
            <w:noWrap w:val="0"/>
            <w:vAlign w:val="center"/>
          </w:tcPr>
          <w:p w14:paraId="55FA2170">
            <w:pPr>
              <w:pStyle w:val="65"/>
              <w:ind w:firstLineChars="200"/>
              <w:rPr>
                <w:rFonts w:cs="Times New Roman"/>
                <w:color w:val="auto"/>
                <w:sz w:val="21"/>
                <w:highlight w:val="none"/>
              </w:rPr>
            </w:pPr>
          </w:p>
        </w:tc>
        <w:tc>
          <w:tcPr>
            <w:tcW w:w="588" w:type="pct"/>
            <w:vMerge w:val="continue"/>
            <w:tcBorders>
              <w:tl2br w:val="nil"/>
              <w:tr2bl w:val="nil"/>
            </w:tcBorders>
            <w:noWrap w:val="0"/>
            <w:vAlign w:val="center"/>
          </w:tcPr>
          <w:p w14:paraId="067DDF37">
            <w:pPr>
              <w:pStyle w:val="65"/>
              <w:ind w:firstLineChars="200"/>
              <w:rPr>
                <w:rFonts w:cs="Times New Roman"/>
                <w:color w:val="auto"/>
                <w:sz w:val="21"/>
                <w:highlight w:val="none"/>
              </w:rPr>
            </w:pPr>
          </w:p>
        </w:tc>
        <w:tc>
          <w:tcPr>
            <w:tcW w:w="636" w:type="pct"/>
            <w:tcBorders>
              <w:tl2br w:val="nil"/>
              <w:tr2bl w:val="nil"/>
            </w:tcBorders>
            <w:noWrap w:val="0"/>
            <w:vAlign w:val="center"/>
          </w:tcPr>
          <w:p w14:paraId="049F6951">
            <w:pPr>
              <w:pStyle w:val="65"/>
              <w:ind w:left="-31" w:leftChars="-15" w:right="-31" w:rightChars="-15" w:firstLine="0" w:firstLineChars="0"/>
              <w:rPr>
                <w:rFonts w:cs="Times New Roman"/>
                <w:color w:val="auto"/>
                <w:sz w:val="21"/>
                <w:highlight w:val="none"/>
              </w:rPr>
            </w:pPr>
            <w:r>
              <w:rPr>
                <w:rFonts w:cs="Times New Roman"/>
                <w:color w:val="auto"/>
                <w:sz w:val="21"/>
                <w:highlight w:val="none"/>
              </w:rPr>
              <w:t>mg/m</w:t>
            </w:r>
            <w:r>
              <w:rPr>
                <w:rFonts w:cs="Times New Roman"/>
                <w:color w:val="auto"/>
                <w:sz w:val="21"/>
                <w:highlight w:val="none"/>
                <w:vertAlign w:val="superscript"/>
              </w:rPr>
              <w:t>3</w:t>
            </w:r>
          </w:p>
        </w:tc>
        <w:tc>
          <w:tcPr>
            <w:tcW w:w="445" w:type="pct"/>
            <w:tcBorders>
              <w:tl2br w:val="nil"/>
              <w:tr2bl w:val="nil"/>
            </w:tcBorders>
            <w:noWrap w:val="0"/>
            <w:vAlign w:val="center"/>
          </w:tcPr>
          <w:p w14:paraId="17F4D83B">
            <w:pPr>
              <w:pStyle w:val="65"/>
              <w:ind w:left="-31" w:leftChars="-15" w:right="-31" w:rightChars="-15" w:firstLine="0" w:firstLineChars="0"/>
              <w:rPr>
                <w:rFonts w:cs="Times New Roman"/>
                <w:color w:val="auto"/>
                <w:sz w:val="21"/>
                <w:highlight w:val="none"/>
              </w:rPr>
            </w:pPr>
            <w:r>
              <w:rPr>
                <w:rFonts w:cs="Times New Roman"/>
                <w:color w:val="auto"/>
                <w:sz w:val="21"/>
                <w:highlight w:val="none"/>
              </w:rPr>
              <w:t>t/a</w:t>
            </w:r>
          </w:p>
        </w:tc>
        <w:tc>
          <w:tcPr>
            <w:tcW w:w="534" w:type="pct"/>
            <w:tcBorders>
              <w:tl2br w:val="nil"/>
              <w:tr2bl w:val="nil"/>
            </w:tcBorders>
            <w:noWrap w:val="0"/>
            <w:vAlign w:val="center"/>
          </w:tcPr>
          <w:p w14:paraId="4DB45CDB">
            <w:pPr>
              <w:pStyle w:val="65"/>
              <w:ind w:left="-31" w:leftChars="-15" w:right="-31" w:rightChars="-15" w:firstLine="0" w:firstLineChars="0"/>
              <w:rPr>
                <w:rFonts w:cs="Times New Roman"/>
                <w:color w:val="auto"/>
                <w:sz w:val="21"/>
                <w:highlight w:val="none"/>
              </w:rPr>
            </w:pPr>
            <w:r>
              <w:rPr>
                <w:rFonts w:cs="Times New Roman"/>
                <w:color w:val="auto"/>
                <w:sz w:val="21"/>
                <w:highlight w:val="none"/>
              </w:rPr>
              <w:t>mg/m</w:t>
            </w:r>
            <w:r>
              <w:rPr>
                <w:rFonts w:cs="Times New Roman"/>
                <w:color w:val="auto"/>
                <w:sz w:val="21"/>
                <w:highlight w:val="none"/>
                <w:vertAlign w:val="superscript"/>
              </w:rPr>
              <w:t>3</w:t>
            </w:r>
          </w:p>
        </w:tc>
        <w:tc>
          <w:tcPr>
            <w:tcW w:w="452" w:type="pct"/>
            <w:tcBorders>
              <w:tl2br w:val="nil"/>
              <w:tr2bl w:val="nil"/>
            </w:tcBorders>
            <w:noWrap w:val="0"/>
            <w:vAlign w:val="center"/>
          </w:tcPr>
          <w:p w14:paraId="61DA7DCE">
            <w:pPr>
              <w:pStyle w:val="65"/>
              <w:ind w:left="-31" w:leftChars="-15" w:right="-31" w:rightChars="-15" w:firstLine="0" w:firstLineChars="0"/>
              <w:rPr>
                <w:rFonts w:cs="Times New Roman"/>
                <w:color w:val="auto"/>
                <w:sz w:val="21"/>
                <w:highlight w:val="none"/>
              </w:rPr>
            </w:pPr>
            <w:r>
              <w:rPr>
                <w:rFonts w:cs="Times New Roman"/>
                <w:color w:val="auto"/>
                <w:sz w:val="21"/>
                <w:highlight w:val="none"/>
              </w:rPr>
              <w:t>t/a</w:t>
            </w:r>
          </w:p>
        </w:tc>
        <w:tc>
          <w:tcPr>
            <w:tcW w:w="450" w:type="pct"/>
            <w:tcBorders>
              <w:tl2br w:val="nil"/>
              <w:tr2bl w:val="nil"/>
            </w:tcBorders>
            <w:noWrap w:val="0"/>
            <w:vAlign w:val="center"/>
          </w:tcPr>
          <w:p w14:paraId="5159C875">
            <w:pPr>
              <w:adjustRightInd w:val="0"/>
              <w:snapToGrid w:val="0"/>
              <w:jc w:val="center"/>
              <w:textAlignment w:val="baseline"/>
              <w:rPr>
                <w:rFonts w:ascii="Times New Roman" w:hAnsi="Times New Roman" w:eastAsia="宋体" w:cs="Times New Roman"/>
                <w:bCs/>
                <w:color w:val="auto"/>
                <w:kern w:val="2"/>
                <w:sz w:val="21"/>
                <w:szCs w:val="21"/>
                <w:highlight w:val="none"/>
                <w:lang w:val="en-US" w:eastAsia="zh-CN" w:bidi="ar-SA"/>
              </w:rPr>
            </w:pPr>
            <w:r>
              <w:rPr>
                <w:rFonts w:ascii="Times New Roman" w:hAnsi="Times New Roman" w:cs="Times New Roman"/>
                <w:bCs/>
                <w:color w:val="auto"/>
                <w:sz w:val="21"/>
                <w:szCs w:val="21"/>
                <w:highlight w:val="none"/>
              </w:rPr>
              <w:t>mg/m</w:t>
            </w:r>
            <w:r>
              <w:rPr>
                <w:rFonts w:ascii="Times New Roman" w:hAnsi="Times New Roman" w:cs="Times New Roman"/>
                <w:bCs/>
                <w:color w:val="auto"/>
                <w:sz w:val="21"/>
                <w:szCs w:val="21"/>
                <w:highlight w:val="none"/>
                <w:vertAlign w:val="superscript"/>
              </w:rPr>
              <w:t>3</w:t>
            </w:r>
          </w:p>
        </w:tc>
        <w:tc>
          <w:tcPr>
            <w:tcW w:w="462" w:type="pct"/>
            <w:tcBorders>
              <w:tl2br w:val="nil"/>
              <w:tr2bl w:val="nil"/>
            </w:tcBorders>
            <w:noWrap w:val="0"/>
            <w:vAlign w:val="center"/>
          </w:tcPr>
          <w:p w14:paraId="0ADC6B6D">
            <w:pPr>
              <w:adjustRightInd w:val="0"/>
              <w:snapToGrid w:val="0"/>
              <w:jc w:val="center"/>
              <w:textAlignment w:val="baseline"/>
              <w:rPr>
                <w:rFonts w:ascii="Times New Roman" w:hAnsi="Times New Roman" w:eastAsia="宋体" w:cs="Times New Roman"/>
                <w:bCs/>
                <w:color w:val="auto"/>
                <w:kern w:val="2"/>
                <w:sz w:val="21"/>
                <w:szCs w:val="21"/>
                <w:highlight w:val="none"/>
                <w:lang w:val="en-US" w:eastAsia="zh-CN" w:bidi="ar-SA"/>
              </w:rPr>
            </w:pPr>
            <w:r>
              <w:rPr>
                <w:rFonts w:ascii="Times New Roman" w:hAnsi="Times New Roman" w:cs="Times New Roman"/>
                <w:bCs/>
                <w:color w:val="auto"/>
                <w:sz w:val="21"/>
                <w:szCs w:val="21"/>
                <w:highlight w:val="none"/>
              </w:rPr>
              <w:t>t/a</w:t>
            </w:r>
          </w:p>
        </w:tc>
      </w:tr>
      <w:tr w14:paraId="28F615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96" w:hRule="atLeast"/>
          <w:jc w:val="center"/>
        </w:trPr>
        <w:tc>
          <w:tcPr>
            <w:tcW w:w="907" w:type="pct"/>
            <w:tcBorders>
              <w:tl2br w:val="nil"/>
              <w:tr2bl w:val="nil"/>
            </w:tcBorders>
            <w:noWrap w:val="0"/>
            <w:vAlign w:val="center"/>
          </w:tcPr>
          <w:p w14:paraId="7A531996">
            <w:pPr>
              <w:pStyle w:val="65"/>
              <w:ind w:firstLine="0"/>
              <w:jc w:val="both"/>
              <w:rPr>
                <w:rFonts w:cs="Times New Roman"/>
                <w:color w:val="auto"/>
                <w:sz w:val="21"/>
                <w:highlight w:val="none"/>
              </w:rPr>
            </w:pPr>
            <w:r>
              <w:rPr>
                <w:rFonts w:hint="eastAsia" w:cs="Times New Roman"/>
                <w:color w:val="auto"/>
                <w:sz w:val="21"/>
                <w:highlight w:val="none"/>
              </w:rPr>
              <w:t>加热炉</w:t>
            </w:r>
          </w:p>
        </w:tc>
        <w:tc>
          <w:tcPr>
            <w:tcW w:w="523" w:type="pct"/>
            <w:tcBorders>
              <w:tl2br w:val="nil"/>
              <w:tr2bl w:val="nil"/>
            </w:tcBorders>
            <w:noWrap w:val="0"/>
            <w:vAlign w:val="center"/>
          </w:tcPr>
          <w:p w14:paraId="5AC111F5">
            <w:pPr>
              <w:pStyle w:val="65"/>
              <w:tabs>
                <w:tab w:val="left" w:pos="450"/>
              </w:tabs>
              <w:ind w:firstLine="0"/>
              <w:rPr>
                <w:rFonts w:hint="default" w:eastAsia="宋体" w:cs="Times New Roman"/>
                <w:color w:val="auto"/>
                <w:sz w:val="21"/>
                <w:highlight w:val="none"/>
                <w:lang w:val="en-US" w:eastAsia="zh-CN"/>
              </w:rPr>
            </w:pPr>
            <w:r>
              <w:rPr>
                <w:rFonts w:hint="eastAsia" w:cs="Times New Roman"/>
                <w:color w:val="auto"/>
                <w:sz w:val="21"/>
                <w:highlight w:val="none"/>
                <w:lang w:val="en-US" w:eastAsia="zh-CN"/>
              </w:rPr>
              <w:t>9.18</w:t>
            </w:r>
          </w:p>
        </w:tc>
        <w:tc>
          <w:tcPr>
            <w:tcW w:w="588" w:type="pct"/>
            <w:tcBorders>
              <w:tl2br w:val="nil"/>
              <w:tr2bl w:val="nil"/>
            </w:tcBorders>
            <w:noWrap w:val="0"/>
            <w:vAlign w:val="center"/>
          </w:tcPr>
          <w:p w14:paraId="5A35D85A">
            <w:pPr>
              <w:pStyle w:val="65"/>
              <w:ind w:firstLine="0"/>
              <w:rPr>
                <w:rFonts w:hint="default" w:eastAsia="宋体" w:cs="Times New Roman"/>
                <w:color w:val="auto"/>
                <w:sz w:val="21"/>
                <w:highlight w:val="none"/>
                <w:lang w:val="en-US" w:eastAsia="zh-CN"/>
              </w:rPr>
            </w:pPr>
            <w:r>
              <w:rPr>
                <w:rFonts w:hint="eastAsia" w:cs="Times New Roman"/>
                <w:color w:val="auto"/>
                <w:sz w:val="21"/>
                <w:highlight w:val="none"/>
                <w:lang w:val="en-US" w:eastAsia="zh-CN"/>
              </w:rPr>
              <w:t>105.1</w:t>
            </w:r>
          </w:p>
        </w:tc>
        <w:tc>
          <w:tcPr>
            <w:tcW w:w="636" w:type="pct"/>
            <w:tcBorders>
              <w:tl2br w:val="nil"/>
              <w:tr2bl w:val="nil"/>
            </w:tcBorders>
            <w:noWrap w:val="0"/>
            <w:vAlign w:val="center"/>
          </w:tcPr>
          <w:p w14:paraId="7A42B8FD">
            <w:pPr>
              <w:pStyle w:val="65"/>
              <w:ind w:left="-31" w:leftChars="-15" w:right="-31" w:rightChars="-15" w:firstLine="0" w:firstLineChars="0"/>
              <w:rPr>
                <w:rFonts w:hint="default" w:eastAsia="宋体" w:cs="Times New Roman"/>
                <w:color w:val="auto"/>
                <w:sz w:val="21"/>
                <w:highlight w:val="none"/>
                <w:lang w:val="en-US" w:eastAsia="zh-CN"/>
              </w:rPr>
            </w:pPr>
            <w:r>
              <w:rPr>
                <w:rFonts w:hint="eastAsia" w:cs="Times New Roman"/>
                <w:color w:val="auto"/>
                <w:sz w:val="21"/>
                <w:highlight w:val="none"/>
                <w:lang w:val="en-US" w:eastAsia="zh-CN"/>
              </w:rPr>
              <w:t>147</w:t>
            </w:r>
          </w:p>
        </w:tc>
        <w:tc>
          <w:tcPr>
            <w:tcW w:w="445" w:type="pct"/>
            <w:tcBorders>
              <w:tl2br w:val="nil"/>
              <w:tr2bl w:val="nil"/>
            </w:tcBorders>
            <w:noWrap w:val="0"/>
            <w:vAlign w:val="center"/>
          </w:tcPr>
          <w:p w14:paraId="7DBB089F">
            <w:pPr>
              <w:pStyle w:val="65"/>
              <w:ind w:left="-31" w:leftChars="-15" w:right="-31" w:rightChars="-15" w:firstLine="0" w:firstLineChars="0"/>
              <w:rPr>
                <w:rFonts w:hint="default" w:eastAsia="宋体" w:cs="Times New Roman"/>
                <w:color w:val="auto"/>
                <w:sz w:val="21"/>
                <w:highlight w:val="none"/>
                <w:lang w:val="en-US" w:eastAsia="zh-CN"/>
              </w:rPr>
            </w:pPr>
            <w:bookmarkStart w:id="364" w:name="OLE_LINK131"/>
            <w:r>
              <w:rPr>
                <w:rFonts w:hint="eastAsia" w:cs="Times New Roman"/>
                <w:color w:val="auto"/>
                <w:sz w:val="21"/>
                <w:highlight w:val="none"/>
                <w:lang w:val="en-US" w:eastAsia="zh-CN"/>
              </w:rPr>
              <w:t>0.155</w:t>
            </w:r>
            <w:bookmarkEnd w:id="364"/>
          </w:p>
        </w:tc>
        <w:tc>
          <w:tcPr>
            <w:tcW w:w="534" w:type="pct"/>
            <w:tcBorders>
              <w:tl2br w:val="nil"/>
              <w:tr2bl w:val="nil"/>
            </w:tcBorders>
            <w:noWrap w:val="0"/>
            <w:vAlign w:val="center"/>
          </w:tcPr>
          <w:p w14:paraId="09F57763">
            <w:pPr>
              <w:pStyle w:val="65"/>
              <w:ind w:left="-31" w:leftChars="-15" w:right="-31" w:rightChars="-15" w:firstLine="0" w:firstLineChars="0"/>
              <w:rPr>
                <w:rFonts w:cs="Times New Roman"/>
                <w:color w:val="auto"/>
                <w:sz w:val="21"/>
                <w:highlight w:val="none"/>
              </w:rPr>
            </w:pPr>
            <w:r>
              <w:rPr>
                <w:rFonts w:hint="eastAsia" w:cs="Times New Roman"/>
                <w:color w:val="auto"/>
                <w:sz w:val="21"/>
                <w:highlight w:val="none"/>
              </w:rPr>
              <w:t>37</w:t>
            </w:r>
          </w:p>
        </w:tc>
        <w:tc>
          <w:tcPr>
            <w:tcW w:w="452" w:type="pct"/>
            <w:tcBorders>
              <w:tl2br w:val="nil"/>
              <w:tr2bl w:val="nil"/>
            </w:tcBorders>
            <w:noWrap w:val="0"/>
            <w:vAlign w:val="center"/>
          </w:tcPr>
          <w:p w14:paraId="071326EB">
            <w:pPr>
              <w:pStyle w:val="65"/>
              <w:ind w:left="-31" w:leftChars="-15" w:right="-31" w:rightChars="-15" w:firstLine="0" w:firstLineChars="0"/>
              <w:rPr>
                <w:rFonts w:hint="default" w:eastAsia="宋体" w:cs="Times New Roman"/>
                <w:color w:val="auto"/>
                <w:sz w:val="21"/>
                <w:highlight w:val="none"/>
                <w:lang w:val="en-US" w:eastAsia="zh-CN"/>
              </w:rPr>
            </w:pPr>
            <w:bookmarkStart w:id="365" w:name="OLE_LINK130"/>
            <w:r>
              <w:rPr>
                <w:rFonts w:hint="eastAsia" w:cs="Times New Roman"/>
                <w:color w:val="auto"/>
                <w:sz w:val="21"/>
                <w:highlight w:val="none"/>
                <w:lang w:val="en-US" w:eastAsia="zh-CN"/>
              </w:rPr>
              <w:t>0.0</w:t>
            </w:r>
            <w:bookmarkEnd w:id="365"/>
            <w:r>
              <w:rPr>
                <w:rFonts w:hint="eastAsia" w:cs="Times New Roman"/>
                <w:color w:val="auto"/>
                <w:sz w:val="21"/>
                <w:highlight w:val="none"/>
                <w:lang w:val="en-US" w:eastAsia="zh-CN"/>
              </w:rPr>
              <w:t>039</w:t>
            </w:r>
          </w:p>
        </w:tc>
        <w:tc>
          <w:tcPr>
            <w:tcW w:w="450" w:type="pct"/>
            <w:tcBorders>
              <w:tl2br w:val="nil"/>
              <w:tr2bl w:val="nil"/>
            </w:tcBorders>
            <w:noWrap w:val="0"/>
            <w:vAlign w:val="center"/>
          </w:tcPr>
          <w:p w14:paraId="24324A96">
            <w:pPr>
              <w:pStyle w:val="65"/>
              <w:ind w:left="-31" w:leftChars="-15" w:right="-31" w:rightChars="-15" w:firstLine="0" w:firstLineChars="0"/>
              <w:rPr>
                <w:rFonts w:hint="eastAsia" w:cs="Times New Roman"/>
                <w:color w:val="auto"/>
                <w:sz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c>
          <w:tcPr>
            <w:tcW w:w="462" w:type="pct"/>
            <w:tcBorders>
              <w:tl2br w:val="nil"/>
              <w:tr2bl w:val="nil"/>
            </w:tcBorders>
            <w:noWrap w:val="0"/>
            <w:vAlign w:val="center"/>
          </w:tcPr>
          <w:p w14:paraId="23930101">
            <w:pPr>
              <w:pStyle w:val="65"/>
              <w:ind w:left="-31" w:leftChars="-15" w:right="-31" w:rightChars="-15" w:firstLine="0" w:firstLineChars="0"/>
              <w:rPr>
                <w:rFonts w:hint="default" w:cs="Times New Roman"/>
                <w:color w:val="auto"/>
                <w:sz w:val="21"/>
                <w:highlight w:val="none"/>
                <w:lang w:val="en-US" w:eastAsia="zh-CN"/>
              </w:rPr>
            </w:pPr>
            <w:bookmarkStart w:id="366" w:name="OLE_LINK129"/>
            <w:r>
              <w:rPr>
                <w:rFonts w:hint="eastAsia" w:cs="Times New Roman"/>
                <w:color w:val="auto"/>
                <w:sz w:val="21"/>
                <w:highlight w:val="none"/>
                <w:lang w:val="en-US" w:eastAsia="zh-CN"/>
              </w:rPr>
              <w:t>0.021</w:t>
            </w:r>
            <w:bookmarkEnd w:id="366"/>
          </w:p>
        </w:tc>
      </w:tr>
      <w:tr w14:paraId="33B3B2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5" w:hRule="atLeast"/>
          <w:jc w:val="center"/>
        </w:trPr>
        <w:tc>
          <w:tcPr>
            <w:tcW w:w="907" w:type="pct"/>
            <w:tcBorders>
              <w:tl2br w:val="nil"/>
              <w:tr2bl w:val="nil"/>
            </w:tcBorders>
            <w:noWrap w:val="0"/>
            <w:vAlign w:val="center"/>
          </w:tcPr>
          <w:p w14:paraId="357A354E">
            <w:pPr>
              <w:pStyle w:val="65"/>
              <w:ind w:firstLine="0"/>
              <w:jc w:val="both"/>
              <w:rPr>
                <w:rFonts w:cs="Times New Roman"/>
                <w:color w:val="auto"/>
                <w:sz w:val="21"/>
                <w:highlight w:val="none"/>
              </w:rPr>
            </w:pPr>
            <w:r>
              <w:rPr>
                <w:rFonts w:hint="eastAsia" w:cs="Times New Roman"/>
                <w:color w:val="auto"/>
                <w:sz w:val="21"/>
                <w:highlight w:val="none"/>
              </w:rPr>
              <w:t>标准限值</w:t>
            </w:r>
          </w:p>
        </w:tc>
        <w:tc>
          <w:tcPr>
            <w:tcW w:w="523" w:type="pct"/>
            <w:tcBorders>
              <w:tl2br w:val="nil"/>
              <w:tr2bl w:val="nil"/>
            </w:tcBorders>
            <w:noWrap w:val="0"/>
            <w:vAlign w:val="center"/>
          </w:tcPr>
          <w:p w14:paraId="54ABFC24">
            <w:pPr>
              <w:pStyle w:val="65"/>
              <w:ind w:left="0" w:leftChars="0" w:firstLine="0" w:firstLineChars="0"/>
              <w:jc w:val="center"/>
              <w:rPr>
                <w:rFonts w:cs="Times New Roman"/>
                <w:color w:val="auto"/>
                <w:sz w:val="21"/>
                <w:highlight w:val="none"/>
              </w:rPr>
            </w:pPr>
            <w:r>
              <w:rPr>
                <w:rFonts w:cs="Times New Roman"/>
                <w:color w:val="auto"/>
                <w:sz w:val="21"/>
                <w:highlight w:val="none"/>
              </w:rPr>
              <w:t>/</w:t>
            </w:r>
          </w:p>
        </w:tc>
        <w:tc>
          <w:tcPr>
            <w:tcW w:w="588" w:type="pct"/>
            <w:tcBorders>
              <w:tl2br w:val="nil"/>
              <w:tr2bl w:val="nil"/>
            </w:tcBorders>
            <w:noWrap w:val="0"/>
            <w:vAlign w:val="center"/>
          </w:tcPr>
          <w:p w14:paraId="427BAD22">
            <w:pPr>
              <w:pStyle w:val="65"/>
              <w:ind w:left="0" w:leftChars="0" w:firstLine="0" w:firstLineChars="0"/>
              <w:jc w:val="center"/>
              <w:rPr>
                <w:rFonts w:cs="Times New Roman"/>
                <w:color w:val="auto"/>
                <w:sz w:val="21"/>
                <w:highlight w:val="none"/>
              </w:rPr>
            </w:pPr>
            <w:r>
              <w:rPr>
                <w:rFonts w:cs="Times New Roman"/>
                <w:color w:val="auto"/>
                <w:sz w:val="21"/>
                <w:highlight w:val="none"/>
              </w:rPr>
              <w:t>/</w:t>
            </w:r>
          </w:p>
        </w:tc>
        <w:tc>
          <w:tcPr>
            <w:tcW w:w="636" w:type="pct"/>
            <w:tcBorders>
              <w:tl2br w:val="nil"/>
              <w:tr2bl w:val="nil"/>
            </w:tcBorders>
            <w:noWrap w:val="0"/>
            <w:vAlign w:val="center"/>
          </w:tcPr>
          <w:p w14:paraId="4947D764">
            <w:pPr>
              <w:pStyle w:val="65"/>
              <w:ind w:left="0" w:leftChars="0" w:right="-31" w:rightChars="-15" w:firstLine="0" w:firstLineChars="0"/>
              <w:jc w:val="center"/>
              <w:rPr>
                <w:rFonts w:cs="Times New Roman"/>
                <w:color w:val="auto"/>
                <w:sz w:val="21"/>
                <w:highlight w:val="none"/>
              </w:rPr>
            </w:pPr>
            <w:r>
              <w:rPr>
                <w:rFonts w:cs="Times New Roman"/>
                <w:color w:val="auto"/>
                <w:sz w:val="21"/>
                <w:highlight w:val="none"/>
              </w:rPr>
              <w:t>200</w:t>
            </w:r>
          </w:p>
        </w:tc>
        <w:tc>
          <w:tcPr>
            <w:tcW w:w="445" w:type="pct"/>
            <w:tcBorders>
              <w:tl2br w:val="nil"/>
              <w:tr2bl w:val="nil"/>
            </w:tcBorders>
            <w:noWrap w:val="0"/>
            <w:vAlign w:val="center"/>
          </w:tcPr>
          <w:p w14:paraId="6A7E948C">
            <w:pPr>
              <w:pStyle w:val="65"/>
              <w:ind w:left="0" w:leftChars="0" w:right="-31" w:rightChars="-15" w:firstLine="0" w:firstLineChars="0"/>
              <w:jc w:val="center"/>
              <w:rPr>
                <w:rFonts w:cs="Times New Roman"/>
                <w:color w:val="auto"/>
                <w:sz w:val="21"/>
                <w:highlight w:val="none"/>
              </w:rPr>
            </w:pPr>
            <w:r>
              <w:rPr>
                <w:rFonts w:cs="Times New Roman"/>
                <w:color w:val="auto"/>
                <w:sz w:val="21"/>
                <w:highlight w:val="none"/>
              </w:rPr>
              <w:t>/</w:t>
            </w:r>
          </w:p>
        </w:tc>
        <w:tc>
          <w:tcPr>
            <w:tcW w:w="534" w:type="pct"/>
            <w:tcBorders>
              <w:tl2br w:val="nil"/>
              <w:tr2bl w:val="nil"/>
            </w:tcBorders>
            <w:noWrap w:val="0"/>
            <w:vAlign w:val="center"/>
          </w:tcPr>
          <w:p w14:paraId="663E9B16">
            <w:pPr>
              <w:pStyle w:val="65"/>
              <w:ind w:left="0" w:leftChars="0" w:right="-31" w:rightChars="-15" w:firstLine="0" w:firstLineChars="0"/>
              <w:jc w:val="center"/>
              <w:rPr>
                <w:rFonts w:cs="Times New Roman"/>
                <w:color w:val="auto"/>
                <w:sz w:val="21"/>
                <w:highlight w:val="none"/>
              </w:rPr>
            </w:pPr>
            <w:r>
              <w:rPr>
                <w:rFonts w:cs="Times New Roman"/>
                <w:color w:val="auto"/>
                <w:sz w:val="21"/>
                <w:highlight w:val="none"/>
              </w:rPr>
              <w:t>50</w:t>
            </w:r>
          </w:p>
        </w:tc>
        <w:tc>
          <w:tcPr>
            <w:tcW w:w="452" w:type="pct"/>
            <w:tcBorders>
              <w:tl2br w:val="nil"/>
              <w:tr2bl w:val="nil"/>
            </w:tcBorders>
            <w:noWrap w:val="0"/>
            <w:vAlign w:val="center"/>
          </w:tcPr>
          <w:p w14:paraId="2CE72BB7">
            <w:pPr>
              <w:pStyle w:val="65"/>
              <w:ind w:left="0" w:leftChars="0" w:right="-31" w:rightChars="-15" w:firstLine="0" w:firstLineChars="0"/>
              <w:jc w:val="center"/>
              <w:rPr>
                <w:rFonts w:cs="Times New Roman"/>
                <w:color w:val="auto"/>
                <w:sz w:val="21"/>
                <w:highlight w:val="none"/>
              </w:rPr>
            </w:pPr>
            <w:r>
              <w:rPr>
                <w:rFonts w:cs="Times New Roman"/>
                <w:color w:val="auto"/>
                <w:sz w:val="21"/>
                <w:highlight w:val="none"/>
              </w:rPr>
              <w:t>/</w:t>
            </w:r>
          </w:p>
        </w:tc>
        <w:tc>
          <w:tcPr>
            <w:tcW w:w="450" w:type="pct"/>
            <w:tcBorders>
              <w:tl2br w:val="nil"/>
              <w:tr2bl w:val="nil"/>
            </w:tcBorders>
            <w:noWrap w:val="0"/>
            <w:vAlign w:val="center"/>
          </w:tcPr>
          <w:p w14:paraId="6E4D8712">
            <w:pPr>
              <w:pStyle w:val="65"/>
              <w:ind w:left="0" w:leftChars="0" w:right="-31" w:rightChars="-15" w:firstLine="0" w:firstLineChars="0"/>
              <w:jc w:val="center"/>
              <w:rPr>
                <w:rFonts w:hint="default" w:eastAsia="宋体" w:cs="Times New Roman"/>
                <w:color w:val="auto"/>
                <w:sz w:val="21"/>
                <w:highlight w:val="none"/>
                <w:lang w:val="en-US" w:eastAsia="zh-CN"/>
              </w:rPr>
            </w:pPr>
            <w:r>
              <w:rPr>
                <w:rFonts w:hint="eastAsia" w:cs="Times New Roman"/>
                <w:color w:val="auto"/>
                <w:sz w:val="21"/>
                <w:highlight w:val="none"/>
                <w:lang w:val="en-US" w:eastAsia="zh-CN"/>
              </w:rPr>
              <w:t>20</w:t>
            </w:r>
          </w:p>
        </w:tc>
        <w:tc>
          <w:tcPr>
            <w:tcW w:w="462" w:type="pct"/>
            <w:tcBorders>
              <w:tl2br w:val="nil"/>
              <w:tr2bl w:val="nil"/>
            </w:tcBorders>
            <w:noWrap w:val="0"/>
            <w:vAlign w:val="center"/>
          </w:tcPr>
          <w:p w14:paraId="45F4A2EF">
            <w:pPr>
              <w:pStyle w:val="65"/>
              <w:ind w:left="0" w:leftChars="0" w:right="-31" w:rightChars="-15" w:firstLine="0" w:firstLineChars="0"/>
              <w:jc w:val="center"/>
              <w:rPr>
                <w:rFonts w:hint="eastAsia" w:eastAsia="宋体" w:cs="Times New Roman"/>
                <w:color w:val="auto"/>
                <w:sz w:val="21"/>
                <w:highlight w:val="none"/>
                <w:lang w:val="en-US" w:eastAsia="zh-CN"/>
              </w:rPr>
            </w:pPr>
            <w:r>
              <w:rPr>
                <w:rFonts w:hint="eastAsia" w:cs="Times New Roman"/>
                <w:color w:val="auto"/>
                <w:sz w:val="21"/>
                <w:highlight w:val="none"/>
                <w:lang w:val="en-US" w:eastAsia="zh-CN"/>
              </w:rPr>
              <w:t>/</w:t>
            </w:r>
          </w:p>
        </w:tc>
      </w:tr>
      <w:bookmarkEnd w:id="359"/>
      <w:bookmarkEnd w:id="361"/>
    </w:tbl>
    <w:p w14:paraId="6E0C5C5D">
      <w:pPr>
        <w:keepNext w:val="0"/>
        <w:keepLines w:val="0"/>
        <w:pageBreakBefore w:val="0"/>
        <w:widowControl/>
        <w:kinsoku/>
        <w:wordWrap/>
        <w:overflowPunct/>
        <w:topLinePunct w:val="0"/>
        <w:autoSpaceDE/>
        <w:autoSpaceDN/>
        <w:bidi w:val="0"/>
        <w:adjustRightInd w:val="0"/>
        <w:snapToGrid w:val="0"/>
        <w:spacing w:line="240" w:lineRule="auto"/>
        <w:ind w:firstLine="480" w:firstLineChars="200"/>
        <w:jc w:val="left"/>
        <w:textAlignment w:val="auto"/>
        <w:rPr>
          <w:rFonts w:hint="default" w:ascii="Times New Roman" w:hAnsi="Times New Roman" w:eastAsia="宋体" w:cs="Times New Roman"/>
          <w:bCs/>
          <w:snapToGrid w:val="0"/>
          <w:color w:val="auto"/>
          <w:kern w:val="0"/>
          <w:sz w:val="24"/>
          <w:szCs w:val="24"/>
          <w:highlight w:val="none"/>
          <w:lang w:val="en-US" w:eastAsia="zh-CN" w:bidi="ar-SA"/>
        </w:rPr>
      </w:pPr>
    </w:p>
    <w:p w14:paraId="6EBD83F5">
      <w:pPr>
        <w:pStyle w:val="79"/>
        <w:bidi w:val="0"/>
        <w:rPr>
          <w:rFonts w:hint="default"/>
          <w:color w:val="auto"/>
          <w:lang w:val="en-US" w:eastAsia="zh-CN"/>
        </w:rPr>
      </w:pPr>
      <w:r>
        <w:rPr>
          <w:rFonts w:hint="default"/>
          <w:color w:val="auto"/>
          <w:lang w:val="en-US" w:eastAsia="zh-CN"/>
        </w:rPr>
        <w:t>根据项目所在地阿克苏</w:t>
      </w:r>
      <w:r>
        <w:rPr>
          <w:rFonts w:hint="eastAsia"/>
          <w:color w:val="auto"/>
          <w:lang w:val="en-US" w:eastAsia="zh-CN"/>
        </w:rPr>
        <w:t>地区</w:t>
      </w:r>
      <w:r>
        <w:rPr>
          <w:rFonts w:hint="default"/>
          <w:color w:val="auto"/>
          <w:lang w:val="en-US" w:eastAsia="zh-CN"/>
        </w:rPr>
        <w:t>生态环境局要求，燃气加热炉须根据《</w:t>
      </w:r>
      <w:bookmarkStart w:id="367" w:name="OLE_LINK186"/>
      <w:r>
        <w:rPr>
          <w:rFonts w:hint="default"/>
          <w:color w:val="auto"/>
          <w:lang w:val="en-US" w:eastAsia="zh-CN"/>
        </w:rPr>
        <w:t>工业源挥发性有机物通用源项</w:t>
      </w:r>
      <w:bookmarkEnd w:id="367"/>
      <w:r>
        <w:rPr>
          <w:rFonts w:hint="default"/>
          <w:color w:val="auto"/>
          <w:lang w:val="en-US" w:eastAsia="zh-CN"/>
        </w:rPr>
        <w:t>核算系数手册》中</w:t>
      </w:r>
      <w:r>
        <w:rPr>
          <w:rFonts w:hint="eastAsia"/>
          <w:color w:val="auto"/>
          <w:lang w:val="en-US" w:eastAsia="zh-CN"/>
        </w:rPr>
        <w:t>“</w:t>
      </w:r>
      <w:r>
        <w:rPr>
          <w:rFonts w:hint="default"/>
          <w:color w:val="auto"/>
          <w:lang w:val="en-US" w:eastAsia="zh-CN"/>
        </w:rPr>
        <w:t>附表 1.燃烧烟气锅炉挥发性有机物产污系数表</w:t>
      </w:r>
      <w:r>
        <w:rPr>
          <w:rFonts w:hint="eastAsia"/>
          <w:color w:val="auto"/>
          <w:lang w:val="en-US" w:eastAsia="zh-CN"/>
        </w:rPr>
        <w:t>”</w:t>
      </w:r>
      <w:r>
        <w:rPr>
          <w:rFonts w:hint="default"/>
          <w:color w:val="auto"/>
          <w:lang w:val="en-US" w:eastAsia="zh-CN"/>
        </w:rPr>
        <w:t>核算挥发性有机物，</w:t>
      </w:r>
      <w:bookmarkStart w:id="368" w:name="OLE_LINK187"/>
      <w:r>
        <w:rPr>
          <w:rFonts w:hint="default"/>
          <w:color w:val="auto"/>
          <w:lang w:val="en-US" w:eastAsia="zh-CN"/>
        </w:rPr>
        <w:t>该手册中天然气加热炉挥发性有机物产污系数为1.68千克/万立方米</w:t>
      </w:r>
      <w:r>
        <w:rPr>
          <w:rFonts w:hint="eastAsia"/>
          <w:color w:val="auto"/>
          <w:lang w:val="en-US" w:eastAsia="zh-CN"/>
        </w:rPr>
        <w:t>－</w:t>
      </w:r>
      <w:r>
        <w:rPr>
          <w:rFonts w:hint="default"/>
          <w:color w:val="auto"/>
          <w:lang w:val="en-US" w:eastAsia="zh-CN"/>
        </w:rPr>
        <w:t>燃料，</w:t>
      </w:r>
      <w:bookmarkEnd w:id="368"/>
      <w:r>
        <w:rPr>
          <w:rFonts w:hint="default"/>
          <w:color w:val="auto"/>
          <w:lang w:val="en-US" w:eastAsia="zh-CN"/>
        </w:rPr>
        <w:t>本项目运营期耗气量约</w:t>
      </w:r>
      <w:r>
        <w:rPr>
          <w:rFonts w:hint="eastAsia"/>
          <w:color w:val="auto"/>
          <w:lang w:val="en-US" w:eastAsia="zh-CN"/>
        </w:rPr>
        <w:t>9.18</w:t>
      </w:r>
      <w:r>
        <w:rPr>
          <w:rFonts w:hint="default"/>
          <w:color w:val="auto"/>
          <w:lang w:val="en-US" w:eastAsia="zh-CN"/>
        </w:rPr>
        <w:t>×10</w:t>
      </w:r>
      <w:bookmarkStart w:id="369" w:name="OLE_LINK183"/>
      <w:r>
        <w:rPr>
          <w:rFonts w:hint="default"/>
          <w:color w:val="auto"/>
          <w:vertAlign w:val="superscript"/>
          <w:lang w:val="en-US" w:eastAsia="zh-CN"/>
        </w:rPr>
        <w:t>4</w:t>
      </w:r>
      <w:bookmarkEnd w:id="369"/>
      <w:r>
        <w:rPr>
          <w:rFonts w:hint="default"/>
          <w:color w:val="auto"/>
          <w:lang w:val="en-US" w:eastAsia="zh-CN"/>
        </w:rPr>
        <w:t>m</w:t>
      </w:r>
      <w:r>
        <w:rPr>
          <w:rFonts w:hint="default"/>
          <w:color w:val="auto"/>
          <w:vertAlign w:val="superscript"/>
          <w:lang w:val="en-US" w:eastAsia="zh-CN"/>
        </w:rPr>
        <w:t>3</w:t>
      </w:r>
      <w:r>
        <w:rPr>
          <w:rFonts w:hint="default"/>
          <w:color w:val="auto"/>
          <w:lang w:val="en-US" w:eastAsia="zh-CN"/>
        </w:rPr>
        <w:t>/a，燃气加热炉产生的挥发性有机物约</w:t>
      </w:r>
      <w:r>
        <w:rPr>
          <w:rFonts w:hint="eastAsia"/>
          <w:color w:val="auto"/>
          <w:lang w:val="en-US" w:eastAsia="zh-CN"/>
        </w:rPr>
        <w:t>0.0154</w:t>
      </w:r>
      <w:r>
        <w:rPr>
          <w:rFonts w:hint="default"/>
          <w:color w:val="auto"/>
          <w:lang w:val="en-US" w:eastAsia="zh-CN"/>
        </w:rPr>
        <w:t>t/a，据此根据烟气量</w:t>
      </w:r>
      <w:r>
        <w:rPr>
          <w:rFonts w:hint="eastAsia"/>
          <w:color w:val="auto"/>
          <w:lang w:val="en-US" w:eastAsia="zh-CN"/>
        </w:rPr>
        <w:t>105.1</w:t>
      </w:r>
      <w:r>
        <w:rPr>
          <w:rFonts w:hint="default"/>
          <w:color w:val="auto"/>
          <w:lang w:val="en-US" w:eastAsia="zh-CN"/>
        </w:rPr>
        <w:t>×10</w:t>
      </w:r>
      <w:bookmarkStart w:id="370" w:name="OLE_LINK184"/>
      <w:r>
        <w:rPr>
          <w:rFonts w:hint="default"/>
          <w:color w:val="auto"/>
          <w:vertAlign w:val="superscript"/>
          <w:lang w:val="en-US" w:eastAsia="zh-CN"/>
        </w:rPr>
        <w:t>4</w:t>
      </w:r>
      <w:bookmarkEnd w:id="370"/>
      <w:r>
        <w:rPr>
          <w:rFonts w:hint="default"/>
          <w:color w:val="auto"/>
          <w:lang w:val="en-US" w:eastAsia="zh-CN"/>
        </w:rPr>
        <w:t>m</w:t>
      </w:r>
      <w:r>
        <w:rPr>
          <w:rFonts w:hint="default"/>
          <w:color w:val="auto"/>
          <w:vertAlign w:val="superscript"/>
          <w:lang w:val="en-US" w:eastAsia="zh-CN"/>
        </w:rPr>
        <w:t>3</w:t>
      </w:r>
      <w:r>
        <w:rPr>
          <w:rFonts w:hint="default"/>
          <w:color w:val="auto"/>
          <w:lang w:val="en-US" w:eastAsia="zh-CN"/>
        </w:rPr>
        <w:t>/a核算后的燃气加热炉挥发性有机物浓度约为</w:t>
      </w:r>
      <w:r>
        <w:rPr>
          <w:rFonts w:hint="eastAsia"/>
          <w:color w:val="auto"/>
          <w:lang w:val="en-US" w:eastAsia="zh-CN"/>
        </w:rPr>
        <w:t>14.65</w:t>
      </w:r>
      <w:r>
        <w:rPr>
          <w:rFonts w:hint="default"/>
          <w:color w:val="auto"/>
          <w:lang w:val="en-US" w:eastAsia="zh-CN"/>
        </w:rPr>
        <w:t>mg/m</w:t>
      </w:r>
      <w:bookmarkStart w:id="371" w:name="OLE_LINK185"/>
      <w:r>
        <w:rPr>
          <w:rFonts w:hint="default"/>
          <w:color w:val="auto"/>
          <w:vertAlign w:val="superscript"/>
          <w:lang w:val="en-US" w:eastAsia="zh-CN"/>
        </w:rPr>
        <w:t>3</w:t>
      </w:r>
      <w:bookmarkEnd w:id="371"/>
      <w:r>
        <w:rPr>
          <w:rFonts w:hint="default"/>
          <w:color w:val="auto"/>
          <w:lang w:val="en-US" w:eastAsia="zh-CN"/>
        </w:rPr>
        <w:t>。</w:t>
      </w:r>
    </w:p>
    <w:bookmarkEnd w:id="329"/>
    <w:p w14:paraId="4ABFAF77">
      <w:pPr>
        <w:pStyle w:val="79"/>
        <w:bidi w:val="0"/>
        <w:rPr>
          <w:rFonts w:hint="default"/>
          <w:color w:val="auto"/>
        </w:rPr>
      </w:pPr>
      <w:r>
        <w:rPr>
          <w:rFonts w:hint="default"/>
          <w:color w:val="auto"/>
        </w:rPr>
        <w:t>（</w:t>
      </w:r>
      <w:r>
        <w:rPr>
          <w:rFonts w:hint="eastAsia"/>
          <w:color w:val="auto"/>
          <w:lang w:val="en-US" w:eastAsia="zh-CN"/>
        </w:rPr>
        <w:t>2</w:t>
      </w:r>
      <w:r>
        <w:rPr>
          <w:rFonts w:hint="default"/>
          <w:color w:val="auto"/>
        </w:rPr>
        <w:t>）无组织排放非甲烷总烃</w:t>
      </w:r>
    </w:p>
    <w:p w14:paraId="09874D83">
      <w:pPr>
        <w:pStyle w:val="79"/>
        <w:bidi w:val="0"/>
        <w:rPr>
          <w:rFonts w:hint="eastAsia"/>
          <w:color w:val="auto"/>
          <w:lang w:val="en-US" w:eastAsia="zh-CN"/>
        </w:rPr>
      </w:pPr>
      <w:r>
        <w:rPr>
          <w:rFonts w:hint="default"/>
          <w:color w:val="auto"/>
        </w:rPr>
        <w:t>本工程无</w:t>
      </w:r>
      <w:bookmarkStart w:id="372" w:name="OLE_LINK83"/>
      <w:r>
        <w:rPr>
          <w:rFonts w:hint="default"/>
          <w:color w:val="auto"/>
        </w:rPr>
        <w:t>组织挥发性废气主要为两部分：一部分为油气集输环节</w:t>
      </w:r>
      <w:r>
        <w:rPr>
          <w:rFonts w:hint="eastAsia"/>
          <w:color w:val="auto"/>
          <w:lang w:val="en-US" w:eastAsia="zh-CN"/>
        </w:rPr>
        <w:t>在</w:t>
      </w:r>
      <w:r>
        <w:rPr>
          <w:rFonts w:hint="default"/>
          <w:color w:val="auto"/>
        </w:rPr>
        <w:t>井口、站场、管线设备接口、阀门处产生的少量挥发性有机物；一部分为油罐车呼吸损耗、装卸车过程产生的无组织挥发性有机物。</w:t>
      </w:r>
    </w:p>
    <w:p w14:paraId="47E0AF1D">
      <w:pPr>
        <w:pStyle w:val="79"/>
        <w:bidi w:val="0"/>
        <w:rPr>
          <w:rFonts w:hint="default"/>
          <w:color w:val="auto"/>
        </w:rPr>
      </w:pPr>
      <w:r>
        <w:rPr>
          <w:rFonts w:hint="default"/>
          <w:color w:val="auto"/>
        </w:rPr>
        <w:fldChar w:fldCharType="begin"/>
      </w:r>
      <w:r>
        <w:rPr>
          <w:rFonts w:hint="default"/>
          <w:color w:val="auto"/>
        </w:rPr>
        <w:instrText xml:space="preserve"> = 1 \* GB3 \* MERGEFORMAT </w:instrText>
      </w:r>
      <w:r>
        <w:rPr>
          <w:rFonts w:hint="default"/>
          <w:color w:val="auto"/>
        </w:rPr>
        <w:fldChar w:fldCharType="separate"/>
      </w:r>
      <w:r>
        <w:rPr>
          <w:color w:val="auto"/>
        </w:rPr>
        <w:t>①</w:t>
      </w:r>
      <w:r>
        <w:rPr>
          <w:rFonts w:hint="default"/>
          <w:color w:val="auto"/>
        </w:rPr>
        <w:fldChar w:fldCharType="end"/>
      </w:r>
      <w:r>
        <w:rPr>
          <w:rFonts w:hint="default"/>
          <w:color w:val="auto"/>
        </w:rPr>
        <w:t>在油气集输环节产生的挥发性有机物</w:t>
      </w:r>
    </w:p>
    <w:p w14:paraId="23B34F63">
      <w:pPr>
        <w:pStyle w:val="79"/>
        <w:bidi w:val="0"/>
        <w:rPr>
          <w:rFonts w:hint="default"/>
          <w:color w:val="auto"/>
        </w:rPr>
      </w:pPr>
      <w:r>
        <w:rPr>
          <w:rFonts w:hint="default"/>
          <w:color w:val="auto"/>
        </w:rPr>
        <w:t>在油气集输环节产生的挥发性有机物（VOCs）主要包括非甲烷总烃（烷烃、烯烃、芳香烃、炔烃等）、含氧</w:t>
      </w:r>
      <w:bookmarkEnd w:id="372"/>
      <w:r>
        <w:rPr>
          <w:rFonts w:hint="default"/>
          <w:color w:val="auto"/>
        </w:rPr>
        <w:t>有机化合物（醛、酮、醇、醚、酯、酚等）、卤代烃，含氮有机化合物，含硫有机化合物等，对</w:t>
      </w:r>
      <w:r>
        <w:rPr>
          <w:rFonts w:hint="default"/>
          <w:color w:val="auto"/>
          <w:lang w:eastAsia="zh-CN"/>
        </w:rPr>
        <w:t>本工程</w:t>
      </w:r>
      <w:r>
        <w:rPr>
          <w:rFonts w:hint="default"/>
          <w:color w:val="auto"/>
        </w:rPr>
        <w:t>而言，VOCs主要为非甲烷总烃。</w:t>
      </w:r>
    </w:p>
    <w:p w14:paraId="242BEF13">
      <w:pPr>
        <w:pStyle w:val="79"/>
        <w:bidi w:val="0"/>
        <w:rPr>
          <w:rFonts w:hint="default"/>
          <w:color w:val="auto"/>
          <w:lang w:val="en-US" w:eastAsia="zh-CN"/>
        </w:rPr>
      </w:pPr>
      <w:r>
        <w:rPr>
          <w:rFonts w:hint="default"/>
          <w:color w:val="auto"/>
          <w:lang w:val="en-US" w:eastAsia="zh-CN"/>
        </w:rPr>
        <w:t>本工程运营过程中从阀门、法兰等部分逸散无组织非甲烷总烃，参照《排污许可证申请与核发技术规范石化工业》（HJ853-2017）中设备与管线组件密封点泄漏挥发性有机物的计算公式对源强进行核算</w:t>
      </w:r>
      <w:r>
        <w:rPr>
          <w:rFonts w:hint="eastAsia"/>
          <w:color w:val="auto"/>
          <w:lang w:val="en-US" w:eastAsia="zh-CN"/>
        </w:rPr>
        <w:t>。</w:t>
      </w:r>
    </w:p>
    <w:p w14:paraId="1618C53C">
      <w:pPr>
        <w:pStyle w:val="79"/>
        <w:bidi w:val="0"/>
        <w:rPr>
          <w:rFonts w:hint="default"/>
          <w:color w:val="auto"/>
          <w:lang w:val="en-US" w:eastAsia="zh-CN"/>
        </w:rPr>
      </w:pPr>
      <w:r>
        <w:rPr>
          <w:rFonts w:hint="default"/>
          <w:color w:val="auto"/>
          <w:lang w:val="en-US" w:eastAsia="zh-CN"/>
        </w:rPr>
        <w:t>公式</w:t>
      </w:r>
      <w:r>
        <w:rPr>
          <w:rFonts w:hint="eastAsia"/>
          <w:color w:val="auto"/>
          <w:lang w:val="en-US" w:eastAsia="zh-CN"/>
        </w:rPr>
        <w:t>如下</w:t>
      </w:r>
      <w:r>
        <w:rPr>
          <w:rFonts w:hint="default"/>
          <w:color w:val="auto"/>
          <w:lang w:val="en-US" w:eastAsia="zh-CN"/>
        </w:rPr>
        <w:t>：</w:t>
      </w:r>
    </w:p>
    <w:p w14:paraId="20F4976D">
      <w:pPr>
        <w:pStyle w:val="79"/>
        <w:bidi w:val="0"/>
        <w:rPr>
          <w:rFonts w:hint="default"/>
          <w:color w:val="auto"/>
          <w:lang w:val="zh-CN"/>
        </w:rPr>
      </w:pPr>
      <w:r>
        <w:rPr>
          <w:rFonts w:hint="default"/>
          <w:color w:val="auto"/>
        </w:rPr>
        <w:drawing>
          <wp:anchor distT="0" distB="0" distL="114300" distR="114300" simplePos="0" relativeHeight="251659264" behindDoc="0" locked="0" layoutInCell="1" allowOverlap="1">
            <wp:simplePos x="0" y="0"/>
            <wp:positionH relativeFrom="column">
              <wp:posOffset>1410335</wp:posOffset>
            </wp:positionH>
            <wp:positionV relativeFrom="paragraph">
              <wp:posOffset>42545</wp:posOffset>
            </wp:positionV>
            <wp:extent cx="2666365" cy="535940"/>
            <wp:effectExtent l="0" t="0" r="635" b="16510"/>
            <wp:wrapTopAndBottom/>
            <wp:docPr id="113"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28"/>
                    <pic:cNvPicPr>
                      <a:picLocks noChangeAspect="1"/>
                    </pic:cNvPicPr>
                  </pic:nvPicPr>
                  <pic:blipFill>
                    <a:blip r:embed="rId12"/>
                    <a:stretch>
                      <a:fillRect/>
                    </a:stretch>
                  </pic:blipFill>
                  <pic:spPr>
                    <a:xfrm>
                      <a:off x="0" y="0"/>
                      <a:ext cx="2666365" cy="535940"/>
                    </a:xfrm>
                    <a:prstGeom prst="rect">
                      <a:avLst/>
                    </a:prstGeom>
                    <a:noFill/>
                    <a:ln>
                      <a:noFill/>
                    </a:ln>
                  </pic:spPr>
                </pic:pic>
              </a:graphicData>
            </a:graphic>
          </wp:anchor>
        </w:drawing>
      </w:r>
      <w:r>
        <w:rPr>
          <w:rFonts w:hint="default"/>
          <w:color w:val="auto"/>
          <w:lang w:val="zh-CN"/>
        </w:rPr>
        <w:t>式中：</w:t>
      </w:r>
      <w:r>
        <w:rPr>
          <w:rFonts w:hint="default"/>
          <w:color w:val="auto"/>
        </w:rPr>
        <w:t>E</w:t>
      </w:r>
      <w:r>
        <w:rPr>
          <w:rFonts w:hint="default"/>
          <w:color w:val="auto"/>
          <w:lang w:val="zh-CN"/>
        </w:rPr>
        <w:t>设备——设备与管线组件密封点泄漏的挥发性有机物年许可排放量，</w:t>
      </w:r>
      <w:r>
        <w:rPr>
          <w:rFonts w:hint="default"/>
          <w:color w:val="auto"/>
        </w:rPr>
        <w:t>kg/a</w:t>
      </w:r>
      <w:r>
        <w:rPr>
          <w:rFonts w:hint="default"/>
          <w:color w:val="auto"/>
          <w:lang w:val="zh-CN"/>
        </w:rPr>
        <w:t>；</w:t>
      </w:r>
    </w:p>
    <w:p w14:paraId="5E3944BA">
      <w:pPr>
        <w:pStyle w:val="79"/>
        <w:bidi w:val="0"/>
        <w:rPr>
          <w:rFonts w:hint="default"/>
          <w:color w:val="auto"/>
          <w:lang w:val="zh-CN"/>
        </w:rPr>
      </w:pPr>
      <w:r>
        <w:rPr>
          <w:rFonts w:hint="default"/>
          <w:color w:val="auto"/>
        </w:rPr>
        <w:t>t</w:t>
      </w:r>
      <w:r>
        <w:rPr>
          <w:rFonts w:hint="default"/>
          <w:color w:val="auto"/>
          <w:vertAlign w:val="subscript"/>
          <w:lang w:val="zh-CN"/>
        </w:rPr>
        <w:t>i</w:t>
      </w:r>
      <w:r>
        <w:rPr>
          <w:rFonts w:hint="default"/>
          <w:color w:val="auto"/>
          <w:lang w:val="zh-CN"/>
        </w:rPr>
        <w:t>——密封点i的年运行时间，</w:t>
      </w:r>
      <w:r>
        <w:rPr>
          <w:rFonts w:hint="default"/>
          <w:color w:val="auto"/>
        </w:rPr>
        <w:t>h</w:t>
      </w:r>
      <w:r>
        <w:rPr>
          <w:rFonts w:hint="default"/>
          <w:color w:val="auto"/>
          <w:lang w:val="zh-CN"/>
        </w:rPr>
        <w:t>/</w:t>
      </w:r>
      <w:r>
        <w:rPr>
          <w:rFonts w:hint="default"/>
          <w:color w:val="auto"/>
        </w:rPr>
        <w:t>a</w:t>
      </w:r>
      <w:r>
        <w:rPr>
          <w:rFonts w:hint="default"/>
          <w:color w:val="auto"/>
          <w:lang w:val="zh-CN"/>
        </w:rPr>
        <w:t>；</w:t>
      </w:r>
    </w:p>
    <w:p w14:paraId="45B7AA20">
      <w:pPr>
        <w:pStyle w:val="79"/>
        <w:bidi w:val="0"/>
        <w:rPr>
          <w:rFonts w:hint="default"/>
          <w:color w:val="auto"/>
          <w:lang w:val="zh-CN"/>
        </w:rPr>
      </w:pPr>
      <w:r>
        <w:rPr>
          <w:rFonts w:hint="default"/>
          <w:color w:val="auto"/>
        </w:rPr>
        <w:t>e</w:t>
      </w:r>
      <w:r>
        <w:rPr>
          <w:rFonts w:hint="default"/>
          <w:color w:val="auto"/>
          <w:vertAlign w:val="subscript"/>
        </w:rPr>
        <w:t>TOC，</w:t>
      </w:r>
      <w:r>
        <w:rPr>
          <w:rFonts w:hint="default"/>
          <w:color w:val="auto"/>
          <w:vertAlign w:val="subscript"/>
          <w:lang w:val="zh-CN"/>
        </w:rPr>
        <w:t>i</w:t>
      </w:r>
      <w:r>
        <w:rPr>
          <w:rFonts w:hint="default"/>
          <w:color w:val="auto"/>
          <w:lang w:val="zh-CN"/>
        </w:rPr>
        <w:t>——密封点</w:t>
      </w:r>
      <w:r>
        <w:rPr>
          <w:rFonts w:hint="default"/>
          <w:color w:val="auto"/>
        </w:rPr>
        <w:t>i的总有机碳排放速率</w:t>
      </w:r>
      <w:r>
        <w:rPr>
          <w:rFonts w:hint="default"/>
          <w:color w:val="auto"/>
          <w:lang w:val="zh-CN"/>
        </w:rPr>
        <w:t>，</w:t>
      </w:r>
      <w:r>
        <w:rPr>
          <w:rFonts w:hint="default"/>
          <w:color w:val="auto"/>
        </w:rPr>
        <w:t>kg</w:t>
      </w:r>
      <w:r>
        <w:rPr>
          <w:rFonts w:hint="default"/>
          <w:color w:val="auto"/>
          <w:lang w:val="zh-CN"/>
        </w:rPr>
        <w:t>/</w:t>
      </w:r>
      <w:r>
        <w:rPr>
          <w:rFonts w:hint="default"/>
          <w:color w:val="auto"/>
        </w:rPr>
        <w:t>h；</w:t>
      </w:r>
    </w:p>
    <w:p w14:paraId="2C4C5315">
      <w:pPr>
        <w:pStyle w:val="79"/>
        <w:bidi w:val="0"/>
        <w:rPr>
          <w:rFonts w:hint="default"/>
          <w:color w:val="auto"/>
        </w:rPr>
      </w:pPr>
      <w:r>
        <w:rPr>
          <w:rFonts w:hint="default"/>
          <w:color w:val="auto"/>
        </w:rPr>
        <w:t>WF</w:t>
      </w:r>
      <w:r>
        <w:rPr>
          <w:rFonts w:hint="default"/>
          <w:color w:val="auto"/>
          <w:vertAlign w:val="subscript"/>
        </w:rPr>
        <w:t>VOCs，</w:t>
      </w:r>
      <w:r>
        <w:rPr>
          <w:rFonts w:hint="default"/>
          <w:color w:val="auto"/>
          <w:vertAlign w:val="subscript"/>
          <w:lang w:val="zh-CN"/>
        </w:rPr>
        <w:t>i</w:t>
      </w:r>
      <w:r>
        <w:rPr>
          <w:rFonts w:hint="default"/>
          <w:color w:val="auto"/>
          <w:lang w:val="zh-CN"/>
        </w:rPr>
        <w:t>——流经密封点</w:t>
      </w:r>
      <w:r>
        <w:rPr>
          <w:rFonts w:hint="default"/>
          <w:color w:val="auto"/>
        </w:rPr>
        <w:t>i的物料中挥发性有机物平均质量分数，根据设计文件取值；</w:t>
      </w:r>
    </w:p>
    <w:p w14:paraId="7C1A845D">
      <w:pPr>
        <w:pStyle w:val="79"/>
        <w:bidi w:val="0"/>
        <w:rPr>
          <w:rFonts w:hint="default"/>
          <w:color w:val="auto"/>
        </w:rPr>
      </w:pPr>
      <w:r>
        <w:rPr>
          <w:rFonts w:hint="default"/>
          <w:color w:val="auto"/>
        </w:rPr>
        <w:t>WF</w:t>
      </w:r>
      <w:r>
        <w:rPr>
          <w:rFonts w:hint="default"/>
          <w:color w:val="auto"/>
          <w:vertAlign w:val="subscript"/>
        </w:rPr>
        <w:t>TOC，</w:t>
      </w:r>
      <w:r>
        <w:rPr>
          <w:rFonts w:hint="default"/>
          <w:color w:val="auto"/>
          <w:vertAlign w:val="subscript"/>
          <w:lang w:val="zh-CN"/>
        </w:rPr>
        <w:t>i</w:t>
      </w:r>
      <w:r>
        <w:rPr>
          <w:rFonts w:hint="default"/>
          <w:color w:val="auto"/>
          <w:lang w:val="zh-CN"/>
        </w:rPr>
        <w:t>——流经密封点</w:t>
      </w:r>
      <w:r>
        <w:rPr>
          <w:rFonts w:hint="default"/>
          <w:color w:val="auto"/>
        </w:rPr>
        <w:t>i的物料中总有机碳平均质量分数，根据设计文件取值；</w:t>
      </w:r>
    </w:p>
    <w:p w14:paraId="558F2B14">
      <w:pPr>
        <w:pStyle w:val="79"/>
        <w:bidi w:val="0"/>
        <w:rPr>
          <w:rFonts w:hint="default"/>
          <w:color w:val="auto"/>
        </w:rPr>
      </w:pPr>
      <w:r>
        <w:rPr>
          <w:rFonts w:hint="default"/>
          <w:color w:val="auto"/>
        </w:rPr>
        <w:t>n</w:t>
      </w:r>
      <w:r>
        <w:rPr>
          <w:rFonts w:hint="default"/>
          <w:color w:val="auto"/>
          <w:lang w:val="zh-CN"/>
        </w:rPr>
        <w:t>——挥发性有机物流经的设备与管线组件密封点数</w:t>
      </w:r>
      <w:r>
        <w:rPr>
          <w:rFonts w:hint="default"/>
          <w:color w:val="auto"/>
        </w:rPr>
        <w:t>；</w:t>
      </w:r>
    </w:p>
    <w:p w14:paraId="714250A6">
      <w:pPr>
        <w:pStyle w:val="79"/>
        <w:bidi w:val="0"/>
        <w:rPr>
          <w:rFonts w:hint="eastAsia"/>
          <w:color w:val="auto"/>
          <w:lang w:val="en-US" w:eastAsia="zh-CN"/>
        </w:rPr>
      </w:pPr>
      <w:r>
        <w:rPr>
          <w:rFonts w:hint="eastAsia"/>
          <w:color w:val="auto"/>
          <w:lang w:val="en-US" w:eastAsia="zh-CN"/>
        </w:rPr>
        <w:t>设备与管线组件e</w:t>
      </w:r>
      <w:r>
        <w:rPr>
          <w:rFonts w:hint="eastAsia"/>
          <w:color w:val="auto"/>
          <w:vertAlign w:val="subscript"/>
          <w:lang w:val="en-US" w:eastAsia="zh-CN"/>
        </w:rPr>
        <w:t>TOC，i</w:t>
      </w:r>
      <w:r>
        <w:rPr>
          <w:rFonts w:hint="eastAsia"/>
          <w:color w:val="auto"/>
          <w:lang w:val="en-US" w:eastAsia="zh-CN"/>
        </w:rPr>
        <w:t>取值参数表，见表3.3-9。</w:t>
      </w:r>
    </w:p>
    <w:p w14:paraId="2FCCAB78">
      <w:pPr>
        <w:pStyle w:val="61"/>
        <w:bidi w:val="0"/>
        <w:jc w:val="both"/>
        <w:rPr>
          <w:rFonts w:hint="default"/>
          <w:color w:val="auto"/>
          <w:lang w:val="zh-CN" w:eastAsia="zh-CN"/>
        </w:rPr>
      </w:pPr>
      <w:r>
        <w:rPr>
          <w:rFonts w:hint="default"/>
          <w:color w:val="auto"/>
          <w:lang w:val="en-US" w:eastAsia="zh-CN"/>
        </w:rPr>
        <w:t>表</w:t>
      </w:r>
      <w:r>
        <w:rPr>
          <w:rFonts w:hint="eastAsia"/>
          <w:color w:val="auto"/>
          <w:lang w:val="en-US" w:eastAsia="zh-CN"/>
        </w:rPr>
        <w:t xml:space="preserve">3.3-9 </w:t>
      </w:r>
      <w:r>
        <w:rPr>
          <w:rFonts w:hint="default"/>
          <w:color w:val="auto"/>
          <w:lang w:val="zh-CN" w:eastAsia="zh-CN"/>
        </w:rPr>
        <w:t>设备与管线组件eTOC，i取值参数表</w:t>
      </w:r>
    </w:p>
    <w:tbl>
      <w:tblPr>
        <w:tblStyle w:val="131"/>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688"/>
        <w:gridCol w:w="3553"/>
        <w:gridCol w:w="3385"/>
      </w:tblGrid>
      <w:tr w14:paraId="526CA1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978" w:type="pct"/>
            <w:vAlign w:val="top"/>
          </w:tcPr>
          <w:p w14:paraId="687BDAA0">
            <w:pPr>
              <w:pStyle w:val="179"/>
              <w:spacing w:before="62" w:line="219" w:lineRule="auto"/>
              <w:ind w:left="10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类型</w:t>
            </w:r>
          </w:p>
        </w:tc>
        <w:tc>
          <w:tcPr>
            <w:tcW w:w="2059" w:type="pct"/>
            <w:vAlign w:val="top"/>
          </w:tcPr>
          <w:p w14:paraId="30B39108">
            <w:pPr>
              <w:pStyle w:val="179"/>
              <w:spacing w:before="62" w:line="219" w:lineRule="auto"/>
              <w:ind w:left="9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设备类型</w:t>
            </w:r>
          </w:p>
        </w:tc>
        <w:tc>
          <w:tcPr>
            <w:tcW w:w="1961" w:type="pct"/>
            <w:vAlign w:val="top"/>
          </w:tcPr>
          <w:p w14:paraId="3F5D2D9F">
            <w:pPr>
              <w:pStyle w:val="179"/>
              <w:spacing w:before="56" w:line="214" w:lineRule="auto"/>
              <w:ind w:left="95"/>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pacing w:val="-10"/>
                <w:kern w:val="2"/>
                <w:sz w:val="21"/>
                <w:szCs w:val="23"/>
                <w:highlight w:val="none"/>
              </w:rPr>
              <w:t>排放速率e</w:t>
            </w:r>
            <w:r>
              <w:rPr>
                <w:rFonts w:hint="default" w:ascii="Times New Roman" w:hAnsi="Times New Roman" w:cs="Times New Roman"/>
                <w:color w:val="auto"/>
                <w:spacing w:val="-10"/>
                <w:kern w:val="2"/>
                <w:sz w:val="21"/>
                <w:szCs w:val="23"/>
                <w:highlight w:val="none"/>
                <w:vertAlign w:val="subscript"/>
              </w:rPr>
              <w:t>TOC，i/</w:t>
            </w:r>
            <w:r>
              <w:rPr>
                <w:rFonts w:hint="default" w:ascii="Times New Roman" w:hAnsi="Times New Roman" w:cs="Times New Roman"/>
                <w:color w:val="auto"/>
                <w:spacing w:val="-10"/>
                <w:kern w:val="2"/>
                <w:sz w:val="21"/>
                <w:szCs w:val="23"/>
                <w:highlight w:val="none"/>
                <w:lang w:eastAsia="zh-CN"/>
              </w:rPr>
              <w:t>（</w:t>
            </w:r>
            <w:r>
              <w:rPr>
                <w:rFonts w:hint="default" w:ascii="Times New Roman" w:hAnsi="Times New Roman" w:cs="Times New Roman"/>
                <w:color w:val="auto"/>
                <w:spacing w:val="-10"/>
                <w:kern w:val="2"/>
                <w:sz w:val="21"/>
                <w:szCs w:val="23"/>
                <w:highlight w:val="none"/>
              </w:rPr>
              <w:t>kg/h排放源</w:t>
            </w:r>
            <w:r>
              <w:rPr>
                <w:rFonts w:hint="default" w:ascii="Times New Roman" w:hAnsi="Times New Roman" w:cs="Times New Roman"/>
                <w:color w:val="auto"/>
                <w:spacing w:val="-10"/>
                <w:kern w:val="2"/>
                <w:sz w:val="21"/>
                <w:szCs w:val="23"/>
                <w:highlight w:val="none"/>
                <w:lang w:eastAsia="zh-CN"/>
              </w:rPr>
              <w:t>）</w:t>
            </w:r>
          </w:p>
        </w:tc>
      </w:tr>
      <w:tr w14:paraId="78E9F7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978" w:type="pct"/>
            <w:vMerge w:val="restart"/>
            <w:tcBorders>
              <w:bottom w:val="nil"/>
            </w:tcBorders>
            <w:vAlign w:val="top"/>
          </w:tcPr>
          <w:p w14:paraId="66999D5E">
            <w:pPr>
              <w:spacing w:line="285" w:lineRule="auto"/>
              <w:jc w:val="center"/>
              <w:rPr>
                <w:rFonts w:hint="default" w:ascii="Times New Roman" w:hAnsi="Times New Roman" w:eastAsia="宋体" w:cs="Times New Roman"/>
                <w:color w:val="auto"/>
                <w:sz w:val="21"/>
                <w:szCs w:val="21"/>
              </w:rPr>
            </w:pPr>
          </w:p>
          <w:p w14:paraId="46A85D1D">
            <w:pPr>
              <w:spacing w:line="286" w:lineRule="auto"/>
              <w:jc w:val="center"/>
              <w:rPr>
                <w:rFonts w:hint="default" w:ascii="Times New Roman" w:hAnsi="Times New Roman" w:eastAsia="宋体" w:cs="Times New Roman"/>
                <w:color w:val="auto"/>
                <w:sz w:val="21"/>
                <w:szCs w:val="21"/>
              </w:rPr>
            </w:pPr>
          </w:p>
          <w:p w14:paraId="60754A4B">
            <w:pPr>
              <w:spacing w:line="286" w:lineRule="auto"/>
              <w:jc w:val="center"/>
              <w:rPr>
                <w:rFonts w:hint="default" w:ascii="Times New Roman" w:hAnsi="Times New Roman" w:eastAsia="宋体" w:cs="Times New Roman"/>
                <w:color w:val="auto"/>
                <w:sz w:val="21"/>
                <w:szCs w:val="21"/>
              </w:rPr>
            </w:pPr>
          </w:p>
          <w:p w14:paraId="26657E30">
            <w:pPr>
              <w:pStyle w:val="179"/>
              <w:spacing w:before="56" w:line="220" w:lineRule="auto"/>
              <w:ind w:left="10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石油炼制工业</w:t>
            </w:r>
          </w:p>
        </w:tc>
        <w:tc>
          <w:tcPr>
            <w:tcW w:w="2059" w:type="pct"/>
            <w:vAlign w:val="top"/>
          </w:tcPr>
          <w:p w14:paraId="3A0E172C">
            <w:pPr>
              <w:pStyle w:val="179"/>
              <w:spacing w:before="58" w:line="219" w:lineRule="auto"/>
              <w:ind w:left="9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连接件</w:t>
            </w:r>
          </w:p>
        </w:tc>
        <w:tc>
          <w:tcPr>
            <w:tcW w:w="1961" w:type="pct"/>
            <w:vAlign w:val="top"/>
          </w:tcPr>
          <w:p w14:paraId="0F54C5A3">
            <w:pPr>
              <w:pStyle w:val="179"/>
              <w:spacing w:before="74" w:line="222" w:lineRule="auto"/>
              <w:ind w:left="9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0.028</w:t>
            </w:r>
          </w:p>
        </w:tc>
      </w:tr>
      <w:tr w14:paraId="5DA2F6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jc w:val="center"/>
        </w:trPr>
        <w:tc>
          <w:tcPr>
            <w:tcW w:w="978" w:type="pct"/>
            <w:vMerge w:val="continue"/>
            <w:tcBorders>
              <w:top w:val="nil"/>
              <w:bottom w:val="nil"/>
            </w:tcBorders>
            <w:vAlign w:val="top"/>
          </w:tcPr>
          <w:p w14:paraId="6F681BEF">
            <w:pPr>
              <w:jc w:val="center"/>
              <w:rPr>
                <w:rFonts w:hint="default" w:ascii="Times New Roman" w:hAnsi="Times New Roman" w:eastAsia="宋体" w:cs="Times New Roman"/>
                <w:color w:val="auto"/>
                <w:sz w:val="21"/>
                <w:szCs w:val="21"/>
              </w:rPr>
            </w:pPr>
          </w:p>
        </w:tc>
        <w:tc>
          <w:tcPr>
            <w:tcW w:w="2059" w:type="pct"/>
            <w:vAlign w:val="top"/>
          </w:tcPr>
          <w:p w14:paraId="104A580F">
            <w:pPr>
              <w:pStyle w:val="179"/>
              <w:spacing w:before="59" w:line="219" w:lineRule="auto"/>
              <w:ind w:left="9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开口阀或开口管线</w:t>
            </w:r>
          </w:p>
        </w:tc>
        <w:tc>
          <w:tcPr>
            <w:tcW w:w="1961" w:type="pct"/>
            <w:vAlign w:val="top"/>
          </w:tcPr>
          <w:p w14:paraId="440F91D5">
            <w:pPr>
              <w:pStyle w:val="179"/>
              <w:spacing w:before="75" w:line="210" w:lineRule="auto"/>
              <w:ind w:left="9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0.03</w:t>
            </w:r>
          </w:p>
        </w:tc>
      </w:tr>
      <w:tr w14:paraId="766C53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jc w:val="center"/>
        </w:trPr>
        <w:tc>
          <w:tcPr>
            <w:tcW w:w="978" w:type="pct"/>
            <w:vMerge w:val="continue"/>
            <w:tcBorders>
              <w:top w:val="nil"/>
              <w:bottom w:val="nil"/>
            </w:tcBorders>
            <w:vAlign w:val="top"/>
          </w:tcPr>
          <w:p w14:paraId="63BC0F04">
            <w:pPr>
              <w:jc w:val="center"/>
              <w:rPr>
                <w:rFonts w:hint="default" w:ascii="Times New Roman" w:hAnsi="Times New Roman" w:eastAsia="宋体" w:cs="Times New Roman"/>
                <w:color w:val="auto"/>
                <w:sz w:val="21"/>
                <w:szCs w:val="21"/>
              </w:rPr>
            </w:pPr>
          </w:p>
        </w:tc>
        <w:tc>
          <w:tcPr>
            <w:tcW w:w="2059" w:type="pct"/>
            <w:vAlign w:val="top"/>
          </w:tcPr>
          <w:p w14:paraId="00800916">
            <w:pPr>
              <w:pStyle w:val="179"/>
              <w:spacing w:before="60" w:line="221" w:lineRule="auto"/>
              <w:ind w:left="9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2"/>
                <w:sz w:val="21"/>
                <w:szCs w:val="21"/>
              </w:rPr>
              <w:t>阀门</w:t>
            </w:r>
          </w:p>
        </w:tc>
        <w:tc>
          <w:tcPr>
            <w:tcW w:w="1961" w:type="pct"/>
            <w:vAlign w:val="top"/>
          </w:tcPr>
          <w:p w14:paraId="6D8D1D7C">
            <w:pPr>
              <w:pStyle w:val="179"/>
              <w:spacing w:before="76" w:line="209" w:lineRule="auto"/>
              <w:ind w:left="9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0.064</w:t>
            </w:r>
          </w:p>
        </w:tc>
      </w:tr>
      <w:tr w14:paraId="34CB1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jc w:val="center"/>
        </w:trPr>
        <w:tc>
          <w:tcPr>
            <w:tcW w:w="978" w:type="pct"/>
            <w:vMerge w:val="continue"/>
            <w:tcBorders>
              <w:top w:val="nil"/>
              <w:bottom w:val="nil"/>
            </w:tcBorders>
            <w:vAlign w:val="top"/>
          </w:tcPr>
          <w:p w14:paraId="5B658E08">
            <w:pPr>
              <w:jc w:val="center"/>
              <w:rPr>
                <w:rFonts w:hint="default" w:ascii="Times New Roman" w:hAnsi="Times New Roman" w:eastAsia="宋体" w:cs="Times New Roman"/>
                <w:color w:val="auto"/>
                <w:sz w:val="21"/>
                <w:szCs w:val="21"/>
              </w:rPr>
            </w:pPr>
          </w:p>
        </w:tc>
        <w:tc>
          <w:tcPr>
            <w:tcW w:w="2059" w:type="pct"/>
            <w:vAlign w:val="top"/>
          </w:tcPr>
          <w:p w14:paraId="2CBC05CC">
            <w:pPr>
              <w:pStyle w:val="179"/>
              <w:spacing w:before="59" w:line="219" w:lineRule="auto"/>
              <w:ind w:left="9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压缩机、搅拌器、泄压设备</w:t>
            </w:r>
          </w:p>
        </w:tc>
        <w:tc>
          <w:tcPr>
            <w:tcW w:w="1961" w:type="pct"/>
            <w:vAlign w:val="top"/>
          </w:tcPr>
          <w:p w14:paraId="65822910">
            <w:pPr>
              <w:pStyle w:val="179"/>
              <w:spacing w:before="77" w:line="209" w:lineRule="auto"/>
              <w:ind w:left="9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0.073</w:t>
            </w:r>
          </w:p>
        </w:tc>
      </w:tr>
      <w:tr w14:paraId="0DC9AA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978" w:type="pct"/>
            <w:vMerge w:val="continue"/>
            <w:tcBorders>
              <w:top w:val="nil"/>
              <w:bottom w:val="nil"/>
            </w:tcBorders>
            <w:vAlign w:val="top"/>
          </w:tcPr>
          <w:p w14:paraId="4C2996BA">
            <w:pPr>
              <w:jc w:val="center"/>
              <w:rPr>
                <w:rFonts w:hint="default" w:ascii="Times New Roman" w:hAnsi="Times New Roman" w:eastAsia="宋体" w:cs="Times New Roman"/>
                <w:color w:val="auto"/>
                <w:sz w:val="21"/>
                <w:szCs w:val="21"/>
              </w:rPr>
            </w:pPr>
          </w:p>
        </w:tc>
        <w:tc>
          <w:tcPr>
            <w:tcW w:w="2059" w:type="pct"/>
            <w:vAlign w:val="top"/>
          </w:tcPr>
          <w:p w14:paraId="596210EB">
            <w:pPr>
              <w:pStyle w:val="179"/>
              <w:spacing w:before="51" w:line="216" w:lineRule="auto"/>
              <w:ind w:left="9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泵</w:t>
            </w:r>
          </w:p>
        </w:tc>
        <w:tc>
          <w:tcPr>
            <w:tcW w:w="1961" w:type="pct"/>
            <w:vAlign w:val="top"/>
          </w:tcPr>
          <w:p w14:paraId="7547B6DB">
            <w:pPr>
              <w:pStyle w:val="179"/>
              <w:spacing w:before="67" w:line="198" w:lineRule="auto"/>
              <w:ind w:left="9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0.074</w:t>
            </w:r>
          </w:p>
        </w:tc>
      </w:tr>
      <w:tr w14:paraId="109098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jc w:val="center"/>
        </w:trPr>
        <w:tc>
          <w:tcPr>
            <w:tcW w:w="978" w:type="pct"/>
            <w:vMerge w:val="continue"/>
            <w:tcBorders>
              <w:top w:val="nil"/>
              <w:bottom w:val="nil"/>
            </w:tcBorders>
            <w:vAlign w:val="top"/>
          </w:tcPr>
          <w:p w14:paraId="1AE4D61E">
            <w:pPr>
              <w:jc w:val="center"/>
              <w:rPr>
                <w:rFonts w:hint="default" w:ascii="Times New Roman" w:hAnsi="Times New Roman" w:eastAsia="宋体" w:cs="Times New Roman"/>
                <w:color w:val="auto"/>
                <w:sz w:val="21"/>
                <w:szCs w:val="21"/>
              </w:rPr>
            </w:pPr>
          </w:p>
        </w:tc>
        <w:tc>
          <w:tcPr>
            <w:tcW w:w="2059" w:type="pct"/>
            <w:vAlign w:val="top"/>
          </w:tcPr>
          <w:p w14:paraId="684AD913">
            <w:pPr>
              <w:pStyle w:val="179"/>
              <w:spacing w:before="66" w:line="220" w:lineRule="auto"/>
              <w:ind w:left="9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法兰</w:t>
            </w:r>
          </w:p>
        </w:tc>
        <w:tc>
          <w:tcPr>
            <w:tcW w:w="1961" w:type="pct"/>
            <w:vAlign w:val="top"/>
          </w:tcPr>
          <w:p w14:paraId="4BF01C0D">
            <w:pPr>
              <w:pStyle w:val="179"/>
              <w:spacing w:before="78" w:line="207" w:lineRule="auto"/>
              <w:ind w:left="9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0.085</w:t>
            </w:r>
          </w:p>
        </w:tc>
      </w:tr>
      <w:tr w14:paraId="6C7BF3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jc w:val="center"/>
        </w:trPr>
        <w:tc>
          <w:tcPr>
            <w:tcW w:w="978" w:type="pct"/>
            <w:vMerge w:val="continue"/>
            <w:tcBorders>
              <w:top w:val="nil"/>
            </w:tcBorders>
            <w:vAlign w:val="top"/>
          </w:tcPr>
          <w:p w14:paraId="458B63E7">
            <w:pPr>
              <w:jc w:val="center"/>
              <w:rPr>
                <w:rFonts w:hint="default" w:ascii="Times New Roman" w:hAnsi="Times New Roman" w:eastAsia="宋体" w:cs="Times New Roman"/>
                <w:color w:val="auto"/>
                <w:sz w:val="21"/>
                <w:szCs w:val="21"/>
              </w:rPr>
            </w:pPr>
          </w:p>
        </w:tc>
        <w:tc>
          <w:tcPr>
            <w:tcW w:w="2059" w:type="pct"/>
            <w:vAlign w:val="top"/>
          </w:tcPr>
          <w:p w14:paraId="54D848D8">
            <w:pPr>
              <w:pStyle w:val="179"/>
              <w:spacing w:before="62" w:line="220" w:lineRule="auto"/>
              <w:ind w:left="9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其他</w:t>
            </w:r>
          </w:p>
        </w:tc>
        <w:tc>
          <w:tcPr>
            <w:tcW w:w="1961" w:type="pct"/>
            <w:vAlign w:val="top"/>
          </w:tcPr>
          <w:p w14:paraId="6FAD23E2">
            <w:pPr>
              <w:pStyle w:val="179"/>
              <w:spacing w:before="79" w:line="206" w:lineRule="auto"/>
              <w:ind w:left="9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0.073</w:t>
            </w:r>
          </w:p>
        </w:tc>
      </w:tr>
    </w:tbl>
    <w:p w14:paraId="613BB3F9">
      <w:pPr>
        <w:keepNext w:val="0"/>
        <w:keepLines w:val="0"/>
        <w:pageBreakBefore w:val="0"/>
        <w:widowControl/>
        <w:kinsoku/>
        <w:wordWrap/>
        <w:overflowPunct/>
        <w:topLinePunct w:val="0"/>
        <w:autoSpaceDE/>
        <w:autoSpaceDN/>
        <w:bidi w:val="0"/>
        <w:adjustRightInd/>
        <w:snapToGrid/>
        <w:spacing w:before="157" w:beforeLines="50" w:line="360" w:lineRule="auto"/>
        <w:ind w:firstLine="480" w:firstLineChars="200"/>
        <w:jc w:val="left"/>
        <w:textAlignment w:val="auto"/>
        <w:rPr>
          <w:rFonts w:hint="default" w:ascii="Times New Roman" w:hAnsi="Times New Roman" w:cs="Times New Roman"/>
          <w:color w:val="auto"/>
          <w:kern w:val="2"/>
          <w:sz w:val="24"/>
          <w:szCs w:val="24"/>
          <w:highlight w:val="none"/>
        </w:rPr>
      </w:pPr>
      <w:r>
        <w:rPr>
          <w:rFonts w:hint="default" w:ascii="Times New Roman" w:hAnsi="Times New Roman" w:cs="Times New Roman"/>
          <w:color w:val="auto"/>
          <w:kern w:val="2"/>
          <w:sz w:val="24"/>
          <w:szCs w:val="24"/>
          <w:highlight w:val="none"/>
        </w:rPr>
        <w:t>参照《石化行业VOCs污染源排查工作指南》，</w:t>
      </w:r>
      <w:r>
        <w:rPr>
          <w:rFonts w:hint="default" w:ascii="Times New Roman" w:hAnsi="Times New Roman" w:cs="Times New Roman"/>
          <w:bCs/>
          <w:snapToGrid w:val="0"/>
          <w:color w:val="auto"/>
          <w:kern w:val="0"/>
          <w:sz w:val="24"/>
          <w:szCs w:val="24"/>
          <w:highlight w:val="none"/>
        </w:rPr>
        <w:t>本次评价按保守估计的原则，将TOC全部视为可挥发性有机物VOCs，</w:t>
      </w:r>
      <w:r>
        <w:rPr>
          <w:rFonts w:hint="default" w:ascii="Times New Roman" w:hAnsi="Times New Roman" w:cs="Times New Roman"/>
          <w:color w:val="auto"/>
          <w:kern w:val="2"/>
          <w:sz w:val="24"/>
          <w:szCs w:val="24"/>
          <w:highlight w:val="none"/>
        </w:rPr>
        <w:t>则</w:t>
      </w:r>
      <w:r>
        <w:rPr>
          <w:rFonts w:hint="default" w:ascii="Times New Roman" w:hAnsi="Times New Roman" w:cs="Times New Roman"/>
          <w:color w:val="auto"/>
          <w:kern w:val="2"/>
          <w:sz w:val="24"/>
          <w:szCs w:val="24"/>
          <w:highlight w:val="none"/>
          <w:lang w:eastAsia="zh-CN"/>
        </w:rPr>
        <w:t>本工程</w:t>
      </w:r>
      <w:r>
        <w:rPr>
          <w:rFonts w:hint="default" w:ascii="Times New Roman" w:hAnsi="Times New Roman" w:cs="Times New Roman"/>
          <w:color w:val="auto"/>
          <w:kern w:val="2"/>
          <w:sz w:val="24"/>
          <w:szCs w:val="24"/>
          <w:highlight w:val="none"/>
        </w:rPr>
        <w:t>采出液中WF</w:t>
      </w:r>
      <w:r>
        <w:rPr>
          <w:rFonts w:hint="default" w:ascii="Times New Roman" w:hAnsi="Times New Roman" w:cs="Times New Roman"/>
          <w:color w:val="auto"/>
          <w:kern w:val="2"/>
          <w:sz w:val="24"/>
          <w:szCs w:val="24"/>
          <w:highlight w:val="none"/>
          <w:vertAlign w:val="subscript"/>
        </w:rPr>
        <w:t>VOCs，i</w:t>
      </w:r>
      <w:r>
        <w:rPr>
          <w:rFonts w:hint="default" w:ascii="Times New Roman" w:hAnsi="Times New Roman" w:cs="Times New Roman"/>
          <w:color w:val="auto"/>
          <w:kern w:val="2"/>
          <w:sz w:val="24"/>
          <w:szCs w:val="24"/>
          <w:highlight w:val="none"/>
          <w:lang w:val="zh-CN"/>
        </w:rPr>
        <w:t>和</w:t>
      </w:r>
      <w:r>
        <w:rPr>
          <w:rFonts w:hint="default" w:ascii="Times New Roman" w:hAnsi="Times New Roman" w:cs="Times New Roman"/>
          <w:color w:val="auto"/>
          <w:kern w:val="2"/>
          <w:sz w:val="24"/>
          <w:szCs w:val="24"/>
          <w:highlight w:val="none"/>
        </w:rPr>
        <w:t>WF</w:t>
      </w:r>
      <w:r>
        <w:rPr>
          <w:rFonts w:hint="default" w:ascii="Times New Roman" w:hAnsi="Times New Roman" w:cs="Times New Roman"/>
          <w:color w:val="auto"/>
          <w:kern w:val="2"/>
          <w:sz w:val="24"/>
          <w:szCs w:val="24"/>
          <w:highlight w:val="none"/>
          <w:vertAlign w:val="subscript"/>
        </w:rPr>
        <w:t>TOC，i</w:t>
      </w:r>
      <w:r>
        <w:rPr>
          <w:rFonts w:hint="default" w:ascii="Times New Roman" w:hAnsi="Times New Roman" w:cs="Times New Roman"/>
          <w:color w:val="auto"/>
          <w:kern w:val="2"/>
          <w:sz w:val="24"/>
          <w:szCs w:val="24"/>
          <w:highlight w:val="none"/>
          <w:lang w:val="zh-CN"/>
        </w:rPr>
        <w:t>比值取1</w:t>
      </w:r>
      <w:r>
        <w:rPr>
          <w:rFonts w:hint="default" w:ascii="Times New Roman" w:hAnsi="Times New Roman" w:cs="Times New Roman"/>
          <w:color w:val="auto"/>
          <w:kern w:val="2"/>
          <w:sz w:val="24"/>
          <w:szCs w:val="24"/>
          <w:highlight w:val="none"/>
        </w:rPr>
        <w:t>。</w:t>
      </w:r>
    </w:p>
    <w:p w14:paraId="7DED65E9">
      <w:pPr>
        <w:widowControl/>
        <w:spacing w:line="360" w:lineRule="auto"/>
        <w:ind w:firstLine="480" w:firstLineChars="200"/>
        <w:jc w:val="left"/>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无组织废气源强一览表</w:t>
      </w:r>
      <w:r>
        <w:rPr>
          <w:rFonts w:hint="eastAsia"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见表</w:t>
      </w:r>
      <w:r>
        <w:rPr>
          <w:rFonts w:hint="eastAsia" w:cs="Times New Roman"/>
          <w:color w:val="auto"/>
          <w:kern w:val="2"/>
          <w:sz w:val="24"/>
          <w:szCs w:val="24"/>
          <w:highlight w:val="none"/>
          <w:lang w:val="en-US" w:eastAsia="zh-CN"/>
        </w:rPr>
        <w:t>3.3-10</w:t>
      </w:r>
      <w:r>
        <w:rPr>
          <w:rFonts w:hint="default" w:ascii="Times New Roman" w:hAnsi="Times New Roman" w:cs="Times New Roman"/>
          <w:color w:val="auto"/>
          <w:kern w:val="0"/>
          <w:sz w:val="24"/>
          <w:szCs w:val="24"/>
          <w:highlight w:val="none"/>
        </w:rPr>
        <w:t>。</w:t>
      </w:r>
    </w:p>
    <w:p w14:paraId="58A7D217">
      <w:pPr>
        <w:pStyle w:val="61"/>
        <w:bidi w:val="0"/>
        <w:jc w:val="both"/>
        <w:rPr>
          <w:rFonts w:hint="default"/>
          <w:color w:val="auto"/>
          <w:lang w:val="en-US" w:eastAsia="zh-CN"/>
        </w:rPr>
      </w:pPr>
      <w:r>
        <w:rPr>
          <w:rFonts w:hint="default"/>
          <w:color w:val="auto"/>
          <w:lang w:val="en-US" w:eastAsia="zh-CN"/>
        </w:rPr>
        <w:t>表</w:t>
      </w:r>
      <w:r>
        <w:rPr>
          <w:rFonts w:hint="eastAsia"/>
          <w:color w:val="auto"/>
          <w:lang w:val="en-US" w:eastAsia="zh-CN"/>
        </w:rPr>
        <w:t>3.3-10</w:t>
      </w:r>
      <w:r>
        <w:rPr>
          <w:rFonts w:hint="default"/>
          <w:color w:val="auto"/>
          <w:lang w:val="en-US" w:eastAsia="zh-CN"/>
        </w:rPr>
        <w:t xml:space="preserve">  本工程无组织废气非甲烷总烃核算一览表</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275"/>
        <w:gridCol w:w="975"/>
        <w:gridCol w:w="1102"/>
        <w:gridCol w:w="160"/>
        <w:gridCol w:w="769"/>
        <w:gridCol w:w="977"/>
        <w:gridCol w:w="1428"/>
        <w:gridCol w:w="946"/>
        <w:gridCol w:w="996"/>
        <w:gridCol w:w="1046"/>
      </w:tblGrid>
      <w:tr w14:paraId="1D5462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5" w:hRule="atLeast"/>
          <w:jc w:val="center"/>
        </w:trPr>
        <w:tc>
          <w:tcPr>
            <w:tcW w:w="159" w:type="pct"/>
            <w:tcBorders>
              <w:tl2br w:val="nil"/>
              <w:tr2bl w:val="nil"/>
            </w:tcBorders>
            <w:noWrap w:val="0"/>
            <w:vAlign w:val="center"/>
          </w:tcPr>
          <w:p w14:paraId="43D2D1FD">
            <w:pPr>
              <w:keepNext w:val="0"/>
              <w:keepLines w:val="0"/>
              <w:pageBreakBefore w:val="0"/>
              <w:kinsoku/>
              <w:wordWrap/>
              <w:overflowPunct/>
              <w:topLinePunct w:val="0"/>
              <w:autoSpaceDE/>
              <w:autoSpaceDN/>
              <w:bidi w:val="0"/>
              <w:adjustRightInd/>
              <w:snapToGrid w:val="0"/>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序号</w:t>
            </w:r>
          </w:p>
        </w:tc>
        <w:tc>
          <w:tcPr>
            <w:tcW w:w="1289" w:type="pct"/>
            <w:gridSpan w:val="3"/>
            <w:tcBorders>
              <w:tl2br w:val="nil"/>
              <w:tr2bl w:val="nil"/>
            </w:tcBorders>
            <w:noWrap w:val="0"/>
            <w:vAlign w:val="center"/>
          </w:tcPr>
          <w:p w14:paraId="5E4BA974">
            <w:pPr>
              <w:keepNext w:val="0"/>
              <w:keepLines w:val="0"/>
              <w:pageBreakBefore w:val="0"/>
              <w:kinsoku/>
              <w:wordWrap/>
              <w:overflowPunct/>
              <w:topLinePunct w:val="0"/>
              <w:autoSpaceDE/>
              <w:autoSpaceDN/>
              <w:bidi w:val="0"/>
              <w:adjustRightInd/>
              <w:snapToGrid w:val="0"/>
              <w:spacing w:line="0" w:lineRule="atLeast"/>
              <w:jc w:val="center"/>
              <w:rPr>
                <w:rFonts w:hint="default" w:ascii="Times New Roman" w:hAnsi="Times New Roman" w:eastAsia="宋体" w:cs="Times New Roman"/>
                <w:color w:val="auto"/>
                <w:spacing w:val="-10"/>
                <w:sz w:val="21"/>
                <w:szCs w:val="21"/>
                <w:highlight w:val="none"/>
                <w:lang w:bidi="ar"/>
              </w:rPr>
            </w:pPr>
            <w:r>
              <w:rPr>
                <w:rFonts w:hint="default" w:ascii="Times New Roman" w:hAnsi="Times New Roman" w:eastAsia="宋体" w:cs="Times New Roman"/>
                <w:color w:val="auto"/>
                <w:spacing w:val="-10"/>
                <w:sz w:val="21"/>
                <w:szCs w:val="21"/>
                <w:highlight w:val="none"/>
              </w:rPr>
              <w:t>设备名称</w:t>
            </w:r>
          </w:p>
        </w:tc>
        <w:tc>
          <w:tcPr>
            <w:tcW w:w="443" w:type="pct"/>
            <w:tcBorders>
              <w:tl2br w:val="nil"/>
              <w:tr2bl w:val="nil"/>
            </w:tcBorders>
            <w:noWrap w:val="0"/>
            <w:vAlign w:val="center"/>
          </w:tcPr>
          <w:p w14:paraId="558A1C70">
            <w:pPr>
              <w:keepNext w:val="0"/>
              <w:keepLines w:val="0"/>
              <w:pageBreakBefore w:val="0"/>
              <w:kinsoku/>
              <w:wordWrap/>
              <w:overflowPunct/>
              <w:topLinePunct w:val="0"/>
              <w:autoSpaceDE/>
              <w:autoSpaceDN/>
              <w:bidi w:val="0"/>
              <w:adjustRightInd/>
              <w:snapToGrid w:val="0"/>
              <w:spacing w:line="0" w:lineRule="atLeast"/>
              <w:jc w:val="center"/>
              <w:rPr>
                <w:rFonts w:hint="default" w:ascii="Times New Roman" w:hAnsi="Times New Roman" w:eastAsia="宋体" w:cs="Times New Roman"/>
                <w:color w:val="auto"/>
                <w:spacing w:val="-10"/>
                <w:sz w:val="21"/>
                <w:szCs w:val="21"/>
                <w:highlight w:val="none"/>
                <w:lang w:bidi="ar"/>
              </w:rPr>
            </w:pPr>
            <w:r>
              <w:rPr>
                <w:rFonts w:hint="default" w:ascii="Times New Roman" w:hAnsi="Times New Roman" w:eastAsia="宋体" w:cs="Times New Roman"/>
                <w:color w:val="auto"/>
                <w:spacing w:val="-10"/>
                <w:sz w:val="21"/>
                <w:szCs w:val="21"/>
                <w:highlight w:val="none"/>
              </w:rPr>
              <w:t>密封点</w:t>
            </w:r>
            <w:r>
              <w:rPr>
                <w:rFonts w:hint="eastAsia" w:cs="Times New Roman"/>
                <w:color w:val="auto"/>
                <w:spacing w:val="-10"/>
                <w:sz w:val="21"/>
                <w:szCs w:val="21"/>
                <w:highlight w:val="none"/>
                <w:lang w:eastAsia="zh-CN"/>
              </w:rPr>
              <w:t>（</w:t>
            </w:r>
            <w:r>
              <w:rPr>
                <w:rFonts w:hint="default" w:ascii="Times New Roman" w:hAnsi="Times New Roman" w:eastAsia="宋体" w:cs="Times New Roman"/>
                <w:color w:val="auto"/>
                <w:spacing w:val="-10"/>
                <w:sz w:val="21"/>
                <w:szCs w:val="21"/>
                <w:highlight w:val="none"/>
              </w:rPr>
              <w:t>个</w:t>
            </w:r>
            <w:r>
              <w:rPr>
                <w:rFonts w:hint="eastAsia" w:cs="Times New Roman"/>
                <w:color w:val="auto"/>
                <w:spacing w:val="-10"/>
                <w:sz w:val="21"/>
                <w:szCs w:val="21"/>
                <w:highlight w:val="none"/>
                <w:lang w:eastAsia="zh-CN"/>
              </w:rPr>
              <w:t>）</w:t>
            </w:r>
          </w:p>
        </w:tc>
        <w:tc>
          <w:tcPr>
            <w:tcW w:w="563" w:type="pct"/>
            <w:tcBorders>
              <w:tl2br w:val="nil"/>
              <w:tr2bl w:val="nil"/>
            </w:tcBorders>
            <w:noWrap w:val="0"/>
            <w:vAlign w:val="center"/>
          </w:tcPr>
          <w:p w14:paraId="25AF8C88">
            <w:pPr>
              <w:keepNext w:val="0"/>
              <w:keepLines w:val="0"/>
              <w:pageBreakBefore w:val="0"/>
              <w:kinsoku/>
              <w:wordWrap/>
              <w:overflowPunct/>
              <w:topLinePunct w:val="0"/>
              <w:autoSpaceDE/>
              <w:autoSpaceDN/>
              <w:bidi w:val="0"/>
              <w:adjustRightInd/>
              <w:snapToGrid w:val="0"/>
              <w:spacing w:line="0" w:lineRule="atLeast"/>
              <w:jc w:val="center"/>
              <w:rPr>
                <w:rFonts w:hint="default" w:ascii="Times New Roman" w:hAnsi="Times New Roman" w:eastAsia="宋体" w:cs="Times New Roman"/>
                <w:color w:val="auto"/>
                <w:spacing w:val="-10"/>
                <w:sz w:val="21"/>
                <w:szCs w:val="21"/>
                <w:highlight w:val="none"/>
                <w:lang w:bidi="ar"/>
              </w:rPr>
            </w:pPr>
            <w:r>
              <w:rPr>
                <w:rFonts w:hint="default" w:ascii="Times New Roman" w:hAnsi="Times New Roman" w:eastAsia="宋体" w:cs="Times New Roman"/>
                <w:color w:val="auto"/>
                <w:spacing w:val="-10"/>
                <w:sz w:val="21"/>
                <w:szCs w:val="21"/>
                <w:highlight w:val="none"/>
              </w:rPr>
              <w:t>e</w:t>
            </w:r>
            <w:r>
              <w:rPr>
                <w:rFonts w:hint="default" w:ascii="Times New Roman" w:hAnsi="Times New Roman" w:eastAsia="宋体" w:cs="Times New Roman"/>
                <w:color w:val="auto"/>
                <w:spacing w:val="-10"/>
                <w:sz w:val="21"/>
                <w:szCs w:val="21"/>
                <w:highlight w:val="none"/>
                <w:vertAlign w:val="subscript"/>
              </w:rPr>
              <w:t>TOC,</w:t>
            </w:r>
            <w:r>
              <w:rPr>
                <w:rFonts w:hint="default" w:ascii="Times New Roman" w:hAnsi="Times New Roman" w:eastAsia="宋体" w:cs="Times New Roman"/>
                <w:color w:val="auto"/>
                <w:spacing w:val="-10"/>
                <w:sz w:val="21"/>
                <w:szCs w:val="21"/>
                <w:highlight w:val="none"/>
                <w:vertAlign w:val="subscript"/>
                <w:lang w:val="zh-CN"/>
              </w:rPr>
              <w:t>i</w:t>
            </w:r>
            <w:r>
              <w:rPr>
                <w:rFonts w:hint="default" w:ascii="Times New Roman" w:hAnsi="Times New Roman" w:eastAsia="宋体" w:cs="Times New Roman"/>
                <w:color w:val="auto"/>
                <w:spacing w:val="-10"/>
                <w:sz w:val="21"/>
                <w:szCs w:val="21"/>
                <w:highlight w:val="none"/>
              </w:rPr>
              <w:t>(kg/h)</w:t>
            </w:r>
          </w:p>
        </w:tc>
        <w:tc>
          <w:tcPr>
            <w:tcW w:w="822" w:type="pct"/>
            <w:tcBorders>
              <w:tl2br w:val="nil"/>
              <w:tr2bl w:val="nil"/>
            </w:tcBorders>
            <w:noWrap w:val="0"/>
            <w:vAlign w:val="center"/>
          </w:tcPr>
          <w:p w14:paraId="6489CF30">
            <w:pPr>
              <w:keepNext w:val="0"/>
              <w:keepLines w:val="0"/>
              <w:pageBreakBefore w:val="0"/>
              <w:kinsoku/>
              <w:wordWrap/>
              <w:overflowPunct/>
              <w:topLinePunct w:val="0"/>
              <w:autoSpaceDE/>
              <w:autoSpaceDN/>
              <w:bidi w:val="0"/>
              <w:adjustRightInd/>
              <w:snapToGrid w:val="0"/>
              <w:spacing w:line="0" w:lineRule="atLeast"/>
              <w:jc w:val="center"/>
              <w:rPr>
                <w:rFonts w:hint="default" w:ascii="Times New Roman" w:hAnsi="Times New Roman" w:eastAsia="宋体" w:cs="Times New Roman"/>
                <w:color w:val="auto"/>
                <w:spacing w:val="-10"/>
                <w:sz w:val="21"/>
                <w:szCs w:val="21"/>
                <w:highlight w:val="none"/>
                <w:lang w:bidi="ar"/>
              </w:rPr>
            </w:pPr>
            <w:r>
              <w:rPr>
                <w:rFonts w:hint="default" w:ascii="Times New Roman" w:hAnsi="Times New Roman" w:eastAsia="宋体" w:cs="Times New Roman"/>
                <w:color w:val="auto"/>
                <w:spacing w:val="-10"/>
                <w:sz w:val="21"/>
                <w:szCs w:val="21"/>
                <w:highlight w:val="none"/>
              </w:rPr>
              <w:t>WF</w:t>
            </w:r>
            <w:r>
              <w:rPr>
                <w:rFonts w:hint="default" w:ascii="Times New Roman" w:hAnsi="Times New Roman" w:eastAsia="宋体" w:cs="Times New Roman"/>
                <w:color w:val="auto"/>
                <w:spacing w:val="-10"/>
                <w:sz w:val="21"/>
                <w:szCs w:val="21"/>
                <w:highlight w:val="none"/>
                <w:vertAlign w:val="subscript"/>
              </w:rPr>
              <w:t>VOCs,i</w:t>
            </w:r>
            <w:r>
              <w:rPr>
                <w:rFonts w:hint="default" w:ascii="Times New Roman" w:hAnsi="Times New Roman" w:eastAsia="宋体" w:cs="Times New Roman"/>
                <w:color w:val="auto"/>
                <w:spacing w:val="-10"/>
                <w:sz w:val="21"/>
                <w:szCs w:val="21"/>
                <w:highlight w:val="none"/>
                <w:lang w:val="zh-CN"/>
              </w:rPr>
              <w:t>/</w:t>
            </w:r>
            <w:r>
              <w:rPr>
                <w:rFonts w:hint="default" w:ascii="Times New Roman" w:hAnsi="Times New Roman" w:eastAsia="宋体" w:cs="Times New Roman"/>
                <w:color w:val="auto"/>
                <w:spacing w:val="-10"/>
                <w:sz w:val="21"/>
                <w:szCs w:val="21"/>
                <w:highlight w:val="none"/>
              </w:rPr>
              <w:t>WF</w:t>
            </w:r>
            <w:r>
              <w:rPr>
                <w:rFonts w:hint="default" w:ascii="Times New Roman" w:hAnsi="Times New Roman" w:eastAsia="宋体" w:cs="Times New Roman"/>
                <w:color w:val="auto"/>
                <w:spacing w:val="-10"/>
                <w:sz w:val="21"/>
                <w:szCs w:val="21"/>
                <w:highlight w:val="none"/>
                <w:vertAlign w:val="subscript"/>
              </w:rPr>
              <w:t>TOC,i</w:t>
            </w:r>
          </w:p>
        </w:tc>
        <w:tc>
          <w:tcPr>
            <w:tcW w:w="545" w:type="pct"/>
            <w:tcBorders>
              <w:tl2br w:val="nil"/>
              <w:tr2bl w:val="nil"/>
            </w:tcBorders>
            <w:noWrap w:val="0"/>
            <w:vAlign w:val="center"/>
          </w:tcPr>
          <w:p w14:paraId="2DEEFC5A">
            <w:pPr>
              <w:keepNext w:val="0"/>
              <w:keepLines w:val="0"/>
              <w:pageBreakBefore w:val="0"/>
              <w:kinsoku/>
              <w:wordWrap/>
              <w:overflowPunct/>
              <w:topLinePunct w:val="0"/>
              <w:autoSpaceDE/>
              <w:autoSpaceDN/>
              <w:bidi w:val="0"/>
              <w:adjustRightInd/>
              <w:snapToGrid w:val="0"/>
              <w:spacing w:line="0" w:lineRule="atLeast"/>
              <w:jc w:val="center"/>
              <w:rPr>
                <w:rFonts w:hint="default" w:ascii="Times New Roman" w:hAnsi="Times New Roman" w:eastAsia="宋体" w:cs="Times New Roman"/>
                <w:color w:val="auto"/>
                <w:spacing w:val="-10"/>
                <w:sz w:val="21"/>
                <w:szCs w:val="21"/>
                <w:highlight w:val="none"/>
                <w:lang w:bidi="ar"/>
              </w:rPr>
            </w:pPr>
            <w:r>
              <w:rPr>
                <w:rFonts w:hint="default" w:ascii="Times New Roman" w:hAnsi="Times New Roman" w:eastAsia="宋体" w:cs="Times New Roman"/>
                <w:color w:val="auto"/>
                <w:spacing w:val="-10"/>
                <w:sz w:val="21"/>
                <w:szCs w:val="21"/>
                <w:highlight w:val="none"/>
              </w:rPr>
              <w:t>排放速率</w:t>
            </w:r>
            <w:r>
              <w:rPr>
                <w:rFonts w:hint="eastAsia" w:cs="Times New Roman"/>
                <w:color w:val="auto"/>
                <w:spacing w:val="-10"/>
                <w:sz w:val="21"/>
                <w:szCs w:val="21"/>
                <w:highlight w:val="none"/>
                <w:lang w:eastAsia="zh-CN"/>
              </w:rPr>
              <w:t>（</w:t>
            </w:r>
            <w:r>
              <w:rPr>
                <w:rFonts w:hint="default" w:ascii="Times New Roman" w:hAnsi="Times New Roman" w:eastAsia="宋体" w:cs="Times New Roman"/>
                <w:color w:val="auto"/>
                <w:spacing w:val="-10"/>
                <w:sz w:val="21"/>
                <w:szCs w:val="21"/>
                <w:highlight w:val="none"/>
              </w:rPr>
              <w:t>kg/h</w:t>
            </w:r>
            <w:r>
              <w:rPr>
                <w:rFonts w:hint="eastAsia" w:cs="Times New Roman"/>
                <w:color w:val="auto"/>
                <w:spacing w:val="-10"/>
                <w:sz w:val="21"/>
                <w:szCs w:val="21"/>
                <w:highlight w:val="none"/>
                <w:lang w:eastAsia="zh-CN"/>
              </w:rPr>
              <w:t>）</w:t>
            </w:r>
          </w:p>
        </w:tc>
        <w:tc>
          <w:tcPr>
            <w:tcW w:w="574" w:type="pct"/>
            <w:tcBorders>
              <w:tl2br w:val="nil"/>
              <w:tr2bl w:val="nil"/>
            </w:tcBorders>
            <w:noWrap w:val="0"/>
            <w:vAlign w:val="center"/>
          </w:tcPr>
          <w:p w14:paraId="48BA57BC">
            <w:pPr>
              <w:keepNext w:val="0"/>
              <w:keepLines w:val="0"/>
              <w:pageBreakBefore w:val="0"/>
              <w:kinsoku/>
              <w:wordWrap/>
              <w:overflowPunct/>
              <w:topLinePunct w:val="0"/>
              <w:autoSpaceDE/>
              <w:autoSpaceDN/>
              <w:bidi w:val="0"/>
              <w:adjustRightInd/>
              <w:snapToGrid w:val="0"/>
              <w:spacing w:line="0" w:lineRule="atLeast"/>
              <w:jc w:val="center"/>
              <w:rPr>
                <w:rFonts w:hint="default" w:ascii="Times New Roman" w:hAnsi="Times New Roman" w:eastAsia="宋体" w:cs="Times New Roman"/>
                <w:color w:val="auto"/>
                <w:spacing w:val="-10"/>
                <w:sz w:val="21"/>
                <w:szCs w:val="21"/>
                <w:highlight w:val="none"/>
                <w:lang w:bidi="ar"/>
              </w:rPr>
            </w:pPr>
            <w:r>
              <w:rPr>
                <w:rFonts w:hint="default" w:ascii="Times New Roman" w:hAnsi="Times New Roman" w:eastAsia="宋体" w:cs="Times New Roman"/>
                <w:color w:val="auto"/>
                <w:spacing w:val="-10"/>
                <w:sz w:val="21"/>
                <w:szCs w:val="21"/>
                <w:highlight w:val="none"/>
              </w:rPr>
              <w:t>年运行时间</w:t>
            </w:r>
            <w:r>
              <w:rPr>
                <w:rFonts w:hint="eastAsia" w:cs="Times New Roman"/>
                <w:color w:val="auto"/>
                <w:spacing w:val="-10"/>
                <w:sz w:val="21"/>
                <w:szCs w:val="21"/>
                <w:highlight w:val="none"/>
                <w:lang w:eastAsia="zh-CN"/>
              </w:rPr>
              <w:t>（</w:t>
            </w:r>
            <w:r>
              <w:rPr>
                <w:rFonts w:hint="default" w:ascii="Times New Roman" w:hAnsi="Times New Roman" w:eastAsia="宋体" w:cs="Times New Roman"/>
                <w:color w:val="auto"/>
                <w:spacing w:val="-10"/>
                <w:sz w:val="21"/>
                <w:szCs w:val="21"/>
                <w:highlight w:val="none"/>
              </w:rPr>
              <w:t>h</w:t>
            </w:r>
            <w:r>
              <w:rPr>
                <w:rFonts w:hint="eastAsia" w:cs="Times New Roman"/>
                <w:color w:val="auto"/>
                <w:spacing w:val="-10"/>
                <w:sz w:val="21"/>
                <w:szCs w:val="21"/>
                <w:highlight w:val="none"/>
                <w:lang w:eastAsia="zh-CN"/>
              </w:rPr>
              <w:t>）</w:t>
            </w:r>
          </w:p>
        </w:tc>
        <w:tc>
          <w:tcPr>
            <w:tcW w:w="603" w:type="pct"/>
            <w:tcBorders>
              <w:tl2br w:val="nil"/>
              <w:tr2bl w:val="nil"/>
            </w:tcBorders>
            <w:noWrap w:val="0"/>
            <w:vAlign w:val="center"/>
          </w:tcPr>
          <w:p w14:paraId="45FFB799">
            <w:pPr>
              <w:keepNext w:val="0"/>
              <w:keepLines w:val="0"/>
              <w:pageBreakBefore w:val="0"/>
              <w:kinsoku/>
              <w:wordWrap/>
              <w:overflowPunct/>
              <w:topLinePunct w:val="0"/>
              <w:autoSpaceDE/>
              <w:autoSpaceDN/>
              <w:bidi w:val="0"/>
              <w:adjustRightInd/>
              <w:snapToGrid w:val="0"/>
              <w:spacing w:line="0" w:lineRule="atLeast"/>
              <w:jc w:val="center"/>
              <w:rPr>
                <w:rFonts w:hint="default" w:ascii="Times New Roman" w:hAnsi="Times New Roman" w:eastAsia="宋体" w:cs="Times New Roman"/>
                <w:color w:val="auto"/>
                <w:spacing w:val="-10"/>
                <w:sz w:val="21"/>
                <w:szCs w:val="21"/>
                <w:highlight w:val="none"/>
                <w:lang w:bidi="ar"/>
              </w:rPr>
            </w:pPr>
            <w:r>
              <w:rPr>
                <w:rFonts w:hint="default" w:ascii="Times New Roman" w:hAnsi="Times New Roman" w:eastAsia="宋体" w:cs="Times New Roman"/>
                <w:color w:val="auto"/>
                <w:spacing w:val="-10"/>
                <w:sz w:val="21"/>
                <w:szCs w:val="21"/>
                <w:highlight w:val="none"/>
              </w:rPr>
              <w:t>年排放量</w:t>
            </w:r>
            <w:r>
              <w:rPr>
                <w:rFonts w:hint="eastAsia" w:cs="Times New Roman"/>
                <w:color w:val="auto"/>
                <w:spacing w:val="-10"/>
                <w:sz w:val="21"/>
                <w:szCs w:val="21"/>
                <w:highlight w:val="none"/>
                <w:lang w:eastAsia="zh-CN"/>
              </w:rPr>
              <w:t>（</w:t>
            </w:r>
            <w:r>
              <w:rPr>
                <w:rFonts w:hint="default" w:ascii="Times New Roman" w:hAnsi="Times New Roman" w:eastAsia="宋体" w:cs="Times New Roman"/>
                <w:color w:val="auto"/>
                <w:spacing w:val="-10"/>
                <w:sz w:val="21"/>
                <w:szCs w:val="21"/>
                <w:highlight w:val="none"/>
                <w:lang w:bidi="ar"/>
              </w:rPr>
              <w:t>t/a</w:t>
            </w:r>
            <w:r>
              <w:rPr>
                <w:rFonts w:hint="eastAsia" w:cs="Times New Roman"/>
                <w:color w:val="auto"/>
                <w:spacing w:val="-10"/>
                <w:sz w:val="21"/>
                <w:szCs w:val="21"/>
                <w:highlight w:val="none"/>
                <w:lang w:eastAsia="zh-CN" w:bidi="ar"/>
              </w:rPr>
              <w:t>）</w:t>
            </w:r>
          </w:p>
        </w:tc>
      </w:tr>
      <w:tr w14:paraId="2E4BF8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5" w:hRule="atLeast"/>
          <w:jc w:val="center"/>
        </w:trPr>
        <w:tc>
          <w:tcPr>
            <w:tcW w:w="159" w:type="pct"/>
            <w:tcBorders>
              <w:tl2br w:val="nil"/>
              <w:tr2bl w:val="nil"/>
            </w:tcBorders>
            <w:noWrap w:val="0"/>
            <w:vAlign w:val="center"/>
          </w:tcPr>
          <w:p w14:paraId="24F453C0">
            <w:pPr>
              <w:keepNext w:val="0"/>
              <w:keepLines w:val="0"/>
              <w:pageBreakBefore w:val="0"/>
              <w:kinsoku/>
              <w:wordWrap/>
              <w:overflowPunct/>
              <w:topLinePunct w:val="0"/>
              <w:autoSpaceDE/>
              <w:autoSpaceDN/>
              <w:bidi w:val="0"/>
              <w:adjustRightInd/>
              <w:snapToGrid w:val="0"/>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1</w:t>
            </w:r>
          </w:p>
        </w:tc>
        <w:tc>
          <w:tcPr>
            <w:tcW w:w="562" w:type="pct"/>
            <w:vMerge w:val="restart"/>
            <w:tcBorders>
              <w:tl2br w:val="nil"/>
              <w:tr2bl w:val="nil"/>
            </w:tcBorders>
            <w:noWrap w:val="0"/>
            <w:vAlign w:val="center"/>
          </w:tcPr>
          <w:p w14:paraId="1AF87787">
            <w:pPr>
              <w:keepNext w:val="0"/>
              <w:keepLines w:val="0"/>
              <w:pageBreakBefore w:val="0"/>
              <w:kinsoku/>
              <w:wordWrap/>
              <w:overflowPunct/>
              <w:topLinePunct w:val="0"/>
              <w:autoSpaceDE/>
              <w:autoSpaceDN/>
              <w:bidi w:val="0"/>
              <w:adjustRightInd/>
              <w:snapToGrid w:val="0"/>
              <w:spacing w:line="0" w:lineRule="atLeast"/>
              <w:jc w:val="center"/>
              <w:textAlignment w:val="center"/>
              <w:rPr>
                <w:rFonts w:hint="default" w:ascii="Times New Roman" w:hAnsi="Times New Roman" w:eastAsia="宋体" w:cs="Times New Roman"/>
                <w:color w:val="auto"/>
                <w:spacing w:val="-10"/>
                <w:sz w:val="21"/>
                <w:szCs w:val="21"/>
                <w:highlight w:val="none"/>
                <w:lang w:val="en-US" w:eastAsia="zh-CN" w:bidi="ar"/>
              </w:rPr>
            </w:pPr>
            <w:r>
              <w:rPr>
                <w:rFonts w:hint="eastAsia" w:ascii="Times New Roman" w:hAnsi="Times New Roman" w:cs="Times New Roman"/>
                <w:color w:val="auto"/>
                <w:spacing w:val="-10"/>
                <w:sz w:val="21"/>
                <w:szCs w:val="21"/>
                <w:highlight w:val="none"/>
                <w:lang w:val="en-US" w:eastAsia="zh-CN" w:bidi="ar"/>
              </w:rPr>
              <w:t>单座采</w:t>
            </w:r>
            <w:r>
              <w:rPr>
                <w:rFonts w:hint="eastAsia" w:cs="Times New Roman"/>
                <w:color w:val="auto"/>
                <w:spacing w:val="-10"/>
                <w:sz w:val="21"/>
                <w:szCs w:val="21"/>
                <w:highlight w:val="none"/>
                <w:lang w:val="en-US" w:eastAsia="zh-CN" w:bidi="ar"/>
              </w:rPr>
              <w:t>油井</w:t>
            </w:r>
            <w:r>
              <w:rPr>
                <w:rFonts w:hint="eastAsia" w:ascii="Times New Roman" w:hAnsi="Times New Roman" w:cs="Times New Roman"/>
                <w:color w:val="auto"/>
                <w:spacing w:val="-10"/>
                <w:sz w:val="21"/>
                <w:szCs w:val="21"/>
                <w:highlight w:val="none"/>
                <w:lang w:val="en-US" w:eastAsia="zh-CN" w:bidi="ar"/>
              </w:rPr>
              <w:t>场</w:t>
            </w:r>
          </w:p>
        </w:tc>
        <w:tc>
          <w:tcPr>
            <w:tcW w:w="727" w:type="pct"/>
            <w:gridSpan w:val="2"/>
            <w:tcBorders>
              <w:tl2br w:val="nil"/>
              <w:tr2bl w:val="nil"/>
            </w:tcBorders>
            <w:noWrap w:val="0"/>
            <w:vAlign w:val="center"/>
          </w:tcPr>
          <w:p w14:paraId="7F432715">
            <w:pPr>
              <w:keepNext w:val="0"/>
              <w:keepLines w:val="0"/>
              <w:pageBreakBefore w:val="0"/>
              <w:kinsoku/>
              <w:wordWrap/>
              <w:overflowPunct/>
              <w:topLinePunct w:val="0"/>
              <w:autoSpaceDE/>
              <w:autoSpaceDN/>
              <w:bidi w:val="0"/>
              <w:adjustRightInd/>
              <w:snapToGrid w:val="0"/>
              <w:spacing w:line="0" w:lineRule="atLeast"/>
              <w:jc w:val="center"/>
              <w:textAlignment w:val="center"/>
              <w:rPr>
                <w:rFonts w:hint="eastAsia" w:ascii="Times New Roman" w:hAnsi="Times New Roman" w:eastAsia="宋体" w:cs="Times New Roman"/>
                <w:color w:val="auto"/>
                <w:spacing w:val="-10"/>
                <w:sz w:val="21"/>
                <w:szCs w:val="21"/>
                <w:highlight w:val="none"/>
                <w:lang w:eastAsia="zh-CN"/>
              </w:rPr>
            </w:pPr>
            <w:r>
              <w:rPr>
                <w:rFonts w:hint="default" w:ascii="Times New Roman" w:hAnsi="Times New Roman" w:eastAsia="宋体" w:cs="Times New Roman"/>
                <w:color w:val="auto"/>
                <w:spacing w:val="-10"/>
                <w:sz w:val="21"/>
                <w:szCs w:val="21"/>
                <w:highlight w:val="none"/>
              </w:rPr>
              <w:t>阀门</w:t>
            </w:r>
            <w:r>
              <w:rPr>
                <w:rFonts w:hint="eastAsia" w:ascii="Times New Roman" w:hAnsi="Times New Roman" w:cs="Times New Roman"/>
                <w:color w:val="auto"/>
                <w:spacing w:val="-10"/>
                <w:sz w:val="21"/>
                <w:szCs w:val="21"/>
                <w:highlight w:val="none"/>
                <w:lang w:eastAsia="zh-CN"/>
              </w:rPr>
              <w:t>（</w:t>
            </w:r>
            <w:r>
              <w:rPr>
                <w:rFonts w:hint="eastAsia" w:ascii="Times New Roman" w:hAnsi="Times New Roman" w:cs="Times New Roman"/>
                <w:color w:val="auto"/>
                <w:spacing w:val="-10"/>
                <w:sz w:val="21"/>
                <w:szCs w:val="21"/>
                <w:highlight w:val="none"/>
                <w:lang w:val="en-US" w:eastAsia="zh-CN"/>
              </w:rPr>
              <w:t>气体</w:t>
            </w:r>
            <w:r>
              <w:rPr>
                <w:rFonts w:hint="eastAsia" w:ascii="Times New Roman" w:hAnsi="Times New Roman" w:cs="Times New Roman"/>
                <w:color w:val="auto"/>
                <w:spacing w:val="-10"/>
                <w:sz w:val="21"/>
                <w:szCs w:val="21"/>
                <w:highlight w:val="none"/>
                <w:lang w:eastAsia="zh-CN"/>
              </w:rPr>
              <w:t>）</w:t>
            </w:r>
          </w:p>
        </w:tc>
        <w:tc>
          <w:tcPr>
            <w:tcW w:w="443" w:type="pct"/>
            <w:tcBorders>
              <w:tl2br w:val="nil"/>
              <w:tr2bl w:val="nil"/>
            </w:tcBorders>
            <w:noWrap w:val="0"/>
            <w:vAlign w:val="center"/>
          </w:tcPr>
          <w:p w14:paraId="61783AE8">
            <w:pPr>
              <w:keepNext w:val="0"/>
              <w:keepLines w:val="0"/>
              <w:pageBreakBefore w:val="0"/>
              <w:kinsoku/>
              <w:wordWrap/>
              <w:overflowPunct/>
              <w:topLinePunct w:val="0"/>
              <w:autoSpaceDE/>
              <w:autoSpaceDN/>
              <w:bidi w:val="0"/>
              <w:adjustRightInd/>
              <w:snapToGrid w:val="0"/>
              <w:spacing w:line="0" w:lineRule="atLeast"/>
              <w:jc w:val="center"/>
              <w:textAlignment w:val="center"/>
              <w:rPr>
                <w:rFonts w:hint="default" w:ascii="Times New Roman" w:hAnsi="Times New Roman" w:eastAsia="宋体" w:cs="Times New Roman"/>
                <w:color w:val="auto"/>
                <w:spacing w:val="-10"/>
                <w:sz w:val="21"/>
                <w:szCs w:val="21"/>
                <w:highlight w:val="none"/>
                <w:lang w:val="en-US" w:eastAsia="zh-CN" w:bidi="ar"/>
              </w:rPr>
            </w:pPr>
            <w:r>
              <w:rPr>
                <w:rFonts w:hint="eastAsia" w:ascii="Times New Roman" w:hAnsi="Times New Roman" w:cs="Times New Roman"/>
                <w:color w:val="auto"/>
                <w:spacing w:val="-10"/>
                <w:sz w:val="21"/>
                <w:szCs w:val="21"/>
                <w:highlight w:val="none"/>
                <w:lang w:val="en-US" w:eastAsia="zh-CN" w:bidi="ar"/>
              </w:rPr>
              <w:t>10</w:t>
            </w:r>
          </w:p>
        </w:tc>
        <w:tc>
          <w:tcPr>
            <w:tcW w:w="563" w:type="pct"/>
            <w:tcBorders>
              <w:tl2br w:val="nil"/>
              <w:tr2bl w:val="nil"/>
            </w:tcBorders>
            <w:noWrap w:val="0"/>
            <w:vAlign w:val="center"/>
          </w:tcPr>
          <w:p w14:paraId="0138E784">
            <w:pPr>
              <w:keepNext w:val="0"/>
              <w:keepLines w:val="0"/>
              <w:pageBreakBefore w:val="0"/>
              <w:kinsoku/>
              <w:wordWrap/>
              <w:overflowPunct/>
              <w:topLinePunct w:val="0"/>
              <w:autoSpaceDE/>
              <w:autoSpaceDN/>
              <w:bidi w:val="0"/>
              <w:adjustRightInd/>
              <w:snapToGrid w:val="0"/>
              <w:spacing w:line="0" w:lineRule="atLeast"/>
              <w:jc w:val="center"/>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rPr>
              <w:t>0.0</w:t>
            </w:r>
            <w:r>
              <w:rPr>
                <w:rFonts w:hint="eastAsia" w:cs="Times New Roman"/>
                <w:color w:val="auto"/>
                <w:spacing w:val="-10"/>
                <w:sz w:val="21"/>
                <w:szCs w:val="21"/>
                <w:highlight w:val="none"/>
                <w:lang w:val="en-US" w:eastAsia="zh-CN"/>
              </w:rPr>
              <w:t>64</w:t>
            </w:r>
          </w:p>
        </w:tc>
        <w:tc>
          <w:tcPr>
            <w:tcW w:w="822" w:type="pct"/>
            <w:vMerge w:val="restart"/>
            <w:tcBorders>
              <w:tl2br w:val="nil"/>
              <w:tr2bl w:val="nil"/>
            </w:tcBorders>
            <w:noWrap w:val="0"/>
            <w:vAlign w:val="center"/>
          </w:tcPr>
          <w:p w14:paraId="24123D42">
            <w:pPr>
              <w:keepNext w:val="0"/>
              <w:keepLines w:val="0"/>
              <w:pageBreakBefore w:val="0"/>
              <w:kinsoku/>
              <w:wordWrap/>
              <w:overflowPunct/>
              <w:topLinePunct w:val="0"/>
              <w:autoSpaceDE/>
              <w:autoSpaceDN/>
              <w:bidi w:val="0"/>
              <w:adjustRightInd/>
              <w:snapToGrid w:val="0"/>
              <w:spacing w:line="0" w:lineRule="atLeast"/>
              <w:jc w:val="center"/>
              <w:textAlignment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1</w:t>
            </w:r>
          </w:p>
        </w:tc>
        <w:tc>
          <w:tcPr>
            <w:tcW w:w="545" w:type="pct"/>
            <w:tcBorders>
              <w:tl2br w:val="nil"/>
              <w:tr2bl w:val="nil"/>
            </w:tcBorders>
            <w:noWrap w:val="0"/>
            <w:vAlign w:val="center"/>
          </w:tcPr>
          <w:p w14:paraId="5C92D3D2">
            <w:pPr>
              <w:keepNext w:val="0"/>
              <w:keepLines w:val="0"/>
              <w:pageBreakBefore w:val="0"/>
              <w:widowControl/>
              <w:kinsoku/>
              <w:wordWrap/>
              <w:overflowPunct/>
              <w:topLinePunct w:val="0"/>
              <w:autoSpaceDE/>
              <w:autoSpaceDN/>
              <w:bidi w:val="0"/>
              <w:adjustRightInd/>
              <w:snapToGrid w:val="0"/>
              <w:spacing w:line="0" w:lineRule="atLeast"/>
              <w:jc w:val="center"/>
              <w:textAlignment w:val="center"/>
              <w:rPr>
                <w:rFonts w:hint="default" w:ascii="Times New Roman" w:hAnsi="Times New Roman" w:eastAsia="宋体" w:cs="Times New Roman"/>
                <w:color w:val="auto"/>
                <w:spacing w:val="-10"/>
                <w:sz w:val="21"/>
                <w:szCs w:val="21"/>
                <w:highlight w:val="none"/>
                <w:lang w:val="en-US" w:eastAsia="zh-CN"/>
              </w:rPr>
            </w:pPr>
            <w:r>
              <w:rPr>
                <w:rFonts w:hint="eastAsia" w:ascii="Times New Roman" w:hAnsi="Times New Roman" w:cs="Times New Roman"/>
                <w:color w:val="auto"/>
                <w:spacing w:val="-10"/>
                <w:sz w:val="21"/>
                <w:szCs w:val="21"/>
                <w:highlight w:val="none"/>
                <w:lang w:val="en-US" w:eastAsia="zh-CN"/>
              </w:rPr>
              <w:t>0.00</w:t>
            </w:r>
            <w:r>
              <w:rPr>
                <w:rFonts w:hint="eastAsia" w:cs="Times New Roman"/>
                <w:color w:val="auto"/>
                <w:spacing w:val="-10"/>
                <w:sz w:val="21"/>
                <w:szCs w:val="21"/>
                <w:highlight w:val="none"/>
                <w:lang w:val="en-US" w:eastAsia="zh-CN"/>
              </w:rPr>
              <w:t>192</w:t>
            </w:r>
          </w:p>
        </w:tc>
        <w:tc>
          <w:tcPr>
            <w:tcW w:w="574" w:type="pct"/>
            <w:vMerge w:val="restart"/>
            <w:tcBorders>
              <w:tl2br w:val="nil"/>
              <w:tr2bl w:val="nil"/>
            </w:tcBorders>
            <w:noWrap w:val="0"/>
            <w:vAlign w:val="center"/>
          </w:tcPr>
          <w:p w14:paraId="25D5DD2F">
            <w:pPr>
              <w:keepNext w:val="0"/>
              <w:keepLines w:val="0"/>
              <w:pageBreakBefore w:val="0"/>
              <w:kinsoku/>
              <w:wordWrap/>
              <w:overflowPunct/>
              <w:topLinePunct w:val="0"/>
              <w:autoSpaceDE/>
              <w:autoSpaceDN/>
              <w:bidi w:val="0"/>
              <w:adjustRightInd/>
              <w:snapToGrid w:val="0"/>
              <w:spacing w:line="0" w:lineRule="atLeast"/>
              <w:jc w:val="center"/>
              <w:textAlignment w:val="center"/>
              <w:rPr>
                <w:rFonts w:hint="default" w:ascii="Times New Roman" w:hAnsi="Times New Roman" w:eastAsia="宋体" w:cs="Times New Roman"/>
                <w:color w:val="auto"/>
                <w:spacing w:val="-10"/>
                <w:sz w:val="21"/>
                <w:szCs w:val="21"/>
                <w:highlight w:val="none"/>
                <w:lang w:val="en-US" w:eastAsia="zh-CN"/>
              </w:rPr>
            </w:pPr>
            <w:r>
              <w:rPr>
                <w:rFonts w:hint="eastAsia" w:cs="Times New Roman"/>
                <w:color w:val="auto"/>
                <w:spacing w:val="-10"/>
                <w:sz w:val="21"/>
                <w:szCs w:val="21"/>
                <w:highlight w:val="none"/>
                <w:lang w:val="en-US" w:eastAsia="zh-CN"/>
              </w:rPr>
              <w:t>7200</w:t>
            </w:r>
          </w:p>
        </w:tc>
        <w:tc>
          <w:tcPr>
            <w:tcW w:w="603" w:type="pct"/>
            <w:tcBorders>
              <w:tl2br w:val="nil"/>
              <w:tr2bl w:val="nil"/>
            </w:tcBorders>
            <w:noWrap w:val="0"/>
            <w:vAlign w:val="center"/>
          </w:tcPr>
          <w:p w14:paraId="0AD11E3C">
            <w:pPr>
              <w:keepNext w:val="0"/>
              <w:keepLines w:val="0"/>
              <w:pageBreakBefore w:val="0"/>
              <w:widowControl/>
              <w:kinsoku/>
              <w:wordWrap/>
              <w:overflowPunct/>
              <w:topLinePunct w:val="0"/>
              <w:autoSpaceDE/>
              <w:autoSpaceDN/>
              <w:bidi w:val="0"/>
              <w:adjustRightInd/>
              <w:snapToGrid w:val="0"/>
              <w:spacing w:line="0" w:lineRule="atLeast"/>
              <w:jc w:val="center"/>
              <w:textAlignment w:val="center"/>
              <w:rPr>
                <w:rFonts w:hint="default" w:ascii="Times New Roman" w:hAnsi="Times New Roman" w:eastAsia="宋体" w:cs="Times New Roman"/>
                <w:color w:val="auto"/>
                <w:spacing w:val="-10"/>
                <w:sz w:val="21"/>
                <w:szCs w:val="21"/>
                <w:highlight w:val="none"/>
                <w:lang w:val="en-US" w:eastAsia="zh-CN"/>
              </w:rPr>
            </w:pPr>
            <w:r>
              <w:rPr>
                <w:rFonts w:hint="eastAsia" w:ascii="Times New Roman" w:hAnsi="Times New Roman" w:cs="Times New Roman"/>
                <w:color w:val="auto"/>
                <w:spacing w:val="-10"/>
                <w:sz w:val="21"/>
                <w:szCs w:val="21"/>
                <w:highlight w:val="none"/>
                <w:lang w:val="en-US" w:eastAsia="zh-CN"/>
              </w:rPr>
              <w:t>0.0</w:t>
            </w:r>
            <w:r>
              <w:rPr>
                <w:rFonts w:hint="eastAsia" w:cs="Times New Roman"/>
                <w:color w:val="auto"/>
                <w:spacing w:val="-10"/>
                <w:sz w:val="21"/>
                <w:szCs w:val="21"/>
                <w:highlight w:val="none"/>
                <w:lang w:val="en-US" w:eastAsia="zh-CN"/>
              </w:rPr>
              <w:t>138</w:t>
            </w:r>
          </w:p>
        </w:tc>
      </w:tr>
      <w:tr w14:paraId="212A59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5" w:hRule="atLeast"/>
          <w:jc w:val="center"/>
        </w:trPr>
        <w:tc>
          <w:tcPr>
            <w:tcW w:w="159" w:type="pct"/>
            <w:tcBorders>
              <w:tl2br w:val="nil"/>
              <w:tr2bl w:val="nil"/>
            </w:tcBorders>
            <w:noWrap w:val="0"/>
            <w:vAlign w:val="center"/>
          </w:tcPr>
          <w:p w14:paraId="77313934">
            <w:pPr>
              <w:keepNext w:val="0"/>
              <w:keepLines w:val="0"/>
              <w:pageBreakBefore w:val="0"/>
              <w:kinsoku/>
              <w:wordWrap/>
              <w:overflowPunct/>
              <w:topLinePunct w:val="0"/>
              <w:autoSpaceDE/>
              <w:autoSpaceDN/>
              <w:bidi w:val="0"/>
              <w:adjustRightInd/>
              <w:snapToGrid w:val="0"/>
              <w:spacing w:line="0" w:lineRule="atLeast"/>
              <w:jc w:val="center"/>
              <w:rPr>
                <w:rFonts w:hint="eastAsia" w:ascii="Times New Roman" w:hAnsi="Times New Roman" w:eastAsia="宋体" w:cs="Times New Roman"/>
                <w:color w:val="auto"/>
                <w:spacing w:val="-10"/>
                <w:sz w:val="21"/>
                <w:szCs w:val="21"/>
                <w:highlight w:val="none"/>
                <w:lang w:val="en-US" w:eastAsia="zh-CN"/>
              </w:rPr>
            </w:pPr>
            <w:r>
              <w:rPr>
                <w:rFonts w:hint="eastAsia" w:ascii="Times New Roman" w:hAnsi="Times New Roman" w:cs="Times New Roman"/>
                <w:color w:val="auto"/>
                <w:spacing w:val="-10"/>
                <w:sz w:val="21"/>
                <w:szCs w:val="21"/>
                <w:highlight w:val="none"/>
                <w:lang w:val="en-US" w:eastAsia="zh-CN"/>
              </w:rPr>
              <w:t>2</w:t>
            </w:r>
          </w:p>
        </w:tc>
        <w:tc>
          <w:tcPr>
            <w:tcW w:w="562" w:type="pct"/>
            <w:vMerge w:val="continue"/>
            <w:tcBorders>
              <w:tl2br w:val="nil"/>
              <w:tr2bl w:val="nil"/>
            </w:tcBorders>
            <w:noWrap w:val="0"/>
            <w:vAlign w:val="center"/>
          </w:tcPr>
          <w:p w14:paraId="40905B90">
            <w:pPr>
              <w:keepNext w:val="0"/>
              <w:keepLines w:val="0"/>
              <w:pageBreakBefore w:val="0"/>
              <w:kinsoku/>
              <w:wordWrap/>
              <w:overflowPunct/>
              <w:topLinePunct w:val="0"/>
              <w:autoSpaceDE/>
              <w:autoSpaceDN/>
              <w:bidi w:val="0"/>
              <w:adjustRightInd/>
              <w:snapToGrid w:val="0"/>
              <w:spacing w:line="0" w:lineRule="atLeast"/>
              <w:jc w:val="center"/>
              <w:textAlignment w:val="center"/>
              <w:rPr>
                <w:rFonts w:hint="default" w:ascii="Times New Roman" w:hAnsi="Times New Roman" w:eastAsia="宋体" w:cs="Times New Roman"/>
                <w:color w:val="auto"/>
                <w:spacing w:val="-10"/>
                <w:sz w:val="21"/>
                <w:szCs w:val="21"/>
                <w:highlight w:val="none"/>
                <w:lang w:bidi="ar"/>
              </w:rPr>
            </w:pPr>
          </w:p>
        </w:tc>
        <w:tc>
          <w:tcPr>
            <w:tcW w:w="727" w:type="pct"/>
            <w:gridSpan w:val="2"/>
            <w:tcBorders>
              <w:tl2br w:val="nil"/>
              <w:tr2bl w:val="nil"/>
            </w:tcBorders>
            <w:noWrap w:val="0"/>
            <w:vAlign w:val="center"/>
          </w:tcPr>
          <w:p w14:paraId="50333578">
            <w:pPr>
              <w:keepNext w:val="0"/>
              <w:keepLines w:val="0"/>
              <w:pageBreakBefore w:val="0"/>
              <w:kinsoku/>
              <w:wordWrap/>
              <w:overflowPunct/>
              <w:topLinePunct w:val="0"/>
              <w:autoSpaceDE/>
              <w:autoSpaceDN/>
              <w:bidi w:val="0"/>
              <w:adjustRightInd/>
              <w:snapToGrid w:val="0"/>
              <w:spacing w:line="0" w:lineRule="atLeast"/>
              <w:jc w:val="center"/>
              <w:textAlignment w:val="center"/>
              <w:rPr>
                <w:rFonts w:hint="default" w:ascii="Times New Roman" w:hAnsi="Times New Roman" w:eastAsia="宋体" w:cs="Times New Roman"/>
                <w:color w:val="auto"/>
                <w:spacing w:val="-10"/>
                <w:sz w:val="21"/>
                <w:szCs w:val="21"/>
                <w:highlight w:val="none"/>
                <w:lang w:bidi="ar"/>
              </w:rPr>
            </w:pPr>
            <w:r>
              <w:rPr>
                <w:rFonts w:hint="default" w:ascii="Times New Roman" w:hAnsi="Times New Roman" w:eastAsia="宋体" w:cs="Times New Roman"/>
                <w:color w:val="auto"/>
                <w:spacing w:val="-10"/>
                <w:sz w:val="21"/>
                <w:szCs w:val="21"/>
                <w:highlight w:val="none"/>
              </w:rPr>
              <w:t>法兰</w:t>
            </w:r>
          </w:p>
        </w:tc>
        <w:tc>
          <w:tcPr>
            <w:tcW w:w="443" w:type="pct"/>
            <w:tcBorders>
              <w:tl2br w:val="nil"/>
              <w:tr2bl w:val="nil"/>
            </w:tcBorders>
            <w:noWrap w:val="0"/>
            <w:vAlign w:val="center"/>
          </w:tcPr>
          <w:p w14:paraId="377B0971">
            <w:pPr>
              <w:keepNext w:val="0"/>
              <w:keepLines w:val="0"/>
              <w:pageBreakBefore w:val="0"/>
              <w:kinsoku/>
              <w:wordWrap/>
              <w:overflowPunct/>
              <w:topLinePunct w:val="0"/>
              <w:autoSpaceDE/>
              <w:autoSpaceDN/>
              <w:bidi w:val="0"/>
              <w:adjustRightInd/>
              <w:snapToGrid w:val="0"/>
              <w:spacing w:line="0" w:lineRule="atLeast"/>
              <w:jc w:val="center"/>
              <w:textAlignment w:val="center"/>
              <w:rPr>
                <w:rFonts w:hint="default" w:ascii="Times New Roman" w:hAnsi="Times New Roman" w:eastAsia="宋体" w:cs="Times New Roman"/>
                <w:color w:val="auto"/>
                <w:spacing w:val="-10"/>
                <w:sz w:val="21"/>
                <w:szCs w:val="21"/>
                <w:highlight w:val="none"/>
                <w:lang w:val="en-US" w:eastAsia="zh-CN" w:bidi="ar"/>
              </w:rPr>
            </w:pPr>
            <w:r>
              <w:rPr>
                <w:rFonts w:hint="eastAsia" w:ascii="Times New Roman" w:hAnsi="Times New Roman" w:cs="Times New Roman"/>
                <w:color w:val="auto"/>
                <w:spacing w:val="-10"/>
                <w:sz w:val="21"/>
                <w:szCs w:val="21"/>
                <w:highlight w:val="none"/>
                <w:lang w:val="en-US" w:eastAsia="zh-CN" w:bidi="ar"/>
              </w:rPr>
              <w:t>20</w:t>
            </w:r>
          </w:p>
        </w:tc>
        <w:tc>
          <w:tcPr>
            <w:tcW w:w="563" w:type="pct"/>
            <w:tcBorders>
              <w:tl2br w:val="nil"/>
              <w:tr2bl w:val="nil"/>
            </w:tcBorders>
            <w:noWrap w:val="0"/>
            <w:vAlign w:val="center"/>
          </w:tcPr>
          <w:p w14:paraId="1FBB94EB">
            <w:pPr>
              <w:keepNext w:val="0"/>
              <w:keepLines w:val="0"/>
              <w:pageBreakBefore w:val="0"/>
              <w:kinsoku/>
              <w:wordWrap/>
              <w:overflowPunct/>
              <w:topLinePunct w:val="0"/>
              <w:autoSpaceDE/>
              <w:autoSpaceDN/>
              <w:bidi w:val="0"/>
              <w:adjustRightInd/>
              <w:snapToGrid w:val="0"/>
              <w:spacing w:line="0" w:lineRule="atLeast"/>
              <w:jc w:val="center"/>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rPr>
              <w:t>0.0</w:t>
            </w:r>
            <w:r>
              <w:rPr>
                <w:rFonts w:hint="eastAsia" w:cs="Times New Roman"/>
                <w:color w:val="auto"/>
                <w:spacing w:val="-10"/>
                <w:sz w:val="21"/>
                <w:szCs w:val="21"/>
                <w:highlight w:val="none"/>
                <w:lang w:val="en-US" w:eastAsia="zh-CN"/>
              </w:rPr>
              <w:t>85</w:t>
            </w:r>
          </w:p>
        </w:tc>
        <w:tc>
          <w:tcPr>
            <w:tcW w:w="822" w:type="pct"/>
            <w:vMerge w:val="continue"/>
            <w:tcBorders>
              <w:tl2br w:val="nil"/>
              <w:tr2bl w:val="nil"/>
            </w:tcBorders>
            <w:noWrap w:val="0"/>
            <w:vAlign w:val="center"/>
          </w:tcPr>
          <w:p w14:paraId="5F9BFAA3">
            <w:pPr>
              <w:keepNext w:val="0"/>
              <w:keepLines w:val="0"/>
              <w:pageBreakBefore w:val="0"/>
              <w:kinsoku/>
              <w:wordWrap/>
              <w:overflowPunct/>
              <w:topLinePunct w:val="0"/>
              <w:autoSpaceDE/>
              <w:autoSpaceDN/>
              <w:bidi w:val="0"/>
              <w:adjustRightInd/>
              <w:snapToGrid w:val="0"/>
              <w:spacing w:line="0" w:lineRule="atLeast"/>
              <w:jc w:val="center"/>
              <w:textAlignment w:val="center"/>
              <w:rPr>
                <w:rFonts w:hint="default" w:ascii="Times New Roman" w:hAnsi="Times New Roman" w:eastAsia="宋体" w:cs="Times New Roman"/>
                <w:color w:val="auto"/>
                <w:spacing w:val="-10"/>
                <w:sz w:val="21"/>
                <w:szCs w:val="21"/>
                <w:highlight w:val="none"/>
              </w:rPr>
            </w:pPr>
          </w:p>
        </w:tc>
        <w:tc>
          <w:tcPr>
            <w:tcW w:w="545" w:type="pct"/>
            <w:tcBorders>
              <w:tl2br w:val="nil"/>
              <w:tr2bl w:val="nil"/>
            </w:tcBorders>
            <w:noWrap w:val="0"/>
            <w:vAlign w:val="center"/>
          </w:tcPr>
          <w:p w14:paraId="63345D5B">
            <w:pPr>
              <w:keepNext w:val="0"/>
              <w:keepLines w:val="0"/>
              <w:pageBreakBefore w:val="0"/>
              <w:widowControl/>
              <w:kinsoku/>
              <w:wordWrap/>
              <w:overflowPunct/>
              <w:topLinePunct w:val="0"/>
              <w:autoSpaceDE/>
              <w:autoSpaceDN/>
              <w:bidi w:val="0"/>
              <w:adjustRightInd/>
              <w:snapToGrid w:val="0"/>
              <w:spacing w:line="0" w:lineRule="atLeast"/>
              <w:jc w:val="center"/>
              <w:textAlignment w:val="center"/>
              <w:rPr>
                <w:rFonts w:hint="default" w:ascii="Times New Roman" w:hAnsi="Times New Roman" w:eastAsia="宋体" w:cs="Times New Roman"/>
                <w:color w:val="auto"/>
                <w:spacing w:val="-10"/>
                <w:sz w:val="21"/>
                <w:szCs w:val="21"/>
                <w:highlight w:val="none"/>
                <w:lang w:val="en-US" w:eastAsia="zh-CN"/>
              </w:rPr>
            </w:pPr>
            <w:r>
              <w:rPr>
                <w:rFonts w:hint="eastAsia" w:ascii="Times New Roman" w:hAnsi="Times New Roman" w:cs="Times New Roman"/>
                <w:color w:val="auto"/>
                <w:spacing w:val="-10"/>
                <w:sz w:val="21"/>
                <w:szCs w:val="21"/>
                <w:highlight w:val="none"/>
                <w:lang w:val="en-US" w:eastAsia="zh-CN"/>
              </w:rPr>
              <w:t>0.00</w:t>
            </w:r>
            <w:r>
              <w:rPr>
                <w:rFonts w:hint="eastAsia" w:cs="Times New Roman"/>
                <w:color w:val="auto"/>
                <w:spacing w:val="-10"/>
                <w:sz w:val="21"/>
                <w:szCs w:val="21"/>
                <w:highlight w:val="none"/>
                <w:lang w:val="en-US" w:eastAsia="zh-CN"/>
              </w:rPr>
              <w:t>51</w:t>
            </w:r>
          </w:p>
        </w:tc>
        <w:tc>
          <w:tcPr>
            <w:tcW w:w="574" w:type="pct"/>
            <w:vMerge w:val="continue"/>
            <w:tcBorders>
              <w:tl2br w:val="nil"/>
              <w:tr2bl w:val="nil"/>
            </w:tcBorders>
            <w:noWrap w:val="0"/>
            <w:vAlign w:val="center"/>
          </w:tcPr>
          <w:p w14:paraId="3D74EC1D">
            <w:pPr>
              <w:keepNext w:val="0"/>
              <w:keepLines w:val="0"/>
              <w:pageBreakBefore w:val="0"/>
              <w:kinsoku/>
              <w:wordWrap/>
              <w:overflowPunct/>
              <w:topLinePunct w:val="0"/>
              <w:autoSpaceDE/>
              <w:autoSpaceDN/>
              <w:bidi w:val="0"/>
              <w:adjustRightInd/>
              <w:snapToGrid w:val="0"/>
              <w:spacing w:line="0" w:lineRule="atLeast"/>
              <w:jc w:val="center"/>
              <w:textAlignment w:val="center"/>
              <w:rPr>
                <w:rFonts w:hint="default" w:ascii="Times New Roman" w:hAnsi="Times New Roman" w:eastAsia="宋体" w:cs="Times New Roman"/>
                <w:color w:val="auto"/>
                <w:spacing w:val="-10"/>
                <w:sz w:val="21"/>
                <w:szCs w:val="21"/>
                <w:highlight w:val="none"/>
              </w:rPr>
            </w:pPr>
          </w:p>
        </w:tc>
        <w:tc>
          <w:tcPr>
            <w:tcW w:w="603" w:type="pct"/>
            <w:tcBorders>
              <w:tl2br w:val="nil"/>
              <w:tr2bl w:val="nil"/>
            </w:tcBorders>
            <w:noWrap w:val="0"/>
            <w:vAlign w:val="center"/>
          </w:tcPr>
          <w:p w14:paraId="7317CC51">
            <w:pPr>
              <w:keepNext w:val="0"/>
              <w:keepLines w:val="0"/>
              <w:pageBreakBefore w:val="0"/>
              <w:widowControl/>
              <w:kinsoku/>
              <w:wordWrap/>
              <w:overflowPunct/>
              <w:topLinePunct w:val="0"/>
              <w:autoSpaceDE/>
              <w:autoSpaceDN/>
              <w:bidi w:val="0"/>
              <w:adjustRightInd/>
              <w:snapToGrid w:val="0"/>
              <w:spacing w:line="0" w:lineRule="atLeast"/>
              <w:jc w:val="center"/>
              <w:textAlignment w:val="center"/>
              <w:rPr>
                <w:rFonts w:hint="default" w:ascii="Times New Roman" w:hAnsi="Times New Roman" w:eastAsia="宋体" w:cs="Times New Roman"/>
                <w:color w:val="auto"/>
                <w:spacing w:val="-10"/>
                <w:sz w:val="21"/>
                <w:szCs w:val="21"/>
                <w:highlight w:val="none"/>
                <w:lang w:val="en-US" w:eastAsia="zh-CN"/>
              </w:rPr>
            </w:pPr>
            <w:r>
              <w:rPr>
                <w:rFonts w:hint="eastAsia" w:ascii="Times New Roman" w:hAnsi="Times New Roman" w:cs="Times New Roman"/>
                <w:color w:val="auto"/>
                <w:spacing w:val="-10"/>
                <w:sz w:val="21"/>
                <w:szCs w:val="21"/>
                <w:highlight w:val="none"/>
                <w:lang w:val="en-US" w:eastAsia="zh-CN"/>
              </w:rPr>
              <w:t>0.0</w:t>
            </w:r>
            <w:r>
              <w:rPr>
                <w:rFonts w:hint="eastAsia" w:cs="Times New Roman"/>
                <w:color w:val="auto"/>
                <w:spacing w:val="-10"/>
                <w:sz w:val="21"/>
                <w:szCs w:val="21"/>
                <w:highlight w:val="none"/>
                <w:lang w:val="en-US" w:eastAsia="zh-CN"/>
              </w:rPr>
              <w:t>367</w:t>
            </w:r>
          </w:p>
        </w:tc>
      </w:tr>
      <w:tr w14:paraId="562DE3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6" w:hRule="atLeast"/>
          <w:jc w:val="center"/>
        </w:trPr>
        <w:tc>
          <w:tcPr>
            <w:tcW w:w="3277" w:type="pct"/>
            <w:gridSpan w:val="7"/>
            <w:tcBorders>
              <w:tl2br w:val="nil"/>
              <w:tr2bl w:val="nil"/>
            </w:tcBorders>
            <w:noWrap w:val="0"/>
            <w:vAlign w:val="center"/>
          </w:tcPr>
          <w:p w14:paraId="47C7BBF8">
            <w:pPr>
              <w:keepNext w:val="0"/>
              <w:keepLines w:val="0"/>
              <w:pageBreakBefore w:val="0"/>
              <w:kinsoku/>
              <w:wordWrap/>
              <w:overflowPunct/>
              <w:topLinePunct w:val="0"/>
              <w:autoSpaceDE/>
              <w:autoSpaceDN/>
              <w:bidi w:val="0"/>
              <w:adjustRightInd/>
              <w:snapToGrid w:val="0"/>
              <w:spacing w:line="0" w:lineRule="atLeast"/>
              <w:jc w:val="center"/>
              <w:textAlignment w:val="center"/>
              <w:rPr>
                <w:rFonts w:hint="default" w:ascii="Times New Roman" w:hAnsi="Times New Roman" w:eastAsia="宋体" w:cs="Times New Roman"/>
                <w:color w:val="auto"/>
                <w:spacing w:val="-10"/>
                <w:sz w:val="21"/>
                <w:szCs w:val="21"/>
                <w:highlight w:val="none"/>
                <w:lang w:eastAsia="zh-CN"/>
              </w:rPr>
            </w:pPr>
            <w:r>
              <w:rPr>
                <w:rFonts w:hint="eastAsia" w:ascii="Times New Roman" w:hAnsi="Times New Roman" w:cs="Times New Roman"/>
                <w:color w:val="auto"/>
                <w:spacing w:val="-10"/>
                <w:sz w:val="21"/>
                <w:szCs w:val="21"/>
                <w:highlight w:val="none"/>
                <w:lang w:val="en-US" w:eastAsia="zh-CN"/>
              </w:rPr>
              <w:t>小</w:t>
            </w:r>
            <w:r>
              <w:rPr>
                <w:rFonts w:hint="default" w:ascii="Times New Roman" w:hAnsi="Times New Roman" w:eastAsia="宋体" w:cs="Times New Roman"/>
                <w:color w:val="auto"/>
                <w:spacing w:val="-10"/>
                <w:sz w:val="21"/>
                <w:szCs w:val="21"/>
                <w:highlight w:val="none"/>
                <w:lang w:val="en-US" w:eastAsia="zh-CN"/>
              </w:rPr>
              <w:t>计</w:t>
            </w:r>
          </w:p>
        </w:tc>
        <w:tc>
          <w:tcPr>
            <w:tcW w:w="545" w:type="pct"/>
            <w:tcBorders>
              <w:tl2br w:val="nil"/>
              <w:tr2bl w:val="nil"/>
            </w:tcBorders>
            <w:noWrap w:val="0"/>
            <w:vAlign w:val="center"/>
          </w:tcPr>
          <w:p w14:paraId="5F8BA111">
            <w:pPr>
              <w:keepNext w:val="0"/>
              <w:keepLines w:val="0"/>
              <w:pageBreakBefore w:val="0"/>
              <w:widowControl/>
              <w:kinsoku/>
              <w:wordWrap/>
              <w:overflowPunct/>
              <w:topLinePunct w:val="0"/>
              <w:autoSpaceDE/>
              <w:autoSpaceDN/>
              <w:bidi w:val="0"/>
              <w:adjustRightInd/>
              <w:snapToGrid w:val="0"/>
              <w:spacing w:line="0" w:lineRule="atLeast"/>
              <w:jc w:val="center"/>
              <w:textAlignment w:val="center"/>
              <w:rPr>
                <w:rFonts w:hint="default" w:ascii="Times New Roman" w:hAnsi="Times New Roman" w:eastAsia="宋体" w:cs="Times New Roman"/>
                <w:color w:val="auto"/>
                <w:spacing w:val="-10"/>
                <w:sz w:val="21"/>
                <w:szCs w:val="21"/>
                <w:highlight w:val="none"/>
                <w:lang w:val="en-US" w:eastAsia="zh-CN"/>
              </w:rPr>
            </w:pPr>
            <w:r>
              <w:rPr>
                <w:rFonts w:hint="eastAsia" w:ascii="Times New Roman" w:hAnsi="Times New Roman" w:cs="Times New Roman"/>
                <w:color w:val="auto"/>
                <w:spacing w:val="-10"/>
                <w:sz w:val="21"/>
                <w:szCs w:val="21"/>
                <w:highlight w:val="none"/>
                <w:lang w:val="en-US" w:eastAsia="zh-CN"/>
              </w:rPr>
              <w:t>0.00</w:t>
            </w:r>
            <w:r>
              <w:rPr>
                <w:rFonts w:hint="eastAsia" w:cs="Times New Roman"/>
                <w:color w:val="auto"/>
                <w:spacing w:val="-10"/>
                <w:sz w:val="21"/>
                <w:szCs w:val="21"/>
                <w:highlight w:val="none"/>
                <w:lang w:val="en-US" w:eastAsia="zh-CN"/>
              </w:rPr>
              <w:t>702</w:t>
            </w:r>
          </w:p>
        </w:tc>
        <w:tc>
          <w:tcPr>
            <w:tcW w:w="574" w:type="pct"/>
            <w:tcBorders>
              <w:tl2br w:val="nil"/>
              <w:tr2bl w:val="nil"/>
            </w:tcBorders>
            <w:noWrap w:val="0"/>
            <w:vAlign w:val="center"/>
          </w:tcPr>
          <w:p w14:paraId="3BA439EB">
            <w:pPr>
              <w:keepNext w:val="0"/>
              <w:keepLines w:val="0"/>
              <w:pageBreakBefore w:val="0"/>
              <w:kinsoku/>
              <w:wordWrap/>
              <w:overflowPunct/>
              <w:topLinePunct w:val="0"/>
              <w:autoSpaceDE/>
              <w:autoSpaceDN/>
              <w:bidi w:val="0"/>
              <w:adjustRightInd/>
              <w:snapToGrid w:val="0"/>
              <w:spacing w:line="0" w:lineRule="atLeast"/>
              <w:jc w:val="center"/>
              <w:textAlignment w:val="center"/>
              <w:rPr>
                <w:rFonts w:hint="default" w:ascii="Times New Roman" w:hAnsi="Times New Roman" w:eastAsia="宋体" w:cs="Times New Roman"/>
                <w:color w:val="auto"/>
                <w:spacing w:val="-10"/>
                <w:sz w:val="21"/>
                <w:szCs w:val="21"/>
                <w:highlight w:val="none"/>
              </w:rPr>
            </w:pPr>
          </w:p>
        </w:tc>
        <w:tc>
          <w:tcPr>
            <w:tcW w:w="603" w:type="pct"/>
            <w:tcBorders>
              <w:tl2br w:val="nil"/>
              <w:tr2bl w:val="nil"/>
            </w:tcBorders>
            <w:noWrap w:val="0"/>
            <w:vAlign w:val="center"/>
          </w:tcPr>
          <w:p w14:paraId="365C5486">
            <w:pPr>
              <w:keepNext w:val="0"/>
              <w:keepLines w:val="0"/>
              <w:pageBreakBefore w:val="0"/>
              <w:widowControl/>
              <w:kinsoku/>
              <w:wordWrap/>
              <w:overflowPunct/>
              <w:topLinePunct w:val="0"/>
              <w:autoSpaceDE/>
              <w:autoSpaceDN/>
              <w:bidi w:val="0"/>
              <w:adjustRightInd/>
              <w:snapToGrid w:val="0"/>
              <w:spacing w:line="0" w:lineRule="atLeast"/>
              <w:jc w:val="center"/>
              <w:textAlignment w:val="center"/>
              <w:rPr>
                <w:rFonts w:hint="default" w:ascii="Times New Roman" w:hAnsi="Times New Roman" w:eastAsia="宋体" w:cs="Times New Roman"/>
                <w:color w:val="auto"/>
                <w:spacing w:val="-10"/>
                <w:sz w:val="21"/>
                <w:szCs w:val="21"/>
                <w:highlight w:val="none"/>
                <w:lang w:val="en-US" w:eastAsia="zh-CN"/>
              </w:rPr>
            </w:pPr>
            <w:r>
              <w:rPr>
                <w:rFonts w:hint="eastAsia" w:ascii="Times New Roman" w:hAnsi="Times New Roman" w:cs="Times New Roman"/>
                <w:color w:val="auto"/>
                <w:spacing w:val="-10"/>
                <w:sz w:val="21"/>
                <w:szCs w:val="21"/>
                <w:highlight w:val="none"/>
                <w:lang w:val="en-US" w:eastAsia="zh-CN"/>
              </w:rPr>
              <w:t>0.0</w:t>
            </w:r>
            <w:r>
              <w:rPr>
                <w:rFonts w:hint="eastAsia" w:cs="Times New Roman"/>
                <w:color w:val="auto"/>
                <w:spacing w:val="-10"/>
                <w:sz w:val="21"/>
                <w:szCs w:val="21"/>
                <w:highlight w:val="none"/>
                <w:lang w:val="en-US" w:eastAsia="zh-CN"/>
              </w:rPr>
              <w:t>505</w:t>
            </w:r>
          </w:p>
        </w:tc>
      </w:tr>
      <w:tr w14:paraId="4B00C4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5" w:hRule="atLeast"/>
          <w:jc w:val="center"/>
        </w:trPr>
        <w:tc>
          <w:tcPr>
            <w:tcW w:w="3277" w:type="pct"/>
            <w:gridSpan w:val="7"/>
            <w:tcBorders>
              <w:tl2br w:val="nil"/>
              <w:tr2bl w:val="nil"/>
            </w:tcBorders>
            <w:noWrap w:val="0"/>
            <w:vAlign w:val="center"/>
          </w:tcPr>
          <w:p w14:paraId="2E8A14CE">
            <w:pPr>
              <w:keepNext w:val="0"/>
              <w:keepLines w:val="0"/>
              <w:pageBreakBefore w:val="0"/>
              <w:kinsoku/>
              <w:wordWrap/>
              <w:overflowPunct/>
              <w:topLinePunct w:val="0"/>
              <w:autoSpaceDE/>
              <w:autoSpaceDN/>
              <w:bidi w:val="0"/>
              <w:adjustRightInd/>
              <w:snapToGrid w:val="0"/>
              <w:spacing w:line="0" w:lineRule="atLeast"/>
              <w:jc w:val="center"/>
              <w:textAlignment w:val="center"/>
              <w:rPr>
                <w:rFonts w:hint="default" w:ascii="Times New Roman" w:hAnsi="Times New Roman" w:eastAsia="宋体" w:cs="Times New Roman"/>
                <w:color w:val="auto"/>
                <w:spacing w:val="-10"/>
                <w:sz w:val="21"/>
                <w:szCs w:val="21"/>
                <w:highlight w:val="none"/>
                <w:lang w:val="en-US" w:eastAsia="zh-CN"/>
              </w:rPr>
            </w:pPr>
            <w:r>
              <w:rPr>
                <w:rFonts w:hint="eastAsia" w:cs="Times New Roman"/>
                <w:color w:val="auto"/>
                <w:spacing w:val="-10"/>
                <w:sz w:val="21"/>
                <w:szCs w:val="21"/>
                <w:highlight w:val="none"/>
                <w:lang w:val="en-US" w:eastAsia="zh-CN"/>
              </w:rPr>
              <w:t>6口</w:t>
            </w:r>
            <w:r>
              <w:rPr>
                <w:rFonts w:hint="eastAsia" w:ascii="Times New Roman" w:hAnsi="Times New Roman" w:cs="Times New Roman"/>
                <w:color w:val="auto"/>
                <w:spacing w:val="-10"/>
                <w:sz w:val="21"/>
                <w:szCs w:val="21"/>
                <w:highlight w:val="none"/>
                <w:lang w:val="en-US" w:eastAsia="zh-CN"/>
              </w:rPr>
              <w:t>井合计</w:t>
            </w:r>
          </w:p>
        </w:tc>
        <w:tc>
          <w:tcPr>
            <w:tcW w:w="545" w:type="pct"/>
            <w:tcBorders>
              <w:tl2br w:val="nil"/>
              <w:tr2bl w:val="nil"/>
            </w:tcBorders>
            <w:noWrap w:val="0"/>
            <w:vAlign w:val="center"/>
          </w:tcPr>
          <w:p w14:paraId="7C7E4C79">
            <w:pPr>
              <w:keepNext w:val="0"/>
              <w:keepLines w:val="0"/>
              <w:pageBreakBefore w:val="0"/>
              <w:widowControl/>
              <w:kinsoku/>
              <w:wordWrap/>
              <w:overflowPunct/>
              <w:topLinePunct w:val="0"/>
              <w:autoSpaceDE/>
              <w:autoSpaceDN/>
              <w:bidi w:val="0"/>
              <w:adjustRightInd/>
              <w:snapToGrid w:val="0"/>
              <w:spacing w:line="0" w:lineRule="atLeast"/>
              <w:jc w:val="center"/>
              <w:textAlignment w:val="center"/>
              <w:rPr>
                <w:rFonts w:hint="default" w:ascii="Times New Roman" w:hAnsi="Times New Roman" w:eastAsia="宋体" w:cs="Times New Roman"/>
                <w:color w:val="auto"/>
                <w:spacing w:val="-10"/>
                <w:kern w:val="0"/>
                <w:sz w:val="21"/>
                <w:szCs w:val="21"/>
                <w:highlight w:val="none"/>
                <w:lang w:bidi="ar"/>
              </w:rPr>
            </w:pPr>
          </w:p>
        </w:tc>
        <w:tc>
          <w:tcPr>
            <w:tcW w:w="574" w:type="pct"/>
            <w:tcBorders>
              <w:tl2br w:val="nil"/>
              <w:tr2bl w:val="nil"/>
            </w:tcBorders>
            <w:noWrap w:val="0"/>
            <w:vAlign w:val="center"/>
          </w:tcPr>
          <w:p w14:paraId="16E04A0F">
            <w:pPr>
              <w:keepNext w:val="0"/>
              <w:keepLines w:val="0"/>
              <w:pageBreakBefore w:val="0"/>
              <w:kinsoku/>
              <w:wordWrap/>
              <w:overflowPunct/>
              <w:topLinePunct w:val="0"/>
              <w:autoSpaceDE/>
              <w:autoSpaceDN/>
              <w:bidi w:val="0"/>
              <w:adjustRightInd/>
              <w:snapToGrid w:val="0"/>
              <w:spacing w:line="0" w:lineRule="atLeast"/>
              <w:jc w:val="center"/>
              <w:textAlignment w:val="center"/>
              <w:rPr>
                <w:rFonts w:hint="default" w:ascii="Times New Roman" w:hAnsi="Times New Roman" w:eastAsia="宋体" w:cs="Times New Roman"/>
                <w:color w:val="auto"/>
                <w:spacing w:val="-10"/>
                <w:sz w:val="21"/>
                <w:szCs w:val="21"/>
                <w:highlight w:val="none"/>
              </w:rPr>
            </w:pPr>
          </w:p>
        </w:tc>
        <w:tc>
          <w:tcPr>
            <w:tcW w:w="603" w:type="pct"/>
            <w:tcBorders>
              <w:tl2br w:val="nil"/>
              <w:tr2bl w:val="nil"/>
            </w:tcBorders>
            <w:noWrap w:val="0"/>
            <w:vAlign w:val="center"/>
          </w:tcPr>
          <w:p w14:paraId="6AB3A8FE">
            <w:pPr>
              <w:keepNext w:val="0"/>
              <w:keepLines w:val="0"/>
              <w:pageBreakBefore w:val="0"/>
              <w:widowControl/>
              <w:kinsoku/>
              <w:wordWrap/>
              <w:overflowPunct/>
              <w:topLinePunct w:val="0"/>
              <w:autoSpaceDE/>
              <w:autoSpaceDN/>
              <w:bidi w:val="0"/>
              <w:adjustRightInd/>
              <w:snapToGrid w:val="0"/>
              <w:spacing w:line="0" w:lineRule="atLeast"/>
              <w:jc w:val="center"/>
              <w:textAlignment w:val="center"/>
              <w:rPr>
                <w:rFonts w:hint="default" w:ascii="Times New Roman" w:hAnsi="Times New Roman" w:eastAsia="宋体" w:cs="Times New Roman"/>
                <w:color w:val="auto"/>
                <w:spacing w:val="-10"/>
                <w:kern w:val="0"/>
                <w:sz w:val="21"/>
                <w:szCs w:val="21"/>
                <w:highlight w:val="none"/>
                <w:lang w:val="en-US" w:eastAsia="zh-CN" w:bidi="ar"/>
              </w:rPr>
            </w:pPr>
            <w:r>
              <w:rPr>
                <w:rFonts w:hint="eastAsia" w:cs="Times New Roman"/>
                <w:color w:val="auto"/>
                <w:spacing w:val="-10"/>
                <w:kern w:val="0"/>
                <w:sz w:val="21"/>
                <w:szCs w:val="21"/>
                <w:highlight w:val="none"/>
                <w:lang w:val="en-US" w:eastAsia="zh-CN" w:bidi="ar"/>
              </w:rPr>
              <w:t>0.303</w:t>
            </w:r>
          </w:p>
        </w:tc>
      </w:tr>
      <w:tr w14:paraId="4988D2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1" w:hRule="atLeast"/>
          <w:jc w:val="center"/>
        </w:trPr>
        <w:tc>
          <w:tcPr>
            <w:tcW w:w="159" w:type="pct"/>
            <w:tcBorders>
              <w:tl2br w:val="nil"/>
              <w:tr2bl w:val="nil"/>
            </w:tcBorders>
            <w:noWrap w:val="0"/>
            <w:vAlign w:val="center"/>
          </w:tcPr>
          <w:p w14:paraId="09E4FAB8">
            <w:pPr>
              <w:keepNext w:val="0"/>
              <w:keepLines w:val="0"/>
              <w:pageBreakBefore w:val="0"/>
              <w:kinsoku/>
              <w:wordWrap/>
              <w:overflowPunct/>
              <w:topLinePunct w:val="0"/>
              <w:autoSpaceDE/>
              <w:autoSpaceDN/>
              <w:bidi w:val="0"/>
              <w:adjustRightInd/>
              <w:snapToGrid w:val="0"/>
              <w:spacing w:line="0" w:lineRule="atLeast"/>
              <w:jc w:val="center"/>
              <w:rPr>
                <w:rFonts w:hint="eastAsia" w:ascii="Times New Roman" w:hAnsi="Times New Roman" w:eastAsia="宋体" w:cs="Times New Roman"/>
                <w:color w:val="auto"/>
                <w:spacing w:val="-10"/>
                <w:sz w:val="21"/>
                <w:szCs w:val="21"/>
                <w:highlight w:val="none"/>
                <w:lang w:val="en-US" w:eastAsia="zh-CN"/>
              </w:rPr>
            </w:pPr>
            <w:r>
              <w:rPr>
                <w:rFonts w:hint="eastAsia" w:ascii="Times New Roman" w:hAnsi="Times New Roman" w:cs="Times New Roman"/>
                <w:color w:val="auto"/>
                <w:spacing w:val="-10"/>
                <w:sz w:val="21"/>
                <w:szCs w:val="21"/>
                <w:highlight w:val="none"/>
                <w:lang w:val="en-US" w:eastAsia="zh-CN"/>
              </w:rPr>
              <w:t>1</w:t>
            </w:r>
          </w:p>
        </w:tc>
        <w:tc>
          <w:tcPr>
            <w:tcW w:w="562" w:type="pct"/>
            <w:vMerge w:val="restart"/>
            <w:tcBorders>
              <w:tl2br w:val="nil"/>
              <w:tr2bl w:val="nil"/>
            </w:tcBorders>
            <w:noWrap w:val="0"/>
            <w:vAlign w:val="center"/>
          </w:tcPr>
          <w:p w14:paraId="16CFCF9D">
            <w:pPr>
              <w:keepNext w:val="0"/>
              <w:keepLines w:val="0"/>
              <w:pageBreakBefore w:val="0"/>
              <w:kinsoku/>
              <w:wordWrap/>
              <w:overflowPunct/>
              <w:topLinePunct w:val="0"/>
              <w:autoSpaceDE/>
              <w:autoSpaceDN/>
              <w:bidi w:val="0"/>
              <w:adjustRightInd/>
              <w:snapToGrid w:val="0"/>
              <w:spacing w:line="0" w:lineRule="atLeast"/>
              <w:jc w:val="center"/>
              <w:textAlignment w:val="center"/>
              <w:rPr>
                <w:rFonts w:hint="default" w:ascii="Times New Roman" w:hAnsi="Times New Roman" w:eastAsia="宋体" w:cs="Times New Roman"/>
                <w:color w:val="auto"/>
                <w:spacing w:val="-10"/>
                <w:sz w:val="21"/>
                <w:szCs w:val="21"/>
                <w:highlight w:val="none"/>
                <w:lang w:val="en-US" w:eastAsia="zh-CN" w:bidi="ar"/>
              </w:rPr>
            </w:pPr>
            <w:r>
              <w:rPr>
                <w:rFonts w:hint="eastAsia" w:cs="Times New Roman"/>
                <w:color w:val="auto"/>
                <w:spacing w:val="-10"/>
                <w:sz w:val="21"/>
                <w:szCs w:val="21"/>
                <w:highlight w:val="none"/>
                <w:lang w:val="en-US" w:eastAsia="zh-CN" w:bidi="ar"/>
              </w:rPr>
              <w:t>雄探1试采点</w:t>
            </w:r>
          </w:p>
        </w:tc>
        <w:tc>
          <w:tcPr>
            <w:tcW w:w="635" w:type="pct"/>
            <w:tcBorders>
              <w:tl2br w:val="nil"/>
              <w:tr2bl w:val="nil"/>
            </w:tcBorders>
            <w:noWrap w:val="0"/>
            <w:vAlign w:val="center"/>
          </w:tcPr>
          <w:p w14:paraId="0285BEF3">
            <w:pPr>
              <w:pStyle w:val="69"/>
              <w:keepNext w:val="0"/>
              <w:pageBreakBefore w:val="0"/>
              <w:kinsoku/>
              <w:wordWrap/>
              <w:overflowPunct/>
              <w:topLinePunct w:val="0"/>
              <w:bidi w:val="0"/>
              <w:spacing w:line="40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阀</w:t>
            </w:r>
            <w:r>
              <w:rPr>
                <w:rFonts w:hint="default" w:ascii="Times New Roman" w:hAnsi="Times New Roman" w:cs="Times New Roman"/>
                <w:color w:val="auto"/>
                <w:sz w:val="21"/>
                <w:szCs w:val="21"/>
                <w:highlight w:val="none"/>
                <w:lang w:val="en-US" w:eastAsia="zh-CN"/>
              </w:rPr>
              <w:t>门</w:t>
            </w:r>
          </w:p>
        </w:tc>
        <w:tc>
          <w:tcPr>
            <w:tcW w:w="535" w:type="pct"/>
            <w:gridSpan w:val="2"/>
            <w:tcBorders>
              <w:tl2br w:val="nil"/>
              <w:tr2bl w:val="nil"/>
            </w:tcBorders>
            <w:noWrap w:val="0"/>
            <w:vAlign w:val="center"/>
          </w:tcPr>
          <w:p w14:paraId="47CE3F7F">
            <w:pPr>
              <w:pStyle w:val="69"/>
              <w:keepNext w:val="0"/>
              <w:pageBreakBefore w:val="0"/>
              <w:kinsoku/>
              <w:wordWrap/>
              <w:overflowPunct/>
              <w:topLinePunct w:val="0"/>
              <w:bidi w:val="0"/>
              <w:spacing w:line="40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40</w:t>
            </w:r>
          </w:p>
        </w:tc>
        <w:tc>
          <w:tcPr>
            <w:tcW w:w="563" w:type="pct"/>
            <w:tcBorders>
              <w:tl2br w:val="nil"/>
              <w:tr2bl w:val="nil"/>
            </w:tcBorders>
            <w:noWrap w:val="0"/>
            <w:vAlign w:val="center"/>
          </w:tcPr>
          <w:p w14:paraId="0302D9A2">
            <w:pPr>
              <w:keepNext w:val="0"/>
              <w:keepLines w:val="0"/>
              <w:pageBreakBefore w:val="0"/>
              <w:widowControl/>
              <w:suppressLineNumbers w:val="0"/>
              <w:kinsoku/>
              <w:wordWrap/>
              <w:overflowPunct/>
              <w:topLinePunct w:val="0"/>
              <w:bidi w:val="0"/>
              <w:spacing w:line="400" w:lineRule="exact"/>
              <w:ind w:left="0" w:leftChars="0" w:right="0" w:rightChars="0" w:firstLine="0" w:firstLineChars="0"/>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auto"/>
                <w:kern w:val="0"/>
                <w:sz w:val="21"/>
                <w:szCs w:val="21"/>
                <w:highlight w:val="none"/>
                <w:u w:val="none"/>
                <w:lang w:val="en-US" w:eastAsia="zh-CN" w:bidi="ar"/>
              </w:rPr>
              <w:t>0.0</w:t>
            </w:r>
            <w:r>
              <w:rPr>
                <w:rFonts w:hint="eastAsia" w:eastAsia="等线" w:cs="Times New Roman"/>
                <w:i w:val="0"/>
                <w:iCs w:val="0"/>
                <w:color w:val="auto"/>
                <w:kern w:val="0"/>
                <w:sz w:val="21"/>
                <w:szCs w:val="21"/>
                <w:highlight w:val="none"/>
                <w:u w:val="none"/>
                <w:lang w:val="en-US" w:eastAsia="zh-CN" w:bidi="ar"/>
              </w:rPr>
              <w:t>64</w:t>
            </w:r>
          </w:p>
        </w:tc>
        <w:tc>
          <w:tcPr>
            <w:tcW w:w="822" w:type="pct"/>
            <w:vMerge w:val="restart"/>
            <w:tcBorders>
              <w:tl2br w:val="nil"/>
              <w:tr2bl w:val="nil"/>
            </w:tcBorders>
            <w:noWrap w:val="0"/>
            <w:vAlign w:val="center"/>
          </w:tcPr>
          <w:p w14:paraId="5BF71C15">
            <w:pPr>
              <w:keepNext w:val="0"/>
              <w:keepLines w:val="0"/>
              <w:pageBreakBefore w:val="0"/>
              <w:kinsoku/>
              <w:wordWrap/>
              <w:overflowPunct/>
              <w:topLinePunct w:val="0"/>
              <w:autoSpaceDE/>
              <w:autoSpaceDN/>
              <w:bidi w:val="0"/>
              <w:adjustRightInd/>
              <w:snapToGrid w:val="0"/>
              <w:spacing w:line="0" w:lineRule="atLeast"/>
              <w:jc w:val="center"/>
              <w:textAlignment w:val="center"/>
              <w:rPr>
                <w:rFonts w:hint="default" w:ascii="Times New Roman" w:hAnsi="Times New Roman" w:eastAsia="宋体" w:cs="Times New Roman"/>
                <w:color w:val="auto"/>
                <w:spacing w:val="-10"/>
                <w:sz w:val="21"/>
                <w:szCs w:val="21"/>
                <w:highlight w:val="none"/>
                <w:lang w:val="en-US" w:eastAsia="zh-CN"/>
              </w:rPr>
            </w:pPr>
            <w:r>
              <w:rPr>
                <w:rFonts w:hint="eastAsia" w:ascii="Times New Roman" w:hAnsi="Times New Roman" w:cs="Times New Roman"/>
                <w:color w:val="auto"/>
                <w:spacing w:val="-10"/>
                <w:sz w:val="21"/>
                <w:szCs w:val="21"/>
                <w:highlight w:val="none"/>
                <w:lang w:val="en-US" w:eastAsia="zh-CN"/>
              </w:rPr>
              <w:t>1</w:t>
            </w:r>
          </w:p>
        </w:tc>
        <w:tc>
          <w:tcPr>
            <w:tcW w:w="545" w:type="pct"/>
            <w:tcBorders>
              <w:tl2br w:val="nil"/>
              <w:tr2bl w:val="nil"/>
            </w:tcBorders>
            <w:noWrap w:val="0"/>
            <w:vAlign w:val="center"/>
          </w:tcPr>
          <w:p w14:paraId="30452F0B">
            <w:pPr>
              <w:keepNext w:val="0"/>
              <w:keepLines w:val="0"/>
              <w:pageBreakBefore w:val="0"/>
              <w:widowControl/>
              <w:kinsoku/>
              <w:wordWrap/>
              <w:overflowPunct/>
              <w:topLinePunct w:val="0"/>
              <w:autoSpaceDE/>
              <w:autoSpaceDN/>
              <w:bidi w:val="0"/>
              <w:adjustRightInd/>
              <w:snapToGrid w:val="0"/>
              <w:spacing w:line="0" w:lineRule="atLeast"/>
              <w:jc w:val="center"/>
              <w:textAlignment w:val="center"/>
              <w:rPr>
                <w:rFonts w:hint="default" w:ascii="Times New Roman" w:hAnsi="Times New Roman" w:eastAsia="宋体" w:cs="Times New Roman"/>
                <w:color w:val="auto"/>
                <w:spacing w:val="-10"/>
                <w:kern w:val="0"/>
                <w:sz w:val="21"/>
                <w:szCs w:val="21"/>
                <w:highlight w:val="none"/>
                <w:lang w:val="en-US" w:eastAsia="zh-CN" w:bidi="ar"/>
              </w:rPr>
            </w:pPr>
            <w:r>
              <w:rPr>
                <w:rFonts w:hint="eastAsia" w:cs="Times New Roman"/>
                <w:color w:val="auto"/>
                <w:spacing w:val="-10"/>
                <w:kern w:val="0"/>
                <w:sz w:val="21"/>
                <w:szCs w:val="21"/>
                <w:highlight w:val="none"/>
                <w:lang w:val="en-US" w:eastAsia="zh-CN" w:bidi="ar"/>
              </w:rPr>
              <w:t>0.00768</w:t>
            </w:r>
          </w:p>
        </w:tc>
        <w:tc>
          <w:tcPr>
            <w:tcW w:w="574" w:type="pct"/>
            <w:vMerge w:val="restart"/>
            <w:tcBorders>
              <w:tl2br w:val="nil"/>
              <w:tr2bl w:val="nil"/>
            </w:tcBorders>
            <w:noWrap w:val="0"/>
            <w:vAlign w:val="center"/>
          </w:tcPr>
          <w:p w14:paraId="4989FF47">
            <w:pPr>
              <w:keepNext w:val="0"/>
              <w:keepLines w:val="0"/>
              <w:pageBreakBefore w:val="0"/>
              <w:kinsoku/>
              <w:wordWrap/>
              <w:overflowPunct/>
              <w:topLinePunct w:val="0"/>
              <w:autoSpaceDE/>
              <w:autoSpaceDN/>
              <w:bidi w:val="0"/>
              <w:adjustRightInd/>
              <w:snapToGrid w:val="0"/>
              <w:spacing w:line="0" w:lineRule="atLeast"/>
              <w:jc w:val="center"/>
              <w:textAlignment w:val="center"/>
              <w:rPr>
                <w:rFonts w:hint="default" w:ascii="Times New Roman" w:hAnsi="Times New Roman" w:eastAsia="宋体" w:cs="Times New Roman"/>
                <w:color w:val="auto"/>
                <w:spacing w:val="-10"/>
                <w:sz w:val="21"/>
                <w:szCs w:val="21"/>
                <w:highlight w:val="none"/>
                <w:lang w:val="en-US" w:eastAsia="zh-CN"/>
              </w:rPr>
            </w:pPr>
            <w:r>
              <w:rPr>
                <w:rFonts w:hint="eastAsia" w:cs="Times New Roman"/>
                <w:color w:val="auto"/>
                <w:spacing w:val="-10"/>
                <w:sz w:val="21"/>
                <w:szCs w:val="21"/>
                <w:highlight w:val="none"/>
                <w:lang w:val="en-US" w:eastAsia="zh-CN"/>
              </w:rPr>
              <w:t>7200</w:t>
            </w:r>
          </w:p>
        </w:tc>
        <w:tc>
          <w:tcPr>
            <w:tcW w:w="603" w:type="pct"/>
            <w:tcBorders>
              <w:tl2br w:val="nil"/>
              <w:tr2bl w:val="nil"/>
            </w:tcBorders>
            <w:noWrap w:val="0"/>
            <w:vAlign w:val="center"/>
          </w:tcPr>
          <w:p w14:paraId="2AF2ED42">
            <w:pPr>
              <w:keepNext w:val="0"/>
              <w:keepLines w:val="0"/>
              <w:pageBreakBefore w:val="0"/>
              <w:widowControl/>
              <w:kinsoku/>
              <w:wordWrap/>
              <w:overflowPunct/>
              <w:topLinePunct w:val="0"/>
              <w:autoSpaceDE/>
              <w:autoSpaceDN/>
              <w:bidi w:val="0"/>
              <w:adjustRightInd/>
              <w:snapToGrid w:val="0"/>
              <w:spacing w:line="0" w:lineRule="atLeast"/>
              <w:jc w:val="center"/>
              <w:textAlignment w:val="center"/>
              <w:rPr>
                <w:rFonts w:hint="default" w:ascii="Times New Roman" w:hAnsi="Times New Roman" w:eastAsia="宋体" w:cs="Times New Roman"/>
                <w:color w:val="auto"/>
                <w:spacing w:val="-10"/>
                <w:kern w:val="0"/>
                <w:sz w:val="21"/>
                <w:szCs w:val="21"/>
                <w:highlight w:val="none"/>
                <w:lang w:val="en-US" w:eastAsia="zh-CN" w:bidi="ar"/>
              </w:rPr>
            </w:pPr>
            <w:r>
              <w:rPr>
                <w:rFonts w:hint="eastAsia" w:ascii="Times New Roman" w:hAnsi="Times New Roman" w:cs="Times New Roman"/>
                <w:color w:val="auto"/>
                <w:spacing w:val="-10"/>
                <w:kern w:val="0"/>
                <w:sz w:val="21"/>
                <w:szCs w:val="21"/>
                <w:highlight w:val="none"/>
                <w:lang w:val="en-US" w:eastAsia="zh-CN" w:bidi="ar"/>
              </w:rPr>
              <w:t>0.0</w:t>
            </w:r>
            <w:r>
              <w:rPr>
                <w:rFonts w:hint="eastAsia" w:cs="Times New Roman"/>
                <w:color w:val="auto"/>
                <w:spacing w:val="-10"/>
                <w:kern w:val="0"/>
                <w:sz w:val="21"/>
                <w:szCs w:val="21"/>
                <w:highlight w:val="none"/>
                <w:lang w:val="en-US" w:eastAsia="zh-CN" w:bidi="ar"/>
              </w:rPr>
              <w:t>553</w:t>
            </w:r>
          </w:p>
        </w:tc>
      </w:tr>
      <w:tr w14:paraId="381CE2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19" w:hRule="atLeast"/>
          <w:jc w:val="center"/>
        </w:trPr>
        <w:tc>
          <w:tcPr>
            <w:tcW w:w="159" w:type="pct"/>
            <w:tcBorders>
              <w:tl2br w:val="nil"/>
              <w:tr2bl w:val="nil"/>
            </w:tcBorders>
            <w:noWrap w:val="0"/>
            <w:vAlign w:val="center"/>
          </w:tcPr>
          <w:p w14:paraId="0A78371F">
            <w:pPr>
              <w:keepNext w:val="0"/>
              <w:keepLines w:val="0"/>
              <w:pageBreakBefore w:val="0"/>
              <w:kinsoku/>
              <w:wordWrap/>
              <w:overflowPunct/>
              <w:topLinePunct w:val="0"/>
              <w:autoSpaceDE/>
              <w:autoSpaceDN/>
              <w:bidi w:val="0"/>
              <w:adjustRightInd/>
              <w:snapToGrid w:val="0"/>
              <w:spacing w:line="0" w:lineRule="atLeast"/>
              <w:jc w:val="center"/>
              <w:rPr>
                <w:rFonts w:hint="eastAsia" w:ascii="Times New Roman" w:hAnsi="Times New Roman" w:eastAsia="宋体" w:cs="Times New Roman"/>
                <w:color w:val="auto"/>
                <w:spacing w:val="-10"/>
                <w:sz w:val="21"/>
                <w:szCs w:val="21"/>
                <w:highlight w:val="none"/>
                <w:lang w:val="en-US" w:eastAsia="zh-CN"/>
              </w:rPr>
            </w:pPr>
            <w:r>
              <w:rPr>
                <w:rFonts w:hint="eastAsia" w:ascii="Times New Roman" w:hAnsi="Times New Roman" w:cs="Times New Roman"/>
                <w:color w:val="auto"/>
                <w:spacing w:val="-10"/>
                <w:sz w:val="21"/>
                <w:szCs w:val="21"/>
                <w:highlight w:val="none"/>
                <w:lang w:val="en-US" w:eastAsia="zh-CN"/>
              </w:rPr>
              <w:t>2</w:t>
            </w:r>
          </w:p>
        </w:tc>
        <w:tc>
          <w:tcPr>
            <w:tcW w:w="562" w:type="pct"/>
            <w:vMerge w:val="continue"/>
            <w:tcBorders>
              <w:tl2br w:val="nil"/>
              <w:tr2bl w:val="nil"/>
            </w:tcBorders>
            <w:noWrap w:val="0"/>
            <w:vAlign w:val="center"/>
          </w:tcPr>
          <w:p w14:paraId="4CAB62A8">
            <w:pPr>
              <w:keepNext w:val="0"/>
              <w:keepLines w:val="0"/>
              <w:pageBreakBefore w:val="0"/>
              <w:kinsoku/>
              <w:wordWrap/>
              <w:overflowPunct/>
              <w:topLinePunct w:val="0"/>
              <w:autoSpaceDE/>
              <w:autoSpaceDN/>
              <w:bidi w:val="0"/>
              <w:adjustRightInd/>
              <w:snapToGrid w:val="0"/>
              <w:spacing w:line="0" w:lineRule="atLeast"/>
              <w:jc w:val="center"/>
              <w:textAlignment w:val="center"/>
              <w:rPr>
                <w:rFonts w:hint="default" w:ascii="Times New Roman" w:hAnsi="Times New Roman" w:eastAsia="宋体" w:cs="Times New Roman"/>
                <w:color w:val="auto"/>
                <w:spacing w:val="-10"/>
                <w:sz w:val="21"/>
                <w:szCs w:val="21"/>
                <w:highlight w:val="none"/>
                <w:lang w:bidi="ar"/>
              </w:rPr>
            </w:pPr>
          </w:p>
        </w:tc>
        <w:tc>
          <w:tcPr>
            <w:tcW w:w="635" w:type="pct"/>
            <w:tcBorders>
              <w:tl2br w:val="nil"/>
              <w:tr2bl w:val="nil"/>
            </w:tcBorders>
            <w:noWrap w:val="0"/>
            <w:vAlign w:val="center"/>
          </w:tcPr>
          <w:p w14:paraId="1653C112">
            <w:pPr>
              <w:pStyle w:val="69"/>
              <w:keepNext w:val="0"/>
              <w:pageBreakBefore w:val="0"/>
              <w:kinsoku/>
              <w:wordWrap/>
              <w:overflowPunct/>
              <w:topLinePunct w:val="0"/>
              <w:bidi w:val="0"/>
              <w:spacing w:line="40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法兰</w:t>
            </w:r>
          </w:p>
        </w:tc>
        <w:tc>
          <w:tcPr>
            <w:tcW w:w="535" w:type="pct"/>
            <w:gridSpan w:val="2"/>
            <w:tcBorders>
              <w:tl2br w:val="nil"/>
              <w:tr2bl w:val="nil"/>
            </w:tcBorders>
            <w:noWrap w:val="0"/>
            <w:vAlign w:val="center"/>
          </w:tcPr>
          <w:p w14:paraId="56F3EA4B">
            <w:pPr>
              <w:pStyle w:val="69"/>
              <w:keepNext w:val="0"/>
              <w:pageBreakBefore w:val="0"/>
              <w:kinsoku/>
              <w:wordWrap/>
              <w:overflowPunct/>
              <w:topLinePunct w:val="0"/>
              <w:bidi w:val="0"/>
              <w:spacing w:line="40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80</w:t>
            </w:r>
          </w:p>
        </w:tc>
        <w:tc>
          <w:tcPr>
            <w:tcW w:w="563" w:type="pct"/>
            <w:tcBorders>
              <w:tl2br w:val="nil"/>
              <w:tr2bl w:val="nil"/>
            </w:tcBorders>
            <w:noWrap w:val="0"/>
            <w:vAlign w:val="center"/>
          </w:tcPr>
          <w:p w14:paraId="4E232D1E">
            <w:pPr>
              <w:keepNext w:val="0"/>
              <w:keepLines w:val="0"/>
              <w:pageBreakBefore w:val="0"/>
              <w:widowControl/>
              <w:suppressLineNumbers w:val="0"/>
              <w:kinsoku/>
              <w:wordWrap/>
              <w:overflowPunct/>
              <w:topLinePunct w:val="0"/>
              <w:bidi w:val="0"/>
              <w:spacing w:line="400" w:lineRule="exact"/>
              <w:ind w:left="0" w:leftChars="0" w:right="0" w:rightChars="0" w:firstLine="0" w:firstLineChars="0"/>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auto"/>
                <w:kern w:val="0"/>
                <w:sz w:val="21"/>
                <w:szCs w:val="21"/>
                <w:highlight w:val="none"/>
                <w:u w:val="none"/>
                <w:lang w:val="en-US" w:eastAsia="zh-CN" w:bidi="ar"/>
              </w:rPr>
              <w:t>0.0</w:t>
            </w:r>
            <w:r>
              <w:rPr>
                <w:rFonts w:hint="eastAsia" w:eastAsia="等线" w:cs="Times New Roman"/>
                <w:i w:val="0"/>
                <w:iCs w:val="0"/>
                <w:color w:val="auto"/>
                <w:kern w:val="0"/>
                <w:sz w:val="21"/>
                <w:szCs w:val="21"/>
                <w:highlight w:val="none"/>
                <w:u w:val="none"/>
                <w:lang w:val="en-US" w:eastAsia="zh-CN" w:bidi="ar"/>
              </w:rPr>
              <w:t>85</w:t>
            </w:r>
          </w:p>
        </w:tc>
        <w:tc>
          <w:tcPr>
            <w:tcW w:w="822" w:type="pct"/>
            <w:vMerge w:val="continue"/>
            <w:tcBorders>
              <w:tl2br w:val="nil"/>
              <w:tr2bl w:val="nil"/>
            </w:tcBorders>
            <w:noWrap w:val="0"/>
            <w:vAlign w:val="center"/>
          </w:tcPr>
          <w:p w14:paraId="7A71C414">
            <w:pPr>
              <w:keepNext w:val="0"/>
              <w:keepLines w:val="0"/>
              <w:pageBreakBefore w:val="0"/>
              <w:kinsoku/>
              <w:wordWrap/>
              <w:overflowPunct/>
              <w:topLinePunct w:val="0"/>
              <w:autoSpaceDE/>
              <w:autoSpaceDN/>
              <w:bidi w:val="0"/>
              <w:adjustRightInd/>
              <w:snapToGrid w:val="0"/>
              <w:spacing w:line="0" w:lineRule="atLeast"/>
              <w:jc w:val="center"/>
              <w:textAlignment w:val="center"/>
              <w:rPr>
                <w:rFonts w:hint="default" w:ascii="Times New Roman" w:hAnsi="Times New Roman" w:eastAsia="宋体" w:cs="Times New Roman"/>
                <w:color w:val="auto"/>
                <w:spacing w:val="-10"/>
                <w:sz w:val="21"/>
                <w:szCs w:val="21"/>
                <w:highlight w:val="none"/>
                <w:lang w:val="en-US" w:eastAsia="zh-CN"/>
              </w:rPr>
            </w:pPr>
          </w:p>
        </w:tc>
        <w:tc>
          <w:tcPr>
            <w:tcW w:w="545" w:type="pct"/>
            <w:tcBorders>
              <w:tl2br w:val="nil"/>
              <w:tr2bl w:val="nil"/>
            </w:tcBorders>
            <w:noWrap w:val="0"/>
            <w:vAlign w:val="center"/>
          </w:tcPr>
          <w:p w14:paraId="2733260D">
            <w:pPr>
              <w:keepNext w:val="0"/>
              <w:keepLines w:val="0"/>
              <w:pageBreakBefore w:val="0"/>
              <w:widowControl/>
              <w:kinsoku/>
              <w:wordWrap/>
              <w:overflowPunct/>
              <w:topLinePunct w:val="0"/>
              <w:autoSpaceDE/>
              <w:autoSpaceDN/>
              <w:bidi w:val="0"/>
              <w:adjustRightInd/>
              <w:snapToGrid w:val="0"/>
              <w:spacing w:line="0" w:lineRule="atLeast"/>
              <w:jc w:val="center"/>
              <w:textAlignment w:val="center"/>
              <w:rPr>
                <w:rFonts w:hint="default" w:ascii="Times New Roman" w:hAnsi="Times New Roman" w:eastAsia="宋体" w:cs="Times New Roman"/>
                <w:color w:val="auto"/>
                <w:spacing w:val="-10"/>
                <w:kern w:val="0"/>
                <w:sz w:val="21"/>
                <w:szCs w:val="21"/>
                <w:highlight w:val="none"/>
                <w:lang w:val="en-US" w:eastAsia="zh-CN" w:bidi="ar"/>
              </w:rPr>
            </w:pPr>
            <w:r>
              <w:rPr>
                <w:rFonts w:hint="eastAsia" w:cs="Times New Roman"/>
                <w:color w:val="auto"/>
                <w:spacing w:val="-10"/>
                <w:kern w:val="0"/>
                <w:sz w:val="21"/>
                <w:szCs w:val="21"/>
                <w:highlight w:val="none"/>
                <w:lang w:val="en-US" w:eastAsia="zh-CN" w:bidi="ar"/>
              </w:rPr>
              <w:t>0.0204</w:t>
            </w:r>
          </w:p>
        </w:tc>
        <w:tc>
          <w:tcPr>
            <w:tcW w:w="574" w:type="pct"/>
            <w:vMerge w:val="continue"/>
            <w:tcBorders>
              <w:tl2br w:val="nil"/>
              <w:tr2bl w:val="nil"/>
            </w:tcBorders>
            <w:noWrap w:val="0"/>
            <w:vAlign w:val="center"/>
          </w:tcPr>
          <w:p w14:paraId="2070D04B">
            <w:pPr>
              <w:keepNext w:val="0"/>
              <w:keepLines w:val="0"/>
              <w:pageBreakBefore w:val="0"/>
              <w:kinsoku/>
              <w:wordWrap/>
              <w:overflowPunct/>
              <w:topLinePunct w:val="0"/>
              <w:autoSpaceDE/>
              <w:autoSpaceDN/>
              <w:bidi w:val="0"/>
              <w:adjustRightInd/>
              <w:snapToGrid w:val="0"/>
              <w:spacing w:line="0" w:lineRule="atLeast"/>
              <w:jc w:val="center"/>
              <w:textAlignment w:val="center"/>
              <w:rPr>
                <w:rFonts w:hint="default" w:ascii="Times New Roman" w:hAnsi="Times New Roman" w:eastAsia="宋体" w:cs="Times New Roman"/>
                <w:color w:val="auto"/>
                <w:spacing w:val="-10"/>
                <w:sz w:val="21"/>
                <w:szCs w:val="21"/>
                <w:highlight w:val="none"/>
              </w:rPr>
            </w:pPr>
          </w:p>
        </w:tc>
        <w:tc>
          <w:tcPr>
            <w:tcW w:w="603" w:type="pct"/>
            <w:tcBorders>
              <w:tl2br w:val="nil"/>
              <w:tr2bl w:val="nil"/>
            </w:tcBorders>
            <w:noWrap w:val="0"/>
            <w:vAlign w:val="center"/>
          </w:tcPr>
          <w:p w14:paraId="77EE1EB1">
            <w:pPr>
              <w:keepNext w:val="0"/>
              <w:keepLines w:val="0"/>
              <w:pageBreakBefore w:val="0"/>
              <w:widowControl/>
              <w:kinsoku/>
              <w:wordWrap/>
              <w:overflowPunct/>
              <w:topLinePunct w:val="0"/>
              <w:autoSpaceDE/>
              <w:autoSpaceDN/>
              <w:bidi w:val="0"/>
              <w:adjustRightInd/>
              <w:snapToGrid w:val="0"/>
              <w:spacing w:line="0" w:lineRule="atLeast"/>
              <w:jc w:val="center"/>
              <w:textAlignment w:val="center"/>
              <w:rPr>
                <w:rFonts w:hint="default" w:ascii="Times New Roman" w:hAnsi="Times New Roman" w:eastAsia="宋体" w:cs="Times New Roman"/>
                <w:color w:val="auto"/>
                <w:spacing w:val="-10"/>
                <w:kern w:val="0"/>
                <w:sz w:val="21"/>
                <w:szCs w:val="21"/>
                <w:highlight w:val="none"/>
                <w:lang w:val="en-US" w:eastAsia="zh-CN" w:bidi="ar"/>
              </w:rPr>
            </w:pPr>
            <w:r>
              <w:rPr>
                <w:rFonts w:hint="eastAsia" w:ascii="Times New Roman" w:hAnsi="Times New Roman" w:cs="Times New Roman"/>
                <w:color w:val="auto"/>
                <w:spacing w:val="-10"/>
                <w:kern w:val="0"/>
                <w:sz w:val="21"/>
                <w:szCs w:val="21"/>
                <w:highlight w:val="none"/>
                <w:lang w:val="en-US" w:eastAsia="zh-CN" w:bidi="ar"/>
              </w:rPr>
              <w:t>0.</w:t>
            </w:r>
            <w:r>
              <w:rPr>
                <w:rFonts w:hint="eastAsia" w:cs="Times New Roman"/>
                <w:color w:val="auto"/>
                <w:spacing w:val="-10"/>
                <w:kern w:val="0"/>
                <w:sz w:val="21"/>
                <w:szCs w:val="21"/>
                <w:highlight w:val="none"/>
                <w:lang w:val="en-US" w:eastAsia="zh-CN" w:bidi="ar"/>
              </w:rPr>
              <w:t>1469</w:t>
            </w:r>
          </w:p>
        </w:tc>
      </w:tr>
      <w:tr w14:paraId="1004FD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8" w:hRule="atLeast"/>
          <w:jc w:val="center"/>
        </w:trPr>
        <w:tc>
          <w:tcPr>
            <w:tcW w:w="159" w:type="pct"/>
            <w:tcBorders>
              <w:tl2br w:val="nil"/>
              <w:tr2bl w:val="nil"/>
            </w:tcBorders>
            <w:noWrap w:val="0"/>
            <w:vAlign w:val="center"/>
          </w:tcPr>
          <w:p w14:paraId="6FB7993C">
            <w:pPr>
              <w:keepNext w:val="0"/>
              <w:keepLines w:val="0"/>
              <w:pageBreakBefore w:val="0"/>
              <w:kinsoku/>
              <w:wordWrap/>
              <w:overflowPunct/>
              <w:topLinePunct w:val="0"/>
              <w:autoSpaceDE/>
              <w:autoSpaceDN/>
              <w:bidi w:val="0"/>
              <w:adjustRightInd/>
              <w:snapToGrid w:val="0"/>
              <w:spacing w:line="0" w:lineRule="atLeast"/>
              <w:jc w:val="center"/>
              <w:rPr>
                <w:rFonts w:hint="eastAsia" w:ascii="Times New Roman" w:hAnsi="Times New Roman" w:eastAsia="宋体" w:cs="Times New Roman"/>
                <w:color w:val="auto"/>
                <w:spacing w:val="-10"/>
                <w:sz w:val="21"/>
                <w:szCs w:val="21"/>
                <w:highlight w:val="none"/>
                <w:lang w:val="en-US" w:eastAsia="zh-CN"/>
              </w:rPr>
            </w:pPr>
            <w:bookmarkStart w:id="373" w:name="OLE_LINK205" w:colFirst="2" w:colLast="4"/>
            <w:r>
              <w:rPr>
                <w:rFonts w:hint="eastAsia" w:ascii="Times New Roman" w:hAnsi="Times New Roman" w:cs="Times New Roman"/>
                <w:color w:val="auto"/>
                <w:spacing w:val="-10"/>
                <w:sz w:val="21"/>
                <w:szCs w:val="21"/>
                <w:highlight w:val="none"/>
                <w:lang w:val="en-US" w:eastAsia="zh-CN"/>
              </w:rPr>
              <w:t>3</w:t>
            </w:r>
          </w:p>
        </w:tc>
        <w:tc>
          <w:tcPr>
            <w:tcW w:w="562" w:type="pct"/>
            <w:vMerge w:val="continue"/>
            <w:tcBorders>
              <w:tl2br w:val="nil"/>
              <w:tr2bl w:val="nil"/>
            </w:tcBorders>
            <w:noWrap w:val="0"/>
            <w:vAlign w:val="center"/>
          </w:tcPr>
          <w:p w14:paraId="6ECC2A68">
            <w:pPr>
              <w:keepNext w:val="0"/>
              <w:keepLines w:val="0"/>
              <w:pageBreakBefore w:val="0"/>
              <w:kinsoku/>
              <w:wordWrap/>
              <w:overflowPunct/>
              <w:topLinePunct w:val="0"/>
              <w:autoSpaceDE/>
              <w:autoSpaceDN/>
              <w:bidi w:val="0"/>
              <w:adjustRightInd/>
              <w:snapToGrid w:val="0"/>
              <w:spacing w:line="0" w:lineRule="atLeast"/>
              <w:jc w:val="center"/>
              <w:textAlignment w:val="center"/>
              <w:rPr>
                <w:rFonts w:hint="default" w:ascii="Times New Roman" w:hAnsi="Times New Roman" w:eastAsia="宋体" w:cs="Times New Roman"/>
                <w:color w:val="auto"/>
                <w:spacing w:val="-10"/>
                <w:sz w:val="21"/>
                <w:szCs w:val="21"/>
                <w:highlight w:val="none"/>
                <w:lang w:bidi="ar"/>
              </w:rPr>
            </w:pPr>
          </w:p>
        </w:tc>
        <w:tc>
          <w:tcPr>
            <w:tcW w:w="635" w:type="pct"/>
            <w:tcBorders>
              <w:tl2br w:val="nil"/>
              <w:tr2bl w:val="nil"/>
            </w:tcBorders>
            <w:noWrap w:val="0"/>
            <w:vAlign w:val="center"/>
          </w:tcPr>
          <w:p w14:paraId="5FB03607">
            <w:pPr>
              <w:pStyle w:val="69"/>
              <w:keepNext w:val="0"/>
              <w:pageBreakBefore w:val="0"/>
              <w:kinsoku/>
              <w:wordWrap/>
              <w:overflowPunct/>
              <w:topLinePunct w:val="0"/>
              <w:bidi w:val="0"/>
              <w:spacing w:line="40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压缩机</w:t>
            </w:r>
          </w:p>
        </w:tc>
        <w:tc>
          <w:tcPr>
            <w:tcW w:w="535" w:type="pct"/>
            <w:gridSpan w:val="2"/>
            <w:tcBorders>
              <w:tl2br w:val="nil"/>
              <w:tr2bl w:val="nil"/>
            </w:tcBorders>
            <w:noWrap w:val="0"/>
            <w:vAlign w:val="center"/>
          </w:tcPr>
          <w:p w14:paraId="0C67EC25">
            <w:pPr>
              <w:pStyle w:val="69"/>
              <w:keepNext w:val="0"/>
              <w:pageBreakBefore w:val="0"/>
              <w:kinsoku/>
              <w:wordWrap/>
              <w:overflowPunct/>
              <w:topLinePunct w:val="0"/>
              <w:bidi w:val="0"/>
              <w:spacing w:line="40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w:t>
            </w:r>
          </w:p>
        </w:tc>
        <w:tc>
          <w:tcPr>
            <w:tcW w:w="563" w:type="pct"/>
            <w:tcBorders>
              <w:tl2br w:val="nil"/>
              <w:tr2bl w:val="nil"/>
            </w:tcBorders>
            <w:noWrap w:val="0"/>
            <w:vAlign w:val="center"/>
          </w:tcPr>
          <w:p w14:paraId="1856E3B8">
            <w:pPr>
              <w:keepNext w:val="0"/>
              <w:keepLines w:val="0"/>
              <w:pageBreakBefore w:val="0"/>
              <w:widowControl/>
              <w:suppressLineNumbers w:val="0"/>
              <w:kinsoku/>
              <w:wordWrap/>
              <w:overflowPunct/>
              <w:topLinePunct w:val="0"/>
              <w:bidi w:val="0"/>
              <w:spacing w:line="400" w:lineRule="exact"/>
              <w:ind w:left="0" w:leftChars="0" w:right="0" w:rightChars="0" w:firstLine="0" w:firstLineChars="0"/>
              <w:jc w:val="center"/>
              <w:textAlignment w:val="bottom"/>
              <w:rPr>
                <w:rFonts w:hint="default" w:ascii="Times New Roman" w:hAnsi="Times New Roman" w:eastAsia="等线" w:cs="Times New Roman"/>
                <w:i w:val="0"/>
                <w:iCs w:val="0"/>
                <w:color w:val="auto"/>
                <w:kern w:val="0"/>
                <w:sz w:val="21"/>
                <w:szCs w:val="21"/>
                <w:highlight w:val="none"/>
                <w:u w:val="none"/>
                <w:lang w:val="en-US" w:eastAsia="zh-CN" w:bidi="ar"/>
              </w:rPr>
            </w:pPr>
            <w:r>
              <w:rPr>
                <w:rFonts w:hint="eastAsia" w:eastAsia="等线" w:cs="Times New Roman"/>
                <w:i w:val="0"/>
                <w:iCs w:val="0"/>
                <w:color w:val="auto"/>
                <w:kern w:val="0"/>
                <w:sz w:val="21"/>
                <w:szCs w:val="21"/>
                <w:highlight w:val="none"/>
                <w:u w:val="none"/>
                <w:lang w:val="en-US" w:eastAsia="zh-CN" w:bidi="ar"/>
              </w:rPr>
              <w:t>0.73</w:t>
            </w:r>
          </w:p>
        </w:tc>
        <w:tc>
          <w:tcPr>
            <w:tcW w:w="822" w:type="pct"/>
            <w:vMerge w:val="continue"/>
            <w:tcBorders>
              <w:tl2br w:val="nil"/>
              <w:tr2bl w:val="nil"/>
            </w:tcBorders>
            <w:noWrap w:val="0"/>
            <w:vAlign w:val="center"/>
          </w:tcPr>
          <w:p w14:paraId="2765E6BC">
            <w:pPr>
              <w:keepNext w:val="0"/>
              <w:keepLines w:val="0"/>
              <w:pageBreakBefore w:val="0"/>
              <w:kinsoku/>
              <w:wordWrap/>
              <w:overflowPunct/>
              <w:topLinePunct w:val="0"/>
              <w:autoSpaceDE/>
              <w:autoSpaceDN/>
              <w:bidi w:val="0"/>
              <w:adjustRightInd/>
              <w:snapToGrid w:val="0"/>
              <w:spacing w:line="0" w:lineRule="atLeast"/>
              <w:jc w:val="center"/>
              <w:textAlignment w:val="center"/>
              <w:rPr>
                <w:rFonts w:hint="default" w:ascii="Times New Roman" w:hAnsi="Times New Roman" w:eastAsia="宋体" w:cs="Times New Roman"/>
                <w:color w:val="auto"/>
                <w:spacing w:val="-10"/>
                <w:sz w:val="21"/>
                <w:szCs w:val="21"/>
                <w:highlight w:val="none"/>
                <w:lang w:val="en-US" w:eastAsia="zh-CN"/>
              </w:rPr>
            </w:pPr>
          </w:p>
        </w:tc>
        <w:tc>
          <w:tcPr>
            <w:tcW w:w="545" w:type="pct"/>
            <w:tcBorders>
              <w:tl2br w:val="nil"/>
              <w:tr2bl w:val="nil"/>
            </w:tcBorders>
            <w:noWrap w:val="0"/>
            <w:vAlign w:val="center"/>
          </w:tcPr>
          <w:p w14:paraId="0675CCFB">
            <w:pPr>
              <w:keepNext w:val="0"/>
              <w:keepLines w:val="0"/>
              <w:pageBreakBefore w:val="0"/>
              <w:widowControl/>
              <w:kinsoku/>
              <w:wordWrap/>
              <w:overflowPunct/>
              <w:topLinePunct w:val="0"/>
              <w:autoSpaceDE/>
              <w:autoSpaceDN/>
              <w:bidi w:val="0"/>
              <w:adjustRightInd/>
              <w:snapToGrid w:val="0"/>
              <w:spacing w:line="0" w:lineRule="atLeast"/>
              <w:jc w:val="center"/>
              <w:textAlignment w:val="center"/>
              <w:rPr>
                <w:rFonts w:hint="default" w:ascii="Times New Roman" w:hAnsi="Times New Roman" w:eastAsia="宋体" w:cs="Times New Roman"/>
                <w:color w:val="auto"/>
                <w:spacing w:val="-10"/>
                <w:kern w:val="0"/>
                <w:sz w:val="21"/>
                <w:szCs w:val="21"/>
                <w:highlight w:val="none"/>
                <w:lang w:val="en-US" w:eastAsia="zh-CN" w:bidi="ar"/>
              </w:rPr>
            </w:pPr>
            <w:r>
              <w:rPr>
                <w:rFonts w:hint="eastAsia" w:cs="Times New Roman"/>
                <w:color w:val="auto"/>
                <w:spacing w:val="-10"/>
                <w:kern w:val="0"/>
                <w:sz w:val="21"/>
                <w:szCs w:val="21"/>
                <w:highlight w:val="none"/>
                <w:lang w:val="en-US" w:eastAsia="zh-CN" w:bidi="ar"/>
              </w:rPr>
              <w:t>0.00438</w:t>
            </w:r>
          </w:p>
        </w:tc>
        <w:tc>
          <w:tcPr>
            <w:tcW w:w="574" w:type="pct"/>
            <w:vMerge w:val="continue"/>
            <w:tcBorders>
              <w:tl2br w:val="nil"/>
              <w:tr2bl w:val="nil"/>
            </w:tcBorders>
            <w:noWrap w:val="0"/>
            <w:vAlign w:val="center"/>
          </w:tcPr>
          <w:p w14:paraId="147AF6D7">
            <w:pPr>
              <w:keepNext w:val="0"/>
              <w:keepLines w:val="0"/>
              <w:pageBreakBefore w:val="0"/>
              <w:kinsoku/>
              <w:wordWrap/>
              <w:overflowPunct/>
              <w:topLinePunct w:val="0"/>
              <w:autoSpaceDE/>
              <w:autoSpaceDN/>
              <w:bidi w:val="0"/>
              <w:adjustRightInd/>
              <w:snapToGrid w:val="0"/>
              <w:spacing w:line="0" w:lineRule="atLeast"/>
              <w:jc w:val="center"/>
              <w:textAlignment w:val="center"/>
              <w:rPr>
                <w:rFonts w:hint="default" w:ascii="Times New Roman" w:hAnsi="Times New Roman" w:eastAsia="宋体" w:cs="Times New Roman"/>
                <w:color w:val="auto"/>
                <w:spacing w:val="-10"/>
                <w:sz w:val="21"/>
                <w:szCs w:val="21"/>
                <w:highlight w:val="none"/>
              </w:rPr>
            </w:pPr>
          </w:p>
        </w:tc>
        <w:tc>
          <w:tcPr>
            <w:tcW w:w="603" w:type="pct"/>
            <w:tcBorders>
              <w:tl2br w:val="nil"/>
              <w:tr2bl w:val="nil"/>
            </w:tcBorders>
            <w:noWrap w:val="0"/>
            <w:vAlign w:val="center"/>
          </w:tcPr>
          <w:p w14:paraId="56089D6C">
            <w:pPr>
              <w:keepNext w:val="0"/>
              <w:keepLines w:val="0"/>
              <w:pageBreakBefore w:val="0"/>
              <w:widowControl/>
              <w:kinsoku/>
              <w:wordWrap/>
              <w:overflowPunct/>
              <w:topLinePunct w:val="0"/>
              <w:autoSpaceDE/>
              <w:autoSpaceDN/>
              <w:bidi w:val="0"/>
              <w:adjustRightInd/>
              <w:snapToGrid w:val="0"/>
              <w:spacing w:line="0" w:lineRule="atLeast"/>
              <w:jc w:val="center"/>
              <w:textAlignment w:val="center"/>
              <w:rPr>
                <w:rFonts w:hint="default" w:ascii="Times New Roman" w:hAnsi="Times New Roman" w:eastAsia="宋体" w:cs="Times New Roman"/>
                <w:color w:val="auto"/>
                <w:spacing w:val="-10"/>
                <w:kern w:val="0"/>
                <w:sz w:val="21"/>
                <w:szCs w:val="21"/>
                <w:highlight w:val="none"/>
                <w:lang w:val="en-US" w:eastAsia="zh-CN" w:bidi="ar"/>
              </w:rPr>
            </w:pPr>
            <w:r>
              <w:rPr>
                <w:rFonts w:hint="eastAsia" w:ascii="Times New Roman" w:hAnsi="Times New Roman" w:cs="Times New Roman"/>
                <w:color w:val="auto"/>
                <w:spacing w:val="-10"/>
                <w:kern w:val="0"/>
                <w:sz w:val="21"/>
                <w:szCs w:val="21"/>
                <w:highlight w:val="none"/>
                <w:lang w:val="en-US" w:eastAsia="zh-CN" w:bidi="ar"/>
              </w:rPr>
              <w:t>0.</w:t>
            </w:r>
            <w:bookmarkStart w:id="374" w:name="OLE_LINK208"/>
            <w:r>
              <w:rPr>
                <w:rFonts w:hint="eastAsia" w:ascii="Times New Roman" w:hAnsi="Times New Roman" w:cs="Times New Roman"/>
                <w:color w:val="auto"/>
                <w:spacing w:val="-10"/>
                <w:kern w:val="0"/>
                <w:sz w:val="21"/>
                <w:szCs w:val="21"/>
                <w:highlight w:val="none"/>
                <w:lang w:val="en-US" w:eastAsia="zh-CN" w:bidi="ar"/>
              </w:rPr>
              <w:t>0</w:t>
            </w:r>
            <w:bookmarkEnd w:id="374"/>
            <w:r>
              <w:rPr>
                <w:rFonts w:hint="eastAsia" w:cs="Times New Roman"/>
                <w:color w:val="auto"/>
                <w:spacing w:val="-10"/>
                <w:kern w:val="0"/>
                <w:sz w:val="21"/>
                <w:szCs w:val="21"/>
                <w:highlight w:val="none"/>
                <w:lang w:val="en-US" w:eastAsia="zh-CN" w:bidi="ar"/>
              </w:rPr>
              <w:t>315</w:t>
            </w:r>
          </w:p>
        </w:tc>
      </w:tr>
      <w:bookmarkEnd w:id="373"/>
      <w:tr w14:paraId="43892B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6" w:hRule="atLeast"/>
          <w:jc w:val="center"/>
        </w:trPr>
        <w:tc>
          <w:tcPr>
            <w:tcW w:w="3277" w:type="pct"/>
            <w:gridSpan w:val="7"/>
            <w:tcBorders>
              <w:tl2br w:val="nil"/>
              <w:tr2bl w:val="nil"/>
            </w:tcBorders>
            <w:noWrap w:val="0"/>
            <w:vAlign w:val="center"/>
          </w:tcPr>
          <w:p w14:paraId="322FDD7F">
            <w:pPr>
              <w:keepNext w:val="0"/>
              <w:keepLines w:val="0"/>
              <w:pageBreakBefore w:val="0"/>
              <w:kinsoku/>
              <w:wordWrap/>
              <w:overflowPunct/>
              <w:topLinePunct w:val="0"/>
              <w:autoSpaceDE/>
              <w:autoSpaceDN/>
              <w:bidi w:val="0"/>
              <w:adjustRightInd/>
              <w:snapToGrid w:val="0"/>
              <w:spacing w:line="0" w:lineRule="atLeast"/>
              <w:jc w:val="center"/>
              <w:textAlignment w:val="center"/>
              <w:rPr>
                <w:rFonts w:hint="default" w:ascii="Times New Roman" w:hAnsi="Times New Roman" w:eastAsia="宋体" w:cs="Times New Roman"/>
                <w:color w:val="auto"/>
                <w:spacing w:val="-10"/>
                <w:sz w:val="21"/>
                <w:szCs w:val="21"/>
                <w:highlight w:val="none"/>
                <w:lang w:val="en-US" w:eastAsia="zh-CN"/>
              </w:rPr>
            </w:pPr>
            <w:r>
              <w:rPr>
                <w:rFonts w:hint="eastAsia" w:ascii="Times New Roman" w:hAnsi="Times New Roman" w:cs="Times New Roman"/>
                <w:color w:val="auto"/>
                <w:spacing w:val="-10"/>
                <w:sz w:val="21"/>
                <w:szCs w:val="21"/>
                <w:highlight w:val="none"/>
                <w:lang w:val="en-US" w:eastAsia="zh-CN"/>
              </w:rPr>
              <w:t>小计</w:t>
            </w:r>
          </w:p>
        </w:tc>
        <w:tc>
          <w:tcPr>
            <w:tcW w:w="545" w:type="pct"/>
            <w:tcBorders>
              <w:tl2br w:val="nil"/>
              <w:tr2bl w:val="nil"/>
            </w:tcBorders>
            <w:noWrap w:val="0"/>
            <w:vAlign w:val="center"/>
          </w:tcPr>
          <w:p w14:paraId="38D3A009">
            <w:pPr>
              <w:keepNext w:val="0"/>
              <w:keepLines w:val="0"/>
              <w:pageBreakBefore w:val="0"/>
              <w:widowControl/>
              <w:kinsoku/>
              <w:wordWrap/>
              <w:overflowPunct/>
              <w:topLinePunct w:val="0"/>
              <w:autoSpaceDE/>
              <w:autoSpaceDN/>
              <w:bidi w:val="0"/>
              <w:adjustRightInd/>
              <w:snapToGrid w:val="0"/>
              <w:spacing w:line="0" w:lineRule="atLeast"/>
              <w:jc w:val="center"/>
              <w:textAlignment w:val="center"/>
              <w:rPr>
                <w:rFonts w:hint="default" w:ascii="Times New Roman" w:hAnsi="Times New Roman" w:eastAsia="宋体" w:cs="Times New Roman"/>
                <w:color w:val="auto"/>
                <w:spacing w:val="-10"/>
                <w:kern w:val="0"/>
                <w:sz w:val="21"/>
                <w:szCs w:val="21"/>
                <w:highlight w:val="none"/>
                <w:lang w:val="en-US" w:eastAsia="zh-CN" w:bidi="ar"/>
              </w:rPr>
            </w:pPr>
            <w:r>
              <w:rPr>
                <w:rFonts w:hint="eastAsia" w:ascii="Times New Roman" w:hAnsi="Times New Roman" w:cs="Times New Roman"/>
                <w:color w:val="auto"/>
                <w:spacing w:val="-10"/>
                <w:kern w:val="0"/>
                <w:sz w:val="21"/>
                <w:szCs w:val="21"/>
                <w:highlight w:val="none"/>
                <w:lang w:val="en-US" w:eastAsia="zh-CN" w:bidi="ar"/>
              </w:rPr>
              <w:t>0.</w:t>
            </w:r>
            <w:r>
              <w:rPr>
                <w:rFonts w:hint="eastAsia" w:cs="Times New Roman"/>
                <w:color w:val="auto"/>
                <w:spacing w:val="-10"/>
                <w:kern w:val="0"/>
                <w:sz w:val="21"/>
                <w:szCs w:val="21"/>
                <w:highlight w:val="none"/>
                <w:lang w:val="en-US" w:eastAsia="zh-CN" w:bidi="ar"/>
              </w:rPr>
              <w:t>03246</w:t>
            </w:r>
          </w:p>
        </w:tc>
        <w:tc>
          <w:tcPr>
            <w:tcW w:w="574" w:type="pct"/>
            <w:tcBorders>
              <w:tl2br w:val="nil"/>
              <w:tr2bl w:val="nil"/>
            </w:tcBorders>
            <w:noWrap w:val="0"/>
            <w:vAlign w:val="center"/>
          </w:tcPr>
          <w:p w14:paraId="29CF1F64">
            <w:pPr>
              <w:keepNext w:val="0"/>
              <w:keepLines w:val="0"/>
              <w:pageBreakBefore w:val="0"/>
              <w:kinsoku/>
              <w:wordWrap/>
              <w:overflowPunct/>
              <w:topLinePunct w:val="0"/>
              <w:autoSpaceDE/>
              <w:autoSpaceDN/>
              <w:bidi w:val="0"/>
              <w:adjustRightInd/>
              <w:snapToGrid w:val="0"/>
              <w:spacing w:line="0" w:lineRule="atLeast"/>
              <w:jc w:val="center"/>
              <w:textAlignment w:val="center"/>
              <w:rPr>
                <w:rFonts w:hint="default" w:ascii="Times New Roman" w:hAnsi="Times New Roman" w:eastAsia="宋体" w:cs="Times New Roman"/>
                <w:color w:val="auto"/>
                <w:spacing w:val="-10"/>
                <w:sz w:val="21"/>
                <w:szCs w:val="21"/>
                <w:highlight w:val="none"/>
              </w:rPr>
            </w:pPr>
          </w:p>
        </w:tc>
        <w:tc>
          <w:tcPr>
            <w:tcW w:w="603" w:type="pct"/>
            <w:tcBorders>
              <w:tl2br w:val="nil"/>
              <w:tr2bl w:val="nil"/>
            </w:tcBorders>
            <w:noWrap w:val="0"/>
            <w:vAlign w:val="center"/>
          </w:tcPr>
          <w:p w14:paraId="3D72A75F">
            <w:pPr>
              <w:keepNext w:val="0"/>
              <w:keepLines w:val="0"/>
              <w:pageBreakBefore w:val="0"/>
              <w:widowControl/>
              <w:kinsoku/>
              <w:wordWrap/>
              <w:overflowPunct/>
              <w:topLinePunct w:val="0"/>
              <w:autoSpaceDE/>
              <w:autoSpaceDN/>
              <w:bidi w:val="0"/>
              <w:adjustRightInd/>
              <w:snapToGrid w:val="0"/>
              <w:spacing w:line="0" w:lineRule="atLeast"/>
              <w:jc w:val="center"/>
              <w:textAlignment w:val="center"/>
              <w:rPr>
                <w:rFonts w:hint="default" w:ascii="Times New Roman" w:hAnsi="Times New Roman" w:eastAsia="宋体" w:cs="Times New Roman"/>
                <w:color w:val="auto"/>
                <w:spacing w:val="-10"/>
                <w:kern w:val="0"/>
                <w:sz w:val="21"/>
                <w:szCs w:val="21"/>
                <w:highlight w:val="none"/>
                <w:lang w:val="en-US" w:eastAsia="zh-CN" w:bidi="ar"/>
              </w:rPr>
            </w:pPr>
            <w:r>
              <w:rPr>
                <w:rFonts w:hint="eastAsia" w:ascii="Times New Roman" w:hAnsi="Times New Roman" w:cs="Times New Roman"/>
                <w:color w:val="auto"/>
                <w:spacing w:val="-10"/>
                <w:kern w:val="0"/>
                <w:sz w:val="21"/>
                <w:szCs w:val="21"/>
                <w:highlight w:val="none"/>
                <w:lang w:val="en-US" w:eastAsia="zh-CN" w:bidi="ar"/>
              </w:rPr>
              <w:t>0.</w:t>
            </w:r>
            <w:r>
              <w:rPr>
                <w:rFonts w:hint="eastAsia" w:cs="Times New Roman"/>
                <w:color w:val="auto"/>
                <w:spacing w:val="-10"/>
                <w:kern w:val="0"/>
                <w:sz w:val="21"/>
                <w:szCs w:val="21"/>
                <w:highlight w:val="none"/>
                <w:lang w:val="en-US" w:eastAsia="zh-CN" w:bidi="ar"/>
              </w:rPr>
              <w:t>2337</w:t>
            </w:r>
          </w:p>
        </w:tc>
      </w:tr>
      <w:tr w14:paraId="05D793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2" w:hRule="atLeast"/>
          <w:jc w:val="center"/>
        </w:trPr>
        <w:tc>
          <w:tcPr>
            <w:tcW w:w="4396" w:type="pct"/>
            <w:gridSpan w:val="9"/>
            <w:tcBorders>
              <w:tl2br w:val="nil"/>
              <w:tr2bl w:val="nil"/>
            </w:tcBorders>
            <w:noWrap w:val="0"/>
            <w:vAlign w:val="center"/>
          </w:tcPr>
          <w:p w14:paraId="40D34DFE">
            <w:pPr>
              <w:keepNext w:val="0"/>
              <w:keepLines w:val="0"/>
              <w:pageBreakBefore w:val="0"/>
              <w:kinsoku/>
              <w:wordWrap/>
              <w:overflowPunct/>
              <w:topLinePunct w:val="0"/>
              <w:autoSpaceDE/>
              <w:autoSpaceDN/>
              <w:bidi w:val="0"/>
              <w:adjustRightInd/>
              <w:snapToGrid w:val="0"/>
              <w:spacing w:line="0" w:lineRule="atLeast"/>
              <w:jc w:val="center"/>
              <w:textAlignment w:val="center"/>
              <w:rPr>
                <w:rFonts w:hint="default" w:ascii="Times New Roman" w:hAnsi="Times New Roman" w:eastAsia="宋体" w:cs="Times New Roman"/>
                <w:color w:val="auto"/>
                <w:spacing w:val="-10"/>
                <w:sz w:val="21"/>
                <w:szCs w:val="21"/>
                <w:highlight w:val="none"/>
              </w:rPr>
            </w:pPr>
            <w:r>
              <w:rPr>
                <w:rFonts w:hint="eastAsia" w:ascii="Times New Roman" w:hAnsi="Times New Roman" w:cs="Times New Roman"/>
                <w:color w:val="auto"/>
                <w:spacing w:val="-10"/>
                <w:sz w:val="21"/>
                <w:szCs w:val="21"/>
                <w:highlight w:val="none"/>
                <w:lang w:val="en-US" w:eastAsia="zh-CN"/>
              </w:rPr>
              <w:t>总计</w:t>
            </w:r>
          </w:p>
        </w:tc>
        <w:tc>
          <w:tcPr>
            <w:tcW w:w="603" w:type="pct"/>
            <w:tcBorders>
              <w:tl2br w:val="nil"/>
              <w:tr2bl w:val="nil"/>
            </w:tcBorders>
            <w:noWrap w:val="0"/>
            <w:vAlign w:val="center"/>
          </w:tcPr>
          <w:p w14:paraId="521F0A77">
            <w:pPr>
              <w:keepNext w:val="0"/>
              <w:keepLines w:val="0"/>
              <w:pageBreakBefore w:val="0"/>
              <w:widowControl/>
              <w:kinsoku/>
              <w:wordWrap/>
              <w:overflowPunct/>
              <w:topLinePunct w:val="0"/>
              <w:autoSpaceDE/>
              <w:autoSpaceDN/>
              <w:bidi w:val="0"/>
              <w:adjustRightInd/>
              <w:snapToGrid w:val="0"/>
              <w:spacing w:line="0" w:lineRule="atLeast"/>
              <w:jc w:val="center"/>
              <w:textAlignment w:val="center"/>
              <w:rPr>
                <w:rFonts w:hint="default" w:ascii="Times New Roman" w:hAnsi="Times New Roman" w:eastAsia="宋体" w:cs="Times New Roman"/>
                <w:color w:val="auto"/>
                <w:spacing w:val="-10"/>
                <w:kern w:val="0"/>
                <w:sz w:val="21"/>
                <w:szCs w:val="21"/>
                <w:highlight w:val="none"/>
                <w:lang w:val="en-US" w:eastAsia="zh-CN" w:bidi="ar"/>
              </w:rPr>
            </w:pPr>
            <w:r>
              <w:rPr>
                <w:rFonts w:hint="eastAsia" w:cs="Times New Roman"/>
                <w:color w:val="auto"/>
                <w:spacing w:val="-10"/>
                <w:kern w:val="0"/>
                <w:sz w:val="21"/>
                <w:szCs w:val="21"/>
                <w:highlight w:val="none"/>
                <w:lang w:val="en-US" w:eastAsia="zh-CN" w:bidi="ar"/>
              </w:rPr>
              <w:t>0.5367</w:t>
            </w:r>
          </w:p>
        </w:tc>
      </w:tr>
    </w:tbl>
    <w:p w14:paraId="6B1D59AC">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bCs/>
          <w:snapToGrid w:val="0"/>
          <w:color w:val="auto"/>
          <w:kern w:val="2"/>
          <w:sz w:val="24"/>
          <w:szCs w:val="24"/>
          <w:highlight w:val="none"/>
          <w:lang w:val="en-US" w:eastAsia="zh-CN" w:bidi="ar-SA"/>
        </w:rPr>
      </w:pPr>
      <w:bookmarkStart w:id="375" w:name="OLE_LINK210"/>
      <w:r>
        <w:rPr>
          <w:rFonts w:ascii="Times New Roman" w:hAnsi="Times New Roman" w:eastAsia="宋体" w:cs="Times New Roman"/>
          <w:bCs/>
          <w:snapToGrid w:val="0"/>
          <w:color w:val="auto"/>
          <w:kern w:val="2"/>
          <w:sz w:val="24"/>
          <w:szCs w:val="24"/>
          <w:highlight w:val="none"/>
          <w:lang w:val="en-US" w:eastAsia="zh-CN" w:bidi="ar-SA"/>
        </w:rPr>
        <w:t>经核算，</w:t>
      </w:r>
      <w:r>
        <w:rPr>
          <w:rFonts w:hint="eastAsia" w:cs="Times New Roman"/>
          <w:bCs/>
          <w:snapToGrid w:val="0"/>
          <w:color w:val="auto"/>
          <w:kern w:val="2"/>
          <w:sz w:val="24"/>
          <w:szCs w:val="24"/>
          <w:highlight w:val="none"/>
          <w:lang w:val="en-US" w:eastAsia="zh-CN" w:bidi="ar-SA"/>
        </w:rPr>
        <w:t>本工程单座井场</w:t>
      </w:r>
      <w:r>
        <w:rPr>
          <w:rFonts w:hint="default" w:ascii="Times New Roman" w:hAnsi="Times New Roman" w:eastAsia="宋体" w:cs="Times New Roman"/>
          <w:bCs/>
          <w:color w:val="auto"/>
          <w:kern w:val="2"/>
          <w:sz w:val="24"/>
          <w:szCs w:val="24"/>
          <w:highlight w:val="none"/>
          <w:lang w:val="en-US" w:eastAsia="zh-CN" w:bidi="ar-SA"/>
        </w:rPr>
        <w:t>无组织排放非甲烷总烃排放速率</w:t>
      </w:r>
      <w:r>
        <w:rPr>
          <w:rFonts w:hint="eastAsia" w:cs="Times New Roman"/>
          <w:bCs/>
          <w:color w:val="auto"/>
          <w:kern w:val="2"/>
          <w:sz w:val="24"/>
          <w:szCs w:val="24"/>
          <w:highlight w:val="none"/>
          <w:lang w:val="en-US" w:eastAsia="zh-CN" w:bidi="ar-SA"/>
        </w:rPr>
        <w:t>约</w:t>
      </w:r>
      <w:r>
        <w:rPr>
          <w:rFonts w:hint="default" w:ascii="Times New Roman" w:hAnsi="Times New Roman" w:eastAsia="宋体" w:cs="Times New Roman"/>
          <w:bCs/>
          <w:color w:val="auto"/>
          <w:kern w:val="2"/>
          <w:sz w:val="24"/>
          <w:szCs w:val="24"/>
          <w:highlight w:val="none"/>
          <w:lang w:val="en-US" w:eastAsia="zh-CN" w:bidi="ar-SA"/>
        </w:rPr>
        <w:t>为</w:t>
      </w:r>
      <w:r>
        <w:rPr>
          <w:rFonts w:hint="eastAsia" w:cs="Times New Roman"/>
          <w:bCs/>
          <w:color w:val="auto"/>
          <w:kern w:val="2"/>
          <w:sz w:val="24"/>
          <w:szCs w:val="24"/>
          <w:highlight w:val="none"/>
          <w:lang w:val="en-US" w:eastAsia="zh-CN" w:bidi="ar-SA"/>
        </w:rPr>
        <w:t>0.00702</w:t>
      </w:r>
      <w:r>
        <w:rPr>
          <w:rFonts w:ascii="Times New Roman" w:hAnsi="Times New Roman" w:eastAsia="宋体" w:cs="Times New Roman"/>
          <w:bCs/>
          <w:snapToGrid w:val="0"/>
          <w:color w:val="auto"/>
          <w:kern w:val="2"/>
          <w:sz w:val="24"/>
          <w:szCs w:val="24"/>
          <w:highlight w:val="none"/>
          <w:lang w:val="en-US" w:eastAsia="zh-CN" w:bidi="ar-SA"/>
        </w:rPr>
        <w:t>kg/h</w:t>
      </w:r>
      <w:r>
        <w:rPr>
          <w:rFonts w:hint="default" w:ascii="Times New Roman" w:hAnsi="Times New Roman" w:eastAsia="宋体" w:cs="Times New Roman"/>
          <w:bCs/>
          <w:color w:val="auto"/>
          <w:kern w:val="2"/>
          <w:sz w:val="24"/>
          <w:szCs w:val="24"/>
          <w:highlight w:val="none"/>
          <w:lang w:val="en-US" w:eastAsia="zh-CN" w:bidi="ar-SA"/>
        </w:rPr>
        <w:t>，</w:t>
      </w:r>
      <w:r>
        <w:rPr>
          <w:rFonts w:hint="default" w:ascii="Times New Roman" w:hAnsi="Times New Roman" w:eastAsia="宋体" w:cs="Times New Roman"/>
          <w:bCs/>
          <w:snapToGrid w:val="0"/>
          <w:color w:val="auto"/>
          <w:kern w:val="2"/>
          <w:sz w:val="24"/>
          <w:szCs w:val="24"/>
          <w:highlight w:val="none"/>
          <w:lang w:val="en-US" w:eastAsia="zh-CN" w:bidi="ar-SA"/>
        </w:rPr>
        <w:t>非甲烷总烃年排放量</w:t>
      </w:r>
      <w:r>
        <w:rPr>
          <w:rFonts w:hint="eastAsia" w:cs="Times New Roman"/>
          <w:bCs/>
          <w:color w:val="auto"/>
          <w:kern w:val="2"/>
          <w:sz w:val="24"/>
          <w:szCs w:val="24"/>
          <w:highlight w:val="none"/>
          <w:lang w:val="en-US" w:eastAsia="zh-CN" w:bidi="ar-SA"/>
        </w:rPr>
        <w:t>约</w:t>
      </w:r>
      <w:r>
        <w:rPr>
          <w:rFonts w:hint="default" w:ascii="Times New Roman" w:hAnsi="Times New Roman" w:eastAsia="宋体" w:cs="Times New Roman"/>
          <w:bCs/>
          <w:snapToGrid w:val="0"/>
          <w:color w:val="auto"/>
          <w:kern w:val="2"/>
          <w:sz w:val="24"/>
          <w:szCs w:val="24"/>
          <w:highlight w:val="none"/>
          <w:lang w:val="en-US" w:eastAsia="zh-CN" w:bidi="ar-SA"/>
        </w:rPr>
        <w:t>为</w:t>
      </w:r>
      <w:r>
        <w:rPr>
          <w:rFonts w:hint="eastAsia" w:cs="Times New Roman"/>
          <w:bCs/>
          <w:snapToGrid w:val="0"/>
          <w:color w:val="auto"/>
          <w:kern w:val="2"/>
          <w:sz w:val="24"/>
          <w:szCs w:val="24"/>
          <w:highlight w:val="none"/>
          <w:lang w:val="en-US" w:eastAsia="zh-CN" w:bidi="ar-SA"/>
        </w:rPr>
        <w:t>0.0505</w:t>
      </w:r>
      <w:r>
        <w:rPr>
          <w:rFonts w:hint="default" w:ascii="Times New Roman" w:hAnsi="Times New Roman" w:eastAsia="宋体" w:cs="Times New Roman"/>
          <w:bCs/>
          <w:snapToGrid w:val="0"/>
          <w:color w:val="auto"/>
          <w:kern w:val="2"/>
          <w:sz w:val="24"/>
          <w:szCs w:val="24"/>
          <w:highlight w:val="none"/>
          <w:lang w:val="en-US" w:eastAsia="zh-CN" w:bidi="ar-SA"/>
        </w:rPr>
        <w:t>t/a</w:t>
      </w:r>
      <w:r>
        <w:rPr>
          <w:rFonts w:hint="eastAsia" w:ascii="Times New Roman" w:hAnsi="Times New Roman" w:cs="Times New Roman"/>
          <w:bCs/>
          <w:snapToGrid w:val="0"/>
          <w:color w:val="auto"/>
          <w:kern w:val="2"/>
          <w:sz w:val="24"/>
          <w:szCs w:val="24"/>
          <w:highlight w:val="none"/>
          <w:lang w:val="en-US" w:eastAsia="zh-CN" w:bidi="ar-SA"/>
        </w:rPr>
        <w:t>，</w:t>
      </w:r>
      <w:r>
        <w:rPr>
          <w:rFonts w:hint="eastAsia" w:cs="Times New Roman"/>
          <w:bCs/>
          <w:snapToGrid w:val="0"/>
          <w:color w:val="auto"/>
          <w:kern w:val="2"/>
          <w:sz w:val="24"/>
          <w:szCs w:val="24"/>
          <w:highlight w:val="none"/>
          <w:lang w:val="en-US" w:eastAsia="zh-CN" w:bidi="ar-SA"/>
        </w:rPr>
        <w:t>6口</w:t>
      </w:r>
      <w:r>
        <w:rPr>
          <w:rFonts w:hint="eastAsia" w:ascii="Times New Roman" w:hAnsi="Times New Roman" w:cs="Times New Roman"/>
          <w:bCs/>
          <w:snapToGrid w:val="0"/>
          <w:color w:val="auto"/>
          <w:kern w:val="2"/>
          <w:sz w:val="24"/>
          <w:szCs w:val="24"/>
          <w:highlight w:val="none"/>
          <w:lang w:val="en-US" w:eastAsia="zh-CN" w:bidi="ar-SA"/>
        </w:rPr>
        <w:t>井合计</w:t>
      </w:r>
      <w:r>
        <w:rPr>
          <w:rFonts w:hint="eastAsia" w:cs="Times New Roman"/>
          <w:bCs/>
          <w:snapToGrid w:val="0"/>
          <w:color w:val="auto"/>
          <w:kern w:val="2"/>
          <w:sz w:val="24"/>
          <w:szCs w:val="24"/>
          <w:highlight w:val="none"/>
          <w:lang w:val="en-US" w:eastAsia="zh-CN" w:bidi="ar-SA"/>
        </w:rPr>
        <w:t>0.303</w:t>
      </w:r>
      <w:r>
        <w:rPr>
          <w:rFonts w:hint="default" w:ascii="Times New Roman" w:hAnsi="Times New Roman" w:eastAsia="宋体" w:cs="Times New Roman"/>
          <w:bCs/>
          <w:snapToGrid w:val="0"/>
          <w:color w:val="auto"/>
          <w:kern w:val="2"/>
          <w:sz w:val="24"/>
          <w:szCs w:val="24"/>
          <w:highlight w:val="none"/>
          <w:lang w:val="en-US" w:eastAsia="zh-CN" w:bidi="ar-SA"/>
        </w:rPr>
        <w:t>t/a</w:t>
      </w:r>
      <w:r>
        <w:rPr>
          <w:rFonts w:hint="eastAsia" w:cs="Times New Roman"/>
          <w:bCs/>
          <w:snapToGrid w:val="0"/>
          <w:color w:val="auto"/>
          <w:kern w:val="2"/>
          <w:sz w:val="24"/>
          <w:szCs w:val="24"/>
          <w:highlight w:val="none"/>
          <w:lang w:val="en-US" w:eastAsia="zh-CN" w:bidi="ar-SA"/>
        </w:rPr>
        <w:t>；本工程雄探1试采点</w:t>
      </w:r>
      <w:r>
        <w:rPr>
          <w:rFonts w:hint="default" w:ascii="Times New Roman" w:hAnsi="Times New Roman" w:eastAsia="宋体" w:cs="Times New Roman"/>
          <w:bCs/>
          <w:color w:val="auto"/>
          <w:kern w:val="2"/>
          <w:sz w:val="24"/>
          <w:szCs w:val="24"/>
          <w:highlight w:val="none"/>
          <w:lang w:val="en-US" w:eastAsia="zh-CN" w:bidi="ar-SA"/>
        </w:rPr>
        <w:t>无组织排放非甲烷总烃排放速率</w:t>
      </w:r>
      <w:r>
        <w:rPr>
          <w:rFonts w:hint="eastAsia" w:cs="Times New Roman"/>
          <w:bCs/>
          <w:color w:val="auto"/>
          <w:kern w:val="2"/>
          <w:sz w:val="24"/>
          <w:szCs w:val="24"/>
          <w:highlight w:val="none"/>
          <w:lang w:val="en-US" w:eastAsia="zh-CN" w:bidi="ar-SA"/>
        </w:rPr>
        <w:t>约</w:t>
      </w:r>
      <w:r>
        <w:rPr>
          <w:rFonts w:hint="default" w:ascii="Times New Roman" w:hAnsi="Times New Roman" w:eastAsia="宋体" w:cs="Times New Roman"/>
          <w:bCs/>
          <w:color w:val="auto"/>
          <w:kern w:val="2"/>
          <w:sz w:val="24"/>
          <w:szCs w:val="24"/>
          <w:highlight w:val="none"/>
          <w:lang w:val="en-US" w:eastAsia="zh-CN" w:bidi="ar-SA"/>
        </w:rPr>
        <w:t>为</w:t>
      </w:r>
      <w:r>
        <w:rPr>
          <w:rFonts w:hint="eastAsia" w:cs="Times New Roman"/>
          <w:bCs/>
          <w:color w:val="auto"/>
          <w:kern w:val="2"/>
          <w:sz w:val="24"/>
          <w:szCs w:val="24"/>
          <w:highlight w:val="none"/>
          <w:lang w:val="en-US" w:eastAsia="zh-CN" w:bidi="ar-SA"/>
        </w:rPr>
        <w:t>0.03246</w:t>
      </w:r>
      <w:r>
        <w:rPr>
          <w:rFonts w:ascii="Times New Roman" w:hAnsi="Times New Roman" w:eastAsia="宋体" w:cs="Times New Roman"/>
          <w:bCs/>
          <w:snapToGrid w:val="0"/>
          <w:color w:val="auto"/>
          <w:kern w:val="2"/>
          <w:sz w:val="24"/>
          <w:szCs w:val="24"/>
          <w:highlight w:val="none"/>
          <w:lang w:val="en-US" w:eastAsia="zh-CN" w:bidi="ar-SA"/>
        </w:rPr>
        <w:t>kg/h</w:t>
      </w:r>
      <w:r>
        <w:rPr>
          <w:rFonts w:hint="default" w:ascii="Times New Roman" w:hAnsi="Times New Roman" w:eastAsia="宋体" w:cs="Times New Roman"/>
          <w:bCs/>
          <w:color w:val="auto"/>
          <w:kern w:val="2"/>
          <w:sz w:val="24"/>
          <w:szCs w:val="24"/>
          <w:highlight w:val="none"/>
          <w:lang w:val="en-US" w:eastAsia="zh-CN" w:bidi="ar-SA"/>
        </w:rPr>
        <w:t>，</w:t>
      </w:r>
      <w:r>
        <w:rPr>
          <w:rFonts w:hint="default" w:ascii="Times New Roman" w:hAnsi="Times New Roman" w:eastAsia="宋体" w:cs="Times New Roman"/>
          <w:bCs/>
          <w:snapToGrid w:val="0"/>
          <w:color w:val="auto"/>
          <w:kern w:val="2"/>
          <w:sz w:val="24"/>
          <w:szCs w:val="24"/>
          <w:highlight w:val="none"/>
          <w:lang w:val="en-US" w:eastAsia="zh-CN" w:bidi="ar-SA"/>
        </w:rPr>
        <w:t>非甲烷总烃年排放量</w:t>
      </w:r>
      <w:r>
        <w:rPr>
          <w:rFonts w:hint="eastAsia" w:cs="Times New Roman"/>
          <w:bCs/>
          <w:color w:val="auto"/>
          <w:kern w:val="2"/>
          <w:sz w:val="24"/>
          <w:szCs w:val="24"/>
          <w:highlight w:val="none"/>
          <w:lang w:val="en-US" w:eastAsia="zh-CN" w:bidi="ar-SA"/>
        </w:rPr>
        <w:t>约</w:t>
      </w:r>
      <w:r>
        <w:rPr>
          <w:rFonts w:hint="default" w:ascii="Times New Roman" w:hAnsi="Times New Roman" w:eastAsia="宋体" w:cs="Times New Roman"/>
          <w:bCs/>
          <w:snapToGrid w:val="0"/>
          <w:color w:val="auto"/>
          <w:kern w:val="2"/>
          <w:sz w:val="24"/>
          <w:szCs w:val="24"/>
          <w:highlight w:val="none"/>
          <w:lang w:val="en-US" w:eastAsia="zh-CN" w:bidi="ar-SA"/>
        </w:rPr>
        <w:t>为</w:t>
      </w:r>
      <w:r>
        <w:rPr>
          <w:rFonts w:hint="eastAsia" w:cs="Times New Roman"/>
          <w:bCs/>
          <w:snapToGrid w:val="0"/>
          <w:color w:val="auto"/>
          <w:kern w:val="2"/>
          <w:sz w:val="24"/>
          <w:szCs w:val="24"/>
          <w:highlight w:val="none"/>
          <w:lang w:val="en-US" w:eastAsia="zh-CN" w:bidi="ar-SA"/>
        </w:rPr>
        <w:t>0.2337</w:t>
      </w:r>
      <w:r>
        <w:rPr>
          <w:rFonts w:hint="default" w:ascii="Times New Roman" w:hAnsi="Times New Roman" w:eastAsia="宋体" w:cs="Times New Roman"/>
          <w:bCs/>
          <w:snapToGrid w:val="0"/>
          <w:color w:val="auto"/>
          <w:kern w:val="2"/>
          <w:sz w:val="24"/>
          <w:szCs w:val="24"/>
          <w:highlight w:val="none"/>
          <w:lang w:val="en-US" w:eastAsia="zh-CN" w:bidi="ar-SA"/>
        </w:rPr>
        <w:t>t/a</w:t>
      </w:r>
      <w:r>
        <w:rPr>
          <w:rFonts w:hint="eastAsia" w:cs="Times New Roman"/>
          <w:bCs/>
          <w:snapToGrid w:val="0"/>
          <w:color w:val="auto"/>
          <w:kern w:val="2"/>
          <w:sz w:val="24"/>
          <w:szCs w:val="24"/>
          <w:highlight w:val="none"/>
          <w:lang w:val="en-US" w:eastAsia="zh-CN" w:bidi="ar-SA"/>
        </w:rPr>
        <w:t>。</w:t>
      </w:r>
    </w:p>
    <w:p w14:paraId="6F77B21D">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ascii="Times New Roman" w:hAnsi="Times New Roman" w:eastAsia="宋体" w:cs="Times New Roman"/>
          <w:bCs/>
          <w:snapToGrid w:val="0"/>
          <w:color w:val="auto"/>
          <w:kern w:val="2"/>
          <w:sz w:val="24"/>
          <w:szCs w:val="24"/>
          <w:highlight w:val="none"/>
          <w:lang w:val="en-US" w:eastAsia="zh-CN" w:bidi="ar-SA"/>
        </w:rPr>
      </w:pPr>
      <w:r>
        <w:rPr>
          <w:rFonts w:hint="default" w:ascii="Times New Roman" w:hAnsi="Times New Roman" w:eastAsia="宋体" w:cs="Times New Roman"/>
          <w:bCs/>
          <w:snapToGrid w:val="0"/>
          <w:color w:val="auto"/>
          <w:kern w:val="2"/>
          <w:sz w:val="24"/>
          <w:szCs w:val="24"/>
          <w:highlight w:val="none"/>
          <w:lang w:val="en-US" w:eastAsia="zh-CN" w:bidi="ar-SA"/>
        </w:rPr>
        <w:t>因此</w:t>
      </w:r>
      <w:r>
        <w:rPr>
          <w:rFonts w:hint="eastAsia" w:cs="Times New Roman"/>
          <w:bCs/>
          <w:snapToGrid w:val="0"/>
          <w:color w:val="auto"/>
          <w:kern w:val="2"/>
          <w:sz w:val="24"/>
          <w:szCs w:val="24"/>
          <w:highlight w:val="none"/>
          <w:lang w:val="en-US" w:eastAsia="zh-CN" w:bidi="ar-SA"/>
        </w:rPr>
        <w:t>，</w:t>
      </w:r>
      <w:r>
        <w:rPr>
          <w:rFonts w:hint="default" w:ascii="Times New Roman" w:hAnsi="Times New Roman" w:eastAsia="宋体" w:cs="Times New Roman"/>
          <w:bCs/>
          <w:snapToGrid w:val="0"/>
          <w:color w:val="auto"/>
          <w:kern w:val="2"/>
          <w:sz w:val="24"/>
          <w:szCs w:val="24"/>
          <w:highlight w:val="none"/>
          <w:lang w:val="en-US" w:eastAsia="zh-CN" w:bidi="ar-SA"/>
        </w:rPr>
        <w:t>本工程无组织排放非甲烷总烃排放量</w:t>
      </w:r>
      <w:r>
        <w:rPr>
          <w:rFonts w:hint="eastAsia" w:cs="Times New Roman"/>
          <w:bCs/>
          <w:snapToGrid w:val="0"/>
          <w:color w:val="auto"/>
          <w:kern w:val="2"/>
          <w:sz w:val="24"/>
          <w:szCs w:val="24"/>
          <w:highlight w:val="none"/>
          <w:lang w:val="en-US" w:eastAsia="zh-CN" w:bidi="ar-SA"/>
        </w:rPr>
        <w:t>合计</w:t>
      </w:r>
      <w:r>
        <w:rPr>
          <w:rFonts w:hint="default" w:ascii="Times New Roman" w:hAnsi="Times New Roman" w:eastAsia="宋体" w:cs="Times New Roman"/>
          <w:bCs/>
          <w:snapToGrid w:val="0"/>
          <w:color w:val="auto"/>
          <w:kern w:val="2"/>
          <w:sz w:val="24"/>
          <w:szCs w:val="24"/>
          <w:highlight w:val="none"/>
          <w:lang w:val="en-US" w:eastAsia="zh-CN" w:bidi="ar-SA"/>
        </w:rPr>
        <w:t>为</w:t>
      </w:r>
      <w:r>
        <w:rPr>
          <w:rFonts w:hint="eastAsia" w:cs="Times New Roman"/>
          <w:bCs/>
          <w:snapToGrid w:val="0"/>
          <w:color w:val="auto"/>
          <w:kern w:val="2"/>
          <w:sz w:val="24"/>
          <w:szCs w:val="24"/>
          <w:highlight w:val="none"/>
          <w:lang w:val="en-US" w:eastAsia="zh-CN" w:bidi="ar-SA"/>
        </w:rPr>
        <w:t>0.5367</w:t>
      </w:r>
      <w:r>
        <w:rPr>
          <w:rFonts w:hint="default" w:ascii="Times New Roman" w:hAnsi="Times New Roman" w:eastAsia="宋体" w:cs="Times New Roman"/>
          <w:bCs/>
          <w:snapToGrid w:val="0"/>
          <w:color w:val="auto"/>
          <w:kern w:val="2"/>
          <w:sz w:val="24"/>
          <w:szCs w:val="24"/>
          <w:highlight w:val="none"/>
          <w:lang w:val="en-US" w:eastAsia="zh-CN" w:bidi="ar-SA"/>
        </w:rPr>
        <w:t>t/a。</w:t>
      </w:r>
    </w:p>
    <w:bookmarkEnd w:id="375"/>
    <w:p w14:paraId="45D9B69F">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fldChar w:fldCharType="begin"/>
      </w:r>
      <w:r>
        <w:rPr>
          <w:rFonts w:hint="default" w:ascii="Times New Roman" w:hAnsi="Times New Roman" w:eastAsia="宋体" w:cs="Times New Roman"/>
          <w:b w:val="0"/>
          <w:bCs w:val="0"/>
          <w:color w:val="auto"/>
          <w:sz w:val="24"/>
          <w:szCs w:val="24"/>
          <w:highlight w:val="none"/>
          <w:lang w:eastAsia="zh-CN"/>
        </w:rPr>
        <w:instrText xml:space="preserve"> = 2 \* GB3 \* MERGEFORMAT </w:instrText>
      </w:r>
      <w:r>
        <w:rPr>
          <w:rFonts w:hint="default" w:ascii="Times New Roman" w:hAnsi="Times New Roman" w:eastAsia="宋体" w:cs="Times New Roman"/>
          <w:b w:val="0"/>
          <w:bCs w:val="0"/>
          <w:color w:val="auto"/>
          <w:sz w:val="24"/>
          <w:szCs w:val="24"/>
          <w:highlight w:val="none"/>
          <w:lang w:eastAsia="zh-CN"/>
        </w:rPr>
        <w:fldChar w:fldCharType="separate"/>
      </w:r>
      <w:r>
        <w:rPr>
          <w:rFonts w:hint="default" w:ascii="Times New Roman" w:hAnsi="Times New Roman" w:eastAsia="宋体" w:cs="Times New Roman"/>
          <w:b w:val="0"/>
          <w:bCs w:val="0"/>
          <w:color w:val="auto"/>
          <w:sz w:val="24"/>
          <w:szCs w:val="24"/>
          <w:highlight w:val="none"/>
        </w:rPr>
        <w:t>②</w:t>
      </w:r>
      <w:r>
        <w:rPr>
          <w:rFonts w:hint="default" w:ascii="Times New Roman" w:hAnsi="Times New Roman" w:eastAsia="宋体" w:cs="Times New Roman"/>
          <w:b w:val="0"/>
          <w:bCs w:val="0"/>
          <w:color w:val="auto"/>
          <w:sz w:val="24"/>
          <w:szCs w:val="24"/>
          <w:highlight w:val="none"/>
          <w:lang w:eastAsia="zh-CN"/>
        </w:rPr>
        <w:fldChar w:fldCharType="end"/>
      </w:r>
      <w:r>
        <w:rPr>
          <w:rFonts w:hint="default" w:ascii="Times New Roman" w:hAnsi="Times New Roman" w:eastAsia="宋体" w:cs="Times New Roman"/>
          <w:b w:val="0"/>
          <w:bCs w:val="0"/>
          <w:color w:val="auto"/>
          <w:sz w:val="24"/>
          <w:szCs w:val="24"/>
          <w:highlight w:val="none"/>
          <w:lang w:eastAsia="zh-CN"/>
        </w:rPr>
        <w:t>油罐</w:t>
      </w:r>
      <w:r>
        <w:rPr>
          <w:rFonts w:hint="default" w:ascii="Times New Roman" w:hAnsi="Times New Roman" w:eastAsia="宋体" w:cs="Times New Roman"/>
          <w:b w:val="0"/>
          <w:bCs w:val="0"/>
          <w:color w:val="auto"/>
          <w:sz w:val="24"/>
          <w:szCs w:val="24"/>
          <w:highlight w:val="none"/>
          <w:lang w:val="en-US" w:eastAsia="zh-CN"/>
        </w:rPr>
        <w:t>及</w:t>
      </w:r>
      <w:r>
        <w:rPr>
          <w:rFonts w:hint="default" w:ascii="Times New Roman" w:hAnsi="Times New Roman" w:eastAsia="宋体" w:cs="Times New Roman"/>
          <w:b w:val="0"/>
          <w:bCs w:val="0"/>
          <w:color w:val="auto"/>
          <w:sz w:val="24"/>
          <w:szCs w:val="24"/>
          <w:highlight w:val="none"/>
          <w:lang w:eastAsia="zh-CN"/>
        </w:rPr>
        <w:t>装油过程产生的无组织挥发性有机物</w:t>
      </w:r>
    </w:p>
    <w:p w14:paraId="1FE8A783">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fldChar w:fldCharType="begin"/>
      </w:r>
      <w:r>
        <w:rPr>
          <w:rFonts w:hint="eastAsia" w:cs="Times New Roman"/>
          <w:color w:val="auto"/>
          <w:sz w:val="24"/>
          <w:szCs w:val="24"/>
          <w:highlight w:val="none"/>
          <w:lang w:val="en-US" w:eastAsia="zh-CN"/>
        </w:rPr>
        <w:instrText xml:space="preserve"> = 1 \* alphabetic \* MERGEFORMAT </w:instrText>
      </w:r>
      <w:r>
        <w:rPr>
          <w:rFonts w:hint="eastAsia" w:cs="Times New Roman"/>
          <w:color w:val="auto"/>
          <w:sz w:val="24"/>
          <w:szCs w:val="24"/>
          <w:highlight w:val="none"/>
          <w:lang w:val="en-US" w:eastAsia="zh-CN"/>
        </w:rPr>
        <w:fldChar w:fldCharType="separate"/>
      </w:r>
      <w:r>
        <w:rPr>
          <w:color w:val="auto"/>
          <w:highlight w:val="none"/>
        </w:rPr>
        <w:t>a</w:t>
      </w:r>
      <w:r>
        <w:rPr>
          <w:rFonts w:hint="eastAsia" w:cs="Times New Roman"/>
          <w:color w:val="auto"/>
          <w:sz w:val="24"/>
          <w:szCs w:val="24"/>
          <w:highlight w:val="none"/>
          <w:lang w:val="en-US" w:eastAsia="zh-CN"/>
        </w:rPr>
        <w:fldChar w:fldCharType="end"/>
      </w:r>
      <w:r>
        <w:rPr>
          <w:rFonts w:hint="eastAsia" w:cs="Times New Roman"/>
          <w:color w:val="auto"/>
          <w:sz w:val="24"/>
          <w:szCs w:val="24"/>
          <w:highlight w:val="none"/>
          <w:lang w:val="en-US" w:eastAsia="zh-CN"/>
        </w:rPr>
        <w:t>.油</w:t>
      </w:r>
      <w:r>
        <w:rPr>
          <w:rFonts w:hint="eastAsia" w:ascii="Times New Roman" w:hAnsi="Times New Roman" w:eastAsia="宋体" w:cs="Times New Roman"/>
          <w:color w:val="auto"/>
          <w:sz w:val="24"/>
          <w:szCs w:val="24"/>
          <w:highlight w:val="none"/>
          <w:lang w:val="en-US" w:eastAsia="zh-CN"/>
        </w:rPr>
        <w:t>罐无组织挥发有机物</w:t>
      </w:r>
    </w:p>
    <w:p w14:paraId="467B2C84">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本工程</w:t>
      </w:r>
      <w:r>
        <w:rPr>
          <w:rFonts w:hint="eastAsia" w:cs="Times New Roman"/>
          <w:color w:val="auto"/>
          <w:sz w:val="24"/>
          <w:szCs w:val="24"/>
          <w:highlight w:val="none"/>
          <w:lang w:val="en-US" w:eastAsia="zh-CN"/>
        </w:rPr>
        <w:t>原油</w:t>
      </w:r>
      <w:r>
        <w:rPr>
          <w:rFonts w:hint="default" w:ascii="Times New Roman" w:hAnsi="Times New Roman" w:eastAsia="宋体" w:cs="Times New Roman"/>
          <w:color w:val="auto"/>
          <w:sz w:val="24"/>
          <w:szCs w:val="24"/>
          <w:highlight w:val="none"/>
        </w:rPr>
        <w:t>储存在站内设置</w:t>
      </w:r>
      <w:r>
        <w:rPr>
          <w:rFonts w:hint="eastAsia"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座</w:t>
      </w:r>
      <w:r>
        <w:rPr>
          <w:rFonts w:hint="eastAsia" w:cs="Times New Roman"/>
          <w:color w:val="auto"/>
          <w:sz w:val="24"/>
          <w:szCs w:val="24"/>
          <w:highlight w:val="none"/>
          <w:lang w:val="en-US" w:eastAsia="zh-CN"/>
        </w:rPr>
        <w:t>方</w:t>
      </w:r>
      <w:r>
        <w:rPr>
          <w:rFonts w:hint="default" w:ascii="Times New Roman" w:hAnsi="Times New Roman" w:eastAsia="宋体" w:cs="Times New Roman"/>
          <w:color w:val="auto"/>
          <w:sz w:val="24"/>
          <w:szCs w:val="24"/>
          <w:highlight w:val="none"/>
        </w:rPr>
        <w:t>罐</w:t>
      </w:r>
      <w:r>
        <w:rPr>
          <w:rFonts w:hint="eastAsia" w:cs="Times New Roman"/>
          <w:color w:val="auto"/>
          <w:sz w:val="24"/>
          <w:szCs w:val="24"/>
          <w:highlight w:val="none"/>
          <w:lang w:val="en-US" w:eastAsia="zh-CN"/>
        </w:rPr>
        <w:t>，方</w:t>
      </w:r>
      <w:r>
        <w:rPr>
          <w:rFonts w:hint="default" w:ascii="Times New Roman" w:hAnsi="Times New Roman" w:eastAsia="宋体" w:cs="Times New Roman"/>
          <w:color w:val="auto"/>
          <w:sz w:val="24"/>
          <w:szCs w:val="24"/>
          <w:highlight w:val="none"/>
        </w:rPr>
        <w:t>罐均采用固定顶罐，</w:t>
      </w:r>
      <w:r>
        <w:rPr>
          <w:rFonts w:hint="eastAsia" w:ascii="Times New Roman" w:hAnsi="Times New Roman" w:eastAsia="宋体" w:cs="Times New Roman"/>
          <w:color w:val="auto"/>
          <w:sz w:val="24"/>
          <w:szCs w:val="24"/>
          <w:highlight w:val="none"/>
          <w:lang w:eastAsia="zh-CN"/>
        </w:rPr>
        <w:t>罐体</w:t>
      </w:r>
      <w:r>
        <w:rPr>
          <w:rFonts w:hint="default" w:ascii="Times New Roman" w:hAnsi="Times New Roman" w:eastAsia="宋体" w:cs="Times New Roman"/>
          <w:color w:val="auto"/>
          <w:sz w:val="24"/>
          <w:szCs w:val="24"/>
          <w:highlight w:val="none"/>
        </w:rPr>
        <w:t>因大小呼吸作用排放无组织非甲烷总烃，小呼吸排放是由于温度和大气压力的变化引起蒸气的膨胀和收缩而产生的蒸气排出，它出现在罐内液面无任何变化的情况，是非人为干扰的自然排放方式；大呼吸排放是由于人为的装料与卸料而产生的损失。因装料时罐内压力超过释放压力，蒸气从罐内压出，而卸料损失发生于液面排出，空气被抽入罐体内，因空气变成有机蒸气饱和的气体而膨胀，因而超过蒸气空间容纳的能力。</w:t>
      </w:r>
    </w:p>
    <w:p w14:paraId="4181D706">
      <w:pPr>
        <w:keepNext w:val="0"/>
        <w:keepLines w:val="0"/>
        <w:pageBreakBefore w:val="0"/>
        <w:widowControl/>
        <w:kinsoku/>
        <w:wordWrap/>
        <w:overflowPunct/>
        <w:topLinePunct w:val="0"/>
        <w:autoSpaceDE/>
        <w:autoSpaceDN/>
        <w:bidi w:val="0"/>
        <w:adjustRightInd/>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本工程共涉及9座方罐，为卧式固定顶罐，体积50m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，罐体尺寸为7.05m</w:t>
      </w:r>
      <w:r>
        <w:rPr>
          <w:rFonts w:hint="default" w:ascii="Arial" w:hAnsi="Arial" w:cs="Arial"/>
          <w:color w:val="auto"/>
          <w:sz w:val="24"/>
          <w:szCs w:val="24"/>
          <w:highlight w:val="none"/>
          <w:lang w:val="en-US" w:eastAsia="zh-CN"/>
        </w:rPr>
        <w:t>×</w:t>
      </w:r>
      <w:r>
        <w:rPr>
          <w:rFonts w:hint="eastAsia" w:cs="Times New Roman"/>
          <w:color w:val="auto"/>
          <w:sz w:val="24"/>
          <w:szCs w:val="24"/>
          <w:highlight w:val="none"/>
          <w:lang w:val="en-US" w:eastAsia="zh-CN"/>
        </w:rPr>
        <w:t>3.05m</w:t>
      </w:r>
      <w:r>
        <w:rPr>
          <w:rFonts w:hint="default" w:ascii="Arial" w:hAnsi="Arial" w:cs="Arial"/>
          <w:color w:val="auto"/>
          <w:sz w:val="24"/>
          <w:szCs w:val="24"/>
          <w:highlight w:val="none"/>
          <w:lang w:val="en-US" w:eastAsia="zh-CN"/>
        </w:rPr>
        <w:t>×</w:t>
      </w:r>
      <w:r>
        <w:rPr>
          <w:rFonts w:hint="eastAsia" w:cs="Times New Roman"/>
          <w:color w:val="auto"/>
          <w:sz w:val="24"/>
          <w:szCs w:val="24"/>
          <w:highlight w:val="none"/>
          <w:lang w:val="en-US" w:eastAsia="zh-CN"/>
        </w:rPr>
        <w:t>2.416m。参照</w:t>
      </w:r>
      <w:r>
        <w:rPr>
          <w:rFonts w:hint="eastAsia" w:ascii="Times New Roman" w:hAnsi="Times New Roman" w:eastAsia="宋体" w:cs="Times New Roman"/>
          <w:color w:val="auto"/>
          <w:sz w:val="24"/>
          <w:szCs w:val="24"/>
          <w:highlight w:val="none"/>
          <w:lang w:val="en-US" w:eastAsia="zh-CN"/>
        </w:rPr>
        <w:t>《石化行业VOCs污染源排查工作指南》中石化行业V</w:t>
      </w:r>
      <w:r>
        <w:rPr>
          <w:rFonts w:hint="eastAsia" w:cs="Times New Roman"/>
          <w:color w:val="auto"/>
          <w:sz w:val="24"/>
          <w:szCs w:val="24"/>
          <w:highlight w:val="none"/>
          <w:lang w:val="en-US" w:eastAsia="zh-CN"/>
        </w:rPr>
        <w:t>OCs污染源排查参考计算表格中有机液体储存调和VOCs排放量参考计算表，可知单个储罐</w:t>
      </w:r>
      <w:r>
        <w:rPr>
          <w:rFonts w:hint="default" w:ascii="Times New Roman" w:hAnsi="Times New Roman" w:eastAsia="宋体" w:cs="Times New Roman"/>
          <w:color w:val="auto"/>
          <w:spacing w:val="0"/>
          <w:sz w:val="24"/>
          <w:szCs w:val="24"/>
          <w:highlight w:val="none"/>
        </w:rPr>
        <w:t>呼吸废气非甲烷总烃</w:t>
      </w:r>
      <w:r>
        <w:rPr>
          <w:rFonts w:hint="eastAsia" w:cs="Times New Roman"/>
          <w:color w:val="auto"/>
          <w:sz w:val="24"/>
          <w:szCs w:val="24"/>
          <w:highlight w:val="none"/>
          <w:lang w:val="en-US" w:eastAsia="zh-CN"/>
        </w:rPr>
        <w:t>排放量为0.15t/a。</w:t>
      </w:r>
    </w:p>
    <w:p w14:paraId="66070207">
      <w:pPr>
        <w:keepNext w:val="0"/>
        <w:keepLines w:val="0"/>
        <w:pageBreakBefore w:val="0"/>
        <w:widowControl/>
        <w:kinsoku/>
        <w:wordWrap/>
        <w:overflowPunct/>
        <w:topLinePunct w:val="0"/>
        <w:autoSpaceDE/>
        <w:autoSpaceDN/>
        <w:bidi w:val="0"/>
        <w:adjustRightInd/>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0"/>
          <w:sz w:val="24"/>
          <w:szCs w:val="24"/>
          <w:highlight w:val="none"/>
        </w:rPr>
        <w:t>通过计算可知，</w:t>
      </w:r>
      <w:r>
        <w:rPr>
          <w:rFonts w:hint="eastAsia" w:cs="Times New Roman"/>
          <w:color w:val="auto"/>
          <w:spacing w:val="0"/>
          <w:sz w:val="24"/>
          <w:szCs w:val="24"/>
          <w:highlight w:val="none"/>
          <w:lang w:val="en-US" w:eastAsia="zh-CN"/>
        </w:rPr>
        <w:t>本工程</w:t>
      </w:r>
      <w:r>
        <w:rPr>
          <w:rFonts w:hint="default" w:ascii="Times New Roman" w:hAnsi="Times New Roman" w:eastAsia="宋体" w:cs="Times New Roman"/>
          <w:color w:val="auto"/>
          <w:spacing w:val="0"/>
          <w:sz w:val="24"/>
          <w:szCs w:val="24"/>
          <w:highlight w:val="none"/>
        </w:rPr>
        <w:t>罐</w:t>
      </w:r>
      <w:r>
        <w:rPr>
          <w:rFonts w:hint="default" w:ascii="Times New Roman" w:hAnsi="Times New Roman" w:eastAsia="宋体" w:cs="Times New Roman"/>
          <w:color w:val="auto"/>
          <w:spacing w:val="0"/>
          <w:sz w:val="24"/>
          <w:szCs w:val="24"/>
          <w:highlight w:val="none"/>
          <w:lang w:val="en-US" w:eastAsia="zh-CN"/>
        </w:rPr>
        <w:t>体</w:t>
      </w:r>
      <w:r>
        <w:rPr>
          <w:rFonts w:hint="default" w:ascii="Times New Roman" w:hAnsi="Times New Roman" w:eastAsia="宋体" w:cs="Times New Roman"/>
          <w:color w:val="auto"/>
          <w:spacing w:val="0"/>
          <w:sz w:val="24"/>
          <w:szCs w:val="24"/>
          <w:highlight w:val="none"/>
        </w:rPr>
        <w:t>呼吸废气非甲烷总烃排放量为</w:t>
      </w:r>
      <w:r>
        <w:rPr>
          <w:rFonts w:hint="eastAsia" w:cs="Times New Roman"/>
          <w:color w:val="auto"/>
          <w:spacing w:val="0"/>
          <w:sz w:val="24"/>
          <w:szCs w:val="24"/>
          <w:highlight w:val="none"/>
          <w:lang w:val="en-US" w:eastAsia="zh-CN"/>
        </w:rPr>
        <w:t>1.35</w:t>
      </w:r>
      <w:r>
        <w:rPr>
          <w:rFonts w:hint="default" w:ascii="Times New Roman" w:hAnsi="Times New Roman" w:eastAsia="宋体" w:cs="Times New Roman"/>
          <w:color w:val="auto"/>
          <w:spacing w:val="0"/>
          <w:sz w:val="24"/>
          <w:szCs w:val="24"/>
          <w:highlight w:val="none"/>
        </w:rPr>
        <w:t>t/a</w:t>
      </w:r>
      <w:r>
        <w:rPr>
          <w:rFonts w:hint="default" w:ascii="Times New Roman" w:hAnsi="Times New Roman" w:eastAsia="宋体" w:cs="Times New Roman"/>
          <w:color w:val="auto"/>
          <w:sz w:val="24"/>
          <w:szCs w:val="24"/>
          <w:highlight w:val="none"/>
        </w:rPr>
        <w:t>。</w:t>
      </w:r>
    </w:p>
    <w:p w14:paraId="02BCD460">
      <w:pPr>
        <w:keepNext w:val="0"/>
        <w:keepLines w:val="0"/>
        <w:pageBreakBefore w:val="0"/>
        <w:widowControl/>
        <w:kinsoku/>
        <w:wordWrap/>
        <w:overflowPunct/>
        <w:topLinePunct w:val="0"/>
        <w:autoSpaceDE/>
        <w:autoSpaceDN/>
        <w:bidi w:val="0"/>
        <w:adjustRightInd/>
        <w:snapToGrid w:val="0"/>
        <w:spacing w:line="480" w:lineRule="exact"/>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fldChar w:fldCharType="begin"/>
      </w:r>
      <w:r>
        <w:rPr>
          <w:rFonts w:hint="eastAsia" w:cs="Times New Roman"/>
          <w:color w:val="auto"/>
          <w:sz w:val="24"/>
          <w:szCs w:val="24"/>
          <w:highlight w:val="none"/>
          <w:lang w:val="en-US" w:eastAsia="zh-CN"/>
        </w:rPr>
        <w:instrText xml:space="preserve"> = 2 \* alphabetic \* MERGEFORMAT </w:instrText>
      </w:r>
      <w:r>
        <w:rPr>
          <w:rFonts w:hint="eastAsia" w:cs="Times New Roman"/>
          <w:color w:val="auto"/>
          <w:sz w:val="24"/>
          <w:szCs w:val="24"/>
          <w:highlight w:val="none"/>
          <w:lang w:val="en-US" w:eastAsia="zh-CN"/>
        </w:rPr>
        <w:fldChar w:fldCharType="separate"/>
      </w:r>
      <w:r>
        <w:rPr>
          <w:color w:val="auto"/>
          <w:highlight w:val="none"/>
        </w:rPr>
        <w:t>b</w:t>
      </w:r>
      <w:r>
        <w:rPr>
          <w:rFonts w:hint="eastAsia" w:cs="Times New Roman"/>
          <w:color w:val="auto"/>
          <w:sz w:val="24"/>
          <w:szCs w:val="24"/>
          <w:highlight w:val="none"/>
          <w:lang w:val="en-US" w:eastAsia="zh-CN"/>
        </w:rPr>
        <w:fldChar w:fldCharType="end"/>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装卸车过程挥发损失</w:t>
      </w:r>
    </w:p>
    <w:p w14:paraId="6B9E1CFB">
      <w:pPr>
        <w:keepNext w:val="0"/>
        <w:keepLines w:val="0"/>
        <w:pageBreakBefore w:val="0"/>
        <w:widowControl/>
        <w:kinsoku/>
        <w:wordWrap/>
        <w:overflowPunct/>
        <w:topLinePunct w:val="0"/>
        <w:autoSpaceDE/>
        <w:autoSpaceDN/>
        <w:bidi w:val="0"/>
        <w:adjustRightInd/>
        <w:snapToGrid w:val="0"/>
        <w:spacing w:line="480" w:lineRule="exact"/>
        <w:ind w:firstLine="480" w:firstLineChars="200"/>
        <w:textAlignment w:val="auto"/>
        <w:rPr>
          <w:rFonts w:hint="eastAsia" w:cs="Times New Roman"/>
          <w:color w:val="auto"/>
          <w:sz w:val="24"/>
          <w:szCs w:val="24"/>
          <w:highlight w:val="none"/>
          <w:lang w:val="en-US" w:eastAsia="zh-CN"/>
        </w:rPr>
      </w:pPr>
      <w:r>
        <w:rPr>
          <w:rFonts w:hint="eastAsia" w:ascii="Times New Roman" w:hAnsi="宋体" w:eastAsia="宋体" w:cs="宋体"/>
          <w:color w:val="auto"/>
          <w:spacing w:val="0"/>
          <w:kern w:val="0"/>
          <w:sz w:val="24"/>
          <w:szCs w:val="24"/>
          <w:highlight w:val="none"/>
          <w:lang w:val="en-US" w:eastAsia="zh-CN" w:bidi="ar-SA"/>
        </w:rPr>
        <w:t>根据建设单位提供资料，按原油最大产量</w:t>
      </w:r>
      <w:r>
        <w:rPr>
          <w:rFonts w:hint="eastAsia" w:hAnsi="宋体" w:cs="宋体"/>
          <w:color w:val="auto"/>
          <w:spacing w:val="0"/>
          <w:kern w:val="0"/>
          <w:sz w:val="24"/>
          <w:szCs w:val="24"/>
          <w:highlight w:val="none"/>
          <w:lang w:val="en-US" w:eastAsia="zh-CN" w:bidi="ar-SA"/>
        </w:rPr>
        <w:t>230</w:t>
      </w:r>
      <w:r>
        <w:rPr>
          <w:rFonts w:hint="eastAsia" w:ascii="Times New Roman" w:hAnsi="宋体" w:eastAsia="宋体" w:cs="宋体"/>
          <w:color w:val="auto"/>
          <w:spacing w:val="0"/>
          <w:kern w:val="0"/>
          <w:sz w:val="24"/>
          <w:szCs w:val="24"/>
          <w:highlight w:val="none"/>
          <w:lang w:val="en-US" w:eastAsia="zh-CN" w:bidi="ar-SA"/>
        </w:rPr>
        <w:t>t/d，每天装车时间9.35h，超出8h工作时间，同时考虑拉运过程的稳定性，一共</w:t>
      </w:r>
      <w:r>
        <w:rPr>
          <w:rFonts w:hint="eastAsia" w:hAnsi="宋体" w:cs="宋体"/>
          <w:color w:val="auto"/>
          <w:spacing w:val="0"/>
          <w:kern w:val="0"/>
          <w:sz w:val="24"/>
          <w:szCs w:val="24"/>
          <w:highlight w:val="none"/>
          <w:lang w:val="en-US" w:eastAsia="zh-CN" w:bidi="ar-SA"/>
        </w:rPr>
        <w:t>设置2</w:t>
      </w:r>
      <w:r>
        <w:rPr>
          <w:rFonts w:hint="eastAsia" w:ascii="Times New Roman" w:hAnsi="宋体" w:eastAsia="宋体" w:cs="宋体"/>
          <w:color w:val="auto"/>
          <w:spacing w:val="0"/>
          <w:kern w:val="0"/>
          <w:sz w:val="24"/>
          <w:szCs w:val="24"/>
          <w:highlight w:val="none"/>
          <w:lang w:val="en-US" w:eastAsia="zh-CN" w:bidi="ar-SA"/>
        </w:rPr>
        <w:t>套装车系统，</w:t>
      </w:r>
      <w:r>
        <w:rPr>
          <w:rFonts w:hint="eastAsia" w:cs="Times New Roman"/>
          <w:color w:val="auto"/>
          <w:sz w:val="24"/>
          <w:szCs w:val="24"/>
          <w:highlight w:val="none"/>
          <w:lang w:val="en-US" w:eastAsia="zh-CN"/>
        </w:rPr>
        <w:t>满足8h之内完成装车工况</w:t>
      </w:r>
      <w:r>
        <w:rPr>
          <w:rFonts w:hint="eastAsia" w:hAnsi="宋体" w:cs="宋体"/>
          <w:color w:val="auto"/>
          <w:spacing w:val="0"/>
          <w:kern w:val="0"/>
          <w:sz w:val="24"/>
          <w:szCs w:val="24"/>
          <w:highlight w:val="none"/>
          <w:lang w:val="en-US" w:eastAsia="zh-CN" w:bidi="ar-SA"/>
        </w:rPr>
        <w:t>。</w:t>
      </w:r>
      <w:r>
        <w:rPr>
          <w:color w:val="auto"/>
          <w:sz w:val="24"/>
          <w:szCs w:val="24"/>
          <w:highlight w:val="none"/>
        </w:rPr>
        <w:t>本工程</w:t>
      </w:r>
      <w:r>
        <w:rPr>
          <w:rFonts w:hint="eastAsia"/>
          <w:color w:val="auto"/>
          <w:sz w:val="24"/>
          <w:szCs w:val="24"/>
          <w:highlight w:val="none"/>
          <w:lang w:val="en-US" w:eastAsia="zh-CN"/>
        </w:rPr>
        <w:t>原油</w:t>
      </w:r>
      <w:r>
        <w:rPr>
          <w:color w:val="auto"/>
          <w:sz w:val="24"/>
          <w:szCs w:val="24"/>
          <w:highlight w:val="none"/>
        </w:rPr>
        <w:t>在</w:t>
      </w:r>
      <w:r>
        <w:rPr>
          <w:rFonts w:hint="eastAsia"/>
          <w:color w:val="auto"/>
          <w:sz w:val="24"/>
          <w:szCs w:val="24"/>
          <w:highlight w:val="none"/>
          <w:lang w:val="en-US" w:eastAsia="zh-CN"/>
        </w:rPr>
        <w:t>方</w:t>
      </w:r>
      <w:r>
        <w:rPr>
          <w:color w:val="auto"/>
          <w:sz w:val="24"/>
          <w:szCs w:val="24"/>
          <w:highlight w:val="none"/>
        </w:rPr>
        <w:t>罐暂存后装车</w:t>
      </w:r>
      <w:r>
        <w:rPr>
          <w:rFonts w:hint="eastAsia"/>
          <w:color w:val="auto"/>
          <w:sz w:val="24"/>
          <w:szCs w:val="24"/>
          <w:highlight w:val="none"/>
          <w:lang w:val="en-US" w:eastAsia="zh-CN"/>
        </w:rPr>
        <w:t>至哈六联合站</w:t>
      </w:r>
      <w:r>
        <w:rPr>
          <w:color w:val="auto"/>
          <w:sz w:val="24"/>
          <w:szCs w:val="24"/>
          <w:highlight w:val="none"/>
        </w:rPr>
        <w:t>，装卸过程中会有部分物料挥发损失。</w:t>
      </w:r>
      <w:r>
        <w:rPr>
          <w:rFonts w:hint="eastAsia"/>
          <w:color w:val="auto"/>
          <w:sz w:val="24"/>
          <w:szCs w:val="24"/>
          <w:highlight w:val="none"/>
          <w:lang w:val="en-US" w:eastAsia="zh-CN"/>
        </w:rPr>
        <w:t>原油</w:t>
      </w:r>
      <w:r>
        <w:rPr>
          <w:color w:val="auto"/>
          <w:sz w:val="24"/>
          <w:szCs w:val="24"/>
          <w:highlight w:val="none"/>
        </w:rPr>
        <w:t>装卸系统均连接气相平衡系统，装车采用定量液下鹤管装卸系统，等压密闭装入低压槽车。</w:t>
      </w:r>
    </w:p>
    <w:p w14:paraId="2DEF5BDB">
      <w:pPr>
        <w:keepNext w:val="0"/>
        <w:keepLines w:val="0"/>
        <w:pageBreakBefore w:val="0"/>
        <w:widowControl/>
        <w:kinsoku/>
        <w:wordWrap/>
        <w:overflowPunct/>
        <w:topLinePunct w:val="0"/>
        <w:autoSpaceDE/>
        <w:autoSpaceDN/>
        <w:bidi w:val="0"/>
        <w:adjustRightInd/>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根据《石化行业VOCs污染源排查工作指南》中原油装车损失计算公式如下：</w:t>
      </w:r>
    </w:p>
    <w:p w14:paraId="6E258A1B">
      <w:pPr>
        <w:keepNext w:val="0"/>
        <w:keepLines w:val="0"/>
        <w:pageBreakBefore w:val="0"/>
        <w:widowControl/>
        <w:kinsoku/>
        <w:wordWrap/>
        <w:overflowPunct/>
        <w:topLinePunct w:val="0"/>
        <w:autoSpaceDE/>
        <w:autoSpaceDN/>
        <w:bidi w:val="0"/>
        <w:adjustRightInd/>
        <w:snapToGrid w:val="0"/>
        <w:spacing w:line="480" w:lineRule="exact"/>
        <w:ind w:firstLine="480" w:firstLineChars="200"/>
        <w:jc w:val="center"/>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position w:val="-44"/>
          <w:sz w:val="24"/>
          <w:szCs w:val="24"/>
          <w:highlight w:val="none"/>
          <w:lang w:eastAsia="zh-CN"/>
        </w:rPr>
        <w:object>
          <v:shape id="_x0000_i1025" o:spt="75" type="#_x0000_t75" style="height:55.35pt;width:128.5pt;" o:ole="t" filled="f" o:preferrelative="t" stroked="f" coordsize="21600,21600">
            <v:path/>
            <v:fill on="f" focussize="0,0"/>
            <v:stroke on="f"/>
            <v:imagedata r:id="rId14" o:title=""/>
            <o:lock v:ext="edit" aspectratio="t"/>
            <w10:wrap type="none"/>
            <w10:anchorlock/>
          </v:shape>
          <o:OLEObject Type="Embed" ProgID="Equation.KSEE3" ShapeID="_x0000_i1025" DrawAspect="Content" ObjectID="_1468075725" r:id="rId13">
            <o:LockedField>false</o:LockedField>
          </o:OLEObject>
        </w:object>
      </w:r>
    </w:p>
    <w:p w14:paraId="4DE62AF9">
      <w:pPr>
        <w:keepNext w:val="0"/>
        <w:keepLines w:val="0"/>
        <w:pageBreakBefore w:val="0"/>
        <w:widowControl/>
        <w:kinsoku/>
        <w:wordWrap/>
        <w:overflowPunct/>
        <w:topLinePunct w:val="0"/>
        <w:autoSpaceDE/>
        <w:autoSpaceDN/>
        <w:bidi w:val="0"/>
        <w:adjustRightInd/>
        <w:snapToGrid w:val="0"/>
        <w:spacing w:line="480" w:lineRule="exact"/>
        <w:ind w:firstLine="480" w:firstLineChars="200"/>
        <w:jc w:val="center"/>
        <w:textAlignment w:val="auto"/>
        <w:rPr>
          <w:rFonts w:hint="default"/>
          <w:color w:val="auto"/>
          <w:highlight w:val="none"/>
          <w:lang w:val="en-US"/>
        </w:rPr>
      </w:pPr>
      <m:oMathPara>
        <m:oMath>
          <m:sSub>
            <m:sSubPr>
              <m:ctrlPr>
                <w:rPr>
                  <w:rFonts w:hint="default" w:ascii="Cambria Math" w:hAnsi="Cambria Math" w:eastAsia="宋体" w:cs="Times New Roman"/>
                  <w:i w:val="0"/>
                  <w:color w:val="auto"/>
                  <w:kern w:val="2"/>
                  <w:sz w:val="24"/>
                  <w:szCs w:val="24"/>
                  <w:highlight w:val="none"/>
                  <w:lang w:val="en-US" w:eastAsia="zh-CN" w:bidi="ar-SA"/>
                </w:rPr>
              </m:ctrlPr>
            </m:sSubPr>
            <m:e>
              <m:r>
                <m:rPr>
                  <m:sty m:val="p"/>
                </m:rPr>
                <w:rPr>
                  <w:rFonts w:hint="default" w:ascii="Cambria Math" w:hAnsi="Cambria Math" w:eastAsia="宋体" w:cs="Times New Roman"/>
                  <w:color w:val="auto"/>
                  <w:kern w:val="2"/>
                  <w:sz w:val="24"/>
                  <w:szCs w:val="24"/>
                  <w:highlight w:val="none"/>
                  <w:lang w:val="en-US" w:eastAsia="zh-CN" w:bidi="ar-SA"/>
                </w:rPr>
                <m:t>L</m:t>
              </m:r>
              <m:ctrlPr>
                <w:rPr>
                  <w:rFonts w:hint="default" w:ascii="Cambria Math" w:hAnsi="Cambria Math" w:eastAsia="宋体" w:cs="Times New Roman"/>
                  <w:i w:val="0"/>
                  <w:color w:val="auto"/>
                  <w:kern w:val="2"/>
                  <w:sz w:val="24"/>
                  <w:szCs w:val="24"/>
                  <w:highlight w:val="none"/>
                  <w:lang w:val="en-US" w:eastAsia="zh-CN" w:bidi="ar-SA"/>
                </w:rPr>
              </m:ctrlPr>
            </m:e>
            <m:sub>
              <m:r>
                <m:rPr>
                  <m:sty m:val="p"/>
                </m:rPr>
                <w:rPr>
                  <w:rFonts w:hint="default" w:ascii="Cambria Math" w:hAnsi="Cambria Math" w:eastAsia="宋体" w:cs="Times New Roman"/>
                  <w:color w:val="auto"/>
                  <w:kern w:val="2"/>
                  <w:sz w:val="24"/>
                  <w:szCs w:val="24"/>
                  <w:highlight w:val="none"/>
                  <w:lang w:val="en-US" w:eastAsia="zh-CN" w:bidi="ar-SA"/>
                </w:rPr>
                <m:t>L</m:t>
              </m:r>
              <m:ctrlPr>
                <w:rPr>
                  <w:rFonts w:hint="default" w:ascii="Cambria Math" w:hAnsi="Cambria Math" w:eastAsia="宋体" w:cs="Times New Roman"/>
                  <w:i w:val="0"/>
                  <w:color w:val="auto"/>
                  <w:kern w:val="2"/>
                  <w:sz w:val="24"/>
                  <w:szCs w:val="24"/>
                  <w:highlight w:val="none"/>
                  <w:lang w:val="en-US" w:eastAsia="zh-CN" w:bidi="ar-SA"/>
                </w:rPr>
              </m:ctrlPr>
            </m:sub>
          </m:sSub>
          <m:r>
            <m:rPr>
              <m:sty m:val="p"/>
            </m:rPr>
            <w:rPr>
              <w:rFonts w:hint="default" w:ascii="Cambria Math" w:hAnsi="Cambria Math" w:eastAsia="宋体" w:cs="Times New Roman"/>
              <w:color w:val="auto"/>
              <w:kern w:val="2"/>
              <w:sz w:val="24"/>
              <w:szCs w:val="24"/>
              <w:highlight w:val="none"/>
              <w:lang w:val="en-US" w:eastAsia="zh-CN" w:bidi="ar-SA"/>
            </w:rPr>
            <m:t>=</m:t>
          </m:r>
          <m:sSub>
            <m:sSubPr>
              <m:ctrlPr>
                <w:rPr>
                  <w:rFonts w:hint="default" w:ascii="Cambria Math" w:hAnsi="Cambria Math" w:eastAsia="宋体" w:cs="Times New Roman"/>
                  <w:color w:val="auto"/>
                  <w:kern w:val="2"/>
                  <w:sz w:val="24"/>
                  <w:szCs w:val="24"/>
                  <w:highlight w:val="none"/>
                  <w:lang w:val="en-US" w:eastAsia="zh-CN" w:bidi="ar-SA"/>
                </w:rPr>
              </m:ctrlPr>
            </m:sSubPr>
            <m:e>
              <m:r>
                <m:rPr>
                  <m:sty m:val="p"/>
                </m:rPr>
                <w:rPr>
                  <w:rFonts w:hint="default" w:ascii="Cambria Math" w:hAnsi="Cambria Math" w:eastAsia="宋体" w:cs="Times New Roman"/>
                  <w:color w:val="auto"/>
                  <w:kern w:val="2"/>
                  <w:sz w:val="24"/>
                  <w:szCs w:val="24"/>
                  <w:highlight w:val="none"/>
                  <w:lang w:val="en-US" w:eastAsia="zh-CN" w:bidi="ar-SA"/>
                </w:rPr>
                <m:t>C</m:t>
              </m:r>
              <m:ctrlPr>
                <w:rPr>
                  <w:rFonts w:hint="default" w:ascii="Cambria Math" w:hAnsi="Cambria Math" w:eastAsia="宋体" w:cs="Times New Roman"/>
                  <w:color w:val="auto"/>
                  <w:kern w:val="2"/>
                  <w:sz w:val="24"/>
                  <w:szCs w:val="24"/>
                  <w:highlight w:val="none"/>
                  <w:lang w:val="en-US" w:eastAsia="zh-CN" w:bidi="ar-SA"/>
                </w:rPr>
              </m:ctrlPr>
            </m:e>
            <m:sub>
              <m:r>
                <m:rPr>
                  <m:sty m:val="p"/>
                </m:rPr>
                <w:rPr>
                  <w:rFonts w:hint="default" w:ascii="Cambria Math" w:hAnsi="Cambria Math" w:eastAsia="宋体" w:cs="Times New Roman"/>
                  <w:color w:val="auto"/>
                  <w:kern w:val="2"/>
                  <w:sz w:val="24"/>
                  <w:szCs w:val="24"/>
                  <w:highlight w:val="none"/>
                  <w:lang w:val="en-US" w:eastAsia="zh-CN" w:bidi="ar-SA"/>
                </w:rPr>
                <m:t>O</m:t>
              </m:r>
              <m:ctrlPr>
                <w:rPr>
                  <w:rFonts w:hint="default" w:ascii="Cambria Math" w:hAnsi="Cambria Math" w:eastAsia="宋体" w:cs="Times New Roman"/>
                  <w:color w:val="auto"/>
                  <w:kern w:val="2"/>
                  <w:sz w:val="24"/>
                  <w:szCs w:val="24"/>
                  <w:highlight w:val="none"/>
                  <w:lang w:val="en-US" w:eastAsia="zh-CN" w:bidi="ar-SA"/>
                </w:rPr>
              </m:ctrlPr>
            </m:sub>
          </m:sSub>
          <m:r>
            <m:rPr>
              <m:sty m:val="p"/>
            </m:rPr>
            <w:rPr>
              <w:rFonts w:hint="default" w:ascii="Cambria Math" w:hAnsi="Cambria Math" w:eastAsia="宋体" w:cs="Cambria Math"/>
              <w:color w:val="auto"/>
              <w:kern w:val="2"/>
              <w:sz w:val="24"/>
              <w:szCs w:val="24"/>
              <w:highlight w:val="none"/>
              <w:lang w:val="en-US" w:eastAsia="zh-CN" w:bidi="ar-SA"/>
            </w:rPr>
            <m:t>×S</m:t>
          </m:r>
        </m:oMath>
      </m:oMathPara>
    </w:p>
    <w:p w14:paraId="68CEE19D">
      <w:pPr>
        <w:keepNext w:val="0"/>
        <w:keepLines w:val="0"/>
        <w:pageBreakBefore w:val="0"/>
        <w:widowControl/>
        <w:kinsoku/>
        <w:wordWrap/>
        <w:overflowPunct/>
        <w:topLinePunct w:val="0"/>
        <w:autoSpaceDE/>
        <w:autoSpaceDN/>
        <w:bidi w:val="0"/>
        <w:adjustRightInd/>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m:oMathPara>
        <m:oMath>
          <m:sSub>
            <m:sSubPr>
              <m:ctrlPr>
                <w:rPr>
                  <w:rFonts w:ascii="Cambria Math" w:hAnsi="Cambria Math" w:cs="Times New Roman"/>
                  <w:i/>
                  <w:color w:val="auto"/>
                  <w:sz w:val="24"/>
                  <w:szCs w:val="24"/>
                  <w:highlight w:val="none"/>
                  <w:lang w:val="en-US"/>
                </w:rPr>
              </m:ctrlPr>
            </m:sSubPr>
            <m:e>
              <m:r>
                <m:rPr/>
                <w:rPr>
                  <w:rFonts w:hint="default" w:ascii="Cambria Math" w:hAnsi="Cambria Math" w:cs="Times New Roman"/>
                  <w:color w:val="auto"/>
                  <w:sz w:val="24"/>
                  <w:szCs w:val="24"/>
                  <w:highlight w:val="none"/>
                  <w:lang w:val="en-US" w:eastAsia="zh-CN"/>
                </w:rPr>
                <m:t>C</m:t>
              </m:r>
              <m:ctrlPr>
                <w:rPr>
                  <w:rFonts w:ascii="Cambria Math" w:hAnsi="Cambria Math" w:cs="Times New Roman"/>
                  <w:i/>
                  <w:color w:val="auto"/>
                  <w:sz w:val="24"/>
                  <w:szCs w:val="24"/>
                  <w:highlight w:val="none"/>
                  <w:lang w:val="en-US"/>
                </w:rPr>
              </m:ctrlPr>
            </m:e>
            <m:sub>
              <m:r>
                <m:rPr/>
                <w:rPr>
                  <w:rFonts w:hint="default" w:ascii="Cambria Math" w:hAnsi="Cambria Math" w:cs="Times New Roman"/>
                  <w:color w:val="auto"/>
                  <w:sz w:val="24"/>
                  <w:szCs w:val="24"/>
                  <w:highlight w:val="none"/>
                  <w:lang w:val="en-US" w:eastAsia="zh-CN"/>
                </w:rPr>
                <m:t>O=</m:t>
              </m:r>
              <m:ctrlPr>
                <w:rPr>
                  <w:rFonts w:ascii="Cambria Math" w:hAnsi="Cambria Math" w:cs="Times New Roman"/>
                  <w:i/>
                  <w:color w:val="auto"/>
                  <w:sz w:val="24"/>
                  <w:szCs w:val="24"/>
                  <w:highlight w:val="none"/>
                  <w:lang w:val="en-US"/>
                </w:rPr>
              </m:ctrlPr>
            </m:sub>
          </m:sSub>
          <m:r>
            <m:rPr/>
            <w:rPr>
              <w:rFonts w:hint="default" w:ascii="Cambria Math" w:hAnsi="Cambria Math" w:cs="Times New Roman"/>
              <w:color w:val="auto"/>
              <w:sz w:val="24"/>
              <w:szCs w:val="24"/>
              <w:highlight w:val="none"/>
              <w:lang w:val="en-US" w:eastAsia="zh-CN"/>
            </w:rPr>
            <m:t>1.20</m:t>
          </m:r>
          <m:r>
            <m:rPr/>
            <w:rPr>
              <w:rFonts w:hint="default" w:ascii="Cambria Math" w:hAnsi="Cambria Math" w:cs="Cambria Math"/>
              <w:color w:val="auto"/>
              <w:sz w:val="24"/>
              <w:szCs w:val="24"/>
              <w:highlight w:val="none"/>
              <w:lang w:val="en-US" w:eastAsia="zh-CN"/>
            </w:rPr>
            <m:t>×</m:t>
          </m:r>
          <m:sSup>
            <m:sSupPr>
              <m:ctrlPr>
                <w:rPr>
                  <w:rFonts w:hint="default" w:ascii="Cambria Math" w:hAnsi="Cambria Math" w:cs="Cambria Math"/>
                  <w:i/>
                  <w:color w:val="auto"/>
                  <w:sz w:val="24"/>
                  <w:szCs w:val="24"/>
                  <w:highlight w:val="none"/>
                  <w:lang w:val="en-US" w:eastAsia="zh-CN"/>
                </w:rPr>
              </m:ctrlPr>
            </m:sSupPr>
            <m:e>
              <m:r>
                <m:rPr/>
                <w:rPr>
                  <w:rFonts w:hint="default" w:ascii="Cambria Math" w:hAnsi="Cambria Math" w:cs="Cambria Math"/>
                  <w:color w:val="auto"/>
                  <w:sz w:val="24"/>
                  <w:szCs w:val="24"/>
                  <w:highlight w:val="none"/>
                  <w:lang w:val="en-US" w:eastAsia="zh-CN"/>
                </w:rPr>
                <m:t>10</m:t>
              </m:r>
              <m:ctrlPr>
                <w:rPr>
                  <w:rFonts w:hint="default" w:ascii="Cambria Math" w:hAnsi="Cambria Math" w:cs="Cambria Math"/>
                  <w:i/>
                  <w:color w:val="auto"/>
                  <w:sz w:val="24"/>
                  <w:szCs w:val="24"/>
                  <w:highlight w:val="none"/>
                  <w:lang w:val="en-US" w:eastAsia="zh-CN"/>
                </w:rPr>
              </m:ctrlPr>
            </m:e>
            <m:sup>
              <m:r>
                <m:rPr/>
                <w:rPr>
                  <w:rFonts w:hint="default" w:ascii="Cambria Math" w:hAnsi="Cambria Math" w:cs="Cambria Math"/>
                  <w:color w:val="auto"/>
                  <w:sz w:val="24"/>
                  <w:szCs w:val="24"/>
                  <w:highlight w:val="none"/>
                  <w:lang w:val="en-US" w:eastAsia="zh-CN"/>
                </w:rPr>
                <m:t>−4</m:t>
              </m:r>
              <m:ctrlPr>
                <w:rPr>
                  <w:rFonts w:hint="default" w:ascii="Cambria Math" w:hAnsi="Cambria Math" w:cs="Cambria Math"/>
                  <w:i/>
                  <w:color w:val="auto"/>
                  <w:sz w:val="24"/>
                  <w:szCs w:val="24"/>
                  <w:highlight w:val="none"/>
                  <w:lang w:val="en-US" w:eastAsia="zh-CN"/>
                </w:rPr>
              </m:ctrlPr>
            </m:sup>
          </m:sSup>
          <m:r>
            <m:rPr/>
            <w:rPr>
              <w:rFonts w:hint="default" w:ascii="Cambria Math" w:hAnsi="Cambria Math" w:cs="Cambria Math"/>
              <w:color w:val="auto"/>
              <w:sz w:val="24"/>
              <w:szCs w:val="24"/>
              <w:highlight w:val="none"/>
              <w:lang w:val="en-US" w:eastAsia="zh-CN"/>
            </w:rPr>
            <m:t>×</m:t>
          </m:r>
          <m:f>
            <m:fPr>
              <m:ctrlPr>
                <w:rPr>
                  <w:rFonts w:hint="default" w:ascii="Cambria Math" w:hAnsi="Cambria Math" w:cs="Cambria Math"/>
                  <w:i/>
                  <w:color w:val="auto"/>
                  <w:sz w:val="24"/>
                  <w:szCs w:val="24"/>
                  <w:highlight w:val="none"/>
                  <w:lang w:val="en-US" w:eastAsia="zh-CN"/>
                </w:rPr>
              </m:ctrlPr>
            </m:fPr>
            <m:num>
              <m:sSub>
                <m:sSubPr>
                  <m:ctrlPr>
                    <w:rPr>
                      <w:rFonts w:hint="default" w:ascii="Cambria Math" w:hAnsi="Cambria Math" w:cs="Cambria Math"/>
                      <w:i/>
                      <w:color w:val="auto"/>
                      <w:sz w:val="24"/>
                      <w:szCs w:val="24"/>
                      <w:highlight w:val="none"/>
                      <w:lang w:val="en-US" w:eastAsia="zh-CN"/>
                    </w:rPr>
                  </m:ctrlPr>
                </m:sSubPr>
                <m:e>
                  <m:r>
                    <m:rPr/>
                    <w:rPr>
                      <w:rFonts w:hint="default" w:ascii="Cambria Math" w:hAnsi="Cambria Math" w:cs="Cambria Math"/>
                      <w:color w:val="auto"/>
                      <w:sz w:val="24"/>
                      <w:szCs w:val="24"/>
                      <w:highlight w:val="none"/>
                      <w:lang w:val="en-US" w:eastAsia="zh-CN"/>
                    </w:rPr>
                    <m:t>P</m:t>
                  </m:r>
                  <m:ctrlPr>
                    <w:rPr>
                      <w:rFonts w:hint="default" w:ascii="Cambria Math" w:hAnsi="Cambria Math" w:cs="Cambria Math"/>
                      <w:i/>
                      <w:color w:val="auto"/>
                      <w:sz w:val="24"/>
                      <w:szCs w:val="24"/>
                      <w:highlight w:val="none"/>
                      <w:lang w:val="en-US" w:eastAsia="zh-CN"/>
                    </w:rPr>
                  </m:ctrlPr>
                </m:e>
                <m:sub>
                  <m:r>
                    <m:rPr/>
                    <w:rPr>
                      <w:rFonts w:hint="default" w:ascii="Cambria Math" w:hAnsi="Cambria Math" w:cs="Cambria Math"/>
                      <w:color w:val="auto"/>
                      <w:sz w:val="24"/>
                      <w:szCs w:val="24"/>
                      <w:highlight w:val="none"/>
                      <w:lang w:val="en-US" w:eastAsia="zh-CN"/>
                    </w:rPr>
                    <m:t>T</m:t>
                  </m:r>
                  <m:ctrlPr>
                    <w:rPr>
                      <w:rFonts w:hint="default" w:ascii="Cambria Math" w:hAnsi="Cambria Math" w:cs="Cambria Math"/>
                      <w:i/>
                      <w:color w:val="auto"/>
                      <w:sz w:val="24"/>
                      <w:szCs w:val="24"/>
                      <w:highlight w:val="none"/>
                      <w:lang w:val="en-US" w:eastAsia="zh-CN"/>
                    </w:rPr>
                  </m:ctrlPr>
                </m:sub>
              </m:sSub>
              <m:r>
                <m:rPr/>
                <w:rPr>
                  <w:rFonts w:ascii="Cambria Math" w:hAnsi="Cambria Math" w:cs="Cambria Math"/>
                  <w:color w:val="auto"/>
                  <w:sz w:val="24"/>
                  <w:szCs w:val="24"/>
                  <w:highlight w:val="none"/>
                  <w:lang w:val="en-US"/>
                </w:rPr>
                <m:t>×</m:t>
              </m:r>
              <m:r>
                <m:rPr/>
                <w:rPr>
                  <w:rFonts w:hint="default" w:ascii="Cambria Math" w:hAnsi="Cambria Math" w:cs="Cambria Math"/>
                  <w:color w:val="auto"/>
                  <w:sz w:val="24"/>
                  <w:szCs w:val="24"/>
                  <w:highlight w:val="none"/>
                  <w:lang w:val="en-US" w:eastAsia="zh-CN"/>
                </w:rPr>
                <m:t>M</m:t>
              </m:r>
              <m:ctrlPr>
                <w:rPr>
                  <w:rFonts w:hint="default" w:ascii="Cambria Math" w:hAnsi="Cambria Math" w:cs="Cambria Math"/>
                  <w:i/>
                  <w:color w:val="auto"/>
                  <w:sz w:val="24"/>
                  <w:szCs w:val="24"/>
                  <w:highlight w:val="none"/>
                  <w:lang w:val="en-US" w:eastAsia="zh-CN"/>
                </w:rPr>
              </m:ctrlPr>
            </m:num>
            <m:den>
              <m:r>
                <m:rPr/>
                <w:rPr>
                  <w:rFonts w:hint="default" w:ascii="Cambria Math" w:hAnsi="Cambria Math" w:cs="Cambria Math"/>
                  <w:color w:val="auto"/>
                  <w:sz w:val="24"/>
                  <w:szCs w:val="24"/>
                  <w:highlight w:val="none"/>
                  <w:lang w:val="en-US" w:eastAsia="zh-CN"/>
                </w:rPr>
                <m:t>T+273.15</m:t>
              </m:r>
              <m:ctrlPr>
                <w:rPr>
                  <w:rFonts w:hint="default" w:ascii="Cambria Math" w:hAnsi="Cambria Math" w:cs="Cambria Math"/>
                  <w:i/>
                  <w:color w:val="auto"/>
                  <w:sz w:val="24"/>
                  <w:szCs w:val="24"/>
                  <w:highlight w:val="none"/>
                  <w:lang w:val="en-US" w:eastAsia="zh-CN"/>
                </w:rPr>
              </m:ctrlPr>
            </m:den>
          </m:f>
        </m:oMath>
      </m:oMathPara>
    </w:p>
    <w:p w14:paraId="7D439B18">
      <w:pPr>
        <w:keepNext w:val="0"/>
        <w:keepLines w:val="0"/>
        <w:pageBreakBefore w:val="0"/>
        <w:widowControl/>
        <w:kinsoku/>
        <w:wordWrap/>
        <w:overflowPunct/>
        <w:topLinePunct w:val="0"/>
        <w:autoSpaceDE/>
        <w:autoSpaceDN/>
        <w:bidi w:val="0"/>
        <w:adjustRightInd/>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w:t>
      </w:r>
    </w:p>
    <w:p w14:paraId="7AA575CD">
      <w:pPr>
        <w:keepNext w:val="0"/>
        <w:keepLines w:val="0"/>
        <w:pageBreakBefore w:val="0"/>
        <w:widowControl/>
        <w:kinsoku/>
        <w:wordWrap/>
        <w:overflowPunct/>
        <w:topLinePunct w:val="0"/>
        <w:autoSpaceDE/>
        <w:autoSpaceDN/>
        <w:bidi w:val="0"/>
        <w:adjustRightInd/>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E</w:t>
      </w:r>
      <w:r>
        <w:rPr>
          <w:rFonts w:hint="default" w:ascii="Times New Roman" w:hAnsi="Times New Roman" w:eastAsia="宋体" w:cs="Times New Roman"/>
          <w:color w:val="auto"/>
          <w:sz w:val="24"/>
          <w:szCs w:val="24"/>
          <w:highlight w:val="none"/>
          <w:vertAlign w:val="subscript"/>
        </w:rPr>
        <w:t>装卸</w:t>
      </w:r>
      <w:r>
        <w:rPr>
          <w:rFonts w:hint="default"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vertAlign w:val="subscript"/>
          <w:lang w:eastAsia="zh-CN"/>
        </w:rPr>
        <w:t>———</w:t>
      </w:r>
      <w:r>
        <w:rPr>
          <w:rFonts w:hint="default" w:ascii="Times New Roman" w:hAnsi="Times New Roman" w:eastAsia="宋体" w:cs="Times New Roman"/>
          <w:color w:val="auto"/>
          <w:sz w:val="24"/>
          <w:szCs w:val="24"/>
          <w:highlight w:val="none"/>
        </w:rPr>
        <w:t>装载过程VOCs排放量，t/a；</w:t>
      </w:r>
    </w:p>
    <w:p w14:paraId="1807DB45">
      <w:pPr>
        <w:keepNext w:val="0"/>
        <w:keepLines w:val="0"/>
        <w:pageBreakBefore w:val="0"/>
        <w:widowControl/>
        <w:kinsoku/>
        <w:wordWrap/>
        <w:overflowPunct/>
        <w:topLinePunct w:val="0"/>
        <w:autoSpaceDE/>
        <w:autoSpaceDN/>
        <w:bidi w:val="0"/>
        <w:adjustRightInd/>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V</w:t>
      </w:r>
      <w:r>
        <w:rPr>
          <w:rFonts w:hint="eastAsia" w:cs="Times New Roman"/>
          <w:color w:val="auto"/>
          <w:sz w:val="24"/>
          <w:szCs w:val="24"/>
          <w:highlight w:val="none"/>
          <w:lang w:val="en-US" w:eastAsia="zh-CN"/>
        </w:rPr>
        <w:t xml:space="preserve"> </w:t>
      </w:r>
      <w:r>
        <w:rPr>
          <w:rFonts w:hint="eastAsia" w:ascii="Times New Roman" w:hAnsi="Times New Roman" w:eastAsia="宋体" w:cs="Times New Roman"/>
          <w:color w:val="auto"/>
          <w:sz w:val="24"/>
          <w:szCs w:val="24"/>
          <w:highlight w:val="none"/>
          <w:vertAlign w:val="subscript"/>
          <w:lang w:eastAsia="zh-CN"/>
        </w:rPr>
        <w:t>———</w:t>
      </w:r>
      <w:r>
        <w:rPr>
          <w:rFonts w:hint="default" w:ascii="Times New Roman" w:hAnsi="Times New Roman" w:eastAsia="宋体" w:cs="Times New Roman"/>
          <w:color w:val="auto"/>
          <w:sz w:val="24"/>
          <w:szCs w:val="24"/>
          <w:highlight w:val="none"/>
        </w:rPr>
        <w:t>物料年周转量，m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w:t>
      </w:r>
    </w:p>
    <w:p w14:paraId="62E60483">
      <w:pPr>
        <w:keepNext w:val="0"/>
        <w:keepLines w:val="0"/>
        <w:pageBreakBefore w:val="0"/>
        <w:widowControl/>
        <w:kinsoku/>
        <w:wordWrap/>
        <w:overflowPunct/>
        <w:topLinePunct w:val="0"/>
        <w:autoSpaceDE/>
        <w:autoSpaceDN/>
        <w:bidi w:val="0"/>
        <w:adjustRightInd/>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rPr>
        <w:t>L</w:t>
      </w:r>
      <w:r>
        <w:rPr>
          <w:rFonts w:hint="eastAsia" w:ascii="Times New Roman" w:hAnsi="Times New Roman" w:eastAsia="宋体" w:cs="Times New Roman"/>
          <w:color w:val="auto"/>
          <w:sz w:val="24"/>
          <w:szCs w:val="24"/>
          <w:highlight w:val="none"/>
          <w:vertAlign w:val="subscript"/>
          <w:lang w:eastAsia="zh-CN"/>
        </w:rPr>
        <w:t>———</w:t>
      </w:r>
      <w:r>
        <w:rPr>
          <w:rFonts w:hint="default" w:ascii="Times New Roman" w:hAnsi="Times New Roman" w:eastAsia="宋体" w:cs="Times New Roman"/>
          <w:color w:val="auto"/>
          <w:sz w:val="24"/>
          <w:szCs w:val="24"/>
          <w:highlight w:val="none"/>
        </w:rPr>
        <w:t>装载损耗排放因子，kg/m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p>
    <w:p w14:paraId="21D9BD3D">
      <w:pPr>
        <w:keepNext w:val="0"/>
        <w:keepLines w:val="0"/>
        <w:pageBreakBefore w:val="0"/>
        <w:widowControl/>
        <w:kinsoku/>
        <w:wordWrap/>
        <w:overflowPunct/>
        <w:topLinePunct w:val="0"/>
        <w:autoSpaceDE/>
        <w:autoSpaceDN/>
        <w:bidi w:val="0"/>
        <w:adjustRightInd/>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η</w:t>
      </w:r>
      <w:r>
        <w:rPr>
          <w:rFonts w:hint="default" w:ascii="Times New Roman" w:hAnsi="Times New Roman" w:eastAsia="宋体" w:cs="Times New Roman"/>
          <w:color w:val="auto"/>
          <w:sz w:val="24"/>
          <w:szCs w:val="24"/>
          <w:highlight w:val="none"/>
          <w:vertAlign w:val="subscript"/>
        </w:rPr>
        <w:t>总</w:t>
      </w:r>
      <w:r>
        <w:rPr>
          <w:rFonts w:hint="eastAsia" w:cs="Times New Roman"/>
          <w:color w:val="auto"/>
          <w:sz w:val="24"/>
          <w:szCs w:val="24"/>
          <w:highlight w:val="none"/>
          <w:vertAlign w:val="subscript"/>
          <w:lang w:eastAsia="zh-CN"/>
        </w:rPr>
        <w:t>——</w:t>
      </w:r>
      <w:r>
        <w:rPr>
          <w:rFonts w:hint="default" w:ascii="Times New Roman" w:hAnsi="Times New Roman" w:eastAsia="宋体" w:cs="Times New Roman"/>
          <w:color w:val="auto"/>
          <w:sz w:val="24"/>
          <w:szCs w:val="24"/>
          <w:highlight w:val="none"/>
        </w:rPr>
        <w:t>总控制效率，%；</w:t>
      </w:r>
    </w:p>
    <w:p w14:paraId="37CEB431">
      <w:pPr>
        <w:keepNext w:val="0"/>
        <w:keepLines w:val="0"/>
        <w:pageBreakBefore w:val="0"/>
        <w:widowControl/>
        <w:kinsoku/>
        <w:wordWrap/>
        <w:overflowPunct/>
        <w:topLinePunct w:val="0"/>
        <w:autoSpaceDE/>
        <w:autoSpaceDN/>
        <w:bidi w:val="0"/>
        <w:adjustRightInd/>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η</w:t>
      </w:r>
      <w:r>
        <w:rPr>
          <w:rFonts w:hint="default" w:ascii="Times New Roman" w:hAnsi="Times New Roman" w:eastAsia="宋体" w:cs="Times New Roman"/>
          <w:color w:val="auto"/>
          <w:sz w:val="24"/>
          <w:szCs w:val="24"/>
          <w:highlight w:val="none"/>
          <w:vertAlign w:val="subscript"/>
        </w:rPr>
        <w:t>收集</w:t>
      </w:r>
      <w:r>
        <w:rPr>
          <w:rFonts w:hint="eastAsia" w:cs="Times New Roman"/>
          <w:color w:val="auto"/>
          <w:sz w:val="24"/>
          <w:szCs w:val="24"/>
          <w:highlight w:val="none"/>
          <w:vertAlign w:val="subscript"/>
          <w:lang w:eastAsia="zh-CN"/>
        </w:rPr>
        <w:t>——</w:t>
      </w:r>
      <w:r>
        <w:rPr>
          <w:rFonts w:hint="default" w:ascii="Times New Roman" w:hAnsi="Times New Roman" w:eastAsia="宋体" w:cs="Times New Roman"/>
          <w:color w:val="auto"/>
          <w:sz w:val="24"/>
          <w:szCs w:val="24"/>
          <w:highlight w:val="none"/>
        </w:rPr>
        <w:t>收集效率，%；</w:t>
      </w:r>
    </w:p>
    <w:p w14:paraId="0F610C1B">
      <w:pPr>
        <w:keepNext w:val="0"/>
        <w:keepLines w:val="0"/>
        <w:pageBreakBefore w:val="0"/>
        <w:widowControl/>
        <w:kinsoku/>
        <w:wordWrap/>
        <w:overflowPunct/>
        <w:topLinePunct w:val="0"/>
        <w:autoSpaceDE/>
        <w:autoSpaceDN/>
        <w:bidi w:val="0"/>
        <w:adjustRightInd/>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η</w:t>
      </w:r>
      <w:r>
        <w:rPr>
          <w:rFonts w:hint="default" w:ascii="Times New Roman" w:hAnsi="Times New Roman" w:eastAsia="宋体" w:cs="Times New Roman"/>
          <w:color w:val="auto"/>
          <w:sz w:val="24"/>
          <w:szCs w:val="24"/>
          <w:highlight w:val="none"/>
          <w:vertAlign w:val="subscript"/>
        </w:rPr>
        <w:t>去除</w:t>
      </w:r>
      <w:r>
        <w:rPr>
          <w:rFonts w:hint="eastAsia" w:cs="Times New Roman"/>
          <w:color w:val="auto"/>
          <w:sz w:val="24"/>
          <w:szCs w:val="24"/>
          <w:highlight w:val="none"/>
          <w:vertAlign w:val="subscript"/>
          <w:lang w:eastAsia="zh-CN"/>
        </w:rPr>
        <w:t>——</w:t>
      </w:r>
      <w:r>
        <w:rPr>
          <w:rFonts w:hint="default" w:ascii="Times New Roman" w:hAnsi="Times New Roman" w:eastAsia="宋体" w:cs="Times New Roman"/>
          <w:color w:val="auto"/>
          <w:sz w:val="24"/>
          <w:szCs w:val="24"/>
          <w:highlight w:val="none"/>
        </w:rPr>
        <w:t>去除效率，%；</w:t>
      </w:r>
    </w:p>
    <w:p w14:paraId="39F0C560">
      <w:pPr>
        <w:keepNext w:val="0"/>
        <w:keepLines w:val="0"/>
        <w:pageBreakBefore w:val="0"/>
        <w:widowControl/>
        <w:kinsoku/>
        <w:wordWrap/>
        <w:overflowPunct/>
        <w:topLinePunct w:val="0"/>
        <w:autoSpaceDE/>
        <w:autoSpaceDN/>
        <w:bidi w:val="0"/>
        <w:adjustRightInd/>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η</w:t>
      </w:r>
      <w:r>
        <w:rPr>
          <w:rFonts w:hint="default" w:ascii="Times New Roman" w:hAnsi="Times New Roman" w:eastAsia="宋体" w:cs="Times New Roman"/>
          <w:color w:val="auto"/>
          <w:sz w:val="24"/>
          <w:szCs w:val="24"/>
          <w:highlight w:val="none"/>
          <w:vertAlign w:val="subscript"/>
        </w:rPr>
        <w:t>投用</w:t>
      </w:r>
      <w:r>
        <w:rPr>
          <w:rFonts w:hint="eastAsia" w:cs="Times New Roman"/>
          <w:color w:val="auto"/>
          <w:sz w:val="24"/>
          <w:szCs w:val="24"/>
          <w:highlight w:val="none"/>
          <w:vertAlign w:val="subscript"/>
          <w:lang w:eastAsia="zh-CN"/>
        </w:rPr>
        <w:t>——</w:t>
      </w:r>
      <w:r>
        <w:rPr>
          <w:rFonts w:hint="default" w:ascii="Times New Roman" w:hAnsi="Times New Roman" w:eastAsia="宋体" w:cs="Times New Roman"/>
          <w:color w:val="auto"/>
          <w:sz w:val="24"/>
          <w:szCs w:val="24"/>
          <w:highlight w:val="none"/>
        </w:rPr>
        <w:t>投用效率，%；</w:t>
      </w:r>
    </w:p>
    <w:p w14:paraId="210E3AF9">
      <w:pPr>
        <w:keepNext w:val="0"/>
        <w:keepLines w:val="0"/>
        <w:pageBreakBefore w:val="0"/>
        <w:widowControl/>
        <w:kinsoku/>
        <w:wordWrap/>
        <w:overflowPunct/>
        <w:topLinePunct w:val="0"/>
        <w:autoSpaceDE/>
        <w:autoSpaceDN/>
        <w:bidi w:val="0"/>
        <w:adjustRightInd/>
        <w:snapToGrid w:val="0"/>
        <w:spacing w:line="480" w:lineRule="exact"/>
        <w:ind w:firstLine="480" w:firstLineChars="200"/>
        <w:jc w:val="left"/>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S</w:t>
      </w:r>
      <w:r>
        <w:rPr>
          <w:rFonts w:hint="eastAsia" w:ascii="Times New Roman" w:hAnsi="Times New Roman" w:eastAsia="宋体" w:cs="Times New Roman"/>
          <w:color w:val="auto"/>
          <w:spacing w:val="0"/>
          <w:sz w:val="24"/>
          <w:szCs w:val="24"/>
          <w:highlight w:val="none"/>
          <w:lang w:val="en-US" w:eastAsia="zh-CN"/>
        </w:rPr>
        <w:t xml:space="preserve"> </w:t>
      </w:r>
      <w:r>
        <w:rPr>
          <w:rFonts w:hint="eastAsia" w:ascii="Times New Roman" w:hAnsi="Times New Roman" w:eastAsia="宋体" w:cs="Times New Roman"/>
          <w:color w:val="auto"/>
          <w:sz w:val="24"/>
          <w:szCs w:val="24"/>
          <w:highlight w:val="none"/>
          <w:vertAlign w:val="subscript"/>
          <w:lang w:eastAsia="zh-CN"/>
        </w:rPr>
        <w:t>———</w:t>
      </w:r>
      <w:r>
        <w:rPr>
          <w:rFonts w:hint="default" w:ascii="Times New Roman" w:hAnsi="Times New Roman" w:eastAsia="宋体" w:cs="Times New Roman"/>
          <w:color w:val="auto"/>
          <w:spacing w:val="0"/>
          <w:sz w:val="24"/>
          <w:szCs w:val="24"/>
          <w:highlight w:val="none"/>
        </w:rPr>
        <w:t>饱和因子，代表排出的挥发物料接近饱和的程度，饱和因子的选取见表</w:t>
      </w:r>
      <w:r>
        <w:rPr>
          <w:rFonts w:hint="eastAsia" w:ascii="Times New Roman" w:hAnsi="Times New Roman" w:eastAsia="宋体" w:cs="Times New Roman"/>
          <w:color w:val="auto"/>
          <w:spacing w:val="0"/>
          <w:sz w:val="24"/>
          <w:szCs w:val="24"/>
          <w:highlight w:val="none"/>
          <w:lang w:eastAsia="zh-CN"/>
        </w:rPr>
        <w:t>，</w:t>
      </w:r>
      <w:r>
        <w:rPr>
          <w:rFonts w:hint="eastAsia" w:ascii="Times New Roman" w:hAnsi="Times New Roman" w:eastAsia="宋体" w:cs="Times New Roman"/>
          <w:color w:val="auto"/>
          <w:spacing w:val="0"/>
          <w:sz w:val="24"/>
          <w:szCs w:val="24"/>
          <w:highlight w:val="none"/>
          <w:lang w:val="en-US" w:eastAsia="zh-CN"/>
        </w:rPr>
        <w:t>0.6</w:t>
      </w:r>
      <w:r>
        <w:rPr>
          <w:rFonts w:hint="default" w:ascii="Times New Roman" w:hAnsi="Times New Roman" w:eastAsia="宋体" w:cs="Times New Roman"/>
          <w:color w:val="auto"/>
          <w:spacing w:val="0"/>
          <w:sz w:val="24"/>
          <w:szCs w:val="24"/>
          <w:highlight w:val="none"/>
        </w:rPr>
        <w:t>；</w:t>
      </w:r>
    </w:p>
    <w:p w14:paraId="31E12195">
      <w:pPr>
        <w:keepNext w:val="0"/>
        <w:keepLines w:val="0"/>
        <w:pageBreakBefore w:val="0"/>
        <w:widowControl/>
        <w:kinsoku/>
        <w:wordWrap/>
        <w:overflowPunct/>
        <w:topLinePunct w:val="0"/>
        <w:autoSpaceDE/>
        <w:autoSpaceDN/>
        <w:bidi w:val="0"/>
        <w:adjustRightInd/>
        <w:snapToGrid w:val="0"/>
        <w:spacing w:line="480" w:lineRule="exact"/>
        <w:ind w:firstLine="480" w:firstLineChars="200"/>
        <w:jc w:val="left"/>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C</w:t>
      </w:r>
      <w:r>
        <w:rPr>
          <w:rFonts w:hint="eastAsia" w:cs="Times New Roman"/>
          <w:color w:val="auto"/>
          <w:spacing w:val="0"/>
          <w:sz w:val="24"/>
          <w:szCs w:val="24"/>
          <w:highlight w:val="none"/>
          <w:lang w:val="en-US" w:eastAsia="zh-CN"/>
        </w:rPr>
        <w:t>o</w:t>
      </w:r>
      <w:r>
        <w:rPr>
          <w:rFonts w:hint="eastAsia" w:ascii="Times New Roman" w:hAnsi="Times New Roman" w:eastAsia="宋体" w:cs="Times New Roman"/>
          <w:color w:val="auto"/>
          <w:sz w:val="24"/>
          <w:szCs w:val="24"/>
          <w:highlight w:val="none"/>
          <w:vertAlign w:val="subscript"/>
          <w:lang w:eastAsia="zh-CN"/>
        </w:rPr>
        <w:t>———</w:t>
      </w:r>
      <w:r>
        <w:rPr>
          <w:rFonts w:hint="default" w:ascii="Times New Roman" w:hAnsi="Times New Roman" w:eastAsia="宋体" w:cs="Times New Roman"/>
          <w:color w:val="auto"/>
          <w:spacing w:val="0"/>
          <w:sz w:val="24"/>
          <w:szCs w:val="24"/>
          <w:highlight w:val="none"/>
        </w:rPr>
        <w:t>装载罐车气、液相处于平衡状态，将挥发物料看</w:t>
      </w:r>
      <w:r>
        <w:rPr>
          <w:rFonts w:hint="eastAsia" w:cs="Times New Roman"/>
          <w:color w:val="auto"/>
          <w:spacing w:val="0"/>
          <w:sz w:val="24"/>
          <w:szCs w:val="24"/>
          <w:highlight w:val="none"/>
          <w:lang w:val="en-US" w:eastAsia="zh-CN"/>
        </w:rPr>
        <w:t>作</w:t>
      </w:r>
      <w:r>
        <w:rPr>
          <w:rFonts w:hint="default" w:ascii="Times New Roman" w:hAnsi="Times New Roman" w:eastAsia="宋体" w:cs="Times New Roman"/>
          <w:color w:val="auto"/>
          <w:spacing w:val="0"/>
          <w:sz w:val="24"/>
          <w:szCs w:val="24"/>
          <w:highlight w:val="none"/>
        </w:rPr>
        <w:t>理想气体下的物料密度，kg/m</w:t>
      </w:r>
      <w:r>
        <w:rPr>
          <w:rFonts w:hint="default" w:ascii="Times New Roman" w:hAnsi="Times New Roman" w:eastAsia="宋体" w:cs="Times New Roman"/>
          <w:color w:val="auto"/>
          <w:spacing w:val="0"/>
          <w:sz w:val="24"/>
          <w:szCs w:val="24"/>
          <w:highlight w:val="none"/>
          <w:vertAlign w:val="superscript"/>
        </w:rPr>
        <w:t>3</w:t>
      </w:r>
      <w:r>
        <w:rPr>
          <w:rFonts w:hint="default" w:ascii="Times New Roman" w:hAnsi="Times New Roman" w:eastAsia="宋体" w:cs="Times New Roman"/>
          <w:color w:val="auto"/>
          <w:spacing w:val="0"/>
          <w:sz w:val="24"/>
          <w:szCs w:val="24"/>
          <w:highlight w:val="none"/>
        </w:rPr>
        <w:t>。</w:t>
      </w:r>
    </w:p>
    <w:p w14:paraId="2B88F279">
      <w:pPr>
        <w:keepNext w:val="0"/>
        <w:keepLines w:val="0"/>
        <w:pageBreakBefore w:val="0"/>
        <w:widowControl/>
        <w:kinsoku/>
        <w:wordWrap/>
        <w:overflowPunct/>
        <w:topLinePunct w:val="0"/>
        <w:autoSpaceDE/>
        <w:autoSpaceDN/>
        <w:bidi w:val="0"/>
        <w:adjustRightInd/>
        <w:snapToGrid w:val="0"/>
        <w:spacing w:line="480" w:lineRule="exact"/>
        <w:ind w:firstLine="480" w:firstLineChars="200"/>
        <w:jc w:val="left"/>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 xml:space="preserve">T </w:t>
      </w:r>
      <w:r>
        <w:rPr>
          <w:rFonts w:hint="eastAsia" w:ascii="Times New Roman" w:hAnsi="Times New Roman" w:eastAsia="宋体" w:cs="Times New Roman"/>
          <w:color w:val="auto"/>
          <w:sz w:val="24"/>
          <w:szCs w:val="24"/>
          <w:highlight w:val="none"/>
          <w:vertAlign w:val="subscript"/>
          <w:lang w:eastAsia="zh-CN"/>
        </w:rPr>
        <w:t>———</w:t>
      </w:r>
      <w:r>
        <w:rPr>
          <w:rFonts w:hint="default" w:ascii="Times New Roman" w:hAnsi="Times New Roman" w:eastAsia="宋体" w:cs="Times New Roman"/>
          <w:color w:val="auto"/>
          <w:spacing w:val="0"/>
          <w:sz w:val="24"/>
          <w:szCs w:val="24"/>
          <w:highlight w:val="none"/>
        </w:rPr>
        <w:t>实际装载温度，</w:t>
      </w:r>
      <w:r>
        <w:rPr>
          <w:rFonts w:hint="eastAsia" w:ascii="Times New Roman" w:hAnsi="Times New Roman" w:eastAsia="宋体" w:cs="Times New Roman"/>
          <w:color w:val="auto"/>
          <w:spacing w:val="0"/>
          <w:sz w:val="24"/>
          <w:szCs w:val="24"/>
          <w:highlight w:val="none"/>
          <w:lang w:val="en-US" w:eastAsia="zh-CN"/>
        </w:rPr>
        <w:t>20</w:t>
      </w:r>
      <w:r>
        <w:rPr>
          <w:rFonts w:hint="default" w:ascii="Times New Roman" w:hAnsi="Times New Roman" w:eastAsia="宋体" w:cs="Times New Roman"/>
          <w:color w:val="auto"/>
          <w:spacing w:val="0"/>
          <w:sz w:val="24"/>
          <w:szCs w:val="24"/>
          <w:highlight w:val="none"/>
        </w:rPr>
        <w:t>℃；</w:t>
      </w:r>
    </w:p>
    <w:p w14:paraId="1F538CDE">
      <w:pPr>
        <w:keepNext w:val="0"/>
        <w:keepLines w:val="0"/>
        <w:pageBreakBefore w:val="0"/>
        <w:widowControl/>
        <w:kinsoku/>
        <w:wordWrap/>
        <w:overflowPunct/>
        <w:topLinePunct w:val="0"/>
        <w:autoSpaceDE/>
        <w:autoSpaceDN/>
        <w:bidi w:val="0"/>
        <w:adjustRightInd/>
        <w:snapToGrid w:val="0"/>
        <w:spacing w:line="480" w:lineRule="exact"/>
        <w:ind w:firstLine="480" w:firstLineChars="200"/>
        <w:jc w:val="left"/>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P</w:t>
      </w:r>
      <w:r>
        <w:rPr>
          <w:rFonts w:hint="default" w:ascii="Times New Roman" w:hAnsi="Times New Roman" w:eastAsia="宋体" w:cs="Times New Roman"/>
          <w:color w:val="auto"/>
          <w:spacing w:val="0"/>
          <w:sz w:val="24"/>
          <w:szCs w:val="24"/>
          <w:highlight w:val="none"/>
          <w:vertAlign w:val="subscript"/>
        </w:rPr>
        <w:t>T</w:t>
      </w:r>
      <w:r>
        <w:rPr>
          <w:rFonts w:hint="default" w:ascii="Times New Roman" w:hAnsi="Times New Roman" w:eastAsia="宋体" w:cs="Times New Roman"/>
          <w:color w:val="auto"/>
          <w:spacing w:val="0"/>
          <w:sz w:val="24"/>
          <w:szCs w:val="24"/>
          <w:highlight w:val="none"/>
        </w:rPr>
        <w:t xml:space="preserve"> </w:t>
      </w:r>
      <w:r>
        <w:rPr>
          <w:rFonts w:hint="eastAsia" w:ascii="Times New Roman" w:hAnsi="Times New Roman" w:eastAsia="宋体" w:cs="Times New Roman"/>
          <w:color w:val="auto"/>
          <w:sz w:val="24"/>
          <w:szCs w:val="24"/>
          <w:highlight w:val="none"/>
          <w:vertAlign w:val="subscript"/>
          <w:lang w:eastAsia="zh-CN"/>
        </w:rPr>
        <w:t>———</w:t>
      </w:r>
      <w:r>
        <w:rPr>
          <w:rFonts w:hint="default" w:ascii="Times New Roman" w:hAnsi="Times New Roman" w:eastAsia="宋体" w:cs="Times New Roman"/>
          <w:color w:val="auto"/>
          <w:spacing w:val="0"/>
          <w:sz w:val="24"/>
          <w:szCs w:val="24"/>
          <w:highlight w:val="none"/>
        </w:rPr>
        <w:t>温度T时装载物料的真实蒸气压</w:t>
      </w:r>
      <w:r>
        <w:rPr>
          <w:rFonts w:hint="eastAsia" w:ascii="Times New Roman" w:hAnsi="Times New Roman" w:eastAsia="宋体" w:cs="Times New Roman"/>
          <w:color w:val="auto"/>
          <w:spacing w:val="0"/>
          <w:sz w:val="24"/>
          <w:szCs w:val="24"/>
          <w:highlight w:val="none"/>
          <w:lang w:eastAsia="zh-CN"/>
        </w:rPr>
        <w:t>，</w:t>
      </w:r>
      <w:r>
        <w:rPr>
          <w:rFonts w:hint="eastAsia" w:ascii="Times New Roman" w:hAnsi="Times New Roman" w:eastAsia="宋体" w:cs="Times New Roman"/>
          <w:color w:val="auto"/>
          <w:spacing w:val="0"/>
          <w:sz w:val="24"/>
          <w:szCs w:val="24"/>
          <w:highlight w:val="none"/>
          <w:lang w:val="en-US" w:eastAsia="zh-CN"/>
        </w:rPr>
        <w:t>k</w:t>
      </w:r>
      <w:r>
        <w:rPr>
          <w:rFonts w:hint="default" w:ascii="Times New Roman" w:hAnsi="Times New Roman" w:eastAsia="宋体" w:cs="Times New Roman"/>
          <w:color w:val="auto"/>
          <w:spacing w:val="0"/>
          <w:sz w:val="24"/>
          <w:szCs w:val="24"/>
          <w:highlight w:val="none"/>
        </w:rPr>
        <w:t>Pa；</w:t>
      </w:r>
    </w:p>
    <w:p w14:paraId="0CEC03CC">
      <w:pPr>
        <w:keepNext w:val="0"/>
        <w:keepLines w:val="0"/>
        <w:pageBreakBefore w:val="0"/>
        <w:widowControl/>
        <w:kinsoku/>
        <w:wordWrap/>
        <w:overflowPunct/>
        <w:topLinePunct w:val="0"/>
        <w:autoSpaceDE/>
        <w:autoSpaceDN/>
        <w:bidi w:val="0"/>
        <w:adjustRightInd/>
        <w:snapToGrid w:val="0"/>
        <w:spacing w:line="480" w:lineRule="exact"/>
        <w:ind w:firstLine="480" w:firstLineChars="200"/>
        <w:jc w:val="left"/>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 xml:space="preserve">M </w:t>
      </w:r>
      <w:r>
        <w:rPr>
          <w:rFonts w:hint="eastAsia" w:ascii="Times New Roman" w:hAnsi="Times New Roman" w:eastAsia="宋体" w:cs="Times New Roman"/>
          <w:color w:val="auto"/>
          <w:sz w:val="24"/>
          <w:szCs w:val="24"/>
          <w:highlight w:val="none"/>
          <w:vertAlign w:val="subscript"/>
          <w:lang w:eastAsia="zh-CN"/>
        </w:rPr>
        <w:t>———</w:t>
      </w:r>
      <w:r>
        <w:rPr>
          <w:rFonts w:hint="default" w:ascii="Times New Roman" w:hAnsi="Times New Roman" w:eastAsia="宋体" w:cs="Times New Roman"/>
          <w:color w:val="auto"/>
          <w:spacing w:val="0"/>
          <w:sz w:val="24"/>
          <w:szCs w:val="24"/>
          <w:highlight w:val="none"/>
        </w:rPr>
        <w:t>油气的分子量，</w:t>
      </w:r>
      <w:r>
        <w:rPr>
          <w:rFonts w:hint="eastAsia" w:cs="Times New Roman"/>
          <w:color w:val="auto"/>
          <w:spacing w:val="0"/>
          <w:sz w:val="24"/>
          <w:szCs w:val="24"/>
          <w:highlight w:val="none"/>
          <w:lang w:val="en-US" w:eastAsia="zh-CN"/>
        </w:rPr>
        <w:t>50</w:t>
      </w:r>
      <w:r>
        <w:rPr>
          <w:rFonts w:hint="default" w:ascii="Times New Roman" w:hAnsi="Times New Roman" w:eastAsia="宋体" w:cs="Times New Roman"/>
          <w:color w:val="auto"/>
          <w:spacing w:val="0"/>
          <w:sz w:val="24"/>
          <w:szCs w:val="24"/>
          <w:highlight w:val="none"/>
        </w:rPr>
        <w:t>g/mol；</w:t>
      </w:r>
    </w:p>
    <w:p w14:paraId="0387E710">
      <w:pPr>
        <w:keepNext w:val="0"/>
        <w:keepLines w:val="0"/>
        <w:pageBreakBefore w:val="0"/>
        <w:widowControl/>
        <w:kinsoku/>
        <w:wordWrap/>
        <w:overflowPunct/>
        <w:topLinePunct w:val="0"/>
        <w:autoSpaceDE/>
        <w:autoSpaceDN/>
        <w:bidi w:val="0"/>
        <w:adjustRightInd/>
        <w:snapToGrid w:val="0"/>
        <w:spacing w:line="480" w:lineRule="exact"/>
        <w:ind w:firstLine="480" w:firstLineChars="200"/>
        <w:jc w:val="left"/>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当装卸系统未设蒸气平衡/处理系统时，则总控制效率η总取0。当真空装载，保持真空度小于-0.37千帕；或罐车与油气收集系统法兰连接、硬管螺栓连接时，则收集效率η收集取100%。</w:t>
      </w:r>
    </w:p>
    <w:p w14:paraId="424F0B52">
      <w:pPr>
        <w:pStyle w:val="61"/>
        <w:bidi w:val="0"/>
        <w:jc w:val="both"/>
        <w:rPr>
          <w:rFonts w:hint="default"/>
          <w:color w:val="auto"/>
          <w:lang w:val="en-US" w:eastAsia="zh-CN"/>
        </w:rPr>
      </w:pPr>
      <w:r>
        <w:rPr>
          <w:rFonts w:hint="eastAsia"/>
          <w:color w:val="auto"/>
          <w:lang w:val="en-US" w:eastAsia="zh-CN"/>
        </w:rPr>
        <w:t>表3.3-11     公路、铁路装载损耗计算中饱和因子</w:t>
      </w:r>
    </w:p>
    <w:tbl>
      <w:tblPr>
        <w:tblStyle w:val="37"/>
        <w:tblW w:w="4999"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942"/>
        <w:gridCol w:w="2945"/>
        <w:gridCol w:w="2945"/>
      </w:tblGrid>
      <w:tr w14:paraId="43CBBC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332" w:type="pct"/>
            <w:gridSpan w:val="2"/>
            <w:tcBorders>
              <w:tl2br w:val="nil"/>
              <w:tr2bl w:val="nil"/>
            </w:tcBorders>
          </w:tcPr>
          <w:p w14:paraId="7C857BA9">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操作方式</w:t>
            </w:r>
          </w:p>
        </w:tc>
        <w:tc>
          <w:tcPr>
            <w:tcW w:w="1667" w:type="pct"/>
            <w:tcBorders>
              <w:tl2br w:val="nil"/>
              <w:tr2bl w:val="nil"/>
            </w:tcBorders>
          </w:tcPr>
          <w:p w14:paraId="32B9AF64">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饱和因子S</w:t>
            </w:r>
          </w:p>
        </w:tc>
      </w:tr>
      <w:tr w14:paraId="314028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5" w:type="pct"/>
            <w:vMerge w:val="restart"/>
            <w:tcBorders>
              <w:tl2br w:val="nil"/>
              <w:tr2bl w:val="nil"/>
            </w:tcBorders>
          </w:tcPr>
          <w:p w14:paraId="70011E0D">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底部/液下装载</w:t>
            </w:r>
          </w:p>
        </w:tc>
        <w:tc>
          <w:tcPr>
            <w:tcW w:w="1667" w:type="pct"/>
            <w:tcBorders>
              <w:tl2br w:val="nil"/>
              <w:tr2bl w:val="nil"/>
            </w:tcBorders>
          </w:tcPr>
          <w:p w14:paraId="595C3B88">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新罐车或清洗后的罐车</w:t>
            </w:r>
          </w:p>
        </w:tc>
        <w:tc>
          <w:tcPr>
            <w:tcW w:w="1667" w:type="pct"/>
            <w:tcBorders>
              <w:tl2br w:val="nil"/>
              <w:tr2bl w:val="nil"/>
            </w:tcBorders>
          </w:tcPr>
          <w:p w14:paraId="500F71AC">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0.5</w:t>
            </w:r>
          </w:p>
        </w:tc>
      </w:tr>
      <w:tr w14:paraId="696393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5" w:type="pct"/>
            <w:vMerge w:val="continue"/>
            <w:tcBorders>
              <w:tl2br w:val="nil"/>
              <w:tr2bl w:val="nil"/>
            </w:tcBorders>
          </w:tcPr>
          <w:p w14:paraId="3488BBEC">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667" w:type="pct"/>
            <w:tcBorders>
              <w:tl2br w:val="nil"/>
              <w:tr2bl w:val="nil"/>
            </w:tcBorders>
          </w:tcPr>
          <w:p w14:paraId="02A7F939">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正常工况（普通）的罐车</w:t>
            </w:r>
          </w:p>
        </w:tc>
        <w:tc>
          <w:tcPr>
            <w:tcW w:w="1667" w:type="pct"/>
            <w:tcBorders>
              <w:tl2br w:val="nil"/>
              <w:tr2bl w:val="nil"/>
            </w:tcBorders>
          </w:tcPr>
          <w:p w14:paraId="133A0CE2">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0.6</w:t>
            </w:r>
          </w:p>
        </w:tc>
      </w:tr>
      <w:tr w14:paraId="154F71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5" w:type="pct"/>
            <w:vMerge w:val="continue"/>
            <w:tcBorders>
              <w:tl2br w:val="nil"/>
              <w:tr2bl w:val="nil"/>
            </w:tcBorders>
          </w:tcPr>
          <w:p w14:paraId="0B49879F">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667" w:type="pct"/>
            <w:tcBorders>
              <w:tl2br w:val="nil"/>
              <w:tr2bl w:val="nil"/>
            </w:tcBorders>
          </w:tcPr>
          <w:p w14:paraId="418986FC">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上次卸车采用油气平衡装置</w:t>
            </w:r>
          </w:p>
        </w:tc>
        <w:tc>
          <w:tcPr>
            <w:tcW w:w="1667" w:type="pct"/>
            <w:tcBorders>
              <w:tl2br w:val="nil"/>
              <w:tr2bl w:val="nil"/>
            </w:tcBorders>
          </w:tcPr>
          <w:p w14:paraId="1FB27DC4">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1.0</w:t>
            </w:r>
          </w:p>
        </w:tc>
      </w:tr>
      <w:tr w14:paraId="545D2A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5" w:type="pct"/>
            <w:vMerge w:val="restart"/>
            <w:tcBorders>
              <w:tl2br w:val="nil"/>
              <w:tr2bl w:val="nil"/>
            </w:tcBorders>
          </w:tcPr>
          <w:p w14:paraId="2FA200AE">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喷溅式装载</w:t>
            </w:r>
          </w:p>
        </w:tc>
        <w:tc>
          <w:tcPr>
            <w:tcW w:w="1667" w:type="pct"/>
            <w:tcBorders>
              <w:tl2br w:val="nil"/>
              <w:tr2bl w:val="nil"/>
            </w:tcBorders>
            <w:vAlign w:val="top"/>
          </w:tcPr>
          <w:p w14:paraId="6BEC74EF">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新罐车或清洗后的罐车</w:t>
            </w:r>
          </w:p>
        </w:tc>
        <w:tc>
          <w:tcPr>
            <w:tcW w:w="1667" w:type="pct"/>
            <w:tcBorders>
              <w:tl2br w:val="nil"/>
              <w:tr2bl w:val="nil"/>
            </w:tcBorders>
          </w:tcPr>
          <w:p w14:paraId="445E156F">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1.45</w:t>
            </w:r>
          </w:p>
        </w:tc>
      </w:tr>
      <w:tr w14:paraId="331438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5" w:type="pct"/>
            <w:vMerge w:val="continue"/>
            <w:tcBorders>
              <w:tl2br w:val="nil"/>
              <w:tr2bl w:val="nil"/>
            </w:tcBorders>
          </w:tcPr>
          <w:p w14:paraId="15FD49E4">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667" w:type="pct"/>
            <w:tcBorders>
              <w:tl2br w:val="nil"/>
              <w:tr2bl w:val="nil"/>
            </w:tcBorders>
            <w:vAlign w:val="top"/>
          </w:tcPr>
          <w:p w14:paraId="02747824">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正常工况（普通）的罐车</w:t>
            </w:r>
          </w:p>
        </w:tc>
        <w:tc>
          <w:tcPr>
            <w:tcW w:w="1667" w:type="pct"/>
            <w:tcBorders>
              <w:tl2br w:val="nil"/>
              <w:tr2bl w:val="nil"/>
            </w:tcBorders>
          </w:tcPr>
          <w:p w14:paraId="7EAB069F">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1.45</w:t>
            </w:r>
          </w:p>
        </w:tc>
      </w:tr>
      <w:tr w14:paraId="4EED5C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5" w:type="pct"/>
            <w:vMerge w:val="continue"/>
            <w:tcBorders>
              <w:tl2br w:val="nil"/>
              <w:tr2bl w:val="nil"/>
            </w:tcBorders>
          </w:tcPr>
          <w:p w14:paraId="48EA4D69">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667" w:type="pct"/>
            <w:tcBorders>
              <w:tl2br w:val="nil"/>
              <w:tr2bl w:val="nil"/>
            </w:tcBorders>
            <w:vAlign w:val="top"/>
          </w:tcPr>
          <w:p w14:paraId="276CB9A1">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上次卸车采用油气平衡装置</w:t>
            </w:r>
          </w:p>
        </w:tc>
        <w:tc>
          <w:tcPr>
            <w:tcW w:w="1667" w:type="pct"/>
            <w:tcBorders>
              <w:tl2br w:val="nil"/>
              <w:tr2bl w:val="nil"/>
            </w:tcBorders>
          </w:tcPr>
          <w:p w14:paraId="5E27D1F9">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1.0</w:t>
            </w:r>
          </w:p>
        </w:tc>
      </w:tr>
    </w:tbl>
    <w:p w14:paraId="0AF94E8F">
      <w:pPr>
        <w:spacing w:line="360" w:lineRule="auto"/>
        <w:ind w:firstLine="482"/>
        <w:rPr>
          <w:rFonts w:hint="default" w:eastAsia="宋体"/>
          <w:color w:val="auto"/>
          <w:sz w:val="24"/>
          <w:szCs w:val="24"/>
          <w:highlight w:val="none"/>
          <w:lang w:val="en-US" w:eastAsia="zh-CN"/>
        </w:rPr>
      </w:pPr>
      <w:r>
        <w:rPr>
          <w:b w:val="0"/>
          <w:bCs w:val="0"/>
          <w:color w:val="auto"/>
          <w:sz w:val="24"/>
          <w:szCs w:val="24"/>
          <w:highlight w:val="none"/>
        </w:rPr>
        <w:t>气相平衡的原理：</w:t>
      </w:r>
      <w:r>
        <w:rPr>
          <w:color w:val="auto"/>
          <w:sz w:val="24"/>
          <w:szCs w:val="24"/>
          <w:highlight w:val="none"/>
        </w:rPr>
        <w:t>利用原料在流动过程中产生的微压进行有效的</w:t>
      </w:r>
      <w:r>
        <w:rPr>
          <w:rFonts w:hint="eastAsia"/>
          <w:color w:val="auto"/>
          <w:sz w:val="24"/>
          <w:szCs w:val="24"/>
          <w:highlight w:val="none"/>
          <w:lang w:eastAsia="zh-CN"/>
        </w:rPr>
        <w:t>气相</w:t>
      </w:r>
      <w:r>
        <w:rPr>
          <w:color w:val="auto"/>
          <w:sz w:val="24"/>
          <w:szCs w:val="24"/>
          <w:highlight w:val="none"/>
        </w:rPr>
        <w:t>平衡控制，</w:t>
      </w:r>
      <w:bookmarkStart w:id="376" w:name="OLE_LINK316"/>
      <w:r>
        <w:rPr>
          <w:color w:val="auto"/>
          <w:sz w:val="24"/>
          <w:szCs w:val="24"/>
          <w:highlight w:val="none"/>
        </w:rPr>
        <w:t>从储罐到槽车做到呼吸尾气闭路循环，等压装车，可以极大</w:t>
      </w:r>
      <w:r>
        <w:rPr>
          <w:rFonts w:hint="eastAsia"/>
          <w:color w:val="auto"/>
          <w:sz w:val="24"/>
          <w:szCs w:val="24"/>
          <w:highlight w:val="none"/>
          <w:lang w:eastAsia="zh-CN"/>
        </w:rPr>
        <w:t>地</w:t>
      </w:r>
      <w:r>
        <w:rPr>
          <w:color w:val="auto"/>
          <w:sz w:val="24"/>
          <w:szCs w:val="24"/>
          <w:highlight w:val="none"/>
        </w:rPr>
        <w:t>减少无组织VOCs的排放量</w:t>
      </w:r>
      <w:bookmarkEnd w:id="376"/>
      <w:r>
        <w:rPr>
          <w:rFonts w:hint="eastAsia"/>
          <w:color w:val="auto"/>
          <w:sz w:val="24"/>
          <w:szCs w:val="24"/>
          <w:highlight w:val="none"/>
          <w:lang w:eastAsia="zh-CN"/>
        </w:rPr>
        <w:t>，</w:t>
      </w:r>
      <w:r>
        <w:rPr>
          <w:rFonts w:hint="eastAsia"/>
          <w:color w:val="auto"/>
          <w:sz w:val="24"/>
          <w:szCs w:val="24"/>
          <w:highlight w:val="none"/>
          <w:lang w:val="en-US" w:eastAsia="zh-CN"/>
        </w:rPr>
        <w:t>可减少排放量的90%以上。</w:t>
      </w:r>
    </w:p>
    <w:p w14:paraId="7F527AE1">
      <w:pPr>
        <w:ind w:firstLine="480"/>
        <w:rPr>
          <w:color w:val="auto"/>
          <w:highlight w:val="none"/>
        </w:rPr>
      </w:pPr>
    </w:p>
    <w:p w14:paraId="643382DA">
      <w:pPr>
        <w:ind w:firstLine="480"/>
        <w:rPr>
          <w:color w:val="auto"/>
          <w:highlight w:val="none"/>
        </w:rPr>
      </w:pPr>
    </w:p>
    <w:p w14:paraId="16F4916C">
      <w:pPr>
        <w:ind w:firstLine="480"/>
        <w:rPr>
          <w:color w:val="auto"/>
          <w:highlight w:val="none"/>
        </w:rPr>
      </w:pPr>
    </w:p>
    <w:p w14:paraId="5D0BCFAA">
      <w:pPr>
        <w:ind w:firstLine="480"/>
        <w:rPr>
          <w:color w:val="auto"/>
          <w:highlight w:val="none"/>
        </w:rPr>
      </w:pPr>
    </w:p>
    <w:p w14:paraId="1838CA96">
      <w:pPr>
        <w:ind w:firstLine="480"/>
        <w:rPr>
          <w:color w:val="auto"/>
          <w:highlight w:val="none"/>
        </w:rPr>
      </w:pPr>
    </w:p>
    <w:p w14:paraId="0E0CC1CC">
      <w:pPr>
        <w:ind w:firstLine="480"/>
        <w:rPr>
          <w:color w:val="auto"/>
          <w:highlight w:val="none"/>
        </w:rPr>
      </w:pPr>
    </w:p>
    <w:p w14:paraId="43931558">
      <w:pPr>
        <w:ind w:firstLine="480"/>
        <w:rPr>
          <w:color w:val="auto"/>
          <w:highlight w:val="none"/>
        </w:rPr>
      </w:pPr>
    </w:p>
    <w:p w14:paraId="0E1D17B2">
      <w:pPr>
        <w:ind w:firstLine="422"/>
        <w:jc w:val="center"/>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图</w:t>
      </w:r>
      <w:r>
        <w:rPr>
          <w:rFonts w:hint="eastAsia" w:ascii="黑体" w:hAnsi="黑体" w:eastAsia="黑体" w:cs="黑体"/>
          <w:bCs/>
          <w:color w:val="auto"/>
          <w:sz w:val="24"/>
          <w:szCs w:val="24"/>
          <w:highlight w:val="none"/>
          <w:lang w:val="en-US" w:eastAsia="zh-CN"/>
        </w:rPr>
        <w:t>3.3-4</w:t>
      </w:r>
      <w:r>
        <w:rPr>
          <w:rFonts w:hint="eastAsia" w:ascii="黑体" w:hAnsi="黑体" w:eastAsia="黑体" w:cs="黑体"/>
          <w:bCs/>
          <w:color w:val="auto"/>
          <w:sz w:val="24"/>
          <w:szCs w:val="24"/>
          <w:highlight w:val="none"/>
        </w:rPr>
        <w:t xml:space="preserve">   气相平衡原理示意图</w:t>
      </w:r>
    </w:p>
    <w:p w14:paraId="499B0C13">
      <w:pPr>
        <w:keepNext w:val="0"/>
        <w:keepLines w:val="0"/>
        <w:pageBreakBefore w:val="0"/>
        <w:widowControl/>
        <w:kinsoku/>
        <w:wordWrap/>
        <w:overflowPunct/>
        <w:topLinePunct w:val="0"/>
        <w:autoSpaceDE/>
        <w:autoSpaceDN/>
        <w:bidi w:val="0"/>
        <w:adjustRightInd/>
        <w:snapToGrid w:val="0"/>
        <w:spacing w:line="48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pacing w:val="0"/>
          <w:sz w:val="24"/>
          <w:szCs w:val="24"/>
          <w:highlight w:val="none"/>
        </w:rPr>
        <w:t>通过计算可知，</w:t>
      </w:r>
      <w:r>
        <w:rPr>
          <w:rFonts w:hint="eastAsia" w:cs="Times New Roman"/>
          <w:color w:val="auto"/>
          <w:spacing w:val="0"/>
          <w:sz w:val="24"/>
          <w:szCs w:val="24"/>
          <w:highlight w:val="none"/>
          <w:lang w:val="en-US" w:eastAsia="zh-CN"/>
        </w:rPr>
        <w:t>本工程装卸车过程挥发损失</w:t>
      </w:r>
      <w:r>
        <w:rPr>
          <w:rFonts w:hint="default" w:ascii="Times New Roman" w:hAnsi="Times New Roman" w:eastAsia="宋体" w:cs="Times New Roman"/>
          <w:color w:val="auto"/>
          <w:spacing w:val="0"/>
          <w:sz w:val="24"/>
          <w:szCs w:val="24"/>
          <w:highlight w:val="none"/>
        </w:rPr>
        <w:t>非甲烷总烃排放量为</w:t>
      </w:r>
      <w:r>
        <w:rPr>
          <w:rFonts w:hint="eastAsia" w:cs="Times New Roman"/>
          <w:color w:val="auto"/>
          <w:spacing w:val="0"/>
          <w:sz w:val="24"/>
          <w:szCs w:val="24"/>
          <w:highlight w:val="none"/>
          <w:lang w:val="en-US" w:eastAsia="zh-CN"/>
        </w:rPr>
        <w:t>1.49</w:t>
      </w:r>
      <w:r>
        <w:rPr>
          <w:rFonts w:hint="default" w:ascii="Times New Roman" w:hAnsi="Times New Roman" w:eastAsia="宋体" w:cs="Times New Roman"/>
          <w:color w:val="auto"/>
          <w:spacing w:val="0"/>
          <w:sz w:val="24"/>
          <w:szCs w:val="24"/>
          <w:highlight w:val="none"/>
        </w:rPr>
        <w:t>t/a</w:t>
      </w:r>
      <w:r>
        <w:rPr>
          <w:rFonts w:hint="default" w:ascii="Times New Roman" w:hAnsi="Times New Roman" w:eastAsia="宋体" w:cs="Times New Roman"/>
          <w:color w:val="auto"/>
          <w:sz w:val="24"/>
          <w:szCs w:val="24"/>
          <w:highlight w:val="none"/>
        </w:rPr>
        <w:t>。</w:t>
      </w:r>
    </w:p>
    <w:p w14:paraId="6BB2688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lang w:val="en-US" w:eastAsia="zh-CN"/>
        </w:rPr>
      </w:pPr>
      <w:bookmarkStart w:id="377" w:name="_Toc17544"/>
      <w:r>
        <w:rPr>
          <w:rFonts w:hint="eastAsia" w:ascii="宋体" w:hAnsi="宋体" w:cs="宋体"/>
          <w:color w:val="auto"/>
          <w:sz w:val="24"/>
          <w:szCs w:val="24"/>
          <w:highlight w:val="none"/>
          <w:lang w:val="en-US" w:eastAsia="zh-CN"/>
        </w:rPr>
        <w:fldChar w:fldCharType="begin"/>
      </w:r>
      <w:r>
        <w:rPr>
          <w:rFonts w:hint="eastAsia" w:ascii="宋体" w:hAnsi="宋体" w:cs="宋体"/>
          <w:color w:val="auto"/>
          <w:sz w:val="24"/>
          <w:szCs w:val="24"/>
          <w:highlight w:val="none"/>
          <w:lang w:val="en-US" w:eastAsia="zh-CN"/>
        </w:rPr>
        <w:instrText xml:space="preserve"> = 3 \* GB3 \* MERGEFORMAT </w:instrText>
      </w:r>
      <w:r>
        <w:rPr>
          <w:rFonts w:hint="eastAsia" w:ascii="宋体" w:hAnsi="宋体" w:cs="宋体"/>
          <w:color w:val="auto"/>
          <w:sz w:val="24"/>
          <w:szCs w:val="24"/>
          <w:highlight w:val="none"/>
          <w:lang w:val="en-US" w:eastAsia="zh-CN"/>
        </w:rPr>
        <w:fldChar w:fldCharType="separate"/>
      </w:r>
      <w:r>
        <w:rPr>
          <w:color w:val="auto"/>
          <w:sz w:val="24"/>
          <w:szCs w:val="24"/>
          <w:highlight w:val="none"/>
        </w:rPr>
        <w:t>③</w:t>
      </w:r>
      <w:r>
        <w:rPr>
          <w:rFonts w:hint="eastAsia" w:ascii="宋体" w:hAnsi="宋体" w:cs="宋体"/>
          <w:color w:val="auto"/>
          <w:sz w:val="24"/>
          <w:szCs w:val="24"/>
          <w:highlight w:val="none"/>
          <w:lang w:val="en-US" w:eastAsia="zh-CN"/>
        </w:rPr>
        <w:fldChar w:fldCharType="end"/>
      </w:r>
      <w:bookmarkStart w:id="378" w:name="OLE_LINK22"/>
      <w:bookmarkStart w:id="379" w:name="OLE_LINK7"/>
      <w:r>
        <w:rPr>
          <w:rFonts w:hint="default" w:ascii="Times New Roman" w:hAnsi="Times New Roman" w:eastAsia="宋体" w:cs="Times New Roman"/>
          <w:color w:val="auto"/>
          <w:sz w:val="24"/>
          <w:szCs w:val="24"/>
          <w:lang w:val="en-US" w:eastAsia="zh-CN"/>
        </w:rPr>
        <w:t>甲醇加注撬</w:t>
      </w:r>
      <w:bookmarkEnd w:id="378"/>
      <w:r>
        <w:rPr>
          <w:rFonts w:hint="default" w:ascii="Times New Roman" w:hAnsi="Times New Roman" w:eastAsia="宋体" w:cs="Times New Roman"/>
          <w:color w:val="auto"/>
          <w:sz w:val="24"/>
          <w:szCs w:val="24"/>
          <w:lang w:val="en-US" w:eastAsia="zh-CN"/>
        </w:rPr>
        <w:t>无组织挥发</w:t>
      </w:r>
    </w:p>
    <w:p w14:paraId="384293A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auto"/>
          <w:sz w:val="24"/>
          <w:szCs w:val="24"/>
          <w:highlight w:val="none"/>
        </w:rPr>
      </w:pPr>
      <w:bookmarkStart w:id="380" w:name="OLE_LINK12"/>
      <w:r>
        <w:rPr>
          <w:rFonts w:hint="eastAsia" w:cs="Times New Roman"/>
          <w:color w:val="auto"/>
          <w:sz w:val="24"/>
          <w:szCs w:val="24"/>
          <w:highlight w:val="none"/>
          <w:lang w:val="en-US" w:eastAsia="zh-CN"/>
        </w:rPr>
        <w:t>由于本方案天然气集输压力低，输送距离长，为防止在集输过程中生成水合物，常采用的工艺有注醇工艺</w:t>
      </w:r>
      <w:bookmarkEnd w:id="380"/>
      <w:bookmarkStart w:id="381" w:name="OLE_LINK13"/>
      <w:bookmarkStart w:id="382" w:name="OLE_LINK14"/>
      <w:r>
        <w:rPr>
          <w:rFonts w:hint="eastAsia" w:cs="Times New Roman"/>
          <w:color w:val="auto"/>
          <w:sz w:val="24"/>
          <w:szCs w:val="24"/>
          <w:highlight w:val="none"/>
          <w:lang w:val="en-US" w:eastAsia="zh-CN"/>
        </w:rPr>
        <w:t>，</w:t>
      </w:r>
      <w:bookmarkEnd w:id="381"/>
      <w:bookmarkEnd w:id="382"/>
      <w:r>
        <w:rPr>
          <w:rFonts w:hint="eastAsia" w:cs="Times New Roman"/>
          <w:color w:val="auto"/>
          <w:sz w:val="24"/>
          <w:szCs w:val="24"/>
          <w:highlight w:val="none"/>
          <w:lang w:val="en-US" w:eastAsia="zh-CN"/>
        </w:rPr>
        <w:t>注醇工艺是指向天然气中注入一定量的水合物抑制剂，降低水合物形成温度。本工程采用常用的抑制剂甲醇，</w:t>
      </w:r>
      <w:bookmarkStart w:id="383" w:name="OLE_LINK15"/>
      <w:bookmarkStart w:id="384" w:name="OLE_LINK67"/>
      <w:r>
        <w:rPr>
          <w:rFonts w:hint="eastAsia" w:cs="Times New Roman"/>
          <w:color w:val="auto"/>
          <w:sz w:val="24"/>
          <w:szCs w:val="24"/>
          <w:highlight w:val="none"/>
          <w:lang w:val="en-US" w:eastAsia="zh-CN"/>
        </w:rPr>
        <w:t>在雄探1试采点建设有甲醇加注撬（</w:t>
      </w:r>
      <w:bookmarkStart w:id="385" w:name="OLE_LINK11"/>
      <w:r>
        <w:rPr>
          <w:rFonts w:hint="eastAsia" w:cs="Times New Roman"/>
          <w:color w:val="auto"/>
          <w:sz w:val="24"/>
          <w:szCs w:val="24"/>
          <w:highlight w:val="none"/>
          <w:lang w:val="en-US" w:eastAsia="zh-CN"/>
        </w:rPr>
        <w:t>25L/h，16MP</w:t>
      </w:r>
      <w:bookmarkStart w:id="386" w:name="OLE_LINK10"/>
      <w:r>
        <w:rPr>
          <w:rFonts w:hint="eastAsia" w:cs="Times New Roman"/>
          <w:color w:val="auto"/>
          <w:sz w:val="24"/>
          <w:szCs w:val="24"/>
          <w:highlight w:val="none"/>
          <w:lang w:val="en-US" w:eastAsia="zh-CN"/>
        </w:rPr>
        <w:t>a</w:t>
      </w:r>
      <w:bookmarkEnd w:id="385"/>
      <w:bookmarkEnd w:id="386"/>
      <w:r>
        <w:rPr>
          <w:rFonts w:hint="eastAsia" w:cs="Times New Roman"/>
          <w:color w:val="auto"/>
          <w:sz w:val="24"/>
          <w:szCs w:val="24"/>
          <w:highlight w:val="none"/>
          <w:lang w:val="en-US" w:eastAsia="zh-CN"/>
        </w:rPr>
        <w:t>，3m</w:t>
      </w:r>
      <w:bookmarkStart w:id="387" w:name="OLE_LINK18"/>
      <w:r>
        <w:rPr>
          <w:rFonts w:hint="eastAsia" w:cs="Times New Roman"/>
          <w:color w:val="auto"/>
          <w:sz w:val="24"/>
          <w:szCs w:val="24"/>
          <w:highlight w:val="none"/>
          <w:vertAlign w:val="superscript"/>
          <w:lang w:val="en-US" w:eastAsia="zh-CN"/>
        </w:rPr>
        <w:t>3</w:t>
      </w:r>
      <w:bookmarkEnd w:id="387"/>
      <w:r>
        <w:rPr>
          <w:rFonts w:hint="eastAsia" w:cs="Times New Roman"/>
          <w:color w:val="auto"/>
          <w:sz w:val="24"/>
          <w:szCs w:val="24"/>
          <w:highlight w:val="none"/>
          <w:lang w:val="en-US" w:eastAsia="zh-CN"/>
        </w:rPr>
        <w:t>）</w:t>
      </w:r>
      <w:bookmarkEnd w:id="383"/>
      <w:bookmarkStart w:id="388" w:name="OLE_LINK16"/>
      <w:bookmarkStart w:id="389" w:name="OLE_LINK298"/>
      <w:r>
        <w:rPr>
          <w:rFonts w:hint="eastAsia" w:cs="Times New Roman"/>
          <w:color w:val="auto"/>
          <w:sz w:val="24"/>
          <w:szCs w:val="24"/>
          <w:highlight w:val="none"/>
          <w:lang w:val="en-US" w:eastAsia="zh-CN"/>
        </w:rPr>
        <w:t>，</w:t>
      </w:r>
      <w:bookmarkEnd w:id="384"/>
      <w:bookmarkEnd w:id="388"/>
      <w:bookmarkStart w:id="390" w:name="OLE_LINK17"/>
      <w:bookmarkStart w:id="391" w:name="OLE_LINK20"/>
      <w:r>
        <w:rPr>
          <w:rFonts w:hint="eastAsia" w:ascii="Times New Roman" w:hAnsi="Times New Roman" w:eastAsia="宋体" w:cs="Times New Roman"/>
          <w:color w:val="auto"/>
          <w:sz w:val="24"/>
          <w:szCs w:val="24"/>
          <w:highlight w:val="none"/>
        </w:rPr>
        <w:t>甲醇密度为</w:t>
      </w:r>
      <w:bookmarkStart w:id="392" w:name="OLE_LINK70"/>
      <w:r>
        <w:rPr>
          <w:rFonts w:hint="eastAsia" w:cs="Times New Roman"/>
          <w:color w:val="auto"/>
          <w:sz w:val="24"/>
          <w:szCs w:val="24"/>
          <w:highlight w:val="none"/>
          <w:lang w:val="en-US" w:eastAsia="zh-CN"/>
        </w:rPr>
        <w:t>778.6</w:t>
      </w:r>
      <w:r>
        <w:rPr>
          <w:rFonts w:hint="eastAsia" w:ascii="Times New Roman" w:hAnsi="Times New Roman" w:eastAsia="宋体" w:cs="Times New Roman"/>
          <w:color w:val="auto"/>
          <w:sz w:val="24"/>
          <w:szCs w:val="24"/>
          <w:highlight w:val="none"/>
        </w:rPr>
        <w:t>kg/m</w:t>
      </w:r>
      <w:r>
        <w:rPr>
          <w:rFonts w:hint="eastAsia" w:ascii="Times New Roman" w:hAnsi="Times New Roman" w:eastAsia="宋体" w:cs="Times New Roman"/>
          <w:color w:val="auto"/>
          <w:sz w:val="24"/>
          <w:szCs w:val="24"/>
          <w:highlight w:val="none"/>
          <w:vertAlign w:val="superscript"/>
        </w:rPr>
        <w:t>3</w:t>
      </w:r>
      <w:bookmarkEnd w:id="392"/>
      <w:r>
        <w:rPr>
          <w:rFonts w:hint="eastAsia"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雄探1试采点内甲醇最大</w:t>
      </w:r>
      <w:bookmarkEnd w:id="390"/>
      <w:r>
        <w:rPr>
          <w:rFonts w:hint="eastAsia" w:cs="Times New Roman"/>
          <w:color w:val="auto"/>
          <w:sz w:val="24"/>
          <w:szCs w:val="24"/>
          <w:highlight w:val="none"/>
          <w:lang w:val="en-US" w:eastAsia="zh-CN"/>
        </w:rPr>
        <w:t>储量为2.335t。</w:t>
      </w:r>
      <w:bookmarkEnd w:id="391"/>
      <w:bookmarkStart w:id="393" w:name="OLE_LINK19"/>
      <w:r>
        <w:rPr>
          <w:rFonts w:hint="eastAsia" w:cs="Times New Roman"/>
          <w:color w:val="auto"/>
          <w:sz w:val="24"/>
          <w:szCs w:val="24"/>
          <w:highlight w:val="none"/>
          <w:lang w:val="en-US" w:eastAsia="zh-CN"/>
        </w:rPr>
        <w:t>甲醇储罐为固定顶罐，</w:t>
      </w:r>
      <w:bookmarkEnd w:id="393"/>
      <w:r>
        <w:rPr>
          <w:rFonts w:hint="eastAsia" w:ascii="Times New Roman" w:hAnsi="Times New Roman" w:eastAsia="宋体" w:cs="Times New Roman"/>
          <w:color w:val="auto"/>
          <w:sz w:val="24"/>
          <w:szCs w:val="24"/>
          <w:highlight w:val="none"/>
        </w:rPr>
        <w:t>甲醇加注</w:t>
      </w:r>
      <w:bookmarkStart w:id="394" w:name="OLE_LINK24"/>
      <w:bookmarkStart w:id="395" w:name="OLE_LINK59"/>
      <w:r>
        <w:rPr>
          <w:rFonts w:hint="eastAsia" w:ascii="Times New Roman" w:hAnsi="Times New Roman" w:eastAsia="宋体" w:cs="Times New Roman"/>
          <w:color w:val="auto"/>
          <w:sz w:val="24"/>
          <w:szCs w:val="24"/>
          <w:highlight w:val="none"/>
        </w:rPr>
        <w:t>间歇运行</w:t>
      </w:r>
      <w:bookmarkEnd w:id="394"/>
      <w:r>
        <w:rPr>
          <w:rFonts w:hint="eastAsia" w:ascii="Times New Roman" w:hAnsi="Times New Roman" w:eastAsia="宋体" w:cs="Times New Roman"/>
          <w:color w:val="auto"/>
          <w:sz w:val="24"/>
          <w:szCs w:val="24"/>
          <w:highlight w:val="none"/>
        </w:rPr>
        <w:t>，</w:t>
      </w:r>
      <w:bookmarkEnd w:id="395"/>
      <w:r>
        <w:rPr>
          <w:rFonts w:hint="eastAsia" w:ascii="Times New Roman" w:hAnsi="Times New Roman" w:eastAsia="宋体" w:cs="Times New Roman"/>
          <w:color w:val="auto"/>
          <w:sz w:val="24"/>
          <w:szCs w:val="24"/>
          <w:highlight w:val="none"/>
        </w:rPr>
        <w:t>年运行时间较短，用于系统冻堵时解堵；同时甲醇储罐使用天然气进行密封，防止甲醇挥发，因此甲醇的挥发量极小，基本可以忽略不计。</w:t>
      </w:r>
      <w:bookmarkEnd w:id="389"/>
    </w:p>
    <w:bookmarkEnd w:id="379"/>
    <w:p w14:paraId="79F0ACA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综上所述，</w:t>
      </w:r>
      <w:r>
        <w:rPr>
          <w:rFonts w:hint="eastAsia" w:ascii="Times New Roman" w:hAnsi="Times New Roman" w:eastAsia="宋体" w:cs="Times New Roman"/>
          <w:color w:val="auto"/>
          <w:sz w:val="24"/>
          <w:szCs w:val="24"/>
          <w:highlight w:val="none"/>
        </w:rPr>
        <w:t>本工程运营期间油气集输过程中产生一定量的烃类、天然气放空火炬</w:t>
      </w:r>
      <w:r>
        <w:rPr>
          <w:rFonts w:hint="eastAsia" w:cs="Times New Roman"/>
          <w:color w:val="auto"/>
          <w:sz w:val="24"/>
          <w:szCs w:val="24"/>
          <w:highlight w:val="none"/>
          <w:lang w:val="en-US" w:eastAsia="zh-CN"/>
        </w:rPr>
        <w:t>产生的无组织VOCs排放量汇总见表3.3-12</w:t>
      </w:r>
      <w:r>
        <w:rPr>
          <w:rFonts w:hint="eastAsia" w:ascii="Times New Roman" w:hAnsi="Times New Roman" w:eastAsia="宋体" w:cs="Times New Roman"/>
          <w:color w:val="auto"/>
          <w:sz w:val="24"/>
          <w:szCs w:val="24"/>
          <w:highlight w:val="none"/>
        </w:rPr>
        <w:t>。</w:t>
      </w:r>
    </w:p>
    <w:p w14:paraId="68B0AB4D">
      <w:pPr>
        <w:pStyle w:val="61"/>
        <w:bidi w:val="0"/>
        <w:jc w:val="both"/>
        <w:rPr>
          <w:rFonts w:hint="default"/>
          <w:color w:val="auto"/>
          <w:lang w:val="en-US" w:eastAsia="zh-CN"/>
        </w:rPr>
      </w:pPr>
      <w:r>
        <w:rPr>
          <w:rFonts w:hint="default"/>
          <w:color w:val="auto"/>
          <w:lang w:val="en-US" w:eastAsia="zh-CN"/>
        </w:rPr>
        <w:t>表</w:t>
      </w:r>
      <w:r>
        <w:rPr>
          <w:rFonts w:hint="eastAsia"/>
          <w:color w:val="auto"/>
          <w:lang w:val="en-US" w:eastAsia="zh-CN"/>
        </w:rPr>
        <w:t>3.3-12</w:t>
      </w:r>
      <w:r>
        <w:rPr>
          <w:rFonts w:hint="default"/>
          <w:color w:val="auto"/>
          <w:lang w:val="en-US" w:eastAsia="zh-CN"/>
        </w:rPr>
        <w:t xml:space="preserve"> 本工程无组织VOCs排放量汇总一览表</w:t>
      </w:r>
    </w:p>
    <w:tbl>
      <w:tblPr>
        <w:tblStyle w:val="36"/>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022"/>
        <w:gridCol w:w="3253"/>
        <w:gridCol w:w="2446"/>
        <w:gridCol w:w="1924"/>
      </w:tblGrid>
      <w:tr w14:paraId="017164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39" w:hRule="atLeast"/>
        </w:trPr>
        <w:tc>
          <w:tcPr>
            <w:tcW w:w="591" w:type="pct"/>
            <w:tcBorders>
              <w:tl2br w:val="nil"/>
              <w:tr2bl w:val="nil"/>
            </w:tcBorders>
            <w:noWrap w:val="0"/>
            <w:vAlign w:val="top"/>
          </w:tcPr>
          <w:p w14:paraId="435F680B">
            <w:pPr>
              <w:pStyle w:val="82"/>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881" w:type="pct"/>
            <w:tcBorders>
              <w:tl2br w:val="nil"/>
              <w:tr2bl w:val="nil"/>
            </w:tcBorders>
            <w:noWrap w:val="0"/>
            <w:vAlign w:val="top"/>
          </w:tcPr>
          <w:p w14:paraId="47A7D152">
            <w:pPr>
              <w:pStyle w:val="82"/>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源项</w:t>
            </w:r>
          </w:p>
        </w:tc>
        <w:tc>
          <w:tcPr>
            <w:tcW w:w="1414" w:type="pct"/>
            <w:tcBorders>
              <w:tl2br w:val="nil"/>
              <w:tr2bl w:val="nil"/>
            </w:tcBorders>
            <w:noWrap w:val="0"/>
            <w:vAlign w:val="top"/>
          </w:tcPr>
          <w:p w14:paraId="12D2AB9E">
            <w:pPr>
              <w:pStyle w:val="82"/>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排放量（t/a）</w:t>
            </w:r>
          </w:p>
        </w:tc>
        <w:tc>
          <w:tcPr>
            <w:tcW w:w="1112" w:type="pct"/>
            <w:tcBorders>
              <w:tl2br w:val="nil"/>
              <w:tr2bl w:val="nil"/>
            </w:tcBorders>
            <w:noWrap w:val="0"/>
            <w:vAlign w:val="top"/>
          </w:tcPr>
          <w:p w14:paraId="0B7698AC">
            <w:pPr>
              <w:pStyle w:val="82"/>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备注</w:t>
            </w:r>
          </w:p>
        </w:tc>
      </w:tr>
      <w:tr w14:paraId="4CF3C4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591" w:type="pct"/>
            <w:tcBorders>
              <w:tl2br w:val="nil"/>
              <w:tr2bl w:val="nil"/>
            </w:tcBorders>
            <w:noWrap w:val="0"/>
            <w:vAlign w:val="top"/>
          </w:tcPr>
          <w:p w14:paraId="133E857C">
            <w:pPr>
              <w:pStyle w:val="82"/>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1</w:t>
            </w:r>
          </w:p>
        </w:tc>
        <w:tc>
          <w:tcPr>
            <w:tcW w:w="1881" w:type="pct"/>
            <w:tcBorders>
              <w:tl2br w:val="nil"/>
              <w:tr2bl w:val="nil"/>
            </w:tcBorders>
            <w:noWrap w:val="0"/>
            <w:vAlign w:val="top"/>
          </w:tcPr>
          <w:p w14:paraId="7DB8714A">
            <w:pPr>
              <w:pStyle w:val="82"/>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油气集输环节无组织排放</w:t>
            </w:r>
          </w:p>
        </w:tc>
        <w:tc>
          <w:tcPr>
            <w:tcW w:w="1414" w:type="pct"/>
            <w:tcBorders>
              <w:tl2br w:val="nil"/>
              <w:tr2bl w:val="nil"/>
            </w:tcBorders>
            <w:noWrap w:val="0"/>
            <w:vAlign w:val="top"/>
          </w:tcPr>
          <w:p w14:paraId="58B87B3F">
            <w:pPr>
              <w:pStyle w:val="82"/>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0.5367</w:t>
            </w:r>
          </w:p>
        </w:tc>
        <w:tc>
          <w:tcPr>
            <w:tcW w:w="1112" w:type="pct"/>
            <w:tcBorders>
              <w:tl2br w:val="nil"/>
              <w:tr2bl w:val="nil"/>
            </w:tcBorders>
            <w:noWrap w:val="0"/>
            <w:vAlign w:val="top"/>
          </w:tcPr>
          <w:p w14:paraId="4F3BC8C2">
            <w:pPr>
              <w:pStyle w:val="82"/>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p>
        </w:tc>
      </w:tr>
      <w:tr w14:paraId="3D6BC2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591" w:type="pct"/>
            <w:tcBorders>
              <w:tl2br w:val="nil"/>
              <w:tr2bl w:val="nil"/>
            </w:tcBorders>
            <w:noWrap w:val="0"/>
            <w:vAlign w:val="top"/>
          </w:tcPr>
          <w:p w14:paraId="285069EE">
            <w:pPr>
              <w:pStyle w:val="82"/>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2</w:t>
            </w:r>
          </w:p>
        </w:tc>
        <w:tc>
          <w:tcPr>
            <w:tcW w:w="1881" w:type="pct"/>
            <w:tcBorders>
              <w:tl2br w:val="nil"/>
              <w:tr2bl w:val="nil"/>
            </w:tcBorders>
            <w:noWrap w:val="0"/>
            <w:vAlign w:val="top"/>
          </w:tcPr>
          <w:p w14:paraId="1D3DFD1E">
            <w:pPr>
              <w:pStyle w:val="82"/>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储罐呼吸无组织排放</w:t>
            </w:r>
          </w:p>
        </w:tc>
        <w:tc>
          <w:tcPr>
            <w:tcW w:w="1414" w:type="pct"/>
            <w:tcBorders>
              <w:tl2br w:val="nil"/>
              <w:tr2bl w:val="nil"/>
            </w:tcBorders>
            <w:noWrap w:val="0"/>
            <w:vAlign w:val="top"/>
          </w:tcPr>
          <w:p w14:paraId="1D0DFBA0">
            <w:pPr>
              <w:pStyle w:val="82"/>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1.35</w:t>
            </w:r>
          </w:p>
        </w:tc>
        <w:tc>
          <w:tcPr>
            <w:tcW w:w="1112" w:type="pct"/>
            <w:tcBorders>
              <w:tl2br w:val="nil"/>
              <w:tr2bl w:val="nil"/>
            </w:tcBorders>
            <w:noWrap w:val="0"/>
            <w:vAlign w:val="top"/>
          </w:tcPr>
          <w:p w14:paraId="0E6EE581">
            <w:pPr>
              <w:pStyle w:val="82"/>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固定顶罐</w:t>
            </w:r>
          </w:p>
        </w:tc>
      </w:tr>
      <w:tr w14:paraId="73197E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591" w:type="pct"/>
            <w:tcBorders>
              <w:tl2br w:val="nil"/>
              <w:tr2bl w:val="nil"/>
            </w:tcBorders>
            <w:noWrap w:val="0"/>
            <w:vAlign w:val="top"/>
          </w:tcPr>
          <w:p w14:paraId="27A0D3D0">
            <w:pPr>
              <w:pStyle w:val="82"/>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bookmarkStart w:id="396" w:name="OLE_LINK21" w:colFirst="0" w:colLast="3"/>
            <w:r>
              <w:rPr>
                <w:rFonts w:hint="default" w:ascii="Times New Roman" w:hAnsi="Times New Roman" w:eastAsia="宋体" w:cs="Times New Roman"/>
                <w:color w:val="auto"/>
                <w:sz w:val="21"/>
                <w:szCs w:val="21"/>
                <w:highlight w:val="none"/>
              </w:rPr>
              <w:t>3</w:t>
            </w:r>
          </w:p>
        </w:tc>
        <w:tc>
          <w:tcPr>
            <w:tcW w:w="1881" w:type="pct"/>
            <w:tcBorders>
              <w:tl2br w:val="nil"/>
              <w:tr2bl w:val="nil"/>
            </w:tcBorders>
            <w:noWrap w:val="0"/>
            <w:vAlign w:val="top"/>
          </w:tcPr>
          <w:p w14:paraId="2F1EAC36">
            <w:pPr>
              <w:pStyle w:val="82"/>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装车</w:t>
            </w:r>
            <w:bookmarkStart w:id="397" w:name="OLE_LINK23"/>
            <w:r>
              <w:rPr>
                <w:rFonts w:hint="default" w:ascii="Times New Roman" w:hAnsi="Times New Roman" w:eastAsia="宋体" w:cs="Times New Roman"/>
                <w:color w:val="auto"/>
                <w:sz w:val="21"/>
                <w:szCs w:val="21"/>
                <w:highlight w:val="none"/>
              </w:rPr>
              <w:t>无组织排放</w:t>
            </w:r>
            <w:bookmarkEnd w:id="397"/>
          </w:p>
        </w:tc>
        <w:tc>
          <w:tcPr>
            <w:tcW w:w="1414" w:type="pct"/>
            <w:tcBorders>
              <w:tl2br w:val="nil"/>
              <w:tr2bl w:val="nil"/>
            </w:tcBorders>
            <w:noWrap w:val="0"/>
            <w:vAlign w:val="top"/>
          </w:tcPr>
          <w:p w14:paraId="2DC199EC">
            <w:pPr>
              <w:pStyle w:val="82"/>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1.49</w:t>
            </w:r>
          </w:p>
        </w:tc>
        <w:tc>
          <w:tcPr>
            <w:tcW w:w="1112" w:type="pct"/>
            <w:tcBorders>
              <w:tl2br w:val="nil"/>
              <w:tr2bl w:val="nil"/>
            </w:tcBorders>
            <w:noWrap w:val="0"/>
            <w:vAlign w:val="top"/>
          </w:tcPr>
          <w:p w14:paraId="5505B2BB">
            <w:pPr>
              <w:pStyle w:val="82"/>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气相平衡</w:t>
            </w:r>
          </w:p>
        </w:tc>
      </w:tr>
      <w:tr w14:paraId="3D81DF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591" w:type="pct"/>
            <w:tcBorders>
              <w:tl2br w:val="nil"/>
              <w:tr2bl w:val="nil"/>
            </w:tcBorders>
            <w:noWrap w:val="0"/>
            <w:vAlign w:val="top"/>
          </w:tcPr>
          <w:p w14:paraId="41FB0EAE">
            <w:pPr>
              <w:pStyle w:val="82"/>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w:t>
            </w:r>
          </w:p>
        </w:tc>
        <w:tc>
          <w:tcPr>
            <w:tcW w:w="1881" w:type="pct"/>
            <w:tcBorders>
              <w:tl2br w:val="nil"/>
              <w:tr2bl w:val="nil"/>
            </w:tcBorders>
            <w:noWrap w:val="0"/>
            <w:vAlign w:val="top"/>
          </w:tcPr>
          <w:p w14:paraId="4EF25DCE">
            <w:pPr>
              <w:pStyle w:val="82"/>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甲醇加注撬无组织排放</w:t>
            </w:r>
          </w:p>
        </w:tc>
        <w:tc>
          <w:tcPr>
            <w:tcW w:w="1414" w:type="pct"/>
            <w:tcBorders>
              <w:tl2br w:val="nil"/>
              <w:tr2bl w:val="nil"/>
            </w:tcBorders>
            <w:noWrap w:val="0"/>
            <w:vAlign w:val="top"/>
          </w:tcPr>
          <w:p w14:paraId="24EB1C55">
            <w:pPr>
              <w:pStyle w:val="82"/>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1112" w:type="pct"/>
            <w:tcBorders>
              <w:tl2br w:val="nil"/>
              <w:tr2bl w:val="nil"/>
            </w:tcBorders>
            <w:noWrap w:val="0"/>
            <w:vAlign w:val="top"/>
          </w:tcPr>
          <w:p w14:paraId="18E57312">
            <w:pPr>
              <w:pStyle w:val="82"/>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bookmarkStart w:id="398" w:name="OLE_LINK25"/>
            <w:r>
              <w:rPr>
                <w:rFonts w:hint="default" w:ascii="Times New Roman" w:hAnsi="Times New Roman" w:eastAsia="宋体" w:cs="Times New Roman"/>
                <w:color w:val="auto"/>
                <w:sz w:val="21"/>
                <w:szCs w:val="21"/>
                <w:highlight w:val="none"/>
              </w:rPr>
              <w:t>间歇运行</w:t>
            </w:r>
            <w:bookmarkEnd w:id="398"/>
          </w:p>
        </w:tc>
      </w:tr>
      <w:bookmarkEnd w:id="396"/>
      <w:tr w14:paraId="10B1DE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591" w:type="pct"/>
            <w:tcBorders>
              <w:tl2br w:val="nil"/>
              <w:tr2bl w:val="nil"/>
            </w:tcBorders>
            <w:noWrap w:val="0"/>
            <w:vAlign w:val="top"/>
          </w:tcPr>
          <w:p w14:paraId="283C379F">
            <w:pPr>
              <w:pStyle w:val="82"/>
              <w:keepNext w:val="0"/>
              <w:keepLines w:val="0"/>
              <w:pageBreakBefore w:val="0"/>
              <w:kinsoku/>
              <w:wordWrap/>
              <w:overflowPunct/>
              <w:topLinePunct w:val="0"/>
              <w:autoSpaceDE/>
              <w:autoSpaceDN/>
              <w:bidi w:val="0"/>
              <w:adjustRightInd w:val="0"/>
              <w:snapToGrid/>
              <w:spacing w:line="240" w:lineRule="auto"/>
              <w:ind w:firstLine="0" w:firstLineChars="0"/>
              <w:textAlignment w:val="baseline"/>
              <w:rPr>
                <w:rFonts w:hint="default" w:ascii="Times New Roman" w:hAnsi="Times New Roman" w:eastAsia="宋体" w:cs="Times New Roman"/>
                <w:b/>
                <w:bCs/>
                <w:color w:val="auto"/>
                <w:sz w:val="21"/>
                <w:szCs w:val="21"/>
                <w:highlight w:val="none"/>
              </w:rPr>
            </w:pPr>
          </w:p>
        </w:tc>
        <w:tc>
          <w:tcPr>
            <w:tcW w:w="1881" w:type="pct"/>
            <w:tcBorders>
              <w:tl2br w:val="nil"/>
              <w:tr2bl w:val="nil"/>
            </w:tcBorders>
            <w:noWrap w:val="0"/>
            <w:vAlign w:val="top"/>
          </w:tcPr>
          <w:p w14:paraId="43BF8C1F">
            <w:pPr>
              <w:pStyle w:val="82"/>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合计</w:t>
            </w:r>
          </w:p>
        </w:tc>
        <w:tc>
          <w:tcPr>
            <w:tcW w:w="1414" w:type="pct"/>
            <w:tcBorders>
              <w:tl2br w:val="nil"/>
              <w:tr2bl w:val="nil"/>
            </w:tcBorders>
            <w:noWrap w:val="0"/>
            <w:vAlign w:val="center"/>
          </w:tcPr>
          <w:p w14:paraId="2C533034">
            <w:pPr>
              <w:pStyle w:val="82"/>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3.3767</w:t>
            </w:r>
          </w:p>
        </w:tc>
        <w:tc>
          <w:tcPr>
            <w:tcW w:w="1112" w:type="pct"/>
            <w:tcBorders>
              <w:tl2br w:val="nil"/>
              <w:tr2bl w:val="nil"/>
            </w:tcBorders>
            <w:noWrap w:val="0"/>
            <w:vAlign w:val="center"/>
          </w:tcPr>
          <w:p w14:paraId="0D8B3D2D">
            <w:pPr>
              <w:pStyle w:val="82"/>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b/>
                <w:bCs/>
                <w:color w:val="auto"/>
                <w:sz w:val="21"/>
                <w:szCs w:val="21"/>
                <w:highlight w:val="none"/>
              </w:rPr>
            </w:pPr>
          </w:p>
        </w:tc>
      </w:tr>
    </w:tbl>
    <w:p w14:paraId="77FBCCAF">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eastAsia="宋体" w:cs="Times New Roman"/>
          <w:b w:val="0"/>
          <w:bCs/>
          <w:color w:val="auto"/>
          <w:sz w:val="24"/>
          <w:szCs w:val="24"/>
          <w:highlight w:val="none"/>
          <w:lang w:eastAsia="zh-CN"/>
        </w:rPr>
        <w:t>（</w:t>
      </w:r>
      <w:r>
        <w:rPr>
          <w:rFonts w:hint="eastAsia" w:cs="Times New Roman"/>
          <w:b w:val="0"/>
          <w:bCs/>
          <w:color w:val="auto"/>
          <w:sz w:val="24"/>
          <w:szCs w:val="24"/>
          <w:highlight w:val="none"/>
          <w:lang w:val="en-US" w:eastAsia="zh-CN"/>
        </w:rPr>
        <w:t>3</w:t>
      </w:r>
      <w:r>
        <w:rPr>
          <w:rFonts w:hint="default" w:ascii="Times New Roman" w:hAnsi="Times New Roman" w:eastAsia="宋体" w:cs="Times New Roman"/>
          <w:b w:val="0"/>
          <w:bCs/>
          <w:color w:val="auto"/>
          <w:sz w:val="24"/>
          <w:szCs w:val="24"/>
          <w:highlight w:val="none"/>
          <w:lang w:eastAsia="zh-CN"/>
        </w:rPr>
        <w:t>）无组织H</w:t>
      </w:r>
      <w:r>
        <w:rPr>
          <w:rFonts w:hint="default" w:ascii="Times New Roman" w:hAnsi="Times New Roman" w:eastAsia="宋体" w:cs="Times New Roman"/>
          <w:b w:val="0"/>
          <w:bCs/>
          <w:color w:val="auto"/>
          <w:sz w:val="24"/>
          <w:szCs w:val="24"/>
          <w:highlight w:val="none"/>
          <w:vertAlign w:val="subscript"/>
          <w:lang w:eastAsia="zh-CN"/>
        </w:rPr>
        <w:t>2</w:t>
      </w:r>
      <w:r>
        <w:rPr>
          <w:rFonts w:hint="default" w:ascii="Times New Roman" w:hAnsi="Times New Roman" w:eastAsia="宋体" w:cs="Times New Roman"/>
          <w:b w:val="0"/>
          <w:bCs/>
          <w:color w:val="auto"/>
          <w:sz w:val="24"/>
          <w:szCs w:val="24"/>
          <w:highlight w:val="none"/>
          <w:lang w:eastAsia="zh-CN"/>
        </w:rPr>
        <w:t>S</w:t>
      </w:r>
    </w:p>
    <w:p w14:paraId="4610C4CD">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根据雄英1井区</w:t>
      </w:r>
      <w:r>
        <w:rPr>
          <w:rFonts w:hint="default" w:ascii="Times New Roman" w:hAnsi="Times New Roman" w:eastAsia="宋体" w:cs="Times New Roman"/>
          <w:color w:val="auto"/>
          <w:sz w:val="24"/>
          <w:szCs w:val="24"/>
          <w:highlight w:val="none"/>
          <w:lang w:val="en-US" w:eastAsia="zh-CN"/>
        </w:rPr>
        <w:t>内硫化氢</w:t>
      </w:r>
      <w:r>
        <w:rPr>
          <w:rFonts w:hint="eastAsia" w:cs="Times New Roman"/>
          <w:color w:val="auto"/>
          <w:sz w:val="24"/>
          <w:szCs w:val="24"/>
          <w:highlight w:val="none"/>
          <w:lang w:val="en-US" w:eastAsia="zh-CN"/>
        </w:rPr>
        <w:t>最大</w:t>
      </w:r>
      <w:r>
        <w:rPr>
          <w:rFonts w:hint="default" w:ascii="Times New Roman" w:hAnsi="Times New Roman" w:eastAsia="宋体" w:cs="Times New Roman"/>
          <w:color w:val="auto"/>
          <w:sz w:val="24"/>
          <w:szCs w:val="24"/>
          <w:highlight w:val="none"/>
          <w:lang w:val="en-US" w:eastAsia="zh-CN"/>
        </w:rPr>
        <w:t>质量</w:t>
      </w:r>
      <w:r>
        <w:rPr>
          <w:rFonts w:hint="eastAsia" w:cs="Times New Roman"/>
          <w:color w:val="auto"/>
          <w:sz w:val="24"/>
          <w:szCs w:val="24"/>
          <w:highlight w:val="none"/>
          <w:lang w:val="en-US" w:eastAsia="zh-CN"/>
        </w:rPr>
        <w:t>3200</w:t>
      </w:r>
      <w:r>
        <w:rPr>
          <w:rFonts w:hint="default" w:ascii="Times New Roman" w:hAnsi="Times New Roman" w:eastAsia="宋体" w:cs="Times New Roman"/>
          <w:color w:val="auto"/>
          <w:sz w:val="24"/>
          <w:szCs w:val="24"/>
          <w:highlight w:val="none"/>
          <w:lang w:val="en-US" w:eastAsia="zh-CN"/>
        </w:rPr>
        <w:t>mg/m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vertAlign w:val="baseline"/>
          <w:lang w:val="en-US" w:eastAsia="zh-CN"/>
        </w:rPr>
        <w:t>。</w:t>
      </w:r>
    </w:p>
    <w:p w14:paraId="4DCCDA49">
      <w:pPr>
        <w:pStyle w:val="62"/>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无组织排放H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S计算思路为：通过无组织排放的非甲烷总烃推算出无组织排放的天</w:t>
      </w:r>
      <w:bookmarkStart w:id="399" w:name="OLE_LINK6"/>
      <w:r>
        <w:rPr>
          <w:rFonts w:hint="default" w:ascii="Times New Roman" w:hAnsi="Times New Roman" w:eastAsia="宋体" w:cs="Times New Roman"/>
          <w:color w:val="auto"/>
          <w:sz w:val="24"/>
          <w:szCs w:val="24"/>
          <w:highlight w:val="none"/>
        </w:rPr>
        <w:t>然气排放量，根据天然气中硫化氢的浓度，计算出硫化氢的排放量，计算过程如下：</w:t>
      </w:r>
    </w:p>
    <w:p w14:paraId="5F136E43">
      <w:pPr>
        <w:pStyle w:val="62"/>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color w:val="auto"/>
          <w:sz w:val="24"/>
          <w:szCs w:val="24"/>
          <w:highlight w:val="none"/>
          <w:lang w:val="en-US" w:eastAsia="zh-CN"/>
        </w:rPr>
        <w:t>区块</w:t>
      </w:r>
      <w:r>
        <w:rPr>
          <w:rFonts w:hint="default" w:ascii="Times New Roman" w:hAnsi="Times New Roman" w:eastAsia="宋体" w:cs="Times New Roman"/>
          <w:color w:val="auto"/>
          <w:sz w:val="24"/>
          <w:szCs w:val="24"/>
          <w:highlight w:val="none"/>
        </w:rPr>
        <w:t>天然气</w:t>
      </w:r>
      <w:bookmarkEnd w:id="399"/>
      <w:r>
        <w:rPr>
          <w:rFonts w:hint="default" w:ascii="Times New Roman" w:hAnsi="Times New Roman" w:eastAsia="宋体" w:cs="Times New Roman"/>
          <w:color w:val="auto"/>
          <w:sz w:val="24"/>
          <w:szCs w:val="24"/>
          <w:highlight w:val="none"/>
        </w:rPr>
        <w:t>样分析结果</w:t>
      </w:r>
      <w:r>
        <w:rPr>
          <w:rFonts w:hint="default" w:ascii="Times New Roman" w:hAnsi="Times New Roman" w:eastAsia="宋体" w:cs="Times New Roman"/>
          <w:color w:val="auto"/>
          <w:sz w:val="24"/>
          <w:szCs w:val="24"/>
          <w:highlight w:val="none"/>
          <w:lang w:val="en-US" w:eastAsia="zh-CN"/>
        </w:rPr>
        <w:t>计算可知</w:t>
      </w:r>
      <w:r>
        <w:rPr>
          <w:rFonts w:hint="default" w:ascii="Times New Roman" w:hAnsi="Times New Roman" w:eastAsia="宋体" w:cs="Times New Roman"/>
          <w:color w:val="auto"/>
          <w:sz w:val="24"/>
          <w:szCs w:val="24"/>
          <w:highlight w:val="none"/>
        </w:rPr>
        <w:t>，天然气中H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S平均含量为</w:t>
      </w:r>
      <w:r>
        <w:rPr>
          <w:rFonts w:hint="eastAsia" w:ascii="Times New Roman" w:hAnsi="Times New Roman" w:cs="Times New Roman"/>
          <w:color w:val="auto"/>
          <w:sz w:val="24"/>
          <w:szCs w:val="24"/>
          <w:highlight w:val="none"/>
          <w:lang w:val="en-US" w:eastAsia="zh-CN"/>
        </w:rPr>
        <w:t>3200</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，需要计算</w:t>
      </w:r>
      <w:r>
        <w:rPr>
          <w:rFonts w:hint="default" w:ascii="Times New Roman" w:hAnsi="Times New Roman" w:eastAsia="宋体" w:cs="Times New Roman"/>
          <w:color w:val="auto"/>
          <w:sz w:val="24"/>
          <w:szCs w:val="24"/>
          <w:highlight w:val="none"/>
          <w:lang w:val="en-US" w:eastAsia="zh-CN"/>
        </w:rPr>
        <w:t>各井场和站场</w:t>
      </w:r>
      <w:r>
        <w:rPr>
          <w:rFonts w:hint="default" w:ascii="Times New Roman" w:hAnsi="Times New Roman" w:eastAsia="宋体" w:cs="Times New Roman"/>
          <w:color w:val="auto"/>
          <w:sz w:val="24"/>
          <w:szCs w:val="24"/>
          <w:highlight w:val="none"/>
        </w:rPr>
        <w:t>无组织排放的天然气体积</w:t>
      </w:r>
      <w:r>
        <w:rPr>
          <w:rFonts w:hint="eastAsia" w:ascii="Times New Roman" w:hAnsi="Times New Roman" w:cs="Times New Roman"/>
          <w:color w:val="auto"/>
          <w:sz w:val="24"/>
          <w:szCs w:val="24"/>
          <w:highlight w:val="none"/>
          <w:lang w:eastAsia="zh-CN"/>
        </w:rPr>
        <w:t>。</w:t>
      </w:r>
    </w:p>
    <w:p w14:paraId="2FFAE55D">
      <w:pPr>
        <w:pStyle w:val="62"/>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lang w:val="en-US" w:eastAsia="zh-CN"/>
        </w:rPr>
        <w:t>根据</w:t>
      </w:r>
      <w:r>
        <w:rPr>
          <w:rFonts w:hint="eastAsia" w:ascii="Times New Roman" w:hAnsi="Times New Roman" w:cs="Times New Roman"/>
          <w:color w:val="auto"/>
          <w:sz w:val="24"/>
          <w:szCs w:val="24"/>
          <w:highlight w:val="none"/>
          <w:lang w:val="en-US" w:eastAsia="zh-CN"/>
        </w:rPr>
        <w:t>雄英1井区</w:t>
      </w:r>
      <w:r>
        <w:rPr>
          <w:rFonts w:hint="default" w:ascii="Times New Roman" w:hAnsi="Times New Roman" w:eastAsia="宋体" w:cs="Times New Roman"/>
          <w:color w:val="auto"/>
          <w:sz w:val="24"/>
          <w:szCs w:val="24"/>
          <w:highlight w:val="none"/>
          <w:lang w:val="en-US" w:eastAsia="zh-CN"/>
        </w:rPr>
        <w:t>天然气样分析可知甲烷含量为</w:t>
      </w:r>
      <w:r>
        <w:rPr>
          <w:rFonts w:hint="eastAsia" w:ascii="Times New Roman" w:hAnsi="Times New Roman" w:cs="Times New Roman"/>
          <w:color w:val="auto"/>
          <w:sz w:val="24"/>
          <w:szCs w:val="24"/>
          <w:highlight w:val="none"/>
          <w:lang w:val="en-US" w:eastAsia="zh-CN"/>
        </w:rPr>
        <w:t>60.7%～</w:t>
      </w:r>
      <w:r>
        <w:rPr>
          <w:rFonts w:hint="eastAsia" w:ascii="Times New Roman" w:hAnsi="Times New Roman" w:eastAsia="宋体" w:cs="Times New Roman"/>
          <w:color w:val="auto"/>
          <w:sz w:val="24"/>
          <w:highlight w:val="none"/>
          <w:lang w:val="en-US" w:eastAsia="zh-CN"/>
        </w:rPr>
        <w:t>75.</w:t>
      </w:r>
      <w:r>
        <w:rPr>
          <w:rFonts w:hint="eastAsia" w:ascii="Times New Roman" w:hAnsi="Times New Roman" w:cs="Times New Roman"/>
          <w:color w:val="auto"/>
          <w:sz w:val="24"/>
          <w:highlight w:val="none"/>
          <w:lang w:val="en-US" w:eastAsia="zh-CN"/>
        </w:rPr>
        <w:t>2</w:t>
      </w:r>
      <w:r>
        <w:rPr>
          <w:rFonts w:hint="default" w:ascii="Times New Roman" w:hAnsi="Times New Roman" w:eastAsia="宋体" w:cs="Times New Roman"/>
          <w:color w:val="auto"/>
          <w:sz w:val="24"/>
          <w:szCs w:val="24"/>
          <w:highlight w:val="none"/>
          <w:lang w:val="en-US" w:eastAsia="zh-CN"/>
        </w:rPr>
        <w:t>%，故</w:t>
      </w:r>
      <w:r>
        <w:rPr>
          <w:rFonts w:hint="default" w:ascii="Times New Roman" w:hAnsi="Times New Roman" w:eastAsia="宋体" w:cs="Times New Roman"/>
          <w:color w:val="auto"/>
          <w:sz w:val="24"/>
          <w:szCs w:val="24"/>
          <w:highlight w:val="none"/>
        </w:rPr>
        <w:t>非甲烷总烃在天然气中的</w:t>
      </w:r>
      <w:r>
        <w:rPr>
          <w:rFonts w:hint="eastAsia" w:ascii="Times New Roman" w:hAnsi="Times New Roman" w:cs="Times New Roman"/>
          <w:color w:val="auto"/>
          <w:sz w:val="24"/>
          <w:szCs w:val="24"/>
          <w:highlight w:val="none"/>
          <w:lang w:val="en-US" w:eastAsia="zh-CN"/>
        </w:rPr>
        <w:t>最大</w:t>
      </w:r>
      <w:r>
        <w:rPr>
          <w:rFonts w:hint="default" w:ascii="Times New Roman" w:hAnsi="Times New Roman" w:eastAsia="宋体" w:cs="Times New Roman"/>
          <w:color w:val="auto"/>
          <w:sz w:val="24"/>
          <w:szCs w:val="24"/>
          <w:highlight w:val="none"/>
        </w:rPr>
        <w:t>比例为</w:t>
      </w:r>
      <w:r>
        <w:rPr>
          <w:rFonts w:hint="eastAsia" w:ascii="Times New Roman" w:hAnsi="Times New Roman" w:cs="Times New Roman"/>
          <w:color w:val="auto"/>
          <w:sz w:val="24"/>
          <w:szCs w:val="24"/>
          <w:highlight w:val="none"/>
          <w:lang w:val="en-US" w:eastAsia="zh-CN"/>
        </w:rPr>
        <w:t>39.3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由上文计算可知单座井场非甲烷总烃排放量为</w:t>
      </w:r>
      <w:r>
        <w:rPr>
          <w:rFonts w:hint="eastAsia" w:ascii="Times New Roman" w:hAnsi="Times New Roman" w:eastAsia="宋体" w:cs="Times New Roman"/>
          <w:color w:val="auto"/>
          <w:sz w:val="24"/>
          <w:szCs w:val="24"/>
          <w:highlight w:val="none"/>
          <w:lang w:val="en-US" w:eastAsia="zh-CN"/>
        </w:rPr>
        <w:t>0.</w:t>
      </w:r>
      <w:r>
        <w:rPr>
          <w:rFonts w:hint="eastAsia" w:ascii="Times New Roman" w:hAnsi="Times New Roman" w:cs="Times New Roman"/>
          <w:color w:val="auto"/>
          <w:sz w:val="24"/>
          <w:szCs w:val="24"/>
          <w:highlight w:val="none"/>
          <w:lang w:val="en-US" w:eastAsia="zh-CN"/>
        </w:rPr>
        <w:t>0297</w:t>
      </w:r>
      <w:r>
        <w:rPr>
          <w:rFonts w:hint="default" w:ascii="Times New Roman" w:hAnsi="Times New Roman" w:eastAsia="宋体" w:cs="Times New Roman"/>
          <w:color w:val="auto"/>
          <w:sz w:val="24"/>
          <w:szCs w:val="24"/>
          <w:highlight w:val="none"/>
          <w:lang w:val="en-US" w:eastAsia="zh-CN"/>
        </w:rPr>
        <w:t>t/a，</w:t>
      </w:r>
      <w:r>
        <w:rPr>
          <w:rFonts w:hint="eastAsia" w:ascii="Times New Roman" w:hAnsi="Times New Roman" w:cs="Times New Roman"/>
          <w:color w:val="auto"/>
          <w:sz w:val="24"/>
          <w:szCs w:val="24"/>
          <w:highlight w:val="none"/>
          <w:lang w:val="en-US" w:eastAsia="zh-CN"/>
        </w:rPr>
        <w:t>雄探1试采点</w:t>
      </w:r>
      <w:r>
        <w:rPr>
          <w:rFonts w:hint="default" w:ascii="Times New Roman" w:hAnsi="Times New Roman" w:eastAsia="宋体" w:cs="Times New Roman"/>
          <w:color w:val="auto"/>
          <w:sz w:val="24"/>
          <w:szCs w:val="24"/>
          <w:highlight w:val="none"/>
          <w:lang w:val="en-US" w:eastAsia="zh-CN"/>
        </w:rPr>
        <w:t>非甲烷总烃排放量分别为</w:t>
      </w:r>
      <w:r>
        <w:rPr>
          <w:rFonts w:hint="eastAsia" w:ascii="Times New Roman" w:hAnsi="Times New Roman" w:eastAsia="宋体" w:cs="Times New Roman"/>
          <w:color w:val="auto"/>
          <w:sz w:val="24"/>
          <w:szCs w:val="24"/>
          <w:highlight w:val="none"/>
          <w:lang w:val="en-US" w:eastAsia="zh-CN"/>
        </w:rPr>
        <w:t>0.</w:t>
      </w:r>
      <w:r>
        <w:rPr>
          <w:rFonts w:hint="eastAsia" w:ascii="Times New Roman" w:hAnsi="Times New Roman" w:cs="Times New Roman"/>
          <w:color w:val="auto"/>
          <w:sz w:val="24"/>
          <w:szCs w:val="24"/>
          <w:highlight w:val="none"/>
          <w:lang w:val="en-US" w:eastAsia="zh-CN"/>
        </w:rPr>
        <w:t>0926</w:t>
      </w:r>
      <w:r>
        <w:rPr>
          <w:rFonts w:hint="default" w:ascii="Times New Roman" w:hAnsi="Times New Roman" w:eastAsia="宋体" w:cs="Times New Roman"/>
          <w:color w:val="auto"/>
          <w:sz w:val="24"/>
          <w:szCs w:val="24"/>
          <w:highlight w:val="none"/>
          <w:lang w:val="en-US" w:eastAsia="zh-CN"/>
        </w:rPr>
        <w:t>t/a，</w:t>
      </w:r>
      <w:r>
        <w:rPr>
          <w:rFonts w:hint="default" w:ascii="Times New Roman" w:hAnsi="Times New Roman" w:eastAsia="宋体" w:cs="Times New Roman"/>
          <w:color w:val="auto"/>
          <w:sz w:val="24"/>
          <w:szCs w:val="24"/>
          <w:highlight w:val="none"/>
        </w:rPr>
        <w:t>那么无组织的天然气排放量</w:t>
      </w:r>
      <w:r>
        <w:rPr>
          <w:rFonts w:hint="default" w:ascii="Times New Roman" w:hAnsi="Times New Roman" w:eastAsia="宋体" w:cs="Times New Roman"/>
          <w:color w:val="auto"/>
          <w:sz w:val="24"/>
          <w:szCs w:val="24"/>
          <w:highlight w:val="none"/>
          <w:lang w:val="en-US" w:eastAsia="zh-CN"/>
        </w:rPr>
        <w:t>分别</w:t>
      </w:r>
      <w:r>
        <w:rPr>
          <w:rFonts w:hint="default" w:ascii="Times New Roman" w:hAnsi="Times New Roman" w:eastAsia="宋体" w:cs="Times New Roman"/>
          <w:color w:val="auto"/>
          <w:sz w:val="24"/>
          <w:szCs w:val="24"/>
          <w:highlight w:val="none"/>
        </w:rPr>
        <w:t>为</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0</w:t>
      </w:r>
      <w:r>
        <w:rPr>
          <w:rFonts w:hint="eastAsia" w:ascii="Times New Roman" w:hAnsi="Times New Roman" w:cs="Times New Roman"/>
          <w:color w:val="auto"/>
          <w:sz w:val="24"/>
          <w:szCs w:val="24"/>
          <w:highlight w:val="none"/>
          <w:lang w:val="en-US" w:eastAsia="zh-CN"/>
        </w:rPr>
        <w:t>298</w:t>
      </w:r>
      <w:r>
        <w:rPr>
          <w:rFonts w:hint="default" w:ascii="Times New Roman" w:hAnsi="Times New Roman" w:eastAsia="宋体"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39.3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cs="Times New Roman"/>
          <w:color w:val="auto"/>
          <w:sz w:val="24"/>
          <w:szCs w:val="24"/>
          <w:highlight w:val="none"/>
          <w:lang w:val="en-US" w:eastAsia="zh-CN"/>
        </w:rPr>
        <w:t>0758</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0926</w:t>
      </w:r>
      <w:r>
        <w:rPr>
          <w:rFonts w:hint="default" w:ascii="Times New Roman" w:hAnsi="Times New Roman" w:eastAsia="宋体"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39.3</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0.</w:t>
      </w:r>
      <w:r>
        <w:rPr>
          <w:rFonts w:hint="eastAsia" w:ascii="Times New Roman" w:hAnsi="Times New Roman" w:cs="Times New Roman"/>
          <w:color w:val="auto"/>
          <w:sz w:val="24"/>
          <w:szCs w:val="24"/>
          <w:highlight w:val="none"/>
          <w:lang w:val="en-US" w:eastAsia="zh-CN"/>
        </w:rPr>
        <w:t>2356</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w:t>
      </w:r>
    </w:p>
    <w:p w14:paraId="0EE69F69">
      <w:pPr>
        <w:pStyle w:val="62"/>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折算成体积为：标况下，本区块油藏天然气密度为0.</w:t>
      </w:r>
      <w:r>
        <w:rPr>
          <w:rFonts w:hint="eastAsia" w:ascii="Times New Roman" w:hAnsi="Times New Roman" w:cs="Times New Roman"/>
          <w:color w:val="auto"/>
          <w:sz w:val="24"/>
          <w:szCs w:val="24"/>
          <w:highlight w:val="none"/>
          <w:lang w:val="en-US" w:eastAsia="zh-CN"/>
        </w:rPr>
        <w:t>8922-1.054</w:t>
      </w:r>
      <w:r>
        <w:rPr>
          <w:rFonts w:hint="default" w:ascii="Times New Roman" w:hAnsi="Times New Roman" w:eastAsia="宋体" w:cs="Times New Roman"/>
          <w:color w:val="auto"/>
          <w:sz w:val="24"/>
          <w:szCs w:val="24"/>
          <w:highlight w:val="none"/>
        </w:rPr>
        <w:t>kg/m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故单座井场、</w:t>
      </w:r>
      <w:r>
        <w:rPr>
          <w:rFonts w:hint="eastAsia" w:ascii="Times New Roman" w:hAnsi="Times New Roman" w:cs="Times New Roman"/>
          <w:color w:val="auto"/>
          <w:sz w:val="24"/>
          <w:szCs w:val="24"/>
          <w:highlight w:val="none"/>
          <w:lang w:val="en-US" w:eastAsia="zh-CN"/>
        </w:rPr>
        <w:t>雄探1试采点</w:t>
      </w:r>
      <w:r>
        <w:rPr>
          <w:rFonts w:hint="default" w:ascii="Times New Roman" w:hAnsi="Times New Roman" w:eastAsia="宋体" w:cs="Times New Roman"/>
          <w:color w:val="auto"/>
          <w:sz w:val="24"/>
          <w:szCs w:val="24"/>
          <w:highlight w:val="none"/>
        </w:rPr>
        <w:t>无组织排放的天然气体积</w:t>
      </w:r>
      <w:r>
        <w:rPr>
          <w:rFonts w:hint="default" w:ascii="Times New Roman" w:hAnsi="Times New Roman" w:eastAsia="宋体" w:cs="Times New Roman"/>
          <w:color w:val="auto"/>
          <w:sz w:val="24"/>
          <w:szCs w:val="24"/>
          <w:highlight w:val="none"/>
          <w:lang w:val="en-US" w:eastAsia="zh-CN"/>
        </w:rPr>
        <w:t>分别</w:t>
      </w:r>
      <w:r>
        <w:rPr>
          <w:rFonts w:hint="default" w:ascii="Times New Roman" w:hAnsi="Times New Roman" w:eastAsia="宋体" w:cs="Times New Roman"/>
          <w:color w:val="auto"/>
          <w:sz w:val="24"/>
          <w:szCs w:val="24"/>
          <w:highlight w:val="none"/>
        </w:rPr>
        <w:t>为</w:t>
      </w:r>
      <w:r>
        <w:rPr>
          <w:rFonts w:hint="eastAsia" w:ascii="Times New Roman" w:hAnsi="Times New Roman" w:eastAsia="宋体" w:cs="Times New Roman"/>
          <w:color w:val="auto"/>
          <w:sz w:val="24"/>
          <w:szCs w:val="24"/>
          <w:highlight w:val="none"/>
          <w:lang w:val="en-US" w:eastAsia="zh-CN"/>
        </w:rPr>
        <w:t>0.</w:t>
      </w:r>
      <w:r>
        <w:rPr>
          <w:rFonts w:hint="eastAsia" w:ascii="Times New Roman" w:hAnsi="Times New Roman" w:cs="Times New Roman"/>
          <w:color w:val="auto"/>
          <w:sz w:val="24"/>
          <w:szCs w:val="24"/>
          <w:highlight w:val="none"/>
          <w:lang w:val="en-US" w:eastAsia="zh-CN"/>
        </w:rPr>
        <w:t>0758</w:t>
      </w:r>
      <w:r>
        <w:rPr>
          <w:rFonts w:hint="default" w:ascii="Times New Roman" w:hAnsi="Times New Roman" w:eastAsia="宋体" w:cs="Times New Roman"/>
          <w:color w:val="auto"/>
          <w:sz w:val="24"/>
          <w:szCs w:val="24"/>
          <w:highlight w:val="none"/>
          <w:lang w:val="en-US" w:eastAsia="zh-CN"/>
        </w:rPr>
        <w:t>×1000</w:t>
      </w:r>
      <w:r>
        <w:rPr>
          <w:rFonts w:hint="default" w:ascii="Times New Roman" w:hAnsi="Times New Roman" w:eastAsia="宋体"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1.054</w:t>
      </w:r>
      <w:r>
        <w:rPr>
          <w:rFonts w:hint="default" w:ascii="Times New Roman" w:hAnsi="Times New Roman" w:eastAsia="宋体"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71.91</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0.</w:t>
      </w:r>
      <w:r>
        <w:rPr>
          <w:rFonts w:hint="eastAsia" w:ascii="Times New Roman" w:hAnsi="Times New Roman" w:cs="Times New Roman"/>
          <w:color w:val="auto"/>
          <w:sz w:val="24"/>
          <w:szCs w:val="24"/>
          <w:highlight w:val="none"/>
          <w:lang w:val="en-US" w:eastAsia="zh-CN"/>
        </w:rPr>
        <w:t>2356</w:t>
      </w:r>
      <w:r>
        <w:rPr>
          <w:rFonts w:hint="default" w:ascii="Times New Roman" w:hAnsi="Times New Roman" w:eastAsia="宋体" w:cs="Times New Roman"/>
          <w:color w:val="auto"/>
          <w:sz w:val="24"/>
          <w:szCs w:val="24"/>
          <w:highlight w:val="none"/>
          <w:lang w:val="en-US" w:eastAsia="zh-CN"/>
        </w:rPr>
        <w:t>×1000</w:t>
      </w:r>
      <w:r>
        <w:rPr>
          <w:rFonts w:hint="default" w:ascii="Times New Roman" w:hAnsi="Times New Roman" w:eastAsia="宋体"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1.054</w:t>
      </w:r>
      <w:r>
        <w:rPr>
          <w:rFonts w:hint="default" w:ascii="Times New Roman" w:hAnsi="Times New Roman" w:eastAsia="宋体"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223.53</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w:t>
      </w:r>
    </w:p>
    <w:p w14:paraId="6B21C747">
      <w:pPr>
        <w:pStyle w:val="62"/>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本区块油藏天然气</w:t>
      </w:r>
      <w:r>
        <w:rPr>
          <w:rFonts w:hint="default" w:ascii="Times New Roman" w:hAnsi="Times New Roman" w:eastAsia="宋体" w:cs="Times New Roman"/>
          <w:color w:val="auto"/>
          <w:sz w:val="24"/>
          <w:szCs w:val="24"/>
          <w:highlight w:val="none"/>
          <w:lang w:val="en-US" w:eastAsia="zh-CN"/>
        </w:rPr>
        <w:t>中</w:t>
      </w:r>
      <w:r>
        <w:rPr>
          <w:rFonts w:hint="default" w:ascii="Times New Roman" w:hAnsi="Times New Roman" w:eastAsia="宋体" w:cs="Times New Roman"/>
          <w:color w:val="auto"/>
          <w:sz w:val="24"/>
          <w:szCs w:val="24"/>
          <w:highlight w:val="none"/>
        </w:rPr>
        <w:t>硫化氢密度为</w:t>
      </w:r>
      <w:r>
        <w:rPr>
          <w:rFonts w:hint="eastAsia" w:ascii="Times New Roman" w:hAnsi="Times New Roman" w:cs="Times New Roman"/>
          <w:color w:val="auto"/>
          <w:sz w:val="24"/>
          <w:szCs w:val="24"/>
          <w:highlight w:val="none"/>
          <w:lang w:val="en-US" w:eastAsia="zh-CN"/>
        </w:rPr>
        <w:t>3200</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，计算可得</w:t>
      </w:r>
      <w:r>
        <w:rPr>
          <w:rFonts w:hint="default" w:ascii="Times New Roman" w:hAnsi="Times New Roman" w:eastAsia="宋体" w:cs="Times New Roman"/>
          <w:color w:val="auto"/>
          <w:sz w:val="24"/>
          <w:szCs w:val="24"/>
          <w:highlight w:val="none"/>
          <w:lang w:val="en-US" w:eastAsia="zh-CN"/>
        </w:rPr>
        <w:t>本工程单座井场、</w:t>
      </w:r>
      <w:r>
        <w:rPr>
          <w:rFonts w:hint="eastAsia" w:ascii="Times New Roman" w:hAnsi="Times New Roman" w:cs="Times New Roman"/>
          <w:color w:val="auto"/>
          <w:sz w:val="24"/>
          <w:szCs w:val="24"/>
          <w:highlight w:val="none"/>
          <w:lang w:val="en-US" w:eastAsia="zh-CN"/>
        </w:rPr>
        <w:t>雄探1试采点</w:t>
      </w:r>
      <w:r>
        <w:rPr>
          <w:rFonts w:hint="default" w:ascii="Times New Roman" w:hAnsi="Times New Roman" w:eastAsia="宋体" w:cs="Times New Roman"/>
          <w:color w:val="auto"/>
          <w:sz w:val="24"/>
          <w:szCs w:val="24"/>
          <w:highlight w:val="none"/>
        </w:rPr>
        <w:t>无组织硫化氢的排放量</w:t>
      </w:r>
      <w:r>
        <w:rPr>
          <w:rFonts w:hint="default" w:ascii="Times New Roman" w:hAnsi="Times New Roman" w:eastAsia="宋体" w:cs="Times New Roman"/>
          <w:color w:val="auto"/>
          <w:sz w:val="24"/>
          <w:szCs w:val="24"/>
          <w:highlight w:val="none"/>
          <w:lang w:val="en-US" w:eastAsia="zh-CN"/>
        </w:rPr>
        <w:t>分别</w:t>
      </w:r>
      <w:r>
        <w:rPr>
          <w:rFonts w:hint="default" w:ascii="Times New Roman" w:hAnsi="Times New Roman" w:eastAsia="宋体" w:cs="Times New Roman"/>
          <w:color w:val="auto"/>
          <w:sz w:val="24"/>
          <w:szCs w:val="24"/>
          <w:highlight w:val="none"/>
        </w:rPr>
        <w:t>为：</w:t>
      </w:r>
      <w:r>
        <w:rPr>
          <w:rFonts w:hint="eastAsia" w:ascii="Times New Roman" w:hAnsi="Times New Roman" w:cs="Times New Roman"/>
          <w:color w:val="auto"/>
          <w:sz w:val="24"/>
          <w:szCs w:val="24"/>
          <w:highlight w:val="none"/>
          <w:lang w:val="en-US" w:eastAsia="zh-CN"/>
        </w:rPr>
        <w:t>71.91</w:t>
      </w:r>
      <w:r>
        <w:rPr>
          <w:rFonts w:hint="default" w:ascii="Times New Roman" w:hAnsi="Times New Roman" w:eastAsia="宋体"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3200</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9</w:t>
      </w:r>
      <w:r>
        <w:rPr>
          <w:rFonts w:hint="default" w:ascii="Times New Roman" w:hAnsi="Times New Roman" w:eastAsia="宋体" w:cs="Times New Roman"/>
          <w:color w:val="auto"/>
          <w:sz w:val="24"/>
          <w:szCs w:val="24"/>
          <w:highlight w:val="none"/>
        </w:rPr>
        <w:t>=0.00</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cs="Times New Roman"/>
          <w:color w:val="auto"/>
          <w:sz w:val="24"/>
          <w:szCs w:val="24"/>
          <w:highlight w:val="none"/>
          <w:lang w:val="en-US" w:eastAsia="zh-CN"/>
        </w:rPr>
        <w:t>023</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223.53</w:t>
      </w:r>
      <w:r>
        <w:rPr>
          <w:rFonts w:hint="default" w:ascii="Times New Roman" w:hAnsi="Times New Roman" w:eastAsia="宋体"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3200</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9</w:t>
      </w:r>
      <w:r>
        <w:rPr>
          <w:rFonts w:hint="default" w:ascii="Times New Roman" w:hAnsi="Times New Roman" w:eastAsia="宋体" w:cs="Times New Roman"/>
          <w:color w:val="auto"/>
          <w:sz w:val="24"/>
          <w:szCs w:val="24"/>
          <w:highlight w:val="none"/>
        </w:rPr>
        <w:t>=0.00</w:t>
      </w:r>
      <w:r>
        <w:rPr>
          <w:rFonts w:hint="eastAsia" w:ascii="Times New Roman" w:hAnsi="Times New Roman" w:cs="Times New Roman"/>
          <w:color w:val="auto"/>
          <w:sz w:val="24"/>
          <w:szCs w:val="24"/>
          <w:highlight w:val="none"/>
          <w:lang w:val="en-US" w:eastAsia="zh-CN"/>
        </w:rPr>
        <w:t>072</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sz w:val="24"/>
          <w:szCs w:val="24"/>
          <w:highlight w:val="none"/>
          <w:lang w:val="en-US" w:eastAsia="zh-CN"/>
        </w:rPr>
        <w:t>）。</w:t>
      </w:r>
    </w:p>
    <w:p w14:paraId="72AB28E1">
      <w:pPr>
        <w:pStyle w:val="134"/>
        <w:keepNext w:val="0"/>
        <w:keepLines w:val="0"/>
        <w:pageBreakBefore w:val="0"/>
        <w:widowControl w:val="0"/>
        <w:kinsoku/>
        <w:wordWrap/>
        <w:overflowPunct/>
        <w:topLinePunct w:val="0"/>
        <w:autoSpaceDE/>
        <w:autoSpaceDN/>
        <w:bidi w:val="0"/>
        <w:adjustRightInd/>
        <w:snapToGrid w:val="0"/>
        <w:spacing w:after="0"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本工程</w:t>
      </w:r>
      <w:r>
        <w:rPr>
          <w:rFonts w:hint="eastAsia" w:cs="Times New Roman"/>
          <w:color w:val="auto"/>
          <w:sz w:val="24"/>
          <w:szCs w:val="24"/>
          <w:highlight w:val="none"/>
          <w:lang w:val="en-US" w:eastAsia="zh-CN"/>
        </w:rPr>
        <w:t>井场、雄探1试采点</w:t>
      </w:r>
      <w:r>
        <w:rPr>
          <w:rFonts w:hint="default" w:ascii="Times New Roman" w:hAnsi="Times New Roman" w:eastAsia="宋体" w:cs="Times New Roman"/>
          <w:color w:val="auto"/>
          <w:sz w:val="24"/>
          <w:szCs w:val="24"/>
          <w:highlight w:val="none"/>
        </w:rPr>
        <w:t>运营期无组织硫化氢的排放量</w:t>
      </w:r>
      <w:r>
        <w:rPr>
          <w:rFonts w:hint="eastAsia" w:cs="Times New Roman"/>
          <w:color w:val="auto"/>
          <w:sz w:val="24"/>
          <w:szCs w:val="24"/>
          <w:highlight w:val="none"/>
          <w:lang w:val="en-US" w:eastAsia="zh-CN"/>
        </w:rPr>
        <w:t>合计</w:t>
      </w:r>
      <w:r>
        <w:rPr>
          <w:rFonts w:hint="default" w:ascii="Times New Roman" w:hAnsi="Times New Roman" w:eastAsia="宋体" w:cs="Times New Roman"/>
          <w:color w:val="auto"/>
          <w:sz w:val="24"/>
          <w:szCs w:val="24"/>
          <w:highlight w:val="none"/>
        </w:rPr>
        <w:t>为：</w:t>
      </w:r>
      <w:r>
        <w:rPr>
          <w:rFonts w:hint="eastAsia" w:cs="Times New Roman"/>
          <w:color w:val="auto"/>
          <w:sz w:val="24"/>
          <w:szCs w:val="24"/>
          <w:highlight w:val="none"/>
          <w:lang w:val="en-US" w:eastAsia="zh-CN"/>
        </w:rPr>
        <w:t>0.000858</w:t>
      </w:r>
      <w:r>
        <w:rPr>
          <w:rFonts w:hint="default" w:ascii="Times New Roman" w:hAnsi="Times New Roman" w:eastAsia="宋体" w:cs="Times New Roman"/>
          <w:color w:val="auto"/>
          <w:sz w:val="24"/>
          <w:szCs w:val="24"/>
          <w:highlight w:val="none"/>
        </w:rPr>
        <w:t>t/a。</w:t>
      </w:r>
    </w:p>
    <w:p w14:paraId="6F847F5F">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cs="Times New Roman"/>
          <w:b/>
          <w:bCs/>
          <w:color w:val="auto"/>
          <w:sz w:val="24"/>
          <w:szCs w:val="24"/>
          <w:highlight w:val="yellow"/>
          <w:lang w:eastAsia="zh-CN"/>
        </w:rPr>
      </w:pPr>
      <w:r>
        <w:rPr>
          <w:rFonts w:hint="eastAsia" w:cs="Times New Roman"/>
          <w:color w:val="auto"/>
          <w:sz w:val="24"/>
          <w:szCs w:val="24"/>
          <w:highlight w:val="none"/>
          <w:lang w:val="en-US" w:eastAsia="zh-CN"/>
        </w:rPr>
        <w:t>综上，</w:t>
      </w:r>
      <w:r>
        <w:rPr>
          <w:rFonts w:hint="default" w:ascii="Times New Roman" w:hAnsi="Times New Roman" w:eastAsia="宋体" w:cs="Times New Roman"/>
          <w:color w:val="auto"/>
          <w:sz w:val="24"/>
          <w:szCs w:val="24"/>
          <w:highlight w:val="none"/>
        </w:rPr>
        <w:t>本工程运营期无组织硫化氢的排放量</w:t>
      </w:r>
      <w:r>
        <w:rPr>
          <w:rFonts w:hint="eastAsia" w:cs="Times New Roman"/>
          <w:color w:val="auto"/>
          <w:sz w:val="24"/>
          <w:szCs w:val="24"/>
          <w:highlight w:val="none"/>
          <w:lang w:val="en-US" w:eastAsia="zh-CN"/>
        </w:rPr>
        <w:t>总计</w:t>
      </w:r>
      <w:r>
        <w:rPr>
          <w:rFonts w:hint="default" w:ascii="Times New Roman" w:hAnsi="Times New Roman" w:eastAsia="宋体" w:cs="Times New Roman"/>
          <w:color w:val="auto"/>
          <w:sz w:val="24"/>
          <w:szCs w:val="24"/>
          <w:highlight w:val="none"/>
        </w:rPr>
        <w:t>为：</w:t>
      </w:r>
      <w:r>
        <w:rPr>
          <w:rFonts w:hint="eastAsia" w:cs="Times New Roman"/>
          <w:color w:val="auto"/>
          <w:sz w:val="24"/>
          <w:szCs w:val="24"/>
          <w:highlight w:val="none"/>
          <w:lang w:val="en-US" w:eastAsia="zh-CN"/>
        </w:rPr>
        <w:t>0.000858</w:t>
      </w:r>
      <w:r>
        <w:rPr>
          <w:rFonts w:hint="default" w:ascii="Times New Roman" w:hAnsi="Times New Roman" w:eastAsia="宋体" w:cs="Times New Roman"/>
          <w:color w:val="auto"/>
          <w:sz w:val="24"/>
          <w:szCs w:val="24"/>
          <w:highlight w:val="none"/>
        </w:rPr>
        <w:t>t/a。</w:t>
      </w:r>
    </w:p>
    <w:p w14:paraId="0EA8B9AC">
      <w:pPr>
        <w:pStyle w:val="55"/>
        <w:bidi w:val="0"/>
        <w:rPr>
          <w:rFonts w:hint="default"/>
          <w:color w:val="auto"/>
          <w:lang w:val="en-US" w:eastAsia="zh-CN"/>
        </w:rPr>
      </w:pPr>
      <w:r>
        <w:rPr>
          <w:rFonts w:hint="default"/>
          <w:color w:val="auto"/>
          <w:lang w:val="en-US" w:eastAsia="zh-CN"/>
        </w:rPr>
        <w:t>3.</w:t>
      </w:r>
      <w:r>
        <w:rPr>
          <w:rFonts w:hint="eastAsia"/>
          <w:color w:val="auto"/>
          <w:lang w:val="en-US" w:eastAsia="zh-CN"/>
        </w:rPr>
        <w:t>3.3</w:t>
      </w:r>
      <w:r>
        <w:rPr>
          <w:rFonts w:hint="default"/>
          <w:color w:val="auto"/>
          <w:lang w:val="en-US" w:eastAsia="zh-CN"/>
        </w:rPr>
        <w:t>.</w:t>
      </w:r>
      <w:r>
        <w:rPr>
          <w:rFonts w:hint="eastAsia"/>
          <w:color w:val="auto"/>
          <w:lang w:val="en-US" w:eastAsia="zh-CN"/>
        </w:rPr>
        <w:t xml:space="preserve">3 </w:t>
      </w:r>
      <w:r>
        <w:rPr>
          <w:rFonts w:hint="default"/>
          <w:color w:val="auto"/>
          <w:lang w:val="en-US" w:eastAsia="zh-CN"/>
        </w:rPr>
        <w:t>噪声源</w:t>
      </w:r>
    </w:p>
    <w:p w14:paraId="650E477F">
      <w:pPr>
        <w:pStyle w:val="79"/>
        <w:bidi w:val="0"/>
        <w:rPr>
          <w:rFonts w:hint="default"/>
          <w:color w:val="auto"/>
        </w:rPr>
      </w:pPr>
      <w:r>
        <w:rPr>
          <w:rFonts w:hint="default"/>
          <w:color w:val="auto"/>
        </w:rPr>
        <w:t>运营期间的噪声源主要包括</w:t>
      </w:r>
      <w:r>
        <w:rPr>
          <w:rFonts w:hint="eastAsia"/>
          <w:color w:val="auto"/>
          <w:lang w:val="en-US" w:eastAsia="zh-CN"/>
        </w:rPr>
        <w:t>井场、雄探1试采点</w:t>
      </w:r>
      <w:r>
        <w:rPr>
          <w:rFonts w:hint="default"/>
          <w:color w:val="auto"/>
        </w:rPr>
        <w:t>设备的运转噪声等，噪声级为60～</w:t>
      </w:r>
      <w:r>
        <w:rPr>
          <w:rFonts w:hint="eastAsia"/>
          <w:color w:val="auto"/>
          <w:lang w:val="en-US" w:eastAsia="zh-CN"/>
        </w:rPr>
        <w:t>105</w:t>
      </w:r>
      <w:r>
        <w:rPr>
          <w:rFonts w:hint="default"/>
          <w:color w:val="auto"/>
        </w:rPr>
        <w:t>dB(A</w:t>
      </w:r>
      <w:r>
        <w:rPr>
          <w:rFonts w:hint="eastAsia"/>
          <w:color w:val="auto"/>
          <w:lang w:eastAsia="zh-CN"/>
        </w:rPr>
        <w:t>）</w:t>
      </w:r>
      <w:r>
        <w:rPr>
          <w:rFonts w:hint="default"/>
          <w:color w:val="auto"/>
        </w:rPr>
        <w:t>。在非正常工况下，启动放空火炬系统。放空火炬系统噪声源强可达到105dB(A</w:t>
      </w:r>
      <w:r>
        <w:rPr>
          <w:rFonts w:hint="eastAsia"/>
          <w:color w:val="auto"/>
          <w:lang w:eastAsia="zh-CN"/>
        </w:rPr>
        <w:t>）</w:t>
      </w:r>
      <w:r>
        <w:rPr>
          <w:rFonts w:hint="default"/>
          <w:color w:val="auto"/>
        </w:rPr>
        <w:t>。本工程噪声源强见表3.</w:t>
      </w:r>
      <w:r>
        <w:rPr>
          <w:rFonts w:hint="eastAsia"/>
          <w:color w:val="auto"/>
          <w:lang w:val="en-US" w:eastAsia="zh-CN"/>
        </w:rPr>
        <w:t>3-13</w:t>
      </w:r>
      <w:r>
        <w:rPr>
          <w:rFonts w:hint="default"/>
          <w:color w:val="auto"/>
        </w:rPr>
        <w:t>。</w:t>
      </w:r>
    </w:p>
    <w:p w14:paraId="7B822AD9">
      <w:pPr>
        <w:pStyle w:val="61"/>
        <w:bidi w:val="0"/>
        <w:jc w:val="both"/>
        <w:rPr>
          <w:rFonts w:hint="default"/>
          <w:color w:val="auto"/>
          <w:lang w:val="en-US" w:eastAsia="zh-CN"/>
        </w:rPr>
      </w:pPr>
      <w:r>
        <w:rPr>
          <w:rFonts w:hint="default"/>
          <w:color w:val="auto"/>
          <w:lang w:val="en-US" w:eastAsia="zh-CN"/>
        </w:rPr>
        <w:t>表</w:t>
      </w:r>
      <w:r>
        <w:rPr>
          <w:rFonts w:hint="eastAsia"/>
          <w:color w:val="auto"/>
          <w:lang w:val="en-US" w:eastAsia="zh-CN"/>
        </w:rPr>
        <w:t xml:space="preserve">3.3-13  </w:t>
      </w:r>
      <w:r>
        <w:rPr>
          <w:rFonts w:hint="default"/>
          <w:color w:val="auto"/>
          <w:lang w:val="en-US" w:eastAsia="zh-CN"/>
        </w:rPr>
        <w:t>噪声源设备</w:t>
      </w:r>
    </w:p>
    <w:tbl>
      <w:tblPr>
        <w:tblStyle w:val="36"/>
        <w:tblW w:w="494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772"/>
        <w:gridCol w:w="2293"/>
        <w:gridCol w:w="1656"/>
        <w:gridCol w:w="1963"/>
        <w:gridCol w:w="1373"/>
        <w:gridCol w:w="671"/>
      </w:tblGrid>
      <w:tr w14:paraId="6CE3EF7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7" w:hRule="atLeast"/>
          <w:tblHeader/>
        </w:trPr>
        <w:tc>
          <w:tcPr>
            <w:tcW w:w="442" w:type="pct"/>
            <w:tcBorders>
              <w:tl2br w:val="nil"/>
              <w:tr2bl w:val="nil"/>
            </w:tcBorders>
            <w:noWrap/>
            <w:vAlign w:val="center"/>
          </w:tcPr>
          <w:p w14:paraId="5C56735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313" w:type="pct"/>
            <w:tcBorders>
              <w:tl2br w:val="nil"/>
              <w:tr2bl w:val="nil"/>
            </w:tcBorders>
            <w:noWrap/>
            <w:vAlign w:val="center"/>
          </w:tcPr>
          <w:p w14:paraId="4EEC5D6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噪声源</w:t>
            </w:r>
          </w:p>
        </w:tc>
        <w:tc>
          <w:tcPr>
            <w:tcW w:w="948" w:type="pct"/>
            <w:tcBorders>
              <w:tl2br w:val="nil"/>
              <w:tr2bl w:val="nil"/>
            </w:tcBorders>
            <w:noWrap/>
            <w:vAlign w:val="center"/>
          </w:tcPr>
          <w:p w14:paraId="037BC8D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噪声强度</w:t>
            </w:r>
          </w:p>
          <w:p w14:paraId="3B3D760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dB(A)</w:t>
            </w:r>
          </w:p>
        </w:tc>
        <w:tc>
          <w:tcPr>
            <w:tcW w:w="1124" w:type="pct"/>
            <w:tcBorders>
              <w:tl2br w:val="nil"/>
              <w:tr2bl w:val="nil"/>
            </w:tcBorders>
            <w:noWrap/>
            <w:vAlign w:val="center"/>
          </w:tcPr>
          <w:p w14:paraId="461B785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声源控制措施</w:t>
            </w:r>
          </w:p>
        </w:tc>
        <w:tc>
          <w:tcPr>
            <w:tcW w:w="786" w:type="pct"/>
            <w:tcBorders>
              <w:tl2br w:val="nil"/>
              <w:tr2bl w:val="nil"/>
            </w:tcBorders>
            <w:noWrap/>
            <w:vAlign w:val="center"/>
          </w:tcPr>
          <w:p w14:paraId="7FB62A1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运行时段</w:t>
            </w:r>
          </w:p>
        </w:tc>
        <w:tc>
          <w:tcPr>
            <w:tcW w:w="384" w:type="pct"/>
            <w:tcBorders>
              <w:tl2br w:val="nil"/>
              <w:tr2bl w:val="nil"/>
            </w:tcBorders>
            <w:noWrap/>
            <w:vAlign w:val="center"/>
          </w:tcPr>
          <w:p w14:paraId="78D84D5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位置</w:t>
            </w:r>
          </w:p>
        </w:tc>
      </w:tr>
      <w:tr w14:paraId="73377B4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69" w:hRule="atLeast"/>
        </w:trPr>
        <w:tc>
          <w:tcPr>
            <w:tcW w:w="442" w:type="pct"/>
            <w:tcBorders>
              <w:tl2br w:val="nil"/>
              <w:tr2bl w:val="nil"/>
            </w:tcBorders>
            <w:noWrap w:val="0"/>
            <w:vAlign w:val="center"/>
          </w:tcPr>
          <w:p w14:paraId="6A39065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313" w:type="pct"/>
            <w:tcBorders>
              <w:tl2br w:val="nil"/>
              <w:tr2bl w:val="nil"/>
            </w:tcBorders>
            <w:noWrap w:val="0"/>
            <w:vAlign w:val="center"/>
          </w:tcPr>
          <w:p w14:paraId="650C429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机泵</w:t>
            </w:r>
          </w:p>
        </w:tc>
        <w:tc>
          <w:tcPr>
            <w:tcW w:w="948" w:type="pct"/>
            <w:tcBorders>
              <w:tl2br w:val="nil"/>
              <w:tr2bl w:val="nil"/>
            </w:tcBorders>
            <w:noWrap w:val="0"/>
            <w:vAlign w:val="center"/>
          </w:tcPr>
          <w:p w14:paraId="42FC502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0</w:t>
            </w:r>
          </w:p>
        </w:tc>
        <w:tc>
          <w:tcPr>
            <w:tcW w:w="1124" w:type="pct"/>
            <w:tcBorders>
              <w:tl2br w:val="nil"/>
              <w:tr2bl w:val="nil"/>
            </w:tcBorders>
            <w:noWrap w:val="0"/>
            <w:vAlign w:val="center"/>
          </w:tcPr>
          <w:p w14:paraId="2B1CB11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隔声、减震、吸声</w:t>
            </w:r>
          </w:p>
        </w:tc>
        <w:tc>
          <w:tcPr>
            <w:tcW w:w="786" w:type="pct"/>
            <w:tcBorders>
              <w:tl2br w:val="nil"/>
              <w:tr2bl w:val="nil"/>
            </w:tcBorders>
            <w:noWrap w:val="0"/>
            <w:vAlign w:val="center"/>
          </w:tcPr>
          <w:p w14:paraId="763ADE1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昼夜</w:t>
            </w:r>
          </w:p>
        </w:tc>
        <w:tc>
          <w:tcPr>
            <w:tcW w:w="384" w:type="pct"/>
            <w:vMerge w:val="restart"/>
            <w:tcBorders>
              <w:tl2br w:val="nil"/>
              <w:tr2bl w:val="nil"/>
            </w:tcBorders>
            <w:noWrap w:val="0"/>
            <w:vAlign w:val="center"/>
          </w:tcPr>
          <w:p w14:paraId="4CF07106">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井场</w:t>
            </w:r>
          </w:p>
        </w:tc>
      </w:tr>
      <w:tr w14:paraId="0CE584E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69" w:hRule="atLeast"/>
        </w:trPr>
        <w:tc>
          <w:tcPr>
            <w:tcW w:w="442" w:type="pct"/>
            <w:tcBorders>
              <w:tl2br w:val="nil"/>
              <w:tr2bl w:val="nil"/>
            </w:tcBorders>
            <w:noWrap w:val="0"/>
            <w:vAlign w:val="center"/>
          </w:tcPr>
          <w:p w14:paraId="534F409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1313" w:type="pct"/>
            <w:tcBorders>
              <w:tl2br w:val="nil"/>
              <w:tr2bl w:val="nil"/>
            </w:tcBorders>
            <w:noWrap w:val="0"/>
            <w:vAlign w:val="center"/>
          </w:tcPr>
          <w:p w14:paraId="27792B7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井下作业</w:t>
            </w:r>
          </w:p>
        </w:tc>
        <w:tc>
          <w:tcPr>
            <w:tcW w:w="948" w:type="pct"/>
            <w:tcBorders>
              <w:tl2br w:val="nil"/>
              <w:tr2bl w:val="nil"/>
            </w:tcBorders>
            <w:noWrap w:val="0"/>
            <w:vAlign w:val="center"/>
          </w:tcPr>
          <w:p w14:paraId="435DB6B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80-105</w:t>
            </w:r>
          </w:p>
        </w:tc>
        <w:tc>
          <w:tcPr>
            <w:tcW w:w="1124" w:type="pct"/>
            <w:tcBorders>
              <w:tl2br w:val="nil"/>
              <w:tr2bl w:val="nil"/>
            </w:tcBorders>
            <w:noWrap w:val="0"/>
            <w:vAlign w:val="center"/>
          </w:tcPr>
          <w:p w14:paraId="5084922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786" w:type="pct"/>
            <w:tcBorders>
              <w:tl2br w:val="nil"/>
              <w:tr2bl w:val="nil"/>
            </w:tcBorders>
            <w:noWrap w:val="0"/>
            <w:vAlign w:val="center"/>
          </w:tcPr>
          <w:p w14:paraId="26B4435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昼夜</w:t>
            </w:r>
          </w:p>
        </w:tc>
        <w:tc>
          <w:tcPr>
            <w:tcW w:w="384" w:type="pct"/>
            <w:vMerge w:val="continue"/>
            <w:tcBorders>
              <w:tl2br w:val="nil"/>
              <w:tr2bl w:val="nil"/>
            </w:tcBorders>
            <w:noWrap w:val="0"/>
            <w:vAlign w:val="center"/>
          </w:tcPr>
          <w:p w14:paraId="0749109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r>
      <w:tr w14:paraId="0AE2961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69" w:hRule="atLeast"/>
        </w:trPr>
        <w:tc>
          <w:tcPr>
            <w:tcW w:w="442" w:type="pct"/>
            <w:tcBorders>
              <w:tl2br w:val="nil"/>
              <w:tr2bl w:val="nil"/>
            </w:tcBorders>
            <w:noWrap w:val="0"/>
            <w:vAlign w:val="center"/>
          </w:tcPr>
          <w:p w14:paraId="72D007B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1313" w:type="pct"/>
            <w:tcBorders>
              <w:tl2br w:val="nil"/>
              <w:tr2bl w:val="nil"/>
            </w:tcBorders>
            <w:noWrap w:val="0"/>
            <w:vAlign w:val="center"/>
          </w:tcPr>
          <w:p w14:paraId="1D9E680C">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加热节流橇</w:t>
            </w:r>
          </w:p>
        </w:tc>
        <w:tc>
          <w:tcPr>
            <w:tcW w:w="948" w:type="pct"/>
            <w:tcBorders>
              <w:tl2br w:val="nil"/>
              <w:tr2bl w:val="nil"/>
            </w:tcBorders>
            <w:noWrap w:val="0"/>
            <w:vAlign w:val="center"/>
          </w:tcPr>
          <w:p w14:paraId="1047A07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60</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70</w:t>
            </w:r>
          </w:p>
        </w:tc>
        <w:tc>
          <w:tcPr>
            <w:tcW w:w="1124" w:type="pct"/>
            <w:vMerge w:val="restart"/>
            <w:tcBorders>
              <w:tl2br w:val="nil"/>
              <w:tr2bl w:val="nil"/>
            </w:tcBorders>
            <w:noWrap w:val="0"/>
            <w:vAlign w:val="center"/>
          </w:tcPr>
          <w:p w14:paraId="51E817D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隔声、减震、吸声</w:t>
            </w:r>
          </w:p>
        </w:tc>
        <w:tc>
          <w:tcPr>
            <w:tcW w:w="786" w:type="pct"/>
            <w:tcBorders>
              <w:tl2br w:val="nil"/>
              <w:tr2bl w:val="nil"/>
            </w:tcBorders>
            <w:noWrap w:val="0"/>
            <w:vAlign w:val="center"/>
          </w:tcPr>
          <w:p w14:paraId="2B2EEE1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昼夜</w:t>
            </w:r>
          </w:p>
        </w:tc>
        <w:tc>
          <w:tcPr>
            <w:tcW w:w="384" w:type="pct"/>
            <w:vMerge w:val="restart"/>
            <w:tcBorders>
              <w:tl2br w:val="nil"/>
              <w:tr2bl w:val="nil"/>
            </w:tcBorders>
            <w:noWrap w:val="0"/>
            <w:vAlign w:val="center"/>
          </w:tcPr>
          <w:p w14:paraId="1BB210D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雄探1试采点</w:t>
            </w:r>
          </w:p>
        </w:tc>
      </w:tr>
      <w:tr w14:paraId="2EF2DB5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69" w:hRule="atLeast"/>
        </w:trPr>
        <w:tc>
          <w:tcPr>
            <w:tcW w:w="442" w:type="pct"/>
            <w:tcBorders>
              <w:tl2br w:val="nil"/>
              <w:tr2bl w:val="nil"/>
            </w:tcBorders>
            <w:noWrap w:val="0"/>
            <w:vAlign w:val="center"/>
          </w:tcPr>
          <w:p w14:paraId="58B4504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1313" w:type="pct"/>
            <w:tcBorders>
              <w:tl2br w:val="nil"/>
              <w:tr2bl w:val="nil"/>
            </w:tcBorders>
            <w:noWrap w:val="0"/>
            <w:vAlign w:val="center"/>
          </w:tcPr>
          <w:p w14:paraId="62AC2D9B">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分离器橇</w:t>
            </w:r>
          </w:p>
        </w:tc>
        <w:tc>
          <w:tcPr>
            <w:tcW w:w="948" w:type="pct"/>
            <w:tcBorders>
              <w:tl2br w:val="nil"/>
              <w:tr2bl w:val="nil"/>
            </w:tcBorders>
            <w:noWrap w:val="0"/>
            <w:vAlign w:val="center"/>
          </w:tcPr>
          <w:p w14:paraId="7EFCA2B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60</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70</w:t>
            </w:r>
          </w:p>
        </w:tc>
        <w:tc>
          <w:tcPr>
            <w:tcW w:w="1124" w:type="pct"/>
            <w:vMerge w:val="continue"/>
            <w:tcBorders>
              <w:tl2br w:val="nil"/>
              <w:tr2bl w:val="nil"/>
            </w:tcBorders>
            <w:noWrap w:val="0"/>
            <w:vAlign w:val="center"/>
          </w:tcPr>
          <w:p w14:paraId="1F12A04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786" w:type="pct"/>
            <w:tcBorders>
              <w:tl2br w:val="nil"/>
              <w:tr2bl w:val="nil"/>
            </w:tcBorders>
            <w:noWrap w:val="0"/>
            <w:vAlign w:val="center"/>
          </w:tcPr>
          <w:p w14:paraId="29C41D5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昼夜</w:t>
            </w:r>
          </w:p>
        </w:tc>
        <w:tc>
          <w:tcPr>
            <w:tcW w:w="384" w:type="pct"/>
            <w:vMerge w:val="continue"/>
            <w:tcBorders>
              <w:tl2br w:val="nil"/>
              <w:tr2bl w:val="nil"/>
            </w:tcBorders>
            <w:noWrap w:val="0"/>
            <w:vAlign w:val="center"/>
          </w:tcPr>
          <w:p w14:paraId="0E9A7A5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r>
      <w:tr w14:paraId="369A071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69" w:hRule="atLeast"/>
        </w:trPr>
        <w:tc>
          <w:tcPr>
            <w:tcW w:w="442" w:type="pct"/>
            <w:tcBorders>
              <w:tl2br w:val="nil"/>
              <w:tr2bl w:val="nil"/>
            </w:tcBorders>
            <w:noWrap w:val="0"/>
            <w:vAlign w:val="center"/>
          </w:tcPr>
          <w:p w14:paraId="15F9614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1313" w:type="pct"/>
            <w:tcBorders>
              <w:tl2br w:val="nil"/>
              <w:tr2bl w:val="nil"/>
            </w:tcBorders>
            <w:noWrap w:val="0"/>
            <w:vAlign w:val="center"/>
          </w:tcPr>
          <w:p w14:paraId="44DDC20A">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密闭定量装车橇</w:t>
            </w:r>
          </w:p>
        </w:tc>
        <w:tc>
          <w:tcPr>
            <w:tcW w:w="948" w:type="pct"/>
            <w:tcBorders>
              <w:tl2br w:val="nil"/>
              <w:tr2bl w:val="nil"/>
            </w:tcBorders>
            <w:noWrap w:val="0"/>
            <w:vAlign w:val="center"/>
          </w:tcPr>
          <w:p w14:paraId="4569B79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60</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70</w:t>
            </w:r>
          </w:p>
        </w:tc>
        <w:tc>
          <w:tcPr>
            <w:tcW w:w="1124" w:type="pct"/>
            <w:vMerge w:val="continue"/>
            <w:tcBorders>
              <w:tl2br w:val="nil"/>
              <w:tr2bl w:val="nil"/>
            </w:tcBorders>
            <w:noWrap w:val="0"/>
            <w:vAlign w:val="center"/>
          </w:tcPr>
          <w:p w14:paraId="04C4CBE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786" w:type="pct"/>
            <w:tcBorders>
              <w:tl2br w:val="nil"/>
              <w:tr2bl w:val="nil"/>
            </w:tcBorders>
            <w:noWrap w:val="0"/>
            <w:vAlign w:val="center"/>
          </w:tcPr>
          <w:p w14:paraId="3B99F01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昼夜</w:t>
            </w:r>
          </w:p>
        </w:tc>
        <w:tc>
          <w:tcPr>
            <w:tcW w:w="384" w:type="pct"/>
            <w:vMerge w:val="continue"/>
            <w:tcBorders>
              <w:tl2br w:val="nil"/>
              <w:tr2bl w:val="nil"/>
            </w:tcBorders>
            <w:noWrap w:val="0"/>
            <w:vAlign w:val="center"/>
          </w:tcPr>
          <w:p w14:paraId="0F6AF74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r>
      <w:tr w14:paraId="2CFFC86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69" w:hRule="atLeast"/>
        </w:trPr>
        <w:tc>
          <w:tcPr>
            <w:tcW w:w="442" w:type="pct"/>
            <w:tcBorders>
              <w:tl2br w:val="nil"/>
              <w:tr2bl w:val="nil"/>
            </w:tcBorders>
            <w:noWrap w:val="0"/>
            <w:vAlign w:val="center"/>
          </w:tcPr>
          <w:p w14:paraId="2E75457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1313" w:type="pct"/>
            <w:tcBorders>
              <w:tl2br w:val="nil"/>
              <w:tr2bl w:val="nil"/>
            </w:tcBorders>
            <w:noWrap w:val="0"/>
            <w:vAlign w:val="center"/>
          </w:tcPr>
          <w:p w14:paraId="791BA493">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加注橇</w:t>
            </w:r>
          </w:p>
        </w:tc>
        <w:tc>
          <w:tcPr>
            <w:tcW w:w="948" w:type="pct"/>
            <w:tcBorders>
              <w:tl2br w:val="nil"/>
              <w:tr2bl w:val="nil"/>
            </w:tcBorders>
            <w:noWrap w:val="0"/>
            <w:vAlign w:val="center"/>
          </w:tcPr>
          <w:p w14:paraId="0618A3B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60</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70</w:t>
            </w:r>
          </w:p>
        </w:tc>
        <w:tc>
          <w:tcPr>
            <w:tcW w:w="1124" w:type="pct"/>
            <w:vMerge w:val="continue"/>
            <w:tcBorders>
              <w:tl2br w:val="nil"/>
              <w:tr2bl w:val="nil"/>
            </w:tcBorders>
            <w:noWrap w:val="0"/>
            <w:vAlign w:val="center"/>
          </w:tcPr>
          <w:p w14:paraId="437E468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786" w:type="pct"/>
            <w:tcBorders>
              <w:tl2br w:val="nil"/>
              <w:tr2bl w:val="nil"/>
            </w:tcBorders>
            <w:noWrap w:val="0"/>
            <w:vAlign w:val="center"/>
          </w:tcPr>
          <w:p w14:paraId="4EE4908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昼夜</w:t>
            </w:r>
          </w:p>
        </w:tc>
        <w:tc>
          <w:tcPr>
            <w:tcW w:w="384" w:type="pct"/>
            <w:vMerge w:val="continue"/>
            <w:tcBorders>
              <w:tl2br w:val="nil"/>
              <w:tr2bl w:val="nil"/>
            </w:tcBorders>
            <w:noWrap w:val="0"/>
            <w:vAlign w:val="center"/>
          </w:tcPr>
          <w:p w14:paraId="4CC0118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r>
      <w:tr w14:paraId="1865CC3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69" w:hRule="atLeast"/>
        </w:trPr>
        <w:tc>
          <w:tcPr>
            <w:tcW w:w="442" w:type="pct"/>
            <w:tcBorders>
              <w:tl2br w:val="nil"/>
              <w:tr2bl w:val="nil"/>
            </w:tcBorders>
            <w:noWrap w:val="0"/>
            <w:vAlign w:val="center"/>
          </w:tcPr>
          <w:p w14:paraId="1ECC95B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1313" w:type="pct"/>
            <w:tcBorders>
              <w:tl2br w:val="nil"/>
              <w:tr2bl w:val="nil"/>
            </w:tcBorders>
            <w:noWrap w:val="0"/>
            <w:vAlign w:val="center"/>
          </w:tcPr>
          <w:p w14:paraId="4AAB2745">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干法脱硫塔</w:t>
            </w:r>
          </w:p>
        </w:tc>
        <w:tc>
          <w:tcPr>
            <w:tcW w:w="948" w:type="pct"/>
            <w:tcBorders>
              <w:tl2br w:val="nil"/>
              <w:tr2bl w:val="nil"/>
            </w:tcBorders>
            <w:noWrap w:val="0"/>
            <w:vAlign w:val="center"/>
          </w:tcPr>
          <w:p w14:paraId="2A40093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60</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70</w:t>
            </w:r>
          </w:p>
        </w:tc>
        <w:tc>
          <w:tcPr>
            <w:tcW w:w="1124" w:type="pct"/>
            <w:vMerge w:val="continue"/>
            <w:tcBorders>
              <w:tl2br w:val="nil"/>
              <w:tr2bl w:val="nil"/>
            </w:tcBorders>
            <w:noWrap w:val="0"/>
            <w:vAlign w:val="center"/>
          </w:tcPr>
          <w:p w14:paraId="3BEA90B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786" w:type="pct"/>
            <w:tcBorders>
              <w:tl2br w:val="nil"/>
              <w:tr2bl w:val="nil"/>
            </w:tcBorders>
            <w:noWrap w:val="0"/>
            <w:vAlign w:val="center"/>
          </w:tcPr>
          <w:p w14:paraId="4BFA220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昼夜</w:t>
            </w:r>
          </w:p>
        </w:tc>
        <w:tc>
          <w:tcPr>
            <w:tcW w:w="384" w:type="pct"/>
            <w:vMerge w:val="continue"/>
            <w:tcBorders>
              <w:tl2br w:val="nil"/>
              <w:tr2bl w:val="nil"/>
            </w:tcBorders>
            <w:noWrap w:val="0"/>
            <w:vAlign w:val="center"/>
          </w:tcPr>
          <w:p w14:paraId="13F16EE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r>
      <w:tr w14:paraId="78C5476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69" w:hRule="atLeast"/>
        </w:trPr>
        <w:tc>
          <w:tcPr>
            <w:tcW w:w="442" w:type="pct"/>
            <w:tcBorders>
              <w:tl2br w:val="nil"/>
              <w:tr2bl w:val="nil"/>
            </w:tcBorders>
            <w:noWrap w:val="0"/>
            <w:vAlign w:val="center"/>
          </w:tcPr>
          <w:p w14:paraId="7F62800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1313" w:type="pct"/>
            <w:tcBorders>
              <w:tl2br w:val="nil"/>
              <w:tr2bl w:val="nil"/>
            </w:tcBorders>
            <w:noWrap w:val="0"/>
            <w:vAlign w:val="center"/>
          </w:tcPr>
          <w:p w14:paraId="496464EE">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color w:val="auto"/>
                <w:sz w:val="21"/>
                <w:szCs w:val="21"/>
                <w:highlight w:val="none"/>
                <w:lang w:val="en-US" w:eastAsia="zh-CN"/>
              </w:rPr>
              <w:t>分子筛脱水橇</w:t>
            </w:r>
          </w:p>
        </w:tc>
        <w:tc>
          <w:tcPr>
            <w:tcW w:w="948" w:type="pct"/>
            <w:tcBorders>
              <w:tl2br w:val="nil"/>
              <w:tr2bl w:val="nil"/>
            </w:tcBorders>
            <w:noWrap w:val="0"/>
            <w:vAlign w:val="center"/>
          </w:tcPr>
          <w:p w14:paraId="6415C9D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60</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70</w:t>
            </w:r>
          </w:p>
        </w:tc>
        <w:tc>
          <w:tcPr>
            <w:tcW w:w="1124" w:type="pct"/>
            <w:vMerge w:val="continue"/>
            <w:tcBorders>
              <w:tl2br w:val="nil"/>
              <w:tr2bl w:val="nil"/>
            </w:tcBorders>
            <w:noWrap w:val="0"/>
            <w:vAlign w:val="center"/>
          </w:tcPr>
          <w:p w14:paraId="21B42CB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786" w:type="pct"/>
            <w:tcBorders>
              <w:tl2br w:val="nil"/>
              <w:tr2bl w:val="nil"/>
            </w:tcBorders>
            <w:noWrap w:val="0"/>
            <w:vAlign w:val="center"/>
          </w:tcPr>
          <w:p w14:paraId="182C480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昼夜</w:t>
            </w:r>
          </w:p>
        </w:tc>
        <w:tc>
          <w:tcPr>
            <w:tcW w:w="384" w:type="pct"/>
            <w:vMerge w:val="continue"/>
            <w:tcBorders>
              <w:tl2br w:val="nil"/>
              <w:tr2bl w:val="nil"/>
            </w:tcBorders>
            <w:noWrap w:val="0"/>
            <w:vAlign w:val="center"/>
          </w:tcPr>
          <w:p w14:paraId="0E39991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r>
      <w:tr w14:paraId="5569F1A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69" w:hRule="atLeast"/>
        </w:trPr>
        <w:tc>
          <w:tcPr>
            <w:tcW w:w="442" w:type="pct"/>
            <w:tcBorders>
              <w:tl2br w:val="nil"/>
              <w:tr2bl w:val="nil"/>
            </w:tcBorders>
            <w:noWrap w:val="0"/>
            <w:vAlign w:val="center"/>
          </w:tcPr>
          <w:p w14:paraId="379F689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w:t>
            </w:r>
          </w:p>
        </w:tc>
        <w:tc>
          <w:tcPr>
            <w:tcW w:w="1313" w:type="pct"/>
            <w:tcBorders>
              <w:tl2br w:val="nil"/>
              <w:tr2bl w:val="nil"/>
            </w:tcBorders>
            <w:noWrap w:val="0"/>
            <w:vAlign w:val="center"/>
          </w:tcPr>
          <w:p w14:paraId="0D862EA4">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eastAsia" w:eastAsia="宋体"/>
                <w:i w:val="0"/>
                <w:iCs w:val="0"/>
                <w:color w:val="auto"/>
                <w:kern w:val="0"/>
                <w:sz w:val="21"/>
                <w:szCs w:val="21"/>
                <w:highlight w:val="none"/>
                <w:lang w:eastAsia="zh-CN" w:bidi="ar"/>
              </w:rPr>
              <w:t>8井式进站阀组橇</w:t>
            </w:r>
          </w:p>
        </w:tc>
        <w:tc>
          <w:tcPr>
            <w:tcW w:w="948" w:type="pct"/>
            <w:tcBorders>
              <w:tl2br w:val="nil"/>
              <w:tr2bl w:val="nil"/>
            </w:tcBorders>
            <w:noWrap w:val="0"/>
            <w:vAlign w:val="center"/>
          </w:tcPr>
          <w:p w14:paraId="05B5444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60</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70</w:t>
            </w:r>
          </w:p>
        </w:tc>
        <w:tc>
          <w:tcPr>
            <w:tcW w:w="1124" w:type="pct"/>
            <w:vMerge w:val="continue"/>
            <w:tcBorders>
              <w:tl2br w:val="nil"/>
              <w:tr2bl w:val="nil"/>
            </w:tcBorders>
            <w:noWrap w:val="0"/>
            <w:vAlign w:val="center"/>
          </w:tcPr>
          <w:p w14:paraId="76B76F2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786" w:type="pct"/>
            <w:tcBorders>
              <w:tl2br w:val="nil"/>
              <w:tr2bl w:val="nil"/>
            </w:tcBorders>
            <w:noWrap w:val="0"/>
            <w:vAlign w:val="center"/>
          </w:tcPr>
          <w:p w14:paraId="433B671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昼夜</w:t>
            </w:r>
          </w:p>
        </w:tc>
        <w:tc>
          <w:tcPr>
            <w:tcW w:w="384" w:type="pct"/>
            <w:vMerge w:val="continue"/>
            <w:tcBorders>
              <w:tl2br w:val="nil"/>
              <w:tr2bl w:val="nil"/>
            </w:tcBorders>
            <w:noWrap w:val="0"/>
            <w:vAlign w:val="center"/>
          </w:tcPr>
          <w:p w14:paraId="3392C51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r>
      <w:tr w14:paraId="1EB922D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69" w:hRule="atLeast"/>
        </w:trPr>
        <w:tc>
          <w:tcPr>
            <w:tcW w:w="442" w:type="pct"/>
            <w:tcBorders>
              <w:tl2br w:val="nil"/>
              <w:tr2bl w:val="nil"/>
            </w:tcBorders>
            <w:noWrap w:val="0"/>
            <w:vAlign w:val="center"/>
          </w:tcPr>
          <w:p w14:paraId="4014AD1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1313" w:type="pct"/>
            <w:tcBorders>
              <w:tl2br w:val="nil"/>
              <w:tr2bl w:val="nil"/>
            </w:tcBorders>
            <w:noWrap w:val="0"/>
            <w:vAlign w:val="center"/>
          </w:tcPr>
          <w:p w14:paraId="7070D211">
            <w:pPr>
              <w:widowControl/>
              <w:spacing w:line="360" w:lineRule="exact"/>
              <w:ind w:left="57" w:leftChars="0" w:firstLine="0" w:firstLine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eastAsia"/>
                <w:i w:val="0"/>
                <w:iCs w:val="0"/>
                <w:color w:val="auto"/>
                <w:kern w:val="0"/>
                <w:sz w:val="21"/>
                <w:szCs w:val="21"/>
                <w:highlight w:val="none"/>
                <w:lang w:bidi="ar"/>
              </w:rPr>
              <w:t>压缩机</w:t>
            </w:r>
          </w:p>
        </w:tc>
        <w:tc>
          <w:tcPr>
            <w:tcW w:w="948" w:type="pct"/>
            <w:tcBorders>
              <w:tl2br w:val="nil"/>
              <w:tr2bl w:val="nil"/>
            </w:tcBorders>
            <w:noWrap w:val="0"/>
            <w:vAlign w:val="center"/>
          </w:tcPr>
          <w:p w14:paraId="79CEF0D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85</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90</w:t>
            </w:r>
          </w:p>
        </w:tc>
        <w:tc>
          <w:tcPr>
            <w:tcW w:w="1124" w:type="pct"/>
            <w:vMerge w:val="continue"/>
            <w:tcBorders>
              <w:tl2br w:val="nil"/>
              <w:tr2bl w:val="nil"/>
            </w:tcBorders>
            <w:noWrap w:val="0"/>
            <w:vAlign w:val="center"/>
          </w:tcPr>
          <w:p w14:paraId="71566A8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786" w:type="pct"/>
            <w:tcBorders>
              <w:tl2br w:val="nil"/>
              <w:tr2bl w:val="nil"/>
            </w:tcBorders>
            <w:noWrap w:val="0"/>
            <w:vAlign w:val="center"/>
          </w:tcPr>
          <w:p w14:paraId="5AC6B2B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昼夜</w:t>
            </w:r>
          </w:p>
        </w:tc>
        <w:tc>
          <w:tcPr>
            <w:tcW w:w="384" w:type="pct"/>
            <w:vMerge w:val="continue"/>
            <w:tcBorders>
              <w:tl2br w:val="nil"/>
              <w:tr2bl w:val="nil"/>
            </w:tcBorders>
            <w:noWrap w:val="0"/>
            <w:vAlign w:val="center"/>
          </w:tcPr>
          <w:p w14:paraId="6A67E5F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r>
      <w:tr w14:paraId="6E99C58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69" w:hRule="atLeast"/>
        </w:trPr>
        <w:tc>
          <w:tcPr>
            <w:tcW w:w="442" w:type="pct"/>
            <w:tcBorders>
              <w:tl2br w:val="nil"/>
              <w:tr2bl w:val="nil"/>
            </w:tcBorders>
            <w:noWrap w:val="0"/>
            <w:vAlign w:val="center"/>
          </w:tcPr>
          <w:p w14:paraId="2FBC38F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w:t>
            </w:r>
          </w:p>
        </w:tc>
        <w:tc>
          <w:tcPr>
            <w:tcW w:w="1313" w:type="pct"/>
            <w:tcBorders>
              <w:tl2br w:val="nil"/>
              <w:tr2bl w:val="nil"/>
            </w:tcBorders>
            <w:noWrap w:val="0"/>
            <w:vAlign w:val="center"/>
          </w:tcPr>
          <w:p w14:paraId="248EECB7">
            <w:pPr>
              <w:keepNext w:val="0"/>
              <w:keepLines w:val="0"/>
              <w:widowControl/>
              <w:suppressLineNumbers w:val="0"/>
              <w:jc w:val="center"/>
              <w:rPr>
                <w:rFonts w:hint="default" w:ascii="Times New Roman" w:hAnsi="Times New Roman" w:eastAsia="宋体" w:cs="Times New Roman"/>
                <w:i w:val="0"/>
                <w:iCs w:val="0"/>
                <w:color w:val="auto"/>
                <w:kern w:val="0"/>
                <w:sz w:val="21"/>
                <w:szCs w:val="21"/>
                <w:highlight w:val="none"/>
                <w:lang w:val="en-US" w:eastAsia="zh-CN" w:bidi="ar"/>
              </w:rPr>
            </w:pPr>
            <w:r>
              <w:rPr>
                <w:rFonts w:hint="eastAsia" w:ascii="宋体" w:hAnsi="宋体" w:eastAsia="宋体" w:cs="宋体"/>
                <w:color w:val="auto"/>
                <w:kern w:val="0"/>
                <w:sz w:val="20"/>
                <w:szCs w:val="20"/>
                <w:lang w:val="en-US" w:eastAsia="zh-CN" w:bidi="ar"/>
              </w:rPr>
              <w:t>地面自动点火装置</w:t>
            </w:r>
          </w:p>
        </w:tc>
        <w:tc>
          <w:tcPr>
            <w:tcW w:w="948" w:type="pct"/>
            <w:tcBorders>
              <w:tl2br w:val="nil"/>
              <w:tr2bl w:val="nil"/>
            </w:tcBorders>
            <w:noWrap w:val="0"/>
            <w:vAlign w:val="center"/>
          </w:tcPr>
          <w:p w14:paraId="657DD97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105</w:t>
            </w:r>
          </w:p>
        </w:tc>
        <w:tc>
          <w:tcPr>
            <w:tcW w:w="1124" w:type="pct"/>
            <w:tcBorders>
              <w:tl2br w:val="nil"/>
              <w:tr2bl w:val="nil"/>
            </w:tcBorders>
            <w:noWrap w:val="0"/>
            <w:vAlign w:val="center"/>
          </w:tcPr>
          <w:p w14:paraId="094CE26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786" w:type="pct"/>
            <w:tcBorders>
              <w:tl2br w:val="nil"/>
              <w:tr2bl w:val="nil"/>
            </w:tcBorders>
            <w:noWrap w:val="0"/>
            <w:vAlign w:val="center"/>
          </w:tcPr>
          <w:p w14:paraId="3182C09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事故状态</w:t>
            </w:r>
          </w:p>
        </w:tc>
        <w:tc>
          <w:tcPr>
            <w:tcW w:w="384" w:type="pct"/>
            <w:vMerge w:val="continue"/>
            <w:tcBorders>
              <w:tl2br w:val="nil"/>
              <w:tr2bl w:val="nil"/>
            </w:tcBorders>
            <w:noWrap w:val="0"/>
            <w:vAlign w:val="center"/>
          </w:tcPr>
          <w:p w14:paraId="2C7CBFF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r>
    </w:tbl>
    <w:p w14:paraId="263C0872">
      <w:pPr>
        <w:pStyle w:val="55"/>
        <w:bidi w:val="0"/>
        <w:rPr>
          <w:rFonts w:hint="default"/>
          <w:color w:val="auto"/>
          <w:lang w:val="en-US" w:eastAsia="zh-CN"/>
        </w:rPr>
      </w:pPr>
      <w:r>
        <w:rPr>
          <w:rFonts w:hint="default"/>
          <w:color w:val="auto"/>
          <w:lang w:val="en-US" w:eastAsia="zh-CN"/>
        </w:rPr>
        <w:t>3.</w:t>
      </w:r>
      <w:r>
        <w:rPr>
          <w:rFonts w:hint="eastAsia"/>
          <w:color w:val="auto"/>
          <w:lang w:val="en-US" w:eastAsia="zh-CN"/>
        </w:rPr>
        <w:t>3</w:t>
      </w:r>
      <w:r>
        <w:rPr>
          <w:rFonts w:hint="default"/>
          <w:color w:val="auto"/>
          <w:lang w:val="en-US" w:eastAsia="zh-CN"/>
        </w:rPr>
        <w:t>.</w:t>
      </w:r>
      <w:r>
        <w:rPr>
          <w:rFonts w:hint="eastAsia"/>
          <w:color w:val="auto"/>
          <w:lang w:val="en-US" w:eastAsia="zh-CN"/>
        </w:rPr>
        <w:t>3</w:t>
      </w:r>
      <w:r>
        <w:rPr>
          <w:rFonts w:hint="default"/>
          <w:color w:val="auto"/>
          <w:lang w:val="en-US" w:eastAsia="zh-CN"/>
        </w:rPr>
        <w:t>.</w:t>
      </w:r>
      <w:r>
        <w:rPr>
          <w:rFonts w:hint="eastAsia"/>
          <w:color w:val="auto"/>
          <w:lang w:val="en-US" w:eastAsia="zh-CN"/>
        </w:rPr>
        <w:t xml:space="preserve">4 </w:t>
      </w:r>
      <w:r>
        <w:rPr>
          <w:rFonts w:hint="default"/>
          <w:color w:val="auto"/>
          <w:lang w:val="en-US" w:eastAsia="zh-CN"/>
        </w:rPr>
        <w:t>固体废物污染源</w:t>
      </w:r>
      <w:bookmarkEnd w:id="377"/>
    </w:p>
    <w:p w14:paraId="0B71CA2A">
      <w:pPr>
        <w:pStyle w:val="79"/>
        <w:bidi w:val="0"/>
        <w:rPr>
          <w:rFonts w:hint="eastAsia"/>
          <w:color w:val="auto"/>
        </w:rPr>
      </w:pPr>
      <w:r>
        <w:rPr>
          <w:rFonts w:hint="eastAsia"/>
          <w:color w:val="auto"/>
        </w:rPr>
        <w:t>本工程运行过程中产生的固废主要为</w:t>
      </w:r>
      <w:r>
        <w:rPr>
          <w:rFonts w:hint="eastAsia"/>
          <w:color w:val="auto"/>
          <w:lang w:val="en-US" w:eastAsia="zh-CN"/>
        </w:rPr>
        <w:t>废脱硫剂、废分子筛、</w:t>
      </w:r>
      <w:r>
        <w:rPr>
          <w:rFonts w:hint="eastAsia"/>
          <w:color w:val="auto"/>
        </w:rPr>
        <w:t>清管废渣、</w:t>
      </w:r>
      <w:r>
        <w:rPr>
          <w:rFonts w:hint="eastAsia"/>
          <w:color w:val="auto"/>
          <w:lang w:val="en-US" w:eastAsia="zh-CN"/>
        </w:rPr>
        <w:t>油泥砂</w:t>
      </w:r>
      <w:r>
        <w:rPr>
          <w:rFonts w:hint="eastAsia"/>
          <w:color w:val="auto"/>
        </w:rPr>
        <w:t>、</w:t>
      </w:r>
      <w:r>
        <w:rPr>
          <w:rFonts w:hint="eastAsia"/>
          <w:color w:val="auto"/>
          <w:lang w:val="en-US" w:eastAsia="zh-CN"/>
        </w:rPr>
        <w:t>落地油、废防渗膜、</w:t>
      </w:r>
      <w:r>
        <w:rPr>
          <w:rFonts w:hint="eastAsia"/>
          <w:color w:val="auto"/>
        </w:rPr>
        <w:t>废润滑油、</w:t>
      </w:r>
      <w:r>
        <w:rPr>
          <w:rFonts w:hint="eastAsia"/>
          <w:color w:val="auto"/>
          <w:lang w:val="en-US" w:eastAsia="zh-CN"/>
        </w:rPr>
        <w:t>井下作业固废</w:t>
      </w:r>
      <w:r>
        <w:rPr>
          <w:rFonts w:hint="eastAsia"/>
          <w:color w:val="auto"/>
        </w:rPr>
        <w:t>及生活垃圾。</w:t>
      </w:r>
    </w:p>
    <w:p w14:paraId="44418650">
      <w:pPr>
        <w:pStyle w:val="79"/>
        <w:bidi w:val="0"/>
        <w:rPr>
          <w:rFonts w:hint="default"/>
          <w:color w:val="auto"/>
          <w:lang w:val="en-US" w:eastAsia="zh-CN"/>
        </w:rPr>
      </w:pPr>
      <w:bookmarkStart w:id="400" w:name="OLE_LINK317"/>
      <w:bookmarkStart w:id="401" w:name="OLE_LINK29"/>
      <w:r>
        <w:rPr>
          <w:rFonts w:hint="eastAsia"/>
          <w:color w:val="auto"/>
        </w:rPr>
        <w:t>（1）废</w:t>
      </w:r>
      <w:r>
        <w:rPr>
          <w:rFonts w:hint="eastAsia"/>
          <w:color w:val="auto"/>
          <w:lang w:val="en-US" w:eastAsia="zh-CN"/>
        </w:rPr>
        <w:t>脱硫剂</w:t>
      </w:r>
    </w:p>
    <w:bookmarkEnd w:id="400"/>
    <w:p w14:paraId="7C3658E3">
      <w:pPr>
        <w:pStyle w:val="79"/>
        <w:bidi w:val="0"/>
        <w:rPr>
          <w:rFonts w:hint="default"/>
          <w:color w:val="auto"/>
          <w:lang w:val="en-US" w:eastAsia="zh-CN"/>
        </w:rPr>
      </w:pPr>
      <w:bookmarkStart w:id="402" w:name="OLE_LINK313"/>
      <w:bookmarkStart w:id="403" w:name="OLE_LINK300"/>
      <w:bookmarkStart w:id="404" w:name="OLE_LINK303"/>
      <w:bookmarkStart w:id="405" w:name="OLE_LINK314"/>
      <w:r>
        <w:rPr>
          <w:rFonts w:hint="eastAsia"/>
          <w:color w:val="auto"/>
          <w:lang w:val="en-US" w:eastAsia="zh-CN"/>
        </w:rPr>
        <w:t>本工程在雄探1试采点设有6座干法脱硫塔利用，脱硫剂为氧化铁。</w:t>
      </w:r>
      <w:bookmarkEnd w:id="402"/>
      <w:bookmarkEnd w:id="403"/>
      <w:bookmarkEnd w:id="404"/>
      <w:r>
        <w:rPr>
          <w:rFonts w:hint="eastAsia"/>
          <w:color w:val="auto"/>
          <w:lang w:val="en-US" w:eastAsia="zh-CN"/>
        </w:rPr>
        <w:t>根据建设单位提供资料，干法脱硫过程中每一个月换一次脱硫剂，每次换3个塔，单个塔脱硫剂填料为24.2m</w:t>
      </w:r>
      <w:r>
        <w:rPr>
          <w:rFonts w:hint="eastAsia"/>
          <w:color w:val="auto"/>
          <w:vertAlign w:val="superscript"/>
          <w:lang w:val="en-US" w:eastAsia="zh-CN"/>
        </w:rPr>
        <w:t>3</w:t>
      </w:r>
      <w:r>
        <w:rPr>
          <w:rFonts w:hint="eastAsia"/>
          <w:color w:val="auto"/>
          <w:lang w:val="en-US" w:eastAsia="zh-CN"/>
        </w:rPr>
        <w:t>。通过计算，废脱硫剂的产生量为871.2m</w:t>
      </w:r>
      <w:r>
        <w:rPr>
          <w:rFonts w:hint="eastAsia"/>
          <w:color w:val="auto"/>
          <w:vertAlign w:val="superscript"/>
          <w:lang w:val="en-US" w:eastAsia="zh-CN"/>
        </w:rPr>
        <w:t>3</w:t>
      </w:r>
      <w:r>
        <w:rPr>
          <w:rFonts w:hint="eastAsia"/>
          <w:color w:val="auto"/>
          <w:lang w:val="en-US" w:eastAsia="zh-CN"/>
        </w:rPr>
        <w:t>/a。</w:t>
      </w:r>
    </w:p>
    <w:p w14:paraId="239CFD73">
      <w:pPr>
        <w:pStyle w:val="79"/>
        <w:bidi w:val="0"/>
        <w:rPr>
          <w:rFonts w:hint="default"/>
          <w:color w:val="auto"/>
          <w:lang w:val="en-US" w:eastAsia="zh-CN"/>
        </w:rPr>
      </w:pPr>
      <w:r>
        <w:rPr>
          <w:rFonts w:hint="eastAsia"/>
          <w:color w:val="auto"/>
          <w:lang w:val="en-US" w:eastAsia="zh-CN"/>
        </w:rPr>
        <w:t>本工程干法脱硫过程中产生的废脱硫剂属于一般工业固体废物，由生产厂家进行更换脱硫剂，更换后由其拉走处置。</w:t>
      </w:r>
    </w:p>
    <w:bookmarkEnd w:id="405"/>
    <w:p w14:paraId="37A9D8F0">
      <w:pPr>
        <w:pStyle w:val="79"/>
        <w:bidi w:val="0"/>
        <w:rPr>
          <w:rFonts w:hint="default"/>
          <w:color w:val="auto"/>
          <w:lang w:val="en-US"/>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lang w:val="en-US" w:eastAsia="zh-CN"/>
        </w:rPr>
        <w:t>废分子筛</w:t>
      </w:r>
    </w:p>
    <w:p w14:paraId="1AC8EF72">
      <w:pPr>
        <w:pStyle w:val="79"/>
        <w:bidi w:val="0"/>
        <w:rPr>
          <w:rFonts w:hint="eastAsia"/>
          <w:color w:val="auto"/>
          <w:lang w:val="en-US" w:eastAsia="zh-CN"/>
        </w:rPr>
      </w:pPr>
      <w:r>
        <w:rPr>
          <w:rFonts w:hint="eastAsia"/>
          <w:color w:val="auto"/>
          <w:lang w:val="en-US" w:eastAsia="zh-CN"/>
        </w:rPr>
        <w:t>本工程在天然气脱水单元会产生废分子筛，属于一般固废，分子筛每两年更换一次，产生量约90m</w:t>
      </w:r>
      <w:r>
        <w:rPr>
          <w:rFonts w:hint="eastAsia"/>
          <w:color w:val="auto"/>
          <w:vertAlign w:val="superscript"/>
          <w:lang w:val="en-US" w:eastAsia="zh-CN"/>
        </w:rPr>
        <w:t>3</w:t>
      </w:r>
      <w:r>
        <w:rPr>
          <w:rFonts w:hint="eastAsia"/>
          <w:color w:val="auto"/>
          <w:lang w:val="en-US" w:eastAsia="zh-CN"/>
        </w:rPr>
        <w:t>/次（45m</w:t>
      </w:r>
      <w:r>
        <w:rPr>
          <w:rFonts w:hint="eastAsia"/>
          <w:color w:val="auto"/>
          <w:vertAlign w:val="superscript"/>
          <w:lang w:val="en-US" w:eastAsia="zh-CN"/>
        </w:rPr>
        <w:t>3</w:t>
      </w:r>
      <w:r>
        <w:rPr>
          <w:rFonts w:hint="eastAsia"/>
          <w:color w:val="auto"/>
          <w:lang w:val="en-US" w:eastAsia="zh-CN"/>
        </w:rPr>
        <w:t>/a），由生产厂家进行更换，更换后由其拉走处置。</w:t>
      </w:r>
    </w:p>
    <w:p w14:paraId="6B689E37">
      <w:pPr>
        <w:pStyle w:val="79"/>
        <w:bidi w:val="0"/>
        <w:rPr>
          <w:rFonts w:hint="default"/>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rFonts w:hint="default"/>
          <w:color w:val="auto"/>
        </w:rPr>
        <w:t>清管废渣</w:t>
      </w:r>
    </w:p>
    <w:bookmarkEnd w:id="401"/>
    <w:p w14:paraId="5A25EF4C">
      <w:pPr>
        <w:pStyle w:val="79"/>
        <w:bidi w:val="0"/>
        <w:rPr>
          <w:rFonts w:hint="default"/>
          <w:color w:val="auto"/>
        </w:rPr>
      </w:pPr>
      <w:bookmarkStart w:id="406" w:name="_Hlk72018789"/>
      <w:r>
        <w:rPr>
          <w:rFonts w:hint="default"/>
          <w:color w:val="auto"/>
        </w:rPr>
        <w:t>集输管线清管作业产生清管废渣，每2年清管1次。根据类别调查，一般清管废渣产生量为1.15kg/km，本工程新建</w:t>
      </w:r>
      <w:r>
        <w:rPr>
          <w:rFonts w:hint="eastAsia"/>
          <w:color w:val="auto"/>
          <w:lang w:val="en-US" w:eastAsia="zh-CN"/>
        </w:rPr>
        <w:t>各类集输</w:t>
      </w:r>
      <w:r>
        <w:rPr>
          <w:rFonts w:hint="default"/>
          <w:color w:val="auto"/>
        </w:rPr>
        <w:t>管线</w:t>
      </w:r>
      <w:r>
        <w:rPr>
          <w:rFonts w:hint="eastAsia"/>
          <w:color w:val="auto"/>
          <w:lang w:val="en-US" w:eastAsia="zh-CN"/>
        </w:rPr>
        <w:t>24.7</w:t>
      </w:r>
      <w:r>
        <w:rPr>
          <w:rFonts w:hint="default"/>
          <w:color w:val="auto"/>
        </w:rPr>
        <w:t>km，每次废渣产生量约</w:t>
      </w:r>
      <w:r>
        <w:rPr>
          <w:rFonts w:hint="eastAsia"/>
          <w:color w:val="auto"/>
          <w:lang w:val="en-US" w:eastAsia="zh-CN"/>
        </w:rPr>
        <w:t>28.41</w:t>
      </w:r>
      <w:r>
        <w:rPr>
          <w:rFonts w:hint="default"/>
          <w:color w:val="auto"/>
        </w:rPr>
        <w:t>kg（</w:t>
      </w:r>
      <w:r>
        <w:rPr>
          <w:rFonts w:hint="eastAsia"/>
          <w:color w:val="auto"/>
          <w:lang w:val="en-US" w:eastAsia="zh-CN"/>
        </w:rPr>
        <w:t>0.014</w:t>
      </w:r>
      <w:r>
        <w:rPr>
          <w:rFonts w:hint="default"/>
          <w:color w:val="auto"/>
        </w:rPr>
        <w:t>t/a）。清管废渣的主要成分为SS和氧化铁等，还含有少量管道中的油，属于危险废物HW08（废物代码：071-001-08），严格按危险废物相关技术要求和管理规定进行收集与贮存，委托有危废处置资质单位进行处置。</w:t>
      </w:r>
    </w:p>
    <w:bookmarkEnd w:id="406"/>
    <w:p w14:paraId="09D35538">
      <w:pPr>
        <w:pStyle w:val="79"/>
        <w:bidi w:val="0"/>
        <w:rPr>
          <w:rFonts w:hint="eastAsia"/>
          <w:color w:val="auto"/>
          <w:lang w:val="en-US" w:eastAsia="zh-CN"/>
        </w:rPr>
      </w:pPr>
      <w:bookmarkStart w:id="407" w:name="OLE_LINK318"/>
      <w:r>
        <w:rPr>
          <w:rFonts w:hint="eastAsia"/>
          <w:color w:val="auto"/>
          <w:lang w:eastAsia="zh-CN"/>
        </w:rPr>
        <w:t>（</w:t>
      </w:r>
      <w:r>
        <w:rPr>
          <w:rFonts w:hint="eastAsia"/>
          <w:color w:val="auto"/>
          <w:lang w:val="en-US" w:eastAsia="zh-CN"/>
        </w:rPr>
        <w:t>3</w:t>
      </w:r>
      <w:r>
        <w:rPr>
          <w:rFonts w:hint="eastAsia"/>
          <w:color w:val="auto"/>
          <w:lang w:eastAsia="zh-CN"/>
        </w:rPr>
        <w:t>）井下作业固废</w:t>
      </w:r>
    </w:p>
    <w:bookmarkEnd w:id="407"/>
    <w:p w14:paraId="37FE401C">
      <w:pPr>
        <w:pStyle w:val="79"/>
        <w:bidi w:val="0"/>
        <w:rPr>
          <w:rFonts w:hint="eastAsia"/>
          <w:color w:val="auto"/>
          <w:lang w:val="en-US" w:eastAsia="zh-CN"/>
        </w:rPr>
      </w:pPr>
      <w:r>
        <w:rPr>
          <w:rFonts w:hint="eastAsia"/>
          <w:color w:val="auto"/>
          <w:lang w:val="en-US" w:eastAsia="zh-CN"/>
        </w:rPr>
        <w:t>井下作业固废的产生是临时性的，主要通过酸化、压裂、洗井等工序，产生大量的酸化液、压裂液和洗井液。参考《</w:t>
      </w:r>
      <w:bookmarkStart w:id="408" w:name="OLE_LINK320"/>
      <w:bookmarkStart w:id="409" w:name="OLE_LINK319"/>
      <w:r>
        <w:rPr>
          <w:rFonts w:hint="eastAsia"/>
          <w:color w:val="auto"/>
          <w:lang w:val="en-US" w:eastAsia="zh-CN"/>
        </w:rPr>
        <w:t>排放源统计调查</w:t>
      </w:r>
      <w:bookmarkEnd w:id="408"/>
      <w:r>
        <w:rPr>
          <w:rFonts w:hint="eastAsia"/>
          <w:color w:val="auto"/>
          <w:lang w:val="en-US" w:eastAsia="zh-CN"/>
        </w:rPr>
        <w:t>产排污核算方法和系数手册</w:t>
      </w:r>
      <w:bookmarkEnd w:id="409"/>
      <w:r>
        <w:rPr>
          <w:rFonts w:hint="eastAsia"/>
          <w:color w:val="auto"/>
          <w:lang w:val="en-US" w:eastAsia="zh-CN"/>
        </w:rPr>
        <w:t>》（生态环境部公告2021年第24号）中1120</w:t>
      </w:r>
      <w:bookmarkStart w:id="410" w:name="OLE_LINK321"/>
      <w:r>
        <w:rPr>
          <w:rFonts w:hint="eastAsia"/>
          <w:color w:val="auto"/>
          <w:lang w:val="en-US" w:eastAsia="zh-CN"/>
        </w:rPr>
        <w:t>石油和天然气开采专业及辅助性活动行业系数表</w:t>
      </w:r>
      <w:bookmarkEnd w:id="410"/>
      <w:r>
        <w:rPr>
          <w:rFonts w:hint="eastAsia"/>
          <w:color w:val="auto"/>
          <w:lang w:val="en-US" w:eastAsia="zh-CN"/>
        </w:rPr>
        <w:t>中井下作业各类固废产排污系数（见表3.3-14），计算井下作业固废的产生量。</w:t>
      </w:r>
    </w:p>
    <w:p w14:paraId="0BCE6CCA">
      <w:pPr>
        <w:pStyle w:val="61"/>
        <w:bidi w:val="0"/>
        <w:jc w:val="both"/>
        <w:rPr>
          <w:rFonts w:hint="eastAsia"/>
          <w:color w:val="auto"/>
          <w:lang w:val="en-US" w:eastAsia="zh-CN"/>
        </w:rPr>
      </w:pPr>
      <w:r>
        <w:rPr>
          <w:rFonts w:hint="eastAsia"/>
          <w:color w:val="auto"/>
          <w:lang w:val="en-US" w:eastAsia="zh-CN"/>
        </w:rPr>
        <w:t>表3.3-14   石油和天然气开采专业及辅助性活动行业系数表</w:t>
      </w:r>
    </w:p>
    <w:tbl>
      <w:tblPr>
        <w:tblStyle w:val="36"/>
        <w:tblW w:w="4949"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52"/>
        <w:gridCol w:w="811"/>
        <w:gridCol w:w="1028"/>
        <w:gridCol w:w="716"/>
        <w:gridCol w:w="1530"/>
        <w:gridCol w:w="972"/>
        <w:gridCol w:w="826"/>
        <w:gridCol w:w="1467"/>
        <w:gridCol w:w="642"/>
      </w:tblGrid>
      <w:tr w14:paraId="06F309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30" w:type="pct"/>
            <w:tcBorders>
              <w:tl2br w:val="nil"/>
              <w:tr2bl w:val="nil"/>
            </w:tcBorders>
            <w:noWrap w:val="0"/>
            <w:vAlign w:val="center"/>
          </w:tcPr>
          <w:p w14:paraId="6BFDDCA5">
            <w:pPr>
              <w:spacing w:line="240" w:lineRule="auto"/>
              <w:ind w:firstLine="0" w:firstLineChars="0"/>
              <w:rPr>
                <w:b w:val="0"/>
                <w:bCs w:val="0"/>
                <w:color w:val="auto"/>
                <w:sz w:val="21"/>
                <w:szCs w:val="21"/>
              </w:rPr>
            </w:pPr>
            <w:r>
              <w:rPr>
                <w:b w:val="0"/>
                <w:bCs w:val="0"/>
                <w:color w:val="auto"/>
                <w:sz w:val="21"/>
                <w:szCs w:val="21"/>
              </w:rPr>
              <w:t>产品</w:t>
            </w:r>
          </w:p>
          <w:p w14:paraId="1928D220">
            <w:pPr>
              <w:spacing w:line="240" w:lineRule="auto"/>
              <w:ind w:firstLine="0" w:firstLineChars="0"/>
              <w:rPr>
                <w:b w:val="0"/>
                <w:bCs w:val="0"/>
                <w:color w:val="auto"/>
                <w:sz w:val="21"/>
                <w:szCs w:val="21"/>
              </w:rPr>
            </w:pPr>
            <w:r>
              <w:rPr>
                <w:b w:val="0"/>
                <w:bCs w:val="0"/>
                <w:color w:val="auto"/>
                <w:sz w:val="21"/>
                <w:szCs w:val="21"/>
              </w:rPr>
              <w:t>名称</w:t>
            </w:r>
          </w:p>
        </w:tc>
        <w:tc>
          <w:tcPr>
            <w:tcW w:w="463" w:type="pct"/>
            <w:tcBorders>
              <w:tl2br w:val="nil"/>
              <w:tr2bl w:val="nil"/>
            </w:tcBorders>
            <w:noWrap w:val="0"/>
            <w:vAlign w:val="center"/>
          </w:tcPr>
          <w:p w14:paraId="6612FF71">
            <w:pPr>
              <w:spacing w:line="240" w:lineRule="auto"/>
              <w:ind w:firstLine="0" w:firstLineChars="0"/>
              <w:rPr>
                <w:b w:val="0"/>
                <w:bCs w:val="0"/>
                <w:color w:val="auto"/>
                <w:sz w:val="21"/>
                <w:szCs w:val="21"/>
              </w:rPr>
            </w:pPr>
            <w:r>
              <w:rPr>
                <w:b w:val="0"/>
                <w:bCs w:val="0"/>
                <w:color w:val="auto"/>
                <w:sz w:val="21"/>
                <w:szCs w:val="21"/>
              </w:rPr>
              <w:t>原料</w:t>
            </w:r>
          </w:p>
          <w:p w14:paraId="1B80649F">
            <w:pPr>
              <w:spacing w:line="240" w:lineRule="auto"/>
              <w:ind w:firstLine="0" w:firstLineChars="0"/>
              <w:rPr>
                <w:b w:val="0"/>
                <w:bCs w:val="0"/>
                <w:color w:val="auto"/>
                <w:sz w:val="21"/>
                <w:szCs w:val="21"/>
              </w:rPr>
            </w:pPr>
            <w:r>
              <w:rPr>
                <w:b w:val="0"/>
                <w:bCs w:val="0"/>
                <w:color w:val="auto"/>
                <w:sz w:val="21"/>
                <w:szCs w:val="21"/>
              </w:rPr>
              <w:t>名称</w:t>
            </w:r>
          </w:p>
        </w:tc>
        <w:tc>
          <w:tcPr>
            <w:tcW w:w="587" w:type="pct"/>
            <w:tcBorders>
              <w:tl2br w:val="nil"/>
              <w:tr2bl w:val="nil"/>
            </w:tcBorders>
            <w:noWrap w:val="0"/>
            <w:vAlign w:val="center"/>
          </w:tcPr>
          <w:p w14:paraId="5351B394">
            <w:pPr>
              <w:spacing w:line="240" w:lineRule="auto"/>
              <w:ind w:firstLine="0" w:firstLineChars="0"/>
              <w:rPr>
                <w:b w:val="0"/>
                <w:bCs w:val="0"/>
                <w:color w:val="auto"/>
                <w:sz w:val="21"/>
                <w:szCs w:val="21"/>
              </w:rPr>
            </w:pPr>
            <w:r>
              <w:rPr>
                <w:b w:val="0"/>
                <w:bCs w:val="0"/>
                <w:color w:val="auto"/>
                <w:sz w:val="21"/>
                <w:szCs w:val="21"/>
              </w:rPr>
              <w:t>工艺</w:t>
            </w:r>
          </w:p>
          <w:p w14:paraId="5AD4AC5C">
            <w:pPr>
              <w:spacing w:line="240" w:lineRule="auto"/>
              <w:ind w:firstLine="0" w:firstLineChars="0"/>
              <w:rPr>
                <w:b w:val="0"/>
                <w:bCs w:val="0"/>
                <w:color w:val="auto"/>
                <w:sz w:val="21"/>
                <w:szCs w:val="21"/>
              </w:rPr>
            </w:pPr>
            <w:r>
              <w:rPr>
                <w:b w:val="0"/>
                <w:bCs w:val="0"/>
                <w:color w:val="auto"/>
                <w:sz w:val="21"/>
                <w:szCs w:val="21"/>
              </w:rPr>
              <w:t>名称</w:t>
            </w:r>
          </w:p>
        </w:tc>
        <w:tc>
          <w:tcPr>
            <w:tcW w:w="409" w:type="pct"/>
            <w:tcBorders>
              <w:tl2br w:val="nil"/>
              <w:tr2bl w:val="nil"/>
            </w:tcBorders>
            <w:noWrap w:val="0"/>
            <w:vAlign w:val="center"/>
          </w:tcPr>
          <w:p w14:paraId="7683DA2B">
            <w:pPr>
              <w:spacing w:line="240" w:lineRule="auto"/>
              <w:ind w:firstLine="0" w:firstLineChars="0"/>
              <w:rPr>
                <w:b w:val="0"/>
                <w:bCs w:val="0"/>
                <w:color w:val="auto"/>
                <w:sz w:val="21"/>
                <w:szCs w:val="21"/>
              </w:rPr>
            </w:pPr>
            <w:r>
              <w:rPr>
                <w:b w:val="0"/>
                <w:bCs w:val="0"/>
                <w:color w:val="auto"/>
                <w:sz w:val="21"/>
                <w:szCs w:val="21"/>
              </w:rPr>
              <w:t>规模</w:t>
            </w:r>
          </w:p>
          <w:p w14:paraId="17CFB71A">
            <w:pPr>
              <w:spacing w:line="240" w:lineRule="auto"/>
              <w:ind w:firstLine="0" w:firstLineChars="0"/>
              <w:rPr>
                <w:b w:val="0"/>
                <w:bCs w:val="0"/>
                <w:color w:val="auto"/>
                <w:sz w:val="21"/>
                <w:szCs w:val="21"/>
              </w:rPr>
            </w:pPr>
            <w:r>
              <w:rPr>
                <w:b w:val="0"/>
                <w:bCs w:val="0"/>
                <w:color w:val="auto"/>
                <w:sz w:val="21"/>
                <w:szCs w:val="21"/>
              </w:rPr>
              <w:t>等级</w:t>
            </w:r>
          </w:p>
        </w:tc>
        <w:tc>
          <w:tcPr>
            <w:tcW w:w="874" w:type="pct"/>
            <w:tcBorders>
              <w:tl2br w:val="nil"/>
              <w:tr2bl w:val="nil"/>
            </w:tcBorders>
            <w:noWrap w:val="0"/>
            <w:vAlign w:val="center"/>
          </w:tcPr>
          <w:p w14:paraId="75DE3E48">
            <w:pPr>
              <w:spacing w:line="240" w:lineRule="auto"/>
              <w:ind w:firstLine="0" w:firstLineChars="0"/>
              <w:rPr>
                <w:b w:val="0"/>
                <w:bCs w:val="0"/>
                <w:color w:val="auto"/>
                <w:sz w:val="21"/>
                <w:szCs w:val="21"/>
              </w:rPr>
            </w:pPr>
            <w:r>
              <w:rPr>
                <w:b w:val="0"/>
                <w:bCs w:val="0"/>
                <w:color w:val="auto"/>
                <w:sz w:val="21"/>
                <w:szCs w:val="21"/>
              </w:rPr>
              <w:t>污染物指标</w:t>
            </w:r>
          </w:p>
        </w:tc>
        <w:tc>
          <w:tcPr>
            <w:tcW w:w="555" w:type="pct"/>
            <w:tcBorders>
              <w:tl2br w:val="nil"/>
              <w:tr2bl w:val="nil"/>
            </w:tcBorders>
            <w:noWrap w:val="0"/>
            <w:vAlign w:val="center"/>
          </w:tcPr>
          <w:p w14:paraId="68EDD89A">
            <w:pPr>
              <w:spacing w:line="240" w:lineRule="auto"/>
              <w:rPr>
                <w:b w:val="0"/>
                <w:bCs w:val="0"/>
                <w:color w:val="auto"/>
                <w:sz w:val="21"/>
                <w:szCs w:val="21"/>
              </w:rPr>
            </w:pPr>
            <w:r>
              <w:rPr>
                <w:b w:val="0"/>
                <w:bCs w:val="0"/>
                <w:color w:val="auto"/>
                <w:sz w:val="21"/>
                <w:szCs w:val="21"/>
              </w:rPr>
              <w:t>单位</w:t>
            </w:r>
          </w:p>
        </w:tc>
        <w:tc>
          <w:tcPr>
            <w:tcW w:w="472" w:type="pct"/>
            <w:tcBorders>
              <w:tl2br w:val="nil"/>
              <w:tr2bl w:val="nil"/>
            </w:tcBorders>
            <w:noWrap w:val="0"/>
            <w:vAlign w:val="center"/>
          </w:tcPr>
          <w:p w14:paraId="52163E09">
            <w:pPr>
              <w:spacing w:line="240" w:lineRule="auto"/>
              <w:ind w:firstLine="0" w:firstLineChars="0"/>
              <w:rPr>
                <w:b w:val="0"/>
                <w:bCs w:val="0"/>
                <w:color w:val="auto"/>
                <w:sz w:val="21"/>
                <w:szCs w:val="21"/>
              </w:rPr>
            </w:pPr>
            <w:r>
              <w:rPr>
                <w:b w:val="0"/>
                <w:bCs w:val="0"/>
                <w:color w:val="auto"/>
                <w:sz w:val="21"/>
                <w:szCs w:val="21"/>
              </w:rPr>
              <w:t>产污系数</w:t>
            </w:r>
          </w:p>
        </w:tc>
        <w:tc>
          <w:tcPr>
            <w:tcW w:w="838" w:type="pct"/>
            <w:tcBorders>
              <w:tl2br w:val="nil"/>
              <w:tr2bl w:val="nil"/>
            </w:tcBorders>
            <w:noWrap w:val="0"/>
            <w:vAlign w:val="center"/>
          </w:tcPr>
          <w:p w14:paraId="66BBE705">
            <w:pPr>
              <w:spacing w:line="240" w:lineRule="auto"/>
              <w:ind w:firstLine="0" w:firstLineChars="0"/>
              <w:rPr>
                <w:b w:val="0"/>
                <w:bCs w:val="0"/>
                <w:color w:val="auto"/>
                <w:sz w:val="21"/>
                <w:szCs w:val="21"/>
              </w:rPr>
            </w:pPr>
            <w:r>
              <w:rPr>
                <w:b w:val="0"/>
                <w:bCs w:val="0"/>
                <w:color w:val="auto"/>
                <w:sz w:val="21"/>
                <w:szCs w:val="21"/>
              </w:rPr>
              <w:t>末端治理技术名称</w:t>
            </w:r>
          </w:p>
        </w:tc>
        <w:tc>
          <w:tcPr>
            <w:tcW w:w="367" w:type="pct"/>
            <w:tcBorders>
              <w:tl2br w:val="nil"/>
              <w:tr2bl w:val="nil"/>
            </w:tcBorders>
            <w:noWrap w:val="0"/>
            <w:vAlign w:val="center"/>
          </w:tcPr>
          <w:p w14:paraId="1B0183D5">
            <w:pPr>
              <w:widowControl/>
              <w:snapToGrid w:val="0"/>
              <w:jc w:val="center"/>
              <w:rPr>
                <w:b w:val="0"/>
                <w:bCs w:val="0"/>
                <w:color w:val="auto"/>
                <w:sz w:val="21"/>
                <w:szCs w:val="21"/>
              </w:rPr>
            </w:pPr>
            <w:r>
              <w:rPr>
                <w:b w:val="0"/>
                <w:bCs w:val="0"/>
                <w:color w:val="auto"/>
                <w:kern w:val="0"/>
                <w:sz w:val="21"/>
                <w:szCs w:val="21"/>
              </w:rPr>
              <w:t>排放量</w:t>
            </w:r>
          </w:p>
        </w:tc>
      </w:tr>
      <w:tr w14:paraId="17D431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430" w:type="pct"/>
            <w:vMerge w:val="restart"/>
            <w:tcBorders>
              <w:tl2br w:val="nil"/>
              <w:tr2bl w:val="nil"/>
            </w:tcBorders>
            <w:noWrap w:val="0"/>
            <w:vAlign w:val="center"/>
          </w:tcPr>
          <w:p w14:paraId="76DAEE43">
            <w:pPr>
              <w:spacing w:line="240" w:lineRule="exact"/>
              <w:ind w:firstLine="0" w:firstLineChars="0"/>
              <w:rPr>
                <w:color w:val="auto"/>
                <w:sz w:val="21"/>
                <w:szCs w:val="21"/>
              </w:rPr>
            </w:pPr>
            <w:r>
              <w:rPr>
                <w:color w:val="auto"/>
                <w:sz w:val="21"/>
                <w:szCs w:val="21"/>
              </w:rPr>
              <w:t>井下作业</w:t>
            </w:r>
          </w:p>
        </w:tc>
        <w:tc>
          <w:tcPr>
            <w:tcW w:w="463" w:type="pct"/>
            <w:tcBorders>
              <w:tl2br w:val="nil"/>
              <w:tr2bl w:val="nil"/>
            </w:tcBorders>
            <w:noWrap w:val="0"/>
            <w:vAlign w:val="center"/>
          </w:tcPr>
          <w:p w14:paraId="6175C913">
            <w:pPr>
              <w:spacing w:line="240" w:lineRule="exact"/>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压裂液</w:t>
            </w:r>
          </w:p>
        </w:tc>
        <w:tc>
          <w:tcPr>
            <w:tcW w:w="587" w:type="pct"/>
            <w:tcBorders>
              <w:tl2br w:val="nil"/>
              <w:tr2bl w:val="nil"/>
            </w:tcBorders>
            <w:noWrap w:val="0"/>
            <w:vAlign w:val="center"/>
          </w:tcPr>
          <w:p w14:paraId="23A8EB83">
            <w:pPr>
              <w:spacing w:line="240" w:lineRule="exact"/>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低渗透油井加砂压裂</w:t>
            </w:r>
          </w:p>
        </w:tc>
        <w:tc>
          <w:tcPr>
            <w:tcW w:w="409" w:type="pct"/>
            <w:tcBorders>
              <w:tl2br w:val="nil"/>
              <w:tr2bl w:val="nil"/>
            </w:tcBorders>
            <w:noWrap w:val="0"/>
            <w:vAlign w:val="center"/>
          </w:tcPr>
          <w:p w14:paraId="71E38892">
            <w:pPr>
              <w:spacing w:line="240" w:lineRule="exact"/>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所有规模</w:t>
            </w:r>
          </w:p>
        </w:tc>
        <w:tc>
          <w:tcPr>
            <w:tcW w:w="874" w:type="pct"/>
            <w:tcBorders>
              <w:tl2br w:val="nil"/>
              <w:tr2bl w:val="nil"/>
            </w:tcBorders>
            <w:noWrap w:val="0"/>
            <w:vAlign w:val="center"/>
          </w:tcPr>
          <w:p w14:paraId="1E7E97D7">
            <w:pPr>
              <w:spacing w:line="240" w:lineRule="exact"/>
              <w:ind w:firstLine="0" w:firstLineChars="0"/>
              <w:rPr>
                <w:rFonts w:hint="default" w:ascii="Times New Roman" w:hAnsi="Times New Roman" w:cs="Times New Roman"/>
                <w:color w:val="auto"/>
                <w:sz w:val="21"/>
                <w:szCs w:val="21"/>
              </w:rPr>
            </w:pPr>
            <w:bookmarkStart w:id="411" w:name="_Hlk81225232"/>
            <w:r>
              <w:rPr>
                <w:rFonts w:hint="default" w:ascii="Times New Roman" w:hAnsi="Times New Roman" w:cs="Times New Roman"/>
                <w:color w:val="auto"/>
                <w:sz w:val="21"/>
                <w:szCs w:val="21"/>
              </w:rPr>
              <w:t>废压裂液</w:t>
            </w:r>
            <w:bookmarkEnd w:id="411"/>
            <w:r>
              <w:rPr>
                <w:rFonts w:hint="default" w:ascii="Times New Roman" w:hAnsi="Times New Roman" w:cs="Times New Roman"/>
                <w:color w:val="auto"/>
                <w:sz w:val="21"/>
                <w:szCs w:val="21"/>
              </w:rPr>
              <w:t>（压裂返排液）</w:t>
            </w:r>
          </w:p>
        </w:tc>
        <w:tc>
          <w:tcPr>
            <w:tcW w:w="555" w:type="pct"/>
            <w:tcBorders>
              <w:tl2br w:val="nil"/>
              <w:tr2bl w:val="nil"/>
            </w:tcBorders>
            <w:noWrap w:val="0"/>
            <w:vAlign w:val="center"/>
          </w:tcPr>
          <w:p w14:paraId="46CFFEC8">
            <w:pPr>
              <w:spacing w:line="240" w:lineRule="exact"/>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立方米/井</w:t>
            </w:r>
          </w:p>
        </w:tc>
        <w:tc>
          <w:tcPr>
            <w:tcW w:w="472" w:type="pct"/>
            <w:tcBorders>
              <w:tl2br w:val="nil"/>
              <w:tr2bl w:val="nil"/>
            </w:tcBorders>
            <w:noWrap w:val="0"/>
            <w:vAlign w:val="center"/>
          </w:tcPr>
          <w:p w14:paraId="6ECED42A">
            <w:pPr>
              <w:spacing w:line="240" w:lineRule="exact"/>
              <w:ind w:firstLine="0" w:firstLineChars="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153.21</w:t>
            </w:r>
          </w:p>
        </w:tc>
        <w:tc>
          <w:tcPr>
            <w:tcW w:w="838" w:type="pct"/>
            <w:tcBorders>
              <w:tl2br w:val="nil"/>
              <w:tr2bl w:val="nil"/>
            </w:tcBorders>
            <w:noWrap w:val="0"/>
            <w:vAlign w:val="center"/>
          </w:tcPr>
          <w:p w14:paraId="17394B8A">
            <w:pPr>
              <w:spacing w:line="240" w:lineRule="exact"/>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无害化处理/处置/利用</w:t>
            </w:r>
          </w:p>
        </w:tc>
        <w:tc>
          <w:tcPr>
            <w:tcW w:w="367" w:type="pct"/>
            <w:tcBorders>
              <w:tl2br w:val="nil"/>
              <w:tr2bl w:val="nil"/>
            </w:tcBorders>
            <w:noWrap w:val="0"/>
            <w:vAlign w:val="center"/>
          </w:tcPr>
          <w:p w14:paraId="30F2F99F">
            <w:pPr>
              <w:widowControl/>
              <w:snapToGrid w:val="0"/>
              <w:jc w:val="center"/>
              <w:rPr>
                <w:rFonts w:hint="default" w:ascii="Times New Roman" w:hAnsi="Times New Roman" w:cs="Times New Roman"/>
                <w:color w:val="auto"/>
                <w:sz w:val="21"/>
                <w:szCs w:val="21"/>
              </w:rPr>
            </w:pPr>
            <w:r>
              <w:rPr>
                <w:color w:val="auto"/>
                <w:kern w:val="0"/>
                <w:sz w:val="21"/>
                <w:szCs w:val="21"/>
              </w:rPr>
              <w:t>0</w:t>
            </w:r>
          </w:p>
        </w:tc>
      </w:tr>
      <w:tr w14:paraId="1948D8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6" w:hRule="atLeast"/>
        </w:trPr>
        <w:tc>
          <w:tcPr>
            <w:tcW w:w="430" w:type="pct"/>
            <w:vMerge w:val="continue"/>
            <w:tcBorders>
              <w:tl2br w:val="nil"/>
              <w:tr2bl w:val="nil"/>
            </w:tcBorders>
            <w:noWrap w:val="0"/>
            <w:vAlign w:val="center"/>
          </w:tcPr>
          <w:p w14:paraId="7E3116B4">
            <w:pPr>
              <w:spacing w:line="240" w:lineRule="exact"/>
              <w:ind w:firstLine="420"/>
              <w:jc w:val="center"/>
              <w:rPr>
                <w:color w:val="auto"/>
                <w:sz w:val="21"/>
                <w:szCs w:val="21"/>
              </w:rPr>
            </w:pPr>
          </w:p>
        </w:tc>
        <w:tc>
          <w:tcPr>
            <w:tcW w:w="463" w:type="pct"/>
            <w:tcBorders>
              <w:tl2br w:val="nil"/>
              <w:tr2bl w:val="nil"/>
            </w:tcBorders>
            <w:noWrap w:val="0"/>
            <w:vAlign w:val="center"/>
          </w:tcPr>
          <w:p w14:paraId="616BA80C">
            <w:pPr>
              <w:spacing w:line="240" w:lineRule="exact"/>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酸化液</w:t>
            </w:r>
          </w:p>
        </w:tc>
        <w:tc>
          <w:tcPr>
            <w:tcW w:w="587" w:type="pct"/>
            <w:tcBorders>
              <w:tl2br w:val="nil"/>
              <w:tr2bl w:val="nil"/>
            </w:tcBorders>
            <w:noWrap w:val="0"/>
            <w:vAlign w:val="center"/>
          </w:tcPr>
          <w:p w14:paraId="51DD36DC">
            <w:pPr>
              <w:spacing w:line="240" w:lineRule="exact"/>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低渗透油井酸化压裂</w:t>
            </w:r>
          </w:p>
        </w:tc>
        <w:tc>
          <w:tcPr>
            <w:tcW w:w="409" w:type="pct"/>
            <w:tcBorders>
              <w:tl2br w:val="nil"/>
              <w:tr2bl w:val="nil"/>
            </w:tcBorders>
            <w:noWrap w:val="0"/>
            <w:vAlign w:val="center"/>
          </w:tcPr>
          <w:p w14:paraId="0A9C8F9E">
            <w:pPr>
              <w:spacing w:line="240" w:lineRule="exact"/>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所有规模</w:t>
            </w:r>
          </w:p>
        </w:tc>
        <w:tc>
          <w:tcPr>
            <w:tcW w:w="874" w:type="pct"/>
            <w:tcBorders>
              <w:tl2br w:val="nil"/>
              <w:tr2bl w:val="nil"/>
            </w:tcBorders>
            <w:noWrap w:val="0"/>
            <w:vAlign w:val="center"/>
          </w:tcPr>
          <w:p w14:paraId="4A3B4D3F">
            <w:pPr>
              <w:spacing w:line="240" w:lineRule="exact"/>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废酸化液（酸化返排液）</w:t>
            </w:r>
          </w:p>
        </w:tc>
        <w:tc>
          <w:tcPr>
            <w:tcW w:w="555" w:type="pct"/>
            <w:tcBorders>
              <w:tl2br w:val="nil"/>
              <w:tr2bl w:val="nil"/>
            </w:tcBorders>
            <w:noWrap w:val="0"/>
            <w:vAlign w:val="center"/>
          </w:tcPr>
          <w:p w14:paraId="0D4C1016">
            <w:pPr>
              <w:spacing w:line="240" w:lineRule="exact"/>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立方米/井</w:t>
            </w:r>
          </w:p>
        </w:tc>
        <w:tc>
          <w:tcPr>
            <w:tcW w:w="472" w:type="pct"/>
            <w:tcBorders>
              <w:tl2br w:val="nil"/>
              <w:tr2bl w:val="nil"/>
            </w:tcBorders>
            <w:noWrap w:val="0"/>
            <w:vAlign w:val="center"/>
          </w:tcPr>
          <w:p w14:paraId="72268048">
            <w:pPr>
              <w:spacing w:line="240" w:lineRule="exact"/>
              <w:ind w:firstLine="0" w:firstLineChars="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150.49</w:t>
            </w:r>
          </w:p>
        </w:tc>
        <w:tc>
          <w:tcPr>
            <w:tcW w:w="838" w:type="pct"/>
            <w:tcBorders>
              <w:tl2br w:val="nil"/>
              <w:tr2bl w:val="nil"/>
            </w:tcBorders>
            <w:noWrap w:val="0"/>
            <w:vAlign w:val="center"/>
          </w:tcPr>
          <w:p w14:paraId="3C71FD73">
            <w:pPr>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无害化处理/处置/利用</w:t>
            </w:r>
          </w:p>
        </w:tc>
        <w:tc>
          <w:tcPr>
            <w:tcW w:w="367" w:type="pct"/>
            <w:tcBorders>
              <w:tl2br w:val="nil"/>
              <w:tr2bl w:val="nil"/>
            </w:tcBorders>
            <w:noWrap w:val="0"/>
            <w:vAlign w:val="center"/>
          </w:tcPr>
          <w:p w14:paraId="488EB41B">
            <w:pPr>
              <w:widowControl/>
              <w:snapToGrid w:val="0"/>
              <w:jc w:val="center"/>
              <w:rPr>
                <w:rFonts w:hint="default" w:ascii="Times New Roman" w:hAnsi="Times New Roman" w:cs="Times New Roman"/>
                <w:color w:val="auto"/>
                <w:sz w:val="21"/>
                <w:szCs w:val="21"/>
              </w:rPr>
            </w:pPr>
            <w:r>
              <w:rPr>
                <w:rFonts w:hint="eastAsia"/>
                <w:color w:val="auto"/>
                <w:kern w:val="0"/>
                <w:sz w:val="21"/>
                <w:szCs w:val="21"/>
              </w:rPr>
              <w:t>0</w:t>
            </w:r>
          </w:p>
        </w:tc>
      </w:tr>
      <w:tr w14:paraId="613888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6" w:hRule="atLeast"/>
        </w:trPr>
        <w:tc>
          <w:tcPr>
            <w:tcW w:w="430" w:type="pct"/>
            <w:vMerge w:val="continue"/>
            <w:tcBorders>
              <w:tl2br w:val="nil"/>
              <w:tr2bl w:val="nil"/>
            </w:tcBorders>
            <w:noWrap w:val="0"/>
            <w:vAlign w:val="center"/>
          </w:tcPr>
          <w:p w14:paraId="2A7D4C27">
            <w:pPr>
              <w:spacing w:line="240" w:lineRule="exact"/>
              <w:ind w:firstLine="420"/>
              <w:jc w:val="center"/>
              <w:rPr>
                <w:color w:val="auto"/>
                <w:sz w:val="21"/>
                <w:szCs w:val="21"/>
              </w:rPr>
            </w:pPr>
          </w:p>
        </w:tc>
        <w:tc>
          <w:tcPr>
            <w:tcW w:w="463" w:type="pct"/>
            <w:tcBorders>
              <w:tl2br w:val="nil"/>
              <w:tr2bl w:val="nil"/>
            </w:tcBorders>
            <w:noWrap w:val="0"/>
            <w:vAlign w:val="center"/>
          </w:tcPr>
          <w:p w14:paraId="1380F9EB">
            <w:pPr>
              <w:spacing w:line="240" w:lineRule="exact"/>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洗井液</w:t>
            </w:r>
          </w:p>
        </w:tc>
        <w:tc>
          <w:tcPr>
            <w:tcW w:w="587" w:type="pct"/>
            <w:tcBorders>
              <w:tl2br w:val="nil"/>
              <w:tr2bl w:val="nil"/>
            </w:tcBorders>
            <w:noWrap w:val="0"/>
            <w:vAlign w:val="center"/>
          </w:tcPr>
          <w:p w14:paraId="17646961">
            <w:pPr>
              <w:spacing w:line="240" w:lineRule="exact"/>
              <w:ind w:firstLine="0" w:firstLineChars="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修井</w:t>
            </w:r>
          </w:p>
        </w:tc>
        <w:tc>
          <w:tcPr>
            <w:tcW w:w="409" w:type="pct"/>
            <w:tcBorders>
              <w:tl2br w:val="nil"/>
              <w:tr2bl w:val="nil"/>
            </w:tcBorders>
            <w:noWrap w:val="0"/>
            <w:vAlign w:val="center"/>
          </w:tcPr>
          <w:p w14:paraId="643BB8E1">
            <w:pPr>
              <w:spacing w:line="240" w:lineRule="exact"/>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所有规模</w:t>
            </w:r>
          </w:p>
        </w:tc>
        <w:tc>
          <w:tcPr>
            <w:tcW w:w="874" w:type="pct"/>
            <w:tcBorders>
              <w:tl2br w:val="nil"/>
              <w:tr2bl w:val="nil"/>
            </w:tcBorders>
            <w:noWrap w:val="0"/>
            <w:vAlign w:val="center"/>
          </w:tcPr>
          <w:p w14:paraId="1AC487D9">
            <w:pPr>
              <w:spacing w:line="240" w:lineRule="exact"/>
              <w:ind w:firstLine="0" w:firstLineChars="0"/>
              <w:rPr>
                <w:rFonts w:hint="default" w:ascii="Times New Roman" w:hAnsi="Times New Roman" w:cs="Times New Roman"/>
                <w:color w:val="auto"/>
                <w:sz w:val="21"/>
                <w:szCs w:val="21"/>
              </w:rPr>
            </w:pPr>
            <w:bookmarkStart w:id="412" w:name="_Hlk81225595"/>
            <w:r>
              <w:rPr>
                <w:rFonts w:hint="default" w:ascii="Times New Roman" w:hAnsi="Times New Roman" w:cs="Times New Roman"/>
                <w:color w:val="auto"/>
                <w:sz w:val="21"/>
                <w:szCs w:val="21"/>
              </w:rPr>
              <w:t>废洗井液</w:t>
            </w:r>
            <w:bookmarkEnd w:id="412"/>
          </w:p>
        </w:tc>
        <w:tc>
          <w:tcPr>
            <w:tcW w:w="555" w:type="pct"/>
            <w:tcBorders>
              <w:tl2br w:val="nil"/>
              <w:tr2bl w:val="nil"/>
            </w:tcBorders>
            <w:noWrap w:val="0"/>
            <w:vAlign w:val="center"/>
          </w:tcPr>
          <w:p w14:paraId="2DB02B83">
            <w:pPr>
              <w:spacing w:line="240" w:lineRule="exact"/>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吨/井</w:t>
            </w:r>
          </w:p>
        </w:tc>
        <w:tc>
          <w:tcPr>
            <w:tcW w:w="472" w:type="pct"/>
            <w:tcBorders>
              <w:tl2br w:val="nil"/>
              <w:tr2bl w:val="nil"/>
            </w:tcBorders>
            <w:noWrap w:val="0"/>
            <w:vAlign w:val="center"/>
          </w:tcPr>
          <w:p w14:paraId="54A0311D">
            <w:pPr>
              <w:spacing w:line="240" w:lineRule="exact"/>
              <w:ind w:firstLine="0" w:firstLineChars="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25.29</w:t>
            </w:r>
          </w:p>
        </w:tc>
        <w:tc>
          <w:tcPr>
            <w:tcW w:w="838" w:type="pct"/>
            <w:tcBorders>
              <w:tl2br w:val="nil"/>
              <w:tr2bl w:val="nil"/>
            </w:tcBorders>
            <w:noWrap w:val="0"/>
            <w:vAlign w:val="center"/>
          </w:tcPr>
          <w:p w14:paraId="50645942">
            <w:pPr>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无害化处理/处置/利用</w:t>
            </w:r>
          </w:p>
        </w:tc>
        <w:tc>
          <w:tcPr>
            <w:tcW w:w="367" w:type="pct"/>
            <w:tcBorders>
              <w:tl2br w:val="nil"/>
              <w:tr2bl w:val="nil"/>
            </w:tcBorders>
            <w:noWrap w:val="0"/>
            <w:vAlign w:val="center"/>
          </w:tcPr>
          <w:p w14:paraId="6501C10C">
            <w:pPr>
              <w:widowControl/>
              <w:snapToGrid w:val="0"/>
              <w:jc w:val="center"/>
              <w:rPr>
                <w:rFonts w:hint="default" w:ascii="Times New Roman" w:hAnsi="Times New Roman" w:cs="Times New Roman"/>
                <w:color w:val="auto"/>
                <w:sz w:val="21"/>
                <w:szCs w:val="21"/>
              </w:rPr>
            </w:pPr>
            <w:r>
              <w:rPr>
                <w:color w:val="auto"/>
                <w:kern w:val="0"/>
                <w:sz w:val="21"/>
                <w:szCs w:val="21"/>
              </w:rPr>
              <w:t>0</w:t>
            </w:r>
          </w:p>
        </w:tc>
      </w:tr>
    </w:tbl>
    <w:p w14:paraId="0ACBA17C">
      <w:pPr>
        <w:pStyle w:val="79"/>
        <w:bidi w:val="0"/>
        <w:rPr>
          <w:rFonts w:hint="eastAsia"/>
          <w:color w:val="auto"/>
          <w:lang w:eastAsia="zh-CN"/>
        </w:rPr>
      </w:pPr>
      <w:r>
        <w:rPr>
          <w:color w:val="auto"/>
        </w:rPr>
        <w:t>根据</w:t>
      </w:r>
      <w:r>
        <w:rPr>
          <w:rFonts w:hint="eastAsia"/>
          <w:color w:val="auto"/>
          <w:lang w:val="en-US" w:eastAsia="zh-CN"/>
        </w:rPr>
        <w:t>上</w:t>
      </w:r>
      <w:r>
        <w:rPr>
          <w:color w:val="auto"/>
        </w:rPr>
        <w:t>表计算，本</w:t>
      </w:r>
      <w:r>
        <w:rPr>
          <w:rFonts w:hint="eastAsia"/>
          <w:color w:val="auto"/>
          <w:lang w:val="en-US" w:eastAsia="zh-CN"/>
        </w:rPr>
        <w:t>项目共6口油井</w:t>
      </w:r>
      <w:r>
        <w:rPr>
          <w:color w:val="auto"/>
        </w:rPr>
        <w:t>，因此井下作业过程废压裂液产生量为</w:t>
      </w:r>
      <w:r>
        <w:rPr>
          <w:rFonts w:hint="eastAsia"/>
          <w:color w:val="auto"/>
          <w:lang w:val="en-US" w:eastAsia="zh-CN"/>
        </w:rPr>
        <w:t>919.26</w:t>
      </w:r>
      <w:r>
        <w:rPr>
          <w:color w:val="auto"/>
        </w:rPr>
        <w:t>m</w:t>
      </w:r>
      <w:r>
        <w:rPr>
          <w:color w:val="auto"/>
          <w:vertAlign w:val="superscript"/>
        </w:rPr>
        <w:t>3</w:t>
      </w:r>
      <w:r>
        <w:rPr>
          <w:color w:val="auto"/>
        </w:rPr>
        <w:t>/</w:t>
      </w:r>
      <w:r>
        <w:rPr>
          <w:rFonts w:hint="eastAsia"/>
          <w:color w:val="auto"/>
          <w:lang w:val="en-US" w:eastAsia="zh-CN"/>
        </w:rPr>
        <w:t>次</w:t>
      </w:r>
      <w:r>
        <w:rPr>
          <w:color w:val="auto"/>
        </w:rPr>
        <w:t>，废酸化液产生量为</w:t>
      </w:r>
      <w:r>
        <w:rPr>
          <w:rFonts w:hint="eastAsia"/>
          <w:color w:val="auto"/>
          <w:lang w:val="en-US" w:eastAsia="zh-CN"/>
        </w:rPr>
        <w:t>902.94</w:t>
      </w:r>
      <w:r>
        <w:rPr>
          <w:color w:val="auto"/>
        </w:rPr>
        <w:t>m</w:t>
      </w:r>
      <w:r>
        <w:rPr>
          <w:color w:val="auto"/>
          <w:vertAlign w:val="superscript"/>
        </w:rPr>
        <w:t>3</w:t>
      </w:r>
      <w:r>
        <w:rPr>
          <w:color w:val="auto"/>
        </w:rPr>
        <w:t>/</w:t>
      </w:r>
      <w:r>
        <w:rPr>
          <w:rFonts w:hint="eastAsia"/>
          <w:color w:val="auto"/>
          <w:lang w:val="en-US" w:eastAsia="zh-CN"/>
        </w:rPr>
        <w:t>次</w:t>
      </w:r>
      <w:r>
        <w:rPr>
          <w:color w:val="auto"/>
        </w:rPr>
        <w:t>，废洗井液产生量为</w:t>
      </w:r>
      <w:r>
        <w:rPr>
          <w:rFonts w:hint="eastAsia"/>
          <w:color w:val="auto"/>
          <w:lang w:val="en-US" w:eastAsia="zh-CN"/>
        </w:rPr>
        <w:t>151.74</w:t>
      </w:r>
      <w:r>
        <w:rPr>
          <w:color w:val="auto"/>
        </w:rPr>
        <w:t>t/</w:t>
      </w:r>
      <w:r>
        <w:rPr>
          <w:rFonts w:hint="eastAsia"/>
          <w:color w:val="auto"/>
          <w:lang w:val="en-US" w:eastAsia="zh-CN"/>
        </w:rPr>
        <w:t>次</w:t>
      </w:r>
      <w:r>
        <w:rPr>
          <w:color w:val="auto"/>
        </w:rPr>
        <w:t>，</w:t>
      </w:r>
      <w:bookmarkStart w:id="413" w:name="_Hlk117596740"/>
      <w:r>
        <w:rPr>
          <w:color w:val="auto"/>
        </w:rPr>
        <w:t>井下作业固废</w:t>
      </w:r>
      <w:r>
        <w:rPr>
          <w:rFonts w:hint="eastAsia"/>
          <w:color w:val="auto"/>
          <w:lang w:val="en-US" w:eastAsia="zh-CN"/>
        </w:rPr>
        <w:t>采用专用</w:t>
      </w:r>
      <w:r>
        <w:rPr>
          <w:color w:val="auto"/>
        </w:rPr>
        <w:t>回收罐进行回收，拉运至</w:t>
      </w:r>
      <w:r>
        <w:rPr>
          <w:rFonts w:hint="eastAsia"/>
          <w:color w:val="auto"/>
        </w:rPr>
        <w:t>英买力油田钻试修废弃物环保处理站</w:t>
      </w:r>
      <w:r>
        <w:rPr>
          <w:color w:val="auto"/>
        </w:rPr>
        <w:t>进行处理</w:t>
      </w:r>
      <w:r>
        <w:rPr>
          <w:rFonts w:hint="eastAsia"/>
          <w:color w:val="auto"/>
          <w:lang w:eastAsia="zh-CN"/>
        </w:rPr>
        <w:t>。</w:t>
      </w:r>
    </w:p>
    <w:bookmarkEnd w:id="413"/>
    <w:p w14:paraId="7285D9A8">
      <w:pPr>
        <w:pStyle w:val="79"/>
        <w:bidi w:val="0"/>
        <w:rPr>
          <w:rFonts w:hint="default"/>
          <w:color w:val="auto"/>
          <w:lang w:val="en-US" w:eastAsia="zh-CN"/>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rPr>
        <w:t>油泥砂</w:t>
      </w:r>
    </w:p>
    <w:p w14:paraId="616D6E8B">
      <w:pPr>
        <w:pStyle w:val="79"/>
        <w:bidi w:val="0"/>
        <w:rPr>
          <w:rFonts w:hint="eastAsia"/>
          <w:color w:val="auto"/>
        </w:rPr>
      </w:pPr>
      <w:r>
        <w:rPr>
          <w:rFonts w:hint="eastAsia"/>
          <w:color w:val="auto"/>
        </w:rPr>
        <w:t>油泥砂主要为处理</w:t>
      </w:r>
      <w:r>
        <w:rPr>
          <w:rFonts w:hint="eastAsia"/>
          <w:color w:val="auto"/>
          <w:lang w:val="en-US" w:eastAsia="zh-CN"/>
        </w:rPr>
        <w:t>站</w:t>
      </w:r>
      <w:r>
        <w:rPr>
          <w:rFonts w:hint="eastAsia"/>
          <w:color w:val="auto"/>
        </w:rPr>
        <w:t>的污水处理系统或沉降油罐产生的沉淀物，部分为原油，部分为泥土等杂质，属于危险废物（HW08）（071-001-08）。本项目运营后，</w:t>
      </w:r>
      <w:r>
        <w:rPr>
          <w:rFonts w:hint="eastAsia"/>
          <w:color w:val="auto"/>
          <w:lang w:val="en-US" w:eastAsia="zh-CN"/>
        </w:rPr>
        <w:t>油气进入雄探1试采点，气脱硫后依托英买处理站处理，</w:t>
      </w:r>
      <w:r>
        <w:rPr>
          <w:rFonts w:hint="eastAsia"/>
          <w:color w:val="auto"/>
        </w:rPr>
        <w:t>油依托</w:t>
      </w:r>
      <w:r>
        <w:rPr>
          <w:rFonts w:hint="eastAsia"/>
          <w:color w:val="auto"/>
          <w:lang w:val="en-US" w:eastAsia="zh-CN"/>
        </w:rPr>
        <w:t>哈六联合站</w:t>
      </w:r>
      <w:r>
        <w:rPr>
          <w:rFonts w:hint="eastAsia"/>
          <w:color w:val="auto"/>
        </w:rPr>
        <w:t>进行处理，故</w:t>
      </w:r>
      <w:r>
        <w:rPr>
          <w:rFonts w:hint="eastAsia"/>
          <w:color w:val="auto"/>
          <w:lang w:val="en-US" w:eastAsia="zh-CN"/>
        </w:rPr>
        <w:t>处理站</w:t>
      </w:r>
      <w:r>
        <w:rPr>
          <w:rFonts w:hint="eastAsia"/>
          <w:color w:val="auto"/>
        </w:rPr>
        <w:t>油气处理及污水处理系统装置均会增加产生一定量的油泥砂。油泥（砂）产生量与</w:t>
      </w:r>
      <w:r>
        <w:rPr>
          <w:rFonts w:hint="eastAsia"/>
          <w:color w:val="auto"/>
          <w:lang w:eastAsia="zh-CN"/>
        </w:rPr>
        <w:t>油井</w:t>
      </w:r>
      <w:r>
        <w:rPr>
          <w:rFonts w:hint="eastAsia"/>
          <w:color w:val="auto"/>
        </w:rPr>
        <w:t>的出砂情况有关，根据《排放源统计调查产排污核算方法和系数手册》（2021年）中07石油和天然气开采业行业系数手册（续35），天然气开发油气处理产生的油泥砂产污系数为0.007t/万m</w:t>
      </w:r>
      <w:r>
        <w:rPr>
          <w:rFonts w:hint="eastAsia"/>
          <w:color w:val="auto"/>
          <w:vertAlign w:val="superscript"/>
          <w:lang w:val="en-US" w:eastAsia="zh-CN"/>
        </w:rPr>
        <w:t>3</w:t>
      </w:r>
      <w:r>
        <w:rPr>
          <w:rFonts w:hint="eastAsia"/>
          <w:color w:val="auto"/>
        </w:rPr>
        <w:t>，本项目</w:t>
      </w:r>
      <w:bookmarkStart w:id="414" w:name="_Hlk120633705"/>
      <w:r>
        <w:rPr>
          <w:rFonts w:hint="eastAsia"/>
          <w:color w:val="auto"/>
        </w:rPr>
        <w:t>产能气</w:t>
      </w:r>
      <w:r>
        <w:rPr>
          <w:rFonts w:hint="eastAsia"/>
          <w:color w:val="auto"/>
          <w:lang w:val="en-US" w:eastAsia="zh-CN"/>
        </w:rPr>
        <w:t>0.285</w:t>
      </w:r>
      <w:r>
        <w:rPr>
          <w:rFonts w:hint="eastAsia"/>
          <w:color w:val="auto"/>
        </w:rPr>
        <w:t>×10</w:t>
      </w:r>
      <w:r>
        <w:rPr>
          <w:rFonts w:hint="eastAsia"/>
          <w:color w:val="auto"/>
          <w:vertAlign w:val="superscript"/>
        </w:rPr>
        <w:t>8</w:t>
      </w:r>
      <w:r>
        <w:rPr>
          <w:rFonts w:hint="eastAsia"/>
          <w:color w:val="auto"/>
        </w:rPr>
        <w:t>m</w:t>
      </w:r>
      <w:r>
        <w:rPr>
          <w:rFonts w:hint="eastAsia"/>
          <w:color w:val="auto"/>
          <w:vertAlign w:val="superscript"/>
          <w:lang w:val="en-US" w:eastAsia="zh-CN"/>
        </w:rPr>
        <w:t>3</w:t>
      </w:r>
      <w:r>
        <w:rPr>
          <w:rFonts w:hint="eastAsia"/>
          <w:color w:val="auto"/>
        </w:rPr>
        <w:t>/a</w:t>
      </w:r>
      <w:bookmarkEnd w:id="414"/>
      <w:r>
        <w:rPr>
          <w:rFonts w:hint="eastAsia"/>
          <w:color w:val="auto"/>
        </w:rPr>
        <w:t>，</w:t>
      </w:r>
      <w:bookmarkStart w:id="415" w:name="OLE_LINK206"/>
      <w:r>
        <w:rPr>
          <w:rFonts w:hint="eastAsia"/>
          <w:color w:val="auto"/>
        </w:rPr>
        <w:t>油泥（砂）最大产生量为</w:t>
      </w:r>
      <w:bookmarkStart w:id="416" w:name="OLE_LINK209"/>
      <w:r>
        <w:rPr>
          <w:rFonts w:hint="eastAsia"/>
          <w:color w:val="auto"/>
          <w:lang w:val="en-US" w:eastAsia="zh-CN"/>
        </w:rPr>
        <w:t>19.95</w:t>
      </w:r>
      <w:r>
        <w:rPr>
          <w:rFonts w:hint="eastAsia"/>
          <w:color w:val="auto"/>
        </w:rPr>
        <w:t>t/a</w:t>
      </w:r>
      <w:bookmarkEnd w:id="415"/>
      <w:bookmarkEnd w:id="416"/>
      <w:r>
        <w:rPr>
          <w:rFonts w:hint="eastAsia"/>
          <w:color w:val="auto"/>
        </w:rPr>
        <w:t>。本项目产生的油泥（砂）</w:t>
      </w:r>
      <w:r>
        <w:rPr>
          <w:rFonts w:hint="eastAsia"/>
          <w:color w:val="auto"/>
          <w:lang w:eastAsia="zh-CN"/>
        </w:rPr>
        <w:t>委托有危废处置资质单位进行处置</w:t>
      </w:r>
      <w:r>
        <w:rPr>
          <w:rFonts w:hint="eastAsia"/>
          <w:color w:val="auto"/>
        </w:rPr>
        <w:t>。</w:t>
      </w:r>
    </w:p>
    <w:p w14:paraId="0CBD56EA">
      <w:pPr>
        <w:pStyle w:val="79"/>
        <w:bidi w:val="0"/>
        <w:rPr>
          <w:rFonts w:hint="default"/>
          <w:color w:val="auto"/>
          <w:lang w:val="en-US" w:eastAsia="zh-CN"/>
        </w:rPr>
      </w:pPr>
      <w:r>
        <w:rPr>
          <w:rFonts w:hint="eastAsia"/>
          <w:color w:val="auto"/>
          <w:lang w:eastAsia="zh-CN"/>
        </w:rPr>
        <w:t>（</w:t>
      </w:r>
      <w:r>
        <w:rPr>
          <w:rFonts w:hint="eastAsia"/>
          <w:color w:val="auto"/>
          <w:lang w:val="en-US" w:eastAsia="zh-CN"/>
        </w:rPr>
        <w:t>5</w:t>
      </w:r>
      <w:r>
        <w:rPr>
          <w:rFonts w:hint="eastAsia"/>
          <w:color w:val="auto"/>
          <w:lang w:eastAsia="zh-CN"/>
        </w:rPr>
        <w:t>）</w:t>
      </w:r>
      <w:r>
        <w:rPr>
          <w:rFonts w:hint="eastAsia"/>
          <w:color w:val="auto"/>
          <w:lang w:val="en-US" w:eastAsia="zh-CN"/>
        </w:rPr>
        <w:t>落地油</w:t>
      </w:r>
    </w:p>
    <w:p w14:paraId="39974C89">
      <w:pPr>
        <w:pStyle w:val="79"/>
        <w:bidi w:val="0"/>
        <w:rPr>
          <w:rFonts w:hint="default"/>
          <w:color w:val="auto"/>
        </w:rPr>
      </w:pPr>
      <w:r>
        <w:rPr>
          <w:rFonts w:hint="default"/>
          <w:color w:val="auto"/>
        </w:rPr>
        <w:t>落地原油主要产生于采</w:t>
      </w:r>
      <w:r>
        <w:rPr>
          <w:rFonts w:hint="eastAsia"/>
          <w:color w:val="auto"/>
          <w:lang w:val="en-US" w:eastAsia="zh-CN"/>
        </w:rPr>
        <w:t>油</w:t>
      </w:r>
      <w:r>
        <w:rPr>
          <w:rFonts w:hint="default"/>
          <w:color w:val="auto"/>
        </w:rPr>
        <w:t>树的阀门、法兰等处事故状态下的泄漏、管线破损以及井下作业产生的落地原油。按照单井落地原油产生量约0.1t/a计算，本项目运行后落地油总产生量约0</w:t>
      </w:r>
      <w:r>
        <w:rPr>
          <w:rFonts w:hint="eastAsia"/>
          <w:color w:val="auto"/>
          <w:lang w:val="en-US" w:eastAsia="zh-CN"/>
        </w:rPr>
        <w:t>.6</w:t>
      </w:r>
      <w:r>
        <w:rPr>
          <w:rFonts w:hint="default"/>
          <w:color w:val="auto"/>
        </w:rPr>
        <w:t>t/a，属于危险废物HW08（废物代码：071-001-08）。</w:t>
      </w:r>
    </w:p>
    <w:p w14:paraId="14948584">
      <w:pPr>
        <w:pStyle w:val="79"/>
        <w:bidi w:val="0"/>
        <w:rPr>
          <w:rFonts w:hint="default"/>
          <w:color w:val="auto"/>
        </w:rPr>
      </w:pPr>
      <w:r>
        <w:rPr>
          <w:rFonts w:hint="default"/>
          <w:color w:val="auto"/>
        </w:rPr>
        <w:t>根据塔里木油田分公司环境保护管理制度规定，不允许产生落地油。因此，本项目井下作业时带罐作业，落地油100%回收，回收后的落地原油</w:t>
      </w:r>
      <w:r>
        <w:rPr>
          <w:rFonts w:hint="eastAsia"/>
          <w:color w:val="auto"/>
          <w:lang w:val="en-US" w:eastAsia="zh-CN"/>
        </w:rPr>
        <w:t>委托</w:t>
      </w:r>
      <w:r>
        <w:rPr>
          <w:rFonts w:hint="default"/>
          <w:color w:val="auto"/>
        </w:rPr>
        <w:t>有危废处置资质单位进行处置。</w:t>
      </w:r>
    </w:p>
    <w:p w14:paraId="34434A5D">
      <w:pPr>
        <w:pStyle w:val="79"/>
        <w:bidi w:val="0"/>
        <w:rPr>
          <w:rFonts w:hint="default"/>
          <w:color w:val="auto"/>
          <w:lang w:eastAsia="zh-CN"/>
        </w:rPr>
      </w:pPr>
      <w:r>
        <w:rPr>
          <w:rFonts w:hint="default"/>
          <w:color w:val="auto"/>
        </w:rPr>
        <w:t>（</w:t>
      </w:r>
      <w:r>
        <w:rPr>
          <w:rFonts w:hint="eastAsia"/>
          <w:color w:val="auto"/>
          <w:lang w:val="en-US" w:eastAsia="zh-CN"/>
        </w:rPr>
        <w:t>6</w:t>
      </w:r>
      <w:r>
        <w:rPr>
          <w:rFonts w:hint="default"/>
          <w:color w:val="auto"/>
        </w:rPr>
        <w:t>）</w:t>
      </w:r>
      <w:r>
        <w:rPr>
          <w:rFonts w:hint="default"/>
          <w:color w:val="auto"/>
          <w:lang w:eastAsia="zh-CN"/>
        </w:rPr>
        <w:t>废防渗膜</w:t>
      </w:r>
    </w:p>
    <w:p w14:paraId="527BA6EC">
      <w:pPr>
        <w:pStyle w:val="79"/>
        <w:bidi w:val="0"/>
        <w:rPr>
          <w:rFonts w:hint="default"/>
          <w:color w:val="auto"/>
        </w:rPr>
      </w:pPr>
      <w:r>
        <w:rPr>
          <w:rFonts w:hint="default"/>
          <w:color w:val="auto"/>
          <w:lang w:val="en-US" w:eastAsia="zh-CN"/>
        </w:rPr>
        <w:t>项目</w:t>
      </w:r>
      <w:r>
        <w:rPr>
          <w:rFonts w:hint="default"/>
          <w:color w:val="auto"/>
        </w:rPr>
        <w:t>运行期井下作业时，作业场地下方铺设防渗布，产生的落地油直接落在防渗布上，目前油田使用的防渗布均可重复利用，平均重复利用1</w:t>
      </w:r>
      <w:r>
        <w:rPr>
          <w:rFonts w:hint="eastAsia"/>
          <w:color w:val="auto"/>
          <w:lang w:eastAsia="zh-CN"/>
        </w:rPr>
        <w:t>～</w:t>
      </w:r>
      <w:r>
        <w:rPr>
          <w:rFonts w:hint="default"/>
          <w:color w:val="auto"/>
        </w:rPr>
        <w:t>2年。单块防渗布重约250kg（12m</w:t>
      </w:r>
      <w:r>
        <w:rPr>
          <w:rFonts w:hint="default"/>
          <w:color w:val="auto"/>
          <w:lang w:val="en-US" w:eastAsia="zh-CN"/>
        </w:rPr>
        <w:t>×</w:t>
      </w:r>
      <w:r>
        <w:rPr>
          <w:rFonts w:hint="default"/>
          <w:color w:val="auto"/>
        </w:rPr>
        <w:t>12m），每口井作业用2块，则本项目</w:t>
      </w:r>
      <w:r>
        <w:rPr>
          <w:rFonts w:hint="default"/>
          <w:color w:val="auto"/>
          <w:lang w:val="en-US" w:eastAsia="zh-CN"/>
        </w:rPr>
        <w:t>1</w:t>
      </w:r>
      <w:r>
        <w:rPr>
          <w:rFonts w:hint="default"/>
          <w:color w:val="auto"/>
        </w:rPr>
        <w:t>口井作业1次共产生废弃防渗布约</w:t>
      </w:r>
      <w:r>
        <w:rPr>
          <w:rFonts w:hint="default"/>
          <w:color w:val="auto"/>
          <w:lang w:val="en-US" w:eastAsia="zh-CN"/>
        </w:rPr>
        <w:t>0.5</w:t>
      </w:r>
      <w:r>
        <w:rPr>
          <w:rFonts w:hint="default"/>
          <w:color w:val="auto"/>
        </w:rPr>
        <w:t>t，井下作业频次为2年/次，则工程</w:t>
      </w:r>
      <w:r>
        <w:rPr>
          <w:rFonts w:hint="eastAsia"/>
          <w:color w:val="auto"/>
          <w:lang w:val="en-US" w:eastAsia="zh-CN"/>
        </w:rPr>
        <w:t>6口井</w:t>
      </w:r>
      <w:r>
        <w:rPr>
          <w:rFonts w:hint="default"/>
          <w:color w:val="auto"/>
        </w:rPr>
        <w:t>产生废弃防渗材料最大量约</w:t>
      </w:r>
      <w:r>
        <w:rPr>
          <w:rFonts w:hint="eastAsia"/>
          <w:color w:val="auto"/>
          <w:lang w:val="en-US" w:eastAsia="zh-CN"/>
        </w:rPr>
        <w:t>1.5</w:t>
      </w:r>
      <w:r>
        <w:rPr>
          <w:rFonts w:hint="default"/>
          <w:color w:val="auto"/>
        </w:rPr>
        <w:t>t/a。</w:t>
      </w:r>
    </w:p>
    <w:p w14:paraId="566D88E7">
      <w:pPr>
        <w:pStyle w:val="79"/>
        <w:bidi w:val="0"/>
        <w:rPr>
          <w:rFonts w:hint="default"/>
          <w:color w:val="auto"/>
        </w:rPr>
      </w:pPr>
      <w:bookmarkStart w:id="417" w:name="_Hlk120634207"/>
      <w:r>
        <w:rPr>
          <w:rFonts w:hint="default"/>
          <w:color w:val="auto"/>
        </w:rPr>
        <w:t>作业过程中产生的含油</w:t>
      </w:r>
      <w:r>
        <w:rPr>
          <w:rFonts w:hint="default"/>
          <w:color w:val="auto"/>
          <w:lang w:eastAsia="zh-CN"/>
        </w:rPr>
        <w:t>废防渗膜</w:t>
      </w:r>
      <w:r>
        <w:rPr>
          <w:rFonts w:hint="default"/>
          <w:color w:val="auto"/>
        </w:rPr>
        <w:t>属于危险废物，为HW08类危险废物（废物代码900-249-08其他生产、销售、使用过程中产生的废矿物油及沾染矿物油的废弃包装物）。作业施工结束后，由施工单位将废弃的含油防渗布集中收集，委托有危险废物运输及处理资质的单位处置，</w:t>
      </w:r>
      <w:bookmarkEnd w:id="417"/>
      <w:r>
        <w:rPr>
          <w:rFonts w:hint="default"/>
          <w:color w:val="auto"/>
        </w:rPr>
        <w:t>拉运过程中资质单位应使用专车、按照指定的拉运路线。</w:t>
      </w:r>
    </w:p>
    <w:p w14:paraId="44D15623">
      <w:pPr>
        <w:pStyle w:val="79"/>
        <w:bidi w:val="0"/>
        <w:rPr>
          <w:rFonts w:hint="eastAsia"/>
          <w:color w:val="auto"/>
        </w:rPr>
      </w:pPr>
      <w:r>
        <w:rPr>
          <w:rFonts w:hint="eastAsia"/>
          <w:color w:val="auto"/>
        </w:rPr>
        <w:t>（</w:t>
      </w:r>
      <w:r>
        <w:rPr>
          <w:rFonts w:hint="eastAsia"/>
          <w:color w:val="auto"/>
          <w:lang w:val="en-US" w:eastAsia="zh-CN"/>
        </w:rPr>
        <w:t>7</w:t>
      </w:r>
      <w:r>
        <w:rPr>
          <w:rFonts w:hint="eastAsia"/>
          <w:color w:val="auto"/>
        </w:rPr>
        <w:t>）</w:t>
      </w:r>
      <w:r>
        <w:rPr>
          <w:rFonts w:hint="eastAsia"/>
          <w:color w:val="auto"/>
          <w:lang w:eastAsia="zh-CN"/>
        </w:rPr>
        <w:t>废润滑油</w:t>
      </w:r>
    </w:p>
    <w:p w14:paraId="0EE65C2F">
      <w:pPr>
        <w:pStyle w:val="79"/>
        <w:bidi w:val="0"/>
        <w:rPr>
          <w:rFonts w:hint="eastAsia"/>
          <w:color w:val="auto"/>
        </w:rPr>
      </w:pPr>
      <w:r>
        <w:rPr>
          <w:rFonts w:hint="eastAsia"/>
          <w:color w:val="auto"/>
          <w:lang w:eastAsia="zh-CN"/>
        </w:rPr>
        <w:t>本</w:t>
      </w:r>
      <w:r>
        <w:rPr>
          <w:rFonts w:hint="eastAsia"/>
          <w:color w:val="auto"/>
          <w:lang w:val="en-US" w:eastAsia="zh-CN"/>
        </w:rPr>
        <w:t>项目</w:t>
      </w:r>
      <w:r>
        <w:rPr>
          <w:rFonts w:hint="eastAsia"/>
          <w:color w:val="auto"/>
          <w:lang w:eastAsia="zh-CN"/>
        </w:rPr>
        <w:t>废润滑油主要是井下作业</w:t>
      </w:r>
      <w:r>
        <w:rPr>
          <w:rFonts w:hint="eastAsia"/>
          <w:color w:val="auto"/>
          <w:lang w:val="en-US" w:eastAsia="zh-CN"/>
        </w:rPr>
        <w:t>、雄探1试采点生产过程</w:t>
      </w:r>
      <w:r>
        <w:rPr>
          <w:rFonts w:hint="eastAsia"/>
          <w:color w:val="auto"/>
          <w:lang w:eastAsia="zh-CN"/>
        </w:rPr>
        <w:t>中机械设备维修中产生的，每口井每次产生废润滑油约0.05t，本</w:t>
      </w:r>
      <w:r>
        <w:rPr>
          <w:rFonts w:hint="eastAsia"/>
          <w:color w:val="auto"/>
          <w:lang w:val="en-US" w:eastAsia="zh-CN"/>
        </w:rPr>
        <w:t>项目</w:t>
      </w:r>
      <w:r>
        <w:rPr>
          <w:rFonts w:hint="eastAsia"/>
          <w:color w:val="auto"/>
          <w:lang w:eastAsia="zh-CN"/>
        </w:rPr>
        <w:t>共</w:t>
      </w:r>
      <w:r>
        <w:rPr>
          <w:rFonts w:hint="eastAsia"/>
          <w:color w:val="auto"/>
          <w:lang w:val="en-US" w:eastAsia="zh-CN"/>
        </w:rPr>
        <w:t>6口</w:t>
      </w:r>
      <w:r>
        <w:rPr>
          <w:rFonts w:hint="eastAsia"/>
          <w:color w:val="auto"/>
          <w:lang w:eastAsia="zh-CN"/>
        </w:rPr>
        <w:t>井，每次产生废润滑油约</w:t>
      </w:r>
      <w:r>
        <w:rPr>
          <w:rFonts w:hint="eastAsia"/>
          <w:color w:val="auto"/>
          <w:lang w:val="en-US" w:eastAsia="zh-CN"/>
        </w:rPr>
        <w:t>0.3</w:t>
      </w:r>
      <w:r>
        <w:rPr>
          <w:rFonts w:hint="eastAsia"/>
          <w:color w:val="auto"/>
          <w:lang w:eastAsia="zh-CN"/>
        </w:rPr>
        <w:t>t；</w:t>
      </w:r>
      <w:r>
        <w:rPr>
          <w:rFonts w:hint="eastAsia"/>
          <w:color w:val="auto"/>
          <w:lang w:val="en-US" w:eastAsia="zh-CN"/>
        </w:rPr>
        <w:t>雄探1试采点生产过程</w:t>
      </w:r>
      <w:r>
        <w:rPr>
          <w:rFonts w:hint="eastAsia"/>
          <w:color w:val="auto"/>
          <w:lang w:eastAsia="zh-CN"/>
        </w:rPr>
        <w:t>机械设备维修产生的废润滑油约</w:t>
      </w:r>
      <w:r>
        <w:rPr>
          <w:rFonts w:hint="eastAsia"/>
          <w:color w:val="auto"/>
          <w:lang w:val="en-US" w:eastAsia="zh-CN"/>
        </w:rPr>
        <w:t>5</w:t>
      </w:r>
      <w:r>
        <w:rPr>
          <w:rFonts w:hint="eastAsia"/>
          <w:color w:val="auto"/>
          <w:lang w:eastAsia="zh-CN"/>
        </w:rPr>
        <w:t>t/a，其危险废物类别为HW08废矿物油与含矿物油废物，</w:t>
      </w:r>
      <w:r>
        <w:rPr>
          <w:color w:val="auto"/>
        </w:rPr>
        <w:t>委托有危险废物运输及处理资质的单位</w:t>
      </w:r>
      <w:r>
        <w:rPr>
          <w:rFonts w:hint="eastAsia"/>
          <w:color w:val="auto"/>
        </w:rPr>
        <w:t>处置。</w:t>
      </w:r>
    </w:p>
    <w:p w14:paraId="70DA94F9">
      <w:pPr>
        <w:pStyle w:val="79"/>
        <w:bidi w:val="0"/>
        <w:rPr>
          <w:rFonts w:hint="eastAsia"/>
          <w:color w:val="auto"/>
        </w:rPr>
      </w:pPr>
      <w:r>
        <w:rPr>
          <w:rFonts w:hint="eastAsia"/>
          <w:color w:val="auto"/>
        </w:rPr>
        <w:t>（</w:t>
      </w:r>
      <w:r>
        <w:rPr>
          <w:rFonts w:hint="eastAsia"/>
          <w:color w:val="auto"/>
          <w:lang w:val="en-US" w:eastAsia="zh-CN"/>
        </w:rPr>
        <w:t>8</w:t>
      </w:r>
      <w:r>
        <w:rPr>
          <w:rFonts w:hint="eastAsia"/>
          <w:color w:val="auto"/>
        </w:rPr>
        <w:t>）生活垃圾</w:t>
      </w:r>
    </w:p>
    <w:p w14:paraId="413DE8D4">
      <w:pPr>
        <w:pStyle w:val="79"/>
        <w:bidi w:val="0"/>
        <w:rPr>
          <w:color w:val="auto"/>
        </w:rPr>
      </w:pPr>
      <w:r>
        <w:rPr>
          <w:color w:val="auto"/>
        </w:rPr>
        <w:t>本工程新增劳动定员</w:t>
      </w:r>
      <w:r>
        <w:rPr>
          <w:rFonts w:hint="eastAsia"/>
          <w:color w:val="auto"/>
          <w:lang w:val="en-US" w:eastAsia="zh-CN"/>
        </w:rPr>
        <w:t>9</w:t>
      </w:r>
      <w:r>
        <w:rPr>
          <w:rFonts w:hint="eastAsia"/>
          <w:color w:val="auto"/>
        </w:rPr>
        <w:t>人，员工</w:t>
      </w:r>
      <w:r>
        <w:rPr>
          <w:color w:val="auto"/>
        </w:rPr>
        <w:t>生活垃圾产生量按0.5kg/人·d计算，则运营期生活垃圾总产生量为</w:t>
      </w:r>
      <w:r>
        <w:rPr>
          <w:rFonts w:hint="eastAsia"/>
          <w:color w:val="auto"/>
          <w:lang w:val="en-US" w:eastAsia="zh-CN"/>
        </w:rPr>
        <w:t>1.5</w:t>
      </w:r>
      <w:r>
        <w:rPr>
          <w:color w:val="auto"/>
        </w:rPr>
        <w:t>t</w:t>
      </w:r>
      <w:r>
        <w:rPr>
          <w:rFonts w:hint="eastAsia"/>
          <w:color w:val="auto"/>
        </w:rPr>
        <w:t>/a</w:t>
      </w:r>
      <w:r>
        <w:rPr>
          <w:color w:val="auto"/>
        </w:rPr>
        <w:t>。生活垃圾集中收集后委托</w:t>
      </w:r>
      <w:r>
        <w:rPr>
          <w:rFonts w:hint="eastAsia"/>
          <w:color w:val="auto"/>
        </w:rPr>
        <w:t>温宿县垃圾填埋场</w:t>
      </w:r>
      <w:r>
        <w:rPr>
          <w:color w:val="auto"/>
        </w:rPr>
        <w:t>处置。</w:t>
      </w:r>
    </w:p>
    <w:p w14:paraId="297B3D4F">
      <w:pPr>
        <w:pStyle w:val="79"/>
        <w:bidi w:val="0"/>
        <w:rPr>
          <w:rFonts w:hint="default"/>
          <w:color w:val="auto"/>
        </w:rPr>
      </w:pPr>
      <w:r>
        <w:rPr>
          <w:rFonts w:hint="default"/>
          <w:color w:val="auto"/>
        </w:rPr>
        <w:t>本工程运营期危</w:t>
      </w:r>
      <w:bookmarkStart w:id="418" w:name="OLE_LINK369"/>
      <w:r>
        <w:rPr>
          <w:rFonts w:hint="default"/>
          <w:color w:val="auto"/>
        </w:rPr>
        <w:t>险废物产排污统计表</w:t>
      </w:r>
      <w:r>
        <w:rPr>
          <w:rFonts w:hint="eastAsia"/>
          <w:color w:val="auto"/>
          <w:lang w:eastAsia="zh-CN"/>
        </w:rPr>
        <w:t>，</w:t>
      </w:r>
      <w:r>
        <w:rPr>
          <w:rFonts w:hint="default"/>
          <w:color w:val="auto"/>
        </w:rPr>
        <w:t>见表</w:t>
      </w:r>
      <w:r>
        <w:rPr>
          <w:rFonts w:hint="eastAsia"/>
          <w:color w:val="auto"/>
          <w:lang w:val="en-US" w:eastAsia="zh-CN"/>
        </w:rPr>
        <w:t>3.3-15</w:t>
      </w:r>
      <w:r>
        <w:rPr>
          <w:rFonts w:hint="default"/>
          <w:color w:val="auto"/>
        </w:rPr>
        <w:t>。</w:t>
      </w:r>
    </w:p>
    <w:p w14:paraId="5731B87D">
      <w:pPr>
        <w:pStyle w:val="61"/>
        <w:bidi w:val="0"/>
        <w:jc w:val="both"/>
        <w:rPr>
          <w:rFonts w:hint="default"/>
          <w:color w:val="auto"/>
          <w:lang w:val="en-US" w:eastAsia="zh-CN"/>
        </w:rPr>
      </w:pPr>
      <w:r>
        <w:rPr>
          <w:rFonts w:hint="default"/>
          <w:color w:val="auto"/>
          <w:lang w:val="en-US" w:eastAsia="zh-CN"/>
        </w:rPr>
        <w:t>表</w:t>
      </w:r>
      <w:r>
        <w:rPr>
          <w:rFonts w:hint="eastAsia"/>
          <w:color w:val="auto"/>
          <w:lang w:val="en-US" w:eastAsia="zh-CN"/>
        </w:rPr>
        <w:t>3.3-1</w:t>
      </w:r>
      <w:bookmarkEnd w:id="418"/>
      <w:r>
        <w:rPr>
          <w:rFonts w:hint="eastAsia"/>
          <w:color w:val="auto"/>
          <w:lang w:val="en-US" w:eastAsia="zh-CN"/>
        </w:rPr>
        <w:t xml:space="preserve">5   </w:t>
      </w:r>
      <w:r>
        <w:rPr>
          <w:rFonts w:hint="default"/>
          <w:color w:val="auto"/>
          <w:lang w:val="en-US" w:eastAsia="zh-CN"/>
        </w:rPr>
        <w:t>运营期固体废物产生、处置及防治措施情况一览表</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47"/>
        <w:gridCol w:w="1409"/>
        <w:gridCol w:w="1361"/>
        <w:gridCol w:w="590"/>
        <w:gridCol w:w="727"/>
        <w:gridCol w:w="933"/>
        <w:gridCol w:w="2056"/>
        <w:gridCol w:w="911"/>
      </w:tblGrid>
      <w:tr w14:paraId="640207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6" w:hRule="atLeast"/>
          <w:tblHeader/>
          <w:jc w:val="center"/>
        </w:trPr>
        <w:tc>
          <w:tcPr>
            <w:tcW w:w="479" w:type="pct"/>
            <w:tcBorders>
              <w:tl2br w:val="nil"/>
              <w:tr2bl w:val="nil"/>
            </w:tcBorders>
            <w:noWrap w:val="0"/>
            <w:vAlign w:val="center"/>
          </w:tcPr>
          <w:p w14:paraId="494C0CF0">
            <w:pPr>
              <w:tabs>
                <w:tab w:val="left" w:pos="377"/>
              </w:tabs>
              <w:spacing w:line="240" w:lineRule="exact"/>
              <w:jc w:val="center"/>
              <w:rPr>
                <w:bCs/>
                <w:color w:val="auto"/>
                <w:szCs w:val="21"/>
                <w:highlight w:val="none"/>
              </w:rPr>
            </w:pPr>
            <w:r>
              <w:rPr>
                <w:bCs/>
                <w:color w:val="auto"/>
                <w:szCs w:val="21"/>
                <w:highlight w:val="none"/>
              </w:rPr>
              <w:t>名称</w:t>
            </w:r>
          </w:p>
        </w:tc>
        <w:tc>
          <w:tcPr>
            <w:tcW w:w="797" w:type="pct"/>
            <w:tcBorders>
              <w:tl2br w:val="nil"/>
              <w:tr2bl w:val="nil"/>
            </w:tcBorders>
            <w:noWrap w:val="0"/>
            <w:vAlign w:val="center"/>
          </w:tcPr>
          <w:p w14:paraId="737A2D74">
            <w:pPr>
              <w:tabs>
                <w:tab w:val="left" w:pos="377"/>
              </w:tabs>
              <w:spacing w:line="240" w:lineRule="exact"/>
              <w:jc w:val="center"/>
              <w:rPr>
                <w:bCs/>
                <w:color w:val="auto"/>
                <w:szCs w:val="21"/>
                <w:highlight w:val="none"/>
              </w:rPr>
            </w:pPr>
            <w:r>
              <w:rPr>
                <w:bCs/>
                <w:color w:val="auto"/>
                <w:szCs w:val="21"/>
                <w:highlight w:val="none"/>
              </w:rPr>
              <w:t>固废属性</w:t>
            </w:r>
          </w:p>
        </w:tc>
        <w:tc>
          <w:tcPr>
            <w:tcW w:w="770" w:type="pct"/>
            <w:tcBorders>
              <w:tl2br w:val="nil"/>
              <w:tr2bl w:val="nil"/>
            </w:tcBorders>
            <w:noWrap w:val="0"/>
            <w:vAlign w:val="center"/>
          </w:tcPr>
          <w:p w14:paraId="71FDE149">
            <w:pPr>
              <w:tabs>
                <w:tab w:val="left" w:pos="377"/>
              </w:tabs>
              <w:spacing w:line="240" w:lineRule="exact"/>
              <w:jc w:val="center"/>
              <w:rPr>
                <w:bCs/>
                <w:color w:val="auto"/>
                <w:szCs w:val="21"/>
                <w:highlight w:val="none"/>
              </w:rPr>
            </w:pPr>
            <w:r>
              <w:rPr>
                <w:bCs/>
                <w:color w:val="auto"/>
                <w:szCs w:val="21"/>
                <w:highlight w:val="none"/>
              </w:rPr>
              <w:t>废物类别及代码</w:t>
            </w:r>
          </w:p>
        </w:tc>
        <w:tc>
          <w:tcPr>
            <w:tcW w:w="334" w:type="pct"/>
            <w:tcBorders>
              <w:tl2br w:val="nil"/>
              <w:tr2bl w:val="nil"/>
            </w:tcBorders>
            <w:noWrap w:val="0"/>
            <w:vAlign w:val="center"/>
          </w:tcPr>
          <w:p w14:paraId="4100B558">
            <w:pPr>
              <w:tabs>
                <w:tab w:val="left" w:pos="377"/>
              </w:tabs>
              <w:spacing w:line="240" w:lineRule="exact"/>
              <w:jc w:val="center"/>
              <w:rPr>
                <w:bCs/>
                <w:color w:val="auto"/>
                <w:szCs w:val="21"/>
                <w:highlight w:val="none"/>
              </w:rPr>
            </w:pPr>
            <w:r>
              <w:rPr>
                <w:bCs/>
                <w:color w:val="auto"/>
                <w:szCs w:val="21"/>
                <w:highlight w:val="none"/>
              </w:rPr>
              <w:t>危险废物特性</w:t>
            </w:r>
          </w:p>
        </w:tc>
        <w:tc>
          <w:tcPr>
            <w:tcW w:w="411" w:type="pct"/>
            <w:tcBorders>
              <w:tl2br w:val="nil"/>
              <w:tr2bl w:val="nil"/>
            </w:tcBorders>
            <w:noWrap w:val="0"/>
            <w:vAlign w:val="center"/>
          </w:tcPr>
          <w:p w14:paraId="207DF4CD">
            <w:pPr>
              <w:tabs>
                <w:tab w:val="left" w:pos="377"/>
              </w:tabs>
              <w:spacing w:line="240" w:lineRule="exact"/>
              <w:jc w:val="center"/>
              <w:rPr>
                <w:rFonts w:hint="eastAsia"/>
                <w:bCs/>
                <w:color w:val="auto"/>
                <w:szCs w:val="21"/>
                <w:highlight w:val="none"/>
              </w:rPr>
            </w:pPr>
            <w:r>
              <w:rPr>
                <w:bCs/>
                <w:color w:val="auto"/>
                <w:szCs w:val="21"/>
                <w:highlight w:val="none"/>
              </w:rPr>
              <w:t>产生</w:t>
            </w:r>
          </w:p>
          <w:p w14:paraId="788DC74C">
            <w:pPr>
              <w:tabs>
                <w:tab w:val="left" w:pos="377"/>
              </w:tabs>
              <w:spacing w:line="240" w:lineRule="exact"/>
              <w:jc w:val="center"/>
              <w:rPr>
                <w:bCs/>
                <w:color w:val="auto"/>
                <w:szCs w:val="21"/>
                <w:highlight w:val="none"/>
              </w:rPr>
            </w:pPr>
            <w:r>
              <w:rPr>
                <w:bCs/>
                <w:color w:val="auto"/>
                <w:szCs w:val="21"/>
                <w:highlight w:val="none"/>
              </w:rPr>
              <w:t>工序</w:t>
            </w:r>
          </w:p>
        </w:tc>
        <w:tc>
          <w:tcPr>
            <w:tcW w:w="528" w:type="pct"/>
            <w:tcBorders>
              <w:tl2br w:val="nil"/>
              <w:tr2bl w:val="nil"/>
            </w:tcBorders>
            <w:noWrap w:val="0"/>
            <w:vAlign w:val="center"/>
          </w:tcPr>
          <w:p w14:paraId="584417B4">
            <w:pPr>
              <w:tabs>
                <w:tab w:val="left" w:pos="377"/>
              </w:tabs>
              <w:spacing w:line="240" w:lineRule="exact"/>
              <w:jc w:val="center"/>
              <w:rPr>
                <w:color w:val="auto"/>
                <w:szCs w:val="21"/>
                <w:highlight w:val="none"/>
              </w:rPr>
            </w:pPr>
            <w:r>
              <w:rPr>
                <w:bCs/>
                <w:color w:val="auto"/>
                <w:szCs w:val="21"/>
                <w:highlight w:val="none"/>
              </w:rPr>
              <w:t>产生量</w:t>
            </w:r>
          </w:p>
        </w:tc>
        <w:tc>
          <w:tcPr>
            <w:tcW w:w="1163" w:type="pct"/>
            <w:tcBorders>
              <w:tl2br w:val="nil"/>
              <w:tr2bl w:val="nil"/>
            </w:tcBorders>
            <w:noWrap w:val="0"/>
            <w:vAlign w:val="center"/>
          </w:tcPr>
          <w:p w14:paraId="1AABBF4E">
            <w:pPr>
              <w:tabs>
                <w:tab w:val="left" w:pos="377"/>
              </w:tabs>
              <w:spacing w:line="240" w:lineRule="exact"/>
              <w:jc w:val="center"/>
              <w:rPr>
                <w:rFonts w:hint="eastAsia"/>
                <w:bCs/>
                <w:color w:val="auto"/>
                <w:szCs w:val="21"/>
                <w:highlight w:val="none"/>
              </w:rPr>
            </w:pPr>
            <w:r>
              <w:rPr>
                <w:bCs/>
                <w:color w:val="auto"/>
                <w:szCs w:val="21"/>
                <w:highlight w:val="none"/>
              </w:rPr>
              <w:t>处置</w:t>
            </w:r>
          </w:p>
          <w:p w14:paraId="75B3A475">
            <w:pPr>
              <w:tabs>
                <w:tab w:val="left" w:pos="377"/>
              </w:tabs>
              <w:spacing w:line="240" w:lineRule="exact"/>
              <w:jc w:val="center"/>
              <w:rPr>
                <w:bCs/>
                <w:color w:val="auto"/>
                <w:szCs w:val="21"/>
                <w:highlight w:val="none"/>
              </w:rPr>
            </w:pPr>
            <w:r>
              <w:rPr>
                <w:bCs/>
                <w:color w:val="auto"/>
                <w:szCs w:val="21"/>
                <w:highlight w:val="none"/>
              </w:rPr>
              <w:t>方式</w:t>
            </w:r>
          </w:p>
        </w:tc>
        <w:tc>
          <w:tcPr>
            <w:tcW w:w="515" w:type="pct"/>
            <w:tcBorders>
              <w:tl2br w:val="nil"/>
              <w:tr2bl w:val="nil"/>
            </w:tcBorders>
            <w:noWrap w:val="0"/>
            <w:vAlign w:val="center"/>
          </w:tcPr>
          <w:p w14:paraId="2E4D71F7">
            <w:pPr>
              <w:tabs>
                <w:tab w:val="left" w:pos="377"/>
              </w:tabs>
              <w:spacing w:line="240" w:lineRule="exact"/>
              <w:jc w:val="center"/>
              <w:rPr>
                <w:bCs/>
                <w:color w:val="auto"/>
                <w:szCs w:val="21"/>
                <w:highlight w:val="none"/>
              </w:rPr>
            </w:pPr>
            <w:r>
              <w:rPr>
                <w:bCs/>
                <w:color w:val="auto"/>
                <w:szCs w:val="21"/>
                <w:highlight w:val="none"/>
              </w:rPr>
              <w:t>备注</w:t>
            </w:r>
          </w:p>
        </w:tc>
      </w:tr>
      <w:tr w14:paraId="7206E2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79" w:type="pct"/>
            <w:tcBorders>
              <w:tl2br w:val="nil"/>
              <w:tr2bl w:val="nil"/>
            </w:tcBorders>
            <w:noWrap w:val="0"/>
            <w:vAlign w:val="center"/>
          </w:tcPr>
          <w:p w14:paraId="3D6705B9">
            <w:pPr>
              <w:tabs>
                <w:tab w:val="left" w:pos="377"/>
              </w:tabs>
              <w:spacing w:line="240" w:lineRule="exact"/>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废脱硫剂</w:t>
            </w:r>
          </w:p>
        </w:tc>
        <w:tc>
          <w:tcPr>
            <w:tcW w:w="797" w:type="pct"/>
            <w:tcBorders>
              <w:tl2br w:val="nil"/>
              <w:tr2bl w:val="nil"/>
            </w:tcBorders>
            <w:noWrap w:val="0"/>
            <w:vAlign w:val="center"/>
          </w:tcPr>
          <w:p w14:paraId="4BC7BAD3">
            <w:pPr>
              <w:tabs>
                <w:tab w:val="left" w:pos="377"/>
              </w:tabs>
              <w:spacing w:line="240" w:lineRule="exact"/>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一般工业固体废物</w:t>
            </w:r>
          </w:p>
        </w:tc>
        <w:tc>
          <w:tcPr>
            <w:tcW w:w="770" w:type="pct"/>
            <w:tcBorders>
              <w:tl2br w:val="nil"/>
              <w:tr2bl w:val="nil"/>
            </w:tcBorders>
            <w:noWrap w:val="0"/>
            <w:vAlign w:val="center"/>
          </w:tcPr>
          <w:p w14:paraId="73B67893">
            <w:pPr>
              <w:tabs>
                <w:tab w:val="left" w:pos="377"/>
              </w:tabs>
              <w:spacing w:line="240" w:lineRule="exact"/>
              <w:jc w:val="center"/>
              <w:rPr>
                <w:rFonts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900-099-S59</w:t>
            </w:r>
          </w:p>
        </w:tc>
        <w:tc>
          <w:tcPr>
            <w:tcW w:w="334" w:type="pct"/>
            <w:tcBorders>
              <w:tl2br w:val="nil"/>
              <w:tr2bl w:val="nil"/>
            </w:tcBorders>
            <w:noWrap w:val="0"/>
            <w:vAlign w:val="center"/>
          </w:tcPr>
          <w:p w14:paraId="35B35E3C">
            <w:pPr>
              <w:tabs>
                <w:tab w:val="left" w:pos="377"/>
              </w:tabs>
              <w:spacing w:line="240" w:lineRule="exact"/>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w:t>
            </w:r>
          </w:p>
        </w:tc>
        <w:tc>
          <w:tcPr>
            <w:tcW w:w="411" w:type="pct"/>
            <w:tcBorders>
              <w:tl2br w:val="nil"/>
              <w:tr2bl w:val="nil"/>
            </w:tcBorders>
            <w:noWrap w:val="0"/>
            <w:vAlign w:val="center"/>
          </w:tcPr>
          <w:p w14:paraId="24CCAE61">
            <w:pPr>
              <w:tabs>
                <w:tab w:val="left" w:pos="377"/>
              </w:tabs>
              <w:spacing w:line="240" w:lineRule="exact"/>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干法脱硫</w:t>
            </w:r>
          </w:p>
        </w:tc>
        <w:tc>
          <w:tcPr>
            <w:tcW w:w="528" w:type="pct"/>
            <w:tcBorders>
              <w:tl2br w:val="nil"/>
              <w:tr2bl w:val="nil"/>
            </w:tcBorders>
            <w:noWrap w:val="0"/>
            <w:vAlign w:val="center"/>
          </w:tcPr>
          <w:p w14:paraId="3C05D84C">
            <w:pPr>
              <w:tabs>
                <w:tab w:val="left" w:pos="377"/>
              </w:tabs>
              <w:spacing w:line="240" w:lineRule="exact"/>
              <w:jc w:val="center"/>
              <w:rPr>
                <w:rFonts w:hint="eastAsia"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871.2</w:t>
            </w:r>
          </w:p>
          <w:p w14:paraId="55E2873B">
            <w:pPr>
              <w:tabs>
                <w:tab w:val="left" w:pos="377"/>
              </w:tabs>
              <w:spacing w:line="240" w:lineRule="exact"/>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m</w:t>
            </w:r>
            <w:r>
              <w:rPr>
                <w:rFonts w:hint="eastAsia" w:cs="Times New Roman"/>
                <w:bCs/>
                <w:color w:val="auto"/>
                <w:kern w:val="2"/>
                <w:sz w:val="21"/>
                <w:szCs w:val="21"/>
                <w:highlight w:val="none"/>
                <w:vertAlign w:val="superscript"/>
                <w:lang w:val="en-US" w:eastAsia="zh-CN" w:bidi="ar-SA"/>
              </w:rPr>
              <w:t>3</w:t>
            </w:r>
            <w:r>
              <w:rPr>
                <w:rFonts w:hint="eastAsia" w:cs="Times New Roman"/>
                <w:bCs/>
                <w:color w:val="auto"/>
                <w:kern w:val="2"/>
                <w:sz w:val="21"/>
                <w:szCs w:val="21"/>
                <w:highlight w:val="none"/>
                <w:lang w:val="en-US" w:eastAsia="zh-CN" w:bidi="ar-SA"/>
              </w:rPr>
              <w:t>/a</w:t>
            </w:r>
          </w:p>
        </w:tc>
        <w:tc>
          <w:tcPr>
            <w:tcW w:w="1163" w:type="pct"/>
            <w:vMerge w:val="restart"/>
            <w:tcBorders>
              <w:tl2br w:val="nil"/>
              <w:tr2bl w:val="nil"/>
            </w:tcBorders>
            <w:noWrap w:val="0"/>
            <w:vAlign w:val="center"/>
          </w:tcPr>
          <w:p w14:paraId="6520D252">
            <w:pPr>
              <w:spacing w:line="240" w:lineRule="exact"/>
              <w:rPr>
                <w:rFonts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由生产厂家进行更换，更换后由其拉走处置。</w:t>
            </w:r>
          </w:p>
        </w:tc>
        <w:tc>
          <w:tcPr>
            <w:tcW w:w="515" w:type="pct"/>
            <w:tcBorders>
              <w:tl2br w:val="nil"/>
              <w:tr2bl w:val="nil"/>
            </w:tcBorders>
            <w:noWrap w:val="0"/>
            <w:vAlign w:val="center"/>
          </w:tcPr>
          <w:p w14:paraId="47CEE420">
            <w:pPr>
              <w:tabs>
                <w:tab w:val="left" w:pos="377"/>
              </w:tabs>
              <w:spacing w:line="240" w:lineRule="exact"/>
              <w:jc w:val="center"/>
              <w:rPr>
                <w:rFonts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每一个月换一次脱硫剂</w:t>
            </w:r>
          </w:p>
        </w:tc>
      </w:tr>
      <w:tr w14:paraId="4491AF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79" w:type="pct"/>
            <w:tcBorders>
              <w:tl2br w:val="nil"/>
              <w:tr2bl w:val="nil"/>
            </w:tcBorders>
            <w:noWrap w:val="0"/>
            <w:vAlign w:val="center"/>
          </w:tcPr>
          <w:p w14:paraId="089414D5">
            <w:pPr>
              <w:tabs>
                <w:tab w:val="left" w:pos="377"/>
              </w:tabs>
              <w:spacing w:line="240" w:lineRule="exact"/>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废分子筛</w:t>
            </w:r>
          </w:p>
        </w:tc>
        <w:tc>
          <w:tcPr>
            <w:tcW w:w="797" w:type="pct"/>
            <w:tcBorders>
              <w:tl2br w:val="nil"/>
              <w:tr2bl w:val="nil"/>
            </w:tcBorders>
            <w:noWrap w:val="0"/>
            <w:vAlign w:val="center"/>
          </w:tcPr>
          <w:p w14:paraId="4D86B135">
            <w:pPr>
              <w:tabs>
                <w:tab w:val="left" w:pos="377"/>
              </w:tabs>
              <w:spacing w:line="240" w:lineRule="exact"/>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一般工业固体废物</w:t>
            </w:r>
          </w:p>
        </w:tc>
        <w:tc>
          <w:tcPr>
            <w:tcW w:w="770" w:type="pct"/>
            <w:tcBorders>
              <w:tl2br w:val="nil"/>
              <w:tr2bl w:val="nil"/>
            </w:tcBorders>
            <w:noWrap w:val="0"/>
            <w:vAlign w:val="center"/>
          </w:tcPr>
          <w:p w14:paraId="32AA72C8">
            <w:pPr>
              <w:tabs>
                <w:tab w:val="left" w:pos="377"/>
              </w:tabs>
              <w:spacing w:line="240" w:lineRule="exact"/>
              <w:jc w:val="center"/>
              <w:rPr>
                <w:rFonts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900-005-S59</w:t>
            </w:r>
          </w:p>
        </w:tc>
        <w:tc>
          <w:tcPr>
            <w:tcW w:w="334" w:type="pct"/>
            <w:tcBorders>
              <w:tl2br w:val="nil"/>
              <w:tr2bl w:val="nil"/>
            </w:tcBorders>
            <w:noWrap w:val="0"/>
            <w:vAlign w:val="center"/>
          </w:tcPr>
          <w:p w14:paraId="1B4FC06E">
            <w:pPr>
              <w:tabs>
                <w:tab w:val="left" w:pos="377"/>
              </w:tabs>
              <w:spacing w:line="240" w:lineRule="exact"/>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w:t>
            </w:r>
          </w:p>
        </w:tc>
        <w:tc>
          <w:tcPr>
            <w:tcW w:w="411" w:type="pct"/>
            <w:tcBorders>
              <w:tl2br w:val="nil"/>
              <w:tr2bl w:val="nil"/>
            </w:tcBorders>
            <w:noWrap w:val="0"/>
            <w:vAlign w:val="center"/>
          </w:tcPr>
          <w:p w14:paraId="3E9BDC80">
            <w:pPr>
              <w:tabs>
                <w:tab w:val="left" w:pos="377"/>
              </w:tabs>
              <w:spacing w:line="240" w:lineRule="exact"/>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天然气脱水</w:t>
            </w:r>
          </w:p>
        </w:tc>
        <w:tc>
          <w:tcPr>
            <w:tcW w:w="528" w:type="pct"/>
            <w:tcBorders>
              <w:tl2br w:val="nil"/>
              <w:tr2bl w:val="nil"/>
            </w:tcBorders>
            <w:noWrap w:val="0"/>
            <w:vAlign w:val="center"/>
          </w:tcPr>
          <w:p w14:paraId="5052E1A7">
            <w:pPr>
              <w:tabs>
                <w:tab w:val="left" w:pos="377"/>
              </w:tabs>
              <w:spacing w:line="240" w:lineRule="exact"/>
              <w:jc w:val="center"/>
              <w:rPr>
                <w:rFonts w:hint="eastAsia"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45</w:t>
            </w:r>
          </w:p>
          <w:p w14:paraId="1DFD1BCD">
            <w:pPr>
              <w:tabs>
                <w:tab w:val="left" w:pos="377"/>
              </w:tabs>
              <w:spacing w:line="240" w:lineRule="exact"/>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m</w:t>
            </w:r>
            <w:r>
              <w:rPr>
                <w:rFonts w:hint="eastAsia" w:cs="Times New Roman"/>
                <w:bCs/>
                <w:color w:val="auto"/>
                <w:kern w:val="2"/>
                <w:sz w:val="21"/>
                <w:szCs w:val="21"/>
                <w:highlight w:val="none"/>
                <w:vertAlign w:val="superscript"/>
                <w:lang w:val="en-US" w:eastAsia="zh-CN" w:bidi="ar-SA"/>
              </w:rPr>
              <w:t>3</w:t>
            </w:r>
            <w:r>
              <w:rPr>
                <w:rFonts w:hint="eastAsia" w:cs="Times New Roman"/>
                <w:bCs/>
                <w:color w:val="auto"/>
                <w:kern w:val="2"/>
                <w:sz w:val="21"/>
                <w:szCs w:val="21"/>
                <w:highlight w:val="none"/>
                <w:lang w:val="en-US" w:eastAsia="zh-CN" w:bidi="ar-SA"/>
              </w:rPr>
              <w:t>/a</w:t>
            </w:r>
          </w:p>
        </w:tc>
        <w:tc>
          <w:tcPr>
            <w:tcW w:w="1163" w:type="pct"/>
            <w:vMerge w:val="continue"/>
            <w:tcBorders>
              <w:tl2br w:val="nil"/>
              <w:tr2bl w:val="nil"/>
            </w:tcBorders>
            <w:noWrap w:val="0"/>
            <w:vAlign w:val="center"/>
          </w:tcPr>
          <w:p w14:paraId="269F1DBC">
            <w:pPr>
              <w:tabs>
                <w:tab w:val="left" w:pos="377"/>
              </w:tabs>
              <w:spacing w:line="240" w:lineRule="exact"/>
              <w:jc w:val="center"/>
              <w:rPr>
                <w:rFonts w:ascii="Times New Roman" w:hAnsi="Times New Roman" w:eastAsia="宋体" w:cs="Times New Roman"/>
                <w:bCs/>
                <w:color w:val="auto"/>
                <w:kern w:val="2"/>
                <w:sz w:val="21"/>
                <w:szCs w:val="21"/>
                <w:highlight w:val="none"/>
                <w:lang w:val="en-US" w:eastAsia="zh-CN" w:bidi="ar-SA"/>
              </w:rPr>
            </w:pPr>
          </w:p>
        </w:tc>
        <w:tc>
          <w:tcPr>
            <w:tcW w:w="515" w:type="pct"/>
            <w:tcBorders>
              <w:tl2br w:val="nil"/>
              <w:tr2bl w:val="nil"/>
            </w:tcBorders>
            <w:noWrap w:val="0"/>
            <w:vAlign w:val="center"/>
          </w:tcPr>
          <w:p w14:paraId="6C356875">
            <w:pPr>
              <w:tabs>
                <w:tab w:val="left" w:pos="377"/>
              </w:tabs>
              <w:spacing w:line="240" w:lineRule="exact"/>
              <w:jc w:val="center"/>
              <w:rPr>
                <w:rFonts w:hint="default" w:ascii="Times New Roman" w:hAnsi="Times New Roman" w:eastAsia="宋体" w:cs="Times New Roman"/>
                <w:bCs/>
                <w:color w:val="auto"/>
                <w:kern w:val="2"/>
                <w:sz w:val="21"/>
                <w:szCs w:val="21"/>
                <w:highlight w:val="none"/>
                <w:lang w:val="en-US" w:eastAsia="zh-CN" w:bidi="ar-SA"/>
              </w:rPr>
            </w:pPr>
            <w:r>
              <w:rPr>
                <w:bCs/>
                <w:color w:val="auto"/>
                <w:szCs w:val="21"/>
                <w:highlight w:val="none"/>
              </w:rPr>
              <w:t>每</w:t>
            </w:r>
            <w:r>
              <w:rPr>
                <w:rFonts w:hint="eastAsia"/>
                <w:bCs/>
                <w:color w:val="auto"/>
                <w:szCs w:val="21"/>
                <w:highlight w:val="none"/>
              </w:rPr>
              <w:t>2年</w:t>
            </w:r>
            <w:r>
              <w:rPr>
                <w:rFonts w:hint="eastAsia"/>
                <w:bCs/>
                <w:color w:val="auto"/>
                <w:szCs w:val="21"/>
                <w:highlight w:val="none"/>
                <w:lang w:val="en-US" w:eastAsia="zh-CN"/>
              </w:rPr>
              <w:t>更换1次</w:t>
            </w:r>
          </w:p>
        </w:tc>
      </w:tr>
      <w:tr w14:paraId="128062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79" w:type="pct"/>
            <w:tcBorders>
              <w:tl2br w:val="nil"/>
              <w:tr2bl w:val="nil"/>
            </w:tcBorders>
            <w:noWrap w:val="0"/>
            <w:vAlign w:val="center"/>
          </w:tcPr>
          <w:p w14:paraId="68AE3832">
            <w:pPr>
              <w:tabs>
                <w:tab w:val="left" w:pos="377"/>
              </w:tabs>
              <w:spacing w:line="240" w:lineRule="exact"/>
              <w:jc w:val="center"/>
              <w:rPr>
                <w:rFonts w:hint="eastAsia"/>
                <w:bCs/>
                <w:color w:val="auto"/>
                <w:szCs w:val="21"/>
                <w:highlight w:val="none"/>
              </w:rPr>
            </w:pPr>
            <w:r>
              <w:rPr>
                <w:bCs/>
                <w:color w:val="auto"/>
                <w:szCs w:val="21"/>
                <w:highlight w:val="none"/>
              </w:rPr>
              <w:t>清管</w:t>
            </w:r>
          </w:p>
          <w:p w14:paraId="35C4D964">
            <w:pPr>
              <w:tabs>
                <w:tab w:val="left" w:pos="377"/>
              </w:tabs>
              <w:spacing w:line="240" w:lineRule="exact"/>
              <w:jc w:val="center"/>
              <w:rPr>
                <w:rFonts w:ascii="Times New Roman" w:hAnsi="Times New Roman" w:eastAsia="宋体" w:cs="Times New Roman"/>
                <w:bCs/>
                <w:color w:val="auto"/>
                <w:kern w:val="2"/>
                <w:sz w:val="21"/>
                <w:szCs w:val="21"/>
                <w:highlight w:val="none"/>
                <w:lang w:val="en-US" w:eastAsia="zh-CN" w:bidi="ar-SA"/>
              </w:rPr>
            </w:pPr>
            <w:r>
              <w:rPr>
                <w:bCs/>
                <w:color w:val="auto"/>
                <w:szCs w:val="21"/>
                <w:highlight w:val="none"/>
              </w:rPr>
              <w:t>废渣</w:t>
            </w:r>
          </w:p>
        </w:tc>
        <w:tc>
          <w:tcPr>
            <w:tcW w:w="797" w:type="pct"/>
            <w:tcBorders>
              <w:tl2br w:val="nil"/>
              <w:tr2bl w:val="nil"/>
            </w:tcBorders>
            <w:noWrap w:val="0"/>
            <w:vAlign w:val="center"/>
          </w:tcPr>
          <w:p w14:paraId="7E54012A">
            <w:pPr>
              <w:tabs>
                <w:tab w:val="left" w:pos="377"/>
              </w:tabs>
              <w:spacing w:line="240" w:lineRule="exact"/>
              <w:jc w:val="center"/>
              <w:rPr>
                <w:rFonts w:ascii="Times New Roman" w:hAnsi="Times New Roman" w:eastAsia="宋体" w:cs="Times New Roman"/>
                <w:bCs/>
                <w:color w:val="auto"/>
                <w:kern w:val="2"/>
                <w:sz w:val="21"/>
                <w:szCs w:val="21"/>
                <w:highlight w:val="none"/>
                <w:lang w:val="en-US" w:eastAsia="zh-CN" w:bidi="ar-SA"/>
              </w:rPr>
            </w:pPr>
            <w:r>
              <w:rPr>
                <w:bCs/>
                <w:color w:val="auto"/>
                <w:szCs w:val="21"/>
                <w:highlight w:val="none"/>
              </w:rPr>
              <w:t>危险废物</w:t>
            </w:r>
          </w:p>
        </w:tc>
        <w:tc>
          <w:tcPr>
            <w:tcW w:w="770" w:type="pct"/>
            <w:tcBorders>
              <w:tl2br w:val="nil"/>
              <w:tr2bl w:val="nil"/>
            </w:tcBorders>
            <w:noWrap w:val="0"/>
            <w:vAlign w:val="center"/>
          </w:tcPr>
          <w:p w14:paraId="28D5839B">
            <w:pPr>
              <w:tabs>
                <w:tab w:val="left" w:pos="377"/>
              </w:tabs>
              <w:spacing w:line="240" w:lineRule="exact"/>
              <w:jc w:val="center"/>
              <w:rPr>
                <w:rFonts w:hint="eastAsia"/>
                <w:color w:val="auto"/>
                <w:highlight w:val="none"/>
              </w:rPr>
            </w:pPr>
            <w:r>
              <w:rPr>
                <w:rFonts w:hint="eastAsia"/>
                <w:color w:val="auto"/>
                <w:highlight w:val="none"/>
              </w:rPr>
              <w:t>HW08</w:t>
            </w:r>
          </w:p>
          <w:p w14:paraId="44DD04C8">
            <w:pPr>
              <w:tabs>
                <w:tab w:val="left" w:pos="377"/>
              </w:tabs>
              <w:spacing w:line="240" w:lineRule="exact"/>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rPr>
              <w:t>071-001-08</w:t>
            </w:r>
          </w:p>
        </w:tc>
        <w:tc>
          <w:tcPr>
            <w:tcW w:w="334" w:type="pct"/>
            <w:tcBorders>
              <w:tl2br w:val="nil"/>
              <w:tr2bl w:val="nil"/>
            </w:tcBorders>
            <w:noWrap w:val="0"/>
            <w:vAlign w:val="center"/>
          </w:tcPr>
          <w:p w14:paraId="46CE4085">
            <w:pPr>
              <w:tabs>
                <w:tab w:val="left" w:pos="377"/>
              </w:tabs>
              <w:spacing w:line="240" w:lineRule="exact"/>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rPr>
              <w:t>T</w:t>
            </w:r>
            <w:r>
              <w:rPr>
                <w:rFonts w:hint="eastAsia"/>
                <w:color w:val="auto"/>
                <w:highlight w:val="none"/>
                <w:lang w:eastAsia="zh-CN"/>
              </w:rPr>
              <w:t>,</w:t>
            </w:r>
            <w:r>
              <w:rPr>
                <w:rFonts w:hint="eastAsia"/>
                <w:color w:val="auto"/>
                <w:highlight w:val="none"/>
              </w:rPr>
              <w:t>I</w:t>
            </w:r>
          </w:p>
        </w:tc>
        <w:tc>
          <w:tcPr>
            <w:tcW w:w="411" w:type="pct"/>
            <w:tcBorders>
              <w:tl2br w:val="nil"/>
              <w:tr2bl w:val="nil"/>
            </w:tcBorders>
            <w:noWrap w:val="0"/>
            <w:vAlign w:val="center"/>
          </w:tcPr>
          <w:p w14:paraId="3A4B45CF">
            <w:pPr>
              <w:tabs>
                <w:tab w:val="left" w:pos="377"/>
              </w:tabs>
              <w:spacing w:line="240" w:lineRule="exact"/>
              <w:jc w:val="center"/>
              <w:rPr>
                <w:rFonts w:hint="eastAsia"/>
                <w:bCs/>
                <w:color w:val="auto"/>
                <w:szCs w:val="21"/>
                <w:highlight w:val="none"/>
              </w:rPr>
            </w:pPr>
            <w:r>
              <w:rPr>
                <w:bCs/>
                <w:color w:val="auto"/>
                <w:szCs w:val="21"/>
                <w:highlight w:val="none"/>
              </w:rPr>
              <w:t>清管</w:t>
            </w:r>
          </w:p>
          <w:p w14:paraId="52AFEB6C">
            <w:pPr>
              <w:tabs>
                <w:tab w:val="left" w:pos="377"/>
              </w:tabs>
              <w:spacing w:line="240" w:lineRule="exact"/>
              <w:jc w:val="center"/>
              <w:rPr>
                <w:rFonts w:ascii="Times New Roman" w:hAnsi="Times New Roman" w:eastAsia="宋体" w:cs="Times New Roman"/>
                <w:bCs/>
                <w:color w:val="auto"/>
                <w:kern w:val="2"/>
                <w:sz w:val="21"/>
                <w:szCs w:val="21"/>
                <w:highlight w:val="none"/>
                <w:lang w:val="en-US" w:eastAsia="zh-CN" w:bidi="ar-SA"/>
              </w:rPr>
            </w:pPr>
            <w:r>
              <w:rPr>
                <w:bCs/>
                <w:color w:val="auto"/>
                <w:szCs w:val="21"/>
                <w:highlight w:val="none"/>
              </w:rPr>
              <w:t>作业</w:t>
            </w:r>
          </w:p>
        </w:tc>
        <w:tc>
          <w:tcPr>
            <w:tcW w:w="528" w:type="pct"/>
            <w:tcBorders>
              <w:tl2br w:val="nil"/>
              <w:tr2bl w:val="nil"/>
            </w:tcBorders>
            <w:noWrap w:val="0"/>
            <w:vAlign w:val="center"/>
          </w:tcPr>
          <w:p w14:paraId="04C1508D">
            <w:pPr>
              <w:tabs>
                <w:tab w:val="left" w:pos="377"/>
              </w:tabs>
              <w:spacing w:line="240" w:lineRule="exact"/>
              <w:jc w:val="center"/>
              <w:rPr>
                <w:rFonts w:hint="default"/>
                <w:bCs/>
                <w:color w:val="auto"/>
                <w:szCs w:val="21"/>
                <w:highlight w:val="none"/>
                <w:lang w:val="en-US" w:eastAsia="zh-CN"/>
              </w:rPr>
            </w:pPr>
            <w:r>
              <w:rPr>
                <w:rFonts w:hint="eastAsia"/>
                <w:bCs/>
                <w:color w:val="auto"/>
                <w:szCs w:val="21"/>
                <w:highlight w:val="none"/>
                <w:lang w:val="en-US" w:eastAsia="zh-CN"/>
              </w:rPr>
              <w:t>0.014</w:t>
            </w:r>
          </w:p>
          <w:p w14:paraId="641B1787">
            <w:pPr>
              <w:tabs>
                <w:tab w:val="left" w:pos="377"/>
              </w:tabs>
              <w:spacing w:line="240" w:lineRule="exact"/>
              <w:jc w:val="center"/>
              <w:rPr>
                <w:rFonts w:hint="eastAsia" w:ascii="Times New Roman" w:hAnsi="Times New Roman" w:eastAsia="宋体" w:cs="Times New Roman"/>
                <w:bCs/>
                <w:color w:val="auto"/>
                <w:kern w:val="2"/>
                <w:sz w:val="21"/>
                <w:szCs w:val="21"/>
                <w:highlight w:val="none"/>
                <w:lang w:val="en-US" w:eastAsia="zh-CN" w:bidi="ar-SA"/>
              </w:rPr>
            </w:pPr>
            <w:r>
              <w:rPr>
                <w:rFonts w:hint="eastAsia"/>
                <w:bCs/>
                <w:color w:val="auto"/>
                <w:szCs w:val="21"/>
                <w:highlight w:val="none"/>
              </w:rPr>
              <w:t>t/</w:t>
            </w:r>
            <w:r>
              <w:rPr>
                <w:rFonts w:hint="eastAsia"/>
                <w:bCs/>
                <w:color w:val="auto"/>
                <w:szCs w:val="21"/>
                <w:highlight w:val="none"/>
                <w:lang w:val="en-US" w:eastAsia="zh-CN"/>
              </w:rPr>
              <w:t>a</w:t>
            </w:r>
          </w:p>
        </w:tc>
        <w:tc>
          <w:tcPr>
            <w:tcW w:w="1163" w:type="pct"/>
            <w:vMerge w:val="restart"/>
            <w:tcBorders>
              <w:tl2br w:val="nil"/>
              <w:tr2bl w:val="nil"/>
            </w:tcBorders>
            <w:noWrap w:val="0"/>
            <w:vAlign w:val="center"/>
          </w:tcPr>
          <w:p w14:paraId="1E566BED">
            <w:pPr>
              <w:tabs>
                <w:tab w:val="left" w:pos="377"/>
              </w:tabs>
              <w:spacing w:line="240" w:lineRule="exact"/>
              <w:jc w:val="center"/>
              <w:rPr>
                <w:rFonts w:hint="eastAsia" w:ascii="Times New Roman" w:hAnsi="Times New Roman" w:eastAsia="宋体" w:cs="Times New Roman"/>
                <w:bCs/>
                <w:color w:val="auto"/>
                <w:kern w:val="2"/>
                <w:sz w:val="21"/>
                <w:szCs w:val="21"/>
                <w:highlight w:val="none"/>
                <w:lang w:val="en-US" w:eastAsia="zh-CN" w:bidi="ar-SA"/>
              </w:rPr>
            </w:pPr>
          </w:p>
          <w:p w14:paraId="553C81A2">
            <w:pPr>
              <w:tabs>
                <w:tab w:val="left" w:pos="377"/>
              </w:tabs>
              <w:spacing w:line="240" w:lineRule="exact"/>
              <w:jc w:val="center"/>
              <w:rPr>
                <w:rFonts w:hint="eastAsia" w:ascii="Times New Roman" w:hAnsi="Times New Roman" w:eastAsia="宋体" w:cs="Times New Roman"/>
                <w:bCs/>
                <w:color w:val="auto"/>
                <w:kern w:val="2"/>
                <w:sz w:val="21"/>
                <w:szCs w:val="21"/>
                <w:highlight w:val="none"/>
                <w:lang w:val="en-US" w:eastAsia="zh-CN" w:bidi="ar-SA"/>
              </w:rPr>
            </w:pPr>
          </w:p>
          <w:p w14:paraId="14AE59ED">
            <w:pPr>
              <w:tabs>
                <w:tab w:val="left" w:pos="377"/>
              </w:tabs>
              <w:spacing w:line="240" w:lineRule="exact"/>
              <w:jc w:val="center"/>
              <w:rPr>
                <w:rFonts w:hint="eastAsia" w:ascii="Times New Roman" w:hAnsi="Times New Roman" w:eastAsia="宋体" w:cs="Times New Roman"/>
                <w:bCs/>
                <w:color w:val="auto"/>
                <w:kern w:val="2"/>
                <w:sz w:val="21"/>
                <w:szCs w:val="21"/>
                <w:highlight w:val="none"/>
                <w:lang w:val="en-US" w:eastAsia="zh-CN" w:bidi="ar-SA"/>
              </w:rPr>
            </w:pPr>
          </w:p>
          <w:p w14:paraId="02C449AC">
            <w:pPr>
              <w:tabs>
                <w:tab w:val="left" w:pos="377"/>
              </w:tabs>
              <w:spacing w:line="240" w:lineRule="exact"/>
              <w:jc w:val="center"/>
              <w:rPr>
                <w:rFonts w:hint="eastAsia" w:ascii="Times New Roman" w:hAnsi="Times New Roman" w:eastAsia="宋体" w:cs="Times New Roman"/>
                <w:bCs/>
                <w:color w:val="auto"/>
                <w:kern w:val="2"/>
                <w:sz w:val="21"/>
                <w:szCs w:val="21"/>
                <w:highlight w:val="none"/>
                <w:lang w:val="en-US" w:eastAsia="zh-CN" w:bidi="ar-SA"/>
              </w:rPr>
            </w:pPr>
          </w:p>
          <w:p w14:paraId="52EC24FC">
            <w:pPr>
              <w:tabs>
                <w:tab w:val="left" w:pos="377"/>
              </w:tabs>
              <w:spacing w:line="240" w:lineRule="exact"/>
              <w:jc w:val="center"/>
              <w:rPr>
                <w:rFonts w:hint="eastAsia" w:ascii="Times New Roman" w:hAnsi="Times New Roman" w:eastAsia="宋体" w:cs="Times New Roman"/>
                <w:bCs/>
                <w:color w:val="auto"/>
                <w:kern w:val="2"/>
                <w:sz w:val="21"/>
                <w:szCs w:val="21"/>
                <w:highlight w:val="none"/>
                <w:lang w:val="en-US" w:eastAsia="zh-CN" w:bidi="ar-SA"/>
              </w:rPr>
            </w:pPr>
          </w:p>
          <w:p w14:paraId="6AA09B46">
            <w:pPr>
              <w:tabs>
                <w:tab w:val="left" w:pos="377"/>
              </w:tabs>
              <w:spacing w:line="240" w:lineRule="exact"/>
              <w:jc w:val="center"/>
              <w:rPr>
                <w:rFonts w:hint="eastAsia" w:ascii="Times New Roman" w:hAnsi="Times New Roman" w:eastAsia="宋体" w:cs="Times New Roman"/>
                <w:bCs/>
                <w:color w:val="auto"/>
                <w:kern w:val="2"/>
                <w:sz w:val="21"/>
                <w:szCs w:val="21"/>
                <w:highlight w:val="none"/>
                <w:lang w:val="en-US" w:eastAsia="zh-CN" w:bidi="ar-SA"/>
              </w:rPr>
            </w:pPr>
          </w:p>
          <w:p w14:paraId="3ABE7BAA">
            <w:pPr>
              <w:tabs>
                <w:tab w:val="left" w:pos="377"/>
              </w:tabs>
              <w:spacing w:line="240" w:lineRule="exact"/>
              <w:jc w:val="center"/>
              <w:rPr>
                <w:rFonts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委托有危废处置资质单位进行处置</w:t>
            </w:r>
          </w:p>
        </w:tc>
        <w:tc>
          <w:tcPr>
            <w:tcW w:w="515" w:type="pct"/>
            <w:tcBorders>
              <w:tl2br w:val="nil"/>
              <w:tr2bl w:val="nil"/>
            </w:tcBorders>
            <w:noWrap w:val="0"/>
            <w:vAlign w:val="center"/>
          </w:tcPr>
          <w:p w14:paraId="03A1DF02">
            <w:pPr>
              <w:tabs>
                <w:tab w:val="left" w:pos="377"/>
              </w:tabs>
              <w:spacing w:line="240" w:lineRule="exact"/>
              <w:jc w:val="center"/>
              <w:rPr>
                <w:bCs/>
                <w:color w:val="auto"/>
                <w:szCs w:val="21"/>
                <w:highlight w:val="none"/>
              </w:rPr>
            </w:pPr>
            <w:r>
              <w:rPr>
                <w:bCs/>
                <w:color w:val="auto"/>
                <w:szCs w:val="21"/>
                <w:highlight w:val="none"/>
              </w:rPr>
              <w:t>每</w:t>
            </w:r>
            <w:r>
              <w:rPr>
                <w:rFonts w:hint="eastAsia"/>
                <w:bCs/>
                <w:color w:val="auto"/>
                <w:szCs w:val="21"/>
                <w:highlight w:val="none"/>
              </w:rPr>
              <w:t>2年清管1次</w:t>
            </w:r>
          </w:p>
        </w:tc>
      </w:tr>
      <w:tr w14:paraId="07AC5B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79" w:type="pct"/>
            <w:tcBorders>
              <w:tl2br w:val="nil"/>
              <w:tr2bl w:val="nil"/>
            </w:tcBorders>
            <w:noWrap w:val="0"/>
            <w:vAlign w:val="center"/>
          </w:tcPr>
          <w:p w14:paraId="64737F03">
            <w:pPr>
              <w:tabs>
                <w:tab w:val="left" w:pos="377"/>
              </w:tabs>
              <w:spacing w:line="240" w:lineRule="exact"/>
              <w:jc w:val="center"/>
              <w:rPr>
                <w:rFonts w:hint="eastAsia" w:ascii="Times New Roman" w:hAnsi="Times New Roman" w:eastAsia="宋体" w:cs="Times New Roman"/>
                <w:bCs/>
                <w:color w:val="auto"/>
                <w:szCs w:val="21"/>
                <w:highlight w:val="none"/>
              </w:rPr>
            </w:pPr>
            <w:r>
              <w:rPr>
                <w:rFonts w:hint="eastAsia" w:ascii="Times New Roman" w:hAnsi="Times New Roman" w:eastAsia="宋体" w:cs="Times New Roman"/>
                <w:bCs/>
                <w:color w:val="auto"/>
                <w:szCs w:val="21"/>
                <w:highlight w:val="none"/>
              </w:rPr>
              <w:t>油泥砂</w:t>
            </w:r>
          </w:p>
        </w:tc>
        <w:tc>
          <w:tcPr>
            <w:tcW w:w="797" w:type="pct"/>
            <w:tcBorders>
              <w:tl2br w:val="nil"/>
              <w:tr2bl w:val="nil"/>
            </w:tcBorders>
            <w:noWrap w:val="0"/>
            <w:vAlign w:val="center"/>
          </w:tcPr>
          <w:p w14:paraId="574AB74A">
            <w:pPr>
              <w:tabs>
                <w:tab w:val="left" w:pos="377"/>
              </w:tabs>
              <w:spacing w:line="240" w:lineRule="exact"/>
              <w:jc w:val="center"/>
              <w:rPr>
                <w:rFonts w:hint="eastAsia" w:ascii="Times New Roman" w:hAnsi="Times New Roman" w:eastAsia="宋体" w:cs="Times New Roman"/>
                <w:bCs/>
                <w:color w:val="auto"/>
                <w:szCs w:val="21"/>
                <w:highlight w:val="none"/>
              </w:rPr>
            </w:pPr>
            <w:r>
              <w:rPr>
                <w:rFonts w:hint="eastAsia" w:ascii="Times New Roman" w:hAnsi="Times New Roman" w:eastAsia="宋体" w:cs="Times New Roman"/>
                <w:bCs/>
                <w:color w:val="auto"/>
                <w:szCs w:val="21"/>
                <w:highlight w:val="none"/>
              </w:rPr>
              <w:t>危险废物</w:t>
            </w:r>
          </w:p>
        </w:tc>
        <w:tc>
          <w:tcPr>
            <w:tcW w:w="770" w:type="pct"/>
            <w:tcBorders>
              <w:tl2br w:val="nil"/>
              <w:tr2bl w:val="nil"/>
            </w:tcBorders>
            <w:noWrap w:val="0"/>
            <w:vAlign w:val="center"/>
          </w:tcPr>
          <w:p w14:paraId="6EBE4EBD">
            <w:pPr>
              <w:tabs>
                <w:tab w:val="left" w:pos="377"/>
              </w:tabs>
              <w:spacing w:line="240" w:lineRule="exact"/>
              <w:jc w:val="center"/>
              <w:rPr>
                <w:rFonts w:hint="eastAsia"/>
                <w:bCs/>
                <w:color w:val="auto"/>
                <w:szCs w:val="21"/>
                <w:highlight w:val="none"/>
              </w:rPr>
            </w:pPr>
            <w:r>
              <w:rPr>
                <w:rFonts w:hint="eastAsia"/>
                <w:bCs/>
                <w:color w:val="auto"/>
                <w:szCs w:val="21"/>
                <w:highlight w:val="none"/>
              </w:rPr>
              <w:t>HW08</w:t>
            </w:r>
          </w:p>
          <w:p w14:paraId="44A8C3DE">
            <w:pPr>
              <w:tabs>
                <w:tab w:val="left" w:pos="377"/>
              </w:tabs>
              <w:spacing w:line="240" w:lineRule="exact"/>
              <w:jc w:val="center"/>
              <w:rPr>
                <w:bCs/>
                <w:color w:val="auto"/>
                <w:szCs w:val="21"/>
                <w:highlight w:val="none"/>
              </w:rPr>
            </w:pPr>
            <w:r>
              <w:rPr>
                <w:rFonts w:hint="eastAsia"/>
                <w:bCs/>
                <w:color w:val="auto"/>
                <w:szCs w:val="21"/>
                <w:highlight w:val="none"/>
              </w:rPr>
              <w:t>071-001-08</w:t>
            </w:r>
          </w:p>
        </w:tc>
        <w:tc>
          <w:tcPr>
            <w:tcW w:w="334" w:type="pct"/>
            <w:tcBorders>
              <w:tl2br w:val="nil"/>
              <w:tr2bl w:val="nil"/>
            </w:tcBorders>
            <w:noWrap w:val="0"/>
            <w:vAlign w:val="center"/>
          </w:tcPr>
          <w:p w14:paraId="7F1CC9B1">
            <w:pPr>
              <w:tabs>
                <w:tab w:val="left" w:pos="377"/>
              </w:tabs>
              <w:spacing w:line="240" w:lineRule="exact"/>
              <w:jc w:val="center"/>
              <w:rPr>
                <w:bCs/>
                <w:color w:val="auto"/>
                <w:szCs w:val="21"/>
                <w:highlight w:val="none"/>
              </w:rPr>
            </w:pPr>
            <w:r>
              <w:rPr>
                <w:rFonts w:hint="eastAsia"/>
                <w:color w:val="auto"/>
                <w:highlight w:val="none"/>
              </w:rPr>
              <w:t>T</w:t>
            </w:r>
            <w:r>
              <w:rPr>
                <w:rFonts w:hint="eastAsia"/>
                <w:color w:val="auto"/>
                <w:highlight w:val="none"/>
                <w:lang w:eastAsia="zh-CN"/>
              </w:rPr>
              <w:t>,</w:t>
            </w:r>
            <w:r>
              <w:rPr>
                <w:rFonts w:hint="eastAsia"/>
                <w:color w:val="auto"/>
                <w:highlight w:val="none"/>
              </w:rPr>
              <w:t>I</w:t>
            </w:r>
          </w:p>
        </w:tc>
        <w:tc>
          <w:tcPr>
            <w:tcW w:w="411" w:type="pct"/>
            <w:tcBorders>
              <w:tl2br w:val="nil"/>
              <w:tr2bl w:val="nil"/>
            </w:tcBorders>
            <w:noWrap w:val="0"/>
            <w:vAlign w:val="center"/>
          </w:tcPr>
          <w:p w14:paraId="094E4DDF">
            <w:pPr>
              <w:tabs>
                <w:tab w:val="left" w:pos="377"/>
              </w:tabs>
              <w:spacing w:line="240" w:lineRule="exact"/>
              <w:jc w:val="center"/>
              <w:rPr>
                <w:bCs/>
                <w:color w:val="auto"/>
                <w:szCs w:val="21"/>
                <w:highlight w:val="none"/>
              </w:rPr>
            </w:pPr>
            <w:r>
              <w:rPr>
                <w:rFonts w:hint="eastAsia"/>
                <w:bCs/>
                <w:color w:val="auto"/>
                <w:szCs w:val="21"/>
                <w:highlight w:val="none"/>
              </w:rPr>
              <w:t>处理站储罐底泥</w:t>
            </w:r>
          </w:p>
        </w:tc>
        <w:tc>
          <w:tcPr>
            <w:tcW w:w="528" w:type="pct"/>
            <w:tcBorders>
              <w:tl2br w:val="nil"/>
              <w:tr2bl w:val="nil"/>
            </w:tcBorders>
            <w:noWrap w:val="0"/>
            <w:vAlign w:val="center"/>
          </w:tcPr>
          <w:p w14:paraId="5C62904E">
            <w:pPr>
              <w:tabs>
                <w:tab w:val="left" w:pos="377"/>
              </w:tabs>
              <w:spacing w:line="240" w:lineRule="exact"/>
              <w:jc w:val="center"/>
              <w:rPr>
                <w:rFonts w:hint="eastAsia" w:eastAsia="宋体"/>
                <w:bCs/>
                <w:color w:val="auto"/>
                <w:szCs w:val="21"/>
                <w:highlight w:val="none"/>
                <w:lang w:val="en-US" w:eastAsia="zh-CN"/>
              </w:rPr>
            </w:pPr>
            <w:r>
              <w:rPr>
                <w:rFonts w:hint="eastAsia"/>
                <w:bCs/>
                <w:color w:val="auto"/>
                <w:szCs w:val="21"/>
                <w:highlight w:val="none"/>
                <w:lang w:val="en-US" w:eastAsia="zh-CN"/>
              </w:rPr>
              <w:t>19.95</w:t>
            </w:r>
            <w:r>
              <w:rPr>
                <w:rFonts w:hint="eastAsia" w:eastAsia="宋体"/>
                <w:bCs/>
                <w:color w:val="auto"/>
                <w:szCs w:val="21"/>
                <w:highlight w:val="none"/>
                <w:lang w:val="en-US" w:eastAsia="zh-CN"/>
              </w:rPr>
              <w:t>t/a</w:t>
            </w:r>
          </w:p>
        </w:tc>
        <w:tc>
          <w:tcPr>
            <w:tcW w:w="1163" w:type="pct"/>
            <w:vMerge w:val="continue"/>
            <w:tcBorders>
              <w:tl2br w:val="nil"/>
              <w:tr2bl w:val="nil"/>
            </w:tcBorders>
            <w:noWrap w:val="0"/>
            <w:vAlign w:val="center"/>
          </w:tcPr>
          <w:p w14:paraId="19E5080F">
            <w:pPr>
              <w:tabs>
                <w:tab w:val="left" w:pos="377"/>
              </w:tabs>
              <w:spacing w:line="240" w:lineRule="exact"/>
              <w:jc w:val="center"/>
              <w:rPr>
                <w:bCs/>
                <w:color w:val="auto"/>
                <w:szCs w:val="21"/>
                <w:highlight w:val="none"/>
              </w:rPr>
            </w:pPr>
          </w:p>
        </w:tc>
        <w:tc>
          <w:tcPr>
            <w:tcW w:w="515" w:type="pct"/>
            <w:tcBorders>
              <w:tl2br w:val="nil"/>
              <w:tr2bl w:val="nil"/>
            </w:tcBorders>
            <w:noWrap w:val="0"/>
            <w:vAlign w:val="center"/>
          </w:tcPr>
          <w:p w14:paraId="7A9C2B2E">
            <w:pPr>
              <w:tabs>
                <w:tab w:val="left" w:pos="377"/>
              </w:tabs>
              <w:spacing w:line="240" w:lineRule="exact"/>
              <w:jc w:val="center"/>
              <w:rPr>
                <w:rFonts w:hint="eastAsia" w:eastAsia="宋体"/>
                <w:bCs/>
                <w:color w:val="auto"/>
                <w:szCs w:val="21"/>
                <w:highlight w:val="none"/>
                <w:lang w:val="en-US" w:eastAsia="zh-CN"/>
              </w:rPr>
            </w:pPr>
            <w:r>
              <w:rPr>
                <w:rFonts w:hint="eastAsia"/>
                <w:bCs/>
                <w:color w:val="auto"/>
                <w:szCs w:val="21"/>
                <w:highlight w:val="none"/>
                <w:lang w:val="en-US" w:eastAsia="zh-CN"/>
              </w:rPr>
              <w:t>/</w:t>
            </w:r>
          </w:p>
        </w:tc>
      </w:tr>
      <w:tr w14:paraId="5394ED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79" w:type="pct"/>
            <w:tcBorders>
              <w:tl2br w:val="nil"/>
              <w:tr2bl w:val="nil"/>
            </w:tcBorders>
            <w:noWrap w:val="0"/>
            <w:vAlign w:val="center"/>
          </w:tcPr>
          <w:p w14:paraId="2BF956E7">
            <w:pPr>
              <w:tabs>
                <w:tab w:val="left" w:pos="377"/>
              </w:tabs>
              <w:spacing w:line="240" w:lineRule="exact"/>
              <w:jc w:val="center"/>
              <w:rPr>
                <w:rFonts w:hint="eastAsia" w:ascii="Times New Roman" w:hAnsi="Times New Roman" w:eastAsia="宋体" w:cs="Times New Roman"/>
                <w:bCs/>
                <w:color w:val="auto"/>
                <w:szCs w:val="21"/>
                <w:highlight w:val="none"/>
              </w:rPr>
            </w:pPr>
            <w:r>
              <w:rPr>
                <w:rFonts w:hint="eastAsia" w:ascii="Times New Roman" w:hAnsi="Times New Roman" w:eastAsia="宋体" w:cs="Times New Roman"/>
                <w:bCs/>
                <w:color w:val="auto"/>
                <w:szCs w:val="21"/>
                <w:highlight w:val="none"/>
              </w:rPr>
              <w:t>落地油</w:t>
            </w:r>
          </w:p>
        </w:tc>
        <w:tc>
          <w:tcPr>
            <w:tcW w:w="797" w:type="pct"/>
            <w:tcBorders>
              <w:tl2br w:val="nil"/>
              <w:tr2bl w:val="nil"/>
            </w:tcBorders>
            <w:noWrap w:val="0"/>
            <w:vAlign w:val="center"/>
          </w:tcPr>
          <w:p w14:paraId="006140ED">
            <w:pPr>
              <w:tabs>
                <w:tab w:val="left" w:pos="377"/>
              </w:tabs>
              <w:spacing w:line="240" w:lineRule="exact"/>
              <w:jc w:val="center"/>
              <w:rPr>
                <w:rFonts w:hint="eastAsia" w:ascii="Times New Roman" w:hAnsi="Times New Roman" w:eastAsia="宋体" w:cs="Times New Roman"/>
                <w:bCs/>
                <w:color w:val="auto"/>
                <w:szCs w:val="21"/>
                <w:highlight w:val="none"/>
              </w:rPr>
            </w:pPr>
            <w:r>
              <w:rPr>
                <w:rFonts w:hint="eastAsia" w:ascii="Times New Roman" w:hAnsi="Times New Roman" w:eastAsia="宋体" w:cs="Times New Roman"/>
                <w:bCs/>
                <w:color w:val="auto"/>
                <w:szCs w:val="21"/>
                <w:highlight w:val="none"/>
              </w:rPr>
              <w:t>危险废物</w:t>
            </w:r>
          </w:p>
        </w:tc>
        <w:tc>
          <w:tcPr>
            <w:tcW w:w="770" w:type="pct"/>
            <w:tcBorders>
              <w:tl2br w:val="nil"/>
              <w:tr2bl w:val="nil"/>
            </w:tcBorders>
            <w:noWrap w:val="0"/>
            <w:vAlign w:val="center"/>
          </w:tcPr>
          <w:p w14:paraId="590C0019">
            <w:pPr>
              <w:tabs>
                <w:tab w:val="left" w:pos="377"/>
              </w:tabs>
              <w:spacing w:line="240" w:lineRule="exact"/>
              <w:jc w:val="center"/>
              <w:rPr>
                <w:rFonts w:hint="eastAsia"/>
                <w:color w:val="auto"/>
                <w:highlight w:val="none"/>
                <w:lang w:val="en-US" w:eastAsia="zh-CN"/>
              </w:rPr>
            </w:pPr>
            <w:r>
              <w:rPr>
                <w:rFonts w:hint="eastAsia"/>
                <w:color w:val="auto"/>
                <w:highlight w:val="none"/>
                <w:lang w:val="en-US" w:eastAsia="zh-CN"/>
              </w:rPr>
              <w:t>HW08</w:t>
            </w:r>
          </w:p>
          <w:p w14:paraId="5DF96972">
            <w:pPr>
              <w:pStyle w:val="26"/>
              <w:rPr>
                <w:rFonts w:hint="eastAsia"/>
                <w:color w:val="auto"/>
                <w:highlight w:val="none"/>
              </w:rPr>
            </w:pPr>
            <w:r>
              <w:rPr>
                <w:rFonts w:hint="eastAsia" w:ascii="Times New Roman" w:hAnsi="Times New Roman" w:eastAsia="宋体" w:cs="Times New Roman"/>
                <w:color w:val="auto"/>
                <w:kern w:val="2"/>
                <w:sz w:val="21"/>
                <w:szCs w:val="21"/>
                <w:highlight w:val="none"/>
                <w:lang w:val="en-US" w:eastAsia="zh-CN"/>
              </w:rPr>
              <w:t>071-001-08</w:t>
            </w:r>
          </w:p>
        </w:tc>
        <w:tc>
          <w:tcPr>
            <w:tcW w:w="334" w:type="pct"/>
            <w:tcBorders>
              <w:tl2br w:val="nil"/>
              <w:tr2bl w:val="nil"/>
            </w:tcBorders>
            <w:noWrap w:val="0"/>
            <w:vAlign w:val="center"/>
          </w:tcPr>
          <w:p w14:paraId="562AD034">
            <w:pPr>
              <w:tabs>
                <w:tab w:val="left" w:pos="377"/>
              </w:tabs>
              <w:spacing w:line="240" w:lineRule="exact"/>
              <w:jc w:val="center"/>
              <w:rPr>
                <w:rFonts w:hint="eastAsia"/>
                <w:color w:val="auto"/>
                <w:highlight w:val="none"/>
              </w:rPr>
            </w:pPr>
            <w:r>
              <w:rPr>
                <w:rFonts w:hint="eastAsia"/>
                <w:color w:val="auto"/>
                <w:highlight w:val="none"/>
              </w:rPr>
              <w:t>T</w:t>
            </w:r>
            <w:r>
              <w:rPr>
                <w:rFonts w:hint="eastAsia"/>
                <w:color w:val="auto"/>
                <w:highlight w:val="none"/>
                <w:lang w:eastAsia="zh-CN"/>
              </w:rPr>
              <w:t>,</w:t>
            </w:r>
            <w:r>
              <w:rPr>
                <w:rFonts w:hint="eastAsia"/>
                <w:color w:val="auto"/>
                <w:highlight w:val="none"/>
              </w:rPr>
              <w:t>I</w:t>
            </w:r>
          </w:p>
        </w:tc>
        <w:tc>
          <w:tcPr>
            <w:tcW w:w="411" w:type="pct"/>
            <w:tcBorders>
              <w:tl2br w:val="nil"/>
              <w:tr2bl w:val="nil"/>
            </w:tcBorders>
            <w:noWrap w:val="0"/>
            <w:vAlign w:val="center"/>
          </w:tcPr>
          <w:p w14:paraId="2DC40CB8">
            <w:pPr>
              <w:tabs>
                <w:tab w:val="left" w:pos="377"/>
              </w:tabs>
              <w:spacing w:line="240" w:lineRule="exact"/>
              <w:jc w:val="center"/>
              <w:rPr>
                <w:rFonts w:hint="default"/>
                <w:bCs/>
                <w:color w:val="auto"/>
                <w:szCs w:val="21"/>
                <w:highlight w:val="none"/>
                <w:lang w:val="en-US"/>
              </w:rPr>
            </w:pPr>
            <w:r>
              <w:rPr>
                <w:rFonts w:hint="default" w:ascii="Times New Roman" w:hAnsi="Times New Roman" w:cs="Times New Roman"/>
                <w:color w:val="auto"/>
                <w:szCs w:val="21"/>
                <w:highlight w:val="none"/>
                <w:lang w:val="en-US" w:eastAsia="zh-CN"/>
              </w:rPr>
              <w:t>井下作业及设备维修</w:t>
            </w:r>
            <w:r>
              <w:rPr>
                <w:rFonts w:hint="eastAsia" w:ascii="Times New Roman" w:hAnsi="Times New Roman" w:cs="Times New Roman"/>
                <w:color w:val="auto"/>
                <w:szCs w:val="21"/>
                <w:highlight w:val="none"/>
                <w:lang w:val="en-US" w:eastAsia="zh-CN"/>
              </w:rPr>
              <w:t>等</w:t>
            </w:r>
          </w:p>
        </w:tc>
        <w:tc>
          <w:tcPr>
            <w:tcW w:w="528" w:type="pct"/>
            <w:tcBorders>
              <w:tl2br w:val="nil"/>
              <w:tr2bl w:val="nil"/>
            </w:tcBorders>
            <w:noWrap w:val="0"/>
            <w:vAlign w:val="center"/>
          </w:tcPr>
          <w:p w14:paraId="5A1C7762">
            <w:pPr>
              <w:tabs>
                <w:tab w:val="left" w:pos="377"/>
              </w:tabs>
              <w:spacing w:line="240" w:lineRule="exact"/>
              <w:jc w:val="center"/>
              <w:rPr>
                <w:rFonts w:hint="eastAsia" w:eastAsia="宋体"/>
                <w:bCs/>
                <w:color w:val="auto"/>
                <w:szCs w:val="21"/>
                <w:highlight w:val="none"/>
                <w:lang w:val="en-US" w:eastAsia="zh-CN"/>
              </w:rPr>
            </w:pPr>
            <w:r>
              <w:rPr>
                <w:rFonts w:hint="eastAsia" w:eastAsia="宋体"/>
                <w:bCs/>
                <w:color w:val="auto"/>
                <w:szCs w:val="21"/>
                <w:highlight w:val="none"/>
                <w:lang w:val="en-US" w:eastAsia="zh-CN"/>
              </w:rPr>
              <w:t>0.</w:t>
            </w:r>
            <w:r>
              <w:rPr>
                <w:rFonts w:hint="eastAsia"/>
                <w:bCs/>
                <w:color w:val="auto"/>
                <w:szCs w:val="21"/>
                <w:highlight w:val="none"/>
                <w:lang w:val="en-US" w:eastAsia="zh-CN"/>
              </w:rPr>
              <w:t>6</w:t>
            </w:r>
          </w:p>
          <w:p w14:paraId="6285E9FC">
            <w:pPr>
              <w:tabs>
                <w:tab w:val="left" w:pos="377"/>
              </w:tabs>
              <w:spacing w:line="240" w:lineRule="exact"/>
              <w:jc w:val="center"/>
              <w:rPr>
                <w:rFonts w:hint="eastAsia" w:eastAsia="宋体"/>
                <w:bCs/>
                <w:color w:val="auto"/>
                <w:szCs w:val="21"/>
                <w:highlight w:val="none"/>
                <w:lang w:val="en-US" w:eastAsia="zh-CN"/>
              </w:rPr>
            </w:pPr>
            <w:r>
              <w:rPr>
                <w:rFonts w:hint="eastAsia" w:eastAsia="宋体"/>
                <w:bCs/>
                <w:color w:val="auto"/>
                <w:szCs w:val="21"/>
                <w:highlight w:val="none"/>
                <w:lang w:val="en-US" w:eastAsia="zh-CN"/>
              </w:rPr>
              <w:t>t/a</w:t>
            </w:r>
          </w:p>
        </w:tc>
        <w:tc>
          <w:tcPr>
            <w:tcW w:w="1163" w:type="pct"/>
            <w:vMerge w:val="continue"/>
            <w:tcBorders>
              <w:tl2br w:val="nil"/>
              <w:tr2bl w:val="nil"/>
            </w:tcBorders>
            <w:noWrap w:val="0"/>
            <w:vAlign w:val="center"/>
          </w:tcPr>
          <w:p w14:paraId="2578E6AF">
            <w:pPr>
              <w:tabs>
                <w:tab w:val="left" w:pos="377"/>
              </w:tabs>
              <w:spacing w:line="240" w:lineRule="exact"/>
              <w:jc w:val="center"/>
              <w:rPr>
                <w:rFonts w:hint="eastAsia"/>
                <w:bCs/>
                <w:color w:val="auto"/>
                <w:szCs w:val="21"/>
                <w:highlight w:val="none"/>
              </w:rPr>
            </w:pPr>
          </w:p>
        </w:tc>
        <w:tc>
          <w:tcPr>
            <w:tcW w:w="515" w:type="pct"/>
            <w:tcBorders>
              <w:tl2br w:val="nil"/>
              <w:tr2bl w:val="nil"/>
            </w:tcBorders>
            <w:noWrap w:val="0"/>
            <w:vAlign w:val="center"/>
          </w:tcPr>
          <w:p w14:paraId="402ED47F">
            <w:pPr>
              <w:tabs>
                <w:tab w:val="left" w:pos="377"/>
              </w:tabs>
              <w:spacing w:line="240" w:lineRule="exact"/>
              <w:jc w:val="center"/>
              <w:rPr>
                <w:rFonts w:hint="default"/>
                <w:bCs/>
                <w:color w:val="auto"/>
                <w:szCs w:val="21"/>
                <w:highlight w:val="none"/>
                <w:lang w:val="en-US" w:eastAsia="zh-CN"/>
              </w:rPr>
            </w:pPr>
            <w:r>
              <w:rPr>
                <w:rFonts w:hint="eastAsia"/>
                <w:bCs/>
                <w:color w:val="auto"/>
                <w:szCs w:val="21"/>
                <w:highlight w:val="none"/>
                <w:lang w:val="en-US" w:eastAsia="zh-CN"/>
              </w:rPr>
              <w:t>/</w:t>
            </w:r>
          </w:p>
        </w:tc>
      </w:tr>
      <w:tr w14:paraId="3440C4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79" w:type="pct"/>
            <w:tcBorders>
              <w:tl2br w:val="nil"/>
              <w:tr2bl w:val="nil"/>
            </w:tcBorders>
            <w:noWrap w:val="0"/>
            <w:vAlign w:val="center"/>
          </w:tcPr>
          <w:p w14:paraId="7A7ADC24">
            <w:pPr>
              <w:tabs>
                <w:tab w:val="left" w:pos="377"/>
              </w:tabs>
              <w:spacing w:line="240" w:lineRule="exact"/>
              <w:jc w:val="center"/>
              <w:rPr>
                <w:rFonts w:hint="eastAsia"/>
                <w:bCs/>
                <w:color w:val="auto"/>
                <w:szCs w:val="21"/>
                <w:highlight w:val="none"/>
              </w:rPr>
            </w:pPr>
            <w:r>
              <w:rPr>
                <w:rFonts w:hint="eastAsia"/>
                <w:bCs/>
                <w:color w:val="auto"/>
                <w:szCs w:val="21"/>
                <w:highlight w:val="none"/>
              </w:rPr>
              <w:t>废防渗膜</w:t>
            </w:r>
          </w:p>
        </w:tc>
        <w:tc>
          <w:tcPr>
            <w:tcW w:w="797" w:type="pct"/>
            <w:tcBorders>
              <w:tl2br w:val="nil"/>
              <w:tr2bl w:val="nil"/>
            </w:tcBorders>
            <w:noWrap w:val="0"/>
            <w:vAlign w:val="center"/>
          </w:tcPr>
          <w:p w14:paraId="47D54608">
            <w:pPr>
              <w:tabs>
                <w:tab w:val="left" w:pos="377"/>
              </w:tabs>
              <w:spacing w:line="240" w:lineRule="exact"/>
              <w:jc w:val="center"/>
              <w:rPr>
                <w:bCs/>
                <w:color w:val="auto"/>
                <w:szCs w:val="21"/>
                <w:highlight w:val="none"/>
              </w:rPr>
            </w:pPr>
            <w:r>
              <w:rPr>
                <w:rFonts w:hint="eastAsia" w:ascii="Times New Roman" w:hAnsi="Times New Roman" w:eastAsia="宋体" w:cs="Times New Roman"/>
                <w:bCs/>
                <w:color w:val="auto"/>
                <w:szCs w:val="21"/>
                <w:highlight w:val="none"/>
              </w:rPr>
              <w:t>危险废物</w:t>
            </w:r>
          </w:p>
        </w:tc>
        <w:tc>
          <w:tcPr>
            <w:tcW w:w="770" w:type="pct"/>
            <w:tcBorders>
              <w:tl2br w:val="nil"/>
              <w:tr2bl w:val="nil"/>
            </w:tcBorders>
            <w:noWrap w:val="0"/>
            <w:vAlign w:val="center"/>
          </w:tcPr>
          <w:p w14:paraId="3CCAE911">
            <w:pPr>
              <w:pStyle w:val="7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HW08</w:t>
            </w:r>
          </w:p>
          <w:p w14:paraId="50B2CE4F">
            <w:pPr>
              <w:pStyle w:val="7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900-249-08</w:t>
            </w:r>
          </w:p>
        </w:tc>
        <w:tc>
          <w:tcPr>
            <w:tcW w:w="334" w:type="pct"/>
            <w:tcBorders>
              <w:tl2br w:val="nil"/>
              <w:tr2bl w:val="nil"/>
            </w:tcBorders>
            <w:noWrap w:val="0"/>
            <w:vAlign w:val="center"/>
          </w:tcPr>
          <w:p w14:paraId="461F9A0D">
            <w:pPr>
              <w:pStyle w:val="7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rPr>
              <w:t>T</w:t>
            </w:r>
            <w:r>
              <w:rPr>
                <w:rFonts w:hint="eastAsia"/>
                <w:color w:val="auto"/>
                <w:highlight w:val="none"/>
                <w:lang w:eastAsia="zh-CN"/>
              </w:rPr>
              <w:t>,</w:t>
            </w:r>
            <w:r>
              <w:rPr>
                <w:rFonts w:hint="eastAsia"/>
                <w:color w:val="auto"/>
                <w:highlight w:val="none"/>
              </w:rPr>
              <w:t>I</w:t>
            </w:r>
          </w:p>
        </w:tc>
        <w:tc>
          <w:tcPr>
            <w:tcW w:w="411" w:type="pct"/>
            <w:tcBorders>
              <w:tl2br w:val="nil"/>
              <w:tr2bl w:val="nil"/>
            </w:tcBorders>
            <w:noWrap w:val="0"/>
            <w:vAlign w:val="center"/>
          </w:tcPr>
          <w:p w14:paraId="03F2774C">
            <w:pPr>
              <w:pStyle w:val="7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井下作业及设备维修</w:t>
            </w:r>
          </w:p>
        </w:tc>
        <w:tc>
          <w:tcPr>
            <w:tcW w:w="528" w:type="pct"/>
            <w:tcBorders>
              <w:tl2br w:val="nil"/>
              <w:tr2bl w:val="nil"/>
            </w:tcBorders>
            <w:noWrap w:val="0"/>
            <w:vAlign w:val="center"/>
          </w:tcPr>
          <w:p w14:paraId="644EF59B">
            <w:pPr>
              <w:tabs>
                <w:tab w:val="left" w:pos="377"/>
              </w:tabs>
              <w:spacing w:line="240" w:lineRule="exact"/>
              <w:jc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1.</w:t>
            </w:r>
            <w:r>
              <w:rPr>
                <w:rFonts w:hint="eastAsia" w:cs="Times New Roman"/>
                <w:bCs/>
                <w:color w:val="auto"/>
                <w:szCs w:val="21"/>
                <w:highlight w:val="none"/>
                <w:lang w:val="en-US" w:eastAsia="zh-CN"/>
              </w:rPr>
              <w:t>5</w:t>
            </w:r>
          </w:p>
          <w:p w14:paraId="402981DD">
            <w:pPr>
              <w:tabs>
                <w:tab w:val="left" w:pos="377"/>
              </w:tabs>
              <w:spacing w:line="240" w:lineRule="exact"/>
              <w:jc w:val="center"/>
              <w:rPr>
                <w:rFonts w:hint="eastAsia"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t/a</w:t>
            </w:r>
          </w:p>
        </w:tc>
        <w:tc>
          <w:tcPr>
            <w:tcW w:w="1163" w:type="pct"/>
            <w:vMerge w:val="continue"/>
            <w:tcBorders>
              <w:tl2br w:val="nil"/>
              <w:tr2bl w:val="nil"/>
            </w:tcBorders>
            <w:noWrap w:val="0"/>
            <w:vAlign w:val="center"/>
          </w:tcPr>
          <w:p w14:paraId="4CE73DD5">
            <w:pPr>
              <w:tabs>
                <w:tab w:val="left" w:pos="377"/>
              </w:tabs>
              <w:spacing w:line="240" w:lineRule="exact"/>
              <w:jc w:val="center"/>
              <w:rPr>
                <w:rFonts w:hint="eastAsia" w:ascii="Times New Roman" w:hAnsi="Times New Roman" w:eastAsia="宋体" w:cs="Times New Roman"/>
                <w:bCs/>
                <w:color w:val="auto"/>
                <w:szCs w:val="21"/>
                <w:highlight w:val="none"/>
                <w:lang w:val="en-US" w:eastAsia="zh-CN"/>
              </w:rPr>
            </w:pPr>
          </w:p>
        </w:tc>
        <w:tc>
          <w:tcPr>
            <w:tcW w:w="515" w:type="pct"/>
            <w:tcBorders>
              <w:tl2br w:val="nil"/>
              <w:tr2bl w:val="nil"/>
            </w:tcBorders>
            <w:noWrap w:val="0"/>
            <w:vAlign w:val="center"/>
          </w:tcPr>
          <w:p w14:paraId="386E6951">
            <w:pPr>
              <w:tabs>
                <w:tab w:val="left" w:pos="377"/>
              </w:tabs>
              <w:spacing w:line="240" w:lineRule="exact"/>
              <w:jc w:val="center"/>
              <w:rPr>
                <w:rFonts w:hint="eastAsia" w:eastAsia="宋体"/>
                <w:bCs/>
                <w:color w:val="auto"/>
                <w:szCs w:val="21"/>
                <w:highlight w:val="none"/>
                <w:lang w:val="en-US" w:eastAsia="zh-CN"/>
              </w:rPr>
            </w:pPr>
            <w:r>
              <w:rPr>
                <w:rFonts w:hint="eastAsia"/>
                <w:bCs/>
                <w:color w:val="auto"/>
                <w:szCs w:val="21"/>
                <w:highlight w:val="none"/>
                <w:lang w:val="en-US" w:eastAsia="zh-CN"/>
              </w:rPr>
              <w:t>/</w:t>
            </w:r>
          </w:p>
        </w:tc>
      </w:tr>
      <w:tr w14:paraId="34E826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79" w:type="pct"/>
            <w:tcBorders>
              <w:tl2br w:val="nil"/>
              <w:tr2bl w:val="nil"/>
            </w:tcBorders>
            <w:noWrap w:val="0"/>
            <w:vAlign w:val="center"/>
          </w:tcPr>
          <w:p w14:paraId="3F005837">
            <w:pPr>
              <w:tabs>
                <w:tab w:val="left" w:pos="377"/>
              </w:tabs>
              <w:spacing w:line="240" w:lineRule="exact"/>
              <w:jc w:val="center"/>
              <w:rPr>
                <w:rFonts w:hint="eastAsia" w:ascii="Times New Roman" w:hAnsi="Times New Roman" w:eastAsia="宋体" w:cs="Times New Roman"/>
                <w:bCs/>
                <w:color w:val="auto"/>
                <w:kern w:val="2"/>
                <w:sz w:val="21"/>
                <w:szCs w:val="21"/>
                <w:highlight w:val="none"/>
                <w:lang w:val="en-US" w:eastAsia="zh-CN" w:bidi="ar-SA"/>
              </w:rPr>
            </w:pPr>
            <w:r>
              <w:rPr>
                <w:bCs/>
                <w:color w:val="auto"/>
                <w:szCs w:val="21"/>
                <w:highlight w:val="none"/>
              </w:rPr>
              <w:t>废润滑油</w:t>
            </w:r>
          </w:p>
        </w:tc>
        <w:tc>
          <w:tcPr>
            <w:tcW w:w="797" w:type="pct"/>
            <w:tcBorders>
              <w:tl2br w:val="nil"/>
              <w:tr2bl w:val="nil"/>
            </w:tcBorders>
            <w:noWrap w:val="0"/>
            <w:vAlign w:val="center"/>
          </w:tcPr>
          <w:p w14:paraId="7C10E0C0">
            <w:pPr>
              <w:tabs>
                <w:tab w:val="left" w:pos="377"/>
              </w:tabs>
              <w:spacing w:line="240" w:lineRule="exact"/>
              <w:jc w:val="center"/>
              <w:rPr>
                <w:rFonts w:ascii="Times New Roman" w:hAnsi="Times New Roman" w:eastAsia="宋体" w:cs="Times New Roman"/>
                <w:bCs/>
                <w:color w:val="auto"/>
                <w:kern w:val="2"/>
                <w:sz w:val="21"/>
                <w:szCs w:val="21"/>
                <w:highlight w:val="none"/>
                <w:lang w:val="en-US" w:eastAsia="zh-CN" w:bidi="ar-SA"/>
              </w:rPr>
            </w:pPr>
            <w:r>
              <w:rPr>
                <w:bCs/>
                <w:color w:val="auto"/>
                <w:szCs w:val="21"/>
                <w:highlight w:val="none"/>
              </w:rPr>
              <w:t>危险废物</w:t>
            </w:r>
          </w:p>
        </w:tc>
        <w:tc>
          <w:tcPr>
            <w:tcW w:w="770" w:type="pct"/>
            <w:tcBorders>
              <w:tl2br w:val="nil"/>
              <w:tr2bl w:val="nil"/>
            </w:tcBorders>
            <w:noWrap w:val="0"/>
            <w:vAlign w:val="center"/>
          </w:tcPr>
          <w:p w14:paraId="2E4852C3">
            <w:pPr>
              <w:tabs>
                <w:tab w:val="left" w:pos="377"/>
              </w:tabs>
              <w:spacing w:line="240" w:lineRule="exact"/>
              <w:jc w:val="center"/>
              <w:rPr>
                <w:bCs/>
                <w:color w:val="auto"/>
                <w:szCs w:val="21"/>
                <w:highlight w:val="none"/>
              </w:rPr>
            </w:pPr>
            <w:r>
              <w:rPr>
                <w:bCs/>
                <w:color w:val="auto"/>
                <w:szCs w:val="21"/>
                <w:highlight w:val="none"/>
              </w:rPr>
              <w:t>HW08</w:t>
            </w:r>
          </w:p>
          <w:p w14:paraId="46DD13FF">
            <w:pPr>
              <w:tabs>
                <w:tab w:val="left" w:pos="377"/>
              </w:tabs>
              <w:spacing w:line="240" w:lineRule="exact"/>
              <w:jc w:val="center"/>
              <w:rPr>
                <w:rFonts w:ascii="Times New Roman" w:hAnsi="Times New Roman" w:eastAsia="宋体" w:cs="Times New Roman"/>
                <w:color w:val="auto"/>
                <w:kern w:val="2"/>
                <w:sz w:val="21"/>
                <w:szCs w:val="21"/>
                <w:highlight w:val="none"/>
                <w:lang w:val="en-US" w:eastAsia="zh-CN" w:bidi="ar-SA"/>
              </w:rPr>
            </w:pPr>
            <w:r>
              <w:rPr>
                <w:bCs/>
                <w:color w:val="auto"/>
                <w:szCs w:val="21"/>
                <w:highlight w:val="none"/>
              </w:rPr>
              <w:t>900-214-08</w:t>
            </w:r>
          </w:p>
        </w:tc>
        <w:tc>
          <w:tcPr>
            <w:tcW w:w="334" w:type="pct"/>
            <w:tcBorders>
              <w:tl2br w:val="nil"/>
              <w:tr2bl w:val="nil"/>
            </w:tcBorders>
            <w:noWrap w:val="0"/>
            <w:vAlign w:val="center"/>
          </w:tcPr>
          <w:p w14:paraId="142EB9AC">
            <w:pPr>
              <w:tabs>
                <w:tab w:val="left" w:pos="377"/>
              </w:tabs>
              <w:spacing w:line="240" w:lineRule="exact"/>
              <w:jc w:val="center"/>
              <w:rPr>
                <w:rFonts w:ascii="Times New Roman" w:hAnsi="Times New Roman" w:eastAsia="宋体" w:cs="Times New Roman"/>
                <w:bCs/>
                <w:color w:val="auto"/>
                <w:kern w:val="2"/>
                <w:sz w:val="21"/>
                <w:szCs w:val="21"/>
                <w:highlight w:val="none"/>
                <w:lang w:val="en-US" w:eastAsia="zh-CN" w:bidi="ar-SA"/>
              </w:rPr>
            </w:pPr>
            <w:r>
              <w:rPr>
                <w:bCs/>
                <w:color w:val="auto"/>
                <w:szCs w:val="21"/>
                <w:highlight w:val="none"/>
              </w:rPr>
              <w:t>T</w:t>
            </w:r>
            <w:r>
              <w:rPr>
                <w:rFonts w:hint="eastAsia"/>
                <w:bCs/>
                <w:color w:val="auto"/>
                <w:szCs w:val="21"/>
                <w:highlight w:val="none"/>
                <w:lang w:eastAsia="zh-CN"/>
              </w:rPr>
              <w:t>,</w:t>
            </w:r>
            <w:r>
              <w:rPr>
                <w:bCs/>
                <w:color w:val="auto"/>
                <w:szCs w:val="21"/>
                <w:highlight w:val="none"/>
              </w:rPr>
              <w:t>I</w:t>
            </w:r>
          </w:p>
        </w:tc>
        <w:tc>
          <w:tcPr>
            <w:tcW w:w="411" w:type="pct"/>
            <w:tcBorders>
              <w:tl2br w:val="nil"/>
              <w:tr2bl w:val="nil"/>
            </w:tcBorders>
            <w:noWrap w:val="0"/>
            <w:vAlign w:val="center"/>
          </w:tcPr>
          <w:p w14:paraId="165A9B3F">
            <w:pPr>
              <w:tabs>
                <w:tab w:val="left" w:pos="377"/>
              </w:tabs>
              <w:spacing w:line="240" w:lineRule="exact"/>
              <w:jc w:val="center"/>
              <w:rPr>
                <w:rFonts w:hint="eastAsia"/>
                <w:bCs/>
                <w:color w:val="auto"/>
                <w:szCs w:val="21"/>
                <w:highlight w:val="none"/>
              </w:rPr>
            </w:pPr>
            <w:r>
              <w:rPr>
                <w:bCs/>
                <w:color w:val="auto"/>
                <w:szCs w:val="21"/>
                <w:highlight w:val="none"/>
              </w:rPr>
              <w:t>各类</w:t>
            </w:r>
          </w:p>
          <w:p w14:paraId="2D0AC26B">
            <w:pPr>
              <w:tabs>
                <w:tab w:val="left" w:pos="377"/>
              </w:tabs>
              <w:spacing w:line="240" w:lineRule="exact"/>
              <w:jc w:val="center"/>
              <w:rPr>
                <w:rFonts w:ascii="Times New Roman" w:hAnsi="Times New Roman" w:eastAsia="宋体" w:cs="Times New Roman"/>
                <w:bCs/>
                <w:color w:val="auto"/>
                <w:kern w:val="2"/>
                <w:sz w:val="21"/>
                <w:szCs w:val="21"/>
                <w:highlight w:val="none"/>
                <w:lang w:val="en-US" w:eastAsia="zh-CN" w:bidi="ar-SA"/>
              </w:rPr>
            </w:pPr>
            <w:r>
              <w:rPr>
                <w:bCs/>
                <w:color w:val="auto"/>
                <w:szCs w:val="21"/>
                <w:highlight w:val="none"/>
              </w:rPr>
              <w:t>机泵</w:t>
            </w:r>
          </w:p>
        </w:tc>
        <w:tc>
          <w:tcPr>
            <w:tcW w:w="528" w:type="pct"/>
            <w:tcBorders>
              <w:tl2br w:val="nil"/>
              <w:tr2bl w:val="nil"/>
            </w:tcBorders>
            <w:noWrap w:val="0"/>
            <w:vAlign w:val="center"/>
          </w:tcPr>
          <w:p w14:paraId="014DBDC4">
            <w:pPr>
              <w:tabs>
                <w:tab w:val="left" w:pos="377"/>
              </w:tabs>
              <w:spacing w:line="240" w:lineRule="exact"/>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5</w:t>
            </w:r>
            <w:r>
              <w:rPr>
                <w:rFonts w:hint="eastAsia" w:cs="Times New Roman"/>
                <w:bCs/>
                <w:color w:val="auto"/>
                <w:szCs w:val="21"/>
                <w:highlight w:val="none"/>
                <w:lang w:val="en-US" w:eastAsia="zh-CN"/>
              </w:rPr>
              <w:t>.3</w:t>
            </w:r>
          </w:p>
          <w:p w14:paraId="7B2A1253">
            <w:pPr>
              <w:tabs>
                <w:tab w:val="left" w:pos="377"/>
              </w:tabs>
              <w:spacing w:line="240" w:lineRule="exact"/>
              <w:jc w:val="center"/>
              <w:rPr>
                <w:rFonts w:ascii="Times New Roman" w:hAnsi="Times New Roman" w:eastAsia="宋体" w:cs="Times New Roman"/>
                <w:bCs/>
                <w:color w:val="auto"/>
                <w:szCs w:val="21"/>
                <w:highlight w:val="none"/>
                <w:lang w:val="en-US" w:eastAsia="zh-CN"/>
              </w:rPr>
            </w:pPr>
            <w:r>
              <w:rPr>
                <w:rFonts w:ascii="Times New Roman" w:hAnsi="Times New Roman" w:eastAsia="宋体" w:cs="Times New Roman"/>
                <w:bCs/>
                <w:color w:val="auto"/>
                <w:szCs w:val="21"/>
                <w:highlight w:val="none"/>
              </w:rPr>
              <w:t>t/a</w:t>
            </w:r>
          </w:p>
        </w:tc>
        <w:tc>
          <w:tcPr>
            <w:tcW w:w="1163" w:type="pct"/>
            <w:vMerge w:val="continue"/>
            <w:tcBorders>
              <w:tl2br w:val="nil"/>
              <w:tr2bl w:val="nil"/>
            </w:tcBorders>
            <w:noWrap w:val="0"/>
            <w:vAlign w:val="center"/>
          </w:tcPr>
          <w:p w14:paraId="107D7252">
            <w:pPr>
              <w:tabs>
                <w:tab w:val="left" w:pos="377"/>
              </w:tabs>
              <w:spacing w:line="240" w:lineRule="exact"/>
              <w:jc w:val="center"/>
              <w:rPr>
                <w:rFonts w:ascii="Times New Roman" w:hAnsi="Times New Roman" w:eastAsia="宋体" w:cs="Times New Roman"/>
                <w:bCs/>
                <w:color w:val="auto"/>
                <w:kern w:val="2"/>
                <w:sz w:val="21"/>
                <w:szCs w:val="21"/>
                <w:highlight w:val="none"/>
                <w:lang w:val="en-US" w:eastAsia="zh-CN" w:bidi="ar-SA"/>
              </w:rPr>
            </w:pPr>
          </w:p>
        </w:tc>
        <w:tc>
          <w:tcPr>
            <w:tcW w:w="515" w:type="pct"/>
            <w:tcBorders>
              <w:tl2br w:val="nil"/>
              <w:tr2bl w:val="nil"/>
            </w:tcBorders>
            <w:noWrap w:val="0"/>
            <w:vAlign w:val="center"/>
          </w:tcPr>
          <w:p w14:paraId="008BCA52">
            <w:pPr>
              <w:tabs>
                <w:tab w:val="left" w:pos="377"/>
              </w:tabs>
              <w:spacing w:line="240" w:lineRule="exact"/>
              <w:jc w:val="center"/>
              <w:rPr>
                <w:rFonts w:hint="eastAsia"/>
                <w:bCs/>
                <w:color w:val="auto"/>
                <w:szCs w:val="21"/>
                <w:highlight w:val="none"/>
              </w:rPr>
            </w:pPr>
            <w:r>
              <w:rPr>
                <w:bCs/>
                <w:color w:val="auto"/>
                <w:szCs w:val="21"/>
                <w:highlight w:val="none"/>
              </w:rPr>
              <w:t>根据</w:t>
            </w:r>
          </w:p>
          <w:p w14:paraId="109335D9">
            <w:pPr>
              <w:tabs>
                <w:tab w:val="left" w:pos="377"/>
              </w:tabs>
              <w:spacing w:line="240" w:lineRule="exact"/>
              <w:jc w:val="center"/>
              <w:rPr>
                <w:rFonts w:ascii="Times New Roman" w:hAnsi="Times New Roman" w:eastAsia="宋体" w:cs="Times New Roman"/>
                <w:bCs/>
                <w:color w:val="auto"/>
                <w:kern w:val="2"/>
                <w:sz w:val="21"/>
                <w:szCs w:val="21"/>
                <w:highlight w:val="none"/>
                <w:lang w:val="en-US" w:eastAsia="zh-CN" w:bidi="ar-SA"/>
              </w:rPr>
            </w:pPr>
            <w:r>
              <w:rPr>
                <w:bCs/>
                <w:color w:val="auto"/>
                <w:szCs w:val="21"/>
                <w:highlight w:val="none"/>
              </w:rPr>
              <w:t>需要</w:t>
            </w:r>
          </w:p>
        </w:tc>
      </w:tr>
      <w:tr w14:paraId="2B04C2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79" w:type="pct"/>
            <w:tcBorders>
              <w:tl2br w:val="nil"/>
              <w:tr2bl w:val="nil"/>
            </w:tcBorders>
            <w:noWrap w:val="0"/>
            <w:vAlign w:val="center"/>
          </w:tcPr>
          <w:p w14:paraId="607DFDDA">
            <w:pPr>
              <w:pStyle w:val="7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eastAsia" w:ascii="Times New Roman" w:hAnsi="Times New Roman" w:eastAsia="宋体" w:cs="Times New Roman"/>
                <w:color w:val="auto"/>
                <w:kern w:val="2"/>
                <w:sz w:val="21"/>
                <w:szCs w:val="21"/>
                <w:highlight w:val="none"/>
                <w:lang w:val="en-US" w:eastAsia="zh-CN" w:bidi="ar-SA"/>
              </w:rPr>
            </w:pPr>
            <w:bookmarkStart w:id="419" w:name="_Toc20549"/>
            <w:r>
              <w:rPr>
                <w:rFonts w:hint="eastAsia" w:ascii="Times New Roman" w:hAnsi="Times New Roman" w:eastAsia="宋体" w:cs="Times New Roman"/>
                <w:color w:val="auto"/>
                <w:kern w:val="2"/>
                <w:sz w:val="21"/>
                <w:szCs w:val="21"/>
                <w:highlight w:val="none"/>
                <w:lang w:val="en-US" w:eastAsia="zh-CN"/>
              </w:rPr>
              <w:t>废压裂液</w:t>
            </w:r>
          </w:p>
        </w:tc>
        <w:tc>
          <w:tcPr>
            <w:tcW w:w="797" w:type="pct"/>
            <w:tcBorders>
              <w:tl2br w:val="nil"/>
              <w:tr2bl w:val="nil"/>
            </w:tcBorders>
            <w:noWrap w:val="0"/>
            <w:vAlign w:val="center"/>
          </w:tcPr>
          <w:p w14:paraId="15FC9CC4">
            <w:pPr>
              <w:tabs>
                <w:tab w:val="left" w:pos="377"/>
              </w:tabs>
              <w:spacing w:line="240" w:lineRule="exact"/>
              <w:jc w:val="center"/>
              <w:rPr>
                <w:bCs/>
                <w:color w:val="auto"/>
                <w:szCs w:val="21"/>
                <w:highlight w:val="none"/>
              </w:rPr>
            </w:pPr>
            <w:r>
              <w:rPr>
                <w:bCs/>
                <w:color w:val="auto"/>
                <w:szCs w:val="21"/>
                <w:highlight w:val="none"/>
              </w:rPr>
              <w:t>危险废物</w:t>
            </w:r>
          </w:p>
        </w:tc>
        <w:tc>
          <w:tcPr>
            <w:tcW w:w="770" w:type="pct"/>
            <w:tcBorders>
              <w:tl2br w:val="nil"/>
              <w:tr2bl w:val="nil"/>
            </w:tcBorders>
            <w:noWrap w:val="0"/>
            <w:vAlign w:val="center"/>
          </w:tcPr>
          <w:p w14:paraId="2A1C8BEF">
            <w:pPr>
              <w:tabs>
                <w:tab w:val="left" w:pos="377"/>
              </w:tabs>
              <w:spacing w:line="240" w:lineRule="exact"/>
              <w:jc w:val="center"/>
              <w:rPr>
                <w:rFonts w:hint="eastAsia"/>
                <w:bCs/>
                <w:color w:val="auto"/>
                <w:szCs w:val="21"/>
                <w:highlight w:val="none"/>
              </w:rPr>
            </w:pPr>
            <w:r>
              <w:rPr>
                <w:rFonts w:hint="eastAsia"/>
                <w:bCs/>
                <w:color w:val="auto"/>
                <w:szCs w:val="21"/>
                <w:highlight w:val="none"/>
              </w:rPr>
              <w:t>HW08</w:t>
            </w:r>
          </w:p>
          <w:p w14:paraId="7DD9A52A">
            <w:pPr>
              <w:tabs>
                <w:tab w:val="left" w:pos="377"/>
              </w:tabs>
              <w:spacing w:line="240" w:lineRule="exact"/>
              <w:jc w:val="center"/>
              <w:rPr>
                <w:rFonts w:hint="eastAsia" w:ascii="Times New Roman" w:hAnsi="Times New Roman" w:eastAsia="宋体" w:cs="Times New Roman"/>
                <w:bCs/>
                <w:color w:val="auto"/>
                <w:kern w:val="2"/>
                <w:sz w:val="21"/>
                <w:szCs w:val="21"/>
                <w:highlight w:val="none"/>
                <w:lang w:val="en-US" w:eastAsia="zh-CN" w:bidi="ar-SA"/>
              </w:rPr>
            </w:pPr>
            <w:r>
              <w:rPr>
                <w:rFonts w:hint="eastAsia"/>
                <w:bCs/>
                <w:color w:val="auto"/>
                <w:szCs w:val="21"/>
                <w:highlight w:val="none"/>
              </w:rPr>
              <w:t>071-001-08</w:t>
            </w:r>
          </w:p>
        </w:tc>
        <w:tc>
          <w:tcPr>
            <w:tcW w:w="334" w:type="pct"/>
            <w:tcBorders>
              <w:tl2br w:val="nil"/>
              <w:tr2bl w:val="nil"/>
            </w:tcBorders>
            <w:noWrap w:val="0"/>
            <w:vAlign w:val="center"/>
          </w:tcPr>
          <w:p w14:paraId="3A5570EC">
            <w:pPr>
              <w:tabs>
                <w:tab w:val="left" w:pos="377"/>
              </w:tabs>
              <w:spacing w:line="240" w:lineRule="exact"/>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rPr>
              <w:t>T</w:t>
            </w:r>
            <w:r>
              <w:rPr>
                <w:rFonts w:hint="eastAsia"/>
                <w:color w:val="auto"/>
                <w:highlight w:val="none"/>
                <w:lang w:eastAsia="zh-CN"/>
              </w:rPr>
              <w:t>,</w:t>
            </w:r>
            <w:r>
              <w:rPr>
                <w:rFonts w:hint="eastAsia"/>
                <w:color w:val="auto"/>
                <w:highlight w:val="none"/>
              </w:rPr>
              <w:t>I</w:t>
            </w:r>
          </w:p>
        </w:tc>
        <w:tc>
          <w:tcPr>
            <w:tcW w:w="411" w:type="pct"/>
            <w:tcBorders>
              <w:tl2br w:val="nil"/>
              <w:tr2bl w:val="nil"/>
            </w:tcBorders>
            <w:noWrap w:val="0"/>
            <w:vAlign w:val="center"/>
          </w:tcPr>
          <w:p w14:paraId="65071F03">
            <w:pPr>
              <w:pStyle w:val="7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rPr>
              <w:t>压裂工艺</w:t>
            </w:r>
          </w:p>
        </w:tc>
        <w:tc>
          <w:tcPr>
            <w:tcW w:w="528" w:type="pct"/>
            <w:tcBorders>
              <w:tl2br w:val="nil"/>
              <w:tr2bl w:val="nil"/>
            </w:tcBorders>
            <w:noWrap w:val="0"/>
            <w:vAlign w:val="center"/>
          </w:tcPr>
          <w:p w14:paraId="3EEDD6E9">
            <w:pPr>
              <w:tabs>
                <w:tab w:val="left" w:pos="377"/>
              </w:tabs>
              <w:spacing w:line="240" w:lineRule="exact"/>
              <w:jc w:val="center"/>
              <w:rPr>
                <w:rFonts w:hint="eastAsia" w:cs="Times New Roman"/>
                <w:bCs/>
                <w:color w:val="auto"/>
                <w:szCs w:val="21"/>
                <w:highlight w:val="none"/>
                <w:lang w:val="en-US" w:eastAsia="zh-CN"/>
              </w:rPr>
            </w:pPr>
            <w:r>
              <w:rPr>
                <w:rFonts w:hint="eastAsia" w:cs="Times New Roman"/>
                <w:bCs/>
                <w:color w:val="auto"/>
                <w:szCs w:val="21"/>
                <w:highlight w:val="none"/>
                <w:lang w:val="en-US" w:eastAsia="zh-CN"/>
              </w:rPr>
              <w:t>919.26</w:t>
            </w:r>
          </w:p>
          <w:p w14:paraId="2FDDBCF0">
            <w:pPr>
              <w:tabs>
                <w:tab w:val="left" w:pos="377"/>
              </w:tabs>
              <w:spacing w:line="240" w:lineRule="exact"/>
              <w:jc w:val="center"/>
              <w:rPr>
                <w:rFonts w:hint="eastAsia" w:ascii="Times New Roman" w:hAnsi="Times New Roman" w:eastAsia="宋体" w:cs="Times New Roman"/>
                <w:bCs/>
                <w:color w:val="auto"/>
                <w:szCs w:val="21"/>
                <w:highlight w:val="none"/>
                <w:lang w:val="en-US" w:eastAsia="zh-CN"/>
              </w:rPr>
            </w:pPr>
            <w:r>
              <w:rPr>
                <w:rFonts w:ascii="Times New Roman" w:hAnsi="Times New Roman" w:eastAsia="宋体" w:cs="Times New Roman"/>
                <w:bCs/>
                <w:color w:val="auto"/>
                <w:szCs w:val="21"/>
                <w:highlight w:val="none"/>
              </w:rPr>
              <w:t>m</w:t>
            </w:r>
            <w:r>
              <w:rPr>
                <w:rFonts w:ascii="Times New Roman" w:hAnsi="Times New Roman" w:eastAsia="宋体" w:cs="Times New Roman"/>
                <w:bCs/>
                <w:color w:val="auto"/>
                <w:szCs w:val="21"/>
                <w:highlight w:val="none"/>
                <w:vertAlign w:val="superscript"/>
              </w:rPr>
              <w:t>3</w:t>
            </w:r>
            <w:r>
              <w:rPr>
                <w:rFonts w:ascii="Times New Roman" w:hAnsi="Times New Roman" w:eastAsia="宋体" w:cs="Times New Roman"/>
                <w:bCs/>
                <w:color w:val="auto"/>
                <w:szCs w:val="21"/>
                <w:highlight w:val="none"/>
              </w:rPr>
              <w:t>/</w:t>
            </w:r>
            <w:r>
              <w:rPr>
                <w:rFonts w:hint="eastAsia" w:ascii="Times New Roman" w:hAnsi="Times New Roman" w:eastAsia="宋体" w:cs="Times New Roman"/>
                <w:bCs/>
                <w:color w:val="auto"/>
                <w:szCs w:val="21"/>
                <w:highlight w:val="none"/>
                <w:lang w:val="en-US" w:eastAsia="zh-CN"/>
              </w:rPr>
              <w:t>次</w:t>
            </w:r>
          </w:p>
        </w:tc>
        <w:tc>
          <w:tcPr>
            <w:tcW w:w="1163" w:type="pct"/>
            <w:vMerge w:val="restart"/>
            <w:tcBorders>
              <w:tl2br w:val="nil"/>
              <w:tr2bl w:val="nil"/>
            </w:tcBorders>
            <w:noWrap w:val="0"/>
            <w:vAlign w:val="center"/>
          </w:tcPr>
          <w:p w14:paraId="66662D75">
            <w:pPr>
              <w:spacing w:line="240" w:lineRule="exact"/>
              <w:rPr>
                <w:color w:val="auto"/>
                <w:highlight w:val="none"/>
              </w:rPr>
            </w:pPr>
            <w:r>
              <w:rPr>
                <w:rFonts w:hint="eastAsia"/>
                <w:color w:val="auto"/>
                <w:highlight w:val="none"/>
              </w:rPr>
              <w:t>井下作业固废采用专用回收罐进行回收，拉运至英买力油田钻试修废弃物环保处理站进行处理。</w:t>
            </w:r>
          </w:p>
        </w:tc>
        <w:tc>
          <w:tcPr>
            <w:tcW w:w="515" w:type="pct"/>
            <w:vMerge w:val="restart"/>
            <w:tcBorders>
              <w:tl2br w:val="nil"/>
              <w:tr2bl w:val="nil"/>
            </w:tcBorders>
            <w:noWrap w:val="0"/>
            <w:vAlign w:val="center"/>
          </w:tcPr>
          <w:p w14:paraId="5EB78840">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根据</w:t>
            </w:r>
          </w:p>
          <w:p w14:paraId="22D978AE">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需要</w:t>
            </w:r>
          </w:p>
        </w:tc>
      </w:tr>
      <w:tr w14:paraId="1DD656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79" w:type="pct"/>
            <w:tcBorders>
              <w:tl2br w:val="nil"/>
              <w:tr2bl w:val="nil"/>
            </w:tcBorders>
            <w:noWrap w:val="0"/>
            <w:vAlign w:val="center"/>
          </w:tcPr>
          <w:p w14:paraId="2A7BAE25">
            <w:pPr>
              <w:pStyle w:val="7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rPr>
              <w:t>废酸化液</w:t>
            </w:r>
          </w:p>
        </w:tc>
        <w:tc>
          <w:tcPr>
            <w:tcW w:w="797" w:type="pct"/>
            <w:tcBorders>
              <w:tl2br w:val="nil"/>
              <w:tr2bl w:val="nil"/>
            </w:tcBorders>
            <w:noWrap w:val="0"/>
            <w:vAlign w:val="center"/>
          </w:tcPr>
          <w:p w14:paraId="7470F7C4">
            <w:pPr>
              <w:tabs>
                <w:tab w:val="left" w:pos="377"/>
              </w:tabs>
              <w:spacing w:line="240" w:lineRule="exact"/>
              <w:jc w:val="center"/>
              <w:rPr>
                <w:bCs/>
                <w:color w:val="auto"/>
                <w:szCs w:val="21"/>
                <w:highlight w:val="none"/>
              </w:rPr>
            </w:pPr>
            <w:r>
              <w:rPr>
                <w:bCs/>
                <w:color w:val="auto"/>
                <w:szCs w:val="21"/>
                <w:highlight w:val="none"/>
              </w:rPr>
              <w:t>危险废物</w:t>
            </w:r>
          </w:p>
        </w:tc>
        <w:tc>
          <w:tcPr>
            <w:tcW w:w="770" w:type="pct"/>
            <w:tcBorders>
              <w:tl2br w:val="nil"/>
              <w:tr2bl w:val="nil"/>
            </w:tcBorders>
            <w:noWrap w:val="0"/>
            <w:vAlign w:val="center"/>
          </w:tcPr>
          <w:p w14:paraId="6BD0F347">
            <w:pPr>
              <w:tabs>
                <w:tab w:val="left" w:pos="377"/>
              </w:tabs>
              <w:spacing w:line="240" w:lineRule="exact"/>
              <w:jc w:val="center"/>
              <w:rPr>
                <w:rFonts w:hint="eastAsia"/>
                <w:bCs/>
                <w:color w:val="auto"/>
                <w:szCs w:val="21"/>
                <w:highlight w:val="none"/>
              </w:rPr>
            </w:pPr>
            <w:r>
              <w:rPr>
                <w:rFonts w:hint="eastAsia"/>
                <w:bCs/>
                <w:color w:val="auto"/>
                <w:szCs w:val="21"/>
                <w:highlight w:val="none"/>
              </w:rPr>
              <w:t>HW08</w:t>
            </w:r>
          </w:p>
          <w:p w14:paraId="514E50A9">
            <w:pPr>
              <w:tabs>
                <w:tab w:val="left" w:pos="377"/>
              </w:tabs>
              <w:spacing w:line="240" w:lineRule="exact"/>
              <w:jc w:val="center"/>
              <w:rPr>
                <w:rFonts w:hint="eastAsia" w:ascii="Times New Roman" w:hAnsi="Times New Roman" w:eastAsia="宋体" w:cs="Times New Roman"/>
                <w:bCs/>
                <w:color w:val="auto"/>
                <w:kern w:val="2"/>
                <w:sz w:val="21"/>
                <w:szCs w:val="21"/>
                <w:highlight w:val="none"/>
                <w:lang w:val="en-US" w:eastAsia="zh-CN" w:bidi="ar-SA"/>
              </w:rPr>
            </w:pPr>
            <w:r>
              <w:rPr>
                <w:rFonts w:hint="eastAsia"/>
                <w:bCs/>
                <w:color w:val="auto"/>
                <w:szCs w:val="21"/>
                <w:highlight w:val="none"/>
              </w:rPr>
              <w:t>071-001-08</w:t>
            </w:r>
          </w:p>
        </w:tc>
        <w:tc>
          <w:tcPr>
            <w:tcW w:w="334" w:type="pct"/>
            <w:tcBorders>
              <w:tl2br w:val="nil"/>
              <w:tr2bl w:val="nil"/>
            </w:tcBorders>
            <w:noWrap w:val="0"/>
            <w:vAlign w:val="center"/>
          </w:tcPr>
          <w:p w14:paraId="2F30A877">
            <w:pPr>
              <w:tabs>
                <w:tab w:val="left" w:pos="377"/>
              </w:tabs>
              <w:spacing w:line="240" w:lineRule="exact"/>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rPr>
              <w:t>T</w:t>
            </w:r>
            <w:r>
              <w:rPr>
                <w:rFonts w:hint="eastAsia"/>
                <w:color w:val="auto"/>
                <w:highlight w:val="none"/>
                <w:lang w:eastAsia="zh-CN"/>
              </w:rPr>
              <w:t>,</w:t>
            </w:r>
            <w:r>
              <w:rPr>
                <w:rFonts w:hint="eastAsia"/>
                <w:color w:val="auto"/>
                <w:highlight w:val="none"/>
              </w:rPr>
              <w:t>I</w:t>
            </w:r>
          </w:p>
        </w:tc>
        <w:tc>
          <w:tcPr>
            <w:tcW w:w="411" w:type="pct"/>
            <w:tcBorders>
              <w:tl2br w:val="nil"/>
              <w:tr2bl w:val="nil"/>
            </w:tcBorders>
            <w:noWrap w:val="0"/>
            <w:vAlign w:val="center"/>
          </w:tcPr>
          <w:p w14:paraId="613C71CD">
            <w:pPr>
              <w:pStyle w:val="7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rPr>
              <w:t>酸化工艺</w:t>
            </w:r>
          </w:p>
        </w:tc>
        <w:tc>
          <w:tcPr>
            <w:tcW w:w="528" w:type="pct"/>
            <w:tcBorders>
              <w:tl2br w:val="nil"/>
              <w:tr2bl w:val="nil"/>
            </w:tcBorders>
            <w:noWrap w:val="0"/>
            <w:vAlign w:val="center"/>
          </w:tcPr>
          <w:p w14:paraId="77307A8E">
            <w:pPr>
              <w:tabs>
                <w:tab w:val="left" w:pos="377"/>
              </w:tabs>
              <w:spacing w:line="240" w:lineRule="exact"/>
              <w:jc w:val="center"/>
              <w:rPr>
                <w:rFonts w:hint="default" w:cs="Times New Roman"/>
                <w:bCs/>
                <w:color w:val="auto"/>
                <w:szCs w:val="21"/>
                <w:highlight w:val="none"/>
                <w:lang w:val="en-US" w:eastAsia="zh-CN"/>
              </w:rPr>
            </w:pPr>
            <w:r>
              <w:rPr>
                <w:rFonts w:hint="eastAsia" w:cs="Times New Roman"/>
                <w:bCs/>
                <w:color w:val="auto"/>
                <w:szCs w:val="21"/>
                <w:highlight w:val="none"/>
                <w:lang w:val="en-US" w:eastAsia="zh-CN"/>
              </w:rPr>
              <w:t>902.94</w:t>
            </w:r>
          </w:p>
          <w:p w14:paraId="1D6EB535">
            <w:pPr>
              <w:tabs>
                <w:tab w:val="left" w:pos="377"/>
              </w:tabs>
              <w:spacing w:line="240" w:lineRule="exact"/>
              <w:jc w:val="center"/>
              <w:rPr>
                <w:rFonts w:hint="eastAsia" w:ascii="Times New Roman" w:hAnsi="Times New Roman" w:eastAsia="宋体" w:cs="Times New Roman"/>
                <w:bCs/>
                <w:color w:val="auto"/>
                <w:szCs w:val="21"/>
                <w:highlight w:val="none"/>
                <w:lang w:val="en-US" w:eastAsia="zh-CN"/>
              </w:rPr>
            </w:pPr>
            <w:r>
              <w:rPr>
                <w:rFonts w:ascii="Times New Roman" w:hAnsi="Times New Roman" w:eastAsia="宋体" w:cs="Times New Roman"/>
                <w:bCs/>
                <w:color w:val="auto"/>
                <w:szCs w:val="21"/>
                <w:highlight w:val="none"/>
              </w:rPr>
              <w:t>m</w:t>
            </w:r>
            <w:r>
              <w:rPr>
                <w:rFonts w:ascii="Times New Roman" w:hAnsi="Times New Roman" w:eastAsia="宋体" w:cs="Times New Roman"/>
                <w:bCs/>
                <w:color w:val="auto"/>
                <w:szCs w:val="21"/>
                <w:highlight w:val="none"/>
                <w:vertAlign w:val="superscript"/>
              </w:rPr>
              <w:t>3</w:t>
            </w:r>
            <w:r>
              <w:rPr>
                <w:rFonts w:ascii="Times New Roman" w:hAnsi="Times New Roman" w:eastAsia="宋体" w:cs="Times New Roman"/>
                <w:bCs/>
                <w:color w:val="auto"/>
                <w:szCs w:val="21"/>
                <w:highlight w:val="none"/>
              </w:rPr>
              <w:t>/</w:t>
            </w:r>
            <w:r>
              <w:rPr>
                <w:rFonts w:hint="eastAsia" w:ascii="Times New Roman" w:hAnsi="Times New Roman" w:eastAsia="宋体" w:cs="Times New Roman"/>
                <w:bCs/>
                <w:color w:val="auto"/>
                <w:szCs w:val="21"/>
                <w:highlight w:val="none"/>
                <w:lang w:val="en-US" w:eastAsia="zh-CN"/>
              </w:rPr>
              <w:t>次</w:t>
            </w:r>
          </w:p>
        </w:tc>
        <w:tc>
          <w:tcPr>
            <w:tcW w:w="1163" w:type="pct"/>
            <w:vMerge w:val="continue"/>
            <w:tcBorders>
              <w:tl2br w:val="nil"/>
              <w:tr2bl w:val="nil"/>
            </w:tcBorders>
            <w:noWrap w:val="0"/>
            <w:vAlign w:val="center"/>
          </w:tcPr>
          <w:p w14:paraId="20AA3255">
            <w:pPr>
              <w:spacing w:line="240" w:lineRule="exact"/>
              <w:rPr>
                <w:color w:val="auto"/>
                <w:highlight w:val="none"/>
              </w:rPr>
            </w:pPr>
          </w:p>
        </w:tc>
        <w:tc>
          <w:tcPr>
            <w:tcW w:w="515" w:type="pct"/>
            <w:vMerge w:val="continue"/>
            <w:tcBorders>
              <w:tl2br w:val="nil"/>
              <w:tr2bl w:val="nil"/>
            </w:tcBorders>
            <w:noWrap w:val="0"/>
            <w:vAlign w:val="center"/>
          </w:tcPr>
          <w:p w14:paraId="21BCFD77">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p>
        </w:tc>
      </w:tr>
      <w:tr w14:paraId="0C01FA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79" w:type="pct"/>
            <w:tcBorders>
              <w:tl2br w:val="nil"/>
              <w:tr2bl w:val="nil"/>
            </w:tcBorders>
            <w:noWrap w:val="0"/>
            <w:vAlign w:val="center"/>
          </w:tcPr>
          <w:p w14:paraId="69425380">
            <w:pPr>
              <w:pStyle w:val="7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rPr>
              <w:t>废洗井液</w:t>
            </w:r>
          </w:p>
        </w:tc>
        <w:tc>
          <w:tcPr>
            <w:tcW w:w="797" w:type="pct"/>
            <w:tcBorders>
              <w:tl2br w:val="nil"/>
              <w:tr2bl w:val="nil"/>
            </w:tcBorders>
            <w:noWrap w:val="0"/>
            <w:vAlign w:val="center"/>
          </w:tcPr>
          <w:p w14:paraId="26E6C337">
            <w:pPr>
              <w:tabs>
                <w:tab w:val="left" w:pos="377"/>
              </w:tabs>
              <w:spacing w:line="240" w:lineRule="exact"/>
              <w:jc w:val="center"/>
              <w:rPr>
                <w:bCs/>
                <w:color w:val="auto"/>
                <w:szCs w:val="21"/>
                <w:highlight w:val="none"/>
              </w:rPr>
            </w:pPr>
            <w:r>
              <w:rPr>
                <w:bCs/>
                <w:color w:val="auto"/>
                <w:szCs w:val="21"/>
                <w:highlight w:val="none"/>
              </w:rPr>
              <w:t>危险废物</w:t>
            </w:r>
          </w:p>
        </w:tc>
        <w:tc>
          <w:tcPr>
            <w:tcW w:w="770" w:type="pct"/>
            <w:tcBorders>
              <w:tl2br w:val="nil"/>
              <w:tr2bl w:val="nil"/>
            </w:tcBorders>
            <w:noWrap w:val="0"/>
            <w:vAlign w:val="center"/>
          </w:tcPr>
          <w:p w14:paraId="17E0BFAF">
            <w:pPr>
              <w:tabs>
                <w:tab w:val="left" w:pos="377"/>
              </w:tabs>
              <w:spacing w:line="240" w:lineRule="exact"/>
              <w:jc w:val="center"/>
              <w:rPr>
                <w:rFonts w:hint="eastAsia"/>
                <w:bCs/>
                <w:color w:val="auto"/>
                <w:szCs w:val="21"/>
                <w:highlight w:val="none"/>
              </w:rPr>
            </w:pPr>
            <w:r>
              <w:rPr>
                <w:rFonts w:hint="eastAsia"/>
                <w:bCs/>
                <w:color w:val="auto"/>
                <w:szCs w:val="21"/>
                <w:highlight w:val="none"/>
              </w:rPr>
              <w:t>HW08</w:t>
            </w:r>
          </w:p>
          <w:p w14:paraId="4AA3B756">
            <w:pPr>
              <w:tabs>
                <w:tab w:val="left" w:pos="377"/>
              </w:tabs>
              <w:spacing w:line="240" w:lineRule="exact"/>
              <w:jc w:val="center"/>
              <w:rPr>
                <w:rFonts w:hint="eastAsia" w:ascii="Times New Roman" w:hAnsi="Times New Roman" w:eastAsia="宋体" w:cs="Times New Roman"/>
                <w:bCs/>
                <w:color w:val="auto"/>
                <w:kern w:val="2"/>
                <w:sz w:val="21"/>
                <w:szCs w:val="21"/>
                <w:highlight w:val="none"/>
                <w:lang w:val="en-US" w:eastAsia="zh-CN" w:bidi="ar-SA"/>
              </w:rPr>
            </w:pPr>
            <w:r>
              <w:rPr>
                <w:rFonts w:hint="eastAsia"/>
                <w:bCs/>
                <w:color w:val="auto"/>
                <w:szCs w:val="21"/>
                <w:highlight w:val="none"/>
              </w:rPr>
              <w:t>071-001-08</w:t>
            </w:r>
          </w:p>
        </w:tc>
        <w:tc>
          <w:tcPr>
            <w:tcW w:w="334" w:type="pct"/>
            <w:tcBorders>
              <w:tl2br w:val="nil"/>
              <w:tr2bl w:val="nil"/>
            </w:tcBorders>
            <w:noWrap w:val="0"/>
            <w:vAlign w:val="center"/>
          </w:tcPr>
          <w:p w14:paraId="3F2F39FB">
            <w:pPr>
              <w:tabs>
                <w:tab w:val="left" w:pos="377"/>
              </w:tabs>
              <w:spacing w:line="240" w:lineRule="exact"/>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rPr>
              <w:t>T</w:t>
            </w:r>
            <w:r>
              <w:rPr>
                <w:rFonts w:hint="eastAsia"/>
                <w:color w:val="auto"/>
                <w:highlight w:val="none"/>
                <w:lang w:eastAsia="zh-CN"/>
              </w:rPr>
              <w:t>,</w:t>
            </w:r>
            <w:r>
              <w:rPr>
                <w:rFonts w:hint="eastAsia"/>
                <w:color w:val="auto"/>
                <w:highlight w:val="none"/>
              </w:rPr>
              <w:t>I</w:t>
            </w:r>
          </w:p>
        </w:tc>
        <w:tc>
          <w:tcPr>
            <w:tcW w:w="411" w:type="pct"/>
            <w:tcBorders>
              <w:tl2br w:val="nil"/>
              <w:tr2bl w:val="nil"/>
            </w:tcBorders>
            <w:noWrap w:val="0"/>
            <w:vAlign w:val="center"/>
          </w:tcPr>
          <w:p w14:paraId="132E6C77">
            <w:pPr>
              <w:pStyle w:val="7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rPr>
              <w:t>修井</w:t>
            </w:r>
          </w:p>
        </w:tc>
        <w:tc>
          <w:tcPr>
            <w:tcW w:w="528" w:type="pct"/>
            <w:tcBorders>
              <w:tl2br w:val="nil"/>
              <w:tr2bl w:val="nil"/>
            </w:tcBorders>
            <w:noWrap w:val="0"/>
            <w:vAlign w:val="center"/>
          </w:tcPr>
          <w:p w14:paraId="72258785">
            <w:pPr>
              <w:tabs>
                <w:tab w:val="left" w:pos="377"/>
              </w:tabs>
              <w:spacing w:line="240" w:lineRule="exact"/>
              <w:jc w:val="center"/>
              <w:rPr>
                <w:rFonts w:hint="eastAsia" w:cs="Times New Roman"/>
                <w:bCs/>
                <w:color w:val="auto"/>
                <w:szCs w:val="21"/>
                <w:highlight w:val="none"/>
                <w:lang w:val="en-US" w:eastAsia="zh-CN"/>
              </w:rPr>
            </w:pPr>
            <w:r>
              <w:rPr>
                <w:rFonts w:hint="eastAsia" w:cs="Times New Roman"/>
                <w:bCs/>
                <w:color w:val="auto"/>
                <w:szCs w:val="21"/>
                <w:highlight w:val="none"/>
                <w:lang w:val="en-US" w:eastAsia="zh-CN"/>
              </w:rPr>
              <w:t>151.74</w:t>
            </w:r>
          </w:p>
          <w:p w14:paraId="7DB2F213">
            <w:pPr>
              <w:tabs>
                <w:tab w:val="left" w:pos="377"/>
              </w:tabs>
              <w:spacing w:line="240" w:lineRule="exact"/>
              <w:jc w:val="center"/>
              <w:rPr>
                <w:rFonts w:hint="eastAsia" w:ascii="Times New Roman" w:hAnsi="Times New Roman" w:eastAsia="宋体" w:cs="Times New Roman"/>
                <w:bCs/>
                <w:color w:val="auto"/>
                <w:szCs w:val="21"/>
                <w:highlight w:val="none"/>
                <w:lang w:val="en-US" w:eastAsia="zh-CN"/>
              </w:rPr>
            </w:pPr>
            <w:r>
              <w:rPr>
                <w:rFonts w:ascii="Times New Roman" w:hAnsi="Times New Roman" w:eastAsia="宋体" w:cs="Times New Roman"/>
                <w:bCs/>
                <w:color w:val="auto"/>
                <w:szCs w:val="21"/>
                <w:highlight w:val="none"/>
              </w:rPr>
              <w:t>t/</w:t>
            </w:r>
            <w:r>
              <w:rPr>
                <w:rFonts w:hint="eastAsia" w:ascii="Times New Roman" w:hAnsi="Times New Roman" w:eastAsia="宋体" w:cs="Times New Roman"/>
                <w:bCs/>
                <w:color w:val="auto"/>
                <w:szCs w:val="21"/>
                <w:highlight w:val="none"/>
                <w:lang w:val="en-US" w:eastAsia="zh-CN"/>
              </w:rPr>
              <w:t>次</w:t>
            </w:r>
          </w:p>
        </w:tc>
        <w:tc>
          <w:tcPr>
            <w:tcW w:w="1163" w:type="pct"/>
            <w:vMerge w:val="continue"/>
            <w:tcBorders>
              <w:tl2br w:val="nil"/>
              <w:tr2bl w:val="nil"/>
            </w:tcBorders>
            <w:noWrap w:val="0"/>
            <w:vAlign w:val="center"/>
          </w:tcPr>
          <w:p w14:paraId="6D8F368C">
            <w:pPr>
              <w:spacing w:line="240" w:lineRule="exact"/>
              <w:rPr>
                <w:color w:val="auto"/>
                <w:highlight w:val="none"/>
              </w:rPr>
            </w:pPr>
          </w:p>
        </w:tc>
        <w:tc>
          <w:tcPr>
            <w:tcW w:w="515" w:type="pct"/>
            <w:vMerge w:val="continue"/>
            <w:tcBorders>
              <w:tl2br w:val="nil"/>
              <w:tr2bl w:val="nil"/>
            </w:tcBorders>
            <w:noWrap w:val="0"/>
            <w:vAlign w:val="center"/>
          </w:tcPr>
          <w:p w14:paraId="2605C5F4">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p>
        </w:tc>
      </w:tr>
      <w:tr w14:paraId="7912D1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79" w:type="pct"/>
            <w:tcBorders>
              <w:tl2br w:val="nil"/>
              <w:tr2bl w:val="nil"/>
            </w:tcBorders>
            <w:noWrap w:val="0"/>
            <w:vAlign w:val="center"/>
          </w:tcPr>
          <w:p w14:paraId="44B084B2">
            <w:pPr>
              <w:tabs>
                <w:tab w:val="left" w:pos="377"/>
              </w:tabs>
              <w:spacing w:line="240" w:lineRule="exact"/>
              <w:jc w:val="center"/>
              <w:rPr>
                <w:rFonts w:hint="eastAsia"/>
                <w:bCs/>
                <w:color w:val="auto"/>
                <w:szCs w:val="21"/>
                <w:highlight w:val="none"/>
              </w:rPr>
            </w:pPr>
            <w:r>
              <w:rPr>
                <w:bCs/>
                <w:color w:val="auto"/>
                <w:szCs w:val="21"/>
                <w:highlight w:val="none"/>
              </w:rPr>
              <w:t>生活</w:t>
            </w:r>
          </w:p>
          <w:p w14:paraId="1E264F12">
            <w:pPr>
              <w:tabs>
                <w:tab w:val="left" w:pos="377"/>
              </w:tabs>
              <w:spacing w:line="240" w:lineRule="exact"/>
              <w:jc w:val="center"/>
              <w:rPr>
                <w:rFonts w:hint="eastAsia" w:ascii="Times New Roman" w:hAnsi="Times New Roman" w:eastAsia="宋体" w:cs="Times New Roman"/>
                <w:bCs/>
                <w:color w:val="auto"/>
                <w:kern w:val="2"/>
                <w:sz w:val="21"/>
                <w:szCs w:val="21"/>
                <w:highlight w:val="none"/>
                <w:lang w:val="en-US" w:eastAsia="zh-CN" w:bidi="ar-SA"/>
              </w:rPr>
            </w:pPr>
            <w:r>
              <w:rPr>
                <w:bCs/>
                <w:color w:val="auto"/>
                <w:szCs w:val="21"/>
                <w:highlight w:val="none"/>
              </w:rPr>
              <w:t>垃圾</w:t>
            </w:r>
          </w:p>
        </w:tc>
        <w:tc>
          <w:tcPr>
            <w:tcW w:w="797" w:type="pct"/>
            <w:tcBorders>
              <w:tl2br w:val="nil"/>
              <w:tr2bl w:val="nil"/>
            </w:tcBorders>
            <w:noWrap w:val="0"/>
            <w:vAlign w:val="center"/>
          </w:tcPr>
          <w:p w14:paraId="45A21C74">
            <w:pPr>
              <w:tabs>
                <w:tab w:val="left" w:pos="377"/>
              </w:tabs>
              <w:spacing w:line="240" w:lineRule="exact"/>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生活垃圾</w:t>
            </w:r>
          </w:p>
        </w:tc>
        <w:tc>
          <w:tcPr>
            <w:tcW w:w="770" w:type="pct"/>
            <w:tcBorders>
              <w:tl2br w:val="nil"/>
              <w:tr2bl w:val="nil"/>
            </w:tcBorders>
            <w:noWrap w:val="0"/>
            <w:vAlign w:val="center"/>
          </w:tcPr>
          <w:p w14:paraId="2993247A">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SW64</w:t>
            </w:r>
          </w:p>
          <w:p w14:paraId="61C01DC5">
            <w:pPr>
              <w:pStyle w:val="5"/>
              <w:keepNext w:val="0"/>
              <w:keepLines w:val="0"/>
              <w:pageBreakBefore w:val="0"/>
              <w:widowControl w:val="0"/>
              <w:numPr>
                <w:ilvl w:val="3"/>
                <w:numId w:val="0"/>
              </w:numPr>
              <w:kinsoku/>
              <w:wordWrap/>
              <w:overflowPunct/>
              <w:topLinePunct w:val="0"/>
              <w:autoSpaceDE/>
              <w:autoSpaceDN/>
              <w:bidi w:val="0"/>
              <w:snapToGrid w:val="0"/>
              <w:spacing w:line="240" w:lineRule="auto"/>
              <w:ind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900-099-S64</w:t>
            </w:r>
          </w:p>
        </w:tc>
        <w:tc>
          <w:tcPr>
            <w:tcW w:w="334" w:type="pct"/>
            <w:tcBorders>
              <w:tl2br w:val="nil"/>
              <w:tr2bl w:val="nil"/>
            </w:tcBorders>
            <w:noWrap w:val="0"/>
            <w:vAlign w:val="center"/>
          </w:tcPr>
          <w:p w14:paraId="0FDE00CA">
            <w:pPr>
              <w:tabs>
                <w:tab w:val="left" w:pos="377"/>
              </w:tabs>
              <w:spacing w:line="240" w:lineRule="exact"/>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w:t>
            </w:r>
          </w:p>
        </w:tc>
        <w:tc>
          <w:tcPr>
            <w:tcW w:w="411" w:type="pct"/>
            <w:tcBorders>
              <w:tl2br w:val="nil"/>
              <w:tr2bl w:val="nil"/>
            </w:tcBorders>
            <w:noWrap w:val="0"/>
            <w:vAlign w:val="center"/>
          </w:tcPr>
          <w:p w14:paraId="34C63D17">
            <w:pPr>
              <w:tabs>
                <w:tab w:val="left" w:pos="377"/>
              </w:tabs>
              <w:spacing w:line="240" w:lineRule="exac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员工</w:t>
            </w:r>
          </w:p>
          <w:p w14:paraId="444F7C87">
            <w:pPr>
              <w:tabs>
                <w:tab w:val="left" w:pos="377"/>
              </w:tabs>
              <w:spacing w:line="240" w:lineRule="exact"/>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生活</w:t>
            </w:r>
          </w:p>
        </w:tc>
        <w:tc>
          <w:tcPr>
            <w:tcW w:w="528" w:type="pct"/>
            <w:tcBorders>
              <w:tl2br w:val="nil"/>
              <w:tr2bl w:val="nil"/>
            </w:tcBorders>
            <w:noWrap w:val="0"/>
            <w:vAlign w:val="center"/>
          </w:tcPr>
          <w:p w14:paraId="34B4B730">
            <w:pPr>
              <w:spacing w:line="240" w:lineRule="exact"/>
              <w:jc w:val="center"/>
              <w:rPr>
                <w:rFonts w:hint="eastAsia"/>
                <w:bCs/>
                <w:color w:val="auto"/>
                <w:szCs w:val="21"/>
                <w:highlight w:val="none"/>
                <w:lang w:val="en-US" w:eastAsia="zh-CN"/>
              </w:rPr>
            </w:pPr>
            <w:r>
              <w:rPr>
                <w:rFonts w:hint="eastAsia"/>
                <w:bCs/>
                <w:color w:val="auto"/>
                <w:szCs w:val="21"/>
                <w:highlight w:val="none"/>
                <w:lang w:val="en-US" w:eastAsia="zh-CN"/>
              </w:rPr>
              <w:t>1.5</w:t>
            </w:r>
          </w:p>
          <w:p w14:paraId="32D7E88B">
            <w:pPr>
              <w:spacing w:line="240" w:lineRule="exact"/>
              <w:jc w:val="center"/>
              <w:rPr>
                <w:rFonts w:hint="eastAsia" w:ascii="Times New Roman" w:hAnsi="Times New Roman" w:eastAsia="宋体" w:cs="Times New Roman"/>
                <w:bCs/>
                <w:color w:val="auto"/>
                <w:kern w:val="2"/>
                <w:sz w:val="21"/>
                <w:szCs w:val="21"/>
                <w:highlight w:val="none"/>
                <w:lang w:val="en-US" w:eastAsia="zh-CN" w:bidi="ar-SA"/>
              </w:rPr>
            </w:pPr>
            <w:r>
              <w:rPr>
                <w:rFonts w:hint="eastAsia"/>
                <w:bCs/>
                <w:color w:val="auto"/>
                <w:szCs w:val="21"/>
                <w:highlight w:val="none"/>
              </w:rPr>
              <w:t>t/a</w:t>
            </w:r>
          </w:p>
        </w:tc>
        <w:tc>
          <w:tcPr>
            <w:tcW w:w="1163" w:type="pct"/>
            <w:tcBorders>
              <w:tl2br w:val="nil"/>
              <w:tr2bl w:val="nil"/>
            </w:tcBorders>
            <w:noWrap w:val="0"/>
            <w:vAlign w:val="center"/>
          </w:tcPr>
          <w:p w14:paraId="0937A8CD">
            <w:pPr>
              <w:spacing w:line="240" w:lineRule="exact"/>
              <w:rPr>
                <w:rFonts w:ascii="Times New Roman" w:hAnsi="Times New Roman" w:eastAsia="宋体" w:cs="Times New Roman"/>
                <w:bCs/>
                <w:color w:val="auto"/>
                <w:kern w:val="2"/>
                <w:sz w:val="21"/>
                <w:szCs w:val="21"/>
                <w:highlight w:val="none"/>
                <w:lang w:val="en-US" w:eastAsia="zh-CN" w:bidi="ar-SA"/>
              </w:rPr>
            </w:pPr>
            <w:r>
              <w:rPr>
                <w:color w:val="auto"/>
                <w:highlight w:val="none"/>
              </w:rPr>
              <w:t>委托</w:t>
            </w:r>
            <w:r>
              <w:rPr>
                <w:rFonts w:hint="eastAsia"/>
                <w:color w:val="auto"/>
                <w:highlight w:val="none"/>
              </w:rPr>
              <w:t>温宿县垃圾填埋场处理</w:t>
            </w:r>
          </w:p>
        </w:tc>
        <w:tc>
          <w:tcPr>
            <w:tcW w:w="515" w:type="pct"/>
            <w:tcBorders>
              <w:tl2br w:val="nil"/>
              <w:tr2bl w:val="nil"/>
            </w:tcBorders>
            <w:noWrap w:val="0"/>
            <w:vAlign w:val="center"/>
          </w:tcPr>
          <w:p w14:paraId="564DDDBB">
            <w:pPr>
              <w:spacing w:line="240" w:lineRule="exact"/>
              <w:jc w:val="center"/>
              <w:rPr>
                <w:rFonts w:hint="eastAsia" w:ascii="Times New Roman" w:hAnsi="Times New Roman" w:eastAsia="宋体" w:cs="Times New Roman"/>
                <w:bCs/>
                <w:color w:val="auto"/>
                <w:kern w:val="2"/>
                <w:sz w:val="21"/>
                <w:szCs w:val="21"/>
                <w:highlight w:val="none"/>
                <w:lang w:val="en-US" w:eastAsia="zh-CN" w:bidi="ar-SA"/>
              </w:rPr>
            </w:pPr>
            <w:r>
              <w:rPr>
                <w:rFonts w:hint="eastAsia"/>
                <w:bCs/>
                <w:color w:val="auto"/>
                <w:szCs w:val="21"/>
                <w:highlight w:val="none"/>
              </w:rPr>
              <w:t>/</w:t>
            </w:r>
          </w:p>
        </w:tc>
      </w:tr>
    </w:tbl>
    <w:p w14:paraId="2C1190B5">
      <w:pPr>
        <w:pStyle w:val="55"/>
        <w:bidi w:val="0"/>
        <w:rPr>
          <w:rFonts w:hint="default"/>
          <w:color w:val="auto"/>
          <w:lang w:val="en-US" w:eastAsia="zh-CN"/>
        </w:rPr>
      </w:pPr>
      <w:r>
        <w:rPr>
          <w:rFonts w:hint="eastAsia"/>
          <w:color w:val="auto"/>
          <w:lang w:val="en-US" w:eastAsia="zh-CN"/>
        </w:rPr>
        <w:t>3.3.3.5硫平衡</w:t>
      </w:r>
    </w:p>
    <w:p w14:paraId="05D60703">
      <w:pPr>
        <w:pStyle w:val="79"/>
        <w:bidi w:val="0"/>
        <w:rPr>
          <w:rFonts w:hint="eastAsia"/>
          <w:color w:val="auto"/>
        </w:rPr>
      </w:pPr>
      <w:bookmarkStart w:id="420" w:name="OLE_LINK371"/>
      <w:r>
        <w:rPr>
          <w:rFonts w:hint="eastAsia"/>
          <w:color w:val="auto"/>
        </w:rPr>
        <w:t>本工程天然气处理装置处理天然气</w:t>
      </w:r>
      <w:r>
        <w:rPr>
          <w:rFonts w:hint="eastAsia"/>
          <w:color w:val="auto"/>
          <w:lang w:val="en-US" w:eastAsia="zh-CN"/>
        </w:rPr>
        <w:t>8.5</w:t>
      </w:r>
      <w:r>
        <w:rPr>
          <w:rFonts w:hint="eastAsia"/>
          <w:color w:val="auto"/>
        </w:rPr>
        <w:t>×10</w:t>
      </w:r>
      <w:r>
        <w:rPr>
          <w:rFonts w:hint="eastAsia"/>
          <w:color w:val="auto"/>
          <w:vertAlign w:val="superscript"/>
          <w:lang w:val="en-US" w:eastAsia="zh-CN"/>
        </w:rPr>
        <w:t>4</w:t>
      </w:r>
      <w:r>
        <w:rPr>
          <w:rFonts w:hint="eastAsia"/>
          <w:color w:val="auto"/>
        </w:rPr>
        <w:t>m</w:t>
      </w:r>
      <w:r>
        <w:rPr>
          <w:rFonts w:hint="eastAsia"/>
          <w:color w:val="auto"/>
          <w:vertAlign w:val="superscript"/>
        </w:rPr>
        <w:t>3</w:t>
      </w:r>
      <w:r>
        <w:rPr>
          <w:rFonts w:hint="eastAsia"/>
          <w:color w:val="auto"/>
        </w:rPr>
        <w:t>/</w:t>
      </w:r>
      <w:r>
        <w:rPr>
          <w:rFonts w:hint="eastAsia"/>
          <w:color w:val="auto"/>
          <w:lang w:val="en-US" w:eastAsia="zh-CN"/>
        </w:rPr>
        <w:t>d，</w:t>
      </w:r>
      <w:r>
        <w:rPr>
          <w:rFonts w:hint="eastAsia"/>
          <w:color w:val="auto"/>
        </w:rPr>
        <w:t>天然气平均含H</w:t>
      </w:r>
      <w:r>
        <w:rPr>
          <w:rFonts w:hint="eastAsia"/>
          <w:color w:val="auto"/>
          <w:vertAlign w:val="subscript"/>
        </w:rPr>
        <w:t>2</w:t>
      </w:r>
      <w:r>
        <w:rPr>
          <w:rFonts w:hint="eastAsia"/>
          <w:color w:val="auto"/>
        </w:rPr>
        <w:t xml:space="preserve">S </w:t>
      </w:r>
      <w:r>
        <w:rPr>
          <w:rFonts w:hint="eastAsia"/>
          <w:color w:val="auto"/>
          <w:lang w:val="en-US" w:eastAsia="zh-CN"/>
        </w:rPr>
        <w:t>3200</w:t>
      </w:r>
      <w:r>
        <w:rPr>
          <w:rFonts w:hint="eastAsia"/>
          <w:color w:val="auto"/>
        </w:rPr>
        <w:t>mg/m</w:t>
      </w:r>
      <w:r>
        <w:rPr>
          <w:rFonts w:hint="eastAsia"/>
          <w:color w:val="auto"/>
          <w:vertAlign w:val="superscript"/>
        </w:rPr>
        <w:t>3</w:t>
      </w:r>
      <w:r>
        <w:rPr>
          <w:rFonts w:hint="eastAsia"/>
          <w:color w:val="auto"/>
        </w:rPr>
        <w:t xml:space="preserve">，含S </w:t>
      </w:r>
      <w:r>
        <w:rPr>
          <w:rFonts w:hint="eastAsia"/>
          <w:color w:val="auto"/>
          <w:lang w:val="en-US" w:eastAsia="zh-CN"/>
        </w:rPr>
        <w:t>0.272</w:t>
      </w:r>
      <w:r>
        <w:rPr>
          <w:rFonts w:hint="eastAsia"/>
          <w:color w:val="auto"/>
        </w:rPr>
        <w:t>t/</w:t>
      </w:r>
      <w:r>
        <w:rPr>
          <w:rFonts w:hint="eastAsia"/>
          <w:color w:val="auto"/>
          <w:lang w:val="en-US" w:eastAsia="zh-CN"/>
        </w:rPr>
        <w:t>d</w:t>
      </w:r>
      <w:r>
        <w:rPr>
          <w:rFonts w:hint="eastAsia"/>
          <w:color w:val="auto"/>
        </w:rPr>
        <w:t>，</w:t>
      </w:r>
      <w:bookmarkStart w:id="421" w:name="OLE_LINK311"/>
      <w:r>
        <w:rPr>
          <w:rFonts w:hint="eastAsia"/>
          <w:color w:val="auto"/>
        </w:rPr>
        <w:t>净化后天然气</w:t>
      </w:r>
      <w:r>
        <w:rPr>
          <w:rFonts w:hint="eastAsia"/>
          <w:color w:val="auto"/>
          <w:lang w:val="en-US" w:eastAsia="zh-CN"/>
        </w:rPr>
        <w:t>8.38</w:t>
      </w:r>
      <w:r>
        <w:rPr>
          <w:rFonts w:hint="eastAsia"/>
          <w:color w:val="auto"/>
        </w:rPr>
        <w:t>×10</w:t>
      </w:r>
      <w:r>
        <w:rPr>
          <w:rFonts w:hint="eastAsia"/>
          <w:color w:val="auto"/>
          <w:vertAlign w:val="superscript"/>
          <w:lang w:val="en-US" w:eastAsia="zh-CN"/>
        </w:rPr>
        <w:t>4</w:t>
      </w:r>
      <w:r>
        <w:rPr>
          <w:rFonts w:hint="eastAsia"/>
          <w:color w:val="auto"/>
        </w:rPr>
        <w:t>m</w:t>
      </w:r>
      <w:r>
        <w:rPr>
          <w:rFonts w:hint="eastAsia"/>
          <w:color w:val="auto"/>
          <w:vertAlign w:val="superscript"/>
        </w:rPr>
        <w:t>3</w:t>
      </w:r>
      <w:r>
        <w:rPr>
          <w:rFonts w:hint="eastAsia"/>
          <w:color w:val="auto"/>
        </w:rPr>
        <w:t>/</w:t>
      </w:r>
      <w:r>
        <w:rPr>
          <w:rFonts w:hint="eastAsia"/>
          <w:color w:val="auto"/>
          <w:lang w:val="en-US" w:eastAsia="zh-CN"/>
        </w:rPr>
        <w:t>d</w:t>
      </w:r>
      <w:r>
        <w:rPr>
          <w:rFonts w:hint="eastAsia"/>
          <w:color w:val="auto"/>
        </w:rPr>
        <w:t>，</w:t>
      </w:r>
      <w:bookmarkEnd w:id="421"/>
      <w:r>
        <w:rPr>
          <w:rFonts w:hint="eastAsia"/>
          <w:color w:val="auto"/>
        </w:rPr>
        <w:t>总S含量≤</w:t>
      </w:r>
      <w:r>
        <w:rPr>
          <w:rFonts w:hint="eastAsia"/>
          <w:color w:val="auto"/>
          <w:lang w:val="en-US" w:eastAsia="zh-CN"/>
        </w:rPr>
        <w:t>20</w:t>
      </w:r>
      <w:r>
        <w:rPr>
          <w:rFonts w:hint="eastAsia"/>
          <w:color w:val="auto"/>
        </w:rPr>
        <w:t>mg/m</w:t>
      </w:r>
      <w:r>
        <w:rPr>
          <w:rFonts w:hint="eastAsia"/>
          <w:color w:val="auto"/>
          <w:vertAlign w:val="superscript"/>
        </w:rPr>
        <w:t>3</w:t>
      </w:r>
      <w:r>
        <w:rPr>
          <w:rFonts w:hint="eastAsia"/>
          <w:color w:val="auto"/>
        </w:rPr>
        <w:t>，含S</w:t>
      </w:r>
      <w:r>
        <w:rPr>
          <w:rFonts w:hint="eastAsia"/>
          <w:color w:val="auto"/>
          <w:lang w:val="en-US" w:eastAsia="zh-CN"/>
        </w:rPr>
        <w:t xml:space="preserve"> 0.001676</w:t>
      </w:r>
      <w:r>
        <w:rPr>
          <w:rFonts w:hint="eastAsia"/>
          <w:color w:val="auto"/>
        </w:rPr>
        <w:t>t/</w:t>
      </w:r>
      <w:r>
        <w:rPr>
          <w:rFonts w:hint="eastAsia"/>
          <w:color w:val="auto"/>
          <w:lang w:val="en-US" w:eastAsia="zh-CN"/>
        </w:rPr>
        <w:t>d；</w:t>
      </w:r>
      <w:r>
        <w:rPr>
          <w:rFonts w:hint="eastAsia"/>
          <w:color w:val="auto"/>
        </w:rPr>
        <w:t>经“</w:t>
      </w:r>
      <w:r>
        <w:rPr>
          <w:rFonts w:hint="eastAsia"/>
          <w:color w:val="auto"/>
          <w:lang w:val="en-US" w:eastAsia="zh-CN"/>
        </w:rPr>
        <w:t>干法脱硫</w:t>
      </w:r>
      <w:r>
        <w:rPr>
          <w:rFonts w:hint="eastAsia"/>
          <w:color w:val="auto"/>
        </w:rPr>
        <w:t>”处理</w:t>
      </w:r>
      <w:r>
        <w:rPr>
          <w:rFonts w:hint="eastAsia"/>
          <w:color w:val="auto"/>
          <w:lang w:val="en-US" w:eastAsia="zh-CN"/>
        </w:rPr>
        <w:t>后，脱出</w:t>
      </w:r>
      <w:r>
        <w:rPr>
          <w:rFonts w:hint="eastAsia"/>
          <w:color w:val="auto"/>
        </w:rPr>
        <w:t xml:space="preserve">S </w:t>
      </w:r>
      <w:r>
        <w:rPr>
          <w:rFonts w:hint="eastAsia"/>
          <w:color w:val="auto"/>
          <w:lang w:val="en-US" w:eastAsia="zh-CN"/>
        </w:rPr>
        <w:t>0.270324</w:t>
      </w:r>
      <w:r>
        <w:rPr>
          <w:rFonts w:hint="eastAsia"/>
          <w:color w:val="auto"/>
        </w:rPr>
        <w:t>t/</w:t>
      </w:r>
      <w:r>
        <w:rPr>
          <w:rFonts w:hint="eastAsia"/>
          <w:color w:val="auto"/>
          <w:lang w:val="en-US" w:eastAsia="zh-CN"/>
        </w:rPr>
        <w:t>d。</w:t>
      </w:r>
      <w:r>
        <w:rPr>
          <w:rFonts w:hint="eastAsia"/>
          <w:color w:val="auto"/>
        </w:rPr>
        <w:t>本工程S平衡见表</w:t>
      </w:r>
      <w:r>
        <w:rPr>
          <w:rFonts w:hint="eastAsia"/>
          <w:color w:val="auto"/>
          <w:lang w:val="en-US" w:eastAsia="zh-CN"/>
        </w:rPr>
        <w:t>3.3-16</w:t>
      </w:r>
      <w:r>
        <w:rPr>
          <w:rFonts w:hint="eastAsia"/>
          <w:color w:val="auto"/>
        </w:rPr>
        <w:t>。</w:t>
      </w:r>
    </w:p>
    <w:p w14:paraId="488FC946">
      <w:pPr>
        <w:pStyle w:val="61"/>
        <w:bidi w:val="0"/>
        <w:jc w:val="both"/>
        <w:rPr>
          <w:rFonts w:hint="default"/>
          <w:color w:val="auto"/>
          <w:lang w:val="en-US" w:eastAsia="zh-CN"/>
        </w:rPr>
      </w:pPr>
      <w:r>
        <w:rPr>
          <w:rFonts w:hint="eastAsia"/>
          <w:color w:val="auto"/>
          <w:lang w:val="en-US" w:eastAsia="zh-CN"/>
        </w:rPr>
        <w:t>表3.3-16         本工程S平衡表</w:t>
      </w:r>
    </w:p>
    <w:tbl>
      <w:tblPr>
        <w:tblStyle w:val="36"/>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417"/>
        <w:gridCol w:w="2134"/>
        <w:gridCol w:w="2283"/>
      </w:tblGrid>
      <w:tr w14:paraId="15C851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3" w:hRule="atLeast"/>
        </w:trPr>
        <w:tc>
          <w:tcPr>
            <w:tcW w:w="2500" w:type="pct"/>
            <w:tcBorders>
              <w:tl2br w:val="nil"/>
              <w:tr2bl w:val="nil"/>
            </w:tcBorders>
            <w:noWrap w:val="0"/>
            <w:vAlign w:val="bottom"/>
          </w:tcPr>
          <w:p w14:paraId="343AD794">
            <w:pPr>
              <w:adjustRightInd w:val="0"/>
              <w:snapToGrid w:val="0"/>
              <w:jc w:val="center"/>
              <w:rPr>
                <w:bCs/>
                <w:color w:val="auto"/>
                <w:szCs w:val="21"/>
                <w:highlight w:val="none"/>
              </w:rPr>
            </w:pPr>
            <w:r>
              <w:rPr>
                <w:bCs/>
                <w:color w:val="auto"/>
                <w:szCs w:val="21"/>
                <w:highlight w:val="none"/>
              </w:rPr>
              <w:t>进入（t/</w:t>
            </w:r>
            <w:r>
              <w:rPr>
                <w:rFonts w:hint="eastAsia"/>
                <w:bCs/>
                <w:color w:val="auto"/>
                <w:szCs w:val="21"/>
                <w:highlight w:val="none"/>
                <w:lang w:val="en-US" w:eastAsia="zh-CN"/>
              </w:rPr>
              <w:t>d</w:t>
            </w:r>
            <w:r>
              <w:rPr>
                <w:bCs/>
                <w:color w:val="auto"/>
                <w:szCs w:val="21"/>
                <w:highlight w:val="none"/>
              </w:rPr>
              <w:t>）</w:t>
            </w:r>
          </w:p>
        </w:tc>
        <w:tc>
          <w:tcPr>
            <w:tcW w:w="2500" w:type="pct"/>
            <w:gridSpan w:val="2"/>
            <w:tcBorders>
              <w:tl2br w:val="nil"/>
              <w:tr2bl w:val="nil"/>
            </w:tcBorders>
            <w:noWrap w:val="0"/>
            <w:vAlign w:val="bottom"/>
          </w:tcPr>
          <w:p w14:paraId="74865D1A">
            <w:pPr>
              <w:adjustRightInd w:val="0"/>
              <w:snapToGrid w:val="0"/>
              <w:jc w:val="center"/>
              <w:rPr>
                <w:bCs/>
                <w:color w:val="auto"/>
                <w:szCs w:val="21"/>
                <w:highlight w:val="none"/>
              </w:rPr>
            </w:pPr>
            <w:r>
              <w:rPr>
                <w:bCs/>
                <w:color w:val="auto"/>
                <w:szCs w:val="21"/>
                <w:highlight w:val="none"/>
              </w:rPr>
              <w:t>产出（t/</w:t>
            </w:r>
            <w:r>
              <w:rPr>
                <w:rFonts w:hint="eastAsia"/>
                <w:bCs/>
                <w:color w:val="auto"/>
                <w:szCs w:val="21"/>
                <w:highlight w:val="none"/>
                <w:lang w:val="en-US" w:eastAsia="zh-CN"/>
              </w:rPr>
              <w:t>d</w:t>
            </w:r>
            <w:r>
              <w:rPr>
                <w:bCs/>
                <w:color w:val="auto"/>
                <w:szCs w:val="21"/>
                <w:highlight w:val="none"/>
              </w:rPr>
              <w:t>）</w:t>
            </w:r>
          </w:p>
        </w:tc>
      </w:tr>
      <w:tr w14:paraId="5D8714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3" w:hRule="atLeast"/>
        </w:trPr>
        <w:tc>
          <w:tcPr>
            <w:tcW w:w="2500" w:type="pct"/>
            <w:tcBorders>
              <w:tl2br w:val="nil"/>
              <w:tr2bl w:val="nil"/>
            </w:tcBorders>
            <w:noWrap w:val="0"/>
            <w:vAlign w:val="bottom"/>
          </w:tcPr>
          <w:p w14:paraId="21A07DD7">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0.272</w:t>
            </w:r>
          </w:p>
        </w:tc>
        <w:tc>
          <w:tcPr>
            <w:tcW w:w="1208" w:type="pct"/>
            <w:tcBorders>
              <w:tl2br w:val="nil"/>
              <w:tr2bl w:val="nil"/>
            </w:tcBorders>
            <w:noWrap w:val="0"/>
            <w:vAlign w:val="bottom"/>
          </w:tcPr>
          <w:p w14:paraId="24F869EA">
            <w:pPr>
              <w:adjustRightInd w:val="0"/>
              <w:snapToGrid w:val="0"/>
              <w:jc w:val="center"/>
              <w:rPr>
                <w:bCs/>
                <w:color w:val="auto"/>
                <w:szCs w:val="21"/>
                <w:highlight w:val="none"/>
              </w:rPr>
            </w:pPr>
            <w:r>
              <w:rPr>
                <w:bCs/>
                <w:color w:val="auto"/>
                <w:szCs w:val="21"/>
                <w:highlight w:val="none"/>
              </w:rPr>
              <w:t>净化天然气</w:t>
            </w:r>
          </w:p>
        </w:tc>
        <w:tc>
          <w:tcPr>
            <w:tcW w:w="1291" w:type="pct"/>
            <w:tcBorders>
              <w:tl2br w:val="nil"/>
              <w:tr2bl w:val="nil"/>
            </w:tcBorders>
            <w:noWrap w:val="0"/>
            <w:vAlign w:val="bottom"/>
          </w:tcPr>
          <w:p w14:paraId="7A90BE73">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0.001676</w:t>
            </w:r>
          </w:p>
        </w:tc>
      </w:tr>
      <w:tr w14:paraId="2AE10A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3" w:hRule="atLeast"/>
        </w:trPr>
        <w:tc>
          <w:tcPr>
            <w:tcW w:w="2500" w:type="pct"/>
            <w:tcBorders>
              <w:tl2br w:val="nil"/>
              <w:tr2bl w:val="nil"/>
            </w:tcBorders>
            <w:noWrap w:val="0"/>
            <w:vAlign w:val="bottom"/>
          </w:tcPr>
          <w:p w14:paraId="1D0EBD3C">
            <w:pPr>
              <w:adjustRightInd w:val="0"/>
              <w:snapToGrid w:val="0"/>
              <w:jc w:val="center"/>
              <w:rPr>
                <w:bCs/>
                <w:color w:val="auto"/>
                <w:szCs w:val="21"/>
                <w:highlight w:val="none"/>
              </w:rPr>
            </w:pPr>
          </w:p>
        </w:tc>
        <w:tc>
          <w:tcPr>
            <w:tcW w:w="1208" w:type="pct"/>
            <w:tcBorders>
              <w:tl2br w:val="nil"/>
              <w:tr2bl w:val="nil"/>
            </w:tcBorders>
            <w:noWrap w:val="0"/>
            <w:vAlign w:val="bottom"/>
          </w:tcPr>
          <w:p w14:paraId="36D528B4">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硫化铁</w:t>
            </w:r>
          </w:p>
        </w:tc>
        <w:tc>
          <w:tcPr>
            <w:tcW w:w="1291" w:type="pct"/>
            <w:tcBorders>
              <w:tl2br w:val="nil"/>
              <w:tr2bl w:val="nil"/>
            </w:tcBorders>
            <w:noWrap w:val="0"/>
            <w:vAlign w:val="bottom"/>
          </w:tcPr>
          <w:p w14:paraId="7DC9751F">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0.270324</w:t>
            </w:r>
          </w:p>
        </w:tc>
      </w:tr>
      <w:tr w14:paraId="60EC25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3" w:hRule="atLeast"/>
        </w:trPr>
        <w:tc>
          <w:tcPr>
            <w:tcW w:w="2500" w:type="pct"/>
            <w:tcBorders>
              <w:tl2br w:val="nil"/>
              <w:tr2bl w:val="nil"/>
            </w:tcBorders>
            <w:noWrap w:val="0"/>
            <w:vAlign w:val="bottom"/>
          </w:tcPr>
          <w:p w14:paraId="0D69FFE5">
            <w:pPr>
              <w:adjustRightInd w:val="0"/>
              <w:snapToGrid w:val="0"/>
              <w:jc w:val="center"/>
              <w:rPr>
                <w:bCs/>
                <w:color w:val="auto"/>
                <w:szCs w:val="21"/>
                <w:highlight w:val="none"/>
              </w:rPr>
            </w:pPr>
          </w:p>
        </w:tc>
        <w:tc>
          <w:tcPr>
            <w:tcW w:w="1208" w:type="pct"/>
            <w:tcBorders>
              <w:tl2br w:val="nil"/>
              <w:tr2bl w:val="nil"/>
            </w:tcBorders>
            <w:noWrap w:val="0"/>
            <w:vAlign w:val="bottom"/>
          </w:tcPr>
          <w:p w14:paraId="1A304530">
            <w:pPr>
              <w:adjustRightInd w:val="0"/>
              <w:snapToGrid w:val="0"/>
              <w:jc w:val="center"/>
              <w:rPr>
                <w:rFonts w:hint="default"/>
                <w:b w:val="0"/>
                <w:bCs/>
                <w:color w:val="auto"/>
                <w:szCs w:val="21"/>
                <w:highlight w:val="none"/>
                <w:lang w:val="en-US" w:eastAsia="zh-CN"/>
              </w:rPr>
            </w:pPr>
          </w:p>
        </w:tc>
        <w:tc>
          <w:tcPr>
            <w:tcW w:w="1291" w:type="pct"/>
            <w:tcBorders>
              <w:tl2br w:val="nil"/>
              <w:tr2bl w:val="nil"/>
            </w:tcBorders>
            <w:noWrap w:val="0"/>
            <w:vAlign w:val="bottom"/>
          </w:tcPr>
          <w:p w14:paraId="6E0A60D4">
            <w:pPr>
              <w:adjustRightInd w:val="0"/>
              <w:snapToGrid w:val="0"/>
              <w:jc w:val="center"/>
              <w:rPr>
                <w:rFonts w:hint="default"/>
                <w:bCs/>
                <w:color w:val="auto"/>
                <w:szCs w:val="21"/>
                <w:highlight w:val="none"/>
                <w:lang w:val="en-US" w:eastAsia="zh-CN"/>
              </w:rPr>
            </w:pPr>
          </w:p>
        </w:tc>
      </w:tr>
      <w:tr w14:paraId="10937C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3" w:hRule="atLeast"/>
        </w:trPr>
        <w:tc>
          <w:tcPr>
            <w:tcW w:w="2500" w:type="pct"/>
            <w:tcBorders>
              <w:tl2br w:val="nil"/>
              <w:tr2bl w:val="nil"/>
            </w:tcBorders>
            <w:noWrap w:val="0"/>
            <w:vAlign w:val="bottom"/>
          </w:tcPr>
          <w:p w14:paraId="4C558494">
            <w:pPr>
              <w:adjustRightInd w:val="0"/>
              <w:snapToGrid w:val="0"/>
              <w:jc w:val="center"/>
              <w:rPr>
                <w:rFonts w:hint="default" w:eastAsia="宋体"/>
                <w:bCs/>
                <w:color w:val="auto"/>
                <w:szCs w:val="21"/>
                <w:highlight w:val="none"/>
                <w:lang w:val="en-US" w:eastAsia="zh-CN"/>
              </w:rPr>
            </w:pPr>
            <w:r>
              <w:rPr>
                <w:bCs/>
                <w:color w:val="auto"/>
                <w:szCs w:val="21"/>
                <w:highlight w:val="none"/>
              </w:rPr>
              <w:t>合计：</w:t>
            </w:r>
            <w:r>
              <w:rPr>
                <w:rFonts w:hint="eastAsia"/>
                <w:bCs/>
                <w:color w:val="auto"/>
                <w:szCs w:val="21"/>
                <w:highlight w:val="none"/>
                <w:lang w:val="en-US" w:eastAsia="zh-CN"/>
              </w:rPr>
              <w:t>0.272</w:t>
            </w:r>
          </w:p>
        </w:tc>
        <w:tc>
          <w:tcPr>
            <w:tcW w:w="2500" w:type="pct"/>
            <w:gridSpan w:val="2"/>
            <w:tcBorders>
              <w:tl2br w:val="nil"/>
              <w:tr2bl w:val="nil"/>
            </w:tcBorders>
            <w:noWrap w:val="0"/>
            <w:vAlign w:val="bottom"/>
          </w:tcPr>
          <w:p w14:paraId="354585B7">
            <w:pPr>
              <w:adjustRightInd w:val="0"/>
              <w:snapToGrid w:val="0"/>
              <w:jc w:val="center"/>
              <w:rPr>
                <w:rFonts w:hint="default" w:eastAsia="宋体"/>
                <w:bCs/>
                <w:color w:val="auto"/>
                <w:szCs w:val="21"/>
                <w:highlight w:val="none"/>
                <w:lang w:val="en-US" w:eastAsia="zh-CN"/>
              </w:rPr>
            </w:pPr>
            <w:r>
              <w:rPr>
                <w:bCs/>
                <w:color w:val="auto"/>
                <w:szCs w:val="21"/>
                <w:highlight w:val="none"/>
              </w:rPr>
              <w:t>合计：</w:t>
            </w:r>
            <w:r>
              <w:rPr>
                <w:rFonts w:hint="eastAsia"/>
                <w:bCs/>
                <w:color w:val="auto"/>
                <w:szCs w:val="21"/>
                <w:highlight w:val="none"/>
                <w:lang w:val="en-US" w:eastAsia="zh-CN"/>
              </w:rPr>
              <w:t>0.272</w:t>
            </w:r>
          </w:p>
        </w:tc>
      </w:tr>
      <w:bookmarkEnd w:id="420"/>
    </w:tbl>
    <w:p w14:paraId="2AF95F47">
      <w:pPr>
        <w:pStyle w:val="55"/>
        <w:bidi w:val="0"/>
        <w:rPr>
          <w:rFonts w:hint="default"/>
          <w:color w:val="auto"/>
          <w:lang w:val="en-US" w:eastAsia="zh-CN"/>
        </w:rPr>
      </w:pPr>
      <w:r>
        <w:rPr>
          <w:rFonts w:hint="default"/>
          <w:color w:val="auto"/>
          <w:lang w:val="en-US" w:eastAsia="zh-CN"/>
        </w:rPr>
        <w:t>3.</w:t>
      </w:r>
      <w:r>
        <w:rPr>
          <w:rFonts w:hint="eastAsia"/>
          <w:color w:val="auto"/>
          <w:lang w:val="en-US" w:eastAsia="zh-CN"/>
        </w:rPr>
        <w:t xml:space="preserve">3.3.6 </w:t>
      </w:r>
      <w:r>
        <w:rPr>
          <w:rFonts w:hint="default"/>
          <w:color w:val="auto"/>
          <w:lang w:val="en-US" w:eastAsia="zh-CN"/>
        </w:rPr>
        <w:t>运营期污染物排放情况汇总</w:t>
      </w:r>
      <w:bookmarkEnd w:id="419"/>
    </w:p>
    <w:p w14:paraId="4E45582D">
      <w:pPr>
        <w:pStyle w:val="79"/>
        <w:bidi w:val="0"/>
        <w:rPr>
          <w:rFonts w:hint="default"/>
          <w:color w:val="auto"/>
        </w:rPr>
      </w:pPr>
      <w:r>
        <w:rPr>
          <w:rFonts w:hint="default"/>
          <w:color w:val="auto"/>
        </w:rPr>
        <w:t>本工程运营期三废排放状况</w:t>
      </w:r>
      <w:r>
        <w:rPr>
          <w:rFonts w:hint="eastAsia"/>
          <w:color w:val="auto"/>
          <w:lang w:eastAsia="zh-CN"/>
        </w:rPr>
        <w:t>，</w:t>
      </w:r>
      <w:r>
        <w:rPr>
          <w:rFonts w:hint="default"/>
          <w:color w:val="auto"/>
        </w:rPr>
        <w:t>见表</w:t>
      </w:r>
      <w:r>
        <w:rPr>
          <w:rFonts w:hint="eastAsia"/>
          <w:color w:val="auto"/>
          <w:lang w:val="en-US" w:eastAsia="zh-CN"/>
        </w:rPr>
        <w:t>3.3-17</w:t>
      </w:r>
      <w:r>
        <w:rPr>
          <w:rFonts w:hint="default"/>
          <w:color w:val="auto"/>
        </w:rPr>
        <w:t>。</w:t>
      </w:r>
    </w:p>
    <w:p w14:paraId="2DDEE7F8">
      <w:pPr>
        <w:pStyle w:val="61"/>
        <w:bidi w:val="0"/>
        <w:jc w:val="both"/>
        <w:rPr>
          <w:rFonts w:hint="default"/>
          <w:color w:val="auto"/>
          <w:lang w:val="en-US" w:eastAsia="zh-CN"/>
        </w:rPr>
      </w:pPr>
      <w:r>
        <w:rPr>
          <w:rFonts w:hint="default"/>
          <w:color w:val="auto"/>
          <w:lang w:val="en-US" w:eastAsia="zh-CN"/>
        </w:rPr>
        <w:t>表</w:t>
      </w:r>
      <w:r>
        <w:rPr>
          <w:rFonts w:hint="eastAsia"/>
          <w:color w:val="auto"/>
          <w:lang w:val="en-US" w:eastAsia="zh-CN"/>
        </w:rPr>
        <w:t>3.3-17</w:t>
      </w:r>
      <w:r>
        <w:rPr>
          <w:rFonts w:hint="default"/>
          <w:color w:val="auto"/>
          <w:lang w:val="en-US" w:eastAsia="zh-CN"/>
        </w:rPr>
        <w:t xml:space="preserve">      运营期污染物排放汇总</w:t>
      </w:r>
    </w:p>
    <w:tbl>
      <w:tblPr>
        <w:tblStyle w:val="36"/>
        <w:tblW w:w="499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0"/>
        <w:gridCol w:w="1632"/>
        <w:gridCol w:w="1276"/>
        <w:gridCol w:w="1184"/>
        <w:gridCol w:w="1057"/>
        <w:gridCol w:w="3041"/>
      </w:tblGrid>
      <w:tr w14:paraId="3A99BE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62" w:type="pct"/>
            <w:tcBorders>
              <w:tl2br w:val="nil"/>
              <w:tr2bl w:val="nil"/>
            </w:tcBorders>
            <w:vAlign w:val="center"/>
          </w:tcPr>
          <w:p w14:paraId="1BBEFB4E">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类别</w:t>
            </w:r>
          </w:p>
        </w:tc>
        <w:tc>
          <w:tcPr>
            <w:tcW w:w="924" w:type="pct"/>
            <w:tcBorders>
              <w:tl2br w:val="nil"/>
              <w:tr2bl w:val="nil"/>
            </w:tcBorders>
            <w:vAlign w:val="center"/>
          </w:tcPr>
          <w:p w14:paraId="4C7789F7">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污染源</w:t>
            </w:r>
          </w:p>
        </w:tc>
        <w:tc>
          <w:tcPr>
            <w:tcW w:w="722" w:type="pct"/>
            <w:tcBorders>
              <w:tl2br w:val="nil"/>
              <w:tr2bl w:val="nil"/>
            </w:tcBorders>
            <w:vAlign w:val="center"/>
          </w:tcPr>
          <w:p w14:paraId="6541ADE4">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主要污染物</w:t>
            </w:r>
          </w:p>
        </w:tc>
        <w:tc>
          <w:tcPr>
            <w:tcW w:w="670" w:type="pct"/>
            <w:tcBorders>
              <w:tl2br w:val="nil"/>
              <w:tr2bl w:val="nil"/>
            </w:tcBorders>
            <w:vAlign w:val="center"/>
          </w:tcPr>
          <w:p w14:paraId="7D60DD6C">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产生量 </w:t>
            </w:r>
          </w:p>
        </w:tc>
        <w:tc>
          <w:tcPr>
            <w:tcW w:w="598" w:type="pct"/>
            <w:tcBorders>
              <w:tl2br w:val="nil"/>
              <w:tr2bl w:val="nil"/>
            </w:tcBorders>
            <w:vAlign w:val="center"/>
          </w:tcPr>
          <w:p w14:paraId="199D8B96">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排放量</w:t>
            </w:r>
          </w:p>
        </w:tc>
        <w:tc>
          <w:tcPr>
            <w:tcW w:w="1721" w:type="pct"/>
            <w:tcBorders>
              <w:tl2br w:val="nil"/>
              <w:tr2bl w:val="nil"/>
            </w:tcBorders>
            <w:vAlign w:val="center"/>
          </w:tcPr>
          <w:p w14:paraId="69814825">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排放去向</w:t>
            </w:r>
          </w:p>
        </w:tc>
      </w:tr>
      <w:tr w14:paraId="00C04C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0" w:hRule="atLeast"/>
        </w:trPr>
        <w:tc>
          <w:tcPr>
            <w:tcW w:w="362" w:type="pct"/>
            <w:vMerge w:val="restart"/>
            <w:tcBorders>
              <w:tl2br w:val="nil"/>
              <w:tr2bl w:val="nil"/>
            </w:tcBorders>
            <w:vAlign w:val="center"/>
          </w:tcPr>
          <w:p w14:paraId="152F60A4">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废水</w:t>
            </w:r>
          </w:p>
        </w:tc>
        <w:tc>
          <w:tcPr>
            <w:tcW w:w="924" w:type="pct"/>
            <w:tcBorders>
              <w:tl2br w:val="nil"/>
              <w:tr2bl w:val="nil"/>
            </w:tcBorders>
            <w:vAlign w:val="center"/>
          </w:tcPr>
          <w:p w14:paraId="2A6E71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生活污水</w:t>
            </w:r>
          </w:p>
        </w:tc>
        <w:tc>
          <w:tcPr>
            <w:tcW w:w="722" w:type="pct"/>
            <w:tcBorders>
              <w:tl2br w:val="nil"/>
              <w:tr2bl w:val="nil"/>
            </w:tcBorders>
            <w:vAlign w:val="center"/>
          </w:tcPr>
          <w:p w14:paraId="739FB73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SS、COD、BOD</w:t>
            </w:r>
            <w:r>
              <w:rPr>
                <w:rFonts w:hint="eastAsia" w:cs="Times New Roman"/>
                <w:color w:val="auto"/>
                <w:szCs w:val="21"/>
                <w:highlight w:val="none"/>
                <w:vertAlign w:val="subscript"/>
                <w:lang w:val="en-US" w:eastAsia="zh-CN"/>
              </w:rPr>
              <w:t>5</w:t>
            </w:r>
            <w:r>
              <w:rPr>
                <w:rFonts w:hint="eastAsia" w:cs="Times New Roman"/>
                <w:color w:val="auto"/>
                <w:szCs w:val="21"/>
                <w:highlight w:val="none"/>
                <w:lang w:val="en-US" w:eastAsia="zh-CN"/>
              </w:rPr>
              <w:t>等</w:t>
            </w:r>
          </w:p>
        </w:tc>
        <w:tc>
          <w:tcPr>
            <w:tcW w:w="670" w:type="pct"/>
            <w:tcBorders>
              <w:tl2br w:val="nil"/>
              <w:tr2bl w:val="nil"/>
            </w:tcBorders>
            <w:vAlign w:val="center"/>
          </w:tcPr>
          <w:p w14:paraId="47B3B036">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162</w:t>
            </w:r>
          </w:p>
          <w:p w14:paraId="4065F09C">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ascii="Times New Roman" w:hAnsi="Times New Roman" w:eastAsia="宋体" w:cs="Times New Roman"/>
                <w:color w:val="auto"/>
                <w:kern w:val="2"/>
                <w:sz w:val="21"/>
                <w:highlight w:val="none"/>
                <w:lang w:val="en-US" w:eastAsia="zh-CN" w:bidi="ar-SA"/>
              </w:rPr>
            </w:pPr>
            <w:r>
              <w:rPr>
                <w:rFonts w:hint="eastAsia" w:cs="Times New Roman"/>
                <w:color w:val="auto"/>
                <w:highlight w:val="none"/>
                <w:lang w:val="en-US" w:eastAsia="zh-CN"/>
              </w:rPr>
              <w:t>m</w:t>
            </w:r>
            <w:r>
              <w:rPr>
                <w:rFonts w:hint="eastAsia" w:cs="Times New Roman"/>
                <w:color w:val="auto"/>
                <w:highlight w:val="none"/>
                <w:vertAlign w:val="superscript"/>
                <w:lang w:val="en-US" w:eastAsia="zh-CN"/>
              </w:rPr>
              <w:t>3</w:t>
            </w:r>
            <w:r>
              <w:rPr>
                <w:rFonts w:hint="eastAsia" w:cs="Times New Roman"/>
                <w:color w:val="auto"/>
                <w:highlight w:val="none"/>
                <w:lang w:val="en-US" w:eastAsia="zh-CN"/>
              </w:rPr>
              <w:t>/a</w:t>
            </w:r>
          </w:p>
        </w:tc>
        <w:tc>
          <w:tcPr>
            <w:tcW w:w="598" w:type="pct"/>
            <w:tcBorders>
              <w:tl2br w:val="nil"/>
              <w:tr2bl w:val="nil"/>
            </w:tcBorders>
            <w:vAlign w:val="center"/>
          </w:tcPr>
          <w:p w14:paraId="2EE04F00">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145.8</w:t>
            </w:r>
          </w:p>
          <w:p w14:paraId="247773FE">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eastAsia" w:ascii="Times New Roman" w:hAnsi="Times New Roman" w:eastAsia="宋体" w:cs="Times New Roman"/>
                <w:color w:val="auto"/>
                <w:kern w:val="2"/>
                <w:sz w:val="21"/>
                <w:highlight w:val="none"/>
                <w:lang w:val="en-US" w:eastAsia="zh-CN" w:bidi="ar-SA"/>
              </w:rPr>
            </w:pPr>
            <w:r>
              <w:rPr>
                <w:rFonts w:hint="eastAsia" w:cs="Times New Roman"/>
                <w:color w:val="auto"/>
                <w:highlight w:val="none"/>
                <w:lang w:val="en-US" w:eastAsia="zh-CN"/>
              </w:rPr>
              <w:t>m</w:t>
            </w:r>
            <w:r>
              <w:rPr>
                <w:rFonts w:hint="eastAsia" w:cs="Times New Roman"/>
                <w:color w:val="auto"/>
                <w:highlight w:val="none"/>
                <w:vertAlign w:val="superscript"/>
                <w:lang w:val="en-US" w:eastAsia="zh-CN"/>
              </w:rPr>
              <w:t>3</w:t>
            </w:r>
            <w:r>
              <w:rPr>
                <w:rFonts w:hint="eastAsia" w:cs="Times New Roman"/>
                <w:color w:val="auto"/>
                <w:highlight w:val="none"/>
                <w:lang w:val="en-US" w:eastAsia="zh-CN"/>
              </w:rPr>
              <w:t>/a</w:t>
            </w:r>
          </w:p>
        </w:tc>
        <w:tc>
          <w:tcPr>
            <w:tcW w:w="1721" w:type="pct"/>
            <w:tcBorders>
              <w:tl2br w:val="nil"/>
              <w:tr2bl w:val="nil"/>
            </w:tcBorders>
            <w:vAlign w:val="center"/>
          </w:tcPr>
          <w:p w14:paraId="0D2430C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生活污水暂存于生活污水池，定期由罐车拉运至英买力作业区生活污水处理装置处置</w:t>
            </w:r>
          </w:p>
        </w:tc>
      </w:tr>
      <w:tr w14:paraId="392816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0" w:hRule="atLeast"/>
        </w:trPr>
        <w:tc>
          <w:tcPr>
            <w:tcW w:w="362" w:type="pct"/>
            <w:vMerge w:val="continue"/>
            <w:tcBorders>
              <w:tl2br w:val="nil"/>
              <w:tr2bl w:val="nil"/>
            </w:tcBorders>
            <w:vAlign w:val="center"/>
          </w:tcPr>
          <w:p w14:paraId="2A3E72E9">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eastAsia" w:cs="Times New Roman"/>
                <w:color w:val="auto"/>
                <w:szCs w:val="21"/>
                <w:highlight w:val="none"/>
                <w:lang w:val="en-US" w:eastAsia="zh-CN"/>
              </w:rPr>
            </w:pPr>
          </w:p>
        </w:tc>
        <w:tc>
          <w:tcPr>
            <w:tcW w:w="924" w:type="pct"/>
            <w:vMerge w:val="restart"/>
            <w:tcBorders>
              <w:tl2br w:val="nil"/>
              <w:tr2bl w:val="nil"/>
            </w:tcBorders>
            <w:vAlign w:val="center"/>
          </w:tcPr>
          <w:p w14:paraId="018601A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井下作业废水</w:t>
            </w:r>
          </w:p>
        </w:tc>
        <w:tc>
          <w:tcPr>
            <w:tcW w:w="722" w:type="pct"/>
            <w:tcBorders>
              <w:tl2br w:val="nil"/>
              <w:tr2bl w:val="nil"/>
            </w:tcBorders>
            <w:vAlign w:val="center"/>
          </w:tcPr>
          <w:p w14:paraId="3F333F3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井下作业废水</w:t>
            </w:r>
          </w:p>
        </w:tc>
        <w:tc>
          <w:tcPr>
            <w:tcW w:w="670" w:type="pct"/>
            <w:tcBorders>
              <w:tl2br w:val="nil"/>
              <w:tr2bl w:val="nil"/>
            </w:tcBorders>
            <w:vAlign w:val="center"/>
          </w:tcPr>
          <w:p w14:paraId="44841328">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81.39t</w:t>
            </w:r>
          </w:p>
        </w:tc>
        <w:tc>
          <w:tcPr>
            <w:tcW w:w="598" w:type="pct"/>
            <w:tcBorders>
              <w:tl2br w:val="nil"/>
              <w:tr2bl w:val="nil"/>
            </w:tcBorders>
            <w:vAlign w:val="center"/>
          </w:tcPr>
          <w:p w14:paraId="520BD024">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0</w:t>
            </w:r>
          </w:p>
        </w:tc>
        <w:tc>
          <w:tcPr>
            <w:tcW w:w="1721" w:type="pct"/>
            <w:vMerge w:val="restart"/>
            <w:tcBorders>
              <w:tl2br w:val="nil"/>
              <w:tr2bl w:val="nil"/>
            </w:tcBorders>
            <w:vAlign w:val="center"/>
          </w:tcPr>
          <w:p w14:paraId="00879F3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井下作业废水自带回收罐回收作业废水，拉运至英买力油田钻试修废弃物环保处理站处理</w:t>
            </w:r>
          </w:p>
        </w:tc>
      </w:tr>
      <w:tr w14:paraId="671D1A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trPr>
        <w:tc>
          <w:tcPr>
            <w:tcW w:w="362" w:type="pct"/>
            <w:vMerge w:val="continue"/>
            <w:tcBorders>
              <w:tl2br w:val="nil"/>
              <w:tr2bl w:val="nil"/>
            </w:tcBorders>
            <w:vAlign w:val="center"/>
          </w:tcPr>
          <w:p w14:paraId="66EF42B4">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eastAsia" w:cs="Times New Roman"/>
                <w:color w:val="auto"/>
                <w:szCs w:val="21"/>
                <w:highlight w:val="none"/>
                <w:lang w:val="en-US" w:eastAsia="zh-CN"/>
              </w:rPr>
            </w:pPr>
          </w:p>
        </w:tc>
        <w:tc>
          <w:tcPr>
            <w:tcW w:w="924" w:type="pct"/>
            <w:vMerge w:val="continue"/>
            <w:tcBorders>
              <w:tl2br w:val="nil"/>
              <w:tr2bl w:val="nil"/>
            </w:tcBorders>
            <w:vAlign w:val="center"/>
          </w:tcPr>
          <w:p w14:paraId="1B4E829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s="Times New Roman"/>
                <w:color w:val="auto"/>
                <w:szCs w:val="21"/>
                <w:highlight w:val="none"/>
                <w:lang w:val="en-US" w:eastAsia="zh-CN"/>
              </w:rPr>
            </w:pPr>
          </w:p>
        </w:tc>
        <w:tc>
          <w:tcPr>
            <w:tcW w:w="722" w:type="pct"/>
            <w:tcBorders>
              <w:tl2br w:val="nil"/>
              <w:tr2bl w:val="nil"/>
            </w:tcBorders>
            <w:vAlign w:val="center"/>
          </w:tcPr>
          <w:p w14:paraId="30194DF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s="Times New Roman"/>
                <w:color w:val="auto"/>
                <w:szCs w:val="21"/>
                <w:highlight w:val="none"/>
                <w:lang w:val="en-US" w:eastAsia="zh-CN"/>
              </w:rPr>
            </w:pPr>
            <w:r>
              <w:rPr>
                <w:rFonts w:hint="eastAsia" w:cs="Times New Roman"/>
                <w:color w:val="auto"/>
                <w:szCs w:val="21"/>
                <w:highlight w:val="none"/>
                <w:lang w:val="en-US" w:eastAsia="zh-CN"/>
              </w:rPr>
              <w:t>COD</w:t>
            </w:r>
          </w:p>
        </w:tc>
        <w:tc>
          <w:tcPr>
            <w:tcW w:w="670" w:type="pct"/>
            <w:tcBorders>
              <w:tl2br w:val="nil"/>
              <w:tr2bl w:val="nil"/>
            </w:tcBorders>
            <w:vAlign w:val="center"/>
          </w:tcPr>
          <w:p w14:paraId="05D7639B">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0.104t/a</w:t>
            </w:r>
          </w:p>
        </w:tc>
        <w:tc>
          <w:tcPr>
            <w:tcW w:w="598" w:type="pct"/>
            <w:tcBorders>
              <w:tl2br w:val="nil"/>
              <w:tr2bl w:val="nil"/>
            </w:tcBorders>
            <w:vAlign w:val="center"/>
          </w:tcPr>
          <w:p w14:paraId="286025D6">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w:t>
            </w:r>
          </w:p>
        </w:tc>
        <w:tc>
          <w:tcPr>
            <w:tcW w:w="1721" w:type="pct"/>
            <w:vMerge w:val="continue"/>
            <w:tcBorders>
              <w:tl2br w:val="nil"/>
              <w:tr2bl w:val="nil"/>
            </w:tcBorders>
            <w:vAlign w:val="center"/>
          </w:tcPr>
          <w:p w14:paraId="0223C865">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ascii="Times New Roman" w:hAnsi="Times New Roman" w:cs="Times New Roman"/>
                <w:color w:val="auto"/>
                <w:szCs w:val="21"/>
                <w:highlight w:val="none"/>
              </w:rPr>
            </w:pPr>
          </w:p>
        </w:tc>
      </w:tr>
      <w:tr w14:paraId="641AED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 w:hRule="atLeast"/>
        </w:trPr>
        <w:tc>
          <w:tcPr>
            <w:tcW w:w="362" w:type="pct"/>
            <w:vMerge w:val="continue"/>
            <w:tcBorders>
              <w:tl2br w:val="nil"/>
              <w:tr2bl w:val="nil"/>
            </w:tcBorders>
            <w:vAlign w:val="center"/>
          </w:tcPr>
          <w:p w14:paraId="6A79C06F">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eastAsia" w:cs="Times New Roman"/>
                <w:color w:val="auto"/>
                <w:szCs w:val="21"/>
                <w:highlight w:val="none"/>
                <w:lang w:val="en-US" w:eastAsia="zh-CN"/>
              </w:rPr>
            </w:pPr>
          </w:p>
        </w:tc>
        <w:tc>
          <w:tcPr>
            <w:tcW w:w="924" w:type="pct"/>
            <w:vMerge w:val="continue"/>
            <w:tcBorders>
              <w:tl2br w:val="nil"/>
              <w:tr2bl w:val="nil"/>
            </w:tcBorders>
            <w:vAlign w:val="center"/>
          </w:tcPr>
          <w:p w14:paraId="5D30DE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s="Times New Roman"/>
                <w:color w:val="auto"/>
                <w:szCs w:val="21"/>
                <w:highlight w:val="none"/>
                <w:lang w:val="en-US" w:eastAsia="zh-CN"/>
              </w:rPr>
            </w:pPr>
          </w:p>
        </w:tc>
        <w:tc>
          <w:tcPr>
            <w:tcW w:w="722" w:type="pct"/>
            <w:tcBorders>
              <w:tl2br w:val="nil"/>
              <w:tr2bl w:val="nil"/>
            </w:tcBorders>
            <w:vAlign w:val="center"/>
          </w:tcPr>
          <w:p w14:paraId="0B3D6A4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s="Times New Roman"/>
                <w:color w:val="auto"/>
                <w:szCs w:val="21"/>
                <w:highlight w:val="none"/>
                <w:lang w:val="en-US" w:eastAsia="zh-CN"/>
              </w:rPr>
            </w:pPr>
            <w:r>
              <w:rPr>
                <w:rFonts w:hint="eastAsia" w:cs="Times New Roman"/>
                <w:color w:val="auto"/>
                <w:szCs w:val="21"/>
                <w:highlight w:val="none"/>
                <w:lang w:val="en-US" w:eastAsia="zh-CN"/>
              </w:rPr>
              <w:t>石油类</w:t>
            </w:r>
          </w:p>
        </w:tc>
        <w:tc>
          <w:tcPr>
            <w:tcW w:w="670" w:type="pct"/>
            <w:tcBorders>
              <w:tl2br w:val="nil"/>
              <w:tr2bl w:val="nil"/>
            </w:tcBorders>
            <w:vAlign w:val="center"/>
          </w:tcPr>
          <w:p w14:paraId="39A11CD7">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0.01</w:t>
            </w:r>
            <w:bookmarkStart w:id="422" w:name="OLE_LINK132"/>
            <w:r>
              <w:rPr>
                <w:rFonts w:hint="eastAsia" w:cs="Times New Roman"/>
                <w:color w:val="auto"/>
                <w:highlight w:val="none"/>
                <w:lang w:val="en-US" w:eastAsia="zh-CN"/>
              </w:rPr>
              <w:t>8</w:t>
            </w:r>
            <w:bookmarkStart w:id="423" w:name="OLE_LINK133"/>
            <w:r>
              <w:rPr>
                <w:rFonts w:hint="eastAsia" w:cs="Times New Roman"/>
                <w:color w:val="auto"/>
                <w:highlight w:val="none"/>
                <w:lang w:val="en-US" w:eastAsia="zh-CN"/>
              </w:rPr>
              <w:t>t/a</w:t>
            </w:r>
            <w:bookmarkEnd w:id="422"/>
            <w:bookmarkEnd w:id="423"/>
          </w:p>
        </w:tc>
        <w:tc>
          <w:tcPr>
            <w:tcW w:w="598" w:type="pct"/>
            <w:tcBorders>
              <w:tl2br w:val="nil"/>
              <w:tr2bl w:val="nil"/>
            </w:tcBorders>
            <w:vAlign w:val="center"/>
          </w:tcPr>
          <w:p w14:paraId="65B7CA70">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w:t>
            </w:r>
          </w:p>
        </w:tc>
        <w:tc>
          <w:tcPr>
            <w:tcW w:w="1721" w:type="pct"/>
            <w:vMerge w:val="continue"/>
            <w:tcBorders>
              <w:tl2br w:val="nil"/>
              <w:tr2bl w:val="nil"/>
            </w:tcBorders>
            <w:vAlign w:val="center"/>
          </w:tcPr>
          <w:p w14:paraId="48FF4472">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ascii="Times New Roman" w:hAnsi="Times New Roman" w:cs="Times New Roman"/>
                <w:color w:val="auto"/>
                <w:szCs w:val="21"/>
                <w:highlight w:val="none"/>
              </w:rPr>
            </w:pPr>
          </w:p>
        </w:tc>
      </w:tr>
      <w:tr w14:paraId="115CCE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0" w:hRule="atLeast"/>
        </w:trPr>
        <w:tc>
          <w:tcPr>
            <w:tcW w:w="362" w:type="pct"/>
            <w:vMerge w:val="restart"/>
            <w:tcBorders>
              <w:tl2br w:val="nil"/>
              <w:tr2bl w:val="nil"/>
            </w:tcBorders>
            <w:vAlign w:val="center"/>
          </w:tcPr>
          <w:p w14:paraId="1515C812">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ascii="Times New Roman" w:hAnsi="Times New Roman" w:cs="Times New Roman"/>
                <w:color w:val="auto"/>
                <w:szCs w:val="21"/>
                <w:highlight w:val="none"/>
              </w:rPr>
            </w:pPr>
            <w:bookmarkStart w:id="424" w:name="OLE_LINK156" w:colFirst="1" w:colLast="1"/>
            <w:bookmarkStart w:id="425" w:name="OLE_LINK139" w:colFirst="1" w:colLast="5"/>
            <w:bookmarkStart w:id="426" w:name="OLE_LINK134" w:colFirst="2" w:colLast="4"/>
            <w:bookmarkStart w:id="427" w:name="OLE_LINK126" w:colFirst="0" w:colLast="5"/>
            <w:bookmarkStart w:id="428" w:name="OLE_LINK125" w:colFirst="2" w:colLast="4"/>
            <w:r>
              <w:rPr>
                <w:rFonts w:hint="default" w:ascii="Times New Roman" w:hAnsi="Times New Roman" w:cs="Times New Roman"/>
                <w:color w:val="auto"/>
                <w:szCs w:val="21"/>
                <w:highlight w:val="none"/>
              </w:rPr>
              <w:t>废气</w:t>
            </w:r>
          </w:p>
        </w:tc>
        <w:tc>
          <w:tcPr>
            <w:tcW w:w="924" w:type="pct"/>
            <w:vMerge w:val="restart"/>
            <w:tcBorders>
              <w:tl2br w:val="nil"/>
              <w:tr2bl w:val="nil"/>
            </w:tcBorders>
            <w:vAlign w:val="center"/>
          </w:tcPr>
          <w:p w14:paraId="7E77E91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Cs w:val="21"/>
                <w:highlight w:val="none"/>
                <w:lang w:val="en-US" w:eastAsia="zh-CN"/>
              </w:rPr>
            </w:pPr>
            <w:bookmarkStart w:id="429" w:name="OLE_LINK157"/>
            <w:r>
              <w:rPr>
                <w:rFonts w:hint="eastAsia" w:cs="Times New Roman"/>
                <w:color w:val="auto"/>
                <w:szCs w:val="21"/>
                <w:highlight w:val="none"/>
                <w:lang w:val="en-US" w:eastAsia="zh-CN"/>
              </w:rPr>
              <w:t>加热炉燃烧废气（有组织排放）</w:t>
            </w:r>
            <w:bookmarkEnd w:id="429"/>
          </w:p>
        </w:tc>
        <w:tc>
          <w:tcPr>
            <w:tcW w:w="722" w:type="pct"/>
            <w:tcBorders>
              <w:tl2br w:val="nil"/>
              <w:tr2bl w:val="nil"/>
            </w:tcBorders>
            <w:vAlign w:val="center"/>
          </w:tcPr>
          <w:p w14:paraId="0C57159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颗粒物</w:t>
            </w:r>
          </w:p>
        </w:tc>
        <w:tc>
          <w:tcPr>
            <w:tcW w:w="670" w:type="pct"/>
            <w:tcBorders>
              <w:tl2br w:val="nil"/>
              <w:tr2bl w:val="nil"/>
            </w:tcBorders>
            <w:vAlign w:val="center"/>
          </w:tcPr>
          <w:p w14:paraId="7748925C">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eastAsia" w:cs="Times New Roman"/>
                <w:color w:val="auto"/>
                <w:highlight w:val="none"/>
                <w:lang w:val="en-US" w:eastAsia="zh-CN"/>
              </w:rPr>
            </w:pPr>
            <w:r>
              <w:rPr>
                <w:rFonts w:hint="eastAsia" w:cs="Times New Roman"/>
                <w:color w:val="auto"/>
                <w:sz w:val="21"/>
                <w:highlight w:val="none"/>
                <w:lang w:val="en-US" w:eastAsia="zh-CN"/>
              </w:rPr>
              <w:t>0.021</w:t>
            </w:r>
            <w:r>
              <w:rPr>
                <w:rFonts w:hint="eastAsia" w:cs="Times New Roman"/>
                <w:color w:val="auto"/>
                <w:highlight w:val="none"/>
                <w:lang w:val="en-US" w:eastAsia="zh-CN"/>
              </w:rPr>
              <w:t>t/a</w:t>
            </w:r>
          </w:p>
        </w:tc>
        <w:tc>
          <w:tcPr>
            <w:tcW w:w="598" w:type="pct"/>
            <w:tcBorders>
              <w:tl2br w:val="nil"/>
              <w:tr2bl w:val="nil"/>
            </w:tcBorders>
            <w:vAlign w:val="center"/>
          </w:tcPr>
          <w:p w14:paraId="36F2A841">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eastAsia" w:ascii="Times New Roman" w:hAnsi="Times New Roman" w:eastAsia="宋体" w:cs="Times New Roman"/>
                <w:color w:val="auto"/>
                <w:kern w:val="2"/>
                <w:sz w:val="21"/>
                <w:highlight w:val="none"/>
                <w:lang w:val="en-US" w:eastAsia="zh-CN" w:bidi="ar-SA"/>
              </w:rPr>
            </w:pPr>
            <w:r>
              <w:rPr>
                <w:rFonts w:hint="eastAsia" w:cs="Times New Roman"/>
                <w:color w:val="auto"/>
                <w:sz w:val="21"/>
                <w:highlight w:val="none"/>
                <w:lang w:val="en-US" w:eastAsia="zh-CN"/>
              </w:rPr>
              <w:t>0.021</w:t>
            </w:r>
            <w:r>
              <w:rPr>
                <w:rFonts w:hint="eastAsia" w:cs="Times New Roman"/>
                <w:color w:val="auto"/>
                <w:highlight w:val="none"/>
                <w:lang w:val="en-US" w:eastAsia="zh-CN"/>
              </w:rPr>
              <w:t>t/a</w:t>
            </w:r>
          </w:p>
        </w:tc>
        <w:tc>
          <w:tcPr>
            <w:tcW w:w="1721" w:type="pct"/>
            <w:vMerge w:val="restart"/>
            <w:tcBorders>
              <w:tl2br w:val="nil"/>
              <w:tr2bl w:val="nil"/>
            </w:tcBorders>
            <w:vAlign w:val="center"/>
          </w:tcPr>
          <w:p w14:paraId="043AE9F5">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eastAsia" w:ascii="Times New Roman" w:hAnsi="Times New Roman" w:eastAsia="宋体" w:cs="Times New Roman"/>
                <w:color w:val="auto"/>
                <w:szCs w:val="21"/>
                <w:highlight w:val="none"/>
                <w:lang w:val="en-US" w:eastAsia="zh-CN"/>
              </w:rPr>
            </w:pPr>
            <w:bookmarkStart w:id="430" w:name="OLE_LINK163"/>
            <w:r>
              <w:rPr>
                <w:rFonts w:hint="eastAsia"/>
                <w:color w:val="auto"/>
              </w:rPr>
              <w:t>采</w:t>
            </w:r>
            <w:bookmarkStart w:id="431" w:name="OLE_LINK158"/>
            <w:r>
              <w:rPr>
                <w:rFonts w:hint="eastAsia"/>
                <w:color w:val="auto"/>
              </w:rPr>
              <w:t>用清洁燃料，经过8m高的排气筒排入大气</w:t>
            </w:r>
            <w:bookmarkEnd w:id="430"/>
            <w:bookmarkEnd w:id="431"/>
          </w:p>
        </w:tc>
      </w:tr>
      <w:bookmarkEnd w:id="424"/>
      <w:bookmarkEnd w:id="425"/>
      <w:tr w14:paraId="3A90AF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0" w:hRule="atLeast"/>
        </w:trPr>
        <w:tc>
          <w:tcPr>
            <w:tcW w:w="362" w:type="pct"/>
            <w:vMerge w:val="continue"/>
            <w:tcBorders>
              <w:tl2br w:val="nil"/>
              <w:tr2bl w:val="nil"/>
            </w:tcBorders>
            <w:vAlign w:val="center"/>
          </w:tcPr>
          <w:p w14:paraId="6D10E2DD">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ascii="Times New Roman" w:hAnsi="Times New Roman" w:cs="Times New Roman"/>
                <w:color w:val="auto"/>
                <w:szCs w:val="21"/>
                <w:highlight w:val="none"/>
              </w:rPr>
            </w:pPr>
          </w:p>
        </w:tc>
        <w:tc>
          <w:tcPr>
            <w:tcW w:w="924" w:type="pct"/>
            <w:vMerge w:val="continue"/>
            <w:tcBorders>
              <w:tl2br w:val="nil"/>
              <w:tr2bl w:val="nil"/>
            </w:tcBorders>
            <w:vAlign w:val="center"/>
          </w:tcPr>
          <w:p w14:paraId="102F0F1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p>
        </w:tc>
        <w:tc>
          <w:tcPr>
            <w:tcW w:w="722" w:type="pct"/>
            <w:tcBorders>
              <w:tl2br w:val="nil"/>
              <w:tr2bl w:val="nil"/>
            </w:tcBorders>
            <w:vAlign w:val="center"/>
          </w:tcPr>
          <w:p w14:paraId="2940F03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bookmarkStart w:id="432" w:name="OLE_LINK164"/>
            <w:r>
              <w:rPr>
                <w:rFonts w:cs="Times New Roman"/>
                <w:color w:val="auto"/>
                <w:sz w:val="21"/>
                <w:highlight w:val="none"/>
              </w:rPr>
              <w:t>SO</w:t>
            </w:r>
            <w:r>
              <w:rPr>
                <w:rFonts w:cs="Times New Roman"/>
                <w:color w:val="auto"/>
                <w:sz w:val="21"/>
                <w:highlight w:val="none"/>
                <w:vertAlign w:val="subscript"/>
              </w:rPr>
              <w:t>2</w:t>
            </w:r>
            <w:bookmarkEnd w:id="432"/>
          </w:p>
        </w:tc>
        <w:tc>
          <w:tcPr>
            <w:tcW w:w="670" w:type="pct"/>
            <w:tcBorders>
              <w:tl2br w:val="nil"/>
              <w:tr2bl w:val="nil"/>
            </w:tcBorders>
            <w:vAlign w:val="center"/>
          </w:tcPr>
          <w:p w14:paraId="3D2CFF21">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eastAsia" w:cs="Times New Roman"/>
                <w:color w:val="auto"/>
                <w:highlight w:val="none"/>
                <w:lang w:val="en-US" w:eastAsia="zh-CN"/>
              </w:rPr>
            </w:pPr>
            <w:r>
              <w:rPr>
                <w:rFonts w:hint="eastAsia" w:cs="Times New Roman"/>
                <w:color w:val="auto"/>
                <w:sz w:val="21"/>
                <w:highlight w:val="none"/>
                <w:lang w:val="en-US" w:eastAsia="zh-CN"/>
              </w:rPr>
              <w:t>0.0039</w:t>
            </w:r>
            <w:r>
              <w:rPr>
                <w:rFonts w:hint="eastAsia" w:cs="Times New Roman"/>
                <w:color w:val="auto"/>
                <w:highlight w:val="none"/>
                <w:lang w:val="en-US" w:eastAsia="zh-CN"/>
              </w:rPr>
              <w:t>t/a</w:t>
            </w:r>
          </w:p>
        </w:tc>
        <w:tc>
          <w:tcPr>
            <w:tcW w:w="598" w:type="pct"/>
            <w:tcBorders>
              <w:tl2br w:val="nil"/>
              <w:tr2bl w:val="nil"/>
            </w:tcBorders>
            <w:vAlign w:val="center"/>
          </w:tcPr>
          <w:p w14:paraId="20F79D83">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eastAsia" w:ascii="Times New Roman" w:hAnsi="Times New Roman" w:eastAsia="宋体" w:cs="Times New Roman"/>
                <w:color w:val="auto"/>
                <w:kern w:val="2"/>
                <w:sz w:val="21"/>
                <w:highlight w:val="none"/>
                <w:lang w:val="en-US" w:eastAsia="zh-CN" w:bidi="ar-SA"/>
              </w:rPr>
            </w:pPr>
            <w:r>
              <w:rPr>
                <w:rFonts w:hint="eastAsia" w:cs="Times New Roman"/>
                <w:color w:val="auto"/>
                <w:sz w:val="21"/>
                <w:highlight w:val="none"/>
                <w:lang w:val="en-US" w:eastAsia="zh-CN"/>
              </w:rPr>
              <w:t>0.0039</w:t>
            </w:r>
            <w:r>
              <w:rPr>
                <w:rFonts w:hint="eastAsia" w:cs="Times New Roman"/>
                <w:color w:val="auto"/>
                <w:highlight w:val="none"/>
                <w:lang w:val="en-US" w:eastAsia="zh-CN"/>
              </w:rPr>
              <w:t>t/a</w:t>
            </w:r>
          </w:p>
        </w:tc>
        <w:tc>
          <w:tcPr>
            <w:tcW w:w="1721" w:type="pct"/>
            <w:vMerge w:val="continue"/>
            <w:tcBorders>
              <w:tl2br w:val="nil"/>
              <w:tr2bl w:val="nil"/>
            </w:tcBorders>
            <w:vAlign w:val="center"/>
          </w:tcPr>
          <w:p w14:paraId="24823718">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ascii="Times New Roman" w:hAnsi="Times New Roman" w:cs="Times New Roman"/>
                <w:color w:val="auto"/>
                <w:szCs w:val="21"/>
                <w:highlight w:val="none"/>
              </w:rPr>
            </w:pPr>
          </w:p>
        </w:tc>
      </w:tr>
      <w:tr w14:paraId="7DB022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0" w:hRule="atLeast"/>
        </w:trPr>
        <w:tc>
          <w:tcPr>
            <w:tcW w:w="362" w:type="pct"/>
            <w:vMerge w:val="continue"/>
            <w:tcBorders>
              <w:tl2br w:val="nil"/>
              <w:tr2bl w:val="nil"/>
            </w:tcBorders>
            <w:vAlign w:val="center"/>
          </w:tcPr>
          <w:p w14:paraId="18B4AF10">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ascii="Times New Roman" w:hAnsi="Times New Roman" w:cs="Times New Roman"/>
                <w:color w:val="auto"/>
                <w:szCs w:val="21"/>
                <w:highlight w:val="none"/>
              </w:rPr>
            </w:pPr>
            <w:bookmarkStart w:id="433" w:name="OLE_LINK188" w:colFirst="2" w:colLast="4"/>
          </w:p>
        </w:tc>
        <w:tc>
          <w:tcPr>
            <w:tcW w:w="924" w:type="pct"/>
            <w:vMerge w:val="continue"/>
            <w:tcBorders>
              <w:tl2br w:val="nil"/>
              <w:tr2bl w:val="nil"/>
            </w:tcBorders>
            <w:vAlign w:val="center"/>
          </w:tcPr>
          <w:p w14:paraId="497FBCC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p>
        </w:tc>
        <w:tc>
          <w:tcPr>
            <w:tcW w:w="722" w:type="pct"/>
            <w:tcBorders>
              <w:tl2br w:val="nil"/>
              <w:tr2bl w:val="nil"/>
            </w:tcBorders>
            <w:vAlign w:val="center"/>
          </w:tcPr>
          <w:p w14:paraId="5386175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bookmarkStart w:id="434" w:name="OLE_LINK165"/>
            <w:r>
              <w:rPr>
                <w:rFonts w:cs="Times New Roman"/>
                <w:color w:val="auto"/>
                <w:sz w:val="21"/>
                <w:highlight w:val="none"/>
              </w:rPr>
              <w:t>NOx</w:t>
            </w:r>
            <w:bookmarkEnd w:id="434"/>
          </w:p>
        </w:tc>
        <w:tc>
          <w:tcPr>
            <w:tcW w:w="670" w:type="pct"/>
            <w:tcBorders>
              <w:tl2br w:val="nil"/>
              <w:tr2bl w:val="nil"/>
            </w:tcBorders>
            <w:vAlign w:val="center"/>
          </w:tcPr>
          <w:p w14:paraId="2584D503">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eastAsia" w:cs="Times New Roman"/>
                <w:color w:val="auto"/>
                <w:highlight w:val="none"/>
                <w:lang w:val="en-US" w:eastAsia="zh-CN"/>
              </w:rPr>
            </w:pPr>
            <w:r>
              <w:rPr>
                <w:rFonts w:hint="eastAsia" w:cs="Times New Roman"/>
                <w:color w:val="auto"/>
                <w:sz w:val="21"/>
                <w:highlight w:val="none"/>
                <w:lang w:val="en-US" w:eastAsia="zh-CN"/>
              </w:rPr>
              <w:t>0.155</w:t>
            </w:r>
            <w:bookmarkStart w:id="435" w:name="OLE_LINK190"/>
            <w:r>
              <w:rPr>
                <w:rFonts w:hint="eastAsia" w:cs="Times New Roman"/>
                <w:color w:val="auto"/>
                <w:highlight w:val="none"/>
                <w:lang w:val="en-US" w:eastAsia="zh-CN"/>
              </w:rPr>
              <w:t>t/a</w:t>
            </w:r>
            <w:bookmarkEnd w:id="435"/>
          </w:p>
        </w:tc>
        <w:tc>
          <w:tcPr>
            <w:tcW w:w="598" w:type="pct"/>
            <w:tcBorders>
              <w:tl2br w:val="nil"/>
              <w:tr2bl w:val="nil"/>
            </w:tcBorders>
            <w:vAlign w:val="center"/>
          </w:tcPr>
          <w:p w14:paraId="106B9182">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eastAsia" w:ascii="Times New Roman" w:hAnsi="Times New Roman" w:eastAsia="宋体" w:cs="Times New Roman"/>
                <w:color w:val="auto"/>
                <w:kern w:val="2"/>
                <w:sz w:val="21"/>
                <w:highlight w:val="none"/>
                <w:lang w:val="en-US" w:eastAsia="zh-CN" w:bidi="ar-SA"/>
              </w:rPr>
            </w:pPr>
            <w:r>
              <w:rPr>
                <w:rFonts w:hint="eastAsia" w:cs="Times New Roman"/>
                <w:color w:val="auto"/>
                <w:sz w:val="21"/>
                <w:highlight w:val="none"/>
                <w:lang w:val="en-US" w:eastAsia="zh-CN"/>
              </w:rPr>
              <w:t>0.155</w:t>
            </w:r>
            <w:r>
              <w:rPr>
                <w:rFonts w:hint="eastAsia" w:cs="Times New Roman"/>
                <w:color w:val="auto"/>
                <w:highlight w:val="none"/>
                <w:lang w:val="en-US" w:eastAsia="zh-CN"/>
              </w:rPr>
              <w:t>t/a</w:t>
            </w:r>
          </w:p>
        </w:tc>
        <w:tc>
          <w:tcPr>
            <w:tcW w:w="1721" w:type="pct"/>
            <w:vMerge w:val="continue"/>
            <w:tcBorders>
              <w:tl2br w:val="nil"/>
              <w:tr2bl w:val="nil"/>
            </w:tcBorders>
            <w:vAlign w:val="center"/>
          </w:tcPr>
          <w:p w14:paraId="631F8042">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ascii="Times New Roman" w:hAnsi="Times New Roman" w:cs="Times New Roman"/>
                <w:color w:val="auto"/>
                <w:szCs w:val="21"/>
                <w:highlight w:val="none"/>
              </w:rPr>
            </w:pPr>
          </w:p>
        </w:tc>
      </w:tr>
      <w:bookmarkEnd w:id="433"/>
      <w:tr w14:paraId="59E11C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0" w:hRule="atLeast"/>
        </w:trPr>
        <w:tc>
          <w:tcPr>
            <w:tcW w:w="362" w:type="pct"/>
            <w:vMerge w:val="continue"/>
            <w:tcBorders>
              <w:tl2br w:val="nil"/>
              <w:tr2bl w:val="nil"/>
            </w:tcBorders>
            <w:vAlign w:val="center"/>
          </w:tcPr>
          <w:p w14:paraId="36A449D9">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ascii="Times New Roman" w:hAnsi="Times New Roman" w:cs="Times New Roman"/>
                <w:color w:val="auto"/>
                <w:szCs w:val="21"/>
                <w:highlight w:val="none"/>
              </w:rPr>
            </w:pPr>
          </w:p>
        </w:tc>
        <w:tc>
          <w:tcPr>
            <w:tcW w:w="924" w:type="pct"/>
            <w:vMerge w:val="continue"/>
            <w:tcBorders>
              <w:tl2br w:val="nil"/>
              <w:tr2bl w:val="nil"/>
            </w:tcBorders>
            <w:vAlign w:val="center"/>
          </w:tcPr>
          <w:p w14:paraId="5F34C87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p>
        </w:tc>
        <w:tc>
          <w:tcPr>
            <w:tcW w:w="722" w:type="pct"/>
            <w:tcBorders>
              <w:tl2br w:val="nil"/>
              <w:tr2bl w:val="nil"/>
            </w:tcBorders>
            <w:vAlign w:val="center"/>
          </w:tcPr>
          <w:p w14:paraId="31B18D7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cs="Times New Roman"/>
                <w:color w:val="auto"/>
                <w:sz w:val="21"/>
                <w:highlight w:val="none"/>
                <w:lang w:val="en-US" w:eastAsia="zh-CN"/>
              </w:rPr>
            </w:pPr>
            <w:r>
              <w:rPr>
                <w:rFonts w:hint="eastAsia" w:cs="Times New Roman"/>
                <w:color w:val="auto"/>
                <w:szCs w:val="21"/>
                <w:highlight w:val="none"/>
                <w:lang w:val="en-US" w:eastAsia="zh-CN"/>
              </w:rPr>
              <w:t>非甲烷总烃</w:t>
            </w:r>
          </w:p>
        </w:tc>
        <w:tc>
          <w:tcPr>
            <w:tcW w:w="670" w:type="pct"/>
            <w:tcBorders>
              <w:tl2br w:val="nil"/>
              <w:tr2bl w:val="nil"/>
            </w:tcBorders>
            <w:vAlign w:val="center"/>
          </w:tcPr>
          <w:p w14:paraId="39F26960">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cs="Times New Roman"/>
                <w:color w:val="auto"/>
                <w:sz w:val="21"/>
                <w:highlight w:val="none"/>
                <w:lang w:val="en-US" w:eastAsia="zh-CN"/>
              </w:rPr>
            </w:pPr>
            <w:bookmarkStart w:id="436" w:name="OLE_LINK191"/>
            <w:r>
              <w:rPr>
                <w:rFonts w:hint="eastAsia" w:cs="Times New Roman"/>
                <w:color w:val="auto"/>
                <w:sz w:val="21"/>
                <w:highlight w:val="none"/>
                <w:lang w:val="en-US" w:eastAsia="zh-CN"/>
              </w:rPr>
              <w:t>0.0154</w:t>
            </w:r>
            <w:r>
              <w:rPr>
                <w:rFonts w:hint="eastAsia" w:cs="Times New Roman"/>
                <w:color w:val="auto"/>
                <w:highlight w:val="none"/>
                <w:lang w:val="en-US" w:eastAsia="zh-CN"/>
              </w:rPr>
              <w:t>t/a</w:t>
            </w:r>
            <w:bookmarkEnd w:id="436"/>
          </w:p>
        </w:tc>
        <w:tc>
          <w:tcPr>
            <w:tcW w:w="598" w:type="pct"/>
            <w:tcBorders>
              <w:tl2br w:val="nil"/>
              <w:tr2bl w:val="nil"/>
            </w:tcBorders>
            <w:vAlign w:val="center"/>
          </w:tcPr>
          <w:p w14:paraId="0D46AB94">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eastAsia" w:cs="Times New Roman"/>
                <w:color w:val="auto"/>
                <w:sz w:val="21"/>
                <w:highlight w:val="none"/>
                <w:lang w:val="en-US" w:eastAsia="zh-CN"/>
              </w:rPr>
            </w:pPr>
            <w:r>
              <w:rPr>
                <w:rFonts w:hint="eastAsia" w:cs="Times New Roman"/>
                <w:color w:val="auto"/>
                <w:sz w:val="21"/>
                <w:highlight w:val="none"/>
                <w:lang w:val="en-US" w:eastAsia="zh-CN"/>
              </w:rPr>
              <w:t>0.0154</w:t>
            </w:r>
            <w:r>
              <w:rPr>
                <w:rFonts w:hint="eastAsia" w:cs="Times New Roman"/>
                <w:color w:val="auto"/>
                <w:highlight w:val="none"/>
                <w:lang w:val="en-US" w:eastAsia="zh-CN"/>
              </w:rPr>
              <w:t>t/a</w:t>
            </w:r>
          </w:p>
        </w:tc>
        <w:tc>
          <w:tcPr>
            <w:tcW w:w="1721" w:type="pct"/>
            <w:vMerge w:val="continue"/>
            <w:tcBorders>
              <w:tl2br w:val="nil"/>
              <w:tr2bl w:val="nil"/>
            </w:tcBorders>
            <w:vAlign w:val="center"/>
          </w:tcPr>
          <w:p w14:paraId="5F17291E">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ascii="Times New Roman" w:hAnsi="Times New Roman" w:cs="Times New Roman"/>
                <w:color w:val="auto"/>
                <w:szCs w:val="21"/>
                <w:highlight w:val="none"/>
              </w:rPr>
            </w:pPr>
          </w:p>
        </w:tc>
      </w:tr>
      <w:bookmarkEnd w:id="426"/>
      <w:bookmarkEnd w:id="427"/>
      <w:tr w14:paraId="09DEAC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0" w:hRule="atLeast"/>
        </w:trPr>
        <w:tc>
          <w:tcPr>
            <w:tcW w:w="362" w:type="pct"/>
            <w:vMerge w:val="continue"/>
            <w:tcBorders>
              <w:tl2br w:val="nil"/>
              <w:tr2bl w:val="nil"/>
            </w:tcBorders>
            <w:vAlign w:val="center"/>
          </w:tcPr>
          <w:p w14:paraId="7BDF9D5E">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ascii="Times New Roman" w:hAnsi="Times New Roman" w:cs="Times New Roman"/>
                <w:color w:val="auto"/>
                <w:szCs w:val="21"/>
                <w:highlight w:val="none"/>
              </w:rPr>
            </w:pPr>
          </w:p>
        </w:tc>
        <w:tc>
          <w:tcPr>
            <w:tcW w:w="924" w:type="pct"/>
            <w:vMerge w:val="restart"/>
            <w:tcBorders>
              <w:tl2br w:val="nil"/>
              <w:tr2bl w:val="nil"/>
            </w:tcBorders>
            <w:vAlign w:val="center"/>
          </w:tcPr>
          <w:p w14:paraId="2700A9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无组织排放</w:t>
            </w:r>
          </w:p>
        </w:tc>
        <w:tc>
          <w:tcPr>
            <w:tcW w:w="722" w:type="pct"/>
            <w:tcBorders>
              <w:tl2br w:val="nil"/>
              <w:tr2bl w:val="nil"/>
            </w:tcBorders>
            <w:vAlign w:val="center"/>
          </w:tcPr>
          <w:p w14:paraId="4A9794F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Cs w:val="21"/>
                <w:highlight w:val="none"/>
                <w:lang w:val="en-US" w:eastAsia="zh-CN"/>
              </w:rPr>
            </w:pPr>
            <w:bookmarkStart w:id="437" w:name="OLE_LINK189"/>
            <w:r>
              <w:rPr>
                <w:rFonts w:hint="eastAsia" w:cs="Times New Roman"/>
                <w:color w:val="auto"/>
                <w:szCs w:val="21"/>
                <w:highlight w:val="none"/>
                <w:lang w:val="en-US" w:eastAsia="zh-CN"/>
              </w:rPr>
              <w:t>非甲烷总烃</w:t>
            </w:r>
            <w:bookmarkEnd w:id="437"/>
          </w:p>
        </w:tc>
        <w:tc>
          <w:tcPr>
            <w:tcW w:w="670" w:type="pct"/>
            <w:tcBorders>
              <w:tl2br w:val="nil"/>
              <w:tr2bl w:val="nil"/>
            </w:tcBorders>
            <w:vAlign w:val="center"/>
          </w:tcPr>
          <w:p w14:paraId="6456B8A6">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ascii="Times New Roman" w:hAnsi="Times New Roman" w:cs="Times New Roman"/>
                <w:color w:val="auto"/>
                <w:szCs w:val="21"/>
                <w:highlight w:val="none"/>
                <w:lang w:val="en-US" w:eastAsia="zh-CN"/>
              </w:rPr>
            </w:pPr>
            <w:r>
              <w:rPr>
                <w:rFonts w:hint="eastAsia" w:cs="Times New Roman"/>
                <w:color w:val="auto"/>
                <w:highlight w:val="none"/>
                <w:lang w:val="en-US" w:eastAsia="zh-CN"/>
              </w:rPr>
              <w:t>3.3767t</w:t>
            </w:r>
            <w:r>
              <w:rPr>
                <w:rFonts w:hint="default" w:ascii="Times New Roman" w:hAnsi="Times New Roman" w:cs="Times New Roman"/>
                <w:color w:val="auto"/>
                <w:szCs w:val="21"/>
                <w:highlight w:val="none"/>
              </w:rPr>
              <w:t>/a</w:t>
            </w:r>
          </w:p>
        </w:tc>
        <w:tc>
          <w:tcPr>
            <w:tcW w:w="598" w:type="pct"/>
            <w:tcBorders>
              <w:tl2br w:val="nil"/>
              <w:tr2bl w:val="nil"/>
            </w:tcBorders>
            <w:vAlign w:val="center"/>
          </w:tcPr>
          <w:p w14:paraId="0B0C7101">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ascii="Times New Roman" w:hAnsi="Times New Roman" w:cs="Times New Roman"/>
                <w:color w:val="auto"/>
                <w:szCs w:val="21"/>
                <w:highlight w:val="none"/>
                <w:lang w:val="en-US" w:eastAsia="zh-CN"/>
              </w:rPr>
            </w:pPr>
            <w:r>
              <w:rPr>
                <w:rFonts w:hint="eastAsia" w:cs="Times New Roman"/>
                <w:color w:val="auto"/>
                <w:highlight w:val="none"/>
                <w:lang w:val="en-US" w:eastAsia="zh-CN"/>
              </w:rPr>
              <w:t>3.3767</w:t>
            </w:r>
            <w:r>
              <w:rPr>
                <w:rFonts w:hint="default" w:ascii="Times New Roman" w:hAnsi="Times New Roman" w:cs="Times New Roman"/>
                <w:color w:val="auto"/>
                <w:szCs w:val="21"/>
                <w:highlight w:val="none"/>
              </w:rPr>
              <w:t>t/a</w:t>
            </w:r>
          </w:p>
        </w:tc>
        <w:tc>
          <w:tcPr>
            <w:tcW w:w="1721" w:type="pct"/>
            <w:vMerge w:val="restart"/>
            <w:tcBorders>
              <w:tl2br w:val="nil"/>
              <w:tr2bl w:val="nil"/>
            </w:tcBorders>
            <w:vAlign w:val="center"/>
          </w:tcPr>
          <w:p w14:paraId="1B70991F">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大气</w:t>
            </w:r>
          </w:p>
        </w:tc>
      </w:tr>
      <w:bookmarkEnd w:id="428"/>
      <w:tr w14:paraId="1B9D93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0" w:hRule="atLeast"/>
        </w:trPr>
        <w:tc>
          <w:tcPr>
            <w:tcW w:w="362" w:type="pct"/>
            <w:vMerge w:val="continue"/>
            <w:tcBorders>
              <w:tl2br w:val="nil"/>
              <w:tr2bl w:val="nil"/>
            </w:tcBorders>
            <w:vAlign w:val="center"/>
          </w:tcPr>
          <w:p w14:paraId="7A877FCA">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ascii="Times New Roman" w:hAnsi="Times New Roman" w:cs="Times New Roman"/>
                <w:color w:val="auto"/>
                <w:szCs w:val="21"/>
                <w:highlight w:val="none"/>
              </w:rPr>
            </w:pPr>
          </w:p>
        </w:tc>
        <w:tc>
          <w:tcPr>
            <w:tcW w:w="924" w:type="pct"/>
            <w:vMerge w:val="continue"/>
            <w:tcBorders>
              <w:tl2br w:val="nil"/>
              <w:tr2bl w:val="nil"/>
            </w:tcBorders>
            <w:vAlign w:val="center"/>
          </w:tcPr>
          <w:p w14:paraId="066C6BD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p>
        </w:tc>
        <w:tc>
          <w:tcPr>
            <w:tcW w:w="722" w:type="pct"/>
            <w:tcBorders>
              <w:tl2br w:val="nil"/>
              <w:tr2bl w:val="nil"/>
            </w:tcBorders>
            <w:vAlign w:val="center"/>
          </w:tcPr>
          <w:p w14:paraId="3514E9F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硫化氢</w:t>
            </w:r>
          </w:p>
        </w:tc>
        <w:tc>
          <w:tcPr>
            <w:tcW w:w="670" w:type="pct"/>
            <w:tcBorders>
              <w:tl2br w:val="nil"/>
              <w:tr2bl w:val="nil"/>
            </w:tcBorders>
            <w:vAlign w:val="center"/>
          </w:tcPr>
          <w:p w14:paraId="0A284803">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0.000858</w:t>
            </w:r>
          </w:p>
          <w:p w14:paraId="160A0BF1">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t</w:t>
            </w:r>
            <w:r>
              <w:rPr>
                <w:rFonts w:hint="default" w:ascii="Times New Roman" w:hAnsi="Times New Roman" w:cs="Times New Roman"/>
                <w:color w:val="auto"/>
                <w:szCs w:val="21"/>
                <w:highlight w:val="none"/>
              </w:rPr>
              <w:t>/a</w:t>
            </w:r>
          </w:p>
        </w:tc>
        <w:tc>
          <w:tcPr>
            <w:tcW w:w="598" w:type="pct"/>
            <w:tcBorders>
              <w:tl2br w:val="nil"/>
              <w:tr2bl w:val="nil"/>
            </w:tcBorders>
            <w:vAlign w:val="center"/>
          </w:tcPr>
          <w:p w14:paraId="798AD4C3">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0.000858</w:t>
            </w:r>
          </w:p>
          <w:p w14:paraId="6C7CB34F">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t</w:t>
            </w:r>
            <w:r>
              <w:rPr>
                <w:rFonts w:hint="default" w:ascii="Times New Roman" w:hAnsi="Times New Roman" w:cs="Times New Roman"/>
                <w:color w:val="auto"/>
                <w:szCs w:val="21"/>
                <w:highlight w:val="none"/>
              </w:rPr>
              <w:t>/a</w:t>
            </w:r>
          </w:p>
        </w:tc>
        <w:tc>
          <w:tcPr>
            <w:tcW w:w="1721" w:type="pct"/>
            <w:vMerge w:val="continue"/>
            <w:tcBorders>
              <w:tl2br w:val="nil"/>
              <w:tr2bl w:val="nil"/>
            </w:tcBorders>
            <w:vAlign w:val="center"/>
          </w:tcPr>
          <w:p w14:paraId="39DB09C7">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ascii="Times New Roman" w:hAnsi="Times New Roman" w:cs="Times New Roman"/>
                <w:color w:val="auto"/>
                <w:szCs w:val="21"/>
                <w:highlight w:val="none"/>
              </w:rPr>
            </w:pPr>
          </w:p>
        </w:tc>
      </w:tr>
      <w:tr w14:paraId="523BC9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0" w:hRule="atLeast"/>
        </w:trPr>
        <w:tc>
          <w:tcPr>
            <w:tcW w:w="362" w:type="pct"/>
            <w:tcBorders>
              <w:tl2br w:val="nil"/>
              <w:tr2bl w:val="nil"/>
            </w:tcBorders>
            <w:vAlign w:val="center"/>
          </w:tcPr>
          <w:p w14:paraId="0061EA7A">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噪声</w:t>
            </w:r>
          </w:p>
        </w:tc>
        <w:tc>
          <w:tcPr>
            <w:tcW w:w="924" w:type="pct"/>
            <w:tcBorders>
              <w:tl2br w:val="nil"/>
              <w:tr2bl w:val="nil"/>
            </w:tcBorders>
            <w:vAlign w:val="center"/>
          </w:tcPr>
          <w:p w14:paraId="2AA3004C">
            <w:pPr>
              <w:keepNext w:val="0"/>
              <w:keepLines w:val="0"/>
              <w:pageBreakBefore w:val="0"/>
              <w:widowControl w:val="0"/>
              <w:tabs>
                <w:tab w:val="center" w:pos="4153"/>
                <w:tab w:val="right" w:pos="8306"/>
              </w:tabs>
              <w:kinsoku/>
              <w:wordWrap/>
              <w:overflowPunct w:val="0"/>
              <w:topLinePunct w:val="0"/>
              <w:autoSpaceDE w:val="0"/>
              <w:autoSpaceDN w:val="0"/>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zCs w:val="21"/>
                <w:highlight w:val="none"/>
              </w:rPr>
              <w:t>各类设备、泵类</w:t>
            </w:r>
          </w:p>
        </w:tc>
        <w:tc>
          <w:tcPr>
            <w:tcW w:w="722" w:type="pct"/>
            <w:tcBorders>
              <w:tl2br w:val="nil"/>
              <w:tr2bl w:val="nil"/>
            </w:tcBorders>
            <w:vAlign w:val="center"/>
          </w:tcPr>
          <w:p w14:paraId="45740E29">
            <w:pPr>
              <w:keepNext w:val="0"/>
              <w:keepLines w:val="0"/>
              <w:pageBreakBefore w:val="0"/>
              <w:widowControl w:val="0"/>
              <w:tabs>
                <w:tab w:val="center" w:pos="4153"/>
                <w:tab w:val="right" w:pos="8306"/>
              </w:tabs>
              <w:kinsoku/>
              <w:wordWrap/>
              <w:overflowPunct w:val="0"/>
              <w:topLinePunct w:val="0"/>
              <w:autoSpaceDE w:val="0"/>
              <w:autoSpaceDN w:val="0"/>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zCs w:val="21"/>
                <w:highlight w:val="none"/>
              </w:rPr>
              <w:t>噪声</w:t>
            </w:r>
          </w:p>
        </w:tc>
        <w:tc>
          <w:tcPr>
            <w:tcW w:w="670" w:type="pct"/>
            <w:tcBorders>
              <w:tl2br w:val="nil"/>
              <w:tr2bl w:val="nil"/>
            </w:tcBorders>
            <w:vAlign w:val="center"/>
          </w:tcPr>
          <w:p w14:paraId="098CB131">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60</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105</w:t>
            </w:r>
            <w:r>
              <w:rPr>
                <w:rFonts w:hint="default" w:ascii="Times New Roman" w:hAnsi="Times New Roman" w:eastAsia="宋体" w:cs="Times New Roman"/>
                <w:color w:val="auto"/>
                <w:highlight w:val="none"/>
                <w:lang w:val="en-US" w:eastAsia="zh-CN"/>
              </w:rPr>
              <w:t>dB(A)</w:t>
            </w:r>
          </w:p>
        </w:tc>
        <w:tc>
          <w:tcPr>
            <w:tcW w:w="598" w:type="pct"/>
            <w:tcBorders>
              <w:tl2br w:val="nil"/>
              <w:tr2bl w:val="nil"/>
            </w:tcBorders>
            <w:vAlign w:val="center"/>
          </w:tcPr>
          <w:p w14:paraId="05F1253D">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厂界</w:t>
            </w:r>
          </w:p>
          <w:p w14:paraId="5355E845">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达标</w:t>
            </w:r>
          </w:p>
        </w:tc>
        <w:tc>
          <w:tcPr>
            <w:tcW w:w="1721" w:type="pct"/>
            <w:tcBorders>
              <w:tl2br w:val="nil"/>
              <w:tr2bl w:val="nil"/>
            </w:tcBorders>
            <w:vAlign w:val="center"/>
          </w:tcPr>
          <w:p w14:paraId="0424C33F">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ascii="Times New Roman" w:hAnsi="Times New Roman" w:cs="Times New Roman"/>
                <w:color w:val="auto"/>
                <w:szCs w:val="21"/>
                <w:highlight w:val="none"/>
              </w:rPr>
            </w:pPr>
            <w:r>
              <w:rPr>
                <w:rFonts w:hint="eastAsia" w:ascii="Times New Roman" w:hAnsi="Times New Roman" w:eastAsia="宋体" w:cs="Times New Roman"/>
                <w:color w:val="auto"/>
                <w:sz w:val="21"/>
                <w:szCs w:val="18"/>
                <w:highlight w:val="none"/>
              </w:rPr>
              <w:t>选用低噪声设备，采取减振、隔声、消声等降噪措施</w:t>
            </w:r>
          </w:p>
        </w:tc>
      </w:tr>
      <w:tr w14:paraId="260352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62" w:type="pct"/>
            <w:vMerge w:val="restart"/>
            <w:tcBorders>
              <w:tl2br w:val="nil"/>
              <w:tr2bl w:val="nil"/>
            </w:tcBorders>
            <w:vAlign w:val="center"/>
          </w:tcPr>
          <w:p w14:paraId="7905A43C">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固体废物</w:t>
            </w:r>
          </w:p>
        </w:tc>
        <w:tc>
          <w:tcPr>
            <w:tcW w:w="924" w:type="pct"/>
            <w:tcBorders>
              <w:tl2br w:val="nil"/>
              <w:tr2bl w:val="nil"/>
            </w:tcBorders>
            <w:vAlign w:val="center"/>
          </w:tcPr>
          <w:p w14:paraId="5C51FDB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废脱硫剂</w:t>
            </w:r>
          </w:p>
        </w:tc>
        <w:tc>
          <w:tcPr>
            <w:tcW w:w="722" w:type="pct"/>
            <w:tcBorders>
              <w:tl2br w:val="nil"/>
              <w:tr2bl w:val="nil"/>
            </w:tcBorders>
            <w:vAlign w:val="center"/>
          </w:tcPr>
          <w:p w14:paraId="0D2191E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c>
          <w:tcPr>
            <w:tcW w:w="670" w:type="pct"/>
            <w:tcBorders>
              <w:tl2br w:val="nil"/>
              <w:tr2bl w:val="nil"/>
            </w:tcBorders>
            <w:vAlign w:val="center"/>
          </w:tcPr>
          <w:p w14:paraId="486B866B">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cs="Times New Roman"/>
                <w:color w:val="auto"/>
                <w:szCs w:val="24"/>
                <w:highlight w:val="none"/>
                <w:lang w:val="en-US" w:eastAsia="zh-CN"/>
              </w:rPr>
            </w:pPr>
            <w:r>
              <w:rPr>
                <w:rFonts w:hint="eastAsia" w:cs="Times New Roman"/>
                <w:bCs/>
                <w:color w:val="auto"/>
                <w:kern w:val="2"/>
                <w:sz w:val="21"/>
                <w:szCs w:val="21"/>
                <w:highlight w:val="none"/>
                <w:lang w:val="en-US" w:eastAsia="zh-CN" w:bidi="ar-SA"/>
              </w:rPr>
              <w:t>871.2m</w:t>
            </w:r>
            <w:r>
              <w:rPr>
                <w:rFonts w:hint="eastAsia" w:cs="Times New Roman"/>
                <w:bCs/>
                <w:color w:val="auto"/>
                <w:kern w:val="2"/>
                <w:sz w:val="21"/>
                <w:szCs w:val="21"/>
                <w:highlight w:val="none"/>
                <w:vertAlign w:val="superscript"/>
                <w:lang w:val="en-US" w:eastAsia="zh-CN" w:bidi="ar-SA"/>
              </w:rPr>
              <w:t>3</w:t>
            </w:r>
            <w:r>
              <w:rPr>
                <w:rFonts w:hint="eastAsia" w:cs="Times New Roman"/>
                <w:bCs/>
                <w:color w:val="auto"/>
                <w:kern w:val="2"/>
                <w:sz w:val="21"/>
                <w:szCs w:val="21"/>
                <w:highlight w:val="none"/>
                <w:lang w:val="en-US" w:eastAsia="zh-CN" w:bidi="ar-SA"/>
              </w:rPr>
              <w:t>/a</w:t>
            </w:r>
          </w:p>
        </w:tc>
        <w:tc>
          <w:tcPr>
            <w:tcW w:w="598" w:type="pct"/>
            <w:tcBorders>
              <w:tl2br w:val="nil"/>
              <w:tr2bl w:val="nil"/>
            </w:tcBorders>
            <w:vAlign w:val="center"/>
          </w:tcPr>
          <w:p w14:paraId="6F7AF5F7">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w:t>
            </w:r>
          </w:p>
        </w:tc>
        <w:tc>
          <w:tcPr>
            <w:tcW w:w="1721" w:type="pct"/>
            <w:vMerge w:val="restart"/>
            <w:tcBorders>
              <w:tl2br w:val="nil"/>
              <w:tr2bl w:val="nil"/>
            </w:tcBorders>
            <w:vAlign w:val="center"/>
          </w:tcPr>
          <w:p w14:paraId="59C183BC">
            <w:pPr>
              <w:spacing w:line="24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由生产厂家进行更换，更换后由其拉走处置</w:t>
            </w:r>
          </w:p>
        </w:tc>
      </w:tr>
      <w:tr w14:paraId="34DD85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62" w:type="pct"/>
            <w:vMerge w:val="continue"/>
            <w:tcBorders>
              <w:tl2br w:val="nil"/>
              <w:tr2bl w:val="nil"/>
            </w:tcBorders>
            <w:vAlign w:val="center"/>
          </w:tcPr>
          <w:p w14:paraId="25B05727">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ascii="Times New Roman" w:hAnsi="Times New Roman" w:cs="Times New Roman"/>
                <w:color w:val="auto"/>
                <w:szCs w:val="21"/>
                <w:highlight w:val="none"/>
              </w:rPr>
            </w:pPr>
          </w:p>
        </w:tc>
        <w:tc>
          <w:tcPr>
            <w:tcW w:w="924" w:type="pct"/>
            <w:tcBorders>
              <w:tl2br w:val="nil"/>
              <w:tr2bl w:val="nil"/>
            </w:tcBorders>
            <w:vAlign w:val="center"/>
          </w:tcPr>
          <w:p w14:paraId="572876B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废分子筛</w:t>
            </w:r>
          </w:p>
        </w:tc>
        <w:tc>
          <w:tcPr>
            <w:tcW w:w="722" w:type="pct"/>
            <w:tcBorders>
              <w:tl2br w:val="nil"/>
              <w:tr2bl w:val="nil"/>
            </w:tcBorders>
            <w:vAlign w:val="center"/>
          </w:tcPr>
          <w:p w14:paraId="1880566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c>
          <w:tcPr>
            <w:tcW w:w="670" w:type="pct"/>
            <w:tcBorders>
              <w:tl2br w:val="nil"/>
              <w:tr2bl w:val="nil"/>
            </w:tcBorders>
            <w:vAlign w:val="center"/>
          </w:tcPr>
          <w:p w14:paraId="19F612BA">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eastAsia" w:cs="Times New Roman"/>
                <w:color w:val="auto"/>
                <w:szCs w:val="24"/>
                <w:highlight w:val="none"/>
                <w:lang w:val="en-US" w:eastAsia="zh-CN"/>
              </w:rPr>
            </w:pPr>
            <w:r>
              <w:rPr>
                <w:rFonts w:hint="eastAsia" w:cs="Times New Roman"/>
                <w:bCs/>
                <w:color w:val="auto"/>
                <w:kern w:val="2"/>
                <w:sz w:val="21"/>
                <w:szCs w:val="21"/>
                <w:highlight w:val="none"/>
                <w:lang w:val="en-US" w:eastAsia="zh-CN" w:bidi="ar-SA"/>
              </w:rPr>
              <w:t>45m</w:t>
            </w:r>
            <w:r>
              <w:rPr>
                <w:rFonts w:hint="eastAsia" w:cs="Times New Roman"/>
                <w:bCs/>
                <w:color w:val="auto"/>
                <w:kern w:val="2"/>
                <w:sz w:val="21"/>
                <w:szCs w:val="21"/>
                <w:highlight w:val="none"/>
                <w:vertAlign w:val="superscript"/>
                <w:lang w:val="en-US" w:eastAsia="zh-CN" w:bidi="ar-SA"/>
              </w:rPr>
              <w:t>3</w:t>
            </w:r>
            <w:r>
              <w:rPr>
                <w:rFonts w:hint="eastAsia" w:cs="Times New Roman"/>
                <w:bCs/>
                <w:color w:val="auto"/>
                <w:kern w:val="2"/>
                <w:sz w:val="21"/>
                <w:szCs w:val="21"/>
                <w:highlight w:val="none"/>
                <w:lang w:val="en-US" w:eastAsia="zh-CN" w:bidi="ar-SA"/>
              </w:rPr>
              <w:t>/a</w:t>
            </w:r>
          </w:p>
        </w:tc>
        <w:tc>
          <w:tcPr>
            <w:tcW w:w="598" w:type="pct"/>
            <w:tcBorders>
              <w:tl2br w:val="nil"/>
              <w:tr2bl w:val="nil"/>
            </w:tcBorders>
            <w:vAlign w:val="center"/>
          </w:tcPr>
          <w:p w14:paraId="5EFDB978">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0</w:t>
            </w:r>
          </w:p>
        </w:tc>
        <w:tc>
          <w:tcPr>
            <w:tcW w:w="1721" w:type="pct"/>
            <w:vMerge w:val="continue"/>
            <w:tcBorders>
              <w:tl2br w:val="nil"/>
              <w:tr2bl w:val="nil"/>
            </w:tcBorders>
            <w:vAlign w:val="center"/>
          </w:tcPr>
          <w:p w14:paraId="66DF5866">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left"/>
              <w:textAlignment w:val="auto"/>
              <w:rPr>
                <w:rFonts w:hint="default" w:ascii="Times New Roman" w:hAnsi="Times New Roman" w:cs="Times New Roman"/>
                <w:color w:val="auto"/>
                <w:szCs w:val="21"/>
                <w:highlight w:val="none"/>
              </w:rPr>
            </w:pPr>
          </w:p>
        </w:tc>
      </w:tr>
      <w:tr w14:paraId="344CCE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62" w:type="pct"/>
            <w:vMerge w:val="continue"/>
            <w:tcBorders>
              <w:tl2br w:val="nil"/>
              <w:tr2bl w:val="nil"/>
            </w:tcBorders>
            <w:vAlign w:val="center"/>
          </w:tcPr>
          <w:p w14:paraId="172895BA">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ascii="Times New Roman" w:hAnsi="Times New Roman" w:cs="Times New Roman"/>
                <w:color w:val="auto"/>
                <w:szCs w:val="21"/>
                <w:highlight w:val="none"/>
              </w:rPr>
            </w:pPr>
          </w:p>
        </w:tc>
        <w:tc>
          <w:tcPr>
            <w:tcW w:w="924" w:type="pct"/>
            <w:tcBorders>
              <w:tl2br w:val="nil"/>
              <w:tr2bl w:val="nil"/>
            </w:tcBorders>
            <w:vAlign w:val="center"/>
          </w:tcPr>
          <w:p w14:paraId="420DBFA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清管废渣</w:t>
            </w:r>
          </w:p>
        </w:tc>
        <w:tc>
          <w:tcPr>
            <w:tcW w:w="722" w:type="pct"/>
            <w:tcBorders>
              <w:tl2br w:val="nil"/>
              <w:tr2bl w:val="nil"/>
            </w:tcBorders>
            <w:vAlign w:val="center"/>
          </w:tcPr>
          <w:p w14:paraId="2ECD5B6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油类物质、铁锈</w:t>
            </w:r>
          </w:p>
        </w:tc>
        <w:tc>
          <w:tcPr>
            <w:tcW w:w="670" w:type="pct"/>
            <w:tcBorders>
              <w:tl2br w:val="nil"/>
              <w:tr2bl w:val="nil"/>
            </w:tcBorders>
            <w:vAlign w:val="center"/>
          </w:tcPr>
          <w:p w14:paraId="4A05719B">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ascii="Times New Roman" w:hAnsi="Times New Roman" w:cs="Times New Roman"/>
                <w:color w:val="auto"/>
                <w:szCs w:val="21"/>
                <w:highlight w:val="none"/>
              </w:rPr>
            </w:pPr>
            <w:r>
              <w:rPr>
                <w:rFonts w:hint="eastAsia" w:cs="Times New Roman"/>
                <w:color w:val="auto"/>
                <w:szCs w:val="24"/>
                <w:highlight w:val="none"/>
                <w:lang w:val="en-US" w:eastAsia="zh-CN"/>
              </w:rPr>
              <w:t>0.014</w:t>
            </w:r>
            <w:r>
              <w:rPr>
                <w:rFonts w:hint="eastAsia" w:cs="Times New Roman"/>
                <w:color w:val="auto"/>
                <w:highlight w:val="none"/>
                <w:lang w:val="en-US" w:eastAsia="zh-CN"/>
              </w:rPr>
              <w:t>t</w:t>
            </w:r>
            <w:r>
              <w:rPr>
                <w:rFonts w:hint="default" w:ascii="Times New Roman" w:hAnsi="Times New Roman" w:cs="Times New Roman"/>
                <w:color w:val="auto"/>
                <w:szCs w:val="21"/>
                <w:highlight w:val="none"/>
              </w:rPr>
              <w:t>/a</w:t>
            </w:r>
          </w:p>
        </w:tc>
        <w:tc>
          <w:tcPr>
            <w:tcW w:w="598" w:type="pct"/>
            <w:tcBorders>
              <w:tl2br w:val="nil"/>
              <w:tr2bl w:val="nil"/>
            </w:tcBorders>
            <w:vAlign w:val="center"/>
          </w:tcPr>
          <w:p w14:paraId="162FF9F4">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w:t>
            </w:r>
          </w:p>
        </w:tc>
        <w:tc>
          <w:tcPr>
            <w:tcW w:w="1721" w:type="pct"/>
            <w:vMerge w:val="restart"/>
            <w:tcBorders>
              <w:tl2br w:val="nil"/>
              <w:tr2bl w:val="nil"/>
            </w:tcBorders>
            <w:vAlign w:val="center"/>
          </w:tcPr>
          <w:p w14:paraId="2B323170">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left"/>
              <w:textAlignment w:val="auto"/>
              <w:rPr>
                <w:rFonts w:hint="default" w:ascii="Times New Roman" w:hAnsi="Times New Roman" w:cs="Times New Roman"/>
                <w:color w:val="auto"/>
                <w:szCs w:val="21"/>
                <w:highlight w:val="none"/>
              </w:rPr>
            </w:pPr>
            <w:r>
              <w:rPr>
                <w:rFonts w:hint="eastAsia" w:ascii="Times New Roman" w:hAnsi="Times New Roman" w:eastAsia="宋体" w:cs="Times New Roman"/>
                <w:bCs/>
                <w:color w:val="auto"/>
                <w:kern w:val="2"/>
                <w:sz w:val="21"/>
                <w:szCs w:val="21"/>
                <w:highlight w:val="none"/>
                <w:lang w:val="en-US" w:eastAsia="zh-CN" w:bidi="ar-SA"/>
              </w:rPr>
              <w:t>委托有危废处置资质单位进行处置</w:t>
            </w:r>
          </w:p>
        </w:tc>
      </w:tr>
      <w:tr w14:paraId="65A176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62" w:type="pct"/>
            <w:vMerge w:val="continue"/>
            <w:tcBorders>
              <w:tl2br w:val="nil"/>
              <w:tr2bl w:val="nil"/>
            </w:tcBorders>
            <w:vAlign w:val="center"/>
          </w:tcPr>
          <w:p w14:paraId="4DA67211">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ascii="Times New Roman" w:hAnsi="Times New Roman" w:cs="Times New Roman"/>
                <w:color w:val="auto"/>
                <w:szCs w:val="21"/>
                <w:highlight w:val="none"/>
              </w:rPr>
            </w:pPr>
          </w:p>
        </w:tc>
        <w:tc>
          <w:tcPr>
            <w:tcW w:w="924" w:type="pct"/>
            <w:tcBorders>
              <w:tl2br w:val="nil"/>
              <w:tr2bl w:val="nil"/>
            </w:tcBorders>
            <w:vAlign w:val="center"/>
          </w:tcPr>
          <w:p w14:paraId="72CECA5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r>
              <w:rPr>
                <w:rFonts w:hint="eastAsia" w:ascii="Times New Roman" w:hAnsi="Times New Roman" w:eastAsia="宋体" w:cs="Times New Roman"/>
                <w:bCs/>
                <w:color w:val="auto"/>
                <w:szCs w:val="21"/>
                <w:highlight w:val="none"/>
              </w:rPr>
              <w:t>油泥砂</w:t>
            </w:r>
          </w:p>
        </w:tc>
        <w:tc>
          <w:tcPr>
            <w:tcW w:w="722" w:type="pct"/>
            <w:tcBorders>
              <w:tl2br w:val="nil"/>
              <w:tr2bl w:val="nil"/>
            </w:tcBorders>
            <w:vAlign w:val="center"/>
          </w:tcPr>
          <w:p w14:paraId="3A44090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油类物质、泥砂</w:t>
            </w:r>
          </w:p>
        </w:tc>
        <w:tc>
          <w:tcPr>
            <w:tcW w:w="670" w:type="pct"/>
            <w:tcBorders>
              <w:tl2br w:val="nil"/>
              <w:tr2bl w:val="nil"/>
            </w:tcBorders>
            <w:vAlign w:val="center"/>
          </w:tcPr>
          <w:p w14:paraId="064A832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bCs/>
                <w:color w:val="auto"/>
                <w:szCs w:val="21"/>
                <w:highlight w:val="none"/>
                <w:lang w:val="en-US" w:eastAsia="zh-CN"/>
              </w:rPr>
              <w:t>19.95</w:t>
            </w:r>
            <w:r>
              <w:rPr>
                <w:rFonts w:hint="eastAsia" w:eastAsia="宋体"/>
                <w:bCs/>
                <w:color w:val="auto"/>
                <w:szCs w:val="21"/>
                <w:highlight w:val="none"/>
                <w:lang w:val="en-US" w:eastAsia="zh-CN"/>
              </w:rPr>
              <w:t>t/a</w:t>
            </w:r>
          </w:p>
        </w:tc>
        <w:tc>
          <w:tcPr>
            <w:tcW w:w="598" w:type="pct"/>
            <w:tcBorders>
              <w:tl2br w:val="nil"/>
              <w:tr2bl w:val="nil"/>
            </w:tcBorders>
            <w:vAlign w:val="center"/>
          </w:tcPr>
          <w:p w14:paraId="25DC0E85">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w:t>
            </w:r>
          </w:p>
        </w:tc>
        <w:tc>
          <w:tcPr>
            <w:tcW w:w="1721" w:type="pct"/>
            <w:vMerge w:val="continue"/>
            <w:tcBorders>
              <w:tl2br w:val="nil"/>
              <w:tr2bl w:val="nil"/>
            </w:tcBorders>
            <w:vAlign w:val="center"/>
          </w:tcPr>
          <w:p w14:paraId="3B52C885">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left"/>
              <w:textAlignment w:val="auto"/>
              <w:rPr>
                <w:rFonts w:hint="default" w:ascii="Times New Roman" w:hAnsi="Times New Roman" w:cs="Times New Roman"/>
                <w:color w:val="auto"/>
                <w:szCs w:val="21"/>
                <w:highlight w:val="none"/>
              </w:rPr>
            </w:pPr>
          </w:p>
        </w:tc>
      </w:tr>
      <w:tr w14:paraId="35EF01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62" w:type="pct"/>
            <w:vMerge w:val="continue"/>
            <w:tcBorders>
              <w:tl2br w:val="nil"/>
              <w:tr2bl w:val="nil"/>
            </w:tcBorders>
            <w:vAlign w:val="center"/>
          </w:tcPr>
          <w:p w14:paraId="3F4F3DE4">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ascii="Times New Roman" w:hAnsi="Times New Roman" w:cs="Times New Roman"/>
                <w:color w:val="auto"/>
                <w:szCs w:val="21"/>
                <w:highlight w:val="none"/>
              </w:rPr>
            </w:pPr>
          </w:p>
        </w:tc>
        <w:tc>
          <w:tcPr>
            <w:tcW w:w="924" w:type="pct"/>
            <w:tcBorders>
              <w:tl2br w:val="nil"/>
              <w:tr2bl w:val="nil"/>
            </w:tcBorders>
            <w:vAlign w:val="center"/>
          </w:tcPr>
          <w:p w14:paraId="07E40F1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r>
              <w:rPr>
                <w:rFonts w:hint="eastAsia" w:ascii="Times New Roman" w:hAnsi="Times New Roman" w:eastAsia="宋体" w:cs="Times New Roman"/>
                <w:bCs/>
                <w:color w:val="auto"/>
                <w:szCs w:val="21"/>
                <w:highlight w:val="none"/>
              </w:rPr>
              <w:t>落地油</w:t>
            </w:r>
          </w:p>
        </w:tc>
        <w:tc>
          <w:tcPr>
            <w:tcW w:w="722" w:type="pct"/>
            <w:tcBorders>
              <w:tl2br w:val="nil"/>
              <w:tr2bl w:val="nil"/>
            </w:tcBorders>
            <w:vAlign w:val="center"/>
          </w:tcPr>
          <w:p w14:paraId="751973C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石油类</w:t>
            </w:r>
          </w:p>
        </w:tc>
        <w:tc>
          <w:tcPr>
            <w:tcW w:w="670" w:type="pct"/>
            <w:tcBorders>
              <w:tl2br w:val="nil"/>
              <w:tr2bl w:val="nil"/>
            </w:tcBorders>
            <w:vAlign w:val="center"/>
          </w:tcPr>
          <w:p w14:paraId="222669B5">
            <w:pPr>
              <w:keepNext w:val="0"/>
              <w:keepLines w:val="0"/>
              <w:pageBreakBefore w:val="0"/>
              <w:widowControl w:val="0"/>
              <w:tabs>
                <w:tab w:val="left" w:pos="377"/>
              </w:tabs>
              <w:kinsoku/>
              <w:wordWrap/>
              <w:overflowPunct/>
              <w:topLinePunct w:val="0"/>
              <w:autoSpaceDE/>
              <w:autoSpaceDN/>
              <w:bidi w:val="0"/>
              <w:adjustRightInd/>
              <w:snapToGrid/>
              <w:spacing w:line="240" w:lineRule="auto"/>
              <w:jc w:val="center"/>
              <w:textAlignment w:val="auto"/>
              <w:rPr>
                <w:rFonts w:hint="eastAsia" w:eastAsia="宋体"/>
                <w:bCs/>
                <w:color w:val="auto"/>
                <w:szCs w:val="21"/>
                <w:highlight w:val="none"/>
                <w:lang w:val="en-US" w:eastAsia="zh-CN"/>
              </w:rPr>
            </w:pPr>
            <w:r>
              <w:rPr>
                <w:rFonts w:hint="eastAsia"/>
                <w:bCs/>
                <w:color w:val="auto"/>
                <w:szCs w:val="21"/>
                <w:highlight w:val="none"/>
                <w:lang w:val="en-US" w:eastAsia="zh-CN"/>
              </w:rPr>
              <w:t>0.6</w:t>
            </w:r>
          </w:p>
          <w:p w14:paraId="5A7F0D5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bCs/>
                <w:color w:val="auto"/>
                <w:szCs w:val="21"/>
                <w:highlight w:val="none"/>
                <w:lang w:val="en-US" w:eastAsia="zh-CN"/>
              </w:rPr>
              <w:t>t/a</w:t>
            </w:r>
          </w:p>
        </w:tc>
        <w:tc>
          <w:tcPr>
            <w:tcW w:w="598" w:type="pct"/>
            <w:tcBorders>
              <w:tl2br w:val="nil"/>
              <w:tr2bl w:val="nil"/>
            </w:tcBorders>
            <w:vAlign w:val="center"/>
          </w:tcPr>
          <w:p w14:paraId="78744754">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w:t>
            </w:r>
          </w:p>
        </w:tc>
        <w:tc>
          <w:tcPr>
            <w:tcW w:w="1721" w:type="pct"/>
            <w:vMerge w:val="continue"/>
            <w:tcBorders>
              <w:tl2br w:val="nil"/>
              <w:tr2bl w:val="nil"/>
            </w:tcBorders>
            <w:vAlign w:val="center"/>
          </w:tcPr>
          <w:p w14:paraId="44860CD5">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left"/>
              <w:textAlignment w:val="auto"/>
              <w:rPr>
                <w:rFonts w:hint="default" w:ascii="Times New Roman" w:hAnsi="Times New Roman" w:cs="Times New Roman"/>
                <w:color w:val="auto"/>
                <w:szCs w:val="21"/>
                <w:highlight w:val="none"/>
              </w:rPr>
            </w:pPr>
          </w:p>
        </w:tc>
      </w:tr>
      <w:tr w14:paraId="138578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62" w:type="pct"/>
            <w:vMerge w:val="continue"/>
            <w:tcBorders>
              <w:tl2br w:val="nil"/>
              <w:tr2bl w:val="nil"/>
            </w:tcBorders>
            <w:vAlign w:val="center"/>
          </w:tcPr>
          <w:p w14:paraId="0B64BD06">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ascii="Times New Roman" w:hAnsi="Times New Roman" w:cs="Times New Roman"/>
                <w:color w:val="auto"/>
                <w:szCs w:val="21"/>
                <w:highlight w:val="none"/>
              </w:rPr>
            </w:pPr>
          </w:p>
        </w:tc>
        <w:tc>
          <w:tcPr>
            <w:tcW w:w="924" w:type="pct"/>
            <w:tcBorders>
              <w:tl2br w:val="nil"/>
              <w:tr2bl w:val="nil"/>
            </w:tcBorders>
            <w:vAlign w:val="center"/>
          </w:tcPr>
          <w:p w14:paraId="33F388A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r>
              <w:rPr>
                <w:rFonts w:hint="eastAsia"/>
                <w:bCs/>
                <w:color w:val="auto"/>
                <w:szCs w:val="21"/>
                <w:highlight w:val="none"/>
              </w:rPr>
              <w:t>废防渗膜</w:t>
            </w:r>
          </w:p>
        </w:tc>
        <w:tc>
          <w:tcPr>
            <w:tcW w:w="722" w:type="pct"/>
            <w:tcBorders>
              <w:tl2br w:val="nil"/>
              <w:tr2bl w:val="nil"/>
            </w:tcBorders>
            <w:vAlign w:val="center"/>
          </w:tcPr>
          <w:p w14:paraId="6367C10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石油类</w:t>
            </w:r>
          </w:p>
        </w:tc>
        <w:tc>
          <w:tcPr>
            <w:tcW w:w="670" w:type="pct"/>
            <w:tcBorders>
              <w:tl2br w:val="nil"/>
              <w:tr2bl w:val="nil"/>
            </w:tcBorders>
            <w:vAlign w:val="center"/>
          </w:tcPr>
          <w:p w14:paraId="37B71EAB">
            <w:pPr>
              <w:keepNext w:val="0"/>
              <w:keepLines w:val="0"/>
              <w:pageBreakBefore w:val="0"/>
              <w:widowControl w:val="0"/>
              <w:tabs>
                <w:tab w:val="left" w:pos="377"/>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1.5</w:t>
            </w:r>
          </w:p>
          <w:p w14:paraId="67DEECA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s="Times New Roman"/>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t/a</w:t>
            </w:r>
          </w:p>
        </w:tc>
        <w:tc>
          <w:tcPr>
            <w:tcW w:w="598" w:type="pct"/>
            <w:tcBorders>
              <w:tl2br w:val="nil"/>
              <w:tr2bl w:val="nil"/>
            </w:tcBorders>
            <w:vAlign w:val="center"/>
          </w:tcPr>
          <w:p w14:paraId="5812E4FF">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0</w:t>
            </w:r>
          </w:p>
        </w:tc>
        <w:tc>
          <w:tcPr>
            <w:tcW w:w="1721" w:type="pct"/>
            <w:vMerge w:val="continue"/>
            <w:tcBorders>
              <w:tl2br w:val="nil"/>
              <w:tr2bl w:val="nil"/>
            </w:tcBorders>
            <w:vAlign w:val="center"/>
          </w:tcPr>
          <w:p w14:paraId="76F2E0CC">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left"/>
              <w:textAlignment w:val="auto"/>
              <w:rPr>
                <w:rFonts w:hint="default" w:ascii="Times New Roman" w:hAnsi="Times New Roman" w:cs="Times New Roman"/>
                <w:color w:val="auto"/>
                <w:szCs w:val="21"/>
                <w:highlight w:val="none"/>
              </w:rPr>
            </w:pPr>
          </w:p>
        </w:tc>
      </w:tr>
      <w:tr w14:paraId="77752A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62" w:type="pct"/>
            <w:vMerge w:val="continue"/>
            <w:tcBorders>
              <w:tl2br w:val="nil"/>
              <w:tr2bl w:val="nil"/>
            </w:tcBorders>
            <w:vAlign w:val="center"/>
          </w:tcPr>
          <w:p w14:paraId="7C51486A">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ascii="Times New Roman" w:hAnsi="Times New Roman" w:cs="Times New Roman"/>
                <w:color w:val="auto"/>
                <w:szCs w:val="21"/>
                <w:highlight w:val="none"/>
              </w:rPr>
            </w:pPr>
          </w:p>
        </w:tc>
        <w:tc>
          <w:tcPr>
            <w:tcW w:w="924" w:type="pct"/>
            <w:tcBorders>
              <w:tl2br w:val="nil"/>
              <w:tr2bl w:val="nil"/>
            </w:tcBorders>
            <w:vAlign w:val="center"/>
          </w:tcPr>
          <w:p w14:paraId="287AEBC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r>
              <w:rPr>
                <w:bCs/>
                <w:color w:val="auto"/>
                <w:szCs w:val="21"/>
                <w:highlight w:val="none"/>
              </w:rPr>
              <w:t>废润滑油</w:t>
            </w:r>
          </w:p>
        </w:tc>
        <w:tc>
          <w:tcPr>
            <w:tcW w:w="722" w:type="pct"/>
            <w:tcBorders>
              <w:tl2br w:val="nil"/>
              <w:tr2bl w:val="nil"/>
            </w:tcBorders>
            <w:vAlign w:val="center"/>
          </w:tcPr>
          <w:p w14:paraId="6E9C04C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石油类</w:t>
            </w:r>
          </w:p>
        </w:tc>
        <w:tc>
          <w:tcPr>
            <w:tcW w:w="670" w:type="pct"/>
            <w:tcBorders>
              <w:tl2br w:val="nil"/>
              <w:tr2bl w:val="nil"/>
            </w:tcBorders>
            <w:vAlign w:val="center"/>
          </w:tcPr>
          <w:p w14:paraId="3386923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s="Times New Roman"/>
                <w:color w:val="auto"/>
                <w:szCs w:val="21"/>
                <w:highlight w:val="none"/>
                <w:lang w:val="en-US" w:eastAsia="zh-CN"/>
              </w:rPr>
            </w:pPr>
            <w:r>
              <w:rPr>
                <w:rFonts w:hint="eastAsia" w:cs="Times New Roman"/>
                <w:bCs/>
                <w:color w:val="auto"/>
                <w:szCs w:val="21"/>
                <w:highlight w:val="none"/>
                <w:lang w:val="en-US" w:eastAsia="zh-CN"/>
              </w:rPr>
              <w:t>5.3</w:t>
            </w:r>
            <w:r>
              <w:rPr>
                <w:rFonts w:hint="default" w:ascii="Times New Roman" w:hAnsi="Times New Roman" w:eastAsia="宋体" w:cs="Times New Roman"/>
                <w:bCs/>
                <w:color w:val="auto"/>
                <w:szCs w:val="21"/>
                <w:highlight w:val="none"/>
                <w:lang w:val="en-US" w:eastAsia="zh-CN"/>
              </w:rPr>
              <w:t>t/a</w:t>
            </w:r>
          </w:p>
        </w:tc>
        <w:tc>
          <w:tcPr>
            <w:tcW w:w="598" w:type="pct"/>
            <w:tcBorders>
              <w:tl2br w:val="nil"/>
              <w:tr2bl w:val="nil"/>
            </w:tcBorders>
            <w:vAlign w:val="center"/>
          </w:tcPr>
          <w:p w14:paraId="22B4DD27">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0</w:t>
            </w:r>
          </w:p>
        </w:tc>
        <w:tc>
          <w:tcPr>
            <w:tcW w:w="1721" w:type="pct"/>
            <w:vMerge w:val="continue"/>
            <w:tcBorders>
              <w:tl2br w:val="nil"/>
              <w:tr2bl w:val="nil"/>
            </w:tcBorders>
            <w:vAlign w:val="center"/>
          </w:tcPr>
          <w:p w14:paraId="5DDB017D">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left"/>
              <w:textAlignment w:val="auto"/>
              <w:rPr>
                <w:rFonts w:hint="default" w:ascii="Times New Roman" w:hAnsi="Times New Roman" w:cs="Times New Roman"/>
                <w:color w:val="auto"/>
                <w:szCs w:val="21"/>
                <w:highlight w:val="none"/>
              </w:rPr>
            </w:pPr>
          </w:p>
        </w:tc>
      </w:tr>
      <w:tr w14:paraId="567AAF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62" w:type="pct"/>
            <w:vMerge w:val="continue"/>
            <w:tcBorders>
              <w:tl2br w:val="nil"/>
              <w:tr2bl w:val="nil"/>
            </w:tcBorders>
            <w:vAlign w:val="center"/>
          </w:tcPr>
          <w:p w14:paraId="7F00BE8C">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ascii="Times New Roman" w:hAnsi="Times New Roman" w:cs="Times New Roman"/>
                <w:color w:val="auto"/>
                <w:szCs w:val="21"/>
                <w:highlight w:val="none"/>
              </w:rPr>
            </w:pPr>
          </w:p>
        </w:tc>
        <w:tc>
          <w:tcPr>
            <w:tcW w:w="924" w:type="pct"/>
            <w:tcBorders>
              <w:tl2br w:val="nil"/>
              <w:tr2bl w:val="nil"/>
            </w:tcBorders>
            <w:vAlign w:val="center"/>
          </w:tcPr>
          <w:p w14:paraId="409CF1D3">
            <w:pPr>
              <w:pStyle w:val="73"/>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rPr>
              <w:t>废压裂液</w:t>
            </w:r>
          </w:p>
        </w:tc>
        <w:tc>
          <w:tcPr>
            <w:tcW w:w="722" w:type="pct"/>
            <w:tcBorders>
              <w:tl2br w:val="nil"/>
              <w:tr2bl w:val="nil"/>
            </w:tcBorders>
            <w:vAlign w:val="center"/>
          </w:tcPr>
          <w:p w14:paraId="33F1748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 w:val="21"/>
                <w:szCs w:val="18"/>
                <w:highlight w:val="none"/>
                <w:lang w:val="en-US" w:eastAsia="zh-CN"/>
              </w:rPr>
              <w:t>pH</w:t>
            </w:r>
          </w:p>
        </w:tc>
        <w:tc>
          <w:tcPr>
            <w:tcW w:w="670" w:type="pct"/>
            <w:tcBorders>
              <w:tl2br w:val="nil"/>
              <w:tr2bl w:val="nil"/>
            </w:tcBorders>
            <w:vAlign w:val="center"/>
          </w:tcPr>
          <w:p w14:paraId="5307C5F5">
            <w:pPr>
              <w:tabs>
                <w:tab w:val="left" w:pos="377"/>
              </w:tabs>
              <w:spacing w:line="240" w:lineRule="exact"/>
              <w:jc w:val="center"/>
              <w:rPr>
                <w:rFonts w:hint="eastAsia" w:cs="Times New Roman"/>
                <w:bCs/>
                <w:color w:val="auto"/>
                <w:szCs w:val="21"/>
                <w:highlight w:val="none"/>
                <w:lang w:val="en-US" w:eastAsia="zh-CN"/>
              </w:rPr>
            </w:pPr>
            <w:r>
              <w:rPr>
                <w:rFonts w:hint="eastAsia" w:cs="Times New Roman"/>
                <w:bCs/>
                <w:color w:val="auto"/>
                <w:szCs w:val="21"/>
                <w:highlight w:val="none"/>
                <w:lang w:val="en-US" w:eastAsia="zh-CN"/>
              </w:rPr>
              <w:t>919.26</w:t>
            </w:r>
          </w:p>
          <w:p w14:paraId="783D0325">
            <w:pPr>
              <w:keepNext w:val="0"/>
              <w:keepLines w:val="0"/>
              <w:pageBreakBefore w:val="0"/>
              <w:widowControl w:val="0"/>
              <w:tabs>
                <w:tab w:val="left" w:pos="377"/>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ascii="Times New Roman" w:hAnsi="Times New Roman" w:eastAsia="宋体" w:cs="Times New Roman"/>
                <w:bCs/>
                <w:color w:val="auto"/>
                <w:szCs w:val="21"/>
                <w:highlight w:val="none"/>
              </w:rPr>
              <w:t>m</w:t>
            </w:r>
            <w:r>
              <w:rPr>
                <w:rFonts w:ascii="Times New Roman" w:hAnsi="Times New Roman" w:eastAsia="宋体" w:cs="Times New Roman"/>
                <w:bCs/>
                <w:color w:val="auto"/>
                <w:szCs w:val="21"/>
                <w:highlight w:val="none"/>
                <w:vertAlign w:val="superscript"/>
              </w:rPr>
              <w:t>3</w:t>
            </w:r>
            <w:r>
              <w:rPr>
                <w:rFonts w:ascii="Times New Roman" w:hAnsi="Times New Roman" w:eastAsia="宋体" w:cs="Times New Roman"/>
                <w:bCs/>
                <w:color w:val="auto"/>
                <w:szCs w:val="21"/>
                <w:highlight w:val="none"/>
              </w:rPr>
              <w:t>/</w:t>
            </w:r>
            <w:r>
              <w:rPr>
                <w:rFonts w:hint="eastAsia" w:ascii="Times New Roman" w:hAnsi="Times New Roman" w:eastAsia="宋体" w:cs="Times New Roman"/>
                <w:bCs/>
                <w:color w:val="auto"/>
                <w:szCs w:val="21"/>
                <w:highlight w:val="none"/>
                <w:lang w:val="en-US" w:eastAsia="zh-CN"/>
              </w:rPr>
              <w:t>次</w:t>
            </w:r>
          </w:p>
        </w:tc>
        <w:tc>
          <w:tcPr>
            <w:tcW w:w="598" w:type="pct"/>
            <w:tcBorders>
              <w:tl2br w:val="nil"/>
              <w:tr2bl w:val="nil"/>
            </w:tcBorders>
            <w:vAlign w:val="center"/>
          </w:tcPr>
          <w:p w14:paraId="3F744363">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0</w:t>
            </w:r>
          </w:p>
        </w:tc>
        <w:tc>
          <w:tcPr>
            <w:tcW w:w="1721" w:type="pct"/>
            <w:vMerge w:val="restart"/>
            <w:tcBorders>
              <w:tl2br w:val="nil"/>
              <w:tr2bl w:val="nil"/>
            </w:tcBorders>
            <w:vAlign w:val="center"/>
          </w:tcPr>
          <w:p w14:paraId="66FFED2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default" w:ascii="Times New Roman" w:hAnsi="Times New Roman" w:cs="Times New Roman"/>
                <w:color w:val="auto"/>
                <w:szCs w:val="21"/>
                <w:highlight w:val="none"/>
              </w:rPr>
            </w:pPr>
            <w:r>
              <w:rPr>
                <w:rFonts w:hint="eastAsia"/>
                <w:color w:val="auto"/>
                <w:highlight w:val="none"/>
              </w:rPr>
              <w:t>井下作业固废采用专用回收罐进行回收，拉运至英买力油田钻试修废弃物环保处理站进行处理。</w:t>
            </w:r>
          </w:p>
        </w:tc>
      </w:tr>
      <w:tr w14:paraId="035467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62" w:type="pct"/>
            <w:vMerge w:val="continue"/>
            <w:tcBorders>
              <w:tl2br w:val="nil"/>
              <w:tr2bl w:val="nil"/>
            </w:tcBorders>
            <w:vAlign w:val="center"/>
          </w:tcPr>
          <w:p w14:paraId="23BCC672">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ascii="Times New Roman" w:hAnsi="Times New Roman" w:cs="Times New Roman"/>
                <w:color w:val="auto"/>
                <w:szCs w:val="21"/>
                <w:highlight w:val="none"/>
              </w:rPr>
            </w:pPr>
          </w:p>
        </w:tc>
        <w:tc>
          <w:tcPr>
            <w:tcW w:w="924" w:type="pct"/>
            <w:tcBorders>
              <w:tl2br w:val="nil"/>
              <w:tr2bl w:val="nil"/>
            </w:tcBorders>
            <w:vAlign w:val="center"/>
          </w:tcPr>
          <w:p w14:paraId="40C85F11">
            <w:pPr>
              <w:pStyle w:val="73"/>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rPr>
              <w:t>废酸化液</w:t>
            </w:r>
          </w:p>
        </w:tc>
        <w:tc>
          <w:tcPr>
            <w:tcW w:w="722" w:type="pct"/>
            <w:tcBorders>
              <w:tl2br w:val="nil"/>
              <w:tr2bl w:val="nil"/>
            </w:tcBorders>
            <w:vAlign w:val="center"/>
          </w:tcPr>
          <w:p w14:paraId="20EDD27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 w:val="21"/>
                <w:szCs w:val="18"/>
                <w:highlight w:val="none"/>
                <w:lang w:val="en-US" w:eastAsia="zh-CN"/>
              </w:rPr>
              <w:t>盐类</w:t>
            </w:r>
          </w:p>
        </w:tc>
        <w:tc>
          <w:tcPr>
            <w:tcW w:w="670" w:type="pct"/>
            <w:tcBorders>
              <w:tl2br w:val="nil"/>
              <w:tr2bl w:val="nil"/>
            </w:tcBorders>
            <w:vAlign w:val="center"/>
          </w:tcPr>
          <w:p w14:paraId="49FF0C9D">
            <w:pPr>
              <w:tabs>
                <w:tab w:val="left" w:pos="377"/>
              </w:tabs>
              <w:spacing w:line="240" w:lineRule="exact"/>
              <w:jc w:val="center"/>
              <w:rPr>
                <w:rFonts w:hint="default" w:cs="Times New Roman"/>
                <w:bCs/>
                <w:color w:val="auto"/>
                <w:szCs w:val="21"/>
                <w:highlight w:val="none"/>
                <w:lang w:val="en-US" w:eastAsia="zh-CN"/>
              </w:rPr>
            </w:pPr>
            <w:r>
              <w:rPr>
                <w:rFonts w:hint="eastAsia" w:cs="Times New Roman"/>
                <w:bCs/>
                <w:color w:val="auto"/>
                <w:szCs w:val="21"/>
                <w:highlight w:val="none"/>
                <w:lang w:val="en-US" w:eastAsia="zh-CN"/>
              </w:rPr>
              <w:t>902.94</w:t>
            </w:r>
          </w:p>
          <w:p w14:paraId="209A2E94">
            <w:pPr>
              <w:keepNext w:val="0"/>
              <w:keepLines w:val="0"/>
              <w:pageBreakBefore w:val="0"/>
              <w:widowControl w:val="0"/>
              <w:tabs>
                <w:tab w:val="left" w:pos="377"/>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ascii="Times New Roman" w:hAnsi="Times New Roman" w:eastAsia="宋体" w:cs="Times New Roman"/>
                <w:bCs/>
                <w:color w:val="auto"/>
                <w:szCs w:val="21"/>
                <w:highlight w:val="none"/>
              </w:rPr>
              <w:t>m</w:t>
            </w:r>
            <w:r>
              <w:rPr>
                <w:rFonts w:ascii="Times New Roman" w:hAnsi="Times New Roman" w:eastAsia="宋体" w:cs="Times New Roman"/>
                <w:bCs/>
                <w:color w:val="auto"/>
                <w:szCs w:val="21"/>
                <w:highlight w:val="none"/>
                <w:vertAlign w:val="superscript"/>
              </w:rPr>
              <w:t>3</w:t>
            </w:r>
            <w:r>
              <w:rPr>
                <w:rFonts w:ascii="Times New Roman" w:hAnsi="Times New Roman" w:eastAsia="宋体" w:cs="Times New Roman"/>
                <w:bCs/>
                <w:color w:val="auto"/>
                <w:szCs w:val="21"/>
                <w:highlight w:val="none"/>
              </w:rPr>
              <w:t>/</w:t>
            </w:r>
            <w:r>
              <w:rPr>
                <w:rFonts w:hint="eastAsia" w:ascii="Times New Roman" w:hAnsi="Times New Roman" w:eastAsia="宋体" w:cs="Times New Roman"/>
                <w:bCs/>
                <w:color w:val="auto"/>
                <w:szCs w:val="21"/>
                <w:highlight w:val="none"/>
                <w:lang w:val="en-US" w:eastAsia="zh-CN"/>
              </w:rPr>
              <w:t>次</w:t>
            </w:r>
          </w:p>
        </w:tc>
        <w:tc>
          <w:tcPr>
            <w:tcW w:w="598" w:type="pct"/>
            <w:tcBorders>
              <w:tl2br w:val="nil"/>
              <w:tr2bl w:val="nil"/>
            </w:tcBorders>
            <w:vAlign w:val="center"/>
          </w:tcPr>
          <w:p w14:paraId="3E8AF539">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0</w:t>
            </w:r>
          </w:p>
        </w:tc>
        <w:tc>
          <w:tcPr>
            <w:tcW w:w="1721" w:type="pct"/>
            <w:vMerge w:val="continue"/>
            <w:tcBorders>
              <w:tl2br w:val="nil"/>
              <w:tr2bl w:val="nil"/>
            </w:tcBorders>
            <w:vAlign w:val="center"/>
          </w:tcPr>
          <w:p w14:paraId="3D878850">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left"/>
              <w:textAlignment w:val="auto"/>
              <w:rPr>
                <w:rFonts w:hint="default" w:ascii="Times New Roman" w:hAnsi="Times New Roman" w:cs="Times New Roman"/>
                <w:color w:val="auto"/>
                <w:szCs w:val="21"/>
                <w:highlight w:val="none"/>
              </w:rPr>
            </w:pPr>
          </w:p>
        </w:tc>
      </w:tr>
      <w:tr w14:paraId="2DB48A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62" w:type="pct"/>
            <w:vMerge w:val="continue"/>
            <w:tcBorders>
              <w:tl2br w:val="nil"/>
              <w:tr2bl w:val="nil"/>
            </w:tcBorders>
            <w:vAlign w:val="center"/>
          </w:tcPr>
          <w:p w14:paraId="50C7570B">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ascii="Times New Roman" w:hAnsi="Times New Roman" w:cs="Times New Roman"/>
                <w:color w:val="auto"/>
                <w:szCs w:val="21"/>
                <w:highlight w:val="none"/>
              </w:rPr>
            </w:pPr>
          </w:p>
        </w:tc>
        <w:tc>
          <w:tcPr>
            <w:tcW w:w="924" w:type="pct"/>
            <w:tcBorders>
              <w:tl2br w:val="nil"/>
              <w:tr2bl w:val="nil"/>
            </w:tcBorders>
            <w:vAlign w:val="center"/>
          </w:tcPr>
          <w:p w14:paraId="08028787">
            <w:pPr>
              <w:pStyle w:val="73"/>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rPr>
              <w:t>废洗井液</w:t>
            </w:r>
          </w:p>
        </w:tc>
        <w:tc>
          <w:tcPr>
            <w:tcW w:w="722" w:type="pct"/>
            <w:tcBorders>
              <w:tl2br w:val="nil"/>
              <w:tr2bl w:val="nil"/>
            </w:tcBorders>
            <w:vAlign w:val="center"/>
          </w:tcPr>
          <w:p w14:paraId="4DBDC3D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c>
          <w:tcPr>
            <w:tcW w:w="670" w:type="pct"/>
            <w:tcBorders>
              <w:tl2br w:val="nil"/>
              <w:tr2bl w:val="nil"/>
            </w:tcBorders>
            <w:vAlign w:val="center"/>
          </w:tcPr>
          <w:p w14:paraId="2FA97F66">
            <w:pPr>
              <w:keepNext w:val="0"/>
              <w:keepLines w:val="0"/>
              <w:pageBreakBefore w:val="0"/>
              <w:widowControl w:val="0"/>
              <w:tabs>
                <w:tab w:val="left" w:pos="377"/>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151.74</w:t>
            </w:r>
          </w:p>
          <w:p w14:paraId="7B8CD0C4">
            <w:pPr>
              <w:keepNext w:val="0"/>
              <w:keepLines w:val="0"/>
              <w:pageBreakBefore w:val="0"/>
              <w:widowControl w:val="0"/>
              <w:tabs>
                <w:tab w:val="left" w:pos="377"/>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ascii="Times New Roman" w:hAnsi="Times New Roman" w:eastAsia="宋体" w:cs="Times New Roman"/>
                <w:bCs/>
                <w:color w:val="auto"/>
                <w:szCs w:val="21"/>
                <w:highlight w:val="none"/>
              </w:rPr>
              <w:t>t/</w:t>
            </w:r>
            <w:r>
              <w:rPr>
                <w:rFonts w:hint="eastAsia" w:ascii="Times New Roman" w:hAnsi="Times New Roman" w:eastAsia="宋体" w:cs="Times New Roman"/>
                <w:bCs/>
                <w:color w:val="auto"/>
                <w:szCs w:val="21"/>
                <w:highlight w:val="none"/>
                <w:lang w:val="en-US" w:eastAsia="zh-CN"/>
              </w:rPr>
              <w:t>次</w:t>
            </w:r>
          </w:p>
        </w:tc>
        <w:tc>
          <w:tcPr>
            <w:tcW w:w="598" w:type="pct"/>
            <w:tcBorders>
              <w:tl2br w:val="nil"/>
              <w:tr2bl w:val="nil"/>
            </w:tcBorders>
            <w:vAlign w:val="center"/>
          </w:tcPr>
          <w:p w14:paraId="5EC6B6E0">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0</w:t>
            </w:r>
          </w:p>
        </w:tc>
        <w:tc>
          <w:tcPr>
            <w:tcW w:w="1721" w:type="pct"/>
            <w:vMerge w:val="continue"/>
            <w:tcBorders>
              <w:tl2br w:val="nil"/>
              <w:tr2bl w:val="nil"/>
            </w:tcBorders>
            <w:vAlign w:val="center"/>
          </w:tcPr>
          <w:p w14:paraId="2AB8A271">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left"/>
              <w:textAlignment w:val="auto"/>
              <w:rPr>
                <w:rFonts w:hint="default" w:ascii="Times New Roman" w:hAnsi="Times New Roman" w:cs="Times New Roman"/>
                <w:color w:val="auto"/>
                <w:szCs w:val="21"/>
                <w:highlight w:val="none"/>
              </w:rPr>
            </w:pPr>
          </w:p>
        </w:tc>
      </w:tr>
      <w:tr w14:paraId="1D539A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4" w:hRule="atLeast"/>
        </w:trPr>
        <w:tc>
          <w:tcPr>
            <w:tcW w:w="362" w:type="pct"/>
            <w:vMerge w:val="continue"/>
            <w:tcBorders>
              <w:tl2br w:val="nil"/>
              <w:tr2bl w:val="nil"/>
            </w:tcBorders>
            <w:vAlign w:val="center"/>
          </w:tcPr>
          <w:p w14:paraId="36733AF3">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ascii="Times New Roman" w:hAnsi="Times New Roman" w:cs="Times New Roman"/>
                <w:color w:val="auto"/>
                <w:szCs w:val="21"/>
                <w:highlight w:val="none"/>
              </w:rPr>
            </w:pPr>
          </w:p>
        </w:tc>
        <w:tc>
          <w:tcPr>
            <w:tcW w:w="924" w:type="pct"/>
            <w:tcBorders>
              <w:tl2br w:val="nil"/>
              <w:tr2bl w:val="nil"/>
            </w:tcBorders>
            <w:vAlign w:val="center"/>
          </w:tcPr>
          <w:p w14:paraId="58C37C8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生活垃圾</w:t>
            </w:r>
          </w:p>
        </w:tc>
        <w:tc>
          <w:tcPr>
            <w:tcW w:w="722" w:type="pct"/>
            <w:tcBorders>
              <w:tl2br w:val="nil"/>
              <w:tr2bl w:val="nil"/>
            </w:tcBorders>
            <w:vAlign w:val="center"/>
          </w:tcPr>
          <w:p w14:paraId="731EEA2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果皮、纸屑等</w:t>
            </w:r>
          </w:p>
        </w:tc>
        <w:tc>
          <w:tcPr>
            <w:tcW w:w="670" w:type="pct"/>
            <w:tcBorders>
              <w:tl2br w:val="nil"/>
              <w:tr2bl w:val="nil"/>
            </w:tcBorders>
            <w:vAlign w:val="center"/>
          </w:tcPr>
          <w:p w14:paraId="2285277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s="Times New Roman"/>
                <w:color w:val="auto"/>
                <w:szCs w:val="21"/>
                <w:highlight w:val="none"/>
                <w:lang w:val="en-US" w:eastAsia="zh-CN"/>
              </w:rPr>
            </w:pPr>
            <w:r>
              <w:rPr>
                <w:rFonts w:hint="eastAsia"/>
                <w:bCs/>
                <w:color w:val="auto"/>
                <w:szCs w:val="21"/>
                <w:highlight w:val="none"/>
                <w:lang w:val="en-US" w:eastAsia="zh-CN"/>
              </w:rPr>
              <w:t>1.5</w:t>
            </w:r>
            <w:r>
              <w:rPr>
                <w:rFonts w:hint="eastAsia"/>
                <w:bCs/>
                <w:color w:val="auto"/>
                <w:szCs w:val="21"/>
                <w:highlight w:val="none"/>
              </w:rPr>
              <w:t>t/a</w:t>
            </w:r>
          </w:p>
        </w:tc>
        <w:tc>
          <w:tcPr>
            <w:tcW w:w="598" w:type="pct"/>
            <w:tcBorders>
              <w:tl2br w:val="nil"/>
              <w:tr2bl w:val="nil"/>
            </w:tcBorders>
            <w:vAlign w:val="center"/>
          </w:tcPr>
          <w:p w14:paraId="3CC53AC5">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eastAsia" w:cs="Times New Roman"/>
                <w:color w:val="auto"/>
                <w:szCs w:val="21"/>
                <w:highlight w:val="none"/>
                <w:lang w:val="en-US" w:eastAsia="zh-CN"/>
              </w:rPr>
            </w:pPr>
            <w:r>
              <w:rPr>
                <w:rFonts w:hint="eastAsia"/>
                <w:bCs/>
                <w:color w:val="auto"/>
                <w:szCs w:val="21"/>
                <w:highlight w:val="none"/>
                <w:lang w:val="en-US" w:eastAsia="zh-CN"/>
              </w:rPr>
              <w:t>0</w:t>
            </w:r>
          </w:p>
        </w:tc>
        <w:tc>
          <w:tcPr>
            <w:tcW w:w="1721" w:type="pct"/>
            <w:tcBorders>
              <w:tl2br w:val="nil"/>
              <w:tr2bl w:val="nil"/>
            </w:tcBorders>
            <w:vAlign w:val="center"/>
          </w:tcPr>
          <w:p w14:paraId="0AFB1FCC">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left"/>
              <w:textAlignment w:val="auto"/>
              <w:rPr>
                <w:rFonts w:hint="default" w:ascii="Times New Roman" w:hAnsi="Times New Roman" w:cs="Times New Roman"/>
                <w:color w:val="auto"/>
                <w:szCs w:val="21"/>
                <w:highlight w:val="none"/>
              </w:rPr>
            </w:pPr>
            <w:r>
              <w:rPr>
                <w:color w:val="auto"/>
                <w:highlight w:val="none"/>
              </w:rPr>
              <w:t>委托</w:t>
            </w:r>
            <w:r>
              <w:rPr>
                <w:rFonts w:hint="eastAsia"/>
                <w:color w:val="auto"/>
                <w:highlight w:val="none"/>
              </w:rPr>
              <w:t>温宿县垃圾填埋场处理</w:t>
            </w:r>
          </w:p>
        </w:tc>
      </w:tr>
    </w:tbl>
    <w:p w14:paraId="00386354">
      <w:pPr>
        <w:pStyle w:val="54"/>
        <w:bidi w:val="0"/>
        <w:rPr>
          <w:rFonts w:hint="default"/>
          <w:color w:val="auto"/>
        </w:rPr>
      </w:pPr>
      <w:r>
        <w:rPr>
          <w:rFonts w:hint="default"/>
          <w:color w:val="auto"/>
        </w:rPr>
        <w:t>3.</w:t>
      </w:r>
      <w:r>
        <w:rPr>
          <w:rFonts w:hint="eastAsia"/>
          <w:color w:val="auto"/>
          <w:lang w:val="en-US" w:eastAsia="zh-CN"/>
        </w:rPr>
        <w:t xml:space="preserve">3.4 </w:t>
      </w:r>
      <w:r>
        <w:rPr>
          <w:rFonts w:hint="default"/>
          <w:color w:val="auto"/>
          <w:lang w:val="en-US" w:eastAsia="zh-CN"/>
        </w:rPr>
        <w:t>退役期</w:t>
      </w:r>
      <w:r>
        <w:rPr>
          <w:rFonts w:hint="default"/>
          <w:color w:val="auto"/>
        </w:rPr>
        <w:t>环境影响因素分析</w:t>
      </w:r>
    </w:p>
    <w:p w14:paraId="417E9C20">
      <w:pPr>
        <w:pStyle w:val="79"/>
        <w:bidi w:val="0"/>
        <w:rPr>
          <w:rFonts w:hint="eastAsia"/>
          <w:color w:val="auto"/>
          <w:lang w:eastAsia="zh-CN"/>
        </w:rPr>
      </w:pPr>
      <w:r>
        <w:rPr>
          <w:rFonts w:hint="default"/>
          <w:color w:val="auto"/>
          <w:lang w:val="en-US" w:eastAsia="zh-CN"/>
        </w:rPr>
        <w:t>退役期</w:t>
      </w:r>
      <w:r>
        <w:rPr>
          <w:rFonts w:hint="eastAsia"/>
          <w:color w:val="auto"/>
          <w:lang w:eastAsia="zh-CN"/>
        </w:rPr>
        <w:t>对完成采</w:t>
      </w:r>
      <w:r>
        <w:rPr>
          <w:rFonts w:hint="eastAsia"/>
          <w:color w:val="auto"/>
          <w:lang w:val="en-US" w:eastAsia="zh-CN"/>
        </w:rPr>
        <w:t>油</w:t>
      </w:r>
      <w:r>
        <w:rPr>
          <w:rFonts w:hint="eastAsia"/>
          <w:color w:val="auto"/>
          <w:lang w:eastAsia="zh-CN"/>
        </w:rPr>
        <w:t>的废弃井进行封堵内外井眼，拆除井口装置，清理场地工作，基本无废水产生，仅在土壤回填过程中有部分扬尘产生，噪声主要源自井场设备拆卸等。</w:t>
      </w:r>
    </w:p>
    <w:p w14:paraId="3F289EF3">
      <w:pPr>
        <w:pStyle w:val="79"/>
        <w:bidi w:val="0"/>
        <w:rPr>
          <w:rFonts w:hint="eastAsia"/>
          <w:color w:val="auto"/>
          <w:lang w:eastAsia="zh-CN"/>
        </w:rPr>
      </w:pPr>
      <w:r>
        <w:rPr>
          <w:rFonts w:hint="eastAsia"/>
          <w:color w:val="auto"/>
          <w:lang w:eastAsia="zh-CN"/>
        </w:rPr>
        <w:t>井场拆除的井架、集输设施、井构筑物等为钢制材料，可回收利用。</w:t>
      </w:r>
    </w:p>
    <w:p w14:paraId="47C1ACB2">
      <w:pPr>
        <w:pStyle w:val="54"/>
        <w:bidi w:val="0"/>
        <w:rPr>
          <w:rFonts w:hint="default"/>
          <w:color w:val="auto"/>
        </w:rPr>
      </w:pPr>
      <w:bookmarkStart w:id="438" w:name="_Toc3145"/>
      <w:bookmarkStart w:id="439" w:name="_Toc13053"/>
      <w:bookmarkStart w:id="440" w:name="_Toc119915009"/>
      <w:bookmarkStart w:id="441" w:name="_Toc32573"/>
      <w:bookmarkStart w:id="442" w:name="_Toc2041"/>
      <w:bookmarkStart w:id="443" w:name="_Toc17192"/>
      <w:bookmarkStart w:id="444" w:name="_Toc109382920"/>
      <w:bookmarkStart w:id="445" w:name="_Toc9424"/>
      <w:r>
        <w:rPr>
          <w:rFonts w:hint="default"/>
          <w:color w:val="auto"/>
        </w:rPr>
        <w:t>3.</w:t>
      </w:r>
      <w:r>
        <w:rPr>
          <w:rFonts w:hint="eastAsia"/>
          <w:color w:val="auto"/>
          <w:lang w:val="en-US" w:eastAsia="zh-CN"/>
        </w:rPr>
        <w:t xml:space="preserve">3.5 </w:t>
      </w:r>
      <w:r>
        <w:rPr>
          <w:rFonts w:hint="default"/>
          <w:color w:val="auto"/>
        </w:rPr>
        <w:t>非正常排放</w:t>
      </w:r>
    </w:p>
    <w:p w14:paraId="1F30E2A6">
      <w:pPr>
        <w:pStyle w:val="79"/>
        <w:bidi w:val="0"/>
        <w:rPr>
          <w:rFonts w:hint="default"/>
          <w:color w:val="auto"/>
          <w:lang w:val="en-US" w:eastAsia="zh-CN"/>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lang w:val="en-US" w:eastAsia="zh-CN"/>
        </w:rPr>
        <w:t>废气</w:t>
      </w:r>
    </w:p>
    <w:p w14:paraId="78CF1DB5">
      <w:pPr>
        <w:pStyle w:val="79"/>
        <w:bidi w:val="0"/>
        <w:rPr>
          <w:rFonts w:hint="default"/>
          <w:color w:val="auto"/>
        </w:rPr>
      </w:pPr>
      <w:r>
        <w:rPr>
          <w:rFonts w:hint="default"/>
          <w:color w:val="auto"/>
        </w:rPr>
        <w:t>非正常生产排放包括设备检修、工艺设备运转异常等非正常工况的污染物排放，如工艺设备和环保设施不能正常运行时污染物的排放等。</w:t>
      </w:r>
    </w:p>
    <w:p w14:paraId="08EDD1DE">
      <w:pPr>
        <w:pStyle w:val="79"/>
        <w:bidi w:val="0"/>
        <w:rPr>
          <w:rFonts w:hint="default"/>
          <w:color w:val="auto"/>
        </w:rPr>
      </w:pPr>
      <w:r>
        <w:rPr>
          <w:rFonts w:hint="default"/>
          <w:color w:val="auto"/>
        </w:rPr>
        <w:t>本工程在雄探1试采点新建地面自动点火装置一套，采用电子点火，放空量</w:t>
      </w:r>
      <w:r>
        <w:rPr>
          <w:rFonts w:hint="eastAsia"/>
          <w:color w:val="auto"/>
          <w:lang w:val="en-US" w:eastAsia="zh-CN"/>
        </w:rPr>
        <w:t>设计为10</w:t>
      </w:r>
      <w:r>
        <w:rPr>
          <w:rFonts w:hint="default"/>
          <w:color w:val="auto"/>
        </w:rPr>
        <w:t>×10</w:t>
      </w:r>
      <w:r>
        <w:rPr>
          <w:rFonts w:hint="default"/>
          <w:color w:val="auto"/>
          <w:vertAlign w:val="superscript"/>
        </w:rPr>
        <w:t>4</w:t>
      </w:r>
      <w:r>
        <w:rPr>
          <w:rFonts w:hint="default"/>
          <w:color w:val="auto"/>
        </w:rPr>
        <w:t>m</w:t>
      </w:r>
      <w:r>
        <w:rPr>
          <w:rFonts w:hint="default"/>
          <w:color w:val="auto"/>
          <w:vertAlign w:val="superscript"/>
        </w:rPr>
        <w:t>3</w:t>
      </w:r>
      <w:r>
        <w:rPr>
          <w:rFonts w:hint="default"/>
          <w:color w:val="auto"/>
        </w:rPr>
        <w:t>/d</w:t>
      </w:r>
      <w:r>
        <w:rPr>
          <w:rFonts w:hint="eastAsia"/>
          <w:color w:val="auto"/>
          <w:lang w:eastAsia="zh-CN"/>
        </w:rPr>
        <w:t>。</w:t>
      </w:r>
      <w:r>
        <w:rPr>
          <w:rFonts w:hint="default"/>
          <w:color w:val="auto"/>
        </w:rPr>
        <w:t>根据《排污申报登记实用手册》第231页的计算实例，完全燃烧1m</w:t>
      </w:r>
      <w:r>
        <w:rPr>
          <w:rFonts w:hint="default"/>
          <w:color w:val="auto"/>
          <w:vertAlign w:val="superscript"/>
        </w:rPr>
        <w:t>3</w:t>
      </w:r>
      <w:r>
        <w:rPr>
          <w:rFonts w:hint="default"/>
          <w:color w:val="auto"/>
        </w:rPr>
        <w:t>的天然气产生的废气量为10.89m</w:t>
      </w:r>
      <w:r>
        <w:rPr>
          <w:rFonts w:hint="default"/>
          <w:color w:val="auto"/>
          <w:vertAlign w:val="superscript"/>
        </w:rPr>
        <w:t>3</w:t>
      </w:r>
      <w:r>
        <w:rPr>
          <w:rFonts w:hint="default"/>
          <w:color w:val="auto"/>
        </w:rPr>
        <w:t>，每燃烧10000m</w:t>
      </w:r>
      <w:r>
        <w:rPr>
          <w:rFonts w:hint="default"/>
          <w:color w:val="auto"/>
          <w:vertAlign w:val="superscript"/>
        </w:rPr>
        <w:t>3</w:t>
      </w:r>
      <w:r>
        <w:rPr>
          <w:rFonts w:hint="default"/>
          <w:color w:val="auto"/>
        </w:rPr>
        <w:t>的天然气产生的SO</w:t>
      </w:r>
      <w:r>
        <w:rPr>
          <w:rFonts w:hint="default"/>
          <w:color w:val="auto"/>
          <w:vertAlign w:val="subscript"/>
        </w:rPr>
        <w:t>2</w:t>
      </w:r>
      <w:r>
        <w:rPr>
          <w:rFonts w:hint="default"/>
          <w:color w:val="auto"/>
        </w:rPr>
        <w:t>为1.5kg，每燃烧10000m</w:t>
      </w:r>
      <w:r>
        <w:rPr>
          <w:rFonts w:hint="default"/>
          <w:color w:val="auto"/>
          <w:vertAlign w:val="superscript"/>
        </w:rPr>
        <w:t>3</w:t>
      </w:r>
      <w:r>
        <w:rPr>
          <w:rFonts w:hint="default"/>
          <w:color w:val="auto"/>
        </w:rPr>
        <w:t>的天然气产生的NO</w:t>
      </w:r>
      <w:r>
        <w:rPr>
          <w:rFonts w:hint="default"/>
          <w:color w:val="auto"/>
          <w:vertAlign w:val="subscript"/>
        </w:rPr>
        <w:t>2</w:t>
      </w:r>
      <w:r>
        <w:rPr>
          <w:rFonts w:hint="default"/>
          <w:color w:val="auto"/>
        </w:rPr>
        <w:t>为6.3kg。本次评价事故状态按照</w:t>
      </w:r>
      <w:r>
        <w:rPr>
          <w:rFonts w:hint="eastAsia"/>
          <w:color w:val="auto"/>
          <w:lang w:val="en-US" w:eastAsia="zh-CN"/>
        </w:rPr>
        <w:t>10</w:t>
      </w:r>
      <w:r>
        <w:rPr>
          <w:rFonts w:hint="default"/>
          <w:color w:val="auto"/>
        </w:rPr>
        <w:t>×10</w:t>
      </w:r>
      <w:r>
        <w:rPr>
          <w:rFonts w:hint="default"/>
          <w:color w:val="auto"/>
          <w:vertAlign w:val="superscript"/>
        </w:rPr>
        <w:t>4</w:t>
      </w:r>
      <w:r>
        <w:rPr>
          <w:rFonts w:hint="default"/>
          <w:color w:val="auto"/>
        </w:rPr>
        <w:t>m</w:t>
      </w:r>
      <w:r>
        <w:rPr>
          <w:rFonts w:hint="default"/>
          <w:color w:val="auto"/>
          <w:vertAlign w:val="superscript"/>
        </w:rPr>
        <w:t>3</w:t>
      </w:r>
      <w:r>
        <w:rPr>
          <w:rFonts w:hint="default"/>
          <w:color w:val="auto"/>
        </w:rPr>
        <w:t>天然气放空燃烧进行核算，燃烧产生废气量</w:t>
      </w:r>
      <w:r>
        <w:rPr>
          <w:rFonts w:hint="eastAsia"/>
          <w:color w:val="auto"/>
          <w:lang w:val="en-US" w:eastAsia="zh-CN"/>
        </w:rPr>
        <w:t>10.89</w:t>
      </w:r>
      <w:r>
        <w:rPr>
          <w:rFonts w:hint="default"/>
          <w:color w:val="auto"/>
        </w:rPr>
        <w:t>万m</w:t>
      </w:r>
      <w:r>
        <w:rPr>
          <w:rFonts w:hint="default"/>
          <w:color w:val="auto"/>
          <w:vertAlign w:val="superscript"/>
        </w:rPr>
        <w:t>3</w:t>
      </w:r>
      <w:r>
        <w:rPr>
          <w:rFonts w:hint="default"/>
          <w:color w:val="auto"/>
        </w:rPr>
        <w:t>，NO</w:t>
      </w:r>
      <w:r>
        <w:rPr>
          <w:rFonts w:hint="default"/>
          <w:color w:val="auto"/>
          <w:vertAlign w:val="subscript"/>
        </w:rPr>
        <w:t>x</w:t>
      </w:r>
      <w:r>
        <w:rPr>
          <w:rFonts w:hint="default"/>
          <w:color w:val="auto"/>
        </w:rPr>
        <w:t>的产生量为</w:t>
      </w:r>
      <w:r>
        <w:rPr>
          <w:rFonts w:hint="eastAsia"/>
          <w:color w:val="auto"/>
          <w:lang w:val="en-US" w:eastAsia="zh-CN"/>
        </w:rPr>
        <w:t>0.015</w:t>
      </w:r>
      <w:r>
        <w:rPr>
          <w:rFonts w:hint="default"/>
          <w:color w:val="auto"/>
        </w:rPr>
        <w:t>t，SO</w:t>
      </w:r>
      <w:r>
        <w:rPr>
          <w:rFonts w:hint="default"/>
          <w:color w:val="auto"/>
          <w:vertAlign w:val="subscript"/>
        </w:rPr>
        <w:t>2</w:t>
      </w:r>
      <w:r>
        <w:rPr>
          <w:rFonts w:hint="default"/>
          <w:color w:val="auto"/>
        </w:rPr>
        <w:t>产生量为</w:t>
      </w:r>
      <w:r>
        <w:rPr>
          <w:rFonts w:hint="eastAsia"/>
          <w:color w:val="auto"/>
          <w:lang w:val="en-US" w:eastAsia="zh-CN"/>
        </w:rPr>
        <w:t>0.063</w:t>
      </w:r>
      <w:r>
        <w:rPr>
          <w:rFonts w:hint="default"/>
          <w:color w:val="auto"/>
        </w:rPr>
        <w:t>t。</w:t>
      </w:r>
    </w:p>
    <w:p w14:paraId="424E8156">
      <w:pPr>
        <w:pStyle w:val="79"/>
        <w:bidi w:val="0"/>
        <w:rPr>
          <w:rFonts w:hint="default"/>
          <w:color w:val="auto"/>
        </w:rPr>
      </w:pPr>
      <w:r>
        <w:rPr>
          <w:rFonts w:hint="default"/>
          <w:color w:val="auto"/>
        </w:rPr>
        <w:t>本项目油气集输过程中，若井口压力过高，此时利用防喷器迅速封闭井口，打开放喷管线阀门泄压，采出液通过放喷管线直接进入放喷池，事故放喷一般时间较短。拟建工程井场非正常排放见表3.</w:t>
      </w:r>
      <w:r>
        <w:rPr>
          <w:rFonts w:hint="eastAsia"/>
          <w:color w:val="auto"/>
          <w:lang w:val="en-US" w:eastAsia="zh-CN"/>
        </w:rPr>
        <w:t>3-18</w:t>
      </w:r>
      <w:r>
        <w:rPr>
          <w:rFonts w:hint="default"/>
          <w:color w:val="auto"/>
        </w:rPr>
        <w:t>。</w:t>
      </w:r>
    </w:p>
    <w:p w14:paraId="79BACB18">
      <w:pPr>
        <w:pStyle w:val="61"/>
        <w:bidi w:val="0"/>
        <w:jc w:val="both"/>
        <w:rPr>
          <w:rFonts w:hint="default"/>
          <w:color w:val="auto"/>
        </w:rPr>
      </w:pPr>
      <w:r>
        <w:rPr>
          <w:rFonts w:hint="default"/>
          <w:color w:val="auto"/>
        </w:rPr>
        <w:t>表3.</w:t>
      </w:r>
      <w:r>
        <w:rPr>
          <w:rFonts w:hint="eastAsia"/>
          <w:color w:val="auto"/>
          <w:lang w:val="en-US" w:eastAsia="zh-CN"/>
        </w:rPr>
        <w:t>3-18</w:t>
      </w:r>
      <w:r>
        <w:rPr>
          <w:rFonts w:hint="default"/>
          <w:color w:val="auto"/>
        </w:rPr>
        <w:t xml:space="preserve">     </w:t>
      </w:r>
      <w:r>
        <w:rPr>
          <w:rFonts w:hint="eastAsia"/>
          <w:color w:val="auto"/>
          <w:lang w:val="en-US" w:eastAsia="zh-CN"/>
        </w:rPr>
        <w:t xml:space="preserve"> </w:t>
      </w:r>
      <w:r>
        <w:rPr>
          <w:rFonts w:hint="default"/>
          <w:color w:val="auto"/>
        </w:rPr>
        <w:t>井场非正常排放情况一览表</w:t>
      </w:r>
    </w:p>
    <w:tbl>
      <w:tblPr>
        <w:tblStyle w:val="36"/>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667"/>
        <w:gridCol w:w="1757"/>
        <w:gridCol w:w="1374"/>
        <w:gridCol w:w="1379"/>
        <w:gridCol w:w="1246"/>
        <w:gridCol w:w="1246"/>
      </w:tblGrid>
      <w:tr w14:paraId="03F376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61" w:type="pct"/>
            <w:tcBorders>
              <w:tl2br w:val="nil"/>
              <w:tr2bl w:val="nil"/>
            </w:tcBorders>
            <w:noWrap w:val="0"/>
            <w:vAlign w:val="center"/>
          </w:tcPr>
          <w:p w14:paraId="39F1A937">
            <w:pPr>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非正常排放源</w:t>
            </w:r>
          </w:p>
        </w:tc>
        <w:tc>
          <w:tcPr>
            <w:tcW w:w="1013" w:type="pct"/>
            <w:tcBorders>
              <w:tl2br w:val="nil"/>
              <w:tr2bl w:val="nil"/>
            </w:tcBorders>
            <w:noWrap w:val="0"/>
            <w:vAlign w:val="center"/>
          </w:tcPr>
          <w:p w14:paraId="7DDB64BA">
            <w:pPr>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非正常排放原因</w:t>
            </w:r>
          </w:p>
        </w:tc>
        <w:tc>
          <w:tcPr>
            <w:tcW w:w="792" w:type="pct"/>
            <w:tcBorders>
              <w:tl2br w:val="nil"/>
              <w:tr2bl w:val="nil"/>
            </w:tcBorders>
            <w:noWrap w:val="0"/>
            <w:vAlign w:val="center"/>
          </w:tcPr>
          <w:p w14:paraId="238E20CD">
            <w:pPr>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污染物</w:t>
            </w:r>
          </w:p>
        </w:tc>
        <w:tc>
          <w:tcPr>
            <w:tcW w:w="795" w:type="pct"/>
            <w:tcBorders>
              <w:tl2br w:val="nil"/>
              <w:tr2bl w:val="nil"/>
            </w:tcBorders>
            <w:noWrap w:val="0"/>
            <w:vAlign w:val="center"/>
          </w:tcPr>
          <w:p w14:paraId="1E7EB31B">
            <w:pPr>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污染物排放速率/(kg/h)</w:t>
            </w:r>
          </w:p>
        </w:tc>
        <w:tc>
          <w:tcPr>
            <w:tcW w:w="718" w:type="pct"/>
            <w:tcBorders>
              <w:tl2br w:val="nil"/>
              <w:tr2bl w:val="nil"/>
            </w:tcBorders>
            <w:noWrap w:val="0"/>
            <w:vAlign w:val="center"/>
          </w:tcPr>
          <w:p w14:paraId="0CF9384D">
            <w:pPr>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单次持续时间/h</w:t>
            </w:r>
          </w:p>
        </w:tc>
        <w:tc>
          <w:tcPr>
            <w:tcW w:w="718" w:type="pct"/>
            <w:tcBorders>
              <w:tl2br w:val="nil"/>
              <w:tr2bl w:val="nil"/>
            </w:tcBorders>
            <w:noWrap w:val="0"/>
            <w:vAlign w:val="center"/>
          </w:tcPr>
          <w:p w14:paraId="0421B203">
            <w:pPr>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年发生频次/次</w:t>
            </w:r>
          </w:p>
        </w:tc>
      </w:tr>
      <w:tr w14:paraId="05B079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61" w:type="pct"/>
            <w:tcBorders>
              <w:tl2br w:val="nil"/>
              <w:tr2bl w:val="nil"/>
            </w:tcBorders>
            <w:noWrap w:val="0"/>
            <w:vAlign w:val="center"/>
          </w:tcPr>
          <w:p w14:paraId="3C2C92F9">
            <w:pPr>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放喷口</w:t>
            </w:r>
          </w:p>
        </w:tc>
        <w:tc>
          <w:tcPr>
            <w:tcW w:w="1013" w:type="pct"/>
            <w:tcBorders>
              <w:tl2br w:val="nil"/>
              <w:tr2bl w:val="nil"/>
            </w:tcBorders>
            <w:noWrap w:val="0"/>
            <w:vAlign w:val="center"/>
          </w:tcPr>
          <w:p w14:paraId="2E6D8D79">
            <w:pPr>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井口压力过高</w:t>
            </w:r>
          </w:p>
        </w:tc>
        <w:tc>
          <w:tcPr>
            <w:tcW w:w="792" w:type="pct"/>
            <w:tcBorders>
              <w:tl2br w:val="nil"/>
              <w:tr2bl w:val="nil"/>
            </w:tcBorders>
            <w:noWrap w:val="0"/>
            <w:vAlign w:val="center"/>
          </w:tcPr>
          <w:p w14:paraId="4E0021E4">
            <w:pPr>
              <w:widowControl/>
              <w:adjustRightInd w:val="0"/>
              <w:snapToGrid w:val="0"/>
              <w:spacing w:line="0" w:lineRule="atLeast"/>
              <w:jc w:val="center"/>
              <w:rPr>
                <w:rFonts w:hint="default" w:ascii="Times New Roman" w:hAnsi="Times New Roman" w:eastAsia="宋体" w:cs="Times New Roman"/>
                <w:color w:val="auto"/>
                <w:spacing w:val="-10"/>
                <w:kern w:val="0"/>
                <w:sz w:val="21"/>
                <w:szCs w:val="21"/>
                <w:highlight w:val="none"/>
              </w:rPr>
            </w:pPr>
            <w:r>
              <w:rPr>
                <w:rFonts w:hint="default" w:ascii="Times New Roman" w:hAnsi="Times New Roman" w:eastAsia="宋体" w:cs="Times New Roman"/>
                <w:color w:val="auto"/>
                <w:spacing w:val="-10"/>
                <w:kern w:val="0"/>
                <w:sz w:val="21"/>
                <w:szCs w:val="21"/>
                <w:highlight w:val="none"/>
              </w:rPr>
              <w:t>非甲烷总烃</w:t>
            </w:r>
          </w:p>
        </w:tc>
        <w:tc>
          <w:tcPr>
            <w:tcW w:w="795" w:type="pct"/>
            <w:tcBorders>
              <w:tl2br w:val="nil"/>
              <w:tr2bl w:val="nil"/>
            </w:tcBorders>
            <w:noWrap w:val="0"/>
            <w:vAlign w:val="center"/>
          </w:tcPr>
          <w:p w14:paraId="39760FAC">
            <w:pPr>
              <w:widowControl/>
              <w:adjustRightInd w:val="0"/>
              <w:snapToGrid w:val="0"/>
              <w:spacing w:line="0" w:lineRule="atLeast"/>
              <w:jc w:val="center"/>
              <w:rPr>
                <w:rFonts w:hint="default" w:ascii="Times New Roman" w:hAnsi="Times New Roman" w:eastAsia="宋体" w:cs="Times New Roman"/>
                <w:color w:val="auto"/>
                <w:spacing w:val="-10"/>
                <w:kern w:val="0"/>
                <w:sz w:val="21"/>
                <w:szCs w:val="21"/>
                <w:highlight w:val="none"/>
              </w:rPr>
            </w:pPr>
            <w:r>
              <w:rPr>
                <w:rFonts w:hint="default" w:ascii="Times New Roman" w:hAnsi="Times New Roman" w:eastAsia="宋体" w:cs="Times New Roman"/>
                <w:color w:val="auto"/>
                <w:spacing w:val="-10"/>
                <w:kern w:val="0"/>
                <w:sz w:val="21"/>
                <w:szCs w:val="21"/>
                <w:highlight w:val="none"/>
              </w:rPr>
              <w:t>0.8</w:t>
            </w:r>
          </w:p>
        </w:tc>
        <w:tc>
          <w:tcPr>
            <w:tcW w:w="718" w:type="pct"/>
            <w:tcBorders>
              <w:tl2br w:val="nil"/>
              <w:tr2bl w:val="nil"/>
            </w:tcBorders>
            <w:noWrap w:val="0"/>
            <w:vAlign w:val="center"/>
          </w:tcPr>
          <w:p w14:paraId="67C52DA8">
            <w:pPr>
              <w:widowControl/>
              <w:adjustRightInd w:val="0"/>
              <w:snapToGrid w:val="0"/>
              <w:spacing w:line="0" w:lineRule="atLeast"/>
              <w:jc w:val="center"/>
              <w:rPr>
                <w:rFonts w:hint="default" w:ascii="Times New Roman" w:hAnsi="Times New Roman" w:eastAsia="宋体" w:cs="Times New Roman"/>
                <w:color w:val="auto"/>
                <w:spacing w:val="-10"/>
                <w:kern w:val="0"/>
                <w:sz w:val="21"/>
                <w:szCs w:val="21"/>
                <w:highlight w:val="none"/>
              </w:rPr>
            </w:pPr>
            <w:r>
              <w:rPr>
                <w:rFonts w:hint="default" w:ascii="Times New Roman" w:hAnsi="Times New Roman" w:eastAsia="宋体" w:cs="Times New Roman"/>
                <w:color w:val="auto"/>
                <w:spacing w:val="-10"/>
                <w:kern w:val="0"/>
                <w:sz w:val="21"/>
                <w:szCs w:val="21"/>
                <w:highlight w:val="none"/>
              </w:rPr>
              <w:t>0.17</w:t>
            </w:r>
          </w:p>
        </w:tc>
        <w:tc>
          <w:tcPr>
            <w:tcW w:w="718" w:type="pct"/>
            <w:tcBorders>
              <w:tl2br w:val="nil"/>
              <w:tr2bl w:val="nil"/>
            </w:tcBorders>
            <w:noWrap w:val="0"/>
            <w:vAlign w:val="center"/>
          </w:tcPr>
          <w:p w14:paraId="6AA1A924">
            <w:pPr>
              <w:widowControl/>
              <w:adjustRightInd w:val="0"/>
              <w:snapToGrid w:val="0"/>
              <w:spacing w:line="0" w:lineRule="atLeast"/>
              <w:jc w:val="center"/>
              <w:rPr>
                <w:rFonts w:hint="default" w:ascii="Times New Roman" w:hAnsi="Times New Roman" w:eastAsia="宋体" w:cs="Times New Roman"/>
                <w:color w:val="auto"/>
                <w:spacing w:val="-10"/>
                <w:kern w:val="0"/>
                <w:sz w:val="21"/>
                <w:szCs w:val="21"/>
                <w:highlight w:val="none"/>
              </w:rPr>
            </w:pPr>
            <w:r>
              <w:rPr>
                <w:rFonts w:hint="default" w:ascii="Times New Roman" w:hAnsi="Times New Roman" w:eastAsia="宋体" w:cs="Times New Roman"/>
                <w:color w:val="auto"/>
                <w:spacing w:val="-10"/>
                <w:kern w:val="0"/>
                <w:sz w:val="21"/>
                <w:szCs w:val="21"/>
                <w:highlight w:val="none"/>
              </w:rPr>
              <w:t>1</w:t>
            </w:r>
          </w:p>
        </w:tc>
      </w:tr>
    </w:tbl>
    <w:p w14:paraId="33FD2F75">
      <w:pPr>
        <w:pStyle w:val="79"/>
        <w:bidi w:val="0"/>
        <w:rPr>
          <w:rFonts w:hint="default"/>
          <w:color w:val="auto"/>
        </w:rPr>
      </w:pPr>
      <w:r>
        <w:rPr>
          <w:rFonts w:hint="default"/>
          <w:color w:val="auto"/>
        </w:rPr>
        <w:t>拟建工程运行过程中，项目集输管线可能由于腐蚀、老化或其他原因破损泄漏，会对周边土壤造成一定的污染。发生事故后应及时维修，将周围污染的土壤收集置于密闭容器中，委托有资质单位进行接收处置。现英买采油气管理区具备完善的事故应急预案及风险防范措施，定期巡线，可以大大降低事故的发生概率。</w:t>
      </w:r>
    </w:p>
    <w:p w14:paraId="35E4E06B">
      <w:pPr>
        <w:pStyle w:val="79"/>
        <w:bidi w:val="0"/>
        <w:rPr>
          <w:rFonts w:hint="default"/>
          <w:color w:val="auto"/>
          <w:lang w:val="en-US" w:eastAsia="zh-CN"/>
        </w:rPr>
      </w:pPr>
      <w:r>
        <w:rPr>
          <w:rFonts w:hint="default"/>
          <w:color w:val="auto"/>
          <w:lang w:val="en-US" w:eastAsia="zh-CN"/>
        </w:rPr>
        <w:t>（</w:t>
      </w:r>
      <w:r>
        <w:rPr>
          <w:rFonts w:hint="eastAsia"/>
          <w:color w:val="auto"/>
          <w:lang w:val="en-US" w:eastAsia="zh-CN"/>
        </w:rPr>
        <w:t>2</w:t>
      </w:r>
      <w:r>
        <w:rPr>
          <w:rFonts w:hint="default"/>
          <w:color w:val="auto"/>
          <w:lang w:val="en-US" w:eastAsia="zh-CN"/>
        </w:rPr>
        <w:t>）</w:t>
      </w:r>
      <w:r>
        <w:rPr>
          <w:rFonts w:hint="eastAsia"/>
          <w:color w:val="auto"/>
          <w:lang w:val="en-US" w:eastAsia="zh-CN"/>
        </w:rPr>
        <w:t>固体废物</w:t>
      </w:r>
    </w:p>
    <w:p w14:paraId="2D5DAA1B">
      <w:pPr>
        <w:pStyle w:val="79"/>
        <w:bidi w:val="0"/>
        <w:rPr>
          <w:rFonts w:hint="default"/>
          <w:color w:val="auto"/>
          <w:lang w:val="en-US" w:eastAsia="zh-CN"/>
        </w:rPr>
      </w:pPr>
      <w:r>
        <w:rPr>
          <w:rFonts w:hint="default"/>
          <w:color w:val="auto"/>
          <w:lang w:val="en-US" w:eastAsia="zh-CN"/>
        </w:rPr>
        <w:t>放散管用于排放管道内部的空气或燃气。在管道投入运行时排出管内空气，在管道或设备检修时排放管内的燃气，防止在管道内形成爆炸性的混合气体；主要用于排放压力较低、排放量较小的气体，气体排放相对均匀、缓慢。</w:t>
      </w:r>
    </w:p>
    <w:p w14:paraId="063260F8">
      <w:pPr>
        <w:pStyle w:val="79"/>
        <w:bidi w:val="0"/>
        <w:rPr>
          <w:rFonts w:hint="default"/>
          <w:color w:val="auto"/>
          <w:lang w:val="en-US" w:eastAsia="zh-CN"/>
        </w:rPr>
      </w:pPr>
      <w:r>
        <w:rPr>
          <w:rFonts w:hint="eastAsia"/>
          <w:color w:val="auto"/>
          <w:lang w:val="en-US" w:eastAsia="zh-CN"/>
        </w:rPr>
        <w:t>碱液罐体积为30m</w:t>
      </w:r>
      <w:r>
        <w:rPr>
          <w:rFonts w:hint="eastAsia"/>
          <w:color w:val="auto"/>
          <w:vertAlign w:val="superscript"/>
          <w:lang w:val="en-US" w:eastAsia="zh-CN"/>
        </w:rPr>
        <w:t>3</w:t>
      </w:r>
      <w:r>
        <w:rPr>
          <w:rFonts w:hint="eastAsia"/>
          <w:color w:val="auto"/>
          <w:lang w:val="en-US" w:eastAsia="zh-CN"/>
        </w:rPr>
        <w:t>，每2年更换1次，则废碱液产生量为15m</w:t>
      </w:r>
      <w:r>
        <w:rPr>
          <w:rFonts w:hint="eastAsia"/>
          <w:color w:val="auto"/>
          <w:vertAlign w:val="superscript"/>
          <w:lang w:val="en-US" w:eastAsia="zh-CN"/>
        </w:rPr>
        <w:t>3</w:t>
      </w:r>
      <w:r>
        <w:rPr>
          <w:rFonts w:hint="eastAsia"/>
          <w:color w:val="auto"/>
          <w:lang w:val="en-US" w:eastAsia="zh-CN"/>
        </w:rPr>
        <w:t>，废碱液交由有危险废物处置资质的单位处置。</w:t>
      </w:r>
    </w:p>
    <w:p w14:paraId="1CFB4BCD">
      <w:pPr>
        <w:keepNext/>
        <w:keepLines/>
        <w:pageBreakBefore w:val="0"/>
        <w:widowControl w:val="0"/>
        <w:tabs>
          <w:tab w:val="left" w:pos="5325"/>
        </w:tabs>
        <w:kinsoku/>
        <w:wordWrap/>
        <w:overflowPunct/>
        <w:topLinePunct w:val="0"/>
        <w:autoSpaceDE/>
        <w:autoSpaceDN/>
        <w:bidi w:val="0"/>
        <w:adjustRightInd/>
        <w:snapToGrid/>
        <w:spacing w:before="313" w:beforeLines="100" w:beforeAutospacing="0" w:afterLines="0" w:afterAutospacing="0" w:line="360" w:lineRule="auto"/>
        <w:textAlignment w:val="auto"/>
        <w:outlineLvl w:val="2"/>
        <w:rPr>
          <w:rFonts w:hint="default" w:ascii="Times New Roman" w:hAnsi="Times New Roman" w:eastAsia="宋体" w:cs="Times New Roman"/>
          <w:b/>
          <w:color w:val="auto"/>
          <w:kern w:val="44"/>
          <w:sz w:val="30"/>
          <w:szCs w:val="20"/>
          <w:highlight w:val="none"/>
          <w:lang w:val="en-US" w:eastAsia="zh-CN" w:bidi="ar-SA"/>
        </w:rPr>
      </w:pPr>
      <w:r>
        <w:rPr>
          <w:rStyle w:val="181"/>
          <w:rFonts w:hint="default"/>
          <w:color w:val="auto"/>
          <w:lang w:val="en-US" w:eastAsia="zh-CN"/>
        </w:rPr>
        <w:t>3.</w:t>
      </w:r>
      <w:r>
        <w:rPr>
          <w:rStyle w:val="181"/>
          <w:rFonts w:hint="eastAsia"/>
          <w:color w:val="auto"/>
          <w:lang w:val="en-US" w:eastAsia="zh-CN"/>
        </w:rPr>
        <w:t xml:space="preserve">3.6 </w:t>
      </w:r>
      <w:r>
        <w:rPr>
          <w:rStyle w:val="181"/>
          <w:rFonts w:hint="default"/>
          <w:color w:val="auto"/>
          <w:lang w:val="en-US" w:eastAsia="zh-CN"/>
        </w:rPr>
        <w:t>清洁生产水平分析</w:t>
      </w:r>
      <w:bookmarkEnd w:id="438"/>
      <w:bookmarkEnd w:id="439"/>
      <w:bookmarkEnd w:id="440"/>
      <w:bookmarkEnd w:id="441"/>
      <w:bookmarkEnd w:id="442"/>
      <w:bookmarkEnd w:id="443"/>
      <w:r>
        <w:rPr>
          <w:rFonts w:hint="default" w:ascii="Times New Roman" w:hAnsi="Times New Roman" w:eastAsia="宋体" w:cs="Times New Roman"/>
          <w:b/>
          <w:color w:val="auto"/>
          <w:kern w:val="44"/>
          <w:sz w:val="30"/>
          <w:szCs w:val="20"/>
          <w:highlight w:val="none"/>
          <w:lang w:val="en-US" w:eastAsia="zh-CN" w:bidi="ar-SA"/>
        </w:rPr>
        <w:tab/>
      </w:r>
    </w:p>
    <w:p w14:paraId="678987D6">
      <w:pPr>
        <w:pStyle w:val="79"/>
        <w:bidi w:val="0"/>
        <w:rPr>
          <w:rFonts w:hint="default"/>
          <w:color w:val="auto"/>
          <w:lang w:val="en-US" w:eastAsia="zh-CN"/>
        </w:rPr>
      </w:pPr>
      <w:r>
        <w:rPr>
          <w:rFonts w:hint="default"/>
          <w:color w:val="auto"/>
          <w:lang w:val="en-US" w:eastAsia="zh-CN"/>
        </w:rPr>
        <w:t>所谓清洁生产是指不断采取改进设计、使用清洁的能源和原料、采用先进的工艺技术与设备、改善管理、综合利用等措施，从源头削减污染，提高资源利用效率，减少或者避免生产、服务和产品使用过程中污染物的产生和排放，以减轻或者消除对人类健康和环境的危害。</w:t>
      </w:r>
    </w:p>
    <w:p w14:paraId="4C60FF69">
      <w:pPr>
        <w:pStyle w:val="79"/>
        <w:bidi w:val="0"/>
        <w:rPr>
          <w:rFonts w:hint="default"/>
          <w:color w:val="auto"/>
          <w:lang w:val="en-US" w:eastAsia="zh-CN"/>
        </w:rPr>
      </w:pPr>
      <w:r>
        <w:rPr>
          <w:rFonts w:hint="default"/>
          <w:color w:val="auto"/>
          <w:lang w:val="en-US" w:eastAsia="zh-CN"/>
        </w:rPr>
        <w:t>清洁生产是一种新的、创造性的思维方式，它以节能、降耗、减污、增效为目标，以技术和管理为手段，通过对生产全过程的排污审核、筛选并实施污染防治措施，以消除和减少工业生产对人类健康与生态环境的影响，达到防治污染、提高经济效益的双重目的。</w:t>
      </w:r>
    </w:p>
    <w:p w14:paraId="42FF94CC">
      <w:pPr>
        <w:pStyle w:val="79"/>
        <w:bidi w:val="0"/>
        <w:rPr>
          <w:rFonts w:hint="default"/>
          <w:color w:val="auto"/>
          <w:lang w:val="en-US" w:eastAsia="zh-CN"/>
        </w:rPr>
      </w:pPr>
      <w:r>
        <w:rPr>
          <w:rFonts w:hint="default"/>
          <w:color w:val="auto"/>
          <w:lang w:val="en-US" w:eastAsia="zh-CN"/>
        </w:rPr>
        <w:t>本工程为</w:t>
      </w:r>
      <w:r>
        <w:rPr>
          <w:rFonts w:hint="eastAsia"/>
          <w:color w:val="auto"/>
          <w:lang w:val="en-US" w:eastAsia="zh-CN"/>
        </w:rPr>
        <w:t>油田</w:t>
      </w:r>
      <w:r>
        <w:rPr>
          <w:rFonts w:hint="default"/>
          <w:color w:val="auto"/>
          <w:lang w:val="en-US" w:eastAsia="zh-CN"/>
        </w:rPr>
        <w:t>开发建设项目，生产过程主要包括</w:t>
      </w:r>
      <w:r>
        <w:rPr>
          <w:rFonts w:hint="eastAsia"/>
          <w:color w:val="auto"/>
          <w:lang w:val="en-US" w:eastAsia="zh-CN"/>
        </w:rPr>
        <w:t>采油</w:t>
      </w:r>
      <w:r>
        <w:rPr>
          <w:rFonts w:hint="default"/>
          <w:color w:val="auto"/>
          <w:lang w:val="en-US" w:eastAsia="zh-CN"/>
        </w:rPr>
        <w:t>、集输和井下作业及辅助生产等。针对项目特点，本次评价对污染防治措施先进性</w:t>
      </w:r>
      <w:r>
        <w:rPr>
          <w:rFonts w:hint="eastAsia"/>
          <w:color w:val="auto"/>
          <w:lang w:val="en-US" w:eastAsia="zh-CN"/>
        </w:rPr>
        <w:t>及</w:t>
      </w:r>
      <w:r>
        <w:rPr>
          <w:rFonts w:hint="default"/>
          <w:color w:val="auto"/>
          <w:lang w:val="en-US" w:eastAsia="zh-CN"/>
        </w:rPr>
        <w:t>集输工艺先进性进行清洁生产分析。</w:t>
      </w:r>
    </w:p>
    <w:p w14:paraId="309904AA">
      <w:pPr>
        <w:pStyle w:val="55"/>
        <w:bidi w:val="0"/>
        <w:rPr>
          <w:rFonts w:hint="default"/>
          <w:color w:val="auto"/>
        </w:rPr>
      </w:pPr>
      <w:bookmarkStart w:id="446" w:name="_Toc30202"/>
      <w:bookmarkStart w:id="447" w:name="_Toc445840430"/>
      <w:bookmarkStart w:id="448" w:name="_Toc445842172"/>
      <w:bookmarkStart w:id="449" w:name="_Toc445996487"/>
      <w:r>
        <w:rPr>
          <w:rFonts w:hint="default"/>
          <w:color w:val="auto"/>
        </w:rPr>
        <w:t>3.</w:t>
      </w:r>
      <w:r>
        <w:rPr>
          <w:rFonts w:hint="eastAsia"/>
          <w:color w:val="auto"/>
          <w:lang w:val="en-US" w:eastAsia="zh-CN"/>
        </w:rPr>
        <w:t>3.6.</w:t>
      </w:r>
      <w:r>
        <w:rPr>
          <w:rFonts w:hint="default"/>
          <w:color w:val="auto"/>
        </w:rPr>
        <w:t>1</w:t>
      </w:r>
      <w:r>
        <w:rPr>
          <w:rFonts w:hint="eastAsia"/>
          <w:color w:val="auto"/>
          <w:lang w:val="en-US" w:eastAsia="zh-CN"/>
        </w:rPr>
        <w:t xml:space="preserve"> </w:t>
      </w:r>
      <w:r>
        <w:rPr>
          <w:rFonts w:hint="default"/>
          <w:color w:val="auto"/>
        </w:rPr>
        <w:t>清洁生产水平技术指标对比分析</w:t>
      </w:r>
      <w:bookmarkEnd w:id="446"/>
      <w:bookmarkEnd w:id="447"/>
      <w:bookmarkEnd w:id="448"/>
      <w:bookmarkEnd w:id="449"/>
    </w:p>
    <w:p w14:paraId="27A54CDD">
      <w:pPr>
        <w:pStyle w:val="79"/>
        <w:bidi w:val="0"/>
        <w:rPr>
          <w:rFonts w:hint="default"/>
          <w:color w:val="auto"/>
          <w:lang w:val="en-US" w:eastAsia="zh-CN"/>
        </w:rPr>
      </w:pPr>
      <w:r>
        <w:rPr>
          <w:rFonts w:hint="default"/>
          <w:color w:val="auto"/>
          <w:lang w:val="en-US" w:eastAsia="zh-CN"/>
        </w:rPr>
        <w:t>石油天然气开采业建设项目清洁生产分析指标主要包括生产工艺与装备要求、资源能源利用指标、污染物产生指标、废物回收利用指标和环境管理要求等。根据国家发展改革委、工业和信息化部2009年联合发布的《</w:t>
      </w:r>
      <w:bookmarkStart w:id="450" w:name="OLE_LINK323"/>
      <w:r>
        <w:rPr>
          <w:rFonts w:hint="default"/>
          <w:color w:val="auto"/>
          <w:lang w:val="en-US" w:eastAsia="zh-CN"/>
        </w:rPr>
        <w:t>石油天然气开采行业清洁生产评价指标体系</w:t>
      </w:r>
      <w:bookmarkEnd w:id="450"/>
      <w:r>
        <w:rPr>
          <w:rFonts w:hint="default"/>
          <w:color w:val="auto"/>
          <w:lang w:val="en-US" w:eastAsia="zh-CN"/>
        </w:rPr>
        <w:t>（试行）》对本工程的清洁生产水平进行评价。</w:t>
      </w:r>
    </w:p>
    <w:p w14:paraId="5B5C5724">
      <w:pPr>
        <w:pStyle w:val="79"/>
        <w:bidi w:val="0"/>
        <w:rPr>
          <w:rFonts w:hint="default"/>
          <w:color w:val="auto"/>
          <w:lang w:val="en-US" w:eastAsia="zh-CN"/>
        </w:rPr>
      </w:pPr>
      <w:bookmarkStart w:id="451" w:name="_Toc15942"/>
      <w:bookmarkStart w:id="452" w:name="_Toc445842173"/>
      <w:bookmarkStart w:id="453" w:name="_Toc2655"/>
      <w:r>
        <w:rPr>
          <w:rFonts w:hint="default"/>
          <w:color w:val="auto"/>
          <w:lang w:val="en-US" w:eastAsia="zh-CN"/>
        </w:rPr>
        <w:t>（1）评价指标体系</w:t>
      </w:r>
      <w:bookmarkEnd w:id="451"/>
      <w:bookmarkEnd w:id="452"/>
      <w:bookmarkEnd w:id="453"/>
    </w:p>
    <w:p w14:paraId="113193A2">
      <w:pPr>
        <w:pStyle w:val="79"/>
        <w:bidi w:val="0"/>
        <w:rPr>
          <w:rFonts w:hint="default"/>
          <w:color w:val="auto"/>
          <w:lang w:val="en-US" w:eastAsia="zh-CN"/>
        </w:rPr>
      </w:pPr>
      <w:r>
        <w:rPr>
          <w:rFonts w:hint="default"/>
          <w:color w:val="auto"/>
          <w:lang w:val="en-US" w:eastAsia="zh-CN"/>
        </w:rPr>
        <w:t>清洁生产评价指标体系由相互联系、相对独立、互相补充的系列清洁生产评价指标所组成的，是用于评价清洁生产绩效的指标集合。根据清洁生产的原则要求和指标的可度量性，评价指标体系分为定量评价和定性要求两大部分。</w:t>
      </w:r>
    </w:p>
    <w:p w14:paraId="2D3F7382">
      <w:pPr>
        <w:pStyle w:val="79"/>
        <w:bidi w:val="0"/>
        <w:rPr>
          <w:rFonts w:hint="default"/>
          <w:color w:val="auto"/>
          <w:lang w:val="en-US" w:eastAsia="zh-CN"/>
        </w:rPr>
      </w:pPr>
      <w:r>
        <w:rPr>
          <w:rFonts w:hint="default"/>
          <w:color w:val="auto"/>
          <w:lang w:val="en-US" w:eastAsia="zh-CN"/>
        </w:rPr>
        <w:t>——定量评价指标</w:t>
      </w:r>
    </w:p>
    <w:p w14:paraId="05B7F1E6">
      <w:pPr>
        <w:pStyle w:val="79"/>
        <w:bidi w:val="0"/>
        <w:rPr>
          <w:rFonts w:hint="default"/>
          <w:color w:val="auto"/>
          <w:lang w:val="en-US" w:eastAsia="zh-CN"/>
        </w:rPr>
      </w:pPr>
      <w:r>
        <w:rPr>
          <w:rFonts w:hint="default"/>
          <w:color w:val="auto"/>
          <w:lang w:val="en-US" w:eastAsia="zh-CN"/>
        </w:rPr>
        <w:t>选取有代表性的、能反映“节约能源、降低消耗、减轻污染、增加效益”等有关清洁生产最终目标的指标，建立评价模式；通过对比各项指标的实际达到值、评价基础值和指标权重值，经过计算和评分，综合考评清洁生产的状况和水平。</w:t>
      </w:r>
    </w:p>
    <w:p w14:paraId="57876286">
      <w:pPr>
        <w:pStyle w:val="79"/>
        <w:bidi w:val="0"/>
        <w:rPr>
          <w:rFonts w:hint="default"/>
          <w:color w:val="auto"/>
          <w:lang w:val="en-US" w:eastAsia="zh-CN"/>
        </w:rPr>
      </w:pPr>
      <w:r>
        <w:rPr>
          <w:rFonts w:hint="default"/>
          <w:color w:val="auto"/>
          <w:lang w:val="en-US" w:eastAsia="zh-CN"/>
        </w:rPr>
        <w:t>——定性评价指标</w:t>
      </w:r>
    </w:p>
    <w:p w14:paraId="4FF23C29">
      <w:pPr>
        <w:pStyle w:val="79"/>
        <w:bidi w:val="0"/>
        <w:rPr>
          <w:rFonts w:hint="default"/>
          <w:color w:val="auto"/>
          <w:lang w:val="en-US" w:eastAsia="zh-CN"/>
        </w:rPr>
      </w:pPr>
      <w:r>
        <w:rPr>
          <w:rFonts w:hint="default"/>
          <w:color w:val="auto"/>
          <w:lang w:val="en-US" w:eastAsia="zh-CN"/>
        </w:rPr>
        <w:t>根据国家有关推行清洁生产的产业发展和技术进步政策、资源环境保护政策规定以及行业发展规划选取，用于定性考核建设单位对有关政策、法规的符合性及清洁生产工作实施情况。</w:t>
      </w:r>
    </w:p>
    <w:p w14:paraId="78205941">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outlineLvl w:val="9"/>
        <w:rPr>
          <w:rFonts w:hint="default" w:ascii="Times New Roman" w:hAnsi="Times New Roman" w:eastAsia="宋体" w:cs="Times New Roman"/>
          <w:color w:val="auto"/>
          <w:kern w:val="2"/>
          <w:sz w:val="24"/>
          <w:szCs w:val="24"/>
          <w:highlight w:val="none"/>
          <w:lang w:val="en-US" w:eastAsia="zh-CN" w:bidi="ar-SA"/>
        </w:rPr>
      </w:pPr>
      <w:bookmarkStart w:id="454" w:name="_Toc2798"/>
      <w:r>
        <w:rPr>
          <w:rFonts w:hint="default" w:ascii="Times New Roman" w:hAnsi="Times New Roman" w:eastAsia="宋体" w:cs="Times New Roman"/>
          <w:color w:val="auto"/>
          <w:kern w:val="2"/>
          <w:sz w:val="24"/>
          <w:szCs w:val="24"/>
          <w:highlight w:val="none"/>
          <w:lang w:val="en-US" w:eastAsia="zh-CN" w:bidi="ar-SA"/>
        </w:rPr>
        <w:t>（2）评价依据</w:t>
      </w:r>
      <w:bookmarkEnd w:id="454"/>
    </w:p>
    <w:p w14:paraId="7FC782C7">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在定量评价指标体系中，各指标的评价基准值是衡量该项指标是否符合清洁生产基本要求的评价基准。本评价指标体系确定各定量评价指标的评价基准值的依据是：</w:t>
      </w:r>
    </w:p>
    <w:p w14:paraId="6C5C3B0B">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——凡国家或行业在有关政策、规划等文件中对该项指标已有明确要求的，执行国家要求的数值。</w:t>
      </w:r>
    </w:p>
    <w:p w14:paraId="499686AB">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——凡国家或行业对该项指标尚无明确要求值的，则选用国内重点大中型油气勘探开发企业近年来清洁生产所实际达到的中上等以上水平的指标值。</w:t>
      </w:r>
    </w:p>
    <w:p w14:paraId="6E59ED97">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——定量评价指标体系的评价基准值代表行业清洁生产的平均先进水平。</w:t>
      </w:r>
    </w:p>
    <w:p w14:paraId="02C3A480">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outlineLvl w:val="9"/>
        <w:rPr>
          <w:rFonts w:hint="default" w:ascii="Times New Roman" w:hAnsi="Times New Roman" w:eastAsia="宋体" w:cs="Times New Roman"/>
          <w:color w:val="auto"/>
          <w:kern w:val="24"/>
          <w:sz w:val="24"/>
          <w:szCs w:val="24"/>
          <w:highlight w:val="none"/>
          <w:lang w:val="en-US" w:eastAsia="zh-CN" w:bidi="ar-SA"/>
        </w:rPr>
      </w:pPr>
      <w:r>
        <w:rPr>
          <w:rFonts w:hint="default" w:ascii="Times New Roman" w:hAnsi="Times New Roman" w:eastAsia="宋体" w:cs="Times New Roman"/>
          <w:color w:val="auto"/>
          <w:kern w:val="24"/>
          <w:sz w:val="24"/>
          <w:szCs w:val="24"/>
          <w:highlight w:val="none"/>
          <w:lang w:val="en-US" w:eastAsia="zh-CN" w:bidi="ar-SA"/>
        </w:rPr>
        <w:t>在定性评价指标体系中，衡量该项指标是否贯彻执行国家有关政策、法规的情况，按“是”或“否”两种选择来评定。</w:t>
      </w:r>
    </w:p>
    <w:p w14:paraId="61EDBD67">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outlineLvl w:val="9"/>
        <w:rPr>
          <w:rFonts w:hint="default" w:ascii="Times New Roman" w:hAnsi="Times New Roman" w:eastAsia="宋体" w:cs="Times New Roman"/>
          <w:color w:val="auto"/>
          <w:kern w:val="24"/>
          <w:sz w:val="24"/>
          <w:szCs w:val="24"/>
          <w:highlight w:val="none"/>
          <w:lang w:val="en-US" w:eastAsia="zh-CN" w:bidi="ar-SA"/>
        </w:rPr>
      </w:pPr>
      <w:bookmarkStart w:id="455" w:name="_Toc143"/>
      <w:r>
        <w:rPr>
          <w:rFonts w:hint="default" w:ascii="Times New Roman" w:hAnsi="Times New Roman" w:eastAsia="宋体" w:cs="Times New Roman"/>
          <w:color w:val="auto"/>
          <w:kern w:val="24"/>
          <w:sz w:val="24"/>
          <w:szCs w:val="24"/>
          <w:highlight w:val="none"/>
          <w:lang w:val="en-US" w:eastAsia="zh-CN" w:bidi="ar-SA"/>
        </w:rPr>
        <w:t>（3）权重分值</w:t>
      </w:r>
      <w:bookmarkEnd w:id="455"/>
    </w:p>
    <w:p w14:paraId="4E89FB75">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清洁生产评价指标的权重值反映了该指标在整个清洁生产评价指标体系中所占的比重。它原则上是根据该项指标对油气勘探开发企业清洁生产实际效益和水平的影响程度大小及其实施的难易程度来确定的。</w:t>
      </w:r>
    </w:p>
    <w:p w14:paraId="42A47CFF">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outlineLvl w:val="9"/>
        <w:rPr>
          <w:rFonts w:hint="default" w:ascii="Times New Roman" w:hAnsi="Times New Roman" w:eastAsia="宋体" w:cs="Times New Roman"/>
          <w:color w:val="auto"/>
          <w:kern w:val="2"/>
          <w:sz w:val="24"/>
          <w:szCs w:val="24"/>
          <w:highlight w:val="none"/>
          <w:lang w:val="en-US" w:eastAsia="zh-CN" w:bidi="ar-SA"/>
        </w:rPr>
      </w:pPr>
      <w:bookmarkStart w:id="456" w:name="_Toc25134"/>
      <w:r>
        <w:rPr>
          <w:rFonts w:hint="default" w:ascii="Times New Roman" w:hAnsi="Times New Roman" w:eastAsia="宋体" w:cs="Times New Roman"/>
          <w:color w:val="auto"/>
          <w:kern w:val="2"/>
          <w:sz w:val="24"/>
          <w:szCs w:val="24"/>
          <w:highlight w:val="none"/>
          <w:lang w:val="en-US" w:eastAsia="zh-CN" w:bidi="ar-SA"/>
        </w:rPr>
        <w:t>（4）评价指标</w:t>
      </w:r>
      <w:bookmarkEnd w:id="456"/>
    </w:p>
    <w:p w14:paraId="1B7AC425">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评价指标分为定量指标和定性指标。定量指标和定性指标又分为一级指标和二级指标。一级指标为普遍性、概括性的指标；二级指标为反映油气勘探开发企业清洁生产各方面具有代表性的、易于评价考核的指标。定量评价的二级指标从其数值情况来看，可分为两类情况：一类是该指标的数值越低（小）越符合清洁生产要求（如物料消耗量、取水量、综合能耗、污染物产生量等指标）；另一类是该指标的数值越高（大）越符合清洁生产要求（如水的钻井液循环利用率、含油污泥资源化利用率、余热余能利用率等指标）。因此，对二级指标的考核评分，根据其类别采用不同的计算模式。</w:t>
      </w:r>
    </w:p>
    <w:p w14:paraId="1ADA6143">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outlineLvl w:val="9"/>
        <w:rPr>
          <w:rFonts w:hint="default" w:ascii="Times New Roman" w:hAnsi="Times New Roman" w:eastAsia="宋体" w:cs="Times New Roman"/>
          <w:color w:val="auto"/>
          <w:kern w:val="24"/>
          <w:sz w:val="24"/>
          <w:szCs w:val="24"/>
          <w:highlight w:val="none"/>
          <w:lang w:val="en-US" w:eastAsia="zh-CN" w:bidi="ar-SA"/>
        </w:rPr>
      </w:pPr>
      <w:r>
        <w:rPr>
          <w:rFonts w:hint="default" w:ascii="Times New Roman" w:hAnsi="Times New Roman" w:eastAsia="宋体" w:cs="Times New Roman"/>
          <w:color w:val="auto"/>
          <w:kern w:val="24"/>
          <w:sz w:val="24"/>
          <w:szCs w:val="24"/>
          <w:highlight w:val="none"/>
          <w:lang w:val="en-US" w:eastAsia="zh-CN" w:bidi="ar-SA"/>
        </w:rPr>
        <w:t>在行业评价指标项目、权重及基准值中未出现的指标，按照最高值进行确定，即清洁生产具有较高水平。</w:t>
      </w:r>
    </w:p>
    <w:p w14:paraId="26A8C3A2">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outlineLvl w:val="9"/>
        <w:rPr>
          <w:rFonts w:hint="default" w:ascii="Times New Roman" w:hAnsi="Times New Roman" w:eastAsia="宋体" w:cs="Times New Roman"/>
          <w:color w:val="auto"/>
          <w:kern w:val="2"/>
          <w:sz w:val="24"/>
          <w:szCs w:val="24"/>
          <w:highlight w:val="none"/>
          <w:lang w:val="en-US" w:eastAsia="zh-CN" w:bidi="ar-SA"/>
        </w:rPr>
      </w:pPr>
      <w:bookmarkStart w:id="457" w:name="_Toc445842174"/>
      <w:bookmarkStart w:id="458" w:name="_Toc4600"/>
      <w:r>
        <w:rPr>
          <w:rFonts w:hint="eastAsia" w:ascii="Times New Roman" w:hAnsi="Times New Roman" w:eastAsia="宋体" w:cs="Times New Roman"/>
          <w:color w:val="auto"/>
          <w:kern w:val="2"/>
          <w:sz w:val="24"/>
          <w:szCs w:val="24"/>
          <w:highlight w:val="none"/>
          <w:lang w:val="en-US" w:eastAsia="zh-CN" w:bidi="ar-SA"/>
        </w:rPr>
        <w:t>采油</w:t>
      </w:r>
      <w:r>
        <w:rPr>
          <w:rFonts w:hint="default" w:ascii="Times New Roman" w:hAnsi="Times New Roman" w:eastAsia="宋体" w:cs="Times New Roman"/>
          <w:color w:val="auto"/>
          <w:kern w:val="2"/>
          <w:sz w:val="24"/>
          <w:szCs w:val="24"/>
          <w:highlight w:val="none"/>
          <w:lang w:val="en-US" w:eastAsia="zh-CN" w:bidi="ar-SA"/>
        </w:rPr>
        <w:t>和集输作业定量和定性评价指标项目、权重及基准值见表3.</w:t>
      </w:r>
      <w:r>
        <w:rPr>
          <w:rFonts w:hint="eastAsia" w:cs="Times New Roman"/>
          <w:color w:val="auto"/>
          <w:kern w:val="2"/>
          <w:sz w:val="24"/>
          <w:szCs w:val="24"/>
          <w:highlight w:val="none"/>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-1</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3.</w:t>
      </w:r>
      <w:r>
        <w:rPr>
          <w:rFonts w:hint="eastAsia" w:cs="Times New Roman"/>
          <w:color w:val="auto"/>
          <w:kern w:val="2"/>
          <w:sz w:val="24"/>
          <w:szCs w:val="24"/>
          <w:highlight w:val="none"/>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w:t>
      </w:r>
    </w:p>
    <w:p w14:paraId="5F9B7814">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outlineLvl w:val="9"/>
        <w:rPr>
          <w:rFonts w:hint="default" w:ascii="Times New Roman" w:hAnsi="Times New Roman" w:eastAsia="宋体" w:cs="Times New Roman"/>
          <w:color w:val="auto"/>
          <w:kern w:val="2"/>
          <w:sz w:val="24"/>
          <w:szCs w:val="24"/>
          <w:highlight w:val="none"/>
          <w:lang w:val="en-US" w:eastAsia="zh-CN" w:bidi="ar-SA"/>
        </w:rPr>
      </w:pPr>
      <w:bookmarkStart w:id="459" w:name="_Toc15483"/>
      <w:r>
        <w:rPr>
          <w:rFonts w:hint="default" w:ascii="Times New Roman" w:hAnsi="Times New Roman" w:eastAsia="宋体" w:cs="Times New Roman"/>
          <w:color w:val="auto"/>
          <w:kern w:val="2"/>
          <w:sz w:val="24"/>
          <w:szCs w:val="24"/>
          <w:highlight w:val="none"/>
          <w:lang w:val="en-US" w:eastAsia="zh-CN" w:bidi="ar-SA"/>
        </w:rPr>
        <w:t>（5）评价指标考核评分计算</w:t>
      </w:r>
      <w:bookmarkEnd w:id="457"/>
      <w:bookmarkEnd w:id="458"/>
      <w:bookmarkEnd w:id="459"/>
    </w:p>
    <w:p w14:paraId="3B535D2D">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1）定量评价考核总分值计算</w:t>
      </w:r>
    </w:p>
    <w:p w14:paraId="0DC24D4F">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w:t>
      </w:r>
      <w:r>
        <w:rPr>
          <w:rFonts w:hint="eastAsia" w:cs="Times New Roman"/>
          <w:color w:val="auto"/>
          <w:kern w:val="2"/>
          <w:sz w:val="24"/>
          <w:szCs w:val="24"/>
          <w:highlight w:val="none"/>
          <w:lang w:val="en-US" w:eastAsia="zh-CN" w:bidi="ar-SA"/>
        </w:rPr>
        <w:t xml:space="preserve"> </w:t>
      </w:r>
      <w:r>
        <w:rPr>
          <w:rFonts w:hint="default" w:ascii="Times New Roman" w:hAnsi="Times New Roman" w:eastAsia="宋体" w:cs="Times New Roman"/>
          <w:color w:val="auto"/>
          <w:kern w:val="2"/>
          <w:sz w:val="24"/>
          <w:szCs w:val="24"/>
          <w:highlight w:val="none"/>
          <w:lang w:val="en-US" w:eastAsia="zh-CN" w:bidi="ar-SA"/>
        </w:rPr>
        <w:t>单项评价指数计算</w:t>
      </w:r>
    </w:p>
    <w:p w14:paraId="2BDFD855">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对指标数值越高（大）越符合清洁生产要求的指标，其计算公式为：</w:t>
      </w:r>
    </w:p>
    <w:p w14:paraId="75C7EE02">
      <w:pPr>
        <w:keepNext w:val="0"/>
        <w:keepLines w:val="0"/>
        <w:pageBreakBefore w:val="0"/>
        <w:widowControl/>
        <w:kinsoku/>
        <w:wordWrap/>
        <w:overflowPunct/>
        <w:topLinePunct w:val="0"/>
        <w:autoSpaceDE/>
        <w:autoSpaceDN/>
        <w:bidi w:val="0"/>
        <w:adjustRightInd/>
        <w:snapToGrid/>
        <w:spacing w:line="480" w:lineRule="exact"/>
        <w:jc w:val="center"/>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S</w:t>
      </w:r>
      <w:r>
        <w:rPr>
          <w:rFonts w:hint="default" w:ascii="Times New Roman" w:hAnsi="Times New Roman" w:eastAsia="宋体" w:cs="Times New Roman"/>
          <w:color w:val="auto"/>
          <w:kern w:val="2"/>
          <w:sz w:val="24"/>
          <w:szCs w:val="24"/>
          <w:highlight w:val="none"/>
          <w:vertAlign w:val="subscript"/>
          <w:lang w:val="en-US" w:eastAsia="zh-CN" w:bidi="ar-SA"/>
        </w:rPr>
        <w:t>i</w:t>
      </w:r>
      <w:r>
        <w:rPr>
          <w:rFonts w:hint="default" w:ascii="Times New Roman" w:hAnsi="Times New Roman" w:eastAsia="宋体" w:cs="Times New Roman"/>
          <w:color w:val="auto"/>
          <w:kern w:val="2"/>
          <w:sz w:val="24"/>
          <w:szCs w:val="24"/>
          <w:highlight w:val="none"/>
          <w:lang w:val="en-US" w:eastAsia="zh-CN" w:bidi="ar-SA"/>
        </w:rPr>
        <w:t>=S</w:t>
      </w:r>
      <w:r>
        <w:rPr>
          <w:rFonts w:hint="default" w:ascii="Times New Roman" w:hAnsi="Times New Roman" w:eastAsia="宋体" w:cs="Times New Roman"/>
          <w:color w:val="auto"/>
          <w:kern w:val="2"/>
          <w:sz w:val="24"/>
          <w:szCs w:val="24"/>
          <w:highlight w:val="none"/>
          <w:vertAlign w:val="subscript"/>
          <w:lang w:val="en-US" w:eastAsia="zh-CN" w:bidi="ar-SA"/>
        </w:rPr>
        <w:t>xi</w:t>
      </w:r>
      <w:r>
        <w:rPr>
          <w:rFonts w:hint="default" w:ascii="Times New Roman" w:hAnsi="Times New Roman" w:eastAsia="宋体" w:cs="Times New Roman"/>
          <w:color w:val="auto"/>
          <w:kern w:val="2"/>
          <w:sz w:val="24"/>
          <w:szCs w:val="24"/>
          <w:highlight w:val="none"/>
          <w:lang w:val="en-US" w:eastAsia="zh-CN" w:bidi="ar-SA"/>
        </w:rPr>
        <w:t>/S</w:t>
      </w:r>
      <w:r>
        <w:rPr>
          <w:rFonts w:hint="default" w:ascii="Times New Roman" w:hAnsi="Times New Roman" w:eastAsia="宋体" w:cs="Times New Roman"/>
          <w:color w:val="auto"/>
          <w:kern w:val="2"/>
          <w:sz w:val="24"/>
          <w:szCs w:val="24"/>
          <w:highlight w:val="none"/>
          <w:vertAlign w:val="subscript"/>
          <w:lang w:val="en-US" w:eastAsia="zh-CN" w:bidi="ar-SA"/>
        </w:rPr>
        <w:t>oi</w:t>
      </w:r>
    </w:p>
    <w:p w14:paraId="2BE9144C">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对指标数值越低（小）越符合清洁生产要求的指标，其计算公式为：</w:t>
      </w:r>
    </w:p>
    <w:p w14:paraId="029363BD">
      <w:pPr>
        <w:keepNext w:val="0"/>
        <w:keepLines w:val="0"/>
        <w:pageBreakBefore w:val="0"/>
        <w:widowControl/>
        <w:kinsoku/>
        <w:wordWrap/>
        <w:overflowPunct/>
        <w:topLinePunct w:val="0"/>
        <w:autoSpaceDE/>
        <w:autoSpaceDN/>
        <w:bidi w:val="0"/>
        <w:adjustRightInd/>
        <w:snapToGrid/>
        <w:spacing w:line="480" w:lineRule="exact"/>
        <w:jc w:val="center"/>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S</w:t>
      </w:r>
      <w:r>
        <w:rPr>
          <w:rFonts w:hint="default" w:ascii="Times New Roman" w:hAnsi="Times New Roman" w:eastAsia="宋体" w:cs="Times New Roman"/>
          <w:color w:val="auto"/>
          <w:kern w:val="2"/>
          <w:sz w:val="24"/>
          <w:szCs w:val="24"/>
          <w:highlight w:val="none"/>
          <w:vertAlign w:val="subscript"/>
          <w:lang w:val="en-US" w:eastAsia="zh-CN" w:bidi="ar-SA"/>
        </w:rPr>
        <w:t>i</w:t>
      </w:r>
      <w:r>
        <w:rPr>
          <w:rFonts w:hint="default" w:ascii="Times New Roman" w:hAnsi="Times New Roman" w:eastAsia="宋体" w:cs="Times New Roman"/>
          <w:color w:val="auto"/>
          <w:kern w:val="2"/>
          <w:sz w:val="24"/>
          <w:szCs w:val="24"/>
          <w:highlight w:val="none"/>
          <w:lang w:val="en-US" w:eastAsia="zh-CN" w:bidi="ar-SA"/>
        </w:rPr>
        <w:t>=S</w:t>
      </w:r>
      <w:r>
        <w:rPr>
          <w:rFonts w:hint="default" w:ascii="Times New Roman" w:hAnsi="Times New Roman" w:eastAsia="宋体" w:cs="Times New Roman"/>
          <w:color w:val="auto"/>
          <w:kern w:val="2"/>
          <w:sz w:val="24"/>
          <w:szCs w:val="24"/>
          <w:highlight w:val="none"/>
          <w:vertAlign w:val="subscript"/>
          <w:lang w:val="en-US" w:eastAsia="zh-CN" w:bidi="ar-SA"/>
        </w:rPr>
        <w:t>oi</w:t>
      </w:r>
      <w:r>
        <w:rPr>
          <w:rFonts w:hint="default" w:ascii="Times New Roman" w:hAnsi="Times New Roman" w:eastAsia="宋体" w:cs="Times New Roman"/>
          <w:color w:val="auto"/>
          <w:kern w:val="2"/>
          <w:sz w:val="24"/>
          <w:szCs w:val="24"/>
          <w:highlight w:val="none"/>
          <w:lang w:val="en-US" w:eastAsia="zh-CN" w:bidi="ar-SA"/>
        </w:rPr>
        <w:t>/S</w:t>
      </w:r>
      <w:r>
        <w:rPr>
          <w:rFonts w:hint="default" w:ascii="Times New Roman" w:hAnsi="Times New Roman" w:eastAsia="宋体" w:cs="Times New Roman"/>
          <w:color w:val="auto"/>
          <w:kern w:val="2"/>
          <w:sz w:val="24"/>
          <w:szCs w:val="24"/>
          <w:highlight w:val="none"/>
          <w:vertAlign w:val="subscript"/>
          <w:lang w:val="en-US" w:eastAsia="zh-CN" w:bidi="ar-SA"/>
        </w:rPr>
        <w:t>xi</w:t>
      </w:r>
    </w:p>
    <w:p w14:paraId="7EEF3F77">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式中：S</w:t>
      </w:r>
      <w:r>
        <w:rPr>
          <w:rFonts w:hint="default" w:ascii="Times New Roman" w:hAnsi="Times New Roman" w:eastAsia="宋体" w:cs="Times New Roman"/>
          <w:color w:val="auto"/>
          <w:kern w:val="2"/>
          <w:sz w:val="24"/>
          <w:szCs w:val="24"/>
          <w:highlight w:val="none"/>
          <w:vertAlign w:val="subscript"/>
          <w:lang w:val="en-US" w:eastAsia="zh-CN" w:bidi="ar-SA"/>
        </w:rPr>
        <w:t>i</w:t>
      </w:r>
      <w:r>
        <w:rPr>
          <w:rFonts w:hint="default" w:ascii="Times New Roman" w:hAnsi="Times New Roman" w:eastAsia="宋体" w:cs="Times New Roman"/>
          <w:color w:val="auto"/>
          <w:kern w:val="2"/>
          <w:sz w:val="24"/>
          <w:szCs w:val="24"/>
          <w:highlight w:val="none"/>
          <w:lang w:val="en-US" w:eastAsia="zh-CN" w:bidi="ar-SA"/>
        </w:rPr>
        <w:t>—第i项评价指标的单项评价指数。</w:t>
      </w:r>
    </w:p>
    <w:p w14:paraId="17FE71DD">
      <w:pPr>
        <w:keepNext w:val="0"/>
        <w:keepLines w:val="0"/>
        <w:pageBreakBefore w:val="0"/>
        <w:widowControl/>
        <w:kinsoku/>
        <w:wordWrap/>
        <w:overflowPunct/>
        <w:topLinePunct w:val="0"/>
        <w:autoSpaceDE/>
        <w:autoSpaceDN/>
        <w:bidi w:val="0"/>
        <w:adjustRightInd/>
        <w:snapToGrid/>
        <w:spacing w:line="480" w:lineRule="exact"/>
        <w:ind w:firstLine="1200" w:firstLineChars="500"/>
        <w:jc w:val="left"/>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S</w:t>
      </w:r>
      <w:r>
        <w:rPr>
          <w:rFonts w:hint="default" w:ascii="Times New Roman" w:hAnsi="Times New Roman" w:eastAsia="宋体" w:cs="Times New Roman"/>
          <w:color w:val="auto"/>
          <w:kern w:val="2"/>
          <w:sz w:val="24"/>
          <w:szCs w:val="24"/>
          <w:highlight w:val="none"/>
          <w:vertAlign w:val="subscript"/>
          <w:lang w:val="en-US" w:eastAsia="zh-CN" w:bidi="ar-SA"/>
        </w:rPr>
        <w:t>xi</w:t>
      </w:r>
      <w:r>
        <w:rPr>
          <w:rFonts w:hint="default" w:ascii="Times New Roman" w:hAnsi="Times New Roman" w:eastAsia="宋体" w:cs="Times New Roman"/>
          <w:color w:val="auto"/>
          <w:kern w:val="2"/>
          <w:sz w:val="24"/>
          <w:szCs w:val="24"/>
          <w:highlight w:val="none"/>
          <w:lang w:val="en-US" w:eastAsia="zh-CN" w:bidi="ar-SA"/>
        </w:rPr>
        <w:t>—第i项评价指标的实际值</w:t>
      </w:r>
    </w:p>
    <w:p w14:paraId="25BF97DC">
      <w:pPr>
        <w:keepNext w:val="0"/>
        <w:keepLines w:val="0"/>
        <w:pageBreakBefore w:val="0"/>
        <w:widowControl/>
        <w:kinsoku/>
        <w:wordWrap/>
        <w:overflowPunct/>
        <w:topLinePunct w:val="0"/>
        <w:autoSpaceDE/>
        <w:autoSpaceDN/>
        <w:bidi w:val="0"/>
        <w:adjustRightInd/>
        <w:snapToGrid/>
        <w:spacing w:line="480" w:lineRule="exact"/>
        <w:ind w:firstLine="1200" w:firstLineChars="500"/>
        <w:jc w:val="left"/>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S</w:t>
      </w:r>
      <w:r>
        <w:rPr>
          <w:rFonts w:hint="default" w:ascii="Times New Roman" w:hAnsi="Times New Roman" w:eastAsia="宋体" w:cs="Times New Roman"/>
          <w:color w:val="auto"/>
          <w:kern w:val="2"/>
          <w:sz w:val="24"/>
          <w:szCs w:val="24"/>
          <w:highlight w:val="none"/>
          <w:vertAlign w:val="subscript"/>
          <w:lang w:val="en-US" w:eastAsia="zh-CN" w:bidi="ar-SA"/>
        </w:rPr>
        <w:t>oi</w:t>
      </w:r>
      <w:r>
        <w:rPr>
          <w:rFonts w:hint="default" w:ascii="Times New Roman" w:hAnsi="Times New Roman" w:eastAsia="宋体" w:cs="Times New Roman"/>
          <w:color w:val="auto"/>
          <w:kern w:val="2"/>
          <w:sz w:val="24"/>
          <w:szCs w:val="24"/>
          <w:highlight w:val="none"/>
          <w:lang w:val="en-US" w:eastAsia="zh-CN" w:bidi="ar-SA"/>
        </w:rPr>
        <w:t>—第i项评价指标的评价基准值</w:t>
      </w:r>
    </w:p>
    <w:p w14:paraId="482A4C13">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本评价指标体系各二级指标的单项评价指数的正常值一般在1.0左右，但当实际数值远小于（或远大于）评价基准值时，计算得出的S</w:t>
      </w:r>
      <w:r>
        <w:rPr>
          <w:rFonts w:hint="default" w:ascii="Times New Roman" w:hAnsi="Times New Roman" w:eastAsia="宋体" w:cs="Times New Roman"/>
          <w:color w:val="auto"/>
          <w:kern w:val="2"/>
          <w:sz w:val="24"/>
          <w:szCs w:val="24"/>
          <w:highlight w:val="none"/>
          <w:vertAlign w:val="subscript"/>
          <w:lang w:val="en-US" w:eastAsia="zh-CN" w:bidi="ar-SA"/>
        </w:rPr>
        <w:t>i</w:t>
      </w:r>
      <w:r>
        <w:rPr>
          <w:rFonts w:hint="default" w:ascii="Times New Roman" w:hAnsi="Times New Roman" w:eastAsia="宋体" w:cs="Times New Roman"/>
          <w:color w:val="auto"/>
          <w:kern w:val="2"/>
          <w:sz w:val="24"/>
          <w:szCs w:val="24"/>
          <w:highlight w:val="none"/>
          <w:lang w:val="en-US" w:eastAsia="zh-CN" w:bidi="ar-SA"/>
        </w:rPr>
        <w:t>值就会越大，计算结果就会偏离实际，对其他评价指标的单项评价指数产生较大干扰。为了消除这种不合理影响，应对此进行修正处理。修正的方法是：当S</w:t>
      </w:r>
      <w:r>
        <w:rPr>
          <w:rFonts w:hint="default" w:ascii="Times New Roman" w:hAnsi="Times New Roman" w:eastAsia="宋体" w:cs="Times New Roman"/>
          <w:color w:val="auto"/>
          <w:kern w:val="2"/>
          <w:sz w:val="24"/>
          <w:szCs w:val="24"/>
          <w:highlight w:val="none"/>
          <w:vertAlign w:val="subscript"/>
          <w:lang w:val="en-US" w:eastAsia="zh-CN" w:bidi="ar-SA"/>
        </w:rPr>
        <w:t>i</w:t>
      </w:r>
      <w:r>
        <w:rPr>
          <w:rFonts w:hint="default" w:ascii="Times New Roman" w:hAnsi="Times New Roman" w:eastAsia="宋体" w:cs="Times New Roman"/>
          <w:color w:val="auto"/>
          <w:kern w:val="2"/>
          <w:sz w:val="24"/>
          <w:szCs w:val="24"/>
          <w:highlight w:val="none"/>
          <w:lang w:val="en-US" w:eastAsia="zh-CN" w:bidi="ar-SA"/>
        </w:rPr>
        <w:t>＞k/m时（其中k为该类一级指标的权重值，m为该类一级指标中实际参与考核的二级指标的项目数），取S</w:t>
      </w:r>
      <w:r>
        <w:rPr>
          <w:rFonts w:hint="default" w:ascii="Times New Roman" w:hAnsi="Times New Roman" w:eastAsia="宋体" w:cs="Times New Roman"/>
          <w:color w:val="auto"/>
          <w:kern w:val="2"/>
          <w:sz w:val="24"/>
          <w:szCs w:val="24"/>
          <w:highlight w:val="none"/>
          <w:vertAlign w:val="subscript"/>
          <w:lang w:val="en-US" w:eastAsia="zh-CN" w:bidi="ar-SA"/>
        </w:rPr>
        <w:t>i</w:t>
      </w:r>
      <w:r>
        <w:rPr>
          <w:rFonts w:hint="default" w:ascii="Times New Roman" w:hAnsi="Times New Roman" w:eastAsia="宋体" w:cs="Times New Roman"/>
          <w:color w:val="auto"/>
          <w:kern w:val="2"/>
          <w:sz w:val="24"/>
          <w:szCs w:val="24"/>
          <w:highlight w:val="none"/>
          <w:lang w:val="en-US" w:eastAsia="zh-CN" w:bidi="ar-SA"/>
        </w:rPr>
        <w:t>值为k/m。</w:t>
      </w:r>
    </w:p>
    <w:p w14:paraId="34F9CF06">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outlineLvl w:val="9"/>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②</w:t>
      </w:r>
      <w:r>
        <w:rPr>
          <w:rFonts w:hint="eastAsia" w:cs="Times New Roman"/>
          <w:color w:val="auto"/>
          <w:kern w:val="0"/>
          <w:sz w:val="24"/>
          <w:szCs w:val="24"/>
          <w:highlight w:val="none"/>
          <w:lang w:val="en-US" w:eastAsia="zh-CN"/>
        </w:rPr>
        <w:t xml:space="preserve"> </w:t>
      </w:r>
      <w:r>
        <w:rPr>
          <w:rFonts w:hint="default" w:ascii="Times New Roman" w:hAnsi="Times New Roman" w:cs="Times New Roman"/>
          <w:color w:val="auto"/>
          <w:kern w:val="0"/>
          <w:sz w:val="24"/>
          <w:szCs w:val="24"/>
          <w:highlight w:val="none"/>
        </w:rPr>
        <w:t>定量评价考核总分值计算</w:t>
      </w:r>
    </w:p>
    <w:p w14:paraId="6476D87D">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outlineLvl w:val="9"/>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定量评价考核总分值计算的计算公式为：</w:t>
      </w:r>
    </w:p>
    <w:p w14:paraId="54EE89D4">
      <w:pPr>
        <w:keepNext w:val="0"/>
        <w:keepLines w:val="0"/>
        <w:pageBreakBefore w:val="0"/>
        <w:widowControl/>
        <w:kinsoku/>
        <w:wordWrap/>
        <w:overflowPunct/>
        <w:topLinePunct w:val="0"/>
        <w:autoSpaceDE/>
        <w:autoSpaceDN/>
        <w:bidi w:val="0"/>
        <w:spacing w:line="360" w:lineRule="auto"/>
        <w:ind w:firstLine="480" w:firstLineChars="200"/>
        <w:jc w:val="left"/>
        <w:textAlignment w:val="auto"/>
        <w:outlineLvl w:val="9"/>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drawing>
          <wp:anchor distT="0" distB="0" distL="114300" distR="114300" simplePos="0" relativeHeight="251661312" behindDoc="0" locked="0" layoutInCell="1" allowOverlap="1">
            <wp:simplePos x="0" y="0"/>
            <wp:positionH relativeFrom="column">
              <wp:posOffset>2155190</wp:posOffset>
            </wp:positionH>
            <wp:positionV relativeFrom="paragraph">
              <wp:posOffset>15240</wp:posOffset>
            </wp:positionV>
            <wp:extent cx="1063625" cy="535940"/>
            <wp:effectExtent l="0" t="0" r="3175" b="16510"/>
            <wp:wrapNone/>
            <wp:docPr id="122" name="图片 2" descr="C:\Users\ADMINI~1\AppData\Local\Temp\ksohtml\wpsBB30.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 descr="C:\Users\ADMINI~1\AppData\Local\Temp\ksohtml\wpsBB30.tmp.jpg"/>
                    <pic:cNvPicPr>
                      <a:picLocks noChangeAspect="1" noChangeArrowheads="1"/>
                    </pic:cNvPicPr>
                  </pic:nvPicPr>
                  <pic:blipFill>
                    <a:blip r:embed="rId15" cstate="print"/>
                    <a:srcRect/>
                    <a:stretch>
                      <a:fillRect/>
                    </a:stretch>
                  </pic:blipFill>
                  <pic:spPr>
                    <a:xfrm>
                      <a:off x="0" y="0"/>
                      <a:ext cx="1096010" cy="424180"/>
                    </a:xfrm>
                    <a:prstGeom prst="rect">
                      <a:avLst/>
                    </a:prstGeom>
                    <a:noFill/>
                    <a:ln w="9525">
                      <a:noFill/>
                      <a:miter lim="800000"/>
                      <a:headEnd/>
                      <a:tailEnd/>
                    </a:ln>
                    <a:effectLst/>
                  </pic:spPr>
                </pic:pic>
              </a:graphicData>
            </a:graphic>
          </wp:anchor>
        </w:drawing>
      </w:r>
    </w:p>
    <w:p w14:paraId="590D68F8">
      <w:pPr>
        <w:keepNext w:val="0"/>
        <w:keepLines w:val="0"/>
        <w:pageBreakBefore w:val="0"/>
        <w:widowControl/>
        <w:kinsoku/>
        <w:wordWrap/>
        <w:overflowPunct/>
        <w:topLinePunct w:val="0"/>
        <w:autoSpaceDE/>
        <w:autoSpaceDN/>
        <w:bidi w:val="0"/>
        <w:spacing w:line="360" w:lineRule="auto"/>
        <w:ind w:firstLine="480" w:firstLineChars="200"/>
        <w:jc w:val="left"/>
        <w:textAlignment w:val="auto"/>
        <w:outlineLvl w:val="9"/>
        <w:rPr>
          <w:rFonts w:hint="default" w:ascii="Times New Roman" w:hAnsi="Times New Roman" w:cs="Times New Roman"/>
          <w:color w:val="auto"/>
          <w:kern w:val="0"/>
          <w:sz w:val="24"/>
          <w:szCs w:val="24"/>
          <w:highlight w:val="none"/>
        </w:rPr>
      </w:pPr>
    </w:p>
    <w:p w14:paraId="231926C1">
      <w:pPr>
        <w:keepNext w:val="0"/>
        <w:keepLines w:val="0"/>
        <w:pageBreakBefore w:val="0"/>
        <w:widowControl/>
        <w:kinsoku/>
        <w:wordWrap/>
        <w:overflowPunct/>
        <w:topLinePunct w:val="0"/>
        <w:autoSpaceDE/>
        <w:autoSpaceDN/>
        <w:bidi w:val="0"/>
        <w:spacing w:line="480" w:lineRule="exact"/>
        <w:ind w:firstLine="960" w:firstLineChars="400"/>
        <w:jc w:val="left"/>
        <w:textAlignment w:val="auto"/>
        <w:outlineLvl w:val="9"/>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式中：P</w:t>
      </w:r>
      <w:r>
        <w:rPr>
          <w:rFonts w:hint="default" w:ascii="Times New Roman" w:hAnsi="Times New Roman" w:cs="Times New Roman"/>
          <w:color w:val="auto"/>
          <w:kern w:val="0"/>
          <w:sz w:val="24"/>
          <w:szCs w:val="24"/>
          <w:highlight w:val="none"/>
          <w:vertAlign w:val="subscript"/>
        </w:rPr>
        <w:t>1</w:t>
      </w:r>
      <w:r>
        <w:rPr>
          <w:rFonts w:hint="default" w:ascii="Times New Roman" w:hAnsi="Times New Roman" w:cs="Times New Roman"/>
          <w:color w:val="auto"/>
          <w:kern w:val="0"/>
          <w:sz w:val="24"/>
          <w:szCs w:val="24"/>
          <w:highlight w:val="none"/>
        </w:rPr>
        <w:t>—定量评价考核总分值；</w:t>
      </w:r>
    </w:p>
    <w:p w14:paraId="20D73191">
      <w:pPr>
        <w:keepNext w:val="0"/>
        <w:keepLines w:val="0"/>
        <w:pageBreakBefore w:val="0"/>
        <w:widowControl/>
        <w:kinsoku/>
        <w:wordWrap/>
        <w:overflowPunct/>
        <w:topLinePunct w:val="0"/>
        <w:autoSpaceDE/>
        <w:autoSpaceDN/>
        <w:bidi w:val="0"/>
        <w:spacing w:line="480" w:lineRule="exact"/>
        <w:ind w:firstLine="960" w:firstLineChars="400"/>
        <w:jc w:val="left"/>
        <w:textAlignment w:val="auto"/>
        <w:outlineLvl w:val="9"/>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n—参与定量评价考核的二级指标项目总数；</w:t>
      </w:r>
    </w:p>
    <w:p w14:paraId="0832F30E">
      <w:pPr>
        <w:keepNext w:val="0"/>
        <w:keepLines w:val="0"/>
        <w:pageBreakBefore w:val="0"/>
        <w:widowControl/>
        <w:kinsoku/>
        <w:wordWrap/>
        <w:overflowPunct/>
        <w:topLinePunct w:val="0"/>
        <w:autoSpaceDE/>
        <w:autoSpaceDN/>
        <w:bidi w:val="0"/>
        <w:spacing w:line="480" w:lineRule="exact"/>
        <w:ind w:firstLine="960" w:firstLineChars="400"/>
        <w:jc w:val="left"/>
        <w:textAlignment w:val="auto"/>
        <w:outlineLvl w:val="9"/>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S</w:t>
      </w:r>
      <w:r>
        <w:rPr>
          <w:rFonts w:hint="default" w:ascii="Times New Roman" w:hAnsi="Times New Roman" w:cs="Times New Roman"/>
          <w:color w:val="auto"/>
          <w:kern w:val="0"/>
          <w:sz w:val="24"/>
          <w:szCs w:val="24"/>
          <w:highlight w:val="none"/>
          <w:vertAlign w:val="subscript"/>
        </w:rPr>
        <w:t>i</w:t>
      </w:r>
      <w:r>
        <w:rPr>
          <w:rFonts w:hint="default" w:ascii="Times New Roman" w:hAnsi="Times New Roman" w:cs="Times New Roman"/>
          <w:color w:val="auto"/>
          <w:kern w:val="0"/>
          <w:sz w:val="24"/>
          <w:szCs w:val="24"/>
          <w:highlight w:val="none"/>
        </w:rPr>
        <w:t>—第i项评价指标的单项评价指数；</w:t>
      </w:r>
    </w:p>
    <w:p w14:paraId="554265B6">
      <w:pPr>
        <w:keepNext w:val="0"/>
        <w:keepLines w:val="0"/>
        <w:pageBreakBefore w:val="0"/>
        <w:widowControl/>
        <w:kinsoku/>
        <w:wordWrap/>
        <w:overflowPunct/>
        <w:topLinePunct w:val="0"/>
        <w:autoSpaceDE/>
        <w:autoSpaceDN/>
        <w:bidi w:val="0"/>
        <w:adjustRightInd w:val="0"/>
        <w:snapToGrid w:val="0"/>
        <w:spacing w:line="480" w:lineRule="exact"/>
        <w:ind w:firstLine="960" w:firstLineChars="400"/>
        <w:jc w:val="left"/>
        <w:textAlignment w:val="auto"/>
        <w:outlineLvl w:val="9"/>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K</w:t>
      </w:r>
      <w:r>
        <w:rPr>
          <w:rFonts w:hint="default" w:ascii="Times New Roman" w:hAnsi="Times New Roman" w:cs="Times New Roman"/>
          <w:color w:val="auto"/>
          <w:kern w:val="0"/>
          <w:sz w:val="24"/>
          <w:szCs w:val="24"/>
          <w:highlight w:val="none"/>
          <w:vertAlign w:val="subscript"/>
        </w:rPr>
        <w:t>i</w:t>
      </w:r>
      <w:r>
        <w:rPr>
          <w:rFonts w:hint="default" w:ascii="Times New Roman" w:hAnsi="Times New Roman" w:cs="Times New Roman"/>
          <w:color w:val="auto"/>
          <w:kern w:val="0"/>
          <w:sz w:val="24"/>
          <w:szCs w:val="24"/>
          <w:highlight w:val="none"/>
        </w:rPr>
        <w:t>—第i项评价指标的权重值。</w:t>
      </w:r>
    </w:p>
    <w:p w14:paraId="71371E90">
      <w:pPr>
        <w:keepNext w:val="0"/>
        <w:keepLines w:val="0"/>
        <w:pageBreakBefore w:val="0"/>
        <w:widowControl/>
        <w:kinsoku/>
        <w:wordWrap/>
        <w:overflowPunct/>
        <w:topLinePunct w:val="0"/>
        <w:autoSpaceDE/>
        <w:autoSpaceDN/>
        <w:bidi w:val="0"/>
        <w:spacing w:line="480" w:lineRule="exact"/>
        <w:ind w:firstLine="480" w:firstLineChars="200"/>
        <w:jc w:val="left"/>
        <w:textAlignment w:val="auto"/>
        <w:outlineLvl w:val="9"/>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2）定性评级指标的考核评分计算</w:t>
      </w:r>
    </w:p>
    <w:p w14:paraId="5982B6CA">
      <w:pPr>
        <w:keepNext w:val="0"/>
        <w:keepLines w:val="0"/>
        <w:pageBreakBefore w:val="0"/>
        <w:widowControl/>
        <w:kinsoku/>
        <w:wordWrap/>
        <w:overflowPunct/>
        <w:topLinePunct w:val="0"/>
        <w:autoSpaceDE/>
        <w:autoSpaceDN/>
        <w:bidi w:val="0"/>
        <w:spacing w:line="480" w:lineRule="exact"/>
        <w:ind w:firstLine="480" w:firstLineChars="200"/>
        <w:jc w:val="left"/>
        <w:textAlignment w:val="auto"/>
        <w:outlineLvl w:val="9"/>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drawing>
          <wp:anchor distT="0" distB="0" distL="114300" distR="114300" simplePos="0" relativeHeight="251660288" behindDoc="0" locked="0" layoutInCell="1" allowOverlap="1">
            <wp:simplePos x="0" y="0"/>
            <wp:positionH relativeFrom="column">
              <wp:posOffset>2314575</wp:posOffset>
            </wp:positionH>
            <wp:positionV relativeFrom="paragraph">
              <wp:posOffset>300355</wp:posOffset>
            </wp:positionV>
            <wp:extent cx="990600" cy="485775"/>
            <wp:effectExtent l="0" t="0" r="0" b="9525"/>
            <wp:wrapNone/>
            <wp:docPr id="3" name="图片 3" descr="C:\Users\ADMINI~1\AppData\Local\Temp\ksohtml\wpsBB31.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1\AppData\Local\Temp\ksohtml\wpsBB31.tmp.jpg"/>
                    <pic:cNvPicPr>
                      <a:picLocks noChangeAspect="1" noChangeArrowheads="1"/>
                    </pic:cNvPicPr>
                  </pic:nvPicPr>
                  <pic:blipFill>
                    <a:blip r:embed="rId16" cstate="print"/>
                    <a:srcRect/>
                    <a:stretch>
                      <a:fillRect/>
                    </a:stretch>
                  </pic:blipFill>
                  <pic:spPr>
                    <a:xfrm>
                      <a:off x="0" y="0"/>
                      <a:ext cx="866550" cy="485775"/>
                    </a:xfrm>
                    <a:prstGeom prst="rect">
                      <a:avLst/>
                    </a:prstGeom>
                    <a:noFill/>
                    <a:ln w="9525">
                      <a:noFill/>
                      <a:miter lim="800000"/>
                      <a:headEnd/>
                      <a:tailEnd/>
                    </a:ln>
                    <a:effectLst/>
                  </pic:spPr>
                </pic:pic>
              </a:graphicData>
            </a:graphic>
          </wp:anchor>
        </w:drawing>
      </w:r>
      <w:r>
        <w:rPr>
          <w:rFonts w:hint="default" w:ascii="Times New Roman" w:hAnsi="Times New Roman" w:cs="Times New Roman"/>
          <w:color w:val="auto"/>
          <w:kern w:val="0"/>
          <w:sz w:val="24"/>
          <w:szCs w:val="24"/>
          <w:highlight w:val="none"/>
        </w:rPr>
        <w:t>定性评级指标的考核总分值的计算公式为：</w:t>
      </w:r>
    </w:p>
    <w:p w14:paraId="75070884">
      <w:pPr>
        <w:keepNext w:val="0"/>
        <w:keepLines w:val="0"/>
        <w:pageBreakBefore w:val="0"/>
        <w:widowControl/>
        <w:kinsoku/>
        <w:wordWrap/>
        <w:overflowPunct/>
        <w:topLinePunct w:val="0"/>
        <w:autoSpaceDE/>
        <w:autoSpaceDN/>
        <w:bidi w:val="0"/>
        <w:spacing w:line="360" w:lineRule="auto"/>
        <w:ind w:firstLine="480" w:firstLineChars="200"/>
        <w:jc w:val="left"/>
        <w:textAlignment w:val="auto"/>
        <w:outlineLvl w:val="9"/>
        <w:rPr>
          <w:rFonts w:hint="default" w:ascii="Times New Roman" w:hAnsi="Times New Roman" w:cs="Times New Roman"/>
          <w:color w:val="auto"/>
          <w:kern w:val="0"/>
          <w:sz w:val="24"/>
          <w:szCs w:val="24"/>
          <w:highlight w:val="none"/>
        </w:rPr>
      </w:pPr>
    </w:p>
    <w:p w14:paraId="0975AFD2">
      <w:pPr>
        <w:keepNext w:val="0"/>
        <w:keepLines w:val="0"/>
        <w:pageBreakBefore w:val="0"/>
        <w:widowControl/>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color w:val="auto"/>
          <w:kern w:val="2"/>
          <w:sz w:val="24"/>
          <w:szCs w:val="24"/>
          <w:highlight w:val="none"/>
          <w:lang w:val="en-US" w:eastAsia="zh-CN" w:bidi="ar-SA"/>
        </w:rPr>
      </w:pPr>
    </w:p>
    <w:p w14:paraId="4A525094">
      <w:pPr>
        <w:keepNext w:val="0"/>
        <w:keepLines w:val="0"/>
        <w:pageBreakBefore w:val="0"/>
        <w:widowControl/>
        <w:kinsoku/>
        <w:wordWrap/>
        <w:overflowPunct/>
        <w:topLinePunct w:val="0"/>
        <w:autoSpaceDE/>
        <w:autoSpaceDN/>
        <w:bidi w:val="0"/>
        <w:adjustRightInd/>
        <w:snapToGrid/>
        <w:spacing w:line="480" w:lineRule="exact"/>
        <w:ind w:firstLine="960" w:firstLineChars="400"/>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式中：P</w:t>
      </w:r>
      <w:r>
        <w:rPr>
          <w:rFonts w:hint="default" w:ascii="Times New Roman" w:hAnsi="Times New Roman" w:eastAsia="宋体" w:cs="Times New Roman"/>
          <w:color w:val="auto"/>
          <w:kern w:val="2"/>
          <w:sz w:val="24"/>
          <w:szCs w:val="24"/>
          <w:highlight w:val="none"/>
          <w:vertAlign w:val="sub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—定性评价二级指标考核总分值；</w:t>
      </w:r>
    </w:p>
    <w:p w14:paraId="5964172E">
      <w:pPr>
        <w:keepNext w:val="0"/>
        <w:keepLines w:val="0"/>
        <w:pageBreakBefore w:val="0"/>
        <w:widowControl/>
        <w:kinsoku/>
        <w:wordWrap/>
        <w:overflowPunct/>
        <w:topLinePunct w:val="0"/>
        <w:autoSpaceDE/>
        <w:autoSpaceDN/>
        <w:bidi w:val="0"/>
        <w:adjustRightInd/>
        <w:snapToGrid/>
        <w:spacing w:line="480" w:lineRule="exact"/>
        <w:ind w:firstLine="960" w:firstLineChars="400"/>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F</w:t>
      </w:r>
      <w:r>
        <w:rPr>
          <w:rFonts w:hint="default" w:ascii="Times New Roman" w:hAnsi="Times New Roman" w:eastAsia="宋体" w:cs="Times New Roman"/>
          <w:color w:val="auto"/>
          <w:kern w:val="2"/>
          <w:sz w:val="24"/>
          <w:szCs w:val="24"/>
          <w:highlight w:val="none"/>
          <w:vertAlign w:val="subscript"/>
          <w:lang w:val="en-US" w:eastAsia="zh-CN" w:bidi="ar-SA"/>
        </w:rPr>
        <w:t>i</w:t>
      </w:r>
      <w:r>
        <w:rPr>
          <w:rFonts w:hint="default" w:ascii="Times New Roman" w:hAnsi="Times New Roman" w:eastAsia="宋体" w:cs="Times New Roman"/>
          <w:color w:val="auto"/>
          <w:kern w:val="2"/>
          <w:sz w:val="24"/>
          <w:szCs w:val="24"/>
          <w:highlight w:val="none"/>
          <w:lang w:val="en-US" w:eastAsia="zh-CN" w:bidi="ar-SA"/>
        </w:rPr>
        <w:t>—定性评价指标体系中第i项二级指标的得分值；</w:t>
      </w:r>
    </w:p>
    <w:p w14:paraId="30BBD978">
      <w:pPr>
        <w:keepNext w:val="0"/>
        <w:keepLines w:val="0"/>
        <w:pageBreakBefore w:val="0"/>
        <w:widowControl/>
        <w:kinsoku/>
        <w:wordWrap/>
        <w:overflowPunct/>
        <w:topLinePunct w:val="0"/>
        <w:autoSpaceDE/>
        <w:autoSpaceDN/>
        <w:bidi w:val="0"/>
        <w:adjustRightInd/>
        <w:snapToGrid/>
        <w:spacing w:line="480" w:lineRule="exact"/>
        <w:ind w:firstLine="960" w:firstLineChars="400"/>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n—参与考核的定性评价二级指标的项目总数。</w:t>
      </w:r>
    </w:p>
    <w:p w14:paraId="53DB71C6">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kern w:val="2"/>
          <w:sz w:val="24"/>
          <w:szCs w:val="24"/>
          <w:highlight w:val="none"/>
          <w:lang w:val="en-US" w:eastAsia="zh-CN" w:bidi="ar-SA"/>
        </w:rPr>
      </w:pPr>
      <w:bookmarkStart w:id="460" w:name="_Toc7172"/>
      <w:r>
        <w:rPr>
          <w:rFonts w:hint="default" w:ascii="Times New Roman" w:hAnsi="Times New Roman" w:eastAsia="宋体" w:cs="Times New Roman"/>
          <w:color w:val="auto"/>
          <w:kern w:val="2"/>
          <w:sz w:val="24"/>
          <w:szCs w:val="24"/>
          <w:highlight w:val="none"/>
          <w:lang w:val="en-US" w:eastAsia="zh-CN" w:bidi="ar-SA"/>
        </w:rPr>
        <w:t>（3）综合评价指数考核评分计算</w:t>
      </w:r>
      <w:bookmarkEnd w:id="460"/>
    </w:p>
    <w:p w14:paraId="6D44521E">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综合评价指数考核总分值的计算公式为：</w:t>
      </w:r>
    </w:p>
    <w:p w14:paraId="29C8F5FA">
      <w:pPr>
        <w:keepNext w:val="0"/>
        <w:keepLines w:val="0"/>
        <w:pageBreakBefore w:val="0"/>
        <w:widowControl/>
        <w:kinsoku/>
        <w:wordWrap/>
        <w:overflowPunct/>
        <w:topLinePunct w:val="0"/>
        <w:autoSpaceDE/>
        <w:autoSpaceDN/>
        <w:bidi w:val="0"/>
        <w:adjustRightInd/>
        <w:snapToGrid/>
        <w:spacing w:line="480" w:lineRule="exact"/>
        <w:ind w:firstLine="480" w:firstLineChars="200"/>
        <w:jc w:val="center"/>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P=0.6P</w:t>
      </w:r>
      <w:r>
        <w:rPr>
          <w:rFonts w:hint="default" w:ascii="Times New Roman" w:hAnsi="Times New Roman" w:eastAsia="宋体" w:cs="Times New Roman"/>
          <w:color w:val="auto"/>
          <w:kern w:val="2"/>
          <w:sz w:val="24"/>
          <w:szCs w:val="24"/>
          <w:highlight w:val="none"/>
          <w:vertAlign w:val="subscript"/>
          <w:lang w:val="en-US" w:eastAsia="zh-CN" w:bidi="ar-SA"/>
        </w:rPr>
        <w:t>1</w:t>
      </w:r>
      <w:r>
        <w:rPr>
          <w:rFonts w:hint="default" w:ascii="Times New Roman" w:hAnsi="Times New Roman" w:eastAsia="宋体" w:cs="Times New Roman"/>
          <w:color w:val="auto"/>
          <w:kern w:val="2"/>
          <w:sz w:val="24"/>
          <w:szCs w:val="24"/>
          <w:highlight w:val="none"/>
          <w:lang w:val="en-US" w:eastAsia="zh-CN" w:bidi="ar-SA"/>
        </w:rPr>
        <w:t>+0.4P</w:t>
      </w:r>
      <w:r>
        <w:rPr>
          <w:rFonts w:hint="default" w:ascii="Times New Roman" w:hAnsi="Times New Roman" w:eastAsia="宋体" w:cs="Times New Roman"/>
          <w:color w:val="auto"/>
          <w:kern w:val="2"/>
          <w:sz w:val="24"/>
          <w:szCs w:val="24"/>
          <w:highlight w:val="none"/>
          <w:vertAlign w:val="subscript"/>
          <w:lang w:val="en-US" w:eastAsia="zh-CN" w:bidi="ar-SA"/>
        </w:rPr>
        <w:t>2</w:t>
      </w:r>
    </w:p>
    <w:p w14:paraId="166F50B1">
      <w:pPr>
        <w:keepNext w:val="0"/>
        <w:keepLines w:val="0"/>
        <w:pageBreakBefore w:val="0"/>
        <w:widowControl/>
        <w:kinsoku/>
        <w:wordWrap/>
        <w:overflowPunct/>
        <w:topLinePunct w:val="0"/>
        <w:autoSpaceDE/>
        <w:autoSpaceDN/>
        <w:bidi w:val="0"/>
        <w:adjustRightInd/>
        <w:snapToGrid/>
        <w:spacing w:line="480" w:lineRule="exact"/>
        <w:ind w:firstLine="960" w:firstLineChars="400"/>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式中：P—清洁生产综合评价指数</w:t>
      </w:r>
    </w:p>
    <w:p w14:paraId="26E02143">
      <w:pPr>
        <w:keepNext w:val="0"/>
        <w:keepLines w:val="0"/>
        <w:pageBreakBefore w:val="0"/>
        <w:widowControl/>
        <w:kinsoku/>
        <w:wordWrap/>
        <w:overflowPunct/>
        <w:topLinePunct w:val="0"/>
        <w:autoSpaceDE/>
        <w:autoSpaceDN/>
        <w:bidi w:val="0"/>
        <w:adjustRightInd/>
        <w:snapToGrid/>
        <w:spacing w:line="480" w:lineRule="exact"/>
        <w:ind w:firstLine="960" w:firstLineChars="400"/>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P</w:t>
      </w:r>
      <w:r>
        <w:rPr>
          <w:rFonts w:hint="default" w:ascii="Times New Roman" w:hAnsi="Times New Roman" w:eastAsia="宋体" w:cs="Times New Roman"/>
          <w:color w:val="auto"/>
          <w:kern w:val="2"/>
          <w:sz w:val="24"/>
          <w:szCs w:val="24"/>
          <w:highlight w:val="none"/>
          <w:vertAlign w:val="subscript"/>
          <w:lang w:val="en-US" w:eastAsia="zh-CN" w:bidi="ar-SA"/>
        </w:rPr>
        <w:t>1</w:t>
      </w:r>
      <w:r>
        <w:rPr>
          <w:rFonts w:hint="default" w:ascii="Times New Roman" w:hAnsi="Times New Roman" w:eastAsia="宋体" w:cs="Times New Roman"/>
          <w:color w:val="auto"/>
          <w:kern w:val="2"/>
          <w:sz w:val="24"/>
          <w:szCs w:val="24"/>
          <w:highlight w:val="none"/>
          <w:lang w:val="en-US" w:eastAsia="zh-CN" w:bidi="ar-SA"/>
        </w:rPr>
        <w:t>—定量评价考核总分值；</w:t>
      </w:r>
    </w:p>
    <w:p w14:paraId="5B85A407">
      <w:pPr>
        <w:keepNext w:val="0"/>
        <w:keepLines w:val="0"/>
        <w:pageBreakBefore w:val="0"/>
        <w:widowControl/>
        <w:kinsoku/>
        <w:wordWrap/>
        <w:overflowPunct/>
        <w:topLinePunct w:val="0"/>
        <w:autoSpaceDE/>
        <w:autoSpaceDN/>
        <w:bidi w:val="0"/>
        <w:adjustRightInd/>
        <w:snapToGrid/>
        <w:spacing w:line="480" w:lineRule="exact"/>
        <w:ind w:firstLine="960" w:firstLineChars="400"/>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P</w:t>
      </w:r>
      <w:r>
        <w:rPr>
          <w:rFonts w:hint="default" w:ascii="Times New Roman" w:hAnsi="Times New Roman" w:eastAsia="宋体" w:cs="Times New Roman"/>
          <w:color w:val="auto"/>
          <w:kern w:val="2"/>
          <w:sz w:val="24"/>
          <w:szCs w:val="24"/>
          <w:highlight w:val="none"/>
          <w:vertAlign w:val="sub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—定性评价二级指标考核总分值。</w:t>
      </w:r>
    </w:p>
    <w:p w14:paraId="520851E2">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根据目前我国石油和天然气开采行业的实际情况，不同等级的清洁生产企业的综合评价指标</w:t>
      </w:r>
      <w:r>
        <w:rPr>
          <w:rFonts w:hint="eastAsia"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见表</w:t>
      </w:r>
      <w:r>
        <w:rPr>
          <w:rFonts w:hint="eastAsia" w:cs="Times New Roman"/>
          <w:color w:val="auto"/>
          <w:kern w:val="2"/>
          <w:sz w:val="24"/>
          <w:szCs w:val="24"/>
          <w:highlight w:val="none"/>
          <w:lang w:val="en-US" w:eastAsia="zh-CN" w:bidi="ar-SA"/>
        </w:rPr>
        <w:t>3.3-19</w:t>
      </w:r>
      <w:r>
        <w:rPr>
          <w:rFonts w:hint="default" w:ascii="Times New Roman" w:hAnsi="Times New Roman" w:eastAsia="宋体" w:cs="Times New Roman"/>
          <w:color w:val="auto"/>
          <w:kern w:val="2"/>
          <w:sz w:val="24"/>
          <w:szCs w:val="24"/>
          <w:highlight w:val="none"/>
          <w:lang w:val="en-US" w:eastAsia="zh-CN" w:bidi="ar-SA"/>
        </w:rPr>
        <w:t>。</w:t>
      </w:r>
    </w:p>
    <w:p w14:paraId="546F7AF1">
      <w:pPr>
        <w:pStyle w:val="61"/>
        <w:bidi w:val="0"/>
        <w:jc w:val="both"/>
        <w:rPr>
          <w:rFonts w:hint="default"/>
          <w:color w:val="auto"/>
          <w:lang w:val="en-US" w:eastAsia="zh-CN"/>
        </w:rPr>
      </w:pPr>
      <w:r>
        <w:rPr>
          <w:rFonts w:hint="default"/>
          <w:color w:val="auto"/>
          <w:lang w:val="en-US" w:eastAsia="zh-CN"/>
        </w:rPr>
        <w:t>表</w:t>
      </w:r>
      <w:r>
        <w:rPr>
          <w:rFonts w:hint="eastAsia"/>
          <w:color w:val="auto"/>
          <w:lang w:val="en-US" w:eastAsia="zh-CN"/>
        </w:rPr>
        <w:t xml:space="preserve">3.3-19  </w:t>
      </w:r>
      <w:r>
        <w:rPr>
          <w:rFonts w:hint="default"/>
          <w:color w:val="auto"/>
          <w:lang w:val="en-US" w:eastAsia="zh-CN"/>
        </w:rPr>
        <w:t>石油和天然气开采行业不同等级清洁生产企业综合评价指数</w:t>
      </w:r>
    </w:p>
    <w:tbl>
      <w:tblPr>
        <w:tblStyle w:val="3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61"/>
        <w:gridCol w:w="4261"/>
      </w:tblGrid>
      <w:tr w14:paraId="549357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1" w:type="dxa"/>
            <w:tcBorders>
              <w:tl2br w:val="nil"/>
              <w:tr2bl w:val="nil"/>
            </w:tcBorders>
            <w:noWrap w:val="0"/>
            <w:vAlign w:val="center"/>
          </w:tcPr>
          <w:p w14:paraId="5269163C">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清洁生产企业等级</w:t>
            </w:r>
          </w:p>
        </w:tc>
        <w:tc>
          <w:tcPr>
            <w:tcW w:w="4261" w:type="dxa"/>
            <w:tcBorders>
              <w:tl2br w:val="nil"/>
              <w:tr2bl w:val="nil"/>
            </w:tcBorders>
            <w:noWrap w:val="0"/>
            <w:vAlign w:val="center"/>
          </w:tcPr>
          <w:p w14:paraId="6E44FAB3">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清洁生产综合评价指数</w:t>
            </w:r>
          </w:p>
        </w:tc>
      </w:tr>
      <w:tr w14:paraId="3AFFA7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1" w:type="dxa"/>
            <w:tcBorders>
              <w:tl2br w:val="nil"/>
              <w:tr2bl w:val="nil"/>
            </w:tcBorders>
            <w:noWrap w:val="0"/>
            <w:vAlign w:val="center"/>
          </w:tcPr>
          <w:p w14:paraId="2D88F48F">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清洁生产先进企业</w:t>
            </w:r>
          </w:p>
        </w:tc>
        <w:tc>
          <w:tcPr>
            <w:tcW w:w="4261" w:type="dxa"/>
            <w:tcBorders>
              <w:tl2br w:val="nil"/>
              <w:tr2bl w:val="nil"/>
            </w:tcBorders>
            <w:noWrap w:val="0"/>
            <w:vAlign w:val="center"/>
          </w:tcPr>
          <w:p w14:paraId="4799D060">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P≥90</w:t>
            </w:r>
          </w:p>
        </w:tc>
      </w:tr>
      <w:tr w14:paraId="58A68A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1" w:type="dxa"/>
            <w:tcBorders>
              <w:tl2br w:val="nil"/>
              <w:tr2bl w:val="nil"/>
            </w:tcBorders>
            <w:noWrap w:val="0"/>
            <w:vAlign w:val="center"/>
          </w:tcPr>
          <w:p w14:paraId="7C3171C6">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清洁生产企业</w:t>
            </w:r>
          </w:p>
        </w:tc>
        <w:tc>
          <w:tcPr>
            <w:tcW w:w="4261" w:type="dxa"/>
            <w:tcBorders>
              <w:tl2br w:val="nil"/>
              <w:tr2bl w:val="nil"/>
            </w:tcBorders>
            <w:noWrap w:val="0"/>
            <w:vAlign w:val="center"/>
          </w:tcPr>
          <w:p w14:paraId="33259441">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75≤P</w:t>
            </w:r>
            <w:r>
              <w:rPr>
                <w:rFonts w:hint="eastAsia" w:cs="Times New Roman"/>
                <w:color w:val="auto"/>
                <w:kern w:val="0"/>
                <w:sz w:val="21"/>
                <w:szCs w:val="21"/>
                <w:highlight w:val="none"/>
                <w:lang w:eastAsia="zh-CN"/>
              </w:rPr>
              <w:t>&lt;</w:t>
            </w:r>
            <w:r>
              <w:rPr>
                <w:rFonts w:hint="default" w:ascii="Times New Roman" w:hAnsi="Times New Roman" w:cs="Times New Roman"/>
                <w:color w:val="auto"/>
                <w:kern w:val="0"/>
                <w:sz w:val="21"/>
                <w:szCs w:val="21"/>
                <w:highlight w:val="none"/>
              </w:rPr>
              <w:t>90</w:t>
            </w:r>
          </w:p>
        </w:tc>
      </w:tr>
    </w:tbl>
    <w:p w14:paraId="5AF9B375">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由表</w:t>
      </w:r>
      <w:r>
        <w:rPr>
          <w:rFonts w:hint="eastAsia" w:cs="Times New Roman"/>
          <w:color w:val="auto"/>
          <w:kern w:val="0"/>
          <w:sz w:val="24"/>
          <w:szCs w:val="24"/>
          <w:highlight w:val="none"/>
          <w:lang w:val="en-US" w:eastAsia="zh-CN"/>
        </w:rPr>
        <w:t>3.4-1</w:t>
      </w:r>
      <w:r>
        <w:rPr>
          <w:rFonts w:hint="default" w:ascii="Times New Roman" w:hAnsi="Times New Roman" w:eastAsia="宋体" w:cs="Times New Roman"/>
          <w:color w:val="auto"/>
          <w:kern w:val="0"/>
          <w:sz w:val="24"/>
          <w:szCs w:val="24"/>
          <w:highlight w:val="none"/>
        </w:rPr>
        <w:t>计算可得：</w:t>
      </w:r>
    </w:p>
    <w:p w14:paraId="4C761DDE">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cs="Times New Roman"/>
          <w:color w:val="auto"/>
          <w:sz w:val="24"/>
          <w:szCs w:val="24"/>
          <w:highlight w:val="none"/>
        </w:rPr>
      </w:pPr>
      <w:bookmarkStart w:id="461" w:name="OLE_LINK27"/>
      <w:r>
        <w:rPr>
          <w:rFonts w:hint="default" w:ascii="Times New Roman" w:hAnsi="Times New Roman" w:cs="Times New Roman"/>
          <w:color w:val="auto"/>
          <w:sz w:val="24"/>
          <w:szCs w:val="24"/>
          <w:highlight w:val="none"/>
        </w:rPr>
        <w:t>——井下作业：定量指标</w:t>
      </w:r>
      <w:r>
        <w:rPr>
          <w:rFonts w:hint="eastAsia" w:cs="Times New Roman"/>
          <w:color w:val="auto"/>
          <w:sz w:val="24"/>
          <w:szCs w:val="24"/>
          <w:highlight w:val="none"/>
          <w:lang w:val="en-US" w:eastAsia="zh-CN"/>
        </w:rPr>
        <w:t>100</w:t>
      </w:r>
      <w:r>
        <w:rPr>
          <w:rFonts w:hint="default" w:ascii="Times New Roman" w:hAnsi="Times New Roman" w:cs="Times New Roman"/>
          <w:color w:val="auto"/>
          <w:sz w:val="24"/>
          <w:szCs w:val="24"/>
          <w:highlight w:val="none"/>
        </w:rPr>
        <w:t>分，定性指标</w:t>
      </w:r>
      <w:r>
        <w:rPr>
          <w:rFonts w:hint="eastAsia" w:cs="Times New Roman"/>
          <w:color w:val="auto"/>
          <w:sz w:val="24"/>
          <w:szCs w:val="24"/>
          <w:highlight w:val="none"/>
          <w:lang w:val="en-US" w:eastAsia="zh-CN"/>
        </w:rPr>
        <w:t>95</w:t>
      </w:r>
      <w:r>
        <w:rPr>
          <w:rFonts w:hint="default" w:ascii="Times New Roman" w:hAnsi="Times New Roman" w:cs="Times New Roman"/>
          <w:color w:val="auto"/>
          <w:sz w:val="24"/>
          <w:szCs w:val="24"/>
          <w:highlight w:val="none"/>
        </w:rPr>
        <w:t>分，综合评价</w:t>
      </w:r>
      <w:r>
        <w:rPr>
          <w:rFonts w:hint="eastAsia" w:cs="Times New Roman"/>
          <w:color w:val="auto"/>
          <w:sz w:val="24"/>
          <w:szCs w:val="24"/>
          <w:highlight w:val="none"/>
          <w:lang w:val="en-US" w:eastAsia="zh-CN"/>
        </w:rPr>
        <w:t>98</w:t>
      </w:r>
      <w:r>
        <w:rPr>
          <w:rFonts w:hint="default" w:ascii="Times New Roman" w:hAnsi="Times New Roman" w:cs="Times New Roman"/>
          <w:color w:val="auto"/>
          <w:sz w:val="24"/>
          <w:szCs w:val="24"/>
          <w:highlight w:val="none"/>
        </w:rPr>
        <w:t>分。</w:t>
      </w:r>
    </w:p>
    <w:p w14:paraId="17FC2B76">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——采</w:t>
      </w:r>
      <w:r>
        <w:rPr>
          <w:rFonts w:hint="eastAsia" w:cs="Times New Roman"/>
          <w:color w:val="auto"/>
          <w:sz w:val="24"/>
          <w:szCs w:val="24"/>
          <w:highlight w:val="none"/>
          <w:lang w:val="en-US" w:eastAsia="zh-CN"/>
        </w:rPr>
        <w:t>油</w:t>
      </w:r>
      <w:r>
        <w:rPr>
          <w:rFonts w:hint="default" w:ascii="Times New Roman" w:hAnsi="Times New Roman" w:cs="Times New Roman"/>
          <w:color w:val="auto"/>
          <w:sz w:val="24"/>
          <w:szCs w:val="24"/>
          <w:highlight w:val="none"/>
        </w:rPr>
        <w:t>和集输：定量指标90分，定性指标</w:t>
      </w:r>
      <w:r>
        <w:rPr>
          <w:rFonts w:hint="eastAsia" w:cs="Times New Roman"/>
          <w:color w:val="auto"/>
          <w:sz w:val="24"/>
          <w:szCs w:val="24"/>
          <w:highlight w:val="none"/>
          <w:lang w:val="en-US" w:eastAsia="zh-CN"/>
        </w:rPr>
        <w:t>95</w:t>
      </w:r>
      <w:r>
        <w:rPr>
          <w:rFonts w:hint="default" w:ascii="Times New Roman" w:hAnsi="Times New Roman" w:cs="Times New Roman"/>
          <w:color w:val="auto"/>
          <w:sz w:val="24"/>
          <w:szCs w:val="24"/>
          <w:highlight w:val="none"/>
        </w:rPr>
        <w:t>分，综合评价</w:t>
      </w:r>
      <w:r>
        <w:rPr>
          <w:rFonts w:hint="eastAsia" w:cs="Times New Roman"/>
          <w:color w:val="auto"/>
          <w:sz w:val="24"/>
          <w:szCs w:val="24"/>
          <w:highlight w:val="none"/>
          <w:lang w:val="en-US" w:eastAsia="zh-CN"/>
        </w:rPr>
        <w:t>92</w:t>
      </w:r>
      <w:r>
        <w:rPr>
          <w:rFonts w:hint="default" w:ascii="Times New Roman" w:hAnsi="Times New Roman" w:cs="Times New Roman"/>
          <w:color w:val="auto"/>
          <w:sz w:val="24"/>
          <w:szCs w:val="24"/>
          <w:highlight w:val="none"/>
        </w:rPr>
        <w:t>分。</w:t>
      </w:r>
    </w:p>
    <w:bookmarkEnd w:id="461"/>
    <w:p w14:paraId="0684A159">
      <w:pPr>
        <w:pStyle w:val="55"/>
        <w:bidi w:val="0"/>
        <w:rPr>
          <w:rFonts w:hint="default"/>
          <w:color w:val="auto"/>
        </w:rPr>
      </w:pPr>
      <w:bookmarkStart w:id="462" w:name="_Hlk512531051"/>
      <w:r>
        <w:rPr>
          <w:rFonts w:hint="default"/>
          <w:color w:val="auto"/>
        </w:rPr>
        <w:t>3.</w:t>
      </w:r>
      <w:r>
        <w:rPr>
          <w:rFonts w:hint="eastAsia"/>
          <w:color w:val="auto"/>
          <w:lang w:val="en-US" w:eastAsia="zh-CN"/>
        </w:rPr>
        <w:t>3.6</w:t>
      </w:r>
      <w:r>
        <w:rPr>
          <w:rFonts w:hint="default"/>
          <w:color w:val="auto"/>
        </w:rPr>
        <w:t>.2</w:t>
      </w:r>
      <w:r>
        <w:rPr>
          <w:rFonts w:hint="eastAsia"/>
          <w:color w:val="auto"/>
          <w:lang w:val="en-US" w:eastAsia="zh-CN"/>
        </w:rPr>
        <w:t xml:space="preserve"> </w:t>
      </w:r>
      <w:r>
        <w:rPr>
          <w:rFonts w:hint="default"/>
          <w:color w:val="auto"/>
        </w:rPr>
        <w:t>清洁生产水平结论</w:t>
      </w:r>
    </w:p>
    <w:p w14:paraId="7D1645CB">
      <w:pPr>
        <w:pStyle w:val="79"/>
        <w:bidi w:val="0"/>
        <w:rPr>
          <w:rFonts w:hint="default"/>
          <w:color w:val="auto"/>
          <w:lang w:val="en-US" w:eastAsia="zh-CN"/>
        </w:rPr>
      </w:pPr>
      <w:r>
        <w:rPr>
          <w:rFonts w:hint="default"/>
          <w:color w:val="auto"/>
          <w:lang w:val="en-US" w:eastAsia="zh-CN"/>
        </w:rPr>
        <w:t>根据综合评价指数得分判定，本工程清洁生产企业等级为：清洁生产</w:t>
      </w:r>
      <w:r>
        <w:rPr>
          <w:rFonts w:hint="eastAsia"/>
          <w:color w:val="auto"/>
          <w:lang w:val="en-US" w:eastAsia="zh-CN"/>
        </w:rPr>
        <w:t>先进</w:t>
      </w:r>
      <w:r>
        <w:rPr>
          <w:rFonts w:hint="default"/>
          <w:color w:val="auto"/>
          <w:lang w:val="en-US" w:eastAsia="zh-CN"/>
        </w:rPr>
        <w:t>企业</w:t>
      </w:r>
      <w:bookmarkEnd w:id="462"/>
      <w:r>
        <w:rPr>
          <w:rFonts w:hint="default"/>
          <w:color w:val="auto"/>
          <w:lang w:val="en-US" w:eastAsia="zh-CN"/>
        </w:rPr>
        <w:t>。</w:t>
      </w:r>
    </w:p>
    <w:p w14:paraId="4012AF01">
      <w:pPr>
        <w:pStyle w:val="79"/>
        <w:bidi w:val="0"/>
        <w:rPr>
          <w:rFonts w:hint="default"/>
          <w:color w:val="auto"/>
          <w:lang w:val="en-US" w:eastAsia="zh-CN"/>
        </w:rPr>
      </w:pPr>
      <w:r>
        <w:rPr>
          <w:rFonts w:hint="default"/>
          <w:color w:val="auto"/>
          <w:lang w:val="en-US" w:eastAsia="zh-CN"/>
        </w:rPr>
        <w:t>本工程采用的清洁生产技术遵循“减量化、再利用、资源化”的原则。开发各阶段、各作业环境均采取了避免和减缓不利环境影响的措施，高效利用并节约使用各类能源、资源（水、土地等）；使用油气开发效率高的先进工艺技术与设备；制定了合理有效的废物管理方案，采用源削减技术，减少了施工废物、废水、废气等污染物的产生量，实现了废物的循环利用与资源化利用。</w:t>
      </w:r>
    </w:p>
    <w:bookmarkEnd w:id="287"/>
    <w:bookmarkEnd w:id="318"/>
    <w:bookmarkEnd w:id="444"/>
    <w:bookmarkEnd w:id="445"/>
    <w:p w14:paraId="2AC8B538">
      <w:pPr>
        <w:pStyle w:val="79"/>
        <w:bidi w:val="0"/>
        <w:rPr>
          <w:rFonts w:hint="default"/>
          <w:color w:val="auto"/>
        </w:rPr>
        <w:sectPr>
          <w:pgSz w:w="11906"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AndChars" w:linePitch="316" w:charSpace="0"/>
        </w:sectPr>
      </w:pPr>
      <w:r>
        <w:rPr>
          <w:rFonts w:hint="default"/>
          <w:color w:val="auto"/>
        </w:rPr>
        <w:t>采油（气）定量和定性评价指标项目、权重及基准值，见表3</w:t>
      </w:r>
      <w:r>
        <w:rPr>
          <w:rFonts w:hint="eastAsia"/>
          <w:color w:val="auto"/>
          <w:lang w:val="en-US" w:eastAsia="zh-CN"/>
        </w:rPr>
        <w:t>.3-20</w:t>
      </w:r>
      <w:r>
        <w:rPr>
          <w:rFonts w:hint="default"/>
          <w:color w:val="auto"/>
        </w:rPr>
        <w:t>。</w:t>
      </w:r>
    </w:p>
    <w:p w14:paraId="246AC57D">
      <w:pPr>
        <w:pStyle w:val="61"/>
        <w:bidi w:val="0"/>
        <w:jc w:val="both"/>
        <w:rPr>
          <w:rFonts w:hint="eastAsia"/>
          <w:color w:val="auto"/>
          <w:lang w:val="en-US" w:eastAsia="zh-CN"/>
        </w:rPr>
      </w:pPr>
      <w:r>
        <w:rPr>
          <w:rFonts w:hint="eastAsia"/>
          <w:color w:val="auto"/>
          <w:lang w:val="en-US" w:eastAsia="zh-CN"/>
        </w:rPr>
        <w:t>表3.3-20   井下作业定量和定性评价指标项目、权重及基准值</w:t>
      </w:r>
    </w:p>
    <w:tbl>
      <w:tblPr>
        <w:tblStyle w:val="36"/>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606"/>
        <w:gridCol w:w="1058"/>
        <w:gridCol w:w="96"/>
        <w:gridCol w:w="1139"/>
        <w:gridCol w:w="1385"/>
        <w:gridCol w:w="1531"/>
        <w:gridCol w:w="166"/>
        <w:gridCol w:w="1108"/>
        <w:gridCol w:w="2558"/>
        <w:gridCol w:w="581"/>
        <w:gridCol w:w="575"/>
        <w:gridCol w:w="547"/>
        <w:gridCol w:w="750"/>
      </w:tblGrid>
      <w:tr w14:paraId="67D97D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336" w:type="pct"/>
            <w:gridSpan w:val="10"/>
            <w:tcBorders>
              <w:tl2br w:val="nil"/>
              <w:tr2bl w:val="nil"/>
            </w:tcBorders>
            <w:noWrap w:val="0"/>
            <w:vAlign w:val="center"/>
          </w:tcPr>
          <w:p w14:paraId="12E60A4C">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定量指标</w:t>
            </w:r>
          </w:p>
        </w:tc>
        <w:tc>
          <w:tcPr>
            <w:tcW w:w="663" w:type="pct"/>
            <w:gridSpan w:val="3"/>
            <w:tcBorders>
              <w:tl2br w:val="nil"/>
              <w:tr2bl w:val="nil"/>
            </w:tcBorders>
            <w:noWrap w:val="0"/>
            <w:vAlign w:val="center"/>
          </w:tcPr>
          <w:p w14:paraId="5D33B85A">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本项目</w:t>
            </w:r>
          </w:p>
        </w:tc>
      </w:tr>
      <w:tr w14:paraId="65B80E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24" w:type="pct"/>
            <w:tcBorders>
              <w:tl2br w:val="nil"/>
              <w:tr2bl w:val="nil"/>
            </w:tcBorders>
            <w:noWrap w:val="0"/>
            <w:vAlign w:val="center"/>
          </w:tcPr>
          <w:p w14:paraId="682105A9">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一级指标</w:t>
            </w:r>
          </w:p>
        </w:tc>
        <w:tc>
          <w:tcPr>
            <w:tcW w:w="375" w:type="pct"/>
            <w:tcBorders>
              <w:tl2br w:val="nil"/>
              <w:tr2bl w:val="nil"/>
            </w:tcBorders>
            <w:noWrap w:val="0"/>
            <w:vAlign w:val="center"/>
          </w:tcPr>
          <w:p w14:paraId="2E96E0A9">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权重值</w:t>
            </w:r>
          </w:p>
        </w:tc>
        <w:tc>
          <w:tcPr>
            <w:tcW w:w="929" w:type="pct"/>
            <w:gridSpan w:val="3"/>
            <w:tcBorders>
              <w:tl2br w:val="nil"/>
              <w:tr2bl w:val="nil"/>
            </w:tcBorders>
            <w:noWrap w:val="0"/>
            <w:vAlign w:val="center"/>
          </w:tcPr>
          <w:p w14:paraId="6BE63607">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二级指标</w:t>
            </w:r>
          </w:p>
        </w:tc>
        <w:tc>
          <w:tcPr>
            <w:tcW w:w="543" w:type="pct"/>
            <w:tcBorders>
              <w:tl2br w:val="nil"/>
              <w:tr2bl w:val="nil"/>
            </w:tcBorders>
            <w:noWrap w:val="0"/>
            <w:vAlign w:val="center"/>
          </w:tcPr>
          <w:p w14:paraId="3B797006">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单位</w:t>
            </w:r>
          </w:p>
        </w:tc>
        <w:tc>
          <w:tcPr>
            <w:tcW w:w="452" w:type="pct"/>
            <w:gridSpan w:val="2"/>
            <w:tcBorders>
              <w:tl2br w:val="nil"/>
              <w:tr2bl w:val="nil"/>
            </w:tcBorders>
            <w:noWrap w:val="0"/>
            <w:vAlign w:val="center"/>
          </w:tcPr>
          <w:p w14:paraId="61AFF1E7">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权重分值</w:t>
            </w:r>
          </w:p>
        </w:tc>
        <w:tc>
          <w:tcPr>
            <w:tcW w:w="1111" w:type="pct"/>
            <w:gridSpan w:val="2"/>
            <w:tcBorders>
              <w:tl2br w:val="nil"/>
              <w:tr2bl w:val="nil"/>
            </w:tcBorders>
            <w:noWrap w:val="0"/>
            <w:vAlign w:val="center"/>
          </w:tcPr>
          <w:p w14:paraId="6E532245">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评价基准值</w:t>
            </w:r>
          </w:p>
        </w:tc>
        <w:tc>
          <w:tcPr>
            <w:tcW w:w="398" w:type="pct"/>
            <w:gridSpan w:val="2"/>
            <w:tcBorders>
              <w:tl2br w:val="nil"/>
              <w:tr2bl w:val="nil"/>
            </w:tcBorders>
            <w:noWrap w:val="0"/>
            <w:vAlign w:val="center"/>
          </w:tcPr>
          <w:p w14:paraId="3D366A53">
            <w:pPr>
              <w:adjustRightInd w:val="0"/>
              <w:snapToGrid w:val="0"/>
              <w:spacing w:line="240" w:lineRule="exact"/>
              <w:jc w:val="center"/>
              <w:rPr>
                <w:rFonts w:ascii="Times New Roman" w:hAnsi="Times New Roman" w:cs="Times New Roman"/>
                <w:color w:val="auto"/>
                <w:spacing w:val="4"/>
                <w:sz w:val="21"/>
                <w:szCs w:val="21"/>
                <w:highlight w:val="none"/>
              </w:rPr>
            </w:pPr>
            <w:r>
              <w:rPr>
                <w:rFonts w:ascii="Times New Roman" w:hAnsi="Times New Roman" w:cs="Times New Roman"/>
                <w:color w:val="auto"/>
                <w:spacing w:val="4"/>
                <w:sz w:val="21"/>
                <w:szCs w:val="21"/>
                <w:highlight w:val="none"/>
              </w:rPr>
              <w:t>估算值</w:t>
            </w:r>
          </w:p>
        </w:tc>
        <w:tc>
          <w:tcPr>
            <w:tcW w:w="265" w:type="pct"/>
            <w:tcBorders>
              <w:tl2br w:val="nil"/>
              <w:tr2bl w:val="nil"/>
            </w:tcBorders>
            <w:noWrap w:val="0"/>
            <w:vAlign w:val="center"/>
          </w:tcPr>
          <w:p w14:paraId="122A18CD">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评分</w:t>
            </w:r>
          </w:p>
        </w:tc>
      </w:tr>
      <w:tr w14:paraId="5797C4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24" w:type="pct"/>
            <w:vMerge w:val="restart"/>
            <w:tcBorders>
              <w:tl2br w:val="nil"/>
              <w:tr2bl w:val="nil"/>
            </w:tcBorders>
            <w:noWrap w:val="0"/>
            <w:vAlign w:val="center"/>
          </w:tcPr>
          <w:p w14:paraId="4C445F68">
            <w:pPr>
              <w:numPr>
                <w:ilvl w:val="0"/>
                <w:numId w:val="3"/>
              </w:numPr>
              <w:adjustRightInd w:val="0"/>
              <w:snapToGrid w:val="0"/>
              <w:spacing w:line="240" w:lineRule="exact"/>
              <w:jc w:val="center"/>
              <w:rPr>
                <w:rFonts w:ascii="Times New Roman" w:hAnsi="Times New Roman" w:cs="Times New Roman"/>
                <w:color w:val="auto"/>
                <w:spacing w:val="4"/>
                <w:sz w:val="21"/>
                <w:szCs w:val="21"/>
              </w:rPr>
            </w:pPr>
            <w:bookmarkStart w:id="463" w:name="OLE_LINK402" w:colFirst="2" w:colLast="7"/>
            <w:r>
              <w:rPr>
                <w:rFonts w:ascii="Times New Roman" w:hAnsi="Times New Roman" w:cs="Times New Roman"/>
                <w:color w:val="auto"/>
                <w:spacing w:val="4"/>
                <w:sz w:val="21"/>
                <w:szCs w:val="21"/>
              </w:rPr>
              <w:t>资源和能源消耗指标</w:t>
            </w:r>
          </w:p>
        </w:tc>
        <w:tc>
          <w:tcPr>
            <w:tcW w:w="375" w:type="pct"/>
            <w:vMerge w:val="restart"/>
            <w:tcBorders>
              <w:tl2br w:val="nil"/>
              <w:tr2bl w:val="nil"/>
            </w:tcBorders>
            <w:noWrap w:val="0"/>
            <w:vAlign w:val="center"/>
          </w:tcPr>
          <w:p w14:paraId="43009032">
            <w:pPr>
              <w:adjustRightInd w:val="0"/>
              <w:snapToGrid w:val="0"/>
              <w:spacing w:line="240" w:lineRule="exact"/>
              <w:jc w:val="center"/>
              <w:rPr>
                <w:rFonts w:hint="default" w:ascii="Times New Roman" w:hAnsi="Times New Roman" w:eastAsia="宋体" w:cs="Times New Roman"/>
                <w:color w:val="auto"/>
                <w:spacing w:val="4"/>
                <w:sz w:val="21"/>
                <w:szCs w:val="21"/>
                <w:lang w:val="en-US" w:eastAsia="zh-CN"/>
              </w:rPr>
            </w:pPr>
            <w:r>
              <w:rPr>
                <w:rFonts w:hint="eastAsia" w:cs="Times New Roman"/>
                <w:color w:val="auto"/>
                <w:spacing w:val="4"/>
                <w:sz w:val="21"/>
                <w:szCs w:val="21"/>
                <w:lang w:val="en-US" w:eastAsia="zh-CN"/>
              </w:rPr>
              <w:t>25</w:t>
            </w:r>
          </w:p>
        </w:tc>
        <w:tc>
          <w:tcPr>
            <w:tcW w:w="929" w:type="pct"/>
            <w:gridSpan w:val="3"/>
            <w:tcBorders>
              <w:tl2br w:val="nil"/>
              <w:tr2bl w:val="nil"/>
            </w:tcBorders>
            <w:noWrap w:val="0"/>
            <w:vAlign w:val="center"/>
          </w:tcPr>
          <w:p w14:paraId="1B470421">
            <w:pPr>
              <w:adjustRightInd w:val="0"/>
              <w:snapToGrid w:val="0"/>
              <w:spacing w:line="240" w:lineRule="exact"/>
              <w:jc w:val="center"/>
              <w:rPr>
                <w:rFonts w:hint="default" w:ascii="Times New Roman" w:hAnsi="Times New Roman" w:eastAsia="宋体" w:cs="Times New Roman"/>
                <w:color w:val="auto"/>
                <w:spacing w:val="4"/>
                <w:sz w:val="21"/>
                <w:szCs w:val="21"/>
                <w:lang w:val="en-US" w:eastAsia="zh-CN"/>
              </w:rPr>
            </w:pPr>
            <w:r>
              <w:rPr>
                <w:rFonts w:hint="eastAsia" w:cs="Times New Roman"/>
                <w:color w:val="auto"/>
                <w:spacing w:val="4"/>
                <w:sz w:val="21"/>
                <w:szCs w:val="21"/>
                <w:lang w:val="en-US" w:eastAsia="zh-CN"/>
              </w:rPr>
              <w:t>占地面积</w:t>
            </w:r>
          </w:p>
        </w:tc>
        <w:tc>
          <w:tcPr>
            <w:tcW w:w="543" w:type="pct"/>
            <w:tcBorders>
              <w:tl2br w:val="nil"/>
              <w:tr2bl w:val="nil"/>
            </w:tcBorders>
            <w:noWrap w:val="0"/>
            <w:vAlign w:val="center"/>
          </w:tcPr>
          <w:p w14:paraId="24E12232">
            <w:pPr>
              <w:adjustRightInd w:val="0"/>
              <w:snapToGrid w:val="0"/>
              <w:spacing w:line="240" w:lineRule="exact"/>
              <w:jc w:val="center"/>
              <w:rPr>
                <w:rFonts w:ascii="Times New Roman" w:hAnsi="Times New Roman" w:cs="Times New Roman"/>
                <w:color w:val="auto"/>
                <w:spacing w:val="4"/>
                <w:sz w:val="21"/>
                <w:szCs w:val="21"/>
              </w:rPr>
            </w:pPr>
          </w:p>
        </w:tc>
        <w:tc>
          <w:tcPr>
            <w:tcW w:w="452" w:type="pct"/>
            <w:gridSpan w:val="2"/>
            <w:tcBorders>
              <w:tl2br w:val="nil"/>
              <w:tr2bl w:val="nil"/>
            </w:tcBorders>
            <w:noWrap w:val="0"/>
            <w:vAlign w:val="center"/>
          </w:tcPr>
          <w:p w14:paraId="02DB601F">
            <w:pPr>
              <w:adjustRightInd w:val="0"/>
              <w:snapToGrid w:val="0"/>
              <w:spacing w:line="240" w:lineRule="exact"/>
              <w:jc w:val="center"/>
              <w:rPr>
                <w:rFonts w:hint="eastAsia" w:ascii="Times New Roman" w:hAnsi="Times New Roman" w:eastAsia="宋体" w:cs="Times New Roman"/>
                <w:color w:val="auto"/>
                <w:spacing w:val="4"/>
                <w:sz w:val="21"/>
                <w:szCs w:val="21"/>
                <w:lang w:val="en-US" w:eastAsia="zh-CN"/>
              </w:rPr>
            </w:pPr>
            <w:r>
              <w:rPr>
                <w:rFonts w:hint="eastAsia" w:cs="Times New Roman"/>
                <w:color w:val="auto"/>
                <w:spacing w:val="4"/>
                <w:sz w:val="21"/>
                <w:szCs w:val="21"/>
                <w:lang w:val="en-US" w:eastAsia="zh-CN"/>
              </w:rPr>
              <w:t>5</w:t>
            </w:r>
          </w:p>
        </w:tc>
        <w:tc>
          <w:tcPr>
            <w:tcW w:w="1111" w:type="pct"/>
            <w:gridSpan w:val="2"/>
            <w:tcBorders>
              <w:tl2br w:val="nil"/>
              <w:tr2bl w:val="nil"/>
            </w:tcBorders>
            <w:noWrap w:val="0"/>
            <w:vAlign w:val="center"/>
          </w:tcPr>
          <w:p w14:paraId="62F3D869">
            <w:pPr>
              <w:adjustRightInd w:val="0"/>
              <w:snapToGrid w:val="0"/>
              <w:spacing w:line="240" w:lineRule="exact"/>
              <w:jc w:val="center"/>
              <w:rPr>
                <w:rFonts w:hint="default" w:ascii="Times New Roman" w:hAnsi="Times New Roman" w:eastAsia="宋体" w:cs="Times New Roman"/>
                <w:color w:val="auto"/>
                <w:spacing w:val="4"/>
                <w:sz w:val="21"/>
                <w:szCs w:val="21"/>
                <w:lang w:val="en-US" w:eastAsia="zh-CN"/>
              </w:rPr>
            </w:pPr>
            <w:r>
              <w:rPr>
                <w:rFonts w:hint="eastAsia" w:cs="Times New Roman"/>
                <w:color w:val="auto"/>
                <w:spacing w:val="4"/>
                <w:sz w:val="21"/>
                <w:szCs w:val="21"/>
                <w:lang w:val="en-US" w:eastAsia="zh-CN"/>
              </w:rPr>
              <w:t>符合行业标准要求</w:t>
            </w:r>
          </w:p>
        </w:tc>
        <w:tc>
          <w:tcPr>
            <w:tcW w:w="398" w:type="pct"/>
            <w:gridSpan w:val="2"/>
            <w:tcBorders>
              <w:tl2br w:val="nil"/>
              <w:tr2bl w:val="nil"/>
            </w:tcBorders>
            <w:noWrap w:val="0"/>
            <w:vAlign w:val="center"/>
          </w:tcPr>
          <w:p w14:paraId="0372F576">
            <w:pPr>
              <w:adjustRightInd w:val="0"/>
              <w:snapToGrid w:val="0"/>
              <w:spacing w:line="240" w:lineRule="exact"/>
              <w:jc w:val="center"/>
              <w:rPr>
                <w:rFonts w:hint="eastAsia" w:ascii="Times New Roman" w:hAnsi="Times New Roman" w:eastAsia="宋体" w:cs="Times New Roman"/>
                <w:color w:val="auto"/>
                <w:spacing w:val="4"/>
                <w:sz w:val="21"/>
                <w:szCs w:val="21"/>
                <w:highlight w:val="none"/>
                <w:lang w:val="en-US" w:eastAsia="zh-CN"/>
              </w:rPr>
            </w:pPr>
            <w:r>
              <w:rPr>
                <w:rFonts w:hint="eastAsia" w:cs="Times New Roman"/>
                <w:color w:val="auto"/>
                <w:spacing w:val="4"/>
                <w:sz w:val="21"/>
                <w:szCs w:val="21"/>
                <w:highlight w:val="none"/>
                <w:lang w:val="en-US" w:eastAsia="zh-CN"/>
              </w:rPr>
              <w:t>符合</w:t>
            </w:r>
          </w:p>
        </w:tc>
        <w:tc>
          <w:tcPr>
            <w:tcW w:w="265" w:type="pct"/>
            <w:tcBorders>
              <w:tl2br w:val="nil"/>
              <w:tr2bl w:val="nil"/>
            </w:tcBorders>
            <w:noWrap w:val="0"/>
            <w:vAlign w:val="center"/>
          </w:tcPr>
          <w:p w14:paraId="37C8D126">
            <w:pPr>
              <w:adjustRightInd w:val="0"/>
              <w:snapToGrid w:val="0"/>
              <w:spacing w:line="240" w:lineRule="exact"/>
              <w:jc w:val="center"/>
              <w:rPr>
                <w:rFonts w:hint="eastAsia" w:ascii="Times New Roman" w:hAnsi="Times New Roman" w:eastAsia="宋体" w:cs="Times New Roman"/>
                <w:color w:val="auto"/>
                <w:spacing w:val="4"/>
                <w:sz w:val="21"/>
                <w:szCs w:val="21"/>
                <w:lang w:val="en-US" w:eastAsia="zh-CN"/>
              </w:rPr>
            </w:pPr>
            <w:r>
              <w:rPr>
                <w:rFonts w:hint="eastAsia" w:cs="Times New Roman"/>
                <w:color w:val="auto"/>
                <w:spacing w:val="4"/>
                <w:sz w:val="21"/>
                <w:szCs w:val="21"/>
                <w:lang w:val="en-US" w:eastAsia="zh-CN"/>
              </w:rPr>
              <w:t>5</w:t>
            </w:r>
          </w:p>
        </w:tc>
      </w:tr>
      <w:bookmarkEnd w:id="463"/>
      <w:tr w14:paraId="6C9644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24" w:type="pct"/>
            <w:vMerge w:val="continue"/>
            <w:tcBorders>
              <w:tl2br w:val="nil"/>
              <w:tr2bl w:val="nil"/>
            </w:tcBorders>
            <w:noWrap w:val="0"/>
            <w:vAlign w:val="center"/>
          </w:tcPr>
          <w:p w14:paraId="0A6989C8">
            <w:pPr>
              <w:adjustRightInd w:val="0"/>
              <w:snapToGrid w:val="0"/>
              <w:spacing w:line="240" w:lineRule="exact"/>
              <w:jc w:val="center"/>
              <w:rPr>
                <w:rFonts w:ascii="Times New Roman" w:hAnsi="Times New Roman" w:cs="Times New Roman"/>
                <w:color w:val="auto"/>
                <w:spacing w:val="4"/>
                <w:sz w:val="21"/>
                <w:szCs w:val="21"/>
              </w:rPr>
            </w:pPr>
            <w:bookmarkStart w:id="464" w:name="OLE_LINK322" w:colFirst="5" w:colLast="5"/>
          </w:p>
        </w:tc>
        <w:tc>
          <w:tcPr>
            <w:tcW w:w="375" w:type="pct"/>
            <w:vMerge w:val="continue"/>
            <w:tcBorders>
              <w:tl2br w:val="nil"/>
              <w:tr2bl w:val="nil"/>
            </w:tcBorders>
            <w:noWrap w:val="0"/>
            <w:vAlign w:val="center"/>
          </w:tcPr>
          <w:p w14:paraId="7A87629E">
            <w:pPr>
              <w:adjustRightInd w:val="0"/>
              <w:snapToGrid w:val="0"/>
              <w:spacing w:line="240" w:lineRule="exact"/>
              <w:jc w:val="center"/>
              <w:rPr>
                <w:rFonts w:hint="eastAsia" w:cs="Times New Roman"/>
                <w:color w:val="auto"/>
                <w:spacing w:val="4"/>
                <w:sz w:val="21"/>
                <w:szCs w:val="21"/>
                <w:lang w:val="en-US" w:eastAsia="zh-CN"/>
              </w:rPr>
            </w:pPr>
          </w:p>
        </w:tc>
        <w:tc>
          <w:tcPr>
            <w:tcW w:w="929" w:type="pct"/>
            <w:gridSpan w:val="3"/>
            <w:tcBorders>
              <w:tl2br w:val="nil"/>
              <w:tr2bl w:val="nil"/>
            </w:tcBorders>
            <w:noWrap w:val="0"/>
            <w:vAlign w:val="center"/>
          </w:tcPr>
          <w:p w14:paraId="2E800A5E">
            <w:pPr>
              <w:adjustRightInd w:val="0"/>
              <w:snapToGrid w:val="0"/>
              <w:spacing w:line="240" w:lineRule="exact"/>
              <w:jc w:val="center"/>
              <w:rPr>
                <w:rFonts w:ascii="Times New Roman" w:hAnsi="Times New Roman" w:eastAsia="宋体" w:cs="Times New Roman"/>
                <w:color w:val="auto"/>
                <w:spacing w:val="4"/>
                <w:kern w:val="2"/>
                <w:sz w:val="21"/>
                <w:szCs w:val="21"/>
                <w:lang w:val="en-US" w:eastAsia="zh-CN" w:bidi="ar-SA"/>
              </w:rPr>
            </w:pPr>
            <w:r>
              <w:rPr>
                <w:rFonts w:hint="eastAsia" w:cs="Times New Roman"/>
                <w:color w:val="auto"/>
                <w:spacing w:val="4"/>
                <w:sz w:val="21"/>
                <w:szCs w:val="21"/>
                <w:lang w:val="en-US" w:eastAsia="zh-CN"/>
              </w:rPr>
              <w:t>洗井</w:t>
            </w:r>
            <w:r>
              <w:rPr>
                <w:rFonts w:ascii="Times New Roman" w:hAnsi="Times New Roman" w:cs="Times New Roman"/>
                <w:color w:val="auto"/>
                <w:spacing w:val="4"/>
                <w:sz w:val="21"/>
                <w:szCs w:val="21"/>
              </w:rPr>
              <w:t>液消耗</w:t>
            </w:r>
          </w:p>
        </w:tc>
        <w:tc>
          <w:tcPr>
            <w:tcW w:w="543" w:type="pct"/>
            <w:tcBorders>
              <w:tl2br w:val="nil"/>
              <w:tr2bl w:val="nil"/>
            </w:tcBorders>
            <w:noWrap w:val="0"/>
            <w:vAlign w:val="center"/>
          </w:tcPr>
          <w:p w14:paraId="03EE9AD8">
            <w:pPr>
              <w:adjustRightInd w:val="0"/>
              <w:snapToGrid w:val="0"/>
              <w:spacing w:line="240" w:lineRule="exact"/>
              <w:jc w:val="center"/>
              <w:rPr>
                <w:rFonts w:ascii="Times New Roman" w:hAnsi="Times New Roman" w:eastAsia="宋体" w:cs="Times New Roman"/>
                <w:color w:val="auto"/>
                <w:spacing w:val="4"/>
                <w:kern w:val="2"/>
                <w:sz w:val="21"/>
                <w:szCs w:val="21"/>
                <w:lang w:val="en-US" w:eastAsia="zh-CN" w:bidi="ar-SA"/>
              </w:rPr>
            </w:pPr>
            <w:r>
              <w:rPr>
                <w:rFonts w:ascii="Times New Roman" w:hAnsi="Times New Roman" w:cs="Times New Roman"/>
                <w:color w:val="auto"/>
                <w:spacing w:val="4"/>
                <w:sz w:val="21"/>
                <w:szCs w:val="21"/>
              </w:rPr>
              <w:t>m</w:t>
            </w:r>
            <w:r>
              <w:rPr>
                <w:rFonts w:ascii="Times New Roman" w:hAnsi="Times New Roman" w:cs="Times New Roman"/>
                <w:color w:val="auto"/>
                <w:spacing w:val="4"/>
                <w:sz w:val="21"/>
                <w:szCs w:val="21"/>
                <w:vertAlign w:val="superscript"/>
              </w:rPr>
              <w:t>3</w:t>
            </w:r>
            <w:r>
              <w:rPr>
                <w:rFonts w:ascii="Times New Roman" w:hAnsi="Times New Roman" w:cs="Times New Roman"/>
                <w:color w:val="auto"/>
                <w:spacing w:val="4"/>
                <w:sz w:val="21"/>
                <w:szCs w:val="21"/>
              </w:rPr>
              <w:t>/井次</w:t>
            </w:r>
          </w:p>
        </w:tc>
        <w:tc>
          <w:tcPr>
            <w:tcW w:w="452" w:type="pct"/>
            <w:gridSpan w:val="2"/>
            <w:tcBorders>
              <w:tl2br w:val="nil"/>
              <w:tr2bl w:val="nil"/>
            </w:tcBorders>
            <w:noWrap w:val="0"/>
            <w:vAlign w:val="center"/>
          </w:tcPr>
          <w:p w14:paraId="5F02F4D9">
            <w:pPr>
              <w:adjustRightInd w:val="0"/>
              <w:snapToGrid w:val="0"/>
              <w:spacing w:line="240" w:lineRule="exact"/>
              <w:jc w:val="center"/>
              <w:rPr>
                <w:rFonts w:ascii="Times New Roman" w:hAnsi="Times New Roman" w:eastAsia="宋体" w:cs="Times New Roman"/>
                <w:color w:val="auto"/>
                <w:spacing w:val="4"/>
                <w:kern w:val="2"/>
                <w:sz w:val="21"/>
                <w:szCs w:val="21"/>
                <w:lang w:val="en-US" w:eastAsia="zh-CN" w:bidi="ar-SA"/>
              </w:rPr>
            </w:pPr>
            <w:r>
              <w:rPr>
                <w:rFonts w:ascii="Times New Roman" w:hAnsi="Times New Roman" w:cs="Times New Roman"/>
                <w:color w:val="auto"/>
                <w:spacing w:val="4"/>
                <w:sz w:val="21"/>
                <w:szCs w:val="21"/>
              </w:rPr>
              <w:t>10</w:t>
            </w:r>
          </w:p>
        </w:tc>
        <w:tc>
          <w:tcPr>
            <w:tcW w:w="1111" w:type="pct"/>
            <w:gridSpan w:val="2"/>
            <w:tcBorders>
              <w:tl2br w:val="nil"/>
              <w:tr2bl w:val="nil"/>
            </w:tcBorders>
            <w:noWrap w:val="0"/>
            <w:vAlign w:val="center"/>
          </w:tcPr>
          <w:p w14:paraId="1FC8B65D">
            <w:pPr>
              <w:adjustRightInd w:val="0"/>
              <w:snapToGrid w:val="0"/>
              <w:spacing w:line="240" w:lineRule="exact"/>
              <w:jc w:val="center"/>
              <w:rPr>
                <w:rFonts w:ascii="Times New Roman" w:hAnsi="Times New Roman" w:eastAsia="宋体" w:cs="Times New Roman"/>
                <w:color w:val="auto"/>
                <w:spacing w:val="4"/>
                <w:kern w:val="2"/>
                <w:sz w:val="21"/>
                <w:szCs w:val="21"/>
                <w:lang w:val="en-US" w:eastAsia="zh-CN" w:bidi="ar-SA"/>
              </w:rPr>
            </w:pPr>
          </w:p>
        </w:tc>
        <w:tc>
          <w:tcPr>
            <w:tcW w:w="398" w:type="pct"/>
            <w:gridSpan w:val="2"/>
            <w:tcBorders>
              <w:tl2br w:val="nil"/>
              <w:tr2bl w:val="nil"/>
            </w:tcBorders>
            <w:noWrap w:val="0"/>
            <w:vAlign w:val="center"/>
          </w:tcPr>
          <w:p w14:paraId="1C55B95C">
            <w:pPr>
              <w:adjustRightInd w:val="0"/>
              <w:snapToGrid w:val="0"/>
              <w:spacing w:line="240" w:lineRule="exact"/>
              <w:jc w:val="center"/>
              <w:rPr>
                <w:rFonts w:hint="eastAsia" w:ascii="Times New Roman" w:hAnsi="Times New Roman" w:eastAsia="宋体" w:cs="Times New Roman"/>
                <w:color w:val="auto"/>
                <w:spacing w:val="4"/>
                <w:kern w:val="2"/>
                <w:sz w:val="21"/>
                <w:szCs w:val="21"/>
                <w:highlight w:val="none"/>
                <w:lang w:val="en-US" w:eastAsia="zh-CN" w:bidi="ar-SA"/>
              </w:rPr>
            </w:pPr>
            <w:r>
              <w:rPr>
                <w:rFonts w:hint="eastAsia" w:ascii="Times New Roman" w:hAnsi="Times New Roman" w:cs="Times New Roman"/>
                <w:color w:val="auto"/>
                <w:spacing w:val="4"/>
                <w:sz w:val="21"/>
                <w:szCs w:val="21"/>
                <w:highlight w:val="none"/>
              </w:rPr>
              <w:t>符合</w:t>
            </w:r>
          </w:p>
        </w:tc>
        <w:tc>
          <w:tcPr>
            <w:tcW w:w="265" w:type="pct"/>
            <w:tcBorders>
              <w:tl2br w:val="nil"/>
              <w:tr2bl w:val="nil"/>
            </w:tcBorders>
            <w:noWrap w:val="0"/>
            <w:vAlign w:val="center"/>
          </w:tcPr>
          <w:p w14:paraId="43F44479">
            <w:pPr>
              <w:adjustRightInd w:val="0"/>
              <w:snapToGrid w:val="0"/>
              <w:spacing w:line="240" w:lineRule="exact"/>
              <w:jc w:val="center"/>
              <w:rPr>
                <w:rFonts w:hint="eastAsia" w:ascii="Times New Roman" w:hAnsi="Times New Roman" w:eastAsia="宋体" w:cs="Times New Roman"/>
                <w:color w:val="auto"/>
                <w:spacing w:val="4"/>
                <w:kern w:val="2"/>
                <w:sz w:val="21"/>
                <w:szCs w:val="21"/>
                <w:lang w:val="en-US" w:eastAsia="zh-CN" w:bidi="ar-SA"/>
              </w:rPr>
            </w:pPr>
            <w:r>
              <w:rPr>
                <w:rFonts w:hint="eastAsia" w:ascii="Times New Roman" w:hAnsi="Times New Roman" w:cs="Times New Roman"/>
                <w:color w:val="auto"/>
                <w:spacing w:val="4"/>
                <w:sz w:val="21"/>
                <w:szCs w:val="21"/>
              </w:rPr>
              <w:t>10</w:t>
            </w:r>
          </w:p>
        </w:tc>
      </w:tr>
      <w:tr w14:paraId="1C378E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24" w:type="pct"/>
            <w:vMerge w:val="continue"/>
            <w:tcBorders>
              <w:tl2br w:val="nil"/>
              <w:tr2bl w:val="nil"/>
            </w:tcBorders>
            <w:noWrap w:val="0"/>
            <w:vAlign w:val="center"/>
          </w:tcPr>
          <w:p w14:paraId="5A099C1A">
            <w:pPr>
              <w:adjustRightInd w:val="0"/>
              <w:snapToGrid w:val="0"/>
              <w:spacing w:line="240" w:lineRule="exact"/>
              <w:jc w:val="center"/>
              <w:rPr>
                <w:rFonts w:ascii="Times New Roman" w:hAnsi="Times New Roman" w:cs="Times New Roman"/>
                <w:color w:val="auto"/>
                <w:spacing w:val="4"/>
                <w:sz w:val="21"/>
                <w:szCs w:val="21"/>
              </w:rPr>
            </w:pPr>
          </w:p>
        </w:tc>
        <w:tc>
          <w:tcPr>
            <w:tcW w:w="375" w:type="pct"/>
            <w:vMerge w:val="continue"/>
            <w:tcBorders>
              <w:tl2br w:val="nil"/>
              <w:tr2bl w:val="nil"/>
            </w:tcBorders>
            <w:noWrap w:val="0"/>
            <w:vAlign w:val="center"/>
          </w:tcPr>
          <w:p w14:paraId="4E265772">
            <w:pPr>
              <w:adjustRightInd w:val="0"/>
              <w:snapToGrid w:val="0"/>
              <w:spacing w:line="240" w:lineRule="exact"/>
              <w:jc w:val="center"/>
              <w:rPr>
                <w:rFonts w:ascii="Times New Roman" w:hAnsi="Times New Roman" w:cs="Times New Roman"/>
                <w:color w:val="auto"/>
                <w:spacing w:val="4"/>
                <w:sz w:val="21"/>
                <w:szCs w:val="21"/>
              </w:rPr>
            </w:pPr>
          </w:p>
        </w:tc>
        <w:tc>
          <w:tcPr>
            <w:tcW w:w="929" w:type="pct"/>
            <w:gridSpan w:val="3"/>
            <w:tcBorders>
              <w:tl2br w:val="nil"/>
              <w:tr2bl w:val="nil"/>
            </w:tcBorders>
            <w:noWrap w:val="0"/>
            <w:vAlign w:val="center"/>
          </w:tcPr>
          <w:p w14:paraId="47950D86">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新鲜水消耗</w:t>
            </w:r>
          </w:p>
        </w:tc>
        <w:tc>
          <w:tcPr>
            <w:tcW w:w="543" w:type="pct"/>
            <w:tcBorders>
              <w:tl2br w:val="nil"/>
              <w:tr2bl w:val="nil"/>
            </w:tcBorders>
            <w:noWrap w:val="0"/>
            <w:vAlign w:val="center"/>
          </w:tcPr>
          <w:p w14:paraId="56B7F165">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m</w:t>
            </w:r>
            <w:r>
              <w:rPr>
                <w:rFonts w:ascii="Times New Roman" w:hAnsi="Times New Roman" w:cs="Times New Roman"/>
                <w:color w:val="auto"/>
                <w:spacing w:val="4"/>
                <w:sz w:val="21"/>
                <w:szCs w:val="21"/>
                <w:vertAlign w:val="superscript"/>
              </w:rPr>
              <w:t>3</w:t>
            </w:r>
            <w:r>
              <w:rPr>
                <w:rFonts w:ascii="Times New Roman" w:hAnsi="Times New Roman" w:cs="Times New Roman"/>
                <w:color w:val="auto"/>
                <w:spacing w:val="4"/>
                <w:sz w:val="21"/>
                <w:szCs w:val="21"/>
              </w:rPr>
              <w:t>/井次</w:t>
            </w:r>
          </w:p>
        </w:tc>
        <w:tc>
          <w:tcPr>
            <w:tcW w:w="452" w:type="pct"/>
            <w:gridSpan w:val="2"/>
            <w:tcBorders>
              <w:tl2br w:val="nil"/>
              <w:tr2bl w:val="nil"/>
            </w:tcBorders>
            <w:noWrap w:val="0"/>
            <w:vAlign w:val="center"/>
          </w:tcPr>
          <w:p w14:paraId="37755F61">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10</w:t>
            </w:r>
          </w:p>
        </w:tc>
        <w:tc>
          <w:tcPr>
            <w:tcW w:w="1111" w:type="pct"/>
            <w:gridSpan w:val="2"/>
            <w:tcBorders>
              <w:tl2br w:val="nil"/>
              <w:tr2bl w:val="nil"/>
            </w:tcBorders>
            <w:noWrap w:val="0"/>
            <w:vAlign w:val="center"/>
          </w:tcPr>
          <w:p w14:paraId="4C582FD1">
            <w:pPr>
              <w:adjustRightInd w:val="0"/>
              <w:snapToGrid w:val="0"/>
              <w:spacing w:line="240" w:lineRule="exact"/>
              <w:jc w:val="center"/>
              <w:rPr>
                <w:rFonts w:ascii="Times New Roman" w:hAnsi="Times New Roman" w:cs="Times New Roman"/>
                <w:color w:val="auto"/>
                <w:spacing w:val="4"/>
                <w:sz w:val="21"/>
                <w:szCs w:val="21"/>
              </w:rPr>
            </w:pPr>
          </w:p>
        </w:tc>
        <w:tc>
          <w:tcPr>
            <w:tcW w:w="398" w:type="pct"/>
            <w:gridSpan w:val="2"/>
            <w:tcBorders>
              <w:tl2br w:val="nil"/>
              <w:tr2bl w:val="nil"/>
            </w:tcBorders>
            <w:noWrap w:val="0"/>
            <w:vAlign w:val="center"/>
          </w:tcPr>
          <w:p w14:paraId="0552228C">
            <w:pPr>
              <w:adjustRightInd w:val="0"/>
              <w:snapToGrid w:val="0"/>
              <w:spacing w:line="240" w:lineRule="exact"/>
              <w:jc w:val="center"/>
              <w:rPr>
                <w:rFonts w:ascii="Times New Roman" w:hAnsi="Times New Roman" w:cs="Times New Roman"/>
                <w:color w:val="auto"/>
                <w:spacing w:val="4"/>
                <w:sz w:val="21"/>
                <w:szCs w:val="21"/>
                <w:highlight w:val="none"/>
              </w:rPr>
            </w:pPr>
            <w:r>
              <w:rPr>
                <w:rFonts w:hint="eastAsia" w:ascii="Times New Roman" w:hAnsi="Times New Roman" w:cs="Times New Roman"/>
                <w:color w:val="auto"/>
                <w:spacing w:val="4"/>
                <w:sz w:val="21"/>
                <w:szCs w:val="21"/>
                <w:highlight w:val="none"/>
              </w:rPr>
              <w:t>符合</w:t>
            </w:r>
          </w:p>
        </w:tc>
        <w:tc>
          <w:tcPr>
            <w:tcW w:w="265" w:type="pct"/>
            <w:tcBorders>
              <w:tl2br w:val="nil"/>
              <w:tr2bl w:val="nil"/>
            </w:tcBorders>
            <w:noWrap w:val="0"/>
            <w:vAlign w:val="center"/>
          </w:tcPr>
          <w:p w14:paraId="4C5A749E">
            <w:pPr>
              <w:adjustRightInd w:val="0"/>
              <w:snapToGrid w:val="0"/>
              <w:spacing w:line="240" w:lineRule="exact"/>
              <w:jc w:val="center"/>
              <w:rPr>
                <w:rFonts w:hint="default" w:ascii="Times New Roman" w:hAnsi="Times New Roman" w:eastAsia="宋体" w:cs="Times New Roman"/>
                <w:color w:val="auto"/>
                <w:spacing w:val="4"/>
                <w:sz w:val="21"/>
                <w:szCs w:val="21"/>
                <w:lang w:val="en-US" w:eastAsia="zh-CN"/>
              </w:rPr>
            </w:pPr>
            <w:r>
              <w:rPr>
                <w:rFonts w:hint="eastAsia" w:ascii="Times New Roman" w:hAnsi="Times New Roman" w:cs="Times New Roman"/>
                <w:color w:val="auto"/>
                <w:spacing w:val="4"/>
                <w:sz w:val="21"/>
                <w:szCs w:val="21"/>
                <w:lang w:val="en-US" w:eastAsia="zh-CN"/>
              </w:rPr>
              <w:t>10</w:t>
            </w:r>
          </w:p>
        </w:tc>
      </w:tr>
      <w:bookmarkEnd w:id="464"/>
      <w:tr w14:paraId="74616E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24" w:type="pct"/>
            <w:tcBorders>
              <w:tl2br w:val="nil"/>
              <w:tr2bl w:val="nil"/>
            </w:tcBorders>
            <w:noWrap w:val="0"/>
            <w:vAlign w:val="center"/>
          </w:tcPr>
          <w:p w14:paraId="55E6DD74">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（2）生产技术特征指标</w:t>
            </w:r>
          </w:p>
        </w:tc>
        <w:tc>
          <w:tcPr>
            <w:tcW w:w="375" w:type="pct"/>
            <w:tcBorders>
              <w:tl2br w:val="nil"/>
              <w:tr2bl w:val="nil"/>
            </w:tcBorders>
            <w:noWrap w:val="0"/>
            <w:vAlign w:val="center"/>
          </w:tcPr>
          <w:p w14:paraId="44D9614A">
            <w:pPr>
              <w:adjustRightInd w:val="0"/>
              <w:snapToGrid w:val="0"/>
              <w:spacing w:line="240" w:lineRule="exact"/>
              <w:jc w:val="center"/>
              <w:rPr>
                <w:rFonts w:hint="default" w:ascii="Times New Roman" w:hAnsi="Times New Roman" w:eastAsia="宋体" w:cs="Times New Roman"/>
                <w:color w:val="auto"/>
                <w:spacing w:val="4"/>
                <w:sz w:val="21"/>
                <w:szCs w:val="21"/>
                <w:lang w:val="en-US" w:eastAsia="zh-CN"/>
              </w:rPr>
            </w:pPr>
            <w:r>
              <w:rPr>
                <w:rFonts w:hint="eastAsia" w:cs="Times New Roman"/>
                <w:color w:val="auto"/>
                <w:spacing w:val="4"/>
                <w:sz w:val="21"/>
                <w:szCs w:val="21"/>
                <w:lang w:val="en-US" w:eastAsia="zh-CN"/>
              </w:rPr>
              <w:t>25</w:t>
            </w:r>
          </w:p>
        </w:tc>
        <w:tc>
          <w:tcPr>
            <w:tcW w:w="929" w:type="pct"/>
            <w:gridSpan w:val="3"/>
            <w:tcBorders>
              <w:tl2br w:val="nil"/>
              <w:tr2bl w:val="nil"/>
            </w:tcBorders>
            <w:noWrap w:val="0"/>
            <w:vAlign w:val="center"/>
          </w:tcPr>
          <w:p w14:paraId="16C48AAC">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压裂放喷返排入罐率</w:t>
            </w:r>
          </w:p>
        </w:tc>
        <w:tc>
          <w:tcPr>
            <w:tcW w:w="543" w:type="pct"/>
            <w:tcBorders>
              <w:tl2br w:val="nil"/>
              <w:tr2bl w:val="nil"/>
            </w:tcBorders>
            <w:noWrap w:val="0"/>
            <w:vAlign w:val="center"/>
          </w:tcPr>
          <w:p w14:paraId="37F7ACF8">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w:t>
            </w:r>
          </w:p>
        </w:tc>
        <w:tc>
          <w:tcPr>
            <w:tcW w:w="452" w:type="pct"/>
            <w:gridSpan w:val="2"/>
            <w:tcBorders>
              <w:tl2br w:val="nil"/>
              <w:tr2bl w:val="nil"/>
            </w:tcBorders>
            <w:noWrap w:val="0"/>
            <w:vAlign w:val="center"/>
          </w:tcPr>
          <w:p w14:paraId="0B61AD08">
            <w:pPr>
              <w:adjustRightInd w:val="0"/>
              <w:snapToGrid w:val="0"/>
              <w:spacing w:line="240" w:lineRule="exact"/>
              <w:jc w:val="center"/>
              <w:rPr>
                <w:rFonts w:hint="default" w:ascii="Times New Roman" w:hAnsi="Times New Roman" w:eastAsia="宋体" w:cs="Times New Roman"/>
                <w:color w:val="auto"/>
                <w:spacing w:val="4"/>
                <w:sz w:val="21"/>
                <w:szCs w:val="21"/>
                <w:lang w:val="en-US" w:eastAsia="zh-CN"/>
              </w:rPr>
            </w:pPr>
            <w:r>
              <w:rPr>
                <w:rFonts w:hint="eastAsia" w:cs="Times New Roman"/>
                <w:color w:val="auto"/>
                <w:spacing w:val="4"/>
                <w:sz w:val="21"/>
                <w:szCs w:val="21"/>
                <w:lang w:val="en-US" w:eastAsia="zh-CN"/>
              </w:rPr>
              <w:t>25</w:t>
            </w:r>
          </w:p>
        </w:tc>
        <w:tc>
          <w:tcPr>
            <w:tcW w:w="1111" w:type="pct"/>
            <w:gridSpan w:val="2"/>
            <w:tcBorders>
              <w:tl2br w:val="nil"/>
              <w:tr2bl w:val="nil"/>
            </w:tcBorders>
            <w:noWrap w:val="0"/>
            <w:vAlign w:val="center"/>
          </w:tcPr>
          <w:p w14:paraId="01BFF3B0">
            <w:pPr>
              <w:adjustRightInd w:val="0"/>
              <w:snapToGrid w:val="0"/>
              <w:spacing w:line="240" w:lineRule="exact"/>
              <w:jc w:val="center"/>
              <w:rPr>
                <w:rFonts w:ascii="Times New Roman" w:hAnsi="Times New Roman" w:cs="Times New Roman"/>
                <w:color w:val="auto"/>
                <w:spacing w:val="4"/>
                <w:sz w:val="21"/>
                <w:szCs w:val="21"/>
              </w:rPr>
            </w:pPr>
            <w:bookmarkStart w:id="465" w:name="OLE_LINK403"/>
            <w:r>
              <w:rPr>
                <w:rFonts w:ascii="Times New Roman" w:hAnsi="Times New Roman" w:cs="Times New Roman"/>
                <w:color w:val="auto"/>
                <w:spacing w:val="4"/>
                <w:sz w:val="21"/>
                <w:szCs w:val="21"/>
              </w:rPr>
              <w:t>100</w:t>
            </w:r>
            <w:bookmarkEnd w:id="465"/>
          </w:p>
        </w:tc>
        <w:tc>
          <w:tcPr>
            <w:tcW w:w="398" w:type="pct"/>
            <w:gridSpan w:val="2"/>
            <w:tcBorders>
              <w:tl2br w:val="nil"/>
              <w:tr2bl w:val="nil"/>
            </w:tcBorders>
            <w:noWrap w:val="0"/>
            <w:vAlign w:val="center"/>
          </w:tcPr>
          <w:p w14:paraId="58FDD31D">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100</w:t>
            </w:r>
          </w:p>
        </w:tc>
        <w:tc>
          <w:tcPr>
            <w:tcW w:w="265" w:type="pct"/>
            <w:tcBorders>
              <w:tl2br w:val="nil"/>
              <w:tr2bl w:val="nil"/>
            </w:tcBorders>
            <w:noWrap w:val="0"/>
            <w:vAlign w:val="center"/>
          </w:tcPr>
          <w:p w14:paraId="5868F862">
            <w:pPr>
              <w:adjustRightInd w:val="0"/>
              <w:snapToGrid w:val="0"/>
              <w:spacing w:line="240" w:lineRule="exact"/>
              <w:jc w:val="center"/>
              <w:rPr>
                <w:rFonts w:hint="default" w:ascii="Times New Roman" w:hAnsi="Times New Roman" w:eastAsia="宋体" w:cs="Times New Roman"/>
                <w:color w:val="auto"/>
                <w:spacing w:val="4"/>
                <w:sz w:val="21"/>
                <w:szCs w:val="21"/>
                <w:lang w:val="en-US" w:eastAsia="zh-CN"/>
              </w:rPr>
            </w:pPr>
            <w:r>
              <w:rPr>
                <w:rFonts w:hint="eastAsia" w:cs="Times New Roman"/>
                <w:color w:val="auto"/>
                <w:spacing w:val="4"/>
                <w:sz w:val="21"/>
                <w:szCs w:val="21"/>
                <w:lang w:val="en-US" w:eastAsia="zh-CN"/>
              </w:rPr>
              <w:t>25</w:t>
            </w:r>
          </w:p>
        </w:tc>
      </w:tr>
      <w:tr w14:paraId="370A99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24" w:type="pct"/>
            <w:vMerge w:val="restart"/>
            <w:tcBorders>
              <w:tl2br w:val="nil"/>
              <w:tr2bl w:val="nil"/>
            </w:tcBorders>
            <w:noWrap w:val="0"/>
            <w:vAlign w:val="center"/>
          </w:tcPr>
          <w:p w14:paraId="0A5D32C4">
            <w:pPr>
              <w:adjustRightInd w:val="0"/>
              <w:snapToGrid w:val="0"/>
              <w:spacing w:line="240" w:lineRule="exact"/>
              <w:jc w:val="center"/>
              <w:rPr>
                <w:rFonts w:ascii="Times New Roman" w:hAnsi="Times New Roman" w:cs="Times New Roman"/>
                <w:color w:val="auto"/>
                <w:spacing w:val="4"/>
                <w:sz w:val="21"/>
                <w:szCs w:val="21"/>
              </w:rPr>
            </w:pPr>
            <w:bookmarkStart w:id="466" w:name="OLE_LINK407" w:colFirst="1" w:colLast="1"/>
            <w:bookmarkStart w:id="467" w:name="OLE_LINK404" w:colFirst="4" w:colLast="4"/>
            <w:bookmarkStart w:id="468" w:name="OLE_LINK408" w:colFirst="0" w:colLast="0"/>
            <w:r>
              <w:rPr>
                <w:rFonts w:ascii="Times New Roman" w:hAnsi="Times New Roman" w:cs="Times New Roman"/>
                <w:color w:val="auto"/>
                <w:spacing w:val="4"/>
                <w:sz w:val="21"/>
                <w:szCs w:val="21"/>
              </w:rPr>
              <w:t>（3）资源综合利用指标</w:t>
            </w:r>
          </w:p>
        </w:tc>
        <w:tc>
          <w:tcPr>
            <w:tcW w:w="375" w:type="pct"/>
            <w:vMerge w:val="restart"/>
            <w:tcBorders>
              <w:tl2br w:val="nil"/>
              <w:tr2bl w:val="nil"/>
            </w:tcBorders>
            <w:noWrap w:val="0"/>
            <w:vAlign w:val="center"/>
          </w:tcPr>
          <w:p w14:paraId="26B69C59">
            <w:pPr>
              <w:adjustRightInd w:val="0"/>
              <w:snapToGrid w:val="0"/>
              <w:spacing w:line="240" w:lineRule="exact"/>
              <w:jc w:val="center"/>
              <w:rPr>
                <w:rFonts w:hint="default" w:ascii="Times New Roman" w:hAnsi="Times New Roman" w:eastAsia="宋体" w:cs="Times New Roman"/>
                <w:color w:val="auto"/>
                <w:spacing w:val="4"/>
                <w:sz w:val="21"/>
                <w:szCs w:val="21"/>
                <w:lang w:val="en-US" w:eastAsia="zh-CN"/>
              </w:rPr>
            </w:pPr>
            <w:r>
              <w:rPr>
                <w:rFonts w:hint="eastAsia" w:cs="Times New Roman"/>
                <w:color w:val="auto"/>
                <w:spacing w:val="4"/>
                <w:sz w:val="21"/>
                <w:szCs w:val="21"/>
                <w:lang w:val="en-US" w:eastAsia="zh-CN"/>
              </w:rPr>
              <w:t>25</w:t>
            </w:r>
          </w:p>
        </w:tc>
        <w:tc>
          <w:tcPr>
            <w:tcW w:w="929" w:type="pct"/>
            <w:gridSpan w:val="3"/>
            <w:tcBorders>
              <w:tl2br w:val="nil"/>
              <w:tr2bl w:val="nil"/>
            </w:tcBorders>
            <w:noWrap w:val="0"/>
            <w:vAlign w:val="center"/>
          </w:tcPr>
          <w:p w14:paraId="218F7714">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落地</w:t>
            </w:r>
            <w:bookmarkStart w:id="469" w:name="OLE_LINK405"/>
            <w:r>
              <w:rPr>
                <w:rFonts w:ascii="Times New Roman" w:hAnsi="Times New Roman" w:cs="Times New Roman"/>
                <w:color w:val="auto"/>
                <w:spacing w:val="4"/>
                <w:sz w:val="21"/>
                <w:szCs w:val="21"/>
              </w:rPr>
              <w:t>原</w:t>
            </w:r>
            <w:bookmarkEnd w:id="469"/>
            <w:r>
              <w:rPr>
                <w:rFonts w:ascii="Times New Roman" w:hAnsi="Times New Roman" w:cs="Times New Roman"/>
                <w:color w:val="auto"/>
                <w:spacing w:val="4"/>
                <w:sz w:val="21"/>
                <w:szCs w:val="21"/>
              </w:rPr>
              <w:t>油回收利用率</w:t>
            </w:r>
          </w:p>
        </w:tc>
        <w:tc>
          <w:tcPr>
            <w:tcW w:w="543" w:type="pct"/>
            <w:tcBorders>
              <w:tl2br w:val="nil"/>
              <w:tr2bl w:val="nil"/>
            </w:tcBorders>
            <w:noWrap w:val="0"/>
            <w:vAlign w:val="center"/>
          </w:tcPr>
          <w:p w14:paraId="14055125">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w:t>
            </w:r>
          </w:p>
        </w:tc>
        <w:tc>
          <w:tcPr>
            <w:tcW w:w="452" w:type="pct"/>
            <w:gridSpan w:val="2"/>
            <w:tcBorders>
              <w:tl2br w:val="nil"/>
              <w:tr2bl w:val="nil"/>
            </w:tcBorders>
            <w:noWrap w:val="0"/>
            <w:vAlign w:val="center"/>
          </w:tcPr>
          <w:p w14:paraId="23AE744C">
            <w:pPr>
              <w:adjustRightInd w:val="0"/>
              <w:snapToGrid w:val="0"/>
              <w:spacing w:line="240" w:lineRule="exact"/>
              <w:jc w:val="center"/>
              <w:rPr>
                <w:rFonts w:hint="eastAsia" w:ascii="Times New Roman" w:hAnsi="Times New Roman" w:eastAsia="宋体" w:cs="Times New Roman"/>
                <w:color w:val="auto"/>
                <w:spacing w:val="4"/>
                <w:sz w:val="21"/>
                <w:szCs w:val="21"/>
                <w:lang w:val="en-US" w:eastAsia="zh-CN"/>
              </w:rPr>
            </w:pPr>
            <w:r>
              <w:rPr>
                <w:rFonts w:hint="eastAsia" w:cs="Times New Roman"/>
                <w:color w:val="auto"/>
                <w:spacing w:val="4"/>
                <w:sz w:val="21"/>
                <w:szCs w:val="21"/>
                <w:lang w:val="en-US" w:eastAsia="zh-CN"/>
              </w:rPr>
              <w:t>8</w:t>
            </w:r>
          </w:p>
        </w:tc>
        <w:tc>
          <w:tcPr>
            <w:tcW w:w="1111" w:type="pct"/>
            <w:gridSpan w:val="2"/>
            <w:tcBorders>
              <w:tl2br w:val="nil"/>
              <w:tr2bl w:val="nil"/>
            </w:tcBorders>
            <w:noWrap w:val="0"/>
            <w:vAlign w:val="center"/>
          </w:tcPr>
          <w:p w14:paraId="637B54F7">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100</w:t>
            </w:r>
          </w:p>
        </w:tc>
        <w:tc>
          <w:tcPr>
            <w:tcW w:w="398" w:type="pct"/>
            <w:gridSpan w:val="2"/>
            <w:tcBorders>
              <w:tl2br w:val="nil"/>
              <w:tr2bl w:val="nil"/>
            </w:tcBorders>
            <w:noWrap w:val="0"/>
            <w:vAlign w:val="center"/>
          </w:tcPr>
          <w:p w14:paraId="5426D8A7">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100</w:t>
            </w:r>
          </w:p>
        </w:tc>
        <w:tc>
          <w:tcPr>
            <w:tcW w:w="265" w:type="pct"/>
            <w:tcBorders>
              <w:tl2br w:val="nil"/>
              <w:tr2bl w:val="nil"/>
            </w:tcBorders>
            <w:noWrap w:val="0"/>
            <w:vAlign w:val="center"/>
          </w:tcPr>
          <w:p w14:paraId="74815945">
            <w:pPr>
              <w:adjustRightInd w:val="0"/>
              <w:snapToGrid w:val="0"/>
              <w:spacing w:line="240" w:lineRule="exact"/>
              <w:jc w:val="center"/>
              <w:rPr>
                <w:rFonts w:hint="eastAsia" w:ascii="Times New Roman" w:hAnsi="Times New Roman" w:eastAsia="宋体" w:cs="Times New Roman"/>
                <w:color w:val="auto"/>
                <w:spacing w:val="4"/>
                <w:sz w:val="21"/>
                <w:szCs w:val="21"/>
                <w:lang w:val="en-US" w:eastAsia="zh-CN"/>
              </w:rPr>
            </w:pPr>
            <w:r>
              <w:rPr>
                <w:rFonts w:hint="eastAsia" w:cs="Times New Roman"/>
                <w:color w:val="auto"/>
                <w:spacing w:val="4"/>
                <w:sz w:val="21"/>
                <w:szCs w:val="21"/>
                <w:lang w:val="en-US" w:eastAsia="zh-CN"/>
              </w:rPr>
              <w:t>8</w:t>
            </w:r>
          </w:p>
        </w:tc>
      </w:tr>
      <w:tr w14:paraId="75CBB4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24" w:type="pct"/>
            <w:vMerge w:val="continue"/>
            <w:tcBorders>
              <w:tl2br w:val="nil"/>
              <w:tr2bl w:val="nil"/>
            </w:tcBorders>
            <w:noWrap w:val="0"/>
            <w:vAlign w:val="center"/>
          </w:tcPr>
          <w:p w14:paraId="78D6DCBF">
            <w:pPr>
              <w:adjustRightInd w:val="0"/>
              <w:snapToGrid w:val="0"/>
              <w:spacing w:line="240" w:lineRule="exact"/>
              <w:jc w:val="center"/>
              <w:rPr>
                <w:rFonts w:ascii="Times New Roman" w:hAnsi="Times New Roman" w:cs="Times New Roman"/>
                <w:color w:val="auto"/>
                <w:spacing w:val="4"/>
                <w:sz w:val="21"/>
                <w:szCs w:val="21"/>
              </w:rPr>
            </w:pPr>
            <w:bookmarkStart w:id="470" w:name="OLE_LINK406" w:colFirst="2" w:colLast="5"/>
          </w:p>
        </w:tc>
        <w:tc>
          <w:tcPr>
            <w:tcW w:w="375" w:type="pct"/>
            <w:vMerge w:val="continue"/>
            <w:tcBorders>
              <w:tl2br w:val="nil"/>
              <w:tr2bl w:val="nil"/>
            </w:tcBorders>
            <w:noWrap w:val="0"/>
            <w:vAlign w:val="center"/>
          </w:tcPr>
          <w:p w14:paraId="554FEEC5">
            <w:pPr>
              <w:adjustRightInd w:val="0"/>
              <w:snapToGrid w:val="0"/>
              <w:spacing w:line="240" w:lineRule="exact"/>
              <w:jc w:val="center"/>
              <w:rPr>
                <w:rFonts w:ascii="Times New Roman" w:hAnsi="Times New Roman" w:cs="Times New Roman"/>
                <w:color w:val="auto"/>
                <w:spacing w:val="4"/>
                <w:sz w:val="21"/>
                <w:szCs w:val="21"/>
              </w:rPr>
            </w:pPr>
          </w:p>
        </w:tc>
        <w:tc>
          <w:tcPr>
            <w:tcW w:w="929" w:type="pct"/>
            <w:gridSpan w:val="3"/>
            <w:tcBorders>
              <w:tl2br w:val="nil"/>
              <w:tr2bl w:val="nil"/>
            </w:tcBorders>
            <w:noWrap w:val="0"/>
            <w:vAlign w:val="center"/>
          </w:tcPr>
          <w:p w14:paraId="38948F77">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生产过程中排出物利用率</w:t>
            </w:r>
          </w:p>
        </w:tc>
        <w:tc>
          <w:tcPr>
            <w:tcW w:w="543" w:type="pct"/>
            <w:tcBorders>
              <w:tl2br w:val="nil"/>
              <w:tr2bl w:val="nil"/>
            </w:tcBorders>
            <w:noWrap w:val="0"/>
            <w:vAlign w:val="center"/>
          </w:tcPr>
          <w:p w14:paraId="0128E580">
            <w:pPr>
              <w:adjustRightInd w:val="0"/>
              <w:snapToGrid w:val="0"/>
              <w:spacing w:line="240" w:lineRule="exact"/>
              <w:jc w:val="center"/>
              <w:rPr>
                <w:rFonts w:ascii="Times New Roman" w:hAnsi="Times New Roman" w:cs="Times New Roman"/>
                <w:color w:val="auto"/>
                <w:spacing w:val="4"/>
                <w:sz w:val="21"/>
                <w:szCs w:val="21"/>
              </w:rPr>
            </w:pPr>
            <w:bookmarkStart w:id="471" w:name="OLE_LINK409"/>
            <w:r>
              <w:rPr>
                <w:rFonts w:ascii="Times New Roman" w:hAnsi="Times New Roman" w:cs="Times New Roman"/>
                <w:color w:val="auto"/>
                <w:spacing w:val="4"/>
                <w:sz w:val="21"/>
                <w:szCs w:val="21"/>
              </w:rPr>
              <w:t>%</w:t>
            </w:r>
            <w:bookmarkEnd w:id="471"/>
          </w:p>
        </w:tc>
        <w:tc>
          <w:tcPr>
            <w:tcW w:w="452" w:type="pct"/>
            <w:gridSpan w:val="2"/>
            <w:tcBorders>
              <w:tl2br w:val="nil"/>
              <w:tr2bl w:val="nil"/>
            </w:tcBorders>
            <w:noWrap w:val="0"/>
            <w:vAlign w:val="center"/>
          </w:tcPr>
          <w:p w14:paraId="0C0D70D5">
            <w:pPr>
              <w:adjustRightInd w:val="0"/>
              <w:snapToGrid w:val="0"/>
              <w:spacing w:line="240" w:lineRule="exact"/>
              <w:jc w:val="center"/>
              <w:rPr>
                <w:rFonts w:hint="eastAsia" w:ascii="Times New Roman" w:hAnsi="Times New Roman" w:eastAsia="宋体" w:cs="Times New Roman"/>
                <w:color w:val="auto"/>
                <w:spacing w:val="4"/>
                <w:sz w:val="21"/>
                <w:szCs w:val="21"/>
                <w:lang w:val="en-US" w:eastAsia="zh-CN"/>
              </w:rPr>
            </w:pPr>
            <w:r>
              <w:rPr>
                <w:rFonts w:hint="eastAsia" w:cs="Times New Roman"/>
                <w:color w:val="auto"/>
                <w:spacing w:val="4"/>
                <w:sz w:val="21"/>
                <w:szCs w:val="21"/>
                <w:lang w:val="en-US" w:eastAsia="zh-CN"/>
              </w:rPr>
              <w:t>9</w:t>
            </w:r>
          </w:p>
        </w:tc>
        <w:tc>
          <w:tcPr>
            <w:tcW w:w="1111" w:type="pct"/>
            <w:gridSpan w:val="2"/>
            <w:tcBorders>
              <w:tl2br w:val="nil"/>
              <w:tr2bl w:val="nil"/>
            </w:tcBorders>
            <w:noWrap w:val="0"/>
            <w:vAlign w:val="center"/>
          </w:tcPr>
          <w:p w14:paraId="30822F09">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100</w:t>
            </w:r>
          </w:p>
        </w:tc>
        <w:tc>
          <w:tcPr>
            <w:tcW w:w="398" w:type="pct"/>
            <w:gridSpan w:val="2"/>
            <w:tcBorders>
              <w:tl2br w:val="nil"/>
              <w:tr2bl w:val="nil"/>
            </w:tcBorders>
            <w:noWrap w:val="0"/>
            <w:vAlign w:val="center"/>
          </w:tcPr>
          <w:p w14:paraId="462254B4">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100</w:t>
            </w:r>
          </w:p>
        </w:tc>
        <w:tc>
          <w:tcPr>
            <w:tcW w:w="265" w:type="pct"/>
            <w:tcBorders>
              <w:tl2br w:val="nil"/>
              <w:tr2bl w:val="nil"/>
            </w:tcBorders>
            <w:noWrap w:val="0"/>
            <w:vAlign w:val="center"/>
          </w:tcPr>
          <w:p w14:paraId="39D5D9FF">
            <w:pPr>
              <w:adjustRightInd w:val="0"/>
              <w:snapToGrid w:val="0"/>
              <w:spacing w:line="240" w:lineRule="exact"/>
              <w:jc w:val="center"/>
              <w:rPr>
                <w:rFonts w:hint="eastAsia" w:ascii="Times New Roman" w:hAnsi="Times New Roman" w:eastAsia="宋体" w:cs="Times New Roman"/>
                <w:color w:val="auto"/>
                <w:spacing w:val="4"/>
                <w:sz w:val="21"/>
                <w:szCs w:val="21"/>
                <w:lang w:val="en-US" w:eastAsia="zh-CN"/>
              </w:rPr>
            </w:pPr>
            <w:r>
              <w:rPr>
                <w:rFonts w:hint="eastAsia" w:cs="Times New Roman"/>
                <w:color w:val="auto"/>
                <w:spacing w:val="4"/>
                <w:sz w:val="21"/>
                <w:szCs w:val="21"/>
                <w:lang w:val="en-US" w:eastAsia="zh-CN"/>
              </w:rPr>
              <w:t>9</w:t>
            </w:r>
          </w:p>
        </w:tc>
      </w:tr>
      <w:tr w14:paraId="5E194B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24" w:type="pct"/>
            <w:vMerge w:val="continue"/>
            <w:tcBorders>
              <w:tl2br w:val="nil"/>
              <w:tr2bl w:val="nil"/>
            </w:tcBorders>
            <w:noWrap w:val="0"/>
            <w:vAlign w:val="center"/>
          </w:tcPr>
          <w:p w14:paraId="41FE8561">
            <w:pPr>
              <w:adjustRightInd w:val="0"/>
              <w:snapToGrid w:val="0"/>
              <w:spacing w:line="240" w:lineRule="exact"/>
              <w:jc w:val="center"/>
              <w:rPr>
                <w:rFonts w:ascii="Times New Roman" w:hAnsi="Times New Roman" w:cs="Times New Roman"/>
                <w:color w:val="auto"/>
                <w:spacing w:val="4"/>
                <w:sz w:val="21"/>
                <w:szCs w:val="21"/>
              </w:rPr>
            </w:pPr>
            <w:bookmarkStart w:id="472" w:name="OLE_LINK401" w:colFirst="2" w:colLast="7"/>
          </w:p>
        </w:tc>
        <w:tc>
          <w:tcPr>
            <w:tcW w:w="375" w:type="pct"/>
            <w:vMerge w:val="continue"/>
            <w:tcBorders>
              <w:tl2br w:val="nil"/>
              <w:tr2bl w:val="nil"/>
            </w:tcBorders>
            <w:noWrap w:val="0"/>
            <w:vAlign w:val="center"/>
          </w:tcPr>
          <w:p w14:paraId="5EB18F6F">
            <w:pPr>
              <w:adjustRightInd w:val="0"/>
              <w:snapToGrid w:val="0"/>
              <w:spacing w:line="240" w:lineRule="exact"/>
              <w:jc w:val="center"/>
              <w:rPr>
                <w:rFonts w:ascii="Times New Roman" w:hAnsi="Times New Roman" w:cs="Times New Roman"/>
                <w:color w:val="auto"/>
                <w:spacing w:val="4"/>
                <w:sz w:val="21"/>
                <w:szCs w:val="21"/>
              </w:rPr>
            </w:pPr>
          </w:p>
        </w:tc>
        <w:tc>
          <w:tcPr>
            <w:tcW w:w="929" w:type="pct"/>
            <w:gridSpan w:val="3"/>
            <w:tcBorders>
              <w:tl2br w:val="nil"/>
              <w:tr2bl w:val="nil"/>
            </w:tcBorders>
            <w:noWrap w:val="0"/>
            <w:vAlign w:val="center"/>
          </w:tcPr>
          <w:p w14:paraId="52A97C3E">
            <w:pPr>
              <w:adjustRightInd w:val="0"/>
              <w:snapToGrid w:val="0"/>
              <w:spacing w:line="240" w:lineRule="exact"/>
              <w:jc w:val="center"/>
              <w:rPr>
                <w:rFonts w:hint="default" w:ascii="Times New Roman" w:hAnsi="Times New Roman" w:eastAsia="宋体" w:cs="Times New Roman"/>
                <w:color w:val="auto"/>
                <w:spacing w:val="4"/>
                <w:sz w:val="21"/>
                <w:szCs w:val="21"/>
                <w:lang w:val="en-US" w:eastAsia="zh-CN"/>
              </w:rPr>
            </w:pPr>
            <w:r>
              <w:rPr>
                <w:rFonts w:hint="eastAsia" w:cs="Times New Roman"/>
                <w:color w:val="auto"/>
                <w:spacing w:val="4"/>
                <w:sz w:val="21"/>
                <w:szCs w:val="21"/>
                <w:lang w:val="en-US" w:eastAsia="zh-CN"/>
              </w:rPr>
              <w:t>剩余作业液回收率</w:t>
            </w:r>
          </w:p>
        </w:tc>
        <w:tc>
          <w:tcPr>
            <w:tcW w:w="543" w:type="pct"/>
            <w:tcBorders>
              <w:tl2br w:val="nil"/>
              <w:tr2bl w:val="nil"/>
            </w:tcBorders>
            <w:noWrap w:val="0"/>
            <w:vAlign w:val="center"/>
          </w:tcPr>
          <w:p w14:paraId="6242EB65">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w:t>
            </w:r>
          </w:p>
        </w:tc>
        <w:tc>
          <w:tcPr>
            <w:tcW w:w="452" w:type="pct"/>
            <w:gridSpan w:val="2"/>
            <w:tcBorders>
              <w:tl2br w:val="nil"/>
              <w:tr2bl w:val="nil"/>
            </w:tcBorders>
            <w:noWrap w:val="0"/>
            <w:vAlign w:val="center"/>
          </w:tcPr>
          <w:p w14:paraId="117C373C">
            <w:pPr>
              <w:adjustRightInd w:val="0"/>
              <w:snapToGrid w:val="0"/>
              <w:spacing w:line="240" w:lineRule="exact"/>
              <w:jc w:val="center"/>
              <w:rPr>
                <w:rFonts w:hint="default" w:cs="Times New Roman"/>
                <w:color w:val="auto"/>
                <w:spacing w:val="4"/>
                <w:sz w:val="21"/>
                <w:szCs w:val="21"/>
                <w:lang w:val="en-US" w:eastAsia="zh-CN"/>
              </w:rPr>
            </w:pPr>
            <w:r>
              <w:rPr>
                <w:rFonts w:hint="eastAsia" w:cs="Times New Roman"/>
                <w:color w:val="auto"/>
                <w:spacing w:val="4"/>
                <w:sz w:val="21"/>
                <w:szCs w:val="21"/>
                <w:lang w:val="en-US" w:eastAsia="zh-CN"/>
              </w:rPr>
              <w:t>8</w:t>
            </w:r>
          </w:p>
        </w:tc>
        <w:tc>
          <w:tcPr>
            <w:tcW w:w="1111" w:type="pct"/>
            <w:gridSpan w:val="2"/>
            <w:tcBorders>
              <w:tl2br w:val="nil"/>
              <w:tr2bl w:val="nil"/>
            </w:tcBorders>
            <w:noWrap w:val="0"/>
            <w:vAlign w:val="center"/>
          </w:tcPr>
          <w:p w14:paraId="1D24EDDB">
            <w:pPr>
              <w:adjustRightInd w:val="0"/>
              <w:snapToGrid w:val="0"/>
              <w:spacing w:line="240" w:lineRule="exact"/>
              <w:jc w:val="center"/>
              <w:rPr>
                <w:rFonts w:hint="default" w:ascii="Times New Roman" w:hAnsi="Times New Roman" w:eastAsia="宋体" w:cs="Times New Roman"/>
                <w:color w:val="auto"/>
                <w:spacing w:val="4"/>
                <w:sz w:val="21"/>
                <w:szCs w:val="21"/>
                <w:lang w:val="en-US" w:eastAsia="zh-CN"/>
              </w:rPr>
            </w:pPr>
            <w:r>
              <w:rPr>
                <w:rFonts w:hint="eastAsia" w:cs="Times New Roman"/>
                <w:color w:val="auto"/>
                <w:spacing w:val="4"/>
                <w:sz w:val="21"/>
                <w:szCs w:val="21"/>
                <w:lang w:val="en-US" w:eastAsia="zh-CN"/>
              </w:rPr>
              <w:t>100</w:t>
            </w:r>
          </w:p>
        </w:tc>
        <w:tc>
          <w:tcPr>
            <w:tcW w:w="398" w:type="pct"/>
            <w:gridSpan w:val="2"/>
            <w:tcBorders>
              <w:tl2br w:val="nil"/>
              <w:tr2bl w:val="nil"/>
            </w:tcBorders>
            <w:noWrap w:val="0"/>
            <w:vAlign w:val="center"/>
          </w:tcPr>
          <w:p w14:paraId="1AAF32DA">
            <w:pPr>
              <w:adjustRightInd w:val="0"/>
              <w:snapToGrid w:val="0"/>
              <w:spacing w:line="240" w:lineRule="exact"/>
              <w:jc w:val="center"/>
              <w:rPr>
                <w:rFonts w:hint="default" w:ascii="Times New Roman" w:hAnsi="Times New Roman" w:eastAsia="宋体" w:cs="Times New Roman"/>
                <w:color w:val="auto"/>
                <w:spacing w:val="4"/>
                <w:sz w:val="21"/>
                <w:szCs w:val="21"/>
                <w:lang w:val="en-US" w:eastAsia="zh-CN"/>
              </w:rPr>
            </w:pPr>
            <w:r>
              <w:rPr>
                <w:rFonts w:hint="eastAsia" w:cs="Times New Roman"/>
                <w:color w:val="auto"/>
                <w:spacing w:val="4"/>
                <w:sz w:val="21"/>
                <w:szCs w:val="21"/>
                <w:lang w:val="en-US" w:eastAsia="zh-CN"/>
              </w:rPr>
              <w:t>100</w:t>
            </w:r>
          </w:p>
        </w:tc>
        <w:tc>
          <w:tcPr>
            <w:tcW w:w="265" w:type="pct"/>
            <w:tcBorders>
              <w:tl2br w:val="nil"/>
              <w:tr2bl w:val="nil"/>
            </w:tcBorders>
            <w:noWrap w:val="0"/>
            <w:vAlign w:val="center"/>
          </w:tcPr>
          <w:p w14:paraId="5F6361ED">
            <w:pPr>
              <w:adjustRightInd w:val="0"/>
              <w:snapToGrid w:val="0"/>
              <w:spacing w:line="240" w:lineRule="exact"/>
              <w:jc w:val="center"/>
              <w:rPr>
                <w:rFonts w:hint="eastAsia" w:ascii="Times New Roman" w:hAnsi="Times New Roman" w:eastAsia="宋体" w:cs="Times New Roman"/>
                <w:color w:val="auto"/>
                <w:spacing w:val="4"/>
                <w:sz w:val="21"/>
                <w:szCs w:val="21"/>
                <w:lang w:val="en-US" w:eastAsia="zh-CN"/>
              </w:rPr>
            </w:pPr>
            <w:r>
              <w:rPr>
                <w:rFonts w:hint="eastAsia" w:cs="Times New Roman"/>
                <w:color w:val="auto"/>
                <w:spacing w:val="4"/>
                <w:sz w:val="21"/>
                <w:szCs w:val="21"/>
                <w:lang w:val="en-US" w:eastAsia="zh-CN"/>
              </w:rPr>
              <w:t>8</w:t>
            </w:r>
          </w:p>
        </w:tc>
      </w:tr>
      <w:bookmarkEnd w:id="466"/>
      <w:bookmarkEnd w:id="467"/>
      <w:bookmarkEnd w:id="468"/>
      <w:bookmarkEnd w:id="470"/>
      <w:tr w14:paraId="65EFF3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24" w:type="pct"/>
            <w:vMerge w:val="restart"/>
            <w:tcBorders>
              <w:tl2br w:val="nil"/>
              <w:tr2bl w:val="nil"/>
            </w:tcBorders>
            <w:noWrap w:val="0"/>
            <w:vAlign w:val="center"/>
          </w:tcPr>
          <w:p w14:paraId="0418395A">
            <w:pPr>
              <w:adjustRightInd w:val="0"/>
              <w:snapToGrid w:val="0"/>
              <w:spacing w:line="240" w:lineRule="exact"/>
              <w:jc w:val="center"/>
              <w:rPr>
                <w:rFonts w:ascii="Times New Roman" w:hAnsi="Times New Roman" w:cs="Times New Roman"/>
                <w:color w:val="auto"/>
                <w:spacing w:val="4"/>
                <w:sz w:val="21"/>
                <w:szCs w:val="21"/>
              </w:rPr>
            </w:pPr>
            <w:bookmarkStart w:id="473" w:name="OLE_LINK410" w:colFirst="2" w:colLast="7"/>
            <w:bookmarkStart w:id="474" w:name="OLE_LINK411" w:colFirst="6" w:colLast="6"/>
            <w:r>
              <w:rPr>
                <w:rFonts w:ascii="Times New Roman" w:hAnsi="Times New Roman" w:cs="Times New Roman"/>
                <w:color w:val="auto"/>
                <w:spacing w:val="4"/>
                <w:sz w:val="21"/>
                <w:szCs w:val="21"/>
              </w:rPr>
              <w:t>（4）污染物产生指标</w:t>
            </w:r>
          </w:p>
        </w:tc>
        <w:tc>
          <w:tcPr>
            <w:tcW w:w="375" w:type="pct"/>
            <w:vMerge w:val="restart"/>
            <w:tcBorders>
              <w:tl2br w:val="nil"/>
              <w:tr2bl w:val="nil"/>
            </w:tcBorders>
            <w:noWrap w:val="0"/>
            <w:vAlign w:val="center"/>
          </w:tcPr>
          <w:p w14:paraId="6DB558D9">
            <w:pPr>
              <w:adjustRightInd w:val="0"/>
              <w:snapToGrid w:val="0"/>
              <w:spacing w:line="240" w:lineRule="exact"/>
              <w:jc w:val="center"/>
              <w:rPr>
                <w:rFonts w:hint="default" w:ascii="Times New Roman" w:hAnsi="Times New Roman" w:eastAsia="宋体" w:cs="Times New Roman"/>
                <w:color w:val="auto"/>
                <w:spacing w:val="4"/>
                <w:sz w:val="21"/>
                <w:szCs w:val="21"/>
                <w:lang w:val="en-US" w:eastAsia="zh-CN"/>
              </w:rPr>
            </w:pPr>
            <w:r>
              <w:rPr>
                <w:rFonts w:hint="eastAsia" w:cs="Times New Roman"/>
                <w:color w:val="auto"/>
                <w:spacing w:val="4"/>
                <w:sz w:val="21"/>
                <w:szCs w:val="21"/>
                <w:lang w:val="en-US" w:eastAsia="zh-CN"/>
              </w:rPr>
              <w:t>25</w:t>
            </w:r>
          </w:p>
        </w:tc>
        <w:tc>
          <w:tcPr>
            <w:tcW w:w="929" w:type="pct"/>
            <w:gridSpan w:val="3"/>
            <w:tcBorders>
              <w:tl2br w:val="nil"/>
              <w:tr2bl w:val="nil"/>
            </w:tcBorders>
            <w:noWrap w:val="0"/>
            <w:vAlign w:val="center"/>
          </w:tcPr>
          <w:p w14:paraId="6340460F">
            <w:pPr>
              <w:adjustRightInd w:val="0"/>
              <w:snapToGrid w:val="0"/>
              <w:spacing w:line="240" w:lineRule="exact"/>
              <w:jc w:val="center"/>
              <w:rPr>
                <w:rFonts w:hint="default" w:ascii="Times New Roman" w:hAnsi="Times New Roman" w:eastAsia="宋体" w:cs="Times New Roman"/>
                <w:color w:val="auto"/>
                <w:spacing w:val="4"/>
                <w:sz w:val="21"/>
                <w:szCs w:val="21"/>
                <w:highlight w:val="none"/>
                <w:lang w:val="en-US" w:eastAsia="zh-CN"/>
              </w:rPr>
            </w:pPr>
            <w:r>
              <w:rPr>
                <w:rFonts w:hint="eastAsia" w:cs="Times New Roman"/>
                <w:color w:val="auto"/>
                <w:spacing w:val="4"/>
                <w:sz w:val="21"/>
                <w:szCs w:val="21"/>
                <w:highlight w:val="none"/>
                <w:lang w:val="en-US" w:eastAsia="zh-CN"/>
              </w:rPr>
              <w:t>废弃洗井液</w:t>
            </w:r>
          </w:p>
        </w:tc>
        <w:tc>
          <w:tcPr>
            <w:tcW w:w="543" w:type="pct"/>
            <w:tcBorders>
              <w:tl2br w:val="nil"/>
              <w:tr2bl w:val="nil"/>
            </w:tcBorders>
            <w:noWrap w:val="0"/>
            <w:vAlign w:val="center"/>
          </w:tcPr>
          <w:p w14:paraId="2A7435DC">
            <w:pPr>
              <w:adjustRightInd w:val="0"/>
              <w:snapToGrid w:val="0"/>
              <w:spacing w:line="240" w:lineRule="exact"/>
              <w:jc w:val="center"/>
              <w:rPr>
                <w:rFonts w:ascii="Times New Roman" w:hAnsi="Times New Roman" w:cs="Times New Roman"/>
                <w:color w:val="auto"/>
                <w:spacing w:val="4"/>
                <w:sz w:val="21"/>
                <w:szCs w:val="21"/>
                <w:highlight w:val="none"/>
              </w:rPr>
            </w:pPr>
            <w:r>
              <w:rPr>
                <w:rFonts w:hint="eastAsia" w:cs="Times New Roman"/>
                <w:color w:val="auto"/>
                <w:spacing w:val="4"/>
                <w:sz w:val="21"/>
                <w:szCs w:val="21"/>
                <w:highlight w:val="none"/>
                <w:lang w:val="en-US" w:eastAsia="zh-CN"/>
              </w:rPr>
              <w:t>kg</w:t>
            </w:r>
            <w:r>
              <w:rPr>
                <w:rFonts w:ascii="Times New Roman" w:hAnsi="Times New Roman" w:cs="Times New Roman"/>
                <w:color w:val="auto"/>
                <w:spacing w:val="4"/>
                <w:sz w:val="21"/>
                <w:szCs w:val="21"/>
                <w:highlight w:val="none"/>
              </w:rPr>
              <w:t>/井次</w:t>
            </w:r>
          </w:p>
        </w:tc>
        <w:tc>
          <w:tcPr>
            <w:tcW w:w="452" w:type="pct"/>
            <w:gridSpan w:val="2"/>
            <w:tcBorders>
              <w:tl2br w:val="nil"/>
              <w:tr2bl w:val="nil"/>
            </w:tcBorders>
            <w:noWrap w:val="0"/>
            <w:vAlign w:val="center"/>
          </w:tcPr>
          <w:p w14:paraId="028FCFB3">
            <w:pPr>
              <w:adjustRightInd w:val="0"/>
              <w:snapToGrid w:val="0"/>
              <w:spacing w:line="240" w:lineRule="exact"/>
              <w:jc w:val="center"/>
              <w:rPr>
                <w:rFonts w:hint="eastAsia" w:ascii="Times New Roman" w:hAnsi="Times New Roman" w:eastAsia="宋体" w:cs="Times New Roman"/>
                <w:color w:val="auto"/>
                <w:spacing w:val="4"/>
                <w:sz w:val="21"/>
                <w:szCs w:val="21"/>
                <w:highlight w:val="none"/>
                <w:lang w:eastAsia="zh-CN"/>
              </w:rPr>
            </w:pPr>
            <w:r>
              <w:rPr>
                <w:rFonts w:hint="eastAsia" w:cs="Times New Roman"/>
                <w:color w:val="auto"/>
                <w:spacing w:val="4"/>
                <w:sz w:val="21"/>
                <w:szCs w:val="21"/>
                <w:highlight w:val="none"/>
                <w:lang w:val="en-US" w:eastAsia="zh-CN"/>
              </w:rPr>
              <w:t>5</w:t>
            </w:r>
          </w:p>
        </w:tc>
        <w:tc>
          <w:tcPr>
            <w:tcW w:w="1111" w:type="pct"/>
            <w:gridSpan w:val="2"/>
            <w:tcBorders>
              <w:tl2br w:val="nil"/>
              <w:tr2bl w:val="nil"/>
            </w:tcBorders>
            <w:noWrap w:val="0"/>
            <w:vAlign w:val="center"/>
          </w:tcPr>
          <w:p w14:paraId="424D1998">
            <w:pPr>
              <w:adjustRightInd w:val="0"/>
              <w:snapToGrid w:val="0"/>
              <w:spacing w:line="240" w:lineRule="exact"/>
              <w:jc w:val="center"/>
              <w:rPr>
                <w:rFonts w:hint="default" w:ascii="Times New Roman" w:hAnsi="Times New Roman" w:eastAsia="宋体" w:cs="Times New Roman"/>
                <w:color w:val="auto"/>
                <w:spacing w:val="4"/>
                <w:sz w:val="21"/>
                <w:szCs w:val="21"/>
                <w:highlight w:val="none"/>
                <w:lang w:val="en-US" w:eastAsia="zh-CN"/>
              </w:rPr>
            </w:pPr>
            <w:r>
              <w:rPr>
                <w:rFonts w:hint="eastAsia" w:cs="Times New Roman"/>
                <w:color w:val="auto"/>
                <w:spacing w:val="4"/>
                <w:sz w:val="21"/>
                <w:szCs w:val="21"/>
                <w:highlight w:val="none"/>
                <w:lang w:val="en-US" w:eastAsia="zh-CN"/>
              </w:rPr>
              <w:t>100%</w:t>
            </w:r>
          </w:p>
        </w:tc>
        <w:tc>
          <w:tcPr>
            <w:tcW w:w="398" w:type="pct"/>
            <w:gridSpan w:val="2"/>
            <w:tcBorders>
              <w:tl2br w:val="nil"/>
              <w:tr2bl w:val="nil"/>
            </w:tcBorders>
            <w:noWrap w:val="0"/>
            <w:vAlign w:val="center"/>
          </w:tcPr>
          <w:p w14:paraId="0C6F6861">
            <w:pPr>
              <w:adjustRightInd w:val="0"/>
              <w:snapToGrid w:val="0"/>
              <w:spacing w:line="240" w:lineRule="exact"/>
              <w:jc w:val="center"/>
              <w:rPr>
                <w:rFonts w:hint="default" w:ascii="Times New Roman" w:hAnsi="Times New Roman" w:eastAsia="宋体" w:cs="Times New Roman"/>
                <w:color w:val="auto"/>
                <w:spacing w:val="4"/>
                <w:sz w:val="21"/>
                <w:szCs w:val="21"/>
                <w:highlight w:val="none"/>
                <w:lang w:val="en-US" w:eastAsia="zh-CN"/>
              </w:rPr>
            </w:pPr>
          </w:p>
        </w:tc>
        <w:tc>
          <w:tcPr>
            <w:tcW w:w="265" w:type="pct"/>
            <w:tcBorders>
              <w:tl2br w:val="nil"/>
              <w:tr2bl w:val="nil"/>
            </w:tcBorders>
            <w:noWrap w:val="0"/>
            <w:vAlign w:val="center"/>
          </w:tcPr>
          <w:p w14:paraId="65E78142">
            <w:pPr>
              <w:adjustRightInd w:val="0"/>
              <w:snapToGrid w:val="0"/>
              <w:spacing w:line="240" w:lineRule="exact"/>
              <w:jc w:val="center"/>
              <w:rPr>
                <w:rFonts w:hint="eastAsia" w:ascii="Times New Roman" w:hAnsi="Times New Roman" w:eastAsia="宋体" w:cs="Times New Roman"/>
                <w:color w:val="auto"/>
                <w:spacing w:val="4"/>
                <w:sz w:val="21"/>
                <w:szCs w:val="21"/>
                <w:highlight w:val="none"/>
                <w:lang w:eastAsia="zh-CN"/>
              </w:rPr>
            </w:pPr>
            <w:r>
              <w:rPr>
                <w:rFonts w:hint="eastAsia" w:cs="Times New Roman"/>
                <w:color w:val="auto"/>
                <w:spacing w:val="4"/>
                <w:sz w:val="21"/>
                <w:szCs w:val="21"/>
                <w:highlight w:val="none"/>
                <w:lang w:val="en-US" w:eastAsia="zh-CN"/>
              </w:rPr>
              <w:t>5</w:t>
            </w:r>
          </w:p>
        </w:tc>
      </w:tr>
      <w:bookmarkEnd w:id="472"/>
      <w:bookmarkEnd w:id="473"/>
      <w:bookmarkEnd w:id="474"/>
      <w:tr w14:paraId="2AB55D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24" w:type="pct"/>
            <w:vMerge w:val="continue"/>
            <w:tcBorders>
              <w:tl2br w:val="nil"/>
              <w:tr2bl w:val="nil"/>
            </w:tcBorders>
            <w:noWrap w:val="0"/>
            <w:vAlign w:val="center"/>
          </w:tcPr>
          <w:p w14:paraId="5A5B819B">
            <w:pPr>
              <w:adjustRightInd w:val="0"/>
              <w:snapToGrid w:val="0"/>
              <w:spacing w:line="240" w:lineRule="exact"/>
              <w:jc w:val="center"/>
              <w:rPr>
                <w:rFonts w:ascii="Times New Roman" w:hAnsi="Times New Roman" w:cs="Times New Roman"/>
                <w:color w:val="auto"/>
                <w:spacing w:val="4"/>
                <w:sz w:val="21"/>
                <w:szCs w:val="21"/>
              </w:rPr>
            </w:pPr>
            <w:bookmarkStart w:id="475" w:name="OLE_LINK414" w:colFirst="6" w:colLast="6"/>
            <w:bookmarkStart w:id="476" w:name="OLE_LINK413" w:colFirst="5" w:colLast="5"/>
          </w:p>
        </w:tc>
        <w:tc>
          <w:tcPr>
            <w:tcW w:w="375" w:type="pct"/>
            <w:vMerge w:val="continue"/>
            <w:tcBorders>
              <w:tl2br w:val="nil"/>
              <w:tr2bl w:val="nil"/>
            </w:tcBorders>
            <w:noWrap w:val="0"/>
            <w:vAlign w:val="center"/>
          </w:tcPr>
          <w:p w14:paraId="64352BD1">
            <w:pPr>
              <w:adjustRightInd w:val="0"/>
              <w:snapToGrid w:val="0"/>
              <w:spacing w:line="240" w:lineRule="exact"/>
              <w:jc w:val="center"/>
              <w:rPr>
                <w:rFonts w:ascii="Times New Roman" w:hAnsi="Times New Roman" w:cs="Times New Roman"/>
                <w:color w:val="auto"/>
                <w:spacing w:val="4"/>
                <w:sz w:val="21"/>
                <w:szCs w:val="21"/>
              </w:rPr>
            </w:pPr>
          </w:p>
        </w:tc>
        <w:tc>
          <w:tcPr>
            <w:tcW w:w="929" w:type="pct"/>
            <w:gridSpan w:val="3"/>
            <w:tcBorders>
              <w:tl2br w:val="nil"/>
              <w:tr2bl w:val="nil"/>
            </w:tcBorders>
            <w:noWrap w:val="0"/>
            <w:vAlign w:val="center"/>
          </w:tcPr>
          <w:p w14:paraId="6840B44C">
            <w:pPr>
              <w:adjustRightInd w:val="0"/>
              <w:snapToGrid w:val="0"/>
              <w:spacing w:line="240" w:lineRule="exact"/>
              <w:jc w:val="center"/>
              <w:rPr>
                <w:rFonts w:hint="default" w:ascii="Times New Roman" w:hAnsi="Times New Roman" w:eastAsia="宋体" w:cs="Times New Roman"/>
                <w:color w:val="auto"/>
                <w:spacing w:val="4"/>
                <w:sz w:val="21"/>
                <w:szCs w:val="21"/>
                <w:lang w:val="en-US" w:eastAsia="zh-CN"/>
              </w:rPr>
            </w:pPr>
            <w:r>
              <w:rPr>
                <w:rFonts w:hint="eastAsia" w:cs="Times New Roman"/>
                <w:color w:val="auto"/>
                <w:spacing w:val="4"/>
                <w:sz w:val="21"/>
                <w:szCs w:val="21"/>
                <w:lang w:val="en-US" w:eastAsia="zh-CN"/>
              </w:rPr>
              <w:t>修井废水</w:t>
            </w:r>
          </w:p>
        </w:tc>
        <w:tc>
          <w:tcPr>
            <w:tcW w:w="543" w:type="pct"/>
            <w:tcBorders>
              <w:tl2br w:val="nil"/>
              <w:tr2bl w:val="nil"/>
            </w:tcBorders>
            <w:noWrap w:val="0"/>
            <w:vAlign w:val="center"/>
          </w:tcPr>
          <w:p w14:paraId="33E78E00">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kg/井次</w:t>
            </w:r>
          </w:p>
        </w:tc>
        <w:tc>
          <w:tcPr>
            <w:tcW w:w="452" w:type="pct"/>
            <w:gridSpan w:val="2"/>
            <w:tcBorders>
              <w:tl2br w:val="nil"/>
              <w:tr2bl w:val="nil"/>
            </w:tcBorders>
            <w:noWrap w:val="0"/>
            <w:vAlign w:val="center"/>
          </w:tcPr>
          <w:p w14:paraId="3056FC8E">
            <w:pPr>
              <w:adjustRightInd w:val="0"/>
              <w:snapToGrid w:val="0"/>
              <w:spacing w:line="240" w:lineRule="exact"/>
              <w:jc w:val="center"/>
              <w:rPr>
                <w:rFonts w:hint="eastAsia" w:ascii="Times New Roman" w:hAnsi="Times New Roman" w:eastAsia="宋体" w:cs="Times New Roman"/>
                <w:color w:val="auto"/>
                <w:spacing w:val="4"/>
                <w:sz w:val="21"/>
                <w:szCs w:val="21"/>
                <w:lang w:val="en-US" w:eastAsia="zh-CN"/>
              </w:rPr>
            </w:pPr>
            <w:r>
              <w:rPr>
                <w:rFonts w:hint="eastAsia" w:cs="Times New Roman"/>
                <w:color w:val="auto"/>
                <w:spacing w:val="4"/>
                <w:sz w:val="21"/>
                <w:szCs w:val="21"/>
                <w:lang w:val="en-US" w:eastAsia="zh-CN"/>
              </w:rPr>
              <w:t>5</w:t>
            </w:r>
          </w:p>
        </w:tc>
        <w:tc>
          <w:tcPr>
            <w:tcW w:w="1111" w:type="pct"/>
            <w:gridSpan w:val="2"/>
            <w:tcBorders>
              <w:tl2br w:val="nil"/>
              <w:tr2bl w:val="nil"/>
            </w:tcBorders>
            <w:noWrap w:val="0"/>
            <w:vAlign w:val="center"/>
          </w:tcPr>
          <w:p w14:paraId="54D8FDF5">
            <w:pPr>
              <w:adjustRightInd w:val="0"/>
              <w:snapToGrid w:val="0"/>
              <w:spacing w:line="240" w:lineRule="exact"/>
              <w:jc w:val="center"/>
              <w:rPr>
                <w:rFonts w:ascii="Times New Roman" w:hAnsi="Times New Roman" w:cs="Times New Roman"/>
                <w:color w:val="auto"/>
                <w:spacing w:val="4"/>
                <w:sz w:val="21"/>
                <w:szCs w:val="21"/>
              </w:rPr>
            </w:pPr>
          </w:p>
        </w:tc>
        <w:tc>
          <w:tcPr>
            <w:tcW w:w="398" w:type="pct"/>
            <w:gridSpan w:val="2"/>
            <w:tcBorders>
              <w:tl2br w:val="nil"/>
              <w:tr2bl w:val="nil"/>
            </w:tcBorders>
            <w:noWrap w:val="0"/>
            <w:vAlign w:val="center"/>
          </w:tcPr>
          <w:p w14:paraId="6E078028">
            <w:pPr>
              <w:adjustRightInd w:val="0"/>
              <w:snapToGrid w:val="0"/>
              <w:spacing w:line="240" w:lineRule="exact"/>
              <w:jc w:val="center"/>
              <w:rPr>
                <w:rFonts w:hint="eastAsia" w:ascii="Times New Roman" w:hAnsi="Times New Roman" w:cs="Times New Roman"/>
                <w:color w:val="auto"/>
                <w:spacing w:val="4"/>
                <w:sz w:val="21"/>
                <w:szCs w:val="21"/>
                <w:highlight w:val="yellow"/>
              </w:rPr>
            </w:pPr>
          </w:p>
        </w:tc>
        <w:tc>
          <w:tcPr>
            <w:tcW w:w="265" w:type="pct"/>
            <w:tcBorders>
              <w:tl2br w:val="nil"/>
              <w:tr2bl w:val="nil"/>
            </w:tcBorders>
            <w:noWrap w:val="0"/>
            <w:vAlign w:val="center"/>
          </w:tcPr>
          <w:p w14:paraId="25D61A21">
            <w:pPr>
              <w:adjustRightInd w:val="0"/>
              <w:snapToGrid w:val="0"/>
              <w:spacing w:line="240" w:lineRule="exact"/>
              <w:jc w:val="center"/>
              <w:rPr>
                <w:rFonts w:hint="eastAsia" w:ascii="Times New Roman" w:hAnsi="Times New Roman" w:eastAsia="宋体" w:cs="Times New Roman"/>
                <w:color w:val="auto"/>
                <w:spacing w:val="4"/>
                <w:sz w:val="21"/>
                <w:szCs w:val="21"/>
                <w:lang w:eastAsia="zh-CN"/>
              </w:rPr>
            </w:pPr>
            <w:r>
              <w:rPr>
                <w:rFonts w:hint="eastAsia" w:ascii="Times New Roman" w:hAnsi="Times New Roman" w:cs="Times New Roman"/>
                <w:color w:val="auto"/>
                <w:spacing w:val="4"/>
                <w:sz w:val="21"/>
                <w:szCs w:val="21"/>
                <w:lang w:eastAsia="zh-CN"/>
              </w:rPr>
              <w:t>5</w:t>
            </w:r>
          </w:p>
        </w:tc>
      </w:tr>
      <w:tr w14:paraId="443CA9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24" w:type="pct"/>
            <w:vMerge w:val="continue"/>
            <w:tcBorders>
              <w:tl2br w:val="nil"/>
              <w:tr2bl w:val="nil"/>
            </w:tcBorders>
            <w:noWrap w:val="0"/>
            <w:vAlign w:val="center"/>
          </w:tcPr>
          <w:p w14:paraId="10CC608B">
            <w:pPr>
              <w:adjustRightInd w:val="0"/>
              <w:snapToGrid w:val="0"/>
              <w:spacing w:line="240" w:lineRule="exact"/>
              <w:jc w:val="center"/>
              <w:rPr>
                <w:rFonts w:ascii="Times New Roman" w:hAnsi="Times New Roman" w:cs="Times New Roman"/>
                <w:color w:val="auto"/>
                <w:spacing w:val="4"/>
                <w:sz w:val="21"/>
                <w:szCs w:val="21"/>
              </w:rPr>
            </w:pPr>
          </w:p>
        </w:tc>
        <w:tc>
          <w:tcPr>
            <w:tcW w:w="375" w:type="pct"/>
            <w:vMerge w:val="continue"/>
            <w:tcBorders>
              <w:tl2br w:val="nil"/>
              <w:tr2bl w:val="nil"/>
            </w:tcBorders>
            <w:noWrap w:val="0"/>
            <w:vAlign w:val="center"/>
          </w:tcPr>
          <w:p w14:paraId="011A7662">
            <w:pPr>
              <w:adjustRightInd w:val="0"/>
              <w:snapToGrid w:val="0"/>
              <w:spacing w:line="240" w:lineRule="exact"/>
              <w:jc w:val="center"/>
              <w:rPr>
                <w:rFonts w:ascii="Times New Roman" w:hAnsi="Times New Roman" w:cs="Times New Roman"/>
                <w:color w:val="auto"/>
                <w:spacing w:val="4"/>
                <w:sz w:val="21"/>
                <w:szCs w:val="21"/>
              </w:rPr>
            </w:pPr>
          </w:p>
        </w:tc>
        <w:tc>
          <w:tcPr>
            <w:tcW w:w="929" w:type="pct"/>
            <w:gridSpan w:val="3"/>
            <w:tcBorders>
              <w:tl2br w:val="nil"/>
              <w:tr2bl w:val="nil"/>
            </w:tcBorders>
            <w:noWrap w:val="0"/>
            <w:vAlign w:val="center"/>
          </w:tcPr>
          <w:p w14:paraId="1F41A5F0">
            <w:pPr>
              <w:adjustRightInd w:val="0"/>
              <w:snapToGrid w:val="0"/>
              <w:spacing w:line="240" w:lineRule="exact"/>
              <w:jc w:val="center"/>
              <w:rPr>
                <w:rFonts w:hint="default" w:ascii="Times New Roman" w:hAnsi="Times New Roman" w:eastAsia="宋体" w:cs="Times New Roman"/>
                <w:color w:val="auto"/>
                <w:spacing w:val="4"/>
                <w:sz w:val="21"/>
                <w:szCs w:val="21"/>
                <w:lang w:val="en-US" w:eastAsia="zh-CN"/>
              </w:rPr>
            </w:pPr>
            <w:r>
              <w:rPr>
                <w:rFonts w:hint="eastAsia" w:cs="Times New Roman"/>
                <w:color w:val="auto"/>
                <w:spacing w:val="4"/>
                <w:sz w:val="21"/>
                <w:szCs w:val="21"/>
                <w:lang w:val="en-US" w:eastAsia="zh-CN"/>
              </w:rPr>
              <w:t>废气</w:t>
            </w:r>
          </w:p>
        </w:tc>
        <w:tc>
          <w:tcPr>
            <w:tcW w:w="543" w:type="pct"/>
            <w:tcBorders>
              <w:tl2br w:val="nil"/>
              <w:tr2bl w:val="nil"/>
            </w:tcBorders>
            <w:noWrap w:val="0"/>
            <w:vAlign w:val="center"/>
          </w:tcPr>
          <w:p w14:paraId="36D40547">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kg/井次</w:t>
            </w:r>
          </w:p>
        </w:tc>
        <w:tc>
          <w:tcPr>
            <w:tcW w:w="452" w:type="pct"/>
            <w:gridSpan w:val="2"/>
            <w:tcBorders>
              <w:tl2br w:val="nil"/>
              <w:tr2bl w:val="nil"/>
            </w:tcBorders>
            <w:noWrap w:val="0"/>
            <w:vAlign w:val="center"/>
          </w:tcPr>
          <w:p w14:paraId="49BC851D">
            <w:pPr>
              <w:adjustRightInd w:val="0"/>
              <w:snapToGrid w:val="0"/>
              <w:spacing w:line="240" w:lineRule="exact"/>
              <w:jc w:val="center"/>
              <w:rPr>
                <w:rFonts w:hint="eastAsia" w:ascii="Times New Roman" w:hAnsi="Times New Roman" w:eastAsia="宋体" w:cs="Times New Roman"/>
                <w:color w:val="auto"/>
                <w:spacing w:val="4"/>
                <w:sz w:val="21"/>
                <w:szCs w:val="21"/>
                <w:lang w:val="en-US" w:eastAsia="zh-CN"/>
              </w:rPr>
            </w:pPr>
            <w:r>
              <w:rPr>
                <w:rFonts w:hint="eastAsia" w:cs="Times New Roman"/>
                <w:color w:val="auto"/>
                <w:spacing w:val="4"/>
                <w:sz w:val="21"/>
                <w:szCs w:val="21"/>
                <w:lang w:val="en-US" w:eastAsia="zh-CN"/>
              </w:rPr>
              <w:t>5</w:t>
            </w:r>
          </w:p>
        </w:tc>
        <w:tc>
          <w:tcPr>
            <w:tcW w:w="1111" w:type="pct"/>
            <w:gridSpan w:val="2"/>
            <w:tcBorders>
              <w:tl2br w:val="nil"/>
              <w:tr2bl w:val="nil"/>
            </w:tcBorders>
            <w:noWrap w:val="0"/>
            <w:vAlign w:val="center"/>
          </w:tcPr>
          <w:p w14:paraId="6A94D91D">
            <w:pPr>
              <w:adjustRightInd w:val="0"/>
              <w:snapToGrid w:val="0"/>
              <w:spacing w:line="240" w:lineRule="exact"/>
              <w:jc w:val="center"/>
              <w:rPr>
                <w:rFonts w:ascii="Times New Roman" w:hAnsi="Times New Roman" w:cs="Times New Roman"/>
                <w:color w:val="auto"/>
                <w:spacing w:val="4"/>
                <w:sz w:val="21"/>
                <w:szCs w:val="21"/>
              </w:rPr>
            </w:pPr>
          </w:p>
        </w:tc>
        <w:tc>
          <w:tcPr>
            <w:tcW w:w="398" w:type="pct"/>
            <w:gridSpan w:val="2"/>
            <w:tcBorders>
              <w:tl2br w:val="nil"/>
              <w:tr2bl w:val="nil"/>
            </w:tcBorders>
            <w:noWrap w:val="0"/>
            <w:vAlign w:val="center"/>
          </w:tcPr>
          <w:p w14:paraId="179D060C">
            <w:pPr>
              <w:adjustRightInd w:val="0"/>
              <w:snapToGrid w:val="0"/>
              <w:spacing w:line="240" w:lineRule="exact"/>
              <w:jc w:val="center"/>
              <w:rPr>
                <w:rFonts w:ascii="Times New Roman" w:hAnsi="Times New Roman" w:cs="Times New Roman"/>
                <w:color w:val="auto"/>
                <w:spacing w:val="4"/>
                <w:sz w:val="21"/>
                <w:szCs w:val="21"/>
                <w:highlight w:val="yellow"/>
              </w:rPr>
            </w:pPr>
          </w:p>
        </w:tc>
        <w:tc>
          <w:tcPr>
            <w:tcW w:w="265" w:type="pct"/>
            <w:tcBorders>
              <w:tl2br w:val="nil"/>
              <w:tr2bl w:val="nil"/>
            </w:tcBorders>
            <w:noWrap w:val="0"/>
            <w:vAlign w:val="center"/>
          </w:tcPr>
          <w:p w14:paraId="2E34AC4C">
            <w:pPr>
              <w:adjustRightInd w:val="0"/>
              <w:snapToGrid w:val="0"/>
              <w:spacing w:line="240" w:lineRule="exact"/>
              <w:jc w:val="center"/>
              <w:rPr>
                <w:rFonts w:hint="eastAsia" w:ascii="Times New Roman" w:hAnsi="Times New Roman" w:eastAsia="宋体" w:cs="Times New Roman"/>
                <w:color w:val="auto"/>
                <w:spacing w:val="4"/>
                <w:sz w:val="21"/>
                <w:szCs w:val="21"/>
                <w:lang w:val="en-US" w:eastAsia="zh-CN"/>
              </w:rPr>
            </w:pPr>
            <w:r>
              <w:rPr>
                <w:rFonts w:hint="eastAsia" w:ascii="Times New Roman" w:hAnsi="Times New Roman" w:cs="Times New Roman"/>
                <w:color w:val="auto"/>
                <w:spacing w:val="4"/>
                <w:sz w:val="21"/>
                <w:szCs w:val="21"/>
                <w:lang w:val="en-US" w:eastAsia="zh-CN"/>
              </w:rPr>
              <w:t>5</w:t>
            </w:r>
          </w:p>
        </w:tc>
      </w:tr>
      <w:bookmarkEnd w:id="475"/>
      <w:bookmarkEnd w:id="476"/>
      <w:tr w14:paraId="46B684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24" w:type="pct"/>
            <w:vMerge w:val="continue"/>
            <w:tcBorders>
              <w:tl2br w:val="nil"/>
              <w:tr2bl w:val="nil"/>
            </w:tcBorders>
            <w:noWrap w:val="0"/>
            <w:vAlign w:val="center"/>
          </w:tcPr>
          <w:p w14:paraId="10B70079">
            <w:pPr>
              <w:adjustRightInd w:val="0"/>
              <w:snapToGrid w:val="0"/>
              <w:spacing w:line="240" w:lineRule="exact"/>
              <w:jc w:val="center"/>
              <w:rPr>
                <w:rFonts w:ascii="Times New Roman" w:hAnsi="Times New Roman" w:cs="Times New Roman"/>
                <w:color w:val="auto"/>
                <w:spacing w:val="4"/>
                <w:sz w:val="21"/>
                <w:szCs w:val="21"/>
              </w:rPr>
            </w:pPr>
          </w:p>
        </w:tc>
        <w:tc>
          <w:tcPr>
            <w:tcW w:w="375" w:type="pct"/>
            <w:vMerge w:val="continue"/>
            <w:tcBorders>
              <w:tl2br w:val="nil"/>
              <w:tr2bl w:val="nil"/>
            </w:tcBorders>
            <w:noWrap w:val="0"/>
            <w:vAlign w:val="center"/>
          </w:tcPr>
          <w:p w14:paraId="5088B8E5">
            <w:pPr>
              <w:adjustRightInd w:val="0"/>
              <w:snapToGrid w:val="0"/>
              <w:spacing w:line="240" w:lineRule="exact"/>
              <w:jc w:val="center"/>
              <w:rPr>
                <w:rFonts w:ascii="Times New Roman" w:hAnsi="Times New Roman" w:cs="Times New Roman"/>
                <w:color w:val="auto"/>
                <w:spacing w:val="4"/>
                <w:sz w:val="21"/>
                <w:szCs w:val="21"/>
              </w:rPr>
            </w:pPr>
          </w:p>
        </w:tc>
        <w:tc>
          <w:tcPr>
            <w:tcW w:w="929" w:type="pct"/>
            <w:gridSpan w:val="3"/>
            <w:tcBorders>
              <w:tl2br w:val="nil"/>
              <w:tr2bl w:val="nil"/>
            </w:tcBorders>
            <w:noWrap w:val="0"/>
            <w:vAlign w:val="center"/>
          </w:tcPr>
          <w:p w14:paraId="3D08A04F">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油泥</w:t>
            </w:r>
          </w:p>
        </w:tc>
        <w:tc>
          <w:tcPr>
            <w:tcW w:w="543" w:type="pct"/>
            <w:tcBorders>
              <w:tl2br w:val="nil"/>
              <w:tr2bl w:val="nil"/>
            </w:tcBorders>
            <w:noWrap w:val="0"/>
            <w:vAlign w:val="center"/>
          </w:tcPr>
          <w:p w14:paraId="4C019695">
            <w:pPr>
              <w:adjustRightInd w:val="0"/>
              <w:snapToGrid w:val="0"/>
              <w:spacing w:line="240" w:lineRule="exact"/>
              <w:jc w:val="center"/>
              <w:rPr>
                <w:rFonts w:ascii="Times New Roman" w:hAnsi="Times New Roman" w:cs="Times New Roman"/>
                <w:color w:val="auto"/>
                <w:spacing w:val="4"/>
                <w:sz w:val="21"/>
                <w:szCs w:val="21"/>
              </w:rPr>
            </w:pPr>
            <w:bookmarkStart w:id="477" w:name="OLE_LINK412"/>
            <w:r>
              <w:rPr>
                <w:rFonts w:ascii="Times New Roman" w:hAnsi="Times New Roman" w:cs="Times New Roman"/>
                <w:color w:val="auto"/>
                <w:spacing w:val="4"/>
                <w:sz w:val="21"/>
                <w:szCs w:val="21"/>
              </w:rPr>
              <w:t>kg/井次</w:t>
            </w:r>
            <w:bookmarkEnd w:id="477"/>
          </w:p>
        </w:tc>
        <w:tc>
          <w:tcPr>
            <w:tcW w:w="452" w:type="pct"/>
            <w:gridSpan w:val="2"/>
            <w:tcBorders>
              <w:tl2br w:val="nil"/>
              <w:tr2bl w:val="nil"/>
            </w:tcBorders>
            <w:noWrap w:val="0"/>
            <w:vAlign w:val="center"/>
          </w:tcPr>
          <w:p w14:paraId="1457F29A">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5</w:t>
            </w:r>
          </w:p>
        </w:tc>
        <w:tc>
          <w:tcPr>
            <w:tcW w:w="1111" w:type="pct"/>
            <w:gridSpan w:val="2"/>
            <w:tcBorders>
              <w:tl2br w:val="nil"/>
              <w:tr2bl w:val="nil"/>
            </w:tcBorders>
            <w:noWrap w:val="0"/>
            <w:vAlign w:val="center"/>
          </w:tcPr>
          <w:p w14:paraId="45168619">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甲类区：≤50；乙类区：≤70</w:t>
            </w:r>
          </w:p>
        </w:tc>
        <w:tc>
          <w:tcPr>
            <w:tcW w:w="398" w:type="pct"/>
            <w:gridSpan w:val="2"/>
            <w:tcBorders>
              <w:tl2br w:val="nil"/>
              <w:tr2bl w:val="nil"/>
            </w:tcBorders>
            <w:noWrap w:val="0"/>
            <w:vAlign w:val="center"/>
          </w:tcPr>
          <w:p w14:paraId="5ECB8099">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0</w:t>
            </w:r>
          </w:p>
        </w:tc>
        <w:tc>
          <w:tcPr>
            <w:tcW w:w="265" w:type="pct"/>
            <w:tcBorders>
              <w:tl2br w:val="nil"/>
              <w:tr2bl w:val="nil"/>
            </w:tcBorders>
            <w:noWrap w:val="0"/>
            <w:vAlign w:val="center"/>
          </w:tcPr>
          <w:p w14:paraId="3C523FFE">
            <w:pPr>
              <w:adjustRightInd w:val="0"/>
              <w:snapToGrid w:val="0"/>
              <w:spacing w:line="240" w:lineRule="exact"/>
              <w:jc w:val="center"/>
              <w:rPr>
                <w:rFonts w:ascii="Times New Roman" w:hAnsi="Times New Roman" w:cs="Times New Roman"/>
                <w:color w:val="auto"/>
                <w:spacing w:val="4"/>
                <w:sz w:val="21"/>
                <w:szCs w:val="21"/>
              </w:rPr>
            </w:pPr>
            <w:r>
              <w:rPr>
                <w:rFonts w:hint="eastAsia" w:ascii="Times New Roman" w:hAnsi="Times New Roman" w:cs="Times New Roman"/>
                <w:color w:val="auto"/>
                <w:spacing w:val="4"/>
                <w:sz w:val="21"/>
                <w:szCs w:val="21"/>
              </w:rPr>
              <w:t>5</w:t>
            </w:r>
          </w:p>
        </w:tc>
      </w:tr>
      <w:tr w14:paraId="3B3FF6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24" w:type="pct"/>
            <w:vMerge w:val="continue"/>
            <w:tcBorders>
              <w:tl2br w:val="nil"/>
              <w:tr2bl w:val="nil"/>
            </w:tcBorders>
            <w:noWrap w:val="0"/>
            <w:vAlign w:val="center"/>
          </w:tcPr>
          <w:p w14:paraId="39F8D17D">
            <w:pPr>
              <w:adjustRightInd w:val="0"/>
              <w:snapToGrid w:val="0"/>
              <w:spacing w:line="240" w:lineRule="exact"/>
              <w:jc w:val="center"/>
              <w:rPr>
                <w:rFonts w:ascii="Times New Roman" w:hAnsi="Times New Roman" w:cs="Times New Roman"/>
                <w:color w:val="auto"/>
                <w:spacing w:val="4"/>
                <w:sz w:val="21"/>
                <w:szCs w:val="21"/>
              </w:rPr>
            </w:pPr>
          </w:p>
        </w:tc>
        <w:tc>
          <w:tcPr>
            <w:tcW w:w="375" w:type="pct"/>
            <w:vMerge w:val="continue"/>
            <w:tcBorders>
              <w:tl2br w:val="nil"/>
              <w:tr2bl w:val="nil"/>
            </w:tcBorders>
            <w:noWrap w:val="0"/>
            <w:vAlign w:val="center"/>
          </w:tcPr>
          <w:p w14:paraId="23A5C99F">
            <w:pPr>
              <w:adjustRightInd w:val="0"/>
              <w:snapToGrid w:val="0"/>
              <w:spacing w:line="240" w:lineRule="exact"/>
              <w:jc w:val="center"/>
              <w:rPr>
                <w:rFonts w:ascii="Times New Roman" w:hAnsi="Times New Roman" w:cs="Times New Roman"/>
                <w:color w:val="auto"/>
                <w:spacing w:val="4"/>
                <w:sz w:val="21"/>
                <w:szCs w:val="21"/>
              </w:rPr>
            </w:pPr>
          </w:p>
        </w:tc>
        <w:tc>
          <w:tcPr>
            <w:tcW w:w="929" w:type="pct"/>
            <w:gridSpan w:val="3"/>
            <w:tcBorders>
              <w:tl2br w:val="nil"/>
              <w:tr2bl w:val="nil"/>
            </w:tcBorders>
            <w:noWrap w:val="0"/>
            <w:vAlign w:val="center"/>
          </w:tcPr>
          <w:p w14:paraId="4D21325E">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一般固体废物（生活垃圾）</w:t>
            </w:r>
          </w:p>
        </w:tc>
        <w:tc>
          <w:tcPr>
            <w:tcW w:w="543" w:type="pct"/>
            <w:tcBorders>
              <w:tl2br w:val="nil"/>
              <w:tr2bl w:val="nil"/>
            </w:tcBorders>
            <w:noWrap w:val="0"/>
            <w:vAlign w:val="center"/>
          </w:tcPr>
          <w:p w14:paraId="44CA9563">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kg/井次</w:t>
            </w:r>
          </w:p>
        </w:tc>
        <w:tc>
          <w:tcPr>
            <w:tcW w:w="452" w:type="pct"/>
            <w:gridSpan w:val="2"/>
            <w:tcBorders>
              <w:tl2br w:val="nil"/>
              <w:tr2bl w:val="nil"/>
            </w:tcBorders>
            <w:noWrap w:val="0"/>
            <w:vAlign w:val="center"/>
          </w:tcPr>
          <w:p w14:paraId="7E7F139A">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5</w:t>
            </w:r>
          </w:p>
        </w:tc>
        <w:tc>
          <w:tcPr>
            <w:tcW w:w="1111" w:type="pct"/>
            <w:gridSpan w:val="2"/>
            <w:tcBorders>
              <w:tl2br w:val="nil"/>
              <w:tr2bl w:val="nil"/>
            </w:tcBorders>
            <w:noWrap w:val="0"/>
            <w:vAlign w:val="center"/>
          </w:tcPr>
          <w:p w14:paraId="4618EFB8">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符合环保要求</w:t>
            </w:r>
          </w:p>
        </w:tc>
        <w:tc>
          <w:tcPr>
            <w:tcW w:w="398" w:type="pct"/>
            <w:gridSpan w:val="2"/>
            <w:tcBorders>
              <w:tl2br w:val="nil"/>
              <w:tr2bl w:val="nil"/>
            </w:tcBorders>
            <w:noWrap w:val="0"/>
            <w:vAlign w:val="center"/>
          </w:tcPr>
          <w:p w14:paraId="7CDEE56B">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0</w:t>
            </w:r>
          </w:p>
        </w:tc>
        <w:tc>
          <w:tcPr>
            <w:tcW w:w="265" w:type="pct"/>
            <w:tcBorders>
              <w:tl2br w:val="nil"/>
              <w:tr2bl w:val="nil"/>
            </w:tcBorders>
            <w:noWrap w:val="0"/>
            <w:vAlign w:val="center"/>
          </w:tcPr>
          <w:p w14:paraId="18B82F5A">
            <w:pPr>
              <w:adjustRightInd w:val="0"/>
              <w:snapToGrid w:val="0"/>
              <w:spacing w:line="240" w:lineRule="exact"/>
              <w:jc w:val="center"/>
              <w:rPr>
                <w:rFonts w:ascii="Times New Roman" w:hAnsi="Times New Roman" w:cs="Times New Roman"/>
                <w:color w:val="auto"/>
                <w:spacing w:val="4"/>
                <w:sz w:val="21"/>
                <w:szCs w:val="21"/>
              </w:rPr>
            </w:pPr>
            <w:r>
              <w:rPr>
                <w:rFonts w:hint="eastAsia" w:ascii="Times New Roman" w:hAnsi="Times New Roman" w:cs="Times New Roman"/>
                <w:color w:val="auto"/>
                <w:spacing w:val="4"/>
                <w:sz w:val="21"/>
                <w:szCs w:val="21"/>
              </w:rPr>
              <w:t>5</w:t>
            </w:r>
          </w:p>
        </w:tc>
      </w:tr>
      <w:tr w14:paraId="229AE1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13"/>
            <w:tcBorders>
              <w:tl2br w:val="nil"/>
              <w:tr2bl w:val="nil"/>
            </w:tcBorders>
            <w:noWrap w:val="0"/>
            <w:vAlign w:val="center"/>
          </w:tcPr>
          <w:p w14:paraId="1C4D8D2C">
            <w:pPr>
              <w:adjustRightInd w:val="0"/>
              <w:snapToGrid w:val="0"/>
              <w:spacing w:line="240" w:lineRule="exact"/>
              <w:jc w:val="center"/>
              <w:rPr>
                <w:rFonts w:ascii="Times New Roman" w:hAnsi="Times New Roman" w:cs="Times New Roman"/>
                <w:color w:val="auto"/>
                <w:spacing w:val="4"/>
                <w:sz w:val="21"/>
                <w:szCs w:val="21"/>
              </w:rPr>
            </w:pPr>
            <w:r>
              <w:rPr>
                <w:rFonts w:hint="eastAsia" w:ascii="黑体" w:hAnsi="黑体" w:eastAsia="黑体" w:cs="黑体"/>
                <w:b/>
                <w:bCs/>
                <w:color w:val="auto"/>
                <w:spacing w:val="4"/>
                <w:sz w:val="21"/>
                <w:szCs w:val="21"/>
              </w:rPr>
              <w:t>定性指标</w:t>
            </w:r>
          </w:p>
        </w:tc>
      </w:tr>
      <w:tr w14:paraId="612F8A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33" w:type="pct"/>
            <w:gridSpan w:val="3"/>
            <w:tcBorders>
              <w:tl2br w:val="nil"/>
              <w:tr2bl w:val="nil"/>
            </w:tcBorders>
            <w:noWrap w:val="0"/>
            <w:vAlign w:val="center"/>
          </w:tcPr>
          <w:p w14:paraId="6AE15BB3">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一级指标</w:t>
            </w:r>
          </w:p>
        </w:tc>
        <w:tc>
          <w:tcPr>
            <w:tcW w:w="404" w:type="pct"/>
            <w:tcBorders>
              <w:tl2br w:val="nil"/>
              <w:tr2bl w:val="nil"/>
            </w:tcBorders>
            <w:noWrap w:val="0"/>
            <w:vAlign w:val="center"/>
          </w:tcPr>
          <w:p w14:paraId="534712CF">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指标分值</w:t>
            </w:r>
          </w:p>
        </w:tc>
        <w:tc>
          <w:tcPr>
            <w:tcW w:w="2393" w:type="pct"/>
            <w:gridSpan w:val="5"/>
            <w:tcBorders>
              <w:tl2br w:val="nil"/>
              <w:tr2bl w:val="nil"/>
            </w:tcBorders>
            <w:noWrap w:val="0"/>
            <w:vAlign w:val="center"/>
          </w:tcPr>
          <w:p w14:paraId="1583C20E">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二级指标</w:t>
            </w:r>
          </w:p>
        </w:tc>
        <w:tc>
          <w:tcPr>
            <w:tcW w:w="408" w:type="pct"/>
            <w:gridSpan w:val="2"/>
            <w:tcBorders>
              <w:tl2br w:val="nil"/>
              <w:tr2bl w:val="nil"/>
            </w:tcBorders>
            <w:noWrap w:val="0"/>
            <w:vAlign w:val="center"/>
          </w:tcPr>
          <w:p w14:paraId="60C2F305">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指标分值</w:t>
            </w:r>
          </w:p>
        </w:tc>
        <w:tc>
          <w:tcPr>
            <w:tcW w:w="459" w:type="pct"/>
            <w:gridSpan w:val="2"/>
            <w:tcBorders>
              <w:tl2br w:val="nil"/>
              <w:tr2bl w:val="nil"/>
            </w:tcBorders>
            <w:noWrap w:val="0"/>
            <w:vAlign w:val="center"/>
          </w:tcPr>
          <w:p w14:paraId="416A9C6C">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本项目评分</w:t>
            </w:r>
          </w:p>
        </w:tc>
      </w:tr>
      <w:tr w14:paraId="70B99C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33" w:type="pct"/>
            <w:gridSpan w:val="3"/>
            <w:vMerge w:val="restart"/>
            <w:tcBorders>
              <w:tl2br w:val="nil"/>
              <w:tr2bl w:val="nil"/>
            </w:tcBorders>
            <w:noWrap w:val="0"/>
            <w:vAlign w:val="center"/>
          </w:tcPr>
          <w:p w14:paraId="0F411AEF">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（1）生产工艺及设备要求</w:t>
            </w:r>
          </w:p>
        </w:tc>
        <w:tc>
          <w:tcPr>
            <w:tcW w:w="404" w:type="pct"/>
            <w:vMerge w:val="restart"/>
            <w:tcBorders>
              <w:tl2br w:val="nil"/>
              <w:tr2bl w:val="nil"/>
            </w:tcBorders>
            <w:noWrap w:val="0"/>
            <w:vAlign w:val="center"/>
          </w:tcPr>
          <w:p w14:paraId="32778454">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40</w:t>
            </w:r>
          </w:p>
        </w:tc>
        <w:tc>
          <w:tcPr>
            <w:tcW w:w="1093" w:type="pct"/>
            <w:gridSpan w:val="3"/>
            <w:tcBorders>
              <w:tl2br w:val="nil"/>
              <w:tr2bl w:val="nil"/>
            </w:tcBorders>
            <w:noWrap w:val="0"/>
            <w:vAlign w:val="center"/>
          </w:tcPr>
          <w:p w14:paraId="3ACC7F45">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防喷措施</w:t>
            </w:r>
          </w:p>
        </w:tc>
        <w:tc>
          <w:tcPr>
            <w:tcW w:w="1300" w:type="pct"/>
            <w:gridSpan w:val="2"/>
            <w:tcBorders>
              <w:tl2br w:val="nil"/>
              <w:tr2bl w:val="nil"/>
            </w:tcBorders>
            <w:noWrap w:val="0"/>
            <w:vAlign w:val="center"/>
          </w:tcPr>
          <w:p w14:paraId="26D8C531">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具备</w:t>
            </w:r>
          </w:p>
        </w:tc>
        <w:tc>
          <w:tcPr>
            <w:tcW w:w="408" w:type="pct"/>
            <w:gridSpan w:val="2"/>
            <w:tcBorders>
              <w:tl2br w:val="nil"/>
              <w:tr2bl w:val="nil"/>
            </w:tcBorders>
            <w:noWrap w:val="0"/>
            <w:vAlign w:val="center"/>
          </w:tcPr>
          <w:p w14:paraId="61283E2A">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5</w:t>
            </w:r>
          </w:p>
        </w:tc>
        <w:tc>
          <w:tcPr>
            <w:tcW w:w="459" w:type="pct"/>
            <w:gridSpan w:val="2"/>
            <w:tcBorders>
              <w:tl2br w:val="nil"/>
              <w:tr2bl w:val="nil"/>
            </w:tcBorders>
            <w:noWrap w:val="0"/>
            <w:vAlign w:val="center"/>
          </w:tcPr>
          <w:p w14:paraId="534E4BC0">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5</w:t>
            </w:r>
          </w:p>
        </w:tc>
      </w:tr>
      <w:tr w14:paraId="038203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33" w:type="pct"/>
            <w:gridSpan w:val="3"/>
            <w:vMerge w:val="continue"/>
            <w:tcBorders>
              <w:tl2br w:val="nil"/>
              <w:tr2bl w:val="nil"/>
            </w:tcBorders>
            <w:noWrap w:val="0"/>
            <w:vAlign w:val="center"/>
          </w:tcPr>
          <w:p w14:paraId="6E11B523">
            <w:pPr>
              <w:adjustRightInd w:val="0"/>
              <w:snapToGrid w:val="0"/>
              <w:spacing w:line="240" w:lineRule="exact"/>
              <w:jc w:val="center"/>
              <w:rPr>
                <w:rFonts w:ascii="Times New Roman" w:hAnsi="Times New Roman" w:cs="Times New Roman"/>
                <w:color w:val="auto"/>
                <w:spacing w:val="4"/>
                <w:sz w:val="21"/>
                <w:szCs w:val="21"/>
              </w:rPr>
            </w:pPr>
          </w:p>
        </w:tc>
        <w:tc>
          <w:tcPr>
            <w:tcW w:w="404" w:type="pct"/>
            <w:vMerge w:val="continue"/>
            <w:tcBorders>
              <w:tl2br w:val="nil"/>
              <w:tr2bl w:val="nil"/>
            </w:tcBorders>
            <w:noWrap w:val="0"/>
            <w:vAlign w:val="center"/>
          </w:tcPr>
          <w:p w14:paraId="0C41C7C5">
            <w:pPr>
              <w:adjustRightInd w:val="0"/>
              <w:snapToGrid w:val="0"/>
              <w:spacing w:line="240" w:lineRule="exact"/>
              <w:jc w:val="center"/>
              <w:rPr>
                <w:rFonts w:ascii="Times New Roman" w:hAnsi="Times New Roman" w:cs="Times New Roman"/>
                <w:color w:val="auto"/>
                <w:spacing w:val="4"/>
                <w:sz w:val="21"/>
                <w:szCs w:val="21"/>
              </w:rPr>
            </w:pPr>
          </w:p>
        </w:tc>
        <w:tc>
          <w:tcPr>
            <w:tcW w:w="1093" w:type="pct"/>
            <w:gridSpan w:val="3"/>
            <w:tcBorders>
              <w:tl2br w:val="nil"/>
              <w:tr2bl w:val="nil"/>
            </w:tcBorders>
            <w:noWrap w:val="0"/>
            <w:vAlign w:val="center"/>
          </w:tcPr>
          <w:p w14:paraId="49E18E5D">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地面管线防刺防漏措施</w:t>
            </w:r>
          </w:p>
        </w:tc>
        <w:tc>
          <w:tcPr>
            <w:tcW w:w="1300" w:type="pct"/>
            <w:gridSpan w:val="2"/>
            <w:tcBorders>
              <w:tl2br w:val="nil"/>
              <w:tr2bl w:val="nil"/>
            </w:tcBorders>
            <w:noWrap w:val="0"/>
            <w:vAlign w:val="center"/>
          </w:tcPr>
          <w:p w14:paraId="02FB8C22">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按标准试压</w:t>
            </w:r>
          </w:p>
        </w:tc>
        <w:tc>
          <w:tcPr>
            <w:tcW w:w="408" w:type="pct"/>
            <w:gridSpan w:val="2"/>
            <w:tcBorders>
              <w:tl2br w:val="nil"/>
              <w:tr2bl w:val="nil"/>
            </w:tcBorders>
            <w:noWrap w:val="0"/>
            <w:vAlign w:val="center"/>
          </w:tcPr>
          <w:p w14:paraId="2E1A85CD">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5</w:t>
            </w:r>
          </w:p>
        </w:tc>
        <w:tc>
          <w:tcPr>
            <w:tcW w:w="459" w:type="pct"/>
            <w:gridSpan w:val="2"/>
            <w:tcBorders>
              <w:tl2br w:val="nil"/>
              <w:tr2bl w:val="nil"/>
            </w:tcBorders>
            <w:noWrap w:val="0"/>
            <w:vAlign w:val="center"/>
          </w:tcPr>
          <w:p w14:paraId="49459547">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5</w:t>
            </w:r>
          </w:p>
        </w:tc>
      </w:tr>
      <w:tr w14:paraId="7BA521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33" w:type="pct"/>
            <w:gridSpan w:val="3"/>
            <w:vMerge w:val="continue"/>
            <w:tcBorders>
              <w:tl2br w:val="nil"/>
              <w:tr2bl w:val="nil"/>
            </w:tcBorders>
            <w:noWrap w:val="0"/>
            <w:vAlign w:val="center"/>
          </w:tcPr>
          <w:p w14:paraId="3A1D50CA">
            <w:pPr>
              <w:adjustRightInd w:val="0"/>
              <w:snapToGrid w:val="0"/>
              <w:spacing w:line="240" w:lineRule="exact"/>
              <w:jc w:val="center"/>
              <w:rPr>
                <w:rFonts w:ascii="Times New Roman" w:hAnsi="Times New Roman" w:cs="Times New Roman"/>
                <w:color w:val="auto"/>
                <w:spacing w:val="4"/>
                <w:sz w:val="21"/>
                <w:szCs w:val="21"/>
              </w:rPr>
            </w:pPr>
          </w:p>
        </w:tc>
        <w:tc>
          <w:tcPr>
            <w:tcW w:w="404" w:type="pct"/>
            <w:vMerge w:val="continue"/>
            <w:tcBorders>
              <w:tl2br w:val="nil"/>
              <w:tr2bl w:val="nil"/>
            </w:tcBorders>
            <w:noWrap w:val="0"/>
            <w:vAlign w:val="center"/>
          </w:tcPr>
          <w:p w14:paraId="302807A1">
            <w:pPr>
              <w:adjustRightInd w:val="0"/>
              <w:snapToGrid w:val="0"/>
              <w:spacing w:line="240" w:lineRule="exact"/>
              <w:jc w:val="center"/>
              <w:rPr>
                <w:rFonts w:ascii="Times New Roman" w:hAnsi="Times New Roman" w:cs="Times New Roman"/>
                <w:color w:val="auto"/>
                <w:spacing w:val="4"/>
                <w:sz w:val="21"/>
                <w:szCs w:val="21"/>
              </w:rPr>
            </w:pPr>
          </w:p>
        </w:tc>
        <w:tc>
          <w:tcPr>
            <w:tcW w:w="1093" w:type="pct"/>
            <w:gridSpan w:val="3"/>
            <w:tcBorders>
              <w:tl2br w:val="nil"/>
              <w:tr2bl w:val="nil"/>
            </w:tcBorders>
            <w:noWrap w:val="0"/>
            <w:vAlign w:val="center"/>
          </w:tcPr>
          <w:p w14:paraId="61DD7E0C">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防溢设备（防溢池设置）</w:t>
            </w:r>
          </w:p>
        </w:tc>
        <w:tc>
          <w:tcPr>
            <w:tcW w:w="1300" w:type="pct"/>
            <w:gridSpan w:val="2"/>
            <w:tcBorders>
              <w:tl2br w:val="nil"/>
              <w:tr2bl w:val="nil"/>
            </w:tcBorders>
            <w:noWrap w:val="0"/>
            <w:vAlign w:val="center"/>
          </w:tcPr>
          <w:p w14:paraId="3C446017">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具备</w:t>
            </w:r>
          </w:p>
        </w:tc>
        <w:tc>
          <w:tcPr>
            <w:tcW w:w="408" w:type="pct"/>
            <w:gridSpan w:val="2"/>
            <w:tcBorders>
              <w:tl2br w:val="nil"/>
              <w:tr2bl w:val="nil"/>
            </w:tcBorders>
            <w:noWrap w:val="0"/>
            <w:vAlign w:val="center"/>
          </w:tcPr>
          <w:p w14:paraId="0B5253E3">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5</w:t>
            </w:r>
          </w:p>
        </w:tc>
        <w:tc>
          <w:tcPr>
            <w:tcW w:w="459" w:type="pct"/>
            <w:gridSpan w:val="2"/>
            <w:tcBorders>
              <w:tl2br w:val="nil"/>
              <w:tr2bl w:val="nil"/>
            </w:tcBorders>
            <w:noWrap w:val="0"/>
            <w:vAlign w:val="center"/>
          </w:tcPr>
          <w:p w14:paraId="6B9A6383">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5</w:t>
            </w:r>
          </w:p>
        </w:tc>
      </w:tr>
      <w:tr w14:paraId="660F39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33" w:type="pct"/>
            <w:gridSpan w:val="3"/>
            <w:vMerge w:val="continue"/>
            <w:tcBorders>
              <w:tl2br w:val="nil"/>
              <w:tr2bl w:val="nil"/>
            </w:tcBorders>
            <w:noWrap w:val="0"/>
            <w:vAlign w:val="center"/>
          </w:tcPr>
          <w:p w14:paraId="7F3FE5BE">
            <w:pPr>
              <w:adjustRightInd w:val="0"/>
              <w:snapToGrid w:val="0"/>
              <w:spacing w:line="240" w:lineRule="exact"/>
              <w:jc w:val="center"/>
              <w:rPr>
                <w:rFonts w:ascii="Times New Roman" w:hAnsi="Times New Roman" w:cs="Times New Roman"/>
                <w:color w:val="auto"/>
                <w:spacing w:val="4"/>
                <w:sz w:val="21"/>
                <w:szCs w:val="21"/>
              </w:rPr>
            </w:pPr>
          </w:p>
        </w:tc>
        <w:tc>
          <w:tcPr>
            <w:tcW w:w="404" w:type="pct"/>
            <w:vMerge w:val="continue"/>
            <w:tcBorders>
              <w:tl2br w:val="nil"/>
              <w:tr2bl w:val="nil"/>
            </w:tcBorders>
            <w:noWrap w:val="0"/>
            <w:vAlign w:val="center"/>
          </w:tcPr>
          <w:p w14:paraId="0C777258">
            <w:pPr>
              <w:adjustRightInd w:val="0"/>
              <w:snapToGrid w:val="0"/>
              <w:spacing w:line="240" w:lineRule="exact"/>
              <w:jc w:val="center"/>
              <w:rPr>
                <w:rFonts w:ascii="Times New Roman" w:hAnsi="Times New Roman" w:cs="Times New Roman"/>
                <w:color w:val="auto"/>
                <w:spacing w:val="4"/>
                <w:sz w:val="21"/>
                <w:szCs w:val="21"/>
              </w:rPr>
            </w:pPr>
          </w:p>
        </w:tc>
        <w:tc>
          <w:tcPr>
            <w:tcW w:w="1093" w:type="pct"/>
            <w:gridSpan w:val="3"/>
            <w:tcBorders>
              <w:tl2br w:val="nil"/>
              <w:tr2bl w:val="nil"/>
            </w:tcBorders>
            <w:noWrap w:val="0"/>
            <w:vAlign w:val="center"/>
          </w:tcPr>
          <w:p w14:paraId="7A4E5C89">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防渗范围</w:t>
            </w:r>
          </w:p>
        </w:tc>
        <w:tc>
          <w:tcPr>
            <w:tcW w:w="1300" w:type="pct"/>
            <w:gridSpan w:val="2"/>
            <w:tcBorders>
              <w:tl2br w:val="nil"/>
              <w:tr2bl w:val="nil"/>
            </w:tcBorders>
            <w:noWrap w:val="0"/>
            <w:vAlign w:val="center"/>
          </w:tcPr>
          <w:p w14:paraId="4AA70B05">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废水、使用液、原油等可能落地处</w:t>
            </w:r>
          </w:p>
        </w:tc>
        <w:tc>
          <w:tcPr>
            <w:tcW w:w="408" w:type="pct"/>
            <w:gridSpan w:val="2"/>
            <w:tcBorders>
              <w:tl2br w:val="nil"/>
              <w:tr2bl w:val="nil"/>
            </w:tcBorders>
            <w:noWrap w:val="0"/>
            <w:vAlign w:val="center"/>
          </w:tcPr>
          <w:p w14:paraId="66B6DFDE">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5</w:t>
            </w:r>
          </w:p>
        </w:tc>
        <w:tc>
          <w:tcPr>
            <w:tcW w:w="459" w:type="pct"/>
            <w:gridSpan w:val="2"/>
            <w:tcBorders>
              <w:tl2br w:val="nil"/>
              <w:tr2bl w:val="nil"/>
            </w:tcBorders>
            <w:noWrap w:val="0"/>
            <w:vAlign w:val="center"/>
          </w:tcPr>
          <w:p w14:paraId="27526C6F">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5</w:t>
            </w:r>
          </w:p>
        </w:tc>
      </w:tr>
      <w:tr w14:paraId="21F799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33" w:type="pct"/>
            <w:gridSpan w:val="3"/>
            <w:vMerge w:val="continue"/>
            <w:tcBorders>
              <w:tl2br w:val="nil"/>
              <w:tr2bl w:val="nil"/>
            </w:tcBorders>
            <w:noWrap w:val="0"/>
            <w:vAlign w:val="center"/>
          </w:tcPr>
          <w:p w14:paraId="74A99357">
            <w:pPr>
              <w:adjustRightInd w:val="0"/>
              <w:snapToGrid w:val="0"/>
              <w:spacing w:line="240" w:lineRule="exact"/>
              <w:jc w:val="center"/>
              <w:rPr>
                <w:rFonts w:ascii="Times New Roman" w:hAnsi="Times New Roman" w:cs="Times New Roman"/>
                <w:color w:val="auto"/>
                <w:spacing w:val="4"/>
                <w:sz w:val="21"/>
                <w:szCs w:val="21"/>
              </w:rPr>
            </w:pPr>
          </w:p>
        </w:tc>
        <w:tc>
          <w:tcPr>
            <w:tcW w:w="404" w:type="pct"/>
            <w:vMerge w:val="continue"/>
            <w:tcBorders>
              <w:tl2br w:val="nil"/>
              <w:tr2bl w:val="nil"/>
            </w:tcBorders>
            <w:noWrap w:val="0"/>
            <w:vAlign w:val="center"/>
          </w:tcPr>
          <w:p w14:paraId="672C8E4B">
            <w:pPr>
              <w:adjustRightInd w:val="0"/>
              <w:snapToGrid w:val="0"/>
              <w:spacing w:line="240" w:lineRule="exact"/>
              <w:jc w:val="center"/>
              <w:rPr>
                <w:rFonts w:ascii="Times New Roman" w:hAnsi="Times New Roman" w:cs="Times New Roman"/>
                <w:color w:val="auto"/>
                <w:spacing w:val="4"/>
                <w:sz w:val="21"/>
                <w:szCs w:val="21"/>
              </w:rPr>
            </w:pPr>
          </w:p>
        </w:tc>
        <w:tc>
          <w:tcPr>
            <w:tcW w:w="1093" w:type="pct"/>
            <w:gridSpan w:val="3"/>
            <w:tcBorders>
              <w:tl2br w:val="nil"/>
              <w:tr2bl w:val="nil"/>
            </w:tcBorders>
            <w:noWrap w:val="0"/>
            <w:vAlign w:val="center"/>
          </w:tcPr>
          <w:p w14:paraId="19F476F1">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作业废液污染控制措施</w:t>
            </w:r>
          </w:p>
        </w:tc>
        <w:tc>
          <w:tcPr>
            <w:tcW w:w="1300" w:type="pct"/>
            <w:gridSpan w:val="2"/>
            <w:tcBorders>
              <w:tl2br w:val="nil"/>
              <w:tr2bl w:val="nil"/>
            </w:tcBorders>
            <w:noWrap w:val="0"/>
            <w:vAlign w:val="center"/>
          </w:tcPr>
          <w:p w14:paraId="4981BF07">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集中回收处理</w:t>
            </w:r>
          </w:p>
        </w:tc>
        <w:tc>
          <w:tcPr>
            <w:tcW w:w="408" w:type="pct"/>
            <w:gridSpan w:val="2"/>
            <w:tcBorders>
              <w:tl2br w:val="nil"/>
              <w:tr2bl w:val="nil"/>
            </w:tcBorders>
            <w:noWrap w:val="0"/>
            <w:vAlign w:val="center"/>
          </w:tcPr>
          <w:p w14:paraId="6F23D940">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10</w:t>
            </w:r>
          </w:p>
        </w:tc>
        <w:tc>
          <w:tcPr>
            <w:tcW w:w="459" w:type="pct"/>
            <w:gridSpan w:val="2"/>
            <w:tcBorders>
              <w:tl2br w:val="nil"/>
              <w:tr2bl w:val="nil"/>
            </w:tcBorders>
            <w:noWrap w:val="0"/>
            <w:vAlign w:val="center"/>
          </w:tcPr>
          <w:p w14:paraId="2E4628B7">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10</w:t>
            </w:r>
          </w:p>
        </w:tc>
      </w:tr>
      <w:tr w14:paraId="1A07F5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33" w:type="pct"/>
            <w:gridSpan w:val="3"/>
            <w:vMerge w:val="continue"/>
            <w:tcBorders>
              <w:tl2br w:val="nil"/>
              <w:tr2bl w:val="nil"/>
            </w:tcBorders>
            <w:noWrap w:val="0"/>
            <w:vAlign w:val="center"/>
          </w:tcPr>
          <w:p w14:paraId="7D69D0C6">
            <w:pPr>
              <w:adjustRightInd w:val="0"/>
              <w:snapToGrid w:val="0"/>
              <w:spacing w:line="240" w:lineRule="exact"/>
              <w:jc w:val="center"/>
              <w:rPr>
                <w:rFonts w:ascii="Times New Roman" w:hAnsi="Times New Roman" w:cs="Times New Roman"/>
                <w:color w:val="auto"/>
                <w:spacing w:val="4"/>
                <w:sz w:val="21"/>
                <w:szCs w:val="21"/>
              </w:rPr>
            </w:pPr>
          </w:p>
        </w:tc>
        <w:tc>
          <w:tcPr>
            <w:tcW w:w="404" w:type="pct"/>
            <w:vMerge w:val="continue"/>
            <w:tcBorders>
              <w:tl2br w:val="nil"/>
              <w:tr2bl w:val="nil"/>
            </w:tcBorders>
            <w:noWrap w:val="0"/>
            <w:vAlign w:val="center"/>
          </w:tcPr>
          <w:p w14:paraId="2E6D1594">
            <w:pPr>
              <w:adjustRightInd w:val="0"/>
              <w:snapToGrid w:val="0"/>
              <w:spacing w:line="240" w:lineRule="exact"/>
              <w:jc w:val="center"/>
              <w:rPr>
                <w:rFonts w:ascii="Times New Roman" w:hAnsi="Times New Roman" w:cs="Times New Roman"/>
                <w:color w:val="auto"/>
                <w:spacing w:val="4"/>
                <w:sz w:val="21"/>
                <w:szCs w:val="21"/>
              </w:rPr>
            </w:pPr>
          </w:p>
        </w:tc>
        <w:tc>
          <w:tcPr>
            <w:tcW w:w="1093" w:type="pct"/>
            <w:gridSpan w:val="3"/>
            <w:tcBorders>
              <w:tl2br w:val="nil"/>
              <w:tr2bl w:val="nil"/>
            </w:tcBorders>
            <w:noWrap w:val="0"/>
            <w:vAlign w:val="center"/>
          </w:tcPr>
          <w:p w14:paraId="55772977">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防止落地原油产生措施</w:t>
            </w:r>
          </w:p>
        </w:tc>
        <w:tc>
          <w:tcPr>
            <w:tcW w:w="1300" w:type="pct"/>
            <w:gridSpan w:val="2"/>
            <w:tcBorders>
              <w:tl2br w:val="nil"/>
              <w:tr2bl w:val="nil"/>
            </w:tcBorders>
            <w:noWrap w:val="0"/>
            <w:vAlign w:val="center"/>
          </w:tcPr>
          <w:p w14:paraId="47A874CC">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具备原油回收设施</w:t>
            </w:r>
          </w:p>
        </w:tc>
        <w:tc>
          <w:tcPr>
            <w:tcW w:w="408" w:type="pct"/>
            <w:gridSpan w:val="2"/>
            <w:tcBorders>
              <w:tl2br w:val="nil"/>
              <w:tr2bl w:val="nil"/>
            </w:tcBorders>
            <w:noWrap w:val="0"/>
            <w:vAlign w:val="center"/>
          </w:tcPr>
          <w:p w14:paraId="121DA4CA">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10</w:t>
            </w:r>
          </w:p>
        </w:tc>
        <w:tc>
          <w:tcPr>
            <w:tcW w:w="459" w:type="pct"/>
            <w:gridSpan w:val="2"/>
            <w:tcBorders>
              <w:tl2br w:val="nil"/>
              <w:tr2bl w:val="nil"/>
            </w:tcBorders>
            <w:noWrap w:val="0"/>
            <w:vAlign w:val="center"/>
          </w:tcPr>
          <w:p w14:paraId="7A0349B1">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10</w:t>
            </w:r>
          </w:p>
        </w:tc>
      </w:tr>
      <w:tr w14:paraId="481EE1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33" w:type="pct"/>
            <w:gridSpan w:val="3"/>
            <w:vMerge w:val="restart"/>
            <w:tcBorders>
              <w:tl2br w:val="nil"/>
              <w:tr2bl w:val="nil"/>
            </w:tcBorders>
            <w:noWrap w:val="0"/>
            <w:vAlign w:val="center"/>
          </w:tcPr>
          <w:p w14:paraId="15C5C2FB">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（2）管理体系建设及清洁生产审核</w:t>
            </w:r>
          </w:p>
        </w:tc>
        <w:tc>
          <w:tcPr>
            <w:tcW w:w="404" w:type="pct"/>
            <w:vMerge w:val="restart"/>
            <w:tcBorders>
              <w:tl2br w:val="nil"/>
              <w:tr2bl w:val="nil"/>
            </w:tcBorders>
            <w:noWrap w:val="0"/>
            <w:vAlign w:val="center"/>
          </w:tcPr>
          <w:p w14:paraId="6A62E33F">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40</w:t>
            </w:r>
          </w:p>
        </w:tc>
        <w:tc>
          <w:tcPr>
            <w:tcW w:w="2393" w:type="pct"/>
            <w:gridSpan w:val="5"/>
            <w:tcBorders>
              <w:tl2br w:val="nil"/>
              <w:tr2bl w:val="nil"/>
            </w:tcBorders>
            <w:noWrap w:val="0"/>
            <w:vAlign w:val="center"/>
          </w:tcPr>
          <w:p w14:paraId="3E99CF73">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建立HSE管理体系并通过验证</w:t>
            </w:r>
          </w:p>
        </w:tc>
        <w:tc>
          <w:tcPr>
            <w:tcW w:w="408" w:type="pct"/>
            <w:gridSpan w:val="2"/>
            <w:tcBorders>
              <w:tl2br w:val="nil"/>
              <w:tr2bl w:val="nil"/>
            </w:tcBorders>
            <w:noWrap w:val="0"/>
            <w:vAlign w:val="center"/>
          </w:tcPr>
          <w:p w14:paraId="43550097">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15</w:t>
            </w:r>
          </w:p>
        </w:tc>
        <w:tc>
          <w:tcPr>
            <w:tcW w:w="459" w:type="pct"/>
            <w:gridSpan w:val="2"/>
            <w:tcBorders>
              <w:tl2br w:val="nil"/>
              <w:tr2bl w:val="nil"/>
            </w:tcBorders>
            <w:noWrap w:val="0"/>
            <w:vAlign w:val="center"/>
          </w:tcPr>
          <w:p w14:paraId="73102C52">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15</w:t>
            </w:r>
          </w:p>
        </w:tc>
      </w:tr>
      <w:tr w14:paraId="1F0276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33" w:type="pct"/>
            <w:gridSpan w:val="3"/>
            <w:vMerge w:val="continue"/>
            <w:tcBorders>
              <w:tl2br w:val="nil"/>
              <w:tr2bl w:val="nil"/>
            </w:tcBorders>
            <w:noWrap w:val="0"/>
            <w:vAlign w:val="center"/>
          </w:tcPr>
          <w:p w14:paraId="6948CEE4">
            <w:pPr>
              <w:adjustRightInd w:val="0"/>
              <w:snapToGrid w:val="0"/>
              <w:spacing w:line="240" w:lineRule="exact"/>
              <w:jc w:val="center"/>
              <w:rPr>
                <w:rFonts w:ascii="Times New Roman" w:hAnsi="Times New Roman" w:cs="Times New Roman"/>
                <w:color w:val="auto"/>
                <w:spacing w:val="4"/>
                <w:sz w:val="21"/>
                <w:szCs w:val="21"/>
              </w:rPr>
            </w:pPr>
          </w:p>
        </w:tc>
        <w:tc>
          <w:tcPr>
            <w:tcW w:w="404" w:type="pct"/>
            <w:vMerge w:val="continue"/>
            <w:tcBorders>
              <w:tl2br w:val="nil"/>
              <w:tr2bl w:val="nil"/>
            </w:tcBorders>
            <w:noWrap w:val="0"/>
            <w:vAlign w:val="center"/>
          </w:tcPr>
          <w:p w14:paraId="2BE1C801">
            <w:pPr>
              <w:adjustRightInd w:val="0"/>
              <w:snapToGrid w:val="0"/>
              <w:spacing w:line="240" w:lineRule="exact"/>
              <w:jc w:val="center"/>
              <w:rPr>
                <w:rFonts w:ascii="Times New Roman" w:hAnsi="Times New Roman" w:cs="Times New Roman"/>
                <w:color w:val="auto"/>
                <w:spacing w:val="4"/>
                <w:sz w:val="21"/>
                <w:szCs w:val="21"/>
              </w:rPr>
            </w:pPr>
          </w:p>
        </w:tc>
        <w:tc>
          <w:tcPr>
            <w:tcW w:w="2393" w:type="pct"/>
            <w:gridSpan w:val="5"/>
            <w:tcBorders>
              <w:tl2br w:val="nil"/>
              <w:tr2bl w:val="nil"/>
            </w:tcBorders>
            <w:noWrap w:val="0"/>
            <w:vAlign w:val="center"/>
          </w:tcPr>
          <w:p w14:paraId="77F946F4">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开展清洁生产审核</w:t>
            </w:r>
          </w:p>
        </w:tc>
        <w:tc>
          <w:tcPr>
            <w:tcW w:w="408" w:type="pct"/>
            <w:gridSpan w:val="2"/>
            <w:tcBorders>
              <w:tl2br w:val="nil"/>
              <w:tr2bl w:val="nil"/>
            </w:tcBorders>
            <w:noWrap w:val="0"/>
            <w:vAlign w:val="center"/>
          </w:tcPr>
          <w:p w14:paraId="15B39FE8">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20</w:t>
            </w:r>
          </w:p>
        </w:tc>
        <w:tc>
          <w:tcPr>
            <w:tcW w:w="459" w:type="pct"/>
            <w:gridSpan w:val="2"/>
            <w:tcBorders>
              <w:tl2br w:val="nil"/>
              <w:tr2bl w:val="nil"/>
            </w:tcBorders>
            <w:noWrap w:val="0"/>
            <w:vAlign w:val="center"/>
          </w:tcPr>
          <w:p w14:paraId="40929D15">
            <w:pPr>
              <w:adjustRightInd w:val="0"/>
              <w:snapToGrid w:val="0"/>
              <w:spacing w:line="240" w:lineRule="exact"/>
              <w:jc w:val="center"/>
              <w:rPr>
                <w:rFonts w:ascii="Times New Roman" w:hAnsi="Times New Roman" w:cs="Times New Roman"/>
                <w:color w:val="auto"/>
                <w:spacing w:val="4"/>
                <w:sz w:val="21"/>
                <w:szCs w:val="21"/>
              </w:rPr>
            </w:pPr>
            <w:r>
              <w:rPr>
                <w:rFonts w:hint="eastAsia" w:ascii="Times New Roman" w:hAnsi="Times New Roman" w:cs="Times New Roman"/>
                <w:color w:val="auto"/>
                <w:spacing w:val="4"/>
                <w:sz w:val="21"/>
                <w:szCs w:val="21"/>
              </w:rPr>
              <w:t>20</w:t>
            </w:r>
          </w:p>
        </w:tc>
      </w:tr>
      <w:tr w14:paraId="2536E4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33" w:type="pct"/>
            <w:gridSpan w:val="3"/>
            <w:vMerge w:val="continue"/>
            <w:tcBorders>
              <w:tl2br w:val="nil"/>
              <w:tr2bl w:val="nil"/>
            </w:tcBorders>
            <w:noWrap w:val="0"/>
            <w:vAlign w:val="center"/>
          </w:tcPr>
          <w:p w14:paraId="4BAA65DA">
            <w:pPr>
              <w:adjustRightInd w:val="0"/>
              <w:snapToGrid w:val="0"/>
              <w:spacing w:line="240" w:lineRule="exact"/>
              <w:jc w:val="center"/>
              <w:rPr>
                <w:rFonts w:ascii="Times New Roman" w:hAnsi="Times New Roman" w:cs="Times New Roman"/>
                <w:color w:val="auto"/>
                <w:spacing w:val="4"/>
                <w:sz w:val="21"/>
                <w:szCs w:val="21"/>
              </w:rPr>
            </w:pPr>
          </w:p>
        </w:tc>
        <w:tc>
          <w:tcPr>
            <w:tcW w:w="404" w:type="pct"/>
            <w:vMerge w:val="continue"/>
            <w:tcBorders>
              <w:tl2br w:val="nil"/>
              <w:tr2bl w:val="nil"/>
            </w:tcBorders>
            <w:noWrap w:val="0"/>
            <w:vAlign w:val="center"/>
          </w:tcPr>
          <w:p w14:paraId="287A02E2">
            <w:pPr>
              <w:adjustRightInd w:val="0"/>
              <w:snapToGrid w:val="0"/>
              <w:spacing w:line="240" w:lineRule="exact"/>
              <w:jc w:val="center"/>
              <w:rPr>
                <w:rFonts w:ascii="Times New Roman" w:hAnsi="Times New Roman" w:cs="Times New Roman"/>
                <w:color w:val="auto"/>
                <w:spacing w:val="4"/>
                <w:sz w:val="21"/>
                <w:szCs w:val="21"/>
              </w:rPr>
            </w:pPr>
          </w:p>
        </w:tc>
        <w:tc>
          <w:tcPr>
            <w:tcW w:w="2393" w:type="pct"/>
            <w:gridSpan w:val="5"/>
            <w:tcBorders>
              <w:tl2br w:val="nil"/>
              <w:tr2bl w:val="nil"/>
            </w:tcBorders>
            <w:noWrap w:val="0"/>
            <w:vAlign w:val="center"/>
          </w:tcPr>
          <w:p w14:paraId="1EFF9E89">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制定节能减排工作计划</w:t>
            </w:r>
          </w:p>
        </w:tc>
        <w:tc>
          <w:tcPr>
            <w:tcW w:w="408" w:type="pct"/>
            <w:gridSpan w:val="2"/>
            <w:tcBorders>
              <w:tl2br w:val="nil"/>
              <w:tr2bl w:val="nil"/>
            </w:tcBorders>
            <w:noWrap w:val="0"/>
            <w:vAlign w:val="center"/>
          </w:tcPr>
          <w:p w14:paraId="588E7FB0">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5</w:t>
            </w:r>
          </w:p>
        </w:tc>
        <w:tc>
          <w:tcPr>
            <w:tcW w:w="459" w:type="pct"/>
            <w:gridSpan w:val="2"/>
            <w:tcBorders>
              <w:tl2br w:val="nil"/>
              <w:tr2bl w:val="nil"/>
            </w:tcBorders>
            <w:noWrap w:val="0"/>
            <w:vAlign w:val="center"/>
          </w:tcPr>
          <w:p w14:paraId="0E27C924">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5</w:t>
            </w:r>
          </w:p>
        </w:tc>
      </w:tr>
      <w:tr w14:paraId="6928B4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33" w:type="pct"/>
            <w:gridSpan w:val="3"/>
            <w:tcBorders>
              <w:tl2br w:val="nil"/>
              <w:tr2bl w:val="nil"/>
            </w:tcBorders>
            <w:noWrap w:val="0"/>
            <w:vAlign w:val="center"/>
          </w:tcPr>
          <w:p w14:paraId="2ACCD46A">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w:t>
            </w:r>
            <w:r>
              <w:rPr>
                <w:rFonts w:hint="eastAsia" w:ascii="Times New Roman" w:hAnsi="Times New Roman" w:cs="Times New Roman"/>
                <w:color w:val="auto"/>
                <w:spacing w:val="4"/>
                <w:sz w:val="21"/>
                <w:szCs w:val="21"/>
                <w:lang w:val="en-US" w:eastAsia="zh-CN"/>
              </w:rPr>
              <w:t>3</w:t>
            </w:r>
            <w:r>
              <w:rPr>
                <w:rFonts w:ascii="Times New Roman" w:hAnsi="Times New Roman" w:cs="Times New Roman"/>
                <w:color w:val="auto"/>
                <w:spacing w:val="4"/>
                <w:sz w:val="21"/>
                <w:szCs w:val="21"/>
              </w:rPr>
              <w:t>）贯彻执行环境保护法规的符合性</w:t>
            </w:r>
          </w:p>
        </w:tc>
        <w:tc>
          <w:tcPr>
            <w:tcW w:w="404" w:type="pct"/>
            <w:tcBorders>
              <w:tl2br w:val="nil"/>
              <w:tr2bl w:val="nil"/>
            </w:tcBorders>
            <w:noWrap w:val="0"/>
            <w:vAlign w:val="center"/>
          </w:tcPr>
          <w:p w14:paraId="27A95A84">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20</w:t>
            </w:r>
          </w:p>
        </w:tc>
        <w:tc>
          <w:tcPr>
            <w:tcW w:w="2393" w:type="pct"/>
            <w:gridSpan w:val="5"/>
            <w:tcBorders>
              <w:tl2br w:val="nil"/>
              <w:tr2bl w:val="nil"/>
            </w:tcBorders>
            <w:noWrap w:val="0"/>
            <w:vAlign w:val="center"/>
          </w:tcPr>
          <w:p w14:paraId="2F31CEA8">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满足其他法律法规要求</w:t>
            </w:r>
          </w:p>
        </w:tc>
        <w:tc>
          <w:tcPr>
            <w:tcW w:w="408" w:type="pct"/>
            <w:gridSpan w:val="2"/>
            <w:tcBorders>
              <w:tl2br w:val="nil"/>
              <w:tr2bl w:val="nil"/>
            </w:tcBorders>
            <w:noWrap w:val="0"/>
            <w:vAlign w:val="center"/>
          </w:tcPr>
          <w:p w14:paraId="48FF0187">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20</w:t>
            </w:r>
          </w:p>
        </w:tc>
        <w:tc>
          <w:tcPr>
            <w:tcW w:w="459" w:type="pct"/>
            <w:gridSpan w:val="2"/>
            <w:tcBorders>
              <w:tl2br w:val="nil"/>
              <w:tr2bl w:val="nil"/>
            </w:tcBorders>
            <w:noWrap w:val="0"/>
            <w:vAlign w:val="center"/>
          </w:tcPr>
          <w:p w14:paraId="1F00BB5C">
            <w:pPr>
              <w:adjustRightInd w:val="0"/>
              <w:snapToGrid w:val="0"/>
              <w:spacing w:line="240" w:lineRule="exact"/>
              <w:jc w:val="center"/>
              <w:rPr>
                <w:rFonts w:hint="default" w:ascii="Times New Roman" w:hAnsi="Times New Roman" w:eastAsia="宋体" w:cs="Times New Roman"/>
                <w:color w:val="auto"/>
                <w:spacing w:val="4"/>
                <w:sz w:val="21"/>
                <w:szCs w:val="21"/>
                <w:lang w:val="en-US" w:eastAsia="zh-CN"/>
              </w:rPr>
            </w:pPr>
            <w:r>
              <w:rPr>
                <w:rFonts w:hint="eastAsia" w:cs="Times New Roman"/>
                <w:color w:val="auto"/>
                <w:spacing w:val="4"/>
                <w:sz w:val="21"/>
                <w:szCs w:val="21"/>
                <w:lang w:val="en-US" w:eastAsia="zh-CN"/>
              </w:rPr>
              <w:t>15</w:t>
            </w:r>
          </w:p>
        </w:tc>
      </w:tr>
    </w:tbl>
    <w:p w14:paraId="5A4B82F3">
      <w:pPr>
        <w:pStyle w:val="61"/>
        <w:bidi w:val="0"/>
        <w:jc w:val="both"/>
        <w:rPr>
          <w:rFonts w:hint="eastAsia"/>
          <w:color w:val="auto"/>
        </w:rPr>
      </w:pPr>
    </w:p>
    <w:p w14:paraId="63E70605">
      <w:pPr>
        <w:pStyle w:val="61"/>
        <w:bidi w:val="0"/>
        <w:jc w:val="both"/>
        <w:rPr>
          <w:rFonts w:hint="eastAsia"/>
          <w:color w:val="auto"/>
        </w:rPr>
      </w:pPr>
      <w:r>
        <w:rPr>
          <w:rFonts w:hint="eastAsia"/>
          <w:color w:val="auto"/>
        </w:rPr>
        <w:t>表3.</w:t>
      </w:r>
      <w:r>
        <w:rPr>
          <w:rFonts w:hint="eastAsia"/>
          <w:color w:val="auto"/>
          <w:lang w:val="en-US" w:eastAsia="zh-CN"/>
        </w:rPr>
        <w:t xml:space="preserve">3-20   </w:t>
      </w:r>
      <w:r>
        <w:rPr>
          <w:rFonts w:hint="eastAsia"/>
          <w:color w:val="auto"/>
        </w:rPr>
        <w:t>采油（气）定量和定性评价指标项目、权重及基准值</w:t>
      </w:r>
    </w:p>
    <w:tbl>
      <w:tblPr>
        <w:tblStyle w:val="36"/>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594"/>
        <w:gridCol w:w="457"/>
        <w:gridCol w:w="491"/>
        <w:gridCol w:w="694"/>
        <w:gridCol w:w="1709"/>
        <w:gridCol w:w="2095"/>
        <w:gridCol w:w="1122"/>
        <w:gridCol w:w="2233"/>
        <w:gridCol w:w="880"/>
        <w:gridCol w:w="378"/>
        <w:gridCol w:w="587"/>
        <w:gridCol w:w="860"/>
      </w:tblGrid>
      <w:tr w14:paraId="1F47AB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353" w:type="pct"/>
            <w:gridSpan w:val="9"/>
            <w:tcBorders>
              <w:tl2br w:val="nil"/>
              <w:tr2bl w:val="nil"/>
            </w:tcBorders>
            <w:noWrap w:val="0"/>
            <w:vAlign w:val="center"/>
          </w:tcPr>
          <w:p w14:paraId="7B58576B">
            <w:pPr>
              <w:adjustRightInd w:val="0"/>
              <w:snapToGrid w:val="0"/>
              <w:spacing w:line="240" w:lineRule="exact"/>
              <w:jc w:val="center"/>
              <w:rPr>
                <w:color w:val="auto"/>
                <w:spacing w:val="4"/>
              </w:rPr>
            </w:pPr>
            <w:r>
              <w:rPr>
                <w:color w:val="auto"/>
                <w:spacing w:val="4"/>
              </w:rPr>
              <w:t>定量指标</w:t>
            </w:r>
          </w:p>
        </w:tc>
        <w:tc>
          <w:tcPr>
            <w:tcW w:w="646" w:type="pct"/>
            <w:gridSpan w:val="3"/>
            <w:tcBorders>
              <w:tl2br w:val="nil"/>
              <w:tr2bl w:val="nil"/>
            </w:tcBorders>
            <w:noWrap w:val="0"/>
            <w:vAlign w:val="center"/>
          </w:tcPr>
          <w:p w14:paraId="0A1271C3">
            <w:pPr>
              <w:adjustRightInd w:val="0"/>
              <w:snapToGrid w:val="0"/>
              <w:spacing w:line="240" w:lineRule="exact"/>
              <w:jc w:val="center"/>
              <w:rPr>
                <w:color w:val="auto"/>
                <w:spacing w:val="4"/>
              </w:rPr>
            </w:pPr>
            <w:r>
              <w:rPr>
                <w:color w:val="auto"/>
                <w:spacing w:val="4"/>
              </w:rPr>
              <w:t>本项目</w:t>
            </w:r>
          </w:p>
        </w:tc>
      </w:tr>
      <w:tr w14:paraId="0B5C0C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20" w:type="pct"/>
            <w:tcBorders>
              <w:tl2br w:val="nil"/>
              <w:tr2bl w:val="nil"/>
            </w:tcBorders>
            <w:noWrap w:val="0"/>
            <w:vAlign w:val="center"/>
          </w:tcPr>
          <w:p w14:paraId="69FD473F">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一级指标</w:t>
            </w:r>
          </w:p>
        </w:tc>
        <w:tc>
          <w:tcPr>
            <w:tcW w:w="336" w:type="pct"/>
            <w:gridSpan w:val="2"/>
            <w:tcBorders>
              <w:tl2br w:val="nil"/>
              <w:tr2bl w:val="nil"/>
            </w:tcBorders>
            <w:noWrap w:val="0"/>
            <w:vAlign w:val="center"/>
          </w:tcPr>
          <w:p w14:paraId="031CEF42">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权重值</w:t>
            </w:r>
          </w:p>
        </w:tc>
        <w:tc>
          <w:tcPr>
            <w:tcW w:w="852" w:type="pct"/>
            <w:gridSpan w:val="2"/>
            <w:tcBorders>
              <w:tl2br w:val="nil"/>
              <w:tr2bl w:val="nil"/>
            </w:tcBorders>
            <w:noWrap w:val="0"/>
            <w:vAlign w:val="center"/>
          </w:tcPr>
          <w:p w14:paraId="76D28DA1">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二级指标</w:t>
            </w:r>
          </w:p>
        </w:tc>
        <w:tc>
          <w:tcPr>
            <w:tcW w:w="743" w:type="pct"/>
            <w:tcBorders>
              <w:tl2br w:val="nil"/>
              <w:tr2bl w:val="nil"/>
            </w:tcBorders>
            <w:noWrap w:val="0"/>
            <w:vAlign w:val="center"/>
          </w:tcPr>
          <w:p w14:paraId="0D5532F1">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单位</w:t>
            </w:r>
          </w:p>
        </w:tc>
        <w:tc>
          <w:tcPr>
            <w:tcW w:w="398" w:type="pct"/>
            <w:tcBorders>
              <w:tl2br w:val="nil"/>
              <w:tr2bl w:val="nil"/>
            </w:tcBorders>
            <w:noWrap w:val="0"/>
            <w:vAlign w:val="center"/>
          </w:tcPr>
          <w:p w14:paraId="73BB5FD6">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权重分值</w:t>
            </w:r>
          </w:p>
        </w:tc>
        <w:tc>
          <w:tcPr>
            <w:tcW w:w="1103" w:type="pct"/>
            <w:gridSpan w:val="2"/>
            <w:tcBorders>
              <w:tl2br w:val="nil"/>
              <w:tr2bl w:val="nil"/>
            </w:tcBorders>
            <w:noWrap w:val="0"/>
            <w:vAlign w:val="center"/>
          </w:tcPr>
          <w:p w14:paraId="49E059C8">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评价基准值</w:t>
            </w:r>
          </w:p>
        </w:tc>
        <w:tc>
          <w:tcPr>
            <w:tcW w:w="342" w:type="pct"/>
            <w:gridSpan w:val="2"/>
            <w:tcBorders>
              <w:tl2br w:val="nil"/>
              <w:tr2bl w:val="nil"/>
            </w:tcBorders>
            <w:noWrap w:val="0"/>
            <w:vAlign w:val="center"/>
          </w:tcPr>
          <w:p w14:paraId="54A59A24">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估算值</w:t>
            </w:r>
          </w:p>
        </w:tc>
        <w:tc>
          <w:tcPr>
            <w:tcW w:w="304" w:type="pct"/>
            <w:tcBorders>
              <w:tl2br w:val="nil"/>
              <w:tr2bl w:val="nil"/>
            </w:tcBorders>
            <w:noWrap w:val="0"/>
            <w:vAlign w:val="center"/>
          </w:tcPr>
          <w:p w14:paraId="1F604913">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评分</w:t>
            </w:r>
          </w:p>
        </w:tc>
      </w:tr>
      <w:tr w14:paraId="28D67E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20" w:type="pct"/>
            <w:tcBorders>
              <w:tl2br w:val="nil"/>
              <w:tr2bl w:val="nil"/>
            </w:tcBorders>
            <w:noWrap w:val="0"/>
            <w:vAlign w:val="center"/>
          </w:tcPr>
          <w:p w14:paraId="5F8A719B">
            <w:pPr>
              <w:adjustRightInd w:val="0"/>
              <w:snapToGrid w:val="0"/>
              <w:spacing w:line="240" w:lineRule="exact"/>
              <w:jc w:val="center"/>
              <w:rPr>
                <w:rFonts w:ascii="Times New Roman" w:hAnsi="Times New Roman" w:cs="Times New Roman"/>
                <w:color w:val="auto"/>
                <w:spacing w:val="4"/>
                <w:sz w:val="21"/>
                <w:szCs w:val="21"/>
              </w:rPr>
            </w:pPr>
            <w:bookmarkStart w:id="478" w:name="OLE_LINK416" w:colFirst="0" w:colLast="4"/>
            <w:r>
              <w:rPr>
                <w:rFonts w:ascii="Times New Roman" w:hAnsi="Times New Roman" w:cs="Times New Roman"/>
                <w:color w:val="auto"/>
                <w:spacing w:val="4"/>
                <w:sz w:val="21"/>
                <w:szCs w:val="21"/>
              </w:rPr>
              <w:t>（1）资源和能源消耗指标</w:t>
            </w:r>
          </w:p>
        </w:tc>
        <w:tc>
          <w:tcPr>
            <w:tcW w:w="336" w:type="pct"/>
            <w:gridSpan w:val="2"/>
            <w:tcBorders>
              <w:tl2br w:val="nil"/>
              <w:tr2bl w:val="nil"/>
            </w:tcBorders>
            <w:noWrap w:val="0"/>
            <w:vAlign w:val="center"/>
          </w:tcPr>
          <w:p w14:paraId="471B8128">
            <w:pPr>
              <w:adjustRightInd w:val="0"/>
              <w:snapToGrid w:val="0"/>
              <w:spacing w:line="240" w:lineRule="exact"/>
              <w:jc w:val="center"/>
              <w:rPr>
                <w:rFonts w:hint="default" w:ascii="Times New Roman" w:hAnsi="Times New Roman" w:eastAsia="宋体" w:cs="Times New Roman"/>
                <w:color w:val="auto"/>
                <w:spacing w:val="4"/>
                <w:sz w:val="21"/>
                <w:szCs w:val="21"/>
                <w:lang w:val="en-US" w:eastAsia="zh-CN"/>
              </w:rPr>
            </w:pPr>
            <w:r>
              <w:rPr>
                <w:rFonts w:hint="eastAsia" w:cs="Times New Roman"/>
                <w:color w:val="auto"/>
                <w:spacing w:val="4"/>
                <w:sz w:val="21"/>
                <w:szCs w:val="21"/>
                <w:lang w:val="en-US" w:eastAsia="zh-CN"/>
              </w:rPr>
              <w:t>30</w:t>
            </w:r>
          </w:p>
        </w:tc>
        <w:tc>
          <w:tcPr>
            <w:tcW w:w="852" w:type="pct"/>
            <w:gridSpan w:val="2"/>
            <w:tcBorders>
              <w:tl2br w:val="nil"/>
              <w:tr2bl w:val="nil"/>
            </w:tcBorders>
            <w:noWrap w:val="0"/>
            <w:vAlign w:val="center"/>
          </w:tcPr>
          <w:p w14:paraId="61C690DB">
            <w:pPr>
              <w:adjustRightInd w:val="0"/>
              <w:snapToGrid w:val="0"/>
              <w:spacing w:line="240" w:lineRule="exact"/>
              <w:jc w:val="center"/>
              <w:rPr>
                <w:rFonts w:ascii="Times New Roman" w:hAnsi="Times New Roman" w:cs="Times New Roman"/>
                <w:color w:val="auto"/>
                <w:spacing w:val="4"/>
                <w:sz w:val="21"/>
                <w:szCs w:val="21"/>
              </w:rPr>
            </w:pPr>
            <w:r>
              <w:rPr>
                <w:rFonts w:hint="eastAsia" w:cs="Times New Roman"/>
                <w:color w:val="auto"/>
                <w:spacing w:val="4"/>
                <w:sz w:val="21"/>
                <w:szCs w:val="21"/>
                <w:lang w:val="en-US" w:eastAsia="zh-CN"/>
              </w:rPr>
              <w:t>吨采出液</w:t>
            </w:r>
            <w:r>
              <w:rPr>
                <w:rFonts w:ascii="Times New Roman" w:hAnsi="Times New Roman" w:cs="Times New Roman"/>
                <w:color w:val="auto"/>
                <w:spacing w:val="4"/>
                <w:sz w:val="21"/>
                <w:szCs w:val="21"/>
              </w:rPr>
              <w:t>综合能耗</w:t>
            </w:r>
          </w:p>
        </w:tc>
        <w:tc>
          <w:tcPr>
            <w:tcW w:w="743" w:type="pct"/>
            <w:tcBorders>
              <w:tl2br w:val="nil"/>
              <w:tr2bl w:val="nil"/>
            </w:tcBorders>
            <w:noWrap w:val="0"/>
            <w:vAlign w:val="center"/>
          </w:tcPr>
          <w:p w14:paraId="19F50B5B">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kg标煤/t</w:t>
            </w:r>
            <w:r>
              <w:rPr>
                <w:rFonts w:hint="eastAsia" w:ascii="Times New Roman" w:hAnsi="Times New Roman" w:cs="Times New Roman"/>
                <w:color w:val="auto"/>
                <w:spacing w:val="4"/>
                <w:sz w:val="21"/>
                <w:szCs w:val="21"/>
              </w:rPr>
              <w:t>采出液</w:t>
            </w:r>
          </w:p>
        </w:tc>
        <w:tc>
          <w:tcPr>
            <w:tcW w:w="398" w:type="pct"/>
            <w:tcBorders>
              <w:tl2br w:val="nil"/>
              <w:tr2bl w:val="nil"/>
            </w:tcBorders>
            <w:noWrap w:val="0"/>
            <w:vAlign w:val="center"/>
          </w:tcPr>
          <w:p w14:paraId="22B71CAE">
            <w:pPr>
              <w:adjustRightInd w:val="0"/>
              <w:snapToGrid w:val="0"/>
              <w:spacing w:line="240" w:lineRule="exact"/>
              <w:jc w:val="center"/>
              <w:rPr>
                <w:rFonts w:hint="default" w:ascii="Times New Roman" w:hAnsi="Times New Roman" w:eastAsia="宋体" w:cs="Times New Roman"/>
                <w:color w:val="auto"/>
                <w:spacing w:val="4"/>
                <w:sz w:val="21"/>
                <w:szCs w:val="21"/>
                <w:lang w:val="en-US" w:eastAsia="zh-CN"/>
              </w:rPr>
            </w:pPr>
            <w:r>
              <w:rPr>
                <w:rFonts w:hint="eastAsia" w:cs="Times New Roman"/>
                <w:color w:val="auto"/>
                <w:spacing w:val="4"/>
                <w:sz w:val="21"/>
                <w:szCs w:val="21"/>
                <w:lang w:val="en-US" w:eastAsia="zh-CN"/>
              </w:rPr>
              <w:t>30</w:t>
            </w:r>
          </w:p>
        </w:tc>
        <w:tc>
          <w:tcPr>
            <w:tcW w:w="1103" w:type="pct"/>
            <w:gridSpan w:val="2"/>
            <w:tcBorders>
              <w:tl2br w:val="nil"/>
              <w:tr2bl w:val="nil"/>
            </w:tcBorders>
            <w:noWrap w:val="0"/>
            <w:vAlign w:val="center"/>
          </w:tcPr>
          <w:p w14:paraId="47C0F401">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稀油：≤65稠油：≤160</w:t>
            </w:r>
          </w:p>
          <w:p w14:paraId="00DCCB85">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天然气：</w:t>
            </w:r>
            <w:bookmarkStart w:id="479" w:name="OLE_LINK415"/>
            <w:r>
              <w:rPr>
                <w:rFonts w:ascii="Times New Roman" w:hAnsi="Times New Roman" w:cs="Times New Roman"/>
                <w:color w:val="auto"/>
                <w:spacing w:val="4"/>
                <w:sz w:val="21"/>
                <w:szCs w:val="21"/>
              </w:rPr>
              <w:t>≤50</w:t>
            </w:r>
            <w:bookmarkEnd w:id="479"/>
          </w:p>
        </w:tc>
        <w:tc>
          <w:tcPr>
            <w:tcW w:w="342" w:type="pct"/>
            <w:gridSpan w:val="2"/>
            <w:tcBorders>
              <w:tl2br w:val="nil"/>
              <w:tr2bl w:val="nil"/>
            </w:tcBorders>
            <w:noWrap w:val="0"/>
            <w:vAlign w:val="center"/>
          </w:tcPr>
          <w:p w14:paraId="41790076">
            <w:pPr>
              <w:adjustRightInd w:val="0"/>
              <w:snapToGrid w:val="0"/>
              <w:spacing w:line="240" w:lineRule="exact"/>
              <w:jc w:val="center"/>
              <w:rPr>
                <w:rFonts w:hint="eastAsia" w:ascii="Times New Roman" w:hAnsi="Times New Roman" w:cs="Times New Roman"/>
                <w:color w:val="auto"/>
                <w:spacing w:val="4"/>
                <w:sz w:val="21"/>
                <w:szCs w:val="21"/>
              </w:rPr>
            </w:pPr>
            <w:r>
              <w:rPr>
                <w:rFonts w:hint="eastAsia" w:cs="Times New Roman"/>
                <w:color w:val="auto"/>
                <w:spacing w:val="4"/>
                <w:sz w:val="21"/>
                <w:szCs w:val="21"/>
                <w:lang w:eastAsia="zh-CN"/>
              </w:rPr>
              <w:t>&lt;</w:t>
            </w:r>
            <w:r>
              <w:rPr>
                <w:rFonts w:ascii="Times New Roman" w:hAnsi="Times New Roman" w:cs="Times New Roman"/>
                <w:color w:val="auto"/>
                <w:spacing w:val="4"/>
                <w:sz w:val="21"/>
                <w:szCs w:val="21"/>
              </w:rPr>
              <w:t>50</w:t>
            </w:r>
          </w:p>
        </w:tc>
        <w:tc>
          <w:tcPr>
            <w:tcW w:w="304" w:type="pct"/>
            <w:tcBorders>
              <w:tl2br w:val="nil"/>
              <w:tr2bl w:val="nil"/>
            </w:tcBorders>
            <w:noWrap w:val="0"/>
            <w:vAlign w:val="center"/>
          </w:tcPr>
          <w:p w14:paraId="3C70B1ED">
            <w:pPr>
              <w:adjustRightInd w:val="0"/>
              <w:snapToGrid w:val="0"/>
              <w:spacing w:line="240" w:lineRule="exact"/>
              <w:jc w:val="center"/>
              <w:rPr>
                <w:rFonts w:ascii="Times New Roman" w:hAnsi="Times New Roman" w:cs="Times New Roman"/>
                <w:color w:val="auto"/>
                <w:spacing w:val="4"/>
                <w:sz w:val="21"/>
                <w:szCs w:val="21"/>
              </w:rPr>
            </w:pPr>
            <w:r>
              <w:rPr>
                <w:rFonts w:hint="eastAsia" w:ascii="Times New Roman" w:hAnsi="Times New Roman" w:cs="Times New Roman"/>
                <w:color w:val="auto"/>
                <w:spacing w:val="4"/>
                <w:sz w:val="21"/>
                <w:szCs w:val="21"/>
              </w:rPr>
              <w:t>30</w:t>
            </w:r>
          </w:p>
        </w:tc>
      </w:tr>
      <w:bookmarkEnd w:id="478"/>
      <w:tr w14:paraId="6A7FEF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20" w:type="pct"/>
            <w:vMerge w:val="restart"/>
            <w:tcBorders>
              <w:tl2br w:val="nil"/>
              <w:tr2bl w:val="nil"/>
            </w:tcBorders>
            <w:noWrap w:val="0"/>
            <w:vAlign w:val="center"/>
          </w:tcPr>
          <w:p w14:paraId="539B8447">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（2）资源综合利用指标</w:t>
            </w:r>
          </w:p>
        </w:tc>
        <w:tc>
          <w:tcPr>
            <w:tcW w:w="336" w:type="pct"/>
            <w:gridSpan w:val="2"/>
            <w:vMerge w:val="restart"/>
            <w:tcBorders>
              <w:tl2br w:val="nil"/>
              <w:tr2bl w:val="nil"/>
            </w:tcBorders>
            <w:noWrap w:val="0"/>
            <w:vAlign w:val="center"/>
          </w:tcPr>
          <w:p w14:paraId="2109FA51">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30</w:t>
            </w:r>
          </w:p>
        </w:tc>
        <w:tc>
          <w:tcPr>
            <w:tcW w:w="852" w:type="pct"/>
            <w:gridSpan w:val="2"/>
            <w:tcBorders>
              <w:tl2br w:val="nil"/>
              <w:tr2bl w:val="nil"/>
            </w:tcBorders>
            <w:noWrap w:val="0"/>
            <w:vAlign w:val="center"/>
          </w:tcPr>
          <w:p w14:paraId="69995E6B">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余热利用率</w:t>
            </w:r>
          </w:p>
        </w:tc>
        <w:tc>
          <w:tcPr>
            <w:tcW w:w="743" w:type="pct"/>
            <w:tcBorders>
              <w:tl2br w:val="nil"/>
              <w:tr2bl w:val="nil"/>
            </w:tcBorders>
            <w:noWrap w:val="0"/>
            <w:vAlign w:val="center"/>
          </w:tcPr>
          <w:p w14:paraId="334A0FB6">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w:t>
            </w:r>
          </w:p>
        </w:tc>
        <w:tc>
          <w:tcPr>
            <w:tcW w:w="398" w:type="pct"/>
            <w:tcBorders>
              <w:tl2br w:val="nil"/>
              <w:tr2bl w:val="nil"/>
            </w:tcBorders>
            <w:noWrap w:val="0"/>
            <w:vAlign w:val="center"/>
          </w:tcPr>
          <w:p w14:paraId="3D7E72BD">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10</w:t>
            </w:r>
          </w:p>
        </w:tc>
        <w:tc>
          <w:tcPr>
            <w:tcW w:w="1103" w:type="pct"/>
            <w:gridSpan w:val="2"/>
            <w:tcBorders>
              <w:tl2br w:val="nil"/>
              <w:tr2bl w:val="nil"/>
            </w:tcBorders>
            <w:noWrap w:val="0"/>
            <w:vAlign w:val="center"/>
          </w:tcPr>
          <w:p w14:paraId="220C2F7D">
            <w:pPr>
              <w:adjustRightInd w:val="0"/>
              <w:snapToGrid w:val="0"/>
              <w:spacing w:line="240" w:lineRule="exact"/>
              <w:jc w:val="center"/>
              <w:rPr>
                <w:rFonts w:ascii="Times New Roman" w:hAnsi="Times New Roman" w:cs="Times New Roman"/>
                <w:color w:val="auto"/>
                <w:spacing w:val="4"/>
                <w:sz w:val="21"/>
                <w:szCs w:val="21"/>
              </w:rPr>
            </w:pPr>
          </w:p>
        </w:tc>
        <w:tc>
          <w:tcPr>
            <w:tcW w:w="342" w:type="pct"/>
            <w:gridSpan w:val="2"/>
            <w:tcBorders>
              <w:tl2br w:val="nil"/>
              <w:tr2bl w:val="nil"/>
            </w:tcBorders>
            <w:noWrap w:val="0"/>
            <w:vAlign w:val="center"/>
          </w:tcPr>
          <w:p w14:paraId="063FAE54">
            <w:pPr>
              <w:adjustRightInd w:val="0"/>
              <w:snapToGrid w:val="0"/>
              <w:spacing w:line="240" w:lineRule="exact"/>
              <w:jc w:val="center"/>
              <w:rPr>
                <w:rFonts w:hint="eastAsia" w:ascii="Times New Roman" w:hAnsi="Times New Roman" w:cs="Times New Roman"/>
                <w:color w:val="auto"/>
                <w:spacing w:val="4"/>
                <w:sz w:val="21"/>
                <w:szCs w:val="21"/>
              </w:rPr>
            </w:pPr>
          </w:p>
        </w:tc>
        <w:tc>
          <w:tcPr>
            <w:tcW w:w="304" w:type="pct"/>
            <w:tcBorders>
              <w:tl2br w:val="nil"/>
              <w:tr2bl w:val="nil"/>
            </w:tcBorders>
            <w:noWrap w:val="0"/>
            <w:vAlign w:val="center"/>
          </w:tcPr>
          <w:p w14:paraId="38B04F0C">
            <w:pPr>
              <w:adjustRightInd w:val="0"/>
              <w:snapToGrid w:val="0"/>
              <w:spacing w:line="240" w:lineRule="exact"/>
              <w:jc w:val="center"/>
              <w:rPr>
                <w:rFonts w:hint="eastAsia" w:ascii="Times New Roman" w:hAnsi="Times New Roman" w:cs="Times New Roman"/>
                <w:color w:val="auto"/>
                <w:spacing w:val="4"/>
                <w:sz w:val="21"/>
                <w:szCs w:val="21"/>
              </w:rPr>
            </w:pPr>
            <w:r>
              <w:rPr>
                <w:rFonts w:hint="eastAsia" w:ascii="Times New Roman" w:hAnsi="Times New Roman" w:cs="Times New Roman"/>
                <w:color w:val="auto"/>
                <w:spacing w:val="4"/>
                <w:sz w:val="21"/>
                <w:szCs w:val="21"/>
              </w:rPr>
              <w:t>0</w:t>
            </w:r>
          </w:p>
        </w:tc>
      </w:tr>
      <w:tr w14:paraId="3F8AA2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20" w:type="pct"/>
            <w:vMerge w:val="continue"/>
            <w:tcBorders>
              <w:tl2br w:val="nil"/>
              <w:tr2bl w:val="nil"/>
            </w:tcBorders>
            <w:noWrap w:val="0"/>
            <w:vAlign w:val="center"/>
          </w:tcPr>
          <w:p w14:paraId="6630D984">
            <w:pPr>
              <w:adjustRightInd w:val="0"/>
              <w:snapToGrid w:val="0"/>
              <w:spacing w:line="240" w:lineRule="exact"/>
              <w:jc w:val="center"/>
              <w:rPr>
                <w:rFonts w:ascii="Times New Roman" w:hAnsi="Times New Roman" w:cs="Times New Roman"/>
                <w:color w:val="auto"/>
                <w:spacing w:val="4"/>
                <w:sz w:val="21"/>
                <w:szCs w:val="21"/>
              </w:rPr>
            </w:pPr>
          </w:p>
        </w:tc>
        <w:tc>
          <w:tcPr>
            <w:tcW w:w="336" w:type="pct"/>
            <w:gridSpan w:val="2"/>
            <w:vMerge w:val="continue"/>
            <w:tcBorders>
              <w:tl2br w:val="nil"/>
              <w:tr2bl w:val="nil"/>
            </w:tcBorders>
            <w:noWrap w:val="0"/>
            <w:vAlign w:val="center"/>
          </w:tcPr>
          <w:p w14:paraId="753A1FB4">
            <w:pPr>
              <w:adjustRightInd w:val="0"/>
              <w:snapToGrid w:val="0"/>
              <w:spacing w:line="240" w:lineRule="exact"/>
              <w:jc w:val="center"/>
              <w:rPr>
                <w:rFonts w:ascii="Times New Roman" w:hAnsi="Times New Roman" w:cs="Times New Roman"/>
                <w:color w:val="auto"/>
                <w:spacing w:val="4"/>
                <w:sz w:val="21"/>
                <w:szCs w:val="21"/>
              </w:rPr>
            </w:pPr>
          </w:p>
        </w:tc>
        <w:tc>
          <w:tcPr>
            <w:tcW w:w="852" w:type="pct"/>
            <w:gridSpan w:val="2"/>
            <w:tcBorders>
              <w:tl2br w:val="nil"/>
              <w:tr2bl w:val="nil"/>
            </w:tcBorders>
            <w:noWrap w:val="0"/>
            <w:vAlign w:val="center"/>
          </w:tcPr>
          <w:p w14:paraId="7FC573A4">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油井伴生气回收利用率</w:t>
            </w:r>
          </w:p>
        </w:tc>
        <w:tc>
          <w:tcPr>
            <w:tcW w:w="743" w:type="pct"/>
            <w:tcBorders>
              <w:tl2br w:val="nil"/>
              <w:tr2bl w:val="nil"/>
            </w:tcBorders>
            <w:noWrap w:val="0"/>
            <w:vAlign w:val="center"/>
          </w:tcPr>
          <w:p w14:paraId="5D28E78B">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w:t>
            </w:r>
          </w:p>
        </w:tc>
        <w:tc>
          <w:tcPr>
            <w:tcW w:w="398" w:type="pct"/>
            <w:tcBorders>
              <w:tl2br w:val="nil"/>
              <w:tr2bl w:val="nil"/>
            </w:tcBorders>
            <w:noWrap w:val="0"/>
            <w:vAlign w:val="center"/>
          </w:tcPr>
          <w:p w14:paraId="27C0E78B">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10</w:t>
            </w:r>
          </w:p>
        </w:tc>
        <w:tc>
          <w:tcPr>
            <w:tcW w:w="1103" w:type="pct"/>
            <w:gridSpan w:val="2"/>
            <w:tcBorders>
              <w:tl2br w:val="nil"/>
              <w:tr2bl w:val="nil"/>
            </w:tcBorders>
            <w:noWrap w:val="0"/>
            <w:vAlign w:val="center"/>
          </w:tcPr>
          <w:p w14:paraId="602F7B8E">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≥80</w:t>
            </w:r>
          </w:p>
        </w:tc>
        <w:tc>
          <w:tcPr>
            <w:tcW w:w="342" w:type="pct"/>
            <w:gridSpan w:val="2"/>
            <w:tcBorders>
              <w:tl2br w:val="nil"/>
              <w:tr2bl w:val="nil"/>
            </w:tcBorders>
            <w:noWrap w:val="0"/>
            <w:vAlign w:val="center"/>
          </w:tcPr>
          <w:p w14:paraId="7D2A6654">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100</w:t>
            </w:r>
          </w:p>
        </w:tc>
        <w:tc>
          <w:tcPr>
            <w:tcW w:w="304" w:type="pct"/>
            <w:tcBorders>
              <w:tl2br w:val="nil"/>
              <w:tr2bl w:val="nil"/>
            </w:tcBorders>
            <w:noWrap w:val="0"/>
            <w:vAlign w:val="center"/>
          </w:tcPr>
          <w:p w14:paraId="088FCD59">
            <w:pPr>
              <w:adjustRightInd w:val="0"/>
              <w:snapToGrid w:val="0"/>
              <w:spacing w:line="240" w:lineRule="exact"/>
              <w:jc w:val="center"/>
              <w:rPr>
                <w:rFonts w:hint="eastAsia" w:ascii="Times New Roman" w:hAnsi="Times New Roman" w:cs="Times New Roman"/>
                <w:color w:val="auto"/>
                <w:spacing w:val="4"/>
                <w:sz w:val="21"/>
                <w:szCs w:val="21"/>
              </w:rPr>
            </w:pPr>
            <w:r>
              <w:rPr>
                <w:rFonts w:hint="eastAsia" w:ascii="Times New Roman" w:hAnsi="Times New Roman" w:cs="Times New Roman"/>
                <w:color w:val="auto"/>
                <w:spacing w:val="4"/>
                <w:sz w:val="21"/>
                <w:szCs w:val="21"/>
              </w:rPr>
              <w:t>10</w:t>
            </w:r>
          </w:p>
        </w:tc>
      </w:tr>
      <w:tr w14:paraId="49B5A6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20" w:type="pct"/>
            <w:vMerge w:val="continue"/>
            <w:tcBorders>
              <w:tl2br w:val="nil"/>
              <w:tr2bl w:val="nil"/>
            </w:tcBorders>
            <w:noWrap w:val="0"/>
            <w:vAlign w:val="center"/>
          </w:tcPr>
          <w:p w14:paraId="22A57117">
            <w:pPr>
              <w:adjustRightInd w:val="0"/>
              <w:snapToGrid w:val="0"/>
              <w:spacing w:line="240" w:lineRule="exact"/>
              <w:jc w:val="center"/>
              <w:rPr>
                <w:rFonts w:ascii="Times New Roman" w:hAnsi="Times New Roman" w:cs="Times New Roman"/>
                <w:color w:val="auto"/>
                <w:spacing w:val="4"/>
                <w:sz w:val="21"/>
                <w:szCs w:val="21"/>
              </w:rPr>
            </w:pPr>
          </w:p>
        </w:tc>
        <w:tc>
          <w:tcPr>
            <w:tcW w:w="336" w:type="pct"/>
            <w:gridSpan w:val="2"/>
            <w:vMerge w:val="continue"/>
            <w:tcBorders>
              <w:tl2br w:val="nil"/>
              <w:tr2bl w:val="nil"/>
            </w:tcBorders>
            <w:noWrap w:val="0"/>
            <w:vAlign w:val="center"/>
          </w:tcPr>
          <w:p w14:paraId="27FAFDB9">
            <w:pPr>
              <w:adjustRightInd w:val="0"/>
              <w:snapToGrid w:val="0"/>
              <w:spacing w:line="240" w:lineRule="exact"/>
              <w:jc w:val="center"/>
              <w:rPr>
                <w:rFonts w:ascii="Times New Roman" w:hAnsi="Times New Roman" w:cs="Times New Roman"/>
                <w:color w:val="auto"/>
                <w:spacing w:val="4"/>
                <w:sz w:val="21"/>
                <w:szCs w:val="21"/>
              </w:rPr>
            </w:pPr>
          </w:p>
        </w:tc>
        <w:tc>
          <w:tcPr>
            <w:tcW w:w="852" w:type="pct"/>
            <w:gridSpan w:val="2"/>
            <w:tcBorders>
              <w:tl2br w:val="nil"/>
              <w:tr2bl w:val="nil"/>
            </w:tcBorders>
            <w:noWrap w:val="0"/>
            <w:vAlign w:val="center"/>
          </w:tcPr>
          <w:p w14:paraId="255F50AB">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含油污泥资源化利用率</w:t>
            </w:r>
          </w:p>
        </w:tc>
        <w:tc>
          <w:tcPr>
            <w:tcW w:w="743" w:type="pct"/>
            <w:tcBorders>
              <w:tl2br w:val="nil"/>
              <w:tr2bl w:val="nil"/>
            </w:tcBorders>
            <w:noWrap w:val="0"/>
            <w:vAlign w:val="center"/>
          </w:tcPr>
          <w:p w14:paraId="1F323DD2">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w:t>
            </w:r>
          </w:p>
        </w:tc>
        <w:tc>
          <w:tcPr>
            <w:tcW w:w="398" w:type="pct"/>
            <w:tcBorders>
              <w:tl2br w:val="nil"/>
              <w:tr2bl w:val="nil"/>
            </w:tcBorders>
            <w:noWrap w:val="0"/>
            <w:vAlign w:val="center"/>
          </w:tcPr>
          <w:p w14:paraId="1F81ADEE">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10</w:t>
            </w:r>
          </w:p>
        </w:tc>
        <w:tc>
          <w:tcPr>
            <w:tcW w:w="1103" w:type="pct"/>
            <w:gridSpan w:val="2"/>
            <w:tcBorders>
              <w:tl2br w:val="nil"/>
              <w:tr2bl w:val="nil"/>
            </w:tcBorders>
            <w:noWrap w:val="0"/>
            <w:vAlign w:val="center"/>
          </w:tcPr>
          <w:p w14:paraId="54955971">
            <w:pPr>
              <w:adjustRightInd w:val="0"/>
              <w:snapToGrid w:val="0"/>
              <w:spacing w:line="240" w:lineRule="exact"/>
              <w:jc w:val="center"/>
              <w:rPr>
                <w:rFonts w:ascii="Times New Roman" w:hAnsi="Times New Roman" w:cs="Times New Roman"/>
                <w:color w:val="auto"/>
                <w:spacing w:val="4"/>
                <w:sz w:val="21"/>
                <w:szCs w:val="21"/>
              </w:rPr>
            </w:pPr>
          </w:p>
        </w:tc>
        <w:tc>
          <w:tcPr>
            <w:tcW w:w="342" w:type="pct"/>
            <w:gridSpan w:val="2"/>
            <w:tcBorders>
              <w:tl2br w:val="nil"/>
              <w:tr2bl w:val="nil"/>
            </w:tcBorders>
            <w:noWrap w:val="0"/>
            <w:vAlign w:val="center"/>
          </w:tcPr>
          <w:p w14:paraId="323D923E">
            <w:pPr>
              <w:adjustRightInd w:val="0"/>
              <w:snapToGrid w:val="0"/>
              <w:spacing w:line="240" w:lineRule="exact"/>
              <w:jc w:val="center"/>
              <w:rPr>
                <w:rFonts w:ascii="Times New Roman" w:hAnsi="Times New Roman" w:cs="Times New Roman"/>
                <w:color w:val="auto"/>
                <w:spacing w:val="4"/>
                <w:sz w:val="21"/>
                <w:szCs w:val="21"/>
              </w:rPr>
            </w:pPr>
          </w:p>
        </w:tc>
        <w:tc>
          <w:tcPr>
            <w:tcW w:w="304" w:type="pct"/>
            <w:tcBorders>
              <w:tl2br w:val="nil"/>
              <w:tr2bl w:val="nil"/>
            </w:tcBorders>
            <w:noWrap w:val="0"/>
            <w:vAlign w:val="center"/>
          </w:tcPr>
          <w:p w14:paraId="7C46162B">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10</w:t>
            </w:r>
          </w:p>
        </w:tc>
      </w:tr>
      <w:tr w14:paraId="4B9717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20" w:type="pct"/>
            <w:vMerge w:val="restart"/>
            <w:tcBorders>
              <w:tl2br w:val="nil"/>
              <w:tr2bl w:val="nil"/>
            </w:tcBorders>
            <w:noWrap w:val="0"/>
            <w:vAlign w:val="center"/>
          </w:tcPr>
          <w:p w14:paraId="1AB4BA34">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（3）污染物产生指标</w:t>
            </w:r>
          </w:p>
        </w:tc>
        <w:tc>
          <w:tcPr>
            <w:tcW w:w="336" w:type="pct"/>
            <w:gridSpan w:val="2"/>
            <w:vMerge w:val="restart"/>
            <w:tcBorders>
              <w:tl2br w:val="nil"/>
              <w:tr2bl w:val="nil"/>
            </w:tcBorders>
            <w:noWrap w:val="0"/>
            <w:vAlign w:val="center"/>
          </w:tcPr>
          <w:p w14:paraId="2CAB98CC">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40</w:t>
            </w:r>
          </w:p>
        </w:tc>
        <w:tc>
          <w:tcPr>
            <w:tcW w:w="852" w:type="pct"/>
            <w:gridSpan w:val="2"/>
            <w:tcBorders>
              <w:tl2br w:val="nil"/>
              <w:tr2bl w:val="nil"/>
            </w:tcBorders>
            <w:noWrap w:val="0"/>
            <w:vAlign w:val="center"/>
          </w:tcPr>
          <w:p w14:paraId="42B4E721">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石油类</w:t>
            </w:r>
          </w:p>
        </w:tc>
        <w:tc>
          <w:tcPr>
            <w:tcW w:w="743" w:type="pct"/>
            <w:tcBorders>
              <w:tl2br w:val="nil"/>
              <w:tr2bl w:val="nil"/>
            </w:tcBorders>
            <w:noWrap w:val="0"/>
            <w:vAlign w:val="center"/>
          </w:tcPr>
          <w:p w14:paraId="00B7387E">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w:t>
            </w:r>
          </w:p>
        </w:tc>
        <w:tc>
          <w:tcPr>
            <w:tcW w:w="398" w:type="pct"/>
            <w:tcBorders>
              <w:tl2br w:val="nil"/>
              <w:tr2bl w:val="nil"/>
            </w:tcBorders>
            <w:noWrap w:val="0"/>
            <w:vAlign w:val="center"/>
          </w:tcPr>
          <w:p w14:paraId="75B87887">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5</w:t>
            </w:r>
          </w:p>
        </w:tc>
        <w:tc>
          <w:tcPr>
            <w:tcW w:w="1103" w:type="pct"/>
            <w:gridSpan w:val="2"/>
            <w:tcBorders>
              <w:tl2br w:val="nil"/>
              <w:tr2bl w:val="nil"/>
            </w:tcBorders>
            <w:noWrap w:val="0"/>
            <w:vAlign w:val="center"/>
          </w:tcPr>
          <w:p w14:paraId="48991036">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≤10</w:t>
            </w:r>
          </w:p>
        </w:tc>
        <w:tc>
          <w:tcPr>
            <w:tcW w:w="342" w:type="pct"/>
            <w:gridSpan w:val="2"/>
            <w:tcBorders>
              <w:tl2br w:val="nil"/>
              <w:tr2bl w:val="nil"/>
            </w:tcBorders>
            <w:noWrap w:val="0"/>
            <w:vAlign w:val="center"/>
          </w:tcPr>
          <w:p w14:paraId="3B487E8C">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0</w:t>
            </w:r>
          </w:p>
        </w:tc>
        <w:tc>
          <w:tcPr>
            <w:tcW w:w="304" w:type="pct"/>
            <w:tcBorders>
              <w:tl2br w:val="nil"/>
              <w:tr2bl w:val="nil"/>
            </w:tcBorders>
            <w:noWrap w:val="0"/>
            <w:vAlign w:val="center"/>
          </w:tcPr>
          <w:p w14:paraId="7B5A2170">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5</w:t>
            </w:r>
          </w:p>
        </w:tc>
      </w:tr>
      <w:tr w14:paraId="557D9F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20" w:type="pct"/>
            <w:vMerge w:val="continue"/>
            <w:tcBorders>
              <w:tl2br w:val="nil"/>
              <w:tr2bl w:val="nil"/>
            </w:tcBorders>
            <w:noWrap w:val="0"/>
            <w:vAlign w:val="center"/>
          </w:tcPr>
          <w:p w14:paraId="3CDEB2FC">
            <w:pPr>
              <w:adjustRightInd w:val="0"/>
              <w:snapToGrid w:val="0"/>
              <w:spacing w:line="240" w:lineRule="exact"/>
              <w:jc w:val="center"/>
              <w:rPr>
                <w:rFonts w:ascii="Times New Roman" w:hAnsi="Times New Roman" w:cs="Times New Roman"/>
                <w:color w:val="auto"/>
                <w:spacing w:val="4"/>
                <w:sz w:val="21"/>
                <w:szCs w:val="21"/>
              </w:rPr>
            </w:pPr>
          </w:p>
        </w:tc>
        <w:tc>
          <w:tcPr>
            <w:tcW w:w="336" w:type="pct"/>
            <w:gridSpan w:val="2"/>
            <w:vMerge w:val="continue"/>
            <w:tcBorders>
              <w:tl2br w:val="nil"/>
              <w:tr2bl w:val="nil"/>
            </w:tcBorders>
            <w:noWrap w:val="0"/>
            <w:vAlign w:val="center"/>
          </w:tcPr>
          <w:p w14:paraId="4DBC94C7">
            <w:pPr>
              <w:adjustRightInd w:val="0"/>
              <w:snapToGrid w:val="0"/>
              <w:spacing w:line="240" w:lineRule="exact"/>
              <w:jc w:val="center"/>
              <w:rPr>
                <w:rFonts w:ascii="Times New Roman" w:hAnsi="Times New Roman" w:cs="Times New Roman"/>
                <w:color w:val="auto"/>
                <w:spacing w:val="4"/>
                <w:sz w:val="21"/>
                <w:szCs w:val="21"/>
              </w:rPr>
            </w:pPr>
          </w:p>
        </w:tc>
        <w:tc>
          <w:tcPr>
            <w:tcW w:w="852" w:type="pct"/>
            <w:gridSpan w:val="2"/>
            <w:tcBorders>
              <w:tl2br w:val="nil"/>
              <w:tr2bl w:val="nil"/>
            </w:tcBorders>
            <w:noWrap w:val="0"/>
            <w:vAlign w:val="center"/>
          </w:tcPr>
          <w:p w14:paraId="66D1E2F1">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COD</w:t>
            </w:r>
          </w:p>
        </w:tc>
        <w:tc>
          <w:tcPr>
            <w:tcW w:w="743" w:type="pct"/>
            <w:tcBorders>
              <w:tl2br w:val="nil"/>
              <w:tr2bl w:val="nil"/>
            </w:tcBorders>
            <w:noWrap w:val="0"/>
            <w:vAlign w:val="center"/>
          </w:tcPr>
          <w:p w14:paraId="0B0500DF">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w:t>
            </w:r>
          </w:p>
        </w:tc>
        <w:tc>
          <w:tcPr>
            <w:tcW w:w="398" w:type="pct"/>
            <w:tcBorders>
              <w:tl2br w:val="nil"/>
              <w:tr2bl w:val="nil"/>
            </w:tcBorders>
            <w:noWrap w:val="0"/>
            <w:vAlign w:val="center"/>
          </w:tcPr>
          <w:p w14:paraId="501D0257">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5</w:t>
            </w:r>
          </w:p>
        </w:tc>
        <w:tc>
          <w:tcPr>
            <w:tcW w:w="1103" w:type="pct"/>
            <w:gridSpan w:val="2"/>
            <w:tcBorders>
              <w:tl2br w:val="nil"/>
              <w:tr2bl w:val="nil"/>
            </w:tcBorders>
            <w:noWrap w:val="0"/>
            <w:vAlign w:val="center"/>
          </w:tcPr>
          <w:p w14:paraId="2DC880E2">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甲类区：≤100；乙类区：≤150</w:t>
            </w:r>
          </w:p>
        </w:tc>
        <w:tc>
          <w:tcPr>
            <w:tcW w:w="342" w:type="pct"/>
            <w:gridSpan w:val="2"/>
            <w:tcBorders>
              <w:tl2br w:val="nil"/>
              <w:tr2bl w:val="nil"/>
            </w:tcBorders>
            <w:noWrap w:val="0"/>
            <w:vAlign w:val="center"/>
          </w:tcPr>
          <w:p w14:paraId="3A531D66">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0</w:t>
            </w:r>
          </w:p>
        </w:tc>
        <w:tc>
          <w:tcPr>
            <w:tcW w:w="304" w:type="pct"/>
            <w:tcBorders>
              <w:tl2br w:val="nil"/>
              <w:tr2bl w:val="nil"/>
            </w:tcBorders>
            <w:noWrap w:val="0"/>
            <w:vAlign w:val="center"/>
          </w:tcPr>
          <w:p w14:paraId="21830F68">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5</w:t>
            </w:r>
          </w:p>
        </w:tc>
      </w:tr>
      <w:tr w14:paraId="6BBA0C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20" w:type="pct"/>
            <w:vMerge w:val="continue"/>
            <w:tcBorders>
              <w:tl2br w:val="nil"/>
              <w:tr2bl w:val="nil"/>
            </w:tcBorders>
            <w:noWrap w:val="0"/>
            <w:vAlign w:val="center"/>
          </w:tcPr>
          <w:p w14:paraId="520E49E1">
            <w:pPr>
              <w:adjustRightInd w:val="0"/>
              <w:snapToGrid w:val="0"/>
              <w:spacing w:line="240" w:lineRule="exact"/>
              <w:jc w:val="center"/>
              <w:rPr>
                <w:rFonts w:ascii="Times New Roman" w:hAnsi="Times New Roman" w:cs="Times New Roman"/>
                <w:color w:val="auto"/>
                <w:spacing w:val="4"/>
                <w:sz w:val="21"/>
                <w:szCs w:val="21"/>
              </w:rPr>
            </w:pPr>
          </w:p>
        </w:tc>
        <w:tc>
          <w:tcPr>
            <w:tcW w:w="336" w:type="pct"/>
            <w:gridSpan w:val="2"/>
            <w:vMerge w:val="continue"/>
            <w:tcBorders>
              <w:tl2br w:val="nil"/>
              <w:tr2bl w:val="nil"/>
            </w:tcBorders>
            <w:noWrap w:val="0"/>
            <w:vAlign w:val="center"/>
          </w:tcPr>
          <w:p w14:paraId="217B68CD">
            <w:pPr>
              <w:adjustRightInd w:val="0"/>
              <w:snapToGrid w:val="0"/>
              <w:spacing w:line="240" w:lineRule="exact"/>
              <w:jc w:val="center"/>
              <w:rPr>
                <w:rFonts w:ascii="Times New Roman" w:hAnsi="Times New Roman" w:cs="Times New Roman"/>
                <w:color w:val="auto"/>
                <w:spacing w:val="4"/>
                <w:sz w:val="21"/>
                <w:szCs w:val="21"/>
              </w:rPr>
            </w:pPr>
          </w:p>
        </w:tc>
        <w:tc>
          <w:tcPr>
            <w:tcW w:w="852" w:type="pct"/>
            <w:gridSpan w:val="2"/>
            <w:tcBorders>
              <w:tl2br w:val="nil"/>
              <w:tr2bl w:val="nil"/>
            </w:tcBorders>
            <w:noWrap w:val="0"/>
            <w:vAlign w:val="center"/>
          </w:tcPr>
          <w:p w14:paraId="77A82AB3">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落地原油回收利用率</w:t>
            </w:r>
          </w:p>
        </w:tc>
        <w:tc>
          <w:tcPr>
            <w:tcW w:w="743" w:type="pct"/>
            <w:tcBorders>
              <w:tl2br w:val="nil"/>
              <w:tr2bl w:val="nil"/>
            </w:tcBorders>
            <w:noWrap w:val="0"/>
            <w:vAlign w:val="center"/>
          </w:tcPr>
          <w:p w14:paraId="7BC639B4">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w:t>
            </w:r>
          </w:p>
        </w:tc>
        <w:tc>
          <w:tcPr>
            <w:tcW w:w="398" w:type="pct"/>
            <w:tcBorders>
              <w:tl2br w:val="nil"/>
              <w:tr2bl w:val="nil"/>
            </w:tcBorders>
            <w:noWrap w:val="0"/>
            <w:vAlign w:val="center"/>
          </w:tcPr>
          <w:p w14:paraId="09DD4494">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10</w:t>
            </w:r>
          </w:p>
        </w:tc>
        <w:tc>
          <w:tcPr>
            <w:tcW w:w="1103" w:type="pct"/>
            <w:gridSpan w:val="2"/>
            <w:tcBorders>
              <w:tl2br w:val="nil"/>
              <w:tr2bl w:val="nil"/>
            </w:tcBorders>
            <w:noWrap w:val="0"/>
            <w:vAlign w:val="center"/>
          </w:tcPr>
          <w:p w14:paraId="6686BB06">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100</w:t>
            </w:r>
          </w:p>
        </w:tc>
        <w:tc>
          <w:tcPr>
            <w:tcW w:w="342" w:type="pct"/>
            <w:gridSpan w:val="2"/>
            <w:tcBorders>
              <w:tl2br w:val="nil"/>
              <w:tr2bl w:val="nil"/>
            </w:tcBorders>
            <w:noWrap w:val="0"/>
            <w:vAlign w:val="center"/>
          </w:tcPr>
          <w:p w14:paraId="751C329E">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100</w:t>
            </w:r>
          </w:p>
        </w:tc>
        <w:tc>
          <w:tcPr>
            <w:tcW w:w="304" w:type="pct"/>
            <w:tcBorders>
              <w:tl2br w:val="nil"/>
              <w:tr2bl w:val="nil"/>
            </w:tcBorders>
            <w:noWrap w:val="0"/>
            <w:vAlign w:val="center"/>
          </w:tcPr>
          <w:p w14:paraId="155B6D2C">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10</w:t>
            </w:r>
          </w:p>
        </w:tc>
      </w:tr>
      <w:tr w14:paraId="3C82E6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20" w:type="pct"/>
            <w:vMerge w:val="continue"/>
            <w:tcBorders>
              <w:tl2br w:val="nil"/>
              <w:tr2bl w:val="nil"/>
            </w:tcBorders>
            <w:noWrap w:val="0"/>
            <w:vAlign w:val="center"/>
          </w:tcPr>
          <w:p w14:paraId="1BB97412">
            <w:pPr>
              <w:adjustRightInd w:val="0"/>
              <w:snapToGrid w:val="0"/>
              <w:spacing w:line="240" w:lineRule="exact"/>
              <w:jc w:val="center"/>
              <w:rPr>
                <w:rFonts w:ascii="Times New Roman" w:hAnsi="Times New Roman" w:cs="Times New Roman"/>
                <w:color w:val="auto"/>
                <w:spacing w:val="4"/>
                <w:sz w:val="21"/>
                <w:szCs w:val="21"/>
              </w:rPr>
            </w:pPr>
          </w:p>
        </w:tc>
        <w:tc>
          <w:tcPr>
            <w:tcW w:w="336" w:type="pct"/>
            <w:gridSpan w:val="2"/>
            <w:vMerge w:val="continue"/>
            <w:tcBorders>
              <w:tl2br w:val="nil"/>
              <w:tr2bl w:val="nil"/>
            </w:tcBorders>
            <w:noWrap w:val="0"/>
            <w:vAlign w:val="center"/>
          </w:tcPr>
          <w:p w14:paraId="6153227B">
            <w:pPr>
              <w:adjustRightInd w:val="0"/>
              <w:snapToGrid w:val="0"/>
              <w:spacing w:line="240" w:lineRule="exact"/>
              <w:jc w:val="center"/>
              <w:rPr>
                <w:rFonts w:ascii="Times New Roman" w:hAnsi="Times New Roman" w:cs="Times New Roman"/>
                <w:color w:val="auto"/>
                <w:spacing w:val="4"/>
                <w:sz w:val="21"/>
                <w:szCs w:val="21"/>
              </w:rPr>
            </w:pPr>
          </w:p>
        </w:tc>
        <w:tc>
          <w:tcPr>
            <w:tcW w:w="852" w:type="pct"/>
            <w:gridSpan w:val="2"/>
            <w:tcBorders>
              <w:tl2br w:val="nil"/>
              <w:tr2bl w:val="nil"/>
            </w:tcBorders>
            <w:noWrap w:val="0"/>
            <w:vAlign w:val="center"/>
          </w:tcPr>
          <w:p w14:paraId="59AEFFAC">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采油废水回用率</w:t>
            </w:r>
          </w:p>
        </w:tc>
        <w:tc>
          <w:tcPr>
            <w:tcW w:w="743" w:type="pct"/>
            <w:tcBorders>
              <w:tl2br w:val="nil"/>
              <w:tr2bl w:val="nil"/>
            </w:tcBorders>
            <w:noWrap w:val="0"/>
            <w:vAlign w:val="center"/>
          </w:tcPr>
          <w:p w14:paraId="2B3FA6B2">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w:t>
            </w:r>
          </w:p>
        </w:tc>
        <w:tc>
          <w:tcPr>
            <w:tcW w:w="398" w:type="pct"/>
            <w:tcBorders>
              <w:tl2br w:val="nil"/>
              <w:tr2bl w:val="nil"/>
            </w:tcBorders>
            <w:noWrap w:val="0"/>
            <w:vAlign w:val="center"/>
          </w:tcPr>
          <w:p w14:paraId="553AB449">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10</w:t>
            </w:r>
          </w:p>
        </w:tc>
        <w:tc>
          <w:tcPr>
            <w:tcW w:w="1103" w:type="pct"/>
            <w:gridSpan w:val="2"/>
            <w:tcBorders>
              <w:tl2br w:val="nil"/>
              <w:tr2bl w:val="nil"/>
            </w:tcBorders>
            <w:noWrap w:val="0"/>
            <w:vAlign w:val="center"/>
          </w:tcPr>
          <w:p w14:paraId="3D38D2DE">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≥60</w:t>
            </w:r>
          </w:p>
        </w:tc>
        <w:tc>
          <w:tcPr>
            <w:tcW w:w="342" w:type="pct"/>
            <w:gridSpan w:val="2"/>
            <w:tcBorders>
              <w:tl2br w:val="nil"/>
              <w:tr2bl w:val="nil"/>
            </w:tcBorders>
            <w:noWrap w:val="0"/>
            <w:vAlign w:val="center"/>
          </w:tcPr>
          <w:p w14:paraId="05CD597F">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100</w:t>
            </w:r>
          </w:p>
        </w:tc>
        <w:tc>
          <w:tcPr>
            <w:tcW w:w="304" w:type="pct"/>
            <w:tcBorders>
              <w:tl2br w:val="nil"/>
              <w:tr2bl w:val="nil"/>
            </w:tcBorders>
            <w:noWrap w:val="0"/>
            <w:vAlign w:val="center"/>
          </w:tcPr>
          <w:p w14:paraId="5912827C">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10</w:t>
            </w:r>
          </w:p>
        </w:tc>
      </w:tr>
      <w:tr w14:paraId="5FB343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20" w:type="pct"/>
            <w:vMerge w:val="continue"/>
            <w:tcBorders>
              <w:tl2br w:val="nil"/>
              <w:tr2bl w:val="nil"/>
            </w:tcBorders>
            <w:noWrap w:val="0"/>
            <w:vAlign w:val="center"/>
          </w:tcPr>
          <w:p w14:paraId="7FDD9EC9">
            <w:pPr>
              <w:adjustRightInd w:val="0"/>
              <w:snapToGrid w:val="0"/>
              <w:spacing w:line="240" w:lineRule="exact"/>
              <w:jc w:val="center"/>
              <w:rPr>
                <w:rFonts w:ascii="Times New Roman" w:hAnsi="Times New Roman" w:cs="Times New Roman"/>
                <w:color w:val="auto"/>
                <w:spacing w:val="4"/>
                <w:sz w:val="21"/>
                <w:szCs w:val="21"/>
              </w:rPr>
            </w:pPr>
          </w:p>
        </w:tc>
        <w:tc>
          <w:tcPr>
            <w:tcW w:w="336" w:type="pct"/>
            <w:gridSpan w:val="2"/>
            <w:vMerge w:val="continue"/>
            <w:tcBorders>
              <w:tl2br w:val="nil"/>
              <w:tr2bl w:val="nil"/>
            </w:tcBorders>
            <w:noWrap w:val="0"/>
            <w:vAlign w:val="center"/>
          </w:tcPr>
          <w:p w14:paraId="1C9AFCBF">
            <w:pPr>
              <w:adjustRightInd w:val="0"/>
              <w:snapToGrid w:val="0"/>
              <w:spacing w:line="240" w:lineRule="exact"/>
              <w:jc w:val="center"/>
              <w:rPr>
                <w:rFonts w:ascii="Times New Roman" w:hAnsi="Times New Roman" w:cs="Times New Roman"/>
                <w:color w:val="auto"/>
                <w:spacing w:val="4"/>
                <w:sz w:val="21"/>
                <w:szCs w:val="21"/>
              </w:rPr>
            </w:pPr>
          </w:p>
        </w:tc>
        <w:tc>
          <w:tcPr>
            <w:tcW w:w="852" w:type="pct"/>
            <w:gridSpan w:val="2"/>
            <w:tcBorders>
              <w:tl2br w:val="nil"/>
              <w:tr2bl w:val="nil"/>
            </w:tcBorders>
            <w:noWrap w:val="0"/>
            <w:vAlign w:val="center"/>
          </w:tcPr>
          <w:p w14:paraId="3CFDE7C1">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油井伴生气外排率</w:t>
            </w:r>
          </w:p>
        </w:tc>
        <w:tc>
          <w:tcPr>
            <w:tcW w:w="743" w:type="pct"/>
            <w:tcBorders>
              <w:tl2br w:val="nil"/>
              <w:tr2bl w:val="nil"/>
            </w:tcBorders>
            <w:noWrap w:val="0"/>
            <w:vAlign w:val="center"/>
          </w:tcPr>
          <w:p w14:paraId="6C87FCB6">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w:t>
            </w:r>
          </w:p>
        </w:tc>
        <w:tc>
          <w:tcPr>
            <w:tcW w:w="398" w:type="pct"/>
            <w:tcBorders>
              <w:tl2br w:val="nil"/>
              <w:tr2bl w:val="nil"/>
            </w:tcBorders>
            <w:noWrap w:val="0"/>
            <w:vAlign w:val="center"/>
          </w:tcPr>
          <w:p w14:paraId="32C177C1">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10</w:t>
            </w:r>
          </w:p>
        </w:tc>
        <w:tc>
          <w:tcPr>
            <w:tcW w:w="1103" w:type="pct"/>
            <w:gridSpan w:val="2"/>
            <w:tcBorders>
              <w:tl2br w:val="nil"/>
              <w:tr2bl w:val="nil"/>
            </w:tcBorders>
            <w:noWrap w:val="0"/>
            <w:vAlign w:val="center"/>
          </w:tcPr>
          <w:p w14:paraId="17C7D8C7">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≤20</w:t>
            </w:r>
          </w:p>
        </w:tc>
        <w:tc>
          <w:tcPr>
            <w:tcW w:w="342" w:type="pct"/>
            <w:gridSpan w:val="2"/>
            <w:tcBorders>
              <w:tl2br w:val="nil"/>
              <w:tr2bl w:val="nil"/>
            </w:tcBorders>
            <w:noWrap w:val="0"/>
            <w:vAlign w:val="center"/>
          </w:tcPr>
          <w:p w14:paraId="5F45A67F">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0</w:t>
            </w:r>
          </w:p>
        </w:tc>
        <w:tc>
          <w:tcPr>
            <w:tcW w:w="304" w:type="pct"/>
            <w:tcBorders>
              <w:tl2br w:val="nil"/>
              <w:tr2bl w:val="nil"/>
            </w:tcBorders>
            <w:noWrap w:val="0"/>
            <w:vAlign w:val="center"/>
          </w:tcPr>
          <w:p w14:paraId="3D47F143">
            <w:pPr>
              <w:adjustRightInd w:val="0"/>
              <w:snapToGrid w:val="0"/>
              <w:spacing w:line="240" w:lineRule="exact"/>
              <w:jc w:val="center"/>
              <w:rPr>
                <w:rFonts w:ascii="Times New Roman" w:hAnsi="Times New Roman" w:cs="Times New Roman"/>
                <w:color w:val="auto"/>
                <w:spacing w:val="4"/>
                <w:sz w:val="21"/>
                <w:szCs w:val="21"/>
              </w:rPr>
            </w:pPr>
            <w:r>
              <w:rPr>
                <w:rFonts w:hint="eastAsia" w:ascii="Times New Roman" w:hAnsi="Times New Roman" w:cs="Times New Roman"/>
                <w:color w:val="auto"/>
                <w:spacing w:val="4"/>
                <w:sz w:val="21"/>
                <w:szCs w:val="21"/>
              </w:rPr>
              <w:t>10</w:t>
            </w:r>
          </w:p>
        </w:tc>
      </w:tr>
      <w:tr w14:paraId="301F4C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12"/>
            <w:tcBorders>
              <w:tl2br w:val="nil"/>
              <w:tr2bl w:val="nil"/>
            </w:tcBorders>
            <w:noWrap w:val="0"/>
            <w:vAlign w:val="center"/>
          </w:tcPr>
          <w:p w14:paraId="1F9B4A79">
            <w:pPr>
              <w:adjustRightInd w:val="0"/>
              <w:snapToGrid w:val="0"/>
              <w:spacing w:line="240" w:lineRule="exact"/>
              <w:jc w:val="center"/>
              <w:rPr>
                <w:color w:val="auto"/>
                <w:spacing w:val="4"/>
              </w:rPr>
            </w:pPr>
            <w:r>
              <w:rPr>
                <w:rFonts w:hint="eastAsia" w:ascii="黑体" w:hAnsi="黑体" w:eastAsia="黑体" w:cs="黑体"/>
                <w:b/>
                <w:bCs/>
                <w:color w:val="auto"/>
                <w:spacing w:val="4"/>
                <w:sz w:val="21"/>
                <w:szCs w:val="21"/>
              </w:rPr>
              <w:t>定性指标</w:t>
            </w:r>
          </w:p>
        </w:tc>
      </w:tr>
      <w:tr w14:paraId="147BCA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82" w:type="pct"/>
            <w:gridSpan w:val="2"/>
            <w:tcBorders>
              <w:tl2br w:val="nil"/>
              <w:tr2bl w:val="nil"/>
            </w:tcBorders>
            <w:noWrap w:val="0"/>
            <w:vAlign w:val="center"/>
          </w:tcPr>
          <w:p w14:paraId="31489AFA">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一级指标</w:t>
            </w:r>
          </w:p>
        </w:tc>
        <w:tc>
          <w:tcPr>
            <w:tcW w:w="420" w:type="pct"/>
            <w:gridSpan w:val="2"/>
            <w:tcBorders>
              <w:tl2br w:val="nil"/>
              <w:tr2bl w:val="nil"/>
            </w:tcBorders>
            <w:noWrap w:val="0"/>
            <w:vAlign w:val="center"/>
          </w:tcPr>
          <w:p w14:paraId="16A795F2">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指标分值</w:t>
            </w:r>
          </w:p>
        </w:tc>
        <w:tc>
          <w:tcPr>
            <w:tcW w:w="2539" w:type="pct"/>
            <w:gridSpan w:val="4"/>
            <w:tcBorders>
              <w:tl2br w:val="nil"/>
              <w:tr2bl w:val="nil"/>
            </w:tcBorders>
            <w:noWrap w:val="0"/>
            <w:vAlign w:val="center"/>
          </w:tcPr>
          <w:p w14:paraId="2E885DD8">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二级指标</w:t>
            </w:r>
          </w:p>
        </w:tc>
        <w:tc>
          <w:tcPr>
            <w:tcW w:w="445" w:type="pct"/>
            <w:gridSpan w:val="2"/>
            <w:tcBorders>
              <w:tl2br w:val="nil"/>
              <w:tr2bl w:val="nil"/>
            </w:tcBorders>
            <w:noWrap w:val="0"/>
            <w:vAlign w:val="center"/>
          </w:tcPr>
          <w:p w14:paraId="04BB3607">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指标分值</w:t>
            </w:r>
          </w:p>
        </w:tc>
        <w:tc>
          <w:tcPr>
            <w:tcW w:w="511" w:type="pct"/>
            <w:gridSpan w:val="2"/>
            <w:tcBorders>
              <w:tl2br w:val="nil"/>
              <w:tr2bl w:val="nil"/>
            </w:tcBorders>
            <w:noWrap w:val="0"/>
            <w:vAlign w:val="center"/>
          </w:tcPr>
          <w:p w14:paraId="7052ECC9">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本项目评分</w:t>
            </w:r>
          </w:p>
        </w:tc>
      </w:tr>
      <w:tr w14:paraId="0CE010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82" w:type="pct"/>
            <w:gridSpan w:val="2"/>
            <w:vMerge w:val="restart"/>
            <w:tcBorders>
              <w:tl2br w:val="nil"/>
              <w:tr2bl w:val="nil"/>
            </w:tcBorders>
            <w:noWrap w:val="0"/>
            <w:vAlign w:val="center"/>
          </w:tcPr>
          <w:p w14:paraId="1A6416C3">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（1）生产工艺及设备要求</w:t>
            </w:r>
          </w:p>
        </w:tc>
        <w:tc>
          <w:tcPr>
            <w:tcW w:w="420" w:type="pct"/>
            <w:gridSpan w:val="2"/>
            <w:vMerge w:val="restart"/>
            <w:tcBorders>
              <w:tl2br w:val="nil"/>
              <w:tr2bl w:val="nil"/>
            </w:tcBorders>
            <w:noWrap w:val="0"/>
            <w:vAlign w:val="center"/>
          </w:tcPr>
          <w:p w14:paraId="2F1F6054">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45</w:t>
            </w:r>
          </w:p>
        </w:tc>
        <w:tc>
          <w:tcPr>
            <w:tcW w:w="1746" w:type="pct"/>
            <w:gridSpan w:val="3"/>
            <w:tcBorders>
              <w:tl2br w:val="nil"/>
              <w:tr2bl w:val="nil"/>
            </w:tcBorders>
            <w:noWrap w:val="0"/>
            <w:vAlign w:val="center"/>
          </w:tcPr>
          <w:p w14:paraId="2DF6DB72">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井筒质量</w:t>
            </w:r>
          </w:p>
        </w:tc>
        <w:tc>
          <w:tcPr>
            <w:tcW w:w="792" w:type="pct"/>
            <w:tcBorders>
              <w:tl2br w:val="nil"/>
              <w:tr2bl w:val="nil"/>
            </w:tcBorders>
            <w:noWrap w:val="0"/>
            <w:vAlign w:val="center"/>
          </w:tcPr>
          <w:p w14:paraId="196AFCB8">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井筒设施完好</w:t>
            </w:r>
          </w:p>
        </w:tc>
        <w:tc>
          <w:tcPr>
            <w:tcW w:w="445" w:type="pct"/>
            <w:gridSpan w:val="2"/>
            <w:tcBorders>
              <w:tl2br w:val="nil"/>
              <w:tr2bl w:val="nil"/>
            </w:tcBorders>
            <w:noWrap w:val="0"/>
            <w:vAlign w:val="center"/>
          </w:tcPr>
          <w:p w14:paraId="434447AF">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5</w:t>
            </w:r>
          </w:p>
        </w:tc>
        <w:tc>
          <w:tcPr>
            <w:tcW w:w="511" w:type="pct"/>
            <w:gridSpan w:val="2"/>
            <w:tcBorders>
              <w:tl2br w:val="nil"/>
              <w:tr2bl w:val="nil"/>
            </w:tcBorders>
            <w:noWrap w:val="0"/>
            <w:vAlign w:val="center"/>
          </w:tcPr>
          <w:p w14:paraId="1B547E5B">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5</w:t>
            </w:r>
          </w:p>
        </w:tc>
      </w:tr>
      <w:tr w14:paraId="64AFC3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82" w:type="pct"/>
            <w:gridSpan w:val="2"/>
            <w:vMerge w:val="continue"/>
            <w:tcBorders>
              <w:tl2br w:val="nil"/>
              <w:tr2bl w:val="nil"/>
            </w:tcBorders>
            <w:noWrap w:val="0"/>
            <w:vAlign w:val="center"/>
          </w:tcPr>
          <w:p w14:paraId="717EDDD1">
            <w:pPr>
              <w:adjustRightInd w:val="0"/>
              <w:snapToGrid w:val="0"/>
              <w:spacing w:line="240" w:lineRule="exact"/>
              <w:jc w:val="center"/>
              <w:rPr>
                <w:rFonts w:ascii="Times New Roman" w:hAnsi="Times New Roman" w:cs="Times New Roman"/>
                <w:color w:val="auto"/>
                <w:spacing w:val="4"/>
                <w:sz w:val="21"/>
                <w:szCs w:val="21"/>
              </w:rPr>
            </w:pPr>
            <w:bookmarkStart w:id="480" w:name="OLE_LINK418" w:colFirst="3" w:colLast="6"/>
            <w:bookmarkStart w:id="481" w:name="OLE_LINK420" w:colFirst="2" w:colLast="3"/>
            <w:bookmarkStart w:id="482" w:name="OLE_LINK423" w:colFirst="3" w:colLast="4"/>
            <w:bookmarkStart w:id="483" w:name="OLE_LINK417" w:colFirst="5" w:colLast="6"/>
            <w:bookmarkStart w:id="484" w:name="OLE_LINK28" w:colFirst="3" w:colLast="8"/>
            <w:bookmarkStart w:id="485" w:name="OLE_LINK424" w:colFirst="2" w:colLast="4"/>
            <w:bookmarkStart w:id="486" w:name="OLE_LINK422" w:colFirst="2" w:colLast="2"/>
          </w:p>
        </w:tc>
        <w:tc>
          <w:tcPr>
            <w:tcW w:w="420" w:type="pct"/>
            <w:gridSpan w:val="2"/>
            <w:vMerge w:val="continue"/>
            <w:tcBorders>
              <w:tl2br w:val="nil"/>
              <w:tr2bl w:val="nil"/>
            </w:tcBorders>
            <w:noWrap w:val="0"/>
            <w:vAlign w:val="center"/>
          </w:tcPr>
          <w:p w14:paraId="4BB0871E">
            <w:pPr>
              <w:adjustRightInd w:val="0"/>
              <w:snapToGrid w:val="0"/>
              <w:spacing w:line="240" w:lineRule="exact"/>
              <w:jc w:val="center"/>
              <w:rPr>
                <w:rFonts w:ascii="Times New Roman" w:hAnsi="Times New Roman" w:cs="Times New Roman"/>
                <w:color w:val="auto"/>
                <w:spacing w:val="4"/>
                <w:sz w:val="21"/>
                <w:szCs w:val="21"/>
              </w:rPr>
            </w:pPr>
          </w:p>
        </w:tc>
        <w:tc>
          <w:tcPr>
            <w:tcW w:w="2539" w:type="pct"/>
            <w:gridSpan w:val="4"/>
            <w:tcBorders>
              <w:tl2br w:val="nil"/>
              <w:tr2bl w:val="nil"/>
            </w:tcBorders>
            <w:noWrap w:val="0"/>
            <w:vAlign w:val="center"/>
          </w:tcPr>
          <w:p w14:paraId="3EC9F41D">
            <w:pPr>
              <w:adjustRightInd w:val="0"/>
              <w:snapToGrid w:val="0"/>
              <w:spacing w:line="240" w:lineRule="exact"/>
              <w:jc w:val="center"/>
              <w:rPr>
                <w:rFonts w:ascii="Times New Roman" w:hAnsi="Times New Roman" w:cs="Times New Roman"/>
                <w:color w:val="auto"/>
                <w:spacing w:val="4"/>
                <w:sz w:val="21"/>
                <w:szCs w:val="21"/>
                <w:highlight w:val="none"/>
              </w:rPr>
            </w:pPr>
            <w:r>
              <w:rPr>
                <w:rFonts w:ascii="Times New Roman" w:hAnsi="Times New Roman" w:cs="Times New Roman"/>
                <w:color w:val="auto"/>
                <w:spacing w:val="4"/>
                <w:sz w:val="21"/>
                <w:szCs w:val="21"/>
                <w:highlight w:val="none"/>
              </w:rPr>
              <w:t>采气过程醇回收设施</w:t>
            </w:r>
          </w:p>
        </w:tc>
        <w:tc>
          <w:tcPr>
            <w:tcW w:w="445" w:type="pct"/>
            <w:gridSpan w:val="2"/>
            <w:tcBorders>
              <w:tl2br w:val="nil"/>
              <w:tr2bl w:val="nil"/>
            </w:tcBorders>
            <w:noWrap w:val="0"/>
            <w:vAlign w:val="center"/>
          </w:tcPr>
          <w:p w14:paraId="3B5B9F95">
            <w:pPr>
              <w:adjustRightInd w:val="0"/>
              <w:snapToGrid w:val="0"/>
              <w:spacing w:line="240" w:lineRule="exact"/>
              <w:jc w:val="center"/>
              <w:rPr>
                <w:rFonts w:hint="eastAsia" w:ascii="Times New Roman" w:hAnsi="Times New Roman" w:eastAsia="宋体" w:cs="Times New Roman"/>
                <w:color w:val="auto"/>
                <w:spacing w:val="4"/>
                <w:sz w:val="21"/>
                <w:szCs w:val="21"/>
                <w:highlight w:val="none"/>
                <w:lang w:eastAsia="zh-CN"/>
              </w:rPr>
            </w:pPr>
            <w:r>
              <w:rPr>
                <w:rFonts w:hint="eastAsia" w:cs="Times New Roman"/>
                <w:color w:val="auto"/>
                <w:spacing w:val="4"/>
                <w:sz w:val="21"/>
                <w:szCs w:val="21"/>
                <w:highlight w:val="none"/>
                <w:lang w:val="en-US" w:eastAsia="zh-CN"/>
              </w:rPr>
              <w:t>0</w:t>
            </w:r>
          </w:p>
        </w:tc>
        <w:tc>
          <w:tcPr>
            <w:tcW w:w="511" w:type="pct"/>
            <w:gridSpan w:val="2"/>
            <w:tcBorders>
              <w:tl2br w:val="nil"/>
              <w:tr2bl w:val="nil"/>
            </w:tcBorders>
            <w:noWrap w:val="0"/>
            <w:vAlign w:val="center"/>
          </w:tcPr>
          <w:p w14:paraId="78B14B09">
            <w:pPr>
              <w:adjustRightInd w:val="0"/>
              <w:snapToGrid w:val="0"/>
              <w:spacing w:line="240" w:lineRule="exact"/>
              <w:jc w:val="center"/>
              <w:rPr>
                <w:rFonts w:hint="default" w:ascii="Times New Roman" w:hAnsi="Times New Roman" w:eastAsia="宋体" w:cs="Times New Roman"/>
                <w:color w:val="auto"/>
                <w:spacing w:val="4"/>
                <w:sz w:val="21"/>
                <w:szCs w:val="21"/>
                <w:highlight w:val="none"/>
                <w:lang w:val="en-US" w:eastAsia="zh-CN"/>
              </w:rPr>
            </w:pPr>
            <w:r>
              <w:rPr>
                <w:rFonts w:hint="eastAsia" w:cs="Times New Roman"/>
                <w:color w:val="auto"/>
                <w:spacing w:val="4"/>
                <w:sz w:val="21"/>
                <w:szCs w:val="21"/>
                <w:highlight w:val="none"/>
                <w:lang w:val="en-US" w:eastAsia="zh-CN"/>
              </w:rPr>
              <w:t>0</w:t>
            </w:r>
          </w:p>
        </w:tc>
      </w:tr>
      <w:bookmarkEnd w:id="480"/>
      <w:bookmarkEnd w:id="481"/>
      <w:tr w14:paraId="6C935C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82" w:type="pct"/>
            <w:gridSpan w:val="2"/>
            <w:vMerge w:val="continue"/>
            <w:tcBorders>
              <w:tl2br w:val="nil"/>
              <w:tr2bl w:val="nil"/>
            </w:tcBorders>
            <w:noWrap w:val="0"/>
            <w:vAlign w:val="center"/>
          </w:tcPr>
          <w:p w14:paraId="631AF9E8">
            <w:pPr>
              <w:adjustRightInd w:val="0"/>
              <w:snapToGrid w:val="0"/>
              <w:spacing w:line="240" w:lineRule="exact"/>
              <w:jc w:val="center"/>
              <w:rPr>
                <w:rFonts w:ascii="Times New Roman" w:hAnsi="Times New Roman" w:cs="Times New Roman"/>
                <w:color w:val="auto"/>
                <w:spacing w:val="4"/>
                <w:sz w:val="21"/>
                <w:szCs w:val="21"/>
              </w:rPr>
            </w:pPr>
            <w:bookmarkStart w:id="487" w:name="OLE_LINK421" w:colFirst="2" w:colLast="3"/>
            <w:bookmarkStart w:id="488" w:name="OLE_LINK419" w:colFirst="3" w:colLast="6"/>
          </w:p>
        </w:tc>
        <w:tc>
          <w:tcPr>
            <w:tcW w:w="420" w:type="pct"/>
            <w:gridSpan w:val="2"/>
            <w:vMerge w:val="continue"/>
            <w:tcBorders>
              <w:tl2br w:val="nil"/>
              <w:tr2bl w:val="nil"/>
            </w:tcBorders>
            <w:noWrap w:val="0"/>
            <w:vAlign w:val="center"/>
          </w:tcPr>
          <w:p w14:paraId="6DB156F9">
            <w:pPr>
              <w:adjustRightInd w:val="0"/>
              <w:snapToGrid w:val="0"/>
              <w:spacing w:line="240" w:lineRule="exact"/>
              <w:jc w:val="center"/>
              <w:rPr>
                <w:rFonts w:ascii="Times New Roman" w:hAnsi="Times New Roman" w:cs="Times New Roman"/>
                <w:color w:val="auto"/>
                <w:spacing w:val="4"/>
                <w:sz w:val="21"/>
                <w:szCs w:val="21"/>
              </w:rPr>
            </w:pPr>
          </w:p>
        </w:tc>
        <w:tc>
          <w:tcPr>
            <w:tcW w:w="2539" w:type="pct"/>
            <w:gridSpan w:val="4"/>
            <w:tcBorders>
              <w:tl2br w:val="nil"/>
              <w:tr2bl w:val="nil"/>
            </w:tcBorders>
            <w:noWrap w:val="0"/>
            <w:vAlign w:val="center"/>
          </w:tcPr>
          <w:p w14:paraId="015BA185">
            <w:pPr>
              <w:adjustRightInd w:val="0"/>
              <w:snapToGrid w:val="0"/>
              <w:spacing w:line="240" w:lineRule="exact"/>
              <w:jc w:val="center"/>
              <w:rPr>
                <w:rFonts w:ascii="Times New Roman" w:hAnsi="Times New Roman" w:cs="Times New Roman"/>
                <w:color w:val="auto"/>
                <w:spacing w:val="4"/>
                <w:sz w:val="21"/>
                <w:szCs w:val="21"/>
                <w:highlight w:val="none"/>
              </w:rPr>
            </w:pPr>
            <w:r>
              <w:rPr>
                <w:rFonts w:ascii="Times New Roman" w:hAnsi="Times New Roman" w:cs="Times New Roman"/>
                <w:color w:val="auto"/>
                <w:spacing w:val="4"/>
                <w:sz w:val="21"/>
                <w:szCs w:val="21"/>
                <w:highlight w:val="none"/>
              </w:rPr>
              <w:t>天然气净化设施先进、净化效率高</w:t>
            </w:r>
          </w:p>
        </w:tc>
        <w:tc>
          <w:tcPr>
            <w:tcW w:w="445" w:type="pct"/>
            <w:gridSpan w:val="2"/>
            <w:tcBorders>
              <w:tl2br w:val="nil"/>
              <w:tr2bl w:val="nil"/>
            </w:tcBorders>
            <w:noWrap w:val="0"/>
            <w:vAlign w:val="center"/>
          </w:tcPr>
          <w:p w14:paraId="53AEE691">
            <w:pPr>
              <w:adjustRightInd w:val="0"/>
              <w:snapToGrid w:val="0"/>
              <w:spacing w:line="240" w:lineRule="exact"/>
              <w:jc w:val="center"/>
              <w:rPr>
                <w:rFonts w:ascii="Times New Roman" w:hAnsi="Times New Roman" w:cs="Times New Roman"/>
                <w:color w:val="auto"/>
                <w:spacing w:val="4"/>
                <w:sz w:val="21"/>
                <w:szCs w:val="21"/>
                <w:highlight w:val="none"/>
              </w:rPr>
            </w:pPr>
            <w:r>
              <w:rPr>
                <w:rFonts w:ascii="Times New Roman" w:hAnsi="Times New Roman" w:cs="Times New Roman"/>
                <w:color w:val="auto"/>
                <w:spacing w:val="4"/>
                <w:sz w:val="21"/>
                <w:szCs w:val="21"/>
                <w:highlight w:val="none"/>
              </w:rPr>
              <w:t>20</w:t>
            </w:r>
          </w:p>
        </w:tc>
        <w:tc>
          <w:tcPr>
            <w:tcW w:w="511" w:type="pct"/>
            <w:gridSpan w:val="2"/>
            <w:tcBorders>
              <w:tl2br w:val="nil"/>
              <w:tr2bl w:val="nil"/>
            </w:tcBorders>
            <w:noWrap w:val="0"/>
            <w:vAlign w:val="center"/>
          </w:tcPr>
          <w:p w14:paraId="375FCA82">
            <w:pPr>
              <w:adjustRightInd w:val="0"/>
              <w:snapToGrid w:val="0"/>
              <w:spacing w:line="240" w:lineRule="exact"/>
              <w:jc w:val="center"/>
              <w:rPr>
                <w:rFonts w:hint="default" w:ascii="Times New Roman" w:hAnsi="Times New Roman" w:eastAsia="宋体" w:cs="Times New Roman"/>
                <w:color w:val="auto"/>
                <w:spacing w:val="4"/>
                <w:sz w:val="21"/>
                <w:szCs w:val="21"/>
                <w:highlight w:val="none"/>
                <w:lang w:val="en-US" w:eastAsia="zh-CN"/>
              </w:rPr>
            </w:pPr>
            <w:r>
              <w:rPr>
                <w:rFonts w:hint="eastAsia" w:cs="Times New Roman"/>
                <w:color w:val="auto"/>
                <w:spacing w:val="4"/>
                <w:sz w:val="21"/>
                <w:szCs w:val="21"/>
                <w:highlight w:val="none"/>
                <w:lang w:val="en-US" w:eastAsia="zh-CN"/>
              </w:rPr>
              <w:t>20</w:t>
            </w:r>
          </w:p>
        </w:tc>
      </w:tr>
      <w:bookmarkEnd w:id="482"/>
      <w:bookmarkEnd w:id="483"/>
      <w:bookmarkEnd w:id="484"/>
      <w:bookmarkEnd w:id="485"/>
      <w:bookmarkEnd w:id="486"/>
      <w:bookmarkEnd w:id="487"/>
      <w:bookmarkEnd w:id="488"/>
      <w:tr w14:paraId="0BCD4E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82" w:type="pct"/>
            <w:gridSpan w:val="2"/>
            <w:vMerge w:val="continue"/>
            <w:tcBorders>
              <w:tl2br w:val="nil"/>
              <w:tr2bl w:val="nil"/>
            </w:tcBorders>
            <w:noWrap w:val="0"/>
            <w:vAlign w:val="center"/>
          </w:tcPr>
          <w:p w14:paraId="1A5E6A85">
            <w:pPr>
              <w:adjustRightInd w:val="0"/>
              <w:snapToGrid w:val="0"/>
              <w:spacing w:line="240" w:lineRule="exact"/>
              <w:jc w:val="center"/>
              <w:rPr>
                <w:rFonts w:ascii="Times New Roman" w:hAnsi="Times New Roman" w:cs="Times New Roman"/>
                <w:color w:val="auto"/>
                <w:spacing w:val="4"/>
                <w:sz w:val="21"/>
                <w:szCs w:val="21"/>
              </w:rPr>
            </w:pPr>
          </w:p>
        </w:tc>
        <w:tc>
          <w:tcPr>
            <w:tcW w:w="420" w:type="pct"/>
            <w:gridSpan w:val="2"/>
            <w:vMerge w:val="continue"/>
            <w:tcBorders>
              <w:tl2br w:val="nil"/>
              <w:tr2bl w:val="nil"/>
            </w:tcBorders>
            <w:noWrap w:val="0"/>
            <w:vAlign w:val="center"/>
          </w:tcPr>
          <w:p w14:paraId="78D2902D">
            <w:pPr>
              <w:adjustRightInd w:val="0"/>
              <w:snapToGrid w:val="0"/>
              <w:spacing w:line="240" w:lineRule="exact"/>
              <w:jc w:val="center"/>
              <w:rPr>
                <w:rFonts w:ascii="Times New Roman" w:hAnsi="Times New Roman" w:cs="Times New Roman"/>
                <w:color w:val="auto"/>
                <w:spacing w:val="4"/>
                <w:sz w:val="21"/>
                <w:szCs w:val="21"/>
              </w:rPr>
            </w:pPr>
          </w:p>
        </w:tc>
        <w:tc>
          <w:tcPr>
            <w:tcW w:w="1746" w:type="pct"/>
            <w:gridSpan w:val="3"/>
            <w:tcBorders>
              <w:tl2br w:val="nil"/>
              <w:tr2bl w:val="nil"/>
            </w:tcBorders>
            <w:noWrap w:val="0"/>
            <w:vAlign w:val="center"/>
          </w:tcPr>
          <w:p w14:paraId="10F73605">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集输流程</w:t>
            </w:r>
          </w:p>
        </w:tc>
        <w:tc>
          <w:tcPr>
            <w:tcW w:w="792" w:type="pct"/>
            <w:tcBorders>
              <w:tl2br w:val="nil"/>
              <w:tr2bl w:val="nil"/>
            </w:tcBorders>
            <w:noWrap w:val="0"/>
            <w:vAlign w:val="center"/>
          </w:tcPr>
          <w:p w14:paraId="444FA06D">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全密闭流程</w:t>
            </w:r>
          </w:p>
        </w:tc>
        <w:tc>
          <w:tcPr>
            <w:tcW w:w="445" w:type="pct"/>
            <w:gridSpan w:val="2"/>
            <w:tcBorders>
              <w:tl2br w:val="nil"/>
              <w:tr2bl w:val="nil"/>
            </w:tcBorders>
            <w:noWrap w:val="0"/>
            <w:vAlign w:val="center"/>
          </w:tcPr>
          <w:p w14:paraId="46DA217F">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10</w:t>
            </w:r>
          </w:p>
        </w:tc>
        <w:tc>
          <w:tcPr>
            <w:tcW w:w="511" w:type="pct"/>
            <w:gridSpan w:val="2"/>
            <w:tcBorders>
              <w:tl2br w:val="nil"/>
              <w:tr2bl w:val="nil"/>
            </w:tcBorders>
            <w:noWrap w:val="0"/>
            <w:vAlign w:val="center"/>
          </w:tcPr>
          <w:p w14:paraId="0793ED75">
            <w:pPr>
              <w:adjustRightInd w:val="0"/>
              <w:snapToGrid w:val="0"/>
              <w:spacing w:line="240" w:lineRule="exact"/>
              <w:jc w:val="center"/>
              <w:rPr>
                <w:rFonts w:hint="eastAsia" w:ascii="Times New Roman" w:hAnsi="Times New Roman" w:eastAsia="宋体" w:cs="Times New Roman"/>
                <w:color w:val="auto"/>
                <w:spacing w:val="4"/>
                <w:sz w:val="21"/>
                <w:szCs w:val="21"/>
                <w:lang w:eastAsia="zh-CN"/>
              </w:rPr>
            </w:pPr>
            <w:r>
              <w:rPr>
                <w:rFonts w:hint="eastAsia" w:cs="Times New Roman"/>
                <w:color w:val="auto"/>
                <w:spacing w:val="4"/>
                <w:sz w:val="21"/>
                <w:szCs w:val="21"/>
                <w:lang w:val="en-US" w:eastAsia="zh-CN"/>
              </w:rPr>
              <w:t>5</w:t>
            </w:r>
          </w:p>
        </w:tc>
      </w:tr>
      <w:tr w14:paraId="51B147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82" w:type="pct"/>
            <w:gridSpan w:val="2"/>
            <w:vMerge w:val="restart"/>
            <w:tcBorders>
              <w:tl2br w:val="nil"/>
              <w:tr2bl w:val="nil"/>
            </w:tcBorders>
            <w:noWrap w:val="0"/>
            <w:vAlign w:val="center"/>
          </w:tcPr>
          <w:p w14:paraId="182FEF9A">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（2）管理体系建设及</w:t>
            </w:r>
          </w:p>
          <w:p w14:paraId="23834C14">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清洁生产审核</w:t>
            </w:r>
          </w:p>
        </w:tc>
        <w:tc>
          <w:tcPr>
            <w:tcW w:w="420" w:type="pct"/>
            <w:gridSpan w:val="2"/>
            <w:vMerge w:val="restart"/>
            <w:tcBorders>
              <w:tl2br w:val="nil"/>
              <w:tr2bl w:val="nil"/>
            </w:tcBorders>
            <w:noWrap w:val="0"/>
            <w:vAlign w:val="center"/>
          </w:tcPr>
          <w:p w14:paraId="15E7978A">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35</w:t>
            </w:r>
          </w:p>
        </w:tc>
        <w:tc>
          <w:tcPr>
            <w:tcW w:w="2539" w:type="pct"/>
            <w:gridSpan w:val="4"/>
            <w:tcBorders>
              <w:tl2br w:val="nil"/>
              <w:tr2bl w:val="nil"/>
            </w:tcBorders>
            <w:noWrap w:val="0"/>
            <w:vAlign w:val="center"/>
          </w:tcPr>
          <w:p w14:paraId="6E44FD00">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建立HSE管理体系并通过验证</w:t>
            </w:r>
          </w:p>
        </w:tc>
        <w:tc>
          <w:tcPr>
            <w:tcW w:w="445" w:type="pct"/>
            <w:gridSpan w:val="2"/>
            <w:tcBorders>
              <w:tl2br w:val="nil"/>
              <w:tr2bl w:val="nil"/>
            </w:tcBorders>
            <w:noWrap w:val="0"/>
            <w:vAlign w:val="center"/>
          </w:tcPr>
          <w:p w14:paraId="6A35FB16">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10</w:t>
            </w:r>
          </w:p>
        </w:tc>
        <w:tc>
          <w:tcPr>
            <w:tcW w:w="511" w:type="pct"/>
            <w:gridSpan w:val="2"/>
            <w:tcBorders>
              <w:tl2br w:val="nil"/>
              <w:tr2bl w:val="nil"/>
            </w:tcBorders>
            <w:noWrap w:val="0"/>
            <w:vAlign w:val="center"/>
          </w:tcPr>
          <w:p w14:paraId="72C8B2B9">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10</w:t>
            </w:r>
          </w:p>
        </w:tc>
      </w:tr>
      <w:tr w14:paraId="41919B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82" w:type="pct"/>
            <w:gridSpan w:val="2"/>
            <w:vMerge w:val="continue"/>
            <w:tcBorders>
              <w:tl2br w:val="nil"/>
              <w:tr2bl w:val="nil"/>
            </w:tcBorders>
            <w:noWrap w:val="0"/>
            <w:vAlign w:val="center"/>
          </w:tcPr>
          <w:p w14:paraId="1C8DF623">
            <w:pPr>
              <w:adjustRightInd w:val="0"/>
              <w:snapToGrid w:val="0"/>
              <w:spacing w:line="240" w:lineRule="exact"/>
              <w:jc w:val="center"/>
              <w:rPr>
                <w:rFonts w:ascii="Times New Roman" w:hAnsi="Times New Roman" w:cs="Times New Roman"/>
                <w:color w:val="auto"/>
                <w:spacing w:val="4"/>
                <w:sz w:val="21"/>
                <w:szCs w:val="21"/>
              </w:rPr>
            </w:pPr>
          </w:p>
        </w:tc>
        <w:tc>
          <w:tcPr>
            <w:tcW w:w="420" w:type="pct"/>
            <w:gridSpan w:val="2"/>
            <w:vMerge w:val="continue"/>
            <w:tcBorders>
              <w:tl2br w:val="nil"/>
              <w:tr2bl w:val="nil"/>
            </w:tcBorders>
            <w:noWrap w:val="0"/>
            <w:vAlign w:val="center"/>
          </w:tcPr>
          <w:p w14:paraId="5B72C328">
            <w:pPr>
              <w:adjustRightInd w:val="0"/>
              <w:snapToGrid w:val="0"/>
              <w:spacing w:line="240" w:lineRule="exact"/>
              <w:jc w:val="center"/>
              <w:rPr>
                <w:rFonts w:ascii="Times New Roman" w:hAnsi="Times New Roman" w:cs="Times New Roman"/>
                <w:color w:val="auto"/>
                <w:spacing w:val="4"/>
                <w:sz w:val="21"/>
                <w:szCs w:val="21"/>
              </w:rPr>
            </w:pPr>
          </w:p>
        </w:tc>
        <w:tc>
          <w:tcPr>
            <w:tcW w:w="2539" w:type="pct"/>
            <w:gridSpan w:val="4"/>
            <w:tcBorders>
              <w:tl2br w:val="nil"/>
              <w:tr2bl w:val="nil"/>
            </w:tcBorders>
            <w:noWrap w:val="0"/>
            <w:vAlign w:val="center"/>
          </w:tcPr>
          <w:p w14:paraId="52D6FD00">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开展清洁生产审核</w:t>
            </w:r>
          </w:p>
        </w:tc>
        <w:tc>
          <w:tcPr>
            <w:tcW w:w="445" w:type="pct"/>
            <w:gridSpan w:val="2"/>
            <w:tcBorders>
              <w:tl2br w:val="nil"/>
              <w:tr2bl w:val="nil"/>
            </w:tcBorders>
            <w:noWrap w:val="0"/>
            <w:vAlign w:val="center"/>
          </w:tcPr>
          <w:p w14:paraId="73A10B9B">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20</w:t>
            </w:r>
          </w:p>
        </w:tc>
        <w:tc>
          <w:tcPr>
            <w:tcW w:w="511" w:type="pct"/>
            <w:gridSpan w:val="2"/>
            <w:tcBorders>
              <w:tl2br w:val="nil"/>
              <w:tr2bl w:val="nil"/>
            </w:tcBorders>
            <w:noWrap w:val="0"/>
            <w:vAlign w:val="center"/>
          </w:tcPr>
          <w:p w14:paraId="6A7A989B">
            <w:pPr>
              <w:adjustRightInd w:val="0"/>
              <w:snapToGrid w:val="0"/>
              <w:spacing w:line="240" w:lineRule="exact"/>
              <w:jc w:val="center"/>
              <w:rPr>
                <w:rFonts w:ascii="Times New Roman" w:hAnsi="Times New Roman" w:cs="Times New Roman"/>
                <w:color w:val="auto"/>
                <w:spacing w:val="4"/>
                <w:sz w:val="21"/>
                <w:szCs w:val="21"/>
              </w:rPr>
            </w:pPr>
            <w:r>
              <w:rPr>
                <w:rFonts w:hint="eastAsia" w:ascii="Times New Roman" w:hAnsi="Times New Roman" w:cs="Times New Roman"/>
                <w:color w:val="auto"/>
                <w:spacing w:val="4"/>
                <w:sz w:val="21"/>
                <w:szCs w:val="21"/>
              </w:rPr>
              <w:t>20</w:t>
            </w:r>
          </w:p>
        </w:tc>
      </w:tr>
      <w:tr w14:paraId="43805C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82" w:type="pct"/>
            <w:gridSpan w:val="2"/>
            <w:vMerge w:val="continue"/>
            <w:tcBorders>
              <w:tl2br w:val="nil"/>
              <w:tr2bl w:val="nil"/>
            </w:tcBorders>
            <w:noWrap w:val="0"/>
            <w:vAlign w:val="center"/>
          </w:tcPr>
          <w:p w14:paraId="62CA6A5C">
            <w:pPr>
              <w:adjustRightInd w:val="0"/>
              <w:snapToGrid w:val="0"/>
              <w:spacing w:line="240" w:lineRule="exact"/>
              <w:jc w:val="center"/>
              <w:rPr>
                <w:rFonts w:ascii="Times New Roman" w:hAnsi="Times New Roman" w:cs="Times New Roman"/>
                <w:color w:val="auto"/>
                <w:spacing w:val="4"/>
                <w:sz w:val="21"/>
                <w:szCs w:val="21"/>
              </w:rPr>
            </w:pPr>
          </w:p>
        </w:tc>
        <w:tc>
          <w:tcPr>
            <w:tcW w:w="420" w:type="pct"/>
            <w:gridSpan w:val="2"/>
            <w:vMerge w:val="continue"/>
            <w:tcBorders>
              <w:tl2br w:val="nil"/>
              <w:tr2bl w:val="nil"/>
            </w:tcBorders>
            <w:noWrap w:val="0"/>
            <w:vAlign w:val="center"/>
          </w:tcPr>
          <w:p w14:paraId="395515CE">
            <w:pPr>
              <w:adjustRightInd w:val="0"/>
              <w:snapToGrid w:val="0"/>
              <w:spacing w:line="240" w:lineRule="exact"/>
              <w:jc w:val="center"/>
              <w:rPr>
                <w:rFonts w:ascii="Times New Roman" w:hAnsi="Times New Roman" w:cs="Times New Roman"/>
                <w:color w:val="auto"/>
                <w:spacing w:val="4"/>
                <w:sz w:val="21"/>
                <w:szCs w:val="21"/>
              </w:rPr>
            </w:pPr>
          </w:p>
        </w:tc>
        <w:tc>
          <w:tcPr>
            <w:tcW w:w="2539" w:type="pct"/>
            <w:gridSpan w:val="4"/>
            <w:tcBorders>
              <w:tl2br w:val="nil"/>
              <w:tr2bl w:val="nil"/>
            </w:tcBorders>
            <w:noWrap w:val="0"/>
            <w:vAlign w:val="center"/>
          </w:tcPr>
          <w:p w14:paraId="1D17E2AA">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制定节能减排工作计划</w:t>
            </w:r>
          </w:p>
        </w:tc>
        <w:tc>
          <w:tcPr>
            <w:tcW w:w="445" w:type="pct"/>
            <w:gridSpan w:val="2"/>
            <w:tcBorders>
              <w:tl2br w:val="nil"/>
              <w:tr2bl w:val="nil"/>
            </w:tcBorders>
            <w:noWrap w:val="0"/>
            <w:vAlign w:val="center"/>
          </w:tcPr>
          <w:p w14:paraId="7A7DCFCF">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5</w:t>
            </w:r>
          </w:p>
        </w:tc>
        <w:tc>
          <w:tcPr>
            <w:tcW w:w="511" w:type="pct"/>
            <w:gridSpan w:val="2"/>
            <w:tcBorders>
              <w:tl2br w:val="nil"/>
              <w:tr2bl w:val="nil"/>
            </w:tcBorders>
            <w:noWrap w:val="0"/>
            <w:vAlign w:val="center"/>
          </w:tcPr>
          <w:p w14:paraId="4B204D2B">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5</w:t>
            </w:r>
          </w:p>
        </w:tc>
      </w:tr>
      <w:tr w14:paraId="62FD7F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82" w:type="pct"/>
            <w:gridSpan w:val="2"/>
            <w:vMerge w:val="restart"/>
            <w:tcBorders>
              <w:tl2br w:val="nil"/>
              <w:tr2bl w:val="nil"/>
            </w:tcBorders>
            <w:noWrap w:val="0"/>
            <w:vAlign w:val="center"/>
          </w:tcPr>
          <w:p w14:paraId="75B1AD03">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（3）环保政策法规执行情况</w:t>
            </w:r>
          </w:p>
        </w:tc>
        <w:tc>
          <w:tcPr>
            <w:tcW w:w="420" w:type="pct"/>
            <w:gridSpan w:val="2"/>
            <w:vMerge w:val="restart"/>
            <w:tcBorders>
              <w:tl2br w:val="nil"/>
              <w:tr2bl w:val="nil"/>
            </w:tcBorders>
            <w:noWrap w:val="0"/>
            <w:vAlign w:val="center"/>
          </w:tcPr>
          <w:p w14:paraId="58A1036F">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20</w:t>
            </w:r>
          </w:p>
        </w:tc>
        <w:tc>
          <w:tcPr>
            <w:tcW w:w="2539" w:type="pct"/>
            <w:gridSpan w:val="4"/>
            <w:tcBorders>
              <w:tl2br w:val="nil"/>
              <w:tr2bl w:val="nil"/>
            </w:tcBorders>
            <w:noWrap w:val="0"/>
            <w:vAlign w:val="center"/>
          </w:tcPr>
          <w:p w14:paraId="620F264B">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建设项</w:t>
            </w:r>
            <w:r>
              <w:rPr>
                <w:rFonts w:hint="eastAsia" w:ascii="Times New Roman" w:hAnsi="Times New Roman" w:cs="Times New Roman"/>
                <w:color w:val="auto"/>
                <w:spacing w:val="4"/>
                <w:sz w:val="21"/>
                <w:szCs w:val="21"/>
              </w:rPr>
              <w:t>目“三同时”执行情况</w:t>
            </w:r>
          </w:p>
        </w:tc>
        <w:tc>
          <w:tcPr>
            <w:tcW w:w="445" w:type="pct"/>
            <w:gridSpan w:val="2"/>
            <w:tcBorders>
              <w:tl2br w:val="nil"/>
              <w:tr2bl w:val="nil"/>
            </w:tcBorders>
            <w:noWrap w:val="0"/>
            <w:vAlign w:val="center"/>
          </w:tcPr>
          <w:p w14:paraId="686A74BF">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5</w:t>
            </w:r>
          </w:p>
        </w:tc>
        <w:tc>
          <w:tcPr>
            <w:tcW w:w="511" w:type="pct"/>
            <w:gridSpan w:val="2"/>
            <w:tcBorders>
              <w:tl2br w:val="nil"/>
              <w:tr2bl w:val="nil"/>
            </w:tcBorders>
            <w:noWrap w:val="0"/>
            <w:vAlign w:val="center"/>
          </w:tcPr>
          <w:p w14:paraId="205AA055">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5</w:t>
            </w:r>
          </w:p>
        </w:tc>
      </w:tr>
      <w:tr w14:paraId="52B76E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82" w:type="pct"/>
            <w:gridSpan w:val="2"/>
            <w:vMerge w:val="continue"/>
            <w:tcBorders>
              <w:tl2br w:val="nil"/>
              <w:tr2bl w:val="nil"/>
            </w:tcBorders>
            <w:noWrap w:val="0"/>
            <w:vAlign w:val="center"/>
          </w:tcPr>
          <w:p w14:paraId="3FB12D72">
            <w:pPr>
              <w:adjustRightInd w:val="0"/>
              <w:snapToGrid w:val="0"/>
              <w:spacing w:line="240" w:lineRule="exact"/>
              <w:jc w:val="center"/>
              <w:rPr>
                <w:rFonts w:ascii="Times New Roman" w:hAnsi="Times New Roman" w:cs="Times New Roman"/>
                <w:color w:val="auto"/>
                <w:spacing w:val="4"/>
                <w:sz w:val="21"/>
                <w:szCs w:val="21"/>
              </w:rPr>
            </w:pPr>
          </w:p>
        </w:tc>
        <w:tc>
          <w:tcPr>
            <w:tcW w:w="420" w:type="pct"/>
            <w:gridSpan w:val="2"/>
            <w:vMerge w:val="continue"/>
            <w:tcBorders>
              <w:tl2br w:val="nil"/>
              <w:tr2bl w:val="nil"/>
            </w:tcBorders>
            <w:noWrap w:val="0"/>
            <w:vAlign w:val="center"/>
          </w:tcPr>
          <w:p w14:paraId="31ED5539">
            <w:pPr>
              <w:adjustRightInd w:val="0"/>
              <w:snapToGrid w:val="0"/>
              <w:spacing w:line="240" w:lineRule="exact"/>
              <w:jc w:val="center"/>
              <w:rPr>
                <w:rFonts w:ascii="Times New Roman" w:hAnsi="Times New Roman" w:cs="Times New Roman"/>
                <w:color w:val="auto"/>
                <w:spacing w:val="4"/>
                <w:sz w:val="21"/>
                <w:szCs w:val="21"/>
              </w:rPr>
            </w:pPr>
          </w:p>
        </w:tc>
        <w:tc>
          <w:tcPr>
            <w:tcW w:w="2539" w:type="pct"/>
            <w:gridSpan w:val="4"/>
            <w:tcBorders>
              <w:tl2br w:val="nil"/>
              <w:tr2bl w:val="nil"/>
            </w:tcBorders>
            <w:noWrap w:val="0"/>
            <w:vAlign w:val="center"/>
          </w:tcPr>
          <w:p w14:paraId="7A4D3642">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建设项目环境影响评价制度执行情况</w:t>
            </w:r>
          </w:p>
        </w:tc>
        <w:tc>
          <w:tcPr>
            <w:tcW w:w="445" w:type="pct"/>
            <w:gridSpan w:val="2"/>
            <w:tcBorders>
              <w:tl2br w:val="nil"/>
              <w:tr2bl w:val="nil"/>
            </w:tcBorders>
            <w:noWrap w:val="0"/>
            <w:vAlign w:val="center"/>
          </w:tcPr>
          <w:p w14:paraId="770C18FE">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5</w:t>
            </w:r>
          </w:p>
        </w:tc>
        <w:tc>
          <w:tcPr>
            <w:tcW w:w="511" w:type="pct"/>
            <w:gridSpan w:val="2"/>
            <w:tcBorders>
              <w:tl2br w:val="nil"/>
              <w:tr2bl w:val="nil"/>
            </w:tcBorders>
            <w:noWrap w:val="0"/>
            <w:vAlign w:val="center"/>
          </w:tcPr>
          <w:p w14:paraId="6F84ECDD">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5</w:t>
            </w:r>
          </w:p>
        </w:tc>
      </w:tr>
      <w:tr w14:paraId="7BE12C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82" w:type="pct"/>
            <w:gridSpan w:val="2"/>
            <w:vMerge w:val="continue"/>
            <w:tcBorders>
              <w:tl2br w:val="nil"/>
              <w:tr2bl w:val="nil"/>
            </w:tcBorders>
            <w:noWrap w:val="0"/>
            <w:vAlign w:val="center"/>
          </w:tcPr>
          <w:p w14:paraId="6013E59D">
            <w:pPr>
              <w:adjustRightInd w:val="0"/>
              <w:snapToGrid w:val="0"/>
              <w:spacing w:line="240" w:lineRule="exact"/>
              <w:jc w:val="center"/>
              <w:rPr>
                <w:rFonts w:ascii="Times New Roman" w:hAnsi="Times New Roman" w:cs="Times New Roman"/>
                <w:color w:val="auto"/>
                <w:spacing w:val="4"/>
                <w:sz w:val="21"/>
                <w:szCs w:val="21"/>
              </w:rPr>
            </w:pPr>
          </w:p>
        </w:tc>
        <w:tc>
          <w:tcPr>
            <w:tcW w:w="420" w:type="pct"/>
            <w:gridSpan w:val="2"/>
            <w:vMerge w:val="continue"/>
            <w:tcBorders>
              <w:tl2br w:val="nil"/>
              <w:tr2bl w:val="nil"/>
            </w:tcBorders>
            <w:noWrap w:val="0"/>
            <w:vAlign w:val="center"/>
          </w:tcPr>
          <w:p w14:paraId="283BEC06">
            <w:pPr>
              <w:adjustRightInd w:val="0"/>
              <w:snapToGrid w:val="0"/>
              <w:spacing w:line="240" w:lineRule="exact"/>
              <w:jc w:val="center"/>
              <w:rPr>
                <w:rFonts w:ascii="Times New Roman" w:hAnsi="Times New Roman" w:cs="Times New Roman"/>
                <w:color w:val="auto"/>
                <w:spacing w:val="4"/>
                <w:sz w:val="21"/>
                <w:szCs w:val="21"/>
              </w:rPr>
            </w:pPr>
          </w:p>
        </w:tc>
        <w:tc>
          <w:tcPr>
            <w:tcW w:w="2539" w:type="pct"/>
            <w:gridSpan w:val="4"/>
            <w:tcBorders>
              <w:tl2br w:val="nil"/>
              <w:tr2bl w:val="nil"/>
            </w:tcBorders>
            <w:noWrap w:val="0"/>
            <w:vAlign w:val="center"/>
          </w:tcPr>
          <w:p w14:paraId="1CA63FDD">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污染物排放总量控制与减排措施情况</w:t>
            </w:r>
          </w:p>
        </w:tc>
        <w:tc>
          <w:tcPr>
            <w:tcW w:w="445" w:type="pct"/>
            <w:gridSpan w:val="2"/>
            <w:tcBorders>
              <w:tl2br w:val="nil"/>
              <w:tr2bl w:val="nil"/>
            </w:tcBorders>
            <w:noWrap w:val="0"/>
            <w:vAlign w:val="center"/>
          </w:tcPr>
          <w:p w14:paraId="661F7B97">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5</w:t>
            </w:r>
          </w:p>
        </w:tc>
        <w:tc>
          <w:tcPr>
            <w:tcW w:w="511" w:type="pct"/>
            <w:gridSpan w:val="2"/>
            <w:tcBorders>
              <w:tl2br w:val="nil"/>
              <w:tr2bl w:val="nil"/>
            </w:tcBorders>
            <w:noWrap w:val="0"/>
            <w:vAlign w:val="center"/>
          </w:tcPr>
          <w:p w14:paraId="267E4143">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5</w:t>
            </w:r>
          </w:p>
        </w:tc>
      </w:tr>
      <w:tr w14:paraId="5BC781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82" w:type="pct"/>
            <w:gridSpan w:val="2"/>
            <w:vMerge w:val="continue"/>
            <w:tcBorders>
              <w:tl2br w:val="nil"/>
              <w:tr2bl w:val="nil"/>
            </w:tcBorders>
            <w:noWrap w:val="0"/>
            <w:vAlign w:val="center"/>
          </w:tcPr>
          <w:p w14:paraId="066BB38C">
            <w:pPr>
              <w:adjustRightInd w:val="0"/>
              <w:snapToGrid w:val="0"/>
              <w:spacing w:line="240" w:lineRule="exact"/>
              <w:jc w:val="center"/>
              <w:rPr>
                <w:rFonts w:ascii="Times New Roman" w:hAnsi="Times New Roman" w:cs="Times New Roman"/>
                <w:color w:val="auto"/>
                <w:spacing w:val="4"/>
                <w:sz w:val="21"/>
                <w:szCs w:val="21"/>
              </w:rPr>
            </w:pPr>
          </w:p>
        </w:tc>
        <w:tc>
          <w:tcPr>
            <w:tcW w:w="420" w:type="pct"/>
            <w:gridSpan w:val="2"/>
            <w:vMerge w:val="continue"/>
            <w:tcBorders>
              <w:tl2br w:val="nil"/>
              <w:tr2bl w:val="nil"/>
            </w:tcBorders>
            <w:noWrap w:val="0"/>
            <w:vAlign w:val="center"/>
          </w:tcPr>
          <w:p w14:paraId="459F8249">
            <w:pPr>
              <w:adjustRightInd w:val="0"/>
              <w:snapToGrid w:val="0"/>
              <w:spacing w:line="240" w:lineRule="exact"/>
              <w:jc w:val="center"/>
              <w:rPr>
                <w:rFonts w:ascii="Times New Roman" w:hAnsi="Times New Roman" w:cs="Times New Roman"/>
                <w:color w:val="auto"/>
                <w:spacing w:val="4"/>
                <w:sz w:val="21"/>
                <w:szCs w:val="21"/>
              </w:rPr>
            </w:pPr>
          </w:p>
        </w:tc>
        <w:tc>
          <w:tcPr>
            <w:tcW w:w="2539" w:type="pct"/>
            <w:gridSpan w:val="4"/>
            <w:tcBorders>
              <w:tl2br w:val="nil"/>
              <w:tr2bl w:val="nil"/>
            </w:tcBorders>
            <w:noWrap w:val="0"/>
            <w:vAlign w:val="center"/>
          </w:tcPr>
          <w:p w14:paraId="769CBACE">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老污染源限期治理项目完成情况</w:t>
            </w:r>
          </w:p>
        </w:tc>
        <w:tc>
          <w:tcPr>
            <w:tcW w:w="445" w:type="pct"/>
            <w:gridSpan w:val="2"/>
            <w:tcBorders>
              <w:tl2br w:val="nil"/>
              <w:tr2bl w:val="nil"/>
            </w:tcBorders>
            <w:noWrap w:val="0"/>
            <w:vAlign w:val="center"/>
          </w:tcPr>
          <w:p w14:paraId="1948843A">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5</w:t>
            </w:r>
          </w:p>
        </w:tc>
        <w:tc>
          <w:tcPr>
            <w:tcW w:w="511" w:type="pct"/>
            <w:gridSpan w:val="2"/>
            <w:tcBorders>
              <w:tl2br w:val="nil"/>
              <w:tr2bl w:val="nil"/>
            </w:tcBorders>
            <w:noWrap w:val="0"/>
            <w:vAlign w:val="center"/>
          </w:tcPr>
          <w:p w14:paraId="3852F24B">
            <w:pPr>
              <w:adjustRightInd w:val="0"/>
              <w:snapToGrid w:val="0"/>
              <w:spacing w:line="240" w:lineRule="exact"/>
              <w:jc w:val="center"/>
              <w:rPr>
                <w:rFonts w:ascii="Times New Roman" w:hAnsi="Times New Roman" w:cs="Times New Roman"/>
                <w:color w:val="auto"/>
                <w:spacing w:val="4"/>
                <w:sz w:val="21"/>
                <w:szCs w:val="21"/>
              </w:rPr>
            </w:pPr>
            <w:r>
              <w:rPr>
                <w:rFonts w:ascii="Times New Roman" w:hAnsi="Times New Roman" w:cs="Times New Roman"/>
                <w:color w:val="auto"/>
                <w:spacing w:val="4"/>
                <w:sz w:val="21"/>
                <w:szCs w:val="21"/>
              </w:rPr>
              <w:t>5</w:t>
            </w:r>
          </w:p>
        </w:tc>
      </w:tr>
    </w:tbl>
    <w:p w14:paraId="1854CDE5">
      <w:pPr>
        <w:rPr>
          <w:color w:val="auto"/>
        </w:rPr>
        <w:sectPr>
          <w:footerReference r:id="rId8" w:type="even"/>
          <w:pgSz w:w="16838" w:h="11906" w:orient="landscape"/>
          <w:pgMar w:top="1814" w:right="1474" w:bottom="1474" w:left="1474" w:header="850" w:footer="992" w:gutter="0"/>
          <w:pgBorders>
            <w:top w:val="none" w:sz="0" w:space="0"/>
            <w:left w:val="none" w:sz="0" w:space="0"/>
            <w:bottom w:val="none" w:sz="0" w:space="0"/>
            <w:right w:val="none" w:sz="0" w:space="0"/>
          </w:pgBorders>
          <w:pgNumType w:fmt="decimal"/>
          <w:cols w:space="0" w:num="1"/>
          <w:rtlGutter w:val="0"/>
          <w:docGrid w:type="linesAndChars" w:linePitch="316" w:charSpace="0"/>
        </w:sectPr>
      </w:pPr>
    </w:p>
    <w:p w14:paraId="121A430C">
      <w:pPr>
        <w:pStyle w:val="54"/>
        <w:bidi w:val="0"/>
        <w:rPr>
          <w:rFonts w:hint="default"/>
          <w:color w:val="auto"/>
        </w:rPr>
      </w:pPr>
      <w:bookmarkStart w:id="489" w:name="_Toc28566"/>
      <w:bookmarkStart w:id="490" w:name="_Toc25360"/>
      <w:bookmarkStart w:id="491" w:name="_Toc109382921"/>
      <w:r>
        <w:rPr>
          <w:rFonts w:hint="default"/>
          <w:color w:val="auto"/>
        </w:rPr>
        <w:t>3.</w:t>
      </w:r>
      <w:r>
        <w:rPr>
          <w:rFonts w:hint="eastAsia"/>
          <w:color w:val="auto"/>
          <w:lang w:val="en-US" w:eastAsia="zh-CN"/>
        </w:rPr>
        <w:t xml:space="preserve">3.7 </w:t>
      </w:r>
      <w:r>
        <w:rPr>
          <w:rFonts w:hint="default"/>
          <w:color w:val="auto"/>
        </w:rPr>
        <w:t>污染物排放总量控制</w:t>
      </w:r>
      <w:bookmarkEnd w:id="489"/>
      <w:bookmarkEnd w:id="490"/>
      <w:bookmarkEnd w:id="491"/>
      <w:r>
        <w:rPr>
          <w:rFonts w:hint="default"/>
          <w:color w:val="auto"/>
        </w:rPr>
        <w:t xml:space="preserve"> </w:t>
      </w:r>
    </w:p>
    <w:p w14:paraId="614E5268">
      <w:pPr>
        <w:pStyle w:val="55"/>
        <w:bidi w:val="0"/>
        <w:rPr>
          <w:rFonts w:hint="default"/>
          <w:color w:val="auto"/>
        </w:rPr>
      </w:pPr>
      <w:r>
        <w:rPr>
          <w:rFonts w:hint="default"/>
          <w:color w:val="auto"/>
        </w:rPr>
        <w:t>3.</w:t>
      </w:r>
      <w:r>
        <w:rPr>
          <w:rFonts w:hint="eastAsia"/>
          <w:color w:val="auto"/>
          <w:lang w:val="en-US" w:eastAsia="zh-CN"/>
        </w:rPr>
        <w:t>3.7</w:t>
      </w:r>
      <w:r>
        <w:rPr>
          <w:rFonts w:hint="default"/>
          <w:color w:val="auto"/>
        </w:rPr>
        <w:t>.1</w:t>
      </w:r>
      <w:r>
        <w:rPr>
          <w:rFonts w:hint="eastAsia"/>
          <w:color w:val="auto"/>
          <w:lang w:val="en-US" w:eastAsia="zh-CN"/>
        </w:rPr>
        <w:t xml:space="preserve"> </w:t>
      </w:r>
      <w:r>
        <w:rPr>
          <w:rFonts w:hint="default"/>
          <w:color w:val="auto"/>
        </w:rPr>
        <w:t xml:space="preserve">总量控制原则 </w:t>
      </w:r>
    </w:p>
    <w:p w14:paraId="3FB3C201">
      <w:pPr>
        <w:pStyle w:val="79"/>
        <w:bidi w:val="0"/>
        <w:rPr>
          <w:rFonts w:hint="default"/>
          <w:color w:val="auto"/>
        </w:rPr>
      </w:pPr>
      <w:r>
        <w:rPr>
          <w:rFonts w:hint="default"/>
          <w:color w:val="auto"/>
        </w:rPr>
        <w:t>对污染物排放总量进行控制的原则是：将给定区域内污染源的污染物排放负荷控制在一定数量之内，使环境质量可以达到规定的环境目标。污染物总量控制方案的确定，在考虑污染物种类、污染源影响范围、区域环境质量、环境功能以及环境管理要求等因素的基础上，结合项目实际条件和控制措施的经济技术可行性进行。</w:t>
      </w:r>
    </w:p>
    <w:p w14:paraId="54EAF035">
      <w:pPr>
        <w:pStyle w:val="55"/>
        <w:bidi w:val="0"/>
        <w:rPr>
          <w:rFonts w:hint="default"/>
          <w:color w:val="auto"/>
        </w:rPr>
      </w:pPr>
      <w:r>
        <w:rPr>
          <w:rFonts w:hint="default"/>
          <w:color w:val="auto"/>
        </w:rPr>
        <w:t>3.</w:t>
      </w:r>
      <w:r>
        <w:rPr>
          <w:rFonts w:hint="eastAsia"/>
          <w:color w:val="auto"/>
          <w:lang w:val="en-US" w:eastAsia="zh-CN"/>
        </w:rPr>
        <w:t>3.7</w:t>
      </w:r>
      <w:r>
        <w:rPr>
          <w:rFonts w:hint="default"/>
          <w:color w:val="auto"/>
        </w:rPr>
        <w:t>.2</w:t>
      </w:r>
      <w:r>
        <w:rPr>
          <w:rFonts w:hint="eastAsia"/>
          <w:color w:val="auto"/>
          <w:lang w:val="en-US" w:eastAsia="zh-CN"/>
        </w:rPr>
        <w:t xml:space="preserve"> </w:t>
      </w:r>
      <w:r>
        <w:rPr>
          <w:rFonts w:hint="default"/>
          <w:color w:val="auto"/>
        </w:rPr>
        <w:t>污染物总量控制因子</w:t>
      </w:r>
    </w:p>
    <w:p w14:paraId="4ADB7D0B">
      <w:pPr>
        <w:pStyle w:val="53"/>
        <w:keepNext w:val="0"/>
        <w:keepLines w:val="0"/>
        <w:pageBreakBefore w:val="0"/>
        <w:kinsoku/>
        <w:wordWrap/>
        <w:overflowPunct/>
        <w:topLinePunct w:val="0"/>
        <w:autoSpaceDE/>
        <w:autoSpaceDN/>
        <w:bidi w:val="0"/>
        <w:spacing w:line="480" w:lineRule="exact"/>
        <w:textAlignment w:val="auto"/>
        <w:rPr>
          <w:rFonts w:hint="default" w:ascii="Times New Roman" w:hAnsi="Times New Roman" w:cs="Times New Roman"/>
          <w:color w:val="auto"/>
        </w:rPr>
      </w:pPr>
      <w:bookmarkStart w:id="492" w:name="_Hlk57195659"/>
      <w:r>
        <w:rPr>
          <w:rFonts w:hint="default" w:ascii="Times New Roman" w:hAnsi="Times New Roman" w:cs="Times New Roman"/>
          <w:color w:val="auto"/>
          <w:spacing w:val="-6"/>
          <w:sz w:val="24"/>
        </w:rPr>
        <w:t>根据国家</w:t>
      </w:r>
      <w:r>
        <w:rPr>
          <w:rFonts w:hint="eastAsia" w:cs="Times New Roman"/>
          <w:color w:val="auto"/>
          <w:spacing w:val="-6"/>
          <w:sz w:val="24"/>
          <w:lang w:eastAsia="zh-CN"/>
        </w:rPr>
        <w:t>“</w:t>
      </w:r>
      <w:r>
        <w:rPr>
          <w:rFonts w:hint="default" w:ascii="Times New Roman" w:hAnsi="Times New Roman" w:cs="Times New Roman"/>
          <w:color w:val="auto"/>
          <w:spacing w:val="-6"/>
          <w:sz w:val="24"/>
        </w:rPr>
        <w:t>十四五</w:t>
      </w:r>
      <w:r>
        <w:rPr>
          <w:rFonts w:hint="eastAsia" w:cs="Times New Roman"/>
          <w:color w:val="auto"/>
          <w:spacing w:val="-6"/>
          <w:sz w:val="24"/>
          <w:lang w:eastAsia="zh-CN"/>
        </w:rPr>
        <w:t>”</w:t>
      </w:r>
      <w:r>
        <w:rPr>
          <w:rFonts w:hint="default" w:ascii="Times New Roman" w:hAnsi="Times New Roman" w:cs="Times New Roman"/>
          <w:color w:val="auto"/>
          <w:spacing w:val="-6"/>
          <w:sz w:val="24"/>
        </w:rPr>
        <w:t>污染物排放总量控制要求，污染物排放总量控制因子如下：</w:t>
      </w:r>
    </w:p>
    <w:p w14:paraId="3A441AF6">
      <w:pPr>
        <w:pStyle w:val="53"/>
        <w:keepNext w:val="0"/>
        <w:keepLines w:val="0"/>
        <w:pageBreakBefore w:val="0"/>
        <w:kinsoku/>
        <w:wordWrap/>
        <w:overflowPunct/>
        <w:topLinePunct w:val="0"/>
        <w:autoSpaceDE/>
        <w:autoSpaceDN/>
        <w:bidi w:val="0"/>
        <w:spacing w:line="480" w:lineRule="exact"/>
        <w:textAlignment w:val="auto"/>
        <w:rPr>
          <w:rFonts w:hint="default" w:ascii="Times New Roman" w:hAnsi="Times New Roman" w:cs="Times New Roman"/>
          <w:color w:val="auto"/>
        </w:rPr>
      </w:pPr>
      <w:r>
        <w:rPr>
          <w:rFonts w:hint="default" w:ascii="Times New Roman" w:hAnsi="Times New Roman" w:cs="Times New Roman"/>
          <w:color w:val="auto"/>
        </w:rPr>
        <w:t>废气污染物：NO</w:t>
      </w:r>
      <w:r>
        <w:rPr>
          <w:rFonts w:hint="default" w:ascii="Times New Roman" w:hAnsi="Times New Roman" w:cs="Times New Roman"/>
          <w:color w:val="auto"/>
          <w:vertAlign w:val="subscript"/>
        </w:rPr>
        <w:t>X</w:t>
      </w:r>
      <w:r>
        <w:rPr>
          <w:rFonts w:hint="default" w:ascii="Times New Roman" w:hAnsi="Times New Roman" w:cs="Times New Roman"/>
          <w:color w:val="auto"/>
        </w:rPr>
        <w:t>、VOCs。</w:t>
      </w:r>
    </w:p>
    <w:p w14:paraId="1E7C5E41">
      <w:pPr>
        <w:pStyle w:val="53"/>
        <w:keepNext w:val="0"/>
        <w:keepLines w:val="0"/>
        <w:pageBreakBefore w:val="0"/>
        <w:kinsoku/>
        <w:wordWrap/>
        <w:overflowPunct/>
        <w:topLinePunct w:val="0"/>
        <w:autoSpaceDE/>
        <w:autoSpaceDN/>
        <w:bidi w:val="0"/>
        <w:spacing w:line="480" w:lineRule="exact"/>
        <w:textAlignment w:val="auto"/>
        <w:rPr>
          <w:rFonts w:hint="default" w:ascii="Times New Roman" w:hAnsi="Times New Roman" w:cs="Times New Roman"/>
          <w:color w:val="auto"/>
        </w:rPr>
      </w:pPr>
      <w:r>
        <w:rPr>
          <w:rFonts w:hint="default" w:ascii="Times New Roman" w:hAnsi="Times New Roman" w:cs="Times New Roman"/>
          <w:color w:val="auto"/>
        </w:rPr>
        <w:t>废水污染物：COD、NH</w:t>
      </w:r>
      <w:r>
        <w:rPr>
          <w:rFonts w:hint="default" w:ascii="Times New Roman" w:hAnsi="Times New Roman" w:cs="Times New Roman"/>
          <w:color w:val="auto"/>
          <w:vertAlign w:val="subscript"/>
        </w:rPr>
        <w:t>3</w:t>
      </w:r>
      <w:r>
        <w:rPr>
          <w:rFonts w:hint="default" w:ascii="Times New Roman" w:hAnsi="Times New Roman" w:cs="Times New Roman"/>
          <w:color w:val="auto"/>
        </w:rPr>
        <w:t>-N。</w:t>
      </w:r>
    </w:p>
    <w:p w14:paraId="62694599">
      <w:pPr>
        <w:keepNext w:val="0"/>
        <w:keepLines w:val="0"/>
        <w:pageBreakBefore w:val="0"/>
        <w:kinsoku/>
        <w:wordWrap/>
        <w:overflowPunct/>
        <w:topLinePunct w:val="0"/>
        <w:autoSpaceDE/>
        <w:autoSpaceDN/>
        <w:bidi w:val="0"/>
        <w:spacing w:line="480" w:lineRule="exact"/>
        <w:ind w:firstLine="578"/>
        <w:textAlignment w:val="auto"/>
        <w:outlineLvl w:val="9"/>
        <w:rPr>
          <w:rFonts w:hint="default" w:ascii="Times New Roman" w:hAnsi="Times New Roman" w:eastAsia="宋体" w:cs="Times New Roman"/>
          <w:bCs/>
          <w:color w:val="auto"/>
          <w:sz w:val="24"/>
          <w:szCs w:val="24"/>
          <w:highlight w:val="none"/>
          <w:lang w:val="en-US" w:eastAsia="zh-CN" w:bidi="ar-SA"/>
        </w:rPr>
      </w:pPr>
      <w:bookmarkStart w:id="493" w:name="_Toc12381"/>
      <w:r>
        <w:rPr>
          <w:rFonts w:hint="default" w:ascii="Times New Roman" w:hAnsi="Times New Roman" w:eastAsia="宋体" w:cs="Times New Roman"/>
          <w:bCs/>
          <w:color w:val="auto"/>
          <w:sz w:val="24"/>
          <w:szCs w:val="24"/>
          <w:highlight w:val="none"/>
          <w:lang w:val="en-US" w:eastAsia="zh-CN" w:bidi="ar-SA"/>
        </w:rPr>
        <w:t>（1）废气污染物</w:t>
      </w:r>
      <w:bookmarkEnd w:id="493"/>
    </w:p>
    <w:p w14:paraId="5E1A856E">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rFonts w:hint="default" w:ascii="Times New Roman" w:hAnsi="Times New Roman" w:eastAsia="宋体" w:cs="Times New Roman"/>
          <w:color w:val="auto"/>
          <w:kern w:val="24"/>
          <w:sz w:val="24"/>
          <w:szCs w:val="24"/>
          <w:highlight w:val="none"/>
        </w:rPr>
      </w:pPr>
      <w:r>
        <w:rPr>
          <w:rFonts w:hint="default" w:ascii="Times New Roman" w:hAnsi="Times New Roman" w:cs="Times New Roman"/>
          <w:color w:val="auto"/>
          <w:kern w:val="0"/>
          <w:sz w:val="24"/>
          <w:szCs w:val="24"/>
          <w:highlight w:val="none"/>
          <w:lang w:eastAsia="zh-CN"/>
        </w:rPr>
        <w:t>本工程</w:t>
      </w:r>
      <w:r>
        <w:rPr>
          <w:rFonts w:hint="eastAsia" w:cs="Times New Roman"/>
          <w:color w:val="auto"/>
          <w:kern w:val="0"/>
          <w:sz w:val="24"/>
          <w:szCs w:val="24"/>
          <w:highlight w:val="none"/>
          <w:lang w:val="en-US" w:eastAsia="zh-CN"/>
        </w:rPr>
        <w:t>天然</w:t>
      </w:r>
      <w:r>
        <w:rPr>
          <w:rFonts w:hint="default" w:ascii="Times New Roman" w:hAnsi="Times New Roman" w:cs="Times New Roman"/>
          <w:color w:val="auto"/>
          <w:kern w:val="0"/>
          <w:sz w:val="24"/>
          <w:szCs w:val="24"/>
          <w:highlight w:val="none"/>
          <w:lang w:eastAsia="zh-CN"/>
        </w:rPr>
        <w:t>气集输和处理采用密闭集输工艺</w:t>
      </w:r>
      <w:r>
        <w:rPr>
          <w:rFonts w:hint="eastAsia" w:cs="Times New Roman"/>
          <w:color w:val="auto"/>
          <w:kern w:val="0"/>
          <w:sz w:val="24"/>
          <w:szCs w:val="24"/>
          <w:highlight w:val="none"/>
          <w:lang w:val="en-US" w:eastAsia="zh-CN"/>
        </w:rPr>
        <w:t>、原油采用罐车拉运</w:t>
      </w:r>
      <w:r>
        <w:rPr>
          <w:rFonts w:hint="default" w:ascii="Times New Roman" w:hAnsi="Times New Roman" w:cs="Times New Roman"/>
          <w:color w:val="auto"/>
          <w:kern w:val="0"/>
          <w:sz w:val="24"/>
          <w:szCs w:val="24"/>
          <w:highlight w:val="none"/>
        </w:rPr>
        <w:t>，主要废气污染物为</w:t>
      </w:r>
      <w:r>
        <w:rPr>
          <w:rFonts w:hint="eastAsia" w:cs="Times New Roman"/>
          <w:color w:val="auto"/>
          <w:kern w:val="0"/>
          <w:sz w:val="24"/>
          <w:szCs w:val="24"/>
          <w:highlight w:val="none"/>
          <w:lang w:val="en-US" w:eastAsia="zh-CN"/>
        </w:rPr>
        <w:t>加热炉燃烧烟气、</w:t>
      </w:r>
      <w:r>
        <w:rPr>
          <w:rFonts w:hint="default" w:ascii="Times New Roman" w:hAnsi="Times New Roman" w:cs="Times New Roman"/>
          <w:color w:val="auto"/>
          <w:kern w:val="0"/>
          <w:sz w:val="24"/>
          <w:szCs w:val="24"/>
          <w:highlight w:val="none"/>
        </w:rPr>
        <w:t>集输过程中无组织烃类气体的挥发</w:t>
      </w:r>
      <w:r>
        <w:rPr>
          <w:rFonts w:hint="default" w:ascii="Times New Roman" w:hAnsi="Times New Roman" w:eastAsia="宋体" w:cs="Times New Roman"/>
          <w:color w:val="auto"/>
          <w:kern w:val="24"/>
          <w:sz w:val="24"/>
          <w:szCs w:val="24"/>
          <w:highlight w:val="none"/>
        </w:rPr>
        <w:t>。</w:t>
      </w:r>
    </w:p>
    <w:p w14:paraId="6F50E016">
      <w:pPr>
        <w:keepNext w:val="0"/>
        <w:keepLines w:val="0"/>
        <w:pageBreakBefore w:val="0"/>
        <w:kinsoku/>
        <w:wordWrap/>
        <w:overflowPunct/>
        <w:topLinePunct w:val="0"/>
        <w:autoSpaceDE/>
        <w:autoSpaceDN/>
        <w:bidi w:val="0"/>
        <w:spacing w:line="480" w:lineRule="exact"/>
        <w:ind w:firstLine="578"/>
        <w:textAlignment w:val="auto"/>
        <w:outlineLvl w:val="9"/>
        <w:rPr>
          <w:rFonts w:hint="default" w:ascii="Times New Roman" w:hAnsi="Times New Roman" w:eastAsia="宋体" w:cs="Times New Roman"/>
          <w:bCs/>
          <w:color w:val="auto"/>
          <w:sz w:val="24"/>
          <w:szCs w:val="24"/>
          <w:highlight w:val="none"/>
          <w:vertAlign w:val="subscript"/>
          <w:lang w:val="en-US" w:eastAsia="zh-CN" w:bidi="ar-SA"/>
        </w:rPr>
      </w:pPr>
      <w:bookmarkStart w:id="494" w:name="_Toc23859"/>
      <w:r>
        <w:rPr>
          <w:rFonts w:hint="default" w:ascii="Times New Roman" w:hAnsi="Times New Roman" w:eastAsia="宋体" w:cs="Times New Roman"/>
          <w:bCs/>
          <w:color w:val="auto"/>
          <w:sz w:val="24"/>
          <w:szCs w:val="24"/>
          <w:highlight w:val="none"/>
          <w:lang w:val="en-US" w:eastAsia="zh-CN" w:bidi="ar-SA"/>
        </w:rPr>
        <w:t>（2）废水污染物：</w:t>
      </w:r>
      <w:bookmarkEnd w:id="494"/>
    </w:p>
    <w:p w14:paraId="57CB2825">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生活污水暂存于生活污水池，定期由罐车拉运至英买力作业区生活污水处理装置处置；井下作业废水自带回收罐回收作业废水，拉运至英买力油田钻试修废弃物环保处理站处理</w:t>
      </w:r>
      <w:r>
        <w:rPr>
          <w:rFonts w:hint="eastAsia"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正常</w:t>
      </w:r>
      <w:r>
        <w:rPr>
          <w:rFonts w:hint="eastAsia" w:ascii="Times New Roman" w:hAnsi="Times New Roman" w:eastAsia="宋体" w:cs="Times New Roman"/>
          <w:color w:val="auto"/>
          <w:kern w:val="0"/>
          <w:sz w:val="24"/>
          <w:szCs w:val="24"/>
          <w:highlight w:val="none"/>
          <w:lang w:eastAsia="zh-CN"/>
        </w:rPr>
        <w:t>运营期</w:t>
      </w:r>
      <w:r>
        <w:rPr>
          <w:rFonts w:hint="default" w:ascii="Times New Roman" w:hAnsi="Times New Roman" w:eastAsia="宋体" w:cs="Times New Roman"/>
          <w:color w:val="auto"/>
          <w:kern w:val="0"/>
          <w:sz w:val="24"/>
          <w:szCs w:val="24"/>
          <w:highlight w:val="none"/>
        </w:rPr>
        <w:t>间，无废水外排，因此不对废水污染物进行总量控制。</w:t>
      </w:r>
    </w:p>
    <w:p w14:paraId="569F0961">
      <w:pPr>
        <w:pStyle w:val="53"/>
        <w:keepNext w:val="0"/>
        <w:keepLines w:val="0"/>
        <w:pageBreakBefore w:val="0"/>
        <w:kinsoku/>
        <w:wordWrap/>
        <w:overflowPunct/>
        <w:topLinePunct w:val="0"/>
        <w:autoSpaceDE/>
        <w:autoSpaceDN/>
        <w:bidi w:val="0"/>
        <w:spacing w:line="480" w:lineRule="exact"/>
        <w:textAlignment w:val="auto"/>
        <w:rPr>
          <w:rFonts w:hint="default" w:ascii="Times New Roman" w:hAnsi="Times New Roman" w:cs="Times New Roman"/>
          <w:color w:val="auto"/>
        </w:rPr>
      </w:pPr>
      <w:r>
        <w:rPr>
          <w:rFonts w:hint="default" w:ascii="Times New Roman" w:hAnsi="Times New Roman" w:cs="Times New Roman"/>
          <w:color w:val="auto"/>
          <w:kern w:val="0"/>
          <w:sz w:val="24"/>
          <w:szCs w:val="24"/>
          <w:highlight w:val="none"/>
        </w:rPr>
        <w:t>由上可知，</w:t>
      </w:r>
      <w:r>
        <w:rPr>
          <w:rFonts w:hint="default" w:ascii="Times New Roman" w:hAnsi="Times New Roman" w:cs="Times New Roman"/>
          <w:color w:val="auto"/>
          <w:kern w:val="0"/>
          <w:sz w:val="24"/>
          <w:szCs w:val="24"/>
          <w:highlight w:val="none"/>
          <w:lang w:eastAsia="zh-CN"/>
        </w:rPr>
        <w:t>本工程</w:t>
      </w:r>
      <w:r>
        <w:rPr>
          <w:rFonts w:hint="default" w:ascii="Times New Roman" w:hAnsi="Times New Roman" w:cs="Times New Roman"/>
          <w:color w:val="auto"/>
          <w:kern w:val="0"/>
          <w:sz w:val="24"/>
          <w:szCs w:val="24"/>
          <w:highlight w:val="none"/>
        </w:rPr>
        <w:t>总量控制因子：</w:t>
      </w:r>
      <w:r>
        <w:rPr>
          <w:rFonts w:hint="eastAsia" w:ascii="Times New Roman" w:hAnsi="Times New Roman" w:cs="Times New Roman"/>
          <w:color w:val="auto"/>
          <w:kern w:val="0"/>
          <w:sz w:val="24"/>
          <w:szCs w:val="24"/>
          <w:highlight w:val="none"/>
        </w:rPr>
        <w:t>NO</w:t>
      </w:r>
      <w:r>
        <w:rPr>
          <w:rFonts w:hint="eastAsia" w:ascii="Times New Roman" w:hAnsi="Times New Roman" w:cs="Times New Roman"/>
          <w:color w:val="auto"/>
          <w:kern w:val="0"/>
          <w:sz w:val="24"/>
          <w:szCs w:val="24"/>
          <w:highlight w:val="none"/>
          <w:vertAlign w:val="subscript"/>
        </w:rPr>
        <w:t>X</w:t>
      </w:r>
      <w:r>
        <w:rPr>
          <w:rFonts w:hint="default" w:ascii="Times New Roman" w:hAnsi="Times New Roman" w:cs="Times New Roman"/>
          <w:color w:val="auto"/>
        </w:rPr>
        <w:t>、</w:t>
      </w:r>
      <w:r>
        <w:rPr>
          <w:rFonts w:hint="default" w:ascii="Times New Roman" w:hAnsi="Times New Roman" w:cs="Times New Roman"/>
          <w:color w:val="auto"/>
          <w:kern w:val="0"/>
          <w:sz w:val="24"/>
          <w:szCs w:val="24"/>
          <w:highlight w:val="none"/>
        </w:rPr>
        <w:t>VOCs</w:t>
      </w:r>
      <w:r>
        <w:rPr>
          <w:rFonts w:hint="default" w:ascii="Times New Roman" w:hAnsi="Times New Roman" w:eastAsia="宋体" w:cs="Times New Roman"/>
          <w:color w:val="auto"/>
          <w:kern w:val="24"/>
          <w:sz w:val="24"/>
          <w:szCs w:val="24"/>
          <w:highlight w:val="none"/>
        </w:rPr>
        <w:t>。</w:t>
      </w:r>
    </w:p>
    <w:bookmarkEnd w:id="492"/>
    <w:p w14:paraId="60224925">
      <w:pPr>
        <w:pStyle w:val="55"/>
        <w:bidi w:val="0"/>
        <w:rPr>
          <w:rFonts w:hint="default"/>
          <w:color w:val="auto"/>
        </w:rPr>
      </w:pPr>
      <w:r>
        <w:rPr>
          <w:rFonts w:hint="default"/>
          <w:color w:val="auto"/>
        </w:rPr>
        <w:t>3.</w:t>
      </w:r>
      <w:r>
        <w:rPr>
          <w:rFonts w:hint="eastAsia"/>
          <w:color w:val="auto"/>
          <w:lang w:val="en-US" w:eastAsia="zh-CN"/>
        </w:rPr>
        <w:t>3.7</w:t>
      </w:r>
      <w:r>
        <w:rPr>
          <w:rFonts w:hint="default"/>
          <w:color w:val="auto"/>
        </w:rPr>
        <w:t>.3</w:t>
      </w:r>
      <w:r>
        <w:rPr>
          <w:rFonts w:hint="eastAsia"/>
          <w:color w:val="auto"/>
          <w:lang w:val="en-US" w:eastAsia="zh-CN"/>
        </w:rPr>
        <w:t xml:space="preserve"> </w:t>
      </w:r>
      <w:r>
        <w:rPr>
          <w:rFonts w:hint="default"/>
          <w:color w:val="auto"/>
        </w:rPr>
        <w:t>总量控制建议指标</w:t>
      </w:r>
    </w:p>
    <w:p w14:paraId="6631142E">
      <w:pPr>
        <w:pStyle w:val="79"/>
        <w:bidi w:val="0"/>
        <w:rPr>
          <w:rFonts w:hint="default"/>
          <w:color w:val="auto"/>
          <w:lang w:eastAsia="zh-CN"/>
        </w:rPr>
      </w:pPr>
      <w:bookmarkStart w:id="495" w:name="_Toc25675"/>
      <w:r>
        <w:rPr>
          <w:rFonts w:hint="default"/>
          <w:color w:val="auto"/>
        </w:rPr>
        <w:t>（1）</w:t>
      </w:r>
      <w:r>
        <w:rPr>
          <w:rFonts w:hint="default"/>
          <w:color w:val="auto"/>
          <w:lang w:val="en-US" w:eastAsia="zh-CN"/>
        </w:rPr>
        <w:t>施工期</w:t>
      </w:r>
      <w:bookmarkEnd w:id="495"/>
    </w:p>
    <w:p w14:paraId="3AF0CF25">
      <w:pPr>
        <w:pStyle w:val="79"/>
        <w:bidi w:val="0"/>
        <w:rPr>
          <w:rFonts w:hint="default"/>
          <w:color w:val="auto"/>
        </w:rPr>
      </w:pPr>
      <w:r>
        <w:rPr>
          <w:rFonts w:hint="default"/>
          <w:color w:val="auto"/>
        </w:rPr>
        <w:t>由于</w:t>
      </w:r>
      <w:r>
        <w:rPr>
          <w:rFonts w:hint="default"/>
          <w:color w:val="auto"/>
          <w:lang w:val="en-US" w:eastAsia="zh-CN"/>
        </w:rPr>
        <w:t>施工期</w:t>
      </w:r>
      <w:r>
        <w:rPr>
          <w:rFonts w:hint="default"/>
          <w:color w:val="auto"/>
        </w:rPr>
        <w:t>的</w:t>
      </w:r>
      <w:r>
        <w:rPr>
          <w:rFonts w:hint="default"/>
          <w:color w:val="auto"/>
          <w:lang w:val="en-US" w:eastAsia="zh-CN"/>
        </w:rPr>
        <w:t>地面工程</w:t>
      </w:r>
      <w:r>
        <w:rPr>
          <w:rFonts w:hint="default"/>
          <w:color w:val="auto"/>
        </w:rPr>
        <w:t>集中于较短时间内，</w:t>
      </w:r>
      <w:r>
        <w:rPr>
          <w:rFonts w:hint="default"/>
          <w:color w:val="auto"/>
          <w:lang w:val="en-US" w:eastAsia="zh-CN"/>
        </w:rPr>
        <w:t>地面工程</w:t>
      </w:r>
      <w:r>
        <w:rPr>
          <w:rFonts w:hint="default"/>
          <w:color w:val="auto"/>
        </w:rPr>
        <w:t>期间排放的污染物将随</w:t>
      </w:r>
      <w:r>
        <w:rPr>
          <w:rFonts w:hint="default"/>
          <w:color w:val="auto"/>
          <w:lang w:val="en-US" w:eastAsia="zh-CN"/>
        </w:rPr>
        <w:t>地面</w:t>
      </w:r>
      <w:r>
        <w:rPr>
          <w:rFonts w:hint="default"/>
          <w:color w:val="auto"/>
        </w:rPr>
        <w:t>工程的结束而消亡，故不考虑对</w:t>
      </w:r>
      <w:r>
        <w:rPr>
          <w:rFonts w:hint="default"/>
          <w:color w:val="auto"/>
          <w:lang w:val="en-US" w:eastAsia="zh-CN"/>
        </w:rPr>
        <w:t>施工</w:t>
      </w:r>
      <w:r>
        <w:rPr>
          <w:rFonts w:hint="default"/>
          <w:color w:val="auto"/>
        </w:rPr>
        <w:t>期间产生的污染物进行总量控制。</w:t>
      </w:r>
    </w:p>
    <w:p w14:paraId="11886869">
      <w:pPr>
        <w:pStyle w:val="79"/>
        <w:bidi w:val="0"/>
        <w:rPr>
          <w:rFonts w:hint="default"/>
          <w:color w:val="auto"/>
        </w:rPr>
      </w:pPr>
      <w:bookmarkStart w:id="496" w:name="_Toc29031"/>
      <w:r>
        <w:rPr>
          <w:rFonts w:hint="default"/>
          <w:color w:val="auto"/>
        </w:rPr>
        <w:t>（2）运营期</w:t>
      </w:r>
      <w:bookmarkEnd w:id="496"/>
    </w:p>
    <w:p w14:paraId="481C04D2">
      <w:pPr>
        <w:pStyle w:val="79"/>
        <w:bidi w:val="0"/>
        <w:rPr>
          <w:rFonts w:hint="eastAsia"/>
          <w:color w:val="auto"/>
        </w:rPr>
      </w:pPr>
      <w:bookmarkStart w:id="497" w:name="OLE_LINK212"/>
      <w:r>
        <w:rPr>
          <w:rFonts w:hint="eastAsia"/>
          <w:color w:val="auto"/>
        </w:rPr>
        <w:t>根据工程分析可知，本项目加热节流撬燃烧废气中NO</w:t>
      </w:r>
      <w:bookmarkStart w:id="498" w:name="OLE_LINK207"/>
      <w:r>
        <w:rPr>
          <w:rFonts w:hint="eastAsia"/>
          <w:color w:val="auto"/>
          <w:vertAlign w:val="subscript"/>
        </w:rPr>
        <w:t>X</w:t>
      </w:r>
      <w:bookmarkEnd w:id="498"/>
      <w:r>
        <w:rPr>
          <w:rFonts w:hint="eastAsia"/>
          <w:color w:val="auto"/>
        </w:rPr>
        <w:t>排放量为0.155t/a、VOCs排放量为0.0</w:t>
      </w:r>
      <w:r>
        <w:rPr>
          <w:rFonts w:hint="eastAsia"/>
          <w:color w:val="auto"/>
          <w:lang w:val="en-US" w:eastAsia="zh-CN"/>
        </w:rPr>
        <w:t>154</w:t>
      </w:r>
      <w:r>
        <w:rPr>
          <w:rFonts w:hint="eastAsia"/>
          <w:color w:val="auto"/>
        </w:rPr>
        <w:t>t/a；油气集输过程无组织挥发的VOCs量为</w:t>
      </w:r>
      <w:r>
        <w:rPr>
          <w:rFonts w:hint="eastAsia"/>
          <w:color w:val="auto"/>
          <w:lang w:val="en-US" w:eastAsia="zh-CN"/>
        </w:rPr>
        <w:t>3.3767</w:t>
      </w:r>
      <w:r>
        <w:rPr>
          <w:rFonts w:hint="eastAsia"/>
          <w:color w:val="auto"/>
        </w:rPr>
        <w:t>t/a。</w:t>
      </w:r>
    </w:p>
    <w:p w14:paraId="48D97F48">
      <w:pPr>
        <w:pStyle w:val="79"/>
        <w:bidi w:val="0"/>
        <w:rPr>
          <w:color w:val="auto"/>
        </w:rPr>
      </w:pPr>
      <w:r>
        <w:rPr>
          <w:rFonts w:hint="eastAsia"/>
          <w:color w:val="auto"/>
        </w:rPr>
        <w:t>故本项目投产后总量控制建议指标NO</w:t>
      </w:r>
      <w:bookmarkStart w:id="499" w:name="OLE_LINK211"/>
      <w:r>
        <w:rPr>
          <w:rFonts w:hint="eastAsia"/>
          <w:color w:val="auto"/>
          <w:vertAlign w:val="subscript"/>
        </w:rPr>
        <w:t>X</w:t>
      </w:r>
      <w:bookmarkEnd w:id="499"/>
      <w:r>
        <w:rPr>
          <w:rFonts w:hint="eastAsia"/>
          <w:color w:val="auto"/>
        </w:rPr>
        <w:t>为0.155t/a，VOCs为</w:t>
      </w:r>
      <w:r>
        <w:rPr>
          <w:rFonts w:hint="eastAsia"/>
          <w:color w:val="auto"/>
          <w:lang w:val="en-US" w:eastAsia="zh-CN"/>
        </w:rPr>
        <w:t>3.3921</w:t>
      </w:r>
      <w:r>
        <w:rPr>
          <w:rFonts w:hint="eastAsia"/>
          <w:color w:val="auto"/>
        </w:rPr>
        <w:t>t/a。</w:t>
      </w:r>
    </w:p>
    <w:p w14:paraId="3D576CB5">
      <w:pPr>
        <w:pStyle w:val="79"/>
        <w:bidi w:val="0"/>
        <w:rPr>
          <w:rFonts w:hint="default"/>
          <w:color w:val="auto"/>
        </w:rPr>
      </w:pPr>
      <w:r>
        <w:rPr>
          <w:rFonts w:hint="default"/>
          <w:color w:val="auto"/>
          <w:lang w:val="en-US" w:eastAsia="zh-CN"/>
        </w:rPr>
        <w:t>本次评价提出的建议值，供生态环境主管部门对本工程实施环境管理以及下达污染物排放总量控制指标时参考。</w:t>
      </w:r>
    </w:p>
    <w:bookmarkEnd w:id="497"/>
    <w:p w14:paraId="74F37410">
      <w:pPr>
        <w:pStyle w:val="75"/>
        <w:bidi w:val="0"/>
        <w:rPr>
          <w:rFonts w:hint="default"/>
          <w:color w:val="auto"/>
          <w:lang w:val="en-US" w:eastAsia="zh-CN"/>
        </w:rPr>
      </w:pPr>
      <w:bookmarkStart w:id="500" w:name="_Toc508291883"/>
      <w:bookmarkStart w:id="501" w:name="_Toc119915011"/>
      <w:bookmarkStart w:id="502" w:name="_Toc13316"/>
      <w:bookmarkStart w:id="503" w:name="_Toc21799"/>
      <w:bookmarkStart w:id="504" w:name="_Toc8341"/>
      <w:bookmarkStart w:id="505" w:name="_Toc25920"/>
      <w:bookmarkStart w:id="506" w:name="_Toc16724"/>
      <w:bookmarkStart w:id="507" w:name="_Toc17098"/>
      <w:bookmarkStart w:id="508" w:name="_Hlk68968407"/>
      <w:bookmarkStart w:id="509" w:name="_Hlk48603588"/>
      <w:bookmarkStart w:id="510" w:name="_Toc109382922"/>
      <w:bookmarkStart w:id="511" w:name="_Toc822"/>
      <w:bookmarkStart w:id="512" w:name="_Toc9220"/>
      <w:r>
        <w:rPr>
          <w:rFonts w:hint="default"/>
          <w:color w:val="auto"/>
          <w:lang w:val="en-US" w:eastAsia="zh-CN"/>
        </w:rPr>
        <w:t>3.</w:t>
      </w:r>
      <w:r>
        <w:rPr>
          <w:rFonts w:hint="eastAsia"/>
          <w:color w:val="auto"/>
          <w:lang w:val="en-US" w:eastAsia="zh-CN"/>
        </w:rPr>
        <w:t xml:space="preserve">4 </w:t>
      </w:r>
      <w:r>
        <w:rPr>
          <w:rFonts w:hint="default"/>
          <w:color w:val="auto"/>
          <w:lang w:val="en-US" w:eastAsia="zh-CN"/>
        </w:rPr>
        <w:t>相关</w:t>
      </w:r>
      <w:r>
        <w:rPr>
          <w:rFonts w:hint="eastAsia"/>
          <w:color w:val="auto"/>
          <w:lang w:val="en-US" w:eastAsia="zh-CN"/>
        </w:rPr>
        <w:t>政策</w:t>
      </w:r>
      <w:r>
        <w:rPr>
          <w:rFonts w:hint="default"/>
          <w:color w:val="auto"/>
          <w:lang w:val="en-US" w:eastAsia="zh-CN"/>
        </w:rPr>
        <w:t>法规、</w:t>
      </w:r>
      <w:r>
        <w:rPr>
          <w:rFonts w:hint="eastAsia"/>
          <w:color w:val="auto"/>
          <w:lang w:val="en-US" w:eastAsia="zh-CN"/>
        </w:rPr>
        <w:t>规划</w:t>
      </w:r>
      <w:r>
        <w:rPr>
          <w:rFonts w:hint="default"/>
          <w:color w:val="auto"/>
          <w:lang w:val="en-US" w:eastAsia="zh-CN"/>
        </w:rPr>
        <w:t>符合性分析</w:t>
      </w:r>
      <w:bookmarkEnd w:id="500"/>
      <w:bookmarkEnd w:id="501"/>
      <w:bookmarkEnd w:id="502"/>
      <w:bookmarkEnd w:id="503"/>
      <w:bookmarkEnd w:id="504"/>
      <w:bookmarkEnd w:id="505"/>
      <w:bookmarkEnd w:id="506"/>
      <w:bookmarkEnd w:id="507"/>
    </w:p>
    <w:bookmarkEnd w:id="508"/>
    <w:p w14:paraId="1FD93D5E">
      <w:pPr>
        <w:pStyle w:val="54"/>
        <w:bidi w:val="0"/>
        <w:rPr>
          <w:rFonts w:hint="default"/>
          <w:color w:val="auto"/>
        </w:rPr>
      </w:pPr>
      <w:r>
        <w:rPr>
          <w:rFonts w:hint="default"/>
          <w:color w:val="auto"/>
        </w:rPr>
        <w:t>3.</w:t>
      </w:r>
      <w:r>
        <w:rPr>
          <w:rFonts w:hint="eastAsia"/>
          <w:color w:val="auto"/>
          <w:lang w:val="en-US" w:eastAsia="zh-CN"/>
        </w:rPr>
        <w:t>4</w:t>
      </w:r>
      <w:r>
        <w:rPr>
          <w:rFonts w:hint="default"/>
          <w:color w:val="auto"/>
        </w:rPr>
        <w:t>.1</w:t>
      </w:r>
      <w:r>
        <w:rPr>
          <w:rFonts w:hint="eastAsia"/>
          <w:color w:val="auto"/>
          <w:lang w:val="en-US" w:eastAsia="zh-CN"/>
        </w:rPr>
        <w:t xml:space="preserve"> </w:t>
      </w:r>
      <w:r>
        <w:rPr>
          <w:rFonts w:hint="default"/>
          <w:color w:val="auto"/>
        </w:rPr>
        <w:t>产业政策符合性分析</w:t>
      </w:r>
    </w:p>
    <w:p w14:paraId="48A666A8">
      <w:pPr>
        <w:pStyle w:val="79"/>
        <w:bidi w:val="0"/>
        <w:rPr>
          <w:rFonts w:hint="default"/>
          <w:color w:val="auto"/>
        </w:rPr>
      </w:pPr>
      <w:r>
        <w:rPr>
          <w:rFonts w:hint="default"/>
          <w:color w:val="auto"/>
        </w:rPr>
        <w:t>石油天然气开采业是当前国民经济的重要基础产业和支柱产业，根据《产业结构调整指导目录（2024年本）》，</w:t>
      </w:r>
      <w:r>
        <w:rPr>
          <w:rFonts w:hint="eastAsia"/>
          <w:color w:val="auto"/>
          <w:lang w:eastAsia="zh-CN"/>
        </w:rPr>
        <w:t>“</w:t>
      </w:r>
      <w:r>
        <w:rPr>
          <w:rFonts w:hint="default"/>
          <w:color w:val="auto"/>
          <w:lang w:val="en-US" w:eastAsia="zh-CN"/>
        </w:rPr>
        <w:t>第一类鼓励类</w:t>
      </w:r>
      <w:r>
        <w:rPr>
          <w:rFonts w:hint="eastAsia"/>
          <w:color w:val="auto"/>
          <w:lang w:val="en-US" w:eastAsia="zh-CN"/>
        </w:rPr>
        <w:t>”</w:t>
      </w:r>
      <w:r>
        <w:rPr>
          <w:rFonts w:hint="default"/>
          <w:color w:val="auto"/>
          <w:lang w:val="en-US" w:eastAsia="zh-CN"/>
        </w:rPr>
        <w:t>：</w:t>
      </w:r>
      <w:r>
        <w:rPr>
          <w:rFonts w:hint="eastAsia"/>
          <w:color w:val="auto"/>
          <w:lang w:val="en-US" w:eastAsia="zh-CN"/>
        </w:rPr>
        <w:t>“</w:t>
      </w:r>
      <w:r>
        <w:rPr>
          <w:rFonts w:hint="default"/>
          <w:color w:val="auto"/>
          <w:lang w:val="en-US" w:eastAsia="zh-CN"/>
        </w:rPr>
        <w:t>七、石油、天然气</w:t>
      </w:r>
      <w:r>
        <w:rPr>
          <w:rFonts w:hint="eastAsia"/>
          <w:color w:val="auto"/>
          <w:lang w:val="en-US" w:eastAsia="zh-CN"/>
        </w:rPr>
        <w:t>”</w:t>
      </w:r>
      <w:r>
        <w:rPr>
          <w:rFonts w:hint="default"/>
          <w:color w:val="auto"/>
          <w:lang w:val="en-US" w:eastAsia="zh-CN"/>
        </w:rPr>
        <w:t>中</w:t>
      </w:r>
      <w:r>
        <w:rPr>
          <w:rFonts w:hint="eastAsia"/>
          <w:color w:val="auto"/>
          <w:lang w:val="en-US" w:eastAsia="zh-CN"/>
        </w:rPr>
        <w:t>“</w:t>
      </w:r>
      <w:r>
        <w:rPr>
          <w:rFonts w:hint="default"/>
          <w:color w:val="auto"/>
          <w:lang w:val="en-US" w:eastAsia="zh-CN"/>
        </w:rPr>
        <w:t>1、</w:t>
      </w:r>
      <w:r>
        <w:rPr>
          <w:rFonts w:hint="default"/>
          <w:color w:val="auto"/>
          <w:lang w:val="zh-CN"/>
        </w:rPr>
        <w:t>常规石油、天然气勘探与开采</w:t>
      </w:r>
      <w:r>
        <w:rPr>
          <w:rFonts w:hint="eastAsia"/>
          <w:color w:val="auto"/>
          <w:lang w:val="zh-CN"/>
        </w:rPr>
        <w:t>”</w:t>
      </w:r>
      <w:r>
        <w:rPr>
          <w:rFonts w:hint="default"/>
          <w:color w:val="auto"/>
        </w:rPr>
        <w:t>属于</w:t>
      </w:r>
      <w:r>
        <w:rPr>
          <w:rFonts w:hint="eastAsia"/>
          <w:color w:val="auto"/>
          <w:lang w:eastAsia="zh-CN"/>
        </w:rPr>
        <w:t>“</w:t>
      </w:r>
      <w:r>
        <w:rPr>
          <w:rFonts w:hint="default"/>
          <w:color w:val="auto"/>
        </w:rPr>
        <w:t>鼓励类</w:t>
      </w:r>
      <w:r>
        <w:rPr>
          <w:rFonts w:hint="eastAsia"/>
          <w:color w:val="auto"/>
          <w:lang w:eastAsia="zh-CN"/>
        </w:rPr>
        <w:t>”</w:t>
      </w:r>
      <w:r>
        <w:rPr>
          <w:rFonts w:hint="default"/>
          <w:color w:val="auto"/>
        </w:rPr>
        <w:t>项目，本工程建设符合国家产业政策。本工程的实施，对于保障国家能源安全，促进国民经济健康快速发展具有极其重要的战略意义。</w:t>
      </w:r>
    </w:p>
    <w:p w14:paraId="7AD6FE9F">
      <w:pPr>
        <w:pStyle w:val="54"/>
        <w:bidi w:val="0"/>
        <w:rPr>
          <w:rFonts w:hint="default"/>
          <w:color w:val="auto"/>
          <w:lang w:val="en-US" w:eastAsia="zh-CN"/>
        </w:rPr>
      </w:pPr>
      <w:r>
        <w:rPr>
          <w:rFonts w:hint="eastAsia"/>
          <w:color w:val="auto"/>
          <w:lang w:val="en-US" w:eastAsia="zh-CN"/>
        </w:rPr>
        <w:t>3.4.2相关法规、政策、规范、规划符合性分析</w:t>
      </w:r>
    </w:p>
    <w:p w14:paraId="7DA1827B">
      <w:pPr>
        <w:pStyle w:val="55"/>
        <w:bidi w:val="0"/>
        <w:rPr>
          <w:rFonts w:hint="default"/>
          <w:color w:val="auto"/>
        </w:rPr>
      </w:pPr>
      <w:r>
        <w:rPr>
          <w:rFonts w:hint="default"/>
          <w:color w:val="auto"/>
        </w:rPr>
        <w:t>3.</w:t>
      </w:r>
      <w:r>
        <w:rPr>
          <w:rFonts w:hint="eastAsia"/>
          <w:color w:val="auto"/>
          <w:lang w:val="en-US" w:eastAsia="zh-CN"/>
        </w:rPr>
        <w:t xml:space="preserve">4.2.1 </w:t>
      </w:r>
      <w:r>
        <w:rPr>
          <w:rFonts w:hint="default"/>
          <w:color w:val="auto"/>
        </w:rPr>
        <w:t>与《陆上石油天然气开采业绿色矿山建设规范》的符合性分析</w:t>
      </w:r>
    </w:p>
    <w:p w14:paraId="368C4C19">
      <w:pPr>
        <w:pStyle w:val="79"/>
        <w:bidi w:val="0"/>
        <w:rPr>
          <w:rFonts w:hint="default"/>
          <w:color w:val="auto"/>
        </w:rPr>
      </w:pPr>
      <w:r>
        <w:rPr>
          <w:rFonts w:hint="default"/>
          <w:color w:val="auto"/>
          <w:lang w:eastAsia="zh-CN"/>
        </w:rPr>
        <w:t>本工程</w:t>
      </w:r>
      <w:r>
        <w:rPr>
          <w:rFonts w:hint="default"/>
          <w:color w:val="auto"/>
        </w:rPr>
        <w:t>运营期采取的各项环保措施与《陆上石油天然气开采业绿色矿山建设规范》（DZ/T0317-2018）中要求的相符性分析</w:t>
      </w:r>
      <w:r>
        <w:rPr>
          <w:rFonts w:hint="eastAsia"/>
          <w:color w:val="auto"/>
          <w:lang w:eastAsia="zh-CN"/>
        </w:rPr>
        <w:t>，</w:t>
      </w:r>
      <w:r>
        <w:rPr>
          <w:rFonts w:hint="default"/>
          <w:color w:val="auto"/>
        </w:rPr>
        <w:t>见表</w:t>
      </w:r>
      <w:r>
        <w:rPr>
          <w:rFonts w:hint="eastAsia"/>
          <w:color w:val="auto"/>
          <w:lang w:val="en-US" w:eastAsia="zh-CN"/>
        </w:rPr>
        <w:t>3.4-1</w:t>
      </w:r>
      <w:r>
        <w:rPr>
          <w:rFonts w:hint="default"/>
          <w:color w:val="auto"/>
        </w:rPr>
        <w:t>。</w:t>
      </w:r>
    </w:p>
    <w:p w14:paraId="77D522D1">
      <w:pPr>
        <w:pStyle w:val="61"/>
        <w:bidi w:val="0"/>
        <w:jc w:val="both"/>
        <w:rPr>
          <w:rFonts w:hint="default"/>
          <w:color w:val="auto"/>
          <w:lang w:val="en-US" w:eastAsia="zh-CN"/>
        </w:rPr>
      </w:pPr>
      <w:r>
        <w:rPr>
          <w:rFonts w:hint="default"/>
          <w:color w:val="auto"/>
          <w:lang w:val="en-US" w:eastAsia="zh-CN"/>
        </w:rPr>
        <w:t>表3.</w:t>
      </w:r>
      <w:r>
        <w:rPr>
          <w:rFonts w:hint="eastAsia"/>
          <w:color w:val="auto"/>
          <w:lang w:val="en-US" w:eastAsia="zh-CN"/>
        </w:rPr>
        <w:t xml:space="preserve">4-1  </w:t>
      </w:r>
      <w:r>
        <w:rPr>
          <w:rFonts w:hint="default"/>
          <w:color w:val="auto"/>
          <w:lang w:val="en-US" w:eastAsia="zh-CN"/>
        </w:rPr>
        <w:t>本工程与《陆上石油天然气开采业绿色矿山建设规范》的相符性分析</w:t>
      </w:r>
    </w:p>
    <w:tbl>
      <w:tblPr>
        <w:tblStyle w:val="36"/>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3796"/>
        <w:gridCol w:w="4068"/>
        <w:gridCol w:w="807"/>
      </w:tblGrid>
      <w:tr w14:paraId="04E284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83" w:hRule="atLeast"/>
          <w:jc w:val="center"/>
        </w:trPr>
        <w:tc>
          <w:tcPr>
            <w:tcW w:w="2189" w:type="pct"/>
            <w:tcBorders>
              <w:tl2br w:val="nil"/>
              <w:tr2bl w:val="nil"/>
            </w:tcBorders>
            <w:noWrap w:val="0"/>
            <w:vAlign w:val="center"/>
          </w:tcPr>
          <w:p w14:paraId="35C4E40C">
            <w:pPr>
              <w:keepNext w:val="0"/>
              <w:keepLines w:val="0"/>
              <w:pageBreakBefore w:val="0"/>
              <w:widowControl/>
              <w:kinsoku/>
              <w:wordWrap/>
              <w:overflowPunct/>
              <w:topLinePunct/>
              <w:autoSpaceDE/>
              <w:autoSpaceDN/>
              <w:bidi w:val="0"/>
              <w:snapToGrid/>
              <w:spacing w:line="400" w:lineRule="exact"/>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《陆上石油天然气开采业绿色矿山建设规范》</w:t>
            </w:r>
          </w:p>
        </w:tc>
        <w:tc>
          <w:tcPr>
            <w:tcW w:w="2345" w:type="pct"/>
            <w:tcBorders>
              <w:tl2br w:val="nil"/>
              <w:tr2bl w:val="nil"/>
            </w:tcBorders>
            <w:noWrap w:val="0"/>
            <w:vAlign w:val="center"/>
          </w:tcPr>
          <w:p w14:paraId="249BC2EE">
            <w:pPr>
              <w:keepNext w:val="0"/>
              <w:keepLines w:val="0"/>
              <w:pageBreakBefore w:val="0"/>
              <w:widowControl/>
              <w:kinsoku/>
              <w:wordWrap/>
              <w:overflowPunct/>
              <w:autoSpaceDE/>
              <w:autoSpaceDN/>
              <w:bidi w:val="0"/>
              <w:snapToGrid/>
              <w:spacing w:line="400" w:lineRule="exact"/>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项目采取的相关措施</w:t>
            </w:r>
          </w:p>
        </w:tc>
        <w:tc>
          <w:tcPr>
            <w:tcW w:w="465" w:type="pct"/>
            <w:tcBorders>
              <w:tl2br w:val="nil"/>
              <w:tr2bl w:val="nil"/>
            </w:tcBorders>
            <w:noWrap w:val="0"/>
            <w:vAlign w:val="center"/>
          </w:tcPr>
          <w:p w14:paraId="7DED0D96">
            <w:pPr>
              <w:keepNext w:val="0"/>
              <w:keepLines w:val="0"/>
              <w:pageBreakBefore w:val="0"/>
              <w:widowControl/>
              <w:kinsoku/>
              <w:wordWrap/>
              <w:overflowPunct/>
              <w:autoSpaceDE/>
              <w:autoSpaceDN/>
              <w:bidi w:val="0"/>
              <w:snapToGrid/>
              <w:spacing w:line="400" w:lineRule="exact"/>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符合性</w:t>
            </w:r>
          </w:p>
          <w:p w14:paraId="0F001AFD">
            <w:pPr>
              <w:keepNext w:val="0"/>
              <w:keepLines w:val="0"/>
              <w:pageBreakBefore w:val="0"/>
              <w:widowControl/>
              <w:kinsoku/>
              <w:wordWrap/>
              <w:overflowPunct/>
              <w:autoSpaceDE/>
              <w:autoSpaceDN/>
              <w:bidi w:val="0"/>
              <w:snapToGrid/>
              <w:spacing w:line="400" w:lineRule="exact"/>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分析</w:t>
            </w:r>
          </w:p>
        </w:tc>
      </w:tr>
      <w:tr w14:paraId="4F48E4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223" w:hRule="atLeast"/>
          <w:jc w:val="center"/>
        </w:trPr>
        <w:tc>
          <w:tcPr>
            <w:tcW w:w="2189" w:type="pct"/>
            <w:tcBorders>
              <w:tl2br w:val="nil"/>
              <w:tr2bl w:val="nil"/>
            </w:tcBorders>
            <w:noWrap w:val="0"/>
            <w:vAlign w:val="center"/>
          </w:tcPr>
          <w:p w14:paraId="693228AB">
            <w:pPr>
              <w:keepNext w:val="0"/>
              <w:keepLines w:val="0"/>
              <w:pageBreakBefore w:val="0"/>
              <w:widowControl/>
              <w:kinsoku/>
              <w:wordWrap/>
              <w:overflowPunct/>
              <w:topLinePunct/>
              <w:autoSpaceDE/>
              <w:autoSpaceDN/>
              <w:bidi w:val="0"/>
              <w:snapToGrid/>
              <w:spacing w:line="400" w:lineRule="exact"/>
              <w:jc w:val="both"/>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因矿制宜选择开采工艺和装备，符合清洁生产要求。应贯彻“边开采，边治理，边恢复”的原则，及时治理恢复矿区地质环境，复垦矿区压占和损毁土地。</w:t>
            </w:r>
          </w:p>
        </w:tc>
        <w:tc>
          <w:tcPr>
            <w:tcW w:w="2345" w:type="pct"/>
            <w:tcBorders>
              <w:tl2br w:val="nil"/>
              <w:tr2bl w:val="nil"/>
            </w:tcBorders>
            <w:noWrap w:val="0"/>
            <w:vAlign w:val="center"/>
          </w:tcPr>
          <w:p w14:paraId="17F0E922">
            <w:pPr>
              <w:keepNext w:val="0"/>
              <w:keepLines w:val="0"/>
              <w:pageBreakBefore w:val="0"/>
              <w:widowControl/>
              <w:kinsoku/>
              <w:wordWrap/>
              <w:overflowPunct/>
              <w:autoSpaceDE/>
              <w:autoSpaceDN/>
              <w:bidi w:val="0"/>
              <w:snapToGrid/>
              <w:spacing w:line="400" w:lineRule="exact"/>
              <w:jc w:val="both"/>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rPr>
              <w:t>项目提出施工期结束后，恢复管线临时占地，符合“边开采，边治理，边恢复”的原则</w:t>
            </w:r>
            <w:r>
              <w:rPr>
                <w:rFonts w:hint="default" w:ascii="Times New Roman" w:hAnsi="Times New Roman" w:cs="Times New Roman"/>
                <w:color w:val="auto"/>
                <w:kern w:val="0"/>
                <w:sz w:val="21"/>
                <w:szCs w:val="21"/>
                <w:highlight w:val="none"/>
                <w:lang w:eastAsia="zh-CN"/>
              </w:rPr>
              <w:t>。</w:t>
            </w:r>
          </w:p>
        </w:tc>
        <w:tc>
          <w:tcPr>
            <w:tcW w:w="465" w:type="pct"/>
            <w:tcBorders>
              <w:tl2br w:val="nil"/>
              <w:tr2bl w:val="nil"/>
            </w:tcBorders>
            <w:noWrap w:val="0"/>
            <w:vAlign w:val="center"/>
          </w:tcPr>
          <w:p w14:paraId="20E85816">
            <w:pPr>
              <w:keepNext w:val="0"/>
              <w:keepLines w:val="0"/>
              <w:pageBreakBefore w:val="0"/>
              <w:widowControl/>
              <w:kinsoku/>
              <w:wordWrap/>
              <w:overflowPunct/>
              <w:autoSpaceDE/>
              <w:autoSpaceDN/>
              <w:bidi w:val="0"/>
              <w:snapToGrid/>
              <w:spacing w:line="400" w:lineRule="exact"/>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符合</w:t>
            </w:r>
          </w:p>
        </w:tc>
      </w:tr>
      <w:tr w14:paraId="7CDDBC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95" w:hRule="atLeast"/>
          <w:jc w:val="center"/>
        </w:trPr>
        <w:tc>
          <w:tcPr>
            <w:tcW w:w="2189" w:type="pct"/>
            <w:tcBorders>
              <w:tl2br w:val="nil"/>
              <w:tr2bl w:val="nil"/>
            </w:tcBorders>
            <w:noWrap w:val="0"/>
            <w:vAlign w:val="center"/>
          </w:tcPr>
          <w:p w14:paraId="36BAFF3A">
            <w:pPr>
              <w:keepNext w:val="0"/>
              <w:keepLines w:val="0"/>
              <w:pageBreakBefore w:val="0"/>
              <w:widowControl/>
              <w:kinsoku/>
              <w:wordWrap/>
              <w:overflowPunct/>
              <w:topLinePunct/>
              <w:autoSpaceDE/>
              <w:autoSpaceDN/>
              <w:bidi w:val="0"/>
              <w:snapToGrid/>
              <w:spacing w:line="400" w:lineRule="exact"/>
              <w:jc w:val="both"/>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应遵循矿区油气资源赋存状况、生态环境特征等条件，科学合理地确定开发方案，选择与油气藏类型相适应的先进开采技术和工艺，推广使用成熟、先进的技术装备，严禁使用国家明文规定的限制和淘汰的技术工艺及装备。</w:t>
            </w:r>
          </w:p>
        </w:tc>
        <w:tc>
          <w:tcPr>
            <w:tcW w:w="2345" w:type="pct"/>
            <w:tcBorders>
              <w:tl2br w:val="nil"/>
              <w:tr2bl w:val="nil"/>
            </w:tcBorders>
            <w:noWrap w:val="0"/>
            <w:vAlign w:val="center"/>
          </w:tcPr>
          <w:p w14:paraId="0E15A441">
            <w:pPr>
              <w:keepNext w:val="0"/>
              <w:keepLines w:val="0"/>
              <w:pageBreakBefore w:val="0"/>
              <w:widowControl/>
              <w:kinsoku/>
              <w:wordWrap/>
              <w:overflowPunct/>
              <w:autoSpaceDE/>
              <w:autoSpaceDN/>
              <w:bidi w:val="0"/>
              <w:snapToGrid/>
              <w:spacing w:line="400" w:lineRule="exact"/>
              <w:jc w:val="both"/>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本工程</w:t>
            </w:r>
            <w:r>
              <w:rPr>
                <w:rFonts w:hint="default" w:ascii="Times New Roman" w:hAnsi="Times New Roman" w:cs="Times New Roman"/>
                <w:color w:val="auto"/>
                <w:kern w:val="0"/>
                <w:sz w:val="21"/>
                <w:szCs w:val="21"/>
                <w:highlight w:val="none"/>
              </w:rPr>
              <w:t>开发方案设计考虑了油气资源赋存状况、生态环境特征等条件，所选用的技术和工艺均成熟、先进</w:t>
            </w:r>
            <w:r>
              <w:rPr>
                <w:rFonts w:hint="default" w:ascii="Times New Roman" w:hAnsi="Times New Roman" w:cs="Times New Roman"/>
                <w:color w:val="auto"/>
                <w:kern w:val="0"/>
                <w:sz w:val="21"/>
                <w:szCs w:val="21"/>
                <w:highlight w:val="none"/>
                <w:lang w:eastAsia="zh-CN"/>
              </w:rPr>
              <w:t>。</w:t>
            </w:r>
          </w:p>
        </w:tc>
        <w:tc>
          <w:tcPr>
            <w:tcW w:w="465" w:type="pct"/>
            <w:tcBorders>
              <w:tl2br w:val="nil"/>
              <w:tr2bl w:val="nil"/>
            </w:tcBorders>
            <w:noWrap w:val="0"/>
            <w:vAlign w:val="center"/>
          </w:tcPr>
          <w:p w14:paraId="33233D24">
            <w:pPr>
              <w:keepNext w:val="0"/>
              <w:keepLines w:val="0"/>
              <w:pageBreakBefore w:val="0"/>
              <w:widowControl/>
              <w:kinsoku/>
              <w:wordWrap/>
              <w:overflowPunct/>
              <w:autoSpaceDE/>
              <w:autoSpaceDN/>
              <w:bidi w:val="0"/>
              <w:snapToGrid/>
              <w:spacing w:line="400" w:lineRule="exact"/>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符合</w:t>
            </w:r>
          </w:p>
        </w:tc>
      </w:tr>
      <w:tr w14:paraId="0D8D4E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74" w:hRule="atLeast"/>
          <w:jc w:val="center"/>
        </w:trPr>
        <w:tc>
          <w:tcPr>
            <w:tcW w:w="2189" w:type="pct"/>
            <w:tcBorders>
              <w:tl2br w:val="nil"/>
              <w:tr2bl w:val="nil"/>
            </w:tcBorders>
            <w:noWrap w:val="0"/>
            <w:vAlign w:val="center"/>
          </w:tcPr>
          <w:p w14:paraId="59776605">
            <w:pPr>
              <w:keepNext w:val="0"/>
              <w:keepLines w:val="0"/>
              <w:pageBreakBefore w:val="0"/>
              <w:widowControl/>
              <w:kinsoku/>
              <w:wordWrap/>
              <w:overflowPunct/>
              <w:topLinePunct/>
              <w:autoSpaceDE/>
              <w:autoSpaceDN/>
              <w:bidi w:val="0"/>
              <w:snapToGrid/>
              <w:spacing w:line="400" w:lineRule="exact"/>
              <w:jc w:val="both"/>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集约节约利用土地资源，土地利用符合用地指标政策。合理确定站址、场址、管网、路网建设占地规模。</w:t>
            </w:r>
          </w:p>
        </w:tc>
        <w:tc>
          <w:tcPr>
            <w:tcW w:w="2345" w:type="pct"/>
            <w:tcBorders>
              <w:tl2br w:val="nil"/>
              <w:tr2bl w:val="nil"/>
            </w:tcBorders>
            <w:noWrap w:val="0"/>
            <w:vAlign w:val="center"/>
          </w:tcPr>
          <w:p w14:paraId="7FF2EAEA">
            <w:pPr>
              <w:keepNext w:val="0"/>
              <w:keepLines w:val="0"/>
              <w:pageBreakBefore w:val="0"/>
              <w:widowControl/>
              <w:kinsoku/>
              <w:wordWrap/>
              <w:overflowPunct/>
              <w:autoSpaceDE/>
              <w:autoSpaceDN/>
              <w:bidi w:val="0"/>
              <w:snapToGrid/>
              <w:spacing w:line="400" w:lineRule="exact"/>
              <w:jc w:val="both"/>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rPr>
              <w:t>项目</w:t>
            </w:r>
            <w:r>
              <w:rPr>
                <w:rFonts w:hint="eastAsia" w:cs="Times New Roman"/>
                <w:color w:val="auto"/>
                <w:kern w:val="0"/>
                <w:sz w:val="21"/>
                <w:szCs w:val="21"/>
                <w:highlight w:val="none"/>
                <w:lang w:val="en-US" w:eastAsia="zh-CN"/>
              </w:rPr>
              <w:t>场站</w:t>
            </w:r>
            <w:r>
              <w:rPr>
                <w:rFonts w:hint="default" w:ascii="Times New Roman" w:hAnsi="Times New Roman" w:cs="Times New Roman"/>
                <w:color w:val="auto"/>
                <w:kern w:val="0"/>
                <w:sz w:val="21"/>
                <w:szCs w:val="21"/>
                <w:highlight w:val="none"/>
              </w:rPr>
              <w:t>、管线占地规模均从土地资源节约方面考虑，尽可能缩小占地面积和作业带宽度</w:t>
            </w:r>
            <w:r>
              <w:rPr>
                <w:rFonts w:hint="default" w:ascii="Times New Roman" w:hAnsi="Times New Roman" w:cs="Times New Roman"/>
                <w:color w:val="auto"/>
                <w:kern w:val="0"/>
                <w:sz w:val="21"/>
                <w:szCs w:val="21"/>
                <w:highlight w:val="none"/>
                <w:lang w:eastAsia="zh-CN"/>
              </w:rPr>
              <w:t>。</w:t>
            </w:r>
          </w:p>
        </w:tc>
        <w:tc>
          <w:tcPr>
            <w:tcW w:w="465" w:type="pct"/>
            <w:tcBorders>
              <w:tl2br w:val="nil"/>
              <w:tr2bl w:val="nil"/>
            </w:tcBorders>
            <w:noWrap w:val="0"/>
            <w:vAlign w:val="center"/>
          </w:tcPr>
          <w:p w14:paraId="4457ED47">
            <w:pPr>
              <w:keepNext w:val="0"/>
              <w:keepLines w:val="0"/>
              <w:pageBreakBefore w:val="0"/>
              <w:widowControl/>
              <w:kinsoku/>
              <w:wordWrap/>
              <w:overflowPunct/>
              <w:autoSpaceDE/>
              <w:autoSpaceDN/>
              <w:bidi w:val="0"/>
              <w:snapToGrid/>
              <w:spacing w:line="400" w:lineRule="exact"/>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符合</w:t>
            </w:r>
          </w:p>
        </w:tc>
      </w:tr>
      <w:tr w14:paraId="19E655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84" w:hRule="atLeast"/>
          <w:jc w:val="center"/>
        </w:trPr>
        <w:tc>
          <w:tcPr>
            <w:tcW w:w="2189" w:type="pct"/>
            <w:tcBorders>
              <w:tl2br w:val="nil"/>
              <w:tr2bl w:val="nil"/>
            </w:tcBorders>
            <w:noWrap w:val="0"/>
            <w:vAlign w:val="center"/>
          </w:tcPr>
          <w:p w14:paraId="6B86C7F0">
            <w:pPr>
              <w:keepNext w:val="0"/>
              <w:keepLines w:val="0"/>
              <w:pageBreakBefore w:val="0"/>
              <w:widowControl w:val="0"/>
              <w:kinsoku/>
              <w:wordWrap/>
              <w:overflowPunct/>
              <w:autoSpaceDE/>
              <w:autoSpaceDN/>
              <w:bidi w:val="0"/>
              <w:adjustRightInd w:val="0"/>
              <w:snapToGrid/>
              <w:spacing w:line="400" w:lineRule="exact"/>
              <w:ind w:left="0" w:leftChars="0" w:right="0" w:rightChars="0"/>
              <w:jc w:val="both"/>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对伴生有H</w:t>
            </w:r>
            <w:r>
              <w:rPr>
                <w:rFonts w:hint="default" w:ascii="Times New Roman" w:hAnsi="Times New Roman" w:cs="Times New Roman"/>
                <w:color w:val="auto"/>
                <w:sz w:val="21"/>
                <w:szCs w:val="21"/>
                <w:highlight w:val="none"/>
                <w:vertAlign w:val="subscript"/>
                <w:lang w:val="en-US" w:eastAsia="zh-CN"/>
              </w:rPr>
              <w:t>2</w:t>
            </w:r>
            <w:r>
              <w:rPr>
                <w:rFonts w:hint="default" w:ascii="Times New Roman" w:hAnsi="Times New Roman" w:cs="Times New Roman"/>
                <w:color w:val="auto"/>
                <w:sz w:val="21"/>
                <w:szCs w:val="21"/>
                <w:highlight w:val="none"/>
              </w:rPr>
              <w:t>S气体的油气藏，H</w:t>
            </w:r>
            <w:r>
              <w:rPr>
                <w:rFonts w:hint="default" w:ascii="Times New Roman" w:hAnsi="Times New Roman" w:cs="Times New Roman"/>
                <w:color w:val="auto"/>
                <w:sz w:val="21"/>
                <w:szCs w:val="21"/>
                <w:highlight w:val="none"/>
                <w:vertAlign w:val="subscript"/>
                <w:lang w:val="en-US" w:eastAsia="zh-CN"/>
              </w:rPr>
              <w:t>2</w:t>
            </w:r>
            <w:r>
              <w:rPr>
                <w:rFonts w:hint="default" w:ascii="Times New Roman" w:hAnsi="Times New Roman" w:cs="Times New Roman"/>
                <w:color w:val="auto"/>
                <w:sz w:val="21"/>
                <w:szCs w:val="21"/>
                <w:highlight w:val="none"/>
              </w:rPr>
              <w:t>S气体含量未达到工业综合利用要求的，应采取有效处置方案，未制定H</w:t>
            </w:r>
            <w:r>
              <w:rPr>
                <w:rFonts w:hint="default" w:ascii="Times New Roman" w:hAnsi="Times New Roman" w:cs="Times New Roman"/>
                <w:color w:val="auto"/>
                <w:sz w:val="21"/>
                <w:szCs w:val="21"/>
                <w:highlight w:val="none"/>
                <w:vertAlign w:val="subscript"/>
                <w:lang w:val="en-US" w:eastAsia="zh-CN"/>
              </w:rPr>
              <w:t>2</w:t>
            </w:r>
            <w:r>
              <w:rPr>
                <w:rFonts w:hint="default" w:ascii="Times New Roman" w:hAnsi="Times New Roman" w:cs="Times New Roman"/>
                <w:color w:val="auto"/>
                <w:sz w:val="21"/>
                <w:szCs w:val="21"/>
                <w:highlight w:val="none"/>
              </w:rPr>
              <w:t>S气体处置方案的油气藏不得开发。</w:t>
            </w:r>
          </w:p>
        </w:tc>
        <w:tc>
          <w:tcPr>
            <w:tcW w:w="2345" w:type="pct"/>
            <w:tcBorders>
              <w:tl2br w:val="nil"/>
              <w:tr2bl w:val="nil"/>
            </w:tcBorders>
            <w:noWrap w:val="0"/>
            <w:vAlign w:val="center"/>
          </w:tcPr>
          <w:p w14:paraId="06F104D0">
            <w:pPr>
              <w:keepNext w:val="0"/>
              <w:keepLines w:val="0"/>
              <w:pageBreakBefore w:val="0"/>
              <w:widowControl w:val="0"/>
              <w:kinsoku/>
              <w:wordWrap/>
              <w:overflowPunct/>
              <w:autoSpaceDE/>
              <w:autoSpaceDN/>
              <w:bidi w:val="0"/>
              <w:adjustRightInd w:val="0"/>
              <w:snapToGrid/>
              <w:spacing w:line="400" w:lineRule="exact"/>
              <w:ind w:left="0" w:leftChars="0" w:right="0" w:rightChars="0"/>
              <w:jc w:val="both"/>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本项目天然气为低含氮气、高含硫化氢、中含二氧化碳的湿气，</w:t>
            </w:r>
            <w:r>
              <w:rPr>
                <w:rFonts w:hint="eastAsia" w:cs="Times New Roman"/>
                <w:color w:val="auto"/>
                <w:sz w:val="21"/>
                <w:szCs w:val="21"/>
                <w:highlight w:val="none"/>
                <w:lang w:val="en-US" w:eastAsia="zh-CN"/>
              </w:rPr>
              <w:t>扩建1座雄探1试采点对天然气进行脱硫处理。</w:t>
            </w:r>
          </w:p>
        </w:tc>
        <w:tc>
          <w:tcPr>
            <w:tcW w:w="465" w:type="pct"/>
            <w:tcBorders>
              <w:tl2br w:val="nil"/>
              <w:tr2bl w:val="nil"/>
            </w:tcBorders>
            <w:noWrap w:val="0"/>
            <w:vAlign w:val="center"/>
          </w:tcPr>
          <w:p w14:paraId="5CE7FD8D">
            <w:pPr>
              <w:keepNext w:val="0"/>
              <w:keepLines w:val="0"/>
              <w:pageBreakBefore w:val="0"/>
              <w:widowControl w:val="0"/>
              <w:kinsoku/>
              <w:wordWrap/>
              <w:overflowPunct/>
              <w:autoSpaceDE/>
              <w:autoSpaceDN/>
              <w:bidi w:val="0"/>
              <w:adjustRightInd w:val="0"/>
              <w:snapToGrid/>
              <w:spacing w:line="400" w:lineRule="exact"/>
              <w:ind w:left="0" w:leftChars="0" w:right="0" w:right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符合</w:t>
            </w:r>
          </w:p>
        </w:tc>
      </w:tr>
    </w:tbl>
    <w:p w14:paraId="042E383E">
      <w:pPr>
        <w:pStyle w:val="55"/>
        <w:bidi w:val="0"/>
        <w:rPr>
          <w:rFonts w:hint="default"/>
          <w:color w:val="auto"/>
        </w:rPr>
      </w:pPr>
      <w:r>
        <w:rPr>
          <w:rFonts w:hint="default"/>
          <w:color w:val="auto"/>
        </w:rPr>
        <w:t>3.</w:t>
      </w:r>
      <w:r>
        <w:rPr>
          <w:rFonts w:hint="eastAsia"/>
          <w:color w:val="auto"/>
          <w:lang w:val="en-US" w:eastAsia="zh-CN"/>
        </w:rPr>
        <w:t xml:space="preserve">4.2.2 </w:t>
      </w:r>
      <w:r>
        <w:rPr>
          <w:rFonts w:hint="default"/>
          <w:color w:val="auto"/>
        </w:rPr>
        <w:t>与《石油天然气开采业污染防治技术政策》的符合性分析</w:t>
      </w:r>
    </w:p>
    <w:p w14:paraId="44B9DF4E">
      <w:pPr>
        <w:pStyle w:val="79"/>
        <w:bidi w:val="0"/>
        <w:rPr>
          <w:rFonts w:hint="default"/>
          <w:color w:val="auto"/>
        </w:rPr>
      </w:pPr>
      <w:r>
        <w:rPr>
          <w:rFonts w:hint="default"/>
          <w:color w:val="auto"/>
          <w:lang w:eastAsia="zh-CN"/>
        </w:rPr>
        <w:t>本工程</w:t>
      </w:r>
      <w:r>
        <w:rPr>
          <w:rFonts w:hint="default"/>
          <w:color w:val="auto"/>
        </w:rPr>
        <w:t>运营期采取的各项环保措施与《石油天然气开采业污染防治技术政策》中要求的相符性分析</w:t>
      </w:r>
      <w:r>
        <w:rPr>
          <w:rFonts w:hint="eastAsia"/>
          <w:color w:val="auto"/>
          <w:lang w:eastAsia="zh-CN"/>
        </w:rPr>
        <w:t>，</w:t>
      </w:r>
      <w:r>
        <w:rPr>
          <w:rFonts w:hint="default"/>
          <w:color w:val="auto"/>
        </w:rPr>
        <w:t>见表</w:t>
      </w:r>
      <w:r>
        <w:rPr>
          <w:rFonts w:hint="eastAsia"/>
          <w:color w:val="auto"/>
          <w:lang w:val="en-US" w:eastAsia="zh-CN"/>
        </w:rPr>
        <w:t>3.4-2</w:t>
      </w:r>
      <w:r>
        <w:rPr>
          <w:rFonts w:hint="default"/>
          <w:color w:val="auto"/>
        </w:rPr>
        <w:t>。</w:t>
      </w:r>
    </w:p>
    <w:p w14:paraId="2A36B172">
      <w:pPr>
        <w:pStyle w:val="61"/>
        <w:bidi w:val="0"/>
        <w:jc w:val="both"/>
        <w:rPr>
          <w:rFonts w:hint="default"/>
          <w:color w:val="auto"/>
          <w:lang w:val="en-US" w:eastAsia="zh-CN"/>
        </w:rPr>
      </w:pPr>
      <w:r>
        <w:rPr>
          <w:rFonts w:hint="default"/>
          <w:color w:val="auto"/>
          <w:lang w:val="en-US" w:eastAsia="zh-CN"/>
        </w:rPr>
        <w:t>表</w:t>
      </w:r>
      <w:r>
        <w:rPr>
          <w:rFonts w:hint="eastAsia"/>
          <w:color w:val="auto"/>
          <w:lang w:val="en-US" w:eastAsia="zh-CN"/>
        </w:rPr>
        <w:t xml:space="preserve">3.4-2  </w:t>
      </w:r>
      <w:r>
        <w:rPr>
          <w:rFonts w:hint="default"/>
          <w:color w:val="auto"/>
          <w:lang w:val="en-US" w:eastAsia="zh-CN"/>
        </w:rPr>
        <w:t>本工程与《石油天然气开采业污染防治技术政策》的相符性分析</w:t>
      </w:r>
    </w:p>
    <w:tbl>
      <w:tblPr>
        <w:tblStyle w:val="36"/>
        <w:tblW w:w="4999"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208"/>
        <w:gridCol w:w="2834"/>
        <w:gridCol w:w="790"/>
      </w:tblGrid>
      <w:tr w14:paraId="24BBE6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948" w:type="pct"/>
            <w:tcBorders>
              <w:tl2br w:val="nil"/>
              <w:tr2bl w:val="nil"/>
            </w:tcBorders>
            <w:noWrap w:val="0"/>
            <w:vAlign w:val="center"/>
          </w:tcPr>
          <w:p w14:paraId="457D9F48">
            <w:pPr>
              <w:keepNext w:val="0"/>
              <w:keepLines w:val="0"/>
              <w:pageBreakBefore w:val="0"/>
              <w:widowControl/>
              <w:kinsoku/>
              <w:wordWrap/>
              <w:overflowPunct/>
              <w:topLinePunct w:val="0"/>
              <w:bidi w:val="0"/>
              <w:snapToGrid/>
              <w:spacing w:line="400" w:lineRule="exact"/>
              <w:jc w:val="center"/>
              <w:textAlignment w:val="auto"/>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0"/>
                <w:sz w:val="21"/>
                <w:szCs w:val="21"/>
                <w:highlight w:val="none"/>
              </w:rPr>
              <w:t>《石油天然气开采业污染防治技术政策》中相关规定</w:t>
            </w:r>
          </w:p>
        </w:tc>
        <w:tc>
          <w:tcPr>
            <w:tcW w:w="1604" w:type="pct"/>
            <w:tcBorders>
              <w:tl2br w:val="nil"/>
              <w:tr2bl w:val="nil"/>
            </w:tcBorders>
            <w:noWrap w:val="0"/>
            <w:vAlign w:val="center"/>
          </w:tcPr>
          <w:p w14:paraId="414D0084">
            <w:pPr>
              <w:keepNext w:val="0"/>
              <w:keepLines w:val="0"/>
              <w:pageBreakBefore w:val="0"/>
              <w:widowControl w:val="0"/>
              <w:kinsoku/>
              <w:wordWrap/>
              <w:overflowPunct/>
              <w:topLinePunct w:val="0"/>
              <w:autoSpaceDE w:val="0"/>
              <w:autoSpaceDN w:val="0"/>
              <w:bidi w:val="0"/>
              <w:adjustRightInd w:val="0"/>
              <w:snapToGrid/>
              <w:spacing w:line="400" w:lineRule="exact"/>
              <w:jc w:val="both"/>
              <w:textAlignment w:val="auto"/>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0"/>
                <w:sz w:val="21"/>
                <w:szCs w:val="21"/>
                <w:highlight w:val="none"/>
              </w:rPr>
              <w:t>项目采取的相关措施</w:t>
            </w:r>
          </w:p>
        </w:tc>
        <w:tc>
          <w:tcPr>
            <w:tcW w:w="447" w:type="pct"/>
            <w:tcBorders>
              <w:tl2br w:val="nil"/>
              <w:tr2bl w:val="nil"/>
            </w:tcBorders>
            <w:noWrap w:val="0"/>
            <w:vAlign w:val="center"/>
          </w:tcPr>
          <w:p w14:paraId="5725D45F">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spacing w:val="-23"/>
                <w:kern w:val="24"/>
                <w:sz w:val="21"/>
                <w:szCs w:val="21"/>
                <w:highlight w:val="none"/>
              </w:rPr>
              <w:t>符合性分析</w:t>
            </w:r>
          </w:p>
        </w:tc>
      </w:tr>
      <w:tr w14:paraId="209C06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948" w:type="pct"/>
            <w:tcBorders>
              <w:tl2br w:val="nil"/>
              <w:tr2bl w:val="nil"/>
            </w:tcBorders>
            <w:noWrap w:val="0"/>
            <w:vAlign w:val="center"/>
          </w:tcPr>
          <w:p w14:paraId="23DE9EB7">
            <w:pPr>
              <w:keepNext w:val="0"/>
              <w:keepLines w:val="0"/>
              <w:pageBreakBefore w:val="0"/>
              <w:widowControl w:val="0"/>
              <w:kinsoku/>
              <w:wordWrap/>
              <w:overflowPunct/>
              <w:topLinePunct w:val="0"/>
              <w:autoSpaceDE w:val="0"/>
              <w:autoSpaceDN w:val="0"/>
              <w:bidi w:val="0"/>
              <w:adjustRightInd w:val="0"/>
              <w:snapToGrid/>
              <w:spacing w:line="400" w:lineRule="exact"/>
              <w:jc w:val="both"/>
              <w:textAlignment w:val="auto"/>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0"/>
                <w:sz w:val="21"/>
                <w:szCs w:val="21"/>
                <w:highlight w:val="none"/>
              </w:rPr>
              <w:t>到2015年末，行业新、改、扩建项目均采用清洁生产工艺和技术，工业废水回用率达到90%以上，工业固体废物资源化及无害化处理处置率达到100%。</w:t>
            </w:r>
          </w:p>
        </w:tc>
        <w:tc>
          <w:tcPr>
            <w:tcW w:w="1604" w:type="pct"/>
            <w:tcBorders>
              <w:tl2br w:val="nil"/>
              <w:tr2bl w:val="nil"/>
            </w:tcBorders>
            <w:noWrap w:val="0"/>
            <w:vAlign w:val="center"/>
          </w:tcPr>
          <w:p w14:paraId="358001B1">
            <w:pPr>
              <w:keepNext w:val="0"/>
              <w:keepLines w:val="0"/>
              <w:pageBreakBefore w:val="0"/>
              <w:widowControl/>
              <w:kinsoku/>
              <w:wordWrap/>
              <w:overflowPunct/>
              <w:topLinePunct w:val="0"/>
              <w:bidi w:val="0"/>
              <w:snapToGrid/>
              <w:spacing w:line="400" w:lineRule="exact"/>
              <w:jc w:val="both"/>
              <w:textAlignment w:val="auto"/>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0"/>
                <w:sz w:val="21"/>
                <w:szCs w:val="21"/>
                <w:highlight w:val="none"/>
              </w:rPr>
              <w:t>采用清洁生产工艺及技术。</w:t>
            </w:r>
            <w:r>
              <w:rPr>
                <w:rFonts w:hint="default" w:ascii="Times New Roman" w:hAnsi="Times New Roman" w:cs="Times New Roman"/>
                <w:color w:val="auto"/>
                <w:kern w:val="0"/>
                <w:sz w:val="21"/>
                <w:szCs w:val="21"/>
                <w:highlight w:val="none"/>
                <w:lang w:eastAsia="zh-CN"/>
              </w:rPr>
              <w:t>本工程井下作业废水采用专用废水回收罐收集后运至拉运至英买力油田钻试修废弃物环保处理站处理，无废水外排</w:t>
            </w:r>
            <w:r>
              <w:rPr>
                <w:rFonts w:hint="default" w:ascii="Times New Roman" w:hAnsi="Times New Roman" w:cs="Times New Roman"/>
                <w:color w:val="auto"/>
                <w:kern w:val="0"/>
                <w:sz w:val="21"/>
                <w:szCs w:val="21"/>
                <w:highlight w:val="none"/>
              </w:rPr>
              <w:t>；</w:t>
            </w:r>
            <w:r>
              <w:rPr>
                <w:rFonts w:hint="eastAsia" w:cs="Times New Roman"/>
                <w:color w:val="auto"/>
                <w:kern w:val="0"/>
                <w:sz w:val="21"/>
                <w:szCs w:val="21"/>
                <w:highlight w:val="none"/>
                <w:lang w:val="en-US" w:eastAsia="zh-CN"/>
              </w:rPr>
              <w:t>含油等危废</w:t>
            </w:r>
            <w:r>
              <w:rPr>
                <w:rFonts w:hint="default" w:ascii="Times New Roman" w:hAnsi="Times New Roman" w:cs="Times New Roman"/>
                <w:color w:val="auto"/>
                <w:kern w:val="0"/>
                <w:sz w:val="21"/>
                <w:szCs w:val="21"/>
                <w:highlight w:val="none"/>
              </w:rPr>
              <w:t>委托</w:t>
            </w:r>
            <w:r>
              <w:rPr>
                <w:rFonts w:hint="eastAsia" w:ascii="Times New Roman" w:hAnsi="Times New Roman" w:eastAsia="宋体" w:cs="Times New Roman"/>
                <w:color w:val="auto"/>
                <w:kern w:val="0"/>
                <w:sz w:val="21"/>
                <w:szCs w:val="21"/>
                <w:highlight w:val="none"/>
              </w:rPr>
              <w:t>有危废处置资质单位进行处置</w:t>
            </w:r>
            <w:r>
              <w:rPr>
                <w:rFonts w:hint="default" w:ascii="Times New Roman" w:hAnsi="Times New Roman" w:cs="Times New Roman"/>
                <w:color w:val="auto"/>
                <w:kern w:val="0"/>
                <w:sz w:val="21"/>
                <w:szCs w:val="21"/>
                <w:highlight w:val="none"/>
              </w:rPr>
              <w:t>。</w:t>
            </w:r>
          </w:p>
        </w:tc>
        <w:tc>
          <w:tcPr>
            <w:tcW w:w="447" w:type="pct"/>
            <w:tcBorders>
              <w:tl2br w:val="nil"/>
              <w:tr2bl w:val="nil"/>
            </w:tcBorders>
            <w:noWrap w:val="0"/>
            <w:vAlign w:val="center"/>
          </w:tcPr>
          <w:p w14:paraId="2710B652">
            <w:pPr>
              <w:keepNext w:val="0"/>
              <w:keepLines w:val="0"/>
              <w:pageBreakBefore w:val="0"/>
              <w:widowControl w:val="0"/>
              <w:kinsoku/>
              <w:wordWrap/>
              <w:overflowPunct/>
              <w:topLinePunct w:val="0"/>
              <w:autoSpaceDE w:val="0"/>
              <w:autoSpaceDN w:val="0"/>
              <w:bidi w:val="0"/>
              <w:adjustRightInd w:val="0"/>
              <w:snapToGrid/>
              <w:spacing w:line="400" w:lineRule="exact"/>
              <w:jc w:val="both"/>
              <w:textAlignment w:val="auto"/>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符合</w:t>
            </w:r>
          </w:p>
        </w:tc>
      </w:tr>
      <w:tr w14:paraId="1D4136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4" w:hRule="atLeast"/>
        </w:trPr>
        <w:tc>
          <w:tcPr>
            <w:tcW w:w="2948" w:type="pct"/>
            <w:tcBorders>
              <w:tl2br w:val="nil"/>
              <w:tr2bl w:val="nil"/>
            </w:tcBorders>
            <w:noWrap w:val="0"/>
            <w:vAlign w:val="center"/>
          </w:tcPr>
          <w:p w14:paraId="10BF557B">
            <w:pPr>
              <w:keepNext w:val="0"/>
              <w:keepLines w:val="0"/>
              <w:pageBreakBefore w:val="0"/>
              <w:widowControl w:val="0"/>
              <w:kinsoku/>
              <w:wordWrap/>
              <w:overflowPunct/>
              <w:topLinePunct w:val="0"/>
              <w:autoSpaceDE w:val="0"/>
              <w:autoSpaceDN w:val="0"/>
              <w:bidi w:val="0"/>
              <w:adjustRightInd w:val="0"/>
              <w:snapToGrid/>
              <w:spacing w:line="400" w:lineRule="exact"/>
              <w:jc w:val="both"/>
              <w:textAlignment w:val="auto"/>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0"/>
                <w:sz w:val="21"/>
                <w:szCs w:val="21"/>
                <w:highlight w:val="none"/>
              </w:rPr>
              <w:t>在勘探开发过程中，应防止产生落地原油。其中井下作业过程中应配备泄油器、刮油器等。落地原油应及时回收，落地原油回收率应达到100%。</w:t>
            </w:r>
          </w:p>
        </w:tc>
        <w:tc>
          <w:tcPr>
            <w:tcW w:w="1604" w:type="pct"/>
            <w:tcBorders>
              <w:tl2br w:val="nil"/>
              <w:tr2bl w:val="nil"/>
            </w:tcBorders>
            <w:noWrap w:val="0"/>
            <w:vAlign w:val="center"/>
          </w:tcPr>
          <w:p w14:paraId="76B3497D">
            <w:pPr>
              <w:keepNext w:val="0"/>
              <w:keepLines w:val="0"/>
              <w:pageBreakBefore w:val="0"/>
              <w:widowControl/>
              <w:kinsoku/>
              <w:wordWrap/>
              <w:overflowPunct/>
              <w:topLinePunct w:val="0"/>
              <w:bidi w:val="0"/>
              <w:snapToGrid/>
              <w:spacing w:line="400" w:lineRule="exact"/>
              <w:jc w:val="both"/>
              <w:textAlignment w:val="auto"/>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0"/>
                <w:sz w:val="21"/>
                <w:szCs w:val="21"/>
                <w:highlight w:val="none"/>
              </w:rPr>
              <w:t>井下作业时带罐作业，落地原油100%回收。</w:t>
            </w:r>
          </w:p>
        </w:tc>
        <w:tc>
          <w:tcPr>
            <w:tcW w:w="447" w:type="pct"/>
            <w:tcBorders>
              <w:tl2br w:val="nil"/>
              <w:tr2bl w:val="nil"/>
            </w:tcBorders>
            <w:noWrap w:val="0"/>
            <w:vAlign w:val="center"/>
          </w:tcPr>
          <w:p w14:paraId="72D6DD7E">
            <w:pPr>
              <w:keepNext w:val="0"/>
              <w:keepLines w:val="0"/>
              <w:pageBreakBefore w:val="0"/>
              <w:widowControl w:val="0"/>
              <w:kinsoku/>
              <w:wordWrap/>
              <w:overflowPunct/>
              <w:topLinePunct w:val="0"/>
              <w:autoSpaceDE w:val="0"/>
              <w:autoSpaceDN w:val="0"/>
              <w:bidi w:val="0"/>
              <w:adjustRightInd w:val="0"/>
              <w:snapToGrid/>
              <w:spacing w:line="400" w:lineRule="exact"/>
              <w:jc w:val="both"/>
              <w:textAlignment w:val="auto"/>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符合</w:t>
            </w:r>
          </w:p>
        </w:tc>
      </w:tr>
      <w:tr w14:paraId="5E85F5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948" w:type="pct"/>
            <w:tcBorders>
              <w:tl2br w:val="nil"/>
              <w:tr2bl w:val="nil"/>
            </w:tcBorders>
            <w:noWrap w:val="0"/>
            <w:vAlign w:val="center"/>
          </w:tcPr>
          <w:p w14:paraId="534C1697">
            <w:pPr>
              <w:keepNext w:val="0"/>
              <w:keepLines w:val="0"/>
              <w:pageBreakBefore w:val="0"/>
              <w:widowControl/>
              <w:kinsoku/>
              <w:wordWrap/>
              <w:overflowPunct/>
              <w:topLinePunct w:val="0"/>
              <w:bidi w:val="0"/>
              <w:snapToGrid/>
              <w:spacing w:line="400" w:lineRule="exact"/>
              <w:jc w:val="both"/>
              <w:textAlignment w:val="auto"/>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0"/>
                <w:sz w:val="21"/>
                <w:szCs w:val="21"/>
                <w:highlight w:val="none"/>
              </w:rPr>
              <w:t>在井下作业过程中，酸化液和压裂液宜集中配制，酸化残液、压裂残液和返排液应回收利用或进行无害化处置，压裂放喷返排入罐率应达到100%。酸化、压裂作业和试油（气）过程应采取防喷、地面管线防刺、防漏、防溢等措施。</w:t>
            </w:r>
          </w:p>
        </w:tc>
        <w:tc>
          <w:tcPr>
            <w:tcW w:w="1604" w:type="pct"/>
            <w:tcBorders>
              <w:tl2br w:val="nil"/>
              <w:tr2bl w:val="nil"/>
            </w:tcBorders>
            <w:noWrap w:val="0"/>
            <w:vAlign w:val="center"/>
          </w:tcPr>
          <w:p w14:paraId="6F4120AB">
            <w:pPr>
              <w:keepNext w:val="0"/>
              <w:keepLines w:val="0"/>
              <w:pageBreakBefore w:val="0"/>
              <w:widowControl/>
              <w:kinsoku/>
              <w:wordWrap/>
              <w:overflowPunct/>
              <w:topLinePunct w:val="0"/>
              <w:bidi w:val="0"/>
              <w:snapToGrid/>
              <w:spacing w:line="400" w:lineRule="exact"/>
              <w:jc w:val="both"/>
              <w:textAlignment w:val="auto"/>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井下</w:t>
            </w:r>
            <w:r>
              <w:rPr>
                <w:rFonts w:hint="default" w:ascii="Times New Roman" w:hAnsi="Times New Roman" w:cs="Times New Roman"/>
                <w:color w:val="auto"/>
                <w:kern w:val="0"/>
                <w:sz w:val="21"/>
                <w:szCs w:val="21"/>
                <w:highlight w:val="none"/>
              </w:rPr>
              <w:t>作业全部带罐铺膜作业，酸化压裂等废液经收集后采用专用罐拉运至</w:t>
            </w:r>
            <w:r>
              <w:rPr>
                <w:rFonts w:hint="eastAsia" w:ascii="Times New Roman" w:hAnsi="Times New Roman" w:cs="Times New Roman"/>
                <w:color w:val="auto"/>
                <w:kern w:val="0"/>
                <w:sz w:val="21"/>
                <w:szCs w:val="21"/>
                <w:highlight w:val="none"/>
                <w:lang w:eastAsia="zh-CN"/>
              </w:rPr>
              <w:t>英买力油田钻试修废弃物环保处理站</w:t>
            </w:r>
            <w:r>
              <w:rPr>
                <w:rFonts w:hint="default" w:ascii="Times New Roman" w:hAnsi="Times New Roman" w:cs="Times New Roman"/>
                <w:color w:val="auto"/>
                <w:kern w:val="0"/>
                <w:sz w:val="21"/>
                <w:szCs w:val="21"/>
                <w:highlight w:val="none"/>
              </w:rPr>
              <w:t>。</w:t>
            </w:r>
          </w:p>
        </w:tc>
        <w:tc>
          <w:tcPr>
            <w:tcW w:w="447" w:type="pct"/>
            <w:tcBorders>
              <w:tl2br w:val="nil"/>
              <w:tr2bl w:val="nil"/>
            </w:tcBorders>
            <w:noWrap w:val="0"/>
            <w:vAlign w:val="center"/>
          </w:tcPr>
          <w:p w14:paraId="27C3EBDA">
            <w:pPr>
              <w:keepNext w:val="0"/>
              <w:keepLines w:val="0"/>
              <w:pageBreakBefore w:val="0"/>
              <w:widowControl w:val="0"/>
              <w:kinsoku/>
              <w:wordWrap/>
              <w:overflowPunct/>
              <w:topLinePunct w:val="0"/>
              <w:autoSpaceDE w:val="0"/>
              <w:autoSpaceDN w:val="0"/>
              <w:bidi w:val="0"/>
              <w:adjustRightInd w:val="0"/>
              <w:snapToGrid/>
              <w:spacing w:line="400" w:lineRule="exact"/>
              <w:jc w:val="both"/>
              <w:textAlignment w:val="auto"/>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符合</w:t>
            </w:r>
          </w:p>
        </w:tc>
      </w:tr>
      <w:tr w14:paraId="4EB79E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948" w:type="pct"/>
            <w:tcBorders>
              <w:tl2br w:val="nil"/>
              <w:tr2bl w:val="nil"/>
            </w:tcBorders>
            <w:noWrap w:val="0"/>
            <w:vAlign w:val="center"/>
          </w:tcPr>
          <w:p w14:paraId="36B1142E">
            <w:pPr>
              <w:keepNext w:val="0"/>
              <w:keepLines w:val="0"/>
              <w:pageBreakBefore w:val="0"/>
              <w:widowControl/>
              <w:kinsoku/>
              <w:wordWrap/>
              <w:overflowPunct/>
              <w:topLinePunct w:val="0"/>
              <w:bidi w:val="0"/>
              <w:snapToGrid/>
              <w:spacing w:line="400" w:lineRule="exact"/>
              <w:jc w:val="both"/>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在开发过程中，适宜注水开采的</w:t>
            </w:r>
            <w:r>
              <w:rPr>
                <w:rFonts w:hint="eastAsia" w:ascii="Times New Roman" w:hAnsi="Times New Roman" w:cs="Times New Roman"/>
                <w:color w:val="auto"/>
                <w:kern w:val="0"/>
                <w:sz w:val="21"/>
                <w:szCs w:val="21"/>
                <w:highlight w:val="none"/>
                <w:lang w:eastAsia="zh-CN"/>
              </w:rPr>
              <w:t>油田</w:t>
            </w:r>
            <w:r>
              <w:rPr>
                <w:rFonts w:hint="default" w:ascii="Times New Roman" w:hAnsi="Times New Roman" w:cs="Times New Roman"/>
                <w:color w:val="auto"/>
                <w:kern w:val="0"/>
                <w:sz w:val="21"/>
                <w:szCs w:val="21"/>
                <w:highlight w:val="none"/>
              </w:rPr>
              <w:t>，应将采出水处理满足标准后回注；对于稠油注汽开采，鼓励采出水处理后回用于注汽锅炉。</w:t>
            </w:r>
          </w:p>
        </w:tc>
        <w:tc>
          <w:tcPr>
            <w:tcW w:w="1604" w:type="pct"/>
            <w:tcBorders>
              <w:tl2br w:val="nil"/>
              <w:tr2bl w:val="nil"/>
            </w:tcBorders>
            <w:noWrap w:val="0"/>
            <w:vAlign w:val="center"/>
          </w:tcPr>
          <w:p w14:paraId="13BA1E96">
            <w:pPr>
              <w:keepNext w:val="0"/>
              <w:keepLines w:val="0"/>
              <w:pageBreakBefore w:val="0"/>
              <w:widowControl/>
              <w:kinsoku/>
              <w:wordWrap/>
              <w:overflowPunct/>
              <w:topLinePunct w:val="0"/>
              <w:bidi w:val="0"/>
              <w:snapToGrid/>
              <w:spacing w:line="400" w:lineRule="exact"/>
              <w:jc w:val="both"/>
              <w:textAlignment w:val="auto"/>
              <w:rPr>
                <w:rFonts w:hint="eastAsia" w:ascii="Times New Roman" w:hAnsi="Times New Roman" w:eastAsia="宋体" w:cs="Times New Roman"/>
                <w:color w:val="auto"/>
                <w:kern w:val="24"/>
                <w:sz w:val="21"/>
                <w:szCs w:val="21"/>
                <w:highlight w:val="none"/>
                <w:lang w:val="en-US" w:eastAsia="zh-CN"/>
              </w:rPr>
            </w:pPr>
            <w:r>
              <w:rPr>
                <w:rFonts w:hint="default" w:ascii="Times New Roman" w:hAnsi="Times New Roman" w:cs="Times New Roman"/>
                <w:color w:val="auto"/>
                <w:kern w:val="24"/>
                <w:sz w:val="21"/>
                <w:szCs w:val="21"/>
                <w:highlight w:val="none"/>
              </w:rPr>
              <w:t>根据油藏开发方案，雄探1区块暂未见水</w:t>
            </w:r>
            <w:r>
              <w:rPr>
                <w:rFonts w:hint="eastAsia" w:cs="Times New Roman"/>
                <w:color w:val="auto"/>
                <w:kern w:val="24"/>
                <w:sz w:val="21"/>
                <w:szCs w:val="21"/>
                <w:highlight w:val="none"/>
                <w:lang w:eastAsia="zh-CN"/>
              </w:rPr>
              <w:t>。</w:t>
            </w:r>
          </w:p>
        </w:tc>
        <w:tc>
          <w:tcPr>
            <w:tcW w:w="447" w:type="pct"/>
            <w:tcBorders>
              <w:tl2br w:val="nil"/>
              <w:tr2bl w:val="nil"/>
            </w:tcBorders>
            <w:noWrap w:val="0"/>
            <w:vAlign w:val="center"/>
          </w:tcPr>
          <w:p w14:paraId="6E624913">
            <w:pPr>
              <w:keepNext w:val="0"/>
              <w:keepLines w:val="0"/>
              <w:pageBreakBefore w:val="0"/>
              <w:widowControl w:val="0"/>
              <w:kinsoku/>
              <w:wordWrap/>
              <w:overflowPunct/>
              <w:topLinePunct w:val="0"/>
              <w:autoSpaceDE w:val="0"/>
              <w:autoSpaceDN w:val="0"/>
              <w:bidi w:val="0"/>
              <w:adjustRightInd w:val="0"/>
              <w:snapToGrid/>
              <w:spacing w:line="400" w:lineRule="exact"/>
              <w:jc w:val="both"/>
              <w:textAlignment w:val="auto"/>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符合</w:t>
            </w:r>
          </w:p>
        </w:tc>
      </w:tr>
      <w:tr w14:paraId="19F1BC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948" w:type="pct"/>
            <w:tcBorders>
              <w:tl2br w:val="nil"/>
              <w:tr2bl w:val="nil"/>
            </w:tcBorders>
            <w:noWrap w:val="0"/>
            <w:vAlign w:val="center"/>
          </w:tcPr>
          <w:p w14:paraId="26F3CB5D">
            <w:pPr>
              <w:keepNext w:val="0"/>
              <w:keepLines w:val="0"/>
              <w:pageBreakBefore w:val="0"/>
              <w:widowControl/>
              <w:kinsoku/>
              <w:wordWrap/>
              <w:overflowPunct/>
              <w:topLinePunct w:val="0"/>
              <w:bidi w:val="0"/>
              <w:snapToGrid/>
              <w:spacing w:line="400" w:lineRule="exact"/>
              <w:jc w:val="both"/>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在油气集输过程中，应采用密闭流程，减少烃类气体排放。新建3000m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及以上原油储罐应采用浮顶</w:t>
            </w:r>
            <w:r>
              <w:rPr>
                <w:rFonts w:hint="eastAsia" w:cs="Times New Roman"/>
                <w:color w:val="auto"/>
                <w:kern w:val="0"/>
                <w:sz w:val="21"/>
                <w:szCs w:val="21"/>
                <w:highlight w:val="none"/>
                <w:lang w:eastAsia="zh-CN"/>
              </w:rPr>
              <w:t>式</w:t>
            </w:r>
            <w:r>
              <w:rPr>
                <w:rFonts w:hint="default" w:ascii="Times New Roman" w:hAnsi="Times New Roman" w:eastAsia="宋体" w:cs="Times New Roman"/>
                <w:color w:val="auto"/>
                <w:kern w:val="0"/>
                <w:sz w:val="21"/>
                <w:szCs w:val="21"/>
                <w:highlight w:val="none"/>
              </w:rPr>
              <w:t>，新、改、扩建油气储罐应安装泄漏报警系统。</w:t>
            </w:r>
          </w:p>
        </w:tc>
        <w:tc>
          <w:tcPr>
            <w:tcW w:w="1604" w:type="pct"/>
            <w:tcBorders>
              <w:tl2br w:val="nil"/>
              <w:tr2bl w:val="nil"/>
            </w:tcBorders>
            <w:noWrap w:val="0"/>
            <w:vAlign w:val="center"/>
          </w:tcPr>
          <w:p w14:paraId="5284CE95">
            <w:pPr>
              <w:keepNext w:val="0"/>
              <w:keepLines w:val="0"/>
              <w:pageBreakBefore w:val="0"/>
              <w:widowControl/>
              <w:kinsoku/>
              <w:wordWrap/>
              <w:overflowPunct/>
              <w:topLinePunct w:val="0"/>
              <w:bidi w:val="0"/>
              <w:snapToGrid/>
              <w:spacing w:line="400" w:lineRule="exact"/>
              <w:jc w:val="both"/>
              <w:textAlignment w:val="auto"/>
              <w:rPr>
                <w:rFonts w:hint="default" w:ascii="Times New Roman" w:hAnsi="Times New Roman" w:cs="Times New Roman"/>
                <w:color w:val="auto"/>
                <w:kern w:val="24"/>
                <w:sz w:val="21"/>
                <w:szCs w:val="21"/>
                <w:highlight w:val="none"/>
              </w:rPr>
            </w:pPr>
            <w:r>
              <w:rPr>
                <w:rFonts w:hint="eastAsia" w:cs="Times New Roman"/>
                <w:color w:val="auto"/>
                <w:kern w:val="0"/>
                <w:sz w:val="21"/>
                <w:szCs w:val="21"/>
                <w:highlight w:val="none"/>
                <w:lang w:val="en-US" w:eastAsia="zh-CN"/>
              </w:rPr>
              <w:t>本项目为试采工程，天然气采用</w:t>
            </w:r>
            <w:r>
              <w:rPr>
                <w:rFonts w:hint="default" w:ascii="Times New Roman" w:hAnsi="Times New Roman" w:cs="Times New Roman"/>
                <w:color w:val="auto"/>
                <w:kern w:val="0"/>
                <w:sz w:val="21"/>
                <w:szCs w:val="21"/>
                <w:highlight w:val="none"/>
              </w:rPr>
              <w:t>密闭流程</w:t>
            </w:r>
            <w:r>
              <w:rPr>
                <w:rFonts w:hint="eastAsia"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原油采用</w:t>
            </w:r>
            <w:r>
              <w:rPr>
                <w:rFonts w:hint="eastAsia" w:cs="Times New Roman"/>
                <w:color w:val="auto"/>
                <w:kern w:val="0"/>
                <w:sz w:val="21"/>
                <w:szCs w:val="21"/>
                <w:highlight w:val="none"/>
                <w:lang w:eastAsia="zh-CN"/>
              </w:rPr>
              <w:t>装车</w:t>
            </w:r>
            <w:r>
              <w:rPr>
                <w:rFonts w:hint="eastAsia" w:cs="Times New Roman"/>
                <w:color w:val="auto"/>
                <w:kern w:val="0"/>
                <w:sz w:val="21"/>
                <w:szCs w:val="21"/>
                <w:highlight w:val="none"/>
                <w:lang w:val="en-US" w:eastAsia="zh-CN"/>
              </w:rPr>
              <w:t>拉运，装车过程采用气相平衡</w:t>
            </w:r>
            <w:r>
              <w:rPr>
                <w:rFonts w:hint="eastAsia" w:cs="Times New Roman"/>
                <w:color w:val="auto"/>
                <w:kern w:val="0"/>
                <w:sz w:val="21"/>
                <w:szCs w:val="21"/>
                <w:highlight w:val="none"/>
                <w:lang w:eastAsia="zh-CN"/>
              </w:rPr>
              <w:t>，可减少烃类气体排放</w:t>
            </w:r>
            <w:r>
              <w:rPr>
                <w:rFonts w:hint="default" w:ascii="Times New Roman" w:hAnsi="Times New Roman" w:cs="Times New Roman"/>
                <w:color w:val="auto"/>
                <w:kern w:val="0"/>
                <w:sz w:val="21"/>
                <w:szCs w:val="21"/>
                <w:highlight w:val="none"/>
              </w:rPr>
              <w:t>。本工程建设内容不涉及3000m</w:t>
            </w:r>
            <w:r>
              <w:rPr>
                <w:rFonts w:hint="default" w:ascii="Times New Roman" w:hAnsi="Times New Roman" w:cs="Times New Roman"/>
                <w:color w:val="auto"/>
                <w:kern w:val="0"/>
                <w:sz w:val="21"/>
                <w:szCs w:val="21"/>
                <w:highlight w:val="none"/>
                <w:vertAlign w:val="superscript"/>
              </w:rPr>
              <w:t>3</w:t>
            </w:r>
            <w:r>
              <w:rPr>
                <w:rFonts w:hint="default" w:ascii="Times New Roman" w:hAnsi="Times New Roman" w:cs="Times New Roman"/>
                <w:color w:val="auto"/>
                <w:kern w:val="0"/>
                <w:sz w:val="21"/>
                <w:szCs w:val="21"/>
                <w:highlight w:val="none"/>
              </w:rPr>
              <w:t>及以上储罐建设。</w:t>
            </w:r>
          </w:p>
        </w:tc>
        <w:tc>
          <w:tcPr>
            <w:tcW w:w="447" w:type="pct"/>
            <w:tcBorders>
              <w:tl2br w:val="nil"/>
              <w:tr2bl w:val="nil"/>
            </w:tcBorders>
            <w:noWrap w:val="0"/>
            <w:vAlign w:val="center"/>
          </w:tcPr>
          <w:p w14:paraId="0D7B6353">
            <w:pPr>
              <w:keepNext w:val="0"/>
              <w:keepLines w:val="0"/>
              <w:pageBreakBefore w:val="0"/>
              <w:widowControl w:val="0"/>
              <w:kinsoku/>
              <w:wordWrap/>
              <w:overflowPunct/>
              <w:topLinePunct w:val="0"/>
              <w:autoSpaceDE w:val="0"/>
              <w:autoSpaceDN w:val="0"/>
              <w:bidi w:val="0"/>
              <w:adjustRightInd w:val="0"/>
              <w:snapToGrid/>
              <w:spacing w:line="400" w:lineRule="exact"/>
              <w:jc w:val="both"/>
              <w:textAlignment w:val="auto"/>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符合</w:t>
            </w:r>
          </w:p>
        </w:tc>
      </w:tr>
      <w:tr w14:paraId="4CB361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948" w:type="pct"/>
            <w:tcBorders>
              <w:tl2br w:val="nil"/>
              <w:tr2bl w:val="nil"/>
            </w:tcBorders>
            <w:noWrap w:val="0"/>
            <w:vAlign w:val="center"/>
          </w:tcPr>
          <w:p w14:paraId="13B65B9B">
            <w:pPr>
              <w:keepNext w:val="0"/>
              <w:keepLines w:val="0"/>
              <w:pageBreakBefore w:val="0"/>
              <w:widowControl/>
              <w:kinsoku/>
              <w:wordWrap/>
              <w:overflowPunct/>
              <w:topLinePunct w:val="0"/>
              <w:bidi w:val="0"/>
              <w:snapToGrid/>
              <w:spacing w:line="400" w:lineRule="exact"/>
              <w:ind w:left="76"/>
              <w:jc w:val="both"/>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（一）</w:t>
            </w:r>
            <w:r>
              <w:rPr>
                <w:rFonts w:hint="eastAsia" w:ascii="Times New Roman" w:hAnsi="Times New Roman" w:cs="Times New Roman"/>
                <w:color w:val="auto"/>
                <w:kern w:val="0"/>
                <w:sz w:val="21"/>
                <w:szCs w:val="21"/>
                <w:highlight w:val="none"/>
                <w:lang w:eastAsia="zh-CN"/>
              </w:rPr>
              <w:t>油田</w:t>
            </w:r>
            <w:r>
              <w:rPr>
                <w:rFonts w:hint="default" w:ascii="Times New Roman" w:hAnsi="Times New Roman" w:cs="Times New Roman"/>
                <w:color w:val="auto"/>
                <w:kern w:val="0"/>
                <w:sz w:val="21"/>
                <w:szCs w:val="21"/>
                <w:highlight w:val="none"/>
              </w:rPr>
              <w:t>企业应制定环境保护管理规定，建立并运行健康、安全与环境管理体系。（二）加强</w:t>
            </w:r>
            <w:r>
              <w:rPr>
                <w:rFonts w:hint="eastAsia" w:ascii="Times New Roman" w:hAnsi="Times New Roman" w:cs="Times New Roman"/>
                <w:color w:val="auto"/>
                <w:kern w:val="0"/>
                <w:sz w:val="21"/>
                <w:szCs w:val="21"/>
                <w:highlight w:val="none"/>
                <w:lang w:eastAsia="zh-CN"/>
              </w:rPr>
              <w:t>油田</w:t>
            </w:r>
            <w:r>
              <w:rPr>
                <w:rFonts w:hint="default" w:ascii="Times New Roman" w:hAnsi="Times New Roman" w:cs="Times New Roman"/>
                <w:color w:val="auto"/>
                <w:kern w:val="0"/>
                <w:sz w:val="21"/>
                <w:szCs w:val="21"/>
                <w:highlight w:val="none"/>
              </w:rPr>
              <w:t>建设、勘探开发过程的环境监督管理。</w:t>
            </w:r>
            <w:r>
              <w:rPr>
                <w:rFonts w:hint="eastAsia" w:ascii="Times New Roman" w:hAnsi="Times New Roman" w:cs="Times New Roman"/>
                <w:color w:val="auto"/>
                <w:kern w:val="0"/>
                <w:sz w:val="21"/>
                <w:szCs w:val="21"/>
                <w:highlight w:val="none"/>
                <w:lang w:eastAsia="zh-CN"/>
              </w:rPr>
              <w:t>油田</w:t>
            </w:r>
            <w:r>
              <w:rPr>
                <w:rFonts w:hint="default" w:ascii="Times New Roman" w:hAnsi="Times New Roman" w:cs="Times New Roman"/>
                <w:color w:val="auto"/>
                <w:kern w:val="0"/>
                <w:sz w:val="21"/>
                <w:szCs w:val="21"/>
                <w:highlight w:val="none"/>
              </w:rPr>
              <w:t>建设过程应开展工程环境监理。（三）在开发过程中，企业应加强油</w:t>
            </w:r>
            <w:r>
              <w:rPr>
                <w:rFonts w:hint="eastAsia" w:ascii="Times New Roman" w:hAnsi="Times New Roman" w:cs="Times New Roman"/>
                <w:color w:val="auto"/>
                <w:kern w:val="0"/>
                <w:sz w:val="21"/>
                <w:szCs w:val="21"/>
                <w:highlight w:val="none"/>
                <w:lang w:eastAsia="zh-CN"/>
              </w:rPr>
              <w:t>井</w:t>
            </w:r>
            <w:r>
              <w:rPr>
                <w:rFonts w:hint="default" w:ascii="Times New Roman" w:hAnsi="Times New Roman" w:cs="Times New Roman"/>
                <w:color w:val="auto"/>
                <w:kern w:val="0"/>
                <w:sz w:val="21"/>
                <w:szCs w:val="21"/>
                <w:highlight w:val="none"/>
              </w:rPr>
              <w:t>套管的检测和维护，防止油气泄漏污染地下水。（四）</w:t>
            </w:r>
            <w:r>
              <w:rPr>
                <w:rFonts w:hint="eastAsia" w:ascii="Times New Roman" w:hAnsi="Times New Roman" w:cs="Times New Roman"/>
                <w:color w:val="auto"/>
                <w:kern w:val="0"/>
                <w:sz w:val="21"/>
                <w:szCs w:val="21"/>
                <w:highlight w:val="none"/>
                <w:lang w:eastAsia="zh-CN"/>
              </w:rPr>
              <w:t>油田</w:t>
            </w:r>
            <w:r>
              <w:rPr>
                <w:rFonts w:hint="default" w:ascii="Times New Roman" w:hAnsi="Times New Roman" w:cs="Times New Roman"/>
                <w:color w:val="auto"/>
                <w:kern w:val="0"/>
                <w:sz w:val="21"/>
                <w:szCs w:val="21"/>
                <w:highlight w:val="none"/>
              </w:rPr>
              <w:t>企业应建立环境保护人员培训制度，环境监测人员、统计人员、污染治理设施操作人员应经培训合格后上岗。（五）</w:t>
            </w:r>
            <w:r>
              <w:rPr>
                <w:rFonts w:hint="eastAsia" w:ascii="Times New Roman" w:hAnsi="Times New Roman" w:cs="Times New Roman"/>
                <w:color w:val="auto"/>
                <w:kern w:val="0"/>
                <w:sz w:val="21"/>
                <w:szCs w:val="21"/>
                <w:highlight w:val="none"/>
                <w:lang w:eastAsia="zh-CN"/>
              </w:rPr>
              <w:t>油田</w:t>
            </w:r>
            <w:r>
              <w:rPr>
                <w:rFonts w:hint="default" w:ascii="Times New Roman" w:hAnsi="Times New Roman" w:cs="Times New Roman"/>
                <w:color w:val="auto"/>
                <w:kern w:val="0"/>
                <w:sz w:val="21"/>
                <w:szCs w:val="21"/>
                <w:highlight w:val="none"/>
              </w:rPr>
              <w:t>企业应对勘探开发过程进行环境风险因素识别，制定突发环境事件应急预案并定期进行演练。应开展特征污染物监测工作，采取环境风险防范和应急措施，防止发生由突发性油气泄漏产生的环境事故。</w:t>
            </w:r>
          </w:p>
        </w:tc>
        <w:tc>
          <w:tcPr>
            <w:tcW w:w="1604" w:type="pct"/>
            <w:tcBorders>
              <w:tl2br w:val="nil"/>
              <w:tr2bl w:val="nil"/>
            </w:tcBorders>
            <w:noWrap w:val="0"/>
            <w:vAlign w:val="center"/>
          </w:tcPr>
          <w:p w14:paraId="2818B6AF">
            <w:pPr>
              <w:keepNext w:val="0"/>
              <w:keepLines w:val="0"/>
              <w:pageBreakBefore w:val="0"/>
              <w:widowControl/>
              <w:kinsoku/>
              <w:wordWrap/>
              <w:overflowPunct/>
              <w:topLinePunct w:val="0"/>
              <w:bidi w:val="0"/>
              <w:snapToGrid/>
              <w:spacing w:line="400" w:lineRule="exact"/>
              <w:jc w:val="both"/>
              <w:textAlignment w:val="auto"/>
              <w:rPr>
                <w:rFonts w:hint="default" w:ascii="Times New Roman" w:hAnsi="Times New Roman" w:cs="Times New Roman"/>
                <w:color w:val="auto"/>
                <w:kern w:val="24"/>
                <w:sz w:val="21"/>
                <w:szCs w:val="21"/>
                <w:highlight w:val="none"/>
              </w:rPr>
            </w:pPr>
            <w:r>
              <w:rPr>
                <w:rFonts w:hint="eastAsia" w:ascii="宋体" w:hAnsi="宋体" w:eastAsia="宋体" w:cs="宋体"/>
                <w:color w:val="auto"/>
                <w:kern w:val="0"/>
                <w:sz w:val="21"/>
                <w:szCs w:val="21"/>
                <w:highlight w:val="none"/>
              </w:rPr>
              <w:t>项目投产后，由</w:t>
            </w:r>
            <w:r>
              <w:rPr>
                <w:rFonts w:hint="eastAsia" w:ascii="宋体" w:hAnsi="宋体" w:cs="宋体"/>
                <w:color w:val="auto"/>
                <w:kern w:val="0"/>
                <w:sz w:val="21"/>
                <w:szCs w:val="21"/>
                <w:highlight w:val="none"/>
                <w:lang w:val="en-US" w:eastAsia="zh-CN"/>
              </w:rPr>
              <w:t>英买采油气管理区</w:t>
            </w:r>
            <w:r>
              <w:rPr>
                <w:rFonts w:hint="eastAsia" w:ascii="宋体" w:hAnsi="宋体" w:eastAsia="宋体" w:cs="宋体"/>
                <w:color w:val="auto"/>
                <w:kern w:val="0"/>
                <w:sz w:val="21"/>
                <w:szCs w:val="21"/>
                <w:highlight w:val="none"/>
              </w:rPr>
              <w:t>管理，区块开发突发环境应急预案纳入中国石油天然气股份有限公司塔里木油田分公司突发环境事件应急预案管理体系中。</w:t>
            </w:r>
          </w:p>
        </w:tc>
        <w:tc>
          <w:tcPr>
            <w:tcW w:w="447" w:type="pct"/>
            <w:tcBorders>
              <w:tl2br w:val="nil"/>
              <w:tr2bl w:val="nil"/>
            </w:tcBorders>
            <w:noWrap w:val="0"/>
            <w:vAlign w:val="center"/>
          </w:tcPr>
          <w:p w14:paraId="5C1E7E70">
            <w:pPr>
              <w:keepNext w:val="0"/>
              <w:keepLines w:val="0"/>
              <w:pageBreakBefore w:val="0"/>
              <w:widowControl w:val="0"/>
              <w:kinsoku/>
              <w:wordWrap/>
              <w:overflowPunct/>
              <w:topLinePunct w:val="0"/>
              <w:autoSpaceDE w:val="0"/>
              <w:autoSpaceDN w:val="0"/>
              <w:bidi w:val="0"/>
              <w:adjustRightInd w:val="0"/>
              <w:snapToGrid/>
              <w:spacing w:line="400" w:lineRule="exact"/>
              <w:jc w:val="both"/>
              <w:textAlignment w:val="auto"/>
              <w:rPr>
                <w:rFonts w:hint="default" w:ascii="Times New Roman" w:hAnsi="Times New Roman" w:cs="Times New Roman"/>
                <w:color w:val="auto"/>
                <w:kern w:val="24"/>
                <w:sz w:val="21"/>
                <w:szCs w:val="21"/>
                <w:highlight w:val="none"/>
              </w:rPr>
            </w:pPr>
            <w:r>
              <w:rPr>
                <w:rFonts w:hint="default" w:ascii="Times New Roman" w:hAnsi="Times New Roman" w:cs="Times New Roman"/>
                <w:color w:val="auto"/>
                <w:kern w:val="24"/>
                <w:sz w:val="21"/>
                <w:szCs w:val="21"/>
                <w:highlight w:val="none"/>
              </w:rPr>
              <w:t>符合</w:t>
            </w:r>
          </w:p>
        </w:tc>
      </w:tr>
    </w:tbl>
    <w:p w14:paraId="09003F80">
      <w:pPr>
        <w:pStyle w:val="79"/>
        <w:bidi w:val="0"/>
        <w:rPr>
          <w:rFonts w:hint="default"/>
          <w:color w:val="auto"/>
        </w:rPr>
      </w:pPr>
      <w:r>
        <w:rPr>
          <w:rFonts w:hint="default"/>
          <w:color w:val="auto"/>
        </w:rPr>
        <w:t>由</w:t>
      </w:r>
      <w:r>
        <w:rPr>
          <w:rFonts w:hint="eastAsia"/>
          <w:color w:val="auto"/>
          <w:lang w:val="en-US" w:eastAsia="zh-CN"/>
        </w:rPr>
        <w:t>上表</w:t>
      </w:r>
      <w:r>
        <w:rPr>
          <w:rFonts w:hint="default"/>
          <w:color w:val="auto"/>
        </w:rPr>
        <w:t>可知，项目建设符合《石油天然气开采业污染防治技术政策》的相关规定。</w:t>
      </w:r>
    </w:p>
    <w:p w14:paraId="491D4621">
      <w:pPr>
        <w:pStyle w:val="55"/>
        <w:bidi w:val="0"/>
        <w:rPr>
          <w:rFonts w:hint="default"/>
          <w:color w:val="auto"/>
        </w:rPr>
      </w:pPr>
      <w:r>
        <w:rPr>
          <w:rFonts w:hint="default"/>
          <w:color w:val="auto"/>
        </w:rPr>
        <w:t>3.</w:t>
      </w:r>
      <w:r>
        <w:rPr>
          <w:rFonts w:hint="eastAsia"/>
          <w:color w:val="auto"/>
          <w:lang w:val="en-US" w:eastAsia="zh-CN"/>
        </w:rPr>
        <w:t xml:space="preserve">4.2.3 </w:t>
      </w:r>
      <w:r>
        <w:rPr>
          <w:rFonts w:hint="default"/>
          <w:color w:val="auto"/>
        </w:rPr>
        <w:t>与《新疆维吾尔自治区大气污染防治条例》的符合性分析</w:t>
      </w:r>
    </w:p>
    <w:p w14:paraId="53FED8FF">
      <w:pPr>
        <w:pStyle w:val="79"/>
        <w:bidi w:val="0"/>
        <w:rPr>
          <w:rFonts w:hint="default"/>
          <w:color w:val="auto"/>
        </w:rPr>
      </w:pPr>
      <w:r>
        <w:rPr>
          <w:rFonts w:hint="default"/>
          <w:color w:val="auto"/>
        </w:rPr>
        <w:t>《新疆维吾尔自治区大气污染防治条例》第三十七条规定：各级人民政府应当加强对建设施工、矿产资源开采、物料运输的扬尘和沙尘污染的治理，保持道路清洁、控制料堆和渣土堆放，科学合理扩大绿地、水面、湿地、地面铺装和防风固沙绿化面积，防治扬尘污染。</w:t>
      </w:r>
    </w:p>
    <w:p w14:paraId="48508EC6">
      <w:pPr>
        <w:pStyle w:val="79"/>
        <w:bidi w:val="0"/>
        <w:rPr>
          <w:rFonts w:hint="default"/>
          <w:color w:val="auto"/>
        </w:rPr>
      </w:pPr>
      <w:r>
        <w:rPr>
          <w:rFonts w:hint="default"/>
          <w:color w:val="auto"/>
        </w:rPr>
        <w:t>第四十四条</w:t>
      </w:r>
      <w:r>
        <w:rPr>
          <w:rFonts w:hint="default"/>
          <w:color w:val="auto"/>
          <w:lang w:eastAsia="zh-CN"/>
        </w:rPr>
        <w:t>：</w:t>
      </w:r>
      <w:r>
        <w:rPr>
          <w:rFonts w:hint="default"/>
          <w:color w:val="auto"/>
        </w:rPr>
        <w:t>矿山开采产生的废石、废渣、泥土等应当堆放到专门存放地，并采取围挡、设置防尘网或者防尘布等防尘措施；施工便道应当硬化。</w:t>
      </w:r>
    </w:p>
    <w:p w14:paraId="09248F13">
      <w:pPr>
        <w:pStyle w:val="79"/>
        <w:bidi w:val="0"/>
        <w:rPr>
          <w:rFonts w:hint="default"/>
          <w:color w:val="auto"/>
        </w:rPr>
      </w:pPr>
      <w:r>
        <w:rPr>
          <w:rFonts w:hint="default"/>
          <w:color w:val="auto"/>
          <w:lang w:eastAsia="zh-CN"/>
        </w:rPr>
        <w:t>本工程</w:t>
      </w:r>
      <w:r>
        <w:rPr>
          <w:rFonts w:hint="default"/>
          <w:color w:val="auto"/>
        </w:rPr>
        <w:t>施工土方全部用于回填管沟及场地平整；施工废料首先考虑回收利用，不可回收利用部分拉运至</w:t>
      </w:r>
      <w:r>
        <w:rPr>
          <w:rFonts w:hint="eastAsia"/>
          <w:color w:val="auto"/>
          <w:lang w:val="en-US" w:eastAsia="zh-CN"/>
        </w:rPr>
        <w:t>英买7固废场填埋处置</w:t>
      </w:r>
      <w:r>
        <w:rPr>
          <w:rFonts w:hint="default"/>
          <w:color w:val="auto"/>
        </w:rPr>
        <w:t>。项目施工过程采取“下垫上盖”措施</w:t>
      </w:r>
      <w:r>
        <w:rPr>
          <w:rFonts w:hint="default"/>
          <w:color w:val="auto"/>
          <w:lang w:eastAsia="zh-CN"/>
        </w:rPr>
        <w:t>，</w:t>
      </w:r>
      <w:r>
        <w:rPr>
          <w:rFonts w:hint="default"/>
          <w:color w:val="auto"/>
        </w:rPr>
        <w:t>施工结束后拟对临时占地进行恢复治理，可减少扬尘影响。项目建设符合《新疆维吾尔自治区大气污染防治条例》要求。</w:t>
      </w:r>
    </w:p>
    <w:p w14:paraId="6B6C2D26">
      <w:pPr>
        <w:pStyle w:val="55"/>
        <w:bidi w:val="0"/>
        <w:rPr>
          <w:rFonts w:hint="default"/>
          <w:color w:val="auto"/>
        </w:rPr>
      </w:pPr>
      <w:r>
        <w:rPr>
          <w:rFonts w:hint="default"/>
          <w:color w:val="auto"/>
        </w:rPr>
        <w:t>3.</w:t>
      </w:r>
      <w:r>
        <w:rPr>
          <w:rFonts w:hint="eastAsia"/>
          <w:color w:val="auto"/>
          <w:lang w:val="en-US" w:eastAsia="zh-CN"/>
        </w:rPr>
        <w:t xml:space="preserve">4.2.4 </w:t>
      </w:r>
      <w:r>
        <w:rPr>
          <w:rFonts w:hint="default"/>
          <w:color w:val="auto"/>
        </w:rPr>
        <w:t>与《关于进一步加强石油天然气行业环境影响评价管理的通知》（环办环评函</w:t>
      </w:r>
      <w:r>
        <w:rPr>
          <w:rFonts w:hint="eastAsia"/>
          <w:color w:val="auto"/>
          <w:lang w:eastAsia="zh-CN"/>
        </w:rPr>
        <w:t>〔</w:t>
      </w:r>
      <w:r>
        <w:rPr>
          <w:rFonts w:hint="default"/>
          <w:color w:val="auto"/>
        </w:rPr>
        <w:t>2019</w:t>
      </w:r>
      <w:r>
        <w:rPr>
          <w:rFonts w:hint="eastAsia"/>
          <w:color w:val="auto"/>
          <w:lang w:eastAsia="zh-CN"/>
        </w:rPr>
        <w:t>〕</w:t>
      </w:r>
      <w:r>
        <w:rPr>
          <w:rFonts w:hint="default"/>
          <w:color w:val="auto"/>
        </w:rPr>
        <w:t>910号）符合性分析</w:t>
      </w:r>
    </w:p>
    <w:p w14:paraId="5535BA9A">
      <w:pPr>
        <w:pStyle w:val="79"/>
        <w:bidi w:val="0"/>
        <w:rPr>
          <w:rFonts w:hint="default"/>
          <w:color w:val="auto"/>
          <w:lang w:val="en-US" w:eastAsia="zh-CN"/>
        </w:rPr>
      </w:pPr>
      <w:r>
        <w:rPr>
          <w:rFonts w:hint="default"/>
          <w:color w:val="auto"/>
          <w:lang w:eastAsia="zh-CN"/>
        </w:rPr>
        <w:t>本工程</w:t>
      </w:r>
      <w:r>
        <w:rPr>
          <w:rFonts w:hint="default"/>
          <w:color w:val="auto"/>
        </w:rPr>
        <w:t>与《关于进一步加强石油天然气行业环境影响评价管理的通知》（环办环评函</w:t>
      </w:r>
      <w:r>
        <w:rPr>
          <w:rFonts w:hint="eastAsia"/>
          <w:color w:val="auto"/>
          <w:lang w:eastAsia="zh-CN"/>
        </w:rPr>
        <w:t>〔</w:t>
      </w:r>
      <w:r>
        <w:rPr>
          <w:rFonts w:hint="default"/>
          <w:color w:val="auto"/>
        </w:rPr>
        <w:t>2019</w:t>
      </w:r>
      <w:r>
        <w:rPr>
          <w:rFonts w:hint="eastAsia"/>
          <w:color w:val="auto"/>
          <w:lang w:eastAsia="zh-CN"/>
        </w:rPr>
        <w:t>〕</w:t>
      </w:r>
      <w:r>
        <w:rPr>
          <w:rFonts w:hint="default"/>
          <w:color w:val="auto"/>
        </w:rPr>
        <w:t>910号）符合性分析</w:t>
      </w:r>
      <w:r>
        <w:rPr>
          <w:rFonts w:hint="eastAsia"/>
          <w:color w:val="auto"/>
          <w:lang w:eastAsia="zh-CN"/>
        </w:rPr>
        <w:t>，</w:t>
      </w:r>
      <w:r>
        <w:rPr>
          <w:rFonts w:hint="default"/>
          <w:color w:val="auto"/>
        </w:rPr>
        <w:t>见表</w:t>
      </w:r>
      <w:r>
        <w:rPr>
          <w:rFonts w:hint="eastAsia"/>
          <w:color w:val="auto"/>
          <w:lang w:val="en-US" w:eastAsia="zh-CN"/>
        </w:rPr>
        <w:t>3.4-3。</w:t>
      </w:r>
    </w:p>
    <w:p w14:paraId="73596243">
      <w:pPr>
        <w:pStyle w:val="61"/>
        <w:bidi w:val="0"/>
        <w:jc w:val="both"/>
        <w:rPr>
          <w:rFonts w:hint="default"/>
          <w:color w:val="auto"/>
          <w:lang w:val="en-US" w:eastAsia="zh-CN"/>
        </w:rPr>
      </w:pPr>
      <w:r>
        <w:rPr>
          <w:rFonts w:hint="default"/>
          <w:color w:val="auto"/>
          <w:lang w:val="en-US" w:eastAsia="zh-CN"/>
        </w:rPr>
        <w:t>表</w:t>
      </w:r>
      <w:r>
        <w:rPr>
          <w:rFonts w:hint="eastAsia"/>
          <w:color w:val="auto"/>
          <w:lang w:val="en-US" w:eastAsia="zh-CN"/>
        </w:rPr>
        <w:t xml:space="preserve">3.4-3   </w:t>
      </w:r>
      <w:r>
        <w:rPr>
          <w:rFonts w:hint="default"/>
          <w:color w:val="auto"/>
          <w:lang w:val="en-US" w:eastAsia="zh-CN"/>
        </w:rPr>
        <w:t>与“环办环评函</w:t>
      </w:r>
      <w:r>
        <w:rPr>
          <w:rFonts w:hint="eastAsia"/>
          <w:color w:val="auto"/>
          <w:lang w:val="en-US" w:eastAsia="zh-CN"/>
        </w:rPr>
        <w:t>〔</w:t>
      </w:r>
      <w:r>
        <w:rPr>
          <w:rFonts w:hint="default"/>
          <w:color w:val="auto"/>
          <w:lang w:val="en-US" w:eastAsia="zh-CN"/>
        </w:rPr>
        <w:t>2019</w:t>
      </w:r>
      <w:r>
        <w:rPr>
          <w:rFonts w:hint="eastAsia"/>
          <w:color w:val="auto"/>
          <w:lang w:val="en-US" w:eastAsia="zh-CN"/>
        </w:rPr>
        <w:t>〕</w:t>
      </w:r>
      <w:r>
        <w:rPr>
          <w:rFonts w:hint="default"/>
          <w:color w:val="auto"/>
          <w:lang w:val="en-US" w:eastAsia="zh-CN"/>
        </w:rPr>
        <w:t>910号”符合性</w:t>
      </w:r>
    </w:p>
    <w:tbl>
      <w:tblPr>
        <w:tblStyle w:val="36"/>
        <w:tblW w:w="4999"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5287"/>
        <w:gridCol w:w="2733"/>
        <w:gridCol w:w="626"/>
      </w:tblGrid>
      <w:tr w14:paraId="3232320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057" w:type="pct"/>
            <w:tcBorders>
              <w:tl2br w:val="nil"/>
              <w:tr2bl w:val="nil"/>
            </w:tcBorders>
            <w:noWrap w:val="0"/>
            <w:vAlign w:val="center"/>
          </w:tcPr>
          <w:p w14:paraId="1F5C5340">
            <w:pPr>
              <w:keepNext w:val="0"/>
              <w:keepLines w:val="0"/>
              <w:pageBreakBefore w:val="0"/>
              <w:widowControl/>
              <w:kinsoku/>
              <w:overflowPunct/>
              <w:topLinePunct w:val="0"/>
              <w:autoSpaceDE/>
              <w:autoSpaceDN/>
              <w:bidi w:val="0"/>
              <w:adjustRightInd/>
              <w:snapToGrid/>
              <w:spacing w:line="400" w:lineRule="exact"/>
              <w:ind w:firstLine="420" w:firstLineChars="200"/>
              <w:jc w:val="center"/>
              <w:textAlignment w:val="auto"/>
              <w:rPr>
                <w:rFonts w:hint="eastAsia" w:ascii="宋体" w:hAnsi="宋体" w:eastAsia="宋体" w:cs="宋体"/>
                <w:color w:val="auto"/>
                <w:kern w:val="0"/>
                <w:sz w:val="21"/>
                <w:szCs w:val="21"/>
                <w:highlight w:val="none"/>
              </w:rPr>
            </w:pPr>
            <w:bookmarkStart w:id="513" w:name="_Toc42981106"/>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2019</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910号要求</w:t>
            </w:r>
          </w:p>
        </w:tc>
        <w:tc>
          <w:tcPr>
            <w:tcW w:w="1580" w:type="pct"/>
            <w:tcBorders>
              <w:tl2br w:val="nil"/>
              <w:tr2bl w:val="nil"/>
            </w:tcBorders>
            <w:noWrap w:val="0"/>
            <w:vAlign w:val="center"/>
          </w:tcPr>
          <w:p w14:paraId="276E81A4">
            <w:pPr>
              <w:keepNext w:val="0"/>
              <w:keepLines w:val="0"/>
              <w:pageBreakBefore w:val="0"/>
              <w:widowControl/>
              <w:kinsoku/>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项目情况</w:t>
            </w:r>
          </w:p>
        </w:tc>
        <w:tc>
          <w:tcPr>
            <w:tcW w:w="362" w:type="pct"/>
            <w:tcBorders>
              <w:tl2br w:val="nil"/>
              <w:tr2bl w:val="nil"/>
            </w:tcBorders>
            <w:noWrap w:val="0"/>
            <w:vAlign w:val="center"/>
          </w:tcPr>
          <w:p w14:paraId="25823FC7">
            <w:pPr>
              <w:keepNext w:val="0"/>
              <w:keepLines w:val="0"/>
              <w:pageBreakBefore w:val="0"/>
              <w:widowControl/>
              <w:kinsoku/>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pacing w:val="-20"/>
                <w:kern w:val="0"/>
                <w:sz w:val="21"/>
                <w:szCs w:val="21"/>
                <w:highlight w:val="none"/>
              </w:rPr>
              <w:t>符合性</w:t>
            </w:r>
          </w:p>
        </w:tc>
      </w:tr>
      <w:tr w14:paraId="4B7FADD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057" w:type="pct"/>
            <w:tcBorders>
              <w:tl2br w:val="nil"/>
              <w:tr2bl w:val="nil"/>
            </w:tcBorders>
            <w:noWrap w:val="0"/>
            <w:vAlign w:val="center"/>
          </w:tcPr>
          <w:p w14:paraId="2BE4D0DB">
            <w:pPr>
              <w:keepNext w:val="0"/>
              <w:keepLines w:val="0"/>
              <w:pageBreakBefore w:val="0"/>
              <w:widowControl/>
              <w:kinsoku/>
              <w:overflowPunct/>
              <w:topLinePunct w:val="0"/>
              <w:autoSpaceDE/>
              <w:autoSpaceDN/>
              <w:bidi w:val="0"/>
              <w:adjustRightInd/>
              <w:snapToGrid/>
              <w:spacing w:line="400" w:lineRule="exact"/>
              <w:jc w:val="both"/>
              <w:textAlignment w:val="auto"/>
              <w:rPr>
                <w:rFonts w:hint="eastAsia" w:ascii="宋体" w:hAnsi="宋体" w:eastAsia="宋体" w:cs="宋体"/>
                <w:color w:val="auto"/>
                <w:spacing w:val="-6"/>
                <w:kern w:val="0"/>
                <w:sz w:val="21"/>
                <w:szCs w:val="21"/>
                <w:highlight w:val="none"/>
              </w:rPr>
            </w:pPr>
            <w:r>
              <w:rPr>
                <w:rFonts w:hint="eastAsia" w:ascii="宋体" w:hAnsi="宋体" w:eastAsia="宋体" w:cs="宋体"/>
                <w:color w:val="auto"/>
                <w:spacing w:val="-6"/>
                <w:kern w:val="0"/>
                <w:sz w:val="21"/>
                <w:szCs w:val="21"/>
                <w:highlight w:val="none"/>
              </w:rPr>
              <w:t>油气开采项目（含新开发和滚动开发项目）原则上应当以区块为单位开展环评（以下简称区块环评），一般包括区块内拟建的新井、加密井、调整井、站场、设备、管线和电缆及其更换工程、弃置工程及配套工程等。</w:t>
            </w:r>
          </w:p>
          <w:p w14:paraId="3CEDE38C">
            <w:pPr>
              <w:keepNext w:val="0"/>
              <w:keepLines w:val="0"/>
              <w:pageBreakBefore w:val="0"/>
              <w:widowControl/>
              <w:kinsoku/>
              <w:overflowPunct/>
              <w:topLinePunct w:val="0"/>
              <w:autoSpaceDE/>
              <w:autoSpaceDN/>
              <w:bidi w:val="0"/>
              <w:adjustRightInd/>
              <w:snapToGrid/>
              <w:spacing w:line="400" w:lineRule="exact"/>
              <w:jc w:val="both"/>
              <w:textAlignment w:val="auto"/>
              <w:rPr>
                <w:rFonts w:hint="eastAsia" w:ascii="宋体" w:hAnsi="宋体" w:eastAsia="宋体" w:cs="宋体"/>
                <w:color w:val="auto"/>
                <w:spacing w:val="-6"/>
                <w:kern w:val="0"/>
                <w:sz w:val="21"/>
                <w:szCs w:val="21"/>
                <w:highlight w:val="none"/>
              </w:rPr>
            </w:pPr>
            <w:r>
              <w:rPr>
                <w:rFonts w:hint="eastAsia" w:ascii="宋体" w:hAnsi="宋体" w:eastAsia="宋体" w:cs="宋体"/>
                <w:color w:val="auto"/>
                <w:spacing w:val="-6"/>
                <w:kern w:val="0"/>
                <w:sz w:val="21"/>
                <w:szCs w:val="21"/>
                <w:highlight w:val="none"/>
              </w:rPr>
              <w:t>未确定产能建设规模的陆地油气开采新区块，建设勘探井应当依法编制环境影响报告表。海洋油气勘探工程应当填报环境影响登记表并进行备案。</w:t>
            </w:r>
          </w:p>
          <w:p w14:paraId="6837FB9E">
            <w:pPr>
              <w:keepNext w:val="0"/>
              <w:keepLines w:val="0"/>
              <w:pageBreakBefore w:val="0"/>
              <w:widowControl/>
              <w:kinsoku/>
              <w:overflowPunct/>
              <w:topLinePunct w:val="0"/>
              <w:autoSpaceDE/>
              <w:autoSpaceDN/>
              <w:bidi w:val="0"/>
              <w:adjustRightInd/>
              <w:snapToGrid/>
              <w:spacing w:line="400" w:lineRule="exact"/>
              <w:jc w:val="both"/>
              <w:textAlignment w:val="auto"/>
              <w:rPr>
                <w:rFonts w:hint="eastAsia" w:ascii="宋体" w:hAnsi="宋体" w:eastAsia="宋体" w:cs="宋体"/>
                <w:color w:val="auto"/>
                <w:spacing w:val="-6"/>
                <w:kern w:val="0"/>
                <w:sz w:val="21"/>
                <w:szCs w:val="21"/>
                <w:highlight w:val="none"/>
              </w:rPr>
            </w:pPr>
            <w:r>
              <w:rPr>
                <w:rFonts w:hint="eastAsia" w:ascii="宋体" w:hAnsi="宋体" w:eastAsia="宋体" w:cs="宋体"/>
                <w:color w:val="auto"/>
                <w:spacing w:val="-6"/>
                <w:kern w:val="0"/>
                <w:sz w:val="21"/>
                <w:szCs w:val="21"/>
                <w:highlight w:val="none"/>
              </w:rPr>
              <w:t>确定产能建设规模后，原则上不得以勘探名义继续开展单井环评。勘探井转为生产井的，可以纳入区块环评。</w:t>
            </w:r>
          </w:p>
          <w:p w14:paraId="10288CCB">
            <w:pPr>
              <w:keepNext w:val="0"/>
              <w:keepLines w:val="0"/>
              <w:pageBreakBefore w:val="0"/>
              <w:widowControl/>
              <w:kinsoku/>
              <w:overflowPunct/>
              <w:topLinePunct w:val="0"/>
              <w:autoSpaceDE/>
              <w:autoSpaceDN/>
              <w:bidi w:val="0"/>
              <w:adjustRightInd/>
              <w:snapToGrid/>
              <w:spacing w:line="400" w:lineRule="exact"/>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pacing w:val="-6"/>
                <w:kern w:val="0"/>
                <w:sz w:val="21"/>
                <w:szCs w:val="21"/>
                <w:highlight w:val="none"/>
              </w:rPr>
              <w:t>2021年1月1日起，原则上不以单井形式开展环评。过渡期，项目建设单位可以根据实际情况，报批区块环评或单井环评。</w:t>
            </w:r>
          </w:p>
        </w:tc>
        <w:tc>
          <w:tcPr>
            <w:tcW w:w="1580" w:type="pct"/>
            <w:tcBorders>
              <w:tl2br w:val="nil"/>
              <w:tr2bl w:val="nil"/>
            </w:tcBorders>
            <w:noWrap w:val="0"/>
            <w:vAlign w:val="center"/>
          </w:tcPr>
          <w:p w14:paraId="47E8B9F9">
            <w:pPr>
              <w:keepNext w:val="0"/>
              <w:keepLines w:val="0"/>
              <w:pageBreakBefore w:val="0"/>
              <w:widowControl/>
              <w:kinsoku/>
              <w:overflowPunct/>
              <w:topLinePunct w:val="0"/>
              <w:autoSpaceDE/>
              <w:autoSpaceDN/>
              <w:bidi w:val="0"/>
              <w:adjustRightInd/>
              <w:snapToGrid/>
              <w:spacing w:line="400" w:lineRule="exact"/>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本工程以</w:t>
            </w:r>
            <w:r>
              <w:rPr>
                <w:rFonts w:hint="eastAsia" w:ascii="宋体" w:hAnsi="宋体" w:cs="宋体"/>
                <w:color w:val="auto"/>
                <w:kern w:val="0"/>
                <w:sz w:val="21"/>
                <w:szCs w:val="21"/>
                <w:highlight w:val="none"/>
                <w:lang w:val="en-US" w:eastAsia="zh-CN"/>
              </w:rPr>
              <w:t>雄英1区块</w:t>
            </w:r>
            <w:r>
              <w:rPr>
                <w:rFonts w:hint="eastAsia" w:ascii="宋体" w:hAnsi="宋体" w:eastAsia="宋体" w:cs="宋体"/>
                <w:color w:val="auto"/>
                <w:kern w:val="0"/>
                <w:sz w:val="21"/>
                <w:szCs w:val="21"/>
                <w:highlight w:val="none"/>
              </w:rPr>
              <w:t>为单位开展环评</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为新区块的开发</w:t>
            </w:r>
            <w:r>
              <w:rPr>
                <w:rFonts w:hint="eastAsia" w:ascii="宋体" w:hAnsi="宋体" w:eastAsia="宋体" w:cs="宋体"/>
                <w:color w:val="auto"/>
                <w:kern w:val="0"/>
                <w:sz w:val="21"/>
                <w:szCs w:val="21"/>
                <w:highlight w:val="none"/>
              </w:rPr>
              <w:t>，在报告中对工程施工期、运营期环境影响和环境风险进行了分析，并提出有效的环境保护措施、污染防治措施和环境风险防范措施，并分析了依托工</w:t>
            </w:r>
            <w:r>
              <w:rPr>
                <w:rFonts w:hint="eastAsia" w:ascii="宋体" w:hAnsi="宋体" w:cs="宋体"/>
                <w:color w:val="auto"/>
                <w:kern w:val="0"/>
                <w:sz w:val="21"/>
                <w:szCs w:val="21"/>
                <w:highlight w:val="none"/>
                <w:lang w:eastAsia="zh-CN"/>
              </w:rPr>
              <w:t>程的</w:t>
            </w:r>
            <w:r>
              <w:rPr>
                <w:rFonts w:hint="eastAsia" w:ascii="宋体" w:hAnsi="宋体" w:eastAsia="宋体" w:cs="宋体"/>
                <w:color w:val="auto"/>
                <w:kern w:val="0"/>
                <w:sz w:val="21"/>
                <w:szCs w:val="21"/>
                <w:highlight w:val="none"/>
              </w:rPr>
              <w:t>可行性和有效性；同时对现有</w:t>
            </w:r>
            <w:r>
              <w:rPr>
                <w:rFonts w:hint="eastAsia" w:ascii="宋体" w:hAnsi="宋体" w:cs="宋体"/>
                <w:color w:val="auto"/>
                <w:kern w:val="0"/>
                <w:sz w:val="21"/>
                <w:szCs w:val="21"/>
                <w:highlight w:val="none"/>
                <w:lang w:val="en-US" w:eastAsia="zh-CN"/>
              </w:rPr>
              <w:t>勘探井</w:t>
            </w:r>
            <w:r>
              <w:rPr>
                <w:rFonts w:hint="eastAsia" w:ascii="宋体" w:hAnsi="宋体" w:eastAsia="宋体" w:cs="宋体"/>
                <w:color w:val="auto"/>
                <w:kern w:val="0"/>
                <w:sz w:val="21"/>
                <w:szCs w:val="21"/>
                <w:highlight w:val="none"/>
              </w:rPr>
              <w:t>工程也进行了回顾性评价，对相关生态环境问题提出有效防治措施。</w:t>
            </w:r>
          </w:p>
        </w:tc>
        <w:tc>
          <w:tcPr>
            <w:tcW w:w="362" w:type="pct"/>
            <w:tcBorders>
              <w:tl2br w:val="nil"/>
              <w:tr2bl w:val="nil"/>
            </w:tcBorders>
            <w:noWrap w:val="0"/>
            <w:vAlign w:val="center"/>
          </w:tcPr>
          <w:p w14:paraId="6159A0D0">
            <w:pPr>
              <w:keepNext w:val="0"/>
              <w:keepLines w:val="0"/>
              <w:pageBreakBefore w:val="0"/>
              <w:widowControl/>
              <w:kinsoku/>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w:t>
            </w:r>
          </w:p>
        </w:tc>
      </w:tr>
      <w:tr w14:paraId="13FC7C7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057" w:type="pct"/>
            <w:tcBorders>
              <w:tl2br w:val="nil"/>
              <w:tr2bl w:val="nil"/>
            </w:tcBorders>
            <w:noWrap w:val="0"/>
            <w:vAlign w:val="center"/>
          </w:tcPr>
          <w:p w14:paraId="10574122">
            <w:pPr>
              <w:keepNext w:val="0"/>
              <w:keepLines w:val="0"/>
              <w:pageBreakBefore w:val="0"/>
              <w:widowControl/>
              <w:kinsoku/>
              <w:overflowPunct/>
              <w:topLinePunct w:val="0"/>
              <w:autoSpaceDE/>
              <w:autoSpaceDN/>
              <w:bidi w:val="0"/>
              <w:adjustRightInd/>
              <w:snapToGrid/>
              <w:spacing w:line="400" w:lineRule="exact"/>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目环评应当深入评价项目建设、运营带来的环境影响和环境风险，提出有效的生态环境保护和环境风险防范措施。依托其他防治设施的或者委托第三方处置的，应当论证其可行性和有效性。滚动开发区块产能建设项目环评文件中还应对现有工程环境影响进行回顾性评价，对存在的生态环境问题和环境风险隐患提出有效防治措施。</w:t>
            </w:r>
          </w:p>
        </w:tc>
        <w:tc>
          <w:tcPr>
            <w:tcW w:w="1580" w:type="pct"/>
            <w:tcBorders>
              <w:tl2br w:val="nil"/>
              <w:tr2bl w:val="nil"/>
            </w:tcBorders>
            <w:noWrap w:val="0"/>
            <w:vAlign w:val="center"/>
          </w:tcPr>
          <w:p w14:paraId="27D53A91">
            <w:pPr>
              <w:keepNext w:val="0"/>
              <w:keepLines w:val="0"/>
              <w:pageBreakBefore w:val="0"/>
              <w:widowControl/>
              <w:kinsoku/>
              <w:overflowPunct/>
              <w:topLinePunct w:val="0"/>
              <w:autoSpaceDE/>
              <w:autoSpaceDN/>
              <w:bidi w:val="0"/>
              <w:adjustRightInd/>
              <w:snapToGrid/>
              <w:spacing w:line="400" w:lineRule="exact"/>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本工程</w:t>
            </w:r>
            <w:r>
              <w:rPr>
                <w:rFonts w:hint="eastAsia" w:ascii="宋体" w:hAnsi="宋体" w:eastAsia="宋体" w:cs="宋体"/>
                <w:color w:val="auto"/>
                <w:kern w:val="0"/>
                <w:sz w:val="21"/>
                <w:szCs w:val="21"/>
                <w:highlight w:val="none"/>
              </w:rPr>
              <w:t>评价了项目建设、运营带来的环境影响和环境风险，提出了有效的生态环境保护和环境风险防范措施；对依托的污水处理设施、固废处理设施等均论证了依托可行性和有效性，项目依托处置可行；对现有工程进行回顾评价并针对生态环境问题和环境风险隐患提出了有效防治措施。</w:t>
            </w:r>
          </w:p>
        </w:tc>
        <w:tc>
          <w:tcPr>
            <w:tcW w:w="362" w:type="pct"/>
            <w:tcBorders>
              <w:tl2br w:val="nil"/>
              <w:tr2bl w:val="nil"/>
            </w:tcBorders>
            <w:noWrap w:val="0"/>
            <w:vAlign w:val="center"/>
          </w:tcPr>
          <w:p w14:paraId="1172F135">
            <w:pPr>
              <w:keepNext w:val="0"/>
              <w:keepLines w:val="0"/>
              <w:pageBreakBefore w:val="0"/>
              <w:widowControl/>
              <w:kinsoku/>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w:t>
            </w:r>
          </w:p>
        </w:tc>
      </w:tr>
      <w:tr w14:paraId="6D4D6BC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057" w:type="pct"/>
            <w:tcBorders>
              <w:tl2br w:val="nil"/>
              <w:tr2bl w:val="nil"/>
            </w:tcBorders>
            <w:noWrap w:val="0"/>
            <w:vAlign w:val="center"/>
          </w:tcPr>
          <w:p w14:paraId="0EFD8A3B">
            <w:pPr>
              <w:keepNext w:val="0"/>
              <w:keepLines w:val="0"/>
              <w:pageBreakBefore w:val="0"/>
              <w:widowControl/>
              <w:kinsoku/>
              <w:overflowPunct/>
              <w:topLinePunct w:val="0"/>
              <w:autoSpaceDE/>
              <w:autoSpaceDN/>
              <w:bidi w:val="0"/>
              <w:adjustRightInd/>
              <w:snapToGrid/>
              <w:spacing w:line="400" w:lineRule="exact"/>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涉及向地表水体排放污染物的陆地油气开采项目，应当符合国家和地方污染物排放标准，满足重点污染物排放总量控制要求。</w:t>
            </w:r>
          </w:p>
        </w:tc>
        <w:tc>
          <w:tcPr>
            <w:tcW w:w="1580" w:type="pct"/>
            <w:tcBorders>
              <w:tl2br w:val="nil"/>
              <w:tr2bl w:val="nil"/>
            </w:tcBorders>
            <w:noWrap w:val="0"/>
            <w:vAlign w:val="center"/>
          </w:tcPr>
          <w:p w14:paraId="3326705C">
            <w:pPr>
              <w:keepNext w:val="0"/>
              <w:keepLines w:val="0"/>
              <w:pageBreakBefore w:val="0"/>
              <w:widowControl/>
              <w:kinsoku/>
              <w:overflowPunct/>
              <w:topLinePunct w:val="0"/>
              <w:autoSpaceDE/>
              <w:autoSpaceDN/>
              <w:bidi w:val="0"/>
              <w:adjustRightInd/>
              <w:snapToGrid/>
              <w:spacing w:line="400" w:lineRule="exact"/>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本工程周边5km范围内无地表水；废水经依托工程处理，不外排，不涉及水污染物总量控制指标。</w:t>
            </w:r>
          </w:p>
        </w:tc>
        <w:tc>
          <w:tcPr>
            <w:tcW w:w="362" w:type="pct"/>
            <w:tcBorders>
              <w:tl2br w:val="nil"/>
              <w:tr2bl w:val="nil"/>
            </w:tcBorders>
            <w:noWrap w:val="0"/>
            <w:vAlign w:val="center"/>
          </w:tcPr>
          <w:p w14:paraId="14E84C02">
            <w:pPr>
              <w:keepNext w:val="0"/>
              <w:keepLines w:val="0"/>
              <w:pageBreakBefore w:val="0"/>
              <w:widowControl/>
              <w:kinsoku/>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w:t>
            </w:r>
          </w:p>
        </w:tc>
      </w:tr>
      <w:tr w14:paraId="06ABC37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057" w:type="pct"/>
            <w:tcBorders>
              <w:tl2br w:val="nil"/>
              <w:tr2bl w:val="nil"/>
            </w:tcBorders>
            <w:noWrap w:val="0"/>
            <w:vAlign w:val="center"/>
          </w:tcPr>
          <w:p w14:paraId="04E64AAE">
            <w:pPr>
              <w:keepNext w:val="0"/>
              <w:keepLines w:val="0"/>
              <w:pageBreakBefore w:val="0"/>
              <w:widowControl/>
              <w:kinsoku/>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0"/>
                <w:sz w:val="21"/>
                <w:szCs w:val="21"/>
                <w:highlight w:val="none"/>
              </w:rPr>
              <w:t>油气开采产生的废弃油基泥浆、含油钻屑及其他固体废物，应当遵循减量化、资源化、无害化原则，按照国家和地方有关固体废物的管理规定进行处置。提高废弃油基泥浆和含油钻屑及其处理产物的综合利用率。油气开采项目产生的危险废物，应当按照《建设项目危险废物环境影响评价指南》（2017年10月1日）要求评价。</w:t>
            </w:r>
          </w:p>
        </w:tc>
        <w:tc>
          <w:tcPr>
            <w:tcW w:w="1580" w:type="pct"/>
            <w:tcBorders>
              <w:tl2br w:val="nil"/>
              <w:tr2bl w:val="nil"/>
            </w:tcBorders>
            <w:noWrap w:val="0"/>
            <w:vAlign w:val="center"/>
          </w:tcPr>
          <w:p w14:paraId="68E81FE9">
            <w:pPr>
              <w:keepNext w:val="0"/>
              <w:keepLines w:val="0"/>
              <w:pageBreakBefore w:val="0"/>
              <w:widowControl/>
              <w:kinsoku/>
              <w:wordWrap w:val="0"/>
              <w:overflowPunct/>
              <w:topLinePunct w:val="0"/>
              <w:autoSpaceDE/>
              <w:autoSpaceDN/>
              <w:bidi w:val="0"/>
              <w:adjustRightInd/>
              <w:snapToGrid/>
              <w:spacing w:line="400" w:lineRule="exact"/>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pacing w:val="-6"/>
                <w:kern w:val="0"/>
                <w:sz w:val="21"/>
                <w:szCs w:val="21"/>
                <w:highlight w:val="none"/>
              </w:rPr>
              <w:t>本次评价</w:t>
            </w:r>
            <w:r>
              <w:rPr>
                <w:rFonts w:hint="eastAsia" w:ascii="宋体" w:hAnsi="宋体" w:eastAsia="宋体" w:cs="宋体"/>
                <w:color w:val="auto"/>
                <w:spacing w:val="-6"/>
                <w:kern w:val="0"/>
                <w:sz w:val="21"/>
                <w:szCs w:val="21"/>
                <w:highlight w:val="none"/>
                <w:lang w:val="en-US" w:eastAsia="zh-CN"/>
              </w:rPr>
              <w:t>不含钻井工程；</w:t>
            </w:r>
            <w:r>
              <w:rPr>
                <w:rFonts w:hint="eastAsia" w:ascii="宋体" w:hAnsi="宋体" w:eastAsia="宋体" w:cs="宋体"/>
                <w:color w:val="auto"/>
                <w:spacing w:val="-6"/>
                <w:kern w:val="0"/>
                <w:sz w:val="21"/>
                <w:szCs w:val="21"/>
                <w:highlight w:val="none"/>
                <w:lang w:eastAsia="zh-CN"/>
              </w:rPr>
              <w:t>工程</w:t>
            </w:r>
            <w:r>
              <w:rPr>
                <w:rFonts w:hint="eastAsia" w:ascii="宋体" w:hAnsi="宋体" w:eastAsia="宋体" w:cs="宋体"/>
                <w:color w:val="auto"/>
                <w:spacing w:val="-6"/>
                <w:kern w:val="0"/>
                <w:sz w:val="21"/>
                <w:szCs w:val="21"/>
                <w:highlight w:val="none"/>
              </w:rPr>
              <w:t>产生的危险废物均委托</w:t>
            </w:r>
            <w:r>
              <w:rPr>
                <w:rFonts w:hint="eastAsia" w:ascii="宋体" w:hAnsi="宋体" w:eastAsia="宋体" w:cs="宋体"/>
                <w:color w:val="auto"/>
                <w:spacing w:val="-6"/>
                <w:kern w:val="0"/>
                <w:sz w:val="21"/>
                <w:szCs w:val="21"/>
                <w:highlight w:val="none"/>
                <w:lang w:val="en-US" w:eastAsia="zh-CN"/>
              </w:rPr>
              <w:t>有资质单位</w:t>
            </w:r>
            <w:r>
              <w:rPr>
                <w:rFonts w:hint="eastAsia" w:ascii="宋体" w:hAnsi="宋体" w:eastAsia="宋体" w:cs="宋体"/>
                <w:color w:val="auto"/>
                <w:spacing w:val="-6"/>
                <w:kern w:val="0"/>
                <w:sz w:val="21"/>
                <w:szCs w:val="21"/>
                <w:highlight w:val="none"/>
              </w:rPr>
              <w:t>处置。</w:t>
            </w:r>
          </w:p>
        </w:tc>
        <w:tc>
          <w:tcPr>
            <w:tcW w:w="362" w:type="pct"/>
            <w:tcBorders>
              <w:tl2br w:val="nil"/>
              <w:tr2bl w:val="nil"/>
            </w:tcBorders>
            <w:noWrap w:val="0"/>
            <w:vAlign w:val="center"/>
          </w:tcPr>
          <w:p w14:paraId="2565333E">
            <w:pPr>
              <w:keepNext w:val="0"/>
              <w:keepLines w:val="0"/>
              <w:pageBreakBefore w:val="0"/>
              <w:widowControl/>
              <w:kinsoku/>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w:t>
            </w:r>
          </w:p>
        </w:tc>
      </w:tr>
      <w:tr w14:paraId="5371324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057" w:type="pct"/>
            <w:tcBorders>
              <w:tl2br w:val="nil"/>
              <w:tr2bl w:val="nil"/>
            </w:tcBorders>
            <w:noWrap w:val="0"/>
            <w:vAlign w:val="center"/>
          </w:tcPr>
          <w:p w14:paraId="2DA22B1D">
            <w:pPr>
              <w:keepNext w:val="0"/>
              <w:keepLines w:val="0"/>
              <w:pageBreakBefore w:val="0"/>
              <w:widowControl/>
              <w:kinsoku/>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涉及高含硫天然气开采的，应当强化钻井、输送、净化等环节环境风险防范措施。含硫</w:t>
            </w:r>
            <w:r>
              <w:rPr>
                <w:rFonts w:hint="eastAsia" w:ascii="宋体" w:hAnsi="宋体" w:eastAsia="宋体" w:cs="宋体"/>
                <w:color w:val="auto"/>
                <w:kern w:val="0"/>
                <w:sz w:val="21"/>
                <w:szCs w:val="21"/>
                <w:highlight w:val="none"/>
                <w:lang w:eastAsia="zh-CN"/>
              </w:rPr>
              <w:t>油田</w:t>
            </w:r>
            <w:r>
              <w:rPr>
                <w:rFonts w:hint="eastAsia" w:ascii="宋体" w:hAnsi="宋体" w:eastAsia="宋体" w:cs="宋体"/>
                <w:color w:val="auto"/>
                <w:kern w:val="0"/>
                <w:sz w:val="21"/>
                <w:szCs w:val="21"/>
                <w:highlight w:val="none"/>
              </w:rPr>
              <w:t>回注采出水，应当采取有效措施减少废水处理站和回注井场H</w:t>
            </w:r>
            <w:r>
              <w:rPr>
                <w:rFonts w:hint="eastAsia" w:ascii="宋体" w:hAnsi="宋体" w:eastAsia="宋体" w:cs="宋体"/>
                <w:color w:val="auto"/>
                <w:kern w:val="0"/>
                <w:sz w:val="21"/>
                <w:szCs w:val="21"/>
                <w:highlight w:val="none"/>
                <w:vertAlign w:val="subscript"/>
              </w:rPr>
              <w:t>2</w:t>
            </w:r>
            <w:r>
              <w:rPr>
                <w:rFonts w:hint="eastAsia" w:ascii="宋体" w:hAnsi="宋体" w:eastAsia="宋体" w:cs="宋体"/>
                <w:color w:val="auto"/>
                <w:kern w:val="0"/>
                <w:sz w:val="21"/>
                <w:szCs w:val="21"/>
                <w:highlight w:val="none"/>
              </w:rPr>
              <w:t>S的无组织排放。高含硫天然气净化厂应当采用先进高效硫磺回收工艺，减少SO</w:t>
            </w:r>
            <w:r>
              <w:rPr>
                <w:rFonts w:hint="eastAsia" w:ascii="宋体" w:hAnsi="宋体" w:eastAsia="宋体" w:cs="宋体"/>
                <w:color w:val="auto"/>
                <w:kern w:val="0"/>
                <w:sz w:val="21"/>
                <w:szCs w:val="21"/>
                <w:highlight w:val="none"/>
                <w:vertAlign w:val="subscript"/>
              </w:rPr>
              <w:t>2</w:t>
            </w:r>
            <w:r>
              <w:rPr>
                <w:rFonts w:hint="eastAsia" w:ascii="宋体" w:hAnsi="宋体" w:eastAsia="宋体" w:cs="宋体"/>
                <w:color w:val="auto"/>
                <w:kern w:val="0"/>
                <w:sz w:val="21"/>
                <w:szCs w:val="21"/>
                <w:highlight w:val="none"/>
              </w:rPr>
              <w:t>排放。井场水套加热炉、锅炉、压缩机等排放大气污染物的设备，应当优先使用清洁燃料，废气排放应当满足国家和地方大气</w:t>
            </w:r>
            <w:r>
              <w:rPr>
                <w:rFonts w:hint="eastAsia" w:ascii="宋体" w:hAnsi="宋体" w:cs="宋体"/>
                <w:color w:val="auto"/>
                <w:kern w:val="0"/>
                <w:sz w:val="21"/>
                <w:szCs w:val="21"/>
                <w:highlight w:val="none"/>
                <w:lang w:eastAsia="zh-CN"/>
              </w:rPr>
              <w:t>污染</w:t>
            </w:r>
            <w:r>
              <w:rPr>
                <w:rFonts w:hint="eastAsia" w:ascii="宋体" w:hAnsi="宋体" w:eastAsia="宋体" w:cs="宋体"/>
                <w:color w:val="auto"/>
                <w:kern w:val="0"/>
                <w:sz w:val="21"/>
                <w:szCs w:val="21"/>
                <w:highlight w:val="none"/>
              </w:rPr>
              <w:t>物排放标准要求。</w:t>
            </w:r>
          </w:p>
        </w:tc>
        <w:tc>
          <w:tcPr>
            <w:tcW w:w="1580" w:type="pct"/>
            <w:tcBorders>
              <w:tl2br w:val="nil"/>
              <w:tr2bl w:val="nil"/>
            </w:tcBorders>
            <w:noWrap w:val="0"/>
            <w:vAlign w:val="center"/>
          </w:tcPr>
          <w:p w14:paraId="3FA587AA">
            <w:pPr>
              <w:keepNext w:val="0"/>
              <w:keepLines w:val="0"/>
              <w:pageBreakBefore w:val="0"/>
              <w:widowControl/>
              <w:kinsoku/>
              <w:overflowPunct/>
              <w:topLinePunct w:val="0"/>
              <w:autoSpaceDE/>
              <w:autoSpaceDN/>
              <w:bidi w:val="0"/>
              <w:adjustRightInd/>
              <w:snapToGrid/>
              <w:spacing w:line="400" w:lineRule="exact"/>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根据井区勘探井流体性质分析，本项目采出气为天然气为低含氮气、高含硫化氢、中含二氧化碳的湿气</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扩建试采点对天然气进行脱硫处理。</w:t>
            </w:r>
          </w:p>
        </w:tc>
        <w:tc>
          <w:tcPr>
            <w:tcW w:w="362" w:type="pct"/>
            <w:tcBorders>
              <w:tl2br w:val="nil"/>
              <w:tr2bl w:val="nil"/>
            </w:tcBorders>
            <w:noWrap w:val="0"/>
            <w:vAlign w:val="center"/>
          </w:tcPr>
          <w:p w14:paraId="1B216D88">
            <w:pPr>
              <w:keepNext w:val="0"/>
              <w:keepLines w:val="0"/>
              <w:pageBreakBefore w:val="0"/>
              <w:widowControl/>
              <w:kinsoku/>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w:t>
            </w:r>
          </w:p>
        </w:tc>
      </w:tr>
      <w:tr w14:paraId="6B5FDFE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057" w:type="pct"/>
            <w:tcBorders>
              <w:tl2br w:val="nil"/>
              <w:tr2bl w:val="nil"/>
            </w:tcBorders>
            <w:noWrap w:val="0"/>
            <w:vAlign w:val="center"/>
          </w:tcPr>
          <w:p w14:paraId="7835FBD0">
            <w:pPr>
              <w:keepNext w:val="0"/>
              <w:keepLines w:val="0"/>
              <w:pageBreakBefore w:val="0"/>
              <w:widowControl/>
              <w:kinsoku/>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施工期应当尽量减少施工占地、缩短施工时间、选择合理施工方式、落实环境敏感区管控要求以及其他生态环境保护措施，降低生态环境影响。钻井和压裂设备应当优先使用网电、高标准清洁燃油，减少废气排放。选用低噪声设备，避免噪声扰民。施工结束后，应当及时落实环评提出的生态保护措施。</w:t>
            </w:r>
          </w:p>
        </w:tc>
        <w:tc>
          <w:tcPr>
            <w:tcW w:w="1580" w:type="pct"/>
            <w:tcBorders>
              <w:tl2br w:val="nil"/>
              <w:tr2bl w:val="nil"/>
            </w:tcBorders>
            <w:noWrap w:val="0"/>
            <w:vAlign w:val="center"/>
          </w:tcPr>
          <w:p w14:paraId="7914F084">
            <w:pPr>
              <w:keepNext w:val="0"/>
              <w:keepLines w:val="0"/>
              <w:pageBreakBefore w:val="0"/>
              <w:widowControl/>
              <w:kinsoku/>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本工程</w:t>
            </w:r>
            <w:r>
              <w:rPr>
                <w:rFonts w:hint="eastAsia" w:ascii="宋体" w:hAnsi="宋体" w:cs="宋体"/>
                <w:color w:val="auto"/>
                <w:kern w:val="0"/>
                <w:sz w:val="21"/>
                <w:szCs w:val="21"/>
                <w:highlight w:val="none"/>
                <w:lang w:val="en-US" w:eastAsia="zh-CN"/>
              </w:rPr>
              <w:t>在</w:t>
            </w:r>
            <w:r>
              <w:rPr>
                <w:rFonts w:hint="eastAsia" w:ascii="宋体" w:hAnsi="宋体" w:eastAsia="宋体" w:cs="宋体"/>
                <w:color w:val="auto"/>
                <w:kern w:val="0"/>
                <w:sz w:val="21"/>
                <w:szCs w:val="21"/>
                <w:highlight w:val="none"/>
              </w:rPr>
              <w:t>报告中已提出施工过程中严格控制作业带，减少施工占地的措施，要求施工结束后及时进行恢复清理，落实报告中提出的生态保护措施，避免对区域生态环境造成影响。</w:t>
            </w:r>
          </w:p>
        </w:tc>
        <w:tc>
          <w:tcPr>
            <w:tcW w:w="362" w:type="pct"/>
            <w:tcBorders>
              <w:tl2br w:val="nil"/>
              <w:tr2bl w:val="nil"/>
            </w:tcBorders>
            <w:noWrap w:val="0"/>
            <w:vAlign w:val="center"/>
          </w:tcPr>
          <w:p w14:paraId="0996E086">
            <w:pPr>
              <w:keepNext w:val="0"/>
              <w:keepLines w:val="0"/>
              <w:pageBreakBefore w:val="0"/>
              <w:widowControl/>
              <w:kinsoku/>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w:t>
            </w:r>
          </w:p>
        </w:tc>
      </w:tr>
      <w:tr w14:paraId="4E33AC6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057" w:type="pct"/>
            <w:tcBorders>
              <w:tl2br w:val="nil"/>
              <w:tr2bl w:val="nil"/>
            </w:tcBorders>
            <w:noWrap w:val="0"/>
            <w:vAlign w:val="center"/>
          </w:tcPr>
          <w:p w14:paraId="5222AE94">
            <w:pPr>
              <w:keepNext w:val="0"/>
              <w:keepLines w:val="0"/>
              <w:pageBreakBefore w:val="0"/>
              <w:widowControl/>
              <w:kinsoku/>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涉及自然保护地和生态保护红线的，应当说明工程实施的合法合规性和对自然生态系统、主要保护对象等的实际影响，接受生态环境主管部门依法监管。</w:t>
            </w:r>
          </w:p>
        </w:tc>
        <w:tc>
          <w:tcPr>
            <w:tcW w:w="1580" w:type="pct"/>
            <w:tcBorders>
              <w:tl2br w:val="nil"/>
              <w:tr2bl w:val="nil"/>
            </w:tcBorders>
            <w:noWrap w:val="0"/>
            <w:vAlign w:val="center"/>
          </w:tcPr>
          <w:p w14:paraId="03B7A269">
            <w:pPr>
              <w:keepNext w:val="0"/>
              <w:keepLines w:val="0"/>
              <w:pageBreakBefore w:val="0"/>
              <w:widowControl/>
              <w:kinsoku/>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spacing w:val="-6"/>
                <w:kern w:val="0"/>
                <w:sz w:val="21"/>
                <w:szCs w:val="21"/>
                <w:highlight w:val="none"/>
                <w:lang w:eastAsia="zh-CN"/>
              </w:rPr>
              <w:t>本工程</w:t>
            </w:r>
            <w:r>
              <w:rPr>
                <w:rFonts w:hint="eastAsia" w:ascii="宋体" w:hAnsi="宋体" w:eastAsia="宋体" w:cs="宋体"/>
                <w:color w:val="auto"/>
                <w:spacing w:val="-6"/>
                <w:kern w:val="0"/>
                <w:sz w:val="21"/>
                <w:szCs w:val="21"/>
                <w:highlight w:val="none"/>
              </w:rPr>
              <w:t>不涉及生态保护红线区。</w:t>
            </w:r>
          </w:p>
        </w:tc>
        <w:tc>
          <w:tcPr>
            <w:tcW w:w="362" w:type="pct"/>
            <w:tcBorders>
              <w:tl2br w:val="nil"/>
              <w:tr2bl w:val="nil"/>
            </w:tcBorders>
            <w:noWrap w:val="0"/>
            <w:vAlign w:val="center"/>
          </w:tcPr>
          <w:p w14:paraId="27D5C7BC">
            <w:pPr>
              <w:keepNext w:val="0"/>
              <w:keepLines w:val="0"/>
              <w:pageBreakBefore w:val="0"/>
              <w:widowControl/>
              <w:kinsoku/>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w:t>
            </w:r>
          </w:p>
        </w:tc>
      </w:tr>
      <w:tr w14:paraId="52BD1DD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057" w:type="pct"/>
            <w:tcBorders>
              <w:tl2br w:val="nil"/>
              <w:tr2bl w:val="nil"/>
            </w:tcBorders>
            <w:noWrap w:val="0"/>
            <w:vAlign w:val="center"/>
          </w:tcPr>
          <w:p w14:paraId="29398BDA">
            <w:pPr>
              <w:keepNext w:val="0"/>
              <w:keepLines w:val="0"/>
              <w:pageBreakBefore w:val="0"/>
              <w:widowControl/>
              <w:kinsoku/>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油气企业应按照企事业单位环境信息公开办法、环境影响评价公众参与办法等有关要求，主动公开油气开采项目环境信息，保障公众的知情权、参与权、表达权和监督权。各级生态环境主管部门应当按要求做好环评审批、监督执法等有关工作的信息公开。</w:t>
            </w:r>
          </w:p>
        </w:tc>
        <w:tc>
          <w:tcPr>
            <w:tcW w:w="1580" w:type="pct"/>
            <w:tcBorders>
              <w:tl2br w:val="nil"/>
              <w:tr2bl w:val="nil"/>
            </w:tcBorders>
            <w:noWrap w:val="0"/>
            <w:vAlign w:val="center"/>
          </w:tcPr>
          <w:p w14:paraId="1F507635">
            <w:pPr>
              <w:keepNext w:val="0"/>
              <w:keepLines w:val="0"/>
              <w:pageBreakBefore w:val="0"/>
              <w:widowControl/>
              <w:kinsoku/>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pacing w:val="-6"/>
                <w:kern w:val="0"/>
                <w:sz w:val="21"/>
                <w:szCs w:val="21"/>
                <w:highlight w:val="none"/>
              </w:rPr>
              <w:t>建设单位作为责任主体，按照《环境影响评价公众参与办法》（2019年1月1日）等相关规定，开展了</w:t>
            </w:r>
            <w:r>
              <w:rPr>
                <w:rFonts w:hint="eastAsia" w:ascii="宋体" w:hAnsi="宋体" w:eastAsia="宋体" w:cs="宋体"/>
                <w:color w:val="auto"/>
                <w:spacing w:val="-6"/>
                <w:kern w:val="0"/>
                <w:sz w:val="21"/>
                <w:szCs w:val="21"/>
                <w:highlight w:val="none"/>
                <w:lang w:eastAsia="zh-CN"/>
              </w:rPr>
              <w:t>本工程</w:t>
            </w:r>
            <w:r>
              <w:rPr>
                <w:rFonts w:hint="eastAsia" w:ascii="宋体" w:hAnsi="宋体" w:eastAsia="宋体" w:cs="宋体"/>
                <w:color w:val="auto"/>
                <w:spacing w:val="-6"/>
                <w:kern w:val="0"/>
                <w:sz w:val="21"/>
                <w:szCs w:val="21"/>
                <w:highlight w:val="none"/>
              </w:rPr>
              <w:t>信息公示和公众意见调查等工作，公示期间未收到公众反馈意见。</w:t>
            </w:r>
          </w:p>
        </w:tc>
        <w:tc>
          <w:tcPr>
            <w:tcW w:w="362" w:type="pct"/>
            <w:tcBorders>
              <w:tl2br w:val="nil"/>
              <w:tr2bl w:val="nil"/>
            </w:tcBorders>
            <w:noWrap w:val="0"/>
            <w:vAlign w:val="center"/>
          </w:tcPr>
          <w:p w14:paraId="275CBD61">
            <w:pPr>
              <w:keepNext w:val="0"/>
              <w:keepLines w:val="0"/>
              <w:pageBreakBefore w:val="0"/>
              <w:widowControl/>
              <w:kinsoku/>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w:t>
            </w:r>
          </w:p>
        </w:tc>
      </w:tr>
      <w:tr w14:paraId="5695A61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057" w:type="pct"/>
            <w:tcBorders>
              <w:tl2br w:val="nil"/>
              <w:tr2bl w:val="nil"/>
            </w:tcBorders>
            <w:noWrap w:val="0"/>
            <w:vAlign w:val="center"/>
          </w:tcPr>
          <w:p w14:paraId="350623E9">
            <w:pPr>
              <w:keepNext w:val="0"/>
              <w:keepLines w:val="0"/>
              <w:pageBreakBefore w:val="0"/>
              <w:widowControl/>
              <w:kinsoku/>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1"/>
                <w:szCs w:val="21"/>
                <w:highlight w:val="none"/>
              </w:rPr>
            </w:pPr>
            <w:bookmarkStart w:id="514" w:name="_Toc73990397"/>
            <w:r>
              <w:rPr>
                <w:rFonts w:hint="eastAsia"/>
                <w:color w:val="auto"/>
              </w:rPr>
              <w:t>勘探井转为生产井的，可以纳入区块环评。</w:t>
            </w:r>
          </w:p>
        </w:tc>
        <w:tc>
          <w:tcPr>
            <w:tcW w:w="1580" w:type="pct"/>
            <w:tcBorders>
              <w:tl2br w:val="nil"/>
              <w:tr2bl w:val="nil"/>
            </w:tcBorders>
            <w:noWrap w:val="0"/>
            <w:vAlign w:val="center"/>
          </w:tcPr>
          <w:p w14:paraId="38977201">
            <w:pPr>
              <w:keepNext w:val="0"/>
              <w:keepLines w:val="0"/>
              <w:pageBreakBefore w:val="0"/>
              <w:widowControl/>
              <w:kinsoku/>
              <w:overflowPunct/>
              <w:topLinePunct w:val="0"/>
              <w:autoSpaceDE/>
              <w:autoSpaceDN/>
              <w:bidi w:val="0"/>
              <w:adjustRightInd/>
              <w:snapToGrid/>
              <w:spacing w:line="400" w:lineRule="exact"/>
              <w:jc w:val="left"/>
              <w:textAlignment w:val="auto"/>
              <w:rPr>
                <w:rFonts w:hint="eastAsia" w:ascii="宋体" w:hAnsi="宋体" w:eastAsia="宋体" w:cs="宋体"/>
                <w:color w:val="auto"/>
                <w:spacing w:val="-6"/>
                <w:kern w:val="0"/>
                <w:sz w:val="21"/>
                <w:szCs w:val="21"/>
                <w:highlight w:val="none"/>
              </w:rPr>
            </w:pPr>
            <w:r>
              <w:rPr>
                <w:rFonts w:hint="eastAsia" w:ascii="宋体" w:hAnsi="宋体" w:eastAsia="宋体" w:cs="宋体"/>
                <w:color w:val="auto"/>
                <w:spacing w:val="-6"/>
                <w:kern w:val="0"/>
                <w:sz w:val="21"/>
                <w:szCs w:val="21"/>
                <w:highlight w:val="none"/>
              </w:rPr>
              <w:t>本项目部署</w:t>
            </w:r>
            <w:r>
              <w:rPr>
                <w:rFonts w:hint="eastAsia" w:ascii="宋体" w:hAnsi="宋体" w:cs="宋体"/>
                <w:color w:val="auto"/>
                <w:spacing w:val="-6"/>
                <w:kern w:val="0"/>
                <w:sz w:val="21"/>
                <w:szCs w:val="21"/>
                <w:highlight w:val="none"/>
                <w:lang w:val="en-US" w:eastAsia="zh-CN"/>
              </w:rPr>
              <w:t>6</w:t>
            </w:r>
            <w:r>
              <w:rPr>
                <w:rFonts w:hint="eastAsia" w:ascii="宋体" w:hAnsi="宋体" w:eastAsia="宋体" w:cs="宋体"/>
                <w:color w:val="auto"/>
                <w:spacing w:val="-6"/>
                <w:kern w:val="0"/>
                <w:sz w:val="21"/>
                <w:szCs w:val="21"/>
                <w:highlight w:val="none"/>
              </w:rPr>
              <w:t>口采</w:t>
            </w:r>
            <w:r>
              <w:rPr>
                <w:rFonts w:hint="eastAsia" w:ascii="宋体" w:hAnsi="宋体" w:cs="宋体"/>
                <w:color w:val="auto"/>
                <w:spacing w:val="-6"/>
                <w:kern w:val="0"/>
                <w:sz w:val="21"/>
                <w:szCs w:val="21"/>
                <w:highlight w:val="none"/>
                <w:lang w:eastAsia="zh-CN"/>
              </w:rPr>
              <w:t>油井</w:t>
            </w:r>
            <w:r>
              <w:rPr>
                <w:rFonts w:hint="eastAsia" w:ascii="宋体" w:hAnsi="宋体" w:eastAsia="宋体" w:cs="宋体"/>
                <w:color w:val="auto"/>
                <w:spacing w:val="-6"/>
                <w:kern w:val="0"/>
                <w:sz w:val="21"/>
                <w:szCs w:val="21"/>
                <w:highlight w:val="none"/>
              </w:rPr>
              <w:t>（雄探1井、雄英101井、雄英102井、雄英103井、雄英</w:t>
            </w:r>
            <w:r>
              <w:rPr>
                <w:rFonts w:hint="eastAsia" w:ascii="宋体" w:hAnsi="宋体" w:cs="宋体"/>
                <w:color w:val="auto"/>
                <w:spacing w:val="-6"/>
                <w:kern w:val="0"/>
                <w:sz w:val="21"/>
                <w:szCs w:val="21"/>
                <w:highlight w:val="none"/>
                <w:lang w:val="en-US" w:eastAsia="zh-CN"/>
              </w:rPr>
              <w:t>2</w:t>
            </w:r>
            <w:r>
              <w:rPr>
                <w:rFonts w:hint="eastAsia" w:ascii="宋体" w:hAnsi="宋体" w:eastAsia="宋体" w:cs="宋体"/>
                <w:color w:val="auto"/>
                <w:spacing w:val="-6"/>
                <w:kern w:val="0"/>
                <w:sz w:val="21"/>
                <w:szCs w:val="21"/>
                <w:highlight w:val="none"/>
              </w:rPr>
              <w:t>井、雄英3井），拟由勘探井转为生产井，纳入本次区块环评。</w:t>
            </w:r>
          </w:p>
        </w:tc>
        <w:tc>
          <w:tcPr>
            <w:tcW w:w="362" w:type="pct"/>
            <w:tcBorders>
              <w:tl2br w:val="nil"/>
              <w:tr2bl w:val="nil"/>
            </w:tcBorders>
            <w:noWrap w:val="0"/>
            <w:vAlign w:val="center"/>
          </w:tcPr>
          <w:p w14:paraId="100CC1F0">
            <w:pPr>
              <w:keepNext w:val="0"/>
              <w:keepLines w:val="0"/>
              <w:pageBreakBefore w:val="0"/>
              <w:widowControl/>
              <w:kinsoku/>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w:t>
            </w:r>
          </w:p>
        </w:tc>
      </w:tr>
    </w:tbl>
    <w:p w14:paraId="5B589559">
      <w:pPr>
        <w:pStyle w:val="55"/>
        <w:bidi w:val="0"/>
        <w:rPr>
          <w:rFonts w:hint="default"/>
          <w:color w:val="auto"/>
        </w:rPr>
      </w:pPr>
      <w:r>
        <w:rPr>
          <w:rFonts w:hint="default"/>
          <w:color w:val="auto"/>
        </w:rPr>
        <w:t>3.</w:t>
      </w:r>
      <w:r>
        <w:rPr>
          <w:rFonts w:hint="eastAsia"/>
          <w:color w:val="auto"/>
          <w:lang w:val="en-US" w:eastAsia="zh-CN"/>
        </w:rPr>
        <w:t xml:space="preserve">4.2.5 </w:t>
      </w:r>
      <w:r>
        <w:rPr>
          <w:rFonts w:hint="default"/>
          <w:color w:val="auto"/>
        </w:rPr>
        <w:t>与《转发〈关于进一步加强石油天然气行业环境影响评价管理的通知〉》（新环环评发</w:t>
      </w:r>
      <w:r>
        <w:rPr>
          <w:rFonts w:hint="eastAsia"/>
          <w:color w:val="auto"/>
          <w:lang w:eastAsia="zh-CN"/>
        </w:rPr>
        <w:t>〔</w:t>
      </w:r>
      <w:r>
        <w:rPr>
          <w:rFonts w:hint="default"/>
          <w:color w:val="auto"/>
        </w:rPr>
        <w:t>2020</w:t>
      </w:r>
      <w:r>
        <w:rPr>
          <w:rFonts w:hint="eastAsia"/>
          <w:color w:val="auto"/>
          <w:lang w:eastAsia="zh-CN"/>
        </w:rPr>
        <w:t>〕</w:t>
      </w:r>
      <w:r>
        <w:rPr>
          <w:rFonts w:hint="default"/>
          <w:color w:val="auto"/>
        </w:rPr>
        <w:t>142号）符合性分析</w:t>
      </w:r>
    </w:p>
    <w:p w14:paraId="364BB36E">
      <w:pPr>
        <w:pStyle w:val="79"/>
        <w:bidi w:val="0"/>
        <w:rPr>
          <w:rFonts w:hint="default"/>
          <w:color w:val="auto"/>
        </w:rPr>
      </w:pPr>
      <w:r>
        <w:rPr>
          <w:rFonts w:hint="default"/>
          <w:color w:val="auto"/>
          <w:lang w:eastAsia="zh-CN"/>
        </w:rPr>
        <w:t>本工程</w:t>
      </w:r>
      <w:r>
        <w:rPr>
          <w:rFonts w:hint="default"/>
          <w:color w:val="auto"/>
        </w:rPr>
        <w:t>与《转发〈关于进一步加强石油天然气行业环境影响评价管理的通知〉》（新环环评发</w:t>
      </w:r>
      <w:r>
        <w:rPr>
          <w:rFonts w:hint="eastAsia"/>
          <w:color w:val="auto"/>
          <w:lang w:eastAsia="zh-CN"/>
        </w:rPr>
        <w:t>〔</w:t>
      </w:r>
      <w:r>
        <w:rPr>
          <w:rFonts w:hint="default"/>
          <w:color w:val="auto"/>
        </w:rPr>
        <w:t>2020</w:t>
      </w:r>
      <w:r>
        <w:rPr>
          <w:rFonts w:hint="eastAsia"/>
          <w:color w:val="auto"/>
          <w:lang w:eastAsia="zh-CN"/>
        </w:rPr>
        <w:t>〕</w:t>
      </w:r>
      <w:r>
        <w:rPr>
          <w:rFonts w:hint="default"/>
          <w:color w:val="auto"/>
        </w:rPr>
        <w:t>142号）符合性分析</w:t>
      </w:r>
      <w:r>
        <w:rPr>
          <w:rFonts w:hint="eastAsia"/>
          <w:color w:val="auto"/>
          <w:lang w:eastAsia="zh-CN"/>
        </w:rPr>
        <w:t>，</w:t>
      </w:r>
      <w:r>
        <w:rPr>
          <w:rFonts w:hint="default"/>
          <w:color w:val="auto"/>
        </w:rPr>
        <w:t>见表</w:t>
      </w:r>
      <w:r>
        <w:rPr>
          <w:rFonts w:hint="eastAsia"/>
          <w:color w:val="auto"/>
          <w:lang w:val="en-US" w:eastAsia="zh-CN"/>
        </w:rPr>
        <w:t>3.4-4</w:t>
      </w:r>
      <w:r>
        <w:rPr>
          <w:rFonts w:hint="default"/>
          <w:color w:val="auto"/>
        </w:rPr>
        <w:t>。</w:t>
      </w:r>
    </w:p>
    <w:p w14:paraId="3AD3B458">
      <w:pPr>
        <w:pStyle w:val="61"/>
        <w:bidi w:val="0"/>
        <w:jc w:val="both"/>
        <w:rPr>
          <w:rFonts w:hint="default"/>
          <w:color w:val="auto"/>
          <w:lang w:val="en-US" w:eastAsia="zh-CN"/>
        </w:rPr>
      </w:pPr>
      <w:r>
        <w:rPr>
          <w:rFonts w:hint="default"/>
          <w:color w:val="auto"/>
          <w:lang w:val="en-US" w:eastAsia="zh-CN"/>
        </w:rPr>
        <w:t>表</w:t>
      </w:r>
      <w:r>
        <w:rPr>
          <w:rFonts w:hint="eastAsia"/>
          <w:color w:val="auto"/>
          <w:lang w:val="en-US" w:eastAsia="zh-CN"/>
        </w:rPr>
        <w:t xml:space="preserve">3.4-4  </w:t>
      </w:r>
      <w:r>
        <w:rPr>
          <w:rFonts w:hint="default"/>
          <w:color w:val="auto"/>
          <w:lang w:val="en-US" w:eastAsia="zh-CN"/>
        </w:rPr>
        <w:t>与“新环环评发</w:t>
      </w:r>
      <w:r>
        <w:rPr>
          <w:rFonts w:hint="eastAsia"/>
          <w:color w:val="auto"/>
          <w:lang w:val="en-US" w:eastAsia="zh-CN"/>
        </w:rPr>
        <w:t>〔</w:t>
      </w:r>
      <w:r>
        <w:rPr>
          <w:rFonts w:hint="default"/>
          <w:color w:val="auto"/>
          <w:lang w:val="en-US" w:eastAsia="zh-CN"/>
        </w:rPr>
        <w:t>2020</w:t>
      </w:r>
      <w:r>
        <w:rPr>
          <w:rFonts w:hint="eastAsia"/>
          <w:color w:val="auto"/>
          <w:lang w:val="en-US" w:eastAsia="zh-CN"/>
        </w:rPr>
        <w:t>〕</w:t>
      </w:r>
      <w:r>
        <w:rPr>
          <w:rFonts w:hint="default"/>
          <w:color w:val="auto"/>
          <w:lang w:val="en-US" w:eastAsia="zh-CN"/>
        </w:rPr>
        <w:t>142号”符合性</w:t>
      </w:r>
    </w:p>
    <w:tbl>
      <w:tblPr>
        <w:tblStyle w:val="36"/>
        <w:tblW w:w="501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4544"/>
        <w:gridCol w:w="3417"/>
        <w:gridCol w:w="704"/>
      </w:tblGrid>
      <w:tr w14:paraId="7225596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622" w:type="pct"/>
            <w:tcBorders>
              <w:tl2br w:val="nil"/>
              <w:tr2bl w:val="nil"/>
            </w:tcBorders>
            <w:noWrap w:val="0"/>
            <w:vAlign w:val="center"/>
          </w:tcPr>
          <w:p w14:paraId="0339690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要</w:t>
            </w:r>
            <w:r>
              <w:rPr>
                <w:rFonts w:hint="eastAsia" w:ascii="宋体" w:hAnsi="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求</w:t>
            </w:r>
          </w:p>
        </w:tc>
        <w:tc>
          <w:tcPr>
            <w:tcW w:w="1971" w:type="pct"/>
            <w:tcBorders>
              <w:tl2br w:val="nil"/>
              <w:tr2bl w:val="nil"/>
            </w:tcBorders>
            <w:noWrap w:val="0"/>
            <w:vAlign w:val="center"/>
          </w:tcPr>
          <w:p w14:paraId="6C8B7D5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项目情况</w:t>
            </w:r>
          </w:p>
        </w:tc>
        <w:tc>
          <w:tcPr>
            <w:tcW w:w="406" w:type="pct"/>
            <w:tcBorders>
              <w:tl2br w:val="nil"/>
              <w:tr2bl w:val="nil"/>
            </w:tcBorders>
            <w:noWrap w:val="0"/>
            <w:vAlign w:val="center"/>
          </w:tcPr>
          <w:p w14:paraId="3ABE144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pacing w:val="-11"/>
                <w:kern w:val="0"/>
                <w:sz w:val="21"/>
                <w:szCs w:val="21"/>
                <w:highlight w:val="none"/>
              </w:rPr>
            </w:pPr>
            <w:r>
              <w:rPr>
                <w:rFonts w:hint="eastAsia" w:ascii="宋体" w:hAnsi="宋体" w:eastAsia="宋体" w:cs="宋体"/>
                <w:color w:val="auto"/>
                <w:spacing w:val="-11"/>
                <w:kern w:val="0"/>
                <w:sz w:val="21"/>
                <w:szCs w:val="21"/>
                <w:highlight w:val="none"/>
              </w:rPr>
              <w:t>符合性</w:t>
            </w:r>
          </w:p>
        </w:tc>
      </w:tr>
      <w:tr w14:paraId="4B2376C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622" w:type="pct"/>
            <w:tcBorders>
              <w:tl2br w:val="nil"/>
              <w:tr2bl w:val="nil"/>
            </w:tcBorders>
            <w:noWrap w:val="0"/>
            <w:vAlign w:val="center"/>
          </w:tcPr>
          <w:p w14:paraId="37D451F2">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请各有关单位加快推进油气发展（开发）相关规划编制，并依法开展规划环境影响评价工作。对已经批准的油气发展（开发）规划在实施范围、适用期限、规模、结构和布局等方面进行重大调整或修订的，应当依法重新或补充进行环境影响评价。油气开发规划实施满5年的应当及时开展规划环境影响跟踪评价。</w:t>
            </w:r>
          </w:p>
        </w:tc>
        <w:tc>
          <w:tcPr>
            <w:tcW w:w="1971" w:type="pct"/>
            <w:tcBorders>
              <w:tl2br w:val="nil"/>
              <w:tr2bl w:val="nil"/>
            </w:tcBorders>
            <w:noWrap w:val="0"/>
            <w:vAlign w:val="center"/>
          </w:tcPr>
          <w:p w14:paraId="0BE1F10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塔里木油田分公司已编制完成塔里木油田分公司“十四五”发展规划，塔里木油田“十四五”发展规划环境影响评价工作于2022年10月17日取得审查意见（新环审</w:t>
            </w:r>
            <w:r>
              <w:rPr>
                <w:rFonts w:hint="eastAsia" w:ascii="宋体" w:hAnsi="宋体" w:cs="宋体"/>
                <w:color w:val="auto"/>
                <w:kern w:val="0"/>
                <w:sz w:val="21"/>
                <w:szCs w:val="21"/>
                <w:highlight w:val="none"/>
                <w:lang w:eastAsia="zh-CN"/>
              </w:rPr>
              <w:t>〔2022〕214号</w:t>
            </w:r>
            <w:r>
              <w:rPr>
                <w:rFonts w:hint="eastAsia" w:ascii="宋体" w:hAnsi="宋体" w:eastAsia="宋体" w:cs="宋体"/>
                <w:color w:val="auto"/>
                <w:kern w:val="0"/>
                <w:sz w:val="21"/>
                <w:szCs w:val="21"/>
                <w:highlight w:val="none"/>
              </w:rPr>
              <w:t>）。</w:t>
            </w:r>
          </w:p>
        </w:tc>
        <w:tc>
          <w:tcPr>
            <w:tcW w:w="406" w:type="pct"/>
            <w:tcBorders>
              <w:tl2br w:val="nil"/>
              <w:tr2bl w:val="nil"/>
            </w:tcBorders>
            <w:noWrap w:val="0"/>
            <w:vAlign w:val="center"/>
          </w:tcPr>
          <w:p w14:paraId="23C2895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w:t>
            </w:r>
          </w:p>
        </w:tc>
      </w:tr>
      <w:tr w14:paraId="00F0DDE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622" w:type="pct"/>
            <w:tcBorders>
              <w:tl2br w:val="nil"/>
              <w:tr2bl w:val="nil"/>
            </w:tcBorders>
            <w:noWrap w:val="0"/>
            <w:vAlign w:val="center"/>
          </w:tcPr>
          <w:p w14:paraId="7AA0093C">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油气开采项目（含新开发和滚动开发项目）原则上应当以区块为单位开展环评（以下简称区块环评）。未确定产能建设规模的陆地油气开采新区块，建设勘探井应当依法编制环境影响报告表。确定产能建设规模后，原则上不得以勘探名义继续开展单井环评。勘探井转为生产井的，可以纳入区块环评。</w:t>
            </w:r>
          </w:p>
          <w:p w14:paraId="01903EDD">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2021年1月1日起，原则上不以单井形式开展环评。过渡期间，项目建设单位可以根据实际情况，报批区块环评或单井环评。</w:t>
            </w:r>
          </w:p>
        </w:tc>
        <w:tc>
          <w:tcPr>
            <w:tcW w:w="1971" w:type="pct"/>
            <w:tcBorders>
              <w:tl2br w:val="nil"/>
              <w:tr2bl w:val="nil"/>
            </w:tcBorders>
            <w:noWrap w:val="0"/>
            <w:vAlign w:val="center"/>
          </w:tcPr>
          <w:p w14:paraId="5E35D982">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pacing w:val="-6"/>
                <w:kern w:val="0"/>
                <w:sz w:val="21"/>
                <w:szCs w:val="21"/>
                <w:highlight w:val="none"/>
                <w:lang w:eastAsia="zh-CN"/>
              </w:rPr>
              <w:t>本工程</w:t>
            </w:r>
            <w:r>
              <w:rPr>
                <w:rFonts w:hint="eastAsia" w:ascii="宋体" w:hAnsi="宋体" w:eastAsia="宋体" w:cs="宋体"/>
                <w:color w:val="auto"/>
                <w:spacing w:val="-6"/>
                <w:kern w:val="0"/>
                <w:sz w:val="21"/>
                <w:szCs w:val="21"/>
                <w:highlight w:val="none"/>
              </w:rPr>
              <w:t>以</w:t>
            </w:r>
            <w:r>
              <w:rPr>
                <w:rFonts w:hint="eastAsia" w:ascii="宋体" w:hAnsi="宋体" w:cs="宋体"/>
                <w:color w:val="auto"/>
                <w:spacing w:val="-6"/>
                <w:kern w:val="0"/>
                <w:sz w:val="21"/>
                <w:szCs w:val="21"/>
                <w:highlight w:val="none"/>
                <w:lang w:val="en-US" w:eastAsia="zh-CN"/>
              </w:rPr>
              <w:t>雄英1区块</w:t>
            </w:r>
            <w:r>
              <w:rPr>
                <w:rFonts w:hint="eastAsia" w:ascii="宋体" w:hAnsi="宋体" w:eastAsia="宋体" w:cs="宋体"/>
                <w:color w:val="auto"/>
                <w:spacing w:val="-6"/>
                <w:kern w:val="0"/>
                <w:sz w:val="21"/>
                <w:szCs w:val="21"/>
                <w:highlight w:val="none"/>
              </w:rPr>
              <w:t>为单位开展环评，在报告中对工程施工期、运营期环境影响和环境风险进行了分析，并提出有效的环境保护措施、污染防治措施和环境风险防范措施，并分析了依托工</w:t>
            </w:r>
            <w:r>
              <w:rPr>
                <w:rFonts w:hint="eastAsia" w:ascii="宋体" w:hAnsi="宋体" w:cs="宋体"/>
                <w:color w:val="auto"/>
                <w:spacing w:val="-6"/>
                <w:kern w:val="0"/>
                <w:sz w:val="21"/>
                <w:szCs w:val="21"/>
                <w:highlight w:val="none"/>
                <w:lang w:eastAsia="zh-CN"/>
              </w:rPr>
              <w:t>程的</w:t>
            </w:r>
            <w:r>
              <w:rPr>
                <w:rFonts w:hint="eastAsia" w:ascii="宋体" w:hAnsi="宋体" w:eastAsia="宋体" w:cs="宋体"/>
                <w:color w:val="auto"/>
                <w:spacing w:val="-6"/>
                <w:kern w:val="0"/>
                <w:sz w:val="21"/>
                <w:szCs w:val="21"/>
                <w:highlight w:val="none"/>
              </w:rPr>
              <w:t>可行性和有效性；同时对现有工程也进行了回顾性评价，对相关生态环境问题提出有效防治措施。</w:t>
            </w:r>
          </w:p>
        </w:tc>
        <w:tc>
          <w:tcPr>
            <w:tcW w:w="406" w:type="pct"/>
            <w:tcBorders>
              <w:tl2br w:val="nil"/>
              <w:tr2bl w:val="nil"/>
            </w:tcBorders>
            <w:noWrap w:val="0"/>
            <w:vAlign w:val="center"/>
          </w:tcPr>
          <w:p w14:paraId="6AD905D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w:t>
            </w:r>
          </w:p>
        </w:tc>
      </w:tr>
    </w:tbl>
    <w:p w14:paraId="155D927F">
      <w:pPr>
        <w:pStyle w:val="55"/>
        <w:bidi w:val="0"/>
        <w:rPr>
          <w:rFonts w:hint="default"/>
          <w:color w:val="auto"/>
        </w:rPr>
      </w:pPr>
      <w:bookmarkStart w:id="515" w:name="_Toc119915012"/>
      <w:r>
        <w:rPr>
          <w:rFonts w:hint="default"/>
          <w:color w:val="auto"/>
        </w:rPr>
        <w:t>3</w:t>
      </w:r>
      <w:r>
        <w:rPr>
          <w:rFonts w:hint="default"/>
          <w:color w:val="auto"/>
          <w:lang w:val="en-US" w:eastAsia="zh-CN"/>
        </w:rPr>
        <w:t>.</w:t>
      </w:r>
      <w:r>
        <w:rPr>
          <w:rFonts w:hint="eastAsia"/>
          <w:color w:val="auto"/>
          <w:lang w:val="en-US" w:eastAsia="zh-CN"/>
        </w:rPr>
        <w:t xml:space="preserve">4.2.6 </w:t>
      </w:r>
      <w:r>
        <w:rPr>
          <w:rFonts w:hint="default"/>
          <w:color w:val="auto"/>
        </w:rPr>
        <w:t>与《中华人民共和国水土保持法》相符性分析</w:t>
      </w:r>
    </w:p>
    <w:p w14:paraId="2F37986B">
      <w:pPr>
        <w:pStyle w:val="79"/>
        <w:bidi w:val="0"/>
        <w:rPr>
          <w:rFonts w:hint="default"/>
          <w:color w:val="auto"/>
        </w:rPr>
      </w:pPr>
      <w:r>
        <w:rPr>
          <w:rFonts w:hint="default"/>
          <w:color w:val="auto"/>
          <w:lang w:eastAsia="zh-CN"/>
        </w:rPr>
        <w:t>本工程</w:t>
      </w:r>
      <w:r>
        <w:rPr>
          <w:rFonts w:hint="default"/>
          <w:color w:val="auto"/>
        </w:rPr>
        <w:t>与《中华人民共和国水土保持法》（2011年3月）符合性分析</w:t>
      </w:r>
      <w:r>
        <w:rPr>
          <w:rFonts w:hint="eastAsia"/>
          <w:color w:val="auto"/>
          <w:lang w:eastAsia="zh-CN"/>
        </w:rPr>
        <w:t>，</w:t>
      </w:r>
      <w:r>
        <w:rPr>
          <w:rFonts w:hint="default"/>
          <w:color w:val="auto"/>
        </w:rPr>
        <w:t>见</w:t>
      </w:r>
      <w:r>
        <w:rPr>
          <w:rFonts w:hint="eastAsia"/>
          <w:color w:val="auto"/>
          <w:lang w:val="en-US" w:eastAsia="zh-CN"/>
        </w:rPr>
        <w:t>表</w:t>
      </w:r>
      <w:r>
        <w:rPr>
          <w:rFonts w:hint="default"/>
          <w:color w:val="auto"/>
        </w:rPr>
        <w:t>3.</w:t>
      </w:r>
      <w:r>
        <w:rPr>
          <w:rFonts w:hint="eastAsia"/>
          <w:color w:val="auto"/>
          <w:lang w:val="en-US" w:eastAsia="zh-CN"/>
        </w:rPr>
        <w:t>4-5</w:t>
      </w:r>
      <w:r>
        <w:rPr>
          <w:rFonts w:hint="default"/>
          <w:color w:val="auto"/>
        </w:rPr>
        <w:t>。</w:t>
      </w:r>
    </w:p>
    <w:p w14:paraId="3524664A">
      <w:pPr>
        <w:pStyle w:val="61"/>
        <w:bidi w:val="0"/>
        <w:jc w:val="both"/>
        <w:rPr>
          <w:rFonts w:hint="default"/>
          <w:color w:val="auto"/>
          <w:lang w:val="en-US" w:eastAsia="zh-CN"/>
        </w:rPr>
      </w:pPr>
      <w:r>
        <w:rPr>
          <w:rFonts w:hint="default"/>
          <w:color w:val="auto"/>
          <w:lang w:val="en-US" w:eastAsia="zh-CN"/>
        </w:rPr>
        <w:t>表3.</w:t>
      </w:r>
      <w:r>
        <w:rPr>
          <w:rFonts w:hint="eastAsia"/>
          <w:color w:val="auto"/>
          <w:lang w:val="en-US" w:eastAsia="zh-CN"/>
        </w:rPr>
        <w:t xml:space="preserve">4-5  </w:t>
      </w:r>
      <w:r>
        <w:rPr>
          <w:rFonts w:hint="default"/>
          <w:color w:val="auto"/>
          <w:lang w:val="en-US" w:eastAsia="zh-CN"/>
        </w:rPr>
        <w:t>本工程与《中华人民共和国水土保持法》的符合性分析</w:t>
      </w:r>
    </w:p>
    <w:tbl>
      <w:tblPr>
        <w:tblStyle w:val="36"/>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647"/>
        <w:gridCol w:w="4206"/>
        <w:gridCol w:w="977"/>
      </w:tblGrid>
      <w:tr w14:paraId="6AD30E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065" w:type="pct"/>
            <w:tcBorders>
              <w:tl2br w:val="nil"/>
              <w:tr2bl w:val="nil"/>
            </w:tcBorders>
            <w:noWrap w:val="0"/>
            <w:vAlign w:val="center"/>
          </w:tcPr>
          <w:p w14:paraId="67D81142">
            <w:pPr>
              <w:keepNext w:val="0"/>
              <w:keepLines w:val="0"/>
              <w:pageBreakBefore w:val="0"/>
              <w:widowControl w:val="0"/>
              <w:kinsoku/>
              <w:wordWrap/>
              <w:overflowPunct/>
              <w:topLinePunct w:val="0"/>
              <w:autoSpaceDE/>
              <w:autoSpaceDN/>
              <w:bidi w:val="0"/>
              <w:adjustRightInd w:val="0"/>
              <w:snapToGrid/>
              <w:spacing w:line="400" w:lineRule="exact"/>
              <w:ind w:left="-42" w:leftChars="-20" w:right="-42" w:rightChars="-20"/>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法规内容</w:t>
            </w:r>
          </w:p>
        </w:tc>
        <w:tc>
          <w:tcPr>
            <w:tcW w:w="2381" w:type="pct"/>
            <w:tcBorders>
              <w:tl2br w:val="nil"/>
              <w:tr2bl w:val="nil"/>
            </w:tcBorders>
            <w:noWrap w:val="0"/>
            <w:vAlign w:val="center"/>
          </w:tcPr>
          <w:p w14:paraId="72424D91">
            <w:pPr>
              <w:keepNext w:val="0"/>
              <w:keepLines w:val="0"/>
              <w:pageBreakBefore w:val="0"/>
              <w:widowControl w:val="0"/>
              <w:kinsoku/>
              <w:wordWrap/>
              <w:overflowPunct/>
              <w:topLinePunct w:val="0"/>
              <w:autoSpaceDE/>
              <w:autoSpaceDN/>
              <w:bidi w:val="0"/>
              <w:adjustRightInd w:val="0"/>
              <w:snapToGrid/>
              <w:spacing w:line="400" w:lineRule="exact"/>
              <w:ind w:left="-42" w:leftChars="-20" w:right="-42" w:rightChars="-20"/>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本工程情况</w:t>
            </w:r>
          </w:p>
        </w:tc>
        <w:tc>
          <w:tcPr>
            <w:tcW w:w="553" w:type="pct"/>
            <w:tcBorders>
              <w:tl2br w:val="nil"/>
              <w:tr2bl w:val="nil"/>
            </w:tcBorders>
            <w:noWrap w:val="0"/>
            <w:vAlign w:val="center"/>
          </w:tcPr>
          <w:p w14:paraId="319ED268">
            <w:pPr>
              <w:keepNext w:val="0"/>
              <w:keepLines w:val="0"/>
              <w:pageBreakBefore w:val="0"/>
              <w:widowControl w:val="0"/>
              <w:kinsoku/>
              <w:wordWrap/>
              <w:overflowPunct/>
              <w:topLinePunct w:val="0"/>
              <w:autoSpaceDE/>
              <w:autoSpaceDN/>
              <w:bidi w:val="0"/>
              <w:snapToGrid/>
              <w:spacing w:line="40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23"/>
                <w:kern w:val="2"/>
                <w:sz w:val="21"/>
                <w:szCs w:val="21"/>
                <w:highlight w:val="none"/>
                <w:lang w:val="en-US" w:eastAsia="zh-CN" w:bidi="ar-SA"/>
              </w:rPr>
              <w:t>符合性</w:t>
            </w:r>
          </w:p>
        </w:tc>
      </w:tr>
      <w:tr w14:paraId="138310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065" w:type="pct"/>
            <w:tcBorders>
              <w:tl2br w:val="nil"/>
              <w:tr2bl w:val="nil"/>
            </w:tcBorders>
            <w:noWrap w:val="0"/>
            <w:vAlign w:val="center"/>
          </w:tcPr>
          <w:p w14:paraId="44B44B6C">
            <w:pPr>
              <w:keepNext w:val="0"/>
              <w:keepLines w:val="0"/>
              <w:pageBreakBefore w:val="0"/>
              <w:widowControl w:val="0"/>
              <w:kinsoku/>
              <w:wordWrap/>
              <w:overflowPunct/>
              <w:topLinePunct w:val="0"/>
              <w:autoSpaceDE/>
              <w:autoSpaceDN/>
              <w:bidi w:val="0"/>
              <w:adjustRightInd w:val="0"/>
              <w:snapToGrid/>
              <w:spacing w:line="400" w:lineRule="exact"/>
              <w:ind w:left="-42" w:leftChars="-20" w:right="-42" w:rightChars="-2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第二十四条：生产建设项目选址、选线应当避让水土流失重点预防区和重点治理区；无法避让的，应当提高防治标准，优化施工工艺，减少地表扰动和植被损坏范围，有效控制可能造成的水土流失。</w:t>
            </w:r>
          </w:p>
        </w:tc>
        <w:tc>
          <w:tcPr>
            <w:tcW w:w="2381" w:type="pct"/>
            <w:tcBorders>
              <w:tl2br w:val="nil"/>
              <w:tr2bl w:val="nil"/>
            </w:tcBorders>
            <w:noWrap w:val="0"/>
            <w:vAlign w:val="center"/>
          </w:tcPr>
          <w:p w14:paraId="1D5B2D03">
            <w:pPr>
              <w:keepNext w:val="0"/>
              <w:keepLines w:val="0"/>
              <w:pageBreakBefore w:val="0"/>
              <w:widowControl w:val="0"/>
              <w:kinsoku/>
              <w:wordWrap/>
              <w:overflowPunct/>
              <w:topLinePunct w:val="0"/>
              <w:autoSpaceDE/>
              <w:autoSpaceDN/>
              <w:bidi w:val="0"/>
              <w:adjustRightInd w:val="0"/>
              <w:snapToGrid/>
              <w:spacing w:line="400" w:lineRule="exact"/>
              <w:ind w:left="-42" w:leftChars="-20" w:right="-42" w:rightChars="-2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根据新水水保〔2019〕4号文件，项目所在地</w:t>
            </w:r>
            <w:r>
              <w:rPr>
                <w:rFonts w:hint="eastAsia" w:ascii="宋体" w:hAnsi="宋体" w:cs="宋体"/>
                <w:color w:val="auto"/>
                <w:kern w:val="2"/>
                <w:sz w:val="21"/>
                <w:szCs w:val="21"/>
                <w:highlight w:val="none"/>
                <w:lang w:val="en-US" w:eastAsia="zh-CN" w:bidi="ar-SA"/>
              </w:rPr>
              <w:t>温宿县</w:t>
            </w:r>
            <w:r>
              <w:rPr>
                <w:rFonts w:hint="eastAsia" w:ascii="宋体" w:hAnsi="宋体" w:eastAsia="宋体" w:cs="宋体"/>
                <w:color w:val="auto"/>
                <w:kern w:val="2"/>
                <w:sz w:val="21"/>
                <w:szCs w:val="21"/>
                <w:highlight w:val="none"/>
                <w:lang w:val="en-US" w:eastAsia="zh-CN" w:bidi="ar-SA"/>
              </w:rPr>
              <w:t>属于</w:t>
            </w:r>
            <w:r>
              <w:rPr>
                <w:rFonts w:hint="eastAsia" w:ascii="宋体" w:hAnsi="宋体" w:cs="宋体"/>
                <w:color w:val="auto"/>
                <w:kern w:val="2"/>
                <w:sz w:val="21"/>
                <w:szCs w:val="21"/>
                <w:highlight w:val="none"/>
                <w:lang w:val="en-US" w:eastAsia="zh-CN" w:bidi="ar-SA"/>
              </w:rPr>
              <w:t>塔里木河流域重点治理区</w:t>
            </w:r>
            <w:r>
              <w:rPr>
                <w:rFonts w:hint="eastAsia" w:ascii="宋体" w:hAnsi="宋体" w:eastAsia="宋体" w:cs="宋体"/>
                <w:color w:val="auto"/>
                <w:kern w:val="2"/>
                <w:sz w:val="21"/>
                <w:szCs w:val="21"/>
                <w:highlight w:val="none"/>
                <w:lang w:val="en-US" w:eastAsia="zh-CN" w:bidi="ar-SA"/>
              </w:rPr>
              <w:t>。本工程环评提出按照水土保持方案的要求，严格执行各项水土保持措施。</w:t>
            </w:r>
          </w:p>
        </w:tc>
        <w:tc>
          <w:tcPr>
            <w:tcW w:w="553" w:type="pct"/>
            <w:tcBorders>
              <w:tl2br w:val="nil"/>
              <w:tr2bl w:val="nil"/>
            </w:tcBorders>
            <w:noWrap w:val="0"/>
            <w:vAlign w:val="center"/>
          </w:tcPr>
          <w:p w14:paraId="57E7CA84">
            <w:pPr>
              <w:keepNext w:val="0"/>
              <w:keepLines w:val="0"/>
              <w:pageBreakBefore w:val="0"/>
              <w:widowControl w:val="0"/>
              <w:kinsoku/>
              <w:wordWrap/>
              <w:overflowPunct/>
              <w:topLinePunct w:val="0"/>
              <w:autoSpaceDE/>
              <w:autoSpaceDN/>
              <w:bidi w:val="0"/>
              <w:snapToGrid/>
              <w:spacing w:line="40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符合</w:t>
            </w:r>
          </w:p>
        </w:tc>
      </w:tr>
      <w:tr w14:paraId="555354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065" w:type="pct"/>
            <w:tcBorders>
              <w:tl2br w:val="nil"/>
              <w:tr2bl w:val="nil"/>
            </w:tcBorders>
            <w:noWrap w:val="0"/>
            <w:vAlign w:val="center"/>
          </w:tcPr>
          <w:p w14:paraId="0396678A">
            <w:pPr>
              <w:keepNext w:val="0"/>
              <w:keepLines w:val="0"/>
              <w:pageBreakBefore w:val="0"/>
              <w:widowControl w:val="0"/>
              <w:kinsoku/>
              <w:wordWrap/>
              <w:overflowPunct/>
              <w:topLinePunct w:val="0"/>
              <w:autoSpaceDE/>
              <w:autoSpaceDN/>
              <w:bidi w:val="0"/>
              <w:adjustRightInd w:val="0"/>
              <w:snapToGrid/>
              <w:spacing w:line="400" w:lineRule="exact"/>
              <w:ind w:left="-42" w:leftChars="-20" w:right="-42" w:rightChars="-2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在风力侵蚀地区，地方各级人民政府及其有关部门应当组织单位和个人，因地制宜地采取轮封轮牧、植树种草、设置人工沙障和网格林带等措施，建立防风固沙防护体系。</w:t>
            </w:r>
          </w:p>
        </w:tc>
        <w:tc>
          <w:tcPr>
            <w:tcW w:w="2381" w:type="pct"/>
            <w:tcBorders>
              <w:tl2br w:val="nil"/>
              <w:tr2bl w:val="nil"/>
            </w:tcBorders>
            <w:noWrap w:val="0"/>
            <w:vAlign w:val="center"/>
          </w:tcPr>
          <w:p w14:paraId="49936820">
            <w:pPr>
              <w:keepNext w:val="0"/>
              <w:keepLines w:val="0"/>
              <w:pageBreakBefore w:val="0"/>
              <w:widowControl w:val="0"/>
              <w:kinsoku/>
              <w:wordWrap/>
              <w:overflowPunct/>
              <w:topLinePunct w:val="0"/>
              <w:autoSpaceDE/>
              <w:autoSpaceDN/>
              <w:bidi w:val="0"/>
              <w:adjustRightInd w:val="0"/>
              <w:snapToGrid/>
              <w:spacing w:line="400" w:lineRule="exact"/>
              <w:ind w:left="-42" w:leftChars="-20" w:right="-42" w:rightChars="-2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项目选线和拟采用的技术标准，应该充分考虑水土流失因素，尽量避开植被较多地段，施工期间严格划定施工活动范围，严格控制和管理运输车辆及重型机械的运行范围，不另辟施工便道，不得离开运输道路及随意驾驶。由专人监督负责，以防破坏土壤和植被；根据水土保持方案，针对井场、站场、管线均采取防沙治沙措施。</w:t>
            </w:r>
          </w:p>
        </w:tc>
        <w:tc>
          <w:tcPr>
            <w:tcW w:w="553" w:type="pct"/>
            <w:tcBorders>
              <w:tl2br w:val="nil"/>
              <w:tr2bl w:val="nil"/>
            </w:tcBorders>
            <w:noWrap w:val="0"/>
            <w:vAlign w:val="center"/>
          </w:tcPr>
          <w:p w14:paraId="3B109CF9">
            <w:pPr>
              <w:keepNext w:val="0"/>
              <w:keepLines w:val="0"/>
              <w:pageBreakBefore w:val="0"/>
              <w:widowControl w:val="0"/>
              <w:kinsoku/>
              <w:wordWrap/>
              <w:overflowPunct/>
              <w:topLinePunct w:val="0"/>
              <w:autoSpaceDE/>
              <w:autoSpaceDN/>
              <w:bidi w:val="0"/>
              <w:snapToGrid/>
              <w:spacing w:line="40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符合</w:t>
            </w:r>
          </w:p>
        </w:tc>
      </w:tr>
      <w:tr w14:paraId="601255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065" w:type="pct"/>
            <w:tcBorders>
              <w:tl2br w:val="nil"/>
              <w:tr2bl w:val="nil"/>
            </w:tcBorders>
            <w:noWrap w:val="0"/>
            <w:vAlign w:val="center"/>
          </w:tcPr>
          <w:p w14:paraId="0F80836F">
            <w:pPr>
              <w:keepNext w:val="0"/>
              <w:keepLines w:val="0"/>
              <w:pageBreakBefore w:val="0"/>
              <w:widowControl w:val="0"/>
              <w:kinsoku/>
              <w:wordWrap/>
              <w:overflowPunct/>
              <w:topLinePunct w:val="0"/>
              <w:autoSpaceDE/>
              <w:autoSpaceDN/>
              <w:bidi w:val="0"/>
              <w:adjustRightInd w:val="0"/>
              <w:snapToGrid/>
              <w:spacing w:line="400" w:lineRule="exact"/>
              <w:ind w:left="-42" w:leftChars="-20" w:right="-42" w:rightChars="-2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第三十九条：国家鼓励和支持在山区、丘陵区、风沙区以及容易发生水土流失的其他区域，采取下列有利于水土保持的措施：（一）免耕、等高耕作、轮耕轮作、草田轮作、间作套种等；（二）封禁抚育、轮封轮牧、舍饲圈养；（三）发展沼气、节柴灶，利用太阳能、风能和水能，以煤、电、气代替薪柴等；（四）从生态脆弱地区向外移民；（五）其他有利于水土保持的措施。</w:t>
            </w:r>
          </w:p>
        </w:tc>
        <w:tc>
          <w:tcPr>
            <w:tcW w:w="2381" w:type="pct"/>
            <w:tcBorders>
              <w:tl2br w:val="nil"/>
              <w:tr2bl w:val="nil"/>
            </w:tcBorders>
            <w:noWrap w:val="0"/>
            <w:vAlign w:val="center"/>
          </w:tcPr>
          <w:p w14:paraId="2508AB41">
            <w:pPr>
              <w:keepNext w:val="0"/>
              <w:keepLines w:val="0"/>
              <w:pageBreakBefore w:val="0"/>
              <w:widowControl w:val="0"/>
              <w:kinsoku/>
              <w:wordWrap/>
              <w:overflowPunct/>
              <w:topLinePunct w:val="0"/>
              <w:autoSpaceDE/>
              <w:autoSpaceDN/>
              <w:bidi w:val="0"/>
              <w:adjustRightInd w:val="0"/>
              <w:snapToGrid/>
              <w:spacing w:line="400" w:lineRule="exact"/>
              <w:ind w:left="-42" w:leftChars="-20" w:right="-42" w:rightChars="-2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项目选线和拟采用的技术标准，应该充分考虑水土流失因素，尽量避开植被较多地段，施工期间严格划定施工活动范围，严格控制和管理运输车辆及重型机械的运行范围，不另辟施工便道，不得离开运输道路及随意驾驶。由专人监督负责，以防破坏土壤和植被；根据水土保持方案，针对站场、管线均采取防沙治沙措施。</w:t>
            </w:r>
          </w:p>
        </w:tc>
        <w:tc>
          <w:tcPr>
            <w:tcW w:w="553" w:type="pct"/>
            <w:tcBorders>
              <w:tl2br w:val="nil"/>
              <w:tr2bl w:val="nil"/>
            </w:tcBorders>
            <w:noWrap w:val="0"/>
            <w:vAlign w:val="center"/>
          </w:tcPr>
          <w:p w14:paraId="21A7BA4A">
            <w:pPr>
              <w:keepNext w:val="0"/>
              <w:keepLines w:val="0"/>
              <w:pageBreakBefore w:val="0"/>
              <w:widowControl w:val="0"/>
              <w:kinsoku/>
              <w:wordWrap/>
              <w:overflowPunct/>
              <w:topLinePunct w:val="0"/>
              <w:autoSpaceDE/>
              <w:autoSpaceDN/>
              <w:bidi w:val="0"/>
              <w:snapToGrid/>
              <w:spacing w:line="40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符合</w:t>
            </w:r>
          </w:p>
        </w:tc>
      </w:tr>
    </w:tbl>
    <w:p w14:paraId="47FC43E2">
      <w:pPr>
        <w:pStyle w:val="55"/>
        <w:bidi w:val="0"/>
        <w:rPr>
          <w:rFonts w:hint="default"/>
          <w:color w:val="auto"/>
        </w:rPr>
      </w:pPr>
      <w:r>
        <w:rPr>
          <w:rFonts w:hint="default"/>
          <w:color w:val="auto"/>
        </w:rPr>
        <w:t>3.</w:t>
      </w:r>
      <w:r>
        <w:rPr>
          <w:rFonts w:hint="eastAsia"/>
          <w:color w:val="auto"/>
          <w:lang w:val="en-US" w:eastAsia="zh-CN"/>
        </w:rPr>
        <w:t xml:space="preserve">4.2.7 </w:t>
      </w:r>
      <w:r>
        <w:rPr>
          <w:rFonts w:hint="default"/>
          <w:color w:val="auto"/>
        </w:rPr>
        <w:t>与《关于加快解决当前挥发性有机物治理突出问题的通知》符合性分析</w:t>
      </w:r>
    </w:p>
    <w:p w14:paraId="00E9B376">
      <w:pPr>
        <w:pStyle w:val="79"/>
        <w:bidi w:val="0"/>
        <w:rPr>
          <w:rFonts w:hint="default"/>
          <w:color w:val="auto"/>
        </w:rPr>
      </w:pPr>
      <w:r>
        <w:rPr>
          <w:rFonts w:hint="default"/>
          <w:color w:val="auto"/>
          <w:lang w:eastAsia="zh-CN"/>
        </w:rPr>
        <w:t>本工程</w:t>
      </w:r>
      <w:r>
        <w:rPr>
          <w:rFonts w:hint="default"/>
          <w:color w:val="auto"/>
        </w:rPr>
        <w:t>与《关于加快解决当前挥发性有机物治理突出问题的通知》符合性分析</w:t>
      </w:r>
      <w:r>
        <w:rPr>
          <w:rFonts w:hint="eastAsia"/>
          <w:color w:val="auto"/>
          <w:lang w:eastAsia="zh-CN"/>
        </w:rPr>
        <w:t>，</w:t>
      </w:r>
      <w:r>
        <w:rPr>
          <w:rFonts w:hint="default"/>
          <w:color w:val="auto"/>
        </w:rPr>
        <w:t>见表3.</w:t>
      </w:r>
      <w:r>
        <w:rPr>
          <w:rFonts w:hint="eastAsia"/>
          <w:color w:val="auto"/>
          <w:lang w:val="en-US" w:eastAsia="zh-CN"/>
        </w:rPr>
        <w:t>4-6</w:t>
      </w:r>
      <w:r>
        <w:rPr>
          <w:rFonts w:hint="default"/>
          <w:color w:val="auto"/>
        </w:rPr>
        <w:t>。</w:t>
      </w:r>
    </w:p>
    <w:p w14:paraId="0DDE12A7">
      <w:pPr>
        <w:pStyle w:val="61"/>
        <w:bidi w:val="0"/>
        <w:jc w:val="both"/>
        <w:rPr>
          <w:rFonts w:hint="default"/>
          <w:color w:val="auto"/>
          <w:lang w:val="en-US" w:eastAsia="zh-CN"/>
        </w:rPr>
      </w:pPr>
      <w:r>
        <w:rPr>
          <w:rFonts w:hint="default"/>
          <w:color w:val="auto"/>
          <w:lang w:val="en-US" w:eastAsia="zh-CN"/>
        </w:rPr>
        <w:t>表3.</w:t>
      </w:r>
      <w:r>
        <w:rPr>
          <w:rFonts w:hint="eastAsia"/>
          <w:color w:val="auto"/>
          <w:lang w:val="en-US" w:eastAsia="zh-CN"/>
        </w:rPr>
        <w:t xml:space="preserve">4-6  </w:t>
      </w:r>
      <w:r>
        <w:rPr>
          <w:rFonts w:hint="default"/>
          <w:color w:val="auto"/>
          <w:lang w:val="en-US" w:eastAsia="zh-CN"/>
        </w:rPr>
        <w:t>与《关于加快解决当前挥发性有机物治理突出问题的通知》符合性</w:t>
      </w:r>
    </w:p>
    <w:tbl>
      <w:tblPr>
        <w:tblStyle w:val="36"/>
        <w:tblW w:w="4998"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4860"/>
        <w:gridCol w:w="2963"/>
        <w:gridCol w:w="822"/>
      </w:tblGrid>
      <w:tr w14:paraId="551B79A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2810" w:type="pct"/>
            <w:tcBorders>
              <w:tl2br w:val="nil"/>
              <w:tr2bl w:val="nil"/>
            </w:tcBorders>
            <w:noWrap w:val="0"/>
            <w:vAlign w:val="center"/>
          </w:tcPr>
          <w:p w14:paraId="379B707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要求</w:t>
            </w:r>
          </w:p>
        </w:tc>
        <w:tc>
          <w:tcPr>
            <w:tcW w:w="1713" w:type="pct"/>
            <w:tcBorders>
              <w:tl2br w:val="nil"/>
              <w:tr2bl w:val="nil"/>
            </w:tcBorders>
            <w:noWrap w:val="0"/>
            <w:vAlign w:val="center"/>
          </w:tcPr>
          <w:p w14:paraId="4EC6B6D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项目情况</w:t>
            </w:r>
          </w:p>
        </w:tc>
        <w:tc>
          <w:tcPr>
            <w:tcW w:w="475" w:type="pct"/>
            <w:tcBorders>
              <w:tl2br w:val="nil"/>
              <w:tr2bl w:val="nil"/>
            </w:tcBorders>
            <w:noWrap w:val="0"/>
            <w:vAlign w:val="center"/>
          </w:tcPr>
          <w:p w14:paraId="3B36BE05">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符合性</w:t>
            </w:r>
          </w:p>
        </w:tc>
      </w:tr>
      <w:tr w14:paraId="10EAE42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2810" w:type="pct"/>
            <w:tcBorders>
              <w:tl2br w:val="nil"/>
              <w:tr2bl w:val="nil"/>
            </w:tcBorders>
            <w:noWrap w:val="0"/>
            <w:vAlign w:val="center"/>
          </w:tcPr>
          <w:p w14:paraId="7D191EA8">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2"/>
                <w:sz w:val="21"/>
                <w:szCs w:val="21"/>
                <w:highlight w:val="none"/>
              </w:rPr>
              <w:t>产生VOCs的生产环节优先采用密闭设备、在密闭空间中操作或采用全密闭集气罩收集方式，并保持负压运行。</w:t>
            </w:r>
          </w:p>
        </w:tc>
        <w:tc>
          <w:tcPr>
            <w:tcW w:w="1713" w:type="pct"/>
            <w:tcBorders>
              <w:tl2br w:val="nil"/>
              <w:tr2bl w:val="nil"/>
            </w:tcBorders>
            <w:noWrap w:val="0"/>
            <w:vAlign w:val="center"/>
          </w:tcPr>
          <w:p w14:paraId="2370EC84">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2"/>
                <w:sz w:val="21"/>
                <w:szCs w:val="21"/>
                <w:highlight w:val="none"/>
                <w:lang w:eastAsia="zh-CN"/>
              </w:rPr>
              <w:t>本项目为试采工程，天然气采用密闭流程，原油采用装车拉运，装车过程采用气相平衡，可减少烃类气体排放，减少对大气的污染。</w:t>
            </w:r>
          </w:p>
        </w:tc>
        <w:tc>
          <w:tcPr>
            <w:tcW w:w="475" w:type="pct"/>
            <w:tcBorders>
              <w:tl2br w:val="nil"/>
              <w:tr2bl w:val="nil"/>
            </w:tcBorders>
            <w:noWrap w:val="0"/>
            <w:vAlign w:val="center"/>
          </w:tcPr>
          <w:p w14:paraId="1E9E33A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2"/>
                <w:sz w:val="21"/>
                <w:szCs w:val="21"/>
                <w:highlight w:val="none"/>
              </w:rPr>
              <w:t>符合</w:t>
            </w:r>
          </w:p>
        </w:tc>
      </w:tr>
      <w:tr w14:paraId="7D28749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2810" w:type="pct"/>
            <w:tcBorders>
              <w:tl2br w:val="nil"/>
              <w:tr2bl w:val="nil"/>
            </w:tcBorders>
            <w:noWrap w:val="0"/>
            <w:vAlign w:val="center"/>
          </w:tcPr>
          <w:p w14:paraId="25577B8A">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default" w:ascii="Times New Roman" w:hAnsi="Times New Roman" w:eastAsia="宋体" w:cs="Times New Roman"/>
                <w:color w:val="auto"/>
                <w:kern w:val="2"/>
                <w:sz w:val="21"/>
                <w:szCs w:val="21"/>
                <w:highlight w:val="none"/>
                <w:lang w:val="en-US" w:eastAsia="zh-CN" w:bidi="ar-SA"/>
              </w:rPr>
            </w:pPr>
            <w:bookmarkStart w:id="516" w:name="_Toc9600"/>
            <w:bookmarkStart w:id="517" w:name="_Toc2421"/>
            <w:r>
              <w:rPr>
                <w:rFonts w:hint="default" w:ascii="Times New Roman" w:hAnsi="Times New Roman" w:cs="Times New Roman"/>
                <w:color w:val="auto"/>
                <w:kern w:val="2"/>
                <w:sz w:val="21"/>
                <w:szCs w:val="21"/>
                <w:highlight w:val="none"/>
              </w:rPr>
              <w:t>重点排查汽油（包括含醇汽油、航空汽油）、航空煤油、原油、石脑油及苯、甲苯、二甲苯等装卸的物料类型、装载量、油气回收量，装载方式、密封型式、压紧方式及治理设施建设情况、工艺类型和运行情况，建立装卸排查清单；检查检测罐车人孔盖、油气回收耦合阀，底部装载有机废气回收快速接头、顶部浸没式装载密封罩、油气回收管线法兰等密封点泄漏情况，及治理设施排放浓度、排放速率和去除效率</w:t>
            </w:r>
            <w:r>
              <w:rPr>
                <w:rFonts w:hint="default" w:ascii="Times New Roman" w:hAnsi="Times New Roman" w:cs="Times New Roman"/>
                <w:color w:val="auto"/>
                <w:kern w:val="2"/>
                <w:sz w:val="21"/>
                <w:szCs w:val="21"/>
                <w:highlight w:val="none"/>
                <w:lang w:eastAsia="zh-CN"/>
              </w:rPr>
              <w:t>。</w:t>
            </w:r>
          </w:p>
        </w:tc>
        <w:tc>
          <w:tcPr>
            <w:tcW w:w="1713" w:type="pct"/>
            <w:tcBorders>
              <w:tl2br w:val="nil"/>
              <w:tr2bl w:val="nil"/>
            </w:tcBorders>
            <w:noWrap w:val="0"/>
            <w:vAlign w:val="center"/>
          </w:tcPr>
          <w:p w14:paraId="68E56954">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rPr>
              <w:t>本项目为试采工程，天然气采用密闭流程，原油采用装车拉运，装车过程采用气相平衡，有效减少VOCs排放</w:t>
            </w:r>
            <w:r>
              <w:rPr>
                <w:rFonts w:hint="default" w:ascii="Times New Roman" w:hAnsi="Times New Roman"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lang w:val="en-US" w:eastAsia="zh-CN"/>
              </w:rPr>
              <w:t>选用质量可靠的设备、仪表、阀门等；定期对井场</w:t>
            </w:r>
            <w:r>
              <w:rPr>
                <w:rFonts w:hint="eastAsia" w:cs="Times New Roman"/>
                <w:color w:val="auto"/>
                <w:kern w:val="2"/>
                <w:sz w:val="21"/>
                <w:szCs w:val="21"/>
                <w:highlight w:val="none"/>
                <w:lang w:val="en-US" w:eastAsia="zh-CN"/>
              </w:rPr>
              <w:t>、站场</w:t>
            </w:r>
            <w:r>
              <w:rPr>
                <w:rFonts w:hint="default" w:ascii="Times New Roman" w:hAnsi="Times New Roman" w:eastAsia="宋体" w:cs="Times New Roman"/>
                <w:color w:val="auto"/>
                <w:kern w:val="2"/>
                <w:sz w:val="21"/>
                <w:szCs w:val="21"/>
                <w:highlight w:val="none"/>
                <w:lang w:val="en-US" w:eastAsia="zh-CN"/>
              </w:rPr>
              <w:t>的设备、阀门等检查、检修，以防止跑、冒、漏现象的发生</w:t>
            </w:r>
            <w:r>
              <w:rPr>
                <w:rFonts w:hint="eastAsia" w:cs="Times New Roman"/>
                <w:color w:val="auto"/>
                <w:kern w:val="2"/>
                <w:sz w:val="21"/>
                <w:szCs w:val="21"/>
                <w:highlight w:val="none"/>
                <w:lang w:val="en-US" w:eastAsia="zh-CN"/>
              </w:rPr>
              <w:t>。</w:t>
            </w:r>
          </w:p>
        </w:tc>
        <w:tc>
          <w:tcPr>
            <w:tcW w:w="475" w:type="pct"/>
            <w:tcBorders>
              <w:tl2br w:val="nil"/>
              <w:tr2bl w:val="nil"/>
            </w:tcBorders>
            <w:noWrap w:val="0"/>
            <w:vAlign w:val="center"/>
          </w:tcPr>
          <w:p w14:paraId="37E957B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rPr>
              <w:t>符合</w:t>
            </w:r>
          </w:p>
        </w:tc>
      </w:tr>
      <w:tr w14:paraId="7D253F3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2810" w:type="pct"/>
            <w:tcBorders>
              <w:tl2br w:val="nil"/>
              <w:tr2bl w:val="nil"/>
            </w:tcBorders>
            <w:noWrap w:val="0"/>
            <w:vAlign w:val="center"/>
          </w:tcPr>
          <w:p w14:paraId="1081246A">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企业应按照标准要求，根据储存挥发性有机液体的真实蒸气压、储罐容积等进行储罐和浮盘边缘密封方式选型。充分考虑罐体变形或浮盘损坏、储罐附件破损等异常排放情况，鼓励对废气收集引气装置、处理装置设置冗余负荷；储罐排气回收处理后无法稳定达标排放的，应进一步优化治理设施或实施深度治理；鼓励企业对内浮顶罐排气进行收集处理。储罐罐体应保持完好，不应有孔洞、缝隙（除内浮顶罐边缘通气孔外）；除采样、计量、例行检查、维护和其他正常活动外，储罐附件的开口（孔）应保持密闭。</w:t>
            </w:r>
          </w:p>
        </w:tc>
        <w:tc>
          <w:tcPr>
            <w:tcW w:w="1713" w:type="pct"/>
            <w:tcBorders>
              <w:tl2br w:val="nil"/>
              <w:tr2bl w:val="nil"/>
            </w:tcBorders>
            <w:noWrap w:val="0"/>
            <w:vAlign w:val="center"/>
          </w:tcPr>
          <w:p w14:paraId="35A5B7ED">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default" w:ascii="Times New Roman" w:hAnsi="Times New Roman" w:cs="Times New Roman"/>
                <w:color w:val="auto"/>
                <w:kern w:val="2"/>
                <w:sz w:val="21"/>
                <w:szCs w:val="21"/>
                <w:highlight w:val="none"/>
                <w:lang w:eastAsia="zh-CN"/>
              </w:rPr>
            </w:pPr>
            <w:r>
              <w:rPr>
                <w:rFonts w:hint="default" w:ascii="Times New Roman" w:hAnsi="Times New Roman" w:cs="Times New Roman"/>
                <w:color w:val="auto"/>
                <w:kern w:val="2"/>
                <w:sz w:val="21"/>
                <w:szCs w:val="21"/>
                <w:highlight w:val="none"/>
                <w:lang w:eastAsia="zh-CN"/>
              </w:rPr>
              <w:t>本工程</w:t>
            </w:r>
            <w:r>
              <w:rPr>
                <w:rFonts w:hint="eastAsia" w:cs="Times New Roman"/>
                <w:color w:val="auto"/>
                <w:kern w:val="2"/>
                <w:sz w:val="21"/>
                <w:szCs w:val="21"/>
                <w:highlight w:val="none"/>
                <w:lang w:val="en-US" w:eastAsia="zh-CN"/>
              </w:rPr>
              <w:t>试采点内有原油储罐，采用固定顶罐</w:t>
            </w:r>
            <w:r>
              <w:rPr>
                <w:rFonts w:hint="default" w:ascii="Times New Roman" w:hAnsi="Times New Roman" w:cs="Times New Roman"/>
                <w:color w:val="auto"/>
                <w:kern w:val="2"/>
                <w:sz w:val="21"/>
                <w:szCs w:val="21"/>
                <w:highlight w:val="none"/>
                <w:lang w:eastAsia="zh-CN"/>
              </w:rPr>
              <w:t>。</w:t>
            </w:r>
          </w:p>
        </w:tc>
        <w:tc>
          <w:tcPr>
            <w:tcW w:w="475" w:type="pct"/>
            <w:tcBorders>
              <w:tl2br w:val="nil"/>
              <w:tr2bl w:val="nil"/>
            </w:tcBorders>
            <w:noWrap w:val="0"/>
            <w:vAlign w:val="center"/>
          </w:tcPr>
          <w:p w14:paraId="1D8FF42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符合</w:t>
            </w:r>
          </w:p>
        </w:tc>
      </w:tr>
    </w:tbl>
    <w:p w14:paraId="3CB42636">
      <w:pPr>
        <w:pStyle w:val="55"/>
        <w:bidi w:val="0"/>
        <w:rPr>
          <w:rFonts w:hint="default"/>
          <w:color w:val="auto"/>
        </w:rPr>
      </w:pPr>
      <w:r>
        <w:rPr>
          <w:rFonts w:hint="default"/>
          <w:color w:val="auto"/>
        </w:rPr>
        <w:t>3.</w:t>
      </w:r>
      <w:r>
        <w:rPr>
          <w:rFonts w:hint="eastAsia"/>
          <w:color w:val="auto"/>
          <w:lang w:val="en-US" w:eastAsia="zh-CN"/>
        </w:rPr>
        <w:t xml:space="preserve">4.2.8 </w:t>
      </w:r>
      <w:r>
        <w:rPr>
          <w:rFonts w:hint="default"/>
          <w:color w:val="auto"/>
        </w:rPr>
        <w:t>与《关于规范临时用地管理的通知》符合性分析</w:t>
      </w:r>
    </w:p>
    <w:p w14:paraId="05AC75EA">
      <w:pPr>
        <w:pStyle w:val="79"/>
        <w:bidi w:val="0"/>
        <w:rPr>
          <w:rFonts w:hint="default"/>
          <w:color w:val="auto"/>
        </w:rPr>
      </w:pPr>
      <w:r>
        <w:rPr>
          <w:rFonts w:hint="default"/>
          <w:color w:val="auto"/>
          <w:lang w:eastAsia="zh-CN"/>
        </w:rPr>
        <w:t>本工程</w:t>
      </w:r>
      <w:r>
        <w:rPr>
          <w:rFonts w:hint="default"/>
          <w:color w:val="auto"/>
        </w:rPr>
        <w:t>与《关于规范临时用地管理的通知》符合性分析</w:t>
      </w:r>
      <w:r>
        <w:rPr>
          <w:rFonts w:hint="eastAsia"/>
          <w:color w:val="auto"/>
          <w:lang w:eastAsia="zh-CN"/>
        </w:rPr>
        <w:t>，</w:t>
      </w:r>
      <w:r>
        <w:rPr>
          <w:rFonts w:hint="default"/>
          <w:color w:val="auto"/>
        </w:rPr>
        <w:t>见表3.</w:t>
      </w:r>
      <w:r>
        <w:rPr>
          <w:rFonts w:hint="eastAsia"/>
          <w:color w:val="auto"/>
          <w:lang w:val="en-US" w:eastAsia="zh-CN"/>
        </w:rPr>
        <w:t>4-7</w:t>
      </w:r>
      <w:r>
        <w:rPr>
          <w:rFonts w:hint="default"/>
          <w:color w:val="auto"/>
        </w:rPr>
        <w:t>。</w:t>
      </w:r>
    </w:p>
    <w:p w14:paraId="53D84034">
      <w:pPr>
        <w:pStyle w:val="61"/>
        <w:bidi w:val="0"/>
        <w:jc w:val="both"/>
        <w:rPr>
          <w:rFonts w:hint="default"/>
          <w:color w:val="auto"/>
          <w:lang w:val="en-US" w:eastAsia="zh-CN"/>
        </w:rPr>
      </w:pPr>
      <w:r>
        <w:rPr>
          <w:rFonts w:hint="default"/>
          <w:color w:val="auto"/>
          <w:lang w:val="en-US" w:eastAsia="zh-CN"/>
        </w:rPr>
        <w:t>表</w:t>
      </w:r>
      <w:r>
        <w:rPr>
          <w:rFonts w:hint="eastAsia"/>
          <w:color w:val="auto"/>
          <w:lang w:val="en-US" w:eastAsia="zh-CN"/>
        </w:rPr>
        <w:t xml:space="preserve">3.4-7  </w:t>
      </w:r>
      <w:r>
        <w:rPr>
          <w:rFonts w:hint="default"/>
          <w:color w:val="auto"/>
          <w:lang w:val="en-US" w:eastAsia="zh-CN"/>
        </w:rPr>
        <w:t>与《关于规范临时用地管理的通知》符合性</w:t>
      </w:r>
    </w:p>
    <w:tbl>
      <w:tblPr>
        <w:tblStyle w:val="36"/>
        <w:tblW w:w="4959"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0"/>
        <w:gridCol w:w="4633"/>
        <w:gridCol w:w="2829"/>
        <w:gridCol w:w="610"/>
      </w:tblGrid>
      <w:tr w14:paraId="454508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037" w:type="pct"/>
            <w:gridSpan w:val="2"/>
            <w:tcBorders>
              <w:tl2br w:val="nil"/>
              <w:tr2bl w:val="nil"/>
            </w:tcBorders>
            <w:noWrap w:val="0"/>
            <w:vAlign w:val="center"/>
          </w:tcPr>
          <w:p w14:paraId="11E792F6">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《关于规范临时用地管理的通知》（自然资规〔2021〕2号）相关要求</w:t>
            </w:r>
          </w:p>
        </w:tc>
        <w:tc>
          <w:tcPr>
            <w:tcW w:w="1614" w:type="pct"/>
            <w:tcBorders>
              <w:tl2br w:val="nil"/>
              <w:tr2bl w:val="nil"/>
            </w:tcBorders>
            <w:noWrap w:val="0"/>
            <w:vAlign w:val="center"/>
          </w:tcPr>
          <w:p w14:paraId="4D0D1436">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本工程情况</w:t>
            </w:r>
          </w:p>
        </w:tc>
        <w:tc>
          <w:tcPr>
            <w:tcW w:w="348" w:type="pct"/>
            <w:tcBorders>
              <w:tl2br w:val="nil"/>
              <w:tr2bl w:val="nil"/>
            </w:tcBorders>
            <w:noWrap w:val="0"/>
            <w:vAlign w:val="center"/>
          </w:tcPr>
          <w:p w14:paraId="3DCD5DB9">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23"/>
                <w:kern w:val="2"/>
                <w:sz w:val="21"/>
                <w:szCs w:val="21"/>
                <w:highlight w:val="none"/>
                <w:lang w:val="en-US" w:eastAsia="zh-CN" w:bidi="ar-SA"/>
              </w:rPr>
              <w:t>符合性</w:t>
            </w:r>
          </w:p>
        </w:tc>
      </w:tr>
      <w:tr w14:paraId="6616BC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94" w:type="pct"/>
            <w:vMerge w:val="restart"/>
            <w:tcBorders>
              <w:tl2br w:val="nil"/>
              <w:tr2bl w:val="nil"/>
            </w:tcBorders>
            <w:noWrap w:val="0"/>
            <w:vAlign w:val="center"/>
          </w:tcPr>
          <w:p w14:paraId="346824DE">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临时用地选址要求和使用期限</w:t>
            </w:r>
          </w:p>
          <w:p w14:paraId="69438EF9">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jc w:val="both"/>
              <w:textAlignment w:val="baseline"/>
              <w:rPr>
                <w:rFonts w:hint="eastAsia" w:ascii="宋体" w:hAnsi="宋体" w:eastAsia="宋体" w:cs="宋体"/>
                <w:color w:val="auto"/>
                <w:kern w:val="2"/>
                <w:sz w:val="21"/>
                <w:szCs w:val="21"/>
                <w:highlight w:val="none"/>
                <w:lang w:val="en-US" w:eastAsia="zh-CN" w:bidi="ar-SA"/>
              </w:rPr>
            </w:pPr>
          </w:p>
        </w:tc>
        <w:tc>
          <w:tcPr>
            <w:tcW w:w="2642" w:type="pct"/>
            <w:tcBorders>
              <w:tl2br w:val="nil"/>
              <w:tr2bl w:val="nil"/>
            </w:tcBorders>
            <w:noWrap w:val="0"/>
            <w:vAlign w:val="center"/>
          </w:tcPr>
          <w:p w14:paraId="1C0CC02C">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建设项目施工、地质勘查使用临时用地时应坚持“用多少、批多少、占多少、恢复多少”，尽量不占或者少占耕地。</w:t>
            </w:r>
          </w:p>
        </w:tc>
        <w:tc>
          <w:tcPr>
            <w:tcW w:w="1614" w:type="pct"/>
            <w:tcBorders>
              <w:tl2br w:val="nil"/>
              <w:tr2bl w:val="nil"/>
            </w:tcBorders>
            <w:noWrap w:val="0"/>
            <w:vAlign w:val="center"/>
          </w:tcPr>
          <w:p w14:paraId="02F91D95">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6"/>
                <w:kern w:val="2"/>
                <w:sz w:val="21"/>
                <w:szCs w:val="21"/>
                <w:highlight w:val="none"/>
                <w:lang w:val="en-US" w:eastAsia="zh-CN" w:bidi="ar-SA"/>
              </w:rPr>
              <w:t>本工程占地类型为</w:t>
            </w:r>
            <w:r>
              <w:rPr>
                <w:rFonts w:hint="eastAsia" w:ascii="宋体" w:hAnsi="宋体" w:cs="宋体"/>
                <w:color w:val="auto"/>
                <w:spacing w:val="-6"/>
                <w:kern w:val="2"/>
                <w:sz w:val="21"/>
                <w:szCs w:val="21"/>
                <w:highlight w:val="none"/>
                <w:lang w:val="en-US" w:eastAsia="zh-CN" w:bidi="ar-SA"/>
              </w:rPr>
              <w:t>天然牧草地</w:t>
            </w:r>
            <w:r>
              <w:rPr>
                <w:rFonts w:hint="eastAsia" w:ascii="宋体" w:hAnsi="宋体" w:eastAsia="宋体" w:cs="宋体"/>
                <w:color w:val="auto"/>
                <w:spacing w:val="-6"/>
                <w:kern w:val="2"/>
                <w:sz w:val="21"/>
                <w:szCs w:val="21"/>
                <w:highlight w:val="none"/>
                <w:lang w:val="en-US" w:eastAsia="zh-CN" w:bidi="ar-SA"/>
              </w:rPr>
              <w:t>。工程施工前应办理征地手续，并在施工结束后对占用的临时用地全部进行恢复。</w:t>
            </w:r>
          </w:p>
        </w:tc>
        <w:tc>
          <w:tcPr>
            <w:tcW w:w="348" w:type="pct"/>
            <w:tcBorders>
              <w:tl2br w:val="nil"/>
              <w:tr2bl w:val="nil"/>
            </w:tcBorders>
            <w:noWrap w:val="0"/>
            <w:vAlign w:val="center"/>
          </w:tcPr>
          <w:p w14:paraId="3570F237">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符合</w:t>
            </w:r>
          </w:p>
        </w:tc>
      </w:tr>
      <w:tr w14:paraId="6843B0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94" w:type="pct"/>
            <w:vMerge w:val="continue"/>
            <w:tcBorders>
              <w:tl2br w:val="nil"/>
              <w:tr2bl w:val="nil"/>
            </w:tcBorders>
            <w:noWrap w:val="0"/>
            <w:vAlign w:val="center"/>
          </w:tcPr>
          <w:p w14:paraId="4F137FEC">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jc w:val="both"/>
              <w:textAlignment w:val="baseline"/>
              <w:rPr>
                <w:rFonts w:hint="eastAsia" w:ascii="宋体" w:hAnsi="宋体" w:eastAsia="宋体" w:cs="宋体"/>
                <w:color w:val="auto"/>
                <w:kern w:val="2"/>
                <w:sz w:val="21"/>
                <w:szCs w:val="21"/>
                <w:highlight w:val="none"/>
                <w:lang w:val="en-US" w:eastAsia="zh-CN" w:bidi="ar-SA"/>
              </w:rPr>
            </w:pPr>
          </w:p>
        </w:tc>
        <w:tc>
          <w:tcPr>
            <w:tcW w:w="2642" w:type="pct"/>
            <w:tcBorders>
              <w:tl2br w:val="nil"/>
              <w:tr2bl w:val="nil"/>
            </w:tcBorders>
            <w:noWrap w:val="0"/>
            <w:vAlign w:val="center"/>
          </w:tcPr>
          <w:p w14:paraId="6AF04EA3">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临时用地确需占用永久基本农田的，必须能够恢复原种植条件，并符合《自然资源部 农业农村部关于加强和改进永久基本农田保护工作的通知》（自然资规〔2019〕1号）中申请条件、土壤剥离、复垦验收等有关规定。</w:t>
            </w:r>
          </w:p>
        </w:tc>
        <w:tc>
          <w:tcPr>
            <w:tcW w:w="1614" w:type="pct"/>
            <w:tcBorders>
              <w:tl2br w:val="nil"/>
              <w:tr2bl w:val="nil"/>
            </w:tcBorders>
            <w:noWrap w:val="0"/>
            <w:vAlign w:val="center"/>
          </w:tcPr>
          <w:p w14:paraId="09461552">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本工程占地类型为</w:t>
            </w:r>
            <w:r>
              <w:rPr>
                <w:rFonts w:hint="eastAsia" w:ascii="宋体" w:hAnsi="宋体" w:cs="宋体"/>
                <w:color w:val="auto"/>
                <w:kern w:val="2"/>
                <w:sz w:val="21"/>
                <w:szCs w:val="21"/>
                <w:highlight w:val="none"/>
                <w:lang w:val="en-US" w:eastAsia="zh-CN" w:bidi="ar-SA"/>
              </w:rPr>
              <w:t>天然牧草地</w:t>
            </w:r>
            <w:r>
              <w:rPr>
                <w:rFonts w:hint="eastAsia" w:ascii="宋体" w:hAnsi="宋体" w:eastAsia="宋体" w:cs="宋体"/>
                <w:color w:val="auto"/>
                <w:kern w:val="2"/>
                <w:sz w:val="21"/>
                <w:szCs w:val="21"/>
                <w:highlight w:val="none"/>
                <w:lang w:val="en-US" w:eastAsia="zh-CN" w:bidi="ar-SA"/>
              </w:rPr>
              <w:t>，不占用基本农田。</w:t>
            </w:r>
          </w:p>
        </w:tc>
        <w:tc>
          <w:tcPr>
            <w:tcW w:w="348" w:type="pct"/>
            <w:tcBorders>
              <w:tl2br w:val="nil"/>
              <w:tr2bl w:val="nil"/>
            </w:tcBorders>
            <w:noWrap w:val="0"/>
            <w:vAlign w:val="center"/>
          </w:tcPr>
          <w:p w14:paraId="60F5841A">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符合</w:t>
            </w:r>
          </w:p>
        </w:tc>
      </w:tr>
      <w:tr w14:paraId="68A71E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94" w:type="pct"/>
            <w:vMerge w:val="continue"/>
            <w:tcBorders>
              <w:tl2br w:val="nil"/>
              <w:tr2bl w:val="nil"/>
            </w:tcBorders>
            <w:noWrap w:val="0"/>
            <w:vAlign w:val="center"/>
          </w:tcPr>
          <w:p w14:paraId="66417633">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jc w:val="both"/>
              <w:textAlignment w:val="baseline"/>
              <w:rPr>
                <w:rFonts w:hint="eastAsia" w:ascii="宋体" w:hAnsi="宋体" w:eastAsia="宋体" w:cs="宋体"/>
                <w:color w:val="auto"/>
                <w:kern w:val="2"/>
                <w:sz w:val="21"/>
                <w:szCs w:val="21"/>
                <w:highlight w:val="none"/>
                <w:lang w:val="en-US" w:eastAsia="zh-CN" w:bidi="ar-SA"/>
              </w:rPr>
            </w:pPr>
          </w:p>
        </w:tc>
        <w:tc>
          <w:tcPr>
            <w:tcW w:w="2642" w:type="pct"/>
            <w:tcBorders>
              <w:tl2br w:val="nil"/>
              <w:tr2bl w:val="nil"/>
            </w:tcBorders>
            <w:noWrap w:val="0"/>
            <w:vAlign w:val="center"/>
          </w:tcPr>
          <w:p w14:paraId="3BE8D985">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临时用地使用期限一般不超过两年。建设周期较长的能源、交通、水利等基础设施建设项目施工使用的临时用地，期限不超过四年。临时用地使用期限，从批准之日起算。</w:t>
            </w:r>
          </w:p>
        </w:tc>
        <w:tc>
          <w:tcPr>
            <w:tcW w:w="1614" w:type="pct"/>
            <w:tcBorders>
              <w:tl2br w:val="nil"/>
              <w:tr2bl w:val="nil"/>
            </w:tcBorders>
            <w:noWrap w:val="0"/>
            <w:vAlign w:val="center"/>
          </w:tcPr>
          <w:p w14:paraId="5838D61B">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临时用地使用期限为两年。</w:t>
            </w:r>
          </w:p>
        </w:tc>
        <w:tc>
          <w:tcPr>
            <w:tcW w:w="348" w:type="pct"/>
            <w:tcBorders>
              <w:tl2br w:val="nil"/>
              <w:tr2bl w:val="nil"/>
            </w:tcBorders>
            <w:noWrap w:val="0"/>
            <w:vAlign w:val="center"/>
          </w:tcPr>
          <w:p w14:paraId="538ABB84">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符合</w:t>
            </w:r>
          </w:p>
        </w:tc>
      </w:tr>
      <w:tr w14:paraId="79BC95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94" w:type="pct"/>
            <w:tcBorders>
              <w:tl2br w:val="nil"/>
              <w:tr2bl w:val="nil"/>
            </w:tcBorders>
            <w:noWrap w:val="0"/>
            <w:vAlign w:val="center"/>
          </w:tcPr>
          <w:p w14:paraId="02F652D5">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规范临时用地审批</w:t>
            </w:r>
          </w:p>
        </w:tc>
        <w:tc>
          <w:tcPr>
            <w:tcW w:w="2642" w:type="pct"/>
            <w:tcBorders>
              <w:tl2br w:val="nil"/>
              <w:tr2bl w:val="nil"/>
            </w:tcBorders>
            <w:noWrap w:val="0"/>
            <w:vAlign w:val="center"/>
          </w:tcPr>
          <w:p w14:paraId="35577C14">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油气资源探采合一开发涉及的钻井及配套设施建设用地，可先以临时用地方式批准使用，勘探结束转入生产使用的，办理建设用地审批手续；不转入生产的，油气企业应当完成土地复垦，按期归还。</w:t>
            </w:r>
          </w:p>
        </w:tc>
        <w:tc>
          <w:tcPr>
            <w:tcW w:w="1614" w:type="pct"/>
            <w:tcBorders>
              <w:tl2br w:val="nil"/>
              <w:tr2bl w:val="nil"/>
            </w:tcBorders>
            <w:noWrap w:val="0"/>
            <w:vAlign w:val="center"/>
          </w:tcPr>
          <w:p w14:paraId="0A9508EB">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本工程在施工前先办理临时用地手续，待临时用地期限到期前，办理建设用地审批手续。对于未转入生产的，应当完成土地复垦。</w:t>
            </w:r>
          </w:p>
        </w:tc>
        <w:tc>
          <w:tcPr>
            <w:tcW w:w="348" w:type="pct"/>
            <w:tcBorders>
              <w:tl2br w:val="nil"/>
              <w:tr2bl w:val="nil"/>
            </w:tcBorders>
            <w:noWrap w:val="0"/>
            <w:vAlign w:val="center"/>
          </w:tcPr>
          <w:p w14:paraId="3900824C">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符合</w:t>
            </w:r>
          </w:p>
        </w:tc>
      </w:tr>
      <w:tr w14:paraId="184846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94" w:type="pct"/>
            <w:vMerge w:val="restart"/>
            <w:tcBorders>
              <w:tl2br w:val="nil"/>
              <w:tr2bl w:val="nil"/>
            </w:tcBorders>
            <w:noWrap w:val="0"/>
            <w:vAlign w:val="center"/>
          </w:tcPr>
          <w:p w14:paraId="1FB5426A">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落实临时用地恢复责任</w:t>
            </w:r>
          </w:p>
        </w:tc>
        <w:tc>
          <w:tcPr>
            <w:tcW w:w="2642" w:type="pct"/>
            <w:tcBorders>
              <w:tl2br w:val="nil"/>
              <w:tr2bl w:val="nil"/>
            </w:tcBorders>
            <w:noWrap w:val="0"/>
            <w:vAlign w:val="center"/>
          </w:tcPr>
          <w:p w14:paraId="48314E8E">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临时用地使用人应当按照批准的用途使用土地，不得转让、出租、抵押临时用地。临时用地使用人应当自临时用地期满之日起一年内完成土地复垦，因气候、灾害等不可抗力因素影响复垦的，经批准可以适当延长复垦期限。</w:t>
            </w:r>
          </w:p>
        </w:tc>
        <w:tc>
          <w:tcPr>
            <w:tcW w:w="1614" w:type="pct"/>
            <w:vMerge w:val="restart"/>
            <w:tcBorders>
              <w:tl2br w:val="nil"/>
              <w:tr2bl w:val="nil"/>
            </w:tcBorders>
            <w:noWrap w:val="0"/>
            <w:vAlign w:val="center"/>
          </w:tcPr>
          <w:p w14:paraId="12C83DEC">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建设单位不得对批准的临时用地进行转让、出租、抵押。</w:t>
            </w:r>
          </w:p>
          <w:p w14:paraId="04C91574">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本工程不占用农用地，施工结束后对临时用地内的建筑物进行拆除，恢复；后期对未投入</w:t>
            </w:r>
            <w:r>
              <w:rPr>
                <w:rFonts w:hint="eastAsia" w:ascii="宋体" w:hAnsi="宋体" w:cs="宋体"/>
                <w:color w:val="auto"/>
                <w:kern w:val="2"/>
                <w:sz w:val="21"/>
                <w:szCs w:val="21"/>
                <w:highlight w:val="none"/>
                <w:lang w:val="en-US" w:eastAsia="zh-CN" w:bidi="ar-SA"/>
              </w:rPr>
              <w:t>生</w:t>
            </w:r>
            <w:r>
              <w:rPr>
                <w:rFonts w:hint="eastAsia" w:ascii="宋体" w:hAnsi="宋体" w:eastAsia="宋体" w:cs="宋体"/>
                <w:color w:val="auto"/>
                <w:kern w:val="2"/>
                <w:sz w:val="21"/>
                <w:szCs w:val="21"/>
                <w:highlight w:val="none"/>
                <w:lang w:val="en-US" w:eastAsia="zh-CN" w:bidi="ar-SA"/>
              </w:rPr>
              <w:t>产的进行恢复复垦。</w:t>
            </w:r>
          </w:p>
        </w:tc>
        <w:tc>
          <w:tcPr>
            <w:tcW w:w="348" w:type="pct"/>
            <w:vMerge w:val="restart"/>
            <w:tcBorders>
              <w:tl2br w:val="nil"/>
              <w:tr2bl w:val="nil"/>
            </w:tcBorders>
            <w:noWrap w:val="0"/>
            <w:vAlign w:val="center"/>
          </w:tcPr>
          <w:p w14:paraId="78061B89">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符合</w:t>
            </w:r>
          </w:p>
        </w:tc>
      </w:tr>
      <w:tr w14:paraId="4C5DBF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94" w:type="pct"/>
            <w:vMerge w:val="continue"/>
            <w:tcBorders>
              <w:tl2br w:val="nil"/>
              <w:tr2bl w:val="nil"/>
            </w:tcBorders>
            <w:noWrap w:val="0"/>
            <w:vAlign w:val="center"/>
          </w:tcPr>
          <w:p w14:paraId="54A587F2">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jc w:val="both"/>
              <w:textAlignment w:val="baseline"/>
              <w:rPr>
                <w:rFonts w:hint="eastAsia" w:ascii="宋体" w:hAnsi="宋体" w:eastAsia="宋体" w:cs="宋体"/>
                <w:color w:val="auto"/>
                <w:kern w:val="2"/>
                <w:sz w:val="21"/>
                <w:szCs w:val="21"/>
                <w:highlight w:val="none"/>
                <w:lang w:val="en-US" w:eastAsia="zh-CN" w:bidi="ar-SA"/>
              </w:rPr>
            </w:pPr>
          </w:p>
        </w:tc>
        <w:tc>
          <w:tcPr>
            <w:tcW w:w="2642" w:type="pct"/>
            <w:tcBorders>
              <w:tl2br w:val="nil"/>
              <w:tr2bl w:val="nil"/>
            </w:tcBorders>
            <w:noWrap w:val="0"/>
            <w:vAlign w:val="center"/>
          </w:tcPr>
          <w:p w14:paraId="227461AC">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严格落实临时用地恢复责任，临时用地期满后应当拆除临时建（构）筑物，使用耕地的应当复垦为耕地，确保耕地面积不减少、质量不降低；使用耕地以外的其他农用地的应当恢复为农用地；使用未利用地的，对于符合条件的鼓励复垦为耕地。</w:t>
            </w:r>
          </w:p>
        </w:tc>
        <w:tc>
          <w:tcPr>
            <w:tcW w:w="1614" w:type="pct"/>
            <w:vMerge w:val="continue"/>
            <w:tcBorders>
              <w:tl2br w:val="nil"/>
              <w:tr2bl w:val="nil"/>
            </w:tcBorders>
            <w:noWrap w:val="0"/>
            <w:vAlign w:val="center"/>
          </w:tcPr>
          <w:p w14:paraId="30C9295F">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jc w:val="both"/>
              <w:textAlignment w:val="baseline"/>
              <w:rPr>
                <w:rFonts w:hint="eastAsia" w:ascii="宋体" w:hAnsi="宋体" w:eastAsia="宋体" w:cs="宋体"/>
                <w:color w:val="auto"/>
                <w:kern w:val="2"/>
                <w:sz w:val="21"/>
                <w:szCs w:val="21"/>
                <w:highlight w:val="none"/>
                <w:lang w:val="en-US" w:eastAsia="zh-CN" w:bidi="ar-SA"/>
              </w:rPr>
            </w:pPr>
          </w:p>
        </w:tc>
        <w:tc>
          <w:tcPr>
            <w:tcW w:w="348" w:type="pct"/>
            <w:vMerge w:val="continue"/>
            <w:tcBorders>
              <w:tl2br w:val="nil"/>
              <w:tr2bl w:val="nil"/>
            </w:tcBorders>
            <w:noWrap w:val="0"/>
            <w:vAlign w:val="center"/>
          </w:tcPr>
          <w:p w14:paraId="7E4B57F0">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jc w:val="both"/>
              <w:textAlignment w:val="baseline"/>
              <w:rPr>
                <w:rFonts w:hint="eastAsia" w:ascii="宋体" w:hAnsi="宋体" w:eastAsia="宋体" w:cs="宋体"/>
                <w:color w:val="auto"/>
                <w:kern w:val="2"/>
                <w:sz w:val="21"/>
                <w:szCs w:val="21"/>
                <w:highlight w:val="none"/>
                <w:lang w:val="en-US" w:eastAsia="zh-CN" w:bidi="ar-SA"/>
              </w:rPr>
            </w:pPr>
          </w:p>
        </w:tc>
      </w:tr>
    </w:tbl>
    <w:p w14:paraId="42C470D2">
      <w:pPr>
        <w:pStyle w:val="55"/>
        <w:bidi w:val="0"/>
        <w:rPr>
          <w:rFonts w:hint="default"/>
          <w:color w:val="auto"/>
        </w:rPr>
      </w:pPr>
      <w:r>
        <w:rPr>
          <w:rFonts w:hint="default"/>
          <w:color w:val="auto"/>
        </w:rPr>
        <w:t>3.</w:t>
      </w:r>
      <w:r>
        <w:rPr>
          <w:rFonts w:hint="eastAsia"/>
          <w:color w:val="auto"/>
          <w:lang w:val="en-US" w:eastAsia="zh-CN"/>
        </w:rPr>
        <w:t xml:space="preserve">4.2.9 </w:t>
      </w:r>
      <w:r>
        <w:rPr>
          <w:rFonts w:hint="default"/>
          <w:color w:val="auto"/>
        </w:rPr>
        <w:t>与《关于加强沙区建设项目环境影响评价工作的通知》符合性分析</w:t>
      </w:r>
    </w:p>
    <w:p w14:paraId="7CC162F0">
      <w:pPr>
        <w:pStyle w:val="79"/>
        <w:bidi w:val="0"/>
        <w:rPr>
          <w:rFonts w:hint="default"/>
          <w:color w:val="auto"/>
        </w:rPr>
      </w:pPr>
      <w:r>
        <w:rPr>
          <w:rFonts w:hint="default"/>
          <w:color w:val="auto"/>
          <w:lang w:eastAsia="zh-CN"/>
        </w:rPr>
        <w:t>本工程</w:t>
      </w:r>
      <w:r>
        <w:rPr>
          <w:rFonts w:hint="default"/>
          <w:color w:val="auto"/>
        </w:rPr>
        <w:t>与《关于建设项目主要污染物排放总量指标审核及管理暂行办法的通知》符合性分析</w:t>
      </w:r>
      <w:r>
        <w:rPr>
          <w:rFonts w:hint="eastAsia"/>
          <w:color w:val="auto"/>
          <w:lang w:eastAsia="zh-CN"/>
        </w:rPr>
        <w:t>，</w:t>
      </w:r>
      <w:r>
        <w:rPr>
          <w:rFonts w:hint="default"/>
          <w:color w:val="auto"/>
        </w:rPr>
        <w:t>见表3.</w:t>
      </w:r>
      <w:r>
        <w:rPr>
          <w:rFonts w:hint="eastAsia"/>
          <w:color w:val="auto"/>
          <w:lang w:val="en-US" w:eastAsia="zh-CN"/>
        </w:rPr>
        <w:t>4-8</w:t>
      </w:r>
      <w:r>
        <w:rPr>
          <w:rFonts w:hint="default"/>
          <w:color w:val="auto"/>
        </w:rPr>
        <w:t>。</w:t>
      </w:r>
    </w:p>
    <w:p w14:paraId="73382D82">
      <w:pPr>
        <w:pStyle w:val="61"/>
        <w:bidi w:val="0"/>
        <w:jc w:val="both"/>
        <w:rPr>
          <w:rFonts w:hint="default"/>
          <w:color w:val="auto"/>
          <w:lang w:val="en-US" w:eastAsia="zh-CN"/>
        </w:rPr>
      </w:pPr>
      <w:r>
        <w:rPr>
          <w:rFonts w:hint="default"/>
          <w:color w:val="auto"/>
          <w:lang w:val="en-US" w:eastAsia="zh-CN"/>
        </w:rPr>
        <w:t>表3.</w:t>
      </w:r>
      <w:r>
        <w:rPr>
          <w:rFonts w:hint="eastAsia"/>
          <w:color w:val="auto"/>
          <w:lang w:val="en-US" w:eastAsia="zh-CN"/>
        </w:rPr>
        <w:t xml:space="preserve">4-8  </w:t>
      </w:r>
      <w:r>
        <w:rPr>
          <w:rFonts w:hint="default"/>
          <w:color w:val="auto"/>
          <w:lang w:val="en-US" w:eastAsia="zh-CN"/>
        </w:rPr>
        <w:t>与《关于加强沙区建设项目环境影响评价工作的通知》符合性</w:t>
      </w:r>
    </w:p>
    <w:tbl>
      <w:tblPr>
        <w:tblStyle w:val="36"/>
        <w:tblW w:w="5015"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4666"/>
        <w:gridCol w:w="3188"/>
        <w:gridCol w:w="820"/>
      </w:tblGrid>
      <w:tr w14:paraId="599268D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2" w:hRule="atLeast"/>
          <w:jc w:val="center"/>
        </w:trPr>
        <w:tc>
          <w:tcPr>
            <w:tcW w:w="2689" w:type="pct"/>
            <w:tcBorders>
              <w:tl2br w:val="nil"/>
              <w:tr2bl w:val="nil"/>
            </w:tcBorders>
            <w:noWrap w:val="0"/>
            <w:vAlign w:val="center"/>
          </w:tcPr>
          <w:p w14:paraId="73C279C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要求</w:t>
            </w:r>
          </w:p>
        </w:tc>
        <w:tc>
          <w:tcPr>
            <w:tcW w:w="1837" w:type="pct"/>
            <w:tcBorders>
              <w:tl2br w:val="nil"/>
              <w:tr2bl w:val="nil"/>
            </w:tcBorders>
            <w:noWrap w:val="0"/>
            <w:vAlign w:val="center"/>
          </w:tcPr>
          <w:p w14:paraId="031A20A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项目情况</w:t>
            </w:r>
          </w:p>
        </w:tc>
        <w:tc>
          <w:tcPr>
            <w:tcW w:w="472" w:type="pct"/>
            <w:tcBorders>
              <w:tl2br w:val="nil"/>
              <w:tr2bl w:val="nil"/>
            </w:tcBorders>
            <w:noWrap w:val="0"/>
            <w:vAlign w:val="center"/>
          </w:tcPr>
          <w:p w14:paraId="46A7836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符合性</w:t>
            </w:r>
          </w:p>
        </w:tc>
      </w:tr>
      <w:tr w14:paraId="7FAAEBF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307" w:hRule="atLeast"/>
          <w:jc w:val="center"/>
        </w:trPr>
        <w:tc>
          <w:tcPr>
            <w:tcW w:w="2689" w:type="pct"/>
            <w:tcBorders>
              <w:tl2br w:val="nil"/>
              <w:tr2bl w:val="nil"/>
            </w:tcBorders>
            <w:noWrap w:val="0"/>
            <w:vAlign w:val="center"/>
          </w:tcPr>
          <w:p w14:paraId="27D1ED05">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2"/>
                <w:sz w:val="21"/>
                <w:szCs w:val="21"/>
                <w:highlight w:val="none"/>
                <w:lang w:val="en-US" w:eastAsia="zh-CN" w:bidi="ar-SA"/>
              </w:rPr>
              <w:t>对于受理的涉及沙区的建设项目环评文件，严格按照《环境影响评价技术导则 生态影响》（HJ19-2011）要求，强化建设项目的环境可行性、环境影响分析预测评估的可靠性和防沙治沙生态环境保护措施的可行性、有效性评估。</w:t>
            </w:r>
          </w:p>
        </w:tc>
        <w:tc>
          <w:tcPr>
            <w:tcW w:w="1837" w:type="pct"/>
            <w:tcBorders>
              <w:tl2br w:val="nil"/>
              <w:tr2bl w:val="nil"/>
            </w:tcBorders>
            <w:noWrap w:val="0"/>
            <w:vAlign w:val="center"/>
          </w:tcPr>
          <w:p w14:paraId="45667371">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2"/>
                <w:sz w:val="21"/>
                <w:szCs w:val="21"/>
                <w:highlight w:val="none"/>
                <w:lang w:val="en-US" w:eastAsia="zh-CN" w:bidi="ar-SA"/>
              </w:rPr>
              <w:t>本工程位于塔克拉玛干沙漠</w:t>
            </w:r>
            <w:r>
              <w:rPr>
                <w:rFonts w:hint="eastAsia" w:ascii="宋体" w:hAnsi="宋体" w:cs="宋体"/>
                <w:color w:val="auto"/>
                <w:kern w:val="2"/>
                <w:sz w:val="21"/>
                <w:szCs w:val="21"/>
                <w:highlight w:val="none"/>
                <w:lang w:val="en-US" w:eastAsia="zh-CN" w:bidi="ar-SA"/>
              </w:rPr>
              <w:t>北侧</w:t>
            </w:r>
            <w:r>
              <w:rPr>
                <w:rFonts w:hint="eastAsia" w:ascii="宋体" w:hAnsi="宋体" w:eastAsia="宋体" w:cs="宋体"/>
                <w:color w:val="auto"/>
                <w:kern w:val="2"/>
                <w:sz w:val="21"/>
                <w:szCs w:val="21"/>
                <w:highlight w:val="none"/>
                <w:lang w:val="en-US" w:eastAsia="zh-CN" w:bidi="ar-SA"/>
              </w:rPr>
              <w:t>，本次环评分析了项目实施过程中对周边沙化土地的影响，并提出了有效可行的防沙治沙措施。</w:t>
            </w:r>
          </w:p>
        </w:tc>
        <w:tc>
          <w:tcPr>
            <w:tcW w:w="472" w:type="pct"/>
            <w:tcBorders>
              <w:tl2br w:val="nil"/>
              <w:tr2bl w:val="nil"/>
            </w:tcBorders>
            <w:noWrap w:val="0"/>
            <w:vAlign w:val="center"/>
          </w:tcPr>
          <w:p w14:paraId="24EC033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2"/>
                <w:sz w:val="21"/>
                <w:szCs w:val="21"/>
                <w:highlight w:val="none"/>
              </w:rPr>
              <w:t>符合</w:t>
            </w:r>
          </w:p>
        </w:tc>
      </w:tr>
    </w:tbl>
    <w:p w14:paraId="6980C45A">
      <w:pPr>
        <w:pStyle w:val="55"/>
        <w:bidi w:val="0"/>
        <w:rPr>
          <w:rFonts w:hint="eastAsia"/>
          <w:color w:val="auto"/>
          <w:lang w:val="en-US" w:eastAsia="zh-CN"/>
        </w:rPr>
      </w:pPr>
      <w:bookmarkStart w:id="518" w:name="_Toc26676"/>
      <w:bookmarkStart w:id="519" w:name="_Toc4217"/>
      <w:bookmarkStart w:id="520" w:name="_Toc9275"/>
      <w:r>
        <w:rPr>
          <w:rFonts w:hint="eastAsia"/>
          <w:color w:val="auto"/>
          <w:lang w:val="en-US" w:eastAsia="zh-CN"/>
        </w:rPr>
        <w:t>3.4.2.10 与《新疆维吾尔自治区重点行业生态环境准入条件》符合性分析</w:t>
      </w:r>
    </w:p>
    <w:p w14:paraId="64A588E2">
      <w:pPr>
        <w:pStyle w:val="79"/>
        <w:bidi w:val="0"/>
        <w:rPr>
          <w:rFonts w:hint="default"/>
          <w:color w:val="auto"/>
        </w:rPr>
      </w:pPr>
      <w:r>
        <w:rPr>
          <w:rFonts w:hint="default"/>
          <w:color w:val="auto"/>
          <w:lang w:eastAsia="zh-CN"/>
        </w:rPr>
        <w:t>本工程</w:t>
      </w:r>
      <w:r>
        <w:rPr>
          <w:rFonts w:hint="default"/>
          <w:color w:val="auto"/>
        </w:rPr>
        <w:t>与《新疆维吾尔自治区重点行业生态环境准入条件（2024年）》符合性分析</w:t>
      </w:r>
      <w:r>
        <w:rPr>
          <w:rFonts w:hint="eastAsia"/>
          <w:color w:val="auto"/>
          <w:lang w:eastAsia="zh-CN"/>
        </w:rPr>
        <w:t>，</w:t>
      </w:r>
      <w:r>
        <w:rPr>
          <w:rFonts w:hint="default"/>
          <w:color w:val="auto"/>
        </w:rPr>
        <w:t>见表3.</w:t>
      </w:r>
      <w:r>
        <w:rPr>
          <w:rFonts w:hint="eastAsia"/>
          <w:color w:val="auto"/>
          <w:lang w:val="en-US" w:eastAsia="zh-CN"/>
        </w:rPr>
        <w:t>4-9</w:t>
      </w:r>
      <w:r>
        <w:rPr>
          <w:rFonts w:hint="default"/>
          <w:color w:val="auto"/>
        </w:rPr>
        <w:t>。</w:t>
      </w:r>
    </w:p>
    <w:p w14:paraId="73EFB57D">
      <w:pPr>
        <w:pStyle w:val="61"/>
        <w:bidi w:val="0"/>
        <w:jc w:val="both"/>
        <w:rPr>
          <w:rFonts w:hint="default"/>
          <w:color w:val="auto"/>
          <w:lang w:val="en-US" w:eastAsia="zh-CN"/>
        </w:rPr>
      </w:pPr>
      <w:r>
        <w:rPr>
          <w:rFonts w:hint="default"/>
          <w:color w:val="auto"/>
          <w:lang w:val="en-US" w:eastAsia="zh-CN"/>
        </w:rPr>
        <w:t>表3.</w:t>
      </w:r>
      <w:r>
        <w:rPr>
          <w:rFonts w:hint="eastAsia"/>
          <w:color w:val="auto"/>
          <w:lang w:val="en-US" w:eastAsia="zh-CN"/>
        </w:rPr>
        <w:t xml:space="preserve">4-9  </w:t>
      </w:r>
      <w:r>
        <w:rPr>
          <w:rFonts w:hint="default"/>
          <w:color w:val="auto"/>
          <w:lang w:val="en-US" w:eastAsia="zh-CN"/>
        </w:rPr>
        <w:t>与《新疆维吾尔自治区重点行业生态环境准入条件（2024年）》符合性</w:t>
      </w:r>
    </w:p>
    <w:tbl>
      <w:tblPr>
        <w:tblStyle w:val="36"/>
        <w:tblW w:w="5043"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4743"/>
        <w:gridCol w:w="3242"/>
        <w:gridCol w:w="737"/>
      </w:tblGrid>
      <w:tr w14:paraId="5702010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2" w:hRule="atLeast"/>
          <w:jc w:val="center"/>
        </w:trPr>
        <w:tc>
          <w:tcPr>
            <w:tcW w:w="2718" w:type="pct"/>
            <w:tcBorders>
              <w:tl2br w:val="nil"/>
              <w:tr2bl w:val="nil"/>
            </w:tcBorders>
            <w:noWrap w:val="0"/>
            <w:vAlign w:val="center"/>
          </w:tcPr>
          <w:p w14:paraId="52CB7C3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要求</w:t>
            </w:r>
          </w:p>
        </w:tc>
        <w:tc>
          <w:tcPr>
            <w:tcW w:w="1858" w:type="pct"/>
            <w:tcBorders>
              <w:tl2br w:val="nil"/>
              <w:tr2bl w:val="nil"/>
            </w:tcBorders>
            <w:noWrap w:val="0"/>
            <w:vAlign w:val="center"/>
          </w:tcPr>
          <w:p w14:paraId="410161E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项目情况</w:t>
            </w:r>
          </w:p>
        </w:tc>
        <w:tc>
          <w:tcPr>
            <w:tcW w:w="422" w:type="pct"/>
            <w:tcBorders>
              <w:tl2br w:val="nil"/>
              <w:tr2bl w:val="nil"/>
            </w:tcBorders>
            <w:noWrap w:val="0"/>
            <w:vAlign w:val="center"/>
          </w:tcPr>
          <w:p w14:paraId="3DC5958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符合性</w:t>
            </w:r>
          </w:p>
        </w:tc>
      </w:tr>
      <w:tr w14:paraId="47F12E5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307" w:hRule="atLeast"/>
          <w:jc w:val="center"/>
        </w:trPr>
        <w:tc>
          <w:tcPr>
            <w:tcW w:w="2718" w:type="pct"/>
            <w:tcBorders>
              <w:tl2br w:val="nil"/>
              <w:tr2bl w:val="nil"/>
            </w:tcBorders>
            <w:noWrap w:val="0"/>
            <w:vAlign w:val="center"/>
          </w:tcPr>
          <w:p w14:paraId="4AD9F90D">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2"/>
                <w:sz w:val="21"/>
                <w:szCs w:val="21"/>
                <w:highlight w:val="none"/>
                <w:lang w:val="en-US" w:eastAsia="zh-CN" w:bidi="ar-SA"/>
              </w:rPr>
              <w:t>禁止在自然保护区、世界自然遗产地、风景名胜区、自然公园（森林公园、地质公园、湿地公园、沙漠公园等）、重要湿地、饮用水水源保护区等依法划定禁止开发建设的环境敏感区及其它法律法规规章禁止的区域进行污染环境的任何开发活动。</w:t>
            </w:r>
          </w:p>
        </w:tc>
        <w:tc>
          <w:tcPr>
            <w:tcW w:w="1858" w:type="pct"/>
            <w:tcBorders>
              <w:tl2br w:val="nil"/>
              <w:tr2bl w:val="nil"/>
            </w:tcBorders>
            <w:noWrap w:val="0"/>
            <w:vAlign w:val="center"/>
          </w:tcPr>
          <w:p w14:paraId="44791B8B">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目区域内无水源涵养区、地下水源、饮用水源、自然保护区、风景名胜区、森林公园、重要湿地及人群密集区等生态敏感区。项目区属于塔里木河流域水土流失重点治理区，建设单位将按照水利部门管理要求办理相关手续并积极采取水土流失防治措施。</w:t>
            </w:r>
          </w:p>
        </w:tc>
        <w:tc>
          <w:tcPr>
            <w:tcW w:w="422" w:type="pct"/>
            <w:tcBorders>
              <w:tl2br w:val="nil"/>
              <w:tr2bl w:val="nil"/>
            </w:tcBorders>
            <w:noWrap w:val="0"/>
            <w:vAlign w:val="center"/>
          </w:tcPr>
          <w:p w14:paraId="75501DB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2"/>
                <w:sz w:val="21"/>
                <w:szCs w:val="21"/>
                <w:highlight w:val="none"/>
              </w:rPr>
              <w:t>符合</w:t>
            </w:r>
          </w:p>
        </w:tc>
      </w:tr>
      <w:tr w14:paraId="2853E00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307" w:hRule="atLeast"/>
          <w:jc w:val="center"/>
        </w:trPr>
        <w:tc>
          <w:tcPr>
            <w:tcW w:w="2718" w:type="pct"/>
            <w:tcBorders>
              <w:tl2br w:val="nil"/>
              <w:tr2bl w:val="nil"/>
            </w:tcBorders>
            <w:noWrap w:val="0"/>
            <w:vAlign w:val="center"/>
          </w:tcPr>
          <w:p w14:paraId="2F4344DE">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存在地下水和土壤污染途径的建设项目应采取分区防渗措施，防止地下水和土壤污染。存在环境风险的建设项目，提出有效的环境风险防范措施及环境风险应急预案编制原则和要求，纳入区域环境风险应急联动机制。</w:t>
            </w:r>
          </w:p>
        </w:tc>
        <w:tc>
          <w:tcPr>
            <w:tcW w:w="1858" w:type="pct"/>
            <w:tcBorders>
              <w:tl2br w:val="nil"/>
              <w:tr2bl w:val="nil"/>
            </w:tcBorders>
            <w:noWrap w:val="0"/>
            <w:vAlign w:val="center"/>
          </w:tcPr>
          <w:p w14:paraId="475F22C1">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工程采取了分区防渗措施，</w:t>
            </w:r>
            <w:r>
              <w:rPr>
                <w:rFonts w:hint="eastAsia" w:ascii="宋体" w:hAnsi="宋体" w:eastAsia="宋体" w:cs="宋体"/>
                <w:color w:val="auto"/>
                <w:kern w:val="2"/>
                <w:sz w:val="21"/>
                <w:szCs w:val="21"/>
                <w:highlight w:val="none"/>
                <w:lang w:val="en-US" w:eastAsia="zh-CN" w:bidi="ar-SA"/>
              </w:rPr>
              <w:t>项目投产后，由英买采油气管理区管理，区块开发突发环境应急预案纳入管辖作业区应急管理体系中。</w:t>
            </w:r>
          </w:p>
        </w:tc>
        <w:tc>
          <w:tcPr>
            <w:tcW w:w="422" w:type="pct"/>
            <w:tcBorders>
              <w:tl2br w:val="nil"/>
              <w:tr2bl w:val="nil"/>
            </w:tcBorders>
            <w:noWrap w:val="0"/>
            <w:vAlign w:val="center"/>
          </w:tcPr>
          <w:p w14:paraId="3D900D5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符合</w:t>
            </w:r>
          </w:p>
        </w:tc>
      </w:tr>
      <w:tr w14:paraId="1E590CE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307" w:hRule="atLeast"/>
          <w:jc w:val="center"/>
        </w:trPr>
        <w:tc>
          <w:tcPr>
            <w:tcW w:w="2718" w:type="pct"/>
            <w:tcBorders>
              <w:tl2br w:val="nil"/>
              <w:tr2bl w:val="nil"/>
            </w:tcBorders>
            <w:noWrap w:val="0"/>
            <w:vAlign w:val="center"/>
          </w:tcPr>
          <w:p w14:paraId="09AC9207">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石油、天然气开发项目的选址与布局应符合自治区或油气企业相关油气开发专项规划及规划环评要求，原则上应当以区块为单位开展环境影响评价工作。</w:t>
            </w:r>
          </w:p>
        </w:tc>
        <w:tc>
          <w:tcPr>
            <w:tcW w:w="1858" w:type="pct"/>
            <w:tcBorders>
              <w:tl2br w:val="nil"/>
              <w:tr2bl w:val="nil"/>
            </w:tcBorders>
            <w:noWrap w:val="0"/>
            <w:vAlign w:val="center"/>
          </w:tcPr>
          <w:p w14:paraId="567605A8">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本工程以雄英1区块为单位开展环评，为新区块的开发</w:t>
            </w:r>
            <w:r>
              <w:rPr>
                <w:rFonts w:hint="eastAsia" w:ascii="宋体" w:hAnsi="宋体" w:cs="宋体"/>
                <w:color w:val="auto"/>
                <w:kern w:val="2"/>
                <w:sz w:val="21"/>
                <w:szCs w:val="21"/>
                <w:highlight w:val="none"/>
                <w:lang w:val="en-US" w:eastAsia="zh-CN" w:bidi="ar-SA"/>
              </w:rPr>
              <w:t>。</w:t>
            </w:r>
          </w:p>
        </w:tc>
        <w:tc>
          <w:tcPr>
            <w:tcW w:w="422" w:type="pct"/>
            <w:tcBorders>
              <w:tl2br w:val="nil"/>
              <w:tr2bl w:val="nil"/>
            </w:tcBorders>
            <w:noWrap w:val="0"/>
            <w:vAlign w:val="center"/>
          </w:tcPr>
          <w:p w14:paraId="206E060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符合</w:t>
            </w:r>
          </w:p>
        </w:tc>
      </w:tr>
      <w:tr w14:paraId="3C9727F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307" w:hRule="atLeast"/>
          <w:jc w:val="center"/>
        </w:trPr>
        <w:tc>
          <w:tcPr>
            <w:tcW w:w="2718" w:type="pct"/>
            <w:tcBorders>
              <w:tl2br w:val="nil"/>
              <w:tr2bl w:val="nil"/>
            </w:tcBorders>
            <w:noWrap w:val="0"/>
            <w:vAlign w:val="center"/>
          </w:tcPr>
          <w:p w14:paraId="7AFCE26F">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施工期应当尽量减少施工占地、严格控制施工作业面积、缩短施工时间、选择合理施工方式、落实环境敏感区管控要求以及其他生态环境保护措施，有效降低生态环境影响。</w:t>
            </w:r>
          </w:p>
        </w:tc>
        <w:tc>
          <w:tcPr>
            <w:tcW w:w="1858" w:type="pct"/>
            <w:tcBorders>
              <w:tl2br w:val="nil"/>
              <w:tr2bl w:val="nil"/>
            </w:tcBorders>
            <w:noWrap w:val="0"/>
            <w:vAlign w:val="center"/>
          </w:tcPr>
          <w:p w14:paraId="6CAA4764">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工程在报告中已提出施工过程中严格控制作业带，减少施工占地的措施，要求施工结束后及时进行恢复清理，落实报告中提出的生态保护措施，避免对区域生态环境造成影响。</w:t>
            </w:r>
          </w:p>
        </w:tc>
        <w:tc>
          <w:tcPr>
            <w:tcW w:w="422" w:type="pct"/>
            <w:tcBorders>
              <w:tl2br w:val="nil"/>
              <w:tr2bl w:val="nil"/>
            </w:tcBorders>
            <w:noWrap w:val="0"/>
            <w:vAlign w:val="center"/>
          </w:tcPr>
          <w:p w14:paraId="704F1DE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符合</w:t>
            </w:r>
          </w:p>
        </w:tc>
      </w:tr>
      <w:tr w14:paraId="0546D4F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307" w:hRule="atLeast"/>
          <w:jc w:val="center"/>
        </w:trPr>
        <w:tc>
          <w:tcPr>
            <w:tcW w:w="2718" w:type="pct"/>
            <w:tcBorders>
              <w:tl2br w:val="nil"/>
              <w:tr2bl w:val="nil"/>
            </w:tcBorders>
            <w:noWrap w:val="0"/>
            <w:vAlign w:val="center"/>
          </w:tcPr>
          <w:p w14:paraId="06CAFC89">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陆地油气开发项目应当对挥发性有机物液体储存和装载损失、废水集输和处理系统、设备与管线组件泄漏、非正常工况等挥发性有机物无组织排放源进行有效管控，通过采取设备密闭、废气有效收集及配套高效末端处理设施等措施，有效控制挥发性有机物和恶臭气体无组织排放，油气集输损耗率不得高于0.5%；工艺过程控制措施、废气收集处理措施以及站场边界非甲烷总烃排放浓度应满足《陆上石油天然气开采工业大气污染物排放标准》（GB39728）要求。涉及高含硫天然气开采的，应当强化钻井、输送、净化等环节环境风险防范措施。高含硫气田回注采出水，应当采取有效措施减少废水处理站和回注井场硫化氢的无组织排放。高含硫天然气净化厂应采用先进高效的硫磺回收工艺，减少二氧化硫排放。</w:t>
            </w:r>
          </w:p>
        </w:tc>
        <w:tc>
          <w:tcPr>
            <w:tcW w:w="1858" w:type="pct"/>
            <w:tcBorders>
              <w:tl2br w:val="nil"/>
              <w:tr2bl w:val="nil"/>
            </w:tcBorders>
            <w:noWrap w:val="0"/>
            <w:vAlign w:val="center"/>
          </w:tcPr>
          <w:p w14:paraId="7B012784">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本项目为试采工程，天然气采用密闭流程，原油采用装车拉运，装车过程采用气相平衡，可减少烃类气体排放，减少对大气的污染。本项目采出气为天然气为低含氮气、高含硫化氢、中含二氧化碳的湿气，</w:t>
            </w:r>
            <w:r>
              <w:rPr>
                <w:rFonts w:hint="eastAsia" w:ascii="宋体" w:hAnsi="宋体" w:cs="宋体"/>
                <w:color w:val="auto"/>
                <w:kern w:val="2"/>
                <w:sz w:val="21"/>
                <w:szCs w:val="21"/>
                <w:highlight w:val="none"/>
                <w:lang w:val="en-US" w:eastAsia="zh-CN" w:bidi="ar-SA"/>
              </w:rPr>
              <w:t>扩建雄探1试采点</w:t>
            </w:r>
            <w:r>
              <w:rPr>
                <w:rFonts w:hint="eastAsia" w:ascii="宋体" w:hAnsi="宋体" w:eastAsia="宋体" w:cs="宋体"/>
                <w:color w:val="auto"/>
                <w:kern w:val="2"/>
                <w:sz w:val="21"/>
                <w:szCs w:val="21"/>
                <w:highlight w:val="none"/>
                <w:lang w:val="en-US" w:eastAsia="zh-CN" w:bidi="ar-SA"/>
              </w:rPr>
              <w:t>对天然气进行脱硫处理。</w:t>
            </w:r>
          </w:p>
        </w:tc>
        <w:tc>
          <w:tcPr>
            <w:tcW w:w="422" w:type="pct"/>
            <w:tcBorders>
              <w:tl2br w:val="nil"/>
              <w:tr2bl w:val="nil"/>
            </w:tcBorders>
            <w:noWrap w:val="0"/>
            <w:vAlign w:val="center"/>
          </w:tcPr>
          <w:p w14:paraId="688F321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符合</w:t>
            </w:r>
          </w:p>
        </w:tc>
      </w:tr>
      <w:tr w14:paraId="71990CA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307" w:hRule="atLeast"/>
          <w:jc w:val="center"/>
        </w:trPr>
        <w:tc>
          <w:tcPr>
            <w:tcW w:w="2718" w:type="pct"/>
            <w:tcBorders>
              <w:tl2br w:val="nil"/>
              <w:tr2bl w:val="nil"/>
            </w:tcBorders>
            <w:noWrap w:val="0"/>
            <w:vAlign w:val="center"/>
          </w:tcPr>
          <w:p w14:paraId="475FE13C">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油气开发产生的伴生气应优先回收利用，减少温室气体排放，开发区块伴生气整体回收利用率应达到80%以上；边远井、零散井等产生的伴生气不能回收或难以回收的，应经燃烧后放空。鼓励油气企业将碳捕集、利用与封存（CCUS）技术用于油气开采，提高采收率、减少温室气体排放。</w:t>
            </w:r>
          </w:p>
        </w:tc>
        <w:tc>
          <w:tcPr>
            <w:tcW w:w="1858" w:type="pct"/>
            <w:tcBorders>
              <w:tl2br w:val="nil"/>
              <w:tr2bl w:val="nil"/>
            </w:tcBorders>
            <w:noWrap w:val="0"/>
            <w:vAlign w:val="center"/>
          </w:tcPr>
          <w:p w14:paraId="5FA01261">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运营期</w:t>
            </w:r>
            <w:r>
              <w:rPr>
                <w:rFonts w:hint="eastAsia" w:ascii="宋体" w:hAnsi="宋体" w:eastAsia="宋体" w:cs="宋体"/>
                <w:color w:val="auto"/>
                <w:kern w:val="2"/>
                <w:sz w:val="21"/>
                <w:szCs w:val="21"/>
                <w:highlight w:val="none"/>
                <w:lang w:val="en-US" w:eastAsia="zh-CN" w:bidi="ar-SA"/>
              </w:rPr>
              <w:t>加强对密闭管线及密封点的巡检，一旦发生泄漏立即切断控制阀，并</w:t>
            </w:r>
            <w:r>
              <w:rPr>
                <w:rFonts w:hint="eastAsia" w:ascii="宋体" w:hAnsi="宋体" w:cs="宋体"/>
                <w:color w:val="auto"/>
                <w:kern w:val="2"/>
                <w:sz w:val="21"/>
                <w:szCs w:val="21"/>
                <w:highlight w:val="none"/>
                <w:lang w:val="en-US" w:eastAsia="zh-CN" w:bidi="ar-SA"/>
              </w:rPr>
              <w:t>尽快</w:t>
            </w:r>
            <w:r>
              <w:rPr>
                <w:rFonts w:hint="eastAsia" w:ascii="宋体" w:hAnsi="宋体" w:eastAsia="宋体" w:cs="宋体"/>
                <w:color w:val="auto"/>
                <w:kern w:val="2"/>
                <w:sz w:val="21"/>
                <w:szCs w:val="21"/>
                <w:highlight w:val="none"/>
                <w:lang w:val="en-US" w:eastAsia="zh-CN" w:bidi="ar-SA"/>
              </w:rPr>
              <w:t>完成修复；加强油井生产管理，减少温室气体的跑、冒，做好油井的压力监测，并准备应急措施，从而减少温室气体排放</w:t>
            </w:r>
          </w:p>
        </w:tc>
        <w:tc>
          <w:tcPr>
            <w:tcW w:w="422" w:type="pct"/>
            <w:tcBorders>
              <w:tl2br w:val="nil"/>
              <w:tr2bl w:val="nil"/>
            </w:tcBorders>
            <w:noWrap w:val="0"/>
            <w:vAlign w:val="center"/>
          </w:tcPr>
          <w:p w14:paraId="1F5CA11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符合</w:t>
            </w:r>
          </w:p>
        </w:tc>
      </w:tr>
      <w:bookmarkEnd w:id="513"/>
      <w:bookmarkEnd w:id="514"/>
      <w:bookmarkEnd w:id="515"/>
      <w:bookmarkEnd w:id="516"/>
      <w:bookmarkEnd w:id="517"/>
      <w:bookmarkEnd w:id="518"/>
      <w:bookmarkEnd w:id="519"/>
      <w:bookmarkEnd w:id="520"/>
    </w:tbl>
    <w:p w14:paraId="0B8C8E12">
      <w:pPr>
        <w:pStyle w:val="55"/>
        <w:bidi w:val="0"/>
        <w:rPr>
          <w:rFonts w:hint="default"/>
          <w:color w:val="auto"/>
        </w:rPr>
      </w:pPr>
      <w:r>
        <w:rPr>
          <w:rFonts w:hint="default"/>
          <w:color w:val="auto"/>
        </w:rPr>
        <w:t>3.</w:t>
      </w:r>
      <w:r>
        <w:rPr>
          <w:rFonts w:hint="eastAsia"/>
          <w:color w:val="auto"/>
          <w:lang w:val="en-US" w:eastAsia="zh-CN"/>
        </w:rPr>
        <w:t xml:space="preserve">4.2.11 </w:t>
      </w:r>
      <w:r>
        <w:rPr>
          <w:rFonts w:hint="default"/>
          <w:color w:val="auto"/>
        </w:rPr>
        <w:t>与《全国矿产资源规划》符合性分析</w:t>
      </w:r>
    </w:p>
    <w:p w14:paraId="2481D27D">
      <w:pPr>
        <w:pStyle w:val="79"/>
        <w:bidi w:val="0"/>
        <w:rPr>
          <w:rFonts w:hint="default"/>
          <w:color w:val="auto"/>
          <w:lang w:val="en-US" w:eastAsia="zh-CN"/>
        </w:rPr>
      </w:pPr>
      <w:r>
        <w:rPr>
          <w:rFonts w:hint="default"/>
          <w:color w:val="auto"/>
          <w:lang w:val="en-US" w:eastAsia="zh-CN"/>
        </w:rPr>
        <w:t>《全国矿产资源规划》第四章第二节指出，“强化东部老油区挖潜，加大中西部油气开发力度，加快海域石油增储上产，力争石油年产量保持在2亿吨左右。东部地区以松辽盆地、渤海湾盆地为重点，加强精细勘探开发，积极发展先进采油技术，增储挖潜，努力减缓老油田产量递减。西部以塔里木、鄂尔多斯、准噶尔等盆地为重点，探明优质资源储量，实现增储稳产、力争上产。做强渤海、拓展南海、加快东海、探索黄海及其他海域，加快海洋石油勘探开发，保持老油田持续稳产，加快新区产能建设，大力提升海域石油产量。”本工程属于</w:t>
      </w:r>
      <w:r>
        <w:rPr>
          <w:rFonts w:hint="eastAsia"/>
          <w:color w:val="auto"/>
          <w:lang w:val="en-US" w:eastAsia="zh-CN"/>
        </w:rPr>
        <w:t>塔里木区域</w:t>
      </w:r>
      <w:r>
        <w:rPr>
          <w:rFonts w:hint="default"/>
          <w:color w:val="auto"/>
          <w:lang w:val="en-US" w:eastAsia="zh-CN"/>
        </w:rPr>
        <w:t>的油气开采项目，符合《全国矿产资源规划》要求。</w:t>
      </w:r>
    </w:p>
    <w:p w14:paraId="012A2B34">
      <w:pPr>
        <w:pStyle w:val="55"/>
        <w:bidi w:val="0"/>
        <w:rPr>
          <w:rFonts w:hint="default"/>
          <w:color w:val="auto"/>
        </w:rPr>
      </w:pPr>
      <w:r>
        <w:rPr>
          <w:rFonts w:hint="default"/>
          <w:color w:val="auto"/>
        </w:rPr>
        <w:t>3.</w:t>
      </w:r>
      <w:r>
        <w:rPr>
          <w:rFonts w:hint="eastAsia"/>
          <w:color w:val="auto"/>
          <w:lang w:val="en-US" w:eastAsia="zh-CN"/>
        </w:rPr>
        <w:t xml:space="preserve">4.2.12 </w:t>
      </w:r>
      <w:r>
        <w:rPr>
          <w:rFonts w:hint="default"/>
          <w:color w:val="auto"/>
        </w:rPr>
        <w:t>与《新疆维吾尔自治区国民经济和社会发展第十四个五年规划和2035年远景目标纲要》符合性分析</w:t>
      </w:r>
    </w:p>
    <w:p w14:paraId="194BB03B">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cs="Times New Roman"/>
          <w:color w:val="auto"/>
          <w:kern w:val="24"/>
          <w:sz w:val="24"/>
          <w:szCs w:val="22"/>
          <w:highlight w:val="none"/>
        </w:rPr>
      </w:pPr>
      <w:r>
        <w:rPr>
          <w:rFonts w:hint="default" w:ascii="Times New Roman" w:hAnsi="Times New Roman" w:cs="Times New Roman"/>
          <w:color w:val="auto"/>
          <w:kern w:val="24"/>
          <w:sz w:val="24"/>
          <w:szCs w:val="22"/>
          <w:highlight w:val="none"/>
        </w:rPr>
        <w:t>《新疆维吾尔自治区国民经济和社会发展第十四个五年规划和2035年远景目标纲要》提出，坚持</w:t>
      </w:r>
      <w:r>
        <w:rPr>
          <w:rFonts w:hint="eastAsia" w:cs="Times New Roman"/>
          <w:color w:val="auto"/>
          <w:kern w:val="24"/>
          <w:sz w:val="24"/>
          <w:szCs w:val="22"/>
          <w:highlight w:val="none"/>
          <w:lang w:eastAsia="zh-CN"/>
        </w:rPr>
        <w:t>把发展经济的着力点放在实体经济</w:t>
      </w:r>
      <w:r>
        <w:rPr>
          <w:rFonts w:hint="default" w:ascii="Times New Roman" w:hAnsi="Times New Roman" w:cs="Times New Roman"/>
          <w:color w:val="auto"/>
          <w:kern w:val="24"/>
          <w:sz w:val="24"/>
          <w:szCs w:val="22"/>
          <w:highlight w:val="none"/>
        </w:rPr>
        <w:t>上，深化工业供给侧结构性改革，推动工业强基增效和转型升级，全面提升新型工业化发展水平。建设国家大型油气生产加工和储备基地。加</w:t>
      </w:r>
      <w:r>
        <w:rPr>
          <w:rFonts w:hint="default" w:ascii="Times New Roman" w:hAnsi="Times New Roman" w:cs="Times New Roman"/>
          <w:b w:val="0"/>
          <w:bCs w:val="0"/>
          <w:color w:val="auto"/>
          <w:kern w:val="24"/>
          <w:sz w:val="24"/>
          <w:szCs w:val="22"/>
          <w:highlight w:val="none"/>
        </w:rPr>
        <w:t>大准噶尔</w:t>
      </w:r>
      <w:r>
        <w:rPr>
          <w:rFonts w:hint="default" w:ascii="Times New Roman" w:hAnsi="Times New Roman" w:cs="Times New Roman"/>
          <w:color w:val="auto"/>
          <w:kern w:val="24"/>
          <w:sz w:val="24"/>
          <w:szCs w:val="22"/>
          <w:highlight w:val="none"/>
        </w:rPr>
        <w:t>、吐哈、</w:t>
      </w:r>
      <w:r>
        <w:rPr>
          <w:rFonts w:hint="default" w:ascii="Times New Roman" w:hAnsi="Times New Roman" w:cs="Times New Roman"/>
          <w:b/>
          <w:bCs w:val="0"/>
          <w:color w:val="auto"/>
          <w:kern w:val="24"/>
          <w:sz w:val="24"/>
          <w:szCs w:val="22"/>
          <w:highlight w:val="none"/>
        </w:rPr>
        <w:t>塔里木</w:t>
      </w:r>
      <w:r>
        <w:rPr>
          <w:rFonts w:hint="default" w:ascii="Times New Roman" w:hAnsi="Times New Roman" w:cs="Times New Roman"/>
          <w:color w:val="auto"/>
          <w:kern w:val="24"/>
          <w:sz w:val="24"/>
          <w:szCs w:val="22"/>
          <w:highlight w:val="none"/>
        </w:rPr>
        <w:t>三大盆地油气勘探开发力度，提高新疆在油气资源开发利用转化过程中的参与度。加快中石油玛湖、吉木萨尔、准噶尔盆地南缘以及中石化顺北等大型</w:t>
      </w:r>
      <w:r>
        <w:rPr>
          <w:rFonts w:hint="eastAsia" w:ascii="Times New Roman" w:hAnsi="Times New Roman" w:cs="Times New Roman"/>
          <w:color w:val="auto"/>
          <w:kern w:val="24"/>
          <w:sz w:val="24"/>
          <w:szCs w:val="22"/>
          <w:highlight w:val="none"/>
          <w:lang w:eastAsia="zh-CN"/>
        </w:rPr>
        <w:t>油田</w:t>
      </w:r>
      <w:r>
        <w:rPr>
          <w:rFonts w:hint="default" w:ascii="Times New Roman" w:hAnsi="Times New Roman" w:cs="Times New Roman"/>
          <w:color w:val="auto"/>
          <w:kern w:val="24"/>
          <w:sz w:val="24"/>
          <w:szCs w:val="22"/>
          <w:highlight w:val="none"/>
        </w:rPr>
        <w:t>建设，促进油气增储上产。加强成品油储备，提升油气供应保障能力。</w:t>
      </w:r>
    </w:p>
    <w:p w14:paraId="793D3D7F">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cs="Times New Roman"/>
          <w:color w:val="auto"/>
          <w:kern w:val="24"/>
          <w:sz w:val="24"/>
          <w:szCs w:val="22"/>
          <w:highlight w:val="none"/>
        </w:rPr>
      </w:pPr>
      <w:r>
        <w:rPr>
          <w:rFonts w:hint="default" w:ascii="Times New Roman" w:hAnsi="Times New Roman" w:cs="Times New Roman"/>
          <w:color w:val="auto"/>
          <w:kern w:val="24"/>
          <w:sz w:val="24"/>
          <w:szCs w:val="22"/>
          <w:highlight w:val="none"/>
          <w:lang w:eastAsia="zh-CN"/>
        </w:rPr>
        <w:t>本工程</w:t>
      </w:r>
      <w:r>
        <w:rPr>
          <w:rFonts w:hint="default" w:ascii="Times New Roman" w:hAnsi="Times New Roman" w:cs="Times New Roman"/>
          <w:color w:val="auto"/>
          <w:kern w:val="24"/>
          <w:sz w:val="24"/>
          <w:szCs w:val="22"/>
          <w:highlight w:val="none"/>
        </w:rPr>
        <w:t>位于</w:t>
      </w:r>
      <w:r>
        <w:rPr>
          <w:rFonts w:hint="default" w:ascii="Times New Roman" w:hAnsi="Times New Roman" w:cs="Times New Roman"/>
          <w:b/>
          <w:color w:val="auto"/>
          <w:kern w:val="24"/>
          <w:sz w:val="24"/>
          <w:szCs w:val="22"/>
          <w:highlight w:val="none"/>
        </w:rPr>
        <w:t>塔里木盆地油气基地</w:t>
      </w:r>
      <w:r>
        <w:rPr>
          <w:rFonts w:hint="default" w:ascii="Times New Roman" w:hAnsi="Times New Roman" w:cs="Times New Roman"/>
          <w:color w:val="auto"/>
          <w:kern w:val="24"/>
          <w:sz w:val="24"/>
          <w:szCs w:val="22"/>
          <w:highlight w:val="none"/>
        </w:rPr>
        <w:t>，符合《自治区国民经济和社会发展第十四个五年规划纲要》的要求。</w:t>
      </w:r>
    </w:p>
    <w:p w14:paraId="19488DF6">
      <w:pPr>
        <w:pStyle w:val="55"/>
        <w:bidi w:val="0"/>
        <w:rPr>
          <w:rFonts w:hint="default"/>
          <w:color w:val="auto"/>
        </w:rPr>
      </w:pPr>
      <w:r>
        <w:rPr>
          <w:rFonts w:hint="default"/>
          <w:color w:val="auto"/>
        </w:rPr>
        <w:t>3.</w:t>
      </w:r>
      <w:r>
        <w:rPr>
          <w:rFonts w:hint="eastAsia"/>
          <w:color w:val="auto"/>
          <w:lang w:val="en-US" w:eastAsia="zh-CN"/>
        </w:rPr>
        <w:t xml:space="preserve">4.2.13 </w:t>
      </w:r>
      <w:r>
        <w:rPr>
          <w:rFonts w:hint="default"/>
          <w:color w:val="auto"/>
        </w:rPr>
        <w:t>与《新疆维吾尔自治区主体功能区规划》符合性分析</w:t>
      </w:r>
    </w:p>
    <w:p w14:paraId="7B10220C">
      <w:pPr>
        <w:pStyle w:val="79"/>
        <w:bidi w:val="0"/>
        <w:rPr>
          <w:rFonts w:hint="default"/>
          <w:color w:val="auto"/>
        </w:rPr>
      </w:pPr>
      <w:r>
        <w:rPr>
          <w:rFonts w:hint="default"/>
          <w:color w:val="auto"/>
        </w:rPr>
        <w:t>《新疆维吾尔自治区主体功能区规划》以《全国主体功能区规划》为依据，结合新疆实际编制的第一个国土空间开发规划，是战略性、基础性、约束性的规划。该规划将新疆国土空间分为重点开发区域、限制开发区域和禁止开发区域三类主体功能区，按层级分为国家和省级两个层面。重点开发区域是指有一定经济基础，资源环境承载能力较强，发展潜力较大，集聚人口和经济条件较好，从而应该重点进行工业化城镇化开发的城市化地区，主要包括天山南北坡城市或城区以及县市城关镇或重要工业园区，共涉及59个县市。限制开发区域是指关系国家农产品供给安全和生态安全，不应该或不适宜进行大规模、高强度工业化城镇化开发的农产品主产区和重点生态功能区。其中农产品主产区分布在天山南北坡23个县市，重点生态功能区涉及53个县市。禁止开发区域是指依法设立的各级各类自然文化资源保护区域，以及其他禁止进行工业化城镇化开发、需要特殊保护的重点生态功能区，国家和自治区层面禁止开发区域共107处。</w:t>
      </w:r>
    </w:p>
    <w:p w14:paraId="3239FE8E">
      <w:pPr>
        <w:pStyle w:val="79"/>
        <w:bidi w:val="0"/>
        <w:rPr>
          <w:rFonts w:hint="default"/>
          <w:color w:val="auto"/>
        </w:rPr>
      </w:pPr>
      <w:r>
        <w:rPr>
          <w:rFonts w:hint="default"/>
          <w:color w:val="auto"/>
        </w:rPr>
        <w:t>本项目属于油气开采项目，行政区隶属阿克苏地区</w:t>
      </w:r>
      <w:r>
        <w:rPr>
          <w:rFonts w:hint="eastAsia"/>
          <w:color w:val="auto"/>
          <w:lang w:val="en-US" w:eastAsia="zh-CN"/>
        </w:rPr>
        <w:t>温宿</w:t>
      </w:r>
      <w:r>
        <w:rPr>
          <w:rFonts w:hint="default"/>
          <w:color w:val="auto"/>
        </w:rPr>
        <w:t>县管辖，</w:t>
      </w:r>
      <w:r>
        <w:rPr>
          <w:rFonts w:hint="default"/>
          <w:color w:val="auto"/>
          <w:lang w:val="zh-CN"/>
        </w:rPr>
        <w:t>不属于主体功能区规划中确定的国家和自治区层面的禁止开发区域，所进行的石油天然气勘探活动符合“全国重要的能源基地”定位。</w:t>
      </w:r>
      <w:r>
        <w:rPr>
          <w:rFonts w:hint="default"/>
          <w:color w:val="auto"/>
        </w:rPr>
        <w:t>属于重点开发区域，本项目建设符合《新疆维吾尔自治区主体功能区规划》。</w:t>
      </w:r>
    </w:p>
    <w:p w14:paraId="1B0B8B02">
      <w:pPr>
        <w:pStyle w:val="55"/>
        <w:bidi w:val="0"/>
        <w:rPr>
          <w:rFonts w:hint="default"/>
          <w:color w:val="auto"/>
        </w:rPr>
      </w:pPr>
      <w:r>
        <w:rPr>
          <w:rFonts w:hint="default"/>
          <w:color w:val="auto"/>
        </w:rPr>
        <w:t>3.</w:t>
      </w:r>
      <w:r>
        <w:rPr>
          <w:rFonts w:hint="eastAsia"/>
          <w:color w:val="auto"/>
          <w:lang w:val="en-US" w:eastAsia="zh-CN"/>
        </w:rPr>
        <w:t xml:space="preserve">4.2.14 </w:t>
      </w:r>
      <w:r>
        <w:rPr>
          <w:rFonts w:hint="default"/>
          <w:color w:val="auto"/>
        </w:rPr>
        <w:t>与《新疆生态环境保护“十四五”规划》符合性分析</w:t>
      </w:r>
    </w:p>
    <w:p w14:paraId="37FB9DE2">
      <w:pPr>
        <w:pStyle w:val="79"/>
        <w:bidi w:val="0"/>
        <w:rPr>
          <w:rFonts w:hint="default"/>
          <w:color w:val="auto"/>
          <w:lang w:val="en-US" w:eastAsia="zh-CN"/>
        </w:rPr>
      </w:pPr>
      <w:r>
        <w:rPr>
          <w:rFonts w:hint="default"/>
          <w:color w:val="auto"/>
          <w:lang w:eastAsia="zh-CN"/>
        </w:rPr>
        <w:t>本工程</w:t>
      </w:r>
      <w:r>
        <w:rPr>
          <w:rFonts w:hint="default"/>
          <w:color w:val="auto"/>
        </w:rPr>
        <w:t>运营期采取的各项环保措施与《新疆生态环境保护“十四五”规划》中要求的相符性分析详见表3.</w:t>
      </w:r>
      <w:r>
        <w:rPr>
          <w:rFonts w:hint="eastAsia"/>
          <w:color w:val="auto"/>
          <w:lang w:val="en-US" w:eastAsia="zh-CN"/>
        </w:rPr>
        <w:t>4-10</w:t>
      </w:r>
      <w:r>
        <w:rPr>
          <w:rFonts w:hint="default"/>
          <w:color w:val="auto"/>
        </w:rPr>
        <w:t>。</w:t>
      </w:r>
    </w:p>
    <w:p w14:paraId="04FAD483">
      <w:pPr>
        <w:pStyle w:val="61"/>
        <w:bidi w:val="0"/>
        <w:jc w:val="both"/>
        <w:rPr>
          <w:rFonts w:hint="default"/>
          <w:color w:val="auto"/>
          <w:lang w:val="en-US" w:eastAsia="zh-CN"/>
        </w:rPr>
      </w:pPr>
      <w:r>
        <w:rPr>
          <w:rFonts w:hint="default"/>
          <w:color w:val="auto"/>
          <w:lang w:val="en-US" w:eastAsia="zh-CN"/>
        </w:rPr>
        <w:t>表3.</w:t>
      </w:r>
      <w:r>
        <w:rPr>
          <w:rFonts w:hint="eastAsia"/>
          <w:color w:val="auto"/>
          <w:lang w:val="en-US" w:eastAsia="zh-CN"/>
        </w:rPr>
        <w:t xml:space="preserve">4-10  </w:t>
      </w:r>
      <w:r>
        <w:rPr>
          <w:rFonts w:hint="default"/>
          <w:color w:val="auto"/>
          <w:lang w:val="en-US" w:eastAsia="zh-CN"/>
        </w:rPr>
        <w:t>与《新疆生态环境保护“十四五”规划》符合性分析</w:t>
      </w:r>
    </w:p>
    <w:tbl>
      <w:tblPr>
        <w:tblStyle w:val="36"/>
        <w:tblW w:w="495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772"/>
        <w:gridCol w:w="3245"/>
        <w:gridCol w:w="743"/>
      </w:tblGrid>
      <w:tr w14:paraId="6972CC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2723" w:type="pct"/>
            <w:tcBorders>
              <w:tl2br w:val="nil"/>
              <w:tr2bl w:val="nil"/>
            </w:tcBorders>
            <w:noWrap w:val="0"/>
            <w:vAlign w:val="center"/>
          </w:tcPr>
          <w:p w14:paraId="09BD162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规划要求</w:t>
            </w:r>
          </w:p>
        </w:tc>
        <w:tc>
          <w:tcPr>
            <w:tcW w:w="1852" w:type="pct"/>
            <w:tcBorders>
              <w:tl2br w:val="nil"/>
              <w:tr2bl w:val="nil"/>
            </w:tcBorders>
            <w:noWrap w:val="0"/>
            <w:vAlign w:val="center"/>
          </w:tcPr>
          <w:p w14:paraId="62D23A4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本工程</w:t>
            </w:r>
          </w:p>
        </w:tc>
        <w:tc>
          <w:tcPr>
            <w:tcW w:w="424" w:type="pct"/>
            <w:tcBorders>
              <w:tl2br w:val="nil"/>
              <w:tr2bl w:val="nil"/>
            </w:tcBorders>
            <w:noWrap w:val="0"/>
            <w:vAlign w:val="center"/>
          </w:tcPr>
          <w:p w14:paraId="31CE10D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pacing w:val="-20"/>
                <w:kern w:val="2"/>
                <w:sz w:val="21"/>
                <w:szCs w:val="21"/>
                <w:highlight w:val="none"/>
              </w:rPr>
              <w:t>符合性</w:t>
            </w:r>
          </w:p>
        </w:tc>
      </w:tr>
      <w:tr w14:paraId="758C0A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2723" w:type="pct"/>
            <w:tcBorders>
              <w:tl2br w:val="nil"/>
              <w:tr2bl w:val="nil"/>
            </w:tcBorders>
            <w:noWrap w:val="0"/>
            <w:vAlign w:val="center"/>
          </w:tcPr>
          <w:p w14:paraId="4F53B6D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加强重点行业VOCs治理。实施VOCs排放总量控制，重点推进石油天然气开采、石化、化工、包装印刷、工业涂装、油品储运销等重点行业排放源以及机动车等移动源VOCs污染防治，加强重点行业、重点企业的精细化管控；全面推进使用低VOCs含量涂料、油墨、胶粘剂、清洗剂等；加强汽修行业VOCs综合治理，加大餐饮油烟污染治理力度，持续削减VOCs排放量</w:t>
            </w:r>
          </w:p>
        </w:tc>
        <w:tc>
          <w:tcPr>
            <w:tcW w:w="1852" w:type="pct"/>
            <w:tcBorders>
              <w:tl2br w:val="nil"/>
              <w:tr2bl w:val="nil"/>
            </w:tcBorders>
            <w:noWrap w:val="0"/>
            <w:vAlign w:val="center"/>
          </w:tcPr>
          <w:p w14:paraId="65FF7F4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本工程</w:t>
            </w:r>
            <w:r>
              <w:rPr>
                <w:rFonts w:hint="default" w:ascii="Times New Roman" w:hAnsi="Times New Roman" w:eastAsia="宋体" w:cs="Times New Roman"/>
                <w:color w:val="auto"/>
                <w:kern w:val="2"/>
                <w:sz w:val="21"/>
                <w:szCs w:val="21"/>
                <w:highlight w:val="none"/>
              </w:rPr>
              <w:t>无组织废气排放涉及VOC</w:t>
            </w:r>
            <w:r>
              <w:rPr>
                <w:rFonts w:hint="default" w:ascii="Times New Roman" w:hAnsi="Times New Roman" w:eastAsia="宋体" w:cs="Times New Roman"/>
                <w:color w:val="auto"/>
                <w:kern w:val="2"/>
                <w:sz w:val="21"/>
                <w:szCs w:val="21"/>
                <w:highlight w:val="none"/>
                <w:vertAlign w:val="subscript"/>
              </w:rPr>
              <w:t>S</w:t>
            </w:r>
            <w:r>
              <w:rPr>
                <w:rFonts w:hint="default" w:ascii="Times New Roman" w:hAnsi="Times New Roman" w:eastAsia="宋体" w:cs="Times New Roman"/>
                <w:color w:val="auto"/>
                <w:kern w:val="2"/>
                <w:sz w:val="21"/>
                <w:szCs w:val="21"/>
                <w:highlight w:val="none"/>
              </w:rPr>
              <w:t>排放，报告中已针对无组织排放提出相应措施</w:t>
            </w:r>
            <w:r>
              <w:rPr>
                <w:rFonts w:hint="default" w:ascii="Times New Roman" w:hAnsi="Times New Roman" w:eastAsia="宋体" w:cs="Times New Roman"/>
                <w:color w:val="auto"/>
                <w:kern w:val="2"/>
                <w:sz w:val="21"/>
                <w:szCs w:val="21"/>
                <w:highlight w:val="none"/>
                <w:lang w:eastAsia="zh-CN"/>
              </w:rPr>
              <w:t>。</w:t>
            </w:r>
          </w:p>
        </w:tc>
        <w:tc>
          <w:tcPr>
            <w:tcW w:w="424" w:type="pct"/>
            <w:tcBorders>
              <w:tl2br w:val="nil"/>
              <w:tr2bl w:val="nil"/>
            </w:tcBorders>
            <w:noWrap w:val="0"/>
            <w:vAlign w:val="center"/>
          </w:tcPr>
          <w:p w14:paraId="55F2D3D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符合</w:t>
            </w:r>
          </w:p>
          <w:p w14:paraId="7C1566E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2"/>
                <w:sz w:val="21"/>
                <w:szCs w:val="21"/>
                <w:highlight w:val="none"/>
              </w:rPr>
            </w:pPr>
          </w:p>
        </w:tc>
      </w:tr>
      <w:tr w14:paraId="1108DA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2723" w:type="pct"/>
            <w:tcBorders>
              <w:tl2br w:val="nil"/>
              <w:tr2bl w:val="nil"/>
            </w:tcBorders>
            <w:noWrap w:val="0"/>
            <w:vAlign w:val="center"/>
          </w:tcPr>
          <w:p w14:paraId="3C4F4DB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有序实施建设用地风险管控和治理修复。推动全疆重点行业企业用地土壤污染状况调查成果应用，提升土壤环境监管能力。严格落实建设用地土壤污染风险管控和修复名录制度。以用途变更为住宅、公共管理与公共服务用地的地块为重点，严格建设用地准入管理和风险管控。严控土壤重金属污染，加强油（气）田开发土壤污染防治，以历史遗留工业企业污染场地为重点，开展风险管控与修复工程。推广绿色修复理念，强化修复过程二次污染防控。</w:t>
            </w:r>
          </w:p>
        </w:tc>
        <w:tc>
          <w:tcPr>
            <w:tcW w:w="1852" w:type="pct"/>
            <w:tcBorders>
              <w:tl2br w:val="nil"/>
              <w:tr2bl w:val="nil"/>
            </w:tcBorders>
            <w:noWrap w:val="0"/>
            <w:vAlign w:val="center"/>
          </w:tcPr>
          <w:p w14:paraId="01612FA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eastAsia="zh-CN"/>
              </w:rPr>
              <w:t>本工程</w:t>
            </w:r>
            <w:r>
              <w:rPr>
                <w:rFonts w:hint="default" w:ascii="Times New Roman" w:hAnsi="Times New Roman" w:eastAsia="宋体" w:cs="Times New Roman"/>
                <w:color w:val="auto"/>
                <w:kern w:val="2"/>
                <w:sz w:val="21"/>
                <w:szCs w:val="21"/>
                <w:highlight w:val="none"/>
              </w:rPr>
              <w:t>在正常状况下不会造成土壤环境质量超标，不会增加土壤环境风险；</w:t>
            </w:r>
            <w:r>
              <w:rPr>
                <w:rFonts w:hint="default" w:ascii="Times New Roman" w:hAnsi="Times New Roman" w:eastAsia="宋体" w:cs="Times New Roman"/>
                <w:color w:val="auto"/>
                <w:kern w:val="2"/>
                <w:sz w:val="21"/>
                <w:szCs w:val="21"/>
                <w:highlight w:val="none"/>
                <w:lang w:eastAsia="zh-CN"/>
              </w:rPr>
              <w:t>本工程</w:t>
            </w:r>
            <w:r>
              <w:rPr>
                <w:rFonts w:hint="default" w:ascii="Times New Roman" w:hAnsi="Times New Roman" w:eastAsia="宋体" w:cs="Times New Roman"/>
                <w:color w:val="auto"/>
                <w:kern w:val="2"/>
                <w:sz w:val="21"/>
                <w:szCs w:val="21"/>
                <w:highlight w:val="none"/>
              </w:rPr>
              <w:t>运营后采取源头控制、过程防控措施；土壤满足《土壤环境质量</w:t>
            </w:r>
            <w:r>
              <w:rPr>
                <w:rFonts w:hint="default" w:ascii="Times New Roman" w:hAnsi="Times New Roman" w:eastAsia="宋体" w:cs="Times New Roman"/>
                <w:color w:val="auto"/>
                <w:kern w:val="2"/>
                <w:sz w:val="21"/>
                <w:szCs w:val="21"/>
                <w:highlight w:val="none"/>
                <w:lang w:val="en-US" w:eastAsia="zh-CN"/>
              </w:rPr>
              <w:t xml:space="preserve"> </w:t>
            </w:r>
            <w:r>
              <w:rPr>
                <w:rFonts w:hint="default" w:ascii="Times New Roman" w:hAnsi="Times New Roman" w:eastAsia="宋体" w:cs="Times New Roman"/>
                <w:color w:val="auto"/>
                <w:kern w:val="2"/>
                <w:sz w:val="21"/>
                <w:szCs w:val="21"/>
                <w:highlight w:val="none"/>
              </w:rPr>
              <w:t>建设用地土壤污染风险管控标准（试行）》（GB36600-2018）中第二类用地土壤污染风险筛选值，石油烃类执行表2第二类用地筛选值。</w:t>
            </w:r>
          </w:p>
        </w:tc>
        <w:tc>
          <w:tcPr>
            <w:tcW w:w="424" w:type="pct"/>
            <w:tcBorders>
              <w:tl2br w:val="nil"/>
              <w:tr2bl w:val="nil"/>
            </w:tcBorders>
            <w:noWrap w:val="0"/>
            <w:vAlign w:val="center"/>
          </w:tcPr>
          <w:p w14:paraId="06016BB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符合</w:t>
            </w:r>
          </w:p>
          <w:p w14:paraId="59D4A33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2"/>
                <w:sz w:val="21"/>
                <w:szCs w:val="21"/>
                <w:highlight w:val="none"/>
              </w:rPr>
            </w:pPr>
          </w:p>
        </w:tc>
      </w:tr>
      <w:tr w14:paraId="111075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2723" w:type="pct"/>
            <w:tcBorders>
              <w:tl2br w:val="nil"/>
              <w:tr2bl w:val="nil"/>
            </w:tcBorders>
            <w:noWrap w:val="0"/>
            <w:vAlign w:val="center"/>
          </w:tcPr>
          <w:p w14:paraId="0D6D488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强化危险废物全过程环境监管。建立健全各类危险废物重点监管单位清单，全面实行危险废物清单化管理。督促各类危险废物产生单位和经营单位依法申报危险废物产生处置情况，报备管理计划，做好信息公开工作，规范运行危险废物转移</w:t>
            </w:r>
            <w:r>
              <w:rPr>
                <w:rFonts w:hint="default" w:ascii="Times New Roman" w:hAnsi="Times New Roman" w:eastAsia="宋体" w:cs="Times New Roman"/>
                <w:color w:val="auto"/>
                <w:kern w:val="2"/>
                <w:sz w:val="21"/>
                <w:szCs w:val="21"/>
                <w:highlight w:val="none"/>
                <w:lang w:val="en-US" w:eastAsia="zh-CN"/>
              </w:rPr>
              <w:t>电子</w:t>
            </w:r>
            <w:r>
              <w:rPr>
                <w:rFonts w:hint="default" w:ascii="Times New Roman" w:hAnsi="Times New Roman" w:eastAsia="宋体" w:cs="Times New Roman"/>
                <w:color w:val="auto"/>
                <w:kern w:val="2"/>
                <w:sz w:val="21"/>
                <w:szCs w:val="21"/>
                <w:highlight w:val="none"/>
              </w:rPr>
              <w:t>联单。</w:t>
            </w:r>
          </w:p>
        </w:tc>
        <w:tc>
          <w:tcPr>
            <w:tcW w:w="1852" w:type="pct"/>
            <w:tcBorders>
              <w:tl2br w:val="nil"/>
              <w:tr2bl w:val="nil"/>
            </w:tcBorders>
            <w:noWrap w:val="0"/>
            <w:vAlign w:val="center"/>
          </w:tcPr>
          <w:p w14:paraId="4834F04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pacing w:val="-6"/>
                <w:kern w:val="2"/>
                <w:sz w:val="21"/>
                <w:szCs w:val="21"/>
                <w:highlight w:val="none"/>
                <w:lang w:eastAsia="zh-CN"/>
              </w:rPr>
              <w:t>本工程</w:t>
            </w:r>
            <w:r>
              <w:rPr>
                <w:rFonts w:hint="default" w:ascii="Times New Roman" w:hAnsi="Times New Roman" w:eastAsia="宋体" w:cs="Times New Roman"/>
                <w:color w:val="auto"/>
                <w:spacing w:val="-6"/>
                <w:kern w:val="2"/>
                <w:sz w:val="21"/>
                <w:szCs w:val="21"/>
                <w:highlight w:val="none"/>
              </w:rPr>
              <w:t>产生的危险废物严格落实《危险废物环境管理指南</w:t>
            </w:r>
            <w:r>
              <w:rPr>
                <w:rFonts w:hint="default" w:ascii="Times New Roman" w:hAnsi="Times New Roman" w:eastAsia="宋体" w:cs="Times New Roman"/>
                <w:color w:val="auto"/>
                <w:spacing w:val="-6"/>
                <w:kern w:val="2"/>
                <w:sz w:val="21"/>
                <w:szCs w:val="21"/>
                <w:highlight w:val="none"/>
                <w:lang w:val="en-US" w:eastAsia="zh-CN"/>
              </w:rPr>
              <w:t xml:space="preserve"> </w:t>
            </w:r>
            <w:r>
              <w:rPr>
                <w:rFonts w:hint="default" w:ascii="Times New Roman" w:hAnsi="Times New Roman" w:eastAsia="宋体" w:cs="Times New Roman"/>
                <w:color w:val="auto"/>
                <w:spacing w:val="-6"/>
                <w:kern w:val="2"/>
                <w:sz w:val="21"/>
                <w:szCs w:val="21"/>
                <w:highlight w:val="none"/>
              </w:rPr>
              <w:t>陆上石油天然气开采》（生态环境部公告2021年第74号）、《危险废物转移管理办法》（生态环境部令第23号）中相关管理要求。</w:t>
            </w:r>
          </w:p>
        </w:tc>
        <w:tc>
          <w:tcPr>
            <w:tcW w:w="424" w:type="pct"/>
            <w:tcBorders>
              <w:tl2br w:val="nil"/>
              <w:tr2bl w:val="nil"/>
            </w:tcBorders>
            <w:noWrap w:val="0"/>
            <w:vAlign w:val="center"/>
          </w:tcPr>
          <w:p w14:paraId="6C1DB8A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符合</w:t>
            </w:r>
          </w:p>
          <w:p w14:paraId="6E39311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2"/>
                <w:sz w:val="21"/>
                <w:szCs w:val="21"/>
                <w:highlight w:val="none"/>
              </w:rPr>
            </w:pPr>
          </w:p>
        </w:tc>
      </w:tr>
      <w:tr w14:paraId="2789AB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2723" w:type="pct"/>
            <w:tcBorders>
              <w:tl2br w:val="nil"/>
              <w:tr2bl w:val="nil"/>
            </w:tcBorders>
            <w:noWrap w:val="0"/>
            <w:vAlign w:val="center"/>
          </w:tcPr>
          <w:p w14:paraId="7FCDFA3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实施最严格的生态保护制度。坚决遏制“两高”项目盲目发展，严格执行能源、矿产资源开发自治区人民政府“一支笔”审批制度、环境保护“一票否决”制度，落实“三线一单”生态环境分区管控要求，守住生态保护红线、环境质量底线和资源利用上线，实施生态环境准入清单管控。</w:t>
            </w:r>
          </w:p>
        </w:tc>
        <w:tc>
          <w:tcPr>
            <w:tcW w:w="1852" w:type="pct"/>
            <w:tcBorders>
              <w:tl2br w:val="nil"/>
              <w:tr2bl w:val="nil"/>
            </w:tcBorders>
            <w:noWrap w:val="0"/>
            <w:vAlign w:val="center"/>
          </w:tcPr>
          <w:p w14:paraId="6619BBE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eastAsia="zh-CN"/>
              </w:rPr>
              <w:t>本项目位于新疆维吾尔自治区阿克苏地区</w:t>
            </w:r>
            <w:r>
              <w:rPr>
                <w:rFonts w:hint="default" w:ascii="Times New Roman" w:hAnsi="Times New Roman" w:eastAsia="宋体" w:cs="Times New Roman"/>
                <w:color w:val="auto"/>
                <w:kern w:val="2"/>
                <w:sz w:val="21"/>
                <w:szCs w:val="21"/>
                <w:highlight w:val="none"/>
                <w:lang w:val="en-US" w:eastAsia="zh-CN"/>
              </w:rPr>
              <w:t>温宿县</w:t>
            </w:r>
            <w:r>
              <w:rPr>
                <w:rFonts w:hint="default" w:ascii="Times New Roman" w:hAnsi="Times New Roman" w:eastAsia="宋体" w:cs="Times New Roman"/>
                <w:color w:val="auto"/>
                <w:kern w:val="2"/>
                <w:sz w:val="21"/>
                <w:szCs w:val="21"/>
                <w:highlight w:val="none"/>
                <w:lang w:eastAsia="zh-CN"/>
              </w:rPr>
              <w:t>，为油气开发项目，不属于“两高”项目以及不符合产业准入标准和政策的落后项目，符合阿克苏地区“三线一单”生态环境分区管控要求。</w:t>
            </w:r>
          </w:p>
        </w:tc>
        <w:tc>
          <w:tcPr>
            <w:tcW w:w="424" w:type="pct"/>
            <w:tcBorders>
              <w:tl2br w:val="nil"/>
              <w:tr2bl w:val="nil"/>
            </w:tcBorders>
            <w:noWrap w:val="0"/>
            <w:vAlign w:val="center"/>
          </w:tcPr>
          <w:p w14:paraId="5013F05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符合</w:t>
            </w:r>
          </w:p>
          <w:p w14:paraId="215533C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2"/>
                <w:sz w:val="21"/>
                <w:szCs w:val="21"/>
                <w:highlight w:val="none"/>
              </w:rPr>
            </w:pPr>
          </w:p>
        </w:tc>
      </w:tr>
      <w:bookmarkEnd w:id="509"/>
    </w:tbl>
    <w:p w14:paraId="1A08835F">
      <w:pPr>
        <w:pStyle w:val="55"/>
        <w:bidi w:val="0"/>
        <w:rPr>
          <w:rFonts w:hint="default"/>
          <w:color w:val="auto"/>
          <w:lang w:val="en-US" w:eastAsia="zh-CN"/>
        </w:rPr>
      </w:pPr>
      <w:r>
        <w:rPr>
          <w:rFonts w:hint="default"/>
          <w:color w:val="auto"/>
          <w:lang w:val="en-US" w:eastAsia="zh-CN"/>
        </w:rPr>
        <w:t>3.</w:t>
      </w:r>
      <w:r>
        <w:rPr>
          <w:rFonts w:hint="eastAsia"/>
          <w:color w:val="auto"/>
          <w:lang w:val="en-US" w:eastAsia="zh-CN"/>
        </w:rPr>
        <w:t xml:space="preserve">4.2.15 </w:t>
      </w:r>
      <w:r>
        <w:rPr>
          <w:rFonts w:hint="default"/>
          <w:color w:val="auto"/>
          <w:lang w:val="en-US" w:eastAsia="zh-CN"/>
        </w:rPr>
        <w:t>与《塔里木油田“十四五”发展规划》及规划环评符合性分析</w:t>
      </w:r>
    </w:p>
    <w:p w14:paraId="0375A88A">
      <w:pPr>
        <w:pStyle w:val="79"/>
        <w:bidi w:val="0"/>
        <w:rPr>
          <w:rFonts w:hint="default"/>
          <w:color w:val="auto"/>
        </w:rPr>
      </w:pPr>
      <w:r>
        <w:rPr>
          <w:rFonts w:hint="default"/>
          <w:color w:val="auto"/>
        </w:rPr>
        <w:t>本项目与《塔里木油田“十四五”发展规划》及《塔里木油田“十四五”发展规划环境影响报告书》相符性分析详见表3.</w:t>
      </w:r>
      <w:r>
        <w:rPr>
          <w:rFonts w:hint="eastAsia"/>
          <w:color w:val="auto"/>
          <w:lang w:val="en-US" w:eastAsia="zh-CN"/>
        </w:rPr>
        <w:t>4-11</w:t>
      </w:r>
      <w:r>
        <w:rPr>
          <w:rFonts w:hint="default"/>
          <w:color w:val="auto"/>
        </w:rPr>
        <w:t>。</w:t>
      </w:r>
    </w:p>
    <w:p w14:paraId="17BCD575">
      <w:pPr>
        <w:pStyle w:val="61"/>
        <w:bidi w:val="0"/>
        <w:jc w:val="both"/>
        <w:rPr>
          <w:rFonts w:hint="eastAsia"/>
          <w:color w:val="auto"/>
          <w:lang w:val="en-US" w:eastAsia="zh-CN"/>
        </w:rPr>
      </w:pPr>
      <w:bookmarkStart w:id="521" w:name="_Hlk120543458"/>
      <w:r>
        <w:rPr>
          <w:rFonts w:hint="default"/>
          <w:color w:val="auto"/>
          <w:lang w:val="en-US" w:eastAsia="zh-CN"/>
        </w:rPr>
        <w:t>表3.</w:t>
      </w:r>
      <w:bookmarkEnd w:id="521"/>
      <w:r>
        <w:rPr>
          <w:rFonts w:hint="eastAsia"/>
          <w:color w:val="auto"/>
          <w:lang w:val="en-US" w:eastAsia="zh-CN"/>
        </w:rPr>
        <w:t>4-11与《塔里木油田“十四五”发展规划》及《塔里木油田“十四五”发展规划环境影响报告书》符合性分析</w:t>
      </w:r>
    </w:p>
    <w:tbl>
      <w:tblPr>
        <w:tblStyle w:val="36"/>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25"/>
        <w:gridCol w:w="4253"/>
        <w:gridCol w:w="2416"/>
        <w:gridCol w:w="836"/>
      </w:tblGrid>
      <w:tr w14:paraId="6C10B5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50" w:type="pct"/>
            <w:tcBorders>
              <w:tl2br w:val="nil"/>
              <w:tr2bl w:val="nil"/>
            </w:tcBorders>
            <w:noWrap w:val="0"/>
            <w:vAlign w:val="center"/>
          </w:tcPr>
          <w:p w14:paraId="19BD5A73">
            <w:pPr>
              <w:widowControl w:val="0"/>
              <w:spacing w:line="0" w:lineRule="atLeast"/>
              <w:jc w:val="center"/>
              <w:rPr>
                <w:rFonts w:ascii="Times New Roman" w:hAnsi="Times New Roman" w:cs="Times New Roman"/>
                <w:color w:val="auto"/>
                <w:kern w:val="2"/>
                <w:sz w:val="21"/>
                <w:szCs w:val="20"/>
              </w:rPr>
            </w:pPr>
            <w:r>
              <w:rPr>
                <w:rFonts w:hint="eastAsia" w:ascii="Times New Roman" w:hAnsi="Times New Roman" w:cs="Times New Roman"/>
                <w:color w:val="auto"/>
                <w:kern w:val="2"/>
                <w:sz w:val="20"/>
                <w:szCs w:val="20"/>
              </w:rPr>
              <w:t>文件名称</w:t>
            </w:r>
          </w:p>
        </w:tc>
        <w:tc>
          <w:tcPr>
            <w:tcW w:w="2408" w:type="pct"/>
            <w:tcBorders>
              <w:tl2br w:val="nil"/>
              <w:tr2bl w:val="nil"/>
            </w:tcBorders>
            <w:noWrap w:val="0"/>
            <w:vAlign w:val="center"/>
          </w:tcPr>
          <w:p w14:paraId="260087F2">
            <w:pPr>
              <w:widowControl w:val="0"/>
              <w:spacing w:line="0" w:lineRule="atLeast"/>
              <w:jc w:val="center"/>
              <w:rPr>
                <w:rFonts w:ascii="Times New Roman" w:hAnsi="Times New Roman" w:cs="Times New Roman"/>
                <w:color w:val="auto"/>
                <w:kern w:val="2"/>
                <w:sz w:val="21"/>
                <w:szCs w:val="21"/>
              </w:rPr>
            </w:pPr>
            <w:r>
              <w:rPr>
                <w:rFonts w:ascii="Times New Roman" w:hAnsi="Times New Roman" w:cs="Times New Roman"/>
                <w:color w:val="auto"/>
                <w:kern w:val="2"/>
                <w:sz w:val="20"/>
                <w:szCs w:val="20"/>
              </w:rPr>
              <w:t>规划要求</w:t>
            </w:r>
          </w:p>
        </w:tc>
        <w:tc>
          <w:tcPr>
            <w:tcW w:w="1368" w:type="pct"/>
            <w:tcBorders>
              <w:tl2br w:val="nil"/>
              <w:tr2bl w:val="nil"/>
            </w:tcBorders>
            <w:noWrap w:val="0"/>
            <w:vAlign w:val="center"/>
          </w:tcPr>
          <w:p w14:paraId="1D680491">
            <w:pPr>
              <w:widowControl w:val="0"/>
              <w:spacing w:line="0" w:lineRule="atLeast"/>
              <w:jc w:val="center"/>
              <w:rPr>
                <w:rFonts w:ascii="Times New Roman" w:hAnsi="Times New Roman" w:cs="Times New Roman"/>
                <w:color w:val="auto"/>
                <w:kern w:val="2"/>
                <w:sz w:val="21"/>
                <w:szCs w:val="20"/>
              </w:rPr>
            </w:pPr>
            <w:r>
              <w:rPr>
                <w:rFonts w:ascii="Times New Roman" w:hAnsi="Times New Roman" w:cs="Times New Roman"/>
                <w:color w:val="auto"/>
                <w:kern w:val="2"/>
                <w:sz w:val="21"/>
                <w:szCs w:val="20"/>
              </w:rPr>
              <w:t>本项目</w:t>
            </w:r>
          </w:p>
        </w:tc>
        <w:tc>
          <w:tcPr>
            <w:tcW w:w="473" w:type="pct"/>
            <w:tcBorders>
              <w:tl2br w:val="nil"/>
              <w:tr2bl w:val="nil"/>
            </w:tcBorders>
            <w:noWrap w:val="0"/>
            <w:vAlign w:val="center"/>
          </w:tcPr>
          <w:p w14:paraId="67105AD5">
            <w:pPr>
              <w:widowControl w:val="0"/>
              <w:spacing w:line="0" w:lineRule="atLeast"/>
              <w:jc w:val="center"/>
              <w:rPr>
                <w:rFonts w:ascii="Times New Roman" w:hAnsi="Times New Roman" w:cs="Times New Roman"/>
                <w:color w:val="auto"/>
                <w:kern w:val="2"/>
                <w:sz w:val="21"/>
                <w:szCs w:val="20"/>
              </w:rPr>
            </w:pPr>
            <w:r>
              <w:rPr>
                <w:rFonts w:ascii="Times New Roman" w:hAnsi="Times New Roman" w:cs="Times New Roman"/>
                <w:color w:val="auto"/>
                <w:kern w:val="2"/>
                <w:sz w:val="21"/>
                <w:szCs w:val="20"/>
              </w:rPr>
              <w:t>符合性</w:t>
            </w:r>
          </w:p>
        </w:tc>
      </w:tr>
      <w:tr w14:paraId="581CC8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50" w:type="pct"/>
            <w:tcBorders>
              <w:tl2br w:val="nil"/>
              <w:tr2bl w:val="nil"/>
            </w:tcBorders>
            <w:noWrap w:val="0"/>
            <w:vAlign w:val="center"/>
          </w:tcPr>
          <w:p w14:paraId="425A083B">
            <w:pPr>
              <w:widowControl w:val="0"/>
              <w:spacing w:line="0" w:lineRule="atLeast"/>
              <w:jc w:val="center"/>
              <w:rPr>
                <w:rFonts w:ascii="Times New Roman" w:hAnsi="Times New Roman" w:cs="Times New Roman"/>
                <w:color w:val="auto"/>
                <w:kern w:val="2"/>
                <w:sz w:val="20"/>
                <w:szCs w:val="20"/>
              </w:rPr>
            </w:pPr>
            <w:r>
              <w:rPr>
                <w:rFonts w:ascii="Times New Roman" w:hAnsi="Times New Roman" w:cs="Times New Roman"/>
                <w:color w:val="auto"/>
                <w:kern w:val="2"/>
                <w:sz w:val="21"/>
                <w:szCs w:val="20"/>
              </w:rPr>
              <w:t>《塔里木油田“十四五”发展规划》</w:t>
            </w:r>
          </w:p>
        </w:tc>
        <w:tc>
          <w:tcPr>
            <w:tcW w:w="2408" w:type="pct"/>
            <w:tcBorders>
              <w:tl2br w:val="nil"/>
              <w:tr2bl w:val="nil"/>
            </w:tcBorders>
            <w:noWrap w:val="0"/>
            <w:vAlign w:val="center"/>
          </w:tcPr>
          <w:p w14:paraId="0352CE19">
            <w:pPr>
              <w:widowControl w:val="0"/>
              <w:spacing w:line="0" w:lineRule="atLeast"/>
              <w:jc w:val="center"/>
              <w:rPr>
                <w:rFonts w:ascii="Times New Roman" w:hAnsi="Times New Roman" w:cs="Times New Roman"/>
                <w:color w:val="auto"/>
                <w:kern w:val="2"/>
                <w:sz w:val="21"/>
                <w:szCs w:val="21"/>
              </w:rPr>
            </w:pPr>
            <w:r>
              <w:rPr>
                <w:rFonts w:hint="eastAsia" w:cs="Times New Roman"/>
                <w:color w:val="auto"/>
                <w:kern w:val="2"/>
                <w:sz w:val="21"/>
                <w:szCs w:val="21"/>
                <w:lang w:eastAsia="zh-CN"/>
              </w:rPr>
              <w:t>“十四五”期间</w:t>
            </w:r>
            <w:r>
              <w:rPr>
                <w:rFonts w:ascii="Times New Roman" w:hAnsi="Times New Roman" w:cs="Times New Roman"/>
                <w:color w:val="auto"/>
                <w:kern w:val="2"/>
                <w:sz w:val="21"/>
                <w:szCs w:val="21"/>
              </w:rPr>
              <w:t>持续上产，着力推进</w:t>
            </w:r>
            <w:r>
              <w:rPr>
                <w:rFonts w:hint="eastAsia" w:cs="Times New Roman"/>
                <w:color w:val="auto"/>
                <w:kern w:val="2"/>
                <w:sz w:val="21"/>
                <w:szCs w:val="21"/>
                <w:lang w:eastAsia="zh-CN"/>
              </w:rPr>
              <w:t>“</w:t>
            </w:r>
            <w:r>
              <w:rPr>
                <w:rFonts w:ascii="Times New Roman" w:hAnsi="Times New Roman" w:cs="Times New Roman"/>
                <w:color w:val="auto"/>
                <w:kern w:val="2"/>
                <w:sz w:val="21"/>
                <w:szCs w:val="21"/>
              </w:rPr>
              <w:t>库车山前天然气、塔北</w:t>
            </w:r>
            <w:r>
              <w:rPr>
                <w:rFonts w:hint="eastAsia" w:cs="Times New Roman"/>
                <w:color w:val="auto"/>
                <w:kern w:val="2"/>
                <w:sz w:val="21"/>
                <w:szCs w:val="21"/>
                <w:lang w:eastAsia="zh-CN"/>
              </w:rPr>
              <w:t>－</w:t>
            </w:r>
            <w:r>
              <w:rPr>
                <w:rFonts w:ascii="Times New Roman" w:hAnsi="Times New Roman" w:cs="Times New Roman"/>
                <w:color w:val="auto"/>
                <w:kern w:val="2"/>
                <w:sz w:val="21"/>
                <w:szCs w:val="21"/>
              </w:rPr>
              <w:t>塔中原油</w:t>
            </w:r>
            <w:r>
              <w:rPr>
                <w:rFonts w:hint="eastAsia" w:cs="Times New Roman"/>
                <w:color w:val="auto"/>
                <w:kern w:val="2"/>
                <w:sz w:val="21"/>
                <w:szCs w:val="21"/>
                <w:lang w:eastAsia="zh-CN"/>
              </w:rPr>
              <w:t>”</w:t>
            </w:r>
            <w:r>
              <w:rPr>
                <w:rFonts w:ascii="Times New Roman" w:hAnsi="Times New Roman" w:cs="Times New Roman"/>
                <w:color w:val="auto"/>
                <w:kern w:val="2"/>
                <w:sz w:val="21"/>
                <w:szCs w:val="21"/>
              </w:rPr>
              <w:t>两大根据地，实施老油气田综合治理、新油气田效益建产和油气田精益生产，努力实现原油产量稳中上升和天然气快速上产。到2025年实现</w:t>
            </w:r>
            <w:r>
              <w:rPr>
                <w:rFonts w:hint="eastAsia" w:ascii="Times New Roman" w:hAnsi="Times New Roman" w:cs="Times New Roman"/>
                <w:color w:val="auto"/>
                <w:kern w:val="2"/>
                <w:sz w:val="21"/>
                <w:szCs w:val="21"/>
              </w:rPr>
              <w:t>年产</w:t>
            </w:r>
            <w:r>
              <w:rPr>
                <w:rFonts w:ascii="Times New Roman" w:hAnsi="Times New Roman" w:cs="Times New Roman"/>
                <w:color w:val="auto"/>
                <w:kern w:val="2"/>
                <w:sz w:val="21"/>
                <w:szCs w:val="21"/>
              </w:rPr>
              <w:t>3750万吨</w:t>
            </w:r>
            <w:r>
              <w:rPr>
                <w:rFonts w:hint="eastAsia" w:ascii="Times New Roman" w:hAnsi="Times New Roman" w:cs="Times New Roman"/>
                <w:color w:val="auto"/>
                <w:kern w:val="2"/>
                <w:sz w:val="21"/>
                <w:szCs w:val="21"/>
              </w:rPr>
              <w:t>油</w:t>
            </w:r>
            <w:r>
              <w:rPr>
                <w:rFonts w:ascii="Times New Roman" w:hAnsi="Times New Roman" w:cs="Times New Roman"/>
                <w:color w:val="auto"/>
                <w:kern w:val="2"/>
                <w:sz w:val="21"/>
                <w:szCs w:val="21"/>
              </w:rPr>
              <w:t>当量</w:t>
            </w:r>
            <w:r>
              <w:rPr>
                <w:rFonts w:hint="eastAsia" w:ascii="Times New Roman" w:hAnsi="Times New Roman" w:cs="Times New Roman"/>
                <w:color w:val="auto"/>
                <w:kern w:val="2"/>
                <w:sz w:val="21"/>
                <w:szCs w:val="21"/>
              </w:rPr>
              <w:t>油气田</w:t>
            </w:r>
            <w:r>
              <w:rPr>
                <w:rFonts w:ascii="Times New Roman" w:hAnsi="Times New Roman" w:cs="Times New Roman"/>
                <w:color w:val="auto"/>
                <w:kern w:val="2"/>
                <w:sz w:val="21"/>
                <w:szCs w:val="21"/>
              </w:rPr>
              <w:t>。</w:t>
            </w:r>
          </w:p>
        </w:tc>
        <w:tc>
          <w:tcPr>
            <w:tcW w:w="1368" w:type="pct"/>
            <w:tcBorders>
              <w:tl2br w:val="nil"/>
              <w:tr2bl w:val="nil"/>
            </w:tcBorders>
            <w:noWrap w:val="0"/>
            <w:vAlign w:val="center"/>
          </w:tcPr>
          <w:p w14:paraId="71DCB759">
            <w:pPr>
              <w:widowControl w:val="0"/>
              <w:spacing w:line="0" w:lineRule="atLeast"/>
              <w:jc w:val="center"/>
              <w:rPr>
                <w:rFonts w:hint="eastAsia" w:ascii="Times New Roman" w:hAnsi="Times New Roman" w:cs="Times New Roman"/>
                <w:color w:val="auto"/>
                <w:kern w:val="2"/>
                <w:sz w:val="21"/>
                <w:szCs w:val="20"/>
              </w:rPr>
            </w:pPr>
            <w:r>
              <w:rPr>
                <w:rFonts w:hint="eastAsia" w:ascii="Times New Roman" w:hAnsi="Times New Roman" w:cs="Times New Roman"/>
                <w:color w:val="auto"/>
                <w:kern w:val="2"/>
                <w:sz w:val="21"/>
                <w:szCs w:val="20"/>
                <w:lang w:eastAsia="zh-CN"/>
              </w:rPr>
              <w:t>本项目</w:t>
            </w:r>
            <w:r>
              <w:rPr>
                <w:rFonts w:ascii="Times New Roman" w:hAnsi="Times New Roman" w:cs="Times New Roman"/>
                <w:color w:val="auto"/>
                <w:kern w:val="2"/>
                <w:sz w:val="21"/>
                <w:szCs w:val="20"/>
              </w:rPr>
              <w:t>属于规划中</w:t>
            </w:r>
            <w:r>
              <w:rPr>
                <w:rFonts w:hint="eastAsia" w:ascii="Times New Roman" w:hAnsi="Times New Roman" w:cs="Times New Roman"/>
                <w:color w:val="auto"/>
                <w:kern w:val="2"/>
                <w:sz w:val="21"/>
                <w:szCs w:val="20"/>
              </w:rPr>
              <w:t>英买片区中的</w:t>
            </w:r>
            <w:r>
              <w:rPr>
                <w:rFonts w:hint="eastAsia" w:ascii="Times New Roman" w:hAnsi="Times New Roman" w:cs="Times New Roman"/>
                <w:color w:val="auto"/>
                <w:kern w:val="2"/>
                <w:sz w:val="21"/>
                <w:szCs w:val="20"/>
                <w:lang w:val="en-US" w:eastAsia="zh-CN"/>
              </w:rPr>
              <w:t>雄英1区块</w:t>
            </w:r>
            <w:r>
              <w:rPr>
                <w:rFonts w:ascii="Times New Roman" w:hAnsi="Times New Roman" w:cs="Times New Roman"/>
                <w:color w:val="auto"/>
                <w:kern w:val="2"/>
                <w:sz w:val="21"/>
                <w:szCs w:val="20"/>
              </w:rPr>
              <w:t>，符合塔里木油田</w:t>
            </w:r>
            <w:r>
              <w:rPr>
                <w:rFonts w:hint="eastAsia" w:cs="Times New Roman"/>
                <w:color w:val="auto"/>
                <w:kern w:val="2"/>
                <w:sz w:val="21"/>
                <w:szCs w:val="20"/>
                <w:lang w:eastAsia="zh-CN"/>
              </w:rPr>
              <w:t>“</w:t>
            </w:r>
            <w:r>
              <w:rPr>
                <w:rFonts w:ascii="Times New Roman" w:hAnsi="Times New Roman" w:cs="Times New Roman"/>
                <w:color w:val="auto"/>
                <w:kern w:val="2"/>
                <w:sz w:val="21"/>
                <w:szCs w:val="20"/>
              </w:rPr>
              <w:t>十四五</w:t>
            </w:r>
            <w:r>
              <w:rPr>
                <w:rFonts w:hint="eastAsia" w:cs="Times New Roman"/>
                <w:color w:val="auto"/>
                <w:kern w:val="2"/>
                <w:sz w:val="21"/>
                <w:szCs w:val="20"/>
                <w:lang w:eastAsia="zh-CN"/>
              </w:rPr>
              <w:t>”</w:t>
            </w:r>
            <w:r>
              <w:rPr>
                <w:rFonts w:ascii="Times New Roman" w:hAnsi="Times New Roman" w:cs="Times New Roman"/>
                <w:color w:val="auto"/>
                <w:kern w:val="2"/>
                <w:sz w:val="21"/>
                <w:szCs w:val="20"/>
              </w:rPr>
              <w:t>发展规划要求。</w:t>
            </w:r>
          </w:p>
        </w:tc>
        <w:tc>
          <w:tcPr>
            <w:tcW w:w="473" w:type="pct"/>
            <w:tcBorders>
              <w:tl2br w:val="nil"/>
              <w:tr2bl w:val="nil"/>
            </w:tcBorders>
            <w:noWrap w:val="0"/>
            <w:vAlign w:val="center"/>
          </w:tcPr>
          <w:p w14:paraId="79441E5E">
            <w:pPr>
              <w:widowControl w:val="0"/>
              <w:spacing w:line="0" w:lineRule="atLeast"/>
              <w:jc w:val="center"/>
              <w:rPr>
                <w:rFonts w:ascii="Times New Roman" w:hAnsi="Times New Roman" w:cs="Times New Roman"/>
                <w:color w:val="auto"/>
                <w:kern w:val="2"/>
                <w:sz w:val="21"/>
                <w:szCs w:val="20"/>
              </w:rPr>
            </w:pPr>
            <w:r>
              <w:rPr>
                <w:rFonts w:ascii="Times New Roman" w:hAnsi="Times New Roman" w:cs="Times New Roman"/>
                <w:color w:val="auto"/>
                <w:kern w:val="2"/>
                <w:sz w:val="21"/>
                <w:szCs w:val="20"/>
              </w:rPr>
              <w:t>符合</w:t>
            </w:r>
          </w:p>
        </w:tc>
      </w:tr>
      <w:tr w14:paraId="0FD0C3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50" w:type="pct"/>
            <w:vMerge w:val="restart"/>
            <w:tcBorders>
              <w:tl2br w:val="nil"/>
              <w:tr2bl w:val="nil"/>
            </w:tcBorders>
            <w:noWrap w:val="0"/>
            <w:vAlign w:val="center"/>
          </w:tcPr>
          <w:p w14:paraId="37B4568E">
            <w:pPr>
              <w:widowControl w:val="0"/>
              <w:spacing w:line="0" w:lineRule="atLeast"/>
              <w:jc w:val="center"/>
              <w:rPr>
                <w:rFonts w:ascii="Times New Roman" w:hAnsi="Times New Roman" w:cs="Times New Roman"/>
                <w:color w:val="auto"/>
                <w:kern w:val="2"/>
                <w:sz w:val="21"/>
                <w:szCs w:val="20"/>
              </w:rPr>
            </w:pPr>
            <w:r>
              <w:rPr>
                <w:rFonts w:hint="eastAsia"/>
                <w:color w:val="auto"/>
                <w:spacing w:val="-10"/>
                <w:sz w:val="23"/>
                <w:szCs w:val="23"/>
              </w:rPr>
              <w:t>《关于</w:t>
            </w:r>
            <w:r>
              <w:rPr>
                <w:rFonts w:hint="eastAsia"/>
                <w:color w:val="auto"/>
                <w:spacing w:val="-10"/>
                <w:sz w:val="23"/>
                <w:szCs w:val="23"/>
                <w:lang w:eastAsia="zh-CN"/>
              </w:rPr>
              <w:t>〈</w:t>
            </w:r>
            <w:r>
              <w:rPr>
                <w:rFonts w:hint="eastAsia"/>
                <w:color w:val="auto"/>
                <w:spacing w:val="-10"/>
                <w:sz w:val="23"/>
                <w:szCs w:val="23"/>
              </w:rPr>
              <w:t>塔里木油田“</w:t>
            </w:r>
            <w:bookmarkStart w:id="918" w:name="_GoBack"/>
            <w:bookmarkEnd w:id="918"/>
            <w:r>
              <w:rPr>
                <w:rFonts w:hint="eastAsia"/>
                <w:color w:val="auto"/>
                <w:spacing w:val="-10"/>
                <w:sz w:val="23"/>
                <w:szCs w:val="23"/>
              </w:rPr>
              <w:t>十四五”发展规划环境影响报告书</w:t>
            </w:r>
            <w:r>
              <w:rPr>
                <w:rFonts w:hint="eastAsia"/>
                <w:color w:val="auto"/>
                <w:spacing w:val="-10"/>
                <w:sz w:val="23"/>
                <w:szCs w:val="23"/>
                <w:lang w:eastAsia="zh-CN"/>
              </w:rPr>
              <w:t>〉</w:t>
            </w:r>
            <w:r>
              <w:rPr>
                <w:rFonts w:hint="eastAsia"/>
                <w:color w:val="auto"/>
                <w:spacing w:val="-10"/>
                <w:sz w:val="23"/>
                <w:szCs w:val="23"/>
              </w:rPr>
              <w:t>的审查意见》（</w:t>
            </w:r>
            <w:r>
              <w:rPr>
                <w:rFonts w:hint="eastAsia"/>
                <w:color w:val="auto"/>
                <w:spacing w:val="-10"/>
                <w:sz w:val="23"/>
                <w:szCs w:val="23"/>
                <w:lang w:val="en-US" w:eastAsia="zh-CN"/>
              </w:rPr>
              <w:t>新</w:t>
            </w:r>
            <w:r>
              <w:rPr>
                <w:rFonts w:hint="eastAsia"/>
                <w:color w:val="auto"/>
                <w:spacing w:val="-10"/>
                <w:sz w:val="23"/>
                <w:szCs w:val="23"/>
              </w:rPr>
              <w:t>环审</w:t>
            </w:r>
            <w:r>
              <w:rPr>
                <w:rFonts w:hint="eastAsia"/>
                <w:color w:val="auto"/>
                <w:spacing w:val="-10"/>
                <w:sz w:val="23"/>
                <w:szCs w:val="23"/>
                <w:lang w:eastAsia="zh-CN"/>
              </w:rPr>
              <w:t>〔2022〕214号</w:t>
            </w:r>
            <w:r>
              <w:rPr>
                <w:rFonts w:hint="eastAsia"/>
                <w:color w:val="auto"/>
                <w:spacing w:val="-10"/>
                <w:sz w:val="23"/>
                <w:szCs w:val="23"/>
              </w:rPr>
              <w:t>）</w:t>
            </w:r>
          </w:p>
        </w:tc>
        <w:tc>
          <w:tcPr>
            <w:tcW w:w="2408" w:type="pct"/>
            <w:tcBorders>
              <w:tl2br w:val="nil"/>
              <w:tr2bl w:val="nil"/>
            </w:tcBorders>
            <w:noWrap w:val="0"/>
            <w:vAlign w:val="center"/>
          </w:tcPr>
          <w:p w14:paraId="05AA72E3">
            <w:pPr>
              <w:widowControl w:val="0"/>
              <w:spacing w:line="0" w:lineRule="atLeast"/>
              <w:rPr>
                <w:rFonts w:ascii="Times New Roman" w:hAnsi="Times New Roman" w:cs="Times New Roman"/>
                <w:color w:val="auto"/>
                <w:kern w:val="2"/>
                <w:sz w:val="21"/>
                <w:szCs w:val="21"/>
              </w:rPr>
            </w:pPr>
            <w:r>
              <w:rPr>
                <w:rFonts w:hint="eastAsia" w:ascii="Times New Roman" w:hAnsi="Times New Roman" w:cs="Times New Roman"/>
                <w:color w:val="auto"/>
                <w:kern w:val="2"/>
                <w:sz w:val="21"/>
                <w:szCs w:val="21"/>
                <w:lang w:eastAsia="zh-CN"/>
              </w:rPr>
              <w:t>（</w:t>
            </w:r>
            <w:r>
              <w:rPr>
                <w:rFonts w:hint="eastAsia" w:ascii="Times New Roman" w:hAnsi="Times New Roman" w:cs="Times New Roman"/>
                <w:color w:val="auto"/>
                <w:kern w:val="2"/>
                <w:sz w:val="21"/>
                <w:szCs w:val="21"/>
                <w:lang w:val="en-US" w:eastAsia="zh-CN"/>
              </w:rPr>
              <w:t>一</w:t>
            </w:r>
            <w:r>
              <w:rPr>
                <w:rFonts w:hint="eastAsia" w:ascii="Times New Roman" w:hAnsi="Times New Roman" w:cs="Times New Roman"/>
                <w:color w:val="auto"/>
                <w:kern w:val="2"/>
                <w:sz w:val="21"/>
                <w:szCs w:val="21"/>
                <w:lang w:eastAsia="zh-CN"/>
              </w:rPr>
              <w:t>）</w:t>
            </w:r>
            <w:r>
              <w:rPr>
                <w:rFonts w:ascii="Times New Roman" w:hAnsi="Times New Roman" w:cs="Times New Roman"/>
                <w:color w:val="auto"/>
                <w:kern w:val="2"/>
                <w:sz w:val="21"/>
                <w:szCs w:val="21"/>
              </w:rPr>
              <w:t>严守生态保护红线，加强空间管控。坚持以习近平生态文明思想为指导，严守生态保护红线，严格维护区域主导生态功能，积极推动绿色发展，促进人与自然和谐共生。主动对接国土空间规划，进一步做好与“三线一单”生态环境分区管控方案、主体功能区划、生态功能区划等有关要求的有序衔接和细化分解，严格落实各项生态环境保护要求，协同推进石油天然气开发和生态环境保护相协调，切实维护区域生态系统的完整性和稳定性。加强规划区内环境敏感区和重要环境保护目标的生态环境保护工作，开展项目环评时应将油气开发对环境敏感</w:t>
            </w:r>
            <w:r>
              <w:rPr>
                <w:rFonts w:hint="eastAsia" w:cs="Times New Roman"/>
                <w:color w:val="auto"/>
                <w:kern w:val="2"/>
                <w:sz w:val="21"/>
                <w:szCs w:val="21"/>
                <w:lang w:eastAsia="zh-CN"/>
              </w:rPr>
              <w:t>区的</w:t>
            </w:r>
            <w:r>
              <w:rPr>
                <w:rFonts w:ascii="Times New Roman" w:hAnsi="Times New Roman" w:cs="Times New Roman"/>
                <w:color w:val="auto"/>
                <w:kern w:val="2"/>
                <w:sz w:val="21"/>
                <w:szCs w:val="21"/>
              </w:rPr>
              <w:t>影响作为重点评价内容，</w:t>
            </w:r>
            <w:r>
              <w:rPr>
                <w:rFonts w:hint="eastAsia" w:ascii="Times New Roman" w:hAnsi="Times New Roman" w:cs="Times New Roman"/>
                <w:color w:val="auto"/>
                <w:kern w:val="2"/>
                <w:sz w:val="21"/>
                <w:szCs w:val="21"/>
              </w:rPr>
              <w:t>并采取合理、有效的保护措施，确保规划涉</w:t>
            </w:r>
            <w:r>
              <w:rPr>
                <w:rFonts w:hint="eastAsia" w:cs="Times New Roman"/>
                <w:color w:val="auto"/>
                <w:kern w:val="2"/>
                <w:sz w:val="21"/>
                <w:szCs w:val="21"/>
                <w:lang w:eastAsia="zh-CN"/>
              </w:rPr>
              <w:t>及的</w:t>
            </w:r>
            <w:r>
              <w:rPr>
                <w:rFonts w:hint="eastAsia" w:ascii="Times New Roman" w:hAnsi="Times New Roman" w:cs="Times New Roman"/>
                <w:color w:val="auto"/>
                <w:kern w:val="2"/>
                <w:sz w:val="21"/>
                <w:szCs w:val="21"/>
              </w:rPr>
              <w:t>环境敏感区和重要环境保护目标不因油气开发而造成环境污染和生态破坏。</w:t>
            </w:r>
          </w:p>
        </w:tc>
        <w:tc>
          <w:tcPr>
            <w:tcW w:w="1368" w:type="pct"/>
            <w:tcBorders>
              <w:tl2br w:val="nil"/>
              <w:tr2bl w:val="nil"/>
            </w:tcBorders>
            <w:noWrap w:val="0"/>
            <w:vAlign w:val="center"/>
          </w:tcPr>
          <w:p w14:paraId="09E57FB3">
            <w:pPr>
              <w:widowControl w:val="0"/>
              <w:spacing w:line="0" w:lineRule="atLeast"/>
              <w:jc w:val="center"/>
              <w:rPr>
                <w:rFonts w:hint="eastAsia" w:ascii="Times New Roman" w:hAnsi="Times New Roman" w:cs="Times New Roman"/>
                <w:color w:val="auto"/>
                <w:kern w:val="2"/>
                <w:sz w:val="21"/>
                <w:szCs w:val="20"/>
              </w:rPr>
            </w:pPr>
            <w:r>
              <w:rPr>
                <w:rFonts w:hint="eastAsia" w:ascii="Times New Roman" w:hAnsi="Times New Roman" w:cs="Times New Roman"/>
                <w:color w:val="auto"/>
                <w:kern w:val="2"/>
                <w:sz w:val="21"/>
                <w:szCs w:val="20"/>
              </w:rPr>
              <w:t>本项目不涉及生态保护红线，符合</w:t>
            </w:r>
            <w:r>
              <w:rPr>
                <w:rFonts w:ascii="Times New Roman" w:hAnsi="Times New Roman" w:cs="Times New Roman"/>
                <w:color w:val="auto"/>
                <w:kern w:val="2"/>
                <w:sz w:val="21"/>
                <w:szCs w:val="20"/>
              </w:rPr>
              <w:t>生态环境分区管控方案、主体功能区划、生态功能区划</w:t>
            </w:r>
            <w:r>
              <w:rPr>
                <w:rFonts w:hint="eastAsia" w:ascii="Times New Roman" w:hAnsi="Times New Roman" w:cs="Times New Roman"/>
                <w:color w:val="auto"/>
                <w:kern w:val="2"/>
                <w:sz w:val="21"/>
                <w:szCs w:val="20"/>
              </w:rPr>
              <w:t>等。报告中对区内的水土流失等影响</w:t>
            </w:r>
            <w:r>
              <w:rPr>
                <w:rFonts w:ascii="Times New Roman" w:hAnsi="Times New Roman" w:cs="Times New Roman"/>
                <w:color w:val="auto"/>
                <w:kern w:val="2"/>
                <w:sz w:val="21"/>
                <w:szCs w:val="20"/>
              </w:rPr>
              <w:t>作为重点评价内容，</w:t>
            </w:r>
            <w:r>
              <w:rPr>
                <w:rFonts w:hint="eastAsia" w:ascii="Times New Roman" w:hAnsi="Times New Roman" w:cs="Times New Roman"/>
                <w:color w:val="auto"/>
                <w:kern w:val="2"/>
                <w:sz w:val="21"/>
                <w:szCs w:val="20"/>
              </w:rPr>
              <w:t>并提出了合理、有效的保护措施，确保环境保护目标不因油气开发而造成环境污染和生态破坏。</w:t>
            </w:r>
          </w:p>
        </w:tc>
        <w:tc>
          <w:tcPr>
            <w:tcW w:w="473" w:type="pct"/>
            <w:tcBorders>
              <w:tl2br w:val="nil"/>
              <w:tr2bl w:val="nil"/>
            </w:tcBorders>
            <w:noWrap w:val="0"/>
            <w:vAlign w:val="center"/>
          </w:tcPr>
          <w:p w14:paraId="17029F73">
            <w:pPr>
              <w:widowControl w:val="0"/>
              <w:spacing w:line="0" w:lineRule="atLeast"/>
              <w:jc w:val="center"/>
              <w:rPr>
                <w:rFonts w:ascii="Times New Roman" w:hAnsi="Times New Roman" w:cs="Times New Roman"/>
                <w:color w:val="auto"/>
                <w:kern w:val="2"/>
                <w:sz w:val="21"/>
                <w:szCs w:val="20"/>
              </w:rPr>
            </w:pPr>
            <w:r>
              <w:rPr>
                <w:rFonts w:ascii="Times New Roman" w:hAnsi="Times New Roman" w:cs="Times New Roman"/>
                <w:color w:val="auto"/>
                <w:kern w:val="2"/>
                <w:sz w:val="21"/>
                <w:szCs w:val="20"/>
              </w:rPr>
              <w:t>符合</w:t>
            </w:r>
          </w:p>
        </w:tc>
      </w:tr>
      <w:tr w14:paraId="66C487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50" w:type="pct"/>
            <w:vMerge w:val="continue"/>
            <w:tcBorders>
              <w:tl2br w:val="nil"/>
              <w:tr2bl w:val="nil"/>
            </w:tcBorders>
            <w:noWrap w:val="0"/>
            <w:vAlign w:val="center"/>
          </w:tcPr>
          <w:p w14:paraId="19FBE2A8">
            <w:pPr>
              <w:widowControl w:val="0"/>
              <w:spacing w:line="0" w:lineRule="atLeast"/>
              <w:jc w:val="center"/>
              <w:rPr>
                <w:rFonts w:hint="eastAsia"/>
                <w:color w:val="auto"/>
                <w:spacing w:val="-10"/>
                <w:sz w:val="23"/>
                <w:szCs w:val="23"/>
              </w:rPr>
            </w:pPr>
          </w:p>
        </w:tc>
        <w:tc>
          <w:tcPr>
            <w:tcW w:w="2408" w:type="pct"/>
            <w:tcBorders>
              <w:tl2br w:val="nil"/>
              <w:tr2bl w:val="nil"/>
            </w:tcBorders>
            <w:noWrap w:val="0"/>
            <w:vAlign w:val="center"/>
          </w:tcPr>
          <w:p w14:paraId="0B21DB22">
            <w:pPr>
              <w:widowControl w:val="0"/>
              <w:spacing w:line="0" w:lineRule="atLeast"/>
              <w:rPr>
                <w:rFonts w:ascii="Times New Roman" w:hAnsi="Times New Roman" w:cs="Times New Roman"/>
                <w:color w:val="auto"/>
                <w:kern w:val="2"/>
                <w:sz w:val="21"/>
                <w:szCs w:val="21"/>
              </w:rPr>
            </w:pPr>
            <w:r>
              <w:rPr>
                <w:rFonts w:hint="eastAsia" w:cs="Times New Roman"/>
                <w:color w:val="auto"/>
                <w:kern w:val="2"/>
                <w:sz w:val="21"/>
                <w:szCs w:val="21"/>
                <w:lang w:eastAsia="zh-CN"/>
              </w:rPr>
              <w:t>（</w:t>
            </w:r>
            <w:r>
              <w:rPr>
                <w:rFonts w:ascii="Times New Roman" w:hAnsi="Times New Roman" w:cs="Times New Roman"/>
                <w:color w:val="auto"/>
                <w:kern w:val="2"/>
                <w:sz w:val="21"/>
                <w:szCs w:val="21"/>
              </w:rPr>
              <w:t>二）合理确定开发方案，优化开发布局。根据区域主体功能定位，结合区域资源环境特征、生态保护红线等相关管控要求，依据生态环境影响评价结果，从穿越位置、穿越方式、施工场地设置、管线工艺设计、环境风险防范等方面对规划建设油气长输管道工程及油气田内部集输管道工程选址选线提出要求，进一步优化石油天然气开采规模、开发布局和建设时序，优先避让环境敏感区，远离沿线居民。总结石油天然气开发过程对生态环境影响和保护经验，及时进行优化调整。</w:t>
            </w:r>
          </w:p>
        </w:tc>
        <w:tc>
          <w:tcPr>
            <w:tcW w:w="1368" w:type="pct"/>
            <w:tcBorders>
              <w:tl2br w:val="nil"/>
              <w:tr2bl w:val="nil"/>
            </w:tcBorders>
            <w:noWrap w:val="0"/>
            <w:vAlign w:val="center"/>
          </w:tcPr>
          <w:p w14:paraId="2D58C3CD">
            <w:pPr>
              <w:widowControl w:val="0"/>
              <w:spacing w:line="0" w:lineRule="atLeast"/>
              <w:jc w:val="center"/>
              <w:rPr>
                <w:rFonts w:hint="eastAsia" w:ascii="Times New Roman" w:hAnsi="Times New Roman" w:cs="Times New Roman"/>
                <w:color w:val="auto"/>
                <w:kern w:val="2"/>
                <w:sz w:val="21"/>
                <w:szCs w:val="20"/>
              </w:rPr>
            </w:pPr>
            <w:r>
              <w:rPr>
                <w:rFonts w:hint="eastAsia" w:ascii="Times New Roman" w:hAnsi="Times New Roman" w:cs="Times New Roman"/>
                <w:color w:val="auto"/>
                <w:kern w:val="2"/>
                <w:sz w:val="21"/>
                <w:szCs w:val="20"/>
              </w:rPr>
              <w:t>本项目</w:t>
            </w:r>
            <w:r>
              <w:rPr>
                <w:rFonts w:ascii="Times New Roman" w:hAnsi="Times New Roman" w:cs="Times New Roman"/>
                <w:color w:val="auto"/>
                <w:kern w:val="2"/>
                <w:sz w:val="21"/>
                <w:szCs w:val="20"/>
              </w:rPr>
              <w:t>从施工场地设置、管线工艺设计、环境风险防范等</w:t>
            </w:r>
            <w:r>
              <w:rPr>
                <w:rFonts w:hint="eastAsia" w:ascii="Times New Roman" w:hAnsi="Times New Roman" w:cs="Times New Roman"/>
                <w:color w:val="auto"/>
                <w:kern w:val="2"/>
                <w:sz w:val="21"/>
                <w:szCs w:val="20"/>
              </w:rPr>
              <w:t>方面进行了线路比选，对项目原设计的选线进行了优化，减缓了对生态环境的影响。</w:t>
            </w:r>
          </w:p>
        </w:tc>
        <w:tc>
          <w:tcPr>
            <w:tcW w:w="473" w:type="pct"/>
            <w:tcBorders>
              <w:tl2br w:val="nil"/>
              <w:tr2bl w:val="nil"/>
            </w:tcBorders>
            <w:noWrap w:val="0"/>
            <w:vAlign w:val="center"/>
          </w:tcPr>
          <w:p w14:paraId="2659F98B">
            <w:pPr>
              <w:widowControl w:val="0"/>
              <w:spacing w:line="0" w:lineRule="atLeast"/>
              <w:jc w:val="center"/>
              <w:rPr>
                <w:rFonts w:ascii="Times New Roman" w:hAnsi="Times New Roman" w:cs="Times New Roman"/>
                <w:color w:val="auto"/>
                <w:kern w:val="2"/>
                <w:sz w:val="21"/>
                <w:szCs w:val="20"/>
              </w:rPr>
            </w:pPr>
            <w:r>
              <w:rPr>
                <w:rFonts w:ascii="Times New Roman" w:hAnsi="Times New Roman" w:cs="Times New Roman"/>
                <w:color w:val="auto"/>
                <w:kern w:val="2"/>
                <w:sz w:val="21"/>
                <w:szCs w:val="20"/>
              </w:rPr>
              <w:t>符合</w:t>
            </w:r>
          </w:p>
        </w:tc>
      </w:tr>
      <w:tr w14:paraId="418307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50" w:type="pct"/>
            <w:vMerge w:val="continue"/>
            <w:tcBorders>
              <w:tl2br w:val="nil"/>
              <w:tr2bl w:val="nil"/>
            </w:tcBorders>
            <w:noWrap w:val="0"/>
            <w:vAlign w:val="center"/>
          </w:tcPr>
          <w:p w14:paraId="07D018CA">
            <w:pPr>
              <w:widowControl w:val="0"/>
              <w:spacing w:line="0" w:lineRule="atLeast"/>
              <w:jc w:val="center"/>
              <w:rPr>
                <w:rFonts w:hint="eastAsia"/>
                <w:color w:val="auto"/>
                <w:spacing w:val="-10"/>
                <w:sz w:val="23"/>
                <w:szCs w:val="23"/>
              </w:rPr>
            </w:pPr>
          </w:p>
        </w:tc>
        <w:tc>
          <w:tcPr>
            <w:tcW w:w="2408" w:type="pct"/>
            <w:tcBorders>
              <w:tl2br w:val="nil"/>
              <w:tr2bl w:val="nil"/>
            </w:tcBorders>
            <w:noWrap w:val="0"/>
            <w:vAlign w:val="center"/>
          </w:tcPr>
          <w:p w14:paraId="6D5D5259">
            <w:pPr>
              <w:widowControl w:val="0"/>
              <w:spacing w:line="0" w:lineRule="atLeast"/>
              <w:rPr>
                <w:rFonts w:hint="eastAsia" w:ascii="Times New Roman" w:hAnsi="Times New Roman" w:cs="Times New Roman"/>
                <w:color w:val="auto"/>
                <w:kern w:val="2"/>
                <w:sz w:val="21"/>
                <w:szCs w:val="21"/>
              </w:rPr>
            </w:pPr>
            <w:r>
              <w:rPr>
                <w:rFonts w:hint="eastAsia" w:cs="Times New Roman"/>
                <w:color w:val="auto"/>
                <w:kern w:val="2"/>
                <w:sz w:val="21"/>
                <w:szCs w:val="21"/>
                <w:lang w:eastAsia="zh-CN"/>
              </w:rPr>
              <w:t>（</w:t>
            </w:r>
            <w:r>
              <w:rPr>
                <w:rFonts w:ascii="Times New Roman" w:hAnsi="Times New Roman" w:cs="Times New Roman"/>
                <w:color w:val="auto"/>
                <w:kern w:val="2"/>
                <w:sz w:val="21"/>
                <w:szCs w:val="21"/>
              </w:rPr>
              <w:t>三</w:t>
            </w:r>
            <w:r>
              <w:rPr>
                <w:rFonts w:hint="eastAsia" w:cs="Times New Roman"/>
                <w:color w:val="auto"/>
                <w:kern w:val="2"/>
                <w:sz w:val="21"/>
                <w:szCs w:val="21"/>
                <w:lang w:eastAsia="zh-CN"/>
              </w:rPr>
              <w:t>）</w:t>
            </w:r>
            <w:r>
              <w:rPr>
                <w:rFonts w:ascii="Times New Roman" w:hAnsi="Times New Roman" w:cs="Times New Roman"/>
                <w:color w:val="auto"/>
                <w:kern w:val="2"/>
                <w:sz w:val="21"/>
                <w:szCs w:val="21"/>
              </w:rPr>
              <w:t>严格生态环境保护，强化各类污染物防治。针对规划实施可能出现的累积性、长期性生态环境问题，采取积极有效的生态复垦和生态恢复措施，确保实现《报告书》提出的各项生态恢复治理要求，有效减缓规划区生态环境退化趋势。根据油气开采产业政策和生态环境保护政策要求，严格落实资源环境指标要求，进一步控制污染物排放以及能源消耗水平，对油气开采产生的废弃油基泥浆、含油钻屑及其他固体废物，提出减量化的源头控制措施、资源化的利用路径、无害化的处理要求，按照国家和地方有关固体废物的管理规定进行处置，提高废弃油基泥浆和含油钻屑及其处</w:t>
            </w:r>
            <w:r>
              <w:rPr>
                <w:rFonts w:hint="eastAsia" w:ascii="Times New Roman" w:hAnsi="Times New Roman" w:cs="Times New Roman"/>
                <w:color w:val="auto"/>
                <w:kern w:val="2"/>
                <w:sz w:val="21"/>
                <w:szCs w:val="21"/>
              </w:rPr>
              <w:t>理产物的综合利用率。根据油气开采产业政策和生态环境保护政策要求，严格落实资源环境指标要求，进一步控制污染物排放以及能源消耗水平。油气开采、输送、储存、净化等过程及非正常工况应加强挥发性有机物等污染物排放控制，确保满足区域环境空气质量要求。加强开采废水污染控制，涉及回注的应经处理满足《</w:t>
            </w:r>
            <w:r>
              <w:rPr>
                <w:rFonts w:hint="eastAsia" w:ascii="Times New Roman" w:hAnsi="Times New Roman" w:cs="Times New Roman"/>
                <w:color w:val="auto"/>
                <w:kern w:val="2"/>
                <w:sz w:val="21"/>
                <w:szCs w:val="21"/>
                <w:lang w:eastAsia="zh-CN"/>
              </w:rPr>
              <w:t>碎屑岩油藏注水水质指标技术要求及分析方法</w:t>
            </w:r>
            <w:r>
              <w:rPr>
                <w:rFonts w:hint="eastAsia" w:ascii="Times New Roman" w:hAnsi="Times New Roman" w:cs="Times New Roman"/>
                <w:color w:val="auto"/>
                <w:kern w:val="2"/>
                <w:sz w:val="21"/>
                <w:szCs w:val="21"/>
              </w:rPr>
              <w:t>》</w:t>
            </w:r>
            <w:r>
              <w:rPr>
                <w:rFonts w:hint="eastAsia" w:cs="Times New Roman"/>
                <w:color w:val="auto"/>
                <w:kern w:val="2"/>
                <w:sz w:val="21"/>
                <w:szCs w:val="21"/>
                <w:lang w:eastAsia="zh-CN"/>
              </w:rPr>
              <w:t>（</w:t>
            </w:r>
            <w:r>
              <w:rPr>
                <w:rFonts w:ascii="Times New Roman" w:hAnsi="Times New Roman" w:cs="Times New Roman"/>
                <w:color w:val="auto"/>
                <w:kern w:val="2"/>
                <w:sz w:val="21"/>
                <w:szCs w:val="21"/>
              </w:rPr>
              <w:t>SY/T5329</w:t>
            </w:r>
            <w:r>
              <w:rPr>
                <w:rFonts w:hint="eastAsia" w:cs="Times New Roman"/>
                <w:color w:val="auto"/>
                <w:kern w:val="2"/>
                <w:sz w:val="21"/>
                <w:szCs w:val="21"/>
                <w:lang w:eastAsia="zh-CN"/>
              </w:rPr>
              <w:t>）</w:t>
            </w:r>
            <w:r>
              <w:rPr>
                <w:rFonts w:ascii="Times New Roman" w:hAnsi="Times New Roman" w:cs="Times New Roman"/>
                <w:color w:val="auto"/>
                <w:kern w:val="2"/>
                <w:sz w:val="21"/>
                <w:szCs w:val="21"/>
              </w:rPr>
              <w:t>等相关标准要求，采取切实可行的地下水污染防治和监控措施，防止造成地下水污染。油气开采过程中产生的固体废物，应当遵循减量化、资源化、无害化原则，合规处置。加强伴生气、落地油、采出水等回收利用，提高综合利用水平。</w:t>
            </w:r>
          </w:p>
        </w:tc>
        <w:tc>
          <w:tcPr>
            <w:tcW w:w="1368" w:type="pct"/>
            <w:tcBorders>
              <w:tl2br w:val="nil"/>
              <w:tr2bl w:val="nil"/>
            </w:tcBorders>
            <w:noWrap w:val="0"/>
            <w:vAlign w:val="center"/>
          </w:tcPr>
          <w:p w14:paraId="098A53A7">
            <w:pPr>
              <w:widowControl w:val="0"/>
              <w:spacing w:line="0" w:lineRule="atLeast"/>
              <w:jc w:val="center"/>
              <w:rPr>
                <w:rFonts w:hint="eastAsia" w:ascii="Times New Roman" w:hAnsi="Times New Roman" w:eastAsia="宋体" w:cs="Times New Roman"/>
                <w:color w:val="auto"/>
                <w:kern w:val="2"/>
                <w:sz w:val="21"/>
                <w:szCs w:val="20"/>
                <w:lang w:eastAsia="zh-CN"/>
              </w:rPr>
            </w:pPr>
            <w:r>
              <w:rPr>
                <w:rFonts w:hint="eastAsia" w:ascii="Times New Roman" w:hAnsi="Times New Roman" w:cs="Times New Roman"/>
                <w:color w:val="auto"/>
                <w:kern w:val="2"/>
                <w:sz w:val="21"/>
                <w:szCs w:val="20"/>
              </w:rPr>
              <w:t>本项目的建设占用土地资源相对区域资源利用较少，土地资源消耗符合要求。项目用水量较少，施工废水、生活污水等进行综合利用，节约了水资源；</w:t>
            </w:r>
            <w:r>
              <w:rPr>
                <w:rFonts w:hint="eastAsia" w:ascii="Times New Roman" w:hAnsi="Times New Roman" w:cs="Times New Roman"/>
                <w:color w:val="auto"/>
                <w:kern w:val="2"/>
                <w:sz w:val="21"/>
                <w:szCs w:val="20"/>
                <w:lang w:val="en-US" w:eastAsia="zh-CN"/>
              </w:rPr>
              <w:t>试采工程中，天然气采用密闭流程，原油罐车拉运采用气相平衡，有效减少了烃类物质挥发</w:t>
            </w:r>
            <w:r>
              <w:rPr>
                <w:rFonts w:hint="eastAsia" w:ascii="Times New Roman" w:hAnsi="Times New Roman" w:cs="Times New Roman"/>
                <w:color w:val="auto"/>
                <w:kern w:val="2"/>
                <w:sz w:val="21"/>
                <w:szCs w:val="20"/>
              </w:rPr>
              <w:t>；能源利用均在区域负荷范围内，消耗未超出区域负荷上限。项目运营期油气处理、井下作业废水依托处理，提出了</w:t>
            </w:r>
            <w:r>
              <w:rPr>
                <w:rFonts w:ascii="Times New Roman" w:hAnsi="Times New Roman" w:cs="Times New Roman"/>
                <w:color w:val="auto"/>
                <w:kern w:val="2"/>
                <w:sz w:val="21"/>
                <w:szCs w:val="20"/>
              </w:rPr>
              <w:t>切实可行的地下水污染防治和监控措施</w:t>
            </w:r>
            <w:r>
              <w:rPr>
                <w:rFonts w:hint="eastAsia" w:ascii="Times New Roman" w:hAnsi="Times New Roman" w:cs="Times New Roman"/>
                <w:color w:val="auto"/>
                <w:kern w:val="2"/>
                <w:sz w:val="21"/>
                <w:szCs w:val="20"/>
              </w:rPr>
              <w:t>；项目建设和运营期间产生的固废首先考虑综合利用，不能利用的均进行合规处置。</w:t>
            </w:r>
          </w:p>
        </w:tc>
        <w:tc>
          <w:tcPr>
            <w:tcW w:w="473" w:type="pct"/>
            <w:tcBorders>
              <w:tl2br w:val="nil"/>
              <w:tr2bl w:val="nil"/>
            </w:tcBorders>
            <w:noWrap w:val="0"/>
            <w:vAlign w:val="center"/>
          </w:tcPr>
          <w:p w14:paraId="6E94C5BF">
            <w:pPr>
              <w:widowControl w:val="0"/>
              <w:spacing w:line="0" w:lineRule="atLeast"/>
              <w:jc w:val="center"/>
              <w:rPr>
                <w:rFonts w:ascii="Times New Roman" w:hAnsi="Times New Roman" w:cs="Times New Roman"/>
                <w:color w:val="auto"/>
                <w:kern w:val="2"/>
                <w:sz w:val="21"/>
                <w:szCs w:val="20"/>
              </w:rPr>
            </w:pPr>
            <w:r>
              <w:rPr>
                <w:rFonts w:ascii="Times New Roman" w:hAnsi="Times New Roman" w:cs="Times New Roman"/>
                <w:color w:val="auto"/>
                <w:kern w:val="2"/>
                <w:sz w:val="21"/>
                <w:szCs w:val="20"/>
              </w:rPr>
              <w:t>符合</w:t>
            </w:r>
          </w:p>
        </w:tc>
      </w:tr>
      <w:tr w14:paraId="165BA8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50" w:type="pct"/>
            <w:vMerge w:val="continue"/>
            <w:tcBorders>
              <w:tl2br w:val="nil"/>
              <w:tr2bl w:val="nil"/>
            </w:tcBorders>
            <w:noWrap w:val="0"/>
            <w:vAlign w:val="center"/>
          </w:tcPr>
          <w:p w14:paraId="6D435E10">
            <w:pPr>
              <w:widowControl w:val="0"/>
              <w:spacing w:line="0" w:lineRule="atLeast"/>
              <w:jc w:val="center"/>
              <w:rPr>
                <w:rFonts w:hint="eastAsia"/>
                <w:color w:val="auto"/>
                <w:spacing w:val="-10"/>
                <w:sz w:val="23"/>
                <w:szCs w:val="23"/>
              </w:rPr>
            </w:pPr>
          </w:p>
        </w:tc>
        <w:tc>
          <w:tcPr>
            <w:tcW w:w="2408" w:type="pct"/>
            <w:tcBorders>
              <w:tl2br w:val="nil"/>
              <w:tr2bl w:val="nil"/>
            </w:tcBorders>
            <w:noWrap w:val="0"/>
            <w:vAlign w:val="center"/>
          </w:tcPr>
          <w:p w14:paraId="21D58A1E">
            <w:pPr>
              <w:widowControl w:val="0"/>
              <w:spacing w:line="0" w:lineRule="atLeast"/>
              <w:rPr>
                <w:rFonts w:ascii="Times New Roman" w:hAnsi="Times New Roman" w:cs="Times New Roman"/>
                <w:color w:val="auto"/>
                <w:kern w:val="2"/>
                <w:sz w:val="21"/>
                <w:szCs w:val="21"/>
              </w:rPr>
            </w:pPr>
            <w:r>
              <w:rPr>
                <w:rFonts w:hint="eastAsia" w:cs="Times New Roman"/>
                <w:color w:val="auto"/>
                <w:kern w:val="2"/>
                <w:sz w:val="21"/>
                <w:szCs w:val="21"/>
                <w:lang w:eastAsia="zh-CN"/>
              </w:rPr>
              <w:t>（</w:t>
            </w:r>
            <w:r>
              <w:rPr>
                <w:rFonts w:ascii="Times New Roman" w:hAnsi="Times New Roman" w:cs="Times New Roman"/>
                <w:color w:val="auto"/>
                <w:kern w:val="2"/>
                <w:sz w:val="21"/>
                <w:szCs w:val="21"/>
              </w:rPr>
              <w:t>四）加强生态环境系统治理，维护生态安全。坚持节约优先、保护优先、自然恢复为主，统筹推进山水林田湖草沙一体化保护和系统治理，守住自然生态安全边界。严格控制油气田开发扰动范围，加大生态治理力度，结合油气开采绿色矿山建设等相关要求，落实各项生态环境保护措施，保障区域生态功能不退化。油气开发应同步制定并落实生态保护和修复方案，综合考虑防沙治沙等相关要求，因地制宜开展生态恢复治理工作。</w:t>
            </w:r>
          </w:p>
        </w:tc>
        <w:tc>
          <w:tcPr>
            <w:tcW w:w="1368" w:type="pct"/>
            <w:tcBorders>
              <w:tl2br w:val="nil"/>
              <w:tr2bl w:val="nil"/>
            </w:tcBorders>
            <w:noWrap w:val="0"/>
            <w:vAlign w:val="center"/>
          </w:tcPr>
          <w:p w14:paraId="69C7C05C">
            <w:pPr>
              <w:widowControl w:val="0"/>
              <w:spacing w:line="0" w:lineRule="atLeast"/>
              <w:jc w:val="center"/>
              <w:rPr>
                <w:rFonts w:ascii="Times New Roman" w:hAnsi="Times New Roman" w:cs="Times New Roman"/>
                <w:color w:val="auto"/>
                <w:kern w:val="2"/>
                <w:sz w:val="21"/>
                <w:szCs w:val="20"/>
              </w:rPr>
            </w:pPr>
            <w:r>
              <w:rPr>
                <w:rFonts w:hint="eastAsia" w:ascii="Times New Roman" w:hAnsi="Times New Roman" w:cs="Times New Roman"/>
                <w:color w:val="auto"/>
                <w:kern w:val="2"/>
                <w:sz w:val="21"/>
                <w:szCs w:val="20"/>
              </w:rPr>
              <w:t>本项目严格控制占地面积，项目建设过程中开展防沙治沙工作，并在施工结束后因地制宜开展生态恢复及治理，</w:t>
            </w:r>
            <w:r>
              <w:rPr>
                <w:rFonts w:ascii="Times New Roman" w:hAnsi="Times New Roman" w:cs="Times New Roman"/>
                <w:color w:val="auto"/>
                <w:kern w:val="2"/>
                <w:sz w:val="21"/>
                <w:szCs w:val="21"/>
              </w:rPr>
              <w:t>保障区域生态功能不退化。</w:t>
            </w:r>
          </w:p>
        </w:tc>
        <w:tc>
          <w:tcPr>
            <w:tcW w:w="473" w:type="pct"/>
            <w:tcBorders>
              <w:tl2br w:val="nil"/>
              <w:tr2bl w:val="nil"/>
            </w:tcBorders>
            <w:noWrap w:val="0"/>
            <w:vAlign w:val="center"/>
          </w:tcPr>
          <w:p w14:paraId="5F92C2C8">
            <w:pPr>
              <w:widowControl w:val="0"/>
              <w:spacing w:line="0" w:lineRule="atLeast"/>
              <w:jc w:val="center"/>
              <w:rPr>
                <w:rFonts w:ascii="Times New Roman" w:hAnsi="Times New Roman" w:cs="Times New Roman"/>
                <w:color w:val="auto"/>
                <w:kern w:val="2"/>
                <w:sz w:val="21"/>
                <w:szCs w:val="20"/>
              </w:rPr>
            </w:pPr>
            <w:r>
              <w:rPr>
                <w:rFonts w:ascii="Times New Roman" w:hAnsi="Times New Roman" w:cs="Times New Roman"/>
                <w:color w:val="auto"/>
                <w:kern w:val="2"/>
                <w:sz w:val="21"/>
                <w:szCs w:val="20"/>
              </w:rPr>
              <w:t>符合</w:t>
            </w:r>
          </w:p>
        </w:tc>
      </w:tr>
      <w:tr w14:paraId="5A5CF2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50" w:type="pct"/>
            <w:vMerge w:val="continue"/>
            <w:tcBorders>
              <w:tl2br w:val="nil"/>
              <w:tr2bl w:val="nil"/>
            </w:tcBorders>
            <w:noWrap w:val="0"/>
            <w:vAlign w:val="center"/>
          </w:tcPr>
          <w:p w14:paraId="72695DE6">
            <w:pPr>
              <w:widowControl w:val="0"/>
              <w:spacing w:line="0" w:lineRule="atLeast"/>
              <w:jc w:val="center"/>
              <w:rPr>
                <w:rFonts w:hint="eastAsia"/>
                <w:color w:val="auto"/>
                <w:spacing w:val="-10"/>
                <w:sz w:val="23"/>
                <w:szCs w:val="23"/>
              </w:rPr>
            </w:pPr>
          </w:p>
        </w:tc>
        <w:tc>
          <w:tcPr>
            <w:tcW w:w="2408" w:type="pct"/>
            <w:tcBorders>
              <w:tl2br w:val="nil"/>
              <w:tr2bl w:val="nil"/>
            </w:tcBorders>
            <w:noWrap w:val="0"/>
            <w:vAlign w:val="center"/>
          </w:tcPr>
          <w:p w14:paraId="53D70B25">
            <w:pPr>
              <w:widowControl w:val="0"/>
              <w:spacing w:line="0" w:lineRule="atLeast"/>
              <w:rPr>
                <w:rFonts w:ascii="Times New Roman" w:hAnsi="Times New Roman" w:cs="Times New Roman"/>
                <w:color w:val="auto"/>
                <w:kern w:val="2"/>
                <w:sz w:val="21"/>
                <w:szCs w:val="21"/>
              </w:rPr>
            </w:pPr>
            <w:r>
              <w:rPr>
                <w:rFonts w:hint="eastAsia" w:cs="Times New Roman"/>
                <w:color w:val="auto"/>
                <w:kern w:val="2"/>
                <w:sz w:val="21"/>
                <w:szCs w:val="21"/>
                <w:lang w:eastAsia="zh-CN"/>
              </w:rPr>
              <w:t>（</w:t>
            </w:r>
            <w:r>
              <w:rPr>
                <w:rFonts w:ascii="Times New Roman" w:hAnsi="Times New Roman" w:cs="Times New Roman"/>
                <w:color w:val="auto"/>
                <w:kern w:val="2"/>
                <w:sz w:val="21"/>
                <w:szCs w:val="21"/>
              </w:rPr>
              <w:t>五）加强规划区现有环境问题治理。对照前期中央生态环境保护督察反馈问题整改要求，继续做好规划区油气开发过程产生含油污泥等固体废物治理处置工作，避免再次出现同类问题。严格落实《报告书》提出的现有环境问题整改要求，加快治理恢复关停井场区域生态环境。积极通过开展清洁生产审核等方式提高油气开发清洁生产水平。按照国家</w:t>
            </w:r>
            <w:r>
              <w:rPr>
                <w:rFonts w:hint="eastAsia" w:cs="Times New Roman"/>
                <w:color w:val="auto"/>
                <w:kern w:val="2"/>
                <w:sz w:val="21"/>
                <w:szCs w:val="21"/>
                <w:lang w:eastAsia="zh-CN"/>
              </w:rPr>
              <w:t>。</w:t>
            </w:r>
            <w:r>
              <w:rPr>
                <w:rFonts w:ascii="Times New Roman" w:hAnsi="Times New Roman" w:cs="Times New Roman"/>
                <w:color w:val="auto"/>
                <w:kern w:val="2"/>
                <w:sz w:val="21"/>
                <w:szCs w:val="21"/>
              </w:rPr>
              <w:t>自治区关于建设绿色油气田的政策规定与标准规范要求，加强规划区油气资源开发的环保技术工艺装备升级换代，加大油气开发区域生态环境综合治理力度，激发油气资源开发企业绿色发展的内生动力，推动区域生态环境持续健康</w:t>
            </w:r>
            <w:r>
              <w:rPr>
                <w:rFonts w:hint="eastAsia" w:ascii="Times New Roman" w:hAnsi="Times New Roman" w:cs="Times New Roman"/>
                <w:color w:val="auto"/>
                <w:kern w:val="2"/>
                <w:sz w:val="21"/>
                <w:szCs w:val="21"/>
              </w:rPr>
              <w:t>发展。</w:t>
            </w:r>
          </w:p>
        </w:tc>
        <w:tc>
          <w:tcPr>
            <w:tcW w:w="1368" w:type="pct"/>
            <w:tcBorders>
              <w:tl2br w:val="nil"/>
              <w:tr2bl w:val="nil"/>
            </w:tcBorders>
            <w:noWrap w:val="0"/>
            <w:vAlign w:val="center"/>
          </w:tcPr>
          <w:p w14:paraId="4CFE2003">
            <w:pPr>
              <w:widowControl w:val="0"/>
              <w:spacing w:line="0" w:lineRule="atLeast"/>
              <w:jc w:val="center"/>
              <w:rPr>
                <w:rFonts w:hint="eastAsia" w:ascii="Times New Roman" w:hAnsi="Times New Roman" w:cs="Times New Roman"/>
                <w:color w:val="auto"/>
                <w:kern w:val="2"/>
                <w:sz w:val="21"/>
                <w:szCs w:val="20"/>
              </w:rPr>
            </w:pPr>
            <w:r>
              <w:rPr>
                <w:rFonts w:hint="eastAsia" w:ascii="Times New Roman" w:hAnsi="Times New Roman" w:cs="Times New Roman"/>
                <w:color w:val="auto"/>
                <w:kern w:val="2"/>
                <w:sz w:val="21"/>
                <w:szCs w:val="20"/>
                <w:lang w:eastAsia="zh-CN"/>
              </w:rPr>
              <w:t>英买采油气管理区</w:t>
            </w:r>
            <w:r>
              <w:rPr>
                <w:rFonts w:hint="eastAsia" w:ascii="Times New Roman" w:hAnsi="Times New Roman" w:cs="Times New Roman"/>
                <w:color w:val="auto"/>
                <w:kern w:val="2"/>
                <w:sz w:val="21"/>
                <w:szCs w:val="20"/>
              </w:rPr>
              <w:t>后续按照规划相关要求，加快关停井场生态恢复，积极开展清洁生产审核，并响应国家、自治区相关要求，进一步减少燃气加热炉的使用等，推动区域生态环境健康发展。</w:t>
            </w:r>
          </w:p>
        </w:tc>
        <w:tc>
          <w:tcPr>
            <w:tcW w:w="473" w:type="pct"/>
            <w:tcBorders>
              <w:tl2br w:val="nil"/>
              <w:tr2bl w:val="nil"/>
            </w:tcBorders>
            <w:noWrap w:val="0"/>
            <w:vAlign w:val="center"/>
          </w:tcPr>
          <w:p w14:paraId="0E9B9C8E">
            <w:pPr>
              <w:widowControl w:val="0"/>
              <w:spacing w:line="0" w:lineRule="atLeast"/>
              <w:jc w:val="center"/>
              <w:rPr>
                <w:rFonts w:ascii="Times New Roman" w:hAnsi="Times New Roman" w:cs="Times New Roman"/>
                <w:color w:val="auto"/>
                <w:kern w:val="2"/>
                <w:sz w:val="21"/>
                <w:szCs w:val="20"/>
              </w:rPr>
            </w:pPr>
            <w:r>
              <w:rPr>
                <w:rFonts w:ascii="Times New Roman" w:hAnsi="Times New Roman" w:cs="Times New Roman"/>
                <w:color w:val="auto"/>
                <w:kern w:val="2"/>
                <w:sz w:val="21"/>
                <w:szCs w:val="20"/>
              </w:rPr>
              <w:t>符合</w:t>
            </w:r>
          </w:p>
        </w:tc>
      </w:tr>
      <w:tr w14:paraId="2BD10F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50" w:type="pct"/>
            <w:vMerge w:val="continue"/>
            <w:tcBorders>
              <w:tl2br w:val="nil"/>
              <w:tr2bl w:val="nil"/>
            </w:tcBorders>
            <w:noWrap w:val="0"/>
            <w:vAlign w:val="center"/>
          </w:tcPr>
          <w:p w14:paraId="170DE2F4">
            <w:pPr>
              <w:widowControl w:val="0"/>
              <w:spacing w:line="0" w:lineRule="atLeast"/>
              <w:jc w:val="center"/>
              <w:rPr>
                <w:rFonts w:hint="eastAsia"/>
                <w:color w:val="auto"/>
                <w:spacing w:val="-10"/>
                <w:sz w:val="23"/>
                <w:szCs w:val="23"/>
              </w:rPr>
            </w:pPr>
          </w:p>
        </w:tc>
        <w:tc>
          <w:tcPr>
            <w:tcW w:w="2408" w:type="pct"/>
            <w:tcBorders>
              <w:tl2br w:val="nil"/>
              <w:tr2bl w:val="nil"/>
            </w:tcBorders>
            <w:noWrap w:val="0"/>
            <w:vAlign w:val="center"/>
          </w:tcPr>
          <w:p w14:paraId="6E87B692">
            <w:pPr>
              <w:widowControl w:val="0"/>
              <w:spacing w:line="0" w:lineRule="atLeast"/>
              <w:rPr>
                <w:rFonts w:ascii="Times New Roman" w:hAnsi="Times New Roman" w:cs="Times New Roman"/>
                <w:color w:val="auto"/>
                <w:kern w:val="2"/>
                <w:sz w:val="21"/>
                <w:szCs w:val="21"/>
              </w:rPr>
            </w:pPr>
            <w:r>
              <w:rPr>
                <w:rFonts w:hint="eastAsia" w:cs="Times New Roman"/>
                <w:color w:val="auto"/>
                <w:kern w:val="2"/>
                <w:sz w:val="21"/>
                <w:szCs w:val="21"/>
                <w:lang w:eastAsia="zh-CN"/>
              </w:rPr>
              <w:t>（</w:t>
            </w:r>
            <w:r>
              <w:rPr>
                <w:rFonts w:ascii="Times New Roman" w:hAnsi="Times New Roman" w:cs="Times New Roman"/>
                <w:color w:val="auto"/>
                <w:kern w:val="2"/>
                <w:sz w:val="21"/>
                <w:szCs w:val="21"/>
              </w:rPr>
              <w:t>六</w:t>
            </w:r>
            <w:r>
              <w:rPr>
                <w:rFonts w:hint="eastAsia" w:cs="Times New Roman"/>
                <w:color w:val="auto"/>
                <w:kern w:val="2"/>
                <w:sz w:val="21"/>
                <w:szCs w:val="21"/>
                <w:lang w:eastAsia="zh-CN"/>
              </w:rPr>
              <w:t>）</w:t>
            </w:r>
            <w:r>
              <w:rPr>
                <w:rFonts w:ascii="Times New Roman" w:hAnsi="Times New Roman" w:cs="Times New Roman"/>
                <w:color w:val="auto"/>
                <w:kern w:val="2"/>
                <w:sz w:val="21"/>
                <w:szCs w:val="21"/>
              </w:rPr>
              <w:t>加强油气开发事中事后环境管理。油气企业应切实落实生态环境保护主体责任，进一步健全生态环境管理和应急管理体</w:t>
            </w:r>
            <w:r>
              <w:rPr>
                <w:rFonts w:hint="eastAsia" w:ascii="Times New Roman" w:hAnsi="Times New Roman" w:cs="Times New Roman"/>
                <w:color w:val="auto"/>
                <w:kern w:val="2"/>
                <w:sz w:val="21"/>
                <w:szCs w:val="21"/>
              </w:rPr>
              <w:t>系，确保各项生态环境保护和应急防控措施落实到位。建立环境空气、水环境、土壤环境、生态等监测体系，开展长期跟踪监测。根据监测结果，及时优化开发方案，并采取有效的生态环境保护措施。</w:t>
            </w:r>
          </w:p>
        </w:tc>
        <w:tc>
          <w:tcPr>
            <w:tcW w:w="1368" w:type="pct"/>
            <w:tcBorders>
              <w:tl2br w:val="nil"/>
              <w:tr2bl w:val="nil"/>
            </w:tcBorders>
            <w:noWrap w:val="0"/>
            <w:vAlign w:val="center"/>
          </w:tcPr>
          <w:p w14:paraId="1D165C6C">
            <w:pPr>
              <w:widowControl w:val="0"/>
              <w:spacing w:line="0" w:lineRule="atLeast"/>
              <w:jc w:val="center"/>
              <w:rPr>
                <w:rFonts w:ascii="Times New Roman" w:hAnsi="Times New Roman" w:cs="Times New Roman"/>
                <w:color w:val="auto"/>
                <w:kern w:val="2"/>
                <w:sz w:val="21"/>
                <w:szCs w:val="20"/>
              </w:rPr>
            </w:pPr>
            <w:r>
              <w:rPr>
                <w:rFonts w:hint="eastAsia" w:ascii="Times New Roman" w:hAnsi="Times New Roman" w:cs="Times New Roman"/>
                <w:color w:val="auto"/>
                <w:kern w:val="2"/>
                <w:sz w:val="21"/>
                <w:szCs w:val="20"/>
                <w:lang w:eastAsia="zh-CN"/>
              </w:rPr>
              <w:t>英买采油气管理区</w:t>
            </w:r>
            <w:r>
              <w:rPr>
                <w:rFonts w:hint="eastAsia" w:ascii="Times New Roman" w:hAnsi="Times New Roman" w:cs="Times New Roman"/>
                <w:color w:val="auto"/>
                <w:kern w:val="2"/>
                <w:sz w:val="21"/>
                <w:szCs w:val="20"/>
              </w:rPr>
              <w:t>定期开展后评价工作，现已初步建立了</w:t>
            </w:r>
            <w:r>
              <w:rPr>
                <w:rFonts w:hint="eastAsia" w:ascii="Times New Roman" w:hAnsi="Times New Roman" w:cs="Times New Roman"/>
                <w:color w:val="auto"/>
                <w:kern w:val="2"/>
                <w:sz w:val="21"/>
                <w:szCs w:val="21"/>
              </w:rPr>
              <w:t>环境空气、水环境、土壤环境等监测体系，后续需进一步加强生态监测，根据监测结果，及时优化开发方案和环保措施。</w:t>
            </w:r>
          </w:p>
        </w:tc>
        <w:tc>
          <w:tcPr>
            <w:tcW w:w="473" w:type="pct"/>
            <w:tcBorders>
              <w:tl2br w:val="nil"/>
              <w:tr2bl w:val="nil"/>
            </w:tcBorders>
            <w:noWrap w:val="0"/>
            <w:vAlign w:val="center"/>
          </w:tcPr>
          <w:p w14:paraId="7C73681D">
            <w:pPr>
              <w:widowControl w:val="0"/>
              <w:spacing w:line="0" w:lineRule="atLeast"/>
              <w:jc w:val="center"/>
              <w:rPr>
                <w:rFonts w:ascii="Times New Roman" w:hAnsi="Times New Roman" w:cs="Times New Roman"/>
                <w:color w:val="auto"/>
                <w:kern w:val="2"/>
                <w:sz w:val="21"/>
                <w:szCs w:val="20"/>
              </w:rPr>
            </w:pPr>
            <w:r>
              <w:rPr>
                <w:rFonts w:ascii="Times New Roman" w:hAnsi="Times New Roman" w:cs="Times New Roman"/>
                <w:color w:val="auto"/>
                <w:kern w:val="2"/>
                <w:sz w:val="21"/>
                <w:szCs w:val="20"/>
              </w:rPr>
              <w:t>符合</w:t>
            </w:r>
          </w:p>
        </w:tc>
      </w:tr>
      <w:tr w14:paraId="313721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50" w:type="pct"/>
            <w:vMerge w:val="continue"/>
            <w:tcBorders>
              <w:tl2br w:val="nil"/>
              <w:tr2bl w:val="nil"/>
            </w:tcBorders>
            <w:noWrap w:val="0"/>
            <w:vAlign w:val="center"/>
          </w:tcPr>
          <w:p w14:paraId="3BDFBEBB">
            <w:pPr>
              <w:widowControl w:val="0"/>
              <w:spacing w:line="0" w:lineRule="atLeast"/>
              <w:jc w:val="center"/>
              <w:rPr>
                <w:rFonts w:hint="eastAsia"/>
                <w:color w:val="auto"/>
                <w:spacing w:val="-10"/>
                <w:sz w:val="23"/>
                <w:szCs w:val="23"/>
              </w:rPr>
            </w:pPr>
          </w:p>
        </w:tc>
        <w:tc>
          <w:tcPr>
            <w:tcW w:w="2408" w:type="pct"/>
            <w:tcBorders>
              <w:tl2br w:val="nil"/>
              <w:tr2bl w:val="nil"/>
            </w:tcBorders>
            <w:noWrap w:val="0"/>
            <w:vAlign w:val="center"/>
          </w:tcPr>
          <w:p w14:paraId="784782A9">
            <w:pPr>
              <w:widowControl w:val="0"/>
              <w:spacing w:line="0" w:lineRule="atLeast"/>
              <w:rPr>
                <w:rFonts w:ascii="Times New Roman" w:hAnsi="Times New Roman" w:cs="Times New Roman"/>
                <w:color w:val="auto"/>
                <w:kern w:val="2"/>
                <w:sz w:val="21"/>
                <w:szCs w:val="21"/>
              </w:rPr>
            </w:pPr>
            <w:r>
              <w:rPr>
                <w:rFonts w:hint="eastAsia" w:cs="Times New Roman"/>
                <w:color w:val="auto"/>
                <w:kern w:val="2"/>
                <w:sz w:val="21"/>
                <w:szCs w:val="21"/>
                <w:lang w:eastAsia="zh-CN"/>
              </w:rPr>
              <w:t>（七）</w:t>
            </w:r>
            <w:r>
              <w:rPr>
                <w:rFonts w:ascii="Times New Roman" w:hAnsi="Times New Roman" w:cs="Times New Roman"/>
                <w:color w:val="auto"/>
                <w:kern w:val="2"/>
                <w:sz w:val="21"/>
                <w:szCs w:val="21"/>
              </w:rPr>
              <w:t>建立畅通的公众参与平台，及时解决公众提出的环境问题，满足公众合理的环保诉求</w:t>
            </w:r>
            <w:r>
              <w:rPr>
                <w:rFonts w:hint="eastAsia" w:cs="Times New Roman"/>
                <w:color w:val="auto"/>
                <w:kern w:val="2"/>
                <w:sz w:val="21"/>
                <w:szCs w:val="21"/>
                <w:lang w:eastAsia="zh-CN"/>
              </w:rPr>
              <w:t>；</w:t>
            </w:r>
            <w:r>
              <w:rPr>
                <w:rFonts w:ascii="Times New Roman" w:hAnsi="Times New Roman" w:cs="Times New Roman"/>
                <w:color w:val="auto"/>
                <w:kern w:val="2"/>
                <w:sz w:val="21"/>
                <w:szCs w:val="21"/>
              </w:rPr>
              <w:t>定期发布环境信息，并主动接受社会监督。</w:t>
            </w:r>
          </w:p>
        </w:tc>
        <w:tc>
          <w:tcPr>
            <w:tcW w:w="1368" w:type="pct"/>
            <w:tcBorders>
              <w:tl2br w:val="nil"/>
              <w:tr2bl w:val="nil"/>
            </w:tcBorders>
            <w:noWrap w:val="0"/>
            <w:vAlign w:val="top"/>
          </w:tcPr>
          <w:p w14:paraId="34DA2C1C">
            <w:pPr>
              <w:widowControl w:val="0"/>
              <w:spacing w:line="0" w:lineRule="atLeast"/>
              <w:jc w:val="center"/>
              <w:rPr>
                <w:rFonts w:ascii="Times New Roman" w:hAnsi="Times New Roman" w:cs="Times New Roman"/>
                <w:color w:val="auto"/>
                <w:kern w:val="2"/>
                <w:sz w:val="21"/>
                <w:szCs w:val="20"/>
              </w:rPr>
            </w:pPr>
            <w:r>
              <w:rPr>
                <w:rFonts w:hint="eastAsia" w:ascii="Times New Roman" w:hAnsi="Times New Roman" w:cs="Times New Roman"/>
                <w:color w:val="auto"/>
                <w:kern w:val="2"/>
                <w:sz w:val="21"/>
                <w:szCs w:val="20"/>
              </w:rPr>
              <w:t>企业</w:t>
            </w:r>
            <w:r>
              <w:rPr>
                <w:rFonts w:ascii="Times New Roman" w:hAnsi="Times New Roman" w:cs="Times New Roman"/>
                <w:color w:val="auto"/>
                <w:kern w:val="2"/>
                <w:sz w:val="21"/>
                <w:szCs w:val="20"/>
              </w:rPr>
              <w:t>按照环境影响评价公众参与办法等有关要求，主动公开</w:t>
            </w:r>
            <w:r>
              <w:rPr>
                <w:rFonts w:hint="eastAsia" w:ascii="Times New Roman" w:hAnsi="Times New Roman" w:cs="Times New Roman"/>
                <w:color w:val="auto"/>
                <w:kern w:val="2"/>
                <w:sz w:val="21"/>
                <w:szCs w:val="20"/>
              </w:rPr>
              <w:t>了</w:t>
            </w:r>
            <w:r>
              <w:rPr>
                <w:rFonts w:ascii="Times New Roman" w:hAnsi="Times New Roman" w:cs="Times New Roman"/>
                <w:color w:val="auto"/>
                <w:kern w:val="2"/>
                <w:sz w:val="21"/>
                <w:szCs w:val="20"/>
              </w:rPr>
              <w:t>油气开采项目环境信息。</w:t>
            </w:r>
          </w:p>
        </w:tc>
        <w:tc>
          <w:tcPr>
            <w:tcW w:w="473" w:type="pct"/>
            <w:tcBorders>
              <w:tl2br w:val="nil"/>
              <w:tr2bl w:val="nil"/>
            </w:tcBorders>
            <w:noWrap w:val="0"/>
            <w:vAlign w:val="center"/>
          </w:tcPr>
          <w:p w14:paraId="785341DC">
            <w:pPr>
              <w:widowControl w:val="0"/>
              <w:spacing w:line="0" w:lineRule="atLeast"/>
              <w:jc w:val="center"/>
              <w:rPr>
                <w:rFonts w:ascii="Times New Roman" w:hAnsi="Times New Roman" w:cs="Times New Roman"/>
                <w:color w:val="auto"/>
                <w:kern w:val="2"/>
                <w:sz w:val="21"/>
                <w:szCs w:val="20"/>
              </w:rPr>
            </w:pPr>
            <w:r>
              <w:rPr>
                <w:rFonts w:ascii="Times New Roman" w:hAnsi="Times New Roman" w:cs="Times New Roman"/>
                <w:color w:val="auto"/>
                <w:kern w:val="2"/>
                <w:sz w:val="21"/>
                <w:szCs w:val="20"/>
              </w:rPr>
              <w:t>符合</w:t>
            </w:r>
          </w:p>
        </w:tc>
      </w:tr>
      <w:tr w14:paraId="5B2EF0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50" w:type="pct"/>
            <w:vMerge w:val="continue"/>
            <w:tcBorders>
              <w:tl2br w:val="nil"/>
              <w:tr2bl w:val="nil"/>
            </w:tcBorders>
            <w:noWrap w:val="0"/>
            <w:vAlign w:val="center"/>
          </w:tcPr>
          <w:p w14:paraId="0A39C9BA">
            <w:pPr>
              <w:widowControl w:val="0"/>
              <w:spacing w:line="0" w:lineRule="atLeast"/>
              <w:jc w:val="center"/>
              <w:rPr>
                <w:rFonts w:hint="eastAsia"/>
                <w:color w:val="auto"/>
                <w:spacing w:val="-10"/>
                <w:sz w:val="23"/>
                <w:szCs w:val="23"/>
              </w:rPr>
            </w:pPr>
          </w:p>
        </w:tc>
        <w:tc>
          <w:tcPr>
            <w:tcW w:w="2408" w:type="pct"/>
            <w:tcBorders>
              <w:tl2br w:val="nil"/>
              <w:tr2bl w:val="nil"/>
            </w:tcBorders>
            <w:noWrap w:val="0"/>
            <w:vAlign w:val="center"/>
          </w:tcPr>
          <w:p w14:paraId="76C3A410">
            <w:pPr>
              <w:widowControl w:val="0"/>
              <w:spacing w:line="0" w:lineRule="atLeast"/>
              <w:rPr>
                <w:rFonts w:ascii="Times New Roman" w:hAnsi="Times New Roman" w:cs="Times New Roman"/>
                <w:color w:val="auto"/>
                <w:kern w:val="2"/>
                <w:sz w:val="21"/>
                <w:szCs w:val="21"/>
              </w:rPr>
            </w:pPr>
            <w:r>
              <w:rPr>
                <w:rFonts w:hint="eastAsia" w:ascii="Times New Roman" w:hAnsi="Times New Roman" w:cs="Times New Roman"/>
                <w:color w:val="auto"/>
                <w:kern w:val="2"/>
                <w:sz w:val="21"/>
                <w:szCs w:val="21"/>
              </w:rPr>
              <w:t>（八）规划所包含的建设项目应结合《报告书》提出的相关要求做好环境影响评价工作，重点调查生态、地下水、土壤等环境敏感目标分布情况，论证环境保护措施有效性</w:t>
            </w:r>
            <w:r>
              <w:rPr>
                <w:rFonts w:hint="eastAsia" w:cs="Times New Roman"/>
                <w:color w:val="auto"/>
                <w:kern w:val="2"/>
                <w:sz w:val="21"/>
                <w:szCs w:val="21"/>
                <w:lang w:eastAsia="zh-CN"/>
              </w:rPr>
              <w:t>；</w:t>
            </w:r>
            <w:r>
              <w:rPr>
                <w:rFonts w:ascii="Times New Roman" w:hAnsi="Times New Roman" w:cs="Times New Roman"/>
                <w:color w:val="auto"/>
                <w:kern w:val="2"/>
                <w:sz w:val="21"/>
                <w:szCs w:val="21"/>
              </w:rPr>
              <w:t>在规划区域内新建、扩建、技术改造的建设项目，区域环境现状调查、污染源现状调查等评价内容可以适当简化。</w:t>
            </w:r>
          </w:p>
        </w:tc>
        <w:tc>
          <w:tcPr>
            <w:tcW w:w="1368" w:type="pct"/>
            <w:tcBorders>
              <w:tl2br w:val="nil"/>
              <w:tr2bl w:val="nil"/>
            </w:tcBorders>
            <w:noWrap w:val="0"/>
            <w:vAlign w:val="center"/>
          </w:tcPr>
          <w:p w14:paraId="5BEE4FBF">
            <w:pPr>
              <w:widowControl w:val="0"/>
              <w:spacing w:line="0" w:lineRule="atLeast"/>
              <w:jc w:val="center"/>
              <w:rPr>
                <w:rFonts w:ascii="Times New Roman" w:hAnsi="Times New Roman" w:cs="Times New Roman"/>
                <w:color w:val="auto"/>
                <w:kern w:val="2"/>
                <w:sz w:val="21"/>
                <w:szCs w:val="20"/>
              </w:rPr>
            </w:pPr>
            <w:r>
              <w:rPr>
                <w:rFonts w:hint="eastAsia" w:ascii="Times New Roman" w:hAnsi="Times New Roman" w:cs="Times New Roman"/>
                <w:color w:val="auto"/>
                <w:kern w:val="2"/>
                <w:sz w:val="21"/>
                <w:szCs w:val="20"/>
              </w:rPr>
              <w:t>本次评价结合规划环境影响报告书开展了</w:t>
            </w:r>
            <w:r>
              <w:rPr>
                <w:rFonts w:hint="eastAsia" w:ascii="Times New Roman" w:hAnsi="Times New Roman" w:cs="Times New Roman"/>
                <w:color w:val="auto"/>
                <w:kern w:val="2"/>
                <w:sz w:val="21"/>
                <w:szCs w:val="21"/>
              </w:rPr>
              <w:t>生态、地下水、土壤的调查，论证了环保措施有效性，对区域环境调查中污染源现状调查进行了适当简化。</w:t>
            </w:r>
          </w:p>
        </w:tc>
        <w:tc>
          <w:tcPr>
            <w:tcW w:w="473" w:type="pct"/>
            <w:tcBorders>
              <w:tl2br w:val="nil"/>
              <w:tr2bl w:val="nil"/>
            </w:tcBorders>
            <w:noWrap w:val="0"/>
            <w:vAlign w:val="center"/>
          </w:tcPr>
          <w:p w14:paraId="06F93D66">
            <w:pPr>
              <w:widowControl w:val="0"/>
              <w:spacing w:line="0" w:lineRule="atLeast"/>
              <w:jc w:val="center"/>
              <w:rPr>
                <w:rFonts w:ascii="Times New Roman" w:hAnsi="Times New Roman" w:cs="Times New Roman"/>
                <w:color w:val="auto"/>
                <w:kern w:val="2"/>
                <w:sz w:val="21"/>
                <w:szCs w:val="20"/>
              </w:rPr>
            </w:pPr>
            <w:r>
              <w:rPr>
                <w:rFonts w:ascii="Times New Roman" w:hAnsi="Times New Roman" w:cs="Times New Roman"/>
                <w:color w:val="auto"/>
                <w:kern w:val="2"/>
                <w:sz w:val="21"/>
                <w:szCs w:val="20"/>
              </w:rPr>
              <w:t>符合</w:t>
            </w:r>
          </w:p>
        </w:tc>
      </w:tr>
    </w:tbl>
    <w:p w14:paraId="6F722848">
      <w:pPr>
        <w:pStyle w:val="55"/>
        <w:bidi w:val="0"/>
        <w:rPr>
          <w:rFonts w:hint="default"/>
          <w:color w:val="auto"/>
          <w:lang w:val="en-US" w:eastAsia="zh-CN"/>
        </w:rPr>
      </w:pPr>
      <w:r>
        <w:rPr>
          <w:rFonts w:hint="eastAsia"/>
          <w:color w:val="auto"/>
          <w:lang w:val="en-US" w:eastAsia="zh-CN"/>
        </w:rPr>
        <w:t>-</w:t>
      </w:r>
      <w:r>
        <w:rPr>
          <w:rFonts w:hint="default"/>
          <w:color w:val="auto"/>
          <w:lang w:val="en-US" w:eastAsia="zh-CN"/>
        </w:rPr>
        <w:t>3.</w:t>
      </w:r>
      <w:r>
        <w:rPr>
          <w:rFonts w:hint="eastAsia"/>
          <w:color w:val="auto"/>
          <w:lang w:val="en-US" w:eastAsia="zh-CN"/>
        </w:rPr>
        <w:t xml:space="preserve">4.2.16 </w:t>
      </w:r>
      <w:r>
        <w:rPr>
          <w:rFonts w:hint="default"/>
          <w:color w:val="auto"/>
          <w:lang w:val="en-US" w:eastAsia="zh-CN"/>
        </w:rPr>
        <w:t>《新疆维吾尔自治区环境保护条例》</w:t>
      </w:r>
    </w:p>
    <w:p w14:paraId="13ECA40E">
      <w:pPr>
        <w:pStyle w:val="79"/>
        <w:bidi w:val="0"/>
        <w:rPr>
          <w:rFonts w:hint="default"/>
          <w:color w:val="auto"/>
        </w:rPr>
      </w:pPr>
      <w:r>
        <w:rPr>
          <w:rFonts w:hint="default"/>
          <w:color w:val="auto"/>
          <w:lang w:val="en-US" w:eastAsia="zh-CN"/>
        </w:rPr>
        <w:t>本项目位于阿克苏地区</w:t>
      </w:r>
      <w:r>
        <w:rPr>
          <w:rFonts w:hint="eastAsia"/>
          <w:color w:val="auto"/>
          <w:lang w:val="en-US" w:eastAsia="zh-CN"/>
        </w:rPr>
        <w:t>温宿县</w:t>
      </w:r>
      <w:r>
        <w:rPr>
          <w:rFonts w:hint="default"/>
          <w:color w:val="auto"/>
          <w:lang w:val="en-US" w:eastAsia="zh-CN"/>
        </w:rPr>
        <w:t>境内，不涉及依法划定的自然保护区、饮用水源保护区、风景名胜区、森林公园及其他需要特别保护的环境敏感区，距离生态保护红线较远。本项目符合国土空间规划的油气田开发建设工程；开发过程中的生产废水进行综合利用，节约了水资源。本项目占地类型为</w:t>
      </w:r>
      <w:r>
        <w:rPr>
          <w:rFonts w:hint="eastAsia"/>
          <w:color w:val="auto"/>
          <w:lang w:val="en-US" w:eastAsia="zh-CN"/>
        </w:rPr>
        <w:t>天然牧草地</w:t>
      </w:r>
      <w:r>
        <w:rPr>
          <w:rFonts w:hint="default"/>
          <w:color w:val="auto"/>
          <w:lang w:val="en-US" w:eastAsia="zh-CN"/>
        </w:rPr>
        <w:t>，土地资源消耗符合要求。因此，本项目符合《新疆维吾尔自治区环境保护条例》的要求。</w:t>
      </w:r>
    </w:p>
    <w:bookmarkEnd w:id="510"/>
    <w:bookmarkEnd w:id="511"/>
    <w:bookmarkEnd w:id="512"/>
    <w:p w14:paraId="73497519">
      <w:pPr>
        <w:pStyle w:val="55"/>
        <w:bidi w:val="0"/>
        <w:rPr>
          <w:rFonts w:hint="eastAsia"/>
          <w:color w:val="auto"/>
        </w:rPr>
      </w:pPr>
      <w:bookmarkStart w:id="522" w:name="_Toc109382923"/>
      <w:bookmarkStart w:id="523" w:name="_Toc25750"/>
      <w:bookmarkStart w:id="524" w:name="_Toc28358"/>
      <w:bookmarkStart w:id="525" w:name="_Toc24610"/>
      <w:r>
        <w:rPr>
          <w:rFonts w:hint="eastAsia"/>
          <w:color w:val="auto"/>
          <w:lang w:val="en-US" w:eastAsia="zh-CN"/>
        </w:rPr>
        <w:t>3.4.2.17</w:t>
      </w:r>
      <w:r>
        <w:rPr>
          <w:rFonts w:hint="eastAsia"/>
          <w:color w:val="auto"/>
        </w:rPr>
        <w:t>与《阿克苏地区生态环境保护“十四五”规划》符合性分析</w:t>
      </w:r>
    </w:p>
    <w:p w14:paraId="67B4A05F">
      <w:pPr>
        <w:pStyle w:val="79"/>
        <w:bidi w:val="0"/>
        <w:rPr>
          <w:rFonts w:hint="default"/>
          <w:color w:val="auto"/>
        </w:rPr>
      </w:pPr>
      <w:r>
        <w:rPr>
          <w:rFonts w:hint="default"/>
          <w:color w:val="auto"/>
        </w:rPr>
        <w:t>规划指出：“加快清洁能源替代利用。加大电力、天然气等清洁能源供应，按照“宜电则电、宜气则气”的原则，积极推进清洁能源使用，“煤改气”要坚持“以气定改”。”“加强油气田废弃物的无害化处理和资源化利用，开展油气资源开发区历史遗留污染场地治理，对历史遗留油泥坑进行专项排查，建立整治清单、制定治理与修复计划”。</w:t>
      </w:r>
    </w:p>
    <w:p w14:paraId="20EAF0F8">
      <w:pPr>
        <w:pStyle w:val="79"/>
        <w:bidi w:val="0"/>
        <w:rPr>
          <w:rFonts w:hint="default"/>
          <w:color w:val="auto"/>
        </w:rPr>
      </w:pPr>
      <w:r>
        <w:rPr>
          <w:rFonts w:hint="default"/>
          <w:color w:val="auto"/>
        </w:rPr>
        <w:t>本</w:t>
      </w:r>
      <w:r>
        <w:rPr>
          <w:rFonts w:hint="default"/>
          <w:color w:val="auto"/>
          <w:lang w:val="en-US" w:eastAsia="zh-CN"/>
        </w:rPr>
        <w:t>项目</w:t>
      </w:r>
      <w:r>
        <w:rPr>
          <w:rFonts w:hint="default"/>
          <w:color w:val="auto"/>
        </w:rPr>
        <w:t>主要以</w:t>
      </w:r>
      <w:r>
        <w:rPr>
          <w:rFonts w:hint="eastAsia"/>
          <w:color w:val="auto"/>
          <w:lang w:val="en-US" w:eastAsia="zh-CN"/>
        </w:rPr>
        <w:t>石油</w:t>
      </w:r>
      <w:r>
        <w:rPr>
          <w:rFonts w:hint="default"/>
          <w:color w:val="auto"/>
        </w:rPr>
        <w:t>开采为主，年产气</w:t>
      </w:r>
      <w:r>
        <w:rPr>
          <w:rFonts w:hint="eastAsia"/>
          <w:color w:val="auto"/>
          <w:lang w:val="en-US" w:eastAsia="zh-CN"/>
        </w:rPr>
        <w:t>0.285</w:t>
      </w:r>
      <w:r>
        <w:rPr>
          <w:rFonts w:hint="default"/>
          <w:color w:val="auto"/>
        </w:rPr>
        <w:t>×10</w:t>
      </w:r>
      <w:r>
        <w:rPr>
          <w:rFonts w:hint="default"/>
          <w:color w:val="auto"/>
          <w:vertAlign w:val="superscript"/>
        </w:rPr>
        <w:t>8</w:t>
      </w:r>
      <w:r>
        <w:rPr>
          <w:rFonts w:hint="default"/>
          <w:color w:val="auto"/>
        </w:rPr>
        <w:t>m</w:t>
      </w:r>
      <w:r>
        <w:rPr>
          <w:rFonts w:hint="default"/>
          <w:color w:val="auto"/>
          <w:vertAlign w:val="superscript"/>
        </w:rPr>
        <w:t>3</w:t>
      </w:r>
      <w:r>
        <w:rPr>
          <w:rFonts w:hint="default"/>
          <w:color w:val="auto"/>
        </w:rPr>
        <w:t>，年产油</w:t>
      </w:r>
      <w:r>
        <w:rPr>
          <w:rFonts w:hint="eastAsia"/>
          <w:color w:val="auto"/>
          <w:lang w:val="en-US" w:eastAsia="zh-CN"/>
        </w:rPr>
        <w:t>6.9</w:t>
      </w:r>
      <w:r>
        <w:rPr>
          <w:rFonts w:hint="default"/>
          <w:color w:val="auto"/>
        </w:rPr>
        <w:t>×10</w:t>
      </w:r>
      <w:r>
        <w:rPr>
          <w:rFonts w:hint="default"/>
          <w:color w:val="auto"/>
          <w:vertAlign w:val="superscript"/>
        </w:rPr>
        <w:t>4</w:t>
      </w:r>
      <w:r>
        <w:rPr>
          <w:rFonts w:hint="default"/>
          <w:color w:val="auto"/>
        </w:rPr>
        <w:t>t，工程建设对于天然气的供应具有十分重要的意义。</w:t>
      </w:r>
    </w:p>
    <w:p w14:paraId="0A284483">
      <w:pPr>
        <w:pStyle w:val="79"/>
        <w:bidi w:val="0"/>
        <w:rPr>
          <w:rFonts w:hint="default"/>
          <w:color w:val="auto"/>
        </w:rPr>
      </w:pPr>
      <w:r>
        <w:rPr>
          <w:rFonts w:hint="default"/>
          <w:color w:val="auto"/>
          <w:lang w:eastAsia="zh-CN"/>
        </w:rPr>
        <w:t>本项目</w:t>
      </w:r>
      <w:r>
        <w:rPr>
          <w:rFonts w:hint="default"/>
          <w:color w:val="auto"/>
        </w:rPr>
        <w:t>施工期弃土弃渣全部利用；</w:t>
      </w:r>
      <w:r>
        <w:rPr>
          <w:rFonts w:hint="default"/>
          <w:color w:val="auto"/>
          <w:lang w:val="en-US" w:eastAsia="zh-CN"/>
        </w:rPr>
        <w:t>废油、含油废弃物</w:t>
      </w:r>
      <w:r>
        <w:rPr>
          <w:rFonts w:hint="default"/>
          <w:color w:val="auto"/>
        </w:rPr>
        <w:t>委托有危废处置资质单位接收处置；生活垃圾集中收集后运至温宿县垃圾填埋场处理；施工废料首先考虑回收利用，不可回收利用部分拉运至英买7固废场填埋处置。运营期产生的油泥（砂）、落地油、清管废渣和废防渗材料均委托</w:t>
      </w:r>
      <w:r>
        <w:rPr>
          <w:rFonts w:hint="default"/>
          <w:color w:val="auto"/>
          <w:lang w:val="en-US" w:eastAsia="zh-CN"/>
        </w:rPr>
        <w:t>有</w:t>
      </w:r>
      <w:r>
        <w:rPr>
          <w:rFonts w:hint="default"/>
          <w:color w:val="auto"/>
        </w:rPr>
        <w:t>危废资质单位妥善处理。</w:t>
      </w:r>
    </w:p>
    <w:p w14:paraId="75864DD3">
      <w:pPr>
        <w:pStyle w:val="55"/>
        <w:bidi w:val="0"/>
        <w:rPr>
          <w:rFonts w:hint="default"/>
          <w:color w:val="auto"/>
          <w:lang w:val="en-US" w:eastAsia="zh-CN"/>
        </w:rPr>
      </w:pPr>
      <w:r>
        <w:rPr>
          <w:rFonts w:hint="eastAsia"/>
          <w:color w:val="auto"/>
          <w:lang w:val="en-US" w:eastAsia="zh-CN"/>
        </w:rPr>
        <w:t>3.4.2.18与《阿克苏地区国土空间总体规划（2021年—2035年）》符合性分析</w:t>
      </w:r>
    </w:p>
    <w:p w14:paraId="09609B8E">
      <w:pPr>
        <w:pStyle w:val="79"/>
        <w:bidi w:val="0"/>
        <w:rPr>
          <w:rFonts w:hint="default"/>
          <w:color w:val="auto"/>
        </w:rPr>
      </w:pPr>
      <w:r>
        <w:rPr>
          <w:rFonts w:hint="default"/>
          <w:color w:val="auto"/>
        </w:rPr>
        <w:t>本项目与《阿克苏地区国土空间总体规划（2021年</w:t>
      </w:r>
      <w:r>
        <w:rPr>
          <w:rFonts w:hint="eastAsia"/>
          <w:color w:val="auto"/>
          <w:lang w:eastAsia="zh-CN"/>
        </w:rPr>
        <w:t>—</w:t>
      </w:r>
      <w:r>
        <w:rPr>
          <w:rFonts w:hint="default"/>
          <w:color w:val="auto"/>
        </w:rPr>
        <w:t>2035年）》相符性分析详见表3.</w:t>
      </w:r>
      <w:r>
        <w:rPr>
          <w:rFonts w:hint="eastAsia"/>
          <w:color w:val="auto"/>
          <w:lang w:val="en-US" w:eastAsia="zh-CN"/>
        </w:rPr>
        <w:t>4-12</w:t>
      </w:r>
      <w:r>
        <w:rPr>
          <w:rFonts w:hint="default"/>
          <w:color w:val="auto"/>
        </w:rPr>
        <w:t>。</w:t>
      </w:r>
    </w:p>
    <w:p w14:paraId="61FD6EA8">
      <w:pPr>
        <w:pStyle w:val="61"/>
        <w:bidi w:val="0"/>
        <w:jc w:val="both"/>
        <w:rPr>
          <w:rFonts w:hint="eastAsia"/>
          <w:color w:val="auto"/>
          <w:lang w:val="en-US" w:eastAsia="zh-CN"/>
        </w:rPr>
      </w:pPr>
      <w:r>
        <w:rPr>
          <w:rFonts w:hint="default"/>
          <w:color w:val="auto"/>
          <w:lang w:val="en-US" w:eastAsia="zh-CN"/>
        </w:rPr>
        <w:t>表3.</w:t>
      </w:r>
      <w:r>
        <w:rPr>
          <w:rFonts w:hint="eastAsia"/>
          <w:color w:val="auto"/>
          <w:lang w:val="en-US" w:eastAsia="zh-CN"/>
        </w:rPr>
        <w:t>4-12 与《阿克苏地区国土空间总体规划（2021年—2035年）》符合性分析</w:t>
      </w:r>
    </w:p>
    <w:tbl>
      <w:tblPr>
        <w:tblStyle w:val="36"/>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21"/>
        <w:gridCol w:w="4262"/>
        <w:gridCol w:w="2413"/>
        <w:gridCol w:w="834"/>
      </w:tblGrid>
      <w:tr w14:paraId="0AC6A3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48" w:type="pct"/>
            <w:tcBorders>
              <w:tl2br w:val="nil"/>
              <w:tr2bl w:val="nil"/>
            </w:tcBorders>
            <w:noWrap w:val="0"/>
            <w:vAlign w:val="center"/>
          </w:tcPr>
          <w:p w14:paraId="00BC5FD0">
            <w:pPr>
              <w:widowControl w:val="0"/>
              <w:spacing w:line="0" w:lineRule="atLeast"/>
              <w:jc w:val="center"/>
              <w:rPr>
                <w:rFonts w:ascii="Times New Roman" w:hAnsi="Times New Roman" w:cs="Times New Roman"/>
                <w:color w:val="auto"/>
                <w:kern w:val="2"/>
                <w:sz w:val="21"/>
                <w:szCs w:val="20"/>
              </w:rPr>
            </w:pPr>
            <w:r>
              <w:rPr>
                <w:rFonts w:hint="eastAsia" w:ascii="Times New Roman" w:hAnsi="Times New Roman" w:cs="Times New Roman"/>
                <w:color w:val="auto"/>
                <w:kern w:val="2"/>
                <w:sz w:val="20"/>
                <w:szCs w:val="20"/>
              </w:rPr>
              <w:t>文件名称</w:t>
            </w:r>
          </w:p>
        </w:tc>
        <w:tc>
          <w:tcPr>
            <w:tcW w:w="2412" w:type="pct"/>
            <w:tcBorders>
              <w:tl2br w:val="nil"/>
              <w:tr2bl w:val="nil"/>
            </w:tcBorders>
            <w:noWrap w:val="0"/>
            <w:vAlign w:val="center"/>
          </w:tcPr>
          <w:p w14:paraId="6E6B48CC">
            <w:pPr>
              <w:widowControl w:val="0"/>
              <w:spacing w:line="0" w:lineRule="atLeast"/>
              <w:jc w:val="center"/>
              <w:rPr>
                <w:rFonts w:ascii="Times New Roman" w:hAnsi="Times New Roman" w:cs="Times New Roman"/>
                <w:color w:val="auto"/>
                <w:kern w:val="2"/>
                <w:sz w:val="21"/>
                <w:szCs w:val="21"/>
              </w:rPr>
            </w:pPr>
            <w:r>
              <w:rPr>
                <w:rFonts w:ascii="Times New Roman" w:hAnsi="Times New Roman" w:cs="Times New Roman"/>
                <w:color w:val="auto"/>
                <w:kern w:val="2"/>
                <w:sz w:val="20"/>
                <w:szCs w:val="20"/>
              </w:rPr>
              <w:t>规划要求</w:t>
            </w:r>
          </w:p>
        </w:tc>
        <w:tc>
          <w:tcPr>
            <w:tcW w:w="1366" w:type="pct"/>
            <w:tcBorders>
              <w:tl2br w:val="nil"/>
              <w:tr2bl w:val="nil"/>
            </w:tcBorders>
            <w:noWrap w:val="0"/>
            <w:vAlign w:val="center"/>
          </w:tcPr>
          <w:p w14:paraId="24F98965">
            <w:pPr>
              <w:widowControl w:val="0"/>
              <w:spacing w:line="0" w:lineRule="atLeast"/>
              <w:jc w:val="center"/>
              <w:rPr>
                <w:rFonts w:ascii="Times New Roman" w:hAnsi="Times New Roman" w:cs="Times New Roman"/>
                <w:color w:val="auto"/>
                <w:kern w:val="2"/>
                <w:sz w:val="21"/>
                <w:szCs w:val="20"/>
              </w:rPr>
            </w:pPr>
            <w:r>
              <w:rPr>
                <w:rFonts w:ascii="Times New Roman" w:hAnsi="Times New Roman" w:cs="Times New Roman"/>
                <w:color w:val="auto"/>
                <w:kern w:val="2"/>
                <w:sz w:val="21"/>
                <w:szCs w:val="20"/>
              </w:rPr>
              <w:t>本项目</w:t>
            </w:r>
          </w:p>
        </w:tc>
        <w:tc>
          <w:tcPr>
            <w:tcW w:w="472" w:type="pct"/>
            <w:tcBorders>
              <w:tl2br w:val="nil"/>
              <w:tr2bl w:val="nil"/>
            </w:tcBorders>
            <w:noWrap w:val="0"/>
            <w:vAlign w:val="center"/>
          </w:tcPr>
          <w:p w14:paraId="29C6644C">
            <w:pPr>
              <w:widowControl w:val="0"/>
              <w:spacing w:line="0" w:lineRule="atLeast"/>
              <w:jc w:val="center"/>
              <w:rPr>
                <w:rFonts w:ascii="Times New Roman" w:hAnsi="Times New Roman" w:cs="Times New Roman"/>
                <w:color w:val="auto"/>
                <w:kern w:val="2"/>
                <w:sz w:val="21"/>
                <w:szCs w:val="20"/>
              </w:rPr>
            </w:pPr>
            <w:r>
              <w:rPr>
                <w:rFonts w:ascii="Times New Roman" w:hAnsi="Times New Roman" w:cs="Times New Roman"/>
                <w:color w:val="auto"/>
                <w:kern w:val="2"/>
                <w:sz w:val="21"/>
                <w:szCs w:val="20"/>
              </w:rPr>
              <w:t>符合性</w:t>
            </w:r>
          </w:p>
        </w:tc>
      </w:tr>
      <w:tr w14:paraId="24F332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28" w:type="dxa"/>
            <w:bottom w:w="0" w:type="dxa"/>
            <w:right w:w="28" w:type="dxa"/>
          </w:tblCellMar>
        </w:tblPrEx>
        <w:trPr>
          <w:trHeight w:val="23" w:hRule="atLeast"/>
          <w:jc w:val="center"/>
        </w:trPr>
        <w:tc>
          <w:tcPr>
            <w:tcW w:w="748" w:type="pct"/>
            <w:vMerge w:val="restart"/>
            <w:tcBorders>
              <w:tl2br w:val="nil"/>
              <w:tr2bl w:val="nil"/>
            </w:tcBorders>
            <w:shd w:val="clear" w:color="auto" w:fill="auto"/>
            <w:vAlign w:val="center"/>
          </w:tcPr>
          <w:p w14:paraId="3369CA0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《阿克苏地区国土空间总体规划（2021年</w:t>
            </w:r>
            <w:r>
              <w:rPr>
                <w:rFonts w:hint="eastAsia" w:cs="Times New Roman"/>
                <w:color w:val="auto"/>
                <w:spacing w:val="0"/>
                <w:sz w:val="21"/>
                <w:szCs w:val="21"/>
                <w:highlight w:val="none"/>
                <w:lang w:eastAsia="zh-CN"/>
              </w:rPr>
              <w:t>—</w:t>
            </w:r>
            <w:r>
              <w:rPr>
                <w:rFonts w:hint="default" w:ascii="Times New Roman" w:hAnsi="Times New Roman" w:cs="Times New Roman"/>
                <w:color w:val="auto"/>
                <w:spacing w:val="0"/>
                <w:sz w:val="21"/>
                <w:szCs w:val="21"/>
                <w:highlight w:val="none"/>
              </w:rPr>
              <w:t>2035年）》</w:t>
            </w:r>
          </w:p>
        </w:tc>
        <w:tc>
          <w:tcPr>
            <w:tcW w:w="2412" w:type="pct"/>
            <w:tcBorders>
              <w:tl2br w:val="nil"/>
              <w:tr2bl w:val="nil"/>
            </w:tcBorders>
            <w:shd w:val="clear" w:color="auto" w:fill="auto"/>
            <w:vAlign w:val="center"/>
          </w:tcPr>
          <w:p w14:paraId="5D39E77E">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pacing w:val="0"/>
                <w:sz w:val="21"/>
                <w:szCs w:val="21"/>
                <w:highlight w:val="none"/>
                <w:lang w:eastAsia="zh-CN"/>
              </w:rPr>
            </w:pPr>
            <w:r>
              <w:rPr>
                <w:rFonts w:hint="default" w:ascii="Times New Roman" w:hAnsi="Times New Roman" w:cs="Times New Roman"/>
                <w:color w:val="auto"/>
                <w:spacing w:val="0"/>
                <w:sz w:val="21"/>
                <w:szCs w:val="21"/>
                <w:highlight w:val="none"/>
                <w:lang w:eastAsia="zh-CN"/>
              </w:rPr>
              <w:t>严保永久基本农田保护红线、严守生态保护红线、严控城镇开发边界。</w:t>
            </w:r>
          </w:p>
          <w:p w14:paraId="07677722">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pacing w:val="0"/>
                <w:sz w:val="21"/>
                <w:szCs w:val="21"/>
                <w:highlight w:val="none"/>
                <w:lang w:eastAsia="zh-CN"/>
              </w:rPr>
            </w:pPr>
            <w:r>
              <w:rPr>
                <w:rFonts w:hint="default" w:ascii="Times New Roman" w:hAnsi="Times New Roman" w:cs="Times New Roman"/>
                <w:color w:val="auto"/>
                <w:spacing w:val="0"/>
                <w:sz w:val="21"/>
                <w:szCs w:val="21"/>
                <w:highlight w:val="none"/>
                <w:lang w:eastAsia="zh-CN"/>
              </w:rPr>
              <w:t>严守生态保护红线：以资源环境承载力为硬约束，结合“双评价”中生态保护极重要区评价，强调生态涵养，落实生态红线保护要求，切实做到应划尽划，应保尽保，实现一条生态保护红线管控重要生态空间。阿克苏地区生态红线主要分布于天山南脉、塔里木河上游沿岸、托什干河中下游沿岸。</w:t>
            </w:r>
          </w:p>
          <w:p w14:paraId="2264D0FE">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pacing w:val="0"/>
                <w:sz w:val="21"/>
                <w:szCs w:val="21"/>
                <w:highlight w:val="none"/>
                <w:lang w:eastAsia="zh-CN"/>
              </w:rPr>
            </w:pPr>
            <w:r>
              <w:rPr>
                <w:rFonts w:hint="default" w:ascii="Times New Roman" w:hAnsi="Times New Roman" w:cs="Times New Roman"/>
                <w:color w:val="auto"/>
                <w:spacing w:val="0"/>
                <w:sz w:val="21"/>
                <w:szCs w:val="21"/>
                <w:highlight w:val="none"/>
                <w:lang w:eastAsia="zh-CN"/>
              </w:rPr>
              <w:t>严控城镇开发边界：坚持节约优先、保护优先，严控增量、盘活存量，优化结构、提升效率，提高城镇建设用地集约化程度。在综合考虑城镇定位、发展方向和综合承载能力的基础上，科学研判城镇发展需求，优化城镇形态和布局，促进城镇有序、适度、紧凑发展，实现多中心、网络化、组团式、集约型的城乡国土空间格局。</w:t>
            </w:r>
          </w:p>
        </w:tc>
        <w:tc>
          <w:tcPr>
            <w:tcW w:w="1366" w:type="pct"/>
            <w:tcBorders>
              <w:tl2br w:val="nil"/>
              <w:tr2bl w:val="nil"/>
            </w:tcBorders>
            <w:shd w:val="clear" w:color="auto" w:fill="auto"/>
            <w:vAlign w:val="center"/>
          </w:tcPr>
          <w:p w14:paraId="69DF7B34">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pacing w:val="0"/>
                <w:sz w:val="21"/>
                <w:szCs w:val="21"/>
                <w:highlight w:val="none"/>
                <w:lang w:eastAsia="zh-CN"/>
              </w:rPr>
            </w:pPr>
            <w:r>
              <w:rPr>
                <w:rFonts w:hint="default" w:ascii="Times New Roman" w:hAnsi="Times New Roman" w:cs="Times New Roman"/>
                <w:color w:val="auto"/>
                <w:spacing w:val="0"/>
                <w:sz w:val="21"/>
                <w:szCs w:val="21"/>
                <w:highlight w:val="none"/>
                <w:lang w:eastAsia="zh-CN"/>
              </w:rPr>
              <w:t>本项目属于</w:t>
            </w:r>
            <w:r>
              <w:rPr>
                <w:rFonts w:hint="eastAsia" w:ascii="Times New Roman" w:hAnsi="Times New Roman" w:cs="Times New Roman"/>
                <w:color w:val="auto"/>
                <w:spacing w:val="0"/>
                <w:sz w:val="21"/>
                <w:szCs w:val="21"/>
                <w:highlight w:val="none"/>
                <w:lang w:val="en-US" w:eastAsia="zh-CN"/>
              </w:rPr>
              <w:t>油气</w:t>
            </w:r>
            <w:r>
              <w:rPr>
                <w:rFonts w:hint="default" w:ascii="Times New Roman" w:hAnsi="Times New Roman" w:cs="Times New Roman"/>
                <w:color w:val="auto"/>
                <w:spacing w:val="0"/>
                <w:sz w:val="21"/>
                <w:szCs w:val="21"/>
                <w:highlight w:val="none"/>
                <w:lang w:eastAsia="zh-CN"/>
              </w:rPr>
              <w:t>开采项目，所在区域不涉及基本农田、生态保护红线以及城镇开发边界，项目建设符合区域主体功能定位，对生态环境影响较小。</w:t>
            </w:r>
          </w:p>
        </w:tc>
        <w:tc>
          <w:tcPr>
            <w:tcW w:w="472" w:type="pct"/>
            <w:tcBorders>
              <w:tl2br w:val="nil"/>
              <w:tr2bl w:val="nil"/>
            </w:tcBorders>
            <w:shd w:val="clear" w:color="auto" w:fill="auto"/>
            <w:vAlign w:val="center"/>
          </w:tcPr>
          <w:p w14:paraId="0F9C305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u w:val="none"/>
                <w:lang w:bidi="ar"/>
              </w:rPr>
            </w:pPr>
            <w:r>
              <w:rPr>
                <w:rFonts w:hint="default" w:ascii="Times New Roman" w:hAnsi="Times New Roman" w:cs="Times New Roman"/>
                <w:color w:val="auto"/>
                <w:sz w:val="21"/>
                <w:szCs w:val="21"/>
                <w:highlight w:val="none"/>
                <w:u w:val="none"/>
                <w:lang w:bidi="ar"/>
              </w:rPr>
              <w:t>符合</w:t>
            </w:r>
          </w:p>
        </w:tc>
      </w:tr>
      <w:tr w14:paraId="4B6AC8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28" w:type="dxa"/>
            <w:bottom w:w="0" w:type="dxa"/>
            <w:right w:w="28" w:type="dxa"/>
          </w:tblCellMar>
        </w:tblPrEx>
        <w:trPr>
          <w:trHeight w:val="23" w:hRule="atLeast"/>
          <w:jc w:val="center"/>
        </w:trPr>
        <w:tc>
          <w:tcPr>
            <w:tcW w:w="748" w:type="pct"/>
            <w:vMerge w:val="continue"/>
            <w:tcBorders>
              <w:tl2br w:val="nil"/>
              <w:tr2bl w:val="nil"/>
            </w:tcBorders>
            <w:shd w:val="clear" w:color="auto" w:fill="auto"/>
          </w:tcPr>
          <w:p w14:paraId="794BCCE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0"/>
                <w:sz w:val="21"/>
                <w:szCs w:val="21"/>
                <w:highlight w:val="none"/>
              </w:rPr>
            </w:pPr>
          </w:p>
        </w:tc>
        <w:tc>
          <w:tcPr>
            <w:tcW w:w="2412" w:type="pct"/>
            <w:tcBorders>
              <w:tl2br w:val="nil"/>
              <w:tr2bl w:val="nil"/>
            </w:tcBorders>
            <w:shd w:val="clear" w:color="auto" w:fill="auto"/>
            <w:vAlign w:val="center"/>
          </w:tcPr>
          <w:p w14:paraId="55B7B4A8">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根据矿产资源现状分布以及矿产勘查开发保护布局。</w:t>
            </w:r>
          </w:p>
        </w:tc>
        <w:tc>
          <w:tcPr>
            <w:tcW w:w="1366" w:type="pct"/>
            <w:tcBorders>
              <w:tl2br w:val="nil"/>
              <w:tr2bl w:val="nil"/>
            </w:tcBorders>
            <w:shd w:val="clear" w:color="auto" w:fill="auto"/>
            <w:vAlign w:val="center"/>
          </w:tcPr>
          <w:p w14:paraId="3DBF385F">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eastAsia="zh-CN"/>
              </w:rPr>
              <w:t>本项目</w:t>
            </w:r>
            <w:r>
              <w:rPr>
                <w:rFonts w:hint="default" w:ascii="Times New Roman" w:hAnsi="Times New Roman" w:cs="Times New Roman"/>
                <w:color w:val="auto"/>
                <w:spacing w:val="0"/>
                <w:sz w:val="21"/>
                <w:szCs w:val="21"/>
                <w:highlight w:val="none"/>
                <w:lang w:val="en-US" w:eastAsia="zh-CN"/>
              </w:rPr>
              <w:t>属于矿产能源发展区、油气国家规划矿区。</w:t>
            </w:r>
          </w:p>
        </w:tc>
        <w:tc>
          <w:tcPr>
            <w:tcW w:w="472" w:type="pct"/>
            <w:tcBorders>
              <w:tl2br w:val="nil"/>
              <w:tr2bl w:val="nil"/>
            </w:tcBorders>
            <w:shd w:val="clear" w:color="auto" w:fill="auto"/>
            <w:vAlign w:val="center"/>
          </w:tcPr>
          <w:p w14:paraId="70B3CBC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符合</w:t>
            </w:r>
          </w:p>
        </w:tc>
      </w:tr>
    </w:tbl>
    <w:p w14:paraId="5FA80C44">
      <w:pPr>
        <w:pStyle w:val="54"/>
        <w:bidi w:val="0"/>
        <w:rPr>
          <w:rFonts w:hint="default"/>
          <w:color w:val="auto"/>
        </w:rPr>
      </w:pPr>
      <w:r>
        <w:rPr>
          <w:rFonts w:hint="default"/>
          <w:color w:val="auto"/>
        </w:rPr>
        <w:t>3</w:t>
      </w:r>
      <w:r>
        <w:rPr>
          <w:rFonts w:hint="eastAsia"/>
          <w:color w:val="auto"/>
          <w:lang w:val="en-US" w:eastAsia="zh-CN"/>
        </w:rPr>
        <w:t xml:space="preserve">.4.3 </w:t>
      </w:r>
      <w:r>
        <w:rPr>
          <w:rFonts w:hint="default"/>
          <w:color w:val="auto"/>
        </w:rPr>
        <w:t>生态环境分区管控符合性分析</w:t>
      </w:r>
    </w:p>
    <w:p w14:paraId="4D3F0B6F">
      <w:pPr>
        <w:pStyle w:val="79"/>
        <w:bidi w:val="0"/>
        <w:rPr>
          <w:rFonts w:hint="eastAsia"/>
          <w:color w:val="auto"/>
        </w:rPr>
      </w:pPr>
      <w:r>
        <w:rPr>
          <w:rFonts w:hint="eastAsia"/>
          <w:color w:val="auto"/>
          <w:lang w:eastAsia="zh-CN"/>
        </w:rPr>
        <w:t>“</w:t>
      </w:r>
      <w:r>
        <w:rPr>
          <w:rFonts w:hint="eastAsia"/>
          <w:color w:val="auto"/>
        </w:rPr>
        <w:t>三线一单</w:t>
      </w:r>
      <w:r>
        <w:rPr>
          <w:rFonts w:hint="eastAsia"/>
          <w:color w:val="auto"/>
          <w:lang w:eastAsia="zh-CN"/>
        </w:rPr>
        <w:t>”生态环境分区管控方案</w:t>
      </w:r>
      <w:r>
        <w:rPr>
          <w:rFonts w:hint="eastAsia"/>
          <w:color w:val="auto"/>
        </w:rPr>
        <w:t>，是指生态保护红线、环境质量底线、资源利用上线和生态环境准入清单，是推进生态环境保护精细化管理、强化国土空间环境管控、推进绿色发展高质量发展的一项重要工作。</w:t>
      </w:r>
    </w:p>
    <w:p w14:paraId="4DA92A4C">
      <w:pPr>
        <w:pStyle w:val="79"/>
        <w:bidi w:val="0"/>
        <w:rPr>
          <w:rFonts w:hint="eastAsia"/>
          <w:color w:val="auto"/>
          <w:lang w:val="en-US" w:eastAsia="zh-CN"/>
        </w:rPr>
      </w:pPr>
      <w:bookmarkStart w:id="526" w:name="_Toc19367"/>
      <w:r>
        <w:rPr>
          <w:rFonts w:hint="eastAsia"/>
          <w:color w:val="auto"/>
          <w:lang w:val="en-US" w:eastAsia="zh-CN"/>
        </w:rPr>
        <w:t>（1）生态保护红线</w:t>
      </w:r>
      <w:bookmarkEnd w:id="526"/>
    </w:p>
    <w:p w14:paraId="28899276">
      <w:pPr>
        <w:pStyle w:val="79"/>
        <w:bidi w:val="0"/>
        <w:rPr>
          <w:rFonts w:hint="eastAsia"/>
          <w:color w:val="auto"/>
          <w:lang w:val="en-US" w:eastAsia="zh-CN"/>
        </w:rPr>
      </w:pPr>
      <w:r>
        <w:rPr>
          <w:rFonts w:hint="eastAsia"/>
          <w:color w:val="auto"/>
          <w:lang w:val="en-US" w:eastAsia="zh-CN"/>
        </w:rPr>
        <w:t>生态保护红线指在生态空间范围内具有特殊重要生态功能、必须强制性严格保护的区域，是保障和维护国家生态安全的底线和生命线，通常包括具有重要水源涵养、生物多样性维护、水土保持、防风固沙、海岸生态稳定等功能的生态功能重要区域，以及水土流失、土地沙化、石漠化、盐渍化等生态环境敏感脆弱区域。</w:t>
      </w:r>
    </w:p>
    <w:p w14:paraId="32AD4637">
      <w:pPr>
        <w:pStyle w:val="79"/>
        <w:bidi w:val="0"/>
        <w:rPr>
          <w:rFonts w:hint="default"/>
          <w:color w:val="auto"/>
          <w:lang w:val="en-US" w:eastAsia="zh-CN"/>
        </w:rPr>
      </w:pPr>
      <w:r>
        <w:rPr>
          <w:rFonts w:hint="eastAsia"/>
          <w:color w:val="auto"/>
        </w:rPr>
        <w:t>根据</w:t>
      </w:r>
      <w:bookmarkStart w:id="527" w:name="OLE_LINK329"/>
      <w:r>
        <w:rPr>
          <w:rFonts w:hint="eastAsia"/>
          <w:color w:val="auto"/>
        </w:rPr>
        <w:t>《新疆维吾尔自治区“三线一单”生态环境分区管控方案》</w:t>
      </w:r>
      <w:r>
        <w:rPr>
          <w:rFonts w:hint="eastAsia"/>
          <w:color w:val="auto"/>
          <w:lang w:eastAsia="zh-CN"/>
        </w:rPr>
        <w:t>（</w:t>
      </w:r>
      <w:r>
        <w:rPr>
          <w:rFonts w:hint="eastAsia"/>
          <w:color w:val="auto"/>
        </w:rPr>
        <w:t>2023年动态更新版</w:t>
      </w:r>
      <w:r>
        <w:rPr>
          <w:rFonts w:hint="eastAsia"/>
          <w:color w:val="auto"/>
          <w:lang w:eastAsia="zh-CN"/>
        </w:rPr>
        <w:t>）</w:t>
      </w:r>
      <w:r>
        <w:rPr>
          <w:rFonts w:hint="eastAsia"/>
          <w:color w:val="auto"/>
        </w:rPr>
        <w:t>、《新疆维吾尔自治区七大片区“三线一单”生态环境分区管控要求》（新环环评发</w:t>
      </w:r>
      <w:r>
        <w:rPr>
          <w:rFonts w:hint="eastAsia"/>
          <w:color w:val="auto"/>
          <w:lang w:eastAsia="zh-CN"/>
        </w:rPr>
        <w:t>〔2021〕162号</w:t>
      </w:r>
      <w:r>
        <w:rPr>
          <w:rFonts w:hint="eastAsia"/>
          <w:color w:val="auto"/>
        </w:rPr>
        <w:t>）以及《关于印发阿克苏地区生态环境分区管控方案（2023年版）的通知》（阿地环字〔2024〕32号）要求，</w:t>
      </w:r>
      <w:bookmarkEnd w:id="527"/>
      <w:r>
        <w:rPr>
          <w:rFonts w:hint="eastAsia"/>
          <w:color w:val="auto"/>
        </w:rPr>
        <w:t>本工程位于</w:t>
      </w:r>
      <w:r>
        <w:rPr>
          <w:rFonts w:hint="eastAsia"/>
          <w:color w:val="auto"/>
          <w:lang w:val="en-US" w:eastAsia="zh-CN"/>
        </w:rPr>
        <w:t>温宿县一般管控单元（环境管控单元编码为ZH65292230001）</w:t>
      </w:r>
      <w:bookmarkStart w:id="528" w:name="OLE_LINK340"/>
      <w:r>
        <w:rPr>
          <w:rFonts w:hint="eastAsia"/>
          <w:color w:val="auto"/>
          <w:lang w:val="en-US" w:eastAsia="zh-CN"/>
        </w:rPr>
        <w:t>。</w:t>
      </w:r>
      <w:bookmarkEnd w:id="528"/>
    </w:p>
    <w:p w14:paraId="54DA5F30">
      <w:pPr>
        <w:pStyle w:val="79"/>
        <w:bidi w:val="0"/>
        <w:rPr>
          <w:rFonts w:hint="eastAsia"/>
          <w:color w:val="auto"/>
          <w:lang w:val="en-US" w:eastAsia="zh-CN"/>
        </w:rPr>
      </w:pPr>
      <w:bookmarkStart w:id="529" w:name="_Toc21195"/>
      <w:r>
        <w:rPr>
          <w:rFonts w:hint="eastAsia"/>
          <w:color w:val="auto"/>
          <w:lang w:val="en-US" w:eastAsia="zh-CN"/>
        </w:rPr>
        <w:t>（2）环境质量底线</w:t>
      </w:r>
      <w:bookmarkEnd w:id="529"/>
    </w:p>
    <w:p w14:paraId="3A7DF643">
      <w:pPr>
        <w:pStyle w:val="79"/>
        <w:bidi w:val="0"/>
        <w:rPr>
          <w:rFonts w:hint="default"/>
          <w:color w:val="auto"/>
          <w:lang w:val="en-US" w:eastAsia="zh-CN"/>
        </w:rPr>
      </w:pPr>
      <w:r>
        <w:rPr>
          <w:rFonts w:hint="default"/>
          <w:color w:val="auto"/>
          <w:lang w:val="en-US" w:eastAsia="zh-CN"/>
        </w:rPr>
        <w:t>本次评价现状调查结果显示，工程所在区域的环境空气为不达标区，超标因子主要为PM</w:t>
      </w:r>
      <w:r>
        <w:rPr>
          <w:rFonts w:hint="default"/>
          <w:color w:val="auto"/>
          <w:vertAlign w:val="subscript"/>
          <w:lang w:val="en-US" w:eastAsia="zh-CN"/>
        </w:rPr>
        <w:t>10</w:t>
      </w:r>
      <w:r>
        <w:rPr>
          <w:rFonts w:hint="default"/>
          <w:color w:val="auto"/>
          <w:lang w:val="en-US" w:eastAsia="zh-CN"/>
        </w:rPr>
        <w:t>，超标原因为当地气候条件干燥、自然扬尘导致；项目所在区域地下水水质天然背景值较高，溶解性总固体、总硬度、硫酸盐、氯化物、铁、锰均有不同程度超标，其余监测点各监测因子均能够满足《地下水质量标准》（GB/T14848-2017）Ⅲ类标准的要求；项目区声环境质量良好，满足《声环境质量标准》（GB3096-2008）2类区标准；根据监测结果可知，项目区土壤环境质量满足《土壤环境质量 建设用地土壤污染风险管控标准</w:t>
      </w:r>
      <w:r>
        <w:rPr>
          <w:rFonts w:hint="eastAsia"/>
          <w:color w:val="auto"/>
          <w:lang w:val="en-US" w:eastAsia="zh-CN"/>
        </w:rPr>
        <w:t>（</w:t>
      </w:r>
      <w:r>
        <w:rPr>
          <w:rFonts w:hint="default"/>
          <w:color w:val="auto"/>
          <w:lang w:val="en-US" w:eastAsia="zh-CN"/>
        </w:rPr>
        <w:t>试行</w:t>
      </w:r>
      <w:r>
        <w:rPr>
          <w:rFonts w:hint="eastAsia"/>
          <w:color w:val="auto"/>
          <w:lang w:val="en-US" w:eastAsia="zh-CN"/>
        </w:rPr>
        <w:t>）</w:t>
      </w:r>
      <w:r>
        <w:rPr>
          <w:rFonts w:hint="default"/>
          <w:color w:val="auto"/>
          <w:lang w:val="en-US" w:eastAsia="zh-CN"/>
        </w:rPr>
        <w:t>》</w:t>
      </w:r>
      <w:r>
        <w:rPr>
          <w:rFonts w:hint="eastAsia"/>
          <w:color w:val="auto"/>
          <w:lang w:val="en-US" w:eastAsia="zh-CN"/>
        </w:rPr>
        <w:t>（</w:t>
      </w:r>
      <w:r>
        <w:rPr>
          <w:rFonts w:hint="default"/>
          <w:color w:val="auto"/>
          <w:lang w:val="en-US" w:eastAsia="zh-CN"/>
        </w:rPr>
        <w:t>GB36600-2018</w:t>
      </w:r>
      <w:r>
        <w:rPr>
          <w:rFonts w:hint="eastAsia"/>
          <w:color w:val="auto"/>
          <w:lang w:val="en-US" w:eastAsia="zh-CN"/>
        </w:rPr>
        <w:t>）</w:t>
      </w:r>
      <w:r>
        <w:rPr>
          <w:rFonts w:hint="default"/>
          <w:color w:val="auto"/>
          <w:lang w:val="en-US" w:eastAsia="zh-CN"/>
        </w:rPr>
        <w:t>中表1第二类用地筛选值，石油烃类执行表2第二类用地筛选值。</w:t>
      </w:r>
    </w:p>
    <w:p w14:paraId="3CF365C6">
      <w:pPr>
        <w:pStyle w:val="79"/>
        <w:bidi w:val="0"/>
        <w:rPr>
          <w:rFonts w:hint="default"/>
          <w:color w:val="auto"/>
          <w:lang w:val="en-US" w:eastAsia="zh-CN"/>
        </w:rPr>
      </w:pPr>
      <w:r>
        <w:rPr>
          <w:rFonts w:hint="default"/>
          <w:color w:val="auto"/>
          <w:lang w:val="en-US" w:eastAsia="zh-CN"/>
        </w:rPr>
        <w:t>工程运营期产生的废气和噪声污染物均能达标排放，采取相应措施后经预测能够满足相关标准要求；污水采取了严格的治理和处置措施，全部综合利用，不外排；固废按照相关环保要求妥善处置，不会对项目区环境质量底线产生冲击，因此，本项目的建设符合环境质量底线要求。</w:t>
      </w:r>
    </w:p>
    <w:p w14:paraId="56F20C3F">
      <w:pPr>
        <w:pStyle w:val="79"/>
        <w:bidi w:val="0"/>
        <w:rPr>
          <w:rFonts w:hint="eastAsia"/>
          <w:color w:val="auto"/>
          <w:lang w:val="en-US" w:eastAsia="zh-CN"/>
        </w:rPr>
      </w:pPr>
      <w:bookmarkStart w:id="530" w:name="_Toc5300"/>
      <w:r>
        <w:rPr>
          <w:rFonts w:hint="eastAsia"/>
          <w:color w:val="auto"/>
          <w:lang w:val="en-US" w:eastAsia="zh-CN"/>
        </w:rPr>
        <w:t>（3）资源利用上线</w:t>
      </w:r>
      <w:bookmarkEnd w:id="530"/>
    </w:p>
    <w:p w14:paraId="5BCA96BF">
      <w:pPr>
        <w:pStyle w:val="79"/>
        <w:bidi w:val="0"/>
        <w:rPr>
          <w:rFonts w:hint="eastAsia"/>
          <w:color w:val="auto"/>
          <w:lang w:val="en-US" w:eastAsia="zh-CN"/>
        </w:rPr>
      </w:pPr>
      <w:r>
        <w:rPr>
          <w:rFonts w:hint="eastAsia"/>
          <w:color w:val="auto"/>
          <w:lang w:val="en-US" w:eastAsia="zh-CN"/>
        </w:rPr>
        <w:t>本工程开发过程中的生产废水进行综合利用，节约了水资源；试采工程中，天然气采用密闭流程，原油罐车拉运采用气相平衡，有效减少了烃类物质挥发；不消耗燃料；能源利用均在区域供气、供电负荷范围内，消耗未超出区域负荷上限。本工程占地类型主要为天然牧草地，土地资源消耗符合要求。总之，本工程开发符合资源利用上线要求。</w:t>
      </w:r>
    </w:p>
    <w:p w14:paraId="2A457CDD">
      <w:pPr>
        <w:pStyle w:val="79"/>
        <w:bidi w:val="0"/>
        <w:rPr>
          <w:rFonts w:hint="eastAsia"/>
          <w:color w:val="auto"/>
          <w:lang w:val="en-US" w:eastAsia="zh-CN"/>
        </w:rPr>
      </w:pPr>
      <w:bookmarkStart w:id="531" w:name="_Toc13798"/>
      <w:r>
        <w:rPr>
          <w:rFonts w:hint="eastAsia"/>
          <w:color w:val="auto"/>
          <w:lang w:val="en-US" w:eastAsia="zh-CN"/>
        </w:rPr>
        <w:t>（4）生态环境准入清单</w:t>
      </w:r>
      <w:bookmarkEnd w:id="531"/>
    </w:p>
    <w:p w14:paraId="2A16639F">
      <w:pPr>
        <w:pStyle w:val="79"/>
        <w:bidi w:val="0"/>
        <w:rPr>
          <w:rFonts w:hint="eastAsia"/>
          <w:color w:val="auto"/>
          <w:lang w:val="en-US" w:eastAsia="zh-CN"/>
        </w:rPr>
      </w:pPr>
      <w:r>
        <w:rPr>
          <w:rFonts w:hint="eastAsia"/>
          <w:color w:val="auto"/>
          <w:lang w:val="en-US" w:eastAsia="zh-CN"/>
        </w:rPr>
        <w:t>石油天然气开发是当前国民经济的重要基础产业和支柱产业，根据《产业结构调整指导目录（2024年本）》，将“石油、天然气勘探及开采”列入“鼓励类”项目。可知，石油天然气开发属于国家重点鼓励发展的产业，本工程的建设符合国家的相关政策。</w:t>
      </w:r>
    </w:p>
    <w:p w14:paraId="333F4857">
      <w:pPr>
        <w:pStyle w:val="79"/>
        <w:bidi w:val="0"/>
        <w:rPr>
          <w:rFonts w:hint="eastAsia"/>
          <w:color w:val="auto"/>
          <w:lang w:val="en-US" w:eastAsia="zh-CN"/>
        </w:rPr>
      </w:pPr>
      <w:r>
        <w:rPr>
          <w:rFonts w:hint="eastAsia"/>
          <w:color w:val="auto"/>
          <w:lang w:val="en-US" w:eastAsia="zh-CN"/>
        </w:rPr>
        <w:t>综上所述，本工程建设符合生态环境分区管控方案要求。</w:t>
      </w:r>
    </w:p>
    <w:p w14:paraId="027F368D">
      <w:pPr>
        <w:pStyle w:val="79"/>
        <w:bidi w:val="0"/>
        <w:rPr>
          <w:rFonts w:hint="eastAsia"/>
          <w:color w:val="auto"/>
          <w:lang w:val="en-US" w:eastAsia="zh-CN"/>
        </w:rPr>
      </w:pPr>
      <w:r>
        <w:rPr>
          <w:rFonts w:hint="eastAsia"/>
          <w:color w:val="auto"/>
          <w:lang w:val="en-US" w:eastAsia="zh-CN"/>
        </w:rPr>
        <w:t>本工程与生态保护红线位置关系，见图3.4-1</w:t>
      </w:r>
      <w:bookmarkStart w:id="532" w:name="OLE_LINK341"/>
      <w:r>
        <w:rPr>
          <w:rFonts w:hint="eastAsia"/>
          <w:color w:val="auto"/>
          <w:lang w:val="en-US" w:eastAsia="zh-CN"/>
        </w:rPr>
        <w:t>。</w:t>
      </w:r>
    </w:p>
    <w:bookmarkEnd w:id="532"/>
    <w:p w14:paraId="761042BF">
      <w:pPr>
        <w:pStyle w:val="79"/>
        <w:bidi w:val="0"/>
        <w:rPr>
          <w:rFonts w:hint="eastAsia" w:ascii="宋体" w:hAnsi="宋体" w:eastAsia="宋体" w:cs="宋体"/>
          <w:bCs/>
          <w:color w:val="auto"/>
          <w:spacing w:val="-6"/>
          <w:kern w:val="0"/>
          <w:szCs w:val="24"/>
          <w:highlight w:val="none"/>
          <w:lang w:val="en-US" w:eastAsia="zh-CN" w:bidi="ar-SA"/>
        </w:rPr>
        <w:sectPr>
          <w:pgSz w:w="11906"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AndChars" w:linePitch="316" w:charSpace="0"/>
        </w:sectPr>
      </w:pPr>
      <w:r>
        <w:rPr>
          <w:rFonts w:hint="eastAsia"/>
          <w:color w:val="auto"/>
          <w:lang w:val="en-US" w:eastAsia="zh-CN"/>
        </w:rPr>
        <w:t>具体管控要求符合性能分析，见表3.4-12、表3.4-14。</w:t>
      </w:r>
    </w:p>
    <w:p w14:paraId="09114AC0">
      <w:pPr>
        <w:bidi w:val="0"/>
        <w:jc w:val="center"/>
        <w:rPr>
          <w:rFonts w:hint="eastAsia" w:ascii="黑体" w:hAnsi="黑体" w:eastAsia="黑体" w:cs="黑体"/>
          <w:b/>
          <w:bCs w:val="0"/>
          <w:color w:val="auto"/>
          <w:kern w:val="2"/>
          <w:sz w:val="24"/>
          <w:szCs w:val="24"/>
          <w:lang w:val="en-US" w:eastAsia="zh-CN" w:bidi="ar-SA"/>
        </w:rPr>
        <w:sectPr>
          <w:pgSz w:w="16838" w:h="11906" w:orient="landscape"/>
          <w:pgMar w:top="1814" w:right="1474" w:bottom="1474" w:left="1474" w:header="850" w:footer="992" w:gutter="0"/>
          <w:pgBorders>
            <w:top w:val="none" w:sz="0" w:space="0"/>
            <w:left w:val="none" w:sz="0" w:space="0"/>
            <w:bottom w:val="none" w:sz="0" w:space="0"/>
            <w:right w:val="none" w:sz="0" w:space="0"/>
          </w:pgBorders>
          <w:pgNumType w:fmt="decimal"/>
          <w:cols w:space="0" w:num="1"/>
          <w:rtlGutter w:val="0"/>
          <w:docGrid w:type="linesAndChars" w:linePitch="316" w:charSpace="0"/>
        </w:sectPr>
      </w:pPr>
      <w:r>
        <w:rPr>
          <w:color w:val="auto"/>
          <w:sz w:val="21"/>
        </w:rPr>
        <mc:AlternateContent>
          <mc:Choice Requires="wps">
            <w:drawing>
              <wp:anchor distT="0" distB="0" distL="114300" distR="114300" simplePos="0" relativeHeight="251688960" behindDoc="0" locked="0" layoutInCell="1" allowOverlap="1">
                <wp:simplePos x="0" y="0"/>
                <wp:positionH relativeFrom="column">
                  <wp:posOffset>2474595</wp:posOffset>
                </wp:positionH>
                <wp:positionV relativeFrom="paragraph">
                  <wp:posOffset>1567815</wp:posOffset>
                </wp:positionV>
                <wp:extent cx="655955" cy="423545"/>
                <wp:effectExtent l="0" t="0" r="10795" b="14605"/>
                <wp:wrapNone/>
                <wp:docPr id="33" name="矩形 33"/>
                <wp:cNvGraphicFramePr/>
                <a:graphic xmlns:a="http://schemas.openxmlformats.org/drawingml/2006/main">
                  <a:graphicData uri="http://schemas.microsoft.com/office/word/2010/wordprocessingShape">
                    <wps:wsp>
                      <wps:cNvSpPr/>
                      <wps:spPr>
                        <a:xfrm>
                          <a:off x="2931795" y="2477135"/>
                          <a:ext cx="655955" cy="4235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4.85pt;margin-top:123.45pt;height:33.35pt;width:51.65pt;z-index:251688960;v-text-anchor:middle;mso-width-relative:page;mso-height-relative:page;" fillcolor="#FFFFFF [3212]" filled="t" stroked="f" coordsize="21600,21600" o:gfxdata="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GZ+e4PbAAAACwEAAA8AAAAAAAAAAQAgAAAAIgAA&#10;AGRycy9kb3ducmV2LnhtbFBLAQIUABQAAAAIAIdO4kCq3yMJdwIAANgEAAAOAAAAAAAAAAEAIAAA&#10;ACoBAABkcnMvZTJvRG9jLnhtbFBLBQYAAAAABgAGAFkBAAATBgAAAAA=&#10;">
                <v:fill on="t" focussize="0,0"/>
                <v:stroke on="f" weight="1pt" miterlimit="8" joinstyle="miter"/>
                <v:imagedata o:title=""/>
                <o:lock v:ext="edit" aspectratio="f"/>
              </v:rect>
            </w:pict>
          </mc:Fallback>
        </mc:AlternateContent>
      </w:r>
      <w:bookmarkStart w:id="533" w:name="OLE_LINK326"/>
      <w:r>
        <w:rPr>
          <w:rFonts w:hint="eastAsia" w:ascii="黑体" w:hAnsi="黑体" w:eastAsia="黑体" w:cs="黑体"/>
          <w:b/>
          <w:bCs w:val="0"/>
          <w:color w:val="auto"/>
          <w:kern w:val="2"/>
          <w:sz w:val="24"/>
          <w:szCs w:val="24"/>
          <w:lang w:val="en-US" w:eastAsia="zh-CN" w:bidi="ar-SA"/>
        </w:rPr>
        <w:t>图3.4-1  本工程与生态保护红线位置关系图</w:t>
      </w:r>
      <w:bookmarkEnd w:id="533"/>
    </w:p>
    <w:p w14:paraId="6628D615">
      <w:pPr>
        <w:pStyle w:val="61"/>
        <w:bidi w:val="0"/>
        <w:jc w:val="both"/>
        <w:rPr>
          <w:rFonts w:hint="default"/>
          <w:color w:val="auto"/>
          <w:lang w:val="en-US" w:eastAsia="zh-CN"/>
        </w:rPr>
      </w:pPr>
      <w:r>
        <w:rPr>
          <w:rFonts w:hint="eastAsia"/>
          <w:color w:val="auto"/>
          <w:lang w:val="en-US" w:eastAsia="zh-CN"/>
        </w:rPr>
        <w:t>表3.4-12 本项目与《新疆维吾尔自治区“三线一单”生态环境分区管控方案》（2023年动态更新版）符合性分析</w:t>
      </w:r>
    </w:p>
    <w:tbl>
      <w:tblPr>
        <w:tblStyle w:val="36"/>
        <w:tblW w:w="4972"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22"/>
        <w:gridCol w:w="5232"/>
        <w:gridCol w:w="6758"/>
        <w:gridCol w:w="915"/>
      </w:tblGrid>
      <w:tr w14:paraId="7B75E7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400" w:type="pct"/>
            <w:tcBorders>
              <w:tl2br w:val="nil"/>
              <w:tr2bl w:val="nil"/>
            </w:tcBorders>
            <w:noWrap w:val="0"/>
            <w:vAlign w:val="center"/>
          </w:tcPr>
          <w:p w14:paraId="3CA8B5D2">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1864" w:type="pct"/>
            <w:tcBorders>
              <w:tl2br w:val="nil"/>
              <w:tr2bl w:val="nil"/>
            </w:tcBorders>
            <w:noWrap w:val="0"/>
            <w:vAlign w:val="center"/>
          </w:tcPr>
          <w:p w14:paraId="0CE9411E">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文件要求</w:t>
            </w:r>
          </w:p>
        </w:tc>
        <w:tc>
          <w:tcPr>
            <w:tcW w:w="2408" w:type="pct"/>
            <w:tcBorders>
              <w:tl2br w:val="nil"/>
              <w:tr2bl w:val="nil"/>
            </w:tcBorders>
            <w:noWrap w:val="0"/>
            <w:vAlign w:val="center"/>
          </w:tcPr>
          <w:p w14:paraId="0C9C0FC7">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符合性分析</w:t>
            </w:r>
          </w:p>
        </w:tc>
        <w:tc>
          <w:tcPr>
            <w:tcW w:w="326" w:type="pct"/>
            <w:tcBorders>
              <w:tl2br w:val="nil"/>
              <w:tr2bl w:val="nil"/>
            </w:tcBorders>
            <w:noWrap w:val="0"/>
            <w:vAlign w:val="center"/>
          </w:tcPr>
          <w:p w14:paraId="392F86C5">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结论</w:t>
            </w:r>
          </w:p>
        </w:tc>
      </w:tr>
      <w:tr w14:paraId="6B9B26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0" w:type="pct"/>
            <w:tcBorders>
              <w:tl2br w:val="nil"/>
              <w:tr2bl w:val="nil"/>
            </w:tcBorders>
            <w:noWrap w:val="0"/>
            <w:vAlign w:val="center"/>
          </w:tcPr>
          <w:p w14:paraId="77F59DCA">
            <w:pPr>
              <w:autoSpaceDE w:val="0"/>
              <w:autoSpaceDN w:val="0"/>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生态保护红线</w:t>
            </w:r>
          </w:p>
        </w:tc>
        <w:tc>
          <w:tcPr>
            <w:tcW w:w="1864" w:type="pct"/>
            <w:tcBorders>
              <w:tl2br w:val="nil"/>
              <w:tr2bl w:val="nil"/>
            </w:tcBorders>
            <w:noWrap w:val="0"/>
            <w:vAlign w:val="center"/>
          </w:tcPr>
          <w:p w14:paraId="148B16BE">
            <w:pPr>
              <w:autoSpaceDE w:val="0"/>
              <w:autoSpaceDN w:val="0"/>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保护红线是生态空间范围内具有特殊重要生态功能必须实行强制性严格保护的区域。相关环评应将生态空间管控作为重要内容，区域涉及生态保护红线的，在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2408" w:type="pct"/>
            <w:tcBorders>
              <w:tl2br w:val="nil"/>
              <w:tr2bl w:val="nil"/>
            </w:tcBorders>
            <w:noWrap w:val="0"/>
            <w:vAlign w:val="center"/>
          </w:tcPr>
          <w:p w14:paraId="08F1CB0C">
            <w:pPr>
              <w:pStyle w:val="60"/>
              <w:spacing w:line="240" w:lineRule="auto"/>
              <w:ind w:firstLine="0" w:firstLineChars="0"/>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根据《新疆维吾尔自治区“三线一单”生态环境分区管控方案》（2023年动态更新版）</w:t>
            </w:r>
            <w:r>
              <w:rPr>
                <w:rFonts w:hint="default" w:ascii="Times New Roman" w:hAnsi="Times New Roman" w:eastAsia="宋体" w:cs="Times New Roman"/>
                <w:color w:val="auto"/>
                <w:kern w:val="0"/>
                <w:sz w:val="21"/>
                <w:szCs w:val="21"/>
              </w:rPr>
              <w:t>、《关于印发阿克苏地区生态环境分区管控方案（2023年版）的通知》（阿地环字〔2024〕32号）</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highlight w:val="none"/>
              </w:rPr>
              <w:t>本项目井场</w:t>
            </w:r>
            <w:r>
              <w:rPr>
                <w:rFonts w:hint="eastAsia" w:cs="Times New Roman"/>
                <w:color w:val="auto"/>
                <w:kern w:val="0"/>
                <w:sz w:val="21"/>
                <w:szCs w:val="21"/>
                <w:highlight w:val="none"/>
                <w:lang w:val="en-US" w:eastAsia="zh-CN"/>
              </w:rPr>
              <w:t>、试采点</w:t>
            </w:r>
            <w:r>
              <w:rPr>
                <w:rFonts w:hint="default" w:ascii="Times New Roman" w:hAnsi="Times New Roman" w:eastAsia="宋体" w:cs="Times New Roman"/>
                <w:color w:val="auto"/>
                <w:kern w:val="0"/>
                <w:sz w:val="21"/>
                <w:szCs w:val="21"/>
                <w:highlight w:val="none"/>
              </w:rPr>
              <w:t>及管线均属于温宿县一般管控单元（环境管控单元编码为ZH65292230001）。不</w:t>
            </w:r>
            <w:r>
              <w:rPr>
                <w:rFonts w:hint="default" w:ascii="Times New Roman" w:hAnsi="Times New Roman" w:eastAsia="宋体" w:cs="Times New Roman"/>
                <w:color w:val="auto"/>
                <w:kern w:val="0"/>
                <w:sz w:val="21"/>
                <w:szCs w:val="21"/>
              </w:rPr>
              <w:t>在划定的生态保护红线内，不在自然保护地核心保护区；评价范围内没有自然保护区、风景名胜区、饮用水源保护区、基本草原以及文物保护单位等环境敏感目标。综上，本项目符合生态保护红线要求。</w:t>
            </w:r>
          </w:p>
        </w:tc>
        <w:tc>
          <w:tcPr>
            <w:tcW w:w="326" w:type="pct"/>
            <w:tcBorders>
              <w:tl2br w:val="nil"/>
              <w:tr2bl w:val="nil"/>
            </w:tcBorders>
            <w:noWrap w:val="0"/>
            <w:vAlign w:val="center"/>
          </w:tcPr>
          <w:p w14:paraId="20C88BD7">
            <w:pPr>
              <w:autoSpaceDE w:val="0"/>
              <w:autoSpaceDN w:val="0"/>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w:t>
            </w:r>
          </w:p>
        </w:tc>
      </w:tr>
      <w:tr w14:paraId="554D5A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0" w:type="pct"/>
            <w:tcBorders>
              <w:tl2br w:val="nil"/>
              <w:tr2bl w:val="nil"/>
            </w:tcBorders>
            <w:noWrap w:val="0"/>
            <w:vAlign w:val="center"/>
          </w:tcPr>
          <w:p w14:paraId="63B13053">
            <w:pPr>
              <w:autoSpaceDE w:val="0"/>
              <w:autoSpaceDN w:val="0"/>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环境质量底线</w:t>
            </w:r>
          </w:p>
        </w:tc>
        <w:tc>
          <w:tcPr>
            <w:tcW w:w="1864" w:type="pct"/>
            <w:tcBorders>
              <w:tl2br w:val="nil"/>
              <w:tr2bl w:val="nil"/>
            </w:tcBorders>
            <w:noWrap w:val="0"/>
            <w:vAlign w:val="center"/>
          </w:tcPr>
          <w:p w14:paraId="59457B85">
            <w:pPr>
              <w:autoSpaceDE w:val="0"/>
              <w:autoSpaceDN w:val="0"/>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质量底线是国家和地方设置的大气、水和土壤环境质量目标，也是改善环境质量的基准线。有关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2408" w:type="pct"/>
            <w:tcBorders>
              <w:tl2br w:val="nil"/>
              <w:tr2bl w:val="nil"/>
            </w:tcBorders>
            <w:noWrap w:val="0"/>
            <w:vAlign w:val="center"/>
          </w:tcPr>
          <w:p w14:paraId="2BE15C18">
            <w:pPr>
              <w:pStyle w:val="92"/>
              <w:snapToGrid w:val="0"/>
              <w:jc w:val="both"/>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本项目为</w:t>
            </w:r>
            <w:r>
              <w:rPr>
                <w:rFonts w:hint="eastAsia" w:ascii="Times New Roman" w:hAnsi="Times New Roman" w:eastAsia="宋体" w:cs="Times New Roman"/>
                <w:color w:val="auto"/>
                <w:sz w:val="21"/>
                <w:szCs w:val="21"/>
                <w:lang w:val="en-US" w:eastAsia="zh-CN"/>
              </w:rPr>
              <w:t>石油</w:t>
            </w:r>
            <w:r>
              <w:rPr>
                <w:rFonts w:hint="default" w:ascii="Times New Roman" w:hAnsi="Times New Roman" w:eastAsia="宋体" w:cs="Times New Roman"/>
                <w:color w:val="auto"/>
                <w:sz w:val="21"/>
                <w:szCs w:val="21"/>
              </w:rPr>
              <w:t>开采项目。</w:t>
            </w:r>
            <w:r>
              <w:rPr>
                <w:rFonts w:hint="default" w:ascii="Times New Roman" w:hAnsi="Times New Roman" w:eastAsia="宋体" w:cs="Times New Roman"/>
                <w:color w:val="auto"/>
                <w:kern w:val="2"/>
                <w:sz w:val="21"/>
                <w:szCs w:val="21"/>
                <w:highlight w:val="none"/>
              </w:rPr>
              <w:t>施工期污水不排入地表水体，不会突破水环境质量底线；</w:t>
            </w:r>
            <w:r>
              <w:rPr>
                <w:rFonts w:hint="default" w:ascii="Times New Roman" w:hAnsi="Times New Roman" w:eastAsia="宋体" w:cs="Times New Roman"/>
                <w:color w:val="auto"/>
                <w:kern w:val="2"/>
                <w:sz w:val="21"/>
                <w:szCs w:val="21"/>
              </w:rPr>
              <w:t>施工期产生的</w:t>
            </w:r>
            <w:r>
              <w:rPr>
                <w:rFonts w:hint="default" w:ascii="Times New Roman" w:hAnsi="Times New Roman" w:eastAsia="宋体" w:cs="Times New Roman"/>
                <w:color w:val="auto"/>
                <w:sz w:val="21"/>
                <w:szCs w:val="21"/>
                <w:lang w:val="en-US" w:eastAsia="zh-CN"/>
              </w:rPr>
              <w:t>施工废料首先考虑回收利用，不可回收利用部分拉运至英买作业区英买7固废场填埋处置</w:t>
            </w:r>
            <w:r>
              <w:rPr>
                <w:rFonts w:hint="default" w:ascii="Times New Roman" w:hAnsi="Times New Roman" w:eastAsia="宋体" w:cs="Times New Roman"/>
                <w:color w:val="auto"/>
                <w:kern w:val="2"/>
                <w:sz w:val="21"/>
                <w:szCs w:val="21"/>
              </w:rPr>
              <w:t>；施工过程中产生的噪声采取有效的污染防治措施，能够达标排放，不会突破声环境质量底线。</w:t>
            </w:r>
            <w:r>
              <w:rPr>
                <w:rFonts w:hint="default" w:ascii="Times New Roman" w:hAnsi="Times New Roman" w:eastAsia="宋体" w:cs="Times New Roman"/>
                <w:color w:val="auto"/>
                <w:sz w:val="21"/>
                <w:szCs w:val="21"/>
                <w:lang w:val="zh-CN"/>
              </w:rPr>
              <w:t>所在区域属于大气环境质量不达标区域，油气采取密闭集输工艺，本项目已提出持续改善、防风固沙、生态修复的要求，项目实施后建设单位应不断强化大气污染源防治措施，改善区域环境空气质量。</w:t>
            </w:r>
            <w:r>
              <w:rPr>
                <w:rFonts w:hint="default" w:ascii="Times New Roman" w:hAnsi="Times New Roman" w:eastAsia="宋体" w:cs="Times New Roman"/>
                <w:color w:val="auto"/>
                <w:kern w:val="2"/>
                <w:sz w:val="21"/>
                <w:szCs w:val="21"/>
              </w:rPr>
              <w:t>符合环境质量底线要求。</w:t>
            </w:r>
          </w:p>
        </w:tc>
        <w:tc>
          <w:tcPr>
            <w:tcW w:w="326" w:type="pct"/>
            <w:tcBorders>
              <w:tl2br w:val="nil"/>
              <w:tr2bl w:val="nil"/>
            </w:tcBorders>
            <w:noWrap w:val="0"/>
            <w:vAlign w:val="center"/>
          </w:tcPr>
          <w:p w14:paraId="542AA86A">
            <w:pPr>
              <w:autoSpaceDE w:val="0"/>
              <w:autoSpaceDN w:val="0"/>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w:t>
            </w:r>
          </w:p>
        </w:tc>
      </w:tr>
      <w:tr w14:paraId="3175D8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0" w:type="pct"/>
            <w:tcBorders>
              <w:tl2br w:val="nil"/>
              <w:tr2bl w:val="nil"/>
            </w:tcBorders>
            <w:noWrap w:val="0"/>
            <w:vAlign w:val="center"/>
          </w:tcPr>
          <w:p w14:paraId="393889C3">
            <w:pPr>
              <w:autoSpaceDE w:val="0"/>
              <w:autoSpaceDN w:val="0"/>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资源利用上线</w:t>
            </w:r>
          </w:p>
        </w:tc>
        <w:tc>
          <w:tcPr>
            <w:tcW w:w="1864" w:type="pct"/>
            <w:tcBorders>
              <w:tl2br w:val="nil"/>
              <w:tr2bl w:val="nil"/>
            </w:tcBorders>
            <w:noWrap w:val="0"/>
            <w:vAlign w:val="center"/>
          </w:tcPr>
          <w:p w14:paraId="1596C479">
            <w:pPr>
              <w:autoSpaceDE w:val="0"/>
              <w:autoSpaceDN w:val="0"/>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是环境的载体，资源利用上线是各地区能源、水、土地等资源消耗不得突破的“天花板”。相关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tc>
        <w:tc>
          <w:tcPr>
            <w:tcW w:w="2408" w:type="pct"/>
            <w:tcBorders>
              <w:tl2br w:val="nil"/>
              <w:tr2bl w:val="nil"/>
            </w:tcBorders>
            <w:noWrap w:val="0"/>
            <w:vAlign w:val="center"/>
          </w:tcPr>
          <w:p w14:paraId="7A2C3B1A">
            <w:pPr>
              <w:pStyle w:val="60"/>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w:t>
            </w:r>
            <w:r>
              <w:rPr>
                <w:rFonts w:hint="default" w:ascii="Times New Roman" w:hAnsi="Times New Roman" w:eastAsia="宋体" w:cs="Times New Roman"/>
                <w:color w:val="auto"/>
                <w:sz w:val="21"/>
                <w:szCs w:val="21"/>
                <w:highlight w:val="none"/>
              </w:rPr>
              <w:t>项目占地类型主要为</w:t>
            </w:r>
            <w:r>
              <w:rPr>
                <w:rFonts w:hint="eastAsia" w:cs="Times New Roman"/>
                <w:color w:val="auto"/>
                <w:sz w:val="21"/>
                <w:szCs w:val="21"/>
                <w:highlight w:val="none"/>
                <w:lang w:val="en-US" w:eastAsia="zh-CN"/>
              </w:rPr>
              <w:t>天然牧草地</w:t>
            </w:r>
            <w:r>
              <w:rPr>
                <w:rFonts w:hint="default" w:ascii="Times New Roman" w:hAnsi="Times New Roman" w:eastAsia="宋体" w:cs="Times New Roman"/>
                <w:color w:val="auto"/>
                <w:sz w:val="21"/>
                <w:szCs w:val="21"/>
              </w:rPr>
              <w:t>，项目的建设占用土地资源相对区域资源利用较少，土地资源消耗符合要求。项目</w:t>
            </w:r>
            <w:r>
              <w:rPr>
                <w:rFonts w:hint="default" w:ascii="Times New Roman" w:hAnsi="Times New Roman" w:eastAsia="宋体" w:cs="Times New Roman"/>
                <w:color w:val="auto"/>
                <w:sz w:val="21"/>
                <w:szCs w:val="21"/>
                <w:lang w:val="en-US" w:eastAsia="zh-CN"/>
              </w:rPr>
              <w:t>运营期</w:t>
            </w:r>
            <w:r>
              <w:rPr>
                <w:rFonts w:hint="default" w:ascii="Times New Roman" w:hAnsi="Times New Roman" w:eastAsia="宋体" w:cs="Times New Roman"/>
                <w:color w:val="auto"/>
                <w:sz w:val="21"/>
                <w:szCs w:val="21"/>
              </w:rPr>
              <w:t>耗水环节仅为井下作业用水，用水量较少，节约了水资源；消耗量总体相对区域资源利用总量较少</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能源利用均在区域负荷范围内，消耗未超出区域负荷上限。各项资源量在区域的可承受范围内，不逾越资源利用上线，符合资源利用上线要求。</w:t>
            </w:r>
          </w:p>
        </w:tc>
        <w:tc>
          <w:tcPr>
            <w:tcW w:w="326" w:type="pct"/>
            <w:tcBorders>
              <w:tl2br w:val="nil"/>
              <w:tr2bl w:val="nil"/>
            </w:tcBorders>
            <w:noWrap w:val="0"/>
            <w:vAlign w:val="center"/>
          </w:tcPr>
          <w:p w14:paraId="1A85CA76">
            <w:pPr>
              <w:autoSpaceDE w:val="0"/>
              <w:autoSpaceDN w:val="0"/>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w:t>
            </w:r>
          </w:p>
        </w:tc>
      </w:tr>
      <w:tr w14:paraId="4A8BCC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0" w:type="pct"/>
            <w:tcBorders>
              <w:tl2br w:val="nil"/>
              <w:tr2bl w:val="nil"/>
            </w:tcBorders>
            <w:noWrap w:val="0"/>
            <w:vAlign w:val="center"/>
          </w:tcPr>
          <w:p w14:paraId="6167D730">
            <w:pPr>
              <w:autoSpaceDE w:val="0"/>
              <w:autoSpaceDN w:val="0"/>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生态环境准入清单</w:t>
            </w:r>
          </w:p>
        </w:tc>
        <w:tc>
          <w:tcPr>
            <w:tcW w:w="1864" w:type="pct"/>
            <w:tcBorders>
              <w:tl2br w:val="nil"/>
              <w:tr2bl w:val="nil"/>
            </w:tcBorders>
            <w:noWrap w:val="0"/>
            <w:vAlign w:val="center"/>
          </w:tcPr>
          <w:p w14:paraId="0E932D52">
            <w:pPr>
              <w:autoSpaceDE w:val="0"/>
              <w:autoSpaceDN w:val="0"/>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自治区共划定1323个环境管控单元，分为优先保护单元、重点管控单元和一般管控单元三类，实施分类管控。其中一般管控单元159个，主要包括优先保护单元和重点管控单元之外的其它区域。一般管控单元主要落实生态环境保护基本要求，推动区域环境质量持续改善。</w:t>
            </w:r>
          </w:p>
        </w:tc>
        <w:tc>
          <w:tcPr>
            <w:tcW w:w="2408" w:type="pct"/>
            <w:tcBorders>
              <w:tl2br w:val="nil"/>
              <w:tr2bl w:val="nil"/>
            </w:tcBorders>
            <w:noWrap w:val="0"/>
            <w:vAlign w:val="center"/>
          </w:tcPr>
          <w:p w14:paraId="0F13CDEB">
            <w:pPr>
              <w:pStyle w:val="60"/>
              <w:spacing w:line="240" w:lineRule="auto"/>
              <w:ind w:firstLine="0" w:firstLineChars="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highlight w:val="none"/>
              </w:rPr>
              <w:t>本项目位于一般管控单元，属</w:t>
            </w:r>
            <w:r>
              <w:rPr>
                <w:rFonts w:hint="default" w:ascii="Times New Roman" w:hAnsi="Times New Roman" w:eastAsia="宋体" w:cs="Times New Roman"/>
                <w:color w:val="auto"/>
                <w:sz w:val="21"/>
                <w:szCs w:val="21"/>
              </w:rPr>
              <w:t>于《产业结构调整指导目录（2024年本）》中鼓励类，符合国家相关产业政策。</w:t>
            </w:r>
          </w:p>
          <w:p w14:paraId="1009A7EB">
            <w:pPr>
              <w:pStyle w:val="60"/>
              <w:spacing w:line="240" w:lineRule="auto"/>
              <w:ind w:firstLine="0" w:firstLineChars="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各类污染物均满足国家及地方排放标准要求，落实生态环境保护基本要求，严守生态环境质量底线，不会降低区域生态功能。</w:t>
            </w:r>
          </w:p>
          <w:p w14:paraId="6264AD6E">
            <w:pPr>
              <w:pStyle w:val="60"/>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本项目属于《产业结构调整指导目录（2024年本）》中鼓励类，符合国家相关产业政策。</w:t>
            </w:r>
          </w:p>
        </w:tc>
        <w:tc>
          <w:tcPr>
            <w:tcW w:w="326" w:type="pct"/>
            <w:tcBorders>
              <w:tl2br w:val="nil"/>
              <w:tr2bl w:val="nil"/>
            </w:tcBorders>
            <w:noWrap w:val="0"/>
            <w:vAlign w:val="center"/>
          </w:tcPr>
          <w:p w14:paraId="4534754F">
            <w:pPr>
              <w:autoSpaceDE w:val="0"/>
              <w:autoSpaceDN w:val="0"/>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w:t>
            </w:r>
          </w:p>
        </w:tc>
      </w:tr>
    </w:tbl>
    <w:p w14:paraId="25D5C120">
      <w:pPr>
        <w:pStyle w:val="164"/>
        <w:ind w:firstLine="422"/>
        <w:jc w:val="center"/>
        <w:rPr>
          <w:rFonts w:hint="eastAsia" w:ascii="Times New Roman" w:hAnsi="Times New Roman" w:eastAsia="宋体" w:cs="Times New Roman"/>
          <w:b/>
          <w:bCs w:val="0"/>
          <w:color w:val="auto"/>
          <w:sz w:val="21"/>
          <w:szCs w:val="21"/>
        </w:rPr>
      </w:pPr>
    </w:p>
    <w:p w14:paraId="69B63C7C">
      <w:pPr>
        <w:pStyle w:val="61"/>
        <w:bidi w:val="0"/>
        <w:jc w:val="both"/>
        <w:rPr>
          <w:rFonts w:hint="eastAsia"/>
          <w:color w:val="auto"/>
          <w:lang w:val="en-US" w:eastAsia="zh-CN"/>
        </w:rPr>
      </w:pPr>
      <w:r>
        <w:rPr>
          <w:rFonts w:hint="eastAsia"/>
          <w:color w:val="auto"/>
          <w:lang w:val="en-US" w:eastAsia="zh-CN"/>
        </w:rPr>
        <w:t>表3.4-13本项目与《关于印发阿克苏地区生态环境分区管控方案（2023年版）的通知》符合性分析一览表</w:t>
      </w:r>
    </w:p>
    <w:tbl>
      <w:tblPr>
        <w:tblStyle w:val="36"/>
        <w:tblW w:w="495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28" w:type="dxa"/>
          <w:left w:w="108" w:type="dxa"/>
          <w:bottom w:w="28" w:type="dxa"/>
          <w:right w:w="108" w:type="dxa"/>
        </w:tblCellMar>
      </w:tblPr>
      <w:tblGrid>
        <w:gridCol w:w="2232"/>
        <w:gridCol w:w="2314"/>
        <w:gridCol w:w="2667"/>
        <w:gridCol w:w="3831"/>
        <w:gridCol w:w="2944"/>
      </w:tblGrid>
      <w:tr w14:paraId="137CBA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jc w:val="center"/>
        </w:trPr>
        <w:tc>
          <w:tcPr>
            <w:tcW w:w="798" w:type="pct"/>
            <w:tcBorders>
              <w:tl2br w:val="nil"/>
              <w:tr2bl w:val="nil"/>
            </w:tcBorders>
            <w:noWrap w:val="0"/>
            <w:vAlign w:val="center"/>
          </w:tcPr>
          <w:p w14:paraId="01AF490B">
            <w:pPr>
              <w:pStyle w:val="164"/>
              <w:widowControl w:val="0"/>
              <w:spacing w:line="24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单元编码</w:t>
            </w:r>
          </w:p>
        </w:tc>
        <w:tc>
          <w:tcPr>
            <w:tcW w:w="827" w:type="pct"/>
            <w:tcBorders>
              <w:tl2br w:val="nil"/>
              <w:tr2bl w:val="nil"/>
            </w:tcBorders>
            <w:noWrap w:val="0"/>
            <w:vAlign w:val="center"/>
          </w:tcPr>
          <w:p w14:paraId="3383897F">
            <w:pPr>
              <w:pStyle w:val="164"/>
              <w:widowControl w:val="0"/>
              <w:spacing w:line="24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单元名称</w:t>
            </w:r>
          </w:p>
        </w:tc>
        <w:tc>
          <w:tcPr>
            <w:tcW w:w="953" w:type="pct"/>
            <w:tcBorders>
              <w:tl2br w:val="nil"/>
              <w:tr2bl w:val="nil"/>
            </w:tcBorders>
            <w:noWrap w:val="0"/>
            <w:vAlign w:val="center"/>
          </w:tcPr>
          <w:p w14:paraId="131F55D5">
            <w:pPr>
              <w:pStyle w:val="164"/>
              <w:widowControl w:val="0"/>
              <w:spacing w:line="24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单元属性</w:t>
            </w:r>
          </w:p>
        </w:tc>
        <w:tc>
          <w:tcPr>
            <w:tcW w:w="1368" w:type="pct"/>
            <w:tcBorders>
              <w:tl2br w:val="nil"/>
              <w:tr2bl w:val="nil"/>
            </w:tcBorders>
            <w:noWrap w:val="0"/>
            <w:vAlign w:val="center"/>
          </w:tcPr>
          <w:p w14:paraId="617F6C33">
            <w:pPr>
              <w:pStyle w:val="164"/>
              <w:widowControl w:val="0"/>
              <w:spacing w:line="24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单元特征</w:t>
            </w:r>
          </w:p>
        </w:tc>
        <w:tc>
          <w:tcPr>
            <w:tcW w:w="1052" w:type="pct"/>
            <w:tcBorders>
              <w:tl2br w:val="nil"/>
              <w:tr2bl w:val="nil"/>
            </w:tcBorders>
            <w:noWrap w:val="0"/>
            <w:vAlign w:val="center"/>
          </w:tcPr>
          <w:p w14:paraId="46B1E974">
            <w:pPr>
              <w:pStyle w:val="164"/>
              <w:widowControl w:val="0"/>
              <w:spacing w:line="24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环境要素属性</w:t>
            </w:r>
          </w:p>
        </w:tc>
      </w:tr>
      <w:tr w14:paraId="330F13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jc w:val="center"/>
        </w:trPr>
        <w:tc>
          <w:tcPr>
            <w:tcW w:w="798" w:type="pct"/>
            <w:tcBorders>
              <w:tl2br w:val="nil"/>
              <w:tr2bl w:val="nil"/>
            </w:tcBorders>
            <w:noWrap w:val="0"/>
            <w:vAlign w:val="center"/>
          </w:tcPr>
          <w:p w14:paraId="60280F5D">
            <w:pPr>
              <w:pStyle w:val="164"/>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ZH65292230001</w:t>
            </w:r>
          </w:p>
        </w:tc>
        <w:tc>
          <w:tcPr>
            <w:tcW w:w="827" w:type="pct"/>
            <w:tcBorders>
              <w:tl2br w:val="nil"/>
              <w:tr2bl w:val="nil"/>
            </w:tcBorders>
            <w:noWrap w:val="0"/>
            <w:vAlign w:val="center"/>
          </w:tcPr>
          <w:p w14:paraId="6503DA94">
            <w:pPr>
              <w:pStyle w:val="164"/>
              <w:widowControl w:val="0"/>
              <w:spacing w:line="240" w:lineRule="auto"/>
              <w:ind w:firstLine="0" w:firstLineChars="0"/>
              <w:jc w:val="left"/>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温宿</w:t>
            </w:r>
            <w:r>
              <w:rPr>
                <w:rFonts w:hint="default" w:ascii="Times New Roman" w:hAnsi="Times New Roman" w:eastAsia="宋体" w:cs="Times New Roman"/>
                <w:color w:val="auto"/>
                <w:sz w:val="21"/>
                <w:szCs w:val="21"/>
                <w:highlight w:val="none"/>
              </w:rPr>
              <w:t>县一般管控单元</w:t>
            </w:r>
          </w:p>
        </w:tc>
        <w:tc>
          <w:tcPr>
            <w:tcW w:w="953" w:type="pct"/>
            <w:tcBorders>
              <w:tl2br w:val="nil"/>
              <w:tr2bl w:val="nil"/>
            </w:tcBorders>
            <w:noWrap w:val="0"/>
            <w:vAlign w:val="center"/>
          </w:tcPr>
          <w:p w14:paraId="3E7D03F4">
            <w:pPr>
              <w:pStyle w:val="164"/>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一般管控单元</w:t>
            </w:r>
          </w:p>
        </w:tc>
        <w:tc>
          <w:tcPr>
            <w:tcW w:w="1368" w:type="pct"/>
            <w:tcBorders>
              <w:tl2br w:val="nil"/>
              <w:tr2bl w:val="nil"/>
            </w:tcBorders>
            <w:noWrap w:val="0"/>
            <w:vAlign w:val="center"/>
          </w:tcPr>
          <w:p w14:paraId="668B5577">
            <w:pPr>
              <w:pStyle w:val="164"/>
              <w:widowControl w:val="0"/>
              <w:spacing w:line="240" w:lineRule="auto"/>
              <w:ind w:firstLine="0" w:firstLineChars="0"/>
              <w:rPr>
                <w:rFonts w:hint="default" w:ascii="Times New Roman" w:hAnsi="Times New Roman" w:eastAsia="宋体" w:cs="Times New Roman"/>
                <w:color w:val="auto"/>
                <w:sz w:val="21"/>
                <w:szCs w:val="21"/>
                <w:highlight w:val="yellow"/>
              </w:rPr>
            </w:pPr>
          </w:p>
        </w:tc>
        <w:tc>
          <w:tcPr>
            <w:tcW w:w="1052" w:type="pct"/>
            <w:tcBorders>
              <w:tl2br w:val="nil"/>
              <w:tr2bl w:val="nil"/>
            </w:tcBorders>
            <w:noWrap w:val="0"/>
            <w:vAlign w:val="center"/>
          </w:tcPr>
          <w:p w14:paraId="49B8E166">
            <w:pPr>
              <w:pStyle w:val="164"/>
              <w:widowControl w:val="0"/>
              <w:spacing w:line="240" w:lineRule="auto"/>
              <w:ind w:firstLine="0" w:firstLineChars="0"/>
              <w:rPr>
                <w:rFonts w:hint="default" w:ascii="Times New Roman" w:hAnsi="Times New Roman" w:eastAsia="宋体" w:cs="Times New Roman"/>
                <w:color w:val="auto"/>
                <w:sz w:val="21"/>
                <w:szCs w:val="21"/>
                <w:highlight w:val="yellow"/>
              </w:rPr>
            </w:pPr>
          </w:p>
        </w:tc>
      </w:tr>
      <w:tr w14:paraId="134F7A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306" w:hRule="atLeast"/>
          <w:jc w:val="center"/>
        </w:trPr>
        <w:tc>
          <w:tcPr>
            <w:tcW w:w="798" w:type="pct"/>
            <w:tcBorders>
              <w:tl2br w:val="nil"/>
              <w:tr2bl w:val="nil"/>
            </w:tcBorders>
            <w:noWrap w:val="0"/>
            <w:vAlign w:val="center"/>
          </w:tcPr>
          <w:p w14:paraId="2288A482">
            <w:pPr>
              <w:pStyle w:val="164"/>
              <w:widowControl w:val="0"/>
              <w:spacing w:line="24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控维度</w:t>
            </w:r>
          </w:p>
        </w:tc>
        <w:tc>
          <w:tcPr>
            <w:tcW w:w="3149" w:type="pct"/>
            <w:gridSpan w:val="3"/>
            <w:tcBorders>
              <w:tl2br w:val="nil"/>
              <w:tr2bl w:val="nil"/>
            </w:tcBorders>
            <w:noWrap w:val="0"/>
            <w:vAlign w:val="center"/>
          </w:tcPr>
          <w:p w14:paraId="3E3D2696">
            <w:pPr>
              <w:pStyle w:val="164"/>
              <w:widowControl w:val="0"/>
              <w:spacing w:line="24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管控要求</w:t>
            </w:r>
          </w:p>
        </w:tc>
        <w:tc>
          <w:tcPr>
            <w:tcW w:w="1052" w:type="pct"/>
            <w:tcBorders>
              <w:tl2br w:val="nil"/>
              <w:tr2bl w:val="nil"/>
            </w:tcBorders>
            <w:noWrap w:val="0"/>
            <w:vAlign w:val="center"/>
          </w:tcPr>
          <w:p w14:paraId="2BCFE023">
            <w:pPr>
              <w:pStyle w:val="164"/>
              <w:widowControl w:val="0"/>
              <w:spacing w:line="24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符合性</w:t>
            </w:r>
          </w:p>
        </w:tc>
      </w:tr>
      <w:tr w14:paraId="1EF041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306" w:hRule="atLeast"/>
          <w:jc w:val="center"/>
        </w:trPr>
        <w:tc>
          <w:tcPr>
            <w:tcW w:w="798" w:type="pct"/>
            <w:tcBorders>
              <w:tl2br w:val="nil"/>
              <w:tr2bl w:val="nil"/>
            </w:tcBorders>
            <w:noWrap w:val="0"/>
            <w:vAlign w:val="center"/>
          </w:tcPr>
          <w:p w14:paraId="1A8B6171">
            <w:pPr>
              <w:pStyle w:val="164"/>
              <w:widowControl w:val="0"/>
              <w:spacing w:line="24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空间布局约束</w:t>
            </w:r>
          </w:p>
        </w:tc>
        <w:tc>
          <w:tcPr>
            <w:tcW w:w="3149" w:type="pct"/>
            <w:gridSpan w:val="3"/>
            <w:tcBorders>
              <w:tl2br w:val="nil"/>
              <w:tr2bl w:val="nil"/>
            </w:tcBorders>
            <w:noWrap w:val="0"/>
            <w:vAlign w:val="center"/>
          </w:tcPr>
          <w:p w14:paraId="3F2D40B0">
            <w:pPr>
              <w:adjustRightInd w:val="0"/>
              <w:spacing w:line="0" w:lineRule="atLeast"/>
              <w:jc w:val="left"/>
              <w:rPr>
                <w:rFonts w:hint="default" w:ascii="Times New Roman" w:hAnsi="Times New Roman" w:eastAsia="宋体" w:cs="Times New Roman"/>
                <w:color w:val="auto"/>
                <w:spacing w:val="-10"/>
                <w:sz w:val="21"/>
                <w:szCs w:val="21"/>
                <w:lang w:bidi="ar"/>
              </w:rPr>
            </w:pPr>
            <w:r>
              <w:rPr>
                <w:rFonts w:hint="default" w:ascii="Times New Roman" w:hAnsi="Times New Roman" w:eastAsia="宋体" w:cs="Times New Roman"/>
                <w:color w:val="auto"/>
                <w:spacing w:val="-10"/>
                <w:sz w:val="21"/>
                <w:szCs w:val="21"/>
                <w:lang w:bidi="ar"/>
              </w:rPr>
              <w:t>1.执行阿克苏地区总体管控要求中空间布局约束的要求。</w:t>
            </w:r>
          </w:p>
          <w:p w14:paraId="27AE2BB4">
            <w:pPr>
              <w:adjustRightInd w:val="0"/>
              <w:spacing w:line="0" w:lineRule="atLeast"/>
              <w:jc w:val="left"/>
              <w:rPr>
                <w:rFonts w:hint="default" w:ascii="Times New Roman" w:hAnsi="Times New Roman" w:eastAsia="宋体" w:cs="Times New Roman"/>
                <w:color w:val="auto"/>
                <w:spacing w:val="-10"/>
                <w:sz w:val="21"/>
                <w:szCs w:val="21"/>
                <w:lang w:bidi="ar"/>
              </w:rPr>
            </w:pPr>
            <w:r>
              <w:rPr>
                <w:rFonts w:hint="default" w:ascii="Times New Roman" w:hAnsi="Times New Roman" w:eastAsia="宋体" w:cs="Times New Roman"/>
                <w:color w:val="auto"/>
                <w:spacing w:val="-10"/>
                <w:sz w:val="21"/>
                <w:szCs w:val="21"/>
                <w:lang w:bidi="ar"/>
              </w:rPr>
              <w:t>2.任何单位和个人不得擅自占用基本农田。禁止在基本农田内从事非农业生产的活动。除法律规定的重点建设项目选址确实无法避让外，其他任何建设不得占用。</w:t>
            </w:r>
          </w:p>
          <w:p w14:paraId="7DC06E9F">
            <w:pPr>
              <w:adjustRightInd w:val="0"/>
              <w:spacing w:line="0" w:lineRule="atLeast"/>
              <w:jc w:val="left"/>
              <w:rPr>
                <w:rFonts w:hint="default" w:ascii="Times New Roman" w:hAnsi="Times New Roman" w:eastAsia="宋体" w:cs="Times New Roman"/>
                <w:color w:val="auto"/>
                <w:spacing w:val="-10"/>
                <w:sz w:val="21"/>
                <w:szCs w:val="21"/>
                <w:lang w:bidi="ar"/>
              </w:rPr>
            </w:pPr>
            <w:r>
              <w:rPr>
                <w:rFonts w:hint="default" w:ascii="Times New Roman" w:hAnsi="Times New Roman" w:eastAsia="宋体" w:cs="Times New Roman"/>
                <w:color w:val="auto"/>
                <w:spacing w:val="-10"/>
                <w:sz w:val="21"/>
                <w:szCs w:val="21"/>
                <w:lang w:bidi="ar"/>
              </w:rPr>
              <w:t>3.对违反资源环境法律法规、规划，污染环境、破坏生态、乱采滥挖的露天矿山，依法整治；对污染治理不规范的露天矿山，依法责令停产整治，对拒不停产或擅自恢复生产的依法强制关闭；对责任主体灭失的露天矿山，要加强修复绿化、减尘抑尘。</w:t>
            </w:r>
          </w:p>
          <w:p w14:paraId="0E3CF042">
            <w:pPr>
              <w:adjustRightInd w:val="0"/>
              <w:spacing w:line="0" w:lineRule="atLeast"/>
              <w:jc w:val="left"/>
              <w:rPr>
                <w:rFonts w:hint="default" w:ascii="Times New Roman" w:hAnsi="Times New Roman" w:eastAsia="宋体" w:cs="Times New Roman"/>
                <w:color w:val="auto"/>
                <w:spacing w:val="-10"/>
                <w:sz w:val="21"/>
                <w:szCs w:val="21"/>
                <w:lang w:bidi="ar"/>
              </w:rPr>
            </w:pPr>
            <w:r>
              <w:rPr>
                <w:rFonts w:hint="default" w:ascii="Times New Roman" w:hAnsi="Times New Roman" w:eastAsia="宋体" w:cs="Times New Roman"/>
                <w:color w:val="auto"/>
                <w:spacing w:val="-10"/>
                <w:sz w:val="21"/>
                <w:szCs w:val="21"/>
                <w:lang w:bidi="ar"/>
              </w:rPr>
              <w:t>4.严格控制在优先保护类耕地集中区域新建土壤环境监管重点行业项目。</w:t>
            </w:r>
          </w:p>
        </w:tc>
        <w:tc>
          <w:tcPr>
            <w:tcW w:w="1052" w:type="pct"/>
            <w:tcBorders>
              <w:tl2br w:val="nil"/>
              <w:tr2bl w:val="nil"/>
            </w:tcBorders>
            <w:noWrap w:val="0"/>
            <w:vAlign w:val="center"/>
          </w:tcPr>
          <w:p w14:paraId="168394BA">
            <w:pPr>
              <w:pStyle w:val="164"/>
              <w:widowControl w:val="0"/>
              <w:spacing w:line="24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color w:val="auto"/>
                <w:sz w:val="21"/>
                <w:szCs w:val="21"/>
              </w:rPr>
              <w:t>本项目为</w:t>
            </w:r>
            <w:r>
              <w:rPr>
                <w:rFonts w:hint="eastAsia" w:ascii="Times New Roman" w:hAnsi="Times New Roman" w:eastAsia="宋体" w:cs="Times New Roman"/>
                <w:color w:val="auto"/>
                <w:sz w:val="21"/>
                <w:szCs w:val="21"/>
                <w:lang w:eastAsia="zh-CN"/>
              </w:rPr>
              <w:t>石油开采</w:t>
            </w:r>
            <w:r>
              <w:rPr>
                <w:rFonts w:hint="default" w:ascii="Times New Roman" w:hAnsi="Times New Roman" w:eastAsia="宋体" w:cs="Times New Roman"/>
                <w:color w:val="auto"/>
                <w:sz w:val="21"/>
                <w:szCs w:val="21"/>
              </w:rPr>
              <w:t>工</w:t>
            </w:r>
            <w:r>
              <w:rPr>
                <w:rFonts w:hint="default" w:ascii="Times New Roman" w:hAnsi="Times New Roman" w:eastAsia="宋体" w:cs="Times New Roman"/>
                <w:color w:val="auto"/>
                <w:sz w:val="21"/>
                <w:szCs w:val="21"/>
                <w:highlight w:val="none"/>
              </w:rPr>
              <w:t>程，项目占地为</w:t>
            </w:r>
            <w:r>
              <w:rPr>
                <w:rFonts w:hint="eastAsia" w:ascii="Times New Roman" w:hAnsi="Times New Roman" w:eastAsia="宋体" w:cs="Times New Roman"/>
                <w:color w:val="auto"/>
                <w:sz w:val="21"/>
                <w:szCs w:val="21"/>
                <w:highlight w:val="none"/>
                <w:lang w:val="en-US" w:eastAsia="zh-CN"/>
              </w:rPr>
              <w:t>天然牧草地</w:t>
            </w:r>
            <w:r>
              <w:rPr>
                <w:rFonts w:hint="default" w:ascii="Times New Roman" w:hAnsi="Times New Roman" w:eastAsia="宋体" w:cs="Times New Roman"/>
                <w:color w:val="auto"/>
                <w:sz w:val="21"/>
                <w:szCs w:val="21"/>
                <w:highlight w:val="none"/>
              </w:rPr>
              <w:t>，未占用农田。</w:t>
            </w:r>
            <w:r>
              <w:rPr>
                <w:rFonts w:hint="default" w:ascii="Times New Roman" w:hAnsi="Times New Roman" w:eastAsia="宋体" w:cs="Times New Roman"/>
                <w:color w:val="auto"/>
                <w:sz w:val="21"/>
                <w:szCs w:val="21"/>
              </w:rPr>
              <w:t>污染物排放均按相关标准要求执行。符合本单元管控要求。</w:t>
            </w:r>
          </w:p>
        </w:tc>
      </w:tr>
      <w:tr w14:paraId="503F95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306" w:hRule="atLeast"/>
          <w:jc w:val="center"/>
        </w:trPr>
        <w:tc>
          <w:tcPr>
            <w:tcW w:w="798" w:type="pct"/>
            <w:tcBorders>
              <w:tl2br w:val="nil"/>
              <w:tr2bl w:val="nil"/>
            </w:tcBorders>
            <w:noWrap w:val="0"/>
            <w:vAlign w:val="center"/>
          </w:tcPr>
          <w:p w14:paraId="2D810705">
            <w:pPr>
              <w:pStyle w:val="164"/>
              <w:widowControl w:val="0"/>
              <w:spacing w:line="24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污染物排放</w:t>
            </w:r>
          </w:p>
          <w:p w14:paraId="6F629361">
            <w:pPr>
              <w:pStyle w:val="164"/>
              <w:widowControl w:val="0"/>
              <w:spacing w:line="24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管控</w:t>
            </w:r>
          </w:p>
        </w:tc>
        <w:tc>
          <w:tcPr>
            <w:tcW w:w="3149" w:type="pct"/>
            <w:gridSpan w:val="3"/>
            <w:tcBorders>
              <w:tl2br w:val="nil"/>
              <w:tr2bl w:val="nil"/>
            </w:tcBorders>
            <w:noWrap w:val="0"/>
            <w:vAlign w:val="center"/>
          </w:tcPr>
          <w:p w14:paraId="6A0317F2">
            <w:pPr>
              <w:adjustRightInd w:val="0"/>
              <w:spacing w:line="0" w:lineRule="atLeast"/>
              <w:jc w:val="left"/>
              <w:rPr>
                <w:rFonts w:hint="default" w:ascii="Times New Roman" w:hAnsi="Times New Roman" w:eastAsia="宋体" w:cs="Times New Roman"/>
                <w:color w:val="auto"/>
                <w:spacing w:val="-10"/>
                <w:sz w:val="21"/>
                <w:szCs w:val="21"/>
                <w:lang w:bidi="ar"/>
              </w:rPr>
            </w:pPr>
            <w:r>
              <w:rPr>
                <w:rFonts w:hint="default" w:ascii="Times New Roman" w:hAnsi="Times New Roman" w:eastAsia="宋体" w:cs="Times New Roman"/>
                <w:color w:val="auto"/>
                <w:spacing w:val="-10"/>
                <w:sz w:val="21"/>
                <w:szCs w:val="21"/>
                <w:lang w:bidi="ar"/>
              </w:rPr>
              <w:t>1.执行阿克苏地区总体管控要求中污染物排放管控的要求。</w:t>
            </w:r>
          </w:p>
          <w:p w14:paraId="743291EF">
            <w:pPr>
              <w:adjustRightInd w:val="0"/>
              <w:spacing w:line="0" w:lineRule="atLeast"/>
              <w:jc w:val="left"/>
              <w:rPr>
                <w:rFonts w:hint="default" w:ascii="Times New Roman" w:hAnsi="Times New Roman" w:eastAsia="宋体" w:cs="Times New Roman"/>
                <w:color w:val="auto"/>
                <w:spacing w:val="-10"/>
                <w:sz w:val="21"/>
                <w:szCs w:val="21"/>
                <w:lang w:bidi="ar"/>
              </w:rPr>
            </w:pPr>
            <w:r>
              <w:rPr>
                <w:rFonts w:hint="default" w:ascii="Times New Roman" w:hAnsi="Times New Roman" w:eastAsia="宋体" w:cs="Times New Roman"/>
                <w:color w:val="auto"/>
                <w:spacing w:val="-10"/>
                <w:sz w:val="21"/>
                <w:szCs w:val="21"/>
                <w:lang w:bidi="ar"/>
              </w:rPr>
              <w:t>2.强化畜禽养殖粪污资源化利用，提高畜禽粪污综合利用率，减少恶臭气体挥发排放。</w:t>
            </w:r>
          </w:p>
          <w:p w14:paraId="6E1EE0DA">
            <w:pPr>
              <w:adjustRightInd w:val="0"/>
              <w:spacing w:line="0" w:lineRule="atLeast"/>
              <w:jc w:val="left"/>
              <w:rPr>
                <w:rFonts w:hint="default" w:ascii="Times New Roman" w:hAnsi="Times New Roman" w:eastAsia="宋体" w:cs="Times New Roman"/>
                <w:color w:val="auto"/>
                <w:spacing w:val="-10"/>
                <w:sz w:val="21"/>
                <w:szCs w:val="21"/>
                <w:lang w:bidi="ar"/>
              </w:rPr>
            </w:pPr>
            <w:r>
              <w:rPr>
                <w:rFonts w:hint="default" w:ascii="Times New Roman" w:hAnsi="Times New Roman" w:eastAsia="宋体" w:cs="Times New Roman"/>
                <w:color w:val="auto"/>
                <w:spacing w:val="-10"/>
                <w:sz w:val="21"/>
                <w:szCs w:val="21"/>
                <w:lang w:bidi="ar"/>
              </w:rPr>
              <w:t>3.严格控制林地、草地、园地农药使用量，禁止使用高毒、高残留农药。</w:t>
            </w:r>
          </w:p>
          <w:p w14:paraId="5478DB2D">
            <w:pPr>
              <w:adjustRightInd w:val="0"/>
              <w:spacing w:line="0" w:lineRule="atLeast"/>
              <w:jc w:val="left"/>
              <w:rPr>
                <w:rFonts w:hint="default" w:ascii="Times New Roman" w:hAnsi="Times New Roman" w:eastAsia="宋体" w:cs="Times New Roman"/>
                <w:color w:val="auto"/>
                <w:spacing w:val="-10"/>
                <w:sz w:val="21"/>
                <w:szCs w:val="21"/>
                <w:lang w:bidi="ar"/>
              </w:rPr>
            </w:pPr>
            <w:r>
              <w:rPr>
                <w:rFonts w:hint="default" w:ascii="Times New Roman" w:hAnsi="Times New Roman" w:eastAsia="宋体" w:cs="Times New Roman"/>
                <w:color w:val="auto"/>
                <w:spacing w:val="-10"/>
                <w:sz w:val="21"/>
                <w:szCs w:val="21"/>
                <w:lang w:bidi="ar"/>
              </w:rPr>
              <w:t>4.加强农村生活垃圾的清运、收集、处置。严禁将城镇生活垃圾、污泥、工业废物直接用作肥料。</w:t>
            </w:r>
          </w:p>
          <w:p w14:paraId="3E3D106D">
            <w:pPr>
              <w:adjustRightInd w:val="0"/>
              <w:spacing w:line="0" w:lineRule="atLeast"/>
              <w:jc w:val="left"/>
              <w:rPr>
                <w:rFonts w:hint="default" w:ascii="Times New Roman" w:hAnsi="Times New Roman" w:eastAsia="宋体" w:cs="Times New Roman"/>
                <w:color w:val="auto"/>
                <w:spacing w:val="-10"/>
                <w:sz w:val="21"/>
                <w:szCs w:val="21"/>
                <w:lang w:bidi="ar"/>
              </w:rPr>
            </w:pPr>
            <w:r>
              <w:rPr>
                <w:rFonts w:hint="default" w:ascii="Times New Roman" w:hAnsi="Times New Roman" w:eastAsia="宋体" w:cs="Times New Roman"/>
                <w:color w:val="auto"/>
                <w:spacing w:val="-10"/>
                <w:sz w:val="21"/>
                <w:szCs w:val="21"/>
                <w:lang w:bidi="ar"/>
              </w:rPr>
              <w:t>5.鼓励和支持散养密集区实行畜禽粪污分户收集、集中处理。</w:t>
            </w:r>
          </w:p>
        </w:tc>
        <w:tc>
          <w:tcPr>
            <w:tcW w:w="1052" w:type="pct"/>
            <w:tcBorders>
              <w:tl2br w:val="nil"/>
              <w:tr2bl w:val="nil"/>
            </w:tcBorders>
            <w:noWrap w:val="0"/>
            <w:vAlign w:val="center"/>
          </w:tcPr>
          <w:p w14:paraId="1828F548">
            <w:pPr>
              <w:pStyle w:val="164"/>
              <w:widowControl w:val="0"/>
              <w:spacing w:line="24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Cs/>
                <w:color w:val="auto"/>
                <w:kern w:val="0"/>
                <w:sz w:val="21"/>
                <w:szCs w:val="21"/>
                <w:highlight w:val="none"/>
                <w:lang w:val="en-US" w:eastAsia="zh-CN" w:bidi="ar-SA"/>
              </w:rPr>
              <w:t>项目满足阿克苏地区总体管控要求中关于资源利用效率的准入要求。</w:t>
            </w:r>
          </w:p>
        </w:tc>
      </w:tr>
      <w:tr w14:paraId="4D9C1E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306" w:hRule="atLeast"/>
          <w:jc w:val="center"/>
        </w:trPr>
        <w:tc>
          <w:tcPr>
            <w:tcW w:w="798" w:type="pct"/>
            <w:tcBorders>
              <w:tl2br w:val="nil"/>
              <w:tr2bl w:val="nil"/>
            </w:tcBorders>
            <w:noWrap w:val="0"/>
            <w:vAlign w:val="center"/>
          </w:tcPr>
          <w:p w14:paraId="091173CD">
            <w:pPr>
              <w:pStyle w:val="164"/>
              <w:widowControl w:val="0"/>
              <w:spacing w:line="24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环境风险防控</w:t>
            </w:r>
          </w:p>
        </w:tc>
        <w:tc>
          <w:tcPr>
            <w:tcW w:w="3149" w:type="pct"/>
            <w:gridSpan w:val="3"/>
            <w:tcBorders>
              <w:tl2br w:val="nil"/>
              <w:tr2bl w:val="nil"/>
            </w:tcBorders>
            <w:noWrap w:val="0"/>
            <w:vAlign w:val="center"/>
          </w:tcPr>
          <w:p w14:paraId="5BA47FFB">
            <w:pPr>
              <w:adjustRightInd w:val="0"/>
              <w:spacing w:line="0" w:lineRule="atLeast"/>
              <w:jc w:val="left"/>
              <w:rPr>
                <w:rFonts w:hint="default" w:ascii="Times New Roman" w:hAnsi="Times New Roman" w:eastAsia="宋体" w:cs="Times New Roman"/>
                <w:color w:val="auto"/>
                <w:spacing w:val="-10"/>
                <w:sz w:val="21"/>
                <w:szCs w:val="21"/>
                <w:lang w:bidi="ar"/>
              </w:rPr>
            </w:pPr>
            <w:r>
              <w:rPr>
                <w:rFonts w:hint="default" w:ascii="Times New Roman" w:hAnsi="Times New Roman" w:eastAsia="宋体" w:cs="Times New Roman"/>
                <w:color w:val="auto"/>
                <w:spacing w:val="-10"/>
                <w:sz w:val="21"/>
                <w:szCs w:val="21"/>
                <w:lang w:bidi="ar"/>
              </w:rPr>
              <w:t>1.执行阿克苏地区总体管控要求中环境风险防控的要求。</w:t>
            </w:r>
          </w:p>
          <w:p w14:paraId="4FC4AC20">
            <w:pPr>
              <w:adjustRightInd w:val="0"/>
              <w:spacing w:line="0" w:lineRule="atLeast"/>
              <w:jc w:val="left"/>
              <w:rPr>
                <w:rFonts w:hint="default" w:ascii="Times New Roman" w:hAnsi="Times New Roman" w:eastAsia="宋体" w:cs="Times New Roman"/>
                <w:color w:val="auto"/>
                <w:spacing w:val="-10"/>
                <w:sz w:val="21"/>
                <w:szCs w:val="21"/>
                <w:lang w:bidi="ar"/>
              </w:rPr>
            </w:pPr>
            <w:r>
              <w:rPr>
                <w:rFonts w:hint="default" w:ascii="Times New Roman" w:hAnsi="Times New Roman" w:eastAsia="宋体" w:cs="Times New Roman"/>
                <w:color w:val="auto"/>
                <w:spacing w:val="-10"/>
                <w:sz w:val="21"/>
                <w:szCs w:val="21"/>
                <w:lang w:bidi="ar"/>
              </w:rPr>
              <w:t>2.加强对矿山、油田等矿产资源开采影响区域内未利用地的环境监管，发现土壤污染问题的，要坚决查处，并及时督促有关单位采取有效防治措施消除或减轻污染。</w:t>
            </w:r>
          </w:p>
          <w:p w14:paraId="553A6764">
            <w:pPr>
              <w:adjustRightInd w:val="0"/>
              <w:spacing w:line="0" w:lineRule="atLeast"/>
              <w:jc w:val="left"/>
              <w:rPr>
                <w:rFonts w:hint="default" w:ascii="Times New Roman" w:hAnsi="Times New Roman" w:eastAsia="宋体" w:cs="Times New Roman"/>
                <w:color w:val="auto"/>
                <w:spacing w:val="-10"/>
                <w:sz w:val="21"/>
                <w:szCs w:val="21"/>
                <w:lang w:bidi="ar"/>
              </w:rPr>
            </w:pPr>
            <w:r>
              <w:rPr>
                <w:rFonts w:hint="default" w:ascii="Times New Roman" w:hAnsi="Times New Roman" w:eastAsia="宋体" w:cs="Times New Roman"/>
                <w:color w:val="auto"/>
                <w:spacing w:val="-10"/>
                <w:sz w:val="21"/>
                <w:szCs w:val="21"/>
                <w:lang w:bidi="ar"/>
              </w:rPr>
              <w:t>3.对排查出的危库和病库以及风险评估有严重环境安全隐患的尾矿库，要求企业完善污染治理设施、进行治理和修复。全面整治历史遗留尾矿库，完善覆膜、压土、排洪、堤坝加固等隐患治理和闭库措施。</w:t>
            </w:r>
          </w:p>
          <w:p w14:paraId="2D855F88">
            <w:pPr>
              <w:adjustRightInd w:val="0"/>
              <w:spacing w:line="0" w:lineRule="atLeast"/>
              <w:jc w:val="left"/>
              <w:rPr>
                <w:rFonts w:hint="default" w:ascii="Times New Roman" w:hAnsi="Times New Roman" w:eastAsia="宋体" w:cs="Times New Roman"/>
                <w:color w:val="auto"/>
                <w:spacing w:val="-10"/>
                <w:sz w:val="21"/>
                <w:szCs w:val="21"/>
                <w:lang w:bidi="ar"/>
              </w:rPr>
            </w:pPr>
            <w:r>
              <w:rPr>
                <w:rFonts w:hint="default" w:ascii="Times New Roman" w:hAnsi="Times New Roman" w:eastAsia="宋体" w:cs="Times New Roman"/>
                <w:color w:val="auto"/>
                <w:spacing w:val="-10"/>
                <w:sz w:val="21"/>
                <w:szCs w:val="21"/>
                <w:lang w:bidi="ar"/>
              </w:rPr>
              <w:t>4.加强油（气）田勘探、开发、运行过程中及排放产生的废弃物对土壤的污染。开展油（气）资源开发区历史遗留污染场地治理。</w:t>
            </w:r>
          </w:p>
        </w:tc>
        <w:tc>
          <w:tcPr>
            <w:tcW w:w="1052" w:type="pct"/>
            <w:tcBorders>
              <w:tl2br w:val="nil"/>
              <w:tr2bl w:val="nil"/>
            </w:tcBorders>
            <w:noWrap w:val="0"/>
            <w:vAlign w:val="center"/>
          </w:tcPr>
          <w:p w14:paraId="56EFF4D1">
            <w:pPr>
              <w:pStyle w:val="164"/>
              <w:widowControl w:val="0"/>
              <w:spacing w:line="24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color w:val="auto"/>
                <w:sz w:val="21"/>
                <w:szCs w:val="21"/>
              </w:rPr>
              <w:t>项目投产后，由英买</w:t>
            </w:r>
            <w:r>
              <w:rPr>
                <w:rFonts w:hint="eastAsia" w:ascii="Times New Roman" w:hAnsi="Times New Roman" w:eastAsia="宋体" w:cs="Times New Roman"/>
                <w:color w:val="auto"/>
                <w:sz w:val="21"/>
                <w:szCs w:val="21"/>
                <w:lang w:val="en-US" w:eastAsia="zh-CN"/>
              </w:rPr>
              <w:t>采油气管理区</w:t>
            </w:r>
            <w:r>
              <w:rPr>
                <w:rFonts w:hint="default" w:ascii="Times New Roman" w:hAnsi="Times New Roman" w:eastAsia="宋体" w:cs="Times New Roman"/>
                <w:color w:val="auto"/>
                <w:sz w:val="21"/>
                <w:szCs w:val="21"/>
              </w:rPr>
              <w:t>管理，区块开发突发环境应急预案纳入管辖作业区应急管理体系中。符合本单元管控要求。</w:t>
            </w:r>
          </w:p>
        </w:tc>
      </w:tr>
      <w:tr w14:paraId="549E18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306" w:hRule="atLeast"/>
          <w:jc w:val="center"/>
        </w:trPr>
        <w:tc>
          <w:tcPr>
            <w:tcW w:w="798" w:type="pct"/>
            <w:tcBorders>
              <w:tl2br w:val="nil"/>
              <w:tr2bl w:val="nil"/>
            </w:tcBorders>
            <w:noWrap w:val="0"/>
            <w:vAlign w:val="center"/>
          </w:tcPr>
          <w:p w14:paraId="7BBB8031">
            <w:pPr>
              <w:pStyle w:val="164"/>
              <w:widowControl w:val="0"/>
              <w:spacing w:line="24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资源利用效率</w:t>
            </w:r>
          </w:p>
        </w:tc>
        <w:tc>
          <w:tcPr>
            <w:tcW w:w="3149" w:type="pct"/>
            <w:gridSpan w:val="3"/>
            <w:tcBorders>
              <w:tl2br w:val="nil"/>
              <w:tr2bl w:val="nil"/>
            </w:tcBorders>
            <w:noWrap w:val="0"/>
            <w:vAlign w:val="center"/>
          </w:tcPr>
          <w:p w14:paraId="438BC075">
            <w:pPr>
              <w:adjustRightInd w:val="0"/>
              <w:spacing w:line="0" w:lineRule="atLeast"/>
              <w:jc w:val="left"/>
              <w:rPr>
                <w:rFonts w:hint="default" w:ascii="Times New Roman" w:hAnsi="Times New Roman" w:eastAsia="宋体" w:cs="Times New Roman"/>
                <w:color w:val="auto"/>
                <w:spacing w:val="-10"/>
                <w:sz w:val="21"/>
                <w:szCs w:val="21"/>
                <w:lang w:bidi="ar"/>
              </w:rPr>
            </w:pPr>
            <w:r>
              <w:rPr>
                <w:rFonts w:hint="default" w:ascii="Times New Roman" w:hAnsi="Times New Roman" w:eastAsia="宋体" w:cs="Times New Roman"/>
                <w:color w:val="auto"/>
                <w:spacing w:val="-10"/>
                <w:sz w:val="21"/>
                <w:szCs w:val="21"/>
                <w:lang w:bidi="ar"/>
              </w:rPr>
              <w:t>1.执行阿克苏地区总体管控要求中资源利用效率的要求。</w:t>
            </w:r>
          </w:p>
          <w:p w14:paraId="595EDA83">
            <w:pPr>
              <w:adjustRightInd w:val="0"/>
              <w:spacing w:line="0" w:lineRule="atLeast"/>
              <w:jc w:val="left"/>
              <w:rPr>
                <w:rFonts w:hint="default" w:ascii="Times New Roman" w:hAnsi="Times New Roman" w:eastAsia="宋体" w:cs="Times New Roman"/>
                <w:color w:val="auto"/>
                <w:spacing w:val="-10"/>
                <w:sz w:val="21"/>
                <w:szCs w:val="21"/>
                <w:lang w:bidi="ar"/>
              </w:rPr>
            </w:pPr>
            <w:r>
              <w:rPr>
                <w:rFonts w:hint="default" w:ascii="Times New Roman" w:hAnsi="Times New Roman" w:eastAsia="宋体" w:cs="Times New Roman"/>
                <w:color w:val="auto"/>
                <w:spacing w:val="-10"/>
                <w:sz w:val="21"/>
                <w:szCs w:val="21"/>
                <w:lang w:bidi="ar"/>
              </w:rPr>
              <w:t>2.全面推进秸秆综合利用，鼓励秸秆资源化、饲料化、肥料化利用，推动秸秆还田与离田收集。</w:t>
            </w:r>
          </w:p>
          <w:p w14:paraId="1C193002">
            <w:pPr>
              <w:adjustRightInd w:val="0"/>
              <w:spacing w:line="0" w:lineRule="atLeast"/>
              <w:jc w:val="left"/>
              <w:rPr>
                <w:rFonts w:hint="default" w:ascii="Times New Roman" w:hAnsi="Times New Roman" w:eastAsia="宋体" w:cs="Times New Roman"/>
                <w:color w:val="auto"/>
                <w:spacing w:val="-10"/>
                <w:sz w:val="21"/>
                <w:szCs w:val="21"/>
                <w:lang w:bidi="ar"/>
              </w:rPr>
            </w:pPr>
            <w:r>
              <w:rPr>
                <w:rFonts w:hint="default" w:ascii="Times New Roman" w:hAnsi="Times New Roman" w:eastAsia="宋体" w:cs="Times New Roman"/>
                <w:color w:val="auto"/>
                <w:spacing w:val="-10"/>
                <w:sz w:val="21"/>
                <w:szCs w:val="21"/>
                <w:lang w:bidi="ar"/>
              </w:rPr>
              <w:t>3.减少化肥农药使用量，增加有机肥使用量，逐步实现化肥农药使用量零增长。</w:t>
            </w:r>
          </w:p>
          <w:p w14:paraId="3BAA486E">
            <w:pPr>
              <w:adjustRightInd w:val="0"/>
              <w:spacing w:line="0" w:lineRule="atLeast"/>
              <w:jc w:val="left"/>
              <w:rPr>
                <w:rFonts w:hint="default" w:ascii="Times New Roman" w:hAnsi="Times New Roman" w:eastAsia="宋体" w:cs="Times New Roman"/>
                <w:color w:val="auto"/>
                <w:spacing w:val="-10"/>
                <w:sz w:val="21"/>
                <w:szCs w:val="21"/>
                <w:lang w:bidi="ar"/>
              </w:rPr>
            </w:pPr>
            <w:r>
              <w:rPr>
                <w:rFonts w:hint="default" w:ascii="Times New Roman" w:hAnsi="Times New Roman" w:eastAsia="宋体" w:cs="Times New Roman"/>
                <w:color w:val="auto"/>
                <w:spacing w:val="-10"/>
                <w:sz w:val="21"/>
                <w:szCs w:val="21"/>
                <w:lang w:bidi="ar"/>
              </w:rPr>
              <w:t>4.推进矿井水综合利用，煤矿废水全部处理达标后用于补充矿区生产用水和生态用水，加强洗煤废水循环利用。</w:t>
            </w:r>
          </w:p>
          <w:p w14:paraId="58DBFF6A">
            <w:pPr>
              <w:adjustRightInd w:val="0"/>
              <w:spacing w:line="0" w:lineRule="atLeast"/>
              <w:jc w:val="left"/>
              <w:rPr>
                <w:rFonts w:hint="default" w:ascii="Times New Roman" w:hAnsi="Times New Roman" w:eastAsia="宋体" w:cs="Times New Roman"/>
                <w:color w:val="auto"/>
                <w:spacing w:val="-10"/>
                <w:sz w:val="21"/>
                <w:szCs w:val="21"/>
                <w:lang w:bidi="ar"/>
              </w:rPr>
            </w:pPr>
            <w:r>
              <w:rPr>
                <w:rFonts w:hint="default" w:ascii="Times New Roman" w:hAnsi="Times New Roman" w:eastAsia="宋体" w:cs="Times New Roman"/>
                <w:color w:val="auto"/>
                <w:spacing w:val="-10"/>
                <w:sz w:val="21"/>
                <w:szCs w:val="21"/>
                <w:lang w:bidi="ar"/>
              </w:rPr>
              <w:t>5.推广渠道防渗、管道输水、喷灌、微灌等节水灌溉技术，完善灌溉用水计量设施。推进规模化高效节水灌溉，推广农作物节水抗旱技术。建立灌区墒情测报网络，提高农业用水效率。</w:t>
            </w:r>
          </w:p>
        </w:tc>
        <w:tc>
          <w:tcPr>
            <w:tcW w:w="1052" w:type="pct"/>
            <w:tcBorders>
              <w:tl2br w:val="nil"/>
              <w:tr2bl w:val="nil"/>
            </w:tcBorders>
            <w:noWrap w:val="0"/>
            <w:vAlign w:val="center"/>
          </w:tcPr>
          <w:p w14:paraId="4CC004EC">
            <w:pPr>
              <w:pStyle w:val="164"/>
              <w:widowControl w:val="0"/>
              <w:spacing w:line="24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color w:val="auto"/>
                <w:sz w:val="21"/>
                <w:szCs w:val="21"/>
              </w:rPr>
              <w:t>本项目会消耗一定量的水资源，但资源消耗量对于区域资源利用总量较少，符合本单元管控要求。</w:t>
            </w:r>
          </w:p>
        </w:tc>
      </w:tr>
    </w:tbl>
    <w:p w14:paraId="3C2F4FBE">
      <w:pPr>
        <w:pStyle w:val="10"/>
        <w:rPr>
          <w:color w:val="auto"/>
          <w:sz w:val="3"/>
        </w:rPr>
      </w:pPr>
    </w:p>
    <w:p w14:paraId="729E1173">
      <w:pPr>
        <w:pStyle w:val="61"/>
        <w:bidi w:val="0"/>
        <w:jc w:val="both"/>
        <w:rPr>
          <w:rFonts w:hint="eastAsia"/>
          <w:color w:val="auto"/>
          <w:lang w:val="en-US" w:eastAsia="zh-CN"/>
        </w:rPr>
      </w:pPr>
      <w:r>
        <w:rPr>
          <w:rFonts w:hint="eastAsia"/>
          <w:color w:val="auto"/>
          <w:lang w:val="en-US" w:eastAsia="zh-CN"/>
        </w:rPr>
        <w:t>表3.4-14  与《新疆维吾尔自治区七大片区“三线一单”生态环境分区管控要求》符合性分析一览表</w:t>
      </w:r>
    </w:p>
    <w:tbl>
      <w:tblPr>
        <w:tblStyle w:val="36"/>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876"/>
        <w:gridCol w:w="5356"/>
        <w:gridCol w:w="6539"/>
        <w:gridCol w:w="1172"/>
      </w:tblGrid>
      <w:tr w14:paraId="410DE9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blHeader/>
          <w:jc w:val="center"/>
        </w:trPr>
        <w:tc>
          <w:tcPr>
            <w:tcW w:w="314" w:type="pct"/>
            <w:tcBorders>
              <w:tl2br w:val="nil"/>
              <w:tr2bl w:val="nil"/>
            </w:tcBorders>
            <w:noWrap w:val="0"/>
            <w:vAlign w:val="center"/>
          </w:tcPr>
          <w:p w14:paraId="0DC65C1B">
            <w:pPr>
              <w:autoSpaceDE w:val="0"/>
              <w:autoSpaceDN w:val="0"/>
              <w:adjustRightInd w:val="0"/>
              <w:spacing w:line="0" w:lineRule="atLeast"/>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名称</w:t>
            </w:r>
          </w:p>
        </w:tc>
        <w:tc>
          <w:tcPr>
            <w:tcW w:w="1920" w:type="pct"/>
            <w:tcBorders>
              <w:tl2br w:val="nil"/>
              <w:tr2bl w:val="nil"/>
            </w:tcBorders>
            <w:noWrap w:val="0"/>
            <w:vAlign w:val="center"/>
          </w:tcPr>
          <w:p w14:paraId="0B733999">
            <w:pPr>
              <w:autoSpaceDE w:val="0"/>
              <w:autoSpaceDN w:val="0"/>
              <w:adjustRightInd w:val="0"/>
              <w:spacing w:line="0" w:lineRule="atLeast"/>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管控要求</w:t>
            </w:r>
          </w:p>
        </w:tc>
        <w:tc>
          <w:tcPr>
            <w:tcW w:w="2344" w:type="pct"/>
            <w:tcBorders>
              <w:tl2br w:val="nil"/>
              <w:tr2bl w:val="nil"/>
            </w:tcBorders>
            <w:noWrap w:val="0"/>
            <w:vAlign w:val="center"/>
          </w:tcPr>
          <w:p w14:paraId="4D74BFFE">
            <w:pPr>
              <w:autoSpaceDE w:val="0"/>
              <w:autoSpaceDN w:val="0"/>
              <w:adjustRightInd w:val="0"/>
              <w:spacing w:line="0" w:lineRule="atLeast"/>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本项目</w:t>
            </w:r>
          </w:p>
        </w:tc>
        <w:tc>
          <w:tcPr>
            <w:tcW w:w="420" w:type="pct"/>
            <w:tcBorders>
              <w:tl2br w:val="nil"/>
              <w:tr2bl w:val="nil"/>
            </w:tcBorders>
            <w:noWrap w:val="0"/>
            <w:vAlign w:val="center"/>
          </w:tcPr>
          <w:p w14:paraId="1A232BA7">
            <w:pPr>
              <w:autoSpaceDE w:val="0"/>
              <w:autoSpaceDN w:val="0"/>
              <w:adjustRightInd w:val="0"/>
              <w:spacing w:line="0" w:lineRule="atLeast"/>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符合性</w:t>
            </w:r>
          </w:p>
        </w:tc>
      </w:tr>
      <w:tr w14:paraId="759D33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14" w:type="pct"/>
            <w:vMerge w:val="restart"/>
            <w:tcBorders>
              <w:tl2br w:val="nil"/>
              <w:tr2bl w:val="nil"/>
            </w:tcBorders>
            <w:noWrap w:val="0"/>
            <w:vAlign w:val="center"/>
          </w:tcPr>
          <w:p w14:paraId="2DF3F05A">
            <w:pPr>
              <w:autoSpaceDE w:val="0"/>
              <w:autoSpaceDN w:val="0"/>
              <w:adjustRightInd w:val="0"/>
              <w:spacing w:line="0" w:lineRule="atLeast"/>
              <w:jc w:val="center"/>
              <w:rPr>
                <w:rFonts w:hint="default" w:ascii="Times New Roman" w:hAnsi="Times New Roman" w:eastAsia="宋体" w:cs="Times New Roman"/>
                <w:color w:val="auto"/>
                <w:spacing w:val="-10"/>
                <w:sz w:val="21"/>
                <w:szCs w:val="21"/>
              </w:rPr>
            </w:pPr>
            <w:bookmarkStart w:id="534" w:name="_Hlk120542022"/>
            <w:r>
              <w:rPr>
                <w:rFonts w:hint="default" w:ascii="Times New Roman" w:hAnsi="Times New Roman" w:eastAsia="宋体" w:cs="Times New Roman"/>
                <w:color w:val="auto"/>
                <w:spacing w:val="-10"/>
                <w:sz w:val="21"/>
                <w:szCs w:val="21"/>
              </w:rPr>
              <w:t>天山南坡片区总体管控要求</w:t>
            </w:r>
            <w:bookmarkEnd w:id="534"/>
          </w:p>
        </w:tc>
        <w:tc>
          <w:tcPr>
            <w:tcW w:w="1920" w:type="pct"/>
            <w:tcBorders>
              <w:tl2br w:val="nil"/>
              <w:tr2bl w:val="nil"/>
            </w:tcBorders>
            <w:noWrap w:val="0"/>
            <w:vAlign w:val="center"/>
          </w:tcPr>
          <w:p w14:paraId="4293748A">
            <w:pPr>
              <w:spacing w:line="0" w:lineRule="atLeast"/>
              <w:rPr>
                <w:rFonts w:hint="default" w:ascii="Times New Roman" w:hAnsi="Times New Roman" w:eastAsia="宋体" w:cs="Times New Roman"/>
                <w:color w:val="auto"/>
                <w:spacing w:val="-10"/>
                <w:sz w:val="21"/>
                <w:szCs w:val="21"/>
                <w:lang w:bidi="ar"/>
              </w:rPr>
            </w:pPr>
            <w:r>
              <w:rPr>
                <w:rFonts w:hint="default" w:ascii="Times New Roman" w:hAnsi="Times New Roman" w:eastAsia="宋体" w:cs="Times New Roman"/>
                <w:color w:val="auto"/>
                <w:spacing w:val="-10"/>
                <w:sz w:val="21"/>
                <w:szCs w:val="21"/>
                <w:lang w:bidi="ar"/>
              </w:rPr>
              <w:t>切实保护托木尔峰和天山南坡中段冰雪水源及生物多样性保护生态功能区内的托木尔峰自然景观、高山冰川、野生动物、森林和草原</w:t>
            </w:r>
            <w:r>
              <w:rPr>
                <w:rFonts w:hint="eastAsia" w:cs="Times New Roman"/>
                <w:color w:val="auto"/>
                <w:spacing w:val="-10"/>
                <w:sz w:val="21"/>
                <w:szCs w:val="21"/>
                <w:lang w:eastAsia="zh-CN" w:bidi="ar"/>
              </w:rPr>
              <w:t>，</w:t>
            </w:r>
            <w:r>
              <w:rPr>
                <w:rFonts w:hint="default" w:ascii="Times New Roman" w:hAnsi="Times New Roman" w:eastAsia="宋体" w:cs="Times New Roman"/>
                <w:color w:val="auto"/>
                <w:spacing w:val="-10"/>
                <w:sz w:val="21"/>
                <w:szCs w:val="21"/>
                <w:lang w:bidi="ar"/>
              </w:rPr>
              <w:t>合理利用天然草地，稳步推进草原减牧，加强保护区管理，维护自然景观和生物多样性。</w:t>
            </w:r>
          </w:p>
        </w:tc>
        <w:tc>
          <w:tcPr>
            <w:tcW w:w="2344" w:type="pct"/>
            <w:tcBorders>
              <w:tl2br w:val="nil"/>
              <w:tr2bl w:val="nil"/>
            </w:tcBorders>
            <w:noWrap w:val="0"/>
            <w:vAlign w:val="center"/>
          </w:tcPr>
          <w:p w14:paraId="28D3DB0D">
            <w:pPr>
              <w:adjustRightInd w:val="0"/>
              <w:spacing w:line="0" w:lineRule="atLeast"/>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lang w:bidi="ar"/>
              </w:rPr>
              <w:t>本项目不</w:t>
            </w:r>
            <w:r>
              <w:rPr>
                <w:rFonts w:hint="eastAsia" w:cs="Times New Roman"/>
                <w:color w:val="auto"/>
                <w:spacing w:val="-10"/>
                <w:sz w:val="21"/>
                <w:szCs w:val="21"/>
                <w:lang w:val="en-US" w:eastAsia="zh-CN" w:bidi="ar"/>
              </w:rPr>
              <w:t>在</w:t>
            </w:r>
            <w:r>
              <w:rPr>
                <w:rFonts w:hint="default" w:ascii="Times New Roman" w:hAnsi="Times New Roman" w:eastAsia="宋体" w:cs="Times New Roman"/>
                <w:color w:val="auto"/>
                <w:spacing w:val="-10"/>
                <w:sz w:val="21"/>
                <w:szCs w:val="21"/>
                <w:lang w:bidi="ar"/>
              </w:rPr>
              <w:t>托木尔峰和天山南坡中段冰雪水源及生物多样性保护生态功能区</w:t>
            </w:r>
          </w:p>
        </w:tc>
        <w:tc>
          <w:tcPr>
            <w:tcW w:w="420" w:type="pct"/>
            <w:tcBorders>
              <w:tl2br w:val="nil"/>
              <w:tr2bl w:val="nil"/>
            </w:tcBorders>
            <w:noWrap w:val="0"/>
            <w:vAlign w:val="center"/>
          </w:tcPr>
          <w:p w14:paraId="208044A2">
            <w:pPr>
              <w:autoSpaceDE w:val="0"/>
              <w:autoSpaceDN w:val="0"/>
              <w:adjustRightInd w:val="0"/>
              <w:spacing w:line="0" w:lineRule="atLeast"/>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符合</w:t>
            </w:r>
          </w:p>
        </w:tc>
      </w:tr>
      <w:tr w14:paraId="38BD1E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14" w:type="pct"/>
            <w:vMerge w:val="continue"/>
            <w:tcBorders>
              <w:tl2br w:val="nil"/>
              <w:tr2bl w:val="nil"/>
            </w:tcBorders>
            <w:noWrap w:val="0"/>
            <w:vAlign w:val="center"/>
          </w:tcPr>
          <w:p w14:paraId="303EF06B">
            <w:pPr>
              <w:autoSpaceDE w:val="0"/>
              <w:autoSpaceDN w:val="0"/>
              <w:adjustRightInd w:val="0"/>
              <w:spacing w:line="0" w:lineRule="atLeast"/>
              <w:jc w:val="center"/>
              <w:rPr>
                <w:rFonts w:hint="default" w:ascii="Times New Roman" w:hAnsi="Times New Roman" w:eastAsia="宋体" w:cs="Times New Roman"/>
                <w:color w:val="auto"/>
                <w:spacing w:val="-10"/>
                <w:sz w:val="21"/>
                <w:szCs w:val="21"/>
              </w:rPr>
            </w:pPr>
          </w:p>
        </w:tc>
        <w:tc>
          <w:tcPr>
            <w:tcW w:w="1920" w:type="pct"/>
            <w:tcBorders>
              <w:tl2br w:val="nil"/>
              <w:tr2bl w:val="nil"/>
            </w:tcBorders>
            <w:noWrap w:val="0"/>
            <w:vAlign w:val="center"/>
          </w:tcPr>
          <w:p w14:paraId="0968F73C">
            <w:pPr>
              <w:spacing w:line="0" w:lineRule="atLeast"/>
              <w:rPr>
                <w:rFonts w:hint="default" w:ascii="Times New Roman" w:hAnsi="Times New Roman" w:eastAsia="宋体" w:cs="Times New Roman"/>
                <w:color w:val="auto"/>
                <w:spacing w:val="-10"/>
                <w:sz w:val="21"/>
                <w:szCs w:val="21"/>
                <w:lang w:bidi="ar"/>
              </w:rPr>
            </w:pPr>
            <w:r>
              <w:rPr>
                <w:rFonts w:hint="default" w:ascii="Times New Roman" w:hAnsi="Times New Roman" w:eastAsia="宋体" w:cs="Times New Roman"/>
                <w:color w:val="auto"/>
                <w:spacing w:val="-10"/>
                <w:sz w:val="21"/>
                <w:szCs w:val="21"/>
                <w:lang w:bidi="ar"/>
              </w:rPr>
              <w:t>重点做好塔里木盆地北缘荒漠化防治。加强荒漠植被及河岸荒漠林保护，规范油气勘探开发作业，建立油田和公路扰动区域工程与生物相结合的防风固沙体系，逐步形成生态屏障。</w:t>
            </w:r>
          </w:p>
        </w:tc>
        <w:tc>
          <w:tcPr>
            <w:tcW w:w="2344" w:type="pct"/>
            <w:tcBorders>
              <w:tl2br w:val="nil"/>
              <w:tr2bl w:val="nil"/>
            </w:tcBorders>
            <w:noWrap w:val="0"/>
            <w:vAlign w:val="center"/>
          </w:tcPr>
          <w:p w14:paraId="043E3F3B">
            <w:pPr>
              <w:adjustRightInd w:val="0"/>
              <w:spacing w:line="0" w:lineRule="atLeast"/>
              <w:jc w:val="center"/>
              <w:rPr>
                <w:rFonts w:hint="default" w:ascii="Times New Roman" w:hAnsi="Times New Roman" w:eastAsia="宋体" w:cs="Times New Roman"/>
                <w:color w:val="auto"/>
                <w:spacing w:val="-10"/>
                <w:sz w:val="21"/>
                <w:szCs w:val="21"/>
                <w:lang w:bidi="ar"/>
              </w:rPr>
            </w:pPr>
            <w:r>
              <w:rPr>
                <w:rFonts w:hint="default" w:ascii="Times New Roman" w:hAnsi="Times New Roman" w:eastAsia="宋体" w:cs="Times New Roman"/>
                <w:color w:val="auto"/>
                <w:spacing w:val="-10"/>
                <w:sz w:val="21"/>
                <w:szCs w:val="21"/>
                <w:lang w:bidi="ar"/>
              </w:rPr>
              <w:t>本项目已提出持续改善、防风固沙、生态修复的要求，施工过程中严格控制施工占地，井场建设和管道敷设完成后，采取措施及时恢复临时占地，对施工作业带进行生态恢复，尽可能减少对区域生态环境的影响。</w:t>
            </w:r>
          </w:p>
        </w:tc>
        <w:tc>
          <w:tcPr>
            <w:tcW w:w="420" w:type="pct"/>
            <w:tcBorders>
              <w:tl2br w:val="nil"/>
              <w:tr2bl w:val="nil"/>
            </w:tcBorders>
            <w:noWrap w:val="0"/>
            <w:vAlign w:val="center"/>
          </w:tcPr>
          <w:p w14:paraId="06E33CD8">
            <w:pPr>
              <w:autoSpaceDE w:val="0"/>
              <w:autoSpaceDN w:val="0"/>
              <w:adjustRightInd w:val="0"/>
              <w:spacing w:line="0" w:lineRule="atLeast"/>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符合</w:t>
            </w:r>
          </w:p>
        </w:tc>
      </w:tr>
      <w:tr w14:paraId="0B7CA1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14" w:type="pct"/>
            <w:vMerge w:val="continue"/>
            <w:tcBorders>
              <w:tl2br w:val="nil"/>
              <w:tr2bl w:val="nil"/>
            </w:tcBorders>
            <w:noWrap w:val="0"/>
            <w:vAlign w:val="center"/>
          </w:tcPr>
          <w:p w14:paraId="5E8C2E65">
            <w:pPr>
              <w:autoSpaceDE w:val="0"/>
              <w:autoSpaceDN w:val="0"/>
              <w:adjustRightInd w:val="0"/>
              <w:spacing w:line="0" w:lineRule="atLeast"/>
              <w:jc w:val="center"/>
              <w:rPr>
                <w:rFonts w:hint="default" w:ascii="Times New Roman" w:hAnsi="Times New Roman" w:eastAsia="宋体" w:cs="Times New Roman"/>
                <w:color w:val="auto"/>
                <w:spacing w:val="-10"/>
                <w:sz w:val="21"/>
                <w:szCs w:val="21"/>
              </w:rPr>
            </w:pPr>
          </w:p>
        </w:tc>
        <w:tc>
          <w:tcPr>
            <w:tcW w:w="1920" w:type="pct"/>
            <w:tcBorders>
              <w:tl2br w:val="nil"/>
              <w:tr2bl w:val="nil"/>
            </w:tcBorders>
            <w:noWrap w:val="0"/>
            <w:vAlign w:val="center"/>
          </w:tcPr>
          <w:p w14:paraId="05484046">
            <w:pPr>
              <w:spacing w:line="0" w:lineRule="atLeast"/>
              <w:rPr>
                <w:rFonts w:hint="default" w:ascii="Times New Roman" w:hAnsi="Times New Roman" w:eastAsia="宋体" w:cs="Times New Roman"/>
                <w:color w:val="auto"/>
                <w:spacing w:val="-10"/>
                <w:sz w:val="21"/>
                <w:szCs w:val="21"/>
                <w:lang w:bidi="ar"/>
              </w:rPr>
            </w:pPr>
            <w:r>
              <w:rPr>
                <w:rFonts w:hint="default" w:ascii="Times New Roman" w:hAnsi="Times New Roman" w:eastAsia="宋体" w:cs="Times New Roman"/>
                <w:color w:val="auto"/>
                <w:spacing w:val="-10"/>
                <w:sz w:val="21"/>
                <w:szCs w:val="21"/>
                <w:lang w:bidi="ar"/>
              </w:rPr>
              <w:t>推进塔里木河流域用水结构调整，维护塔里木河、博斯腾湖基本生态用水。</w:t>
            </w:r>
          </w:p>
          <w:p w14:paraId="26FD2C22">
            <w:pPr>
              <w:spacing w:line="0" w:lineRule="atLeast"/>
              <w:rPr>
                <w:rFonts w:hint="default" w:ascii="Times New Roman" w:hAnsi="Times New Roman" w:eastAsia="宋体" w:cs="Times New Roman"/>
                <w:color w:val="auto"/>
                <w:spacing w:val="-10"/>
                <w:sz w:val="21"/>
                <w:szCs w:val="21"/>
                <w:lang w:bidi="ar"/>
              </w:rPr>
            </w:pPr>
            <w:r>
              <w:rPr>
                <w:rFonts w:hint="default" w:ascii="Times New Roman" w:hAnsi="Times New Roman" w:eastAsia="宋体" w:cs="Times New Roman"/>
                <w:color w:val="auto"/>
                <w:spacing w:val="-10"/>
                <w:sz w:val="21"/>
                <w:szCs w:val="21"/>
                <w:lang w:bidi="ar"/>
              </w:rPr>
              <w:t>加强塔里木河流域水环境风险管控。加大博斯腾湖污染源头达标排放治理和监督力度，实施博斯腾湖综合治理。</w:t>
            </w:r>
          </w:p>
        </w:tc>
        <w:tc>
          <w:tcPr>
            <w:tcW w:w="2344" w:type="pct"/>
            <w:tcBorders>
              <w:tl2br w:val="nil"/>
              <w:tr2bl w:val="nil"/>
            </w:tcBorders>
            <w:noWrap w:val="0"/>
            <w:vAlign w:val="center"/>
          </w:tcPr>
          <w:p w14:paraId="77F2E55B">
            <w:pPr>
              <w:adjustRightInd w:val="0"/>
              <w:spacing w:line="0" w:lineRule="atLeast"/>
              <w:jc w:val="center"/>
              <w:rPr>
                <w:rFonts w:hint="default" w:ascii="Times New Roman" w:hAnsi="Times New Roman" w:eastAsia="宋体" w:cs="Times New Roman"/>
                <w:color w:val="auto"/>
                <w:spacing w:val="-10"/>
                <w:sz w:val="21"/>
                <w:szCs w:val="21"/>
                <w:lang w:bidi="ar"/>
              </w:rPr>
            </w:pPr>
            <w:r>
              <w:rPr>
                <w:rFonts w:hint="default" w:ascii="Times New Roman" w:hAnsi="Times New Roman" w:eastAsia="宋体" w:cs="Times New Roman"/>
                <w:color w:val="auto"/>
                <w:spacing w:val="-10"/>
                <w:sz w:val="21"/>
                <w:szCs w:val="21"/>
                <w:lang w:bidi="ar"/>
              </w:rPr>
              <w:t>本项目位于</w:t>
            </w:r>
            <w:r>
              <w:rPr>
                <w:rFonts w:hint="eastAsia" w:ascii="Times New Roman" w:hAnsi="Times New Roman" w:eastAsia="宋体" w:cs="Times New Roman"/>
                <w:color w:val="auto"/>
                <w:spacing w:val="-10"/>
                <w:sz w:val="21"/>
                <w:szCs w:val="21"/>
                <w:lang w:val="en-US" w:eastAsia="zh-CN" w:bidi="ar"/>
              </w:rPr>
              <w:t>温宿县</w:t>
            </w:r>
            <w:r>
              <w:rPr>
                <w:rFonts w:hint="default" w:ascii="Times New Roman" w:hAnsi="Times New Roman" w:eastAsia="宋体" w:cs="Times New Roman"/>
                <w:color w:val="auto"/>
                <w:spacing w:val="-10"/>
                <w:sz w:val="21"/>
                <w:szCs w:val="21"/>
                <w:lang w:bidi="ar"/>
              </w:rPr>
              <w:t>，不涉及巴州境内的博斯腾湖，本项目距离塔里木河</w:t>
            </w:r>
            <w:r>
              <w:rPr>
                <w:rFonts w:hint="eastAsia" w:ascii="Times New Roman" w:hAnsi="Times New Roman" w:eastAsia="宋体" w:cs="Times New Roman"/>
                <w:color w:val="auto"/>
                <w:spacing w:val="-10"/>
                <w:sz w:val="21"/>
                <w:szCs w:val="21"/>
                <w:lang w:val="en-US" w:eastAsia="zh-CN" w:bidi="ar"/>
              </w:rPr>
              <w:t>较远</w:t>
            </w:r>
            <w:r>
              <w:rPr>
                <w:rFonts w:hint="default" w:ascii="Times New Roman" w:hAnsi="Times New Roman" w:eastAsia="宋体" w:cs="Times New Roman"/>
                <w:color w:val="auto"/>
                <w:spacing w:val="-10"/>
                <w:sz w:val="21"/>
                <w:szCs w:val="21"/>
                <w:lang w:bidi="ar"/>
              </w:rPr>
              <w:t>，运营期耗水环节仅为井下作业用水，用水量较少，施工废水、生活污水等进行综合利用，不挤占塔里木河生态用水。运营期加强环境风险防控，基本不会对塔里木河水环境产生影响。</w:t>
            </w:r>
          </w:p>
        </w:tc>
        <w:tc>
          <w:tcPr>
            <w:tcW w:w="420" w:type="pct"/>
            <w:tcBorders>
              <w:tl2br w:val="nil"/>
              <w:tr2bl w:val="nil"/>
            </w:tcBorders>
            <w:noWrap w:val="0"/>
            <w:vAlign w:val="center"/>
          </w:tcPr>
          <w:p w14:paraId="4F6E3D0D">
            <w:pPr>
              <w:autoSpaceDE w:val="0"/>
              <w:autoSpaceDN w:val="0"/>
              <w:adjustRightInd w:val="0"/>
              <w:spacing w:line="0" w:lineRule="atLeast"/>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符合</w:t>
            </w:r>
          </w:p>
        </w:tc>
      </w:tr>
      <w:tr w14:paraId="004588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14" w:type="pct"/>
            <w:vMerge w:val="continue"/>
            <w:tcBorders>
              <w:tl2br w:val="nil"/>
              <w:tr2bl w:val="nil"/>
            </w:tcBorders>
            <w:noWrap w:val="0"/>
            <w:vAlign w:val="center"/>
          </w:tcPr>
          <w:p w14:paraId="0D744E22">
            <w:pPr>
              <w:autoSpaceDE w:val="0"/>
              <w:autoSpaceDN w:val="0"/>
              <w:adjustRightInd w:val="0"/>
              <w:spacing w:line="0" w:lineRule="atLeast"/>
              <w:jc w:val="center"/>
              <w:rPr>
                <w:rFonts w:hint="default" w:ascii="Times New Roman" w:hAnsi="Times New Roman" w:eastAsia="宋体" w:cs="Times New Roman"/>
                <w:color w:val="auto"/>
                <w:spacing w:val="-10"/>
                <w:sz w:val="21"/>
                <w:szCs w:val="21"/>
              </w:rPr>
            </w:pPr>
          </w:p>
        </w:tc>
        <w:tc>
          <w:tcPr>
            <w:tcW w:w="1920" w:type="pct"/>
            <w:tcBorders>
              <w:tl2br w:val="nil"/>
              <w:tr2bl w:val="nil"/>
            </w:tcBorders>
            <w:noWrap w:val="0"/>
            <w:vAlign w:val="center"/>
          </w:tcPr>
          <w:p w14:paraId="1D9E6D55">
            <w:pPr>
              <w:spacing w:line="0" w:lineRule="atLeast"/>
              <w:rPr>
                <w:rFonts w:hint="default" w:ascii="Times New Roman" w:hAnsi="Times New Roman" w:eastAsia="宋体" w:cs="Times New Roman"/>
                <w:color w:val="auto"/>
                <w:spacing w:val="-10"/>
                <w:sz w:val="21"/>
                <w:szCs w:val="21"/>
                <w:lang w:bidi="ar"/>
              </w:rPr>
            </w:pPr>
            <w:r>
              <w:rPr>
                <w:rFonts w:hint="default" w:ascii="Times New Roman" w:hAnsi="Times New Roman" w:eastAsia="宋体" w:cs="Times New Roman"/>
                <w:color w:val="auto"/>
                <w:spacing w:val="-10"/>
                <w:sz w:val="21"/>
                <w:szCs w:val="21"/>
                <w:lang w:bidi="ar"/>
              </w:rPr>
              <w:t>加强油（气）资源开发区土壤环境污染综合整治。强化涉重金属行业污染防控与工业废物处理处置。</w:t>
            </w:r>
          </w:p>
        </w:tc>
        <w:tc>
          <w:tcPr>
            <w:tcW w:w="2344" w:type="pct"/>
            <w:tcBorders>
              <w:tl2br w:val="nil"/>
              <w:tr2bl w:val="nil"/>
            </w:tcBorders>
            <w:noWrap w:val="0"/>
            <w:vAlign w:val="center"/>
          </w:tcPr>
          <w:p w14:paraId="1CC3B920">
            <w:pPr>
              <w:adjustRightInd w:val="0"/>
              <w:spacing w:line="0" w:lineRule="atLeast"/>
              <w:jc w:val="center"/>
              <w:rPr>
                <w:rFonts w:hint="default" w:ascii="Times New Roman" w:hAnsi="Times New Roman" w:eastAsia="宋体" w:cs="Times New Roman"/>
                <w:color w:val="auto"/>
                <w:spacing w:val="-10"/>
                <w:sz w:val="21"/>
                <w:szCs w:val="21"/>
                <w:lang w:bidi="ar"/>
              </w:rPr>
            </w:pPr>
            <w:r>
              <w:rPr>
                <w:rFonts w:hint="default" w:ascii="Times New Roman" w:hAnsi="Times New Roman" w:eastAsia="宋体" w:cs="Times New Roman"/>
                <w:color w:val="auto"/>
                <w:spacing w:val="-10"/>
                <w:sz w:val="21"/>
                <w:szCs w:val="21"/>
              </w:rPr>
              <w:t>本项目已提出土壤污染防治措施，本项目不涉及涉重金属行业污染防控，产生的油泥等危险废物委托有资质的单位合理处置。</w:t>
            </w:r>
          </w:p>
        </w:tc>
        <w:tc>
          <w:tcPr>
            <w:tcW w:w="420" w:type="pct"/>
            <w:tcBorders>
              <w:tl2br w:val="nil"/>
              <w:tr2bl w:val="nil"/>
            </w:tcBorders>
            <w:noWrap w:val="0"/>
            <w:vAlign w:val="center"/>
          </w:tcPr>
          <w:p w14:paraId="04A9C742">
            <w:pPr>
              <w:autoSpaceDE w:val="0"/>
              <w:autoSpaceDN w:val="0"/>
              <w:adjustRightInd w:val="0"/>
              <w:spacing w:line="0" w:lineRule="atLeast"/>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符合</w:t>
            </w:r>
          </w:p>
        </w:tc>
      </w:tr>
    </w:tbl>
    <w:p w14:paraId="11E8FB6A">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heme="majorEastAsia" w:hAnsiTheme="majorEastAsia" w:eastAsiaTheme="majorEastAsia" w:cstheme="majorEastAsia"/>
          <w:b/>
          <w:bCs w:val="0"/>
          <w:color w:val="auto"/>
          <w:kern w:val="2"/>
          <w:sz w:val="24"/>
          <w:szCs w:val="24"/>
          <w:lang w:val="en-US" w:eastAsia="zh-CN" w:bidi="ar-SA"/>
        </w:rPr>
      </w:pPr>
    </w:p>
    <w:p w14:paraId="0B5680FE">
      <w:pPr>
        <w:pStyle w:val="10"/>
        <w:rPr>
          <w:rFonts w:hint="default"/>
          <w:color w:val="auto"/>
        </w:rPr>
        <w:sectPr>
          <w:pgSz w:w="16838" w:h="11906" w:orient="landscape"/>
          <w:pgMar w:top="1814" w:right="1474" w:bottom="1474" w:left="1474" w:header="850" w:footer="992" w:gutter="0"/>
          <w:pgBorders>
            <w:top w:val="none" w:sz="0" w:space="0"/>
            <w:left w:val="none" w:sz="0" w:space="0"/>
            <w:bottom w:val="none" w:sz="0" w:space="0"/>
            <w:right w:val="none" w:sz="0" w:space="0"/>
          </w:pgBorders>
          <w:pgNumType w:fmt="decimal"/>
          <w:cols w:space="0" w:num="1"/>
          <w:rtlGutter w:val="0"/>
          <w:docGrid w:type="linesAndChars" w:linePitch="316" w:charSpace="0"/>
        </w:sectPr>
      </w:pPr>
    </w:p>
    <w:p w14:paraId="5E933452">
      <w:pPr>
        <w:pStyle w:val="75"/>
        <w:bidi w:val="0"/>
        <w:rPr>
          <w:rFonts w:hint="default"/>
          <w:color w:val="auto"/>
        </w:rPr>
      </w:pPr>
      <w:bookmarkStart w:id="535" w:name="_Toc32514"/>
      <w:r>
        <w:rPr>
          <w:rFonts w:hint="default"/>
          <w:color w:val="auto"/>
        </w:rPr>
        <w:t>3.</w:t>
      </w:r>
      <w:r>
        <w:rPr>
          <w:rFonts w:hint="eastAsia"/>
          <w:color w:val="auto"/>
          <w:lang w:val="en-US" w:eastAsia="zh-CN"/>
        </w:rPr>
        <w:t xml:space="preserve">5 </w:t>
      </w:r>
      <w:r>
        <w:rPr>
          <w:rFonts w:hint="default"/>
          <w:color w:val="auto"/>
        </w:rPr>
        <w:t>选址选线合理性分析</w:t>
      </w:r>
      <w:bookmarkEnd w:id="522"/>
      <w:bookmarkEnd w:id="523"/>
      <w:bookmarkEnd w:id="524"/>
      <w:bookmarkEnd w:id="535"/>
    </w:p>
    <w:p w14:paraId="38C0FC75">
      <w:pPr>
        <w:pStyle w:val="79"/>
        <w:bidi w:val="0"/>
        <w:rPr>
          <w:color w:val="auto"/>
        </w:rPr>
      </w:pPr>
      <w:r>
        <w:rPr>
          <w:color w:val="auto"/>
        </w:rPr>
        <w:t>工程所在区域</w:t>
      </w:r>
      <w:r>
        <w:rPr>
          <w:rFonts w:hint="eastAsia"/>
          <w:color w:val="auto"/>
          <w:lang w:val="en-US" w:eastAsia="zh-CN"/>
        </w:rPr>
        <w:t>温宿县</w:t>
      </w:r>
      <w:r>
        <w:rPr>
          <w:color w:val="auto"/>
        </w:rPr>
        <w:t>属于塔里木河流域重点治理区。本工程无法避让塔里木河流域重点治理区，建设过程中将严格执行各项水土保持措施，以减小因工程建设带来的不利影响，从而减少水土流失。项目建设及运行过程中需按照设计及环评要求采取水土流失防治措施，根据项目影响预测分析，项目对周边产生的环境影响在可接受范围内。</w:t>
      </w:r>
    </w:p>
    <w:p w14:paraId="68F17371">
      <w:pPr>
        <w:pStyle w:val="79"/>
        <w:bidi w:val="0"/>
        <w:rPr>
          <w:color w:val="auto"/>
        </w:rPr>
      </w:pPr>
      <w:r>
        <w:rPr>
          <w:color w:val="auto"/>
        </w:rPr>
        <w:t>（1）站场选址可行性分析</w:t>
      </w:r>
    </w:p>
    <w:p w14:paraId="2CDE71AB">
      <w:pPr>
        <w:pStyle w:val="79"/>
        <w:bidi w:val="0"/>
        <w:rPr>
          <w:color w:val="auto"/>
        </w:rPr>
      </w:pPr>
      <w:r>
        <w:rPr>
          <w:color w:val="auto"/>
        </w:rPr>
        <w:t>根据工程周边关系图，工程开发区域位于阿克苏地区</w:t>
      </w:r>
      <w:r>
        <w:rPr>
          <w:rFonts w:hint="eastAsia"/>
          <w:color w:val="auto"/>
          <w:lang w:val="en-US" w:eastAsia="zh-CN"/>
        </w:rPr>
        <w:t>温宿县</w:t>
      </w:r>
      <w:r>
        <w:rPr>
          <w:color w:val="auto"/>
        </w:rPr>
        <w:t>境内，</w:t>
      </w:r>
      <w:r>
        <w:rPr>
          <w:rFonts w:hint="eastAsia"/>
          <w:color w:val="auto"/>
          <w:lang w:val="en-US" w:eastAsia="zh-CN"/>
        </w:rPr>
        <w:t>雄英1区块</w:t>
      </w:r>
      <w:r>
        <w:rPr>
          <w:color w:val="auto"/>
        </w:rPr>
        <w:t>内，塔克拉玛干沙漠</w:t>
      </w:r>
      <w:r>
        <w:rPr>
          <w:rFonts w:hint="eastAsia"/>
          <w:color w:val="auto"/>
          <w:lang w:val="en-US" w:eastAsia="zh-CN"/>
        </w:rPr>
        <w:t>北侧</w:t>
      </w:r>
      <w:r>
        <w:rPr>
          <w:color w:val="auto"/>
        </w:rPr>
        <w:t>。根据现场调查和资料搜集，项目区域站场及周边不涉及依法划定的自然保护区、饮用水源保护区、风景名胜区、森林公园及其他需要特别保护的环境敏感区，站场占地类型为</w:t>
      </w:r>
      <w:r>
        <w:rPr>
          <w:rFonts w:hint="eastAsia"/>
          <w:color w:val="auto"/>
          <w:lang w:val="en-US" w:eastAsia="zh-CN"/>
        </w:rPr>
        <w:t>天然牧草地</w:t>
      </w:r>
      <w:r>
        <w:rPr>
          <w:color w:val="auto"/>
        </w:rPr>
        <w:t>，</w:t>
      </w:r>
      <w:r>
        <w:rPr>
          <w:rFonts w:hint="eastAsia"/>
          <w:color w:val="auto"/>
        </w:rPr>
        <w:t>项目区内植被覆盖度在5</w:t>
      </w:r>
      <w:r>
        <w:rPr>
          <w:rFonts w:hint="eastAsia"/>
          <w:color w:val="auto"/>
          <w:lang w:eastAsia="zh-CN"/>
        </w:rPr>
        <w:t>%～</w:t>
      </w:r>
      <w:r>
        <w:rPr>
          <w:rFonts w:hint="eastAsia"/>
          <w:color w:val="auto"/>
        </w:rPr>
        <w:t>10%左右</w:t>
      </w:r>
      <w:r>
        <w:rPr>
          <w:color w:val="auto"/>
        </w:rPr>
        <w:t>。站场选址已避开生态保护红线，距离生态保护红线较远。</w:t>
      </w:r>
    </w:p>
    <w:p w14:paraId="23B7A4E5">
      <w:pPr>
        <w:pStyle w:val="79"/>
        <w:bidi w:val="0"/>
        <w:rPr>
          <w:color w:val="auto"/>
        </w:rPr>
      </w:pPr>
      <w:r>
        <w:rPr>
          <w:color w:val="auto"/>
        </w:rPr>
        <w:t>综合以上的分析看，站场选址是可行的。</w:t>
      </w:r>
    </w:p>
    <w:p w14:paraId="745B8C69">
      <w:pPr>
        <w:pStyle w:val="79"/>
        <w:bidi w:val="0"/>
        <w:rPr>
          <w:color w:val="auto"/>
        </w:rPr>
      </w:pPr>
      <w:r>
        <w:rPr>
          <w:color w:val="auto"/>
        </w:rPr>
        <w:t>（2）管线路由合理性分析</w:t>
      </w:r>
    </w:p>
    <w:p w14:paraId="30EC381A">
      <w:pPr>
        <w:pStyle w:val="79"/>
        <w:bidi w:val="0"/>
        <w:rPr>
          <w:color w:val="auto"/>
        </w:rPr>
      </w:pPr>
      <w:r>
        <w:rPr>
          <w:color w:val="auto"/>
        </w:rPr>
        <w:t>工程新建管线</w:t>
      </w:r>
      <w:r>
        <w:rPr>
          <w:rFonts w:hint="eastAsia"/>
          <w:color w:val="auto"/>
          <w:lang w:val="en-US" w:eastAsia="zh-CN"/>
        </w:rPr>
        <w:t>主要为单井集输管线</w:t>
      </w:r>
      <w:r>
        <w:rPr>
          <w:color w:val="auto"/>
        </w:rPr>
        <w:t>。拟建管线沿途所经区域生态系统以荒漠生态系统为主</w:t>
      </w:r>
      <w:r>
        <w:rPr>
          <w:rFonts w:hint="eastAsia"/>
          <w:color w:val="auto"/>
          <w:lang w:eastAsia="zh-CN"/>
        </w:rPr>
        <w:t>，项目区内植被覆盖度在5%～10%左右，少部分管线经过茂密区域可达15%</w:t>
      </w:r>
      <w:r>
        <w:rPr>
          <w:color w:val="auto"/>
        </w:rPr>
        <w:t>。管线沿线不涉及需特别保护的环境敏感区，管线路由已避开生态保护红线，距离生态保护红线较远。</w:t>
      </w:r>
    </w:p>
    <w:p w14:paraId="3012B47C">
      <w:pPr>
        <w:pStyle w:val="79"/>
        <w:bidi w:val="0"/>
        <w:rPr>
          <w:color w:val="auto"/>
        </w:rPr>
      </w:pPr>
      <w:r>
        <w:rPr>
          <w:color w:val="auto"/>
        </w:rPr>
        <w:t>管线在设计选线时走向力求顺直、平缓，并尽量减少与天然、人工障碍物交叉；选择有利地形，确保管线长期、安全、可靠运行。</w:t>
      </w:r>
      <w:r>
        <w:rPr>
          <w:rFonts w:hint="eastAsia"/>
          <w:color w:val="auto"/>
        </w:rPr>
        <w:t>线路在无人区穿越，不涉及征地和拆迁；线路尽量避开不良工程地质区，保证管道运行安全可靠，从工艺、运行管理、征地分析，本工程管道选线合理。</w:t>
      </w:r>
    </w:p>
    <w:p w14:paraId="109511C0">
      <w:pPr>
        <w:pStyle w:val="79"/>
        <w:bidi w:val="0"/>
        <w:rPr>
          <w:rFonts w:hint="eastAsia"/>
          <w:color w:val="auto"/>
          <w:lang w:val="en-US" w:eastAsia="zh-CN"/>
        </w:rPr>
        <w:sectPr>
          <w:pgSz w:w="11906"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AndChars" w:linePitch="316" w:charSpace="0"/>
        </w:sectPr>
      </w:pPr>
      <w:r>
        <w:rPr>
          <w:rFonts w:hint="default"/>
          <w:color w:val="auto"/>
          <w:lang w:val="en-US" w:eastAsia="zh-CN"/>
        </w:rPr>
        <w:t>综上所述，本项目所有占地均不涉及生态敏感区，</w:t>
      </w:r>
      <w:r>
        <w:rPr>
          <w:rFonts w:hint="eastAsia"/>
          <w:color w:val="auto"/>
          <w:lang w:val="en-US" w:eastAsia="zh-CN"/>
        </w:rPr>
        <w:t>场站</w:t>
      </w:r>
      <w:r>
        <w:rPr>
          <w:rFonts w:hint="default"/>
          <w:color w:val="auto"/>
          <w:lang w:val="en-US" w:eastAsia="zh-CN"/>
        </w:rPr>
        <w:t>、管线选址均远离生态保护红线，占地类型主要为</w:t>
      </w:r>
      <w:r>
        <w:rPr>
          <w:rFonts w:hint="eastAsia"/>
          <w:color w:val="auto"/>
          <w:lang w:val="en-US" w:eastAsia="zh-CN"/>
        </w:rPr>
        <w:t>天然牧草地</w:t>
      </w:r>
      <w:r>
        <w:rPr>
          <w:rFonts w:hint="default"/>
          <w:color w:val="auto"/>
          <w:lang w:val="en-US" w:eastAsia="zh-CN"/>
        </w:rPr>
        <w:t>，无环境限制因素，选址选线合理</w:t>
      </w:r>
      <w:r>
        <w:rPr>
          <w:rFonts w:hint="eastAsia"/>
          <w:color w:val="auto"/>
          <w:lang w:val="en-US" w:eastAsia="zh-CN"/>
        </w:rPr>
        <w:t>。</w:t>
      </w:r>
    </w:p>
    <w:p w14:paraId="22CB002D">
      <w:pPr>
        <w:pStyle w:val="49"/>
        <w:bidi w:val="0"/>
        <w:rPr>
          <w:rFonts w:hint="default"/>
          <w:color w:val="auto"/>
        </w:rPr>
      </w:pPr>
      <w:bookmarkStart w:id="536" w:name="_Toc353966737"/>
      <w:bookmarkStart w:id="537" w:name="_Toc27576"/>
      <w:bookmarkStart w:id="538" w:name="_Toc109382924"/>
      <w:bookmarkStart w:id="539" w:name="_Toc508291885"/>
      <w:bookmarkStart w:id="540" w:name="_Toc374724182"/>
      <w:bookmarkStart w:id="541" w:name="_Toc1380"/>
      <w:bookmarkStart w:id="542" w:name="_Toc361761829"/>
      <w:bookmarkStart w:id="543" w:name="_Toc19359"/>
      <w:r>
        <w:rPr>
          <w:rFonts w:hint="default"/>
          <w:color w:val="auto"/>
        </w:rPr>
        <w:t>4</w:t>
      </w:r>
      <w:r>
        <w:rPr>
          <w:rFonts w:hint="eastAsia"/>
          <w:color w:val="auto"/>
          <w:lang w:val="en-US" w:eastAsia="zh-CN"/>
        </w:rPr>
        <w:t xml:space="preserve"> </w:t>
      </w:r>
      <w:r>
        <w:rPr>
          <w:rFonts w:hint="default"/>
          <w:color w:val="auto"/>
        </w:rPr>
        <w:t>环境现状调查与评价</w:t>
      </w:r>
      <w:bookmarkEnd w:id="536"/>
      <w:bookmarkEnd w:id="537"/>
      <w:bookmarkEnd w:id="538"/>
      <w:bookmarkEnd w:id="539"/>
      <w:bookmarkEnd w:id="540"/>
      <w:bookmarkEnd w:id="541"/>
      <w:bookmarkEnd w:id="542"/>
      <w:bookmarkEnd w:id="543"/>
    </w:p>
    <w:p w14:paraId="66A21BCF">
      <w:pPr>
        <w:pStyle w:val="75"/>
        <w:bidi w:val="0"/>
        <w:rPr>
          <w:rFonts w:hint="default"/>
          <w:color w:val="auto"/>
          <w:lang w:val="en-US" w:eastAsia="zh-CN"/>
        </w:rPr>
      </w:pPr>
      <w:bookmarkStart w:id="544" w:name="_Toc22197"/>
      <w:bookmarkStart w:id="545" w:name="_Toc15158"/>
      <w:bookmarkStart w:id="546" w:name="_Toc13451"/>
      <w:bookmarkStart w:id="547" w:name="_Toc20355"/>
      <w:bookmarkStart w:id="548" w:name="_Toc119915016"/>
      <w:bookmarkStart w:id="549" w:name="_Toc31598"/>
      <w:bookmarkStart w:id="550" w:name="_Toc19842"/>
      <w:bookmarkStart w:id="551" w:name="_Toc508291886"/>
      <w:bookmarkStart w:id="552" w:name="_Toc109382925"/>
      <w:bookmarkStart w:id="553" w:name="_Toc27432"/>
      <w:bookmarkStart w:id="554" w:name="_Toc374724183"/>
      <w:bookmarkStart w:id="555" w:name="_Toc18030"/>
      <w:r>
        <w:rPr>
          <w:rFonts w:hint="default"/>
          <w:color w:val="auto"/>
          <w:lang w:val="en-US" w:eastAsia="zh-CN"/>
        </w:rPr>
        <w:t>4.1</w:t>
      </w:r>
      <w:r>
        <w:rPr>
          <w:rFonts w:hint="eastAsia"/>
          <w:color w:val="auto"/>
          <w:lang w:val="en-US" w:eastAsia="zh-CN"/>
        </w:rPr>
        <w:t xml:space="preserve"> </w:t>
      </w:r>
      <w:r>
        <w:rPr>
          <w:rFonts w:hint="default"/>
          <w:color w:val="auto"/>
          <w:lang w:val="en-US" w:eastAsia="zh-CN"/>
        </w:rPr>
        <w:t>自然环境概况</w:t>
      </w:r>
      <w:bookmarkEnd w:id="544"/>
      <w:bookmarkEnd w:id="545"/>
      <w:bookmarkEnd w:id="546"/>
      <w:bookmarkEnd w:id="547"/>
      <w:bookmarkEnd w:id="548"/>
      <w:bookmarkEnd w:id="549"/>
      <w:bookmarkEnd w:id="550"/>
    </w:p>
    <w:p w14:paraId="04428270">
      <w:pPr>
        <w:pStyle w:val="54"/>
        <w:bidi w:val="0"/>
        <w:rPr>
          <w:rFonts w:hint="default"/>
          <w:color w:val="auto"/>
          <w:lang w:val="en-US" w:eastAsia="zh-CN"/>
        </w:rPr>
      </w:pPr>
      <w:r>
        <w:rPr>
          <w:rFonts w:hint="default"/>
          <w:color w:val="auto"/>
          <w:lang w:val="en-US" w:eastAsia="zh-CN"/>
        </w:rPr>
        <w:t>4.1.1</w:t>
      </w:r>
      <w:r>
        <w:rPr>
          <w:rFonts w:hint="eastAsia"/>
          <w:color w:val="auto"/>
          <w:lang w:val="en-US" w:eastAsia="zh-CN"/>
        </w:rPr>
        <w:t xml:space="preserve"> </w:t>
      </w:r>
      <w:r>
        <w:rPr>
          <w:rFonts w:hint="default"/>
          <w:color w:val="auto"/>
          <w:lang w:val="en-US" w:eastAsia="zh-CN"/>
        </w:rPr>
        <w:t>地理位置</w:t>
      </w:r>
    </w:p>
    <w:p w14:paraId="2F64BB80">
      <w:pPr>
        <w:pStyle w:val="79"/>
        <w:bidi w:val="0"/>
        <w:rPr>
          <w:rFonts w:hint="eastAsia"/>
          <w:color w:val="auto"/>
          <w:lang w:val="en-US" w:eastAsia="zh-CN"/>
        </w:rPr>
      </w:pPr>
      <w:r>
        <w:rPr>
          <w:rFonts w:hint="eastAsia"/>
          <w:color w:val="auto"/>
          <w:lang w:val="en-US" w:eastAsia="zh-CN"/>
        </w:rPr>
        <w:t>温宿县地处阿克苏地区的西北部，位于新疆西部天山中段托木尔峰南麓、塔里木盆地北缘，地处东经79°28′～81°28′，北纬40°52′～42°21′之间，北以天山山脊克尔斯克尔为界与昭苏县相依，东隔木扎提河和拜城县、新和县为邻，南与阿克苏市毗连，西隔托什干河与乌什县相望，总面积1.46万km2。</w:t>
      </w:r>
    </w:p>
    <w:p w14:paraId="1AD87611">
      <w:pPr>
        <w:pStyle w:val="79"/>
        <w:bidi w:val="0"/>
        <w:rPr>
          <w:rFonts w:hint="default"/>
          <w:color w:val="auto"/>
        </w:rPr>
      </w:pPr>
      <w:r>
        <w:rPr>
          <w:rFonts w:hint="eastAsia"/>
          <w:color w:val="auto"/>
          <w:lang w:val="en-US" w:eastAsia="zh-CN"/>
        </w:rPr>
        <w:t>雄英油田雄英1区块</w:t>
      </w:r>
      <w:r>
        <w:rPr>
          <w:rFonts w:hint="default"/>
          <w:color w:val="auto"/>
        </w:rPr>
        <w:t>地处塔克拉玛干沙漠北缘，</w:t>
      </w:r>
      <w:r>
        <w:rPr>
          <w:rFonts w:hint="eastAsia"/>
          <w:color w:val="auto"/>
          <w:lang w:val="en-US" w:eastAsia="zh-CN"/>
        </w:rPr>
        <w:t>为新区块的开发</w:t>
      </w:r>
      <w:r>
        <w:rPr>
          <w:rFonts w:hint="default"/>
          <w:color w:val="auto"/>
        </w:rPr>
        <w:t>，行政隶属于阿克苏地区</w:t>
      </w:r>
      <w:r>
        <w:rPr>
          <w:rFonts w:hint="eastAsia"/>
          <w:color w:val="auto"/>
          <w:lang w:val="en-US" w:eastAsia="zh-CN"/>
        </w:rPr>
        <w:t>温宿县</w:t>
      </w:r>
      <w:r>
        <w:rPr>
          <w:rFonts w:hint="eastAsia"/>
          <w:color w:val="auto"/>
          <w:lang w:eastAsia="zh-CN"/>
        </w:rPr>
        <w:t>，</w:t>
      </w:r>
      <w:r>
        <w:rPr>
          <w:rFonts w:hint="default"/>
          <w:color w:val="auto"/>
        </w:rPr>
        <w:t>西北方向距温宿县城约80.7km，东北侧距离新和县114km</w:t>
      </w:r>
      <w:r>
        <w:rPr>
          <w:rFonts w:hint="eastAsia"/>
          <w:color w:val="auto"/>
          <w:lang w:eastAsia="zh-CN"/>
        </w:rPr>
        <w:t>。</w:t>
      </w:r>
      <w:r>
        <w:rPr>
          <w:rFonts w:hint="eastAsia"/>
          <w:color w:val="auto"/>
          <w:lang w:val="en-US" w:eastAsia="zh-CN"/>
        </w:rPr>
        <w:t>本工程</w:t>
      </w:r>
      <w:r>
        <w:rPr>
          <w:rFonts w:hint="default"/>
          <w:color w:val="auto"/>
        </w:rPr>
        <w:t>中心地理坐标为：</w:t>
      </w:r>
      <w:r>
        <w:rPr>
          <w:rFonts w:hint="eastAsia"/>
          <w:color w:val="auto"/>
          <w:lang w:val="en-US" w:eastAsia="zh-CN"/>
        </w:rPr>
        <w:t xml:space="preserve">                               </w:t>
      </w:r>
      <w:r>
        <w:rPr>
          <w:rFonts w:hint="default"/>
          <w:color w:val="auto"/>
          <w:lang w:eastAsia="zh-CN"/>
        </w:rPr>
        <w:t>（</w:t>
      </w:r>
      <w:r>
        <w:rPr>
          <w:rFonts w:hint="eastAsia"/>
          <w:color w:val="auto"/>
          <w:lang w:val="en-US" w:eastAsia="zh-CN"/>
        </w:rPr>
        <w:t>雄探1试采点</w:t>
      </w:r>
      <w:r>
        <w:rPr>
          <w:rFonts w:hint="default"/>
          <w:color w:val="auto"/>
          <w:lang w:eastAsia="zh-CN"/>
        </w:rPr>
        <w:t>）</w:t>
      </w:r>
      <w:r>
        <w:rPr>
          <w:rFonts w:hint="eastAsia"/>
          <w:color w:val="auto"/>
          <w:lang w:eastAsia="zh-CN"/>
        </w:rPr>
        <w:t>。</w:t>
      </w:r>
      <w:r>
        <w:rPr>
          <w:rFonts w:hint="default"/>
          <w:color w:val="auto"/>
        </w:rPr>
        <w:t>本项目地理位置见图4.1-1。</w:t>
      </w:r>
    </w:p>
    <w:p w14:paraId="38699809">
      <w:pPr>
        <w:pStyle w:val="54"/>
        <w:bidi w:val="0"/>
        <w:rPr>
          <w:rFonts w:hint="default"/>
          <w:color w:val="auto"/>
          <w:lang w:val="en-US" w:eastAsia="zh-CN"/>
        </w:rPr>
      </w:pPr>
      <w:r>
        <w:rPr>
          <w:rFonts w:hint="default"/>
          <w:color w:val="auto"/>
          <w:lang w:val="en-US" w:eastAsia="zh-CN"/>
        </w:rPr>
        <w:t>4.1.2</w:t>
      </w:r>
      <w:r>
        <w:rPr>
          <w:rFonts w:hint="eastAsia"/>
          <w:color w:val="auto"/>
          <w:lang w:val="en-US" w:eastAsia="zh-CN"/>
        </w:rPr>
        <w:t xml:space="preserve"> </w:t>
      </w:r>
      <w:r>
        <w:rPr>
          <w:rFonts w:hint="default"/>
          <w:color w:val="auto"/>
          <w:lang w:val="en-US" w:eastAsia="zh-CN"/>
        </w:rPr>
        <w:t>地形地貌</w:t>
      </w:r>
    </w:p>
    <w:p w14:paraId="6EA5E0F9">
      <w:pPr>
        <w:pStyle w:val="79"/>
        <w:bidi w:val="0"/>
        <w:rPr>
          <w:rFonts w:hint="default"/>
          <w:color w:val="auto"/>
        </w:rPr>
      </w:pPr>
      <w:r>
        <w:rPr>
          <w:rFonts w:hint="eastAsia"/>
          <w:color w:val="auto"/>
          <w:lang w:val="en-US" w:eastAsia="zh-CN"/>
        </w:rPr>
        <w:t>雄英1区块</w:t>
      </w:r>
      <w:r>
        <w:rPr>
          <w:rFonts w:hint="default"/>
          <w:color w:val="auto"/>
        </w:rPr>
        <w:t>位于</w:t>
      </w:r>
      <w:r>
        <w:rPr>
          <w:rFonts w:hint="eastAsia"/>
          <w:color w:val="auto"/>
          <w:lang w:val="en-US" w:eastAsia="zh-CN"/>
        </w:rPr>
        <w:t>塔克拉玛干</w:t>
      </w:r>
      <w:r>
        <w:rPr>
          <w:rFonts w:hint="default"/>
          <w:color w:val="auto"/>
        </w:rPr>
        <w:t>沙漠</w:t>
      </w:r>
      <w:r>
        <w:rPr>
          <w:rFonts w:hint="eastAsia"/>
          <w:color w:val="auto"/>
          <w:lang w:val="en-US" w:eastAsia="zh-CN"/>
        </w:rPr>
        <w:t>北侧</w:t>
      </w:r>
      <w:r>
        <w:rPr>
          <w:rFonts w:hint="default"/>
          <w:color w:val="auto"/>
        </w:rPr>
        <w:t>，</w:t>
      </w:r>
      <w:r>
        <w:rPr>
          <w:rFonts w:hint="eastAsia"/>
          <w:color w:val="auto"/>
          <w:lang w:eastAsia="zh-CN"/>
        </w:rPr>
        <w:t>塔里木盆地北部，地表以戈壁、浮土为主，植被</w:t>
      </w:r>
      <w:r>
        <w:rPr>
          <w:rFonts w:hint="eastAsia"/>
          <w:color w:val="auto"/>
          <w:lang w:val="en-US" w:eastAsia="zh-CN"/>
        </w:rPr>
        <w:t>覆盖度约15%</w:t>
      </w:r>
      <w:r>
        <w:rPr>
          <w:rFonts w:hint="eastAsia"/>
          <w:color w:val="auto"/>
          <w:lang w:eastAsia="zh-CN"/>
        </w:rPr>
        <w:t>，以</w:t>
      </w:r>
      <w:r>
        <w:rPr>
          <w:rFonts w:hint="eastAsia"/>
          <w:color w:val="auto"/>
          <w:lang w:val="en-US" w:eastAsia="zh-CN"/>
        </w:rPr>
        <w:t>耐旱植物</w:t>
      </w:r>
      <w:r>
        <w:rPr>
          <w:rFonts w:hint="eastAsia"/>
          <w:color w:val="auto"/>
          <w:lang w:eastAsia="zh-CN"/>
        </w:rPr>
        <w:t>为主，生态环境较脆弱</w:t>
      </w:r>
      <w:r>
        <w:rPr>
          <w:rFonts w:hint="default"/>
          <w:color w:val="auto"/>
        </w:rPr>
        <w:t>。</w:t>
      </w:r>
    </w:p>
    <w:p w14:paraId="5CE9FA7D">
      <w:pPr>
        <w:pStyle w:val="54"/>
        <w:bidi w:val="0"/>
        <w:rPr>
          <w:rFonts w:hint="eastAsia"/>
          <w:color w:val="auto"/>
          <w:lang w:val="en-US" w:eastAsia="zh-CN"/>
        </w:rPr>
      </w:pPr>
      <w:r>
        <w:rPr>
          <w:rFonts w:hint="eastAsia"/>
          <w:color w:val="auto"/>
          <w:lang w:val="en-US" w:eastAsia="zh-CN"/>
        </w:rPr>
        <w:t>4.1.3工程地质</w:t>
      </w:r>
    </w:p>
    <w:p w14:paraId="726AB82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参考雄探</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eastAsia="zh-CN"/>
        </w:rPr>
        <w:t>井工程地质情况</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根据钻探揭露、原位测试及室内土工试验成果综合分析，拟建场地地层主要由第四系全新统冲洪积层</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Q</w:t>
      </w:r>
      <w:r>
        <w:rPr>
          <w:rFonts w:hint="default" w:ascii="Times New Roman" w:hAnsi="Times New Roman" w:eastAsia="宋体" w:cs="Times New Roman"/>
          <w:color w:val="auto"/>
          <w:sz w:val="24"/>
          <w:szCs w:val="24"/>
          <w:vertAlign w:val="superscript"/>
          <w:lang w:eastAsia="zh-CN"/>
        </w:rPr>
        <w:t>4al+pl</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粉质黏土及细砂组成，现将场地各岩土层特征从上至下分述如下：</w:t>
      </w:r>
    </w:p>
    <w:p w14:paraId="1A2970F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①粉</w:t>
      </w:r>
      <w:r>
        <w:rPr>
          <w:rFonts w:hint="eastAsia" w:cs="Times New Roman"/>
          <w:color w:val="auto"/>
          <w:sz w:val="24"/>
          <w:szCs w:val="24"/>
          <w:lang w:val="en-US" w:eastAsia="zh-CN"/>
        </w:rPr>
        <w:t>质黏土（</w:t>
      </w:r>
      <w:r>
        <w:rPr>
          <w:rFonts w:hint="default" w:ascii="Times New Roman" w:hAnsi="Times New Roman" w:eastAsia="宋体" w:cs="Times New Roman"/>
          <w:color w:val="auto"/>
          <w:sz w:val="24"/>
          <w:szCs w:val="24"/>
          <w:lang w:eastAsia="zh-CN"/>
        </w:rPr>
        <w:t>Q</w:t>
      </w:r>
      <w:r>
        <w:rPr>
          <w:rFonts w:hint="default" w:ascii="Times New Roman" w:hAnsi="Times New Roman" w:eastAsia="宋体" w:cs="Times New Roman"/>
          <w:color w:val="auto"/>
          <w:sz w:val="24"/>
          <w:szCs w:val="24"/>
          <w:vertAlign w:val="superscript"/>
          <w:lang w:eastAsia="zh-CN"/>
        </w:rPr>
        <w:t>4al+pl</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：浅黄色～灰褐色</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硬塑</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夹褐色氧化铁条纹</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无摇震反应</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光泽反应弱</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干强度中等</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韧性中等，局部夹薄层粉细砂薄层，局部表层可见薄层填土，场地外出周边表层存在薄层粉细砂。</w:t>
      </w:r>
    </w:p>
    <w:p w14:paraId="11FA2AE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该层在场地内均匀分布，层底深度6.20～7.20m</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层厚6.20～7.20m，土石等级为Ⅱ级。</w:t>
      </w:r>
    </w:p>
    <w:p w14:paraId="459F826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②细砂</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Q</w:t>
      </w:r>
      <w:r>
        <w:rPr>
          <w:rFonts w:hint="default" w:ascii="Times New Roman" w:hAnsi="Times New Roman" w:eastAsia="宋体" w:cs="Times New Roman"/>
          <w:color w:val="auto"/>
          <w:sz w:val="24"/>
          <w:szCs w:val="24"/>
          <w:vertAlign w:val="superscript"/>
          <w:lang w:eastAsia="zh-CN"/>
        </w:rPr>
        <w:t>4al+pl</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：黄褐色～灰褐色，湿～饱和，中密～密实，</w:t>
      </w:r>
      <w:r>
        <w:rPr>
          <w:rFonts w:hint="eastAsia" w:cs="Times New Roman"/>
          <w:color w:val="auto"/>
          <w:sz w:val="24"/>
          <w:szCs w:val="24"/>
          <w:lang w:eastAsia="zh-CN"/>
        </w:rPr>
        <w:t>成分</w:t>
      </w:r>
      <w:r>
        <w:rPr>
          <w:rFonts w:hint="default" w:ascii="Times New Roman" w:hAnsi="Times New Roman" w:eastAsia="宋体" w:cs="Times New Roman"/>
          <w:color w:val="auto"/>
          <w:sz w:val="24"/>
          <w:szCs w:val="24"/>
          <w:lang w:eastAsia="zh-CN"/>
        </w:rPr>
        <w:t>以长石、石英和云母为主，可见少量暗色矿物，级配差，颗粒形状以亚圆为主，局部地段夹薄层粉质黏土且含少量砾石。</w:t>
      </w:r>
    </w:p>
    <w:p w14:paraId="013C330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auto"/>
          <w:lang w:val="en-US" w:eastAsia="zh-CN"/>
        </w:rPr>
      </w:pPr>
      <w:r>
        <w:rPr>
          <w:rFonts w:hint="default" w:ascii="Times New Roman" w:hAnsi="Times New Roman" w:eastAsia="宋体" w:cs="Times New Roman"/>
          <w:color w:val="auto"/>
          <w:sz w:val="24"/>
          <w:szCs w:val="24"/>
          <w:lang w:eastAsia="zh-CN"/>
        </w:rPr>
        <w:t>该层在场地内均匀分布，未揭穿，最大揭露厚度23.30m。土石等级为Ⅱ级。</w:t>
      </w:r>
    </w:p>
    <w:p w14:paraId="7081E816">
      <w:pPr>
        <w:keepNext/>
        <w:keepLines/>
        <w:pageBreakBefore w:val="0"/>
        <w:widowControl/>
        <w:kinsoku/>
        <w:wordWrap/>
        <w:overflowPunct/>
        <w:topLinePunct w:val="0"/>
        <w:autoSpaceDE/>
        <w:autoSpaceDN/>
        <w:bidi w:val="0"/>
        <w:adjustRightInd/>
        <w:snapToGrid/>
        <w:spacing w:beforeLines="0" w:beforeAutospacing="0" w:afterLines="0" w:afterAutospacing="0" w:line="360" w:lineRule="auto"/>
        <w:jc w:val="both"/>
        <w:textAlignment w:val="auto"/>
        <w:outlineLvl w:val="2"/>
        <w:rPr>
          <w:rFonts w:hint="eastAsia" w:ascii="Times New Roman" w:hAnsi="Times New Roman" w:eastAsia="宋体" w:cs="Times New Roman"/>
          <w:b/>
          <w:color w:val="auto"/>
          <w:kern w:val="2"/>
          <w:sz w:val="28"/>
          <w:szCs w:val="20"/>
          <w:highlight w:val="none"/>
          <w:lang w:val="en-US" w:eastAsia="zh-CN" w:bidi="ar-SA"/>
        </w:rPr>
        <w:sectPr>
          <w:pgSz w:w="11906"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AndChars" w:linePitch="316" w:charSpace="0"/>
        </w:sectPr>
      </w:pPr>
    </w:p>
    <w:p w14:paraId="22FDFCBF">
      <w:pPr>
        <w:pStyle w:val="10"/>
        <w:rPr>
          <w:rFonts w:hint="default"/>
          <w:color w:val="auto"/>
        </w:rPr>
      </w:pPr>
    </w:p>
    <w:p w14:paraId="12FC490C">
      <w:pPr>
        <w:pStyle w:val="20"/>
        <w:widowControl w:val="0"/>
        <w:numPr>
          <w:ilvl w:val="0"/>
          <w:numId w:val="0"/>
        </w:numPr>
        <w:jc w:val="center"/>
        <w:rPr>
          <w:rFonts w:hint="default"/>
          <w:color w:val="auto"/>
        </w:rPr>
      </w:pPr>
      <w:r>
        <w:rPr>
          <w:rFonts w:hint="eastAsia" w:ascii="黑体" w:hAnsi="黑体" w:eastAsia="黑体" w:cs="黑体"/>
          <w:b/>
          <w:bCs/>
          <w:color w:val="auto"/>
          <w:sz w:val="24"/>
          <w:szCs w:val="24"/>
          <w:lang w:val="en-US" w:eastAsia="zh-CN"/>
        </w:rPr>
        <w:t>4.1-1  本项目地理位置图</w:t>
      </w:r>
    </w:p>
    <w:p w14:paraId="472450AF">
      <w:pPr>
        <w:pStyle w:val="20"/>
        <w:widowControl w:val="0"/>
        <w:numPr>
          <w:ilvl w:val="0"/>
          <w:numId w:val="0"/>
        </w:numPr>
        <w:jc w:val="both"/>
        <w:rPr>
          <w:rFonts w:hint="default" w:ascii="Times New Roman" w:hAnsi="Times New Roman" w:eastAsia="宋体" w:cs="Times New Roman"/>
          <w:color w:val="auto"/>
          <w:lang w:eastAsia="zh-CN"/>
        </w:rPr>
        <w:sectPr>
          <w:pgSz w:w="16838" w:h="11906" w:orient="landscape"/>
          <w:pgMar w:top="1814" w:right="1474" w:bottom="1474" w:left="1474" w:header="850" w:footer="992" w:gutter="0"/>
          <w:pgBorders>
            <w:top w:val="none" w:sz="0" w:space="0"/>
            <w:left w:val="none" w:sz="0" w:space="0"/>
            <w:bottom w:val="none" w:sz="0" w:space="0"/>
            <w:right w:val="none" w:sz="0" w:space="0"/>
          </w:pgBorders>
          <w:pgNumType w:fmt="decimal"/>
          <w:cols w:space="0" w:num="1"/>
          <w:rtlGutter w:val="0"/>
          <w:docGrid w:type="linesAndChars" w:linePitch="316" w:charSpace="0"/>
        </w:sectPr>
      </w:pPr>
    </w:p>
    <w:p w14:paraId="33E83E31">
      <w:pPr>
        <w:pStyle w:val="54"/>
        <w:bidi w:val="0"/>
        <w:rPr>
          <w:rFonts w:hint="default"/>
          <w:color w:val="auto"/>
          <w:lang w:val="en-US" w:eastAsia="zh-CN"/>
        </w:rPr>
      </w:pPr>
      <w:r>
        <w:rPr>
          <w:rFonts w:hint="default"/>
          <w:color w:val="auto"/>
          <w:lang w:val="en-US" w:eastAsia="zh-CN"/>
        </w:rPr>
        <w:t>4.1.</w:t>
      </w:r>
      <w:r>
        <w:rPr>
          <w:rFonts w:hint="eastAsia"/>
          <w:color w:val="auto"/>
          <w:lang w:val="en-US" w:eastAsia="zh-CN"/>
        </w:rPr>
        <w:t xml:space="preserve">4 </w:t>
      </w:r>
      <w:r>
        <w:rPr>
          <w:rFonts w:hint="default"/>
          <w:color w:val="auto"/>
          <w:lang w:val="en-US" w:eastAsia="zh-CN"/>
        </w:rPr>
        <w:t>水文</w:t>
      </w:r>
      <w:r>
        <w:rPr>
          <w:rFonts w:hint="eastAsia"/>
          <w:color w:val="auto"/>
          <w:lang w:val="en-US" w:eastAsia="zh-CN"/>
        </w:rPr>
        <w:t>及水文地质</w:t>
      </w:r>
    </w:p>
    <w:p w14:paraId="78F57258">
      <w:pPr>
        <w:pStyle w:val="55"/>
        <w:bidi w:val="0"/>
        <w:rPr>
          <w:rFonts w:hint="default"/>
          <w:color w:val="auto"/>
          <w:lang w:val="en-US" w:eastAsia="zh-CN"/>
        </w:rPr>
      </w:pPr>
      <w:r>
        <w:rPr>
          <w:rFonts w:hint="eastAsia"/>
          <w:color w:val="auto"/>
          <w:lang w:val="en-US" w:eastAsia="zh-CN"/>
        </w:rPr>
        <w:t>4.1.4.1水文</w:t>
      </w:r>
    </w:p>
    <w:p w14:paraId="71CA1DAD">
      <w:pPr>
        <w:pStyle w:val="79"/>
        <w:bidi w:val="0"/>
        <w:rPr>
          <w:rFonts w:hint="default"/>
          <w:color w:val="auto"/>
        </w:rPr>
      </w:pPr>
      <w:r>
        <w:rPr>
          <w:rFonts w:hint="eastAsia"/>
          <w:color w:val="auto"/>
          <w:lang w:val="en-US" w:eastAsia="zh-CN"/>
        </w:rPr>
        <w:t>评价</w:t>
      </w:r>
      <w:r>
        <w:rPr>
          <w:rFonts w:hint="default"/>
          <w:color w:val="auto"/>
        </w:rPr>
        <w:t>区域南面距塔里木河约</w:t>
      </w:r>
      <w:r>
        <w:rPr>
          <w:rFonts w:hint="eastAsia"/>
          <w:color w:val="auto"/>
          <w:lang w:val="en-US" w:eastAsia="zh-CN"/>
        </w:rPr>
        <w:t>72</w:t>
      </w:r>
      <w:r>
        <w:rPr>
          <w:rFonts w:hint="default"/>
          <w:color w:val="auto"/>
        </w:rPr>
        <w:t>km，东面距渭干河约</w:t>
      </w:r>
      <w:r>
        <w:rPr>
          <w:rFonts w:hint="eastAsia"/>
          <w:color w:val="auto"/>
          <w:lang w:val="en-US" w:eastAsia="zh-CN"/>
        </w:rPr>
        <w:t>118</w:t>
      </w:r>
      <w:r>
        <w:rPr>
          <w:rFonts w:hint="default"/>
          <w:color w:val="auto"/>
        </w:rPr>
        <w:t>km。区域内河流主要有渭干河及相应的沟渠。本项目区周围5km范围内无常年地表水分布。</w:t>
      </w:r>
    </w:p>
    <w:p w14:paraId="7CF87DA3">
      <w:pPr>
        <w:pStyle w:val="79"/>
        <w:bidi w:val="0"/>
        <w:rPr>
          <w:rFonts w:hint="default"/>
          <w:color w:val="auto"/>
        </w:rPr>
      </w:pPr>
      <w:r>
        <w:rPr>
          <w:rFonts w:hint="default"/>
          <w:color w:val="auto"/>
        </w:rPr>
        <w:t>塔里木河发源于</w:t>
      </w:r>
      <w:r>
        <w:rPr>
          <w:rFonts w:hint="eastAsia"/>
          <w:color w:val="auto"/>
          <w:lang w:eastAsia="zh-CN"/>
        </w:rPr>
        <w:t>喀喇昆仑山</w:t>
      </w:r>
      <w:r>
        <w:rPr>
          <w:rFonts w:hint="default"/>
          <w:color w:val="auto"/>
        </w:rPr>
        <w:t>，由叶尔羌河、和田河、阿克苏河三源流汇合而成，全长1282km，自西向东流动，枯水期月平均流量12.8m</w:t>
      </w:r>
      <w:r>
        <w:rPr>
          <w:rFonts w:hint="default"/>
          <w:color w:val="auto"/>
          <w:vertAlign w:val="superscript"/>
        </w:rPr>
        <w:t>3</w:t>
      </w:r>
      <w:r>
        <w:rPr>
          <w:rFonts w:hint="default"/>
          <w:color w:val="auto"/>
        </w:rPr>
        <w:t>/s，平水期月平均流量42m</w:t>
      </w:r>
      <w:r>
        <w:rPr>
          <w:rFonts w:hint="default"/>
          <w:color w:val="auto"/>
          <w:vertAlign w:val="superscript"/>
        </w:rPr>
        <w:t>3</w:t>
      </w:r>
      <w:r>
        <w:rPr>
          <w:rFonts w:hint="default"/>
          <w:color w:val="auto"/>
        </w:rPr>
        <w:t>/s，丰水期月平均流量382m</w:t>
      </w:r>
      <w:r>
        <w:rPr>
          <w:rFonts w:hint="default"/>
          <w:color w:val="auto"/>
          <w:vertAlign w:val="superscript"/>
        </w:rPr>
        <w:t>3</w:t>
      </w:r>
      <w:r>
        <w:rPr>
          <w:rFonts w:hint="default"/>
          <w:color w:val="auto"/>
        </w:rPr>
        <w:t>/s。渭干河发源于哈尔克驼山的冰川，全长450km，年径流量70.1×10</w:t>
      </w:r>
      <w:r>
        <w:rPr>
          <w:rFonts w:hint="default"/>
          <w:color w:val="auto"/>
          <w:vertAlign w:val="superscript"/>
        </w:rPr>
        <w:t>8</w:t>
      </w:r>
      <w:r>
        <w:rPr>
          <w:rFonts w:hint="default"/>
          <w:color w:val="auto"/>
        </w:rPr>
        <w:t>m</w:t>
      </w:r>
      <w:r>
        <w:rPr>
          <w:rFonts w:hint="default"/>
          <w:color w:val="auto"/>
          <w:vertAlign w:val="superscript"/>
        </w:rPr>
        <w:t>3</w:t>
      </w:r>
      <w:r>
        <w:rPr>
          <w:rFonts w:hint="default"/>
          <w:color w:val="auto"/>
        </w:rPr>
        <w:t>。区内人工饮水及排水渠道较多，地下水出水构造主要有三个，即冲洪积平原孔隙潜水及承压水、塔里木河冲积平原淡水及封存咸水、第四系自流水分布区，类型主要是第四系松散层孔隙水，地下水补给方式为河流垂直侧向补给和山区地下水侧向补给。塔里木河地处我国西北内陆的塔里木盆地，水质的组成特点受地区自然条件的严格控制和近年来人为活动的影响，表现为矿度高，水质偏碱性，含氟较高，河水化学类型为HSO</w:t>
      </w:r>
      <w:r>
        <w:rPr>
          <w:rFonts w:hint="default"/>
          <w:color w:val="auto"/>
          <w:vertAlign w:val="subscript"/>
        </w:rPr>
        <w:t>4</w:t>
      </w:r>
      <w:r>
        <w:rPr>
          <w:rFonts w:hint="default"/>
          <w:color w:val="auto"/>
        </w:rPr>
        <w:t>·Cl－Ca·Mg·Na为主，矿化度枯水期最大。塔里木河干流周围主要为垦荒农业区，基本无工业污染源，有机污染很少。</w:t>
      </w:r>
    </w:p>
    <w:p w14:paraId="2F4C2D66">
      <w:pPr>
        <w:pStyle w:val="79"/>
        <w:bidi w:val="0"/>
        <w:rPr>
          <w:rFonts w:hint="default"/>
          <w:color w:val="auto"/>
        </w:rPr>
      </w:pPr>
      <w:r>
        <w:rPr>
          <w:rFonts w:hint="default"/>
          <w:color w:val="auto"/>
        </w:rPr>
        <w:t>渭干河发源于哈尔克驼山汗腾格里峰东侧的喀拉库勒冰川，流经拜城盆地后，穿过千佛洞峡谷进入平原区，经沙雅县努尔马克乡南部折向东南部消失于荒漠中。该河周围基本无工业污染源，水质由流域内的含盐碱土母质决定，高矿化度为河流水质的显著特点。</w:t>
      </w:r>
    </w:p>
    <w:p w14:paraId="4BC32A1E">
      <w:pPr>
        <w:pStyle w:val="55"/>
        <w:bidi w:val="0"/>
        <w:rPr>
          <w:color w:val="auto"/>
        </w:rPr>
      </w:pPr>
      <w:r>
        <w:rPr>
          <w:color w:val="auto"/>
        </w:rPr>
        <w:t>4.1.</w:t>
      </w:r>
      <w:r>
        <w:rPr>
          <w:rFonts w:hint="eastAsia"/>
          <w:color w:val="auto"/>
          <w:lang w:val="en-US" w:eastAsia="zh-CN"/>
        </w:rPr>
        <w:t>4</w:t>
      </w:r>
      <w:r>
        <w:rPr>
          <w:color w:val="auto"/>
        </w:rPr>
        <w:t>.2区域水文地质</w:t>
      </w:r>
    </w:p>
    <w:p w14:paraId="7EFC9001">
      <w:pPr>
        <w:pStyle w:val="79"/>
        <w:bidi w:val="0"/>
        <w:rPr>
          <w:rFonts w:hint="default"/>
          <w:color w:val="auto"/>
        </w:rPr>
      </w:pPr>
      <w:r>
        <w:rPr>
          <w:rFonts w:hint="default"/>
          <w:color w:val="auto"/>
        </w:rPr>
        <w:t>项目所在区域属渭干河流域冲积平原水文地质单元，在山麓带有下更新统砾石构成的第四系松散岩类堆积物一般以砂砾石、砾沙和砂层为主。本冲洪积平原，隔水层厚度较薄，但比较稳定，构成深部微承压水。于沙雅城以南10km左右与塔河冲积平原相接。该水文地质单元位于冲洪积平原上</w:t>
      </w:r>
      <w:r>
        <w:rPr>
          <w:rFonts w:hint="eastAsia"/>
          <w:color w:val="auto"/>
          <w:lang w:eastAsia="zh-CN"/>
        </w:rPr>
        <w:t>，</w:t>
      </w:r>
      <w:r>
        <w:rPr>
          <w:rFonts w:hint="default"/>
          <w:color w:val="auto"/>
        </w:rPr>
        <w:t>包括新和县城以北一带，为单一卵砾石、砂砾石潜水含水层，宽度小于15km，地下水埋深50</w:t>
      </w:r>
      <w:r>
        <w:rPr>
          <w:rFonts w:hint="eastAsia"/>
          <w:color w:val="auto"/>
          <w:lang w:eastAsia="zh-CN"/>
        </w:rPr>
        <w:t>～</w:t>
      </w:r>
      <w:r>
        <w:rPr>
          <w:rFonts w:hint="default"/>
          <w:color w:val="auto"/>
        </w:rPr>
        <w:t>10m，含水层富水性强，水量十分丰富，单井出水量可达1000~5000m</w:t>
      </w:r>
      <w:r>
        <w:rPr>
          <w:rFonts w:hint="default"/>
          <w:color w:val="auto"/>
          <w:vertAlign w:val="superscript"/>
        </w:rPr>
        <w:t>3</w:t>
      </w:r>
      <w:r>
        <w:rPr>
          <w:rFonts w:hint="default"/>
          <w:color w:val="auto"/>
        </w:rPr>
        <w:t>/d。为矿化度小于1g/L的HCO</w:t>
      </w:r>
      <w:r>
        <w:rPr>
          <w:rFonts w:hint="default"/>
          <w:color w:val="auto"/>
          <w:vertAlign w:val="subscript"/>
        </w:rPr>
        <w:t>3</w:t>
      </w:r>
      <w:r>
        <w:rPr>
          <w:rFonts w:hint="default"/>
          <w:color w:val="auto"/>
        </w:rPr>
        <w:t>-Ca·Mg型优质水。</w:t>
      </w:r>
    </w:p>
    <w:p w14:paraId="443B6CBB">
      <w:pPr>
        <w:pStyle w:val="79"/>
        <w:bidi w:val="0"/>
        <w:rPr>
          <w:rFonts w:hint="default"/>
          <w:color w:val="auto"/>
        </w:rPr>
      </w:pPr>
      <w:r>
        <w:rPr>
          <w:rFonts w:hint="default"/>
          <w:color w:val="auto"/>
        </w:rPr>
        <w:t>项目区域地下水补给</w:t>
      </w:r>
      <w:r>
        <w:rPr>
          <w:rFonts w:hint="eastAsia"/>
          <w:color w:val="auto"/>
          <w:lang w:eastAsia="zh-CN"/>
        </w:rPr>
        <w:t>方式</w:t>
      </w:r>
      <w:r>
        <w:rPr>
          <w:rFonts w:hint="default"/>
          <w:color w:val="auto"/>
        </w:rPr>
        <w:t>主要为渭干河出山后的侧向补给。向下游排泄方式主要为地表蒸发和植物蒸腾，该区域水质矿化度较高。</w:t>
      </w:r>
    </w:p>
    <w:p w14:paraId="61FE7ADD">
      <w:pPr>
        <w:pStyle w:val="54"/>
        <w:bidi w:val="0"/>
        <w:rPr>
          <w:rFonts w:hint="default"/>
          <w:color w:val="auto"/>
          <w:lang w:val="en-US" w:eastAsia="zh-CN"/>
        </w:rPr>
      </w:pPr>
      <w:r>
        <w:rPr>
          <w:rFonts w:hint="default"/>
          <w:color w:val="auto"/>
          <w:lang w:val="en-US" w:eastAsia="zh-CN"/>
        </w:rPr>
        <w:t>4.1.</w:t>
      </w:r>
      <w:r>
        <w:rPr>
          <w:rFonts w:hint="eastAsia"/>
          <w:color w:val="auto"/>
          <w:lang w:val="en-US" w:eastAsia="zh-CN"/>
        </w:rPr>
        <w:t xml:space="preserve">5 </w:t>
      </w:r>
      <w:r>
        <w:rPr>
          <w:rFonts w:hint="default"/>
          <w:color w:val="auto"/>
          <w:lang w:val="en-US" w:eastAsia="zh-CN"/>
        </w:rPr>
        <w:t>气候气象</w:t>
      </w:r>
    </w:p>
    <w:p w14:paraId="39E16D9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温宿县地属暖温带干旱气候地区，降雨量稀少、蒸发量大、气候干燥。无霜期205～219d，冬季相对暖和，夏季相对凉爽，春季干旱多大风，伴有浮尘扬沙天气。光热、风能气候资源丰富。年均太阳总辐射量130～141kcal/c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，年内四季均可利用太阳能，年平均风速为1.7～2.4m/s，全年盛行北风。年平均气温11.3℃，最热月为7月，平均气温24.2℃；最冷月为1月，平均气温-6.6℃。</w:t>
      </w:r>
    </w:p>
    <w:p w14:paraId="0C988C8A">
      <w:pPr>
        <w:pStyle w:val="61"/>
        <w:bidi w:val="0"/>
        <w:jc w:val="both"/>
        <w:rPr>
          <w:rFonts w:hint="eastAsia" w:ascii="黑体" w:hAnsi="黑体" w:eastAsia="黑体" w:cs="黑体"/>
          <w:b/>
          <w:bCs/>
          <w:color w:val="auto"/>
          <w:szCs w:val="21"/>
        </w:rPr>
      </w:pPr>
      <w:r>
        <w:rPr>
          <w:rFonts w:hint="eastAsia"/>
          <w:color w:val="auto"/>
          <w:lang w:val="en-US" w:eastAsia="zh-CN"/>
        </w:rPr>
        <w:t>表4.1-1  温宿县主要气候气象参数一览表</w:t>
      </w:r>
    </w:p>
    <w:tbl>
      <w:tblPr>
        <w:tblStyle w:val="36"/>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574"/>
        <w:gridCol w:w="2539"/>
        <w:gridCol w:w="1107"/>
        <w:gridCol w:w="583"/>
        <w:gridCol w:w="1924"/>
        <w:gridCol w:w="1944"/>
      </w:tblGrid>
      <w:tr w14:paraId="70FAA7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31" w:type="pct"/>
            <w:tcBorders>
              <w:tl2br w:val="nil"/>
              <w:tr2bl w:val="nil"/>
            </w:tcBorders>
            <w:noWrap w:val="0"/>
            <w:vAlign w:val="center"/>
          </w:tcPr>
          <w:p w14:paraId="2778EAD7">
            <w:pPr>
              <w:spacing w:line="0" w:lineRule="atLeast"/>
              <w:jc w:val="center"/>
              <w:rPr>
                <w:rFonts w:ascii="Times New Roman" w:hAnsi="Times New Roman" w:cs="Times New Roman"/>
                <w:color w:val="auto"/>
                <w:sz w:val="21"/>
                <w:szCs w:val="21"/>
              </w:rPr>
            </w:pPr>
            <w:r>
              <w:rPr>
                <w:rFonts w:ascii="Times New Roman" w:hAnsi="Times New Roman" w:cs="Times New Roman"/>
                <w:color w:val="auto"/>
                <w:sz w:val="21"/>
                <w:szCs w:val="21"/>
              </w:rPr>
              <w:t>序号</w:t>
            </w:r>
          </w:p>
        </w:tc>
        <w:tc>
          <w:tcPr>
            <w:tcW w:w="1463" w:type="pct"/>
            <w:tcBorders>
              <w:tl2br w:val="nil"/>
              <w:tr2bl w:val="nil"/>
            </w:tcBorders>
            <w:noWrap w:val="0"/>
            <w:vAlign w:val="center"/>
          </w:tcPr>
          <w:p w14:paraId="2EB85EE9">
            <w:pPr>
              <w:spacing w:line="0" w:lineRule="atLeast"/>
              <w:jc w:val="center"/>
              <w:rPr>
                <w:rFonts w:ascii="Times New Roman" w:hAnsi="Times New Roman" w:cs="Times New Roman"/>
                <w:color w:val="auto"/>
                <w:sz w:val="21"/>
                <w:szCs w:val="21"/>
              </w:rPr>
            </w:pPr>
            <w:r>
              <w:rPr>
                <w:rFonts w:ascii="Times New Roman" w:hAnsi="Times New Roman" w:cs="Times New Roman"/>
                <w:color w:val="auto"/>
                <w:sz w:val="21"/>
                <w:szCs w:val="21"/>
              </w:rPr>
              <w:t>项目</w:t>
            </w:r>
          </w:p>
        </w:tc>
        <w:tc>
          <w:tcPr>
            <w:tcW w:w="638" w:type="pct"/>
            <w:tcBorders>
              <w:tl2br w:val="nil"/>
              <w:tr2bl w:val="nil"/>
            </w:tcBorders>
            <w:noWrap w:val="0"/>
            <w:vAlign w:val="center"/>
          </w:tcPr>
          <w:p w14:paraId="12DFC800">
            <w:pPr>
              <w:spacing w:line="0" w:lineRule="atLeast"/>
              <w:jc w:val="center"/>
              <w:rPr>
                <w:rFonts w:ascii="Times New Roman" w:hAnsi="Times New Roman" w:cs="Times New Roman"/>
                <w:color w:val="auto"/>
                <w:sz w:val="21"/>
                <w:szCs w:val="21"/>
              </w:rPr>
            </w:pPr>
            <w:r>
              <w:rPr>
                <w:rFonts w:ascii="Times New Roman" w:hAnsi="Times New Roman" w:cs="Times New Roman"/>
                <w:color w:val="auto"/>
                <w:sz w:val="21"/>
                <w:szCs w:val="21"/>
              </w:rPr>
              <w:t>统计结果</w:t>
            </w:r>
          </w:p>
        </w:tc>
        <w:tc>
          <w:tcPr>
            <w:tcW w:w="336" w:type="pct"/>
            <w:tcBorders>
              <w:tl2br w:val="nil"/>
              <w:tr2bl w:val="nil"/>
            </w:tcBorders>
            <w:noWrap w:val="0"/>
            <w:vAlign w:val="center"/>
          </w:tcPr>
          <w:p w14:paraId="4CCA4250">
            <w:pPr>
              <w:spacing w:line="0" w:lineRule="atLeast"/>
              <w:jc w:val="center"/>
              <w:rPr>
                <w:rFonts w:ascii="Times New Roman" w:hAnsi="Times New Roman" w:cs="Times New Roman"/>
                <w:color w:val="auto"/>
                <w:sz w:val="21"/>
                <w:szCs w:val="21"/>
              </w:rPr>
            </w:pPr>
            <w:r>
              <w:rPr>
                <w:rFonts w:ascii="Times New Roman" w:hAnsi="Times New Roman" w:cs="Times New Roman"/>
                <w:color w:val="auto"/>
                <w:sz w:val="21"/>
                <w:szCs w:val="21"/>
              </w:rPr>
              <w:t>序号</w:t>
            </w:r>
          </w:p>
        </w:tc>
        <w:tc>
          <w:tcPr>
            <w:tcW w:w="1109" w:type="pct"/>
            <w:tcBorders>
              <w:tl2br w:val="nil"/>
              <w:tr2bl w:val="nil"/>
            </w:tcBorders>
            <w:noWrap w:val="0"/>
            <w:vAlign w:val="center"/>
          </w:tcPr>
          <w:p w14:paraId="31F88B0A">
            <w:pPr>
              <w:spacing w:line="0" w:lineRule="atLeast"/>
              <w:jc w:val="center"/>
              <w:rPr>
                <w:rFonts w:ascii="Times New Roman" w:hAnsi="Times New Roman" w:cs="Times New Roman"/>
                <w:color w:val="auto"/>
                <w:sz w:val="21"/>
                <w:szCs w:val="21"/>
              </w:rPr>
            </w:pPr>
            <w:r>
              <w:rPr>
                <w:rFonts w:ascii="Times New Roman" w:hAnsi="Times New Roman" w:cs="Times New Roman"/>
                <w:color w:val="auto"/>
                <w:sz w:val="21"/>
                <w:szCs w:val="21"/>
              </w:rPr>
              <w:t>项目</w:t>
            </w:r>
          </w:p>
        </w:tc>
        <w:tc>
          <w:tcPr>
            <w:tcW w:w="1120" w:type="pct"/>
            <w:tcBorders>
              <w:tl2br w:val="nil"/>
              <w:tr2bl w:val="nil"/>
            </w:tcBorders>
            <w:noWrap w:val="0"/>
            <w:vAlign w:val="center"/>
          </w:tcPr>
          <w:p w14:paraId="6FFD31DE">
            <w:pPr>
              <w:spacing w:line="0" w:lineRule="atLeast"/>
              <w:jc w:val="center"/>
              <w:rPr>
                <w:rFonts w:ascii="Times New Roman" w:hAnsi="Times New Roman" w:cs="Times New Roman"/>
                <w:color w:val="auto"/>
                <w:sz w:val="21"/>
                <w:szCs w:val="21"/>
              </w:rPr>
            </w:pPr>
            <w:r>
              <w:rPr>
                <w:rFonts w:ascii="Times New Roman" w:hAnsi="Times New Roman" w:cs="Times New Roman"/>
                <w:color w:val="auto"/>
                <w:sz w:val="21"/>
                <w:szCs w:val="21"/>
              </w:rPr>
              <w:t>统计结果</w:t>
            </w:r>
          </w:p>
        </w:tc>
      </w:tr>
      <w:tr w14:paraId="25FC70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31" w:type="pct"/>
            <w:tcBorders>
              <w:tl2br w:val="nil"/>
              <w:tr2bl w:val="nil"/>
            </w:tcBorders>
            <w:noWrap w:val="0"/>
            <w:vAlign w:val="center"/>
          </w:tcPr>
          <w:p w14:paraId="482205FB">
            <w:pPr>
              <w:spacing w:line="0" w:lineRule="atLeast"/>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1463" w:type="pct"/>
            <w:tcBorders>
              <w:tl2br w:val="nil"/>
              <w:tr2bl w:val="nil"/>
            </w:tcBorders>
            <w:noWrap w:val="0"/>
            <w:vAlign w:val="center"/>
          </w:tcPr>
          <w:p w14:paraId="71051D95">
            <w:pPr>
              <w:spacing w:line="0" w:lineRule="atLeast"/>
              <w:jc w:val="center"/>
              <w:rPr>
                <w:rFonts w:ascii="Times New Roman" w:hAnsi="Times New Roman" w:cs="Times New Roman"/>
                <w:color w:val="auto"/>
                <w:sz w:val="21"/>
                <w:szCs w:val="21"/>
              </w:rPr>
            </w:pPr>
            <w:r>
              <w:rPr>
                <w:rFonts w:ascii="Times New Roman" w:hAnsi="Times New Roman" w:cs="Times New Roman"/>
                <w:color w:val="auto"/>
                <w:sz w:val="21"/>
                <w:szCs w:val="21"/>
              </w:rPr>
              <w:t>年平均气温</w:t>
            </w:r>
          </w:p>
        </w:tc>
        <w:tc>
          <w:tcPr>
            <w:tcW w:w="638" w:type="pct"/>
            <w:tcBorders>
              <w:tl2br w:val="nil"/>
              <w:tr2bl w:val="nil"/>
            </w:tcBorders>
            <w:noWrap w:val="0"/>
            <w:vAlign w:val="center"/>
          </w:tcPr>
          <w:p w14:paraId="2D373998">
            <w:pPr>
              <w:spacing w:line="0" w:lineRule="atLeast"/>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9.9-11.5</w:t>
            </w:r>
            <w:r>
              <w:rPr>
                <w:rFonts w:ascii="Times New Roman" w:hAnsi="Times New Roman" w:cs="Times New Roman"/>
                <w:color w:val="auto"/>
                <w:sz w:val="21"/>
                <w:szCs w:val="21"/>
              </w:rPr>
              <w:t>℃</w:t>
            </w:r>
          </w:p>
        </w:tc>
        <w:tc>
          <w:tcPr>
            <w:tcW w:w="336" w:type="pct"/>
            <w:tcBorders>
              <w:tl2br w:val="nil"/>
              <w:tr2bl w:val="nil"/>
            </w:tcBorders>
            <w:noWrap w:val="0"/>
            <w:vAlign w:val="center"/>
          </w:tcPr>
          <w:p w14:paraId="63396AD4">
            <w:pPr>
              <w:spacing w:line="0" w:lineRule="atLeast"/>
              <w:jc w:val="center"/>
              <w:rPr>
                <w:rFonts w:ascii="Times New Roman" w:hAnsi="Times New Roman" w:cs="Times New Roman"/>
                <w:color w:val="auto"/>
                <w:sz w:val="21"/>
                <w:szCs w:val="21"/>
              </w:rPr>
            </w:pPr>
            <w:r>
              <w:rPr>
                <w:rFonts w:ascii="Times New Roman" w:hAnsi="Times New Roman" w:cs="Times New Roman"/>
                <w:color w:val="auto"/>
                <w:sz w:val="21"/>
                <w:szCs w:val="21"/>
              </w:rPr>
              <w:t>7</w:t>
            </w:r>
          </w:p>
        </w:tc>
        <w:tc>
          <w:tcPr>
            <w:tcW w:w="1109" w:type="pct"/>
            <w:tcBorders>
              <w:tl2br w:val="nil"/>
              <w:tr2bl w:val="nil"/>
            </w:tcBorders>
            <w:noWrap w:val="0"/>
            <w:vAlign w:val="center"/>
          </w:tcPr>
          <w:p w14:paraId="66C9DB40">
            <w:pPr>
              <w:spacing w:line="0" w:lineRule="atLeast"/>
              <w:jc w:val="center"/>
              <w:rPr>
                <w:rFonts w:ascii="Times New Roman" w:hAnsi="Times New Roman" w:cs="Times New Roman"/>
                <w:color w:val="auto"/>
                <w:sz w:val="21"/>
                <w:szCs w:val="21"/>
              </w:rPr>
            </w:pPr>
            <w:r>
              <w:rPr>
                <w:rFonts w:ascii="Times New Roman" w:hAnsi="Times New Roman" w:cs="Times New Roman"/>
                <w:color w:val="auto"/>
                <w:sz w:val="21"/>
                <w:szCs w:val="21"/>
              </w:rPr>
              <w:t>多年平均风速</w:t>
            </w:r>
          </w:p>
        </w:tc>
        <w:tc>
          <w:tcPr>
            <w:tcW w:w="1120" w:type="pct"/>
            <w:tcBorders>
              <w:tl2br w:val="nil"/>
              <w:tr2bl w:val="nil"/>
            </w:tcBorders>
            <w:noWrap w:val="0"/>
            <w:vAlign w:val="center"/>
          </w:tcPr>
          <w:p w14:paraId="2457D310">
            <w:pPr>
              <w:spacing w:line="0" w:lineRule="atLeast"/>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1.7</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2.4</w:t>
            </w:r>
            <w:r>
              <w:rPr>
                <w:rFonts w:ascii="Times New Roman" w:hAnsi="Times New Roman" w:cs="Times New Roman"/>
                <w:color w:val="auto"/>
                <w:sz w:val="21"/>
                <w:szCs w:val="21"/>
              </w:rPr>
              <w:t>m/s</w:t>
            </w:r>
          </w:p>
        </w:tc>
      </w:tr>
      <w:tr w14:paraId="1F6B5B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31" w:type="pct"/>
            <w:tcBorders>
              <w:tl2br w:val="nil"/>
              <w:tr2bl w:val="nil"/>
            </w:tcBorders>
            <w:noWrap w:val="0"/>
            <w:vAlign w:val="center"/>
          </w:tcPr>
          <w:p w14:paraId="0BCDEFAD">
            <w:pPr>
              <w:spacing w:line="0" w:lineRule="atLeast"/>
              <w:jc w:val="center"/>
              <w:rPr>
                <w:rFonts w:ascii="Times New Roman" w:hAnsi="Times New Roman" w:cs="Times New Roman"/>
                <w:color w:val="auto"/>
                <w:sz w:val="21"/>
                <w:szCs w:val="21"/>
              </w:rPr>
            </w:pPr>
            <w:r>
              <w:rPr>
                <w:rFonts w:ascii="Times New Roman" w:hAnsi="Times New Roman" w:cs="Times New Roman"/>
                <w:color w:val="auto"/>
                <w:sz w:val="21"/>
                <w:szCs w:val="21"/>
              </w:rPr>
              <w:t>2</w:t>
            </w:r>
          </w:p>
        </w:tc>
        <w:tc>
          <w:tcPr>
            <w:tcW w:w="1463" w:type="pct"/>
            <w:tcBorders>
              <w:tl2br w:val="nil"/>
              <w:tr2bl w:val="nil"/>
            </w:tcBorders>
            <w:noWrap w:val="0"/>
            <w:vAlign w:val="center"/>
          </w:tcPr>
          <w:p w14:paraId="219806CB">
            <w:pPr>
              <w:spacing w:line="0" w:lineRule="atLeast"/>
              <w:jc w:val="center"/>
              <w:rPr>
                <w:rFonts w:ascii="Times New Roman" w:hAnsi="Times New Roman" w:cs="Times New Roman"/>
                <w:color w:val="auto"/>
                <w:sz w:val="21"/>
                <w:szCs w:val="21"/>
              </w:rPr>
            </w:pPr>
            <w:r>
              <w:rPr>
                <w:rFonts w:ascii="Times New Roman" w:hAnsi="Times New Roman" w:cs="Times New Roman"/>
                <w:color w:val="auto"/>
                <w:sz w:val="21"/>
                <w:szCs w:val="21"/>
              </w:rPr>
              <w:t>极端最高气温</w:t>
            </w:r>
          </w:p>
        </w:tc>
        <w:tc>
          <w:tcPr>
            <w:tcW w:w="638" w:type="pct"/>
            <w:tcBorders>
              <w:tl2br w:val="nil"/>
              <w:tr2bl w:val="nil"/>
            </w:tcBorders>
            <w:noWrap w:val="0"/>
            <w:vAlign w:val="center"/>
          </w:tcPr>
          <w:p w14:paraId="4D4C8DE8">
            <w:pPr>
              <w:spacing w:line="0" w:lineRule="atLeast"/>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40.7</w:t>
            </w:r>
            <w:r>
              <w:rPr>
                <w:rFonts w:ascii="Times New Roman" w:hAnsi="Times New Roman" w:cs="Times New Roman"/>
                <w:color w:val="auto"/>
                <w:sz w:val="21"/>
                <w:szCs w:val="21"/>
              </w:rPr>
              <w:t>℃</w:t>
            </w:r>
          </w:p>
        </w:tc>
        <w:tc>
          <w:tcPr>
            <w:tcW w:w="336" w:type="pct"/>
            <w:tcBorders>
              <w:tl2br w:val="nil"/>
              <w:tr2bl w:val="nil"/>
            </w:tcBorders>
            <w:noWrap w:val="0"/>
            <w:vAlign w:val="center"/>
          </w:tcPr>
          <w:p w14:paraId="66511DDC">
            <w:pPr>
              <w:spacing w:line="0" w:lineRule="atLeast"/>
              <w:jc w:val="center"/>
              <w:rPr>
                <w:rFonts w:ascii="Times New Roman" w:hAnsi="Times New Roman" w:cs="Times New Roman"/>
                <w:color w:val="auto"/>
                <w:sz w:val="21"/>
                <w:szCs w:val="21"/>
              </w:rPr>
            </w:pPr>
            <w:r>
              <w:rPr>
                <w:rFonts w:ascii="Times New Roman" w:hAnsi="Times New Roman" w:cs="Times New Roman"/>
                <w:color w:val="auto"/>
                <w:sz w:val="21"/>
                <w:szCs w:val="21"/>
              </w:rPr>
              <w:t>8</w:t>
            </w:r>
          </w:p>
        </w:tc>
        <w:tc>
          <w:tcPr>
            <w:tcW w:w="1109" w:type="pct"/>
            <w:tcBorders>
              <w:tl2br w:val="nil"/>
              <w:tr2bl w:val="nil"/>
            </w:tcBorders>
            <w:noWrap w:val="0"/>
            <w:vAlign w:val="center"/>
          </w:tcPr>
          <w:p w14:paraId="054D3914">
            <w:pPr>
              <w:spacing w:line="0" w:lineRule="atLeast"/>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年最多风向</w:t>
            </w:r>
          </w:p>
        </w:tc>
        <w:tc>
          <w:tcPr>
            <w:tcW w:w="1120" w:type="pct"/>
            <w:tcBorders>
              <w:tl2br w:val="nil"/>
              <w:tr2bl w:val="nil"/>
            </w:tcBorders>
            <w:noWrap w:val="0"/>
            <w:vAlign w:val="center"/>
          </w:tcPr>
          <w:p w14:paraId="67245546">
            <w:pPr>
              <w:spacing w:line="0" w:lineRule="atLeast"/>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N</w:t>
            </w:r>
          </w:p>
        </w:tc>
      </w:tr>
      <w:tr w14:paraId="724D7B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31" w:type="pct"/>
            <w:tcBorders>
              <w:tl2br w:val="nil"/>
              <w:tr2bl w:val="nil"/>
            </w:tcBorders>
            <w:noWrap w:val="0"/>
            <w:vAlign w:val="center"/>
          </w:tcPr>
          <w:p w14:paraId="0D6A6B66">
            <w:pPr>
              <w:spacing w:line="0" w:lineRule="atLeast"/>
              <w:jc w:val="center"/>
              <w:rPr>
                <w:rFonts w:ascii="Times New Roman" w:hAnsi="Times New Roman" w:cs="Times New Roman"/>
                <w:color w:val="auto"/>
                <w:sz w:val="21"/>
                <w:szCs w:val="21"/>
              </w:rPr>
            </w:pPr>
            <w:r>
              <w:rPr>
                <w:rFonts w:ascii="Times New Roman" w:hAnsi="Times New Roman" w:cs="Times New Roman"/>
                <w:color w:val="auto"/>
                <w:sz w:val="21"/>
                <w:szCs w:val="21"/>
              </w:rPr>
              <w:t>3</w:t>
            </w:r>
          </w:p>
        </w:tc>
        <w:tc>
          <w:tcPr>
            <w:tcW w:w="1463" w:type="pct"/>
            <w:tcBorders>
              <w:tl2br w:val="nil"/>
              <w:tr2bl w:val="nil"/>
            </w:tcBorders>
            <w:noWrap w:val="0"/>
            <w:vAlign w:val="center"/>
          </w:tcPr>
          <w:p w14:paraId="265F0C3A">
            <w:pPr>
              <w:spacing w:line="0" w:lineRule="atLeast"/>
              <w:jc w:val="center"/>
              <w:rPr>
                <w:rFonts w:ascii="Times New Roman" w:hAnsi="Times New Roman" w:cs="Times New Roman"/>
                <w:color w:val="auto"/>
                <w:sz w:val="21"/>
                <w:szCs w:val="21"/>
              </w:rPr>
            </w:pPr>
            <w:r>
              <w:rPr>
                <w:rFonts w:ascii="Times New Roman" w:hAnsi="Times New Roman" w:cs="Times New Roman"/>
                <w:color w:val="auto"/>
                <w:sz w:val="21"/>
                <w:szCs w:val="21"/>
              </w:rPr>
              <w:t>极端最低气温</w:t>
            </w:r>
          </w:p>
        </w:tc>
        <w:tc>
          <w:tcPr>
            <w:tcW w:w="638" w:type="pct"/>
            <w:tcBorders>
              <w:tl2br w:val="nil"/>
              <w:tr2bl w:val="nil"/>
            </w:tcBorders>
            <w:noWrap w:val="0"/>
            <w:vAlign w:val="center"/>
          </w:tcPr>
          <w:p w14:paraId="6A4BF9B5">
            <w:pPr>
              <w:spacing w:line="0" w:lineRule="atLeast"/>
              <w:jc w:val="center"/>
              <w:rPr>
                <w:rFonts w:ascii="Times New Roman" w:hAnsi="Times New Roman" w:cs="Times New Roman"/>
                <w:color w:val="auto"/>
                <w:sz w:val="21"/>
                <w:szCs w:val="21"/>
              </w:rPr>
            </w:pPr>
            <w:r>
              <w:rPr>
                <w:rFonts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27.6</w:t>
            </w:r>
            <w:r>
              <w:rPr>
                <w:rFonts w:ascii="Times New Roman" w:hAnsi="Times New Roman" w:cs="Times New Roman"/>
                <w:color w:val="auto"/>
                <w:sz w:val="21"/>
                <w:szCs w:val="21"/>
              </w:rPr>
              <w:t>℃</w:t>
            </w:r>
          </w:p>
        </w:tc>
        <w:tc>
          <w:tcPr>
            <w:tcW w:w="336" w:type="pct"/>
            <w:tcBorders>
              <w:tl2br w:val="nil"/>
              <w:tr2bl w:val="nil"/>
            </w:tcBorders>
            <w:noWrap w:val="0"/>
            <w:vAlign w:val="center"/>
          </w:tcPr>
          <w:p w14:paraId="7895CC65">
            <w:pPr>
              <w:spacing w:line="0" w:lineRule="atLeast"/>
              <w:jc w:val="center"/>
              <w:rPr>
                <w:rFonts w:ascii="Times New Roman" w:hAnsi="Times New Roman" w:cs="Times New Roman"/>
                <w:color w:val="auto"/>
                <w:sz w:val="21"/>
                <w:szCs w:val="21"/>
              </w:rPr>
            </w:pPr>
            <w:r>
              <w:rPr>
                <w:rFonts w:ascii="Times New Roman" w:hAnsi="Times New Roman" w:cs="Times New Roman"/>
                <w:color w:val="auto"/>
                <w:sz w:val="21"/>
                <w:szCs w:val="21"/>
              </w:rPr>
              <w:t>9</w:t>
            </w:r>
          </w:p>
        </w:tc>
        <w:tc>
          <w:tcPr>
            <w:tcW w:w="1109" w:type="pct"/>
            <w:tcBorders>
              <w:tl2br w:val="nil"/>
              <w:tr2bl w:val="nil"/>
            </w:tcBorders>
            <w:noWrap w:val="0"/>
            <w:vAlign w:val="center"/>
          </w:tcPr>
          <w:p w14:paraId="527229A6">
            <w:pPr>
              <w:spacing w:line="0" w:lineRule="atLeast"/>
              <w:jc w:val="center"/>
              <w:rPr>
                <w:rFonts w:hint="default" w:ascii="Times New Roman" w:hAnsi="Times New Roman" w:eastAsia="宋体" w:cs="Times New Roman"/>
                <w:color w:val="auto"/>
                <w:sz w:val="21"/>
                <w:szCs w:val="21"/>
                <w:lang w:val="en-US" w:eastAsia="zh-CN"/>
              </w:rPr>
            </w:pPr>
            <w:r>
              <w:rPr>
                <w:rFonts w:ascii="Times New Roman" w:hAnsi="Times New Roman" w:cs="Times New Roman"/>
                <w:color w:val="auto"/>
                <w:sz w:val="21"/>
                <w:szCs w:val="21"/>
              </w:rPr>
              <w:t>年</w:t>
            </w:r>
            <w:r>
              <w:rPr>
                <w:rFonts w:hint="eastAsia" w:ascii="Times New Roman" w:hAnsi="Times New Roman" w:cs="Times New Roman"/>
                <w:color w:val="auto"/>
                <w:sz w:val="21"/>
                <w:szCs w:val="21"/>
                <w:lang w:val="en-US" w:eastAsia="zh-CN"/>
              </w:rPr>
              <w:t>平均水汽压</w:t>
            </w:r>
          </w:p>
        </w:tc>
        <w:tc>
          <w:tcPr>
            <w:tcW w:w="1120" w:type="pct"/>
            <w:tcBorders>
              <w:tl2br w:val="nil"/>
              <w:tr2bl w:val="nil"/>
            </w:tcBorders>
            <w:noWrap w:val="0"/>
            <w:vAlign w:val="center"/>
          </w:tcPr>
          <w:p w14:paraId="778B96A9">
            <w:pPr>
              <w:spacing w:line="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6.6-7.6MPa</w:t>
            </w:r>
          </w:p>
        </w:tc>
      </w:tr>
      <w:tr w14:paraId="16314E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31" w:type="pct"/>
            <w:tcBorders>
              <w:tl2br w:val="nil"/>
              <w:tr2bl w:val="nil"/>
            </w:tcBorders>
            <w:noWrap w:val="0"/>
            <w:vAlign w:val="center"/>
          </w:tcPr>
          <w:p w14:paraId="095128C4">
            <w:pPr>
              <w:spacing w:line="0" w:lineRule="atLeast"/>
              <w:jc w:val="center"/>
              <w:rPr>
                <w:rFonts w:ascii="Times New Roman" w:hAnsi="Times New Roman" w:cs="Times New Roman"/>
                <w:color w:val="auto"/>
                <w:sz w:val="21"/>
                <w:szCs w:val="21"/>
              </w:rPr>
            </w:pPr>
            <w:r>
              <w:rPr>
                <w:rFonts w:ascii="Times New Roman" w:hAnsi="Times New Roman" w:cs="Times New Roman"/>
                <w:color w:val="auto"/>
                <w:sz w:val="21"/>
                <w:szCs w:val="21"/>
              </w:rPr>
              <w:t>4</w:t>
            </w:r>
          </w:p>
        </w:tc>
        <w:tc>
          <w:tcPr>
            <w:tcW w:w="1463" w:type="pct"/>
            <w:tcBorders>
              <w:tl2br w:val="nil"/>
              <w:tr2bl w:val="nil"/>
            </w:tcBorders>
            <w:noWrap w:val="0"/>
            <w:vAlign w:val="center"/>
          </w:tcPr>
          <w:p w14:paraId="65F4C784">
            <w:pPr>
              <w:spacing w:line="0" w:lineRule="atLeast"/>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年均日照小时数</w:t>
            </w:r>
          </w:p>
        </w:tc>
        <w:tc>
          <w:tcPr>
            <w:tcW w:w="638" w:type="pct"/>
            <w:tcBorders>
              <w:tl2br w:val="nil"/>
              <w:tr2bl w:val="nil"/>
            </w:tcBorders>
            <w:noWrap w:val="0"/>
            <w:vAlign w:val="center"/>
          </w:tcPr>
          <w:p w14:paraId="28903978">
            <w:pPr>
              <w:spacing w:line="0" w:lineRule="atLeast"/>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2967</w:t>
            </w:r>
            <w:r>
              <w:rPr>
                <w:rFonts w:ascii="Times New Roman" w:hAnsi="Times New Roman" w:cs="Times New Roman"/>
                <w:color w:val="auto"/>
                <w:sz w:val="21"/>
                <w:szCs w:val="21"/>
              </w:rPr>
              <w:t>h</w:t>
            </w:r>
          </w:p>
        </w:tc>
        <w:tc>
          <w:tcPr>
            <w:tcW w:w="336" w:type="pct"/>
            <w:tcBorders>
              <w:tl2br w:val="nil"/>
              <w:tr2bl w:val="nil"/>
            </w:tcBorders>
            <w:noWrap w:val="0"/>
            <w:vAlign w:val="center"/>
          </w:tcPr>
          <w:p w14:paraId="772F8C88">
            <w:pPr>
              <w:spacing w:line="0" w:lineRule="atLeast"/>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1109" w:type="pct"/>
            <w:tcBorders>
              <w:tl2br w:val="nil"/>
              <w:tr2bl w:val="nil"/>
            </w:tcBorders>
            <w:noWrap w:val="0"/>
            <w:vAlign w:val="center"/>
          </w:tcPr>
          <w:p w14:paraId="5AE19FA6">
            <w:pPr>
              <w:spacing w:line="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气温年较差</w:t>
            </w:r>
          </w:p>
        </w:tc>
        <w:tc>
          <w:tcPr>
            <w:tcW w:w="1120" w:type="pct"/>
            <w:tcBorders>
              <w:tl2br w:val="nil"/>
              <w:tr2bl w:val="nil"/>
            </w:tcBorders>
            <w:noWrap w:val="0"/>
            <w:vAlign w:val="center"/>
          </w:tcPr>
          <w:p w14:paraId="10F5FE32">
            <w:pPr>
              <w:spacing w:line="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32.8-34.5</w:t>
            </w:r>
            <w:r>
              <w:rPr>
                <w:rFonts w:ascii="Times New Roman" w:hAnsi="Times New Roman" w:cs="Times New Roman"/>
                <w:color w:val="auto"/>
                <w:sz w:val="21"/>
                <w:szCs w:val="21"/>
              </w:rPr>
              <w:t>℃</w:t>
            </w:r>
          </w:p>
        </w:tc>
      </w:tr>
      <w:tr w14:paraId="6DA7A0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31" w:type="pct"/>
            <w:tcBorders>
              <w:tl2br w:val="nil"/>
              <w:tr2bl w:val="nil"/>
            </w:tcBorders>
            <w:noWrap w:val="0"/>
            <w:vAlign w:val="center"/>
          </w:tcPr>
          <w:p w14:paraId="00F5FE72">
            <w:pPr>
              <w:spacing w:line="0" w:lineRule="atLeast"/>
              <w:jc w:val="center"/>
              <w:rPr>
                <w:rFonts w:ascii="Times New Roman" w:hAnsi="Times New Roman" w:cs="Times New Roman"/>
                <w:color w:val="auto"/>
                <w:sz w:val="21"/>
                <w:szCs w:val="21"/>
              </w:rPr>
            </w:pPr>
            <w:r>
              <w:rPr>
                <w:rFonts w:ascii="Times New Roman" w:hAnsi="Times New Roman" w:cs="Times New Roman"/>
                <w:color w:val="auto"/>
                <w:sz w:val="21"/>
                <w:szCs w:val="21"/>
              </w:rPr>
              <w:t>5</w:t>
            </w:r>
          </w:p>
        </w:tc>
        <w:tc>
          <w:tcPr>
            <w:tcW w:w="1463" w:type="pct"/>
            <w:tcBorders>
              <w:tl2br w:val="nil"/>
              <w:tr2bl w:val="nil"/>
            </w:tcBorders>
            <w:noWrap w:val="0"/>
            <w:vAlign w:val="center"/>
          </w:tcPr>
          <w:p w14:paraId="0F670464">
            <w:pPr>
              <w:spacing w:line="0" w:lineRule="atLeast"/>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年最大冻土深度</w:t>
            </w:r>
          </w:p>
        </w:tc>
        <w:tc>
          <w:tcPr>
            <w:tcW w:w="638" w:type="pct"/>
            <w:tcBorders>
              <w:tl2br w:val="nil"/>
              <w:tr2bl w:val="nil"/>
            </w:tcBorders>
            <w:noWrap w:val="0"/>
            <w:vAlign w:val="center"/>
          </w:tcPr>
          <w:p w14:paraId="50E08801">
            <w:pPr>
              <w:spacing w:line="0" w:lineRule="atLeast"/>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62</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78</w:t>
            </w:r>
            <w:r>
              <w:rPr>
                <w:rFonts w:ascii="Times New Roman" w:hAnsi="Times New Roman" w:cs="Times New Roman"/>
                <w:color w:val="auto"/>
                <w:sz w:val="21"/>
                <w:szCs w:val="21"/>
              </w:rPr>
              <w:t>cm</w:t>
            </w:r>
          </w:p>
        </w:tc>
        <w:tc>
          <w:tcPr>
            <w:tcW w:w="336" w:type="pct"/>
            <w:tcBorders>
              <w:tl2br w:val="nil"/>
              <w:tr2bl w:val="nil"/>
            </w:tcBorders>
            <w:noWrap w:val="0"/>
            <w:vAlign w:val="center"/>
          </w:tcPr>
          <w:p w14:paraId="6C5E65B4">
            <w:pPr>
              <w:spacing w:line="0" w:lineRule="atLeast"/>
              <w:jc w:val="center"/>
              <w:rPr>
                <w:rFonts w:ascii="Times New Roman" w:hAnsi="Times New Roman" w:cs="Times New Roman"/>
                <w:color w:val="auto"/>
                <w:sz w:val="21"/>
                <w:szCs w:val="21"/>
              </w:rPr>
            </w:pPr>
            <w:r>
              <w:rPr>
                <w:rFonts w:ascii="Times New Roman" w:hAnsi="Times New Roman" w:cs="Times New Roman"/>
                <w:color w:val="auto"/>
                <w:sz w:val="21"/>
                <w:szCs w:val="21"/>
              </w:rPr>
              <w:t>11</w:t>
            </w:r>
          </w:p>
        </w:tc>
        <w:tc>
          <w:tcPr>
            <w:tcW w:w="1109" w:type="pct"/>
            <w:tcBorders>
              <w:tl2br w:val="nil"/>
              <w:tr2bl w:val="nil"/>
            </w:tcBorders>
            <w:noWrap w:val="0"/>
            <w:vAlign w:val="center"/>
          </w:tcPr>
          <w:p w14:paraId="4E54E352">
            <w:pPr>
              <w:spacing w:line="0" w:lineRule="atLeast"/>
              <w:jc w:val="center"/>
              <w:rPr>
                <w:rFonts w:ascii="Times New Roman" w:hAnsi="Times New Roman" w:cs="Times New Roman"/>
                <w:color w:val="auto"/>
                <w:sz w:val="21"/>
                <w:szCs w:val="21"/>
              </w:rPr>
            </w:pPr>
            <w:r>
              <w:rPr>
                <w:rFonts w:ascii="Times New Roman" w:hAnsi="Times New Roman" w:cs="Times New Roman"/>
                <w:color w:val="auto"/>
                <w:sz w:val="21"/>
                <w:szCs w:val="21"/>
              </w:rPr>
              <w:t>年平均降雨量</w:t>
            </w:r>
          </w:p>
        </w:tc>
        <w:tc>
          <w:tcPr>
            <w:tcW w:w="1120" w:type="pct"/>
            <w:tcBorders>
              <w:tl2br w:val="nil"/>
              <w:tr2bl w:val="nil"/>
            </w:tcBorders>
            <w:noWrap w:val="0"/>
            <w:vAlign w:val="center"/>
          </w:tcPr>
          <w:p w14:paraId="73F52175">
            <w:pPr>
              <w:spacing w:line="0" w:lineRule="atLeast"/>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60.8</w:t>
            </w:r>
            <w:r>
              <w:rPr>
                <w:rFonts w:ascii="Times New Roman" w:hAnsi="Times New Roman" w:cs="Times New Roman"/>
                <w:color w:val="auto"/>
                <w:sz w:val="21"/>
                <w:szCs w:val="21"/>
              </w:rPr>
              <w:t>mm</w:t>
            </w:r>
          </w:p>
        </w:tc>
      </w:tr>
      <w:tr w14:paraId="6755C2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31" w:type="pct"/>
            <w:tcBorders>
              <w:tl2br w:val="nil"/>
              <w:tr2bl w:val="nil"/>
            </w:tcBorders>
            <w:noWrap w:val="0"/>
            <w:vAlign w:val="center"/>
          </w:tcPr>
          <w:p w14:paraId="1A215DFF">
            <w:pPr>
              <w:spacing w:line="0" w:lineRule="atLeast"/>
              <w:jc w:val="center"/>
              <w:rPr>
                <w:rFonts w:ascii="Times New Roman" w:hAnsi="Times New Roman" w:cs="Times New Roman"/>
                <w:color w:val="auto"/>
                <w:sz w:val="21"/>
                <w:szCs w:val="21"/>
              </w:rPr>
            </w:pPr>
            <w:r>
              <w:rPr>
                <w:rFonts w:ascii="Times New Roman" w:hAnsi="Times New Roman" w:cs="Times New Roman"/>
                <w:color w:val="auto"/>
                <w:sz w:val="21"/>
                <w:szCs w:val="21"/>
              </w:rPr>
              <w:t>6</w:t>
            </w:r>
          </w:p>
        </w:tc>
        <w:tc>
          <w:tcPr>
            <w:tcW w:w="1463" w:type="pct"/>
            <w:tcBorders>
              <w:tl2br w:val="nil"/>
              <w:tr2bl w:val="nil"/>
            </w:tcBorders>
            <w:noWrap w:val="0"/>
            <w:vAlign w:val="center"/>
          </w:tcPr>
          <w:p w14:paraId="60D33F4A">
            <w:pPr>
              <w:spacing w:line="0" w:lineRule="atLeast"/>
              <w:jc w:val="center"/>
              <w:rPr>
                <w:rFonts w:ascii="Times New Roman" w:hAnsi="Times New Roman" w:cs="Times New Roman"/>
                <w:color w:val="auto"/>
                <w:sz w:val="21"/>
                <w:szCs w:val="21"/>
              </w:rPr>
            </w:pPr>
            <w:r>
              <w:rPr>
                <w:rFonts w:ascii="Times New Roman" w:hAnsi="Times New Roman" w:cs="Times New Roman"/>
                <w:color w:val="auto"/>
                <w:sz w:val="21"/>
                <w:szCs w:val="21"/>
              </w:rPr>
              <w:t>年平均相对湿度</w:t>
            </w:r>
          </w:p>
        </w:tc>
        <w:tc>
          <w:tcPr>
            <w:tcW w:w="638" w:type="pct"/>
            <w:tcBorders>
              <w:tl2br w:val="nil"/>
              <w:tr2bl w:val="nil"/>
            </w:tcBorders>
            <w:noWrap w:val="0"/>
            <w:vAlign w:val="center"/>
          </w:tcPr>
          <w:p w14:paraId="7F2AFBFF">
            <w:pPr>
              <w:spacing w:line="0" w:lineRule="atLeast"/>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47</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57</w:t>
            </w:r>
            <w:r>
              <w:rPr>
                <w:rFonts w:ascii="Times New Roman" w:hAnsi="Times New Roman" w:cs="Times New Roman"/>
                <w:color w:val="auto"/>
                <w:sz w:val="21"/>
                <w:szCs w:val="21"/>
              </w:rPr>
              <w:t>%</w:t>
            </w:r>
          </w:p>
        </w:tc>
        <w:tc>
          <w:tcPr>
            <w:tcW w:w="336" w:type="pct"/>
            <w:tcBorders>
              <w:tl2br w:val="nil"/>
              <w:tr2bl w:val="nil"/>
            </w:tcBorders>
            <w:noWrap w:val="0"/>
            <w:vAlign w:val="center"/>
          </w:tcPr>
          <w:p w14:paraId="16ED680F">
            <w:pPr>
              <w:spacing w:line="0" w:lineRule="atLeast"/>
              <w:jc w:val="center"/>
              <w:rPr>
                <w:rFonts w:ascii="Times New Roman" w:hAnsi="Times New Roman" w:cs="Times New Roman"/>
                <w:color w:val="auto"/>
                <w:sz w:val="21"/>
                <w:szCs w:val="21"/>
              </w:rPr>
            </w:pPr>
            <w:r>
              <w:rPr>
                <w:rFonts w:ascii="Times New Roman" w:hAnsi="Times New Roman" w:cs="Times New Roman"/>
                <w:color w:val="auto"/>
                <w:sz w:val="21"/>
                <w:szCs w:val="21"/>
              </w:rPr>
              <w:t>12</w:t>
            </w:r>
          </w:p>
        </w:tc>
        <w:tc>
          <w:tcPr>
            <w:tcW w:w="1109" w:type="pct"/>
            <w:tcBorders>
              <w:tl2br w:val="nil"/>
              <w:tr2bl w:val="nil"/>
            </w:tcBorders>
            <w:noWrap w:val="0"/>
            <w:vAlign w:val="center"/>
          </w:tcPr>
          <w:p w14:paraId="373D6CF9">
            <w:pPr>
              <w:spacing w:line="0" w:lineRule="atLeast"/>
              <w:jc w:val="center"/>
              <w:rPr>
                <w:rFonts w:ascii="Times New Roman" w:hAnsi="Times New Roman" w:cs="Times New Roman"/>
                <w:color w:val="auto"/>
                <w:sz w:val="21"/>
                <w:szCs w:val="21"/>
              </w:rPr>
            </w:pPr>
            <w:r>
              <w:rPr>
                <w:rFonts w:ascii="Times New Roman" w:hAnsi="Times New Roman" w:cs="Times New Roman"/>
                <w:color w:val="auto"/>
                <w:sz w:val="21"/>
                <w:szCs w:val="21"/>
              </w:rPr>
              <w:t>平均年蒸发量</w:t>
            </w:r>
          </w:p>
        </w:tc>
        <w:tc>
          <w:tcPr>
            <w:tcW w:w="1120" w:type="pct"/>
            <w:tcBorders>
              <w:tl2br w:val="nil"/>
              <w:tr2bl w:val="nil"/>
            </w:tcBorders>
            <w:noWrap w:val="0"/>
            <w:vAlign w:val="center"/>
          </w:tcPr>
          <w:p w14:paraId="3D002BD1">
            <w:pPr>
              <w:spacing w:line="0" w:lineRule="atLeast"/>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1896.5</w:t>
            </w:r>
            <w:r>
              <w:rPr>
                <w:rFonts w:ascii="Times New Roman" w:hAnsi="Times New Roman" w:cs="Times New Roman"/>
                <w:color w:val="auto"/>
                <w:sz w:val="21"/>
                <w:szCs w:val="21"/>
              </w:rPr>
              <w:t>mm</w:t>
            </w:r>
          </w:p>
        </w:tc>
      </w:tr>
      <w:bookmarkEnd w:id="551"/>
      <w:bookmarkEnd w:id="552"/>
      <w:bookmarkEnd w:id="553"/>
      <w:bookmarkEnd w:id="554"/>
      <w:bookmarkEnd w:id="555"/>
    </w:tbl>
    <w:p w14:paraId="3FDD1451">
      <w:pPr>
        <w:pStyle w:val="75"/>
        <w:bidi w:val="0"/>
        <w:rPr>
          <w:rFonts w:hint="default"/>
          <w:color w:val="auto"/>
          <w:lang w:val="en-US" w:eastAsia="zh-CN"/>
        </w:rPr>
      </w:pPr>
      <w:bookmarkStart w:id="556" w:name="_Toc31344"/>
      <w:bookmarkStart w:id="557" w:name="_Toc20427"/>
      <w:bookmarkStart w:id="558" w:name="_Toc16164"/>
      <w:bookmarkStart w:id="559" w:name="_Toc109382926"/>
      <w:bookmarkStart w:id="560" w:name="_Toc77006749"/>
      <w:r>
        <w:rPr>
          <w:rFonts w:hint="default"/>
          <w:color w:val="auto"/>
          <w:lang w:val="en-US" w:eastAsia="zh-CN"/>
        </w:rPr>
        <w:t>4.2</w:t>
      </w:r>
      <w:r>
        <w:rPr>
          <w:rFonts w:hint="eastAsia"/>
          <w:color w:val="auto"/>
          <w:lang w:val="en-US" w:eastAsia="zh-CN"/>
        </w:rPr>
        <w:t xml:space="preserve"> </w:t>
      </w:r>
      <w:r>
        <w:rPr>
          <w:rFonts w:hint="default"/>
          <w:color w:val="auto"/>
          <w:lang w:val="en-US" w:eastAsia="zh-CN"/>
        </w:rPr>
        <w:t>生态环境现状调查与评价</w:t>
      </w:r>
      <w:bookmarkEnd w:id="556"/>
      <w:bookmarkEnd w:id="557"/>
    </w:p>
    <w:p w14:paraId="3E06C3A9">
      <w:pPr>
        <w:pStyle w:val="54"/>
        <w:bidi w:val="0"/>
        <w:rPr>
          <w:rFonts w:hint="default"/>
          <w:color w:val="auto"/>
          <w:lang w:val="en-US" w:eastAsia="zh-CN"/>
        </w:rPr>
      </w:pPr>
      <w:r>
        <w:rPr>
          <w:rFonts w:hint="eastAsia"/>
          <w:color w:val="auto"/>
          <w:lang w:val="en-US" w:eastAsia="zh-CN"/>
        </w:rPr>
        <w:t>4.2.1调查方法及评价内容</w:t>
      </w:r>
    </w:p>
    <w:p w14:paraId="2222CDB5">
      <w:pPr>
        <w:pStyle w:val="79"/>
        <w:bidi w:val="0"/>
        <w:rPr>
          <w:rFonts w:hint="default"/>
          <w:color w:val="auto"/>
          <w:lang w:val="en-US" w:eastAsia="zh-CN"/>
        </w:rPr>
      </w:pPr>
      <w:r>
        <w:rPr>
          <w:rFonts w:hint="eastAsia"/>
          <w:color w:val="auto"/>
          <w:lang w:val="en-US" w:eastAsia="zh-CN"/>
        </w:rPr>
        <w:t>（1）</w:t>
      </w:r>
      <w:r>
        <w:rPr>
          <w:rFonts w:hint="default"/>
          <w:color w:val="auto"/>
          <w:lang w:val="en-US" w:eastAsia="zh-CN"/>
        </w:rPr>
        <w:t>调查内容</w:t>
      </w:r>
    </w:p>
    <w:p w14:paraId="655331C0">
      <w:pPr>
        <w:pStyle w:val="79"/>
        <w:bidi w:val="0"/>
        <w:rPr>
          <w:rFonts w:hint="default"/>
          <w:color w:val="auto"/>
          <w:lang w:val="en-US" w:eastAsia="zh-CN"/>
        </w:rPr>
      </w:pPr>
      <w:r>
        <w:rPr>
          <w:rFonts w:hint="default"/>
          <w:color w:val="auto"/>
          <w:lang w:val="en-US" w:eastAsia="zh-CN"/>
        </w:rPr>
        <w:t>调查内容包括评价区生态系统类型、土地利用类型、植被类型、野生动物等。</w:t>
      </w:r>
    </w:p>
    <w:p w14:paraId="247EDE0B">
      <w:pPr>
        <w:pStyle w:val="79"/>
        <w:bidi w:val="0"/>
        <w:rPr>
          <w:rFonts w:hint="default"/>
          <w:color w:val="auto"/>
          <w:lang w:val="en-US" w:eastAsia="zh-CN"/>
        </w:rPr>
      </w:pPr>
      <w:r>
        <w:rPr>
          <w:rFonts w:hint="eastAsia"/>
          <w:color w:val="auto"/>
          <w:lang w:val="en-US" w:eastAsia="zh-CN"/>
        </w:rPr>
        <w:t>（2）</w:t>
      </w:r>
      <w:r>
        <w:rPr>
          <w:rFonts w:hint="default"/>
          <w:color w:val="auto"/>
          <w:lang w:val="en-US" w:eastAsia="zh-CN"/>
        </w:rPr>
        <w:t>调查方法</w:t>
      </w:r>
    </w:p>
    <w:p w14:paraId="6A396790">
      <w:pPr>
        <w:pStyle w:val="79"/>
        <w:bidi w:val="0"/>
        <w:rPr>
          <w:rFonts w:hint="default"/>
          <w:color w:val="auto"/>
          <w:lang w:val="en-US" w:eastAsia="zh-CN"/>
        </w:rPr>
      </w:pPr>
      <w:r>
        <w:rPr>
          <w:rFonts w:hint="default"/>
          <w:color w:val="auto"/>
          <w:lang w:val="en-US" w:eastAsia="zh-CN"/>
        </w:rPr>
        <w:t>①基础资料收集</w:t>
      </w:r>
    </w:p>
    <w:p w14:paraId="4D51994B">
      <w:pPr>
        <w:pStyle w:val="79"/>
        <w:bidi w:val="0"/>
        <w:rPr>
          <w:rFonts w:hint="default"/>
          <w:color w:val="auto"/>
          <w:lang w:val="en-US" w:eastAsia="zh-CN"/>
        </w:rPr>
      </w:pPr>
      <w:r>
        <w:rPr>
          <w:rFonts w:hint="default"/>
          <w:color w:val="auto"/>
          <w:lang w:val="en-US" w:eastAsia="zh-CN"/>
        </w:rPr>
        <w:t>收集整理工程区现有相关资料，包括工程区周边县市的统计年鉴，以及林业、农业、国土资源等部门提供的相关资料和生态敏感区的规划报告。还参考了《新疆植物志</w:t>
      </w:r>
      <w:r>
        <w:rPr>
          <w:rFonts w:hint="eastAsia"/>
          <w:color w:val="auto"/>
          <w:lang w:val="en-US" w:eastAsia="zh-CN"/>
        </w:rPr>
        <w:t>》《</w:t>
      </w:r>
      <w:r>
        <w:rPr>
          <w:rFonts w:hint="default"/>
          <w:color w:val="auto"/>
          <w:lang w:val="en-US" w:eastAsia="zh-CN"/>
        </w:rPr>
        <w:t>新疆脊椎动物简志</w:t>
      </w:r>
      <w:r>
        <w:rPr>
          <w:rFonts w:hint="eastAsia"/>
          <w:color w:val="auto"/>
          <w:lang w:val="en-US" w:eastAsia="zh-CN"/>
        </w:rPr>
        <w:t>》《</w:t>
      </w:r>
      <w:r>
        <w:rPr>
          <w:rFonts w:hint="default"/>
          <w:color w:val="auto"/>
          <w:lang w:val="en-US" w:eastAsia="zh-CN"/>
        </w:rPr>
        <w:t>中国新疆野生动物》等著作及相关科研论文。</w:t>
      </w:r>
    </w:p>
    <w:p w14:paraId="1EDC3F3D">
      <w:pPr>
        <w:pStyle w:val="79"/>
        <w:bidi w:val="0"/>
        <w:rPr>
          <w:rFonts w:hint="default"/>
          <w:color w:val="auto"/>
          <w:lang w:val="en-US" w:eastAsia="zh-CN"/>
        </w:rPr>
      </w:pPr>
      <w:r>
        <w:rPr>
          <w:rFonts w:hint="default"/>
          <w:color w:val="auto"/>
          <w:lang w:val="en-US" w:eastAsia="zh-CN"/>
        </w:rPr>
        <w:t>②土地利用现状调查</w:t>
      </w:r>
    </w:p>
    <w:p w14:paraId="6448C3F9">
      <w:pPr>
        <w:pStyle w:val="79"/>
        <w:bidi w:val="0"/>
        <w:rPr>
          <w:rFonts w:hint="default"/>
          <w:color w:val="auto"/>
          <w:lang w:val="en-US" w:eastAsia="zh-CN"/>
        </w:rPr>
      </w:pPr>
      <w:r>
        <w:rPr>
          <w:rFonts w:hint="default"/>
          <w:color w:val="auto"/>
          <w:lang w:val="en-US" w:eastAsia="zh-CN"/>
        </w:rPr>
        <w:t>土地利用现状调查主要通过遥感解译分析与现场调查相结合的方法，本次遥感数据采用卫星遥感影像，分析方法为首先应用ArcGIS进行手工解译，然后进行现场校验。</w:t>
      </w:r>
    </w:p>
    <w:p w14:paraId="739B1B5C">
      <w:pPr>
        <w:pStyle w:val="54"/>
        <w:bidi w:val="0"/>
        <w:rPr>
          <w:rFonts w:hint="default"/>
          <w:color w:val="auto"/>
          <w:lang w:val="en-US" w:eastAsia="zh-CN"/>
        </w:rPr>
      </w:pPr>
      <w:r>
        <w:rPr>
          <w:rFonts w:hint="eastAsia"/>
          <w:color w:val="auto"/>
          <w:lang w:val="en-US" w:eastAsia="zh-CN"/>
        </w:rPr>
        <w:t>4.2.2生态功能区划调查</w:t>
      </w:r>
    </w:p>
    <w:p w14:paraId="4483FB85">
      <w:pPr>
        <w:pStyle w:val="79"/>
        <w:bidi w:val="0"/>
        <w:rPr>
          <w:rFonts w:hint="default"/>
          <w:color w:val="auto"/>
          <w:lang w:val="en-US" w:eastAsia="zh-CN"/>
        </w:rPr>
      </w:pPr>
      <w:r>
        <w:rPr>
          <w:rFonts w:hint="eastAsia"/>
          <w:color w:val="auto"/>
        </w:rPr>
        <w:t>根据《新疆生态功能区划》，工程所在区域生态功能区的主要生态服务功能、生态敏感因子、主要生态问题和主要保护目标见表4.</w:t>
      </w:r>
      <w:r>
        <w:rPr>
          <w:color w:val="auto"/>
        </w:rPr>
        <w:t>2</w:t>
      </w:r>
      <w:r>
        <w:rPr>
          <w:rFonts w:hint="eastAsia"/>
          <w:color w:val="auto"/>
        </w:rPr>
        <w:t>-1</w:t>
      </w:r>
      <w:r>
        <w:rPr>
          <w:rFonts w:hint="eastAsia"/>
          <w:color w:val="auto"/>
          <w:lang w:eastAsia="zh-CN"/>
        </w:rPr>
        <w:t>，</w:t>
      </w:r>
      <w:r>
        <w:rPr>
          <w:rFonts w:hint="eastAsia"/>
          <w:color w:val="auto"/>
          <w:lang w:val="en-US" w:eastAsia="zh-CN"/>
        </w:rPr>
        <w:t>生态功能区划图见图4.2-1。</w:t>
      </w:r>
    </w:p>
    <w:p w14:paraId="495A97DE">
      <w:pPr>
        <w:pStyle w:val="61"/>
        <w:bidi w:val="0"/>
        <w:jc w:val="both"/>
        <w:rPr>
          <w:rFonts w:hint="eastAsia"/>
          <w:color w:val="auto"/>
          <w:lang w:val="en-US" w:eastAsia="zh-CN"/>
        </w:rPr>
      </w:pPr>
      <w:r>
        <w:rPr>
          <w:rFonts w:hint="eastAsia"/>
          <w:color w:val="auto"/>
          <w:lang w:val="en-US" w:eastAsia="zh-CN"/>
        </w:rPr>
        <w:t>表4.2-1  生态功能区划</w:t>
      </w:r>
    </w:p>
    <w:tbl>
      <w:tblPr>
        <w:tblStyle w:val="36"/>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25"/>
        <w:gridCol w:w="1514"/>
        <w:gridCol w:w="6293"/>
      </w:tblGrid>
      <w:tr w14:paraId="408624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jc w:val="center"/>
        </w:trPr>
        <w:tc>
          <w:tcPr>
            <w:tcW w:w="580" w:type="pct"/>
            <w:vMerge w:val="restart"/>
            <w:tcBorders>
              <w:tl2br w:val="nil"/>
              <w:tr2bl w:val="nil"/>
            </w:tcBorders>
            <w:noWrap w:val="0"/>
            <w:vAlign w:val="center"/>
          </w:tcPr>
          <w:p w14:paraId="79D3C747">
            <w:pPr>
              <w:spacing w:line="240" w:lineRule="exact"/>
              <w:jc w:val="center"/>
              <w:rPr>
                <w:color w:val="auto"/>
                <w:sz w:val="21"/>
                <w:szCs w:val="21"/>
                <w:highlight w:val="yellow"/>
              </w:rPr>
            </w:pPr>
            <w:r>
              <w:rPr>
                <w:color w:val="auto"/>
                <w:sz w:val="21"/>
                <w:szCs w:val="21"/>
                <w:highlight w:val="none"/>
              </w:rPr>
              <w:t>生态功能分区单元</w:t>
            </w:r>
          </w:p>
        </w:tc>
        <w:tc>
          <w:tcPr>
            <w:tcW w:w="857" w:type="pct"/>
            <w:tcBorders>
              <w:tl2br w:val="nil"/>
              <w:tr2bl w:val="nil"/>
            </w:tcBorders>
            <w:noWrap w:val="0"/>
            <w:vAlign w:val="center"/>
          </w:tcPr>
          <w:p w14:paraId="3501CFBE">
            <w:pPr>
              <w:spacing w:line="240" w:lineRule="exact"/>
              <w:jc w:val="center"/>
              <w:rPr>
                <w:color w:val="auto"/>
                <w:sz w:val="21"/>
                <w:szCs w:val="21"/>
                <w:highlight w:val="none"/>
              </w:rPr>
            </w:pPr>
            <w:r>
              <w:rPr>
                <w:color w:val="auto"/>
                <w:sz w:val="21"/>
                <w:szCs w:val="21"/>
                <w:highlight w:val="none"/>
              </w:rPr>
              <w:t>生态区</w:t>
            </w:r>
          </w:p>
        </w:tc>
        <w:tc>
          <w:tcPr>
            <w:tcW w:w="3562" w:type="pct"/>
            <w:tcBorders>
              <w:tl2br w:val="nil"/>
              <w:tr2bl w:val="nil"/>
            </w:tcBorders>
            <w:noWrap w:val="0"/>
            <w:vAlign w:val="center"/>
          </w:tcPr>
          <w:p w14:paraId="30684ECD">
            <w:pPr>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Ⅳ塔里木盆地暖</w:t>
            </w:r>
            <w:r>
              <w:rPr>
                <w:rFonts w:hint="eastAsia" w:ascii="Times New Roman" w:hAnsi="Times New Roman" w:eastAsia="宋体" w:cs="Times New Roman"/>
                <w:color w:val="auto"/>
                <w:sz w:val="21"/>
                <w:szCs w:val="21"/>
                <w:highlight w:val="none"/>
                <w:lang w:val="en-US" w:eastAsia="zh-CN"/>
              </w:rPr>
              <w:t>温</w:t>
            </w:r>
            <w:r>
              <w:rPr>
                <w:rFonts w:hint="default" w:ascii="Times New Roman" w:hAnsi="Times New Roman" w:eastAsia="宋体" w:cs="Times New Roman"/>
                <w:color w:val="auto"/>
                <w:sz w:val="21"/>
                <w:szCs w:val="21"/>
                <w:highlight w:val="none"/>
              </w:rPr>
              <w:t>荒漠及绿洲农业生态区</w:t>
            </w:r>
          </w:p>
        </w:tc>
      </w:tr>
      <w:tr w14:paraId="256C41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1" w:hRule="atLeast"/>
          <w:jc w:val="center"/>
        </w:trPr>
        <w:tc>
          <w:tcPr>
            <w:tcW w:w="580" w:type="pct"/>
            <w:vMerge w:val="continue"/>
            <w:tcBorders>
              <w:tl2br w:val="nil"/>
              <w:tr2bl w:val="nil"/>
            </w:tcBorders>
            <w:noWrap w:val="0"/>
            <w:vAlign w:val="center"/>
          </w:tcPr>
          <w:p w14:paraId="67FB34B8">
            <w:pPr>
              <w:spacing w:line="240" w:lineRule="exact"/>
              <w:jc w:val="center"/>
              <w:rPr>
                <w:color w:val="auto"/>
                <w:sz w:val="21"/>
                <w:szCs w:val="21"/>
                <w:highlight w:val="yellow"/>
              </w:rPr>
            </w:pPr>
          </w:p>
        </w:tc>
        <w:tc>
          <w:tcPr>
            <w:tcW w:w="857" w:type="pct"/>
            <w:tcBorders>
              <w:tl2br w:val="nil"/>
              <w:tr2bl w:val="nil"/>
            </w:tcBorders>
            <w:noWrap w:val="0"/>
            <w:vAlign w:val="center"/>
          </w:tcPr>
          <w:p w14:paraId="48E3869D">
            <w:pPr>
              <w:spacing w:line="240" w:lineRule="exact"/>
              <w:jc w:val="center"/>
              <w:rPr>
                <w:color w:val="auto"/>
                <w:sz w:val="21"/>
                <w:szCs w:val="21"/>
                <w:highlight w:val="none"/>
              </w:rPr>
            </w:pPr>
            <w:r>
              <w:rPr>
                <w:color w:val="auto"/>
                <w:sz w:val="21"/>
                <w:szCs w:val="21"/>
                <w:highlight w:val="none"/>
              </w:rPr>
              <w:t>生态亚区</w:t>
            </w:r>
          </w:p>
        </w:tc>
        <w:tc>
          <w:tcPr>
            <w:tcW w:w="3562" w:type="pct"/>
            <w:tcBorders>
              <w:tl2br w:val="nil"/>
              <w:tr2bl w:val="nil"/>
            </w:tcBorders>
            <w:noWrap w:val="0"/>
            <w:vAlign w:val="center"/>
          </w:tcPr>
          <w:p w14:paraId="681CF89A">
            <w:pPr>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Ⅳ</w:t>
            </w:r>
            <w:r>
              <w:rPr>
                <w:rFonts w:hint="default" w:ascii="Times New Roman" w:hAnsi="Times New Roman" w:eastAsia="宋体" w:cs="Times New Roman"/>
                <w:color w:val="auto"/>
                <w:sz w:val="21"/>
                <w:szCs w:val="21"/>
                <w:highlight w:val="none"/>
                <w:vertAlign w:val="subscript"/>
              </w:rPr>
              <w:t>1</w:t>
            </w:r>
            <w:r>
              <w:rPr>
                <w:rFonts w:hint="default" w:ascii="Times New Roman" w:hAnsi="Times New Roman" w:eastAsia="宋体" w:cs="Times New Roman"/>
                <w:color w:val="auto"/>
                <w:sz w:val="21"/>
                <w:szCs w:val="21"/>
                <w:highlight w:val="none"/>
              </w:rPr>
              <w:t>塔里木盆地西部、北部荒漠及绿洲农业生态亚区</w:t>
            </w:r>
          </w:p>
        </w:tc>
      </w:tr>
      <w:tr w14:paraId="45E676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8" w:hRule="atLeast"/>
          <w:jc w:val="center"/>
        </w:trPr>
        <w:tc>
          <w:tcPr>
            <w:tcW w:w="580" w:type="pct"/>
            <w:vMerge w:val="continue"/>
            <w:tcBorders>
              <w:tl2br w:val="nil"/>
              <w:tr2bl w:val="nil"/>
            </w:tcBorders>
            <w:noWrap w:val="0"/>
            <w:vAlign w:val="center"/>
          </w:tcPr>
          <w:p w14:paraId="5DB5A9A8">
            <w:pPr>
              <w:spacing w:line="240" w:lineRule="exact"/>
              <w:jc w:val="center"/>
              <w:rPr>
                <w:color w:val="auto"/>
                <w:sz w:val="21"/>
                <w:szCs w:val="21"/>
                <w:highlight w:val="yellow"/>
              </w:rPr>
            </w:pPr>
          </w:p>
        </w:tc>
        <w:tc>
          <w:tcPr>
            <w:tcW w:w="857" w:type="pct"/>
            <w:tcBorders>
              <w:tl2br w:val="nil"/>
              <w:tr2bl w:val="nil"/>
            </w:tcBorders>
            <w:noWrap w:val="0"/>
            <w:vAlign w:val="center"/>
          </w:tcPr>
          <w:p w14:paraId="4C6968F9">
            <w:pPr>
              <w:spacing w:line="240" w:lineRule="exact"/>
              <w:jc w:val="center"/>
              <w:rPr>
                <w:color w:val="auto"/>
                <w:sz w:val="21"/>
                <w:szCs w:val="21"/>
                <w:highlight w:val="none"/>
              </w:rPr>
            </w:pPr>
            <w:r>
              <w:rPr>
                <w:color w:val="auto"/>
                <w:sz w:val="21"/>
                <w:szCs w:val="21"/>
                <w:highlight w:val="none"/>
              </w:rPr>
              <w:t>生态功能区</w:t>
            </w:r>
          </w:p>
        </w:tc>
        <w:tc>
          <w:tcPr>
            <w:tcW w:w="3562" w:type="pct"/>
            <w:tcBorders>
              <w:tl2br w:val="nil"/>
              <w:tr2bl w:val="nil"/>
            </w:tcBorders>
            <w:noWrap w:val="0"/>
            <w:vAlign w:val="center"/>
          </w:tcPr>
          <w:p w14:paraId="769D6ADD">
            <w:pPr>
              <w:spacing w:line="24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56</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阿克苏河冲积平原绿洲农业生态功能区</w:t>
            </w:r>
          </w:p>
        </w:tc>
      </w:tr>
      <w:tr w14:paraId="7D3B6D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1437" w:type="pct"/>
            <w:gridSpan w:val="2"/>
            <w:tcBorders>
              <w:tl2br w:val="nil"/>
              <w:tr2bl w:val="nil"/>
            </w:tcBorders>
            <w:noWrap w:val="0"/>
            <w:vAlign w:val="center"/>
          </w:tcPr>
          <w:p w14:paraId="50160814">
            <w:pPr>
              <w:spacing w:line="240" w:lineRule="exact"/>
              <w:jc w:val="center"/>
              <w:rPr>
                <w:color w:val="auto"/>
                <w:sz w:val="21"/>
                <w:szCs w:val="21"/>
                <w:highlight w:val="none"/>
              </w:rPr>
            </w:pPr>
            <w:r>
              <w:rPr>
                <w:color w:val="auto"/>
                <w:sz w:val="21"/>
                <w:szCs w:val="21"/>
                <w:highlight w:val="none"/>
              </w:rPr>
              <w:t>主要生态服务功能</w:t>
            </w:r>
          </w:p>
        </w:tc>
        <w:tc>
          <w:tcPr>
            <w:tcW w:w="3562" w:type="pct"/>
            <w:tcBorders>
              <w:tl2br w:val="nil"/>
              <w:tr2bl w:val="nil"/>
            </w:tcBorders>
            <w:noWrap w:val="0"/>
            <w:vAlign w:val="center"/>
          </w:tcPr>
          <w:p w14:paraId="0D4CEF25">
            <w:pPr>
              <w:spacing w:line="2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农产品生产、荒漠化控制、</w:t>
            </w:r>
            <w:r>
              <w:rPr>
                <w:rFonts w:hint="eastAsia" w:cs="Times New Roman"/>
                <w:color w:val="auto"/>
                <w:sz w:val="21"/>
                <w:szCs w:val="21"/>
                <w:highlight w:val="none"/>
                <w:lang w:val="en-US" w:eastAsia="zh-CN"/>
              </w:rPr>
              <w:t>塔里木河水源补给</w:t>
            </w:r>
          </w:p>
        </w:tc>
      </w:tr>
      <w:tr w14:paraId="25B668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7" w:hRule="atLeast"/>
          <w:jc w:val="center"/>
        </w:trPr>
        <w:tc>
          <w:tcPr>
            <w:tcW w:w="1437" w:type="pct"/>
            <w:gridSpan w:val="2"/>
            <w:tcBorders>
              <w:tl2br w:val="nil"/>
              <w:tr2bl w:val="nil"/>
            </w:tcBorders>
            <w:noWrap w:val="0"/>
            <w:vAlign w:val="center"/>
          </w:tcPr>
          <w:p w14:paraId="00F2A135">
            <w:pPr>
              <w:spacing w:line="240" w:lineRule="exact"/>
              <w:jc w:val="center"/>
              <w:rPr>
                <w:color w:val="auto"/>
                <w:sz w:val="21"/>
                <w:szCs w:val="21"/>
                <w:highlight w:val="none"/>
              </w:rPr>
            </w:pPr>
            <w:r>
              <w:rPr>
                <w:color w:val="auto"/>
                <w:sz w:val="21"/>
                <w:szCs w:val="21"/>
                <w:highlight w:val="none"/>
              </w:rPr>
              <w:t>主要生态环境问题</w:t>
            </w:r>
          </w:p>
        </w:tc>
        <w:tc>
          <w:tcPr>
            <w:tcW w:w="3562" w:type="pct"/>
            <w:tcBorders>
              <w:tl2br w:val="nil"/>
              <w:tr2bl w:val="nil"/>
            </w:tcBorders>
            <w:noWrap w:val="0"/>
            <w:vAlign w:val="center"/>
          </w:tcPr>
          <w:p w14:paraId="2102FCC8">
            <w:pPr>
              <w:spacing w:line="24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水资源浪费、土壤盐渍化严重、盲目开荒、土壤环境质量下降、向塔河输水减少、输出农排水增多</w:t>
            </w:r>
          </w:p>
        </w:tc>
      </w:tr>
      <w:tr w14:paraId="45FB22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6" w:hRule="atLeast"/>
          <w:jc w:val="center"/>
        </w:trPr>
        <w:tc>
          <w:tcPr>
            <w:tcW w:w="1437" w:type="pct"/>
            <w:gridSpan w:val="2"/>
            <w:tcBorders>
              <w:tl2br w:val="nil"/>
              <w:tr2bl w:val="nil"/>
            </w:tcBorders>
            <w:noWrap w:val="0"/>
            <w:vAlign w:val="center"/>
          </w:tcPr>
          <w:p w14:paraId="125A8BDF">
            <w:pPr>
              <w:spacing w:line="240" w:lineRule="exact"/>
              <w:jc w:val="center"/>
              <w:rPr>
                <w:color w:val="auto"/>
                <w:sz w:val="21"/>
                <w:szCs w:val="21"/>
                <w:highlight w:val="none"/>
              </w:rPr>
            </w:pPr>
            <w:r>
              <w:rPr>
                <w:color w:val="auto"/>
                <w:sz w:val="21"/>
                <w:szCs w:val="21"/>
                <w:highlight w:val="none"/>
              </w:rPr>
              <w:t>生态敏感因子敏感程度</w:t>
            </w:r>
          </w:p>
        </w:tc>
        <w:tc>
          <w:tcPr>
            <w:tcW w:w="3562" w:type="pct"/>
            <w:tcBorders>
              <w:tl2br w:val="nil"/>
              <w:tr2bl w:val="nil"/>
            </w:tcBorders>
            <w:noWrap w:val="0"/>
            <w:vAlign w:val="center"/>
          </w:tcPr>
          <w:p w14:paraId="46C4BCA1">
            <w:pPr>
              <w:spacing w:line="2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生物多样性及其生境中度敏感，</w:t>
            </w:r>
            <w:r>
              <w:rPr>
                <w:rFonts w:hint="eastAsia" w:cs="Times New Roman"/>
                <w:color w:val="auto"/>
                <w:sz w:val="21"/>
                <w:szCs w:val="21"/>
                <w:highlight w:val="none"/>
                <w:lang w:val="en-US" w:eastAsia="zh-CN"/>
              </w:rPr>
              <w:t>土地沙漠化、土壤盐渍化高度敏感</w:t>
            </w:r>
          </w:p>
        </w:tc>
      </w:tr>
      <w:tr w14:paraId="11F7D8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2" w:hRule="atLeast"/>
          <w:jc w:val="center"/>
        </w:trPr>
        <w:tc>
          <w:tcPr>
            <w:tcW w:w="1437" w:type="pct"/>
            <w:gridSpan w:val="2"/>
            <w:tcBorders>
              <w:tl2br w:val="nil"/>
              <w:tr2bl w:val="nil"/>
            </w:tcBorders>
            <w:noWrap w:val="0"/>
            <w:vAlign w:val="center"/>
          </w:tcPr>
          <w:p w14:paraId="5550D464">
            <w:pPr>
              <w:spacing w:line="240" w:lineRule="exact"/>
              <w:jc w:val="center"/>
              <w:rPr>
                <w:color w:val="auto"/>
                <w:sz w:val="21"/>
                <w:szCs w:val="21"/>
                <w:highlight w:val="none"/>
              </w:rPr>
            </w:pPr>
            <w:r>
              <w:rPr>
                <w:color w:val="auto"/>
                <w:sz w:val="21"/>
                <w:szCs w:val="21"/>
                <w:highlight w:val="none"/>
              </w:rPr>
              <w:t>主要保护目标</w:t>
            </w:r>
          </w:p>
        </w:tc>
        <w:tc>
          <w:tcPr>
            <w:tcW w:w="3562" w:type="pct"/>
            <w:tcBorders>
              <w:tl2br w:val="nil"/>
              <w:tr2bl w:val="nil"/>
            </w:tcBorders>
            <w:noWrap w:val="0"/>
            <w:vAlign w:val="center"/>
          </w:tcPr>
          <w:p w14:paraId="4B45FE4A">
            <w:pPr>
              <w:spacing w:line="240" w:lineRule="exact"/>
              <w:jc w:val="center"/>
              <w:rPr>
                <w:rFonts w:hint="default" w:ascii="宋体" w:hAnsi="宋体" w:eastAsia="宋体" w:cs="宋体"/>
                <w:color w:val="auto"/>
                <w:sz w:val="21"/>
                <w:szCs w:val="21"/>
                <w:highlight w:val="none"/>
                <w:lang w:val="en-US" w:eastAsia="zh-CN"/>
              </w:rPr>
            </w:pPr>
            <w:r>
              <w:rPr>
                <w:rFonts w:ascii="宋体" w:hAnsi="宋体" w:eastAsia="宋体" w:cs="宋体"/>
                <w:color w:val="auto"/>
                <w:sz w:val="21"/>
                <w:szCs w:val="21"/>
                <w:highlight w:val="none"/>
              </w:rPr>
              <w:t>保护农田、保护</w:t>
            </w:r>
            <w:r>
              <w:rPr>
                <w:rFonts w:hint="eastAsia" w:ascii="宋体" w:hAnsi="宋体" w:cs="宋体"/>
                <w:color w:val="auto"/>
                <w:sz w:val="21"/>
                <w:szCs w:val="21"/>
                <w:highlight w:val="none"/>
                <w:lang w:val="en-US" w:eastAsia="zh-CN"/>
              </w:rPr>
              <w:t>河流水质、保护荒漠植被、保护土壤环境质量</w:t>
            </w:r>
          </w:p>
        </w:tc>
      </w:tr>
      <w:tr w14:paraId="336A5C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8" w:hRule="atLeast"/>
          <w:jc w:val="center"/>
        </w:trPr>
        <w:tc>
          <w:tcPr>
            <w:tcW w:w="1437" w:type="pct"/>
            <w:gridSpan w:val="2"/>
            <w:tcBorders>
              <w:tl2br w:val="nil"/>
              <w:tr2bl w:val="nil"/>
            </w:tcBorders>
            <w:noWrap w:val="0"/>
            <w:vAlign w:val="center"/>
          </w:tcPr>
          <w:p w14:paraId="0FF42CF1">
            <w:pPr>
              <w:spacing w:line="240" w:lineRule="exact"/>
              <w:jc w:val="center"/>
              <w:rPr>
                <w:color w:val="auto"/>
                <w:sz w:val="21"/>
                <w:szCs w:val="21"/>
                <w:highlight w:val="none"/>
              </w:rPr>
            </w:pPr>
            <w:r>
              <w:rPr>
                <w:color w:val="auto"/>
                <w:sz w:val="21"/>
                <w:szCs w:val="21"/>
                <w:highlight w:val="none"/>
              </w:rPr>
              <w:t>主要保护措施</w:t>
            </w:r>
          </w:p>
        </w:tc>
        <w:tc>
          <w:tcPr>
            <w:tcW w:w="3562" w:type="pct"/>
            <w:tcBorders>
              <w:tl2br w:val="nil"/>
              <w:tr2bl w:val="nil"/>
            </w:tcBorders>
            <w:noWrap w:val="0"/>
            <w:vAlign w:val="center"/>
          </w:tcPr>
          <w:p w14:paraId="4ACBB1E7">
            <w:pPr>
              <w:spacing w:line="240" w:lineRule="exact"/>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降低灌溉定额、大力开发地下水、完善防护林体系、减少向塔里木河农排水、防治农药地膜污染、防治城市工业污染</w:t>
            </w:r>
          </w:p>
        </w:tc>
      </w:tr>
      <w:tr w14:paraId="3FD9BE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1" w:hRule="atLeast"/>
          <w:jc w:val="center"/>
        </w:trPr>
        <w:tc>
          <w:tcPr>
            <w:tcW w:w="1437" w:type="pct"/>
            <w:gridSpan w:val="2"/>
            <w:tcBorders>
              <w:tl2br w:val="nil"/>
              <w:tr2bl w:val="nil"/>
            </w:tcBorders>
            <w:noWrap w:val="0"/>
            <w:vAlign w:val="center"/>
          </w:tcPr>
          <w:p w14:paraId="13284FC3">
            <w:pPr>
              <w:spacing w:line="240" w:lineRule="exact"/>
              <w:jc w:val="center"/>
              <w:rPr>
                <w:color w:val="auto"/>
                <w:sz w:val="21"/>
                <w:szCs w:val="21"/>
                <w:highlight w:val="none"/>
              </w:rPr>
            </w:pPr>
            <w:r>
              <w:rPr>
                <w:color w:val="auto"/>
                <w:sz w:val="21"/>
                <w:szCs w:val="21"/>
                <w:highlight w:val="none"/>
              </w:rPr>
              <w:t>适宜发展方向</w:t>
            </w:r>
          </w:p>
        </w:tc>
        <w:tc>
          <w:tcPr>
            <w:tcW w:w="3562" w:type="pct"/>
            <w:tcBorders>
              <w:tl2br w:val="nil"/>
              <w:tr2bl w:val="nil"/>
            </w:tcBorders>
            <w:noWrap w:val="0"/>
            <w:vAlign w:val="center"/>
          </w:tcPr>
          <w:p w14:paraId="27FD7FD2">
            <w:pPr>
              <w:spacing w:line="240" w:lineRule="exact"/>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发展优质高效农牧业和林果业，建设国家级优质棉基地和南疆粮食基地</w:t>
            </w:r>
          </w:p>
        </w:tc>
      </w:tr>
    </w:tbl>
    <w:p w14:paraId="0305BA6C">
      <w:pPr>
        <w:pStyle w:val="79"/>
        <w:bidi w:val="0"/>
        <w:rPr>
          <w:rFonts w:hint="eastAsia"/>
          <w:color w:val="auto"/>
          <w:lang w:val="en-US" w:eastAsia="zh-CN"/>
        </w:rPr>
        <w:sectPr>
          <w:pgSz w:w="11906"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AndChars" w:linePitch="316" w:charSpace="0"/>
        </w:sectPr>
      </w:pPr>
      <w:r>
        <w:rPr>
          <w:rFonts w:hint="default"/>
          <w:color w:val="auto"/>
          <w:lang w:val="en-US" w:eastAsia="zh-CN"/>
        </w:rPr>
        <w:t>由表可知，本评价区域属于</w:t>
      </w:r>
      <w:r>
        <w:rPr>
          <w:rFonts w:hint="eastAsia"/>
          <w:color w:val="auto"/>
          <w:lang w:val="en-US" w:eastAsia="zh-CN"/>
        </w:rPr>
        <w:t>“</w:t>
      </w:r>
      <w:r>
        <w:rPr>
          <w:rFonts w:hint="default"/>
          <w:color w:val="auto"/>
          <w:lang w:val="en-US" w:eastAsia="zh-CN"/>
        </w:rPr>
        <w:t>塔里木盆地暖荒漠及绿洲农业生态区，塔里木盆地西部、北部荒漠及绿洲农业生态亚区；阿克苏河冲积平原绿洲农业生态功能区</w:t>
      </w:r>
      <w:r>
        <w:rPr>
          <w:rFonts w:hint="eastAsia"/>
          <w:color w:val="auto"/>
          <w:lang w:val="en-US" w:eastAsia="zh-CN"/>
        </w:rPr>
        <w:t>”</w:t>
      </w:r>
      <w:r>
        <w:rPr>
          <w:rFonts w:hint="default"/>
          <w:color w:val="auto"/>
          <w:lang w:val="en-US" w:eastAsia="zh-CN"/>
        </w:rPr>
        <w:t>，主要生态服务功能分别为</w:t>
      </w:r>
      <w:r>
        <w:rPr>
          <w:rFonts w:hint="eastAsia"/>
          <w:color w:val="auto"/>
          <w:lang w:val="en-US" w:eastAsia="zh-CN"/>
        </w:rPr>
        <w:t>“</w:t>
      </w:r>
      <w:r>
        <w:rPr>
          <w:rFonts w:hint="default"/>
          <w:color w:val="auto"/>
          <w:lang w:val="en-US" w:eastAsia="zh-CN"/>
        </w:rPr>
        <w:t>农产品生产、荒漠化控制、塔里木河水源补给</w:t>
      </w:r>
      <w:r>
        <w:rPr>
          <w:rFonts w:hint="eastAsia"/>
          <w:color w:val="auto"/>
          <w:lang w:val="en-US" w:eastAsia="zh-CN"/>
        </w:rPr>
        <w:t>”</w:t>
      </w:r>
      <w:r>
        <w:rPr>
          <w:rFonts w:hint="default"/>
          <w:color w:val="auto"/>
          <w:lang w:val="en-US" w:eastAsia="zh-CN"/>
        </w:rPr>
        <w:t>。本项目新建井场</w:t>
      </w:r>
      <w:r>
        <w:rPr>
          <w:rFonts w:hint="eastAsia"/>
          <w:color w:val="auto"/>
          <w:lang w:val="en-US" w:eastAsia="zh-CN"/>
        </w:rPr>
        <w:t>、试采点</w:t>
      </w:r>
      <w:r>
        <w:rPr>
          <w:rFonts w:hint="default"/>
          <w:color w:val="auto"/>
          <w:lang w:val="en-US" w:eastAsia="zh-CN"/>
        </w:rPr>
        <w:t>占地面积小、管线占地为临时占地，施工具有临时性、短暂性特点，周围无水源补给区，通过控制占地范围和严格施工期环境管理、做好生态保护工作，在项目建设的过程中大力保护地表植被，减少水土流失，工程结束后及时对占地进行恢复，不会对占地区域土壤、动植物产生明显影响，符合区域生态服务功能定位</w:t>
      </w:r>
      <w:r>
        <w:rPr>
          <w:rFonts w:hint="eastAsia"/>
          <w:color w:val="auto"/>
          <w:lang w:val="en-US" w:eastAsia="zh-CN"/>
        </w:rPr>
        <w:t>。</w:t>
      </w:r>
    </w:p>
    <w:p w14:paraId="559E88B7">
      <w:pPr>
        <w:pStyle w:val="27"/>
        <w:rPr>
          <w:rFonts w:hint="eastAsia" w:eastAsia="宋体"/>
          <w:color w:val="auto"/>
          <w:lang w:eastAsia="zh-CN"/>
        </w:rPr>
      </w:pPr>
    </w:p>
    <w:p w14:paraId="52BAD2C9">
      <w:pPr>
        <w:pStyle w:val="27"/>
        <w:jc w:val="center"/>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图4.2-1    生态功能区划图</w:t>
      </w:r>
    </w:p>
    <w:p w14:paraId="7DFBA44C">
      <w:pPr>
        <w:keepNext w:val="0"/>
        <w:keepLines w:val="0"/>
        <w:pageBreakBefore w:val="0"/>
        <w:widowControl w:val="0"/>
        <w:kinsoku/>
        <w:wordWrap/>
        <w:overflowPunct/>
        <w:topLinePunct w:val="0"/>
        <w:autoSpaceDE/>
        <w:autoSpaceDN/>
        <w:bidi w:val="0"/>
        <w:adjustRightInd w:val="0"/>
        <w:snapToGrid w:val="0"/>
        <w:spacing w:line="360" w:lineRule="auto"/>
        <w:ind w:firstLine="528" w:firstLineChars="200"/>
        <w:textAlignment w:val="auto"/>
        <w:rPr>
          <w:rFonts w:hint="eastAsia" w:ascii="宋体" w:hAnsi="Times New Roman" w:eastAsia="宋体" w:cs="Times New Roman"/>
          <w:color w:val="auto"/>
          <w:spacing w:val="12"/>
          <w:kern w:val="0"/>
          <w:sz w:val="24"/>
          <w:szCs w:val="24"/>
          <w:highlight w:val="none"/>
          <w:lang w:val="en-US" w:eastAsia="zh-CN" w:bidi="ar-SA"/>
        </w:rPr>
        <w:sectPr>
          <w:pgSz w:w="16838" w:h="11906" w:orient="landscape"/>
          <w:pgMar w:top="1814" w:right="1474" w:bottom="1474" w:left="1474" w:header="850" w:footer="992" w:gutter="0"/>
          <w:pgBorders>
            <w:top w:val="none" w:sz="0" w:space="0"/>
            <w:left w:val="none" w:sz="0" w:space="0"/>
            <w:bottom w:val="none" w:sz="0" w:space="0"/>
            <w:right w:val="none" w:sz="0" w:space="0"/>
          </w:pgBorders>
          <w:pgNumType w:fmt="decimal"/>
          <w:cols w:space="0" w:num="1"/>
          <w:rtlGutter w:val="0"/>
          <w:docGrid w:type="linesAndChars" w:linePitch="316" w:charSpace="0"/>
        </w:sectPr>
      </w:pPr>
    </w:p>
    <w:p w14:paraId="64FF909F">
      <w:pPr>
        <w:pStyle w:val="54"/>
        <w:bidi w:val="0"/>
        <w:rPr>
          <w:rFonts w:hint="eastAsia"/>
          <w:color w:val="auto"/>
          <w:lang w:val="en-US" w:eastAsia="zh-CN"/>
        </w:rPr>
      </w:pPr>
      <w:r>
        <w:rPr>
          <w:rFonts w:hint="eastAsia"/>
          <w:color w:val="auto"/>
          <w:lang w:val="en-US" w:eastAsia="zh-CN"/>
        </w:rPr>
        <w:fldChar w:fldCharType="begin"/>
      </w:r>
      <w:r>
        <w:rPr>
          <w:rFonts w:hint="eastAsia"/>
          <w:color w:val="auto"/>
          <w:lang w:val="en-US" w:eastAsia="zh-CN"/>
        </w:rPr>
        <w:instrText xml:space="preserve"> HYPERLINK \l _Toc5772 </w:instrText>
      </w:r>
      <w:r>
        <w:rPr>
          <w:rFonts w:hint="eastAsia"/>
          <w:color w:val="auto"/>
          <w:lang w:val="en-US" w:eastAsia="zh-CN"/>
        </w:rPr>
        <w:fldChar w:fldCharType="separate"/>
      </w:r>
      <w:r>
        <w:rPr>
          <w:rFonts w:hint="eastAsia"/>
          <w:color w:val="auto"/>
          <w:lang w:val="en-US" w:eastAsia="zh-CN"/>
        </w:rPr>
        <w:t>4.2.3 生态系统调查与评价</w:t>
      </w:r>
      <w:r>
        <w:rPr>
          <w:rFonts w:hint="eastAsia"/>
          <w:color w:val="auto"/>
          <w:lang w:val="en-US" w:eastAsia="zh-CN"/>
        </w:rPr>
        <w:fldChar w:fldCharType="end"/>
      </w:r>
    </w:p>
    <w:p w14:paraId="7D89680C">
      <w:pPr>
        <w:pStyle w:val="79"/>
        <w:bidi w:val="0"/>
        <w:rPr>
          <w:rFonts w:hint="eastAsia"/>
          <w:color w:val="auto"/>
        </w:rPr>
      </w:pPr>
      <w:r>
        <w:rPr>
          <w:rFonts w:hint="eastAsia"/>
          <w:color w:val="auto"/>
        </w:rPr>
        <w:t>项目区生态系统</w:t>
      </w:r>
      <w:r>
        <w:rPr>
          <w:rFonts w:hint="eastAsia"/>
          <w:color w:val="auto"/>
          <w:lang w:val="en-US" w:eastAsia="zh-CN"/>
        </w:rPr>
        <w:t>为荒漠生态系统</w:t>
      </w:r>
      <w:r>
        <w:rPr>
          <w:rFonts w:hint="eastAsia"/>
          <w:color w:val="auto"/>
          <w:lang w:eastAsia="zh-CN"/>
        </w:rPr>
        <w:t>，</w:t>
      </w:r>
      <w:r>
        <w:rPr>
          <w:rFonts w:hint="eastAsia"/>
          <w:color w:val="auto"/>
          <w:lang w:val="en-US" w:eastAsia="zh-CN"/>
        </w:rPr>
        <w:t>以天然牧草地为主，地表荒漠植被生长相对旺盛，</w:t>
      </w:r>
      <w:r>
        <w:rPr>
          <w:rFonts w:hint="eastAsia"/>
          <w:color w:val="auto"/>
        </w:rPr>
        <w:t>生态系统结构简单。环境水分稀少是该生态系统的最基本环境特征。在气候上，评价区处于干旱地区，且降水随着季节不同分配不均匀。由于降水稀少和蒸散强烈，少量天然降水远不能满足植物生长发育所需要的水分，只有耐干旱的沙生植物才能得以生存，由此形成</w:t>
      </w:r>
      <w:r>
        <w:rPr>
          <w:rFonts w:hint="eastAsia"/>
          <w:color w:val="auto"/>
          <w:lang w:val="en-US" w:eastAsia="zh-CN"/>
        </w:rPr>
        <w:t>沙漠</w:t>
      </w:r>
      <w:r>
        <w:rPr>
          <w:rFonts w:hint="eastAsia"/>
          <w:color w:val="auto"/>
        </w:rPr>
        <w:t>生态景观。</w:t>
      </w:r>
      <w:r>
        <w:rPr>
          <w:rFonts w:hint="eastAsia"/>
          <w:color w:val="auto"/>
          <w:lang w:val="en-US" w:eastAsia="zh-CN"/>
        </w:rPr>
        <w:t>工程区内的生态环境十分脆弱，生态系统类型单一、稳定性较差、结构简单、环境异质性较低，系统受扰动后自我恢复的能力差。</w:t>
      </w:r>
    </w:p>
    <w:bookmarkEnd w:id="558"/>
    <w:bookmarkEnd w:id="559"/>
    <w:bookmarkEnd w:id="560"/>
    <w:p w14:paraId="5D4F306D">
      <w:pPr>
        <w:pStyle w:val="54"/>
        <w:bidi w:val="0"/>
        <w:rPr>
          <w:rFonts w:hint="default"/>
          <w:color w:val="auto"/>
          <w:lang w:val="en-US" w:eastAsia="zh-CN"/>
        </w:rPr>
      </w:pPr>
      <w:bookmarkStart w:id="561" w:name="_Toc353966741"/>
      <w:bookmarkStart w:id="562" w:name="_Toc361761833"/>
      <w:bookmarkStart w:id="563" w:name="_Toc14027"/>
      <w:bookmarkStart w:id="564" w:name="_Toc109382927"/>
      <w:bookmarkStart w:id="565" w:name="_Toc374724186"/>
      <w:bookmarkStart w:id="566" w:name="_Toc508291889"/>
      <w:r>
        <w:rPr>
          <w:rFonts w:hint="default"/>
          <w:color w:val="auto"/>
          <w:lang w:val="zh-CN"/>
        </w:rPr>
        <w:t>4.2.</w:t>
      </w:r>
      <w:r>
        <w:rPr>
          <w:rFonts w:hint="eastAsia"/>
          <w:color w:val="auto"/>
          <w:lang w:val="en-US" w:eastAsia="zh-CN"/>
        </w:rPr>
        <w:t xml:space="preserve">4 </w:t>
      </w:r>
      <w:r>
        <w:rPr>
          <w:rFonts w:hint="default"/>
          <w:color w:val="auto"/>
          <w:lang w:val="zh-CN"/>
        </w:rPr>
        <w:t>土地利用现状调查</w:t>
      </w:r>
      <w:r>
        <w:rPr>
          <w:rFonts w:hint="eastAsia"/>
          <w:color w:val="auto"/>
          <w:lang w:val="en-US" w:eastAsia="zh-CN"/>
        </w:rPr>
        <w:t>与评价</w:t>
      </w:r>
    </w:p>
    <w:p w14:paraId="0D0CC031">
      <w:pPr>
        <w:pStyle w:val="79"/>
        <w:bidi w:val="0"/>
        <w:rPr>
          <w:rFonts w:hint="default"/>
          <w:color w:val="auto"/>
        </w:rPr>
      </w:pPr>
      <w:r>
        <w:rPr>
          <w:rFonts w:hint="default"/>
          <w:color w:val="auto"/>
        </w:rPr>
        <w:t>本次土地利用现状调查的主要技术方法采用遥感数据分析和解译，即以高分辨率遥感影像为基础，采用图形叠加法对评价范围内的生态环境现状进行分析，并参照《土地利用现状分类》（GBT21010-2017），以确定评价范围内的土地利用类型，将成果绘制成土地利用现状图。同时选择有代表性的地物类型，建立遥感影像野外标志数据库，收集能反映区域土地利用特征的野外照片、录像资料，在实地踏勘和调查时进行野外核查。</w:t>
      </w:r>
    </w:p>
    <w:p w14:paraId="092ED168">
      <w:pPr>
        <w:pStyle w:val="79"/>
        <w:bidi w:val="0"/>
        <w:rPr>
          <w:rFonts w:hint="default"/>
          <w:color w:val="auto"/>
        </w:rPr>
      </w:pPr>
      <w:r>
        <w:rPr>
          <w:rFonts w:hint="default"/>
          <w:color w:val="auto"/>
        </w:rPr>
        <w:t>根据调查，评价区及占地范围内土地利用现状类型为天然牧草地，项目区内植被覆盖度在5</w:t>
      </w:r>
      <w:r>
        <w:rPr>
          <w:rFonts w:hint="eastAsia"/>
          <w:color w:val="auto"/>
          <w:lang w:eastAsia="zh-CN"/>
        </w:rPr>
        <w:t>%～</w:t>
      </w:r>
      <w:r>
        <w:rPr>
          <w:rFonts w:hint="default"/>
          <w:color w:val="auto"/>
        </w:rPr>
        <w:t>10%左右，少部分管线经过茂密区域可达15%</w:t>
      </w:r>
      <w:r>
        <w:rPr>
          <w:rFonts w:hint="eastAsia"/>
          <w:color w:val="auto"/>
          <w:lang w:eastAsia="zh-CN"/>
        </w:rPr>
        <w:t>，</w:t>
      </w:r>
      <w:r>
        <w:rPr>
          <w:rFonts w:hint="default"/>
          <w:color w:val="auto"/>
        </w:rPr>
        <w:t>土地现状以自然状态为主。</w:t>
      </w:r>
    </w:p>
    <w:p w14:paraId="3C3ACF62">
      <w:pPr>
        <w:pStyle w:val="79"/>
        <w:bidi w:val="0"/>
        <w:rPr>
          <w:rFonts w:hint="eastAsia"/>
          <w:color w:val="auto"/>
          <w:lang w:val="en-US" w:eastAsia="zh-CN"/>
        </w:rPr>
        <w:sectPr>
          <w:pgSz w:w="11906"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AndChars" w:linePitch="316" w:charSpace="0"/>
        </w:sectPr>
      </w:pPr>
      <w:r>
        <w:rPr>
          <w:rFonts w:hint="default"/>
          <w:color w:val="auto"/>
        </w:rPr>
        <w:t>评价区域土地利用现状</w:t>
      </w:r>
      <w:r>
        <w:rPr>
          <w:rFonts w:hint="eastAsia"/>
          <w:color w:val="auto"/>
          <w:lang w:eastAsia="zh-CN"/>
        </w:rPr>
        <w:t>，</w:t>
      </w:r>
      <w:r>
        <w:rPr>
          <w:rFonts w:hint="eastAsia"/>
          <w:color w:val="auto"/>
          <w:lang w:val="en-US" w:eastAsia="zh-CN"/>
        </w:rPr>
        <w:t>见图4.2-2。</w:t>
      </w:r>
    </w:p>
    <w:p w14:paraId="33853F99">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黑体" w:hAnsi="黑体" w:eastAsia="黑体" w:cs="黑体"/>
          <w:color w:val="auto"/>
          <w:sz w:val="24"/>
          <w:szCs w:val="24"/>
          <w:lang w:val="en-US" w:eastAsia="zh-CN"/>
        </w:rPr>
        <w:sectPr>
          <w:pgSz w:w="16838" w:h="11906" w:orient="landscape"/>
          <w:pgMar w:top="1814" w:right="1474" w:bottom="1474" w:left="1474" w:header="850" w:footer="992" w:gutter="0"/>
          <w:pgBorders>
            <w:top w:val="none" w:sz="0" w:space="0"/>
            <w:left w:val="none" w:sz="0" w:space="0"/>
            <w:bottom w:val="none" w:sz="0" w:space="0"/>
            <w:right w:val="none" w:sz="0" w:space="0"/>
          </w:pgBorders>
          <w:pgNumType w:fmt="decimal"/>
          <w:cols w:space="0" w:num="1"/>
          <w:rtlGutter w:val="0"/>
          <w:docGrid w:type="linesAndChars" w:linePitch="316" w:charSpace="0"/>
        </w:sectPr>
      </w:pPr>
      <w:r>
        <w:rPr>
          <w:rFonts w:hint="eastAsia" w:ascii="黑体" w:hAnsi="黑体" w:eastAsia="黑体" w:cs="黑体"/>
          <w:b/>
          <w:bCs w:val="0"/>
          <w:color w:val="auto"/>
          <w:kern w:val="2"/>
          <w:sz w:val="24"/>
          <w:szCs w:val="24"/>
          <w:lang w:val="en-US" w:eastAsia="zh-CN" w:bidi="ar-SA"/>
        </w:rPr>
        <w:t>图4.2-2  评价区域土地利用现状图</w:t>
      </w:r>
    </w:p>
    <w:p w14:paraId="0801F967">
      <w:pPr>
        <w:pStyle w:val="54"/>
        <w:bidi w:val="0"/>
        <w:rPr>
          <w:rFonts w:hint="default"/>
          <w:color w:val="auto"/>
          <w:lang w:val="zh-CN" w:eastAsia="zh-CN"/>
        </w:rPr>
      </w:pPr>
      <w:r>
        <w:rPr>
          <w:rFonts w:hint="default"/>
          <w:color w:val="auto"/>
          <w:lang w:val="zh-CN" w:eastAsia="zh-CN"/>
        </w:rPr>
        <w:t>4.2.</w:t>
      </w:r>
      <w:r>
        <w:rPr>
          <w:rFonts w:hint="eastAsia"/>
          <w:color w:val="auto"/>
          <w:lang w:val="en-US" w:eastAsia="zh-CN"/>
        </w:rPr>
        <w:t xml:space="preserve">5 </w:t>
      </w:r>
      <w:r>
        <w:rPr>
          <w:rFonts w:hint="default"/>
          <w:color w:val="auto"/>
          <w:lang w:val="zh-CN" w:eastAsia="zh-CN"/>
        </w:rPr>
        <w:t>植被现状调查及评价</w:t>
      </w:r>
    </w:p>
    <w:p w14:paraId="08045907">
      <w:pPr>
        <w:pStyle w:val="55"/>
        <w:bidi w:val="0"/>
        <w:rPr>
          <w:rFonts w:hint="default"/>
          <w:color w:val="auto"/>
          <w:lang w:val="en-US" w:eastAsia="zh-CN"/>
        </w:rPr>
      </w:pPr>
      <w:r>
        <w:rPr>
          <w:rFonts w:hint="default"/>
          <w:color w:val="auto"/>
          <w:lang w:val="zh-CN" w:eastAsia="zh-CN"/>
        </w:rPr>
        <w:t>4.2.</w:t>
      </w:r>
      <w:r>
        <w:rPr>
          <w:rFonts w:hint="eastAsia"/>
          <w:color w:val="auto"/>
          <w:lang w:val="en-US" w:eastAsia="zh-CN"/>
        </w:rPr>
        <w:t>5</w:t>
      </w:r>
      <w:r>
        <w:rPr>
          <w:rFonts w:hint="default"/>
          <w:color w:val="auto"/>
          <w:lang w:val="zh-CN" w:eastAsia="zh-CN"/>
        </w:rPr>
        <w:t>.1</w:t>
      </w:r>
      <w:r>
        <w:rPr>
          <w:rFonts w:hint="eastAsia"/>
          <w:color w:val="auto"/>
          <w:lang w:val="en-US" w:eastAsia="zh-CN"/>
        </w:rPr>
        <w:t xml:space="preserve"> </w:t>
      </w:r>
      <w:r>
        <w:rPr>
          <w:rFonts w:hint="default"/>
          <w:color w:val="auto"/>
          <w:lang w:val="en-US" w:eastAsia="zh-CN"/>
        </w:rPr>
        <w:t>评价区域植被类型</w:t>
      </w:r>
    </w:p>
    <w:p w14:paraId="61E50106">
      <w:pPr>
        <w:pStyle w:val="79"/>
        <w:bidi w:val="0"/>
        <w:rPr>
          <w:rFonts w:hint="default"/>
          <w:color w:val="auto"/>
        </w:rPr>
      </w:pPr>
      <w:r>
        <w:rPr>
          <w:rFonts w:hint="default"/>
          <w:color w:val="auto"/>
        </w:rPr>
        <w:t>按中国植被自然地理区系划分，</w:t>
      </w:r>
      <w:r>
        <w:rPr>
          <w:rFonts w:hint="eastAsia"/>
          <w:color w:val="auto"/>
          <w:lang w:eastAsia="zh-CN"/>
        </w:rPr>
        <w:t>油田</w:t>
      </w:r>
      <w:r>
        <w:rPr>
          <w:rFonts w:hint="default"/>
          <w:color w:val="auto"/>
        </w:rPr>
        <w:t>区域植被类型属于新疆荒漠区、南疆荒漠亚区、塔里木荒漠省、塔克拉玛干荒漠亚省、阿克苏</w:t>
      </w:r>
      <w:r>
        <w:rPr>
          <w:rFonts w:hint="eastAsia"/>
          <w:color w:val="auto"/>
          <w:lang w:eastAsia="zh-CN"/>
        </w:rPr>
        <w:t>－</w:t>
      </w:r>
      <w:r>
        <w:rPr>
          <w:rFonts w:hint="default"/>
          <w:color w:val="auto"/>
        </w:rPr>
        <w:t>库尔勒州。该区域的植被</w:t>
      </w:r>
      <w:r>
        <w:rPr>
          <w:rFonts w:hint="eastAsia"/>
          <w:color w:val="auto"/>
          <w:lang w:eastAsia="zh-CN"/>
        </w:rPr>
        <w:t>基本</w:t>
      </w:r>
      <w:r>
        <w:rPr>
          <w:rFonts w:hint="default"/>
          <w:color w:val="auto"/>
        </w:rPr>
        <w:t>属于荒漠类型的灌木、半灌木及小半灌木，在平原区扇缘带以耐盐碱的盐柴类植被为主。该区域的主要植被类型有：灌木荒漠、小半灌木荒漠、半灌木荒漠、多汁木本盐柴类荒漠等4种类型。</w:t>
      </w:r>
    </w:p>
    <w:p w14:paraId="0EE4D90C">
      <w:pPr>
        <w:pStyle w:val="79"/>
        <w:bidi w:val="0"/>
        <w:rPr>
          <w:rFonts w:hint="default"/>
          <w:color w:val="auto"/>
        </w:rPr>
      </w:pPr>
      <w:r>
        <w:rPr>
          <w:rFonts w:hint="default"/>
          <w:color w:val="auto"/>
        </w:rPr>
        <w:t>评价区高等植被有33种，分属10科（详见表4.2-2）。根据《国家重点保护野生植物名录》《新疆维吾尔自治区重点保护野生植物名录》，评价区无国家及自治区保护植物分布。</w:t>
      </w:r>
    </w:p>
    <w:p w14:paraId="38525073">
      <w:pPr>
        <w:pStyle w:val="61"/>
        <w:bidi w:val="0"/>
        <w:jc w:val="both"/>
        <w:rPr>
          <w:rFonts w:hint="default"/>
          <w:color w:val="auto"/>
          <w:lang w:val="en-US" w:eastAsia="zh-CN"/>
        </w:rPr>
      </w:pPr>
      <w:r>
        <w:rPr>
          <w:rFonts w:hint="default"/>
          <w:color w:val="auto"/>
          <w:lang w:val="en-US" w:eastAsia="zh-CN"/>
        </w:rPr>
        <w:t>表</w:t>
      </w:r>
      <w:r>
        <w:rPr>
          <w:rFonts w:hint="eastAsia"/>
          <w:color w:val="auto"/>
          <w:lang w:val="en-US" w:eastAsia="zh-CN"/>
        </w:rPr>
        <w:t>4.2-2</w:t>
      </w:r>
      <w:r>
        <w:rPr>
          <w:rFonts w:hint="default"/>
          <w:color w:val="auto"/>
          <w:lang w:val="en-US" w:eastAsia="zh-CN"/>
        </w:rPr>
        <w:t xml:space="preserve">           评价区主要高等植物名录</w:t>
      </w:r>
    </w:p>
    <w:tbl>
      <w:tblPr>
        <w:tblStyle w:val="36"/>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799"/>
        <w:gridCol w:w="2814"/>
        <w:gridCol w:w="3217"/>
      </w:tblGrid>
      <w:tr w14:paraId="245188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585" w:type="pct"/>
            <w:tcBorders>
              <w:tl2br w:val="nil"/>
              <w:tr2bl w:val="nil"/>
            </w:tcBorders>
            <w:noWrap w:val="0"/>
            <w:vAlign w:val="center"/>
          </w:tcPr>
          <w:p w14:paraId="08B76426">
            <w:pPr>
              <w:ind w:firstLine="361"/>
              <w:rPr>
                <w:rFonts w:hint="default" w:ascii="Times New Roman" w:hAnsi="Times New Roman" w:eastAsia="宋体" w:cs="Times New Roman"/>
                <w:i/>
                <w:color w:val="auto"/>
                <w:kern w:val="2"/>
                <w:sz w:val="18"/>
                <w:szCs w:val="18"/>
              </w:rPr>
            </w:pPr>
            <w:r>
              <w:rPr>
                <w:rFonts w:hint="default" w:ascii="Times New Roman" w:hAnsi="Times New Roman" w:eastAsia="宋体" w:cs="Times New Roman"/>
                <w:i/>
                <w:color w:val="auto"/>
                <w:kern w:val="2"/>
                <w:sz w:val="18"/>
                <w:szCs w:val="18"/>
              </w:rPr>
              <w:t>科</w:t>
            </w:r>
          </w:p>
        </w:tc>
        <w:tc>
          <w:tcPr>
            <w:tcW w:w="1593" w:type="pct"/>
            <w:tcBorders>
              <w:tl2br w:val="nil"/>
              <w:tr2bl w:val="nil"/>
            </w:tcBorders>
            <w:noWrap w:val="0"/>
            <w:vAlign w:val="top"/>
          </w:tcPr>
          <w:p w14:paraId="4DBB75B0">
            <w:pPr>
              <w:ind w:firstLine="361"/>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种名</w:t>
            </w:r>
          </w:p>
        </w:tc>
        <w:tc>
          <w:tcPr>
            <w:tcW w:w="1821" w:type="pct"/>
            <w:tcBorders>
              <w:tl2br w:val="nil"/>
              <w:tr2bl w:val="nil"/>
            </w:tcBorders>
            <w:noWrap w:val="0"/>
            <w:vAlign w:val="top"/>
          </w:tcPr>
          <w:p w14:paraId="74A818E6">
            <w:pPr>
              <w:ind w:firstLine="361"/>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拉丁名</w:t>
            </w:r>
          </w:p>
        </w:tc>
      </w:tr>
      <w:tr w14:paraId="349912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1585" w:type="pct"/>
            <w:tcBorders>
              <w:tl2br w:val="nil"/>
              <w:tr2bl w:val="nil"/>
            </w:tcBorders>
            <w:noWrap w:val="0"/>
            <w:vAlign w:val="center"/>
          </w:tcPr>
          <w:p w14:paraId="1141A444">
            <w:pPr>
              <w:ind w:firstLine="361"/>
              <w:rPr>
                <w:rFonts w:hint="default" w:ascii="Times New Roman" w:hAnsi="Times New Roman" w:eastAsia="宋体" w:cs="Times New Roman"/>
                <w:i/>
                <w:color w:val="auto"/>
                <w:kern w:val="2"/>
                <w:sz w:val="18"/>
                <w:szCs w:val="18"/>
              </w:rPr>
            </w:pPr>
            <w:r>
              <w:rPr>
                <w:rFonts w:hint="default" w:ascii="Times New Roman" w:hAnsi="Times New Roman" w:eastAsia="宋体" w:cs="Times New Roman"/>
                <w:i/>
                <w:color w:val="auto"/>
                <w:kern w:val="2"/>
                <w:sz w:val="18"/>
                <w:szCs w:val="18"/>
              </w:rPr>
              <w:t>杨柳科 Salicaceas</w:t>
            </w:r>
          </w:p>
        </w:tc>
        <w:tc>
          <w:tcPr>
            <w:tcW w:w="1593" w:type="pct"/>
            <w:tcBorders>
              <w:tl2br w:val="nil"/>
              <w:tr2bl w:val="nil"/>
            </w:tcBorders>
            <w:shd w:val="clear" w:color="auto" w:fill="auto"/>
            <w:noWrap w:val="0"/>
            <w:vAlign w:val="top"/>
          </w:tcPr>
          <w:p w14:paraId="437598DD">
            <w:pPr>
              <w:ind w:firstLine="361" w:firstLineChars="0"/>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rPr>
              <w:t>线叶柳</w:t>
            </w:r>
          </w:p>
        </w:tc>
        <w:tc>
          <w:tcPr>
            <w:tcW w:w="1821" w:type="pct"/>
            <w:tcBorders>
              <w:tl2br w:val="nil"/>
              <w:tr2bl w:val="nil"/>
            </w:tcBorders>
            <w:shd w:val="clear" w:color="auto" w:fill="auto"/>
            <w:noWrap w:val="0"/>
            <w:vAlign w:val="top"/>
          </w:tcPr>
          <w:p w14:paraId="069ECE75">
            <w:pPr>
              <w:ind w:firstLine="361" w:firstLineChars="0"/>
              <w:rPr>
                <w:rFonts w:hint="default" w:ascii="Times New Roman" w:hAnsi="Times New Roman" w:eastAsia="宋体" w:cs="Times New Roman"/>
                <w:i/>
                <w:color w:val="auto"/>
                <w:kern w:val="2"/>
                <w:sz w:val="18"/>
                <w:szCs w:val="18"/>
                <w:lang w:val="en-US" w:eastAsia="zh-CN" w:bidi="ar-SA"/>
              </w:rPr>
            </w:pPr>
            <w:r>
              <w:rPr>
                <w:rFonts w:hint="default" w:ascii="Times New Roman" w:hAnsi="Times New Roman" w:eastAsia="宋体" w:cs="Times New Roman"/>
                <w:i/>
                <w:color w:val="auto"/>
                <w:kern w:val="2"/>
                <w:sz w:val="18"/>
                <w:szCs w:val="18"/>
              </w:rPr>
              <w:t>Salix wilhelmsiana</w:t>
            </w:r>
          </w:p>
        </w:tc>
      </w:tr>
      <w:tr w14:paraId="7BC832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1585" w:type="pct"/>
            <w:vMerge w:val="restart"/>
            <w:tcBorders>
              <w:tl2br w:val="nil"/>
              <w:tr2bl w:val="nil"/>
            </w:tcBorders>
            <w:noWrap w:val="0"/>
            <w:vAlign w:val="center"/>
          </w:tcPr>
          <w:p w14:paraId="6A89821C">
            <w:pPr>
              <w:ind w:firstLine="361"/>
              <w:rPr>
                <w:rFonts w:hint="default" w:ascii="Times New Roman" w:hAnsi="Times New Roman" w:eastAsia="宋体" w:cs="Times New Roman"/>
                <w:i/>
                <w:color w:val="auto"/>
                <w:kern w:val="2"/>
                <w:sz w:val="18"/>
                <w:szCs w:val="18"/>
              </w:rPr>
            </w:pPr>
            <w:r>
              <w:rPr>
                <w:rFonts w:hint="default" w:ascii="Times New Roman" w:hAnsi="Times New Roman" w:eastAsia="宋体" w:cs="Times New Roman"/>
                <w:i/>
                <w:color w:val="auto"/>
                <w:kern w:val="2"/>
                <w:sz w:val="18"/>
                <w:szCs w:val="18"/>
              </w:rPr>
              <w:t>蓼科 Polygonaceae</w:t>
            </w:r>
          </w:p>
        </w:tc>
        <w:tc>
          <w:tcPr>
            <w:tcW w:w="1593" w:type="pct"/>
            <w:tcBorders>
              <w:tl2br w:val="nil"/>
              <w:tr2bl w:val="nil"/>
            </w:tcBorders>
            <w:noWrap w:val="0"/>
            <w:vAlign w:val="top"/>
          </w:tcPr>
          <w:p w14:paraId="6171C58C">
            <w:pPr>
              <w:ind w:firstLine="361"/>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沙拐枣</w:t>
            </w:r>
          </w:p>
        </w:tc>
        <w:tc>
          <w:tcPr>
            <w:tcW w:w="1821" w:type="pct"/>
            <w:tcBorders>
              <w:tl2br w:val="nil"/>
              <w:tr2bl w:val="nil"/>
            </w:tcBorders>
            <w:noWrap w:val="0"/>
            <w:vAlign w:val="top"/>
          </w:tcPr>
          <w:p w14:paraId="3060E19E">
            <w:pPr>
              <w:ind w:firstLine="361"/>
              <w:rPr>
                <w:rFonts w:hint="default" w:ascii="Times New Roman" w:hAnsi="Times New Roman" w:eastAsia="宋体" w:cs="Times New Roman"/>
                <w:i/>
                <w:color w:val="auto"/>
                <w:kern w:val="2"/>
                <w:sz w:val="18"/>
                <w:szCs w:val="18"/>
              </w:rPr>
            </w:pPr>
            <w:r>
              <w:rPr>
                <w:rFonts w:hint="default" w:ascii="Times New Roman" w:hAnsi="Times New Roman" w:eastAsia="宋体" w:cs="Times New Roman"/>
                <w:i/>
                <w:color w:val="auto"/>
                <w:kern w:val="2"/>
                <w:sz w:val="18"/>
                <w:szCs w:val="18"/>
              </w:rPr>
              <w:t>Calligonum mongolicunl</w:t>
            </w:r>
          </w:p>
        </w:tc>
      </w:tr>
      <w:tr w14:paraId="036C18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1585" w:type="pct"/>
            <w:vMerge w:val="continue"/>
            <w:tcBorders>
              <w:tl2br w:val="nil"/>
              <w:tr2bl w:val="nil"/>
            </w:tcBorders>
            <w:noWrap w:val="0"/>
            <w:vAlign w:val="center"/>
          </w:tcPr>
          <w:p w14:paraId="279040A5">
            <w:pPr>
              <w:ind w:firstLine="361"/>
              <w:rPr>
                <w:rFonts w:hint="default" w:ascii="Times New Roman" w:hAnsi="Times New Roman" w:eastAsia="宋体" w:cs="Times New Roman"/>
                <w:i/>
                <w:color w:val="auto"/>
                <w:kern w:val="2"/>
                <w:sz w:val="18"/>
                <w:szCs w:val="18"/>
              </w:rPr>
            </w:pPr>
          </w:p>
        </w:tc>
        <w:tc>
          <w:tcPr>
            <w:tcW w:w="1593" w:type="pct"/>
            <w:tcBorders>
              <w:tl2br w:val="nil"/>
              <w:tr2bl w:val="nil"/>
            </w:tcBorders>
            <w:noWrap w:val="0"/>
            <w:vAlign w:val="top"/>
          </w:tcPr>
          <w:p w14:paraId="704A74B7">
            <w:pPr>
              <w:ind w:firstLine="361"/>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盐穂木</w:t>
            </w:r>
          </w:p>
        </w:tc>
        <w:tc>
          <w:tcPr>
            <w:tcW w:w="1821" w:type="pct"/>
            <w:tcBorders>
              <w:tl2br w:val="nil"/>
              <w:tr2bl w:val="nil"/>
            </w:tcBorders>
            <w:noWrap w:val="0"/>
            <w:vAlign w:val="top"/>
          </w:tcPr>
          <w:p w14:paraId="33CE32EE">
            <w:pPr>
              <w:ind w:firstLine="361"/>
              <w:rPr>
                <w:rFonts w:hint="default" w:ascii="Times New Roman" w:hAnsi="Times New Roman" w:eastAsia="宋体" w:cs="Times New Roman"/>
                <w:i/>
                <w:color w:val="auto"/>
                <w:kern w:val="2"/>
                <w:sz w:val="18"/>
                <w:szCs w:val="18"/>
              </w:rPr>
            </w:pPr>
            <w:r>
              <w:rPr>
                <w:rFonts w:hint="default" w:ascii="Times New Roman" w:hAnsi="Times New Roman" w:eastAsia="宋体" w:cs="Times New Roman"/>
                <w:i/>
                <w:color w:val="auto"/>
                <w:kern w:val="2"/>
                <w:sz w:val="18"/>
                <w:szCs w:val="18"/>
              </w:rPr>
              <w:t>Halostachys caspica</w:t>
            </w:r>
          </w:p>
        </w:tc>
      </w:tr>
      <w:tr w14:paraId="742F31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25" w:hRule="atLeast"/>
          <w:jc w:val="center"/>
        </w:trPr>
        <w:tc>
          <w:tcPr>
            <w:tcW w:w="1585" w:type="pct"/>
            <w:vMerge w:val="restart"/>
            <w:tcBorders>
              <w:tl2br w:val="nil"/>
              <w:tr2bl w:val="nil"/>
            </w:tcBorders>
            <w:noWrap w:val="0"/>
            <w:vAlign w:val="center"/>
          </w:tcPr>
          <w:p w14:paraId="104F8B0F">
            <w:pPr>
              <w:ind w:firstLine="361"/>
              <w:rPr>
                <w:rFonts w:hint="default" w:ascii="Times New Roman" w:hAnsi="Times New Roman" w:eastAsia="宋体" w:cs="Times New Roman"/>
                <w:i/>
                <w:color w:val="auto"/>
                <w:kern w:val="2"/>
                <w:sz w:val="18"/>
                <w:szCs w:val="18"/>
              </w:rPr>
            </w:pPr>
            <w:r>
              <w:rPr>
                <w:rFonts w:hint="default" w:ascii="Times New Roman" w:hAnsi="Times New Roman" w:eastAsia="宋体" w:cs="Times New Roman"/>
                <w:i/>
                <w:color w:val="auto"/>
                <w:kern w:val="2"/>
                <w:sz w:val="18"/>
                <w:szCs w:val="18"/>
              </w:rPr>
              <w:t>藜科 Chenopodiaccae</w:t>
            </w:r>
          </w:p>
        </w:tc>
        <w:tc>
          <w:tcPr>
            <w:tcW w:w="1593" w:type="pct"/>
            <w:tcBorders>
              <w:tl2br w:val="nil"/>
              <w:tr2bl w:val="nil"/>
            </w:tcBorders>
            <w:noWrap w:val="0"/>
            <w:vAlign w:val="top"/>
          </w:tcPr>
          <w:p w14:paraId="16E735D5">
            <w:pPr>
              <w:ind w:firstLine="361"/>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圆叶盐爪爪</w:t>
            </w:r>
          </w:p>
        </w:tc>
        <w:tc>
          <w:tcPr>
            <w:tcW w:w="1821" w:type="pct"/>
            <w:tcBorders>
              <w:tl2br w:val="nil"/>
              <w:tr2bl w:val="nil"/>
            </w:tcBorders>
            <w:noWrap w:val="0"/>
            <w:vAlign w:val="top"/>
          </w:tcPr>
          <w:p w14:paraId="11C233C0">
            <w:pPr>
              <w:ind w:firstLine="361"/>
              <w:rPr>
                <w:rFonts w:hint="default" w:ascii="Times New Roman" w:hAnsi="Times New Roman" w:eastAsia="宋体" w:cs="Times New Roman"/>
                <w:i/>
                <w:color w:val="auto"/>
                <w:kern w:val="2"/>
                <w:sz w:val="18"/>
                <w:szCs w:val="18"/>
              </w:rPr>
            </w:pPr>
            <w:r>
              <w:rPr>
                <w:rFonts w:hint="default" w:ascii="Times New Roman" w:hAnsi="Times New Roman" w:eastAsia="宋体" w:cs="Times New Roman"/>
                <w:i/>
                <w:color w:val="auto"/>
                <w:kern w:val="2"/>
                <w:sz w:val="18"/>
                <w:szCs w:val="18"/>
              </w:rPr>
              <w:t>Kalidium schrenkianum</w:t>
            </w:r>
          </w:p>
        </w:tc>
      </w:tr>
      <w:tr w14:paraId="010834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25" w:hRule="atLeast"/>
          <w:jc w:val="center"/>
        </w:trPr>
        <w:tc>
          <w:tcPr>
            <w:tcW w:w="1585" w:type="pct"/>
            <w:vMerge w:val="continue"/>
            <w:tcBorders>
              <w:tl2br w:val="nil"/>
              <w:tr2bl w:val="nil"/>
            </w:tcBorders>
            <w:noWrap w:val="0"/>
            <w:vAlign w:val="center"/>
          </w:tcPr>
          <w:p w14:paraId="1E4FA543">
            <w:pPr>
              <w:ind w:firstLine="361"/>
              <w:rPr>
                <w:rFonts w:hint="default" w:ascii="Times New Roman" w:hAnsi="Times New Roman" w:eastAsia="宋体" w:cs="Times New Roman"/>
                <w:i/>
                <w:color w:val="auto"/>
                <w:kern w:val="2"/>
                <w:sz w:val="18"/>
                <w:szCs w:val="18"/>
              </w:rPr>
            </w:pPr>
          </w:p>
        </w:tc>
        <w:tc>
          <w:tcPr>
            <w:tcW w:w="1593" w:type="pct"/>
            <w:tcBorders>
              <w:tl2br w:val="nil"/>
              <w:tr2bl w:val="nil"/>
            </w:tcBorders>
            <w:noWrap w:val="0"/>
            <w:vAlign w:val="top"/>
          </w:tcPr>
          <w:p w14:paraId="1EBB4DEB">
            <w:pPr>
              <w:ind w:firstLine="361"/>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盐节木</w:t>
            </w:r>
          </w:p>
        </w:tc>
        <w:tc>
          <w:tcPr>
            <w:tcW w:w="1821" w:type="pct"/>
            <w:tcBorders>
              <w:tl2br w:val="nil"/>
              <w:tr2bl w:val="nil"/>
            </w:tcBorders>
            <w:noWrap w:val="0"/>
            <w:vAlign w:val="top"/>
          </w:tcPr>
          <w:p w14:paraId="019723C2">
            <w:pPr>
              <w:ind w:firstLine="361"/>
              <w:rPr>
                <w:rFonts w:hint="default" w:ascii="Times New Roman" w:hAnsi="Times New Roman" w:eastAsia="宋体" w:cs="Times New Roman"/>
                <w:i/>
                <w:color w:val="auto"/>
                <w:kern w:val="2"/>
                <w:sz w:val="18"/>
                <w:szCs w:val="18"/>
              </w:rPr>
            </w:pPr>
            <w:r>
              <w:rPr>
                <w:rFonts w:hint="default" w:ascii="Times New Roman" w:hAnsi="Times New Roman" w:eastAsia="宋体" w:cs="Times New Roman"/>
                <w:i/>
                <w:color w:val="auto"/>
                <w:kern w:val="2"/>
                <w:sz w:val="18"/>
                <w:szCs w:val="18"/>
              </w:rPr>
              <w:t>Halocnemum strobilaceum</w:t>
            </w:r>
          </w:p>
        </w:tc>
      </w:tr>
      <w:tr w14:paraId="2FD601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10" w:hRule="atLeast"/>
          <w:jc w:val="center"/>
        </w:trPr>
        <w:tc>
          <w:tcPr>
            <w:tcW w:w="1585" w:type="pct"/>
            <w:vMerge w:val="continue"/>
            <w:tcBorders>
              <w:tl2br w:val="nil"/>
              <w:tr2bl w:val="nil"/>
            </w:tcBorders>
            <w:noWrap w:val="0"/>
            <w:vAlign w:val="center"/>
          </w:tcPr>
          <w:p w14:paraId="23C86E69">
            <w:pPr>
              <w:ind w:firstLine="361"/>
              <w:rPr>
                <w:rFonts w:hint="default" w:ascii="Times New Roman" w:hAnsi="Times New Roman" w:eastAsia="宋体" w:cs="Times New Roman"/>
                <w:i/>
                <w:color w:val="auto"/>
                <w:kern w:val="2"/>
                <w:sz w:val="18"/>
                <w:szCs w:val="18"/>
              </w:rPr>
            </w:pPr>
          </w:p>
        </w:tc>
        <w:tc>
          <w:tcPr>
            <w:tcW w:w="1593" w:type="pct"/>
            <w:tcBorders>
              <w:tl2br w:val="nil"/>
              <w:tr2bl w:val="nil"/>
            </w:tcBorders>
            <w:noWrap w:val="0"/>
            <w:vAlign w:val="top"/>
          </w:tcPr>
          <w:p w14:paraId="74358D1F">
            <w:pPr>
              <w:ind w:firstLine="361"/>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刺蓬</w:t>
            </w:r>
          </w:p>
        </w:tc>
        <w:tc>
          <w:tcPr>
            <w:tcW w:w="1821" w:type="pct"/>
            <w:tcBorders>
              <w:tl2br w:val="nil"/>
              <w:tr2bl w:val="nil"/>
            </w:tcBorders>
            <w:noWrap w:val="0"/>
            <w:vAlign w:val="top"/>
          </w:tcPr>
          <w:p w14:paraId="64BB7932">
            <w:pPr>
              <w:ind w:firstLine="361"/>
              <w:rPr>
                <w:rFonts w:hint="default" w:ascii="Times New Roman" w:hAnsi="Times New Roman" w:eastAsia="宋体" w:cs="Times New Roman"/>
                <w:i/>
                <w:color w:val="auto"/>
                <w:kern w:val="2"/>
                <w:sz w:val="18"/>
                <w:szCs w:val="18"/>
              </w:rPr>
            </w:pPr>
            <w:r>
              <w:rPr>
                <w:rFonts w:hint="default" w:ascii="Times New Roman" w:hAnsi="Times New Roman" w:eastAsia="宋体" w:cs="Times New Roman"/>
                <w:i/>
                <w:color w:val="auto"/>
                <w:kern w:val="2"/>
                <w:sz w:val="18"/>
                <w:szCs w:val="18"/>
              </w:rPr>
              <w:t>Sallsola pestifer</w:t>
            </w:r>
          </w:p>
        </w:tc>
      </w:tr>
      <w:tr w14:paraId="1E4D65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10" w:hRule="atLeast"/>
          <w:jc w:val="center"/>
        </w:trPr>
        <w:tc>
          <w:tcPr>
            <w:tcW w:w="1585" w:type="pct"/>
            <w:vMerge w:val="continue"/>
            <w:tcBorders>
              <w:tl2br w:val="nil"/>
              <w:tr2bl w:val="nil"/>
            </w:tcBorders>
            <w:noWrap w:val="0"/>
            <w:vAlign w:val="center"/>
          </w:tcPr>
          <w:p w14:paraId="531FCE98">
            <w:pPr>
              <w:ind w:firstLine="361"/>
              <w:rPr>
                <w:rFonts w:hint="default" w:ascii="Times New Roman" w:hAnsi="Times New Roman" w:eastAsia="宋体" w:cs="Times New Roman"/>
                <w:i/>
                <w:color w:val="auto"/>
                <w:kern w:val="2"/>
                <w:sz w:val="18"/>
                <w:szCs w:val="18"/>
              </w:rPr>
            </w:pPr>
          </w:p>
        </w:tc>
        <w:tc>
          <w:tcPr>
            <w:tcW w:w="1593" w:type="pct"/>
            <w:tcBorders>
              <w:tl2br w:val="nil"/>
              <w:tr2bl w:val="nil"/>
            </w:tcBorders>
            <w:noWrap w:val="0"/>
            <w:vAlign w:val="top"/>
          </w:tcPr>
          <w:p w14:paraId="0F9AC4E1">
            <w:pPr>
              <w:ind w:firstLine="361"/>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细叶虫实</w:t>
            </w:r>
          </w:p>
        </w:tc>
        <w:tc>
          <w:tcPr>
            <w:tcW w:w="1821" w:type="pct"/>
            <w:tcBorders>
              <w:tl2br w:val="nil"/>
              <w:tr2bl w:val="nil"/>
            </w:tcBorders>
            <w:noWrap w:val="0"/>
            <w:vAlign w:val="top"/>
          </w:tcPr>
          <w:p w14:paraId="25C0796B">
            <w:pPr>
              <w:ind w:firstLine="361"/>
              <w:rPr>
                <w:rFonts w:hint="default" w:ascii="Times New Roman" w:hAnsi="Times New Roman" w:eastAsia="宋体" w:cs="Times New Roman"/>
                <w:i/>
                <w:color w:val="auto"/>
                <w:kern w:val="2"/>
                <w:sz w:val="18"/>
                <w:szCs w:val="18"/>
              </w:rPr>
            </w:pPr>
            <w:r>
              <w:rPr>
                <w:rFonts w:hint="default" w:ascii="Times New Roman" w:hAnsi="Times New Roman" w:eastAsia="宋体" w:cs="Times New Roman"/>
                <w:i/>
                <w:color w:val="auto"/>
                <w:kern w:val="2"/>
                <w:sz w:val="18"/>
                <w:szCs w:val="18"/>
              </w:rPr>
              <w:t>Corispormum heptapotamicum</w:t>
            </w:r>
          </w:p>
        </w:tc>
      </w:tr>
      <w:tr w14:paraId="5A8399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95" w:hRule="atLeast"/>
          <w:jc w:val="center"/>
        </w:trPr>
        <w:tc>
          <w:tcPr>
            <w:tcW w:w="1585" w:type="pct"/>
            <w:vMerge w:val="continue"/>
            <w:tcBorders>
              <w:tl2br w:val="nil"/>
              <w:tr2bl w:val="nil"/>
            </w:tcBorders>
            <w:noWrap w:val="0"/>
            <w:vAlign w:val="center"/>
          </w:tcPr>
          <w:p w14:paraId="3300B81F">
            <w:pPr>
              <w:ind w:firstLine="361"/>
              <w:rPr>
                <w:rFonts w:hint="default" w:ascii="Times New Roman" w:hAnsi="Times New Roman" w:eastAsia="宋体" w:cs="Times New Roman"/>
                <w:i/>
                <w:color w:val="auto"/>
                <w:kern w:val="2"/>
                <w:sz w:val="18"/>
                <w:szCs w:val="18"/>
              </w:rPr>
            </w:pPr>
          </w:p>
        </w:tc>
        <w:tc>
          <w:tcPr>
            <w:tcW w:w="1593" w:type="pct"/>
            <w:tcBorders>
              <w:tl2br w:val="nil"/>
              <w:tr2bl w:val="nil"/>
            </w:tcBorders>
            <w:noWrap w:val="0"/>
            <w:vAlign w:val="top"/>
          </w:tcPr>
          <w:p w14:paraId="0024B098">
            <w:pPr>
              <w:ind w:firstLine="361"/>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星状刺果藜</w:t>
            </w:r>
          </w:p>
        </w:tc>
        <w:tc>
          <w:tcPr>
            <w:tcW w:w="1821" w:type="pct"/>
            <w:tcBorders>
              <w:tl2br w:val="nil"/>
              <w:tr2bl w:val="nil"/>
            </w:tcBorders>
            <w:noWrap w:val="0"/>
            <w:vAlign w:val="top"/>
          </w:tcPr>
          <w:p w14:paraId="20C469A6">
            <w:pPr>
              <w:ind w:firstLine="361"/>
              <w:rPr>
                <w:rFonts w:hint="default" w:ascii="Times New Roman" w:hAnsi="Times New Roman" w:eastAsia="宋体" w:cs="Times New Roman"/>
                <w:i/>
                <w:color w:val="auto"/>
                <w:kern w:val="2"/>
                <w:sz w:val="18"/>
                <w:szCs w:val="18"/>
              </w:rPr>
            </w:pPr>
            <w:r>
              <w:rPr>
                <w:rFonts w:hint="default" w:ascii="Times New Roman" w:hAnsi="Times New Roman" w:eastAsia="宋体" w:cs="Times New Roman"/>
                <w:i/>
                <w:color w:val="auto"/>
                <w:kern w:val="2"/>
                <w:sz w:val="18"/>
                <w:szCs w:val="18"/>
              </w:rPr>
              <w:t>Bassia dasyphylla</w:t>
            </w:r>
          </w:p>
        </w:tc>
      </w:tr>
      <w:tr w14:paraId="4014B4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0" w:hRule="atLeast"/>
          <w:jc w:val="center"/>
        </w:trPr>
        <w:tc>
          <w:tcPr>
            <w:tcW w:w="1585" w:type="pct"/>
            <w:vMerge w:val="continue"/>
            <w:tcBorders>
              <w:tl2br w:val="nil"/>
              <w:tr2bl w:val="nil"/>
            </w:tcBorders>
            <w:noWrap w:val="0"/>
            <w:vAlign w:val="center"/>
          </w:tcPr>
          <w:p w14:paraId="38F76D3D">
            <w:pPr>
              <w:ind w:firstLine="361"/>
              <w:rPr>
                <w:rFonts w:hint="default" w:ascii="Times New Roman" w:hAnsi="Times New Roman" w:eastAsia="宋体" w:cs="Times New Roman"/>
                <w:i/>
                <w:color w:val="auto"/>
                <w:kern w:val="2"/>
                <w:sz w:val="18"/>
                <w:szCs w:val="18"/>
              </w:rPr>
            </w:pPr>
          </w:p>
        </w:tc>
        <w:tc>
          <w:tcPr>
            <w:tcW w:w="1593" w:type="pct"/>
            <w:tcBorders>
              <w:tl2br w:val="nil"/>
              <w:tr2bl w:val="nil"/>
            </w:tcBorders>
            <w:noWrap w:val="0"/>
            <w:vAlign w:val="top"/>
          </w:tcPr>
          <w:p w14:paraId="5ECB6334">
            <w:pPr>
              <w:ind w:firstLine="361"/>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假木贼</w:t>
            </w:r>
          </w:p>
        </w:tc>
        <w:tc>
          <w:tcPr>
            <w:tcW w:w="1821" w:type="pct"/>
            <w:tcBorders>
              <w:tl2br w:val="nil"/>
              <w:tr2bl w:val="nil"/>
            </w:tcBorders>
            <w:noWrap w:val="0"/>
            <w:vAlign w:val="top"/>
          </w:tcPr>
          <w:p w14:paraId="73E73228">
            <w:pPr>
              <w:ind w:firstLine="361"/>
              <w:rPr>
                <w:rFonts w:hint="default" w:ascii="Times New Roman" w:hAnsi="Times New Roman" w:eastAsia="宋体" w:cs="Times New Roman"/>
                <w:i/>
                <w:color w:val="auto"/>
                <w:kern w:val="2"/>
                <w:sz w:val="18"/>
                <w:szCs w:val="18"/>
              </w:rPr>
            </w:pPr>
            <w:r>
              <w:rPr>
                <w:rFonts w:hint="default" w:ascii="Times New Roman" w:hAnsi="Times New Roman" w:eastAsia="宋体" w:cs="Times New Roman"/>
                <w:i/>
                <w:color w:val="auto"/>
                <w:kern w:val="2"/>
                <w:sz w:val="18"/>
                <w:szCs w:val="18"/>
              </w:rPr>
              <w:t>Anabasis aphylla</w:t>
            </w:r>
          </w:p>
        </w:tc>
      </w:tr>
      <w:tr w14:paraId="39677F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65" w:hRule="atLeast"/>
          <w:jc w:val="center"/>
        </w:trPr>
        <w:tc>
          <w:tcPr>
            <w:tcW w:w="1585" w:type="pct"/>
            <w:vMerge w:val="restart"/>
            <w:tcBorders>
              <w:tl2br w:val="nil"/>
              <w:tr2bl w:val="nil"/>
            </w:tcBorders>
            <w:noWrap w:val="0"/>
            <w:vAlign w:val="center"/>
          </w:tcPr>
          <w:p w14:paraId="469A396C">
            <w:pPr>
              <w:ind w:firstLine="361"/>
              <w:rPr>
                <w:rFonts w:hint="default" w:ascii="Times New Roman" w:hAnsi="Times New Roman" w:eastAsia="宋体" w:cs="Times New Roman"/>
                <w:i/>
                <w:color w:val="auto"/>
                <w:kern w:val="2"/>
                <w:sz w:val="18"/>
                <w:szCs w:val="18"/>
              </w:rPr>
            </w:pPr>
            <w:r>
              <w:rPr>
                <w:rFonts w:hint="default" w:ascii="Times New Roman" w:hAnsi="Times New Roman" w:eastAsia="宋体" w:cs="Times New Roman"/>
                <w:i/>
                <w:color w:val="auto"/>
                <w:kern w:val="2"/>
                <w:sz w:val="18"/>
                <w:szCs w:val="18"/>
              </w:rPr>
              <w:t>豆科 Leguminosae</w:t>
            </w:r>
          </w:p>
        </w:tc>
        <w:tc>
          <w:tcPr>
            <w:tcW w:w="1593" w:type="pct"/>
            <w:tcBorders>
              <w:tl2br w:val="nil"/>
              <w:tr2bl w:val="nil"/>
            </w:tcBorders>
            <w:noWrap w:val="0"/>
            <w:vAlign w:val="top"/>
          </w:tcPr>
          <w:p w14:paraId="4ABFEFC0">
            <w:pPr>
              <w:ind w:firstLine="361"/>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铃铛刺</w:t>
            </w:r>
          </w:p>
        </w:tc>
        <w:tc>
          <w:tcPr>
            <w:tcW w:w="1821" w:type="pct"/>
            <w:tcBorders>
              <w:tl2br w:val="nil"/>
              <w:tr2bl w:val="nil"/>
            </w:tcBorders>
            <w:noWrap w:val="0"/>
            <w:vAlign w:val="top"/>
          </w:tcPr>
          <w:p w14:paraId="5D26A253">
            <w:pPr>
              <w:ind w:firstLine="361"/>
              <w:rPr>
                <w:rFonts w:hint="default" w:ascii="Times New Roman" w:hAnsi="Times New Roman" w:eastAsia="宋体" w:cs="Times New Roman"/>
                <w:i/>
                <w:color w:val="auto"/>
                <w:kern w:val="2"/>
                <w:sz w:val="18"/>
                <w:szCs w:val="18"/>
              </w:rPr>
            </w:pPr>
            <w:r>
              <w:rPr>
                <w:rFonts w:hint="default" w:ascii="Times New Roman" w:hAnsi="Times New Roman" w:eastAsia="宋体" w:cs="Times New Roman"/>
                <w:i/>
                <w:color w:val="auto"/>
                <w:kern w:val="2"/>
                <w:sz w:val="18"/>
                <w:szCs w:val="18"/>
              </w:rPr>
              <w:t>Halimodendron halodendron</w:t>
            </w:r>
          </w:p>
        </w:tc>
      </w:tr>
      <w:tr w14:paraId="49EAA6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50" w:hRule="atLeast"/>
          <w:jc w:val="center"/>
        </w:trPr>
        <w:tc>
          <w:tcPr>
            <w:tcW w:w="1585" w:type="pct"/>
            <w:vMerge w:val="continue"/>
            <w:tcBorders>
              <w:tl2br w:val="nil"/>
              <w:tr2bl w:val="nil"/>
            </w:tcBorders>
            <w:noWrap w:val="0"/>
            <w:vAlign w:val="center"/>
          </w:tcPr>
          <w:p w14:paraId="1FD06495">
            <w:pPr>
              <w:ind w:firstLine="361"/>
              <w:rPr>
                <w:rFonts w:hint="default" w:ascii="Times New Roman" w:hAnsi="Times New Roman" w:eastAsia="宋体" w:cs="Times New Roman"/>
                <w:i/>
                <w:color w:val="auto"/>
                <w:kern w:val="2"/>
                <w:sz w:val="18"/>
                <w:szCs w:val="18"/>
              </w:rPr>
            </w:pPr>
          </w:p>
        </w:tc>
        <w:tc>
          <w:tcPr>
            <w:tcW w:w="1593" w:type="pct"/>
            <w:tcBorders>
              <w:tl2br w:val="nil"/>
              <w:tr2bl w:val="nil"/>
            </w:tcBorders>
            <w:noWrap w:val="0"/>
            <w:vAlign w:val="top"/>
          </w:tcPr>
          <w:p w14:paraId="43B371A1">
            <w:pPr>
              <w:ind w:firstLine="361"/>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白花苦豆子</w:t>
            </w:r>
          </w:p>
        </w:tc>
        <w:tc>
          <w:tcPr>
            <w:tcW w:w="1821" w:type="pct"/>
            <w:tcBorders>
              <w:tl2br w:val="nil"/>
              <w:tr2bl w:val="nil"/>
            </w:tcBorders>
            <w:noWrap w:val="0"/>
            <w:vAlign w:val="top"/>
          </w:tcPr>
          <w:p w14:paraId="3F61A39D">
            <w:pPr>
              <w:ind w:firstLine="361"/>
              <w:rPr>
                <w:rFonts w:hint="default" w:ascii="Times New Roman" w:hAnsi="Times New Roman" w:eastAsia="宋体" w:cs="Times New Roman"/>
                <w:i/>
                <w:color w:val="auto"/>
                <w:kern w:val="2"/>
                <w:sz w:val="18"/>
                <w:szCs w:val="18"/>
              </w:rPr>
            </w:pPr>
            <w:r>
              <w:rPr>
                <w:rFonts w:hint="default" w:ascii="Times New Roman" w:hAnsi="Times New Roman" w:eastAsia="宋体" w:cs="Times New Roman"/>
                <w:i/>
                <w:color w:val="auto"/>
                <w:kern w:val="2"/>
                <w:sz w:val="18"/>
                <w:szCs w:val="18"/>
              </w:rPr>
              <w:t>Sophora alopecuroides</w:t>
            </w:r>
          </w:p>
        </w:tc>
      </w:tr>
      <w:tr w14:paraId="622FC0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00" w:hRule="atLeast"/>
          <w:jc w:val="center"/>
        </w:trPr>
        <w:tc>
          <w:tcPr>
            <w:tcW w:w="1585" w:type="pct"/>
            <w:vMerge w:val="continue"/>
            <w:tcBorders>
              <w:tl2br w:val="nil"/>
              <w:tr2bl w:val="nil"/>
            </w:tcBorders>
            <w:noWrap w:val="0"/>
            <w:vAlign w:val="center"/>
          </w:tcPr>
          <w:p w14:paraId="74D7E3D2">
            <w:pPr>
              <w:ind w:firstLine="361"/>
              <w:rPr>
                <w:rFonts w:hint="default" w:ascii="Times New Roman" w:hAnsi="Times New Roman" w:eastAsia="宋体" w:cs="Times New Roman"/>
                <w:i/>
                <w:color w:val="auto"/>
                <w:kern w:val="2"/>
                <w:sz w:val="18"/>
                <w:szCs w:val="18"/>
              </w:rPr>
            </w:pPr>
          </w:p>
        </w:tc>
        <w:tc>
          <w:tcPr>
            <w:tcW w:w="1593" w:type="pct"/>
            <w:tcBorders>
              <w:tl2br w:val="nil"/>
              <w:tr2bl w:val="nil"/>
            </w:tcBorders>
            <w:noWrap w:val="0"/>
            <w:vAlign w:val="top"/>
          </w:tcPr>
          <w:p w14:paraId="7691B428">
            <w:pPr>
              <w:ind w:firstLine="361"/>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苦马豆</w:t>
            </w:r>
          </w:p>
        </w:tc>
        <w:tc>
          <w:tcPr>
            <w:tcW w:w="1821" w:type="pct"/>
            <w:tcBorders>
              <w:tl2br w:val="nil"/>
              <w:tr2bl w:val="nil"/>
            </w:tcBorders>
            <w:noWrap w:val="0"/>
            <w:vAlign w:val="top"/>
          </w:tcPr>
          <w:p w14:paraId="50ED3115">
            <w:pPr>
              <w:ind w:firstLine="361"/>
              <w:rPr>
                <w:rFonts w:hint="default" w:ascii="Times New Roman" w:hAnsi="Times New Roman" w:eastAsia="宋体" w:cs="Times New Roman"/>
                <w:i/>
                <w:color w:val="auto"/>
                <w:kern w:val="2"/>
                <w:sz w:val="18"/>
                <w:szCs w:val="18"/>
              </w:rPr>
            </w:pPr>
            <w:r>
              <w:rPr>
                <w:rFonts w:hint="default" w:ascii="Times New Roman" w:hAnsi="Times New Roman" w:eastAsia="宋体" w:cs="Times New Roman"/>
                <w:i/>
                <w:color w:val="auto"/>
                <w:kern w:val="2"/>
                <w:sz w:val="18"/>
                <w:szCs w:val="18"/>
              </w:rPr>
              <w:t>Sphaorophysa salsula</w:t>
            </w:r>
          </w:p>
        </w:tc>
      </w:tr>
      <w:tr w14:paraId="0160C8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7" w:hRule="atLeast"/>
          <w:jc w:val="center"/>
        </w:trPr>
        <w:tc>
          <w:tcPr>
            <w:tcW w:w="1585" w:type="pct"/>
            <w:vMerge w:val="continue"/>
            <w:tcBorders>
              <w:tl2br w:val="nil"/>
              <w:tr2bl w:val="nil"/>
            </w:tcBorders>
            <w:noWrap w:val="0"/>
            <w:vAlign w:val="center"/>
          </w:tcPr>
          <w:p w14:paraId="6B78DC7A">
            <w:pPr>
              <w:ind w:firstLine="361"/>
              <w:rPr>
                <w:rFonts w:hint="default" w:ascii="Times New Roman" w:hAnsi="Times New Roman" w:eastAsia="宋体" w:cs="Times New Roman"/>
                <w:i/>
                <w:color w:val="auto"/>
                <w:kern w:val="2"/>
                <w:sz w:val="18"/>
                <w:szCs w:val="18"/>
              </w:rPr>
            </w:pPr>
          </w:p>
        </w:tc>
        <w:tc>
          <w:tcPr>
            <w:tcW w:w="1593" w:type="pct"/>
            <w:tcBorders>
              <w:tl2br w:val="nil"/>
              <w:tr2bl w:val="nil"/>
            </w:tcBorders>
            <w:noWrap w:val="0"/>
            <w:vAlign w:val="top"/>
          </w:tcPr>
          <w:p w14:paraId="558B6585">
            <w:pPr>
              <w:ind w:firstLine="361"/>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疏叶骆驼刺</w:t>
            </w:r>
          </w:p>
        </w:tc>
        <w:tc>
          <w:tcPr>
            <w:tcW w:w="1821" w:type="pct"/>
            <w:tcBorders>
              <w:tl2br w:val="nil"/>
              <w:tr2bl w:val="nil"/>
            </w:tcBorders>
            <w:noWrap w:val="0"/>
            <w:vAlign w:val="top"/>
          </w:tcPr>
          <w:p w14:paraId="62811A1B">
            <w:pPr>
              <w:ind w:firstLine="361"/>
              <w:rPr>
                <w:rFonts w:hint="default" w:ascii="Times New Roman" w:hAnsi="Times New Roman" w:eastAsia="宋体" w:cs="Times New Roman"/>
                <w:i/>
                <w:color w:val="auto"/>
                <w:kern w:val="2"/>
                <w:sz w:val="18"/>
                <w:szCs w:val="18"/>
              </w:rPr>
            </w:pPr>
            <w:r>
              <w:rPr>
                <w:rFonts w:hint="default" w:ascii="Times New Roman" w:hAnsi="Times New Roman" w:eastAsia="宋体" w:cs="Times New Roman"/>
                <w:i/>
                <w:color w:val="auto"/>
                <w:kern w:val="2"/>
                <w:sz w:val="18"/>
                <w:szCs w:val="18"/>
              </w:rPr>
              <w:t>Althagi sparsifolia</w:t>
            </w:r>
          </w:p>
        </w:tc>
      </w:tr>
      <w:tr w14:paraId="3341B0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1585" w:type="pct"/>
            <w:vMerge w:val="restart"/>
            <w:tcBorders>
              <w:tl2br w:val="nil"/>
              <w:tr2bl w:val="nil"/>
            </w:tcBorders>
            <w:noWrap w:val="0"/>
            <w:vAlign w:val="center"/>
          </w:tcPr>
          <w:p w14:paraId="2582D4F7">
            <w:pPr>
              <w:ind w:firstLine="361"/>
              <w:rPr>
                <w:rFonts w:hint="default" w:ascii="Times New Roman" w:hAnsi="Times New Roman" w:eastAsia="宋体" w:cs="Times New Roman"/>
                <w:i/>
                <w:color w:val="auto"/>
                <w:kern w:val="2"/>
                <w:sz w:val="18"/>
                <w:szCs w:val="18"/>
              </w:rPr>
            </w:pPr>
            <w:r>
              <w:rPr>
                <w:rFonts w:hint="default" w:ascii="Times New Roman" w:hAnsi="Times New Roman" w:eastAsia="宋体" w:cs="Times New Roman"/>
                <w:i/>
                <w:color w:val="auto"/>
                <w:kern w:val="2"/>
                <w:sz w:val="18"/>
                <w:szCs w:val="18"/>
              </w:rPr>
              <w:t>蒺藜科 Zyqqphy uaceae</w:t>
            </w:r>
          </w:p>
        </w:tc>
        <w:tc>
          <w:tcPr>
            <w:tcW w:w="1593" w:type="pct"/>
            <w:tcBorders>
              <w:tl2br w:val="nil"/>
              <w:tr2bl w:val="nil"/>
            </w:tcBorders>
            <w:noWrap w:val="0"/>
            <w:vAlign w:val="top"/>
          </w:tcPr>
          <w:p w14:paraId="030FE3DF">
            <w:pPr>
              <w:ind w:firstLine="361"/>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骆驼篷</w:t>
            </w:r>
          </w:p>
        </w:tc>
        <w:tc>
          <w:tcPr>
            <w:tcW w:w="1821" w:type="pct"/>
            <w:tcBorders>
              <w:tl2br w:val="nil"/>
              <w:tr2bl w:val="nil"/>
            </w:tcBorders>
            <w:noWrap w:val="0"/>
            <w:vAlign w:val="top"/>
          </w:tcPr>
          <w:p w14:paraId="3E04C1C9">
            <w:pPr>
              <w:ind w:firstLine="361"/>
              <w:rPr>
                <w:rFonts w:hint="default" w:ascii="Times New Roman" w:hAnsi="Times New Roman" w:eastAsia="宋体" w:cs="Times New Roman"/>
                <w:i/>
                <w:color w:val="auto"/>
                <w:kern w:val="2"/>
                <w:sz w:val="18"/>
                <w:szCs w:val="18"/>
              </w:rPr>
            </w:pPr>
            <w:r>
              <w:rPr>
                <w:rFonts w:hint="default" w:ascii="Times New Roman" w:hAnsi="Times New Roman" w:eastAsia="宋体" w:cs="Times New Roman"/>
                <w:i/>
                <w:color w:val="auto"/>
                <w:kern w:val="2"/>
                <w:sz w:val="18"/>
                <w:szCs w:val="18"/>
              </w:rPr>
              <w:t>Peganum harmala</w:t>
            </w:r>
          </w:p>
        </w:tc>
      </w:tr>
      <w:tr w14:paraId="794D57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15" w:hRule="atLeast"/>
          <w:jc w:val="center"/>
        </w:trPr>
        <w:tc>
          <w:tcPr>
            <w:tcW w:w="1585" w:type="pct"/>
            <w:vMerge w:val="continue"/>
            <w:tcBorders>
              <w:tl2br w:val="nil"/>
              <w:tr2bl w:val="nil"/>
            </w:tcBorders>
            <w:noWrap w:val="0"/>
            <w:vAlign w:val="center"/>
          </w:tcPr>
          <w:p w14:paraId="659B6E70">
            <w:pPr>
              <w:ind w:firstLine="361"/>
              <w:rPr>
                <w:rFonts w:hint="default" w:ascii="Times New Roman" w:hAnsi="Times New Roman" w:eastAsia="宋体" w:cs="Times New Roman"/>
                <w:i/>
                <w:color w:val="auto"/>
                <w:kern w:val="2"/>
                <w:sz w:val="18"/>
                <w:szCs w:val="18"/>
              </w:rPr>
            </w:pPr>
          </w:p>
        </w:tc>
        <w:tc>
          <w:tcPr>
            <w:tcW w:w="1593" w:type="pct"/>
            <w:tcBorders>
              <w:tl2br w:val="nil"/>
              <w:tr2bl w:val="nil"/>
            </w:tcBorders>
            <w:noWrap w:val="0"/>
            <w:vAlign w:val="top"/>
          </w:tcPr>
          <w:p w14:paraId="083E7C17">
            <w:pPr>
              <w:ind w:firstLine="361"/>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西伯利亚白刺</w:t>
            </w:r>
          </w:p>
        </w:tc>
        <w:tc>
          <w:tcPr>
            <w:tcW w:w="1821" w:type="pct"/>
            <w:tcBorders>
              <w:tl2br w:val="nil"/>
              <w:tr2bl w:val="nil"/>
            </w:tcBorders>
            <w:noWrap w:val="0"/>
            <w:vAlign w:val="top"/>
          </w:tcPr>
          <w:p w14:paraId="7FD11DE7">
            <w:pPr>
              <w:ind w:firstLine="361"/>
              <w:rPr>
                <w:rFonts w:hint="default" w:ascii="Times New Roman" w:hAnsi="Times New Roman" w:eastAsia="宋体" w:cs="Times New Roman"/>
                <w:i/>
                <w:color w:val="auto"/>
                <w:kern w:val="2"/>
                <w:sz w:val="18"/>
                <w:szCs w:val="18"/>
              </w:rPr>
            </w:pPr>
            <w:r>
              <w:rPr>
                <w:rFonts w:hint="default" w:ascii="Times New Roman" w:hAnsi="Times New Roman" w:eastAsia="宋体" w:cs="Times New Roman"/>
                <w:i/>
                <w:color w:val="auto"/>
                <w:kern w:val="2"/>
                <w:sz w:val="18"/>
                <w:szCs w:val="18"/>
              </w:rPr>
              <w:t>Nitraria sibirica</w:t>
            </w:r>
          </w:p>
        </w:tc>
      </w:tr>
      <w:tr w14:paraId="4B6475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0" w:hRule="atLeast"/>
          <w:jc w:val="center"/>
        </w:trPr>
        <w:tc>
          <w:tcPr>
            <w:tcW w:w="1585" w:type="pct"/>
            <w:vMerge w:val="restart"/>
            <w:tcBorders>
              <w:tl2br w:val="nil"/>
              <w:tr2bl w:val="nil"/>
            </w:tcBorders>
            <w:noWrap w:val="0"/>
            <w:vAlign w:val="center"/>
          </w:tcPr>
          <w:p w14:paraId="6D7D2355">
            <w:pPr>
              <w:ind w:firstLine="361"/>
              <w:rPr>
                <w:rFonts w:hint="default" w:ascii="Times New Roman" w:hAnsi="Times New Roman" w:eastAsia="宋体" w:cs="Times New Roman"/>
                <w:i/>
                <w:color w:val="auto"/>
                <w:kern w:val="2"/>
                <w:sz w:val="18"/>
                <w:szCs w:val="18"/>
              </w:rPr>
            </w:pPr>
            <w:r>
              <w:rPr>
                <w:rFonts w:hint="default" w:ascii="Times New Roman" w:hAnsi="Times New Roman" w:eastAsia="宋体" w:cs="Times New Roman"/>
                <w:i/>
                <w:color w:val="auto"/>
                <w:kern w:val="2"/>
                <w:sz w:val="18"/>
                <w:szCs w:val="18"/>
              </w:rPr>
              <w:t>柽柳科 Tamaricaccae</w:t>
            </w:r>
          </w:p>
        </w:tc>
        <w:tc>
          <w:tcPr>
            <w:tcW w:w="1593" w:type="pct"/>
            <w:tcBorders>
              <w:tl2br w:val="nil"/>
              <w:tr2bl w:val="nil"/>
            </w:tcBorders>
            <w:noWrap w:val="0"/>
            <w:vAlign w:val="top"/>
          </w:tcPr>
          <w:p w14:paraId="50C0D561">
            <w:pPr>
              <w:ind w:firstLine="361"/>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多枝柽柳</w:t>
            </w:r>
          </w:p>
        </w:tc>
        <w:tc>
          <w:tcPr>
            <w:tcW w:w="1821" w:type="pct"/>
            <w:tcBorders>
              <w:tl2br w:val="nil"/>
              <w:tr2bl w:val="nil"/>
            </w:tcBorders>
            <w:noWrap w:val="0"/>
            <w:vAlign w:val="top"/>
          </w:tcPr>
          <w:p w14:paraId="0AC3D235">
            <w:pPr>
              <w:ind w:firstLine="361"/>
              <w:rPr>
                <w:rFonts w:hint="default" w:ascii="Times New Roman" w:hAnsi="Times New Roman" w:eastAsia="宋体" w:cs="Times New Roman"/>
                <w:i/>
                <w:color w:val="auto"/>
                <w:kern w:val="2"/>
                <w:sz w:val="18"/>
                <w:szCs w:val="18"/>
              </w:rPr>
            </w:pPr>
            <w:r>
              <w:rPr>
                <w:rFonts w:hint="default" w:ascii="Times New Roman" w:hAnsi="Times New Roman" w:eastAsia="宋体" w:cs="Times New Roman"/>
                <w:i/>
                <w:color w:val="auto"/>
                <w:kern w:val="2"/>
                <w:sz w:val="18"/>
                <w:szCs w:val="18"/>
              </w:rPr>
              <w:t>Tamarix ramosissima</w:t>
            </w:r>
          </w:p>
        </w:tc>
      </w:tr>
      <w:tr w14:paraId="4F8311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65" w:hRule="atLeast"/>
          <w:jc w:val="center"/>
        </w:trPr>
        <w:tc>
          <w:tcPr>
            <w:tcW w:w="1585" w:type="pct"/>
            <w:vMerge w:val="continue"/>
            <w:tcBorders>
              <w:tl2br w:val="nil"/>
              <w:tr2bl w:val="nil"/>
            </w:tcBorders>
            <w:noWrap w:val="0"/>
            <w:vAlign w:val="center"/>
          </w:tcPr>
          <w:p w14:paraId="2CD89AC2">
            <w:pPr>
              <w:ind w:firstLine="361"/>
              <w:rPr>
                <w:rFonts w:hint="default" w:ascii="Times New Roman" w:hAnsi="Times New Roman" w:eastAsia="宋体" w:cs="Times New Roman"/>
                <w:i/>
                <w:color w:val="auto"/>
                <w:kern w:val="2"/>
                <w:sz w:val="18"/>
                <w:szCs w:val="18"/>
              </w:rPr>
            </w:pPr>
          </w:p>
        </w:tc>
        <w:tc>
          <w:tcPr>
            <w:tcW w:w="1593" w:type="pct"/>
            <w:tcBorders>
              <w:tl2br w:val="nil"/>
              <w:tr2bl w:val="nil"/>
            </w:tcBorders>
            <w:noWrap w:val="0"/>
            <w:vAlign w:val="top"/>
          </w:tcPr>
          <w:p w14:paraId="3B2D1B5E">
            <w:pPr>
              <w:ind w:firstLine="361"/>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刚毛柽柳</w:t>
            </w:r>
          </w:p>
        </w:tc>
        <w:tc>
          <w:tcPr>
            <w:tcW w:w="1821" w:type="pct"/>
            <w:tcBorders>
              <w:tl2br w:val="nil"/>
              <w:tr2bl w:val="nil"/>
            </w:tcBorders>
            <w:noWrap w:val="0"/>
            <w:vAlign w:val="top"/>
          </w:tcPr>
          <w:p w14:paraId="13621C6B">
            <w:pPr>
              <w:ind w:firstLine="361"/>
              <w:rPr>
                <w:rFonts w:hint="default" w:ascii="Times New Roman" w:hAnsi="Times New Roman" w:eastAsia="宋体" w:cs="Times New Roman"/>
                <w:i/>
                <w:color w:val="auto"/>
                <w:kern w:val="2"/>
                <w:sz w:val="18"/>
                <w:szCs w:val="18"/>
              </w:rPr>
            </w:pPr>
            <w:r>
              <w:rPr>
                <w:rFonts w:hint="default" w:ascii="Times New Roman" w:hAnsi="Times New Roman" w:eastAsia="宋体" w:cs="Times New Roman"/>
                <w:i/>
                <w:color w:val="auto"/>
                <w:kern w:val="2"/>
                <w:sz w:val="18"/>
                <w:szCs w:val="18"/>
              </w:rPr>
              <w:t xml:space="preserve">Tamarix hispida </w:t>
            </w:r>
          </w:p>
        </w:tc>
      </w:tr>
      <w:tr w14:paraId="07C22F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5" w:hRule="atLeast"/>
          <w:jc w:val="center"/>
        </w:trPr>
        <w:tc>
          <w:tcPr>
            <w:tcW w:w="1585" w:type="pct"/>
            <w:vMerge w:val="continue"/>
            <w:tcBorders>
              <w:tl2br w:val="nil"/>
              <w:tr2bl w:val="nil"/>
            </w:tcBorders>
            <w:noWrap w:val="0"/>
            <w:vAlign w:val="center"/>
          </w:tcPr>
          <w:p w14:paraId="470633B5">
            <w:pPr>
              <w:ind w:firstLine="361"/>
              <w:rPr>
                <w:rFonts w:hint="default" w:ascii="Times New Roman" w:hAnsi="Times New Roman" w:eastAsia="宋体" w:cs="Times New Roman"/>
                <w:i/>
                <w:color w:val="auto"/>
                <w:kern w:val="2"/>
                <w:sz w:val="18"/>
                <w:szCs w:val="18"/>
              </w:rPr>
            </w:pPr>
          </w:p>
        </w:tc>
        <w:tc>
          <w:tcPr>
            <w:tcW w:w="1593" w:type="pct"/>
            <w:tcBorders>
              <w:tl2br w:val="nil"/>
              <w:tr2bl w:val="nil"/>
            </w:tcBorders>
            <w:noWrap w:val="0"/>
            <w:vAlign w:val="top"/>
          </w:tcPr>
          <w:p w14:paraId="75254442">
            <w:pPr>
              <w:ind w:firstLine="361"/>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短穗柽柳</w:t>
            </w:r>
          </w:p>
        </w:tc>
        <w:tc>
          <w:tcPr>
            <w:tcW w:w="1821" w:type="pct"/>
            <w:tcBorders>
              <w:tl2br w:val="nil"/>
              <w:tr2bl w:val="nil"/>
            </w:tcBorders>
            <w:noWrap w:val="0"/>
            <w:vAlign w:val="top"/>
          </w:tcPr>
          <w:p w14:paraId="7F583423">
            <w:pPr>
              <w:ind w:firstLine="361"/>
              <w:rPr>
                <w:rFonts w:hint="default" w:ascii="Times New Roman" w:hAnsi="Times New Roman" w:eastAsia="宋体" w:cs="Times New Roman"/>
                <w:i/>
                <w:color w:val="auto"/>
                <w:kern w:val="2"/>
                <w:sz w:val="18"/>
                <w:szCs w:val="18"/>
              </w:rPr>
            </w:pPr>
            <w:r>
              <w:rPr>
                <w:rFonts w:hint="default" w:ascii="Times New Roman" w:hAnsi="Times New Roman" w:eastAsia="宋体" w:cs="Times New Roman"/>
                <w:i/>
                <w:color w:val="auto"/>
                <w:kern w:val="2"/>
                <w:sz w:val="18"/>
                <w:szCs w:val="18"/>
              </w:rPr>
              <w:t>Tamarix laxa</w:t>
            </w:r>
          </w:p>
        </w:tc>
      </w:tr>
      <w:tr w14:paraId="2B7F86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00" w:hRule="atLeast"/>
          <w:jc w:val="center"/>
        </w:trPr>
        <w:tc>
          <w:tcPr>
            <w:tcW w:w="1585" w:type="pct"/>
            <w:vMerge w:val="continue"/>
            <w:tcBorders>
              <w:tl2br w:val="nil"/>
              <w:tr2bl w:val="nil"/>
            </w:tcBorders>
            <w:noWrap w:val="0"/>
            <w:vAlign w:val="center"/>
          </w:tcPr>
          <w:p w14:paraId="2658D364">
            <w:pPr>
              <w:ind w:firstLine="361"/>
              <w:rPr>
                <w:rFonts w:hint="default" w:ascii="Times New Roman" w:hAnsi="Times New Roman" w:eastAsia="宋体" w:cs="Times New Roman"/>
                <w:i/>
                <w:color w:val="auto"/>
                <w:kern w:val="2"/>
                <w:sz w:val="18"/>
                <w:szCs w:val="18"/>
              </w:rPr>
            </w:pPr>
          </w:p>
        </w:tc>
        <w:tc>
          <w:tcPr>
            <w:tcW w:w="1593" w:type="pct"/>
            <w:tcBorders>
              <w:tl2br w:val="nil"/>
              <w:tr2bl w:val="nil"/>
            </w:tcBorders>
            <w:noWrap w:val="0"/>
            <w:vAlign w:val="top"/>
          </w:tcPr>
          <w:p w14:paraId="3D857170">
            <w:pPr>
              <w:ind w:firstLine="361"/>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多花柽柳</w:t>
            </w:r>
          </w:p>
        </w:tc>
        <w:tc>
          <w:tcPr>
            <w:tcW w:w="1821" w:type="pct"/>
            <w:tcBorders>
              <w:tl2br w:val="nil"/>
              <w:tr2bl w:val="nil"/>
            </w:tcBorders>
            <w:noWrap w:val="0"/>
            <w:vAlign w:val="top"/>
          </w:tcPr>
          <w:p w14:paraId="35410DD6">
            <w:pPr>
              <w:ind w:firstLine="361"/>
              <w:rPr>
                <w:rFonts w:hint="default" w:ascii="Times New Roman" w:hAnsi="Times New Roman" w:eastAsia="宋体" w:cs="Times New Roman"/>
                <w:i/>
                <w:color w:val="auto"/>
                <w:kern w:val="2"/>
                <w:sz w:val="18"/>
                <w:szCs w:val="18"/>
              </w:rPr>
            </w:pPr>
            <w:r>
              <w:rPr>
                <w:rFonts w:hint="default" w:ascii="Times New Roman" w:hAnsi="Times New Roman" w:eastAsia="宋体" w:cs="Times New Roman"/>
                <w:i/>
                <w:color w:val="auto"/>
                <w:kern w:val="2"/>
                <w:sz w:val="18"/>
                <w:szCs w:val="18"/>
              </w:rPr>
              <w:t>Tamarix hohenackeri</w:t>
            </w:r>
          </w:p>
        </w:tc>
      </w:tr>
      <w:tr w14:paraId="4B7DDB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9" w:hRule="atLeast"/>
          <w:jc w:val="center"/>
        </w:trPr>
        <w:tc>
          <w:tcPr>
            <w:tcW w:w="1585" w:type="pct"/>
            <w:vMerge w:val="continue"/>
            <w:tcBorders>
              <w:tl2br w:val="nil"/>
              <w:tr2bl w:val="nil"/>
            </w:tcBorders>
            <w:noWrap w:val="0"/>
            <w:vAlign w:val="center"/>
          </w:tcPr>
          <w:p w14:paraId="27213BBE">
            <w:pPr>
              <w:ind w:firstLine="361"/>
              <w:rPr>
                <w:rFonts w:hint="default" w:ascii="Times New Roman" w:hAnsi="Times New Roman" w:eastAsia="宋体" w:cs="Times New Roman"/>
                <w:i/>
                <w:color w:val="auto"/>
                <w:kern w:val="2"/>
                <w:sz w:val="18"/>
                <w:szCs w:val="18"/>
              </w:rPr>
            </w:pPr>
          </w:p>
        </w:tc>
        <w:tc>
          <w:tcPr>
            <w:tcW w:w="1593" w:type="pct"/>
            <w:tcBorders>
              <w:tl2br w:val="nil"/>
              <w:tr2bl w:val="nil"/>
            </w:tcBorders>
            <w:noWrap w:val="0"/>
            <w:vAlign w:val="top"/>
          </w:tcPr>
          <w:p w14:paraId="4F985654">
            <w:pPr>
              <w:ind w:firstLine="361"/>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长穗柽柳</w:t>
            </w:r>
          </w:p>
        </w:tc>
        <w:tc>
          <w:tcPr>
            <w:tcW w:w="1821" w:type="pct"/>
            <w:tcBorders>
              <w:tl2br w:val="nil"/>
              <w:tr2bl w:val="nil"/>
            </w:tcBorders>
            <w:noWrap w:val="0"/>
            <w:vAlign w:val="top"/>
          </w:tcPr>
          <w:p w14:paraId="111A57EA">
            <w:pPr>
              <w:ind w:firstLine="361"/>
              <w:rPr>
                <w:rFonts w:hint="default" w:ascii="Times New Roman" w:hAnsi="Times New Roman" w:eastAsia="宋体" w:cs="Times New Roman"/>
                <w:i/>
                <w:color w:val="auto"/>
                <w:kern w:val="2"/>
                <w:sz w:val="18"/>
                <w:szCs w:val="18"/>
              </w:rPr>
            </w:pPr>
            <w:r>
              <w:rPr>
                <w:rFonts w:hint="default" w:ascii="Times New Roman" w:hAnsi="Times New Roman" w:eastAsia="宋体" w:cs="Times New Roman"/>
                <w:i/>
                <w:color w:val="auto"/>
                <w:kern w:val="2"/>
                <w:sz w:val="18"/>
                <w:szCs w:val="18"/>
              </w:rPr>
              <w:t>Tamarix elongata</w:t>
            </w:r>
          </w:p>
        </w:tc>
      </w:tr>
      <w:tr w14:paraId="62AB65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0" w:hRule="atLeast"/>
          <w:jc w:val="center"/>
        </w:trPr>
        <w:tc>
          <w:tcPr>
            <w:tcW w:w="1585" w:type="pct"/>
            <w:tcBorders>
              <w:tl2br w:val="nil"/>
              <w:tr2bl w:val="nil"/>
            </w:tcBorders>
            <w:noWrap w:val="0"/>
            <w:vAlign w:val="center"/>
          </w:tcPr>
          <w:p w14:paraId="5F17514C">
            <w:pPr>
              <w:ind w:firstLine="361"/>
              <w:rPr>
                <w:rFonts w:hint="default" w:ascii="Times New Roman" w:hAnsi="Times New Roman" w:eastAsia="宋体" w:cs="Times New Roman"/>
                <w:i/>
                <w:color w:val="auto"/>
                <w:kern w:val="2"/>
                <w:sz w:val="18"/>
                <w:szCs w:val="18"/>
              </w:rPr>
            </w:pPr>
            <w:r>
              <w:rPr>
                <w:rFonts w:hint="default" w:ascii="Times New Roman" w:hAnsi="Times New Roman" w:eastAsia="宋体" w:cs="Times New Roman"/>
                <w:i/>
                <w:color w:val="auto"/>
                <w:kern w:val="2"/>
                <w:sz w:val="18"/>
                <w:szCs w:val="18"/>
              </w:rPr>
              <w:t>旋花科 Cohvolvulaceae</w:t>
            </w:r>
          </w:p>
        </w:tc>
        <w:tc>
          <w:tcPr>
            <w:tcW w:w="1593" w:type="pct"/>
            <w:tcBorders>
              <w:tl2br w:val="nil"/>
              <w:tr2bl w:val="nil"/>
            </w:tcBorders>
            <w:noWrap w:val="0"/>
            <w:vAlign w:val="top"/>
          </w:tcPr>
          <w:p w14:paraId="36C96CDB">
            <w:pPr>
              <w:ind w:firstLine="361"/>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打碗花</w:t>
            </w:r>
          </w:p>
        </w:tc>
        <w:tc>
          <w:tcPr>
            <w:tcW w:w="1821" w:type="pct"/>
            <w:tcBorders>
              <w:tl2br w:val="nil"/>
              <w:tr2bl w:val="nil"/>
            </w:tcBorders>
            <w:noWrap w:val="0"/>
            <w:vAlign w:val="top"/>
          </w:tcPr>
          <w:p w14:paraId="4374B69C">
            <w:pPr>
              <w:ind w:firstLine="361"/>
              <w:rPr>
                <w:rFonts w:hint="default" w:ascii="Times New Roman" w:hAnsi="Times New Roman" w:eastAsia="宋体" w:cs="Times New Roman"/>
                <w:i/>
                <w:color w:val="auto"/>
                <w:kern w:val="2"/>
                <w:sz w:val="18"/>
                <w:szCs w:val="18"/>
              </w:rPr>
            </w:pPr>
            <w:r>
              <w:rPr>
                <w:rFonts w:hint="default" w:ascii="Times New Roman" w:hAnsi="Times New Roman" w:eastAsia="宋体" w:cs="Times New Roman"/>
                <w:i/>
                <w:color w:val="auto"/>
                <w:kern w:val="2"/>
                <w:sz w:val="18"/>
                <w:szCs w:val="18"/>
              </w:rPr>
              <w:t>Calystegia hederacea</w:t>
            </w:r>
          </w:p>
        </w:tc>
      </w:tr>
      <w:tr w14:paraId="1429FA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0" w:hRule="atLeast"/>
          <w:jc w:val="center"/>
        </w:trPr>
        <w:tc>
          <w:tcPr>
            <w:tcW w:w="1585" w:type="pct"/>
            <w:tcBorders>
              <w:tl2br w:val="nil"/>
              <w:tr2bl w:val="nil"/>
            </w:tcBorders>
            <w:noWrap w:val="0"/>
            <w:vAlign w:val="center"/>
          </w:tcPr>
          <w:p w14:paraId="0974E8D3">
            <w:pPr>
              <w:ind w:firstLine="361"/>
              <w:rPr>
                <w:rFonts w:hint="default" w:ascii="Times New Roman" w:hAnsi="Times New Roman" w:eastAsia="宋体" w:cs="Times New Roman"/>
                <w:i/>
                <w:color w:val="auto"/>
                <w:kern w:val="2"/>
                <w:sz w:val="18"/>
                <w:szCs w:val="18"/>
              </w:rPr>
            </w:pPr>
            <w:r>
              <w:rPr>
                <w:rFonts w:hint="default" w:ascii="Times New Roman" w:hAnsi="Times New Roman" w:eastAsia="宋体" w:cs="Times New Roman"/>
                <w:i/>
                <w:color w:val="auto"/>
                <w:kern w:val="2"/>
                <w:sz w:val="18"/>
                <w:szCs w:val="18"/>
              </w:rPr>
              <w:t>茄科 Selanaceae</w:t>
            </w:r>
          </w:p>
        </w:tc>
        <w:tc>
          <w:tcPr>
            <w:tcW w:w="1593" w:type="pct"/>
            <w:tcBorders>
              <w:tl2br w:val="nil"/>
              <w:tr2bl w:val="nil"/>
            </w:tcBorders>
            <w:noWrap w:val="0"/>
            <w:vAlign w:val="top"/>
          </w:tcPr>
          <w:p w14:paraId="67748B70">
            <w:pPr>
              <w:ind w:firstLine="361"/>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黑刺</w:t>
            </w:r>
          </w:p>
        </w:tc>
        <w:tc>
          <w:tcPr>
            <w:tcW w:w="1821" w:type="pct"/>
            <w:tcBorders>
              <w:tl2br w:val="nil"/>
              <w:tr2bl w:val="nil"/>
            </w:tcBorders>
            <w:noWrap w:val="0"/>
            <w:vAlign w:val="top"/>
          </w:tcPr>
          <w:p w14:paraId="21E107BD">
            <w:pPr>
              <w:ind w:firstLine="361"/>
              <w:rPr>
                <w:rFonts w:hint="default" w:ascii="Times New Roman" w:hAnsi="Times New Roman" w:eastAsia="宋体" w:cs="Times New Roman"/>
                <w:i/>
                <w:color w:val="auto"/>
                <w:kern w:val="2"/>
                <w:sz w:val="18"/>
                <w:szCs w:val="18"/>
              </w:rPr>
            </w:pPr>
            <w:r>
              <w:rPr>
                <w:rFonts w:hint="default" w:ascii="Times New Roman" w:hAnsi="Times New Roman" w:eastAsia="宋体" w:cs="Times New Roman"/>
                <w:i/>
                <w:color w:val="auto"/>
                <w:kern w:val="2"/>
                <w:sz w:val="18"/>
                <w:szCs w:val="18"/>
              </w:rPr>
              <w:t>Lycium rutheulcum</w:t>
            </w:r>
          </w:p>
        </w:tc>
      </w:tr>
      <w:tr w14:paraId="18ADD1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5" w:hRule="atLeast"/>
          <w:jc w:val="center"/>
        </w:trPr>
        <w:tc>
          <w:tcPr>
            <w:tcW w:w="1585" w:type="pct"/>
            <w:vMerge w:val="restart"/>
            <w:tcBorders>
              <w:tl2br w:val="nil"/>
              <w:tr2bl w:val="nil"/>
            </w:tcBorders>
            <w:noWrap w:val="0"/>
            <w:vAlign w:val="center"/>
          </w:tcPr>
          <w:p w14:paraId="47C475E2">
            <w:pPr>
              <w:ind w:firstLine="361"/>
              <w:rPr>
                <w:rFonts w:hint="default" w:ascii="Times New Roman" w:hAnsi="Times New Roman" w:eastAsia="宋体" w:cs="Times New Roman"/>
                <w:i/>
                <w:color w:val="auto"/>
                <w:kern w:val="2"/>
                <w:sz w:val="18"/>
                <w:szCs w:val="18"/>
              </w:rPr>
            </w:pPr>
            <w:r>
              <w:rPr>
                <w:rFonts w:hint="default" w:ascii="Times New Roman" w:hAnsi="Times New Roman" w:eastAsia="宋体" w:cs="Times New Roman"/>
                <w:i/>
                <w:color w:val="auto"/>
                <w:kern w:val="2"/>
                <w:sz w:val="18"/>
                <w:szCs w:val="18"/>
              </w:rPr>
              <w:t>菊科 Compositae</w:t>
            </w:r>
          </w:p>
        </w:tc>
        <w:tc>
          <w:tcPr>
            <w:tcW w:w="1593" w:type="pct"/>
            <w:tcBorders>
              <w:tl2br w:val="nil"/>
              <w:tr2bl w:val="nil"/>
            </w:tcBorders>
            <w:noWrap w:val="0"/>
            <w:vAlign w:val="top"/>
          </w:tcPr>
          <w:p w14:paraId="32D4A79F">
            <w:pPr>
              <w:ind w:firstLine="361"/>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分枝鸦葱</w:t>
            </w:r>
          </w:p>
        </w:tc>
        <w:tc>
          <w:tcPr>
            <w:tcW w:w="1821" w:type="pct"/>
            <w:tcBorders>
              <w:tl2br w:val="nil"/>
              <w:tr2bl w:val="nil"/>
            </w:tcBorders>
            <w:noWrap w:val="0"/>
            <w:vAlign w:val="top"/>
          </w:tcPr>
          <w:p w14:paraId="342F27D3">
            <w:pPr>
              <w:ind w:firstLine="361"/>
              <w:rPr>
                <w:rFonts w:hint="default" w:ascii="Times New Roman" w:hAnsi="Times New Roman" w:eastAsia="宋体" w:cs="Times New Roman"/>
                <w:i/>
                <w:color w:val="auto"/>
                <w:kern w:val="2"/>
                <w:sz w:val="18"/>
                <w:szCs w:val="18"/>
              </w:rPr>
            </w:pPr>
            <w:r>
              <w:rPr>
                <w:rFonts w:hint="default" w:ascii="Times New Roman" w:hAnsi="Times New Roman" w:eastAsia="宋体" w:cs="Times New Roman"/>
                <w:i/>
                <w:color w:val="auto"/>
                <w:kern w:val="2"/>
                <w:sz w:val="18"/>
                <w:szCs w:val="18"/>
              </w:rPr>
              <w:t>Scorzonera divaricata</w:t>
            </w:r>
          </w:p>
        </w:tc>
      </w:tr>
      <w:tr w14:paraId="3F5103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00" w:hRule="atLeast"/>
          <w:jc w:val="center"/>
        </w:trPr>
        <w:tc>
          <w:tcPr>
            <w:tcW w:w="1585" w:type="pct"/>
            <w:vMerge w:val="continue"/>
            <w:tcBorders>
              <w:tl2br w:val="nil"/>
              <w:tr2bl w:val="nil"/>
            </w:tcBorders>
            <w:noWrap w:val="0"/>
            <w:vAlign w:val="center"/>
          </w:tcPr>
          <w:p w14:paraId="47DBACA3">
            <w:pPr>
              <w:ind w:firstLine="361"/>
              <w:rPr>
                <w:rFonts w:hint="default" w:ascii="Times New Roman" w:hAnsi="Times New Roman" w:eastAsia="宋体" w:cs="Times New Roman"/>
                <w:i/>
                <w:color w:val="auto"/>
                <w:kern w:val="2"/>
                <w:sz w:val="18"/>
                <w:szCs w:val="18"/>
              </w:rPr>
            </w:pPr>
          </w:p>
        </w:tc>
        <w:tc>
          <w:tcPr>
            <w:tcW w:w="1593" w:type="pct"/>
            <w:tcBorders>
              <w:tl2br w:val="nil"/>
              <w:tr2bl w:val="nil"/>
            </w:tcBorders>
            <w:noWrap w:val="0"/>
            <w:vAlign w:val="top"/>
          </w:tcPr>
          <w:p w14:paraId="4BCB7E78">
            <w:pPr>
              <w:ind w:firstLine="361"/>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盐生鸦葱</w:t>
            </w:r>
          </w:p>
        </w:tc>
        <w:tc>
          <w:tcPr>
            <w:tcW w:w="1821" w:type="pct"/>
            <w:tcBorders>
              <w:tl2br w:val="nil"/>
              <w:tr2bl w:val="nil"/>
            </w:tcBorders>
            <w:noWrap w:val="0"/>
            <w:vAlign w:val="top"/>
          </w:tcPr>
          <w:p w14:paraId="7107500F">
            <w:pPr>
              <w:ind w:firstLine="361"/>
              <w:rPr>
                <w:rFonts w:hint="default" w:ascii="Times New Roman" w:hAnsi="Times New Roman" w:eastAsia="宋体" w:cs="Times New Roman"/>
                <w:i/>
                <w:color w:val="auto"/>
                <w:kern w:val="2"/>
                <w:sz w:val="18"/>
                <w:szCs w:val="18"/>
              </w:rPr>
            </w:pPr>
            <w:r>
              <w:rPr>
                <w:rFonts w:hint="default" w:ascii="Times New Roman" w:hAnsi="Times New Roman" w:eastAsia="宋体" w:cs="Times New Roman"/>
                <w:i/>
                <w:color w:val="auto"/>
                <w:kern w:val="2"/>
                <w:sz w:val="18"/>
                <w:szCs w:val="18"/>
              </w:rPr>
              <w:t>Scorzonera austriaca</w:t>
            </w:r>
          </w:p>
        </w:tc>
      </w:tr>
      <w:tr w14:paraId="7CBFE9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1585" w:type="pct"/>
            <w:vMerge w:val="continue"/>
            <w:tcBorders>
              <w:tl2br w:val="nil"/>
              <w:tr2bl w:val="nil"/>
            </w:tcBorders>
            <w:noWrap w:val="0"/>
            <w:vAlign w:val="center"/>
          </w:tcPr>
          <w:p w14:paraId="06698E3C">
            <w:pPr>
              <w:ind w:firstLine="361"/>
              <w:rPr>
                <w:rFonts w:hint="default" w:ascii="Times New Roman" w:hAnsi="Times New Roman" w:eastAsia="宋体" w:cs="Times New Roman"/>
                <w:i/>
                <w:color w:val="auto"/>
                <w:kern w:val="2"/>
                <w:sz w:val="18"/>
                <w:szCs w:val="18"/>
              </w:rPr>
            </w:pPr>
          </w:p>
        </w:tc>
        <w:tc>
          <w:tcPr>
            <w:tcW w:w="1593" w:type="pct"/>
            <w:tcBorders>
              <w:tl2br w:val="nil"/>
              <w:tr2bl w:val="nil"/>
            </w:tcBorders>
            <w:noWrap w:val="0"/>
            <w:vAlign w:val="top"/>
          </w:tcPr>
          <w:p w14:paraId="5E221CDA">
            <w:pPr>
              <w:ind w:firstLine="361"/>
              <w:rPr>
                <w:rFonts w:hint="default" w:ascii="Times New Roman" w:hAnsi="Times New Roman" w:eastAsia="宋体" w:cs="Times New Roman"/>
                <w:i/>
                <w:color w:val="auto"/>
                <w:kern w:val="2"/>
                <w:sz w:val="18"/>
                <w:szCs w:val="18"/>
              </w:rPr>
            </w:pPr>
            <w:r>
              <w:rPr>
                <w:rFonts w:hint="default" w:ascii="Times New Roman" w:hAnsi="Times New Roman" w:eastAsia="宋体" w:cs="Times New Roman"/>
                <w:color w:val="auto"/>
                <w:kern w:val="2"/>
                <w:sz w:val="18"/>
                <w:szCs w:val="18"/>
              </w:rPr>
              <w:t>新疆绢蒿</w:t>
            </w:r>
          </w:p>
        </w:tc>
        <w:tc>
          <w:tcPr>
            <w:tcW w:w="1821" w:type="pct"/>
            <w:tcBorders>
              <w:tl2br w:val="nil"/>
              <w:tr2bl w:val="nil"/>
            </w:tcBorders>
            <w:noWrap w:val="0"/>
            <w:vAlign w:val="top"/>
          </w:tcPr>
          <w:p w14:paraId="5A8A19DA">
            <w:pPr>
              <w:ind w:firstLine="361"/>
              <w:rPr>
                <w:rFonts w:hint="default" w:ascii="Times New Roman" w:hAnsi="Times New Roman" w:eastAsia="宋体" w:cs="Times New Roman"/>
                <w:i/>
                <w:color w:val="auto"/>
                <w:kern w:val="2"/>
                <w:sz w:val="18"/>
                <w:szCs w:val="18"/>
              </w:rPr>
            </w:pPr>
            <w:r>
              <w:rPr>
                <w:rFonts w:hint="default" w:ascii="Times New Roman" w:hAnsi="Times New Roman" w:eastAsia="宋体" w:cs="Times New Roman"/>
                <w:i/>
                <w:color w:val="auto"/>
                <w:kern w:val="2"/>
                <w:sz w:val="18"/>
                <w:szCs w:val="18"/>
              </w:rPr>
              <w:t>Seriphidium kaschgaricum</w:t>
            </w:r>
          </w:p>
        </w:tc>
      </w:tr>
      <w:tr w14:paraId="3CCF78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70" w:hRule="atLeast"/>
          <w:jc w:val="center"/>
        </w:trPr>
        <w:tc>
          <w:tcPr>
            <w:tcW w:w="1585" w:type="pct"/>
            <w:vMerge w:val="continue"/>
            <w:tcBorders>
              <w:tl2br w:val="nil"/>
              <w:tr2bl w:val="nil"/>
            </w:tcBorders>
            <w:noWrap w:val="0"/>
            <w:vAlign w:val="center"/>
          </w:tcPr>
          <w:p w14:paraId="6994EB40">
            <w:pPr>
              <w:ind w:firstLine="361"/>
              <w:rPr>
                <w:rFonts w:hint="default" w:ascii="Times New Roman" w:hAnsi="Times New Roman" w:eastAsia="宋体" w:cs="Times New Roman"/>
                <w:i/>
                <w:color w:val="auto"/>
                <w:kern w:val="2"/>
                <w:sz w:val="18"/>
                <w:szCs w:val="18"/>
              </w:rPr>
            </w:pPr>
          </w:p>
        </w:tc>
        <w:tc>
          <w:tcPr>
            <w:tcW w:w="1593" w:type="pct"/>
            <w:tcBorders>
              <w:tl2br w:val="nil"/>
              <w:tr2bl w:val="nil"/>
            </w:tcBorders>
            <w:noWrap w:val="0"/>
            <w:vAlign w:val="top"/>
          </w:tcPr>
          <w:p w14:paraId="78F4CF7C">
            <w:pPr>
              <w:ind w:firstLine="361"/>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小蓟</w:t>
            </w:r>
          </w:p>
        </w:tc>
        <w:tc>
          <w:tcPr>
            <w:tcW w:w="1821" w:type="pct"/>
            <w:tcBorders>
              <w:tl2br w:val="nil"/>
              <w:tr2bl w:val="nil"/>
            </w:tcBorders>
            <w:noWrap w:val="0"/>
            <w:vAlign w:val="top"/>
          </w:tcPr>
          <w:p w14:paraId="309F0EED">
            <w:pPr>
              <w:ind w:firstLine="361"/>
              <w:rPr>
                <w:rFonts w:hint="default" w:ascii="Times New Roman" w:hAnsi="Times New Roman" w:eastAsia="宋体" w:cs="Times New Roman"/>
                <w:i/>
                <w:color w:val="auto"/>
                <w:kern w:val="2"/>
                <w:sz w:val="18"/>
                <w:szCs w:val="18"/>
              </w:rPr>
            </w:pPr>
            <w:r>
              <w:rPr>
                <w:rFonts w:hint="default" w:ascii="Times New Roman" w:hAnsi="Times New Roman" w:eastAsia="宋体" w:cs="Times New Roman"/>
                <w:i/>
                <w:color w:val="auto"/>
                <w:kern w:val="2"/>
                <w:sz w:val="18"/>
                <w:szCs w:val="18"/>
              </w:rPr>
              <w:t>Ciriium setosum</w:t>
            </w:r>
          </w:p>
        </w:tc>
      </w:tr>
      <w:tr w14:paraId="2A575F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65" w:hRule="atLeast"/>
          <w:jc w:val="center"/>
        </w:trPr>
        <w:tc>
          <w:tcPr>
            <w:tcW w:w="1585" w:type="pct"/>
            <w:vMerge w:val="continue"/>
            <w:tcBorders>
              <w:tl2br w:val="nil"/>
              <w:tr2bl w:val="nil"/>
            </w:tcBorders>
            <w:noWrap w:val="0"/>
            <w:vAlign w:val="center"/>
          </w:tcPr>
          <w:p w14:paraId="258C03A9">
            <w:pPr>
              <w:ind w:firstLine="361"/>
              <w:rPr>
                <w:rFonts w:hint="default" w:ascii="Times New Roman" w:hAnsi="Times New Roman" w:eastAsia="宋体" w:cs="Times New Roman"/>
                <w:i/>
                <w:color w:val="auto"/>
                <w:kern w:val="2"/>
                <w:sz w:val="18"/>
                <w:szCs w:val="18"/>
              </w:rPr>
            </w:pPr>
          </w:p>
        </w:tc>
        <w:tc>
          <w:tcPr>
            <w:tcW w:w="1593" w:type="pct"/>
            <w:tcBorders>
              <w:tl2br w:val="nil"/>
              <w:tr2bl w:val="nil"/>
            </w:tcBorders>
            <w:noWrap w:val="0"/>
            <w:vAlign w:val="top"/>
          </w:tcPr>
          <w:p w14:paraId="5DFA3230">
            <w:pPr>
              <w:ind w:firstLine="361"/>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花花柴</w:t>
            </w:r>
          </w:p>
        </w:tc>
        <w:tc>
          <w:tcPr>
            <w:tcW w:w="1821" w:type="pct"/>
            <w:tcBorders>
              <w:tl2br w:val="nil"/>
              <w:tr2bl w:val="nil"/>
            </w:tcBorders>
            <w:noWrap w:val="0"/>
            <w:vAlign w:val="top"/>
          </w:tcPr>
          <w:p w14:paraId="2B1C0755">
            <w:pPr>
              <w:ind w:firstLine="361"/>
              <w:rPr>
                <w:rFonts w:hint="default" w:ascii="Times New Roman" w:hAnsi="Times New Roman" w:eastAsia="宋体" w:cs="Times New Roman"/>
                <w:i/>
                <w:color w:val="auto"/>
                <w:kern w:val="2"/>
                <w:sz w:val="18"/>
                <w:szCs w:val="18"/>
              </w:rPr>
            </w:pPr>
            <w:r>
              <w:rPr>
                <w:rFonts w:hint="default" w:ascii="Times New Roman" w:hAnsi="Times New Roman" w:eastAsia="宋体" w:cs="Times New Roman"/>
                <w:i/>
                <w:color w:val="auto"/>
                <w:kern w:val="2"/>
                <w:sz w:val="18"/>
                <w:szCs w:val="18"/>
              </w:rPr>
              <w:t>Karelinia caspica</w:t>
            </w:r>
          </w:p>
        </w:tc>
      </w:tr>
      <w:tr w14:paraId="59B671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4" w:hRule="atLeast"/>
          <w:jc w:val="center"/>
        </w:trPr>
        <w:tc>
          <w:tcPr>
            <w:tcW w:w="1585" w:type="pct"/>
            <w:vMerge w:val="restart"/>
            <w:tcBorders>
              <w:tl2br w:val="nil"/>
              <w:tr2bl w:val="nil"/>
            </w:tcBorders>
            <w:noWrap w:val="0"/>
            <w:vAlign w:val="center"/>
          </w:tcPr>
          <w:p w14:paraId="0D3E68F3">
            <w:pPr>
              <w:ind w:firstLine="361"/>
              <w:rPr>
                <w:rFonts w:hint="default" w:ascii="Times New Roman" w:hAnsi="Times New Roman" w:eastAsia="宋体" w:cs="Times New Roman"/>
                <w:i/>
                <w:color w:val="auto"/>
                <w:kern w:val="2"/>
                <w:sz w:val="18"/>
                <w:szCs w:val="18"/>
              </w:rPr>
            </w:pPr>
            <w:r>
              <w:rPr>
                <w:rFonts w:hint="default" w:ascii="Times New Roman" w:hAnsi="Times New Roman" w:eastAsia="宋体" w:cs="Times New Roman"/>
                <w:i/>
                <w:color w:val="auto"/>
                <w:kern w:val="2"/>
                <w:sz w:val="18"/>
                <w:szCs w:val="18"/>
              </w:rPr>
              <w:t>禾本科Gramineae</w:t>
            </w:r>
          </w:p>
        </w:tc>
        <w:tc>
          <w:tcPr>
            <w:tcW w:w="1593" w:type="pct"/>
            <w:tcBorders>
              <w:tl2br w:val="nil"/>
              <w:tr2bl w:val="nil"/>
            </w:tcBorders>
            <w:noWrap w:val="0"/>
            <w:vAlign w:val="top"/>
          </w:tcPr>
          <w:p w14:paraId="64BCBDAB">
            <w:pPr>
              <w:ind w:firstLine="361"/>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芦苇</w:t>
            </w:r>
          </w:p>
        </w:tc>
        <w:tc>
          <w:tcPr>
            <w:tcW w:w="1821" w:type="pct"/>
            <w:tcBorders>
              <w:tl2br w:val="nil"/>
              <w:tr2bl w:val="nil"/>
            </w:tcBorders>
            <w:noWrap w:val="0"/>
            <w:vAlign w:val="top"/>
          </w:tcPr>
          <w:p w14:paraId="47167A8A">
            <w:pPr>
              <w:ind w:firstLine="361"/>
              <w:rPr>
                <w:rFonts w:hint="default" w:ascii="Times New Roman" w:hAnsi="Times New Roman" w:eastAsia="宋体" w:cs="Times New Roman"/>
                <w:i/>
                <w:color w:val="auto"/>
                <w:kern w:val="2"/>
                <w:sz w:val="18"/>
                <w:szCs w:val="18"/>
              </w:rPr>
            </w:pPr>
            <w:r>
              <w:rPr>
                <w:rFonts w:hint="default" w:ascii="Times New Roman" w:hAnsi="Times New Roman" w:eastAsia="宋体" w:cs="Times New Roman"/>
                <w:i/>
                <w:color w:val="auto"/>
                <w:kern w:val="2"/>
                <w:sz w:val="18"/>
                <w:szCs w:val="18"/>
              </w:rPr>
              <w:t>Phragmites australis</w:t>
            </w:r>
            <w:r>
              <w:rPr>
                <w:rFonts w:hint="default" w:ascii="Times New Roman" w:hAnsi="Times New Roman" w:eastAsia="宋体" w:cs="Times New Roman"/>
                <w:b/>
                <w:color w:val="auto"/>
                <w:spacing w:val="4"/>
                <w:kern w:val="2"/>
                <w:sz w:val="18"/>
                <w:szCs w:val="18"/>
              </w:rPr>
              <w:t xml:space="preserve"> </w:t>
            </w:r>
          </w:p>
        </w:tc>
      </w:tr>
      <w:tr w14:paraId="736FD0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00" w:hRule="atLeast"/>
          <w:jc w:val="center"/>
        </w:trPr>
        <w:tc>
          <w:tcPr>
            <w:tcW w:w="1585" w:type="pct"/>
            <w:vMerge w:val="continue"/>
            <w:tcBorders>
              <w:tl2br w:val="nil"/>
              <w:tr2bl w:val="nil"/>
            </w:tcBorders>
            <w:noWrap w:val="0"/>
            <w:vAlign w:val="center"/>
          </w:tcPr>
          <w:p w14:paraId="553B1C1E">
            <w:pPr>
              <w:ind w:firstLine="361"/>
              <w:rPr>
                <w:rFonts w:hint="default" w:ascii="Times New Roman" w:hAnsi="Times New Roman" w:eastAsia="宋体" w:cs="Times New Roman"/>
                <w:i/>
                <w:color w:val="auto"/>
                <w:kern w:val="2"/>
                <w:sz w:val="18"/>
                <w:szCs w:val="18"/>
              </w:rPr>
            </w:pPr>
          </w:p>
        </w:tc>
        <w:tc>
          <w:tcPr>
            <w:tcW w:w="1593" w:type="pct"/>
            <w:tcBorders>
              <w:tl2br w:val="nil"/>
              <w:tr2bl w:val="nil"/>
            </w:tcBorders>
            <w:noWrap w:val="0"/>
            <w:vAlign w:val="top"/>
          </w:tcPr>
          <w:p w14:paraId="689A1E93">
            <w:pPr>
              <w:ind w:firstLine="361"/>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假苇拂子茅</w:t>
            </w:r>
          </w:p>
        </w:tc>
        <w:tc>
          <w:tcPr>
            <w:tcW w:w="1821" w:type="pct"/>
            <w:tcBorders>
              <w:tl2br w:val="nil"/>
              <w:tr2bl w:val="nil"/>
            </w:tcBorders>
            <w:noWrap w:val="0"/>
            <w:vAlign w:val="top"/>
          </w:tcPr>
          <w:p w14:paraId="46C63F6D">
            <w:pPr>
              <w:ind w:firstLine="361"/>
              <w:rPr>
                <w:rFonts w:hint="default" w:ascii="Times New Roman" w:hAnsi="Times New Roman" w:eastAsia="宋体" w:cs="Times New Roman"/>
                <w:i/>
                <w:color w:val="auto"/>
                <w:kern w:val="2"/>
                <w:sz w:val="18"/>
                <w:szCs w:val="18"/>
              </w:rPr>
            </w:pPr>
            <w:r>
              <w:rPr>
                <w:rFonts w:hint="default" w:ascii="Times New Roman" w:hAnsi="Times New Roman" w:eastAsia="宋体" w:cs="Times New Roman"/>
                <w:i/>
                <w:color w:val="auto"/>
                <w:kern w:val="2"/>
                <w:sz w:val="18"/>
                <w:szCs w:val="18"/>
              </w:rPr>
              <w:t>Calamagrostis pseudophramites</w:t>
            </w:r>
          </w:p>
        </w:tc>
      </w:tr>
      <w:tr w14:paraId="2FE3C2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5" w:hRule="atLeast"/>
          <w:jc w:val="center"/>
        </w:trPr>
        <w:tc>
          <w:tcPr>
            <w:tcW w:w="1585" w:type="pct"/>
            <w:vMerge w:val="continue"/>
            <w:tcBorders>
              <w:tl2br w:val="nil"/>
              <w:tr2bl w:val="nil"/>
            </w:tcBorders>
            <w:noWrap w:val="0"/>
            <w:vAlign w:val="center"/>
          </w:tcPr>
          <w:p w14:paraId="4C8EDE02">
            <w:pPr>
              <w:ind w:firstLine="361"/>
              <w:rPr>
                <w:rFonts w:hint="default" w:ascii="Times New Roman" w:hAnsi="Times New Roman" w:eastAsia="宋体" w:cs="Times New Roman"/>
                <w:i/>
                <w:color w:val="auto"/>
                <w:kern w:val="2"/>
                <w:sz w:val="18"/>
                <w:szCs w:val="18"/>
              </w:rPr>
            </w:pPr>
          </w:p>
        </w:tc>
        <w:tc>
          <w:tcPr>
            <w:tcW w:w="1593" w:type="pct"/>
            <w:tcBorders>
              <w:tl2br w:val="nil"/>
              <w:tr2bl w:val="nil"/>
            </w:tcBorders>
            <w:noWrap w:val="0"/>
            <w:vAlign w:val="top"/>
          </w:tcPr>
          <w:p w14:paraId="7CCD46D5">
            <w:pPr>
              <w:ind w:firstLine="361"/>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拂子茅</w:t>
            </w:r>
          </w:p>
        </w:tc>
        <w:tc>
          <w:tcPr>
            <w:tcW w:w="1821" w:type="pct"/>
            <w:tcBorders>
              <w:tl2br w:val="nil"/>
              <w:tr2bl w:val="nil"/>
            </w:tcBorders>
            <w:noWrap w:val="0"/>
            <w:vAlign w:val="top"/>
          </w:tcPr>
          <w:p w14:paraId="22CB15DF">
            <w:pPr>
              <w:ind w:firstLine="361"/>
              <w:rPr>
                <w:rFonts w:hint="default" w:ascii="Times New Roman" w:hAnsi="Times New Roman" w:eastAsia="宋体" w:cs="Times New Roman"/>
                <w:i/>
                <w:color w:val="auto"/>
                <w:kern w:val="2"/>
                <w:sz w:val="18"/>
                <w:szCs w:val="18"/>
              </w:rPr>
            </w:pPr>
            <w:r>
              <w:rPr>
                <w:rFonts w:hint="default" w:ascii="Times New Roman" w:hAnsi="Times New Roman" w:eastAsia="宋体" w:cs="Times New Roman"/>
                <w:i/>
                <w:color w:val="auto"/>
                <w:kern w:val="2"/>
                <w:sz w:val="18"/>
                <w:szCs w:val="18"/>
              </w:rPr>
              <w:t>Calamagrostis epigeios</w:t>
            </w:r>
          </w:p>
        </w:tc>
      </w:tr>
      <w:tr w14:paraId="74A891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15" w:hRule="atLeast"/>
          <w:jc w:val="center"/>
        </w:trPr>
        <w:tc>
          <w:tcPr>
            <w:tcW w:w="1585" w:type="pct"/>
            <w:vMerge w:val="continue"/>
            <w:tcBorders>
              <w:tl2br w:val="nil"/>
              <w:tr2bl w:val="nil"/>
            </w:tcBorders>
            <w:noWrap w:val="0"/>
            <w:vAlign w:val="center"/>
          </w:tcPr>
          <w:p w14:paraId="4A39F7A5">
            <w:pPr>
              <w:ind w:firstLine="361"/>
              <w:rPr>
                <w:rFonts w:hint="default" w:ascii="Times New Roman" w:hAnsi="Times New Roman" w:eastAsia="宋体" w:cs="Times New Roman"/>
                <w:i/>
                <w:color w:val="auto"/>
                <w:kern w:val="2"/>
                <w:sz w:val="18"/>
                <w:szCs w:val="18"/>
              </w:rPr>
            </w:pPr>
          </w:p>
        </w:tc>
        <w:tc>
          <w:tcPr>
            <w:tcW w:w="1593" w:type="pct"/>
            <w:tcBorders>
              <w:tl2br w:val="nil"/>
              <w:tr2bl w:val="nil"/>
            </w:tcBorders>
            <w:noWrap w:val="0"/>
            <w:vAlign w:val="top"/>
          </w:tcPr>
          <w:p w14:paraId="4D9C898B">
            <w:pPr>
              <w:ind w:firstLine="361"/>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獐毛</w:t>
            </w:r>
          </w:p>
        </w:tc>
        <w:tc>
          <w:tcPr>
            <w:tcW w:w="1821" w:type="pct"/>
            <w:tcBorders>
              <w:tl2br w:val="nil"/>
              <w:tr2bl w:val="nil"/>
            </w:tcBorders>
            <w:noWrap w:val="0"/>
            <w:vAlign w:val="top"/>
          </w:tcPr>
          <w:p w14:paraId="4C6D63EE">
            <w:pPr>
              <w:ind w:firstLine="361"/>
              <w:rPr>
                <w:rFonts w:hint="default" w:ascii="Times New Roman" w:hAnsi="Times New Roman" w:eastAsia="宋体" w:cs="Times New Roman"/>
                <w:i/>
                <w:color w:val="auto"/>
                <w:kern w:val="2"/>
                <w:sz w:val="18"/>
                <w:szCs w:val="18"/>
              </w:rPr>
            </w:pPr>
            <w:r>
              <w:rPr>
                <w:rFonts w:hint="default" w:ascii="Times New Roman" w:hAnsi="Times New Roman" w:eastAsia="宋体" w:cs="Times New Roman"/>
                <w:i/>
                <w:color w:val="auto"/>
                <w:kern w:val="2"/>
                <w:sz w:val="18"/>
                <w:szCs w:val="18"/>
              </w:rPr>
              <w:t>Aeluropus sinensis</w:t>
            </w:r>
          </w:p>
        </w:tc>
      </w:tr>
      <w:tr w14:paraId="63A5B9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46" w:hRule="atLeast"/>
          <w:jc w:val="center"/>
        </w:trPr>
        <w:tc>
          <w:tcPr>
            <w:tcW w:w="1585" w:type="pct"/>
            <w:vMerge w:val="continue"/>
            <w:tcBorders>
              <w:tl2br w:val="nil"/>
              <w:tr2bl w:val="nil"/>
            </w:tcBorders>
            <w:noWrap w:val="0"/>
            <w:vAlign w:val="center"/>
          </w:tcPr>
          <w:p w14:paraId="1BCDBFE4">
            <w:pPr>
              <w:ind w:firstLine="361"/>
              <w:rPr>
                <w:rFonts w:hint="default" w:ascii="Times New Roman" w:hAnsi="Times New Roman" w:eastAsia="宋体" w:cs="Times New Roman"/>
                <w:i/>
                <w:color w:val="auto"/>
                <w:kern w:val="2"/>
                <w:sz w:val="18"/>
                <w:szCs w:val="18"/>
              </w:rPr>
            </w:pPr>
          </w:p>
        </w:tc>
        <w:tc>
          <w:tcPr>
            <w:tcW w:w="1593" w:type="pct"/>
            <w:tcBorders>
              <w:tl2br w:val="nil"/>
              <w:tr2bl w:val="nil"/>
            </w:tcBorders>
            <w:noWrap w:val="0"/>
            <w:vAlign w:val="top"/>
          </w:tcPr>
          <w:p w14:paraId="14307279">
            <w:pPr>
              <w:ind w:firstLine="361"/>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赖草</w:t>
            </w:r>
          </w:p>
        </w:tc>
        <w:tc>
          <w:tcPr>
            <w:tcW w:w="1821" w:type="pct"/>
            <w:tcBorders>
              <w:tl2br w:val="nil"/>
              <w:tr2bl w:val="nil"/>
            </w:tcBorders>
            <w:noWrap w:val="0"/>
            <w:vAlign w:val="top"/>
          </w:tcPr>
          <w:p w14:paraId="7A95080E">
            <w:pPr>
              <w:ind w:firstLine="361"/>
              <w:rPr>
                <w:rFonts w:hint="default" w:ascii="Times New Roman" w:hAnsi="Times New Roman" w:eastAsia="宋体" w:cs="Times New Roman"/>
                <w:i/>
                <w:color w:val="auto"/>
                <w:kern w:val="2"/>
                <w:sz w:val="18"/>
                <w:szCs w:val="18"/>
              </w:rPr>
            </w:pPr>
            <w:r>
              <w:rPr>
                <w:rFonts w:hint="default" w:ascii="Times New Roman" w:hAnsi="Times New Roman" w:eastAsia="宋体" w:cs="Times New Roman"/>
                <w:i/>
                <w:color w:val="auto"/>
                <w:kern w:val="2"/>
                <w:sz w:val="18"/>
                <w:szCs w:val="18"/>
              </w:rPr>
              <w:t>Leymus secalinus</w:t>
            </w:r>
          </w:p>
        </w:tc>
      </w:tr>
    </w:tbl>
    <w:p w14:paraId="1DF33CE4">
      <w:pPr>
        <w:pStyle w:val="79"/>
        <w:bidi w:val="0"/>
        <w:rPr>
          <w:color w:val="auto"/>
        </w:rPr>
      </w:pPr>
      <w:r>
        <w:rPr>
          <w:rFonts w:hint="eastAsia"/>
          <w:color w:val="auto"/>
        </w:rPr>
        <w:t>由</w:t>
      </w:r>
      <w:r>
        <w:rPr>
          <w:rFonts w:hint="eastAsia"/>
          <w:color w:val="auto"/>
          <w:lang w:val="en-US" w:eastAsia="zh-CN"/>
        </w:rPr>
        <w:t>上</w:t>
      </w:r>
      <w:r>
        <w:rPr>
          <w:rFonts w:hint="eastAsia"/>
          <w:color w:val="auto"/>
        </w:rPr>
        <w:t>表可以看出，区域植被多为小半灌木和多年生草本植物，</w:t>
      </w:r>
      <w:r>
        <w:rPr>
          <w:color w:val="auto"/>
        </w:rPr>
        <w:t>灌木植物主要以利用4</w:t>
      </w:r>
      <w:r>
        <w:rPr>
          <w:rFonts w:hint="eastAsia"/>
          <w:color w:val="auto"/>
          <w:lang w:eastAsia="zh-CN"/>
        </w:rPr>
        <w:t>～</w:t>
      </w:r>
      <w:r>
        <w:rPr>
          <w:color w:val="auto"/>
        </w:rPr>
        <w:t>6m的地下水为主，且分布范围广泛。多年生草本植物主要以利用2m左右的浅层地下水为主，此类植物都具有较强的耐盐碱可正常生长、繁殖（根蘖），若地下水下降，</w:t>
      </w:r>
      <w:r>
        <w:rPr>
          <w:rFonts w:hint="eastAsia"/>
          <w:color w:val="auto"/>
        </w:rPr>
        <w:t>将</w:t>
      </w:r>
      <w:r>
        <w:rPr>
          <w:color w:val="auto"/>
        </w:rPr>
        <w:t>造成片</w:t>
      </w:r>
      <w:r>
        <w:rPr>
          <w:rFonts w:hint="eastAsia"/>
          <w:color w:val="auto"/>
        </w:rPr>
        <w:t>消亡</w:t>
      </w:r>
      <w:r>
        <w:rPr>
          <w:color w:val="auto"/>
        </w:rPr>
        <w:t>。</w:t>
      </w:r>
    </w:p>
    <w:p w14:paraId="5BFF1770">
      <w:pPr>
        <w:pStyle w:val="55"/>
        <w:bidi w:val="0"/>
        <w:rPr>
          <w:rFonts w:hint="default"/>
          <w:color w:val="auto"/>
          <w:lang w:val="en-US" w:eastAsia="zh-CN"/>
        </w:rPr>
      </w:pPr>
      <w:r>
        <w:rPr>
          <w:rFonts w:hint="default"/>
          <w:color w:val="auto"/>
          <w:lang w:val="zh-CN" w:eastAsia="zh-CN"/>
        </w:rPr>
        <w:t>4.2.</w:t>
      </w:r>
      <w:r>
        <w:rPr>
          <w:rFonts w:hint="eastAsia"/>
          <w:color w:val="auto"/>
          <w:lang w:val="en-US" w:eastAsia="zh-CN"/>
        </w:rPr>
        <w:t>5</w:t>
      </w:r>
      <w:r>
        <w:rPr>
          <w:rFonts w:hint="default"/>
          <w:color w:val="auto"/>
          <w:lang w:val="zh-CN" w:eastAsia="zh-CN"/>
        </w:rPr>
        <w:t>.</w:t>
      </w:r>
      <w:r>
        <w:rPr>
          <w:rFonts w:hint="default"/>
          <w:color w:val="auto"/>
          <w:lang w:val="en-US" w:eastAsia="zh-CN"/>
        </w:rPr>
        <w:t>2</w:t>
      </w:r>
      <w:r>
        <w:rPr>
          <w:rFonts w:hint="eastAsia"/>
          <w:color w:val="auto"/>
          <w:lang w:val="en-US" w:eastAsia="zh-CN"/>
        </w:rPr>
        <w:t xml:space="preserve"> </w:t>
      </w:r>
      <w:r>
        <w:rPr>
          <w:rFonts w:hint="default"/>
          <w:color w:val="auto"/>
          <w:lang w:val="en-US" w:eastAsia="zh-CN"/>
        </w:rPr>
        <w:t>评价区植物种类</w:t>
      </w:r>
    </w:p>
    <w:p w14:paraId="38B66873">
      <w:pPr>
        <w:pStyle w:val="79"/>
        <w:bidi w:val="0"/>
        <w:rPr>
          <w:rFonts w:hint="default"/>
          <w:color w:val="auto"/>
          <w:lang w:eastAsia="zh-CN"/>
        </w:rPr>
      </w:pPr>
      <w:r>
        <w:rPr>
          <w:rFonts w:hint="default"/>
          <w:color w:val="auto"/>
          <w:lang w:val="en-US" w:eastAsia="zh-CN"/>
        </w:rPr>
        <w:t>评价区主要为荒漠带，植被稀疏，植株矮小，以旱生、盐生植被为主，呈典型的荒漠生态景观。</w:t>
      </w:r>
      <w:r>
        <w:rPr>
          <w:rFonts w:hint="default"/>
          <w:color w:val="auto"/>
        </w:rPr>
        <w:t>根据现场调查及查阅相关资料，本项目所在区域内的主要植被以疏叶骆驼刺、盐穗木为主，偶有</w:t>
      </w:r>
      <w:r>
        <w:rPr>
          <w:rFonts w:hint="eastAsia"/>
          <w:color w:val="auto"/>
          <w:lang w:val="en-US" w:eastAsia="zh-CN"/>
        </w:rPr>
        <w:t>芦苇、</w:t>
      </w:r>
      <w:r>
        <w:rPr>
          <w:rFonts w:hint="default"/>
          <w:color w:val="auto"/>
        </w:rPr>
        <w:t>多枝柽柳</w:t>
      </w:r>
      <w:r>
        <w:rPr>
          <w:rFonts w:hint="default"/>
          <w:color w:val="auto"/>
          <w:lang w:eastAsia="zh-CN"/>
        </w:rPr>
        <w:t>。</w:t>
      </w:r>
    </w:p>
    <w:p w14:paraId="43C5F053">
      <w:pPr>
        <w:pStyle w:val="79"/>
        <w:bidi w:val="0"/>
        <w:rPr>
          <w:rFonts w:hint="default"/>
          <w:color w:val="auto"/>
        </w:rPr>
      </w:pPr>
      <w:r>
        <w:rPr>
          <w:rFonts w:hint="default"/>
          <w:color w:val="auto"/>
        </w:rPr>
        <w:t>根据《国家重点保护野生植物名录》《新疆维吾尔自治区重点保护野生植物名录》，评价区无国家及自治区保护植物分布。</w:t>
      </w:r>
    </w:p>
    <w:p w14:paraId="0273C72D">
      <w:pPr>
        <w:pStyle w:val="55"/>
        <w:bidi w:val="0"/>
        <w:rPr>
          <w:rFonts w:hint="default"/>
          <w:color w:val="auto"/>
          <w:lang w:val="zh-CN" w:eastAsia="zh-CN"/>
        </w:rPr>
      </w:pPr>
      <w:r>
        <w:rPr>
          <w:rFonts w:hint="eastAsia"/>
          <w:color w:val="auto"/>
          <w:lang w:val="en-US" w:eastAsia="zh-CN"/>
        </w:rPr>
        <w:t>4.2.5.3</w:t>
      </w:r>
      <w:r>
        <w:rPr>
          <w:rFonts w:hint="eastAsia"/>
          <w:color w:val="auto"/>
          <w:lang w:val="zh-CN" w:eastAsia="zh-CN"/>
        </w:rPr>
        <w:t>植被利用现状</w:t>
      </w:r>
    </w:p>
    <w:p w14:paraId="7F848B3C">
      <w:pPr>
        <w:pStyle w:val="79"/>
        <w:bidi w:val="0"/>
        <w:rPr>
          <w:rFonts w:hint="default"/>
          <w:color w:val="auto"/>
          <w:lang w:val="en-US" w:eastAsia="zh-CN"/>
        </w:rPr>
      </w:pPr>
      <w:r>
        <w:rPr>
          <w:rFonts w:hint="default"/>
          <w:color w:val="auto"/>
          <w:lang w:val="en-US" w:eastAsia="zh-CN"/>
        </w:rPr>
        <w:t>本报告采用《全国重点牧区草场资源调查大纲和技术规程》中五等八级的评价标准对草地质量进行评价。</w:t>
      </w:r>
    </w:p>
    <w:p w14:paraId="3AB5D57B">
      <w:pPr>
        <w:pStyle w:val="79"/>
        <w:bidi w:val="0"/>
        <w:rPr>
          <w:rFonts w:hint="default"/>
          <w:color w:val="auto"/>
          <w:lang w:val="en-US" w:eastAsia="zh-CN"/>
        </w:rPr>
      </w:pPr>
      <w:r>
        <w:rPr>
          <w:rFonts w:hint="eastAsia"/>
          <w:color w:val="auto"/>
          <w:lang w:val="en-US" w:eastAsia="zh-CN"/>
        </w:rPr>
        <w:t>项目区</w:t>
      </w:r>
      <w:r>
        <w:rPr>
          <w:rFonts w:hint="default"/>
          <w:color w:val="auto"/>
          <w:lang w:val="en-US" w:eastAsia="zh-CN"/>
        </w:rPr>
        <w:t>为</w:t>
      </w:r>
      <w:r>
        <w:rPr>
          <w:rFonts w:hint="eastAsia"/>
          <w:color w:val="auto"/>
          <w:lang w:val="en-US" w:eastAsia="zh-CN"/>
        </w:rPr>
        <w:t>典型的</w:t>
      </w:r>
      <w:r>
        <w:rPr>
          <w:rFonts w:hint="default"/>
          <w:color w:val="auto"/>
          <w:lang w:val="en-US" w:eastAsia="zh-CN"/>
        </w:rPr>
        <w:t>荒漠灌木</w:t>
      </w:r>
      <w:r>
        <w:rPr>
          <w:rFonts w:hint="eastAsia"/>
          <w:color w:val="auto"/>
          <w:lang w:val="en-US" w:eastAsia="zh-CN"/>
        </w:rPr>
        <w:t>及</w:t>
      </w:r>
      <w:r>
        <w:rPr>
          <w:rFonts w:hint="default"/>
          <w:color w:val="auto"/>
          <w:lang w:val="en-US" w:eastAsia="zh-CN"/>
        </w:rPr>
        <w:t>盐化草甸</w:t>
      </w:r>
      <w:r>
        <w:rPr>
          <w:rFonts w:hint="eastAsia"/>
          <w:color w:val="auto"/>
          <w:lang w:val="en-US" w:eastAsia="zh-CN"/>
        </w:rPr>
        <w:t>，</w:t>
      </w:r>
      <w:r>
        <w:rPr>
          <w:rFonts w:hint="default"/>
          <w:color w:val="auto"/>
          <w:lang w:val="en-US" w:eastAsia="zh-CN"/>
        </w:rPr>
        <w:t>主要植被类型为柽柳灌丛及</w:t>
      </w:r>
      <w:r>
        <w:rPr>
          <w:rFonts w:hint="eastAsia"/>
          <w:color w:val="auto"/>
          <w:lang w:val="en-US" w:eastAsia="zh-CN"/>
        </w:rPr>
        <w:t>盐穗木</w:t>
      </w:r>
      <w:r>
        <w:rPr>
          <w:rFonts w:hint="default"/>
          <w:color w:val="auto"/>
          <w:lang w:val="en-US" w:eastAsia="zh-CN"/>
        </w:rPr>
        <w:t>草甸，</w:t>
      </w:r>
      <w:r>
        <w:rPr>
          <w:rFonts w:hint="eastAsia"/>
          <w:color w:val="auto"/>
          <w:lang w:val="en-US" w:eastAsia="zh-CN"/>
        </w:rPr>
        <w:t>植被覆盖度5%～</w:t>
      </w:r>
      <w:r>
        <w:rPr>
          <w:rFonts w:hint="default"/>
          <w:color w:val="auto"/>
          <w:lang w:val="en-US" w:eastAsia="zh-CN"/>
        </w:rPr>
        <w:t>10</w:t>
      </w:r>
      <w:r>
        <w:rPr>
          <w:rFonts w:hint="eastAsia"/>
          <w:color w:val="auto"/>
          <w:lang w:val="en-US" w:eastAsia="zh-CN"/>
        </w:rPr>
        <w:t>%，</w:t>
      </w:r>
      <w:r>
        <w:rPr>
          <w:rFonts w:hint="default"/>
          <w:color w:val="auto"/>
          <w:lang w:val="en-US" w:eastAsia="zh-CN"/>
        </w:rPr>
        <w:t>草场类型为：荒漠化、盐化草地。主要的草场等级为四等五级草场</w:t>
      </w:r>
      <w:r>
        <w:rPr>
          <w:rFonts w:hint="eastAsia"/>
          <w:color w:val="auto"/>
          <w:lang w:val="en-US" w:eastAsia="zh-CN"/>
        </w:rPr>
        <w:t>。</w:t>
      </w:r>
    </w:p>
    <w:p w14:paraId="37BE49E6">
      <w:pPr>
        <w:bidi w:val="0"/>
        <w:rPr>
          <w:rFonts w:hint="eastAsia"/>
          <w:color w:val="auto"/>
          <w:lang w:val="zh-CN" w:eastAsia="zh-CN"/>
        </w:rPr>
      </w:pPr>
    </w:p>
    <w:p w14:paraId="31EC9DFF">
      <w:pPr>
        <w:bidi w:val="0"/>
        <w:rPr>
          <w:rFonts w:hint="eastAsia"/>
          <w:color w:val="auto"/>
          <w:lang w:val="zh-CN" w:eastAsia="zh-CN"/>
        </w:rPr>
      </w:pPr>
    </w:p>
    <w:p w14:paraId="343EA2DB">
      <w:pPr>
        <w:keepNext/>
        <w:keepLines/>
        <w:widowControl w:val="0"/>
        <w:numPr>
          <w:ilvl w:val="2"/>
          <w:numId w:val="0"/>
        </w:numPr>
        <w:spacing w:line="360" w:lineRule="auto"/>
        <w:jc w:val="both"/>
        <w:outlineLvl w:val="2"/>
        <w:rPr>
          <w:rFonts w:hint="default" w:ascii="Times New Roman" w:hAnsi="Times New Roman" w:eastAsia="宋体" w:cs="Times New Roman"/>
          <w:b/>
          <w:bCs/>
          <w:color w:val="auto"/>
          <w:kern w:val="2"/>
          <w:sz w:val="28"/>
          <w:szCs w:val="28"/>
          <w:highlight w:val="none"/>
          <w:lang w:val="zh-CN" w:eastAsia="zh-CN" w:bidi="ar-SA"/>
        </w:rPr>
        <w:sectPr>
          <w:pgSz w:w="11906"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AndChars" w:linePitch="316" w:charSpace="0"/>
        </w:sectPr>
      </w:pPr>
    </w:p>
    <w:p w14:paraId="4D6A25CA">
      <w:pPr>
        <w:bidi w:val="0"/>
        <w:rPr>
          <w:rFonts w:hint="default"/>
          <w:color w:val="auto"/>
          <w:lang w:val="en-US" w:eastAsia="zh-CN"/>
        </w:rPr>
      </w:pPr>
    </w:p>
    <w:p w14:paraId="150A4D95">
      <w:pPr>
        <w:keepNext/>
        <w:keepLines/>
        <w:pageBreakBefore w:val="0"/>
        <w:widowControl w:val="0"/>
        <w:numPr>
          <w:ilvl w:val="2"/>
          <w:numId w:val="0"/>
        </w:numPr>
        <w:kinsoku/>
        <w:wordWrap/>
        <w:overflowPunct/>
        <w:topLinePunct w:val="0"/>
        <w:autoSpaceDE/>
        <w:autoSpaceDN/>
        <w:bidi w:val="0"/>
        <w:adjustRightInd/>
        <w:snapToGrid/>
        <w:spacing w:line="400" w:lineRule="exact"/>
        <w:jc w:val="center"/>
        <w:textAlignment w:val="auto"/>
        <w:outlineLvl w:val="9"/>
        <w:rPr>
          <w:rFonts w:hint="eastAsia" w:ascii="黑体" w:hAnsi="黑体" w:eastAsia="黑体" w:cs="黑体"/>
          <w:b/>
          <w:bCs/>
          <w:color w:val="auto"/>
          <w:kern w:val="2"/>
          <w:sz w:val="24"/>
          <w:szCs w:val="24"/>
          <w:highlight w:val="none"/>
          <w:lang w:val="zh-CN" w:eastAsia="zh-CN" w:bidi="ar-SA"/>
        </w:rPr>
        <w:sectPr>
          <w:pgSz w:w="16838" w:h="11906" w:orient="landscape"/>
          <w:pgMar w:top="1814" w:right="1474" w:bottom="1474" w:left="1474" w:header="850" w:footer="992" w:gutter="0"/>
          <w:pgBorders>
            <w:top w:val="none" w:sz="0" w:space="0"/>
            <w:left w:val="none" w:sz="0" w:space="0"/>
            <w:bottom w:val="none" w:sz="0" w:space="0"/>
            <w:right w:val="none" w:sz="0" w:space="0"/>
          </w:pgBorders>
          <w:pgNumType w:fmt="decimal"/>
          <w:cols w:space="0" w:num="1"/>
          <w:rtlGutter w:val="0"/>
          <w:docGrid w:type="linesAndChars" w:linePitch="316" w:charSpace="0"/>
        </w:sectPr>
      </w:pPr>
      <w:r>
        <w:rPr>
          <w:rFonts w:hint="eastAsia" w:ascii="黑体" w:hAnsi="黑体" w:eastAsia="黑体" w:cs="黑体"/>
          <w:b/>
          <w:bCs w:val="0"/>
          <w:color w:val="auto"/>
          <w:kern w:val="2"/>
          <w:sz w:val="24"/>
          <w:szCs w:val="24"/>
          <w:lang w:val="zh-CN" w:eastAsia="zh-CN" w:bidi="ar-SA"/>
        </w:rPr>
        <w:t>图4.2-</w:t>
      </w:r>
      <w:r>
        <w:rPr>
          <w:rFonts w:hint="eastAsia" w:ascii="黑体" w:hAnsi="黑体" w:eastAsia="黑体" w:cs="黑体"/>
          <w:b/>
          <w:bCs w:val="0"/>
          <w:color w:val="auto"/>
          <w:kern w:val="2"/>
          <w:sz w:val="24"/>
          <w:szCs w:val="24"/>
          <w:lang w:val="en-US" w:eastAsia="zh-CN" w:bidi="ar-SA"/>
        </w:rPr>
        <w:t xml:space="preserve">3  </w:t>
      </w:r>
      <w:r>
        <w:rPr>
          <w:rFonts w:hint="eastAsia" w:ascii="黑体" w:hAnsi="黑体" w:eastAsia="黑体" w:cs="黑体"/>
          <w:b/>
          <w:bCs w:val="0"/>
          <w:color w:val="auto"/>
          <w:kern w:val="2"/>
          <w:sz w:val="24"/>
          <w:szCs w:val="24"/>
          <w:lang w:val="zh-CN" w:eastAsia="zh-CN" w:bidi="ar-SA"/>
        </w:rPr>
        <w:t>植被类型分布示意图</w:t>
      </w:r>
    </w:p>
    <w:p w14:paraId="37BC8CF8">
      <w:pPr>
        <w:pStyle w:val="54"/>
        <w:bidi w:val="0"/>
        <w:rPr>
          <w:rFonts w:hint="default"/>
          <w:color w:val="auto"/>
          <w:lang w:val="en-US" w:eastAsia="zh-CN"/>
        </w:rPr>
      </w:pPr>
      <w:r>
        <w:rPr>
          <w:rFonts w:hint="default"/>
          <w:color w:val="auto"/>
          <w:lang w:val="zh-CN" w:eastAsia="zh-CN"/>
        </w:rPr>
        <w:t>4.2.</w:t>
      </w:r>
      <w:r>
        <w:rPr>
          <w:rFonts w:hint="eastAsia"/>
          <w:color w:val="auto"/>
          <w:lang w:val="en-US" w:eastAsia="zh-CN"/>
        </w:rPr>
        <w:t xml:space="preserve">6 </w:t>
      </w:r>
      <w:r>
        <w:rPr>
          <w:rFonts w:hint="default"/>
          <w:color w:val="auto"/>
          <w:lang w:val="zh-CN" w:eastAsia="zh-CN"/>
        </w:rPr>
        <w:t>野生动物现状调查</w:t>
      </w:r>
      <w:r>
        <w:rPr>
          <w:rFonts w:hint="eastAsia"/>
          <w:color w:val="auto"/>
          <w:lang w:val="en-US" w:eastAsia="zh-CN"/>
        </w:rPr>
        <w:t>与评价</w:t>
      </w:r>
    </w:p>
    <w:p w14:paraId="5CF64FB7">
      <w:pPr>
        <w:pStyle w:val="79"/>
        <w:bidi w:val="0"/>
        <w:rPr>
          <w:rFonts w:hint="default"/>
          <w:color w:val="auto"/>
        </w:rPr>
      </w:pPr>
      <w:r>
        <w:rPr>
          <w:rFonts w:hint="default"/>
          <w:color w:val="auto"/>
        </w:rPr>
        <w:t>（1）野生动物区划</w:t>
      </w:r>
    </w:p>
    <w:p w14:paraId="78D60CDF">
      <w:pPr>
        <w:pStyle w:val="79"/>
        <w:bidi w:val="0"/>
        <w:rPr>
          <w:rFonts w:hint="default"/>
          <w:color w:val="auto"/>
        </w:rPr>
      </w:pPr>
      <w:r>
        <w:rPr>
          <w:rFonts w:hint="default"/>
          <w:color w:val="auto"/>
        </w:rPr>
        <w:t>根据《中国动物地理》的动物地理区划标准，拟建项目开发所在区域的动物区系属于古北界、蒙新区、西部荒漠亚区、塔里木盆地省、天山南麓平原洲、塔里木河中上游区。</w:t>
      </w:r>
    </w:p>
    <w:p w14:paraId="6998E064">
      <w:pPr>
        <w:pStyle w:val="79"/>
        <w:bidi w:val="0"/>
        <w:rPr>
          <w:rFonts w:hint="default"/>
          <w:color w:val="auto"/>
        </w:rPr>
      </w:pPr>
      <w:r>
        <w:rPr>
          <w:rFonts w:hint="default"/>
          <w:color w:val="auto"/>
        </w:rPr>
        <w:t>（2）野生动物栖息生境类型</w:t>
      </w:r>
    </w:p>
    <w:p w14:paraId="54B20D50">
      <w:pPr>
        <w:pStyle w:val="79"/>
        <w:bidi w:val="0"/>
        <w:rPr>
          <w:rFonts w:hint="default"/>
          <w:color w:val="auto"/>
        </w:rPr>
      </w:pPr>
      <w:r>
        <w:rPr>
          <w:rFonts w:hint="default"/>
          <w:color w:val="auto"/>
        </w:rPr>
        <w:t>项目区域地处塔里木盆地，位于天山南麓、塔克拉玛干沙漠北部边缘，为塔里木河冲积平原，地势较为平坦。通过对项目区内动物的实地调查和有关资料的查询，该区域主要栖息着一些耐旱型荒漠动物，以鸟类、爬行动物和啮齿类动物为主，动物种类和数量较少。</w:t>
      </w:r>
    </w:p>
    <w:p w14:paraId="2DDFFA61">
      <w:pPr>
        <w:pStyle w:val="79"/>
        <w:bidi w:val="0"/>
        <w:rPr>
          <w:rFonts w:hint="default"/>
          <w:color w:val="auto"/>
        </w:rPr>
      </w:pPr>
      <w:r>
        <w:rPr>
          <w:rFonts w:hint="default"/>
          <w:color w:val="auto"/>
        </w:rPr>
        <w:t>（3）野生动物种类及分布</w:t>
      </w:r>
    </w:p>
    <w:p w14:paraId="672C2F60">
      <w:pPr>
        <w:pStyle w:val="79"/>
        <w:bidi w:val="0"/>
        <w:rPr>
          <w:rFonts w:hint="default"/>
          <w:color w:val="auto"/>
          <w:lang w:val="en-US" w:eastAsia="zh-CN"/>
        </w:rPr>
      </w:pPr>
      <w:r>
        <w:rPr>
          <w:rFonts w:hint="default"/>
          <w:color w:val="auto"/>
        </w:rPr>
        <w:t>根据现场实地调查，项目区域以荒漠动物为主。项目所在地区内分布的主要野生脊椎动物17种，其中两栖类1种、爬行类3种、鸟类10种、哺乳类3种。各种野生脊椎动物分布状况见表4.2-3。</w:t>
      </w:r>
    </w:p>
    <w:p w14:paraId="5F0C5A8A">
      <w:pPr>
        <w:pStyle w:val="61"/>
        <w:bidi w:val="0"/>
        <w:jc w:val="both"/>
        <w:rPr>
          <w:rFonts w:hint="eastAsia"/>
          <w:color w:val="auto"/>
          <w:lang w:val="en-US" w:eastAsia="zh-CN"/>
        </w:rPr>
      </w:pPr>
      <w:r>
        <w:rPr>
          <w:rFonts w:hint="eastAsia"/>
          <w:color w:val="auto"/>
          <w:lang w:val="en-US" w:eastAsia="zh-CN"/>
        </w:rPr>
        <w:t>表4.2-3   项目区周围主要脊椎动物的种类</w:t>
      </w:r>
    </w:p>
    <w:tbl>
      <w:tblPr>
        <w:tblStyle w:val="36"/>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727"/>
        <w:gridCol w:w="2189"/>
        <w:gridCol w:w="2789"/>
        <w:gridCol w:w="972"/>
        <w:gridCol w:w="1968"/>
      </w:tblGrid>
      <w:tr w14:paraId="2AEC07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40" w:hRule="atLeast"/>
          <w:tblHeader/>
          <w:jc w:val="center"/>
        </w:trPr>
        <w:tc>
          <w:tcPr>
            <w:tcW w:w="421" w:type="pct"/>
            <w:tcBorders>
              <w:tl2br w:val="nil"/>
              <w:tr2bl w:val="nil"/>
            </w:tcBorders>
            <w:noWrap w:val="0"/>
            <w:vAlign w:val="center"/>
          </w:tcPr>
          <w:p w14:paraId="7E74CA2E">
            <w:pPr>
              <w:jc w:val="center"/>
              <w:rPr>
                <w:color w:val="auto"/>
                <w:sz w:val="21"/>
                <w:szCs w:val="21"/>
              </w:rPr>
            </w:pPr>
            <w:r>
              <w:rPr>
                <w:color w:val="auto"/>
                <w:sz w:val="21"/>
                <w:szCs w:val="21"/>
              </w:rPr>
              <w:t>序号</w:t>
            </w:r>
          </w:p>
        </w:tc>
        <w:tc>
          <w:tcPr>
            <w:tcW w:w="1266" w:type="pct"/>
            <w:tcBorders>
              <w:tl2br w:val="nil"/>
              <w:tr2bl w:val="nil"/>
            </w:tcBorders>
            <w:noWrap w:val="0"/>
            <w:vAlign w:val="center"/>
          </w:tcPr>
          <w:p w14:paraId="6EA5CB93">
            <w:pPr>
              <w:jc w:val="center"/>
              <w:rPr>
                <w:color w:val="auto"/>
                <w:sz w:val="21"/>
                <w:szCs w:val="21"/>
              </w:rPr>
            </w:pPr>
            <w:r>
              <w:rPr>
                <w:color w:val="auto"/>
                <w:sz w:val="21"/>
                <w:szCs w:val="21"/>
              </w:rPr>
              <w:t>中文名</w:t>
            </w:r>
          </w:p>
        </w:tc>
        <w:tc>
          <w:tcPr>
            <w:tcW w:w="1613" w:type="pct"/>
            <w:tcBorders>
              <w:tl2br w:val="nil"/>
              <w:tr2bl w:val="nil"/>
            </w:tcBorders>
            <w:noWrap w:val="0"/>
            <w:vAlign w:val="center"/>
          </w:tcPr>
          <w:p w14:paraId="77C1F3E2">
            <w:pPr>
              <w:jc w:val="center"/>
              <w:rPr>
                <w:color w:val="auto"/>
                <w:sz w:val="21"/>
                <w:szCs w:val="21"/>
              </w:rPr>
            </w:pPr>
            <w:r>
              <w:rPr>
                <w:color w:val="auto"/>
                <w:sz w:val="21"/>
                <w:szCs w:val="21"/>
              </w:rPr>
              <w:t>拉丁名</w:t>
            </w:r>
          </w:p>
        </w:tc>
        <w:tc>
          <w:tcPr>
            <w:tcW w:w="562" w:type="pct"/>
            <w:tcBorders>
              <w:tl2br w:val="nil"/>
              <w:tr2bl w:val="nil"/>
            </w:tcBorders>
            <w:noWrap w:val="0"/>
            <w:vAlign w:val="center"/>
          </w:tcPr>
          <w:p w14:paraId="0904D0B7">
            <w:pPr>
              <w:jc w:val="center"/>
              <w:rPr>
                <w:color w:val="auto"/>
                <w:sz w:val="21"/>
                <w:szCs w:val="21"/>
              </w:rPr>
            </w:pPr>
            <w:r>
              <w:rPr>
                <w:color w:val="auto"/>
                <w:sz w:val="21"/>
                <w:szCs w:val="21"/>
              </w:rPr>
              <w:t>留居型</w:t>
            </w:r>
          </w:p>
        </w:tc>
        <w:tc>
          <w:tcPr>
            <w:tcW w:w="1136" w:type="pct"/>
            <w:tcBorders>
              <w:tl2br w:val="nil"/>
              <w:tr2bl w:val="nil"/>
            </w:tcBorders>
            <w:noWrap w:val="0"/>
            <w:vAlign w:val="center"/>
          </w:tcPr>
          <w:p w14:paraId="71441CCD">
            <w:pPr>
              <w:jc w:val="center"/>
              <w:rPr>
                <w:color w:val="auto"/>
                <w:sz w:val="21"/>
                <w:szCs w:val="21"/>
              </w:rPr>
            </w:pPr>
            <w:r>
              <w:rPr>
                <w:color w:val="auto"/>
                <w:sz w:val="21"/>
                <w:szCs w:val="21"/>
              </w:rPr>
              <w:t>分布</w:t>
            </w:r>
          </w:p>
        </w:tc>
      </w:tr>
      <w:tr w14:paraId="1AC91D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5000" w:type="pct"/>
            <w:gridSpan w:val="5"/>
            <w:tcBorders>
              <w:tl2br w:val="nil"/>
              <w:tr2bl w:val="nil"/>
            </w:tcBorders>
            <w:noWrap w:val="0"/>
            <w:vAlign w:val="center"/>
          </w:tcPr>
          <w:p w14:paraId="44B98F4C">
            <w:pPr>
              <w:jc w:val="center"/>
              <w:rPr>
                <w:color w:val="auto"/>
                <w:sz w:val="21"/>
                <w:szCs w:val="21"/>
              </w:rPr>
            </w:pPr>
            <w:r>
              <w:rPr>
                <w:color w:val="auto"/>
                <w:sz w:val="21"/>
                <w:szCs w:val="21"/>
              </w:rPr>
              <w:t>两栖类</w:t>
            </w:r>
          </w:p>
        </w:tc>
      </w:tr>
      <w:tr w14:paraId="422D7D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21" w:type="pct"/>
            <w:tcBorders>
              <w:tl2br w:val="nil"/>
              <w:tr2bl w:val="nil"/>
            </w:tcBorders>
            <w:noWrap w:val="0"/>
            <w:vAlign w:val="center"/>
          </w:tcPr>
          <w:p w14:paraId="7F12CF0D">
            <w:pPr>
              <w:jc w:val="center"/>
              <w:rPr>
                <w:color w:val="auto"/>
                <w:sz w:val="21"/>
                <w:szCs w:val="21"/>
              </w:rPr>
            </w:pPr>
            <w:r>
              <w:rPr>
                <w:color w:val="auto"/>
                <w:sz w:val="21"/>
                <w:szCs w:val="21"/>
              </w:rPr>
              <w:t>1</w:t>
            </w:r>
          </w:p>
        </w:tc>
        <w:tc>
          <w:tcPr>
            <w:tcW w:w="1266" w:type="pct"/>
            <w:tcBorders>
              <w:tl2br w:val="nil"/>
              <w:tr2bl w:val="nil"/>
            </w:tcBorders>
            <w:noWrap w:val="0"/>
            <w:vAlign w:val="center"/>
          </w:tcPr>
          <w:p w14:paraId="4CD57222">
            <w:pPr>
              <w:jc w:val="center"/>
              <w:rPr>
                <w:color w:val="auto"/>
                <w:sz w:val="21"/>
                <w:szCs w:val="21"/>
              </w:rPr>
            </w:pPr>
            <w:r>
              <w:rPr>
                <w:color w:val="auto"/>
                <w:sz w:val="21"/>
                <w:szCs w:val="21"/>
              </w:rPr>
              <w:t>绿蟾蜍</w:t>
            </w:r>
          </w:p>
        </w:tc>
        <w:tc>
          <w:tcPr>
            <w:tcW w:w="1613" w:type="pct"/>
            <w:tcBorders>
              <w:tl2br w:val="nil"/>
              <w:tr2bl w:val="nil"/>
            </w:tcBorders>
            <w:noWrap w:val="0"/>
            <w:vAlign w:val="center"/>
          </w:tcPr>
          <w:p w14:paraId="1D708379">
            <w:pPr>
              <w:jc w:val="center"/>
              <w:rPr>
                <w:i/>
                <w:color w:val="auto"/>
                <w:sz w:val="21"/>
                <w:szCs w:val="21"/>
              </w:rPr>
            </w:pPr>
            <w:r>
              <w:rPr>
                <w:i/>
                <w:color w:val="auto"/>
                <w:sz w:val="21"/>
                <w:szCs w:val="21"/>
              </w:rPr>
              <w:t>Bufo viridis</w:t>
            </w:r>
          </w:p>
        </w:tc>
        <w:tc>
          <w:tcPr>
            <w:tcW w:w="562" w:type="pct"/>
            <w:tcBorders>
              <w:tl2br w:val="nil"/>
              <w:tr2bl w:val="nil"/>
            </w:tcBorders>
            <w:noWrap w:val="0"/>
            <w:vAlign w:val="center"/>
          </w:tcPr>
          <w:p w14:paraId="1104FFCD">
            <w:pPr>
              <w:jc w:val="center"/>
              <w:rPr>
                <w:color w:val="auto"/>
                <w:sz w:val="21"/>
                <w:szCs w:val="21"/>
              </w:rPr>
            </w:pPr>
            <w:r>
              <w:rPr>
                <w:color w:val="auto"/>
                <w:sz w:val="21"/>
                <w:szCs w:val="21"/>
              </w:rPr>
              <w:t>/</w:t>
            </w:r>
          </w:p>
        </w:tc>
        <w:tc>
          <w:tcPr>
            <w:tcW w:w="1136" w:type="pct"/>
            <w:tcBorders>
              <w:tl2br w:val="nil"/>
              <w:tr2bl w:val="nil"/>
            </w:tcBorders>
            <w:noWrap w:val="0"/>
            <w:vAlign w:val="center"/>
          </w:tcPr>
          <w:p w14:paraId="2D563F4F">
            <w:pPr>
              <w:jc w:val="center"/>
              <w:rPr>
                <w:color w:val="auto"/>
                <w:sz w:val="21"/>
                <w:szCs w:val="21"/>
              </w:rPr>
            </w:pPr>
            <w:r>
              <w:rPr>
                <w:color w:val="auto"/>
                <w:sz w:val="21"/>
                <w:szCs w:val="21"/>
              </w:rPr>
              <w:t>±</w:t>
            </w:r>
          </w:p>
        </w:tc>
      </w:tr>
      <w:tr w14:paraId="23D49D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5000" w:type="pct"/>
            <w:gridSpan w:val="5"/>
            <w:tcBorders>
              <w:tl2br w:val="nil"/>
              <w:tr2bl w:val="nil"/>
            </w:tcBorders>
            <w:noWrap w:val="0"/>
            <w:vAlign w:val="center"/>
          </w:tcPr>
          <w:p w14:paraId="2AA132FD">
            <w:pPr>
              <w:jc w:val="center"/>
              <w:rPr>
                <w:color w:val="auto"/>
                <w:sz w:val="21"/>
                <w:szCs w:val="21"/>
              </w:rPr>
            </w:pPr>
            <w:r>
              <w:rPr>
                <w:color w:val="auto"/>
                <w:sz w:val="21"/>
                <w:szCs w:val="21"/>
              </w:rPr>
              <w:t>爬行类</w:t>
            </w:r>
          </w:p>
        </w:tc>
      </w:tr>
      <w:tr w14:paraId="1D1FCC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21" w:type="pct"/>
            <w:tcBorders>
              <w:tl2br w:val="nil"/>
              <w:tr2bl w:val="nil"/>
            </w:tcBorders>
            <w:noWrap w:val="0"/>
            <w:vAlign w:val="center"/>
          </w:tcPr>
          <w:p w14:paraId="591ABC7B">
            <w:pPr>
              <w:jc w:val="center"/>
              <w:rPr>
                <w:color w:val="auto"/>
                <w:sz w:val="21"/>
                <w:szCs w:val="21"/>
              </w:rPr>
            </w:pPr>
            <w:r>
              <w:rPr>
                <w:color w:val="auto"/>
                <w:sz w:val="21"/>
                <w:szCs w:val="21"/>
              </w:rPr>
              <w:t>2</w:t>
            </w:r>
          </w:p>
        </w:tc>
        <w:tc>
          <w:tcPr>
            <w:tcW w:w="1266" w:type="pct"/>
            <w:tcBorders>
              <w:tl2br w:val="nil"/>
              <w:tr2bl w:val="nil"/>
            </w:tcBorders>
            <w:noWrap w:val="0"/>
            <w:vAlign w:val="center"/>
          </w:tcPr>
          <w:p w14:paraId="2CD7E3BB">
            <w:pPr>
              <w:jc w:val="center"/>
              <w:rPr>
                <w:color w:val="auto"/>
                <w:sz w:val="21"/>
                <w:szCs w:val="21"/>
              </w:rPr>
            </w:pPr>
            <w:r>
              <w:rPr>
                <w:color w:val="auto"/>
                <w:sz w:val="21"/>
                <w:szCs w:val="21"/>
              </w:rPr>
              <w:t>南疆沙蜥</w:t>
            </w:r>
          </w:p>
        </w:tc>
        <w:tc>
          <w:tcPr>
            <w:tcW w:w="1613" w:type="pct"/>
            <w:tcBorders>
              <w:tl2br w:val="nil"/>
              <w:tr2bl w:val="nil"/>
            </w:tcBorders>
            <w:noWrap w:val="0"/>
            <w:vAlign w:val="center"/>
          </w:tcPr>
          <w:p w14:paraId="16899156">
            <w:pPr>
              <w:jc w:val="center"/>
              <w:rPr>
                <w:i/>
                <w:color w:val="auto"/>
                <w:sz w:val="21"/>
                <w:szCs w:val="21"/>
              </w:rPr>
            </w:pPr>
            <w:r>
              <w:rPr>
                <w:i/>
                <w:color w:val="auto"/>
                <w:sz w:val="21"/>
                <w:szCs w:val="21"/>
              </w:rPr>
              <w:t>Phrynocephalus forsythi</w:t>
            </w:r>
          </w:p>
        </w:tc>
        <w:tc>
          <w:tcPr>
            <w:tcW w:w="562" w:type="pct"/>
            <w:tcBorders>
              <w:tl2br w:val="nil"/>
              <w:tr2bl w:val="nil"/>
            </w:tcBorders>
            <w:noWrap w:val="0"/>
            <w:vAlign w:val="center"/>
          </w:tcPr>
          <w:p w14:paraId="0D6BEDFF">
            <w:pPr>
              <w:jc w:val="center"/>
              <w:rPr>
                <w:color w:val="auto"/>
                <w:sz w:val="21"/>
                <w:szCs w:val="21"/>
              </w:rPr>
            </w:pPr>
          </w:p>
        </w:tc>
        <w:tc>
          <w:tcPr>
            <w:tcW w:w="1136" w:type="pct"/>
            <w:tcBorders>
              <w:tl2br w:val="nil"/>
              <w:tr2bl w:val="nil"/>
            </w:tcBorders>
            <w:noWrap w:val="0"/>
            <w:vAlign w:val="center"/>
          </w:tcPr>
          <w:p w14:paraId="2C5CF003">
            <w:pPr>
              <w:jc w:val="center"/>
              <w:rPr>
                <w:color w:val="auto"/>
                <w:sz w:val="21"/>
                <w:szCs w:val="21"/>
              </w:rPr>
            </w:pPr>
          </w:p>
        </w:tc>
      </w:tr>
      <w:tr w14:paraId="3C77B3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21" w:type="pct"/>
            <w:tcBorders>
              <w:tl2br w:val="nil"/>
              <w:tr2bl w:val="nil"/>
            </w:tcBorders>
            <w:noWrap w:val="0"/>
            <w:vAlign w:val="center"/>
          </w:tcPr>
          <w:p w14:paraId="3FCA674F">
            <w:pPr>
              <w:jc w:val="center"/>
              <w:rPr>
                <w:color w:val="auto"/>
                <w:sz w:val="21"/>
                <w:szCs w:val="21"/>
              </w:rPr>
            </w:pPr>
            <w:r>
              <w:rPr>
                <w:color w:val="auto"/>
                <w:sz w:val="21"/>
                <w:szCs w:val="21"/>
              </w:rPr>
              <w:t>3</w:t>
            </w:r>
          </w:p>
        </w:tc>
        <w:tc>
          <w:tcPr>
            <w:tcW w:w="1266" w:type="pct"/>
            <w:tcBorders>
              <w:tl2br w:val="nil"/>
              <w:tr2bl w:val="nil"/>
            </w:tcBorders>
            <w:noWrap w:val="0"/>
            <w:vAlign w:val="center"/>
          </w:tcPr>
          <w:p w14:paraId="76FA9DB0">
            <w:pPr>
              <w:jc w:val="center"/>
              <w:rPr>
                <w:color w:val="auto"/>
                <w:sz w:val="21"/>
                <w:szCs w:val="21"/>
              </w:rPr>
            </w:pPr>
            <w:r>
              <w:rPr>
                <w:color w:val="auto"/>
                <w:sz w:val="21"/>
                <w:szCs w:val="21"/>
              </w:rPr>
              <w:t>密点麻蜥</w:t>
            </w:r>
          </w:p>
        </w:tc>
        <w:tc>
          <w:tcPr>
            <w:tcW w:w="1613" w:type="pct"/>
            <w:tcBorders>
              <w:tl2br w:val="nil"/>
              <w:tr2bl w:val="nil"/>
            </w:tcBorders>
            <w:noWrap w:val="0"/>
            <w:vAlign w:val="center"/>
          </w:tcPr>
          <w:p w14:paraId="69BDD8C9">
            <w:pPr>
              <w:jc w:val="center"/>
              <w:rPr>
                <w:i/>
                <w:color w:val="auto"/>
                <w:sz w:val="21"/>
                <w:szCs w:val="21"/>
              </w:rPr>
            </w:pPr>
            <w:r>
              <w:rPr>
                <w:i/>
                <w:color w:val="auto"/>
                <w:sz w:val="21"/>
                <w:szCs w:val="21"/>
              </w:rPr>
              <w:t>Eremias multiocellata</w:t>
            </w:r>
          </w:p>
        </w:tc>
        <w:tc>
          <w:tcPr>
            <w:tcW w:w="562" w:type="pct"/>
            <w:tcBorders>
              <w:tl2br w:val="nil"/>
              <w:tr2bl w:val="nil"/>
            </w:tcBorders>
            <w:noWrap w:val="0"/>
            <w:vAlign w:val="center"/>
          </w:tcPr>
          <w:p w14:paraId="3CC66A47">
            <w:pPr>
              <w:jc w:val="center"/>
              <w:rPr>
                <w:color w:val="auto"/>
                <w:sz w:val="21"/>
                <w:szCs w:val="21"/>
              </w:rPr>
            </w:pPr>
            <w:r>
              <w:rPr>
                <w:color w:val="auto"/>
                <w:sz w:val="21"/>
                <w:szCs w:val="21"/>
              </w:rPr>
              <w:t>/</w:t>
            </w:r>
          </w:p>
        </w:tc>
        <w:tc>
          <w:tcPr>
            <w:tcW w:w="1136" w:type="pct"/>
            <w:tcBorders>
              <w:tl2br w:val="nil"/>
              <w:tr2bl w:val="nil"/>
            </w:tcBorders>
            <w:noWrap w:val="0"/>
            <w:vAlign w:val="center"/>
          </w:tcPr>
          <w:p w14:paraId="51926A9F">
            <w:pPr>
              <w:jc w:val="center"/>
              <w:rPr>
                <w:color w:val="auto"/>
                <w:sz w:val="21"/>
                <w:szCs w:val="21"/>
              </w:rPr>
            </w:pPr>
            <w:r>
              <w:rPr>
                <w:color w:val="auto"/>
                <w:sz w:val="21"/>
                <w:szCs w:val="21"/>
              </w:rPr>
              <w:t>+</w:t>
            </w:r>
          </w:p>
        </w:tc>
      </w:tr>
      <w:tr w14:paraId="2C147E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21" w:type="pct"/>
            <w:tcBorders>
              <w:tl2br w:val="nil"/>
              <w:tr2bl w:val="nil"/>
            </w:tcBorders>
            <w:noWrap w:val="0"/>
            <w:vAlign w:val="center"/>
          </w:tcPr>
          <w:p w14:paraId="18390FAE">
            <w:pPr>
              <w:jc w:val="center"/>
              <w:rPr>
                <w:color w:val="auto"/>
                <w:sz w:val="21"/>
                <w:szCs w:val="21"/>
              </w:rPr>
            </w:pPr>
            <w:r>
              <w:rPr>
                <w:color w:val="auto"/>
                <w:sz w:val="21"/>
                <w:szCs w:val="21"/>
              </w:rPr>
              <w:t>4</w:t>
            </w:r>
          </w:p>
        </w:tc>
        <w:tc>
          <w:tcPr>
            <w:tcW w:w="1266" w:type="pct"/>
            <w:tcBorders>
              <w:tl2br w:val="nil"/>
              <w:tr2bl w:val="nil"/>
            </w:tcBorders>
            <w:noWrap w:val="0"/>
            <w:vAlign w:val="center"/>
          </w:tcPr>
          <w:p w14:paraId="4BDDF9C8">
            <w:pPr>
              <w:jc w:val="center"/>
              <w:rPr>
                <w:color w:val="auto"/>
                <w:sz w:val="21"/>
                <w:szCs w:val="21"/>
              </w:rPr>
            </w:pPr>
            <w:r>
              <w:rPr>
                <w:color w:val="auto"/>
                <w:sz w:val="21"/>
                <w:szCs w:val="21"/>
              </w:rPr>
              <w:t>荒漠麻蜥</w:t>
            </w:r>
          </w:p>
        </w:tc>
        <w:tc>
          <w:tcPr>
            <w:tcW w:w="1613" w:type="pct"/>
            <w:tcBorders>
              <w:tl2br w:val="nil"/>
              <w:tr2bl w:val="nil"/>
            </w:tcBorders>
            <w:noWrap w:val="0"/>
            <w:vAlign w:val="center"/>
          </w:tcPr>
          <w:p w14:paraId="67A3D432">
            <w:pPr>
              <w:jc w:val="center"/>
              <w:rPr>
                <w:i/>
                <w:color w:val="auto"/>
                <w:sz w:val="21"/>
                <w:szCs w:val="21"/>
              </w:rPr>
            </w:pPr>
            <w:r>
              <w:rPr>
                <w:i/>
                <w:color w:val="auto"/>
                <w:sz w:val="21"/>
                <w:szCs w:val="21"/>
              </w:rPr>
              <w:t>Eremias przewalskii</w:t>
            </w:r>
          </w:p>
        </w:tc>
        <w:tc>
          <w:tcPr>
            <w:tcW w:w="562" w:type="pct"/>
            <w:tcBorders>
              <w:tl2br w:val="nil"/>
              <w:tr2bl w:val="nil"/>
            </w:tcBorders>
            <w:noWrap w:val="0"/>
            <w:vAlign w:val="center"/>
          </w:tcPr>
          <w:p w14:paraId="7EEFDF58">
            <w:pPr>
              <w:jc w:val="center"/>
              <w:rPr>
                <w:color w:val="auto"/>
                <w:sz w:val="21"/>
                <w:szCs w:val="21"/>
              </w:rPr>
            </w:pPr>
            <w:r>
              <w:rPr>
                <w:color w:val="auto"/>
                <w:sz w:val="21"/>
                <w:szCs w:val="21"/>
              </w:rPr>
              <w:t>/</w:t>
            </w:r>
          </w:p>
        </w:tc>
        <w:tc>
          <w:tcPr>
            <w:tcW w:w="1136" w:type="pct"/>
            <w:tcBorders>
              <w:tl2br w:val="nil"/>
              <w:tr2bl w:val="nil"/>
            </w:tcBorders>
            <w:noWrap w:val="0"/>
            <w:vAlign w:val="center"/>
          </w:tcPr>
          <w:p w14:paraId="4F1A1A12">
            <w:pPr>
              <w:jc w:val="center"/>
              <w:rPr>
                <w:color w:val="auto"/>
                <w:sz w:val="21"/>
                <w:szCs w:val="21"/>
              </w:rPr>
            </w:pPr>
            <w:r>
              <w:rPr>
                <w:color w:val="auto"/>
                <w:sz w:val="21"/>
                <w:szCs w:val="21"/>
              </w:rPr>
              <w:t>±</w:t>
            </w:r>
          </w:p>
        </w:tc>
      </w:tr>
      <w:tr w14:paraId="68AE47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5000" w:type="pct"/>
            <w:gridSpan w:val="5"/>
            <w:tcBorders>
              <w:tl2br w:val="nil"/>
              <w:tr2bl w:val="nil"/>
            </w:tcBorders>
            <w:noWrap w:val="0"/>
            <w:vAlign w:val="center"/>
          </w:tcPr>
          <w:p w14:paraId="48BF7CF8">
            <w:pPr>
              <w:jc w:val="center"/>
              <w:rPr>
                <w:color w:val="auto"/>
                <w:sz w:val="21"/>
                <w:szCs w:val="21"/>
              </w:rPr>
            </w:pPr>
            <w:r>
              <w:rPr>
                <w:color w:val="auto"/>
                <w:sz w:val="21"/>
                <w:szCs w:val="21"/>
              </w:rPr>
              <w:t>鸟类</w:t>
            </w:r>
          </w:p>
        </w:tc>
      </w:tr>
      <w:tr w14:paraId="651440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21" w:type="pct"/>
            <w:tcBorders>
              <w:tl2br w:val="nil"/>
              <w:tr2bl w:val="nil"/>
            </w:tcBorders>
            <w:noWrap w:val="0"/>
            <w:vAlign w:val="center"/>
          </w:tcPr>
          <w:p w14:paraId="7406541A">
            <w:pPr>
              <w:jc w:val="center"/>
              <w:rPr>
                <w:color w:val="auto"/>
                <w:sz w:val="21"/>
                <w:szCs w:val="21"/>
              </w:rPr>
            </w:pPr>
            <w:r>
              <w:rPr>
                <w:color w:val="auto"/>
                <w:sz w:val="21"/>
                <w:szCs w:val="21"/>
              </w:rPr>
              <w:t>5</w:t>
            </w:r>
          </w:p>
        </w:tc>
        <w:tc>
          <w:tcPr>
            <w:tcW w:w="1266" w:type="pct"/>
            <w:tcBorders>
              <w:tl2br w:val="nil"/>
              <w:tr2bl w:val="nil"/>
            </w:tcBorders>
            <w:noWrap w:val="0"/>
            <w:vAlign w:val="center"/>
          </w:tcPr>
          <w:p w14:paraId="070BE9CC">
            <w:pPr>
              <w:jc w:val="center"/>
              <w:rPr>
                <w:color w:val="auto"/>
                <w:sz w:val="21"/>
                <w:szCs w:val="21"/>
              </w:rPr>
            </w:pPr>
            <w:r>
              <w:rPr>
                <w:color w:val="auto"/>
                <w:sz w:val="21"/>
                <w:szCs w:val="21"/>
              </w:rPr>
              <w:t>雉鸡</w:t>
            </w:r>
          </w:p>
        </w:tc>
        <w:tc>
          <w:tcPr>
            <w:tcW w:w="1613" w:type="pct"/>
            <w:tcBorders>
              <w:tl2br w:val="nil"/>
              <w:tr2bl w:val="nil"/>
            </w:tcBorders>
            <w:noWrap w:val="0"/>
            <w:vAlign w:val="center"/>
          </w:tcPr>
          <w:p w14:paraId="121638EE">
            <w:pPr>
              <w:jc w:val="center"/>
              <w:rPr>
                <w:i/>
                <w:color w:val="auto"/>
                <w:sz w:val="21"/>
                <w:szCs w:val="21"/>
              </w:rPr>
            </w:pPr>
            <w:r>
              <w:rPr>
                <w:i/>
                <w:color w:val="auto"/>
                <w:sz w:val="21"/>
                <w:szCs w:val="21"/>
              </w:rPr>
              <w:t>Phasianus colchicus</w:t>
            </w:r>
          </w:p>
        </w:tc>
        <w:tc>
          <w:tcPr>
            <w:tcW w:w="562" w:type="pct"/>
            <w:tcBorders>
              <w:tl2br w:val="nil"/>
              <w:tr2bl w:val="nil"/>
            </w:tcBorders>
            <w:noWrap w:val="0"/>
            <w:vAlign w:val="center"/>
          </w:tcPr>
          <w:p w14:paraId="7A59C8C9">
            <w:pPr>
              <w:jc w:val="center"/>
              <w:rPr>
                <w:color w:val="auto"/>
                <w:sz w:val="21"/>
                <w:szCs w:val="21"/>
              </w:rPr>
            </w:pPr>
            <w:r>
              <w:rPr>
                <w:color w:val="auto"/>
                <w:sz w:val="21"/>
                <w:szCs w:val="21"/>
              </w:rPr>
              <w:t>R</w:t>
            </w:r>
          </w:p>
        </w:tc>
        <w:tc>
          <w:tcPr>
            <w:tcW w:w="1136" w:type="pct"/>
            <w:tcBorders>
              <w:tl2br w:val="nil"/>
              <w:tr2bl w:val="nil"/>
            </w:tcBorders>
            <w:noWrap w:val="0"/>
            <w:vAlign w:val="center"/>
          </w:tcPr>
          <w:p w14:paraId="252EC6D6">
            <w:pPr>
              <w:jc w:val="center"/>
              <w:rPr>
                <w:color w:val="auto"/>
                <w:sz w:val="21"/>
                <w:szCs w:val="21"/>
              </w:rPr>
            </w:pPr>
            <w:r>
              <w:rPr>
                <w:color w:val="auto"/>
                <w:sz w:val="21"/>
                <w:szCs w:val="21"/>
              </w:rPr>
              <w:t>±</w:t>
            </w:r>
          </w:p>
        </w:tc>
      </w:tr>
      <w:tr w14:paraId="379629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21" w:type="pct"/>
            <w:tcBorders>
              <w:tl2br w:val="nil"/>
              <w:tr2bl w:val="nil"/>
            </w:tcBorders>
            <w:noWrap w:val="0"/>
            <w:vAlign w:val="center"/>
          </w:tcPr>
          <w:p w14:paraId="49B382CD">
            <w:pPr>
              <w:jc w:val="center"/>
              <w:rPr>
                <w:color w:val="auto"/>
                <w:sz w:val="21"/>
                <w:szCs w:val="21"/>
              </w:rPr>
            </w:pPr>
            <w:r>
              <w:rPr>
                <w:color w:val="auto"/>
                <w:sz w:val="21"/>
                <w:szCs w:val="21"/>
              </w:rPr>
              <w:t>6</w:t>
            </w:r>
          </w:p>
        </w:tc>
        <w:tc>
          <w:tcPr>
            <w:tcW w:w="1266" w:type="pct"/>
            <w:tcBorders>
              <w:tl2br w:val="nil"/>
              <w:tr2bl w:val="nil"/>
            </w:tcBorders>
            <w:noWrap w:val="0"/>
            <w:vAlign w:val="center"/>
          </w:tcPr>
          <w:p w14:paraId="5693AFC3">
            <w:pPr>
              <w:jc w:val="center"/>
              <w:rPr>
                <w:color w:val="auto"/>
                <w:sz w:val="21"/>
                <w:szCs w:val="21"/>
              </w:rPr>
            </w:pPr>
            <w:r>
              <w:rPr>
                <w:color w:val="auto"/>
                <w:sz w:val="21"/>
                <w:szCs w:val="21"/>
              </w:rPr>
              <w:t>原鸽</w:t>
            </w:r>
          </w:p>
        </w:tc>
        <w:tc>
          <w:tcPr>
            <w:tcW w:w="1613" w:type="pct"/>
            <w:tcBorders>
              <w:tl2br w:val="nil"/>
              <w:tr2bl w:val="nil"/>
            </w:tcBorders>
            <w:noWrap w:val="0"/>
            <w:vAlign w:val="center"/>
          </w:tcPr>
          <w:p w14:paraId="70BC578F">
            <w:pPr>
              <w:jc w:val="center"/>
              <w:rPr>
                <w:i/>
                <w:color w:val="auto"/>
                <w:sz w:val="21"/>
                <w:szCs w:val="21"/>
              </w:rPr>
            </w:pPr>
            <w:r>
              <w:rPr>
                <w:i/>
                <w:color w:val="auto"/>
                <w:sz w:val="21"/>
                <w:szCs w:val="21"/>
              </w:rPr>
              <w:t>Columba livia</w:t>
            </w:r>
          </w:p>
        </w:tc>
        <w:tc>
          <w:tcPr>
            <w:tcW w:w="562" w:type="pct"/>
            <w:tcBorders>
              <w:tl2br w:val="nil"/>
              <w:tr2bl w:val="nil"/>
            </w:tcBorders>
            <w:noWrap w:val="0"/>
            <w:vAlign w:val="center"/>
          </w:tcPr>
          <w:p w14:paraId="74049DF7">
            <w:pPr>
              <w:jc w:val="center"/>
              <w:rPr>
                <w:color w:val="auto"/>
                <w:sz w:val="21"/>
                <w:szCs w:val="21"/>
              </w:rPr>
            </w:pPr>
            <w:r>
              <w:rPr>
                <w:color w:val="auto"/>
                <w:sz w:val="21"/>
                <w:szCs w:val="21"/>
              </w:rPr>
              <w:t>R</w:t>
            </w:r>
          </w:p>
        </w:tc>
        <w:tc>
          <w:tcPr>
            <w:tcW w:w="1136" w:type="pct"/>
            <w:tcBorders>
              <w:tl2br w:val="nil"/>
              <w:tr2bl w:val="nil"/>
            </w:tcBorders>
            <w:noWrap w:val="0"/>
            <w:vAlign w:val="center"/>
          </w:tcPr>
          <w:p w14:paraId="40D0154D">
            <w:pPr>
              <w:jc w:val="center"/>
              <w:rPr>
                <w:color w:val="auto"/>
                <w:sz w:val="21"/>
                <w:szCs w:val="21"/>
              </w:rPr>
            </w:pPr>
            <w:r>
              <w:rPr>
                <w:color w:val="auto"/>
                <w:sz w:val="21"/>
                <w:szCs w:val="21"/>
              </w:rPr>
              <w:t>+</w:t>
            </w:r>
          </w:p>
        </w:tc>
      </w:tr>
      <w:tr w14:paraId="592F62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21" w:type="pct"/>
            <w:tcBorders>
              <w:tl2br w:val="nil"/>
              <w:tr2bl w:val="nil"/>
            </w:tcBorders>
            <w:noWrap w:val="0"/>
            <w:vAlign w:val="center"/>
          </w:tcPr>
          <w:p w14:paraId="0DE19BF4">
            <w:pPr>
              <w:jc w:val="center"/>
              <w:rPr>
                <w:color w:val="auto"/>
                <w:sz w:val="21"/>
                <w:szCs w:val="21"/>
              </w:rPr>
            </w:pPr>
            <w:r>
              <w:rPr>
                <w:color w:val="auto"/>
                <w:sz w:val="21"/>
                <w:szCs w:val="21"/>
              </w:rPr>
              <w:t>7</w:t>
            </w:r>
          </w:p>
        </w:tc>
        <w:tc>
          <w:tcPr>
            <w:tcW w:w="1266" w:type="pct"/>
            <w:tcBorders>
              <w:tl2br w:val="nil"/>
              <w:tr2bl w:val="nil"/>
            </w:tcBorders>
            <w:noWrap w:val="0"/>
            <w:vAlign w:val="center"/>
          </w:tcPr>
          <w:p w14:paraId="15CD8D22">
            <w:pPr>
              <w:jc w:val="center"/>
              <w:rPr>
                <w:color w:val="auto"/>
                <w:sz w:val="21"/>
                <w:szCs w:val="21"/>
              </w:rPr>
            </w:pPr>
            <w:r>
              <w:rPr>
                <w:color w:val="auto"/>
                <w:sz w:val="21"/>
                <w:szCs w:val="21"/>
              </w:rPr>
              <w:t>灰斑鸠</w:t>
            </w:r>
          </w:p>
        </w:tc>
        <w:tc>
          <w:tcPr>
            <w:tcW w:w="1613" w:type="pct"/>
            <w:tcBorders>
              <w:tl2br w:val="nil"/>
              <w:tr2bl w:val="nil"/>
            </w:tcBorders>
            <w:noWrap w:val="0"/>
            <w:vAlign w:val="center"/>
          </w:tcPr>
          <w:p w14:paraId="175C0468">
            <w:pPr>
              <w:jc w:val="center"/>
              <w:rPr>
                <w:i/>
                <w:color w:val="auto"/>
                <w:sz w:val="21"/>
                <w:szCs w:val="21"/>
              </w:rPr>
            </w:pPr>
            <w:r>
              <w:rPr>
                <w:i/>
                <w:color w:val="auto"/>
                <w:sz w:val="21"/>
                <w:szCs w:val="21"/>
              </w:rPr>
              <w:t>Streptopelia decaocto</w:t>
            </w:r>
          </w:p>
        </w:tc>
        <w:tc>
          <w:tcPr>
            <w:tcW w:w="562" w:type="pct"/>
            <w:tcBorders>
              <w:tl2br w:val="nil"/>
              <w:tr2bl w:val="nil"/>
            </w:tcBorders>
            <w:noWrap w:val="0"/>
            <w:vAlign w:val="center"/>
          </w:tcPr>
          <w:p w14:paraId="4E2D5B55">
            <w:pPr>
              <w:jc w:val="center"/>
              <w:rPr>
                <w:color w:val="auto"/>
                <w:sz w:val="21"/>
                <w:szCs w:val="21"/>
              </w:rPr>
            </w:pPr>
            <w:r>
              <w:rPr>
                <w:color w:val="auto"/>
                <w:sz w:val="21"/>
                <w:szCs w:val="21"/>
              </w:rPr>
              <w:t>R</w:t>
            </w:r>
          </w:p>
        </w:tc>
        <w:tc>
          <w:tcPr>
            <w:tcW w:w="1136" w:type="pct"/>
            <w:tcBorders>
              <w:tl2br w:val="nil"/>
              <w:tr2bl w:val="nil"/>
            </w:tcBorders>
            <w:noWrap w:val="0"/>
            <w:vAlign w:val="center"/>
          </w:tcPr>
          <w:p w14:paraId="4E0DF440">
            <w:pPr>
              <w:jc w:val="center"/>
              <w:rPr>
                <w:color w:val="auto"/>
                <w:sz w:val="21"/>
                <w:szCs w:val="21"/>
              </w:rPr>
            </w:pPr>
            <w:r>
              <w:rPr>
                <w:color w:val="auto"/>
                <w:sz w:val="21"/>
                <w:szCs w:val="21"/>
              </w:rPr>
              <w:t>+</w:t>
            </w:r>
          </w:p>
        </w:tc>
      </w:tr>
      <w:tr w14:paraId="7C4CA6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21" w:type="pct"/>
            <w:tcBorders>
              <w:tl2br w:val="nil"/>
              <w:tr2bl w:val="nil"/>
            </w:tcBorders>
            <w:noWrap w:val="0"/>
            <w:vAlign w:val="center"/>
          </w:tcPr>
          <w:p w14:paraId="68DB71ED">
            <w:pPr>
              <w:jc w:val="center"/>
              <w:rPr>
                <w:color w:val="auto"/>
                <w:sz w:val="21"/>
                <w:szCs w:val="21"/>
              </w:rPr>
            </w:pPr>
            <w:r>
              <w:rPr>
                <w:color w:val="auto"/>
                <w:sz w:val="21"/>
                <w:szCs w:val="21"/>
              </w:rPr>
              <w:t>8</w:t>
            </w:r>
          </w:p>
        </w:tc>
        <w:tc>
          <w:tcPr>
            <w:tcW w:w="1266" w:type="pct"/>
            <w:tcBorders>
              <w:tl2br w:val="nil"/>
              <w:tr2bl w:val="nil"/>
            </w:tcBorders>
            <w:noWrap w:val="0"/>
            <w:vAlign w:val="center"/>
          </w:tcPr>
          <w:p w14:paraId="36D98126">
            <w:pPr>
              <w:jc w:val="center"/>
              <w:rPr>
                <w:color w:val="auto"/>
                <w:sz w:val="21"/>
                <w:szCs w:val="21"/>
              </w:rPr>
            </w:pPr>
            <w:r>
              <w:rPr>
                <w:color w:val="auto"/>
                <w:sz w:val="21"/>
                <w:szCs w:val="21"/>
              </w:rPr>
              <w:t>角百灵</w:t>
            </w:r>
          </w:p>
        </w:tc>
        <w:tc>
          <w:tcPr>
            <w:tcW w:w="1613" w:type="pct"/>
            <w:tcBorders>
              <w:tl2br w:val="nil"/>
              <w:tr2bl w:val="nil"/>
            </w:tcBorders>
            <w:noWrap w:val="0"/>
            <w:vAlign w:val="center"/>
          </w:tcPr>
          <w:p w14:paraId="09E2363E">
            <w:pPr>
              <w:jc w:val="center"/>
              <w:rPr>
                <w:i/>
                <w:color w:val="auto"/>
                <w:sz w:val="21"/>
                <w:szCs w:val="21"/>
              </w:rPr>
            </w:pPr>
            <w:r>
              <w:rPr>
                <w:i/>
                <w:color w:val="auto"/>
                <w:sz w:val="21"/>
                <w:szCs w:val="21"/>
              </w:rPr>
              <w:t>Eremophila alpestris</w:t>
            </w:r>
          </w:p>
        </w:tc>
        <w:tc>
          <w:tcPr>
            <w:tcW w:w="562" w:type="pct"/>
            <w:tcBorders>
              <w:tl2br w:val="nil"/>
              <w:tr2bl w:val="nil"/>
            </w:tcBorders>
            <w:noWrap w:val="0"/>
            <w:vAlign w:val="center"/>
          </w:tcPr>
          <w:p w14:paraId="3771D33B">
            <w:pPr>
              <w:jc w:val="center"/>
              <w:rPr>
                <w:color w:val="auto"/>
                <w:sz w:val="21"/>
                <w:szCs w:val="21"/>
              </w:rPr>
            </w:pPr>
            <w:r>
              <w:rPr>
                <w:color w:val="auto"/>
                <w:sz w:val="21"/>
                <w:szCs w:val="21"/>
              </w:rPr>
              <w:t>R</w:t>
            </w:r>
          </w:p>
        </w:tc>
        <w:tc>
          <w:tcPr>
            <w:tcW w:w="1136" w:type="pct"/>
            <w:tcBorders>
              <w:tl2br w:val="nil"/>
              <w:tr2bl w:val="nil"/>
            </w:tcBorders>
            <w:noWrap w:val="0"/>
            <w:vAlign w:val="center"/>
          </w:tcPr>
          <w:p w14:paraId="44F702D8">
            <w:pPr>
              <w:jc w:val="center"/>
              <w:rPr>
                <w:color w:val="auto"/>
                <w:sz w:val="21"/>
                <w:szCs w:val="21"/>
              </w:rPr>
            </w:pPr>
            <w:r>
              <w:rPr>
                <w:color w:val="auto"/>
                <w:sz w:val="21"/>
                <w:szCs w:val="21"/>
              </w:rPr>
              <w:t>+</w:t>
            </w:r>
          </w:p>
        </w:tc>
      </w:tr>
      <w:tr w14:paraId="2F3BEA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21" w:type="pct"/>
            <w:tcBorders>
              <w:tl2br w:val="nil"/>
              <w:tr2bl w:val="nil"/>
            </w:tcBorders>
            <w:noWrap w:val="0"/>
            <w:vAlign w:val="center"/>
          </w:tcPr>
          <w:p w14:paraId="6A866B40">
            <w:pPr>
              <w:jc w:val="center"/>
              <w:rPr>
                <w:color w:val="auto"/>
                <w:sz w:val="21"/>
                <w:szCs w:val="21"/>
              </w:rPr>
            </w:pPr>
            <w:r>
              <w:rPr>
                <w:color w:val="auto"/>
                <w:sz w:val="21"/>
                <w:szCs w:val="21"/>
              </w:rPr>
              <w:t>9</w:t>
            </w:r>
          </w:p>
        </w:tc>
        <w:tc>
          <w:tcPr>
            <w:tcW w:w="1266" w:type="pct"/>
            <w:tcBorders>
              <w:tl2br w:val="nil"/>
              <w:tr2bl w:val="nil"/>
            </w:tcBorders>
            <w:noWrap w:val="0"/>
            <w:vAlign w:val="center"/>
          </w:tcPr>
          <w:p w14:paraId="22823BBC">
            <w:pPr>
              <w:jc w:val="center"/>
              <w:rPr>
                <w:color w:val="auto"/>
                <w:sz w:val="21"/>
                <w:szCs w:val="21"/>
              </w:rPr>
            </w:pPr>
            <w:r>
              <w:rPr>
                <w:color w:val="auto"/>
                <w:sz w:val="21"/>
                <w:szCs w:val="21"/>
              </w:rPr>
              <w:t>蒙古沙雀</w:t>
            </w:r>
          </w:p>
        </w:tc>
        <w:tc>
          <w:tcPr>
            <w:tcW w:w="1613" w:type="pct"/>
            <w:tcBorders>
              <w:tl2br w:val="nil"/>
              <w:tr2bl w:val="nil"/>
            </w:tcBorders>
            <w:noWrap w:val="0"/>
            <w:vAlign w:val="center"/>
          </w:tcPr>
          <w:p w14:paraId="6EA98A7E">
            <w:pPr>
              <w:jc w:val="center"/>
              <w:rPr>
                <w:i/>
                <w:color w:val="auto"/>
                <w:sz w:val="21"/>
                <w:szCs w:val="21"/>
              </w:rPr>
            </w:pPr>
            <w:r>
              <w:rPr>
                <w:i/>
                <w:color w:val="auto"/>
                <w:sz w:val="21"/>
                <w:szCs w:val="21"/>
              </w:rPr>
              <w:t>Rhodopechys mongolica</w:t>
            </w:r>
          </w:p>
        </w:tc>
        <w:tc>
          <w:tcPr>
            <w:tcW w:w="562" w:type="pct"/>
            <w:tcBorders>
              <w:tl2br w:val="nil"/>
              <w:tr2bl w:val="nil"/>
            </w:tcBorders>
            <w:noWrap w:val="0"/>
            <w:vAlign w:val="center"/>
          </w:tcPr>
          <w:p w14:paraId="4705C264">
            <w:pPr>
              <w:jc w:val="center"/>
              <w:rPr>
                <w:color w:val="auto"/>
                <w:sz w:val="21"/>
                <w:szCs w:val="21"/>
              </w:rPr>
            </w:pPr>
            <w:r>
              <w:rPr>
                <w:color w:val="auto"/>
                <w:sz w:val="21"/>
                <w:szCs w:val="21"/>
              </w:rPr>
              <w:t>R</w:t>
            </w:r>
          </w:p>
        </w:tc>
        <w:tc>
          <w:tcPr>
            <w:tcW w:w="1136" w:type="pct"/>
            <w:tcBorders>
              <w:tl2br w:val="nil"/>
              <w:tr2bl w:val="nil"/>
            </w:tcBorders>
            <w:noWrap w:val="0"/>
            <w:vAlign w:val="center"/>
          </w:tcPr>
          <w:p w14:paraId="68F42461">
            <w:pPr>
              <w:jc w:val="center"/>
              <w:rPr>
                <w:color w:val="auto"/>
                <w:sz w:val="21"/>
                <w:szCs w:val="21"/>
              </w:rPr>
            </w:pPr>
            <w:r>
              <w:rPr>
                <w:color w:val="auto"/>
                <w:sz w:val="21"/>
                <w:szCs w:val="21"/>
              </w:rPr>
              <w:t>+</w:t>
            </w:r>
          </w:p>
        </w:tc>
      </w:tr>
      <w:tr w14:paraId="309565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21" w:type="pct"/>
            <w:tcBorders>
              <w:tl2br w:val="nil"/>
              <w:tr2bl w:val="nil"/>
            </w:tcBorders>
            <w:noWrap w:val="0"/>
            <w:vAlign w:val="center"/>
          </w:tcPr>
          <w:p w14:paraId="72A1061B">
            <w:pPr>
              <w:jc w:val="center"/>
              <w:rPr>
                <w:color w:val="auto"/>
                <w:sz w:val="21"/>
                <w:szCs w:val="21"/>
              </w:rPr>
            </w:pPr>
            <w:r>
              <w:rPr>
                <w:color w:val="auto"/>
                <w:sz w:val="21"/>
                <w:szCs w:val="21"/>
              </w:rPr>
              <w:t>10</w:t>
            </w:r>
          </w:p>
        </w:tc>
        <w:tc>
          <w:tcPr>
            <w:tcW w:w="1266" w:type="pct"/>
            <w:tcBorders>
              <w:tl2br w:val="nil"/>
              <w:tr2bl w:val="nil"/>
            </w:tcBorders>
            <w:noWrap w:val="0"/>
            <w:vAlign w:val="center"/>
          </w:tcPr>
          <w:p w14:paraId="5C6B79A5">
            <w:pPr>
              <w:jc w:val="center"/>
              <w:rPr>
                <w:color w:val="auto"/>
                <w:sz w:val="21"/>
                <w:szCs w:val="21"/>
              </w:rPr>
            </w:pPr>
            <w:r>
              <w:rPr>
                <w:color w:val="auto"/>
                <w:sz w:val="21"/>
                <w:szCs w:val="21"/>
              </w:rPr>
              <w:t>紫翅椋鸟</w:t>
            </w:r>
          </w:p>
        </w:tc>
        <w:tc>
          <w:tcPr>
            <w:tcW w:w="1613" w:type="pct"/>
            <w:tcBorders>
              <w:tl2br w:val="nil"/>
              <w:tr2bl w:val="nil"/>
            </w:tcBorders>
            <w:noWrap w:val="0"/>
            <w:vAlign w:val="center"/>
          </w:tcPr>
          <w:p w14:paraId="238E1BDE">
            <w:pPr>
              <w:jc w:val="center"/>
              <w:rPr>
                <w:i/>
                <w:color w:val="auto"/>
                <w:sz w:val="21"/>
                <w:szCs w:val="21"/>
              </w:rPr>
            </w:pPr>
            <w:r>
              <w:rPr>
                <w:i/>
                <w:color w:val="auto"/>
                <w:sz w:val="21"/>
                <w:szCs w:val="21"/>
              </w:rPr>
              <w:t>Sturnus vulgaris</w:t>
            </w:r>
          </w:p>
        </w:tc>
        <w:tc>
          <w:tcPr>
            <w:tcW w:w="562" w:type="pct"/>
            <w:tcBorders>
              <w:tl2br w:val="nil"/>
              <w:tr2bl w:val="nil"/>
            </w:tcBorders>
            <w:noWrap w:val="0"/>
            <w:vAlign w:val="center"/>
          </w:tcPr>
          <w:p w14:paraId="09BA970C">
            <w:pPr>
              <w:jc w:val="center"/>
              <w:rPr>
                <w:color w:val="auto"/>
                <w:sz w:val="21"/>
                <w:szCs w:val="21"/>
              </w:rPr>
            </w:pPr>
            <w:r>
              <w:rPr>
                <w:color w:val="auto"/>
                <w:sz w:val="21"/>
                <w:szCs w:val="21"/>
              </w:rPr>
              <w:t>B</w:t>
            </w:r>
          </w:p>
        </w:tc>
        <w:tc>
          <w:tcPr>
            <w:tcW w:w="1136" w:type="pct"/>
            <w:tcBorders>
              <w:tl2br w:val="nil"/>
              <w:tr2bl w:val="nil"/>
            </w:tcBorders>
            <w:noWrap w:val="0"/>
            <w:vAlign w:val="center"/>
          </w:tcPr>
          <w:p w14:paraId="51304557">
            <w:pPr>
              <w:jc w:val="center"/>
              <w:rPr>
                <w:color w:val="auto"/>
                <w:sz w:val="21"/>
                <w:szCs w:val="21"/>
              </w:rPr>
            </w:pPr>
            <w:r>
              <w:rPr>
                <w:color w:val="auto"/>
                <w:sz w:val="21"/>
                <w:szCs w:val="21"/>
              </w:rPr>
              <w:t>++</w:t>
            </w:r>
          </w:p>
        </w:tc>
      </w:tr>
      <w:tr w14:paraId="008C0C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21" w:type="pct"/>
            <w:tcBorders>
              <w:tl2br w:val="nil"/>
              <w:tr2bl w:val="nil"/>
            </w:tcBorders>
            <w:noWrap w:val="0"/>
            <w:vAlign w:val="center"/>
          </w:tcPr>
          <w:p w14:paraId="035C805D">
            <w:pPr>
              <w:jc w:val="center"/>
              <w:rPr>
                <w:color w:val="auto"/>
                <w:sz w:val="21"/>
                <w:szCs w:val="21"/>
              </w:rPr>
            </w:pPr>
            <w:r>
              <w:rPr>
                <w:color w:val="auto"/>
                <w:sz w:val="21"/>
                <w:szCs w:val="21"/>
              </w:rPr>
              <w:t>11</w:t>
            </w:r>
          </w:p>
        </w:tc>
        <w:tc>
          <w:tcPr>
            <w:tcW w:w="1266" w:type="pct"/>
            <w:tcBorders>
              <w:tl2br w:val="nil"/>
              <w:tr2bl w:val="nil"/>
            </w:tcBorders>
            <w:noWrap w:val="0"/>
            <w:vAlign w:val="center"/>
          </w:tcPr>
          <w:p w14:paraId="7B7D5D8E">
            <w:pPr>
              <w:jc w:val="center"/>
              <w:rPr>
                <w:color w:val="auto"/>
                <w:sz w:val="21"/>
                <w:szCs w:val="21"/>
              </w:rPr>
            </w:pPr>
            <w:r>
              <w:rPr>
                <w:color w:val="auto"/>
                <w:sz w:val="21"/>
                <w:szCs w:val="21"/>
              </w:rPr>
              <w:t>寒鸦</w:t>
            </w:r>
          </w:p>
        </w:tc>
        <w:tc>
          <w:tcPr>
            <w:tcW w:w="1613" w:type="pct"/>
            <w:tcBorders>
              <w:tl2br w:val="nil"/>
              <w:tr2bl w:val="nil"/>
            </w:tcBorders>
            <w:noWrap w:val="0"/>
            <w:vAlign w:val="center"/>
          </w:tcPr>
          <w:p w14:paraId="4A98F4BD">
            <w:pPr>
              <w:jc w:val="center"/>
              <w:rPr>
                <w:i/>
                <w:color w:val="auto"/>
                <w:sz w:val="21"/>
                <w:szCs w:val="21"/>
              </w:rPr>
            </w:pPr>
            <w:r>
              <w:rPr>
                <w:i/>
                <w:color w:val="auto"/>
                <w:sz w:val="21"/>
                <w:szCs w:val="21"/>
              </w:rPr>
              <w:t>Corvus monedual</w:t>
            </w:r>
          </w:p>
        </w:tc>
        <w:tc>
          <w:tcPr>
            <w:tcW w:w="562" w:type="pct"/>
            <w:tcBorders>
              <w:tl2br w:val="nil"/>
              <w:tr2bl w:val="nil"/>
            </w:tcBorders>
            <w:noWrap w:val="0"/>
            <w:vAlign w:val="center"/>
          </w:tcPr>
          <w:p w14:paraId="33F21D22">
            <w:pPr>
              <w:jc w:val="center"/>
              <w:rPr>
                <w:color w:val="auto"/>
                <w:sz w:val="21"/>
                <w:szCs w:val="21"/>
              </w:rPr>
            </w:pPr>
            <w:r>
              <w:rPr>
                <w:color w:val="auto"/>
                <w:sz w:val="21"/>
                <w:szCs w:val="21"/>
              </w:rPr>
              <w:t>W</w:t>
            </w:r>
          </w:p>
        </w:tc>
        <w:tc>
          <w:tcPr>
            <w:tcW w:w="1136" w:type="pct"/>
            <w:tcBorders>
              <w:tl2br w:val="nil"/>
              <w:tr2bl w:val="nil"/>
            </w:tcBorders>
            <w:noWrap w:val="0"/>
            <w:vAlign w:val="center"/>
          </w:tcPr>
          <w:p w14:paraId="769A20C8">
            <w:pPr>
              <w:jc w:val="center"/>
              <w:rPr>
                <w:color w:val="auto"/>
                <w:sz w:val="21"/>
                <w:szCs w:val="21"/>
              </w:rPr>
            </w:pPr>
            <w:r>
              <w:rPr>
                <w:color w:val="auto"/>
                <w:sz w:val="21"/>
                <w:szCs w:val="21"/>
              </w:rPr>
              <w:t>+</w:t>
            </w:r>
          </w:p>
        </w:tc>
      </w:tr>
      <w:tr w14:paraId="6E9C34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21" w:type="pct"/>
            <w:tcBorders>
              <w:tl2br w:val="nil"/>
              <w:tr2bl w:val="nil"/>
            </w:tcBorders>
            <w:noWrap w:val="0"/>
            <w:vAlign w:val="center"/>
          </w:tcPr>
          <w:p w14:paraId="23BECC20">
            <w:pPr>
              <w:jc w:val="center"/>
              <w:rPr>
                <w:color w:val="auto"/>
                <w:sz w:val="21"/>
                <w:szCs w:val="21"/>
              </w:rPr>
            </w:pPr>
            <w:r>
              <w:rPr>
                <w:color w:val="auto"/>
                <w:sz w:val="21"/>
                <w:szCs w:val="21"/>
              </w:rPr>
              <w:t>12</w:t>
            </w:r>
          </w:p>
        </w:tc>
        <w:tc>
          <w:tcPr>
            <w:tcW w:w="1266" w:type="pct"/>
            <w:tcBorders>
              <w:tl2br w:val="nil"/>
              <w:tr2bl w:val="nil"/>
            </w:tcBorders>
            <w:noWrap w:val="0"/>
            <w:vAlign w:val="center"/>
          </w:tcPr>
          <w:p w14:paraId="121B1EDF">
            <w:pPr>
              <w:jc w:val="center"/>
              <w:rPr>
                <w:color w:val="auto"/>
                <w:sz w:val="21"/>
                <w:szCs w:val="21"/>
              </w:rPr>
            </w:pPr>
            <w:r>
              <w:rPr>
                <w:color w:val="auto"/>
                <w:sz w:val="21"/>
                <w:szCs w:val="21"/>
              </w:rPr>
              <w:t>小嘴乌鸦</w:t>
            </w:r>
          </w:p>
        </w:tc>
        <w:tc>
          <w:tcPr>
            <w:tcW w:w="1613" w:type="pct"/>
            <w:tcBorders>
              <w:tl2br w:val="nil"/>
              <w:tr2bl w:val="nil"/>
            </w:tcBorders>
            <w:noWrap w:val="0"/>
            <w:vAlign w:val="center"/>
          </w:tcPr>
          <w:p w14:paraId="73E70A32">
            <w:pPr>
              <w:jc w:val="center"/>
              <w:rPr>
                <w:i/>
                <w:color w:val="auto"/>
                <w:sz w:val="21"/>
                <w:szCs w:val="21"/>
              </w:rPr>
            </w:pPr>
            <w:r>
              <w:rPr>
                <w:i/>
                <w:color w:val="auto"/>
                <w:sz w:val="21"/>
                <w:szCs w:val="21"/>
              </w:rPr>
              <w:t>Corvua corone</w:t>
            </w:r>
          </w:p>
        </w:tc>
        <w:tc>
          <w:tcPr>
            <w:tcW w:w="562" w:type="pct"/>
            <w:tcBorders>
              <w:tl2br w:val="nil"/>
              <w:tr2bl w:val="nil"/>
            </w:tcBorders>
            <w:noWrap w:val="0"/>
            <w:vAlign w:val="center"/>
          </w:tcPr>
          <w:p w14:paraId="45584D29">
            <w:pPr>
              <w:jc w:val="center"/>
              <w:rPr>
                <w:color w:val="auto"/>
                <w:sz w:val="21"/>
                <w:szCs w:val="21"/>
              </w:rPr>
            </w:pPr>
            <w:r>
              <w:rPr>
                <w:color w:val="auto"/>
                <w:sz w:val="21"/>
                <w:szCs w:val="21"/>
              </w:rPr>
              <w:t>B</w:t>
            </w:r>
          </w:p>
        </w:tc>
        <w:tc>
          <w:tcPr>
            <w:tcW w:w="1136" w:type="pct"/>
            <w:tcBorders>
              <w:tl2br w:val="nil"/>
              <w:tr2bl w:val="nil"/>
            </w:tcBorders>
            <w:noWrap w:val="0"/>
            <w:vAlign w:val="center"/>
          </w:tcPr>
          <w:p w14:paraId="18D0EB57">
            <w:pPr>
              <w:jc w:val="center"/>
              <w:rPr>
                <w:color w:val="auto"/>
                <w:sz w:val="21"/>
                <w:szCs w:val="21"/>
              </w:rPr>
            </w:pPr>
            <w:r>
              <w:rPr>
                <w:color w:val="auto"/>
                <w:sz w:val="21"/>
                <w:szCs w:val="21"/>
              </w:rPr>
              <w:t>++</w:t>
            </w:r>
          </w:p>
        </w:tc>
      </w:tr>
      <w:tr w14:paraId="417F36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21" w:type="pct"/>
            <w:tcBorders>
              <w:tl2br w:val="nil"/>
              <w:tr2bl w:val="nil"/>
            </w:tcBorders>
            <w:noWrap w:val="0"/>
            <w:vAlign w:val="center"/>
          </w:tcPr>
          <w:p w14:paraId="6E9D1951">
            <w:pPr>
              <w:jc w:val="center"/>
              <w:rPr>
                <w:color w:val="auto"/>
                <w:sz w:val="21"/>
                <w:szCs w:val="21"/>
              </w:rPr>
            </w:pPr>
            <w:r>
              <w:rPr>
                <w:color w:val="auto"/>
                <w:sz w:val="21"/>
                <w:szCs w:val="21"/>
              </w:rPr>
              <w:t>13</w:t>
            </w:r>
          </w:p>
        </w:tc>
        <w:tc>
          <w:tcPr>
            <w:tcW w:w="1266" w:type="pct"/>
            <w:tcBorders>
              <w:tl2br w:val="nil"/>
              <w:tr2bl w:val="nil"/>
            </w:tcBorders>
            <w:noWrap w:val="0"/>
            <w:vAlign w:val="center"/>
          </w:tcPr>
          <w:p w14:paraId="66BC10F8">
            <w:pPr>
              <w:jc w:val="center"/>
              <w:rPr>
                <w:color w:val="auto"/>
                <w:sz w:val="21"/>
                <w:szCs w:val="21"/>
              </w:rPr>
            </w:pPr>
            <w:r>
              <w:rPr>
                <w:color w:val="auto"/>
                <w:sz w:val="21"/>
                <w:szCs w:val="21"/>
              </w:rPr>
              <w:t>黑顶麻雀</w:t>
            </w:r>
          </w:p>
        </w:tc>
        <w:tc>
          <w:tcPr>
            <w:tcW w:w="1613" w:type="pct"/>
            <w:tcBorders>
              <w:tl2br w:val="nil"/>
              <w:tr2bl w:val="nil"/>
            </w:tcBorders>
            <w:noWrap w:val="0"/>
            <w:vAlign w:val="center"/>
          </w:tcPr>
          <w:p w14:paraId="66EC90A1">
            <w:pPr>
              <w:jc w:val="center"/>
              <w:rPr>
                <w:i/>
                <w:color w:val="auto"/>
                <w:sz w:val="21"/>
                <w:szCs w:val="21"/>
              </w:rPr>
            </w:pPr>
            <w:r>
              <w:rPr>
                <w:i/>
                <w:color w:val="auto"/>
                <w:sz w:val="21"/>
                <w:szCs w:val="21"/>
              </w:rPr>
              <w:t>Passer ammodendri</w:t>
            </w:r>
          </w:p>
        </w:tc>
        <w:tc>
          <w:tcPr>
            <w:tcW w:w="562" w:type="pct"/>
            <w:tcBorders>
              <w:tl2br w:val="nil"/>
              <w:tr2bl w:val="nil"/>
            </w:tcBorders>
            <w:noWrap w:val="0"/>
            <w:vAlign w:val="center"/>
          </w:tcPr>
          <w:p w14:paraId="58398533">
            <w:pPr>
              <w:jc w:val="center"/>
              <w:rPr>
                <w:color w:val="auto"/>
                <w:sz w:val="21"/>
                <w:szCs w:val="21"/>
              </w:rPr>
            </w:pPr>
            <w:r>
              <w:rPr>
                <w:color w:val="auto"/>
                <w:sz w:val="21"/>
                <w:szCs w:val="21"/>
              </w:rPr>
              <w:t>R</w:t>
            </w:r>
          </w:p>
        </w:tc>
        <w:tc>
          <w:tcPr>
            <w:tcW w:w="1136" w:type="pct"/>
            <w:tcBorders>
              <w:tl2br w:val="nil"/>
              <w:tr2bl w:val="nil"/>
            </w:tcBorders>
            <w:noWrap w:val="0"/>
            <w:vAlign w:val="center"/>
          </w:tcPr>
          <w:p w14:paraId="2A2494E9">
            <w:pPr>
              <w:jc w:val="center"/>
              <w:rPr>
                <w:color w:val="auto"/>
                <w:sz w:val="21"/>
                <w:szCs w:val="21"/>
              </w:rPr>
            </w:pPr>
            <w:r>
              <w:rPr>
                <w:color w:val="auto"/>
                <w:sz w:val="21"/>
                <w:szCs w:val="21"/>
              </w:rPr>
              <w:t>++</w:t>
            </w:r>
          </w:p>
        </w:tc>
      </w:tr>
      <w:tr w14:paraId="62B174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21" w:type="pct"/>
            <w:tcBorders>
              <w:tl2br w:val="nil"/>
              <w:tr2bl w:val="nil"/>
            </w:tcBorders>
            <w:noWrap w:val="0"/>
            <w:vAlign w:val="center"/>
          </w:tcPr>
          <w:p w14:paraId="01BF45CE">
            <w:pPr>
              <w:jc w:val="center"/>
              <w:rPr>
                <w:color w:val="auto"/>
                <w:sz w:val="21"/>
                <w:szCs w:val="21"/>
              </w:rPr>
            </w:pPr>
            <w:r>
              <w:rPr>
                <w:color w:val="auto"/>
                <w:sz w:val="21"/>
                <w:szCs w:val="21"/>
              </w:rPr>
              <w:t>14</w:t>
            </w:r>
          </w:p>
        </w:tc>
        <w:tc>
          <w:tcPr>
            <w:tcW w:w="1266" w:type="pct"/>
            <w:tcBorders>
              <w:tl2br w:val="nil"/>
              <w:tr2bl w:val="nil"/>
            </w:tcBorders>
            <w:noWrap w:val="0"/>
            <w:vAlign w:val="center"/>
          </w:tcPr>
          <w:p w14:paraId="59FC8A48">
            <w:pPr>
              <w:jc w:val="center"/>
              <w:rPr>
                <w:color w:val="auto"/>
                <w:sz w:val="21"/>
                <w:szCs w:val="21"/>
              </w:rPr>
            </w:pPr>
            <w:r>
              <w:rPr>
                <w:color w:val="auto"/>
                <w:sz w:val="21"/>
                <w:szCs w:val="21"/>
              </w:rPr>
              <w:t>棕尾伯劳</w:t>
            </w:r>
          </w:p>
        </w:tc>
        <w:tc>
          <w:tcPr>
            <w:tcW w:w="1613" w:type="pct"/>
            <w:tcBorders>
              <w:tl2br w:val="nil"/>
              <w:tr2bl w:val="nil"/>
            </w:tcBorders>
            <w:noWrap w:val="0"/>
            <w:vAlign w:val="center"/>
          </w:tcPr>
          <w:p w14:paraId="40434B03">
            <w:pPr>
              <w:jc w:val="center"/>
              <w:rPr>
                <w:i/>
                <w:color w:val="auto"/>
                <w:sz w:val="21"/>
                <w:szCs w:val="21"/>
              </w:rPr>
            </w:pPr>
            <w:r>
              <w:rPr>
                <w:i/>
                <w:color w:val="auto"/>
                <w:sz w:val="21"/>
                <w:szCs w:val="21"/>
              </w:rPr>
              <w:t>Lanius isabellinus</w:t>
            </w:r>
          </w:p>
        </w:tc>
        <w:tc>
          <w:tcPr>
            <w:tcW w:w="562" w:type="pct"/>
            <w:tcBorders>
              <w:tl2br w:val="nil"/>
              <w:tr2bl w:val="nil"/>
            </w:tcBorders>
            <w:noWrap w:val="0"/>
            <w:vAlign w:val="center"/>
          </w:tcPr>
          <w:p w14:paraId="36408C60">
            <w:pPr>
              <w:jc w:val="center"/>
              <w:rPr>
                <w:color w:val="auto"/>
                <w:sz w:val="21"/>
                <w:szCs w:val="21"/>
              </w:rPr>
            </w:pPr>
            <w:r>
              <w:rPr>
                <w:color w:val="auto"/>
                <w:sz w:val="21"/>
                <w:szCs w:val="21"/>
              </w:rPr>
              <w:t>B</w:t>
            </w:r>
          </w:p>
        </w:tc>
        <w:tc>
          <w:tcPr>
            <w:tcW w:w="1136" w:type="pct"/>
            <w:tcBorders>
              <w:tl2br w:val="nil"/>
              <w:tr2bl w:val="nil"/>
            </w:tcBorders>
            <w:noWrap w:val="0"/>
            <w:vAlign w:val="center"/>
          </w:tcPr>
          <w:p w14:paraId="1A2FB450">
            <w:pPr>
              <w:jc w:val="center"/>
              <w:rPr>
                <w:color w:val="auto"/>
                <w:sz w:val="21"/>
                <w:szCs w:val="21"/>
              </w:rPr>
            </w:pPr>
            <w:r>
              <w:rPr>
                <w:color w:val="auto"/>
                <w:sz w:val="21"/>
                <w:szCs w:val="21"/>
              </w:rPr>
              <w:t>++</w:t>
            </w:r>
          </w:p>
        </w:tc>
      </w:tr>
      <w:tr w14:paraId="23DEBC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5000" w:type="pct"/>
            <w:gridSpan w:val="5"/>
            <w:tcBorders>
              <w:tl2br w:val="nil"/>
              <w:tr2bl w:val="nil"/>
            </w:tcBorders>
            <w:noWrap w:val="0"/>
            <w:vAlign w:val="center"/>
          </w:tcPr>
          <w:p w14:paraId="7D5CD13D">
            <w:pPr>
              <w:jc w:val="center"/>
              <w:rPr>
                <w:color w:val="auto"/>
                <w:sz w:val="21"/>
                <w:szCs w:val="21"/>
              </w:rPr>
            </w:pPr>
            <w:r>
              <w:rPr>
                <w:rFonts w:hint="eastAsia"/>
                <w:color w:val="auto"/>
                <w:sz w:val="21"/>
                <w:szCs w:val="21"/>
              </w:rPr>
              <w:t>哺乳类</w:t>
            </w:r>
          </w:p>
        </w:tc>
      </w:tr>
      <w:tr w14:paraId="3B2D4A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21" w:type="pct"/>
            <w:tcBorders>
              <w:tl2br w:val="nil"/>
              <w:tr2bl w:val="nil"/>
            </w:tcBorders>
            <w:noWrap w:val="0"/>
            <w:vAlign w:val="center"/>
          </w:tcPr>
          <w:p w14:paraId="6EB631B5">
            <w:pPr>
              <w:jc w:val="center"/>
              <w:rPr>
                <w:color w:val="auto"/>
                <w:sz w:val="21"/>
                <w:szCs w:val="21"/>
              </w:rPr>
            </w:pPr>
            <w:r>
              <w:rPr>
                <w:color w:val="auto"/>
                <w:sz w:val="21"/>
                <w:szCs w:val="21"/>
              </w:rPr>
              <w:t>15</w:t>
            </w:r>
          </w:p>
        </w:tc>
        <w:tc>
          <w:tcPr>
            <w:tcW w:w="1266" w:type="pct"/>
            <w:tcBorders>
              <w:tl2br w:val="nil"/>
              <w:tr2bl w:val="nil"/>
            </w:tcBorders>
            <w:noWrap w:val="0"/>
            <w:vAlign w:val="center"/>
          </w:tcPr>
          <w:p w14:paraId="0871999D">
            <w:pPr>
              <w:jc w:val="center"/>
              <w:rPr>
                <w:color w:val="auto"/>
                <w:sz w:val="21"/>
                <w:szCs w:val="21"/>
              </w:rPr>
            </w:pPr>
            <w:r>
              <w:rPr>
                <w:color w:val="auto"/>
                <w:sz w:val="21"/>
                <w:szCs w:val="21"/>
              </w:rPr>
              <w:t>塔里木兔</w:t>
            </w:r>
          </w:p>
        </w:tc>
        <w:tc>
          <w:tcPr>
            <w:tcW w:w="1613" w:type="pct"/>
            <w:tcBorders>
              <w:tl2br w:val="nil"/>
              <w:tr2bl w:val="nil"/>
            </w:tcBorders>
            <w:noWrap w:val="0"/>
            <w:vAlign w:val="center"/>
          </w:tcPr>
          <w:p w14:paraId="46B8FCFC">
            <w:pPr>
              <w:jc w:val="center"/>
              <w:rPr>
                <w:i/>
                <w:color w:val="auto"/>
                <w:sz w:val="21"/>
                <w:szCs w:val="21"/>
              </w:rPr>
            </w:pPr>
            <w:r>
              <w:rPr>
                <w:i/>
                <w:color w:val="auto"/>
                <w:sz w:val="21"/>
                <w:szCs w:val="21"/>
              </w:rPr>
              <w:t>Lepus yarkandensis</w:t>
            </w:r>
          </w:p>
        </w:tc>
        <w:tc>
          <w:tcPr>
            <w:tcW w:w="562" w:type="pct"/>
            <w:tcBorders>
              <w:tl2br w:val="nil"/>
              <w:tr2bl w:val="nil"/>
            </w:tcBorders>
            <w:noWrap w:val="0"/>
            <w:vAlign w:val="center"/>
          </w:tcPr>
          <w:p w14:paraId="043AADDA">
            <w:pPr>
              <w:jc w:val="center"/>
              <w:rPr>
                <w:color w:val="auto"/>
                <w:sz w:val="21"/>
                <w:szCs w:val="21"/>
              </w:rPr>
            </w:pPr>
            <w:r>
              <w:rPr>
                <w:color w:val="auto"/>
                <w:sz w:val="21"/>
                <w:szCs w:val="21"/>
              </w:rPr>
              <w:t>/</w:t>
            </w:r>
          </w:p>
        </w:tc>
        <w:tc>
          <w:tcPr>
            <w:tcW w:w="1136" w:type="pct"/>
            <w:tcBorders>
              <w:tl2br w:val="nil"/>
              <w:tr2bl w:val="nil"/>
            </w:tcBorders>
            <w:noWrap w:val="0"/>
            <w:vAlign w:val="center"/>
          </w:tcPr>
          <w:p w14:paraId="7E52F3B0">
            <w:pPr>
              <w:jc w:val="center"/>
              <w:rPr>
                <w:color w:val="auto"/>
                <w:sz w:val="21"/>
                <w:szCs w:val="21"/>
              </w:rPr>
            </w:pPr>
            <w:r>
              <w:rPr>
                <w:color w:val="auto"/>
                <w:sz w:val="21"/>
                <w:szCs w:val="21"/>
              </w:rPr>
              <w:t>+</w:t>
            </w:r>
          </w:p>
        </w:tc>
      </w:tr>
      <w:tr w14:paraId="711342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21" w:type="pct"/>
            <w:tcBorders>
              <w:tl2br w:val="nil"/>
              <w:tr2bl w:val="nil"/>
            </w:tcBorders>
            <w:noWrap w:val="0"/>
            <w:vAlign w:val="center"/>
          </w:tcPr>
          <w:p w14:paraId="2DAA38EF">
            <w:pPr>
              <w:jc w:val="center"/>
              <w:rPr>
                <w:color w:val="auto"/>
                <w:sz w:val="21"/>
                <w:szCs w:val="21"/>
              </w:rPr>
            </w:pPr>
            <w:r>
              <w:rPr>
                <w:color w:val="auto"/>
                <w:sz w:val="21"/>
                <w:szCs w:val="21"/>
              </w:rPr>
              <w:t>16</w:t>
            </w:r>
          </w:p>
        </w:tc>
        <w:tc>
          <w:tcPr>
            <w:tcW w:w="1266" w:type="pct"/>
            <w:tcBorders>
              <w:tl2br w:val="nil"/>
              <w:tr2bl w:val="nil"/>
            </w:tcBorders>
            <w:noWrap w:val="0"/>
            <w:vAlign w:val="center"/>
          </w:tcPr>
          <w:p w14:paraId="6BC039DA">
            <w:pPr>
              <w:jc w:val="center"/>
              <w:rPr>
                <w:color w:val="auto"/>
                <w:sz w:val="21"/>
                <w:szCs w:val="21"/>
              </w:rPr>
            </w:pPr>
            <w:r>
              <w:rPr>
                <w:color w:val="auto"/>
                <w:sz w:val="21"/>
                <w:szCs w:val="21"/>
              </w:rPr>
              <w:t>三趾心颅跳鼠</w:t>
            </w:r>
          </w:p>
        </w:tc>
        <w:tc>
          <w:tcPr>
            <w:tcW w:w="1613" w:type="pct"/>
            <w:tcBorders>
              <w:tl2br w:val="nil"/>
              <w:tr2bl w:val="nil"/>
            </w:tcBorders>
            <w:noWrap w:val="0"/>
            <w:vAlign w:val="center"/>
          </w:tcPr>
          <w:p w14:paraId="734C2764">
            <w:pPr>
              <w:jc w:val="center"/>
              <w:rPr>
                <w:i/>
                <w:color w:val="auto"/>
                <w:sz w:val="21"/>
                <w:szCs w:val="21"/>
              </w:rPr>
            </w:pPr>
            <w:r>
              <w:rPr>
                <w:i/>
                <w:color w:val="auto"/>
                <w:sz w:val="21"/>
                <w:szCs w:val="21"/>
              </w:rPr>
              <w:t>Salpingotus kozlovi</w:t>
            </w:r>
          </w:p>
        </w:tc>
        <w:tc>
          <w:tcPr>
            <w:tcW w:w="562" w:type="pct"/>
            <w:tcBorders>
              <w:tl2br w:val="nil"/>
              <w:tr2bl w:val="nil"/>
            </w:tcBorders>
            <w:noWrap w:val="0"/>
            <w:vAlign w:val="center"/>
          </w:tcPr>
          <w:p w14:paraId="2B4B0E91">
            <w:pPr>
              <w:jc w:val="center"/>
              <w:rPr>
                <w:color w:val="auto"/>
                <w:sz w:val="21"/>
                <w:szCs w:val="21"/>
              </w:rPr>
            </w:pPr>
            <w:r>
              <w:rPr>
                <w:color w:val="auto"/>
                <w:sz w:val="21"/>
                <w:szCs w:val="21"/>
              </w:rPr>
              <w:t>/</w:t>
            </w:r>
          </w:p>
        </w:tc>
        <w:tc>
          <w:tcPr>
            <w:tcW w:w="1136" w:type="pct"/>
            <w:tcBorders>
              <w:tl2br w:val="nil"/>
              <w:tr2bl w:val="nil"/>
            </w:tcBorders>
            <w:noWrap w:val="0"/>
            <w:vAlign w:val="center"/>
          </w:tcPr>
          <w:p w14:paraId="4C206583">
            <w:pPr>
              <w:jc w:val="center"/>
              <w:rPr>
                <w:color w:val="auto"/>
                <w:sz w:val="21"/>
                <w:szCs w:val="21"/>
              </w:rPr>
            </w:pPr>
            <w:r>
              <w:rPr>
                <w:color w:val="auto"/>
                <w:sz w:val="21"/>
                <w:szCs w:val="21"/>
              </w:rPr>
              <w:t>±</w:t>
            </w:r>
          </w:p>
        </w:tc>
      </w:tr>
      <w:tr w14:paraId="035DC5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21" w:type="pct"/>
            <w:tcBorders>
              <w:tl2br w:val="nil"/>
              <w:tr2bl w:val="nil"/>
            </w:tcBorders>
            <w:noWrap w:val="0"/>
            <w:vAlign w:val="center"/>
          </w:tcPr>
          <w:p w14:paraId="42850160">
            <w:pPr>
              <w:jc w:val="center"/>
              <w:rPr>
                <w:color w:val="auto"/>
                <w:sz w:val="21"/>
                <w:szCs w:val="21"/>
              </w:rPr>
            </w:pPr>
            <w:r>
              <w:rPr>
                <w:color w:val="auto"/>
                <w:sz w:val="21"/>
                <w:szCs w:val="21"/>
              </w:rPr>
              <w:t>17</w:t>
            </w:r>
          </w:p>
        </w:tc>
        <w:tc>
          <w:tcPr>
            <w:tcW w:w="1266" w:type="pct"/>
            <w:tcBorders>
              <w:tl2br w:val="nil"/>
              <w:tr2bl w:val="nil"/>
            </w:tcBorders>
            <w:noWrap w:val="0"/>
            <w:vAlign w:val="center"/>
          </w:tcPr>
          <w:p w14:paraId="509C853D">
            <w:pPr>
              <w:jc w:val="center"/>
              <w:rPr>
                <w:color w:val="auto"/>
                <w:sz w:val="21"/>
                <w:szCs w:val="21"/>
              </w:rPr>
            </w:pPr>
            <w:r>
              <w:rPr>
                <w:color w:val="auto"/>
                <w:sz w:val="21"/>
                <w:szCs w:val="21"/>
              </w:rPr>
              <w:t>子午沙鼠</w:t>
            </w:r>
          </w:p>
        </w:tc>
        <w:tc>
          <w:tcPr>
            <w:tcW w:w="1613" w:type="pct"/>
            <w:tcBorders>
              <w:tl2br w:val="nil"/>
              <w:tr2bl w:val="nil"/>
            </w:tcBorders>
            <w:noWrap w:val="0"/>
            <w:vAlign w:val="center"/>
          </w:tcPr>
          <w:p w14:paraId="5D6A288E">
            <w:pPr>
              <w:jc w:val="center"/>
              <w:rPr>
                <w:i/>
                <w:color w:val="auto"/>
                <w:sz w:val="21"/>
                <w:szCs w:val="21"/>
              </w:rPr>
            </w:pPr>
            <w:r>
              <w:rPr>
                <w:i/>
                <w:color w:val="auto"/>
                <w:sz w:val="21"/>
                <w:szCs w:val="21"/>
              </w:rPr>
              <w:t>Meriones meridianus</w:t>
            </w:r>
          </w:p>
        </w:tc>
        <w:tc>
          <w:tcPr>
            <w:tcW w:w="562" w:type="pct"/>
            <w:tcBorders>
              <w:tl2br w:val="nil"/>
              <w:tr2bl w:val="nil"/>
            </w:tcBorders>
            <w:noWrap w:val="0"/>
            <w:vAlign w:val="center"/>
          </w:tcPr>
          <w:p w14:paraId="5CC66506">
            <w:pPr>
              <w:jc w:val="center"/>
              <w:rPr>
                <w:color w:val="auto"/>
                <w:sz w:val="21"/>
                <w:szCs w:val="21"/>
              </w:rPr>
            </w:pPr>
            <w:r>
              <w:rPr>
                <w:color w:val="auto"/>
                <w:sz w:val="21"/>
                <w:szCs w:val="21"/>
              </w:rPr>
              <w:t>/</w:t>
            </w:r>
          </w:p>
        </w:tc>
        <w:tc>
          <w:tcPr>
            <w:tcW w:w="1136" w:type="pct"/>
            <w:tcBorders>
              <w:tl2br w:val="nil"/>
              <w:tr2bl w:val="nil"/>
            </w:tcBorders>
            <w:noWrap w:val="0"/>
            <w:vAlign w:val="center"/>
          </w:tcPr>
          <w:p w14:paraId="0320E918">
            <w:pPr>
              <w:jc w:val="center"/>
              <w:rPr>
                <w:color w:val="auto"/>
                <w:sz w:val="21"/>
                <w:szCs w:val="21"/>
              </w:rPr>
            </w:pPr>
            <w:r>
              <w:rPr>
                <w:color w:val="auto"/>
                <w:sz w:val="21"/>
                <w:szCs w:val="21"/>
              </w:rPr>
              <w:t>±</w:t>
            </w:r>
          </w:p>
        </w:tc>
      </w:tr>
      <w:tr w14:paraId="01EFC0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21" w:type="pct"/>
            <w:tcBorders>
              <w:tl2br w:val="nil"/>
              <w:tr2bl w:val="nil"/>
            </w:tcBorders>
            <w:noWrap w:val="0"/>
            <w:vAlign w:val="center"/>
          </w:tcPr>
          <w:p w14:paraId="7F39C1EA">
            <w:pPr>
              <w:jc w:val="center"/>
              <w:rPr>
                <w:color w:val="auto"/>
                <w:sz w:val="21"/>
                <w:szCs w:val="21"/>
              </w:rPr>
            </w:pPr>
            <w:r>
              <w:rPr>
                <w:rFonts w:hint="eastAsia"/>
                <w:color w:val="auto"/>
                <w:sz w:val="21"/>
                <w:szCs w:val="21"/>
              </w:rPr>
              <w:t>1</w:t>
            </w:r>
            <w:r>
              <w:rPr>
                <w:color w:val="auto"/>
                <w:sz w:val="21"/>
                <w:szCs w:val="21"/>
              </w:rPr>
              <w:t>8</w:t>
            </w:r>
          </w:p>
        </w:tc>
        <w:tc>
          <w:tcPr>
            <w:tcW w:w="1266" w:type="pct"/>
            <w:tcBorders>
              <w:tl2br w:val="nil"/>
              <w:tr2bl w:val="nil"/>
            </w:tcBorders>
            <w:noWrap w:val="0"/>
            <w:vAlign w:val="center"/>
          </w:tcPr>
          <w:p w14:paraId="00B2EAD1">
            <w:pPr>
              <w:spacing w:line="300" w:lineRule="exact"/>
              <w:jc w:val="center"/>
              <w:rPr>
                <w:color w:val="auto"/>
                <w:sz w:val="21"/>
                <w:szCs w:val="21"/>
              </w:rPr>
            </w:pPr>
            <w:r>
              <w:rPr>
                <w:color w:val="auto"/>
                <w:sz w:val="21"/>
                <w:szCs w:val="21"/>
              </w:rPr>
              <w:t>鹅喉羚</w:t>
            </w:r>
          </w:p>
        </w:tc>
        <w:tc>
          <w:tcPr>
            <w:tcW w:w="1613" w:type="pct"/>
            <w:tcBorders>
              <w:tl2br w:val="nil"/>
              <w:tr2bl w:val="nil"/>
            </w:tcBorders>
            <w:noWrap w:val="0"/>
            <w:vAlign w:val="center"/>
          </w:tcPr>
          <w:p w14:paraId="286DD838">
            <w:pPr>
              <w:spacing w:line="300" w:lineRule="exact"/>
              <w:jc w:val="center"/>
              <w:rPr>
                <w:i/>
                <w:iCs/>
                <w:color w:val="auto"/>
                <w:sz w:val="21"/>
                <w:szCs w:val="21"/>
              </w:rPr>
            </w:pPr>
            <w:r>
              <w:rPr>
                <w:i/>
                <w:iCs/>
                <w:color w:val="auto"/>
                <w:sz w:val="21"/>
                <w:szCs w:val="21"/>
              </w:rPr>
              <w:t>Gazella subgutturosa</w:t>
            </w:r>
          </w:p>
        </w:tc>
        <w:tc>
          <w:tcPr>
            <w:tcW w:w="562" w:type="pct"/>
            <w:tcBorders>
              <w:tl2br w:val="nil"/>
              <w:tr2bl w:val="nil"/>
            </w:tcBorders>
            <w:noWrap w:val="0"/>
            <w:vAlign w:val="center"/>
          </w:tcPr>
          <w:p w14:paraId="2CE8939D">
            <w:pPr>
              <w:jc w:val="center"/>
              <w:rPr>
                <w:color w:val="auto"/>
                <w:sz w:val="21"/>
                <w:szCs w:val="21"/>
              </w:rPr>
            </w:pPr>
          </w:p>
        </w:tc>
        <w:tc>
          <w:tcPr>
            <w:tcW w:w="1136" w:type="pct"/>
            <w:tcBorders>
              <w:tl2br w:val="nil"/>
              <w:tr2bl w:val="nil"/>
            </w:tcBorders>
            <w:noWrap w:val="0"/>
            <w:vAlign w:val="center"/>
          </w:tcPr>
          <w:p w14:paraId="13DD92C7">
            <w:pPr>
              <w:jc w:val="center"/>
              <w:rPr>
                <w:color w:val="auto"/>
                <w:sz w:val="21"/>
                <w:szCs w:val="21"/>
              </w:rPr>
            </w:pPr>
            <w:r>
              <w:rPr>
                <w:rFonts w:hint="eastAsia"/>
                <w:color w:val="auto"/>
                <w:sz w:val="21"/>
                <w:szCs w:val="21"/>
              </w:rPr>
              <w:t>±</w:t>
            </w:r>
          </w:p>
        </w:tc>
      </w:tr>
      <w:tr w14:paraId="27BA11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622" w:hRule="atLeast"/>
          <w:jc w:val="center"/>
        </w:trPr>
        <w:tc>
          <w:tcPr>
            <w:tcW w:w="5000" w:type="pct"/>
            <w:gridSpan w:val="5"/>
            <w:tcBorders>
              <w:tl2br w:val="nil"/>
              <w:tr2bl w:val="nil"/>
            </w:tcBorders>
            <w:noWrap w:val="0"/>
            <w:vAlign w:val="center"/>
          </w:tcPr>
          <w:p w14:paraId="5AB447DD">
            <w:pPr>
              <w:jc w:val="both"/>
              <w:rPr>
                <w:rFonts w:hint="eastAsia"/>
                <w:color w:val="auto"/>
                <w:sz w:val="21"/>
                <w:szCs w:val="21"/>
              </w:rPr>
            </w:pPr>
            <w:r>
              <w:rPr>
                <w:rFonts w:hint="eastAsia"/>
                <w:color w:val="auto"/>
                <w:sz w:val="21"/>
                <w:szCs w:val="21"/>
              </w:rPr>
              <w:t>注：（1）R—留鸟；  B—繁殖鸟；   W—冬候鸟；   S—夏候鸟；</w:t>
            </w:r>
            <w:r>
              <w:rPr>
                <w:rFonts w:hint="eastAsia"/>
                <w:color w:val="auto"/>
                <w:sz w:val="21"/>
                <w:szCs w:val="21"/>
                <w:lang w:eastAsia="zh-CN"/>
              </w:rPr>
              <w:t>（</w:t>
            </w:r>
            <w:r>
              <w:rPr>
                <w:rFonts w:hint="eastAsia"/>
                <w:color w:val="auto"/>
                <w:sz w:val="21"/>
                <w:szCs w:val="21"/>
              </w:rPr>
              <w:t>2</w:t>
            </w:r>
            <w:r>
              <w:rPr>
                <w:rFonts w:hint="eastAsia"/>
                <w:color w:val="auto"/>
                <w:sz w:val="21"/>
                <w:szCs w:val="21"/>
                <w:lang w:eastAsia="zh-CN"/>
              </w:rPr>
              <w:t>）</w:t>
            </w:r>
            <w:r>
              <w:rPr>
                <w:rFonts w:hint="eastAsia"/>
                <w:color w:val="auto"/>
                <w:sz w:val="21"/>
                <w:szCs w:val="21"/>
              </w:rPr>
              <w:t xml:space="preserve"> ±：偶见种；   +：常见种；  ++：多见种；</w:t>
            </w:r>
          </w:p>
        </w:tc>
      </w:tr>
    </w:tbl>
    <w:p w14:paraId="5E44473F">
      <w:pPr>
        <w:pStyle w:val="79"/>
        <w:bidi w:val="0"/>
        <w:rPr>
          <w:rFonts w:hint="default"/>
          <w:color w:val="auto"/>
        </w:rPr>
      </w:pPr>
      <w:r>
        <w:rPr>
          <w:rFonts w:hint="default"/>
          <w:color w:val="auto"/>
        </w:rPr>
        <w:t>根据《国家重点保护野生动物名录（2021年版）</w:t>
      </w:r>
      <w:r>
        <w:rPr>
          <w:rFonts w:hint="eastAsia"/>
          <w:color w:val="auto"/>
          <w:lang w:eastAsia="zh-CN"/>
        </w:rPr>
        <w:t>》《</w:t>
      </w:r>
      <w:r>
        <w:rPr>
          <w:rFonts w:hint="default"/>
          <w:color w:val="auto"/>
        </w:rPr>
        <w:t>新疆国家重点保护野生动物名录》（2021年07月28日发布）、《新疆维吾尔自治区重点保护野生动物名录（修订）》新政发〔2022〕75号（2022年09月08日发布），经过咨询当地林业局野生动物保护科以及生态环境局等单位，项目区保护动物主要为塔里木兔，为国家二级保护动物。塔里木兔的耳朵特别大，体形较小，体长35～43cm，尾长5～10cm，体重不到2kg。由于长期适应干旱自然环境，其形态高度特化；毛色浅淡，背部沙黄褐色，尾部无黑毛，整体毛色与栖息环境非常接近；听觉器官非常发达，耳长达10cm，超过其他兔类。利用长耳壳可接收到较远距离的微弱音响，及时发现并逃脱天敌。栖息于盆地中各种不同的荒漠环境和绿洲，白天活动，晚间常在灌木丛下挖浅窟藏身。以灌木的树皮和细枝为食，也取食芦苇嫩茎。每年于5月和8月份繁殖两次，每窝产仔2～5只。塔里木兔对农作物有一定危害，近几年数量明显减少。</w:t>
      </w:r>
    </w:p>
    <w:p w14:paraId="7B8387EC">
      <w:pPr>
        <w:pStyle w:val="79"/>
        <w:bidi w:val="0"/>
        <w:rPr>
          <w:rFonts w:hint="default"/>
          <w:color w:val="auto"/>
        </w:rPr>
      </w:pPr>
      <w:r>
        <w:rPr>
          <w:rFonts w:hint="default"/>
          <w:color w:val="auto"/>
        </w:rPr>
        <w:t>本项目</w:t>
      </w:r>
      <w:r>
        <w:rPr>
          <w:rFonts w:hint="eastAsia"/>
          <w:color w:val="auto"/>
          <w:lang w:val="en-US" w:eastAsia="zh-CN"/>
        </w:rPr>
        <w:t>周边为油田</w:t>
      </w:r>
      <w:r>
        <w:rPr>
          <w:rFonts w:hint="default"/>
          <w:color w:val="auto"/>
        </w:rPr>
        <w:t>开发区域，因</w:t>
      </w:r>
      <w:r>
        <w:rPr>
          <w:rFonts w:hint="eastAsia"/>
          <w:color w:val="auto"/>
          <w:lang w:val="en-US" w:eastAsia="zh-CN"/>
        </w:rPr>
        <w:t>该区域周边</w:t>
      </w:r>
      <w:r>
        <w:rPr>
          <w:rFonts w:hint="default"/>
          <w:color w:val="auto"/>
        </w:rPr>
        <w:t>石油开发建设活动早已开展，人类活动频繁，使得对人类活动敏感的野生动物早已离去，已难以再见到大中型野生动物，偶尔可见到塔里木兔的踪迹。</w:t>
      </w:r>
    </w:p>
    <w:p w14:paraId="6E4B28CA">
      <w:pPr>
        <w:pStyle w:val="54"/>
        <w:bidi w:val="0"/>
        <w:rPr>
          <w:rFonts w:hint="default"/>
          <w:color w:val="auto"/>
          <w:lang w:val="zh-CN" w:eastAsia="zh-CN"/>
        </w:rPr>
      </w:pPr>
      <w:r>
        <w:rPr>
          <w:rFonts w:hint="default"/>
          <w:color w:val="auto"/>
          <w:lang w:val="zh-CN" w:eastAsia="zh-CN"/>
        </w:rPr>
        <w:t>4.2.</w:t>
      </w:r>
      <w:r>
        <w:rPr>
          <w:rFonts w:hint="eastAsia"/>
          <w:color w:val="auto"/>
          <w:lang w:val="en-US" w:eastAsia="zh-CN"/>
        </w:rPr>
        <w:t>7生态敏感区调查与评价</w:t>
      </w:r>
    </w:p>
    <w:p w14:paraId="056503DA">
      <w:pPr>
        <w:pStyle w:val="55"/>
        <w:bidi w:val="0"/>
        <w:rPr>
          <w:rFonts w:hint="default"/>
          <w:color w:val="auto"/>
          <w:lang w:val="zh-CN" w:eastAsia="zh-CN"/>
        </w:rPr>
      </w:pPr>
      <w:r>
        <w:rPr>
          <w:rFonts w:hint="default"/>
          <w:color w:val="auto"/>
          <w:lang w:val="zh-CN" w:eastAsia="zh-CN"/>
        </w:rPr>
        <w:t>4.2.</w:t>
      </w:r>
      <w:r>
        <w:rPr>
          <w:rFonts w:hint="eastAsia"/>
          <w:color w:val="auto"/>
          <w:lang w:val="en-US" w:eastAsia="zh-CN"/>
        </w:rPr>
        <w:t xml:space="preserve">7.1 </w:t>
      </w:r>
      <w:r>
        <w:rPr>
          <w:rFonts w:hint="default"/>
          <w:color w:val="auto"/>
          <w:lang w:val="zh-CN" w:eastAsia="zh-CN"/>
        </w:rPr>
        <w:t>水土流失重点治理区</w:t>
      </w:r>
    </w:p>
    <w:p w14:paraId="79E31222">
      <w:pPr>
        <w:pStyle w:val="79"/>
        <w:bidi w:val="0"/>
        <w:rPr>
          <w:rFonts w:hint="default"/>
          <w:color w:val="auto"/>
          <w:lang w:val="en-US" w:eastAsia="zh-CN"/>
        </w:rPr>
      </w:pPr>
      <w:r>
        <w:rPr>
          <w:rFonts w:hint="default"/>
          <w:color w:val="auto"/>
          <w:lang w:val="en-US" w:eastAsia="zh-CN"/>
        </w:rPr>
        <w:t>水土流失是新疆维吾尔自治区重大的生态环境问题，水土流失导致水土资源破坏、生态环境恶化、自然灾害加剧，威胁生态安全、防洪安全、饮水安全，是自治区经济社会可持续发展的较突出的制约性因素。</w:t>
      </w:r>
    </w:p>
    <w:p w14:paraId="7879765F">
      <w:pPr>
        <w:pStyle w:val="79"/>
        <w:bidi w:val="0"/>
        <w:rPr>
          <w:rFonts w:hint="default"/>
          <w:color w:val="auto"/>
          <w:lang w:val="en-US" w:eastAsia="zh-CN"/>
        </w:rPr>
      </w:pPr>
      <w:r>
        <w:rPr>
          <w:rFonts w:hint="default"/>
          <w:color w:val="auto"/>
          <w:lang w:val="en-US" w:eastAsia="zh-CN"/>
        </w:rPr>
        <w:t>新疆在全国水土保持区划中位于北方风沙区（新甘蒙高原盆地区）一级分区，包含北疆山地盆地区和南疆山地盆地区两个二级分区，准噶尔盆地北部水源涵养生态维护区、天山北坡人居环境农田防护区、伊犁河谷减灾蓄水区、吐哈盆地生态维护防沙区、塔里木盆地北部农田防护水源涵养区、塔里木盆地南部农田防护防沙区、塔里木盆地西部农田防护减灾区七个三级区。根据《全国水土保持规划国家级水土流失重点预防区和重点治理区复核划分成果》（办水保〔2013〕188号）及新水水保〔2019〕4号，新疆维吾尔自治区共划分了2个自治区级水土流失重点预防区，4个自治区级水土流失重点治理区。其中，重点预防区面积19615.9km</w:t>
      </w:r>
      <w:r>
        <w:rPr>
          <w:rFonts w:hint="default"/>
          <w:color w:val="auto"/>
          <w:vertAlign w:val="superscript"/>
          <w:lang w:val="en-US" w:eastAsia="zh-CN"/>
        </w:rPr>
        <w:t>2</w:t>
      </w:r>
      <w:r>
        <w:rPr>
          <w:rFonts w:hint="default"/>
          <w:color w:val="auto"/>
          <w:lang w:val="en-US" w:eastAsia="zh-CN"/>
        </w:rPr>
        <w:t>，包括天山山区重点预防区、塔里木河中上游重点预防区；重点治理区面积283963km</w:t>
      </w:r>
      <w:r>
        <w:rPr>
          <w:rFonts w:hint="default"/>
          <w:color w:val="auto"/>
          <w:vertAlign w:val="superscript"/>
          <w:lang w:val="en-US" w:eastAsia="zh-CN"/>
        </w:rPr>
        <w:t>2</w:t>
      </w:r>
      <w:r>
        <w:rPr>
          <w:rFonts w:hint="default"/>
          <w:color w:val="auto"/>
          <w:lang w:val="en-US" w:eastAsia="zh-CN"/>
        </w:rPr>
        <w:t>，包括额尔齐斯河流域重点治理区、天山北坡诸小河流域重点治理区、塔里木河流域重点治理区、伊犁河流域重点治理区。</w:t>
      </w:r>
    </w:p>
    <w:p w14:paraId="51E83CC5">
      <w:pPr>
        <w:pStyle w:val="79"/>
        <w:bidi w:val="0"/>
        <w:rPr>
          <w:rFonts w:hint="default"/>
          <w:color w:val="auto"/>
          <w:lang w:val="en-US" w:eastAsia="zh-CN"/>
        </w:rPr>
      </w:pPr>
      <w:r>
        <w:rPr>
          <w:rFonts w:hint="default"/>
          <w:color w:val="auto"/>
          <w:lang w:val="en-US" w:eastAsia="zh-CN"/>
        </w:rPr>
        <w:t>本项目所在温宿县处于中度风力侵蚀区，属于塔里木河流域水土流失重点治理区。项目区自然环境较差，所以水土保持工作以监督和预防保护为主。要加强对区内生态环境的保护，尤其对项目区灌木等荒漠植被要加强保护，禁止破坏生态系统的现象发生，防止水土流失加剧。</w:t>
      </w:r>
    </w:p>
    <w:p w14:paraId="42CE56FA">
      <w:pPr>
        <w:pStyle w:val="55"/>
        <w:bidi w:val="0"/>
        <w:rPr>
          <w:rFonts w:hint="default"/>
          <w:color w:val="auto"/>
          <w:lang w:val="en-US" w:eastAsia="zh-CN"/>
        </w:rPr>
      </w:pPr>
      <w:r>
        <w:rPr>
          <w:rFonts w:hint="eastAsia"/>
          <w:color w:val="auto"/>
          <w:lang w:val="en-US" w:eastAsia="zh-CN"/>
        </w:rPr>
        <w:t>4.2.7.2生态保护红线</w:t>
      </w:r>
    </w:p>
    <w:p w14:paraId="1BC67BDC">
      <w:pPr>
        <w:pStyle w:val="79"/>
        <w:bidi w:val="0"/>
        <w:rPr>
          <w:rFonts w:hint="default"/>
          <w:color w:val="auto"/>
          <w:lang w:val="zh-CN" w:eastAsia="zh-CN"/>
        </w:rPr>
      </w:pPr>
      <w:r>
        <w:rPr>
          <w:rFonts w:hint="default"/>
          <w:color w:val="auto"/>
          <w:lang w:val="zh-CN" w:eastAsia="zh-CN"/>
        </w:rPr>
        <w:t>本工程距离生态保护红线区</w:t>
      </w:r>
      <w:r>
        <w:rPr>
          <w:rFonts w:hint="eastAsia"/>
          <w:color w:val="auto"/>
          <w:lang w:val="zh-CN" w:eastAsia="zh-CN"/>
        </w:rPr>
        <w:t>（</w:t>
      </w:r>
      <w:r>
        <w:rPr>
          <w:rFonts w:hint="default"/>
          <w:color w:val="auto"/>
          <w:lang w:val="zh-CN" w:eastAsia="zh-CN"/>
        </w:rPr>
        <w:t>塔里木河流域土地沙化防控与生物多样性维护生态保护红线区</w:t>
      </w:r>
      <w:r>
        <w:rPr>
          <w:rFonts w:hint="eastAsia"/>
          <w:color w:val="auto"/>
          <w:lang w:val="zh-CN" w:eastAsia="zh-CN"/>
        </w:rPr>
        <w:t>）</w:t>
      </w:r>
      <w:r>
        <w:rPr>
          <w:rFonts w:hint="default"/>
          <w:color w:val="auto"/>
          <w:lang w:val="zh-CN" w:eastAsia="zh-CN"/>
        </w:rPr>
        <w:t>约</w:t>
      </w:r>
      <w:r>
        <w:rPr>
          <w:rFonts w:hint="eastAsia"/>
          <w:color w:val="auto"/>
          <w:lang w:val="en-US" w:eastAsia="zh-CN"/>
        </w:rPr>
        <w:t>34</w:t>
      </w:r>
      <w:r>
        <w:rPr>
          <w:rFonts w:hint="default"/>
          <w:color w:val="auto"/>
          <w:lang w:val="zh-CN" w:eastAsia="zh-CN"/>
        </w:rPr>
        <w:t>km，不在红线内。本工程与生态保护红线区位置关系示意见附图</w:t>
      </w:r>
      <w:r>
        <w:rPr>
          <w:rFonts w:hint="eastAsia"/>
          <w:color w:val="auto"/>
          <w:lang w:val="en-US" w:eastAsia="zh-CN"/>
        </w:rPr>
        <w:t>3.9-1</w:t>
      </w:r>
      <w:r>
        <w:rPr>
          <w:rFonts w:hint="default"/>
          <w:color w:val="auto"/>
          <w:lang w:val="zh-CN" w:eastAsia="zh-CN"/>
        </w:rPr>
        <w:t>。</w:t>
      </w:r>
    </w:p>
    <w:p w14:paraId="1F8DD832">
      <w:pPr>
        <w:pStyle w:val="54"/>
        <w:bidi w:val="0"/>
        <w:rPr>
          <w:rFonts w:hint="default"/>
          <w:color w:val="auto"/>
          <w:lang w:val="en-US" w:eastAsia="zh-CN"/>
        </w:rPr>
      </w:pPr>
      <w:r>
        <w:rPr>
          <w:rFonts w:hint="eastAsia"/>
          <w:color w:val="auto"/>
          <w:lang w:val="en-US" w:eastAsia="zh-CN"/>
        </w:rPr>
        <w:t>4.2.8主要生态问题调查</w:t>
      </w:r>
    </w:p>
    <w:p w14:paraId="29BD10D1">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本项目位于阿克苏地区</w:t>
      </w:r>
      <w:r>
        <w:rPr>
          <w:rFonts w:hint="eastAsia" w:cs="Times New Roman"/>
          <w:color w:val="auto"/>
          <w:sz w:val="24"/>
          <w:szCs w:val="24"/>
          <w:highlight w:val="none"/>
          <w:lang w:val="en-US" w:eastAsia="zh-CN"/>
        </w:rPr>
        <w:t>温宿</w:t>
      </w:r>
      <w:r>
        <w:rPr>
          <w:rFonts w:hint="default" w:ascii="Times New Roman" w:hAnsi="Times New Roman" w:eastAsia="宋体" w:cs="Times New Roman"/>
          <w:color w:val="auto"/>
          <w:sz w:val="24"/>
          <w:szCs w:val="24"/>
          <w:highlight w:val="none"/>
        </w:rPr>
        <w:t>县，根据《新疆第六次沙化土地监测报告》，属于南疆沙漠中的塔克拉玛干沙漠边缘自然地理单元。</w:t>
      </w:r>
      <w:r>
        <w:rPr>
          <w:rFonts w:hint="eastAsia" w:cs="Times New Roman"/>
          <w:color w:val="auto"/>
          <w:sz w:val="24"/>
          <w:szCs w:val="24"/>
          <w:highlight w:val="none"/>
          <w:lang w:val="en-US" w:eastAsia="zh-CN"/>
        </w:rPr>
        <w:t>温宿县</w:t>
      </w:r>
      <w:r>
        <w:rPr>
          <w:rFonts w:hint="default" w:ascii="Times New Roman" w:hAnsi="Times New Roman" w:eastAsia="宋体" w:cs="Times New Roman"/>
          <w:color w:val="auto"/>
          <w:sz w:val="24"/>
          <w:szCs w:val="24"/>
          <w:highlight w:val="none"/>
        </w:rPr>
        <w:t>沙化土地总面积243507.06公顷，其中</w:t>
      </w:r>
      <w:r>
        <w:rPr>
          <w:rFonts w:hint="eastAsia" w:cs="Times New Roman"/>
          <w:color w:val="auto"/>
          <w:sz w:val="24"/>
          <w:szCs w:val="24"/>
          <w:highlight w:val="none"/>
          <w:lang w:val="en-US" w:eastAsia="zh-CN"/>
        </w:rPr>
        <w:t>天然半固定沙地</w:t>
      </w:r>
      <w:r>
        <w:rPr>
          <w:rFonts w:hint="default" w:ascii="Times New Roman" w:hAnsi="Times New Roman" w:eastAsia="宋体" w:cs="Times New Roman"/>
          <w:color w:val="auto"/>
          <w:sz w:val="24"/>
          <w:szCs w:val="24"/>
          <w:highlight w:val="none"/>
        </w:rPr>
        <w:t>23130.83公顷，</w:t>
      </w:r>
      <w:r>
        <w:rPr>
          <w:rFonts w:hint="eastAsia" w:cs="Times New Roman"/>
          <w:color w:val="auto"/>
          <w:sz w:val="24"/>
          <w:szCs w:val="24"/>
          <w:highlight w:val="none"/>
          <w:lang w:val="en-US" w:eastAsia="zh-CN"/>
        </w:rPr>
        <w:t>戈壁</w:t>
      </w:r>
      <w:r>
        <w:rPr>
          <w:rFonts w:hint="default" w:ascii="Times New Roman" w:hAnsi="Times New Roman" w:eastAsia="宋体" w:cs="Times New Roman"/>
          <w:color w:val="auto"/>
          <w:sz w:val="24"/>
          <w:szCs w:val="24"/>
          <w:highlight w:val="none"/>
        </w:rPr>
        <w:t>194466.94</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具有明显沙化趋势的土地面积840.23公顷，其他土地类型面积1128221.42公顷。</w:t>
      </w:r>
    </w:p>
    <w:p w14:paraId="6D81F334">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4"/>
          <w:highlight w:val="yellow"/>
        </w:rPr>
      </w:pPr>
      <w:r>
        <w:rPr>
          <w:rFonts w:hint="default" w:ascii="Times New Roman" w:hAnsi="Times New Roman" w:eastAsia="宋体" w:cs="Times New Roman"/>
          <w:color w:val="auto"/>
          <w:sz w:val="24"/>
          <w:szCs w:val="24"/>
          <w:highlight w:val="none"/>
        </w:rPr>
        <w:t>本项目所在地沙化土地类型属于</w:t>
      </w:r>
      <w:r>
        <w:rPr>
          <w:rFonts w:hint="eastAsia" w:cs="Times New Roman"/>
          <w:color w:val="auto"/>
          <w:sz w:val="24"/>
          <w:szCs w:val="24"/>
          <w:highlight w:val="none"/>
          <w:lang w:val="en-US" w:eastAsia="zh-CN"/>
        </w:rPr>
        <w:t>半固定沙地</w:t>
      </w:r>
      <w:r>
        <w:rPr>
          <w:rFonts w:hint="default" w:ascii="Times New Roman" w:hAnsi="Times New Roman" w:eastAsia="宋体" w:cs="Times New Roman"/>
          <w:color w:val="auto"/>
          <w:sz w:val="24"/>
          <w:szCs w:val="24"/>
          <w:highlight w:val="none"/>
        </w:rPr>
        <w:t>，生态评价范围内沙化土地程度属于轻度，沙化土地面积为27.22hm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占地均在</w:t>
      </w:r>
      <w:r>
        <w:rPr>
          <w:rFonts w:hint="default" w:ascii="Times New Roman" w:hAnsi="Times New Roman" w:eastAsia="宋体" w:cs="Times New Roman"/>
          <w:color w:val="auto"/>
          <w:sz w:val="24"/>
          <w:szCs w:val="24"/>
          <w:highlight w:val="none"/>
        </w:rPr>
        <w:t>评价</w:t>
      </w:r>
      <w:r>
        <w:rPr>
          <w:rFonts w:hint="eastAsia" w:cs="Times New Roman"/>
          <w:color w:val="auto"/>
          <w:sz w:val="24"/>
          <w:szCs w:val="24"/>
          <w:highlight w:val="none"/>
          <w:lang w:val="en-US" w:eastAsia="zh-CN"/>
        </w:rPr>
        <w:t>范围内</w:t>
      </w:r>
      <w:r>
        <w:rPr>
          <w:rFonts w:hint="default" w:ascii="Times New Roman" w:hAnsi="Times New Roman" w:eastAsia="宋体" w:cs="Times New Roman"/>
          <w:color w:val="auto"/>
          <w:sz w:val="24"/>
          <w:szCs w:val="24"/>
          <w:highlight w:val="none"/>
        </w:rPr>
        <w:t>。根据现场调查结果，工程所在沙地地表覆盖植被主要为琵琶柴、合头草、假木贼、猪毛菜等常见种类，地面植被稀少，植被覆盖度约为5%。戈壁地表结皮类型主要为戈壁砾幕，能够增强地表的抗风蚀能力，从而有效降低地表风蚀量。</w:t>
      </w:r>
    </w:p>
    <w:p w14:paraId="5ED665A7">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cs="Times New Roman"/>
          <w:color w:val="auto"/>
          <w:sz w:val="24"/>
          <w:szCs w:val="24"/>
          <w:lang w:val="en-US" w:eastAsia="zh-CN"/>
        </w:rPr>
        <w:sectPr>
          <w:pgSz w:w="11906"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AndChars" w:linePitch="316" w:charSpace="0"/>
        </w:sectPr>
      </w:pPr>
      <w:r>
        <w:rPr>
          <w:rFonts w:hint="default" w:ascii="Times New Roman" w:hAnsi="Times New Roman" w:eastAsia="宋体" w:cs="Times New Roman"/>
          <w:color w:val="auto"/>
          <w:sz w:val="24"/>
          <w:szCs w:val="24"/>
          <w:highlight w:val="none"/>
        </w:rPr>
        <w:t>根据现场调查及全疆土壤类型图，本项目所在区域土壤类型主要为棕漠土，表层生长有荒漠植被，结构较为稳定。</w:t>
      </w:r>
      <w:r>
        <w:rPr>
          <w:rFonts w:hint="eastAsia" w:ascii="Times New Roman" w:hAnsi="Times New Roman" w:eastAsia="宋体" w:cs="Times New Roman"/>
          <w:color w:val="auto"/>
          <w:sz w:val="24"/>
          <w:szCs w:val="24"/>
          <w:lang w:val="en-US" w:eastAsia="zh-CN"/>
        </w:rPr>
        <w:t>项目区土地沙化现状见图4</w:t>
      </w:r>
      <w:r>
        <w:rPr>
          <w:rFonts w:hint="eastAsia" w:cs="Times New Roman"/>
          <w:color w:val="auto"/>
          <w:sz w:val="24"/>
          <w:szCs w:val="24"/>
          <w:lang w:val="en-US" w:eastAsia="zh-CN"/>
        </w:rPr>
        <w:t>.2-4。</w:t>
      </w:r>
    </w:p>
    <w:p w14:paraId="5DBA0C5E">
      <w:pPr>
        <w:pStyle w:val="26"/>
        <w:jc w:val="center"/>
        <w:rPr>
          <w:rFonts w:hint="eastAsia" w:ascii="Times New Roman" w:hAnsi="Times New Roman" w:cs="Times New Roman"/>
          <w:b/>
          <w:color w:val="auto"/>
          <w:sz w:val="24"/>
          <w:szCs w:val="24"/>
          <w:lang w:val="en-US" w:eastAsia="zh-CN"/>
        </w:rPr>
      </w:pPr>
    </w:p>
    <w:p w14:paraId="274E31F9">
      <w:pPr>
        <w:pStyle w:val="61"/>
        <w:bidi w:val="0"/>
        <w:rPr>
          <w:rFonts w:hint="default"/>
          <w:color w:val="auto"/>
          <w:lang w:val="en-US" w:eastAsia="zh-CN"/>
        </w:rPr>
      </w:pPr>
      <w:r>
        <w:rPr>
          <w:rFonts w:hint="eastAsia"/>
          <w:color w:val="auto"/>
          <w:lang w:val="en-US" w:eastAsia="zh-CN"/>
        </w:rPr>
        <w:t xml:space="preserve">图4.2-4     </w:t>
      </w:r>
      <w:r>
        <w:rPr>
          <w:color w:val="auto"/>
        </w:rPr>
        <w:t>土地沙化现状</w:t>
      </w:r>
      <w:r>
        <w:rPr>
          <w:rFonts w:hint="eastAsia"/>
          <w:color w:val="auto"/>
          <w:lang w:val="en-US" w:eastAsia="zh-CN"/>
        </w:rPr>
        <w:t>示意图</w:t>
      </w:r>
    </w:p>
    <w:p w14:paraId="7329C0A9">
      <w:pPr>
        <w:rPr>
          <w:rFonts w:hint="default"/>
          <w:color w:val="auto"/>
          <w:lang w:val="en-US" w:eastAsia="zh-CN"/>
        </w:rPr>
        <w:sectPr>
          <w:pgSz w:w="16838" w:h="11906" w:orient="landscape"/>
          <w:pgMar w:top="1814" w:right="1474" w:bottom="1474" w:left="1474" w:header="850" w:footer="992" w:gutter="0"/>
          <w:pgBorders>
            <w:top w:val="none" w:sz="0" w:space="0"/>
            <w:left w:val="none" w:sz="0" w:space="0"/>
            <w:bottom w:val="none" w:sz="0" w:space="0"/>
            <w:right w:val="none" w:sz="0" w:space="0"/>
          </w:pgBorders>
          <w:pgNumType w:fmt="decimal"/>
          <w:cols w:space="0" w:num="1"/>
          <w:rtlGutter w:val="0"/>
          <w:docGrid w:type="linesAndChars" w:linePitch="316" w:charSpace="0"/>
        </w:sectPr>
      </w:pPr>
    </w:p>
    <w:p w14:paraId="10B911AD">
      <w:pPr>
        <w:pStyle w:val="54"/>
        <w:bidi w:val="0"/>
        <w:rPr>
          <w:rFonts w:hint="default"/>
          <w:color w:val="auto"/>
          <w:lang w:val="zh-CN" w:eastAsia="zh-CN"/>
        </w:rPr>
      </w:pPr>
      <w:r>
        <w:rPr>
          <w:rFonts w:hint="default"/>
          <w:color w:val="auto"/>
          <w:lang w:val="zh-CN" w:eastAsia="zh-CN"/>
        </w:rPr>
        <w:t>4.2.</w:t>
      </w:r>
      <w:r>
        <w:rPr>
          <w:rFonts w:hint="eastAsia"/>
          <w:color w:val="auto"/>
          <w:lang w:val="en-US" w:eastAsia="zh-CN"/>
        </w:rPr>
        <w:t xml:space="preserve">9 </w:t>
      </w:r>
      <w:r>
        <w:rPr>
          <w:rFonts w:hint="default"/>
          <w:color w:val="auto"/>
          <w:lang w:val="zh-CN" w:eastAsia="zh-CN"/>
        </w:rPr>
        <w:t>小结</w:t>
      </w:r>
    </w:p>
    <w:p w14:paraId="127C4B8D">
      <w:pPr>
        <w:pStyle w:val="79"/>
        <w:bidi w:val="0"/>
        <w:rPr>
          <w:rFonts w:hint="default"/>
          <w:color w:val="auto"/>
        </w:rPr>
      </w:pPr>
      <w:r>
        <w:rPr>
          <w:rFonts w:hint="default"/>
          <w:color w:val="auto"/>
        </w:rPr>
        <w:t>项目区位于塔里木盆地北缘、渭干河三角洲西侧、阿克苏河冲积平原绿洲下游，评价区域内不涉及国家公园、自然保护区、自然公园等自然保护地、世界自然遗产、生态保护红线等法定生态保护区域，也没有重要物种的天然集中分布区、栖息地等重要生境以及重点公益林、基本农田等其他具有重要生态功能、对保护生物多样性具有重要意义的区域。</w:t>
      </w:r>
    </w:p>
    <w:p w14:paraId="0D9F5E1D">
      <w:pPr>
        <w:pStyle w:val="79"/>
        <w:bidi w:val="0"/>
        <w:rPr>
          <w:rFonts w:hint="default"/>
          <w:color w:val="auto"/>
          <w:lang w:val="en-US" w:eastAsia="zh-CN"/>
        </w:rPr>
      </w:pPr>
      <w:r>
        <w:rPr>
          <w:rFonts w:hint="default"/>
          <w:color w:val="auto"/>
        </w:rPr>
        <w:t>评价区域内以自然状态为主，项目区域无地表径流，仅分布季节性洪水冲沟，为典型的干旱荒漠，人为干扰较小。根据《新疆生态功能区划》，评价区属于塔里木盆地暖荒漠及绿洲农业生态区，塔里木盆地西部、北部荒漠及绿洲农业生态亚区；阿克苏河冲积平原绿洲农业生态功能区。项目区气候极端干旱，土壤发育较差，类型较为简单，主要土壤类型为</w:t>
      </w:r>
      <w:r>
        <w:rPr>
          <w:rFonts w:hint="eastAsia"/>
          <w:color w:val="auto"/>
          <w:lang w:val="en-US" w:eastAsia="zh-CN"/>
        </w:rPr>
        <w:t>棕漠土</w:t>
      </w:r>
      <w:r>
        <w:rPr>
          <w:rFonts w:hint="default"/>
          <w:color w:val="auto"/>
        </w:rPr>
        <w:t>，植被基本均属于荒漠类型的灌木、半灌木及小半灌木，野生动物极少。</w:t>
      </w:r>
    </w:p>
    <w:p w14:paraId="53706397">
      <w:pPr>
        <w:pStyle w:val="75"/>
        <w:bidi w:val="0"/>
        <w:rPr>
          <w:rFonts w:hint="default"/>
          <w:color w:val="auto"/>
        </w:rPr>
      </w:pPr>
      <w:bookmarkStart w:id="567" w:name="_Toc32014"/>
      <w:bookmarkStart w:id="568" w:name="_Toc28405"/>
      <w:bookmarkStart w:id="569" w:name="_Toc28163"/>
      <w:bookmarkStart w:id="570" w:name="_Toc4678"/>
      <w:r>
        <w:rPr>
          <w:rFonts w:hint="default"/>
          <w:color w:val="auto"/>
        </w:rPr>
        <w:t>4.</w:t>
      </w:r>
      <w:r>
        <w:rPr>
          <w:rFonts w:hint="eastAsia"/>
          <w:color w:val="auto"/>
          <w:lang w:val="en-US" w:eastAsia="zh-CN"/>
        </w:rPr>
        <w:t>3</w:t>
      </w:r>
      <w:r>
        <w:rPr>
          <w:rFonts w:hint="default"/>
          <w:color w:val="auto"/>
        </w:rPr>
        <w:t>地下水环境质量现状评价</w:t>
      </w:r>
      <w:bookmarkEnd w:id="567"/>
    </w:p>
    <w:p w14:paraId="55BBABDB">
      <w:pPr>
        <w:pStyle w:val="79"/>
        <w:bidi w:val="0"/>
        <w:rPr>
          <w:rFonts w:hint="eastAsia"/>
          <w:color w:val="auto"/>
          <w:lang w:eastAsia="zh-CN"/>
        </w:rPr>
      </w:pPr>
      <w:r>
        <w:rPr>
          <w:rFonts w:hint="default"/>
          <w:color w:val="auto"/>
        </w:rPr>
        <w:t>根据《环境影响评价技术导则 地下水环境》（HJ610-2016），本次评价监测点位共有</w:t>
      </w:r>
      <w:r>
        <w:rPr>
          <w:rFonts w:hint="eastAsia"/>
          <w:color w:val="auto"/>
          <w:lang w:val="en-US" w:eastAsia="zh-CN"/>
        </w:rPr>
        <w:t>5</w:t>
      </w:r>
      <w:r>
        <w:rPr>
          <w:rFonts w:hint="default"/>
          <w:color w:val="auto"/>
        </w:rPr>
        <w:t>个，均为引用点位。引用《英买力气田玉东6区块开发方案》中YM11，YM14井场地下水井的监测数据</w:t>
      </w:r>
      <w:r>
        <w:rPr>
          <w:rFonts w:hint="eastAsia"/>
          <w:color w:val="auto"/>
          <w:lang w:eastAsia="zh-CN"/>
        </w:rPr>
        <w:t>，</w:t>
      </w:r>
      <w:r>
        <w:rPr>
          <w:rFonts w:hint="default"/>
          <w:color w:val="auto"/>
        </w:rPr>
        <w:t>采样时间为2022年9月8日；《英买力油气田玉东7区块巴西改组开发调整方案》中玉东7-2#、玉东7-</w:t>
      </w:r>
      <w:r>
        <w:rPr>
          <w:rFonts w:hint="eastAsia"/>
          <w:color w:val="auto"/>
          <w:lang w:val="en-US" w:eastAsia="zh-CN"/>
        </w:rPr>
        <w:t>4</w:t>
      </w:r>
      <w:r>
        <w:rPr>
          <w:rFonts w:hint="default"/>
          <w:color w:val="auto"/>
        </w:rPr>
        <w:t>#的监测数据</w:t>
      </w:r>
      <w:r>
        <w:rPr>
          <w:rFonts w:hint="eastAsia"/>
          <w:color w:val="auto"/>
          <w:lang w:eastAsia="zh-CN"/>
        </w:rPr>
        <w:t>，</w:t>
      </w:r>
      <w:r>
        <w:rPr>
          <w:rFonts w:hint="default"/>
          <w:color w:val="auto"/>
        </w:rPr>
        <w:t>采样时间为2</w:t>
      </w:r>
      <w:r>
        <w:rPr>
          <w:rFonts w:hint="eastAsia"/>
          <w:color w:val="auto"/>
          <w:lang w:val="en-US" w:eastAsia="zh-CN"/>
        </w:rPr>
        <w:t>024</w:t>
      </w:r>
      <w:r>
        <w:rPr>
          <w:rFonts w:hint="default"/>
          <w:color w:val="auto"/>
        </w:rPr>
        <w:t>年</w:t>
      </w:r>
      <w:r>
        <w:rPr>
          <w:rFonts w:hint="eastAsia"/>
          <w:color w:val="auto"/>
          <w:lang w:val="en-US" w:eastAsia="zh-CN"/>
        </w:rPr>
        <w:t>3</w:t>
      </w:r>
      <w:r>
        <w:rPr>
          <w:rFonts w:hint="default"/>
          <w:color w:val="auto"/>
        </w:rPr>
        <w:t>月</w:t>
      </w:r>
      <w:r>
        <w:rPr>
          <w:rFonts w:hint="eastAsia"/>
          <w:color w:val="auto"/>
          <w:lang w:val="en-US" w:eastAsia="zh-CN"/>
        </w:rPr>
        <w:t>23</w:t>
      </w:r>
      <w:r>
        <w:rPr>
          <w:rFonts w:hint="default"/>
          <w:color w:val="auto"/>
        </w:rPr>
        <w:t>日</w:t>
      </w:r>
      <w:r>
        <w:rPr>
          <w:rFonts w:hint="eastAsia"/>
          <w:color w:val="auto"/>
          <w:lang w:eastAsia="zh-CN"/>
        </w:rPr>
        <w:t>；</w:t>
      </w:r>
      <w:r>
        <w:rPr>
          <w:rFonts w:hint="default"/>
          <w:color w:val="auto"/>
        </w:rPr>
        <w:t>《塔里木油田雄英气田雄英1区块寒武系下丘里塔格组试采项目》中</w:t>
      </w:r>
      <w:r>
        <w:rPr>
          <w:rFonts w:hint="eastAsia"/>
          <w:color w:val="auto"/>
          <w:lang w:val="en-US" w:eastAsia="zh-CN"/>
        </w:rPr>
        <w:t>区块上游地下水井</w:t>
      </w:r>
      <w:r>
        <w:rPr>
          <w:rFonts w:hint="default"/>
          <w:color w:val="auto"/>
        </w:rPr>
        <w:t>的监测数据</w:t>
      </w:r>
      <w:r>
        <w:rPr>
          <w:rFonts w:hint="eastAsia"/>
          <w:color w:val="auto"/>
          <w:lang w:eastAsia="zh-CN"/>
        </w:rPr>
        <w:t>，</w:t>
      </w:r>
      <w:r>
        <w:rPr>
          <w:rFonts w:hint="default"/>
          <w:color w:val="auto"/>
        </w:rPr>
        <w:t>采样时间为2</w:t>
      </w:r>
      <w:r>
        <w:rPr>
          <w:rFonts w:hint="eastAsia"/>
          <w:color w:val="auto"/>
          <w:lang w:val="en-US" w:eastAsia="zh-CN"/>
        </w:rPr>
        <w:t>024</w:t>
      </w:r>
      <w:r>
        <w:rPr>
          <w:rFonts w:hint="default"/>
          <w:color w:val="auto"/>
        </w:rPr>
        <w:t>年</w:t>
      </w:r>
      <w:r>
        <w:rPr>
          <w:rFonts w:hint="eastAsia"/>
          <w:color w:val="auto"/>
          <w:lang w:val="en-US" w:eastAsia="zh-CN"/>
        </w:rPr>
        <w:t>6</w:t>
      </w:r>
      <w:r>
        <w:rPr>
          <w:rFonts w:hint="default"/>
          <w:color w:val="auto"/>
        </w:rPr>
        <w:t>月</w:t>
      </w:r>
      <w:r>
        <w:rPr>
          <w:rFonts w:hint="eastAsia"/>
          <w:color w:val="auto"/>
          <w:lang w:val="en-US" w:eastAsia="zh-CN"/>
        </w:rPr>
        <w:t>12</w:t>
      </w:r>
      <w:r>
        <w:rPr>
          <w:rFonts w:hint="default"/>
          <w:color w:val="auto"/>
        </w:rPr>
        <w:t>日</w:t>
      </w:r>
      <w:r>
        <w:rPr>
          <w:rFonts w:hint="eastAsia"/>
          <w:color w:val="auto"/>
          <w:lang w:eastAsia="zh-CN"/>
        </w:rPr>
        <w:t>。</w:t>
      </w:r>
      <w:r>
        <w:rPr>
          <w:rFonts w:hint="eastAsia"/>
          <w:color w:val="auto"/>
        </w:rPr>
        <w:t>根据区域水文地质资料，区域潜水流向为由</w:t>
      </w:r>
      <w:r>
        <w:rPr>
          <w:rFonts w:hint="eastAsia"/>
          <w:color w:val="auto"/>
          <w:lang w:val="en-US" w:eastAsia="zh-CN"/>
        </w:rPr>
        <w:t>西北</w:t>
      </w:r>
      <w:r>
        <w:rPr>
          <w:rFonts w:hint="eastAsia"/>
          <w:color w:val="auto"/>
        </w:rPr>
        <w:t>向东</w:t>
      </w:r>
      <w:r>
        <w:rPr>
          <w:rFonts w:hint="eastAsia"/>
          <w:color w:val="auto"/>
          <w:lang w:val="en-US" w:eastAsia="zh-CN"/>
        </w:rPr>
        <w:t>南</w:t>
      </w:r>
      <w:r>
        <w:rPr>
          <w:rFonts w:hint="eastAsia"/>
          <w:color w:val="auto"/>
        </w:rPr>
        <w:t>方向，本次</w:t>
      </w:r>
      <w:r>
        <w:rPr>
          <w:rFonts w:hint="eastAsia"/>
          <w:color w:val="auto"/>
          <w:lang w:val="en-US" w:eastAsia="zh-CN"/>
        </w:rPr>
        <w:t>引用5</w:t>
      </w:r>
      <w:r>
        <w:rPr>
          <w:rFonts w:hint="eastAsia"/>
          <w:color w:val="auto"/>
        </w:rPr>
        <w:t>个潜水监测点。监测点与本项目处于同一水文地质单元，其监测数据在一定程度上能够反映本项目所在区域地下水环境质量现状。</w:t>
      </w:r>
    </w:p>
    <w:p w14:paraId="573C1E0A">
      <w:pPr>
        <w:pStyle w:val="54"/>
        <w:bidi w:val="0"/>
        <w:rPr>
          <w:rFonts w:hint="default"/>
          <w:color w:val="auto"/>
          <w:lang w:val="en-US" w:eastAsia="zh-CN"/>
        </w:rPr>
      </w:pPr>
      <w:r>
        <w:rPr>
          <w:rFonts w:hint="eastAsia"/>
          <w:color w:val="auto"/>
          <w:lang w:val="en-US" w:eastAsia="zh-CN"/>
        </w:rPr>
        <w:t>4.3.1地下水环境现状监测</w:t>
      </w:r>
    </w:p>
    <w:p w14:paraId="020E80E9">
      <w:pPr>
        <w:pStyle w:val="79"/>
        <w:bidi w:val="0"/>
        <w:rPr>
          <w:rFonts w:hint="default"/>
          <w:color w:val="auto"/>
          <w:lang w:val="en-US" w:eastAsia="zh-CN"/>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lang w:val="en-US" w:eastAsia="zh-CN"/>
        </w:rPr>
        <w:t>监测点位</w:t>
      </w:r>
    </w:p>
    <w:p w14:paraId="12CD37EB">
      <w:pPr>
        <w:pStyle w:val="79"/>
        <w:bidi w:val="0"/>
        <w:rPr>
          <w:rFonts w:hint="default"/>
          <w:color w:val="auto"/>
          <w:lang w:val="en-US" w:eastAsia="zh-CN"/>
        </w:rPr>
      </w:pPr>
      <w:r>
        <w:rPr>
          <w:rFonts w:hint="default"/>
          <w:color w:val="auto"/>
        </w:rPr>
        <w:t>具体监测点位信息详见表</w:t>
      </w:r>
      <w:r>
        <w:rPr>
          <w:rFonts w:hint="eastAsia"/>
          <w:color w:val="auto"/>
          <w:lang w:val="en-US" w:eastAsia="zh-CN"/>
        </w:rPr>
        <w:t>4.3-1</w:t>
      </w:r>
      <w:r>
        <w:rPr>
          <w:rFonts w:hint="default"/>
          <w:color w:val="auto"/>
        </w:rPr>
        <w:t>。</w:t>
      </w:r>
      <w:r>
        <w:rPr>
          <w:rFonts w:hint="eastAsia"/>
          <w:color w:val="auto"/>
          <w:lang w:val="en-US" w:eastAsia="zh-CN"/>
        </w:rPr>
        <w:t>监测点位示意图见图4.3-1。</w:t>
      </w:r>
    </w:p>
    <w:p w14:paraId="30C43045">
      <w:pPr>
        <w:pStyle w:val="61"/>
        <w:bidi w:val="0"/>
        <w:jc w:val="both"/>
        <w:rPr>
          <w:rFonts w:hint="eastAsia"/>
          <w:color w:val="auto"/>
          <w:lang w:val="en-US" w:eastAsia="zh-CN"/>
        </w:rPr>
      </w:pPr>
      <w:r>
        <w:rPr>
          <w:rFonts w:hint="eastAsia"/>
          <w:color w:val="auto"/>
          <w:lang w:val="en-US" w:eastAsia="zh-CN"/>
        </w:rPr>
        <w:t>表4.3-1  地下水环境监测点位信息</w:t>
      </w:r>
    </w:p>
    <w:tbl>
      <w:tblPr>
        <w:tblStyle w:val="36"/>
        <w:tblW w:w="4962"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02"/>
        <w:gridCol w:w="1051"/>
        <w:gridCol w:w="1651"/>
        <w:gridCol w:w="1897"/>
        <w:gridCol w:w="940"/>
        <w:gridCol w:w="1133"/>
        <w:gridCol w:w="1593"/>
      </w:tblGrid>
      <w:tr w14:paraId="66A47D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1" w:hRule="atLeast"/>
        </w:trPr>
        <w:tc>
          <w:tcPr>
            <w:tcW w:w="286" w:type="pct"/>
            <w:tcBorders>
              <w:tl2br w:val="nil"/>
              <w:tr2bl w:val="nil"/>
            </w:tcBorders>
            <w:noWrap w:val="0"/>
            <w:vAlign w:val="center"/>
          </w:tcPr>
          <w:p w14:paraId="6CE1577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599" w:type="pct"/>
            <w:tcBorders>
              <w:tl2br w:val="nil"/>
              <w:tr2bl w:val="nil"/>
            </w:tcBorders>
            <w:noWrap w:val="0"/>
            <w:vAlign w:val="center"/>
          </w:tcPr>
          <w:p w14:paraId="43171CF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点号</w:t>
            </w:r>
          </w:p>
        </w:tc>
        <w:tc>
          <w:tcPr>
            <w:tcW w:w="941" w:type="pct"/>
            <w:tcBorders>
              <w:tl2br w:val="nil"/>
              <w:tr2bl w:val="nil"/>
            </w:tcBorders>
            <w:noWrap w:val="0"/>
            <w:vAlign w:val="center"/>
          </w:tcPr>
          <w:p w14:paraId="172510D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坐标</w:t>
            </w:r>
          </w:p>
        </w:tc>
        <w:tc>
          <w:tcPr>
            <w:tcW w:w="1081" w:type="pct"/>
            <w:tcBorders>
              <w:tl2br w:val="nil"/>
              <w:tr2bl w:val="nil"/>
            </w:tcBorders>
            <w:noWrap w:val="0"/>
            <w:vAlign w:val="center"/>
          </w:tcPr>
          <w:p w14:paraId="377311B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方位</w:t>
            </w:r>
          </w:p>
        </w:tc>
        <w:tc>
          <w:tcPr>
            <w:tcW w:w="536" w:type="pct"/>
            <w:tcBorders>
              <w:tl2br w:val="nil"/>
              <w:tr2bl w:val="nil"/>
            </w:tcBorders>
            <w:noWrap w:val="0"/>
            <w:vAlign w:val="center"/>
          </w:tcPr>
          <w:p w14:paraId="2E23640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含水层类型</w:t>
            </w:r>
          </w:p>
        </w:tc>
        <w:tc>
          <w:tcPr>
            <w:tcW w:w="646" w:type="pct"/>
            <w:tcBorders>
              <w:tl2br w:val="nil"/>
              <w:tr2bl w:val="nil"/>
            </w:tcBorders>
            <w:noWrap w:val="0"/>
            <w:vAlign w:val="center"/>
          </w:tcPr>
          <w:p w14:paraId="7B61F1A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监测时间</w:t>
            </w:r>
          </w:p>
        </w:tc>
        <w:tc>
          <w:tcPr>
            <w:tcW w:w="908" w:type="pct"/>
            <w:tcBorders>
              <w:tl2br w:val="nil"/>
              <w:tr2bl w:val="nil"/>
            </w:tcBorders>
            <w:noWrap w:val="0"/>
            <w:vAlign w:val="center"/>
          </w:tcPr>
          <w:p w14:paraId="39353181">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监测单位</w:t>
            </w:r>
          </w:p>
        </w:tc>
      </w:tr>
      <w:tr w14:paraId="73689F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286" w:type="pct"/>
            <w:tcBorders>
              <w:tl2br w:val="nil"/>
              <w:tr2bl w:val="nil"/>
            </w:tcBorders>
            <w:noWrap w:val="0"/>
            <w:vAlign w:val="center"/>
          </w:tcPr>
          <w:p w14:paraId="1C419528">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599" w:type="pct"/>
            <w:tcBorders>
              <w:tl2br w:val="nil"/>
              <w:tr2bl w:val="nil"/>
            </w:tcBorders>
            <w:noWrap w:val="0"/>
            <w:vAlign w:val="center"/>
          </w:tcPr>
          <w:p w14:paraId="7AD7B599">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区块上游</w:t>
            </w:r>
          </w:p>
        </w:tc>
        <w:tc>
          <w:tcPr>
            <w:tcW w:w="941" w:type="pct"/>
            <w:tcBorders>
              <w:tl2br w:val="nil"/>
              <w:tr2bl w:val="nil"/>
            </w:tcBorders>
            <w:noWrap w:val="0"/>
            <w:vAlign w:val="center"/>
          </w:tcPr>
          <w:p w14:paraId="1A33A963">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highlight w:val="none"/>
              </w:rPr>
            </w:pPr>
          </w:p>
        </w:tc>
        <w:tc>
          <w:tcPr>
            <w:tcW w:w="1081" w:type="pct"/>
            <w:tcBorders>
              <w:tl2br w:val="nil"/>
              <w:tr2bl w:val="nil"/>
            </w:tcBorders>
            <w:noWrap w:val="0"/>
            <w:vAlign w:val="center"/>
          </w:tcPr>
          <w:p w14:paraId="0EEA34F5">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雄探1井西北方向1.3km</w:t>
            </w:r>
          </w:p>
        </w:tc>
        <w:tc>
          <w:tcPr>
            <w:tcW w:w="536" w:type="pct"/>
            <w:tcBorders>
              <w:tl2br w:val="nil"/>
              <w:tr2bl w:val="nil"/>
            </w:tcBorders>
            <w:noWrap w:val="0"/>
            <w:vAlign w:val="center"/>
          </w:tcPr>
          <w:p w14:paraId="76E96A59">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潜水</w:t>
            </w:r>
          </w:p>
        </w:tc>
        <w:tc>
          <w:tcPr>
            <w:tcW w:w="646" w:type="pct"/>
            <w:tcBorders>
              <w:tl2br w:val="nil"/>
              <w:tr2bl w:val="nil"/>
            </w:tcBorders>
            <w:noWrap w:val="0"/>
            <w:vAlign w:val="center"/>
          </w:tcPr>
          <w:p w14:paraId="2E7177B5">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2024年6月12日</w:t>
            </w:r>
          </w:p>
        </w:tc>
        <w:tc>
          <w:tcPr>
            <w:tcW w:w="908" w:type="pct"/>
            <w:tcBorders>
              <w:tl2br w:val="nil"/>
              <w:tr2bl w:val="nil"/>
            </w:tcBorders>
            <w:noWrap w:val="0"/>
            <w:vAlign w:val="center"/>
          </w:tcPr>
          <w:p w14:paraId="53D71E94">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新疆中测测试有限责任公司</w:t>
            </w:r>
          </w:p>
        </w:tc>
      </w:tr>
      <w:tr w14:paraId="42E8DB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286" w:type="pct"/>
            <w:tcBorders>
              <w:tl2br w:val="nil"/>
              <w:tr2bl w:val="nil"/>
            </w:tcBorders>
            <w:noWrap w:val="0"/>
            <w:vAlign w:val="center"/>
          </w:tcPr>
          <w:p w14:paraId="1CBB8629">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2</w:t>
            </w:r>
          </w:p>
        </w:tc>
        <w:tc>
          <w:tcPr>
            <w:tcW w:w="599" w:type="pct"/>
            <w:tcBorders>
              <w:tl2br w:val="nil"/>
              <w:tr2bl w:val="nil"/>
            </w:tcBorders>
            <w:noWrap w:val="0"/>
            <w:vAlign w:val="center"/>
          </w:tcPr>
          <w:p w14:paraId="47FDD6E5">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YM11</w:t>
            </w:r>
          </w:p>
        </w:tc>
        <w:tc>
          <w:tcPr>
            <w:tcW w:w="941" w:type="pct"/>
            <w:tcBorders>
              <w:tl2br w:val="nil"/>
              <w:tr2bl w:val="nil"/>
            </w:tcBorders>
            <w:noWrap w:val="0"/>
            <w:vAlign w:val="center"/>
          </w:tcPr>
          <w:p w14:paraId="5887B826">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highlight w:val="none"/>
              </w:rPr>
            </w:pPr>
          </w:p>
        </w:tc>
        <w:tc>
          <w:tcPr>
            <w:tcW w:w="1081" w:type="pct"/>
            <w:tcBorders>
              <w:tl2br w:val="nil"/>
              <w:tr2bl w:val="nil"/>
            </w:tcBorders>
            <w:noWrap w:val="0"/>
            <w:vAlign w:val="center"/>
          </w:tcPr>
          <w:p w14:paraId="69FFB04D">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雄英3井东南</w:t>
            </w:r>
            <w:r>
              <w:rPr>
                <w:rFonts w:hint="default" w:ascii="Times New Roman" w:hAnsi="Times New Roman" w:eastAsia="宋体" w:cs="Times New Roman"/>
                <w:color w:val="auto"/>
                <w:sz w:val="21"/>
                <w:szCs w:val="21"/>
                <w:highlight w:val="none"/>
              </w:rPr>
              <w:t>方向</w:t>
            </w:r>
            <w:r>
              <w:rPr>
                <w:rFonts w:hint="eastAsia" w:ascii="Times New Roman" w:hAnsi="Times New Roman" w:eastAsia="宋体" w:cs="Times New Roman"/>
                <w:color w:val="auto"/>
                <w:sz w:val="21"/>
                <w:szCs w:val="21"/>
                <w:highlight w:val="none"/>
                <w:lang w:val="en-US" w:eastAsia="zh-CN"/>
              </w:rPr>
              <w:t>6.8</w:t>
            </w:r>
            <w:r>
              <w:rPr>
                <w:rFonts w:hint="default" w:ascii="Times New Roman" w:hAnsi="Times New Roman" w:eastAsia="宋体" w:cs="Times New Roman"/>
                <w:color w:val="auto"/>
                <w:sz w:val="21"/>
                <w:szCs w:val="21"/>
                <w:highlight w:val="none"/>
              </w:rPr>
              <w:t>km</w:t>
            </w:r>
          </w:p>
        </w:tc>
        <w:tc>
          <w:tcPr>
            <w:tcW w:w="536" w:type="pct"/>
            <w:tcBorders>
              <w:tl2br w:val="nil"/>
              <w:tr2bl w:val="nil"/>
            </w:tcBorders>
            <w:noWrap w:val="0"/>
            <w:vAlign w:val="center"/>
          </w:tcPr>
          <w:p w14:paraId="22300D09">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潜水</w:t>
            </w:r>
          </w:p>
        </w:tc>
        <w:tc>
          <w:tcPr>
            <w:tcW w:w="646" w:type="pct"/>
            <w:vMerge w:val="restart"/>
            <w:tcBorders>
              <w:tl2br w:val="nil"/>
              <w:tr2bl w:val="nil"/>
            </w:tcBorders>
            <w:noWrap w:val="0"/>
            <w:vAlign w:val="center"/>
          </w:tcPr>
          <w:p w14:paraId="2731A3C9">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2022年9月8日</w:t>
            </w:r>
          </w:p>
        </w:tc>
        <w:tc>
          <w:tcPr>
            <w:tcW w:w="908" w:type="pct"/>
            <w:vMerge w:val="restart"/>
            <w:tcBorders>
              <w:tl2br w:val="nil"/>
              <w:tr2bl w:val="nil"/>
            </w:tcBorders>
            <w:noWrap w:val="0"/>
            <w:vAlign w:val="center"/>
          </w:tcPr>
          <w:p w14:paraId="3C3D0DB4">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新疆昇腾环保科技有限公司</w:t>
            </w:r>
          </w:p>
        </w:tc>
      </w:tr>
      <w:tr w14:paraId="568B9B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286" w:type="pct"/>
            <w:tcBorders>
              <w:tl2br w:val="nil"/>
              <w:tr2bl w:val="nil"/>
            </w:tcBorders>
            <w:noWrap w:val="0"/>
            <w:vAlign w:val="center"/>
          </w:tcPr>
          <w:p w14:paraId="3BD3F199">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599" w:type="pct"/>
            <w:tcBorders>
              <w:tl2br w:val="nil"/>
              <w:tr2bl w:val="nil"/>
            </w:tcBorders>
            <w:noWrap w:val="0"/>
            <w:vAlign w:val="center"/>
          </w:tcPr>
          <w:p w14:paraId="205EA23C">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YM14</w:t>
            </w:r>
          </w:p>
        </w:tc>
        <w:tc>
          <w:tcPr>
            <w:tcW w:w="941" w:type="pct"/>
            <w:tcBorders>
              <w:tl2br w:val="nil"/>
              <w:tr2bl w:val="nil"/>
            </w:tcBorders>
            <w:noWrap w:val="0"/>
            <w:vAlign w:val="center"/>
          </w:tcPr>
          <w:p w14:paraId="138D6B03">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highlight w:val="none"/>
              </w:rPr>
            </w:pPr>
          </w:p>
        </w:tc>
        <w:tc>
          <w:tcPr>
            <w:tcW w:w="1081" w:type="pct"/>
            <w:tcBorders>
              <w:tl2br w:val="nil"/>
              <w:tr2bl w:val="nil"/>
            </w:tcBorders>
            <w:noWrap w:val="0"/>
            <w:vAlign w:val="center"/>
          </w:tcPr>
          <w:p w14:paraId="2568ABB1">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雄英3井东南</w:t>
            </w:r>
            <w:r>
              <w:rPr>
                <w:rFonts w:hint="default" w:ascii="Times New Roman" w:hAnsi="Times New Roman" w:eastAsia="宋体" w:cs="Times New Roman"/>
                <w:color w:val="auto"/>
                <w:sz w:val="21"/>
                <w:szCs w:val="21"/>
                <w:highlight w:val="none"/>
              </w:rPr>
              <w:t>方向</w:t>
            </w:r>
            <w:r>
              <w:rPr>
                <w:rFonts w:hint="eastAsia" w:ascii="Times New Roman" w:hAnsi="Times New Roman" w:eastAsia="宋体" w:cs="Times New Roman"/>
                <w:color w:val="auto"/>
                <w:sz w:val="21"/>
                <w:szCs w:val="21"/>
                <w:highlight w:val="none"/>
                <w:lang w:val="en-US" w:eastAsia="zh-CN"/>
              </w:rPr>
              <w:t>16.7</w:t>
            </w:r>
            <w:r>
              <w:rPr>
                <w:rFonts w:hint="default" w:ascii="Times New Roman" w:hAnsi="Times New Roman" w:eastAsia="宋体" w:cs="Times New Roman"/>
                <w:color w:val="auto"/>
                <w:sz w:val="21"/>
                <w:szCs w:val="21"/>
                <w:highlight w:val="none"/>
              </w:rPr>
              <w:t>km</w:t>
            </w:r>
          </w:p>
        </w:tc>
        <w:tc>
          <w:tcPr>
            <w:tcW w:w="536" w:type="pct"/>
            <w:tcBorders>
              <w:tl2br w:val="nil"/>
              <w:tr2bl w:val="nil"/>
            </w:tcBorders>
            <w:noWrap w:val="0"/>
            <w:vAlign w:val="center"/>
          </w:tcPr>
          <w:p w14:paraId="7C1836D3">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潜水</w:t>
            </w:r>
          </w:p>
        </w:tc>
        <w:tc>
          <w:tcPr>
            <w:tcW w:w="646" w:type="pct"/>
            <w:vMerge w:val="continue"/>
            <w:tcBorders>
              <w:tl2br w:val="nil"/>
              <w:tr2bl w:val="nil"/>
            </w:tcBorders>
            <w:noWrap w:val="0"/>
            <w:vAlign w:val="center"/>
          </w:tcPr>
          <w:p w14:paraId="54FFF3AD">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highlight w:val="none"/>
              </w:rPr>
            </w:pPr>
          </w:p>
        </w:tc>
        <w:tc>
          <w:tcPr>
            <w:tcW w:w="908" w:type="pct"/>
            <w:vMerge w:val="continue"/>
            <w:tcBorders>
              <w:tl2br w:val="nil"/>
              <w:tr2bl w:val="nil"/>
            </w:tcBorders>
            <w:noWrap w:val="0"/>
            <w:vAlign w:val="center"/>
          </w:tcPr>
          <w:p w14:paraId="68646C06">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highlight w:val="none"/>
              </w:rPr>
            </w:pPr>
          </w:p>
        </w:tc>
      </w:tr>
      <w:tr w14:paraId="05AB5D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286" w:type="pct"/>
            <w:tcBorders>
              <w:tl2br w:val="nil"/>
              <w:tr2bl w:val="nil"/>
            </w:tcBorders>
            <w:noWrap w:val="0"/>
            <w:vAlign w:val="center"/>
          </w:tcPr>
          <w:p w14:paraId="62E6481C">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599" w:type="pct"/>
            <w:tcBorders>
              <w:tl2br w:val="nil"/>
              <w:tr2bl w:val="nil"/>
            </w:tcBorders>
            <w:noWrap w:val="0"/>
            <w:vAlign w:val="center"/>
          </w:tcPr>
          <w:p w14:paraId="68F2A3B1">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玉东7-</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w:t>
            </w:r>
          </w:p>
        </w:tc>
        <w:tc>
          <w:tcPr>
            <w:tcW w:w="941" w:type="pct"/>
            <w:tcBorders>
              <w:tl2br w:val="nil"/>
              <w:tr2bl w:val="nil"/>
            </w:tcBorders>
            <w:noWrap w:val="0"/>
            <w:vAlign w:val="center"/>
          </w:tcPr>
          <w:p w14:paraId="3AF74CA9">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highlight w:val="none"/>
                <w:lang w:val="en-US" w:eastAsia="zh-CN" w:bidi="ar-SA"/>
              </w:rPr>
            </w:pPr>
          </w:p>
        </w:tc>
        <w:tc>
          <w:tcPr>
            <w:tcW w:w="1081" w:type="pct"/>
            <w:tcBorders>
              <w:tl2br w:val="nil"/>
              <w:tr2bl w:val="nil"/>
            </w:tcBorders>
            <w:noWrap w:val="0"/>
            <w:vAlign w:val="center"/>
          </w:tcPr>
          <w:p w14:paraId="55B50B2A">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雄英3井东南</w:t>
            </w:r>
            <w:r>
              <w:rPr>
                <w:rFonts w:hint="default" w:ascii="Times New Roman" w:hAnsi="Times New Roman" w:eastAsia="宋体" w:cs="Times New Roman"/>
                <w:color w:val="auto"/>
                <w:sz w:val="21"/>
                <w:szCs w:val="21"/>
                <w:highlight w:val="none"/>
              </w:rPr>
              <w:t>方向</w:t>
            </w:r>
            <w:r>
              <w:rPr>
                <w:rFonts w:hint="eastAsia" w:cs="Times New Roman"/>
                <w:color w:val="auto"/>
                <w:sz w:val="21"/>
                <w:szCs w:val="21"/>
                <w:highlight w:val="none"/>
                <w:lang w:val="en-US" w:eastAsia="zh-CN"/>
              </w:rPr>
              <w:t>17</w:t>
            </w:r>
            <w:r>
              <w:rPr>
                <w:rFonts w:hint="default" w:ascii="Times New Roman" w:hAnsi="Times New Roman" w:eastAsia="宋体" w:cs="Times New Roman"/>
                <w:color w:val="auto"/>
                <w:sz w:val="21"/>
                <w:szCs w:val="21"/>
                <w:highlight w:val="none"/>
              </w:rPr>
              <w:t>km</w:t>
            </w:r>
          </w:p>
        </w:tc>
        <w:tc>
          <w:tcPr>
            <w:tcW w:w="536" w:type="pct"/>
            <w:tcBorders>
              <w:tl2br w:val="nil"/>
              <w:tr2bl w:val="nil"/>
            </w:tcBorders>
            <w:noWrap w:val="0"/>
            <w:vAlign w:val="center"/>
          </w:tcPr>
          <w:p w14:paraId="26A950A0">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潜水</w:t>
            </w:r>
          </w:p>
        </w:tc>
        <w:tc>
          <w:tcPr>
            <w:tcW w:w="646" w:type="pct"/>
            <w:vMerge w:val="restart"/>
            <w:tcBorders>
              <w:tl2br w:val="nil"/>
              <w:tr2bl w:val="nil"/>
            </w:tcBorders>
            <w:noWrap w:val="0"/>
            <w:vAlign w:val="center"/>
          </w:tcPr>
          <w:p w14:paraId="55EF3270">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202</w:t>
            </w:r>
            <w:r>
              <w:rPr>
                <w:rFonts w:hint="eastAsia" w:cs="Times New Roman"/>
                <w:color w:val="auto"/>
                <w:sz w:val="21"/>
                <w:szCs w:val="21"/>
                <w:highlight w:val="none"/>
                <w:lang w:val="en-US" w:eastAsia="zh-CN"/>
              </w:rPr>
              <w:t>4</w:t>
            </w:r>
            <w:r>
              <w:rPr>
                <w:rFonts w:hint="eastAsia" w:ascii="Times New Roman" w:hAnsi="Times New Roman" w:eastAsia="宋体" w:cs="Times New Roman"/>
                <w:color w:val="auto"/>
                <w:sz w:val="21"/>
                <w:szCs w:val="21"/>
                <w:highlight w:val="none"/>
                <w:lang w:val="en-US" w:eastAsia="zh-CN"/>
              </w:rPr>
              <w:t>年</w:t>
            </w:r>
            <w:r>
              <w:rPr>
                <w:rFonts w:hint="eastAsia"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lang w:val="en-US" w:eastAsia="zh-CN"/>
              </w:rPr>
              <w:t>月</w:t>
            </w:r>
            <w:r>
              <w:rPr>
                <w:rFonts w:hint="eastAsia" w:cs="Times New Roman"/>
                <w:color w:val="auto"/>
                <w:sz w:val="21"/>
                <w:szCs w:val="21"/>
                <w:highlight w:val="none"/>
                <w:lang w:val="en-US" w:eastAsia="zh-CN"/>
              </w:rPr>
              <w:t>23</w:t>
            </w:r>
            <w:r>
              <w:rPr>
                <w:rFonts w:hint="eastAsia" w:ascii="Times New Roman" w:hAnsi="Times New Roman" w:eastAsia="宋体" w:cs="Times New Roman"/>
                <w:color w:val="auto"/>
                <w:sz w:val="21"/>
                <w:szCs w:val="21"/>
                <w:highlight w:val="none"/>
                <w:lang w:val="en-US" w:eastAsia="zh-CN"/>
              </w:rPr>
              <w:t>日</w:t>
            </w:r>
          </w:p>
        </w:tc>
        <w:tc>
          <w:tcPr>
            <w:tcW w:w="908" w:type="pct"/>
            <w:vMerge w:val="restart"/>
            <w:tcBorders>
              <w:tl2br w:val="nil"/>
              <w:tr2bl w:val="nil"/>
            </w:tcBorders>
            <w:noWrap w:val="0"/>
            <w:vAlign w:val="center"/>
          </w:tcPr>
          <w:p w14:paraId="264FA35F">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新疆广宇众联环境监测有限公司</w:t>
            </w:r>
          </w:p>
        </w:tc>
      </w:tr>
      <w:tr w14:paraId="7595FD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286" w:type="pct"/>
            <w:tcBorders>
              <w:tl2br w:val="nil"/>
              <w:tr2bl w:val="nil"/>
            </w:tcBorders>
            <w:noWrap w:val="0"/>
            <w:vAlign w:val="center"/>
          </w:tcPr>
          <w:p w14:paraId="5364066F">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599" w:type="pct"/>
            <w:tcBorders>
              <w:tl2br w:val="nil"/>
              <w:tr2bl w:val="nil"/>
            </w:tcBorders>
            <w:noWrap w:val="0"/>
            <w:vAlign w:val="center"/>
          </w:tcPr>
          <w:p w14:paraId="6BB56EFD">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玉东7-4#</w:t>
            </w:r>
          </w:p>
        </w:tc>
        <w:tc>
          <w:tcPr>
            <w:tcW w:w="941" w:type="pct"/>
            <w:tcBorders>
              <w:tl2br w:val="nil"/>
              <w:tr2bl w:val="nil"/>
            </w:tcBorders>
            <w:noWrap w:val="0"/>
            <w:vAlign w:val="center"/>
          </w:tcPr>
          <w:p w14:paraId="6BE57F66">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highlight w:val="none"/>
                <w:lang w:val="en-US" w:eastAsia="zh-CN" w:bidi="ar-SA"/>
              </w:rPr>
            </w:pPr>
          </w:p>
        </w:tc>
        <w:tc>
          <w:tcPr>
            <w:tcW w:w="1081" w:type="pct"/>
            <w:tcBorders>
              <w:tl2br w:val="nil"/>
              <w:tr2bl w:val="nil"/>
            </w:tcBorders>
            <w:noWrap w:val="0"/>
            <w:vAlign w:val="center"/>
          </w:tcPr>
          <w:p w14:paraId="76ADAF59">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雄英3井东南</w:t>
            </w:r>
            <w:r>
              <w:rPr>
                <w:rFonts w:hint="default" w:ascii="Times New Roman" w:hAnsi="Times New Roman" w:eastAsia="宋体" w:cs="Times New Roman"/>
                <w:color w:val="auto"/>
                <w:sz w:val="21"/>
                <w:szCs w:val="21"/>
                <w:highlight w:val="none"/>
              </w:rPr>
              <w:t>方向</w:t>
            </w:r>
            <w:r>
              <w:rPr>
                <w:rFonts w:hint="eastAsia"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km</w:t>
            </w:r>
          </w:p>
        </w:tc>
        <w:tc>
          <w:tcPr>
            <w:tcW w:w="536" w:type="pct"/>
            <w:tcBorders>
              <w:tl2br w:val="nil"/>
              <w:tr2bl w:val="nil"/>
            </w:tcBorders>
            <w:noWrap w:val="0"/>
            <w:vAlign w:val="center"/>
          </w:tcPr>
          <w:p w14:paraId="4C41F598">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潜水</w:t>
            </w:r>
          </w:p>
        </w:tc>
        <w:tc>
          <w:tcPr>
            <w:tcW w:w="646" w:type="pct"/>
            <w:vMerge w:val="continue"/>
            <w:tcBorders>
              <w:tl2br w:val="nil"/>
              <w:tr2bl w:val="nil"/>
            </w:tcBorders>
            <w:noWrap w:val="0"/>
            <w:vAlign w:val="center"/>
          </w:tcPr>
          <w:p w14:paraId="78F2E2FE">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highlight w:val="none"/>
              </w:rPr>
            </w:pPr>
          </w:p>
        </w:tc>
        <w:tc>
          <w:tcPr>
            <w:tcW w:w="908" w:type="pct"/>
            <w:vMerge w:val="continue"/>
            <w:tcBorders>
              <w:tl2br w:val="nil"/>
              <w:tr2bl w:val="nil"/>
            </w:tcBorders>
            <w:noWrap w:val="0"/>
            <w:vAlign w:val="center"/>
          </w:tcPr>
          <w:p w14:paraId="66A463EA">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highlight w:val="none"/>
              </w:rPr>
            </w:pPr>
          </w:p>
        </w:tc>
      </w:tr>
    </w:tbl>
    <w:p w14:paraId="08BF6203">
      <w:pPr>
        <w:pStyle w:val="79"/>
        <w:bidi w:val="0"/>
        <w:rPr>
          <w:rFonts w:hint="default"/>
          <w:color w:val="auto"/>
          <w:lang w:val="en-US" w:eastAsia="zh-CN"/>
        </w:rPr>
      </w:pPr>
      <w:r>
        <w:rPr>
          <w:rFonts w:hint="eastAsia"/>
          <w:color w:val="auto"/>
          <w:lang w:val="en-US" w:eastAsia="zh-CN"/>
        </w:rPr>
        <w:t>（2）监测项目及分析方法</w:t>
      </w:r>
    </w:p>
    <w:p w14:paraId="21C83DBE">
      <w:pPr>
        <w:pStyle w:val="79"/>
        <w:bidi w:val="0"/>
        <w:rPr>
          <w:rFonts w:hint="default"/>
          <w:color w:val="auto"/>
        </w:rPr>
      </w:pPr>
      <w:r>
        <w:rPr>
          <w:rFonts w:hint="default"/>
          <w:color w:val="auto"/>
        </w:rPr>
        <w:t>1）监测项目</w:t>
      </w:r>
    </w:p>
    <w:p w14:paraId="4B072A99">
      <w:pPr>
        <w:pStyle w:val="79"/>
        <w:bidi w:val="0"/>
        <w:rPr>
          <w:rFonts w:hint="default"/>
          <w:color w:val="auto"/>
        </w:rPr>
      </w:pPr>
      <w:r>
        <w:rPr>
          <w:rFonts w:hint="default"/>
          <w:color w:val="auto"/>
        </w:rPr>
        <w:t>基本水质因子：K</w:t>
      </w:r>
      <w:r>
        <w:rPr>
          <w:rFonts w:hint="default"/>
          <w:color w:val="auto"/>
          <w:vertAlign w:val="superscript"/>
        </w:rPr>
        <w:t>+</w:t>
      </w:r>
      <w:r>
        <w:rPr>
          <w:rFonts w:hint="default"/>
          <w:color w:val="auto"/>
        </w:rPr>
        <w:t>、Na</w:t>
      </w:r>
      <w:r>
        <w:rPr>
          <w:rFonts w:hint="default"/>
          <w:color w:val="auto"/>
          <w:vertAlign w:val="superscript"/>
        </w:rPr>
        <w:t>+</w:t>
      </w:r>
      <w:r>
        <w:rPr>
          <w:rFonts w:hint="default"/>
          <w:color w:val="auto"/>
        </w:rPr>
        <w:t>、Ca</w:t>
      </w:r>
      <w:r>
        <w:rPr>
          <w:rFonts w:hint="default"/>
          <w:color w:val="auto"/>
          <w:vertAlign w:val="superscript"/>
        </w:rPr>
        <w:t>2+</w:t>
      </w:r>
      <w:r>
        <w:rPr>
          <w:rFonts w:hint="default"/>
          <w:color w:val="auto"/>
        </w:rPr>
        <w:t>、Mg</w:t>
      </w:r>
      <w:r>
        <w:rPr>
          <w:rFonts w:hint="default"/>
          <w:color w:val="auto"/>
          <w:vertAlign w:val="superscript"/>
        </w:rPr>
        <w:t>2+</w:t>
      </w:r>
      <w:r>
        <w:rPr>
          <w:rFonts w:hint="default"/>
          <w:color w:val="auto"/>
        </w:rPr>
        <w:t>、CO</w:t>
      </w:r>
      <w:r>
        <w:rPr>
          <w:rFonts w:hint="default"/>
          <w:color w:val="auto"/>
          <w:vertAlign w:val="subscript"/>
        </w:rPr>
        <w:t>3</w:t>
      </w:r>
      <w:r>
        <w:rPr>
          <w:rFonts w:hint="default"/>
          <w:color w:val="auto"/>
          <w:vertAlign w:val="superscript"/>
        </w:rPr>
        <w:t>2-</w:t>
      </w:r>
      <w:r>
        <w:rPr>
          <w:rFonts w:hint="default"/>
          <w:color w:val="auto"/>
        </w:rPr>
        <w:t>、HCO</w:t>
      </w:r>
      <w:r>
        <w:rPr>
          <w:rFonts w:hint="default"/>
          <w:color w:val="auto"/>
          <w:vertAlign w:val="superscript"/>
        </w:rPr>
        <w:t>3-</w:t>
      </w:r>
      <w:r>
        <w:rPr>
          <w:rFonts w:hint="default"/>
          <w:color w:val="auto"/>
        </w:rPr>
        <w:t>、Cl</w:t>
      </w:r>
      <w:r>
        <w:rPr>
          <w:rFonts w:hint="default"/>
          <w:color w:val="auto"/>
          <w:vertAlign w:val="superscript"/>
        </w:rPr>
        <w:t>-</w:t>
      </w:r>
      <w:r>
        <w:rPr>
          <w:rFonts w:hint="default"/>
          <w:color w:val="auto"/>
        </w:rPr>
        <w:t>、SO</w:t>
      </w:r>
      <w:r>
        <w:rPr>
          <w:rFonts w:hint="default"/>
          <w:color w:val="auto"/>
          <w:vertAlign w:val="subscript"/>
        </w:rPr>
        <w:t>4</w:t>
      </w:r>
      <w:r>
        <w:rPr>
          <w:rFonts w:hint="default"/>
          <w:color w:val="auto"/>
          <w:vertAlign w:val="superscript"/>
        </w:rPr>
        <w:t>2-</w:t>
      </w:r>
      <w:r>
        <w:rPr>
          <w:rFonts w:hint="default"/>
          <w:color w:val="auto"/>
        </w:rPr>
        <w:t>、pH、氨氮、硝酸盐、亚硝酸盐、氰化物、砷、汞、铬（六价）、总硬度、铅、氟、镉、铁、锰、溶解性总固体、硫酸盐、氯化物、总大肠菌数、细菌总数、耗氧量。</w:t>
      </w:r>
    </w:p>
    <w:p w14:paraId="139EB285">
      <w:pPr>
        <w:pStyle w:val="79"/>
        <w:bidi w:val="0"/>
        <w:rPr>
          <w:rFonts w:hint="default"/>
          <w:color w:val="auto"/>
        </w:rPr>
      </w:pPr>
      <w:r>
        <w:rPr>
          <w:rFonts w:hint="default"/>
          <w:color w:val="auto"/>
        </w:rPr>
        <w:t>特征因子：挥发性酚类、石油类。</w:t>
      </w:r>
    </w:p>
    <w:p w14:paraId="4DD9E408">
      <w:pPr>
        <w:pStyle w:val="79"/>
        <w:bidi w:val="0"/>
        <w:rPr>
          <w:rFonts w:hint="default"/>
          <w:color w:val="auto"/>
        </w:rPr>
      </w:pPr>
      <w:r>
        <w:rPr>
          <w:rFonts w:hint="default"/>
          <w:color w:val="auto"/>
        </w:rPr>
        <w:t>2）分析方法</w:t>
      </w:r>
    </w:p>
    <w:p w14:paraId="701102D3">
      <w:pPr>
        <w:pStyle w:val="79"/>
        <w:bidi w:val="0"/>
        <w:rPr>
          <w:rFonts w:hint="default"/>
          <w:color w:val="auto"/>
        </w:rPr>
      </w:pPr>
      <w:r>
        <w:rPr>
          <w:rFonts w:hint="default"/>
          <w:color w:val="auto"/>
        </w:rPr>
        <w:t>采样按照《环境影响评价技术导则</w:t>
      </w:r>
      <w:r>
        <w:rPr>
          <w:rFonts w:hint="eastAsia"/>
          <w:color w:val="auto"/>
          <w:lang w:val="en-US" w:eastAsia="zh-CN"/>
        </w:rPr>
        <w:t xml:space="preserve"> </w:t>
      </w:r>
      <w:r>
        <w:rPr>
          <w:rFonts w:hint="default"/>
          <w:color w:val="auto"/>
        </w:rPr>
        <w:t>地下水环境》</w:t>
      </w:r>
      <w:r>
        <w:rPr>
          <w:rFonts w:hint="eastAsia"/>
          <w:color w:val="auto"/>
          <w:lang w:eastAsia="zh-CN"/>
        </w:rPr>
        <w:t>（</w:t>
      </w:r>
      <w:r>
        <w:rPr>
          <w:rFonts w:hint="default"/>
          <w:color w:val="auto"/>
        </w:rPr>
        <w:t>HJ610-2016</w:t>
      </w:r>
      <w:r>
        <w:rPr>
          <w:rFonts w:hint="eastAsia"/>
          <w:color w:val="auto"/>
          <w:lang w:eastAsia="zh-CN"/>
        </w:rPr>
        <w:t>）</w:t>
      </w:r>
      <w:r>
        <w:rPr>
          <w:rFonts w:hint="default"/>
          <w:color w:val="auto"/>
        </w:rPr>
        <w:t>执行，监测分析方法按照《地下水环境监测技术规范》</w:t>
      </w:r>
      <w:r>
        <w:rPr>
          <w:rFonts w:hint="eastAsia"/>
          <w:color w:val="auto"/>
          <w:lang w:eastAsia="zh-CN"/>
        </w:rPr>
        <w:t>（</w:t>
      </w:r>
      <w:r>
        <w:rPr>
          <w:rFonts w:hint="default"/>
          <w:color w:val="auto"/>
        </w:rPr>
        <w:t>HJ/T164-2020</w:t>
      </w:r>
      <w:r>
        <w:rPr>
          <w:rFonts w:hint="eastAsia"/>
          <w:color w:val="auto"/>
          <w:lang w:eastAsia="zh-CN"/>
        </w:rPr>
        <w:t>）</w:t>
      </w:r>
      <w:r>
        <w:rPr>
          <w:rFonts w:hint="default"/>
          <w:color w:val="auto"/>
        </w:rPr>
        <w:t>、《地下水质量标准》</w:t>
      </w:r>
      <w:r>
        <w:rPr>
          <w:rFonts w:hint="eastAsia"/>
          <w:color w:val="auto"/>
          <w:lang w:eastAsia="zh-CN"/>
        </w:rPr>
        <w:t>（</w:t>
      </w:r>
      <w:r>
        <w:rPr>
          <w:rFonts w:hint="default"/>
          <w:color w:val="auto"/>
        </w:rPr>
        <w:t>GB/T14848-2017</w:t>
      </w:r>
      <w:r>
        <w:rPr>
          <w:rFonts w:hint="eastAsia"/>
          <w:color w:val="auto"/>
          <w:lang w:eastAsia="zh-CN"/>
        </w:rPr>
        <w:t>）</w:t>
      </w:r>
      <w:r>
        <w:rPr>
          <w:rFonts w:hint="default"/>
          <w:color w:val="auto"/>
        </w:rPr>
        <w:t>有关标准和规范执行。各地下水监测因子和检测分析因子分析方法及检出限情况见表</w:t>
      </w:r>
      <w:r>
        <w:rPr>
          <w:rFonts w:hint="eastAsia"/>
          <w:color w:val="auto"/>
          <w:lang w:val="en-US" w:eastAsia="zh-CN"/>
        </w:rPr>
        <w:t>4.3-2</w:t>
      </w:r>
      <w:r>
        <w:rPr>
          <w:rFonts w:hint="default"/>
          <w:color w:val="auto"/>
        </w:rPr>
        <w:t>。</w:t>
      </w:r>
    </w:p>
    <w:p w14:paraId="07466F9A">
      <w:pPr>
        <w:pStyle w:val="61"/>
        <w:bidi w:val="0"/>
        <w:jc w:val="both"/>
        <w:rPr>
          <w:rFonts w:hint="eastAsia"/>
          <w:color w:val="auto"/>
        </w:rPr>
      </w:pPr>
      <w:r>
        <w:rPr>
          <w:rFonts w:hint="eastAsia"/>
          <w:color w:val="auto"/>
        </w:rPr>
        <w:t>表</w:t>
      </w:r>
      <w:r>
        <w:rPr>
          <w:rFonts w:hint="eastAsia"/>
          <w:color w:val="auto"/>
          <w:lang w:val="en-US" w:eastAsia="zh-CN"/>
        </w:rPr>
        <w:t>4.3-2</w:t>
      </w:r>
      <w:r>
        <w:rPr>
          <w:rFonts w:hint="eastAsia"/>
          <w:color w:val="auto"/>
        </w:rPr>
        <w:t xml:space="preserve">  地下水环境监测因子和检测因子分析方法及检出限值一览表</w:t>
      </w:r>
    </w:p>
    <w:tbl>
      <w:tblPr>
        <w:tblStyle w:val="37"/>
        <w:tblW w:w="4953"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44"/>
        <w:gridCol w:w="5250"/>
        <w:gridCol w:w="1857"/>
      </w:tblGrid>
      <w:tr w14:paraId="71E10E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939" w:type="pct"/>
            <w:tcBorders>
              <w:tl2br w:val="nil"/>
              <w:tr2bl w:val="nil"/>
            </w:tcBorders>
            <w:noWrap w:val="0"/>
            <w:vAlign w:val="center"/>
          </w:tcPr>
          <w:p w14:paraId="36FC7069">
            <w:pPr>
              <w:jc w:val="center"/>
              <w:rPr>
                <w:rFonts w:hint="default" w:ascii="Times New Roman" w:hAnsi="Times New Roman" w:eastAsia="宋体" w:cs="Times New Roman"/>
                <w:b w:val="0"/>
                <w:bCs/>
                <w:color w:val="auto"/>
                <w:kern w:val="0"/>
                <w:sz w:val="18"/>
                <w:szCs w:val="18"/>
                <w:vertAlign w:val="baseline"/>
                <w:lang w:eastAsia="zh-CN"/>
              </w:rPr>
            </w:pPr>
            <w:r>
              <w:rPr>
                <w:rFonts w:hint="default" w:ascii="Times New Roman" w:hAnsi="Times New Roman" w:eastAsia="宋体" w:cs="Times New Roman"/>
                <w:b w:val="0"/>
                <w:bCs/>
                <w:color w:val="auto"/>
                <w:kern w:val="0"/>
                <w:sz w:val="18"/>
                <w:szCs w:val="18"/>
                <w:vertAlign w:val="baseline"/>
                <w:lang w:eastAsia="zh-CN"/>
              </w:rPr>
              <w:t>检测项目</w:t>
            </w:r>
          </w:p>
        </w:tc>
        <w:tc>
          <w:tcPr>
            <w:tcW w:w="2999" w:type="pct"/>
            <w:tcBorders>
              <w:tl2br w:val="nil"/>
              <w:tr2bl w:val="nil"/>
            </w:tcBorders>
            <w:noWrap w:val="0"/>
            <w:vAlign w:val="center"/>
          </w:tcPr>
          <w:p w14:paraId="306DDFF2">
            <w:pPr>
              <w:jc w:val="center"/>
              <w:rPr>
                <w:rFonts w:hint="default" w:ascii="Times New Roman" w:hAnsi="Times New Roman" w:eastAsia="宋体" w:cs="Times New Roman"/>
                <w:b w:val="0"/>
                <w:bCs/>
                <w:color w:val="auto"/>
                <w:kern w:val="0"/>
                <w:sz w:val="18"/>
                <w:szCs w:val="18"/>
                <w:vertAlign w:val="baseline"/>
                <w:lang w:eastAsia="zh-CN"/>
              </w:rPr>
            </w:pPr>
            <w:r>
              <w:rPr>
                <w:rFonts w:hint="default" w:ascii="Times New Roman" w:hAnsi="Times New Roman" w:eastAsia="宋体" w:cs="Times New Roman"/>
                <w:b w:val="0"/>
                <w:bCs/>
                <w:color w:val="auto"/>
                <w:kern w:val="0"/>
                <w:sz w:val="18"/>
                <w:szCs w:val="18"/>
                <w:vertAlign w:val="baseline"/>
                <w:lang w:eastAsia="zh-CN"/>
              </w:rPr>
              <w:t>检测依据</w:t>
            </w:r>
          </w:p>
        </w:tc>
        <w:tc>
          <w:tcPr>
            <w:tcW w:w="1061" w:type="pct"/>
            <w:tcBorders>
              <w:tl2br w:val="nil"/>
              <w:tr2bl w:val="nil"/>
            </w:tcBorders>
            <w:noWrap w:val="0"/>
            <w:vAlign w:val="center"/>
          </w:tcPr>
          <w:p w14:paraId="78FAD280">
            <w:pPr>
              <w:jc w:val="center"/>
              <w:rPr>
                <w:rFonts w:hint="default" w:ascii="Times New Roman" w:hAnsi="Times New Roman" w:eastAsia="宋体" w:cs="Times New Roman"/>
                <w:b w:val="0"/>
                <w:bCs/>
                <w:color w:val="auto"/>
                <w:kern w:val="0"/>
                <w:sz w:val="18"/>
                <w:szCs w:val="18"/>
                <w:vertAlign w:val="baseline"/>
                <w:lang w:eastAsia="zh-CN"/>
              </w:rPr>
            </w:pPr>
            <w:r>
              <w:rPr>
                <w:rFonts w:hint="default" w:ascii="Times New Roman" w:hAnsi="Times New Roman" w:eastAsia="宋体" w:cs="Times New Roman"/>
                <w:b w:val="0"/>
                <w:bCs/>
                <w:color w:val="auto"/>
                <w:kern w:val="0"/>
                <w:sz w:val="18"/>
                <w:szCs w:val="18"/>
                <w:vertAlign w:val="baseline"/>
                <w:lang w:eastAsia="zh-CN"/>
              </w:rPr>
              <w:t>主检仪器</w:t>
            </w:r>
          </w:p>
        </w:tc>
      </w:tr>
      <w:tr w14:paraId="679F7F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939" w:type="pct"/>
            <w:tcBorders>
              <w:tl2br w:val="nil"/>
              <w:tr2bl w:val="nil"/>
            </w:tcBorders>
            <w:noWrap w:val="0"/>
            <w:vAlign w:val="center"/>
          </w:tcPr>
          <w:p w14:paraId="35B8DBF8">
            <w:pPr>
              <w:spacing w:line="24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pH</w:t>
            </w:r>
          </w:p>
        </w:tc>
        <w:tc>
          <w:tcPr>
            <w:tcW w:w="2999" w:type="pct"/>
            <w:tcBorders>
              <w:tl2br w:val="nil"/>
              <w:tr2bl w:val="nil"/>
            </w:tcBorders>
            <w:noWrap w:val="0"/>
            <w:vAlign w:val="center"/>
          </w:tcPr>
          <w:p w14:paraId="4214D1C0">
            <w:pPr>
              <w:jc w:val="center"/>
              <w:rPr>
                <w:rFonts w:hint="default" w:ascii="Times New Roman" w:hAnsi="Times New Roman" w:eastAsia="宋体" w:cs="Times New Roman"/>
                <w:b w:val="0"/>
                <w:bCs/>
                <w:color w:val="auto"/>
                <w:kern w:val="0"/>
                <w:sz w:val="18"/>
                <w:szCs w:val="18"/>
                <w:vertAlign w:val="baseline"/>
                <w:lang w:eastAsia="zh-CN"/>
              </w:rPr>
            </w:pPr>
            <w:r>
              <w:rPr>
                <w:rFonts w:hint="default" w:ascii="Times New Roman" w:hAnsi="Times New Roman" w:eastAsia="宋体" w:cs="Times New Roman"/>
                <w:b w:val="0"/>
                <w:bCs/>
                <w:color w:val="auto"/>
                <w:kern w:val="0"/>
                <w:sz w:val="18"/>
                <w:szCs w:val="18"/>
                <w:vertAlign w:val="baseline"/>
                <w:lang w:eastAsia="zh-CN"/>
              </w:rPr>
              <w:t>HJ 1147-2020水质 pH值的测定 电极法</w:t>
            </w:r>
          </w:p>
        </w:tc>
        <w:tc>
          <w:tcPr>
            <w:tcW w:w="1061" w:type="pct"/>
            <w:tcBorders>
              <w:tl2br w:val="nil"/>
              <w:tr2bl w:val="nil"/>
            </w:tcBorders>
            <w:noWrap w:val="0"/>
            <w:vAlign w:val="center"/>
          </w:tcPr>
          <w:p w14:paraId="1C18040D">
            <w:pPr>
              <w:jc w:val="center"/>
              <w:rPr>
                <w:rFonts w:hint="default" w:ascii="Times New Roman" w:hAnsi="Times New Roman" w:eastAsia="宋体" w:cs="Times New Roman"/>
                <w:b w:val="0"/>
                <w:bCs/>
                <w:color w:val="auto"/>
                <w:kern w:val="0"/>
                <w:sz w:val="18"/>
                <w:szCs w:val="18"/>
                <w:vertAlign w:val="baseline"/>
                <w:lang w:eastAsia="zh-CN"/>
              </w:rPr>
            </w:pPr>
            <w:r>
              <w:rPr>
                <w:rFonts w:hint="default" w:ascii="Times New Roman" w:hAnsi="Times New Roman" w:eastAsia="宋体" w:cs="Times New Roman"/>
                <w:color w:val="auto"/>
                <w:sz w:val="18"/>
                <w:szCs w:val="18"/>
                <w:lang w:val="en-US" w:eastAsia="zh-CN"/>
              </w:rPr>
              <w:t>FE28</w:t>
            </w:r>
            <w:r>
              <w:rPr>
                <w:rFonts w:hint="default" w:ascii="Times New Roman" w:hAnsi="Times New Roman" w:eastAsia="宋体" w:cs="Times New Roman"/>
                <w:color w:val="auto"/>
                <w:sz w:val="18"/>
                <w:szCs w:val="18"/>
              </w:rPr>
              <w:t>型pH计</w:t>
            </w:r>
            <w:r>
              <w:rPr>
                <w:rFonts w:hint="default" w:ascii="Times New Roman" w:hAnsi="Times New Roman" w:eastAsia="宋体" w:cs="Times New Roman"/>
                <w:bCs/>
                <w:color w:val="auto"/>
                <w:sz w:val="18"/>
                <w:szCs w:val="18"/>
                <w:lang w:val="en-US" w:eastAsia="zh-CN"/>
              </w:rPr>
              <w:t>XJZC160</w:t>
            </w:r>
          </w:p>
        </w:tc>
      </w:tr>
      <w:tr w14:paraId="2123E1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939" w:type="pct"/>
            <w:tcBorders>
              <w:tl2br w:val="nil"/>
              <w:tr2bl w:val="nil"/>
            </w:tcBorders>
            <w:noWrap w:val="0"/>
            <w:vAlign w:val="center"/>
          </w:tcPr>
          <w:p w14:paraId="76FDDA1C">
            <w:pPr>
              <w:spacing w:line="24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色度</w:t>
            </w:r>
          </w:p>
        </w:tc>
        <w:tc>
          <w:tcPr>
            <w:tcW w:w="2999" w:type="pct"/>
            <w:tcBorders>
              <w:tl2br w:val="nil"/>
              <w:tr2bl w:val="nil"/>
            </w:tcBorders>
            <w:noWrap w:val="0"/>
            <w:vAlign w:val="center"/>
          </w:tcPr>
          <w:p w14:paraId="587E5466">
            <w:pPr>
              <w:jc w:val="center"/>
              <w:rPr>
                <w:rFonts w:hint="default" w:ascii="Times New Roman" w:hAnsi="Times New Roman" w:eastAsia="宋体" w:cs="Times New Roman"/>
                <w:b w:val="0"/>
                <w:bCs/>
                <w:color w:val="auto"/>
                <w:kern w:val="0"/>
                <w:sz w:val="18"/>
                <w:szCs w:val="18"/>
                <w:vertAlign w:val="baseline"/>
                <w:lang w:val="en-US" w:eastAsia="zh-CN" w:bidi="ar-SA"/>
              </w:rPr>
            </w:pPr>
            <w:r>
              <w:rPr>
                <w:rFonts w:hint="default" w:ascii="Times New Roman" w:hAnsi="Times New Roman" w:eastAsia="宋体" w:cs="Times New Roman"/>
                <w:b w:val="0"/>
                <w:bCs/>
                <w:color w:val="auto"/>
                <w:kern w:val="0"/>
                <w:sz w:val="18"/>
                <w:szCs w:val="18"/>
                <w:vertAlign w:val="baseline"/>
                <w:lang w:eastAsia="zh-CN"/>
              </w:rPr>
              <w:t>GB/T</w:t>
            </w:r>
            <w:r>
              <w:rPr>
                <w:rFonts w:hint="default" w:ascii="Times New Roman" w:hAnsi="Times New Roman" w:eastAsia="宋体" w:cs="Times New Roman"/>
                <w:b w:val="0"/>
                <w:bCs/>
                <w:color w:val="auto"/>
                <w:kern w:val="0"/>
                <w:sz w:val="18"/>
                <w:szCs w:val="18"/>
                <w:vertAlign w:val="baseline"/>
                <w:lang w:val="en-US" w:eastAsia="zh-CN"/>
              </w:rPr>
              <w:t xml:space="preserve"> </w:t>
            </w:r>
            <w:r>
              <w:rPr>
                <w:rFonts w:hint="default" w:ascii="Times New Roman" w:hAnsi="Times New Roman" w:eastAsia="宋体" w:cs="Times New Roman"/>
                <w:b w:val="0"/>
                <w:bCs/>
                <w:color w:val="auto"/>
                <w:kern w:val="0"/>
                <w:sz w:val="18"/>
                <w:szCs w:val="18"/>
                <w:vertAlign w:val="baseline"/>
                <w:lang w:eastAsia="zh-CN"/>
              </w:rPr>
              <w:t>5750.4-</w:t>
            </w:r>
            <w:r>
              <w:rPr>
                <w:rFonts w:hint="default" w:ascii="Times New Roman" w:hAnsi="Times New Roman" w:eastAsia="宋体" w:cs="Times New Roman"/>
                <w:b w:val="0"/>
                <w:bCs/>
                <w:color w:val="auto"/>
                <w:kern w:val="0"/>
                <w:sz w:val="18"/>
                <w:szCs w:val="18"/>
                <w:vertAlign w:val="baseline"/>
                <w:lang w:val="en-US" w:eastAsia="zh-CN"/>
              </w:rPr>
              <w:t>2023生活饮用水标准检验方法 第4部分：感官性状和物理指标 4.1 铂-钴标准比色法</w:t>
            </w:r>
          </w:p>
        </w:tc>
        <w:tc>
          <w:tcPr>
            <w:tcW w:w="1061" w:type="pct"/>
            <w:vMerge w:val="restart"/>
            <w:tcBorders>
              <w:tl2br w:val="nil"/>
              <w:tr2bl w:val="nil"/>
            </w:tcBorders>
            <w:noWrap w:val="0"/>
            <w:vAlign w:val="center"/>
          </w:tcPr>
          <w:p w14:paraId="49A3AAC6">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r>
      <w:tr w14:paraId="0C2984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939" w:type="pct"/>
            <w:tcBorders>
              <w:tl2br w:val="nil"/>
              <w:tr2bl w:val="nil"/>
            </w:tcBorders>
            <w:noWrap w:val="0"/>
            <w:vAlign w:val="center"/>
          </w:tcPr>
          <w:p w14:paraId="4EF62C10">
            <w:pPr>
              <w:spacing w:line="24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臭和味</w:t>
            </w:r>
          </w:p>
        </w:tc>
        <w:tc>
          <w:tcPr>
            <w:tcW w:w="2999" w:type="pct"/>
            <w:tcBorders>
              <w:tl2br w:val="nil"/>
              <w:tr2bl w:val="nil"/>
            </w:tcBorders>
            <w:noWrap w:val="0"/>
            <w:vAlign w:val="center"/>
          </w:tcPr>
          <w:p w14:paraId="3E3C25CD">
            <w:pPr>
              <w:jc w:val="center"/>
              <w:rPr>
                <w:rFonts w:hint="default" w:ascii="Times New Roman" w:hAnsi="Times New Roman" w:eastAsia="宋体" w:cs="Times New Roman"/>
                <w:b w:val="0"/>
                <w:bCs/>
                <w:color w:val="auto"/>
                <w:kern w:val="0"/>
                <w:sz w:val="18"/>
                <w:szCs w:val="18"/>
                <w:vertAlign w:val="baseline"/>
                <w:lang w:val="en-US" w:eastAsia="zh-CN" w:bidi="ar-SA"/>
              </w:rPr>
            </w:pPr>
            <w:r>
              <w:rPr>
                <w:rFonts w:hint="default" w:ascii="Times New Roman" w:hAnsi="Times New Roman" w:eastAsia="宋体" w:cs="Times New Roman"/>
                <w:b w:val="0"/>
                <w:bCs/>
                <w:color w:val="auto"/>
                <w:kern w:val="0"/>
                <w:sz w:val="18"/>
                <w:szCs w:val="18"/>
                <w:vertAlign w:val="baseline"/>
                <w:lang w:eastAsia="zh-CN"/>
              </w:rPr>
              <w:t>GB/T</w:t>
            </w:r>
            <w:r>
              <w:rPr>
                <w:rFonts w:hint="default" w:ascii="Times New Roman" w:hAnsi="Times New Roman" w:eastAsia="宋体" w:cs="Times New Roman"/>
                <w:b w:val="0"/>
                <w:bCs/>
                <w:color w:val="auto"/>
                <w:kern w:val="0"/>
                <w:sz w:val="18"/>
                <w:szCs w:val="18"/>
                <w:vertAlign w:val="baseline"/>
                <w:lang w:val="en-US" w:eastAsia="zh-CN"/>
              </w:rPr>
              <w:t xml:space="preserve"> </w:t>
            </w:r>
            <w:r>
              <w:rPr>
                <w:rFonts w:hint="default" w:ascii="Times New Roman" w:hAnsi="Times New Roman" w:eastAsia="宋体" w:cs="Times New Roman"/>
                <w:b w:val="0"/>
                <w:bCs/>
                <w:color w:val="auto"/>
                <w:kern w:val="0"/>
                <w:sz w:val="18"/>
                <w:szCs w:val="18"/>
                <w:vertAlign w:val="baseline"/>
                <w:lang w:eastAsia="zh-CN"/>
              </w:rPr>
              <w:t>5750.4-</w:t>
            </w:r>
            <w:r>
              <w:rPr>
                <w:rFonts w:hint="default" w:ascii="Times New Roman" w:hAnsi="Times New Roman" w:eastAsia="宋体" w:cs="Times New Roman"/>
                <w:b w:val="0"/>
                <w:bCs/>
                <w:color w:val="auto"/>
                <w:kern w:val="0"/>
                <w:sz w:val="18"/>
                <w:szCs w:val="18"/>
                <w:vertAlign w:val="baseline"/>
                <w:lang w:val="en-US" w:eastAsia="zh-CN"/>
              </w:rPr>
              <w:t>2023生活饮用水标准检验方法 第4部分：感官性状和物理指标 6.1 嗅气和尝味法</w:t>
            </w:r>
          </w:p>
        </w:tc>
        <w:tc>
          <w:tcPr>
            <w:tcW w:w="1061" w:type="pct"/>
            <w:vMerge w:val="continue"/>
            <w:tcBorders>
              <w:tl2br w:val="nil"/>
              <w:tr2bl w:val="nil"/>
            </w:tcBorders>
            <w:noWrap w:val="0"/>
            <w:vAlign w:val="center"/>
          </w:tcPr>
          <w:p w14:paraId="345148EE">
            <w:pPr>
              <w:jc w:val="center"/>
              <w:rPr>
                <w:rFonts w:hint="default" w:ascii="Times New Roman" w:hAnsi="Times New Roman" w:eastAsia="宋体" w:cs="Times New Roman"/>
                <w:color w:val="auto"/>
                <w:sz w:val="18"/>
                <w:szCs w:val="18"/>
                <w:lang w:val="en-US" w:eastAsia="zh-CN"/>
              </w:rPr>
            </w:pPr>
          </w:p>
        </w:tc>
      </w:tr>
      <w:tr w14:paraId="2C3C8C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939" w:type="pct"/>
            <w:tcBorders>
              <w:tl2br w:val="nil"/>
              <w:tr2bl w:val="nil"/>
            </w:tcBorders>
            <w:noWrap w:val="0"/>
            <w:vAlign w:val="center"/>
          </w:tcPr>
          <w:p w14:paraId="5D821E83">
            <w:pPr>
              <w:spacing w:line="24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肉眼可见物</w:t>
            </w:r>
          </w:p>
        </w:tc>
        <w:tc>
          <w:tcPr>
            <w:tcW w:w="2999" w:type="pct"/>
            <w:tcBorders>
              <w:tl2br w:val="nil"/>
              <w:tr2bl w:val="nil"/>
            </w:tcBorders>
            <w:noWrap w:val="0"/>
            <w:vAlign w:val="center"/>
          </w:tcPr>
          <w:p w14:paraId="2DCCAED3">
            <w:pPr>
              <w:jc w:val="center"/>
              <w:rPr>
                <w:rFonts w:hint="default" w:ascii="Times New Roman" w:hAnsi="Times New Roman" w:eastAsia="宋体" w:cs="Times New Roman"/>
                <w:b w:val="0"/>
                <w:bCs/>
                <w:color w:val="auto"/>
                <w:kern w:val="0"/>
                <w:sz w:val="18"/>
                <w:szCs w:val="18"/>
                <w:vertAlign w:val="baseline"/>
                <w:lang w:val="en-US" w:eastAsia="zh-CN" w:bidi="ar-SA"/>
              </w:rPr>
            </w:pPr>
            <w:r>
              <w:rPr>
                <w:rFonts w:hint="default" w:ascii="Times New Roman" w:hAnsi="Times New Roman" w:eastAsia="宋体" w:cs="Times New Roman"/>
                <w:b w:val="0"/>
                <w:bCs/>
                <w:color w:val="auto"/>
                <w:kern w:val="0"/>
                <w:sz w:val="18"/>
                <w:szCs w:val="18"/>
                <w:vertAlign w:val="baseline"/>
                <w:lang w:eastAsia="zh-CN"/>
              </w:rPr>
              <w:t>GB/T</w:t>
            </w:r>
            <w:r>
              <w:rPr>
                <w:rFonts w:hint="default" w:ascii="Times New Roman" w:hAnsi="Times New Roman" w:eastAsia="宋体" w:cs="Times New Roman"/>
                <w:b w:val="0"/>
                <w:bCs/>
                <w:color w:val="auto"/>
                <w:kern w:val="0"/>
                <w:sz w:val="18"/>
                <w:szCs w:val="18"/>
                <w:vertAlign w:val="baseline"/>
                <w:lang w:val="en-US" w:eastAsia="zh-CN"/>
              </w:rPr>
              <w:t xml:space="preserve"> </w:t>
            </w:r>
            <w:r>
              <w:rPr>
                <w:rFonts w:hint="default" w:ascii="Times New Roman" w:hAnsi="Times New Roman" w:eastAsia="宋体" w:cs="Times New Roman"/>
                <w:b w:val="0"/>
                <w:bCs/>
                <w:color w:val="auto"/>
                <w:kern w:val="0"/>
                <w:sz w:val="18"/>
                <w:szCs w:val="18"/>
                <w:vertAlign w:val="baseline"/>
                <w:lang w:eastAsia="zh-CN"/>
              </w:rPr>
              <w:t>5750.4-</w:t>
            </w:r>
            <w:r>
              <w:rPr>
                <w:rFonts w:hint="default" w:ascii="Times New Roman" w:hAnsi="Times New Roman" w:eastAsia="宋体" w:cs="Times New Roman"/>
                <w:b w:val="0"/>
                <w:bCs/>
                <w:color w:val="auto"/>
                <w:kern w:val="0"/>
                <w:sz w:val="18"/>
                <w:szCs w:val="18"/>
                <w:vertAlign w:val="baseline"/>
                <w:lang w:val="en-US" w:eastAsia="zh-CN"/>
              </w:rPr>
              <w:t>2023生活饮用水标准检验方法 第4部分：感官性状和物理指标 7.1 直接观察法</w:t>
            </w:r>
          </w:p>
        </w:tc>
        <w:tc>
          <w:tcPr>
            <w:tcW w:w="1061" w:type="pct"/>
            <w:vMerge w:val="continue"/>
            <w:tcBorders>
              <w:tl2br w:val="nil"/>
              <w:tr2bl w:val="nil"/>
            </w:tcBorders>
            <w:noWrap w:val="0"/>
            <w:vAlign w:val="center"/>
          </w:tcPr>
          <w:p w14:paraId="19E905DC">
            <w:pPr>
              <w:jc w:val="center"/>
              <w:rPr>
                <w:rFonts w:hint="default" w:ascii="Times New Roman" w:hAnsi="Times New Roman" w:eastAsia="宋体" w:cs="Times New Roman"/>
                <w:color w:val="auto"/>
                <w:sz w:val="18"/>
                <w:szCs w:val="18"/>
                <w:lang w:val="en-US" w:eastAsia="zh-CN"/>
              </w:rPr>
            </w:pPr>
          </w:p>
        </w:tc>
      </w:tr>
      <w:tr w14:paraId="1800D4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939" w:type="pct"/>
            <w:tcBorders>
              <w:tl2br w:val="nil"/>
              <w:tr2bl w:val="nil"/>
            </w:tcBorders>
            <w:noWrap w:val="0"/>
            <w:vAlign w:val="center"/>
          </w:tcPr>
          <w:p w14:paraId="5946B368">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总硬度</w:t>
            </w:r>
          </w:p>
        </w:tc>
        <w:tc>
          <w:tcPr>
            <w:tcW w:w="2999" w:type="pct"/>
            <w:tcBorders>
              <w:tl2br w:val="nil"/>
              <w:tr2bl w:val="nil"/>
            </w:tcBorders>
            <w:noWrap w:val="0"/>
            <w:vAlign w:val="center"/>
          </w:tcPr>
          <w:p w14:paraId="49D2DB56">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GB 7477-1987水质 钙和镁总量的测定 EDTA滴定法</w:t>
            </w:r>
          </w:p>
        </w:tc>
        <w:tc>
          <w:tcPr>
            <w:tcW w:w="1061" w:type="pct"/>
            <w:tcBorders>
              <w:tl2br w:val="nil"/>
              <w:tr2bl w:val="nil"/>
            </w:tcBorders>
            <w:noWrap w:val="0"/>
            <w:vAlign w:val="center"/>
          </w:tcPr>
          <w:p w14:paraId="5D9F1C88">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w:t>
            </w:r>
          </w:p>
        </w:tc>
      </w:tr>
      <w:tr w14:paraId="55C6F4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939" w:type="pct"/>
            <w:tcBorders>
              <w:tl2br w:val="nil"/>
              <w:tr2bl w:val="nil"/>
            </w:tcBorders>
            <w:noWrap w:val="0"/>
            <w:vAlign w:val="center"/>
          </w:tcPr>
          <w:p w14:paraId="58521DC2">
            <w:pPr>
              <w:spacing w:line="24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溶解性总固体</w:t>
            </w:r>
          </w:p>
        </w:tc>
        <w:tc>
          <w:tcPr>
            <w:tcW w:w="2999" w:type="pct"/>
            <w:tcBorders>
              <w:tl2br w:val="nil"/>
              <w:tr2bl w:val="nil"/>
            </w:tcBorders>
            <w:noWrap w:val="0"/>
            <w:vAlign w:val="center"/>
          </w:tcPr>
          <w:p w14:paraId="7060B866">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b w:val="0"/>
                <w:bCs/>
                <w:color w:val="auto"/>
                <w:kern w:val="0"/>
                <w:sz w:val="18"/>
                <w:szCs w:val="18"/>
                <w:vertAlign w:val="baseline"/>
                <w:lang w:eastAsia="zh-CN"/>
              </w:rPr>
              <w:t>GB/T</w:t>
            </w:r>
            <w:r>
              <w:rPr>
                <w:rFonts w:hint="default" w:ascii="Times New Roman" w:hAnsi="Times New Roman" w:eastAsia="宋体" w:cs="Times New Roman"/>
                <w:b w:val="0"/>
                <w:bCs/>
                <w:color w:val="auto"/>
                <w:kern w:val="0"/>
                <w:sz w:val="18"/>
                <w:szCs w:val="18"/>
                <w:vertAlign w:val="baseline"/>
                <w:lang w:val="en-US" w:eastAsia="zh-CN"/>
              </w:rPr>
              <w:t xml:space="preserve"> </w:t>
            </w:r>
            <w:r>
              <w:rPr>
                <w:rFonts w:hint="default" w:ascii="Times New Roman" w:hAnsi="Times New Roman" w:eastAsia="宋体" w:cs="Times New Roman"/>
                <w:b w:val="0"/>
                <w:bCs/>
                <w:color w:val="auto"/>
                <w:kern w:val="0"/>
                <w:sz w:val="18"/>
                <w:szCs w:val="18"/>
                <w:vertAlign w:val="baseline"/>
                <w:lang w:eastAsia="zh-CN"/>
              </w:rPr>
              <w:t>5750.4-</w:t>
            </w:r>
            <w:r>
              <w:rPr>
                <w:rFonts w:hint="default" w:ascii="Times New Roman" w:hAnsi="Times New Roman" w:eastAsia="宋体" w:cs="Times New Roman"/>
                <w:b w:val="0"/>
                <w:bCs/>
                <w:color w:val="auto"/>
                <w:kern w:val="0"/>
                <w:sz w:val="18"/>
                <w:szCs w:val="18"/>
                <w:vertAlign w:val="baseline"/>
                <w:lang w:val="en-US" w:eastAsia="zh-CN"/>
              </w:rPr>
              <w:t>2023生活饮用水标准检验方法 第4部分：感官性状和物理指标 11.1 称量法</w:t>
            </w:r>
          </w:p>
        </w:tc>
        <w:tc>
          <w:tcPr>
            <w:tcW w:w="1061" w:type="pct"/>
            <w:tcBorders>
              <w:tl2br w:val="nil"/>
              <w:tr2bl w:val="nil"/>
            </w:tcBorders>
            <w:noWrap w:val="0"/>
            <w:vAlign w:val="center"/>
          </w:tcPr>
          <w:p w14:paraId="71145B59">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FA2104B</w:t>
            </w:r>
            <w:r>
              <w:rPr>
                <w:rFonts w:hint="default" w:ascii="Times New Roman" w:hAnsi="Times New Roman" w:eastAsia="宋体" w:cs="Times New Roman"/>
                <w:color w:val="auto"/>
                <w:sz w:val="18"/>
                <w:szCs w:val="18"/>
                <w:lang w:eastAsia="zh-CN"/>
              </w:rPr>
              <w:t>电子</w:t>
            </w:r>
            <w:r>
              <w:rPr>
                <w:rFonts w:hint="default" w:ascii="Times New Roman" w:hAnsi="Times New Roman" w:eastAsia="宋体" w:cs="Times New Roman"/>
                <w:color w:val="auto"/>
                <w:sz w:val="18"/>
                <w:szCs w:val="18"/>
              </w:rPr>
              <w:t>天平</w:t>
            </w:r>
            <w:r>
              <w:rPr>
                <w:rFonts w:hint="default" w:ascii="Times New Roman" w:hAnsi="Times New Roman" w:eastAsia="宋体" w:cs="Times New Roman"/>
                <w:color w:val="auto"/>
                <w:sz w:val="18"/>
                <w:szCs w:val="18"/>
                <w:lang w:val="en-US" w:eastAsia="zh-CN"/>
              </w:rPr>
              <w:t>XJZC03</w:t>
            </w:r>
          </w:p>
        </w:tc>
      </w:tr>
      <w:tr w14:paraId="3EB122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939" w:type="pct"/>
            <w:tcBorders>
              <w:tl2br w:val="nil"/>
              <w:tr2bl w:val="nil"/>
            </w:tcBorders>
            <w:noWrap w:val="0"/>
            <w:vAlign w:val="center"/>
          </w:tcPr>
          <w:p w14:paraId="5A08EA1D">
            <w:pPr>
              <w:spacing w:line="24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耗氧量</w:t>
            </w:r>
          </w:p>
        </w:tc>
        <w:tc>
          <w:tcPr>
            <w:tcW w:w="2999" w:type="pct"/>
            <w:tcBorders>
              <w:tl2br w:val="nil"/>
              <w:tr2bl w:val="nil"/>
            </w:tcBorders>
            <w:noWrap w:val="0"/>
            <w:vAlign w:val="center"/>
          </w:tcPr>
          <w:p w14:paraId="5D6EDBE8">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GB 11892-1989水质 高锰酸盐指数的测定</w:t>
            </w:r>
          </w:p>
        </w:tc>
        <w:tc>
          <w:tcPr>
            <w:tcW w:w="1061" w:type="pct"/>
            <w:vMerge w:val="restart"/>
            <w:tcBorders>
              <w:tl2br w:val="nil"/>
              <w:tr2bl w:val="nil"/>
            </w:tcBorders>
            <w:noWrap w:val="0"/>
            <w:vAlign w:val="center"/>
          </w:tcPr>
          <w:p w14:paraId="1EE76B09">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w:t>
            </w:r>
          </w:p>
        </w:tc>
      </w:tr>
      <w:tr w14:paraId="7739B0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939" w:type="pct"/>
            <w:tcBorders>
              <w:tl2br w:val="nil"/>
              <w:tr2bl w:val="nil"/>
            </w:tcBorders>
            <w:noWrap w:val="0"/>
            <w:vAlign w:val="center"/>
          </w:tcPr>
          <w:p w14:paraId="0F9D105D">
            <w:pPr>
              <w:spacing w:line="24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氯化物</w:t>
            </w:r>
          </w:p>
        </w:tc>
        <w:tc>
          <w:tcPr>
            <w:tcW w:w="2999" w:type="pct"/>
            <w:tcBorders>
              <w:tl2br w:val="nil"/>
              <w:tr2bl w:val="nil"/>
            </w:tcBorders>
            <w:noWrap w:val="0"/>
            <w:vAlign w:val="center"/>
          </w:tcPr>
          <w:p w14:paraId="73C39689">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b w:val="0"/>
                <w:bCs/>
                <w:color w:val="auto"/>
                <w:kern w:val="0"/>
                <w:sz w:val="18"/>
                <w:szCs w:val="18"/>
                <w:vertAlign w:val="baseline"/>
                <w:lang w:val="en-US" w:eastAsia="zh-CN" w:bidi="ar-SA"/>
              </w:rPr>
              <w:t>GB 11896-89水质 氯化物的测定 硝酸银滴定法</w:t>
            </w:r>
          </w:p>
        </w:tc>
        <w:tc>
          <w:tcPr>
            <w:tcW w:w="1061" w:type="pct"/>
            <w:vMerge w:val="continue"/>
            <w:tcBorders>
              <w:tl2br w:val="nil"/>
              <w:tr2bl w:val="nil"/>
            </w:tcBorders>
            <w:noWrap w:val="0"/>
            <w:vAlign w:val="center"/>
          </w:tcPr>
          <w:p w14:paraId="3848CC53">
            <w:pPr>
              <w:jc w:val="center"/>
              <w:rPr>
                <w:rFonts w:hint="default" w:ascii="Times New Roman" w:hAnsi="Times New Roman" w:eastAsia="宋体" w:cs="Times New Roman"/>
                <w:color w:val="auto"/>
                <w:kern w:val="2"/>
                <w:sz w:val="18"/>
                <w:szCs w:val="18"/>
                <w:lang w:val="en-US" w:eastAsia="zh-CN" w:bidi="ar-SA"/>
              </w:rPr>
            </w:pPr>
          </w:p>
        </w:tc>
      </w:tr>
      <w:tr w14:paraId="17A90B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939" w:type="pct"/>
            <w:tcBorders>
              <w:tl2br w:val="nil"/>
              <w:tr2bl w:val="nil"/>
            </w:tcBorders>
            <w:noWrap w:val="0"/>
            <w:vAlign w:val="center"/>
          </w:tcPr>
          <w:p w14:paraId="11B0B5F7">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eastAsia="zh-CN"/>
              </w:rPr>
              <w:t>钙</w:t>
            </w:r>
          </w:p>
        </w:tc>
        <w:tc>
          <w:tcPr>
            <w:tcW w:w="2999" w:type="pct"/>
            <w:tcBorders>
              <w:tl2br w:val="nil"/>
              <w:tr2bl w:val="nil"/>
            </w:tcBorders>
            <w:noWrap w:val="0"/>
            <w:vAlign w:val="center"/>
          </w:tcPr>
          <w:p w14:paraId="583D04AA">
            <w:pPr>
              <w:jc w:val="center"/>
              <w:rPr>
                <w:rFonts w:hint="default" w:ascii="Times New Roman" w:hAnsi="Times New Roman" w:eastAsia="宋体" w:cs="Times New Roman"/>
                <w:b w:val="0"/>
                <w:bCs/>
                <w:color w:val="auto"/>
                <w:kern w:val="0"/>
                <w:sz w:val="18"/>
                <w:szCs w:val="18"/>
                <w:vertAlign w:val="baseline"/>
                <w:lang w:val="en-US" w:eastAsia="zh-CN" w:bidi="ar-SA"/>
              </w:rPr>
            </w:pPr>
            <w:r>
              <w:rPr>
                <w:rFonts w:hint="default" w:ascii="Times New Roman" w:hAnsi="Times New Roman" w:eastAsia="宋体" w:cs="Times New Roman"/>
                <w:b w:val="0"/>
                <w:bCs/>
                <w:color w:val="auto"/>
                <w:kern w:val="0"/>
                <w:sz w:val="18"/>
                <w:szCs w:val="18"/>
                <w:vertAlign w:val="baseline"/>
                <w:lang w:val="en-US" w:eastAsia="zh-CN" w:bidi="ar-SA"/>
              </w:rPr>
              <w:t>GB 7476-87水质 钙的测定 EDTA滴定法</w:t>
            </w:r>
          </w:p>
        </w:tc>
        <w:tc>
          <w:tcPr>
            <w:tcW w:w="1061" w:type="pct"/>
            <w:vMerge w:val="continue"/>
            <w:tcBorders>
              <w:tl2br w:val="nil"/>
              <w:tr2bl w:val="nil"/>
            </w:tcBorders>
            <w:noWrap w:val="0"/>
            <w:vAlign w:val="center"/>
          </w:tcPr>
          <w:p w14:paraId="38A6B2AC">
            <w:pPr>
              <w:jc w:val="center"/>
              <w:rPr>
                <w:rFonts w:hint="default" w:ascii="Times New Roman" w:hAnsi="Times New Roman" w:eastAsia="宋体" w:cs="Times New Roman"/>
                <w:color w:val="auto"/>
                <w:kern w:val="2"/>
                <w:sz w:val="18"/>
                <w:szCs w:val="18"/>
                <w:lang w:val="en-US" w:eastAsia="zh-CN" w:bidi="ar-SA"/>
              </w:rPr>
            </w:pPr>
          </w:p>
        </w:tc>
      </w:tr>
      <w:tr w14:paraId="403DEE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939" w:type="pct"/>
            <w:tcBorders>
              <w:tl2br w:val="nil"/>
              <w:tr2bl w:val="nil"/>
            </w:tcBorders>
            <w:noWrap w:val="0"/>
            <w:vAlign w:val="center"/>
          </w:tcPr>
          <w:p w14:paraId="04D0D315">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eastAsia="zh-CN"/>
              </w:rPr>
              <w:t>镁</w:t>
            </w:r>
          </w:p>
        </w:tc>
        <w:tc>
          <w:tcPr>
            <w:tcW w:w="2999" w:type="pct"/>
            <w:tcBorders>
              <w:tl2br w:val="nil"/>
              <w:tr2bl w:val="nil"/>
            </w:tcBorders>
            <w:noWrap w:val="0"/>
            <w:vAlign w:val="center"/>
          </w:tcPr>
          <w:p w14:paraId="28FB9F7B">
            <w:pPr>
              <w:jc w:val="center"/>
              <w:rPr>
                <w:rFonts w:hint="default" w:ascii="Times New Roman" w:hAnsi="Times New Roman" w:eastAsia="宋体" w:cs="Times New Roman"/>
                <w:b w:val="0"/>
                <w:bCs/>
                <w:color w:val="auto"/>
                <w:kern w:val="0"/>
                <w:sz w:val="18"/>
                <w:szCs w:val="18"/>
                <w:vertAlign w:val="baseline"/>
                <w:lang w:val="en-US" w:eastAsia="zh-CN" w:bidi="ar-SA"/>
              </w:rPr>
            </w:pPr>
            <w:r>
              <w:rPr>
                <w:rFonts w:hint="default" w:ascii="Times New Roman" w:hAnsi="Times New Roman" w:eastAsia="宋体" w:cs="Times New Roman"/>
                <w:b w:val="0"/>
                <w:bCs/>
                <w:color w:val="auto"/>
                <w:kern w:val="0"/>
                <w:sz w:val="18"/>
                <w:szCs w:val="18"/>
                <w:vertAlign w:val="baseline"/>
                <w:lang w:val="en-US" w:eastAsia="zh-CN" w:bidi="ar-SA"/>
              </w:rPr>
              <w:t>-</w:t>
            </w:r>
          </w:p>
        </w:tc>
        <w:tc>
          <w:tcPr>
            <w:tcW w:w="1061" w:type="pct"/>
            <w:vMerge w:val="continue"/>
            <w:tcBorders>
              <w:tl2br w:val="nil"/>
              <w:tr2bl w:val="nil"/>
            </w:tcBorders>
            <w:noWrap w:val="0"/>
            <w:vAlign w:val="center"/>
          </w:tcPr>
          <w:p w14:paraId="1B6C8B8C">
            <w:pPr>
              <w:jc w:val="center"/>
              <w:rPr>
                <w:rFonts w:hint="default" w:ascii="Times New Roman" w:hAnsi="Times New Roman" w:eastAsia="宋体" w:cs="Times New Roman"/>
                <w:color w:val="auto"/>
                <w:kern w:val="2"/>
                <w:sz w:val="18"/>
                <w:szCs w:val="18"/>
                <w:lang w:val="en-US" w:eastAsia="zh-CN" w:bidi="ar-SA"/>
              </w:rPr>
            </w:pPr>
          </w:p>
        </w:tc>
      </w:tr>
      <w:tr w14:paraId="6A86C8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939" w:type="pct"/>
            <w:tcBorders>
              <w:tl2br w:val="nil"/>
              <w:tr2bl w:val="nil"/>
            </w:tcBorders>
            <w:noWrap w:val="0"/>
            <w:vAlign w:val="center"/>
          </w:tcPr>
          <w:p w14:paraId="2B26926C">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eastAsia="zh-CN"/>
              </w:rPr>
              <w:t>碳酸盐</w:t>
            </w:r>
          </w:p>
        </w:tc>
        <w:tc>
          <w:tcPr>
            <w:tcW w:w="2999" w:type="pct"/>
            <w:vMerge w:val="restart"/>
            <w:tcBorders>
              <w:tl2br w:val="nil"/>
              <w:tr2bl w:val="nil"/>
            </w:tcBorders>
            <w:noWrap w:val="0"/>
            <w:vAlign w:val="center"/>
          </w:tcPr>
          <w:p w14:paraId="0D46000D">
            <w:pPr>
              <w:jc w:val="center"/>
              <w:rPr>
                <w:rFonts w:hint="default" w:ascii="Times New Roman" w:hAnsi="Times New Roman" w:eastAsia="宋体" w:cs="Times New Roman"/>
                <w:b w:val="0"/>
                <w:bCs/>
                <w:color w:val="auto"/>
                <w:kern w:val="0"/>
                <w:sz w:val="18"/>
                <w:szCs w:val="18"/>
                <w:vertAlign w:val="baseline"/>
                <w:lang w:val="en-US" w:eastAsia="zh-CN" w:bidi="ar-SA"/>
              </w:rPr>
            </w:pPr>
            <w:r>
              <w:rPr>
                <w:rFonts w:hint="default" w:ascii="Times New Roman" w:hAnsi="Times New Roman" w:eastAsia="宋体" w:cs="Times New Roman"/>
                <w:b w:val="0"/>
                <w:bCs/>
                <w:color w:val="auto"/>
                <w:kern w:val="0"/>
                <w:sz w:val="18"/>
                <w:szCs w:val="18"/>
                <w:vertAlign w:val="baseline"/>
                <w:lang w:val="en-US" w:eastAsia="zh-CN" w:bidi="ar-SA"/>
              </w:rPr>
              <w:t>DZ/T 0064.49-2021地下水质分析方法 第49部分：碳酸根、重碳酸根和氢氧根离子的测定 滴定法</w:t>
            </w:r>
          </w:p>
        </w:tc>
        <w:tc>
          <w:tcPr>
            <w:tcW w:w="1061" w:type="pct"/>
            <w:vMerge w:val="continue"/>
            <w:tcBorders>
              <w:tl2br w:val="nil"/>
              <w:tr2bl w:val="nil"/>
            </w:tcBorders>
            <w:noWrap w:val="0"/>
            <w:vAlign w:val="center"/>
          </w:tcPr>
          <w:p w14:paraId="7ECCDCB9">
            <w:pPr>
              <w:jc w:val="center"/>
              <w:rPr>
                <w:rFonts w:hint="default" w:ascii="Times New Roman" w:hAnsi="Times New Roman" w:eastAsia="宋体" w:cs="Times New Roman"/>
                <w:color w:val="auto"/>
                <w:kern w:val="2"/>
                <w:sz w:val="18"/>
                <w:szCs w:val="18"/>
                <w:lang w:val="en-US" w:eastAsia="zh-CN" w:bidi="ar-SA"/>
              </w:rPr>
            </w:pPr>
          </w:p>
        </w:tc>
      </w:tr>
      <w:tr w14:paraId="6A5B47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939" w:type="pct"/>
            <w:tcBorders>
              <w:tl2br w:val="nil"/>
              <w:tr2bl w:val="nil"/>
            </w:tcBorders>
            <w:noWrap w:val="0"/>
            <w:vAlign w:val="center"/>
          </w:tcPr>
          <w:p w14:paraId="2CFC9F1C">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eastAsia="zh-CN"/>
              </w:rPr>
              <w:t>重碳酸盐</w:t>
            </w:r>
          </w:p>
        </w:tc>
        <w:tc>
          <w:tcPr>
            <w:tcW w:w="2999" w:type="pct"/>
            <w:vMerge w:val="continue"/>
            <w:tcBorders>
              <w:tl2br w:val="nil"/>
              <w:tr2bl w:val="nil"/>
            </w:tcBorders>
            <w:noWrap w:val="0"/>
            <w:vAlign w:val="center"/>
          </w:tcPr>
          <w:p w14:paraId="23A24412">
            <w:pPr>
              <w:jc w:val="center"/>
              <w:rPr>
                <w:rFonts w:hint="default" w:ascii="Times New Roman" w:hAnsi="Times New Roman" w:eastAsia="宋体" w:cs="Times New Roman"/>
                <w:b w:val="0"/>
                <w:bCs/>
                <w:color w:val="auto"/>
                <w:kern w:val="0"/>
                <w:sz w:val="18"/>
                <w:szCs w:val="18"/>
                <w:vertAlign w:val="baseline"/>
                <w:lang w:val="en-US" w:eastAsia="zh-CN" w:bidi="ar-SA"/>
              </w:rPr>
            </w:pPr>
          </w:p>
        </w:tc>
        <w:tc>
          <w:tcPr>
            <w:tcW w:w="1061" w:type="pct"/>
            <w:vMerge w:val="continue"/>
            <w:tcBorders>
              <w:tl2br w:val="nil"/>
              <w:tr2bl w:val="nil"/>
            </w:tcBorders>
            <w:noWrap w:val="0"/>
            <w:vAlign w:val="center"/>
          </w:tcPr>
          <w:p w14:paraId="478C7DB5">
            <w:pPr>
              <w:jc w:val="center"/>
              <w:rPr>
                <w:rFonts w:hint="default" w:ascii="Times New Roman" w:hAnsi="Times New Roman" w:eastAsia="宋体" w:cs="Times New Roman"/>
                <w:color w:val="auto"/>
                <w:kern w:val="2"/>
                <w:sz w:val="18"/>
                <w:szCs w:val="18"/>
                <w:lang w:val="en-US" w:eastAsia="zh-CN" w:bidi="ar-SA"/>
              </w:rPr>
            </w:pPr>
          </w:p>
        </w:tc>
      </w:tr>
      <w:tr w14:paraId="07DD51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939" w:type="pct"/>
            <w:tcBorders>
              <w:tl2br w:val="nil"/>
              <w:tr2bl w:val="nil"/>
            </w:tcBorders>
            <w:noWrap w:val="0"/>
            <w:vAlign w:val="center"/>
          </w:tcPr>
          <w:p w14:paraId="1533BD9D">
            <w:pPr>
              <w:spacing w:line="24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总大肠菌群</w:t>
            </w:r>
          </w:p>
        </w:tc>
        <w:tc>
          <w:tcPr>
            <w:tcW w:w="2999" w:type="pct"/>
            <w:tcBorders>
              <w:tl2br w:val="nil"/>
              <w:tr2bl w:val="nil"/>
            </w:tcBorders>
            <w:noWrap w:val="0"/>
            <w:vAlign w:val="center"/>
          </w:tcPr>
          <w:p w14:paraId="224F1E92">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GB/T</w:t>
            </w:r>
            <w:r>
              <w:rPr>
                <w:rFonts w:hint="default" w:ascii="Times New Roman" w:hAnsi="Times New Roman" w:eastAsia="宋体" w:cs="Times New Roman"/>
                <w:color w:val="auto"/>
                <w:sz w:val="18"/>
                <w:szCs w:val="18"/>
                <w:lang w:val="en-US" w:eastAsia="zh-CN"/>
              </w:rPr>
              <w:t xml:space="preserve"> </w:t>
            </w:r>
            <w:r>
              <w:rPr>
                <w:rFonts w:hint="default" w:ascii="Times New Roman" w:hAnsi="Times New Roman" w:eastAsia="宋体" w:cs="Times New Roman"/>
                <w:color w:val="auto"/>
                <w:sz w:val="18"/>
                <w:szCs w:val="18"/>
              </w:rPr>
              <w:t>5750.12-</w:t>
            </w:r>
            <w:r>
              <w:rPr>
                <w:rFonts w:hint="default" w:ascii="Times New Roman" w:hAnsi="Times New Roman" w:eastAsia="宋体" w:cs="Times New Roman"/>
                <w:color w:val="auto"/>
                <w:sz w:val="18"/>
                <w:szCs w:val="18"/>
                <w:lang w:val="en-US" w:eastAsia="zh-CN"/>
              </w:rPr>
              <w:t>2023生活饮用水标准检验方法 第12部分：微生物指标 5.1 多管发酵法</w:t>
            </w:r>
          </w:p>
        </w:tc>
        <w:tc>
          <w:tcPr>
            <w:tcW w:w="1061" w:type="pct"/>
            <w:vMerge w:val="restart"/>
            <w:tcBorders>
              <w:tl2br w:val="nil"/>
              <w:tr2bl w:val="nil"/>
            </w:tcBorders>
            <w:noWrap w:val="0"/>
            <w:vAlign w:val="center"/>
          </w:tcPr>
          <w:p w14:paraId="7E254023">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SPX-150B生化（霉菌）培养箱XJZC05</w:t>
            </w:r>
          </w:p>
        </w:tc>
      </w:tr>
      <w:tr w14:paraId="011B3E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939" w:type="pct"/>
            <w:tcBorders>
              <w:tl2br w:val="nil"/>
              <w:tr2bl w:val="nil"/>
            </w:tcBorders>
            <w:noWrap w:val="0"/>
            <w:vAlign w:val="center"/>
          </w:tcPr>
          <w:p w14:paraId="31F0FA3F">
            <w:pPr>
              <w:spacing w:line="24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细菌总数</w:t>
            </w:r>
          </w:p>
        </w:tc>
        <w:tc>
          <w:tcPr>
            <w:tcW w:w="2999" w:type="pct"/>
            <w:tcBorders>
              <w:tl2br w:val="nil"/>
              <w:tr2bl w:val="nil"/>
            </w:tcBorders>
            <w:noWrap w:val="0"/>
            <w:vAlign w:val="center"/>
          </w:tcPr>
          <w:p w14:paraId="0B9FA6CD">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GB/T</w:t>
            </w:r>
            <w:r>
              <w:rPr>
                <w:rFonts w:hint="default" w:ascii="Times New Roman" w:hAnsi="Times New Roman" w:eastAsia="宋体" w:cs="Times New Roman"/>
                <w:color w:val="auto"/>
                <w:sz w:val="18"/>
                <w:szCs w:val="18"/>
                <w:lang w:val="en-US" w:eastAsia="zh-CN"/>
              </w:rPr>
              <w:t xml:space="preserve"> </w:t>
            </w:r>
            <w:r>
              <w:rPr>
                <w:rFonts w:hint="default" w:ascii="Times New Roman" w:hAnsi="Times New Roman" w:eastAsia="宋体" w:cs="Times New Roman"/>
                <w:color w:val="auto"/>
                <w:sz w:val="18"/>
                <w:szCs w:val="18"/>
              </w:rPr>
              <w:t>5750.12-</w:t>
            </w:r>
            <w:r>
              <w:rPr>
                <w:rFonts w:hint="default" w:ascii="Times New Roman" w:hAnsi="Times New Roman" w:eastAsia="宋体" w:cs="Times New Roman"/>
                <w:color w:val="auto"/>
                <w:sz w:val="18"/>
                <w:szCs w:val="18"/>
                <w:lang w:val="en-US" w:eastAsia="zh-CN"/>
              </w:rPr>
              <w:t>2023生活饮用水标准检验方法 第12部分：微生物指标 4.1 平皿计数法</w:t>
            </w:r>
          </w:p>
        </w:tc>
        <w:tc>
          <w:tcPr>
            <w:tcW w:w="1061" w:type="pct"/>
            <w:vMerge w:val="continue"/>
            <w:tcBorders>
              <w:tl2br w:val="nil"/>
              <w:tr2bl w:val="nil"/>
            </w:tcBorders>
            <w:noWrap w:val="0"/>
            <w:vAlign w:val="center"/>
          </w:tcPr>
          <w:p w14:paraId="3DB59AFE">
            <w:pPr>
              <w:jc w:val="center"/>
              <w:rPr>
                <w:rFonts w:hint="default" w:ascii="Times New Roman" w:hAnsi="Times New Roman" w:eastAsia="宋体" w:cs="Times New Roman"/>
                <w:color w:val="auto"/>
                <w:kern w:val="2"/>
                <w:sz w:val="18"/>
                <w:szCs w:val="18"/>
                <w:lang w:val="en-US" w:eastAsia="zh-CN" w:bidi="ar-SA"/>
              </w:rPr>
            </w:pPr>
          </w:p>
        </w:tc>
      </w:tr>
      <w:tr w14:paraId="2E9E3A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939" w:type="pct"/>
            <w:tcBorders>
              <w:tl2br w:val="nil"/>
              <w:tr2bl w:val="nil"/>
            </w:tcBorders>
            <w:noWrap w:val="0"/>
            <w:vAlign w:val="center"/>
          </w:tcPr>
          <w:p w14:paraId="06BB745B">
            <w:pPr>
              <w:spacing w:line="24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氨氮</w:t>
            </w:r>
          </w:p>
        </w:tc>
        <w:tc>
          <w:tcPr>
            <w:tcW w:w="2999" w:type="pct"/>
            <w:tcBorders>
              <w:tl2br w:val="nil"/>
              <w:tr2bl w:val="nil"/>
            </w:tcBorders>
            <w:noWrap w:val="0"/>
            <w:vAlign w:val="center"/>
          </w:tcPr>
          <w:p w14:paraId="30B94236">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HJ 535-2009水质 氨氮的测定 纳氏试剂分光光度法</w:t>
            </w:r>
          </w:p>
        </w:tc>
        <w:tc>
          <w:tcPr>
            <w:tcW w:w="1061" w:type="pct"/>
            <w:tcBorders>
              <w:tl2br w:val="nil"/>
              <w:tr2bl w:val="nil"/>
            </w:tcBorders>
            <w:noWrap w:val="0"/>
            <w:vAlign w:val="center"/>
          </w:tcPr>
          <w:p w14:paraId="320334A9">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UV1801紫外可见分光光度计XJZC130</w:t>
            </w:r>
          </w:p>
        </w:tc>
      </w:tr>
      <w:tr w14:paraId="5EB969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939" w:type="pct"/>
            <w:tcBorders>
              <w:tl2br w:val="nil"/>
              <w:tr2bl w:val="nil"/>
            </w:tcBorders>
            <w:noWrap w:val="0"/>
            <w:vAlign w:val="center"/>
          </w:tcPr>
          <w:p w14:paraId="4D7C8746">
            <w:pPr>
              <w:spacing w:line="24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硝酸盐</w:t>
            </w:r>
            <w:r>
              <w:rPr>
                <w:rFonts w:hint="default" w:ascii="Times New Roman" w:hAnsi="Times New Roman" w:eastAsia="宋体" w:cs="Times New Roman"/>
                <w:color w:val="auto"/>
                <w:sz w:val="18"/>
                <w:szCs w:val="18"/>
                <w:lang w:eastAsia="zh-CN"/>
              </w:rPr>
              <w:t>氮</w:t>
            </w:r>
          </w:p>
        </w:tc>
        <w:tc>
          <w:tcPr>
            <w:tcW w:w="2999" w:type="pct"/>
            <w:tcBorders>
              <w:tl2br w:val="nil"/>
              <w:tr2bl w:val="nil"/>
            </w:tcBorders>
            <w:noWrap w:val="0"/>
            <w:vAlign w:val="center"/>
          </w:tcPr>
          <w:p w14:paraId="4A0D14F6">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GB</w:t>
            </w:r>
            <w:r>
              <w:rPr>
                <w:rFonts w:hint="default" w:ascii="Times New Roman" w:hAnsi="Times New Roman" w:eastAsia="宋体" w:cs="Times New Roman"/>
                <w:color w:val="auto"/>
                <w:sz w:val="18"/>
                <w:szCs w:val="18"/>
                <w:lang w:val="en-US" w:eastAsia="zh-CN"/>
              </w:rPr>
              <w:t xml:space="preserve"> </w:t>
            </w:r>
            <w:r>
              <w:rPr>
                <w:rFonts w:hint="default" w:ascii="Times New Roman" w:hAnsi="Times New Roman" w:eastAsia="宋体" w:cs="Times New Roman"/>
                <w:color w:val="auto"/>
                <w:sz w:val="18"/>
                <w:szCs w:val="18"/>
              </w:rPr>
              <w:t>7480-1987水质 硝酸盐氮的测定 酚二磺酸分光光度法</w:t>
            </w:r>
          </w:p>
        </w:tc>
        <w:tc>
          <w:tcPr>
            <w:tcW w:w="1061" w:type="pct"/>
            <w:vMerge w:val="restart"/>
            <w:tcBorders>
              <w:tl2br w:val="nil"/>
              <w:tr2bl w:val="nil"/>
            </w:tcBorders>
            <w:noWrap w:val="0"/>
            <w:vAlign w:val="center"/>
          </w:tcPr>
          <w:p w14:paraId="7FBB4275">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721G</w:t>
            </w:r>
            <w:r>
              <w:rPr>
                <w:rFonts w:hint="default" w:ascii="Times New Roman" w:hAnsi="Times New Roman" w:eastAsia="宋体" w:cs="Times New Roman"/>
                <w:color w:val="auto"/>
                <w:sz w:val="18"/>
                <w:szCs w:val="18"/>
                <w:lang w:eastAsia="zh-CN"/>
              </w:rPr>
              <w:t>可见</w:t>
            </w:r>
            <w:r>
              <w:rPr>
                <w:rFonts w:hint="default" w:ascii="Times New Roman" w:hAnsi="Times New Roman" w:eastAsia="宋体" w:cs="Times New Roman"/>
                <w:color w:val="auto"/>
                <w:sz w:val="18"/>
                <w:szCs w:val="18"/>
              </w:rPr>
              <w:t>分光光度计</w:t>
            </w:r>
            <w:r>
              <w:rPr>
                <w:rFonts w:hint="default" w:ascii="Times New Roman" w:hAnsi="Times New Roman" w:eastAsia="宋体" w:cs="Times New Roman"/>
                <w:color w:val="auto"/>
                <w:sz w:val="18"/>
                <w:szCs w:val="18"/>
                <w:lang w:val="en-US" w:eastAsia="zh-CN"/>
              </w:rPr>
              <w:t>XJZC116</w:t>
            </w:r>
          </w:p>
        </w:tc>
      </w:tr>
      <w:tr w14:paraId="1EA345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939" w:type="pct"/>
            <w:tcBorders>
              <w:tl2br w:val="nil"/>
              <w:tr2bl w:val="nil"/>
            </w:tcBorders>
            <w:noWrap w:val="0"/>
            <w:vAlign w:val="center"/>
          </w:tcPr>
          <w:p w14:paraId="3DF6605B">
            <w:pPr>
              <w:spacing w:line="24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亚硝酸盐</w:t>
            </w:r>
            <w:r>
              <w:rPr>
                <w:rFonts w:hint="default" w:ascii="Times New Roman" w:hAnsi="Times New Roman" w:eastAsia="宋体" w:cs="Times New Roman"/>
                <w:color w:val="auto"/>
                <w:sz w:val="18"/>
                <w:szCs w:val="18"/>
                <w:lang w:eastAsia="zh-CN"/>
              </w:rPr>
              <w:t>氮</w:t>
            </w:r>
          </w:p>
        </w:tc>
        <w:tc>
          <w:tcPr>
            <w:tcW w:w="2999" w:type="pct"/>
            <w:tcBorders>
              <w:tl2br w:val="nil"/>
              <w:tr2bl w:val="nil"/>
            </w:tcBorders>
            <w:noWrap w:val="0"/>
            <w:vAlign w:val="center"/>
          </w:tcPr>
          <w:p w14:paraId="06F87688">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GB</w:t>
            </w:r>
            <w:r>
              <w:rPr>
                <w:rFonts w:hint="default" w:ascii="Times New Roman" w:hAnsi="Times New Roman" w:eastAsia="宋体" w:cs="Times New Roman"/>
                <w:color w:val="auto"/>
                <w:sz w:val="18"/>
                <w:szCs w:val="18"/>
                <w:lang w:val="en-US" w:eastAsia="zh-CN"/>
              </w:rPr>
              <w:t xml:space="preserve"> </w:t>
            </w:r>
            <w:r>
              <w:rPr>
                <w:rFonts w:hint="default" w:ascii="Times New Roman" w:hAnsi="Times New Roman" w:eastAsia="宋体" w:cs="Times New Roman"/>
                <w:color w:val="auto"/>
                <w:sz w:val="18"/>
                <w:szCs w:val="18"/>
              </w:rPr>
              <w:t>7493-1987水质 亚硝酸盐氮的测定 分光光度法</w:t>
            </w:r>
          </w:p>
        </w:tc>
        <w:tc>
          <w:tcPr>
            <w:tcW w:w="1061" w:type="pct"/>
            <w:vMerge w:val="continue"/>
            <w:tcBorders>
              <w:tl2br w:val="nil"/>
              <w:tr2bl w:val="nil"/>
            </w:tcBorders>
            <w:noWrap w:val="0"/>
            <w:vAlign w:val="center"/>
          </w:tcPr>
          <w:p w14:paraId="2CC3F89B">
            <w:pPr>
              <w:jc w:val="center"/>
              <w:rPr>
                <w:rFonts w:hint="default" w:ascii="Times New Roman" w:hAnsi="Times New Roman" w:eastAsia="宋体" w:cs="Times New Roman"/>
                <w:color w:val="auto"/>
                <w:sz w:val="18"/>
                <w:szCs w:val="18"/>
              </w:rPr>
            </w:pPr>
          </w:p>
        </w:tc>
      </w:tr>
      <w:tr w14:paraId="1BA347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939" w:type="pct"/>
            <w:tcBorders>
              <w:tl2br w:val="nil"/>
              <w:tr2bl w:val="nil"/>
            </w:tcBorders>
            <w:noWrap w:val="0"/>
            <w:vAlign w:val="center"/>
          </w:tcPr>
          <w:p w14:paraId="3C5DE2B6">
            <w:pPr>
              <w:spacing w:line="240" w:lineRule="atLeast"/>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挥发酚</w:t>
            </w:r>
          </w:p>
        </w:tc>
        <w:tc>
          <w:tcPr>
            <w:tcW w:w="2999" w:type="pct"/>
            <w:tcBorders>
              <w:tl2br w:val="nil"/>
              <w:tr2bl w:val="nil"/>
            </w:tcBorders>
            <w:noWrap w:val="0"/>
            <w:vAlign w:val="center"/>
          </w:tcPr>
          <w:p w14:paraId="5DF49DE7">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HJ 503-2009水质 挥发酚的测定 4-氨基安替比林分光光度法</w:t>
            </w:r>
          </w:p>
        </w:tc>
        <w:tc>
          <w:tcPr>
            <w:tcW w:w="1061" w:type="pct"/>
            <w:vMerge w:val="continue"/>
            <w:tcBorders>
              <w:tl2br w:val="nil"/>
              <w:tr2bl w:val="nil"/>
            </w:tcBorders>
            <w:noWrap w:val="0"/>
            <w:vAlign w:val="center"/>
          </w:tcPr>
          <w:p w14:paraId="09FC5726">
            <w:pPr>
              <w:jc w:val="center"/>
              <w:rPr>
                <w:rFonts w:hint="default" w:ascii="Times New Roman" w:hAnsi="Times New Roman" w:eastAsia="宋体" w:cs="Times New Roman"/>
                <w:color w:val="auto"/>
                <w:sz w:val="18"/>
                <w:szCs w:val="18"/>
                <w:lang w:val="en-US" w:eastAsia="zh-CN"/>
              </w:rPr>
            </w:pPr>
          </w:p>
        </w:tc>
      </w:tr>
      <w:tr w14:paraId="5190C4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939" w:type="pct"/>
            <w:tcBorders>
              <w:tl2br w:val="nil"/>
              <w:tr2bl w:val="nil"/>
            </w:tcBorders>
            <w:noWrap w:val="0"/>
            <w:vAlign w:val="center"/>
          </w:tcPr>
          <w:p w14:paraId="3574E5D3">
            <w:pPr>
              <w:spacing w:line="36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氰化物</w:t>
            </w:r>
          </w:p>
        </w:tc>
        <w:tc>
          <w:tcPr>
            <w:tcW w:w="2999" w:type="pct"/>
            <w:tcBorders>
              <w:tl2br w:val="nil"/>
              <w:tr2bl w:val="nil"/>
            </w:tcBorders>
            <w:noWrap w:val="0"/>
            <w:vAlign w:val="center"/>
          </w:tcPr>
          <w:p w14:paraId="521F4255">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GB/T</w:t>
            </w:r>
            <w:r>
              <w:rPr>
                <w:rFonts w:hint="default" w:ascii="Times New Roman" w:hAnsi="Times New Roman" w:eastAsia="宋体" w:cs="Times New Roman"/>
                <w:color w:val="auto"/>
                <w:sz w:val="18"/>
                <w:szCs w:val="18"/>
                <w:lang w:val="en-US" w:eastAsia="zh-CN"/>
              </w:rPr>
              <w:t xml:space="preserve"> </w:t>
            </w:r>
            <w:r>
              <w:rPr>
                <w:rFonts w:hint="default" w:ascii="Times New Roman" w:hAnsi="Times New Roman" w:eastAsia="宋体" w:cs="Times New Roman"/>
                <w:color w:val="auto"/>
                <w:sz w:val="18"/>
                <w:szCs w:val="18"/>
              </w:rPr>
              <w:t>5750.5-</w:t>
            </w:r>
            <w:r>
              <w:rPr>
                <w:rFonts w:hint="default" w:ascii="Times New Roman" w:hAnsi="Times New Roman" w:eastAsia="宋体" w:cs="Times New Roman"/>
                <w:color w:val="auto"/>
                <w:sz w:val="18"/>
                <w:szCs w:val="18"/>
                <w:lang w:val="en-US" w:eastAsia="zh-CN"/>
              </w:rPr>
              <w:t>2023生活饮用水标准检验方法 第5部分：无机非金属指标7.2 异烟酸-巴比妥酸分光光度法</w:t>
            </w:r>
          </w:p>
        </w:tc>
        <w:tc>
          <w:tcPr>
            <w:tcW w:w="1061" w:type="pct"/>
            <w:vMerge w:val="continue"/>
            <w:tcBorders>
              <w:tl2br w:val="nil"/>
              <w:tr2bl w:val="nil"/>
            </w:tcBorders>
            <w:noWrap w:val="0"/>
            <w:vAlign w:val="center"/>
          </w:tcPr>
          <w:p w14:paraId="7C2E2396">
            <w:pPr>
              <w:jc w:val="center"/>
              <w:rPr>
                <w:rFonts w:hint="default" w:ascii="Times New Roman" w:hAnsi="Times New Roman" w:eastAsia="宋体" w:cs="Times New Roman"/>
                <w:color w:val="auto"/>
                <w:kern w:val="2"/>
                <w:sz w:val="18"/>
                <w:szCs w:val="18"/>
                <w:lang w:val="en-US" w:eastAsia="zh-CN" w:bidi="ar-SA"/>
              </w:rPr>
            </w:pPr>
          </w:p>
        </w:tc>
      </w:tr>
      <w:tr w14:paraId="088ED3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939" w:type="pct"/>
            <w:tcBorders>
              <w:tl2br w:val="nil"/>
              <w:tr2bl w:val="nil"/>
            </w:tcBorders>
            <w:noWrap w:val="0"/>
            <w:vAlign w:val="center"/>
          </w:tcPr>
          <w:p w14:paraId="672831FF">
            <w:pPr>
              <w:spacing w:line="24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六价铬</w:t>
            </w:r>
          </w:p>
        </w:tc>
        <w:tc>
          <w:tcPr>
            <w:tcW w:w="2999" w:type="pct"/>
            <w:tcBorders>
              <w:tl2br w:val="nil"/>
              <w:tr2bl w:val="nil"/>
            </w:tcBorders>
            <w:noWrap w:val="0"/>
            <w:vAlign w:val="center"/>
          </w:tcPr>
          <w:p w14:paraId="35621A39">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GB/T</w:t>
            </w:r>
            <w:r>
              <w:rPr>
                <w:rFonts w:hint="default" w:ascii="Times New Roman" w:hAnsi="Times New Roman" w:eastAsia="宋体" w:cs="Times New Roman"/>
                <w:color w:val="auto"/>
                <w:sz w:val="18"/>
                <w:szCs w:val="18"/>
                <w:lang w:val="en-US" w:eastAsia="zh-CN"/>
              </w:rPr>
              <w:t xml:space="preserve"> </w:t>
            </w:r>
            <w:r>
              <w:rPr>
                <w:rFonts w:hint="default" w:ascii="Times New Roman" w:hAnsi="Times New Roman" w:eastAsia="宋体" w:cs="Times New Roman"/>
                <w:color w:val="auto"/>
                <w:sz w:val="18"/>
                <w:szCs w:val="18"/>
              </w:rPr>
              <w:t>5750.6-</w:t>
            </w:r>
            <w:r>
              <w:rPr>
                <w:rFonts w:hint="default" w:ascii="Times New Roman" w:hAnsi="Times New Roman" w:eastAsia="宋体" w:cs="Times New Roman"/>
                <w:color w:val="auto"/>
                <w:sz w:val="18"/>
                <w:szCs w:val="18"/>
                <w:lang w:val="en-US" w:eastAsia="zh-CN"/>
              </w:rPr>
              <w:t>2023生活饮用水标准检验方法 第6部分：金属和类金属指标13.1 二苯碳酰二肼分光光度法</w:t>
            </w:r>
          </w:p>
        </w:tc>
        <w:tc>
          <w:tcPr>
            <w:tcW w:w="1061" w:type="pct"/>
            <w:vMerge w:val="continue"/>
            <w:tcBorders>
              <w:tl2br w:val="nil"/>
              <w:tr2bl w:val="nil"/>
            </w:tcBorders>
            <w:noWrap w:val="0"/>
            <w:vAlign w:val="center"/>
          </w:tcPr>
          <w:p w14:paraId="77AF6C66">
            <w:pPr>
              <w:jc w:val="center"/>
              <w:rPr>
                <w:rFonts w:hint="default" w:ascii="Times New Roman" w:hAnsi="Times New Roman" w:eastAsia="宋体" w:cs="Times New Roman"/>
                <w:color w:val="auto"/>
                <w:sz w:val="18"/>
                <w:szCs w:val="18"/>
                <w:lang w:val="en-US" w:eastAsia="zh-CN"/>
              </w:rPr>
            </w:pPr>
          </w:p>
        </w:tc>
      </w:tr>
      <w:tr w14:paraId="231DEB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939" w:type="pct"/>
            <w:tcBorders>
              <w:tl2br w:val="nil"/>
              <w:tr2bl w:val="nil"/>
            </w:tcBorders>
            <w:noWrap w:val="0"/>
            <w:vAlign w:val="center"/>
          </w:tcPr>
          <w:p w14:paraId="7E970A89">
            <w:pPr>
              <w:spacing w:line="24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硫酸盐</w:t>
            </w:r>
          </w:p>
        </w:tc>
        <w:tc>
          <w:tcPr>
            <w:tcW w:w="2999" w:type="pct"/>
            <w:tcBorders>
              <w:tl2br w:val="nil"/>
              <w:tr2bl w:val="nil"/>
            </w:tcBorders>
            <w:noWrap w:val="0"/>
            <w:vAlign w:val="center"/>
          </w:tcPr>
          <w:p w14:paraId="7D7621EE">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HJ/T 342-2007水质 硫酸盐的测定 铬酸钡分光光度法</w:t>
            </w:r>
            <w:r>
              <w:rPr>
                <w:rFonts w:hint="eastAsia" w:cs="Times New Roman"/>
                <w:color w:val="auto"/>
                <w:kern w:val="2"/>
                <w:sz w:val="18"/>
                <w:szCs w:val="18"/>
                <w:lang w:val="en-US" w:eastAsia="zh-CN" w:bidi="ar-SA"/>
              </w:rPr>
              <w:t>（</w:t>
            </w:r>
            <w:r>
              <w:rPr>
                <w:rFonts w:hint="default" w:ascii="Times New Roman" w:hAnsi="Times New Roman" w:eastAsia="宋体" w:cs="Times New Roman"/>
                <w:color w:val="auto"/>
                <w:kern w:val="2"/>
                <w:sz w:val="18"/>
                <w:szCs w:val="18"/>
                <w:lang w:val="en-US" w:eastAsia="zh-CN" w:bidi="ar-SA"/>
              </w:rPr>
              <w:t>试行</w:t>
            </w:r>
            <w:r>
              <w:rPr>
                <w:rFonts w:hint="eastAsia" w:cs="Times New Roman"/>
                <w:color w:val="auto"/>
                <w:kern w:val="2"/>
                <w:sz w:val="18"/>
                <w:szCs w:val="18"/>
                <w:lang w:val="en-US" w:eastAsia="zh-CN" w:bidi="ar-SA"/>
              </w:rPr>
              <w:t>）</w:t>
            </w:r>
          </w:p>
        </w:tc>
        <w:tc>
          <w:tcPr>
            <w:tcW w:w="1061" w:type="pct"/>
            <w:vMerge w:val="continue"/>
            <w:tcBorders>
              <w:tl2br w:val="nil"/>
              <w:tr2bl w:val="nil"/>
            </w:tcBorders>
            <w:noWrap w:val="0"/>
            <w:vAlign w:val="center"/>
          </w:tcPr>
          <w:p w14:paraId="224567A7">
            <w:pPr>
              <w:jc w:val="center"/>
              <w:rPr>
                <w:rFonts w:hint="default" w:ascii="Times New Roman" w:hAnsi="Times New Roman" w:eastAsia="宋体" w:cs="Times New Roman"/>
                <w:color w:val="auto"/>
                <w:kern w:val="2"/>
                <w:sz w:val="18"/>
                <w:szCs w:val="18"/>
                <w:lang w:val="en-US" w:eastAsia="zh-CN" w:bidi="ar-SA"/>
              </w:rPr>
            </w:pPr>
          </w:p>
        </w:tc>
      </w:tr>
      <w:tr w14:paraId="460F66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939" w:type="pct"/>
            <w:tcBorders>
              <w:tl2br w:val="nil"/>
              <w:tr2bl w:val="nil"/>
            </w:tcBorders>
            <w:noWrap w:val="0"/>
            <w:vAlign w:val="center"/>
          </w:tcPr>
          <w:p w14:paraId="7B287C94">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氟化物</w:t>
            </w:r>
          </w:p>
        </w:tc>
        <w:tc>
          <w:tcPr>
            <w:tcW w:w="2999" w:type="pct"/>
            <w:tcBorders>
              <w:tl2br w:val="nil"/>
              <w:tr2bl w:val="nil"/>
            </w:tcBorders>
            <w:noWrap w:val="0"/>
            <w:vAlign w:val="center"/>
          </w:tcPr>
          <w:p w14:paraId="06B60A61">
            <w:pPr>
              <w:jc w:val="center"/>
              <w:rPr>
                <w:rFonts w:hint="default" w:ascii="Times New Roman" w:hAnsi="Times New Roman" w:eastAsia="宋体" w:cs="Times New Roman"/>
                <w:b w:val="0"/>
                <w:bCs/>
                <w:color w:val="auto"/>
                <w:kern w:val="0"/>
                <w:sz w:val="18"/>
                <w:szCs w:val="18"/>
                <w:vertAlign w:val="baseline"/>
                <w:lang w:val="en-US" w:eastAsia="zh-CN" w:bidi="ar-SA"/>
              </w:rPr>
            </w:pPr>
            <w:r>
              <w:rPr>
                <w:rFonts w:hint="default" w:ascii="Times New Roman" w:hAnsi="Times New Roman" w:eastAsia="宋体" w:cs="Times New Roman"/>
                <w:b w:val="0"/>
                <w:bCs/>
                <w:color w:val="auto"/>
                <w:kern w:val="0"/>
                <w:sz w:val="18"/>
                <w:szCs w:val="18"/>
                <w:vertAlign w:val="baseline"/>
                <w:lang w:val="en-US" w:eastAsia="zh-CN"/>
              </w:rPr>
              <w:t>HJ 488-2009水质 氟化物的测定 氟试剂分光光度法</w:t>
            </w:r>
          </w:p>
        </w:tc>
        <w:tc>
          <w:tcPr>
            <w:tcW w:w="1061" w:type="pct"/>
            <w:vMerge w:val="restart"/>
            <w:tcBorders>
              <w:tl2br w:val="nil"/>
              <w:tr2bl w:val="nil"/>
            </w:tcBorders>
            <w:noWrap w:val="0"/>
            <w:vAlign w:val="center"/>
          </w:tcPr>
          <w:p w14:paraId="19CBC114">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721G</w:t>
            </w:r>
            <w:r>
              <w:rPr>
                <w:rFonts w:hint="default" w:ascii="Times New Roman" w:hAnsi="Times New Roman" w:eastAsia="宋体" w:cs="Times New Roman"/>
                <w:color w:val="auto"/>
                <w:sz w:val="18"/>
                <w:szCs w:val="18"/>
                <w:lang w:eastAsia="zh-CN"/>
              </w:rPr>
              <w:t>可见</w:t>
            </w:r>
            <w:r>
              <w:rPr>
                <w:rFonts w:hint="default" w:ascii="Times New Roman" w:hAnsi="Times New Roman" w:eastAsia="宋体" w:cs="Times New Roman"/>
                <w:color w:val="auto"/>
                <w:sz w:val="18"/>
                <w:szCs w:val="18"/>
              </w:rPr>
              <w:t>分光光度计</w:t>
            </w:r>
            <w:r>
              <w:rPr>
                <w:rFonts w:hint="default" w:ascii="Times New Roman" w:hAnsi="Times New Roman" w:eastAsia="宋体" w:cs="Times New Roman"/>
                <w:color w:val="auto"/>
                <w:sz w:val="18"/>
                <w:szCs w:val="18"/>
                <w:lang w:val="en-US" w:eastAsia="zh-CN"/>
              </w:rPr>
              <w:t>XJZC116</w:t>
            </w:r>
          </w:p>
        </w:tc>
      </w:tr>
      <w:tr w14:paraId="0320DF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939" w:type="pct"/>
            <w:tcBorders>
              <w:tl2br w:val="nil"/>
              <w:tr2bl w:val="nil"/>
            </w:tcBorders>
            <w:noWrap w:val="0"/>
            <w:vAlign w:val="center"/>
          </w:tcPr>
          <w:p w14:paraId="57B84810">
            <w:pPr>
              <w:spacing w:line="240" w:lineRule="auto"/>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硫化物</w:t>
            </w:r>
          </w:p>
        </w:tc>
        <w:tc>
          <w:tcPr>
            <w:tcW w:w="2999" w:type="pct"/>
            <w:tcBorders>
              <w:tl2br w:val="nil"/>
              <w:tr2bl w:val="nil"/>
            </w:tcBorders>
            <w:noWrap w:val="0"/>
            <w:vAlign w:val="center"/>
          </w:tcPr>
          <w:p w14:paraId="32F13971">
            <w:pPr>
              <w:jc w:val="center"/>
              <w:rPr>
                <w:rFonts w:hint="default" w:ascii="Times New Roman" w:hAnsi="Times New Roman" w:eastAsia="宋体" w:cs="Times New Roman"/>
                <w:b w:val="0"/>
                <w:bCs/>
                <w:color w:val="auto"/>
                <w:kern w:val="0"/>
                <w:sz w:val="18"/>
                <w:szCs w:val="18"/>
                <w:vertAlign w:val="baseline"/>
                <w:lang w:val="en-US" w:eastAsia="zh-CN" w:bidi="ar-SA"/>
              </w:rPr>
            </w:pPr>
            <w:r>
              <w:rPr>
                <w:rFonts w:hint="default" w:ascii="Times New Roman" w:hAnsi="Times New Roman" w:eastAsia="宋体" w:cs="Times New Roman"/>
                <w:b w:val="0"/>
                <w:bCs/>
                <w:color w:val="auto"/>
                <w:kern w:val="0"/>
                <w:sz w:val="18"/>
                <w:szCs w:val="18"/>
                <w:vertAlign w:val="baseline"/>
                <w:lang w:val="en-US" w:eastAsia="zh-CN"/>
              </w:rPr>
              <w:t>HJ 1226-2021水质 硫化物的测定 亚甲基蓝分光光度法</w:t>
            </w:r>
          </w:p>
        </w:tc>
        <w:tc>
          <w:tcPr>
            <w:tcW w:w="1061" w:type="pct"/>
            <w:vMerge w:val="continue"/>
            <w:tcBorders>
              <w:tl2br w:val="nil"/>
              <w:tr2bl w:val="nil"/>
            </w:tcBorders>
            <w:noWrap w:val="0"/>
            <w:vAlign w:val="center"/>
          </w:tcPr>
          <w:p w14:paraId="57910A22">
            <w:pPr>
              <w:jc w:val="center"/>
              <w:rPr>
                <w:rFonts w:hint="default" w:ascii="Times New Roman" w:hAnsi="Times New Roman" w:eastAsia="宋体" w:cs="Times New Roman"/>
                <w:b w:val="0"/>
                <w:bCs/>
                <w:color w:val="auto"/>
                <w:kern w:val="0"/>
                <w:sz w:val="18"/>
                <w:szCs w:val="18"/>
                <w:vertAlign w:val="baseline"/>
                <w:lang w:val="en-US" w:eastAsia="zh-CN" w:bidi="ar-SA"/>
              </w:rPr>
            </w:pPr>
          </w:p>
        </w:tc>
      </w:tr>
      <w:tr w14:paraId="0363B7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39" w:type="pct"/>
            <w:tcBorders>
              <w:tl2br w:val="nil"/>
              <w:tr2bl w:val="nil"/>
            </w:tcBorders>
            <w:noWrap w:val="0"/>
            <w:vAlign w:val="center"/>
          </w:tcPr>
          <w:p w14:paraId="555E6C90">
            <w:pPr>
              <w:jc w:val="center"/>
              <w:rPr>
                <w:rFonts w:hint="default" w:ascii="Times New Roman" w:hAnsi="Times New Roman" w:eastAsia="宋体" w:cs="Times New Roman"/>
                <w:b w:val="0"/>
                <w:bCs/>
                <w:color w:val="auto"/>
                <w:kern w:val="0"/>
                <w:sz w:val="18"/>
                <w:szCs w:val="18"/>
                <w:vertAlign w:val="baseline"/>
                <w:lang w:val="en-US" w:eastAsia="zh-CN" w:bidi="ar-SA"/>
              </w:rPr>
            </w:pPr>
            <w:r>
              <w:rPr>
                <w:rFonts w:hint="default" w:ascii="Times New Roman" w:hAnsi="Times New Roman" w:eastAsia="宋体" w:cs="Times New Roman"/>
                <w:b w:val="0"/>
                <w:bCs/>
                <w:color w:val="auto"/>
                <w:kern w:val="0"/>
                <w:sz w:val="18"/>
                <w:szCs w:val="18"/>
                <w:vertAlign w:val="baseline"/>
                <w:lang w:val="en-US" w:eastAsia="zh-CN"/>
              </w:rPr>
              <w:t>碘化物</w:t>
            </w:r>
          </w:p>
        </w:tc>
        <w:tc>
          <w:tcPr>
            <w:tcW w:w="2999" w:type="pct"/>
            <w:tcBorders>
              <w:tl2br w:val="nil"/>
              <w:tr2bl w:val="nil"/>
            </w:tcBorders>
            <w:noWrap w:val="0"/>
            <w:vAlign w:val="center"/>
          </w:tcPr>
          <w:p w14:paraId="63775587">
            <w:pPr>
              <w:jc w:val="center"/>
              <w:rPr>
                <w:rFonts w:hint="default" w:ascii="Times New Roman" w:hAnsi="Times New Roman" w:eastAsia="宋体" w:cs="Times New Roman"/>
                <w:b w:val="0"/>
                <w:bCs/>
                <w:color w:val="auto"/>
                <w:kern w:val="0"/>
                <w:sz w:val="18"/>
                <w:szCs w:val="18"/>
                <w:vertAlign w:val="baseline"/>
                <w:lang w:val="en-US" w:eastAsia="zh-CN" w:bidi="ar-SA"/>
              </w:rPr>
            </w:pPr>
            <w:r>
              <w:rPr>
                <w:rFonts w:hint="default" w:ascii="Times New Roman" w:hAnsi="Times New Roman" w:eastAsia="宋体" w:cs="Times New Roman"/>
                <w:b w:val="0"/>
                <w:bCs/>
                <w:color w:val="auto"/>
                <w:kern w:val="0"/>
                <w:sz w:val="18"/>
                <w:szCs w:val="18"/>
                <w:vertAlign w:val="baseline"/>
                <w:lang w:eastAsia="zh-CN"/>
              </w:rPr>
              <w:t>DZ/T 0064.56-2021地下水质分析方法 第56部分：碘化物的测定淀粉分光光度法</w:t>
            </w:r>
          </w:p>
        </w:tc>
        <w:tc>
          <w:tcPr>
            <w:tcW w:w="1061" w:type="pct"/>
            <w:vMerge w:val="restart"/>
            <w:tcBorders>
              <w:tl2br w:val="nil"/>
              <w:tr2bl w:val="nil"/>
            </w:tcBorders>
            <w:noWrap w:val="0"/>
            <w:vAlign w:val="center"/>
          </w:tcPr>
          <w:p w14:paraId="32A67E3B">
            <w:pPr>
              <w:jc w:val="center"/>
              <w:rPr>
                <w:rFonts w:hint="default" w:ascii="Times New Roman" w:hAnsi="Times New Roman" w:eastAsia="宋体" w:cs="Times New Roman"/>
                <w:b w:val="0"/>
                <w:bCs/>
                <w:color w:val="auto"/>
                <w:kern w:val="0"/>
                <w:sz w:val="18"/>
                <w:szCs w:val="18"/>
                <w:vertAlign w:val="baseline"/>
                <w:lang w:eastAsia="zh-CN"/>
              </w:rPr>
            </w:pPr>
            <w:r>
              <w:rPr>
                <w:rFonts w:hint="default" w:ascii="Times New Roman" w:hAnsi="Times New Roman" w:eastAsia="宋体" w:cs="Times New Roman"/>
                <w:color w:val="auto"/>
                <w:sz w:val="18"/>
                <w:szCs w:val="18"/>
              </w:rPr>
              <w:t>721G</w:t>
            </w:r>
            <w:r>
              <w:rPr>
                <w:rFonts w:hint="default" w:ascii="Times New Roman" w:hAnsi="Times New Roman" w:eastAsia="宋体" w:cs="Times New Roman"/>
                <w:color w:val="auto"/>
                <w:sz w:val="18"/>
                <w:szCs w:val="18"/>
                <w:lang w:eastAsia="zh-CN"/>
              </w:rPr>
              <w:t>可见</w:t>
            </w:r>
            <w:r>
              <w:rPr>
                <w:rFonts w:hint="default" w:ascii="Times New Roman" w:hAnsi="Times New Roman" w:eastAsia="宋体" w:cs="Times New Roman"/>
                <w:color w:val="auto"/>
                <w:sz w:val="18"/>
                <w:szCs w:val="18"/>
              </w:rPr>
              <w:t>分光光度计</w:t>
            </w:r>
            <w:r>
              <w:rPr>
                <w:rFonts w:hint="default" w:ascii="Times New Roman" w:hAnsi="Times New Roman" w:eastAsia="宋体" w:cs="Times New Roman"/>
                <w:color w:val="auto"/>
                <w:sz w:val="18"/>
                <w:szCs w:val="18"/>
                <w:lang w:val="en-US" w:eastAsia="zh-CN"/>
              </w:rPr>
              <w:t>XJZC116</w:t>
            </w:r>
          </w:p>
        </w:tc>
      </w:tr>
      <w:tr w14:paraId="115EDE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39" w:type="pct"/>
            <w:tcBorders>
              <w:tl2br w:val="nil"/>
              <w:tr2bl w:val="nil"/>
            </w:tcBorders>
            <w:noWrap w:val="0"/>
            <w:vAlign w:val="center"/>
          </w:tcPr>
          <w:p w14:paraId="71A50E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阴离子表面活性剂</w:t>
            </w:r>
          </w:p>
        </w:tc>
        <w:tc>
          <w:tcPr>
            <w:tcW w:w="2999" w:type="pct"/>
            <w:tcBorders>
              <w:tl2br w:val="nil"/>
              <w:tr2bl w:val="nil"/>
            </w:tcBorders>
            <w:noWrap w:val="0"/>
            <w:vAlign w:val="center"/>
          </w:tcPr>
          <w:p w14:paraId="71FFD2CA">
            <w:pPr>
              <w:spacing w:line="240" w:lineRule="auto"/>
              <w:jc w:val="center"/>
              <w:rPr>
                <w:rFonts w:hint="default" w:ascii="Times New Roman" w:hAnsi="Times New Roman" w:eastAsia="宋体" w:cs="Times New Roman"/>
                <w:b w:val="0"/>
                <w:bCs/>
                <w:color w:val="auto"/>
                <w:kern w:val="0"/>
                <w:sz w:val="18"/>
                <w:szCs w:val="18"/>
                <w:vertAlign w:val="baseline"/>
                <w:lang w:val="en-US" w:eastAsia="zh-CN" w:bidi="ar-SA"/>
              </w:rPr>
            </w:pPr>
            <w:r>
              <w:rPr>
                <w:rFonts w:hint="default" w:ascii="Times New Roman" w:hAnsi="Times New Roman" w:eastAsia="宋体" w:cs="Times New Roman"/>
                <w:b w:val="0"/>
                <w:bCs/>
                <w:color w:val="auto"/>
                <w:kern w:val="0"/>
                <w:sz w:val="18"/>
                <w:szCs w:val="18"/>
                <w:vertAlign w:val="baseline"/>
                <w:lang w:val="en-US" w:eastAsia="zh-CN"/>
              </w:rPr>
              <w:t>GB 7494-1987水质 阴离子表面活性剂的测定 亚甲蓝分光光度法</w:t>
            </w:r>
          </w:p>
        </w:tc>
        <w:tc>
          <w:tcPr>
            <w:tcW w:w="1061" w:type="pct"/>
            <w:vMerge w:val="continue"/>
            <w:tcBorders>
              <w:tl2br w:val="nil"/>
              <w:tr2bl w:val="nil"/>
            </w:tcBorders>
            <w:noWrap w:val="0"/>
            <w:vAlign w:val="center"/>
          </w:tcPr>
          <w:p w14:paraId="773AD0B3">
            <w:pPr>
              <w:jc w:val="center"/>
              <w:rPr>
                <w:rFonts w:hint="default" w:ascii="Times New Roman" w:hAnsi="Times New Roman" w:eastAsia="宋体" w:cs="Times New Roman"/>
                <w:color w:val="auto"/>
                <w:sz w:val="18"/>
                <w:szCs w:val="18"/>
              </w:rPr>
            </w:pPr>
          </w:p>
        </w:tc>
      </w:tr>
      <w:tr w14:paraId="6DE0CF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39" w:type="pct"/>
            <w:tcBorders>
              <w:tl2br w:val="nil"/>
              <w:tr2bl w:val="nil"/>
            </w:tcBorders>
            <w:noWrap w:val="0"/>
            <w:vAlign w:val="center"/>
          </w:tcPr>
          <w:p w14:paraId="484D3C89">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汞</w:t>
            </w:r>
          </w:p>
        </w:tc>
        <w:tc>
          <w:tcPr>
            <w:tcW w:w="2999" w:type="pct"/>
            <w:vMerge w:val="restart"/>
            <w:tcBorders>
              <w:tl2br w:val="nil"/>
              <w:tr2bl w:val="nil"/>
            </w:tcBorders>
            <w:noWrap w:val="0"/>
            <w:vAlign w:val="center"/>
          </w:tcPr>
          <w:p w14:paraId="290ADE86">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HJ 694-2014水质 汞、砷、硒、铋和锑的测定 原子荧光法</w:t>
            </w:r>
          </w:p>
        </w:tc>
        <w:tc>
          <w:tcPr>
            <w:tcW w:w="1061" w:type="pct"/>
            <w:vMerge w:val="restart"/>
            <w:tcBorders>
              <w:tl2br w:val="nil"/>
              <w:tr2bl w:val="nil"/>
            </w:tcBorders>
            <w:noWrap w:val="0"/>
            <w:vAlign w:val="center"/>
          </w:tcPr>
          <w:p w14:paraId="1C0F1876">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AFS-9700原子荧光光度计</w:t>
            </w:r>
            <w:r>
              <w:rPr>
                <w:rFonts w:hint="default" w:ascii="Times New Roman" w:hAnsi="Times New Roman" w:eastAsia="宋体" w:cs="Times New Roman"/>
                <w:color w:val="auto"/>
                <w:sz w:val="18"/>
                <w:szCs w:val="18"/>
                <w:lang w:val="en-US" w:eastAsia="zh-CN"/>
              </w:rPr>
              <w:t>XJZC73</w:t>
            </w:r>
          </w:p>
        </w:tc>
      </w:tr>
      <w:tr w14:paraId="23EDE2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39" w:type="pct"/>
            <w:tcBorders>
              <w:tl2br w:val="nil"/>
              <w:tr2bl w:val="nil"/>
            </w:tcBorders>
            <w:noWrap w:val="0"/>
            <w:vAlign w:val="center"/>
          </w:tcPr>
          <w:p w14:paraId="158DDD6F">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砷</w:t>
            </w:r>
          </w:p>
        </w:tc>
        <w:tc>
          <w:tcPr>
            <w:tcW w:w="2999" w:type="pct"/>
            <w:vMerge w:val="continue"/>
            <w:tcBorders>
              <w:tl2br w:val="nil"/>
              <w:tr2bl w:val="nil"/>
            </w:tcBorders>
            <w:noWrap w:val="0"/>
            <w:vAlign w:val="center"/>
          </w:tcPr>
          <w:p w14:paraId="466F0FB0">
            <w:pPr>
              <w:spacing w:line="240" w:lineRule="auto"/>
              <w:jc w:val="center"/>
              <w:rPr>
                <w:rFonts w:hint="default" w:ascii="Times New Roman" w:hAnsi="Times New Roman" w:eastAsia="宋体" w:cs="Times New Roman"/>
                <w:b w:val="0"/>
                <w:bCs/>
                <w:color w:val="auto"/>
                <w:kern w:val="0"/>
                <w:sz w:val="18"/>
                <w:szCs w:val="18"/>
                <w:vertAlign w:val="baseline"/>
                <w:lang w:val="en-US" w:eastAsia="zh-CN"/>
              </w:rPr>
            </w:pPr>
          </w:p>
        </w:tc>
        <w:tc>
          <w:tcPr>
            <w:tcW w:w="1061" w:type="pct"/>
            <w:vMerge w:val="continue"/>
            <w:tcBorders>
              <w:tl2br w:val="nil"/>
              <w:tr2bl w:val="nil"/>
            </w:tcBorders>
            <w:noWrap w:val="0"/>
            <w:vAlign w:val="center"/>
          </w:tcPr>
          <w:p w14:paraId="664CB71C">
            <w:pPr>
              <w:jc w:val="center"/>
              <w:rPr>
                <w:rFonts w:hint="default" w:ascii="Times New Roman" w:hAnsi="Times New Roman" w:eastAsia="宋体" w:cs="Times New Roman"/>
                <w:color w:val="auto"/>
                <w:sz w:val="18"/>
                <w:szCs w:val="18"/>
              </w:rPr>
            </w:pPr>
          </w:p>
        </w:tc>
      </w:tr>
      <w:tr w14:paraId="5B4DA7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39" w:type="pct"/>
            <w:tcBorders>
              <w:tl2br w:val="nil"/>
              <w:tr2bl w:val="nil"/>
            </w:tcBorders>
            <w:noWrap w:val="0"/>
            <w:vAlign w:val="center"/>
          </w:tcPr>
          <w:p w14:paraId="24F044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硒</w:t>
            </w:r>
          </w:p>
        </w:tc>
        <w:tc>
          <w:tcPr>
            <w:tcW w:w="2999" w:type="pct"/>
            <w:vMerge w:val="continue"/>
            <w:tcBorders>
              <w:tl2br w:val="nil"/>
              <w:tr2bl w:val="nil"/>
            </w:tcBorders>
            <w:noWrap w:val="0"/>
            <w:vAlign w:val="center"/>
          </w:tcPr>
          <w:p w14:paraId="460E5C6F">
            <w:pPr>
              <w:spacing w:line="240" w:lineRule="auto"/>
              <w:jc w:val="center"/>
              <w:rPr>
                <w:rFonts w:hint="default" w:ascii="Times New Roman" w:hAnsi="Times New Roman" w:eastAsia="宋体" w:cs="Times New Roman"/>
                <w:b w:val="0"/>
                <w:bCs/>
                <w:color w:val="auto"/>
                <w:kern w:val="0"/>
                <w:sz w:val="18"/>
                <w:szCs w:val="18"/>
                <w:vertAlign w:val="baseline"/>
                <w:lang w:val="en-US" w:eastAsia="zh-CN"/>
              </w:rPr>
            </w:pPr>
          </w:p>
        </w:tc>
        <w:tc>
          <w:tcPr>
            <w:tcW w:w="1061" w:type="pct"/>
            <w:vMerge w:val="continue"/>
            <w:tcBorders>
              <w:tl2br w:val="nil"/>
              <w:tr2bl w:val="nil"/>
            </w:tcBorders>
            <w:noWrap w:val="0"/>
            <w:vAlign w:val="center"/>
          </w:tcPr>
          <w:p w14:paraId="4F68417B">
            <w:pPr>
              <w:jc w:val="center"/>
              <w:rPr>
                <w:rFonts w:hint="default" w:ascii="Times New Roman" w:hAnsi="Times New Roman" w:eastAsia="宋体" w:cs="Times New Roman"/>
                <w:color w:val="auto"/>
                <w:sz w:val="18"/>
                <w:szCs w:val="18"/>
              </w:rPr>
            </w:pPr>
          </w:p>
        </w:tc>
      </w:tr>
      <w:tr w14:paraId="0F5D14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39" w:type="pct"/>
            <w:tcBorders>
              <w:tl2br w:val="nil"/>
              <w:tr2bl w:val="nil"/>
            </w:tcBorders>
            <w:noWrap w:val="0"/>
            <w:vAlign w:val="center"/>
          </w:tcPr>
          <w:p w14:paraId="7F9FB141">
            <w:pPr>
              <w:spacing w:line="24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石油类</w:t>
            </w:r>
          </w:p>
        </w:tc>
        <w:tc>
          <w:tcPr>
            <w:tcW w:w="2999" w:type="pct"/>
            <w:tcBorders>
              <w:tl2br w:val="nil"/>
              <w:tr2bl w:val="nil"/>
            </w:tcBorders>
            <w:noWrap w:val="0"/>
            <w:vAlign w:val="center"/>
          </w:tcPr>
          <w:p w14:paraId="20C799F7">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GB/T 5750.7-2023生活饮用水标准检验方法 第7部分：有机物综合指标 6.5 非分散红外光度法</w:t>
            </w:r>
          </w:p>
        </w:tc>
        <w:tc>
          <w:tcPr>
            <w:tcW w:w="1061" w:type="pct"/>
            <w:tcBorders>
              <w:tl2br w:val="nil"/>
              <w:tr2bl w:val="nil"/>
            </w:tcBorders>
            <w:noWrap w:val="0"/>
            <w:vAlign w:val="center"/>
          </w:tcPr>
          <w:p w14:paraId="7FCE4FAD">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OIL460红外分光光度计</w:t>
            </w:r>
            <w:r>
              <w:rPr>
                <w:rFonts w:hint="default" w:ascii="Times New Roman" w:hAnsi="Times New Roman" w:eastAsia="宋体" w:cs="Times New Roman"/>
                <w:color w:val="auto"/>
                <w:sz w:val="18"/>
                <w:szCs w:val="18"/>
                <w:lang w:val="en-US" w:eastAsia="zh-CN"/>
              </w:rPr>
              <w:t>XJZC72</w:t>
            </w:r>
          </w:p>
        </w:tc>
      </w:tr>
      <w:tr w14:paraId="58626B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39" w:type="pct"/>
            <w:tcBorders>
              <w:tl2br w:val="nil"/>
              <w:tr2bl w:val="nil"/>
            </w:tcBorders>
            <w:noWrap w:val="0"/>
            <w:vAlign w:val="center"/>
          </w:tcPr>
          <w:p w14:paraId="50EC7DA0">
            <w:pPr>
              <w:spacing w:line="24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铜</w:t>
            </w:r>
          </w:p>
        </w:tc>
        <w:tc>
          <w:tcPr>
            <w:tcW w:w="2999" w:type="pct"/>
            <w:vMerge w:val="restart"/>
            <w:tcBorders>
              <w:tl2br w:val="nil"/>
              <w:tr2bl w:val="nil"/>
            </w:tcBorders>
            <w:noWrap w:val="0"/>
            <w:vAlign w:val="center"/>
          </w:tcPr>
          <w:p w14:paraId="5A4FDCE8">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GB 7475-87水质 铜、锌、铅、镉的测定 原子吸收分光光度法</w:t>
            </w:r>
          </w:p>
        </w:tc>
        <w:tc>
          <w:tcPr>
            <w:tcW w:w="1061" w:type="pct"/>
            <w:vMerge w:val="restart"/>
            <w:tcBorders>
              <w:tl2br w:val="nil"/>
              <w:tr2bl w:val="nil"/>
            </w:tcBorders>
            <w:noWrap w:val="0"/>
            <w:vAlign w:val="center"/>
          </w:tcPr>
          <w:p w14:paraId="225A0ABF">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PinAAcle900T原子吸收光谱仪</w:t>
            </w:r>
            <w:r>
              <w:rPr>
                <w:rFonts w:hint="default" w:ascii="Times New Roman" w:hAnsi="Times New Roman" w:eastAsia="宋体" w:cs="Times New Roman"/>
                <w:color w:val="auto"/>
                <w:sz w:val="18"/>
                <w:szCs w:val="18"/>
                <w:lang w:val="en-US" w:eastAsia="zh-CN"/>
              </w:rPr>
              <w:t>XJZC182</w:t>
            </w:r>
          </w:p>
        </w:tc>
      </w:tr>
      <w:tr w14:paraId="3A60E8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39" w:type="pct"/>
            <w:tcBorders>
              <w:tl2br w:val="nil"/>
              <w:tr2bl w:val="nil"/>
            </w:tcBorders>
            <w:noWrap w:val="0"/>
            <w:vAlign w:val="center"/>
          </w:tcPr>
          <w:p w14:paraId="3C927B0F">
            <w:pPr>
              <w:spacing w:line="24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锌</w:t>
            </w:r>
          </w:p>
        </w:tc>
        <w:tc>
          <w:tcPr>
            <w:tcW w:w="2999" w:type="pct"/>
            <w:vMerge w:val="continue"/>
            <w:tcBorders>
              <w:tl2br w:val="nil"/>
              <w:tr2bl w:val="nil"/>
            </w:tcBorders>
            <w:noWrap w:val="0"/>
            <w:vAlign w:val="center"/>
          </w:tcPr>
          <w:p w14:paraId="3257961C">
            <w:pPr>
              <w:jc w:val="center"/>
              <w:rPr>
                <w:rFonts w:hint="default" w:ascii="Times New Roman" w:hAnsi="Times New Roman" w:eastAsia="宋体" w:cs="Times New Roman"/>
                <w:color w:val="auto"/>
                <w:sz w:val="18"/>
                <w:szCs w:val="18"/>
                <w:lang w:val="en-US" w:eastAsia="zh-CN"/>
              </w:rPr>
            </w:pPr>
          </w:p>
        </w:tc>
        <w:tc>
          <w:tcPr>
            <w:tcW w:w="1061" w:type="pct"/>
            <w:vMerge w:val="continue"/>
            <w:tcBorders>
              <w:tl2br w:val="nil"/>
              <w:tr2bl w:val="nil"/>
            </w:tcBorders>
            <w:noWrap w:val="0"/>
            <w:vAlign w:val="center"/>
          </w:tcPr>
          <w:p w14:paraId="2DC01444">
            <w:pPr>
              <w:jc w:val="center"/>
              <w:rPr>
                <w:rFonts w:hint="default" w:ascii="Times New Roman" w:hAnsi="Times New Roman" w:eastAsia="宋体" w:cs="Times New Roman"/>
                <w:color w:val="auto"/>
                <w:sz w:val="18"/>
                <w:szCs w:val="18"/>
              </w:rPr>
            </w:pPr>
          </w:p>
        </w:tc>
      </w:tr>
      <w:tr w14:paraId="7A8B09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39" w:type="pct"/>
            <w:tcBorders>
              <w:tl2br w:val="nil"/>
              <w:tr2bl w:val="nil"/>
            </w:tcBorders>
            <w:noWrap w:val="0"/>
            <w:vAlign w:val="center"/>
          </w:tcPr>
          <w:p w14:paraId="5E91BA1C">
            <w:pPr>
              <w:spacing w:line="24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铅</w:t>
            </w:r>
          </w:p>
        </w:tc>
        <w:tc>
          <w:tcPr>
            <w:tcW w:w="2999" w:type="pct"/>
            <w:tcBorders>
              <w:tl2br w:val="nil"/>
              <w:tr2bl w:val="nil"/>
            </w:tcBorders>
            <w:noWrap w:val="0"/>
            <w:vAlign w:val="center"/>
          </w:tcPr>
          <w:p w14:paraId="401E495F">
            <w:pPr>
              <w:jc w:val="center"/>
              <w:rPr>
                <w:rFonts w:hint="default" w:ascii="Times New Roman" w:hAnsi="Times New Roman" w:eastAsia="宋体" w:cs="Times New Roman"/>
                <w:b w:val="0"/>
                <w:bCs/>
                <w:color w:val="auto"/>
                <w:kern w:val="0"/>
                <w:sz w:val="18"/>
                <w:szCs w:val="18"/>
                <w:vertAlign w:val="baseline"/>
                <w:lang w:val="en-US" w:eastAsia="zh-CN" w:bidi="ar-SA"/>
              </w:rPr>
            </w:pPr>
            <w:r>
              <w:rPr>
                <w:rFonts w:hint="default" w:ascii="Times New Roman" w:hAnsi="Times New Roman" w:eastAsia="宋体" w:cs="Times New Roman"/>
                <w:color w:val="auto"/>
                <w:sz w:val="18"/>
                <w:szCs w:val="18"/>
              </w:rPr>
              <w:t>GB/T 5750.6-</w:t>
            </w:r>
            <w:r>
              <w:rPr>
                <w:rFonts w:hint="default" w:ascii="Times New Roman" w:hAnsi="Times New Roman" w:eastAsia="宋体" w:cs="Times New Roman"/>
                <w:color w:val="auto"/>
                <w:sz w:val="18"/>
                <w:szCs w:val="18"/>
                <w:lang w:val="en-US" w:eastAsia="zh-CN"/>
              </w:rPr>
              <w:t>2023生活饮用水标准检验方法 第6部分：金属和类金属指标 14.1 无火焰原子吸收分光光度法</w:t>
            </w:r>
          </w:p>
        </w:tc>
        <w:tc>
          <w:tcPr>
            <w:tcW w:w="1061" w:type="pct"/>
            <w:vMerge w:val="continue"/>
            <w:tcBorders>
              <w:tl2br w:val="nil"/>
              <w:tr2bl w:val="nil"/>
            </w:tcBorders>
            <w:noWrap w:val="0"/>
            <w:vAlign w:val="center"/>
          </w:tcPr>
          <w:p w14:paraId="3EC97269">
            <w:pPr>
              <w:jc w:val="center"/>
              <w:rPr>
                <w:rFonts w:hint="default" w:ascii="Times New Roman" w:hAnsi="Times New Roman" w:eastAsia="宋体" w:cs="Times New Roman"/>
                <w:color w:val="auto"/>
                <w:sz w:val="18"/>
                <w:szCs w:val="18"/>
              </w:rPr>
            </w:pPr>
          </w:p>
        </w:tc>
      </w:tr>
      <w:tr w14:paraId="6DE609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39" w:type="pct"/>
            <w:tcBorders>
              <w:tl2br w:val="nil"/>
              <w:tr2bl w:val="nil"/>
            </w:tcBorders>
            <w:noWrap w:val="0"/>
            <w:vAlign w:val="center"/>
          </w:tcPr>
          <w:p w14:paraId="4D75A06C">
            <w:pPr>
              <w:spacing w:line="24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镉</w:t>
            </w:r>
          </w:p>
        </w:tc>
        <w:tc>
          <w:tcPr>
            <w:tcW w:w="2999" w:type="pct"/>
            <w:tcBorders>
              <w:tl2br w:val="nil"/>
              <w:tr2bl w:val="nil"/>
            </w:tcBorders>
            <w:noWrap w:val="0"/>
            <w:vAlign w:val="center"/>
          </w:tcPr>
          <w:p w14:paraId="09915819">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GB/T 5750.6-</w:t>
            </w:r>
            <w:r>
              <w:rPr>
                <w:rFonts w:hint="default" w:ascii="Times New Roman" w:hAnsi="Times New Roman" w:eastAsia="宋体" w:cs="Times New Roman"/>
                <w:color w:val="auto"/>
                <w:sz w:val="18"/>
                <w:szCs w:val="18"/>
                <w:lang w:val="en-US" w:eastAsia="zh-CN"/>
              </w:rPr>
              <w:t>2023生活饮用水标准检验方法 第6部分：金属和类金属指标 12.1 无火焰原子吸收分光光度法</w:t>
            </w:r>
          </w:p>
        </w:tc>
        <w:tc>
          <w:tcPr>
            <w:tcW w:w="1061" w:type="pct"/>
            <w:vMerge w:val="continue"/>
            <w:tcBorders>
              <w:tl2br w:val="nil"/>
              <w:tr2bl w:val="nil"/>
            </w:tcBorders>
            <w:noWrap w:val="0"/>
            <w:vAlign w:val="center"/>
          </w:tcPr>
          <w:p w14:paraId="4D403344">
            <w:pPr>
              <w:jc w:val="center"/>
              <w:rPr>
                <w:rFonts w:hint="default" w:ascii="Times New Roman" w:hAnsi="Times New Roman" w:eastAsia="宋体" w:cs="Times New Roman"/>
                <w:color w:val="auto"/>
                <w:sz w:val="18"/>
                <w:szCs w:val="18"/>
              </w:rPr>
            </w:pPr>
          </w:p>
        </w:tc>
      </w:tr>
      <w:tr w14:paraId="45CB7F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39" w:type="pct"/>
            <w:tcBorders>
              <w:tl2br w:val="nil"/>
              <w:tr2bl w:val="nil"/>
            </w:tcBorders>
            <w:noWrap w:val="0"/>
            <w:vAlign w:val="center"/>
          </w:tcPr>
          <w:p w14:paraId="3884FC61">
            <w:pPr>
              <w:spacing w:line="24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铁</w:t>
            </w:r>
          </w:p>
        </w:tc>
        <w:tc>
          <w:tcPr>
            <w:tcW w:w="2999" w:type="pct"/>
            <w:vMerge w:val="restart"/>
            <w:tcBorders>
              <w:tl2br w:val="nil"/>
              <w:tr2bl w:val="nil"/>
            </w:tcBorders>
            <w:noWrap w:val="0"/>
            <w:vAlign w:val="center"/>
          </w:tcPr>
          <w:p w14:paraId="68B9C213">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GB 11911-89水质 铁、锰的测定 火焰原子吸收分光光度法</w:t>
            </w:r>
          </w:p>
        </w:tc>
        <w:tc>
          <w:tcPr>
            <w:tcW w:w="1061" w:type="pct"/>
            <w:vMerge w:val="restart"/>
            <w:tcBorders>
              <w:tl2br w:val="nil"/>
              <w:tr2bl w:val="nil"/>
            </w:tcBorders>
            <w:noWrap w:val="0"/>
            <w:vAlign w:val="center"/>
          </w:tcPr>
          <w:p w14:paraId="2B2E50E1">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PinAAcle900T原子吸收光谱仪</w:t>
            </w:r>
            <w:r>
              <w:rPr>
                <w:rFonts w:hint="default" w:ascii="Times New Roman" w:hAnsi="Times New Roman" w:eastAsia="宋体" w:cs="Times New Roman"/>
                <w:color w:val="auto"/>
                <w:sz w:val="18"/>
                <w:szCs w:val="18"/>
                <w:lang w:val="en-US" w:eastAsia="zh-CN"/>
              </w:rPr>
              <w:t>XJZC182</w:t>
            </w:r>
          </w:p>
        </w:tc>
      </w:tr>
      <w:tr w14:paraId="6A7BD3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39" w:type="pct"/>
            <w:tcBorders>
              <w:tl2br w:val="nil"/>
              <w:tr2bl w:val="nil"/>
            </w:tcBorders>
            <w:noWrap w:val="0"/>
            <w:vAlign w:val="center"/>
          </w:tcPr>
          <w:p w14:paraId="3FB4847A">
            <w:pPr>
              <w:spacing w:line="240" w:lineRule="atLeast"/>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锰</w:t>
            </w:r>
          </w:p>
        </w:tc>
        <w:tc>
          <w:tcPr>
            <w:tcW w:w="2999" w:type="pct"/>
            <w:vMerge w:val="continue"/>
            <w:tcBorders>
              <w:tl2br w:val="nil"/>
              <w:tr2bl w:val="nil"/>
            </w:tcBorders>
            <w:noWrap w:val="0"/>
            <w:vAlign w:val="center"/>
          </w:tcPr>
          <w:p w14:paraId="33670B79">
            <w:pPr>
              <w:jc w:val="center"/>
              <w:rPr>
                <w:rFonts w:hint="default" w:ascii="Times New Roman" w:hAnsi="Times New Roman" w:eastAsia="宋体" w:cs="Times New Roman"/>
                <w:color w:val="auto"/>
                <w:sz w:val="18"/>
                <w:szCs w:val="18"/>
              </w:rPr>
            </w:pPr>
          </w:p>
        </w:tc>
        <w:tc>
          <w:tcPr>
            <w:tcW w:w="1061" w:type="pct"/>
            <w:vMerge w:val="continue"/>
            <w:tcBorders>
              <w:tl2br w:val="nil"/>
              <w:tr2bl w:val="nil"/>
            </w:tcBorders>
            <w:noWrap w:val="0"/>
            <w:vAlign w:val="center"/>
          </w:tcPr>
          <w:p w14:paraId="6EC42C47">
            <w:pPr>
              <w:jc w:val="center"/>
              <w:rPr>
                <w:rFonts w:hint="default" w:ascii="Times New Roman" w:hAnsi="Times New Roman" w:eastAsia="宋体" w:cs="Times New Roman"/>
                <w:color w:val="auto"/>
                <w:sz w:val="18"/>
                <w:szCs w:val="18"/>
                <w:lang w:val="en-US" w:eastAsia="zh-CN"/>
              </w:rPr>
            </w:pPr>
          </w:p>
        </w:tc>
      </w:tr>
      <w:tr w14:paraId="2A3D90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39" w:type="pct"/>
            <w:tcBorders>
              <w:tl2br w:val="nil"/>
              <w:tr2bl w:val="nil"/>
            </w:tcBorders>
            <w:noWrap w:val="0"/>
            <w:vAlign w:val="center"/>
          </w:tcPr>
          <w:p w14:paraId="18380ACD">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铝</w:t>
            </w:r>
          </w:p>
        </w:tc>
        <w:tc>
          <w:tcPr>
            <w:tcW w:w="2999" w:type="pct"/>
            <w:tcBorders>
              <w:tl2br w:val="nil"/>
              <w:tr2bl w:val="nil"/>
            </w:tcBorders>
            <w:noWrap w:val="0"/>
            <w:vAlign w:val="center"/>
          </w:tcPr>
          <w:p w14:paraId="743C9C7C">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GB/T 5750.6-</w:t>
            </w:r>
            <w:r>
              <w:rPr>
                <w:rFonts w:hint="default" w:ascii="Times New Roman" w:hAnsi="Times New Roman" w:eastAsia="宋体" w:cs="Times New Roman"/>
                <w:color w:val="auto"/>
                <w:sz w:val="18"/>
                <w:szCs w:val="18"/>
                <w:lang w:val="en-US" w:eastAsia="zh-CN"/>
              </w:rPr>
              <w:t>2023生活饮用水标准检验方法 第6部分：金属和类金属指标 4.3 无火焰原子吸收分光光度法</w:t>
            </w:r>
          </w:p>
        </w:tc>
        <w:tc>
          <w:tcPr>
            <w:tcW w:w="1061" w:type="pct"/>
            <w:vMerge w:val="continue"/>
            <w:tcBorders>
              <w:tl2br w:val="nil"/>
              <w:tr2bl w:val="nil"/>
            </w:tcBorders>
            <w:noWrap w:val="0"/>
            <w:vAlign w:val="center"/>
          </w:tcPr>
          <w:p w14:paraId="6DB70CB2">
            <w:pPr>
              <w:jc w:val="center"/>
              <w:rPr>
                <w:rFonts w:hint="default" w:ascii="Times New Roman" w:hAnsi="Times New Roman" w:eastAsia="宋体" w:cs="Times New Roman"/>
                <w:color w:val="auto"/>
                <w:sz w:val="18"/>
                <w:szCs w:val="18"/>
                <w:lang w:val="en-US" w:eastAsia="zh-CN"/>
              </w:rPr>
            </w:pPr>
          </w:p>
        </w:tc>
      </w:tr>
      <w:tr w14:paraId="0AB34C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39" w:type="pct"/>
            <w:tcBorders>
              <w:tl2br w:val="nil"/>
              <w:tr2bl w:val="nil"/>
            </w:tcBorders>
            <w:noWrap w:val="0"/>
            <w:vAlign w:val="center"/>
          </w:tcPr>
          <w:p w14:paraId="175C42FB">
            <w:pPr>
              <w:spacing w:line="24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钾</w:t>
            </w:r>
          </w:p>
        </w:tc>
        <w:tc>
          <w:tcPr>
            <w:tcW w:w="2999" w:type="pct"/>
            <w:vMerge w:val="restart"/>
            <w:tcBorders>
              <w:tl2br w:val="nil"/>
              <w:tr2bl w:val="nil"/>
            </w:tcBorders>
            <w:noWrap w:val="0"/>
            <w:vAlign w:val="center"/>
          </w:tcPr>
          <w:p w14:paraId="77E0BC98">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GB 11904-1989水质 钾和钠的测定 火焰原子吸收分光光度法</w:t>
            </w:r>
          </w:p>
        </w:tc>
        <w:tc>
          <w:tcPr>
            <w:tcW w:w="1061" w:type="pct"/>
            <w:vMerge w:val="continue"/>
            <w:tcBorders>
              <w:tl2br w:val="nil"/>
              <w:tr2bl w:val="nil"/>
            </w:tcBorders>
            <w:noWrap w:val="0"/>
            <w:vAlign w:val="center"/>
          </w:tcPr>
          <w:p w14:paraId="526215FB">
            <w:pPr>
              <w:jc w:val="center"/>
              <w:rPr>
                <w:rFonts w:hint="default" w:ascii="Times New Roman" w:hAnsi="Times New Roman" w:eastAsia="宋体" w:cs="Times New Roman"/>
                <w:color w:val="auto"/>
                <w:kern w:val="2"/>
                <w:sz w:val="18"/>
                <w:szCs w:val="18"/>
                <w:lang w:val="en-US" w:eastAsia="zh-CN" w:bidi="ar-SA"/>
              </w:rPr>
            </w:pPr>
          </w:p>
        </w:tc>
      </w:tr>
      <w:tr w14:paraId="497EDE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39" w:type="pct"/>
            <w:tcBorders>
              <w:tl2br w:val="nil"/>
              <w:tr2bl w:val="nil"/>
            </w:tcBorders>
            <w:noWrap w:val="0"/>
            <w:vAlign w:val="center"/>
          </w:tcPr>
          <w:p w14:paraId="6C0E28B4">
            <w:pPr>
              <w:spacing w:line="24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钠</w:t>
            </w:r>
          </w:p>
        </w:tc>
        <w:tc>
          <w:tcPr>
            <w:tcW w:w="2999" w:type="pct"/>
            <w:vMerge w:val="continue"/>
            <w:tcBorders>
              <w:tl2br w:val="nil"/>
              <w:tr2bl w:val="nil"/>
            </w:tcBorders>
            <w:noWrap w:val="0"/>
            <w:vAlign w:val="center"/>
          </w:tcPr>
          <w:p w14:paraId="6EFC1D55">
            <w:pPr>
              <w:jc w:val="center"/>
              <w:rPr>
                <w:rFonts w:hint="default" w:ascii="Times New Roman" w:hAnsi="Times New Roman" w:eastAsia="宋体" w:cs="Times New Roman"/>
                <w:color w:val="auto"/>
                <w:sz w:val="18"/>
                <w:szCs w:val="18"/>
                <w:lang w:val="en-US" w:eastAsia="zh-CN"/>
              </w:rPr>
            </w:pPr>
          </w:p>
        </w:tc>
        <w:tc>
          <w:tcPr>
            <w:tcW w:w="1061" w:type="pct"/>
            <w:vMerge w:val="continue"/>
            <w:tcBorders>
              <w:tl2br w:val="nil"/>
              <w:tr2bl w:val="nil"/>
            </w:tcBorders>
            <w:noWrap w:val="0"/>
            <w:vAlign w:val="center"/>
          </w:tcPr>
          <w:p w14:paraId="6211B3DC">
            <w:pPr>
              <w:jc w:val="center"/>
              <w:rPr>
                <w:rFonts w:hint="default" w:ascii="Times New Roman" w:hAnsi="Times New Roman" w:eastAsia="宋体" w:cs="Times New Roman"/>
                <w:color w:val="auto"/>
                <w:kern w:val="2"/>
                <w:sz w:val="18"/>
                <w:szCs w:val="18"/>
                <w:lang w:val="en-US" w:eastAsia="zh-CN" w:bidi="ar-SA"/>
              </w:rPr>
            </w:pPr>
          </w:p>
        </w:tc>
      </w:tr>
      <w:tr w14:paraId="09F321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39" w:type="pct"/>
            <w:tcBorders>
              <w:tl2br w:val="nil"/>
              <w:tr2bl w:val="nil"/>
            </w:tcBorders>
            <w:noWrap w:val="0"/>
            <w:vAlign w:val="center"/>
          </w:tcPr>
          <w:p w14:paraId="6E8A03ED">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三氯甲烷*</w:t>
            </w:r>
          </w:p>
        </w:tc>
        <w:tc>
          <w:tcPr>
            <w:tcW w:w="2999" w:type="pct"/>
            <w:tcBorders>
              <w:tl2br w:val="nil"/>
              <w:tr2bl w:val="nil"/>
            </w:tcBorders>
            <w:noWrap w:val="0"/>
            <w:vAlign w:val="center"/>
          </w:tcPr>
          <w:p w14:paraId="23A041DC">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GB/T 5750.10-2023生活饮用水标准检验方法 第10部分 消毒副产物指标 4.3顶空毛细管柱气相色谱法</w:t>
            </w:r>
          </w:p>
        </w:tc>
        <w:tc>
          <w:tcPr>
            <w:tcW w:w="1061" w:type="pct"/>
            <w:vMerge w:val="restart"/>
            <w:tcBorders>
              <w:tl2br w:val="nil"/>
              <w:tr2bl w:val="nil"/>
            </w:tcBorders>
            <w:noWrap w:val="0"/>
            <w:vAlign w:val="center"/>
          </w:tcPr>
          <w:p w14:paraId="291B6CC8">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气相色谱仪</w:t>
            </w:r>
          </w:p>
        </w:tc>
      </w:tr>
      <w:tr w14:paraId="5743E2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39" w:type="pct"/>
            <w:tcBorders>
              <w:tl2br w:val="nil"/>
              <w:tr2bl w:val="nil"/>
            </w:tcBorders>
            <w:noWrap w:val="0"/>
            <w:vAlign w:val="center"/>
          </w:tcPr>
          <w:p w14:paraId="26BF15D8">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四氯化碳*</w:t>
            </w:r>
          </w:p>
        </w:tc>
        <w:tc>
          <w:tcPr>
            <w:tcW w:w="2999" w:type="pct"/>
            <w:tcBorders>
              <w:tl2br w:val="nil"/>
              <w:tr2bl w:val="nil"/>
            </w:tcBorders>
            <w:noWrap w:val="0"/>
            <w:vAlign w:val="center"/>
          </w:tcPr>
          <w:p w14:paraId="59919FF3">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GB/T 5750.8-2023生活饮用水标准检验方法 第8部分 有机物指标 4.3顶空毛细管柱气相色谱法</w:t>
            </w:r>
          </w:p>
        </w:tc>
        <w:tc>
          <w:tcPr>
            <w:tcW w:w="1061" w:type="pct"/>
            <w:vMerge w:val="continue"/>
            <w:tcBorders>
              <w:tl2br w:val="nil"/>
              <w:tr2bl w:val="nil"/>
            </w:tcBorders>
            <w:noWrap w:val="0"/>
            <w:vAlign w:val="center"/>
          </w:tcPr>
          <w:p w14:paraId="79BB08D0">
            <w:pPr>
              <w:jc w:val="center"/>
              <w:rPr>
                <w:rFonts w:hint="default" w:ascii="Times New Roman" w:hAnsi="Times New Roman" w:eastAsia="宋体" w:cs="Times New Roman"/>
                <w:color w:val="auto"/>
                <w:kern w:val="2"/>
                <w:sz w:val="18"/>
                <w:szCs w:val="18"/>
                <w:lang w:val="en-US" w:eastAsia="zh-CN" w:bidi="ar-SA"/>
              </w:rPr>
            </w:pPr>
          </w:p>
        </w:tc>
      </w:tr>
      <w:tr w14:paraId="272ACC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39" w:type="pct"/>
            <w:tcBorders>
              <w:tl2br w:val="nil"/>
              <w:tr2bl w:val="nil"/>
            </w:tcBorders>
            <w:noWrap w:val="0"/>
            <w:vAlign w:val="center"/>
          </w:tcPr>
          <w:p w14:paraId="3A214DF6">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苯*</w:t>
            </w:r>
          </w:p>
        </w:tc>
        <w:tc>
          <w:tcPr>
            <w:tcW w:w="2999" w:type="pct"/>
            <w:tcBorders>
              <w:tl2br w:val="nil"/>
              <w:tr2bl w:val="nil"/>
            </w:tcBorders>
            <w:noWrap w:val="0"/>
            <w:vAlign w:val="center"/>
          </w:tcPr>
          <w:p w14:paraId="5FCDE546">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GB/T 5750.8-2023生活饮用水标准检验方法 第8部分 有机物指标 21.1液液萃取毛细管柱气相色谱法</w:t>
            </w:r>
          </w:p>
        </w:tc>
        <w:tc>
          <w:tcPr>
            <w:tcW w:w="1061" w:type="pct"/>
            <w:vMerge w:val="continue"/>
            <w:tcBorders>
              <w:tl2br w:val="nil"/>
              <w:tr2bl w:val="nil"/>
            </w:tcBorders>
            <w:noWrap w:val="0"/>
            <w:vAlign w:val="center"/>
          </w:tcPr>
          <w:p w14:paraId="704D324C">
            <w:pPr>
              <w:jc w:val="center"/>
              <w:rPr>
                <w:rFonts w:hint="default" w:ascii="Times New Roman" w:hAnsi="Times New Roman" w:eastAsia="宋体" w:cs="Times New Roman"/>
                <w:color w:val="auto"/>
                <w:kern w:val="2"/>
                <w:sz w:val="18"/>
                <w:szCs w:val="18"/>
                <w:lang w:val="en-US" w:eastAsia="zh-CN" w:bidi="ar-SA"/>
              </w:rPr>
            </w:pPr>
          </w:p>
        </w:tc>
      </w:tr>
      <w:tr w14:paraId="1B945E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39" w:type="pct"/>
            <w:tcBorders>
              <w:tl2br w:val="nil"/>
              <w:tr2bl w:val="nil"/>
            </w:tcBorders>
            <w:noWrap w:val="0"/>
            <w:vAlign w:val="center"/>
          </w:tcPr>
          <w:p w14:paraId="365D12CE">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甲苯*</w:t>
            </w:r>
          </w:p>
        </w:tc>
        <w:tc>
          <w:tcPr>
            <w:tcW w:w="2999" w:type="pct"/>
            <w:tcBorders>
              <w:tl2br w:val="nil"/>
              <w:tr2bl w:val="nil"/>
            </w:tcBorders>
            <w:noWrap w:val="0"/>
            <w:vAlign w:val="center"/>
          </w:tcPr>
          <w:p w14:paraId="35C927D6">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GB/T 5750.8-2023生活饮用水标准检验方法 第8部分 有机物指标 22.2液液萃取毛细管柱气相色谱法</w:t>
            </w:r>
          </w:p>
        </w:tc>
        <w:tc>
          <w:tcPr>
            <w:tcW w:w="1061" w:type="pct"/>
            <w:vMerge w:val="continue"/>
            <w:tcBorders>
              <w:tl2br w:val="nil"/>
              <w:tr2bl w:val="nil"/>
            </w:tcBorders>
            <w:noWrap w:val="0"/>
            <w:vAlign w:val="center"/>
          </w:tcPr>
          <w:p w14:paraId="6D8DC649">
            <w:pPr>
              <w:jc w:val="center"/>
              <w:rPr>
                <w:rFonts w:hint="default" w:ascii="Times New Roman" w:hAnsi="Times New Roman" w:eastAsia="宋体" w:cs="Times New Roman"/>
                <w:color w:val="auto"/>
                <w:kern w:val="2"/>
                <w:sz w:val="18"/>
                <w:szCs w:val="18"/>
                <w:lang w:val="en-US" w:eastAsia="zh-CN" w:bidi="ar-SA"/>
              </w:rPr>
            </w:pPr>
          </w:p>
        </w:tc>
      </w:tr>
    </w:tbl>
    <w:p w14:paraId="4C16EAF5">
      <w:pPr>
        <w:pStyle w:val="79"/>
        <w:bidi w:val="0"/>
        <w:rPr>
          <w:rFonts w:hint="eastAsia"/>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lang w:val="en-US" w:eastAsia="zh-CN"/>
        </w:rPr>
        <w:t xml:space="preserve"> </w:t>
      </w:r>
      <w:r>
        <w:rPr>
          <w:rFonts w:hint="eastAsia"/>
          <w:color w:val="auto"/>
        </w:rPr>
        <w:t>评价标准与评价方法</w:t>
      </w:r>
    </w:p>
    <w:p w14:paraId="6AEFB550">
      <w:pPr>
        <w:pStyle w:val="79"/>
        <w:bidi w:val="0"/>
        <w:rPr>
          <w:rFonts w:hint="default"/>
          <w:color w:val="auto"/>
        </w:rPr>
      </w:pPr>
      <w:r>
        <w:rPr>
          <w:rFonts w:hint="default"/>
          <w:color w:val="auto"/>
        </w:rPr>
        <w:t>1）评价标准</w:t>
      </w:r>
    </w:p>
    <w:p w14:paraId="5282E782">
      <w:pPr>
        <w:pStyle w:val="79"/>
        <w:bidi w:val="0"/>
        <w:rPr>
          <w:rFonts w:hint="default"/>
          <w:color w:val="auto"/>
        </w:rPr>
      </w:pPr>
      <w:r>
        <w:rPr>
          <w:rFonts w:hint="default"/>
          <w:color w:val="auto"/>
        </w:rPr>
        <w:t>石油类参照执行《地表水环境质量标准》（GB3838-2002）中的</w:t>
      </w:r>
      <w:r>
        <w:rPr>
          <w:rFonts w:hint="eastAsia"/>
          <w:color w:val="auto"/>
          <w:lang w:eastAsia="zh-CN"/>
        </w:rPr>
        <w:t>Ⅲ</w:t>
      </w:r>
      <w:r>
        <w:rPr>
          <w:rFonts w:hint="default"/>
          <w:color w:val="auto"/>
        </w:rPr>
        <w:t>类标准；其他因子执行《地下水质量标准》（GB/T14848-2017）</w:t>
      </w:r>
      <w:r>
        <w:rPr>
          <w:rFonts w:hint="eastAsia"/>
          <w:color w:val="auto"/>
          <w:lang w:val="en-US" w:eastAsia="zh-CN"/>
        </w:rPr>
        <w:t>中</w:t>
      </w:r>
      <w:r>
        <w:rPr>
          <w:rFonts w:hint="default"/>
          <w:color w:val="auto"/>
        </w:rPr>
        <w:t>Ⅲ类标准。</w:t>
      </w:r>
    </w:p>
    <w:p w14:paraId="48B7D396">
      <w:pPr>
        <w:pStyle w:val="79"/>
        <w:bidi w:val="0"/>
        <w:rPr>
          <w:rFonts w:hint="eastAsia"/>
          <w:color w:val="auto"/>
        </w:rPr>
      </w:pPr>
      <w:r>
        <w:rPr>
          <w:rFonts w:hint="eastAsia"/>
          <w:color w:val="auto"/>
        </w:rPr>
        <w:t>2）评价方法</w:t>
      </w:r>
    </w:p>
    <w:p w14:paraId="29A5CF5D">
      <w:pPr>
        <w:pStyle w:val="79"/>
        <w:bidi w:val="0"/>
        <w:rPr>
          <w:rFonts w:hint="eastAsia"/>
          <w:color w:val="auto"/>
        </w:rPr>
      </w:pPr>
      <w:r>
        <w:rPr>
          <w:rFonts w:hint="eastAsia"/>
          <w:color w:val="auto"/>
        </w:rPr>
        <w:t>评价方法采用标准指数法。</w:t>
      </w:r>
    </w:p>
    <w:p w14:paraId="2B7B7775">
      <w:pPr>
        <w:pStyle w:val="79"/>
        <w:bidi w:val="0"/>
        <w:rPr>
          <w:rFonts w:hint="default"/>
          <w:color w:val="auto"/>
        </w:rPr>
      </w:pPr>
      <w:r>
        <w:rPr>
          <w:rFonts w:hint="eastAsia"/>
          <w:color w:val="auto"/>
          <w:lang w:val="en-US" w:eastAsia="zh-CN"/>
        </w:rPr>
        <w:t>1）</w:t>
      </w:r>
      <w:r>
        <w:rPr>
          <w:rFonts w:hint="eastAsia"/>
          <w:color w:val="auto"/>
        </w:rPr>
        <w:t>对于评价标准为定值的水质因子，其标准指数计算公式：</w:t>
      </w:r>
    </w:p>
    <w:p w14:paraId="3E5DA273">
      <w:pPr>
        <w:snapToGrid w:val="0"/>
        <w:ind w:right="524" w:firstLine="480"/>
        <w:jc w:val="center"/>
        <w:rPr>
          <w:rFonts w:hint="default" w:ascii="Times New Roman" w:hAnsi="Times New Roman" w:cs="Times New Roman"/>
          <w:color w:val="auto"/>
          <w:spacing w:val="5"/>
          <w:sz w:val="24"/>
          <w:szCs w:val="24"/>
        </w:rPr>
      </w:pPr>
      <w:r>
        <w:rPr>
          <w:rFonts w:hint="default" w:ascii="Times New Roman" w:hAnsi="Times New Roman" w:cs="Times New Roman"/>
          <w:color w:val="auto"/>
          <w:sz w:val="24"/>
          <w:szCs w:val="24"/>
        </w:rPr>
        <w:drawing>
          <wp:inline distT="0" distB="0" distL="114300" distR="114300">
            <wp:extent cx="656590" cy="465455"/>
            <wp:effectExtent l="0" t="0" r="10160" b="12065"/>
            <wp:docPr id="1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2"/>
                    <pic:cNvPicPr>
                      <a:picLocks noChangeAspect="1"/>
                    </pic:cNvPicPr>
                  </pic:nvPicPr>
                  <pic:blipFill>
                    <a:blip r:embed="rId17"/>
                    <a:stretch>
                      <a:fillRect/>
                    </a:stretch>
                  </pic:blipFill>
                  <pic:spPr>
                    <a:xfrm>
                      <a:off x="0" y="0"/>
                      <a:ext cx="656590" cy="465455"/>
                    </a:xfrm>
                    <a:prstGeom prst="rect">
                      <a:avLst/>
                    </a:prstGeom>
                    <a:noFill/>
                    <a:ln>
                      <a:noFill/>
                    </a:ln>
                  </pic:spPr>
                </pic:pic>
              </a:graphicData>
            </a:graphic>
          </wp:inline>
        </w:drawing>
      </w:r>
      <w:r>
        <w:rPr>
          <w:rFonts w:hint="default" w:ascii="Times New Roman" w:hAnsi="Times New Roman" w:cs="Times New Roman"/>
          <w:color w:val="auto"/>
          <w:spacing w:val="5"/>
          <w:sz w:val="24"/>
          <w:szCs w:val="24"/>
        </w:rPr>
        <w:t xml:space="preserve"> </w:t>
      </w:r>
    </w:p>
    <w:p w14:paraId="6FA2524A">
      <w:pPr>
        <w:keepNext w:val="0"/>
        <w:keepLines w:val="0"/>
        <w:pageBreakBefore w:val="0"/>
        <w:widowControl w:val="0"/>
        <w:kinsoku/>
        <w:wordWrap/>
        <w:overflowPunct/>
        <w:topLinePunct w:val="0"/>
        <w:autoSpaceDE/>
        <w:autoSpaceDN/>
        <w:bidi w:val="0"/>
        <w:adjustRightInd/>
        <w:snapToGrid w:val="0"/>
        <w:spacing w:line="480" w:lineRule="exact"/>
        <w:ind w:firstLine="500" w:firstLineChars="200"/>
        <w:textAlignment w:val="auto"/>
        <w:rPr>
          <w:rFonts w:hint="default" w:ascii="Times New Roman" w:hAnsi="Times New Roman" w:cs="Times New Roman"/>
          <w:color w:val="auto"/>
          <w:spacing w:val="5"/>
          <w:sz w:val="24"/>
          <w:szCs w:val="24"/>
        </w:rPr>
      </w:pPr>
      <w:r>
        <w:rPr>
          <w:rFonts w:hint="default" w:ascii="Times New Roman" w:hAnsi="Times New Roman" w:cs="Times New Roman"/>
          <w:color w:val="auto"/>
          <w:spacing w:val="5"/>
          <w:sz w:val="24"/>
          <w:szCs w:val="24"/>
        </w:rPr>
        <w:t>式中：</w:t>
      </w:r>
      <w:r>
        <w:rPr>
          <w:rFonts w:hint="default" w:ascii="Times New Roman" w:hAnsi="Times New Roman" w:cs="Times New Roman"/>
          <w:i/>
          <w:iCs/>
          <w:color w:val="auto"/>
          <w:spacing w:val="5"/>
          <w:sz w:val="24"/>
          <w:szCs w:val="24"/>
        </w:rPr>
        <w:t>P</w:t>
      </w:r>
      <w:r>
        <w:rPr>
          <w:rFonts w:hint="default" w:ascii="Times New Roman" w:hAnsi="Times New Roman" w:cs="Times New Roman"/>
          <w:i/>
          <w:iCs/>
          <w:color w:val="auto"/>
          <w:spacing w:val="5"/>
          <w:sz w:val="24"/>
          <w:szCs w:val="24"/>
          <w:vertAlign w:val="subscript"/>
        </w:rPr>
        <w:t>i</w:t>
      </w:r>
      <w:r>
        <w:rPr>
          <w:rFonts w:hint="default" w:ascii="Times New Roman" w:hAnsi="Times New Roman" w:cs="Times New Roman"/>
          <w:color w:val="auto"/>
          <w:spacing w:val="5"/>
          <w:sz w:val="24"/>
          <w:szCs w:val="24"/>
        </w:rPr>
        <w:t>——第</w:t>
      </w:r>
      <w:r>
        <w:rPr>
          <w:rFonts w:hint="default" w:ascii="Times New Roman" w:hAnsi="Times New Roman" w:cs="Times New Roman"/>
          <w:i/>
          <w:iCs/>
          <w:color w:val="auto"/>
          <w:spacing w:val="5"/>
          <w:sz w:val="24"/>
          <w:szCs w:val="24"/>
        </w:rPr>
        <w:t>i</w:t>
      </w:r>
      <w:r>
        <w:rPr>
          <w:rFonts w:hint="default" w:ascii="Times New Roman" w:hAnsi="Times New Roman" w:cs="Times New Roman"/>
          <w:color w:val="auto"/>
          <w:spacing w:val="5"/>
          <w:sz w:val="24"/>
          <w:szCs w:val="24"/>
        </w:rPr>
        <w:t>个水质因子的标准指数，无量纲；</w:t>
      </w:r>
    </w:p>
    <w:p w14:paraId="13E3DED6">
      <w:pPr>
        <w:keepNext w:val="0"/>
        <w:keepLines w:val="0"/>
        <w:pageBreakBefore w:val="0"/>
        <w:widowControl w:val="0"/>
        <w:kinsoku/>
        <w:wordWrap/>
        <w:overflowPunct/>
        <w:topLinePunct w:val="0"/>
        <w:autoSpaceDE/>
        <w:autoSpaceDN/>
        <w:bidi w:val="0"/>
        <w:adjustRightInd/>
        <w:snapToGrid w:val="0"/>
        <w:spacing w:line="480" w:lineRule="exact"/>
        <w:ind w:firstLine="1235" w:firstLineChars="494"/>
        <w:textAlignment w:val="auto"/>
        <w:rPr>
          <w:rFonts w:hint="default" w:ascii="Times New Roman" w:hAnsi="Times New Roman" w:cs="Times New Roman"/>
          <w:color w:val="auto"/>
          <w:spacing w:val="5"/>
          <w:sz w:val="24"/>
          <w:szCs w:val="24"/>
        </w:rPr>
      </w:pPr>
      <w:r>
        <w:rPr>
          <w:rFonts w:hint="default" w:ascii="Times New Roman" w:hAnsi="Times New Roman" w:cs="Times New Roman"/>
          <w:i/>
          <w:iCs/>
          <w:color w:val="auto"/>
          <w:spacing w:val="5"/>
          <w:sz w:val="24"/>
          <w:szCs w:val="24"/>
        </w:rPr>
        <w:t>C</w:t>
      </w:r>
      <w:r>
        <w:rPr>
          <w:rFonts w:hint="default" w:ascii="Times New Roman" w:hAnsi="Times New Roman" w:cs="Times New Roman"/>
          <w:i/>
          <w:iCs/>
          <w:color w:val="auto"/>
          <w:spacing w:val="5"/>
          <w:sz w:val="24"/>
          <w:szCs w:val="24"/>
          <w:vertAlign w:val="subscript"/>
        </w:rPr>
        <w:t>i</w:t>
      </w:r>
      <w:r>
        <w:rPr>
          <w:rFonts w:hint="default" w:ascii="Times New Roman" w:hAnsi="Times New Roman" w:cs="Times New Roman"/>
          <w:color w:val="auto"/>
          <w:spacing w:val="5"/>
          <w:sz w:val="24"/>
          <w:szCs w:val="24"/>
        </w:rPr>
        <w:t>——第</w:t>
      </w:r>
      <w:r>
        <w:rPr>
          <w:rFonts w:hint="default" w:ascii="Times New Roman" w:hAnsi="Times New Roman" w:cs="Times New Roman"/>
          <w:i/>
          <w:iCs/>
          <w:color w:val="auto"/>
          <w:spacing w:val="5"/>
          <w:sz w:val="24"/>
          <w:szCs w:val="24"/>
        </w:rPr>
        <w:t>i</w:t>
      </w:r>
      <w:r>
        <w:rPr>
          <w:rFonts w:hint="default" w:ascii="Times New Roman" w:hAnsi="Times New Roman" w:cs="Times New Roman"/>
          <w:color w:val="auto"/>
          <w:spacing w:val="5"/>
          <w:sz w:val="24"/>
          <w:szCs w:val="24"/>
        </w:rPr>
        <w:t>个水质因子的监测浓度，mg/L；</w:t>
      </w:r>
    </w:p>
    <w:p w14:paraId="48417C96">
      <w:pPr>
        <w:keepNext w:val="0"/>
        <w:keepLines w:val="0"/>
        <w:pageBreakBefore w:val="0"/>
        <w:widowControl w:val="0"/>
        <w:kinsoku/>
        <w:wordWrap/>
        <w:overflowPunct/>
        <w:topLinePunct w:val="0"/>
        <w:autoSpaceDE/>
        <w:autoSpaceDN/>
        <w:bidi w:val="0"/>
        <w:adjustRightInd/>
        <w:snapToGrid w:val="0"/>
        <w:spacing w:line="480" w:lineRule="exact"/>
        <w:ind w:firstLine="1235" w:firstLineChars="494"/>
        <w:textAlignment w:val="auto"/>
        <w:rPr>
          <w:rFonts w:hint="default" w:ascii="Times New Roman" w:hAnsi="Times New Roman" w:cs="Times New Roman"/>
          <w:color w:val="auto"/>
          <w:spacing w:val="5"/>
          <w:sz w:val="24"/>
          <w:szCs w:val="24"/>
        </w:rPr>
      </w:pPr>
      <w:r>
        <w:rPr>
          <w:rFonts w:hint="default" w:ascii="Times New Roman" w:hAnsi="Times New Roman" w:cs="Times New Roman"/>
          <w:i/>
          <w:iCs/>
          <w:color w:val="auto"/>
          <w:spacing w:val="5"/>
          <w:sz w:val="24"/>
          <w:szCs w:val="24"/>
        </w:rPr>
        <w:t>C</w:t>
      </w:r>
      <w:r>
        <w:rPr>
          <w:rFonts w:hint="default" w:ascii="Times New Roman" w:hAnsi="Times New Roman" w:cs="Times New Roman"/>
          <w:i/>
          <w:iCs/>
          <w:color w:val="auto"/>
          <w:spacing w:val="5"/>
          <w:sz w:val="24"/>
          <w:szCs w:val="24"/>
          <w:vertAlign w:val="subscript"/>
        </w:rPr>
        <w:t>si</w:t>
      </w:r>
      <w:r>
        <w:rPr>
          <w:rFonts w:hint="default" w:ascii="Times New Roman" w:hAnsi="Times New Roman" w:cs="Times New Roman"/>
          <w:color w:val="auto"/>
          <w:spacing w:val="5"/>
          <w:sz w:val="24"/>
          <w:szCs w:val="24"/>
        </w:rPr>
        <w:t>——第</w:t>
      </w:r>
      <w:r>
        <w:rPr>
          <w:rFonts w:hint="default" w:ascii="Times New Roman" w:hAnsi="Times New Roman" w:cs="Times New Roman"/>
          <w:i/>
          <w:iCs/>
          <w:color w:val="auto"/>
          <w:spacing w:val="5"/>
          <w:sz w:val="24"/>
          <w:szCs w:val="24"/>
        </w:rPr>
        <w:t>i</w:t>
      </w:r>
      <w:r>
        <w:rPr>
          <w:rFonts w:hint="default" w:ascii="Times New Roman" w:hAnsi="Times New Roman" w:cs="Times New Roman"/>
          <w:color w:val="auto"/>
          <w:spacing w:val="5"/>
          <w:sz w:val="24"/>
          <w:szCs w:val="24"/>
        </w:rPr>
        <w:t>个水质因子的标准浓度，mg/L。</w:t>
      </w:r>
    </w:p>
    <w:p w14:paraId="2681B3D5">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default" w:ascii="Times New Roman" w:hAnsi="Times New Roman" w:cs="Times New Roman"/>
          <w:color w:val="auto"/>
          <w:spacing w:val="5"/>
          <w:sz w:val="24"/>
          <w:szCs w:val="24"/>
        </w:rPr>
      </w:pPr>
      <w:r>
        <w:rPr>
          <w:rFonts w:hint="eastAsia" w:cs="Times New Roman"/>
          <w:color w:val="auto"/>
          <w:spacing w:val="0"/>
          <w:sz w:val="24"/>
          <w:szCs w:val="24"/>
          <w:lang w:val="en-US" w:eastAsia="zh-CN"/>
        </w:rPr>
        <w:t>2）</w:t>
      </w:r>
      <w:r>
        <w:rPr>
          <w:rFonts w:hint="default" w:ascii="Times New Roman" w:hAnsi="Times New Roman" w:cs="Times New Roman"/>
          <w:color w:val="auto"/>
          <w:spacing w:val="0"/>
          <w:sz w:val="24"/>
          <w:szCs w:val="24"/>
        </w:rPr>
        <w:t>对于评价标准为区间值的水质因子（如</w:t>
      </w:r>
      <w:r>
        <w:rPr>
          <w:rFonts w:hint="default" w:ascii="Times New Roman" w:hAnsi="Times New Roman" w:cs="Times New Roman"/>
          <w:i/>
          <w:iCs/>
          <w:color w:val="auto"/>
          <w:spacing w:val="0"/>
          <w:sz w:val="24"/>
          <w:szCs w:val="24"/>
        </w:rPr>
        <w:t>pH</w:t>
      </w:r>
      <w:r>
        <w:rPr>
          <w:rFonts w:hint="default" w:ascii="Times New Roman" w:hAnsi="Times New Roman" w:cs="Times New Roman"/>
          <w:color w:val="auto"/>
          <w:spacing w:val="0"/>
          <w:sz w:val="24"/>
          <w:szCs w:val="24"/>
        </w:rPr>
        <w:t>值），其标准指数计算公式：</w:t>
      </w:r>
    </w:p>
    <w:p w14:paraId="6C99CC76">
      <w:pPr>
        <w:snapToGrid w:val="0"/>
        <w:ind w:right="522" w:firstLine="482"/>
        <w:jc w:val="center"/>
        <w:rPr>
          <w:rFonts w:hint="default" w:ascii="Times New Roman" w:hAnsi="Times New Roman" w:cs="Times New Roman"/>
          <w:color w:val="auto"/>
          <w:spacing w:val="5"/>
          <w:sz w:val="24"/>
          <w:szCs w:val="24"/>
        </w:rPr>
      </w:pPr>
      <w:r>
        <w:rPr>
          <w:rFonts w:hint="default" w:ascii="Times New Roman" w:hAnsi="Times New Roman" w:cs="Times New Roman"/>
          <w:color w:val="auto"/>
          <w:sz w:val="24"/>
          <w:szCs w:val="24"/>
        </w:rPr>
        <w:drawing>
          <wp:inline distT="0" distB="0" distL="114300" distR="114300">
            <wp:extent cx="1106805" cy="394335"/>
            <wp:effectExtent l="0" t="0" r="17145" b="508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8"/>
                    <a:stretch>
                      <a:fillRect/>
                    </a:stretch>
                  </pic:blipFill>
                  <pic:spPr>
                    <a:xfrm>
                      <a:off x="0" y="0"/>
                      <a:ext cx="1106805" cy="394335"/>
                    </a:xfrm>
                    <a:prstGeom prst="rect">
                      <a:avLst/>
                    </a:prstGeom>
                    <a:noFill/>
                    <a:ln>
                      <a:noFill/>
                    </a:ln>
                  </pic:spPr>
                </pic:pic>
              </a:graphicData>
            </a:graphic>
          </wp:inline>
        </w:drawing>
      </w:r>
      <w:r>
        <w:rPr>
          <w:rFonts w:hint="eastAsia" w:cs="Times New Roman"/>
          <w:color w:val="auto"/>
          <w:sz w:val="24"/>
          <w:szCs w:val="24"/>
          <w:lang w:val="en-US" w:eastAsia="zh-CN"/>
        </w:rPr>
        <w:t>,</w:t>
      </w:r>
      <w:r>
        <w:rPr>
          <w:rFonts w:hint="default" w:ascii="Times New Roman" w:hAnsi="Times New Roman" w:cs="Times New Roman"/>
          <w:color w:val="auto"/>
          <w:spacing w:val="5"/>
          <w:sz w:val="24"/>
          <w:szCs w:val="24"/>
        </w:rPr>
        <w:t>pH≤7时；</w:t>
      </w:r>
    </w:p>
    <w:p w14:paraId="3D95B776">
      <w:pPr>
        <w:snapToGrid w:val="0"/>
        <w:ind w:right="524" w:firstLine="480"/>
        <w:jc w:val="center"/>
        <w:rPr>
          <w:rFonts w:hint="default" w:ascii="Times New Roman" w:hAnsi="Times New Roman" w:cs="Times New Roman"/>
          <w:color w:val="auto"/>
          <w:spacing w:val="5"/>
          <w:sz w:val="24"/>
          <w:szCs w:val="24"/>
        </w:rPr>
      </w:pPr>
      <w:r>
        <w:rPr>
          <w:rFonts w:hint="default" w:ascii="Times New Roman" w:hAnsi="Times New Roman" w:cs="Times New Roman"/>
          <w:color w:val="auto"/>
          <w:sz w:val="24"/>
          <w:szCs w:val="24"/>
        </w:rPr>
        <w:drawing>
          <wp:inline distT="0" distB="0" distL="114300" distR="114300">
            <wp:extent cx="1193800" cy="426085"/>
            <wp:effectExtent l="0" t="0" r="6350" b="1270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9"/>
                    <a:stretch>
                      <a:fillRect/>
                    </a:stretch>
                  </pic:blipFill>
                  <pic:spPr>
                    <a:xfrm>
                      <a:off x="0" y="0"/>
                      <a:ext cx="1193800" cy="426085"/>
                    </a:xfrm>
                    <a:prstGeom prst="rect">
                      <a:avLst/>
                    </a:prstGeom>
                    <a:noFill/>
                    <a:ln>
                      <a:noFill/>
                    </a:ln>
                  </pic:spPr>
                </pic:pic>
              </a:graphicData>
            </a:graphic>
          </wp:inline>
        </w:drawing>
      </w:r>
      <w:r>
        <w:rPr>
          <w:rFonts w:hint="eastAsia" w:cs="Times New Roman"/>
          <w:color w:val="auto"/>
          <w:sz w:val="24"/>
          <w:szCs w:val="24"/>
          <w:lang w:val="en-US" w:eastAsia="zh-CN"/>
        </w:rPr>
        <w:t>,</w:t>
      </w:r>
      <w:r>
        <w:rPr>
          <w:rFonts w:hint="default" w:ascii="Times New Roman" w:hAnsi="Times New Roman" w:cs="Times New Roman"/>
          <w:color w:val="auto"/>
          <w:spacing w:val="5"/>
          <w:sz w:val="24"/>
          <w:szCs w:val="24"/>
        </w:rPr>
        <w:t>pH＞7时；</w:t>
      </w:r>
    </w:p>
    <w:p w14:paraId="51F09111">
      <w:pPr>
        <w:keepNext w:val="0"/>
        <w:keepLines w:val="0"/>
        <w:pageBreakBefore w:val="0"/>
        <w:widowControl w:val="0"/>
        <w:kinsoku/>
        <w:wordWrap/>
        <w:overflowPunct/>
        <w:topLinePunct w:val="0"/>
        <w:autoSpaceDE/>
        <w:autoSpaceDN/>
        <w:bidi w:val="0"/>
        <w:adjustRightInd/>
        <w:snapToGrid w:val="0"/>
        <w:spacing w:line="480" w:lineRule="exact"/>
        <w:ind w:firstLine="500" w:firstLineChars="200"/>
        <w:textAlignment w:val="auto"/>
        <w:rPr>
          <w:rFonts w:hint="default" w:ascii="Times New Roman" w:hAnsi="Times New Roman" w:cs="Times New Roman"/>
          <w:color w:val="auto"/>
          <w:spacing w:val="5"/>
          <w:sz w:val="24"/>
          <w:szCs w:val="24"/>
        </w:rPr>
      </w:pPr>
      <w:r>
        <w:rPr>
          <w:rFonts w:hint="default" w:ascii="Times New Roman" w:hAnsi="Times New Roman" w:cs="Times New Roman"/>
          <w:color w:val="auto"/>
          <w:spacing w:val="5"/>
          <w:sz w:val="24"/>
          <w:szCs w:val="24"/>
        </w:rPr>
        <w:t>式中：</w:t>
      </w:r>
      <w:r>
        <w:rPr>
          <w:rFonts w:hint="default" w:ascii="Times New Roman" w:hAnsi="Times New Roman" w:cs="Times New Roman"/>
          <w:i/>
          <w:color w:val="auto"/>
          <w:spacing w:val="5"/>
          <w:sz w:val="24"/>
          <w:szCs w:val="24"/>
        </w:rPr>
        <w:t>P</w:t>
      </w:r>
      <w:r>
        <w:rPr>
          <w:rFonts w:hint="default" w:ascii="Times New Roman" w:hAnsi="Times New Roman" w:cs="Times New Roman"/>
          <w:i/>
          <w:color w:val="auto"/>
          <w:spacing w:val="5"/>
          <w:sz w:val="24"/>
          <w:szCs w:val="24"/>
          <w:vertAlign w:val="subscript"/>
        </w:rPr>
        <w:t>pH</w:t>
      </w:r>
      <w:r>
        <w:rPr>
          <w:rFonts w:hint="default" w:ascii="Times New Roman" w:hAnsi="Times New Roman" w:cs="Times New Roman"/>
          <w:color w:val="auto"/>
          <w:spacing w:val="5"/>
          <w:sz w:val="24"/>
          <w:szCs w:val="24"/>
        </w:rPr>
        <w:t>—pH的标准指数，无量纲；</w:t>
      </w:r>
    </w:p>
    <w:p w14:paraId="325BAD92">
      <w:pPr>
        <w:keepNext w:val="0"/>
        <w:keepLines w:val="0"/>
        <w:pageBreakBefore w:val="0"/>
        <w:widowControl w:val="0"/>
        <w:kinsoku/>
        <w:wordWrap/>
        <w:overflowPunct/>
        <w:topLinePunct w:val="0"/>
        <w:autoSpaceDE/>
        <w:autoSpaceDN/>
        <w:bidi w:val="0"/>
        <w:adjustRightInd/>
        <w:snapToGrid w:val="0"/>
        <w:spacing w:line="480" w:lineRule="exact"/>
        <w:ind w:firstLine="1235" w:firstLineChars="494"/>
        <w:textAlignment w:val="auto"/>
        <w:rPr>
          <w:rFonts w:hint="default" w:ascii="Times New Roman" w:hAnsi="Times New Roman" w:cs="Times New Roman"/>
          <w:color w:val="auto"/>
          <w:spacing w:val="5"/>
          <w:sz w:val="24"/>
          <w:szCs w:val="24"/>
        </w:rPr>
      </w:pPr>
      <w:r>
        <w:rPr>
          <w:rFonts w:hint="default" w:ascii="Times New Roman" w:hAnsi="Times New Roman" w:cs="Times New Roman"/>
          <w:i/>
          <w:color w:val="auto"/>
          <w:spacing w:val="5"/>
          <w:sz w:val="24"/>
          <w:szCs w:val="24"/>
        </w:rPr>
        <w:t>pH</w:t>
      </w:r>
      <w:r>
        <w:rPr>
          <w:rFonts w:hint="default" w:ascii="Times New Roman" w:hAnsi="Times New Roman" w:cs="Times New Roman"/>
          <w:color w:val="auto"/>
          <w:spacing w:val="5"/>
          <w:sz w:val="24"/>
          <w:szCs w:val="24"/>
        </w:rPr>
        <w:t>—pH监测值；</w:t>
      </w:r>
    </w:p>
    <w:p w14:paraId="286095A0">
      <w:pPr>
        <w:keepNext w:val="0"/>
        <w:keepLines w:val="0"/>
        <w:pageBreakBefore w:val="0"/>
        <w:widowControl w:val="0"/>
        <w:kinsoku/>
        <w:wordWrap/>
        <w:overflowPunct/>
        <w:topLinePunct w:val="0"/>
        <w:autoSpaceDE/>
        <w:autoSpaceDN/>
        <w:bidi w:val="0"/>
        <w:adjustRightInd/>
        <w:snapToGrid w:val="0"/>
        <w:spacing w:line="480" w:lineRule="exact"/>
        <w:ind w:firstLine="1235" w:firstLineChars="494"/>
        <w:textAlignment w:val="auto"/>
        <w:rPr>
          <w:rFonts w:hint="default" w:ascii="Times New Roman" w:hAnsi="Times New Roman" w:cs="Times New Roman"/>
          <w:color w:val="auto"/>
          <w:spacing w:val="5"/>
          <w:sz w:val="24"/>
          <w:szCs w:val="24"/>
        </w:rPr>
      </w:pPr>
      <w:r>
        <w:rPr>
          <w:rFonts w:hint="default" w:ascii="Times New Roman" w:hAnsi="Times New Roman" w:cs="Times New Roman"/>
          <w:i/>
          <w:color w:val="auto"/>
          <w:spacing w:val="5"/>
          <w:sz w:val="24"/>
          <w:szCs w:val="24"/>
        </w:rPr>
        <w:t>pHsd</w:t>
      </w:r>
      <w:r>
        <w:rPr>
          <w:rFonts w:hint="default" w:ascii="Times New Roman" w:hAnsi="Times New Roman" w:cs="Times New Roman"/>
          <w:color w:val="auto"/>
          <w:spacing w:val="5"/>
          <w:sz w:val="24"/>
          <w:szCs w:val="24"/>
        </w:rPr>
        <w:t>—标准中pH的下限值；</w:t>
      </w:r>
    </w:p>
    <w:p w14:paraId="25A59D20">
      <w:pPr>
        <w:keepNext w:val="0"/>
        <w:keepLines w:val="0"/>
        <w:pageBreakBefore w:val="0"/>
        <w:widowControl w:val="0"/>
        <w:kinsoku/>
        <w:wordWrap/>
        <w:overflowPunct/>
        <w:topLinePunct w:val="0"/>
        <w:autoSpaceDE/>
        <w:autoSpaceDN/>
        <w:bidi w:val="0"/>
        <w:adjustRightInd/>
        <w:snapToGrid w:val="0"/>
        <w:spacing w:line="480" w:lineRule="exact"/>
        <w:ind w:firstLine="1250" w:firstLineChars="500"/>
        <w:textAlignment w:val="auto"/>
        <w:rPr>
          <w:rFonts w:hint="default" w:ascii="Times New Roman" w:hAnsi="Times New Roman" w:cs="Times New Roman"/>
          <w:color w:val="auto"/>
          <w:spacing w:val="5"/>
          <w:sz w:val="24"/>
          <w:szCs w:val="24"/>
        </w:rPr>
      </w:pPr>
      <w:r>
        <w:rPr>
          <w:rFonts w:hint="default" w:ascii="Times New Roman" w:hAnsi="Times New Roman" w:cs="Times New Roman"/>
          <w:i/>
          <w:color w:val="auto"/>
          <w:spacing w:val="5"/>
          <w:sz w:val="24"/>
          <w:szCs w:val="24"/>
        </w:rPr>
        <w:t>pHsu</w:t>
      </w:r>
      <w:r>
        <w:rPr>
          <w:rFonts w:hint="default" w:ascii="Times New Roman" w:hAnsi="Times New Roman" w:cs="Times New Roman"/>
          <w:color w:val="auto"/>
          <w:spacing w:val="5"/>
          <w:sz w:val="24"/>
          <w:szCs w:val="24"/>
        </w:rPr>
        <w:t>—标准中pH的上限值。</w:t>
      </w:r>
    </w:p>
    <w:p w14:paraId="2F4936B1">
      <w:pPr>
        <w:pStyle w:val="54"/>
        <w:bidi w:val="0"/>
        <w:rPr>
          <w:rFonts w:hint="default"/>
          <w:color w:val="auto"/>
          <w:lang w:val="en-US" w:eastAsia="zh-CN"/>
        </w:rPr>
      </w:pPr>
      <w:r>
        <w:rPr>
          <w:rFonts w:hint="eastAsia"/>
          <w:color w:val="auto"/>
          <w:lang w:val="en-US" w:eastAsia="zh-CN"/>
        </w:rPr>
        <w:t>4.3.2地下水环境现状评价</w:t>
      </w:r>
    </w:p>
    <w:p w14:paraId="7A8FD51B">
      <w:pPr>
        <w:pStyle w:val="79"/>
        <w:bidi w:val="0"/>
        <w:rPr>
          <w:rFonts w:hint="eastAsia"/>
          <w:color w:val="auto"/>
          <w:lang w:eastAsia="zh-CN"/>
        </w:rPr>
      </w:pPr>
      <w:r>
        <w:rPr>
          <w:rFonts w:hint="default"/>
          <w:color w:val="auto"/>
        </w:rPr>
        <w:t>评价区地下水水质监测及评价结果详见表</w:t>
      </w:r>
      <w:r>
        <w:rPr>
          <w:rFonts w:hint="eastAsia"/>
          <w:color w:val="auto"/>
          <w:lang w:val="en-US" w:eastAsia="zh-CN"/>
        </w:rPr>
        <w:t>4.3-3</w:t>
      </w:r>
      <w:r>
        <w:rPr>
          <w:rFonts w:hint="eastAsia"/>
          <w:color w:val="auto"/>
          <w:lang w:eastAsia="zh-CN"/>
        </w:rPr>
        <w:t>。</w:t>
      </w:r>
    </w:p>
    <w:p w14:paraId="0FA3CBC0">
      <w:pPr>
        <w:pStyle w:val="61"/>
        <w:bidi w:val="0"/>
        <w:jc w:val="both"/>
        <w:rPr>
          <w:rFonts w:hint="default"/>
          <w:color w:val="auto"/>
          <w:lang w:val="en-US" w:eastAsia="zh-CN"/>
        </w:rPr>
      </w:pPr>
      <w:r>
        <w:rPr>
          <w:rFonts w:hint="default"/>
          <w:color w:val="auto"/>
          <w:lang w:val="en-US" w:eastAsia="zh-CN"/>
        </w:rPr>
        <w:t>表</w:t>
      </w:r>
      <w:r>
        <w:rPr>
          <w:rFonts w:hint="eastAsia"/>
          <w:color w:val="auto"/>
          <w:lang w:val="en-US" w:eastAsia="zh-CN"/>
        </w:rPr>
        <w:t xml:space="preserve">4.3-3   </w:t>
      </w:r>
      <w:r>
        <w:rPr>
          <w:rFonts w:hint="default"/>
          <w:color w:val="auto"/>
          <w:lang w:val="en-US" w:eastAsia="zh-CN"/>
        </w:rPr>
        <w:t>地下水</w:t>
      </w:r>
      <w:r>
        <w:rPr>
          <w:rFonts w:hint="eastAsia"/>
          <w:color w:val="auto"/>
          <w:lang w:val="en-US" w:eastAsia="zh-CN"/>
        </w:rPr>
        <w:t>水质</w:t>
      </w:r>
      <w:r>
        <w:rPr>
          <w:rFonts w:hint="default"/>
          <w:color w:val="auto"/>
          <w:lang w:val="en-US" w:eastAsia="zh-CN"/>
        </w:rPr>
        <w:t>监测结果</w:t>
      </w:r>
    </w:p>
    <w:tbl>
      <w:tblPr>
        <w:tblStyle w:val="36"/>
        <w:tblW w:w="494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55"/>
        <w:gridCol w:w="927"/>
        <w:gridCol w:w="933"/>
        <w:gridCol w:w="824"/>
        <w:gridCol w:w="1088"/>
        <w:gridCol w:w="1089"/>
        <w:gridCol w:w="928"/>
        <w:gridCol w:w="990"/>
      </w:tblGrid>
      <w:tr w14:paraId="0807EF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0" w:hRule="atLeast"/>
          <w:jc w:val="center"/>
        </w:trPr>
        <w:tc>
          <w:tcPr>
            <w:tcW w:w="1119" w:type="pct"/>
            <w:vMerge w:val="restart"/>
            <w:tcBorders>
              <w:tl2br w:val="nil"/>
              <w:tr2bl w:val="nil"/>
            </w:tcBorders>
            <w:noWrap/>
            <w:vAlign w:val="center"/>
          </w:tcPr>
          <w:p w14:paraId="06A488A9">
            <w:pPr>
              <w:jc w:val="center"/>
              <w:rPr>
                <w:color w:val="auto"/>
                <w:sz w:val="18"/>
                <w:szCs w:val="18"/>
              </w:rPr>
            </w:pPr>
            <w:r>
              <w:rPr>
                <w:rFonts w:hint="eastAsia"/>
                <w:color w:val="auto"/>
                <w:sz w:val="18"/>
                <w:szCs w:val="18"/>
              </w:rPr>
              <w:t>检测项目（单位）</w:t>
            </w:r>
          </w:p>
        </w:tc>
        <w:tc>
          <w:tcPr>
            <w:tcW w:w="530" w:type="pct"/>
            <w:vMerge w:val="restart"/>
            <w:tcBorders>
              <w:tl2br w:val="nil"/>
              <w:tr2bl w:val="nil"/>
            </w:tcBorders>
            <w:noWrap w:val="0"/>
            <w:vAlign w:val="center"/>
          </w:tcPr>
          <w:p w14:paraId="0CF054C5">
            <w:pPr>
              <w:jc w:val="center"/>
              <w:rPr>
                <w:color w:val="auto"/>
                <w:sz w:val="18"/>
                <w:szCs w:val="18"/>
              </w:rPr>
            </w:pPr>
            <w:r>
              <w:rPr>
                <w:rFonts w:hint="eastAsia"/>
                <w:color w:val="auto"/>
                <w:sz w:val="18"/>
                <w:szCs w:val="18"/>
              </w:rPr>
              <w:t>标准限值（</w:t>
            </w:r>
            <w:r>
              <w:rPr>
                <w:rFonts w:hint="eastAsia"/>
                <w:color w:val="auto"/>
                <w:sz w:val="18"/>
                <w:szCs w:val="18"/>
                <w:lang w:eastAsia="zh-CN"/>
              </w:rPr>
              <w:t>Ⅲ</w:t>
            </w:r>
            <w:r>
              <w:rPr>
                <w:rFonts w:hint="eastAsia"/>
                <w:color w:val="auto"/>
                <w:sz w:val="18"/>
                <w:szCs w:val="18"/>
              </w:rPr>
              <w:t>类）</w:t>
            </w:r>
          </w:p>
        </w:tc>
        <w:tc>
          <w:tcPr>
            <w:tcW w:w="1005" w:type="pct"/>
            <w:gridSpan w:val="2"/>
            <w:tcBorders>
              <w:tl2br w:val="nil"/>
              <w:tr2bl w:val="nil"/>
            </w:tcBorders>
            <w:noWrap/>
            <w:vAlign w:val="center"/>
          </w:tcPr>
          <w:p w14:paraId="61FD70C1">
            <w:pPr>
              <w:jc w:val="center"/>
              <w:rPr>
                <w:rFonts w:hint="default" w:eastAsia="宋体"/>
                <w:color w:val="auto"/>
                <w:sz w:val="18"/>
                <w:szCs w:val="18"/>
                <w:lang w:val="en-US" w:eastAsia="zh-CN"/>
              </w:rPr>
            </w:pPr>
            <w:r>
              <w:rPr>
                <w:rFonts w:hint="eastAsia"/>
                <w:color w:val="auto"/>
                <w:sz w:val="18"/>
                <w:szCs w:val="18"/>
                <w:lang w:val="en-US" w:eastAsia="zh-CN"/>
              </w:rPr>
              <w:t>区块上游</w:t>
            </w:r>
          </w:p>
        </w:tc>
        <w:tc>
          <w:tcPr>
            <w:tcW w:w="1246" w:type="pct"/>
            <w:gridSpan w:val="2"/>
            <w:tcBorders>
              <w:tl2br w:val="nil"/>
              <w:tr2bl w:val="nil"/>
            </w:tcBorders>
            <w:noWrap/>
            <w:vAlign w:val="center"/>
          </w:tcPr>
          <w:p w14:paraId="3A550902">
            <w:pPr>
              <w:jc w:val="center"/>
              <w:rPr>
                <w:color w:val="auto"/>
                <w:sz w:val="18"/>
                <w:szCs w:val="18"/>
              </w:rPr>
            </w:pPr>
            <w:r>
              <w:rPr>
                <w:color w:val="auto"/>
                <w:sz w:val="18"/>
                <w:szCs w:val="18"/>
              </w:rPr>
              <w:t>YM11</w:t>
            </w:r>
          </w:p>
        </w:tc>
        <w:tc>
          <w:tcPr>
            <w:tcW w:w="1098" w:type="pct"/>
            <w:gridSpan w:val="2"/>
            <w:tcBorders>
              <w:tl2br w:val="nil"/>
              <w:tr2bl w:val="nil"/>
            </w:tcBorders>
            <w:noWrap/>
            <w:vAlign w:val="center"/>
          </w:tcPr>
          <w:p w14:paraId="7D5DB992">
            <w:pPr>
              <w:jc w:val="center"/>
              <w:rPr>
                <w:color w:val="auto"/>
                <w:sz w:val="18"/>
                <w:szCs w:val="18"/>
              </w:rPr>
            </w:pPr>
            <w:r>
              <w:rPr>
                <w:color w:val="auto"/>
                <w:sz w:val="18"/>
                <w:szCs w:val="18"/>
              </w:rPr>
              <w:t>YM14</w:t>
            </w:r>
          </w:p>
        </w:tc>
      </w:tr>
      <w:tr w14:paraId="30B6E9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1119" w:type="pct"/>
            <w:vMerge w:val="continue"/>
            <w:tcBorders>
              <w:tl2br w:val="nil"/>
              <w:tr2bl w:val="nil"/>
            </w:tcBorders>
            <w:noWrap w:val="0"/>
            <w:vAlign w:val="center"/>
          </w:tcPr>
          <w:p w14:paraId="6791A933">
            <w:pPr>
              <w:rPr>
                <w:color w:val="auto"/>
                <w:sz w:val="18"/>
                <w:szCs w:val="18"/>
              </w:rPr>
            </w:pPr>
          </w:p>
        </w:tc>
        <w:tc>
          <w:tcPr>
            <w:tcW w:w="530" w:type="pct"/>
            <w:vMerge w:val="continue"/>
            <w:tcBorders>
              <w:tl2br w:val="nil"/>
              <w:tr2bl w:val="nil"/>
            </w:tcBorders>
            <w:noWrap w:val="0"/>
            <w:vAlign w:val="center"/>
          </w:tcPr>
          <w:p w14:paraId="0A041EF2">
            <w:pPr>
              <w:rPr>
                <w:color w:val="auto"/>
                <w:sz w:val="18"/>
                <w:szCs w:val="18"/>
              </w:rPr>
            </w:pPr>
          </w:p>
        </w:tc>
        <w:tc>
          <w:tcPr>
            <w:tcW w:w="534" w:type="pct"/>
            <w:tcBorders>
              <w:tl2br w:val="nil"/>
              <w:tr2bl w:val="nil"/>
            </w:tcBorders>
            <w:noWrap/>
            <w:vAlign w:val="center"/>
          </w:tcPr>
          <w:p w14:paraId="68A14F27">
            <w:pPr>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监测值</w:t>
            </w:r>
          </w:p>
        </w:tc>
        <w:tc>
          <w:tcPr>
            <w:tcW w:w="471" w:type="pct"/>
            <w:tcBorders>
              <w:tl2br w:val="nil"/>
              <w:tr2bl w:val="nil"/>
            </w:tcBorders>
            <w:noWrap/>
            <w:vAlign w:val="center"/>
          </w:tcPr>
          <w:p w14:paraId="4F4E3C71">
            <w:pPr>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标准指数</w:t>
            </w:r>
          </w:p>
        </w:tc>
        <w:tc>
          <w:tcPr>
            <w:tcW w:w="622" w:type="pct"/>
            <w:tcBorders>
              <w:tl2br w:val="nil"/>
              <w:tr2bl w:val="nil"/>
            </w:tcBorders>
            <w:noWrap/>
            <w:vAlign w:val="center"/>
          </w:tcPr>
          <w:p w14:paraId="7ADA5472">
            <w:pPr>
              <w:jc w:val="center"/>
              <w:rPr>
                <w:color w:val="auto"/>
                <w:sz w:val="18"/>
                <w:szCs w:val="18"/>
              </w:rPr>
            </w:pPr>
            <w:r>
              <w:rPr>
                <w:rFonts w:hint="eastAsia"/>
                <w:color w:val="auto"/>
                <w:sz w:val="18"/>
                <w:szCs w:val="18"/>
              </w:rPr>
              <w:t>监测值</w:t>
            </w:r>
          </w:p>
        </w:tc>
        <w:tc>
          <w:tcPr>
            <w:tcW w:w="623" w:type="pct"/>
            <w:tcBorders>
              <w:tl2br w:val="nil"/>
              <w:tr2bl w:val="nil"/>
            </w:tcBorders>
            <w:noWrap/>
            <w:vAlign w:val="center"/>
          </w:tcPr>
          <w:p w14:paraId="22341340">
            <w:pPr>
              <w:jc w:val="center"/>
              <w:rPr>
                <w:color w:val="auto"/>
                <w:sz w:val="18"/>
                <w:szCs w:val="18"/>
              </w:rPr>
            </w:pPr>
            <w:r>
              <w:rPr>
                <w:rFonts w:hint="eastAsia"/>
                <w:color w:val="auto"/>
                <w:sz w:val="18"/>
                <w:szCs w:val="18"/>
              </w:rPr>
              <w:t>标准指数</w:t>
            </w:r>
          </w:p>
        </w:tc>
        <w:tc>
          <w:tcPr>
            <w:tcW w:w="531" w:type="pct"/>
            <w:tcBorders>
              <w:tl2br w:val="nil"/>
              <w:tr2bl w:val="nil"/>
            </w:tcBorders>
            <w:noWrap/>
            <w:vAlign w:val="center"/>
          </w:tcPr>
          <w:p w14:paraId="7F079D70">
            <w:pPr>
              <w:jc w:val="center"/>
              <w:rPr>
                <w:color w:val="auto"/>
                <w:sz w:val="18"/>
                <w:szCs w:val="18"/>
              </w:rPr>
            </w:pPr>
            <w:r>
              <w:rPr>
                <w:rFonts w:hint="eastAsia"/>
                <w:color w:val="auto"/>
                <w:sz w:val="18"/>
                <w:szCs w:val="18"/>
              </w:rPr>
              <w:t>监测值</w:t>
            </w:r>
          </w:p>
        </w:tc>
        <w:tc>
          <w:tcPr>
            <w:tcW w:w="566" w:type="pct"/>
            <w:tcBorders>
              <w:tl2br w:val="nil"/>
              <w:tr2bl w:val="nil"/>
            </w:tcBorders>
            <w:noWrap/>
            <w:vAlign w:val="center"/>
          </w:tcPr>
          <w:p w14:paraId="039AB073">
            <w:pPr>
              <w:jc w:val="center"/>
              <w:rPr>
                <w:color w:val="auto"/>
                <w:sz w:val="18"/>
                <w:szCs w:val="18"/>
              </w:rPr>
            </w:pPr>
            <w:r>
              <w:rPr>
                <w:rFonts w:hint="eastAsia"/>
                <w:color w:val="auto"/>
                <w:sz w:val="18"/>
                <w:szCs w:val="18"/>
              </w:rPr>
              <w:t>标准指数</w:t>
            </w:r>
          </w:p>
        </w:tc>
      </w:tr>
      <w:tr w14:paraId="3D0A20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1119" w:type="pct"/>
            <w:tcBorders>
              <w:tl2br w:val="nil"/>
              <w:tr2bl w:val="nil"/>
            </w:tcBorders>
            <w:noWrap w:val="0"/>
            <w:vAlign w:val="center"/>
          </w:tcPr>
          <w:p w14:paraId="3D7917EA">
            <w:pPr>
              <w:jc w:val="center"/>
              <w:rPr>
                <w:color w:val="auto"/>
                <w:sz w:val="18"/>
                <w:szCs w:val="18"/>
              </w:rPr>
            </w:pPr>
            <w:r>
              <w:rPr>
                <w:color w:val="auto"/>
                <w:sz w:val="18"/>
                <w:szCs w:val="18"/>
              </w:rPr>
              <w:t>pH</w:t>
            </w:r>
            <w:r>
              <w:rPr>
                <w:rFonts w:hint="eastAsia"/>
                <w:color w:val="auto"/>
                <w:sz w:val="18"/>
                <w:szCs w:val="18"/>
                <w:lang w:eastAsia="zh-CN"/>
              </w:rPr>
              <w:t>（</w:t>
            </w:r>
            <w:r>
              <w:rPr>
                <w:rFonts w:hint="eastAsia"/>
                <w:color w:val="auto"/>
                <w:sz w:val="18"/>
                <w:szCs w:val="18"/>
              </w:rPr>
              <w:t>无纲量</w:t>
            </w:r>
            <w:r>
              <w:rPr>
                <w:rFonts w:hint="eastAsia"/>
                <w:color w:val="auto"/>
                <w:sz w:val="18"/>
                <w:szCs w:val="18"/>
                <w:lang w:eastAsia="zh-CN"/>
              </w:rPr>
              <w:t>）</w:t>
            </w:r>
          </w:p>
        </w:tc>
        <w:tc>
          <w:tcPr>
            <w:tcW w:w="530" w:type="pct"/>
            <w:tcBorders>
              <w:tl2br w:val="nil"/>
              <w:tr2bl w:val="nil"/>
            </w:tcBorders>
            <w:noWrap w:val="0"/>
            <w:vAlign w:val="center"/>
          </w:tcPr>
          <w:p w14:paraId="0B9A4B7F">
            <w:pPr>
              <w:jc w:val="center"/>
              <w:rPr>
                <w:color w:val="auto"/>
                <w:sz w:val="18"/>
                <w:szCs w:val="18"/>
              </w:rPr>
            </w:pPr>
            <w:r>
              <w:rPr>
                <w:color w:val="auto"/>
                <w:sz w:val="18"/>
                <w:szCs w:val="18"/>
              </w:rPr>
              <w:t>6.5~8.5</w:t>
            </w:r>
          </w:p>
        </w:tc>
        <w:tc>
          <w:tcPr>
            <w:tcW w:w="534" w:type="pct"/>
            <w:tcBorders>
              <w:tl2br w:val="nil"/>
              <w:tr2bl w:val="nil"/>
            </w:tcBorders>
            <w:noWrap w:val="0"/>
            <w:vAlign w:val="center"/>
          </w:tcPr>
          <w:p w14:paraId="125213B9">
            <w:pPr>
              <w:jc w:val="center"/>
              <w:rPr>
                <w:rFonts w:hint="default" w:eastAsia="宋体"/>
                <w:color w:val="auto"/>
                <w:sz w:val="18"/>
                <w:szCs w:val="18"/>
                <w:lang w:val="en-US" w:eastAsia="zh-CN"/>
              </w:rPr>
            </w:pPr>
          </w:p>
        </w:tc>
        <w:tc>
          <w:tcPr>
            <w:tcW w:w="471" w:type="pct"/>
            <w:tcBorders>
              <w:tl2br w:val="nil"/>
              <w:tr2bl w:val="nil"/>
            </w:tcBorders>
            <w:noWrap w:val="0"/>
            <w:vAlign w:val="center"/>
          </w:tcPr>
          <w:p w14:paraId="2B27BF79">
            <w:pPr>
              <w:jc w:val="center"/>
              <w:rPr>
                <w:rFonts w:hint="default" w:eastAsia="宋体"/>
                <w:color w:val="auto"/>
                <w:sz w:val="18"/>
                <w:szCs w:val="18"/>
                <w:lang w:val="en-US" w:eastAsia="zh-CN"/>
              </w:rPr>
            </w:pPr>
          </w:p>
        </w:tc>
        <w:tc>
          <w:tcPr>
            <w:tcW w:w="622" w:type="pct"/>
            <w:tcBorders>
              <w:tl2br w:val="nil"/>
              <w:tr2bl w:val="nil"/>
            </w:tcBorders>
            <w:shd w:val="clear" w:color="auto" w:fill="auto"/>
            <w:noWrap w:val="0"/>
            <w:vAlign w:val="center"/>
          </w:tcPr>
          <w:p w14:paraId="75EB33F2">
            <w:pPr>
              <w:jc w:val="center"/>
              <w:rPr>
                <w:color w:val="auto"/>
                <w:sz w:val="18"/>
                <w:szCs w:val="18"/>
              </w:rPr>
            </w:pPr>
          </w:p>
        </w:tc>
        <w:tc>
          <w:tcPr>
            <w:tcW w:w="623" w:type="pct"/>
            <w:tcBorders>
              <w:tl2br w:val="nil"/>
              <w:tr2bl w:val="nil"/>
            </w:tcBorders>
            <w:shd w:val="clear" w:color="auto" w:fill="auto"/>
            <w:noWrap w:val="0"/>
            <w:vAlign w:val="center"/>
          </w:tcPr>
          <w:p w14:paraId="319B068F">
            <w:pPr>
              <w:jc w:val="center"/>
              <w:rPr>
                <w:color w:val="auto"/>
                <w:sz w:val="18"/>
                <w:szCs w:val="18"/>
              </w:rPr>
            </w:pPr>
          </w:p>
        </w:tc>
        <w:tc>
          <w:tcPr>
            <w:tcW w:w="531" w:type="pct"/>
            <w:tcBorders>
              <w:tl2br w:val="nil"/>
              <w:tr2bl w:val="nil"/>
            </w:tcBorders>
            <w:shd w:val="clear" w:color="auto" w:fill="auto"/>
            <w:noWrap w:val="0"/>
            <w:vAlign w:val="center"/>
          </w:tcPr>
          <w:p w14:paraId="2854D3CE">
            <w:pPr>
              <w:jc w:val="center"/>
              <w:rPr>
                <w:color w:val="auto"/>
                <w:sz w:val="18"/>
                <w:szCs w:val="18"/>
              </w:rPr>
            </w:pPr>
          </w:p>
        </w:tc>
        <w:tc>
          <w:tcPr>
            <w:tcW w:w="566" w:type="pct"/>
            <w:tcBorders>
              <w:tl2br w:val="nil"/>
              <w:tr2bl w:val="nil"/>
            </w:tcBorders>
            <w:shd w:val="clear" w:color="auto" w:fill="auto"/>
            <w:noWrap w:val="0"/>
            <w:vAlign w:val="center"/>
          </w:tcPr>
          <w:p w14:paraId="3D5AEEA9">
            <w:pPr>
              <w:jc w:val="center"/>
              <w:rPr>
                <w:color w:val="auto"/>
                <w:sz w:val="18"/>
                <w:szCs w:val="18"/>
              </w:rPr>
            </w:pPr>
          </w:p>
        </w:tc>
      </w:tr>
      <w:tr w14:paraId="42A16F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1119" w:type="pct"/>
            <w:tcBorders>
              <w:tl2br w:val="nil"/>
              <w:tr2bl w:val="nil"/>
            </w:tcBorders>
            <w:shd w:val="clear" w:color="auto" w:fill="auto"/>
            <w:noWrap w:val="0"/>
            <w:vAlign w:val="center"/>
          </w:tcPr>
          <w:p w14:paraId="05DE7BE0">
            <w:pPr>
              <w:jc w:val="center"/>
              <w:rPr>
                <w:color w:val="auto"/>
                <w:sz w:val="18"/>
                <w:szCs w:val="18"/>
              </w:rPr>
            </w:pPr>
            <w:r>
              <w:rPr>
                <w:rFonts w:hint="eastAsia"/>
                <w:color w:val="auto"/>
                <w:sz w:val="18"/>
                <w:szCs w:val="18"/>
              </w:rPr>
              <w:t>溶解性总固体</w:t>
            </w:r>
            <w:r>
              <w:rPr>
                <w:color w:val="auto"/>
                <w:sz w:val="18"/>
                <w:szCs w:val="18"/>
              </w:rPr>
              <w:t xml:space="preserve"> (mg/L)</w:t>
            </w:r>
          </w:p>
        </w:tc>
        <w:tc>
          <w:tcPr>
            <w:tcW w:w="530" w:type="pct"/>
            <w:tcBorders>
              <w:tl2br w:val="nil"/>
              <w:tr2bl w:val="nil"/>
            </w:tcBorders>
            <w:shd w:val="clear" w:color="auto" w:fill="auto"/>
            <w:noWrap w:val="0"/>
            <w:vAlign w:val="center"/>
          </w:tcPr>
          <w:p w14:paraId="7F4465C2">
            <w:pPr>
              <w:jc w:val="center"/>
              <w:rPr>
                <w:color w:val="auto"/>
                <w:sz w:val="18"/>
                <w:szCs w:val="18"/>
              </w:rPr>
            </w:pPr>
            <w:r>
              <w:rPr>
                <w:color w:val="auto"/>
                <w:sz w:val="18"/>
                <w:szCs w:val="18"/>
              </w:rPr>
              <w:t>1000</w:t>
            </w:r>
          </w:p>
        </w:tc>
        <w:tc>
          <w:tcPr>
            <w:tcW w:w="534" w:type="pct"/>
            <w:tcBorders>
              <w:tl2br w:val="nil"/>
              <w:tr2bl w:val="nil"/>
            </w:tcBorders>
            <w:shd w:val="clear" w:color="000000" w:fill="auto"/>
            <w:noWrap w:val="0"/>
            <w:vAlign w:val="center"/>
          </w:tcPr>
          <w:p w14:paraId="079BFB6B">
            <w:pPr>
              <w:jc w:val="center"/>
              <w:rPr>
                <w:rFonts w:hint="default" w:eastAsia="宋体"/>
                <w:color w:val="auto"/>
                <w:sz w:val="18"/>
                <w:szCs w:val="18"/>
                <w:lang w:val="en-US" w:eastAsia="zh-CN"/>
              </w:rPr>
            </w:pPr>
          </w:p>
        </w:tc>
        <w:tc>
          <w:tcPr>
            <w:tcW w:w="471" w:type="pct"/>
            <w:tcBorders>
              <w:tl2br w:val="nil"/>
              <w:tr2bl w:val="nil"/>
            </w:tcBorders>
            <w:shd w:val="clear" w:color="000000" w:fill="auto"/>
            <w:noWrap w:val="0"/>
            <w:vAlign w:val="center"/>
          </w:tcPr>
          <w:p w14:paraId="1C7BE730">
            <w:pPr>
              <w:jc w:val="center"/>
              <w:rPr>
                <w:rFonts w:hint="default" w:eastAsia="宋体"/>
                <w:color w:val="auto"/>
                <w:sz w:val="18"/>
                <w:szCs w:val="18"/>
                <w:lang w:val="en-US" w:eastAsia="zh-CN"/>
              </w:rPr>
            </w:pPr>
          </w:p>
        </w:tc>
        <w:tc>
          <w:tcPr>
            <w:tcW w:w="622" w:type="pct"/>
            <w:tcBorders>
              <w:tl2br w:val="nil"/>
              <w:tr2bl w:val="nil"/>
            </w:tcBorders>
            <w:shd w:val="clear" w:color="auto" w:fill="auto"/>
            <w:noWrap w:val="0"/>
            <w:vAlign w:val="center"/>
          </w:tcPr>
          <w:p w14:paraId="59B82D8F">
            <w:pPr>
              <w:jc w:val="center"/>
              <w:rPr>
                <w:b/>
                <w:bCs/>
                <w:color w:val="auto"/>
                <w:sz w:val="18"/>
                <w:szCs w:val="18"/>
              </w:rPr>
            </w:pPr>
          </w:p>
        </w:tc>
        <w:tc>
          <w:tcPr>
            <w:tcW w:w="623" w:type="pct"/>
            <w:tcBorders>
              <w:tl2br w:val="nil"/>
              <w:tr2bl w:val="nil"/>
            </w:tcBorders>
            <w:shd w:val="clear" w:color="auto" w:fill="auto"/>
            <w:noWrap w:val="0"/>
            <w:vAlign w:val="center"/>
          </w:tcPr>
          <w:p w14:paraId="5C81AFA7">
            <w:pPr>
              <w:jc w:val="center"/>
              <w:rPr>
                <w:b/>
                <w:bCs/>
                <w:color w:val="auto"/>
                <w:sz w:val="18"/>
                <w:szCs w:val="18"/>
              </w:rPr>
            </w:pPr>
          </w:p>
        </w:tc>
        <w:tc>
          <w:tcPr>
            <w:tcW w:w="531" w:type="pct"/>
            <w:tcBorders>
              <w:tl2br w:val="nil"/>
              <w:tr2bl w:val="nil"/>
            </w:tcBorders>
            <w:shd w:val="clear" w:color="auto" w:fill="auto"/>
            <w:noWrap w:val="0"/>
            <w:vAlign w:val="center"/>
          </w:tcPr>
          <w:p w14:paraId="71559CEE">
            <w:pPr>
              <w:jc w:val="center"/>
              <w:rPr>
                <w:b/>
                <w:bCs/>
                <w:color w:val="auto"/>
                <w:sz w:val="18"/>
                <w:szCs w:val="18"/>
              </w:rPr>
            </w:pPr>
          </w:p>
        </w:tc>
        <w:tc>
          <w:tcPr>
            <w:tcW w:w="566" w:type="pct"/>
            <w:tcBorders>
              <w:tl2br w:val="nil"/>
              <w:tr2bl w:val="nil"/>
            </w:tcBorders>
            <w:shd w:val="clear" w:color="auto" w:fill="auto"/>
            <w:noWrap w:val="0"/>
            <w:vAlign w:val="center"/>
          </w:tcPr>
          <w:p w14:paraId="5119D6C2">
            <w:pPr>
              <w:jc w:val="center"/>
              <w:rPr>
                <w:b/>
                <w:bCs/>
                <w:color w:val="auto"/>
                <w:sz w:val="18"/>
                <w:szCs w:val="18"/>
              </w:rPr>
            </w:pPr>
          </w:p>
        </w:tc>
      </w:tr>
      <w:tr w14:paraId="54B468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1119" w:type="pct"/>
            <w:tcBorders>
              <w:tl2br w:val="nil"/>
              <w:tr2bl w:val="nil"/>
            </w:tcBorders>
            <w:noWrap w:val="0"/>
            <w:vAlign w:val="center"/>
          </w:tcPr>
          <w:p w14:paraId="4790B18B">
            <w:pPr>
              <w:jc w:val="center"/>
              <w:rPr>
                <w:color w:val="auto"/>
                <w:sz w:val="18"/>
                <w:szCs w:val="18"/>
              </w:rPr>
            </w:pPr>
            <w:r>
              <w:rPr>
                <w:rFonts w:hint="eastAsia"/>
                <w:color w:val="auto"/>
                <w:sz w:val="18"/>
                <w:szCs w:val="18"/>
              </w:rPr>
              <w:t>耗氧量 (mg/L)</w:t>
            </w:r>
          </w:p>
        </w:tc>
        <w:tc>
          <w:tcPr>
            <w:tcW w:w="530" w:type="pct"/>
            <w:tcBorders>
              <w:tl2br w:val="nil"/>
              <w:tr2bl w:val="nil"/>
            </w:tcBorders>
            <w:noWrap w:val="0"/>
            <w:vAlign w:val="center"/>
          </w:tcPr>
          <w:p w14:paraId="4FD003C0">
            <w:pPr>
              <w:jc w:val="center"/>
              <w:rPr>
                <w:color w:val="auto"/>
                <w:sz w:val="18"/>
                <w:szCs w:val="18"/>
              </w:rPr>
            </w:pPr>
            <w:r>
              <w:rPr>
                <w:color w:val="auto"/>
                <w:sz w:val="18"/>
                <w:szCs w:val="18"/>
              </w:rPr>
              <w:t>3</w:t>
            </w:r>
          </w:p>
        </w:tc>
        <w:tc>
          <w:tcPr>
            <w:tcW w:w="534" w:type="pct"/>
            <w:tcBorders>
              <w:tl2br w:val="nil"/>
              <w:tr2bl w:val="nil"/>
            </w:tcBorders>
            <w:noWrap w:val="0"/>
            <w:vAlign w:val="center"/>
          </w:tcPr>
          <w:p w14:paraId="5DBA84AC">
            <w:pPr>
              <w:jc w:val="center"/>
              <w:rPr>
                <w:rFonts w:hint="default" w:eastAsia="宋体"/>
                <w:color w:val="auto"/>
                <w:sz w:val="18"/>
                <w:szCs w:val="18"/>
                <w:lang w:val="en-US" w:eastAsia="zh-CN"/>
              </w:rPr>
            </w:pPr>
          </w:p>
        </w:tc>
        <w:tc>
          <w:tcPr>
            <w:tcW w:w="471" w:type="pct"/>
            <w:tcBorders>
              <w:tl2br w:val="nil"/>
              <w:tr2bl w:val="nil"/>
            </w:tcBorders>
            <w:noWrap w:val="0"/>
            <w:vAlign w:val="center"/>
          </w:tcPr>
          <w:p w14:paraId="574496A2">
            <w:pPr>
              <w:jc w:val="center"/>
              <w:rPr>
                <w:rFonts w:hint="default" w:eastAsia="宋体"/>
                <w:color w:val="auto"/>
                <w:sz w:val="18"/>
                <w:szCs w:val="18"/>
                <w:lang w:val="en-US" w:eastAsia="zh-CN"/>
              </w:rPr>
            </w:pPr>
          </w:p>
        </w:tc>
        <w:tc>
          <w:tcPr>
            <w:tcW w:w="622" w:type="pct"/>
            <w:tcBorders>
              <w:tl2br w:val="nil"/>
              <w:tr2bl w:val="nil"/>
            </w:tcBorders>
            <w:noWrap w:val="0"/>
            <w:vAlign w:val="center"/>
          </w:tcPr>
          <w:p w14:paraId="4795B192">
            <w:pPr>
              <w:jc w:val="center"/>
              <w:rPr>
                <w:color w:val="auto"/>
                <w:sz w:val="18"/>
                <w:szCs w:val="18"/>
              </w:rPr>
            </w:pPr>
          </w:p>
        </w:tc>
        <w:tc>
          <w:tcPr>
            <w:tcW w:w="623" w:type="pct"/>
            <w:tcBorders>
              <w:tl2br w:val="nil"/>
              <w:tr2bl w:val="nil"/>
            </w:tcBorders>
            <w:noWrap w:val="0"/>
            <w:vAlign w:val="center"/>
          </w:tcPr>
          <w:p w14:paraId="49087C46">
            <w:pPr>
              <w:jc w:val="center"/>
              <w:rPr>
                <w:color w:val="auto"/>
                <w:sz w:val="18"/>
                <w:szCs w:val="18"/>
              </w:rPr>
            </w:pPr>
          </w:p>
        </w:tc>
        <w:tc>
          <w:tcPr>
            <w:tcW w:w="531" w:type="pct"/>
            <w:tcBorders>
              <w:tl2br w:val="nil"/>
              <w:tr2bl w:val="nil"/>
            </w:tcBorders>
            <w:noWrap w:val="0"/>
            <w:vAlign w:val="center"/>
          </w:tcPr>
          <w:p w14:paraId="4EBD3012">
            <w:pPr>
              <w:jc w:val="center"/>
              <w:rPr>
                <w:color w:val="auto"/>
                <w:sz w:val="18"/>
                <w:szCs w:val="18"/>
              </w:rPr>
            </w:pPr>
          </w:p>
        </w:tc>
        <w:tc>
          <w:tcPr>
            <w:tcW w:w="566" w:type="pct"/>
            <w:tcBorders>
              <w:tl2br w:val="nil"/>
              <w:tr2bl w:val="nil"/>
            </w:tcBorders>
            <w:noWrap w:val="0"/>
            <w:vAlign w:val="center"/>
          </w:tcPr>
          <w:p w14:paraId="2FDA10CA">
            <w:pPr>
              <w:jc w:val="center"/>
              <w:rPr>
                <w:color w:val="auto"/>
                <w:sz w:val="18"/>
                <w:szCs w:val="18"/>
              </w:rPr>
            </w:pPr>
          </w:p>
        </w:tc>
      </w:tr>
      <w:tr w14:paraId="4DDB0C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1119" w:type="pct"/>
            <w:tcBorders>
              <w:tl2br w:val="nil"/>
              <w:tr2bl w:val="nil"/>
            </w:tcBorders>
            <w:noWrap w:val="0"/>
            <w:vAlign w:val="center"/>
          </w:tcPr>
          <w:p w14:paraId="12924BEE">
            <w:pPr>
              <w:jc w:val="center"/>
              <w:rPr>
                <w:color w:val="auto"/>
                <w:sz w:val="18"/>
                <w:szCs w:val="18"/>
              </w:rPr>
            </w:pPr>
            <w:r>
              <w:rPr>
                <w:rFonts w:hint="eastAsia"/>
                <w:color w:val="auto"/>
                <w:sz w:val="18"/>
                <w:szCs w:val="18"/>
              </w:rPr>
              <w:t>氨氮</w:t>
            </w:r>
            <w:r>
              <w:rPr>
                <w:color w:val="auto"/>
                <w:sz w:val="18"/>
                <w:szCs w:val="18"/>
              </w:rPr>
              <w:t xml:space="preserve"> </w:t>
            </w:r>
            <w:r>
              <w:rPr>
                <w:rFonts w:hint="eastAsia"/>
                <w:color w:val="auto"/>
                <w:sz w:val="18"/>
                <w:szCs w:val="18"/>
                <w:lang w:eastAsia="zh-CN"/>
              </w:rPr>
              <w:t>（</w:t>
            </w:r>
            <w:r>
              <w:rPr>
                <w:rFonts w:hint="eastAsia"/>
                <w:color w:val="auto"/>
                <w:sz w:val="18"/>
                <w:szCs w:val="18"/>
              </w:rPr>
              <w:t>以</w:t>
            </w:r>
            <w:r>
              <w:rPr>
                <w:color w:val="auto"/>
                <w:sz w:val="18"/>
                <w:szCs w:val="18"/>
              </w:rPr>
              <w:t xml:space="preserve"> N </w:t>
            </w:r>
            <w:r>
              <w:rPr>
                <w:rFonts w:hint="eastAsia"/>
                <w:color w:val="auto"/>
                <w:sz w:val="18"/>
                <w:szCs w:val="18"/>
              </w:rPr>
              <w:t>计</w:t>
            </w:r>
            <w:r>
              <w:rPr>
                <w:rFonts w:hint="eastAsia"/>
                <w:color w:val="auto"/>
                <w:sz w:val="18"/>
                <w:szCs w:val="18"/>
                <w:lang w:val="en-US" w:eastAsia="zh-CN"/>
              </w:rPr>
              <w:t>）（</w:t>
            </w:r>
            <w:r>
              <w:rPr>
                <w:color w:val="auto"/>
                <w:sz w:val="18"/>
                <w:szCs w:val="18"/>
              </w:rPr>
              <w:t>mg/L</w:t>
            </w:r>
            <w:r>
              <w:rPr>
                <w:rFonts w:hint="eastAsia"/>
                <w:color w:val="auto"/>
                <w:sz w:val="18"/>
                <w:szCs w:val="18"/>
                <w:lang w:eastAsia="zh-CN"/>
              </w:rPr>
              <w:t>）</w:t>
            </w:r>
          </w:p>
        </w:tc>
        <w:tc>
          <w:tcPr>
            <w:tcW w:w="530" w:type="pct"/>
            <w:tcBorders>
              <w:tl2br w:val="nil"/>
              <w:tr2bl w:val="nil"/>
            </w:tcBorders>
            <w:noWrap w:val="0"/>
            <w:vAlign w:val="center"/>
          </w:tcPr>
          <w:p w14:paraId="514204EE">
            <w:pPr>
              <w:jc w:val="center"/>
              <w:rPr>
                <w:color w:val="auto"/>
                <w:sz w:val="18"/>
                <w:szCs w:val="18"/>
              </w:rPr>
            </w:pPr>
            <w:r>
              <w:rPr>
                <w:color w:val="auto"/>
                <w:sz w:val="18"/>
                <w:szCs w:val="18"/>
              </w:rPr>
              <w:t>0.5</w:t>
            </w:r>
          </w:p>
        </w:tc>
        <w:tc>
          <w:tcPr>
            <w:tcW w:w="534" w:type="pct"/>
            <w:tcBorders>
              <w:tl2br w:val="nil"/>
              <w:tr2bl w:val="nil"/>
            </w:tcBorders>
            <w:noWrap w:val="0"/>
            <w:vAlign w:val="center"/>
          </w:tcPr>
          <w:p w14:paraId="07CE8C9B">
            <w:pPr>
              <w:jc w:val="center"/>
              <w:rPr>
                <w:rFonts w:hint="default" w:eastAsia="宋体"/>
                <w:color w:val="auto"/>
                <w:sz w:val="18"/>
                <w:szCs w:val="18"/>
                <w:lang w:val="en-US" w:eastAsia="zh-CN"/>
              </w:rPr>
            </w:pPr>
          </w:p>
        </w:tc>
        <w:tc>
          <w:tcPr>
            <w:tcW w:w="471" w:type="pct"/>
            <w:tcBorders>
              <w:tl2br w:val="nil"/>
              <w:tr2bl w:val="nil"/>
            </w:tcBorders>
            <w:noWrap w:val="0"/>
            <w:vAlign w:val="center"/>
          </w:tcPr>
          <w:p w14:paraId="7ABE66FC">
            <w:pPr>
              <w:jc w:val="center"/>
              <w:rPr>
                <w:rFonts w:hint="eastAsia" w:eastAsia="宋体"/>
                <w:color w:val="auto"/>
                <w:sz w:val="18"/>
                <w:szCs w:val="18"/>
                <w:lang w:val="en-US" w:eastAsia="zh-CN"/>
              </w:rPr>
            </w:pPr>
          </w:p>
        </w:tc>
        <w:tc>
          <w:tcPr>
            <w:tcW w:w="622" w:type="pct"/>
            <w:tcBorders>
              <w:tl2br w:val="nil"/>
              <w:tr2bl w:val="nil"/>
            </w:tcBorders>
            <w:noWrap w:val="0"/>
            <w:vAlign w:val="center"/>
          </w:tcPr>
          <w:p w14:paraId="3CF80ECC">
            <w:pPr>
              <w:jc w:val="center"/>
              <w:rPr>
                <w:color w:val="auto"/>
                <w:sz w:val="18"/>
                <w:szCs w:val="18"/>
              </w:rPr>
            </w:pPr>
          </w:p>
        </w:tc>
        <w:tc>
          <w:tcPr>
            <w:tcW w:w="623" w:type="pct"/>
            <w:tcBorders>
              <w:tl2br w:val="nil"/>
              <w:tr2bl w:val="nil"/>
            </w:tcBorders>
            <w:noWrap w:val="0"/>
            <w:vAlign w:val="center"/>
          </w:tcPr>
          <w:p w14:paraId="6D4B9517">
            <w:pPr>
              <w:jc w:val="center"/>
              <w:rPr>
                <w:color w:val="auto"/>
                <w:sz w:val="18"/>
                <w:szCs w:val="18"/>
              </w:rPr>
            </w:pPr>
          </w:p>
        </w:tc>
        <w:tc>
          <w:tcPr>
            <w:tcW w:w="531" w:type="pct"/>
            <w:tcBorders>
              <w:tl2br w:val="nil"/>
              <w:tr2bl w:val="nil"/>
            </w:tcBorders>
            <w:noWrap w:val="0"/>
            <w:vAlign w:val="center"/>
          </w:tcPr>
          <w:p w14:paraId="6F5B76A2">
            <w:pPr>
              <w:jc w:val="center"/>
              <w:rPr>
                <w:color w:val="auto"/>
                <w:sz w:val="18"/>
                <w:szCs w:val="18"/>
              </w:rPr>
            </w:pPr>
          </w:p>
        </w:tc>
        <w:tc>
          <w:tcPr>
            <w:tcW w:w="566" w:type="pct"/>
            <w:tcBorders>
              <w:tl2br w:val="nil"/>
              <w:tr2bl w:val="nil"/>
            </w:tcBorders>
            <w:noWrap w:val="0"/>
            <w:vAlign w:val="center"/>
          </w:tcPr>
          <w:p w14:paraId="1E6C883B">
            <w:pPr>
              <w:jc w:val="center"/>
              <w:rPr>
                <w:color w:val="auto"/>
                <w:sz w:val="18"/>
                <w:szCs w:val="18"/>
              </w:rPr>
            </w:pPr>
          </w:p>
        </w:tc>
      </w:tr>
      <w:tr w14:paraId="0F5421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1119" w:type="pct"/>
            <w:tcBorders>
              <w:tl2br w:val="nil"/>
              <w:tr2bl w:val="nil"/>
            </w:tcBorders>
            <w:noWrap w:val="0"/>
            <w:vAlign w:val="center"/>
          </w:tcPr>
          <w:p w14:paraId="5B5F5BCC">
            <w:pPr>
              <w:jc w:val="center"/>
              <w:rPr>
                <w:color w:val="auto"/>
                <w:sz w:val="18"/>
                <w:szCs w:val="18"/>
              </w:rPr>
            </w:pPr>
            <w:r>
              <w:rPr>
                <w:rFonts w:hint="eastAsia"/>
                <w:color w:val="auto"/>
                <w:sz w:val="18"/>
                <w:szCs w:val="18"/>
              </w:rPr>
              <w:t>汞</w:t>
            </w:r>
            <w:r>
              <w:rPr>
                <w:color w:val="auto"/>
                <w:sz w:val="18"/>
                <w:szCs w:val="18"/>
              </w:rPr>
              <w:t xml:space="preserve"> (mg/L)</w:t>
            </w:r>
          </w:p>
        </w:tc>
        <w:tc>
          <w:tcPr>
            <w:tcW w:w="530" w:type="pct"/>
            <w:tcBorders>
              <w:tl2br w:val="nil"/>
              <w:tr2bl w:val="nil"/>
            </w:tcBorders>
            <w:noWrap w:val="0"/>
            <w:vAlign w:val="center"/>
          </w:tcPr>
          <w:p w14:paraId="25199334">
            <w:pPr>
              <w:jc w:val="center"/>
              <w:rPr>
                <w:color w:val="auto"/>
                <w:sz w:val="18"/>
                <w:szCs w:val="18"/>
              </w:rPr>
            </w:pPr>
            <w:r>
              <w:rPr>
                <w:color w:val="auto"/>
                <w:sz w:val="18"/>
                <w:szCs w:val="18"/>
              </w:rPr>
              <w:t>0.001</w:t>
            </w:r>
          </w:p>
        </w:tc>
        <w:tc>
          <w:tcPr>
            <w:tcW w:w="534" w:type="pct"/>
            <w:tcBorders>
              <w:tl2br w:val="nil"/>
              <w:tr2bl w:val="nil"/>
            </w:tcBorders>
            <w:noWrap w:val="0"/>
            <w:vAlign w:val="center"/>
          </w:tcPr>
          <w:p w14:paraId="64BBD12A">
            <w:pPr>
              <w:jc w:val="center"/>
              <w:rPr>
                <w:color w:val="auto"/>
                <w:sz w:val="18"/>
                <w:szCs w:val="18"/>
              </w:rPr>
            </w:pPr>
          </w:p>
        </w:tc>
        <w:tc>
          <w:tcPr>
            <w:tcW w:w="471" w:type="pct"/>
            <w:tcBorders>
              <w:tl2br w:val="nil"/>
              <w:tr2bl w:val="nil"/>
            </w:tcBorders>
            <w:noWrap w:val="0"/>
            <w:vAlign w:val="center"/>
          </w:tcPr>
          <w:p w14:paraId="23DBCC88">
            <w:pPr>
              <w:jc w:val="center"/>
              <w:rPr>
                <w:rFonts w:hint="eastAsia" w:eastAsia="宋体"/>
                <w:color w:val="auto"/>
                <w:sz w:val="18"/>
                <w:szCs w:val="18"/>
                <w:lang w:val="en-US" w:eastAsia="zh-CN"/>
              </w:rPr>
            </w:pPr>
          </w:p>
        </w:tc>
        <w:tc>
          <w:tcPr>
            <w:tcW w:w="622" w:type="pct"/>
            <w:tcBorders>
              <w:tl2br w:val="nil"/>
              <w:tr2bl w:val="nil"/>
            </w:tcBorders>
            <w:noWrap w:val="0"/>
            <w:vAlign w:val="center"/>
          </w:tcPr>
          <w:p w14:paraId="44BD91B2">
            <w:pPr>
              <w:jc w:val="center"/>
              <w:rPr>
                <w:color w:val="auto"/>
                <w:sz w:val="18"/>
                <w:szCs w:val="18"/>
              </w:rPr>
            </w:pPr>
          </w:p>
        </w:tc>
        <w:tc>
          <w:tcPr>
            <w:tcW w:w="623" w:type="pct"/>
            <w:tcBorders>
              <w:tl2br w:val="nil"/>
              <w:tr2bl w:val="nil"/>
            </w:tcBorders>
            <w:noWrap w:val="0"/>
            <w:vAlign w:val="center"/>
          </w:tcPr>
          <w:p w14:paraId="447D0DD5">
            <w:pPr>
              <w:jc w:val="center"/>
              <w:rPr>
                <w:color w:val="auto"/>
                <w:sz w:val="18"/>
                <w:szCs w:val="18"/>
              </w:rPr>
            </w:pPr>
          </w:p>
        </w:tc>
        <w:tc>
          <w:tcPr>
            <w:tcW w:w="531" w:type="pct"/>
            <w:tcBorders>
              <w:tl2br w:val="nil"/>
              <w:tr2bl w:val="nil"/>
            </w:tcBorders>
            <w:noWrap w:val="0"/>
            <w:vAlign w:val="center"/>
          </w:tcPr>
          <w:p w14:paraId="5A019945">
            <w:pPr>
              <w:jc w:val="center"/>
              <w:rPr>
                <w:color w:val="auto"/>
                <w:sz w:val="18"/>
                <w:szCs w:val="18"/>
              </w:rPr>
            </w:pPr>
          </w:p>
        </w:tc>
        <w:tc>
          <w:tcPr>
            <w:tcW w:w="566" w:type="pct"/>
            <w:tcBorders>
              <w:tl2br w:val="nil"/>
              <w:tr2bl w:val="nil"/>
            </w:tcBorders>
            <w:noWrap w:val="0"/>
            <w:vAlign w:val="center"/>
          </w:tcPr>
          <w:p w14:paraId="439FDE91">
            <w:pPr>
              <w:jc w:val="center"/>
              <w:rPr>
                <w:color w:val="auto"/>
                <w:sz w:val="18"/>
                <w:szCs w:val="18"/>
              </w:rPr>
            </w:pPr>
          </w:p>
        </w:tc>
      </w:tr>
      <w:tr w14:paraId="100035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1119" w:type="pct"/>
            <w:tcBorders>
              <w:tl2br w:val="nil"/>
              <w:tr2bl w:val="nil"/>
            </w:tcBorders>
            <w:noWrap w:val="0"/>
            <w:vAlign w:val="center"/>
          </w:tcPr>
          <w:p w14:paraId="6873E1C1">
            <w:pPr>
              <w:jc w:val="center"/>
              <w:rPr>
                <w:color w:val="auto"/>
                <w:sz w:val="18"/>
                <w:szCs w:val="18"/>
                <w:highlight w:val="yellow"/>
              </w:rPr>
            </w:pPr>
            <w:r>
              <w:rPr>
                <w:rFonts w:hint="eastAsia"/>
                <w:color w:val="auto"/>
                <w:sz w:val="18"/>
                <w:szCs w:val="18"/>
                <w:highlight w:val="none"/>
              </w:rPr>
              <w:t>砷</w:t>
            </w:r>
            <w:r>
              <w:rPr>
                <w:color w:val="auto"/>
                <w:sz w:val="18"/>
                <w:szCs w:val="18"/>
                <w:highlight w:val="none"/>
              </w:rPr>
              <w:t xml:space="preserve"> (mg/L)</w:t>
            </w:r>
          </w:p>
        </w:tc>
        <w:tc>
          <w:tcPr>
            <w:tcW w:w="530" w:type="pct"/>
            <w:tcBorders>
              <w:tl2br w:val="nil"/>
              <w:tr2bl w:val="nil"/>
            </w:tcBorders>
            <w:noWrap w:val="0"/>
            <w:vAlign w:val="center"/>
          </w:tcPr>
          <w:p w14:paraId="2FB18EAE">
            <w:pPr>
              <w:jc w:val="center"/>
              <w:rPr>
                <w:color w:val="auto"/>
                <w:sz w:val="18"/>
                <w:szCs w:val="18"/>
                <w:highlight w:val="none"/>
              </w:rPr>
            </w:pPr>
            <w:r>
              <w:rPr>
                <w:color w:val="auto"/>
                <w:sz w:val="18"/>
                <w:szCs w:val="18"/>
                <w:highlight w:val="none"/>
              </w:rPr>
              <w:t>0.01</w:t>
            </w:r>
          </w:p>
        </w:tc>
        <w:tc>
          <w:tcPr>
            <w:tcW w:w="534" w:type="pct"/>
            <w:tcBorders>
              <w:tl2br w:val="nil"/>
              <w:tr2bl w:val="nil"/>
            </w:tcBorders>
            <w:noWrap w:val="0"/>
            <w:vAlign w:val="center"/>
          </w:tcPr>
          <w:p w14:paraId="2D04F51E">
            <w:pPr>
              <w:jc w:val="center"/>
              <w:rPr>
                <w:rFonts w:hint="default" w:eastAsia="宋体"/>
                <w:color w:val="auto"/>
                <w:sz w:val="18"/>
                <w:szCs w:val="18"/>
                <w:highlight w:val="none"/>
                <w:lang w:val="en-US" w:eastAsia="zh-CN"/>
              </w:rPr>
            </w:pPr>
          </w:p>
        </w:tc>
        <w:tc>
          <w:tcPr>
            <w:tcW w:w="471" w:type="pct"/>
            <w:tcBorders>
              <w:tl2br w:val="nil"/>
              <w:tr2bl w:val="nil"/>
            </w:tcBorders>
            <w:noWrap w:val="0"/>
            <w:vAlign w:val="center"/>
          </w:tcPr>
          <w:p w14:paraId="74DDF5DC">
            <w:pPr>
              <w:jc w:val="center"/>
              <w:rPr>
                <w:rFonts w:hint="default" w:eastAsia="宋体"/>
                <w:color w:val="auto"/>
                <w:sz w:val="18"/>
                <w:szCs w:val="18"/>
                <w:lang w:val="en-US" w:eastAsia="zh-CN"/>
              </w:rPr>
            </w:pPr>
          </w:p>
        </w:tc>
        <w:tc>
          <w:tcPr>
            <w:tcW w:w="622" w:type="pct"/>
            <w:tcBorders>
              <w:tl2br w:val="nil"/>
              <w:tr2bl w:val="nil"/>
            </w:tcBorders>
            <w:noWrap w:val="0"/>
            <w:vAlign w:val="center"/>
          </w:tcPr>
          <w:p w14:paraId="78554BBD">
            <w:pPr>
              <w:jc w:val="center"/>
              <w:rPr>
                <w:color w:val="auto"/>
                <w:sz w:val="18"/>
                <w:szCs w:val="18"/>
              </w:rPr>
            </w:pPr>
          </w:p>
        </w:tc>
        <w:tc>
          <w:tcPr>
            <w:tcW w:w="623" w:type="pct"/>
            <w:tcBorders>
              <w:tl2br w:val="nil"/>
              <w:tr2bl w:val="nil"/>
            </w:tcBorders>
            <w:noWrap w:val="0"/>
            <w:vAlign w:val="center"/>
          </w:tcPr>
          <w:p w14:paraId="2433E158">
            <w:pPr>
              <w:jc w:val="center"/>
              <w:rPr>
                <w:color w:val="auto"/>
                <w:sz w:val="18"/>
                <w:szCs w:val="18"/>
              </w:rPr>
            </w:pPr>
          </w:p>
        </w:tc>
        <w:tc>
          <w:tcPr>
            <w:tcW w:w="531" w:type="pct"/>
            <w:tcBorders>
              <w:tl2br w:val="nil"/>
              <w:tr2bl w:val="nil"/>
            </w:tcBorders>
            <w:noWrap w:val="0"/>
            <w:vAlign w:val="center"/>
          </w:tcPr>
          <w:p w14:paraId="3DF96B8C">
            <w:pPr>
              <w:jc w:val="center"/>
              <w:rPr>
                <w:color w:val="auto"/>
                <w:sz w:val="18"/>
                <w:szCs w:val="18"/>
              </w:rPr>
            </w:pPr>
          </w:p>
        </w:tc>
        <w:tc>
          <w:tcPr>
            <w:tcW w:w="566" w:type="pct"/>
            <w:tcBorders>
              <w:tl2br w:val="nil"/>
              <w:tr2bl w:val="nil"/>
            </w:tcBorders>
            <w:noWrap w:val="0"/>
            <w:vAlign w:val="center"/>
          </w:tcPr>
          <w:p w14:paraId="6C36E4E8">
            <w:pPr>
              <w:jc w:val="center"/>
              <w:rPr>
                <w:color w:val="auto"/>
                <w:sz w:val="18"/>
                <w:szCs w:val="18"/>
              </w:rPr>
            </w:pPr>
          </w:p>
        </w:tc>
      </w:tr>
      <w:tr w14:paraId="3B518A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1119" w:type="pct"/>
            <w:tcBorders>
              <w:tl2br w:val="nil"/>
              <w:tr2bl w:val="nil"/>
            </w:tcBorders>
            <w:noWrap w:val="0"/>
            <w:vAlign w:val="center"/>
          </w:tcPr>
          <w:p w14:paraId="77DC75A1">
            <w:pPr>
              <w:jc w:val="center"/>
              <w:rPr>
                <w:color w:val="auto"/>
                <w:sz w:val="18"/>
                <w:szCs w:val="18"/>
              </w:rPr>
            </w:pPr>
            <w:r>
              <w:rPr>
                <w:rFonts w:hint="eastAsia"/>
                <w:color w:val="auto"/>
                <w:sz w:val="18"/>
                <w:szCs w:val="18"/>
              </w:rPr>
              <w:t>六价铬</w:t>
            </w:r>
            <w:r>
              <w:rPr>
                <w:color w:val="auto"/>
                <w:sz w:val="18"/>
                <w:szCs w:val="18"/>
              </w:rPr>
              <w:t xml:space="preserve"> (mg/L)</w:t>
            </w:r>
          </w:p>
        </w:tc>
        <w:tc>
          <w:tcPr>
            <w:tcW w:w="530" w:type="pct"/>
            <w:tcBorders>
              <w:tl2br w:val="nil"/>
              <w:tr2bl w:val="nil"/>
            </w:tcBorders>
            <w:noWrap w:val="0"/>
            <w:vAlign w:val="center"/>
          </w:tcPr>
          <w:p w14:paraId="42BE281A">
            <w:pPr>
              <w:jc w:val="center"/>
              <w:rPr>
                <w:color w:val="auto"/>
                <w:sz w:val="18"/>
                <w:szCs w:val="18"/>
              </w:rPr>
            </w:pPr>
            <w:r>
              <w:rPr>
                <w:color w:val="auto"/>
                <w:sz w:val="18"/>
                <w:szCs w:val="18"/>
              </w:rPr>
              <w:t>0.05</w:t>
            </w:r>
          </w:p>
        </w:tc>
        <w:tc>
          <w:tcPr>
            <w:tcW w:w="534" w:type="pct"/>
            <w:tcBorders>
              <w:tl2br w:val="nil"/>
              <w:tr2bl w:val="nil"/>
            </w:tcBorders>
            <w:noWrap w:val="0"/>
            <w:vAlign w:val="center"/>
          </w:tcPr>
          <w:p w14:paraId="41CA5B82">
            <w:pPr>
              <w:jc w:val="center"/>
              <w:rPr>
                <w:color w:val="auto"/>
                <w:sz w:val="18"/>
                <w:szCs w:val="18"/>
              </w:rPr>
            </w:pPr>
          </w:p>
        </w:tc>
        <w:tc>
          <w:tcPr>
            <w:tcW w:w="471" w:type="pct"/>
            <w:tcBorders>
              <w:tl2br w:val="nil"/>
              <w:tr2bl w:val="nil"/>
            </w:tcBorders>
            <w:noWrap w:val="0"/>
            <w:vAlign w:val="center"/>
          </w:tcPr>
          <w:p w14:paraId="6BC6988C">
            <w:pPr>
              <w:jc w:val="center"/>
              <w:rPr>
                <w:rFonts w:hint="eastAsia" w:eastAsia="宋体"/>
                <w:color w:val="auto"/>
                <w:sz w:val="18"/>
                <w:szCs w:val="18"/>
                <w:lang w:val="en-US" w:eastAsia="zh-CN"/>
              </w:rPr>
            </w:pPr>
          </w:p>
        </w:tc>
        <w:tc>
          <w:tcPr>
            <w:tcW w:w="622" w:type="pct"/>
            <w:tcBorders>
              <w:tl2br w:val="nil"/>
              <w:tr2bl w:val="nil"/>
            </w:tcBorders>
            <w:noWrap w:val="0"/>
            <w:vAlign w:val="center"/>
          </w:tcPr>
          <w:p w14:paraId="6C4A2DF4">
            <w:pPr>
              <w:jc w:val="center"/>
              <w:rPr>
                <w:color w:val="auto"/>
                <w:sz w:val="18"/>
                <w:szCs w:val="18"/>
              </w:rPr>
            </w:pPr>
          </w:p>
        </w:tc>
        <w:tc>
          <w:tcPr>
            <w:tcW w:w="623" w:type="pct"/>
            <w:tcBorders>
              <w:tl2br w:val="nil"/>
              <w:tr2bl w:val="nil"/>
            </w:tcBorders>
            <w:noWrap w:val="0"/>
            <w:vAlign w:val="center"/>
          </w:tcPr>
          <w:p w14:paraId="66BFE3CF">
            <w:pPr>
              <w:jc w:val="center"/>
              <w:rPr>
                <w:color w:val="auto"/>
                <w:sz w:val="18"/>
                <w:szCs w:val="18"/>
              </w:rPr>
            </w:pPr>
          </w:p>
        </w:tc>
        <w:tc>
          <w:tcPr>
            <w:tcW w:w="531" w:type="pct"/>
            <w:tcBorders>
              <w:tl2br w:val="nil"/>
              <w:tr2bl w:val="nil"/>
            </w:tcBorders>
            <w:noWrap w:val="0"/>
            <w:vAlign w:val="center"/>
          </w:tcPr>
          <w:p w14:paraId="61DBF8F3">
            <w:pPr>
              <w:jc w:val="center"/>
              <w:rPr>
                <w:color w:val="auto"/>
                <w:sz w:val="18"/>
                <w:szCs w:val="18"/>
              </w:rPr>
            </w:pPr>
          </w:p>
        </w:tc>
        <w:tc>
          <w:tcPr>
            <w:tcW w:w="566" w:type="pct"/>
            <w:tcBorders>
              <w:tl2br w:val="nil"/>
              <w:tr2bl w:val="nil"/>
            </w:tcBorders>
            <w:noWrap w:val="0"/>
            <w:vAlign w:val="center"/>
          </w:tcPr>
          <w:p w14:paraId="4C65FB63">
            <w:pPr>
              <w:jc w:val="center"/>
              <w:rPr>
                <w:color w:val="auto"/>
                <w:sz w:val="18"/>
                <w:szCs w:val="18"/>
              </w:rPr>
            </w:pPr>
          </w:p>
        </w:tc>
      </w:tr>
      <w:tr w14:paraId="68BCE1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1119" w:type="pct"/>
            <w:tcBorders>
              <w:tl2br w:val="nil"/>
              <w:tr2bl w:val="nil"/>
            </w:tcBorders>
            <w:noWrap w:val="0"/>
            <w:vAlign w:val="center"/>
          </w:tcPr>
          <w:p w14:paraId="015C2EC5">
            <w:pPr>
              <w:jc w:val="center"/>
              <w:rPr>
                <w:color w:val="auto"/>
                <w:sz w:val="18"/>
                <w:szCs w:val="18"/>
              </w:rPr>
            </w:pPr>
            <w:r>
              <w:rPr>
                <w:rFonts w:hint="eastAsia"/>
                <w:color w:val="auto"/>
                <w:sz w:val="18"/>
                <w:szCs w:val="18"/>
              </w:rPr>
              <w:t>镉</w:t>
            </w:r>
            <w:r>
              <w:rPr>
                <w:color w:val="auto"/>
                <w:sz w:val="18"/>
                <w:szCs w:val="18"/>
              </w:rPr>
              <w:t xml:space="preserve"> (mg/L)</w:t>
            </w:r>
          </w:p>
        </w:tc>
        <w:tc>
          <w:tcPr>
            <w:tcW w:w="530" w:type="pct"/>
            <w:tcBorders>
              <w:tl2br w:val="nil"/>
              <w:tr2bl w:val="nil"/>
            </w:tcBorders>
            <w:noWrap w:val="0"/>
            <w:vAlign w:val="center"/>
          </w:tcPr>
          <w:p w14:paraId="57BAED06">
            <w:pPr>
              <w:jc w:val="center"/>
              <w:rPr>
                <w:color w:val="auto"/>
                <w:sz w:val="18"/>
                <w:szCs w:val="18"/>
              </w:rPr>
            </w:pPr>
            <w:r>
              <w:rPr>
                <w:color w:val="auto"/>
                <w:sz w:val="18"/>
                <w:szCs w:val="18"/>
              </w:rPr>
              <w:t>0.005</w:t>
            </w:r>
          </w:p>
        </w:tc>
        <w:tc>
          <w:tcPr>
            <w:tcW w:w="534" w:type="pct"/>
            <w:tcBorders>
              <w:tl2br w:val="nil"/>
              <w:tr2bl w:val="nil"/>
            </w:tcBorders>
            <w:noWrap w:val="0"/>
            <w:vAlign w:val="center"/>
          </w:tcPr>
          <w:p w14:paraId="73F29687">
            <w:pPr>
              <w:jc w:val="center"/>
              <w:rPr>
                <w:color w:val="auto"/>
                <w:sz w:val="18"/>
                <w:szCs w:val="18"/>
              </w:rPr>
            </w:pPr>
          </w:p>
        </w:tc>
        <w:tc>
          <w:tcPr>
            <w:tcW w:w="471" w:type="pct"/>
            <w:tcBorders>
              <w:tl2br w:val="nil"/>
              <w:tr2bl w:val="nil"/>
            </w:tcBorders>
            <w:noWrap w:val="0"/>
            <w:vAlign w:val="center"/>
          </w:tcPr>
          <w:p w14:paraId="6357F5D5">
            <w:pPr>
              <w:jc w:val="center"/>
              <w:rPr>
                <w:rFonts w:hint="eastAsia" w:eastAsia="宋体"/>
                <w:color w:val="auto"/>
                <w:sz w:val="18"/>
                <w:szCs w:val="18"/>
                <w:lang w:val="en-US" w:eastAsia="zh-CN"/>
              </w:rPr>
            </w:pPr>
          </w:p>
        </w:tc>
        <w:tc>
          <w:tcPr>
            <w:tcW w:w="622" w:type="pct"/>
            <w:tcBorders>
              <w:tl2br w:val="nil"/>
              <w:tr2bl w:val="nil"/>
            </w:tcBorders>
            <w:noWrap w:val="0"/>
            <w:vAlign w:val="center"/>
          </w:tcPr>
          <w:p w14:paraId="716C4B29">
            <w:pPr>
              <w:jc w:val="center"/>
              <w:rPr>
                <w:color w:val="auto"/>
                <w:sz w:val="18"/>
                <w:szCs w:val="18"/>
              </w:rPr>
            </w:pPr>
          </w:p>
        </w:tc>
        <w:tc>
          <w:tcPr>
            <w:tcW w:w="623" w:type="pct"/>
            <w:tcBorders>
              <w:tl2br w:val="nil"/>
              <w:tr2bl w:val="nil"/>
            </w:tcBorders>
            <w:noWrap w:val="0"/>
            <w:vAlign w:val="center"/>
          </w:tcPr>
          <w:p w14:paraId="05500194">
            <w:pPr>
              <w:jc w:val="center"/>
              <w:rPr>
                <w:color w:val="auto"/>
                <w:sz w:val="18"/>
                <w:szCs w:val="18"/>
              </w:rPr>
            </w:pPr>
          </w:p>
        </w:tc>
        <w:tc>
          <w:tcPr>
            <w:tcW w:w="531" w:type="pct"/>
            <w:tcBorders>
              <w:tl2br w:val="nil"/>
              <w:tr2bl w:val="nil"/>
            </w:tcBorders>
            <w:noWrap w:val="0"/>
            <w:vAlign w:val="center"/>
          </w:tcPr>
          <w:p w14:paraId="0E4655B1">
            <w:pPr>
              <w:jc w:val="center"/>
              <w:rPr>
                <w:color w:val="auto"/>
                <w:sz w:val="18"/>
                <w:szCs w:val="18"/>
              </w:rPr>
            </w:pPr>
          </w:p>
        </w:tc>
        <w:tc>
          <w:tcPr>
            <w:tcW w:w="566" w:type="pct"/>
            <w:tcBorders>
              <w:tl2br w:val="nil"/>
              <w:tr2bl w:val="nil"/>
            </w:tcBorders>
            <w:noWrap w:val="0"/>
            <w:vAlign w:val="center"/>
          </w:tcPr>
          <w:p w14:paraId="07CD320F">
            <w:pPr>
              <w:jc w:val="center"/>
              <w:rPr>
                <w:color w:val="auto"/>
                <w:sz w:val="18"/>
                <w:szCs w:val="18"/>
              </w:rPr>
            </w:pPr>
          </w:p>
        </w:tc>
      </w:tr>
      <w:tr w14:paraId="0C1943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1119" w:type="pct"/>
            <w:tcBorders>
              <w:tl2br w:val="nil"/>
              <w:tr2bl w:val="nil"/>
            </w:tcBorders>
            <w:shd w:val="clear" w:color="auto" w:fill="auto"/>
            <w:noWrap w:val="0"/>
            <w:vAlign w:val="center"/>
          </w:tcPr>
          <w:p w14:paraId="7055E362">
            <w:pPr>
              <w:jc w:val="center"/>
              <w:rPr>
                <w:color w:val="auto"/>
                <w:sz w:val="18"/>
                <w:szCs w:val="18"/>
              </w:rPr>
            </w:pPr>
            <w:r>
              <w:rPr>
                <w:rFonts w:hint="eastAsia"/>
                <w:color w:val="auto"/>
                <w:sz w:val="18"/>
                <w:szCs w:val="18"/>
              </w:rPr>
              <w:t>锰</w:t>
            </w:r>
            <w:r>
              <w:rPr>
                <w:color w:val="auto"/>
                <w:sz w:val="18"/>
                <w:szCs w:val="18"/>
              </w:rPr>
              <w:t xml:space="preserve"> (mg/L)</w:t>
            </w:r>
          </w:p>
        </w:tc>
        <w:tc>
          <w:tcPr>
            <w:tcW w:w="530" w:type="pct"/>
            <w:tcBorders>
              <w:tl2br w:val="nil"/>
              <w:tr2bl w:val="nil"/>
            </w:tcBorders>
            <w:shd w:val="clear" w:color="auto" w:fill="auto"/>
            <w:noWrap w:val="0"/>
            <w:vAlign w:val="center"/>
          </w:tcPr>
          <w:p w14:paraId="423ABB9C">
            <w:pPr>
              <w:jc w:val="center"/>
              <w:rPr>
                <w:color w:val="auto"/>
                <w:sz w:val="18"/>
                <w:szCs w:val="18"/>
              </w:rPr>
            </w:pPr>
            <w:r>
              <w:rPr>
                <w:color w:val="auto"/>
                <w:sz w:val="18"/>
                <w:szCs w:val="18"/>
              </w:rPr>
              <w:t>0.1</w:t>
            </w:r>
          </w:p>
        </w:tc>
        <w:tc>
          <w:tcPr>
            <w:tcW w:w="534" w:type="pct"/>
            <w:tcBorders>
              <w:tl2br w:val="nil"/>
              <w:tr2bl w:val="nil"/>
            </w:tcBorders>
            <w:shd w:val="clear" w:color="auto" w:fill="auto"/>
            <w:noWrap w:val="0"/>
            <w:vAlign w:val="center"/>
          </w:tcPr>
          <w:p w14:paraId="04DA66DA">
            <w:pPr>
              <w:jc w:val="center"/>
              <w:rPr>
                <w:color w:val="auto"/>
                <w:sz w:val="18"/>
                <w:szCs w:val="18"/>
              </w:rPr>
            </w:pPr>
          </w:p>
        </w:tc>
        <w:tc>
          <w:tcPr>
            <w:tcW w:w="471" w:type="pct"/>
            <w:tcBorders>
              <w:tl2br w:val="nil"/>
              <w:tr2bl w:val="nil"/>
            </w:tcBorders>
            <w:shd w:val="clear" w:color="auto" w:fill="auto"/>
            <w:noWrap w:val="0"/>
            <w:vAlign w:val="center"/>
          </w:tcPr>
          <w:p w14:paraId="3E288572">
            <w:pPr>
              <w:jc w:val="center"/>
              <w:rPr>
                <w:rFonts w:hint="eastAsia" w:eastAsia="宋体"/>
                <w:color w:val="auto"/>
                <w:sz w:val="18"/>
                <w:szCs w:val="18"/>
                <w:lang w:val="en-US" w:eastAsia="zh-CN"/>
              </w:rPr>
            </w:pPr>
          </w:p>
        </w:tc>
        <w:tc>
          <w:tcPr>
            <w:tcW w:w="622" w:type="pct"/>
            <w:tcBorders>
              <w:tl2br w:val="nil"/>
              <w:tr2bl w:val="nil"/>
            </w:tcBorders>
            <w:shd w:val="clear" w:color="auto" w:fill="auto"/>
            <w:noWrap w:val="0"/>
            <w:vAlign w:val="center"/>
          </w:tcPr>
          <w:p w14:paraId="2690ADF1">
            <w:pPr>
              <w:jc w:val="center"/>
              <w:rPr>
                <w:color w:val="auto"/>
                <w:sz w:val="18"/>
                <w:szCs w:val="18"/>
              </w:rPr>
            </w:pPr>
          </w:p>
        </w:tc>
        <w:tc>
          <w:tcPr>
            <w:tcW w:w="623" w:type="pct"/>
            <w:tcBorders>
              <w:tl2br w:val="nil"/>
              <w:tr2bl w:val="nil"/>
            </w:tcBorders>
            <w:shd w:val="clear" w:color="auto" w:fill="auto"/>
            <w:noWrap w:val="0"/>
            <w:vAlign w:val="center"/>
          </w:tcPr>
          <w:p w14:paraId="564095C6">
            <w:pPr>
              <w:jc w:val="center"/>
              <w:rPr>
                <w:color w:val="auto"/>
                <w:sz w:val="18"/>
                <w:szCs w:val="18"/>
              </w:rPr>
            </w:pPr>
          </w:p>
        </w:tc>
        <w:tc>
          <w:tcPr>
            <w:tcW w:w="531" w:type="pct"/>
            <w:tcBorders>
              <w:tl2br w:val="nil"/>
              <w:tr2bl w:val="nil"/>
            </w:tcBorders>
            <w:shd w:val="clear" w:color="000000" w:fill="auto"/>
            <w:noWrap w:val="0"/>
            <w:vAlign w:val="center"/>
          </w:tcPr>
          <w:p w14:paraId="1DCA76DE">
            <w:pPr>
              <w:jc w:val="center"/>
              <w:rPr>
                <w:b/>
                <w:bCs/>
                <w:color w:val="auto"/>
                <w:sz w:val="18"/>
                <w:szCs w:val="18"/>
              </w:rPr>
            </w:pPr>
          </w:p>
        </w:tc>
        <w:tc>
          <w:tcPr>
            <w:tcW w:w="566" w:type="pct"/>
            <w:tcBorders>
              <w:tl2br w:val="nil"/>
              <w:tr2bl w:val="nil"/>
            </w:tcBorders>
            <w:noWrap w:val="0"/>
            <w:vAlign w:val="center"/>
          </w:tcPr>
          <w:p w14:paraId="038447E6">
            <w:pPr>
              <w:jc w:val="center"/>
              <w:rPr>
                <w:rFonts w:hint="default" w:eastAsia="宋体"/>
                <w:b/>
                <w:bCs/>
                <w:color w:val="auto"/>
                <w:sz w:val="18"/>
                <w:szCs w:val="18"/>
                <w:lang w:val="en-US" w:eastAsia="zh-CN"/>
              </w:rPr>
            </w:pPr>
          </w:p>
        </w:tc>
      </w:tr>
      <w:tr w14:paraId="35BDE8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1119" w:type="pct"/>
            <w:tcBorders>
              <w:tl2br w:val="nil"/>
              <w:tr2bl w:val="nil"/>
            </w:tcBorders>
            <w:shd w:val="clear" w:color="auto" w:fill="auto"/>
            <w:noWrap w:val="0"/>
            <w:vAlign w:val="center"/>
          </w:tcPr>
          <w:p w14:paraId="5738C0EA">
            <w:pPr>
              <w:jc w:val="center"/>
              <w:rPr>
                <w:color w:val="auto"/>
                <w:sz w:val="18"/>
                <w:szCs w:val="18"/>
              </w:rPr>
            </w:pPr>
            <w:r>
              <w:rPr>
                <w:rFonts w:hint="eastAsia"/>
                <w:color w:val="auto"/>
                <w:sz w:val="18"/>
                <w:szCs w:val="18"/>
              </w:rPr>
              <w:t>铁</w:t>
            </w:r>
            <w:r>
              <w:rPr>
                <w:color w:val="auto"/>
                <w:sz w:val="18"/>
                <w:szCs w:val="18"/>
              </w:rPr>
              <w:t xml:space="preserve"> (mg/L)</w:t>
            </w:r>
          </w:p>
        </w:tc>
        <w:tc>
          <w:tcPr>
            <w:tcW w:w="530" w:type="pct"/>
            <w:tcBorders>
              <w:tl2br w:val="nil"/>
              <w:tr2bl w:val="nil"/>
            </w:tcBorders>
            <w:shd w:val="clear" w:color="auto" w:fill="auto"/>
            <w:noWrap w:val="0"/>
            <w:vAlign w:val="center"/>
          </w:tcPr>
          <w:p w14:paraId="7354FBEB">
            <w:pPr>
              <w:jc w:val="center"/>
              <w:rPr>
                <w:color w:val="auto"/>
                <w:sz w:val="18"/>
                <w:szCs w:val="18"/>
              </w:rPr>
            </w:pPr>
            <w:r>
              <w:rPr>
                <w:color w:val="auto"/>
                <w:sz w:val="18"/>
                <w:szCs w:val="18"/>
              </w:rPr>
              <w:t>0.3</w:t>
            </w:r>
          </w:p>
        </w:tc>
        <w:tc>
          <w:tcPr>
            <w:tcW w:w="534" w:type="pct"/>
            <w:tcBorders>
              <w:tl2br w:val="nil"/>
              <w:tr2bl w:val="nil"/>
            </w:tcBorders>
            <w:shd w:val="clear" w:color="auto" w:fill="auto"/>
            <w:noWrap w:val="0"/>
            <w:vAlign w:val="center"/>
          </w:tcPr>
          <w:p w14:paraId="7F94538E">
            <w:pPr>
              <w:jc w:val="center"/>
              <w:rPr>
                <w:color w:val="auto"/>
                <w:sz w:val="18"/>
                <w:szCs w:val="18"/>
              </w:rPr>
            </w:pPr>
          </w:p>
        </w:tc>
        <w:tc>
          <w:tcPr>
            <w:tcW w:w="471" w:type="pct"/>
            <w:tcBorders>
              <w:tl2br w:val="nil"/>
              <w:tr2bl w:val="nil"/>
            </w:tcBorders>
            <w:shd w:val="clear" w:color="auto" w:fill="auto"/>
            <w:noWrap w:val="0"/>
            <w:vAlign w:val="center"/>
          </w:tcPr>
          <w:p w14:paraId="2F42CBBF">
            <w:pPr>
              <w:jc w:val="center"/>
              <w:rPr>
                <w:rFonts w:hint="eastAsia" w:eastAsia="宋体"/>
                <w:color w:val="auto"/>
                <w:sz w:val="18"/>
                <w:szCs w:val="18"/>
                <w:lang w:val="en-US" w:eastAsia="zh-CN"/>
              </w:rPr>
            </w:pPr>
          </w:p>
        </w:tc>
        <w:tc>
          <w:tcPr>
            <w:tcW w:w="622" w:type="pct"/>
            <w:tcBorders>
              <w:tl2br w:val="nil"/>
              <w:tr2bl w:val="nil"/>
            </w:tcBorders>
            <w:shd w:val="clear" w:color="auto" w:fill="auto"/>
            <w:noWrap w:val="0"/>
            <w:vAlign w:val="center"/>
          </w:tcPr>
          <w:p w14:paraId="7CDA5180">
            <w:pPr>
              <w:jc w:val="center"/>
              <w:rPr>
                <w:color w:val="auto"/>
                <w:sz w:val="18"/>
                <w:szCs w:val="18"/>
              </w:rPr>
            </w:pPr>
          </w:p>
        </w:tc>
        <w:tc>
          <w:tcPr>
            <w:tcW w:w="623" w:type="pct"/>
            <w:tcBorders>
              <w:tl2br w:val="nil"/>
              <w:tr2bl w:val="nil"/>
            </w:tcBorders>
            <w:shd w:val="clear" w:color="auto" w:fill="auto"/>
            <w:noWrap w:val="0"/>
            <w:vAlign w:val="center"/>
          </w:tcPr>
          <w:p w14:paraId="7E84C7EA">
            <w:pPr>
              <w:jc w:val="center"/>
              <w:rPr>
                <w:color w:val="auto"/>
                <w:sz w:val="18"/>
                <w:szCs w:val="18"/>
              </w:rPr>
            </w:pPr>
          </w:p>
        </w:tc>
        <w:tc>
          <w:tcPr>
            <w:tcW w:w="531" w:type="pct"/>
            <w:tcBorders>
              <w:tl2br w:val="nil"/>
              <w:tr2bl w:val="nil"/>
            </w:tcBorders>
            <w:shd w:val="clear" w:color="000000" w:fill="auto"/>
            <w:noWrap w:val="0"/>
            <w:vAlign w:val="center"/>
          </w:tcPr>
          <w:p w14:paraId="54A0B076">
            <w:pPr>
              <w:jc w:val="center"/>
              <w:rPr>
                <w:b/>
                <w:bCs/>
                <w:color w:val="auto"/>
                <w:sz w:val="18"/>
                <w:szCs w:val="18"/>
              </w:rPr>
            </w:pPr>
          </w:p>
        </w:tc>
        <w:tc>
          <w:tcPr>
            <w:tcW w:w="566" w:type="pct"/>
            <w:tcBorders>
              <w:tl2br w:val="nil"/>
              <w:tr2bl w:val="nil"/>
            </w:tcBorders>
            <w:noWrap w:val="0"/>
            <w:vAlign w:val="center"/>
          </w:tcPr>
          <w:p w14:paraId="37C0E9D6">
            <w:pPr>
              <w:jc w:val="center"/>
              <w:rPr>
                <w:rFonts w:hint="default" w:eastAsia="宋体"/>
                <w:b/>
                <w:bCs/>
                <w:color w:val="auto"/>
                <w:sz w:val="18"/>
                <w:szCs w:val="18"/>
                <w:lang w:val="en-US" w:eastAsia="zh-CN"/>
              </w:rPr>
            </w:pPr>
          </w:p>
        </w:tc>
      </w:tr>
      <w:tr w14:paraId="3FA63E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1119" w:type="pct"/>
            <w:tcBorders>
              <w:tl2br w:val="nil"/>
              <w:tr2bl w:val="nil"/>
            </w:tcBorders>
            <w:noWrap w:val="0"/>
            <w:vAlign w:val="center"/>
          </w:tcPr>
          <w:p w14:paraId="0497BB3D">
            <w:pPr>
              <w:jc w:val="center"/>
              <w:rPr>
                <w:color w:val="auto"/>
                <w:sz w:val="18"/>
                <w:szCs w:val="18"/>
              </w:rPr>
            </w:pPr>
            <w:r>
              <w:rPr>
                <w:rFonts w:hint="eastAsia"/>
                <w:color w:val="auto"/>
                <w:sz w:val="18"/>
                <w:szCs w:val="18"/>
              </w:rPr>
              <w:t>钾</w:t>
            </w:r>
            <w:r>
              <w:rPr>
                <w:color w:val="auto"/>
                <w:sz w:val="18"/>
                <w:szCs w:val="18"/>
              </w:rPr>
              <w:t xml:space="preserve"> (mg/L)</w:t>
            </w:r>
          </w:p>
        </w:tc>
        <w:tc>
          <w:tcPr>
            <w:tcW w:w="530" w:type="pct"/>
            <w:tcBorders>
              <w:tl2br w:val="nil"/>
              <w:tr2bl w:val="nil"/>
            </w:tcBorders>
            <w:noWrap w:val="0"/>
            <w:vAlign w:val="center"/>
          </w:tcPr>
          <w:p w14:paraId="255771CB">
            <w:pPr>
              <w:jc w:val="center"/>
              <w:rPr>
                <w:color w:val="auto"/>
                <w:sz w:val="18"/>
                <w:szCs w:val="18"/>
              </w:rPr>
            </w:pPr>
            <w:r>
              <w:rPr>
                <w:rFonts w:hint="eastAsia"/>
                <w:color w:val="auto"/>
                <w:sz w:val="18"/>
                <w:szCs w:val="18"/>
                <w:lang w:val="en-US" w:eastAsia="zh-CN"/>
              </w:rPr>
              <w:t>-</w:t>
            </w:r>
          </w:p>
        </w:tc>
        <w:tc>
          <w:tcPr>
            <w:tcW w:w="534" w:type="pct"/>
            <w:tcBorders>
              <w:tl2br w:val="nil"/>
              <w:tr2bl w:val="nil"/>
            </w:tcBorders>
            <w:noWrap w:val="0"/>
            <w:vAlign w:val="center"/>
          </w:tcPr>
          <w:p w14:paraId="15414F23">
            <w:pPr>
              <w:jc w:val="center"/>
              <w:rPr>
                <w:rFonts w:hint="default" w:eastAsia="宋体"/>
                <w:color w:val="auto"/>
                <w:sz w:val="18"/>
                <w:szCs w:val="18"/>
                <w:lang w:val="en-US" w:eastAsia="zh-CN"/>
              </w:rPr>
            </w:pPr>
          </w:p>
        </w:tc>
        <w:tc>
          <w:tcPr>
            <w:tcW w:w="471" w:type="pct"/>
            <w:tcBorders>
              <w:tl2br w:val="nil"/>
              <w:tr2bl w:val="nil"/>
            </w:tcBorders>
            <w:noWrap w:val="0"/>
            <w:vAlign w:val="center"/>
          </w:tcPr>
          <w:p w14:paraId="6620EDF0">
            <w:pPr>
              <w:jc w:val="center"/>
              <w:rPr>
                <w:rFonts w:hint="eastAsia" w:eastAsia="宋体"/>
                <w:color w:val="auto"/>
                <w:sz w:val="18"/>
                <w:szCs w:val="18"/>
                <w:lang w:val="en-US" w:eastAsia="zh-CN"/>
              </w:rPr>
            </w:pPr>
          </w:p>
        </w:tc>
        <w:tc>
          <w:tcPr>
            <w:tcW w:w="622" w:type="pct"/>
            <w:tcBorders>
              <w:tl2br w:val="nil"/>
              <w:tr2bl w:val="nil"/>
            </w:tcBorders>
            <w:noWrap w:val="0"/>
            <w:vAlign w:val="center"/>
          </w:tcPr>
          <w:p w14:paraId="5818A4A6">
            <w:pPr>
              <w:jc w:val="center"/>
              <w:rPr>
                <w:color w:val="auto"/>
                <w:sz w:val="18"/>
                <w:szCs w:val="18"/>
              </w:rPr>
            </w:pPr>
          </w:p>
        </w:tc>
        <w:tc>
          <w:tcPr>
            <w:tcW w:w="623" w:type="pct"/>
            <w:tcBorders>
              <w:tl2br w:val="nil"/>
              <w:tr2bl w:val="nil"/>
            </w:tcBorders>
            <w:noWrap w:val="0"/>
            <w:vAlign w:val="center"/>
          </w:tcPr>
          <w:p w14:paraId="0EA0A6FA">
            <w:pPr>
              <w:jc w:val="center"/>
              <w:rPr>
                <w:color w:val="auto"/>
                <w:sz w:val="18"/>
                <w:szCs w:val="18"/>
              </w:rPr>
            </w:pPr>
          </w:p>
        </w:tc>
        <w:tc>
          <w:tcPr>
            <w:tcW w:w="531" w:type="pct"/>
            <w:tcBorders>
              <w:tl2br w:val="nil"/>
              <w:tr2bl w:val="nil"/>
            </w:tcBorders>
            <w:noWrap w:val="0"/>
            <w:vAlign w:val="center"/>
          </w:tcPr>
          <w:p w14:paraId="7084C971">
            <w:pPr>
              <w:jc w:val="center"/>
              <w:rPr>
                <w:color w:val="auto"/>
                <w:sz w:val="18"/>
                <w:szCs w:val="18"/>
              </w:rPr>
            </w:pPr>
          </w:p>
        </w:tc>
        <w:tc>
          <w:tcPr>
            <w:tcW w:w="566" w:type="pct"/>
            <w:tcBorders>
              <w:tl2br w:val="nil"/>
              <w:tr2bl w:val="nil"/>
            </w:tcBorders>
            <w:noWrap w:val="0"/>
            <w:vAlign w:val="center"/>
          </w:tcPr>
          <w:p w14:paraId="79916843">
            <w:pPr>
              <w:jc w:val="center"/>
              <w:rPr>
                <w:color w:val="auto"/>
                <w:sz w:val="18"/>
                <w:szCs w:val="18"/>
              </w:rPr>
            </w:pPr>
          </w:p>
        </w:tc>
      </w:tr>
      <w:tr w14:paraId="3DD4CF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1119" w:type="pct"/>
            <w:tcBorders>
              <w:tl2br w:val="nil"/>
              <w:tr2bl w:val="nil"/>
            </w:tcBorders>
            <w:noWrap w:val="0"/>
            <w:vAlign w:val="center"/>
          </w:tcPr>
          <w:p w14:paraId="08BB5973">
            <w:pPr>
              <w:jc w:val="center"/>
              <w:rPr>
                <w:color w:val="auto"/>
                <w:sz w:val="18"/>
                <w:szCs w:val="18"/>
              </w:rPr>
            </w:pPr>
            <w:r>
              <w:rPr>
                <w:rFonts w:hint="eastAsia"/>
                <w:color w:val="auto"/>
                <w:sz w:val="18"/>
                <w:szCs w:val="18"/>
              </w:rPr>
              <w:t>钠</w:t>
            </w:r>
            <w:r>
              <w:rPr>
                <w:color w:val="auto"/>
                <w:sz w:val="18"/>
                <w:szCs w:val="18"/>
              </w:rPr>
              <w:t xml:space="preserve"> (mg/L)</w:t>
            </w:r>
          </w:p>
        </w:tc>
        <w:tc>
          <w:tcPr>
            <w:tcW w:w="530" w:type="pct"/>
            <w:tcBorders>
              <w:tl2br w:val="nil"/>
              <w:tr2bl w:val="nil"/>
            </w:tcBorders>
            <w:noWrap w:val="0"/>
            <w:vAlign w:val="center"/>
          </w:tcPr>
          <w:p w14:paraId="08735C6F">
            <w:pPr>
              <w:jc w:val="center"/>
              <w:rPr>
                <w:color w:val="auto"/>
                <w:sz w:val="18"/>
                <w:szCs w:val="18"/>
              </w:rPr>
            </w:pPr>
            <w:r>
              <w:rPr>
                <w:color w:val="auto"/>
                <w:sz w:val="18"/>
                <w:szCs w:val="18"/>
              </w:rPr>
              <w:t>200</w:t>
            </w:r>
          </w:p>
        </w:tc>
        <w:tc>
          <w:tcPr>
            <w:tcW w:w="534" w:type="pct"/>
            <w:tcBorders>
              <w:tl2br w:val="nil"/>
              <w:tr2bl w:val="nil"/>
            </w:tcBorders>
            <w:noWrap w:val="0"/>
            <w:vAlign w:val="center"/>
          </w:tcPr>
          <w:p w14:paraId="28C8A8B7">
            <w:pPr>
              <w:jc w:val="center"/>
              <w:rPr>
                <w:rFonts w:hint="default" w:eastAsia="宋体"/>
                <w:color w:val="auto"/>
                <w:sz w:val="18"/>
                <w:szCs w:val="18"/>
                <w:lang w:val="en-US" w:eastAsia="zh-CN"/>
              </w:rPr>
            </w:pPr>
          </w:p>
        </w:tc>
        <w:tc>
          <w:tcPr>
            <w:tcW w:w="471" w:type="pct"/>
            <w:tcBorders>
              <w:tl2br w:val="nil"/>
              <w:tr2bl w:val="nil"/>
            </w:tcBorders>
            <w:noWrap w:val="0"/>
            <w:vAlign w:val="center"/>
          </w:tcPr>
          <w:p w14:paraId="6CD8B03F">
            <w:pPr>
              <w:jc w:val="center"/>
              <w:rPr>
                <w:color w:val="auto"/>
                <w:sz w:val="18"/>
                <w:szCs w:val="18"/>
              </w:rPr>
            </w:pPr>
          </w:p>
        </w:tc>
        <w:tc>
          <w:tcPr>
            <w:tcW w:w="622" w:type="pct"/>
            <w:tcBorders>
              <w:tl2br w:val="nil"/>
              <w:tr2bl w:val="nil"/>
            </w:tcBorders>
            <w:noWrap w:val="0"/>
            <w:vAlign w:val="center"/>
          </w:tcPr>
          <w:p w14:paraId="3CD6C35B">
            <w:pPr>
              <w:jc w:val="center"/>
              <w:rPr>
                <w:color w:val="auto"/>
                <w:sz w:val="18"/>
                <w:szCs w:val="18"/>
              </w:rPr>
            </w:pPr>
          </w:p>
        </w:tc>
        <w:tc>
          <w:tcPr>
            <w:tcW w:w="623" w:type="pct"/>
            <w:tcBorders>
              <w:tl2br w:val="nil"/>
              <w:tr2bl w:val="nil"/>
            </w:tcBorders>
            <w:noWrap w:val="0"/>
            <w:vAlign w:val="center"/>
          </w:tcPr>
          <w:p w14:paraId="7B7EBF90">
            <w:pPr>
              <w:jc w:val="center"/>
              <w:rPr>
                <w:color w:val="auto"/>
                <w:sz w:val="18"/>
                <w:szCs w:val="18"/>
              </w:rPr>
            </w:pPr>
          </w:p>
        </w:tc>
        <w:tc>
          <w:tcPr>
            <w:tcW w:w="531" w:type="pct"/>
            <w:tcBorders>
              <w:tl2br w:val="nil"/>
              <w:tr2bl w:val="nil"/>
            </w:tcBorders>
            <w:noWrap w:val="0"/>
            <w:vAlign w:val="center"/>
          </w:tcPr>
          <w:p w14:paraId="15668E2B">
            <w:pPr>
              <w:jc w:val="center"/>
              <w:rPr>
                <w:color w:val="auto"/>
                <w:sz w:val="18"/>
                <w:szCs w:val="18"/>
              </w:rPr>
            </w:pPr>
          </w:p>
        </w:tc>
        <w:tc>
          <w:tcPr>
            <w:tcW w:w="566" w:type="pct"/>
            <w:tcBorders>
              <w:tl2br w:val="nil"/>
              <w:tr2bl w:val="nil"/>
            </w:tcBorders>
            <w:noWrap w:val="0"/>
            <w:vAlign w:val="center"/>
          </w:tcPr>
          <w:p w14:paraId="72118C6F">
            <w:pPr>
              <w:jc w:val="center"/>
              <w:rPr>
                <w:color w:val="auto"/>
                <w:sz w:val="18"/>
                <w:szCs w:val="18"/>
              </w:rPr>
            </w:pPr>
          </w:p>
        </w:tc>
      </w:tr>
      <w:tr w14:paraId="11F32E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1119" w:type="pct"/>
            <w:tcBorders>
              <w:tl2br w:val="nil"/>
              <w:tr2bl w:val="nil"/>
            </w:tcBorders>
            <w:noWrap w:val="0"/>
            <w:vAlign w:val="center"/>
          </w:tcPr>
          <w:p w14:paraId="24495E98">
            <w:pPr>
              <w:jc w:val="center"/>
              <w:rPr>
                <w:color w:val="auto"/>
                <w:sz w:val="18"/>
                <w:szCs w:val="18"/>
              </w:rPr>
            </w:pPr>
            <w:r>
              <w:rPr>
                <w:rFonts w:hint="eastAsia"/>
                <w:color w:val="auto"/>
                <w:sz w:val="18"/>
                <w:szCs w:val="18"/>
              </w:rPr>
              <w:t>铅</w:t>
            </w:r>
            <w:r>
              <w:rPr>
                <w:color w:val="auto"/>
                <w:sz w:val="18"/>
                <w:szCs w:val="18"/>
              </w:rPr>
              <w:t xml:space="preserve"> (mg/L)</w:t>
            </w:r>
          </w:p>
        </w:tc>
        <w:tc>
          <w:tcPr>
            <w:tcW w:w="530" w:type="pct"/>
            <w:tcBorders>
              <w:tl2br w:val="nil"/>
              <w:tr2bl w:val="nil"/>
            </w:tcBorders>
            <w:noWrap w:val="0"/>
            <w:vAlign w:val="center"/>
          </w:tcPr>
          <w:p w14:paraId="462E7553">
            <w:pPr>
              <w:jc w:val="center"/>
              <w:rPr>
                <w:color w:val="auto"/>
                <w:sz w:val="18"/>
                <w:szCs w:val="18"/>
              </w:rPr>
            </w:pPr>
            <w:r>
              <w:rPr>
                <w:color w:val="auto"/>
                <w:sz w:val="18"/>
                <w:szCs w:val="18"/>
              </w:rPr>
              <w:t>0.01</w:t>
            </w:r>
          </w:p>
        </w:tc>
        <w:tc>
          <w:tcPr>
            <w:tcW w:w="534" w:type="pct"/>
            <w:tcBorders>
              <w:tl2br w:val="nil"/>
              <w:tr2bl w:val="nil"/>
            </w:tcBorders>
            <w:noWrap w:val="0"/>
            <w:vAlign w:val="center"/>
          </w:tcPr>
          <w:p w14:paraId="05CCFFD4">
            <w:pPr>
              <w:jc w:val="center"/>
              <w:rPr>
                <w:color w:val="auto"/>
                <w:sz w:val="18"/>
                <w:szCs w:val="18"/>
              </w:rPr>
            </w:pPr>
          </w:p>
        </w:tc>
        <w:tc>
          <w:tcPr>
            <w:tcW w:w="471" w:type="pct"/>
            <w:tcBorders>
              <w:tl2br w:val="nil"/>
              <w:tr2bl w:val="nil"/>
            </w:tcBorders>
            <w:noWrap w:val="0"/>
            <w:vAlign w:val="center"/>
          </w:tcPr>
          <w:p w14:paraId="59B7094E">
            <w:pPr>
              <w:jc w:val="center"/>
              <w:rPr>
                <w:color w:val="auto"/>
                <w:sz w:val="18"/>
                <w:szCs w:val="18"/>
              </w:rPr>
            </w:pPr>
          </w:p>
        </w:tc>
        <w:tc>
          <w:tcPr>
            <w:tcW w:w="622" w:type="pct"/>
            <w:tcBorders>
              <w:tl2br w:val="nil"/>
              <w:tr2bl w:val="nil"/>
            </w:tcBorders>
            <w:noWrap w:val="0"/>
            <w:vAlign w:val="center"/>
          </w:tcPr>
          <w:p w14:paraId="520576A9">
            <w:pPr>
              <w:jc w:val="center"/>
              <w:rPr>
                <w:color w:val="auto"/>
                <w:sz w:val="18"/>
                <w:szCs w:val="18"/>
              </w:rPr>
            </w:pPr>
          </w:p>
        </w:tc>
        <w:tc>
          <w:tcPr>
            <w:tcW w:w="623" w:type="pct"/>
            <w:tcBorders>
              <w:tl2br w:val="nil"/>
              <w:tr2bl w:val="nil"/>
            </w:tcBorders>
            <w:noWrap w:val="0"/>
            <w:vAlign w:val="center"/>
          </w:tcPr>
          <w:p w14:paraId="20E07B7D">
            <w:pPr>
              <w:jc w:val="center"/>
              <w:rPr>
                <w:color w:val="auto"/>
                <w:sz w:val="18"/>
                <w:szCs w:val="18"/>
              </w:rPr>
            </w:pPr>
          </w:p>
        </w:tc>
        <w:tc>
          <w:tcPr>
            <w:tcW w:w="531" w:type="pct"/>
            <w:tcBorders>
              <w:tl2br w:val="nil"/>
              <w:tr2bl w:val="nil"/>
            </w:tcBorders>
            <w:noWrap w:val="0"/>
            <w:vAlign w:val="center"/>
          </w:tcPr>
          <w:p w14:paraId="6E67D40A">
            <w:pPr>
              <w:jc w:val="center"/>
              <w:rPr>
                <w:color w:val="auto"/>
                <w:sz w:val="18"/>
                <w:szCs w:val="18"/>
              </w:rPr>
            </w:pPr>
          </w:p>
        </w:tc>
        <w:tc>
          <w:tcPr>
            <w:tcW w:w="566" w:type="pct"/>
            <w:tcBorders>
              <w:tl2br w:val="nil"/>
              <w:tr2bl w:val="nil"/>
            </w:tcBorders>
            <w:noWrap w:val="0"/>
            <w:vAlign w:val="center"/>
          </w:tcPr>
          <w:p w14:paraId="54B327F3">
            <w:pPr>
              <w:jc w:val="center"/>
              <w:rPr>
                <w:color w:val="auto"/>
                <w:sz w:val="18"/>
                <w:szCs w:val="18"/>
              </w:rPr>
            </w:pPr>
          </w:p>
        </w:tc>
      </w:tr>
      <w:tr w14:paraId="56F6B0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1119" w:type="pct"/>
            <w:tcBorders>
              <w:tl2br w:val="nil"/>
              <w:tr2bl w:val="nil"/>
            </w:tcBorders>
            <w:shd w:val="clear" w:color="auto" w:fill="auto"/>
            <w:noWrap w:val="0"/>
            <w:vAlign w:val="center"/>
          </w:tcPr>
          <w:p w14:paraId="545F144A">
            <w:pPr>
              <w:jc w:val="center"/>
              <w:rPr>
                <w:color w:val="auto"/>
                <w:sz w:val="18"/>
                <w:szCs w:val="18"/>
              </w:rPr>
            </w:pPr>
            <w:r>
              <w:rPr>
                <w:rFonts w:hint="eastAsia"/>
                <w:color w:val="auto"/>
                <w:sz w:val="18"/>
                <w:szCs w:val="18"/>
              </w:rPr>
              <w:t>总硬度</w:t>
            </w:r>
            <w:r>
              <w:rPr>
                <w:color w:val="auto"/>
                <w:sz w:val="18"/>
                <w:szCs w:val="18"/>
              </w:rPr>
              <w:t xml:space="preserve"> (mg/L)</w:t>
            </w:r>
          </w:p>
        </w:tc>
        <w:tc>
          <w:tcPr>
            <w:tcW w:w="530" w:type="pct"/>
            <w:tcBorders>
              <w:tl2br w:val="nil"/>
              <w:tr2bl w:val="nil"/>
            </w:tcBorders>
            <w:shd w:val="clear" w:color="auto" w:fill="auto"/>
            <w:noWrap w:val="0"/>
            <w:vAlign w:val="center"/>
          </w:tcPr>
          <w:p w14:paraId="5AE482C7">
            <w:pPr>
              <w:jc w:val="center"/>
              <w:rPr>
                <w:color w:val="auto"/>
                <w:sz w:val="18"/>
                <w:szCs w:val="18"/>
              </w:rPr>
            </w:pPr>
            <w:r>
              <w:rPr>
                <w:color w:val="auto"/>
                <w:sz w:val="18"/>
                <w:szCs w:val="18"/>
              </w:rPr>
              <w:t>450</w:t>
            </w:r>
          </w:p>
        </w:tc>
        <w:tc>
          <w:tcPr>
            <w:tcW w:w="534" w:type="pct"/>
            <w:tcBorders>
              <w:tl2br w:val="nil"/>
              <w:tr2bl w:val="nil"/>
            </w:tcBorders>
            <w:shd w:val="clear" w:color="auto" w:fill="auto"/>
            <w:noWrap w:val="0"/>
            <w:vAlign w:val="center"/>
          </w:tcPr>
          <w:p w14:paraId="1113C0E2">
            <w:pPr>
              <w:jc w:val="center"/>
              <w:rPr>
                <w:rFonts w:hint="default" w:eastAsia="宋体"/>
                <w:color w:val="auto"/>
                <w:sz w:val="18"/>
                <w:szCs w:val="18"/>
                <w:lang w:val="en-US" w:eastAsia="zh-CN"/>
              </w:rPr>
            </w:pPr>
          </w:p>
        </w:tc>
        <w:tc>
          <w:tcPr>
            <w:tcW w:w="471" w:type="pct"/>
            <w:tcBorders>
              <w:tl2br w:val="nil"/>
              <w:tr2bl w:val="nil"/>
            </w:tcBorders>
            <w:shd w:val="clear" w:color="auto" w:fill="auto"/>
            <w:noWrap w:val="0"/>
            <w:vAlign w:val="center"/>
          </w:tcPr>
          <w:p w14:paraId="743FED2C">
            <w:pPr>
              <w:jc w:val="center"/>
              <w:rPr>
                <w:color w:val="auto"/>
                <w:sz w:val="18"/>
                <w:szCs w:val="18"/>
              </w:rPr>
            </w:pPr>
          </w:p>
        </w:tc>
        <w:tc>
          <w:tcPr>
            <w:tcW w:w="622" w:type="pct"/>
            <w:tcBorders>
              <w:tl2br w:val="nil"/>
              <w:tr2bl w:val="nil"/>
            </w:tcBorders>
            <w:shd w:val="clear" w:color="auto" w:fill="auto"/>
            <w:noWrap w:val="0"/>
            <w:vAlign w:val="center"/>
          </w:tcPr>
          <w:p w14:paraId="6957DAF7">
            <w:pPr>
              <w:jc w:val="center"/>
              <w:rPr>
                <w:color w:val="auto"/>
                <w:sz w:val="18"/>
                <w:szCs w:val="18"/>
              </w:rPr>
            </w:pPr>
          </w:p>
        </w:tc>
        <w:tc>
          <w:tcPr>
            <w:tcW w:w="623" w:type="pct"/>
            <w:tcBorders>
              <w:tl2br w:val="nil"/>
              <w:tr2bl w:val="nil"/>
            </w:tcBorders>
            <w:shd w:val="clear" w:color="auto" w:fill="auto"/>
            <w:noWrap w:val="0"/>
            <w:vAlign w:val="center"/>
          </w:tcPr>
          <w:p w14:paraId="0BAC4A48">
            <w:pPr>
              <w:jc w:val="center"/>
              <w:rPr>
                <w:color w:val="auto"/>
                <w:sz w:val="18"/>
                <w:szCs w:val="18"/>
              </w:rPr>
            </w:pPr>
          </w:p>
        </w:tc>
        <w:tc>
          <w:tcPr>
            <w:tcW w:w="531" w:type="pct"/>
            <w:tcBorders>
              <w:tl2br w:val="nil"/>
              <w:tr2bl w:val="nil"/>
            </w:tcBorders>
            <w:shd w:val="clear" w:color="auto" w:fill="auto"/>
            <w:noWrap w:val="0"/>
            <w:vAlign w:val="center"/>
          </w:tcPr>
          <w:p w14:paraId="7FE62594">
            <w:pPr>
              <w:jc w:val="center"/>
              <w:rPr>
                <w:b/>
                <w:bCs/>
                <w:color w:val="auto"/>
                <w:sz w:val="18"/>
                <w:szCs w:val="18"/>
              </w:rPr>
            </w:pPr>
          </w:p>
        </w:tc>
        <w:tc>
          <w:tcPr>
            <w:tcW w:w="566" w:type="pct"/>
            <w:tcBorders>
              <w:tl2br w:val="nil"/>
              <w:tr2bl w:val="nil"/>
            </w:tcBorders>
            <w:shd w:val="clear" w:color="auto" w:fill="auto"/>
            <w:noWrap w:val="0"/>
            <w:vAlign w:val="center"/>
          </w:tcPr>
          <w:p w14:paraId="1A0971D1">
            <w:pPr>
              <w:jc w:val="center"/>
              <w:rPr>
                <w:b/>
                <w:bCs/>
                <w:color w:val="auto"/>
                <w:sz w:val="18"/>
                <w:szCs w:val="18"/>
              </w:rPr>
            </w:pPr>
          </w:p>
        </w:tc>
      </w:tr>
      <w:tr w14:paraId="7FEFBD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1119" w:type="pct"/>
            <w:tcBorders>
              <w:tl2br w:val="nil"/>
              <w:tr2bl w:val="nil"/>
            </w:tcBorders>
            <w:noWrap w:val="0"/>
            <w:vAlign w:val="center"/>
          </w:tcPr>
          <w:p w14:paraId="1446D7FF">
            <w:pPr>
              <w:jc w:val="center"/>
              <w:rPr>
                <w:color w:val="auto"/>
                <w:sz w:val="18"/>
                <w:szCs w:val="18"/>
              </w:rPr>
            </w:pPr>
            <w:r>
              <w:rPr>
                <w:rFonts w:hint="eastAsia"/>
                <w:color w:val="auto"/>
                <w:sz w:val="18"/>
                <w:szCs w:val="18"/>
              </w:rPr>
              <w:t>总大肠菌群（MPN/100ml）</w:t>
            </w:r>
          </w:p>
        </w:tc>
        <w:tc>
          <w:tcPr>
            <w:tcW w:w="530" w:type="pct"/>
            <w:tcBorders>
              <w:tl2br w:val="nil"/>
              <w:tr2bl w:val="nil"/>
            </w:tcBorders>
            <w:noWrap w:val="0"/>
            <w:vAlign w:val="center"/>
          </w:tcPr>
          <w:p w14:paraId="29C65877">
            <w:pPr>
              <w:jc w:val="center"/>
              <w:rPr>
                <w:color w:val="auto"/>
                <w:sz w:val="18"/>
                <w:szCs w:val="18"/>
              </w:rPr>
            </w:pPr>
            <w:r>
              <w:rPr>
                <w:color w:val="auto"/>
                <w:sz w:val="18"/>
                <w:szCs w:val="18"/>
              </w:rPr>
              <w:t>3</w:t>
            </w:r>
          </w:p>
        </w:tc>
        <w:tc>
          <w:tcPr>
            <w:tcW w:w="534" w:type="pct"/>
            <w:tcBorders>
              <w:tl2br w:val="nil"/>
              <w:tr2bl w:val="nil"/>
            </w:tcBorders>
            <w:noWrap w:val="0"/>
            <w:vAlign w:val="center"/>
          </w:tcPr>
          <w:p w14:paraId="4F8BC1D1">
            <w:pPr>
              <w:jc w:val="center"/>
              <w:rPr>
                <w:rFonts w:hint="default" w:eastAsia="宋体"/>
                <w:color w:val="auto"/>
                <w:sz w:val="18"/>
                <w:szCs w:val="18"/>
                <w:lang w:val="en-US" w:eastAsia="zh-CN"/>
              </w:rPr>
            </w:pPr>
          </w:p>
        </w:tc>
        <w:tc>
          <w:tcPr>
            <w:tcW w:w="471" w:type="pct"/>
            <w:tcBorders>
              <w:tl2br w:val="nil"/>
              <w:tr2bl w:val="nil"/>
            </w:tcBorders>
            <w:noWrap w:val="0"/>
            <w:vAlign w:val="center"/>
          </w:tcPr>
          <w:p w14:paraId="3815A7AC">
            <w:pPr>
              <w:jc w:val="center"/>
              <w:rPr>
                <w:color w:val="auto"/>
                <w:sz w:val="18"/>
                <w:szCs w:val="18"/>
              </w:rPr>
            </w:pPr>
          </w:p>
        </w:tc>
        <w:tc>
          <w:tcPr>
            <w:tcW w:w="622" w:type="pct"/>
            <w:tcBorders>
              <w:tl2br w:val="nil"/>
              <w:tr2bl w:val="nil"/>
            </w:tcBorders>
            <w:noWrap w:val="0"/>
            <w:vAlign w:val="center"/>
          </w:tcPr>
          <w:p w14:paraId="61B657AF">
            <w:pPr>
              <w:jc w:val="center"/>
              <w:rPr>
                <w:color w:val="auto"/>
                <w:sz w:val="18"/>
                <w:szCs w:val="18"/>
              </w:rPr>
            </w:pPr>
          </w:p>
        </w:tc>
        <w:tc>
          <w:tcPr>
            <w:tcW w:w="623" w:type="pct"/>
            <w:tcBorders>
              <w:tl2br w:val="nil"/>
              <w:tr2bl w:val="nil"/>
            </w:tcBorders>
            <w:noWrap w:val="0"/>
            <w:vAlign w:val="center"/>
          </w:tcPr>
          <w:p w14:paraId="5DF70BDD">
            <w:pPr>
              <w:jc w:val="center"/>
              <w:rPr>
                <w:color w:val="auto"/>
                <w:sz w:val="18"/>
                <w:szCs w:val="18"/>
              </w:rPr>
            </w:pPr>
          </w:p>
        </w:tc>
        <w:tc>
          <w:tcPr>
            <w:tcW w:w="531" w:type="pct"/>
            <w:tcBorders>
              <w:tl2br w:val="nil"/>
              <w:tr2bl w:val="nil"/>
            </w:tcBorders>
            <w:noWrap w:val="0"/>
            <w:vAlign w:val="center"/>
          </w:tcPr>
          <w:p w14:paraId="06C6DDCC">
            <w:pPr>
              <w:jc w:val="center"/>
              <w:rPr>
                <w:color w:val="auto"/>
                <w:sz w:val="18"/>
                <w:szCs w:val="18"/>
              </w:rPr>
            </w:pPr>
          </w:p>
        </w:tc>
        <w:tc>
          <w:tcPr>
            <w:tcW w:w="566" w:type="pct"/>
            <w:tcBorders>
              <w:tl2br w:val="nil"/>
              <w:tr2bl w:val="nil"/>
            </w:tcBorders>
            <w:noWrap w:val="0"/>
            <w:vAlign w:val="center"/>
          </w:tcPr>
          <w:p w14:paraId="3313BC3A">
            <w:pPr>
              <w:jc w:val="center"/>
              <w:rPr>
                <w:color w:val="auto"/>
                <w:sz w:val="18"/>
                <w:szCs w:val="18"/>
              </w:rPr>
            </w:pPr>
          </w:p>
        </w:tc>
      </w:tr>
      <w:tr w14:paraId="5165F5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1119" w:type="pct"/>
            <w:tcBorders>
              <w:tl2br w:val="nil"/>
              <w:tr2bl w:val="nil"/>
            </w:tcBorders>
            <w:noWrap w:val="0"/>
            <w:vAlign w:val="center"/>
          </w:tcPr>
          <w:p w14:paraId="233F1E1F">
            <w:pPr>
              <w:jc w:val="center"/>
              <w:rPr>
                <w:color w:val="auto"/>
                <w:sz w:val="18"/>
                <w:szCs w:val="18"/>
              </w:rPr>
            </w:pPr>
            <w:r>
              <w:rPr>
                <w:rFonts w:hint="eastAsia"/>
                <w:color w:val="auto"/>
                <w:sz w:val="18"/>
                <w:szCs w:val="18"/>
              </w:rPr>
              <w:t>氟化物</w:t>
            </w:r>
            <w:r>
              <w:rPr>
                <w:rFonts w:hint="eastAsia"/>
                <w:color w:val="auto"/>
                <w:sz w:val="18"/>
                <w:szCs w:val="18"/>
                <w:lang w:eastAsia="zh-CN"/>
              </w:rPr>
              <w:t>（</w:t>
            </w:r>
            <w:r>
              <w:rPr>
                <w:color w:val="auto"/>
                <w:sz w:val="18"/>
                <w:szCs w:val="18"/>
              </w:rPr>
              <w:t>mg/L</w:t>
            </w:r>
            <w:r>
              <w:rPr>
                <w:rFonts w:hint="eastAsia"/>
                <w:color w:val="auto"/>
                <w:sz w:val="18"/>
                <w:szCs w:val="18"/>
                <w:lang w:eastAsia="zh-CN"/>
              </w:rPr>
              <w:t>）</w:t>
            </w:r>
          </w:p>
        </w:tc>
        <w:tc>
          <w:tcPr>
            <w:tcW w:w="530" w:type="pct"/>
            <w:tcBorders>
              <w:tl2br w:val="nil"/>
              <w:tr2bl w:val="nil"/>
            </w:tcBorders>
            <w:noWrap w:val="0"/>
            <w:vAlign w:val="center"/>
          </w:tcPr>
          <w:p w14:paraId="309F1514">
            <w:pPr>
              <w:jc w:val="center"/>
              <w:rPr>
                <w:color w:val="auto"/>
                <w:sz w:val="18"/>
                <w:szCs w:val="18"/>
              </w:rPr>
            </w:pPr>
            <w:r>
              <w:rPr>
                <w:color w:val="auto"/>
                <w:sz w:val="18"/>
                <w:szCs w:val="18"/>
              </w:rPr>
              <w:t>1</w:t>
            </w:r>
          </w:p>
        </w:tc>
        <w:tc>
          <w:tcPr>
            <w:tcW w:w="534" w:type="pct"/>
            <w:tcBorders>
              <w:tl2br w:val="nil"/>
              <w:tr2bl w:val="nil"/>
            </w:tcBorders>
            <w:noWrap w:val="0"/>
            <w:vAlign w:val="center"/>
          </w:tcPr>
          <w:p w14:paraId="48227142">
            <w:pPr>
              <w:jc w:val="center"/>
              <w:rPr>
                <w:rFonts w:hint="default" w:eastAsia="宋体"/>
                <w:color w:val="auto"/>
                <w:sz w:val="18"/>
                <w:szCs w:val="18"/>
                <w:lang w:val="en-US" w:eastAsia="zh-CN"/>
              </w:rPr>
            </w:pPr>
          </w:p>
        </w:tc>
        <w:tc>
          <w:tcPr>
            <w:tcW w:w="471" w:type="pct"/>
            <w:tcBorders>
              <w:tl2br w:val="nil"/>
              <w:tr2bl w:val="nil"/>
            </w:tcBorders>
            <w:noWrap w:val="0"/>
            <w:vAlign w:val="center"/>
          </w:tcPr>
          <w:p w14:paraId="18284C76">
            <w:pPr>
              <w:jc w:val="center"/>
              <w:rPr>
                <w:rFonts w:hint="default" w:eastAsia="宋体"/>
                <w:color w:val="auto"/>
                <w:sz w:val="18"/>
                <w:szCs w:val="18"/>
                <w:lang w:val="en-US" w:eastAsia="zh-CN"/>
              </w:rPr>
            </w:pPr>
          </w:p>
        </w:tc>
        <w:tc>
          <w:tcPr>
            <w:tcW w:w="622" w:type="pct"/>
            <w:tcBorders>
              <w:tl2br w:val="nil"/>
              <w:tr2bl w:val="nil"/>
            </w:tcBorders>
            <w:noWrap w:val="0"/>
            <w:vAlign w:val="center"/>
          </w:tcPr>
          <w:p w14:paraId="63C977E3">
            <w:pPr>
              <w:jc w:val="center"/>
              <w:rPr>
                <w:color w:val="auto"/>
                <w:sz w:val="18"/>
                <w:szCs w:val="18"/>
              </w:rPr>
            </w:pPr>
          </w:p>
        </w:tc>
        <w:tc>
          <w:tcPr>
            <w:tcW w:w="623" w:type="pct"/>
            <w:tcBorders>
              <w:tl2br w:val="nil"/>
              <w:tr2bl w:val="nil"/>
            </w:tcBorders>
            <w:noWrap w:val="0"/>
            <w:vAlign w:val="center"/>
          </w:tcPr>
          <w:p w14:paraId="3E649C21">
            <w:pPr>
              <w:jc w:val="center"/>
              <w:rPr>
                <w:color w:val="auto"/>
                <w:sz w:val="18"/>
                <w:szCs w:val="18"/>
              </w:rPr>
            </w:pPr>
          </w:p>
        </w:tc>
        <w:tc>
          <w:tcPr>
            <w:tcW w:w="531" w:type="pct"/>
            <w:tcBorders>
              <w:tl2br w:val="nil"/>
              <w:tr2bl w:val="nil"/>
            </w:tcBorders>
            <w:noWrap w:val="0"/>
            <w:vAlign w:val="center"/>
          </w:tcPr>
          <w:p w14:paraId="3F0FBC69">
            <w:pPr>
              <w:jc w:val="center"/>
              <w:rPr>
                <w:color w:val="auto"/>
                <w:sz w:val="18"/>
                <w:szCs w:val="18"/>
              </w:rPr>
            </w:pPr>
          </w:p>
        </w:tc>
        <w:tc>
          <w:tcPr>
            <w:tcW w:w="566" w:type="pct"/>
            <w:tcBorders>
              <w:tl2br w:val="nil"/>
              <w:tr2bl w:val="nil"/>
            </w:tcBorders>
            <w:noWrap w:val="0"/>
            <w:vAlign w:val="center"/>
          </w:tcPr>
          <w:p w14:paraId="21473890">
            <w:pPr>
              <w:jc w:val="center"/>
              <w:rPr>
                <w:color w:val="auto"/>
                <w:sz w:val="18"/>
                <w:szCs w:val="18"/>
              </w:rPr>
            </w:pPr>
          </w:p>
        </w:tc>
      </w:tr>
      <w:tr w14:paraId="3D44E4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1119" w:type="pct"/>
            <w:tcBorders>
              <w:tl2br w:val="nil"/>
              <w:tr2bl w:val="nil"/>
            </w:tcBorders>
            <w:noWrap w:val="0"/>
            <w:vAlign w:val="center"/>
          </w:tcPr>
          <w:p w14:paraId="7BDDFA0E">
            <w:pPr>
              <w:jc w:val="center"/>
              <w:rPr>
                <w:color w:val="auto"/>
                <w:sz w:val="18"/>
                <w:szCs w:val="18"/>
              </w:rPr>
            </w:pPr>
            <w:r>
              <w:rPr>
                <w:rFonts w:hint="eastAsia"/>
                <w:color w:val="auto"/>
                <w:sz w:val="18"/>
                <w:szCs w:val="18"/>
              </w:rPr>
              <w:t>氰化物</w:t>
            </w:r>
            <w:r>
              <w:rPr>
                <w:color w:val="auto"/>
                <w:sz w:val="18"/>
                <w:szCs w:val="18"/>
              </w:rPr>
              <w:t xml:space="preserve"> (mg/L)</w:t>
            </w:r>
          </w:p>
        </w:tc>
        <w:tc>
          <w:tcPr>
            <w:tcW w:w="530" w:type="pct"/>
            <w:tcBorders>
              <w:tl2br w:val="nil"/>
              <w:tr2bl w:val="nil"/>
            </w:tcBorders>
            <w:noWrap w:val="0"/>
            <w:vAlign w:val="center"/>
          </w:tcPr>
          <w:p w14:paraId="2AA25726">
            <w:pPr>
              <w:jc w:val="center"/>
              <w:rPr>
                <w:color w:val="auto"/>
                <w:sz w:val="18"/>
                <w:szCs w:val="18"/>
              </w:rPr>
            </w:pPr>
            <w:r>
              <w:rPr>
                <w:color w:val="auto"/>
                <w:sz w:val="18"/>
                <w:szCs w:val="18"/>
              </w:rPr>
              <w:t>0.05</w:t>
            </w:r>
          </w:p>
        </w:tc>
        <w:tc>
          <w:tcPr>
            <w:tcW w:w="534" w:type="pct"/>
            <w:tcBorders>
              <w:tl2br w:val="nil"/>
              <w:tr2bl w:val="nil"/>
            </w:tcBorders>
            <w:noWrap w:val="0"/>
            <w:vAlign w:val="center"/>
          </w:tcPr>
          <w:p w14:paraId="7E1AEC43">
            <w:pPr>
              <w:jc w:val="center"/>
              <w:rPr>
                <w:color w:val="auto"/>
                <w:sz w:val="18"/>
                <w:szCs w:val="18"/>
              </w:rPr>
            </w:pPr>
          </w:p>
        </w:tc>
        <w:tc>
          <w:tcPr>
            <w:tcW w:w="471" w:type="pct"/>
            <w:tcBorders>
              <w:tl2br w:val="nil"/>
              <w:tr2bl w:val="nil"/>
            </w:tcBorders>
            <w:noWrap w:val="0"/>
            <w:vAlign w:val="center"/>
          </w:tcPr>
          <w:p w14:paraId="4BE1EBF7">
            <w:pPr>
              <w:jc w:val="center"/>
              <w:rPr>
                <w:color w:val="auto"/>
                <w:sz w:val="18"/>
                <w:szCs w:val="18"/>
              </w:rPr>
            </w:pPr>
          </w:p>
        </w:tc>
        <w:tc>
          <w:tcPr>
            <w:tcW w:w="622" w:type="pct"/>
            <w:tcBorders>
              <w:tl2br w:val="nil"/>
              <w:tr2bl w:val="nil"/>
            </w:tcBorders>
            <w:noWrap w:val="0"/>
            <w:vAlign w:val="center"/>
          </w:tcPr>
          <w:p w14:paraId="7BB3EA8A">
            <w:pPr>
              <w:jc w:val="center"/>
              <w:rPr>
                <w:color w:val="auto"/>
                <w:sz w:val="18"/>
                <w:szCs w:val="18"/>
              </w:rPr>
            </w:pPr>
          </w:p>
        </w:tc>
        <w:tc>
          <w:tcPr>
            <w:tcW w:w="623" w:type="pct"/>
            <w:tcBorders>
              <w:tl2br w:val="nil"/>
              <w:tr2bl w:val="nil"/>
            </w:tcBorders>
            <w:noWrap w:val="0"/>
            <w:vAlign w:val="center"/>
          </w:tcPr>
          <w:p w14:paraId="67385294">
            <w:pPr>
              <w:jc w:val="center"/>
              <w:rPr>
                <w:color w:val="auto"/>
                <w:sz w:val="18"/>
                <w:szCs w:val="18"/>
              </w:rPr>
            </w:pPr>
          </w:p>
        </w:tc>
        <w:tc>
          <w:tcPr>
            <w:tcW w:w="531" w:type="pct"/>
            <w:tcBorders>
              <w:tl2br w:val="nil"/>
              <w:tr2bl w:val="nil"/>
            </w:tcBorders>
            <w:noWrap w:val="0"/>
            <w:vAlign w:val="center"/>
          </w:tcPr>
          <w:p w14:paraId="21716A23">
            <w:pPr>
              <w:jc w:val="center"/>
              <w:rPr>
                <w:color w:val="auto"/>
                <w:sz w:val="18"/>
                <w:szCs w:val="18"/>
              </w:rPr>
            </w:pPr>
          </w:p>
        </w:tc>
        <w:tc>
          <w:tcPr>
            <w:tcW w:w="566" w:type="pct"/>
            <w:tcBorders>
              <w:tl2br w:val="nil"/>
              <w:tr2bl w:val="nil"/>
            </w:tcBorders>
            <w:noWrap w:val="0"/>
            <w:vAlign w:val="center"/>
          </w:tcPr>
          <w:p w14:paraId="5504B063">
            <w:pPr>
              <w:jc w:val="center"/>
              <w:rPr>
                <w:color w:val="auto"/>
                <w:sz w:val="18"/>
                <w:szCs w:val="18"/>
              </w:rPr>
            </w:pPr>
          </w:p>
        </w:tc>
      </w:tr>
      <w:tr w14:paraId="12DCE8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1119" w:type="pct"/>
            <w:tcBorders>
              <w:tl2br w:val="nil"/>
              <w:tr2bl w:val="nil"/>
            </w:tcBorders>
            <w:noWrap w:val="0"/>
            <w:vAlign w:val="center"/>
          </w:tcPr>
          <w:p w14:paraId="5F8EB19E">
            <w:pPr>
              <w:jc w:val="center"/>
              <w:rPr>
                <w:color w:val="auto"/>
                <w:sz w:val="18"/>
                <w:szCs w:val="18"/>
              </w:rPr>
            </w:pPr>
            <w:r>
              <w:rPr>
                <w:rFonts w:hint="eastAsia"/>
                <w:color w:val="auto"/>
                <w:sz w:val="18"/>
                <w:szCs w:val="18"/>
              </w:rPr>
              <w:t>挥发酚</w:t>
            </w:r>
            <w:r>
              <w:rPr>
                <w:color w:val="auto"/>
                <w:sz w:val="18"/>
                <w:szCs w:val="18"/>
              </w:rPr>
              <w:t xml:space="preserve"> (mg/L)</w:t>
            </w:r>
          </w:p>
        </w:tc>
        <w:tc>
          <w:tcPr>
            <w:tcW w:w="530" w:type="pct"/>
            <w:tcBorders>
              <w:tl2br w:val="nil"/>
              <w:tr2bl w:val="nil"/>
            </w:tcBorders>
            <w:noWrap w:val="0"/>
            <w:vAlign w:val="center"/>
          </w:tcPr>
          <w:p w14:paraId="5E3E28E9">
            <w:pPr>
              <w:jc w:val="center"/>
              <w:rPr>
                <w:color w:val="auto"/>
                <w:sz w:val="18"/>
                <w:szCs w:val="18"/>
              </w:rPr>
            </w:pPr>
            <w:r>
              <w:rPr>
                <w:color w:val="auto"/>
                <w:sz w:val="18"/>
                <w:szCs w:val="18"/>
              </w:rPr>
              <w:t>0.002</w:t>
            </w:r>
          </w:p>
        </w:tc>
        <w:tc>
          <w:tcPr>
            <w:tcW w:w="534" w:type="pct"/>
            <w:tcBorders>
              <w:tl2br w:val="nil"/>
              <w:tr2bl w:val="nil"/>
            </w:tcBorders>
            <w:noWrap w:val="0"/>
            <w:vAlign w:val="center"/>
          </w:tcPr>
          <w:p w14:paraId="4D0BA269">
            <w:pPr>
              <w:jc w:val="center"/>
              <w:rPr>
                <w:color w:val="auto"/>
                <w:sz w:val="18"/>
                <w:szCs w:val="18"/>
              </w:rPr>
            </w:pPr>
          </w:p>
        </w:tc>
        <w:tc>
          <w:tcPr>
            <w:tcW w:w="471" w:type="pct"/>
            <w:tcBorders>
              <w:tl2br w:val="nil"/>
              <w:tr2bl w:val="nil"/>
            </w:tcBorders>
            <w:noWrap w:val="0"/>
            <w:vAlign w:val="center"/>
          </w:tcPr>
          <w:p w14:paraId="2A662A00">
            <w:pPr>
              <w:jc w:val="center"/>
              <w:rPr>
                <w:color w:val="auto"/>
                <w:sz w:val="18"/>
                <w:szCs w:val="18"/>
              </w:rPr>
            </w:pPr>
          </w:p>
        </w:tc>
        <w:tc>
          <w:tcPr>
            <w:tcW w:w="622" w:type="pct"/>
            <w:tcBorders>
              <w:tl2br w:val="nil"/>
              <w:tr2bl w:val="nil"/>
            </w:tcBorders>
            <w:noWrap w:val="0"/>
            <w:vAlign w:val="center"/>
          </w:tcPr>
          <w:p w14:paraId="732FB0E4">
            <w:pPr>
              <w:jc w:val="center"/>
              <w:rPr>
                <w:color w:val="auto"/>
                <w:sz w:val="18"/>
                <w:szCs w:val="18"/>
              </w:rPr>
            </w:pPr>
          </w:p>
        </w:tc>
        <w:tc>
          <w:tcPr>
            <w:tcW w:w="623" w:type="pct"/>
            <w:tcBorders>
              <w:tl2br w:val="nil"/>
              <w:tr2bl w:val="nil"/>
            </w:tcBorders>
            <w:noWrap w:val="0"/>
            <w:vAlign w:val="center"/>
          </w:tcPr>
          <w:p w14:paraId="2201EAA8">
            <w:pPr>
              <w:jc w:val="center"/>
              <w:rPr>
                <w:color w:val="auto"/>
                <w:sz w:val="18"/>
                <w:szCs w:val="18"/>
              </w:rPr>
            </w:pPr>
          </w:p>
        </w:tc>
        <w:tc>
          <w:tcPr>
            <w:tcW w:w="531" w:type="pct"/>
            <w:tcBorders>
              <w:tl2br w:val="nil"/>
              <w:tr2bl w:val="nil"/>
            </w:tcBorders>
            <w:noWrap w:val="0"/>
            <w:vAlign w:val="center"/>
          </w:tcPr>
          <w:p w14:paraId="246DA045">
            <w:pPr>
              <w:jc w:val="center"/>
              <w:rPr>
                <w:color w:val="auto"/>
                <w:sz w:val="18"/>
                <w:szCs w:val="18"/>
              </w:rPr>
            </w:pPr>
          </w:p>
        </w:tc>
        <w:tc>
          <w:tcPr>
            <w:tcW w:w="566" w:type="pct"/>
            <w:tcBorders>
              <w:tl2br w:val="nil"/>
              <w:tr2bl w:val="nil"/>
            </w:tcBorders>
            <w:noWrap w:val="0"/>
            <w:vAlign w:val="center"/>
          </w:tcPr>
          <w:p w14:paraId="31672B2F">
            <w:pPr>
              <w:jc w:val="center"/>
              <w:rPr>
                <w:color w:val="auto"/>
                <w:sz w:val="18"/>
                <w:szCs w:val="18"/>
              </w:rPr>
            </w:pPr>
          </w:p>
        </w:tc>
      </w:tr>
      <w:tr w14:paraId="3E9547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1119" w:type="pct"/>
            <w:tcBorders>
              <w:tl2br w:val="nil"/>
              <w:tr2bl w:val="nil"/>
            </w:tcBorders>
            <w:shd w:val="clear" w:color="auto" w:fill="auto"/>
            <w:noWrap w:val="0"/>
            <w:vAlign w:val="center"/>
          </w:tcPr>
          <w:p w14:paraId="3D2F8191">
            <w:pPr>
              <w:jc w:val="center"/>
              <w:rPr>
                <w:color w:val="auto"/>
                <w:sz w:val="18"/>
                <w:szCs w:val="18"/>
              </w:rPr>
            </w:pPr>
            <w:r>
              <w:rPr>
                <w:rFonts w:hint="eastAsia"/>
                <w:color w:val="auto"/>
                <w:sz w:val="18"/>
                <w:szCs w:val="18"/>
              </w:rPr>
              <w:t>氯化物</w:t>
            </w:r>
            <w:r>
              <w:rPr>
                <w:color w:val="auto"/>
                <w:sz w:val="18"/>
                <w:szCs w:val="18"/>
              </w:rPr>
              <w:t xml:space="preserve"> (mg/L)</w:t>
            </w:r>
          </w:p>
        </w:tc>
        <w:tc>
          <w:tcPr>
            <w:tcW w:w="530" w:type="pct"/>
            <w:tcBorders>
              <w:tl2br w:val="nil"/>
              <w:tr2bl w:val="nil"/>
            </w:tcBorders>
            <w:shd w:val="clear" w:color="auto" w:fill="auto"/>
            <w:noWrap w:val="0"/>
            <w:vAlign w:val="center"/>
          </w:tcPr>
          <w:p w14:paraId="3A2E9104">
            <w:pPr>
              <w:jc w:val="center"/>
              <w:rPr>
                <w:color w:val="auto"/>
                <w:sz w:val="18"/>
                <w:szCs w:val="18"/>
              </w:rPr>
            </w:pPr>
            <w:r>
              <w:rPr>
                <w:color w:val="auto"/>
                <w:sz w:val="18"/>
                <w:szCs w:val="18"/>
              </w:rPr>
              <w:t>250</w:t>
            </w:r>
          </w:p>
        </w:tc>
        <w:tc>
          <w:tcPr>
            <w:tcW w:w="534" w:type="pct"/>
            <w:tcBorders>
              <w:tl2br w:val="nil"/>
              <w:tr2bl w:val="nil"/>
            </w:tcBorders>
            <w:shd w:val="clear" w:color="000000" w:fill="auto"/>
            <w:noWrap w:val="0"/>
            <w:vAlign w:val="center"/>
          </w:tcPr>
          <w:p w14:paraId="3F37AC95">
            <w:pPr>
              <w:jc w:val="center"/>
              <w:rPr>
                <w:rFonts w:hint="default" w:eastAsia="宋体"/>
                <w:color w:val="auto"/>
                <w:sz w:val="18"/>
                <w:szCs w:val="18"/>
                <w:lang w:val="en-US" w:eastAsia="zh-CN"/>
              </w:rPr>
            </w:pPr>
          </w:p>
        </w:tc>
        <w:tc>
          <w:tcPr>
            <w:tcW w:w="471" w:type="pct"/>
            <w:tcBorders>
              <w:tl2br w:val="nil"/>
              <w:tr2bl w:val="nil"/>
            </w:tcBorders>
            <w:shd w:val="clear" w:color="000000" w:fill="auto"/>
            <w:noWrap w:val="0"/>
            <w:vAlign w:val="center"/>
          </w:tcPr>
          <w:p w14:paraId="20C7F5A1">
            <w:pPr>
              <w:jc w:val="center"/>
              <w:rPr>
                <w:rFonts w:hint="default" w:eastAsia="宋体"/>
                <w:color w:val="auto"/>
                <w:sz w:val="18"/>
                <w:szCs w:val="18"/>
                <w:lang w:val="en-US" w:eastAsia="zh-CN"/>
              </w:rPr>
            </w:pPr>
          </w:p>
        </w:tc>
        <w:tc>
          <w:tcPr>
            <w:tcW w:w="622" w:type="pct"/>
            <w:tcBorders>
              <w:tl2br w:val="nil"/>
              <w:tr2bl w:val="nil"/>
            </w:tcBorders>
            <w:shd w:val="clear" w:color="auto" w:fill="auto"/>
            <w:noWrap w:val="0"/>
            <w:vAlign w:val="center"/>
          </w:tcPr>
          <w:p w14:paraId="69C21095">
            <w:pPr>
              <w:jc w:val="center"/>
              <w:rPr>
                <w:b/>
                <w:bCs/>
                <w:color w:val="auto"/>
                <w:sz w:val="18"/>
                <w:szCs w:val="18"/>
              </w:rPr>
            </w:pPr>
          </w:p>
        </w:tc>
        <w:tc>
          <w:tcPr>
            <w:tcW w:w="623" w:type="pct"/>
            <w:tcBorders>
              <w:tl2br w:val="nil"/>
              <w:tr2bl w:val="nil"/>
            </w:tcBorders>
            <w:shd w:val="clear" w:color="auto" w:fill="auto"/>
            <w:noWrap w:val="0"/>
            <w:vAlign w:val="center"/>
          </w:tcPr>
          <w:p w14:paraId="7AE73013">
            <w:pPr>
              <w:jc w:val="center"/>
              <w:rPr>
                <w:b/>
                <w:bCs/>
                <w:color w:val="auto"/>
                <w:sz w:val="18"/>
                <w:szCs w:val="18"/>
              </w:rPr>
            </w:pPr>
          </w:p>
        </w:tc>
        <w:tc>
          <w:tcPr>
            <w:tcW w:w="531" w:type="pct"/>
            <w:tcBorders>
              <w:tl2br w:val="nil"/>
              <w:tr2bl w:val="nil"/>
            </w:tcBorders>
            <w:shd w:val="clear" w:color="auto" w:fill="auto"/>
            <w:noWrap w:val="0"/>
            <w:vAlign w:val="center"/>
          </w:tcPr>
          <w:p w14:paraId="63F05ADD">
            <w:pPr>
              <w:jc w:val="center"/>
              <w:rPr>
                <w:b/>
                <w:bCs/>
                <w:color w:val="auto"/>
                <w:sz w:val="18"/>
                <w:szCs w:val="18"/>
              </w:rPr>
            </w:pPr>
          </w:p>
        </w:tc>
        <w:tc>
          <w:tcPr>
            <w:tcW w:w="566" w:type="pct"/>
            <w:tcBorders>
              <w:tl2br w:val="nil"/>
              <w:tr2bl w:val="nil"/>
            </w:tcBorders>
            <w:shd w:val="clear" w:color="auto" w:fill="auto"/>
            <w:noWrap w:val="0"/>
            <w:vAlign w:val="center"/>
          </w:tcPr>
          <w:p w14:paraId="414B43BB">
            <w:pPr>
              <w:jc w:val="center"/>
              <w:rPr>
                <w:b/>
                <w:bCs/>
                <w:color w:val="auto"/>
                <w:sz w:val="18"/>
                <w:szCs w:val="18"/>
              </w:rPr>
            </w:pPr>
          </w:p>
        </w:tc>
      </w:tr>
      <w:tr w14:paraId="6EF027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1119" w:type="pct"/>
            <w:tcBorders>
              <w:tl2br w:val="nil"/>
              <w:tr2bl w:val="nil"/>
            </w:tcBorders>
            <w:noWrap w:val="0"/>
            <w:vAlign w:val="center"/>
          </w:tcPr>
          <w:p w14:paraId="642E52D4">
            <w:pPr>
              <w:jc w:val="center"/>
              <w:rPr>
                <w:color w:val="auto"/>
                <w:sz w:val="18"/>
                <w:szCs w:val="18"/>
              </w:rPr>
            </w:pPr>
            <w:r>
              <w:rPr>
                <w:rFonts w:hint="eastAsia"/>
                <w:color w:val="auto"/>
                <w:sz w:val="18"/>
                <w:szCs w:val="18"/>
              </w:rPr>
              <w:t>硝酸盐氮</w:t>
            </w:r>
            <w:r>
              <w:rPr>
                <w:color w:val="auto"/>
                <w:sz w:val="18"/>
                <w:szCs w:val="18"/>
              </w:rPr>
              <w:t xml:space="preserve"> (mg/L)</w:t>
            </w:r>
          </w:p>
        </w:tc>
        <w:tc>
          <w:tcPr>
            <w:tcW w:w="530" w:type="pct"/>
            <w:tcBorders>
              <w:tl2br w:val="nil"/>
              <w:tr2bl w:val="nil"/>
            </w:tcBorders>
            <w:noWrap w:val="0"/>
            <w:vAlign w:val="center"/>
          </w:tcPr>
          <w:p w14:paraId="5946C443">
            <w:pPr>
              <w:jc w:val="center"/>
              <w:rPr>
                <w:color w:val="auto"/>
                <w:sz w:val="18"/>
                <w:szCs w:val="18"/>
              </w:rPr>
            </w:pPr>
            <w:r>
              <w:rPr>
                <w:color w:val="auto"/>
                <w:sz w:val="18"/>
                <w:szCs w:val="18"/>
              </w:rPr>
              <w:t>20</w:t>
            </w:r>
          </w:p>
        </w:tc>
        <w:tc>
          <w:tcPr>
            <w:tcW w:w="534" w:type="pct"/>
            <w:tcBorders>
              <w:tl2br w:val="nil"/>
              <w:tr2bl w:val="nil"/>
            </w:tcBorders>
            <w:shd w:val="clear" w:color="000000" w:fill="auto"/>
            <w:noWrap w:val="0"/>
            <w:vAlign w:val="center"/>
          </w:tcPr>
          <w:p w14:paraId="7595E9E6">
            <w:pPr>
              <w:jc w:val="center"/>
              <w:rPr>
                <w:rFonts w:hint="default" w:eastAsia="宋体"/>
                <w:color w:val="auto"/>
                <w:sz w:val="18"/>
                <w:szCs w:val="18"/>
                <w:lang w:val="en-US" w:eastAsia="zh-CN"/>
              </w:rPr>
            </w:pPr>
          </w:p>
        </w:tc>
        <w:tc>
          <w:tcPr>
            <w:tcW w:w="471" w:type="pct"/>
            <w:tcBorders>
              <w:tl2br w:val="nil"/>
              <w:tr2bl w:val="nil"/>
            </w:tcBorders>
            <w:shd w:val="clear" w:color="000000" w:fill="auto"/>
            <w:noWrap w:val="0"/>
            <w:vAlign w:val="center"/>
          </w:tcPr>
          <w:p w14:paraId="7E701ECD">
            <w:pPr>
              <w:jc w:val="center"/>
              <w:rPr>
                <w:rFonts w:hint="default" w:eastAsia="宋体"/>
                <w:color w:val="auto"/>
                <w:sz w:val="18"/>
                <w:szCs w:val="18"/>
                <w:lang w:val="en-US" w:eastAsia="zh-CN"/>
              </w:rPr>
            </w:pPr>
          </w:p>
        </w:tc>
        <w:tc>
          <w:tcPr>
            <w:tcW w:w="622" w:type="pct"/>
            <w:tcBorders>
              <w:tl2br w:val="nil"/>
              <w:tr2bl w:val="nil"/>
            </w:tcBorders>
            <w:noWrap w:val="0"/>
            <w:vAlign w:val="center"/>
          </w:tcPr>
          <w:p w14:paraId="1D5456B5">
            <w:pPr>
              <w:jc w:val="center"/>
              <w:rPr>
                <w:color w:val="auto"/>
                <w:sz w:val="18"/>
                <w:szCs w:val="18"/>
              </w:rPr>
            </w:pPr>
          </w:p>
        </w:tc>
        <w:tc>
          <w:tcPr>
            <w:tcW w:w="623" w:type="pct"/>
            <w:tcBorders>
              <w:tl2br w:val="nil"/>
              <w:tr2bl w:val="nil"/>
            </w:tcBorders>
            <w:noWrap w:val="0"/>
            <w:vAlign w:val="center"/>
          </w:tcPr>
          <w:p w14:paraId="4C64205D">
            <w:pPr>
              <w:jc w:val="center"/>
              <w:rPr>
                <w:color w:val="auto"/>
                <w:sz w:val="18"/>
                <w:szCs w:val="18"/>
              </w:rPr>
            </w:pPr>
          </w:p>
        </w:tc>
        <w:tc>
          <w:tcPr>
            <w:tcW w:w="531" w:type="pct"/>
            <w:tcBorders>
              <w:tl2br w:val="nil"/>
              <w:tr2bl w:val="nil"/>
            </w:tcBorders>
            <w:noWrap w:val="0"/>
            <w:vAlign w:val="center"/>
          </w:tcPr>
          <w:p w14:paraId="61AAA69F">
            <w:pPr>
              <w:jc w:val="center"/>
              <w:rPr>
                <w:color w:val="auto"/>
                <w:sz w:val="18"/>
                <w:szCs w:val="18"/>
              </w:rPr>
            </w:pPr>
          </w:p>
        </w:tc>
        <w:tc>
          <w:tcPr>
            <w:tcW w:w="566" w:type="pct"/>
            <w:tcBorders>
              <w:tl2br w:val="nil"/>
              <w:tr2bl w:val="nil"/>
            </w:tcBorders>
            <w:noWrap w:val="0"/>
            <w:vAlign w:val="center"/>
          </w:tcPr>
          <w:p w14:paraId="0881FECE">
            <w:pPr>
              <w:jc w:val="center"/>
              <w:rPr>
                <w:color w:val="auto"/>
                <w:sz w:val="18"/>
                <w:szCs w:val="18"/>
              </w:rPr>
            </w:pPr>
          </w:p>
        </w:tc>
      </w:tr>
      <w:tr w14:paraId="3367B0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1119" w:type="pct"/>
            <w:tcBorders>
              <w:tl2br w:val="nil"/>
              <w:tr2bl w:val="nil"/>
            </w:tcBorders>
            <w:noWrap w:val="0"/>
            <w:vAlign w:val="center"/>
          </w:tcPr>
          <w:p w14:paraId="679E48E3">
            <w:pPr>
              <w:jc w:val="center"/>
              <w:rPr>
                <w:color w:val="auto"/>
                <w:sz w:val="18"/>
                <w:szCs w:val="18"/>
              </w:rPr>
            </w:pPr>
            <w:r>
              <w:rPr>
                <w:rFonts w:hint="eastAsia"/>
                <w:color w:val="auto"/>
                <w:sz w:val="18"/>
                <w:szCs w:val="18"/>
              </w:rPr>
              <w:t>亚硝酸盐氮</w:t>
            </w:r>
            <w:r>
              <w:rPr>
                <w:color w:val="auto"/>
                <w:sz w:val="18"/>
                <w:szCs w:val="18"/>
              </w:rPr>
              <w:t xml:space="preserve"> (mg/L)</w:t>
            </w:r>
          </w:p>
        </w:tc>
        <w:tc>
          <w:tcPr>
            <w:tcW w:w="530" w:type="pct"/>
            <w:tcBorders>
              <w:tl2br w:val="nil"/>
              <w:tr2bl w:val="nil"/>
            </w:tcBorders>
            <w:noWrap w:val="0"/>
            <w:vAlign w:val="center"/>
          </w:tcPr>
          <w:p w14:paraId="5120D507">
            <w:pPr>
              <w:jc w:val="center"/>
              <w:rPr>
                <w:color w:val="auto"/>
                <w:sz w:val="18"/>
                <w:szCs w:val="18"/>
              </w:rPr>
            </w:pPr>
            <w:r>
              <w:rPr>
                <w:color w:val="auto"/>
                <w:sz w:val="18"/>
                <w:szCs w:val="18"/>
              </w:rPr>
              <w:t>1</w:t>
            </w:r>
          </w:p>
        </w:tc>
        <w:tc>
          <w:tcPr>
            <w:tcW w:w="534" w:type="pct"/>
            <w:tcBorders>
              <w:tl2br w:val="nil"/>
              <w:tr2bl w:val="nil"/>
            </w:tcBorders>
            <w:shd w:val="clear" w:color="000000" w:fill="auto"/>
            <w:noWrap w:val="0"/>
            <w:vAlign w:val="center"/>
          </w:tcPr>
          <w:p w14:paraId="5F044B8E">
            <w:pPr>
              <w:jc w:val="center"/>
              <w:rPr>
                <w:rFonts w:hint="default" w:eastAsia="宋体"/>
                <w:color w:val="auto"/>
                <w:sz w:val="18"/>
                <w:szCs w:val="18"/>
                <w:lang w:val="en-US" w:eastAsia="zh-CN"/>
              </w:rPr>
            </w:pPr>
          </w:p>
        </w:tc>
        <w:tc>
          <w:tcPr>
            <w:tcW w:w="471" w:type="pct"/>
            <w:tcBorders>
              <w:tl2br w:val="nil"/>
              <w:tr2bl w:val="nil"/>
            </w:tcBorders>
            <w:shd w:val="clear" w:color="000000" w:fill="auto"/>
            <w:noWrap w:val="0"/>
            <w:vAlign w:val="center"/>
          </w:tcPr>
          <w:p w14:paraId="6C88D2A0">
            <w:pPr>
              <w:jc w:val="center"/>
              <w:rPr>
                <w:rFonts w:hint="default" w:eastAsia="宋体"/>
                <w:color w:val="auto"/>
                <w:sz w:val="18"/>
                <w:szCs w:val="18"/>
                <w:lang w:val="en-US" w:eastAsia="zh-CN"/>
              </w:rPr>
            </w:pPr>
          </w:p>
        </w:tc>
        <w:tc>
          <w:tcPr>
            <w:tcW w:w="622" w:type="pct"/>
            <w:tcBorders>
              <w:tl2br w:val="nil"/>
              <w:tr2bl w:val="nil"/>
            </w:tcBorders>
            <w:noWrap w:val="0"/>
            <w:vAlign w:val="center"/>
          </w:tcPr>
          <w:p w14:paraId="7752E1DB">
            <w:pPr>
              <w:jc w:val="center"/>
              <w:rPr>
                <w:color w:val="auto"/>
                <w:sz w:val="18"/>
                <w:szCs w:val="18"/>
              </w:rPr>
            </w:pPr>
          </w:p>
        </w:tc>
        <w:tc>
          <w:tcPr>
            <w:tcW w:w="623" w:type="pct"/>
            <w:tcBorders>
              <w:tl2br w:val="nil"/>
              <w:tr2bl w:val="nil"/>
            </w:tcBorders>
            <w:noWrap w:val="0"/>
            <w:vAlign w:val="center"/>
          </w:tcPr>
          <w:p w14:paraId="3D820A89">
            <w:pPr>
              <w:jc w:val="center"/>
              <w:rPr>
                <w:color w:val="auto"/>
                <w:sz w:val="18"/>
                <w:szCs w:val="18"/>
              </w:rPr>
            </w:pPr>
          </w:p>
        </w:tc>
        <w:tc>
          <w:tcPr>
            <w:tcW w:w="531" w:type="pct"/>
            <w:tcBorders>
              <w:tl2br w:val="nil"/>
              <w:tr2bl w:val="nil"/>
            </w:tcBorders>
            <w:noWrap w:val="0"/>
            <w:vAlign w:val="center"/>
          </w:tcPr>
          <w:p w14:paraId="611364B7">
            <w:pPr>
              <w:jc w:val="center"/>
              <w:rPr>
                <w:color w:val="auto"/>
                <w:sz w:val="18"/>
                <w:szCs w:val="18"/>
              </w:rPr>
            </w:pPr>
          </w:p>
        </w:tc>
        <w:tc>
          <w:tcPr>
            <w:tcW w:w="566" w:type="pct"/>
            <w:tcBorders>
              <w:tl2br w:val="nil"/>
              <w:tr2bl w:val="nil"/>
            </w:tcBorders>
            <w:noWrap w:val="0"/>
            <w:vAlign w:val="center"/>
          </w:tcPr>
          <w:p w14:paraId="518A2815">
            <w:pPr>
              <w:jc w:val="center"/>
              <w:rPr>
                <w:color w:val="auto"/>
                <w:sz w:val="18"/>
                <w:szCs w:val="18"/>
              </w:rPr>
            </w:pPr>
          </w:p>
        </w:tc>
      </w:tr>
      <w:tr w14:paraId="73DCCB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1119" w:type="pct"/>
            <w:tcBorders>
              <w:tl2br w:val="nil"/>
              <w:tr2bl w:val="nil"/>
            </w:tcBorders>
            <w:shd w:val="clear" w:color="auto" w:fill="auto"/>
            <w:noWrap w:val="0"/>
            <w:vAlign w:val="center"/>
          </w:tcPr>
          <w:p w14:paraId="5A069810">
            <w:pPr>
              <w:jc w:val="center"/>
              <w:rPr>
                <w:color w:val="auto"/>
                <w:sz w:val="18"/>
                <w:szCs w:val="18"/>
              </w:rPr>
            </w:pPr>
            <w:r>
              <w:rPr>
                <w:rFonts w:hint="eastAsia"/>
                <w:color w:val="auto"/>
                <w:sz w:val="18"/>
                <w:szCs w:val="18"/>
              </w:rPr>
              <w:t>硫酸盐</w:t>
            </w:r>
            <w:r>
              <w:rPr>
                <w:color w:val="auto"/>
                <w:sz w:val="18"/>
                <w:szCs w:val="18"/>
              </w:rPr>
              <w:t xml:space="preserve"> (mg/L)</w:t>
            </w:r>
          </w:p>
        </w:tc>
        <w:tc>
          <w:tcPr>
            <w:tcW w:w="530" w:type="pct"/>
            <w:tcBorders>
              <w:tl2br w:val="nil"/>
              <w:tr2bl w:val="nil"/>
            </w:tcBorders>
            <w:shd w:val="clear" w:color="auto" w:fill="auto"/>
            <w:noWrap w:val="0"/>
            <w:vAlign w:val="center"/>
          </w:tcPr>
          <w:p w14:paraId="52696FF8">
            <w:pPr>
              <w:jc w:val="center"/>
              <w:rPr>
                <w:color w:val="auto"/>
                <w:sz w:val="18"/>
                <w:szCs w:val="18"/>
              </w:rPr>
            </w:pPr>
            <w:r>
              <w:rPr>
                <w:color w:val="auto"/>
                <w:sz w:val="18"/>
                <w:szCs w:val="18"/>
              </w:rPr>
              <w:t>250</w:t>
            </w:r>
          </w:p>
        </w:tc>
        <w:tc>
          <w:tcPr>
            <w:tcW w:w="534" w:type="pct"/>
            <w:tcBorders>
              <w:tl2br w:val="nil"/>
              <w:tr2bl w:val="nil"/>
            </w:tcBorders>
            <w:shd w:val="clear" w:color="000000" w:fill="auto"/>
            <w:noWrap w:val="0"/>
            <w:vAlign w:val="center"/>
          </w:tcPr>
          <w:p w14:paraId="20A2EC7E">
            <w:pPr>
              <w:jc w:val="center"/>
              <w:rPr>
                <w:rFonts w:hint="default" w:eastAsia="宋体"/>
                <w:color w:val="auto"/>
                <w:sz w:val="18"/>
                <w:szCs w:val="18"/>
                <w:lang w:val="en-US" w:eastAsia="zh-CN"/>
              </w:rPr>
            </w:pPr>
          </w:p>
        </w:tc>
        <w:tc>
          <w:tcPr>
            <w:tcW w:w="471" w:type="pct"/>
            <w:tcBorders>
              <w:tl2br w:val="nil"/>
              <w:tr2bl w:val="nil"/>
            </w:tcBorders>
            <w:shd w:val="clear" w:color="000000" w:fill="auto"/>
            <w:noWrap w:val="0"/>
            <w:vAlign w:val="center"/>
          </w:tcPr>
          <w:p w14:paraId="6B703AFF">
            <w:pPr>
              <w:jc w:val="center"/>
              <w:rPr>
                <w:rFonts w:hint="default" w:eastAsia="宋体"/>
                <w:color w:val="auto"/>
                <w:sz w:val="18"/>
                <w:szCs w:val="18"/>
                <w:lang w:val="en-US" w:eastAsia="zh-CN"/>
              </w:rPr>
            </w:pPr>
          </w:p>
        </w:tc>
        <w:tc>
          <w:tcPr>
            <w:tcW w:w="622" w:type="pct"/>
            <w:tcBorders>
              <w:tl2br w:val="nil"/>
              <w:tr2bl w:val="nil"/>
            </w:tcBorders>
            <w:shd w:val="clear" w:color="auto" w:fill="auto"/>
            <w:noWrap w:val="0"/>
            <w:vAlign w:val="center"/>
          </w:tcPr>
          <w:p w14:paraId="010DFAD4">
            <w:pPr>
              <w:jc w:val="center"/>
              <w:rPr>
                <w:b/>
                <w:bCs/>
                <w:color w:val="auto"/>
                <w:sz w:val="18"/>
                <w:szCs w:val="18"/>
              </w:rPr>
            </w:pPr>
          </w:p>
        </w:tc>
        <w:tc>
          <w:tcPr>
            <w:tcW w:w="623" w:type="pct"/>
            <w:tcBorders>
              <w:tl2br w:val="nil"/>
              <w:tr2bl w:val="nil"/>
            </w:tcBorders>
            <w:shd w:val="clear" w:color="auto" w:fill="auto"/>
            <w:noWrap w:val="0"/>
            <w:vAlign w:val="center"/>
          </w:tcPr>
          <w:p w14:paraId="07BA943A">
            <w:pPr>
              <w:jc w:val="center"/>
              <w:rPr>
                <w:b/>
                <w:bCs/>
                <w:color w:val="auto"/>
                <w:sz w:val="18"/>
                <w:szCs w:val="18"/>
              </w:rPr>
            </w:pPr>
          </w:p>
        </w:tc>
        <w:tc>
          <w:tcPr>
            <w:tcW w:w="531" w:type="pct"/>
            <w:tcBorders>
              <w:tl2br w:val="nil"/>
              <w:tr2bl w:val="nil"/>
            </w:tcBorders>
            <w:shd w:val="clear" w:color="auto" w:fill="auto"/>
            <w:noWrap w:val="0"/>
            <w:vAlign w:val="center"/>
          </w:tcPr>
          <w:p w14:paraId="47B4EEEE">
            <w:pPr>
              <w:jc w:val="center"/>
              <w:rPr>
                <w:b/>
                <w:bCs/>
                <w:color w:val="auto"/>
                <w:sz w:val="18"/>
                <w:szCs w:val="18"/>
              </w:rPr>
            </w:pPr>
          </w:p>
        </w:tc>
        <w:tc>
          <w:tcPr>
            <w:tcW w:w="566" w:type="pct"/>
            <w:tcBorders>
              <w:tl2br w:val="nil"/>
              <w:tr2bl w:val="nil"/>
            </w:tcBorders>
            <w:shd w:val="clear" w:color="auto" w:fill="auto"/>
            <w:noWrap w:val="0"/>
            <w:vAlign w:val="center"/>
          </w:tcPr>
          <w:p w14:paraId="29413B65">
            <w:pPr>
              <w:jc w:val="center"/>
              <w:rPr>
                <w:b/>
                <w:bCs/>
                <w:color w:val="auto"/>
                <w:sz w:val="18"/>
                <w:szCs w:val="18"/>
              </w:rPr>
            </w:pPr>
          </w:p>
        </w:tc>
      </w:tr>
      <w:tr w14:paraId="3FDD8B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1119" w:type="pct"/>
            <w:tcBorders>
              <w:tl2br w:val="nil"/>
              <w:tr2bl w:val="nil"/>
            </w:tcBorders>
            <w:noWrap w:val="0"/>
            <w:vAlign w:val="center"/>
          </w:tcPr>
          <w:p w14:paraId="0D97B16D">
            <w:pPr>
              <w:jc w:val="center"/>
              <w:rPr>
                <w:color w:val="auto"/>
                <w:sz w:val="18"/>
                <w:szCs w:val="18"/>
              </w:rPr>
            </w:pPr>
            <w:r>
              <w:rPr>
                <w:rFonts w:hint="eastAsia"/>
                <w:color w:val="auto"/>
                <w:sz w:val="18"/>
                <w:szCs w:val="18"/>
              </w:rPr>
              <w:t>碳酸根</w:t>
            </w:r>
            <w:r>
              <w:rPr>
                <w:color w:val="auto"/>
                <w:sz w:val="18"/>
                <w:szCs w:val="18"/>
              </w:rPr>
              <w:t xml:space="preserve"> (mg/L)</w:t>
            </w:r>
          </w:p>
        </w:tc>
        <w:tc>
          <w:tcPr>
            <w:tcW w:w="530" w:type="pct"/>
            <w:tcBorders>
              <w:tl2br w:val="nil"/>
              <w:tr2bl w:val="nil"/>
            </w:tcBorders>
            <w:noWrap w:val="0"/>
            <w:vAlign w:val="center"/>
          </w:tcPr>
          <w:p w14:paraId="684F7ED3">
            <w:pPr>
              <w:jc w:val="center"/>
              <w:rPr>
                <w:color w:val="auto"/>
                <w:sz w:val="18"/>
                <w:szCs w:val="18"/>
              </w:rPr>
            </w:pPr>
            <w:r>
              <w:rPr>
                <w:rFonts w:hint="eastAsia"/>
                <w:color w:val="auto"/>
                <w:sz w:val="18"/>
                <w:szCs w:val="18"/>
                <w:lang w:val="en-US" w:eastAsia="zh-CN"/>
              </w:rPr>
              <w:t>-</w:t>
            </w:r>
          </w:p>
        </w:tc>
        <w:tc>
          <w:tcPr>
            <w:tcW w:w="534" w:type="pct"/>
            <w:tcBorders>
              <w:tl2br w:val="nil"/>
              <w:tr2bl w:val="nil"/>
            </w:tcBorders>
            <w:noWrap w:val="0"/>
            <w:vAlign w:val="center"/>
          </w:tcPr>
          <w:p w14:paraId="5840F90E">
            <w:pPr>
              <w:jc w:val="center"/>
              <w:rPr>
                <w:rFonts w:hint="default" w:eastAsia="宋体"/>
                <w:color w:val="auto"/>
                <w:sz w:val="18"/>
                <w:szCs w:val="18"/>
                <w:lang w:val="en-US" w:eastAsia="zh-CN"/>
              </w:rPr>
            </w:pPr>
          </w:p>
        </w:tc>
        <w:tc>
          <w:tcPr>
            <w:tcW w:w="471" w:type="pct"/>
            <w:tcBorders>
              <w:tl2br w:val="nil"/>
              <w:tr2bl w:val="nil"/>
            </w:tcBorders>
            <w:noWrap w:val="0"/>
            <w:vAlign w:val="center"/>
          </w:tcPr>
          <w:p w14:paraId="22CC71FD">
            <w:pPr>
              <w:jc w:val="center"/>
              <w:rPr>
                <w:rFonts w:hint="eastAsia" w:eastAsia="宋体"/>
                <w:color w:val="auto"/>
                <w:sz w:val="18"/>
                <w:szCs w:val="18"/>
                <w:lang w:val="en-US" w:eastAsia="zh-CN"/>
              </w:rPr>
            </w:pPr>
          </w:p>
        </w:tc>
        <w:tc>
          <w:tcPr>
            <w:tcW w:w="622" w:type="pct"/>
            <w:tcBorders>
              <w:tl2br w:val="nil"/>
              <w:tr2bl w:val="nil"/>
            </w:tcBorders>
            <w:noWrap w:val="0"/>
            <w:vAlign w:val="center"/>
          </w:tcPr>
          <w:p w14:paraId="2EA6C63E">
            <w:pPr>
              <w:jc w:val="center"/>
              <w:rPr>
                <w:color w:val="auto"/>
                <w:sz w:val="18"/>
                <w:szCs w:val="18"/>
              </w:rPr>
            </w:pPr>
          </w:p>
        </w:tc>
        <w:tc>
          <w:tcPr>
            <w:tcW w:w="623" w:type="pct"/>
            <w:tcBorders>
              <w:tl2br w:val="nil"/>
              <w:tr2bl w:val="nil"/>
            </w:tcBorders>
            <w:noWrap w:val="0"/>
            <w:vAlign w:val="center"/>
          </w:tcPr>
          <w:p w14:paraId="676068BD">
            <w:pPr>
              <w:jc w:val="center"/>
              <w:rPr>
                <w:color w:val="auto"/>
                <w:sz w:val="18"/>
                <w:szCs w:val="18"/>
              </w:rPr>
            </w:pPr>
          </w:p>
        </w:tc>
        <w:tc>
          <w:tcPr>
            <w:tcW w:w="531" w:type="pct"/>
            <w:tcBorders>
              <w:tl2br w:val="nil"/>
              <w:tr2bl w:val="nil"/>
            </w:tcBorders>
            <w:noWrap w:val="0"/>
            <w:vAlign w:val="center"/>
          </w:tcPr>
          <w:p w14:paraId="6DD26E3F">
            <w:pPr>
              <w:jc w:val="center"/>
              <w:rPr>
                <w:color w:val="auto"/>
                <w:sz w:val="18"/>
                <w:szCs w:val="18"/>
              </w:rPr>
            </w:pPr>
          </w:p>
        </w:tc>
        <w:tc>
          <w:tcPr>
            <w:tcW w:w="566" w:type="pct"/>
            <w:tcBorders>
              <w:tl2br w:val="nil"/>
              <w:tr2bl w:val="nil"/>
            </w:tcBorders>
            <w:noWrap w:val="0"/>
            <w:vAlign w:val="center"/>
          </w:tcPr>
          <w:p w14:paraId="0DB8E63C">
            <w:pPr>
              <w:jc w:val="center"/>
              <w:rPr>
                <w:color w:val="auto"/>
                <w:sz w:val="18"/>
                <w:szCs w:val="18"/>
              </w:rPr>
            </w:pPr>
          </w:p>
        </w:tc>
      </w:tr>
      <w:tr w14:paraId="10FE46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1119" w:type="pct"/>
            <w:tcBorders>
              <w:tl2br w:val="nil"/>
              <w:tr2bl w:val="nil"/>
            </w:tcBorders>
            <w:noWrap w:val="0"/>
            <w:vAlign w:val="center"/>
          </w:tcPr>
          <w:p w14:paraId="0F014FCE">
            <w:pPr>
              <w:jc w:val="center"/>
              <w:rPr>
                <w:color w:val="auto"/>
                <w:sz w:val="18"/>
                <w:szCs w:val="18"/>
              </w:rPr>
            </w:pPr>
            <w:r>
              <w:rPr>
                <w:rFonts w:hint="eastAsia"/>
                <w:color w:val="auto"/>
                <w:sz w:val="18"/>
                <w:szCs w:val="18"/>
              </w:rPr>
              <w:t>重碳酸根</w:t>
            </w:r>
            <w:r>
              <w:rPr>
                <w:color w:val="auto"/>
                <w:sz w:val="18"/>
                <w:szCs w:val="18"/>
              </w:rPr>
              <w:t xml:space="preserve"> (mg/L)</w:t>
            </w:r>
          </w:p>
        </w:tc>
        <w:tc>
          <w:tcPr>
            <w:tcW w:w="530" w:type="pct"/>
            <w:tcBorders>
              <w:tl2br w:val="nil"/>
              <w:tr2bl w:val="nil"/>
            </w:tcBorders>
            <w:noWrap w:val="0"/>
            <w:vAlign w:val="center"/>
          </w:tcPr>
          <w:p w14:paraId="5369BFEE">
            <w:pPr>
              <w:jc w:val="center"/>
              <w:rPr>
                <w:color w:val="auto"/>
                <w:sz w:val="18"/>
                <w:szCs w:val="18"/>
              </w:rPr>
            </w:pPr>
            <w:r>
              <w:rPr>
                <w:rFonts w:hint="eastAsia"/>
                <w:color w:val="auto"/>
                <w:sz w:val="18"/>
                <w:szCs w:val="18"/>
                <w:lang w:val="en-US" w:eastAsia="zh-CN"/>
              </w:rPr>
              <w:t>-</w:t>
            </w:r>
          </w:p>
        </w:tc>
        <w:tc>
          <w:tcPr>
            <w:tcW w:w="534" w:type="pct"/>
            <w:tcBorders>
              <w:tl2br w:val="nil"/>
              <w:tr2bl w:val="nil"/>
            </w:tcBorders>
            <w:noWrap w:val="0"/>
            <w:vAlign w:val="center"/>
          </w:tcPr>
          <w:p w14:paraId="167ADA47">
            <w:pPr>
              <w:jc w:val="center"/>
              <w:rPr>
                <w:rFonts w:hint="default" w:eastAsia="宋体"/>
                <w:color w:val="auto"/>
                <w:sz w:val="18"/>
                <w:szCs w:val="18"/>
                <w:lang w:val="en-US" w:eastAsia="zh-CN"/>
              </w:rPr>
            </w:pPr>
          </w:p>
        </w:tc>
        <w:tc>
          <w:tcPr>
            <w:tcW w:w="471" w:type="pct"/>
            <w:tcBorders>
              <w:tl2br w:val="nil"/>
              <w:tr2bl w:val="nil"/>
            </w:tcBorders>
            <w:noWrap w:val="0"/>
            <w:vAlign w:val="center"/>
          </w:tcPr>
          <w:p w14:paraId="69A0DB38">
            <w:pPr>
              <w:jc w:val="center"/>
              <w:rPr>
                <w:rFonts w:hint="eastAsia" w:eastAsia="宋体"/>
                <w:color w:val="auto"/>
                <w:sz w:val="18"/>
                <w:szCs w:val="18"/>
                <w:lang w:val="en-US" w:eastAsia="zh-CN"/>
              </w:rPr>
            </w:pPr>
          </w:p>
        </w:tc>
        <w:tc>
          <w:tcPr>
            <w:tcW w:w="622" w:type="pct"/>
            <w:tcBorders>
              <w:tl2br w:val="nil"/>
              <w:tr2bl w:val="nil"/>
            </w:tcBorders>
            <w:noWrap w:val="0"/>
            <w:vAlign w:val="center"/>
          </w:tcPr>
          <w:p w14:paraId="7505884E">
            <w:pPr>
              <w:jc w:val="center"/>
              <w:rPr>
                <w:color w:val="auto"/>
                <w:sz w:val="18"/>
                <w:szCs w:val="18"/>
              </w:rPr>
            </w:pPr>
          </w:p>
        </w:tc>
        <w:tc>
          <w:tcPr>
            <w:tcW w:w="623" w:type="pct"/>
            <w:tcBorders>
              <w:tl2br w:val="nil"/>
              <w:tr2bl w:val="nil"/>
            </w:tcBorders>
            <w:noWrap w:val="0"/>
            <w:vAlign w:val="center"/>
          </w:tcPr>
          <w:p w14:paraId="4AB0AFCC">
            <w:pPr>
              <w:jc w:val="center"/>
              <w:rPr>
                <w:color w:val="auto"/>
                <w:sz w:val="18"/>
                <w:szCs w:val="18"/>
              </w:rPr>
            </w:pPr>
          </w:p>
        </w:tc>
        <w:tc>
          <w:tcPr>
            <w:tcW w:w="531" w:type="pct"/>
            <w:tcBorders>
              <w:tl2br w:val="nil"/>
              <w:tr2bl w:val="nil"/>
            </w:tcBorders>
            <w:noWrap w:val="0"/>
            <w:vAlign w:val="center"/>
          </w:tcPr>
          <w:p w14:paraId="26BA3B22">
            <w:pPr>
              <w:jc w:val="center"/>
              <w:rPr>
                <w:color w:val="auto"/>
                <w:sz w:val="18"/>
                <w:szCs w:val="18"/>
              </w:rPr>
            </w:pPr>
          </w:p>
        </w:tc>
        <w:tc>
          <w:tcPr>
            <w:tcW w:w="566" w:type="pct"/>
            <w:tcBorders>
              <w:tl2br w:val="nil"/>
              <w:tr2bl w:val="nil"/>
            </w:tcBorders>
            <w:noWrap w:val="0"/>
            <w:vAlign w:val="center"/>
          </w:tcPr>
          <w:p w14:paraId="0E4BF3FE">
            <w:pPr>
              <w:jc w:val="center"/>
              <w:rPr>
                <w:color w:val="auto"/>
                <w:sz w:val="18"/>
                <w:szCs w:val="18"/>
              </w:rPr>
            </w:pPr>
          </w:p>
        </w:tc>
      </w:tr>
      <w:tr w14:paraId="39204D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1119" w:type="pct"/>
            <w:tcBorders>
              <w:tl2br w:val="nil"/>
              <w:tr2bl w:val="nil"/>
            </w:tcBorders>
            <w:noWrap w:val="0"/>
            <w:vAlign w:val="center"/>
          </w:tcPr>
          <w:p w14:paraId="1D355A0A">
            <w:pPr>
              <w:jc w:val="center"/>
              <w:rPr>
                <w:color w:val="auto"/>
                <w:sz w:val="18"/>
                <w:szCs w:val="18"/>
              </w:rPr>
            </w:pPr>
            <w:r>
              <w:rPr>
                <w:rFonts w:hint="eastAsia"/>
                <w:color w:val="auto"/>
                <w:sz w:val="18"/>
                <w:szCs w:val="18"/>
              </w:rPr>
              <w:t>细菌总数（CFU/ml）</w:t>
            </w:r>
          </w:p>
        </w:tc>
        <w:tc>
          <w:tcPr>
            <w:tcW w:w="530" w:type="pct"/>
            <w:tcBorders>
              <w:tl2br w:val="nil"/>
              <w:tr2bl w:val="nil"/>
            </w:tcBorders>
            <w:noWrap w:val="0"/>
            <w:vAlign w:val="center"/>
          </w:tcPr>
          <w:p w14:paraId="63AB3231">
            <w:pPr>
              <w:jc w:val="center"/>
              <w:rPr>
                <w:color w:val="auto"/>
                <w:sz w:val="18"/>
                <w:szCs w:val="18"/>
              </w:rPr>
            </w:pPr>
            <w:r>
              <w:rPr>
                <w:color w:val="auto"/>
                <w:sz w:val="18"/>
                <w:szCs w:val="18"/>
              </w:rPr>
              <w:t>100</w:t>
            </w:r>
          </w:p>
        </w:tc>
        <w:tc>
          <w:tcPr>
            <w:tcW w:w="534" w:type="pct"/>
            <w:tcBorders>
              <w:tl2br w:val="nil"/>
              <w:tr2bl w:val="nil"/>
            </w:tcBorders>
            <w:noWrap w:val="0"/>
            <w:vAlign w:val="center"/>
          </w:tcPr>
          <w:p w14:paraId="40255003">
            <w:pPr>
              <w:jc w:val="center"/>
              <w:rPr>
                <w:rFonts w:hint="eastAsia" w:eastAsia="宋体"/>
                <w:color w:val="auto"/>
                <w:sz w:val="18"/>
                <w:szCs w:val="18"/>
                <w:lang w:val="en-US" w:eastAsia="zh-CN"/>
              </w:rPr>
            </w:pPr>
          </w:p>
        </w:tc>
        <w:tc>
          <w:tcPr>
            <w:tcW w:w="471" w:type="pct"/>
            <w:tcBorders>
              <w:tl2br w:val="nil"/>
              <w:tr2bl w:val="nil"/>
            </w:tcBorders>
            <w:noWrap w:val="0"/>
            <w:vAlign w:val="center"/>
          </w:tcPr>
          <w:p w14:paraId="370A4925">
            <w:pPr>
              <w:jc w:val="center"/>
              <w:rPr>
                <w:rFonts w:hint="default" w:eastAsia="宋体"/>
                <w:color w:val="auto"/>
                <w:sz w:val="18"/>
                <w:szCs w:val="18"/>
                <w:lang w:val="en-US" w:eastAsia="zh-CN"/>
              </w:rPr>
            </w:pPr>
          </w:p>
        </w:tc>
        <w:tc>
          <w:tcPr>
            <w:tcW w:w="622" w:type="pct"/>
            <w:tcBorders>
              <w:tl2br w:val="nil"/>
              <w:tr2bl w:val="nil"/>
            </w:tcBorders>
            <w:noWrap w:val="0"/>
            <w:vAlign w:val="center"/>
          </w:tcPr>
          <w:p w14:paraId="4DC1B602">
            <w:pPr>
              <w:jc w:val="center"/>
              <w:rPr>
                <w:color w:val="auto"/>
                <w:sz w:val="18"/>
                <w:szCs w:val="18"/>
              </w:rPr>
            </w:pPr>
          </w:p>
        </w:tc>
        <w:tc>
          <w:tcPr>
            <w:tcW w:w="623" w:type="pct"/>
            <w:tcBorders>
              <w:tl2br w:val="nil"/>
              <w:tr2bl w:val="nil"/>
            </w:tcBorders>
            <w:noWrap w:val="0"/>
            <w:vAlign w:val="center"/>
          </w:tcPr>
          <w:p w14:paraId="1340AD87">
            <w:pPr>
              <w:jc w:val="center"/>
              <w:rPr>
                <w:color w:val="auto"/>
                <w:sz w:val="18"/>
                <w:szCs w:val="18"/>
              </w:rPr>
            </w:pPr>
          </w:p>
        </w:tc>
        <w:tc>
          <w:tcPr>
            <w:tcW w:w="531" w:type="pct"/>
            <w:tcBorders>
              <w:tl2br w:val="nil"/>
              <w:tr2bl w:val="nil"/>
            </w:tcBorders>
            <w:noWrap w:val="0"/>
            <w:vAlign w:val="center"/>
          </w:tcPr>
          <w:p w14:paraId="7D86E8E5">
            <w:pPr>
              <w:jc w:val="center"/>
              <w:rPr>
                <w:color w:val="auto"/>
                <w:sz w:val="18"/>
                <w:szCs w:val="18"/>
              </w:rPr>
            </w:pPr>
          </w:p>
        </w:tc>
        <w:tc>
          <w:tcPr>
            <w:tcW w:w="566" w:type="pct"/>
            <w:tcBorders>
              <w:tl2br w:val="nil"/>
              <w:tr2bl w:val="nil"/>
            </w:tcBorders>
            <w:noWrap w:val="0"/>
            <w:vAlign w:val="center"/>
          </w:tcPr>
          <w:p w14:paraId="03DB241A">
            <w:pPr>
              <w:jc w:val="center"/>
              <w:rPr>
                <w:color w:val="auto"/>
                <w:sz w:val="18"/>
                <w:szCs w:val="18"/>
              </w:rPr>
            </w:pPr>
          </w:p>
        </w:tc>
      </w:tr>
      <w:tr w14:paraId="69E949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1119" w:type="pct"/>
            <w:tcBorders>
              <w:tl2br w:val="nil"/>
              <w:tr2bl w:val="nil"/>
            </w:tcBorders>
            <w:noWrap w:val="0"/>
            <w:vAlign w:val="center"/>
          </w:tcPr>
          <w:p w14:paraId="7D5DB5C7">
            <w:pPr>
              <w:jc w:val="center"/>
              <w:rPr>
                <w:color w:val="auto"/>
                <w:sz w:val="18"/>
                <w:szCs w:val="18"/>
              </w:rPr>
            </w:pPr>
            <w:r>
              <w:rPr>
                <w:color w:val="auto"/>
                <w:sz w:val="18"/>
                <w:szCs w:val="18"/>
              </w:rPr>
              <w:t>石油类</w:t>
            </w:r>
            <w:r>
              <w:rPr>
                <w:rFonts w:hint="eastAsia"/>
                <w:color w:val="auto"/>
                <w:sz w:val="18"/>
                <w:szCs w:val="18"/>
              </w:rPr>
              <w:t>（mg/L）</w:t>
            </w:r>
          </w:p>
        </w:tc>
        <w:tc>
          <w:tcPr>
            <w:tcW w:w="530" w:type="pct"/>
            <w:tcBorders>
              <w:tl2br w:val="nil"/>
              <w:tr2bl w:val="nil"/>
            </w:tcBorders>
            <w:noWrap w:val="0"/>
            <w:vAlign w:val="center"/>
          </w:tcPr>
          <w:p w14:paraId="2818E0A3">
            <w:pPr>
              <w:jc w:val="center"/>
              <w:rPr>
                <w:color w:val="auto"/>
                <w:sz w:val="18"/>
                <w:szCs w:val="18"/>
              </w:rPr>
            </w:pPr>
            <w:r>
              <w:rPr>
                <w:color w:val="auto"/>
                <w:sz w:val="18"/>
                <w:szCs w:val="18"/>
              </w:rPr>
              <w:t>0.05</w:t>
            </w:r>
          </w:p>
        </w:tc>
        <w:tc>
          <w:tcPr>
            <w:tcW w:w="534" w:type="pct"/>
            <w:tcBorders>
              <w:tl2br w:val="nil"/>
              <w:tr2bl w:val="nil"/>
            </w:tcBorders>
            <w:noWrap w:val="0"/>
            <w:vAlign w:val="center"/>
          </w:tcPr>
          <w:p w14:paraId="00BA3606">
            <w:pPr>
              <w:jc w:val="center"/>
              <w:rPr>
                <w:color w:val="auto"/>
                <w:sz w:val="18"/>
                <w:szCs w:val="18"/>
              </w:rPr>
            </w:pPr>
          </w:p>
        </w:tc>
        <w:tc>
          <w:tcPr>
            <w:tcW w:w="471" w:type="pct"/>
            <w:tcBorders>
              <w:tl2br w:val="nil"/>
              <w:tr2bl w:val="nil"/>
            </w:tcBorders>
            <w:noWrap w:val="0"/>
            <w:vAlign w:val="center"/>
          </w:tcPr>
          <w:p w14:paraId="2C1C9E7D">
            <w:pPr>
              <w:jc w:val="center"/>
              <w:rPr>
                <w:color w:val="auto"/>
                <w:sz w:val="18"/>
                <w:szCs w:val="18"/>
              </w:rPr>
            </w:pPr>
          </w:p>
        </w:tc>
        <w:tc>
          <w:tcPr>
            <w:tcW w:w="622" w:type="pct"/>
            <w:tcBorders>
              <w:tl2br w:val="nil"/>
              <w:tr2bl w:val="nil"/>
            </w:tcBorders>
            <w:noWrap w:val="0"/>
            <w:vAlign w:val="center"/>
          </w:tcPr>
          <w:p w14:paraId="7913906D">
            <w:pPr>
              <w:jc w:val="center"/>
              <w:rPr>
                <w:color w:val="auto"/>
                <w:sz w:val="18"/>
                <w:szCs w:val="18"/>
              </w:rPr>
            </w:pPr>
          </w:p>
        </w:tc>
        <w:tc>
          <w:tcPr>
            <w:tcW w:w="623" w:type="pct"/>
            <w:tcBorders>
              <w:tl2br w:val="nil"/>
              <w:tr2bl w:val="nil"/>
            </w:tcBorders>
            <w:noWrap w:val="0"/>
            <w:vAlign w:val="center"/>
          </w:tcPr>
          <w:p w14:paraId="14267EAE">
            <w:pPr>
              <w:jc w:val="center"/>
              <w:rPr>
                <w:color w:val="auto"/>
                <w:sz w:val="18"/>
                <w:szCs w:val="18"/>
              </w:rPr>
            </w:pPr>
          </w:p>
        </w:tc>
        <w:tc>
          <w:tcPr>
            <w:tcW w:w="531" w:type="pct"/>
            <w:tcBorders>
              <w:tl2br w:val="nil"/>
              <w:tr2bl w:val="nil"/>
            </w:tcBorders>
            <w:noWrap w:val="0"/>
            <w:vAlign w:val="center"/>
          </w:tcPr>
          <w:p w14:paraId="64914229">
            <w:pPr>
              <w:jc w:val="center"/>
              <w:rPr>
                <w:color w:val="auto"/>
                <w:sz w:val="18"/>
                <w:szCs w:val="18"/>
              </w:rPr>
            </w:pPr>
          </w:p>
        </w:tc>
        <w:tc>
          <w:tcPr>
            <w:tcW w:w="566" w:type="pct"/>
            <w:tcBorders>
              <w:tl2br w:val="nil"/>
              <w:tr2bl w:val="nil"/>
            </w:tcBorders>
            <w:noWrap w:val="0"/>
            <w:vAlign w:val="center"/>
          </w:tcPr>
          <w:p w14:paraId="2B0659F1">
            <w:pPr>
              <w:jc w:val="center"/>
              <w:rPr>
                <w:color w:val="auto"/>
                <w:sz w:val="18"/>
                <w:szCs w:val="18"/>
              </w:rPr>
            </w:pPr>
          </w:p>
        </w:tc>
      </w:tr>
      <w:tr w14:paraId="7D4312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1119" w:type="pct"/>
            <w:tcBorders>
              <w:tl2br w:val="nil"/>
              <w:tr2bl w:val="nil"/>
            </w:tcBorders>
            <w:noWrap w:val="0"/>
            <w:vAlign w:val="center"/>
          </w:tcPr>
          <w:p w14:paraId="51568B59">
            <w:pPr>
              <w:jc w:val="center"/>
              <w:rPr>
                <w:color w:val="auto"/>
                <w:sz w:val="18"/>
                <w:szCs w:val="18"/>
              </w:rPr>
            </w:pPr>
            <w:r>
              <w:rPr>
                <w:color w:val="auto"/>
                <w:sz w:val="18"/>
                <w:szCs w:val="18"/>
              </w:rPr>
              <w:t>钙</w:t>
            </w:r>
            <w:r>
              <w:rPr>
                <w:rFonts w:hint="eastAsia"/>
                <w:color w:val="auto"/>
                <w:sz w:val="18"/>
                <w:szCs w:val="18"/>
              </w:rPr>
              <w:t>（mg/L）</w:t>
            </w:r>
          </w:p>
        </w:tc>
        <w:tc>
          <w:tcPr>
            <w:tcW w:w="530" w:type="pct"/>
            <w:tcBorders>
              <w:tl2br w:val="nil"/>
              <w:tr2bl w:val="nil"/>
            </w:tcBorders>
            <w:noWrap w:val="0"/>
            <w:vAlign w:val="center"/>
          </w:tcPr>
          <w:p w14:paraId="37CDAF2A">
            <w:pPr>
              <w:jc w:val="center"/>
              <w:rPr>
                <w:color w:val="auto"/>
                <w:sz w:val="18"/>
                <w:szCs w:val="18"/>
              </w:rPr>
            </w:pPr>
            <w:r>
              <w:rPr>
                <w:rFonts w:hint="eastAsia"/>
                <w:color w:val="auto"/>
                <w:sz w:val="18"/>
                <w:szCs w:val="18"/>
                <w:lang w:val="en-US" w:eastAsia="zh-CN"/>
              </w:rPr>
              <w:t>-</w:t>
            </w:r>
          </w:p>
        </w:tc>
        <w:tc>
          <w:tcPr>
            <w:tcW w:w="534" w:type="pct"/>
            <w:tcBorders>
              <w:tl2br w:val="nil"/>
              <w:tr2bl w:val="nil"/>
            </w:tcBorders>
            <w:noWrap w:val="0"/>
            <w:vAlign w:val="center"/>
          </w:tcPr>
          <w:p w14:paraId="63DCB73E">
            <w:pPr>
              <w:jc w:val="center"/>
              <w:rPr>
                <w:rFonts w:hint="default" w:eastAsia="宋体"/>
                <w:color w:val="auto"/>
                <w:sz w:val="18"/>
                <w:szCs w:val="18"/>
                <w:lang w:val="en-US" w:eastAsia="zh-CN"/>
              </w:rPr>
            </w:pPr>
          </w:p>
        </w:tc>
        <w:tc>
          <w:tcPr>
            <w:tcW w:w="471" w:type="pct"/>
            <w:tcBorders>
              <w:tl2br w:val="nil"/>
              <w:tr2bl w:val="nil"/>
            </w:tcBorders>
            <w:noWrap w:val="0"/>
            <w:vAlign w:val="center"/>
          </w:tcPr>
          <w:p w14:paraId="451CDF5E">
            <w:pPr>
              <w:jc w:val="center"/>
              <w:rPr>
                <w:rFonts w:hint="eastAsia" w:eastAsia="宋体"/>
                <w:color w:val="auto"/>
                <w:sz w:val="18"/>
                <w:szCs w:val="18"/>
                <w:lang w:val="en-US" w:eastAsia="zh-CN"/>
              </w:rPr>
            </w:pPr>
          </w:p>
        </w:tc>
        <w:tc>
          <w:tcPr>
            <w:tcW w:w="622" w:type="pct"/>
            <w:tcBorders>
              <w:tl2br w:val="nil"/>
              <w:tr2bl w:val="nil"/>
            </w:tcBorders>
            <w:noWrap w:val="0"/>
            <w:vAlign w:val="center"/>
          </w:tcPr>
          <w:p w14:paraId="70D16EEC">
            <w:pPr>
              <w:jc w:val="center"/>
              <w:rPr>
                <w:color w:val="auto"/>
                <w:sz w:val="18"/>
                <w:szCs w:val="18"/>
              </w:rPr>
            </w:pPr>
          </w:p>
        </w:tc>
        <w:tc>
          <w:tcPr>
            <w:tcW w:w="623" w:type="pct"/>
            <w:tcBorders>
              <w:tl2br w:val="nil"/>
              <w:tr2bl w:val="nil"/>
            </w:tcBorders>
            <w:noWrap w:val="0"/>
            <w:vAlign w:val="center"/>
          </w:tcPr>
          <w:p w14:paraId="7B62AF76">
            <w:pPr>
              <w:jc w:val="center"/>
              <w:rPr>
                <w:color w:val="auto"/>
                <w:sz w:val="18"/>
                <w:szCs w:val="18"/>
              </w:rPr>
            </w:pPr>
          </w:p>
        </w:tc>
        <w:tc>
          <w:tcPr>
            <w:tcW w:w="531" w:type="pct"/>
            <w:tcBorders>
              <w:tl2br w:val="nil"/>
              <w:tr2bl w:val="nil"/>
            </w:tcBorders>
            <w:noWrap w:val="0"/>
            <w:vAlign w:val="center"/>
          </w:tcPr>
          <w:p w14:paraId="05B770EE">
            <w:pPr>
              <w:jc w:val="center"/>
              <w:rPr>
                <w:color w:val="auto"/>
                <w:sz w:val="18"/>
                <w:szCs w:val="18"/>
              </w:rPr>
            </w:pPr>
          </w:p>
        </w:tc>
        <w:tc>
          <w:tcPr>
            <w:tcW w:w="566" w:type="pct"/>
            <w:tcBorders>
              <w:tl2br w:val="nil"/>
              <w:tr2bl w:val="nil"/>
            </w:tcBorders>
            <w:noWrap w:val="0"/>
            <w:vAlign w:val="center"/>
          </w:tcPr>
          <w:p w14:paraId="02E774B4">
            <w:pPr>
              <w:jc w:val="center"/>
              <w:rPr>
                <w:color w:val="auto"/>
                <w:sz w:val="18"/>
                <w:szCs w:val="18"/>
              </w:rPr>
            </w:pPr>
          </w:p>
        </w:tc>
      </w:tr>
      <w:tr w14:paraId="7A2337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1119" w:type="pct"/>
            <w:tcBorders>
              <w:tl2br w:val="nil"/>
              <w:tr2bl w:val="nil"/>
            </w:tcBorders>
            <w:noWrap w:val="0"/>
            <w:vAlign w:val="center"/>
          </w:tcPr>
          <w:p w14:paraId="3622D742">
            <w:pPr>
              <w:jc w:val="center"/>
              <w:rPr>
                <w:color w:val="auto"/>
                <w:sz w:val="18"/>
                <w:szCs w:val="18"/>
              </w:rPr>
            </w:pPr>
            <w:r>
              <w:rPr>
                <w:color w:val="auto"/>
                <w:sz w:val="18"/>
                <w:szCs w:val="18"/>
              </w:rPr>
              <w:t>镁</w:t>
            </w:r>
            <w:r>
              <w:rPr>
                <w:rFonts w:hint="eastAsia"/>
                <w:color w:val="auto"/>
                <w:sz w:val="18"/>
                <w:szCs w:val="18"/>
              </w:rPr>
              <w:t>（mg/L）</w:t>
            </w:r>
          </w:p>
        </w:tc>
        <w:tc>
          <w:tcPr>
            <w:tcW w:w="530" w:type="pct"/>
            <w:tcBorders>
              <w:tl2br w:val="nil"/>
              <w:tr2bl w:val="nil"/>
            </w:tcBorders>
            <w:noWrap w:val="0"/>
            <w:vAlign w:val="center"/>
          </w:tcPr>
          <w:p w14:paraId="73DF5AA8">
            <w:pPr>
              <w:jc w:val="center"/>
              <w:rPr>
                <w:color w:val="auto"/>
                <w:sz w:val="18"/>
                <w:szCs w:val="18"/>
              </w:rPr>
            </w:pPr>
            <w:r>
              <w:rPr>
                <w:rFonts w:hint="eastAsia"/>
                <w:color w:val="auto"/>
                <w:sz w:val="18"/>
                <w:szCs w:val="18"/>
                <w:lang w:val="en-US" w:eastAsia="zh-CN"/>
              </w:rPr>
              <w:t>-</w:t>
            </w:r>
          </w:p>
        </w:tc>
        <w:tc>
          <w:tcPr>
            <w:tcW w:w="534" w:type="pct"/>
            <w:tcBorders>
              <w:tl2br w:val="nil"/>
              <w:tr2bl w:val="nil"/>
            </w:tcBorders>
            <w:noWrap w:val="0"/>
            <w:vAlign w:val="center"/>
          </w:tcPr>
          <w:p w14:paraId="7794EBC0">
            <w:pPr>
              <w:jc w:val="center"/>
              <w:rPr>
                <w:rFonts w:hint="default" w:eastAsia="宋体"/>
                <w:color w:val="auto"/>
                <w:sz w:val="18"/>
                <w:szCs w:val="18"/>
                <w:lang w:val="en-US" w:eastAsia="zh-CN"/>
              </w:rPr>
            </w:pPr>
          </w:p>
        </w:tc>
        <w:tc>
          <w:tcPr>
            <w:tcW w:w="471" w:type="pct"/>
            <w:tcBorders>
              <w:tl2br w:val="nil"/>
              <w:tr2bl w:val="nil"/>
            </w:tcBorders>
            <w:noWrap w:val="0"/>
            <w:vAlign w:val="center"/>
          </w:tcPr>
          <w:p w14:paraId="2387A49E">
            <w:pPr>
              <w:jc w:val="center"/>
              <w:rPr>
                <w:rFonts w:hint="eastAsia" w:eastAsia="宋体"/>
                <w:color w:val="auto"/>
                <w:sz w:val="18"/>
                <w:szCs w:val="18"/>
                <w:lang w:val="en-US" w:eastAsia="zh-CN"/>
              </w:rPr>
            </w:pPr>
          </w:p>
        </w:tc>
        <w:tc>
          <w:tcPr>
            <w:tcW w:w="622" w:type="pct"/>
            <w:tcBorders>
              <w:tl2br w:val="nil"/>
              <w:tr2bl w:val="nil"/>
            </w:tcBorders>
            <w:noWrap w:val="0"/>
            <w:vAlign w:val="center"/>
          </w:tcPr>
          <w:p w14:paraId="67E536B4">
            <w:pPr>
              <w:jc w:val="center"/>
              <w:rPr>
                <w:color w:val="auto"/>
                <w:sz w:val="18"/>
                <w:szCs w:val="18"/>
              </w:rPr>
            </w:pPr>
          </w:p>
        </w:tc>
        <w:tc>
          <w:tcPr>
            <w:tcW w:w="623" w:type="pct"/>
            <w:tcBorders>
              <w:tl2br w:val="nil"/>
              <w:tr2bl w:val="nil"/>
            </w:tcBorders>
            <w:noWrap w:val="0"/>
            <w:vAlign w:val="center"/>
          </w:tcPr>
          <w:p w14:paraId="234CE150">
            <w:pPr>
              <w:jc w:val="center"/>
              <w:rPr>
                <w:color w:val="auto"/>
                <w:sz w:val="18"/>
                <w:szCs w:val="18"/>
              </w:rPr>
            </w:pPr>
          </w:p>
        </w:tc>
        <w:tc>
          <w:tcPr>
            <w:tcW w:w="531" w:type="pct"/>
            <w:tcBorders>
              <w:tl2br w:val="nil"/>
              <w:tr2bl w:val="nil"/>
            </w:tcBorders>
            <w:noWrap w:val="0"/>
            <w:vAlign w:val="center"/>
          </w:tcPr>
          <w:p w14:paraId="635215DD">
            <w:pPr>
              <w:jc w:val="center"/>
              <w:rPr>
                <w:color w:val="auto"/>
                <w:sz w:val="18"/>
                <w:szCs w:val="18"/>
              </w:rPr>
            </w:pPr>
          </w:p>
        </w:tc>
        <w:tc>
          <w:tcPr>
            <w:tcW w:w="566" w:type="pct"/>
            <w:tcBorders>
              <w:tl2br w:val="nil"/>
              <w:tr2bl w:val="nil"/>
            </w:tcBorders>
            <w:noWrap w:val="0"/>
            <w:vAlign w:val="center"/>
          </w:tcPr>
          <w:p w14:paraId="4AFD4EE7">
            <w:pPr>
              <w:jc w:val="center"/>
              <w:rPr>
                <w:color w:val="auto"/>
                <w:sz w:val="18"/>
                <w:szCs w:val="18"/>
              </w:rPr>
            </w:pPr>
          </w:p>
        </w:tc>
      </w:tr>
      <w:tr w14:paraId="1DEDB9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1119" w:type="pct"/>
            <w:tcBorders>
              <w:tl2br w:val="nil"/>
              <w:tr2bl w:val="nil"/>
            </w:tcBorders>
            <w:noWrap w:val="0"/>
            <w:vAlign w:val="center"/>
          </w:tcPr>
          <w:p w14:paraId="42EDC659">
            <w:pPr>
              <w:jc w:val="center"/>
              <w:rPr>
                <w:rFonts w:hint="default" w:eastAsia="宋体"/>
                <w:color w:val="auto"/>
                <w:sz w:val="18"/>
                <w:szCs w:val="18"/>
                <w:lang w:val="en-US" w:eastAsia="zh-CN"/>
              </w:rPr>
            </w:pPr>
            <w:r>
              <w:rPr>
                <w:rFonts w:hint="eastAsia"/>
                <w:color w:val="auto"/>
                <w:sz w:val="18"/>
                <w:szCs w:val="18"/>
                <w:lang w:val="en-US" w:eastAsia="zh-CN"/>
              </w:rPr>
              <w:t>硫化物</w:t>
            </w:r>
            <w:r>
              <w:rPr>
                <w:rFonts w:hint="eastAsia"/>
                <w:color w:val="auto"/>
                <w:sz w:val="18"/>
                <w:szCs w:val="18"/>
              </w:rPr>
              <w:t>（mg/L）</w:t>
            </w:r>
          </w:p>
        </w:tc>
        <w:tc>
          <w:tcPr>
            <w:tcW w:w="530" w:type="pct"/>
            <w:tcBorders>
              <w:tl2br w:val="nil"/>
              <w:tr2bl w:val="nil"/>
            </w:tcBorders>
            <w:noWrap w:val="0"/>
            <w:vAlign w:val="center"/>
          </w:tcPr>
          <w:p w14:paraId="044870AC">
            <w:pPr>
              <w:jc w:val="center"/>
              <w:rPr>
                <w:rFonts w:hint="default" w:eastAsia="宋体"/>
                <w:color w:val="auto"/>
                <w:sz w:val="18"/>
                <w:szCs w:val="18"/>
                <w:lang w:val="en-US" w:eastAsia="zh-CN"/>
              </w:rPr>
            </w:pPr>
            <w:r>
              <w:rPr>
                <w:rFonts w:hint="eastAsia"/>
                <w:color w:val="auto"/>
                <w:sz w:val="18"/>
                <w:szCs w:val="18"/>
                <w:lang w:val="en-US" w:eastAsia="zh-CN"/>
              </w:rPr>
              <w:t>0.02</w:t>
            </w:r>
          </w:p>
        </w:tc>
        <w:tc>
          <w:tcPr>
            <w:tcW w:w="534" w:type="pct"/>
            <w:tcBorders>
              <w:tl2br w:val="nil"/>
              <w:tr2bl w:val="nil"/>
            </w:tcBorders>
            <w:noWrap w:val="0"/>
            <w:vAlign w:val="center"/>
          </w:tcPr>
          <w:p w14:paraId="4B90CF9C">
            <w:pPr>
              <w:jc w:val="center"/>
              <w:rPr>
                <w:rFonts w:hint="eastAsia"/>
                <w:color w:val="auto"/>
                <w:sz w:val="18"/>
                <w:szCs w:val="18"/>
                <w:lang w:val="en-US" w:eastAsia="zh-CN"/>
              </w:rPr>
            </w:pPr>
          </w:p>
        </w:tc>
        <w:tc>
          <w:tcPr>
            <w:tcW w:w="471" w:type="pct"/>
            <w:tcBorders>
              <w:tl2br w:val="nil"/>
              <w:tr2bl w:val="nil"/>
            </w:tcBorders>
            <w:noWrap w:val="0"/>
            <w:vAlign w:val="center"/>
          </w:tcPr>
          <w:p w14:paraId="044B0D09">
            <w:pPr>
              <w:jc w:val="center"/>
              <w:rPr>
                <w:color w:val="auto"/>
                <w:sz w:val="18"/>
                <w:szCs w:val="18"/>
              </w:rPr>
            </w:pPr>
          </w:p>
        </w:tc>
        <w:tc>
          <w:tcPr>
            <w:tcW w:w="622" w:type="pct"/>
            <w:tcBorders>
              <w:tl2br w:val="nil"/>
              <w:tr2bl w:val="nil"/>
            </w:tcBorders>
            <w:noWrap w:val="0"/>
            <w:vAlign w:val="center"/>
          </w:tcPr>
          <w:p w14:paraId="67FF056C">
            <w:pPr>
              <w:jc w:val="center"/>
              <w:rPr>
                <w:rFonts w:ascii="Times New Roman" w:hAnsi="Times New Roman" w:eastAsia="宋体" w:cs="Times New Roman"/>
                <w:color w:val="auto"/>
                <w:kern w:val="2"/>
                <w:sz w:val="18"/>
                <w:szCs w:val="18"/>
                <w:lang w:val="en-US" w:eastAsia="zh-CN" w:bidi="ar-SA"/>
              </w:rPr>
            </w:pPr>
          </w:p>
        </w:tc>
        <w:tc>
          <w:tcPr>
            <w:tcW w:w="623" w:type="pct"/>
            <w:tcBorders>
              <w:tl2br w:val="nil"/>
              <w:tr2bl w:val="nil"/>
            </w:tcBorders>
            <w:noWrap w:val="0"/>
            <w:vAlign w:val="center"/>
          </w:tcPr>
          <w:p w14:paraId="3F7CD29F">
            <w:pPr>
              <w:jc w:val="center"/>
              <w:rPr>
                <w:rFonts w:ascii="Times New Roman" w:hAnsi="Times New Roman" w:eastAsia="宋体" w:cs="Times New Roman"/>
                <w:color w:val="auto"/>
                <w:kern w:val="2"/>
                <w:sz w:val="18"/>
                <w:szCs w:val="18"/>
                <w:lang w:val="en-US" w:eastAsia="zh-CN" w:bidi="ar-SA"/>
              </w:rPr>
            </w:pPr>
          </w:p>
        </w:tc>
        <w:tc>
          <w:tcPr>
            <w:tcW w:w="531" w:type="pct"/>
            <w:tcBorders>
              <w:tl2br w:val="nil"/>
              <w:tr2bl w:val="nil"/>
            </w:tcBorders>
            <w:noWrap w:val="0"/>
            <w:vAlign w:val="center"/>
          </w:tcPr>
          <w:p w14:paraId="58A7A5EC">
            <w:pPr>
              <w:jc w:val="center"/>
              <w:rPr>
                <w:rFonts w:ascii="Times New Roman" w:hAnsi="Times New Roman" w:eastAsia="宋体" w:cs="Times New Roman"/>
                <w:color w:val="auto"/>
                <w:kern w:val="2"/>
                <w:sz w:val="18"/>
                <w:szCs w:val="18"/>
                <w:lang w:val="en-US" w:eastAsia="zh-CN" w:bidi="ar-SA"/>
              </w:rPr>
            </w:pPr>
          </w:p>
        </w:tc>
        <w:tc>
          <w:tcPr>
            <w:tcW w:w="566" w:type="pct"/>
            <w:tcBorders>
              <w:tl2br w:val="nil"/>
              <w:tr2bl w:val="nil"/>
            </w:tcBorders>
            <w:noWrap w:val="0"/>
            <w:vAlign w:val="center"/>
          </w:tcPr>
          <w:p w14:paraId="4EB6E821">
            <w:pPr>
              <w:jc w:val="center"/>
              <w:rPr>
                <w:rFonts w:ascii="Times New Roman" w:hAnsi="Times New Roman" w:eastAsia="宋体" w:cs="Times New Roman"/>
                <w:color w:val="auto"/>
                <w:kern w:val="2"/>
                <w:sz w:val="18"/>
                <w:szCs w:val="18"/>
                <w:lang w:val="en-US" w:eastAsia="zh-CN" w:bidi="ar-SA"/>
              </w:rPr>
            </w:pPr>
          </w:p>
        </w:tc>
      </w:tr>
      <w:tr w14:paraId="408C6F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1119" w:type="pct"/>
            <w:tcBorders>
              <w:tl2br w:val="nil"/>
              <w:tr2bl w:val="nil"/>
            </w:tcBorders>
            <w:noWrap w:val="0"/>
            <w:vAlign w:val="center"/>
          </w:tcPr>
          <w:p w14:paraId="118E41D9">
            <w:pPr>
              <w:jc w:val="center"/>
              <w:rPr>
                <w:rFonts w:hint="eastAsia"/>
                <w:color w:val="auto"/>
                <w:sz w:val="18"/>
                <w:szCs w:val="18"/>
                <w:lang w:val="en-US" w:eastAsia="zh-CN"/>
              </w:rPr>
            </w:pPr>
            <w:r>
              <w:rPr>
                <w:rFonts w:hint="eastAsia"/>
                <w:color w:val="auto"/>
                <w:sz w:val="18"/>
                <w:szCs w:val="18"/>
                <w:lang w:val="en-US" w:eastAsia="zh-CN"/>
              </w:rPr>
              <w:t>碘化物</w:t>
            </w:r>
            <w:r>
              <w:rPr>
                <w:rFonts w:hint="eastAsia"/>
                <w:color w:val="auto"/>
                <w:sz w:val="18"/>
                <w:szCs w:val="18"/>
              </w:rPr>
              <w:t>（mg/L）</w:t>
            </w:r>
          </w:p>
        </w:tc>
        <w:tc>
          <w:tcPr>
            <w:tcW w:w="530" w:type="pct"/>
            <w:tcBorders>
              <w:tl2br w:val="nil"/>
              <w:tr2bl w:val="nil"/>
            </w:tcBorders>
            <w:noWrap w:val="0"/>
            <w:vAlign w:val="center"/>
          </w:tcPr>
          <w:p w14:paraId="4FF29FDA">
            <w:pPr>
              <w:jc w:val="center"/>
              <w:rPr>
                <w:rFonts w:hint="default" w:eastAsia="宋体"/>
                <w:color w:val="auto"/>
                <w:sz w:val="18"/>
                <w:szCs w:val="18"/>
                <w:lang w:val="en-US" w:eastAsia="zh-CN"/>
              </w:rPr>
            </w:pPr>
            <w:r>
              <w:rPr>
                <w:rFonts w:hint="eastAsia"/>
                <w:color w:val="auto"/>
                <w:sz w:val="18"/>
                <w:szCs w:val="18"/>
                <w:lang w:val="en-US" w:eastAsia="zh-CN"/>
              </w:rPr>
              <w:t>0.08</w:t>
            </w:r>
          </w:p>
        </w:tc>
        <w:tc>
          <w:tcPr>
            <w:tcW w:w="534" w:type="pct"/>
            <w:tcBorders>
              <w:tl2br w:val="nil"/>
              <w:tr2bl w:val="nil"/>
            </w:tcBorders>
            <w:noWrap w:val="0"/>
            <w:vAlign w:val="center"/>
          </w:tcPr>
          <w:p w14:paraId="6C535C47">
            <w:pPr>
              <w:jc w:val="center"/>
              <w:rPr>
                <w:rFonts w:hint="eastAsia"/>
                <w:color w:val="auto"/>
                <w:sz w:val="18"/>
                <w:szCs w:val="18"/>
                <w:lang w:val="en-US" w:eastAsia="zh-CN"/>
              </w:rPr>
            </w:pPr>
          </w:p>
        </w:tc>
        <w:tc>
          <w:tcPr>
            <w:tcW w:w="471" w:type="pct"/>
            <w:tcBorders>
              <w:tl2br w:val="nil"/>
              <w:tr2bl w:val="nil"/>
            </w:tcBorders>
            <w:noWrap w:val="0"/>
            <w:vAlign w:val="center"/>
          </w:tcPr>
          <w:p w14:paraId="17C8DDFF">
            <w:pPr>
              <w:jc w:val="center"/>
              <w:rPr>
                <w:color w:val="auto"/>
                <w:sz w:val="18"/>
                <w:szCs w:val="18"/>
              </w:rPr>
            </w:pPr>
          </w:p>
        </w:tc>
        <w:tc>
          <w:tcPr>
            <w:tcW w:w="622" w:type="pct"/>
            <w:tcBorders>
              <w:tl2br w:val="nil"/>
              <w:tr2bl w:val="nil"/>
            </w:tcBorders>
            <w:noWrap w:val="0"/>
            <w:vAlign w:val="center"/>
          </w:tcPr>
          <w:p w14:paraId="762A03D3">
            <w:pPr>
              <w:jc w:val="center"/>
              <w:rPr>
                <w:rFonts w:ascii="Times New Roman" w:hAnsi="Times New Roman" w:eastAsia="宋体" w:cs="Times New Roman"/>
                <w:color w:val="auto"/>
                <w:kern w:val="2"/>
                <w:sz w:val="18"/>
                <w:szCs w:val="18"/>
                <w:lang w:val="en-US" w:eastAsia="zh-CN" w:bidi="ar-SA"/>
              </w:rPr>
            </w:pPr>
          </w:p>
        </w:tc>
        <w:tc>
          <w:tcPr>
            <w:tcW w:w="623" w:type="pct"/>
            <w:tcBorders>
              <w:tl2br w:val="nil"/>
              <w:tr2bl w:val="nil"/>
            </w:tcBorders>
            <w:noWrap w:val="0"/>
            <w:vAlign w:val="center"/>
          </w:tcPr>
          <w:p w14:paraId="7062CD10">
            <w:pPr>
              <w:jc w:val="center"/>
              <w:rPr>
                <w:rFonts w:ascii="Times New Roman" w:hAnsi="Times New Roman" w:eastAsia="宋体" w:cs="Times New Roman"/>
                <w:color w:val="auto"/>
                <w:kern w:val="2"/>
                <w:sz w:val="18"/>
                <w:szCs w:val="18"/>
                <w:lang w:val="en-US" w:eastAsia="zh-CN" w:bidi="ar-SA"/>
              </w:rPr>
            </w:pPr>
          </w:p>
        </w:tc>
        <w:tc>
          <w:tcPr>
            <w:tcW w:w="531" w:type="pct"/>
            <w:tcBorders>
              <w:tl2br w:val="nil"/>
              <w:tr2bl w:val="nil"/>
            </w:tcBorders>
            <w:noWrap w:val="0"/>
            <w:vAlign w:val="center"/>
          </w:tcPr>
          <w:p w14:paraId="7688B8E1">
            <w:pPr>
              <w:jc w:val="center"/>
              <w:rPr>
                <w:rFonts w:ascii="Times New Roman" w:hAnsi="Times New Roman" w:eastAsia="宋体" w:cs="Times New Roman"/>
                <w:color w:val="auto"/>
                <w:kern w:val="2"/>
                <w:sz w:val="18"/>
                <w:szCs w:val="18"/>
                <w:lang w:val="en-US" w:eastAsia="zh-CN" w:bidi="ar-SA"/>
              </w:rPr>
            </w:pPr>
          </w:p>
        </w:tc>
        <w:tc>
          <w:tcPr>
            <w:tcW w:w="566" w:type="pct"/>
            <w:tcBorders>
              <w:tl2br w:val="nil"/>
              <w:tr2bl w:val="nil"/>
            </w:tcBorders>
            <w:noWrap w:val="0"/>
            <w:vAlign w:val="center"/>
          </w:tcPr>
          <w:p w14:paraId="106AAE15">
            <w:pPr>
              <w:jc w:val="center"/>
              <w:rPr>
                <w:rFonts w:ascii="Times New Roman" w:hAnsi="Times New Roman" w:eastAsia="宋体" w:cs="Times New Roman"/>
                <w:color w:val="auto"/>
                <w:kern w:val="2"/>
                <w:sz w:val="18"/>
                <w:szCs w:val="18"/>
                <w:lang w:val="en-US" w:eastAsia="zh-CN" w:bidi="ar-SA"/>
              </w:rPr>
            </w:pPr>
          </w:p>
        </w:tc>
      </w:tr>
      <w:tr w14:paraId="472013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1119" w:type="pct"/>
            <w:tcBorders>
              <w:tl2br w:val="nil"/>
              <w:tr2bl w:val="nil"/>
            </w:tcBorders>
            <w:noWrap w:val="0"/>
            <w:vAlign w:val="center"/>
          </w:tcPr>
          <w:p w14:paraId="70E29DF7">
            <w:pPr>
              <w:jc w:val="center"/>
              <w:rPr>
                <w:rFonts w:hint="eastAsia"/>
                <w:color w:val="auto"/>
                <w:sz w:val="18"/>
                <w:szCs w:val="18"/>
                <w:lang w:val="en-US" w:eastAsia="zh-CN"/>
              </w:rPr>
            </w:pPr>
            <w:r>
              <w:rPr>
                <w:rFonts w:hint="eastAsia"/>
                <w:color w:val="auto"/>
                <w:sz w:val="18"/>
                <w:szCs w:val="18"/>
                <w:lang w:val="en-US" w:eastAsia="zh-CN"/>
              </w:rPr>
              <w:t>阴离子表面活性剂</w:t>
            </w:r>
            <w:r>
              <w:rPr>
                <w:rFonts w:hint="eastAsia"/>
                <w:color w:val="auto"/>
                <w:sz w:val="18"/>
                <w:szCs w:val="18"/>
              </w:rPr>
              <w:t>（mg/L）</w:t>
            </w:r>
          </w:p>
        </w:tc>
        <w:tc>
          <w:tcPr>
            <w:tcW w:w="530" w:type="pct"/>
            <w:tcBorders>
              <w:tl2br w:val="nil"/>
              <w:tr2bl w:val="nil"/>
            </w:tcBorders>
            <w:noWrap w:val="0"/>
            <w:vAlign w:val="center"/>
          </w:tcPr>
          <w:p w14:paraId="78A295D5">
            <w:pPr>
              <w:jc w:val="center"/>
              <w:rPr>
                <w:rFonts w:hint="default" w:eastAsia="宋体"/>
                <w:color w:val="auto"/>
                <w:sz w:val="18"/>
                <w:szCs w:val="18"/>
                <w:lang w:val="en-US" w:eastAsia="zh-CN"/>
              </w:rPr>
            </w:pPr>
            <w:r>
              <w:rPr>
                <w:rFonts w:hint="eastAsia"/>
                <w:color w:val="auto"/>
                <w:sz w:val="18"/>
                <w:szCs w:val="18"/>
                <w:lang w:val="en-US" w:eastAsia="zh-CN"/>
              </w:rPr>
              <w:t>0.3</w:t>
            </w:r>
          </w:p>
        </w:tc>
        <w:tc>
          <w:tcPr>
            <w:tcW w:w="534" w:type="pct"/>
            <w:tcBorders>
              <w:tl2br w:val="nil"/>
              <w:tr2bl w:val="nil"/>
            </w:tcBorders>
            <w:noWrap w:val="0"/>
            <w:vAlign w:val="center"/>
          </w:tcPr>
          <w:p w14:paraId="681B65B1">
            <w:pPr>
              <w:jc w:val="center"/>
              <w:rPr>
                <w:rFonts w:hint="eastAsia"/>
                <w:color w:val="auto"/>
                <w:sz w:val="18"/>
                <w:szCs w:val="18"/>
                <w:lang w:val="en-US" w:eastAsia="zh-CN"/>
              </w:rPr>
            </w:pPr>
          </w:p>
        </w:tc>
        <w:tc>
          <w:tcPr>
            <w:tcW w:w="471" w:type="pct"/>
            <w:tcBorders>
              <w:tl2br w:val="nil"/>
              <w:tr2bl w:val="nil"/>
            </w:tcBorders>
            <w:noWrap w:val="0"/>
            <w:vAlign w:val="center"/>
          </w:tcPr>
          <w:p w14:paraId="51FF3D1D">
            <w:pPr>
              <w:jc w:val="center"/>
              <w:rPr>
                <w:color w:val="auto"/>
                <w:sz w:val="18"/>
                <w:szCs w:val="18"/>
              </w:rPr>
            </w:pPr>
          </w:p>
        </w:tc>
        <w:tc>
          <w:tcPr>
            <w:tcW w:w="622" w:type="pct"/>
            <w:tcBorders>
              <w:tl2br w:val="nil"/>
              <w:tr2bl w:val="nil"/>
            </w:tcBorders>
            <w:noWrap w:val="0"/>
            <w:vAlign w:val="center"/>
          </w:tcPr>
          <w:p w14:paraId="1F3FACDB">
            <w:pPr>
              <w:jc w:val="center"/>
              <w:rPr>
                <w:rFonts w:ascii="Times New Roman" w:hAnsi="Times New Roman" w:eastAsia="宋体" w:cs="Times New Roman"/>
                <w:color w:val="auto"/>
                <w:kern w:val="2"/>
                <w:sz w:val="18"/>
                <w:szCs w:val="18"/>
                <w:lang w:val="en-US" w:eastAsia="zh-CN" w:bidi="ar-SA"/>
              </w:rPr>
            </w:pPr>
          </w:p>
        </w:tc>
        <w:tc>
          <w:tcPr>
            <w:tcW w:w="623" w:type="pct"/>
            <w:tcBorders>
              <w:tl2br w:val="nil"/>
              <w:tr2bl w:val="nil"/>
            </w:tcBorders>
            <w:noWrap w:val="0"/>
            <w:vAlign w:val="center"/>
          </w:tcPr>
          <w:p w14:paraId="25054BB2">
            <w:pPr>
              <w:jc w:val="center"/>
              <w:rPr>
                <w:rFonts w:ascii="Times New Roman" w:hAnsi="Times New Roman" w:eastAsia="宋体" w:cs="Times New Roman"/>
                <w:color w:val="auto"/>
                <w:kern w:val="2"/>
                <w:sz w:val="18"/>
                <w:szCs w:val="18"/>
                <w:lang w:val="en-US" w:eastAsia="zh-CN" w:bidi="ar-SA"/>
              </w:rPr>
            </w:pPr>
          </w:p>
        </w:tc>
        <w:tc>
          <w:tcPr>
            <w:tcW w:w="531" w:type="pct"/>
            <w:tcBorders>
              <w:tl2br w:val="nil"/>
              <w:tr2bl w:val="nil"/>
            </w:tcBorders>
            <w:noWrap w:val="0"/>
            <w:vAlign w:val="center"/>
          </w:tcPr>
          <w:p w14:paraId="1BCB583A">
            <w:pPr>
              <w:jc w:val="center"/>
              <w:rPr>
                <w:rFonts w:ascii="Times New Roman" w:hAnsi="Times New Roman" w:eastAsia="宋体" w:cs="Times New Roman"/>
                <w:color w:val="auto"/>
                <w:kern w:val="2"/>
                <w:sz w:val="18"/>
                <w:szCs w:val="18"/>
                <w:lang w:val="en-US" w:eastAsia="zh-CN" w:bidi="ar-SA"/>
              </w:rPr>
            </w:pPr>
          </w:p>
        </w:tc>
        <w:tc>
          <w:tcPr>
            <w:tcW w:w="566" w:type="pct"/>
            <w:tcBorders>
              <w:tl2br w:val="nil"/>
              <w:tr2bl w:val="nil"/>
            </w:tcBorders>
            <w:noWrap w:val="0"/>
            <w:vAlign w:val="center"/>
          </w:tcPr>
          <w:p w14:paraId="50C99C4B">
            <w:pPr>
              <w:jc w:val="center"/>
              <w:rPr>
                <w:rFonts w:ascii="Times New Roman" w:hAnsi="Times New Roman" w:eastAsia="宋体" w:cs="Times New Roman"/>
                <w:color w:val="auto"/>
                <w:kern w:val="2"/>
                <w:sz w:val="18"/>
                <w:szCs w:val="18"/>
                <w:lang w:val="en-US" w:eastAsia="zh-CN" w:bidi="ar-SA"/>
              </w:rPr>
            </w:pPr>
          </w:p>
        </w:tc>
      </w:tr>
      <w:tr w14:paraId="1E5F13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1119" w:type="pct"/>
            <w:tcBorders>
              <w:tl2br w:val="nil"/>
              <w:tr2bl w:val="nil"/>
            </w:tcBorders>
            <w:noWrap w:val="0"/>
            <w:vAlign w:val="center"/>
          </w:tcPr>
          <w:p w14:paraId="09A5B732">
            <w:pPr>
              <w:jc w:val="center"/>
              <w:rPr>
                <w:rFonts w:hint="eastAsia"/>
                <w:color w:val="auto"/>
                <w:sz w:val="18"/>
                <w:szCs w:val="18"/>
                <w:lang w:val="en-US" w:eastAsia="zh-CN"/>
              </w:rPr>
            </w:pPr>
            <w:r>
              <w:rPr>
                <w:rFonts w:hint="eastAsia"/>
                <w:color w:val="auto"/>
                <w:sz w:val="18"/>
                <w:szCs w:val="18"/>
                <w:lang w:val="en-US" w:eastAsia="zh-CN"/>
              </w:rPr>
              <w:t>硒（µg/L）</w:t>
            </w:r>
          </w:p>
        </w:tc>
        <w:tc>
          <w:tcPr>
            <w:tcW w:w="530" w:type="pct"/>
            <w:tcBorders>
              <w:tl2br w:val="nil"/>
              <w:tr2bl w:val="nil"/>
            </w:tcBorders>
            <w:noWrap w:val="0"/>
            <w:vAlign w:val="center"/>
          </w:tcPr>
          <w:p w14:paraId="11A48067">
            <w:pPr>
              <w:jc w:val="center"/>
              <w:rPr>
                <w:rFonts w:hint="default" w:eastAsia="宋体"/>
                <w:color w:val="auto"/>
                <w:sz w:val="18"/>
                <w:szCs w:val="18"/>
                <w:lang w:val="en-US" w:eastAsia="zh-CN"/>
              </w:rPr>
            </w:pPr>
            <w:r>
              <w:rPr>
                <w:rFonts w:hint="eastAsia"/>
                <w:color w:val="auto"/>
                <w:sz w:val="18"/>
                <w:szCs w:val="18"/>
                <w:lang w:val="en-US" w:eastAsia="zh-CN"/>
              </w:rPr>
              <w:t>0.01</w:t>
            </w:r>
          </w:p>
        </w:tc>
        <w:tc>
          <w:tcPr>
            <w:tcW w:w="534" w:type="pct"/>
            <w:tcBorders>
              <w:tl2br w:val="nil"/>
              <w:tr2bl w:val="nil"/>
            </w:tcBorders>
            <w:noWrap w:val="0"/>
            <w:vAlign w:val="center"/>
          </w:tcPr>
          <w:p w14:paraId="648E4002">
            <w:pPr>
              <w:jc w:val="center"/>
              <w:rPr>
                <w:rFonts w:hint="eastAsia"/>
                <w:color w:val="auto"/>
                <w:sz w:val="18"/>
                <w:szCs w:val="18"/>
                <w:lang w:val="en-US" w:eastAsia="zh-CN"/>
              </w:rPr>
            </w:pPr>
          </w:p>
        </w:tc>
        <w:tc>
          <w:tcPr>
            <w:tcW w:w="471" w:type="pct"/>
            <w:tcBorders>
              <w:tl2br w:val="nil"/>
              <w:tr2bl w:val="nil"/>
            </w:tcBorders>
            <w:noWrap w:val="0"/>
            <w:vAlign w:val="center"/>
          </w:tcPr>
          <w:p w14:paraId="68935A34">
            <w:pPr>
              <w:jc w:val="center"/>
              <w:rPr>
                <w:color w:val="auto"/>
                <w:sz w:val="18"/>
                <w:szCs w:val="18"/>
              </w:rPr>
            </w:pPr>
          </w:p>
        </w:tc>
        <w:tc>
          <w:tcPr>
            <w:tcW w:w="622" w:type="pct"/>
            <w:tcBorders>
              <w:tl2br w:val="nil"/>
              <w:tr2bl w:val="nil"/>
            </w:tcBorders>
            <w:noWrap w:val="0"/>
            <w:vAlign w:val="center"/>
          </w:tcPr>
          <w:p w14:paraId="35316C57">
            <w:pPr>
              <w:jc w:val="center"/>
              <w:rPr>
                <w:rFonts w:ascii="Times New Roman" w:hAnsi="Times New Roman" w:eastAsia="宋体" w:cs="Times New Roman"/>
                <w:color w:val="auto"/>
                <w:kern w:val="2"/>
                <w:sz w:val="18"/>
                <w:szCs w:val="18"/>
                <w:lang w:val="en-US" w:eastAsia="zh-CN" w:bidi="ar-SA"/>
              </w:rPr>
            </w:pPr>
          </w:p>
        </w:tc>
        <w:tc>
          <w:tcPr>
            <w:tcW w:w="623" w:type="pct"/>
            <w:tcBorders>
              <w:tl2br w:val="nil"/>
              <w:tr2bl w:val="nil"/>
            </w:tcBorders>
            <w:noWrap w:val="0"/>
            <w:vAlign w:val="center"/>
          </w:tcPr>
          <w:p w14:paraId="4F44E8FB">
            <w:pPr>
              <w:jc w:val="center"/>
              <w:rPr>
                <w:rFonts w:ascii="Times New Roman" w:hAnsi="Times New Roman" w:eastAsia="宋体" w:cs="Times New Roman"/>
                <w:color w:val="auto"/>
                <w:kern w:val="2"/>
                <w:sz w:val="18"/>
                <w:szCs w:val="18"/>
                <w:lang w:val="en-US" w:eastAsia="zh-CN" w:bidi="ar-SA"/>
              </w:rPr>
            </w:pPr>
          </w:p>
        </w:tc>
        <w:tc>
          <w:tcPr>
            <w:tcW w:w="531" w:type="pct"/>
            <w:tcBorders>
              <w:tl2br w:val="nil"/>
              <w:tr2bl w:val="nil"/>
            </w:tcBorders>
            <w:noWrap w:val="0"/>
            <w:vAlign w:val="center"/>
          </w:tcPr>
          <w:p w14:paraId="2E5FBBC0">
            <w:pPr>
              <w:jc w:val="center"/>
              <w:rPr>
                <w:rFonts w:ascii="Times New Roman" w:hAnsi="Times New Roman" w:eastAsia="宋体" w:cs="Times New Roman"/>
                <w:color w:val="auto"/>
                <w:kern w:val="2"/>
                <w:sz w:val="18"/>
                <w:szCs w:val="18"/>
                <w:lang w:val="en-US" w:eastAsia="zh-CN" w:bidi="ar-SA"/>
              </w:rPr>
            </w:pPr>
          </w:p>
        </w:tc>
        <w:tc>
          <w:tcPr>
            <w:tcW w:w="566" w:type="pct"/>
            <w:tcBorders>
              <w:tl2br w:val="nil"/>
              <w:tr2bl w:val="nil"/>
            </w:tcBorders>
            <w:noWrap w:val="0"/>
            <w:vAlign w:val="center"/>
          </w:tcPr>
          <w:p w14:paraId="31E12327">
            <w:pPr>
              <w:jc w:val="center"/>
              <w:rPr>
                <w:rFonts w:ascii="Times New Roman" w:hAnsi="Times New Roman" w:eastAsia="宋体" w:cs="Times New Roman"/>
                <w:color w:val="auto"/>
                <w:kern w:val="2"/>
                <w:sz w:val="18"/>
                <w:szCs w:val="18"/>
                <w:lang w:val="en-US" w:eastAsia="zh-CN" w:bidi="ar-SA"/>
              </w:rPr>
            </w:pPr>
          </w:p>
        </w:tc>
      </w:tr>
      <w:tr w14:paraId="177153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1119" w:type="pct"/>
            <w:tcBorders>
              <w:tl2br w:val="nil"/>
              <w:tr2bl w:val="nil"/>
            </w:tcBorders>
            <w:noWrap w:val="0"/>
            <w:vAlign w:val="center"/>
          </w:tcPr>
          <w:p w14:paraId="71CB01D8">
            <w:pPr>
              <w:jc w:val="center"/>
              <w:rPr>
                <w:rFonts w:hint="default"/>
                <w:color w:val="auto"/>
                <w:sz w:val="18"/>
                <w:szCs w:val="18"/>
                <w:lang w:val="en-US" w:eastAsia="zh-CN"/>
              </w:rPr>
            </w:pPr>
            <w:r>
              <w:rPr>
                <w:rFonts w:hint="eastAsia"/>
                <w:color w:val="auto"/>
                <w:sz w:val="18"/>
                <w:szCs w:val="18"/>
                <w:lang w:val="en-US" w:eastAsia="zh-CN"/>
              </w:rPr>
              <w:t>铜</w:t>
            </w:r>
            <w:r>
              <w:rPr>
                <w:rFonts w:hint="eastAsia"/>
                <w:color w:val="auto"/>
                <w:sz w:val="18"/>
                <w:szCs w:val="18"/>
              </w:rPr>
              <w:t>（mg/L）</w:t>
            </w:r>
          </w:p>
        </w:tc>
        <w:tc>
          <w:tcPr>
            <w:tcW w:w="530" w:type="pct"/>
            <w:tcBorders>
              <w:tl2br w:val="nil"/>
              <w:tr2bl w:val="nil"/>
            </w:tcBorders>
            <w:noWrap w:val="0"/>
            <w:vAlign w:val="center"/>
          </w:tcPr>
          <w:p w14:paraId="6C6A8D34">
            <w:pPr>
              <w:jc w:val="center"/>
              <w:rPr>
                <w:rFonts w:hint="default" w:eastAsia="宋体"/>
                <w:color w:val="auto"/>
                <w:sz w:val="18"/>
                <w:szCs w:val="18"/>
                <w:lang w:val="en-US" w:eastAsia="zh-CN"/>
              </w:rPr>
            </w:pPr>
            <w:r>
              <w:rPr>
                <w:rFonts w:hint="eastAsia"/>
                <w:color w:val="auto"/>
                <w:sz w:val="18"/>
                <w:szCs w:val="18"/>
                <w:lang w:val="en-US" w:eastAsia="zh-CN"/>
              </w:rPr>
              <w:t>1.0</w:t>
            </w:r>
          </w:p>
        </w:tc>
        <w:tc>
          <w:tcPr>
            <w:tcW w:w="534" w:type="pct"/>
            <w:tcBorders>
              <w:tl2br w:val="nil"/>
              <w:tr2bl w:val="nil"/>
            </w:tcBorders>
            <w:noWrap w:val="0"/>
            <w:vAlign w:val="center"/>
          </w:tcPr>
          <w:p w14:paraId="5FBC3190">
            <w:pPr>
              <w:jc w:val="center"/>
              <w:rPr>
                <w:rFonts w:hint="eastAsia"/>
                <w:color w:val="auto"/>
                <w:sz w:val="18"/>
                <w:szCs w:val="18"/>
                <w:lang w:val="en-US" w:eastAsia="zh-CN"/>
              </w:rPr>
            </w:pPr>
          </w:p>
        </w:tc>
        <w:tc>
          <w:tcPr>
            <w:tcW w:w="471" w:type="pct"/>
            <w:tcBorders>
              <w:tl2br w:val="nil"/>
              <w:tr2bl w:val="nil"/>
            </w:tcBorders>
            <w:noWrap w:val="0"/>
            <w:vAlign w:val="center"/>
          </w:tcPr>
          <w:p w14:paraId="05AAA6DA">
            <w:pPr>
              <w:jc w:val="center"/>
              <w:rPr>
                <w:color w:val="auto"/>
                <w:sz w:val="18"/>
                <w:szCs w:val="18"/>
              </w:rPr>
            </w:pPr>
          </w:p>
        </w:tc>
        <w:tc>
          <w:tcPr>
            <w:tcW w:w="622" w:type="pct"/>
            <w:tcBorders>
              <w:tl2br w:val="nil"/>
              <w:tr2bl w:val="nil"/>
            </w:tcBorders>
            <w:noWrap w:val="0"/>
            <w:vAlign w:val="center"/>
          </w:tcPr>
          <w:p w14:paraId="0D609529">
            <w:pPr>
              <w:jc w:val="center"/>
              <w:rPr>
                <w:rFonts w:ascii="Times New Roman" w:hAnsi="Times New Roman" w:eastAsia="宋体" w:cs="Times New Roman"/>
                <w:color w:val="auto"/>
                <w:kern w:val="2"/>
                <w:sz w:val="18"/>
                <w:szCs w:val="18"/>
                <w:lang w:val="en-US" w:eastAsia="zh-CN" w:bidi="ar-SA"/>
              </w:rPr>
            </w:pPr>
          </w:p>
        </w:tc>
        <w:tc>
          <w:tcPr>
            <w:tcW w:w="623" w:type="pct"/>
            <w:tcBorders>
              <w:tl2br w:val="nil"/>
              <w:tr2bl w:val="nil"/>
            </w:tcBorders>
            <w:noWrap w:val="0"/>
            <w:vAlign w:val="center"/>
          </w:tcPr>
          <w:p w14:paraId="0A683387">
            <w:pPr>
              <w:jc w:val="center"/>
              <w:rPr>
                <w:rFonts w:ascii="Times New Roman" w:hAnsi="Times New Roman" w:eastAsia="宋体" w:cs="Times New Roman"/>
                <w:color w:val="auto"/>
                <w:kern w:val="2"/>
                <w:sz w:val="18"/>
                <w:szCs w:val="18"/>
                <w:lang w:val="en-US" w:eastAsia="zh-CN" w:bidi="ar-SA"/>
              </w:rPr>
            </w:pPr>
          </w:p>
        </w:tc>
        <w:tc>
          <w:tcPr>
            <w:tcW w:w="531" w:type="pct"/>
            <w:tcBorders>
              <w:tl2br w:val="nil"/>
              <w:tr2bl w:val="nil"/>
            </w:tcBorders>
            <w:noWrap w:val="0"/>
            <w:vAlign w:val="center"/>
          </w:tcPr>
          <w:p w14:paraId="25564E7C">
            <w:pPr>
              <w:jc w:val="center"/>
              <w:rPr>
                <w:rFonts w:ascii="Times New Roman" w:hAnsi="Times New Roman" w:eastAsia="宋体" w:cs="Times New Roman"/>
                <w:color w:val="auto"/>
                <w:kern w:val="2"/>
                <w:sz w:val="18"/>
                <w:szCs w:val="18"/>
                <w:lang w:val="en-US" w:eastAsia="zh-CN" w:bidi="ar-SA"/>
              </w:rPr>
            </w:pPr>
          </w:p>
        </w:tc>
        <w:tc>
          <w:tcPr>
            <w:tcW w:w="566" w:type="pct"/>
            <w:tcBorders>
              <w:tl2br w:val="nil"/>
              <w:tr2bl w:val="nil"/>
            </w:tcBorders>
            <w:noWrap w:val="0"/>
            <w:vAlign w:val="center"/>
          </w:tcPr>
          <w:p w14:paraId="72C3D9CC">
            <w:pPr>
              <w:jc w:val="center"/>
              <w:rPr>
                <w:rFonts w:ascii="Times New Roman" w:hAnsi="Times New Roman" w:eastAsia="宋体" w:cs="Times New Roman"/>
                <w:color w:val="auto"/>
                <w:kern w:val="2"/>
                <w:sz w:val="18"/>
                <w:szCs w:val="18"/>
                <w:lang w:val="en-US" w:eastAsia="zh-CN" w:bidi="ar-SA"/>
              </w:rPr>
            </w:pPr>
          </w:p>
        </w:tc>
      </w:tr>
      <w:tr w14:paraId="5244B9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1119" w:type="pct"/>
            <w:tcBorders>
              <w:tl2br w:val="nil"/>
              <w:tr2bl w:val="nil"/>
            </w:tcBorders>
            <w:noWrap w:val="0"/>
            <w:vAlign w:val="center"/>
          </w:tcPr>
          <w:p w14:paraId="52171884">
            <w:pPr>
              <w:jc w:val="center"/>
              <w:rPr>
                <w:rFonts w:hint="default"/>
                <w:color w:val="auto"/>
                <w:sz w:val="18"/>
                <w:szCs w:val="18"/>
                <w:lang w:val="en-US" w:eastAsia="zh-CN"/>
              </w:rPr>
            </w:pPr>
            <w:r>
              <w:rPr>
                <w:rFonts w:hint="eastAsia"/>
                <w:color w:val="auto"/>
                <w:sz w:val="18"/>
                <w:szCs w:val="18"/>
                <w:lang w:val="en-US" w:eastAsia="zh-CN"/>
              </w:rPr>
              <w:t>锌</w:t>
            </w:r>
            <w:r>
              <w:rPr>
                <w:rFonts w:hint="eastAsia"/>
                <w:color w:val="auto"/>
                <w:sz w:val="18"/>
                <w:szCs w:val="18"/>
              </w:rPr>
              <w:t>（mg/L）</w:t>
            </w:r>
          </w:p>
        </w:tc>
        <w:tc>
          <w:tcPr>
            <w:tcW w:w="530" w:type="pct"/>
            <w:tcBorders>
              <w:tl2br w:val="nil"/>
              <w:tr2bl w:val="nil"/>
            </w:tcBorders>
            <w:noWrap w:val="0"/>
            <w:vAlign w:val="center"/>
          </w:tcPr>
          <w:p w14:paraId="14E7F3C4">
            <w:pPr>
              <w:jc w:val="center"/>
              <w:rPr>
                <w:rFonts w:hint="default" w:eastAsia="宋体"/>
                <w:color w:val="auto"/>
                <w:sz w:val="18"/>
                <w:szCs w:val="18"/>
                <w:lang w:val="en-US" w:eastAsia="zh-CN"/>
              </w:rPr>
            </w:pPr>
            <w:r>
              <w:rPr>
                <w:rFonts w:hint="eastAsia"/>
                <w:color w:val="auto"/>
                <w:sz w:val="18"/>
                <w:szCs w:val="18"/>
                <w:lang w:val="en-US" w:eastAsia="zh-CN"/>
              </w:rPr>
              <w:t>1.0</w:t>
            </w:r>
          </w:p>
        </w:tc>
        <w:tc>
          <w:tcPr>
            <w:tcW w:w="534" w:type="pct"/>
            <w:tcBorders>
              <w:tl2br w:val="nil"/>
              <w:tr2bl w:val="nil"/>
            </w:tcBorders>
            <w:noWrap w:val="0"/>
            <w:vAlign w:val="center"/>
          </w:tcPr>
          <w:p w14:paraId="1A898E16">
            <w:pPr>
              <w:jc w:val="center"/>
              <w:rPr>
                <w:rFonts w:hint="default"/>
                <w:color w:val="auto"/>
                <w:sz w:val="18"/>
                <w:szCs w:val="18"/>
                <w:lang w:val="en-US" w:eastAsia="zh-CN"/>
              </w:rPr>
            </w:pPr>
          </w:p>
        </w:tc>
        <w:tc>
          <w:tcPr>
            <w:tcW w:w="471" w:type="pct"/>
            <w:tcBorders>
              <w:tl2br w:val="nil"/>
              <w:tr2bl w:val="nil"/>
            </w:tcBorders>
            <w:noWrap w:val="0"/>
            <w:vAlign w:val="center"/>
          </w:tcPr>
          <w:p w14:paraId="21888C93">
            <w:pPr>
              <w:jc w:val="center"/>
              <w:rPr>
                <w:color w:val="auto"/>
                <w:sz w:val="18"/>
                <w:szCs w:val="18"/>
              </w:rPr>
            </w:pPr>
          </w:p>
        </w:tc>
        <w:tc>
          <w:tcPr>
            <w:tcW w:w="622" w:type="pct"/>
            <w:tcBorders>
              <w:tl2br w:val="nil"/>
              <w:tr2bl w:val="nil"/>
            </w:tcBorders>
            <w:noWrap w:val="0"/>
            <w:vAlign w:val="center"/>
          </w:tcPr>
          <w:p w14:paraId="7A7FB0A9">
            <w:pPr>
              <w:jc w:val="center"/>
              <w:rPr>
                <w:rFonts w:ascii="Times New Roman" w:hAnsi="Times New Roman" w:eastAsia="宋体" w:cs="Times New Roman"/>
                <w:color w:val="auto"/>
                <w:kern w:val="2"/>
                <w:sz w:val="18"/>
                <w:szCs w:val="18"/>
                <w:lang w:val="en-US" w:eastAsia="zh-CN" w:bidi="ar-SA"/>
              </w:rPr>
            </w:pPr>
          </w:p>
        </w:tc>
        <w:tc>
          <w:tcPr>
            <w:tcW w:w="623" w:type="pct"/>
            <w:tcBorders>
              <w:tl2br w:val="nil"/>
              <w:tr2bl w:val="nil"/>
            </w:tcBorders>
            <w:noWrap w:val="0"/>
            <w:vAlign w:val="center"/>
          </w:tcPr>
          <w:p w14:paraId="1066E889">
            <w:pPr>
              <w:jc w:val="center"/>
              <w:rPr>
                <w:rFonts w:ascii="Times New Roman" w:hAnsi="Times New Roman" w:eastAsia="宋体" w:cs="Times New Roman"/>
                <w:color w:val="auto"/>
                <w:kern w:val="2"/>
                <w:sz w:val="18"/>
                <w:szCs w:val="18"/>
                <w:lang w:val="en-US" w:eastAsia="zh-CN" w:bidi="ar-SA"/>
              </w:rPr>
            </w:pPr>
          </w:p>
        </w:tc>
        <w:tc>
          <w:tcPr>
            <w:tcW w:w="531" w:type="pct"/>
            <w:tcBorders>
              <w:tl2br w:val="nil"/>
              <w:tr2bl w:val="nil"/>
            </w:tcBorders>
            <w:noWrap w:val="0"/>
            <w:vAlign w:val="center"/>
          </w:tcPr>
          <w:p w14:paraId="0D548B30">
            <w:pPr>
              <w:jc w:val="center"/>
              <w:rPr>
                <w:rFonts w:ascii="Times New Roman" w:hAnsi="Times New Roman" w:eastAsia="宋体" w:cs="Times New Roman"/>
                <w:color w:val="auto"/>
                <w:kern w:val="2"/>
                <w:sz w:val="18"/>
                <w:szCs w:val="18"/>
                <w:lang w:val="en-US" w:eastAsia="zh-CN" w:bidi="ar-SA"/>
              </w:rPr>
            </w:pPr>
          </w:p>
        </w:tc>
        <w:tc>
          <w:tcPr>
            <w:tcW w:w="566" w:type="pct"/>
            <w:tcBorders>
              <w:tl2br w:val="nil"/>
              <w:tr2bl w:val="nil"/>
            </w:tcBorders>
            <w:noWrap w:val="0"/>
            <w:vAlign w:val="center"/>
          </w:tcPr>
          <w:p w14:paraId="0BAD037E">
            <w:pPr>
              <w:jc w:val="center"/>
              <w:rPr>
                <w:rFonts w:ascii="Times New Roman" w:hAnsi="Times New Roman" w:eastAsia="宋体" w:cs="Times New Roman"/>
                <w:color w:val="auto"/>
                <w:kern w:val="2"/>
                <w:sz w:val="18"/>
                <w:szCs w:val="18"/>
                <w:lang w:val="en-US" w:eastAsia="zh-CN" w:bidi="ar-SA"/>
              </w:rPr>
            </w:pPr>
          </w:p>
        </w:tc>
      </w:tr>
      <w:tr w14:paraId="0E8BF5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1119" w:type="pct"/>
            <w:tcBorders>
              <w:tl2br w:val="nil"/>
              <w:tr2bl w:val="nil"/>
            </w:tcBorders>
            <w:noWrap w:val="0"/>
            <w:vAlign w:val="center"/>
          </w:tcPr>
          <w:p w14:paraId="159E4AD5">
            <w:pPr>
              <w:jc w:val="center"/>
              <w:rPr>
                <w:rFonts w:hint="default"/>
                <w:color w:val="auto"/>
                <w:sz w:val="18"/>
                <w:szCs w:val="18"/>
                <w:lang w:val="en-US" w:eastAsia="zh-CN"/>
              </w:rPr>
            </w:pPr>
            <w:r>
              <w:rPr>
                <w:rFonts w:hint="eastAsia"/>
                <w:color w:val="auto"/>
                <w:sz w:val="18"/>
                <w:szCs w:val="18"/>
                <w:lang w:val="en-US" w:eastAsia="zh-CN"/>
              </w:rPr>
              <w:t>铝（µg/L）</w:t>
            </w:r>
          </w:p>
        </w:tc>
        <w:tc>
          <w:tcPr>
            <w:tcW w:w="530" w:type="pct"/>
            <w:tcBorders>
              <w:tl2br w:val="nil"/>
              <w:tr2bl w:val="nil"/>
            </w:tcBorders>
            <w:noWrap w:val="0"/>
            <w:vAlign w:val="center"/>
          </w:tcPr>
          <w:p w14:paraId="5312C4BA">
            <w:pPr>
              <w:jc w:val="center"/>
              <w:rPr>
                <w:rFonts w:hint="default" w:eastAsia="宋体"/>
                <w:color w:val="auto"/>
                <w:sz w:val="18"/>
                <w:szCs w:val="18"/>
                <w:lang w:val="en-US" w:eastAsia="zh-CN"/>
              </w:rPr>
            </w:pPr>
            <w:r>
              <w:rPr>
                <w:rFonts w:hint="eastAsia"/>
                <w:color w:val="auto"/>
                <w:sz w:val="18"/>
                <w:szCs w:val="18"/>
                <w:lang w:val="en-US" w:eastAsia="zh-CN"/>
              </w:rPr>
              <w:t>0.2</w:t>
            </w:r>
          </w:p>
        </w:tc>
        <w:tc>
          <w:tcPr>
            <w:tcW w:w="534" w:type="pct"/>
            <w:tcBorders>
              <w:tl2br w:val="nil"/>
              <w:tr2bl w:val="nil"/>
            </w:tcBorders>
            <w:noWrap w:val="0"/>
            <w:vAlign w:val="center"/>
          </w:tcPr>
          <w:p w14:paraId="5231B7E0">
            <w:pPr>
              <w:jc w:val="center"/>
              <w:rPr>
                <w:rFonts w:hint="eastAsia"/>
                <w:color w:val="auto"/>
                <w:sz w:val="18"/>
                <w:szCs w:val="18"/>
                <w:lang w:val="en-US" w:eastAsia="zh-CN"/>
              </w:rPr>
            </w:pPr>
          </w:p>
        </w:tc>
        <w:tc>
          <w:tcPr>
            <w:tcW w:w="471" w:type="pct"/>
            <w:tcBorders>
              <w:tl2br w:val="nil"/>
              <w:tr2bl w:val="nil"/>
            </w:tcBorders>
            <w:noWrap w:val="0"/>
            <w:vAlign w:val="center"/>
          </w:tcPr>
          <w:p w14:paraId="55B43650">
            <w:pPr>
              <w:jc w:val="center"/>
              <w:rPr>
                <w:rFonts w:hint="eastAsia" w:eastAsia="宋体"/>
                <w:color w:val="auto"/>
                <w:sz w:val="18"/>
                <w:szCs w:val="18"/>
                <w:lang w:val="en-US" w:eastAsia="zh-CN"/>
              </w:rPr>
            </w:pPr>
          </w:p>
        </w:tc>
        <w:tc>
          <w:tcPr>
            <w:tcW w:w="622" w:type="pct"/>
            <w:tcBorders>
              <w:tl2br w:val="nil"/>
              <w:tr2bl w:val="nil"/>
            </w:tcBorders>
            <w:noWrap w:val="0"/>
            <w:vAlign w:val="center"/>
          </w:tcPr>
          <w:p w14:paraId="5DD6CC20">
            <w:pPr>
              <w:jc w:val="center"/>
              <w:rPr>
                <w:rFonts w:hint="eastAsia" w:ascii="Times New Roman" w:hAnsi="Times New Roman" w:eastAsia="宋体" w:cs="Times New Roman"/>
                <w:color w:val="auto"/>
                <w:kern w:val="2"/>
                <w:sz w:val="18"/>
                <w:szCs w:val="18"/>
                <w:lang w:val="en-US" w:eastAsia="zh-CN" w:bidi="ar-SA"/>
              </w:rPr>
            </w:pPr>
          </w:p>
        </w:tc>
        <w:tc>
          <w:tcPr>
            <w:tcW w:w="623" w:type="pct"/>
            <w:tcBorders>
              <w:tl2br w:val="nil"/>
              <w:tr2bl w:val="nil"/>
            </w:tcBorders>
            <w:noWrap w:val="0"/>
            <w:vAlign w:val="center"/>
          </w:tcPr>
          <w:p w14:paraId="350B4550">
            <w:pPr>
              <w:jc w:val="center"/>
              <w:rPr>
                <w:rFonts w:hint="eastAsia" w:ascii="Times New Roman" w:hAnsi="Times New Roman" w:eastAsia="宋体" w:cs="Times New Roman"/>
                <w:color w:val="auto"/>
                <w:kern w:val="2"/>
                <w:sz w:val="18"/>
                <w:szCs w:val="18"/>
                <w:lang w:val="en-US" w:eastAsia="zh-CN" w:bidi="ar-SA"/>
              </w:rPr>
            </w:pPr>
          </w:p>
        </w:tc>
        <w:tc>
          <w:tcPr>
            <w:tcW w:w="531" w:type="pct"/>
            <w:tcBorders>
              <w:tl2br w:val="nil"/>
              <w:tr2bl w:val="nil"/>
            </w:tcBorders>
            <w:noWrap w:val="0"/>
            <w:vAlign w:val="center"/>
          </w:tcPr>
          <w:p w14:paraId="430BA339">
            <w:pPr>
              <w:jc w:val="center"/>
              <w:rPr>
                <w:rFonts w:hint="eastAsia" w:ascii="Times New Roman" w:hAnsi="Times New Roman" w:eastAsia="宋体" w:cs="Times New Roman"/>
                <w:color w:val="auto"/>
                <w:kern w:val="2"/>
                <w:sz w:val="18"/>
                <w:szCs w:val="18"/>
                <w:lang w:val="en-US" w:eastAsia="zh-CN" w:bidi="ar-SA"/>
              </w:rPr>
            </w:pPr>
          </w:p>
        </w:tc>
        <w:tc>
          <w:tcPr>
            <w:tcW w:w="566" w:type="pct"/>
            <w:tcBorders>
              <w:tl2br w:val="nil"/>
              <w:tr2bl w:val="nil"/>
            </w:tcBorders>
            <w:noWrap w:val="0"/>
            <w:vAlign w:val="center"/>
          </w:tcPr>
          <w:p w14:paraId="0C038841">
            <w:pPr>
              <w:jc w:val="center"/>
              <w:rPr>
                <w:rFonts w:hint="eastAsia" w:ascii="Times New Roman" w:hAnsi="Times New Roman" w:eastAsia="宋体" w:cs="Times New Roman"/>
                <w:color w:val="auto"/>
                <w:kern w:val="2"/>
                <w:sz w:val="18"/>
                <w:szCs w:val="18"/>
                <w:lang w:val="en-US" w:eastAsia="zh-CN" w:bidi="ar-SA"/>
              </w:rPr>
            </w:pPr>
          </w:p>
        </w:tc>
      </w:tr>
      <w:tr w14:paraId="5E2FE6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1119" w:type="pct"/>
            <w:tcBorders>
              <w:tl2br w:val="nil"/>
              <w:tr2bl w:val="nil"/>
            </w:tcBorders>
            <w:noWrap w:val="0"/>
            <w:vAlign w:val="center"/>
          </w:tcPr>
          <w:p w14:paraId="6ECC6F62">
            <w:pPr>
              <w:jc w:val="center"/>
              <w:rPr>
                <w:rFonts w:hint="eastAsia"/>
                <w:color w:val="auto"/>
                <w:sz w:val="18"/>
                <w:szCs w:val="18"/>
                <w:highlight w:val="none"/>
                <w:lang w:val="en-US" w:eastAsia="zh-CN"/>
              </w:rPr>
            </w:pPr>
            <w:r>
              <w:rPr>
                <w:rFonts w:hint="eastAsia"/>
                <w:color w:val="auto"/>
                <w:sz w:val="18"/>
                <w:szCs w:val="18"/>
                <w:highlight w:val="none"/>
                <w:lang w:val="en-US" w:eastAsia="zh-CN"/>
              </w:rPr>
              <w:t>三氯甲烷（µg/L）</w:t>
            </w:r>
          </w:p>
        </w:tc>
        <w:tc>
          <w:tcPr>
            <w:tcW w:w="530" w:type="pct"/>
            <w:tcBorders>
              <w:tl2br w:val="nil"/>
              <w:tr2bl w:val="nil"/>
            </w:tcBorders>
            <w:noWrap w:val="0"/>
            <w:vAlign w:val="center"/>
          </w:tcPr>
          <w:p w14:paraId="4052530E">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60</w:t>
            </w:r>
          </w:p>
        </w:tc>
        <w:tc>
          <w:tcPr>
            <w:tcW w:w="534" w:type="pct"/>
            <w:tcBorders>
              <w:tl2br w:val="nil"/>
              <w:tr2bl w:val="nil"/>
            </w:tcBorders>
            <w:noWrap w:val="0"/>
            <w:vAlign w:val="center"/>
          </w:tcPr>
          <w:p w14:paraId="214A146D">
            <w:pPr>
              <w:jc w:val="center"/>
              <w:rPr>
                <w:rFonts w:hint="default"/>
                <w:color w:val="auto"/>
                <w:sz w:val="18"/>
                <w:szCs w:val="18"/>
                <w:highlight w:val="none"/>
                <w:lang w:val="en-US" w:eastAsia="zh-CN"/>
              </w:rPr>
            </w:pPr>
          </w:p>
        </w:tc>
        <w:tc>
          <w:tcPr>
            <w:tcW w:w="471" w:type="pct"/>
            <w:tcBorders>
              <w:tl2br w:val="nil"/>
              <w:tr2bl w:val="nil"/>
            </w:tcBorders>
            <w:noWrap w:val="0"/>
            <w:vAlign w:val="center"/>
          </w:tcPr>
          <w:p w14:paraId="76CAC3EA">
            <w:pPr>
              <w:jc w:val="center"/>
              <w:rPr>
                <w:rFonts w:hint="eastAsia" w:ascii="Times New Roman" w:hAnsi="Times New Roman" w:eastAsia="宋体" w:cs="Times New Roman"/>
                <w:color w:val="auto"/>
                <w:kern w:val="2"/>
                <w:sz w:val="18"/>
                <w:szCs w:val="18"/>
                <w:lang w:val="en-US" w:eastAsia="zh-CN" w:bidi="ar-SA"/>
              </w:rPr>
            </w:pPr>
          </w:p>
        </w:tc>
        <w:tc>
          <w:tcPr>
            <w:tcW w:w="622" w:type="pct"/>
            <w:tcBorders>
              <w:tl2br w:val="nil"/>
              <w:tr2bl w:val="nil"/>
            </w:tcBorders>
            <w:noWrap w:val="0"/>
            <w:vAlign w:val="center"/>
          </w:tcPr>
          <w:p w14:paraId="30B7F023">
            <w:pPr>
              <w:jc w:val="center"/>
              <w:rPr>
                <w:rFonts w:hint="eastAsia" w:ascii="Times New Roman" w:hAnsi="Times New Roman" w:eastAsia="宋体" w:cs="Times New Roman"/>
                <w:color w:val="auto"/>
                <w:kern w:val="2"/>
                <w:sz w:val="18"/>
                <w:szCs w:val="18"/>
                <w:lang w:val="en-US" w:eastAsia="zh-CN" w:bidi="ar-SA"/>
              </w:rPr>
            </w:pPr>
          </w:p>
        </w:tc>
        <w:tc>
          <w:tcPr>
            <w:tcW w:w="623" w:type="pct"/>
            <w:tcBorders>
              <w:tl2br w:val="nil"/>
              <w:tr2bl w:val="nil"/>
            </w:tcBorders>
            <w:noWrap w:val="0"/>
            <w:vAlign w:val="center"/>
          </w:tcPr>
          <w:p w14:paraId="0AC12833">
            <w:pPr>
              <w:jc w:val="center"/>
              <w:rPr>
                <w:rFonts w:hint="eastAsia" w:ascii="Times New Roman" w:hAnsi="Times New Roman" w:eastAsia="宋体" w:cs="Times New Roman"/>
                <w:color w:val="auto"/>
                <w:kern w:val="2"/>
                <w:sz w:val="18"/>
                <w:szCs w:val="18"/>
                <w:lang w:val="en-US" w:eastAsia="zh-CN" w:bidi="ar-SA"/>
              </w:rPr>
            </w:pPr>
          </w:p>
        </w:tc>
        <w:tc>
          <w:tcPr>
            <w:tcW w:w="531" w:type="pct"/>
            <w:tcBorders>
              <w:tl2br w:val="nil"/>
              <w:tr2bl w:val="nil"/>
            </w:tcBorders>
            <w:noWrap w:val="0"/>
            <w:vAlign w:val="center"/>
          </w:tcPr>
          <w:p w14:paraId="31DF3159">
            <w:pPr>
              <w:jc w:val="center"/>
              <w:rPr>
                <w:rFonts w:hint="eastAsia" w:ascii="Times New Roman" w:hAnsi="Times New Roman" w:eastAsia="宋体" w:cs="Times New Roman"/>
                <w:color w:val="auto"/>
                <w:kern w:val="2"/>
                <w:sz w:val="18"/>
                <w:szCs w:val="18"/>
                <w:lang w:val="en-US" w:eastAsia="zh-CN" w:bidi="ar-SA"/>
              </w:rPr>
            </w:pPr>
          </w:p>
        </w:tc>
        <w:tc>
          <w:tcPr>
            <w:tcW w:w="566" w:type="pct"/>
            <w:tcBorders>
              <w:tl2br w:val="nil"/>
              <w:tr2bl w:val="nil"/>
            </w:tcBorders>
            <w:noWrap w:val="0"/>
            <w:vAlign w:val="center"/>
          </w:tcPr>
          <w:p w14:paraId="66DCA67A">
            <w:pPr>
              <w:jc w:val="center"/>
              <w:rPr>
                <w:rFonts w:hint="eastAsia" w:ascii="Times New Roman" w:hAnsi="Times New Roman" w:eastAsia="宋体" w:cs="Times New Roman"/>
                <w:color w:val="auto"/>
                <w:kern w:val="2"/>
                <w:sz w:val="18"/>
                <w:szCs w:val="18"/>
                <w:lang w:val="en-US" w:eastAsia="zh-CN" w:bidi="ar-SA"/>
              </w:rPr>
            </w:pPr>
          </w:p>
        </w:tc>
      </w:tr>
      <w:tr w14:paraId="66E89B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1119" w:type="pct"/>
            <w:tcBorders>
              <w:tl2br w:val="nil"/>
              <w:tr2bl w:val="nil"/>
            </w:tcBorders>
            <w:noWrap w:val="0"/>
            <w:vAlign w:val="center"/>
          </w:tcPr>
          <w:p w14:paraId="749A23CA">
            <w:pPr>
              <w:jc w:val="center"/>
              <w:rPr>
                <w:rFonts w:hint="eastAsia"/>
                <w:color w:val="auto"/>
                <w:sz w:val="18"/>
                <w:szCs w:val="18"/>
                <w:highlight w:val="none"/>
                <w:lang w:val="en-US" w:eastAsia="zh-CN"/>
              </w:rPr>
            </w:pPr>
            <w:r>
              <w:rPr>
                <w:rFonts w:hint="eastAsia"/>
                <w:color w:val="auto"/>
                <w:sz w:val="18"/>
                <w:szCs w:val="18"/>
                <w:highlight w:val="none"/>
                <w:lang w:val="en-US" w:eastAsia="zh-CN"/>
              </w:rPr>
              <w:t>四氯化碳（µg/L）</w:t>
            </w:r>
          </w:p>
        </w:tc>
        <w:tc>
          <w:tcPr>
            <w:tcW w:w="530" w:type="pct"/>
            <w:tcBorders>
              <w:tl2br w:val="nil"/>
              <w:tr2bl w:val="nil"/>
            </w:tcBorders>
            <w:noWrap w:val="0"/>
            <w:vAlign w:val="center"/>
          </w:tcPr>
          <w:p w14:paraId="669E05EA">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2.0</w:t>
            </w:r>
          </w:p>
        </w:tc>
        <w:tc>
          <w:tcPr>
            <w:tcW w:w="534" w:type="pct"/>
            <w:tcBorders>
              <w:tl2br w:val="nil"/>
              <w:tr2bl w:val="nil"/>
            </w:tcBorders>
            <w:noWrap w:val="0"/>
            <w:vAlign w:val="center"/>
          </w:tcPr>
          <w:p w14:paraId="607E08AE">
            <w:pPr>
              <w:jc w:val="center"/>
              <w:rPr>
                <w:rFonts w:hint="default"/>
                <w:color w:val="auto"/>
                <w:sz w:val="18"/>
                <w:szCs w:val="18"/>
                <w:highlight w:val="none"/>
                <w:lang w:val="en-US" w:eastAsia="zh-CN"/>
              </w:rPr>
            </w:pPr>
          </w:p>
        </w:tc>
        <w:tc>
          <w:tcPr>
            <w:tcW w:w="471" w:type="pct"/>
            <w:tcBorders>
              <w:tl2br w:val="nil"/>
              <w:tr2bl w:val="nil"/>
            </w:tcBorders>
            <w:noWrap w:val="0"/>
            <w:vAlign w:val="center"/>
          </w:tcPr>
          <w:p w14:paraId="2C2838D3">
            <w:pPr>
              <w:jc w:val="center"/>
              <w:rPr>
                <w:rFonts w:hint="eastAsia" w:ascii="Times New Roman" w:hAnsi="Times New Roman" w:eastAsia="宋体" w:cs="Times New Roman"/>
                <w:color w:val="auto"/>
                <w:kern w:val="2"/>
                <w:sz w:val="18"/>
                <w:szCs w:val="18"/>
                <w:lang w:val="en-US" w:eastAsia="zh-CN" w:bidi="ar-SA"/>
              </w:rPr>
            </w:pPr>
          </w:p>
        </w:tc>
        <w:tc>
          <w:tcPr>
            <w:tcW w:w="622" w:type="pct"/>
            <w:tcBorders>
              <w:tl2br w:val="nil"/>
              <w:tr2bl w:val="nil"/>
            </w:tcBorders>
            <w:noWrap w:val="0"/>
            <w:vAlign w:val="center"/>
          </w:tcPr>
          <w:p w14:paraId="47F6C12A">
            <w:pPr>
              <w:jc w:val="center"/>
              <w:rPr>
                <w:rFonts w:hint="eastAsia" w:ascii="Times New Roman" w:hAnsi="Times New Roman" w:eastAsia="宋体" w:cs="Times New Roman"/>
                <w:color w:val="auto"/>
                <w:kern w:val="2"/>
                <w:sz w:val="18"/>
                <w:szCs w:val="18"/>
                <w:lang w:val="en-US" w:eastAsia="zh-CN" w:bidi="ar-SA"/>
              </w:rPr>
            </w:pPr>
          </w:p>
        </w:tc>
        <w:tc>
          <w:tcPr>
            <w:tcW w:w="623" w:type="pct"/>
            <w:tcBorders>
              <w:tl2br w:val="nil"/>
              <w:tr2bl w:val="nil"/>
            </w:tcBorders>
            <w:noWrap w:val="0"/>
            <w:vAlign w:val="center"/>
          </w:tcPr>
          <w:p w14:paraId="0F3D2950">
            <w:pPr>
              <w:jc w:val="center"/>
              <w:rPr>
                <w:rFonts w:hint="eastAsia" w:ascii="Times New Roman" w:hAnsi="Times New Roman" w:eastAsia="宋体" w:cs="Times New Roman"/>
                <w:color w:val="auto"/>
                <w:kern w:val="2"/>
                <w:sz w:val="18"/>
                <w:szCs w:val="18"/>
                <w:lang w:val="en-US" w:eastAsia="zh-CN" w:bidi="ar-SA"/>
              </w:rPr>
            </w:pPr>
          </w:p>
        </w:tc>
        <w:tc>
          <w:tcPr>
            <w:tcW w:w="531" w:type="pct"/>
            <w:tcBorders>
              <w:tl2br w:val="nil"/>
              <w:tr2bl w:val="nil"/>
            </w:tcBorders>
            <w:noWrap w:val="0"/>
            <w:vAlign w:val="center"/>
          </w:tcPr>
          <w:p w14:paraId="2285CDDA">
            <w:pPr>
              <w:jc w:val="center"/>
              <w:rPr>
                <w:rFonts w:hint="eastAsia" w:ascii="Times New Roman" w:hAnsi="Times New Roman" w:eastAsia="宋体" w:cs="Times New Roman"/>
                <w:color w:val="auto"/>
                <w:kern w:val="2"/>
                <w:sz w:val="18"/>
                <w:szCs w:val="18"/>
                <w:lang w:val="en-US" w:eastAsia="zh-CN" w:bidi="ar-SA"/>
              </w:rPr>
            </w:pPr>
          </w:p>
        </w:tc>
        <w:tc>
          <w:tcPr>
            <w:tcW w:w="566" w:type="pct"/>
            <w:tcBorders>
              <w:tl2br w:val="nil"/>
              <w:tr2bl w:val="nil"/>
            </w:tcBorders>
            <w:noWrap w:val="0"/>
            <w:vAlign w:val="center"/>
          </w:tcPr>
          <w:p w14:paraId="6995F89A">
            <w:pPr>
              <w:jc w:val="center"/>
              <w:rPr>
                <w:rFonts w:hint="eastAsia" w:ascii="Times New Roman" w:hAnsi="Times New Roman" w:eastAsia="宋体" w:cs="Times New Roman"/>
                <w:color w:val="auto"/>
                <w:kern w:val="2"/>
                <w:sz w:val="18"/>
                <w:szCs w:val="18"/>
                <w:lang w:val="en-US" w:eastAsia="zh-CN" w:bidi="ar-SA"/>
              </w:rPr>
            </w:pPr>
          </w:p>
        </w:tc>
      </w:tr>
      <w:tr w14:paraId="0ADB81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1119" w:type="pct"/>
            <w:tcBorders>
              <w:tl2br w:val="nil"/>
              <w:tr2bl w:val="nil"/>
            </w:tcBorders>
            <w:noWrap w:val="0"/>
            <w:vAlign w:val="center"/>
          </w:tcPr>
          <w:p w14:paraId="2A86859B">
            <w:pPr>
              <w:jc w:val="center"/>
              <w:rPr>
                <w:rFonts w:hint="eastAsia"/>
                <w:color w:val="auto"/>
                <w:sz w:val="18"/>
                <w:szCs w:val="18"/>
                <w:highlight w:val="none"/>
                <w:lang w:val="en-US" w:eastAsia="zh-CN"/>
              </w:rPr>
            </w:pPr>
            <w:r>
              <w:rPr>
                <w:rFonts w:hint="eastAsia"/>
                <w:color w:val="auto"/>
                <w:sz w:val="18"/>
                <w:szCs w:val="18"/>
                <w:highlight w:val="none"/>
                <w:lang w:val="en-US" w:eastAsia="zh-CN"/>
              </w:rPr>
              <w:t>苯（µg/L）</w:t>
            </w:r>
          </w:p>
        </w:tc>
        <w:tc>
          <w:tcPr>
            <w:tcW w:w="530" w:type="pct"/>
            <w:tcBorders>
              <w:tl2br w:val="nil"/>
              <w:tr2bl w:val="nil"/>
            </w:tcBorders>
            <w:noWrap w:val="0"/>
            <w:vAlign w:val="center"/>
          </w:tcPr>
          <w:p w14:paraId="3BBAFD1B">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10</w:t>
            </w:r>
          </w:p>
        </w:tc>
        <w:tc>
          <w:tcPr>
            <w:tcW w:w="534" w:type="pct"/>
            <w:tcBorders>
              <w:tl2br w:val="nil"/>
              <w:tr2bl w:val="nil"/>
            </w:tcBorders>
            <w:noWrap w:val="0"/>
            <w:vAlign w:val="center"/>
          </w:tcPr>
          <w:p w14:paraId="03FCA1BD">
            <w:pPr>
              <w:jc w:val="center"/>
              <w:rPr>
                <w:rFonts w:hint="default"/>
                <w:color w:val="auto"/>
                <w:sz w:val="18"/>
                <w:szCs w:val="18"/>
                <w:highlight w:val="none"/>
                <w:lang w:val="en-US" w:eastAsia="zh-CN"/>
              </w:rPr>
            </w:pPr>
          </w:p>
        </w:tc>
        <w:tc>
          <w:tcPr>
            <w:tcW w:w="471" w:type="pct"/>
            <w:tcBorders>
              <w:tl2br w:val="nil"/>
              <w:tr2bl w:val="nil"/>
            </w:tcBorders>
            <w:noWrap w:val="0"/>
            <w:vAlign w:val="center"/>
          </w:tcPr>
          <w:p w14:paraId="028A4F21">
            <w:pPr>
              <w:jc w:val="center"/>
              <w:rPr>
                <w:rFonts w:hint="eastAsia" w:ascii="Times New Roman" w:hAnsi="Times New Roman" w:eastAsia="宋体" w:cs="Times New Roman"/>
                <w:color w:val="auto"/>
                <w:kern w:val="2"/>
                <w:sz w:val="18"/>
                <w:szCs w:val="18"/>
                <w:lang w:val="en-US" w:eastAsia="zh-CN" w:bidi="ar-SA"/>
              </w:rPr>
            </w:pPr>
          </w:p>
        </w:tc>
        <w:tc>
          <w:tcPr>
            <w:tcW w:w="622" w:type="pct"/>
            <w:tcBorders>
              <w:tl2br w:val="nil"/>
              <w:tr2bl w:val="nil"/>
            </w:tcBorders>
            <w:noWrap w:val="0"/>
            <w:vAlign w:val="center"/>
          </w:tcPr>
          <w:p w14:paraId="58F5E6C8">
            <w:pPr>
              <w:jc w:val="center"/>
              <w:rPr>
                <w:rFonts w:hint="eastAsia" w:ascii="Times New Roman" w:hAnsi="Times New Roman" w:eastAsia="宋体" w:cs="Times New Roman"/>
                <w:color w:val="auto"/>
                <w:kern w:val="2"/>
                <w:sz w:val="18"/>
                <w:szCs w:val="18"/>
                <w:lang w:val="en-US" w:eastAsia="zh-CN" w:bidi="ar-SA"/>
              </w:rPr>
            </w:pPr>
          </w:p>
        </w:tc>
        <w:tc>
          <w:tcPr>
            <w:tcW w:w="623" w:type="pct"/>
            <w:tcBorders>
              <w:tl2br w:val="nil"/>
              <w:tr2bl w:val="nil"/>
            </w:tcBorders>
            <w:noWrap w:val="0"/>
            <w:vAlign w:val="center"/>
          </w:tcPr>
          <w:p w14:paraId="29330DE6">
            <w:pPr>
              <w:jc w:val="center"/>
              <w:rPr>
                <w:rFonts w:hint="eastAsia" w:ascii="Times New Roman" w:hAnsi="Times New Roman" w:eastAsia="宋体" w:cs="Times New Roman"/>
                <w:color w:val="auto"/>
                <w:kern w:val="2"/>
                <w:sz w:val="18"/>
                <w:szCs w:val="18"/>
                <w:lang w:val="en-US" w:eastAsia="zh-CN" w:bidi="ar-SA"/>
              </w:rPr>
            </w:pPr>
          </w:p>
        </w:tc>
        <w:tc>
          <w:tcPr>
            <w:tcW w:w="531" w:type="pct"/>
            <w:tcBorders>
              <w:tl2br w:val="nil"/>
              <w:tr2bl w:val="nil"/>
            </w:tcBorders>
            <w:noWrap w:val="0"/>
            <w:vAlign w:val="center"/>
          </w:tcPr>
          <w:p w14:paraId="12CF6EAE">
            <w:pPr>
              <w:jc w:val="center"/>
              <w:rPr>
                <w:rFonts w:hint="eastAsia" w:ascii="Times New Roman" w:hAnsi="Times New Roman" w:eastAsia="宋体" w:cs="Times New Roman"/>
                <w:color w:val="auto"/>
                <w:kern w:val="2"/>
                <w:sz w:val="18"/>
                <w:szCs w:val="18"/>
                <w:lang w:val="en-US" w:eastAsia="zh-CN" w:bidi="ar-SA"/>
              </w:rPr>
            </w:pPr>
          </w:p>
        </w:tc>
        <w:tc>
          <w:tcPr>
            <w:tcW w:w="566" w:type="pct"/>
            <w:tcBorders>
              <w:tl2br w:val="nil"/>
              <w:tr2bl w:val="nil"/>
            </w:tcBorders>
            <w:noWrap w:val="0"/>
            <w:vAlign w:val="center"/>
          </w:tcPr>
          <w:p w14:paraId="04393F41">
            <w:pPr>
              <w:jc w:val="center"/>
              <w:rPr>
                <w:rFonts w:hint="eastAsia" w:ascii="Times New Roman" w:hAnsi="Times New Roman" w:eastAsia="宋体" w:cs="Times New Roman"/>
                <w:color w:val="auto"/>
                <w:kern w:val="2"/>
                <w:sz w:val="18"/>
                <w:szCs w:val="18"/>
                <w:lang w:val="en-US" w:eastAsia="zh-CN" w:bidi="ar-SA"/>
              </w:rPr>
            </w:pPr>
          </w:p>
        </w:tc>
      </w:tr>
      <w:tr w14:paraId="5B6560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1119" w:type="pct"/>
            <w:tcBorders>
              <w:tl2br w:val="nil"/>
              <w:tr2bl w:val="nil"/>
            </w:tcBorders>
            <w:noWrap w:val="0"/>
            <w:vAlign w:val="center"/>
          </w:tcPr>
          <w:p w14:paraId="7F3105A5">
            <w:pPr>
              <w:jc w:val="center"/>
              <w:rPr>
                <w:rFonts w:hint="eastAsia"/>
                <w:color w:val="auto"/>
                <w:sz w:val="18"/>
                <w:szCs w:val="18"/>
                <w:highlight w:val="none"/>
                <w:lang w:val="en-US" w:eastAsia="zh-CN"/>
              </w:rPr>
            </w:pPr>
            <w:r>
              <w:rPr>
                <w:rFonts w:hint="eastAsia"/>
                <w:color w:val="auto"/>
                <w:sz w:val="18"/>
                <w:szCs w:val="18"/>
                <w:highlight w:val="none"/>
                <w:lang w:val="en-US" w:eastAsia="zh-CN"/>
              </w:rPr>
              <w:t>甲苯（µg/L）</w:t>
            </w:r>
          </w:p>
        </w:tc>
        <w:tc>
          <w:tcPr>
            <w:tcW w:w="530" w:type="pct"/>
            <w:tcBorders>
              <w:tl2br w:val="nil"/>
              <w:tr2bl w:val="nil"/>
            </w:tcBorders>
            <w:noWrap w:val="0"/>
            <w:vAlign w:val="center"/>
          </w:tcPr>
          <w:p w14:paraId="0F7BD36B">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700</w:t>
            </w:r>
          </w:p>
        </w:tc>
        <w:tc>
          <w:tcPr>
            <w:tcW w:w="534" w:type="pct"/>
            <w:tcBorders>
              <w:tl2br w:val="nil"/>
              <w:tr2bl w:val="nil"/>
            </w:tcBorders>
            <w:noWrap w:val="0"/>
            <w:vAlign w:val="center"/>
          </w:tcPr>
          <w:p w14:paraId="090EB75B">
            <w:pPr>
              <w:jc w:val="center"/>
              <w:rPr>
                <w:rFonts w:hint="default"/>
                <w:color w:val="auto"/>
                <w:sz w:val="18"/>
                <w:szCs w:val="18"/>
                <w:highlight w:val="none"/>
                <w:lang w:val="en-US" w:eastAsia="zh-CN"/>
              </w:rPr>
            </w:pPr>
          </w:p>
        </w:tc>
        <w:tc>
          <w:tcPr>
            <w:tcW w:w="471" w:type="pct"/>
            <w:tcBorders>
              <w:tl2br w:val="nil"/>
              <w:tr2bl w:val="nil"/>
            </w:tcBorders>
            <w:noWrap w:val="0"/>
            <w:vAlign w:val="center"/>
          </w:tcPr>
          <w:p w14:paraId="0DA6B72F">
            <w:pPr>
              <w:jc w:val="center"/>
              <w:rPr>
                <w:rFonts w:hint="eastAsia" w:ascii="Times New Roman" w:hAnsi="Times New Roman" w:eastAsia="宋体" w:cs="Times New Roman"/>
                <w:color w:val="auto"/>
                <w:kern w:val="2"/>
                <w:sz w:val="18"/>
                <w:szCs w:val="18"/>
                <w:lang w:val="en-US" w:eastAsia="zh-CN" w:bidi="ar-SA"/>
              </w:rPr>
            </w:pPr>
          </w:p>
        </w:tc>
        <w:tc>
          <w:tcPr>
            <w:tcW w:w="622" w:type="pct"/>
            <w:tcBorders>
              <w:tl2br w:val="nil"/>
              <w:tr2bl w:val="nil"/>
            </w:tcBorders>
            <w:noWrap w:val="0"/>
            <w:vAlign w:val="center"/>
          </w:tcPr>
          <w:p w14:paraId="793382A6">
            <w:pPr>
              <w:jc w:val="center"/>
              <w:rPr>
                <w:rFonts w:hint="eastAsia" w:ascii="Times New Roman" w:hAnsi="Times New Roman" w:eastAsia="宋体" w:cs="Times New Roman"/>
                <w:color w:val="auto"/>
                <w:kern w:val="2"/>
                <w:sz w:val="18"/>
                <w:szCs w:val="18"/>
                <w:lang w:val="en-US" w:eastAsia="zh-CN" w:bidi="ar-SA"/>
              </w:rPr>
            </w:pPr>
          </w:p>
        </w:tc>
        <w:tc>
          <w:tcPr>
            <w:tcW w:w="623" w:type="pct"/>
            <w:tcBorders>
              <w:tl2br w:val="nil"/>
              <w:tr2bl w:val="nil"/>
            </w:tcBorders>
            <w:noWrap w:val="0"/>
            <w:vAlign w:val="center"/>
          </w:tcPr>
          <w:p w14:paraId="17EB1339">
            <w:pPr>
              <w:jc w:val="center"/>
              <w:rPr>
                <w:rFonts w:hint="eastAsia" w:ascii="Times New Roman" w:hAnsi="Times New Roman" w:eastAsia="宋体" w:cs="Times New Roman"/>
                <w:color w:val="auto"/>
                <w:kern w:val="2"/>
                <w:sz w:val="18"/>
                <w:szCs w:val="18"/>
                <w:lang w:val="en-US" w:eastAsia="zh-CN" w:bidi="ar-SA"/>
              </w:rPr>
            </w:pPr>
          </w:p>
        </w:tc>
        <w:tc>
          <w:tcPr>
            <w:tcW w:w="531" w:type="pct"/>
            <w:tcBorders>
              <w:tl2br w:val="nil"/>
              <w:tr2bl w:val="nil"/>
            </w:tcBorders>
            <w:noWrap w:val="0"/>
            <w:vAlign w:val="center"/>
          </w:tcPr>
          <w:p w14:paraId="6E6E4924">
            <w:pPr>
              <w:jc w:val="center"/>
              <w:rPr>
                <w:rFonts w:hint="eastAsia" w:ascii="Times New Roman" w:hAnsi="Times New Roman" w:eastAsia="宋体" w:cs="Times New Roman"/>
                <w:color w:val="auto"/>
                <w:kern w:val="2"/>
                <w:sz w:val="18"/>
                <w:szCs w:val="18"/>
                <w:lang w:val="en-US" w:eastAsia="zh-CN" w:bidi="ar-SA"/>
              </w:rPr>
            </w:pPr>
          </w:p>
        </w:tc>
        <w:tc>
          <w:tcPr>
            <w:tcW w:w="566" w:type="pct"/>
            <w:tcBorders>
              <w:tl2br w:val="nil"/>
              <w:tr2bl w:val="nil"/>
            </w:tcBorders>
            <w:noWrap w:val="0"/>
            <w:vAlign w:val="center"/>
          </w:tcPr>
          <w:p w14:paraId="17BB17BB">
            <w:pPr>
              <w:jc w:val="center"/>
              <w:rPr>
                <w:rFonts w:hint="eastAsia" w:ascii="Times New Roman" w:hAnsi="Times New Roman" w:eastAsia="宋体" w:cs="Times New Roman"/>
                <w:color w:val="auto"/>
                <w:kern w:val="2"/>
                <w:sz w:val="18"/>
                <w:szCs w:val="18"/>
                <w:lang w:val="en-US" w:eastAsia="zh-CN" w:bidi="ar-SA"/>
              </w:rPr>
            </w:pPr>
          </w:p>
        </w:tc>
      </w:tr>
      <w:tr w14:paraId="713EA9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1119" w:type="pct"/>
            <w:tcBorders>
              <w:tl2br w:val="nil"/>
              <w:tr2bl w:val="nil"/>
            </w:tcBorders>
            <w:noWrap w:val="0"/>
            <w:vAlign w:val="center"/>
          </w:tcPr>
          <w:p w14:paraId="4CC7801A">
            <w:pPr>
              <w:jc w:val="center"/>
              <w:rPr>
                <w:rFonts w:hint="eastAsia"/>
                <w:color w:val="auto"/>
                <w:sz w:val="18"/>
                <w:szCs w:val="18"/>
                <w:lang w:val="en-US" w:eastAsia="zh-CN"/>
              </w:rPr>
            </w:pPr>
            <w:r>
              <w:rPr>
                <w:rFonts w:hint="eastAsia"/>
                <w:color w:val="auto"/>
                <w:sz w:val="18"/>
                <w:szCs w:val="18"/>
                <w:lang w:val="en-US" w:eastAsia="zh-CN"/>
              </w:rPr>
              <w:t>色度（度）</w:t>
            </w:r>
          </w:p>
        </w:tc>
        <w:tc>
          <w:tcPr>
            <w:tcW w:w="530" w:type="pct"/>
            <w:tcBorders>
              <w:tl2br w:val="nil"/>
              <w:tr2bl w:val="nil"/>
            </w:tcBorders>
            <w:noWrap w:val="0"/>
            <w:vAlign w:val="center"/>
          </w:tcPr>
          <w:p w14:paraId="30B21BFA">
            <w:pPr>
              <w:jc w:val="center"/>
              <w:rPr>
                <w:rFonts w:hint="default" w:eastAsia="宋体"/>
                <w:color w:val="auto"/>
                <w:sz w:val="18"/>
                <w:szCs w:val="18"/>
                <w:lang w:val="en-US" w:eastAsia="zh-CN"/>
              </w:rPr>
            </w:pPr>
            <w:r>
              <w:rPr>
                <w:rFonts w:hint="eastAsia"/>
                <w:color w:val="auto"/>
                <w:sz w:val="18"/>
                <w:szCs w:val="18"/>
                <w:lang w:val="en-US" w:eastAsia="zh-CN"/>
              </w:rPr>
              <w:t>15</w:t>
            </w:r>
          </w:p>
        </w:tc>
        <w:tc>
          <w:tcPr>
            <w:tcW w:w="534" w:type="pct"/>
            <w:tcBorders>
              <w:tl2br w:val="nil"/>
              <w:tr2bl w:val="nil"/>
            </w:tcBorders>
            <w:noWrap w:val="0"/>
            <w:vAlign w:val="center"/>
          </w:tcPr>
          <w:p w14:paraId="607CAF84">
            <w:pPr>
              <w:jc w:val="center"/>
              <w:rPr>
                <w:rFonts w:hint="default"/>
                <w:color w:val="auto"/>
                <w:sz w:val="18"/>
                <w:szCs w:val="18"/>
                <w:lang w:val="en-US" w:eastAsia="zh-CN"/>
              </w:rPr>
            </w:pPr>
          </w:p>
        </w:tc>
        <w:tc>
          <w:tcPr>
            <w:tcW w:w="471" w:type="pct"/>
            <w:tcBorders>
              <w:tl2br w:val="nil"/>
              <w:tr2bl w:val="nil"/>
            </w:tcBorders>
            <w:noWrap w:val="0"/>
            <w:vAlign w:val="center"/>
          </w:tcPr>
          <w:p w14:paraId="2B03FEB3">
            <w:pPr>
              <w:jc w:val="center"/>
              <w:rPr>
                <w:rFonts w:hint="default" w:ascii="Times New Roman" w:hAnsi="Times New Roman" w:eastAsia="宋体" w:cs="Times New Roman"/>
                <w:color w:val="auto"/>
                <w:kern w:val="2"/>
                <w:sz w:val="18"/>
                <w:szCs w:val="18"/>
                <w:lang w:val="en-US" w:eastAsia="zh-CN" w:bidi="ar-SA"/>
              </w:rPr>
            </w:pPr>
          </w:p>
        </w:tc>
        <w:tc>
          <w:tcPr>
            <w:tcW w:w="622" w:type="pct"/>
            <w:tcBorders>
              <w:tl2br w:val="nil"/>
              <w:tr2bl w:val="nil"/>
            </w:tcBorders>
            <w:noWrap w:val="0"/>
            <w:vAlign w:val="center"/>
          </w:tcPr>
          <w:p w14:paraId="45241A24">
            <w:pPr>
              <w:jc w:val="center"/>
              <w:rPr>
                <w:rFonts w:ascii="Times New Roman" w:hAnsi="Times New Roman" w:eastAsia="宋体" w:cs="Times New Roman"/>
                <w:color w:val="auto"/>
                <w:kern w:val="2"/>
                <w:sz w:val="18"/>
                <w:szCs w:val="18"/>
                <w:lang w:val="en-US" w:eastAsia="zh-CN" w:bidi="ar-SA"/>
              </w:rPr>
            </w:pPr>
          </w:p>
        </w:tc>
        <w:tc>
          <w:tcPr>
            <w:tcW w:w="623" w:type="pct"/>
            <w:tcBorders>
              <w:tl2br w:val="nil"/>
              <w:tr2bl w:val="nil"/>
            </w:tcBorders>
            <w:noWrap w:val="0"/>
            <w:vAlign w:val="center"/>
          </w:tcPr>
          <w:p w14:paraId="079770A8">
            <w:pPr>
              <w:jc w:val="center"/>
              <w:rPr>
                <w:rFonts w:ascii="Times New Roman" w:hAnsi="Times New Roman" w:eastAsia="宋体" w:cs="Times New Roman"/>
                <w:color w:val="auto"/>
                <w:kern w:val="2"/>
                <w:sz w:val="18"/>
                <w:szCs w:val="18"/>
                <w:lang w:val="en-US" w:eastAsia="zh-CN" w:bidi="ar-SA"/>
              </w:rPr>
            </w:pPr>
          </w:p>
        </w:tc>
        <w:tc>
          <w:tcPr>
            <w:tcW w:w="531" w:type="pct"/>
            <w:tcBorders>
              <w:tl2br w:val="nil"/>
              <w:tr2bl w:val="nil"/>
            </w:tcBorders>
            <w:noWrap w:val="0"/>
            <w:vAlign w:val="center"/>
          </w:tcPr>
          <w:p w14:paraId="550CB802">
            <w:pPr>
              <w:jc w:val="center"/>
              <w:rPr>
                <w:rFonts w:ascii="Times New Roman" w:hAnsi="Times New Roman" w:eastAsia="宋体" w:cs="Times New Roman"/>
                <w:color w:val="auto"/>
                <w:kern w:val="2"/>
                <w:sz w:val="18"/>
                <w:szCs w:val="18"/>
                <w:lang w:val="en-US" w:eastAsia="zh-CN" w:bidi="ar-SA"/>
              </w:rPr>
            </w:pPr>
          </w:p>
        </w:tc>
        <w:tc>
          <w:tcPr>
            <w:tcW w:w="566" w:type="pct"/>
            <w:tcBorders>
              <w:tl2br w:val="nil"/>
              <w:tr2bl w:val="nil"/>
            </w:tcBorders>
            <w:noWrap w:val="0"/>
            <w:vAlign w:val="center"/>
          </w:tcPr>
          <w:p w14:paraId="1D63F469">
            <w:pPr>
              <w:jc w:val="center"/>
              <w:rPr>
                <w:rFonts w:ascii="Times New Roman" w:hAnsi="Times New Roman" w:eastAsia="宋体" w:cs="Times New Roman"/>
                <w:color w:val="auto"/>
                <w:kern w:val="2"/>
                <w:sz w:val="18"/>
                <w:szCs w:val="18"/>
                <w:lang w:val="en-US" w:eastAsia="zh-CN" w:bidi="ar-SA"/>
              </w:rPr>
            </w:pPr>
          </w:p>
        </w:tc>
      </w:tr>
      <w:tr w14:paraId="1E806A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1119" w:type="pct"/>
            <w:tcBorders>
              <w:tl2br w:val="nil"/>
              <w:tr2bl w:val="nil"/>
            </w:tcBorders>
            <w:noWrap w:val="0"/>
            <w:vAlign w:val="center"/>
          </w:tcPr>
          <w:p w14:paraId="0C5146D9">
            <w:pPr>
              <w:jc w:val="center"/>
              <w:rPr>
                <w:rFonts w:hint="eastAsia"/>
                <w:color w:val="auto"/>
                <w:sz w:val="18"/>
                <w:szCs w:val="18"/>
                <w:lang w:val="en-US" w:eastAsia="zh-CN"/>
              </w:rPr>
            </w:pPr>
            <w:r>
              <w:rPr>
                <w:rFonts w:hint="eastAsia"/>
                <w:color w:val="auto"/>
                <w:sz w:val="18"/>
                <w:szCs w:val="18"/>
                <w:lang w:val="en-US" w:eastAsia="zh-CN"/>
              </w:rPr>
              <w:t>臭和味</w:t>
            </w:r>
          </w:p>
        </w:tc>
        <w:tc>
          <w:tcPr>
            <w:tcW w:w="530" w:type="pct"/>
            <w:tcBorders>
              <w:tl2br w:val="nil"/>
              <w:tr2bl w:val="nil"/>
            </w:tcBorders>
            <w:noWrap w:val="0"/>
            <w:vAlign w:val="center"/>
          </w:tcPr>
          <w:p w14:paraId="45726C12">
            <w:pPr>
              <w:jc w:val="center"/>
              <w:rPr>
                <w:rFonts w:hint="eastAsia" w:eastAsia="宋体"/>
                <w:color w:val="auto"/>
                <w:sz w:val="18"/>
                <w:szCs w:val="18"/>
                <w:lang w:val="en-US" w:eastAsia="zh-CN"/>
              </w:rPr>
            </w:pPr>
            <w:r>
              <w:rPr>
                <w:rFonts w:hint="eastAsia"/>
                <w:color w:val="auto"/>
                <w:sz w:val="18"/>
                <w:szCs w:val="18"/>
                <w:lang w:val="en-US" w:eastAsia="zh-CN"/>
              </w:rPr>
              <w:t>无</w:t>
            </w:r>
          </w:p>
        </w:tc>
        <w:tc>
          <w:tcPr>
            <w:tcW w:w="534" w:type="pct"/>
            <w:tcBorders>
              <w:tl2br w:val="nil"/>
              <w:tr2bl w:val="nil"/>
            </w:tcBorders>
            <w:noWrap w:val="0"/>
            <w:vAlign w:val="center"/>
          </w:tcPr>
          <w:p w14:paraId="042F25BB">
            <w:pPr>
              <w:jc w:val="center"/>
              <w:rPr>
                <w:rFonts w:hint="default"/>
                <w:color w:val="auto"/>
                <w:sz w:val="18"/>
                <w:szCs w:val="18"/>
                <w:lang w:val="en-US" w:eastAsia="zh-CN"/>
              </w:rPr>
            </w:pPr>
          </w:p>
        </w:tc>
        <w:tc>
          <w:tcPr>
            <w:tcW w:w="471" w:type="pct"/>
            <w:tcBorders>
              <w:tl2br w:val="nil"/>
              <w:tr2bl w:val="nil"/>
            </w:tcBorders>
            <w:noWrap w:val="0"/>
            <w:vAlign w:val="center"/>
          </w:tcPr>
          <w:p w14:paraId="7A437FC9">
            <w:pPr>
              <w:jc w:val="center"/>
              <w:rPr>
                <w:rFonts w:ascii="Times New Roman" w:hAnsi="Times New Roman" w:eastAsia="宋体" w:cs="Times New Roman"/>
                <w:color w:val="auto"/>
                <w:kern w:val="2"/>
                <w:sz w:val="18"/>
                <w:szCs w:val="18"/>
                <w:lang w:val="en-US" w:eastAsia="zh-CN" w:bidi="ar-SA"/>
              </w:rPr>
            </w:pPr>
          </w:p>
        </w:tc>
        <w:tc>
          <w:tcPr>
            <w:tcW w:w="622" w:type="pct"/>
            <w:tcBorders>
              <w:tl2br w:val="nil"/>
              <w:tr2bl w:val="nil"/>
            </w:tcBorders>
            <w:noWrap w:val="0"/>
            <w:vAlign w:val="center"/>
          </w:tcPr>
          <w:p w14:paraId="0E6A6B9D">
            <w:pPr>
              <w:jc w:val="center"/>
              <w:rPr>
                <w:rFonts w:ascii="Times New Roman" w:hAnsi="Times New Roman" w:eastAsia="宋体" w:cs="Times New Roman"/>
                <w:color w:val="auto"/>
                <w:kern w:val="2"/>
                <w:sz w:val="18"/>
                <w:szCs w:val="18"/>
                <w:lang w:val="en-US" w:eastAsia="zh-CN" w:bidi="ar-SA"/>
              </w:rPr>
            </w:pPr>
          </w:p>
        </w:tc>
        <w:tc>
          <w:tcPr>
            <w:tcW w:w="623" w:type="pct"/>
            <w:tcBorders>
              <w:tl2br w:val="nil"/>
              <w:tr2bl w:val="nil"/>
            </w:tcBorders>
            <w:noWrap w:val="0"/>
            <w:vAlign w:val="center"/>
          </w:tcPr>
          <w:p w14:paraId="6E5D52CC">
            <w:pPr>
              <w:jc w:val="center"/>
              <w:rPr>
                <w:rFonts w:ascii="Times New Roman" w:hAnsi="Times New Roman" w:eastAsia="宋体" w:cs="Times New Roman"/>
                <w:color w:val="auto"/>
                <w:kern w:val="2"/>
                <w:sz w:val="18"/>
                <w:szCs w:val="18"/>
                <w:lang w:val="en-US" w:eastAsia="zh-CN" w:bidi="ar-SA"/>
              </w:rPr>
            </w:pPr>
          </w:p>
        </w:tc>
        <w:tc>
          <w:tcPr>
            <w:tcW w:w="531" w:type="pct"/>
            <w:tcBorders>
              <w:tl2br w:val="nil"/>
              <w:tr2bl w:val="nil"/>
            </w:tcBorders>
            <w:noWrap w:val="0"/>
            <w:vAlign w:val="center"/>
          </w:tcPr>
          <w:p w14:paraId="137A7AB5">
            <w:pPr>
              <w:jc w:val="center"/>
              <w:rPr>
                <w:rFonts w:ascii="Times New Roman" w:hAnsi="Times New Roman" w:eastAsia="宋体" w:cs="Times New Roman"/>
                <w:color w:val="auto"/>
                <w:kern w:val="2"/>
                <w:sz w:val="18"/>
                <w:szCs w:val="18"/>
                <w:lang w:val="en-US" w:eastAsia="zh-CN" w:bidi="ar-SA"/>
              </w:rPr>
            </w:pPr>
          </w:p>
        </w:tc>
        <w:tc>
          <w:tcPr>
            <w:tcW w:w="566" w:type="pct"/>
            <w:tcBorders>
              <w:tl2br w:val="nil"/>
              <w:tr2bl w:val="nil"/>
            </w:tcBorders>
            <w:noWrap w:val="0"/>
            <w:vAlign w:val="center"/>
          </w:tcPr>
          <w:p w14:paraId="44261E16">
            <w:pPr>
              <w:jc w:val="center"/>
              <w:rPr>
                <w:rFonts w:ascii="Times New Roman" w:hAnsi="Times New Roman" w:eastAsia="宋体" w:cs="Times New Roman"/>
                <w:color w:val="auto"/>
                <w:kern w:val="2"/>
                <w:sz w:val="18"/>
                <w:szCs w:val="18"/>
                <w:lang w:val="en-US" w:eastAsia="zh-CN" w:bidi="ar-SA"/>
              </w:rPr>
            </w:pPr>
          </w:p>
        </w:tc>
      </w:tr>
      <w:tr w14:paraId="06B97E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1119" w:type="pct"/>
            <w:tcBorders>
              <w:tl2br w:val="nil"/>
              <w:tr2bl w:val="nil"/>
            </w:tcBorders>
            <w:noWrap w:val="0"/>
            <w:vAlign w:val="center"/>
          </w:tcPr>
          <w:p w14:paraId="72FA5101">
            <w:pPr>
              <w:jc w:val="center"/>
              <w:rPr>
                <w:rFonts w:hint="eastAsia"/>
                <w:color w:val="auto"/>
                <w:sz w:val="18"/>
                <w:szCs w:val="18"/>
                <w:lang w:val="en-US" w:eastAsia="zh-CN"/>
              </w:rPr>
            </w:pPr>
            <w:r>
              <w:rPr>
                <w:rFonts w:hint="eastAsia"/>
                <w:color w:val="auto"/>
                <w:sz w:val="18"/>
                <w:szCs w:val="18"/>
                <w:lang w:val="en-US" w:eastAsia="zh-CN"/>
              </w:rPr>
              <w:t>肉眼可见物</w:t>
            </w:r>
          </w:p>
        </w:tc>
        <w:tc>
          <w:tcPr>
            <w:tcW w:w="530" w:type="pct"/>
            <w:tcBorders>
              <w:tl2br w:val="nil"/>
              <w:tr2bl w:val="nil"/>
            </w:tcBorders>
            <w:noWrap w:val="0"/>
            <w:vAlign w:val="center"/>
          </w:tcPr>
          <w:p w14:paraId="27E8FD7F">
            <w:pPr>
              <w:jc w:val="center"/>
              <w:rPr>
                <w:rFonts w:hint="eastAsia" w:eastAsia="宋体"/>
                <w:color w:val="auto"/>
                <w:sz w:val="18"/>
                <w:szCs w:val="18"/>
                <w:lang w:val="en-US" w:eastAsia="zh-CN"/>
              </w:rPr>
            </w:pPr>
            <w:r>
              <w:rPr>
                <w:rFonts w:hint="eastAsia"/>
                <w:color w:val="auto"/>
                <w:sz w:val="18"/>
                <w:szCs w:val="18"/>
                <w:lang w:val="en-US" w:eastAsia="zh-CN"/>
              </w:rPr>
              <w:t>无</w:t>
            </w:r>
          </w:p>
        </w:tc>
        <w:tc>
          <w:tcPr>
            <w:tcW w:w="534" w:type="pct"/>
            <w:tcBorders>
              <w:tl2br w:val="nil"/>
              <w:tr2bl w:val="nil"/>
            </w:tcBorders>
            <w:noWrap w:val="0"/>
            <w:vAlign w:val="center"/>
          </w:tcPr>
          <w:p w14:paraId="6FF595F5">
            <w:pPr>
              <w:jc w:val="center"/>
              <w:rPr>
                <w:rFonts w:hint="default"/>
                <w:color w:val="auto"/>
                <w:sz w:val="18"/>
                <w:szCs w:val="18"/>
                <w:lang w:val="en-US" w:eastAsia="zh-CN"/>
              </w:rPr>
            </w:pPr>
          </w:p>
        </w:tc>
        <w:tc>
          <w:tcPr>
            <w:tcW w:w="471" w:type="pct"/>
            <w:tcBorders>
              <w:tl2br w:val="nil"/>
              <w:tr2bl w:val="nil"/>
            </w:tcBorders>
            <w:noWrap w:val="0"/>
            <w:vAlign w:val="center"/>
          </w:tcPr>
          <w:p w14:paraId="7A404BA9">
            <w:pPr>
              <w:jc w:val="center"/>
              <w:rPr>
                <w:rFonts w:hint="eastAsia" w:ascii="Times New Roman" w:hAnsi="Times New Roman" w:eastAsia="宋体" w:cs="Times New Roman"/>
                <w:color w:val="auto"/>
                <w:kern w:val="2"/>
                <w:sz w:val="18"/>
                <w:szCs w:val="18"/>
                <w:lang w:val="en-US" w:eastAsia="zh-CN" w:bidi="ar-SA"/>
              </w:rPr>
            </w:pPr>
          </w:p>
        </w:tc>
        <w:tc>
          <w:tcPr>
            <w:tcW w:w="622" w:type="pct"/>
            <w:tcBorders>
              <w:tl2br w:val="nil"/>
              <w:tr2bl w:val="nil"/>
            </w:tcBorders>
            <w:noWrap w:val="0"/>
            <w:vAlign w:val="center"/>
          </w:tcPr>
          <w:p w14:paraId="1D26B372">
            <w:pPr>
              <w:jc w:val="center"/>
              <w:rPr>
                <w:rFonts w:hint="eastAsia" w:ascii="Times New Roman" w:hAnsi="Times New Roman" w:eastAsia="宋体" w:cs="Times New Roman"/>
                <w:color w:val="auto"/>
                <w:kern w:val="2"/>
                <w:sz w:val="18"/>
                <w:szCs w:val="18"/>
                <w:lang w:val="en-US" w:eastAsia="zh-CN" w:bidi="ar-SA"/>
              </w:rPr>
            </w:pPr>
          </w:p>
        </w:tc>
        <w:tc>
          <w:tcPr>
            <w:tcW w:w="623" w:type="pct"/>
            <w:tcBorders>
              <w:tl2br w:val="nil"/>
              <w:tr2bl w:val="nil"/>
            </w:tcBorders>
            <w:noWrap w:val="0"/>
            <w:vAlign w:val="center"/>
          </w:tcPr>
          <w:p w14:paraId="79626320">
            <w:pPr>
              <w:jc w:val="center"/>
              <w:rPr>
                <w:rFonts w:hint="eastAsia" w:ascii="Times New Roman" w:hAnsi="Times New Roman" w:eastAsia="宋体" w:cs="Times New Roman"/>
                <w:color w:val="auto"/>
                <w:kern w:val="2"/>
                <w:sz w:val="18"/>
                <w:szCs w:val="18"/>
                <w:lang w:val="en-US" w:eastAsia="zh-CN" w:bidi="ar-SA"/>
              </w:rPr>
            </w:pPr>
          </w:p>
        </w:tc>
        <w:tc>
          <w:tcPr>
            <w:tcW w:w="531" w:type="pct"/>
            <w:tcBorders>
              <w:tl2br w:val="nil"/>
              <w:tr2bl w:val="nil"/>
            </w:tcBorders>
            <w:noWrap w:val="0"/>
            <w:vAlign w:val="center"/>
          </w:tcPr>
          <w:p w14:paraId="5CEBFD10">
            <w:pPr>
              <w:jc w:val="center"/>
              <w:rPr>
                <w:rFonts w:hint="eastAsia" w:ascii="Times New Roman" w:hAnsi="Times New Roman" w:eastAsia="宋体" w:cs="Times New Roman"/>
                <w:color w:val="auto"/>
                <w:kern w:val="2"/>
                <w:sz w:val="18"/>
                <w:szCs w:val="18"/>
                <w:lang w:val="en-US" w:eastAsia="zh-CN" w:bidi="ar-SA"/>
              </w:rPr>
            </w:pPr>
          </w:p>
        </w:tc>
        <w:tc>
          <w:tcPr>
            <w:tcW w:w="566" w:type="pct"/>
            <w:tcBorders>
              <w:tl2br w:val="nil"/>
              <w:tr2bl w:val="nil"/>
            </w:tcBorders>
            <w:noWrap w:val="0"/>
            <w:vAlign w:val="center"/>
          </w:tcPr>
          <w:p w14:paraId="25276B7E">
            <w:pPr>
              <w:jc w:val="center"/>
              <w:rPr>
                <w:rFonts w:hint="eastAsia" w:ascii="Times New Roman" w:hAnsi="Times New Roman" w:eastAsia="宋体" w:cs="Times New Roman"/>
                <w:color w:val="auto"/>
                <w:kern w:val="2"/>
                <w:sz w:val="18"/>
                <w:szCs w:val="18"/>
                <w:lang w:val="en-US" w:eastAsia="zh-CN" w:bidi="ar-SA"/>
              </w:rPr>
            </w:pPr>
          </w:p>
        </w:tc>
      </w:tr>
    </w:tbl>
    <w:p w14:paraId="3BE21EC7">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lang w:val="en-US" w:eastAsia="zh-CN"/>
        </w:rPr>
        <w:t>注：</w:t>
      </w:r>
      <w:r>
        <w:rPr>
          <w:rFonts w:hint="default" w:ascii="Times New Roman" w:hAnsi="Times New Roman" w:eastAsia="宋体" w:cs="Times New Roman"/>
          <w:b w:val="0"/>
          <w:bCs w:val="0"/>
          <w:color w:val="auto"/>
          <w:sz w:val="18"/>
          <w:szCs w:val="18"/>
        </w:rPr>
        <w:t>ND表示低于检出限</w:t>
      </w:r>
    </w:p>
    <w:p w14:paraId="6CDA5B72">
      <w:pPr>
        <w:pStyle w:val="61"/>
        <w:bidi w:val="0"/>
        <w:jc w:val="both"/>
        <w:rPr>
          <w:rFonts w:hint="default"/>
          <w:color w:val="auto"/>
          <w:lang w:val="en-US" w:eastAsia="zh-CN"/>
        </w:rPr>
      </w:pPr>
      <w:r>
        <w:rPr>
          <w:rFonts w:hint="eastAsia"/>
          <w:color w:val="auto"/>
          <w:lang w:val="en-US" w:eastAsia="zh-CN"/>
        </w:rPr>
        <w:t>续</w:t>
      </w:r>
      <w:r>
        <w:rPr>
          <w:rFonts w:hint="default"/>
          <w:color w:val="auto"/>
          <w:lang w:val="en-US" w:eastAsia="zh-CN"/>
        </w:rPr>
        <w:t>表</w:t>
      </w:r>
      <w:r>
        <w:rPr>
          <w:rFonts w:hint="eastAsia"/>
          <w:color w:val="auto"/>
          <w:lang w:val="en-US" w:eastAsia="zh-CN"/>
        </w:rPr>
        <w:t xml:space="preserve">4.3-3   </w:t>
      </w:r>
      <w:r>
        <w:rPr>
          <w:rFonts w:hint="default"/>
          <w:color w:val="auto"/>
          <w:lang w:val="en-US" w:eastAsia="zh-CN"/>
        </w:rPr>
        <w:t>地下水</w:t>
      </w:r>
      <w:r>
        <w:rPr>
          <w:rFonts w:hint="eastAsia"/>
          <w:color w:val="auto"/>
          <w:lang w:val="en-US" w:eastAsia="zh-CN"/>
        </w:rPr>
        <w:t>水质</w:t>
      </w:r>
      <w:r>
        <w:rPr>
          <w:rFonts w:hint="default"/>
          <w:color w:val="auto"/>
          <w:lang w:val="en-US" w:eastAsia="zh-CN"/>
        </w:rPr>
        <w:t>监测结果</w:t>
      </w:r>
    </w:p>
    <w:tbl>
      <w:tblPr>
        <w:tblStyle w:val="36"/>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723"/>
        <w:gridCol w:w="1277"/>
        <w:gridCol w:w="2042"/>
        <w:gridCol w:w="1872"/>
        <w:gridCol w:w="1757"/>
      </w:tblGrid>
      <w:tr w14:paraId="029C31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9" w:hRule="atLeast"/>
          <w:jc w:val="center"/>
        </w:trPr>
        <w:tc>
          <w:tcPr>
            <w:tcW w:w="994" w:type="pct"/>
            <w:vMerge w:val="restart"/>
            <w:tcBorders>
              <w:tl2br w:val="nil"/>
              <w:tr2bl w:val="nil"/>
            </w:tcBorders>
            <w:noWrap w:val="0"/>
            <w:vAlign w:val="center"/>
          </w:tcPr>
          <w:p w14:paraId="3DA3C765">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检测项目</w:t>
            </w:r>
          </w:p>
        </w:tc>
        <w:tc>
          <w:tcPr>
            <w:tcW w:w="1913" w:type="pct"/>
            <w:gridSpan w:val="2"/>
            <w:tcBorders>
              <w:tl2br w:val="nil"/>
              <w:tr2bl w:val="nil"/>
            </w:tcBorders>
            <w:noWrap w:val="0"/>
            <w:vAlign w:val="center"/>
          </w:tcPr>
          <w:p w14:paraId="06DECD5A">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标准值</w:t>
            </w:r>
          </w:p>
        </w:tc>
        <w:tc>
          <w:tcPr>
            <w:tcW w:w="1079" w:type="pct"/>
            <w:tcBorders>
              <w:tl2br w:val="nil"/>
              <w:tr2bl w:val="nil"/>
            </w:tcBorders>
            <w:noWrap w:val="0"/>
            <w:vAlign w:val="center"/>
          </w:tcPr>
          <w:p w14:paraId="1F23E9E9">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玉东7-2#</w:t>
            </w:r>
          </w:p>
        </w:tc>
        <w:tc>
          <w:tcPr>
            <w:tcW w:w="1013" w:type="pct"/>
            <w:tcBorders>
              <w:tl2br w:val="nil"/>
              <w:tr2bl w:val="nil"/>
            </w:tcBorders>
            <w:noWrap w:val="0"/>
            <w:vAlign w:val="center"/>
          </w:tcPr>
          <w:p w14:paraId="2C6FC8E6">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玉东7-4#</w:t>
            </w:r>
          </w:p>
        </w:tc>
      </w:tr>
      <w:tr w14:paraId="3D79A9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7" w:hRule="atLeast"/>
          <w:jc w:val="center"/>
        </w:trPr>
        <w:tc>
          <w:tcPr>
            <w:tcW w:w="994" w:type="pct"/>
            <w:vMerge w:val="restart"/>
            <w:tcBorders>
              <w:tl2br w:val="nil"/>
              <w:tr2bl w:val="nil"/>
            </w:tcBorders>
            <w:noWrap w:val="0"/>
            <w:vAlign w:val="center"/>
          </w:tcPr>
          <w:p w14:paraId="1E093AC5">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色度</w:t>
            </w:r>
          </w:p>
        </w:tc>
        <w:tc>
          <w:tcPr>
            <w:tcW w:w="736" w:type="pct"/>
            <w:vMerge w:val="restart"/>
            <w:tcBorders>
              <w:tl2br w:val="nil"/>
              <w:tr2bl w:val="nil"/>
            </w:tcBorders>
            <w:noWrap w:val="0"/>
            <w:vAlign w:val="center"/>
          </w:tcPr>
          <w:p w14:paraId="32B4528B">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≤15度</w:t>
            </w:r>
          </w:p>
        </w:tc>
        <w:tc>
          <w:tcPr>
            <w:tcW w:w="1177" w:type="pct"/>
            <w:tcBorders>
              <w:tl2br w:val="nil"/>
              <w:tr2bl w:val="nil"/>
            </w:tcBorders>
            <w:noWrap w:val="0"/>
            <w:vAlign w:val="center"/>
          </w:tcPr>
          <w:p w14:paraId="120507EB">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监测值</w:t>
            </w:r>
            <w:r>
              <w:rPr>
                <w:rFonts w:hint="eastAsia" w:ascii="Times New Roman" w:hAnsi="Times New Roman" w:eastAsia="宋体" w:cs="Times New Roman"/>
                <w:color w:val="auto"/>
                <w:spacing w:val="-10"/>
                <w:sz w:val="18"/>
                <w:szCs w:val="18"/>
                <w:highlight w:val="none"/>
                <w:lang w:eastAsia="zh-CN"/>
              </w:rPr>
              <w:t>（</w:t>
            </w:r>
            <w:r>
              <w:rPr>
                <w:rFonts w:hint="default" w:ascii="Times New Roman" w:hAnsi="Times New Roman" w:eastAsia="宋体" w:cs="Times New Roman"/>
                <w:color w:val="auto"/>
                <w:spacing w:val="-10"/>
                <w:sz w:val="18"/>
                <w:szCs w:val="18"/>
                <w:highlight w:val="none"/>
              </w:rPr>
              <w:t>度</w:t>
            </w:r>
            <w:r>
              <w:rPr>
                <w:rFonts w:hint="eastAsia" w:ascii="Times New Roman" w:hAnsi="Times New Roman" w:eastAsia="宋体" w:cs="Times New Roman"/>
                <w:color w:val="auto"/>
                <w:spacing w:val="-10"/>
                <w:sz w:val="18"/>
                <w:szCs w:val="18"/>
                <w:highlight w:val="none"/>
                <w:lang w:eastAsia="zh-CN"/>
              </w:rPr>
              <w:t>）</w:t>
            </w:r>
          </w:p>
        </w:tc>
        <w:tc>
          <w:tcPr>
            <w:tcW w:w="1079" w:type="pct"/>
            <w:tcBorders>
              <w:tl2br w:val="nil"/>
              <w:tr2bl w:val="nil"/>
            </w:tcBorders>
            <w:noWrap w:val="0"/>
            <w:vAlign w:val="center"/>
          </w:tcPr>
          <w:p w14:paraId="2546EF0A">
            <w:pPr>
              <w:spacing w:line="0" w:lineRule="atLeast"/>
              <w:jc w:val="center"/>
              <w:rPr>
                <w:rFonts w:hint="default" w:ascii="Times New Roman" w:hAnsi="Times New Roman" w:eastAsia="宋体" w:cs="Times New Roman"/>
                <w:color w:val="auto"/>
                <w:spacing w:val="-10"/>
                <w:kern w:val="0"/>
                <w:sz w:val="18"/>
                <w:szCs w:val="18"/>
                <w:highlight w:val="none"/>
                <w:lang w:bidi="ar"/>
              </w:rPr>
            </w:pPr>
          </w:p>
        </w:tc>
        <w:tc>
          <w:tcPr>
            <w:tcW w:w="1013" w:type="pct"/>
            <w:tcBorders>
              <w:tl2br w:val="nil"/>
              <w:tr2bl w:val="nil"/>
            </w:tcBorders>
            <w:noWrap w:val="0"/>
            <w:vAlign w:val="center"/>
          </w:tcPr>
          <w:p w14:paraId="69A126C1">
            <w:pPr>
              <w:spacing w:line="0" w:lineRule="atLeast"/>
              <w:jc w:val="center"/>
              <w:rPr>
                <w:rFonts w:hint="default" w:ascii="Times New Roman" w:hAnsi="Times New Roman" w:eastAsia="宋体" w:cs="Times New Roman"/>
                <w:color w:val="auto"/>
                <w:spacing w:val="-10"/>
                <w:sz w:val="18"/>
                <w:szCs w:val="18"/>
                <w:highlight w:val="none"/>
              </w:rPr>
            </w:pPr>
          </w:p>
        </w:tc>
      </w:tr>
      <w:tr w14:paraId="4922EB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15" w:hRule="atLeast"/>
          <w:jc w:val="center"/>
        </w:trPr>
        <w:tc>
          <w:tcPr>
            <w:tcW w:w="994" w:type="pct"/>
            <w:vMerge w:val="continue"/>
            <w:tcBorders>
              <w:tl2br w:val="nil"/>
              <w:tr2bl w:val="nil"/>
            </w:tcBorders>
            <w:noWrap w:val="0"/>
            <w:vAlign w:val="center"/>
          </w:tcPr>
          <w:p w14:paraId="0314EFA2">
            <w:pPr>
              <w:spacing w:line="0" w:lineRule="atLeast"/>
              <w:jc w:val="center"/>
              <w:rPr>
                <w:rFonts w:hint="default" w:ascii="Times New Roman" w:hAnsi="Times New Roman" w:eastAsia="宋体" w:cs="Times New Roman"/>
                <w:color w:val="auto"/>
                <w:spacing w:val="-10"/>
                <w:sz w:val="18"/>
                <w:szCs w:val="18"/>
                <w:highlight w:val="none"/>
              </w:rPr>
            </w:pPr>
          </w:p>
        </w:tc>
        <w:tc>
          <w:tcPr>
            <w:tcW w:w="736" w:type="pct"/>
            <w:vMerge w:val="continue"/>
            <w:tcBorders>
              <w:tl2br w:val="nil"/>
              <w:tr2bl w:val="nil"/>
            </w:tcBorders>
            <w:noWrap w:val="0"/>
            <w:vAlign w:val="center"/>
          </w:tcPr>
          <w:p w14:paraId="2C5058EF">
            <w:pPr>
              <w:spacing w:line="0" w:lineRule="atLeast"/>
              <w:jc w:val="center"/>
              <w:rPr>
                <w:rFonts w:hint="default" w:ascii="Times New Roman" w:hAnsi="Times New Roman" w:eastAsia="宋体" w:cs="Times New Roman"/>
                <w:color w:val="auto"/>
                <w:spacing w:val="-10"/>
                <w:sz w:val="18"/>
                <w:szCs w:val="18"/>
                <w:highlight w:val="none"/>
              </w:rPr>
            </w:pPr>
          </w:p>
        </w:tc>
        <w:tc>
          <w:tcPr>
            <w:tcW w:w="1177" w:type="pct"/>
            <w:tcBorders>
              <w:tl2br w:val="nil"/>
              <w:tr2bl w:val="nil"/>
            </w:tcBorders>
            <w:noWrap w:val="0"/>
            <w:vAlign w:val="center"/>
          </w:tcPr>
          <w:p w14:paraId="3CB93FC9">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标准指数</w:t>
            </w:r>
          </w:p>
        </w:tc>
        <w:tc>
          <w:tcPr>
            <w:tcW w:w="1079" w:type="pct"/>
            <w:tcBorders>
              <w:tl2br w:val="nil"/>
              <w:tr2bl w:val="nil"/>
            </w:tcBorders>
            <w:noWrap w:val="0"/>
            <w:vAlign w:val="center"/>
          </w:tcPr>
          <w:p w14:paraId="176CD5C3">
            <w:pPr>
              <w:spacing w:line="0" w:lineRule="atLeast"/>
              <w:jc w:val="center"/>
              <w:rPr>
                <w:rFonts w:hint="default" w:ascii="Times New Roman" w:hAnsi="Times New Roman" w:eastAsia="宋体" w:cs="Times New Roman"/>
                <w:color w:val="auto"/>
                <w:spacing w:val="-10"/>
                <w:kern w:val="0"/>
                <w:sz w:val="18"/>
                <w:szCs w:val="18"/>
                <w:highlight w:val="none"/>
                <w:lang w:bidi="ar"/>
              </w:rPr>
            </w:pPr>
          </w:p>
        </w:tc>
        <w:tc>
          <w:tcPr>
            <w:tcW w:w="1013" w:type="pct"/>
            <w:tcBorders>
              <w:tl2br w:val="nil"/>
              <w:tr2bl w:val="nil"/>
            </w:tcBorders>
            <w:noWrap w:val="0"/>
            <w:vAlign w:val="center"/>
          </w:tcPr>
          <w:p w14:paraId="00DDE819">
            <w:pPr>
              <w:spacing w:line="0" w:lineRule="atLeast"/>
              <w:jc w:val="center"/>
              <w:rPr>
                <w:rFonts w:hint="default" w:ascii="Times New Roman" w:hAnsi="Times New Roman" w:eastAsia="宋体" w:cs="Times New Roman"/>
                <w:color w:val="auto"/>
                <w:spacing w:val="-10"/>
                <w:sz w:val="18"/>
                <w:szCs w:val="18"/>
                <w:highlight w:val="none"/>
              </w:rPr>
            </w:pPr>
          </w:p>
        </w:tc>
      </w:tr>
      <w:tr w14:paraId="788109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3" w:hRule="atLeast"/>
          <w:jc w:val="center"/>
        </w:trPr>
        <w:tc>
          <w:tcPr>
            <w:tcW w:w="994" w:type="pct"/>
            <w:vMerge w:val="restart"/>
            <w:tcBorders>
              <w:tl2br w:val="nil"/>
              <w:tr2bl w:val="nil"/>
            </w:tcBorders>
            <w:noWrap w:val="0"/>
            <w:vAlign w:val="center"/>
          </w:tcPr>
          <w:p w14:paraId="05AC8272">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嗅和味</w:t>
            </w:r>
          </w:p>
        </w:tc>
        <w:tc>
          <w:tcPr>
            <w:tcW w:w="736" w:type="pct"/>
            <w:vMerge w:val="restart"/>
            <w:tcBorders>
              <w:tl2br w:val="nil"/>
              <w:tr2bl w:val="nil"/>
            </w:tcBorders>
            <w:noWrap w:val="0"/>
            <w:vAlign w:val="center"/>
          </w:tcPr>
          <w:p w14:paraId="5B578D28">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w:t>
            </w:r>
          </w:p>
        </w:tc>
        <w:tc>
          <w:tcPr>
            <w:tcW w:w="1177" w:type="pct"/>
            <w:tcBorders>
              <w:tl2br w:val="nil"/>
              <w:tr2bl w:val="nil"/>
            </w:tcBorders>
            <w:noWrap w:val="0"/>
            <w:vAlign w:val="center"/>
          </w:tcPr>
          <w:p w14:paraId="13E665B3">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监测值</w:t>
            </w:r>
          </w:p>
        </w:tc>
        <w:tc>
          <w:tcPr>
            <w:tcW w:w="1079" w:type="pct"/>
            <w:tcBorders>
              <w:tl2br w:val="nil"/>
              <w:tr2bl w:val="nil"/>
            </w:tcBorders>
            <w:noWrap w:val="0"/>
            <w:vAlign w:val="center"/>
          </w:tcPr>
          <w:p w14:paraId="2569E41D">
            <w:pPr>
              <w:spacing w:line="0" w:lineRule="atLeast"/>
              <w:jc w:val="center"/>
              <w:rPr>
                <w:rFonts w:hint="default" w:ascii="Times New Roman" w:hAnsi="Times New Roman" w:eastAsia="宋体" w:cs="Times New Roman"/>
                <w:color w:val="auto"/>
                <w:spacing w:val="-10"/>
                <w:kern w:val="0"/>
                <w:sz w:val="18"/>
                <w:szCs w:val="18"/>
                <w:highlight w:val="none"/>
                <w:lang w:bidi="ar"/>
              </w:rPr>
            </w:pPr>
          </w:p>
        </w:tc>
        <w:tc>
          <w:tcPr>
            <w:tcW w:w="1013" w:type="pct"/>
            <w:tcBorders>
              <w:tl2br w:val="nil"/>
              <w:tr2bl w:val="nil"/>
            </w:tcBorders>
            <w:noWrap w:val="0"/>
            <w:vAlign w:val="center"/>
          </w:tcPr>
          <w:p w14:paraId="0CEAA277">
            <w:pPr>
              <w:spacing w:line="0" w:lineRule="atLeast"/>
              <w:jc w:val="center"/>
              <w:rPr>
                <w:rFonts w:hint="default" w:ascii="Times New Roman" w:hAnsi="Times New Roman" w:eastAsia="宋体" w:cs="Times New Roman"/>
                <w:color w:val="auto"/>
                <w:spacing w:val="-10"/>
                <w:sz w:val="18"/>
                <w:szCs w:val="18"/>
                <w:highlight w:val="none"/>
              </w:rPr>
            </w:pPr>
          </w:p>
        </w:tc>
      </w:tr>
      <w:tr w14:paraId="083289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5" w:hRule="atLeast"/>
          <w:jc w:val="center"/>
        </w:trPr>
        <w:tc>
          <w:tcPr>
            <w:tcW w:w="994" w:type="pct"/>
            <w:vMerge w:val="continue"/>
            <w:tcBorders>
              <w:tl2br w:val="nil"/>
              <w:tr2bl w:val="nil"/>
            </w:tcBorders>
            <w:noWrap w:val="0"/>
            <w:vAlign w:val="center"/>
          </w:tcPr>
          <w:p w14:paraId="2B0D1CDD">
            <w:pPr>
              <w:spacing w:line="0" w:lineRule="atLeast"/>
              <w:jc w:val="center"/>
              <w:rPr>
                <w:rFonts w:hint="default" w:ascii="Times New Roman" w:hAnsi="Times New Roman" w:eastAsia="宋体" w:cs="Times New Roman"/>
                <w:color w:val="auto"/>
                <w:spacing w:val="-10"/>
                <w:sz w:val="18"/>
                <w:szCs w:val="18"/>
                <w:highlight w:val="none"/>
              </w:rPr>
            </w:pPr>
          </w:p>
        </w:tc>
        <w:tc>
          <w:tcPr>
            <w:tcW w:w="736" w:type="pct"/>
            <w:vMerge w:val="continue"/>
            <w:tcBorders>
              <w:tl2br w:val="nil"/>
              <w:tr2bl w:val="nil"/>
            </w:tcBorders>
            <w:noWrap w:val="0"/>
            <w:vAlign w:val="center"/>
          </w:tcPr>
          <w:p w14:paraId="0C436530">
            <w:pPr>
              <w:spacing w:line="0" w:lineRule="atLeast"/>
              <w:jc w:val="center"/>
              <w:rPr>
                <w:rFonts w:hint="default" w:ascii="Times New Roman" w:hAnsi="Times New Roman" w:eastAsia="宋体" w:cs="Times New Roman"/>
                <w:color w:val="auto"/>
                <w:spacing w:val="-10"/>
                <w:sz w:val="18"/>
                <w:szCs w:val="18"/>
                <w:highlight w:val="none"/>
              </w:rPr>
            </w:pPr>
          </w:p>
        </w:tc>
        <w:tc>
          <w:tcPr>
            <w:tcW w:w="1177" w:type="pct"/>
            <w:tcBorders>
              <w:tl2br w:val="nil"/>
              <w:tr2bl w:val="nil"/>
            </w:tcBorders>
            <w:noWrap w:val="0"/>
            <w:vAlign w:val="center"/>
          </w:tcPr>
          <w:p w14:paraId="1C6918A5">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标准指数</w:t>
            </w:r>
          </w:p>
        </w:tc>
        <w:tc>
          <w:tcPr>
            <w:tcW w:w="1079" w:type="pct"/>
            <w:tcBorders>
              <w:tl2br w:val="nil"/>
              <w:tr2bl w:val="nil"/>
            </w:tcBorders>
            <w:noWrap w:val="0"/>
            <w:vAlign w:val="center"/>
          </w:tcPr>
          <w:p w14:paraId="77524ADC">
            <w:pPr>
              <w:spacing w:line="0" w:lineRule="atLeast"/>
              <w:jc w:val="center"/>
              <w:rPr>
                <w:rFonts w:hint="default" w:ascii="Times New Roman" w:hAnsi="Times New Roman" w:eastAsia="宋体" w:cs="Times New Roman"/>
                <w:color w:val="auto"/>
                <w:spacing w:val="-10"/>
                <w:kern w:val="0"/>
                <w:sz w:val="18"/>
                <w:szCs w:val="18"/>
                <w:highlight w:val="none"/>
                <w:lang w:bidi="ar"/>
              </w:rPr>
            </w:pPr>
          </w:p>
        </w:tc>
        <w:tc>
          <w:tcPr>
            <w:tcW w:w="1013" w:type="pct"/>
            <w:tcBorders>
              <w:tl2br w:val="nil"/>
              <w:tr2bl w:val="nil"/>
            </w:tcBorders>
            <w:noWrap w:val="0"/>
            <w:vAlign w:val="center"/>
          </w:tcPr>
          <w:p w14:paraId="11B16BE3">
            <w:pPr>
              <w:spacing w:line="0" w:lineRule="atLeast"/>
              <w:jc w:val="center"/>
              <w:rPr>
                <w:rFonts w:hint="default" w:ascii="Times New Roman" w:hAnsi="Times New Roman" w:eastAsia="宋体" w:cs="Times New Roman"/>
                <w:color w:val="auto"/>
                <w:spacing w:val="-10"/>
                <w:sz w:val="18"/>
                <w:szCs w:val="18"/>
                <w:highlight w:val="none"/>
              </w:rPr>
            </w:pPr>
          </w:p>
        </w:tc>
      </w:tr>
      <w:tr w14:paraId="3EB7AF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5" w:hRule="atLeast"/>
          <w:jc w:val="center"/>
        </w:trPr>
        <w:tc>
          <w:tcPr>
            <w:tcW w:w="994" w:type="pct"/>
            <w:vMerge w:val="restart"/>
            <w:tcBorders>
              <w:tl2br w:val="nil"/>
              <w:tr2bl w:val="nil"/>
            </w:tcBorders>
            <w:noWrap w:val="0"/>
            <w:vAlign w:val="center"/>
          </w:tcPr>
          <w:p w14:paraId="2CB9C034">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肉眼可见物</w:t>
            </w:r>
          </w:p>
        </w:tc>
        <w:tc>
          <w:tcPr>
            <w:tcW w:w="736" w:type="pct"/>
            <w:vMerge w:val="restart"/>
            <w:tcBorders>
              <w:tl2br w:val="nil"/>
              <w:tr2bl w:val="nil"/>
            </w:tcBorders>
            <w:noWrap w:val="0"/>
            <w:vAlign w:val="center"/>
          </w:tcPr>
          <w:p w14:paraId="66F93202">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w:t>
            </w:r>
          </w:p>
        </w:tc>
        <w:tc>
          <w:tcPr>
            <w:tcW w:w="1177" w:type="pct"/>
            <w:tcBorders>
              <w:tl2br w:val="nil"/>
              <w:tr2bl w:val="nil"/>
            </w:tcBorders>
            <w:noWrap w:val="0"/>
            <w:vAlign w:val="center"/>
          </w:tcPr>
          <w:p w14:paraId="677FD4A0">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监测值</w:t>
            </w:r>
          </w:p>
        </w:tc>
        <w:tc>
          <w:tcPr>
            <w:tcW w:w="1079" w:type="pct"/>
            <w:tcBorders>
              <w:tl2br w:val="nil"/>
              <w:tr2bl w:val="nil"/>
            </w:tcBorders>
            <w:noWrap w:val="0"/>
            <w:vAlign w:val="center"/>
          </w:tcPr>
          <w:p w14:paraId="32E94499">
            <w:pPr>
              <w:spacing w:line="0" w:lineRule="atLeast"/>
              <w:jc w:val="center"/>
              <w:rPr>
                <w:rFonts w:hint="default" w:ascii="Times New Roman" w:hAnsi="Times New Roman" w:eastAsia="宋体" w:cs="Times New Roman"/>
                <w:color w:val="auto"/>
                <w:spacing w:val="-10"/>
                <w:kern w:val="0"/>
                <w:sz w:val="18"/>
                <w:szCs w:val="18"/>
                <w:highlight w:val="none"/>
                <w:lang w:bidi="ar"/>
              </w:rPr>
            </w:pPr>
          </w:p>
        </w:tc>
        <w:tc>
          <w:tcPr>
            <w:tcW w:w="1013" w:type="pct"/>
            <w:tcBorders>
              <w:tl2br w:val="nil"/>
              <w:tr2bl w:val="nil"/>
            </w:tcBorders>
            <w:noWrap w:val="0"/>
            <w:vAlign w:val="center"/>
          </w:tcPr>
          <w:p w14:paraId="4D1F8388">
            <w:pPr>
              <w:spacing w:line="0" w:lineRule="atLeast"/>
              <w:jc w:val="center"/>
              <w:rPr>
                <w:rFonts w:hint="default" w:ascii="Times New Roman" w:hAnsi="Times New Roman" w:eastAsia="宋体" w:cs="Times New Roman"/>
                <w:color w:val="auto"/>
                <w:spacing w:val="-10"/>
                <w:sz w:val="18"/>
                <w:szCs w:val="18"/>
                <w:highlight w:val="none"/>
              </w:rPr>
            </w:pPr>
          </w:p>
        </w:tc>
      </w:tr>
      <w:tr w14:paraId="1C496D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994" w:type="pct"/>
            <w:vMerge w:val="continue"/>
            <w:tcBorders>
              <w:tl2br w:val="nil"/>
              <w:tr2bl w:val="nil"/>
            </w:tcBorders>
            <w:noWrap w:val="0"/>
            <w:vAlign w:val="center"/>
          </w:tcPr>
          <w:p w14:paraId="28B26799">
            <w:pPr>
              <w:spacing w:line="0" w:lineRule="atLeast"/>
              <w:jc w:val="center"/>
              <w:rPr>
                <w:rFonts w:hint="default" w:ascii="Times New Roman" w:hAnsi="Times New Roman" w:eastAsia="宋体" w:cs="Times New Roman"/>
                <w:color w:val="auto"/>
                <w:spacing w:val="-10"/>
                <w:sz w:val="18"/>
                <w:szCs w:val="18"/>
                <w:highlight w:val="none"/>
              </w:rPr>
            </w:pPr>
          </w:p>
        </w:tc>
        <w:tc>
          <w:tcPr>
            <w:tcW w:w="736" w:type="pct"/>
            <w:vMerge w:val="continue"/>
            <w:tcBorders>
              <w:tl2br w:val="nil"/>
              <w:tr2bl w:val="nil"/>
            </w:tcBorders>
            <w:noWrap w:val="0"/>
            <w:vAlign w:val="center"/>
          </w:tcPr>
          <w:p w14:paraId="36A4DE12">
            <w:pPr>
              <w:spacing w:line="0" w:lineRule="atLeast"/>
              <w:jc w:val="center"/>
              <w:rPr>
                <w:rFonts w:hint="default" w:ascii="Times New Roman" w:hAnsi="Times New Roman" w:eastAsia="宋体" w:cs="Times New Roman"/>
                <w:color w:val="auto"/>
                <w:spacing w:val="-10"/>
                <w:sz w:val="18"/>
                <w:szCs w:val="18"/>
                <w:highlight w:val="none"/>
              </w:rPr>
            </w:pPr>
          </w:p>
        </w:tc>
        <w:tc>
          <w:tcPr>
            <w:tcW w:w="1177" w:type="pct"/>
            <w:tcBorders>
              <w:tl2br w:val="nil"/>
              <w:tr2bl w:val="nil"/>
            </w:tcBorders>
            <w:noWrap w:val="0"/>
            <w:vAlign w:val="center"/>
          </w:tcPr>
          <w:p w14:paraId="535E0592">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标准指数</w:t>
            </w:r>
          </w:p>
        </w:tc>
        <w:tc>
          <w:tcPr>
            <w:tcW w:w="1079" w:type="pct"/>
            <w:tcBorders>
              <w:tl2br w:val="nil"/>
              <w:tr2bl w:val="nil"/>
            </w:tcBorders>
            <w:noWrap w:val="0"/>
            <w:vAlign w:val="center"/>
          </w:tcPr>
          <w:p w14:paraId="0541D3AD">
            <w:pPr>
              <w:spacing w:line="0" w:lineRule="atLeast"/>
              <w:jc w:val="center"/>
              <w:rPr>
                <w:rFonts w:hint="default" w:ascii="Times New Roman" w:hAnsi="Times New Roman" w:eastAsia="宋体" w:cs="Times New Roman"/>
                <w:color w:val="auto"/>
                <w:spacing w:val="-10"/>
                <w:kern w:val="0"/>
                <w:sz w:val="18"/>
                <w:szCs w:val="18"/>
                <w:highlight w:val="none"/>
                <w:lang w:bidi="ar"/>
              </w:rPr>
            </w:pPr>
          </w:p>
        </w:tc>
        <w:tc>
          <w:tcPr>
            <w:tcW w:w="1013" w:type="pct"/>
            <w:tcBorders>
              <w:tl2br w:val="nil"/>
              <w:tr2bl w:val="nil"/>
            </w:tcBorders>
            <w:noWrap w:val="0"/>
            <w:vAlign w:val="center"/>
          </w:tcPr>
          <w:p w14:paraId="2B102553">
            <w:pPr>
              <w:spacing w:line="0" w:lineRule="atLeast"/>
              <w:jc w:val="center"/>
              <w:rPr>
                <w:rFonts w:hint="default" w:ascii="Times New Roman" w:hAnsi="Times New Roman" w:eastAsia="宋体" w:cs="Times New Roman"/>
                <w:color w:val="auto"/>
                <w:spacing w:val="-10"/>
                <w:sz w:val="18"/>
                <w:szCs w:val="18"/>
                <w:highlight w:val="none"/>
              </w:rPr>
            </w:pPr>
          </w:p>
        </w:tc>
      </w:tr>
      <w:tr w14:paraId="333936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994" w:type="pct"/>
            <w:vMerge w:val="restart"/>
            <w:tcBorders>
              <w:tl2br w:val="nil"/>
              <w:tr2bl w:val="nil"/>
            </w:tcBorders>
            <w:noWrap w:val="0"/>
            <w:vAlign w:val="center"/>
          </w:tcPr>
          <w:p w14:paraId="2245486B">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pH值</w:t>
            </w:r>
          </w:p>
        </w:tc>
        <w:tc>
          <w:tcPr>
            <w:tcW w:w="736" w:type="pct"/>
            <w:vMerge w:val="restart"/>
            <w:tcBorders>
              <w:tl2br w:val="nil"/>
              <w:tr2bl w:val="nil"/>
            </w:tcBorders>
            <w:noWrap w:val="0"/>
            <w:vAlign w:val="center"/>
          </w:tcPr>
          <w:p w14:paraId="7E6C7921">
            <w:pPr>
              <w:spacing w:line="0" w:lineRule="atLeast"/>
              <w:jc w:val="center"/>
              <w:rPr>
                <w:rFonts w:hint="default" w:ascii="Times New Roman" w:hAnsi="Times New Roman" w:eastAsia="宋体" w:cs="Times New Roman"/>
                <w:color w:val="auto"/>
                <w:spacing w:val="-10"/>
                <w:kern w:val="0"/>
                <w:sz w:val="18"/>
                <w:szCs w:val="18"/>
                <w:highlight w:val="none"/>
              </w:rPr>
            </w:pPr>
            <w:r>
              <w:rPr>
                <w:rFonts w:hint="default" w:ascii="Times New Roman" w:hAnsi="Times New Roman" w:eastAsia="宋体" w:cs="Times New Roman"/>
                <w:color w:val="auto"/>
                <w:spacing w:val="-10"/>
                <w:sz w:val="18"/>
                <w:szCs w:val="18"/>
                <w:highlight w:val="none"/>
              </w:rPr>
              <w:t>6.5</w:t>
            </w:r>
            <w:r>
              <w:rPr>
                <w:rFonts w:hint="eastAsia" w:cs="Times New Roman"/>
                <w:color w:val="auto"/>
                <w:spacing w:val="-10"/>
                <w:sz w:val="18"/>
                <w:szCs w:val="18"/>
                <w:highlight w:val="none"/>
                <w:lang w:eastAsia="zh-CN"/>
              </w:rPr>
              <w:t>~</w:t>
            </w:r>
            <w:r>
              <w:rPr>
                <w:rFonts w:hint="default" w:ascii="Times New Roman" w:hAnsi="Times New Roman" w:eastAsia="宋体" w:cs="Times New Roman"/>
                <w:color w:val="auto"/>
                <w:spacing w:val="-10"/>
                <w:sz w:val="18"/>
                <w:szCs w:val="18"/>
                <w:highlight w:val="none"/>
              </w:rPr>
              <w:t>8.5</w:t>
            </w:r>
          </w:p>
        </w:tc>
        <w:tc>
          <w:tcPr>
            <w:tcW w:w="1177" w:type="pct"/>
            <w:tcBorders>
              <w:tl2br w:val="nil"/>
              <w:tr2bl w:val="nil"/>
            </w:tcBorders>
            <w:noWrap w:val="0"/>
            <w:vAlign w:val="center"/>
          </w:tcPr>
          <w:p w14:paraId="775E01FB">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监测值</w:t>
            </w:r>
          </w:p>
        </w:tc>
        <w:tc>
          <w:tcPr>
            <w:tcW w:w="1079" w:type="pct"/>
            <w:tcBorders>
              <w:tl2br w:val="nil"/>
              <w:tr2bl w:val="nil"/>
            </w:tcBorders>
            <w:noWrap w:val="0"/>
            <w:vAlign w:val="center"/>
          </w:tcPr>
          <w:p w14:paraId="3735898E">
            <w:pPr>
              <w:widowControl/>
              <w:spacing w:line="0" w:lineRule="atLeast"/>
              <w:jc w:val="center"/>
              <w:rPr>
                <w:rFonts w:hint="default" w:ascii="Times New Roman" w:hAnsi="Times New Roman" w:eastAsia="宋体" w:cs="Times New Roman"/>
                <w:color w:val="auto"/>
                <w:spacing w:val="-10"/>
                <w:sz w:val="18"/>
                <w:szCs w:val="18"/>
                <w:highlight w:val="none"/>
              </w:rPr>
            </w:pPr>
          </w:p>
        </w:tc>
        <w:tc>
          <w:tcPr>
            <w:tcW w:w="1013" w:type="pct"/>
            <w:tcBorders>
              <w:tl2br w:val="nil"/>
              <w:tr2bl w:val="nil"/>
            </w:tcBorders>
            <w:noWrap w:val="0"/>
            <w:vAlign w:val="center"/>
          </w:tcPr>
          <w:p w14:paraId="689D0C23">
            <w:pPr>
              <w:widowControl/>
              <w:spacing w:line="0" w:lineRule="atLeast"/>
              <w:jc w:val="center"/>
              <w:rPr>
                <w:rFonts w:hint="default" w:ascii="Times New Roman" w:hAnsi="Times New Roman" w:eastAsia="宋体" w:cs="Times New Roman"/>
                <w:color w:val="auto"/>
                <w:spacing w:val="-10"/>
                <w:kern w:val="0"/>
                <w:sz w:val="18"/>
                <w:szCs w:val="18"/>
                <w:highlight w:val="none"/>
                <w:lang w:bidi="ar"/>
              </w:rPr>
            </w:pPr>
          </w:p>
        </w:tc>
      </w:tr>
      <w:tr w14:paraId="6E4C61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994" w:type="pct"/>
            <w:vMerge w:val="continue"/>
            <w:tcBorders>
              <w:tl2br w:val="nil"/>
              <w:tr2bl w:val="nil"/>
            </w:tcBorders>
            <w:noWrap w:val="0"/>
            <w:vAlign w:val="center"/>
          </w:tcPr>
          <w:p w14:paraId="446A7F76">
            <w:pPr>
              <w:spacing w:line="0" w:lineRule="atLeast"/>
              <w:jc w:val="center"/>
              <w:rPr>
                <w:rFonts w:hint="default" w:ascii="Times New Roman" w:hAnsi="Times New Roman" w:eastAsia="宋体" w:cs="Times New Roman"/>
                <w:color w:val="auto"/>
                <w:spacing w:val="-10"/>
                <w:sz w:val="18"/>
                <w:szCs w:val="18"/>
                <w:highlight w:val="none"/>
              </w:rPr>
            </w:pPr>
          </w:p>
        </w:tc>
        <w:tc>
          <w:tcPr>
            <w:tcW w:w="736" w:type="pct"/>
            <w:vMerge w:val="continue"/>
            <w:tcBorders>
              <w:tl2br w:val="nil"/>
              <w:tr2bl w:val="nil"/>
            </w:tcBorders>
            <w:noWrap w:val="0"/>
            <w:vAlign w:val="center"/>
          </w:tcPr>
          <w:p w14:paraId="6EFF6951">
            <w:pPr>
              <w:spacing w:line="0" w:lineRule="atLeast"/>
              <w:jc w:val="center"/>
              <w:rPr>
                <w:rFonts w:hint="default" w:ascii="Times New Roman" w:hAnsi="Times New Roman" w:eastAsia="宋体" w:cs="Times New Roman"/>
                <w:color w:val="auto"/>
                <w:spacing w:val="-10"/>
                <w:kern w:val="0"/>
                <w:sz w:val="18"/>
                <w:szCs w:val="18"/>
                <w:highlight w:val="none"/>
              </w:rPr>
            </w:pPr>
          </w:p>
        </w:tc>
        <w:tc>
          <w:tcPr>
            <w:tcW w:w="1177" w:type="pct"/>
            <w:tcBorders>
              <w:tl2br w:val="nil"/>
              <w:tr2bl w:val="nil"/>
            </w:tcBorders>
            <w:noWrap w:val="0"/>
            <w:vAlign w:val="center"/>
          </w:tcPr>
          <w:p w14:paraId="76F013A1">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标准指数</w:t>
            </w:r>
          </w:p>
        </w:tc>
        <w:tc>
          <w:tcPr>
            <w:tcW w:w="1079" w:type="pct"/>
            <w:tcBorders>
              <w:tl2br w:val="nil"/>
              <w:tr2bl w:val="nil"/>
            </w:tcBorders>
            <w:noWrap w:val="0"/>
            <w:vAlign w:val="center"/>
          </w:tcPr>
          <w:p w14:paraId="1CA85520">
            <w:pPr>
              <w:widowControl/>
              <w:spacing w:line="0" w:lineRule="atLeast"/>
              <w:jc w:val="center"/>
              <w:rPr>
                <w:rFonts w:hint="default" w:ascii="Times New Roman" w:hAnsi="Times New Roman" w:eastAsia="宋体" w:cs="Times New Roman"/>
                <w:color w:val="auto"/>
                <w:spacing w:val="-10"/>
                <w:sz w:val="18"/>
                <w:szCs w:val="18"/>
                <w:highlight w:val="none"/>
              </w:rPr>
            </w:pPr>
          </w:p>
        </w:tc>
        <w:tc>
          <w:tcPr>
            <w:tcW w:w="1013" w:type="pct"/>
            <w:tcBorders>
              <w:tl2br w:val="nil"/>
              <w:tr2bl w:val="nil"/>
            </w:tcBorders>
            <w:noWrap w:val="0"/>
            <w:vAlign w:val="center"/>
          </w:tcPr>
          <w:p w14:paraId="15B1DFC2">
            <w:pPr>
              <w:widowControl/>
              <w:spacing w:line="0" w:lineRule="atLeast"/>
              <w:jc w:val="center"/>
              <w:rPr>
                <w:rFonts w:hint="default" w:ascii="Times New Roman" w:hAnsi="Times New Roman" w:eastAsia="宋体" w:cs="Times New Roman"/>
                <w:color w:val="auto"/>
                <w:spacing w:val="-10"/>
                <w:kern w:val="0"/>
                <w:sz w:val="18"/>
                <w:szCs w:val="18"/>
                <w:highlight w:val="none"/>
                <w:lang w:bidi="ar"/>
              </w:rPr>
            </w:pPr>
          </w:p>
        </w:tc>
      </w:tr>
      <w:tr w14:paraId="000E8E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5" w:hRule="atLeast"/>
          <w:jc w:val="center"/>
        </w:trPr>
        <w:tc>
          <w:tcPr>
            <w:tcW w:w="994" w:type="pct"/>
            <w:vMerge w:val="restart"/>
            <w:tcBorders>
              <w:tl2br w:val="nil"/>
              <w:tr2bl w:val="nil"/>
            </w:tcBorders>
            <w:noWrap w:val="0"/>
            <w:vAlign w:val="center"/>
          </w:tcPr>
          <w:p w14:paraId="7BA69BBE">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总硬度</w:t>
            </w:r>
          </w:p>
        </w:tc>
        <w:tc>
          <w:tcPr>
            <w:tcW w:w="736" w:type="pct"/>
            <w:vMerge w:val="restart"/>
            <w:tcBorders>
              <w:tl2br w:val="nil"/>
              <w:tr2bl w:val="nil"/>
            </w:tcBorders>
            <w:noWrap w:val="0"/>
            <w:vAlign w:val="center"/>
          </w:tcPr>
          <w:p w14:paraId="6BEF3724">
            <w:pPr>
              <w:spacing w:line="0" w:lineRule="atLeast"/>
              <w:jc w:val="center"/>
              <w:rPr>
                <w:rFonts w:hint="default" w:ascii="Times New Roman" w:hAnsi="Times New Roman" w:eastAsia="宋体" w:cs="Times New Roman"/>
                <w:color w:val="auto"/>
                <w:spacing w:val="-10"/>
                <w:kern w:val="0"/>
                <w:sz w:val="18"/>
                <w:szCs w:val="18"/>
                <w:highlight w:val="none"/>
              </w:rPr>
            </w:pPr>
            <w:r>
              <w:rPr>
                <w:rFonts w:hint="default" w:ascii="Times New Roman" w:hAnsi="Times New Roman" w:eastAsia="宋体" w:cs="Times New Roman"/>
                <w:color w:val="auto"/>
                <w:spacing w:val="-10"/>
                <w:sz w:val="18"/>
                <w:szCs w:val="18"/>
                <w:highlight w:val="none"/>
              </w:rPr>
              <w:t>≤450</w:t>
            </w:r>
          </w:p>
        </w:tc>
        <w:tc>
          <w:tcPr>
            <w:tcW w:w="1177" w:type="pct"/>
            <w:tcBorders>
              <w:tl2br w:val="nil"/>
              <w:tr2bl w:val="nil"/>
            </w:tcBorders>
            <w:noWrap w:val="0"/>
            <w:vAlign w:val="center"/>
          </w:tcPr>
          <w:p w14:paraId="6E704A9F">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监测值</w:t>
            </w:r>
          </w:p>
        </w:tc>
        <w:tc>
          <w:tcPr>
            <w:tcW w:w="1079" w:type="pct"/>
            <w:tcBorders>
              <w:tl2br w:val="nil"/>
              <w:tr2bl w:val="nil"/>
            </w:tcBorders>
            <w:noWrap w:val="0"/>
            <w:vAlign w:val="center"/>
          </w:tcPr>
          <w:p w14:paraId="4D98293E">
            <w:pPr>
              <w:widowControl/>
              <w:spacing w:line="0" w:lineRule="atLeast"/>
              <w:jc w:val="center"/>
              <w:rPr>
                <w:rFonts w:hint="default" w:ascii="Times New Roman" w:hAnsi="Times New Roman" w:eastAsia="宋体" w:cs="Times New Roman"/>
                <w:color w:val="auto"/>
                <w:spacing w:val="-10"/>
                <w:sz w:val="18"/>
                <w:szCs w:val="18"/>
                <w:highlight w:val="none"/>
              </w:rPr>
            </w:pPr>
          </w:p>
        </w:tc>
        <w:tc>
          <w:tcPr>
            <w:tcW w:w="1013" w:type="pct"/>
            <w:tcBorders>
              <w:tl2br w:val="nil"/>
              <w:tr2bl w:val="nil"/>
            </w:tcBorders>
            <w:noWrap w:val="0"/>
            <w:vAlign w:val="center"/>
          </w:tcPr>
          <w:p w14:paraId="321496C4">
            <w:pPr>
              <w:widowControl/>
              <w:spacing w:line="0" w:lineRule="atLeast"/>
              <w:jc w:val="center"/>
              <w:rPr>
                <w:rFonts w:hint="default" w:ascii="Times New Roman" w:hAnsi="Times New Roman" w:eastAsia="宋体" w:cs="Times New Roman"/>
                <w:color w:val="auto"/>
                <w:spacing w:val="-10"/>
                <w:kern w:val="0"/>
                <w:sz w:val="18"/>
                <w:szCs w:val="18"/>
                <w:highlight w:val="none"/>
                <w:lang w:bidi="ar"/>
              </w:rPr>
            </w:pPr>
          </w:p>
        </w:tc>
      </w:tr>
      <w:tr w14:paraId="4FE38C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5" w:hRule="atLeast"/>
          <w:jc w:val="center"/>
        </w:trPr>
        <w:tc>
          <w:tcPr>
            <w:tcW w:w="994" w:type="pct"/>
            <w:vMerge w:val="continue"/>
            <w:tcBorders>
              <w:tl2br w:val="nil"/>
              <w:tr2bl w:val="nil"/>
            </w:tcBorders>
            <w:noWrap w:val="0"/>
            <w:vAlign w:val="center"/>
          </w:tcPr>
          <w:p w14:paraId="33A0CD38">
            <w:pPr>
              <w:spacing w:line="0" w:lineRule="atLeast"/>
              <w:jc w:val="center"/>
              <w:rPr>
                <w:rFonts w:hint="default" w:ascii="Times New Roman" w:hAnsi="Times New Roman" w:eastAsia="宋体" w:cs="Times New Roman"/>
                <w:color w:val="auto"/>
                <w:spacing w:val="-10"/>
                <w:sz w:val="18"/>
                <w:szCs w:val="18"/>
                <w:highlight w:val="none"/>
              </w:rPr>
            </w:pPr>
          </w:p>
        </w:tc>
        <w:tc>
          <w:tcPr>
            <w:tcW w:w="736" w:type="pct"/>
            <w:vMerge w:val="continue"/>
            <w:tcBorders>
              <w:tl2br w:val="nil"/>
              <w:tr2bl w:val="nil"/>
            </w:tcBorders>
            <w:noWrap w:val="0"/>
            <w:vAlign w:val="center"/>
          </w:tcPr>
          <w:p w14:paraId="245CBB50">
            <w:pPr>
              <w:spacing w:line="0" w:lineRule="atLeast"/>
              <w:jc w:val="center"/>
              <w:rPr>
                <w:rFonts w:hint="default" w:ascii="Times New Roman" w:hAnsi="Times New Roman" w:eastAsia="宋体" w:cs="Times New Roman"/>
                <w:color w:val="auto"/>
                <w:spacing w:val="-10"/>
                <w:kern w:val="0"/>
                <w:sz w:val="18"/>
                <w:szCs w:val="18"/>
                <w:highlight w:val="none"/>
              </w:rPr>
            </w:pPr>
          </w:p>
        </w:tc>
        <w:tc>
          <w:tcPr>
            <w:tcW w:w="1177" w:type="pct"/>
            <w:tcBorders>
              <w:tl2br w:val="nil"/>
              <w:tr2bl w:val="nil"/>
            </w:tcBorders>
            <w:noWrap w:val="0"/>
            <w:vAlign w:val="center"/>
          </w:tcPr>
          <w:p w14:paraId="769E4DFC">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标准指数</w:t>
            </w:r>
          </w:p>
        </w:tc>
        <w:tc>
          <w:tcPr>
            <w:tcW w:w="1079" w:type="pct"/>
            <w:tcBorders>
              <w:tl2br w:val="nil"/>
              <w:tr2bl w:val="nil"/>
            </w:tcBorders>
            <w:noWrap w:val="0"/>
            <w:vAlign w:val="center"/>
          </w:tcPr>
          <w:p w14:paraId="1BAFF24C">
            <w:pPr>
              <w:widowControl/>
              <w:spacing w:line="0" w:lineRule="atLeast"/>
              <w:jc w:val="center"/>
              <w:rPr>
                <w:rFonts w:hint="default" w:ascii="Times New Roman" w:hAnsi="Times New Roman" w:eastAsia="宋体" w:cs="Times New Roman"/>
                <w:color w:val="auto"/>
                <w:spacing w:val="-10"/>
                <w:sz w:val="18"/>
                <w:szCs w:val="18"/>
                <w:highlight w:val="none"/>
              </w:rPr>
            </w:pPr>
          </w:p>
        </w:tc>
        <w:tc>
          <w:tcPr>
            <w:tcW w:w="1013" w:type="pct"/>
            <w:tcBorders>
              <w:tl2br w:val="nil"/>
              <w:tr2bl w:val="nil"/>
            </w:tcBorders>
            <w:noWrap w:val="0"/>
            <w:vAlign w:val="center"/>
          </w:tcPr>
          <w:p w14:paraId="1E1E6FB0">
            <w:pPr>
              <w:widowControl/>
              <w:spacing w:line="0" w:lineRule="atLeast"/>
              <w:jc w:val="center"/>
              <w:rPr>
                <w:rFonts w:hint="default" w:ascii="Times New Roman" w:hAnsi="Times New Roman" w:eastAsia="宋体" w:cs="Times New Roman"/>
                <w:color w:val="auto"/>
                <w:spacing w:val="-10"/>
                <w:kern w:val="0"/>
                <w:sz w:val="18"/>
                <w:szCs w:val="18"/>
                <w:highlight w:val="none"/>
                <w:lang w:bidi="ar"/>
              </w:rPr>
            </w:pPr>
          </w:p>
        </w:tc>
      </w:tr>
      <w:tr w14:paraId="4FDCF9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5" w:hRule="atLeast"/>
          <w:jc w:val="center"/>
        </w:trPr>
        <w:tc>
          <w:tcPr>
            <w:tcW w:w="994" w:type="pct"/>
            <w:vMerge w:val="restart"/>
            <w:tcBorders>
              <w:tl2br w:val="nil"/>
              <w:tr2bl w:val="nil"/>
            </w:tcBorders>
            <w:noWrap w:val="0"/>
            <w:vAlign w:val="center"/>
          </w:tcPr>
          <w:p w14:paraId="2A71B219">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br w:type="page"/>
            </w:r>
            <w:r>
              <w:rPr>
                <w:rFonts w:hint="default" w:ascii="Times New Roman" w:hAnsi="Times New Roman" w:eastAsia="宋体" w:cs="Times New Roman"/>
                <w:color w:val="auto"/>
                <w:spacing w:val="-10"/>
                <w:sz w:val="18"/>
                <w:szCs w:val="18"/>
                <w:highlight w:val="none"/>
              </w:rPr>
              <w:t>溶解性</w:t>
            </w:r>
          </w:p>
          <w:p w14:paraId="1F7ED720">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总固体</w:t>
            </w:r>
          </w:p>
        </w:tc>
        <w:tc>
          <w:tcPr>
            <w:tcW w:w="736" w:type="pct"/>
            <w:vMerge w:val="restart"/>
            <w:tcBorders>
              <w:tl2br w:val="nil"/>
              <w:tr2bl w:val="nil"/>
            </w:tcBorders>
            <w:noWrap w:val="0"/>
            <w:vAlign w:val="center"/>
          </w:tcPr>
          <w:p w14:paraId="160364A2">
            <w:pPr>
              <w:spacing w:line="0" w:lineRule="atLeast"/>
              <w:jc w:val="center"/>
              <w:rPr>
                <w:rFonts w:hint="default" w:ascii="Times New Roman" w:hAnsi="Times New Roman" w:eastAsia="宋体" w:cs="Times New Roman"/>
                <w:color w:val="auto"/>
                <w:spacing w:val="-10"/>
                <w:kern w:val="0"/>
                <w:sz w:val="18"/>
                <w:szCs w:val="18"/>
                <w:highlight w:val="none"/>
              </w:rPr>
            </w:pPr>
            <w:r>
              <w:rPr>
                <w:rFonts w:hint="default" w:ascii="Times New Roman" w:hAnsi="Times New Roman" w:eastAsia="宋体" w:cs="Times New Roman"/>
                <w:color w:val="auto"/>
                <w:spacing w:val="-10"/>
                <w:sz w:val="18"/>
                <w:szCs w:val="18"/>
                <w:highlight w:val="none"/>
              </w:rPr>
              <w:t>≤1000</w:t>
            </w:r>
          </w:p>
        </w:tc>
        <w:tc>
          <w:tcPr>
            <w:tcW w:w="1177" w:type="pct"/>
            <w:tcBorders>
              <w:tl2br w:val="nil"/>
              <w:tr2bl w:val="nil"/>
            </w:tcBorders>
            <w:noWrap w:val="0"/>
            <w:vAlign w:val="center"/>
          </w:tcPr>
          <w:p w14:paraId="2E6FDE1E">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监测值</w:t>
            </w:r>
          </w:p>
        </w:tc>
        <w:tc>
          <w:tcPr>
            <w:tcW w:w="1079" w:type="pct"/>
            <w:tcBorders>
              <w:tl2br w:val="nil"/>
              <w:tr2bl w:val="nil"/>
            </w:tcBorders>
            <w:noWrap w:val="0"/>
            <w:vAlign w:val="center"/>
          </w:tcPr>
          <w:p w14:paraId="3ECACB5B">
            <w:pPr>
              <w:widowControl/>
              <w:spacing w:line="0" w:lineRule="atLeast"/>
              <w:jc w:val="center"/>
              <w:rPr>
                <w:rFonts w:hint="default" w:ascii="Times New Roman" w:hAnsi="Times New Roman" w:eastAsia="宋体" w:cs="Times New Roman"/>
                <w:color w:val="auto"/>
                <w:spacing w:val="-10"/>
                <w:sz w:val="18"/>
                <w:szCs w:val="18"/>
                <w:highlight w:val="none"/>
              </w:rPr>
            </w:pPr>
          </w:p>
        </w:tc>
        <w:tc>
          <w:tcPr>
            <w:tcW w:w="1013" w:type="pct"/>
            <w:tcBorders>
              <w:tl2br w:val="nil"/>
              <w:tr2bl w:val="nil"/>
            </w:tcBorders>
            <w:noWrap w:val="0"/>
            <w:vAlign w:val="center"/>
          </w:tcPr>
          <w:p w14:paraId="4A993CBB">
            <w:pPr>
              <w:widowControl/>
              <w:spacing w:line="0" w:lineRule="atLeast"/>
              <w:jc w:val="center"/>
              <w:rPr>
                <w:rFonts w:hint="default" w:ascii="Times New Roman" w:hAnsi="Times New Roman" w:eastAsia="宋体" w:cs="Times New Roman"/>
                <w:color w:val="auto"/>
                <w:spacing w:val="-10"/>
                <w:kern w:val="0"/>
                <w:sz w:val="18"/>
                <w:szCs w:val="18"/>
                <w:highlight w:val="none"/>
                <w:lang w:bidi="ar"/>
              </w:rPr>
            </w:pPr>
          </w:p>
        </w:tc>
      </w:tr>
      <w:tr w14:paraId="7D7393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5" w:hRule="atLeast"/>
          <w:jc w:val="center"/>
        </w:trPr>
        <w:tc>
          <w:tcPr>
            <w:tcW w:w="994" w:type="pct"/>
            <w:vMerge w:val="continue"/>
            <w:tcBorders>
              <w:tl2br w:val="nil"/>
              <w:tr2bl w:val="nil"/>
            </w:tcBorders>
            <w:noWrap w:val="0"/>
            <w:vAlign w:val="center"/>
          </w:tcPr>
          <w:p w14:paraId="73FF5592">
            <w:pPr>
              <w:spacing w:line="0" w:lineRule="atLeast"/>
              <w:jc w:val="center"/>
              <w:rPr>
                <w:rFonts w:hint="default" w:ascii="Times New Roman" w:hAnsi="Times New Roman" w:eastAsia="宋体" w:cs="Times New Roman"/>
                <w:color w:val="auto"/>
                <w:spacing w:val="-10"/>
                <w:sz w:val="18"/>
                <w:szCs w:val="18"/>
                <w:highlight w:val="none"/>
              </w:rPr>
            </w:pPr>
          </w:p>
        </w:tc>
        <w:tc>
          <w:tcPr>
            <w:tcW w:w="736" w:type="pct"/>
            <w:vMerge w:val="continue"/>
            <w:tcBorders>
              <w:tl2br w:val="nil"/>
              <w:tr2bl w:val="nil"/>
            </w:tcBorders>
            <w:noWrap w:val="0"/>
            <w:vAlign w:val="center"/>
          </w:tcPr>
          <w:p w14:paraId="125C8371">
            <w:pPr>
              <w:spacing w:line="0" w:lineRule="atLeast"/>
              <w:jc w:val="center"/>
              <w:rPr>
                <w:rFonts w:hint="default" w:ascii="Times New Roman" w:hAnsi="Times New Roman" w:eastAsia="宋体" w:cs="Times New Roman"/>
                <w:color w:val="auto"/>
                <w:spacing w:val="-10"/>
                <w:kern w:val="0"/>
                <w:sz w:val="18"/>
                <w:szCs w:val="18"/>
                <w:highlight w:val="none"/>
              </w:rPr>
            </w:pPr>
          </w:p>
        </w:tc>
        <w:tc>
          <w:tcPr>
            <w:tcW w:w="1177" w:type="pct"/>
            <w:tcBorders>
              <w:tl2br w:val="nil"/>
              <w:tr2bl w:val="nil"/>
            </w:tcBorders>
            <w:noWrap w:val="0"/>
            <w:vAlign w:val="center"/>
          </w:tcPr>
          <w:p w14:paraId="50C6CB19">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标准指数</w:t>
            </w:r>
          </w:p>
        </w:tc>
        <w:tc>
          <w:tcPr>
            <w:tcW w:w="1079" w:type="pct"/>
            <w:tcBorders>
              <w:tl2br w:val="nil"/>
              <w:tr2bl w:val="nil"/>
            </w:tcBorders>
            <w:noWrap w:val="0"/>
            <w:vAlign w:val="center"/>
          </w:tcPr>
          <w:p w14:paraId="39490BFA">
            <w:pPr>
              <w:widowControl/>
              <w:spacing w:line="0" w:lineRule="atLeast"/>
              <w:jc w:val="center"/>
              <w:rPr>
                <w:rFonts w:hint="default" w:ascii="Times New Roman" w:hAnsi="Times New Roman" w:eastAsia="宋体" w:cs="Times New Roman"/>
                <w:color w:val="auto"/>
                <w:spacing w:val="-10"/>
                <w:sz w:val="18"/>
                <w:szCs w:val="18"/>
                <w:highlight w:val="none"/>
              </w:rPr>
            </w:pPr>
          </w:p>
        </w:tc>
        <w:tc>
          <w:tcPr>
            <w:tcW w:w="1013" w:type="pct"/>
            <w:tcBorders>
              <w:tl2br w:val="nil"/>
              <w:tr2bl w:val="nil"/>
            </w:tcBorders>
            <w:noWrap w:val="0"/>
            <w:vAlign w:val="center"/>
          </w:tcPr>
          <w:p w14:paraId="03096991">
            <w:pPr>
              <w:widowControl/>
              <w:spacing w:line="0" w:lineRule="atLeast"/>
              <w:jc w:val="center"/>
              <w:rPr>
                <w:rFonts w:hint="default" w:ascii="Times New Roman" w:hAnsi="Times New Roman" w:eastAsia="宋体" w:cs="Times New Roman"/>
                <w:color w:val="auto"/>
                <w:spacing w:val="-10"/>
                <w:kern w:val="0"/>
                <w:sz w:val="18"/>
                <w:szCs w:val="18"/>
                <w:highlight w:val="none"/>
                <w:lang w:bidi="ar"/>
              </w:rPr>
            </w:pPr>
          </w:p>
        </w:tc>
      </w:tr>
      <w:tr w14:paraId="103CEB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5" w:hRule="atLeast"/>
          <w:jc w:val="center"/>
        </w:trPr>
        <w:tc>
          <w:tcPr>
            <w:tcW w:w="994" w:type="pct"/>
            <w:vMerge w:val="restart"/>
            <w:tcBorders>
              <w:tl2br w:val="nil"/>
              <w:tr2bl w:val="nil"/>
            </w:tcBorders>
            <w:noWrap w:val="0"/>
            <w:vAlign w:val="center"/>
          </w:tcPr>
          <w:p w14:paraId="3CD4931B">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kern w:val="0"/>
                <w:sz w:val="18"/>
                <w:szCs w:val="18"/>
                <w:highlight w:val="none"/>
              </w:rPr>
              <w:t>氯化物</w:t>
            </w:r>
          </w:p>
        </w:tc>
        <w:tc>
          <w:tcPr>
            <w:tcW w:w="736" w:type="pct"/>
            <w:vMerge w:val="restart"/>
            <w:tcBorders>
              <w:tl2br w:val="nil"/>
              <w:tr2bl w:val="nil"/>
            </w:tcBorders>
            <w:noWrap w:val="0"/>
            <w:vAlign w:val="center"/>
          </w:tcPr>
          <w:p w14:paraId="1DC81A1D">
            <w:pPr>
              <w:spacing w:line="0" w:lineRule="atLeast"/>
              <w:jc w:val="center"/>
              <w:rPr>
                <w:rFonts w:hint="default" w:ascii="Times New Roman" w:hAnsi="Times New Roman" w:eastAsia="宋体" w:cs="Times New Roman"/>
                <w:color w:val="auto"/>
                <w:spacing w:val="-10"/>
                <w:kern w:val="0"/>
                <w:sz w:val="18"/>
                <w:szCs w:val="18"/>
                <w:highlight w:val="none"/>
              </w:rPr>
            </w:pPr>
            <w:r>
              <w:rPr>
                <w:rFonts w:hint="default" w:ascii="Times New Roman" w:hAnsi="Times New Roman" w:eastAsia="宋体" w:cs="Times New Roman"/>
                <w:color w:val="auto"/>
                <w:spacing w:val="-10"/>
                <w:sz w:val="18"/>
                <w:szCs w:val="18"/>
                <w:highlight w:val="none"/>
              </w:rPr>
              <w:t>≤250</w:t>
            </w:r>
          </w:p>
        </w:tc>
        <w:tc>
          <w:tcPr>
            <w:tcW w:w="1177" w:type="pct"/>
            <w:tcBorders>
              <w:tl2br w:val="nil"/>
              <w:tr2bl w:val="nil"/>
            </w:tcBorders>
            <w:noWrap w:val="0"/>
            <w:vAlign w:val="center"/>
          </w:tcPr>
          <w:p w14:paraId="6325A967">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监测值</w:t>
            </w:r>
          </w:p>
        </w:tc>
        <w:tc>
          <w:tcPr>
            <w:tcW w:w="1079" w:type="pct"/>
            <w:tcBorders>
              <w:tl2br w:val="nil"/>
              <w:tr2bl w:val="nil"/>
            </w:tcBorders>
            <w:noWrap w:val="0"/>
            <w:vAlign w:val="center"/>
          </w:tcPr>
          <w:p w14:paraId="3E33B8F5">
            <w:pPr>
              <w:widowControl/>
              <w:spacing w:line="0" w:lineRule="atLeast"/>
              <w:jc w:val="center"/>
              <w:rPr>
                <w:rFonts w:hint="default" w:ascii="Times New Roman" w:hAnsi="Times New Roman" w:eastAsia="宋体" w:cs="Times New Roman"/>
                <w:color w:val="auto"/>
                <w:spacing w:val="-10"/>
                <w:kern w:val="0"/>
                <w:sz w:val="18"/>
                <w:szCs w:val="18"/>
                <w:highlight w:val="none"/>
                <w:lang w:bidi="ar"/>
              </w:rPr>
            </w:pPr>
          </w:p>
        </w:tc>
        <w:tc>
          <w:tcPr>
            <w:tcW w:w="1013" w:type="pct"/>
            <w:tcBorders>
              <w:tl2br w:val="nil"/>
              <w:tr2bl w:val="nil"/>
            </w:tcBorders>
            <w:noWrap w:val="0"/>
            <w:vAlign w:val="center"/>
          </w:tcPr>
          <w:p w14:paraId="4D3F03A1">
            <w:pPr>
              <w:widowControl/>
              <w:spacing w:line="0" w:lineRule="atLeast"/>
              <w:jc w:val="center"/>
              <w:rPr>
                <w:rFonts w:hint="default" w:ascii="Times New Roman" w:hAnsi="Times New Roman" w:eastAsia="宋体" w:cs="Times New Roman"/>
                <w:color w:val="auto"/>
                <w:spacing w:val="-10"/>
                <w:kern w:val="0"/>
                <w:sz w:val="18"/>
                <w:szCs w:val="18"/>
                <w:highlight w:val="none"/>
                <w:lang w:bidi="ar"/>
              </w:rPr>
            </w:pPr>
          </w:p>
        </w:tc>
      </w:tr>
      <w:tr w14:paraId="50DC4F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5" w:hRule="atLeast"/>
          <w:jc w:val="center"/>
        </w:trPr>
        <w:tc>
          <w:tcPr>
            <w:tcW w:w="994" w:type="pct"/>
            <w:vMerge w:val="continue"/>
            <w:tcBorders>
              <w:tl2br w:val="nil"/>
              <w:tr2bl w:val="nil"/>
            </w:tcBorders>
            <w:noWrap w:val="0"/>
            <w:vAlign w:val="center"/>
          </w:tcPr>
          <w:p w14:paraId="6EC7C39B">
            <w:pPr>
              <w:spacing w:line="0" w:lineRule="atLeast"/>
              <w:jc w:val="center"/>
              <w:rPr>
                <w:rFonts w:hint="default" w:ascii="Times New Roman" w:hAnsi="Times New Roman" w:eastAsia="宋体" w:cs="Times New Roman"/>
                <w:color w:val="auto"/>
                <w:spacing w:val="-10"/>
                <w:sz w:val="18"/>
                <w:szCs w:val="18"/>
                <w:highlight w:val="none"/>
              </w:rPr>
            </w:pPr>
          </w:p>
        </w:tc>
        <w:tc>
          <w:tcPr>
            <w:tcW w:w="736" w:type="pct"/>
            <w:vMerge w:val="continue"/>
            <w:tcBorders>
              <w:tl2br w:val="nil"/>
              <w:tr2bl w:val="nil"/>
            </w:tcBorders>
            <w:noWrap w:val="0"/>
            <w:vAlign w:val="center"/>
          </w:tcPr>
          <w:p w14:paraId="6F7C4F41">
            <w:pPr>
              <w:spacing w:line="0" w:lineRule="atLeast"/>
              <w:jc w:val="center"/>
              <w:rPr>
                <w:rFonts w:hint="default" w:ascii="Times New Roman" w:hAnsi="Times New Roman" w:eastAsia="宋体" w:cs="Times New Roman"/>
                <w:color w:val="auto"/>
                <w:spacing w:val="-10"/>
                <w:kern w:val="0"/>
                <w:sz w:val="18"/>
                <w:szCs w:val="18"/>
                <w:highlight w:val="none"/>
              </w:rPr>
            </w:pPr>
          </w:p>
        </w:tc>
        <w:tc>
          <w:tcPr>
            <w:tcW w:w="1177" w:type="pct"/>
            <w:tcBorders>
              <w:tl2br w:val="nil"/>
              <w:tr2bl w:val="nil"/>
            </w:tcBorders>
            <w:noWrap w:val="0"/>
            <w:vAlign w:val="center"/>
          </w:tcPr>
          <w:p w14:paraId="085DC541">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标准指数</w:t>
            </w:r>
          </w:p>
        </w:tc>
        <w:tc>
          <w:tcPr>
            <w:tcW w:w="1079" w:type="pct"/>
            <w:tcBorders>
              <w:tl2br w:val="nil"/>
              <w:tr2bl w:val="nil"/>
            </w:tcBorders>
            <w:noWrap w:val="0"/>
            <w:vAlign w:val="center"/>
          </w:tcPr>
          <w:p w14:paraId="65253E82">
            <w:pPr>
              <w:widowControl/>
              <w:spacing w:line="0" w:lineRule="atLeast"/>
              <w:jc w:val="center"/>
              <w:rPr>
                <w:rFonts w:hint="default" w:ascii="Times New Roman" w:hAnsi="Times New Roman" w:eastAsia="宋体" w:cs="Times New Roman"/>
                <w:color w:val="auto"/>
                <w:spacing w:val="-10"/>
                <w:kern w:val="0"/>
                <w:sz w:val="18"/>
                <w:szCs w:val="18"/>
                <w:highlight w:val="none"/>
                <w:lang w:bidi="ar"/>
              </w:rPr>
            </w:pPr>
          </w:p>
        </w:tc>
        <w:tc>
          <w:tcPr>
            <w:tcW w:w="1013" w:type="pct"/>
            <w:tcBorders>
              <w:tl2br w:val="nil"/>
              <w:tr2bl w:val="nil"/>
            </w:tcBorders>
            <w:noWrap w:val="0"/>
            <w:vAlign w:val="center"/>
          </w:tcPr>
          <w:p w14:paraId="790BF4E9">
            <w:pPr>
              <w:widowControl/>
              <w:spacing w:line="0" w:lineRule="atLeast"/>
              <w:jc w:val="center"/>
              <w:rPr>
                <w:rFonts w:hint="default" w:ascii="Times New Roman" w:hAnsi="Times New Roman" w:eastAsia="宋体" w:cs="Times New Roman"/>
                <w:color w:val="auto"/>
                <w:spacing w:val="-10"/>
                <w:kern w:val="0"/>
                <w:sz w:val="18"/>
                <w:szCs w:val="18"/>
                <w:highlight w:val="none"/>
                <w:lang w:bidi="ar"/>
              </w:rPr>
            </w:pPr>
          </w:p>
        </w:tc>
      </w:tr>
      <w:tr w14:paraId="3959B0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5" w:hRule="atLeast"/>
          <w:jc w:val="center"/>
        </w:trPr>
        <w:tc>
          <w:tcPr>
            <w:tcW w:w="994" w:type="pct"/>
            <w:vMerge w:val="restart"/>
            <w:tcBorders>
              <w:tl2br w:val="nil"/>
              <w:tr2bl w:val="nil"/>
            </w:tcBorders>
            <w:noWrap w:val="0"/>
            <w:vAlign w:val="center"/>
          </w:tcPr>
          <w:p w14:paraId="08284309">
            <w:pPr>
              <w:spacing w:line="0" w:lineRule="atLeast"/>
              <w:jc w:val="center"/>
              <w:rPr>
                <w:rFonts w:hint="default" w:ascii="Times New Roman" w:hAnsi="Times New Roman" w:eastAsia="宋体" w:cs="Times New Roman"/>
                <w:color w:val="auto"/>
                <w:spacing w:val="-10"/>
                <w:kern w:val="0"/>
                <w:sz w:val="18"/>
                <w:szCs w:val="18"/>
                <w:highlight w:val="none"/>
              </w:rPr>
            </w:pPr>
            <w:r>
              <w:rPr>
                <w:rFonts w:hint="default" w:ascii="Times New Roman" w:hAnsi="Times New Roman" w:eastAsia="宋体" w:cs="Times New Roman"/>
                <w:color w:val="auto"/>
                <w:spacing w:val="-10"/>
                <w:kern w:val="0"/>
                <w:sz w:val="18"/>
                <w:szCs w:val="18"/>
                <w:highlight w:val="none"/>
              </w:rPr>
              <w:t>硫酸盐</w:t>
            </w:r>
          </w:p>
        </w:tc>
        <w:tc>
          <w:tcPr>
            <w:tcW w:w="736" w:type="pct"/>
            <w:vMerge w:val="restart"/>
            <w:tcBorders>
              <w:tl2br w:val="nil"/>
              <w:tr2bl w:val="nil"/>
            </w:tcBorders>
            <w:noWrap w:val="0"/>
            <w:vAlign w:val="center"/>
          </w:tcPr>
          <w:p w14:paraId="72D0144E">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≤250</w:t>
            </w:r>
          </w:p>
        </w:tc>
        <w:tc>
          <w:tcPr>
            <w:tcW w:w="1177" w:type="pct"/>
            <w:tcBorders>
              <w:tl2br w:val="nil"/>
              <w:tr2bl w:val="nil"/>
            </w:tcBorders>
            <w:noWrap w:val="0"/>
            <w:vAlign w:val="center"/>
          </w:tcPr>
          <w:p w14:paraId="04E432D7">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监测值</w:t>
            </w:r>
          </w:p>
        </w:tc>
        <w:tc>
          <w:tcPr>
            <w:tcW w:w="1079" w:type="pct"/>
            <w:tcBorders>
              <w:tl2br w:val="nil"/>
              <w:tr2bl w:val="nil"/>
            </w:tcBorders>
            <w:noWrap w:val="0"/>
            <w:vAlign w:val="center"/>
          </w:tcPr>
          <w:p w14:paraId="74BF536D">
            <w:pPr>
              <w:widowControl/>
              <w:spacing w:line="0" w:lineRule="atLeast"/>
              <w:jc w:val="center"/>
              <w:rPr>
                <w:rFonts w:hint="default" w:ascii="Times New Roman" w:hAnsi="Times New Roman" w:eastAsia="宋体" w:cs="Times New Roman"/>
                <w:color w:val="auto"/>
                <w:spacing w:val="-10"/>
                <w:kern w:val="0"/>
                <w:sz w:val="18"/>
                <w:szCs w:val="18"/>
                <w:highlight w:val="none"/>
                <w:lang w:bidi="ar"/>
              </w:rPr>
            </w:pPr>
          </w:p>
        </w:tc>
        <w:tc>
          <w:tcPr>
            <w:tcW w:w="1013" w:type="pct"/>
            <w:tcBorders>
              <w:tl2br w:val="nil"/>
              <w:tr2bl w:val="nil"/>
            </w:tcBorders>
            <w:noWrap w:val="0"/>
            <w:vAlign w:val="center"/>
          </w:tcPr>
          <w:p w14:paraId="233C86D2">
            <w:pPr>
              <w:widowControl/>
              <w:spacing w:line="0" w:lineRule="atLeast"/>
              <w:jc w:val="center"/>
              <w:rPr>
                <w:rFonts w:hint="default" w:ascii="Times New Roman" w:hAnsi="Times New Roman" w:eastAsia="宋体" w:cs="Times New Roman"/>
                <w:color w:val="auto"/>
                <w:spacing w:val="-10"/>
                <w:kern w:val="0"/>
                <w:sz w:val="18"/>
                <w:szCs w:val="18"/>
                <w:highlight w:val="none"/>
                <w:lang w:bidi="ar"/>
              </w:rPr>
            </w:pPr>
          </w:p>
        </w:tc>
      </w:tr>
      <w:tr w14:paraId="25FF0C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5" w:hRule="atLeast"/>
          <w:jc w:val="center"/>
        </w:trPr>
        <w:tc>
          <w:tcPr>
            <w:tcW w:w="994" w:type="pct"/>
            <w:vMerge w:val="continue"/>
            <w:tcBorders>
              <w:tl2br w:val="nil"/>
              <w:tr2bl w:val="nil"/>
            </w:tcBorders>
            <w:noWrap w:val="0"/>
            <w:vAlign w:val="center"/>
          </w:tcPr>
          <w:p w14:paraId="28511032">
            <w:pPr>
              <w:spacing w:line="0" w:lineRule="atLeast"/>
              <w:jc w:val="center"/>
              <w:rPr>
                <w:rFonts w:hint="default" w:ascii="Times New Roman" w:hAnsi="Times New Roman" w:eastAsia="宋体" w:cs="Times New Roman"/>
                <w:color w:val="auto"/>
                <w:spacing w:val="-10"/>
                <w:kern w:val="0"/>
                <w:sz w:val="18"/>
                <w:szCs w:val="18"/>
                <w:highlight w:val="none"/>
              </w:rPr>
            </w:pPr>
          </w:p>
        </w:tc>
        <w:tc>
          <w:tcPr>
            <w:tcW w:w="736" w:type="pct"/>
            <w:vMerge w:val="continue"/>
            <w:tcBorders>
              <w:tl2br w:val="nil"/>
              <w:tr2bl w:val="nil"/>
            </w:tcBorders>
            <w:noWrap w:val="0"/>
            <w:vAlign w:val="center"/>
          </w:tcPr>
          <w:p w14:paraId="3B07F58F">
            <w:pPr>
              <w:spacing w:line="0" w:lineRule="atLeast"/>
              <w:jc w:val="center"/>
              <w:rPr>
                <w:rFonts w:hint="default" w:ascii="Times New Roman" w:hAnsi="Times New Roman" w:eastAsia="宋体" w:cs="Times New Roman"/>
                <w:color w:val="auto"/>
                <w:spacing w:val="-10"/>
                <w:sz w:val="18"/>
                <w:szCs w:val="18"/>
                <w:highlight w:val="none"/>
              </w:rPr>
            </w:pPr>
          </w:p>
        </w:tc>
        <w:tc>
          <w:tcPr>
            <w:tcW w:w="1177" w:type="pct"/>
            <w:tcBorders>
              <w:tl2br w:val="nil"/>
              <w:tr2bl w:val="nil"/>
            </w:tcBorders>
            <w:noWrap w:val="0"/>
            <w:vAlign w:val="center"/>
          </w:tcPr>
          <w:p w14:paraId="7D86F489">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标准指数</w:t>
            </w:r>
          </w:p>
        </w:tc>
        <w:tc>
          <w:tcPr>
            <w:tcW w:w="1079" w:type="pct"/>
            <w:tcBorders>
              <w:tl2br w:val="nil"/>
              <w:tr2bl w:val="nil"/>
            </w:tcBorders>
            <w:noWrap w:val="0"/>
            <w:vAlign w:val="center"/>
          </w:tcPr>
          <w:p w14:paraId="1620291A">
            <w:pPr>
              <w:widowControl/>
              <w:spacing w:line="0" w:lineRule="atLeast"/>
              <w:jc w:val="center"/>
              <w:rPr>
                <w:rFonts w:hint="default" w:ascii="Times New Roman" w:hAnsi="Times New Roman" w:eastAsia="宋体" w:cs="Times New Roman"/>
                <w:color w:val="auto"/>
                <w:spacing w:val="-10"/>
                <w:kern w:val="0"/>
                <w:sz w:val="18"/>
                <w:szCs w:val="18"/>
                <w:highlight w:val="none"/>
                <w:lang w:bidi="ar"/>
              </w:rPr>
            </w:pPr>
          </w:p>
        </w:tc>
        <w:tc>
          <w:tcPr>
            <w:tcW w:w="1013" w:type="pct"/>
            <w:tcBorders>
              <w:tl2br w:val="nil"/>
              <w:tr2bl w:val="nil"/>
            </w:tcBorders>
            <w:noWrap w:val="0"/>
            <w:vAlign w:val="center"/>
          </w:tcPr>
          <w:p w14:paraId="1FCAA77D">
            <w:pPr>
              <w:widowControl/>
              <w:spacing w:line="0" w:lineRule="atLeast"/>
              <w:jc w:val="center"/>
              <w:rPr>
                <w:rFonts w:hint="default" w:ascii="Times New Roman" w:hAnsi="Times New Roman" w:eastAsia="宋体" w:cs="Times New Roman"/>
                <w:color w:val="auto"/>
                <w:spacing w:val="-10"/>
                <w:kern w:val="0"/>
                <w:sz w:val="18"/>
                <w:szCs w:val="18"/>
                <w:highlight w:val="none"/>
                <w:lang w:bidi="ar"/>
              </w:rPr>
            </w:pPr>
          </w:p>
        </w:tc>
      </w:tr>
      <w:tr w14:paraId="34CB0C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5" w:hRule="atLeast"/>
          <w:jc w:val="center"/>
        </w:trPr>
        <w:tc>
          <w:tcPr>
            <w:tcW w:w="994" w:type="pct"/>
            <w:vMerge w:val="restart"/>
            <w:tcBorders>
              <w:tl2br w:val="nil"/>
              <w:tr2bl w:val="nil"/>
            </w:tcBorders>
            <w:noWrap w:val="0"/>
            <w:vAlign w:val="center"/>
          </w:tcPr>
          <w:p w14:paraId="7A6533BD">
            <w:pPr>
              <w:spacing w:line="0" w:lineRule="atLeast"/>
              <w:jc w:val="center"/>
              <w:rPr>
                <w:rFonts w:hint="default" w:ascii="Times New Roman" w:hAnsi="Times New Roman" w:eastAsia="宋体" w:cs="Times New Roman"/>
                <w:color w:val="auto"/>
                <w:spacing w:val="-10"/>
                <w:kern w:val="0"/>
                <w:sz w:val="18"/>
                <w:szCs w:val="18"/>
                <w:highlight w:val="none"/>
              </w:rPr>
            </w:pPr>
            <w:r>
              <w:rPr>
                <w:rFonts w:hint="default" w:ascii="Times New Roman" w:hAnsi="Times New Roman" w:eastAsia="宋体" w:cs="Times New Roman"/>
                <w:color w:val="auto"/>
                <w:spacing w:val="-10"/>
                <w:kern w:val="0"/>
                <w:sz w:val="18"/>
                <w:szCs w:val="18"/>
                <w:highlight w:val="none"/>
              </w:rPr>
              <w:t>铁</w:t>
            </w:r>
          </w:p>
        </w:tc>
        <w:tc>
          <w:tcPr>
            <w:tcW w:w="736" w:type="pct"/>
            <w:vMerge w:val="restart"/>
            <w:tcBorders>
              <w:tl2br w:val="nil"/>
              <w:tr2bl w:val="nil"/>
            </w:tcBorders>
            <w:noWrap w:val="0"/>
            <w:vAlign w:val="center"/>
          </w:tcPr>
          <w:p w14:paraId="70E924C4">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≤0.3</w:t>
            </w:r>
          </w:p>
        </w:tc>
        <w:tc>
          <w:tcPr>
            <w:tcW w:w="1177" w:type="pct"/>
            <w:tcBorders>
              <w:tl2br w:val="nil"/>
              <w:tr2bl w:val="nil"/>
            </w:tcBorders>
            <w:noWrap w:val="0"/>
            <w:vAlign w:val="center"/>
          </w:tcPr>
          <w:p w14:paraId="69DF6D22">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监测值</w:t>
            </w:r>
          </w:p>
        </w:tc>
        <w:tc>
          <w:tcPr>
            <w:tcW w:w="1079" w:type="pct"/>
            <w:tcBorders>
              <w:tl2br w:val="nil"/>
              <w:tr2bl w:val="nil"/>
            </w:tcBorders>
            <w:noWrap w:val="0"/>
            <w:vAlign w:val="center"/>
          </w:tcPr>
          <w:p w14:paraId="11359B51">
            <w:pPr>
              <w:widowControl/>
              <w:spacing w:line="0" w:lineRule="atLeast"/>
              <w:jc w:val="center"/>
              <w:rPr>
                <w:rFonts w:hint="default" w:ascii="Times New Roman" w:hAnsi="Times New Roman" w:eastAsia="宋体" w:cs="Times New Roman"/>
                <w:color w:val="auto"/>
                <w:spacing w:val="-10"/>
                <w:kern w:val="0"/>
                <w:sz w:val="18"/>
                <w:szCs w:val="18"/>
                <w:highlight w:val="none"/>
                <w:lang w:bidi="ar"/>
              </w:rPr>
            </w:pPr>
          </w:p>
        </w:tc>
        <w:tc>
          <w:tcPr>
            <w:tcW w:w="1013" w:type="pct"/>
            <w:tcBorders>
              <w:tl2br w:val="nil"/>
              <w:tr2bl w:val="nil"/>
            </w:tcBorders>
            <w:noWrap w:val="0"/>
            <w:vAlign w:val="center"/>
          </w:tcPr>
          <w:p w14:paraId="0DA07A94">
            <w:pPr>
              <w:spacing w:line="0" w:lineRule="atLeast"/>
              <w:jc w:val="center"/>
              <w:rPr>
                <w:rFonts w:hint="default" w:ascii="Times New Roman" w:hAnsi="Times New Roman" w:eastAsia="宋体" w:cs="Times New Roman"/>
                <w:color w:val="auto"/>
                <w:spacing w:val="-10"/>
                <w:kern w:val="0"/>
                <w:sz w:val="18"/>
                <w:szCs w:val="18"/>
                <w:highlight w:val="none"/>
                <w:lang w:bidi="ar"/>
              </w:rPr>
            </w:pPr>
          </w:p>
        </w:tc>
      </w:tr>
      <w:tr w14:paraId="744737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5" w:hRule="atLeast"/>
          <w:jc w:val="center"/>
        </w:trPr>
        <w:tc>
          <w:tcPr>
            <w:tcW w:w="994" w:type="pct"/>
            <w:vMerge w:val="continue"/>
            <w:tcBorders>
              <w:tl2br w:val="nil"/>
              <w:tr2bl w:val="nil"/>
            </w:tcBorders>
            <w:noWrap w:val="0"/>
            <w:vAlign w:val="center"/>
          </w:tcPr>
          <w:p w14:paraId="7AFC10CB">
            <w:pPr>
              <w:spacing w:line="0" w:lineRule="atLeast"/>
              <w:jc w:val="center"/>
              <w:rPr>
                <w:rFonts w:hint="default" w:ascii="Times New Roman" w:hAnsi="Times New Roman" w:eastAsia="宋体" w:cs="Times New Roman"/>
                <w:color w:val="auto"/>
                <w:spacing w:val="-10"/>
                <w:kern w:val="0"/>
                <w:sz w:val="18"/>
                <w:szCs w:val="18"/>
                <w:highlight w:val="none"/>
              </w:rPr>
            </w:pPr>
          </w:p>
        </w:tc>
        <w:tc>
          <w:tcPr>
            <w:tcW w:w="736" w:type="pct"/>
            <w:vMerge w:val="continue"/>
            <w:tcBorders>
              <w:tl2br w:val="nil"/>
              <w:tr2bl w:val="nil"/>
            </w:tcBorders>
            <w:noWrap w:val="0"/>
            <w:vAlign w:val="center"/>
          </w:tcPr>
          <w:p w14:paraId="0275CF13">
            <w:pPr>
              <w:spacing w:line="0" w:lineRule="atLeast"/>
              <w:jc w:val="center"/>
              <w:rPr>
                <w:rFonts w:hint="default" w:ascii="Times New Roman" w:hAnsi="Times New Roman" w:eastAsia="宋体" w:cs="Times New Roman"/>
                <w:color w:val="auto"/>
                <w:spacing w:val="-10"/>
                <w:sz w:val="18"/>
                <w:szCs w:val="18"/>
                <w:highlight w:val="none"/>
              </w:rPr>
            </w:pPr>
          </w:p>
        </w:tc>
        <w:tc>
          <w:tcPr>
            <w:tcW w:w="1177" w:type="pct"/>
            <w:tcBorders>
              <w:tl2br w:val="nil"/>
              <w:tr2bl w:val="nil"/>
            </w:tcBorders>
            <w:noWrap w:val="0"/>
            <w:vAlign w:val="center"/>
          </w:tcPr>
          <w:p w14:paraId="1368FA83">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标准指数</w:t>
            </w:r>
          </w:p>
        </w:tc>
        <w:tc>
          <w:tcPr>
            <w:tcW w:w="1079" w:type="pct"/>
            <w:tcBorders>
              <w:tl2br w:val="nil"/>
              <w:tr2bl w:val="nil"/>
            </w:tcBorders>
            <w:noWrap w:val="0"/>
            <w:vAlign w:val="center"/>
          </w:tcPr>
          <w:p w14:paraId="579584AC">
            <w:pPr>
              <w:widowControl/>
              <w:spacing w:line="0" w:lineRule="atLeast"/>
              <w:jc w:val="center"/>
              <w:rPr>
                <w:rFonts w:hint="default" w:ascii="Times New Roman" w:hAnsi="Times New Roman" w:eastAsia="宋体" w:cs="Times New Roman"/>
                <w:color w:val="auto"/>
                <w:spacing w:val="-10"/>
                <w:kern w:val="0"/>
                <w:sz w:val="18"/>
                <w:szCs w:val="18"/>
                <w:highlight w:val="none"/>
                <w:lang w:bidi="ar"/>
              </w:rPr>
            </w:pPr>
          </w:p>
        </w:tc>
        <w:tc>
          <w:tcPr>
            <w:tcW w:w="1013" w:type="pct"/>
            <w:tcBorders>
              <w:tl2br w:val="nil"/>
              <w:tr2bl w:val="nil"/>
            </w:tcBorders>
            <w:noWrap w:val="0"/>
            <w:vAlign w:val="center"/>
          </w:tcPr>
          <w:p w14:paraId="73B96B13">
            <w:pPr>
              <w:spacing w:line="0" w:lineRule="atLeast"/>
              <w:jc w:val="center"/>
              <w:rPr>
                <w:rFonts w:hint="default" w:ascii="Times New Roman" w:hAnsi="Times New Roman" w:eastAsia="宋体" w:cs="Times New Roman"/>
                <w:color w:val="auto"/>
                <w:spacing w:val="-10"/>
                <w:kern w:val="0"/>
                <w:sz w:val="18"/>
                <w:szCs w:val="18"/>
                <w:highlight w:val="none"/>
                <w:lang w:bidi="ar"/>
              </w:rPr>
            </w:pPr>
          </w:p>
        </w:tc>
      </w:tr>
      <w:tr w14:paraId="132809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5" w:hRule="atLeast"/>
          <w:jc w:val="center"/>
        </w:trPr>
        <w:tc>
          <w:tcPr>
            <w:tcW w:w="994" w:type="pct"/>
            <w:vMerge w:val="restart"/>
            <w:tcBorders>
              <w:tl2br w:val="nil"/>
              <w:tr2bl w:val="nil"/>
            </w:tcBorders>
            <w:noWrap w:val="0"/>
            <w:vAlign w:val="center"/>
          </w:tcPr>
          <w:p w14:paraId="208CF754">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kern w:val="0"/>
                <w:sz w:val="18"/>
                <w:szCs w:val="18"/>
                <w:highlight w:val="none"/>
              </w:rPr>
              <w:t>锰</w:t>
            </w:r>
          </w:p>
        </w:tc>
        <w:tc>
          <w:tcPr>
            <w:tcW w:w="736" w:type="pct"/>
            <w:vMerge w:val="restart"/>
            <w:tcBorders>
              <w:tl2br w:val="nil"/>
              <w:tr2bl w:val="nil"/>
            </w:tcBorders>
            <w:noWrap w:val="0"/>
            <w:vAlign w:val="center"/>
          </w:tcPr>
          <w:p w14:paraId="7C8A1ED7">
            <w:pPr>
              <w:spacing w:line="0" w:lineRule="atLeast"/>
              <w:jc w:val="center"/>
              <w:rPr>
                <w:rFonts w:hint="default" w:ascii="Times New Roman" w:hAnsi="Times New Roman" w:eastAsia="宋体" w:cs="Times New Roman"/>
                <w:color w:val="auto"/>
                <w:spacing w:val="-10"/>
                <w:kern w:val="0"/>
                <w:sz w:val="18"/>
                <w:szCs w:val="18"/>
                <w:highlight w:val="none"/>
              </w:rPr>
            </w:pPr>
            <w:r>
              <w:rPr>
                <w:rFonts w:hint="default" w:ascii="Times New Roman" w:hAnsi="Times New Roman" w:eastAsia="宋体" w:cs="Times New Roman"/>
                <w:color w:val="auto"/>
                <w:spacing w:val="-10"/>
                <w:sz w:val="18"/>
                <w:szCs w:val="18"/>
                <w:highlight w:val="none"/>
              </w:rPr>
              <w:t>≤0.1</w:t>
            </w:r>
          </w:p>
        </w:tc>
        <w:tc>
          <w:tcPr>
            <w:tcW w:w="1177" w:type="pct"/>
            <w:tcBorders>
              <w:tl2br w:val="nil"/>
              <w:tr2bl w:val="nil"/>
            </w:tcBorders>
            <w:noWrap w:val="0"/>
            <w:vAlign w:val="center"/>
          </w:tcPr>
          <w:p w14:paraId="5FED1108">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监测值</w:t>
            </w:r>
          </w:p>
        </w:tc>
        <w:tc>
          <w:tcPr>
            <w:tcW w:w="1079" w:type="pct"/>
            <w:tcBorders>
              <w:tl2br w:val="nil"/>
              <w:tr2bl w:val="nil"/>
            </w:tcBorders>
            <w:noWrap w:val="0"/>
            <w:vAlign w:val="center"/>
          </w:tcPr>
          <w:p w14:paraId="66E465FF">
            <w:pPr>
              <w:widowControl/>
              <w:spacing w:line="0" w:lineRule="atLeast"/>
              <w:jc w:val="center"/>
              <w:rPr>
                <w:rFonts w:hint="default" w:ascii="Times New Roman" w:hAnsi="Times New Roman" w:eastAsia="宋体" w:cs="Times New Roman"/>
                <w:color w:val="auto"/>
                <w:spacing w:val="-10"/>
                <w:sz w:val="18"/>
                <w:szCs w:val="18"/>
                <w:highlight w:val="none"/>
              </w:rPr>
            </w:pPr>
          </w:p>
        </w:tc>
        <w:tc>
          <w:tcPr>
            <w:tcW w:w="1013" w:type="pct"/>
            <w:tcBorders>
              <w:tl2br w:val="nil"/>
              <w:tr2bl w:val="nil"/>
            </w:tcBorders>
            <w:noWrap w:val="0"/>
            <w:vAlign w:val="center"/>
          </w:tcPr>
          <w:p w14:paraId="0C921F50">
            <w:pPr>
              <w:widowControl/>
              <w:spacing w:line="0" w:lineRule="atLeast"/>
              <w:jc w:val="center"/>
              <w:rPr>
                <w:rFonts w:hint="default" w:ascii="Times New Roman" w:hAnsi="Times New Roman" w:eastAsia="宋体" w:cs="Times New Roman"/>
                <w:color w:val="auto"/>
                <w:spacing w:val="-10"/>
                <w:kern w:val="0"/>
                <w:sz w:val="18"/>
                <w:szCs w:val="18"/>
                <w:highlight w:val="none"/>
                <w:lang w:bidi="ar"/>
              </w:rPr>
            </w:pPr>
          </w:p>
        </w:tc>
      </w:tr>
      <w:tr w14:paraId="0B49C1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5" w:hRule="atLeast"/>
          <w:jc w:val="center"/>
        </w:trPr>
        <w:tc>
          <w:tcPr>
            <w:tcW w:w="994" w:type="pct"/>
            <w:vMerge w:val="continue"/>
            <w:tcBorders>
              <w:tl2br w:val="nil"/>
              <w:tr2bl w:val="nil"/>
            </w:tcBorders>
            <w:noWrap w:val="0"/>
            <w:vAlign w:val="center"/>
          </w:tcPr>
          <w:p w14:paraId="60DC6A60">
            <w:pPr>
              <w:spacing w:line="0" w:lineRule="atLeast"/>
              <w:jc w:val="center"/>
              <w:rPr>
                <w:rFonts w:hint="default" w:ascii="Times New Roman" w:hAnsi="Times New Roman" w:eastAsia="宋体" w:cs="Times New Roman"/>
                <w:color w:val="auto"/>
                <w:spacing w:val="-10"/>
                <w:sz w:val="18"/>
                <w:szCs w:val="18"/>
                <w:highlight w:val="none"/>
              </w:rPr>
            </w:pPr>
          </w:p>
        </w:tc>
        <w:tc>
          <w:tcPr>
            <w:tcW w:w="736" w:type="pct"/>
            <w:vMerge w:val="continue"/>
            <w:tcBorders>
              <w:tl2br w:val="nil"/>
              <w:tr2bl w:val="nil"/>
            </w:tcBorders>
            <w:noWrap w:val="0"/>
            <w:vAlign w:val="center"/>
          </w:tcPr>
          <w:p w14:paraId="0B6584E9">
            <w:pPr>
              <w:spacing w:line="0" w:lineRule="atLeast"/>
              <w:jc w:val="center"/>
              <w:rPr>
                <w:rFonts w:hint="default" w:ascii="Times New Roman" w:hAnsi="Times New Roman" w:eastAsia="宋体" w:cs="Times New Roman"/>
                <w:color w:val="auto"/>
                <w:spacing w:val="-10"/>
                <w:kern w:val="0"/>
                <w:sz w:val="18"/>
                <w:szCs w:val="18"/>
                <w:highlight w:val="none"/>
              </w:rPr>
            </w:pPr>
          </w:p>
        </w:tc>
        <w:tc>
          <w:tcPr>
            <w:tcW w:w="1177" w:type="pct"/>
            <w:tcBorders>
              <w:tl2br w:val="nil"/>
              <w:tr2bl w:val="nil"/>
            </w:tcBorders>
            <w:noWrap w:val="0"/>
            <w:vAlign w:val="center"/>
          </w:tcPr>
          <w:p w14:paraId="58E8E9C7">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标准指数</w:t>
            </w:r>
          </w:p>
        </w:tc>
        <w:tc>
          <w:tcPr>
            <w:tcW w:w="1079" w:type="pct"/>
            <w:tcBorders>
              <w:tl2br w:val="nil"/>
              <w:tr2bl w:val="nil"/>
            </w:tcBorders>
            <w:noWrap w:val="0"/>
            <w:vAlign w:val="center"/>
          </w:tcPr>
          <w:p w14:paraId="03019FD2">
            <w:pPr>
              <w:widowControl/>
              <w:spacing w:line="0" w:lineRule="atLeast"/>
              <w:jc w:val="center"/>
              <w:rPr>
                <w:rFonts w:hint="default" w:ascii="Times New Roman" w:hAnsi="Times New Roman" w:eastAsia="宋体" w:cs="Times New Roman"/>
                <w:color w:val="auto"/>
                <w:spacing w:val="-10"/>
                <w:sz w:val="18"/>
                <w:szCs w:val="18"/>
                <w:highlight w:val="none"/>
              </w:rPr>
            </w:pPr>
          </w:p>
        </w:tc>
        <w:tc>
          <w:tcPr>
            <w:tcW w:w="1013" w:type="pct"/>
            <w:tcBorders>
              <w:tl2br w:val="nil"/>
              <w:tr2bl w:val="nil"/>
            </w:tcBorders>
            <w:noWrap w:val="0"/>
            <w:vAlign w:val="center"/>
          </w:tcPr>
          <w:p w14:paraId="2686291E">
            <w:pPr>
              <w:widowControl/>
              <w:spacing w:line="0" w:lineRule="atLeast"/>
              <w:jc w:val="center"/>
              <w:rPr>
                <w:rFonts w:hint="default" w:ascii="Times New Roman" w:hAnsi="Times New Roman" w:eastAsia="宋体" w:cs="Times New Roman"/>
                <w:color w:val="auto"/>
                <w:spacing w:val="-10"/>
                <w:kern w:val="0"/>
                <w:sz w:val="18"/>
                <w:szCs w:val="18"/>
                <w:highlight w:val="none"/>
                <w:lang w:bidi="ar"/>
              </w:rPr>
            </w:pPr>
          </w:p>
        </w:tc>
      </w:tr>
      <w:tr w14:paraId="2BECAB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5" w:hRule="atLeast"/>
          <w:jc w:val="center"/>
        </w:trPr>
        <w:tc>
          <w:tcPr>
            <w:tcW w:w="994" w:type="pct"/>
            <w:vMerge w:val="restart"/>
            <w:tcBorders>
              <w:tl2br w:val="nil"/>
              <w:tr2bl w:val="nil"/>
            </w:tcBorders>
            <w:noWrap w:val="0"/>
            <w:vAlign w:val="center"/>
          </w:tcPr>
          <w:p w14:paraId="0FB03C38">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铜</w:t>
            </w:r>
          </w:p>
        </w:tc>
        <w:tc>
          <w:tcPr>
            <w:tcW w:w="736" w:type="pct"/>
            <w:vMerge w:val="restart"/>
            <w:tcBorders>
              <w:tl2br w:val="nil"/>
              <w:tr2bl w:val="nil"/>
            </w:tcBorders>
            <w:noWrap w:val="0"/>
            <w:vAlign w:val="center"/>
          </w:tcPr>
          <w:p w14:paraId="58D1B415">
            <w:pPr>
              <w:spacing w:line="0" w:lineRule="atLeast"/>
              <w:jc w:val="center"/>
              <w:rPr>
                <w:rFonts w:hint="default" w:ascii="Times New Roman" w:hAnsi="Times New Roman" w:eastAsia="宋体" w:cs="Times New Roman"/>
                <w:color w:val="auto"/>
                <w:spacing w:val="-10"/>
                <w:kern w:val="0"/>
                <w:sz w:val="18"/>
                <w:szCs w:val="18"/>
                <w:highlight w:val="none"/>
              </w:rPr>
            </w:pPr>
            <w:r>
              <w:rPr>
                <w:rFonts w:hint="default" w:ascii="Times New Roman" w:hAnsi="Times New Roman" w:eastAsia="宋体" w:cs="Times New Roman"/>
                <w:color w:val="auto"/>
                <w:spacing w:val="-10"/>
                <w:sz w:val="18"/>
                <w:szCs w:val="18"/>
                <w:highlight w:val="none"/>
              </w:rPr>
              <w:t>≤1.0</w:t>
            </w:r>
          </w:p>
        </w:tc>
        <w:tc>
          <w:tcPr>
            <w:tcW w:w="1177" w:type="pct"/>
            <w:tcBorders>
              <w:tl2br w:val="nil"/>
              <w:tr2bl w:val="nil"/>
            </w:tcBorders>
            <w:noWrap w:val="0"/>
            <w:vAlign w:val="center"/>
          </w:tcPr>
          <w:p w14:paraId="186ABDD6">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监测值</w:t>
            </w:r>
          </w:p>
        </w:tc>
        <w:tc>
          <w:tcPr>
            <w:tcW w:w="1079" w:type="pct"/>
            <w:tcBorders>
              <w:tl2br w:val="nil"/>
              <w:tr2bl w:val="nil"/>
            </w:tcBorders>
            <w:noWrap w:val="0"/>
            <w:vAlign w:val="center"/>
          </w:tcPr>
          <w:p w14:paraId="3EDC7D1A">
            <w:pPr>
              <w:spacing w:line="0" w:lineRule="atLeast"/>
              <w:jc w:val="center"/>
              <w:rPr>
                <w:rFonts w:hint="default" w:ascii="Times New Roman" w:hAnsi="Times New Roman" w:eastAsia="宋体" w:cs="Times New Roman"/>
                <w:color w:val="auto"/>
                <w:spacing w:val="-10"/>
                <w:kern w:val="0"/>
                <w:sz w:val="18"/>
                <w:szCs w:val="18"/>
                <w:highlight w:val="none"/>
                <w:lang w:bidi="ar"/>
              </w:rPr>
            </w:pPr>
          </w:p>
        </w:tc>
        <w:tc>
          <w:tcPr>
            <w:tcW w:w="1013" w:type="pct"/>
            <w:tcBorders>
              <w:tl2br w:val="nil"/>
              <w:tr2bl w:val="nil"/>
            </w:tcBorders>
            <w:noWrap w:val="0"/>
            <w:vAlign w:val="center"/>
          </w:tcPr>
          <w:p w14:paraId="228E7E64">
            <w:pPr>
              <w:spacing w:line="0" w:lineRule="atLeast"/>
              <w:jc w:val="center"/>
              <w:rPr>
                <w:rFonts w:hint="default" w:ascii="Times New Roman" w:hAnsi="Times New Roman" w:eastAsia="宋体" w:cs="Times New Roman"/>
                <w:color w:val="auto"/>
                <w:spacing w:val="-10"/>
                <w:kern w:val="0"/>
                <w:sz w:val="18"/>
                <w:szCs w:val="18"/>
                <w:highlight w:val="none"/>
                <w:lang w:bidi="ar"/>
              </w:rPr>
            </w:pPr>
          </w:p>
        </w:tc>
      </w:tr>
      <w:tr w14:paraId="4DF3F4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5" w:hRule="atLeast"/>
          <w:jc w:val="center"/>
        </w:trPr>
        <w:tc>
          <w:tcPr>
            <w:tcW w:w="994" w:type="pct"/>
            <w:vMerge w:val="continue"/>
            <w:tcBorders>
              <w:tl2br w:val="nil"/>
              <w:tr2bl w:val="nil"/>
            </w:tcBorders>
            <w:noWrap w:val="0"/>
            <w:vAlign w:val="center"/>
          </w:tcPr>
          <w:p w14:paraId="26AF8AB8">
            <w:pPr>
              <w:spacing w:line="0" w:lineRule="atLeast"/>
              <w:jc w:val="center"/>
              <w:rPr>
                <w:rFonts w:hint="default" w:ascii="Times New Roman" w:hAnsi="Times New Roman" w:eastAsia="宋体" w:cs="Times New Roman"/>
                <w:color w:val="auto"/>
                <w:spacing w:val="-10"/>
                <w:sz w:val="18"/>
                <w:szCs w:val="18"/>
                <w:highlight w:val="none"/>
              </w:rPr>
            </w:pPr>
          </w:p>
        </w:tc>
        <w:tc>
          <w:tcPr>
            <w:tcW w:w="736" w:type="pct"/>
            <w:vMerge w:val="continue"/>
            <w:tcBorders>
              <w:tl2br w:val="nil"/>
              <w:tr2bl w:val="nil"/>
            </w:tcBorders>
            <w:noWrap w:val="0"/>
            <w:vAlign w:val="center"/>
          </w:tcPr>
          <w:p w14:paraId="1DAE07D0">
            <w:pPr>
              <w:spacing w:line="0" w:lineRule="atLeast"/>
              <w:jc w:val="center"/>
              <w:rPr>
                <w:rFonts w:hint="default" w:ascii="Times New Roman" w:hAnsi="Times New Roman" w:eastAsia="宋体" w:cs="Times New Roman"/>
                <w:color w:val="auto"/>
                <w:spacing w:val="-10"/>
                <w:kern w:val="0"/>
                <w:sz w:val="18"/>
                <w:szCs w:val="18"/>
                <w:highlight w:val="none"/>
              </w:rPr>
            </w:pPr>
          </w:p>
        </w:tc>
        <w:tc>
          <w:tcPr>
            <w:tcW w:w="1177" w:type="pct"/>
            <w:tcBorders>
              <w:tl2br w:val="nil"/>
              <w:tr2bl w:val="nil"/>
            </w:tcBorders>
            <w:noWrap w:val="0"/>
            <w:vAlign w:val="center"/>
          </w:tcPr>
          <w:p w14:paraId="12316966">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标准指数</w:t>
            </w:r>
          </w:p>
        </w:tc>
        <w:tc>
          <w:tcPr>
            <w:tcW w:w="1079" w:type="pct"/>
            <w:tcBorders>
              <w:tl2br w:val="nil"/>
              <w:tr2bl w:val="nil"/>
            </w:tcBorders>
            <w:noWrap w:val="0"/>
            <w:vAlign w:val="center"/>
          </w:tcPr>
          <w:p w14:paraId="6CE62F4A">
            <w:pPr>
              <w:spacing w:line="0" w:lineRule="atLeast"/>
              <w:jc w:val="center"/>
              <w:rPr>
                <w:rFonts w:hint="default" w:ascii="Times New Roman" w:hAnsi="Times New Roman" w:eastAsia="宋体" w:cs="Times New Roman"/>
                <w:color w:val="auto"/>
                <w:spacing w:val="-10"/>
                <w:kern w:val="0"/>
                <w:sz w:val="18"/>
                <w:szCs w:val="18"/>
                <w:highlight w:val="none"/>
                <w:lang w:bidi="ar"/>
              </w:rPr>
            </w:pPr>
          </w:p>
        </w:tc>
        <w:tc>
          <w:tcPr>
            <w:tcW w:w="1013" w:type="pct"/>
            <w:tcBorders>
              <w:tl2br w:val="nil"/>
              <w:tr2bl w:val="nil"/>
            </w:tcBorders>
            <w:noWrap w:val="0"/>
            <w:vAlign w:val="center"/>
          </w:tcPr>
          <w:p w14:paraId="446D4645">
            <w:pPr>
              <w:spacing w:line="0" w:lineRule="atLeast"/>
              <w:jc w:val="center"/>
              <w:rPr>
                <w:rFonts w:hint="default" w:ascii="Times New Roman" w:hAnsi="Times New Roman" w:eastAsia="宋体" w:cs="Times New Roman"/>
                <w:color w:val="auto"/>
                <w:spacing w:val="-10"/>
                <w:kern w:val="0"/>
                <w:sz w:val="18"/>
                <w:szCs w:val="18"/>
                <w:highlight w:val="none"/>
                <w:lang w:bidi="ar"/>
              </w:rPr>
            </w:pPr>
          </w:p>
        </w:tc>
      </w:tr>
      <w:tr w14:paraId="0AA534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5" w:hRule="atLeast"/>
          <w:jc w:val="center"/>
        </w:trPr>
        <w:tc>
          <w:tcPr>
            <w:tcW w:w="994" w:type="pct"/>
            <w:vMerge w:val="restart"/>
            <w:tcBorders>
              <w:tl2br w:val="nil"/>
              <w:tr2bl w:val="nil"/>
            </w:tcBorders>
            <w:noWrap w:val="0"/>
            <w:vAlign w:val="center"/>
          </w:tcPr>
          <w:p w14:paraId="5E962B7E">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锌</w:t>
            </w:r>
          </w:p>
        </w:tc>
        <w:tc>
          <w:tcPr>
            <w:tcW w:w="736" w:type="pct"/>
            <w:vMerge w:val="restart"/>
            <w:tcBorders>
              <w:tl2br w:val="nil"/>
              <w:tr2bl w:val="nil"/>
            </w:tcBorders>
            <w:noWrap w:val="0"/>
            <w:vAlign w:val="center"/>
          </w:tcPr>
          <w:p w14:paraId="5809A801">
            <w:pPr>
              <w:spacing w:line="0" w:lineRule="atLeast"/>
              <w:jc w:val="center"/>
              <w:rPr>
                <w:rFonts w:hint="default" w:ascii="Times New Roman" w:hAnsi="Times New Roman" w:eastAsia="宋体" w:cs="Times New Roman"/>
                <w:color w:val="auto"/>
                <w:spacing w:val="-10"/>
                <w:kern w:val="0"/>
                <w:sz w:val="18"/>
                <w:szCs w:val="18"/>
                <w:highlight w:val="none"/>
              </w:rPr>
            </w:pPr>
            <w:r>
              <w:rPr>
                <w:rFonts w:hint="default" w:ascii="Times New Roman" w:hAnsi="Times New Roman" w:eastAsia="宋体" w:cs="Times New Roman"/>
                <w:color w:val="auto"/>
                <w:spacing w:val="-10"/>
                <w:sz w:val="18"/>
                <w:szCs w:val="18"/>
                <w:highlight w:val="none"/>
              </w:rPr>
              <w:t>≤1.0</w:t>
            </w:r>
          </w:p>
        </w:tc>
        <w:tc>
          <w:tcPr>
            <w:tcW w:w="1177" w:type="pct"/>
            <w:tcBorders>
              <w:tl2br w:val="nil"/>
              <w:tr2bl w:val="nil"/>
            </w:tcBorders>
            <w:noWrap w:val="0"/>
            <w:vAlign w:val="center"/>
          </w:tcPr>
          <w:p w14:paraId="416993B0">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监测值</w:t>
            </w:r>
          </w:p>
        </w:tc>
        <w:tc>
          <w:tcPr>
            <w:tcW w:w="1079" w:type="pct"/>
            <w:tcBorders>
              <w:tl2br w:val="nil"/>
              <w:tr2bl w:val="nil"/>
            </w:tcBorders>
            <w:noWrap w:val="0"/>
            <w:vAlign w:val="center"/>
          </w:tcPr>
          <w:p w14:paraId="1565146F">
            <w:pPr>
              <w:spacing w:line="0" w:lineRule="atLeast"/>
              <w:jc w:val="center"/>
              <w:rPr>
                <w:rFonts w:hint="default" w:ascii="Times New Roman" w:hAnsi="Times New Roman" w:eastAsia="宋体" w:cs="Times New Roman"/>
                <w:color w:val="auto"/>
                <w:spacing w:val="-10"/>
                <w:kern w:val="0"/>
                <w:sz w:val="18"/>
                <w:szCs w:val="18"/>
                <w:highlight w:val="none"/>
                <w:lang w:bidi="ar"/>
              </w:rPr>
            </w:pPr>
          </w:p>
        </w:tc>
        <w:tc>
          <w:tcPr>
            <w:tcW w:w="1013" w:type="pct"/>
            <w:tcBorders>
              <w:tl2br w:val="nil"/>
              <w:tr2bl w:val="nil"/>
            </w:tcBorders>
            <w:noWrap w:val="0"/>
            <w:vAlign w:val="center"/>
          </w:tcPr>
          <w:p w14:paraId="541B25DD">
            <w:pPr>
              <w:spacing w:line="0" w:lineRule="atLeast"/>
              <w:jc w:val="center"/>
              <w:rPr>
                <w:rFonts w:hint="default" w:ascii="Times New Roman" w:hAnsi="Times New Roman" w:eastAsia="宋体" w:cs="Times New Roman"/>
                <w:color w:val="auto"/>
                <w:spacing w:val="-10"/>
                <w:kern w:val="0"/>
                <w:sz w:val="18"/>
                <w:szCs w:val="18"/>
                <w:highlight w:val="none"/>
                <w:lang w:bidi="ar"/>
              </w:rPr>
            </w:pPr>
          </w:p>
        </w:tc>
      </w:tr>
      <w:tr w14:paraId="1DDE8D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5" w:hRule="atLeast"/>
          <w:jc w:val="center"/>
        </w:trPr>
        <w:tc>
          <w:tcPr>
            <w:tcW w:w="994" w:type="pct"/>
            <w:vMerge w:val="continue"/>
            <w:tcBorders>
              <w:tl2br w:val="nil"/>
              <w:tr2bl w:val="nil"/>
            </w:tcBorders>
            <w:noWrap w:val="0"/>
            <w:vAlign w:val="center"/>
          </w:tcPr>
          <w:p w14:paraId="65374297">
            <w:pPr>
              <w:spacing w:line="0" w:lineRule="atLeast"/>
              <w:jc w:val="center"/>
              <w:rPr>
                <w:rFonts w:hint="default" w:ascii="Times New Roman" w:hAnsi="Times New Roman" w:eastAsia="宋体" w:cs="Times New Roman"/>
                <w:color w:val="auto"/>
                <w:spacing w:val="-10"/>
                <w:sz w:val="18"/>
                <w:szCs w:val="18"/>
                <w:highlight w:val="none"/>
              </w:rPr>
            </w:pPr>
          </w:p>
        </w:tc>
        <w:tc>
          <w:tcPr>
            <w:tcW w:w="736" w:type="pct"/>
            <w:vMerge w:val="continue"/>
            <w:tcBorders>
              <w:tl2br w:val="nil"/>
              <w:tr2bl w:val="nil"/>
            </w:tcBorders>
            <w:noWrap w:val="0"/>
            <w:vAlign w:val="center"/>
          </w:tcPr>
          <w:p w14:paraId="25D52644">
            <w:pPr>
              <w:spacing w:line="0" w:lineRule="atLeast"/>
              <w:jc w:val="center"/>
              <w:rPr>
                <w:rFonts w:hint="default" w:ascii="Times New Roman" w:hAnsi="Times New Roman" w:eastAsia="宋体" w:cs="Times New Roman"/>
                <w:color w:val="auto"/>
                <w:spacing w:val="-10"/>
                <w:kern w:val="0"/>
                <w:sz w:val="18"/>
                <w:szCs w:val="18"/>
                <w:highlight w:val="none"/>
              </w:rPr>
            </w:pPr>
          </w:p>
        </w:tc>
        <w:tc>
          <w:tcPr>
            <w:tcW w:w="1177" w:type="pct"/>
            <w:tcBorders>
              <w:tl2br w:val="nil"/>
              <w:tr2bl w:val="nil"/>
            </w:tcBorders>
            <w:noWrap w:val="0"/>
            <w:vAlign w:val="center"/>
          </w:tcPr>
          <w:p w14:paraId="26CEE334">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标准指数</w:t>
            </w:r>
          </w:p>
        </w:tc>
        <w:tc>
          <w:tcPr>
            <w:tcW w:w="1079" w:type="pct"/>
            <w:tcBorders>
              <w:tl2br w:val="nil"/>
              <w:tr2bl w:val="nil"/>
            </w:tcBorders>
            <w:noWrap w:val="0"/>
            <w:vAlign w:val="center"/>
          </w:tcPr>
          <w:p w14:paraId="662DB1B5">
            <w:pPr>
              <w:spacing w:line="0" w:lineRule="atLeast"/>
              <w:jc w:val="center"/>
              <w:rPr>
                <w:rFonts w:hint="default" w:ascii="Times New Roman" w:hAnsi="Times New Roman" w:eastAsia="宋体" w:cs="Times New Roman"/>
                <w:color w:val="auto"/>
                <w:spacing w:val="-10"/>
                <w:kern w:val="0"/>
                <w:sz w:val="18"/>
                <w:szCs w:val="18"/>
                <w:highlight w:val="none"/>
                <w:lang w:bidi="ar"/>
              </w:rPr>
            </w:pPr>
          </w:p>
        </w:tc>
        <w:tc>
          <w:tcPr>
            <w:tcW w:w="1013" w:type="pct"/>
            <w:tcBorders>
              <w:tl2br w:val="nil"/>
              <w:tr2bl w:val="nil"/>
            </w:tcBorders>
            <w:noWrap w:val="0"/>
            <w:vAlign w:val="center"/>
          </w:tcPr>
          <w:p w14:paraId="5A140EE3">
            <w:pPr>
              <w:spacing w:line="0" w:lineRule="atLeast"/>
              <w:jc w:val="center"/>
              <w:rPr>
                <w:rFonts w:hint="default" w:ascii="Times New Roman" w:hAnsi="Times New Roman" w:eastAsia="宋体" w:cs="Times New Roman"/>
                <w:color w:val="auto"/>
                <w:spacing w:val="-10"/>
                <w:kern w:val="0"/>
                <w:sz w:val="18"/>
                <w:szCs w:val="18"/>
                <w:highlight w:val="none"/>
                <w:lang w:bidi="ar"/>
              </w:rPr>
            </w:pPr>
          </w:p>
        </w:tc>
      </w:tr>
      <w:tr w14:paraId="26517A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994" w:type="pct"/>
            <w:vMerge w:val="restart"/>
            <w:tcBorders>
              <w:tl2br w:val="nil"/>
              <w:tr2bl w:val="nil"/>
            </w:tcBorders>
            <w:noWrap w:val="0"/>
            <w:vAlign w:val="center"/>
          </w:tcPr>
          <w:p w14:paraId="0EA21C1A">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铝</w:t>
            </w:r>
          </w:p>
        </w:tc>
        <w:tc>
          <w:tcPr>
            <w:tcW w:w="736" w:type="pct"/>
            <w:vMerge w:val="restart"/>
            <w:tcBorders>
              <w:tl2br w:val="nil"/>
              <w:tr2bl w:val="nil"/>
            </w:tcBorders>
            <w:noWrap w:val="0"/>
            <w:vAlign w:val="center"/>
          </w:tcPr>
          <w:p w14:paraId="2237B413">
            <w:pPr>
              <w:spacing w:line="0" w:lineRule="atLeast"/>
              <w:jc w:val="center"/>
              <w:rPr>
                <w:rFonts w:hint="default" w:ascii="Times New Roman" w:hAnsi="Times New Roman" w:eastAsia="宋体" w:cs="Times New Roman"/>
                <w:color w:val="auto"/>
                <w:spacing w:val="-10"/>
                <w:kern w:val="0"/>
                <w:sz w:val="18"/>
                <w:szCs w:val="18"/>
                <w:highlight w:val="none"/>
              </w:rPr>
            </w:pPr>
            <w:r>
              <w:rPr>
                <w:rFonts w:hint="default" w:ascii="Times New Roman" w:hAnsi="Times New Roman" w:eastAsia="宋体" w:cs="Times New Roman"/>
                <w:color w:val="auto"/>
                <w:spacing w:val="-10"/>
                <w:sz w:val="18"/>
                <w:szCs w:val="18"/>
                <w:highlight w:val="none"/>
              </w:rPr>
              <w:t>≤0.2</w:t>
            </w:r>
          </w:p>
        </w:tc>
        <w:tc>
          <w:tcPr>
            <w:tcW w:w="1177" w:type="pct"/>
            <w:tcBorders>
              <w:tl2br w:val="nil"/>
              <w:tr2bl w:val="nil"/>
            </w:tcBorders>
            <w:noWrap w:val="0"/>
            <w:vAlign w:val="center"/>
          </w:tcPr>
          <w:p w14:paraId="0400EF22">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监测值</w:t>
            </w:r>
          </w:p>
        </w:tc>
        <w:tc>
          <w:tcPr>
            <w:tcW w:w="1079" w:type="pct"/>
            <w:tcBorders>
              <w:tl2br w:val="nil"/>
              <w:tr2bl w:val="nil"/>
            </w:tcBorders>
            <w:noWrap w:val="0"/>
            <w:vAlign w:val="center"/>
          </w:tcPr>
          <w:p w14:paraId="491CF182">
            <w:pPr>
              <w:spacing w:line="0" w:lineRule="atLeast"/>
              <w:jc w:val="center"/>
              <w:rPr>
                <w:rFonts w:hint="default" w:ascii="Times New Roman" w:hAnsi="Times New Roman" w:eastAsia="宋体" w:cs="Times New Roman"/>
                <w:color w:val="auto"/>
                <w:spacing w:val="-10"/>
                <w:kern w:val="0"/>
                <w:sz w:val="18"/>
                <w:szCs w:val="18"/>
                <w:highlight w:val="none"/>
                <w:lang w:bidi="ar"/>
              </w:rPr>
            </w:pPr>
          </w:p>
        </w:tc>
        <w:tc>
          <w:tcPr>
            <w:tcW w:w="1013" w:type="pct"/>
            <w:tcBorders>
              <w:tl2br w:val="nil"/>
              <w:tr2bl w:val="nil"/>
            </w:tcBorders>
            <w:noWrap w:val="0"/>
            <w:vAlign w:val="center"/>
          </w:tcPr>
          <w:p w14:paraId="4415B379">
            <w:pPr>
              <w:spacing w:line="0" w:lineRule="atLeast"/>
              <w:jc w:val="center"/>
              <w:rPr>
                <w:rFonts w:hint="default" w:ascii="Times New Roman" w:hAnsi="Times New Roman" w:eastAsia="宋体" w:cs="Times New Roman"/>
                <w:color w:val="auto"/>
                <w:spacing w:val="-10"/>
                <w:kern w:val="0"/>
                <w:sz w:val="18"/>
                <w:szCs w:val="18"/>
                <w:highlight w:val="none"/>
                <w:lang w:bidi="ar"/>
              </w:rPr>
            </w:pPr>
          </w:p>
        </w:tc>
      </w:tr>
      <w:tr w14:paraId="0091C1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994" w:type="pct"/>
            <w:vMerge w:val="continue"/>
            <w:tcBorders>
              <w:tl2br w:val="nil"/>
              <w:tr2bl w:val="nil"/>
            </w:tcBorders>
            <w:noWrap w:val="0"/>
            <w:vAlign w:val="center"/>
          </w:tcPr>
          <w:p w14:paraId="712646F4">
            <w:pPr>
              <w:spacing w:line="0" w:lineRule="atLeast"/>
              <w:jc w:val="center"/>
              <w:rPr>
                <w:rFonts w:hint="default" w:ascii="Times New Roman" w:hAnsi="Times New Roman" w:eastAsia="宋体" w:cs="Times New Roman"/>
                <w:color w:val="auto"/>
                <w:spacing w:val="-10"/>
                <w:sz w:val="18"/>
                <w:szCs w:val="18"/>
                <w:highlight w:val="none"/>
              </w:rPr>
            </w:pPr>
          </w:p>
        </w:tc>
        <w:tc>
          <w:tcPr>
            <w:tcW w:w="736" w:type="pct"/>
            <w:vMerge w:val="continue"/>
            <w:tcBorders>
              <w:tl2br w:val="nil"/>
              <w:tr2bl w:val="nil"/>
            </w:tcBorders>
            <w:noWrap w:val="0"/>
            <w:vAlign w:val="center"/>
          </w:tcPr>
          <w:p w14:paraId="4A9B1E66">
            <w:pPr>
              <w:spacing w:line="0" w:lineRule="atLeast"/>
              <w:jc w:val="center"/>
              <w:rPr>
                <w:rFonts w:hint="default" w:ascii="Times New Roman" w:hAnsi="Times New Roman" w:eastAsia="宋体" w:cs="Times New Roman"/>
                <w:color w:val="auto"/>
                <w:spacing w:val="-10"/>
                <w:kern w:val="0"/>
                <w:sz w:val="18"/>
                <w:szCs w:val="18"/>
                <w:highlight w:val="none"/>
              </w:rPr>
            </w:pPr>
          </w:p>
        </w:tc>
        <w:tc>
          <w:tcPr>
            <w:tcW w:w="1177" w:type="pct"/>
            <w:tcBorders>
              <w:tl2br w:val="nil"/>
              <w:tr2bl w:val="nil"/>
            </w:tcBorders>
            <w:noWrap w:val="0"/>
            <w:vAlign w:val="center"/>
          </w:tcPr>
          <w:p w14:paraId="03169270">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标准指数</w:t>
            </w:r>
          </w:p>
        </w:tc>
        <w:tc>
          <w:tcPr>
            <w:tcW w:w="1079" w:type="pct"/>
            <w:tcBorders>
              <w:tl2br w:val="nil"/>
              <w:tr2bl w:val="nil"/>
            </w:tcBorders>
            <w:noWrap w:val="0"/>
            <w:vAlign w:val="center"/>
          </w:tcPr>
          <w:p w14:paraId="5B639F9A">
            <w:pPr>
              <w:spacing w:line="0" w:lineRule="atLeast"/>
              <w:jc w:val="center"/>
              <w:rPr>
                <w:rFonts w:hint="default" w:ascii="Times New Roman" w:hAnsi="Times New Roman" w:eastAsia="宋体" w:cs="Times New Roman"/>
                <w:color w:val="auto"/>
                <w:spacing w:val="-10"/>
                <w:kern w:val="0"/>
                <w:sz w:val="18"/>
                <w:szCs w:val="18"/>
                <w:highlight w:val="none"/>
                <w:lang w:bidi="ar"/>
              </w:rPr>
            </w:pPr>
          </w:p>
        </w:tc>
        <w:tc>
          <w:tcPr>
            <w:tcW w:w="1013" w:type="pct"/>
            <w:tcBorders>
              <w:tl2br w:val="nil"/>
              <w:tr2bl w:val="nil"/>
            </w:tcBorders>
            <w:noWrap w:val="0"/>
            <w:vAlign w:val="center"/>
          </w:tcPr>
          <w:p w14:paraId="2CC567E6">
            <w:pPr>
              <w:spacing w:line="0" w:lineRule="atLeast"/>
              <w:jc w:val="center"/>
              <w:rPr>
                <w:rFonts w:hint="default" w:ascii="Times New Roman" w:hAnsi="Times New Roman" w:eastAsia="宋体" w:cs="Times New Roman"/>
                <w:color w:val="auto"/>
                <w:spacing w:val="-10"/>
                <w:kern w:val="0"/>
                <w:sz w:val="18"/>
                <w:szCs w:val="18"/>
                <w:highlight w:val="none"/>
                <w:lang w:bidi="ar"/>
              </w:rPr>
            </w:pPr>
          </w:p>
        </w:tc>
      </w:tr>
      <w:tr w14:paraId="24F1E1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994" w:type="pct"/>
            <w:vMerge w:val="restart"/>
            <w:tcBorders>
              <w:tl2br w:val="nil"/>
              <w:tr2bl w:val="nil"/>
            </w:tcBorders>
            <w:noWrap w:val="0"/>
            <w:vAlign w:val="center"/>
          </w:tcPr>
          <w:p w14:paraId="516FDA68">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挥发性酚类</w:t>
            </w:r>
          </w:p>
        </w:tc>
        <w:tc>
          <w:tcPr>
            <w:tcW w:w="736" w:type="pct"/>
            <w:vMerge w:val="restart"/>
            <w:tcBorders>
              <w:tl2br w:val="nil"/>
              <w:tr2bl w:val="nil"/>
            </w:tcBorders>
            <w:noWrap w:val="0"/>
            <w:vAlign w:val="center"/>
          </w:tcPr>
          <w:p w14:paraId="1444925E">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≤0.002</w:t>
            </w:r>
          </w:p>
        </w:tc>
        <w:tc>
          <w:tcPr>
            <w:tcW w:w="1177" w:type="pct"/>
            <w:tcBorders>
              <w:tl2br w:val="nil"/>
              <w:tr2bl w:val="nil"/>
            </w:tcBorders>
            <w:noWrap w:val="0"/>
            <w:vAlign w:val="center"/>
          </w:tcPr>
          <w:p w14:paraId="4C1A0386">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监测值</w:t>
            </w:r>
          </w:p>
        </w:tc>
        <w:tc>
          <w:tcPr>
            <w:tcW w:w="1079" w:type="pct"/>
            <w:tcBorders>
              <w:tl2br w:val="nil"/>
              <w:tr2bl w:val="nil"/>
            </w:tcBorders>
            <w:noWrap w:val="0"/>
            <w:vAlign w:val="center"/>
          </w:tcPr>
          <w:p w14:paraId="2C7BDE9D">
            <w:pPr>
              <w:spacing w:line="0" w:lineRule="atLeast"/>
              <w:jc w:val="center"/>
              <w:rPr>
                <w:rFonts w:hint="default" w:ascii="Times New Roman" w:hAnsi="Times New Roman" w:eastAsia="宋体" w:cs="Times New Roman"/>
                <w:color w:val="auto"/>
                <w:spacing w:val="-10"/>
                <w:sz w:val="18"/>
                <w:szCs w:val="18"/>
                <w:highlight w:val="none"/>
              </w:rPr>
            </w:pPr>
          </w:p>
        </w:tc>
        <w:tc>
          <w:tcPr>
            <w:tcW w:w="1013" w:type="pct"/>
            <w:tcBorders>
              <w:tl2br w:val="nil"/>
              <w:tr2bl w:val="nil"/>
            </w:tcBorders>
            <w:noWrap w:val="0"/>
            <w:vAlign w:val="center"/>
          </w:tcPr>
          <w:p w14:paraId="60DEA4E6">
            <w:pPr>
              <w:spacing w:line="0" w:lineRule="atLeast"/>
              <w:jc w:val="center"/>
              <w:rPr>
                <w:rFonts w:hint="default" w:ascii="Times New Roman" w:hAnsi="Times New Roman" w:eastAsia="宋体" w:cs="Times New Roman"/>
                <w:color w:val="auto"/>
                <w:spacing w:val="-10"/>
                <w:kern w:val="0"/>
                <w:sz w:val="18"/>
                <w:szCs w:val="18"/>
                <w:highlight w:val="none"/>
                <w:lang w:bidi="ar"/>
              </w:rPr>
            </w:pPr>
          </w:p>
        </w:tc>
      </w:tr>
      <w:tr w14:paraId="09E4D2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994" w:type="pct"/>
            <w:vMerge w:val="continue"/>
            <w:tcBorders>
              <w:tl2br w:val="nil"/>
              <w:tr2bl w:val="nil"/>
            </w:tcBorders>
            <w:noWrap w:val="0"/>
            <w:vAlign w:val="center"/>
          </w:tcPr>
          <w:p w14:paraId="23CD6EA1">
            <w:pPr>
              <w:spacing w:line="0" w:lineRule="atLeast"/>
              <w:jc w:val="center"/>
              <w:rPr>
                <w:rFonts w:hint="default" w:ascii="Times New Roman" w:hAnsi="Times New Roman" w:eastAsia="宋体" w:cs="Times New Roman"/>
                <w:color w:val="auto"/>
                <w:spacing w:val="-10"/>
                <w:sz w:val="18"/>
                <w:szCs w:val="18"/>
                <w:highlight w:val="none"/>
              </w:rPr>
            </w:pPr>
          </w:p>
        </w:tc>
        <w:tc>
          <w:tcPr>
            <w:tcW w:w="736" w:type="pct"/>
            <w:vMerge w:val="continue"/>
            <w:tcBorders>
              <w:tl2br w:val="nil"/>
              <w:tr2bl w:val="nil"/>
            </w:tcBorders>
            <w:noWrap w:val="0"/>
            <w:vAlign w:val="center"/>
          </w:tcPr>
          <w:p w14:paraId="615BF64B">
            <w:pPr>
              <w:spacing w:line="0" w:lineRule="atLeast"/>
              <w:jc w:val="center"/>
              <w:rPr>
                <w:rFonts w:hint="default" w:ascii="Times New Roman" w:hAnsi="Times New Roman" w:eastAsia="宋体" w:cs="Times New Roman"/>
                <w:color w:val="auto"/>
                <w:spacing w:val="-10"/>
                <w:sz w:val="18"/>
                <w:szCs w:val="18"/>
                <w:highlight w:val="none"/>
              </w:rPr>
            </w:pPr>
          </w:p>
        </w:tc>
        <w:tc>
          <w:tcPr>
            <w:tcW w:w="1177" w:type="pct"/>
            <w:tcBorders>
              <w:tl2br w:val="nil"/>
              <w:tr2bl w:val="nil"/>
            </w:tcBorders>
            <w:noWrap w:val="0"/>
            <w:vAlign w:val="center"/>
          </w:tcPr>
          <w:p w14:paraId="12EF17BA">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标准指数</w:t>
            </w:r>
          </w:p>
        </w:tc>
        <w:tc>
          <w:tcPr>
            <w:tcW w:w="1079" w:type="pct"/>
            <w:tcBorders>
              <w:tl2br w:val="nil"/>
              <w:tr2bl w:val="nil"/>
            </w:tcBorders>
            <w:noWrap w:val="0"/>
            <w:vAlign w:val="center"/>
          </w:tcPr>
          <w:p w14:paraId="6FF35134">
            <w:pPr>
              <w:spacing w:line="0" w:lineRule="atLeast"/>
              <w:jc w:val="center"/>
              <w:rPr>
                <w:rFonts w:hint="default" w:ascii="Times New Roman" w:hAnsi="Times New Roman" w:eastAsia="宋体" w:cs="Times New Roman"/>
                <w:color w:val="auto"/>
                <w:spacing w:val="-10"/>
                <w:sz w:val="18"/>
                <w:szCs w:val="18"/>
                <w:highlight w:val="none"/>
              </w:rPr>
            </w:pPr>
          </w:p>
        </w:tc>
        <w:tc>
          <w:tcPr>
            <w:tcW w:w="1013" w:type="pct"/>
            <w:tcBorders>
              <w:tl2br w:val="nil"/>
              <w:tr2bl w:val="nil"/>
            </w:tcBorders>
            <w:noWrap w:val="0"/>
            <w:vAlign w:val="center"/>
          </w:tcPr>
          <w:p w14:paraId="68A7C88D">
            <w:pPr>
              <w:spacing w:line="0" w:lineRule="atLeast"/>
              <w:jc w:val="center"/>
              <w:rPr>
                <w:rFonts w:hint="default" w:ascii="Times New Roman" w:hAnsi="Times New Roman" w:eastAsia="宋体" w:cs="Times New Roman"/>
                <w:color w:val="auto"/>
                <w:spacing w:val="-10"/>
                <w:kern w:val="0"/>
                <w:sz w:val="18"/>
                <w:szCs w:val="18"/>
                <w:highlight w:val="none"/>
                <w:lang w:bidi="ar"/>
              </w:rPr>
            </w:pPr>
          </w:p>
        </w:tc>
      </w:tr>
      <w:tr w14:paraId="34B761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5" w:hRule="atLeast"/>
          <w:jc w:val="center"/>
        </w:trPr>
        <w:tc>
          <w:tcPr>
            <w:tcW w:w="994" w:type="pct"/>
            <w:vMerge w:val="restart"/>
            <w:tcBorders>
              <w:tl2br w:val="nil"/>
              <w:tr2bl w:val="nil"/>
            </w:tcBorders>
            <w:noWrap w:val="0"/>
            <w:vAlign w:val="center"/>
          </w:tcPr>
          <w:p w14:paraId="1D380AC6">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阴离子表面活性剂</w:t>
            </w:r>
          </w:p>
        </w:tc>
        <w:tc>
          <w:tcPr>
            <w:tcW w:w="736" w:type="pct"/>
            <w:vMerge w:val="restart"/>
            <w:tcBorders>
              <w:tl2br w:val="nil"/>
              <w:tr2bl w:val="nil"/>
            </w:tcBorders>
            <w:noWrap w:val="0"/>
            <w:vAlign w:val="center"/>
          </w:tcPr>
          <w:p w14:paraId="6C72E166">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≤0.3</w:t>
            </w:r>
          </w:p>
        </w:tc>
        <w:tc>
          <w:tcPr>
            <w:tcW w:w="1177" w:type="pct"/>
            <w:tcBorders>
              <w:tl2br w:val="nil"/>
              <w:tr2bl w:val="nil"/>
            </w:tcBorders>
            <w:noWrap w:val="0"/>
            <w:vAlign w:val="center"/>
          </w:tcPr>
          <w:p w14:paraId="38F5E120">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监测值</w:t>
            </w:r>
          </w:p>
        </w:tc>
        <w:tc>
          <w:tcPr>
            <w:tcW w:w="1079" w:type="pct"/>
            <w:tcBorders>
              <w:tl2br w:val="nil"/>
              <w:tr2bl w:val="nil"/>
            </w:tcBorders>
            <w:noWrap w:val="0"/>
            <w:vAlign w:val="center"/>
          </w:tcPr>
          <w:p w14:paraId="6304EFEC">
            <w:pPr>
              <w:spacing w:line="0" w:lineRule="atLeast"/>
              <w:jc w:val="center"/>
              <w:rPr>
                <w:rFonts w:hint="default" w:ascii="Times New Roman" w:hAnsi="Times New Roman" w:eastAsia="宋体" w:cs="Times New Roman"/>
                <w:color w:val="auto"/>
                <w:spacing w:val="-10"/>
                <w:kern w:val="0"/>
                <w:sz w:val="18"/>
                <w:szCs w:val="18"/>
                <w:highlight w:val="none"/>
                <w:lang w:bidi="ar"/>
              </w:rPr>
            </w:pPr>
          </w:p>
        </w:tc>
        <w:tc>
          <w:tcPr>
            <w:tcW w:w="1013" w:type="pct"/>
            <w:tcBorders>
              <w:tl2br w:val="nil"/>
              <w:tr2bl w:val="nil"/>
            </w:tcBorders>
            <w:noWrap w:val="0"/>
            <w:vAlign w:val="center"/>
          </w:tcPr>
          <w:p w14:paraId="1654F9F8">
            <w:pPr>
              <w:spacing w:line="0" w:lineRule="atLeast"/>
              <w:jc w:val="center"/>
              <w:rPr>
                <w:rFonts w:hint="default" w:ascii="Times New Roman" w:hAnsi="Times New Roman" w:eastAsia="宋体" w:cs="Times New Roman"/>
                <w:color w:val="auto"/>
                <w:spacing w:val="-10"/>
                <w:kern w:val="0"/>
                <w:sz w:val="18"/>
                <w:szCs w:val="18"/>
                <w:highlight w:val="none"/>
                <w:lang w:bidi="ar"/>
              </w:rPr>
            </w:pPr>
          </w:p>
        </w:tc>
      </w:tr>
      <w:tr w14:paraId="475D14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5" w:hRule="atLeast"/>
          <w:jc w:val="center"/>
        </w:trPr>
        <w:tc>
          <w:tcPr>
            <w:tcW w:w="994" w:type="pct"/>
            <w:vMerge w:val="continue"/>
            <w:tcBorders>
              <w:tl2br w:val="nil"/>
              <w:tr2bl w:val="nil"/>
            </w:tcBorders>
            <w:noWrap w:val="0"/>
            <w:vAlign w:val="center"/>
          </w:tcPr>
          <w:p w14:paraId="4CC6A7F2">
            <w:pPr>
              <w:spacing w:line="0" w:lineRule="atLeast"/>
              <w:jc w:val="center"/>
              <w:rPr>
                <w:rFonts w:hint="default" w:ascii="Times New Roman" w:hAnsi="Times New Roman" w:eastAsia="宋体" w:cs="Times New Roman"/>
                <w:color w:val="auto"/>
                <w:spacing w:val="-10"/>
                <w:sz w:val="18"/>
                <w:szCs w:val="18"/>
                <w:highlight w:val="none"/>
              </w:rPr>
            </w:pPr>
          </w:p>
        </w:tc>
        <w:tc>
          <w:tcPr>
            <w:tcW w:w="736" w:type="pct"/>
            <w:vMerge w:val="continue"/>
            <w:tcBorders>
              <w:tl2br w:val="nil"/>
              <w:tr2bl w:val="nil"/>
            </w:tcBorders>
            <w:noWrap w:val="0"/>
            <w:vAlign w:val="center"/>
          </w:tcPr>
          <w:p w14:paraId="0BA86B84">
            <w:pPr>
              <w:spacing w:line="0" w:lineRule="atLeast"/>
              <w:jc w:val="center"/>
              <w:rPr>
                <w:rFonts w:hint="default" w:ascii="Times New Roman" w:hAnsi="Times New Roman" w:eastAsia="宋体" w:cs="Times New Roman"/>
                <w:color w:val="auto"/>
                <w:spacing w:val="-10"/>
                <w:sz w:val="18"/>
                <w:szCs w:val="18"/>
                <w:highlight w:val="none"/>
              </w:rPr>
            </w:pPr>
          </w:p>
        </w:tc>
        <w:tc>
          <w:tcPr>
            <w:tcW w:w="1177" w:type="pct"/>
            <w:tcBorders>
              <w:tl2br w:val="nil"/>
              <w:tr2bl w:val="nil"/>
            </w:tcBorders>
            <w:noWrap w:val="0"/>
            <w:vAlign w:val="center"/>
          </w:tcPr>
          <w:p w14:paraId="5ABE8C4E">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标准指数</w:t>
            </w:r>
          </w:p>
        </w:tc>
        <w:tc>
          <w:tcPr>
            <w:tcW w:w="1079" w:type="pct"/>
            <w:tcBorders>
              <w:tl2br w:val="nil"/>
              <w:tr2bl w:val="nil"/>
            </w:tcBorders>
            <w:noWrap w:val="0"/>
            <w:vAlign w:val="center"/>
          </w:tcPr>
          <w:p w14:paraId="58E8F290">
            <w:pPr>
              <w:spacing w:line="0" w:lineRule="atLeast"/>
              <w:jc w:val="center"/>
              <w:rPr>
                <w:rFonts w:hint="default" w:ascii="Times New Roman" w:hAnsi="Times New Roman" w:eastAsia="宋体" w:cs="Times New Roman"/>
                <w:color w:val="auto"/>
                <w:spacing w:val="-10"/>
                <w:kern w:val="0"/>
                <w:sz w:val="18"/>
                <w:szCs w:val="18"/>
                <w:highlight w:val="none"/>
                <w:lang w:bidi="ar"/>
              </w:rPr>
            </w:pPr>
          </w:p>
        </w:tc>
        <w:tc>
          <w:tcPr>
            <w:tcW w:w="1013" w:type="pct"/>
            <w:tcBorders>
              <w:tl2br w:val="nil"/>
              <w:tr2bl w:val="nil"/>
            </w:tcBorders>
            <w:noWrap w:val="0"/>
            <w:vAlign w:val="center"/>
          </w:tcPr>
          <w:p w14:paraId="747A9E8A">
            <w:pPr>
              <w:spacing w:line="0" w:lineRule="atLeast"/>
              <w:jc w:val="center"/>
              <w:rPr>
                <w:rFonts w:hint="default" w:ascii="Times New Roman" w:hAnsi="Times New Roman" w:eastAsia="宋体" w:cs="Times New Roman"/>
                <w:color w:val="auto"/>
                <w:spacing w:val="-10"/>
                <w:kern w:val="0"/>
                <w:sz w:val="18"/>
                <w:szCs w:val="18"/>
                <w:highlight w:val="none"/>
                <w:lang w:bidi="ar"/>
              </w:rPr>
            </w:pPr>
          </w:p>
        </w:tc>
      </w:tr>
      <w:tr w14:paraId="5456F8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5" w:hRule="atLeast"/>
          <w:jc w:val="center"/>
        </w:trPr>
        <w:tc>
          <w:tcPr>
            <w:tcW w:w="994" w:type="pct"/>
            <w:vMerge w:val="restart"/>
            <w:tcBorders>
              <w:tl2br w:val="nil"/>
              <w:tr2bl w:val="nil"/>
            </w:tcBorders>
            <w:noWrap w:val="0"/>
            <w:vAlign w:val="center"/>
          </w:tcPr>
          <w:p w14:paraId="494BEC05">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耗氧量</w:t>
            </w:r>
          </w:p>
        </w:tc>
        <w:tc>
          <w:tcPr>
            <w:tcW w:w="736" w:type="pct"/>
            <w:vMerge w:val="restart"/>
            <w:tcBorders>
              <w:tl2br w:val="nil"/>
              <w:tr2bl w:val="nil"/>
            </w:tcBorders>
            <w:noWrap w:val="0"/>
            <w:vAlign w:val="center"/>
          </w:tcPr>
          <w:p w14:paraId="20DCE9C3">
            <w:pPr>
              <w:spacing w:line="0" w:lineRule="atLeast"/>
              <w:jc w:val="center"/>
              <w:rPr>
                <w:rFonts w:hint="default" w:ascii="Times New Roman" w:hAnsi="Times New Roman" w:eastAsia="宋体" w:cs="Times New Roman"/>
                <w:color w:val="auto"/>
                <w:spacing w:val="-10"/>
                <w:kern w:val="0"/>
                <w:sz w:val="18"/>
                <w:szCs w:val="18"/>
                <w:highlight w:val="none"/>
              </w:rPr>
            </w:pPr>
            <w:r>
              <w:rPr>
                <w:rFonts w:hint="default" w:ascii="Times New Roman" w:hAnsi="Times New Roman" w:eastAsia="宋体" w:cs="Times New Roman"/>
                <w:color w:val="auto"/>
                <w:spacing w:val="-10"/>
                <w:sz w:val="18"/>
                <w:szCs w:val="18"/>
                <w:highlight w:val="none"/>
              </w:rPr>
              <w:t>≤3.0</w:t>
            </w:r>
          </w:p>
        </w:tc>
        <w:tc>
          <w:tcPr>
            <w:tcW w:w="1177" w:type="pct"/>
            <w:tcBorders>
              <w:tl2br w:val="nil"/>
              <w:tr2bl w:val="nil"/>
            </w:tcBorders>
            <w:noWrap w:val="0"/>
            <w:vAlign w:val="center"/>
          </w:tcPr>
          <w:p w14:paraId="55690206">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监测值</w:t>
            </w:r>
          </w:p>
        </w:tc>
        <w:tc>
          <w:tcPr>
            <w:tcW w:w="1079" w:type="pct"/>
            <w:tcBorders>
              <w:tl2br w:val="nil"/>
              <w:tr2bl w:val="nil"/>
            </w:tcBorders>
            <w:noWrap w:val="0"/>
            <w:vAlign w:val="center"/>
          </w:tcPr>
          <w:p w14:paraId="5D81E390">
            <w:pPr>
              <w:widowControl/>
              <w:spacing w:line="0" w:lineRule="atLeast"/>
              <w:jc w:val="center"/>
              <w:rPr>
                <w:rFonts w:hint="default" w:ascii="Times New Roman" w:hAnsi="Times New Roman" w:eastAsia="宋体" w:cs="Times New Roman"/>
                <w:color w:val="auto"/>
                <w:spacing w:val="-10"/>
                <w:sz w:val="18"/>
                <w:szCs w:val="18"/>
                <w:highlight w:val="none"/>
              </w:rPr>
            </w:pPr>
          </w:p>
        </w:tc>
        <w:tc>
          <w:tcPr>
            <w:tcW w:w="1013" w:type="pct"/>
            <w:tcBorders>
              <w:tl2br w:val="nil"/>
              <w:tr2bl w:val="nil"/>
            </w:tcBorders>
            <w:noWrap w:val="0"/>
            <w:vAlign w:val="center"/>
          </w:tcPr>
          <w:p w14:paraId="27E81719">
            <w:pPr>
              <w:widowControl/>
              <w:spacing w:line="0" w:lineRule="atLeast"/>
              <w:jc w:val="center"/>
              <w:rPr>
                <w:rFonts w:hint="default" w:ascii="Times New Roman" w:hAnsi="Times New Roman" w:eastAsia="宋体" w:cs="Times New Roman"/>
                <w:color w:val="auto"/>
                <w:spacing w:val="-10"/>
                <w:kern w:val="0"/>
                <w:sz w:val="18"/>
                <w:szCs w:val="18"/>
                <w:highlight w:val="none"/>
                <w:lang w:bidi="ar"/>
              </w:rPr>
            </w:pPr>
          </w:p>
        </w:tc>
      </w:tr>
      <w:tr w14:paraId="057AA9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5" w:hRule="atLeast"/>
          <w:jc w:val="center"/>
        </w:trPr>
        <w:tc>
          <w:tcPr>
            <w:tcW w:w="994" w:type="pct"/>
            <w:vMerge w:val="continue"/>
            <w:tcBorders>
              <w:tl2br w:val="nil"/>
              <w:tr2bl w:val="nil"/>
            </w:tcBorders>
            <w:noWrap w:val="0"/>
            <w:vAlign w:val="center"/>
          </w:tcPr>
          <w:p w14:paraId="35A5E4B3">
            <w:pPr>
              <w:spacing w:line="0" w:lineRule="atLeast"/>
              <w:jc w:val="center"/>
              <w:rPr>
                <w:rFonts w:hint="default" w:ascii="Times New Roman" w:hAnsi="Times New Roman" w:eastAsia="宋体" w:cs="Times New Roman"/>
                <w:color w:val="auto"/>
                <w:spacing w:val="-10"/>
                <w:sz w:val="18"/>
                <w:szCs w:val="18"/>
                <w:highlight w:val="none"/>
              </w:rPr>
            </w:pPr>
          </w:p>
        </w:tc>
        <w:tc>
          <w:tcPr>
            <w:tcW w:w="736" w:type="pct"/>
            <w:vMerge w:val="continue"/>
            <w:tcBorders>
              <w:tl2br w:val="nil"/>
              <w:tr2bl w:val="nil"/>
            </w:tcBorders>
            <w:noWrap w:val="0"/>
            <w:vAlign w:val="center"/>
          </w:tcPr>
          <w:p w14:paraId="2B9299B7">
            <w:pPr>
              <w:spacing w:line="0" w:lineRule="atLeast"/>
              <w:jc w:val="center"/>
              <w:rPr>
                <w:rFonts w:hint="default" w:ascii="Times New Roman" w:hAnsi="Times New Roman" w:eastAsia="宋体" w:cs="Times New Roman"/>
                <w:color w:val="auto"/>
                <w:spacing w:val="-10"/>
                <w:kern w:val="0"/>
                <w:sz w:val="18"/>
                <w:szCs w:val="18"/>
                <w:highlight w:val="none"/>
              </w:rPr>
            </w:pPr>
          </w:p>
        </w:tc>
        <w:tc>
          <w:tcPr>
            <w:tcW w:w="1177" w:type="pct"/>
            <w:tcBorders>
              <w:tl2br w:val="nil"/>
              <w:tr2bl w:val="nil"/>
            </w:tcBorders>
            <w:noWrap w:val="0"/>
            <w:vAlign w:val="center"/>
          </w:tcPr>
          <w:p w14:paraId="5BE60A23">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标准指数</w:t>
            </w:r>
          </w:p>
        </w:tc>
        <w:tc>
          <w:tcPr>
            <w:tcW w:w="1079" w:type="pct"/>
            <w:tcBorders>
              <w:tl2br w:val="nil"/>
              <w:tr2bl w:val="nil"/>
            </w:tcBorders>
            <w:noWrap w:val="0"/>
            <w:vAlign w:val="center"/>
          </w:tcPr>
          <w:p w14:paraId="61CC2602">
            <w:pPr>
              <w:widowControl/>
              <w:spacing w:line="0" w:lineRule="atLeast"/>
              <w:jc w:val="center"/>
              <w:rPr>
                <w:rFonts w:hint="default" w:ascii="Times New Roman" w:hAnsi="Times New Roman" w:eastAsia="宋体" w:cs="Times New Roman"/>
                <w:color w:val="auto"/>
                <w:spacing w:val="-10"/>
                <w:sz w:val="18"/>
                <w:szCs w:val="18"/>
                <w:highlight w:val="none"/>
              </w:rPr>
            </w:pPr>
          </w:p>
        </w:tc>
        <w:tc>
          <w:tcPr>
            <w:tcW w:w="1013" w:type="pct"/>
            <w:tcBorders>
              <w:tl2br w:val="nil"/>
              <w:tr2bl w:val="nil"/>
            </w:tcBorders>
            <w:noWrap w:val="0"/>
            <w:vAlign w:val="center"/>
          </w:tcPr>
          <w:p w14:paraId="2C829D5F">
            <w:pPr>
              <w:widowControl/>
              <w:spacing w:line="0" w:lineRule="atLeast"/>
              <w:jc w:val="center"/>
              <w:rPr>
                <w:rFonts w:hint="default" w:ascii="Times New Roman" w:hAnsi="Times New Roman" w:eastAsia="宋体" w:cs="Times New Roman"/>
                <w:color w:val="auto"/>
                <w:spacing w:val="-10"/>
                <w:kern w:val="0"/>
                <w:sz w:val="18"/>
                <w:szCs w:val="18"/>
                <w:highlight w:val="none"/>
                <w:lang w:bidi="ar"/>
              </w:rPr>
            </w:pPr>
          </w:p>
        </w:tc>
      </w:tr>
      <w:tr w14:paraId="06E620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5" w:hRule="atLeast"/>
          <w:jc w:val="center"/>
        </w:trPr>
        <w:tc>
          <w:tcPr>
            <w:tcW w:w="994" w:type="pct"/>
            <w:vMerge w:val="restart"/>
            <w:tcBorders>
              <w:tl2br w:val="nil"/>
              <w:tr2bl w:val="nil"/>
            </w:tcBorders>
            <w:noWrap w:val="0"/>
            <w:vAlign w:val="center"/>
          </w:tcPr>
          <w:p w14:paraId="0A6CC48C">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氨氮</w:t>
            </w:r>
          </w:p>
        </w:tc>
        <w:tc>
          <w:tcPr>
            <w:tcW w:w="736" w:type="pct"/>
            <w:vMerge w:val="restart"/>
            <w:tcBorders>
              <w:tl2br w:val="nil"/>
              <w:tr2bl w:val="nil"/>
            </w:tcBorders>
            <w:noWrap w:val="0"/>
            <w:vAlign w:val="center"/>
          </w:tcPr>
          <w:p w14:paraId="5C69AE45">
            <w:pPr>
              <w:spacing w:line="0" w:lineRule="atLeast"/>
              <w:jc w:val="center"/>
              <w:rPr>
                <w:rFonts w:hint="default" w:ascii="Times New Roman" w:hAnsi="Times New Roman" w:eastAsia="宋体" w:cs="Times New Roman"/>
                <w:color w:val="auto"/>
                <w:spacing w:val="-10"/>
                <w:kern w:val="0"/>
                <w:sz w:val="18"/>
                <w:szCs w:val="18"/>
                <w:highlight w:val="none"/>
              </w:rPr>
            </w:pPr>
            <w:r>
              <w:rPr>
                <w:rFonts w:hint="default" w:ascii="Times New Roman" w:hAnsi="Times New Roman" w:eastAsia="宋体" w:cs="Times New Roman"/>
                <w:color w:val="auto"/>
                <w:spacing w:val="-10"/>
                <w:sz w:val="18"/>
                <w:szCs w:val="18"/>
                <w:highlight w:val="none"/>
              </w:rPr>
              <w:t>≤0.5</w:t>
            </w:r>
          </w:p>
        </w:tc>
        <w:tc>
          <w:tcPr>
            <w:tcW w:w="1177" w:type="pct"/>
            <w:tcBorders>
              <w:tl2br w:val="nil"/>
              <w:tr2bl w:val="nil"/>
            </w:tcBorders>
            <w:noWrap w:val="0"/>
            <w:vAlign w:val="center"/>
          </w:tcPr>
          <w:p w14:paraId="35FDA973">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监测值</w:t>
            </w:r>
          </w:p>
        </w:tc>
        <w:tc>
          <w:tcPr>
            <w:tcW w:w="1079" w:type="pct"/>
            <w:tcBorders>
              <w:tl2br w:val="nil"/>
              <w:tr2bl w:val="nil"/>
            </w:tcBorders>
            <w:noWrap w:val="0"/>
            <w:vAlign w:val="center"/>
          </w:tcPr>
          <w:p w14:paraId="61E52EAC">
            <w:pPr>
              <w:widowControl/>
              <w:spacing w:line="0" w:lineRule="atLeast"/>
              <w:jc w:val="center"/>
              <w:rPr>
                <w:rFonts w:hint="default" w:ascii="Times New Roman" w:hAnsi="Times New Roman" w:eastAsia="宋体" w:cs="Times New Roman"/>
                <w:color w:val="auto"/>
                <w:spacing w:val="-10"/>
                <w:sz w:val="18"/>
                <w:szCs w:val="18"/>
                <w:highlight w:val="none"/>
              </w:rPr>
            </w:pPr>
          </w:p>
        </w:tc>
        <w:tc>
          <w:tcPr>
            <w:tcW w:w="1013" w:type="pct"/>
            <w:tcBorders>
              <w:tl2br w:val="nil"/>
              <w:tr2bl w:val="nil"/>
            </w:tcBorders>
            <w:noWrap w:val="0"/>
            <w:vAlign w:val="center"/>
          </w:tcPr>
          <w:p w14:paraId="33072788">
            <w:pPr>
              <w:widowControl/>
              <w:spacing w:line="0" w:lineRule="atLeast"/>
              <w:jc w:val="center"/>
              <w:rPr>
                <w:rFonts w:hint="default" w:ascii="Times New Roman" w:hAnsi="Times New Roman" w:eastAsia="宋体" w:cs="Times New Roman"/>
                <w:color w:val="auto"/>
                <w:spacing w:val="-10"/>
                <w:kern w:val="0"/>
                <w:sz w:val="18"/>
                <w:szCs w:val="18"/>
                <w:highlight w:val="none"/>
                <w:lang w:bidi="ar"/>
              </w:rPr>
            </w:pPr>
          </w:p>
        </w:tc>
      </w:tr>
      <w:tr w14:paraId="1AD19D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5" w:hRule="atLeast"/>
          <w:jc w:val="center"/>
        </w:trPr>
        <w:tc>
          <w:tcPr>
            <w:tcW w:w="994" w:type="pct"/>
            <w:vMerge w:val="continue"/>
            <w:tcBorders>
              <w:tl2br w:val="nil"/>
              <w:tr2bl w:val="nil"/>
            </w:tcBorders>
            <w:noWrap w:val="0"/>
            <w:vAlign w:val="center"/>
          </w:tcPr>
          <w:p w14:paraId="2988202B">
            <w:pPr>
              <w:spacing w:line="0" w:lineRule="atLeast"/>
              <w:jc w:val="center"/>
              <w:rPr>
                <w:rFonts w:hint="default" w:ascii="Times New Roman" w:hAnsi="Times New Roman" w:eastAsia="宋体" w:cs="Times New Roman"/>
                <w:color w:val="auto"/>
                <w:spacing w:val="-10"/>
                <w:sz w:val="18"/>
                <w:szCs w:val="18"/>
                <w:highlight w:val="none"/>
              </w:rPr>
            </w:pPr>
          </w:p>
        </w:tc>
        <w:tc>
          <w:tcPr>
            <w:tcW w:w="736" w:type="pct"/>
            <w:vMerge w:val="continue"/>
            <w:tcBorders>
              <w:tl2br w:val="nil"/>
              <w:tr2bl w:val="nil"/>
            </w:tcBorders>
            <w:noWrap w:val="0"/>
            <w:vAlign w:val="center"/>
          </w:tcPr>
          <w:p w14:paraId="04991657">
            <w:pPr>
              <w:spacing w:line="0" w:lineRule="atLeast"/>
              <w:jc w:val="center"/>
              <w:rPr>
                <w:rFonts w:hint="default" w:ascii="Times New Roman" w:hAnsi="Times New Roman" w:eastAsia="宋体" w:cs="Times New Roman"/>
                <w:color w:val="auto"/>
                <w:spacing w:val="-10"/>
                <w:kern w:val="0"/>
                <w:sz w:val="18"/>
                <w:szCs w:val="18"/>
                <w:highlight w:val="none"/>
              </w:rPr>
            </w:pPr>
          </w:p>
        </w:tc>
        <w:tc>
          <w:tcPr>
            <w:tcW w:w="1177" w:type="pct"/>
            <w:tcBorders>
              <w:tl2br w:val="nil"/>
              <w:tr2bl w:val="nil"/>
            </w:tcBorders>
            <w:noWrap w:val="0"/>
            <w:vAlign w:val="center"/>
          </w:tcPr>
          <w:p w14:paraId="4FFA5DB4">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标准指数</w:t>
            </w:r>
          </w:p>
        </w:tc>
        <w:tc>
          <w:tcPr>
            <w:tcW w:w="1079" w:type="pct"/>
            <w:tcBorders>
              <w:tl2br w:val="nil"/>
              <w:tr2bl w:val="nil"/>
            </w:tcBorders>
            <w:noWrap w:val="0"/>
            <w:vAlign w:val="center"/>
          </w:tcPr>
          <w:p w14:paraId="0B8BE205">
            <w:pPr>
              <w:widowControl/>
              <w:spacing w:line="0" w:lineRule="atLeast"/>
              <w:jc w:val="center"/>
              <w:rPr>
                <w:rFonts w:hint="default" w:ascii="Times New Roman" w:hAnsi="Times New Roman" w:eastAsia="宋体" w:cs="Times New Roman"/>
                <w:color w:val="auto"/>
                <w:spacing w:val="-10"/>
                <w:sz w:val="18"/>
                <w:szCs w:val="18"/>
                <w:highlight w:val="none"/>
              </w:rPr>
            </w:pPr>
          </w:p>
        </w:tc>
        <w:tc>
          <w:tcPr>
            <w:tcW w:w="1013" w:type="pct"/>
            <w:tcBorders>
              <w:tl2br w:val="nil"/>
              <w:tr2bl w:val="nil"/>
            </w:tcBorders>
            <w:noWrap w:val="0"/>
            <w:vAlign w:val="center"/>
          </w:tcPr>
          <w:p w14:paraId="6573D03A">
            <w:pPr>
              <w:widowControl/>
              <w:spacing w:line="0" w:lineRule="atLeast"/>
              <w:jc w:val="center"/>
              <w:rPr>
                <w:rFonts w:hint="default" w:ascii="Times New Roman" w:hAnsi="Times New Roman" w:eastAsia="宋体" w:cs="Times New Roman"/>
                <w:color w:val="auto"/>
                <w:spacing w:val="-10"/>
                <w:kern w:val="0"/>
                <w:sz w:val="18"/>
                <w:szCs w:val="18"/>
                <w:highlight w:val="none"/>
                <w:lang w:bidi="ar"/>
              </w:rPr>
            </w:pPr>
          </w:p>
        </w:tc>
      </w:tr>
      <w:tr w14:paraId="64C2A1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5" w:hRule="atLeast"/>
          <w:jc w:val="center"/>
        </w:trPr>
        <w:tc>
          <w:tcPr>
            <w:tcW w:w="994" w:type="pct"/>
            <w:vMerge w:val="restart"/>
            <w:tcBorders>
              <w:tl2br w:val="nil"/>
              <w:tr2bl w:val="nil"/>
            </w:tcBorders>
            <w:noWrap w:val="0"/>
            <w:vAlign w:val="center"/>
          </w:tcPr>
          <w:p w14:paraId="2601E7BA">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硫化物</w:t>
            </w:r>
          </w:p>
        </w:tc>
        <w:tc>
          <w:tcPr>
            <w:tcW w:w="736" w:type="pct"/>
            <w:vMerge w:val="restart"/>
            <w:tcBorders>
              <w:tl2br w:val="nil"/>
              <w:tr2bl w:val="nil"/>
            </w:tcBorders>
            <w:noWrap w:val="0"/>
            <w:vAlign w:val="center"/>
          </w:tcPr>
          <w:p w14:paraId="41FBCBE3">
            <w:pPr>
              <w:spacing w:line="0" w:lineRule="atLeast"/>
              <w:jc w:val="center"/>
              <w:rPr>
                <w:rFonts w:hint="default" w:ascii="Times New Roman" w:hAnsi="Times New Roman" w:eastAsia="宋体" w:cs="Times New Roman"/>
                <w:color w:val="auto"/>
                <w:spacing w:val="-10"/>
                <w:kern w:val="0"/>
                <w:sz w:val="18"/>
                <w:szCs w:val="18"/>
                <w:highlight w:val="none"/>
              </w:rPr>
            </w:pPr>
            <w:r>
              <w:rPr>
                <w:rFonts w:hint="default" w:ascii="Times New Roman" w:hAnsi="Times New Roman" w:eastAsia="宋体" w:cs="Times New Roman"/>
                <w:color w:val="auto"/>
                <w:spacing w:val="-10"/>
                <w:sz w:val="18"/>
                <w:szCs w:val="18"/>
                <w:highlight w:val="none"/>
              </w:rPr>
              <w:t>≤0.02</w:t>
            </w:r>
          </w:p>
        </w:tc>
        <w:tc>
          <w:tcPr>
            <w:tcW w:w="1177" w:type="pct"/>
            <w:tcBorders>
              <w:tl2br w:val="nil"/>
              <w:tr2bl w:val="nil"/>
            </w:tcBorders>
            <w:noWrap w:val="0"/>
            <w:vAlign w:val="center"/>
          </w:tcPr>
          <w:p w14:paraId="6442F962">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监测值</w:t>
            </w:r>
          </w:p>
        </w:tc>
        <w:tc>
          <w:tcPr>
            <w:tcW w:w="1079" w:type="pct"/>
            <w:tcBorders>
              <w:tl2br w:val="nil"/>
              <w:tr2bl w:val="nil"/>
            </w:tcBorders>
            <w:noWrap w:val="0"/>
            <w:vAlign w:val="center"/>
          </w:tcPr>
          <w:p w14:paraId="721952BD">
            <w:pPr>
              <w:spacing w:line="0" w:lineRule="atLeast"/>
              <w:jc w:val="center"/>
              <w:rPr>
                <w:rFonts w:hint="default" w:ascii="Times New Roman" w:hAnsi="Times New Roman" w:eastAsia="宋体" w:cs="Times New Roman"/>
                <w:color w:val="auto"/>
                <w:spacing w:val="-10"/>
                <w:sz w:val="18"/>
                <w:szCs w:val="18"/>
                <w:highlight w:val="none"/>
              </w:rPr>
            </w:pPr>
          </w:p>
        </w:tc>
        <w:tc>
          <w:tcPr>
            <w:tcW w:w="1013" w:type="pct"/>
            <w:tcBorders>
              <w:tl2br w:val="nil"/>
              <w:tr2bl w:val="nil"/>
            </w:tcBorders>
            <w:noWrap w:val="0"/>
            <w:vAlign w:val="center"/>
          </w:tcPr>
          <w:p w14:paraId="67D66734">
            <w:pPr>
              <w:spacing w:line="0" w:lineRule="atLeast"/>
              <w:jc w:val="center"/>
              <w:rPr>
                <w:rFonts w:hint="default" w:ascii="Times New Roman" w:hAnsi="Times New Roman" w:eastAsia="宋体" w:cs="Times New Roman"/>
                <w:color w:val="auto"/>
                <w:spacing w:val="-10"/>
                <w:kern w:val="0"/>
                <w:sz w:val="18"/>
                <w:szCs w:val="18"/>
                <w:highlight w:val="none"/>
                <w:lang w:bidi="ar"/>
              </w:rPr>
            </w:pPr>
          </w:p>
        </w:tc>
      </w:tr>
      <w:tr w14:paraId="584E8B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5" w:hRule="atLeast"/>
          <w:jc w:val="center"/>
        </w:trPr>
        <w:tc>
          <w:tcPr>
            <w:tcW w:w="994" w:type="pct"/>
            <w:vMerge w:val="continue"/>
            <w:tcBorders>
              <w:tl2br w:val="nil"/>
              <w:tr2bl w:val="nil"/>
            </w:tcBorders>
            <w:noWrap w:val="0"/>
            <w:vAlign w:val="center"/>
          </w:tcPr>
          <w:p w14:paraId="2CFF293E">
            <w:pPr>
              <w:spacing w:line="0" w:lineRule="atLeast"/>
              <w:jc w:val="center"/>
              <w:rPr>
                <w:rFonts w:hint="default" w:ascii="Times New Roman" w:hAnsi="Times New Roman" w:eastAsia="宋体" w:cs="Times New Roman"/>
                <w:color w:val="auto"/>
                <w:spacing w:val="-10"/>
                <w:sz w:val="18"/>
                <w:szCs w:val="18"/>
                <w:highlight w:val="none"/>
              </w:rPr>
            </w:pPr>
          </w:p>
        </w:tc>
        <w:tc>
          <w:tcPr>
            <w:tcW w:w="736" w:type="pct"/>
            <w:vMerge w:val="continue"/>
            <w:tcBorders>
              <w:tl2br w:val="nil"/>
              <w:tr2bl w:val="nil"/>
            </w:tcBorders>
            <w:noWrap w:val="0"/>
            <w:vAlign w:val="center"/>
          </w:tcPr>
          <w:p w14:paraId="7DF3A37D">
            <w:pPr>
              <w:spacing w:line="0" w:lineRule="atLeast"/>
              <w:jc w:val="center"/>
              <w:rPr>
                <w:rFonts w:hint="default" w:ascii="Times New Roman" w:hAnsi="Times New Roman" w:eastAsia="宋体" w:cs="Times New Roman"/>
                <w:color w:val="auto"/>
                <w:spacing w:val="-10"/>
                <w:kern w:val="0"/>
                <w:sz w:val="18"/>
                <w:szCs w:val="18"/>
                <w:highlight w:val="none"/>
              </w:rPr>
            </w:pPr>
          </w:p>
        </w:tc>
        <w:tc>
          <w:tcPr>
            <w:tcW w:w="1177" w:type="pct"/>
            <w:tcBorders>
              <w:tl2br w:val="nil"/>
              <w:tr2bl w:val="nil"/>
            </w:tcBorders>
            <w:noWrap w:val="0"/>
            <w:vAlign w:val="center"/>
          </w:tcPr>
          <w:p w14:paraId="2E620CF4">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标准指数</w:t>
            </w:r>
          </w:p>
        </w:tc>
        <w:tc>
          <w:tcPr>
            <w:tcW w:w="1079" w:type="pct"/>
            <w:tcBorders>
              <w:tl2br w:val="nil"/>
              <w:tr2bl w:val="nil"/>
            </w:tcBorders>
            <w:noWrap w:val="0"/>
            <w:vAlign w:val="center"/>
          </w:tcPr>
          <w:p w14:paraId="69B43F3B">
            <w:pPr>
              <w:spacing w:line="0" w:lineRule="atLeast"/>
              <w:jc w:val="center"/>
              <w:rPr>
                <w:rFonts w:hint="default" w:ascii="Times New Roman" w:hAnsi="Times New Roman" w:eastAsia="宋体" w:cs="Times New Roman"/>
                <w:color w:val="auto"/>
                <w:spacing w:val="-10"/>
                <w:sz w:val="18"/>
                <w:szCs w:val="18"/>
                <w:highlight w:val="none"/>
              </w:rPr>
            </w:pPr>
          </w:p>
        </w:tc>
        <w:tc>
          <w:tcPr>
            <w:tcW w:w="1013" w:type="pct"/>
            <w:tcBorders>
              <w:tl2br w:val="nil"/>
              <w:tr2bl w:val="nil"/>
            </w:tcBorders>
            <w:noWrap w:val="0"/>
            <w:vAlign w:val="center"/>
          </w:tcPr>
          <w:p w14:paraId="2B5C5B06">
            <w:pPr>
              <w:spacing w:line="0" w:lineRule="atLeast"/>
              <w:jc w:val="center"/>
              <w:rPr>
                <w:rFonts w:hint="default" w:ascii="Times New Roman" w:hAnsi="Times New Roman" w:eastAsia="宋体" w:cs="Times New Roman"/>
                <w:color w:val="auto"/>
                <w:spacing w:val="-10"/>
                <w:kern w:val="0"/>
                <w:sz w:val="18"/>
                <w:szCs w:val="18"/>
                <w:highlight w:val="none"/>
                <w:lang w:bidi="ar"/>
              </w:rPr>
            </w:pPr>
          </w:p>
        </w:tc>
      </w:tr>
      <w:tr w14:paraId="0BF8E5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5" w:hRule="atLeast"/>
          <w:jc w:val="center"/>
        </w:trPr>
        <w:tc>
          <w:tcPr>
            <w:tcW w:w="994" w:type="pct"/>
            <w:vMerge w:val="restart"/>
            <w:tcBorders>
              <w:tl2br w:val="nil"/>
              <w:tr2bl w:val="nil"/>
            </w:tcBorders>
            <w:noWrap w:val="0"/>
            <w:vAlign w:val="center"/>
          </w:tcPr>
          <w:p w14:paraId="16594DF4">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总大肠菌群</w:t>
            </w:r>
          </w:p>
        </w:tc>
        <w:tc>
          <w:tcPr>
            <w:tcW w:w="736" w:type="pct"/>
            <w:vMerge w:val="restart"/>
            <w:tcBorders>
              <w:tl2br w:val="nil"/>
              <w:tr2bl w:val="nil"/>
            </w:tcBorders>
            <w:noWrap w:val="0"/>
            <w:vAlign w:val="center"/>
          </w:tcPr>
          <w:p w14:paraId="339220A1">
            <w:pPr>
              <w:spacing w:line="0" w:lineRule="atLeast"/>
              <w:jc w:val="center"/>
              <w:rPr>
                <w:rFonts w:hint="default" w:ascii="Times New Roman" w:hAnsi="Times New Roman" w:eastAsia="宋体" w:cs="Times New Roman"/>
                <w:color w:val="auto"/>
                <w:spacing w:val="-10"/>
                <w:kern w:val="0"/>
                <w:sz w:val="18"/>
                <w:szCs w:val="18"/>
                <w:highlight w:val="none"/>
              </w:rPr>
            </w:pPr>
            <w:r>
              <w:rPr>
                <w:rFonts w:hint="default" w:ascii="Times New Roman" w:hAnsi="Times New Roman" w:eastAsia="宋体" w:cs="Times New Roman"/>
                <w:color w:val="auto"/>
                <w:spacing w:val="-10"/>
                <w:sz w:val="18"/>
                <w:szCs w:val="18"/>
                <w:highlight w:val="none"/>
              </w:rPr>
              <w:t>≤3MPN/100mL</w:t>
            </w:r>
          </w:p>
        </w:tc>
        <w:tc>
          <w:tcPr>
            <w:tcW w:w="1177" w:type="pct"/>
            <w:tcBorders>
              <w:tl2br w:val="nil"/>
              <w:tr2bl w:val="nil"/>
            </w:tcBorders>
            <w:noWrap w:val="0"/>
            <w:vAlign w:val="center"/>
          </w:tcPr>
          <w:p w14:paraId="2A7BD6B0">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监测值</w:t>
            </w:r>
          </w:p>
        </w:tc>
        <w:tc>
          <w:tcPr>
            <w:tcW w:w="1079" w:type="pct"/>
            <w:tcBorders>
              <w:tl2br w:val="nil"/>
              <w:tr2bl w:val="nil"/>
            </w:tcBorders>
            <w:noWrap w:val="0"/>
            <w:vAlign w:val="center"/>
          </w:tcPr>
          <w:p w14:paraId="7F38F739">
            <w:pPr>
              <w:widowControl/>
              <w:spacing w:line="0" w:lineRule="atLeast"/>
              <w:jc w:val="center"/>
              <w:rPr>
                <w:rFonts w:hint="default" w:ascii="Times New Roman" w:hAnsi="Times New Roman" w:eastAsia="宋体" w:cs="Times New Roman"/>
                <w:color w:val="auto"/>
                <w:spacing w:val="-10"/>
                <w:sz w:val="18"/>
                <w:szCs w:val="18"/>
                <w:highlight w:val="none"/>
              </w:rPr>
            </w:pPr>
          </w:p>
        </w:tc>
        <w:tc>
          <w:tcPr>
            <w:tcW w:w="1013" w:type="pct"/>
            <w:tcBorders>
              <w:tl2br w:val="nil"/>
              <w:tr2bl w:val="nil"/>
            </w:tcBorders>
            <w:noWrap w:val="0"/>
            <w:vAlign w:val="center"/>
          </w:tcPr>
          <w:p w14:paraId="2C00DE9F">
            <w:pPr>
              <w:widowControl/>
              <w:spacing w:line="0" w:lineRule="atLeast"/>
              <w:jc w:val="center"/>
              <w:rPr>
                <w:rFonts w:hint="default" w:ascii="Times New Roman" w:hAnsi="Times New Roman" w:eastAsia="宋体" w:cs="Times New Roman"/>
                <w:color w:val="auto"/>
                <w:spacing w:val="-10"/>
                <w:kern w:val="0"/>
                <w:sz w:val="18"/>
                <w:szCs w:val="18"/>
                <w:highlight w:val="none"/>
                <w:lang w:bidi="ar"/>
              </w:rPr>
            </w:pPr>
          </w:p>
        </w:tc>
      </w:tr>
      <w:tr w14:paraId="3FEBFE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5" w:hRule="atLeast"/>
          <w:jc w:val="center"/>
        </w:trPr>
        <w:tc>
          <w:tcPr>
            <w:tcW w:w="994" w:type="pct"/>
            <w:vMerge w:val="continue"/>
            <w:tcBorders>
              <w:tl2br w:val="nil"/>
              <w:tr2bl w:val="nil"/>
            </w:tcBorders>
            <w:noWrap w:val="0"/>
            <w:vAlign w:val="center"/>
          </w:tcPr>
          <w:p w14:paraId="741545A8">
            <w:pPr>
              <w:spacing w:line="0" w:lineRule="atLeast"/>
              <w:jc w:val="center"/>
              <w:rPr>
                <w:rFonts w:hint="default" w:ascii="Times New Roman" w:hAnsi="Times New Roman" w:eastAsia="宋体" w:cs="Times New Roman"/>
                <w:color w:val="auto"/>
                <w:spacing w:val="-10"/>
                <w:sz w:val="18"/>
                <w:szCs w:val="18"/>
                <w:highlight w:val="none"/>
              </w:rPr>
            </w:pPr>
          </w:p>
        </w:tc>
        <w:tc>
          <w:tcPr>
            <w:tcW w:w="736" w:type="pct"/>
            <w:vMerge w:val="continue"/>
            <w:tcBorders>
              <w:tl2br w:val="nil"/>
              <w:tr2bl w:val="nil"/>
            </w:tcBorders>
            <w:noWrap w:val="0"/>
            <w:vAlign w:val="center"/>
          </w:tcPr>
          <w:p w14:paraId="7D4F0130">
            <w:pPr>
              <w:spacing w:line="0" w:lineRule="atLeast"/>
              <w:jc w:val="center"/>
              <w:rPr>
                <w:rFonts w:hint="default" w:ascii="Times New Roman" w:hAnsi="Times New Roman" w:eastAsia="宋体" w:cs="Times New Roman"/>
                <w:color w:val="auto"/>
                <w:spacing w:val="-10"/>
                <w:kern w:val="0"/>
                <w:sz w:val="18"/>
                <w:szCs w:val="18"/>
                <w:highlight w:val="none"/>
              </w:rPr>
            </w:pPr>
          </w:p>
        </w:tc>
        <w:tc>
          <w:tcPr>
            <w:tcW w:w="1177" w:type="pct"/>
            <w:tcBorders>
              <w:tl2br w:val="nil"/>
              <w:tr2bl w:val="nil"/>
            </w:tcBorders>
            <w:noWrap w:val="0"/>
            <w:vAlign w:val="center"/>
          </w:tcPr>
          <w:p w14:paraId="1BCEAFEA">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标准指数</w:t>
            </w:r>
          </w:p>
        </w:tc>
        <w:tc>
          <w:tcPr>
            <w:tcW w:w="1079" w:type="pct"/>
            <w:tcBorders>
              <w:tl2br w:val="nil"/>
              <w:tr2bl w:val="nil"/>
            </w:tcBorders>
            <w:noWrap w:val="0"/>
            <w:vAlign w:val="center"/>
          </w:tcPr>
          <w:p w14:paraId="572FE416">
            <w:pPr>
              <w:widowControl/>
              <w:spacing w:line="0" w:lineRule="atLeast"/>
              <w:jc w:val="center"/>
              <w:rPr>
                <w:rFonts w:hint="default" w:ascii="Times New Roman" w:hAnsi="Times New Roman" w:eastAsia="宋体" w:cs="Times New Roman"/>
                <w:color w:val="auto"/>
                <w:spacing w:val="-10"/>
                <w:sz w:val="18"/>
                <w:szCs w:val="18"/>
                <w:highlight w:val="none"/>
              </w:rPr>
            </w:pPr>
          </w:p>
        </w:tc>
        <w:tc>
          <w:tcPr>
            <w:tcW w:w="1013" w:type="pct"/>
            <w:tcBorders>
              <w:tl2br w:val="nil"/>
              <w:tr2bl w:val="nil"/>
            </w:tcBorders>
            <w:noWrap w:val="0"/>
            <w:vAlign w:val="center"/>
          </w:tcPr>
          <w:p w14:paraId="530E9845">
            <w:pPr>
              <w:widowControl/>
              <w:spacing w:line="0" w:lineRule="atLeast"/>
              <w:jc w:val="center"/>
              <w:rPr>
                <w:rFonts w:hint="default" w:ascii="Times New Roman" w:hAnsi="Times New Roman" w:eastAsia="宋体" w:cs="Times New Roman"/>
                <w:color w:val="auto"/>
                <w:spacing w:val="-10"/>
                <w:kern w:val="0"/>
                <w:sz w:val="18"/>
                <w:szCs w:val="18"/>
                <w:highlight w:val="none"/>
                <w:lang w:bidi="ar"/>
              </w:rPr>
            </w:pPr>
          </w:p>
        </w:tc>
      </w:tr>
      <w:tr w14:paraId="6EDD28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994" w:type="pct"/>
            <w:vMerge w:val="restart"/>
            <w:tcBorders>
              <w:tl2br w:val="nil"/>
              <w:tr2bl w:val="nil"/>
            </w:tcBorders>
            <w:noWrap w:val="0"/>
            <w:vAlign w:val="center"/>
          </w:tcPr>
          <w:p w14:paraId="695E58BC">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细菌总数</w:t>
            </w:r>
          </w:p>
        </w:tc>
        <w:tc>
          <w:tcPr>
            <w:tcW w:w="736" w:type="pct"/>
            <w:vMerge w:val="restart"/>
            <w:tcBorders>
              <w:tl2br w:val="nil"/>
              <w:tr2bl w:val="nil"/>
            </w:tcBorders>
            <w:noWrap w:val="0"/>
            <w:vAlign w:val="center"/>
          </w:tcPr>
          <w:p w14:paraId="674E7076">
            <w:pPr>
              <w:spacing w:line="0" w:lineRule="atLeast"/>
              <w:jc w:val="center"/>
              <w:rPr>
                <w:rFonts w:hint="default" w:ascii="Times New Roman" w:hAnsi="Times New Roman" w:eastAsia="宋体" w:cs="Times New Roman"/>
                <w:color w:val="auto"/>
                <w:spacing w:val="-10"/>
                <w:kern w:val="0"/>
                <w:sz w:val="18"/>
                <w:szCs w:val="18"/>
                <w:highlight w:val="none"/>
              </w:rPr>
            </w:pPr>
            <w:r>
              <w:rPr>
                <w:rFonts w:hint="default" w:ascii="Times New Roman" w:hAnsi="Times New Roman" w:eastAsia="宋体" w:cs="Times New Roman"/>
                <w:color w:val="auto"/>
                <w:spacing w:val="-10"/>
                <w:sz w:val="18"/>
                <w:szCs w:val="18"/>
                <w:highlight w:val="none"/>
              </w:rPr>
              <w:t>≤100CFU/mL</w:t>
            </w:r>
          </w:p>
        </w:tc>
        <w:tc>
          <w:tcPr>
            <w:tcW w:w="1177" w:type="pct"/>
            <w:tcBorders>
              <w:tl2br w:val="nil"/>
              <w:tr2bl w:val="nil"/>
            </w:tcBorders>
            <w:noWrap w:val="0"/>
            <w:vAlign w:val="center"/>
          </w:tcPr>
          <w:p w14:paraId="7818AC8E">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监测值</w:t>
            </w:r>
          </w:p>
        </w:tc>
        <w:tc>
          <w:tcPr>
            <w:tcW w:w="1079" w:type="pct"/>
            <w:tcBorders>
              <w:tl2br w:val="nil"/>
              <w:tr2bl w:val="nil"/>
            </w:tcBorders>
            <w:noWrap w:val="0"/>
            <w:vAlign w:val="center"/>
          </w:tcPr>
          <w:p w14:paraId="41B680BD">
            <w:pPr>
              <w:widowControl/>
              <w:spacing w:line="0" w:lineRule="atLeast"/>
              <w:jc w:val="center"/>
              <w:rPr>
                <w:rFonts w:hint="default" w:ascii="Times New Roman" w:hAnsi="Times New Roman" w:eastAsia="宋体" w:cs="Times New Roman"/>
                <w:color w:val="auto"/>
                <w:spacing w:val="-10"/>
                <w:kern w:val="0"/>
                <w:sz w:val="18"/>
                <w:szCs w:val="18"/>
                <w:highlight w:val="none"/>
                <w:lang w:bidi="ar"/>
              </w:rPr>
            </w:pPr>
          </w:p>
        </w:tc>
        <w:tc>
          <w:tcPr>
            <w:tcW w:w="1013" w:type="pct"/>
            <w:tcBorders>
              <w:tl2br w:val="nil"/>
              <w:tr2bl w:val="nil"/>
            </w:tcBorders>
            <w:noWrap w:val="0"/>
            <w:vAlign w:val="center"/>
          </w:tcPr>
          <w:p w14:paraId="3FC044CB">
            <w:pPr>
              <w:widowControl/>
              <w:spacing w:line="0" w:lineRule="atLeast"/>
              <w:jc w:val="center"/>
              <w:rPr>
                <w:rFonts w:hint="default" w:ascii="Times New Roman" w:hAnsi="Times New Roman" w:eastAsia="宋体" w:cs="Times New Roman"/>
                <w:color w:val="auto"/>
                <w:spacing w:val="-10"/>
                <w:kern w:val="0"/>
                <w:sz w:val="18"/>
                <w:szCs w:val="18"/>
                <w:highlight w:val="none"/>
                <w:lang w:bidi="ar"/>
              </w:rPr>
            </w:pPr>
          </w:p>
        </w:tc>
      </w:tr>
      <w:tr w14:paraId="2F357D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994" w:type="pct"/>
            <w:vMerge w:val="continue"/>
            <w:tcBorders>
              <w:tl2br w:val="nil"/>
              <w:tr2bl w:val="nil"/>
            </w:tcBorders>
            <w:noWrap w:val="0"/>
            <w:vAlign w:val="center"/>
          </w:tcPr>
          <w:p w14:paraId="653111A4">
            <w:pPr>
              <w:spacing w:line="0" w:lineRule="atLeast"/>
              <w:jc w:val="center"/>
              <w:rPr>
                <w:rFonts w:hint="default" w:ascii="Times New Roman" w:hAnsi="Times New Roman" w:eastAsia="宋体" w:cs="Times New Roman"/>
                <w:color w:val="auto"/>
                <w:spacing w:val="-10"/>
                <w:sz w:val="18"/>
                <w:szCs w:val="18"/>
                <w:highlight w:val="none"/>
              </w:rPr>
            </w:pPr>
          </w:p>
        </w:tc>
        <w:tc>
          <w:tcPr>
            <w:tcW w:w="736" w:type="pct"/>
            <w:vMerge w:val="continue"/>
            <w:tcBorders>
              <w:tl2br w:val="nil"/>
              <w:tr2bl w:val="nil"/>
            </w:tcBorders>
            <w:noWrap w:val="0"/>
            <w:vAlign w:val="center"/>
          </w:tcPr>
          <w:p w14:paraId="0B6F33DC">
            <w:pPr>
              <w:spacing w:line="0" w:lineRule="atLeast"/>
              <w:jc w:val="center"/>
              <w:rPr>
                <w:rFonts w:hint="default" w:ascii="Times New Roman" w:hAnsi="Times New Roman" w:eastAsia="宋体" w:cs="Times New Roman"/>
                <w:color w:val="auto"/>
                <w:spacing w:val="-10"/>
                <w:kern w:val="0"/>
                <w:sz w:val="18"/>
                <w:szCs w:val="18"/>
                <w:highlight w:val="none"/>
              </w:rPr>
            </w:pPr>
          </w:p>
        </w:tc>
        <w:tc>
          <w:tcPr>
            <w:tcW w:w="1177" w:type="pct"/>
            <w:tcBorders>
              <w:tl2br w:val="nil"/>
              <w:tr2bl w:val="nil"/>
            </w:tcBorders>
            <w:noWrap w:val="0"/>
            <w:vAlign w:val="center"/>
          </w:tcPr>
          <w:p w14:paraId="60CA5922">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标准指数</w:t>
            </w:r>
          </w:p>
        </w:tc>
        <w:tc>
          <w:tcPr>
            <w:tcW w:w="1079" w:type="pct"/>
            <w:tcBorders>
              <w:tl2br w:val="nil"/>
              <w:tr2bl w:val="nil"/>
            </w:tcBorders>
            <w:noWrap w:val="0"/>
            <w:vAlign w:val="center"/>
          </w:tcPr>
          <w:p w14:paraId="08F05496">
            <w:pPr>
              <w:widowControl/>
              <w:spacing w:line="0" w:lineRule="atLeast"/>
              <w:jc w:val="center"/>
              <w:rPr>
                <w:rFonts w:hint="default" w:ascii="Times New Roman" w:hAnsi="Times New Roman" w:eastAsia="宋体" w:cs="Times New Roman"/>
                <w:color w:val="auto"/>
                <w:spacing w:val="-10"/>
                <w:kern w:val="0"/>
                <w:sz w:val="18"/>
                <w:szCs w:val="18"/>
                <w:highlight w:val="none"/>
                <w:lang w:bidi="ar"/>
              </w:rPr>
            </w:pPr>
          </w:p>
        </w:tc>
        <w:tc>
          <w:tcPr>
            <w:tcW w:w="1013" w:type="pct"/>
            <w:tcBorders>
              <w:tl2br w:val="nil"/>
              <w:tr2bl w:val="nil"/>
            </w:tcBorders>
            <w:noWrap w:val="0"/>
            <w:vAlign w:val="center"/>
          </w:tcPr>
          <w:p w14:paraId="4105F1D9">
            <w:pPr>
              <w:widowControl/>
              <w:spacing w:line="0" w:lineRule="atLeast"/>
              <w:jc w:val="center"/>
              <w:rPr>
                <w:rFonts w:hint="default" w:ascii="Times New Roman" w:hAnsi="Times New Roman" w:eastAsia="宋体" w:cs="Times New Roman"/>
                <w:color w:val="auto"/>
                <w:spacing w:val="-10"/>
                <w:kern w:val="0"/>
                <w:sz w:val="18"/>
                <w:szCs w:val="18"/>
                <w:highlight w:val="none"/>
                <w:lang w:bidi="ar"/>
              </w:rPr>
            </w:pPr>
          </w:p>
        </w:tc>
      </w:tr>
      <w:tr w14:paraId="396F96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994" w:type="pct"/>
            <w:vMerge w:val="restart"/>
            <w:tcBorders>
              <w:tl2br w:val="nil"/>
              <w:tr2bl w:val="nil"/>
            </w:tcBorders>
            <w:noWrap w:val="0"/>
            <w:vAlign w:val="center"/>
          </w:tcPr>
          <w:p w14:paraId="6F8D0E59">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亚硝酸盐氮</w:t>
            </w:r>
          </w:p>
        </w:tc>
        <w:tc>
          <w:tcPr>
            <w:tcW w:w="736" w:type="pct"/>
            <w:vMerge w:val="restart"/>
            <w:tcBorders>
              <w:tl2br w:val="nil"/>
              <w:tr2bl w:val="nil"/>
            </w:tcBorders>
            <w:noWrap w:val="0"/>
            <w:vAlign w:val="center"/>
          </w:tcPr>
          <w:p w14:paraId="13040465">
            <w:pPr>
              <w:spacing w:line="0" w:lineRule="atLeast"/>
              <w:jc w:val="center"/>
              <w:rPr>
                <w:rFonts w:hint="default" w:ascii="Times New Roman" w:hAnsi="Times New Roman" w:eastAsia="宋体" w:cs="Times New Roman"/>
                <w:color w:val="auto"/>
                <w:spacing w:val="-10"/>
                <w:kern w:val="0"/>
                <w:sz w:val="18"/>
                <w:szCs w:val="18"/>
                <w:highlight w:val="none"/>
              </w:rPr>
            </w:pPr>
            <w:r>
              <w:rPr>
                <w:rFonts w:hint="default" w:ascii="Times New Roman" w:hAnsi="Times New Roman" w:eastAsia="宋体" w:cs="Times New Roman"/>
                <w:color w:val="auto"/>
                <w:spacing w:val="-10"/>
                <w:sz w:val="18"/>
                <w:szCs w:val="18"/>
                <w:highlight w:val="none"/>
              </w:rPr>
              <w:t>≤1.0</w:t>
            </w:r>
          </w:p>
        </w:tc>
        <w:tc>
          <w:tcPr>
            <w:tcW w:w="1177" w:type="pct"/>
            <w:tcBorders>
              <w:tl2br w:val="nil"/>
              <w:tr2bl w:val="nil"/>
            </w:tcBorders>
            <w:noWrap w:val="0"/>
            <w:vAlign w:val="center"/>
          </w:tcPr>
          <w:p w14:paraId="3054B46A">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监测值</w:t>
            </w:r>
          </w:p>
        </w:tc>
        <w:tc>
          <w:tcPr>
            <w:tcW w:w="1079" w:type="pct"/>
            <w:tcBorders>
              <w:tl2br w:val="nil"/>
              <w:tr2bl w:val="nil"/>
            </w:tcBorders>
            <w:noWrap w:val="0"/>
            <w:vAlign w:val="center"/>
          </w:tcPr>
          <w:p w14:paraId="3C33676A">
            <w:pPr>
              <w:spacing w:line="0" w:lineRule="atLeast"/>
              <w:jc w:val="center"/>
              <w:rPr>
                <w:rFonts w:hint="default" w:ascii="Times New Roman" w:hAnsi="Times New Roman" w:eastAsia="宋体" w:cs="Times New Roman"/>
                <w:color w:val="auto"/>
                <w:spacing w:val="-10"/>
                <w:kern w:val="0"/>
                <w:sz w:val="18"/>
                <w:szCs w:val="18"/>
                <w:highlight w:val="none"/>
                <w:lang w:bidi="ar"/>
              </w:rPr>
            </w:pPr>
          </w:p>
        </w:tc>
        <w:tc>
          <w:tcPr>
            <w:tcW w:w="1013" w:type="pct"/>
            <w:tcBorders>
              <w:tl2br w:val="nil"/>
              <w:tr2bl w:val="nil"/>
            </w:tcBorders>
            <w:noWrap w:val="0"/>
            <w:vAlign w:val="center"/>
          </w:tcPr>
          <w:p w14:paraId="62AA9937">
            <w:pPr>
              <w:spacing w:line="0" w:lineRule="atLeast"/>
              <w:jc w:val="center"/>
              <w:rPr>
                <w:rFonts w:hint="default" w:ascii="Times New Roman" w:hAnsi="Times New Roman" w:eastAsia="宋体" w:cs="Times New Roman"/>
                <w:color w:val="auto"/>
                <w:spacing w:val="-10"/>
                <w:kern w:val="0"/>
                <w:sz w:val="18"/>
                <w:szCs w:val="18"/>
                <w:highlight w:val="none"/>
                <w:lang w:bidi="ar"/>
              </w:rPr>
            </w:pPr>
          </w:p>
        </w:tc>
      </w:tr>
      <w:tr w14:paraId="53B489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994" w:type="pct"/>
            <w:vMerge w:val="continue"/>
            <w:tcBorders>
              <w:tl2br w:val="nil"/>
              <w:tr2bl w:val="nil"/>
            </w:tcBorders>
            <w:noWrap w:val="0"/>
            <w:vAlign w:val="center"/>
          </w:tcPr>
          <w:p w14:paraId="7E81EA39">
            <w:pPr>
              <w:spacing w:line="0" w:lineRule="atLeast"/>
              <w:jc w:val="center"/>
              <w:rPr>
                <w:rFonts w:hint="default" w:ascii="Times New Roman" w:hAnsi="Times New Roman" w:eastAsia="宋体" w:cs="Times New Roman"/>
                <w:color w:val="auto"/>
                <w:spacing w:val="-10"/>
                <w:sz w:val="18"/>
                <w:szCs w:val="18"/>
                <w:highlight w:val="none"/>
              </w:rPr>
            </w:pPr>
          </w:p>
        </w:tc>
        <w:tc>
          <w:tcPr>
            <w:tcW w:w="736" w:type="pct"/>
            <w:vMerge w:val="continue"/>
            <w:tcBorders>
              <w:tl2br w:val="nil"/>
              <w:tr2bl w:val="nil"/>
            </w:tcBorders>
            <w:noWrap w:val="0"/>
            <w:vAlign w:val="center"/>
          </w:tcPr>
          <w:p w14:paraId="0166E3B7">
            <w:pPr>
              <w:spacing w:line="0" w:lineRule="atLeast"/>
              <w:jc w:val="center"/>
              <w:rPr>
                <w:rFonts w:hint="default" w:ascii="Times New Roman" w:hAnsi="Times New Roman" w:eastAsia="宋体" w:cs="Times New Roman"/>
                <w:color w:val="auto"/>
                <w:spacing w:val="-10"/>
                <w:kern w:val="0"/>
                <w:sz w:val="18"/>
                <w:szCs w:val="18"/>
                <w:highlight w:val="none"/>
              </w:rPr>
            </w:pPr>
          </w:p>
        </w:tc>
        <w:tc>
          <w:tcPr>
            <w:tcW w:w="1177" w:type="pct"/>
            <w:tcBorders>
              <w:tl2br w:val="nil"/>
              <w:tr2bl w:val="nil"/>
            </w:tcBorders>
            <w:noWrap w:val="0"/>
            <w:vAlign w:val="center"/>
          </w:tcPr>
          <w:p w14:paraId="4E151A5C">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标准指数</w:t>
            </w:r>
          </w:p>
        </w:tc>
        <w:tc>
          <w:tcPr>
            <w:tcW w:w="1079" w:type="pct"/>
            <w:tcBorders>
              <w:tl2br w:val="nil"/>
              <w:tr2bl w:val="nil"/>
            </w:tcBorders>
            <w:noWrap w:val="0"/>
            <w:vAlign w:val="center"/>
          </w:tcPr>
          <w:p w14:paraId="4D6E8C23">
            <w:pPr>
              <w:spacing w:line="0" w:lineRule="atLeast"/>
              <w:jc w:val="center"/>
              <w:rPr>
                <w:rFonts w:hint="default" w:ascii="Times New Roman" w:hAnsi="Times New Roman" w:eastAsia="宋体" w:cs="Times New Roman"/>
                <w:color w:val="auto"/>
                <w:spacing w:val="-10"/>
                <w:kern w:val="0"/>
                <w:sz w:val="18"/>
                <w:szCs w:val="18"/>
                <w:highlight w:val="none"/>
                <w:lang w:bidi="ar"/>
              </w:rPr>
            </w:pPr>
          </w:p>
        </w:tc>
        <w:tc>
          <w:tcPr>
            <w:tcW w:w="1013" w:type="pct"/>
            <w:tcBorders>
              <w:tl2br w:val="nil"/>
              <w:tr2bl w:val="nil"/>
            </w:tcBorders>
            <w:noWrap w:val="0"/>
            <w:vAlign w:val="center"/>
          </w:tcPr>
          <w:p w14:paraId="4341FF41">
            <w:pPr>
              <w:spacing w:line="0" w:lineRule="atLeast"/>
              <w:jc w:val="center"/>
              <w:rPr>
                <w:rFonts w:hint="default" w:ascii="Times New Roman" w:hAnsi="Times New Roman" w:eastAsia="宋体" w:cs="Times New Roman"/>
                <w:color w:val="auto"/>
                <w:spacing w:val="-10"/>
                <w:kern w:val="0"/>
                <w:sz w:val="18"/>
                <w:szCs w:val="18"/>
                <w:highlight w:val="none"/>
                <w:lang w:bidi="ar"/>
              </w:rPr>
            </w:pPr>
          </w:p>
        </w:tc>
      </w:tr>
      <w:tr w14:paraId="109149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994" w:type="pct"/>
            <w:vMerge w:val="restart"/>
            <w:tcBorders>
              <w:tl2br w:val="nil"/>
              <w:tr2bl w:val="nil"/>
            </w:tcBorders>
            <w:noWrap w:val="0"/>
            <w:vAlign w:val="center"/>
          </w:tcPr>
          <w:p w14:paraId="00BB9DAF">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硝酸盐氮</w:t>
            </w:r>
          </w:p>
        </w:tc>
        <w:tc>
          <w:tcPr>
            <w:tcW w:w="736" w:type="pct"/>
            <w:vMerge w:val="restart"/>
            <w:tcBorders>
              <w:tl2br w:val="nil"/>
              <w:tr2bl w:val="nil"/>
            </w:tcBorders>
            <w:noWrap w:val="0"/>
            <w:vAlign w:val="center"/>
          </w:tcPr>
          <w:p w14:paraId="3F0D21A0">
            <w:pPr>
              <w:spacing w:line="0" w:lineRule="atLeast"/>
              <w:jc w:val="center"/>
              <w:rPr>
                <w:rFonts w:hint="default" w:ascii="Times New Roman" w:hAnsi="Times New Roman" w:eastAsia="宋体" w:cs="Times New Roman"/>
                <w:color w:val="auto"/>
                <w:spacing w:val="-10"/>
                <w:kern w:val="0"/>
                <w:sz w:val="18"/>
                <w:szCs w:val="18"/>
                <w:highlight w:val="none"/>
              </w:rPr>
            </w:pPr>
            <w:r>
              <w:rPr>
                <w:rFonts w:hint="default" w:ascii="Times New Roman" w:hAnsi="Times New Roman" w:eastAsia="宋体" w:cs="Times New Roman"/>
                <w:color w:val="auto"/>
                <w:spacing w:val="-10"/>
                <w:sz w:val="18"/>
                <w:szCs w:val="18"/>
                <w:highlight w:val="none"/>
              </w:rPr>
              <w:t>≤20.0</w:t>
            </w:r>
          </w:p>
        </w:tc>
        <w:tc>
          <w:tcPr>
            <w:tcW w:w="1177" w:type="pct"/>
            <w:tcBorders>
              <w:tl2br w:val="nil"/>
              <w:tr2bl w:val="nil"/>
            </w:tcBorders>
            <w:noWrap w:val="0"/>
            <w:vAlign w:val="center"/>
          </w:tcPr>
          <w:p w14:paraId="6F3414AA">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监测值</w:t>
            </w:r>
          </w:p>
        </w:tc>
        <w:tc>
          <w:tcPr>
            <w:tcW w:w="1079" w:type="pct"/>
            <w:tcBorders>
              <w:tl2br w:val="nil"/>
              <w:tr2bl w:val="nil"/>
            </w:tcBorders>
            <w:noWrap w:val="0"/>
            <w:vAlign w:val="center"/>
          </w:tcPr>
          <w:p w14:paraId="3BCEFEE1">
            <w:pPr>
              <w:widowControl/>
              <w:spacing w:line="0" w:lineRule="atLeast"/>
              <w:jc w:val="center"/>
              <w:rPr>
                <w:rFonts w:hint="default" w:ascii="Times New Roman" w:hAnsi="Times New Roman" w:eastAsia="宋体" w:cs="Times New Roman"/>
                <w:color w:val="auto"/>
                <w:spacing w:val="-10"/>
                <w:kern w:val="0"/>
                <w:sz w:val="18"/>
                <w:szCs w:val="18"/>
                <w:highlight w:val="none"/>
                <w:lang w:bidi="ar"/>
              </w:rPr>
            </w:pPr>
          </w:p>
        </w:tc>
        <w:tc>
          <w:tcPr>
            <w:tcW w:w="1013" w:type="pct"/>
            <w:tcBorders>
              <w:tl2br w:val="nil"/>
              <w:tr2bl w:val="nil"/>
            </w:tcBorders>
            <w:noWrap w:val="0"/>
            <w:vAlign w:val="center"/>
          </w:tcPr>
          <w:p w14:paraId="2D0B4E72">
            <w:pPr>
              <w:spacing w:line="0" w:lineRule="atLeast"/>
              <w:jc w:val="center"/>
              <w:rPr>
                <w:rFonts w:hint="default" w:ascii="Times New Roman" w:hAnsi="Times New Roman" w:eastAsia="宋体" w:cs="Times New Roman"/>
                <w:color w:val="auto"/>
                <w:spacing w:val="-10"/>
                <w:sz w:val="18"/>
                <w:szCs w:val="18"/>
                <w:highlight w:val="none"/>
              </w:rPr>
            </w:pPr>
          </w:p>
        </w:tc>
      </w:tr>
      <w:tr w14:paraId="1735DC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994" w:type="pct"/>
            <w:vMerge w:val="continue"/>
            <w:tcBorders>
              <w:tl2br w:val="nil"/>
              <w:tr2bl w:val="nil"/>
            </w:tcBorders>
            <w:noWrap w:val="0"/>
            <w:vAlign w:val="center"/>
          </w:tcPr>
          <w:p w14:paraId="08D0CEE0">
            <w:pPr>
              <w:spacing w:line="0" w:lineRule="atLeast"/>
              <w:jc w:val="center"/>
              <w:rPr>
                <w:rFonts w:hint="default" w:ascii="Times New Roman" w:hAnsi="Times New Roman" w:eastAsia="宋体" w:cs="Times New Roman"/>
                <w:color w:val="auto"/>
                <w:spacing w:val="-10"/>
                <w:sz w:val="18"/>
                <w:szCs w:val="18"/>
                <w:highlight w:val="none"/>
              </w:rPr>
            </w:pPr>
          </w:p>
        </w:tc>
        <w:tc>
          <w:tcPr>
            <w:tcW w:w="736" w:type="pct"/>
            <w:vMerge w:val="continue"/>
            <w:tcBorders>
              <w:tl2br w:val="nil"/>
              <w:tr2bl w:val="nil"/>
            </w:tcBorders>
            <w:noWrap w:val="0"/>
            <w:vAlign w:val="center"/>
          </w:tcPr>
          <w:p w14:paraId="6259B528">
            <w:pPr>
              <w:spacing w:line="0" w:lineRule="atLeast"/>
              <w:jc w:val="center"/>
              <w:rPr>
                <w:rFonts w:hint="default" w:ascii="Times New Roman" w:hAnsi="Times New Roman" w:eastAsia="宋体" w:cs="Times New Roman"/>
                <w:color w:val="auto"/>
                <w:spacing w:val="-10"/>
                <w:kern w:val="0"/>
                <w:sz w:val="18"/>
                <w:szCs w:val="18"/>
                <w:highlight w:val="none"/>
              </w:rPr>
            </w:pPr>
          </w:p>
        </w:tc>
        <w:tc>
          <w:tcPr>
            <w:tcW w:w="1177" w:type="pct"/>
            <w:tcBorders>
              <w:tl2br w:val="nil"/>
              <w:tr2bl w:val="nil"/>
            </w:tcBorders>
            <w:noWrap w:val="0"/>
            <w:vAlign w:val="center"/>
          </w:tcPr>
          <w:p w14:paraId="7BBFAE2B">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标准指数</w:t>
            </w:r>
          </w:p>
        </w:tc>
        <w:tc>
          <w:tcPr>
            <w:tcW w:w="1079" w:type="pct"/>
            <w:tcBorders>
              <w:tl2br w:val="nil"/>
              <w:tr2bl w:val="nil"/>
            </w:tcBorders>
            <w:noWrap w:val="0"/>
            <w:vAlign w:val="center"/>
          </w:tcPr>
          <w:p w14:paraId="1F7928FA">
            <w:pPr>
              <w:widowControl/>
              <w:spacing w:line="0" w:lineRule="atLeast"/>
              <w:jc w:val="center"/>
              <w:rPr>
                <w:rFonts w:hint="default" w:ascii="Times New Roman" w:hAnsi="Times New Roman" w:eastAsia="宋体" w:cs="Times New Roman"/>
                <w:color w:val="auto"/>
                <w:spacing w:val="-10"/>
                <w:kern w:val="0"/>
                <w:sz w:val="18"/>
                <w:szCs w:val="18"/>
                <w:highlight w:val="none"/>
                <w:lang w:bidi="ar"/>
              </w:rPr>
            </w:pPr>
          </w:p>
        </w:tc>
        <w:tc>
          <w:tcPr>
            <w:tcW w:w="1013" w:type="pct"/>
            <w:tcBorders>
              <w:tl2br w:val="nil"/>
              <w:tr2bl w:val="nil"/>
            </w:tcBorders>
            <w:noWrap w:val="0"/>
            <w:vAlign w:val="center"/>
          </w:tcPr>
          <w:p w14:paraId="1ACF0D5C">
            <w:pPr>
              <w:spacing w:line="0" w:lineRule="atLeast"/>
              <w:jc w:val="center"/>
              <w:rPr>
                <w:rFonts w:hint="default" w:ascii="Times New Roman" w:hAnsi="Times New Roman" w:eastAsia="宋体" w:cs="Times New Roman"/>
                <w:color w:val="auto"/>
                <w:spacing w:val="-10"/>
                <w:sz w:val="18"/>
                <w:szCs w:val="18"/>
                <w:highlight w:val="none"/>
              </w:rPr>
            </w:pPr>
          </w:p>
        </w:tc>
      </w:tr>
      <w:tr w14:paraId="62462F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994" w:type="pct"/>
            <w:vMerge w:val="restart"/>
            <w:tcBorders>
              <w:tl2br w:val="nil"/>
              <w:tr2bl w:val="nil"/>
            </w:tcBorders>
            <w:noWrap w:val="0"/>
            <w:vAlign w:val="center"/>
          </w:tcPr>
          <w:p w14:paraId="1F7711EC">
            <w:pPr>
              <w:spacing w:line="0" w:lineRule="atLeast"/>
              <w:jc w:val="center"/>
              <w:rPr>
                <w:rFonts w:hint="default" w:ascii="Times New Roman" w:hAnsi="Times New Roman" w:eastAsia="宋体" w:cs="Times New Roman"/>
                <w:bCs/>
                <w:color w:val="auto"/>
                <w:spacing w:val="-10"/>
                <w:sz w:val="18"/>
                <w:szCs w:val="18"/>
                <w:highlight w:val="none"/>
              </w:rPr>
            </w:pPr>
            <w:r>
              <w:rPr>
                <w:rFonts w:hint="default" w:ascii="Times New Roman" w:hAnsi="Times New Roman" w:eastAsia="宋体" w:cs="Times New Roman"/>
                <w:bCs/>
                <w:color w:val="auto"/>
                <w:spacing w:val="-10"/>
                <w:sz w:val="18"/>
                <w:szCs w:val="18"/>
                <w:highlight w:val="none"/>
              </w:rPr>
              <w:t>氰化物</w:t>
            </w:r>
          </w:p>
        </w:tc>
        <w:tc>
          <w:tcPr>
            <w:tcW w:w="736" w:type="pct"/>
            <w:vMerge w:val="restart"/>
            <w:tcBorders>
              <w:tl2br w:val="nil"/>
              <w:tr2bl w:val="nil"/>
            </w:tcBorders>
            <w:noWrap w:val="0"/>
            <w:vAlign w:val="center"/>
          </w:tcPr>
          <w:p w14:paraId="093D1882">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≤0.05</w:t>
            </w:r>
          </w:p>
        </w:tc>
        <w:tc>
          <w:tcPr>
            <w:tcW w:w="1177" w:type="pct"/>
            <w:tcBorders>
              <w:tl2br w:val="nil"/>
              <w:tr2bl w:val="nil"/>
            </w:tcBorders>
            <w:noWrap w:val="0"/>
            <w:vAlign w:val="center"/>
          </w:tcPr>
          <w:p w14:paraId="17EE9504">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监测值</w:t>
            </w:r>
          </w:p>
        </w:tc>
        <w:tc>
          <w:tcPr>
            <w:tcW w:w="1079" w:type="pct"/>
            <w:tcBorders>
              <w:tl2br w:val="nil"/>
              <w:tr2bl w:val="nil"/>
            </w:tcBorders>
            <w:noWrap w:val="0"/>
            <w:vAlign w:val="center"/>
          </w:tcPr>
          <w:p w14:paraId="785B3D0F">
            <w:pPr>
              <w:spacing w:line="0" w:lineRule="atLeast"/>
              <w:jc w:val="center"/>
              <w:rPr>
                <w:rFonts w:hint="default" w:ascii="Times New Roman" w:hAnsi="Times New Roman" w:eastAsia="宋体" w:cs="Times New Roman"/>
                <w:color w:val="auto"/>
                <w:spacing w:val="-10"/>
                <w:kern w:val="0"/>
                <w:sz w:val="18"/>
                <w:szCs w:val="18"/>
                <w:highlight w:val="none"/>
                <w:lang w:bidi="ar"/>
              </w:rPr>
            </w:pPr>
          </w:p>
        </w:tc>
        <w:tc>
          <w:tcPr>
            <w:tcW w:w="1013" w:type="pct"/>
            <w:tcBorders>
              <w:tl2br w:val="nil"/>
              <w:tr2bl w:val="nil"/>
            </w:tcBorders>
            <w:noWrap w:val="0"/>
            <w:vAlign w:val="center"/>
          </w:tcPr>
          <w:p w14:paraId="72601CFA">
            <w:pPr>
              <w:spacing w:line="0" w:lineRule="atLeast"/>
              <w:jc w:val="center"/>
              <w:rPr>
                <w:rFonts w:hint="default" w:ascii="Times New Roman" w:hAnsi="Times New Roman" w:eastAsia="宋体" w:cs="Times New Roman"/>
                <w:color w:val="auto"/>
                <w:spacing w:val="-10"/>
                <w:sz w:val="18"/>
                <w:szCs w:val="18"/>
                <w:highlight w:val="none"/>
              </w:rPr>
            </w:pPr>
          </w:p>
        </w:tc>
      </w:tr>
      <w:tr w14:paraId="382790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994" w:type="pct"/>
            <w:vMerge w:val="continue"/>
            <w:tcBorders>
              <w:tl2br w:val="nil"/>
              <w:tr2bl w:val="nil"/>
            </w:tcBorders>
            <w:noWrap w:val="0"/>
            <w:vAlign w:val="center"/>
          </w:tcPr>
          <w:p w14:paraId="54014489">
            <w:pPr>
              <w:widowControl/>
              <w:spacing w:line="0" w:lineRule="atLeast"/>
              <w:jc w:val="center"/>
              <w:rPr>
                <w:rFonts w:hint="default" w:ascii="Times New Roman" w:hAnsi="Times New Roman" w:eastAsia="宋体" w:cs="Times New Roman"/>
                <w:bCs/>
                <w:color w:val="auto"/>
                <w:spacing w:val="-10"/>
                <w:sz w:val="18"/>
                <w:szCs w:val="18"/>
                <w:highlight w:val="none"/>
              </w:rPr>
            </w:pPr>
          </w:p>
        </w:tc>
        <w:tc>
          <w:tcPr>
            <w:tcW w:w="736" w:type="pct"/>
            <w:vMerge w:val="continue"/>
            <w:tcBorders>
              <w:tl2br w:val="nil"/>
              <w:tr2bl w:val="nil"/>
            </w:tcBorders>
            <w:noWrap w:val="0"/>
            <w:vAlign w:val="center"/>
          </w:tcPr>
          <w:p w14:paraId="73F4E53C">
            <w:pPr>
              <w:widowControl/>
              <w:spacing w:line="0" w:lineRule="atLeast"/>
              <w:jc w:val="center"/>
              <w:rPr>
                <w:rFonts w:hint="default" w:ascii="Times New Roman" w:hAnsi="Times New Roman" w:eastAsia="宋体" w:cs="Times New Roman"/>
                <w:color w:val="auto"/>
                <w:spacing w:val="-10"/>
                <w:sz w:val="18"/>
                <w:szCs w:val="18"/>
                <w:highlight w:val="none"/>
              </w:rPr>
            </w:pPr>
          </w:p>
        </w:tc>
        <w:tc>
          <w:tcPr>
            <w:tcW w:w="1177" w:type="pct"/>
            <w:tcBorders>
              <w:tl2br w:val="nil"/>
              <w:tr2bl w:val="nil"/>
            </w:tcBorders>
            <w:noWrap w:val="0"/>
            <w:vAlign w:val="center"/>
          </w:tcPr>
          <w:p w14:paraId="39F287E6">
            <w:pPr>
              <w:spacing w:line="0" w:lineRule="atLeast"/>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标准指数</w:t>
            </w:r>
          </w:p>
        </w:tc>
        <w:tc>
          <w:tcPr>
            <w:tcW w:w="1079" w:type="pct"/>
            <w:tcBorders>
              <w:tl2br w:val="nil"/>
              <w:tr2bl w:val="nil"/>
            </w:tcBorders>
            <w:noWrap w:val="0"/>
            <w:vAlign w:val="center"/>
          </w:tcPr>
          <w:p w14:paraId="24D6C3DE">
            <w:pPr>
              <w:spacing w:line="0" w:lineRule="atLeast"/>
              <w:jc w:val="center"/>
              <w:rPr>
                <w:rFonts w:hint="default" w:ascii="Times New Roman" w:hAnsi="Times New Roman" w:eastAsia="宋体" w:cs="Times New Roman"/>
                <w:color w:val="auto"/>
                <w:spacing w:val="-10"/>
                <w:kern w:val="0"/>
                <w:sz w:val="18"/>
                <w:szCs w:val="18"/>
                <w:highlight w:val="none"/>
                <w:lang w:bidi="ar"/>
              </w:rPr>
            </w:pPr>
          </w:p>
        </w:tc>
        <w:tc>
          <w:tcPr>
            <w:tcW w:w="1013" w:type="pct"/>
            <w:tcBorders>
              <w:tl2br w:val="nil"/>
              <w:tr2bl w:val="nil"/>
            </w:tcBorders>
            <w:noWrap w:val="0"/>
            <w:vAlign w:val="center"/>
          </w:tcPr>
          <w:p w14:paraId="444E4FA8">
            <w:pPr>
              <w:spacing w:line="0" w:lineRule="atLeast"/>
              <w:jc w:val="center"/>
              <w:rPr>
                <w:rFonts w:hint="default" w:ascii="Times New Roman" w:hAnsi="Times New Roman" w:eastAsia="宋体" w:cs="Times New Roman"/>
                <w:color w:val="auto"/>
                <w:spacing w:val="-10"/>
                <w:sz w:val="18"/>
                <w:szCs w:val="18"/>
                <w:highlight w:val="none"/>
              </w:rPr>
            </w:pPr>
          </w:p>
        </w:tc>
      </w:tr>
    </w:tbl>
    <w:p w14:paraId="4906D478">
      <w:pPr>
        <w:pStyle w:val="79"/>
        <w:bidi w:val="0"/>
        <w:rPr>
          <w:rFonts w:hint="default"/>
          <w:color w:val="auto"/>
        </w:rPr>
      </w:pPr>
      <w:r>
        <w:rPr>
          <w:rFonts w:hint="default"/>
          <w:color w:val="auto"/>
        </w:rPr>
        <w:t>由上表可以看出，各检出因子的标准指数中溶解性总固体、总硬度、硫酸盐、氯化物、铁、锰超标外，其他因子均未超过《地下水质量标准》</w:t>
      </w:r>
      <w:r>
        <w:rPr>
          <w:rFonts w:hint="eastAsia"/>
          <w:color w:val="auto"/>
          <w:lang w:eastAsia="zh-CN"/>
        </w:rPr>
        <w:t>（</w:t>
      </w:r>
      <w:r>
        <w:rPr>
          <w:rFonts w:hint="default"/>
          <w:color w:val="auto"/>
        </w:rPr>
        <w:t>GB/T14848-2017)</w:t>
      </w:r>
      <w:r>
        <w:rPr>
          <w:rFonts w:hint="default"/>
          <w:color w:val="auto"/>
        </w:rPr>
        <w:fldChar w:fldCharType="begin"/>
      </w:r>
      <w:r>
        <w:rPr>
          <w:rFonts w:hint="default"/>
          <w:color w:val="auto"/>
        </w:rPr>
        <w:instrText xml:space="preserve"> = 3 \* ROMAN \* MERGEFORMAT </w:instrText>
      </w:r>
      <w:r>
        <w:rPr>
          <w:rFonts w:hint="default"/>
          <w:color w:val="auto"/>
        </w:rPr>
        <w:fldChar w:fldCharType="separate"/>
      </w:r>
      <w:r>
        <w:rPr>
          <w:rFonts w:hint="eastAsia"/>
          <w:color w:val="auto"/>
          <w:lang w:eastAsia="zh-CN"/>
        </w:rPr>
        <w:t>Ⅲ</w:t>
      </w:r>
      <w:r>
        <w:rPr>
          <w:rFonts w:hint="default"/>
          <w:color w:val="auto"/>
        </w:rPr>
        <w:fldChar w:fldCharType="end"/>
      </w:r>
      <w:r>
        <w:rPr>
          <w:rFonts w:hint="default"/>
          <w:color w:val="auto"/>
        </w:rPr>
        <w:t>类水质要求，石</w:t>
      </w:r>
      <w:bookmarkStart w:id="571" w:name="OLE_LINK333"/>
      <w:r>
        <w:rPr>
          <w:rFonts w:hint="default"/>
          <w:color w:val="auto"/>
        </w:rPr>
        <w:t>油类满足《地表水环境质量标准》（GB3838-2002）</w:t>
      </w:r>
      <w:r>
        <w:rPr>
          <w:rFonts w:hint="default"/>
          <w:color w:val="auto"/>
        </w:rPr>
        <w:fldChar w:fldCharType="begin"/>
      </w:r>
      <w:r>
        <w:rPr>
          <w:rFonts w:hint="default"/>
          <w:color w:val="auto"/>
        </w:rPr>
        <w:instrText xml:space="preserve"> = 3 \* ROMAN \* MERGEFORMAT </w:instrText>
      </w:r>
      <w:r>
        <w:rPr>
          <w:rFonts w:hint="default"/>
          <w:color w:val="auto"/>
        </w:rPr>
        <w:fldChar w:fldCharType="separate"/>
      </w:r>
      <w:r>
        <w:rPr>
          <w:rFonts w:hint="eastAsia"/>
          <w:color w:val="auto"/>
          <w:lang w:eastAsia="zh-CN"/>
        </w:rPr>
        <w:t>Ⅲ</w:t>
      </w:r>
      <w:r>
        <w:rPr>
          <w:rFonts w:hint="default"/>
          <w:color w:val="auto"/>
        </w:rPr>
        <w:fldChar w:fldCharType="end"/>
      </w:r>
      <w:r>
        <w:rPr>
          <w:rFonts w:hint="default"/>
          <w:color w:val="auto"/>
        </w:rPr>
        <w:t>类标准。超标主要是受干旱气候、蒸发浓缩作用、原生水文地质环境等因素综合影响，并非受人类活动所致。</w:t>
      </w:r>
    </w:p>
    <w:bookmarkEnd w:id="571"/>
    <w:p w14:paraId="263CE3DA">
      <w:pPr>
        <w:pStyle w:val="75"/>
        <w:bidi w:val="0"/>
        <w:rPr>
          <w:rFonts w:hint="eastAsia"/>
          <w:color w:val="auto"/>
          <w:lang w:eastAsia="zh-CN"/>
        </w:rPr>
      </w:pPr>
      <w:bookmarkStart w:id="572" w:name="_Toc6064"/>
      <w:bookmarkStart w:id="573" w:name="_Toc8186"/>
      <w:bookmarkStart w:id="574" w:name="_Toc109382929"/>
      <w:bookmarkStart w:id="575" w:name="_Toc69752840"/>
      <w:bookmarkStart w:id="576" w:name="_Toc5517"/>
      <w:r>
        <w:rPr>
          <w:rFonts w:hint="default"/>
          <w:color w:val="auto"/>
        </w:rPr>
        <w:t>4.</w:t>
      </w:r>
      <w:r>
        <w:rPr>
          <w:rFonts w:hint="eastAsia"/>
          <w:color w:val="auto"/>
          <w:lang w:val="en-US" w:eastAsia="zh-CN"/>
        </w:rPr>
        <w:t>4 地表</w:t>
      </w:r>
      <w:r>
        <w:rPr>
          <w:rFonts w:hint="default"/>
          <w:color w:val="auto"/>
        </w:rPr>
        <w:t>水环境现状调查与评价</w:t>
      </w:r>
      <w:bookmarkEnd w:id="572"/>
      <w:bookmarkEnd w:id="573"/>
      <w:bookmarkEnd w:id="574"/>
      <w:bookmarkEnd w:id="575"/>
      <w:bookmarkEnd w:id="576"/>
    </w:p>
    <w:p w14:paraId="16024423">
      <w:pPr>
        <w:pStyle w:val="79"/>
        <w:bidi w:val="0"/>
        <w:rPr>
          <w:rFonts w:hint="default"/>
          <w:color w:val="auto"/>
        </w:rPr>
      </w:pPr>
      <w:r>
        <w:rPr>
          <w:rFonts w:hint="default"/>
          <w:color w:val="auto"/>
        </w:rPr>
        <w:t>按照《环境影响评价技术导则</w:t>
      </w:r>
      <w:r>
        <w:rPr>
          <w:rFonts w:hint="eastAsia"/>
          <w:color w:val="auto"/>
          <w:lang w:val="en-US" w:eastAsia="zh-CN"/>
        </w:rPr>
        <w:t xml:space="preserve"> </w:t>
      </w:r>
      <w:r>
        <w:rPr>
          <w:rFonts w:hint="default"/>
          <w:color w:val="auto"/>
        </w:rPr>
        <w:t>地表水环境》（HJ2.3-2018），项目属于水污染影响型建设项目。在</w:t>
      </w:r>
      <w:r>
        <w:rPr>
          <w:rFonts w:hint="eastAsia"/>
          <w:color w:val="auto"/>
          <w:lang w:eastAsia="zh-CN"/>
        </w:rPr>
        <w:t>油田</w:t>
      </w:r>
      <w:r>
        <w:rPr>
          <w:rFonts w:hint="default"/>
          <w:color w:val="auto"/>
        </w:rPr>
        <w:t>正常开采及油气集输过程中，本项目产生的含油污水、井下作业废水不外排，且本项目周边5km范围内无天然地表水体，项目地表水环境影响评价等级为三级B，无需开展地表水环境影响评价。本次地表水环境影响评价重点论证项目废水综合利用不外排的可行性和可靠性，污废水处理设施的依托可行性。</w:t>
      </w:r>
    </w:p>
    <w:p w14:paraId="68B0D264">
      <w:pPr>
        <w:pStyle w:val="75"/>
        <w:bidi w:val="0"/>
        <w:rPr>
          <w:rFonts w:hint="eastAsia"/>
          <w:color w:val="auto"/>
          <w:lang w:eastAsia="zh-CN"/>
        </w:rPr>
      </w:pPr>
      <w:bookmarkStart w:id="577" w:name="_Toc30267"/>
      <w:r>
        <w:rPr>
          <w:rFonts w:hint="default"/>
          <w:color w:val="auto"/>
        </w:rPr>
        <w:t>4.</w:t>
      </w:r>
      <w:r>
        <w:rPr>
          <w:rFonts w:hint="eastAsia"/>
          <w:color w:val="auto"/>
          <w:lang w:val="en-US" w:eastAsia="zh-CN"/>
        </w:rPr>
        <w:t xml:space="preserve">5 </w:t>
      </w:r>
      <w:r>
        <w:rPr>
          <w:rFonts w:hint="default"/>
          <w:color w:val="auto"/>
        </w:rPr>
        <w:t>土壤环境现状调查与评价</w:t>
      </w:r>
      <w:bookmarkEnd w:id="577"/>
    </w:p>
    <w:p w14:paraId="2B577CDB">
      <w:pPr>
        <w:pStyle w:val="54"/>
        <w:bidi w:val="0"/>
        <w:rPr>
          <w:rFonts w:hint="default"/>
          <w:color w:val="auto"/>
        </w:rPr>
      </w:pPr>
      <w:bookmarkStart w:id="578" w:name="_Toc12792"/>
      <w:bookmarkStart w:id="579" w:name="_Toc115978844"/>
      <w:r>
        <w:rPr>
          <w:rFonts w:hint="default"/>
          <w:color w:val="auto"/>
        </w:rPr>
        <w:t>4.</w:t>
      </w:r>
      <w:r>
        <w:rPr>
          <w:rFonts w:hint="eastAsia"/>
          <w:color w:val="auto"/>
          <w:lang w:val="en-US" w:eastAsia="zh-CN"/>
        </w:rPr>
        <w:t>5</w:t>
      </w:r>
      <w:r>
        <w:rPr>
          <w:rFonts w:hint="default"/>
          <w:color w:val="auto"/>
        </w:rPr>
        <w:t>.1</w:t>
      </w:r>
      <w:bookmarkEnd w:id="578"/>
      <w:bookmarkEnd w:id="579"/>
      <w:r>
        <w:rPr>
          <w:rFonts w:hint="eastAsia"/>
          <w:color w:val="auto"/>
          <w:lang w:val="en-US" w:eastAsia="zh-CN"/>
        </w:rPr>
        <w:t xml:space="preserve"> </w:t>
      </w:r>
      <w:r>
        <w:rPr>
          <w:rFonts w:hint="default"/>
          <w:color w:val="auto"/>
        </w:rPr>
        <w:t>土壤类型及分布调查</w:t>
      </w:r>
    </w:p>
    <w:p w14:paraId="603E1E9A">
      <w:pPr>
        <w:pStyle w:val="79"/>
        <w:bidi w:val="0"/>
        <w:rPr>
          <w:rFonts w:hint="eastAsia"/>
          <w:color w:val="auto"/>
        </w:rPr>
      </w:pPr>
      <w:r>
        <w:rPr>
          <w:rFonts w:hint="eastAsia"/>
          <w:color w:val="auto"/>
        </w:rPr>
        <w:t>该区域属极端干旱的暖温带气候，气候干旱、高温、不利于土壤中矿物质分解，土壤发育较差，类型较为简单，成土母质由沙、粉沙和粘粒组成。盐土是项目区分布最广的一类土壤，在本</w:t>
      </w:r>
      <w:r>
        <w:rPr>
          <w:rFonts w:hint="eastAsia"/>
          <w:color w:val="auto"/>
          <w:lang w:eastAsia="zh-CN"/>
        </w:rPr>
        <w:t>油田</w:t>
      </w:r>
      <w:r>
        <w:rPr>
          <w:rFonts w:hint="eastAsia"/>
          <w:color w:val="auto"/>
        </w:rPr>
        <w:t>区域分布的土壤类型有棕漠土。</w:t>
      </w:r>
    </w:p>
    <w:p w14:paraId="530CE047">
      <w:pPr>
        <w:pStyle w:val="79"/>
        <w:bidi w:val="0"/>
        <w:rPr>
          <w:rFonts w:hint="eastAsia"/>
          <w:color w:val="auto"/>
        </w:rPr>
      </w:pPr>
      <w:r>
        <w:rPr>
          <w:rFonts w:hint="eastAsia"/>
          <w:color w:val="auto"/>
        </w:rPr>
        <w:t>棕漠土是暖温带极端干旱荒漠砂砾质洪积物、石质残积物、坡积残积物母质发育的，地表有明显砾幂，具孔泡结皮层、紧实层、石膏层、石膏</w:t>
      </w:r>
      <w:r>
        <w:rPr>
          <w:rFonts w:hint="eastAsia"/>
          <w:color w:val="auto"/>
          <w:lang w:eastAsia="zh-CN"/>
        </w:rPr>
        <w:t>－</w:t>
      </w:r>
      <w:r>
        <w:rPr>
          <w:rFonts w:hint="eastAsia"/>
          <w:color w:val="auto"/>
        </w:rPr>
        <w:t>盐磐层等土层序列的干旱土壤。</w:t>
      </w:r>
      <w:bookmarkStart w:id="580" w:name="_Toc31031"/>
      <w:bookmarkStart w:id="581" w:name="_Toc115978845"/>
    </w:p>
    <w:p w14:paraId="0931A548">
      <w:pPr>
        <w:pStyle w:val="79"/>
        <w:bidi w:val="0"/>
        <w:rPr>
          <w:rFonts w:hint="eastAsia" w:ascii="宋体" w:hAnsi="宋体" w:eastAsia="宋体" w:cs="宋体"/>
          <w:color w:val="auto"/>
          <w:szCs w:val="24"/>
        </w:rPr>
        <w:sectPr>
          <w:pgSz w:w="11906"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AndChars" w:linePitch="316" w:charSpace="0"/>
        </w:sectPr>
      </w:pPr>
      <w:r>
        <w:rPr>
          <w:rFonts w:hint="eastAsia"/>
          <w:color w:val="auto"/>
        </w:rPr>
        <w:t>评价区域土壤类型</w:t>
      </w:r>
      <w:r>
        <w:rPr>
          <w:rFonts w:hint="eastAsia"/>
          <w:color w:val="auto"/>
          <w:lang w:eastAsia="zh-CN"/>
        </w:rPr>
        <w:t>，</w:t>
      </w:r>
      <w:r>
        <w:rPr>
          <w:rFonts w:hint="eastAsia"/>
          <w:color w:val="auto"/>
        </w:rPr>
        <w:t>见图4.</w:t>
      </w:r>
      <w:r>
        <w:rPr>
          <w:rFonts w:hint="eastAsia"/>
          <w:color w:val="auto"/>
          <w:lang w:val="en-US" w:eastAsia="zh-CN"/>
        </w:rPr>
        <w:t>5</w:t>
      </w:r>
      <w:r>
        <w:rPr>
          <w:rFonts w:hint="eastAsia"/>
          <w:color w:val="auto"/>
        </w:rPr>
        <w:t>-1</w:t>
      </w:r>
      <w:r>
        <w:rPr>
          <w:rFonts w:hint="eastAsia" w:ascii="宋体" w:hAnsi="宋体" w:eastAsia="宋体" w:cs="宋体"/>
          <w:color w:val="auto"/>
          <w:szCs w:val="24"/>
        </w:rPr>
        <w:t>。</w:t>
      </w:r>
    </w:p>
    <w:p w14:paraId="37578472">
      <w:pPr>
        <w:pStyle w:val="26"/>
        <w:jc w:val="center"/>
        <w:rPr>
          <w:rFonts w:hint="eastAsia" w:ascii="黑体" w:hAnsi="黑体" w:eastAsia="黑体" w:cs="黑体"/>
          <w:b/>
          <w:bCs/>
          <w:color w:val="auto"/>
          <w:sz w:val="21"/>
          <w:szCs w:val="21"/>
          <w:lang w:val="en-US" w:eastAsia="zh-CN"/>
        </w:rPr>
      </w:pPr>
    </w:p>
    <w:p w14:paraId="3A28924E">
      <w:pPr>
        <w:pStyle w:val="26"/>
        <w:jc w:val="center"/>
        <w:rPr>
          <w:rFonts w:hint="eastAsia" w:ascii="黑体" w:hAnsi="黑体" w:eastAsia="黑体" w:cs="黑体"/>
          <w:b/>
          <w:bCs/>
          <w:color w:val="auto"/>
          <w:sz w:val="24"/>
          <w:szCs w:val="24"/>
          <w:lang w:val="en-US"/>
        </w:rPr>
      </w:pPr>
      <w:r>
        <w:rPr>
          <w:rFonts w:hint="eastAsia" w:ascii="黑体" w:hAnsi="黑体" w:eastAsia="黑体" w:cs="黑体"/>
          <w:b/>
          <w:bCs/>
          <w:color w:val="auto"/>
          <w:sz w:val="24"/>
          <w:szCs w:val="24"/>
          <w:lang w:val="en-US" w:eastAsia="zh-CN"/>
        </w:rPr>
        <w:t>图4.5-1   评价区土壤类型图</w:t>
      </w:r>
    </w:p>
    <w:p w14:paraId="086237CE">
      <w:pPr>
        <w:pStyle w:val="27"/>
        <w:rPr>
          <w:rFonts w:hint="eastAsia"/>
          <w:color w:val="auto"/>
        </w:rPr>
      </w:pPr>
    </w:p>
    <w:p w14:paraId="5651D9F5">
      <w:pPr>
        <w:rPr>
          <w:rFonts w:hint="eastAsia"/>
          <w:color w:val="auto"/>
        </w:rPr>
        <w:sectPr>
          <w:pgSz w:w="16838" w:h="11906" w:orient="landscape"/>
          <w:pgMar w:top="1814" w:right="1474" w:bottom="1474" w:left="1474" w:header="850" w:footer="992" w:gutter="0"/>
          <w:pgBorders>
            <w:top w:val="none" w:sz="0" w:space="0"/>
            <w:left w:val="none" w:sz="0" w:space="0"/>
            <w:bottom w:val="none" w:sz="0" w:space="0"/>
            <w:right w:val="none" w:sz="0" w:space="0"/>
          </w:pgBorders>
          <w:pgNumType w:fmt="decimal"/>
          <w:cols w:space="0" w:num="1"/>
          <w:rtlGutter w:val="0"/>
          <w:docGrid w:type="linesAndChars" w:linePitch="316" w:charSpace="0"/>
        </w:sectPr>
      </w:pPr>
    </w:p>
    <w:p w14:paraId="43848A2A">
      <w:pPr>
        <w:pStyle w:val="54"/>
        <w:bidi w:val="0"/>
        <w:rPr>
          <w:rFonts w:hint="default"/>
          <w:color w:val="auto"/>
          <w:lang w:val="en-US" w:eastAsia="zh-CN"/>
        </w:rPr>
      </w:pPr>
      <w:r>
        <w:rPr>
          <w:rFonts w:hint="eastAsia"/>
          <w:color w:val="auto"/>
          <w:lang w:val="en-US" w:eastAsia="zh-CN"/>
        </w:rPr>
        <w:t>4.5.2 土壤理化特性调查</w:t>
      </w:r>
    </w:p>
    <w:p w14:paraId="12F748F0">
      <w:pPr>
        <w:pStyle w:val="79"/>
        <w:bidi w:val="0"/>
        <w:rPr>
          <w:rFonts w:hint="default"/>
          <w:color w:val="auto"/>
        </w:rPr>
      </w:pPr>
      <w:r>
        <w:rPr>
          <w:rFonts w:hint="default"/>
          <w:color w:val="auto"/>
        </w:rPr>
        <w:t>针对工程占地的土壤理化性质进行分析，主要包括土体结构、土壤结构、土壤质地、阳离子交换量、氧化还原</w:t>
      </w:r>
      <w:r>
        <w:rPr>
          <w:rFonts w:hint="eastAsia"/>
          <w:color w:val="auto"/>
          <w:lang w:eastAsia="zh-CN"/>
        </w:rPr>
        <w:t>电位</w:t>
      </w:r>
      <w:r>
        <w:rPr>
          <w:rFonts w:hint="default"/>
          <w:color w:val="auto"/>
        </w:rPr>
        <w:t>、饱和导水率、土壤容重、孔隙度等。取样点位为</w:t>
      </w:r>
      <w:r>
        <w:rPr>
          <w:rFonts w:hint="eastAsia"/>
          <w:color w:val="auto"/>
          <w:lang w:val="en-US" w:eastAsia="zh-CN"/>
        </w:rPr>
        <w:t>脱硫站、雄英102井、雄英3井</w:t>
      </w:r>
      <w:r>
        <w:rPr>
          <w:rFonts w:hint="default"/>
          <w:color w:val="auto"/>
          <w:lang w:val="en-US" w:eastAsia="zh-CN"/>
        </w:rPr>
        <w:t>井场内</w:t>
      </w:r>
      <w:r>
        <w:rPr>
          <w:rFonts w:hint="default"/>
          <w:color w:val="auto"/>
        </w:rPr>
        <w:t>表层样</w:t>
      </w:r>
      <w:r>
        <w:rPr>
          <w:rFonts w:hint="eastAsia"/>
          <w:color w:val="auto"/>
          <w:lang w:eastAsia="zh-CN"/>
        </w:rPr>
        <w:t>。监测工作由新疆中测测试有限责任公司完成</w:t>
      </w:r>
      <w:r>
        <w:rPr>
          <w:rFonts w:hint="default"/>
          <w:color w:val="auto"/>
        </w:rPr>
        <w:t>分析结果</w:t>
      </w:r>
      <w:r>
        <w:rPr>
          <w:rFonts w:hint="eastAsia"/>
          <w:color w:val="auto"/>
          <w:lang w:eastAsia="zh-CN"/>
        </w:rPr>
        <w:t>，</w:t>
      </w:r>
      <w:r>
        <w:rPr>
          <w:rFonts w:hint="eastAsia"/>
          <w:color w:val="auto"/>
          <w:lang w:val="en-US" w:eastAsia="zh-CN"/>
        </w:rPr>
        <w:t>见</w:t>
      </w:r>
      <w:r>
        <w:rPr>
          <w:rFonts w:hint="default"/>
          <w:color w:val="auto"/>
        </w:rPr>
        <w:t>表</w:t>
      </w:r>
      <w:r>
        <w:rPr>
          <w:rFonts w:hint="eastAsia"/>
          <w:color w:val="auto"/>
          <w:lang w:val="en-US" w:eastAsia="zh-CN"/>
        </w:rPr>
        <w:t>4.5-1</w:t>
      </w:r>
      <w:r>
        <w:rPr>
          <w:rFonts w:hint="default"/>
          <w:color w:val="auto"/>
        </w:rPr>
        <w:t>。</w:t>
      </w:r>
    </w:p>
    <w:p w14:paraId="02B27753">
      <w:pPr>
        <w:pStyle w:val="61"/>
        <w:bidi w:val="0"/>
        <w:jc w:val="both"/>
        <w:rPr>
          <w:rFonts w:hint="eastAsia"/>
          <w:color w:val="auto"/>
          <w:lang w:val="en-US" w:eastAsia="zh-CN"/>
        </w:rPr>
      </w:pPr>
      <w:r>
        <w:rPr>
          <w:rFonts w:hint="eastAsia"/>
          <w:color w:val="auto"/>
          <w:lang w:val="en-US" w:eastAsia="zh-CN"/>
        </w:rPr>
        <w:t>表4.5-1   土壤理化特性调查表</w:t>
      </w:r>
    </w:p>
    <w:tbl>
      <w:tblPr>
        <w:tblStyle w:val="36"/>
        <w:tblW w:w="502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711"/>
        <w:gridCol w:w="2811"/>
        <w:gridCol w:w="1799"/>
        <w:gridCol w:w="1684"/>
        <w:gridCol w:w="1691"/>
      </w:tblGrid>
      <w:tr w14:paraId="0BB8AE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18" w:hRule="atLeast"/>
          <w:jc w:val="center"/>
        </w:trPr>
        <w:tc>
          <w:tcPr>
            <w:tcW w:w="2025" w:type="pct"/>
            <w:gridSpan w:val="2"/>
            <w:tcBorders>
              <w:tl2br w:val="nil"/>
              <w:tr2bl w:val="nil"/>
            </w:tcBorders>
            <w:vAlign w:val="center"/>
          </w:tcPr>
          <w:p w14:paraId="5D9B428D">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点位</w:t>
            </w:r>
          </w:p>
        </w:tc>
        <w:tc>
          <w:tcPr>
            <w:tcW w:w="1034" w:type="pct"/>
            <w:tcBorders>
              <w:tl2br w:val="nil"/>
              <w:tr2bl w:val="nil"/>
            </w:tcBorders>
            <w:vAlign w:val="center"/>
          </w:tcPr>
          <w:p w14:paraId="6BAD2723">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雄英102井</w:t>
            </w:r>
          </w:p>
          <w:p w14:paraId="2B6BA20A">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lang w:val="en-US" w:eastAsia="zh-CN"/>
              </w:rPr>
              <w:t>（占地范围内）</w:t>
            </w:r>
          </w:p>
        </w:tc>
        <w:tc>
          <w:tcPr>
            <w:tcW w:w="968" w:type="pct"/>
            <w:tcBorders>
              <w:tl2br w:val="nil"/>
              <w:tr2bl w:val="nil"/>
            </w:tcBorders>
            <w:vAlign w:val="center"/>
          </w:tcPr>
          <w:p w14:paraId="1DCA1BC1">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脱硫站</w:t>
            </w:r>
          </w:p>
          <w:p w14:paraId="6E49D16B">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（占地范围内）</w:t>
            </w:r>
          </w:p>
        </w:tc>
        <w:tc>
          <w:tcPr>
            <w:tcW w:w="972" w:type="pct"/>
            <w:tcBorders>
              <w:tl2br w:val="nil"/>
              <w:tr2bl w:val="nil"/>
            </w:tcBorders>
            <w:vAlign w:val="center"/>
          </w:tcPr>
          <w:p w14:paraId="05BBDBF0">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雄英3井</w:t>
            </w:r>
          </w:p>
          <w:p w14:paraId="40E2E70F">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（占地范围内）</w:t>
            </w:r>
          </w:p>
        </w:tc>
      </w:tr>
      <w:tr w14:paraId="3CEC9A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69" w:hRule="atLeast"/>
          <w:jc w:val="center"/>
        </w:trPr>
        <w:tc>
          <w:tcPr>
            <w:tcW w:w="2025" w:type="pct"/>
            <w:gridSpan w:val="2"/>
            <w:tcBorders>
              <w:tl2br w:val="nil"/>
              <w:tr2bl w:val="nil"/>
            </w:tcBorders>
            <w:vAlign w:val="center"/>
          </w:tcPr>
          <w:p w14:paraId="66D6DB2D">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层次</w:t>
            </w:r>
          </w:p>
        </w:tc>
        <w:tc>
          <w:tcPr>
            <w:tcW w:w="1034" w:type="pct"/>
            <w:tcBorders>
              <w:tl2br w:val="nil"/>
              <w:tr2bl w:val="nil"/>
            </w:tcBorders>
            <w:vAlign w:val="center"/>
          </w:tcPr>
          <w:p w14:paraId="04836B9F">
            <w:pPr>
              <w:jc w:val="center"/>
              <w:rPr>
                <w:rFonts w:hint="default" w:ascii="Times New Roman" w:hAnsi="Times New Roman" w:eastAsia="宋体" w:cs="Times New Roman"/>
                <w:b w:val="0"/>
                <w:bCs w:val="0"/>
                <w:color w:val="auto"/>
                <w:sz w:val="21"/>
                <w:szCs w:val="21"/>
                <w:lang w:val="en-US" w:eastAsia="zh-CN"/>
              </w:rPr>
            </w:pPr>
          </w:p>
        </w:tc>
        <w:tc>
          <w:tcPr>
            <w:tcW w:w="968" w:type="pct"/>
            <w:tcBorders>
              <w:tl2br w:val="nil"/>
              <w:tr2bl w:val="nil"/>
            </w:tcBorders>
            <w:vAlign w:val="center"/>
          </w:tcPr>
          <w:p w14:paraId="7D5C5FDC">
            <w:pPr>
              <w:jc w:val="center"/>
              <w:rPr>
                <w:rFonts w:hint="default" w:ascii="Times New Roman" w:hAnsi="Times New Roman" w:eastAsia="宋体" w:cs="Times New Roman"/>
                <w:b w:val="0"/>
                <w:bCs w:val="0"/>
                <w:color w:val="auto"/>
                <w:sz w:val="21"/>
                <w:szCs w:val="21"/>
                <w:lang w:val="en-US" w:eastAsia="zh-CN"/>
              </w:rPr>
            </w:pPr>
          </w:p>
        </w:tc>
        <w:tc>
          <w:tcPr>
            <w:tcW w:w="972" w:type="pct"/>
            <w:tcBorders>
              <w:tl2br w:val="nil"/>
              <w:tr2bl w:val="nil"/>
            </w:tcBorders>
            <w:vAlign w:val="center"/>
          </w:tcPr>
          <w:p w14:paraId="3145EDBD">
            <w:pPr>
              <w:jc w:val="center"/>
              <w:rPr>
                <w:rFonts w:hint="default" w:ascii="Times New Roman" w:hAnsi="Times New Roman" w:eastAsia="宋体" w:cs="Times New Roman"/>
                <w:b w:val="0"/>
                <w:bCs w:val="0"/>
                <w:color w:val="auto"/>
                <w:sz w:val="21"/>
                <w:szCs w:val="21"/>
                <w:lang w:val="en-US" w:eastAsia="zh-CN"/>
              </w:rPr>
            </w:pPr>
          </w:p>
        </w:tc>
      </w:tr>
      <w:tr w14:paraId="2768BE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69" w:hRule="atLeast"/>
          <w:jc w:val="center"/>
        </w:trPr>
        <w:tc>
          <w:tcPr>
            <w:tcW w:w="409" w:type="pct"/>
            <w:vMerge w:val="restart"/>
            <w:tcBorders>
              <w:tl2br w:val="nil"/>
              <w:tr2bl w:val="nil"/>
            </w:tcBorders>
            <w:vAlign w:val="center"/>
          </w:tcPr>
          <w:p w14:paraId="1C82CFB2">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现场记录</w:t>
            </w:r>
          </w:p>
        </w:tc>
        <w:tc>
          <w:tcPr>
            <w:tcW w:w="1615" w:type="pct"/>
            <w:tcBorders>
              <w:tl2br w:val="nil"/>
              <w:tr2bl w:val="nil"/>
            </w:tcBorders>
            <w:vAlign w:val="center"/>
          </w:tcPr>
          <w:p w14:paraId="23426FBF">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颜色</w:t>
            </w:r>
          </w:p>
        </w:tc>
        <w:tc>
          <w:tcPr>
            <w:tcW w:w="1034" w:type="pct"/>
            <w:tcBorders>
              <w:tl2br w:val="nil"/>
              <w:tr2bl w:val="nil"/>
            </w:tcBorders>
            <w:vAlign w:val="center"/>
          </w:tcPr>
          <w:p w14:paraId="62F486F5">
            <w:pPr>
              <w:jc w:val="center"/>
              <w:rPr>
                <w:rFonts w:hint="default" w:ascii="Times New Roman" w:hAnsi="Times New Roman" w:eastAsia="宋体" w:cs="Times New Roman"/>
                <w:b w:val="0"/>
                <w:bCs w:val="0"/>
                <w:color w:val="auto"/>
                <w:sz w:val="21"/>
                <w:szCs w:val="21"/>
                <w:lang w:eastAsia="zh-CN"/>
              </w:rPr>
            </w:pPr>
          </w:p>
        </w:tc>
        <w:tc>
          <w:tcPr>
            <w:tcW w:w="968" w:type="pct"/>
            <w:tcBorders>
              <w:tl2br w:val="nil"/>
              <w:tr2bl w:val="nil"/>
            </w:tcBorders>
            <w:vAlign w:val="center"/>
          </w:tcPr>
          <w:p w14:paraId="2EFF5193">
            <w:pPr>
              <w:jc w:val="center"/>
              <w:rPr>
                <w:rFonts w:hint="default" w:ascii="Times New Roman" w:hAnsi="Times New Roman" w:eastAsia="宋体" w:cs="Times New Roman"/>
                <w:b w:val="0"/>
                <w:bCs w:val="0"/>
                <w:color w:val="auto"/>
                <w:kern w:val="2"/>
                <w:sz w:val="21"/>
                <w:szCs w:val="21"/>
                <w:lang w:val="en-US" w:eastAsia="zh-CN" w:bidi="ar-SA"/>
              </w:rPr>
            </w:pPr>
          </w:p>
        </w:tc>
        <w:tc>
          <w:tcPr>
            <w:tcW w:w="972" w:type="pct"/>
            <w:tcBorders>
              <w:tl2br w:val="nil"/>
              <w:tr2bl w:val="nil"/>
            </w:tcBorders>
            <w:vAlign w:val="center"/>
          </w:tcPr>
          <w:p w14:paraId="4DC19A2E">
            <w:pPr>
              <w:jc w:val="center"/>
              <w:rPr>
                <w:rFonts w:hint="default" w:ascii="Times New Roman" w:hAnsi="Times New Roman" w:eastAsia="宋体" w:cs="Times New Roman"/>
                <w:b w:val="0"/>
                <w:bCs w:val="0"/>
                <w:color w:val="auto"/>
                <w:kern w:val="2"/>
                <w:sz w:val="21"/>
                <w:szCs w:val="21"/>
                <w:lang w:val="en-US" w:eastAsia="zh-CN" w:bidi="ar-SA"/>
              </w:rPr>
            </w:pPr>
          </w:p>
        </w:tc>
      </w:tr>
      <w:tr w14:paraId="788C88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69" w:hRule="atLeast"/>
          <w:jc w:val="center"/>
        </w:trPr>
        <w:tc>
          <w:tcPr>
            <w:tcW w:w="409" w:type="pct"/>
            <w:vMerge w:val="continue"/>
            <w:tcBorders>
              <w:tl2br w:val="nil"/>
              <w:tr2bl w:val="nil"/>
            </w:tcBorders>
            <w:vAlign w:val="center"/>
          </w:tcPr>
          <w:p w14:paraId="457F5E5E">
            <w:pPr>
              <w:jc w:val="center"/>
              <w:rPr>
                <w:rFonts w:hint="default" w:ascii="Times New Roman" w:hAnsi="Times New Roman" w:eastAsia="宋体" w:cs="Times New Roman"/>
                <w:b w:val="0"/>
                <w:bCs w:val="0"/>
                <w:color w:val="auto"/>
                <w:sz w:val="21"/>
                <w:szCs w:val="21"/>
              </w:rPr>
            </w:pPr>
          </w:p>
        </w:tc>
        <w:tc>
          <w:tcPr>
            <w:tcW w:w="1615" w:type="pct"/>
            <w:tcBorders>
              <w:tl2br w:val="nil"/>
              <w:tr2bl w:val="nil"/>
            </w:tcBorders>
            <w:vAlign w:val="center"/>
          </w:tcPr>
          <w:p w14:paraId="1EF6ED05">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结构</w:t>
            </w:r>
          </w:p>
        </w:tc>
        <w:tc>
          <w:tcPr>
            <w:tcW w:w="1034" w:type="pct"/>
            <w:tcBorders>
              <w:tl2br w:val="nil"/>
              <w:tr2bl w:val="nil"/>
            </w:tcBorders>
            <w:vAlign w:val="center"/>
          </w:tcPr>
          <w:p w14:paraId="28B3A549">
            <w:pPr>
              <w:jc w:val="center"/>
              <w:rPr>
                <w:rFonts w:hint="default" w:ascii="Times New Roman" w:hAnsi="Times New Roman" w:eastAsia="宋体" w:cs="Times New Roman"/>
                <w:b w:val="0"/>
                <w:bCs w:val="0"/>
                <w:color w:val="auto"/>
                <w:sz w:val="21"/>
                <w:szCs w:val="21"/>
                <w:lang w:eastAsia="zh-CN"/>
              </w:rPr>
            </w:pPr>
          </w:p>
        </w:tc>
        <w:tc>
          <w:tcPr>
            <w:tcW w:w="968" w:type="pct"/>
            <w:tcBorders>
              <w:tl2br w:val="nil"/>
              <w:tr2bl w:val="nil"/>
            </w:tcBorders>
            <w:vAlign w:val="center"/>
          </w:tcPr>
          <w:p w14:paraId="466E13AE">
            <w:pPr>
              <w:jc w:val="center"/>
              <w:rPr>
                <w:rFonts w:hint="default" w:ascii="Times New Roman" w:hAnsi="Times New Roman" w:eastAsia="宋体" w:cs="Times New Roman"/>
                <w:b w:val="0"/>
                <w:bCs w:val="0"/>
                <w:color w:val="auto"/>
                <w:kern w:val="2"/>
                <w:sz w:val="21"/>
                <w:szCs w:val="21"/>
                <w:lang w:val="en-US" w:eastAsia="zh-CN" w:bidi="ar-SA"/>
              </w:rPr>
            </w:pPr>
          </w:p>
        </w:tc>
        <w:tc>
          <w:tcPr>
            <w:tcW w:w="972" w:type="pct"/>
            <w:tcBorders>
              <w:tl2br w:val="nil"/>
              <w:tr2bl w:val="nil"/>
            </w:tcBorders>
            <w:vAlign w:val="center"/>
          </w:tcPr>
          <w:p w14:paraId="599E33B2">
            <w:pPr>
              <w:jc w:val="center"/>
              <w:rPr>
                <w:rFonts w:hint="default" w:ascii="Times New Roman" w:hAnsi="Times New Roman" w:eastAsia="宋体" w:cs="Times New Roman"/>
                <w:b w:val="0"/>
                <w:bCs w:val="0"/>
                <w:color w:val="auto"/>
                <w:kern w:val="2"/>
                <w:sz w:val="21"/>
                <w:szCs w:val="21"/>
                <w:lang w:val="en-US" w:eastAsia="zh-CN" w:bidi="ar-SA"/>
              </w:rPr>
            </w:pPr>
          </w:p>
        </w:tc>
      </w:tr>
      <w:tr w14:paraId="5BBE82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69" w:hRule="atLeast"/>
          <w:jc w:val="center"/>
        </w:trPr>
        <w:tc>
          <w:tcPr>
            <w:tcW w:w="409" w:type="pct"/>
            <w:vMerge w:val="continue"/>
            <w:tcBorders>
              <w:tl2br w:val="nil"/>
              <w:tr2bl w:val="nil"/>
            </w:tcBorders>
            <w:vAlign w:val="center"/>
          </w:tcPr>
          <w:p w14:paraId="27AA09A3">
            <w:pPr>
              <w:jc w:val="center"/>
              <w:rPr>
                <w:rFonts w:hint="default" w:ascii="Times New Roman" w:hAnsi="Times New Roman" w:eastAsia="宋体" w:cs="Times New Roman"/>
                <w:b w:val="0"/>
                <w:bCs w:val="0"/>
                <w:color w:val="auto"/>
                <w:sz w:val="21"/>
                <w:szCs w:val="21"/>
              </w:rPr>
            </w:pPr>
          </w:p>
        </w:tc>
        <w:tc>
          <w:tcPr>
            <w:tcW w:w="1615" w:type="pct"/>
            <w:tcBorders>
              <w:tl2br w:val="nil"/>
              <w:tr2bl w:val="nil"/>
            </w:tcBorders>
            <w:vAlign w:val="center"/>
          </w:tcPr>
          <w:p w14:paraId="65C5FB3A">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质地</w:t>
            </w:r>
          </w:p>
        </w:tc>
        <w:tc>
          <w:tcPr>
            <w:tcW w:w="1034" w:type="pct"/>
            <w:tcBorders>
              <w:tl2br w:val="nil"/>
              <w:tr2bl w:val="nil"/>
            </w:tcBorders>
            <w:vAlign w:val="center"/>
          </w:tcPr>
          <w:p w14:paraId="2AB6AA1D">
            <w:pPr>
              <w:jc w:val="center"/>
              <w:rPr>
                <w:rFonts w:hint="default" w:ascii="Times New Roman" w:hAnsi="Times New Roman" w:eastAsia="宋体" w:cs="Times New Roman"/>
                <w:b w:val="0"/>
                <w:bCs w:val="0"/>
                <w:color w:val="auto"/>
                <w:sz w:val="21"/>
                <w:szCs w:val="21"/>
                <w:lang w:eastAsia="zh-CN"/>
              </w:rPr>
            </w:pPr>
          </w:p>
        </w:tc>
        <w:tc>
          <w:tcPr>
            <w:tcW w:w="968" w:type="pct"/>
            <w:tcBorders>
              <w:tl2br w:val="nil"/>
              <w:tr2bl w:val="nil"/>
            </w:tcBorders>
            <w:vAlign w:val="center"/>
          </w:tcPr>
          <w:p w14:paraId="1C4DD5BD">
            <w:pPr>
              <w:jc w:val="center"/>
              <w:rPr>
                <w:rFonts w:hint="default" w:ascii="Times New Roman" w:hAnsi="Times New Roman" w:eastAsia="宋体" w:cs="Times New Roman"/>
                <w:b w:val="0"/>
                <w:bCs w:val="0"/>
                <w:color w:val="auto"/>
                <w:kern w:val="2"/>
                <w:sz w:val="21"/>
                <w:szCs w:val="21"/>
                <w:lang w:val="en-US" w:eastAsia="zh-CN" w:bidi="ar-SA"/>
              </w:rPr>
            </w:pPr>
          </w:p>
        </w:tc>
        <w:tc>
          <w:tcPr>
            <w:tcW w:w="972" w:type="pct"/>
            <w:tcBorders>
              <w:tl2br w:val="nil"/>
              <w:tr2bl w:val="nil"/>
            </w:tcBorders>
            <w:vAlign w:val="center"/>
          </w:tcPr>
          <w:p w14:paraId="2A56A684">
            <w:pPr>
              <w:jc w:val="center"/>
              <w:rPr>
                <w:rFonts w:hint="default" w:ascii="Times New Roman" w:hAnsi="Times New Roman" w:eastAsia="宋体" w:cs="Times New Roman"/>
                <w:b w:val="0"/>
                <w:bCs w:val="0"/>
                <w:color w:val="auto"/>
                <w:kern w:val="2"/>
                <w:sz w:val="21"/>
                <w:szCs w:val="21"/>
                <w:lang w:val="en-US" w:eastAsia="zh-CN" w:bidi="ar-SA"/>
              </w:rPr>
            </w:pPr>
          </w:p>
        </w:tc>
      </w:tr>
      <w:tr w14:paraId="5A62ED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69" w:hRule="atLeast"/>
          <w:jc w:val="center"/>
        </w:trPr>
        <w:tc>
          <w:tcPr>
            <w:tcW w:w="409" w:type="pct"/>
            <w:vMerge w:val="continue"/>
            <w:tcBorders>
              <w:tl2br w:val="nil"/>
              <w:tr2bl w:val="nil"/>
            </w:tcBorders>
            <w:vAlign w:val="center"/>
          </w:tcPr>
          <w:p w14:paraId="566A84E9">
            <w:pPr>
              <w:jc w:val="center"/>
              <w:rPr>
                <w:rFonts w:hint="default" w:ascii="Times New Roman" w:hAnsi="Times New Roman" w:eastAsia="宋体" w:cs="Times New Roman"/>
                <w:b w:val="0"/>
                <w:bCs w:val="0"/>
                <w:color w:val="auto"/>
                <w:sz w:val="21"/>
                <w:szCs w:val="21"/>
              </w:rPr>
            </w:pPr>
          </w:p>
        </w:tc>
        <w:tc>
          <w:tcPr>
            <w:tcW w:w="1615" w:type="pct"/>
            <w:tcBorders>
              <w:tl2br w:val="nil"/>
              <w:tr2bl w:val="nil"/>
            </w:tcBorders>
            <w:vAlign w:val="center"/>
          </w:tcPr>
          <w:p w14:paraId="3A5B4F0A">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砂砾含量</w:t>
            </w:r>
          </w:p>
        </w:tc>
        <w:tc>
          <w:tcPr>
            <w:tcW w:w="1034" w:type="pct"/>
            <w:tcBorders>
              <w:tl2br w:val="nil"/>
              <w:tr2bl w:val="nil"/>
            </w:tcBorders>
            <w:vAlign w:val="center"/>
          </w:tcPr>
          <w:p w14:paraId="3C428049">
            <w:pPr>
              <w:jc w:val="center"/>
              <w:rPr>
                <w:rFonts w:hint="default" w:ascii="Times New Roman" w:hAnsi="Times New Roman" w:eastAsia="宋体" w:cs="Times New Roman"/>
                <w:b w:val="0"/>
                <w:bCs w:val="0"/>
                <w:color w:val="auto"/>
                <w:sz w:val="21"/>
                <w:szCs w:val="21"/>
                <w:lang w:val="en-US" w:eastAsia="zh-CN"/>
              </w:rPr>
            </w:pPr>
          </w:p>
        </w:tc>
        <w:tc>
          <w:tcPr>
            <w:tcW w:w="968" w:type="pct"/>
            <w:tcBorders>
              <w:tl2br w:val="nil"/>
              <w:tr2bl w:val="nil"/>
            </w:tcBorders>
            <w:vAlign w:val="center"/>
          </w:tcPr>
          <w:p w14:paraId="77EA2DE4">
            <w:pPr>
              <w:jc w:val="center"/>
              <w:rPr>
                <w:rFonts w:hint="default" w:ascii="Times New Roman" w:hAnsi="Times New Roman" w:eastAsia="宋体" w:cs="Times New Roman"/>
                <w:b w:val="0"/>
                <w:bCs w:val="0"/>
                <w:color w:val="auto"/>
                <w:kern w:val="2"/>
                <w:sz w:val="21"/>
                <w:szCs w:val="21"/>
                <w:lang w:val="en-US" w:eastAsia="zh-CN" w:bidi="ar-SA"/>
              </w:rPr>
            </w:pPr>
          </w:p>
        </w:tc>
        <w:tc>
          <w:tcPr>
            <w:tcW w:w="972" w:type="pct"/>
            <w:tcBorders>
              <w:tl2br w:val="nil"/>
              <w:tr2bl w:val="nil"/>
            </w:tcBorders>
            <w:vAlign w:val="center"/>
          </w:tcPr>
          <w:p w14:paraId="3E2CA9E8">
            <w:pPr>
              <w:jc w:val="center"/>
              <w:rPr>
                <w:rFonts w:hint="default" w:ascii="Times New Roman" w:hAnsi="Times New Roman" w:eastAsia="宋体" w:cs="Times New Roman"/>
                <w:b w:val="0"/>
                <w:bCs w:val="0"/>
                <w:color w:val="auto"/>
                <w:kern w:val="2"/>
                <w:sz w:val="21"/>
                <w:szCs w:val="21"/>
                <w:lang w:val="en-US" w:eastAsia="zh-CN" w:bidi="ar-SA"/>
              </w:rPr>
            </w:pPr>
          </w:p>
        </w:tc>
      </w:tr>
      <w:tr w14:paraId="29CE7D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69" w:hRule="atLeast"/>
          <w:jc w:val="center"/>
        </w:trPr>
        <w:tc>
          <w:tcPr>
            <w:tcW w:w="409" w:type="pct"/>
            <w:vMerge w:val="continue"/>
            <w:tcBorders>
              <w:tl2br w:val="nil"/>
              <w:tr2bl w:val="nil"/>
            </w:tcBorders>
            <w:vAlign w:val="center"/>
          </w:tcPr>
          <w:p w14:paraId="33BE4A86">
            <w:pPr>
              <w:jc w:val="center"/>
              <w:rPr>
                <w:rFonts w:hint="default" w:ascii="Times New Roman" w:hAnsi="Times New Roman" w:eastAsia="宋体" w:cs="Times New Roman"/>
                <w:b w:val="0"/>
                <w:bCs w:val="0"/>
                <w:color w:val="auto"/>
                <w:sz w:val="21"/>
                <w:szCs w:val="21"/>
              </w:rPr>
            </w:pPr>
          </w:p>
        </w:tc>
        <w:tc>
          <w:tcPr>
            <w:tcW w:w="1615" w:type="pct"/>
            <w:tcBorders>
              <w:tl2br w:val="nil"/>
              <w:tr2bl w:val="nil"/>
            </w:tcBorders>
            <w:vAlign w:val="center"/>
          </w:tcPr>
          <w:p w14:paraId="724102D4">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其他异物</w:t>
            </w:r>
          </w:p>
        </w:tc>
        <w:tc>
          <w:tcPr>
            <w:tcW w:w="1034" w:type="pct"/>
            <w:tcBorders>
              <w:tl2br w:val="nil"/>
              <w:tr2bl w:val="nil"/>
            </w:tcBorders>
            <w:vAlign w:val="center"/>
          </w:tcPr>
          <w:p w14:paraId="5E91BB1F">
            <w:pPr>
              <w:jc w:val="center"/>
              <w:rPr>
                <w:rFonts w:hint="default" w:ascii="Times New Roman" w:hAnsi="Times New Roman" w:eastAsia="宋体" w:cs="Times New Roman"/>
                <w:b w:val="0"/>
                <w:bCs w:val="0"/>
                <w:color w:val="auto"/>
                <w:sz w:val="21"/>
                <w:szCs w:val="21"/>
                <w:lang w:eastAsia="zh-CN"/>
              </w:rPr>
            </w:pPr>
          </w:p>
        </w:tc>
        <w:tc>
          <w:tcPr>
            <w:tcW w:w="968" w:type="pct"/>
            <w:tcBorders>
              <w:tl2br w:val="nil"/>
              <w:tr2bl w:val="nil"/>
            </w:tcBorders>
            <w:vAlign w:val="center"/>
          </w:tcPr>
          <w:p w14:paraId="561226AD">
            <w:pPr>
              <w:jc w:val="center"/>
              <w:rPr>
                <w:rFonts w:hint="default" w:ascii="Times New Roman" w:hAnsi="Times New Roman" w:eastAsia="宋体" w:cs="Times New Roman"/>
                <w:b w:val="0"/>
                <w:bCs w:val="0"/>
                <w:color w:val="auto"/>
                <w:kern w:val="2"/>
                <w:sz w:val="21"/>
                <w:szCs w:val="21"/>
                <w:lang w:val="en-US" w:eastAsia="zh-CN" w:bidi="ar-SA"/>
              </w:rPr>
            </w:pPr>
          </w:p>
        </w:tc>
        <w:tc>
          <w:tcPr>
            <w:tcW w:w="972" w:type="pct"/>
            <w:tcBorders>
              <w:tl2br w:val="nil"/>
              <w:tr2bl w:val="nil"/>
            </w:tcBorders>
            <w:vAlign w:val="center"/>
          </w:tcPr>
          <w:p w14:paraId="4FC561F3">
            <w:pPr>
              <w:jc w:val="center"/>
              <w:rPr>
                <w:rFonts w:hint="default" w:ascii="Times New Roman" w:hAnsi="Times New Roman" w:eastAsia="宋体" w:cs="Times New Roman"/>
                <w:b w:val="0"/>
                <w:bCs w:val="0"/>
                <w:color w:val="auto"/>
                <w:kern w:val="2"/>
                <w:sz w:val="21"/>
                <w:szCs w:val="21"/>
                <w:lang w:val="en-US" w:eastAsia="zh-CN" w:bidi="ar-SA"/>
              </w:rPr>
            </w:pPr>
          </w:p>
        </w:tc>
      </w:tr>
      <w:tr w14:paraId="06196D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69" w:hRule="atLeast"/>
          <w:jc w:val="center"/>
        </w:trPr>
        <w:tc>
          <w:tcPr>
            <w:tcW w:w="409" w:type="pct"/>
            <w:vMerge w:val="restart"/>
            <w:tcBorders>
              <w:tl2br w:val="nil"/>
              <w:tr2bl w:val="nil"/>
            </w:tcBorders>
            <w:vAlign w:val="center"/>
          </w:tcPr>
          <w:p w14:paraId="797CC6FE">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实验室测定</w:t>
            </w:r>
          </w:p>
        </w:tc>
        <w:tc>
          <w:tcPr>
            <w:tcW w:w="1615" w:type="pct"/>
            <w:tcBorders>
              <w:tl2br w:val="nil"/>
              <w:tr2bl w:val="nil"/>
            </w:tcBorders>
            <w:vAlign w:val="center"/>
          </w:tcPr>
          <w:p w14:paraId="7A050DAD">
            <w:pPr>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pH值</w:t>
            </w:r>
            <w:r>
              <w:rPr>
                <w:rFonts w:hint="default" w:ascii="Times New Roman" w:hAnsi="Times New Roman" w:eastAsia="宋体" w:cs="Times New Roman"/>
                <w:b w:val="0"/>
                <w:bCs w:val="0"/>
                <w:color w:val="auto"/>
                <w:sz w:val="21"/>
                <w:szCs w:val="21"/>
                <w:lang w:eastAsia="zh-CN"/>
              </w:rPr>
              <w:t>（无量纲）</w:t>
            </w:r>
          </w:p>
        </w:tc>
        <w:tc>
          <w:tcPr>
            <w:tcW w:w="1034" w:type="pct"/>
            <w:tcBorders>
              <w:tl2br w:val="nil"/>
              <w:tr2bl w:val="nil"/>
            </w:tcBorders>
            <w:vAlign w:val="center"/>
          </w:tcPr>
          <w:p w14:paraId="16EB90E4">
            <w:pPr>
              <w:jc w:val="center"/>
              <w:rPr>
                <w:rFonts w:hint="default" w:ascii="Times New Roman" w:hAnsi="Times New Roman" w:eastAsia="宋体" w:cs="Times New Roman"/>
                <w:b w:val="0"/>
                <w:bCs w:val="0"/>
                <w:color w:val="auto"/>
                <w:sz w:val="21"/>
                <w:szCs w:val="21"/>
                <w:lang w:val="en-US" w:eastAsia="zh-CN"/>
              </w:rPr>
            </w:pPr>
          </w:p>
        </w:tc>
        <w:tc>
          <w:tcPr>
            <w:tcW w:w="968" w:type="pct"/>
            <w:tcBorders>
              <w:tl2br w:val="nil"/>
              <w:tr2bl w:val="nil"/>
            </w:tcBorders>
            <w:vAlign w:val="center"/>
          </w:tcPr>
          <w:p w14:paraId="698894F3">
            <w:pPr>
              <w:jc w:val="center"/>
              <w:rPr>
                <w:rFonts w:hint="default" w:ascii="Times New Roman" w:hAnsi="Times New Roman" w:eastAsia="宋体" w:cs="Times New Roman"/>
                <w:b w:val="0"/>
                <w:bCs w:val="0"/>
                <w:color w:val="auto"/>
                <w:kern w:val="2"/>
                <w:sz w:val="21"/>
                <w:szCs w:val="21"/>
                <w:lang w:val="en-US" w:eastAsia="zh-CN" w:bidi="ar-SA"/>
              </w:rPr>
            </w:pPr>
          </w:p>
        </w:tc>
        <w:tc>
          <w:tcPr>
            <w:tcW w:w="972" w:type="pct"/>
            <w:tcBorders>
              <w:tl2br w:val="nil"/>
              <w:tr2bl w:val="nil"/>
            </w:tcBorders>
            <w:vAlign w:val="center"/>
          </w:tcPr>
          <w:p w14:paraId="0A5DD8F2">
            <w:pPr>
              <w:jc w:val="center"/>
              <w:rPr>
                <w:rFonts w:hint="default" w:ascii="Times New Roman" w:hAnsi="Times New Roman" w:eastAsia="宋体" w:cs="Times New Roman"/>
                <w:b w:val="0"/>
                <w:bCs w:val="0"/>
                <w:color w:val="auto"/>
                <w:kern w:val="2"/>
                <w:sz w:val="21"/>
                <w:szCs w:val="21"/>
                <w:lang w:val="en-US" w:eastAsia="zh-CN" w:bidi="ar-SA"/>
              </w:rPr>
            </w:pPr>
          </w:p>
        </w:tc>
      </w:tr>
      <w:tr w14:paraId="473228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69" w:hRule="atLeast"/>
          <w:jc w:val="center"/>
        </w:trPr>
        <w:tc>
          <w:tcPr>
            <w:tcW w:w="409" w:type="pct"/>
            <w:vMerge w:val="continue"/>
            <w:tcBorders>
              <w:tl2br w:val="nil"/>
              <w:tr2bl w:val="nil"/>
            </w:tcBorders>
            <w:vAlign w:val="center"/>
          </w:tcPr>
          <w:p w14:paraId="6CF5B372">
            <w:pPr>
              <w:jc w:val="center"/>
              <w:rPr>
                <w:rFonts w:hint="default" w:ascii="Times New Roman" w:hAnsi="Times New Roman" w:eastAsia="宋体" w:cs="Times New Roman"/>
                <w:b w:val="0"/>
                <w:bCs w:val="0"/>
                <w:color w:val="auto"/>
                <w:sz w:val="21"/>
                <w:szCs w:val="21"/>
              </w:rPr>
            </w:pPr>
          </w:p>
        </w:tc>
        <w:tc>
          <w:tcPr>
            <w:tcW w:w="1615" w:type="pct"/>
            <w:tcBorders>
              <w:tl2br w:val="nil"/>
              <w:tr2bl w:val="nil"/>
            </w:tcBorders>
            <w:vAlign w:val="center"/>
          </w:tcPr>
          <w:p w14:paraId="48788376">
            <w:pPr>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阳离子交换量</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color w:val="auto"/>
                <w:kern w:val="0"/>
                <w:sz w:val="21"/>
                <w:szCs w:val="21"/>
                <w:lang w:val="en-US" w:eastAsia="zh-CN" w:bidi="ar"/>
              </w:rPr>
              <w:t>cmol/kg</w:t>
            </w:r>
            <w:r>
              <w:rPr>
                <w:rFonts w:hint="default" w:ascii="Times New Roman" w:hAnsi="Times New Roman" w:eastAsia="宋体" w:cs="Times New Roman"/>
                <w:b w:val="0"/>
                <w:bCs w:val="0"/>
                <w:color w:val="auto"/>
                <w:sz w:val="21"/>
                <w:szCs w:val="21"/>
                <w:lang w:eastAsia="zh-CN"/>
              </w:rPr>
              <w:t>）</w:t>
            </w:r>
          </w:p>
        </w:tc>
        <w:tc>
          <w:tcPr>
            <w:tcW w:w="1034" w:type="pct"/>
            <w:tcBorders>
              <w:tl2br w:val="nil"/>
              <w:tr2bl w:val="nil"/>
            </w:tcBorders>
            <w:vAlign w:val="center"/>
          </w:tcPr>
          <w:p w14:paraId="59F58D0B">
            <w:pPr>
              <w:jc w:val="center"/>
              <w:rPr>
                <w:rFonts w:hint="default" w:ascii="Times New Roman" w:hAnsi="Times New Roman" w:eastAsia="宋体" w:cs="Times New Roman"/>
                <w:b w:val="0"/>
                <w:bCs w:val="0"/>
                <w:color w:val="auto"/>
                <w:sz w:val="21"/>
                <w:szCs w:val="21"/>
                <w:lang w:val="en-US" w:eastAsia="zh-CN"/>
              </w:rPr>
            </w:pPr>
          </w:p>
        </w:tc>
        <w:tc>
          <w:tcPr>
            <w:tcW w:w="968" w:type="pct"/>
            <w:tcBorders>
              <w:tl2br w:val="nil"/>
              <w:tr2bl w:val="nil"/>
            </w:tcBorders>
            <w:vAlign w:val="center"/>
          </w:tcPr>
          <w:p w14:paraId="4AEB4769">
            <w:pPr>
              <w:jc w:val="center"/>
              <w:rPr>
                <w:rFonts w:hint="default" w:ascii="Times New Roman" w:hAnsi="Times New Roman" w:eastAsia="宋体" w:cs="Times New Roman"/>
                <w:b w:val="0"/>
                <w:bCs w:val="0"/>
                <w:color w:val="auto"/>
                <w:kern w:val="2"/>
                <w:sz w:val="21"/>
                <w:szCs w:val="21"/>
                <w:lang w:val="en-US" w:eastAsia="zh-CN" w:bidi="ar-SA"/>
              </w:rPr>
            </w:pPr>
          </w:p>
        </w:tc>
        <w:tc>
          <w:tcPr>
            <w:tcW w:w="972" w:type="pct"/>
            <w:tcBorders>
              <w:tl2br w:val="nil"/>
              <w:tr2bl w:val="nil"/>
            </w:tcBorders>
            <w:vAlign w:val="center"/>
          </w:tcPr>
          <w:p w14:paraId="21AD3079">
            <w:pPr>
              <w:jc w:val="center"/>
              <w:rPr>
                <w:rFonts w:hint="default" w:ascii="Times New Roman" w:hAnsi="Times New Roman" w:eastAsia="宋体" w:cs="Times New Roman"/>
                <w:b w:val="0"/>
                <w:bCs w:val="0"/>
                <w:color w:val="auto"/>
                <w:kern w:val="2"/>
                <w:sz w:val="21"/>
                <w:szCs w:val="21"/>
                <w:lang w:val="en-US" w:eastAsia="zh-CN" w:bidi="ar-SA"/>
              </w:rPr>
            </w:pPr>
          </w:p>
        </w:tc>
      </w:tr>
      <w:tr w14:paraId="17C680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69" w:hRule="atLeast"/>
          <w:jc w:val="center"/>
        </w:trPr>
        <w:tc>
          <w:tcPr>
            <w:tcW w:w="409" w:type="pct"/>
            <w:vMerge w:val="continue"/>
            <w:tcBorders>
              <w:tl2br w:val="nil"/>
              <w:tr2bl w:val="nil"/>
            </w:tcBorders>
            <w:vAlign w:val="center"/>
          </w:tcPr>
          <w:p w14:paraId="3105A7F9">
            <w:pPr>
              <w:jc w:val="center"/>
              <w:rPr>
                <w:rFonts w:hint="default" w:ascii="Times New Roman" w:hAnsi="Times New Roman" w:eastAsia="宋体" w:cs="Times New Roman"/>
                <w:b w:val="0"/>
                <w:bCs w:val="0"/>
                <w:color w:val="auto"/>
                <w:sz w:val="21"/>
                <w:szCs w:val="21"/>
              </w:rPr>
            </w:pPr>
          </w:p>
        </w:tc>
        <w:tc>
          <w:tcPr>
            <w:tcW w:w="1615" w:type="pct"/>
            <w:tcBorders>
              <w:tl2br w:val="nil"/>
              <w:tr2bl w:val="nil"/>
            </w:tcBorders>
            <w:vAlign w:val="center"/>
          </w:tcPr>
          <w:p w14:paraId="302EB1B5">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氧化还原电位</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mV</w:t>
            </w:r>
            <w:r>
              <w:rPr>
                <w:rFonts w:hint="default" w:ascii="Times New Roman" w:hAnsi="Times New Roman" w:eastAsia="宋体" w:cs="Times New Roman"/>
                <w:b w:val="0"/>
                <w:bCs w:val="0"/>
                <w:color w:val="auto"/>
                <w:sz w:val="21"/>
                <w:szCs w:val="21"/>
                <w:lang w:eastAsia="zh-CN"/>
              </w:rPr>
              <w:t>）</w:t>
            </w:r>
          </w:p>
        </w:tc>
        <w:tc>
          <w:tcPr>
            <w:tcW w:w="1034" w:type="pct"/>
            <w:tcBorders>
              <w:tl2br w:val="nil"/>
              <w:tr2bl w:val="nil"/>
            </w:tcBorders>
            <w:vAlign w:val="center"/>
          </w:tcPr>
          <w:p w14:paraId="7956E356">
            <w:pPr>
              <w:jc w:val="center"/>
              <w:rPr>
                <w:rFonts w:hint="default" w:ascii="Times New Roman" w:hAnsi="Times New Roman" w:eastAsia="宋体" w:cs="Times New Roman"/>
                <w:b w:val="0"/>
                <w:bCs w:val="0"/>
                <w:color w:val="auto"/>
                <w:sz w:val="21"/>
                <w:szCs w:val="21"/>
                <w:lang w:val="en-US" w:eastAsia="zh-CN"/>
              </w:rPr>
            </w:pPr>
          </w:p>
        </w:tc>
        <w:tc>
          <w:tcPr>
            <w:tcW w:w="968" w:type="pct"/>
            <w:tcBorders>
              <w:tl2br w:val="nil"/>
              <w:tr2bl w:val="nil"/>
            </w:tcBorders>
            <w:vAlign w:val="center"/>
          </w:tcPr>
          <w:p w14:paraId="4C75D762">
            <w:pPr>
              <w:jc w:val="center"/>
              <w:rPr>
                <w:rFonts w:hint="default" w:ascii="Times New Roman" w:hAnsi="Times New Roman" w:eastAsia="宋体" w:cs="Times New Roman"/>
                <w:b w:val="0"/>
                <w:bCs w:val="0"/>
                <w:color w:val="auto"/>
                <w:kern w:val="2"/>
                <w:sz w:val="21"/>
                <w:szCs w:val="21"/>
                <w:lang w:val="en-US" w:eastAsia="zh-CN" w:bidi="ar-SA"/>
              </w:rPr>
            </w:pPr>
          </w:p>
        </w:tc>
        <w:tc>
          <w:tcPr>
            <w:tcW w:w="972" w:type="pct"/>
            <w:tcBorders>
              <w:tl2br w:val="nil"/>
              <w:tr2bl w:val="nil"/>
            </w:tcBorders>
            <w:vAlign w:val="center"/>
          </w:tcPr>
          <w:p w14:paraId="70505349">
            <w:pPr>
              <w:jc w:val="center"/>
              <w:rPr>
                <w:rFonts w:hint="default" w:ascii="Times New Roman" w:hAnsi="Times New Roman" w:eastAsia="宋体" w:cs="Times New Roman"/>
                <w:b w:val="0"/>
                <w:bCs w:val="0"/>
                <w:color w:val="auto"/>
                <w:kern w:val="2"/>
                <w:sz w:val="21"/>
                <w:szCs w:val="21"/>
                <w:lang w:val="en-US" w:eastAsia="zh-CN" w:bidi="ar-SA"/>
              </w:rPr>
            </w:pPr>
          </w:p>
        </w:tc>
      </w:tr>
      <w:tr w14:paraId="75B973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69" w:hRule="atLeast"/>
          <w:jc w:val="center"/>
        </w:trPr>
        <w:tc>
          <w:tcPr>
            <w:tcW w:w="409" w:type="pct"/>
            <w:vMerge w:val="continue"/>
            <w:tcBorders>
              <w:tl2br w:val="nil"/>
              <w:tr2bl w:val="nil"/>
            </w:tcBorders>
            <w:vAlign w:val="center"/>
          </w:tcPr>
          <w:p w14:paraId="242E910D">
            <w:pPr>
              <w:jc w:val="center"/>
              <w:rPr>
                <w:rFonts w:hint="default" w:ascii="Times New Roman" w:hAnsi="Times New Roman" w:eastAsia="宋体" w:cs="Times New Roman"/>
                <w:b w:val="0"/>
                <w:bCs w:val="0"/>
                <w:color w:val="auto"/>
                <w:sz w:val="21"/>
                <w:szCs w:val="21"/>
              </w:rPr>
            </w:pPr>
          </w:p>
        </w:tc>
        <w:tc>
          <w:tcPr>
            <w:tcW w:w="1615" w:type="pct"/>
            <w:tcBorders>
              <w:tl2br w:val="nil"/>
              <w:tr2bl w:val="nil"/>
            </w:tcBorders>
            <w:vAlign w:val="center"/>
          </w:tcPr>
          <w:p w14:paraId="0730A567">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饱和导水率（cm/s）</w:t>
            </w:r>
          </w:p>
        </w:tc>
        <w:tc>
          <w:tcPr>
            <w:tcW w:w="1034" w:type="pct"/>
            <w:tcBorders>
              <w:tl2br w:val="nil"/>
              <w:tr2bl w:val="nil"/>
            </w:tcBorders>
            <w:vAlign w:val="center"/>
          </w:tcPr>
          <w:p w14:paraId="07DD747C">
            <w:pPr>
              <w:jc w:val="center"/>
              <w:rPr>
                <w:rFonts w:hint="default" w:ascii="Times New Roman" w:hAnsi="Times New Roman" w:eastAsia="宋体" w:cs="Times New Roman"/>
                <w:b w:val="0"/>
                <w:bCs w:val="0"/>
                <w:color w:val="auto"/>
                <w:sz w:val="21"/>
                <w:szCs w:val="21"/>
                <w:vertAlign w:val="baseline"/>
                <w:lang w:val="en-US" w:eastAsia="zh-CN"/>
              </w:rPr>
            </w:pPr>
          </w:p>
        </w:tc>
        <w:tc>
          <w:tcPr>
            <w:tcW w:w="968" w:type="pct"/>
            <w:tcBorders>
              <w:tl2br w:val="nil"/>
              <w:tr2bl w:val="nil"/>
            </w:tcBorders>
            <w:vAlign w:val="center"/>
          </w:tcPr>
          <w:p w14:paraId="58FFA9CA">
            <w:pPr>
              <w:jc w:val="center"/>
              <w:rPr>
                <w:rFonts w:hint="default" w:ascii="Times New Roman" w:hAnsi="Times New Roman" w:eastAsia="宋体" w:cs="Times New Roman"/>
                <w:b w:val="0"/>
                <w:bCs w:val="0"/>
                <w:color w:val="auto"/>
                <w:kern w:val="2"/>
                <w:sz w:val="21"/>
                <w:szCs w:val="21"/>
                <w:vertAlign w:val="baseline"/>
                <w:lang w:val="en-US" w:eastAsia="zh-CN" w:bidi="ar-SA"/>
              </w:rPr>
            </w:pPr>
          </w:p>
        </w:tc>
        <w:tc>
          <w:tcPr>
            <w:tcW w:w="972" w:type="pct"/>
            <w:tcBorders>
              <w:tl2br w:val="nil"/>
              <w:tr2bl w:val="nil"/>
            </w:tcBorders>
            <w:vAlign w:val="center"/>
          </w:tcPr>
          <w:p w14:paraId="3EDBB829">
            <w:pPr>
              <w:jc w:val="center"/>
              <w:rPr>
                <w:rFonts w:hint="default" w:ascii="Times New Roman" w:hAnsi="Times New Roman" w:eastAsia="宋体" w:cs="Times New Roman"/>
                <w:b w:val="0"/>
                <w:bCs w:val="0"/>
                <w:color w:val="auto"/>
                <w:kern w:val="2"/>
                <w:sz w:val="21"/>
                <w:szCs w:val="21"/>
                <w:vertAlign w:val="baseline"/>
                <w:lang w:val="en-US" w:eastAsia="zh-CN" w:bidi="ar-SA"/>
              </w:rPr>
            </w:pPr>
          </w:p>
        </w:tc>
      </w:tr>
      <w:tr w14:paraId="45894A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69" w:hRule="atLeast"/>
          <w:jc w:val="center"/>
        </w:trPr>
        <w:tc>
          <w:tcPr>
            <w:tcW w:w="409" w:type="pct"/>
            <w:vMerge w:val="continue"/>
            <w:tcBorders>
              <w:tl2br w:val="nil"/>
              <w:tr2bl w:val="nil"/>
            </w:tcBorders>
            <w:vAlign w:val="center"/>
          </w:tcPr>
          <w:p w14:paraId="752C85DC">
            <w:pPr>
              <w:jc w:val="center"/>
              <w:rPr>
                <w:rFonts w:hint="default" w:ascii="Times New Roman" w:hAnsi="Times New Roman" w:eastAsia="宋体" w:cs="Times New Roman"/>
                <w:b w:val="0"/>
                <w:bCs w:val="0"/>
                <w:color w:val="auto"/>
                <w:sz w:val="21"/>
                <w:szCs w:val="21"/>
              </w:rPr>
            </w:pPr>
          </w:p>
        </w:tc>
        <w:tc>
          <w:tcPr>
            <w:tcW w:w="1615" w:type="pct"/>
            <w:tcBorders>
              <w:tl2br w:val="nil"/>
              <w:tr2bl w:val="nil"/>
            </w:tcBorders>
            <w:vAlign w:val="center"/>
          </w:tcPr>
          <w:p w14:paraId="7CE79710">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土壤容重（kg/m</w:t>
            </w:r>
            <w:r>
              <w:rPr>
                <w:rFonts w:hint="default" w:ascii="Times New Roman" w:hAnsi="Times New Roman" w:eastAsia="宋体" w:cs="Times New Roman"/>
                <w:b w:val="0"/>
                <w:bCs w:val="0"/>
                <w:color w:val="auto"/>
                <w:sz w:val="21"/>
                <w:szCs w:val="21"/>
                <w:vertAlign w:val="superscript"/>
              </w:rPr>
              <w:t>3</w:t>
            </w:r>
            <w:r>
              <w:rPr>
                <w:rFonts w:hint="default" w:ascii="Times New Roman" w:hAnsi="Times New Roman" w:eastAsia="宋体" w:cs="Times New Roman"/>
                <w:b w:val="0"/>
                <w:bCs w:val="0"/>
                <w:color w:val="auto"/>
                <w:sz w:val="21"/>
                <w:szCs w:val="21"/>
              </w:rPr>
              <w:t>）</w:t>
            </w:r>
          </w:p>
        </w:tc>
        <w:tc>
          <w:tcPr>
            <w:tcW w:w="1034" w:type="pct"/>
            <w:tcBorders>
              <w:tl2br w:val="nil"/>
              <w:tr2bl w:val="nil"/>
            </w:tcBorders>
            <w:vAlign w:val="center"/>
          </w:tcPr>
          <w:p w14:paraId="38D52A30">
            <w:pPr>
              <w:jc w:val="center"/>
              <w:rPr>
                <w:rFonts w:hint="default" w:ascii="Times New Roman" w:hAnsi="Times New Roman" w:eastAsia="宋体" w:cs="Times New Roman"/>
                <w:b w:val="0"/>
                <w:bCs w:val="0"/>
                <w:color w:val="auto"/>
                <w:sz w:val="21"/>
                <w:szCs w:val="21"/>
                <w:vertAlign w:val="baseline"/>
                <w:lang w:val="en-US" w:eastAsia="zh-CN"/>
              </w:rPr>
            </w:pPr>
          </w:p>
        </w:tc>
        <w:tc>
          <w:tcPr>
            <w:tcW w:w="968" w:type="pct"/>
            <w:tcBorders>
              <w:tl2br w:val="nil"/>
              <w:tr2bl w:val="nil"/>
            </w:tcBorders>
            <w:vAlign w:val="center"/>
          </w:tcPr>
          <w:p w14:paraId="457E29A1">
            <w:pPr>
              <w:jc w:val="center"/>
              <w:rPr>
                <w:rFonts w:hint="default" w:ascii="Times New Roman" w:hAnsi="Times New Roman" w:eastAsia="宋体" w:cs="Times New Roman"/>
                <w:b w:val="0"/>
                <w:bCs w:val="0"/>
                <w:color w:val="auto"/>
                <w:kern w:val="2"/>
                <w:sz w:val="21"/>
                <w:szCs w:val="21"/>
                <w:vertAlign w:val="baseline"/>
                <w:lang w:val="en-US" w:eastAsia="zh-CN" w:bidi="ar-SA"/>
              </w:rPr>
            </w:pPr>
          </w:p>
        </w:tc>
        <w:tc>
          <w:tcPr>
            <w:tcW w:w="972" w:type="pct"/>
            <w:tcBorders>
              <w:tl2br w:val="nil"/>
              <w:tr2bl w:val="nil"/>
            </w:tcBorders>
            <w:vAlign w:val="center"/>
          </w:tcPr>
          <w:p w14:paraId="393DB108">
            <w:pPr>
              <w:jc w:val="center"/>
              <w:rPr>
                <w:rFonts w:hint="default" w:ascii="Times New Roman" w:hAnsi="Times New Roman" w:eastAsia="宋体" w:cs="Times New Roman"/>
                <w:b w:val="0"/>
                <w:bCs w:val="0"/>
                <w:color w:val="auto"/>
                <w:kern w:val="2"/>
                <w:sz w:val="21"/>
                <w:szCs w:val="21"/>
                <w:vertAlign w:val="baseline"/>
                <w:lang w:val="en-US" w:eastAsia="zh-CN" w:bidi="ar-SA"/>
              </w:rPr>
            </w:pPr>
          </w:p>
        </w:tc>
      </w:tr>
      <w:tr w14:paraId="0ADABA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69" w:hRule="atLeast"/>
          <w:jc w:val="center"/>
        </w:trPr>
        <w:tc>
          <w:tcPr>
            <w:tcW w:w="409" w:type="pct"/>
            <w:vMerge w:val="continue"/>
            <w:tcBorders>
              <w:tl2br w:val="nil"/>
              <w:tr2bl w:val="nil"/>
            </w:tcBorders>
            <w:vAlign w:val="center"/>
          </w:tcPr>
          <w:p w14:paraId="61B222BD">
            <w:pPr>
              <w:jc w:val="center"/>
              <w:rPr>
                <w:rFonts w:hint="default" w:ascii="Times New Roman" w:hAnsi="Times New Roman" w:eastAsia="宋体" w:cs="Times New Roman"/>
                <w:b w:val="0"/>
                <w:bCs w:val="0"/>
                <w:color w:val="auto"/>
                <w:sz w:val="21"/>
                <w:szCs w:val="21"/>
              </w:rPr>
            </w:pPr>
          </w:p>
        </w:tc>
        <w:tc>
          <w:tcPr>
            <w:tcW w:w="1615" w:type="pct"/>
            <w:tcBorders>
              <w:tl2br w:val="nil"/>
              <w:tr2bl w:val="nil"/>
            </w:tcBorders>
            <w:vAlign w:val="center"/>
          </w:tcPr>
          <w:p w14:paraId="46959B37">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孔隙度</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eastAsia="zh-CN"/>
              </w:rPr>
              <w:t>）</w:t>
            </w:r>
          </w:p>
        </w:tc>
        <w:tc>
          <w:tcPr>
            <w:tcW w:w="1034" w:type="pct"/>
            <w:tcBorders>
              <w:tl2br w:val="nil"/>
              <w:tr2bl w:val="nil"/>
            </w:tcBorders>
            <w:vAlign w:val="center"/>
          </w:tcPr>
          <w:p w14:paraId="7B28BED7">
            <w:pPr>
              <w:jc w:val="center"/>
              <w:rPr>
                <w:rFonts w:hint="default" w:ascii="Times New Roman" w:hAnsi="Times New Roman" w:eastAsia="宋体" w:cs="Times New Roman"/>
                <w:b w:val="0"/>
                <w:bCs w:val="0"/>
                <w:color w:val="auto"/>
                <w:sz w:val="21"/>
                <w:szCs w:val="21"/>
                <w:lang w:val="en-US" w:eastAsia="zh-CN"/>
              </w:rPr>
            </w:pPr>
          </w:p>
        </w:tc>
        <w:tc>
          <w:tcPr>
            <w:tcW w:w="968" w:type="pct"/>
            <w:tcBorders>
              <w:tl2br w:val="nil"/>
              <w:tr2bl w:val="nil"/>
            </w:tcBorders>
            <w:vAlign w:val="center"/>
          </w:tcPr>
          <w:p w14:paraId="769F0B38">
            <w:pPr>
              <w:jc w:val="center"/>
              <w:rPr>
                <w:rFonts w:hint="default" w:ascii="Times New Roman" w:hAnsi="Times New Roman" w:eastAsia="宋体" w:cs="Times New Roman"/>
                <w:b w:val="0"/>
                <w:bCs w:val="0"/>
                <w:color w:val="auto"/>
                <w:kern w:val="2"/>
                <w:sz w:val="21"/>
                <w:szCs w:val="21"/>
                <w:lang w:val="en-US" w:eastAsia="zh-CN" w:bidi="ar-SA"/>
              </w:rPr>
            </w:pPr>
          </w:p>
        </w:tc>
        <w:tc>
          <w:tcPr>
            <w:tcW w:w="972" w:type="pct"/>
            <w:tcBorders>
              <w:tl2br w:val="nil"/>
              <w:tr2bl w:val="nil"/>
            </w:tcBorders>
            <w:vAlign w:val="center"/>
          </w:tcPr>
          <w:p w14:paraId="248EC746">
            <w:pPr>
              <w:jc w:val="center"/>
              <w:rPr>
                <w:rFonts w:hint="default" w:ascii="Times New Roman" w:hAnsi="Times New Roman" w:eastAsia="宋体" w:cs="Times New Roman"/>
                <w:b w:val="0"/>
                <w:bCs w:val="0"/>
                <w:color w:val="auto"/>
                <w:kern w:val="2"/>
                <w:sz w:val="21"/>
                <w:szCs w:val="21"/>
                <w:lang w:val="en-US" w:eastAsia="zh-CN" w:bidi="ar-SA"/>
              </w:rPr>
            </w:pPr>
          </w:p>
        </w:tc>
      </w:tr>
    </w:tbl>
    <w:p w14:paraId="64689084">
      <w:pPr>
        <w:pStyle w:val="54"/>
        <w:bidi w:val="0"/>
        <w:rPr>
          <w:rFonts w:hint="default"/>
          <w:color w:val="auto"/>
        </w:rPr>
      </w:pPr>
      <w:r>
        <w:rPr>
          <w:rFonts w:hint="default"/>
          <w:color w:val="auto"/>
        </w:rPr>
        <w:t>4.</w:t>
      </w:r>
      <w:r>
        <w:rPr>
          <w:rFonts w:hint="eastAsia"/>
          <w:color w:val="auto"/>
          <w:lang w:val="en-US" w:eastAsia="zh-CN"/>
        </w:rPr>
        <w:t>5</w:t>
      </w:r>
      <w:r>
        <w:rPr>
          <w:rFonts w:hint="default"/>
          <w:color w:val="auto"/>
        </w:rPr>
        <w:t>.</w:t>
      </w:r>
      <w:r>
        <w:rPr>
          <w:rFonts w:hint="eastAsia"/>
          <w:color w:val="auto"/>
          <w:lang w:val="en-US" w:eastAsia="zh-CN"/>
        </w:rPr>
        <w:t xml:space="preserve">3 </w:t>
      </w:r>
      <w:r>
        <w:rPr>
          <w:rFonts w:hint="default"/>
          <w:color w:val="auto"/>
        </w:rPr>
        <w:t>土壤环境现状监测</w:t>
      </w:r>
      <w:bookmarkEnd w:id="580"/>
      <w:bookmarkEnd w:id="581"/>
    </w:p>
    <w:p w14:paraId="276752EF">
      <w:pPr>
        <w:pStyle w:val="79"/>
        <w:bidi w:val="0"/>
        <w:rPr>
          <w:rFonts w:hint="eastAsia"/>
          <w:color w:val="auto"/>
          <w:lang w:val="en-US" w:eastAsia="zh-CN"/>
        </w:rPr>
      </w:pPr>
      <w:bookmarkStart w:id="582" w:name="OLE_LINK372"/>
      <w:bookmarkStart w:id="583" w:name="OLE_LINK339"/>
      <w:r>
        <w:rPr>
          <w:rFonts w:hint="default"/>
          <w:color w:val="auto"/>
        </w:rPr>
        <w:t>根据《环境影响评价技术导则 陆地石油天然气开发建设项目》（HJ 349-2023），土壤盐化、酸化和碱化地区，建设项目应按照土壤污染影响型和生态影响型，按相应等级分别开展评价工作。</w:t>
      </w:r>
      <w:r>
        <w:rPr>
          <w:rFonts w:hint="eastAsia"/>
          <w:color w:val="auto"/>
          <w:lang w:val="en-US" w:eastAsia="zh-CN"/>
        </w:rPr>
        <w:t>据前文“</w:t>
      </w:r>
      <w:r>
        <w:rPr>
          <w:rFonts w:hint="default"/>
          <w:color w:val="auto"/>
        </w:rPr>
        <w:t>2.</w:t>
      </w:r>
      <w:r>
        <w:rPr>
          <w:rFonts w:hint="eastAsia"/>
          <w:color w:val="auto"/>
          <w:lang w:val="en-US" w:eastAsia="zh-CN"/>
        </w:rPr>
        <w:t>5</w:t>
      </w:r>
      <w:r>
        <w:rPr>
          <w:rFonts w:hint="default"/>
          <w:color w:val="auto"/>
        </w:rPr>
        <w:t>.</w:t>
      </w:r>
      <w:r>
        <w:rPr>
          <w:rFonts w:hint="eastAsia"/>
          <w:color w:val="auto"/>
          <w:lang w:val="en-US" w:eastAsia="zh-CN"/>
        </w:rPr>
        <w:t>4</w:t>
      </w:r>
      <w:r>
        <w:rPr>
          <w:rFonts w:hint="default"/>
          <w:color w:val="auto"/>
        </w:rPr>
        <w:t>土壤环境</w:t>
      </w:r>
      <w:r>
        <w:rPr>
          <w:rFonts w:hint="eastAsia"/>
          <w:color w:val="auto"/>
          <w:lang w:val="en-US" w:eastAsia="zh-CN"/>
        </w:rPr>
        <w:t>”等级判定结果：</w:t>
      </w:r>
      <w:r>
        <w:rPr>
          <w:rFonts w:hint="default"/>
          <w:color w:val="auto"/>
        </w:rPr>
        <w:t>本工程</w:t>
      </w:r>
      <w:r>
        <w:rPr>
          <w:rFonts w:hint="eastAsia"/>
          <w:color w:val="auto"/>
          <w:lang w:val="en-US" w:eastAsia="zh-CN"/>
        </w:rPr>
        <w:t>土壤</w:t>
      </w:r>
      <w:r>
        <w:rPr>
          <w:rFonts w:hint="default"/>
          <w:color w:val="auto"/>
        </w:rPr>
        <w:t>生态影响型评价等级</w:t>
      </w:r>
      <w:r>
        <w:rPr>
          <w:rFonts w:hint="eastAsia"/>
          <w:color w:val="auto"/>
          <w:lang w:val="en-US" w:eastAsia="zh-CN"/>
        </w:rPr>
        <w:t>为二级</w:t>
      </w:r>
      <w:r>
        <w:rPr>
          <w:rFonts w:hint="eastAsia"/>
          <w:color w:val="auto"/>
          <w:lang w:eastAsia="zh-CN"/>
        </w:rPr>
        <w:t>、</w:t>
      </w:r>
      <w:r>
        <w:rPr>
          <w:rFonts w:hint="default"/>
          <w:color w:val="auto"/>
        </w:rPr>
        <w:t>污染影响型评价工作等级</w:t>
      </w:r>
      <w:r>
        <w:rPr>
          <w:rFonts w:hint="eastAsia"/>
          <w:color w:val="auto"/>
          <w:lang w:val="en-US" w:eastAsia="zh-CN"/>
        </w:rPr>
        <w:t>为一</w:t>
      </w:r>
      <w:r>
        <w:rPr>
          <w:rFonts w:hint="default"/>
          <w:color w:val="auto"/>
        </w:rPr>
        <w:t>级</w:t>
      </w:r>
      <w:r>
        <w:rPr>
          <w:rFonts w:hint="eastAsia"/>
          <w:color w:val="auto"/>
          <w:lang w:eastAsia="zh-CN"/>
        </w:rPr>
        <w:t>。</w:t>
      </w:r>
    </w:p>
    <w:p w14:paraId="20213ADB">
      <w:pPr>
        <w:pStyle w:val="79"/>
        <w:bidi w:val="0"/>
        <w:rPr>
          <w:rFonts w:hint="default"/>
          <w:color w:val="auto"/>
          <w:lang w:val="en-US" w:eastAsia="zh-CN"/>
        </w:rPr>
      </w:pPr>
      <w:r>
        <w:rPr>
          <w:rFonts w:hint="eastAsia"/>
          <w:color w:val="auto"/>
          <w:lang w:val="en-US" w:eastAsia="zh-CN"/>
        </w:rPr>
        <w:t>本项目土壤环境质量现状，其中部分监测数据引用《塔里木油田雄英气田雄英1区块寒武系下丘里塔格组试采项目》中相关土壤监测点监测数据，采样时间为2024年6月12日；其中部分土壤监测点为本次实际现场采样点。</w:t>
      </w:r>
    </w:p>
    <w:bookmarkEnd w:id="582"/>
    <w:bookmarkEnd w:id="583"/>
    <w:p w14:paraId="396028A3">
      <w:pPr>
        <w:pStyle w:val="79"/>
        <w:bidi w:val="0"/>
        <w:rPr>
          <w:color w:val="auto"/>
          <w:lang w:val="en-US" w:eastAsia="zh-CN"/>
        </w:rPr>
      </w:pPr>
      <w:r>
        <w:rPr>
          <w:rFonts w:hint="eastAsia"/>
          <w:color w:val="auto"/>
          <w:lang w:val="en-US" w:eastAsia="zh-CN"/>
        </w:rPr>
        <w:t>（1）监测点位</w:t>
      </w:r>
    </w:p>
    <w:p w14:paraId="0C97E55E">
      <w:pPr>
        <w:pStyle w:val="79"/>
        <w:bidi w:val="0"/>
        <w:rPr>
          <w:rFonts w:hint="default"/>
          <w:color w:val="auto"/>
        </w:rPr>
      </w:pPr>
      <w:bookmarkStart w:id="584" w:name="OLE_LINK337"/>
      <w:r>
        <w:rPr>
          <w:rFonts w:hint="eastAsia"/>
          <w:color w:val="auto"/>
          <w:lang w:val="en-US" w:eastAsia="zh-CN"/>
        </w:rPr>
        <w:t>本项目土壤环境监测点位见表4.5-2</w:t>
      </w:r>
      <w:r>
        <w:rPr>
          <w:rFonts w:hint="default"/>
          <w:color w:val="auto"/>
        </w:rPr>
        <w:t>。</w:t>
      </w:r>
      <w:bookmarkEnd w:id="584"/>
      <w:r>
        <w:rPr>
          <w:rFonts w:hint="eastAsia"/>
          <w:color w:val="auto"/>
          <w:lang w:val="en-US" w:eastAsia="zh-CN"/>
        </w:rPr>
        <w:t>监测点位示意图见图4.3-1。</w:t>
      </w:r>
    </w:p>
    <w:p w14:paraId="338E8E7A">
      <w:pPr>
        <w:pStyle w:val="61"/>
        <w:bidi w:val="0"/>
        <w:jc w:val="both"/>
        <w:rPr>
          <w:rFonts w:hint="eastAsia"/>
          <w:color w:val="auto"/>
          <w:lang w:val="en-US" w:eastAsia="zh-CN"/>
        </w:rPr>
      </w:pPr>
    </w:p>
    <w:p w14:paraId="5156AD2E">
      <w:pPr>
        <w:pStyle w:val="61"/>
        <w:bidi w:val="0"/>
        <w:jc w:val="both"/>
        <w:rPr>
          <w:rFonts w:hint="eastAsia"/>
          <w:color w:val="auto"/>
          <w:lang w:val="en-US" w:eastAsia="zh-CN"/>
        </w:rPr>
      </w:pPr>
      <w:r>
        <w:rPr>
          <w:rFonts w:hint="eastAsia"/>
          <w:color w:val="auto"/>
          <w:lang w:val="en-US" w:eastAsia="zh-CN"/>
        </w:rPr>
        <w:t>表4.5-2   土壤环境监测点位情况</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462"/>
        <w:gridCol w:w="599"/>
        <w:gridCol w:w="522"/>
        <w:gridCol w:w="2211"/>
        <w:gridCol w:w="1979"/>
        <w:gridCol w:w="2901"/>
      </w:tblGrid>
      <w:tr w14:paraId="2429D4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611" w:type="pct"/>
            <w:gridSpan w:val="2"/>
            <w:tcBorders>
              <w:tl2br w:val="nil"/>
              <w:tr2bl w:val="nil"/>
            </w:tcBorders>
            <w:noWrap w:val="0"/>
            <w:vAlign w:val="center"/>
          </w:tcPr>
          <w:p w14:paraId="63335EEA">
            <w:pPr>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监测项目</w:t>
            </w:r>
          </w:p>
        </w:tc>
        <w:tc>
          <w:tcPr>
            <w:tcW w:w="301" w:type="pct"/>
            <w:tcBorders>
              <w:tl2br w:val="nil"/>
              <w:tr2bl w:val="nil"/>
            </w:tcBorders>
            <w:noWrap w:val="0"/>
            <w:vAlign w:val="center"/>
          </w:tcPr>
          <w:p w14:paraId="21C0060C">
            <w:pPr>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监测点号</w:t>
            </w:r>
          </w:p>
        </w:tc>
        <w:tc>
          <w:tcPr>
            <w:tcW w:w="1274" w:type="pct"/>
            <w:tcBorders>
              <w:tl2br w:val="nil"/>
              <w:tr2bl w:val="nil"/>
            </w:tcBorders>
            <w:noWrap w:val="0"/>
            <w:vAlign w:val="center"/>
          </w:tcPr>
          <w:p w14:paraId="0223F940">
            <w:pPr>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监测点位</w:t>
            </w:r>
          </w:p>
        </w:tc>
        <w:tc>
          <w:tcPr>
            <w:tcW w:w="1140" w:type="pct"/>
            <w:tcBorders>
              <w:tl2br w:val="nil"/>
              <w:tr2bl w:val="nil"/>
            </w:tcBorders>
            <w:noWrap w:val="0"/>
            <w:vAlign w:val="center"/>
          </w:tcPr>
          <w:p w14:paraId="5D430B14">
            <w:pPr>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监测频率/要求</w:t>
            </w:r>
          </w:p>
        </w:tc>
        <w:tc>
          <w:tcPr>
            <w:tcW w:w="1671" w:type="pct"/>
            <w:tcBorders>
              <w:tl2br w:val="nil"/>
              <w:tr2bl w:val="nil"/>
            </w:tcBorders>
            <w:noWrap w:val="0"/>
            <w:vAlign w:val="center"/>
          </w:tcPr>
          <w:p w14:paraId="6536371B">
            <w:pPr>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监测因子</w:t>
            </w:r>
          </w:p>
        </w:tc>
      </w:tr>
      <w:tr w14:paraId="276414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73" w:hRule="atLeast"/>
          <w:jc w:val="center"/>
        </w:trPr>
        <w:tc>
          <w:tcPr>
            <w:tcW w:w="266" w:type="pct"/>
            <w:vMerge w:val="restart"/>
            <w:tcBorders>
              <w:tl2br w:val="nil"/>
              <w:tr2bl w:val="nil"/>
            </w:tcBorders>
            <w:noWrap w:val="0"/>
            <w:vAlign w:val="center"/>
          </w:tcPr>
          <w:p w14:paraId="351E187D">
            <w:pPr>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w:t>
            </w:r>
          </w:p>
        </w:tc>
        <w:tc>
          <w:tcPr>
            <w:tcW w:w="345" w:type="pct"/>
            <w:vMerge w:val="restart"/>
            <w:tcBorders>
              <w:tl2br w:val="nil"/>
              <w:tr2bl w:val="nil"/>
            </w:tcBorders>
            <w:noWrap w:val="0"/>
            <w:vAlign w:val="center"/>
          </w:tcPr>
          <w:p w14:paraId="25028801">
            <w:pPr>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占地范围内</w:t>
            </w:r>
          </w:p>
        </w:tc>
        <w:tc>
          <w:tcPr>
            <w:tcW w:w="301" w:type="pct"/>
            <w:vMerge w:val="restart"/>
            <w:tcBorders>
              <w:tl2br w:val="nil"/>
              <w:tr2bl w:val="nil"/>
            </w:tcBorders>
            <w:noWrap w:val="0"/>
            <w:vAlign w:val="center"/>
          </w:tcPr>
          <w:p w14:paraId="667C0C64">
            <w:pPr>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274" w:type="pct"/>
            <w:vMerge w:val="restart"/>
            <w:tcBorders>
              <w:tl2br w:val="nil"/>
              <w:tr2bl w:val="nil"/>
            </w:tcBorders>
            <w:noWrap w:val="0"/>
            <w:vAlign w:val="center"/>
          </w:tcPr>
          <w:p w14:paraId="52DAEE24">
            <w:pPr>
              <w:bidi w:val="0"/>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雄英102井井场</w:t>
            </w:r>
            <w:r>
              <w:rPr>
                <w:rFonts w:hint="default" w:ascii="Times New Roman" w:hAnsi="Times New Roman" w:eastAsia="宋体" w:cs="Times New Roman"/>
                <w:color w:val="auto"/>
                <w:sz w:val="21"/>
                <w:szCs w:val="21"/>
                <w:highlight w:val="none"/>
              </w:rPr>
              <w:t>内</w:t>
            </w:r>
          </w:p>
        </w:tc>
        <w:tc>
          <w:tcPr>
            <w:tcW w:w="1140" w:type="pct"/>
            <w:tcBorders>
              <w:tl2br w:val="nil"/>
              <w:tr2bl w:val="nil"/>
            </w:tcBorders>
            <w:noWrap w:val="0"/>
            <w:vAlign w:val="center"/>
          </w:tcPr>
          <w:p w14:paraId="070E29BC">
            <w:pPr>
              <w:bidi w:val="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表层样</w:t>
            </w:r>
            <w:r>
              <w:rPr>
                <w:rFonts w:hint="default" w:ascii="Times New Roman" w:hAnsi="Times New Roman" w:eastAsia="宋体" w:cs="Times New Roman"/>
                <w:color w:val="auto"/>
                <w:sz w:val="21"/>
                <w:szCs w:val="21"/>
                <w:highlight w:val="none"/>
              </w:rPr>
              <w:t>，监测1次</w:t>
            </w:r>
          </w:p>
        </w:tc>
        <w:tc>
          <w:tcPr>
            <w:tcW w:w="1671" w:type="pct"/>
            <w:tcBorders>
              <w:tl2br w:val="nil"/>
              <w:tr2bl w:val="nil"/>
            </w:tcBorders>
            <w:noWrap w:val="0"/>
            <w:vAlign w:val="center"/>
          </w:tcPr>
          <w:p w14:paraId="51075177">
            <w:pPr>
              <w:bidi w:val="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①基本因子：《土壤环境质量建设用地土壤污染风险管控标准（试行）》（GB36600-2018）第二类用地的4</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项基本因子</w:t>
            </w:r>
            <w:r>
              <w:rPr>
                <w:rFonts w:hint="default" w:ascii="Times New Roman" w:hAnsi="Times New Roman" w:eastAsia="宋体" w:cs="Times New Roman"/>
                <w:color w:val="auto"/>
                <w:sz w:val="21"/>
                <w:szCs w:val="21"/>
                <w:highlight w:val="none"/>
                <w:lang w:val="en-US" w:eastAsia="zh-CN"/>
              </w:rPr>
              <w:t>+</w:t>
            </w:r>
          </w:p>
          <w:p w14:paraId="7FD7A093">
            <w:pPr>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pH、全盐量</w:t>
            </w:r>
          </w:p>
          <w:p w14:paraId="292173DE">
            <w:pPr>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②特征因子：石油烃（C</w:t>
            </w:r>
            <w:r>
              <w:rPr>
                <w:rFonts w:hint="default" w:ascii="Times New Roman" w:hAnsi="Times New Roman" w:eastAsia="宋体" w:cs="Times New Roman"/>
                <w:color w:val="auto"/>
                <w:sz w:val="21"/>
                <w:szCs w:val="21"/>
                <w:highlight w:val="none"/>
                <w:vertAlign w:val="subscript"/>
              </w:rPr>
              <w:t>10</w:t>
            </w:r>
            <w:r>
              <w:rPr>
                <w:rFonts w:hint="default" w:ascii="Times New Roman" w:hAnsi="Times New Roman" w:eastAsia="宋体" w:cs="Times New Roman"/>
                <w:color w:val="auto"/>
                <w:sz w:val="21"/>
                <w:szCs w:val="21"/>
                <w:highlight w:val="none"/>
              </w:rPr>
              <w:t>~C</w:t>
            </w:r>
            <w:r>
              <w:rPr>
                <w:rFonts w:hint="default" w:ascii="Times New Roman" w:hAnsi="Times New Roman" w:eastAsia="宋体" w:cs="Times New Roman"/>
                <w:color w:val="auto"/>
                <w:sz w:val="21"/>
                <w:szCs w:val="21"/>
                <w:highlight w:val="none"/>
                <w:vertAlign w:val="subscript"/>
              </w:rPr>
              <w:t>40</w:t>
            </w:r>
            <w:r>
              <w:rPr>
                <w:rFonts w:hint="default" w:ascii="Times New Roman" w:hAnsi="Times New Roman" w:eastAsia="宋体" w:cs="Times New Roman"/>
                <w:color w:val="auto"/>
                <w:sz w:val="21"/>
                <w:szCs w:val="21"/>
                <w:highlight w:val="none"/>
              </w:rPr>
              <w:t>）</w:t>
            </w:r>
          </w:p>
        </w:tc>
      </w:tr>
      <w:tr w14:paraId="2A45DC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98" w:hRule="atLeast"/>
          <w:jc w:val="center"/>
        </w:trPr>
        <w:tc>
          <w:tcPr>
            <w:tcW w:w="266" w:type="pct"/>
            <w:vMerge w:val="continue"/>
            <w:tcBorders>
              <w:tl2br w:val="nil"/>
              <w:tr2bl w:val="nil"/>
            </w:tcBorders>
            <w:noWrap w:val="0"/>
            <w:vAlign w:val="center"/>
          </w:tcPr>
          <w:p w14:paraId="58232F2E">
            <w:pPr>
              <w:bidi w:val="0"/>
              <w:rPr>
                <w:color w:val="auto"/>
                <w:highlight w:val="none"/>
              </w:rPr>
            </w:pPr>
          </w:p>
        </w:tc>
        <w:tc>
          <w:tcPr>
            <w:tcW w:w="345" w:type="pct"/>
            <w:vMerge w:val="continue"/>
            <w:tcBorders>
              <w:tl2br w:val="nil"/>
              <w:tr2bl w:val="nil"/>
            </w:tcBorders>
            <w:noWrap w:val="0"/>
            <w:vAlign w:val="center"/>
          </w:tcPr>
          <w:p w14:paraId="299E37A9">
            <w:pPr>
              <w:bidi w:val="0"/>
              <w:rPr>
                <w:color w:val="auto"/>
                <w:highlight w:val="none"/>
              </w:rPr>
            </w:pPr>
          </w:p>
        </w:tc>
        <w:tc>
          <w:tcPr>
            <w:tcW w:w="301" w:type="pct"/>
            <w:vMerge w:val="continue"/>
            <w:tcBorders>
              <w:tl2br w:val="nil"/>
              <w:tr2bl w:val="nil"/>
            </w:tcBorders>
            <w:noWrap w:val="0"/>
            <w:vAlign w:val="center"/>
          </w:tcPr>
          <w:p w14:paraId="656F80EF">
            <w:pPr>
              <w:bidi w:val="0"/>
              <w:rPr>
                <w:color w:val="auto"/>
                <w:highlight w:val="none"/>
              </w:rPr>
            </w:pPr>
          </w:p>
        </w:tc>
        <w:tc>
          <w:tcPr>
            <w:tcW w:w="1274" w:type="pct"/>
            <w:vMerge w:val="continue"/>
            <w:tcBorders>
              <w:tl2br w:val="nil"/>
              <w:tr2bl w:val="nil"/>
            </w:tcBorders>
            <w:noWrap w:val="0"/>
            <w:vAlign w:val="center"/>
          </w:tcPr>
          <w:p w14:paraId="701442F7">
            <w:pPr>
              <w:bidi w:val="0"/>
              <w:rPr>
                <w:color w:val="auto"/>
                <w:highlight w:val="none"/>
              </w:rPr>
            </w:pPr>
          </w:p>
        </w:tc>
        <w:tc>
          <w:tcPr>
            <w:tcW w:w="1140" w:type="pct"/>
            <w:tcBorders>
              <w:tl2br w:val="nil"/>
              <w:tr2bl w:val="nil"/>
            </w:tcBorders>
            <w:noWrap w:val="0"/>
            <w:vAlign w:val="center"/>
          </w:tcPr>
          <w:p w14:paraId="11E75130">
            <w:pPr>
              <w:bidi w:val="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柱状样</w:t>
            </w:r>
            <w:r>
              <w:rPr>
                <w:rFonts w:hint="default" w:ascii="Times New Roman" w:hAnsi="Times New Roman" w:eastAsia="宋体" w:cs="Times New Roman"/>
                <w:color w:val="auto"/>
                <w:sz w:val="21"/>
                <w:szCs w:val="21"/>
                <w:highlight w:val="none"/>
              </w:rPr>
              <w:t>，监测1次</w:t>
            </w:r>
          </w:p>
        </w:tc>
        <w:tc>
          <w:tcPr>
            <w:tcW w:w="1671" w:type="pct"/>
            <w:tcBorders>
              <w:tl2br w:val="nil"/>
              <w:tr2bl w:val="nil"/>
            </w:tcBorders>
            <w:noWrap w:val="0"/>
            <w:vAlign w:val="center"/>
          </w:tcPr>
          <w:p w14:paraId="44995DFA">
            <w:pPr>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石油烃（C</w:t>
            </w:r>
            <w:r>
              <w:rPr>
                <w:rFonts w:hint="default" w:ascii="Times New Roman" w:hAnsi="Times New Roman" w:eastAsia="宋体" w:cs="Times New Roman"/>
                <w:color w:val="auto"/>
                <w:sz w:val="21"/>
                <w:szCs w:val="21"/>
                <w:highlight w:val="none"/>
                <w:vertAlign w:val="subscript"/>
              </w:rPr>
              <w:t>10</w:t>
            </w:r>
            <w:r>
              <w:rPr>
                <w:rFonts w:hint="default" w:ascii="Times New Roman" w:hAnsi="Times New Roman" w:eastAsia="宋体" w:cs="Times New Roman"/>
                <w:color w:val="auto"/>
                <w:sz w:val="21"/>
                <w:szCs w:val="21"/>
                <w:highlight w:val="none"/>
              </w:rPr>
              <w:t>~C</w:t>
            </w:r>
            <w:r>
              <w:rPr>
                <w:rFonts w:hint="default" w:ascii="Times New Roman" w:hAnsi="Times New Roman" w:eastAsia="宋体" w:cs="Times New Roman"/>
                <w:color w:val="auto"/>
                <w:sz w:val="21"/>
                <w:szCs w:val="21"/>
                <w:highlight w:val="none"/>
                <w:vertAlign w:val="subscript"/>
              </w:rPr>
              <w:t>40</w:t>
            </w:r>
            <w:r>
              <w:rPr>
                <w:rFonts w:hint="default" w:ascii="Times New Roman" w:hAnsi="Times New Roman" w:eastAsia="宋体" w:cs="Times New Roman"/>
                <w:color w:val="auto"/>
                <w:sz w:val="21"/>
                <w:szCs w:val="21"/>
                <w:highlight w:val="none"/>
              </w:rPr>
              <w:t>）</w:t>
            </w:r>
          </w:p>
        </w:tc>
      </w:tr>
      <w:tr w14:paraId="55410E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21" w:hRule="atLeast"/>
          <w:jc w:val="center"/>
        </w:trPr>
        <w:tc>
          <w:tcPr>
            <w:tcW w:w="266" w:type="pct"/>
            <w:vMerge w:val="continue"/>
            <w:tcBorders>
              <w:tl2br w:val="nil"/>
              <w:tr2bl w:val="nil"/>
            </w:tcBorders>
            <w:noWrap w:val="0"/>
            <w:vAlign w:val="center"/>
          </w:tcPr>
          <w:p w14:paraId="69BEE7AC">
            <w:pPr>
              <w:bidi w:val="0"/>
              <w:rPr>
                <w:rFonts w:hint="default" w:ascii="Times New Roman" w:hAnsi="Times New Roman" w:eastAsia="宋体" w:cs="Times New Roman"/>
                <w:color w:val="auto"/>
                <w:sz w:val="21"/>
                <w:szCs w:val="21"/>
                <w:highlight w:val="none"/>
              </w:rPr>
            </w:pPr>
          </w:p>
        </w:tc>
        <w:tc>
          <w:tcPr>
            <w:tcW w:w="345" w:type="pct"/>
            <w:vMerge w:val="continue"/>
            <w:tcBorders>
              <w:tl2br w:val="nil"/>
              <w:tr2bl w:val="nil"/>
            </w:tcBorders>
            <w:noWrap w:val="0"/>
            <w:vAlign w:val="center"/>
          </w:tcPr>
          <w:p w14:paraId="07A7C629">
            <w:pPr>
              <w:bidi w:val="0"/>
              <w:rPr>
                <w:rFonts w:hint="default" w:ascii="Times New Roman" w:hAnsi="Times New Roman" w:eastAsia="宋体" w:cs="Times New Roman"/>
                <w:color w:val="auto"/>
                <w:sz w:val="21"/>
                <w:szCs w:val="21"/>
                <w:highlight w:val="none"/>
              </w:rPr>
            </w:pPr>
          </w:p>
        </w:tc>
        <w:tc>
          <w:tcPr>
            <w:tcW w:w="301" w:type="pct"/>
            <w:vMerge w:val="restart"/>
            <w:tcBorders>
              <w:tl2br w:val="nil"/>
              <w:tr2bl w:val="nil"/>
            </w:tcBorders>
            <w:noWrap w:val="0"/>
            <w:vAlign w:val="center"/>
          </w:tcPr>
          <w:p w14:paraId="7E19451E">
            <w:pPr>
              <w:bidi w:val="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2</w:t>
            </w:r>
          </w:p>
        </w:tc>
        <w:tc>
          <w:tcPr>
            <w:tcW w:w="1274" w:type="pct"/>
            <w:vMerge w:val="restart"/>
            <w:tcBorders>
              <w:tl2br w:val="nil"/>
              <w:tr2bl w:val="nil"/>
            </w:tcBorders>
            <w:noWrap w:val="0"/>
            <w:vAlign w:val="center"/>
          </w:tcPr>
          <w:p w14:paraId="5E8FFF24">
            <w:pPr>
              <w:bidi w:val="0"/>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脱硫站站</w:t>
            </w:r>
            <w:r>
              <w:rPr>
                <w:rFonts w:hint="default" w:ascii="Times New Roman" w:hAnsi="Times New Roman" w:eastAsia="宋体" w:cs="Times New Roman"/>
                <w:color w:val="auto"/>
                <w:sz w:val="21"/>
                <w:szCs w:val="21"/>
                <w:highlight w:val="none"/>
              </w:rPr>
              <w:t>内</w:t>
            </w:r>
          </w:p>
        </w:tc>
        <w:tc>
          <w:tcPr>
            <w:tcW w:w="1140" w:type="pct"/>
            <w:tcBorders>
              <w:tl2br w:val="nil"/>
              <w:tr2bl w:val="nil"/>
            </w:tcBorders>
            <w:noWrap w:val="0"/>
            <w:vAlign w:val="center"/>
          </w:tcPr>
          <w:p w14:paraId="11A99DC8">
            <w:pPr>
              <w:bidi w:val="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表层样</w:t>
            </w:r>
            <w:r>
              <w:rPr>
                <w:rFonts w:hint="default" w:ascii="Times New Roman" w:hAnsi="Times New Roman" w:eastAsia="宋体" w:cs="Times New Roman"/>
                <w:color w:val="auto"/>
                <w:sz w:val="21"/>
                <w:szCs w:val="21"/>
                <w:highlight w:val="none"/>
              </w:rPr>
              <w:t>，监测1次</w:t>
            </w:r>
          </w:p>
        </w:tc>
        <w:tc>
          <w:tcPr>
            <w:tcW w:w="1671" w:type="pct"/>
            <w:tcBorders>
              <w:tl2br w:val="nil"/>
              <w:tr2bl w:val="nil"/>
            </w:tcBorders>
            <w:noWrap w:val="0"/>
            <w:vAlign w:val="center"/>
          </w:tcPr>
          <w:p w14:paraId="77AE4D86">
            <w:pPr>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pH、全盐量、石油烃（C</w:t>
            </w:r>
            <w:r>
              <w:rPr>
                <w:rFonts w:hint="default" w:ascii="Times New Roman" w:hAnsi="Times New Roman" w:eastAsia="宋体" w:cs="Times New Roman"/>
                <w:color w:val="auto"/>
                <w:sz w:val="21"/>
                <w:szCs w:val="21"/>
                <w:highlight w:val="none"/>
                <w:vertAlign w:val="subscript"/>
              </w:rPr>
              <w:t>10</w:t>
            </w:r>
            <w:r>
              <w:rPr>
                <w:rFonts w:hint="default" w:ascii="Times New Roman" w:hAnsi="Times New Roman" w:eastAsia="宋体" w:cs="Times New Roman"/>
                <w:color w:val="auto"/>
                <w:sz w:val="21"/>
                <w:szCs w:val="21"/>
                <w:highlight w:val="none"/>
              </w:rPr>
              <w:t>~C</w:t>
            </w:r>
            <w:r>
              <w:rPr>
                <w:rFonts w:hint="default" w:ascii="Times New Roman" w:hAnsi="Times New Roman" w:eastAsia="宋体" w:cs="Times New Roman"/>
                <w:color w:val="auto"/>
                <w:sz w:val="21"/>
                <w:szCs w:val="21"/>
                <w:highlight w:val="none"/>
                <w:vertAlign w:val="subscript"/>
              </w:rPr>
              <w:t>40</w:t>
            </w:r>
            <w:r>
              <w:rPr>
                <w:rFonts w:hint="default" w:ascii="Times New Roman" w:hAnsi="Times New Roman" w:eastAsia="宋体" w:cs="Times New Roman"/>
                <w:color w:val="auto"/>
                <w:sz w:val="21"/>
                <w:szCs w:val="21"/>
                <w:highlight w:val="none"/>
              </w:rPr>
              <w:t>）</w:t>
            </w:r>
          </w:p>
        </w:tc>
      </w:tr>
      <w:tr w14:paraId="2A74EC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6" w:hRule="atLeast"/>
          <w:jc w:val="center"/>
        </w:trPr>
        <w:tc>
          <w:tcPr>
            <w:tcW w:w="266" w:type="pct"/>
            <w:vMerge w:val="continue"/>
            <w:tcBorders>
              <w:tl2br w:val="nil"/>
              <w:tr2bl w:val="nil"/>
            </w:tcBorders>
            <w:noWrap w:val="0"/>
            <w:vAlign w:val="center"/>
          </w:tcPr>
          <w:p w14:paraId="36F453C6">
            <w:pPr>
              <w:bidi w:val="0"/>
              <w:rPr>
                <w:color w:val="auto"/>
                <w:highlight w:val="none"/>
              </w:rPr>
            </w:pPr>
          </w:p>
        </w:tc>
        <w:tc>
          <w:tcPr>
            <w:tcW w:w="345" w:type="pct"/>
            <w:vMerge w:val="continue"/>
            <w:tcBorders>
              <w:tl2br w:val="nil"/>
              <w:tr2bl w:val="nil"/>
            </w:tcBorders>
            <w:noWrap w:val="0"/>
            <w:vAlign w:val="center"/>
          </w:tcPr>
          <w:p w14:paraId="4195E89A">
            <w:pPr>
              <w:bidi w:val="0"/>
              <w:rPr>
                <w:color w:val="auto"/>
                <w:highlight w:val="none"/>
              </w:rPr>
            </w:pPr>
          </w:p>
        </w:tc>
        <w:tc>
          <w:tcPr>
            <w:tcW w:w="301" w:type="pct"/>
            <w:vMerge w:val="continue"/>
            <w:tcBorders>
              <w:tl2br w:val="nil"/>
              <w:tr2bl w:val="nil"/>
            </w:tcBorders>
            <w:noWrap w:val="0"/>
            <w:vAlign w:val="center"/>
          </w:tcPr>
          <w:p w14:paraId="0CE65839">
            <w:pPr>
              <w:bidi w:val="0"/>
              <w:rPr>
                <w:color w:val="auto"/>
                <w:highlight w:val="none"/>
              </w:rPr>
            </w:pPr>
          </w:p>
        </w:tc>
        <w:tc>
          <w:tcPr>
            <w:tcW w:w="1274" w:type="pct"/>
            <w:vMerge w:val="continue"/>
            <w:tcBorders>
              <w:tl2br w:val="nil"/>
              <w:tr2bl w:val="nil"/>
            </w:tcBorders>
            <w:noWrap w:val="0"/>
            <w:vAlign w:val="center"/>
          </w:tcPr>
          <w:p w14:paraId="63038534">
            <w:pPr>
              <w:bidi w:val="0"/>
              <w:rPr>
                <w:color w:val="auto"/>
                <w:highlight w:val="none"/>
              </w:rPr>
            </w:pPr>
          </w:p>
        </w:tc>
        <w:tc>
          <w:tcPr>
            <w:tcW w:w="1140" w:type="pct"/>
            <w:tcBorders>
              <w:tl2br w:val="nil"/>
              <w:tr2bl w:val="nil"/>
            </w:tcBorders>
            <w:noWrap w:val="0"/>
            <w:vAlign w:val="center"/>
          </w:tcPr>
          <w:p w14:paraId="7E427492">
            <w:pPr>
              <w:bidi w:val="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柱状样</w:t>
            </w:r>
            <w:r>
              <w:rPr>
                <w:rFonts w:hint="default" w:ascii="Times New Roman" w:hAnsi="Times New Roman" w:eastAsia="宋体" w:cs="Times New Roman"/>
                <w:color w:val="auto"/>
                <w:sz w:val="21"/>
                <w:szCs w:val="21"/>
                <w:highlight w:val="none"/>
              </w:rPr>
              <w:t>，监测1次</w:t>
            </w:r>
          </w:p>
        </w:tc>
        <w:tc>
          <w:tcPr>
            <w:tcW w:w="1671" w:type="pct"/>
            <w:tcBorders>
              <w:tl2br w:val="nil"/>
              <w:tr2bl w:val="nil"/>
            </w:tcBorders>
            <w:noWrap w:val="0"/>
            <w:vAlign w:val="center"/>
          </w:tcPr>
          <w:p w14:paraId="63957832">
            <w:pPr>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石油烃（C</w:t>
            </w:r>
            <w:r>
              <w:rPr>
                <w:rFonts w:hint="default" w:ascii="Times New Roman" w:hAnsi="Times New Roman" w:eastAsia="宋体" w:cs="Times New Roman"/>
                <w:color w:val="auto"/>
                <w:sz w:val="21"/>
                <w:szCs w:val="21"/>
                <w:highlight w:val="none"/>
                <w:vertAlign w:val="subscript"/>
              </w:rPr>
              <w:t>10</w:t>
            </w:r>
            <w:r>
              <w:rPr>
                <w:rFonts w:hint="default" w:ascii="Times New Roman" w:hAnsi="Times New Roman" w:eastAsia="宋体" w:cs="Times New Roman"/>
                <w:color w:val="auto"/>
                <w:sz w:val="21"/>
                <w:szCs w:val="21"/>
                <w:highlight w:val="none"/>
              </w:rPr>
              <w:t>~C</w:t>
            </w:r>
            <w:r>
              <w:rPr>
                <w:rFonts w:hint="default" w:ascii="Times New Roman" w:hAnsi="Times New Roman" w:eastAsia="宋体" w:cs="Times New Roman"/>
                <w:color w:val="auto"/>
                <w:sz w:val="21"/>
                <w:szCs w:val="21"/>
                <w:highlight w:val="none"/>
                <w:vertAlign w:val="subscript"/>
              </w:rPr>
              <w:t>40</w:t>
            </w:r>
            <w:r>
              <w:rPr>
                <w:rFonts w:hint="default" w:ascii="Times New Roman" w:hAnsi="Times New Roman" w:eastAsia="宋体" w:cs="Times New Roman"/>
                <w:color w:val="auto"/>
                <w:sz w:val="21"/>
                <w:szCs w:val="21"/>
                <w:highlight w:val="none"/>
              </w:rPr>
              <w:t>）</w:t>
            </w:r>
          </w:p>
        </w:tc>
      </w:tr>
      <w:tr w14:paraId="1CBE26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21" w:hRule="atLeast"/>
          <w:jc w:val="center"/>
        </w:trPr>
        <w:tc>
          <w:tcPr>
            <w:tcW w:w="266" w:type="pct"/>
            <w:vMerge w:val="continue"/>
            <w:tcBorders>
              <w:tl2br w:val="nil"/>
              <w:tr2bl w:val="nil"/>
            </w:tcBorders>
            <w:noWrap w:val="0"/>
            <w:vAlign w:val="center"/>
          </w:tcPr>
          <w:p w14:paraId="59AB19FA">
            <w:pPr>
              <w:bidi w:val="0"/>
              <w:rPr>
                <w:rFonts w:hint="default" w:ascii="Times New Roman" w:hAnsi="Times New Roman" w:eastAsia="宋体" w:cs="Times New Roman"/>
                <w:color w:val="auto"/>
                <w:sz w:val="21"/>
                <w:szCs w:val="21"/>
                <w:highlight w:val="none"/>
              </w:rPr>
            </w:pPr>
          </w:p>
        </w:tc>
        <w:tc>
          <w:tcPr>
            <w:tcW w:w="345" w:type="pct"/>
            <w:vMerge w:val="continue"/>
            <w:tcBorders>
              <w:tl2br w:val="nil"/>
              <w:tr2bl w:val="nil"/>
            </w:tcBorders>
            <w:noWrap w:val="0"/>
            <w:vAlign w:val="center"/>
          </w:tcPr>
          <w:p w14:paraId="141405F0">
            <w:pPr>
              <w:bidi w:val="0"/>
              <w:rPr>
                <w:rFonts w:hint="default" w:ascii="Times New Roman" w:hAnsi="Times New Roman" w:eastAsia="宋体" w:cs="Times New Roman"/>
                <w:color w:val="auto"/>
                <w:sz w:val="21"/>
                <w:szCs w:val="21"/>
                <w:highlight w:val="none"/>
              </w:rPr>
            </w:pPr>
          </w:p>
        </w:tc>
        <w:tc>
          <w:tcPr>
            <w:tcW w:w="301" w:type="pct"/>
            <w:vMerge w:val="restart"/>
            <w:tcBorders>
              <w:tl2br w:val="nil"/>
              <w:tr2bl w:val="nil"/>
            </w:tcBorders>
            <w:noWrap w:val="0"/>
            <w:vAlign w:val="center"/>
          </w:tcPr>
          <w:p w14:paraId="4095C254">
            <w:pPr>
              <w:bidi w:val="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3</w:t>
            </w:r>
          </w:p>
        </w:tc>
        <w:tc>
          <w:tcPr>
            <w:tcW w:w="1274" w:type="pct"/>
            <w:vMerge w:val="restart"/>
            <w:tcBorders>
              <w:tl2br w:val="nil"/>
              <w:tr2bl w:val="nil"/>
            </w:tcBorders>
            <w:noWrap w:val="0"/>
            <w:vAlign w:val="center"/>
          </w:tcPr>
          <w:p w14:paraId="7F895DD3">
            <w:pPr>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雄英3井井场内</w:t>
            </w:r>
          </w:p>
          <w:p w14:paraId="5D4D88B2">
            <w:pPr>
              <w:bidi w:val="0"/>
              <w:rPr>
                <w:rFonts w:hint="default" w:ascii="Times New Roman" w:hAnsi="Times New Roman" w:eastAsia="宋体" w:cs="Times New Roman"/>
                <w:color w:val="auto"/>
                <w:sz w:val="21"/>
                <w:szCs w:val="21"/>
                <w:highlight w:val="none"/>
              </w:rPr>
            </w:pPr>
          </w:p>
        </w:tc>
        <w:tc>
          <w:tcPr>
            <w:tcW w:w="1140" w:type="pct"/>
            <w:tcBorders>
              <w:tl2br w:val="nil"/>
              <w:tr2bl w:val="nil"/>
            </w:tcBorders>
            <w:noWrap w:val="0"/>
            <w:vAlign w:val="center"/>
          </w:tcPr>
          <w:p w14:paraId="1494D930">
            <w:pPr>
              <w:bidi w:val="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表层样</w:t>
            </w:r>
            <w:r>
              <w:rPr>
                <w:rFonts w:hint="default" w:ascii="Times New Roman" w:hAnsi="Times New Roman" w:eastAsia="宋体" w:cs="Times New Roman"/>
                <w:color w:val="auto"/>
                <w:sz w:val="21"/>
                <w:szCs w:val="21"/>
                <w:highlight w:val="none"/>
              </w:rPr>
              <w:t>，监测1次</w:t>
            </w:r>
          </w:p>
        </w:tc>
        <w:tc>
          <w:tcPr>
            <w:tcW w:w="1671" w:type="pct"/>
            <w:tcBorders>
              <w:tl2br w:val="nil"/>
              <w:tr2bl w:val="nil"/>
            </w:tcBorders>
            <w:noWrap w:val="0"/>
            <w:vAlign w:val="center"/>
          </w:tcPr>
          <w:p w14:paraId="7DC0002F">
            <w:pPr>
              <w:bidi w:val="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pH、全盐量、石油烃（C</w:t>
            </w:r>
            <w:r>
              <w:rPr>
                <w:rFonts w:hint="default" w:ascii="Times New Roman" w:hAnsi="Times New Roman" w:eastAsia="宋体" w:cs="Times New Roman"/>
                <w:color w:val="auto"/>
                <w:sz w:val="21"/>
                <w:szCs w:val="21"/>
                <w:highlight w:val="none"/>
                <w:vertAlign w:val="subscript"/>
              </w:rPr>
              <w:t>10</w:t>
            </w:r>
            <w:r>
              <w:rPr>
                <w:rFonts w:hint="default" w:ascii="Times New Roman" w:hAnsi="Times New Roman" w:eastAsia="宋体" w:cs="Times New Roman"/>
                <w:color w:val="auto"/>
                <w:sz w:val="21"/>
                <w:szCs w:val="21"/>
                <w:highlight w:val="none"/>
              </w:rPr>
              <w:t>~C</w:t>
            </w:r>
            <w:r>
              <w:rPr>
                <w:rFonts w:hint="default" w:ascii="Times New Roman" w:hAnsi="Times New Roman" w:eastAsia="宋体" w:cs="Times New Roman"/>
                <w:color w:val="auto"/>
                <w:sz w:val="21"/>
                <w:szCs w:val="21"/>
                <w:highlight w:val="none"/>
                <w:vertAlign w:val="subscript"/>
              </w:rPr>
              <w:t>40</w:t>
            </w:r>
            <w:r>
              <w:rPr>
                <w:rFonts w:hint="default" w:ascii="Times New Roman" w:hAnsi="Times New Roman" w:eastAsia="宋体" w:cs="Times New Roman"/>
                <w:color w:val="auto"/>
                <w:sz w:val="21"/>
                <w:szCs w:val="21"/>
                <w:highlight w:val="none"/>
              </w:rPr>
              <w:t>）</w:t>
            </w:r>
          </w:p>
        </w:tc>
      </w:tr>
      <w:tr w14:paraId="1C5CE9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1" w:hRule="atLeast"/>
          <w:jc w:val="center"/>
        </w:trPr>
        <w:tc>
          <w:tcPr>
            <w:tcW w:w="266" w:type="pct"/>
            <w:vMerge w:val="continue"/>
            <w:tcBorders>
              <w:tl2br w:val="nil"/>
              <w:tr2bl w:val="nil"/>
            </w:tcBorders>
            <w:noWrap w:val="0"/>
            <w:vAlign w:val="center"/>
          </w:tcPr>
          <w:p w14:paraId="51E58293">
            <w:pPr>
              <w:bidi w:val="0"/>
              <w:rPr>
                <w:color w:val="auto"/>
                <w:highlight w:val="none"/>
              </w:rPr>
            </w:pPr>
          </w:p>
        </w:tc>
        <w:tc>
          <w:tcPr>
            <w:tcW w:w="345" w:type="pct"/>
            <w:vMerge w:val="continue"/>
            <w:tcBorders>
              <w:tl2br w:val="nil"/>
              <w:tr2bl w:val="nil"/>
            </w:tcBorders>
            <w:noWrap w:val="0"/>
            <w:vAlign w:val="center"/>
          </w:tcPr>
          <w:p w14:paraId="73B631D7">
            <w:pPr>
              <w:bidi w:val="0"/>
              <w:rPr>
                <w:color w:val="auto"/>
                <w:highlight w:val="none"/>
              </w:rPr>
            </w:pPr>
          </w:p>
        </w:tc>
        <w:tc>
          <w:tcPr>
            <w:tcW w:w="301" w:type="pct"/>
            <w:vMerge w:val="continue"/>
            <w:tcBorders>
              <w:tl2br w:val="nil"/>
              <w:tr2bl w:val="nil"/>
            </w:tcBorders>
            <w:noWrap w:val="0"/>
            <w:vAlign w:val="center"/>
          </w:tcPr>
          <w:p w14:paraId="61127C71">
            <w:pPr>
              <w:bidi w:val="0"/>
              <w:rPr>
                <w:color w:val="auto"/>
                <w:highlight w:val="none"/>
              </w:rPr>
            </w:pPr>
          </w:p>
        </w:tc>
        <w:tc>
          <w:tcPr>
            <w:tcW w:w="1274" w:type="pct"/>
            <w:vMerge w:val="continue"/>
            <w:tcBorders>
              <w:tl2br w:val="nil"/>
              <w:tr2bl w:val="nil"/>
            </w:tcBorders>
            <w:noWrap w:val="0"/>
            <w:vAlign w:val="center"/>
          </w:tcPr>
          <w:p w14:paraId="16F535F1">
            <w:pPr>
              <w:bidi w:val="0"/>
              <w:rPr>
                <w:color w:val="auto"/>
                <w:highlight w:val="none"/>
              </w:rPr>
            </w:pPr>
          </w:p>
        </w:tc>
        <w:tc>
          <w:tcPr>
            <w:tcW w:w="1140" w:type="pct"/>
            <w:tcBorders>
              <w:tl2br w:val="nil"/>
              <w:tr2bl w:val="nil"/>
            </w:tcBorders>
            <w:noWrap w:val="0"/>
            <w:vAlign w:val="center"/>
          </w:tcPr>
          <w:p w14:paraId="3CD31645">
            <w:pPr>
              <w:bidi w:val="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柱状样，监测1次</w:t>
            </w:r>
          </w:p>
        </w:tc>
        <w:tc>
          <w:tcPr>
            <w:tcW w:w="1671" w:type="pct"/>
            <w:tcBorders>
              <w:tl2br w:val="nil"/>
              <w:tr2bl w:val="nil"/>
            </w:tcBorders>
            <w:noWrap w:val="0"/>
            <w:vAlign w:val="center"/>
          </w:tcPr>
          <w:p w14:paraId="0DE3EE4D">
            <w:pPr>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石油烃（C</w:t>
            </w:r>
            <w:r>
              <w:rPr>
                <w:rFonts w:hint="default" w:ascii="Times New Roman" w:hAnsi="Times New Roman" w:eastAsia="宋体" w:cs="Times New Roman"/>
                <w:color w:val="auto"/>
                <w:sz w:val="21"/>
                <w:szCs w:val="21"/>
                <w:highlight w:val="none"/>
                <w:vertAlign w:val="subscript"/>
              </w:rPr>
              <w:t>10</w:t>
            </w:r>
            <w:r>
              <w:rPr>
                <w:rFonts w:hint="default" w:ascii="Times New Roman" w:hAnsi="Times New Roman" w:eastAsia="宋体" w:cs="Times New Roman"/>
                <w:color w:val="auto"/>
                <w:sz w:val="21"/>
                <w:szCs w:val="21"/>
                <w:highlight w:val="none"/>
              </w:rPr>
              <w:t>~C</w:t>
            </w:r>
            <w:r>
              <w:rPr>
                <w:rFonts w:hint="default" w:ascii="Times New Roman" w:hAnsi="Times New Roman" w:eastAsia="宋体" w:cs="Times New Roman"/>
                <w:color w:val="auto"/>
                <w:sz w:val="21"/>
                <w:szCs w:val="21"/>
                <w:highlight w:val="none"/>
                <w:vertAlign w:val="subscript"/>
              </w:rPr>
              <w:t>40</w:t>
            </w:r>
            <w:r>
              <w:rPr>
                <w:rFonts w:hint="default" w:ascii="Times New Roman" w:hAnsi="Times New Roman" w:eastAsia="宋体" w:cs="Times New Roman"/>
                <w:color w:val="auto"/>
                <w:sz w:val="21"/>
                <w:szCs w:val="21"/>
                <w:highlight w:val="none"/>
              </w:rPr>
              <w:t>）</w:t>
            </w:r>
          </w:p>
        </w:tc>
      </w:tr>
      <w:tr w14:paraId="5DB082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1" w:hRule="atLeast"/>
          <w:jc w:val="center"/>
        </w:trPr>
        <w:tc>
          <w:tcPr>
            <w:tcW w:w="266" w:type="pct"/>
            <w:vMerge w:val="continue"/>
            <w:tcBorders>
              <w:tl2br w:val="nil"/>
              <w:tr2bl w:val="nil"/>
            </w:tcBorders>
            <w:noWrap w:val="0"/>
            <w:vAlign w:val="center"/>
          </w:tcPr>
          <w:p w14:paraId="46B43AA9">
            <w:pPr>
              <w:bidi w:val="0"/>
              <w:rPr>
                <w:color w:val="auto"/>
                <w:highlight w:val="none"/>
              </w:rPr>
            </w:pPr>
          </w:p>
        </w:tc>
        <w:tc>
          <w:tcPr>
            <w:tcW w:w="345" w:type="pct"/>
            <w:vMerge w:val="continue"/>
            <w:tcBorders>
              <w:tl2br w:val="nil"/>
              <w:tr2bl w:val="nil"/>
            </w:tcBorders>
            <w:noWrap w:val="0"/>
            <w:vAlign w:val="center"/>
          </w:tcPr>
          <w:p w14:paraId="0ECF279A">
            <w:pPr>
              <w:bidi w:val="0"/>
              <w:rPr>
                <w:color w:val="auto"/>
                <w:highlight w:val="none"/>
              </w:rPr>
            </w:pPr>
          </w:p>
        </w:tc>
        <w:tc>
          <w:tcPr>
            <w:tcW w:w="301" w:type="pct"/>
            <w:tcBorders>
              <w:tl2br w:val="nil"/>
              <w:tr2bl w:val="nil"/>
            </w:tcBorders>
            <w:noWrap w:val="0"/>
            <w:vAlign w:val="center"/>
          </w:tcPr>
          <w:p w14:paraId="5C932A80">
            <w:pPr>
              <w:bidi w:val="0"/>
              <w:rPr>
                <w:rFonts w:hint="eastAsia" w:eastAsia="宋体"/>
                <w:color w:val="auto"/>
                <w:highlight w:val="none"/>
                <w:lang w:val="en-US" w:eastAsia="zh-CN"/>
              </w:rPr>
            </w:pPr>
            <w:r>
              <w:rPr>
                <w:rFonts w:hint="eastAsia"/>
                <w:color w:val="auto"/>
                <w:highlight w:val="none"/>
                <w:lang w:val="en-US" w:eastAsia="zh-CN"/>
              </w:rPr>
              <w:t>4</w:t>
            </w:r>
          </w:p>
        </w:tc>
        <w:tc>
          <w:tcPr>
            <w:tcW w:w="1274" w:type="pct"/>
            <w:tcBorders>
              <w:tl2br w:val="nil"/>
              <w:tr2bl w:val="nil"/>
            </w:tcBorders>
            <w:noWrap w:val="0"/>
            <w:vAlign w:val="center"/>
          </w:tcPr>
          <w:p w14:paraId="4A121D81">
            <w:pPr>
              <w:bidi w:val="0"/>
              <w:rPr>
                <w:rFonts w:hint="default" w:eastAsia="宋体"/>
                <w:color w:val="auto"/>
                <w:highlight w:val="none"/>
                <w:lang w:val="en-US" w:eastAsia="zh-CN"/>
              </w:rPr>
            </w:pPr>
            <w:r>
              <w:rPr>
                <w:rFonts w:hint="eastAsia"/>
                <w:color w:val="auto"/>
                <w:highlight w:val="none"/>
                <w:lang w:val="en-US" w:eastAsia="zh-CN"/>
              </w:rPr>
              <w:t>雄探1井试采点</w:t>
            </w:r>
          </w:p>
        </w:tc>
        <w:tc>
          <w:tcPr>
            <w:tcW w:w="1140" w:type="pct"/>
            <w:tcBorders>
              <w:tl2br w:val="nil"/>
              <w:tr2bl w:val="nil"/>
            </w:tcBorders>
            <w:noWrap w:val="0"/>
            <w:vAlign w:val="center"/>
          </w:tcPr>
          <w:p w14:paraId="6A14EC38">
            <w:pPr>
              <w:bidi w:val="0"/>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柱状样，监测1次</w:t>
            </w:r>
          </w:p>
        </w:tc>
        <w:tc>
          <w:tcPr>
            <w:tcW w:w="1671" w:type="pct"/>
            <w:vMerge w:val="restart"/>
            <w:tcBorders>
              <w:tl2br w:val="nil"/>
              <w:tr2bl w:val="nil"/>
            </w:tcBorders>
            <w:noWrap w:val="0"/>
            <w:vAlign w:val="center"/>
          </w:tcPr>
          <w:p w14:paraId="7A2E45E9">
            <w:pPr>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pH、全盐量、石油烃（C</w:t>
            </w:r>
            <w:r>
              <w:rPr>
                <w:rFonts w:hint="default" w:ascii="Times New Roman" w:hAnsi="Times New Roman" w:eastAsia="宋体" w:cs="Times New Roman"/>
                <w:color w:val="auto"/>
                <w:sz w:val="21"/>
                <w:szCs w:val="21"/>
                <w:highlight w:val="none"/>
                <w:vertAlign w:val="subscript"/>
              </w:rPr>
              <w:t>10</w:t>
            </w:r>
            <w:r>
              <w:rPr>
                <w:rFonts w:hint="default" w:ascii="Times New Roman" w:hAnsi="Times New Roman" w:eastAsia="宋体" w:cs="Times New Roman"/>
                <w:color w:val="auto"/>
                <w:sz w:val="21"/>
                <w:szCs w:val="21"/>
                <w:highlight w:val="none"/>
              </w:rPr>
              <w:t>~C</w:t>
            </w:r>
            <w:r>
              <w:rPr>
                <w:rFonts w:hint="default" w:ascii="Times New Roman" w:hAnsi="Times New Roman" w:eastAsia="宋体" w:cs="Times New Roman"/>
                <w:color w:val="auto"/>
                <w:sz w:val="21"/>
                <w:szCs w:val="21"/>
                <w:highlight w:val="none"/>
                <w:vertAlign w:val="subscript"/>
              </w:rPr>
              <w:t>40</w:t>
            </w:r>
            <w:r>
              <w:rPr>
                <w:rFonts w:hint="default" w:ascii="Times New Roman" w:hAnsi="Times New Roman" w:eastAsia="宋体" w:cs="Times New Roman"/>
                <w:color w:val="auto"/>
                <w:sz w:val="21"/>
                <w:szCs w:val="21"/>
                <w:highlight w:val="none"/>
              </w:rPr>
              <w:t>）</w:t>
            </w:r>
          </w:p>
        </w:tc>
      </w:tr>
      <w:tr w14:paraId="6D00A9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1" w:hRule="atLeast"/>
          <w:jc w:val="center"/>
        </w:trPr>
        <w:tc>
          <w:tcPr>
            <w:tcW w:w="266" w:type="pct"/>
            <w:vMerge w:val="continue"/>
            <w:tcBorders>
              <w:tl2br w:val="nil"/>
              <w:tr2bl w:val="nil"/>
            </w:tcBorders>
            <w:noWrap w:val="0"/>
            <w:vAlign w:val="center"/>
          </w:tcPr>
          <w:p w14:paraId="0521C9AF">
            <w:pPr>
              <w:bidi w:val="0"/>
              <w:rPr>
                <w:color w:val="auto"/>
                <w:highlight w:val="none"/>
              </w:rPr>
            </w:pPr>
          </w:p>
        </w:tc>
        <w:tc>
          <w:tcPr>
            <w:tcW w:w="345" w:type="pct"/>
            <w:vMerge w:val="continue"/>
            <w:tcBorders>
              <w:tl2br w:val="nil"/>
              <w:tr2bl w:val="nil"/>
            </w:tcBorders>
            <w:noWrap w:val="0"/>
            <w:vAlign w:val="center"/>
          </w:tcPr>
          <w:p w14:paraId="60F66396">
            <w:pPr>
              <w:bidi w:val="0"/>
              <w:rPr>
                <w:color w:val="auto"/>
                <w:highlight w:val="none"/>
              </w:rPr>
            </w:pPr>
          </w:p>
        </w:tc>
        <w:tc>
          <w:tcPr>
            <w:tcW w:w="301" w:type="pct"/>
            <w:tcBorders>
              <w:tl2br w:val="nil"/>
              <w:tr2bl w:val="nil"/>
            </w:tcBorders>
            <w:noWrap w:val="0"/>
            <w:vAlign w:val="center"/>
          </w:tcPr>
          <w:p w14:paraId="052DB83B">
            <w:pPr>
              <w:bidi w:val="0"/>
              <w:rPr>
                <w:rFonts w:hint="eastAsia" w:eastAsia="宋体"/>
                <w:color w:val="auto"/>
                <w:highlight w:val="none"/>
                <w:lang w:val="en-US" w:eastAsia="zh-CN"/>
              </w:rPr>
            </w:pPr>
            <w:r>
              <w:rPr>
                <w:rFonts w:hint="eastAsia"/>
                <w:color w:val="auto"/>
                <w:highlight w:val="none"/>
                <w:lang w:val="en-US" w:eastAsia="zh-CN"/>
              </w:rPr>
              <w:t>5</w:t>
            </w:r>
          </w:p>
        </w:tc>
        <w:tc>
          <w:tcPr>
            <w:tcW w:w="1274" w:type="pct"/>
            <w:tcBorders>
              <w:tl2br w:val="nil"/>
              <w:tr2bl w:val="nil"/>
            </w:tcBorders>
            <w:noWrap w:val="0"/>
            <w:vAlign w:val="center"/>
          </w:tcPr>
          <w:p w14:paraId="763563A6">
            <w:pPr>
              <w:bidi w:val="0"/>
              <w:rPr>
                <w:color w:val="auto"/>
                <w:highlight w:val="none"/>
              </w:rPr>
            </w:pPr>
            <w:r>
              <w:rPr>
                <w:rFonts w:hint="eastAsia"/>
                <w:color w:val="auto"/>
                <w:highlight w:val="none"/>
              </w:rPr>
              <w:t>雄英101井</w:t>
            </w:r>
          </w:p>
        </w:tc>
        <w:tc>
          <w:tcPr>
            <w:tcW w:w="1140" w:type="pct"/>
            <w:tcBorders>
              <w:tl2br w:val="nil"/>
              <w:tr2bl w:val="nil"/>
            </w:tcBorders>
            <w:noWrap w:val="0"/>
            <w:vAlign w:val="center"/>
          </w:tcPr>
          <w:p w14:paraId="03E2A599">
            <w:pPr>
              <w:bidi w:val="0"/>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柱状样，监测1次</w:t>
            </w:r>
          </w:p>
        </w:tc>
        <w:tc>
          <w:tcPr>
            <w:tcW w:w="1671" w:type="pct"/>
            <w:vMerge w:val="continue"/>
            <w:tcBorders>
              <w:tl2br w:val="nil"/>
              <w:tr2bl w:val="nil"/>
            </w:tcBorders>
            <w:noWrap w:val="0"/>
            <w:vAlign w:val="center"/>
          </w:tcPr>
          <w:p w14:paraId="5FC3C3DA">
            <w:pPr>
              <w:bidi w:val="0"/>
              <w:rPr>
                <w:rFonts w:hint="default" w:ascii="Times New Roman" w:hAnsi="Times New Roman" w:eastAsia="宋体" w:cs="Times New Roman"/>
                <w:color w:val="auto"/>
                <w:sz w:val="21"/>
                <w:szCs w:val="21"/>
                <w:highlight w:val="none"/>
              </w:rPr>
            </w:pPr>
          </w:p>
        </w:tc>
      </w:tr>
      <w:tr w14:paraId="07A37F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53" w:hRule="atLeast"/>
          <w:jc w:val="center"/>
        </w:trPr>
        <w:tc>
          <w:tcPr>
            <w:tcW w:w="266" w:type="pct"/>
            <w:vMerge w:val="continue"/>
            <w:tcBorders>
              <w:tl2br w:val="nil"/>
              <w:tr2bl w:val="nil"/>
            </w:tcBorders>
            <w:noWrap w:val="0"/>
            <w:vAlign w:val="center"/>
          </w:tcPr>
          <w:p w14:paraId="1D9FE2E9">
            <w:pPr>
              <w:bidi w:val="0"/>
              <w:rPr>
                <w:rFonts w:hint="default" w:ascii="Times New Roman" w:hAnsi="Times New Roman" w:eastAsia="宋体" w:cs="Times New Roman"/>
                <w:color w:val="auto"/>
                <w:sz w:val="21"/>
                <w:szCs w:val="21"/>
                <w:highlight w:val="none"/>
              </w:rPr>
            </w:pPr>
          </w:p>
        </w:tc>
        <w:tc>
          <w:tcPr>
            <w:tcW w:w="345" w:type="pct"/>
            <w:vMerge w:val="restart"/>
            <w:tcBorders>
              <w:tl2br w:val="nil"/>
              <w:tr2bl w:val="nil"/>
            </w:tcBorders>
            <w:noWrap w:val="0"/>
            <w:vAlign w:val="center"/>
          </w:tcPr>
          <w:p w14:paraId="6981D5F4">
            <w:pPr>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占地外</w:t>
            </w:r>
          </w:p>
        </w:tc>
        <w:tc>
          <w:tcPr>
            <w:tcW w:w="301" w:type="pct"/>
            <w:tcBorders>
              <w:tl2br w:val="nil"/>
              <w:tr2bl w:val="nil"/>
            </w:tcBorders>
            <w:noWrap w:val="0"/>
            <w:vAlign w:val="center"/>
          </w:tcPr>
          <w:p w14:paraId="314457DC">
            <w:pPr>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274" w:type="pct"/>
            <w:tcBorders>
              <w:tl2br w:val="nil"/>
              <w:tr2bl w:val="nil"/>
            </w:tcBorders>
            <w:noWrap w:val="0"/>
            <w:vAlign w:val="center"/>
          </w:tcPr>
          <w:p w14:paraId="21F02150">
            <w:pPr>
              <w:bidi w:val="0"/>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雄英102井井场</w:t>
            </w:r>
            <w:r>
              <w:rPr>
                <w:rFonts w:hint="default" w:ascii="Times New Roman" w:hAnsi="Times New Roman" w:eastAsia="宋体" w:cs="Times New Roman"/>
                <w:color w:val="auto"/>
                <w:sz w:val="21"/>
                <w:szCs w:val="21"/>
                <w:highlight w:val="none"/>
                <w:lang w:val="en-US" w:eastAsia="zh-CN"/>
              </w:rPr>
              <w:t>外</w:t>
            </w:r>
          </w:p>
        </w:tc>
        <w:tc>
          <w:tcPr>
            <w:tcW w:w="1140" w:type="pct"/>
            <w:vMerge w:val="restart"/>
            <w:tcBorders>
              <w:tl2br w:val="nil"/>
              <w:tr2bl w:val="nil"/>
            </w:tcBorders>
            <w:noWrap w:val="0"/>
            <w:vAlign w:val="center"/>
          </w:tcPr>
          <w:p w14:paraId="42ECB1E2">
            <w:pPr>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表层样，监测1次</w:t>
            </w:r>
          </w:p>
        </w:tc>
        <w:tc>
          <w:tcPr>
            <w:tcW w:w="1671" w:type="pct"/>
            <w:tcBorders>
              <w:tl2br w:val="nil"/>
              <w:tr2bl w:val="nil"/>
            </w:tcBorders>
            <w:noWrap w:val="0"/>
            <w:vAlign w:val="center"/>
          </w:tcPr>
          <w:p w14:paraId="552A3C88">
            <w:pPr>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pH、</w:t>
            </w:r>
            <w:r>
              <w:rPr>
                <w:rFonts w:hint="default" w:ascii="Times New Roman" w:hAnsi="Times New Roman" w:eastAsia="宋体" w:cs="Times New Roman"/>
                <w:color w:val="auto"/>
                <w:sz w:val="21"/>
                <w:szCs w:val="21"/>
                <w:highlight w:val="none"/>
                <w:lang w:val="en-US" w:eastAsia="zh-CN"/>
              </w:rPr>
              <w:t>全盐量、石油烃（C</w:t>
            </w:r>
            <w:r>
              <w:rPr>
                <w:rFonts w:hint="default" w:ascii="Times New Roman" w:hAnsi="Times New Roman" w:eastAsia="宋体" w:cs="Times New Roman"/>
                <w:color w:val="auto"/>
                <w:sz w:val="21"/>
                <w:szCs w:val="21"/>
                <w:highlight w:val="none"/>
                <w:vertAlign w:val="subscript"/>
                <w:lang w:val="en-US" w:eastAsia="zh-CN"/>
              </w:rPr>
              <w:t>10</w:t>
            </w:r>
            <w:r>
              <w:rPr>
                <w:rFonts w:hint="default" w:ascii="Times New Roman" w:hAnsi="Times New Roman" w:eastAsia="宋体" w:cs="Times New Roman"/>
                <w:color w:val="auto"/>
                <w:sz w:val="21"/>
                <w:szCs w:val="21"/>
                <w:highlight w:val="none"/>
                <w:lang w:val="en-US" w:eastAsia="zh-CN"/>
              </w:rPr>
              <w:t>~C</w:t>
            </w:r>
            <w:r>
              <w:rPr>
                <w:rFonts w:hint="default" w:ascii="Times New Roman" w:hAnsi="Times New Roman" w:eastAsia="宋体" w:cs="Times New Roman"/>
                <w:color w:val="auto"/>
                <w:sz w:val="21"/>
                <w:szCs w:val="21"/>
                <w:highlight w:val="none"/>
                <w:vertAlign w:val="subscript"/>
                <w:lang w:val="en-US" w:eastAsia="zh-CN"/>
              </w:rPr>
              <w:t>40</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镉、汞、砷、铅、铬、铜、镍</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锌</w:t>
            </w:r>
          </w:p>
        </w:tc>
      </w:tr>
      <w:tr w14:paraId="69428E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53" w:hRule="atLeast"/>
          <w:jc w:val="center"/>
        </w:trPr>
        <w:tc>
          <w:tcPr>
            <w:tcW w:w="266" w:type="pct"/>
            <w:vMerge w:val="continue"/>
            <w:tcBorders>
              <w:tl2br w:val="nil"/>
              <w:tr2bl w:val="nil"/>
            </w:tcBorders>
            <w:noWrap w:val="0"/>
            <w:vAlign w:val="center"/>
          </w:tcPr>
          <w:p w14:paraId="027696AA">
            <w:pPr>
              <w:bidi w:val="0"/>
              <w:rPr>
                <w:rFonts w:hint="default" w:ascii="Times New Roman" w:hAnsi="Times New Roman" w:eastAsia="宋体" w:cs="Times New Roman"/>
                <w:color w:val="auto"/>
                <w:sz w:val="21"/>
                <w:szCs w:val="21"/>
                <w:highlight w:val="none"/>
              </w:rPr>
            </w:pPr>
          </w:p>
        </w:tc>
        <w:tc>
          <w:tcPr>
            <w:tcW w:w="345" w:type="pct"/>
            <w:vMerge w:val="continue"/>
            <w:tcBorders>
              <w:tl2br w:val="nil"/>
              <w:tr2bl w:val="nil"/>
            </w:tcBorders>
            <w:noWrap w:val="0"/>
            <w:vAlign w:val="center"/>
          </w:tcPr>
          <w:p w14:paraId="6E26EED3">
            <w:pPr>
              <w:bidi w:val="0"/>
              <w:rPr>
                <w:rFonts w:hint="default" w:ascii="Times New Roman" w:hAnsi="Times New Roman" w:eastAsia="宋体" w:cs="Times New Roman"/>
                <w:color w:val="auto"/>
                <w:sz w:val="21"/>
                <w:szCs w:val="21"/>
                <w:highlight w:val="none"/>
              </w:rPr>
            </w:pPr>
          </w:p>
        </w:tc>
        <w:tc>
          <w:tcPr>
            <w:tcW w:w="301" w:type="pct"/>
            <w:tcBorders>
              <w:tl2br w:val="nil"/>
              <w:tr2bl w:val="nil"/>
            </w:tcBorders>
            <w:noWrap w:val="0"/>
            <w:vAlign w:val="center"/>
          </w:tcPr>
          <w:p w14:paraId="76A5E5DD">
            <w:pPr>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274" w:type="pct"/>
            <w:tcBorders>
              <w:tl2br w:val="nil"/>
              <w:tr2bl w:val="nil"/>
            </w:tcBorders>
            <w:noWrap w:val="0"/>
            <w:vAlign w:val="center"/>
          </w:tcPr>
          <w:p w14:paraId="4C0B5AB7">
            <w:pPr>
              <w:bidi w:val="0"/>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脱硫站</w:t>
            </w:r>
            <w:r>
              <w:rPr>
                <w:rFonts w:hint="default" w:ascii="Times New Roman" w:hAnsi="Times New Roman" w:eastAsia="宋体" w:cs="Times New Roman"/>
                <w:color w:val="auto"/>
                <w:sz w:val="21"/>
                <w:szCs w:val="21"/>
                <w:highlight w:val="none"/>
                <w:lang w:val="en-US" w:eastAsia="zh-CN"/>
              </w:rPr>
              <w:t>外</w:t>
            </w:r>
          </w:p>
        </w:tc>
        <w:tc>
          <w:tcPr>
            <w:tcW w:w="1140" w:type="pct"/>
            <w:vMerge w:val="continue"/>
            <w:tcBorders>
              <w:tl2br w:val="nil"/>
              <w:tr2bl w:val="nil"/>
            </w:tcBorders>
            <w:noWrap w:val="0"/>
            <w:vAlign w:val="center"/>
          </w:tcPr>
          <w:p w14:paraId="6F8C1E14">
            <w:pPr>
              <w:bidi w:val="0"/>
              <w:rPr>
                <w:rFonts w:hint="default" w:ascii="Times New Roman" w:hAnsi="Times New Roman" w:eastAsia="宋体" w:cs="Times New Roman"/>
                <w:color w:val="auto"/>
                <w:sz w:val="21"/>
                <w:szCs w:val="21"/>
                <w:highlight w:val="none"/>
              </w:rPr>
            </w:pPr>
          </w:p>
        </w:tc>
        <w:tc>
          <w:tcPr>
            <w:tcW w:w="1671" w:type="pct"/>
            <w:tcBorders>
              <w:tl2br w:val="nil"/>
              <w:tr2bl w:val="nil"/>
            </w:tcBorders>
            <w:noWrap w:val="0"/>
            <w:vAlign w:val="center"/>
          </w:tcPr>
          <w:p w14:paraId="72CE4068">
            <w:pPr>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pH、</w:t>
            </w:r>
            <w:r>
              <w:rPr>
                <w:rFonts w:hint="default" w:ascii="Times New Roman" w:hAnsi="Times New Roman" w:eastAsia="宋体" w:cs="Times New Roman"/>
                <w:color w:val="auto"/>
                <w:sz w:val="21"/>
                <w:szCs w:val="21"/>
                <w:highlight w:val="none"/>
                <w:lang w:val="en-US" w:eastAsia="zh-CN"/>
              </w:rPr>
              <w:t>全盐量、石油烃（C</w:t>
            </w:r>
            <w:r>
              <w:rPr>
                <w:rFonts w:hint="default" w:ascii="Times New Roman" w:hAnsi="Times New Roman" w:eastAsia="宋体" w:cs="Times New Roman"/>
                <w:color w:val="auto"/>
                <w:sz w:val="21"/>
                <w:szCs w:val="21"/>
                <w:highlight w:val="none"/>
                <w:vertAlign w:val="subscript"/>
                <w:lang w:val="en-US" w:eastAsia="zh-CN"/>
              </w:rPr>
              <w:t>10</w:t>
            </w:r>
            <w:r>
              <w:rPr>
                <w:rFonts w:hint="default" w:ascii="Times New Roman" w:hAnsi="Times New Roman" w:eastAsia="宋体" w:cs="Times New Roman"/>
                <w:color w:val="auto"/>
                <w:sz w:val="21"/>
                <w:szCs w:val="21"/>
                <w:highlight w:val="none"/>
                <w:lang w:val="en-US" w:eastAsia="zh-CN"/>
              </w:rPr>
              <w:t>~C</w:t>
            </w:r>
            <w:r>
              <w:rPr>
                <w:rFonts w:hint="default" w:ascii="Times New Roman" w:hAnsi="Times New Roman" w:eastAsia="宋体" w:cs="Times New Roman"/>
                <w:color w:val="auto"/>
                <w:sz w:val="21"/>
                <w:szCs w:val="21"/>
                <w:highlight w:val="none"/>
                <w:vertAlign w:val="subscript"/>
                <w:lang w:val="en-US" w:eastAsia="zh-CN"/>
              </w:rPr>
              <w:t>40</w:t>
            </w:r>
            <w:r>
              <w:rPr>
                <w:rFonts w:hint="default" w:ascii="Times New Roman" w:hAnsi="Times New Roman" w:eastAsia="宋体" w:cs="Times New Roman"/>
                <w:color w:val="auto"/>
                <w:sz w:val="21"/>
                <w:szCs w:val="21"/>
                <w:highlight w:val="none"/>
                <w:lang w:val="en-US" w:eastAsia="zh-CN"/>
              </w:rPr>
              <w:t>）</w:t>
            </w:r>
          </w:p>
        </w:tc>
      </w:tr>
      <w:tr w14:paraId="19DCD1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53" w:hRule="atLeast"/>
          <w:jc w:val="center"/>
        </w:trPr>
        <w:tc>
          <w:tcPr>
            <w:tcW w:w="266" w:type="pct"/>
            <w:vMerge w:val="continue"/>
            <w:tcBorders>
              <w:tl2br w:val="nil"/>
              <w:tr2bl w:val="nil"/>
            </w:tcBorders>
            <w:noWrap w:val="0"/>
            <w:vAlign w:val="center"/>
          </w:tcPr>
          <w:p w14:paraId="349DD2EE">
            <w:pPr>
              <w:bidi w:val="0"/>
              <w:rPr>
                <w:rFonts w:hint="default" w:ascii="Times New Roman" w:hAnsi="Times New Roman" w:eastAsia="宋体" w:cs="Times New Roman"/>
                <w:color w:val="auto"/>
                <w:sz w:val="21"/>
                <w:szCs w:val="21"/>
                <w:highlight w:val="none"/>
              </w:rPr>
            </w:pPr>
          </w:p>
        </w:tc>
        <w:tc>
          <w:tcPr>
            <w:tcW w:w="345" w:type="pct"/>
            <w:vMerge w:val="continue"/>
            <w:tcBorders>
              <w:tl2br w:val="nil"/>
              <w:tr2bl w:val="nil"/>
            </w:tcBorders>
            <w:noWrap w:val="0"/>
            <w:vAlign w:val="center"/>
          </w:tcPr>
          <w:p w14:paraId="29772507">
            <w:pPr>
              <w:bidi w:val="0"/>
              <w:rPr>
                <w:rFonts w:hint="default" w:ascii="Times New Roman" w:hAnsi="Times New Roman" w:eastAsia="宋体" w:cs="Times New Roman"/>
                <w:color w:val="auto"/>
                <w:sz w:val="21"/>
                <w:szCs w:val="21"/>
                <w:highlight w:val="none"/>
              </w:rPr>
            </w:pPr>
          </w:p>
        </w:tc>
        <w:tc>
          <w:tcPr>
            <w:tcW w:w="301" w:type="pct"/>
            <w:tcBorders>
              <w:tl2br w:val="nil"/>
              <w:tr2bl w:val="nil"/>
            </w:tcBorders>
            <w:noWrap w:val="0"/>
            <w:vAlign w:val="center"/>
          </w:tcPr>
          <w:p w14:paraId="07965B07">
            <w:pPr>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274" w:type="pct"/>
            <w:tcBorders>
              <w:tl2br w:val="nil"/>
              <w:tr2bl w:val="nil"/>
            </w:tcBorders>
            <w:noWrap w:val="0"/>
            <w:vAlign w:val="center"/>
          </w:tcPr>
          <w:p w14:paraId="1D88A808">
            <w:pPr>
              <w:bidi w:val="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雄英3井井场</w:t>
            </w:r>
            <w:r>
              <w:rPr>
                <w:rFonts w:hint="default" w:ascii="Times New Roman" w:hAnsi="Times New Roman" w:eastAsia="宋体" w:cs="Times New Roman"/>
                <w:color w:val="auto"/>
                <w:sz w:val="21"/>
                <w:szCs w:val="21"/>
                <w:highlight w:val="none"/>
                <w:lang w:val="en-US" w:eastAsia="zh-CN"/>
              </w:rPr>
              <w:t>外</w:t>
            </w:r>
          </w:p>
          <w:p w14:paraId="744869BC">
            <w:pPr>
              <w:bidi w:val="0"/>
              <w:rPr>
                <w:rFonts w:hint="default" w:ascii="Times New Roman" w:hAnsi="Times New Roman" w:eastAsia="宋体" w:cs="Times New Roman"/>
                <w:color w:val="auto"/>
                <w:sz w:val="21"/>
                <w:szCs w:val="21"/>
                <w:highlight w:val="none"/>
              </w:rPr>
            </w:pPr>
          </w:p>
        </w:tc>
        <w:tc>
          <w:tcPr>
            <w:tcW w:w="1140" w:type="pct"/>
            <w:vMerge w:val="continue"/>
            <w:tcBorders>
              <w:tl2br w:val="nil"/>
              <w:tr2bl w:val="nil"/>
            </w:tcBorders>
            <w:noWrap w:val="0"/>
            <w:vAlign w:val="center"/>
          </w:tcPr>
          <w:p w14:paraId="3AAC1396">
            <w:pPr>
              <w:bidi w:val="0"/>
              <w:rPr>
                <w:rFonts w:hint="default" w:ascii="Times New Roman" w:hAnsi="Times New Roman" w:eastAsia="宋体" w:cs="Times New Roman"/>
                <w:color w:val="auto"/>
                <w:sz w:val="21"/>
                <w:szCs w:val="21"/>
                <w:highlight w:val="none"/>
              </w:rPr>
            </w:pPr>
          </w:p>
        </w:tc>
        <w:tc>
          <w:tcPr>
            <w:tcW w:w="1671" w:type="pct"/>
            <w:tcBorders>
              <w:tl2br w:val="nil"/>
              <w:tr2bl w:val="nil"/>
            </w:tcBorders>
            <w:noWrap w:val="0"/>
            <w:vAlign w:val="center"/>
          </w:tcPr>
          <w:p w14:paraId="1927C691">
            <w:pPr>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pH、全盐量、石油烃（C</w:t>
            </w:r>
            <w:r>
              <w:rPr>
                <w:rFonts w:hint="default" w:ascii="Times New Roman" w:hAnsi="Times New Roman" w:eastAsia="宋体" w:cs="Times New Roman"/>
                <w:color w:val="auto"/>
                <w:sz w:val="21"/>
                <w:szCs w:val="21"/>
                <w:highlight w:val="none"/>
                <w:vertAlign w:val="subscript"/>
                <w:lang w:val="en-US" w:eastAsia="zh-CN"/>
              </w:rPr>
              <w:t>10</w:t>
            </w:r>
            <w:r>
              <w:rPr>
                <w:rFonts w:hint="default" w:ascii="Times New Roman" w:hAnsi="Times New Roman" w:eastAsia="宋体" w:cs="Times New Roman"/>
                <w:color w:val="auto"/>
                <w:sz w:val="21"/>
                <w:szCs w:val="21"/>
                <w:highlight w:val="none"/>
                <w:lang w:val="en-US" w:eastAsia="zh-CN"/>
              </w:rPr>
              <w:t>~C</w:t>
            </w:r>
            <w:r>
              <w:rPr>
                <w:rFonts w:hint="default" w:ascii="Times New Roman" w:hAnsi="Times New Roman" w:eastAsia="宋体" w:cs="Times New Roman"/>
                <w:color w:val="auto"/>
                <w:sz w:val="21"/>
                <w:szCs w:val="21"/>
                <w:highlight w:val="none"/>
                <w:vertAlign w:val="subscript"/>
                <w:lang w:val="en-US" w:eastAsia="zh-CN"/>
              </w:rPr>
              <w:t>40</w:t>
            </w:r>
            <w:r>
              <w:rPr>
                <w:rFonts w:hint="default" w:ascii="Times New Roman" w:hAnsi="Times New Roman" w:eastAsia="宋体" w:cs="Times New Roman"/>
                <w:color w:val="auto"/>
                <w:sz w:val="21"/>
                <w:szCs w:val="21"/>
                <w:highlight w:val="none"/>
                <w:lang w:val="en-US" w:eastAsia="zh-CN"/>
              </w:rPr>
              <w:t>）</w:t>
            </w:r>
          </w:p>
        </w:tc>
      </w:tr>
      <w:tr w14:paraId="161B6D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53" w:hRule="atLeast"/>
          <w:jc w:val="center"/>
        </w:trPr>
        <w:tc>
          <w:tcPr>
            <w:tcW w:w="266" w:type="pct"/>
            <w:vMerge w:val="continue"/>
            <w:tcBorders>
              <w:tl2br w:val="nil"/>
              <w:tr2bl w:val="nil"/>
            </w:tcBorders>
            <w:noWrap w:val="0"/>
            <w:vAlign w:val="center"/>
          </w:tcPr>
          <w:p w14:paraId="3A59820C">
            <w:pPr>
              <w:bidi w:val="0"/>
              <w:rPr>
                <w:rFonts w:hint="default" w:ascii="Times New Roman" w:hAnsi="Times New Roman" w:eastAsia="宋体" w:cs="Times New Roman"/>
                <w:color w:val="auto"/>
                <w:sz w:val="21"/>
                <w:szCs w:val="21"/>
                <w:highlight w:val="none"/>
              </w:rPr>
            </w:pPr>
          </w:p>
        </w:tc>
        <w:tc>
          <w:tcPr>
            <w:tcW w:w="345" w:type="pct"/>
            <w:vMerge w:val="continue"/>
            <w:tcBorders>
              <w:tl2br w:val="nil"/>
              <w:tr2bl w:val="nil"/>
            </w:tcBorders>
            <w:noWrap w:val="0"/>
            <w:vAlign w:val="center"/>
          </w:tcPr>
          <w:p w14:paraId="6F02999A">
            <w:pPr>
              <w:bidi w:val="0"/>
              <w:rPr>
                <w:rFonts w:hint="default" w:ascii="Times New Roman" w:hAnsi="Times New Roman" w:eastAsia="宋体" w:cs="Times New Roman"/>
                <w:color w:val="auto"/>
                <w:sz w:val="21"/>
                <w:szCs w:val="21"/>
                <w:highlight w:val="none"/>
              </w:rPr>
            </w:pPr>
          </w:p>
        </w:tc>
        <w:tc>
          <w:tcPr>
            <w:tcW w:w="301" w:type="pct"/>
            <w:tcBorders>
              <w:tl2br w:val="nil"/>
              <w:tr2bl w:val="nil"/>
            </w:tcBorders>
            <w:noWrap w:val="0"/>
            <w:vAlign w:val="center"/>
          </w:tcPr>
          <w:p w14:paraId="19659095">
            <w:pPr>
              <w:bidi w:val="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c>
          <w:tcPr>
            <w:tcW w:w="1274" w:type="pct"/>
            <w:tcBorders>
              <w:tl2br w:val="nil"/>
              <w:tr2bl w:val="nil"/>
            </w:tcBorders>
            <w:noWrap w:val="0"/>
            <w:vAlign w:val="center"/>
          </w:tcPr>
          <w:p w14:paraId="08BFA001">
            <w:pPr>
              <w:bidi w:val="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雄英</w:t>
            </w:r>
            <w:r>
              <w:rPr>
                <w:rFonts w:hint="default" w:ascii="Times New Roman" w:hAnsi="Times New Roman" w:eastAsia="宋体" w:cs="Times New Roman"/>
                <w:color w:val="auto"/>
                <w:sz w:val="21"/>
                <w:szCs w:val="21"/>
                <w:highlight w:val="none"/>
                <w:lang w:val="en-US" w:eastAsia="zh-CN"/>
              </w:rPr>
              <w:t>101</w:t>
            </w:r>
            <w:r>
              <w:rPr>
                <w:rFonts w:hint="default" w:ascii="Times New Roman" w:hAnsi="Times New Roman" w:eastAsia="宋体" w:cs="Times New Roman"/>
                <w:color w:val="auto"/>
                <w:sz w:val="21"/>
                <w:szCs w:val="21"/>
                <w:highlight w:val="none"/>
              </w:rPr>
              <w:t>井井场</w:t>
            </w:r>
            <w:r>
              <w:rPr>
                <w:rFonts w:hint="default" w:ascii="Times New Roman" w:hAnsi="Times New Roman" w:eastAsia="宋体" w:cs="Times New Roman"/>
                <w:color w:val="auto"/>
                <w:sz w:val="21"/>
                <w:szCs w:val="21"/>
                <w:highlight w:val="none"/>
                <w:lang w:val="en-US" w:eastAsia="zh-CN"/>
              </w:rPr>
              <w:t>外</w:t>
            </w:r>
          </w:p>
          <w:p w14:paraId="1949B0D9">
            <w:pPr>
              <w:bidi w:val="0"/>
              <w:rPr>
                <w:rFonts w:hint="default" w:ascii="Times New Roman" w:hAnsi="Times New Roman" w:eastAsia="宋体" w:cs="Times New Roman"/>
                <w:color w:val="auto"/>
                <w:sz w:val="21"/>
                <w:szCs w:val="21"/>
                <w:highlight w:val="none"/>
              </w:rPr>
            </w:pPr>
          </w:p>
        </w:tc>
        <w:tc>
          <w:tcPr>
            <w:tcW w:w="1140" w:type="pct"/>
            <w:vMerge w:val="continue"/>
            <w:tcBorders>
              <w:tl2br w:val="nil"/>
              <w:tr2bl w:val="nil"/>
            </w:tcBorders>
            <w:noWrap w:val="0"/>
            <w:vAlign w:val="center"/>
          </w:tcPr>
          <w:p w14:paraId="47DD7B99">
            <w:pPr>
              <w:bidi w:val="0"/>
              <w:rPr>
                <w:rFonts w:hint="default" w:ascii="Times New Roman" w:hAnsi="Times New Roman" w:eastAsia="宋体" w:cs="Times New Roman"/>
                <w:color w:val="auto"/>
                <w:sz w:val="21"/>
                <w:szCs w:val="21"/>
                <w:highlight w:val="none"/>
              </w:rPr>
            </w:pPr>
          </w:p>
        </w:tc>
        <w:tc>
          <w:tcPr>
            <w:tcW w:w="1671" w:type="pct"/>
            <w:tcBorders>
              <w:tl2br w:val="nil"/>
              <w:tr2bl w:val="nil"/>
            </w:tcBorders>
            <w:noWrap w:val="0"/>
            <w:vAlign w:val="center"/>
          </w:tcPr>
          <w:p w14:paraId="5543AFAC">
            <w:pPr>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pH、</w:t>
            </w:r>
            <w:r>
              <w:rPr>
                <w:rFonts w:hint="default" w:ascii="Times New Roman" w:hAnsi="Times New Roman" w:eastAsia="宋体" w:cs="Times New Roman"/>
                <w:color w:val="auto"/>
                <w:sz w:val="21"/>
                <w:szCs w:val="21"/>
                <w:highlight w:val="none"/>
                <w:lang w:val="en-US" w:eastAsia="zh-CN"/>
              </w:rPr>
              <w:t>全盐量、石油烃（C</w:t>
            </w:r>
            <w:r>
              <w:rPr>
                <w:rFonts w:hint="default" w:ascii="Times New Roman" w:hAnsi="Times New Roman" w:eastAsia="宋体" w:cs="Times New Roman"/>
                <w:color w:val="auto"/>
                <w:sz w:val="21"/>
                <w:szCs w:val="21"/>
                <w:highlight w:val="none"/>
                <w:vertAlign w:val="subscript"/>
                <w:lang w:val="en-US" w:eastAsia="zh-CN"/>
              </w:rPr>
              <w:t>10</w:t>
            </w:r>
            <w:r>
              <w:rPr>
                <w:rFonts w:hint="default" w:ascii="Times New Roman" w:hAnsi="Times New Roman" w:eastAsia="宋体" w:cs="Times New Roman"/>
                <w:color w:val="auto"/>
                <w:sz w:val="21"/>
                <w:szCs w:val="21"/>
                <w:highlight w:val="none"/>
                <w:lang w:val="en-US" w:eastAsia="zh-CN"/>
              </w:rPr>
              <w:t>~C</w:t>
            </w:r>
            <w:r>
              <w:rPr>
                <w:rFonts w:hint="default" w:ascii="Times New Roman" w:hAnsi="Times New Roman" w:eastAsia="宋体" w:cs="Times New Roman"/>
                <w:color w:val="auto"/>
                <w:sz w:val="21"/>
                <w:szCs w:val="21"/>
                <w:highlight w:val="none"/>
                <w:vertAlign w:val="subscript"/>
                <w:lang w:val="en-US" w:eastAsia="zh-CN"/>
              </w:rPr>
              <w:t>40</w:t>
            </w:r>
            <w:r>
              <w:rPr>
                <w:rFonts w:hint="default" w:ascii="Times New Roman" w:hAnsi="Times New Roman" w:eastAsia="宋体" w:cs="Times New Roman"/>
                <w:color w:val="auto"/>
                <w:sz w:val="21"/>
                <w:szCs w:val="21"/>
                <w:highlight w:val="none"/>
                <w:lang w:val="en-US" w:eastAsia="zh-CN"/>
              </w:rPr>
              <w:t>）</w:t>
            </w:r>
          </w:p>
        </w:tc>
      </w:tr>
      <w:tr w14:paraId="4CFCC4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53" w:hRule="atLeast"/>
          <w:jc w:val="center"/>
        </w:trPr>
        <w:tc>
          <w:tcPr>
            <w:tcW w:w="266" w:type="pct"/>
            <w:vMerge w:val="continue"/>
            <w:tcBorders>
              <w:tl2br w:val="nil"/>
              <w:tr2bl w:val="nil"/>
            </w:tcBorders>
            <w:noWrap w:val="0"/>
            <w:vAlign w:val="center"/>
          </w:tcPr>
          <w:p w14:paraId="64E1DDC1">
            <w:pPr>
              <w:bidi w:val="0"/>
              <w:rPr>
                <w:rFonts w:hint="default" w:ascii="Times New Roman" w:hAnsi="Times New Roman" w:eastAsia="宋体" w:cs="Times New Roman"/>
                <w:color w:val="auto"/>
                <w:sz w:val="21"/>
                <w:szCs w:val="21"/>
                <w:highlight w:val="none"/>
              </w:rPr>
            </w:pPr>
          </w:p>
        </w:tc>
        <w:tc>
          <w:tcPr>
            <w:tcW w:w="345" w:type="pct"/>
            <w:vMerge w:val="continue"/>
            <w:tcBorders>
              <w:tl2br w:val="nil"/>
              <w:tr2bl w:val="nil"/>
            </w:tcBorders>
            <w:noWrap w:val="0"/>
            <w:vAlign w:val="center"/>
          </w:tcPr>
          <w:p w14:paraId="0283E5D6">
            <w:pPr>
              <w:bidi w:val="0"/>
              <w:rPr>
                <w:rFonts w:hint="default" w:ascii="Times New Roman" w:hAnsi="Times New Roman" w:eastAsia="宋体" w:cs="Times New Roman"/>
                <w:color w:val="auto"/>
                <w:sz w:val="21"/>
                <w:szCs w:val="21"/>
                <w:highlight w:val="none"/>
              </w:rPr>
            </w:pPr>
          </w:p>
        </w:tc>
        <w:tc>
          <w:tcPr>
            <w:tcW w:w="301" w:type="pct"/>
            <w:tcBorders>
              <w:tl2br w:val="nil"/>
              <w:tr2bl w:val="nil"/>
            </w:tcBorders>
            <w:noWrap w:val="0"/>
            <w:vAlign w:val="center"/>
          </w:tcPr>
          <w:p w14:paraId="55C9F93D">
            <w:pPr>
              <w:bidi w:val="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1274" w:type="pct"/>
            <w:tcBorders>
              <w:tl2br w:val="nil"/>
              <w:tr2bl w:val="nil"/>
            </w:tcBorders>
            <w:noWrap w:val="0"/>
            <w:vAlign w:val="center"/>
          </w:tcPr>
          <w:p w14:paraId="5B9125FB">
            <w:pPr>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雄英103井</w:t>
            </w:r>
          </w:p>
        </w:tc>
        <w:tc>
          <w:tcPr>
            <w:tcW w:w="1140" w:type="pct"/>
            <w:vMerge w:val="continue"/>
            <w:tcBorders>
              <w:tl2br w:val="nil"/>
              <w:tr2bl w:val="nil"/>
            </w:tcBorders>
            <w:noWrap w:val="0"/>
            <w:vAlign w:val="center"/>
          </w:tcPr>
          <w:p w14:paraId="63009D47">
            <w:pPr>
              <w:bidi w:val="0"/>
              <w:rPr>
                <w:rFonts w:hint="default" w:ascii="Times New Roman" w:hAnsi="Times New Roman" w:eastAsia="宋体" w:cs="Times New Roman"/>
                <w:color w:val="auto"/>
                <w:sz w:val="21"/>
                <w:szCs w:val="21"/>
                <w:highlight w:val="none"/>
              </w:rPr>
            </w:pPr>
          </w:p>
        </w:tc>
        <w:tc>
          <w:tcPr>
            <w:tcW w:w="1671" w:type="pct"/>
            <w:tcBorders>
              <w:tl2br w:val="nil"/>
              <w:tr2bl w:val="nil"/>
            </w:tcBorders>
            <w:noWrap w:val="0"/>
            <w:vAlign w:val="center"/>
          </w:tcPr>
          <w:p w14:paraId="3DA5EB15">
            <w:pPr>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pH、</w:t>
            </w:r>
            <w:r>
              <w:rPr>
                <w:rFonts w:hint="default" w:ascii="Times New Roman" w:hAnsi="Times New Roman" w:eastAsia="宋体" w:cs="Times New Roman"/>
                <w:color w:val="auto"/>
                <w:sz w:val="21"/>
                <w:szCs w:val="21"/>
                <w:highlight w:val="none"/>
                <w:lang w:val="en-US" w:eastAsia="zh-CN"/>
              </w:rPr>
              <w:t>全盐量、石油烃（C</w:t>
            </w:r>
            <w:r>
              <w:rPr>
                <w:rFonts w:hint="default" w:ascii="Times New Roman" w:hAnsi="Times New Roman" w:eastAsia="宋体" w:cs="Times New Roman"/>
                <w:color w:val="auto"/>
                <w:sz w:val="21"/>
                <w:szCs w:val="21"/>
                <w:highlight w:val="none"/>
                <w:vertAlign w:val="subscript"/>
                <w:lang w:val="en-US" w:eastAsia="zh-CN"/>
              </w:rPr>
              <w:t>10</w:t>
            </w:r>
            <w:r>
              <w:rPr>
                <w:rFonts w:hint="default" w:ascii="Times New Roman" w:hAnsi="Times New Roman" w:eastAsia="宋体" w:cs="Times New Roman"/>
                <w:color w:val="auto"/>
                <w:sz w:val="21"/>
                <w:szCs w:val="21"/>
                <w:highlight w:val="none"/>
                <w:lang w:val="en-US" w:eastAsia="zh-CN"/>
              </w:rPr>
              <w:t>~C</w:t>
            </w:r>
            <w:r>
              <w:rPr>
                <w:rFonts w:hint="default" w:ascii="Times New Roman" w:hAnsi="Times New Roman" w:eastAsia="宋体" w:cs="Times New Roman"/>
                <w:color w:val="auto"/>
                <w:sz w:val="21"/>
                <w:szCs w:val="21"/>
                <w:highlight w:val="none"/>
                <w:vertAlign w:val="subscript"/>
                <w:lang w:val="en-US" w:eastAsia="zh-CN"/>
              </w:rPr>
              <w:t>40</w:t>
            </w:r>
            <w:r>
              <w:rPr>
                <w:rFonts w:hint="default" w:ascii="Times New Roman" w:hAnsi="Times New Roman" w:eastAsia="宋体" w:cs="Times New Roman"/>
                <w:color w:val="auto"/>
                <w:sz w:val="21"/>
                <w:szCs w:val="21"/>
                <w:highlight w:val="none"/>
                <w:lang w:val="en-US" w:eastAsia="zh-CN"/>
              </w:rPr>
              <w:t>）</w:t>
            </w:r>
          </w:p>
        </w:tc>
      </w:tr>
      <w:tr w14:paraId="58B1D6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53" w:hRule="atLeast"/>
          <w:jc w:val="center"/>
        </w:trPr>
        <w:tc>
          <w:tcPr>
            <w:tcW w:w="266" w:type="pct"/>
            <w:vMerge w:val="continue"/>
            <w:tcBorders>
              <w:tl2br w:val="nil"/>
              <w:tr2bl w:val="nil"/>
            </w:tcBorders>
            <w:noWrap w:val="0"/>
            <w:vAlign w:val="center"/>
          </w:tcPr>
          <w:p w14:paraId="474042E3">
            <w:pPr>
              <w:bidi w:val="0"/>
              <w:rPr>
                <w:rFonts w:hint="default" w:ascii="Times New Roman" w:hAnsi="Times New Roman" w:eastAsia="宋体" w:cs="Times New Roman"/>
                <w:color w:val="auto"/>
                <w:sz w:val="21"/>
                <w:szCs w:val="21"/>
                <w:highlight w:val="none"/>
              </w:rPr>
            </w:pPr>
          </w:p>
        </w:tc>
        <w:tc>
          <w:tcPr>
            <w:tcW w:w="345" w:type="pct"/>
            <w:vMerge w:val="continue"/>
            <w:tcBorders>
              <w:tl2br w:val="nil"/>
              <w:tr2bl w:val="nil"/>
            </w:tcBorders>
            <w:noWrap w:val="0"/>
            <w:vAlign w:val="center"/>
          </w:tcPr>
          <w:p w14:paraId="5D97B12F">
            <w:pPr>
              <w:bidi w:val="0"/>
              <w:rPr>
                <w:rFonts w:hint="default" w:ascii="Times New Roman" w:hAnsi="Times New Roman" w:eastAsia="宋体" w:cs="Times New Roman"/>
                <w:color w:val="auto"/>
                <w:sz w:val="21"/>
                <w:szCs w:val="21"/>
                <w:highlight w:val="none"/>
              </w:rPr>
            </w:pPr>
          </w:p>
        </w:tc>
        <w:tc>
          <w:tcPr>
            <w:tcW w:w="301" w:type="pct"/>
            <w:tcBorders>
              <w:tl2br w:val="nil"/>
              <w:tr2bl w:val="nil"/>
            </w:tcBorders>
            <w:noWrap w:val="0"/>
            <w:vAlign w:val="center"/>
          </w:tcPr>
          <w:p w14:paraId="2E43A406">
            <w:pPr>
              <w:bidi w:val="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1274" w:type="pct"/>
            <w:tcBorders>
              <w:tl2br w:val="nil"/>
              <w:tr2bl w:val="nil"/>
            </w:tcBorders>
            <w:noWrap w:val="0"/>
            <w:vAlign w:val="center"/>
          </w:tcPr>
          <w:p w14:paraId="27598462">
            <w:pPr>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雄探1试采点</w:t>
            </w:r>
          </w:p>
        </w:tc>
        <w:tc>
          <w:tcPr>
            <w:tcW w:w="1140" w:type="pct"/>
            <w:vMerge w:val="continue"/>
            <w:tcBorders>
              <w:tl2br w:val="nil"/>
              <w:tr2bl w:val="nil"/>
            </w:tcBorders>
            <w:noWrap w:val="0"/>
            <w:vAlign w:val="center"/>
          </w:tcPr>
          <w:p w14:paraId="0C7DCD27">
            <w:pPr>
              <w:bidi w:val="0"/>
              <w:rPr>
                <w:rFonts w:hint="default" w:ascii="Times New Roman" w:hAnsi="Times New Roman" w:eastAsia="宋体" w:cs="Times New Roman"/>
                <w:color w:val="auto"/>
                <w:sz w:val="21"/>
                <w:szCs w:val="21"/>
                <w:highlight w:val="none"/>
              </w:rPr>
            </w:pPr>
          </w:p>
        </w:tc>
        <w:tc>
          <w:tcPr>
            <w:tcW w:w="1671" w:type="pct"/>
            <w:tcBorders>
              <w:tl2br w:val="nil"/>
              <w:tr2bl w:val="nil"/>
            </w:tcBorders>
            <w:noWrap w:val="0"/>
            <w:vAlign w:val="center"/>
          </w:tcPr>
          <w:p w14:paraId="0CC0A303">
            <w:pPr>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pH、</w:t>
            </w:r>
            <w:r>
              <w:rPr>
                <w:rFonts w:hint="default" w:ascii="Times New Roman" w:hAnsi="Times New Roman" w:eastAsia="宋体" w:cs="Times New Roman"/>
                <w:color w:val="auto"/>
                <w:sz w:val="21"/>
                <w:szCs w:val="21"/>
                <w:highlight w:val="none"/>
                <w:lang w:val="en-US" w:eastAsia="zh-CN"/>
              </w:rPr>
              <w:t>全盐量、石油烃（C</w:t>
            </w:r>
            <w:r>
              <w:rPr>
                <w:rFonts w:hint="default" w:ascii="Times New Roman" w:hAnsi="Times New Roman" w:eastAsia="宋体" w:cs="Times New Roman"/>
                <w:color w:val="auto"/>
                <w:sz w:val="21"/>
                <w:szCs w:val="21"/>
                <w:highlight w:val="none"/>
                <w:vertAlign w:val="subscript"/>
                <w:lang w:val="en-US" w:eastAsia="zh-CN"/>
              </w:rPr>
              <w:t>10</w:t>
            </w:r>
            <w:r>
              <w:rPr>
                <w:rFonts w:hint="default" w:ascii="Times New Roman" w:hAnsi="Times New Roman" w:eastAsia="宋体" w:cs="Times New Roman"/>
                <w:color w:val="auto"/>
                <w:sz w:val="21"/>
                <w:szCs w:val="21"/>
                <w:highlight w:val="none"/>
                <w:lang w:val="en-US" w:eastAsia="zh-CN"/>
              </w:rPr>
              <w:t>~C</w:t>
            </w:r>
            <w:r>
              <w:rPr>
                <w:rFonts w:hint="default" w:ascii="Times New Roman" w:hAnsi="Times New Roman" w:eastAsia="宋体" w:cs="Times New Roman"/>
                <w:color w:val="auto"/>
                <w:sz w:val="21"/>
                <w:szCs w:val="21"/>
                <w:highlight w:val="none"/>
                <w:vertAlign w:val="subscript"/>
                <w:lang w:val="en-US" w:eastAsia="zh-CN"/>
              </w:rPr>
              <w:t>40</w:t>
            </w:r>
            <w:r>
              <w:rPr>
                <w:rFonts w:hint="default" w:ascii="Times New Roman" w:hAnsi="Times New Roman" w:eastAsia="宋体" w:cs="Times New Roman"/>
                <w:color w:val="auto"/>
                <w:sz w:val="21"/>
                <w:szCs w:val="21"/>
                <w:highlight w:val="none"/>
                <w:lang w:val="en-US" w:eastAsia="zh-CN"/>
              </w:rPr>
              <w:t>）</w:t>
            </w:r>
          </w:p>
        </w:tc>
      </w:tr>
    </w:tbl>
    <w:p w14:paraId="23669BD1">
      <w:pPr>
        <w:pStyle w:val="79"/>
        <w:bidi w:val="0"/>
        <w:rPr>
          <w:color w:val="auto"/>
          <w:lang w:val="en-US" w:eastAsia="zh-CN"/>
        </w:rPr>
      </w:pPr>
      <w:r>
        <w:rPr>
          <w:rFonts w:hint="eastAsia"/>
          <w:color w:val="auto"/>
          <w:lang w:val="en-US" w:eastAsia="zh-CN"/>
        </w:rPr>
        <w:t>（2） 监测时间</w:t>
      </w:r>
    </w:p>
    <w:p w14:paraId="6DDE62F6">
      <w:pPr>
        <w:pStyle w:val="79"/>
        <w:bidi w:val="0"/>
        <w:rPr>
          <w:rFonts w:hint="default"/>
          <w:color w:val="auto"/>
        </w:rPr>
      </w:pPr>
      <w:r>
        <w:rPr>
          <w:rFonts w:hint="default"/>
          <w:color w:val="auto"/>
        </w:rPr>
        <w:t>土壤监测采样日期为</w:t>
      </w:r>
      <w:r>
        <w:rPr>
          <w:rFonts w:hint="default"/>
          <w:color w:val="auto"/>
          <w:lang w:val="en-US" w:eastAsia="zh-CN"/>
        </w:rPr>
        <w:t>202</w:t>
      </w:r>
      <w:r>
        <w:rPr>
          <w:rFonts w:hint="eastAsia"/>
          <w:color w:val="auto"/>
          <w:lang w:val="en-US" w:eastAsia="zh-CN"/>
        </w:rPr>
        <w:t>5</w:t>
      </w:r>
      <w:r>
        <w:rPr>
          <w:rFonts w:hint="default"/>
          <w:color w:val="auto"/>
        </w:rPr>
        <w:t>年</w:t>
      </w:r>
      <w:r>
        <w:rPr>
          <w:rFonts w:hint="eastAsia"/>
          <w:color w:val="auto"/>
          <w:lang w:val="en-US" w:eastAsia="zh-CN"/>
        </w:rPr>
        <w:t>2月</w:t>
      </w:r>
      <w:r>
        <w:rPr>
          <w:rFonts w:hint="default"/>
          <w:color w:val="auto"/>
        </w:rPr>
        <w:t>，</w:t>
      </w:r>
      <w:r>
        <w:rPr>
          <w:rFonts w:hint="eastAsia"/>
          <w:color w:val="auto"/>
        </w:rPr>
        <w:t>监测单位为</w:t>
      </w:r>
      <w:r>
        <w:rPr>
          <w:rFonts w:hint="eastAsia"/>
          <w:color w:val="auto"/>
          <w:lang w:val="en-US" w:eastAsia="zh-CN"/>
        </w:rPr>
        <w:t>新疆昇腾环保科技有限公司</w:t>
      </w:r>
      <w:r>
        <w:rPr>
          <w:rFonts w:hint="eastAsia"/>
          <w:color w:val="auto"/>
        </w:rPr>
        <w:t>。</w:t>
      </w:r>
    </w:p>
    <w:p w14:paraId="42AD95C2">
      <w:pPr>
        <w:pStyle w:val="79"/>
        <w:bidi w:val="0"/>
        <w:rPr>
          <w:color w:val="auto"/>
          <w:lang w:val="en-US" w:eastAsia="zh-CN"/>
        </w:rPr>
      </w:pPr>
      <w:r>
        <w:rPr>
          <w:rFonts w:hint="eastAsia"/>
          <w:color w:val="auto"/>
          <w:lang w:val="en-US" w:eastAsia="zh-CN"/>
        </w:rPr>
        <w:t>（3） 监测因子</w:t>
      </w:r>
    </w:p>
    <w:p w14:paraId="76EE9906">
      <w:pPr>
        <w:pStyle w:val="79"/>
        <w:bidi w:val="0"/>
        <w:rPr>
          <w:rFonts w:hint="eastAsia"/>
          <w:color w:val="auto"/>
          <w:lang w:val="en-US" w:eastAsia="zh-CN"/>
        </w:rPr>
      </w:pPr>
      <w:r>
        <w:rPr>
          <w:rFonts w:hint="eastAsia"/>
          <w:color w:val="auto"/>
          <w:lang w:val="en-US" w:eastAsia="zh-CN"/>
        </w:rPr>
        <w:t>土壤监测因子如下：</w:t>
      </w:r>
    </w:p>
    <w:p w14:paraId="1DC629EE">
      <w:pPr>
        <w:pStyle w:val="79"/>
        <w:bidi w:val="0"/>
        <w:rPr>
          <w:rFonts w:hint="default"/>
          <w:color w:val="auto"/>
          <w:lang w:val="en-US" w:eastAsia="zh-CN"/>
        </w:rPr>
      </w:pPr>
      <w:r>
        <w:rPr>
          <w:rFonts w:hint="eastAsia"/>
          <w:color w:val="auto"/>
          <w:lang w:val="en-US" w:eastAsia="zh-CN"/>
        </w:rPr>
        <w:t>1）占地内基本因子：《土壤环境质量建设用地土壤污染风险管控标准（试行）》（GB36600-2018）第二类用地的45项基本因子：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pH值及全盐量。</w:t>
      </w:r>
    </w:p>
    <w:p w14:paraId="65A8E4BD">
      <w:pPr>
        <w:pStyle w:val="79"/>
        <w:bidi w:val="0"/>
        <w:rPr>
          <w:rFonts w:hint="eastAsia"/>
          <w:color w:val="auto"/>
          <w:lang w:val="en-US" w:eastAsia="zh-CN"/>
        </w:rPr>
      </w:pPr>
      <w:r>
        <w:rPr>
          <w:rFonts w:hint="eastAsia"/>
          <w:color w:val="auto"/>
          <w:lang w:val="en-US" w:eastAsia="zh-CN"/>
        </w:rPr>
        <w:t>占地范围外基本因子：《土壤环境质量 农用地土壤污染风险管控标准（试行）》（GB15618-2018），监测项目：pH、镉、汞、砷、铅、铬、铜、镍、锌。</w:t>
      </w:r>
    </w:p>
    <w:p w14:paraId="370B6B34">
      <w:pPr>
        <w:pStyle w:val="79"/>
        <w:bidi w:val="0"/>
        <w:rPr>
          <w:rFonts w:hint="eastAsia"/>
          <w:color w:val="auto"/>
          <w:lang w:val="en-US" w:eastAsia="zh-CN"/>
        </w:rPr>
      </w:pPr>
      <w:r>
        <w:rPr>
          <w:rFonts w:hint="eastAsia"/>
          <w:color w:val="auto"/>
          <w:lang w:val="en-US" w:eastAsia="zh-CN"/>
        </w:rPr>
        <w:t>2）特征因子：石油烃。</w:t>
      </w:r>
    </w:p>
    <w:p w14:paraId="6A198A3C">
      <w:pPr>
        <w:pStyle w:val="79"/>
        <w:bidi w:val="0"/>
        <w:rPr>
          <w:rFonts w:hint="eastAsia"/>
          <w:color w:val="auto"/>
          <w:lang w:val="en-US" w:eastAsia="zh-CN"/>
        </w:rPr>
      </w:pPr>
      <w:r>
        <w:rPr>
          <w:rFonts w:hint="eastAsia"/>
          <w:color w:val="auto"/>
          <w:lang w:val="en-US" w:eastAsia="zh-CN"/>
        </w:rPr>
        <w:t>（4） 监测及分析方法</w:t>
      </w:r>
    </w:p>
    <w:p w14:paraId="446170E5">
      <w:pPr>
        <w:pStyle w:val="79"/>
        <w:bidi w:val="0"/>
        <w:rPr>
          <w:color w:val="auto"/>
        </w:rPr>
      </w:pPr>
      <w:r>
        <w:rPr>
          <w:rFonts w:hint="eastAsia"/>
          <w:color w:val="auto"/>
        </w:rPr>
        <w:t>参照相应国标或《环境监测分析方法》《土壤元素的近代分析方法》《土壤环境监测技术规范》的有关章节的要求进行采样及分析。每个表层样在0~20cm取1个土样；每个柱状样在0-0.5m、0.5-1.5m、1.5-3m分别取1个土样</w:t>
      </w:r>
      <w:r>
        <w:rPr>
          <w:color w:val="auto"/>
        </w:rPr>
        <w:t>。</w:t>
      </w:r>
    </w:p>
    <w:p w14:paraId="4D0A8128">
      <w:pPr>
        <w:pStyle w:val="79"/>
        <w:bidi w:val="0"/>
        <w:rPr>
          <w:rFonts w:hint="eastAsia"/>
          <w:color w:val="auto"/>
          <w:lang w:val="en-US" w:eastAsia="zh-CN"/>
        </w:rPr>
      </w:pPr>
      <w:r>
        <w:rPr>
          <w:rFonts w:hint="eastAsia"/>
          <w:color w:val="auto"/>
          <w:lang w:val="en-US" w:eastAsia="zh-CN"/>
        </w:rPr>
        <w:t>（5） 评价标准</w:t>
      </w:r>
    </w:p>
    <w:p w14:paraId="1149A7F8">
      <w:pPr>
        <w:pStyle w:val="79"/>
        <w:bidi w:val="0"/>
        <w:rPr>
          <w:rFonts w:hint="default"/>
          <w:color w:val="auto"/>
        </w:rPr>
      </w:pPr>
      <w:r>
        <w:rPr>
          <w:rFonts w:hint="default"/>
          <w:color w:val="auto"/>
        </w:rPr>
        <w:t>执行《土壤环境质量 建设用地土壤污染风险管控标准（试行）》（GB36600-2018）第二类用地筛选值及《土壤环境质量 农用地土壤污染风险管控标准（试行）》（GB15618-2018）相关标准要求。</w:t>
      </w:r>
    </w:p>
    <w:p w14:paraId="3018570E">
      <w:pPr>
        <w:pStyle w:val="79"/>
        <w:bidi w:val="0"/>
        <w:rPr>
          <w:color w:val="auto"/>
          <w:lang w:val="en-US" w:eastAsia="zh-CN"/>
        </w:rPr>
      </w:pPr>
      <w:r>
        <w:rPr>
          <w:rFonts w:hint="eastAsia"/>
          <w:color w:val="auto"/>
          <w:lang w:val="en-US" w:eastAsia="zh-CN"/>
        </w:rPr>
        <w:t>（6） 评价方法</w:t>
      </w:r>
    </w:p>
    <w:p w14:paraId="5AA33747">
      <w:pPr>
        <w:pStyle w:val="79"/>
        <w:bidi w:val="0"/>
        <w:rPr>
          <w:rFonts w:hint="default"/>
          <w:color w:val="auto"/>
        </w:rPr>
      </w:pPr>
      <w:r>
        <w:rPr>
          <w:rFonts w:hint="default"/>
          <w:color w:val="auto"/>
        </w:rPr>
        <w:t>采用标准指数法：</w:t>
      </w:r>
    </w:p>
    <w:p w14:paraId="05EF7096">
      <w:pPr>
        <w:keepNext w:val="0"/>
        <w:pageBreakBefore w:val="0"/>
        <w:widowControl/>
        <w:kinsoku/>
        <w:wordWrap/>
        <w:overflowPunct/>
        <w:topLinePunct w:val="0"/>
        <w:autoSpaceDE/>
        <w:autoSpaceDN/>
        <w:bidi w:val="0"/>
        <w:spacing w:line="360" w:lineRule="auto"/>
        <w:ind w:firstLine="420" w:firstLineChars="200"/>
        <w:jc w:val="left"/>
        <w:textAlignment w:val="auto"/>
        <w:rPr>
          <w:rFonts w:hint="default" w:ascii="Times New Roman" w:hAnsi="Times New Roman" w:cs="Times New Roman"/>
          <w:color w:val="auto"/>
          <w:kern w:val="0"/>
          <w:sz w:val="24"/>
          <w:szCs w:val="24"/>
          <w:highlight w:val="none"/>
        </w:rPr>
      </w:pPr>
      <w:r>
        <w:rPr>
          <w:rFonts w:hint="default"/>
          <w:color w:val="auto"/>
        </w:rPr>
        <w:pict>
          <v:shape id="Object 569" o:spid="_x0000_s2066" o:spt="75" type="#_x0000_t75" style="position:absolute;left:0pt;margin-left:156.15pt;margin-top:5.75pt;height:38.85pt;width:81pt;z-index:251691008;mso-width-relative:page;mso-height-relative:page;" o:ole="t" filled="f" o:preferrelative="t" stroked="f" coordsize="21600,21600">
            <v:path/>
            <v:fill on="f" focussize="0,0"/>
            <v:stroke on="f"/>
            <v:imagedata r:id="rId21" o:title=""/>
            <o:lock v:ext="edit" aspectratio="t"/>
          </v:shape>
          <o:OLEObject Type="Embed" ProgID="" ShapeID="Object 569" DrawAspect="Content" ObjectID="_1468075726" r:id="rId20">
            <o:LockedField>false</o:LockedField>
          </o:OLEObject>
        </w:pict>
      </w:r>
    </w:p>
    <w:p w14:paraId="3F78EFEF">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color w:val="auto"/>
          <w:kern w:val="0"/>
          <w:sz w:val="24"/>
          <w:szCs w:val="24"/>
          <w:highlight w:val="none"/>
        </w:rPr>
      </w:pPr>
    </w:p>
    <w:p w14:paraId="1A73DDA9">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式中：Ci——i污染物的监测值；</w:t>
      </w:r>
    </w:p>
    <w:p w14:paraId="58CF5AAF">
      <w:pPr>
        <w:keepNext w:val="0"/>
        <w:keepLines w:val="0"/>
        <w:pageBreakBefore w:val="0"/>
        <w:widowControl/>
        <w:kinsoku/>
        <w:wordWrap/>
        <w:overflowPunct/>
        <w:topLinePunct w:val="0"/>
        <w:autoSpaceDE/>
        <w:autoSpaceDN/>
        <w:bidi w:val="0"/>
        <w:adjustRightInd/>
        <w:snapToGrid/>
        <w:spacing w:line="480" w:lineRule="exact"/>
        <w:ind w:firstLine="1200" w:firstLineChars="500"/>
        <w:jc w:val="left"/>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Si——i污染物的评价标准值；</w:t>
      </w:r>
    </w:p>
    <w:p w14:paraId="7A9741D6">
      <w:pPr>
        <w:keepNext w:val="0"/>
        <w:keepLines w:val="0"/>
        <w:pageBreakBefore w:val="0"/>
        <w:kinsoku/>
        <w:wordWrap/>
        <w:overflowPunct/>
        <w:topLinePunct w:val="0"/>
        <w:autoSpaceDE/>
        <w:autoSpaceDN/>
        <w:bidi w:val="0"/>
        <w:adjustRightInd/>
        <w:snapToGrid/>
        <w:spacing w:line="480" w:lineRule="exact"/>
        <w:ind w:firstLine="1200" w:firstLineChars="500"/>
        <w:textAlignment w:val="auto"/>
        <w:rPr>
          <w:rFonts w:hint="default"/>
          <w:color w:val="auto"/>
        </w:rPr>
      </w:pPr>
      <w:r>
        <w:rPr>
          <w:rFonts w:hint="default" w:ascii="Times New Roman" w:hAnsi="Times New Roman" w:cs="Times New Roman"/>
          <w:color w:val="auto"/>
          <w:kern w:val="0"/>
          <w:sz w:val="24"/>
          <w:szCs w:val="24"/>
          <w:highlight w:val="none"/>
        </w:rPr>
        <w:t>Pi——i污染物的污染指数</w:t>
      </w:r>
    </w:p>
    <w:p w14:paraId="0AB6C22B">
      <w:pPr>
        <w:pStyle w:val="54"/>
        <w:bidi w:val="0"/>
        <w:rPr>
          <w:rFonts w:hint="default"/>
          <w:color w:val="auto"/>
        </w:rPr>
      </w:pPr>
      <w:r>
        <w:rPr>
          <w:rFonts w:hint="eastAsia"/>
          <w:color w:val="auto"/>
          <w:lang w:val="en-US" w:eastAsia="zh-CN"/>
        </w:rPr>
        <w:t>4.5.4</w:t>
      </w:r>
      <w:r>
        <w:rPr>
          <w:rFonts w:hint="default"/>
          <w:color w:val="auto"/>
        </w:rPr>
        <w:t>土壤环境现状评价</w:t>
      </w:r>
    </w:p>
    <w:p w14:paraId="5F50E849">
      <w:pPr>
        <w:pStyle w:val="79"/>
        <w:bidi w:val="0"/>
        <w:rPr>
          <w:rFonts w:hint="default"/>
          <w:color w:val="auto"/>
        </w:rPr>
      </w:pPr>
      <w:r>
        <w:rPr>
          <w:rFonts w:hint="default"/>
          <w:color w:val="auto"/>
        </w:rPr>
        <w:t>土壤现状监测与评价结果见表4.</w:t>
      </w:r>
      <w:r>
        <w:rPr>
          <w:rFonts w:hint="eastAsia"/>
          <w:color w:val="auto"/>
          <w:lang w:val="en-US" w:eastAsia="zh-CN"/>
        </w:rPr>
        <w:t>5-3</w:t>
      </w:r>
      <w:r>
        <w:rPr>
          <w:rFonts w:hint="default"/>
          <w:color w:val="auto"/>
        </w:rPr>
        <w:t>、4.</w:t>
      </w:r>
      <w:r>
        <w:rPr>
          <w:rFonts w:hint="eastAsia"/>
          <w:color w:val="auto"/>
          <w:lang w:val="en-US" w:eastAsia="zh-CN"/>
        </w:rPr>
        <w:t>5</w:t>
      </w:r>
      <w:r>
        <w:rPr>
          <w:rFonts w:hint="default"/>
          <w:color w:val="auto"/>
        </w:rPr>
        <w:t>-4、4.</w:t>
      </w:r>
      <w:r>
        <w:rPr>
          <w:rFonts w:hint="eastAsia"/>
          <w:color w:val="auto"/>
          <w:lang w:val="en-US" w:eastAsia="zh-CN"/>
        </w:rPr>
        <w:t>5</w:t>
      </w:r>
      <w:r>
        <w:rPr>
          <w:rFonts w:hint="default"/>
          <w:color w:val="auto"/>
        </w:rPr>
        <w:t>-5、4.</w:t>
      </w:r>
      <w:r>
        <w:rPr>
          <w:rFonts w:hint="eastAsia"/>
          <w:color w:val="auto"/>
          <w:lang w:val="en-US" w:eastAsia="zh-CN"/>
        </w:rPr>
        <w:t>5</w:t>
      </w:r>
      <w:r>
        <w:rPr>
          <w:rFonts w:hint="default"/>
          <w:color w:val="auto"/>
        </w:rPr>
        <w:t>-6、4.</w:t>
      </w:r>
      <w:r>
        <w:rPr>
          <w:rFonts w:hint="eastAsia"/>
          <w:color w:val="auto"/>
          <w:lang w:val="en-US" w:eastAsia="zh-CN"/>
        </w:rPr>
        <w:t>5</w:t>
      </w:r>
      <w:r>
        <w:rPr>
          <w:rFonts w:hint="default"/>
          <w:color w:val="auto"/>
        </w:rPr>
        <w:t>-</w:t>
      </w:r>
      <w:r>
        <w:rPr>
          <w:rFonts w:hint="eastAsia"/>
          <w:color w:val="auto"/>
          <w:lang w:val="en-US" w:eastAsia="zh-CN"/>
        </w:rPr>
        <w:t>7</w:t>
      </w:r>
      <w:r>
        <w:rPr>
          <w:rFonts w:hint="default"/>
          <w:color w:val="auto"/>
        </w:rPr>
        <w:t>。</w:t>
      </w:r>
    </w:p>
    <w:p w14:paraId="479C33AA">
      <w:pPr>
        <w:pStyle w:val="61"/>
        <w:bidi w:val="0"/>
        <w:jc w:val="both"/>
        <w:rPr>
          <w:rFonts w:hint="eastAsia"/>
          <w:color w:val="auto"/>
          <w:lang w:val="en-US" w:eastAsia="zh-CN"/>
        </w:rPr>
      </w:pPr>
    </w:p>
    <w:p w14:paraId="4B5A6958">
      <w:pPr>
        <w:pStyle w:val="61"/>
        <w:bidi w:val="0"/>
        <w:jc w:val="both"/>
        <w:rPr>
          <w:rFonts w:hint="eastAsia"/>
          <w:color w:val="auto"/>
          <w:lang w:val="en-US" w:eastAsia="zh-CN"/>
        </w:rPr>
      </w:pPr>
    </w:p>
    <w:p w14:paraId="4A1657EC">
      <w:pPr>
        <w:pStyle w:val="61"/>
        <w:bidi w:val="0"/>
        <w:jc w:val="both"/>
        <w:rPr>
          <w:rFonts w:hint="default"/>
          <w:color w:val="auto"/>
          <w:lang w:val="en-US" w:eastAsia="zh-CN"/>
        </w:rPr>
      </w:pPr>
      <w:r>
        <w:rPr>
          <w:rFonts w:hint="eastAsia"/>
          <w:color w:val="auto"/>
          <w:lang w:val="en-US" w:eastAsia="zh-CN"/>
        </w:rPr>
        <w:t>表4.5-3   占地范围内表层样土壤环境质量评价（雄英102井场内</w:t>
      </w:r>
      <w:r>
        <w:rPr>
          <w:rFonts w:hint="default"/>
          <w:color w:val="auto"/>
          <w:lang w:val="en-US" w:eastAsia="zh-CN"/>
        </w:rPr>
        <w:t>）</w:t>
      </w:r>
    </w:p>
    <w:tbl>
      <w:tblPr>
        <w:tblStyle w:val="36"/>
        <w:tblW w:w="4999"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788"/>
        <w:gridCol w:w="2242"/>
        <w:gridCol w:w="1288"/>
        <w:gridCol w:w="1270"/>
        <w:gridCol w:w="1263"/>
        <w:gridCol w:w="1240"/>
        <w:gridCol w:w="741"/>
      </w:tblGrid>
      <w:tr w14:paraId="3BDD21D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3163" w:type="pct"/>
            <w:gridSpan w:val="4"/>
            <w:tcBorders>
              <w:tl2br w:val="nil"/>
              <w:tr2bl w:val="nil"/>
            </w:tcBorders>
            <w:noWrap/>
            <w:vAlign w:val="center"/>
          </w:tcPr>
          <w:p w14:paraId="515E84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监测点位</w:t>
            </w:r>
          </w:p>
        </w:tc>
        <w:tc>
          <w:tcPr>
            <w:tcW w:w="1836" w:type="pct"/>
            <w:gridSpan w:val="3"/>
            <w:tcBorders>
              <w:tl2br w:val="nil"/>
              <w:tr2bl w:val="nil"/>
            </w:tcBorders>
            <w:noWrap/>
            <w:vAlign w:val="center"/>
          </w:tcPr>
          <w:p w14:paraId="7814FD41">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雄英102井场内</w:t>
            </w:r>
          </w:p>
        </w:tc>
      </w:tr>
      <w:tr w14:paraId="2212DB3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3163" w:type="pct"/>
            <w:gridSpan w:val="4"/>
            <w:tcBorders>
              <w:tl2br w:val="nil"/>
              <w:tr2bl w:val="nil"/>
            </w:tcBorders>
            <w:noWrap/>
            <w:vAlign w:val="center"/>
          </w:tcPr>
          <w:p w14:paraId="2C4A3F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采样深度</w:t>
            </w:r>
          </w:p>
        </w:tc>
        <w:tc>
          <w:tcPr>
            <w:tcW w:w="1836" w:type="pct"/>
            <w:gridSpan w:val="3"/>
            <w:tcBorders>
              <w:tl2br w:val="nil"/>
              <w:tr2bl w:val="nil"/>
            </w:tcBorders>
            <w:noWrap/>
            <w:vAlign w:val="center"/>
          </w:tcPr>
          <w:p w14:paraId="64CC3A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0-20cm</w:t>
            </w:r>
          </w:p>
        </w:tc>
      </w:tr>
      <w:tr w14:paraId="42CAD92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06BCA9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序号</w:t>
            </w:r>
          </w:p>
        </w:tc>
        <w:tc>
          <w:tcPr>
            <w:tcW w:w="1269" w:type="pct"/>
            <w:tcBorders>
              <w:tl2br w:val="nil"/>
              <w:tr2bl w:val="nil"/>
            </w:tcBorders>
            <w:vAlign w:val="center"/>
          </w:tcPr>
          <w:p w14:paraId="196B8A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检测项目</w:t>
            </w:r>
          </w:p>
        </w:tc>
        <w:tc>
          <w:tcPr>
            <w:tcW w:w="729" w:type="pct"/>
            <w:tcBorders>
              <w:tl2br w:val="nil"/>
              <w:tr2bl w:val="nil"/>
            </w:tcBorders>
            <w:vAlign w:val="center"/>
          </w:tcPr>
          <w:p w14:paraId="4E3145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单位</w:t>
            </w:r>
          </w:p>
        </w:tc>
        <w:tc>
          <w:tcPr>
            <w:tcW w:w="717" w:type="pct"/>
            <w:tcBorders>
              <w:tl2br w:val="nil"/>
              <w:tr2bl w:val="nil"/>
            </w:tcBorders>
            <w:vAlign w:val="center"/>
          </w:tcPr>
          <w:p w14:paraId="686EC5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筛选值（第二类用地）</w:t>
            </w:r>
          </w:p>
        </w:tc>
        <w:tc>
          <w:tcPr>
            <w:tcW w:w="715" w:type="pct"/>
            <w:tcBorders>
              <w:tl2br w:val="nil"/>
              <w:tr2bl w:val="nil"/>
            </w:tcBorders>
            <w:vAlign w:val="center"/>
          </w:tcPr>
          <w:p w14:paraId="7BB462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监测数据</w:t>
            </w:r>
          </w:p>
        </w:tc>
        <w:tc>
          <w:tcPr>
            <w:tcW w:w="702" w:type="pct"/>
            <w:tcBorders>
              <w:tl2br w:val="nil"/>
              <w:tr2bl w:val="nil"/>
            </w:tcBorders>
            <w:vAlign w:val="center"/>
          </w:tcPr>
          <w:p w14:paraId="2266BD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Pi</w:t>
            </w:r>
          </w:p>
        </w:tc>
        <w:tc>
          <w:tcPr>
            <w:tcW w:w="418" w:type="pct"/>
            <w:tcBorders>
              <w:tl2br w:val="nil"/>
              <w:tr2bl w:val="nil"/>
            </w:tcBorders>
            <w:vAlign w:val="center"/>
          </w:tcPr>
          <w:p w14:paraId="77ADAE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达标情况</w:t>
            </w:r>
          </w:p>
        </w:tc>
      </w:tr>
      <w:tr w14:paraId="65BC584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16A866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269" w:type="pct"/>
            <w:tcBorders>
              <w:tl2br w:val="nil"/>
              <w:tr2bl w:val="nil"/>
            </w:tcBorders>
            <w:vAlign w:val="center"/>
          </w:tcPr>
          <w:p w14:paraId="27052D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pH</w:t>
            </w:r>
            <w:r>
              <w:rPr>
                <w:rStyle w:val="141"/>
                <w:rFonts w:hint="default" w:ascii="Times New Roman" w:hAnsi="Times New Roman" w:eastAsia="宋体" w:cs="Times New Roman"/>
                <w:color w:val="auto"/>
                <w:sz w:val="21"/>
                <w:szCs w:val="21"/>
                <w:highlight w:val="none"/>
                <w:lang w:val="en-US" w:eastAsia="zh-CN" w:bidi="ar"/>
              </w:rPr>
              <w:t xml:space="preserve"> </w:t>
            </w:r>
            <w:r>
              <w:rPr>
                <w:rStyle w:val="142"/>
                <w:rFonts w:hint="default" w:ascii="Times New Roman" w:hAnsi="Times New Roman" w:eastAsia="宋体" w:cs="Times New Roman"/>
                <w:color w:val="auto"/>
                <w:sz w:val="21"/>
                <w:szCs w:val="21"/>
                <w:highlight w:val="none"/>
                <w:lang w:val="en-US" w:eastAsia="zh-CN" w:bidi="ar"/>
              </w:rPr>
              <w:t>值</w:t>
            </w:r>
          </w:p>
        </w:tc>
        <w:tc>
          <w:tcPr>
            <w:tcW w:w="729" w:type="pct"/>
            <w:tcBorders>
              <w:tl2br w:val="nil"/>
              <w:tr2bl w:val="nil"/>
            </w:tcBorders>
            <w:vAlign w:val="center"/>
          </w:tcPr>
          <w:p w14:paraId="6AADC8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无量纲</w:t>
            </w:r>
          </w:p>
        </w:tc>
        <w:tc>
          <w:tcPr>
            <w:tcW w:w="717" w:type="pct"/>
            <w:tcBorders>
              <w:tl2br w:val="nil"/>
              <w:tr2bl w:val="nil"/>
            </w:tcBorders>
            <w:vAlign w:val="center"/>
          </w:tcPr>
          <w:p w14:paraId="4EE441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15" w:type="pct"/>
            <w:tcBorders>
              <w:tl2br w:val="nil"/>
              <w:tr2bl w:val="nil"/>
            </w:tcBorders>
            <w:vAlign w:val="center"/>
          </w:tcPr>
          <w:p w14:paraId="0EB29F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lang w:val="en-US" w:eastAsia="zh-CN"/>
              </w:rPr>
            </w:pPr>
          </w:p>
        </w:tc>
        <w:tc>
          <w:tcPr>
            <w:tcW w:w="702" w:type="pct"/>
            <w:tcBorders>
              <w:tl2br w:val="nil"/>
              <w:tr2bl w:val="nil"/>
            </w:tcBorders>
            <w:vAlign w:val="center"/>
          </w:tcPr>
          <w:p w14:paraId="288472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lang w:val="en-US" w:eastAsia="zh-CN"/>
              </w:rPr>
            </w:pPr>
          </w:p>
        </w:tc>
        <w:tc>
          <w:tcPr>
            <w:tcW w:w="418" w:type="pct"/>
            <w:tcBorders>
              <w:tl2br w:val="nil"/>
              <w:tr2bl w:val="nil"/>
            </w:tcBorders>
            <w:vAlign w:val="center"/>
          </w:tcPr>
          <w:p w14:paraId="5E7806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lang w:val="en-US" w:eastAsia="zh-CN"/>
              </w:rPr>
            </w:pPr>
          </w:p>
        </w:tc>
      </w:tr>
      <w:tr w14:paraId="5170183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3D11BA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269" w:type="pct"/>
            <w:tcBorders>
              <w:tl2br w:val="nil"/>
              <w:tr2bl w:val="nil"/>
            </w:tcBorders>
            <w:vAlign w:val="center"/>
          </w:tcPr>
          <w:p w14:paraId="103AE7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砷</w:t>
            </w:r>
          </w:p>
        </w:tc>
        <w:tc>
          <w:tcPr>
            <w:tcW w:w="729" w:type="pct"/>
            <w:tcBorders>
              <w:tl2br w:val="nil"/>
              <w:tr2bl w:val="nil"/>
            </w:tcBorders>
            <w:vAlign w:val="center"/>
          </w:tcPr>
          <w:p w14:paraId="7FA1F2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57A2E3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c>
          <w:tcPr>
            <w:tcW w:w="715" w:type="pct"/>
            <w:tcBorders>
              <w:tl2br w:val="nil"/>
              <w:tr2bl w:val="nil"/>
            </w:tcBorders>
            <w:vAlign w:val="center"/>
          </w:tcPr>
          <w:p w14:paraId="05DB88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lang w:val="en-US" w:eastAsia="zh-CN"/>
              </w:rPr>
            </w:pPr>
          </w:p>
        </w:tc>
        <w:tc>
          <w:tcPr>
            <w:tcW w:w="702" w:type="pct"/>
            <w:tcBorders>
              <w:tl2br w:val="nil"/>
              <w:tr2bl w:val="nil"/>
            </w:tcBorders>
            <w:vAlign w:val="center"/>
          </w:tcPr>
          <w:p w14:paraId="448AA7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lang w:val="en-US" w:eastAsia="zh-CN"/>
              </w:rPr>
            </w:pPr>
          </w:p>
        </w:tc>
        <w:tc>
          <w:tcPr>
            <w:tcW w:w="418" w:type="pct"/>
            <w:tcBorders>
              <w:tl2br w:val="nil"/>
              <w:tr2bl w:val="nil"/>
            </w:tcBorders>
            <w:vAlign w:val="center"/>
          </w:tcPr>
          <w:p w14:paraId="1CE745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p>
        </w:tc>
      </w:tr>
      <w:tr w14:paraId="2B7414C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501C01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1269" w:type="pct"/>
            <w:tcBorders>
              <w:tl2br w:val="nil"/>
              <w:tr2bl w:val="nil"/>
            </w:tcBorders>
            <w:vAlign w:val="center"/>
          </w:tcPr>
          <w:p w14:paraId="01F1C8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镉</w:t>
            </w:r>
          </w:p>
        </w:tc>
        <w:tc>
          <w:tcPr>
            <w:tcW w:w="729" w:type="pct"/>
            <w:tcBorders>
              <w:tl2br w:val="nil"/>
              <w:tr2bl w:val="nil"/>
            </w:tcBorders>
            <w:vAlign w:val="center"/>
          </w:tcPr>
          <w:p w14:paraId="2CFBE7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19734E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65</w:t>
            </w:r>
          </w:p>
        </w:tc>
        <w:tc>
          <w:tcPr>
            <w:tcW w:w="715" w:type="pct"/>
            <w:tcBorders>
              <w:tl2br w:val="nil"/>
              <w:tr2bl w:val="nil"/>
            </w:tcBorders>
            <w:vAlign w:val="center"/>
          </w:tcPr>
          <w:p w14:paraId="14CDB3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lang w:val="en-US" w:eastAsia="zh-CN"/>
              </w:rPr>
            </w:pPr>
          </w:p>
        </w:tc>
        <w:tc>
          <w:tcPr>
            <w:tcW w:w="702" w:type="pct"/>
            <w:tcBorders>
              <w:tl2br w:val="nil"/>
              <w:tr2bl w:val="nil"/>
            </w:tcBorders>
            <w:vAlign w:val="center"/>
          </w:tcPr>
          <w:p w14:paraId="526E47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lang w:val="en-US" w:eastAsia="zh-CN"/>
              </w:rPr>
            </w:pPr>
          </w:p>
        </w:tc>
        <w:tc>
          <w:tcPr>
            <w:tcW w:w="418" w:type="pct"/>
            <w:tcBorders>
              <w:tl2br w:val="nil"/>
              <w:tr2bl w:val="nil"/>
            </w:tcBorders>
            <w:vAlign w:val="center"/>
          </w:tcPr>
          <w:p w14:paraId="7A6E6F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p>
        </w:tc>
      </w:tr>
      <w:tr w14:paraId="0A5ECB2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5C7340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1269" w:type="pct"/>
            <w:tcBorders>
              <w:tl2br w:val="nil"/>
              <w:tr2bl w:val="nil"/>
            </w:tcBorders>
            <w:vAlign w:val="center"/>
          </w:tcPr>
          <w:p w14:paraId="1860BD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六价铬</w:t>
            </w:r>
          </w:p>
        </w:tc>
        <w:tc>
          <w:tcPr>
            <w:tcW w:w="729" w:type="pct"/>
            <w:tcBorders>
              <w:tl2br w:val="nil"/>
              <w:tr2bl w:val="nil"/>
            </w:tcBorders>
            <w:vAlign w:val="center"/>
          </w:tcPr>
          <w:p w14:paraId="79C4B4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129A43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5.7</w:t>
            </w:r>
          </w:p>
        </w:tc>
        <w:tc>
          <w:tcPr>
            <w:tcW w:w="715" w:type="pct"/>
            <w:tcBorders>
              <w:tl2br w:val="nil"/>
              <w:tr2bl w:val="nil"/>
            </w:tcBorders>
            <w:vAlign w:val="center"/>
          </w:tcPr>
          <w:p w14:paraId="25F67F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lang w:val="en-US" w:eastAsia="zh-CN"/>
              </w:rPr>
            </w:pPr>
          </w:p>
        </w:tc>
        <w:tc>
          <w:tcPr>
            <w:tcW w:w="702" w:type="pct"/>
            <w:tcBorders>
              <w:tl2br w:val="nil"/>
              <w:tr2bl w:val="nil"/>
            </w:tcBorders>
            <w:vAlign w:val="center"/>
          </w:tcPr>
          <w:p w14:paraId="695C58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lang w:val="en-US" w:eastAsia="zh-CN"/>
              </w:rPr>
            </w:pPr>
          </w:p>
        </w:tc>
        <w:tc>
          <w:tcPr>
            <w:tcW w:w="418" w:type="pct"/>
            <w:tcBorders>
              <w:tl2br w:val="nil"/>
              <w:tr2bl w:val="nil"/>
            </w:tcBorders>
            <w:vAlign w:val="center"/>
          </w:tcPr>
          <w:p w14:paraId="7640AD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p>
        </w:tc>
      </w:tr>
      <w:tr w14:paraId="28BB03F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79C7F9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1269" w:type="pct"/>
            <w:tcBorders>
              <w:tl2br w:val="nil"/>
              <w:tr2bl w:val="nil"/>
            </w:tcBorders>
            <w:vAlign w:val="center"/>
          </w:tcPr>
          <w:p w14:paraId="363FF2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铜</w:t>
            </w:r>
          </w:p>
        </w:tc>
        <w:tc>
          <w:tcPr>
            <w:tcW w:w="729" w:type="pct"/>
            <w:tcBorders>
              <w:tl2br w:val="nil"/>
              <w:tr2bl w:val="nil"/>
            </w:tcBorders>
            <w:vAlign w:val="center"/>
          </w:tcPr>
          <w:p w14:paraId="4C0C79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58AF92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18000</w:t>
            </w:r>
          </w:p>
        </w:tc>
        <w:tc>
          <w:tcPr>
            <w:tcW w:w="715" w:type="pct"/>
            <w:tcBorders>
              <w:tl2br w:val="nil"/>
              <w:tr2bl w:val="nil"/>
            </w:tcBorders>
            <w:vAlign w:val="center"/>
          </w:tcPr>
          <w:p w14:paraId="680E3C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lang w:val="en-US" w:eastAsia="zh-CN"/>
              </w:rPr>
            </w:pPr>
          </w:p>
        </w:tc>
        <w:tc>
          <w:tcPr>
            <w:tcW w:w="702" w:type="pct"/>
            <w:tcBorders>
              <w:tl2br w:val="nil"/>
              <w:tr2bl w:val="nil"/>
            </w:tcBorders>
            <w:vAlign w:val="center"/>
          </w:tcPr>
          <w:p w14:paraId="1DCE74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lang w:val="en-US" w:eastAsia="zh-CN"/>
              </w:rPr>
            </w:pPr>
          </w:p>
        </w:tc>
        <w:tc>
          <w:tcPr>
            <w:tcW w:w="418" w:type="pct"/>
            <w:tcBorders>
              <w:tl2br w:val="nil"/>
              <w:tr2bl w:val="nil"/>
            </w:tcBorders>
            <w:vAlign w:val="center"/>
          </w:tcPr>
          <w:p w14:paraId="6F33FC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lang w:eastAsia="zh-CN"/>
              </w:rPr>
            </w:pPr>
          </w:p>
        </w:tc>
      </w:tr>
      <w:tr w14:paraId="667C26E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6214BB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1269" w:type="pct"/>
            <w:tcBorders>
              <w:tl2br w:val="nil"/>
              <w:tr2bl w:val="nil"/>
            </w:tcBorders>
            <w:vAlign w:val="center"/>
          </w:tcPr>
          <w:p w14:paraId="770570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铅</w:t>
            </w:r>
          </w:p>
        </w:tc>
        <w:tc>
          <w:tcPr>
            <w:tcW w:w="729" w:type="pct"/>
            <w:tcBorders>
              <w:tl2br w:val="nil"/>
              <w:tr2bl w:val="nil"/>
            </w:tcBorders>
            <w:vAlign w:val="center"/>
          </w:tcPr>
          <w:p w14:paraId="6F7EC4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033AB6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800</w:t>
            </w:r>
          </w:p>
        </w:tc>
        <w:tc>
          <w:tcPr>
            <w:tcW w:w="715" w:type="pct"/>
            <w:tcBorders>
              <w:tl2br w:val="nil"/>
              <w:tr2bl w:val="nil"/>
            </w:tcBorders>
            <w:vAlign w:val="center"/>
          </w:tcPr>
          <w:p w14:paraId="59329E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lang w:val="en-US" w:eastAsia="zh-CN"/>
              </w:rPr>
            </w:pPr>
          </w:p>
        </w:tc>
        <w:tc>
          <w:tcPr>
            <w:tcW w:w="702" w:type="pct"/>
            <w:tcBorders>
              <w:tl2br w:val="nil"/>
              <w:tr2bl w:val="nil"/>
            </w:tcBorders>
            <w:vAlign w:val="center"/>
          </w:tcPr>
          <w:p w14:paraId="762890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lang w:val="en-US" w:eastAsia="zh-CN"/>
              </w:rPr>
            </w:pPr>
          </w:p>
        </w:tc>
        <w:tc>
          <w:tcPr>
            <w:tcW w:w="418" w:type="pct"/>
            <w:tcBorders>
              <w:tl2br w:val="nil"/>
              <w:tr2bl w:val="nil"/>
            </w:tcBorders>
            <w:vAlign w:val="center"/>
          </w:tcPr>
          <w:p w14:paraId="737F3C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p>
        </w:tc>
      </w:tr>
      <w:tr w14:paraId="4940F3F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2B4C15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1269" w:type="pct"/>
            <w:tcBorders>
              <w:tl2br w:val="nil"/>
              <w:tr2bl w:val="nil"/>
            </w:tcBorders>
            <w:vAlign w:val="center"/>
          </w:tcPr>
          <w:p w14:paraId="4B6138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总汞</w:t>
            </w:r>
          </w:p>
        </w:tc>
        <w:tc>
          <w:tcPr>
            <w:tcW w:w="729" w:type="pct"/>
            <w:tcBorders>
              <w:tl2br w:val="nil"/>
              <w:tr2bl w:val="nil"/>
            </w:tcBorders>
            <w:vAlign w:val="center"/>
          </w:tcPr>
          <w:p w14:paraId="743D95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38FBC5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38</w:t>
            </w:r>
          </w:p>
        </w:tc>
        <w:tc>
          <w:tcPr>
            <w:tcW w:w="715" w:type="pct"/>
            <w:tcBorders>
              <w:tl2br w:val="nil"/>
              <w:tr2bl w:val="nil"/>
            </w:tcBorders>
            <w:vAlign w:val="center"/>
          </w:tcPr>
          <w:p w14:paraId="477AA9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lang w:val="en-US" w:eastAsia="zh-CN"/>
              </w:rPr>
            </w:pPr>
          </w:p>
        </w:tc>
        <w:tc>
          <w:tcPr>
            <w:tcW w:w="702" w:type="pct"/>
            <w:tcBorders>
              <w:tl2br w:val="nil"/>
              <w:tr2bl w:val="nil"/>
            </w:tcBorders>
            <w:vAlign w:val="center"/>
          </w:tcPr>
          <w:p w14:paraId="244339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lang w:val="en-US" w:eastAsia="zh-CN"/>
              </w:rPr>
            </w:pPr>
          </w:p>
        </w:tc>
        <w:tc>
          <w:tcPr>
            <w:tcW w:w="418" w:type="pct"/>
            <w:tcBorders>
              <w:tl2br w:val="nil"/>
              <w:tr2bl w:val="nil"/>
            </w:tcBorders>
            <w:vAlign w:val="center"/>
          </w:tcPr>
          <w:p w14:paraId="638567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p>
        </w:tc>
      </w:tr>
      <w:tr w14:paraId="6B3D89C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20BF76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1269" w:type="pct"/>
            <w:tcBorders>
              <w:tl2br w:val="nil"/>
              <w:tr2bl w:val="nil"/>
            </w:tcBorders>
            <w:vAlign w:val="center"/>
          </w:tcPr>
          <w:p w14:paraId="3F13F1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镍</w:t>
            </w:r>
          </w:p>
        </w:tc>
        <w:tc>
          <w:tcPr>
            <w:tcW w:w="729" w:type="pct"/>
            <w:tcBorders>
              <w:tl2br w:val="nil"/>
              <w:tr2bl w:val="nil"/>
            </w:tcBorders>
            <w:vAlign w:val="center"/>
          </w:tcPr>
          <w:p w14:paraId="09E4C3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7B9B93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900</w:t>
            </w:r>
          </w:p>
        </w:tc>
        <w:tc>
          <w:tcPr>
            <w:tcW w:w="715" w:type="pct"/>
            <w:tcBorders>
              <w:tl2br w:val="nil"/>
              <w:tr2bl w:val="nil"/>
            </w:tcBorders>
            <w:vAlign w:val="center"/>
          </w:tcPr>
          <w:p w14:paraId="6A6FB1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lang w:val="en-US" w:eastAsia="zh-CN"/>
              </w:rPr>
            </w:pPr>
          </w:p>
        </w:tc>
        <w:tc>
          <w:tcPr>
            <w:tcW w:w="702" w:type="pct"/>
            <w:tcBorders>
              <w:tl2br w:val="nil"/>
              <w:tr2bl w:val="nil"/>
            </w:tcBorders>
            <w:vAlign w:val="center"/>
          </w:tcPr>
          <w:p w14:paraId="454563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lang w:val="en-US" w:eastAsia="zh-CN"/>
              </w:rPr>
            </w:pPr>
          </w:p>
        </w:tc>
        <w:tc>
          <w:tcPr>
            <w:tcW w:w="418" w:type="pct"/>
            <w:tcBorders>
              <w:tl2br w:val="nil"/>
              <w:tr2bl w:val="nil"/>
            </w:tcBorders>
            <w:vAlign w:val="center"/>
          </w:tcPr>
          <w:p w14:paraId="64D575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p>
        </w:tc>
      </w:tr>
      <w:tr w14:paraId="49C6F8D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31F431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1269" w:type="pct"/>
            <w:tcBorders>
              <w:tl2br w:val="nil"/>
              <w:tr2bl w:val="nil"/>
            </w:tcBorders>
            <w:vAlign w:val="center"/>
          </w:tcPr>
          <w:p w14:paraId="3F28D1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四氯化碳</w:t>
            </w:r>
          </w:p>
        </w:tc>
        <w:tc>
          <w:tcPr>
            <w:tcW w:w="729" w:type="pct"/>
            <w:tcBorders>
              <w:tl2br w:val="nil"/>
              <w:tr2bl w:val="nil"/>
            </w:tcBorders>
            <w:vAlign w:val="center"/>
          </w:tcPr>
          <w:p w14:paraId="265700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339408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2.8</w:t>
            </w:r>
          </w:p>
        </w:tc>
        <w:tc>
          <w:tcPr>
            <w:tcW w:w="715" w:type="pct"/>
            <w:tcBorders>
              <w:tl2br w:val="nil"/>
              <w:tr2bl w:val="nil"/>
            </w:tcBorders>
            <w:vAlign w:val="center"/>
          </w:tcPr>
          <w:p w14:paraId="5ECD8E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lang w:val="en-US" w:eastAsia="zh-CN"/>
              </w:rPr>
            </w:pPr>
          </w:p>
        </w:tc>
        <w:tc>
          <w:tcPr>
            <w:tcW w:w="702" w:type="pct"/>
            <w:tcBorders>
              <w:tl2br w:val="nil"/>
              <w:tr2bl w:val="nil"/>
            </w:tcBorders>
            <w:vAlign w:val="center"/>
          </w:tcPr>
          <w:p w14:paraId="2DEC78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lang w:val="en-US" w:eastAsia="zh-CN"/>
              </w:rPr>
            </w:pPr>
          </w:p>
        </w:tc>
        <w:tc>
          <w:tcPr>
            <w:tcW w:w="418" w:type="pct"/>
            <w:tcBorders>
              <w:tl2br w:val="nil"/>
              <w:tr2bl w:val="nil"/>
            </w:tcBorders>
            <w:vAlign w:val="center"/>
          </w:tcPr>
          <w:p w14:paraId="2A912D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p>
        </w:tc>
      </w:tr>
      <w:tr w14:paraId="397F195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538D84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1269" w:type="pct"/>
            <w:tcBorders>
              <w:tl2br w:val="nil"/>
              <w:tr2bl w:val="nil"/>
            </w:tcBorders>
            <w:vAlign w:val="center"/>
          </w:tcPr>
          <w:p w14:paraId="0215A4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氯仿</w:t>
            </w:r>
          </w:p>
        </w:tc>
        <w:tc>
          <w:tcPr>
            <w:tcW w:w="729" w:type="pct"/>
            <w:tcBorders>
              <w:tl2br w:val="nil"/>
              <w:tr2bl w:val="nil"/>
            </w:tcBorders>
            <w:vAlign w:val="center"/>
          </w:tcPr>
          <w:p w14:paraId="1E1BF7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316801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0.9</w:t>
            </w:r>
          </w:p>
        </w:tc>
        <w:tc>
          <w:tcPr>
            <w:tcW w:w="715" w:type="pct"/>
            <w:tcBorders>
              <w:tl2br w:val="nil"/>
              <w:tr2bl w:val="nil"/>
            </w:tcBorders>
            <w:vAlign w:val="center"/>
          </w:tcPr>
          <w:p w14:paraId="714B43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lang w:val="en-US"/>
              </w:rPr>
            </w:pPr>
          </w:p>
        </w:tc>
        <w:tc>
          <w:tcPr>
            <w:tcW w:w="702" w:type="pct"/>
            <w:tcBorders>
              <w:tl2br w:val="nil"/>
              <w:tr2bl w:val="nil"/>
            </w:tcBorders>
            <w:vAlign w:val="center"/>
          </w:tcPr>
          <w:p w14:paraId="26A14F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p>
        </w:tc>
        <w:tc>
          <w:tcPr>
            <w:tcW w:w="418" w:type="pct"/>
            <w:tcBorders>
              <w:tl2br w:val="nil"/>
              <w:tr2bl w:val="nil"/>
            </w:tcBorders>
            <w:vAlign w:val="center"/>
          </w:tcPr>
          <w:p w14:paraId="645655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p>
        </w:tc>
      </w:tr>
      <w:tr w14:paraId="2689E49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4949BC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11</w:t>
            </w:r>
          </w:p>
        </w:tc>
        <w:tc>
          <w:tcPr>
            <w:tcW w:w="1269" w:type="pct"/>
            <w:tcBorders>
              <w:tl2br w:val="nil"/>
              <w:tr2bl w:val="nil"/>
            </w:tcBorders>
            <w:vAlign w:val="center"/>
          </w:tcPr>
          <w:p w14:paraId="64D6B4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氯甲烷</w:t>
            </w:r>
          </w:p>
        </w:tc>
        <w:tc>
          <w:tcPr>
            <w:tcW w:w="729" w:type="pct"/>
            <w:tcBorders>
              <w:tl2br w:val="nil"/>
              <w:tr2bl w:val="nil"/>
            </w:tcBorders>
            <w:vAlign w:val="center"/>
          </w:tcPr>
          <w:p w14:paraId="3244CA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5850FF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37</w:t>
            </w:r>
          </w:p>
        </w:tc>
        <w:tc>
          <w:tcPr>
            <w:tcW w:w="715" w:type="pct"/>
            <w:tcBorders>
              <w:tl2br w:val="nil"/>
              <w:tr2bl w:val="nil"/>
            </w:tcBorders>
            <w:vAlign w:val="center"/>
          </w:tcPr>
          <w:p w14:paraId="581F79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lang w:val="en-US"/>
              </w:rPr>
            </w:pPr>
          </w:p>
        </w:tc>
        <w:tc>
          <w:tcPr>
            <w:tcW w:w="702" w:type="pct"/>
            <w:tcBorders>
              <w:tl2br w:val="nil"/>
              <w:tr2bl w:val="nil"/>
            </w:tcBorders>
            <w:vAlign w:val="center"/>
          </w:tcPr>
          <w:p w14:paraId="2AC012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p>
        </w:tc>
        <w:tc>
          <w:tcPr>
            <w:tcW w:w="418" w:type="pct"/>
            <w:tcBorders>
              <w:tl2br w:val="nil"/>
              <w:tr2bl w:val="nil"/>
            </w:tcBorders>
            <w:vAlign w:val="center"/>
          </w:tcPr>
          <w:p w14:paraId="00D279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p>
        </w:tc>
      </w:tr>
      <w:tr w14:paraId="5F143E7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5B0B55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1269" w:type="pct"/>
            <w:tcBorders>
              <w:tl2br w:val="nil"/>
              <w:tr2bl w:val="nil"/>
            </w:tcBorders>
            <w:vAlign w:val="center"/>
          </w:tcPr>
          <w:p w14:paraId="5FF3FC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1,1-二氯乙烷</w:t>
            </w:r>
          </w:p>
        </w:tc>
        <w:tc>
          <w:tcPr>
            <w:tcW w:w="729" w:type="pct"/>
            <w:tcBorders>
              <w:tl2br w:val="nil"/>
              <w:tr2bl w:val="nil"/>
            </w:tcBorders>
            <w:vAlign w:val="center"/>
          </w:tcPr>
          <w:p w14:paraId="59BA9B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059A8D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715" w:type="pct"/>
            <w:tcBorders>
              <w:tl2br w:val="nil"/>
              <w:tr2bl w:val="nil"/>
            </w:tcBorders>
            <w:vAlign w:val="center"/>
          </w:tcPr>
          <w:p w14:paraId="3AC2B4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lang w:val="en-US"/>
              </w:rPr>
            </w:pPr>
          </w:p>
        </w:tc>
        <w:tc>
          <w:tcPr>
            <w:tcW w:w="702" w:type="pct"/>
            <w:tcBorders>
              <w:tl2br w:val="nil"/>
              <w:tr2bl w:val="nil"/>
            </w:tcBorders>
            <w:vAlign w:val="center"/>
          </w:tcPr>
          <w:p w14:paraId="740ABB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p>
        </w:tc>
        <w:tc>
          <w:tcPr>
            <w:tcW w:w="418" w:type="pct"/>
            <w:tcBorders>
              <w:tl2br w:val="nil"/>
              <w:tr2bl w:val="nil"/>
            </w:tcBorders>
            <w:vAlign w:val="center"/>
          </w:tcPr>
          <w:p w14:paraId="17DCB6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p>
        </w:tc>
      </w:tr>
      <w:tr w14:paraId="01CB993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7F7327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13</w:t>
            </w:r>
          </w:p>
        </w:tc>
        <w:tc>
          <w:tcPr>
            <w:tcW w:w="1269" w:type="pct"/>
            <w:tcBorders>
              <w:tl2br w:val="nil"/>
              <w:tr2bl w:val="nil"/>
            </w:tcBorders>
            <w:vAlign w:val="center"/>
          </w:tcPr>
          <w:p w14:paraId="7051AE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1,2-二氯乙烷</w:t>
            </w:r>
          </w:p>
        </w:tc>
        <w:tc>
          <w:tcPr>
            <w:tcW w:w="729" w:type="pct"/>
            <w:tcBorders>
              <w:tl2br w:val="nil"/>
              <w:tr2bl w:val="nil"/>
            </w:tcBorders>
            <w:vAlign w:val="center"/>
          </w:tcPr>
          <w:p w14:paraId="17480E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41ADBD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715" w:type="pct"/>
            <w:tcBorders>
              <w:tl2br w:val="nil"/>
              <w:tr2bl w:val="nil"/>
            </w:tcBorders>
            <w:vAlign w:val="center"/>
          </w:tcPr>
          <w:p w14:paraId="0AA44B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lang w:val="en-US"/>
              </w:rPr>
            </w:pPr>
          </w:p>
        </w:tc>
        <w:tc>
          <w:tcPr>
            <w:tcW w:w="702" w:type="pct"/>
            <w:tcBorders>
              <w:tl2br w:val="nil"/>
              <w:tr2bl w:val="nil"/>
            </w:tcBorders>
            <w:vAlign w:val="center"/>
          </w:tcPr>
          <w:p w14:paraId="0C6BCA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p>
        </w:tc>
        <w:tc>
          <w:tcPr>
            <w:tcW w:w="418" w:type="pct"/>
            <w:tcBorders>
              <w:tl2br w:val="nil"/>
              <w:tr2bl w:val="nil"/>
            </w:tcBorders>
            <w:vAlign w:val="center"/>
          </w:tcPr>
          <w:p w14:paraId="2EB8E8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p>
        </w:tc>
      </w:tr>
      <w:tr w14:paraId="403E2BF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0EDD00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14</w:t>
            </w:r>
          </w:p>
        </w:tc>
        <w:tc>
          <w:tcPr>
            <w:tcW w:w="1269" w:type="pct"/>
            <w:tcBorders>
              <w:tl2br w:val="nil"/>
              <w:tr2bl w:val="nil"/>
            </w:tcBorders>
            <w:vAlign w:val="center"/>
          </w:tcPr>
          <w:p w14:paraId="1BFD0A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1,1-二氯乙烯</w:t>
            </w:r>
          </w:p>
        </w:tc>
        <w:tc>
          <w:tcPr>
            <w:tcW w:w="729" w:type="pct"/>
            <w:tcBorders>
              <w:tl2br w:val="nil"/>
              <w:tr2bl w:val="nil"/>
            </w:tcBorders>
            <w:vAlign w:val="center"/>
          </w:tcPr>
          <w:p w14:paraId="7D2FF0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702077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66</w:t>
            </w:r>
          </w:p>
        </w:tc>
        <w:tc>
          <w:tcPr>
            <w:tcW w:w="715" w:type="pct"/>
            <w:tcBorders>
              <w:tl2br w:val="nil"/>
              <w:tr2bl w:val="nil"/>
            </w:tcBorders>
            <w:vAlign w:val="center"/>
          </w:tcPr>
          <w:p w14:paraId="50A3DB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lang w:val="en-US"/>
              </w:rPr>
            </w:pPr>
          </w:p>
        </w:tc>
        <w:tc>
          <w:tcPr>
            <w:tcW w:w="702" w:type="pct"/>
            <w:tcBorders>
              <w:tl2br w:val="nil"/>
              <w:tr2bl w:val="nil"/>
            </w:tcBorders>
            <w:vAlign w:val="center"/>
          </w:tcPr>
          <w:p w14:paraId="438877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p>
        </w:tc>
        <w:tc>
          <w:tcPr>
            <w:tcW w:w="418" w:type="pct"/>
            <w:tcBorders>
              <w:tl2br w:val="nil"/>
              <w:tr2bl w:val="nil"/>
            </w:tcBorders>
            <w:vAlign w:val="center"/>
          </w:tcPr>
          <w:p w14:paraId="0D93DD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p>
        </w:tc>
      </w:tr>
      <w:tr w14:paraId="6A22770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029BEE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1269" w:type="pct"/>
            <w:tcBorders>
              <w:tl2br w:val="nil"/>
              <w:tr2bl w:val="nil"/>
            </w:tcBorders>
            <w:vAlign w:val="center"/>
          </w:tcPr>
          <w:p w14:paraId="48D74B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顺式-1,2-二氯乙烯</w:t>
            </w:r>
          </w:p>
        </w:tc>
        <w:tc>
          <w:tcPr>
            <w:tcW w:w="729" w:type="pct"/>
            <w:tcBorders>
              <w:tl2br w:val="nil"/>
              <w:tr2bl w:val="nil"/>
            </w:tcBorders>
            <w:vAlign w:val="center"/>
          </w:tcPr>
          <w:p w14:paraId="63DB28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226803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596</w:t>
            </w:r>
          </w:p>
        </w:tc>
        <w:tc>
          <w:tcPr>
            <w:tcW w:w="715" w:type="pct"/>
            <w:tcBorders>
              <w:tl2br w:val="nil"/>
              <w:tr2bl w:val="nil"/>
            </w:tcBorders>
            <w:vAlign w:val="center"/>
          </w:tcPr>
          <w:p w14:paraId="4245B2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702" w:type="pct"/>
            <w:tcBorders>
              <w:tl2br w:val="nil"/>
              <w:tr2bl w:val="nil"/>
            </w:tcBorders>
            <w:vAlign w:val="center"/>
          </w:tcPr>
          <w:p w14:paraId="782C24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p>
        </w:tc>
        <w:tc>
          <w:tcPr>
            <w:tcW w:w="418" w:type="pct"/>
            <w:tcBorders>
              <w:tl2br w:val="nil"/>
              <w:tr2bl w:val="nil"/>
            </w:tcBorders>
            <w:vAlign w:val="center"/>
          </w:tcPr>
          <w:p w14:paraId="6C5C91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p>
        </w:tc>
      </w:tr>
      <w:tr w14:paraId="252A0E5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1EEEAA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c>
          <w:tcPr>
            <w:tcW w:w="1269" w:type="pct"/>
            <w:tcBorders>
              <w:tl2br w:val="nil"/>
              <w:tr2bl w:val="nil"/>
            </w:tcBorders>
            <w:vAlign w:val="center"/>
          </w:tcPr>
          <w:p w14:paraId="087B84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反式-1,2-二氯乙烯</w:t>
            </w:r>
          </w:p>
        </w:tc>
        <w:tc>
          <w:tcPr>
            <w:tcW w:w="729" w:type="pct"/>
            <w:tcBorders>
              <w:tl2br w:val="nil"/>
              <w:tr2bl w:val="nil"/>
            </w:tcBorders>
            <w:vAlign w:val="center"/>
          </w:tcPr>
          <w:p w14:paraId="1CE333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3768CF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54</w:t>
            </w:r>
          </w:p>
        </w:tc>
        <w:tc>
          <w:tcPr>
            <w:tcW w:w="715" w:type="pct"/>
            <w:tcBorders>
              <w:tl2br w:val="nil"/>
              <w:tr2bl w:val="nil"/>
            </w:tcBorders>
            <w:vAlign w:val="center"/>
          </w:tcPr>
          <w:p w14:paraId="074746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702" w:type="pct"/>
            <w:tcBorders>
              <w:tl2br w:val="nil"/>
              <w:tr2bl w:val="nil"/>
            </w:tcBorders>
            <w:vAlign w:val="center"/>
          </w:tcPr>
          <w:p w14:paraId="2AE69C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p>
        </w:tc>
        <w:tc>
          <w:tcPr>
            <w:tcW w:w="418" w:type="pct"/>
            <w:tcBorders>
              <w:tl2br w:val="nil"/>
              <w:tr2bl w:val="nil"/>
            </w:tcBorders>
            <w:vAlign w:val="center"/>
          </w:tcPr>
          <w:p w14:paraId="5995D0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p>
        </w:tc>
      </w:tr>
      <w:tr w14:paraId="6A32CE1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6BF73A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17</w:t>
            </w:r>
          </w:p>
        </w:tc>
        <w:tc>
          <w:tcPr>
            <w:tcW w:w="1269" w:type="pct"/>
            <w:tcBorders>
              <w:tl2br w:val="nil"/>
              <w:tr2bl w:val="nil"/>
            </w:tcBorders>
            <w:vAlign w:val="center"/>
          </w:tcPr>
          <w:p w14:paraId="5E155E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二氯甲烷</w:t>
            </w:r>
          </w:p>
        </w:tc>
        <w:tc>
          <w:tcPr>
            <w:tcW w:w="729" w:type="pct"/>
            <w:tcBorders>
              <w:tl2br w:val="nil"/>
              <w:tr2bl w:val="nil"/>
            </w:tcBorders>
            <w:vAlign w:val="center"/>
          </w:tcPr>
          <w:p w14:paraId="670BF4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388A39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616</w:t>
            </w:r>
          </w:p>
        </w:tc>
        <w:tc>
          <w:tcPr>
            <w:tcW w:w="715" w:type="pct"/>
            <w:tcBorders>
              <w:tl2br w:val="nil"/>
              <w:tr2bl w:val="nil"/>
            </w:tcBorders>
            <w:vAlign w:val="center"/>
          </w:tcPr>
          <w:p w14:paraId="6B600A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702" w:type="pct"/>
            <w:tcBorders>
              <w:tl2br w:val="nil"/>
              <w:tr2bl w:val="nil"/>
            </w:tcBorders>
            <w:vAlign w:val="center"/>
          </w:tcPr>
          <w:p w14:paraId="2D4329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p>
        </w:tc>
        <w:tc>
          <w:tcPr>
            <w:tcW w:w="418" w:type="pct"/>
            <w:tcBorders>
              <w:tl2br w:val="nil"/>
              <w:tr2bl w:val="nil"/>
            </w:tcBorders>
            <w:vAlign w:val="center"/>
          </w:tcPr>
          <w:p w14:paraId="29CEA4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p>
        </w:tc>
      </w:tr>
      <w:tr w14:paraId="586A5CA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4C0289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18</w:t>
            </w:r>
          </w:p>
        </w:tc>
        <w:tc>
          <w:tcPr>
            <w:tcW w:w="1269" w:type="pct"/>
            <w:tcBorders>
              <w:tl2br w:val="nil"/>
              <w:tr2bl w:val="nil"/>
            </w:tcBorders>
            <w:vAlign w:val="center"/>
          </w:tcPr>
          <w:p w14:paraId="4994AE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1,2-二氯丙烷</w:t>
            </w:r>
          </w:p>
        </w:tc>
        <w:tc>
          <w:tcPr>
            <w:tcW w:w="729" w:type="pct"/>
            <w:tcBorders>
              <w:tl2br w:val="nil"/>
              <w:tr2bl w:val="nil"/>
            </w:tcBorders>
            <w:vAlign w:val="center"/>
          </w:tcPr>
          <w:p w14:paraId="538A0F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1D5D45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715" w:type="pct"/>
            <w:tcBorders>
              <w:tl2br w:val="nil"/>
              <w:tr2bl w:val="nil"/>
            </w:tcBorders>
            <w:vAlign w:val="center"/>
          </w:tcPr>
          <w:p w14:paraId="3B799E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702" w:type="pct"/>
            <w:tcBorders>
              <w:tl2br w:val="nil"/>
              <w:tr2bl w:val="nil"/>
            </w:tcBorders>
            <w:vAlign w:val="center"/>
          </w:tcPr>
          <w:p w14:paraId="761288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p>
        </w:tc>
        <w:tc>
          <w:tcPr>
            <w:tcW w:w="418" w:type="pct"/>
            <w:tcBorders>
              <w:tl2br w:val="nil"/>
              <w:tr2bl w:val="nil"/>
            </w:tcBorders>
            <w:vAlign w:val="center"/>
          </w:tcPr>
          <w:p w14:paraId="307C11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p>
        </w:tc>
      </w:tr>
      <w:tr w14:paraId="42CE516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160BC6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19</w:t>
            </w:r>
          </w:p>
        </w:tc>
        <w:tc>
          <w:tcPr>
            <w:tcW w:w="1269" w:type="pct"/>
            <w:tcBorders>
              <w:tl2br w:val="nil"/>
              <w:tr2bl w:val="nil"/>
            </w:tcBorders>
            <w:vAlign w:val="center"/>
          </w:tcPr>
          <w:p w14:paraId="39F997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1,1,1,2-四氯乙烷</w:t>
            </w:r>
          </w:p>
        </w:tc>
        <w:tc>
          <w:tcPr>
            <w:tcW w:w="729" w:type="pct"/>
            <w:tcBorders>
              <w:tl2br w:val="nil"/>
              <w:tr2bl w:val="nil"/>
            </w:tcBorders>
            <w:vAlign w:val="center"/>
          </w:tcPr>
          <w:p w14:paraId="60AC57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77A9A3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715" w:type="pct"/>
            <w:tcBorders>
              <w:tl2br w:val="nil"/>
              <w:tr2bl w:val="nil"/>
            </w:tcBorders>
            <w:vAlign w:val="center"/>
          </w:tcPr>
          <w:p w14:paraId="6829DB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702" w:type="pct"/>
            <w:tcBorders>
              <w:tl2br w:val="nil"/>
              <w:tr2bl w:val="nil"/>
            </w:tcBorders>
            <w:vAlign w:val="center"/>
          </w:tcPr>
          <w:p w14:paraId="32E222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p>
        </w:tc>
        <w:tc>
          <w:tcPr>
            <w:tcW w:w="418" w:type="pct"/>
            <w:tcBorders>
              <w:tl2br w:val="nil"/>
              <w:tr2bl w:val="nil"/>
            </w:tcBorders>
            <w:vAlign w:val="center"/>
          </w:tcPr>
          <w:p w14:paraId="184024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p>
        </w:tc>
      </w:tr>
      <w:tr w14:paraId="771236A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5DF48C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269" w:type="pct"/>
            <w:tcBorders>
              <w:tl2br w:val="nil"/>
              <w:tr2bl w:val="nil"/>
            </w:tcBorders>
            <w:vAlign w:val="center"/>
          </w:tcPr>
          <w:p w14:paraId="686F9A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1,1,2,2-四氯乙烷</w:t>
            </w:r>
          </w:p>
        </w:tc>
        <w:tc>
          <w:tcPr>
            <w:tcW w:w="729" w:type="pct"/>
            <w:tcBorders>
              <w:tl2br w:val="nil"/>
              <w:tr2bl w:val="nil"/>
            </w:tcBorders>
            <w:vAlign w:val="center"/>
          </w:tcPr>
          <w:p w14:paraId="190490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0537B2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6.8</w:t>
            </w:r>
          </w:p>
        </w:tc>
        <w:tc>
          <w:tcPr>
            <w:tcW w:w="715" w:type="pct"/>
            <w:tcBorders>
              <w:tl2br w:val="nil"/>
              <w:tr2bl w:val="nil"/>
            </w:tcBorders>
            <w:vAlign w:val="center"/>
          </w:tcPr>
          <w:p w14:paraId="2F2991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702" w:type="pct"/>
            <w:tcBorders>
              <w:tl2br w:val="nil"/>
              <w:tr2bl w:val="nil"/>
            </w:tcBorders>
            <w:vAlign w:val="center"/>
          </w:tcPr>
          <w:p w14:paraId="41A252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p>
        </w:tc>
        <w:tc>
          <w:tcPr>
            <w:tcW w:w="418" w:type="pct"/>
            <w:tcBorders>
              <w:tl2br w:val="nil"/>
              <w:tr2bl w:val="nil"/>
            </w:tcBorders>
            <w:vAlign w:val="center"/>
          </w:tcPr>
          <w:p w14:paraId="58836D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p>
        </w:tc>
      </w:tr>
      <w:tr w14:paraId="31019A1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02FF1E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21</w:t>
            </w:r>
          </w:p>
        </w:tc>
        <w:tc>
          <w:tcPr>
            <w:tcW w:w="1269" w:type="pct"/>
            <w:tcBorders>
              <w:tl2br w:val="nil"/>
              <w:tr2bl w:val="nil"/>
            </w:tcBorders>
            <w:vAlign w:val="center"/>
          </w:tcPr>
          <w:p w14:paraId="26E903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四氯乙烯</w:t>
            </w:r>
          </w:p>
        </w:tc>
        <w:tc>
          <w:tcPr>
            <w:tcW w:w="729" w:type="pct"/>
            <w:tcBorders>
              <w:tl2br w:val="nil"/>
              <w:tr2bl w:val="nil"/>
            </w:tcBorders>
            <w:vAlign w:val="center"/>
          </w:tcPr>
          <w:p w14:paraId="76DDA9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1291E6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53</w:t>
            </w:r>
          </w:p>
        </w:tc>
        <w:tc>
          <w:tcPr>
            <w:tcW w:w="715" w:type="pct"/>
            <w:tcBorders>
              <w:tl2br w:val="nil"/>
              <w:tr2bl w:val="nil"/>
            </w:tcBorders>
            <w:vAlign w:val="center"/>
          </w:tcPr>
          <w:p w14:paraId="795C24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702" w:type="pct"/>
            <w:tcBorders>
              <w:tl2br w:val="nil"/>
              <w:tr2bl w:val="nil"/>
            </w:tcBorders>
            <w:vAlign w:val="center"/>
          </w:tcPr>
          <w:p w14:paraId="4D5FBD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p>
        </w:tc>
        <w:tc>
          <w:tcPr>
            <w:tcW w:w="418" w:type="pct"/>
            <w:tcBorders>
              <w:tl2br w:val="nil"/>
              <w:tr2bl w:val="nil"/>
            </w:tcBorders>
            <w:vAlign w:val="center"/>
          </w:tcPr>
          <w:p w14:paraId="78CF19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p>
        </w:tc>
      </w:tr>
      <w:tr w14:paraId="6C6CD8D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0AD4EA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22</w:t>
            </w:r>
          </w:p>
        </w:tc>
        <w:tc>
          <w:tcPr>
            <w:tcW w:w="1269" w:type="pct"/>
            <w:tcBorders>
              <w:tl2br w:val="nil"/>
              <w:tr2bl w:val="nil"/>
            </w:tcBorders>
            <w:vAlign w:val="center"/>
          </w:tcPr>
          <w:p w14:paraId="6C72B1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1,1,1-三氯乙烷</w:t>
            </w:r>
          </w:p>
        </w:tc>
        <w:tc>
          <w:tcPr>
            <w:tcW w:w="729" w:type="pct"/>
            <w:tcBorders>
              <w:tl2br w:val="nil"/>
              <w:tr2bl w:val="nil"/>
            </w:tcBorders>
            <w:vAlign w:val="center"/>
          </w:tcPr>
          <w:p w14:paraId="6D0CB2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3CBFA9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840</w:t>
            </w:r>
          </w:p>
        </w:tc>
        <w:tc>
          <w:tcPr>
            <w:tcW w:w="715" w:type="pct"/>
            <w:tcBorders>
              <w:tl2br w:val="nil"/>
              <w:tr2bl w:val="nil"/>
            </w:tcBorders>
            <w:vAlign w:val="center"/>
          </w:tcPr>
          <w:p w14:paraId="26FF47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702" w:type="pct"/>
            <w:tcBorders>
              <w:tl2br w:val="nil"/>
              <w:tr2bl w:val="nil"/>
            </w:tcBorders>
            <w:vAlign w:val="center"/>
          </w:tcPr>
          <w:p w14:paraId="213D6B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p>
        </w:tc>
        <w:tc>
          <w:tcPr>
            <w:tcW w:w="418" w:type="pct"/>
            <w:tcBorders>
              <w:tl2br w:val="nil"/>
              <w:tr2bl w:val="nil"/>
            </w:tcBorders>
            <w:vAlign w:val="center"/>
          </w:tcPr>
          <w:p w14:paraId="4709EB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p>
        </w:tc>
      </w:tr>
      <w:tr w14:paraId="7F4FA1E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2059B0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23</w:t>
            </w:r>
          </w:p>
        </w:tc>
        <w:tc>
          <w:tcPr>
            <w:tcW w:w="1269" w:type="pct"/>
            <w:tcBorders>
              <w:tl2br w:val="nil"/>
              <w:tr2bl w:val="nil"/>
            </w:tcBorders>
            <w:vAlign w:val="center"/>
          </w:tcPr>
          <w:p w14:paraId="01C68D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1,1,2-三氯乙烷</w:t>
            </w:r>
          </w:p>
        </w:tc>
        <w:tc>
          <w:tcPr>
            <w:tcW w:w="729" w:type="pct"/>
            <w:tcBorders>
              <w:tl2br w:val="nil"/>
              <w:tr2bl w:val="nil"/>
            </w:tcBorders>
            <w:vAlign w:val="center"/>
          </w:tcPr>
          <w:p w14:paraId="4D7376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56D326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2.8</w:t>
            </w:r>
          </w:p>
        </w:tc>
        <w:tc>
          <w:tcPr>
            <w:tcW w:w="715" w:type="pct"/>
            <w:tcBorders>
              <w:tl2br w:val="nil"/>
              <w:tr2bl w:val="nil"/>
            </w:tcBorders>
            <w:vAlign w:val="center"/>
          </w:tcPr>
          <w:p w14:paraId="2CBA02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702" w:type="pct"/>
            <w:tcBorders>
              <w:tl2br w:val="nil"/>
              <w:tr2bl w:val="nil"/>
            </w:tcBorders>
            <w:vAlign w:val="center"/>
          </w:tcPr>
          <w:p w14:paraId="4D6816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p>
        </w:tc>
        <w:tc>
          <w:tcPr>
            <w:tcW w:w="418" w:type="pct"/>
            <w:tcBorders>
              <w:tl2br w:val="nil"/>
              <w:tr2bl w:val="nil"/>
            </w:tcBorders>
            <w:vAlign w:val="center"/>
          </w:tcPr>
          <w:p w14:paraId="6A93F6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p>
        </w:tc>
      </w:tr>
      <w:tr w14:paraId="7A2D551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68949A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24</w:t>
            </w:r>
          </w:p>
        </w:tc>
        <w:tc>
          <w:tcPr>
            <w:tcW w:w="1269" w:type="pct"/>
            <w:tcBorders>
              <w:tl2br w:val="nil"/>
              <w:tr2bl w:val="nil"/>
            </w:tcBorders>
            <w:vAlign w:val="center"/>
          </w:tcPr>
          <w:p w14:paraId="2EBAF9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三氯乙烯</w:t>
            </w:r>
          </w:p>
        </w:tc>
        <w:tc>
          <w:tcPr>
            <w:tcW w:w="729" w:type="pct"/>
            <w:tcBorders>
              <w:tl2br w:val="nil"/>
              <w:tr2bl w:val="nil"/>
            </w:tcBorders>
            <w:vAlign w:val="center"/>
          </w:tcPr>
          <w:p w14:paraId="70E458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052472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2.8</w:t>
            </w:r>
          </w:p>
        </w:tc>
        <w:tc>
          <w:tcPr>
            <w:tcW w:w="715" w:type="pct"/>
            <w:tcBorders>
              <w:tl2br w:val="nil"/>
              <w:tr2bl w:val="nil"/>
            </w:tcBorders>
            <w:vAlign w:val="center"/>
          </w:tcPr>
          <w:p w14:paraId="1692D1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702" w:type="pct"/>
            <w:tcBorders>
              <w:tl2br w:val="nil"/>
              <w:tr2bl w:val="nil"/>
            </w:tcBorders>
            <w:vAlign w:val="center"/>
          </w:tcPr>
          <w:p w14:paraId="53A168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p>
        </w:tc>
        <w:tc>
          <w:tcPr>
            <w:tcW w:w="418" w:type="pct"/>
            <w:tcBorders>
              <w:tl2br w:val="nil"/>
              <w:tr2bl w:val="nil"/>
            </w:tcBorders>
            <w:vAlign w:val="center"/>
          </w:tcPr>
          <w:p w14:paraId="0F461F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p>
        </w:tc>
      </w:tr>
      <w:tr w14:paraId="30890CA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41965C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c>
          <w:tcPr>
            <w:tcW w:w="1269" w:type="pct"/>
            <w:tcBorders>
              <w:tl2br w:val="nil"/>
              <w:tr2bl w:val="nil"/>
            </w:tcBorders>
            <w:vAlign w:val="center"/>
          </w:tcPr>
          <w:p w14:paraId="351E92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1,2,3-三氯丙烷</w:t>
            </w:r>
          </w:p>
        </w:tc>
        <w:tc>
          <w:tcPr>
            <w:tcW w:w="729" w:type="pct"/>
            <w:tcBorders>
              <w:tl2br w:val="nil"/>
              <w:tr2bl w:val="nil"/>
            </w:tcBorders>
            <w:vAlign w:val="center"/>
          </w:tcPr>
          <w:p w14:paraId="1D84C7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3F4D79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715" w:type="pct"/>
            <w:tcBorders>
              <w:tl2br w:val="nil"/>
              <w:tr2bl w:val="nil"/>
            </w:tcBorders>
            <w:vAlign w:val="center"/>
          </w:tcPr>
          <w:p w14:paraId="5A56B1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702" w:type="pct"/>
            <w:tcBorders>
              <w:tl2br w:val="nil"/>
              <w:tr2bl w:val="nil"/>
            </w:tcBorders>
            <w:vAlign w:val="center"/>
          </w:tcPr>
          <w:p w14:paraId="2C115C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p>
        </w:tc>
        <w:tc>
          <w:tcPr>
            <w:tcW w:w="418" w:type="pct"/>
            <w:tcBorders>
              <w:tl2br w:val="nil"/>
              <w:tr2bl w:val="nil"/>
            </w:tcBorders>
            <w:vAlign w:val="center"/>
          </w:tcPr>
          <w:p w14:paraId="164BB7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p>
        </w:tc>
      </w:tr>
      <w:tr w14:paraId="1FF0BF4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7EF2AC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26</w:t>
            </w:r>
          </w:p>
        </w:tc>
        <w:tc>
          <w:tcPr>
            <w:tcW w:w="1269" w:type="pct"/>
            <w:tcBorders>
              <w:tl2br w:val="nil"/>
              <w:tr2bl w:val="nil"/>
            </w:tcBorders>
            <w:vAlign w:val="center"/>
          </w:tcPr>
          <w:p w14:paraId="4EF3E0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氯乙烯</w:t>
            </w:r>
          </w:p>
        </w:tc>
        <w:tc>
          <w:tcPr>
            <w:tcW w:w="729" w:type="pct"/>
            <w:tcBorders>
              <w:tl2br w:val="nil"/>
              <w:tr2bl w:val="nil"/>
            </w:tcBorders>
            <w:vAlign w:val="center"/>
          </w:tcPr>
          <w:p w14:paraId="0F97A6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4A7BD9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0.43</w:t>
            </w:r>
          </w:p>
        </w:tc>
        <w:tc>
          <w:tcPr>
            <w:tcW w:w="715" w:type="pct"/>
            <w:tcBorders>
              <w:tl2br w:val="nil"/>
              <w:tr2bl w:val="nil"/>
            </w:tcBorders>
            <w:vAlign w:val="center"/>
          </w:tcPr>
          <w:p w14:paraId="5508E9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702" w:type="pct"/>
            <w:tcBorders>
              <w:tl2br w:val="nil"/>
              <w:tr2bl w:val="nil"/>
            </w:tcBorders>
            <w:vAlign w:val="center"/>
          </w:tcPr>
          <w:p w14:paraId="4097CC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p>
        </w:tc>
        <w:tc>
          <w:tcPr>
            <w:tcW w:w="418" w:type="pct"/>
            <w:tcBorders>
              <w:tl2br w:val="nil"/>
              <w:tr2bl w:val="nil"/>
            </w:tcBorders>
            <w:vAlign w:val="center"/>
          </w:tcPr>
          <w:p w14:paraId="2E7942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p>
        </w:tc>
      </w:tr>
      <w:tr w14:paraId="6B91F77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7EB3F7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27</w:t>
            </w:r>
          </w:p>
        </w:tc>
        <w:tc>
          <w:tcPr>
            <w:tcW w:w="1269" w:type="pct"/>
            <w:tcBorders>
              <w:tl2br w:val="nil"/>
              <w:tr2bl w:val="nil"/>
            </w:tcBorders>
            <w:vAlign w:val="center"/>
          </w:tcPr>
          <w:p w14:paraId="192A86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苯</w:t>
            </w:r>
          </w:p>
        </w:tc>
        <w:tc>
          <w:tcPr>
            <w:tcW w:w="729" w:type="pct"/>
            <w:tcBorders>
              <w:tl2br w:val="nil"/>
              <w:tr2bl w:val="nil"/>
            </w:tcBorders>
            <w:vAlign w:val="center"/>
          </w:tcPr>
          <w:p w14:paraId="18F551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024304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715" w:type="pct"/>
            <w:tcBorders>
              <w:tl2br w:val="nil"/>
              <w:tr2bl w:val="nil"/>
            </w:tcBorders>
            <w:vAlign w:val="center"/>
          </w:tcPr>
          <w:p w14:paraId="36CF8E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702" w:type="pct"/>
            <w:tcBorders>
              <w:tl2br w:val="nil"/>
              <w:tr2bl w:val="nil"/>
            </w:tcBorders>
            <w:vAlign w:val="center"/>
          </w:tcPr>
          <w:p w14:paraId="6271C8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p>
        </w:tc>
        <w:tc>
          <w:tcPr>
            <w:tcW w:w="418" w:type="pct"/>
            <w:tcBorders>
              <w:tl2br w:val="nil"/>
              <w:tr2bl w:val="nil"/>
            </w:tcBorders>
            <w:vAlign w:val="center"/>
          </w:tcPr>
          <w:p w14:paraId="3EFC5A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p>
        </w:tc>
      </w:tr>
      <w:tr w14:paraId="074C3DB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1D03B0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28</w:t>
            </w:r>
          </w:p>
        </w:tc>
        <w:tc>
          <w:tcPr>
            <w:tcW w:w="1269" w:type="pct"/>
            <w:tcBorders>
              <w:tl2br w:val="nil"/>
              <w:tr2bl w:val="nil"/>
            </w:tcBorders>
            <w:vAlign w:val="center"/>
          </w:tcPr>
          <w:p w14:paraId="28D40F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氯苯</w:t>
            </w:r>
          </w:p>
        </w:tc>
        <w:tc>
          <w:tcPr>
            <w:tcW w:w="729" w:type="pct"/>
            <w:tcBorders>
              <w:tl2br w:val="nil"/>
              <w:tr2bl w:val="nil"/>
            </w:tcBorders>
            <w:vAlign w:val="center"/>
          </w:tcPr>
          <w:p w14:paraId="3DE854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143673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270</w:t>
            </w:r>
          </w:p>
        </w:tc>
        <w:tc>
          <w:tcPr>
            <w:tcW w:w="715" w:type="pct"/>
            <w:tcBorders>
              <w:tl2br w:val="nil"/>
              <w:tr2bl w:val="nil"/>
            </w:tcBorders>
            <w:vAlign w:val="center"/>
          </w:tcPr>
          <w:p w14:paraId="4A24F2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702" w:type="pct"/>
            <w:tcBorders>
              <w:tl2br w:val="nil"/>
              <w:tr2bl w:val="nil"/>
            </w:tcBorders>
            <w:vAlign w:val="center"/>
          </w:tcPr>
          <w:p w14:paraId="433870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p>
        </w:tc>
        <w:tc>
          <w:tcPr>
            <w:tcW w:w="418" w:type="pct"/>
            <w:tcBorders>
              <w:tl2br w:val="nil"/>
              <w:tr2bl w:val="nil"/>
            </w:tcBorders>
            <w:vAlign w:val="center"/>
          </w:tcPr>
          <w:p w14:paraId="5B3F19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p>
        </w:tc>
      </w:tr>
      <w:tr w14:paraId="638D1D0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06E225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29</w:t>
            </w:r>
          </w:p>
        </w:tc>
        <w:tc>
          <w:tcPr>
            <w:tcW w:w="1269" w:type="pct"/>
            <w:tcBorders>
              <w:tl2br w:val="nil"/>
              <w:tr2bl w:val="nil"/>
            </w:tcBorders>
            <w:vAlign w:val="center"/>
          </w:tcPr>
          <w:p w14:paraId="542921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1,2-二氯苯</w:t>
            </w:r>
          </w:p>
        </w:tc>
        <w:tc>
          <w:tcPr>
            <w:tcW w:w="729" w:type="pct"/>
            <w:tcBorders>
              <w:tl2br w:val="nil"/>
              <w:tr2bl w:val="nil"/>
            </w:tcBorders>
            <w:vAlign w:val="center"/>
          </w:tcPr>
          <w:p w14:paraId="3E339E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21C576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560</w:t>
            </w:r>
          </w:p>
        </w:tc>
        <w:tc>
          <w:tcPr>
            <w:tcW w:w="715" w:type="pct"/>
            <w:tcBorders>
              <w:tl2br w:val="nil"/>
              <w:tr2bl w:val="nil"/>
            </w:tcBorders>
            <w:vAlign w:val="center"/>
          </w:tcPr>
          <w:p w14:paraId="437F9E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702" w:type="pct"/>
            <w:tcBorders>
              <w:tl2br w:val="nil"/>
              <w:tr2bl w:val="nil"/>
            </w:tcBorders>
            <w:vAlign w:val="center"/>
          </w:tcPr>
          <w:p w14:paraId="1478EC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p>
        </w:tc>
        <w:tc>
          <w:tcPr>
            <w:tcW w:w="418" w:type="pct"/>
            <w:tcBorders>
              <w:tl2br w:val="nil"/>
              <w:tr2bl w:val="nil"/>
            </w:tcBorders>
            <w:vAlign w:val="center"/>
          </w:tcPr>
          <w:p w14:paraId="38D356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p>
        </w:tc>
      </w:tr>
      <w:tr w14:paraId="6ABC539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62A395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1269" w:type="pct"/>
            <w:tcBorders>
              <w:tl2br w:val="nil"/>
              <w:tr2bl w:val="nil"/>
            </w:tcBorders>
            <w:vAlign w:val="center"/>
          </w:tcPr>
          <w:p w14:paraId="39AE31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1,4-二氯苯</w:t>
            </w:r>
          </w:p>
        </w:tc>
        <w:tc>
          <w:tcPr>
            <w:tcW w:w="729" w:type="pct"/>
            <w:tcBorders>
              <w:tl2br w:val="nil"/>
              <w:tr2bl w:val="nil"/>
            </w:tcBorders>
            <w:vAlign w:val="center"/>
          </w:tcPr>
          <w:p w14:paraId="7E06BF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6D15D7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715" w:type="pct"/>
            <w:tcBorders>
              <w:tl2br w:val="nil"/>
              <w:tr2bl w:val="nil"/>
            </w:tcBorders>
            <w:vAlign w:val="center"/>
          </w:tcPr>
          <w:p w14:paraId="5D7312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702" w:type="pct"/>
            <w:tcBorders>
              <w:tl2br w:val="nil"/>
              <w:tr2bl w:val="nil"/>
            </w:tcBorders>
            <w:vAlign w:val="center"/>
          </w:tcPr>
          <w:p w14:paraId="231990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p>
        </w:tc>
        <w:tc>
          <w:tcPr>
            <w:tcW w:w="418" w:type="pct"/>
            <w:tcBorders>
              <w:tl2br w:val="nil"/>
              <w:tr2bl w:val="nil"/>
            </w:tcBorders>
            <w:vAlign w:val="center"/>
          </w:tcPr>
          <w:p w14:paraId="13F927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p>
        </w:tc>
      </w:tr>
      <w:tr w14:paraId="1CC5B24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462941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31</w:t>
            </w:r>
          </w:p>
        </w:tc>
        <w:tc>
          <w:tcPr>
            <w:tcW w:w="1269" w:type="pct"/>
            <w:tcBorders>
              <w:tl2br w:val="nil"/>
              <w:tr2bl w:val="nil"/>
            </w:tcBorders>
            <w:vAlign w:val="center"/>
          </w:tcPr>
          <w:p w14:paraId="249BB2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乙苯</w:t>
            </w:r>
          </w:p>
        </w:tc>
        <w:tc>
          <w:tcPr>
            <w:tcW w:w="729" w:type="pct"/>
            <w:tcBorders>
              <w:tl2br w:val="nil"/>
              <w:tr2bl w:val="nil"/>
            </w:tcBorders>
            <w:vAlign w:val="center"/>
          </w:tcPr>
          <w:p w14:paraId="50C7D4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00099E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28</w:t>
            </w:r>
          </w:p>
        </w:tc>
        <w:tc>
          <w:tcPr>
            <w:tcW w:w="715" w:type="pct"/>
            <w:tcBorders>
              <w:tl2br w:val="nil"/>
              <w:tr2bl w:val="nil"/>
            </w:tcBorders>
            <w:vAlign w:val="center"/>
          </w:tcPr>
          <w:p w14:paraId="391868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702" w:type="pct"/>
            <w:tcBorders>
              <w:tl2br w:val="nil"/>
              <w:tr2bl w:val="nil"/>
            </w:tcBorders>
            <w:vAlign w:val="center"/>
          </w:tcPr>
          <w:p w14:paraId="313B48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p>
        </w:tc>
        <w:tc>
          <w:tcPr>
            <w:tcW w:w="418" w:type="pct"/>
            <w:tcBorders>
              <w:tl2br w:val="nil"/>
              <w:tr2bl w:val="nil"/>
            </w:tcBorders>
            <w:vAlign w:val="center"/>
          </w:tcPr>
          <w:p w14:paraId="5B731E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p>
        </w:tc>
      </w:tr>
      <w:tr w14:paraId="2B14680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202E53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32</w:t>
            </w:r>
          </w:p>
        </w:tc>
        <w:tc>
          <w:tcPr>
            <w:tcW w:w="1269" w:type="pct"/>
            <w:tcBorders>
              <w:tl2br w:val="nil"/>
              <w:tr2bl w:val="nil"/>
            </w:tcBorders>
            <w:vAlign w:val="center"/>
          </w:tcPr>
          <w:p w14:paraId="747F14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苯乙烯</w:t>
            </w:r>
          </w:p>
        </w:tc>
        <w:tc>
          <w:tcPr>
            <w:tcW w:w="729" w:type="pct"/>
            <w:tcBorders>
              <w:tl2br w:val="nil"/>
              <w:tr2bl w:val="nil"/>
            </w:tcBorders>
            <w:vAlign w:val="center"/>
          </w:tcPr>
          <w:p w14:paraId="047B99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4EA425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1290</w:t>
            </w:r>
          </w:p>
        </w:tc>
        <w:tc>
          <w:tcPr>
            <w:tcW w:w="715" w:type="pct"/>
            <w:tcBorders>
              <w:tl2br w:val="nil"/>
              <w:tr2bl w:val="nil"/>
            </w:tcBorders>
            <w:vAlign w:val="center"/>
          </w:tcPr>
          <w:p w14:paraId="0F8B9E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702" w:type="pct"/>
            <w:tcBorders>
              <w:tl2br w:val="nil"/>
              <w:tr2bl w:val="nil"/>
            </w:tcBorders>
            <w:vAlign w:val="center"/>
          </w:tcPr>
          <w:p w14:paraId="608DCA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p>
        </w:tc>
        <w:tc>
          <w:tcPr>
            <w:tcW w:w="418" w:type="pct"/>
            <w:tcBorders>
              <w:tl2br w:val="nil"/>
              <w:tr2bl w:val="nil"/>
            </w:tcBorders>
            <w:vAlign w:val="center"/>
          </w:tcPr>
          <w:p w14:paraId="3F289C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p>
        </w:tc>
      </w:tr>
      <w:tr w14:paraId="21F964C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0BAB55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33</w:t>
            </w:r>
          </w:p>
        </w:tc>
        <w:tc>
          <w:tcPr>
            <w:tcW w:w="1269" w:type="pct"/>
            <w:tcBorders>
              <w:tl2br w:val="nil"/>
              <w:tr2bl w:val="nil"/>
            </w:tcBorders>
            <w:vAlign w:val="center"/>
          </w:tcPr>
          <w:p w14:paraId="3C4AA8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甲苯</w:t>
            </w:r>
          </w:p>
        </w:tc>
        <w:tc>
          <w:tcPr>
            <w:tcW w:w="729" w:type="pct"/>
            <w:tcBorders>
              <w:tl2br w:val="nil"/>
              <w:tr2bl w:val="nil"/>
            </w:tcBorders>
            <w:vAlign w:val="center"/>
          </w:tcPr>
          <w:p w14:paraId="777E10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369EBE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1200</w:t>
            </w:r>
          </w:p>
        </w:tc>
        <w:tc>
          <w:tcPr>
            <w:tcW w:w="715" w:type="pct"/>
            <w:tcBorders>
              <w:tl2br w:val="nil"/>
              <w:tr2bl w:val="nil"/>
            </w:tcBorders>
            <w:vAlign w:val="center"/>
          </w:tcPr>
          <w:p w14:paraId="739968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702" w:type="pct"/>
            <w:tcBorders>
              <w:tl2br w:val="nil"/>
              <w:tr2bl w:val="nil"/>
            </w:tcBorders>
            <w:vAlign w:val="center"/>
          </w:tcPr>
          <w:p w14:paraId="5A2287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p>
        </w:tc>
        <w:tc>
          <w:tcPr>
            <w:tcW w:w="418" w:type="pct"/>
            <w:tcBorders>
              <w:tl2br w:val="nil"/>
              <w:tr2bl w:val="nil"/>
            </w:tcBorders>
            <w:vAlign w:val="center"/>
          </w:tcPr>
          <w:p w14:paraId="6DE4CD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p>
        </w:tc>
      </w:tr>
      <w:tr w14:paraId="49B5803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5852ED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34</w:t>
            </w:r>
          </w:p>
        </w:tc>
        <w:tc>
          <w:tcPr>
            <w:tcW w:w="1269" w:type="pct"/>
            <w:tcBorders>
              <w:tl2br w:val="nil"/>
              <w:tr2bl w:val="nil"/>
            </w:tcBorders>
            <w:vAlign w:val="center"/>
          </w:tcPr>
          <w:p w14:paraId="030F7E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间/对二甲苯</w:t>
            </w:r>
          </w:p>
        </w:tc>
        <w:tc>
          <w:tcPr>
            <w:tcW w:w="729" w:type="pct"/>
            <w:tcBorders>
              <w:tl2br w:val="nil"/>
              <w:tr2bl w:val="nil"/>
            </w:tcBorders>
            <w:vAlign w:val="center"/>
          </w:tcPr>
          <w:p w14:paraId="43D4E7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2FEF59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570</w:t>
            </w:r>
          </w:p>
        </w:tc>
        <w:tc>
          <w:tcPr>
            <w:tcW w:w="715" w:type="pct"/>
            <w:tcBorders>
              <w:tl2br w:val="nil"/>
              <w:tr2bl w:val="nil"/>
            </w:tcBorders>
            <w:vAlign w:val="center"/>
          </w:tcPr>
          <w:p w14:paraId="52A569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702" w:type="pct"/>
            <w:tcBorders>
              <w:tl2br w:val="nil"/>
              <w:tr2bl w:val="nil"/>
            </w:tcBorders>
            <w:vAlign w:val="center"/>
          </w:tcPr>
          <w:p w14:paraId="21F1EA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p>
        </w:tc>
        <w:tc>
          <w:tcPr>
            <w:tcW w:w="418" w:type="pct"/>
            <w:tcBorders>
              <w:tl2br w:val="nil"/>
              <w:tr2bl w:val="nil"/>
            </w:tcBorders>
            <w:vAlign w:val="center"/>
          </w:tcPr>
          <w:p w14:paraId="6EC2F3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p>
        </w:tc>
      </w:tr>
      <w:tr w14:paraId="29B35CD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0D4CE2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35</w:t>
            </w:r>
          </w:p>
        </w:tc>
        <w:tc>
          <w:tcPr>
            <w:tcW w:w="1269" w:type="pct"/>
            <w:tcBorders>
              <w:tl2br w:val="nil"/>
              <w:tr2bl w:val="nil"/>
            </w:tcBorders>
            <w:vAlign w:val="center"/>
          </w:tcPr>
          <w:p w14:paraId="126AF7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邻二甲苯</w:t>
            </w:r>
          </w:p>
        </w:tc>
        <w:tc>
          <w:tcPr>
            <w:tcW w:w="729" w:type="pct"/>
            <w:tcBorders>
              <w:tl2br w:val="nil"/>
              <w:tr2bl w:val="nil"/>
            </w:tcBorders>
            <w:vAlign w:val="center"/>
          </w:tcPr>
          <w:p w14:paraId="150D65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0A2287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640</w:t>
            </w:r>
          </w:p>
        </w:tc>
        <w:tc>
          <w:tcPr>
            <w:tcW w:w="715" w:type="pct"/>
            <w:tcBorders>
              <w:tl2br w:val="nil"/>
              <w:tr2bl w:val="nil"/>
            </w:tcBorders>
            <w:vAlign w:val="center"/>
          </w:tcPr>
          <w:p w14:paraId="18DCC1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702" w:type="pct"/>
            <w:tcBorders>
              <w:tl2br w:val="nil"/>
              <w:tr2bl w:val="nil"/>
            </w:tcBorders>
            <w:vAlign w:val="center"/>
          </w:tcPr>
          <w:p w14:paraId="764575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p>
        </w:tc>
        <w:tc>
          <w:tcPr>
            <w:tcW w:w="418" w:type="pct"/>
            <w:tcBorders>
              <w:tl2br w:val="nil"/>
              <w:tr2bl w:val="nil"/>
            </w:tcBorders>
            <w:vAlign w:val="center"/>
          </w:tcPr>
          <w:p w14:paraId="6DD1F0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p>
        </w:tc>
      </w:tr>
      <w:tr w14:paraId="6151EF8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0BA558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36</w:t>
            </w:r>
          </w:p>
        </w:tc>
        <w:tc>
          <w:tcPr>
            <w:tcW w:w="1269" w:type="pct"/>
            <w:tcBorders>
              <w:tl2br w:val="nil"/>
              <w:tr2bl w:val="nil"/>
            </w:tcBorders>
            <w:vAlign w:val="center"/>
          </w:tcPr>
          <w:p w14:paraId="40B3C5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硝基苯</w:t>
            </w:r>
          </w:p>
        </w:tc>
        <w:tc>
          <w:tcPr>
            <w:tcW w:w="729" w:type="pct"/>
            <w:tcBorders>
              <w:tl2br w:val="nil"/>
              <w:tr2bl w:val="nil"/>
            </w:tcBorders>
            <w:vAlign w:val="center"/>
          </w:tcPr>
          <w:p w14:paraId="036467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4E1806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76</w:t>
            </w:r>
          </w:p>
        </w:tc>
        <w:tc>
          <w:tcPr>
            <w:tcW w:w="715" w:type="pct"/>
            <w:tcBorders>
              <w:tl2br w:val="nil"/>
              <w:tr2bl w:val="nil"/>
            </w:tcBorders>
            <w:vAlign w:val="center"/>
          </w:tcPr>
          <w:p w14:paraId="5D165A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702" w:type="pct"/>
            <w:tcBorders>
              <w:tl2br w:val="nil"/>
              <w:tr2bl w:val="nil"/>
            </w:tcBorders>
            <w:vAlign w:val="center"/>
          </w:tcPr>
          <w:p w14:paraId="0493D5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p>
        </w:tc>
        <w:tc>
          <w:tcPr>
            <w:tcW w:w="418" w:type="pct"/>
            <w:tcBorders>
              <w:tl2br w:val="nil"/>
              <w:tr2bl w:val="nil"/>
            </w:tcBorders>
            <w:vAlign w:val="center"/>
          </w:tcPr>
          <w:p w14:paraId="3C9CE0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p>
        </w:tc>
      </w:tr>
      <w:tr w14:paraId="1826F15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319F25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37</w:t>
            </w:r>
          </w:p>
        </w:tc>
        <w:tc>
          <w:tcPr>
            <w:tcW w:w="1269" w:type="pct"/>
            <w:tcBorders>
              <w:tl2br w:val="nil"/>
              <w:tr2bl w:val="nil"/>
            </w:tcBorders>
            <w:vAlign w:val="center"/>
          </w:tcPr>
          <w:p w14:paraId="1DB930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苯胺</w:t>
            </w:r>
          </w:p>
        </w:tc>
        <w:tc>
          <w:tcPr>
            <w:tcW w:w="729" w:type="pct"/>
            <w:tcBorders>
              <w:tl2br w:val="nil"/>
              <w:tr2bl w:val="nil"/>
            </w:tcBorders>
            <w:vAlign w:val="center"/>
          </w:tcPr>
          <w:p w14:paraId="674258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18B521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260</w:t>
            </w:r>
          </w:p>
        </w:tc>
        <w:tc>
          <w:tcPr>
            <w:tcW w:w="715" w:type="pct"/>
            <w:tcBorders>
              <w:tl2br w:val="nil"/>
              <w:tr2bl w:val="nil"/>
            </w:tcBorders>
            <w:vAlign w:val="center"/>
          </w:tcPr>
          <w:p w14:paraId="619B54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702" w:type="pct"/>
            <w:tcBorders>
              <w:tl2br w:val="nil"/>
              <w:tr2bl w:val="nil"/>
            </w:tcBorders>
            <w:vAlign w:val="center"/>
          </w:tcPr>
          <w:p w14:paraId="0FFDEB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p>
        </w:tc>
        <w:tc>
          <w:tcPr>
            <w:tcW w:w="418" w:type="pct"/>
            <w:tcBorders>
              <w:tl2br w:val="nil"/>
              <w:tr2bl w:val="nil"/>
            </w:tcBorders>
            <w:vAlign w:val="center"/>
          </w:tcPr>
          <w:p w14:paraId="7DBEC4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p>
        </w:tc>
      </w:tr>
      <w:tr w14:paraId="240DFCE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4B1949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38</w:t>
            </w:r>
          </w:p>
        </w:tc>
        <w:tc>
          <w:tcPr>
            <w:tcW w:w="1269" w:type="pct"/>
            <w:tcBorders>
              <w:tl2br w:val="nil"/>
              <w:tr2bl w:val="nil"/>
            </w:tcBorders>
            <w:vAlign w:val="center"/>
          </w:tcPr>
          <w:p w14:paraId="072F7B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2-氯酚</w:t>
            </w:r>
          </w:p>
        </w:tc>
        <w:tc>
          <w:tcPr>
            <w:tcW w:w="729" w:type="pct"/>
            <w:tcBorders>
              <w:tl2br w:val="nil"/>
              <w:tr2bl w:val="nil"/>
            </w:tcBorders>
            <w:vAlign w:val="center"/>
          </w:tcPr>
          <w:p w14:paraId="67E41B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447694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2256</w:t>
            </w:r>
          </w:p>
        </w:tc>
        <w:tc>
          <w:tcPr>
            <w:tcW w:w="715" w:type="pct"/>
            <w:tcBorders>
              <w:tl2br w:val="nil"/>
              <w:tr2bl w:val="nil"/>
            </w:tcBorders>
            <w:vAlign w:val="center"/>
          </w:tcPr>
          <w:p w14:paraId="6372E7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702" w:type="pct"/>
            <w:tcBorders>
              <w:tl2br w:val="nil"/>
              <w:tr2bl w:val="nil"/>
            </w:tcBorders>
            <w:vAlign w:val="center"/>
          </w:tcPr>
          <w:p w14:paraId="2AE9AE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p>
        </w:tc>
        <w:tc>
          <w:tcPr>
            <w:tcW w:w="418" w:type="pct"/>
            <w:tcBorders>
              <w:tl2br w:val="nil"/>
              <w:tr2bl w:val="nil"/>
            </w:tcBorders>
            <w:vAlign w:val="center"/>
          </w:tcPr>
          <w:p w14:paraId="6CEFF1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p>
        </w:tc>
      </w:tr>
      <w:tr w14:paraId="563B689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3E9E80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39</w:t>
            </w:r>
          </w:p>
        </w:tc>
        <w:tc>
          <w:tcPr>
            <w:tcW w:w="1269" w:type="pct"/>
            <w:tcBorders>
              <w:tl2br w:val="nil"/>
              <w:tr2bl w:val="nil"/>
            </w:tcBorders>
            <w:vAlign w:val="center"/>
          </w:tcPr>
          <w:p w14:paraId="01E238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苯并[a]蒽</w:t>
            </w:r>
          </w:p>
        </w:tc>
        <w:tc>
          <w:tcPr>
            <w:tcW w:w="729" w:type="pct"/>
            <w:tcBorders>
              <w:tl2br w:val="nil"/>
              <w:tr2bl w:val="nil"/>
            </w:tcBorders>
            <w:vAlign w:val="center"/>
          </w:tcPr>
          <w:p w14:paraId="7DECE3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7AA666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715" w:type="pct"/>
            <w:tcBorders>
              <w:tl2br w:val="nil"/>
              <w:tr2bl w:val="nil"/>
            </w:tcBorders>
            <w:vAlign w:val="center"/>
          </w:tcPr>
          <w:p w14:paraId="26CEE9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702" w:type="pct"/>
            <w:tcBorders>
              <w:tl2br w:val="nil"/>
              <w:tr2bl w:val="nil"/>
            </w:tcBorders>
            <w:vAlign w:val="center"/>
          </w:tcPr>
          <w:p w14:paraId="43BBCD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p>
        </w:tc>
        <w:tc>
          <w:tcPr>
            <w:tcW w:w="418" w:type="pct"/>
            <w:tcBorders>
              <w:tl2br w:val="nil"/>
              <w:tr2bl w:val="nil"/>
            </w:tcBorders>
            <w:vAlign w:val="center"/>
          </w:tcPr>
          <w:p w14:paraId="3B26AB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p>
        </w:tc>
      </w:tr>
      <w:tr w14:paraId="11DE6E1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144FB1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40</w:t>
            </w:r>
          </w:p>
        </w:tc>
        <w:tc>
          <w:tcPr>
            <w:tcW w:w="1269" w:type="pct"/>
            <w:tcBorders>
              <w:tl2br w:val="nil"/>
              <w:tr2bl w:val="nil"/>
            </w:tcBorders>
            <w:vAlign w:val="center"/>
          </w:tcPr>
          <w:p w14:paraId="780984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苯并[a]芘</w:t>
            </w:r>
          </w:p>
        </w:tc>
        <w:tc>
          <w:tcPr>
            <w:tcW w:w="729" w:type="pct"/>
            <w:tcBorders>
              <w:tl2br w:val="nil"/>
              <w:tr2bl w:val="nil"/>
            </w:tcBorders>
            <w:vAlign w:val="center"/>
          </w:tcPr>
          <w:p w14:paraId="3305CA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7139A4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715" w:type="pct"/>
            <w:tcBorders>
              <w:tl2br w:val="nil"/>
              <w:tr2bl w:val="nil"/>
            </w:tcBorders>
            <w:vAlign w:val="center"/>
          </w:tcPr>
          <w:p w14:paraId="070418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702" w:type="pct"/>
            <w:tcBorders>
              <w:tl2br w:val="nil"/>
              <w:tr2bl w:val="nil"/>
            </w:tcBorders>
            <w:vAlign w:val="center"/>
          </w:tcPr>
          <w:p w14:paraId="56B173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p>
        </w:tc>
        <w:tc>
          <w:tcPr>
            <w:tcW w:w="418" w:type="pct"/>
            <w:tcBorders>
              <w:tl2br w:val="nil"/>
              <w:tr2bl w:val="nil"/>
            </w:tcBorders>
            <w:vAlign w:val="center"/>
          </w:tcPr>
          <w:p w14:paraId="247BF2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p>
        </w:tc>
      </w:tr>
      <w:tr w14:paraId="68CD400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0F8048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41</w:t>
            </w:r>
          </w:p>
        </w:tc>
        <w:tc>
          <w:tcPr>
            <w:tcW w:w="1269" w:type="pct"/>
            <w:tcBorders>
              <w:tl2br w:val="nil"/>
              <w:tr2bl w:val="nil"/>
            </w:tcBorders>
            <w:vAlign w:val="center"/>
          </w:tcPr>
          <w:p w14:paraId="2CA633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苯并[b]荧蒽</w:t>
            </w:r>
          </w:p>
        </w:tc>
        <w:tc>
          <w:tcPr>
            <w:tcW w:w="729" w:type="pct"/>
            <w:tcBorders>
              <w:tl2br w:val="nil"/>
              <w:tr2bl w:val="nil"/>
            </w:tcBorders>
            <w:vAlign w:val="center"/>
          </w:tcPr>
          <w:p w14:paraId="37B22D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6DC2B0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715" w:type="pct"/>
            <w:tcBorders>
              <w:tl2br w:val="nil"/>
              <w:tr2bl w:val="nil"/>
            </w:tcBorders>
            <w:vAlign w:val="center"/>
          </w:tcPr>
          <w:p w14:paraId="351F43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702" w:type="pct"/>
            <w:tcBorders>
              <w:tl2br w:val="nil"/>
              <w:tr2bl w:val="nil"/>
            </w:tcBorders>
            <w:vAlign w:val="center"/>
          </w:tcPr>
          <w:p w14:paraId="66CB39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p>
        </w:tc>
        <w:tc>
          <w:tcPr>
            <w:tcW w:w="418" w:type="pct"/>
            <w:tcBorders>
              <w:tl2br w:val="nil"/>
              <w:tr2bl w:val="nil"/>
            </w:tcBorders>
            <w:vAlign w:val="center"/>
          </w:tcPr>
          <w:p w14:paraId="745CAE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p>
        </w:tc>
      </w:tr>
      <w:tr w14:paraId="2693411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01D95A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42</w:t>
            </w:r>
          </w:p>
        </w:tc>
        <w:tc>
          <w:tcPr>
            <w:tcW w:w="1269" w:type="pct"/>
            <w:tcBorders>
              <w:tl2br w:val="nil"/>
              <w:tr2bl w:val="nil"/>
            </w:tcBorders>
            <w:vAlign w:val="center"/>
          </w:tcPr>
          <w:p w14:paraId="190D1B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苯并[k]荧蒽</w:t>
            </w:r>
          </w:p>
        </w:tc>
        <w:tc>
          <w:tcPr>
            <w:tcW w:w="729" w:type="pct"/>
            <w:tcBorders>
              <w:tl2br w:val="nil"/>
              <w:tr2bl w:val="nil"/>
            </w:tcBorders>
            <w:vAlign w:val="center"/>
          </w:tcPr>
          <w:p w14:paraId="2111DE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4C0460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151</w:t>
            </w:r>
          </w:p>
        </w:tc>
        <w:tc>
          <w:tcPr>
            <w:tcW w:w="715" w:type="pct"/>
            <w:tcBorders>
              <w:tl2br w:val="nil"/>
              <w:tr2bl w:val="nil"/>
            </w:tcBorders>
            <w:vAlign w:val="center"/>
          </w:tcPr>
          <w:p w14:paraId="096C4E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702" w:type="pct"/>
            <w:tcBorders>
              <w:tl2br w:val="nil"/>
              <w:tr2bl w:val="nil"/>
            </w:tcBorders>
            <w:vAlign w:val="center"/>
          </w:tcPr>
          <w:p w14:paraId="5F9474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p>
        </w:tc>
        <w:tc>
          <w:tcPr>
            <w:tcW w:w="418" w:type="pct"/>
            <w:tcBorders>
              <w:tl2br w:val="nil"/>
              <w:tr2bl w:val="nil"/>
            </w:tcBorders>
            <w:vAlign w:val="center"/>
          </w:tcPr>
          <w:p w14:paraId="096410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p>
        </w:tc>
      </w:tr>
      <w:tr w14:paraId="7F24FB8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2C8397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43</w:t>
            </w:r>
          </w:p>
        </w:tc>
        <w:tc>
          <w:tcPr>
            <w:tcW w:w="1269" w:type="pct"/>
            <w:tcBorders>
              <w:tl2br w:val="nil"/>
              <w:tr2bl w:val="nil"/>
            </w:tcBorders>
            <w:vAlign w:val="center"/>
          </w:tcPr>
          <w:p w14:paraId="004E8F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䓛</w:t>
            </w:r>
          </w:p>
        </w:tc>
        <w:tc>
          <w:tcPr>
            <w:tcW w:w="729" w:type="pct"/>
            <w:tcBorders>
              <w:tl2br w:val="nil"/>
              <w:tr2bl w:val="nil"/>
            </w:tcBorders>
            <w:vAlign w:val="center"/>
          </w:tcPr>
          <w:p w14:paraId="565C46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763FCD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1293</w:t>
            </w:r>
          </w:p>
        </w:tc>
        <w:tc>
          <w:tcPr>
            <w:tcW w:w="715" w:type="pct"/>
            <w:tcBorders>
              <w:tl2br w:val="nil"/>
              <w:tr2bl w:val="nil"/>
            </w:tcBorders>
            <w:vAlign w:val="center"/>
          </w:tcPr>
          <w:p w14:paraId="5F4DEE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702" w:type="pct"/>
            <w:tcBorders>
              <w:tl2br w:val="nil"/>
              <w:tr2bl w:val="nil"/>
            </w:tcBorders>
            <w:vAlign w:val="center"/>
          </w:tcPr>
          <w:p w14:paraId="610508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p>
        </w:tc>
        <w:tc>
          <w:tcPr>
            <w:tcW w:w="418" w:type="pct"/>
            <w:tcBorders>
              <w:tl2br w:val="nil"/>
              <w:tr2bl w:val="nil"/>
            </w:tcBorders>
            <w:vAlign w:val="center"/>
          </w:tcPr>
          <w:p w14:paraId="51C920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p>
        </w:tc>
      </w:tr>
      <w:tr w14:paraId="3C0C7E5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552FD1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44</w:t>
            </w:r>
          </w:p>
        </w:tc>
        <w:tc>
          <w:tcPr>
            <w:tcW w:w="1269" w:type="pct"/>
            <w:tcBorders>
              <w:tl2br w:val="nil"/>
              <w:tr2bl w:val="nil"/>
            </w:tcBorders>
            <w:vAlign w:val="center"/>
          </w:tcPr>
          <w:p w14:paraId="05FF43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二苯并[a,h]蒽</w:t>
            </w:r>
          </w:p>
        </w:tc>
        <w:tc>
          <w:tcPr>
            <w:tcW w:w="729" w:type="pct"/>
            <w:tcBorders>
              <w:tl2br w:val="nil"/>
              <w:tr2bl w:val="nil"/>
            </w:tcBorders>
            <w:vAlign w:val="center"/>
          </w:tcPr>
          <w:p w14:paraId="760989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5DA85D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715" w:type="pct"/>
            <w:tcBorders>
              <w:tl2br w:val="nil"/>
              <w:tr2bl w:val="nil"/>
            </w:tcBorders>
            <w:vAlign w:val="center"/>
          </w:tcPr>
          <w:p w14:paraId="462832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702" w:type="pct"/>
            <w:tcBorders>
              <w:tl2br w:val="nil"/>
              <w:tr2bl w:val="nil"/>
            </w:tcBorders>
            <w:vAlign w:val="center"/>
          </w:tcPr>
          <w:p w14:paraId="672EB9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p>
        </w:tc>
        <w:tc>
          <w:tcPr>
            <w:tcW w:w="418" w:type="pct"/>
            <w:tcBorders>
              <w:tl2br w:val="nil"/>
              <w:tr2bl w:val="nil"/>
            </w:tcBorders>
            <w:vAlign w:val="center"/>
          </w:tcPr>
          <w:p w14:paraId="68D1C0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p>
        </w:tc>
      </w:tr>
      <w:tr w14:paraId="22AE3E1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5C3BD5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c>
          <w:tcPr>
            <w:tcW w:w="1269" w:type="pct"/>
            <w:tcBorders>
              <w:tl2br w:val="nil"/>
              <w:tr2bl w:val="nil"/>
            </w:tcBorders>
            <w:vAlign w:val="center"/>
          </w:tcPr>
          <w:p w14:paraId="45075B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茚并[1,2,3-cd]芘</w:t>
            </w:r>
          </w:p>
        </w:tc>
        <w:tc>
          <w:tcPr>
            <w:tcW w:w="729" w:type="pct"/>
            <w:tcBorders>
              <w:tl2br w:val="nil"/>
              <w:tr2bl w:val="nil"/>
            </w:tcBorders>
            <w:vAlign w:val="center"/>
          </w:tcPr>
          <w:p w14:paraId="2B6A03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4984F0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715" w:type="pct"/>
            <w:tcBorders>
              <w:tl2br w:val="nil"/>
              <w:tr2bl w:val="nil"/>
            </w:tcBorders>
            <w:vAlign w:val="center"/>
          </w:tcPr>
          <w:p w14:paraId="65A10B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702" w:type="pct"/>
            <w:tcBorders>
              <w:tl2br w:val="nil"/>
              <w:tr2bl w:val="nil"/>
            </w:tcBorders>
            <w:vAlign w:val="center"/>
          </w:tcPr>
          <w:p w14:paraId="2932F9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p>
        </w:tc>
        <w:tc>
          <w:tcPr>
            <w:tcW w:w="418" w:type="pct"/>
            <w:tcBorders>
              <w:tl2br w:val="nil"/>
              <w:tr2bl w:val="nil"/>
            </w:tcBorders>
            <w:vAlign w:val="center"/>
          </w:tcPr>
          <w:p w14:paraId="3F984C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p>
        </w:tc>
      </w:tr>
      <w:tr w14:paraId="686F073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5F82FD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46</w:t>
            </w:r>
          </w:p>
        </w:tc>
        <w:tc>
          <w:tcPr>
            <w:tcW w:w="1269" w:type="pct"/>
            <w:tcBorders>
              <w:tl2br w:val="nil"/>
              <w:tr2bl w:val="nil"/>
            </w:tcBorders>
            <w:vAlign w:val="center"/>
          </w:tcPr>
          <w:p w14:paraId="6CCA9D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萘</w:t>
            </w:r>
          </w:p>
        </w:tc>
        <w:tc>
          <w:tcPr>
            <w:tcW w:w="729" w:type="pct"/>
            <w:tcBorders>
              <w:tl2br w:val="nil"/>
              <w:tr2bl w:val="nil"/>
            </w:tcBorders>
            <w:vAlign w:val="center"/>
          </w:tcPr>
          <w:p w14:paraId="6F7621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42DDFE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715" w:type="pct"/>
            <w:tcBorders>
              <w:tl2br w:val="nil"/>
              <w:tr2bl w:val="nil"/>
            </w:tcBorders>
            <w:vAlign w:val="center"/>
          </w:tcPr>
          <w:p w14:paraId="6D38C2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702" w:type="pct"/>
            <w:tcBorders>
              <w:tl2br w:val="nil"/>
              <w:tr2bl w:val="nil"/>
            </w:tcBorders>
            <w:vAlign w:val="center"/>
          </w:tcPr>
          <w:p w14:paraId="2C327C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sz w:val="21"/>
                <w:szCs w:val="21"/>
                <w:highlight w:val="none"/>
              </w:rPr>
            </w:pPr>
          </w:p>
        </w:tc>
        <w:tc>
          <w:tcPr>
            <w:tcW w:w="418" w:type="pct"/>
            <w:tcBorders>
              <w:tl2br w:val="nil"/>
              <w:tr2bl w:val="nil"/>
            </w:tcBorders>
            <w:vAlign w:val="center"/>
          </w:tcPr>
          <w:p w14:paraId="66D01B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rPr>
            </w:pPr>
          </w:p>
        </w:tc>
      </w:tr>
      <w:tr w14:paraId="3B8A4D7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3D26C3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47</w:t>
            </w:r>
          </w:p>
        </w:tc>
        <w:tc>
          <w:tcPr>
            <w:tcW w:w="1269" w:type="pct"/>
            <w:tcBorders>
              <w:tl2br w:val="nil"/>
              <w:tr2bl w:val="nil"/>
            </w:tcBorders>
            <w:vAlign w:val="center"/>
          </w:tcPr>
          <w:p w14:paraId="784185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石油烃</w:t>
            </w:r>
          </w:p>
        </w:tc>
        <w:tc>
          <w:tcPr>
            <w:tcW w:w="729" w:type="pct"/>
            <w:tcBorders>
              <w:tl2br w:val="nil"/>
              <w:tr2bl w:val="nil"/>
            </w:tcBorders>
            <w:vAlign w:val="center"/>
          </w:tcPr>
          <w:p w14:paraId="12CCDC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717" w:type="pct"/>
            <w:tcBorders>
              <w:tl2br w:val="nil"/>
              <w:tr2bl w:val="nil"/>
            </w:tcBorders>
            <w:vAlign w:val="center"/>
          </w:tcPr>
          <w:p w14:paraId="5FFFFC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4500</w:t>
            </w:r>
          </w:p>
        </w:tc>
        <w:tc>
          <w:tcPr>
            <w:tcW w:w="715" w:type="pct"/>
            <w:tcBorders>
              <w:tl2br w:val="nil"/>
              <w:tr2bl w:val="nil"/>
            </w:tcBorders>
            <w:vAlign w:val="center"/>
          </w:tcPr>
          <w:p w14:paraId="7856F7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702" w:type="pct"/>
            <w:tcBorders>
              <w:tl2br w:val="nil"/>
              <w:tr2bl w:val="nil"/>
            </w:tcBorders>
            <w:vAlign w:val="center"/>
          </w:tcPr>
          <w:p w14:paraId="57361D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8" w:type="pct"/>
            <w:tcBorders>
              <w:tl2br w:val="nil"/>
              <w:tr2bl w:val="nil"/>
            </w:tcBorders>
            <w:vAlign w:val="center"/>
          </w:tcPr>
          <w:p w14:paraId="283F84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1F82F6B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46" w:type="pct"/>
            <w:tcBorders>
              <w:tl2br w:val="nil"/>
              <w:tr2bl w:val="nil"/>
            </w:tcBorders>
            <w:vAlign w:val="center"/>
          </w:tcPr>
          <w:p w14:paraId="367C98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48</w:t>
            </w:r>
          </w:p>
        </w:tc>
        <w:tc>
          <w:tcPr>
            <w:tcW w:w="1269" w:type="pct"/>
            <w:tcBorders>
              <w:tl2br w:val="nil"/>
              <w:tr2bl w:val="nil"/>
            </w:tcBorders>
            <w:vAlign w:val="center"/>
          </w:tcPr>
          <w:p w14:paraId="464C07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水溶性盐总量（g/kg）</w:t>
            </w:r>
          </w:p>
        </w:tc>
        <w:tc>
          <w:tcPr>
            <w:tcW w:w="729" w:type="pct"/>
            <w:tcBorders>
              <w:tl2br w:val="nil"/>
              <w:tr2bl w:val="nil"/>
            </w:tcBorders>
            <w:vAlign w:val="center"/>
          </w:tcPr>
          <w:p w14:paraId="63E750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g/kg</w:t>
            </w:r>
          </w:p>
        </w:tc>
        <w:tc>
          <w:tcPr>
            <w:tcW w:w="717" w:type="pct"/>
            <w:tcBorders>
              <w:tl2br w:val="nil"/>
              <w:tr2bl w:val="nil"/>
            </w:tcBorders>
            <w:vAlign w:val="center"/>
          </w:tcPr>
          <w:p w14:paraId="624E06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kern w:val="0"/>
                <w:sz w:val="21"/>
                <w:szCs w:val="21"/>
                <w:highlight w:val="none"/>
                <w:lang w:val="en-US" w:eastAsia="zh-CN"/>
              </w:rPr>
              <w:t>-</w:t>
            </w:r>
          </w:p>
        </w:tc>
        <w:tc>
          <w:tcPr>
            <w:tcW w:w="715" w:type="pct"/>
            <w:tcBorders>
              <w:tl2br w:val="nil"/>
              <w:tr2bl w:val="nil"/>
            </w:tcBorders>
            <w:vAlign w:val="center"/>
          </w:tcPr>
          <w:p w14:paraId="48C716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lang w:val="en-US" w:eastAsia="zh-CN"/>
              </w:rPr>
            </w:pPr>
          </w:p>
        </w:tc>
        <w:tc>
          <w:tcPr>
            <w:tcW w:w="702" w:type="pct"/>
            <w:tcBorders>
              <w:tl2br w:val="nil"/>
              <w:tr2bl w:val="nil"/>
            </w:tcBorders>
            <w:vAlign w:val="center"/>
          </w:tcPr>
          <w:p w14:paraId="352820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lang w:val="en-US" w:eastAsia="zh-CN"/>
              </w:rPr>
            </w:pPr>
          </w:p>
        </w:tc>
        <w:tc>
          <w:tcPr>
            <w:tcW w:w="418" w:type="pct"/>
            <w:tcBorders>
              <w:tl2br w:val="nil"/>
              <w:tr2bl w:val="nil"/>
            </w:tcBorders>
            <w:vAlign w:val="center"/>
          </w:tcPr>
          <w:p w14:paraId="6F335C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color w:val="auto"/>
                <w:kern w:val="0"/>
                <w:sz w:val="21"/>
                <w:szCs w:val="21"/>
                <w:highlight w:val="none"/>
                <w:lang w:val="en-US" w:eastAsia="zh-CN"/>
              </w:rPr>
            </w:pPr>
          </w:p>
        </w:tc>
      </w:tr>
    </w:tbl>
    <w:p w14:paraId="15B31D65">
      <w:pPr>
        <w:pStyle w:val="61"/>
        <w:bidi w:val="0"/>
        <w:jc w:val="both"/>
        <w:rPr>
          <w:rFonts w:hint="default"/>
          <w:color w:val="auto"/>
          <w:lang w:val="en-US" w:eastAsia="zh-CN"/>
        </w:rPr>
      </w:pPr>
      <w:r>
        <w:rPr>
          <w:rFonts w:hint="eastAsia"/>
          <w:color w:val="auto"/>
          <w:lang w:val="en-US" w:eastAsia="zh-CN"/>
        </w:rPr>
        <w:t>表4.5-4   土壤监测结果一览表（占地内表层样）    单位：mg/kg</w:t>
      </w:r>
    </w:p>
    <w:tbl>
      <w:tblPr>
        <w:tblStyle w:val="36"/>
        <w:tblW w:w="4998"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779"/>
        <w:gridCol w:w="1877"/>
        <w:gridCol w:w="1203"/>
        <w:gridCol w:w="1018"/>
        <w:gridCol w:w="1173"/>
        <w:gridCol w:w="1078"/>
        <w:gridCol w:w="875"/>
        <w:gridCol w:w="827"/>
      </w:tblGrid>
      <w:tr w14:paraId="7424DA4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00" w:hRule="atLeast"/>
        </w:trPr>
        <w:tc>
          <w:tcPr>
            <w:tcW w:w="441" w:type="pct"/>
            <w:vMerge w:val="restart"/>
            <w:tcBorders>
              <w:tl2br w:val="nil"/>
              <w:tr2bl w:val="nil"/>
            </w:tcBorders>
            <w:noWrap w:val="0"/>
            <w:vAlign w:val="center"/>
          </w:tcPr>
          <w:p w14:paraId="7FD2D9CE">
            <w:pPr>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062" w:type="pct"/>
            <w:vMerge w:val="restart"/>
            <w:tcBorders>
              <w:tl2br w:val="nil"/>
              <w:tr2bl w:val="nil"/>
            </w:tcBorders>
            <w:noWrap w:val="0"/>
            <w:vAlign w:val="center"/>
          </w:tcPr>
          <w:p w14:paraId="4F866EEA">
            <w:pPr>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检测项目</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单位</w:t>
            </w:r>
            <w:r>
              <w:rPr>
                <w:rFonts w:hint="eastAsia" w:cs="Times New Roman"/>
                <w:color w:val="auto"/>
                <w:sz w:val="21"/>
                <w:szCs w:val="21"/>
                <w:highlight w:val="none"/>
                <w:lang w:eastAsia="zh-CN"/>
              </w:rPr>
              <w:t>）</w:t>
            </w:r>
          </w:p>
        </w:tc>
        <w:tc>
          <w:tcPr>
            <w:tcW w:w="1257" w:type="pct"/>
            <w:gridSpan w:val="2"/>
            <w:tcBorders>
              <w:tl2br w:val="nil"/>
              <w:tr2bl w:val="nil"/>
            </w:tcBorders>
            <w:noWrap w:val="0"/>
            <w:vAlign w:val="center"/>
          </w:tcPr>
          <w:p w14:paraId="4D5A2D94">
            <w:pPr>
              <w:bidi w:val="0"/>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脱硫站站</w:t>
            </w:r>
            <w:r>
              <w:rPr>
                <w:rFonts w:hint="default" w:ascii="Times New Roman" w:hAnsi="Times New Roman" w:eastAsia="宋体" w:cs="Times New Roman"/>
                <w:color w:val="auto"/>
                <w:sz w:val="21"/>
                <w:szCs w:val="21"/>
                <w:lang w:val="en-US" w:eastAsia="zh-CN"/>
              </w:rPr>
              <w:t>内</w:t>
            </w:r>
          </w:p>
        </w:tc>
        <w:tc>
          <w:tcPr>
            <w:tcW w:w="1274" w:type="pct"/>
            <w:gridSpan w:val="2"/>
            <w:tcBorders>
              <w:tl2br w:val="nil"/>
              <w:tr2bl w:val="nil"/>
            </w:tcBorders>
            <w:noWrap w:val="0"/>
            <w:vAlign w:val="center"/>
          </w:tcPr>
          <w:p w14:paraId="522FCAF2">
            <w:pPr>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雄英3井</w:t>
            </w:r>
            <w:r>
              <w:rPr>
                <w:rFonts w:hint="default" w:ascii="Times New Roman" w:hAnsi="Times New Roman" w:eastAsia="宋体" w:cs="Times New Roman"/>
                <w:color w:val="auto"/>
                <w:sz w:val="21"/>
                <w:szCs w:val="21"/>
              </w:rPr>
              <w:t>井场</w:t>
            </w:r>
            <w:r>
              <w:rPr>
                <w:rFonts w:hint="default" w:ascii="Times New Roman" w:hAnsi="Times New Roman" w:eastAsia="宋体" w:cs="Times New Roman"/>
                <w:color w:val="auto"/>
                <w:sz w:val="21"/>
                <w:szCs w:val="21"/>
                <w:lang w:val="en-US" w:eastAsia="zh-CN"/>
              </w:rPr>
              <w:t>内</w:t>
            </w:r>
          </w:p>
        </w:tc>
        <w:tc>
          <w:tcPr>
            <w:tcW w:w="495" w:type="pct"/>
            <w:vMerge w:val="restart"/>
            <w:tcBorders>
              <w:tl2br w:val="nil"/>
              <w:tr2bl w:val="nil"/>
            </w:tcBorders>
            <w:noWrap w:val="0"/>
            <w:vAlign w:val="center"/>
          </w:tcPr>
          <w:p w14:paraId="3539EF28">
            <w:pPr>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标准值</w:t>
            </w:r>
          </w:p>
        </w:tc>
        <w:tc>
          <w:tcPr>
            <w:tcW w:w="468" w:type="pct"/>
            <w:vMerge w:val="restart"/>
            <w:tcBorders>
              <w:tl2br w:val="nil"/>
              <w:tr2bl w:val="nil"/>
            </w:tcBorders>
            <w:noWrap w:val="0"/>
            <w:vAlign w:val="center"/>
          </w:tcPr>
          <w:p w14:paraId="0B26082C">
            <w:pPr>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是否达标</w:t>
            </w:r>
          </w:p>
        </w:tc>
      </w:tr>
      <w:tr w14:paraId="1533A11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0" w:hRule="atLeast"/>
        </w:trPr>
        <w:tc>
          <w:tcPr>
            <w:tcW w:w="441" w:type="pct"/>
            <w:vMerge w:val="continue"/>
            <w:tcBorders>
              <w:tl2br w:val="nil"/>
              <w:tr2bl w:val="nil"/>
            </w:tcBorders>
            <w:noWrap w:val="0"/>
            <w:vAlign w:val="center"/>
          </w:tcPr>
          <w:p w14:paraId="2198995F">
            <w:pPr>
              <w:bidi w:val="0"/>
              <w:rPr>
                <w:rFonts w:hint="default" w:ascii="Times New Roman" w:hAnsi="Times New Roman" w:eastAsia="宋体" w:cs="Times New Roman"/>
                <w:color w:val="auto"/>
                <w:sz w:val="21"/>
                <w:szCs w:val="21"/>
                <w:highlight w:val="none"/>
              </w:rPr>
            </w:pPr>
          </w:p>
        </w:tc>
        <w:tc>
          <w:tcPr>
            <w:tcW w:w="1062" w:type="pct"/>
            <w:vMerge w:val="continue"/>
            <w:tcBorders>
              <w:tl2br w:val="nil"/>
              <w:tr2bl w:val="nil"/>
            </w:tcBorders>
            <w:noWrap w:val="0"/>
            <w:vAlign w:val="center"/>
          </w:tcPr>
          <w:p w14:paraId="02EE47F3">
            <w:pPr>
              <w:bidi w:val="0"/>
              <w:rPr>
                <w:rFonts w:hint="default" w:ascii="Times New Roman" w:hAnsi="Times New Roman" w:eastAsia="宋体" w:cs="Times New Roman"/>
                <w:color w:val="auto"/>
                <w:sz w:val="21"/>
                <w:szCs w:val="21"/>
                <w:highlight w:val="none"/>
              </w:rPr>
            </w:pPr>
          </w:p>
        </w:tc>
        <w:tc>
          <w:tcPr>
            <w:tcW w:w="681" w:type="pct"/>
            <w:tcBorders>
              <w:tl2br w:val="nil"/>
              <w:tr2bl w:val="nil"/>
            </w:tcBorders>
            <w:noWrap w:val="0"/>
            <w:vAlign w:val="center"/>
          </w:tcPr>
          <w:p w14:paraId="08B28DFE">
            <w:pPr>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监测值</w:t>
            </w:r>
          </w:p>
        </w:tc>
        <w:tc>
          <w:tcPr>
            <w:tcW w:w="576" w:type="pct"/>
            <w:tcBorders>
              <w:tl2br w:val="nil"/>
              <w:tr2bl w:val="nil"/>
            </w:tcBorders>
            <w:noWrap w:val="0"/>
            <w:vAlign w:val="center"/>
          </w:tcPr>
          <w:p w14:paraId="3C5467F4">
            <w:pPr>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Pi</w:t>
            </w:r>
          </w:p>
        </w:tc>
        <w:tc>
          <w:tcPr>
            <w:tcW w:w="664" w:type="pct"/>
            <w:tcBorders>
              <w:tl2br w:val="nil"/>
              <w:tr2bl w:val="nil"/>
            </w:tcBorders>
            <w:noWrap w:val="0"/>
            <w:vAlign w:val="center"/>
          </w:tcPr>
          <w:p w14:paraId="06655E3D">
            <w:pPr>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监测值</w:t>
            </w:r>
          </w:p>
        </w:tc>
        <w:tc>
          <w:tcPr>
            <w:tcW w:w="610" w:type="pct"/>
            <w:tcBorders>
              <w:tl2br w:val="nil"/>
              <w:tr2bl w:val="nil"/>
            </w:tcBorders>
            <w:noWrap w:val="0"/>
            <w:vAlign w:val="center"/>
          </w:tcPr>
          <w:p w14:paraId="6206CFB4">
            <w:pPr>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Pi</w:t>
            </w:r>
          </w:p>
        </w:tc>
        <w:tc>
          <w:tcPr>
            <w:tcW w:w="495" w:type="pct"/>
            <w:vMerge w:val="continue"/>
            <w:tcBorders>
              <w:tl2br w:val="nil"/>
              <w:tr2bl w:val="nil"/>
            </w:tcBorders>
            <w:noWrap w:val="0"/>
            <w:vAlign w:val="center"/>
          </w:tcPr>
          <w:p w14:paraId="3783E4A3">
            <w:pPr>
              <w:bidi w:val="0"/>
              <w:rPr>
                <w:rFonts w:hint="default" w:ascii="Times New Roman" w:hAnsi="Times New Roman" w:eastAsia="宋体" w:cs="Times New Roman"/>
                <w:color w:val="auto"/>
                <w:sz w:val="21"/>
                <w:szCs w:val="21"/>
              </w:rPr>
            </w:pPr>
          </w:p>
        </w:tc>
        <w:tc>
          <w:tcPr>
            <w:tcW w:w="468" w:type="pct"/>
            <w:vMerge w:val="continue"/>
            <w:tcBorders>
              <w:tl2br w:val="nil"/>
              <w:tr2bl w:val="nil"/>
            </w:tcBorders>
            <w:noWrap w:val="0"/>
            <w:vAlign w:val="center"/>
          </w:tcPr>
          <w:p w14:paraId="4EAD9D77">
            <w:pPr>
              <w:bidi w:val="0"/>
              <w:rPr>
                <w:rFonts w:hint="default" w:ascii="Times New Roman" w:hAnsi="Times New Roman" w:eastAsia="宋体" w:cs="Times New Roman"/>
                <w:color w:val="auto"/>
                <w:sz w:val="21"/>
                <w:szCs w:val="21"/>
              </w:rPr>
            </w:pPr>
          </w:p>
        </w:tc>
      </w:tr>
      <w:tr w14:paraId="334D523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05" w:hRule="atLeast"/>
        </w:trPr>
        <w:tc>
          <w:tcPr>
            <w:tcW w:w="441" w:type="pct"/>
            <w:tcBorders>
              <w:tl2br w:val="nil"/>
              <w:tr2bl w:val="nil"/>
            </w:tcBorders>
            <w:noWrap w:val="0"/>
            <w:vAlign w:val="center"/>
          </w:tcPr>
          <w:p w14:paraId="23F5451B">
            <w:pPr>
              <w:bidi w:val="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1062" w:type="pct"/>
            <w:tcBorders>
              <w:tl2br w:val="nil"/>
              <w:tr2bl w:val="nil"/>
            </w:tcBorders>
            <w:noWrap w:val="0"/>
            <w:vAlign w:val="center"/>
          </w:tcPr>
          <w:p w14:paraId="2BE7EDFA">
            <w:pPr>
              <w:bidi w:val="0"/>
              <w:rPr>
                <w:rFonts w:hint="default" w:ascii="Times New Roman" w:hAnsi="Times New Roman" w:eastAsia="宋体" w:cs="Times New Roman"/>
                <w:color w:val="auto"/>
                <w:sz w:val="21"/>
                <w:szCs w:val="21"/>
                <w:highlight w:val="none"/>
              </w:rPr>
            </w:pPr>
            <w:r>
              <w:rPr>
                <w:color w:val="auto"/>
                <w:sz w:val="21"/>
                <w:szCs w:val="21"/>
                <w:highlight w:val="none"/>
              </w:rPr>
              <w:t>pH值</w:t>
            </w:r>
          </w:p>
        </w:tc>
        <w:tc>
          <w:tcPr>
            <w:tcW w:w="681" w:type="pct"/>
            <w:tcBorders>
              <w:tl2br w:val="nil"/>
              <w:tr2bl w:val="nil"/>
            </w:tcBorders>
            <w:noWrap w:val="0"/>
            <w:vAlign w:val="center"/>
          </w:tcPr>
          <w:p w14:paraId="6D02F95D">
            <w:pPr>
              <w:bidi w:val="0"/>
              <w:rPr>
                <w:rFonts w:hint="default" w:ascii="Times New Roman" w:hAnsi="Times New Roman" w:eastAsia="宋体" w:cs="Times New Roman"/>
                <w:color w:val="auto"/>
                <w:sz w:val="21"/>
                <w:szCs w:val="21"/>
                <w:lang w:val="en-US" w:eastAsia="zh-CN"/>
              </w:rPr>
            </w:pPr>
          </w:p>
        </w:tc>
        <w:tc>
          <w:tcPr>
            <w:tcW w:w="576" w:type="pct"/>
            <w:tcBorders>
              <w:tl2br w:val="nil"/>
              <w:tr2bl w:val="nil"/>
            </w:tcBorders>
            <w:noWrap w:val="0"/>
            <w:vAlign w:val="center"/>
          </w:tcPr>
          <w:p w14:paraId="36FBE169">
            <w:pPr>
              <w:bidi w:val="0"/>
              <w:rPr>
                <w:rFonts w:hint="default" w:ascii="Times New Roman" w:hAnsi="Times New Roman" w:eastAsia="宋体" w:cs="Times New Roman"/>
                <w:color w:val="auto"/>
                <w:sz w:val="21"/>
                <w:szCs w:val="21"/>
                <w:lang w:val="en-US" w:eastAsia="zh-CN"/>
              </w:rPr>
            </w:pPr>
          </w:p>
        </w:tc>
        <w:tc>
          <w:tcPr>
            <w:tcW w:w="664" w:type="pct"/>
            <w:tcBorders>
              <w:tl2br w:val="nil"/>
              <w:tr2bl w:val="nil"/>
            </w:tcBorders>
            <w:noWrap w:val="0"/>
            <w:vAlign w:val="center"/>
          </w:tcPr>
          <w:p w14:paraId="36743DE7">
            <w:pPr>
              <w:bidi w:val="0"/>
              <w:rPr>
                <w:rFonts w:hint="default" w:ascii="Times New Roman" w:hAnsi="Times New Roman" w:eastAsia="宋体" w:cs="Times New Roman"/>
                <w:color w:val="auto"/>
                <w:sz w:val="21"/>
                <w:szCs w:val="21"/>
                <w:lang w:val="en-US" w:eastAsia="zh-CN"/>
              </w:rPr>
            </w:pPr>
          </w:p>
        </w:tc>
        <w:tc>
          <w:tcPr>
            <w:tcW w:w="610" w:type="pct"/>
            <w:tcBorders>
              <w:tl2br w:val="nil"/>
              <w:tr2bl w:val="nil"/>
            </w:tcBorders>
            <w:noWrap w:val="0"/>
            <w:vAlign w:val="center"/>
          </w:tcPr>
          <w:p w14:paraId="54BCC713">
            <w:pPr>
              <w:bidi w:val="0"/>
              <w:rPr>
                <w:rFonts w:hint="default" w:ascii="Times New Roman" w:hAnsi="Times New Roman" w:eastAsia="宋体" w:cs="Times New Roman"/>
                <w:color w:val="auto"/>
                <w:sz w:val="21"/>
                <w:szCs w:val="21"/>
                <w:lang w:val="en-US" w:eastAsia="zh-CN"/>
              </w:rPr>
            </w:pPr>
          </w:p>
        </w:tc>
        <w:tc>
          <w:tcPr>
            <w:tcW w:w="495" w:type="pct"/>
            <w:tcBorders>
              <w:tl2br w:val="nil"/>
              <w:tr2bl w:val="nil"/>
            </w:tcBorders>
            <w:noWrap w:val="0"/>
            <w:vAlign w:val="center"/>
          </w:tcPr>
          <w:p w14:paraId="2FA37A40">
            <w:pPr>
              <w:bidi w:val="0"/>
              <w:rPr>
                <w:rFonts w:hint="eastAsia" w:ascii="Times New Roman" w:hAnsi="Times New Roman" w:eastAsia="宋体" w:cs="Times New Roman"/>
                <w:color w:val="auto"/>
                <w:sz w:val="21"/>
                <w:szCs w:val="21"/>
                <w:lang w:val="en-US" w:eastAsia="zh-CN"/>
              </w:rPr>
            </w:pPr>
          </w:p>
        </w:tc>
        <w:tc>
          <w:tcPr>
            <w:tcW w:w="468" w:type="pct"/>
            <w:tcBorders>
              <w:tl2br w:val="nil"/>
              <w:tr2bl w:val="nil"/>
            </w:tcBorders>
            <w:noWrap w:val="0"/>
            <w:vAlign w:val="center"/>
          </w:tcPr>
          <w:p w14:paraId="0D6AAF66">
            <w:pPr>
              <w:bidi w:val="0"/>
              <w:rPr>
                <w:rFonts w:hint="eastAsia" w:ascii="Times New Roman" w:hAnsi="Times New Roman" w:eastAsia="宋体" w:cs="Times New Roman"/>
                <w:color w:val="auto"/>
                <w:sz w:val="21"/>
                <w:szCs w:val="21"/>
                <w:lang w:val="en-US" w:eastAsia="zh-CN"/>
              </w:rPr>
            </w:pPr>
          </w:p>
        </w:tc>
      </w:tr>
      <w:tr w14:paraId="099E918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05" w:hRule="atLeast"/>
        </w:trPr>
        <w:tc>
          <w:tcPr>
            <w:tcW w:w="441" w:type="pct"/>
            <w:tcBorders>
              <w:tl2br w:val="nil"/>
              <w:tr2bl w:val="nil"/>
            </w:tcBorders>
            <w:noWrap w:val="0"/>
            <w:vAlign w:val="center"/>
          </w:tcPr>
          <w:p w14:paraId="7EE3A30A">
            <w:pPr>
              <w:bidi w:val="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1062" w:type="pct"/>
            <w:tcBorders>
              <w:tl2br w:val="nil"/>
              <w:tr2bl w:val="nil"/>
            </w:tcBorders>
            <w:noWrap w:val="0"/>
            <w:vAlign w:val="center"/>
          </w:tcPr>
          <w:p w14:paraId="688F3A75">
            <w:pPr>
              <w:bidi w:val="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水溶性盐总量</w:t>
            </w:r>
            <w:r>
              <w:rPr>
                <w:rFonts w:hint="eastAsia" w:cs="Times New Roman"/>
                <w:color w:val="auto"/>
                <w:sz w:val="21"/>
                <w:szCs w:val="21"/>
                <w:highlight w:val="none"/>
                <w:lang w:val="en-US" w:eastAsia="zh-CN"/>
              </w:rPr>
              <w:t>（g/kg）</w:t>
            </w:r>
          </w:p>
        </w:tc>
        <w:tc>
          <w:tcPr>
            <w:tcW w:w="681" w:type="pct"/>
            <w:tcBorders>
              <w:tl2br w:val="nil"/>
              <w:tr2bl w:val="nil"/>
            </w:tcBorders>
            <w:noWrap w:val="0"/>
            <w:vAlign w:val="center"/>
          </w:tcPr>
          <w:p w14:paraId="3A180C54">
            <w:pPr>
              <w:bidi w:val="0"/>
              <w:rPr>
                <w:rFonts w:hint="default" w:ascii="Times New Roman" w:hAnsi="Times New Roman" w:eastAsia="宋体" w:cs="Times New Roman"/>
                <w:color w:val="auto"/>
                <w:sz w:val="21"/>
                <w:szCs w:val="21"/>
                <w:lang w:val="en-US" w:eastAsia="zh-CN"/>
              </w:rPr>
            </w:pPr>
          </w:p>
        </w:tc>
        <w:tc>
          <w:tcPr>
            <w:tcW w:w="576" w:type="pct"/>
            <w:tcBorders>
              <w:tl2br w:val="nil"/>
              <w:tr2bl w:val="nil"/>
            </w:tcBorders>
            <w:noWrap w:val="0"/>
            <w:vAlign w:val="center"/>
          </w:tcPr>
          <w:p w14:paraId="64840978">
            <w:pPr>
              <w:bidi w:val="0"/>
              <w:rPr>
                <w:rFonts w:hint="default" w:ascii="Times New Roman" w:hAnsi="Times New Roman" w:eastAsia="宋体" w:cs="Times New Roman"/>
                <w:color w:val="auto"/>
                <w:sz w:val="21"/>
                <w:szCs w:val="21"/>
                <w:lang w:val="en-US" w:eastAsia="zh-CN"/>
              </w:rPr>
            </w:pPr>
          </w:p>
        </w:tc>
        <w:tc>
          <w:tcPr>
            <w:tcW w:w="664" w:type="pct"/>
            <w:tcBorders>
              <w:tl2br w:val="nil"/>
              <w:tr2bl w:val="nil"/>
            </w:tcBorders>
            <w:noWrap w:val="0"/>
            <w:vAlign w:val="center"/>
          </w:tcPr>
          <w:p w14:paraId="57F476EF">
            <w:pPr>
              <w:bidi w:val="0"/>
              <w:rPr>
                <w:rFonts w:hint="default" w:ascii="Times New Roman" w:hAnsi="Times New Roman" w:eastAsia="宋体" w:cs="Times New Roman"/>
                <w:color w:val="auto"/>
                <w:sz w:val="21"/>
                <w:szCs w:val="21"/>
                <w:lang w:val="en-US" w:eastAsia="zh-CN"/>
              </w:rPr>
            </w:pPr>
          </w:p>
        </w:tc>
        <w:tc>
          <w:tcPr>
            <w:tcW w:w="610" w:type="pct"/>
            <w:tcBorders>
              <w:tl2br w:val="nil"/>
              <w:tr2bl w:val="nil"/>
            </w:tcBorders>
            <w:noWrap w:val="0"/>
            <w:vAlign w:val="center"/>
          </w:tcPr>
          <w:p w14:paraId="3056733C">
            <w:pPr>
              <w:bidi w:val="0"/>
              <w:rPr>
                <w:rFonts w:hint="default" w:ascii="Times New Roman" w:hAnsi="Times New Roman" w:eastAsia="宋体" w:cs="Times New Roman"/>
                <w:color w:val="auto"/>
                <w:kern w:val="2"/>
                <w:sz w:val="21"/>
                <w:szCs w:val="21"/>
                <w:lang w:val="en-US" w:eastAsia="zh-CN" w:bidi="ar-SA"/>
              </w:rPr>
            </w:pPr>
          </w:p>
        </w:tc>
        <w:tc>
          <w:tcPr>
            <w:tcW w:w="495" w:type="pct"/>
            <w:tcBorders>
              <w:tl2br w:val="nil"/>
              <w:tr2bl w:val="nil"/>
            </w:tcBorders>
            <w:noWrap w:val="0"/>
            <w:vAlign w:val="center"/>
          </w:tcPr>
          <w:p w14:paraId="72052ED0">
            <w:pPr>
              <w:bidi w:val="0"/>
              <w:rPr>
                <w:rFonts w:hint="eastAsia" w:ascii="Times New Roman" w:hAnsi="Times New Roman" w:eastAsia="宋体" w:cs="Times New Roman"/>
                <w:color w:val="auto"/>
                <w:kern w:val="2"/>
                <w:sz w:val="21"/>
                <w:szCs w:val="21"/>
                <w:lang w:val="en-US" w:eastAsia="zh-CN" w:bidi="ar-SA"/>
              </w:rPr>
            </w:pPr>
          </w:p>
        </w:tc>
        <w:tc>
          <w:tcPr>
            <w:tcW w:w="468" w:type="pct"/>
            <w:tcBorders>
              <w:tl2br w:val="nil"/>
              <w:tr2bl w:val="nil"/>
            </w:tcBorders>
            <w:noWrap w:val="0"/>
            <w:vAlign w:val="center"/>
          </w:tcPr>
          <w:p w14:paraId="60CF7269">
            <w:pPr>
              <w:bidi w:val="0"/>
              <w:rPr>
                <w:rFonts w:hint="eastAsia" w:ascii="Times New Roman" w:hAnsi="Times New Roman" w:eastAsia="宋体" w:cs="Times New Roman"/>
                <w:color w:val="auto"/>
                <w:kern w:val="2"/>
                <w:sz w:val="21"/>
                <w:szCs w:val="21"/>
                <w:lang w:val="en-US" w:eastAsia="zh-CN" w:bidi="ar-SA"/>
              </w:rPr>
            </w:pPr>
          </w:p>
        </w:tc>
      </w:tr>
      <w:tr w14:paraId="600089F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05" w:hRule="atLeast"/>
        </w:trPr>
        <w:tc>
          <w:tcPr>
            <w:tcW w:w="441" w:type="pct"/>
            <w:tcBorders>
              <w:tl2br w:val="nil"/>
              <w:tr2bl w:val="nil"/>
            </w:tcBorders>
            <w:noWrap w:val="0"/>
            <w:vAlign w:val="center"/>
          </w:tcPr>
          <w:p w14:paraId="5DC2A96A">
            <w:pPr>
              <w:bidi w:val="0"/>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3</w:t>
            </w:r>
          </w:p>
        </w:tc>
        <w:tc>
          <w:tcPr>
            <w:tcW w:w="1062" w:type="pct"/>
            <w:tcBorders>
              <w:tl2br w:val="nil"/>
              <w:tr2bl w:val="nil"/>
            </w:tcBorders>
            <w:noWrap w:val="0"/>
            <w:vAlign w:val="center"/>
          </w:tcPr>
          <w:p w14:paraId="58A61310">
            <w:pPr>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石油烃（mg/kg）</w:t>
            </w:r>
          </w:p>
        </w:tc>
        <w:tc>
          <w:tcPr>
            <w:tcW w:w="681" w:type="pct"/>
            <w:tcBorders>
              <w:tl2br w:val="nil"/>
              <w:tr2bl w:val="nil"/>
            </w:tcBorders>
            <w:noWrap w:val="0"/>
            <w:vAlign w:val="center"/>
          </w:tcPr>
          <w:p w14:paraId="294FD3C4">
            <w:pPr>
              <w:bidi w:val="0"/>
              <w:rPr>
                <w:rFonts w:hint="default" w:ascii="Times New Roman" w:hAnsi="Times New Roman" w:eastAsia="宋体" w:cs="Times New Roman"/>
                <w:color w:val="auto"/>
                <w:sz w:val="21"/>
                <w:szCs w:val="21"/>
                <w:lang w:val="en-US" w:eastAsia="zh-CN"/>
              </w:rPr>
            </w:pPr>
          </w:p>
        </w:tc>
        <w:tc>
          <w:tcPr>
            <w:tcW w:w="576" w:type="pct"/>
            <w:tcBorders>
              <w:tl2br w:val="nil"/>
              <w:tr2bl w:val="nil"/>
            </w:tcBorders>
            <w:noWrap w:val="0"/>
            <w:vAlign w:val="center"/>
          </w:tcPr>
          <w:p w14:paraId="6D198101">
            <w:pPr>
              <w:bidi w:val="0"/>
              <w:rPr>
                <w:rFonts w:hint="default" w:ascii="Times New Roman" w:hAnsi="Times New Roman" w:eastAsia="宋体" w:cs="Times New Roman"/>
                <w:color w:val="auto"/>
                <w:sz w:val="21"/>
                <w:szCs w:val="21"/>
                <w:lang w:val="en-US" w:eastAsia="zh-CN"/>
              </w:rPr>
            </w:pPr>
          </w:p>
        </w:tc>
        <w:tc>
          <w:tcPr>
            <w:tcW w:w="664" w:type="pct"/>
            <w:tcBorders>
              <w:tl2br w:val="nil"/>
              <w:tr2bl w:val="nil"/>
            </w:tcBorders>
            <w:noWrap w:val="0"/>
            <w:vAlign w:val="center"/>
          </w:tcPr>
          <w:p w14:paraId="344BB362">
            <w:pPr>
              <w:bidi w:val="0"/>
              <w:rPr>
                <w:rFonts w:hint="default" w:ascii="Times New Roman" w:hAnsi="Times New Roman" w:eastAsia="宋体" w:cs="Times New Roman"/>
                <w:color w:val="auto"/>
                <w:sz w:val="21"/>
                <w:szCs w:val="21"/>
                <w:lang w:val="en-US" w:eastAsia="zh-CN"/>
              </w:rPr>
            </w:pPr>
          </w:p>
        </w:tc>
        <w:tc>
          <w:tcPr>
            <w:tcW w:w="610" w:type="pct"/>
            <w:tcBorders>
              <w:tl2br w:val="nil"/>
              <w:tr2bl w:val="nil"/>
            </w:tcBorders>
            <w:noWrap w:val="0"/>
            <w:vAlign w:val="center"/>
          </w:tcPr>
          <w:p w14:paraId="6930A559">
            <w:pPr>
              <w:bidi w:val="0"/>
              <w:rPr>
                <w:rFonts w:hint="default" w:ascii="Times New Roman" w:hAnsi="Times New Roman" w:eastAsia="宋体" w:cs="Times New Roman"/>
                <w:color w:val="auto"/>
                <w:sz w:val="21"/>
                <w:szCs w:val="21"/>
                <w:lang w:val="en-US" w:eastAsia="zh-CN"/>
              </w:rPr>
            </w:pPr>
          </w:p>
        </w:tc>
        <w:tc>
          <w:tcPr>
            <w:tcW w:w="495" w:type="pct"/>
            <w:tcBorders>
              <w:tl2br w:val="nil"/>
              <w:tr2bl w:val="nil"/>
            </w:tcBorders>
            <w:noWrap w:val="0"/>
            <w:vAlign w:val="center"/>
          </w:tcPr>
          <w:p w14:paraId="32AFEAEE">
            <w:pPr>
              <w:bidi w:val="0"/>
              <w:rPr>
                <w:rFonts w:hint="default" w:ascii="Times New Roman" w:hAnsi="Times New Roman" w:eastAsia="宋体" w:cs="Times New Roman"/>
                <w:color w:val="auto"/>
                <w:sz w:val="21"/>
                <w:szCs w:val="21"/>
              </w:rPr>
            </w:pPr>
          </w:p>
        </w:tc>
        <w:tc>
          <w:tcPr>
            <w:tcW w:w="468" w:type="pct"/>
            <w:tcBorders>
              <w:tl2br w:val="nil"/>
              <w:tr2bl w:val="nil"/>
            </w:tcBorders>
            <w:noWrap w:val="0"/>
            <w:vAlign w:val="center"/>
          </w:tcPr>
          <w:p w14:paraId="3E8FA7DE">
            <w:pPr>
              <w:bidi w:val="0"/>
              <w:rPr>
                <w:rFonts w:hint="default" w:ascii="Times New Roman" w:hAnsi="Times New Roman" w:eastAsia="宋体" w:cs="Times New Roman"/>
                <w:color w:val="auto"/>
                <w:sz w:val="21"/>
                <w:szCs w:val="21"/>
              </w:rPr>
            </w:pPr>
          </w:p>
        </w:tc>
      </w:tr>
    </w:tbl>
    <w:p w14:paraId="730FE3EA">
      <w:pPr>
        <w:pStyle w:val="108"/>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b/>
          <w:bCs/>
          <w:color w:val="auto"/>
          <w:lang w:val="en-US" w:eastAsia="zh-CN"/>
        </w:rPr>
      </w:pPr>
    </w:p>
    <w:p w14:paraId="0D4D6C74">
      <w:pPr>
        <w:pStyle w:val="61"/>
        <w:bidi w:val="0"/>
        <w:jc w:val="both"/>
        <w:rPr>
          <w:rFonts w:hint="default"/>
          <w:color w:val="auto"/>
          <w:lang w:val="en-US" w:eastAsia="zh-CN"/>
        </w:rPr>
      </w:pPr>
      <w:r>
        <w:rPr>
          <w:rFonts w:hint="eastAsia"/>
          <w:color w:val="auto"/>
          <w:lang w:val="en-US" w:eastAsia="zh-CN"/>
        </w:rPr>
        <w:t>表4.5-5   土壤监测结果一览表（占地内柱状样）    单位：mg/kg</w:t>
      </w:r>
    </w:p>
    <w:tbl>
      <w:tblPr>
        <w:tblStyle w:val="36"/>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13"/>
        <w:gridCol w:w="1219"/>
        <w:gridCol w:w="1493"/>
        <w:gridCol w:w="1790"/>
        <w:gridCol w:w="1415"/>
        <w:gridCol w:w="857"/>
        <w:gridCol w:w="1143"/>
      </w:tblGrid>
      <w:tr w14:paraId="7392D5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517" w:type="pct"/>
            <w:vMerge w:val="restart"/>
            <w:tcBorders>
              <w:tl2br w:val="nil"/>
              <w:tr2bl w:val="nil"/>
            </w:tcBorders>
            <w:noWrap w:val="0"/>
            <w:vAlign w:val="center"/>
          </w:tcPr>
          <w:p w14:paraId="0EC38014">
            <w:pPr>
              <w:bidi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690" w:type="pct"/>
            <w:vMerge w:val="restart"/>
            <w:tcBorders>
              <w:tl2br w:val="nil"/>
              <w:tr2bl w:val="nil"/>
            </w:tcBorders>
            <w:noWrap w:val="0"/>
            <w:vAlign w:val="center"/>
          </w:tcPr>
          <w:p w14:paraId="4A675D6F">
            <w:pPr>
              <w:bidi w:val="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监测点位</w:t>
            </w:r>
          </w:p>
        </w:tc>
        <w:tc>
          <w:tcPr>
            <w:tcW w:w="845" w:type="pct"/>
            <w:vMerge w:val="restart"/>
            <w:tcBorders>
              <w:tl2br w:val="nil"/>
              <w:tr2bl w:val="nil"/>
            </w:tcBorders>
            <w:noWrap w:val="0"/>
            <w:vAlign w:val="center"/>
          </w:tcPr>
          <w:p w14:paraId="62E1ADF1">
            <w:pPr>
              <w:bidi w:val="0"/>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采用深度</w:t>
            </w:r>
          </w:p>
        </w:tc>
        <w:tc>
          <w:tcPr>
            <w:tcW w:w="1814" w:type="pct"/>
            <w:gridSpan w:val="2"/>
            <w:tcBorders>
              <w:tl2br w:val="nil"/>
              <w:tr2bl w:val="nil"/>
            </w:tcBorders>
            <w:noWrap w:val="0"/>
            <w:vAlign w:val="center"/>
          </w:tcPr>
          <w:p w14:paraId="6D54ABBA">
            <w:pPr>
              <w:bidi w:val="0"/>
              <w:jc w:val="center"/>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石油烃</w:t>
            </w:r>
          </w:p>
        </w:tc>
        <w:tc>
          <w:tcPr>
            <w:tcW w:w="485" w:type="pct"/>
            <w:vMerge w:val="restart"/>
            <w:tcBorders>
              <w:tl2br w:val="nil"/>
              <w:tr2bl w:val="nil"/>
            </w:tcBorders>
            <w:noWrap w:val="0"/>
            <w:vAlign w:val="center"/>
          </w:tcPr>
          <w:p w14:paraId="2D2A963D">
            <w:pPr>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标准值</w:t>
            </w:r>
          </w:p>
        </w:tc>
        <w:tc>
          <w:tcPr>
            <w:tcW w:w="647" w:type="pct"/>
            <w:vMerge w:val="restart"/>
            <w:tcBorders>
              <w:tl2br w:val="nil"/>
              <w:tr2bl w:val="nil"/>
            </w:tcBorders>
            <w:noWrap w:val="0"/>
            <w:vAlign w:val="center"/>
          </w:tcPr>
          <w:p w14:paraId="6139FDFF">
            <w:pPr>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是否达标</w:t>
            </w:r>
          </w:p>
        </w:tc>
      </w:tr>
      <w:tr w14:paraId="49D03A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517" w:type="pct"/>
            <w:vMerge w:val="continue"/>
            <w:tcBorders>
              <w:tl2br w:val="nil"/>
              <w:tr2bl w:val="nil"/>
            </w:tcBorders>
            <w:noWrap w:val="0"/>
            <w:vAlign w:val="center"/>
          </w:tcPr>
          <w:p w14:paraId="0C0E6CE3">
            <w:pPr>
              <w:bidi w:val="0"/>
              <w:jc w:val="center"/>
              <w:rPr>
                <w:rFonts w:hint="default" w:ascii="Times New Roman" w:hAnsi="Times New Roman" w:eastAsia="宋体" w:cs="Times New Roman"/>
                <w:color w:val="auto"/>
                <w:sz w:val="21"/>
                <w:szCs w:val="21"/>
                <w:highlight w:val="none"/>
              </w:rPr>
            </w:pPr>
          </w:p>
        </w:tc>
        <w:tc>
          <w:tcPr>
            <w:tcW w:w="690" w:type="pct"/>
            <w:vMerge w:val="continue"/>
            <w:tcBorders>
              <w:tl2br w:val="nil"/>
              <w:tr2bl w:val="nil"/>
            </w:tcBorders>
            <w:noWrap w:val="0"/>
            <w:vAlign w:val="center"/>
          </w:tcPr>
          <w:p w14:paraId="309EE21A">
            <w:pPr>
              <w:bidi w:val="0"/>
              <w:jc w:val="center"/>
              <w:rPr>
                <w:rFonts w:hint="default" w:ascii="Times New Roman" w:hAnsi="Times New Roman" w:eastAsia="宋体" w:cs="Times New Roman"/>
                <w:color w:val="auto"/>
                <w:sz w:val="21"/>
                <w:szCs w:val="21"/>
                <w:highlight w:val="none"/>
              </w:rPr>
            </w:pPr>
          </w:p>
        </w:tc>
        <w:tc>
          <w:tcPr>
            <w:tcW w:w="845" w:type="pct"/>
            <w:vMerge w:val="continue"/>
            <w:tcBorders>
              <w:tl2br w:val="nil"/>
              <w:tr2bl w:val="nil"/>
            </w:tcBorders>
            <w:noWrap w:val="0"/>
            <w:vAlign w:val="center"/>
          </w:tcPr>
          <w:p w14:paraId="13981740">
            <w:pPr>
              <w:bidi w:val="0"/>
              <w:jc w:val="center"/>
              <w:rPr>
                <w:rFonts w:hint="default" w:ascii="Times New Roman" w:hAnsi="Times New Roman" w:eastAsia="宋体" w:cs="Times New Roman"/>
                <w:color w:val="auto"/>
                <w:sz w:val="21"/>
                <w:szCs w:val="21"/>
                <w:highlight w:val="none"/>
              </w:rPr>
            </w:pPr>
          </w:p>
        </w:tc>
        <w:tc>
          <w:tcPr>
            <w:tcW w:w="1013" w:type="pct"/>
            <w:tcBorders>
              <w:tl2br w:val="nil"/>
              <w:tr2bl w:val="nil"/>
            </w:tcBorders>
            <w:noWrap w:val="0"/>
            <w:vAlign w:val="center"/>
          </w:tcPr>
          <w:p w14:paraId="0455CE4E">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监测值</w:t>
            </w:r>
          </w:p>
        </w:tc>
        <w:tc>
          <w:tcPr>
            <w:tcW w:w="800" w:type="pct"/>
            <w:tcBorders>
              <w:tl2br w:val="nil"/>
              <w:tr2bl w:val="nil"/>
            </w:tcBorders>
            <w:noWrap w:val="0"/>
            <w:vAlign w:val="center"/>
          </w:tcPr>
          <w:p w14:paraId="7E9B059F">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Pi</w:t>
            </w:r>
          </w:p>
        </w:tc>
        <w:tc>
          <w:tcPr>
            <w:tcW w:w="485" w:type="pct"/>
            <w:vMerge w:val="continue"/>
            <w:tcBorders>
              <w:tl2br w:val="nil"/>
              <w:tr2bl w:val="nil"/>
            </w:tcBorders>
            <w:noWrap w:val="0"/>
            <w:vAlign w:val="center"/>
          </w:tcPr>
          <w:p w14:paraId="41517FB8">
            <w:pPr>
              <w:bidi w:val="0"/>
              <w:rPr>
                <w:rFonts w:hint="default" w:ascii="Times New Roman" w:hAnsi="Times New Roman" w:eastAsia="宋体" w:cs="Times New Roman"/>
                <w:color w:val="auto"/>
                <w:sz w:val="21"/>
                <w:szCs w:val="21"/>
              </w:rPr>
            </w:pPr>
          </w:p>
        </w:tc>
        <w:tc>
          <w:tcPr>
            <w:tcW w:w="647" w:type="pct"/>
            <w:vMerge w:val="continue"/>
            <w:tcBorders>
              <w:tl2br w:val="nil"/>
              <w:tr2bl w:val="nil"/>
            </w:tcBorders>
            <w:noWrap w:val="0"/>
            <w:vAlign w:val="center"/>
          </w:tcPr>
          <w:p w14:paraId="15832902">
            <w:pPr>
              <w:bidi w:val="0"/>
              <w:rPr>
                <w:rFonts w:hint="default" w:ascii="Times New Roman" w:hAnsi="Times New Roman" w:eastAsia="宋体" w:cs="Times New Roman"/>
                <w:color w:val="auto"/>
                <w:sz w:val="21"/>
                <w:szCs w:val="21"/>
              </w:rPr>
            </w:pPr>
          </w:p>
        </w:tc>
      </w:tr>
      <w:tr w14:paraId="348E0C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trPr>
        <w:tc>
          <w:tcPr>
            <w:tcW w:w="517" w:type="pct"/>
            <w:tcBorders>
              <w:tl2br w:val="nil"/>
              <w:tr2bl w:val="nil"/>
            </w:tcBorders>
            <w:noWrap w:val="0"/>
            <w:vAlign w:val="center"/>
          </w:tcPr>
          <w:p w14:paraId="5F05EA51">
            <w:pPr>
              <w:bidi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690" w:type="pct"/>
            <w:vMerge w:val="restart"/>
            <w:tcBorders>
              <w:tl2br w:val="nil"/>
              <w:tr2bl w:val="nil"/>
            </w:tcBorders>
            <w:noWrap w:val="0"/>
            <w:vAlign w:val="center"/>
          </w:tcPr>
          <w:p w14:paraId="0AAFD2FB">
            <w:pPr>
              <w:bidi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雄英102井</w:t>
            </w:r>
          </w:p>
        </w:tc>
        <w:tc>
          <w:tcPr>
            <w:tcW w:w="845" w:type="pct"/>
            <w:tcBorders>
              <w:tl2br w:val="nil"/>
              <w:tr2bl w:val="nil"/>
            </w:tcBorders>
            <w:noWrap w:val="0"/>
            <w:vAlign w:val="center"/>
          </w:tcPr>
          <w:p w14:paraId="7587D8F7">
            <w:pPr>
              <w:bidi w:val="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0-0.5m</w:t>
            </w:r>
          </w:p>
        </w:tc>
        <w:tc>
          <w:tcPr>
            <w:tcW w:w="1013" w:type="pct"/>
            <w:tcBorders>
              <w:tl2br w:val="nil"/>
              <w:tr2bl w:val="nil"/>
            </w:tcBorders>
            <w:noWrap w:val="0"/>
            <w:vAlign w:val="center"/>
          </w:tcPr>
          <w:p w14:paraId="166268BB">
            <w:pPr>
              <w:bidi w:val="0"/>
              <w:jc w:val="center"/>
              <w:rPr>
                <w:rFonts w:hint="default" w:ascii="Times New Roman" w:hAnsi="Times New Roman" w:eastAsia="宋体" w:cs="Times New Roman"/>
                <w:color w:val="auto"/>
                <w:sz w:val="21"/>
                <w:szCs w:val="21"/>
                <w:lang w:val="en-US" w:eastAsia="zh-CN"/>
              </w:rPr>
            </w:pPr>
          </w:p>
        </w:tc>
        <w:tc>
          <w:tcPr>
            <w:tcW w:w="800" w:type="pct"/>
            <w:tcBorders>
              <w:tl2br w:val="nil"/>
              <w:tr2bl w:val="nil"/>
            </w:tcBorders>
            <w:noWrap w:val="0"/>
            <w:vAlign w:val="center"/>
          </w:tcPr>
          <w:p w14:paraId="460B8848">
            <w:pPr>
              <w:bidi w:val="0"/>
              <w:jc w:val="center"/>
              <w:rPr>
                <w:rFonts w:hint="default" w:ascii="Times New Roman" w:hAnsi="Times New Roman" w:eastAsia="宋体" w:cs="Times New Roman"/>
                <w:color w:val="auto"/>
                <w:sz w:val="21"/>
                <w:szCs w:val="21"/>
                <w:lang w:val="en-US" w:eastAsia="zh-CN"/>
              </w:rPr>
            </w:pPr>
          </w:p>
        </w:tc>
        <w:tc>
          <w:tcPr>
            <w:tcW w:w="485" w:type="pct"/>
            <w:vMerge w:val="restart"/>
            <w:tcBorders>
              <w:tl2br w:val="nil"/>
              <w:tr2bl w:val="nil"/>
            </w:tcBorders>
            <w:noWrap w:val="0"/>
            <w:vAlign w:val="center"/>
          </w:tcPr>
          <w:p w14:paraId="1503DEFB">
            <w:pPr>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4500</w:t>
            </w:r>
          </w:p>
        </w:tc>
        <w:tc>
          <w:tcPr>
            <w:tcW w:w="647" w:type="pct"/>
            <w:tcBorders>
              <w:tl2br w:val="nil"/>
              <w:tr2bl w:val="nil"/>
            </w:tcBorders>
            <w:noWrap w:val="0"/>
            <w:vAlign w:val="center"/>
          </w:tcPr>
          <w:p w14:paraId="47919D45">
            <w:pPr>
              <w:bidi w:val="0"/>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达标</w:t>
            </w:r>
          </w:p>
        </w:tc>
      </w:tr>
      <w:tr w14:paraId="393A09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trPr>
        <w:tc>
          <w:tcPr>
            <w:tcW w:w="517" w:type="pct"/>
            <w:tcBorders>
              <w:tl2br w:val="nil"/>
              <w:tr2bl w:val="nil"/>
            </w:tcBorders>
            <w:noWrap w:val="0"/>
            <w:vAlign w:val="center"/>
          </w:tcPr>
          <w:p w14:paraId="6E3C38FC">
            <w:pPr>
              <w:bidi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690" w:type="pct"/>
            <w:vMerge w:val="continue"/>
            <w:tcBorders>
              <w:tl2br w:val="nil"/>
              <w:tr2bl w:val="nil"/>
            </w:tcBorders>
            <w:noWrap w:val="0"/>
            <w:vAlign w:val="center"/>
          </w:tcPr>
          <w:p w14:paraId="30088CCC">
            <w:pPr>
              <w:bidi w:val="0"/>
              <w:jc w:val="center"/>
              <w:rPr>
                <w:rFonts w:hint="default" w:ascii="Times New Roman" w:hAnsi="Times New Roman" w:eastAsia="宋体" w:cs="Times New Roman"/>
                <w:color w:val="auto"/>
                <w:sz w:val="21"/>
                <w:szCs w:val="21"/>
                <w:highlight w:val="none"/>
                <w:lang w:val="en-US" w:eastAsia="zh-CN"/>
              </w:rPr>
            </w:pPr>
          </w:p>
        </w:tc>
        <w:tc>
          <w:tcPr>
            <w:tcW w:w="845" w:type="pct"/>
            <w:tcBorders>
              <w:tl2br w:val="nil"/>
              <w:tr2bl w:val="nil"/>
            </w:tcBorders>
            <w:noWrap w:val="0"/>
            <w:vAlign w:val="center"/>
          </w:tcPr>
          <w:p w14:paraId="57933B2B">
            <w:pPr>
              <w:bidi w:val="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0.5-1.5m</w:t>
            </w:r>
          </w:p>
        </w:tc>
        <w:tc>
          <w:tcPr>
            <w:tcW w:w="1013" w:type="pct"/>
            <w:tcBorders>
              <w:tl2br w:val="nil"/>
              <w:tr2bl w:val="nil"/>
            </w:tcBorders>
            <w:noWrap w:val="0"/>
            <w:vAlign w:val="center"/>
          </w:tcPr>
          <w:p w14:paraId="39019383">
            <w:pPr>
              <w:bidi w:val="0"/>
              <w:jc w:val="center"/>
              <w:rPr>
                <w:rFonts w:hint="default" w:ascii="Times New Roman" w:hAnsi="Times New Roman" w:eastAsia="宋体" w:cs="Times New Roman"/>
                <w:color w:val="auto"/>
                <w:sz w:val="21"/>
                <w:szCs w:val="21"/>
                <w:lang w:val="en-US" w:eastAsia="zh-CN"/>
              </w:rPr>
            </w:pPr>
          </w:p>
        </w:tc>
        <w:tc>
          <w:tcPr>
            <w:tcW w:w="800" w:type="pct"/>
            <w:tcBorders>
              <w:tl2br w:val="nil"/>
              <w:tr2bl w:val="nil"/>
            </w:tcBorders>
            <w:noWrap w:val="0"/>
            <w:vAlign w:val="center"/>
          </w:tcPr>
          <w:p w14:paraId="6E225437">
            <w:pPr>
              <w:bidi w:val="0"/>
              <w:jc w:val="center"/>
              <w:rPr>
                <w:rFonts w:hint="default" w:ascii="Times New Roman" w:hAnsi="Times New Roman" w:eastAsia="宋体" w:cs="Times New Roman"/>
                <w:color w:val="auto"/>
                <w:sz w:val="21"/>
                <w:szCs w:val="21"/>
                <w:lang w:val="en-US" w:eastAsia="zh-CN"/>
              </w:rPr>
            </w:pPr>
          </w:p>
        </w:tc>
        <w:tc>
          <w:tcPr>
            <w:tcW w:w="485" w:type="pct"/>
            <w:vMerge w:val="continue"/>
            <w:tcBorders>
              <w:tl2br w:val="nil"/>
              <w:tr2bl w:val="nil"/>
            </w:tcBorders>
            <w:noWrap w:val="0"/>
            <w:vAlign w:val="center"/>
          </w:tcPr>
          <w:p w14:paraId="62DB76E6">
            <w:pPr>
              <w:bidi w:val="0"/>
              <w:rPr>
                <w:rFonts w:hint="eastAsia" w:ascii="Times New Roman" w:hAnsi="Times New Roman" w:eastAsia="宋体" w:cs="Times New Roman"/>
                <w:color w:val="auto"/>
                <w:kern w:val="2"/>
                <w:sz w:val="21"/>
                <w:szCs w:val="21"/>
                <w:lang w:val="en-US" w:eastAsia="zh-CN" w:bidi="ar-SA"/>
              </w:rPr>
            </w:pPr>
          </w:p>
        </w:tc>
        <w:tc>
          <w:tcPr>
            <w:tcW w:w="647" w:type="pct"/>
            <w:tcBorders>
              <w:tl2br w:val="nil"/>
              <w:tr2bl w:val="nil"/>
            </w:tcBorders>
            <w:noWrap w:val="0"/>
            <w:vAlign w:val="center"/>
          </w:tcPr>
          <w:p w14:paraId="1E1482EF">
            <w:pPr>
              <w:bidi w:val="0"/>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达标</w:t>
            </w:r>
          </w:p>
        </w:tc>
      </w:tr>
      <w:tr w14:paraId="216BF8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517" w:type="pct"/>
            <w:tcBorders>
              <w:tl2br w:val="nil"/>
              <w:tr2bl w:val="nil"/>
            </w:tcBorders>
            <w:noWrap w:val="0"/>
            <w:vAlign w:val="center"/>
          </w:tcPr>
          <w:p w14:paraId="1C83EE59">
            <w:pPr>
              <w:bidi w:val="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3</w:t>
            </w:r>
          </w:p>
        </w:tc>
        <w:tc>
          <w:tcPr>
            <w:tcW w:w="690" w:type="pct"/>
            <w:vMerge w:val="continue"/>
            <w:tcBorders>
              <w:tl2br w:val="nil"/>
              <w:tr2bl w:val="nil"/>
            </w:tcBorders>
            <w:noWrap w:val="0"/>
            <w:vAlign w:val="center"/>
          </w:tcPr>
          <w:p w14:paraId="3F6AA35E">
            <w:pPr>
              <w:bidi w:val="0"/>
              <w:jc w:val="center"/>
              <w:rPr>
                <w:rFonts w:hint="default" w:ascii="Times New Roman" w:hAnsi="Times New Roman" w:eastAsia="宋体" w:cs="Times New Roman"/>
                <w:color w:val="auto"/>
                <w:sz w:val="21"/>
                <w:szCs w:val="21"/>
                <w:highlight w:val="none"/>
              </w:rPr>
            </w:pPr>
          </w:p>
        </w:tc>
        <w:tc>
          <w:tcPr>
            <w:tcW w:w="845" w:type="pct"/>
            <w:tcBorders>
              <w:tl2br w:val="nil"/>
              <w:tr2bl w:val="nil"/>
            </w:tcBorders>
            <w:noWrap w:val="0"/>
            <w:vAlign w:val="center"/>
          </w:tcPr>
          <w:p w14:paraId="2409A392">
            <w:pPr>
              <w:bidi w:val="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1.5-3m</w:t>
            </w:r>
          </w:p>
        </w:tc>
        <w:tc>
          <w:tcPr>
            <w:tcW w:w="1013" w:type="pct"/>
            <w:tcBorders>
              <w:tl2br w:val="nil"/>
              <w:tr2bl w:val="nil"/>
            </w:tcBorders>
            <w:noWrap w:val="0"/>
            <w:vAlign w:val="center"/>
          </w:tcPr>
          <w:p w14:paraId="750D7F6F">
            <w:pPr>
              <w:bidi w:val="0"/>
              <w:jc w:val="center"/>
              <w:rPr>
                <w:rFonts w:hint="default" w:ascii="Times New Roman" w:hAnsi="Times New Roman" w:eastAsia="宋体" w:cs="Times New Roman"/>
                <w:color w:val="auto"/>
                <w:sz w:val="21"/>
                <w:szCs w:val="21"/>
                <w:lang w:val="en-US" w:eastAsia="zh-CN"/>
              </w:rPr>
            </w:pPr>
          </w:p>
        </w:tc>
        <w:tc>
          <w:tcPr>
            <w:tcW w:w="800" w:type="pct"/>
            <w:tcBorders>
              <w:tl2br w:val="nil"/>
              <w:tr2bl w:val="nil"/>
            </w:tcBorders>
            <w:noWrap w:val="0"/>
            <w:vAlign w:val="center"/>
          </w:tcPr>
          <w:p w14:paraId="3BD7BF52">
            <w:pPr>
              <w:bidi w:val="0"/>
              <w:jc w:val="center"/>
              <w:rPr>
                <w:rFonts w:hint="default" w:ascii="Times New Roman" w:hAnsi="Times New Roman" w:eastAsia="宋体" w:cs="Times New Roman"/>
                <w:color w:val="auto"/>
                <w:sz w:val="21"/>
                <w:szCs w:val="21"/>
                <w:lang w:val="en-US" w:eastAsia="zh-CN"/>
              </w:rPr>
            </w:pPr>
          </w:p>
        </w:tc>
        <w:tc>
          <w:tcPr>
            <w:tcW w:w="485" w:type="pct"/>
            <w:vMerge w:val="continue"/>
            <w:tcBorders>
              <w:tl2br w:val="nil"/>
              <w:tr2bl w:val="nil"/>
            </w:tcBorders>
            <w:noWrap w:val="0"/>
            <w:vAlign w:val="center"/>
          </w:tcPr>
          <w:p w14:paraId="5F7C9F78">
            <w:pPr>
              <w:bidi w:val="0"/>
              <w:rPr>
                <w:rFonts w:hint="default" w:ascii="Times New Roman" w:hAnsi="Times New Roman" w:eastAsia="宋体" w:cs="Times New Roman"/>
                <w:color w:val="auto"/>
                <w:sz w:val="21"/>
                <w:szCs w:val="21"/>
              </w:rPr>
            </w:pPr>
          </w:p>
        </w:tc>
        <w:tc>
          <w:tcPr>
            <w:tcW w:w="647" w:type="pct"/>
            <w:tcBorders>
              <w:tl2br w:val="nil"/>
              <w:tr2bl w:val="nil"/>
            </w:tcBorders>
            <w:noWrap w:val="0"/>
            <w:vAlign w:val="center"/>
          </w:tcPr>
          <w:p w14:paraId="60D3FA0D">
            <w:pPr>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7CDB46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atLeast"/>
        </w:trPr>
        <w:tc>
          <w:tcPr>
            <w:tcW w:w="517" w:type="pct"/>
            <w:tcBorders>
              <w:tl2br w:val="nil"/>
              <w:tr2bl w:val="nil"/>
            </w:tcBorders>
            <w:noWrap w:val="0"/>
            <w:vAlign w:val="center"/>
          </w:tcPr>
          <w:p w14:paraId="22899229">
            <w:pPr>
              <w:bidi w:val="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w:t>
            </w:r>
          </w:p>
        </w:tc>
        <w:tc>
          <w:tcPr>
            <w:tcW w:w="690" w:type="pct"/>
            <w:vMerge w:val="restart"/>
            <w:tcBorders>
              <w:tl2br w:val="nil"/>
              <w:tr2bl w:val="nil"/>
            </w:tcBorders>
            <w:noWrap w:val="0"/>
            <w:vAlign w:val="center"/>
          </w:tcPr>
          <w:p w14:paraId="58364415">
            <w:pPr>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脱硫站</w:t>
            </w:r>
          </w:p>
        </w:tc>
        <w:tc>
          <w:tcPr>
            <w:tcW w:w="845" w:type="pct"/>
            <w:tcBorders>
              <w:tl2br w:val="nil"/>
              <w:tr2bl w:val="nil"/>
            </w:tcBorders>
            <w:noWrap w:val="0"/>
            <w:vAlign w:val="center"/>
          </w:tcPr>
          <w:p w14:paraId="341180A6">
            <w:pPr>
              <w:bidi w:val="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0-0.5m</w:t>
            </w:r>
          </w:p>
        </w:tc>
        <w:tc>
          <w:tcPr>
            <w:tcW w:w="1013" w:type="pct"/>
            <w:tcBorders>
              <w:tl2br w:val="nil"/>
              <w:tr2bl w:val="nil"/>
            </w:tcBorders>
            <w:noWrap w:val="0"/>
            <w:vAlign w:val="center"/>
          </w:tcPr>
          <w:p w14:paraId="334CC1AA">
            <w:pPr>
              <w:bidi w:val="0"/>
              <w:jc w:val="center"/>
              <w:rPr>
                <w:rFonts w:hint="default" w:cs="Times New Roman"/>
                <w:color w:val="auto"/>
                <w:sz w:val="21"/>
                <w:szCs w:val="21"/>
                <w:lang w:val="en-US" w:eastAsia="zh-CN"/>
              </w:rPr>
            </w:pPr>
          </w:p>
        </w:tc>
        <w:tc>
          <w:tcPr>
            <w:tcW w:w="800" w:type="pct"/>
            <w:tcBorders>
              <w:tl2br w:val="nil"/>
              <w:tr2bl w:val="nil"/>
            </w:tcBorders>
            <w:noWrap w:val="0"/>
            <w:vAlign w:val="center"/>
          </w:tcPr>
          <w:p w14:paraId="400473F5">
            <w:pPr>
              <w:bidi w:val="0"/>
              <w:jc w:val="center"/>
              <w:rPr>
                <w:rFonts w:hint="default" w:cs="Times New Roman"/>
                <w:color w:val="auto"/>
                <w:sz w:val="21"/>
                <w:szCs w:val="21"/>
                <w:lang w:val="en-US" w:eastAsia="zh-CN"/>
              </w:rPr>
            </w:pPr>
          </w:p>
        </w:tc>
        <w:tc>
          <w:tcPr>
            <w:tcW w:w="485" w:type="pct"/>
            <w:vMerge w:val="restart"/>
            <w:tcBorders>
              <w:tl2br w:val="nil"/>
              <w:tr2bl w:val="nil"/>
            </w:tcBorders>
            <w:noWrap w:val="0"/>
            <w:vAlign w:val="center"/>
          </w:tcPr>
          <w:p w14:paraId="2EB24340">
            <w:pPr>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4500</w:t>
            </w:r>
          </w:p>
        </w:tc>
        <w:tc>
          <w:tcPr>
            <w:tcW w:w="647" w:type="pct"/>
            <w:tcBorders>
              <w:tl2br w:val="nil"/>
              <w:tr2bl w:val="nil"/>
            </w:tcBorders>
            <w:noWrap w:val="0"/>
            <w:vAlign w:val="center"/>
          </w:tcPr>
          <w:p w14:paraId="3C6A819E">
            <w:pPr>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达标</w:t>
            </w:r>
          </w:p>
        </w:tc>
      </w:tr>
      <w:tr w14:paraId="3E047A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0" w:hRule="atLeast"/>
        </w:trPr>
        <w:tc>
          <w:tcPr>
            <w:tcW w:w="517" w:type="pct"/>
            <w:tcBorders>
              <w:tl2br w:val="nil"/>
              <w:tr2bl w:val="nil"/>
            </w:tcBorders>
            <w:noWrap w:val="0"/>
            <w:vAlign w:val="center"/>
          </w:tcPr>
          <w:p w14:paraId="68C00167">
            <w:pPr>
              <w:bidi w:val="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w:t>
            </w:r>
          </w:p>
        </w:tc>
        <w:tc>
          <w:tcPr>
            <w:tcW w:w="690" w:type="pct"/>
            <w:vMerge w:val="continue"/>
            <w:tcBorders>
              <w:tl2br w:val="nil"/>
              <w:tr2bl w:val="nil"/>
            </w:tcBorders>
            <w:noWrap w:val="0"/>
            <w:vAlign w:val="center"/>
          </w:tcPr>
          <w:p w14:paraId="67FCC850">
            <w:pPr>
              <w:bidi w:val="0"/>
              <w:jc w:val="center"/>
              <w:rPr>
                <w:rFonts w:hint="default" w:ascii="Times New Roman" w:hAnsi="Times New Roman" w:eastAsia="宋体" w:cs="Times New Roman"/>
                <w:color w:val="auto"/>
                <w:sz w:val="21"/>
                <w:szCs w:val="21"/>
                <w:lang w:val="en-US" w:eastAsia="zh-CN"/>
              </w:rPr>
            </w:pPr>
          </w:p>
        </w:tc>
        <w:tc>
          <w:tcPr>
            <w:tcW w:w="845" w:type="pct"/>
            <w:tcBorders>
              <w:tl2br w:val="nil"/>
              <w:tr2bl w:val="nil"/>
            </w:tcBorders>
            <w:noWrap w:val="0"/>
            <w:vAlign w:val="center"/>
          </w:tcPr>
          <w:p w14:paraId="4811C1E9">
            <w:pPr>
              <w:bidi w:val="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0.5-1.5m</w:t>
            </w:r>
          </w:p>
        </w:tc>
        <w:tc>
          <w:tcPr>
            <w:tcW w:w="1013" w:type="pct"/>
            <w:tcBorders>
              <w:tl2br w:val="nil"/>
              <w:tr2bl w:val="nil"/>
            </w:tcBorders>
            <w:noWrap w:val="0"/>
            <w:vAlign w:val="center"/>
          </w:tcPr>
          <w:p w14:paraId="67D17C5C">
            <w:pPr>
              <w:bidi w:val="0"/>
              <w:jc w:val="center"/>
              <w:rPr>
                <w:rFonts w:hint="default" w:cs="Times New Roman"/>
                <w:color w:val="auto"/>
                <w:sz w:val="21"/>
                <w:szCs w:val="21"/>
                <w:lang w:val="en-US" w:eastAsia="zh-CN"/>
              </w:rPr>
            </w:pPr>
          </w:p>
        </w:tc>
        <w:tc>
          <w:tcPr>
            <w:tcW w:w="800" w:type="pct"/>
            <w:tcBorders>
              <w:tl2br w:val="nil"/>
              <w:tr2bl w:val="nil"/>
            </w:tcBorders>
            <w:noWrap w:val="0"/>
            <w:vAlign w:val="center"/>
          </w:tcPr>
          <w:p w14:paraId="7CCDD426">
            <w:pPr>
              <w:bidi w:val="0"/>
              <w:jc w:val="center"/>
              <w:rPr>
                <w:rFonts w:hint="default" w:cs="Times New Roman"/>
                <w:color w:val="auto"/>
                <w:sz w:val="21"/>
                <w:szCs w:val="21"/>
                <w:lang w:val="en-US" w:eastAsia="zh-CN"/>
              </w:rPr>
            </w:pPr>
          </w:p>
        </w:tc>
        <w:tc>
          <w:tcPr>
            <w:tcW w:w="485" w:type="pct"/>
            <w:vMerge w:val="continue"/>
            <w:tcBorders>
              <w:tl2br w:val="nil"/>
              <w:tr2bl w:val="nil"/>
            </w:tcBorders>
            <w:noWrap w:val="0"/>
            <w:vAlign w:val="center"/>
          </w:tcPr>
          <w:p w14:paraId="05860A56">
            <w:pPr>
              <w:bidi w:val="0"/>
              <w:rPr>
                <w:rFonts w:hint="default" w:ascii="Times New Roman" w:hAnsi="Times New Roman" w:eastAsia="宋体" w:cs="Times New Roman"/>
                <w:color w:val="auto"/>
                <w:sz w:val="21"/>
                <w:szCs w:val="21"/>
              </w:rPr>
            </w:pPr>
          </w:p>
        </w:tc>
        <w:tc>
          <w:tcPr>
            <w:tcW w:w="647" w:type="pct"/>
            <w:tcBorders>
              <w:tl2br w:val="nil"/>
              <w:tr2bl w:val="nil"/>
            </w:tcBorders>
            <w:noWrap w:val="0"/>
            <w:vAlign w:val="center"/>
          </w:tcPr>
          <w:p w14:paraId="37650839">
            <w:pPr>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达标</w:t>
            </w:r>
          </w:p>
        </w:tc>
      </w:tr>
      <w:tr w14:paraId="23029E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517" w:type="pct"/>
            <w:tcBorders>
              <w:tl2br w:val="nil"/>
              <w:tr2bl w:val="nil"/>
            </w:tcBorders>
            <w:noWrap w:val="0"/>
            <w:vAlign w:val="center"/>
          </w:tcPr>
          <w:p w14:paraId="4891E78B">
            <w:pPr>
              <w:bidi w:val="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6</w:t>
            </w:r>
          </w:p>
        </w:tc>
        <w:tc>
          <w:tcPr>
            <w:tcW w:w="690" w:type="pct"/>
            <w:vMerge w:val="continue"/>
            <w:tcBorders>
              <w:tl2br w:val="nil"/>
              <w:tr2bl w:val="nil"/>
            </w:tcBorders>
            <w:noWrap w:val="0"/>
            <w:vAlign w:val="center"/>
          </w:tcPr>
          <w:p w14:paraId="38852605">
            <w:pPr>
              <w:bidi w:val="0"/>
              <w:jc w:val="center"/>
              <w:rPr>
                <w:rFonts w:hint="default" w:ascii="Times New Roman" w:hAnsi="Times New Roman" w:eastAsia="宋体" w:cs="Times New Roman"/>
                <w:color w:val="auto"/>
                <w:sz w:val="21"/>
                <w:szCs w:val="21"/>
                <w:lang w:val="en-US" w:eastAsia="zh-CN"/>
              </w:rPr>
            </w:pPr>
          </w:p>
        </w:tc>
        <w:tc>
          <w:tcPr>
            <w:tcW w:w="845" w:type="pct"/>
            <w:tcBorders>
              <w:tl2br w:val="nil"/>
              <w:tr2bl w:val="nil"/>
            </w:tcBorders>
            <w:noWrap w:val="0"/>
            <w:vAlign w:val="center"/>
          </w:tcPr>
          <w:p w14:paraId="69F99DF4">
            <w:pPr>
              <w:bidi w:val="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1.5-3m</w:t>
            </w:r>
          </w:p>
        </w:tc>
        <w:tc>
          <w:tcPr>
            <w:tcW w:w="1013" w:type="pct"/>
            <w:tcBorders>
              <w:tl2br w:val="nil"/>
              <w:tr2bl w:val="nil"/>
            </w:tcBorders>
            <w:noWrap w:val="0"/>
            <w:vAlign w:val="center"/>
          </w:tcPr>
          <w:p w14:paraId="13A8EC74">
            <w:pPr>
              <w:bidi w:val="0"/>
              <w:jc w:val="center"/>
              <w:rPr>
                <w:rFonts w:hint="default" w:cs="Times New Roman"/>
                <w:color w:val="auto"/>
                <w:sz w:val="21"/>
                <w:szCs w:val="21"/>
                <w:lang w:val="en-US" w:eastAsia="zh-CN"/>
              </w:rPr>
            </w:pPr>
          </w:p>
        </w:tc>
        <w:tc>
          <w:tcPr>
            <w:tcW w:w="800" w:type="pct"/>
            <w:tcBorders>
              <w:tl2br w:val="nil"/>
              <w:tr2bl w:val="nil"/>
            </w:tcBorders>
            <w:noWrap w:val="0"/>
            <w:vAlign w:val="center"/>
          </w:tcPr>
          <w:p w14:paraId="4B9020A2">
            <w:pPr>
              <w:bidi w:val="0"/>
              <w:jc w:val="center"/>
              <w:rPr>
                <w:rFonts w:hint="default" w:cs="Times New Roman"/>
                <w:color w:val="auto"/>
                <w:sz w:val="21"/>
                <w:szCs w:val="21"/>
                <w:lang w:val="en-US" w:eastAsia="zh-CN"/>
              </w:rPr>
            </w:pPr>
          </w:p>
        </w:tc>
        <w:tc>
          <w:tcPr>
            <w:tcW w:w="485" w:type="pct"/>
            <w:vMerge w:val="continue"/>
            <w:tcBorders>
              <w:tl2br w:val="nil"/>
              <w:tr2bl w:val="nil"/>
            </w:tcBorders>
            <w:noWrap w:val="0"/>
            <w:vAlign w:val="center"/>
          </w:tcPr>
          <w:p w14:paraId="1466EE36">
            <w:pPr>
              <w:bidi w:val="0"/>
              <w:rPr>
                <w:rFonts w:hint="default" w:ascii="Times New Roman" w:hAnsi="Times New Roman" w:eastAsia="宋体" w:cs="Times New Roman"/>
                <w:color w:val="auto"/>
                <w:sz w:val="21"/>
                <w:szCs w:val="21"/>
              </w:rPr>
            </w:pPr>
          </w:p>
        </w:tc>
        <w:tc>
          <w:tcPr>
            <w:tcW w:w="647" w:type="pct"/>
            <w:tcBorders>
              <w:tl2br w:val="nil"/>
              <w:tr2bl w:val="nil"/>
            </w:tcBorders>
            <w:noWrap w:val="0"/>
            <w:vAlign w:val="center"/>
          </w:tcPr>
          <w:p w14:paraId="0BD228A0">
            <w:pPr>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达标</w:t>
            </w:r>
          </w:p>
        </w:tc>
      </w:tr>
      <w:tr w14:paraId="2273B6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 w:hRule="atLeast"/>
        </w:trPr>
        <w:tc>
          <w:tcPr>
            <w:tcW w:w="517" w:type="pct"/>
            <w:tcBorders>
              <w:tl2br w:val="nil"/>
              <w:tr2bl w:val="nil"/>
            </w:tcBorders>
            <w:noWrap w:val="0"/>
            <w:vAlign w:val="center"/>
          </w:tcPr>
          <w:p w14:paraId="657A8F62">
            <w:pPr>
              <w:bidi w:val="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7</w:t>
            </w:r>
          </w:p>
        </w:tc>
        <w:tc>
          <w:tcPr>
            <w:tcW w:w="690" w:type="pct"/>
            <w:vMerge w:val="restart"/>
            <w:tcBorders>
              <w:tl2br w:val="nil"/>
              <w:tr2bl w:val="nil"/>
            </w:tcBorders>
            <w:noWrap w:val="0"/>
            <w:vAlign w:val="center"/>
          </w:tcPr>
          <w:p w14:paraId="44530E41">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雄英3井</w:t>
            </w:r>
          </w:p>
        </w:tc>
        <w:tc>
          <w:tcPr>
            <w:tcW w:w="845" w:type="pct"/>
            <w:tcBorders>
              <w:tl2br w:val="nil"/>
              <w:tr2bl w:val="nil"/>
            </w:tcBorders>
            <w:noWrap w:val="0"/>
            <w:vAlign w:val="center"/>
          </w:tcPr>
          <w:p w14:paraId="620B96F4">
            <w:pPr>
              <w:bidi w:val="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0-0.5m</w:t>
            </w:r>
          </w:p>
        </w:tc>
        <w:tc>
          <w:tcPr>
            <w:tcW w:w="1013" w:type="pct"/>
            <w:tcBorders>
              <w:tl2br w:val="nil"/>
              <w:tr2bl w:val="nil"/>
            </w:tcBorders>
            <w:noWrap w:val="0"/>
            <w:vAlign w:val="center"/>
          </w:tcPr>
          <w:p w14:paraId="7077D0C4">
            <w:pPr>
              <w:bidi w:val="0"/>
              <w:jc w:val="center"/>
              <w:rPr>
                <w:rFonts w:hint="default" w:cs="Times New Roman"/>
                <w:color w:val="auto"/>
                <w:sz w:val="21"/>
                <w:szCs w:val="21"/>
                <w:lang w:val="en-US" w:eastAsia="zh-CN"/>
              </w:rPr>
            </w:pPr>
          </w:p>
        </w:tc>
        <w:tc>
          <w:tcPr>
            <w:tcW w:w="800" w:type="pct"/>
            <w:tcBorders>
              <w:tl2br w:val="nil"/>
              <w:tr2bl w:val="nil"/>
            </w:tcBorders>
            <w:noWrap w:val="0"/>
            <w:vAlign w:val="center"/>
          </w:tcPr>
          <w:p w14:paraId="2D2594F5">
            <w:pPr>
              <w:bidi w:val="0"/>
              <w:jc w:val="center"/>
              <w:rPr>
                <w:rFonts w:hint="default" w:cs="Times New Roman"/>
                <w:color w:val="auto"/>
                <w:sz w:val="21"/>
                <w:szCs w:val="21"/>
                <w:lang w:val="en-US" w:eastAsia="zh-CN"/>
              </w:rPr>
            </w:pPr>
          </w:p>
        </w:tc>
        <w:tc>
          <w:tcPr>
            <w:tcW w:w="485" w:type="pct"/>
            <w:vMerge w:val="restart"/>
            <w:tcBorders>
              <w:tl2br w:val="nil"/>
              <w:tr2bl w:val="nil"/>
            </w:tcBorders>
            <w:noWrap w:val="0"/>
            <w:vAlign w:val="center"/>
          </w:tcPr>
          <w:p w14:paraId="0EA4D3E1">
            <w:pPr>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4500</w:t>
            </w:r>
          </w:p>
        </w:tc>
        <w:tc>
          <w:tcPr>
            <w:tcW w:w="647" w:type="pct"/>
            <w:tcBorders>
              <w:tl2br w:val="nil"/>
              <w:tr2bl w:val="nil"/>
            </w:tcBorders>
            <w:noWrap w:val="0"/>
            <w:vAlign w:val="center"/>
          </w:tcPr>
          <w:p w14:paraId="08B42519">
            <w:pPr>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达标</w:t>
            </w:r>
          </w:p>
        </w:tc>
      </w:tr>
      <w:tr w14:paraId="368E1B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0" w:hRule="atLeast"/>
        </w:trPr>
        <w:tc>
          <w:tcPr>
            <w:tcW w:w="517" w:type="pct"/>
            <w:tcBorders>
              <w:tl2br w:val="nil"/>
              <w:tr2bl w:val="nil"/>
            </w:tcBorders>
            <w:noWrap w:val="0"/>
            <w:vAlign w:val="center"/>
          </w:tcPr>
          <w:p w14:paraId="0C95A9D3">
            <w:pPr>
              <w:bidi w:val="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8</w:t>
            </w:r>
          </w:p>
        </w:tc>
        <w:tc>
          <w:tcPr>
            <w:tcW w:w="690" w:type="pct"/>
            <w:vMerge w:val="continue"/>
            <w:tcBorders>
              <w:tl2br w:val="nil"/>
              <w:tr2bl w:val="nil"/>
            </w:tcBorders>
            <w:noWrap w:val="0"/>
            <w:vAlign w:val="center"/>
          </w:tcPr>
          <w:p w14:paraId="7B6827B4">
            <w:pPr>
              <w:bidi w:val="0"/>
              <w:jc w:val="center"/>
              <w:rPr>
                <w:rFonts w:hint="default" w:ascii="Times New Roman" w:hAnsi="Times New Roman" w:eastAsia="宋体" w:cs="Times New Roman"/>
                <w:color w:val="auto"/>
                <w:sz w:val="21"/>
                <w:szCs w:val="21"/>
                <w:lang w:val="en-US" w:eastAsia="zh-CN"/>
              </w:rPr>
            </w:pPr>
          </w:p>
        </w:tc>
        <w:tc>
          <w:tcPr>
            <w:tcW w:w="845" w:type="pct"/>
            <w:tcBorders>
              <w:tl2br w:val="nil"/>
              <w:tr2bl w:val="nil"/>
            </w:tcBorders>
            <w:noWrap w:val="0"/>
            <w:vAlign w:val="center"/>
          </w:tcPr>
          <w:p w14:paraId="0D171DED">
            <w:pPr>
              <w:bidi w:val="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0.5-1.5m</w:t>
            </w:r>
          </w:p>
        </w:tc>
        <w:tc>
          <w:tcPr>
            <w:tcW w:w="1013" w:type="pct"/>
            <w:tcBorders>
              <w:tl2br w:val="nil"/>
              <w:tr2bl w:val="nil"/>
            </w:tcBorders>
            <w:noWrap w:val="0"/>
            <w:vAlign w:val="center"/>
          </w:tcPr>
          <w:p w14:paraId="535CF678">
            <w:pPr>
              <w:bidi w:val="0"/>
              <w:jc w:val="center"/>
              <w:rPr>
                <w:rFonts w:hint="default" w:cs="Times New Roman"/>
                <w:color w:val="auto"/>
                <w:sz w:val="21"/>
                <w:szCs w:val="21"/>
                <w:lang w:val="en-US" w:eastAsia="zh-CN"/>
              </w:rPr>
            </w:pPr>
          </w:p>
        </w:tc>
        <w:tc>
          <w:tcPr>
            <w:tcW w:w="800" w:type="pct"/>
            <w:tcBorders>
              <w:tl2br w:val="nil"/>
              <w:tr2bl w:val="nil"/>
            </w:tcBorders>
            <w:noWrap w:val="0"/>
            <w:vAlign w:val="center"/>
          </w:tcPr>
          <w:p w14:paraId="26A7AF74">
            <w:pPr>
              <w:bidi w:val="0"/>
              <w:jc w:val="center"/>
              <w:rPr>
                <w:rFonts w:hint="default" w:cs="Times New Roman"/>
                <w:color w:val="auto"/>
                <w:sz w:val="21"/>
                <w:szCs w:val="21"/>
                <w:lang w:val="en-US" w:eastAsia="zh-CN"/>
              </w:rPr>
            </w:pPr>
          </w:p>
        </w:tc>
        <w:tc>
          <w:tcPr>
            <w:tcW w:w="485" w:type="pct"/>
            <w:vMerge w:val="continue"/>
            <w:tcBorders>
              <w:tl2br w:val="nil"/>
              <w:tr2bl w:val="nil"/>
            </w:tcBorders>
            <w:noWrap w:val="0"/>
            <w:vAlign w:val="center"/>
          </w:tcPr>
          <w:p w14:paraId="41786CD7">
            <w:pPr>
              <w:bidi w:val="0"/>
              <w:rPr>
                <w:rFonts w:hint="default" w:ascii="Times New Roman" w:hAnsi="Times New Roman" w:eastAsia="宋体" w:cs="Times New Roman"/>
                <w:color w:val="auto"/>
                <w:sz w:val="21"/>
                <w:szCs w:val="21"/>
              </w:rPr>
            </w:pPr>
          </w:p>
        </w:tc>
        <w:tc>
          <w:tcPr>
            <w:tcW w:w="647" w:type="pct"/>
            <w:tcBorders>
              <w:tl2br w:val="nil"/>
              <w:tr2bl w:val="nil"/>
            </w:tcBorders>
            <w:noWrap w:val="0"/>
            <w:vAlign w:val="center"/>
          </w:tcPr>
          <w:p w14:paraId="2E1D2909">
            <w:pPr>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达标</w:t>
            </w:r>
          </w:p>
        </w:tc>
      </w:tr>
      <w:tr w14:paraId="44DCEB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5" w:hRule="atLeast"/>
        </w:trPr>
        <w:tc>
          <w:tcPr>
            <w:tcW w:w="517" w:type="pct"/>
            <w:tcBorders>
              <w:tl2br w:val="nil"/>
              <w:tr2bl w:val="nil"/>
            </w:tcBorders>
            <w:noWrap w:val="0"/>
            <w:vAlign w:val="center"/>
          </w:tcPr>
          <w:p w14:paraId="0C2AB6AF">
            <w:pPr>
              <w:bidi w:val="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9</w:t>
            </w:r>
          </w:p>
        </w:tc>
        <w:tc>
          <w:tcPr>
            <w:tcW w:w="690" w:type="pct"/>
            <w:vMerge w:val="continue"/>
            <w:tcBorders>
              <w:tl2br w:val="nil"/>
              <w:tr2bl w:val="nil"/>
            </w:tcBorders>
            <w:noWrap w:val="0"/>
            <w:vAlign w:val="center"/>
          </w:tcPr>
          <w:p w14:paraId="518E399E">
            <w:pPr>
              <w:bidi w:val="0"/>
              <w:jc w:val="center"/>
              <w:rPr>
                <w:rFonts w:hint="default" w:ascii="Times New Roman" w:hAnsi="Times New Roman" w:eastAsia="宋体" w:cs="Times New Roman"/>
                <w:color w:val="auto"/>
                <w:sz w:val="21"/>
                <w:szCs w:val="21"/>
                <w:lang w:val="en-US" w:eastAsia="zh-CN"/>
              </w:rPr>
            </w:pPr>
          </w:p>
        </w:tc>
        <w:tc>
          <w:tcPr>
            <w:tcW w:w="845" w:type="pct"/>
            <w:tcBorders>
              <w:tl2br w:val="nil"/>
              <w:tr2bl w:val="nil"/>
            </w:tcBorders>
            <w:noWrap w:val="0"/>
            <w:vAlign w:val="center"/>
          </w:tcPr>
          <w:p w14:paraId="72143A33">
            <w:pPr>
              <w:bidi w:val="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1.5-3m</w:t>
            </w:r>
          </w:p>
        </w:tc>
        <w:tc>
          <w:tcPr>
            <w:tcW w:w="1013" w:type="pct"/>
            <w:tcBorders>
              <w:tl2br w:val="nil"/>
              <w:tr2bl w:val="nil"/>
            </w:tcBorders>
            <w:noWrap w:val="0"/>
            <w:vAlign w:val="center"/>
          </w:tcPr>
          <w:p w14:paraId="1130E530">
            <w:pPr>
              <w:bidi w:val="0"/>
              <w:jc w:val="center"/>
              <w:rPr>
                <w:rFonts w:hint="default" w:cs="Times New Roman"/>
                <w:color w:val="auto"/>
                <w:sz w:val="21"/>
                <w:szCs w:val="21"/>
                <w:lang w:val="en-US" w:eastAsia="zh-CN"/>
              </w:rPr>
            </w:pPr>
          </w:p>
        </w:tc>
        <w:tc>
          <w:tcPr>
            <w:tcW w:w="800" w:type="pct"/>
            <w:tcBorders>
              <w:tl2br w:val="nil"/>
              <w:tr2bl w:val="nil"/>
            </w:tcBorders>
            <w:noWrap w:val="0"/>
            <w:vAlign w:val="center"/>
          </w:tcPr>
          <w:p w14:paraId="482CD940">
            <w:pPr>
              <w:bidi w:val="0"/>
              <w:jc w:val="center"/>
              <w:rPr>
                <w:rFonts w:hint="default" w:cs="Times New Roman"/>
                <w:color w:val="auto"/>
                <w:sz w:val="21"/>
                <w:szCs w:val="21"/>
                <w:lang w:val="en-US" w:eastAsia="zh-CN"/>
              </w:rPr>
            </w:pPr>
          </w:p>
        </w:tc>
        <w:tc>
          <w:tcPr>
            <w:tcW w:w="485" w:type="pct"/>
            <w:vMerge w:val="continue"/>
            <w:tcBorders>
              <w:tl2br w:val="nil"/>
              <w:tr2bl w:val="nil"/>
            </w:tcBorders>
            <w:noWrap w:val="0"/>
            <w:vAlign w:val="center"/>
          </w:tcPr>
          <w:p w14:paraId="75BC2864">
            <w:pPr>
              <w:bidi w:val="0"/>
              <w:rPr>
                <w:rFonts w:hint="default" w:ascii="Times New Roman" w:hAnsi="Times New Roman" w:eastAsia="宋体" w:cs="Times New Roman"/>
                <w:color w:val="auto"/>
                <w:sz w:val="21"/>
                <w:szCs w:val="21"/>
              </w:rPr>
            </w:pPr>
          </w:p>
        </w:tc>
        <w:tc>
          <w:tcPr>
            <w:tcW w:w="647" w:type="pct"/>
            <w:tcBorders>
              <w:tl2br w:val="nil"/>
              <w:tr2bl w:val="nil"/>
            </w:tcBorders>
            <w:noWrap w:val="0"/>
            <w:vAlign w:val="center"/>
          </w:tcPr>
          <w:p w14:paraId="17F0308F">
            <w:pPr>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达标</w:t>
            </w:r>
          </w:p>
        </w:tc>
      </w:tr>
    </w:tbl>
    <w:p w14:paraId="4D806A93">
      <w:pPr>
        <w:pStyle w:val="61"/>
        <w:bidi w:val="0"/>
        <w:jc w:val="both"/>
        <w:rPr>
          <w:rFonts w:hint="eastAsia"/>
          <w:color w:val="auto"/>
          <w:lang w:val="en-US" w:eastAsia="zh-CN"/>
        </w:rPr>
      </w:pPr>
      <w:r>
        <w:rPr>
          <w:rFonts w:hint="eastAsia"/>
          <w:color w:val="auto"/>
          <w:lang w:val="en-US" w:eastAsia="zh-CN"/>
        </w:rPr>
        <w:t>续表4.5-5 占地范围外表层样土壤监测及评价结果</w:t>
      </w:r>
    </w:p>
    <w:tbl>
      <w:tblPr>
        <w:tblStyle w:val="36"/>
        <w:tblW w:w="4994"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70"/>
        <w:gridCol w:w="645"/>
        <w:gridCol w:w="1010"/>
        <w:gridCol w:w="662"/>
        <w:gridCol w:w="609"/>
        <w:gridCol w:w="719"/>
        <w:gridCol w:w="645"/>
        <w:gridCol w:w="595"/>
        <w:gridCol w:w="643"/>
        <w:gridCol w:w="620"/>
        <w:gridCol w:w="883"/>
        <w:gridCol w:w="660"/>
        <w:gridCol w:w="662"/>
      </w:tblGrid>
      <w:tr w14:paraId="7BFB39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266" w:type="pct"/>
            <w:vMerge w:val="restart"/>
            <w:tcBorders>
              <w:tl2br w:val="nil"/>
              <w:tr2bl w:val="nil"/>
            </w:tcBorders>
            <w:noWrap w:val="0"/>
            <w:vAlign w:val="center"/>
          </w:tcPr>
          <w:p w14:paraId="0DD65465">
            <w:pPr>
              <w:bidi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365" w:type="pct"/>
            <w:vMerge w:val="restart"/>
            <w:tcBorders>
              <w:tl2br w:val="nil"/>
              <w:tr2bl w:val="nil"/>
            </w:tcBorders>
            <w:noWrap w:val="0"/>
            <w:vAlign w:val="center"/>
          </w:tcPr>
          <w:p w14:paraId="023C0AAF">
            <w:pPr>
              <w:bidi w:val="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监测点位</w:t>
            </w:r>
          </w:p>
        </w:tc>
        <w:tc>
          <w:tcPr>
            <w:tcW w:w="572" w:type="pct"/>
            <w:vMerge w:val="restart"/>
            <w:tcBorders>
              <w:tl2br w:val="nil"/>
              <w:tr2bl w:val="nil"/>
            </w:tcBorders>
            <w:noWrap w:val="0"/>
            <w:vAlign w:val="center"/>
          </w:tcPr>
          <w:p w14:paraId="3B451C8B">
            <w:pPr>
              <w:bidi w:val="0"/>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采用深度</w:t>
            </w:r>
          </w:p>
        </w:tc>
        <w:tc>
          <w:tcPr>
            <w:tcW w:w="1127" w:type="pct"/>
            <w:gridSpan w:val="3"/>
            <w:tcBorders>
              <w:tl2br w:val="nil"/>
              <w:tr2bl w:val="nil"/>
            </w:tcBorders>
            <w:noWrap w:val="0"/>
            <w:vAlign w:val="center"/>
          </w:tcPr>
          <w:p w14:paraId="5A7B1FFD">
            <w:pPr>
              <w:bidi w:val="0"/>
              <w:jc w:val="center"/>
              <w:rPr>
                <w:rFonts w:hint="default" w:eastAsia="宋体" w:cs="Times New Roman"/>
                <w:color w:val="auto"/>
                <w:sz w:val="21"/>
                <w:szCs w:val="21"/>
                <w:lang w:val="en-US" w:eastAsia="zh-CN"/>
              </w:rPr>
            </w:pPr>
            <w:r>
              <w:rPr>
                <w:color w:val="auto"/>
                <w:sz w:val="21"/>
                <w:szCs w:val="21"/>
                <w:highlight w:val="none"/>
              </w:rPr>
              <w:t>pH</w:t>
            </w:r>
          </w:p>
        </w:tc>
        <w:tc>
          <w:tcPr>
            <w:tcW w:w="1066" w:type="pct"/>
            <w:gridSpan w:val="3"/>
            <w:tcBorders>
              <w:tl2br w:val="nil"/>
              <w:tr2bl w:val="nil"/>
            </w:tcBorders>
            <w:noWrap w:val="0"/>
            <w:vAlign w:val="center"/>
          </w:tcPr>
          <w:p w14:paraId="6292E7E2">
            <w:pPr>
              <w:bidi w:val="0"/>
              <w:jc w:val="center"/>
              <w:rPr>
                <w:rFonts w:hint="default" w:eastAsia="宋体" w:cs="Times New Roman"/>
                <w:color w:val="auto"/>
                <w:sz w:val="21"/>
                <w:szCs w:val="21"/>
                <w:lang w:val="en-US" w:eastAsia="zh-CN"/>
              </w:rPr>
            </w:pPr>
            <w:r>
              <w:rPr>
                <w:rFonts w:hint="eastAsia"/>
                <w:color w:val="auto"/>
                <w:sz w:val="21"/>
                <w:szCs w:val="21"/>
                <w:highlight w:val="none"/>
                <w:lang w:val="en-US" w:eastAsia="zh-CN"/>
              </w:rPr>
              <w:t>水溶性盐总量</w:t>
            </w:r>
          </w:p>
        </w:tc>
        <w:tc>
          <w:tcPr>
            <w:tcW w:w="1225" w:type="pct"/>
            <w:gridSpan w:val="3"/>
            <w:tcBorders>
              <w:tl2br w:val="nil"/>
              <w:tr2bl w:val="nil"/>
            </w:tcBorders>
            <w:noWrap w:val="0"/>
            <w:vAlign w:val="center"/>
          </w:tcPr>
          <w:p w14:paraId="5C2D4C9D">
            <w:pPr>
              <w:bidi w:val="0"/>
              <w:jc w:val="center"/>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石油烃</w:t>
            </w:r>
          </w:p>
        </w:tc>
        <w:tc>
          <w:tcPr>
            <w:tcW w:w="375" w:type="pct"/>
            <w:vMerge w:val="restart"/>
            <w:tcBorders>
              <w:tl2br w:val="nil"/>
              <w:tr2bl w:val="nil"/>
            </w:tcBorders>
            <w:noWrap w:val="0"/>
            <w:vAlign w:val="center"/>
          </w:tcPr>
          <w:p w14:paraId="41240308">
            <w:pPr>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是否达标</w:t>
            </w:r>
          </w:p>
        </w:tc>
      </w:tr>
      <w:tr w14:paraId="51DD9F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66" w:type="pct"/>
            <w:vMerge w:val="continue"/>
            <w:tcBorders>
              <w:tl2br w:val="nil"/>
              <w:tr2bl w:val="nil"/>
            </w:tcBorders>
            <w:noWrap w:val="0"/>
            <w:vAlign w:val="center"/>
          </w:tcPr>
          <w:p w14:paraId="1358C6EA">
            <w:pPr>
              <w:bidi w:val="0"/>
              <w:jc w:val="center"/>
              <w:rPr>
                <w:rFonts w:hint="default" w:ascii="Times New Roman" w:hAnsi="Times New Roman" w:eastAsia="宋体" w:cs="Times New Roman"/>
                <w:color w:val="auto"/>
                <w:sz w:val="21"/>
                <w:szCs w:val="21"/>
                <w:highlight w:val="none"/>
              </w:rPr>
            </w:pPr>
          </w:p>
        </w:tc>
        <w:tc>
          <w:tcPr>
            <w:tcW w:w="365" w:type="pct"/>
            <w:vMerge w:val="continue"/>
            <w:tcBorders>
              <w:tl2br w:val="nil"/>
              <w:tr2bl w:val="nil"/>
            </w:tcBorders>
            <w:noWrap w:val="0"/>
            <w:vAlign w:val="center"/>
          </w:tcPr>
          <w:p w14:paraId="3A9FF83E">
            <w:pPr>
              <w:bidi w:val="0"/>
              <w:jc w:val="center"/>
              <w:rPr>
                <w:rFonts w:hint="default" w:ascii="Times New Roman" w:hAnsi="Times New Roman" w:eastAsia="宋体" w:cs="Times New Roman"/>
                <w:color w:val="auto"/>
                <w:sz w:val="21"/>
                <w:szCs w:val="21"/>
                <w:highlight w:val="none"/>
              </w:rPr>
            </w:pPr>
          </w:p>
        </w:tc>
        <w:tc>
          <w:tcPr>
            <w:tcW w:w="572" w:type="pct"/>
            <w:vMerge w:val="continue"/>
            <w:tcBorders>
              <w:tl2br w:val="nil"/>
              <w:tr2bl w:val="nil"/>
            </w:tcBorders>
            <w:noWrap w:val="0"/>
            <w:vAlign w:val="center"/>
          </w:tcPr>
          <w:p w14:paraId="2B6C0AF2">
            <w:pPr>
              <w:bidi w:val="0"/>
              <w:jc w:val="center"/>
              <w:rPr>
                <w:rFonts w:hint="default" w:ascii="Times New Roman" w:hAnsi="Times New Roman" w:eastAsia="宋体" w:cs="Times New Roman"/>
                <w:color w:val="auto"/>
                <w:sz w:val="21"/>
                <w:szCs w:val="21"/>
                <w:highlight w:val="none"/>
              </w:rPr>
            </w:pPr>
          </w:p>
        </w:tc>
        <w:tc>
          <w:tcPr>
            <w:tcW w:w="375" w:type="pct"/>
            <w:tcBorders>
              <w:tl2br w:val="nil"/>
              <w:tr2bl w:val="nil"/>
            </w:tcBorders>
            <w:noWrap w:val="0"/>
            <w:vAlign w:val="center"/>
          </w:tcPr>
          <w:p w14:paraId="638CC930">
            <w:pPr>
              <w:bidi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监测值</w:t>
            </w:r>
          </w:p>
        </w:tc>
        <w:tc>
          <w:tcPr>
            <w:tcW w:w="345" w:type="pct"/>
            <w:tcBorders>
              <w:tl2br w:val="nil"/>
              <w:tr2bl w:val="nil"/>
            </w:tcBorders>
            <w:noWrap w:val="0"/>
            <w:vAlign w:val="center"/>
          </w:tcPr>
          <w:p w14:paraId="7A0EC913">
            <w:pPr>
              <w:bidi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Pi</w:t>
            </w:r>
          </w:p>
        </w:tc>
        <w:tc>
          <w:tcPr>
            <w:tcW w:w="407" w:type="pct"/>
            <w:tcBorders>
              <w:tl2br w:val="nil"/>
              <w:tr2bl w:val="nil"/>
            </w:tcBorders>
            <w:noWrap w:val="0"/>
            <w:vAlign w:val="center"/>
          </w:tcPr>
          <w:p w14:paraId="04C90E89">
            <w:pPr>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标准值</w:t>
            </w:r>
          </w:p>
        </w:tc>
        <w:tc>
          <w:tcPr>
            <w:tcW w:w="365" w:type="pct"/>
            <w:tcBorders>
              <w:tl2br w:val="nil"/>
              <w:tr2bl w:val="nil"/>
            </w:tcBorders>
            <w:noWrap w:val="0"/>
            <w:vAlign w:val="center"/>
          </w:tcPr>
          <w:p w14:paraId="2CE5221A">
            <w:pPr>
              <w:bidi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监测值</w:t>
            </w:r>
          </w:p>
        </w:tc>
        <w:tc>
          <w:tcPr>
            <w:tcW w:w="337" w:type="pct"/>
            <w:tcBorders>
              <w:tl2br w:val="nil"/>
              <w:tr2bl w:val="nil"/>
            </w:tcBorders>
            <w:noWrap w:val="0"/>
            <w:vAlign w:val="center"/>
          </w:tcPr>
          <w:p w14:paraId="0411E610">
            <w:pPr>
              <w:bidi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Pi</w:t>
            </w:r>
          </w:p>
        </w:tc>
        <w:tc>
          <w:tcPr>
            <w:tcW w:w="364" w:type="pct"/>
            <w:tcBorders>
              <w:tl2br w:val="nil"/>
              <w:tr2bl w:val="nil"/>
            </w:tcBorders>
            <w:noWrap w:val="0"/>
            <w:vAlign w:val="center"/>
          </w:tcPr>
          <w:p w14:paraId="2BF99814">
            <w:pPr>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标准值</w:t>
            </w:r>
          </w:p>
        </w:tc>
        <w:tc>
          <w:tcPr>
            <w:tcW w:w="351" w:type="pct"/>
            <w:tcBorders>
              <w:tl2br w:val="nil"/>
              <w:tr2bl w:val="nil"/>
            </w:tcBorders>
            <w:noWrap w:val="0"/>
            <w:vAlign w:val="center"/>
          </w:tcPr>
          <w:p w14:paraId="1192AA1D">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监测值</w:t>
            </w:r>
          </w:p>
        </w:tc>
        <w:tc>
          <w:tcPr>
            <w:tcW w:w="500" w:type="pct"/>
            <w:tcBorders>
              <w:tl2br w:val="nil"/>
              <w:tr2bl w:val="nil"/>
            </w:tcBorders>
            <w:noWrap w:val="0"/>
            <w:vAlign w:val="center"/>
          </w:tcPr>
          <w:p w14:paraId="6C6290E9">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Pi</w:t>
            </w:r>
          </w:p>
        </w:tc>
        <w:tc>
          <w:tcPr>
            <w:tcW w:w="374" w:type="pct"/>
            <w:tcBorders>
              <w:tl2br w:val="nil"/>
              <w:tr2bl w:val="nil"/>
            </w:tcBorders>
            <w:noWrap w:val="0"/>
            <w:vAlign w:val="center"/>
          </w:tcPr>
          <w:p w14:paraId="39BB4C85">
            <w:pPr>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标准值</w:t>
            </w:r>
          </w:p>
        </w:tc>
        <w:tc>
          <w:tcPr>
            <w:tcW w:w="375" w:type="pct"/>
            <w:vMerge w:val="continue"/>
            <w:tcBorders>
              <w:tl2br w:val="nil"/>
              <w:tr2bl w:val="nil"/>
            </w:tcBorders>
            <w:noWrap w:val="0"/>
            <w:vAlign w:val="center"/>
          </w:tcPr>
          <w:p w14:paraId="2E28D362">
            <w:pPr>
              <w:bidi w:val="0"/>
              <w:rPr>
                <w:rFonts w:hint="default" w:ascii="Times New Roman" w:hAnsi="Times New Roman" w:eastAsia="宋体" w:cs="Times New Roman"/>
                <w:color w:val="auto"/>
                <w:sz w:val="21"/>
                <w:szCs w:val="21"/>
              </w:rPr>
            </w:pPr>
          </w:p>
        </w:tc>
      </w:tr>
      <w:tr w14:paraId="20E005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trPr>
        <w:tc>
          <w:tcPr>
            <w:tcW w:w="266" w:type="pct"/>
            <w:tcBorders>
              <w:tl2br w:val="nil"/>
              <w:tr2bl w:val="nil"/>
            </w:tcBorders>
            <w:noWrap w:val="0"/>
            <w:vAlign w:val="center"/>
          </w:tcPr>
          <w:p w14:paraId="33EEBCDC">
            <w:pPr>
              <w:bidi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365" w:type="pct"/>
            <w:vMerge w:val="restart"/>
            <w:tcBorders>
              <w:tl2br w:val="nil"/>
              <w:tr2bl w:val="nil"/>
            </w:tcBorders>
            <w:noWrap w:val="0"/>
            <w:vAlign w:val="center"/>
          </w:tcPr>
          <w:p w14:paraId="05DFA9C4">
            <w:pPr>
              <w:bidi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lang w:val="en-US" w:eastAsia="zh-CN"/>
              </w:rPr>
              <w:t>雄探1试采点</w:t>
            </w:r>
          </w:p>
        </w:tc>
        <w:tc>
          <w:tcPr>
            <w:tcW w:w="572" w:type="pct"/>
            <w:tcBorders>
              <w:tl2br w:val="nil"/>
              <w:tr2bl w:val="nil"/>
            </w:tcBorders>
            <w:noWrap w:val="0"/>
            <w:vAlign w:val="center"/>
          </w:tcPr>
          <w:p w14:paraId="39AD573C">
            <w:pPr>
              <w:bidi w:val="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0-0.5m</w:t>
            </w:r>
          </w:p>
        </w:tc>
        <w:tc>
          <w:tcPr>
            <w:tcW w:w="375" w:type="pct"/>
            <w:tcBorders>
              <w:tl2br w:val="nil"/>
              <w:tr2bl w:val="nil"/>
            </w:tcBorders>
            <w:noWrap w:val="0"/>
            <w:vAlign w:val="center"/>
          </w:tcPr>
          <w:p w14:paraId="68A9978F">
            <w:pPr>
              <w:bidi w:val="0"/>
              <w:jc w:val="center"/>
              <w:rPr>
                <w:rFonts w:hint="default" w:eastAsia="宋体" w:cs="Times New Roman"/>
                <w:color w:val="auto"/>
                <w:sz w:val="21"/>
                <w:szCs w:val="21"/>
                <w:lang w:val="en-US" w:eastAsia="zh-CN"/>
              </w:rPr>
            </w:pPr>
          </w:p>
        </w:tc>
        <w:tc>
          <w:tcPr>
            <w:tcW w:w="345" w:type="pct"/>
            <w:tcBorders>
              <w:tl2br w:val="nil"/>
              <w:tr2bl w:val="nil"/>
            </w:tcBorders>
            <w:noWrap w:val="0"/>
            <w:vAlign w:val="center"/>
          </w:tcPr>
          <w:p w14:paraId="19E7EB3C">
            <w:pPr>
              <w:bidi w:val="0"/>
              <w:jc w:val="center"/>
              <w:rPr>
                <w:rFonts w:hint="default" w:eastAsia="宋体" w:cs="Times New Roman"/>
                <w:color w:val="auto"/>
                <w:sz w:val="21"/>
                <w:szCs w:val="21"/>
                <w:lang w:val="en-US" w:eastAsia="zh-CN"/>
              </w:rPr>
            </w:pPr>
          </w:p>
        </w:tc>
        <w:tc>
          <w:tcPr>
            <w:tcW w:w="407" w:type="pct"/>
            <w:tcBorders>
              <w:tl2br w:val="nil"/>
              <w:tr2bl w:val="nil"/>
            </w:tcBorders>
            <w:noWrap w:val="0"/>
            <w:vAlign w:val="center"/>
          </w:tcPr>
          <w:p w14:paraId="0ADD964A">
            <w:pPr>
              <w:bidi w:val="0"/>
              <w:jc w:val="center"/>
              <w:rPr>
                <w:rFonts w:hint="default" w:eastAsia="宋体" w:cs="Times New Roman"/>
                <w:color w:val="auto"/>
                <w:sz w:val="21"/>
                <w:szCs w:val="21"/>
                <w:lang w:val="en-US" w:eastAsia="zh-CN"/>
              </w:rPr>
            </w:pPr>
          </w:p>
        </w:tc>
        <w:tc>
          <w:tcPr>
            <w:tcW w:w="365" w:type="pct"/>
            <w:tcBorders>
              <w:tl2br w:val="nil"/>
              <w:tr2bl w:val="nil"/>
            </w:tcBorders>
            <w:noWrap w:val="0"/>
            <w:vAlign w:val="center"/>
          </w:tcPr>
          <w:p w14:paraId="3F8F92CF">
            <w:pPr>
              <w:bidi w:val="0"/>
              <w:jc w:val="center"/>
              <w:rPr>
                <w:rFonts w:hint="default" w:eastAsia="宋体" w:cs="Times New Roman"/>
                <w:color w:val="auto"/>
                <w:sz w:val="21"/>
                <w:szCs w:val="21"/>
                <w:lang w:val="en-US" w:eastAsia="zh-CN"/>
              </w:rPr>
            </w:pPr>
          </w:p>
        </w:tc>
        <w:tc>
          <w:tcPr>
            <w:tcW w:w="337" w:type="pct"/>
            <w:tcBorders>
              <w:tl2br w:val="nil"/>
              <w:tr2bl w:val="nil"/>
            </w:tcBorders>
            <w:noWrap w:val="0"/>
            <w:vAlign w:val="center"/>
          </w:tcPr>
          <w:p w14:paraId="017EED3D">
            <w:pPr>
              <w:bidi w:val="0"/>
              <w:jc w:val="center"/>
              <w:rPr>
                <w:rFonts w:hint="default" w:ascii="Times New Roman" w:hAnsi="Times New Roman" w:eastAsia="宋体" w:cs="Times New Roman"/>
                <w:color w:val="auto"/>
                <w:kern w:val="2"/>
                <w:sz w:val="21"/>
                <w:szCs w:val="21"/>
                <w:lang w:val="en-US" w:eastAsia="zh-CN" w:bidi="ar-SA"/>
              </w:rPr>
            </w:pPr>
          </w:p>
        </w:tc>
        <w:tc>
          <w:tcPr>
            <w:tcW w:w="364" w:type="pct"/>
            <w:tcBorders>
              <w:tl2br w:val="nil"/>
              <w:tr2bl w:val="nil"/>
            </w:tcBorders>
            <w:noWrap w:val="0"/>
            <w:vAlign w:val="center"/>
          </w:tcPr>
          <w:p w14:paraId="7BC562A3">
            <w:pPr>
              <w:bidi w:val="0"/>
              <w:jc w:val="center"/>
              <w:rPr>
                <w:rFonts w:hint="eastAsia" w:ascii="Times New Roman" w:hAnsi="Times New Roman" w:eastAsia="宋体" w:cs="Times New Roman"/>
                <w:color w:val="auto"/>
                <w:kern w:val="2"/>
                <w:sz w:val="21"/>
                <w:szCs w:val="21"/>
                <w:lang w:val="en-US" w:eastAsia="zh-CN" w:bidi="ar-SA"/>
              </w:rPr>
            </w:pPr>
          </w:p>
        </w:tc>
        <w:tc>
          <w:tcPr>
            <w:tcW w:w="351" w:type="pct"/>
            <w:tcBorders>
              <w:tl2br w:val="nil"/>
              <w:tr2bl w:val="nil"/>
            </w:tcBorders>
            <w:noWrap w:val="0"/>
            <w:vAlign w:val="center"/>
          </w:tcPr>
          <w:p w14:paraId="3BF9C131">
            <w:pPr>
              <w:bidi w:val="0"/>
              <w:jc w:val="center"/>
              <w:rPr>
                <w:rFonts w:hint="default" w:ascii="Times New Roman" w:hAnsi="Times New Roman" w:eastAsia="宋体" w:cs="Times New Roman"/>
                <w:color w:val="auto"/>
                <w:sz w:val="21"/>
                <w:szCs w:val="21"/>
                <w:lang w:val="en-US" w:eastAsia="zh-CN"/>
              </w:rPr>
            </w:pPr>
          </w:p>
        </w:tc>
        <w:tc>
          <w:tcPr>
            <w:tcW w:w="500" w:type="pct"/>
            <w:tcBorders>
              <w:tl2br w:val="nil"/>
              <w:tr2bl w:val="nil"/>
            </w:tcBorders>
            <w:noWrap w:val="0"/>
            <w:vAlign w:val="center"/>
          </w:tcPr>
          <w:p w14:paraId="75C2CDF5">
            <w:pPr>
              <w:bidi w:val="0"/>
              <w:jc w:val="center"/>
              <w:rPr>
                <w:rFonts w:hint="default" w:ascii="Times New Roman" w:hAnsi="Times New Roman" w:eastAsia="宋体" w:cs="Times New Roman"/>
                <w:color w:val="auto"/>
                <w:sz w:val="21"/>
                <w:szCs w:val="21"/>
                <w:lang w:val="en-US" w:eastAsia="zh-CN"/>
              </w:rPr>
            </w:pPr>
          </w:p>
        </w:tc>
        <w:tc>
          <w:tcPr>
            <w:tcW w:w="374" w:type="pct"/>
            <w:vMerge w:val="restart"/>
            <w:tcBorders>
              <w:tl2br w:val="nil"/>
              <w:tr2bl w:val="nil"/>
            </w:tcBorders>
            <w:noWrap w:val="0"/>
            <w:vAlign w:val="center"/>
          </w:tcPr>
          <w:p w14:paraId="47F2065C">
            <w:pPr>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4500</w:t>
            </w:r>
          </w:p>
        </w:tc>
        <w:tc>
          <w:tcPr>
            <w:tcW w:w="375" w:type="pct"/>
            <w:tcBorders>
              <w:tl2br w:val="nil"/>
              <w:tr2bl w:val="nil"/>
            </w:tcBorders>
            <w:noWrap w:val="0"/>
            <w:vAlign w:val="center"/>
          </w:tcPr>
          <w:p w14:paraId="7FC5C627">
            <w:pPr>
              <w:bidi w:val="0"/>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达标</w:t>
            </w:r>
          </w:p>
        </w:tc>
      </w:tr>
      <w:tr w14:paraId="740829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9" w:hRule="atLeast"/>
        </w:trPr>
        <w:tc>
          <w:tcPr>
            <w:tcW w:w="266" w:type="pct"/>
            <w:tcBorders>
              <w:tl2br w:val="nil"/>
              <w:tr2bl w:val="nil"/>
            </w:tcBorders>
            <w:noWrap w:val="0"/>
            <w:vAlign w:val="center"/>
          </w:tcPr>
          <w:p w14:paraId="18F5736B">
            <w:pPr>
              <w:bidi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365" w:type="pct"/>
            <w:vMerge w:val="continue"/>
            <w:tcBorders>
              <w:tl2br w:val="nil"/>
              <w:tr2bl w:val="nil"/>
            </w:tcBorders>
            <w:noWrap w:val="0"/>
            <w:vAlign w:val="center"/>
          </w:tcPr>
          <w:p w14:paraId="50DECCCD">
            <w:pPr>
              <w:bidi w:val="0"/>
              <w:jc w:val="center"/>
              <w:rPr>
                <w:rFonts w:hint="default" w:ascii="Times New Roman" w:hAnsi="Times New Roman" w:eastAsia="宋体" w:cs="Times New Roman"/>
                <w:color w:val="auto"/>
                <w:sz w:val="21"/>
                <w:szCs w:val="21"/>
                <w:highlight w:val="none"/>
                <w:lang w:val="en-US" w:eastAsia="zh-CN"/>
              </w:rPr>
            </w:pPr>
          </w:p>
        </w:tc>
        <w:tc>
          <w:tcPr>
            <w:tcW w:w="572" w:type="pct"/>
            <w:tcBorders>
              <w:tl2br w:val="nil"/>
              <w:tr2bl w:val="nil"/>
            </w:tcBorders>
            <w:noWrap w:val="0"/>
            <w:vAlign w:val="center"/>
          </w:tcPr>
          <w:p w14:paraId="3142F231">
            <w:pPr>
              <w:bidi w:val="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0.5-1.5m</w:t>
            </w:r>
          </w:p>
        </w:tc>
        <w:tc>
          <w:tcPr>
            <w:tcW w:w="375" w:type="pct"/>
            <w:tcBorders>
              <w:tl2br w:val="nil"/>
              <w:tr2bl w:val="nil"/>
            </w:tcBorders>
            <w:noWrap w:val="0"/>
            <w:vAlign w:val="center"/>
          </w:tcPr>
          <w:p w14:paraId="405DD2BB">
            <w:pPr>
              <w:bidi w:val="0"/>
              <w:jc w:val="center"/>
              <w:rPr>
                <w:rFonts w:hint="default" w:eastAsia="宋体" w:cs="Times New Roman"/>
                <w:color w:val="auto"/>
                <w:sz w:val="21"/>
                <w:szCs w:val="21"/>
                <w:lang w:val="en-US" w:eastAsia="zh-CN"/>
              </w:rPr>
            </w:pPr>
          </w:p>
        </w:tc>
        <w:tc>
          <w:tcPr>
            <w:tcW w:w="345" w:type="pct"/>
            <w:tcBorders>
              <w:tl2br w:val="nil"/>
              <w:tr2bl w:val="nil"/>
            </w:tcBorders>
            <w:noWrap w:val="0"/>
            <w:vAlign w:val="center"/>
          </w:tcPr>
          <w:p w14:paraId="41AD3894">
            <w:pPr>
              <w:bidi w:val="0"/>
              <w:jc w:val="center"/>
              <w:rPr>
                <w:rFonts w:hint="default" w:eastAsia="宋体" w:cs="Times New Roman"/>
                <w:color w:val="auto"/>
                <w:sz w:val="21"/>
                <w:szCs w:val="21"/>
                <w:lang w:val="en-US" w:eastAsia="zh-CN"/>
              </w:rPr>
            </w:pPr>
          </w:p>
        </w:tc>
        <w:tc>
          <w:tcPr>
            <w:tcW w:w="407" w:type="pct"/>
            <w:tcBorders>
              <w:tl2br w:val="nil"/>
              <w:tr2bl w:val="nil"/>
            </w:tcBorders>
            <w:noWrap w:val="0"/>
            <w:vAlign w:val="center"/>
          </w:tcPr>
          <w:p w14:paraId="09106630">
            <w:pPr>
              <w:bidi w:val="0"/>
              <w:jc w:val="center"/>
              <w:rPr>
                <w:rFonts w:hint="default" w:eastAsia="宋体" w:cs="Times New Roman"/>
                <w:color w:val="auto"/>
                <w:sz w:val="21"/>
                <w:szCs w:val="21"/>
                <w:lang w:val="en-US" w:eastAsia="zh-CN"/>
              </w:rPr>
            </w:pPr>
          </w:p>
        </w:tc>
        <w:tc>
          <w:tcPr>
            <w:tcW w:w="365" w:type="pct"/>
            <w:tcBorders>
              <w:tl2br w:val="nil"/>
              <w:tr2bl w:val="nil"/>
            </w:tcBorders>
            <w:noWrap w:val="0"/>
            <w:vAlign w:val="center"/>
          </w:tcPr>
          <w:p w14:paraId="6A59D589">
            <w:pPr>
              <w:bidi w:val="0"/>
              <w:jc w:val="center"/>
              <w:rPr>
                <w:rFonts w:hint="default" w:eastAsia="宋体" w:cs="Times New Roman"/>
                <w:color w:val="auto"/>
                <w:sz w:val="21"/>
                <w:szCs w:val="21"/>
                <w:lang w:val="en-US" w:eastAsia="zh-CN"/>
              </w:rPr>
            </w:pPr>
          </w:p>
        </w:tc>
        <w:tc>
          <w:tcPr>
            <w:tcW w:w="337" w:type="pct"/>
            <w:tcBorders>
              <w:tl2br w:val="nil"/>
              <w:tr2bl w:val="nil"/>
            </w:tcBorders>
            <w:noWrap w:val="0"/>
            <w:vAlign w:val="center"/>
          </w:tcPr>
          <w:p w14:paraId="5D4C1080">
            <w:pPr>
              <w:bidi w:val="0"/>
              <w:jc w:val="center"/>
              <w:rPr>
                <w:rFonts w:hint="eastAsia" w:ascii="Times New Roman" w:hAnsi="Times New Roman" w:eastAsia="宋体" w:cs="Times New Roman"/>
                <w:color w:val="auto"/>
                <w:kern w:val="2"/>
                <w:sz w:val="21"/>
                <w:szCs w:val="21"/>
                <w:lang w:val="en-US" w:eastAsia="zh-CN" w:bidi="ar-SA"/>
              </w:rPr>
            </w:pPr>
          </w:p>
        </w:tc>
        <w:tc>
          <w:tcPr>
            <w:tcW w:w="364" w:type="pct"/>
            <w:tcBorders>
              <w:tl2br w:val="nil"/>
              <w:tr2bl w:val="nil"/>
            </w:tcBorders>
            <w:noWrap w:val="0"/>
            <w:vAlign w:val="center"/>
          </w:tcPr>
          <w:p w14:paraId="497BB2DE">
            <w:pPr>
              <w:bidi w:val="0"/>
              <w:jc w:val="center"/>
              <w:rPr>
                <w:rFonts w:hint="eastAsia" w:ascii="Times New Roman" w:hAnsi="Times New Roman" w:eastAsia="宋体" w:cs="Times New Roman"/>
                <w:color w:val="auto"/>
                <w:kern w:val="2"/>
                <w:sz w:val="21"/>
                <w:szCs w:val="21"/>
                <w:lang w:val="en-US" w:eastAsia="zh-CN" w:bidi="ar-SA"/>
              </w:rPr>
            </w:pPr>
          </w:p>
        </w:tc>
        <w:tc>
          <w:tcPr>
            <w:tcW w:w="351" w:type="pct"/>
            <w:tcBorders>
              <w:tl2br w:val="nil"/>
              <w:tr2bl w:val="nil"/>
            </w:tcBorders>
            <w:noWrap w:val="0"/>
            <w:vAlign w:val="center"/>
          </w:tcPr>
          <w:p w14:paraId="2D249295">
            <w:pPr>
              <w:bidi w:val="0"/>
              <w:jc w:val="center"/>
              <w:rPr>
                <w:rFonts w:hint="default" w:ascii="Times New Roman" w:hAnsi="Times New Roman" w:eastAsia="宋体" w:cs="Times New Roman"/>
                <w:color w:val="auto"/>
                <w:sz w:val="21"/>
                <w:szCs w:val="21"/>
                <w:lang w:val="en-US" w:eastAsia="zh-CN"/>
              </w:rPr>
            </w:pPr>
          </w:p>
        </w:tc>
        <w:tc>
          <w:tcPr>
            <w:tcW w:w="500" w:type="pct"/>
            <w:tcBorders>
              <w:tl2br w:val="nil"/>
              <w:tr2bl w:val="nil"/>
            </w:tcBorders>
            <w:noWrap w:val="0"/>
            <w:vAlign w:val="center"/>
          </w:tcPr>
          <w:p w14:paraId="419943D6">
            <w:pPr>
              <w:bidi w:val="0"/>
              <w:jc w:val="center"/>
              <w:rPr>
                <w:rFonts w:hint="default" w:ascii="Times New Roman" w:hAnsi="Times New Roman" w:eastAsia="宋体" w:cs="Times New Roman"/>
                <w:color w:val="auto"/>
                <w:sz w:val="21"/>
                <w:szCs w:val="21"/>
                <w:lang w:val="en-US" w:eastAsia="zh-CN"/>
              </w:rPr>
            </w:pPr>
          </w:p>
        </w:tc>
        <w:tc>
          <w:tcPr>
            <w:tcW w:w="374" w:type="pct"/>
            <w:vMerge w:val="continue"/>
            <w:tcBorders>
              <w:tl2br w:val="nil"/>
              <w:tr2bl w:val="nil"/>
            </w:tcBorders>
            <w:noWrap w:val="0"/>
            <w:vAlign w:val="center"/>
          </w:tcPr>
          <w:p w14:paraId="3642740F">
            <w:pPr>
              <w:bidi w:val="0"/>
              <w:rPr>
                <w:rFonts w:hint="eastAsia" w:ascii="Times New Roman" w:hAnsi="Times New Roman" w:eastAsia="宋体" w:cs="Times New Roman"/>
                <w:color w:val="auto"/>
                <w:kern w:val="2"/>
                <w:sz w:val="21"/>
                <w:szCs w:val="21"/>
                <w:lang w:val="en-US" w:eastAsia="zh-CN" w:bidi="ar-SA"/>
              </w:rPr>
            </w:pPr>
          </w:p>
        </w:tc>
        <w:tc>
          <w:tcPr>
            <w:tcW w:w="375" w:type="pct"/>
            <w:tcBorders>
              <w:tl2br w:val="nil"/>
              <w:tr2bl w:val="nil"/>
            </w:tcBorders>
            <w:noWrap w:val="0"/>
            <w:vAlign w:val="center"/>
          </w:tcPr>
          <w:p w14:paraId="41145A04">
            <w:pPr>
              <w:bidi w:val="0"/>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达标</w:t>
            </w:r>
          </w:p>
        </w:tc>
      </w:tr>
      <w:tr w14:paraId="4C1938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266" w:type="pct"/>
            <w:tcBorders>
              <w:tl2br w:val="nil"/>
              <w:tr2bl w:val="nil"/>
            </w:tcBorders>
            <w:noWrap w:val="0"/>
            <w:vAlign w:val="center"/>
          </w:tcPr>
          <w:p w14:paraId="721623D5">
            <w:pPr>
              <w:bidi w:val="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3</w:t>
            </w:r>
          </w:p>
        </w:tc>
        <w:tc>
          <w:tcPr>
            <w:tcW w:w="365" w:type="pct"/>
            <w:vMerge w:val="continue"/>
            <w:tcBorders>
              <w:tl2br w:val="nil"/>
              <w:tr2bl w:val="nil"/>
            </w:tcBorders>
            <w:noWrap w:val="0"/>
            <w:vAlign w:val="center"/>
          </w:tcPr>
          <w:p w14:paraId="6B22F970">
            <w:pPr>
              <w:bidi w:val="0"/>
              <w:jc w:val="center"/>
              <w:rPr>
                <w:rFonts w:hint="default" w:ascii="Times New Roman" w:hAnsi="Times New Roman" w:eastAsia="宋体" w:cs="Times New Roman"/>
                <w:color w:val="auto"/>
                <w:sz w:val="21"/>
                <w:szCs w:val="21"/>
                <w:highlight w:val="none"/>
              </w:rPr>
            </w:pPr>
          </w:p>
        </w:tc>
        <w:tc>
          <w:tcPr>
            <w:tcW w:w="572" w:type="pct"/>
            <w:tcBorders>
              <w:tl2br w:val="nil"/>
              <w:tr2bl w:val="nil"/>
            </w:tcBorders>
            <w:noWrap w:val="0"/>
            <w:vAlign w:val="center"/>
          </w:tcPr>
          <w:p w14:paraId="32AC5E07">
            <w:pPr>
              <w:bidi w:val="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1.5-3m</w:t>
            </w:r>
          </w:p>
        </w:tc>
        <w:tc>
          <w:tcPr>
            <w:tcW w:w="375" w:type="pct"/>
            <w:tcBorders>
              <w:tl2br w:val="nil"/>
              <w:tr2bl w:val="nil"/>
            </w:tcBorders>
            <w:noWrap w:val="0"/>
            <w:vAlign w:val="center"/>
          </w:tcPr>
          <w:p w14:paraId="2601DBA9">
            <w:pPr>
              <w:bidi w:val="0"/>
              <w:jc w:val="center"/>
              <w:rPr>
                <w:rFonts w:hint="default" w:eastAsia="宋体" w:cs="Times New Roman"/>
                <w:color w:val="auto"/>
                <w:sz w:val="21"/>
                <w:szCs w:val="21"/>
                <w:lang w:val="en-US" w:eastAsia="zh-CN"/>
              </w:rPr>
            </w:pPr>
          </w:p>
        </w:tc>
        <w:tc>
          <w:tcPr>
            <w:tcW w:w="345" w:type="pct"/>
            <w:tcBorders>
              <w:tl2br w:val="nil"/>
              <w:tr2bl w:val="nil"/>
            </w:tcBorders>
            <w:noWrap w:val="0"/>
            <w:vAlign w:val="center"/>
          </w:tcPr>
          <w:p w14:paraId="2CD55CD9">
            <w:pPr>
              <w:bidi w:val="0"/>
              <w:jc w:val="center"/>
              <w:rPr>
                <w:rFonts w:hint="default" w:eastAsia="宋体" w:cs="Times New Roman"/>
                <w:color w:val="auto"/>
                <w:sz w:val="21"/>
                <w:szCs w:val="21"/>
                <w:lang w:val="en-US" w:eastAsia="zh-CN"/>
              </w:rPr>
            </w:pPr>
          </w:p>
        </w:tc>
        <w:tc>
          <w:tcPr>
            <w:tcW w:w="407" w:type="pct"/>
            <w:tcBorders>
              <w:tl2br w:val="nil"/>
              <w:tr2bl w:val="nil"/>
            </w:tcBorders>
            <w:noWrap w:val="0"/>
            <w:vAlign w:val="center"/>
          </w:tcPr>
          <w:p w14:paraId="4C4BA953">
            <w:pPr>
              <w:bidi w:val="0"/>
              <w:jc w:val="center"/>
              <w:rPr>
                <w:rFonts w:hint="default" w:eastAsia="宋体" w:cs="Times New Roman"/>
                <w:color w:val="auto"/>
                <w:sz w:val="21"/>
                <w:szCs w:val="21"/>
                <w:lang w:val="en-US" w:eastAsia="zh-CN"/>
              </w:rPr>
            </w:pPr>
          </w:p>
        </w:tc>
        <w:tc>
          <w:tcPr>
            <w:tcW w:w="365" w:type="pct"/>
            <w:tcBorders>
              <w:tl2br w:val="nil"/>
              <w:tr2bl w:val="nil"/>
            </w:tcBorders>
            <w:noWrap w:val="0"/>
            <w:vAlign w:val="center"/>
          </w:tcPr>
          <w:p w14:paraId="3C29D977">
            <w:pPr>
              <w:bidi w:val="0"/>
              <w:jc w:val="center"/>
              <w:rPr>
                <w:rFonts w:hint="default" w:eastAsia="宋体" w:cs="Times New Roman"/>
                <w:color w:val="auto"/>
                <w:sz w:val="21"/>
                <w:szCs w:val="21"/>
                <w:lang w:val="en-US" w:eastAsia="zh-CN"/>
              </w:rPr>
            </w:pPr>
          </w:p>
        </w:tc>
        <w:tc>
          <w:tcPr>
            <w:tcW w:w="337" w:type="pct"/>
            <w:tcBorders>
              <w:tl2br w:val="nil"/>
              <w:tr2bl w:val="nil"/>
            </w:tcBorders>
            <w:noWrap w:val="0"/>
            <w:vAlign w:val="center"/>
          </w:tcPr>
          <w:p w14:paraId="4EA1FB0F">
            <w:pPr>
              <w:bidi w:val="0"/>
              <w:jc w:val="center"/>
              <w:rPr>
                <w:rFonts w:hint="eastAsia" w:ascii="Times New Roman" w:hAnsi="Times New Roman" w:eastAsia="宋体" w:cs="Times New Roman"/>
                <w:color w:val="auto"/>
                <w:kern w:val="2"/>
                <w:sz w:val="21"/>
                <w:szCs w:val="21"/>
                <w:lang w:val="en-US" w:eastAsia="zh-CN" w:bidi="ar-SA"/>
              </w:rPr>
            </w:pPr>
          </w:p>
        </w:tc>
        <w:tc>
          <w:tcPr>
            <w:tcW w:w="364" w:type="pct"/>
            <w:tcBorders>
              <w:tl2br w:val="nil"/>
              <w:tr2bl w:val="nil"/>
            </w:tcBorders>
            <w:noWrap w:val="0"/>
            <w:vAlign w:val="center"/>
          </w:tcPr>
          <w:p w14:paraId="31CE43E7">
            <w:pPr>
              <w:bidi w:val="0"/>
              <w:jc w:val="center"/>
              <w:rPr>
                <w:rFonts w:hint="eastAsia" w:ascii="Times New Roman" w:hAnsi="Times New Roman" w:eastAsia="宋体" w:cs="Times New Roman"/>
                <w:color w:val="auto"/>
                <w:kern w:val="2"/>
                <w:sz w:val="21"/>
                <w:szCs w:val="21"/>
                <w:lang w:val="en-US" w:eastAsia="zh-CN" w:bidi="ar-SA"/>
              </w:rPr>
            </w:pPr>
          </w:p>
        </w:tc>
        <w:tc>
          <w:tcPr>
            <w:tcW w:w="351" w:type="pct"/>
            <w:tcBorders>
              <w:tl2br w:val="nil"/>
              <w:tr2bl w:val="nil"/>
            </w:tcBorders>
            <w:noWrap w:val="0"/>
            <w:vAlign w:val="center"/>
          </w:tcPr>
          <w:p w14:paraId="4948D2A1">
            <w:pPr>
              <w:bidi w:val="0"/>
              <w:jc w:val="center"/>
              <w:rPr>
                <w:rFonts w:hint="default" w:ascii="Times New Roman" w:hAnsi="Times New Roman" w:eastAsia="宋体" w:cs="Times New Roman"/>
                <w:color w:val="auto"/>
                <w:sz w:val="21"/>
                <w:szCs w:val="21"/>
                <w:lang w:val="en-US" w:eastAsia="zh-CN"/>
              </w:rPr>
            </w:pPr>
          </w:p>
        </w:tc>
        <w:tc>
          <w:tcPr>
            <w:tcW w:w="500" w:type="pct"/>
            <w:tcBorders>
              <w:tl2br w:val="nil"/>
              <w:tr2bl w:val="nil"/>
            </w:tcBorders>
            <w:noWrap w:val="0"/>
            <w:vAlign w:val="center"/>
          </w:tcPr>
          <w:p w14:paraId="23E86CA8">
            <w:pPr>
              <w:bidi w:val="0"/>
              <w:jc w:val="center"/>
              <w:rPr>
                <w:rFonts w:hint="default" w:ascii="Times New Roman" w:hAnsi="Times New Roman" w:eastAsia="宋体" w:cs="Times New Roman"/>
                <w:color w:val="auto"/>
                <w:sz w:val="21"/>
                <w:szCs w:val="21"/>
                <w:lang w:val="en-US" w:eastAsia="zh-CN"/>
              </w:rPr>
            </w:pPr>
          </w:p>
        </w:tc>
        <w:tc>
          <w:tcPr>
            <w:tcW w:w="374" w:type="pct"/>
            <w:vMerge w:val="continue"/>
            <w:tcBorders>
              <w:tl2br w:val="nil"/>
              <w:tr2bl w:val="nil"/>
            </w:tcBorders>
            <w:noWrap w:val="0"/>
            <w:vAlign w:val="center"/>
          </w:tcPr>
          <w:p w14:paraId="2F7AABD4">
            <w:pPr>
              <w:bidi w:val="0"/>
              <w:rPr>
                <w:rFonts w:hint="default" w:ascii="Times New Roman" w:hAnsi="Times New Roman" w:eastAsia="宋体" w:cs="Times New Roman"/>
                <w:color w:val="auto"/>
                <w:sz w:val="21"/>
                <w:szCs w:val="21"/>
              </w:rPr>
            </w:pPr>
          </w:p>
        </w:tc>
        <w:tc>
          <w:tcPr>
            <w:tcW w:w="375" w:type="pct"/>
            <w:tcBorders>
              <w:tl2br w:val="nil"/>
              <w:tr2bl w:val="nil"/>
            </w:tcBorders>
            <w:noWrap w:val="0"/>
            <w:vAlign w:val="center"/>
          </w:tcPr>
          <w:p w14:paraId="17E247C5">
            <w:pPr>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E6A91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atLeast"/>
        </w:trPr>
        <w:tc>
          <w:tcPr>
            <w:tcW w:w="266" w:type="pct"/>
            <w:tcBorders>
              <w:tl2br w:val="nil"/>
              <w:tr2bl w:val="nil"/>
            </w:tcBorders>
            <w:noWrap w:val="0"/>
            <w:vAlign w:val="center"/>
          </w:tcPr>
          <w:p w14:paraId="22E3C2B5">
            <w:pPr>
              <w:bidi w:val="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w:t>
            </w:r>
          </w:p>
        </w:tc>
        <w:tc>
          <w:tcPr>
            <w:tcW w:w="365" w:type="pct"/>
            <w:vMerge w:val="restart"/>
            <w:tcBorders>
              <w:tl2br w:val="nil"/>
              <w:tr2bl w:val="nil"/>
            </w:tcBorders>
            <w:noWrap w:val="0"/>
            <w:vAlign w:val="center"/>
          </w:tcPr>
          <w:p w14:paraId="44EA2C6A">
            <w:pPr>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雄英101井</w:t>
            </w:r>
          </w:p>
        </w:tc>
        <w:tc>
          <w:tcPr>
            <w:tcW w:w="572" w:type="pct"/>
            <w:tcBorders>
              <w:tl2br w:val="nil"/>
              <w:tr2bl w:val="nil"/>
            </w:tcBorders>
            <w:noWrap w:val="0"/>
            <w:vAlign w:val="center"/>
          </w:tcPr>
          <w:p w14:paraId="290E5AFB">
            <w:pPr>
              <w:bidi w:val="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0-0.5m</w:t>
            </w:r>
          </w:p>
        </w:tc>
        <w:tc>
          <w:tcPr>
            <w:tcW w:w="375" w:type="pct"/>
            <w:tcBorders>
              <w:tl2br w:val="nil"/>
              <w:tr2bl w:val="nil"/>
            </w:tcBorders>
            <w:noWrap w:val="0"/>
            <w:vAlign w:val="center"/>
          </w:tcPr>
          <w:p w14:paraId="7605644F">
            <w:pPr>
              <w:bidi w:val="0"/>
              <w:jc w:val="center"/>
              <w:rPr>
                <w:rFonts w:hint="eastAsia" w:ascii="Times New Roman" w:hAnsi="Times New Roman" w:eastAsia="宋体" w:cs="Times New Roman"/>
                <w:color w:val="auto"/>
                <w:kern w:val="2"/>
                <w:sz w:val="21"/>
                <w:szCs w:val="21"/>
                <w:lang w:val="en-US" w:eastAsia="zh-CN" w:bidi="ar-SA"/>
              </w:rPr>
            </w:pPr>
          </w:p>
        </w:tc>
        <w:tc>
          <w:tcPr>
            <w:tcW w:w="345" w:type="pct"/>
            <w:tcBorders>
              <w:tl2br w:val="nil"/>
              <w:tr2bl w:val="nil"/>
            </w:tcBorders>
            <w:noWrap w:val="0"/>
            <w:vAlign w:val="center"/>
          </w:tcPr>
          <w:p w14:paraId="634D014E">
            <w:pPr>
              <w:bidi w:val="0"/>
              <w:jc w:val="center"/>
              <w:rPr>
                <w:rFonts w:hint="eastAsia" w:ascii="Times New Roman" w:hAnsi="Times New Roman" w:eastAsia="宋体" w:cs="Times New Roman"/>
                <w:color w:val="auto"/>
                <w:kern w:val="2"/>
                <w:sz w:val="21"/>
                <w:szCs w:val="21"/>
                <w:lang w:val="en-US" w:eastAsia="zh-CN" w:bidi="ar-SA"/>
              </w:rPr>
            </w:pPr>
          </w:p>
        </w:tc>
        <w:tc>
          <w:tcPr>
            <w:tcW w:w="407" w:type="pct"/>
            <w:tcBorders>
              <w:tl2br w:val="nil"/>
              <w:tr2bl w:val="nil"/>
            </w:tcBorders>
            <w:noWrap w:val="0"/>
            <w:vAlign w:val="center"/>
          </w:tcPr>
          <w:p w14:paraId="1F3CCFF9">
            <w:pPr>
              <w:bidi w:val="0"/>
              <w:jc w:val="center"/>
              <w:rPr>
                <w:rFonts w:hint="eastAsia" w:ascii="Times New Roman" w:hAnsi="Times New Roman" w:eastAsia="宋体" w:cs="Times New Roman"/>
                <w:color w:val="auto"/>
                <w:kern w:val="2"/>
                <w:sz w:val="21"/>
                <w:szCs w:val="21"/>
                <w:lang w:val="en-US" w:eastAsia="zh-CN" w:bidi="ar-SA"/>
              </w:rPr>
            </w:pPr>
          </w:p>
        </w:tc>
        <w:tc>
          <w:tcPr>
            <w:tcW w:w="365" w:type="pct"/>
            <w:tcBorders>
              <w:tl2br w:val="nil"/>
              <w:tr2bl w:val="nil"/>
            </w:tcBorders>
            <w:noWrap w:val="0"/>
            <w:vAlign w:val="center"/>
          </w:tcPr>
          <w:p w14:paraId="14D735E4">
            <w:pPr>
              <w:bidi w:val="0"/>
              <w:jc w:val="center"/>
              <w:rPr>
                <w:rFonts w:hint="eastAsia" w:ascii="Times New Roman" w:hAnsi="Times New Roman" w:eastAsia="宋体" w:cs="Times New Roman"/>
                <w:color w:val="auto"/>
                <w:kern w:val="2"/>
                <w:sz w:val="21"/>
                <w:szCs w:val="21"/>
                <w:lang w:val="en-US" w:eastAsia="zh-CN" w:bidi="ar-SA"/>
              </w:rPr>
            </w:pPr>
          </w:p>
        </w:tc>
        <w:tc>
          <w:tcPr>
            <w:tcW w:w="337" w:type="pct"/>
            <w:tcBorders>
              <w:tl2br w:val="nil"/>
              <w:tr2bl w:val="nil"/>
            </w:tcBorders>
            <w:noWrap w:val="0"/>
            <w:vAlign w:val="center"/>
          </w:tcPr>
          <w:p w14:paraId="5CB290D0">
            <w:pPr>
              <w:bidi w:val="0"/>
              <w:jc w:val="center"/>
              <w:rPr>
                <w:rFonts w:hint="eastAsia" w:ascii="Times New Roman" w:hAnsi="Times New Roman" w:eastAsia="宋体" w:cs="Times New Roman"/>
                <w:color w:val="auto"/>
                <w:kern w:val="2"/>
                <w:sz w:val="21"/>
                <w:szCs w:val="21"/>
                <w:lang w:val="en-US" w:eastAsia="zh-CN" w:bidi="ar-SA"/>
              </w:rPr>
            </w:pPr>
          </w:p>
        </w:tc>
        <w:tc>
          <w:tcPr>
            <w:tcW w:w="364" w:type="pct"/>
            <w:tcBorders>
              <w:tl2br w:val="nil"/>
              <w:tr2bl w:val="nil"/>
            </w:tcBorders>
            <w:noWrap w:val="0"/>
            <w:vAlign w:val="center"/>
          </w:tcPr>
          <w:p w14:paraId="1A55014E">
            <w:pPr>
              <w:bidi w:val="0"/>
              <w:jc w:val="center"/>
              <w:rPr>
                <w:rFonts w:hint="eastAsia" w:ascii="Times New Roman" w:hAnsi="Times New Roman" w:eastAsia="宋体" w:cs="Times New Roman"/>
                <w:color w:val="auto"/>
                <w:kern w:val="2"/>
                <w:sz w:val="21"/>
                <w:szCs w:val="21"/>
                <w:lang w:val="en-US" w:eastAsia="zh-CN" w:bidi="ar-SA"/>
              </w:rPr>
            </w:pPr>
          </w:p>
        </w:tc>
        <w:tc>
          <w:tcPr>
            <w:tcW w:w="351" w:type="pct"/>
            <w:tcBorders>
              <w:tl2br w:val="nil"/>
              <w:tr2bl w:val="nil"/>
            </w:tcBorders>
            <w:noWrap w:val="0"/>
            <w:vAlign w:val="center"/>
          </w:tcPr>
          <w:p w14:paraId="2E21669F">
            <w:pPr>
              <w:bidi w:val="0"/>
              <w:jc w:val="center"/>
              <w:rPr>
                <w:rFonts w:hint="default" w:ascii="Times New Roman" w:hAnsi="Times New Roman" w:eastAsia="宋体" w:cs="Times New Roman"/>
                <w:color w:val="auto"/>
                <w:kern w:val="2"/>
                <w:sz w:val="21"/>
                <w:szCs w:val="21"/>
                <w:lang w:val="en-US" w:eastAsia="zh-CN" w:bidi="ar-SA"/>
              </w:rPr>
            </w:pPr>
          </w:p>
        </w:tc>
        <w:tc>
          <w:tcPr>
            <w:tcW w:w="500" w:type="pct"/>
            <w:tcBorders>
              <w:tl2br w:val="nil"/>
              <w:tr2bl w:val="nil"/>
            </w:tcBorders>
            <w:noWrap w:val="0"/>
            <w:vAlign w:val="center"/>
          </w:tcPr>
          <w:p w14:paraId="21388CA1">
            <w:pPr>
              <w:bidi w:val="0"/>
              <w:jc w:val="center"/>
              <w:rPr>
                <w:rFonts w:hint="default" w:ascii="Times New Roman" w:hAnsi="Times New Roman" w:eastAsia="宋体" w:cs="Times New Roman"/>
                <w:color w:val="auto"/>
                <w:kern w:val="2"/>
                <w:sz w:val="21"/>
                <w:szCs w:val="21"/>
                <w:lang w:val="en-US" w:eastAsia="zh-CN" w:bidi="ar-SA"/>
              </w:rPr>
            </w:pPr>
          </w:p>
        </w:tc>
        <w:tc>
          <w:tcPr>
            <w:tcW w:w="374" w:type="pct"/>
            <w:vMerge w:val="restart"/>
            <w:tcBorders>
              <w:tl2br w:val="nil"/>
              <w:tr2bl w:val="nil"/>
            </w:tcBorders>
            <w:noWrap w:val="0"/>
            <w:vAlign w:val="center"/>
          </w:tcPr>
          <w:p w14:paraId="17112EA6">
            <w:pPr>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4500</w:t>
            </w:r>
          </w:p>
        </w:tc>
        <w:tc>
          <w:tcPr>
            <w:tcW w:w="375" w:type="pct"/>
            <w:tcBorders>
              <w:tl2br w:val="nil"/>
              <w:tr2bl w:val="nil"/>
            </w:tcBorders>
            <w:noWrap w:val="0"/>
            <w:vAlign w:val="center"/>
          </w:tcPr>
          <w:p w14:paraId="56571C17">
            <w:pPr>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达标</w:t>
            </w:r>
          </w:p>
        </w:tc>
      </w:tr>
      <w:tr w14:paraId="76BAFC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0" w:hRule="atLeast"/>
        </w:trPr>
        <w:tc>
          <w:tcPr>
            <w:tcW w:w="266" w:type="pct"/>
            <w:tcBorders>
              <w:tl2br w:val="nil"/>
              <w:tr2bl w:val="nil"/>
            </w:tcBorders>
            <w:noWrap w:val="0"/>
            <w:vAlign w:val="center"/>
          </w:tcPr>
          <w:p w14:paraId="6998D45C">
            <w:pPr>
              <w:bidi w:val="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w:t>
            </w:r>
          </w:p>
        </w:tc>
        <w:tc>
          <w:tcPr>
            <w:tcW w:w="365" w:type="pct"/>
            <w:vMerge w:val="continue"/>
            <w:tcBorders>
              <w:tl2br w:val="nil"/>
              <w:tr2bl w:val="nil"/>
            </w:tcBorders>
            <w:noWrap w:val="0"/>
            <w:vAlign w:val="center"/>
          </w:tcPr>
          <w:p w14:paraId="0B07C970">
            <w:pPr>
              <w:bidi w:val="0"/>
              <w:jc w:val="center"/>
              <w:rPr>
                <w:rFonts w:hint="default" w:ascii="Times New Roman" w:hAnsi="Times New Roman" w:eastAsia="宋体" w:cs="Times New Roman"/>
                <w:color w:val="auto"/>
                <w:sz w:val="21"/>
                <w:szCs w:val="21"/>
                <w:lang w:val="en-US" w:eastAsia="zh-CN"/>
              </w:rPr>
            </w:pPr>
          </w:p>
        </w:tc>
        <w:tc>
          <w:tcPr>
            <w:tcW w:w="572" w:type="pct"/>
            <w:tcBorders>
              <w:tl2br w:val="nil"/>
              <w:tr2bl w:val="nil"/>
            </w:tcBorders>
            <w:noWrap w:val="0"/>
            <w:vAlign w:val="center"/>
          </w:tcPr>
          <w:p w14:paraId="28CDDDE8">
            <w:pPr>
              <w:bidi w:val="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0.5-1.5m</w:t>
            </w:r>
          </w:p>
        </w:tc>
        <w:tc>
          <w:tcPr>
            <w:tcW w:w="375" w:type="pct"/>
            <w:tcBorders>
              <w:tl2br w:val="nil"/>
              <w:tr2bl w:val="nil"/>
            </w:tcBorders>
            <w:noWrap w:val="0"/>
            <w:vAlign w:val="center"/>
          </w:tcPr>
          <w:p w14:paraId="421546E5">
            <w:pPr>
              <w:bidi w:val="0"/>
              <w:jc w:val="center"/>
              <w:rPr>
                <w:rFonts w:hint="eastAsia" w:ascii="Times New Roman" w:hAnsi="Times New Roman" w:eastAsia="宋体" w:cs="Times New Roman"/>
                <w:color w:val="auto"/>
                <w:kern w:val="2"/>
                <w:sz w:val="21"/>
                <w:szCs w:val="21"/>
                <w:lang w:val="en-US" w:eastAsia="zh-CN" w:bidi="ar-SA"/>
              </w:rPr>
            </w:pPr>
          </w:p>
        </w:tc>
        <w:tc>
          <w:tcPr>
            <w:tcW w:w="345" w:type="pct"/>
            <w:tcBorders>
              <w:tl2br w:val="nil"/>
              <w:tr2bl w:val="nil"/>
            </w:tcBorders>
            <w:noWrap w:val="0"/>
            <w:vAlign w:val="center"/>
          </w:tcPr>
          <w:p w14:paraId="1764CD9D">
            <w:pPr>
              <w:bidi w:val="0"/>
              <w:jc w:val="center"/>
              <w:rPr>
                <w:rFonts w:hint="eastAsia" w:ascii="Times New Roman" w:hAnsi="Times New Roman" w:eastAsia="宋体" w:cs="Times New Roman"/>
                <w:color w:val="auto"/>
                <w:kern w:val="2"/>
                <w:sz w:val="21"/>
                <w:szCs w:val="21"/>
                <w:lang w:val="en-US" w:eastAsia="zh-CN" w:bidi="ar-SA"/>
              </w:rPr>
            </w:pPr>
          </w:p>
        </w:tc>
        <w:tc>
          <w:tcPr>
            <w:tcW w:w="407" w:type="pct"/>
            <w:tcBorders>
              <w:tl2br w:val="nil"/>
              <w:tr2bl w:val="nil"/>
            </w:tcBorders>
            <w:noWrap w:val="0"/>
            <w:vAlign w:val="center"/>
          </w:tcPr>
          <w:p w14:paraId="4692C5D3">
            <w:pPr>
              <w:bidi w:val="0"/>
              <w:jc w:val="center"/>
              <w:rPr>
                <w:rFonts w:hint="eastAsia" w:ascii="Times New Roman" w:hAnsi="Times New Roman" w:eastAsia="宋体" w:cs="Times New Roman"/>
                <w:color w:val="auto"/>
                <w:kern w:val="2"/>
                <w:sz w:val="21"/>
                <w:szCs w:val="21"/>
                <w:lang w:val="en-US" w:eastAsia="zh-CN" w:bidi="ar-SA"/>
              </w:rPr>
            </w:pPr>
          </w:p>
        </w:tc>
        <w:tc>
          <w:tcPr>
            <w:tcW w:w="365" w:type="pct"/>
            <w:tcBorders>
              <w:tl2br w:val="nil"/>
              <w:tr2bl w:val="nil"/>
            </w:tcBorders>
            <w:noWrap w:val="0"/>
            <w:vAlign w:val="center"/>
          </w:tcPr>
          <w:p w14:paraId="24459548">
            <w:pPr>
              <w:bidi w:val="0"/>
              <w:jc w:val="center"/>
              <w:rPr>
                <w:rFonts w:hint="eastAsia" w:ascii="Times New Roman" w:hAnsi="Times New Roman" w:eastAsia="宋体" w:cs="Times New Roman"/>
                <w:color w:val="auto"/>
                <w:kern w:val="2"/>
                <w:sz w:val="21"/>
                <w:szCs w:val="21"/>
                <w:lang w:val="en-US" w:eastAsia="zh-CN" w:bidi="ar-SA"/>
              </w:rPr>
            </w:pPr>
          </w:p>
        </w:tc>
        <w:tc>
          <w:tcPr>
            <w:tcW w:w="337" w:type="pct"/>
            <w:tcBorders>
              <w:tl2br w:val="nil"/>
              <w:tr2bl w:val="nil"/>
            </w:tcBorders>
            <w:noWrap w:val="0"/>
            <w:vAlign w:val="center"/>
          </w:tcPr>
          <w:p w14:paraId="73F95345">
            <w:pPr>
              <w:bidi w:val="0"/>
              <w:jc w:val="center"/>
              <w:rPr>
                <w:rFonts w:hint="eastAsia" w:ascii="Times New Roman" w:hAnsi="Times New Roman" w:eastAsia="宋体" w:cs="Times New Roman"/>
                <w:color w:val="auto"/>
                <w:kern w:val="2"/>
                <w:sz w:val="21"/>
                <w:szCs w:val="21"/>
                <w:lang w:val="en-US" w:eastAsia="zh-CN" w:bidi="ar-SA"/>
              </w:rPr>
            </w:pPr>
          </w:p>
        </w:tc>
        <w:tc>
          <w:tcPr>
            <w:tcW w:w="364" w:type="pct"/>
            <w:tcBorders>
              <w:tl2br w:val="nil"/>
              <w:tr2bl w:val="nil"/>
            </w:tcBorders>
            <w:noWrap w:val="0"/>
            <w:vAlign w:val="center"/>
          </w:tcPr>
          <w:p w14:paraId="00A05107">
            <w:pPr>
              <w:bidi w:val="0"/>
              <w:jc w:val="center"/>
              <w:rPr>
                <w:rFonts w:hint="eastAsia" w:ascii="Times New Roman" w:hAnsi="Times New Roman" w:eastAsia="宋体" w:cs="Times New Roman"/>
                <w:color w:val="auto"/>
                <w:kern w:val="2"/>
                <w:sz w:val="21"/>
                <w:szCs w:val="21"/>
                <w:lang w:val="en-US" w:eastAsia="zh-CN" w:bidi="ar-SA"/>
              </w:rPr>
            </w:pPr>
          </w:p>
        </w:tc>
        <w:tc>
          <w:tcPr>
            <w:tcW w:w="351" w:type="pct"/>
            <w:tcBorders>
              <w:tl2br w:val="nil"/>
              <w:tr2bl w:val="nil"/>
            </w:tcBorders>
            <w:noWrap w:val="0"/>
            <w:vAlign w:val="center"/>
          </w:tcPr>
          <w:p w14:paraId="6CDC49C4">
            <w:pPr>
              <w:bidi w:val="0"/>
              <w:jc w:val="center"/>
              <w:rPr>
                <w:rFonts w:hint="default" w:ascii="Times New Roman" w:hAnsi="Times New Roman" w:eastAsia="宋体" w:cs="Times New Roman"/>
                <w:color w:val="auto"/>
                <w:kern w:val="2"/>
                <w:sz w:val="21"/>
                <w:szCs w:val="21"/>
                <w:lang w:val="en-US" w:eastAsia="zh-CN" w:bidi="ar-SA"/>
              </w:rPr>
            </w:pPr>
          </w:p>
        </w:tc>
        <w:tc>
          <w:tcPr>
            <w:tcW w:w="500" w:type="pct"/>
            <w:tcBorders>
              <w:tl2br w:val="nil"/>
              <w:tr2bl w:val="nil"/>
            </w:tcBorders>
            <w:noWrap w:val="0"/>
            <w:vAlign w:val="center"/>
          </w:tcPr>
          <w:p w14:paraId="478DE07D">
            <w:pPr>
              <w:bidi w:val="0"/>
              <w:jc w:val="center"/>
              <w:rPr>
                <w:rFonts w:hint="default" w:ascii="Times New Roman" w:hAnsi="Times New Roman" w:eastAsia="宋体" w:cs="Times New Roman"/>
                <w:color w:val="auto"/>
                <w:kern w:val="2"/>
                <w:sz w:val="21"/>
                <w:szCs w:val="21"/>
                <w:lang w:val="en-US" w:eastAsia="zh-CN" w:bidi="ar-SA"/>
              </w:rPr>
            </w:pPr>
          </w:p>
        </w:tc>
        <w:tc>
          <w:tcPr>
            <w:tcW w:w="374" w:type="pct"/>
            <w:vMerge w:val="continue"/>
            <w:tcBorders>
              <w:tl2br w:val="nil"/>
              <w:tr2bl w:val="nil"/>
            </w:tcBorders>
            <w:noWrap w:val="0"/>
            <w:vAlign w:val="center"/>
          </w:tcPr>
          <w:p w14:paraId="048DB4D4">
            <w:pPr>
              <w:bidi w:val="0"/>
              <w:rPr>
                <w:rFonts w:hint="default" w:ascii="Times New Roman" w:hAnsi="Times New Roman" w:eastAsia="宋体" w:cs="Times New Roman"/>
                <w:color w:val="auto"/>
                <w:sz w:val="21"/>
                <w:szCs w:val="21"/>
              </w:rPr>
            </w:pPr>
          </w:p>
        </w:tc>
        <w:tc>
          <w:tcPr>
            <w:tcW w:w="375" w:type="pct"/>
            <w:tcBorders>
              <w:tl2br w:val="nil"/>
              <w:tr2bl w:val="nil"/>
            </w:tcBorders>
            <w:noWrap w:val="0"/>
            <w:vAlign w:val="center"/>
          </w:tcPr>
          <w:p w14:paraId="4E3676BA">
            <w:pPr>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达标</w:t>
            </w:r>
          </w:p>
        </w:tc>
      </w:tr>
      <w:tr w14:paraId="685115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266" w:type="pct"/>
            <w:tcBorders>
              <w:tl2br w:val="nil"/>
              <w:tr2bl w:val="nil"/>
            </w:tcBorders>
            <w:noWrap w:val="0"/>
            <w:vAlign w:val="center"/>
          </w:tcPr>
          <w:p w14:paraId="696D92C4">
            <w:pPr>
              <w:bidi w:val="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6</w:t>
            </w:r>
          </w:p>
        </w:tc>
        <w:tc>
          <w:tcPr>
            <w:tcW w:w="365" w:type="pct"/>
            <w:vMerge w:val="continue"/>
            <w:tcBorders>
              <w:tl2br w:val="nil"/>
              <w:tr2bl w:val="nil"/>
            </w:tcBorders>
            <w:noWrap w:val="0"/>
            <w:vAlign w:val="center"/>
          </w:tcPr>
          <w:p w14:paraId="0C29FE69">
            <w:pPr>
              <w:bidi w:val="0"/>
              <w:jc w:val="center"/>
              <w:rPr>
                <w:rFonts w:hint="default" w:ascii="Times New Roman" w:hAnsi="Times New Roman" w:eastAsia="宋体" w:cs="Times New Roman"/>
                <w:color w:val="auto"/>
                <w:sz w:val="21"/>
                <w:szCs w:val="21"/>
                <w:lang w:val="en-US" w:eastAsia="zh-CN"/>
              </w:rPr>
            </w:pPr>
          </w:p>
        </w:tc>
        <w:tc>
          <w:tcPr>
            <w:tcW w:w="572" w:type="pct"/>
            <w:tcBorders>
              <w:tl2br w:val="nil"/>
              <w:tr2bl w:val="nil"/>
            </w:tcBorders>
            <w:noWrap w:val="0"/>
            <w:vAlign w:val="center"/>
          </w:tcPr>
          <w:p w14:paraId="2B60BA30">
            <w:pPr>
              <w:bidi w:val="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1.5-3m</w:t>
            </w:r>
          </w:p>
        </w:tc>
        <w:tc>
          <w:tcPr>
            <w:tcW w:w="375" w:type="pct"/>
            <w:tcBorders>
              <w:tl2br w:val="nil"/>
              <w:tr2bl w:val="nil"/>
            </w:tcBorders>
            <w:noWrap w:val="0"/>
            <w:vAlign w:val="center"/>
          </w:tcPr>
          <w:p w14:paraId="23B0E191">
            <w:pPr>
              <w:bidi w:val="0"/>
              <w:jc w:val="center"/>
              <w:rPr>
                <w:rFonts w:hint="eastAsia" w:ascii="Times New Roman" w:hAnsi="Times New Roman" w:eastAsia="宋体" w:cs="Times New Roman"/>
                <w:color w:val="auto"/>
                <w:kern w:val="2"/>
                <w:sz w:val="21"/>
                <w:szCs w:val="21"/>
                <w:lang w:val="en-US" w:eastAsia="zh-CN" w:bidi="ar-SA"/>
              </w:rPr>
            </w:pPr>
          </w:p>
        </w:tc>
        <w:tc>
          <w:tcPr>
            <w:tcW w:w="345" w:type="pct"/>
            <w:tcBorders>
              <w:tl2br w:val="nil"/>
              <w:tr2bl w:val="nil"/>
            </w:tcBorders>
            <w:noWrap w:val="0"/>
            <w:vAlign w:val="center"/>
          </w:tcPr>
          <w:p w14:paraId="0849EA21">
            <w:pPr>
              <w:bidi w:val="0"/>
              <w:jc w:val="center"/>
              <w:rPr>
                <w:rFonts w:hint="eastAsia" w:ascii="Times New Roman" w:hAnsi="Times New Roman" w:eastAsia="宋体" w:cs="Times New Roman"/>
                <w:color w:val="auto"/>
                <w:kern w:val="2"/>
                <w:sz w:val="21"/>
                <w:szCs w:val="21"/>
                <w:lang w:val="en-US" w:eastAsia="zh-CN" w:bidi="ar-SA"/>
              </w:rPr>
            </w:pPr>
          </w:p>
        </w:tc>
        <w:tc>
          <w:tcPr>
            <w:tcW w:w="407" w:type="pct"/>
            <w:tcBorders>
              <w:tl2br w:val="nil"/>
              <w:tr2bl w:val="nil"/>
            </w:tcBorders>
            <w:noWrap w:val="0"/>
            <w:vAlign w:val="center"/>
          </w:tcPr>
          <w:p w14:paraId="7F6833AA">
            <w:pPr>
              <w:bidi w:val="0"/>
              <w:jc w:val="center"/>
              <w:rPr>
                <w:rFonts w:hint="eastAsia" w:ascii="Times New Roman" w:hAnsi="Times New Roman" w:eastAsia="宋体" w:cs="Times New Roman"/>
                <w:color w:val="auto"/>
                <w:kern w:val="2"/>
                <w:sz w:val="21"/>
                <w:szCs w:val="21"/>
                <w:lang w:val="en-US" w:eastAsia="zh-CN" w:bidi="ar-SA"/>
              </w:rPr>
            </w:pPr>
          </w:p>
        </w:tc>
        <w:tc>
          <w:tcPr>
            <w:tcW w:w="365" w:type="pct"/>
            <w:tcBorders>
              <w:tl2br w:val="nil"/>
              <w:tr2bl w:val="nil"/>
            </w:tcBorders>
            <w:noWrap w:val="0"/>
            <w:vAlign w:val="center"/>
          </w:tcPr>
          <w:p w14:paraId="0A5F4F67">
            <w:pPr>
              <w:bidi w:val="0"/>
              <w:jc w:val="center"/>
              <w:rPr>
                <w:rFonts w:hint="eastAsia" w:ascii="Times New Roman" w:hAnsi="Times New Roman" w:eastAsia="宋体" w:cs="Times New Roman"/>
                <w:color w:val="auto"/>
                <w:kern w:val="2"/>
                <w:sz w:val="21"/>
                <w:szCs w:val="21"/>
                <w:lang w:val="en-US" w:eastAsia="zh-CN" w:bidi="ar-SA"/>
              </w:rPr>
            </w:pPr>
          </w:p>
        </w:tc>
        <w:tc>
          <w:tcPr>
            <w:tcW w:w="337" w:type="pct"/>
            <w:tcBorders>
              <w:tl2br w:val="nil"/>
              <w:tr2bl w:val="nil"/>
            </w:tcBorders>
            <w:noWrap w:val="0"/>
            <w:vAlign w:val="center"/>
          </w:tcPr>
          <w:p w14:paraId="3618F640">
            <w:pPr>
              <w:bidi w:val="0"/>
              <w:jc w:val="center"/>
              <w:rPr>
                <w:rFonts w:hint="eastAsia" w:ascii="Times New Roman" w:hAnsi="Times New Roman" w:eastAsia="宋体" w:cs="Times New Roman"/>
                <w:color w:val="auto"/>
                <w:kern w:val="2"/>
                <w:sz w:val="21"/>
                <w:szCs w:val="21"/>
                <w:lang w:val="en-US" w:eastAsia="zh-CN" w:bidi="ar-SA"/>
              </w:rPr>
            </w:pPr>
          </w:p>
        </w:tc>
        <w:tc>
          <w:tcPr>
            <w:tcW w:w="364" w:type="pct"/>
            <w:tcBorders>
              <w:tl2br w:val="nil"/>
              <w:tr2bl w:val="nil"/>
            </w:tcBorders>
            <w:noWrap w:val="0"/>
            <w:vAlign w:val="center"/>
          </w:tcPr>
          <w:p w14:paraId="26D2C0F4">
            <w:pPr>
              <w:bidi w:val="0"/>
              <w:jc w:val="center"/>
              <w:rPr>
                <w:rFonts w:hint="eastAsia" w:ascii="Times New Roman" w:hAnsi="Times New Roman" w:eastAsia="宋体" w:cs="Times New Roman"/>
                <w:color w:val="auto"/>
                <w:kern w:val="2"/>
                <w:sz w:val="21"/>
                <w:szCs w:val="21"/>
                <w:lang w:val="en-US" w:eastAsia="zh-CN" w:bidi="ar-SA"/>
              </w:rPr>
            </w:pPr>
          </w:p>
        </w:tc>
        <w:tc>
          <w:tcPr>
            <w:tcW w:w="351" w:type="pct"/>
            <w:tcBorders>
              <w:tl2br w:val="nil"/>
              <w:tr2bl w:val="nil"/>
            </w:tcBorders>
            <w:noWrap w:val="0"/>
            <w:vAlign w:val="center"/>
          </w:tcPr>
          <w:p w14:paraId="332C4BAD">
            <w:pPr>
              <w:bidi w:val="0"/>
              <w:jc w:val="center"/>
              <w:rPr>
                <w:rFonts w:hint="default" w:ascii="Times New Roman" w:hAnsi="Times New Roman" w:eastAsia="宋体" w:cs="Times New Roman"/>
                <w:color w:val="auto"/>
                <w:kern w:val="2"/>
                <w:sz w:val="21"/>
                <w:szCs w:val="21"/>
                <w:lang w:val="en-US" w:eastAsia="zh-CN" w:bidi="ar-SA"/>
              </w:rPr>
            </w:pPr>
          </w:p>
        </w:tc>
        <w:tc>
          <w:tcPr>
            <w:tcW w:w="500" w:type="pct"/>
            <w:tcBorders>
              <w:tl2br w:val="nil"/>
              <w:tr2bl w:val="nil"/>
            </w:tcBorders>
            <w:noWrap w:val="0"/>
            <w:vAlign w:val="center"/>
          </w:tcPr>
          <w:p w14:paraId="2DD30F86">
            <w:pPr>
              <w:bidi w:val="0"/>
              <w:jc w:val="center"/>
              <w:rPr>
                <w:rFonts w:hint="default" w:ascii="Times New Roman" w:hAnsi="Times New Roman" w:eastAsia="宋体" w:cs="Times New Roman"/>
                <w:color w:val="auto"/>
                <w:kern w:val="2"/>
                <w:sz w:val="21"/>
                <w:szCs w:val="21"/>
                <w:lang w:val="en-US" w:eastAsia="zh-CN" w:bidi="ar-SA"/>
              </w:rPr>
            </w:pPr>
          </w:p>
        </w:tc>
        <w:tc>
          <w:tcPr>
            <w:tcW w:w="374" w:type="pct"/>
            <w:vMerge w:val="continue"/>
            <w:tcBorders>
              <w:tl2br w:val="nil"/>
              <w:tr2bl w:val="nil"/>
            </w:tcBorders>
            <w:noWrap w:val="0"/>
            <w:vAlign w:val="center"/>
          </w:tcPr>
          <w:p w14:paraId="22CBC3A1">
            <w:pPr>
              <w:bidi w:val="0"/>
              <w:rPr>
                <w:rFonts w:hint="default" w:ascii="Times New Roman" w:hAnsi="Times New Roman" w:eastAsia="宋体" w:cs="Times New Roman"/>
                <w:color w:val="auto"/>
                <w:sz w:val="21"/>
                <w:szCs w:val="21"/>
              </w:rPr>
            </w:pPr>
          </w:p>
        </w:tc>
        <w:tc>
          <w:tcPr>
            <w:tcW w:w="375" w:type="pct"/>
            <w:tcBorders>
              <w:tl2br w:val="nil"/>
              <w:tr2bl w:val="nil"/>
            </w:tcBorders>
            <w:noWrap w:val="0"/>
            <w:vAlign w:val="center"/>
          </w:tcPr>
          <w:p w14:paraId="4BF492CA">
            <w:pPr>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达标</w:t>
            </w:r>
          </w:p>
        </w:tc>
      </w:tr>
    </w:tbl>
    <w:p w14:paraId="1A908A81">
      <w:pPr>
        <w:pStyle w:val="61"/>
        <w:bidi w:val="0"/>
        <w:jc w:val="both"/>
        <w:rPr>
          <w:rFonts w:hint="eastAsia"/>
          <w:color w:val="auto"/>
          <w:lang w:val="en-US" w:eastAsia="zh-CN"/>
        </w:rPr>
      </w:pPr>
      <w:r>
        <w:rPr>
          <w:rFonts w:hint="eastAsia"/>
          <w:color w:val="auto"/>
          <w:lang w:val="en-US" w:eastAsia="zh-CN"/>
        </w:rPr>
        <w:t>表4.5-6  占地范围外表层样土壤监测及评价结果</w:t>
      </w:r>
    </w:p>
    <w:tbl>
      <w:tblPr>
        <w:tblStyle w:val="36"/>
        <w:tblW w:w="4998"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742"/>
        <w:gridCol w:w="1855"/>
        <w:gridCol w:w="1238"/>
        <w:gridCol w:w="1261"/>
        <w:gridCol w:w="1238"/>
        <w:gridCol w:w="1238"/>
        <w:gridCol w:w="1258"/>
      </w:tblGrid>
      <w:tr w14:paraId="2B2AD2A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2885" w:type="pct"/>
            <w:gridSpan w:val="4"/>
            <w:tcBorders>
              <w:tl2br w:val="nil"/>
              <w:tr2bl w:val="nil"/>
            </w:tcBorders>
            <w:shd w:val="clear" w:color="auto" w:fill="auto"/>
            <w:noWrap/>
            <w:vAlign w:val="center"/>
          </w:tcPr>
          <w:p w14:paraId="1C1590E7">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r>
              <w:rPr>
                <w:color w:val="auto"/>
                <w:sz w:val="21"/>
                <w:szCs w:val="21"/>
                <w:highlight w:val="none"/>
              </w:rPr>
              <w:t>监测点位</w:t>
            </w:r>
          </w:p>
        </w:tc>
        <w:tc>
          <w:tcPr>
            <w:tcW w:w="2114" w:type="pct"/>
            <w:gridSpan w:val="3"/>
            <w:tcBorders>
              <w:tl2br w:val="nil"/>
              <w:tr2bl w:val="nil"/>
            </w:tcBorders>
            <w:shd w:val="clear" w:color="auto" w:fill="auto"/>
            <w:noWrap/>
            <w:vAlign w:val="center"/>
          </w:tcPr>
          <w:p w14:paraId="08B76DBA">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雄英102井</w:t>
            </w:r>
          </w:p>
        </w:tc>
      </w:tr>
      <w:tr w14:paraId="5FE2640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2885" w:type="pct"/>
            <w:gridSpan w:val="4"/>
            <w:tcBorders>
              <w:tl2br w:val="nil"/>
              <w:tr2bl w:val="nil"/>
            </w:tcBorders>
            <w:shd w:val="clear" w:color="auto" w:fill="auto"/>
            <w:noWrap/>
            <w:vAlign w:val="center"/>
          </w:tcPr>
          <w:p w14:paraId="1243FD98">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r>
              <w:rPr>
                <w:color w:val="auto"/>
                <w:sz w:val="21"/>
                <w:szCs w:val="21"/>
                <w:highlight w:val="none"/>
              </w:rPr>
              <w:t>采样深度</w:t>
            </w:r>
          </w:p>
        </w:tc>
        <w:tc>
          <w:tcPr>
            <w:tcW w:w="2114" w:type="pct"/>
            <w:gridSpan w:val="3"/>
            <w:tcBorders>
              <w:tl2br w:val="nil"/>
              <w:tr2bl w:val="nil"/>
            </w:tcBorders>
            <w:shd w:val="clear" w:color="auto" w:fill="auto"/>
            <w:noWrap/>
            <w:vAlign w:val="center"/>
          </w:tcPr>
          <w:p w14:paraId="020FCCB4">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r>
              <w:rPr>
                <w:color w:val="auto"/>
                <w:sz w:val="21"/>
                <w:szCs w:val="21"/>
                <w:highlight w:val="none"/>
              </w:rPr>
              <w:t>0-20cm</w:t>
            </w:r>
          </w:p>
        </w:tc>
      </w:tr>
      <w:tr w14:paraId="061C682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420" w:type="pct"/>
            <w:tcBorders>
              <w:tl2br w:val="nil"/>
              <w:tr2bl w:val="nil"/>
            </w:tcBorders>
            <w:shd w:val="clear" w:color="auto" w:fill="auto"/>
            <w:noWrap w:val="0"/>
            <w:vAlign w:val="center"/>
          </w:tcPr>
          <w:p w14:paraId="5322101E">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rPr>
            </w:pPr>
            <w:r>
              <w:rPr>
                <w:color w:val="auto"/>
                <w:sz w:val="21"/>
                <w:szCs w:val="21"/>
              </w:rPr>
              <w:t>序号</w:t>
            </w:r>
          </w:p>
        </w:tc>
        <w:tc>
          <w:tcPr>
            <w:tcW w:w="1050" w:type="pct"/>
            <w:tcBorders>
              <w:tl2br w:val="nil"/>
              <w:tr2bl w:val="nil"/>
            </w:tcBorders>
            <w:shd w:val="clear" w:color="auto" w:fill="auto"/>
            <w:noWrap w:val="0"/>
            <w:vAlign w:val="center"/>
          </w:tcPr>
          <w:p w14:paraId="0F8A87B3">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rPr>
            </w:pPr>
            <w:r>
              <w:rPr>
                <w:color w:val="auto"/>
                <w:sz w:val="21"/>
                <w:szCs w:val="21"/>
              </w:rPr>
              <w:t>检测项目</w:t>
            </w:r>
          </w:p>
        </w:tc>
        <w:tc>
          <w:tcPr>
            <w:tcW w:w="701" w:type="pct"/>
            <w:tcBorders>
              <w:tl2br w:val="nil"/>
              <w:tr2bl w:val="nil"/>
            </w:tcBorders>
            <w:shd w:val="clear" w:color="auto" w:fill="auto"/>
            <w:noWrap w:val="0"/>
            <w:vAlign w:val="center"/>
          </w:tcPr>
          <w:p w14:paraId="30C347CD">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rPr>
            </w:pPr>
            <w:r>
              <w:rPr>
                <w:color w:val="auto"/>
                <w:sz w:val="21"/>
                <w:szCs w:val="21"/>
              </w:rPr>
              <w:t>单位</w:t>
            </w:r>
          </w:p>
        </w:tc>
        <w:tc>
          <w:tcPr>
            <w:tcW w:w="713" w:type="pct"/>
            <w:tcBorders>
              <w:tl2br w:val="nil"/>
              <w:tr2bl w:val="nil"/>
            </w:tcBorders>
            <w:shd w:val="clear" w:color="auto" w:fill="auto"/>
            <w:noWrap w:val="0"/>
            <w:vAlign w:val="center"/>
          </w:tcPr>
          <w:p w14:paraId="160BD66B">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rPr>
            </w:pPr>
            <w:r>
              <w:rPr>
                <w:color w:val="auto"/>
                <w:sz w:val="21"/>
                <w:szCs w:val="21"/>
              </w:rPr>
              <w:t>筛选值（pH＞7.5）</w:t>
            </w:r>
          </w:p>
        </w:tc>
        <w:tc>
          <w:tcPr>
            <w:tcW w:w="701" w:type="pct"/>
            <w:tcBorders>
              <w:tl2br w:val="nil"/>
              <w:tr2bl w:val="nil"/>
            </w:tcBorders>
            <w:shd w:val="clear" w:color="auto" w:fill="auto"/>
            <w:noWrap w:val="0"/>
            <w:vAlign w:val="center"/>
          </w:tcPr>
          <w:p w14:paraId="09A7A936">
            <w:pPr>
              <w:pStyle w:val="145"/>
              <w:keepNext w:val="0"/>
              <w:keepLines w:val="0"/>
              <w:pageBreakBefore w:val="0"/>
              <w:widowControl/>
              <w:kinsoku/>
              <w:wordWrap/>
              <w:overflowPunct/>
              <w:topLinePunct w:val="0"/>
              <w:autoSpaceDE/>
              <w:autoSpaceDN/>
              <w:bidi w:val="0"/>
              <w:adjustRightInd/>
              <w:snapToGrid w:val="0"/>
              <w:spacing w:after="0"/>
              <w:textAlignment w:val="auto"/>
              <w:rPr>
                <w:rFonts w:hint="eastAsia"/>
                <w:color w:val="auto"/>
                <w:sz w:val="21"/>
                <w:szCs w:val="21"/>
              </w:rPr>
            </w:pPr>
            <w:r>
              <w:rPr>
                <w:color w:val="auto"/>
                <w:sz w:val="21"/>
                <w:szCs w:val="21"/>
              </w:rPr>
              <w:t>监测</w:t>
            </w:r>
            <w:r>
              <w:rPr>
                <w:rFonts w:hint="eastAsia"/>
                <w:color w:val="auto"/>
                <w:sz w:val="21"/>
                <w:szCs w:val="21"/>
              </w:rPr>
              <w:t>结果</w:t>
            </w:r>
          </w:p>
        </w:tc>
        <w:tc>
          <w:tcPr>
            <w:tcW w:w="701" w:type="pct"/>
            <w:tcBorders>
              <w:tl2br w:val="nil"/>
              <w:tr2bl w:val="nil"/>
            </w:tcBorders>
            <w:shd w:val="clear" w:color="auto" w:fill="auto"/>
            <w:noWrap w:val="0"/>
            <w:vAlign w:val="center"/>
          </w:tcPr>
          <w:p w14:paraId="4CA326A5">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rPr>
            </w:pPr>
            <w:r>
              <w:rPr>
                <w:color w:val="auto"/>
                <w:sz w:val="21"/>
                <w:szCs w:val="21"/>
              </w:rPr>
              <w:t>P</w:t>
            </w:r>
            <w:r>
              <w:rPr>
                <w:color w:val="auto"/>
                <w:sz w:val="21"/>
                <w:szCs w:val="21"/>
                <w:vertAlign w:val="subscript"/>
              </w:rPr>
              <w:t>i</w:t>
            </w:r>
          </w:p>
        </w:tc>
        <w:tc>
          <w:tcPr>
            <w:tcW w:w="710" w:type="pct"/>
            <w:tcBorders>
              <w:tl2br w:val="nil"/>
              <w:tr2bl w:val="nil"/>
            </w:tcBorders>
            <w:shd w:val="clear" w:color="auto" w:fill="auto"/>
            <w:noWrap w:val="0"/>
            <w:vAlign w:val="center"/>
          </w:tcPr>
          <w:p w14:paraId="4367E441">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rPr>
            </w:pPr>
            <w:r>
              <w:rPr>
                <w:color w:val="auto"/>
                <w:sz w:val="21"/>
                <w:szCs w:val="21"/>
              </w:rPr>
              <w:t>达标情况</w:t>
            </w:r>
          </w:p>
        </w:tc>
      </w:tr>
      <w:tr w14:paraId="3392F5D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20" w:type="pct"/>
            <w:tcBorders>
              <w:tl2br w:val="nil"/>
              <w:tr2bl w:val="nil"/>
            </w:tcBorders>
            <w:shd w:val="clear" w:color="auto" w:fill="auto"/>
            <w:noWrap w:val="0"/>
            <w:vAlign w:val="center"/>
          </w:tcPr>
          <w:p w14:paraId="35E1735D">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r>
              <w:rPr>
                <w:color w:val="auto"/>
                <w:sz w:val="21"/>
                <w:szCs w:val="21"/>
                <w:highlight w:val="none"/>
              </w:rPr>
              <w:t>1</w:t>
            </w:r>
          </w:p>
        </w:tc>
        <w:tc>
          <w:tcPr>
            <w:tcW w:w="1050" w:type="pct"/>
            <w:tcBorders>
              <w:tl2br w:val="nil"/>
              <w:tr2bl w:val="nil"/>
            </w:tcBorders>
            <w:shd w:val="clear" w:color="auto" w:fill="auto"/>
            <w:noWrap w:val="0"/>
            <w:vAlign w:val="center"/>
          </w:tcPr>
          <w:p w14:paraId="2308FF4A">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r>
              <w:rPr>
                <w:color w:val="auto"/>
                <w:sz w:val="21"/>
                <w:szCs w:val="21"/>
                <w:highlight w:val="none"/>
              </w:rPr>
              <w:t>pH值</w:t>
            </w:r>
          </w:p>
        </w:tc>
        <w:tc>
          <w:tcPr>
            <w:tcW w:w="701" w:type="pct"/>
            <w:tcBorders>
              <w:tl2br w:val="nil"/>
              <w:tr2bl w:val="nil"/>
            </w:tcBorders>
            <w:shd w:val="clear" w:color="auto" w:fill="auto"/>
            <w:noWrap w:val="0"/>
            <w:vAlign w:val="center"/>
          </w:tcPr>
          <w:p w14:paraId="381FD555">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r>
              <w:rPr>
                <w:color w:val="auto"/>
                <w:sz w:val="21"/>
                <w:szCs w:val="21"/>
                <w:highlight w:val="none"/>
              </w:rPr>
              <w:t>无量纲</w:t>
            </w:r>
          </w:p>
        </w:tc>
        <w:tc>
          <w:tcPr>
            <w:tcW w:w="713" w:type="pct"/>
            <w:tcBorders>
              <w:tl2br w:val="nil"/>
              <w:tr2bl w:val="nil"/>
            </w:tcBorders>
            <w:shd w:val="clear" w:color="auto" w:fill="auto"/>
            <w:noWrap w:val="0"/>
            <w:vAlign w:val="center"/>
          </w:tcPr>
          <w:p w14:paraId="3E9543B3">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highlight w:val="none"/>
                <w:lang w:val="en-US" w:eastAsia="zh-CN"/>
              </w:rPr>
            </w:pPr>
          </w:p>
        </w:tc>
        <w:tc>
          <w:tcPr>
            <w:tcW w:w="701" w:type="pct"/>
            <w:tcBorders>
              <w:tl2br w:val="nil"/>
              <w:tr2bl w:val="nil"/>
            </w:tcBorders>
            <w:shd w:val="clear" w:color="auto" w:fill="auto"/>
            <w:noWrap w:val="0"/>
            <w:vAlign w:val="center"/>
          </w:tcPr>
          <w:p w14:paraId="6D7A6EDB">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highlight w:val="none"/>
                <w:lang w:val="en-US" w:eastAsia="zh-CN"/>
              </w:rPr>
            </w:pPr>
          </w:p>
        </w:tc>
        <w:tc>
          <w:tcPr>
            <w:tcW w:w="701" w:type="pct"/>
            <w:tcBorders>
              <w:tl2br w:val="nil"/>
              <w:tr2bl w:val="nil"/>
            </w:tcBorders>
            <w:shd w:val="clear" w:color="auto" w:fill="auto"/>
            <w:noWrap w:val="0"/>
            <w:vAlign w:val="center"/>
          </w:tcPr>
          <w:p w14:paraId="754309FD">
            <w:pPr>
              <w:pStyle w:val="145"/>
              <w:keepNext w:val="0"/>
              <w:keepLines w:val="0"/>
              <w:pageBreakBefore w:val="0"/>
              <w:widowControl/>
              <w:kinsoku/>
              <w:wordWrap/>
              <w:overflowPunct/>
              <w:topLinePunct w:val="0"/>
              <w:autoSpaceDE/>
              <w:autoSpaceDN/>
              <w:bidi w:val="0"/>
              <w:adjustRightInd/>
              <w:snapToGrid w:val="0"/>
              <w:spacing w:after="0"/>
              <w:textAlignment w:val="auto"/>
              <w:rPr>
                <w:rFonts w:hint="eastAsia" w:eastAsia="宋体"/>
                <w:color w:val="auto"/>
                <w:sz w:val="21"/>
                <w:szCs w:val="21"/>
                <w:highlight w:val="none"/>
                <w:lang w:val="en-US" w:eastAsia="zh-CN"/>
              </w:rPr>
            </w:pPr>
          </w:p>
        </w:tc>
        <w:tc>
          <w:tcPr>
            <w:tcW w:w="710" w:type="pct"/>
            <w:tcBorders>
              <w:tl2br w:val="nil"/>
              <w:tr2bl w:val="nil"/>
            </w:tcBorders>
            <w:shd w:val="clear" w:color="auto" w:fill="auto"/>
            <w:noWrap w:val="0"/>
            <w:vAlign w:val="center"/>
          </w:tcPr>
          <w:p w14:paraId="47521E43">
            <w:pPr>
              <w:pStyle w:val="145"/>
              <w:keepNext w:val="0"/>
              <w:keepLines w:val="0"/>
              <w:pageBreakBefore w:val="0"/>
              <w:widowControl/>
              <w:kinsoku/>
              <w:wordWrap/>
              <w:overflowPunct/>
              <w:topLinePunct w:val="0"/>
              <w:autoSpaceDE/>
              <w:autoSpaceDN/>
              <w:bidi w:val="0"/>
              <w:adjustRightInd/>
              <w:snapToGrid w:val="0"/>
              <w:spacing w:after="0"/>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r>
      <w:tr w14:paraId="6AAE1E5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20" w:type="pct"/>
            <w:tcBorders>
              <w:tl2br w:val="nil"/>
              <w:tr2bl w:val="nil"/>
            </w:tcBorders>
            <w:shd w:val="clear" w:color="auto" w:fill="auto"/>
            <w:noWrap w:val="0"/>
            <w:vAlign w:val="center"/>
          </w:tcPr>
          <w:p w14:paraId="5703266E">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r>
              <w:rPr>
                <w:color w:val="auto"/>
                <w:sz w:val="21"/>
                <w:szCs w:val="21"/>
                <w:highlight w:val="none"/>
              </w:rPr>
              <w:t>2</w:t>
            </w:r>
          </w:p>
        </w:tc>
        <w:tc>
          <w:tcPr>
            <w:tcW w:w="1050" w:type="pct"/>
            <w:tcBorders>
              <w:tl2br w:val="nil"/>
              <w:tr2bl w:val="nil"/>
            </w:tcBorders>
            <w:shd w:val="clear" w:color="auto" w:fill="auto"/>
            <w:noWrap w:val="0"/>
            <w:vAlign w:val="center"/>
          </w:tcPr>
          <w:p w14:paraId="5DE83F7A">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r>
              <w:rPr>
                <w:color w:val="auto"/>
                <w:sz w:val="21"/>
                <w:szCs w:val="21"/>
                <w:highlight w:val="none"/>
              </w:rPr>
              <w:t>镉</w:t>
            </w:r>
          </w:p>
        </w:tc>
        <w:tc>
          <w:tcPr>
            <w:tcW w:w="701" w:type="pct"/>
            <w:tcBorders>
              <w:tl2br w:val="nil"/>
              <w:tr2bl w:val="nil"/>
            </w:tcBorders>
            <w:shd w:val="clear" w:color="auto" w:fill="auto"/>
            <w:noWrap w:val="0"/>
            <w:vAlign w:val="center"/>
          </w:tcPr>
          <w:p w14:paraId="47DE1CE1">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r>
              <w:rPr>
                <w:color w:val="auto"/>
                <w:sz w:val="21"/>
                <w:szCs w:val="21"/>
                <w:highlight w:val="none"/>
              </w:rPr>
              <w:t>mg/kg</w:t>
            </w:r>
          </w:p>
        </w:tc>
        <w:tc>
          <w:tcPr>
            <w:tcW w:w="713" w:type="pct"/>
            <w:tcBorders>
              <w:tl2br w:val="nil"/>
              <w:tr2bl w:val="nil"/>
            </w:tcBorders>
            <w:shd w:val="clear" w:color="auto" w:fill="auto"/>
            <w:noWrap/>
            <w:vAlign w:val="center"/>
          </w:tcPr>
          <w:p w14:paraId="2C50E194">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p>
        </w:tc>
        <w:tc>
          <w:tcPr>
            <w:tcW w:w="701" w:type="pct"/>
            <w:tcBorders>
              <w:tl2br w:val="nil"/>
              <w:tr2bl w:val="nil"/>
            </w:tcBorders>
            <w:shd w:val="clear" w:color="auto" w:fill="auto"/>
            <w:noWrap w:val="0"/>
            <w:vAlign w:val="center"/>
          </w:tcPr>
          <w:p w14:paraId="019AC7A1">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highlight w:val="none"/>
                <w:lang w:val="en-US" w:eastAsia="zh-CN"/>
              </w:rPr>
            </w:pPr>
          </w:p>
        </w:tc>
        <w:tc>
          <w:tcPr>
            <w:tcW w:w="701" w:type="pct"/>
            <w:tcBorders>
              <w:tl2br w:val="nil"/>
              <w:tr2bl w:val="nil"/>
            </w:tcBorders>
            <w:shd w:val="clear" w:color="auto" w:fill="auto"/>
            <w:noWrap w:val="0"/>
            <w:vAlign w:val="center"/>
          </w:tcPr>
          <w:p w14:paraId="4AC0E11E">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highlight w:val="none"/>
                <w:lang w:val="en-US" w:eastAsia="zh-CN"/>
              </w:rPr>
            </w:pPr>
          </w:p>
        </w:tc>
        <w:tc>
          <w:tcPr>
            <w:tcW w:w="710" w:type="pct"/>
            <w:tcBorders>
              <w:tl2br w:val="nil"/>
              <w:tr2bl w:val="nil"/>
            </w:tcBorders>
            <w:shd w:val="clear" w:color="auto" w:fill="auto"/>
            <w:noWrap w:val="0"/>
            <w:vAlign w:val="center"/>
          </w:tcPr>
          <w:p w14:paraId="4B2AD563">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达标</w:t>
            </w:r>
          </w:p>
        </w:tc>
      </w:tr>
      <w:tr w14:paraId="224E4C8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20" w:type="pct"/>
            <w:tcBorders>
              <w:tl2br w:val="nil"/>
              <w:tr2bl w:val="nil"/>
            </w:tcBorders>
            <w:shd w:val="clear" w:color="auto" w:fill="auto"/>
            <w:noWrap w:val="0"/>
            <w:vAlign w:val="center"/>
          </w:tcPr>
          <w:p w14:paraId="46ABF417">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r>
              <w:rPr>
                <w:color w:val="auto"/>
                <w:sz w:val="21"/>
                <w:szCs w:val="21"/>
                <w:highlight w:val="none"/>
              </w:rPr>
              <w:t>3</w:t>
            </w:r>
          </w:p>
        </w:tc>
        <w:tc>
          <w:tcPr>
            <w:tcW w:w="1050" w:type="pct"/>
            <w:tcBorders>
              <w:tl2br w:val="nil"/>
              <w:tr2bl w:val="nil"/>
            </w:tcBorders>
            <w:shd w:val="clear" w:color="auto" w:fill="auto"/>
            <w:noWrap w:val="0"/>
            <w:vAlign w:val="center"/>
          </w:tcPr>
          <w:p w14:paraId="36A0888F">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r>
              <w:rPr>
                <w:color w:val="auto"/>
                <w:sz w:val="21"/>
                <w:szCs w:val="21"/>
                <w:highlight w:val="none"/>
              </w:rPr>
              <w:t>（总）汞</w:t>
            </w:r>
          </w:p>
        </w:tc>
        <w:tc>
          <w:tcPr>
            <w:tcW w:w="701" w:type="pct"/>
            <w:tcBorders>
              <w:tl2br w:val="nil"/>
              <w:tr2bl w:val="nil"/>
            </w:tcBorders>
            <w:shd w:val="clear" w:color="auto" w:fill="auto"/>
            <w:noWrap w:val="0"/>
            <w:vAlign w:val="center"/>
          </w:tcPr>
          <w:p w14:paraId="29DACD96">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r>
              <w:rPr>
                <w:color w:val="auto"/>
                <w:sz w:val="21"/>
                <w:szCs w:val="21"/>
                <w:highlight w:val="none"/>
              </w:rPr>
              <w:t>mg/kg</w:t>
            </w:r>
          </w:p>
        </w:tc>
        <w:tc>
          <w:tcPr>
            <w:tcW w:w="713" w:type="pct"/>
            <w:tcBorders>
              <w:tl2br w:val="nil"/>
              <w:tr2bl w:val="nil"/>
            </w:tcBorders>
            <w:shd w:val="clear" w:color="auto" w:fill="auto"/>
            <w:noWrap/>
            <w:vAlign w:val="center"/>
          </w:tcPr>
          <w:p w14:paraId="22203BAA">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p>
        </w:tc>
        <w:tc>
          <w:tcPr>
            <w:tcW w:w="701" w:type="pct"/>
            <w:tcBorders>
              <w:tl2br w:val="nil"/>
              <w:tr2bl w:val="nil"/>
            </w:tcBorders>
            <w:shd w:val="clear" w:color="auto" w:fill="auto"/>
            <w:noWrap w:val="0"/>
            <w:vAlign w:val="center"/>
          </w:tcPr>
          <w:p w14:paraId="43F055AE">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highlight w:val="none"/>
                <w:lang w:val="en-US" w:eastAsia="zh-CN"/>
              </w:rPr>
            </w:pPr>
          </w:p>
        </w:tc>
        <w:tc>
          <w:tcPr>
            <w:tcW w:w="701" w:type="pct"/>
            <w:tcBorders>
              <w:tl2br w:val="nil"/>
              <w:tr2bl w:val="nil"/>
            </w:tcBorders>
            <w:shd w:val="clear" w:color="auto" w:fill="auto"/>
            <w:noWrap w:val="0"/>
            <w:vAlign w:val="center"/>
          </w:tcPr>
          <w:p w14:paraId="4C592B78">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highlight w:val="none"/>
                <w:lang w:val="en-US" w:eastAsia="zh-CN"/>
              </w:rPr>
            </w:pPr>
          </w:p>
        </w:tc>
        <w:tc>
          <w:tcPr>
            <w:tcW w:w="710" w:type="pct"/>
            <w:tcBorders>
              <w:tl2br w:val="nil"/>
              <w:tr2bl w:val="nil"/>
            </w:tcBorders>
            <w:shd w:val="clear" w:color="auto" w:fill="auto"/>
            <w:noWrap w:val="0"/>
            <w:vAlign w:val="center"/>
          </w:tcPr>
          <w:p w14:paraId="762D68F8">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r>
              <w:rPr>
                <w:rFonts w:hint="eastAsia"/>
                <w:color w:val="auto"/>
                <w:sz w:val="21"/>
                <w:szCs w:val="21"/>
                <w:highlight w:val="none"/>
                <w:lang w:val="en-US" w:eastAsia="zh-CN"/>
              </w:rPr>
              <w:t>达标</w:t>
            </w:r>
          </w:p>
        </w:tc>
      </w:tr>
      <w:tr w14:paraId="24AA9B0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20" w:type="pct"/>
            <w:tcBorders>
              <w:tl2br w:val="nil"/>
              <w:tr2bl w:val="nil"/>
            </w:tcBorders>
            <w:shd w:val="clear" w:color="auto" w:fill="auto"/>
            <w:noWrap w:val="0"/>
            <w:vAlign w:val="center"/>
          </w:tcPr>
          <w:p w14:paraId="51B0D86D">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r>
              <w:rPr>
                <w:color w:val="auto"/>
                <w:sz w:val="21"/>
                <w:szCs w:val="21"/>
                <w:highlight w:val="none"/>
              </w:rPr>
              <w:t>4</w:t>
            </w:r>
          </w:p>
        </w:tc>
        <w:tc>
          <w:tcPr>
            <w:tcW w:w="1050" w:type="pct"/>
            <w:tcBorders>
              <w:tl2br w:val="nil"/>
              <w:tr2bl w:val="nil"/>
            </w:tcBorders>
            <w:shd w:val="clear" w:color="auto" w:fill="auto"/>
            <w:noWrap w:val="0"/>
            <w:vAlign w:val="center"/>
          </w:tcPr>
          <w:p w14:paraId="6938CFA6">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r>
              <w:rPr>
                <w:color w:val="auto"/>
                <w:sz w:val="21"/>
                <w:szCs w:val="21"/>
                <w:highlight w:val="none"/>
              </w:rPr>
              <w:t>（总）砷</w:t>
            </w:r>
          </w:p>
        </w:tc>
        <w:tc>
          <w:tcPr>
            <w:tcW w:w="701" w:type="pct"/>
            <w:tcBorders>
              <w:tl2br w:val="nil"/>
              <w:tr2bl w:val="nil"/>
            </w:tcBorders>
            <w:shd w:val="clear" w:color="auto" w:fill="auto"/>
            <w:noWrap w:val="0"/>
            <w:vAlign w:val="center"/>
          </w:tcPr>
          <w:p w14:paraId="02C60F62">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r>
              <w:rPr>
                <w:color w:val="auto"/>
                <w:sz w:val="21"/>
                <w:szCs w:val="21"/>
                <w:highlight w:val="none"/>
              </w:rPr>
              <w:t>mg/kg</w:t>
            </w:r>
          </w:p>
        </w:tc>
        <w:tc>
          <w:tcPr>
            <w:tcW w:w="713" w:type="pct"/>
            <w:tcBorders>
              <w:tl2br w:val="nil"/>
              <w:tr2bl w:val="nil"/>
            </w:tcBorders>
            <w:shd w:val="clear" w:color="auto" w:fill="auto"/>
            <w:noWrap/>
            <w:vAlign w:val="center"/>
          </w:tcPr>
          <w:p w14:paraId="4108F2A0">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p>
        </w:tc>
        <w:tc>
          <w:tcPr>
            <w:tcW w:w="701" w:type="pct"/>
            <w:tcBorders>
              <w:tl2br w:val="nil"/>
              <w:tr2bl w:val="nil"/>
            </w:tcBorders>
            <w:shd w:val="clear" w:color="auto" w:fill="auto"/>
            <w:noWrap w:val="0"/>
            <w:vAlign w:val="center"/>
          </w:tcPr>
          <w:p w14:paraId="0F19EC32">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highlight w:val="none"/>
                <w:lang w:val="en-US" w:eastAsia="zh-CN"/>
              </w:rPr>
            </w:pPr>
          </w:p>
        </w:tc>
        <w:tc>
          <w:tcPr>
            <w:tcW w:w="701" w:type="pct"/>
            <w:tcBorders>
              <w:tl2br w:val="nil"/>
              <w:tr2bl w:val="nil"/>
            </w:tcBorders>
            <w:shd w:val="clear" w:color="auto" w:fill="auto"/>
            <w:noWrap w:val="0"/>
            <w:vAlign w:val="center"/>
          </w:tcPr>
          <w:p w14:paraId="156E4CC1">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highlight w:val="none"/>
                <w:lang w:val="en-US" w:eastAsia="zh-CN"/>
              </w:rPr>
            </w:pPr>
          </w:p>
        </w:tc>
        <w:tc>
          <w:tcPr>
            <w:tcW w:w="710" w:type="pct"/>
            <w:tcBorders>
              <w:tl2br w:val="nil"/>
              <w:tr2bl w:val="nil"/>
            </w:tcBorders>
            <w:shd w:val="clear" w:color="auto" w:fill="auto"/>
            <w:noWrap w:val="0"/>
            <w:vAlign w:val="center"/>
          </w:tcPr>
          <w:p w14:paraId="38108F27">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r>
              <w:rPr>
                <w:rFonts w:hint="eastAsia"/>
                <w:color w:val="auto"/>
                <w:sz w:val="21"/>
                <w:szCs w:val="21"/>
                <w:highlight w:val="none"/>
                <w:lang w:val="en-US" w:eastAsia="zh-CN"/>
              </w:rPr>
              <w:t>达标</w:t>
            </w:r>
          </w:p>
        </w:tc>
      </w:tr>
      <w:tr w14:paraId="35D8D75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20" w:type="pct"/>
            <w:tcBorders>
              <w:tl2br w:val="nil"/>
              <w:tr2bl w:val="nil"/>
            </w:tcBorders>
            <w:shd w:val="clear" w:color="auto" w:fill="auto"/>
            <w:noWrap w:val="0"/>
            <w:vAlign w:val="center"/>
          </w:tcPr>
          <w:p w14:paraId="20CE57EE">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r>
              <w:rPr>
                <w:color w:val="auto"/>
                <w:sz w:val="21"/>
                <w:szCs w:val="21"/>
                <w:highlight w:val="none"/>
              </w:rPr>
              <w:t>5</w:t>
            </w:r>
          </w:p>
        </w:tc>
        <w:tc>
          <w:tcPr>
            <w:tcW w:w="1050" w:type="pct"/>
            <w:tcBorders>
              <w:tl2br w:val="nil"/>
              <w:tr2bl w:val="nil"/>
            </w:tcBorders>
            <w:shd w:val="clear" w:color="auto" w:fill="auto"/>
            <w:noWrap w:val="0"/>
            <w:vAlign w:val="center"/>
          </w:tcPr>
          <w:p w14:paraId="5629BB75">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r>
              <w:rPr>
                <w:color w:val="auto"/>
                <w:sz w:val="21"/>
                <w:szCs w:val="21"/>
                <w:highlight w:val="none"/>
              </w:rPr>
              <w:t>铅</w:t>
            </w:r>
          </w:p>
        </w:tc>
        <w:tc>
          <w:tcPr>
            <w:tcW w:w="701" w:type="pct"/>
            <w:tcBorders>
              <w:tl2br w:val="nil"/>
              <w:tr2bl w:val="nil"/>
            </w:tcBorders>
            <w:shd w:val="clear" w:color="auto" w:fill="auto"/>
            <w:noWrap w:val="0"/>
            <w:vAlign w:val="center"/>
          </w:tcPr>
          <w:p w14:paraId="70F2FF22">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r>
              <w:rPr>
                <w:color w:val="auto"/>
                <w:sz w:val="21"/>
                <w:szCs w:val="21"/>
                <w:highlight w:val="none"/>
              </w:rPr>
              <w:t>mg/kg</w:t>
            </w:r>
          </w:p>
        </w:tc>
        <w:tc>
          <w:tcPr>
            <w:tcW w:w="713" w:type="pct"/>
            <w:tcBorders>
              <w:tl2br w:val="nil"/>
              <w:tr2bl w:val="nil"/>
            </w:tcBorders>
            <w:shd w:val="clear" w:color="auto" w:fill="auto"/>
            <w:noWrap/>
            <w:vAlign w:val="center"/>
          </w:tcPr>
          <w:p w14:paraId="7AB6921C">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p>
        </w:tc>
        <w:tc>
          <w:tcPr>
            <w:tcW w:w="701" w:type="pct"/>
            <w:tcBorders>
              <w:tl2br w:val="nil"/>
              <w:tr2bl w:val="nil"/>
            </w:tcBorders>
            <w:shd w:val="clear" w:color="auto" w:fill="auto"/>
            <w:noWrap w:val="0"/>
            <w:vAlign w:val="center"/>
          </w:tcPr>
          <w:p w14:paraId="034B9995">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highlight w:val="none"/>
                <w:lang w:val="en-US" w:eastAsia="zh-CN"/>
              </w:rPr>
            </w:pPr>
          </w:p>
        </w:tc>
        <w:tc>
          <w:tcPr>
            <w:tcW w:w="701" w:type="pct"/>
            <w:tcBorders>
              <w:tl2br w:val="nil"/>
              <w:tr2bl w:val="nil"/>
            </w:tcBorders>
            <w:shd w:val="clear" w:color="auto" w:fill="auto"/>
            <w:noWrap w:val="0"/>
            <w:vAlign w:val="center"/>
          </w:tcPr>
          <w:p w14:paraId="6E2D56CE">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highlight w:val="none"/>
                <w:lang w:val="en-US" w:eastAsia="zh-CN"/>
              </w:rPr>
            </w:pPr>
          </w:p>
        </w:tc>
        <w:tc>
          <w:tcPr>
            <w:tcW w:w="710" w:type="pct"/>
            <w:tcBorders>
              <w:tl2br w:val="nil"/>
              <w:tr2bl w:val="nil"/>
            </w:tcBorders>
            <w:shd w:val="clear" w:color="auto" w:fill="auto"/>
            <w:noWrap w:val="0"/>
            <w:vAlign w:val="center"/>
          </w:tcPr>
          <w:p w14:paraId="03125A13">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r>
              <w:rPr>
                <w:rFonts w:hint="eastAsia"/>
                <w:color w:val="auto"/>
                <w:sz w:val="21"/>
                <w:szCs w:val="21"/>
                <w:highlight w:val="none"/>
                <w:lang w:val="en-US" w:eastAsia="zh-CN"/>
              </w:rPr>
              <w:t>达标</w:t>
            </w:r>
          </w:p>
        </w:tc>
      </w:tr>
      <w:tr w14:paraId="5029763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20" w:type="pct"/>
            <w:tcBorders>
              <w:tl2br w:val="nil"/>
              <w:tr2bl w:val="nil"/>
            </w:tcBorders>
            <w:shd w:val="clear" w:color="auto" w:fill="auto"/>
            <w:noWrap w:val="0"/>
            <w:vAlign w:val="center"/>
          </w:tcPr>
          <w:p w14:paraId="0544CD4E">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r>
              <w:rPr>
                <w:color w:val="auto"/>
                <w:sz w:val="21"/>
                <w:szCs w:val="21"/>
                <w:highlight w:val="none"/>
              </w:rPr>
              <w:t>6</w:t>
            </w:r>
          </w:p>
        </w:tc>
        <w:tc>
          <w:tcPr>
            <w:tcW w:w="1050" w:type="pct"/>
            <w:tcBorders>
              <w:tl2br w:val="nil"/>
              <w:tr2bl w:val="nil"/>
            </w:tcBorders>
            <w:shd w:val="clear" w:color="auto" w:fill="auto"/>
            <w:noWrap w:val="0"/>
            <w:vAlign w:val="center"/>
          </w:tcPr>
          <w:p w14:paraId="6CFD9511">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r>
              <w:rPr>
                <w:color w:val="auto"/>
                <w:sz w:val="21"/>
                <w:szCs w:val="21"/>
                <w:highlight w:val="none"/>
              </w:rPr>
              <w:t>铬</w:t>
            </w:r>
          </w:p>
        </w:tc>
        <w:tc>
          <w:tcPr>
            <w:tcW w:w="701" w:type="pct"/>
            <w:tcBorders>
              <w:tl2br w:val="nil"/>
              <w:tr2bl w:val="nil"/>
            </w:tcBorders>
            <w:shd w:val="clear" w:color="auto" w:fill="auto"/>
            <w:noWrap w:val="0"/>
            <w:vAlign w:val="center"/>
          </w:tcPr>
          <w:p w14:paraId="66FAF272">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r>
              <w:rPr>
                <w:color w:val="auto"/>
                <w:sz w:val="21"/>
                <w:szCs w:val="21"/>
                <w:highlight w:val="none"/>
              </w:rPr>
              <w:t>mg/kg</w:t>
            </w:r>
          </w:p>
        </w:tc>
        <w:tc>
          <w:tcPr>
            <w:tcW w:w="713" w:type="pct"/>
            <w:tcBorders>
              <w:tl2br w:val="nil"/>
              <w:tr2bl w:val="nil"/>
            </w:tcBorders>
            <w:shd w:val="clear" w:color="auto" w:fill="auto"/>
            <w:noWrap/>
            <w:vAlign w:val="center"/>
          </w:tcPr>
          <w:p w14:paraId="71E34F6C">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p>
        </w:tc>
        <w:tc>
          <w:tcPr>
            <w:tcW w:w="701" w:type="pct"/>
            <w:tcBorders>
              <w:tl2br w:val="nil"/>
              <w:tr2bl w:val="nil"/>
            </w:tcBorders>
            <w:shd w:val="clear" w:color="auto" w:fill="auto"/>
            <w:noWrap w:val="0"/>
            <w:vAlign w:val="center"/>
          </w:tcPr>
          <w:p w14:paraId="18D1DB11">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highlight w:val="none"/>
                <w:lang w:val="en-US" w:eastAsia="zh-CN"/>
              </w:rPr>
            </w:pPr>
          </w:p>
        </w:tc>
        <w:tc>
          <w:tcPr>
            <w:tcW w:w="701" w:type="pct"/>
            <w:tcBorders>
              <w:tl2br w:val="nil"/>
              <w:tr2bl w:val="nil"/>
            </w:tcBorders>
            <w:shd w:val="clear" w:color="auto" w:fill="auto"/>
            <w:noWrap w:val="0"/>
            <w:vAlign w:val="center"/>
          </w:tcPr>
          <w:p w14:paraId="7AA40992">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highlight w:val="none"/>
                <w:lang w:val="en-US" w:eastAsia="zh-CN"/>
              </w:rPr>
            </w:pPr>
          </w:p>
        </w:tc>
        <w:tc>
          <w:tcPr>
            <w:tcW w:w="710" w:type="pct"/>
            <w:tcBorders>
              <w:tl2br w:val="nil"/>
              <w:tr2bl w:val="nil"/>
            </w:tcBorders>
            <w:shd w:val="clear" w:color="auto" w:fill="auto"/>
            <w:noWrap w:val="0"/>
            <w:vAlign w:val="center"/>
          </w:tcPr>
          <w:p w14:paraId="250F3BA5">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r>
              <w:rPr>
                <w:rFonts w:hint="eastAsia"/>
                <w:color w:val="auto"/>
                <w:sz w:val="21"/>
                <w:szCs w:val="21"/>
                <w:highlight w:val="none"/>
                <w:lang w:val="en-US" w:eastAsia="zh-CN"/>
              </w:rPr>
              <w:t>达标</w:t>
            </w:r>
          </w:p>
        </w:tc>
      </w:tr>
      <w:tr w14:paraId="31073E4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20" w:type="pct"/>
            <w:tcBorders>
              <w:tl2br w:val="nil"/>
              <w:tr2bl w:val="nil"/>
            </w:tcBorders>
            <w:shd w:val="clear" w:color="auto" w:fill="auto"/>
            <w:noWrap w:val="0"/>
            <w:vAlign w:val="center"/>
          </w:tcPr>
          <w:p w14:paraId="594B6BEF">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r>
              <w:rPr>
                <w:color w:val="auto"/>
                <w:sz w:val="21"/>
                <w:szCs w:val="21"/>
                <w:highlight w:val="none"/>
              </w:rPr>
              <w:t>7</w:t>
            </w:r>
          </w:p>
        </w:tc>
        <w:tc>
          <w:tcPr>
            <w:tcW w:w="1050" w:type="pct"/>
            <w:tcBorders>
              <w:tl2br w:val="nil"/>
              <w:tr2bl w:val="nil"/>
            </w:tcBorders>
            <w:shd w:val="clear" w:color="auto" w:fill="auto"/>
            <w:noWrap w:val="0"/>
            <w:vAlign w:val="center"/>
          </w:tcPr>
          <w:p w14:paraId="0C85C913">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r>
              <w:rPr>
                <w:color w:val="auto"/>
                <w:sz w:val="21"/>
                <w:szCs w:val="21"/>
                <w:highlight w:val="none"/>
              </w:rPr>
              <w:t>铜</w:t>
            </w:r>
          </w:p>
        </w:tc>
        <w:tc>
          <w:tcPr>
            <w:tcW w:w="701" w:type="pct"/>
            <w:tcBorders>
              <w:tl2br w:val="nil"/>
              <w:tr2bl w:val="nil"/>
            </w:tcBorders>
            <w:shd w:val="clear" w:color="auto" w:fill="auto"/>
            <w:noWrap w:val="0"/>
            <w:vAlign w:val="center"/>
          </w:tcPr>
          <w:p w14:paraId="157C81C8">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r>
              <w:rPr>
                <w:color w:val="auto"/>
                <w:sz w:val="21"/>
                <w:szCs w:val="21"/>
                <w:highlight w:val="none"/>
              </w:rPr>
              <w:t>mg/kg</w:t>
            </w:r>
          </w:p>
        </w:tc>
        <w:tc>
          <w:tcPr>
            <w:tcW w:w="713" w:type="pct"/>
            <w:tcBorders>
              <w:tl2br w:val="nil"/>
              <w:tr2bl w:val="nil"/>
            </w:tcBorders>
            <w:shd w:val="clear" w:color="auto" w:fill="auto"/>
            <w:noWrap/>
            <w:vAlign w:val="center"/>
          </w:tcPr>
          <w:p w14:paraId="20BE3397">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p>
        </w:tc>
        <w:tc>
          <w:tcPr>
            <w:tcW w:w="701" w:type="pct"/>
            <w:tcBorders>
              <w:tl2br w:val="nil"/>
              <w:tr2bl w:val="nil"/>
            </w:tcBorders>
            <w:shd w:val="clear" w:color="auto" w:fill="auto"/>
            <w:noWrap w:val="0"/>
            <w:vAlign w:val="center"/>
          </w:tcPr>
          <w:p w14:paraId="1BBABEE5">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highlight w:val="none"/>
                <w:lang w:val="en-US" w:eastAsia="zh-CN"/>
              </w:rPr>
            </w:pPr>
          </w:p>
        </w:tc>
        <w:tc>
          <w:tcPr>
            <w:tcW w:w="701" w:type="pct"/>
            <w:tcBorders>
              <w:tl2br w:val="nil"/>
              <w:tr2bl w:val="nil"/>
            </w:tcBorders>
            <w:shd w:val="clear" w:color="auto" w:fill="auto"/>
            <w:noWrap w:val="0"/>
            <w:vAlign w:val="center"/>
          </w:tcPr>
          <w:p w14:paraId="4FEEFD2D">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highlight w:val="none"/>
                <w:lang w:val="en-US" w:eastAsia="zh-CN"/>
              </w:rPr>
            </w:pPr>
          </w:p>
        </w:tc>
        <w:tc>
          <w:tcPr>
            <w:tcW w:w="710" w:type="pct"/>
            <w:tcBorders>
              <w:tl2br w:val="nil"/>
              <w:tr2bl w:val="nil"/>
            </w:tcBorders>
            <w:shd w:val="clear" w:color="auto" w:fill="auto"/>
            <w:noWrap w:val="0"/>
            <w:vAlign w:val="center"/>
          </w:tcPr>
          <w:p w14:paraId="25627728">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r>
              <w:rPr>
                <w:rFonts w:hint="eastAsia"/>
                <w:color w:val="auto"/>
                <w:sz w:val="21"/>
                <w:szCs w:val="21"/>
                <w:highlight w:val="none"/>
                <w:lang w:val="en-US" w:eastAsia="zh-CN"/>
              </w:rPr>
              <w:t>达标</w:t>
            </w:r>
          </w:p>
        </w:tc>
      </w:tr>
      <w:tr w14:paraId="78EB44C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20" w:type="pct"/>
            <w:tcBorders>
              <w:tl2br w:val="nil"/>
              <w:tr2bl w:val="nil"/>
            </w:tcBorders>
            <w:shd w:val="clear" w:color="auto" w:fill="auto"/>
            <w:noWrap w:val="0"/>
            <w:vAlign w:val="center"/>
          </w:tcPr>
          <w:p w14:paraId="0C32BD16">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r>
              <w:rPr>
                <w:color w:val="auto"/>
                <w:sz w:val="21"/>
                <w:szCs w:val="21"/>
                <w:highlight w:val="none"/>
              </w:rPr>
              <w:t>8</w:t>
            </w:r>
          </w:p>
        </w:tc>
        <w:tc>
          <w:tcPr>
            <w:tcW w:w="1050" w:type="pct"/>
            <w:tcBorders>
              <w:tl2br w:val="nil"/>
              <w:tr2bl w:val="nil"/>
            </w:tcBorders>
            <w:shd w:val="clear" w:color="auto" w:fill="auto"/>
            <w:noWrap w:val="0"/>
            <w:vAlign w:val="center"/>
          </w:tcPr>
          <w:p w14:paraId="27881CB2">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r>
              <w:rPr>
                <w:color w:val="auto"/>
                <w:sz w:val="21"/>
                <w:szCs w:val="21"/>
                <w:highlight w:val="none"/>
              </w:rPr>
              <w:t>镍</w:t>
            </w:r>
          </w:p>
        </w:tc>
        <w:tc>
          <w:tcPr>
            <w:tcW w:w="701" w:type="pct"/>
            <w:tcBorders>
              <w:tl2br w:val="nil"/>
              <w:tr2bl w:val="nil"/>
            </w:tcBorders>
            <w:shd w:val="clear" w:color="auto" w:fill="auto"/>
            <w:noWrap w:val="0"/>
            <w:vAlign w:val="center"/>
          </w:tcPr>
          <w:p w14:paraId="19D40BBB">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r>
              <w:rPr>
                <w:color w:val="auto"/>
                <w:sz w:val="21"/>
                <w:szCs w:val="21"/>
                <w:highlight w:val="none"/>
              </w:rPr>
              <w:t>mg/kg</w:t>
            </w:r>
          </w:p>
        </w:tc>
        <w:tc>
          <w:tcPr>
            <w:tcW w:w="713" w:type="pct"/>
            <w:tcBorders>
              <w:tl2br w:val="nil"/>
              <w:tr2bl w:val="nil"/>
            </w:tcBorders>
            <w:shd w:val="clear" w:color="auto" w:fill="auto"/>
            <w:noWrap/>
            <w:vAlign w:val="center"/>
          </w:tcPr>
          <w:p w14:paraId="5686F3B8">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p>
        </w:tc>
        <w:tc>
          <w:tcPr>
            <w:tcW w:w="701" w:type="pct"/>
            <w:tcBorders>
              <w:tl2br w:val="nil"/>
              <w:tr2bl w:val="nil"/>
            </w:tcBorders>
            <w:shd w:val="clear" w:color="auto" w:fill="auto"/>
            <w:noWrap w:val="0"/>
            <w:vAlign w:val="center"/>
          </w:tcPr>
          <w:p w14:paraId="1A511139">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highlight w:val="none"/>
                <w:lang w:val="en-US" w:eastAsia="zh-CN"/>
              </w:rPr>
            </w:pPr>
          </w:p>
        </w:tc>
        <w:tc>
          <w:tcPr>
            <w:tcW w:w="701" w:type="pct"/>
            <w:tcBorders>
              <w:tl2br w:val="nil"/>
              <w:tr2bl w:val="nil"/>
            </w:tcBorders>
            <w:shd w:val="clear" w:color="auto" w:fill="auto"/>
            <w:noWrap w:val="0"/>
            <w:vAlign w:val="center"/>
          </w:tcPr>
          <w:p w14:paraId="6E1819FD">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highlight w:val="none"/>
                <w:lang w:val="en-US" w:eastAsia="zh-CN"/>
              </w:rPr>
            </w:pPr>
          </w:p>
        </w:tc>
        <w:tc>
          <w:tcPr>
            <w:tcW w:w="710" w:type="pct"/>
            <w:tcBorders>
              <w:tl2br w:val="nil"/>
              <w:tr2bl w:val="nil"/>
            </w:tcBorders>
            <w:shd w:val="clear" w:color="auto" w:fill="auto"/>
            <w:noWrap w:val="0"/>
            <w:vAlign w:val="center"/>
          </w:tcPr>
          <w:p w14:paraId="3790A47C">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r>
              <w:rPr>
                <w:rFonts w:hint="eastAsia"/>
                <w:color w:val="auto"/>
                <w:sz w:val="21"/>
                <w:szCs w:val="21"/>
                <w:highlight w:val="none"/>
                <w:lang w:val="en-US" w:eastAsia="zh-CN"/>
              </w:rPr>
              <w:t>达标</w:t>
            </w:r>
          </w:p>
        </w:tc>
      </w:tr>
      <w:tr w14:paraId="4DCD3E4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20" w:type="pct"/>
            <w:tcBorders>
              <w:tl2br w:val="nil"/>
              <w:tr2bl w:val="nil"/>
            </w:tcBorders>
            <w:shd w:val="clear" w:color="auto" w:fill="auto"/>
            <w:noWrap w:val="0"/>
            <w:vAlign w:val="center"/>
          </w:tcPr>
          <w:p w14:paraId="76976087">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r>
              <w:rPr>
                <w:color w:val="auto"/>
                <w:sz w:val="21"/>
                <w:szCs w:val="21"/>
                <w:highlight w:val="none"/>
              </w:rPr>
              <w:t>9</w:t>
            </w:r>
          </w:p>
        </w:tc>
        <w:tc>
          <w:tcPr>
            <w:tcW w:w="1050" w:type="pct"/>
            <w:tcBorders>
              <w:tl2br w:val="nil"/>
              <w:tr2bl w:val="nil"/>
            </w:tcBorders>
            <w:shd w:val="clear" w:color="auto" w:fill="auto"/>
            <w:noWrap w:val="0"/>
            <w:vAlign w:val="center"/>
          </w:tcPr>
          <w:p w14:paraId="6543747B">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r>
              <w:rPr>
                <w:color w:val="auto"/>
                <w:sz w:val="21"/>
                <w:szCs w:val="21"/>
                <w:highlight w:val="none"/>
              </w:rPr>
              <w:t>锌</w:t>
            </w:r>
          </w:p>
        </w:tc>
        <w:tc>
          <w:tcPr>
            <w:tcW w:w="701" w:type="pct"/>
            <w:tcBorders>
              <w:tl2br w:val="nil"/>
              <w:tr2bl w:val="nil"/>
            </w:tcBorders>
            <w:shd w:val="clear" w:color="auto" w:fill="auto"/>
            <w:noWrap w:val="0"/>
            <w:vAlign w:val="center"/>
          </w:tcPr>
          <w:p w14:paraId="37F07029">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r>
              <w:rPr>
                <w:color w:val="auto"/>
                <w:sz w:val="21"/>
                <w:szCs w:val="21"/>
                <w:highlight w:val="none"/>
              </w:rPr>
              <w:t>mg/kg</w:t>
            </w:r>
          </w:p>
        </w:tc>
        <w:tc>
          <w:tcPr>
            <w:tcW w:w="713" w:type="pct"/>
            <w:tcBorders>
              <w:tl2br w:val="nil"/>
              <w:tr2bl w:val="nil"/>
            </w:tcBorders>
            <w:shd w:val="clear" w:color="auto" w:fill="auto"/>
            <w:noWrap/>
            <w:vAlign w:val="center"/>
          </w:tcPr>
          <w:p w14:paraId="0A9A15CF">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p>
        </w:tc>
        <w:tc>
          <w:tcPr>
            <w:tcW w:w="701" w:type="pct"/>
            <w:tcBorders>
              <w:tl2br w:val="nil"/>
              <w:tr2bl w:val="nil"/>
            </w:tcBorders>
            <w:shd w:val="clear" w:color="auto" w:fill="auto"/>
            <w:noWrap w:val="0"/>
            <w:vAlign w:val="center"/>
          </w:tcPr>
          <w:p w14:paraId="46330AE7">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highlight w:val="none"/>
                <w:lang w:val="en-US" w:eastAsia="zh-CN"/>
              </w:rPr>
            </w:pPr>
          </w:p>
        </w:tc>
        <w:tc>
          <w:tcPr>
            <w:tcW w:w="701" w:type="pct"/>
            <w:tcBorders>
              <w:tl2br w:val="nil"/>
              <w:tr2bl w:val="nil"/>
            </w:tcBorders>
            <w:shd w:val="clear" w:color="auto" w:fill="auto"/>
            <w:noWrap w:val="0"/>
            <w:vAlign w:val="center"/>
          </w:tcPr>
          <w:p w14:paraId="32F411F7">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highlight w:val="none"/>
                <w:lang w:val="en-US" w:eastAsia="zh-CN"/>
              </w:rPr>
            </w:pPr>
          </w:p>
        </w:tc>
        <w:tc>
          <w:tcPr>
            <w:tcW w:w="710" w:type="pct"/>
            <w:tcBorders>
              <w:tl2br w:val="nil"/>
              <w:tr2bl w:val="nil"/>
            </w:tcBorders>
            <w:shd w:val="clear" w:color="auto" w:fill="auto"/>
            <w:noWrap w:val="0"/>
            <w:vAlign w:val="center"/>
          </w:tcPr>
          <w:p w14:paraId="1BD3C92C">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r>
              <w:rPr>
                <w:rFonts w:hint="eastAsia"/>
                <w:color w:val="auto"/>
                <w:sz w:val="21"/>
                <w:szCs w:val="21"/>
                <w:highlight w:val="none"/>
                <w:lang w:val="en-US" w:eastAsia="zh-CN"/>
              </w:rPr>
              <w:t>达标</w:t>
            </w:r>
          </w:p>
        </w:tc>
      </w:tr>
      <w:tr w14:paraId="1E0AB52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20" w:type="pct"/>
            <w:tcBorders>
              <w:tl2br w:val="nil"/>
              <w:tr2bl w:val="nil"/>
            </w:tcBorders>
            <w:shd w:val="clear" w:color="auto" w:fill="auto"/>
            <w:noWrap w:val="0"/>
            <w:vAlign w:val="center"/>
          </w:tcPr>
          <w:p w14:paraId="3EB983E2">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10</w:t>
            </w:r>
          </w:p>
        </w:tc>
        <w:tc>
          <w:tcPr>
            <w:tcW w:w="1050" w:type="pct"/>
            <w:tcBorders>
              <w:tl2br w:val="nil"/>
              <w:tr2bl w:val="nil"/>
            </w:tcBorders>
            <w:shd w:val="clear" w:color="auto" w:fill="auto"/>
            <w:noWrap w:val="0"/>
            <w:vAlign w:val="center"/>
          </w:tcPr>
          <w:p w14:paraId="223CA851">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水溶性盐总量</w:t>
            </w:r>
          </w:p>
        </w:tc>
        <w:tc>
          <w:tcPr>
            <w:tcW w:w="701" w:type="pct"/>
            <w:tcBorders>
              <w:tl2br w:val="nil"/>
              <w:tr2bl w:val="nil"/>
            </w:tcBorders>
            <w:shd w:val="clear" w:color="auto" w:fill="auto"/>
            <w:noWrap w:val="0"/>
            <w:vAlign w:val="center"/>
          </w:tcPr>
          <w:p w14:paraId="10490E62">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r>
              <w:rPr>
                <w:color w:val="auto"/>
                <w:sz w:val="21"/>
                <w:szCs w:val="21"/>
                <w:highlight w:val="none"/>
              </w:rPr>
              <w:t>g/kg</w:t>
            </w:r>
          </w:p>
        </w:tc>
        <w:tc>
          <w:tcPr>
            <w:tcW w:w="713" w:type="pct"/>
            <w:tcBorders>
              <w:tl2br w:val="nil"/>
              <w:tr2bl w:val="nil"/>
            </w:tcBorders>
            <w:shd w:val="clear" w:color="auto" w:fill="auto"/>
            <w:noWrap/>
            <w:vAlign w:val="center"/>
          </w:tcPr>
          <w:p w14:paraId="716629EE">
            <w:pPr>
              <w:pStyle w:val="145"/>
              <w:keepNext w:val="0"/>
              <w:keepLines w:val="0"/>
              <w:pageBreakBefore w:val="0"/>
              <w:widowControl/>
              <w:kinsoku/>
              <w:wordWrap/>
              <w:overflowPunct/>
              <w:topLinePunct w:val="0"/>
              <w:autoSpaceDE/>
              <w:autoSpaceDN/>
              <w:bidi w:val="0"/>
              <w:adjustRightInd/>
              <w:snapToGrid w:val="0"/>
              <w:spacing w:after="0"/>
              <w:textAlignment w:val="auto"/>
              <w:rPr>
                <w:rFonts w:hint="eastAsia" w:eastAsia="宋体"/>
                <w:color w:val="auto"/>
                <w:sz w:val="21"/>
                <w:szCs w:val="21"/>
                <w:highlight w:val="none"/>
                <w:lang w:val="en-US" w:eastAsia="zh-CN"/>
              </w:rPr>
            </w:pPr>
          </w:p>
        </w:tc>
        <w:tc>
          <w:tcPr>
            <w:tcW w:w="701" w:type="pct"/>
            <w:tcBorders>
              <w:tl2br w:val="nil"/>
              <w:tr2bl w:val="nil"/>
            </w:tcBorders>
            <w:shd w:val="clear" w:color="auto" w:fill="auto"/>
            <w:noWrap w:val="0"/>
            <w:vAlign w:val="center"/>
          </w:tcPr>
          <w:p w14:paraId="5DDDE3CE">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highlight w:val="none"/>
                <w:lang w:val="en-US" w:eastAsia="zh-CN"/>
              </w:rPr>
            </w:pPr>
          </w:p>
        </w:tc>
        <w:tc>
          <w:tcPr>
            <w:tcW w:w="701" w:type="pct"/>
            <w:tcBorders>
              <w:tl2br w:val="nil"/>
              <w:tr2bl w:val="nil"/>
            </w:tcBorders>
            <w:shd w:val="clear" w:color="auto" w:fill="auto"/>
            <w:noWrap w:val="0"/>
            <w:vAlign w:val="center"/>
          </w:tcPr>
          <w:p w14:paraId="499CFD41">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highlight w:val="none"/>
                <w:lang w:val="en-US" w:eastAsia="zh-CN"/>
              </w:rPr>
            </w:pPr>
          </w:p>
        </w:tc>
        <w:tc>
          <w:tcPr>
            <w:tcW w:w="710" w:type="pct"/>
            <w:tcBorders>
              <w:tl2br w:val="nil"/>
              <w:tr2bl w:val="nil"/>
            </w:tcBorders>
            <w:shd w:val="clear" w:color="auto" w:fill="auto"/>
            <w:noWrap/>
            <w:vAlign w:val="center"/>
          </w:tcPr>
          <w:p w14:paraId="407B78AA">
            <w:pPr>
              <w:pStyle w:val="145"/>
              <w:keepNext w:val="0"/>
              <w:keepLines w:val="0"/>
              <w:pageBreakBefore w:val="0"/>
              <w:widowControl/>
              <w:kinsoku/>
              <w:wordWrap/>
              <w:overflowPunct/>
              <w:topLinePunct w:val="0"/>
              <w:autoSpaceDE/>
              <w:autoSpaceDN/>
              <w:bidi w:val="0"/>
              <w:adjustRightInd/>
              <w:snapToGrid w:val="0"/>
              <w:spacing w:after="0"/>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r>
      <w:tr w14:paraId="3B5E636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20" w:type="pct"/>
            <w:tcBorders>
              <w:tl2br w:val="nil"/>
              <w:tr2bl w:val="nil"/>
            </w:tcBorders>
            <w:shd w:val="clear" w:color="auto" w:fill="auto"/>
            <w:noWrap w:val="0"/>
            <w:vAlign w:val="center"/>
          </w:tcPr>
          <w:p w14:paraId="73C4D2E2">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11</w:t>
            </w:r>
          </w:p>
        </w:tc>
        <w:tc>
          <w:tcPr>
            <w:tcW w:w="1050" w:type="pct"/>
            <w:tcBorders>
              <w:tl2br w:val="nil"/>
              <w:tr2bl w:val="nil"/>
            </w:tcBorders>
            <w:shd w:val="clear" w:color="auto" w:fill="auto"/>
            <w:noWrap w:val="0"/>
            <w:vAlign w:val="center"/>
          </w:tcPr>
          <w:p w14:paraId="05558745">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r>
              <w:rPr>
                <w:color w:val="auto"/>
                <w:sz w:val="21"/>
                <w:szCs w:val="21"/>
                <w:highlight w:val="none"/>
              </w:rPr>
              <w:t>石油烃（C</w:t>
            </w:r>
            <w:r>
              <w:rPr>
                <w:color w:val="auto"/>
                <w:sz w:val="21"/>
                <w:szCs w:val="21"/>
                <w:highlight w:val="none"/>
                <w:vertAlign w:val="subscript"/>
              </w:rPr>
              <w:t>10</w:t>
            </w:r>
            <w:r>
              <w:rPr>
                <w:color w:val="auto"/>
                <w:sz w:val="21"/>
                <w:szCs w:val="21"/>
                <w:highlight w:val="none"/>
              </w:rPr>
              <w:t>-C</w:t>
            </w:r>
            <w:r>
              <w:rPr>
                <w:color w:val="auto"/>
                <w:sz w:val="21"/>
                <w:szCs w:val="21"/>
                <w:highlight w:val="none"/>
                <w:vertAlign w:val="subscript"/>
              </w:rPr>
              <w:t>40</w:t>
            </w:r>
            <w:r>
              <w:rPr>
                <w:color w:val="auto"/>
                <w:sz w:val="21"/>
                <w:szCs w:val="21"/>
                <w:highlight w:val="none"/>
              </w:rPr>
              <w:t>）</w:t>
            </w:r>
          </w:p>
        </w:tc>
        <w:tc>
          <w:tcPr>
            <w:tcW w:w="701" w:type="pct"/>
            <w:tcBorders>
              <w:tl2br w:val="nil"/>
              <w:tr2bl w:val="nil"/>
            </w:tcBorders>
            <w:shd w:val="clear" w:color="auto" w:fill="auto"/>
            <w:noWrap w:val="0"/>
            <w:vAlign w:val="center"/>
          </w:tcPr>
          <w:p w14:paraId="118BFC64">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r>
              <w:rPr>
                <w:color w:val="auto"/>
                <w:sz w:val="21"/>
                <w:szCs w:val="21"/>
                <w:highlight w:val="none"/>
              </w:rPr>
              <w:t>mg/kg</w:t>
            </w:r>
          </w:p>
        </w:tc>
        <w:tc>
          <w:tcPr>
            <w:tcW w:w="713" w:type="pct"/>
            <w:tcBorders>
              <w:tl2br w:val="nil"/>
              <w:tr2bl w:val="nil"/>
            </w:tcBorders>
            <w:shd w:val="clear" w:color="auto" w:fill="auto"/>
            <w:noWrap/>
            <w:vAlign w:val="center"/>
          </w:tcPr>
          <w:p w14:paraId="7F3E6B53">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p>
        </w:tc>
        <w:tc>
          <w:tcPr>
            <w:tcW w:w="701" w:type="pct"/>
            <w:tcBorders>
              <w:tl2br w:val="nil"/>
              <w:tr2bl w:val="nil"/>
            </w:tcBorders>
            <w:shd w:val="clear" w:color="auto" w:fill="auto"/>
            <w:noWrap w:val="0"/>
            <w:vAlign w:val="center"/>
          </w:tcPr>
          <w:p w14:paraId="0E3AAA4B">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highlight w:val="none"/>
                <w:lang w:val="en-US" w:eastAsia="zh-CN"/>
              </w:rPr>
            </w:pPr>
          </w:p>
        </w:tc>
        <w:tc>
          <w:tcPr>
            <w:tcW w:w="701" w:type="pct"/>
            <w:tcBorders>
              <w:tl2br w:val="nil"/>
              <w:tr2bl w:val="nil"/>
            </w:tcBorders>
            <w:shd w:val="clear" w:color="auto" w:fill="auto"/>
            <w:noWrap w:val="0"/>
            <w:vAlign w:val="center"/>
          </w:tcPr>
          <w:p w14:paraId="7A3339FC">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highlight w:val="none"/>
                <w:lang w:val="en-US" w:eastAsia="zh-CN"/>
              </w:rPr>
            </w:pPr>
          </w:p>
        </w:tc>
        <w:tc>
          <w:tcPr>
            <w:tcW w:w="710" w:type="pct"/>
            <w:tcBorders>
              <w:tl2br w:val="nil"/>
              <w:tr2bl w:val="nil"/>
            </w:tcBorders>
            <w:shd w:val="clear" w:color="auto" w:fill="auto"/>
            <w:noWrap/>
            <w:vAlign w:val="center"/>
          </w:tcPr>
          <w:p w14:paraId="2A29EFEE">
            <w:pPr>
              <w:pStyle w:val="145"/>
              <w:keepNext w:val="0"/>
              <w:keepLines w:val="0"/>
              <w:pageBreakBefore w:val="0"/>
              <w:widowControl/>
              <w:kinsoku/>
              <w:wordWrap/>
              <w:overflowPunct/>
              <w:topLinePunct w:val="0"/>
              <w:autoSpaceDE/>
              <w:autoSpaceDN/>
              <w:bidi w:val="0"/>
              <w:adjustRightInd/>
              <w:snapToGrid w:val="0"/>
              <w:spacing w:after="0"/>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达标</w:t>
            </w:r>
          </w:p>
        </w:tc>
      </w:tr>
    </w:tbl>
    <w:p w14:paraId="6562B376">
      <w:pPr>
        <w:pStyle w:val="61"/>
        <w:bidi w:val="0"/>
        <w:jc w:val="both"/>
        <w:rPr>
          <w:rFonts w:hint="eastAsia"/>
          <w:color w:val="auto"/>
          <w:lang w:val="en-US" w:eastAsia="zh-CN"/>
        </w:rPr>
      </w:pPr>
    </w:p>
    <w:p w14:paraId="54FC7281">
      <w:pPr>
        <w:pStyle w:val="61"/>
        <w:bidi w:val="0"/>
        <w:jc w:val="both"/>
        <w:rPr>
          <w:rFonts w:hint="eastAsia"/>
          <w:color w:val="auto"/>
          <w:lang w:val="en-US" w:eastAsia="zh-CN"/>
        </w:rPr>
      </w:pPr>
      <w:r>
        <w:rPr>
          <w:rFonts w:hint="eastAsia"/>
          <w:color w:val="auto"/>
          <w:lang w:val="en-US" w:eastAsia="zh-CN"/>
        </w:rPr>
        <w:t>表4.5-7  占地范围外表层样土壤监测及评价结果</w:t>
      </w:r>
    </w:p>
    <w:tbl>
      <w:tblPr>
        <w:tblStyle w:val="36"/>
        <w:tblW w:w="4998"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441"/>
        <w:gridCol w:w="1304"/>
        <w:gridCol w:w="779"/>
        <w:gridCol w:w="717"/>
        <w:gridCol w:w="496"/>
        <w:gridCol w:w="714"/>
        <w:gridCol w:w="442"/>
        <w:gridCol w:w="581"/>
        <w:gridCol w:w="714"/>
        <w:gridCol w:w="661"/>
        <w:gridCol w:w="606"/>
        <w:gridCol w:w="714"/>
        <w:gridCol w:w="661"/>
      </w:tblGrid>
      <w:tr w14:paraId="43F0499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1835" w:type="pct"/>
            <w:gridSpan w:val="4"/>
            <w:tcBorders>
              <w:tl2br w:val="nil"/>
              <w:tr2bl w:val="nil"/>
            </w:tcBorders>
            <w:noWrap/>
            <w:vAlign w:val="center"/>
          </w:tcPr>
          <w:p w14:paraId="06FCAA7A">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r>
              <w:rPr>
                <w:color w:val="auto"/>
                <w:sz w:val="21"/>
                <w:szCs w:val="21"/>
                <w:highlight w:val="none"/>
              </w:rPr>
              <w:t>监测点位</w:t>
            </w:r>
          </w:p>
        </w:tc>
        <w:tc>
          <w:tcPr>
            <w:tcW w:w="935" w:type="pct"/>
            <w:gridSpan w:val="3"/>
            <w:tcBorders>
              <w:tl2br w:val="nil"/>
              <w:tr2bl w:val="nil"/>
            </w:tcBorders>
            <w:noWrap/>
            <w:vAlign w:val="center"/>
          </w:tcPr>
          <w:p w14:paraId="04CAA304">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脱硫站</w:t>
            </w:r>
          </w:p>
        </w:tc>
        <w:tc>
          <w:tcPr>
            <w:tcW w:w="1107" w:type="pct"/>
            <w:gridSpan w:val="3"/>
            <w:tcBorders>
              <w:tl2br w:val="nil"/>
              <w:tr2bl w:val="nil"/>
            </w:tcBorders>
            <w:noWrap/>
            <w:vAlign w:val="center"/>
          </w:tcPr>
          <w:p w14:paraId="5AEBB33F">
            <w:pPr>
              <w:pStyle w:val="145"/>
              <w:keepNext w:val="0"/>
              <w:keepLines w:val="0"/>
              <w:pageBreakBefore w:val="0"/>
              <w:widowControl/>
              <w:kinsoku/>
              <w:wordWrap/>
              <w:overflowPunct/>
              <w:topLinePunct w:val="0"/>
              <w:autoSpaceDE/>
              <w:autoSpaceDN/>
              <w:bidi w:val="0"/>
              <w:adjustRightInd/>
              <w:snapToGrid w:val="0"/>
              <w:spacing w:after="0"/>
              <w:textAlignment w:val="auto"/>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雄英3井</w:t>
            </w:r>
          </w:p>
        </w:tc>
        <w:tc>
          <w:tcPr>
            <w:tcW w:w="1121" w:type="pct"/>
            <w:gridSpan w:val="3"/>
            <w:tcBorders>
              <w:tl2br w:val="nil"/>
              <w:tr2bl w:val="nil"/>
            </w:tcBorders>
            <w:noWrap/>
            <w:vAlign w:val="center"/>
          </w:tcPr>
          <w:p w14:paraId="13E6AB43">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r>
              <w:rPr>
                <w:rFonts w:hint="eastAsia" w:eastAsia="宋体"/>
                <w:color w:val="auto"/>
                <w:sz w:val="21"/>
                <w:szCs w:val="21"/>
                <w:highlight w:val="none"/>
                <w:lang w:val="en-US" w:eastAsia="zh-CN"/>
              </w:rPr>
              <w:t>雄英101井</w:t>
            </w:r>
          </w:p>
        </w:tc>
      </w:tr>
      <w:tr w14:paraId="38763C6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1835" w:type="pct"/>
            <w:gridSpan w:val="4"/>
            <w:tcBorders>
              <w:tl2br w:val="nil"/>
              <w:tr2bl w:val="nil"/>
            </w:tcBorders>
            <w:noWrap/>
            <w:vAlign w:val="center"/>
          </w:tcPr>
          <w:p w14:paraId="43BF12DF">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r>
              <w:rPr>
                <w:color w:val="auto"/>
                <w:sz w:val="21"/>
                <w:szCs w:val="21"/>
                <w:highlight w:val="none"/>
              </w:rPr>
              <w:t>采样深度</w:t>
            </w:r>
          </w:p>
        </w:tc>
        <w:tc>
          <w:tcPr>
            <w:tcW w:w="935" w:type="pct"/>
            <w:gridSpan w:val="3"/>
            <w:tcBorders>
              <w:tl2br w:val="nil"/>
              <w:tr2bl w:val="nil"/>
            </w:tcBorders>
            <w:noWrap/>
            <w:vAlign w:val="center"/>
          </w:tcPr>
          <w:p w14:paraId="045B935B">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r>
              <w:rPr>
                <w:color w:val="auto"/>
                <w:sz w:val="21"/>
                <w:szCs w:val="21"/>
                <w:highlight w:val="none"/>
              </w:rPr>
              <w:t>0-20cm</w:t>
            </w:r>
          </w:p>
        </w:tc>
        <w:tc>
          <w:tcPr>
            <w:tcW w:w="1107" w:type="pct"/>
            <w:gridSpan w:val="3"/>
            <w:tcBorders>
              <w:tl2br w:val="nil"/>
              <w:tr2bl w:val="nil"/>
            </w:tcBorders>
            <w:noWrap/>
            <w:vAlign w:val="center"/>
          </w:tcPr>
          <w:p w14:paraId="5CA0DF88">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r>
              <w:rPr>
                <w:color w:val="auto"/>
                <w:sz w:val="21"/>
                <w:szCs w:val="21"/>
                <w:highlight w:val="none"/>
              </w:rPr>
              <w:t>0-20cm</w:t>
            </w:r>
          </w:p>
        </w:tc>
        <w:tc>
          <w:tcPr>
            <w:tcW w:w="1121" w:type="pct"/>
            <w:gridSpan w:val="3"/>
            <w:tcBorders>
              <w:tl2br w:val="nil"/>
              <w:tr2bl w:val="nil"/>
            </w:tcBorders>
            <w:noWrap/>
            <w:vAlign w:val="center"/>
          </w:tcPr>
          <w:p w14:paraId="0F996757">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r>
              <w:rPr>
                <w:color w:val="auto"/>
                <w:sz w:val="21"/>
                <w:szCs w:val="21"/>
                <w:highlight w:val="none"/>
              </w:rPr>
              <w:t>0-20cm</w:t>
            </w:r>
          </w:p>
        </w:tc>
      </w:tr>
      <w:tr w14:paraId="405233E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250" w:type="pct"/>
            <w:tcBorders>
              <w:tl2br w:val="nil"/>
              <w:tr2bl w:val="nil"/>
            </w:tcBorders>
            <w:noWrap w:val="0"/>
            <w:vAlign w:val="center"/>
          </w:tcPr>
          <w:p w14:paraId="5CF839E6">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rPr>
            </w:pPr>
            <w:r>
              <w:rPr>
                <w:color w:val="auto"/>
                <w:sz w:val="21"/>
                <w:szCs w:val="21"/>
              </w:rPr>
              <w:t>序号</w:t>
            </w:r>
          </w:p>
        </w:tc>
        <w:tc>
          <w:tcPr>
            <w:tcW w:w="738" w:type="pct"/>
            <w:tcBorders>
              <w:tl2br w:val="nil"/>
              <w:tr2bl w:val="nil"/>
            </w:tcBorders>
            <w:noWrap w:val="0"/>
            <w:vAlign w:val="center"/>
          </w:tcPr>
          <w:p w14:paraId="6504733A">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rPr>
            </w:pPr>
            <w:r>
              <w:rPr>
                <w:color w:val="auto"/>
                <w:sz w:val="21"/>
                <w:szCs w:val="21"/>
              </w:rPr>
              <w:t>检测项目</w:t>
            </w:r>
          </w:p>
        </w:tc>
        <w:tc>
          <w:tcPr>
            <w:tcW w:w="441" w:type="pct"/>
            <w:tcBorders>
              <w:tl2br w:val="nil"/>
              <w:tr2bl w:val="nil"/>
            </w:tcBorders>
            <w:noWrap w:val="0"/>
            <w:vAlign w:val="center"/>
          </w:tcPr>
          <w:p w14:paraId="7DDF18B4">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rPr>
            </w:pPr>
            <w:r>
              <w:rPr>
                <w:color w:val="auto"/>
                <w:sz w:val="21"/>
                <w:szCs w:val="21"/>
              </w:rPr>
              <w:t>单位</w:t>
            </w:r>
          </w:p>
        </w:tc>
        <w:tc>
          <w:tcPr>
            <w:tcW w:w="404" w:type="pct"/>
            <w:tcBorders>
              <w:tl2br w:val="nil"/>
              <w:tr2bl w:val="nil"/>
            </w:tcBorders>
            <w:noWrap w:val="0"/>
            <w:vAlign w:val="center"/>
          </w:tcPr>
          <w:p w14:paraId="73F633B7">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rPr>
            </w:pPr>
            <w:r>
              <w:rPr>
                <w:color w:val="auto"/>
                <w:sz w:val="21"/>
                <w:szCs w:val="21"/>
              </w:rPr>
              <w:t>筛选值（pH＞7.5）</w:t>
            </w:r>
          </w:p>
        </w:tc>
        <w:tc>
          <w:tcPr>
            <w:tcW w:w="281" w:type="pct"/>
            <w:tcBorders>
              <w:tl2br w:val="nil"/>
              <w:tr2bl w:val="nil"/>
            </w:tcBorders>
            <w:noWrap w:val="0"/>
            <w:vAlign w:val="center"/>
          </w:tcPr>
          <w:p w14:paraId="7016FD99">
            <w:pPr>
              <w:pStyle w:val="145"/>
              <w:keepNext w:val="0"/>
              <w:keepLines w:val="0"/>
              <w:pageBreakBefore w:val="0"/>
              <w:widowControl/>
              <w:kinsoku/>
              <w:wordWrap/>
              <w:overflowPunct/>
              <w:topLinePunct w:val="0"/>
              <w:autoSpaceDE/>
              <w:autoSpaceDN/>
              <w:bidi w:val="0"/>
              <w:adjustRightInd/>
              <w:snapToGrid w:val="0"/>
              <w:spacing w:after="0"/>
              <w:ind w:firstLine="0" w:firstLineChars="0"/>
              <w:textAlignment w:val="auto"/>
              <w:rPr>
                <w:rFonts w:hint="eastAsia" w:ascii="Times New Roman" w:hAnsi="Times New Roman" w:eastAsia="宋体" w:cs="宋体"/>
                <w:color w:val="auto"/>
                <w:spacing w:val="0"/>
                <w:kern w:val="0"/>
                <w:sz w:val="21"/>
                <w:szCs w:val="21"/>
                <w:lang w:val="en-US" w:eastAsia="zh-CN" w:bidi="ar-SA"/>
              </w:rPr>
            </w:pPr>
            <w:r>
              <w:rPr>
                <w:color w:val="auto"/>
                <w:sz w:val="21"/>
                <w:szCs w:val="21"/>
              </w:rPr>
              <w:t>监测</w:t>
            </w:r>
            <w:r>
              <w:rPr>
                <w:rFonts w:hint="eastAsia"/>
                <w:color w:val="auto"/>
                <w:sz w:val="21"/>
                <w:szCs w:val="21"/>
              </w:rPr>
              <w:t>结果</w:t>
            </w:r>
          </w:p>
        </w:tc>
        <w:tc>
          <w:tcPr>
            <w:tcW w:w="404" w:type="pct"/>
            <w:tcBorders>
              <w:tl2br w:val="nil"/>
              <w:tr2bl w:val="nil"/>
            </w:tcBorders>
            <w:noWrap w:val="0"/>
            <w:vAlign w:val="center"/>
          </w:tcPr>
          <w:p w14:paraId="18C15D9D">
            <w:pPr>
              <w:pStyle w:val="145"/>
              <w:keepNext w:val="0"/>
              <w:keepLines w:val="0"/>
              <w:pageBreakBefore w:val="0"/>
              <w:widowControl/>
              <w:kinsoku/>
              <w:wordWrap/>
              <w:overflowPunct/>
              <w:topLinePunct w:val="0"/>
              <w:autoSpaceDE/>
              <w:autoSpaceDN/>
              <w:bidi w:val="0"/>
              <w:adjustRightInd/>
              <w:snapToGrid w:val="0"/>
              <w:spacing w:after="0"/>
              <w:ind w:firstLine="0" w:firstLineChars="0"/>
              <w:textAlignment w:val="auto"/>
              <w:rPr>
                <w:rFonts w:ascii="Times New Roman" w:hAnsi="Times New Roman" w:eastAsia="宋体" w:cs="宋体"/>
                <w:color w:val="auto"/>
                <w:spacing w:val="0"/>
                <w:kern w:val="0"/>
                <w:sz w:val="21"/>
                <w:szCs w:val="21"/>
                <w:lang w:val="en-US" w:eastAsia="zh-CN" w:bidi="ar-SA"/>
              </w:rPr>
            </w:pPr>
            <w:r>
              <w:rPr>
                <w:color w:val="auto"/>
                <w:sz w:val="21"/>
                <w:szCs w:val="21"/>
              </w:rPr>
              <w:t>P</w:t>
            </w:r>
            <w:r>
              <w:rPr>
                <w:color w:val="auto"/>
                <w:sz w:val="21"/>
                <w:szCs w:val="21"/>
                <w:vertAlign w:val="subscript"/>
              </w:rPr>
              <w:t>i</w:t>
            </w:r>
          </w:p>
        </w:tc>
        <w:tc>
          <w:tcPr>
            <w:tcW w:w="250" w:type="pct"/>
            <w:tcBorders>
              <w:tl2br w:val="nil"/>
              <w:tr2bl w:val="nil"/>
            </w:tcBorders>
            <w:noWrap w:val="0"/>
            <w:vAlign w:val="center"/>
          </w:tcPr>
          <w:p w14:paraId="069B88A5">
            <w:pPr>
              <w:pStyle w:val="145"/>
              <w:keepNext w:val="0"/>
              <w:keepLines w:val="0"/>
              <w:pageBreakBefore w:val="0"/>
              <w:widowControl/>
              <w:kinsoku/>
              <w:wordWrap/>
              <w:overflowPunct/>
              <w:topLinePunct w:val="0"/>
              <w:autoSpaceDE/>
              <w:autoSpaceDN/>
              <w:bidi w:val="0"/>
              <w:adjustRightInd/>
              <w:snapToGrid w:val="0"/>
              <w:spacing w:after="0"/>
              <w:ind w:firstLine="0" w:firstLineChars="0"/>
              <w:textAlignment w:val="auto"/>
              <w:rPr>
                <w:rFonts w:ascii="Times New Roman" w:hAnsi="Times New Roman" w:eastAsia="宋体" w:cs="宋体"/>
                <w:color w:val="auto"/>
                <w:spacing w:val="0"/>
                <w:kern w:val="0"/>
                <w:sz w:val="21"/>
                <w:szCs w:val="21"/>
                <w:lang w:val="en-US" w:eastAsia="zh-CN" w:bidi="ar-SA"/>
              </w:rPr>
            </w:pPr>
            <w:r>
              <w:rPr>
                <w:color w:val="auto"/>
                <w:sz w:val="21"/>
                <w:szCs w:val="21"/>
              </w:rPr>
              <w:t>达标情况</w:t>
            </w:r>
          </w:p>
        </w:tc>
        <w:tc>
          <w:tcPr>
            <w:tcW w:w="329" w:type="pct"/>
            <w:tcBorders>
              <w:tl2br w:val="nil"/>
              <w:tr2bl w:val="nil"/>
            </w:tcBorders>
            <w:noWrap w:val="0"/>
            <w:vAlign w:val="center"/>
          </w:tcPr>
          <w:p w14:paraId="04B21E5B">
            <w:pPr>
              <w:pStyle w:val="145"/>
              <w:keepNext w:val="0"/>
              <w:keepLines w:val="0"/>
              <w:pageBreakBefore w:val="0"/>
              <w:widowControl/>
              <w:kinsoku/>
              <w:wordWrap/>
              <w:overflowPunct/>
              <w:topLinePunct w:val="0"/>
              <w:autoSpaceDE/>
              <w:autoSpaceDN/>
              <w:bidi w:val="0"/>
              <w:adjustRightInd/>
              <w:snapToGrid w:val="0"/>
              <w:spacing w:after="0"/>
              <w:textAlignment w:val="auto"/>
              <w:rPr>
                <w:rFonts w:hint="eastAsia"/>
                <w:color w:val="auto"/>
                <w:sz w:val="21"/>
                <w:szCs w:val="21"/>
              </w:rPr>
            </w:pPr>
            <w:r>
              <w:rPr>
                <w:color w:val="auto"/>
                <w:sz w:val="21"/>
                <w:szCs w:val="21"/>
              </w:rPr>
              <w:t>监测</w:t>
            </w:r>
            <w:r>
              <w:rPr>
                <w:rFonts w:hint="eastAsia"/>
                <w:color w:val="auto"/>
                <w:sz w:val="21"/>
                <w:szCs w:val="21"/>
              </w:rPr>
              <w:t>结果</w:t>
            </w:r>
          </w:p>
        </w:tc>
        <w:tc>
          <w:tcPr>
            <w:tcW w:w="404" w:type="pct"/>
            <w:tcBorders>
              <w:tl2br w:val="nil"/>
              <w:tr2bl w:val="nil"/>
            </w:tcBorders>
            <w:noWrap w:val="0"/>
            <w:vAlign w:val="center"/>
          </w:tcPr>
          <w:p w14:paraId="5ED92B16">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rPr>
            </w:pPr>
            <w:r>
              <w:rPr>
                <w:color w:val="auto"/>
                <w:sz w:val="21"/>
                <w:szCs w:val="21"/>
              </w:rPr>
              <w:t>P</w:t>
            </w:r>
            <w:r>
              <w:rPr>
                <w:color w:val="auto"/>
                <w:sz w:val="21"/>
                <w:szCs w:val="21"/>
                <w:vertAlign w:val="subscript"/>
              </w:rPr>
              <w:t>i</w:t>
            </w:r>
          </w:p>
        </w:tc>
        <w:tc>
          <w:tcPr>
            <w:tcW w:w="373" w:type="pct"/>
            <w:tcBorders>
              <w:tl2br w:val="nil"/>
              <w:tr2bl w:val="nil"/>
            </w:tcBorders>
            <w:noWrap w:val="0"/>
            <w:vAlign w:val="center"/>
          </w:tcPr>
          <w:p w14:paraId="5ECCE28F">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rPr>
            </w:pPr>
            <w:r>
              <w:rPr>
                <w:color w:val="auto"/>
                <w:sz w:val="21"/>
                <w:szCs w:val="21"/>
              </w:rPr>
              <w:t>达标情况</w:t>
            </w:r>
          </w:p>
        </w:tc>
        <w:tc>
          <w:tcPr>
            <w:tcW w:w="343" w:type="pct"/>
            <w:tcBorders>
              <w:tl2br w:val="nil"/>
              <w:tr2bl w:val="nil"/>
            </w:tcBorders>
            <w:noWrap w:val="0"/>
            <w:vAlign w:val="center"/>
          </w:tcPr>
          <w:p w14:paraId="06EFCDF1">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rPr>
            </w:pPr>
            <w:r>
              <w:rPr>
                <w:color w:val="auto"/>
                <w:sz w:val="21"/>
                <w:szCs w:val="21"/>
              </w:rPr>
              <w:t>监测数据</w:t>
            </w:r>
          </w:p>
        </w:tc>
        <w:tc>
          <w:tcPr>
            <w:tcW w:w="404" w:type="pct"/>
            <w:tcBorders>
              <w:tl2br w:val="nil"/>
              <w:tr2bl w:val="nil"/>
            </w:tcBorders>
            <w:noWrap w:val="0"/>
            <w:vAlign w:val="center"/>
          </w:tcPr>
          <w:p w14:paraId="38652548">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rPr>
            </w:pPr>
            <w:r>
              <w:rPr>
                <w:color w:val="auto"/>
                <w:sz w:val="21"/>
                <w:szCs w:val="21"/>
              </w:rPr>
              <w:t>P</w:t>
            </w:r>
            <w:r>
              <w:rPr>
                <w:color w:val="auto"/>
                <w:sz w:val="21"/>
                <w:szCs w:val="21"/>
                <w:vertAlign w:val="subscript"/>
              </w:rPr>
              <w:t>i</w:t>
            </w:r>
          </w:p>
        </w:tc>
        <w:tc>
          <w:tcPr>
            <w:tcW w:w="373" w:type="pct"/>
            <w:tcBorders>
              <w:tl2br w:val="nil"/>
              <w:tr2bl w:val="nil"/>
            </w:tcBorders>
            <w:noWrap w:val="0"/>
            <w:vAlign w:val="center"/>
          </w:tcPr>
          <w:p w14:paraId="4356FD0F">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rPr>
            </w:pPr>
            <w:r>
              <w:rPr>
                <w:color w:val="auto"/>
                <w:sz w:val="21"/>
                <w:szCs w:val="21"/>
              </w:rPr>
              <w:t>达标情况</w:t>
            </w:r>
          </w:p>
        </w:tc>
      </w:tr>
      <w:tr w14:paraId="2263F22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50" w:type="pct"/>
            <w:tcBorders>
              <w:tl2br w:val="nil"/>
              <w:tr2bl w:val="nil"/>
            </w:tcBorders>
            <w:noWrap w:val="0"/>
            <w:vAlign w:val="center"/>
          </w:tcPr>
          <w:p w14:paraId="40B15A6C">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rPr>
            </w:pPr>
            <w:r>
              <w:rPr>
                <w:color w:val="auto"/>
                <w:sz w:val="21"/>
                <w:szCs w:val="21"/>
              </w:rPr>
              <w:t>1</w:t>
            </w:r>
          </w:p>
        </w:tc>
        <w:tc>
          <w:tcPr>
            <w:tcW w:w="738" w:type="pct"/>
            <w:tcBorders>
              <w:tl2br w:val="nil"/>
              <w:tr2bl w:val="nil"/>
            </w:tcBorders>
            <w:noWrap w:val="0"/>
            <w:vAlign w:val="center"/>
          </w:tcPr>
          <w:p w14:paraId="476E55BE">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rPr>
            </w:pPr>
            <w:r>
              <w:rPr>
                <w:color w:val="auto"/>
                <w:sz w:val="21"/>
                <w:szCs w:val="21"/>
              </w:rPr>
              <w:t>pH值</w:t>
            </w:r>
          </w:p>
        </w:tc>
        <w:tc>
          <w:tcPr>
            <w:tcW w:w="441" w:type="pct"/>
            <w:tcBorders>
              <w:tl2br w:val="nil"/>
              <w:tr2bl w:val="nil"/>
            </w:tcBorders>
            <w:noWrap w:val="0"/>
            <w:vAlign w:val="center"/>
          </w:tcPr>
          <w:p w14:paraId="6CE90659">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rPr>
            </w:pPr>
            <w:r>
              <w:rPr>
                <w:color w:val="auto"/>
                <w:sz w:val="21"/>
                <w:szCs w:val="21"/>
              </w:rPr>
              <w:t>无量纲</w:t>
            </w:r>
          </w:p>
        </w:tc>
        <w:tc>
          <w:tcPr>
            <w:tcW w:w="404" w:type="pct"/>
            <w:tcBorders>
              <w:tl2br w:val="nil"/>
              <w:tr2bl w:val="nil"/>
            </w:tcBorders>
            <w:noWrap w:val="0"/>
            <w:vAlign w:val="center"/>
          </w:tcPr>
          <w:p w14:paraId="65B4D52F">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lang w:val="en-US" w:eastAsia="zh-CN"/>
              </w:rPr>
            </w:pPr>
            <w:r>
              <w:rPr>
                <w:rFonts w:hint="eastAsia"/>
                <w:color w:val="auto"/>
                <w:sz w:val="21"/>
                <w:szCs w:val="21"/>
                <w:lang w:val="en-US" w:eastAsia="zh-CN"/>
              </w:rPr>
              <w:t>-</w:t>
            </w:r>
          </w:p>
        </w:tc>
        <w:tc>
          <w:tcPr>
            <w:tcW w:w="281" w:type="pct"/>
            <w:tcBorders>
              <w:tl2br w:val="nil"/>
              <w:tr2bl w:val="nil"/>
            </w:tcBorders>
            <w:noWrap w:val="0"/>
            <w:vAlign w:val="center"/>
          </w:tcPr>
          <w:p w14:paraId="1E66C404">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color w:val="auto"/>
                <w:sz w:val="21"/>
                <w:szCs w:val="21"/>
                <w:lang w:val="en-US" w:eastAsia="zh-CN"/>
              </w:rPr>
            </w:pPr>
          </w:p>
        </w:tc>
        <w:tc>
          <w:tcPr>
            <w:tcW w:w="404" w:type="pct"/>
            <w:tcBorders>
              <w:tl2br w:val="nil"/>
              <w:tr2bl w:val="nil"/>
            </w:tcBorders>
            <w:noWrap w:val="0"/>
            <w:vAlign w:val="center"/>
          </w:tcPr>
          <w:p w14:paraId="1269902F">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color w:val="auto"/>
                <w:sz w:val="21"/>
                <w:szCs w:val="21"/>
                <w:lang w:val="en-US" w:eastAsia="zh-CN"/>
              </w:rPr>
            </w:pPr>
          </w:p>
        </w:tc>
        <w:tc>
          <w:tcPr>
            <w:tcW w:w="250" w:type="pct"/>
            <w:tcBorders>
              <w:tl2br w:val="nil"/>
              <w:tr2bl w:val="nil"/>
            </w:tcBorders>
            <w:noWrap w:val="0"/>
            <w:vAlign w:val="center"/>
          </w:tcPr>
          <w:p w14:paraId="79EBC978">
            <w:pPr>
              <w:pStyle w:val="145"/>
              <w:keepNext w:val="0"/>
              <w:keepLines w:val="0"/>
              <w:pageBreakBefore w:val="0"/>
              <w:widowControl/>
              <w:kinsoku/>
              <w:wordWrap/>
              <w:overflowPunct/>
              <w:topLinePunct w:val="0"/>
              <w:autoSpaceDE/>
              <w:autoSpaceDN/>
              <w:bidi w:val="0"/>
              <w:adjustRightInd/>
              <w:snapToGrid w:val="0"/>
              <w:spacing w:after="0"/>
              <w:ind w:firstLine="0" w:firstLineChars="0"/>
              <w:textAlignment w:val="auto"/>
              <w:rPr>
                <w:rFonts w:hint="eastAsia" w:ascii="Times New Roman" w:hAnsi="Times New Roman" w:eastAsia="宋体" w:cs="宋体"/>
                <w:color w:val="auto"/>
                <w:spacing w:val="0"/>
                <w:kern w:val="0"/>
                <w:sz w:val="21"/>
                <w:szCs w:val="21"/>
                <w:lang w:val="en-US" w:eastAsia="zh-CN" w:bidi="ar-SA"/>
              </w:rPr>
            </w:pPr>
          </w:p>
        </w:tc>
        <w:tc>
          <w:tcPr>
            <w:tcW w:w="329" w:type="pct"/>
            <w:tcBorders>
              <w:tl2br w:val="nil"/>
              <w:tr2bl w:val="nil"/>
            </w:tcBorders>
            <w:noWrap w:val="0"/>
            <w:vAlign w:val="center"/>
          </w:tcPr>
          <w:p w14:paraId="4EA7951D">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lang w:val="en-US" w:eastAsia="zh-CN"/>
              </w:rPr>
            </w:pPr>
          </w:p>
        </w:tc>
        <w:tc>
          <w:tcPr>
            <w:tcW w:w="404" w:type="pct"/>
            <w:tcBorders>
              <w:tl2br w:val="nil"/>
              <w:tr2bl w:val="nil"/>
            </w:tcBorders>
            <w:noWrap w:val="0"/>
            <w:vAlign w:val="center"/>
          </w:tcPr>
          <w:p w14:paraId="2DED2FC5">
            <w:pPr>
              <w:pStyle w:val="145"/>
              <w:keepNext w:val="0"/>
              <w:keepLines w:val="0"/>
              <w:pageBreakBefore w:val="0"/>
              <w:widowControl/>
              <w:kinsoku/>
              <w:wordWrap/>
              <w:overflowPunct/>
              <w:topLinePunct w:val="0"/>
              <w:autoSpaceDE/>
              <w:autoSpaceDN/>
              <w:bidi w:val="0"/>
              <w:adjustRightInd/>
              <w:snapToGrid w:val="0"/>
              <w:spacing w:after="0"/>
              <w:textAlignment w:val="auto"/>
              <w:rPr>
                <w:rFonts w:hint="eastAsia" w:eastAsia="宋体"/>
                <w:color w:val="auto"/>
                <w:sz w:val="21"/>
                <w:szCs w:val="21"/>
                <w:highlight w:val="none"/>
                <w:lang w:val="en-US" w:eastAsia="zh-CN"/>
              </w:rPr>
            </w:pPr>
          </w:p>
        </w:tc>
        <w:tc>
          <w:tcPr>
            <w:tcW w:w="373" w:type="pct"/>
            <w:tcBorders>
              <w:tl2br w:val="nil"/>
              <w:tr2bl w:val="nil"/>
            </w:tcBorders>
            <w:noWrap w:val="0"/>
            <w:vAlign w:val="center"/>
          </w:tcPr>
          <w:p w14:paraId="513E4006">
            <w:pPr>
              <w:pStyle w:val="145"/>
              <w:keepNext w:val="0"/>
              <w:keepLines w:val="0"/>
              <w:pageBreakBefore w:val="0"/>
              <w:widowControl/>
              <w:kinsoku/>
              <w:wordWrap/>
              <w:overflowPunct/>
              <w:topLinePunct w:val="0"/>
              <w:autoSpaceDE/>
              <w:autoSpaceDN/>
              <w:bidi w:val="0"/>
              <w:adjustRightInd/>
              <w:snapToGrid w:val="0"/>
              <w:spacing w:after="0"/>
              <w:ind w:firstLine="0" w:firstLineChars="0"/>
              <w:textAlignment w:val="auto"/>
              <w:rPr>
                <w:rFonts w:hint="default" w:ascii="Times New Roman" w:hAnsi="Times New Roman" w:eastAsia="宋体" w:cs="宋体"/>
                <w:color w:val="auto"/>
                <w:spacing w:val="0"/>
                <w:kern w:val="0"/>
                <w:sz w:val="21"/>
                <w:szCs w:val="21"/>
                <w:lang w:val="en-US" w:eastAsia="zh-CN" w:bidi="ar-SA"/>
              </w:rPr>
            </w:pPr>
          </w:p>
        </w:tc>
        <w:tc>
          <w:tcPr>
            <w:tcW w:w="343" w:type="pct"/>
            <w:tcBorders>
              <w:tl2br w:val="nil"/>
              <w:tr2bl w:val="nil"/>
            </w:tcBorders>
            <w:noWrap w:val="0"/>
            <w:vAlign w:val="center"/>
          </w:tcPr>
          <w:p w14:paraId="5EB69D60">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highlight w:val="none"/>
                <w:lang w:val="en-US" w:eastAsia="zh-CN"/>
              </w:rPr>
            </w:pPr>
          </w:p>
        </w:tc>
        <w:tc>
          <w:tcPr>
            <w:tcW w:w="404" w:type="pct"/>
            <w:tcBorders>
              <w:tl2br w:val="nil"/>
              <w:tr2bl w:val="nil"/>
            </w:tcBorders>
            <w:noWrap w:val="0"/>
            <w:vAlign w:val="center"/>
          </w:tcPr>
          <w:p w14:paraId="7665189E">
            <w:pPr>
              <w:pStyle w:val="145"/>
              <w:keepNext w:val="0"/>
              <w:keepLines w:val="0"/>
              <w:pageBreakBefore w:val="0"/>
              <w:widowControl/>
              <w:kinsoku/>
              <w:wordWrap/>
              <w:overflowPunct/>
              <w:topLinePunct w:val="0"/>
              <w:autoSpaceDE/>
              <w:autoSpaceDN/>
              <w:bidi w:val="0"/>
              <w:adjustRightInd/>
              <w:snapToGrid w:val="0"/>
              <w:spacing w:after="0"/>
              <w:ind w:firstLine="0" w:firstLineChars="0"/>
              <w:textAlignment w:val="auto"/>
              <w:rPr>
                <w:rFonts w:hint="eastAsia" w:ascii="Times New Roman" w:hAnsi="Times New Roman" w:eastAsia="宋体" w:cs="宋体"/>
                <w:color w:val="auto"/>
                <w:spacing w:val="0"/>
                <w:kern w:val="0"/>
                <w:sz w:val="21"/>
                <w:szCs w:val="21"/>
                <w:lang w:val="en-US" w:eastAsia="zh-CN" w:bidi="ar-SA"/>
              </w:rPr>
            </w:pPr>
          </w:p>
        </w:tc>
        <w:tc>
          <w:tcPr>
            <w:tcW w:w="373" w:type="pct"/>
            <w:tcBorders>
              <w:tl2br w:val="nil"/>
              <w:tr2bl w:val="nil"/>
            </w:tcBorders>
            <w:noWrap w:val="0"/>
            <w:vAlign w:val="center"/>
          </w:tcPr>
          <w:p w14:paraId="7A46777D">
            <w:pPr>
              <w:pStyle w:val="145"/>
              <w:keepNext w:val="0"/>
              <w:keepLines w:val="0"/>
              <w:pageBreakBefore w:val="0"/>
              <w:widowControl/>
              <w:kinsoku/>
              <w:wordWrap/>
              <w:overflowPunct/>
              <w:topLinePunct w:val="0"/>
              <w:autoSpaceDE/>
              <w:autoSpaceDN/>
              <w:bidi w:val="0"/>
              <w:adjustRightInd/>
              <w:snapToGrid w:val="0"/>
              <w:spacing w:after="0"/>
              <w:ind w:firstLine="0" w:firstLineChars="0"/>
              <w:textAlignment w:val="auto"/>
              <w:rPr>
                <w:rFonts w:hint="eastAsia" w:ascii="Times New Roman" w:hAnsi="Times New Roman" w:eastAsia="宋体" w:cs="宋体"/>
                <w:color w:val="auto"/>
                <w:spacing w:val="0"/>
                <w:kern w:val="0"/>
                <w:sz w:val="21"/>
                <w:szCs w:val="21"/>
                <w:lang w:val="en-US" w:eastAsia="zh-CN" w:bidi="ar-SA"/>
              </w:rPr>
            </w:pPr>
            <w:r>
              <w:rPr>
                <w:rFonts w:hint="eastAsia"/>
                <w:color w:val="auto"/>
                <w:sz w:val="21"/>
                <w:szCs w:val="21"/>
                <w:lang w:val="en-US" w:eastAsia="zh-CN"/>
              </w:rPr>
              <w:t>-</w:t>
            </w:r>
          </w:p>
        </w:tc>
      </w:tr>
      <w:tr w14:paraId="1EBF0A6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50" w:type="pct"/>
            <w:tcBorders>
              <w:tl2br w:val="nil"/>
              <w:tr2bl w:val="nil"/>
            </w:tcBorders>
            <w:noWrap w:val="0"/>
            <w:vAlign w:val="center"/>
          </w:tcPr>
          <w:p w14:paraId="5D7176E2">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lang w:val="en-US" w:eastAsia="zh-CN"/>
              </w:rPr>
            </w:pPr>
            <w:r>
              <w:rPr>
                <w:rFonts w:hint="eastAsia"/>
                <w:color w:val="auto"/>
                <w:sz w:val="21"/>
                <w:szCs w:val="21"/>
                <w:lang w:val="en-US" w:eastAsia="zh-CN"/>
              </w:rPr>
              <w:t>2</w:t>
            </w:r>
          </w:p>
        </w:tc>
        <w:tc>
          <w:tcPr>
            <w:tcW w:w="738" w:type="pct"/>
            <w:tcBorders>
              <w:tl2br w:val="nil"/>
              <w:tr2bl w:val="nil"/>
            </w:tcBorders>
            <w:noWrap w:val="0"/>
            <w:vAlign w:val="center"/>
          </w:tcPr>
          <w:p w14:paraId="2DA5C941">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lang w:val="en-US" w:eastAsia="zh-CN"/>
              </w:rPr>
            </w:pPr>
            <w:r>
              <w:rPr>
                <w:rFonts w:hint="eastAsia"/>
                <w:color w:val="auto"/>
                <w:sz w:val="21"/>
                <w:szCs w:val="21"/>
                <w:lang w:val="en-US" w:eastAsia="zh-CN"/>
              </w:rPr>
              <w:t>水溶性盐总量</w:t>
            </w:r>
          </w:p>
        </w:tc>
        <w:tc>
          <w:tcPr>
            <w:tcW w:w="441" w:type="pct"/>
            <w:tcBorders>
              <w:tl2br w:val="nil"/>
              <w:tr2bl w:val="nil"/>
            </w:tcBorders>
            <w:noWrap w:val="0"/>
            <w:vAlign w:val="center"/>
          </w:tcPr>
          <w:p w14:paraId="36602DED">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rPr>
            </w:pPr>
            <w:r>
              <w:rPr>
                <w:color w:val="auto"/>
                <w:sz w:val="21"/>
                <w:szCs w:val="21"/>
              </w:rPr>
              <w:t>g/kg</w:t>
            </w:r>
          </w:p>
        </w:tc>
        <w:tc>
          <w:tcPr>
            <w:tcW w:w="404" w:type="pct"/>
            <w:tcBorders>
              <w:tl2br w:val="nil"/>
              <w:tr2bl w:val="nil"/>
            </w:tcBorders>
            <w:noWrap/>
            <w:vAlign w:val="center"/>
          </w:tcPr>
          <w:p w14:paraId="025DC0F7">
            <w:pPr>
              <w:pStyle w:val="145"/>
              <w:keepNext w:val="0"/>
              <w:keepLines w:val="0"/>
              <w:pageBreakBefore w:val="0"/>
              <w:widowControl/>
              <w:kinsoku/>
              <w:wordWrap/>
              <w:overflowPunct/>
              <w:topLinePunct w:val="0"/>
              <w:autoSpaceDE/>
              <w:autoSpaceDN/>
              <w:bidi w:val="0"/>
              <w:adjustRightInd/>
              <w:snapToGrid w:val="0"/>
              <w:spacing w:after="0"/>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281" w:type="pct"/>
            <w:tcBorders>
              <w:tl2br w:val="nil"/>
              <w:tr2bl w:val="nil"/>
            </w:tcBorders>
            <w:noWrap w:val="0"/>
            <w:vAlign w:val="center"/>
          </w:tcPr>
          <w:p w14:paraId="05ABF212">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color w:val="auto"/>
                <w:sz w:val="21"/>
                <w:szCs w:val="21"/>
                <w:lang w:val="en-US" w:eastAsia="zh-CN"/>
              </w:rPr>
            </w:pPr>
          </w:p>
        </w:tc>
        <w:tc>
          <w:tcPr>
            <w:tcW w:w="404" w:type="pct"/>
            <w:tcBorders>
              <w:tl2br w:val="nil"/>
              <w:tr2bl w:val="nil"/>
            </w:tcBorders>
            <w:noWrap w:val="0"/>
            <w:vAlign w:val="center"/>
          </w:tcPr>
          <w:p w14:paraId="5EF7BE36">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color w:val="auto"/>
                <w:sz w:val="21"/>
                <w:szCs w:val="21"/>
                <w:lang w:val="en-US" w:eastAsia="zh-CN"/>
              </w:rPr>
            </w:pPr>
          </w:p>
        </w:tc>
        <w:tc>
          <w:tcPr>
            <w:tcW w:w="250" w:type="pct"/>
            <w:tcBorders>
              <w:tl2br w:val="nil"/>
              <w:tr2bl w:val="nil"/>
            </w:tcBorders>
            <w:noWrap w:val="0"/>
            <w:vAlign w:val="center"/>
          </w:tcPr>
          <w:p w14:paraId="52A86338">
            <w:pPr>
              <w:pStyle w:val="145"/>
              <w:keepNext w:val="0"/>
              <w:keepLines w:val="0"/>
              <w:pageBreakBefore w:val="0"/>
              <w:widowControl/>
              <w:kinsoku/>
              <w:wordWrap/>
              <w:overflowPunct/>
              <w:topLinePunct w:val="0"/>
              <w:autoSpaceDE/>
              <w:autoSpaceDN/>
              <w:bidi w:val="0"/>
              <w:adjustRightInd/>
              <w:snapToGrid w:val="0"/>
              <w:spacing w:after="0"/>
              <w:ind w:firstLine="0" w:firstLineChars="0"/>
              <w:textAlignment w:val="auto"/>
              <w:rPr>
                <w:rFonts w:hint="eastAsia" w:ascii="Times New Roman" w:hAnsi="Times New Roman" w:eastAsia="宋体" w:cs="宋体"/>
                <w:color w:val="auto"/>
                <w:spacing w:val="0"/>
                <w:kern w:val="0"/>
                <w:sz w:val="21"/>
                <w:szCs w:val="21"/>
                <w:lang w:val="en-US" w:eastAsia="zh-CN" w:bidi="ar-SA"/>
              </w:rPr>
            </w:pPr>
          </w:p>
        </w:tc>
        <w:tc>
          <w:tcPr>
            <w:tcW w:w="329" w:type="pct"/>
            <w:tcBorders>
              <w:tl2br w:val="nil"/>
              <w:tr2bl w:val="nil"/>
            </w:tcBorders>
            <w:noWrap w:val="0"/>
            <w:vAlign w:val="center"/>
          </w:tcPr>
          <w:p w14:paraId="2F9D0FAD">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lang w:val="en-US" w:eastAsia="zh-CN"/>
              </w:rPr>
            </w:pPr>
          </w:p>
        </w:tc>
        <w:tc>
          <w:tcPr>
            <w:tcW w:w="404" w:type="pct"/>
            <w:tcBorders>
              <w:tl2br w:val="nil"/>
              <w:tr2bl w:val="nil"/>
            </w:tcBorders>
            <w:noWrap w:val="0"/>
            <w:vAlign w:val="center"/>
          </w:tcPr>
          <w:p w14:paraId="5BBA4C04">
            <w:pPr>
              <w:pStyle w:val="145"/>
              <w:keepNext w:val="0"/>
              <w:keepLines w:val="0"/>
              <w:pageBreakBefore w:val="0"/>
              <w:widowControl/>
              <w:kinsoku/>
              <w:wordWrap/>
              <w:overflowPunct/>
              <w:topLinePunct w:val="0"/>
              <w:autoSpaceDE/>
              <w:autoSpaceDN/>
              <w:bidi w:val="0"/>
              <w:adjustRightInd/>
              <w:snapToGrid w:val="0"/>
              <w:spacing w:after="0"/>
              <w:textAlignment w:val="auto"/>
              <w:rPr>
                <w:rFonts w:hint="eastAsia" w:eastAsia="宋体"/>
                <w:color w:val="auto"/>
                <w:sz w:val="21"/>
                <w:szCs w:val="21"/>
                <w:highlight w:val="none"/>
                <w:lang w:val="en-US" w:eastAsia="zh-CN"/>
              </w:rPr>
            </w:pPr>
          </w:p>
        </w:tc>
        <w:tc>
          <w:tcPr>
            <w:tcW w:w="373" w:type="pct"/>
            <w:tcBorders>
              <w:tl2br w:val="nil"/>
              <w:tr2bl w:val="nil"/>
            </w:tcBorders>
            <w:noWrap/>
            <w:vAlign w:val="center"/>
          </w:tcPr>
          <w:p w14:paraId="47BCBA22">
            <w:pPr>
              <w:pStyle w:val="145"/>
              <w:keepNext w:val="0"/>
              <w:keepLines w:val="0"/>
              <w:pageBreakBefore w:val="0"/>
              <w:widowControl/>
              <w:kinsoku/>
              <w:wordWrap/>
              <w:overflowPunct/>
              <w:topLinePunct w:val="0"/>
              <w:autoSpaceDE/>
              <w:autoSpaceDN/>
              <w:bidi w:val="0"/>
              <w:adjustRightInd/>
              <w:snapToGrid w:val="0"/>
              <w:spacing w:after="0"/>
              <w:ind w:firstLine="0" w:firstLineChars="0"/>
              <w:textAlignment w:val="auto"/>
              <w:rPr>
                <w:rFonts w:hint="default" w:ascii="Times New Roman" w:hAnsi="Times New Roman" w:eastAsia="宋体" w:cs="宋体"/>
                <w:color w:val="auto"/>
                <w:spacing w:val="0"/>
                <w:kern w:val="0"/>
                <w:sz w:val="21"/>
                <w:szCs w:val="21"/>
                <w:lang w:val="en-US" w:eastAsia="zh-CN" w:bidi="ar-SA"/>
              </w:rPr>
            </w:pPr>
          </w:p>
        </w:tc>
        <w:tc>
          <w:tcPr>
            <w:tcW w:w="343" w:type="pct"/>
            <w:tcBorders>
              <w:tl2br w:val="nil"/>
              <w:tr2bl w:val="nil"/>
            </w:tcBorders>
            <w:noWrap w:val="0"/>
            <w:vAlign w:val="center"/>
          </w:tcPr>
          <w:p w14:paraId="1FDE20D7">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highlight w:val="none"/>
                <w:lang w:val="en-US" w:eastAsia="zh-CN"/>
              </w:rPr>
            </w:pPr>
          </w:p>
        </w:tc>
        <w:tc>
          <w:tcPr>
            <w:tcW w:w="404" w:type="pct"/>
            <w:tcBorders>
              <w:tl2br w:val="nil"/>
              <w:tr2bl w:val="nil"/>
            </w:tcBorders>
            <w:noWrap w:val="0"/>
            <w:vAlign w:val="center"/>
          </w:tcPr>
          <w:p w14:paraId="4032EE66">
            <w:pPr>
              <w:pStyle w:val="145"/>
              <w:keepNext w:val="0"/>
              <w:keepLines w:val="0"/>
              <w:pageBreakBefore w:val="0"/>
              <w:widowControl/>
              <w:kinsoku/>
              <w:wordWrap/>
              <w:overflowPunct/>
              <w:topLinePunct w:val="0"/>
              <w:autoSpaceDE/>
              <w:autoSpaceDN/>
              <w:bidi w:val="0"/>
              <w:adjustRightInd/>
              <w:snapToGrid w:val="0"/>
              <w:spacing w:after="0"/>
              <w:ind w:firstLine="0" w:firstLineChars="0"/>
              <w:textAlignment w:val="auto"/>
              <w:rPr>
                <w:rFonts w:hint="default" w:ascii="Times New Roman" w:hAnsi="Times New Roman" w:eastAsia="宋体" w:cs="宋体"/>
                <w:color w:val="auto"/>
                <w:spacing w:val="0"/>
                <w:kern w:val="0"/>
                <w:sz w:val="21"/>
                <w:szCs w:val="21"/>
                <w:lang w:val="en-US" w:eastAsia="zh-CN" w:bidi="ar-SA"/>
              </w:rPr>
            </w:pPr>
          </w:p>
        </w:tc>
        <w:tc>
          <w:tcPr>
            <w:tcW w:w="373" w:type="pct"/>
            <w:tcBorders>
              <w:tl2br w:val="nil"/>
              <w:tr2bl w:val="nil"/>
            </w:tcBorders>
            <w:noWrap/>
            <w:vAlign w:val="center"/>
          </w:tcPr>
          <w:p w14:paraId="55270B4A">
            <w:pPr>
              <w:pStyle w:val="145"/>
              <w:keepNext w:val="0"/>
              <w:keepLines w:val="0"/>
              <w:pageBreakBefore w:val="0"/>
              <w:widowControl/>
              <w:kinsoku/>
              <w:wordWrap/>
              <w:overflowPunct/>
              <w:topLinePunct w:val="0"/>
              <w:autoSpaceDE/>
              <w:autoSpaceDN/>
              <w:bidi w:val="0"/>
              <w:adjustRightInd/>
              <w:snapToGrid w:val="0"/>
              <w:spacing w:after="0"/>
              <w:ind w:firstLine="0" w:firstLineChars="0"/>
              <w:textAlignment w:val="auto"/>
              <w:rPr>
                <w:rFonts w:hint="default" w:ascii="Times New Roman" w:hAnsi="Times New Roman" w:eastAsia="宋体" w:cs="宋体"/>
                <w:color w:val="auto"/>
                <w:spacing w:val="0"/>
                <w:kern w:val="0"/>
                <w:sz w:val="21"/>
                <w:szCs w:val="21"/>
                <w:lang w:val="en-US" w:eastAsia="zh-CN" w:bidi="ar-SA"/>
              </w:rPr>
            </w:pPr>
            <w:r>
              <w:rPr>
                <w:rFonts w:hint="eastAsia"/>
                <w:color w:val="auto"/>
                <w:sz w:val="21"/>
                <w:szCs w:val="21"/>
                <w:lang w:val="en-US" w:eastAsia="zh-CN"/>
              </w:rPr>
              <w:t>-</w:t>
            </w:r>
          </w:p>
        </w:tc>
      </w:tr>
      <w:tr w14:paraId="5975D85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50" w:type="pct"/>
            <w:tcBorders>
              <w:tl2br w:val="nil"/>
              <w:tr2bl w:val="nil"/>
            </w:tcBorders>
            <w:noWrap w:val="0"/>
            <w:vAlign w:val="center"/>
          </w:tcPr>
          <w:p w14:paraId="523D885F">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lang w:val="en-US" w:eastAsia="zh-CN"/>
              </w:rPr>
            </w:pPr>
            <w:r>
              <w:rPr>
                <w:rFonts w:hint="eastAsia"/>
                <w:color w:val="auto"/>
                <w:sz w:val="21"/>
                <w:szCs w:val="21"/>
                <w:lang w:val="en-US" w:eastAsia="zh-CN"/>
              </w:rPr>
              <w:t>3</w:t>
            </w:r>
          </w:p>
        </w:tc>
        <w:tc>
          <w:tcPr>
            <w:tcW w:w="738" w:type="pct"/>
            <w:tcBorders>
              <w:tl2br w:val="nil"/>
              <w:tr2bl w:val="nil"/>
            </w:tcBorders>
            <w:noWrap w:val="0"/>
            <w:vAlign w:val="center"/>
          </w:tcPr>
          <w:p w14:paraId="46BCB4D4">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rPr>
            </w:pPr>
            <w:r>
              <w:rPr>
                <w:color w:val="auto"/>
                <w:sz w:val="21"/>
                <w:szCs w:val="21"/>
              </w:rPr>
              <w:t>石油烃（C</w:t>
            </w:r>
            <w:r>
              <w:rPr>
                <w:color w:val="auto"/>
                <w:sz w:val="21"/>
                <w:szCs w:val="21"/>
                <w:vertAlign w:val="subscript"/>
              </w:rPr>
              <w:t>10</w:t>
            </w:r>
            <w:r>
              <w:rPr>
                <w:color w:val="auto"/>
                <w:sz w:val="21"/>
                <w:szCs w:val="21"/>
              </w:rPr>
              <w:t>-C</w:t>
            </w:r>
            <w:r>
              <w:rPr>
                <w:color w:val="auto"/>
                <w:sz w:val="21"/>
                <w:szCs w:val="21"/>
                <w:vertAlign w:val="subscript"/>
              </w:rPr>
              <w:t>40</w:t>
            </w:r>
            <w:r>
              <w:rPr>
                <w:color w:val="auto"/>
                <w:sz w:val="21"/>
                <w:szCs w:val="21"/>
              </w:rPr>
              <w:t>）</w:t>
            </w:r>
          </w:p>
        </w:tc>
        <w:tc>
          <w:tcPr>
            <w:tcW w:w="441" w:type="pct"/>
            <w:tcBorders>
              <w:tl2br w:val="nil"/>
              <w:tr2bl w:val="nil"/>
            </w:tcBorders>
            <w:noWrap w:val="0"/>
            <w:vAlign w:val="center"/>
          </w:tcPr>
          <w:p w14:paraId="07DD2409">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rPr>
            </w:pPr>
            <w:r>
              <w:rPr>
                <w:color w:val="auto"/>
                <w:sz w:val="21"/>
                <w:szCs w:val="21"/>
              </w:rPr>
              <w:t>mg/kg</w:t>
            </w:r>
          </w:p>
        </w:tc>
        <w:tc>
          <w:tcPr>
            <w:tcW w:w="404" w:type="pct"/>
            <w:tcBorders>
              <w:tl2br w:val="nil"/>
              <w:tr2bl w:val="nil"/>
            </w:tcBorders>
            <w:noWrap/>
            <w:vAlign w:val="center"/>
          </w:tcPr>
          <w:p w14:paraId="7CDB4D15">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rPr>
            </w:pPr>
            <w:r>
              <w:rPr>
                <w:color w:val="auto"/>
                <w:sz w:val="21"/>
                <w:szCs w:val="21"/>
              </w:rPr>
              <w:t>4500</w:t>
            </w:r>
          </w:p>
        </w:tc>
        <w:tc>
          <w:tcPr>
            <w:tcW w:w="281" w:type="pct"/>
            <w:tcBorders>
              <w:tl2br w:val="nil"/>
              <w:tr2bl w:val="nil"/>
            </w:tcBorders>
            <w:noWrap w:val="0"/>
            <w:vAlign w:val="center"/>
          </w:tcPr>
          <w:p w14:paraId="2482EE8C">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lang w:val="en-US" w:eastAsia="zh-CN"/>
              </w:rPr>
            </w:pPr>
          </w:p>
        </w:tc>
        <w:tc>
          <w:tcPr>
            <w:tcW w:w="404" w:type="pct"/>
            <w:tcBorders>
              <w:tl2br w:val="nil"/>
              <w:tr2bl w:val="nil"/>
            </w:tcBorders>
            <w:noWrap w:val="0"/>
            <w:vAlign w:val="center"/>
          </w:tcPr>
          <w:p w14:paraId="02D0FB8B">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lang w:val="en-US" w:eastAsia="zh-CN"/>
              </w:rPr>
            </w:pPr>
          </w:p>
        </w:tc>
        <w:tc>
          <w:tcPr>
            <w:tcW w:w="250" w:type="pct"/>
            <w:tcBorders>
              <w:tl2br w:val="nil"/>
              <w:tr2bl w:val="nil"/>
            </w:tcBorders>
            <w:noWrap w:val="0"/>
            <w:vAlign w:val="center"/>
          </w:tcPr>
          <w:p w14:paraId="00ED9C49">
            <w:pPr>
              <w:pStyle w:val="145"/>
              <w:keepNext w:val="0"/>
              <w:keepLines w:val="0"/>
              <w:pageBreakBefore w:val="0"/>
              <w:widowControl/>
              <w:kinsoku/>
              <w:wordWrap/>
              <w:overflowPunct/>
              <w:topLinePunct w:val="0"/>
              <w:autoSpaceDE/>
              <w:autoSpaceDN/>
              <w:bidi w:val="0"/>
              <w:adjustRightInd/>
              <w:snapToGrid w:val="0"/>
              <w:spacing w:after="0"/>
              <w:textAlignment w:val="auto"/>
              <w:rPr>
                <w:rFonts w:hint="eastAsia" w:eastAsia="宋体"/>
                <w:color w:val="auto"/>
                <w:sz w:val="21"/>
                <w:szCs w:val="21"/>
                <w:lang w:eastAsia="zh-CN"/>
              </w:rPr>
            </w:pPr>
          </w:p>
        </w:tc>
        <w:tc>
          <w:tcPr>
            <w:tcW w:w="329" w:type="pct"/>
            <w:tcBorders>
              <w:tl2br w:val="nil"/>
              <w:tr2bl w:val="nil"/>
            </w:tcBorders>
            <w:noWrap w:val="0"/>
            <w:vAlign w:val="center"/>
          </w:tcPr>
          <w:p w14:paraId="7C4BF256">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lang w:val="en-US" w:eastAsia="zh-CN"/>
              </w:rPr>
            </w:pPr>
          </w:p>
        </w:tc>
        <w:tc>
          <w:tcPr>
            <w:tcW w:w="404" w:type="pct"/>
            <w:tcBorders>
              <w:tl2br w:val="nil"/>
              <w:tr2bl w:val="nil"/>
            </w:tcBorders>
            <w:noWrap w:val="0"/>
            <w:vAlign w:val="center"/>
          </w:tcPr>
          <w:p w14:paraId="698DC2FA">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highlight w:val="none"/>
                <w:lang w:val="en-US" w:eastAsia="zh-CN"/>
              </w:rPr>
            </w:pPr>
          </w:p>
        </w:tc>
        <w:tc>
          <w:tcPr>
            <w:tcW w:w="373" w:type="pct"/>
            <w:tcBorders>
              <w:tl2br w:val="nil"/>
              <w:tr2bl w:val="nil"/>
            </w:tcBorders>
            <w:noWrap/>
            <w:vAlign w:val="center"/>
          </w:tcPr>
          <w:p w14:paraId="308D82C6">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p>
        </w:tc>
        <w:tc>
          <w:tcPr>
            <w:tcW w:w="343" w:type="pct"/>
            <w:tcBorders>
              <w:tl2br w:val="nil"/>
              <w:tr2bl w:val="nil"/>
            </w:tcBorders>
            <w:noWrap w:val="0"/>
            <w:vAlign w:val="center"/>
          </w:tcPr>
          <w:p w14:paraId="674BA635">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highlight w:val="none"/>
                <w:lang w:val="en-US" w:eastAsia="zh-CN"/>
              </w:rPr>
            </w:pPr>
          </w:p>
        </w:tc>
        <w:tc>
          <w:tcPr>
            <w:tcW w:w="404" w:type="pct"/>
            <w:tcBorders>
              <w:tl2br w:val="nil"/>
              <w:tr2bl w:val="nil"/>
            </w:tcBorders>
            <w:noWrap w:val="0"/>
            <w:vAlign w:val="center"/>
          </w:tcPr>
          <w:p w14:paraId="2B83CB71">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highlight w:val="none"/>
                <w:lang w:val="en-US" w:eastAsia="zh-CN"/>
              </w:rPr>
            </w:pPr>
          </w:p>
        </w:tc>
        <w:tc>
          <w:tcPr>
            <w:tcW w:w="373" w:type="pct"/>
            <w:tcBorders>
              <w:tl2br w:val="nil"/>
              <w:tr2bl w:val="nil"/>
            </w:tcBorders>
            <w:noWrap/>
            <w:vAlign w:val="center"/>
          </w:tcPr>
          <w:p w14:paraId="710FE758">
            <w:pPr>
              <w:pStyle w:val="145"/>
              <w:keepNext w:val="0"/>
              <w:keepLines w:val="0"/>
              <w:pageBreakBefore w:val="0"/>
              <w:widowControl/>
              <w:kinsoku/>
              <w:wordWrap/>
              <w:overflowPunct/>
              <w:topLinePunct w:val="0"/>
              <w:autoSpaceDE/>
              <w:autoSpaceDN/>
              <w:bidi w:val="0"/>
              <w:adjustRightInd/>
              <w:snapToGrid w:val="0"/>
              <w:spacing w:after="0"/>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达标</w:t>
            </w:r>
          </w:p>
        </w:tc>
      </w:tr>
    </w:tbl>
    <w:p w14:paraId="70BB0B85">
      <w:pPr>
        <w:pStyle w:val="61"/>
        <w:bidi w:val="0"/>
        <w:jc w:val="both"/>
        <w:rPr>
          <w:rFonts w:hint="eastAsia"/>
          <w:color w:val="auto"/>
          <w:lang w:val="en-US" w:eastAsia="zh-CN"/>
        </w:rPr>
      </w:pPr>
      <w:r>
        <w:rPr>
          <w:rFonts w:hint="eastAsia"/>
          <w:color w:val="auto"/>
          <w:lang w:val="en-US" w:eastAsia="zh-CN"/>
        </w:rPr>
        <w:t>续表4.5-7  占地范围外表层样土壤监测及评价结果</w:t>
      </w:r>
    </w:p>
    <w:tbl>
      <w:tblPr>
        <w:tblStyle w:val="36"/>
        <w:tblW w:w="4998"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567"/>
        <w:gridCol w:w="1682"/>
        <w:gridCol w:w="1005"/>
        <w:gridCol w:w="929"/>
        <w:gridCol w:w="640"/>
        <w:gridCol w:w="781"/>
        <w:gridCol w:w="708"/>
        <w:gridCol w:w="744"/>
        <w:gridCol w:w="921"/>
        <w:gridCol w:w="853"/>
      </w:tblGrid>
      <w:tr w14:paraId="225731D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2368" w:type="pct"/>
            <w:gridSpan w:val="4"/>
            <w:tcBorders>
              <w:tl2br w:val="nil"/>
              <w:tr2bl w:val="nil"/>
            </w:tcBorders>
            <w:noWrap/>
            <w:vAlign w:val="center"/>
          </w:tcPr>
          <w:p w14:paraId="295129B4">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r>
              <w:rPr>
                <w:color w:val="auto"/>
                <w:sz w:val="21"/>
                <w:szCs w:val="21"/>
                <w:highlight w:val="none"/>
              </w:rPr>
              <w:t>监测点位</w:t>
            </w:r>
          </w:p>
        </w:tc>
        <w:tc>
          <w:tcPr>
            <w:tcW w:w="1205" w:type="pct"/>
            <w:gridSpan w:val="3"/>
            <w:tcBorders>
              <w:tl2br w:val="nil"/>
              <w:tr2bl w:val="nil"/>
            </w:tcBorders>
            <w:noWrap/>
            <w:vAlign w:val="center"/>
          </w:tcPr>
          <w:p w14:paraId="392ACDF6">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雄英103井</w:t>
            </w:r>
          </w:p>
        </w:tc>
        <w:tc>
          <w:tcPr>
            <w:tcW w:w="1425" w:type="pct"/>
            <w:gridSpan w:val="3"/>
            <w:tcBorders>
              <w:tl2br w:val="nil"/>
              <w:tr2bl w:val="nil"/>
            </w:tcBorders>
            <w:noWrap/>
            <w:vAlign w:val="center"/>
          </w:tcPr>
          <w:p w14:paraId="484F00EB">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雄探1试采点</w:t>
            </w:r>
          </w:p>
        </w:tc>
      </w:tr>
      <w:tr w14:paraId="42DFE3F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2368" w:type="pct"/>
            <w:gridSpan w:val="4"/>
            <w:tcBorders>
              <w:tl2br w:val="nil"/>
              <w:tr2bl w:val="nil"/>
            </w:tcBorders>
            <w:noWrap/>
            <w:vAlign w:val="center"/>
          </w:tcPr>
          <w:p w14:paraId="629F64AB">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r>
              <w:rPr>
                <w:color w:val="auto"/>
                <w:sz w:val="21"/>
                <w:szCs w:val="21"/>
                <w:highlight w:val="none"/>
              </w:rPr>
              <w:t>采样深度</w:t>
            </w:r>
          </w:p>
        </w:tc>
        <w:tc>
          <w:tcPr>
            <w:tcW w:w="1205" w:type="pct"/>
            <w:gridSpan w:val="3"/>
            <w:tcBorders>
              <w:tl2br w:val="nil"/>
              <w:tr2bl w:val="nil"/>
            </w:tcBorders>
            <w:noWrap/>
            <w:vAlign w:val="center"/>
          </w:tcPr>
          <w:p w14:paraId="30ECF60C">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r>
              <w:rPr>
                <w:color w:val="auto"/>
                <w:sz w:val="21"/>
                <w:szCs w:val="21"/>
                <w:highlight w:val="none"/>
              </w:rPr>
              <w:t>0-20cm</w:t>
            </w:r>
          </w:p>
        </w:tc>
        <w:tc>
          <w:tcPr>
            <w:tcW w:w="1425" w:type="pct"/>
            <w:gridSpan w:val="3"/>
            <w:tcBorders>
              <w:tl2br w:val="nil"/>
              <w:tr2bl w:val="nil"/>
            </w:tcBorders>
            <w:noWrap/>
            <w:vAlign w:val="center"/>
          </w:tcPr>
          <w:p w14:paraId="6DA0E3E2">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highlight w:val="none"/>
              </w:rPr>
            </w:pPr>
            <w:r>
              <w:rPr>
                <w:color w:val="auto"/>
                <w:sz w:val="21"/>
                <w:szCs w:val="21"/>
                <w:highlight w:val="none"/>
              </w:rPr>
              <w:t>0-20cm</w:t>
            </w:r>
          </w:p>
        </w:tc>
      </w:tr>
      <w:tr w14:paraId="7FF8554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321" w:type="pct"/>
            <w:tcBorders>
              <w:tl2br w:val="nil"/>
              <w:tr2bl w:val="nil"/>
            </w:tcBorders>
            <w:noWrap w:val="0"/>
            <w:vAlign w:val="center"/>
          </w:tcPr>
          <w:p w14:paraId="3D8C40D8">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rPr>
            </w:pPr>
            <w:r>
              <w:rPr>
                <w:color w:val="auto"/>
                <w:sz w:val="21"/>
                <w:szCs w:val="21"/>
              </w:rPr>
              <w:t>序号</w:t>
            </w:r>
          </w:p>
        </w:tc>
        <w:tc>
          <w:tcPr>
            <w:tcW w:w="952" w:type="pct"/>
            <w:tcBorders>
              <w:tl2br w:val="nil"/>
              <w:tr2bl w:val="nil"/>
            </w:tcBorders>
            <w:noWrap w:val="0"/>
            <w:vAlign w:val="center"/>
          </w:tcPr>
          <w:p w14:paraId="037239B8">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rPr>
            </w:pPr>
            <w:r>
              <w:rPr>
                <w:color w:val="auto"/>
                <w:sz w:val="21"/>
                <w:szCs w:val="21"/>
              </w:rPr>
              <w:t>检测项目</w:t>
            </w:r>
          </w:p>
        </w:tc>
        <w:tc>
          <w:tcPr>
            <w:tcW w:w="569" w:type="pct"/>
            <w:tcBorders>
              <w:tl2br w:val="nil"/>
              <w:tr2bl w:val="nil"/>
            </w:tcBorders>
            <w:noWrap w:val="0"/>
            <w:vAlign w:val="center"/>
          </w:tcPr>
          <w:p w14:paraId="4AFBAF82">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rPr>
            </w:pPr>
            <w:r>
              <w:rPr>
                <w:color w:val="auto"/>
                <w:sz w:val="21"/>
                <w:szCs w:val="21"/>
              </w:rPr>
              <w:t>单位</w:t>
            </w:r>
          </w:p>
        </w:tc>
        <w:tc>
          <w:tcPr>
            <w:tcW w:w="525" w:type="pct"/>
            <w:tcBorders>
              <w:tl2br w:val="nil"/>
              <w:tr2bl w:val="nil"/>
            </w:tcBorders>
            <w:noWrap w:val="0"/>
            <w:vAlign w:val="center"/>
          </w:tcPr>
          <w:p w14:paraId="1EDD59DC">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rPr>
            </w:pPr>
            <w:r>
              <w:rPr>
                <w:color w:val="auto"/>
                <w:sz w:val="21"/>
                <w:szCs w:val="21"/>
              </w:rPr>
              <w:t>筛选值（pH＞7.5）</w:t>
            </w:r>
          </w:p>
        </w:tc>
        <w:tc>
          <w:tcPr>
            <w:tcW w:w="362" w:type="pct"/>
            <w:tcBorders>
              <w:tl2br w:val="nil"/>
              <w:tr2bl w:val="nil"/>
            </w:tcBorders>
            <w:noWrap w:val="0"/>
            <w:vAlign w:val="center"/>
          </w:tcPr>
          <w:p w14:paraId="711AE07F">
            <w:pPr>
              <w:pStyle w:val="145"/>
              <w:keepNext w:val="0"/>
              <w:keepLines w:val="0"/>
              <w:pageBreakBefore w:val="0"/>
              <w:widowControl/>
              <w:kinsoku/>
              <w:wordWrap/>
              <w:overflowPunct/>
              <w:topLinePunct w:val="0"/>
              <w:autoSpaceDE/>
              <w:autoSpaceDN/>
              <w:bidi w:val="0"/>
              <w:adjustRightInd/>
              <w:snapToGrid w:val="0"/>
              <w:spacing w:after="0"/>
              <w:ind w:firstLine="0" w:firstLineChars="0"/>
              <w:textAlignment w:val="auto"/>
              <w:rPr>
                <w:rFonts w:hint="eastAsia" w:ascii="Times New Roman" w:hAnsi="Times New Roman" w:eastAsia="宋体" w:cs="宋体"/>
                <w:color w:val="auto"/>
                <w:spacing w:val="0"/>
                <w:kern w:val="0"/>
                <w:sz w:val="21"/>
                <w:szCs w:val="21"/>
                <w:lang w:val="en-US" w:eastAsia="zh-CN" w:bidi="ar-SA"/>
              </w:rPr>
            </w:pPr>
            <w:r>
              <w:rPr>
                <w:color w:val="auto"/>
                <w:sz w:val="21"/>
                <w:szCs w:val="21"/>
              </w:rPr>
              <w:t>监测</w:t>
            </w:r>
            <w:r>
              <w:rPr>
                <w:rFonts w:hint="eastAsia"/>
                <w:color w:val="auto"/>
                <w:sz w:val="21"/>
                <w:szCs w:val="21"/>
              </w:rPr>
              <w:t>结果</w:t>
            </w:r>
          </w:p>
        </w:tc>
        <w:tc>
          <w:tcPr>
            <w:tcW w:w="442" w:type="pct"/>
            <w:tcBorders>
              <w:tl2br w:val="nil"/>
              <w:tr2bl w:val="nil"/>
            </w:tcBorders>
            <w:noWrap w:val="0"/>
            <w:vAlign w:val="center"/>
          </w:tcPr>
          <w:p w14:paraId="265047D4">
            <w:pPr>
              <w:pStyle w:val="145"/>
              <w:keepNext w:val="0"/>
              <w:keepLines w:val="0"/>
              <w:pageBreakBefore w:val="0"/>
              <w:widowControl/>
              <w:kinsoku/>
              <w:wordWrap/>
              <w:overflowPunct/>
              <w:topLinePunct w:val="0"/>
              <w:autoSpaceDE/>
              <w:autoSpaceDN/>
              <w:bidi w:val="0"/>
              <w:adjustRightInd/>
              <w:snapToGrid w:val="0"/>
              <w:spacing w:after="0"/>
              <w:ind w:firstLine="0" w:firstLineChars="0"/>
              <w:textAlignment w:val="auto"/>
              <w:rPr>
                <w:rFonts w:ascii="Times New Roman" w:hAnsi="Times New Roman" w:eastAsia="宋体" w:cs="宋体"/>
                <w:color w:val="auto"/>
                <w:spacing w:val="0"/>
                <w:kern w:val="0"/>
                <w:sz w:val="21"/>
                <w:szCs w:val="21"/>
                <w:lang w:val="en-US" w:eastAsia="zh-CN" w:bidi="ar-SA"/>
              </w:rPr>
            </w:pPr>
            <w:r>
              <w:rPr>
                <w:color w:val="auto"/>
                <w:sz w:val="21"/>
                <w:szCs w:val="21"/>
              </w:rPr>
              <w:t>P</w:t>
            </w:r>
            <w:r>
              <w:rPr>
                <w:color w:val="auto"/>
                <w:sz w:val="21"/>
                <w:szCs w:val="21"/>
                <w:vertAlign w:val="subscript"/>
              </w:rPr>
              <w:t>i</w:t>
            </w:r>
          </w:p>
        </w:tc>
        <w:tc>
          <w:tcPr>
            <w:tcW w:w="400" w:type="pct"/>
            <w:tcBorders>
              <w:tl2br w:val="nil"/>
              <w:tr2bl w:val="nil"/>
            </w:tcBorders>
            <w:noWrap w:val="0"/>
            <w:vAlign w:val="center"/>
          </w:tcPr>
          <w:p w14:paraId="1CFD00CC">
            <w:pPr>
              <w:pStyle w:val="145"/>
              <w:keepNext w:val="0"/>
              <w:keepLines w:val="0"/>
              <w:pageBreakBefore w:val="0"/>
              <w:widowControl/>
              <w:kinsoku/>
              <w:wordWrap/>
              <w:overflowPunct/>
              <w:topLinePunct w:val="0"/>
              <w:autoSpaceDE/>
              <w:autoSpaceDN/>
              <w:bidi w:val="0"/>
              <w:adjustRightInd/>
              <w:snapToGrid w:val="0"/>
              <w:spacing w:after="0"/>
              <w:ind w:firstLine="0" w:firstLineChars="0"/>
              <w:textAlignment w:val="auto"/>
              <w:rPr>
                <w:rFonts w:ascii="Times New Roman" w:hAnsi="Times New Roman" w:eastAsia="宋体" w:cs="宋体"/>
                <w:color w:val="auto"/>
                <w:spacing w:val="0"/>
                <w:kern w:val="0"/>
                <w:sz w:val="21"/>
                <w:szCs w:val="21"/>
                <w:lang w:val="en-US" w:eastAsia="zh-CN" w:bidi="ar-SA"/>
              </w:rPr>
            </w:pPr>
            <w:r>
              <w:rPr>
                <w:color w:val="auto"/>
                <w:sz w:val="21"/>
                <w:szCs w:val="21"/>
              </w:rPr>
              <w:t>达标情况</w:t>
            </w:r>
          </w:p>
        </w:tc>
        <w:tc>
          <w:tcPr>
            <w:tcW w:w="421" w:type="pct"/>
            <w:tcBorders>
              <w:tl2br w:val="nil"/>
              <w:tr2bl w:val="nil"/>
            </w:tcBorders>
            <w:noWrap w:val="0"/>
            <w:vAlign w:val="center"/>
          </w:tcPr>
          <w:p w14:paraId="5244981F">
            <w:pPr>
              <w:pStyle w:val="145"/>
              <w:keepNext w:val="0"/>
              <w:keepLines w:val="0"/>
              <w:pageBreakBefore w:val="0"/>
              <w:widowControl/>
              <w:kinsoku/>
              <w:wordWrap/>
              <w:overflowPunct/>
              <w:topLinePunct w:val="0"/>
              <w:autoSpaceDE/>
              <w:autoSpaceDN/>
              <w:bidi w:val="0"/>
              <w:adjustRightInd/>
              <w:snapToGrid w:val="0"/>
              <w:spacing w:after="0"/>
              <w:textAlignment w:val="auto"/>
              <w:rPr>
                <w:rFonts w:hint="eastAsia"/>
                <w:color w:val="auto"/>
                <w:sz w:val="21"/>
                <w:szCs w:val="21"/>
              </w:rPr>
            </w:pPr>
            <w:r>
              <w:rPr>
                <w:color w:val="auto"/>
                <w:sz w:val="21"/>
                <w:szCs w:val="21"/>
              </w:rPr>
              <w:t>监测</w:t>
            </w:r>
            <w:r>
              <w:rPr>
                <w:rFonts w:hint="eastAsia"/>
                <w:color w:val="auto"/>
                <w:sz w:val="21"/>
                <w:szCs w:val="21"/>
              </w:rPr>
              <w:t>结果</w:t>
            </w:r>
          </w:p>
        </w:tc>
        <w:tc>
          <w:tcPr>
            <w:tcW w:w="521" w:type="pct"/>
            <w:tcBorders>
              <w:tl2br w:val="nil"/>
              <w:tr2bl w:val="nil"/>
            </w:tcBorders>
            <w:noWrap w:val="0"/>
            <w:vAlign w:val="center"/>
          </w:tcPr>
          <w:p w14:paraId="3557826D">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rPr>
            </w:pPr>
            <w:r>
              <w:rPr>
                <w:color w:val="auto"/>
                <w:sz w:val="21"/>
                <w:szCs w:val="21"/>
              </w:rPr>
              <w:t>P</w:t>
            </w:r>
            <w:r>
              <w:rPr>
                <w:color w:val="auto"/>
                <w:sz w:val="21"/>
                <w:szCs w:val="21"/>
                <w:vertAlign w:val="subscript"/>
              </w:rPr>
              <w:t>i</w:t>
            </w:r>
          </w:p>
        </w:tc>
        <w:tc>
          <w:tcPr>
            <w:tcW w:w="483" w:type="pct"/>
            <w:tcBorders>
              <w:tl2br w:val="nil"/>
              <w:tr2bl w:val="nil"/>
            </w:tcBorders>
            <w:noWrap w:val="0"/>
            <w:vAlign w:val="center"/>
          </w:tcPr>
          <w:p w14:paraId="747500AB">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rPr>
            </w:pPr>
            <w:r>
              <w:rPr>
                <w:color w:val="auto"/>
                <w:sz w:val="21"/>
                <w:szCs w:val="21"/>
              </w:rPr>
              <w:t>达标情况</w:t>
            </w:r>
          </w:p>
        </w:tc>
      </w:tr>
      <w:tr w14:paraId="0D4BC5F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21" w:type="pct"/>
            <w:tcBorders>
              <w:tl2br w:val="nil"/>
              <w:tr2bl w:val="nil"/>
            </w:tcBorders>
            <w:noWrap w:val="0"/>
            <w:vAlign w:val="center"/>
          </w:tcPr>
          <w:p w14:paraId="33A2FE07">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rPr>
            </w:pPr>
            <w:r>
              <w:rPr>
                <w:color w:val="auto"/>
                <w:sz w:val="21"/>
                <w:szCs w:val="21"/>
              </w:rPr>
              <w:t>1</w:t>
            </w:r>
          </w:p>
        </w:tc>
        <w:tc>
          <w:tcPr>
            <w:tcW w:w="952" w:type="pct"/>
            <w:tcBorders>
              <w:tl2br w:val="nil"/>
              <w:tr2bl w:val="nil"/>
            </w:tcBorders>
            <w:noWrap w:val="0"/>
            <w:vAlign w:val="center"/>
          </w:tcPr>
          <w:p w14:paraId="15363208">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rPr>
            </w:pPr>
            <w:r>
              <w:rPr>
                <w:color w:val="auto"/>
                <w:sz w:val="21"/>
                <w:szCs w:val="21"/>
              </w:rPr>
              <w:t>pH值</w:t>
            </w:r>
          </w:p>
        </w:tc>
        <w:tc>
          <w:tcPr>
            <w:tcW w:w="569" w:type="pct"/>
            <w:tcBorders>
              <w:tl2br w:val="nil"/>
              <w:tr2bl w:val="nil"/>
            </w:tcBorders>
            <w:noWrap w:val="0"/>
            <w:vAlign w:val="center"/>
          </w:tcPr>
          <w:p w14:paraId="56D44958">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rPr>
            </w:pPr>
            <w:r>
              <w:rPr>
                <w:color w:val="auto"/>
                <w:sz w:val="21"/>
                <w:szCs w:val="21"/>
              </w:rPr>
              <w:t>无量纲</w:t>
            </w:r>
          </w:p>
        </w:tc>
        <w:tc>
          <w:tcPr>
            <w:tcW w:w="525" w:type="pct"/>
            <w:tcBorders>
              <w:tl2br w:val="nil"/>
              <w:tr2bl w:val="nil"/>
            </w:tcBorders>
            <w:noWrap w:val="0"/>
            <w:vAlign w:val="center"/>
          </w:tcPr>
          <w:p w14:paraId="6A4710E0">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lang w:val="en-US" w:eastAsia="zh-CN"/>
              </w:rPr>
            </w:pPr>
          </w:p>
        </w:tc>
        <w:tc>
          <w:tcPr>
            <w:tcW w:w="362" w:type="pct"/>
            <w:tcBorders>
              <w:tl2br w:val="nil"/>
              <w:tr2bl w:val="nil"/>
            </w:tcBorders>
            <w:noWrap w:val="0"/>
            <w:vAlign w:val="center"/>
          </w:tcPr>
          <w:p w14:paraId="6DC637D8">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color w:val="auto"/>
                <w:sz w:val="21"/>
                <w:szCs w:val="21"/>
                <w:lang w:val="en-US" w:eastAsia="zh-CN"/>
              </w:rPr>
            </w:pPr>
          </w:p>
        </w:tc>
        <w:tc>
          <w:tcPr>
            <w:tcW w:w="442" w:type="pct"/>
            <w:tcBorders>
              <w:tl2br w:val="nil"/>
              <w:tr2bl w:val="nil"/>
            </w:tcBorders>
            <w:noWrap w:val="0"/>
            <w:vAlign w:val="center"/>
          </w:tcPr>
          <w:p w14:paraId="468C2275">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color w:val="auto"/>
                <w:sz w:val="21"/>
                <w:szCs w:val="21"/>
                <w:lang w:val="en-US" w:eastAsia="zh-CN"/>
              </w:rPr>
            </w:pPr>
          </w:p>
        </w:tc>
        <w:tc>
          <w:tcPr>
            <w:tcW w:w="400" w:type="pct"/>
            <w:tcBorders>
              <w:tl2br w:val="nil"/>
              <w:tr2bl w:val="nil"/>
            </w:tcBorders>
            <w:noWrap w:val="0"/>
            <w:vAlign w:val="center"/>
          </w:tcPr>
          <w:p w14:paraId="463A89A9">
            <w:pPr>
              <w:pStyle w:val="145"/>
              <w:keepNext w:val="0"/>
              <w:keepLines w:val="0"/>
              <w:pageBreakBefore w:val="0"/>
              <w:widowControl/>
              <w:kinsoku/>
              <w:wordWrap/>
              <w:overflowPunct/>
              <w:topLinePunct w:val="0"/>
              <w:autoSpaceDE/>
              <w:autoSpaceDN/>
              <w:bidi w:val="0"/>
              <w:adjustRightInd/>
              <w:snapToGrid w:val="0"/>
              <w:spacing w:after="0"/>
              <w:ind w:firstLine="0" w:firstLineChars="0"/>
              <w:textAlignment w:val="auto"/>
              <w:rPr>
                <w:rFonts w:hint="default" w:ascii="Times New Roman" w:hAnsi="Times New Roman" w:eastAsia="宋体" w:cs="宋体"/>
                <w:color w:val="auto"/>
                <w:spacing w:val="0"/>
                <w:kern w:val="0"/>
                <w:sz w:val="21"/>
                <w:szCs w:val="21"/>
                <w:lang w:val="en-US" w:eastAsia="zh-CN" w:bidi="ar-SA"/>
              </w:rPr>
            </w:pPr>
          </w:p>
        </w:tc>
        <w:tc>
          <w:tcPr>
            <w:tcW w:w="421" w:type="pct"/>
            <w:tcBorders>
              <w:tl2br w:val="nil"/>
              <w:tr2bl w:val="nil"/>
            </w:tcBorders>
            <w:noWrap w:val="0"/>
            <w:vAlign w:val="center"/>
          </w:tcPr>
          <w:p w14:paraId="1AB1143B">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lang w:val="en-US" w:eastAsia="zh-CN"/>
              </w:rPr>
            </w:pPr>
          </w:p>
        </w:tc>
        <w:tc>
          <w:tcPr>
            <w:tcW w:w="521" w:type="pct"/>
            <w:tcBorders>
              <w:tl2br w:val="nil"/>
              <w:tr2bl w:val="nil"/>
            </w:tcBorders>
            <w:noWrap w:val="0"/>
            <w:vAlign w:val="center"/>
          </w:tcPr>
          <w:p w14:paraId="21672385">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highlight w:val="none"/>
                <w:lang w:val="en-US" w:eastAsia="zh-CN"/>
              </w:rPr>
            </w:pPr>
          </w:p>
        </w:tc>
        <w:tc>
          <w:tcPr>
            <w:tcW w:w="483" w:type="pct"/>
            <w:tcBorders>
              <w:tl2br w:val="nil"/>
              <w:tr2bl w:val="nil"/>
            </w:tcBorders>
            <w:noWrap w:val="0"/>
            <w:vAlign w:val="center"/>
          </w:tcPr>
          <w:p w14:paraId="6DE96EE2">
            <w:pPr>
              <w:pStyle w:val="145"/>
              <w:keepNext w:val="0"/>
              <w:keepLines w:val="0"/>
              <w:pageBreakBefore w:val="0"/>
              <w:widowControl/>
              <w:kinsoku/>
              <w:wordWrap/>
              <w:overflowPunct/>
              <w:topLinePunct w:val="0"/>
              <w:autoSpaceDE/>
              <w:autoSpaceDN/>
              <w:bidi w:val="0"/>
              <w:adjustRightInd/>
              <w:snapToGrid w:val="0"/>
              <w:spacing w:after="0"/>
              <w:ind w:firstLine="0" w:firstLineChars="0"/>
              <w:textAlignment w:val="auto"/>
              <w:rPr>
                <w:rFonts w:hint="default" w:ascii="Times New Roman" w:hAnsi="Times New Roman" w:eastAsia="宋体" w:cs="宋体"/>
                <w:color w:val="auto"/>
                <w:spacing w:val="0"/>
                <w:kern w:val="0"/>
                <w:sz w:val="21"/>
                <w:szCs w:val="21"/>
                <w:lang w:val="en-US" w:eastAsia="zh-CN" w:bidi="ar-SA"/>
              </w:rPr>
            </w:pPr>
          </w:p>
        </w:tc>
      </w:tr>
      <w:tr w14:paraId="028BA24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21" w:type="pct"/>
            <w:tcBorders>
              <w:tl2br w:val="nil"/>
              <w:tr2bl w:val="nil"/>
            </w:tcBorders>
            <w:noWrap w:val="0"/>
            <w:vAlign w:val="center"/>
          </w:tcPr>
          <w:p w14:paraId="249E4B4F">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lang w:val="en-US" w:eastAsia="zh-CN"/>
              </w:rPr>
            </w:pPr>
            <w:r>
              <w:rPr>
                <w:rFonts w:hint="eastAsia"/>
                <w:color w:val="auto"/>
                <w:sz w:val="21"/>
                <w:szCs w:val="21"/>
                <w:lang w:val="en-US" w:eastAsia="zh-CN"/>
              </w:rPr>
              <w:t>2</w:t>
            </w:r>
          </w:p>
        </w:tc>
        <w:tc>
          <w:tcPr>
            <w:tcW w:w="952" w:type="pct"/>
            <w:tcBorders>
              <w:tl2br w:val="nil"/>
              <w:tr2bl w:val="nil"/>
            </w:tcBorders>
            <w:noWrap w:val="0"/>
            <w:vAlign w:val="center"/>
          </w:tcPr>
          <w:p w14:paraId="74317341">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lang w:val="en-US" w:eastAsia="zh-CN"/>
              </w:rPr>
            </w:pPr>
            <w:r>
              <w:rPr>
                <w:rFonts w:hint="eastAsia"/>
                <w:color w:val="auto"/>
                <w:sz w:val="21"/>
                <w:szCs w:val="21"/>
                <w:lang w:val="en-US" w:eastAsia="zh-CN"/>
              </w:rPr>
              <w:t>水溶性盐总量</w:t>
            </w:r>
          </w:p>
        </w:tc>
        <w:tc>
          <w:tcPr>
            <w:tcW w:w="569" w:type="pct"/>
            <w:tcBorders>
              <w:tl2br w:val="nil"/>
              <w:tr2bl w:val="nil"/>
            </w:tcBorders>
            <w:noWrap w:val="0"/>
            <w:vAlign w:val="center"/>
          </w:tcPr>
          <w:p w14:paraId="6A460FFB">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rPr>
            </w:pPr>
            <w:r>
              <w:rPr>
                <w:color w:val="auto"/>
                <w:sz w:val="21"/>
                <w:szCs w:val="21"/>
              </w:rPr>
              <w:t>g/kg</w:t>
            </w:r>
          </w:p>
        </w:tc>
        <w:tc>
          <w:tcPr>
            <w:tcW w:w="525" w:type="pct"/>
            <w:tcBorders>
              <w:tl2br w:val="nil"/>
              <w:tr2bl w:val="nil"/>
            </w:tcBorders>
            <w:noWrap/>
            <w:vAlign w:val="center"/>
          </w:tcPr>
          <w:p w14:paraId="43944AAF">
            <w:pPr>
              <w:pStyle w:val="145"/>
              <w:keepNext w:val="0"/>
              <w:keepLines w:val="0"/>
              <w:pageBreakBefore w:val="0"/>
              <w:widowControl/>
              <w:kinsoku/>
              <w:wordWrap/>
              <w:overflowPunct/>
              <w:topLinePunct w:val="0"/>
              <w:autoSpaceDE/>
              <w:autoSpaceDN/>
              <w:bidi w:val="0"/>
              <w:adjustRightInd/>
              <w:snapToGrid w:val="0"/>
              <w:spacing w:after="0"/>
              <w:textAlignment w:val="auto"/>
              <w:rPr>
                <w:rFonts w:hint="eastAsia" w:eastAsia="宋体"/>
                <w:color w:val="auto"/>
                <w:sz w:val="21"/>
                <w:szCs w:val="21"/>
                <w:lang w:val="en-US" w:eastAsia="zh-CN"/>
              </w:rPr>
            </w:pPr>
          </w:p>
        </w:tc>
        <w:tc>
          <w:tcPr>
            <w:tcW w:w="362" w:type="pct"/>
            <w:tcBorders>
              <w:tl2br w:val="nil"/>
              <w:tr2bl w:val="nil"/>
            </w:tcBorders>
            <w:noWrap w:val="0"/>
            <w:vAlign w:val="center"/>
          </w:tcPr>
          <w:p w14:paraId="4FCBC798">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color w:val="auto"/>
                <w:sz w:val="21"/>
                <w:szCs w:val="21"/>
                <w:lang w:val="en-US" w:eastAsia="zh-CN"/>
              </w:rPr>
            </w:pPr>
          </w:p>
        </w:tc>
        <w:tc>
          <w:tcPr>
            <w:tcW w:w="442" w:type="pct"/>
            <w:tcBorders>
              <w:tl2br w:val="nil"/>
              <w:tr2bl w:val="nil"/>
            </w:tcBorders>
            <w:noWrap w:val="0"/>
            <w:vAlign w:val="center"/>
          </w:tcPr>
          <w:p w14:paraId="5AA9CF61">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color w:val="auto"/>
                <w:sz w:val="21"/>
                <w:szCs w:val="21"/>
                <w:lang w:val="en-US" w:eastAsia="zh-CN"/>
              </w:rPr>
            </w:pPr>
          </w:p>
        </w:tc>
        <w:tc>
          <w:tcPr>
            <w:tcW w:w="400" w:type="pct"/>
            <w:tcBorders>
              <w:tl2br w:val="nil"/>
              <w:tr2bl w:val="nil"/>
            </w:tcBorders>
            <w:noWrap w:val="0"/>
            <w:vAlign w:val="center"/>
          </w:tcPr>
          <w:p w14:paraId="5F4974F6">
            <w:pPr>
              <w:pStyle w:val="145"/>
              <w:keepNext w:val="0"/>
              <w:keepLines w:val="0"/>
              <w:pageBreakBefore w:val="0"/>
              <w:widowControl/>
              <w:kinsoku/>
              <w:wordWrap/>
              <w:overflowPunct/>
              <w:topLinePunct w:val="0"/>
              <w:autoSpaceDE/>
              <w:autoSpaceDN/>
              <w:bidi w:val="0"/>
              <w:adjustRightInd/>
              <w:snapToGrid w:val="0"/>
              <w:spacing w:after="0"/>
              <w:ind w:firstLine="0" w:firstLineChars="0"/>
              <w:textAlignment w:val="auto"/>
              <w:rPr>
                <w:rFonts w:hint="default" w:ascii="Times New Roman" w:hAnsi="Times New Roman" w:eastAsia="宋体" w:cs="宋体"/>
                <w:color w:val="auto"/>
                <w:spacing w:val="0"/>
                <w:kern w:val="0"/>
                <w:sz w:val="21"/>
                <w:szCs w:val="21"/>
                <w:lang w:val="en-US" w:eastAsia="zh-CN" w:bidi="ar-SA"/>
              </w:rPr>
            </w:pPr>
          </w:p>
        </w:tc>
        <w:tc>
          <w:tcPr>
            <w:tcW w:w="421" w:type="pct"/>
            <w:tcBorders>
              <w:tl2br w:val="nil"/>
              <w:tr2bl w:val="nil"/>
            </w:tcBorders>
            <w:noWrap w:val="0"/>
            <w:vAlign w:val="center"/>
          </w:tcPr>
          <w:p w14:paraId="2E61C385">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lang w:val="en-US" w:eastAsia="zh-CN"/>
              </w:rPr>
            </w:pPr>
          </w:p>
        </w:tc>
        <w:tc>
          <w:tcPr>
            <w:tcW w:w="521" w:type="pct"/>
            <w:tcBorders>
              <w:tl2br w:val="nil"/>
              <w:tr2bl w:val="nil"/>
            </w:tcBorders>
            <w:noWrap w:val="0"/>
            <w:vAlign w:val="center"/>
          </w:tcPr>
          <w:p w14:paraId="2E2C93EC">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highlight w:val="none"/>
                <w:lang w:val="en-US" w:eastAsia="zh-CN"/>
              </w:rPr>
            </w:pPr>
          </w:p>
        </w:tc>
        <w:tc>
          <w:tcPr>
            <w:tcW w:w="483" w:type="pct"/>
            <w:tcBorders>
              <w:tl2br w:val="nil"/>
              <w:tr2bl w:val="nil"/>
            </w:tcBorders>
            <w:noWrap/>
            <w:vAlign w:val="center"/>
          </w:tcPr>
          <w:p w14:paraId="7102946D">
            <w:pPr>
              <w:pStyle w:val="145"/>
              <w:keepNext w:val="0"/>
              <w:keepLines w:val="0"/>
              <w:pageBreakBefore w:val="0"/>
              <w:widowControl/>
              <w:kinsoku/>
              <w:wordWrap/>
              <w:overflowPunct/>
              <w:topLinePunct w:val="0"/>
              <w:autoSpaceDE/>
              <w:autoSpaceDN/>
              <w:bidi w:val="0"/>
              <w:adjustRightInd/>
              <w:snapToGrid w:val="0"/>
              <w:spacing w:after="0"/>
              <w:ind w:firstLine="0" w:firstLineChars="0"/>
              <w:textAlignment w:val="auto"/>
              <w:rPr>
                <w:rFonts w:hint="default" w:ascii="Times New Roman" w:hAnsi="Times New Roman" w:eastAsia="宋体" w:cs="宋体"/>
                <w:color w:val="auto"/>
                <w:spacing w:val="0"/>
                <w:kern w:val="0"/>
                <w:sz w:val="21"/>
                <w:szCs w:val="21"/>
                <w:lang w:val="en-US" w:eastAsia="zh-CN" w:bidi="ar-SA"/>
              </w:rPr>
            </w:pPr>
          </w:p>
        </w:tc>
      </w:tr>
      <w:tr w14:paraId="5DC7090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21" w:type="pct"/>
            <w:tcBorders>
              <w:tl2br w:val="nil"/>
              <w:tr2bl w:val="nil"/>
            </w:tcBorders>
            <w:noWrap w:val="0"/>
            <w:vAlign w:val="center"/>
          </w:tcPr>
          <w:p w14:paraId="0D2A6EC2">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lang w:val="en-US" w:eastAsia="zh-CN"/>
              </w:rPr>
            </w:pPr>
            <w:r>
              <w:rPr>
                <w:rFonts w:hint="eastAsia"/>
                <w:color w:val="auto"/>
                <w:sz w:val="21"/>
                <w:szCs w:val="21"/>
                <w:lang w:val="en-US" w:eastAsia="zh-CN"/>
              </w:rPr>
              <w:t>3</w:t>
            </w:r>
          </w:p>
        </w:tc>
        <w:tc>
          <w:tcPr>
            <w:tcW w:w="952" w:type="pct"/>
            <w:tcBorders>
              <w:tl2br w:val="nil"/>
              <w:tr2bl w:val="nil"/>
            </w:tcBorders>
            <w:noWrap w:val="0"/>
            <w:vAlign w:val="center"/>
          </w:tcPr>
          <w:p w14:paraId="17A09893">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rPr>
            </w:pPr>
            <w:r>
              <w:rPr>
                <w:color w:val="auto"/>
                <w:sz w:val="21"/>
                <w:szCs w:val="21"/>
              </w:rPr>
              <w:t>石油烃（C</w:t>
            </w:r>
            <w:r>
              <w:rPr>
                <w:color w:val="auto"/>
                <w:sz w:val="21"/>
                <w:szCs w:val="21"/>
                <w:vertAlign w:val="subscript"/>
              </w:rPr>
              <w:t>10</w:t>
            </w:r>
            <w:r>
              <w:rPr>
                <w:color w:val="auto"/>
                <w:sz w:val="21"/>
                <w:szCs w:val="21"/>
              </w:rPr>
              <w:t>-C</w:t>
            </w:r>
            <w:r>
              <w:rPr>
                <w:color w:val="auto"/>
                <w:sz w:val="21"/>
                <w:szCs w:val="21"/>
                <w:vertAlign w:val="subscript"/>
              </w:rPr>
              <w:t>40</w:t>
            </w:r>
            <w:r>
              <w:rPr>
                <w:color w:val="auto"/>
                <w:sz w:val="21"/>
                <w:szCs w:val="21"/>
              </w:rPr>
              <w:t>）</w:t>
            </w:r>
          </w:p>
        </w:tc>
        <w:tc>
          <w:tcPr>
            <w:tcW w:w="569" w:type="pct"/>
            <w:tcBorders>
              <w:tl2br w:val="nil"/>
              <w:tr2bl w:val="nil"/>
            </w:tcBorders>
            <w:noWrap w:val="0"/>
            <w:vAlign w:val="center"/>
          </w:tcPr>
          <w:p w14:paraId="749ABCB2">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rPr>
            </w:pPr>
            <w:r>
              <w:rPr>
                <w:color w:val="auto"/>
                <w:sz w:val="21"/>
                <w:szCs w:val="21"/>
              </w:rPr>
              <w:t>mg/kg</w:t>
            </w:r>
          </w:p>
        </w:tc>
        <w:tc>
          <w:tcPr>
            <w:tcW w:w="525" w:type="pct"/>
            <w:tcBorders>
              <w:tl2br w:val="nil"/>
              <w:tr2bl w:val="nil"/>
            </w:tcBorders>
            <w:noWrap/>
            <w:vAlign w:val="center"/>
          </w:tcPr>
          <w:p w14:paraId="0975D753">
            <w:pPr>
              <w:pStyle w:val="145"/>
              <w:keepNext w:val="0"/>
              <w:keepLines w:val="0"/>
              <w:pageBreakBefore w:val="0"/>
              <w:widowControl/>
              <w:kinsoku/>
              <w:wordWrap/>
              <w:overflowPunct/>
              <w:topLinePunct w:val="0"/>
              <w:autoSpaceDE/>
              <w:autoSpaceDN/>
              <w:bidi w:val="0"/>
              <w:adjustRightInd/>
              <w:snapToGrid w:val="0"/>
              <w:spacing w:after="0"/>
              <w:textAlignment w:val="auto"/>
              <w:rPr>
                <w:color w:val="auto"/>
                <w:sz w:val="21"/>
                <w:szCs w:val="21"/>
              </w:rPr>
            </w:pPr>
          </w:p>
        </w:tc>
        <w:tc>
          <w:tcPr>
            <w:tcW w:w="362" w:type="pct"/>
            <w:tcBorders>
              <w:tl2br w:val="nil"/>
              <w:tr2bl w:val="nil"/>
            </w:tcBorders>
            <w:noWrap w:val="0"/>
            <w:vAlign w:val="center"/>
          </w:tcPr>
          <w:p w14:paraId="17EF5947">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lang w:val="en-US" w:eastAsia="zh-CN"/>
              </w:rPr>
            </w:pPr>
          </w:p>
        </w:tc>
        <w:tc>
          <w:tcPr>
            <w:tcW w:w="442" w:type="pct"/>
            <w:tcBorders>
              <w:tl2br w:val="nil"/>
              <w:tr2bl w:val="nil"/>
            </w:tcBorders>
            <w:noWrap w:val="0"/>
            <w:vAlign w:val="center"/>
          </w:tcPr>
          <w:p w14:paraId="46789FCF">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lang w:val="en-US" w:eastAsia="zh-CN"/>
              </w:rPr>
            </w:pPr>
          </w:p>
        </w:tc>
        <w:tc>
          <w:tcPr>
            <w:tcW w:w="400" w:type="pct"/>
            <w:tcBorders>
              <w:tl2br w:val="nil"/>
              <w:tr2bl w:val="nil"/>
            </w:tcBorders>
            <w:noWrap w:val="0"/>
            <w:vAlign w:val="center"/>
          </w:tcPr>
          <w:p w14:paraId="4EFB4630">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lang w:val="en-US" w:eastAsia="zh-CN"/>
              </w:rPr>
            </w:pPr>
          </w:p>
        </w:tc>
        <w:tc>
          <w:tcPr>
            <w:tcW w:w="421" w:type="pct"/>
            <w:tcBorders>
              <w:tl2br w:val="nil"/>
              <w:tr2bl w:val="nil"/>
            </w:tcBorders>
            <w:noWrap w:val="0"/>
            <w:vAlign w:val="center"/>
          </w:tcPr>
          <w:p w14:paraId="4542084F">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lang w:val="en-US" w:eastAsia="zh-CN"/>
              </w:rPr>
            </w:pPr>
          </w:p>
        </w:tc>
        <w:tc>
          <w:tcPr>
            <w:tcW w:w="521" w:type="pct"/>
            <w:tcBorders>
              <w:tl2br w:val="nil"/>
              <w:tr2bl w:val="nil"/>
            </w:tcBorders>
            <w:noWrap w:val="0"/>
            <w:vAlign w:val="center"/>
          </w:tcPr>
          <w:p w14:paraId="1EEB44C9">
            <w:pPr>
              <w:pStyle w:val="145"/>
              <w:keepNext w:val="0"/>
              <w:keepLines w:val="0"/>
              <w:pageBreakBefore w:val="0"/>
              <w:widowControl/>
              <w:kinsoku/>
              <w:wordWrap/>
              <w:overflowPunct/>
              <w:topLinePunct w:val="0"/>
              <w:autoSpaceDE/>
              <w:autoSpaceDN/>
              <w:bidi w:val="0"/>
              <w:adjustRightInd/>
              <w:snapToGrid w:val="0"/>
              <w:spacing w:after="0"/>
              <w:textAlignment w:val="auto"/>
              <w:rPr>
                <w:rFonts w:hint="default" w:eastAsia="宋体"/>
                <w:color w:val="auto"/>
                <w:sz w:val="21"/>
                <w:szCs w:val="21"/>
                <w:highlight w:val="none"/>
                <w:lang w:val="en-US" w:eastAsia="zh-CN"/>
              </w:rPr>
            </w:pPr>
          </w:p>
        </w:tc>
        <w:tc>
          <w:tcPr>
            <w:tcW w:w="483" w:type="pct"/>
            <w:tcBorders>
              <w:tl2br w:val="nil"/>
              <w:tr2bl w:val="nil"/>
            </w:tcBorders>
            <w:noWrap/>
            <w:vAlign w:val="center"/>
          </w:tcPr>
          <w:p w14:paraId="6CDCC16D">
            <w:pPr>
              <w:pStyle w:val="145"/>
              <w:keepNext w:val="0"/>
              <w:keepLines w:val="0"/>
              <w:pageBreakBefore w:val="0"/>
              <w:widowControl/>
              <w:kinsoku/>
              <w:wordWrap/>
              <w:overflowPunct/>
              <w:topLinePunct w:val="0"/>
              <w:autoSpaceDE/>
              <w:autoSpaceDN/>
              <w:bidi w:val="0"/>
              <w:adjustRightInd/>
              <w:snapToGrid w:val="0"/>
              <w:spacing w:after="0"/>
              <w:textAlignment w:val="auto"/>
              <w:rPr>
                <w:rFonts w:hint="eastAsia" w:eastAsia="宋体"/>
                <w:color w:val="auto"/>
                <w:sz w:val="21"/>
                <w:szCs w:val="21"/>
                <w:highlight w:val="none"/>
                <w:lang w:val="en-US" w:eastAsia="zh-CN"/>
              </w:rPr>
            </w:pPr>
          </w:p>
        </w:tc>
      </w:tr>
    </w:tbl>
    <w:p w14:paraId="6C3B72BD">
      <w:pPr>
        <w:pStyle w:val="79"/>
        <w:bidi w:val="0"/>
        <w:rPr>
          <w:rFonts w:hint="default"/>
          <w:color w:val="auto"/>
        </w:rPr>
      </w:pPr>
      <w:r>
        <w:rPr>
          <w:rFonts w:hint="default"/>
          <w:color w:val="auto"/>
        </w:rPr>
        <w:t>由监测结果可知：工程区占地范围内土壤的挥发性有机物和半挥发性有机物均未检出。土壤中石油烃含量较低，满足《土壤环境质量 建设用地土壤污染风险管控标准（试行）》（GB36600-2018）第二类用地风险筛选值要求。重金属元素含量相对较低，占地范围内土壤满足《土壤环境质量 建设用地土壤污染风险管控标准</w:t>
      </w:r>
      <w:r>
        <w:rPr>
          <w:rFonts w:hint="eastAsia"/>
          <w:color w:val="auto"/>
          <w:lang w:eastAsia="zh-CN"/>
        </w:rPr>
        <w:t>（</w:t>
      </w:r>
      <w:r>
        <w:rPr>
          <w:rFonts w:hint="default"/>
          <w:color w:val="auto"/>
        </w:rPr>
        <w:t>试行</w:t>
      </w:r>
      <w:r>
        <w:rPr>
          <w:rFonts w:hint="eastAsia"/>
          <w:color w:val="auto"/>
          <w:lang w:eastAsia="zh-CN"/>
        </w:rPr>
        <w:t>）</w:t>
      </w:r>
      <w:r>
        <w:rPr>
          <w:rFonts w:hint="default"/>
          <w:color w:val="auto"/>
        </w:rPr>
        <w:t>》（GB36600-2018）中表1第二类用地筛选值标准要求。</w:t>
      </w:r>
    </w:p>
    <w:p w14:paraId="71C9A379">
      <w:pPr>
        <w:pStyle w:val="79"/>
        <w:bidi w:val="0"/>
        <w:rPr>
          <w:rFonts w:hint="default"/>
          <w:color w:val="auto"/>
        </w:rPr>
      </w:pPr>
      <w:r>
        <w:rPr>
          <w:rFonts w:hint="default"/>
          <w:color w:val="auto"/>
        </w:rPr>
        <w:t>工程区占地范围外土壤中重金属元素含量相对较低，小于《土壤环境质量 农用地土壤污染风险管控标准（试行）》（GB15618-2018）中“表1农用地土壤污染风险筛选值（基本项目）”的pH&gt;7.5所列标准；土壤中石油烃含量较低，满足《土壤环境质量 建设用地土壤污染风险管控标准（试行）》（GB36600-2018）第二类用地风险筛选值要求。</w:t>
      </w:r>
    </w:p>
    <w:p w14:paraId="523A59C8">
      <w:pPr>
        <w:pStyle w:val="75"/>
        <w:bidi w:val="0"/>
        <w:rPr>
          <w:color w:val="auto"/>
          <w:lang w:val="en-US" w:eastAsia="zh-CN"/>
        </w:rPr>
      </w:pPr>
      <w:bookmarkStart w:id="585" w:name="_Toc20017"/>
      <w:r>
        <w:rPr>
          <w:rFonts w:hint="eastAsia"/>
          <w:color w:val="auto"/>
          <w:lang w:val="en-US" w:eastAsia="zh-CN"/>
        </w:rPr>
        <w:t>4</w:t>
      </w:r>
      <w:r>
        <w:rPr>
          <w:color w:val="auto"/>
          <w:lang w:val="en-US" w:eastAsia="zh-CN"/>
        </w:rPr>
        <w:t>.</w:t>
      </w:r>
      <w:r>
        <w:rPr>
          <w:rFonts w:hint="eastAsia"/>
          <w:color w:val="auto"/>
          <w:lang w:val="en-US" w:eastAsia="zh-CN"/>
        </w:rPr>
        <w:t xml:space="preserve">6 </w:t>
      </w:r>
      <w:r>
        <w:rPr>
          <w:color w:val="auto"/>
          <w:lang w:val="en-US" w:eastAsia="zh-CN"/>
        </w:rPr>
        <w:t>环境空气质量现状调查与评价</w:t>
      </w:r>
      <w:bookmarkEnd w:id="585"/>
    </w:p>
    <w:p w14:paraId="4023051E">
      <w:pPr>
        <w:pStyle w:val="54"/>
        <w:bidi w:val="0"/>
        <w:rPr>
          <w:color w:val="auto"/>
          <w:lang w:val="en-US" w:eastAsia="zh-CN"/>
        </w:rPr>
      </w:pPr>
      <w:r>
        <w:rPr>
          <w:rFonts w:hint="eastAsia"/>
          <w:color w:val="auto"/>
          <w:lang w:val="en-US" w:eastAsia="zh-CN"/>
        </w:rPr>
        <w:t>4.6.1 基本污染物环境质量现状调查</w:t>
      </w:r>
    </w:p>
    <w:p w14:paraId="29751767">
      <w:pPr>
        <w:pStyle w:val="79"/>
        <w:bidi w:val="0"/>
        <w:rPr>
          <w:rFonts w:hint="default"/>
          <w:color w:val="auto"/>
          <w:lang w:val="en-US" w:eastAsia="zh-CN"/>
        </w:rPr>
      </w:pPr>
      <w:r>
        <w:rPr>
          <w:rFonts w:hint="default"/>
          <w:color w:val="auto"/>
          <w:lang w:val="en-US" w:eastAsia="zh-CN"/>
        </w:rPr>
        <w:t>本工程地处新疆维吾尔自治区</w:t>
      </w:r>
      <w:r>
        <w:rPr>
          <w:rFonts w:hint="eastAsia"/>
          <w:color w:val="auto"/>
          <w:lang w:val="en-US" w:eastAsia="zh-CN"/>
        </w:rPr>
        <w:t>阿克苏地区温宿县</w:t>
      </w:r>
      <w:r>
        <w:rPr>
          <w:rFonts w:hint="default"/>
          <w:color w:val="auto"/>
          <w:lang w:val="en-US" w:eastAsia="zh-CN"/>
        </w:rPr>
        <w:t>境内，根据《环境影响评价技术导则</w:t>
      </w:r>
      <w:r>
        <w:rPr>
          <w:rFonts w:hint="eastAsia"/>
          <w:color w:val="auto"/>
          <w:lang w:val="en-US" w:eastAsia="zh-CN"/>
        </w:rPr>
        <w:t xml:space="preserve"> </w:t>
      </w:r>
      <w:r>
        <w:rPr>
          <w:rFonts w:hint="default"/>
          <w:color w:val="auto"/>
          <w:lang w:val="en-US" w:eastAsia="zh-CN"/>
        </w:rPr>
        <w:t>大气环境》（H.J2.2-2018）对环境质量现状数据的要求，本次评价引用生态环境部环境工程评估中心公布的全国环境空气质量达标区判定</w:t>
      </w:r>
      <w:r>
        <w:rPr>
          <w:rFonts w:hint="eastAsia"/>
          <w:color w:val="auto"/>
          <w:lang w:val="en-US" w:eastAsia="zh-CN"/>
        </w:rPr>
        <w:t>结果。</w:t>
      </w:r>
    </w:p>
    <w:p w14:paraId="4BE4C715">
      <w:pPr>
        <w:pStyle w:val="79"/>
        <w:bidi w:val="0"/>
        <w:rPr>
          <w:rFonts w:hint="eastAsia"/>
          <w:color w:val="auto"/>
        </w:rPr>
      </w:pPr>
      <w:bookmarkStart w:id="586" w:name="_Hlk122034892"/>
      <w:r>
        <w:rPr>
          <w:rFonts w:hint="default"/>
          <w:color w:val="auto"/>
          <w:lang w:val="en-US" w:eastAsia="zh-CN"/>
        </w:rPr>
        <w:t>根据环境影响评价网环境空气质量模型技术支持服务系统提供的数据，阿克苏地区2023年SO</w:t>
      </w:r>
      <w:r>
        <w:rPr>
          <w:rFonts w:hint="default"/>
          <w:color w:val="auto"/>
          <w:vertAlign w:val="subscript"/>
          <w:lang w:val="en-US" w:eastAsia="zh-CN"/>
        </w:rPr>
        <w:t>2</w:t>
      </w:r>
      <w:r>
        <w:rPr>
          <w:rFonts w:hint="default"/>
          <w:color w:val="auto"/>
          <w:lang w:val="en-US" w:eastAsia="zh-CN"/>
        </w:rPr>
        <w:t>、NO</w:t>
      </w:r>
      <w:r>
        <w:rPr>
          <w:rFonts w:hint="default"/>
          <w:color w:val="auto"/>
          <w:vertAlign w:val="subscript"/>
          <w:lang w:val="en-US" w:eastAsia="zh-CN"/>
        </w:rPr>
        <w:t>2</w:t>
      </w:r>
      <w:r>
        <w:rPr>
          <w:rFonts w:hint="default"/>
          <w:color w:val="auto"/>
          <w:lang w:val="en-US" w:eastAsia="zh-CN"/>
        </w:rPr>
        <w:t>、PM</w:t>
      </w:r>
      <w:r>
        <w:rPr>
          <w:rFonts w:hint="default"/>
          <w:color w:val="auto"/>
          <w:vertAlign w:val="subscript"/>
          <w:lang w:val="en-US" w:eastAsia="zh-CN"/>
        </w:rPr>
        <w:t>10</w:t>
      </w:r>
      <w:r>
        <w:rPr>
          <w:rFonts w:hint="default"/>
          <w:color w:val="auto"/>
          <w:lang w:val="en-US" w:eastAsia="zh-CN"/>
        </w:rPr>
        <w:t>、PM</w:t>
      </w:r>
      <w:r>
        <w:rPr>
          <w:rFonts w:hint="default"/>
          <w:color w:val="auto"/>
          <w:vertAlign w:val="subscript"/>
          <w:lang w:val="en-US" w:eastAsia="zh-CN"/>
        </w:rPr>
        <w:t>2.5</w:t>
      </w:r>
      <w:r>
        <w:rPr>
          <w:rFonts w:hint="default"/>
          <w:color w:val="auto"/>
          <w:lang w:val="en-US" w:eastAsia="zh-CN"/>
        </w:rPr>
        <w:t xml:space="preserve">年均浓度分别为7 </w:t>
      </w:r>
      <w:r>
        <w:rPr>
          <w:rFonts w:hint="default"/>
          <w:color w:val="auto"/>
          <w:lang w:eastAsia="zh-CN"/>
        </w:rPr>
        <w:t>µg/m</w:t>
      </w:r>
      <w:r>
        <w:rPr>
          <w:rFonts w:hint="default"/>
          <w:color w:val="auto"/>
          <w:vertAlign w:val="superscript"/>
          <w:lang w:eastAsia="zh-CN"/>
        </w:rPr>
        <w:t>3</w:t>
      </w:r>
      <w:r>
        <w:rPr>
          <w:rFonts w:hint="default"/>
          <w:color w:val="auto"/>
          <w:lang w:val="en-US" w:eastAsia="zh-CN"/>
        </w:rPr>
        <w:t xml:space="preserve">、32 </w:t>
      </w:r>
      <w:r>
        <w:rPr>
          <w:rFonts w:hint="default"/>
          <w:color w:val="auto"/>
          <w:lang w:eastAsia="zh-CN"/>
        </w:rPr>
        <w:t>µg/m</w:t>
      </w:r>
      <w:r>
        <w:rPr>
          <w:rFonts w:hint="default"/>
          <w:color w:val="auto"/>
          <w:vertAlign w:val="superscript"/>
          <w:lang w:eastAsia="zh-CN"/>
        </w:rPr>
        <w:t>3</w:t>
      </w:r>
      <w:r>
        <w:rPr>
          <w:rFonts w:hint="default"/>
          <w:color w:val="auto"/>
          <w:lang w:val="en-US" w:eastAsia="zh-CN"/>
        </w:rPr>
        <w:t xml:space="preserve">、95 </w:t>
      </w:r>
      <w:r>
        <w:rPr>
          <w:rFonts w:hint="default"/>
          <w:color w:val="auto"/>
          <w:lang w:eastAsia="zh-CN"/>
        </w:rPr>
        <w:t>µg/m</w:t>
      </w:r>
      <w:r>
        <w:rPr>
          <w:rFonts w:hint="default"/>
          <w:color w:val="auto"/>
          <w:vertAlign w:val="superscript"/>
          <w:lang w:eastAsia="zh-CN"/>
        </w:rPr>
        <w:t>3</w:t>
      </w:r>
      <w:r>
        <w:rPr>
          <w:rFonts w:hint="default"/>
          <w:color w:val="auto"/>
          <w:lang w:val="en-US" w:eastAsia="zh-CN"/>
        </w:rPr>
        <w:t xml:space="preserve">、37 </w:t>
      </w:r>
      <w:r>
        <w:rPr>
          <w:rFonts w:hint="default"/>
          <w:color w:val="auto"/>
          <w:lang w:eastAsia="zh-CN"/>
        </w:rPr>
        <w:t>µg/m</w:t>
      </w:r>
      <w:r>
        <w:rPr>
          <w:rFonts w:hint="default"/>
          <w:color w:val="auto"/>
          <w:vertAlign w:val="superscript"/>
          <w:lang w:eastAsia="zh-CN"/>
        </w:rPr>
        <w:t>3</w:t>
      </w:r>
      <w:r>
        <w:rPr>
          <w:rFonts w:hint="default"/>
          <w:color w:val="auto"/>
          <w:lang w:val="en-US" w:eastAsia="zh-CN"/>
        </w:rPr>
        <w:t>；CO 24小时平均第95百分位数为2.2mg/m</w:t>
      </w:r>
      <w:r>
        <w:rPr>
          <w:rFonts w:hint="default"/>
          <w:color w:val="auto"/>
          <w:vertAlign w:val="superscript"/>
          <w:lang w:val="en-US" w:eastAsia="zh-CN"/>
        </w:rPr>
        <w:t>3</w:t>
      </w:r>
      <w:r>
        <w:rPr>
          <w:rFonts w:hint="default"/>
          <w:color w:val="auto"/>
          <w:lang w:val="en-US" w:eastAsia="zh-CN"/>
        </w:rPr>
        <w:t>，O</w:t>
      </w:r>
      <w:r>
        <w:rPr>
          <w:rFonts w:hint="default"/>
          <w:color w:val="auto"/>
          <w:vertAlign w:val="subscript"/>
          <w:lang w:val="en-US" w:eastAsia="zh-CN"/>
        </w:rPr>
        <w:t>3</w:t>
      </w:r>
      <w:r>
        <w:rPr>
          <w:rFonts w:hint="default"/>
          <w:color w:val="auto"/>
          <w:lang w:val="en-US" w:eastAsia="zh-CN"/>
        </w:rPr>
        <w:t xml:space="preserve">日最大8小时平均第90百分位数为130 </w:t>
      </w:r>
      <w:r>
        <w:rPr>
          <w:rFonts w:hint="default"/>
          <w:color w:val="auto"/>
          <w:lang w:eastAsia="zh-CN"/>
        </w:rPr>
        <w:t>µg/m</w:t>
      </w:r>
      <w:r>
        <w:rPr>
          <w:rFonts w:hint="default"/>
          <w:color w:val="auto"/>
          <w:vertAlign w:val="superscript"/>
          <w:lang w:eastAsia="zh-CN"/>
        </w:rPr>
        <w:t>3</w:t>
      </w:r>
      <w:r>
        <w:rPr>
          <w:rFonts w:hint="default"/>
          <w:color w:val="auto"/>
          <w:lang w:val="en-US" w:eastAsia="zh-CN"/>
        </w:rPr>
        <w:t>；</w:t>
      </w:r>
      <w:r>
        <w:rPr>
          <w:rFonts w:hint="eastAsia"/>
          <w:color w:val="auto"/>
          <w:lang w:val="en-US" w:eastAsia="zh-CN"/>
        </w:rPr>
        <w:t>其中</w:t>
      </w:r>
      <w:r>
        <w:rPr>
          <w:rFonts w:hint="default"/>
          <w:color w:val="auto"/>
          <w:lang w:val="en-US" w:eastAsia="zh-CN"/>
        </w:rPr>
        <w:t>超过《环境空气质量标准》（GB3095-2012）中二级标准限值的污染物为PM</w:t>
      </w:r>
      <w:r>
        <w:rPr>
          <w:rFonts w:hint="default"/>
          <w:color w:val="auto"/>
          <w:vertAlign w:val="subscript"/>
          <w:lang w:val="en-US" w:eastAsia="zh-CN"/>
        </w:rPr>
        <w:t>10</w:t>
      </w:r>
      <w:r>
        <w:rPr>
          <w:rFonts w:hint="default"/>
          <w:color w:val="auto"/>
          <w:lang w:val="en-US" w:eastAsia="zh-CN"/>
        </w:rPr>
        <w:t>、PM</w:t>
      </w:r>
      <w:r>
        <w:rPr>
          <w:rFonts w:hint="default"/>
          <w:color w:val="auto"/>
          <w:vertAlign w:val="subscript"/>
          <w:lang w:val="en-US" w:eastAsia="zh-CN"/>
        </w:rPr>
        <w:t>2.5</w:t>
      </w:r>
      <w:r>
        <w:rPr>
          <w:rFonts w:hint="eastAsia"/>
          <w:color w:val="auto"/>
          <w:lang w:val="en-US" w:eastAsia="zh-CN"/>
        </w:rPr>
        <w:t>。</w:t>
      </w:r>
      <w:r>
        <w:rPr>
          <w:rFonts w:hint="default"/>
          <w:color w:val="auto"/>
          <w:lang w:eastAsia="zh-CN"/>
        </w:rPr>
        <w:t>区域环境空气质量现状评价表详见表4.</w:t>
      </w:r>
      <w:r>
        <w:rPr>
          <w:rFonts w:hint="eastAsia"/>
          <w:color w:val="auto"/>
          <w:lang w:val="en-US" w:eastAsia="zh-CN"/>
        </w:rPr>
        <w:t>6</w:t>
      </w:r>
      <w:r>
        <w:rPr>
          <w:rFonts w:hint="default"/>
          <w:color w:val="auto"/>
          <w:lang w:eastAsia="zh-CN"/>
        </w:rPr>
        <w:t>-1。</w:t>
      </w:r>
    </w:p>
    <w:p w14:paraId="0E44D79F">
      <w:pPr>
        <w:pStyle w:val="61"/>
        <w:bidi w:val="0"/>
        <w:jc w:val="both"/>
        <w:rPr>
          <w:rFonts w:hint="eastAsia"/>
          <w:color w:val="auto"/>
          <w:lang w:val="en-US" w:eastAsia="zh-CN"/>
        </w:rPr>
      </w:pPr>
      <w:r>
        <w:rPr>
          <w:rFonts w:hint="eastAsia"/>
          <w:color w:val="auto"/>
          <w:lang w:val="en-US" w:eastAsia="zh-CN"/>
        </w:rPr>
        <w:t>表4.6-1  阿克苏地区环境空气质量现状评价一览表</w:t>
      </w:r>
    </w:p>
    <w:tbl>
      <w:tblPr>
        <w:tblStyle w:val="36"/>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55"/>
        <w:gridCol w:w="2587"/>
        <w:gridCol w:w="1258"/>
        <w:gridCol w:w="1258"/>
        <w:gridCol w:w="1216"/>
        <w:gridCol w:w="1256"/>
      </w:tblGrid>
      <w:tr w14:paraId="614A10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1" w:type="pct"/>
            <w:vMerge w:val="restart"/>
            <w:tcBorders>
              <w:tl2br w:val="nil"/>
              <w:tr2bl w:val="nil"/>
            </w:tcBorders>
            <w:noWrap w:val="0"/>
            <w:vAlign w:val="center"/>
          </w:tcPr>
          <w:p w14:paraId="4FA1FF8F">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评价因子</w:t>
            </w:r>
          </w:p>
        </w:tc>
        <w:tc>
          <w:tcPr>
            <w:tcW w:w="1464" w:type="pct"/>
            <w:vMerge w:val="restart"/>
            <w:tcBorders>
              <w:tl2br w:val="nil"/>
              <w:tr2bl w:val="nil"/>
            </w:tcBorders>
            <w:noWrap w:val="0"/>
            <w:vAlign w:val="center"/>
          </w:tcPr>
          <w:p w14:paraId="4E6F81F9">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年评价指标</w:t>
            </w:r>
          </w:p>
        </w:tc>
        <w:tc>
          <w:tcPr>
            <w:tcW w:w="712" w:type="pct"/>
            <w:tcBorders>
              <w:tl2br w:val="nil"/>
              <w:tr2bl w:val="nil"/>
            </w:tcBorders>
            <w:noWrap w:val="0"/>
            <w:vAlign w:val="center"/>
          </w:tcPr>
          <w:p w14:paraId="4620DF6D">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现状浓度</w:t>
            </w:r>
          </w:p>
        </w:tc>
        <w:tc>
          <w:tcPr>
            <w:tcW w:w="712" w:type="pct"/>
            <w:tcBorders>
              <w:tl2br w:val="nil"/>
              <w:tr2bl w:val="nil"/>
            </w:tcBorders>
            <w:noWrap w:val="0"/>
            <w:vAlign w:val="center"/>
          </w:tcPr>
          <w:p w14:paraId="55B2B0EE">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标准限值</w:t>
            </w:r>
          </w:p>
        </w:tc>
        <w:tc>
          <w:tcPr>
            <w:tcW w:w="688" w:type="pct"/>
            <w:vMerge w:val="restart"/>
            <w:tcBorders>
              <w:tl2br w:val="nil"/>
              <w:tr2bl w:val="nil"/>
            </w:tcBorders>
            <w:noWrap w:val="0"/>
            <w:vAlign w:val="center"/>
          </w:tcPr>
          <w:p w14:paraId="54F14992">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占标率%</w:t>
            </w:r>
          </w:p>
        </w:tc>
        <w:tc>
          <w:tcPr>
            <w:tcW w:w="711" w:type="pct"/>
            <w:vMerge w:val="restart"/>
            <w:tcBorders>
              <w:tl2br w:val="nil"/>
              <w:tr2bl w:val="nil"/>
            </w:tcBorders>
            <w:noWrap w:val="0"/>
            <w:vAlign w:val="center"/>
          </w:tcPr>
          <w:p w14:paraId="404B2F8D">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达标情况</w:t>
            </w:r>
          </w:p>
        </w:tc>
      </w:tr>
      <w:tr w14:paraId="0DBE46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1" w:type="pct"/>
            <w:vMerge w:val="continue"/>
            <w:tcBorders>
              <w:tl2br w:val="nil"/>
              <w:tr2bl w:val="nil"/>
            </w:tcBorders>
            <w:noWrap w:val="0"/>
            <w:vAlign w:val="center"/>
          </w:tcPr>
          <w:p w14:paraId="6199A4DA">
            <w:pPr>
              <w:adjustRightInd w:val="0"/>
              <w:snapToGrid w:val="0"/>
              <w:jc w:val="center"/>
              <w:rPr>
                <w:rFonts w:hint="default" w:ascii="Times New Roman" w:hAnsi="Times New Roman" w:cs="Times New Roman"/>
                <w:color w:val="auto"/>
                <w:sz w:val="21"/>
                <w:szCs w:val="21"/>
                <w:highlight w:val="none"/>
              </w:rPr>
            </w:pPr>
          </w:p>
        </w:tc>
        <w:tc>
          <w:tcPr>
            <w:tcW w:w="1464" w:type="pct"/>
            <w:vMerge w:val="continue"/>
            <w:tcBorders>
              <w:tl2br w:val="nil"/>
              <w:tr2bl w:val="nil"/>
            </w:tcBorders>
            <w:noWrap w:val="0"/>
            <w:vAlign w:val="center"/>
          </w:tcPr>
          <w:p w14:paraId="1C1F88A3">
            <w:pPr>
              <w:adjustRightInd w:val="0"/>
              <w:snapToGrid w:val="0"/>
              <w:jc w:val="center"/>
              <w:rPr>
                <w:rFonts w:hint="default" w:ascii="Times New Roman" w:hAnsi="Times New Roman" w:cs="Times New Roman"/>
                <w:color w:val="auto"/>
                <w:sz w:val="21"/>
                <w:szCs w:val="21"/>
                <w:highlight w:val="none"/>
              </w:rPr>
            </w:pPr>
          </w:p>
        </w:tc>
        <w:tc>
          <w:tcPr>
            <w:tcW w:w="712" w:type="pct"/>
            <w:tcBorders>
              <w:tl2br w:val="nil"/>
              <w:tr2bl w:val="nil"/>
            </w:tcBorders>
            <w:noWrap w:val="0"/>
            <w:vAlign w:val="center"/>
          </w:tcPr>
          <w:p w14:paraId="2C155DDD">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μg/m</w:t>
            </w:r>
            <w:r>
              <w:rPr>
                <w:rFonts w:hint="default" w:ascii="Times New Roman" w:hAnsi="Times New Roman" w:cs="Times New Roman"/>
                <w:color w:val="auto"/>
                <w:sz w:val="21"/>
                <w:szCs w:val="21"/>
                <w:highlight w:val="none"/>
                <w:vertAlign w:val="superscript"/>
              </w:rPr>
              <w:t>3</w:t>
            </w:r>
          </w:p>
        </w:tc>
        <w:tc>
          <w:tcPr>
            <w:tcW w:w="712" w:type="pct"/>
            <w:tcBorders>
              <w:tl2br w:val="nil"/>
              <w:tr2bl w:val="nil"/>
            </w:tcBorders>
            <w:noWrap w:val="0"/>
            <w:vAlign w:val="center"/>
          </w:tcPr>
          <w:p w14:paraId="23EF996D">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μg/m</w:t>
            </w:r>
            <w:r>
              <w:rPr>
                <w:rFonts w:hint="default" w:ascii="Times New Roman" w:hAnsi="Times New Roman" w:cs="Times New Roman"/>
                <w:color w:val="auto"/>
                <w:sz w:val="21"/>
                <w:szCs w:val="21"/>
                <w:highlight w:val="none"/>
                <w:vertAlign w:val="superscript"/>
              </w:rPr>
              <w:t>3</w:t>
            </w:r>
          </w:p>
        </w:tc>
        <w:tc>
          <w:tcPr>
            <w:tcW w:w="688" w:type="pct"/>
            <w:vMerge w:val="continue"/>
            <w:tcBorders>
              <w:tl2br w:val="nil"/>
              <w:tr2bl w:val="nil"/>
            </w:tcBorders>
            <w:noWrap w:val="0"/>
            <w:vAlign w:val="center"/>
          </w:tcPr>
          <w:p w14:paraId="76C03B81">
            <w:pPr>
              <w:adjustRightInd w:val="0"/>
              <w:snapToGrid w:val="0"/>
              <w:jc w:val="center"/>
              <w:rPr>
                <w:rFonts w:hint="default" w:ascii="Times New Roman" w:hAnsi="Times New Roman" w:cs="Times New Roman"/>
                <w:color w:val="auto"/>
                <w:sz w:val="21"/>
                <w:szCs w:val="21"/>
                <w:highlight w:val="none"/>
              </w:rPr>
            </w:pPr>
          </w:p>
        </w:tc>
        <w:tc>
          <w:tcPr>
            <w:tcW w:w="711" w:type="pct"/>
            <w:vMerge w:val="continue"/>
            <w:tcBorders>
              <w:tl2br w:val="nil"/>
              <w:tr2bl w:val="nil"/>
            </w:tcBorders>
            <w:noWrap w:val="0"/>
            <w:vAlign w:val="center"/>
          </w:tcPr>
          <w:p w14:paraId="6F819568">
            <w:pPr>
              <w:adjustRightInd w:val="0"/>
              <w:snapToGrid w:val="0"/>
              <w:jc w:val="center"/>
              <w:rPr>
                <w:rFonts w:hint="default" w:ascii="Times New Roman" w:hAnsi="Times New Roman" w:cs="Times New Roman"/>
                <w:color w:val="auto"/>
                <w:sz w:val="21"/>
                <w:szCs w:val="21"/>
                <w:highlight w:val="none"/>
              </w:rPr>
            </w:pPr>
          </w:p>
        </w:tc>
      </w:tr>
      <w:tr w14:paraId="09BDC2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5" w:hRule="atLeast"/>
        </w:trPr>
        <w:tc>
          <w:tcPr>
            <w:tcW w:w="711" w:type="pct"/>
            <w:tcBorders>
              <w:tl2br w:val="nil"/>
              <w:tr2bl w:val="nil"/>
            </w:tcBorders>
            <w:noWrap w:val="0"/>
            <w:vAlign w:val="center"/>
          </w:tcPr>
          <w:p w14:paraId="4CF0788B">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SO</w:t>
            </w:r>
            <w:r>
              <w:rPr>
                <w:rFonts w:hint="default" w:ascii="Times New Roman" w:hAnsi="Times New Roman" w:cs="Times New Roman"/>
                <w:color w:val="auto"/>
                <w:sz w:val="21"/>
                <w:szCs w:val="21"/>
                <w:highlight w:val="none"/>
                <w:vertAlign w:val="subscript"/>
              </w:rPr>
              <w:t>2</w:t>
            </w:r>
          </w:p>
        </w:tc>
        <w:tc>
          <w:tcPr>
            <w:tcW w:w="1464" w:type="pct"/>
            <w:tcBorders>
              <w:tl2br w:val="nil"/>
              <w:tr2bl w:val="nil"/>
            </w:tcBorders>
            <w:noWrap w:val="0"/>
            <w:vAlign w:val="center"/>
          </w:tcPr>
          <w:p w14:paraId="7F4BBF95">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w:t>
            </w:r>
          </w:p>
        </w:tc>
        <w:tc>
          <w:tcPr>
            <w:tcW w:w="712" w:type="pct"/>
            <w:tcBorders>
              <w:tl2br w:val="nil"/>
              <w:tr2bl w:val="nil"/>
            </w:tcBorders>
            <w:noWrap w:val="0"/>
            <w:vAlign w:val="center"/>
          </w:tcPr>
          <w:p w14:paraId="34E69850">
            <w:pPr>
              <w:adjustRightInd w:val="0"/>
              <w:snapToGrid w:val="0"/>
              <w:jc w:val="center"/>
              <w:rPr>
                <w:rFonts w:hint="default" w:ascii="Times New Roman" w:hAnsi="Times New Roman" w:eastAsia="宋体" w:cs="Times New Roman"/>
                <w:color w:val="auto"/>
                <w:sz w:val="21"/>
                <w:szCs w:val="21"/>
                <w:highlight w:val="none"/>
                <w:lang w:eastAsia="zh-CN"/>
              </w:rPr>
            </w:pPr>
          </w:p>
        </w:tc>
        <w:tc>
          <w:tcPr>
            <w:tcW w:w="712" w:type="pct"/>
            <w:tcBorders>
              <w:tl2br w:val="nil"/>
              <w:tr2bl w:val="nil"/>
            </w:tcBorders>
            <w:noWrap w:val="0"/>
            <w:vAlign w:val="center"/>
          </w:tcPr>
          <w:p w14:paraId="23F46A0B">
            <w:pPr>
              <w:adjustRightInd w:val="0"/>
              <w:snapToGrid w:val="0"/>
              <w:jc w:val="center"/>
              <w:rPr>
                <w:rFonts w:hint="default" w:ascii="Times New Roman" w:hAnsi="Times New Roman" w:cs="Times New Roman"/>
                <w:color w:val="auto"/>
                <w:sz w:val="21"/>
                <w:szCs w:val="21"/>
                <w:highlight w:val="none"/>
              </w:rPr>
            </w:pPr>
          </w:p>
        </w:tc>
        <w:tc>
          <w:tcPr>
            <w:tcW w:w="688" w:type="pct"/>
            <w:tcBorders>
              <w:tl2br w:val="nil"/>
              <w:tr2bl w:val="nil"/>
            </w:tcBorders>
            <w:noWrap w:val="0"/>
            <w:vAlign w:val="center"/>
          </w:tcPr>
          <w:p w14:paraId="6B5404D0">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711" w:type="pct"/>
            <w:tcBorders>
              <w:tl2br w:val="nil"/>
              <w:tr2bl w:val="nil"/>
            </w:tcBorders>
            <w:noWrap w:val="0"/>
            <w:vAlign w:val="center"/>
          </w:tcPr>
          <w:p w14:paraId="6C0D9CF2">
            <w:pPr>
              <w:adjustRightInd w:val="0"/>
              <w:snapToGrid w:val="0"/>
              <w:jc w:val="center"/>
              <w:rPr>
                <w:rFonts w:hint="default" w:ascii="Times New Roman" w:hAnsi="Times New Roman" w:cs="Times New Roman"/>
                <w:color w:val="auto"/>
                <w:sz w:val="21"/>
                <w:szCs w:val="21"/>
                <w:highlight w:val="none"/>
              </w:rPr>
            </w:pPr>
          </w:p>
        </w:tc>
      </w:tr>
      <w:tr w14:paraId="515322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711" w:type="pct"/>
            <w:tcBorders>
              <w:tl2br w:val="nil"/>
              <w:tr2bl w:val="nil"/>
            </w:tcBorders>
            <w:noWrap w:val="0"/>
            <w:vAlign w:val="center"/>
          </w:tcPr>
          <w:p w14:paraId="293905CA">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2</w:t>
            </w:r>
          </w:p>
        </w:tc>
        <w:tc>
          <w:tcPr>
            <w:tcW w:w="1464" w:type="pct"/>
            <w:tcBorders>
              <w:tl2br w:val="nil"/>
              <w:tr2bl w:val="nil"/>
            </w:tcBorders>
            <w:noWrap w:val="0"/>
            <w:vAlign w:val="center"/>
          </w:tcPr>
          <w:p w14:paraId="631E261B">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w:t>
            </w:r>
          </w:p>
        </w:tc>
        <w:tc>
          <w:tcPr>
            <w:tcW w:w="712" w:type="pct"/>
            <w:tcBorders>
              <w:tl2br w:val="nil"/>
              <w:tr2bl w:val="nil"/>
            </w:tcBorders>
            <w:noWrap w:val="0"/>
            <w:vAlign w:val="center"/>
          </w:tcPr>
          <w:p w14:paraId="66568C86">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712" w:type="pct"/>
            <w:tcBorders>
              <w:tl2br w:val="nil"/>
              <w:tr2bl w:val="nil"/>
            </w:tcBorders>
            <w:noWrap w:val="0"/>
            <w:vAlign w:val="center"/>
          </w:tcPr>
          <w:p w14:paraId="0412A7CF">
            <w:pPr>
              <w:adjustRightInd w:val="0"/>
              <w:snapToGrid w:val="0"/>
              <w:jc w:val="center"/>
              <w:rPr>
                <w:rFonts w:hint="default" w:ascii="Times New Roman" w:hAnsi="Times New Roman" w:cs="Times New Roman"/>
                <w:color w:val="auto"/>
                <w:sz w:val="21"/>
                <w:szCs w:val="21"/>
                <w:highlight w:val="none"/>
              </w:rPr>
            </w:pPr>
          </w:p>
        </w:tc>
        <w:tc>
          <w:tcPr>
            <w:tcW w:w="688" w:type="pct"/>
            <w:tcBorders>
              <w:tl2br w:val="nil"/>
              <w:tr2bl w:val="nil"/>
            </w:tcBorders>
            <w:noWrap w:val="0"/>
            <w:vAlign w:val="center"/>
          </w:tcPr>
          <w:p w14:paraId="4E35F486">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711" w:type="pct"/>
            <w:tcBorders>
              <w:tl2br w:val="nil"/>
              <w:tr2bl w:val="nil"/>
            </w:tcBorders>
            <w:noWrap w:val="0"/>
            <w:vAlign w:val="center"/>
          </w:tcPr>
          <w:p w14:paraId="123EC842">
            <w:pPr>
              <w:adjustRightInd w:val="0"/>
              <w:snapToGrid w:val="0"/>
              <w:jc w:val="center"/>
              <w:rPr>
                <w:rFonts w:hint="default" w:ascii="Times New Roman" w:hAnsi="Times New Roman" w:cs="Times New Roman"/>
                <w:color w:val="auto"/>
                <w:sz w:val="21"/>
                <w:szCs w:val="21"/>
                <w:highlight w:val="none"/>
              </w:rPr>
            </w:pPr>
          </w:p>
        </w:tc>
      </w:tr>
      <w:tr w14:paraId="5B3955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1" w:type="pct"/>
            <w:tcBorders>
              <w:tl2br w:val="nil"/>
              <w:tr2bl w:val="nil"/>
            </w:tcBorders>
            <w:noWrap w:val="0"/>
            <w:vAlign w:val="center"/>
          </w:tcPr>
          <w:p w14:paraId="64F681A4">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w:t>
            </w:r>
          </w:p>
        </w:tc>
        <w:tc>
          <w:tcPr>
            <w:tcW w:w="1464" w:type="pct"/>
            <w:tcBorders>
              <w:tl2br w:val="nil"/>
              <w:tr2bl w:val="nil"/>
            </w:tcBorders>
            <w:noWrap w:val="0"/>
            <w:vAlign w:val="center"/>
          </w:tcPr>
          <w:p w14:paraId="7AB775A5">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第95百分位数日平均</w:t>
            </w:r>
          </w:p>
        </w:tc>
        <w:tc>
          <w:tcPr>
            <w:tcW w:w="712" w:type="pct"/>
            <w:tcBorders>
              <w:tl2br w:val="nil"/>
              <w:tr2bl w:val="nil"/>
            </w:tcBorders>
            <w:noWrap w:val="0"/>
            <w:vAlign w:val="center"/>
          </w:tcPr>
          <w:p w14:paraId="053C3BEE">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712" w:type="pct"/>
            <w:tcBorders>
              <w:tl2br w:val="nil"/>
              <w:tr2bl w:val="nil"/>
            </w:tcBorders>
            <w:noWrap w:val="0"/>
            <w:vAlign w:val="center"/>
          </w:tcPr>
          <w:p w14:paraId="29AA377C">
            <w:pPr>
              <w:adjustRightInd w:val="0"/>
              <w:snapToGrid w:val="0"/>
              <w:jc w:val="center"/>
              <w:rPr>
                <w:rFonts w:hint="default" w:ascii="Times New Roman" w:hAnsi="Times New Roman" w:cs="Times New Roman"/>
                <w:color w:val="auto"/>
                <w:sz w:val="21"/>
                <w:szCs w:val="21"/>
                <w:highlight w:val="none"/>
              </w:rPr>
            </w:pPr>
          </w:p>
        </w:tc>
        <w:tc>
          <w:tcPr>
            <w:tcW w:w="688" w:type="pct"/>
            <w:tcBorders>
              <w:tl2br w:val="nil"/>
              <w:tr2bl w:val="nil"/>
            </w:tcBorders>
            <w:noWrap w:val="0"/>
            <w:vAlign w:val="center"/>
          </w:tcPr>
          <w:p w14:paraId="116557A5">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711" w:type="pct"/>
            <w:tcBorders>
              <w:tl2br w:val="nil"/>
              <w:tr2bl w:val="nil"/>
            </w:tcBorders>
            <w:noWrap w:val="0"/>
            <w:vAlign w:val="center"/>
          </w:tcPr>
          <w:p w14:paraId="5482C882">
            <w:pPr>
              <w:adjustRightInd w:val="0"/>
              <w:snapToGrid w:val="0"/>
              <w:jc w:val="center"/>
              <w:rPr>
                <w:rFonts w:hint="default" w:ascii="Times New Roman" w:hAnsi="Times New Roman" w:cs="Times New Roman"/>
                <w:color w:val="auto"/>
                <w:sz w:val="21"/>
                <w:szCs w:val="21"/>
                <w:highlight w:val="none"/>
              </w:rPr>
            </w:pPr>
          </w:p>
        </w:tc>
      </w:tr>
      <w:tr w14:paraId="5C0702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1" w:type="pct"/>
            <w:tcBorders>
              <w:tl2br w:val="nil"/>
              <w:tr2bl w:val="nil"/>
            </w:tcBorders>
            <w:noWrap w:val="0"/>
            <w:vAlign w:val="center"/>
          </w:tcPr>
          <w:p w14:paraId="14893194">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O</w:t>
            </w:r>
            <w:r>
              <w:rPr>
                <w:rFonts w:hint="default" w:ascii="Times New Roman" w:hAnsi="Times New Roman" w:cs="Times New Roman"/>
                <w:color w:val="auto"/>
                <w:sz w:val="21"/>
                <w:szCs w:val="21"/>
                <w:highlight w:val="none"/>
                <w:vertAlign w:val="subscript"/>
              </w:rPr>
              <w:t>3</w:t>
            </w:r>
          </w:p>
        </w:tc>
        <w:tc>
          <w:tcPr>
            <w:tcW w:w="1464" w:type="pct"/>
            <w:tcBorders>
              <w:tl2br w:val="nil"/>
              <w:tr2bl w:val="nil"/>
            </w:tcBorders>
            <w:noWrap w:val="0"/>
            <w:vAlign w:val="center"/>
          </w:tcPr>
          <w:p w14:paraId="5C7C68CC">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第90百分位数日平均</w:t>
            </w:r>
          </w:p>
        </w:tc>
        <w:tc>
          <w:tcPr>
            <w:tcW w:w="712" w:type="pct"/>
            <w:tcBorders>
              <w:tl2br w:val="nil"/>
              <w:tr2bl w:val="nil"/>
            </w:tcBorders>
            <w:noWrap w:val="0"/>
            <w:vAlign w:val="center"/>
          </w:tcPr>
          <w:p w14:paraId="78CD09C9">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712" w:type="pct"/>
            <w:tcBorders>
              <w:tl2br w:val="nil"/>
              <w:tr2bl w:val="nil"/>
            </w:tcBorders>
            <w:noWrap w:val="0"/>
            <w:vAlign w:val="center"/>
          </w:tcPr>
          <w:p w14:paraId="696309FA">
            <w:pPr>
              <w:adjustRightInd w:val="0"/>
              <w:snapToGrid w:val="0"/>
              <w:jc w:val="center"/>
              <w:rPr>
                <w:rFonts w:hint="default" w:ascii="Times New Roman" w:hAnsi="Times New Roman" w:cs="Times New Roman"/>
                <w:color w:val="auto"/>
                <w:sz w:val="21"/>
                <w:szCs w:val="21"/>
                <w:highlight w:val="none"/>
              </w:rPr>
            </w:pPr>
          </w:p>
        </w:tc>
        <w:tc>
          <w:tcPr>
            <w:tcW w:w="688" w:type="pct"/>
            <w:tcBorders>
              <w:tl2br w:val="nil"/>
              <w:tr2bl w:val="nil"/>
            </w:tcBorders>
            <w:noWrap w:val="0"/>
            <w:vAlign w:val="center"/>
          </w:tcPr>
          <w:p w14:paraId="4F3F9C6F">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711" w:type="pct"/>
            <w:tcBorders>
              <w:tl2br w:val="nil"/>
              <w:tr2bl w:val="nil"/>
            </w:tcBorders>
            <w:noWrap w:val="0"/>
            <w:vAlign w:val="center"/>
          </w:tcPr>
          <w:p w14:paraId="059BC200">
            <w:pPr>
              <w:adjustRightInd w:val="0"/>
              <w:snapToGrid w:val="0"/>
              <w:jc w:val="center"/>
              <w:rPr>
                <w:rFonts w:hint="default" w:ascii="Times New Roman" w:hAnsi="Times New Roman" w:cs="Times New Roman"/>
                <w:color w:val="auto"/>
                <w:sz w:val="21"/>
                <w:szCs w:val="21"/>
                <w:highlight w:val="none"/>
              </w:rPr>
            </w:pPr>
          </w:p>
        </w:tc>
      </w:tr>
      <w:tr w14:paraId="7872C0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1" w:type="pct"/>
            <w:tcBorders>
              <w:tl2br w:val="nil"/>
              <w:tr2bl w:val="nil"/>
            </w:tcBorders>
            <w:noWrap w:val="0"/>
            <w:vAlign w:val="center"/>
          </w:tcPr>
          <w:p w14:paraId="0635091C">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2.5</w:t>
            </w:r>
          </w:p>
        </w:tc>
        <w:tc>
          <w:tcPr>
            <w:tcW w:w="1464" w:type="pct"/>
            <w:tcBorders>
              <w:tl2br w:val="nil"/>
              <w:tr2bl w:val="nil"/>
            </w:tcBorders>
            <w:noWrap w:val="0"/>
            <w:vAlign w:val="center"/>
          </w:tcPr>
          <w:p w14:paraId="0199547B">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w:t>
            </w:r>
          </w:p>
        </w:tc>
        <w:tc>
          <w:tcPr>
            <w:tcW w:w="712" w:type="pct"/>
            <w:tcBorders>
              <w:tl2br w:val="nil"/>
              <w:tr2bl w:val="nil"/>
            </w:tcBorders>
            <w:noWrap w:val="0"/>
            <w:vAlign w:val="center"/>
          </w:tcPr>
          <w:p w14:paraId="7BDCED75">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712" w:type="pct"/>
            <w:tcBorders>
              <w:tl2br w:val="nil"/>
              <w:tr2bl w:val="nil"/>
            </w:tcBorders>
            <w:noWrap w:val="0"/>
            <w:vAlign w:val="center"/>
          </w:tcPr>
          <w:p w14:paraId="1B3B2A23">
            <w:pPr>
              <w:adjustRightInd w:val="0"/>
              <w:snapToGrid w:val="0"/>
              <w:jc w:val="center"/>
              <w:rPr>
                <w:rFonts w:hint="default" w:ascii="Times New Roman" w:hAnsi="Times New Roman" w:cs="Times New Roman"/>
                <w:color w:val="auto"/>
                <w:sz w:val="21"/>
                <w:szCs w:val="21"/>
                <w:highlight w:val="none"/>
              </w:rPr>
            </w:pPr>
          </w:p>
        </w:tc>
        <w:tc>
          <w:tcPr>
            <w:tcW w:w="688" w:type="pct"/>
            <w:tcBorders>
              <w:tl2br w:val="nil"/>
              <w:tr2bl w:val="nil"/>
            </w:tcBorders>
            <w:noWrap w:val="0"/>
            <w:vAlign w:val="center"/>
          </w:tcPr>
          <w:p w14:paraId="2DE18678">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711" w:type="pct"/>
            <w:tcBorders>
              <w:tl2br w:val="nil"/>
              <w:tr2bl w:val="nil"/>
            </w:tcBorders>
            <w:noWrap w:val="0"/>
            <w:vAlign w:val="top"/>
          </w:tcPr>
          <w:p w14:paraId="04BFE642">
            <w:pPr>
              <w:adjustRightInd w:val="0"/>
              <w:snapToGrid w:val="0"/>
              <w:jc w:val="center"/>
              <w:rPr>
                <w:rFonts w:hint="default" w:ascii="Times New Roman" w:hAnsi="Times New Roman" w:cs="Times New Roman"/>
                <w:color w:val="auto"/>
                <w:sz w:val="21"/>
                <w:szCs w:val="21"/>
                <w:highlight w:val="none"/>
              </w:rPr>
            </w:pPr>
          </w:p>
        </w:tc>
      </w:tr>
      <w:tr w14:paraId="0B12F0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1" w:type="pct"/>
            <w:tcBorders>
              <w:tl2br w:val="nil"/>
              <w:tr2bl w:val="nil"/>
            </w:tcBorders>
            <w:noWrap w:val="0"/>
            <w:vAlign w:val="center"/>
          </w:tcPr>
          <w:p w14:paraId="45A8ECC5">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10</w:t>
            </w:r>
          </w:p>
        </w:tc>
        <w:tc>
          <w:tcPr>
            <w:tcW w:w="1464" w:type="pct"/>
            <w:tcBorders>
              <w:tl2br w:val="nil"/>
              <w:tr2bl w:val="nil"/>
            </w:tcBorders>
            <w:noWrap w:val="0"/>
            <w:vAlign w:val="center"/>
          </w:tcPr>
          <w:p w14:paraId="1FFD2D8E">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w:t>
            </w:r>
          </w:p>
        </w:tc>
        <w:tc>
          <w:tcPr>
            <w:tcW w:w="712" w:type="pct"/>
            <w:tcBorders>
              <w:tl2br w:val="nil"/>
              <w:tr2bl w:val="nil"/>
            </w:tcBorders>
            <w:noWrap w:val="0"/>
            <w:vAlign w:val="center"/>
          </w:tcPr>
          <w:p w14:paraId="7768AFA8">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712" w:type="pct"/>
            <w:tcBorders>
              <w:tl2br w:val="nil"/>
              <w:tr2bl w:val="nil"/>
            </w:tcBorders>
            <w:noWrap w:val="0"/>
            <w:vAlign w:val="center"/>
          </w:tcPr>
          <w:p w14:paraId="6F9F5F6B">
            <w:pPr>
              <w:adjustRightInd w:val="0"/>
              <w:snapToGrid w:val="0"/>
              <w:jc w:val="center"/>
              <w:rPr>
                <w:rFonts w:hint="default" w:ascii="Times New Roman" w:hAnsi="Times New Roman" w:cs="Times New Roman"/>
                <w:color w:val="auto"/>
                <w:sz w:val="21"/>
                <w:szCs w:val="21"/>
                <w:highlight w:val="none"/>
              </w:rPr>
            </w:pPr>
          </w:p>
        </w:tc>
        <w:tc>
          <w:tcPr>
            <w:tcW w:w="688" w:type="pct"/>
            <w:tcBorders>
              <w:tl2br w:val="nil"/>
              <w:tr2bl w:val="nil"/>
            </w:tcBorders>
            <w:noWrap w:val="0"/>
            <w:vAlign w:val="center"/>
          </w:tcPr>
          <w:p w14:paraId="62A24302">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711" w:type="pct"/>
            <w:tcBorders>
              <w:tl2br w:val="nil"/>
              <w:tr2bl w:val="nil"/>
            </w:tcBorders>
            <w:noWrap w:val="0"/>
            <w:vAlign w:val="top"/>
          </w:tcPr>
          <w:p w14:paraId="6B48312C">
            <w:pPr>
              <w:adjustRightInd w:val="0"/>
              <w:snapToGrid w:val="0"/>
              <w:jc w:val="center"/>
              <w:rPr>
                <w:rFonts w:hint="eastAsia" w:ascii="Times New Roman" w:hAnsi="Times New Roman" w:eastAsia="宋体" w:cs="Times New Roman"/>
                <w:color w:val="auto"/>
                <w:sz w:val="21"/>
                <w:szCs w:val="21"/>
                <w:highlight w:val="none"/>
                <w:lang w:eastAsia="zh-CN"/>
              </w:rPr>
            </w:pPr>
          </w:p>
        </w:tc>
      </w:tr>
    </w:tbl>
    <w:p w14:paraId="34937516">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Times New Roman" w:hAnsi="Times New Roman" w:eastAsia="宋体" w:cs="Times New Roman"/>
          <w:color w:val="auto"/>
          <w:kern w:val="2"/>
          <w:highlight w:val="cyan"/>
        </w:rPr>
      </w:pPr>
      <w:r>
        <w:rPr>
          <w:color w:val="auto"/>
          <w:sz w:val="18"/>
          <w:szCs w:val="18"/>
          <w:highlight w:val="none"/>
        </w:rPr>
        <w:t>注：监测数值中PM</w:t>
      </w:r>
      <w:r>
        <w:rPr>
          <w:color w:val="auto"/>
          <w:sz w:val="18"/>
          <w:szCs w:val="18"/>
          <w:highlight w:val="none"/>
          <w:vertAlign w:val="subscript"/>
        </w:rPr>
        <w:t>2.5</w:t>
      </w:r>
      <w:r>
        <w:rPr>
          <w:color w:val="auto"/>
          <w:sz w:val="18"/>
          <w:szCs w:val="18"/>
          <w:highlight w:val="none"/>
        </w:rPr>
        <w:t>、PM</w:t>
      </w:r>
      <w:r>
        <w:rPr>
          <w:color w:val="auto"/>
          <w:sz w:val="18"/>
          <w:szCs w:val="18"/>
          <w:highlight w:val="none"/>
          <w:vertAlign w:val="subscript"/>
        </w:rPr>
        <w:t>10</w:t>
      </w:r>
      <w:r>
        <w:rPr>
          <w:color w:val="auto"/>
          <w:sz w:val="18"/>
          <w:szCs w:val="18"/>
          <w:highlight w:val="none"/>
        </w:rPr>
        <w:t>、SO</w:t>
      </w:r>
      <w:r>
        <w:rPr>
          <w:color w:val="auto"/>
          <w:sz w:val="18"/>
          <w:szCs w:val="18"/>
          <w:highlight w:val="none"/>
          <w:vertAlign w:val="subscript"/>
        </w:rPr>
        <w:t>2</w:t>
      </w:r>
      <w:r>
        <w:rPr>
          <w:color w:val="auto"/>
          <w:sz w:val="18"/>
          <w:szCs w:val="18"/>
          <w:highlight w:val="none"/>
        </w:rPr>
        <w:t>、NO</w:t>
      </w:r>
      <w:r>
        <w:rPr>
          <w:color w:val="auto"/>
          <w:sz w:val="18"/>
          <w:szCs w:val="18"/>
          <w:highlight w:val="none"/>
          <w:vertAlign w:val="subscript"/>
        </w:rPr>
        <w:t>2</w:t>
      </w:r>
      <w:r>
        <w:rPr>
          <w:color w:val="auto"/>
          <w:sz w:val="18"/>
          <w:szCs w:val="18"/>
          <w:highlight w:val="none"/>
        </w:rPr>
        <w:t>这四项为浓度均值，CO为24小时平均浓度第95百分位数，O</w:t>
      </w:r>
      <w:r>
        <w:rPr>
          <w:color w:val="auto"/>
          <w:sz w:val="18"/>
          <w:szCs w:val="18"/>
          <w:highlight w:val="none"/>
          <w:vertAlign w:val="subscript"/>
        </w:rPr>
        <w:t>3</w:t>
      </w:r>
      <w:r>
        <w:rPr>
          <w:color w:val="auto"/>
          <w:sz w:val="18"/>
          <w:szCs w:val="18"/>
          <w:highlight w:val="none"/>
        </w:rPr>
        <w:t>为日最大8小时平均浓度第90百分位数；二级标准值中PM</w:t>
      </w:r>
      <w:r>
        <w:rPr>
          <w:color w:val="auto"/>
          <w:sz w:val="18"/>
          <w:szCs w:val="18"/>
          <w:highlight w:val="none"/>
          <w:vertAlign w:val="subscript"/>
        </w:rPr>
        <w:t>2.5</w:t>
      </w:r>
      <w:r>
        <w:rPr>
          <w:color w:val="auto"/>
          <w:sz w:val="18"/>
          <w:szCs w:val="18"/>
          <w:highlight w:val="none"/>
        </w:rPr>
        <w:t>、PM</w:t>
      </w:r>
      <w:r>
        <w:rPr>
          <w:color w:val="auto"/>
          <w:sz w:val="18"/>
          <w:szCs w:val="18"/>
          <w:highlight w:val="none"/>
          <w:vertAlign w:val="subscript"/>
        </w:rPr>
        <w:t>10</w:t>
      </w:r>
      <w:r>
        <w:rPr>
          <w:color w:val="auto"/>
          <w:sz w:val="18"/>
          <w:szCs w:val="18"/>
          <w:highlight w:val="none"/>
        </w:rPr>
        <w:t>、SO</w:t>
      </w:r>
      <w:r>
        <w:rPr>
          <w:color w:val="auto"/>
          <w:sz w:val="18"/>
          <w:szCs w:val="18"/>
          <w:highlight w:val="none"/>
          <w:vertAlign w:val="subscript"/>
        </w:rPr>
        <w:t>2</w:t>
      </w:r>
      <w:r>
        <w:rPr>
          <w:color w:val="auto"/>
          <w:sz w:val="18"/>
          <w:szCs w:val="18"/>
          <w:highlight w:val="none"/>
        </w:rPr>
        <w:t>、NO</w:t>
      </w:r>
      <w:r>
        <w:rPr>
          <w:color w:val="auto"/>
          <w:sz w:val="18"/>
          <w:szCs w:val="18"/>
          <w:highlight w:val="none"/>
          <w:vertAlign w:val="subscript"/>
        </w:rPr>
        <w:t>2</w:t>
      </w:r>
      <w:r>
        <w:rPr>
          <w:color w:val="auto"/>
          <w:sz w:val="18"/>
          <w:szCs w:val="18"/>
          <w:highlight w:val="none"/>
        </w:rPr>
        <w:t>这四项为年均值，CO为24小时平均值，O</w:t>
      </w:r>
      <w:r>
        <w:rPr>
          <w:color w:val="auto"/>
          <w:sz w:val="18"/>
          <w:szCs w:val="18"/>
          <w:highlight w:val="none"/>
          <w:vertAlign w:val="subscript"/>
        </w:rPr>
        <w:t>3</w:t>
      </w:r>
      <w:r>
        <w:rPr>
          <w:color w:val="auto"/>
          <w:sz w:val="18"/>
          <w:szCs w:val="18"/>
          <w:highlight w:val="none"/>
        </w:rPr>
        <w:t>为日最大8小时平均值。</w:t>
      </w:r>
    </w:p>
    <w:bookmarkEnd w:id="586"/>
    <w:p w14:paraId="1FAB4EBE">
      <w:pPr>
        <w:pStyle w:val="79"/>
        <w:bidi w:val="0"/>
        <w:rPr>
          <w:rFonts w:hint="default"/>
          <w:color w:val="auto"/>
        </w:rPr>
      </w:pPr>
      <w:r>
        <w:rPr>
          <w:rFonts w:hint="default"/>
          <w:color w:val="auto"/>
        </w:rPr>
        <w:t>由上表可知：20</w:t>
      </w:r>
      <w:r>
        <w:rPr>
          <w:rFonts w:hint="eastAsia"/>
          <w:color w:val="auto"/>
          <w:lang w:val="en-US" w:eastAsia="zh-CN"/>
        </w:rPr>
        <w:t>23</w:t>
      </w:r>
      <w:r>
        <w:rPr>
          <w:rFonts w:hint="default"/>
          <w:color w:val="auto"/>
        </w:rPr>
        <w:t>年项目所在地阿克苏地区SO</w:t>
      </w:r>
      <w:r>
        <w:rPr>
          <w:rFonts w:hint="default"/>
          <w:color w:val="auto"/>
          <w:vertAlign w:val="subscript"/>
        </w:rPr>
        <w:t>2</w:t>
      </w:r>
      <w:r>
        <w:rPr>
          <w:rFonts w:hint="default"/>
          <w:color w:val="auto"/>
        </w:rPr>
        <w:t>、NO</w:t>
      </w:r>
      <w:r>
        <w:rPr>
          <w:rFonts w:hint="default"/>
          <w:color w:val="auto"/>
          <w:vertAlign w:val="subscript"/>
        </w:rPr>
        <w:t>2</w:t>
      </w:r>
      <w:r>
        <w:rPr>
          <w:rFonts w:hint="default"/>
          <w:color w:val="auto"/>
        </w:rPr>
        <w:t>年平均浓度及CO、O</w:t>
      </w:r>
      <w:r>
        <w:rPr>
          <w:rFonts w:hint="default"/>
          <w:color w:val="auto"/>
          <w:vertAlign w:val="subscript"/>
        </w:rPr>
        <w:t>3</w:t>
      </w:r>
      <w:r>
        <w:rPr>
          <w:rFonts w:hint="default"/>
          <w:color w:val="auto"/>
        </w:rPr>
        <w:t>日平均浓度均满足《环境空气质量标准》（GB3095-2012）的二级标准要求；PM</w:t>
      </w:r>
      <w:r>
        <w:rPr>
          <w:rFonts w:hint="default"/>
          <w:color w:val="auto"/>
          <w:vertAlign w:val="subscript"/>
        </w:rPr>
        <w:t>10</w:t>
      </w:r>
      <w:r>
        <w:rPr>
          <w:rFonts w:hint="default"/>
          <w:color w:val="auto"/>
          <w:lang w:eastAsia="zh-CN"/>
        </w:rPr>
        <w:t>、</w:t>
      </w:r>
      <w:r>
        <w:rPr>
          <w:rFonts w:hint="default"/>
          <w:color w:val="auto"/>
        </w:rPr>
        <w:t>PM</w:t>
      </w:r>
      <w:r>
        <w:rPr>
          <w:rFonts w:hint="default"/>
          <w:color w:val="auto"/>
          <w:vertAlign w:val="subscript"/>
        </w:rPr>
        <w:t>2.5</w:t>
      </w:r>
      <w:r>
        <w:rPr>
          <w:rFonts w:hint="default"/>
          <w:color w:val="auto"/>
        </w:rPr>
        <w:t>年浓度超过《环境空气质量标准》（GB3095-2012）中二级标准限值要求，项目区为不达标区，超标主要是由于当地气候条件干燥、自然扬尘较多。</w:t>
      </w:r>
    </w:p>
    <w:p w14:paraId="7A8C21E5">
      <w:pPr>
        <w:pStyle w:val="79"/>
        <w:bidi w:val="0"/>
        <w:rPr>
          <w:rFonts w:hint="default"/>
          <w:color w:val="auto"/>
        </w:rPr>
      </w:pPr>
      <w:r>
        <w:rPr>
          <w:rFonts w:hint="default"/>
          <w:color w:val="auto"/>
        </w:rPr>
        <w:t>阿克苏地区通过落实大气污染防治行动计划，采取综合措施，可降低工业粉尘排放，但自然原因引起的扬尘污染受气候干燥、降水少的现实情况限制，短期内不会有明显改善。</w:t>
      </w:r>
    </w:p>
    <w:p w14:paraId="277CE18D">
      <w:pPr>
        <w:pStyle w:val="54"/>
        <w:bidi w:val="0"/>
        <w:rPr>
          <w:rFonts w:hint="default"/>
          <w:color w:val="auto"/>
          <w:lang w:val="zh-CN"/>
        </w:rPr>
      </w:pPr>
      <w:bookmarkStart w:id="587" w:name="_Toc508291890"/>
      <w:bookmarkStart w:id="588" w:name="_Toc109382928"/>
      <w:bookmarkStart w:id="589" w:name="_Toc78993990"/>
      <w:bookmarkStart w:id="590" w:name="_Toc353966742"/>
      <w:bookmarkStart w:id="591" w:name="_Toc374724187"/>
      <w:bookmarkStart w:id="592" w:name="_Toc42981111"/>
      <w:bookmarkStart w:id="593" w:name="_Toc361761834"/>
      <w:r>
        <w:rPr>
          <w:rFonts w:hint="default"/>
          <w:color w:val="auto"/>
          <w:lang w:val="zh-CN"/>
        </w:rPr>
        <w:t>4.</w:t>
      </w:r>
      <w:r>
        <w:rPr>
          <w:rFonts w:hint="eastAsia"/>
          <w:color w:val="auto"/>
          <w:lang w:val="en-US" w:eastAsia="zh-CN"/>
        </w:rPr>
        <w:t>6</w:t>
      </w:r>
      <w:r>
        <w:rPr>
          <w:rFonts w:hint="default"/>
          <w:color w:val="auto"/>
          <w:lang w:val="zh-CN"/>
        </w:rPr>
        <w:t>.2 特征污染物环境质量现状评价</w:t>
      </w:r>
    </w:p>
    <w:p w14:paraId="4A61150E">
      <w:pPr>
        <w:pStyle w:val="79"/>
        <w:bidi w:val="0"/>
        <w:rPr>
          <w:rFonts w:hint="default"/>
          <w:color w:val="auto"/>
        </w:rPr>
      </w:pPr>
      <w:bookmarkStart w:id="594" w:name="_Toc13032"/>
      <w:r>
        <w:rPr>
          <w:rFonts w:hint="eastAsia"/>
          <w:color w:val="auto"/>
          <w:lang w:eastAsia="zh-CN"/>
        </w:rPr>
        <w:t>（</w:t>
      </w:r>
      <w:r>
        <w:rPr>
          <w:rFonts w:hint="eastAsia"/>
          <w:color w:val="auto"/>
          <w:lang w:val="en-US" w:eastAsia="zh-CN"/>
        </w:rPr>
        <w:t>1</w:t>
      </w:r>
      <w:r>
        <w:rPr>
          <w:rFonts w:hint="eastAsia"/>
          <w:color w:val="auto"/>
          <w:lang w:eastAsia="zh-CN"/>
        </w:rPr>
        <w:t>）</w:t>
      </w:r>
      <w:r>
        <w:rPr>
          <w:rFonts w:hint="default"/>
          <w:color w:val="auto"/>
        </w:rPr>
        <w:t>监测点基本信息</w:t>
      </w:r>
    </w:p>
    <w:p w14:paraId="3DF179F9">
      <w:pPr>
        <w:pStyle w:val="79"/>
        <w:bidi w:val="0"/>
        <w:rPr>
          <w:rFonts w:hint="default"/>
          <w:color w:val="auto"/>
        </w:rPr>
      </w:pPr>
      <w:r>
        <w:rPr>
          <w:rFonts w:hint="default"/>
          <w:color w:val="auto"/>
        </w:rPr>
        <w:t>按照《环境影响评价技术导则 大气环境》</w:t>
      </w:r>
      <w:r>
        <w:rPr>
          <w:rFonts w:hint="eastAsia"/>
          <w:color w:val="auto"/>
          <w:lang w:eastAsia="zh-CN"/>
        </w:rPr>
        <w:t>（</w:t>
      </w:r>
      <w:r>
        <w:rPr>
          <w:rFonts w:hint="default"/>
          <w:color w:val="auto"/>
        </w:rPr>
        <w:t>HJ2.2-2018</w:t>
      </w:r>
      <w:r>
        <w:rPr>
          <w:rFonts w:hint="eastAsia"/>
          <w:color w:val="auto"/>
          <w:lang w:eastAsia="zh-CN"/>
        </w:rPr>
        <w:t>）</w:t>
      </w:r>
      <w:r>
        <w:rPr>
          <w:rFonts w:hint="default"/>
          <w:color w:val="auto"/>
        </w:rPr>
        <w:t>，结合项目所在区域地形特点以及当地气象特征，且本次评价在布置</w:t>
      </w:r>
      <w:r>
        <w:rPr>
          <w:rFonts w:hint="default"/>
          <w:color w:val="auto"/>
          <w:lang w:val="en-US" w:eastAsia="zh-CN"/>
        </w:rPr>
        <w:t>2</w:t>
      </w:r>
      <w:r>
        <w:rPr>
          <w:rFonts w:hint="default"/>
          <w:color w:val="auto"/>
        </w:rPr>
        <w:t>个监测点位对区域环境空气质量现状进行补充监测，监测因子为非甲烷总烃、硫化氢</w:t>
      </w:r>
      <w:r>
        <w:rPr>
          <w:rFonts w:hint="eastAsia"/>
          <w:color w:val="auto"/>
          <w:lang w:val="en-US" w:eastAsia="zh-CN"/>
        </w:rPr>
        <w:t>、甲醇</w:t>
      </w:r>
      <w:r>
        <w:rPr>
          <w:rFonts w:hint="default"/>
          <w:color w:val="auto"/>
        </w:rPr>
        <w:t>。监测工作由新疆中测测试有限责任公司完成。</w:t>
      </w:r>
    </w:p>
    <w:p w14:paraId="792F611C">
      <w:pPr>
        <w:pStyle w:val="79"/>
        <w:bidi w:val="0"/>
        <w:rPr>
          <w:rFonts w:hint="default"/>
          <w:color w:val="auto"/>
          <w:lang w:val="en-US" w:eastAsia="zh-CN"/>
        </w:rPr>
      </w:pPr>
      <w:r>
        <w:rPr>
          <w:rFonts w:hint="default"/>
          <w:color w:val="auto"/>
        </w:rPr>
        <w:t>监测点位基本信息</w:t>
      </w:r>
      <w:r>
        <w:rPr>
          <w:rFonts w:hint="eastAsia"/>
          <w:color w:val="auto"/>
          <w:lang w:eastAsia="zh-CN"/>
        </w:rPr>
        <w:t>，</w:t>
      </w:r>
      <w:r>
        <w:rPr>
          <w:rFonts w:hint="default"/>
          <w:color w:val="auto"/>
        </w:rPr>
        <w:t>见表4.</w:t>
      </w:r>
      <w:r>
        <w:rPr>
          <w:rFonts w:hint="eastAsia"/>
          <w:color w:val="auto"/>
          <w:lang w:val="en-US" w:eastAsia="zh-CN"/>
        </w:rPr>
        <w:t>6</w:t>
      </w:r>
      <w:r>
        <w:rPr>
          <w:rFonts w:hint="default"/>
          <w:color w:val="auto"/>
        </w:rPr>
        <w:t>-2。</w:t>
      </w:r>
      <w:r>
        <w:rPr>
          <w:rFonts w:hint="eastAsia"/>
          <w:color w:val="auto"/>
          <w:lang w:val="en-US" w:eastAsia="zh-CN"/>
        </w:rPr>
        <w:t>监测点位示意图见图4.3-1。</w:t>
      </w:r>
    </w:p>
    <w:p w14:paraId="4B059277">
      <w:pPr>
        <w:pStyle w:val="61"/>
        <w:bidi w:val="0"/>
        <w:jc w:val="both"/>
        <w:rPr>
          <w:rFonts w:hint="eastAsia"/>
          <w:color w:val="auto"/>
          <w:lang w:val="en-US" w:eastAsia="zh-CN"/>
        </w:rPr>
      </w:pPr>
      <w:r>
        <w:rPr>
          <w:rFonts w:hint="eastAsia"/>
          <w:color w:val="auto"/>
          <w:lang w:val="en-US" w:eastAsia="zh-CN"/>
        </w:rPr>
        <w:t>表4.6-2  监测点位基本信息一览表</w:t>
      </w:r>
    </w:p>
    <w:tbl>
      <w:tblPr>
        <w:tblStyle w:val="36"/>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2110"/>
        <w:gridCol w:w="1910"/>
        <w:gridCol w:w="2574"/>
        <w:gridCol w:w="2077"/>
      </w:tblGrid>
      <w:tr w14:paraId="312517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1216" w:type="pct"/>
            <w:vMerge w:val="restart"/>
            <w:tcBorders>
              <w:tl2br w:val="nil"/>
              <w:tr2bl w:val="nil"/>
            </w:tcBorders>
            <w:vAlign w:val="center"/>
          </w:tcPr>
          <w:p w14:paraId="13AFAAE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42" w:leftChars="-20" w:right="-33" w:rightChars="-16"/>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监测点名称</w:t>
            </w:r>
          </w:p>
        </w:tc>
        <w:tc>
          <w:tcPr>
            <w:tcW w:w="1101" w:type="pct"/>
            <w:vMerge w:val="restart"/>
            <w:tcBorders>
              <w:tl2br w:val="nil"/>
              <w:tr2bl w:val="nil"/>
            </w:tcBorders>
            <w:vAlign w:val="center"/>
          </w:tcPr>
          <w:p w14:paraId="0240522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42" w:leftChars="-20" w:right="-33" w:rightChars="-16"/>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监测点坐标</w:t>
            </w:r>
          </w:p>
        </w:tc>
        <w:tc>
          <w:tcPr>
            <w:tcW w:w="1484" w:type="pct"/>
            <w:tcBorders>
              <w:tl2br w:val="nil"/>
              <w:tr2bl w:val="nil"/>
            </w:tcBorders>
            <w:vAlign w:val="center"/>
          </w:tcPr>
          <w:p w14:paraId="72A97DC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42" w:leftChars="-20" w:right="-33" w:rightChars="-16"/>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监测因子</w:t>
            </w:r>
          </w:p>
        </w:tc>
        <w:tc>
          <w:tcPr>
            <w:tcW w:w="1197" w:type="pct"/>
            <w:vMerge w:val="restart"/>
            <w:tcBorders>
              <w:tl2br w:val="nil"/>
              <w:tr2bl w:val="nil"/>
            </w:tcBorders>
            <w:vAlign w:val="center"/>
          </w:tcPr>
          <w:p w14:paraId="7CA923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42" w:leftChars="-20" w:right="-33" w:rightChars="-16"/>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数据来源</w:t>
            </w:r>
          </w:p>
        </w:tc>
      </w:tr>
      <w:tr w14:paraId="0B509B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216" w:type="pct"/>
            <w:vMerge w:val="continue"/>
            <w:tcBorders>
              <w:tl2br w:val="nil"/>
              <w:tr2bl w:val="nil"/>
            </w:tcBorders>
            <w:vAlign w:val="center"/>
          </w:tcPr>
          <w:p w14:paraId="569B085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42" w:leftChars="-20" w:right="-33" w:rightChars="-16"/>
              <w:jc w:val="center"/>
              <w:textAlignment w:val="auto"/>
              <w:rPr>
                <w:rFonts w:hint="default" w:ascii="Times New Roman" w:hAnsi="Times New Roman" w:eastAsia="宋体" w:cs="Times New Roman"/>
                <w:color w:val="auto"/>
                <w:sz w:val="21"/>
                <w:szCs w:val="21"/>
              </w:rPr>
            </w:pPr>
          </w:p>
        </w:tc>
        <w:tc>
          <w:tcPr>
            <w:tcW w:w="1101" w:type="pct"/>
            <w:vMerge w:val="continue"/>
            <w:tcBorders>
              <w:tl2br w:val="nil"/>
              <w:tr2bl w:val="nil"/>
            </w:tcBorders>
            <w:vAlign w:val="center"/>
          </w:tcPr>
          <w:p w14:paraId="7EB95FC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42" w:leftChars="-20" w:right="-33" w:rightChars="-16"/>
              <w:jc w:val="center"/>
              <w:textAlignment w:val="auto"/>
              <w:rPr>
                <w:rFonts w:hint="default" w:ascii="Times New Roman" w:hAnsi="Times New Roman" w:eastAsia="宋体" w:cs="Times New Roman"/>
                <w:color w:val="auto"/>
                <w:sz w:val="21"/>
                <w:szCs w:val="21"/>
              </w:rPr>
            </w:pPr>
          </w:p>
        </w:tc>
        <w:tc>
          <w:tcPr>
            <w:tcW w:w="1484" w:type="pct"/>
            <w:tcBorders>
              <w:tl2br w:val="nil"/>
              <w:tr2bl w:val="nil"/>
            </w:tcBorders>
            <w:vAlign w:val="center"/>
          </w:tcPr>
          <w:p w14:paraId="13C7740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42" w:leftChars="-20" w:right="-33" w:rightChars="-16"/>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1小时平均</w:t>
            </w:r>
          </w:p>
        </w:tc>
        <w:tc>
          <w:tcPr>
            <w:tcW w:w="1197" w:type="pct"/>
            <w:vMerge w:val="continue"/>
            <w:tcBorders>
              <w:tl2br w:val="nil"/>
              <w:tr2bl w:val="nil"/>
            </w:tcBorders>
            <w:vAlign w:val="center"/>
          </w:tcPr>
          <w:p w14:paraId="6C1B3A3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42" w:leftChars="-20" w:right="-33" w:rightChars="-16"/>
              <w:jc w:val="center"/>
              <w:textAlignment w:val="auto"/>
              <w:rPr>
                <w:rFonts w:hint="default" w:ascii="Times New Roman" w:hAnsi="Times New Roman" w:eastAsia="宋体" w:cs="Times New Roman"/>
                <w:color w:val="auto"/>
                <w:sz w:val="21"/>
                <w:szCs w:val="21"/>
              </w:rPr>
            </w:pPr>
          </w:p>
        </w:tc>
      </w:tr>
      <w:tr w14:paraId="15F23C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216" w:type="pct"/>
            <w:tcBorders>
              <w:tl2br w:val="nil"/>
              <w:tr2bl w:val="nil"/>
            </w:tcBorders>
            <w:vAlign w:val="center"/>
          </w:tcPr>
          <w:p w14:paraId="31CC710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42" w:leftChars="-20" w:right="-33" w:rightChars="-16"/>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pacing w:val="-6"/>
                <w:sz w:val="21"/>
                <w:szCs w:val="21"/>
                <w:highlight w:val="none"/>
                <w:lang w:val="en-US" w:eastAsia="zh-CN"/>
              </w:rPr>
              <w:t>雄英102井</w:t>
            </w:r>
          </w:p>
        </w:tc>
        <w:tc>
          <w:tcPr>
            <w:tcW w:w="1101" w:type="pct"/>
            <w:tcBorders>
              <w:tl2br w:val="nil"/>
              <w:tr2bl w:val="nil"/>
            </w:tcBorders>
            <w:vAlign w:val="center"/>
          </w:tcPr>
          <w:p w14:paraId="7EC4B72A">
            <w:pPr>
              <w:pStyle w:val="157"/>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p>
        </w:tc>
        <w:tc>
          <w:tcPr>
            <w:tcW w:w="1484" w:type="pct"/>
            <w:tcBorders>
              <w:tl2br w:val="nil"/>
              <w:tr2bl w:val="nil"/>
            </w:tcBorders>
            <w:vAlign w:val="center"/>
          </w:tcPr>
          <w:p w14:paraId="5570FDE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42" w:leftChars="-20" w:right="-33" w:rightChars="-16"/>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非甲烷总烃、硫化氢、甲醇</w:t>
            </w:r>
          </w:p>
        </w:tc>
        <w:tc>
          <w:tcPr>
            <w:tcW w:w="1197" w:type="pct"/>
            <w:vMerge w:val="restart"/>
            <w:tcBorders>
              <w:tl2br w:val="nil"/>
              <w:tr2bl w:val="nil"/>
            </w:tcBorders>
            <w:vAlign w:val="center"/>
          </w:tcPr>
          <w:p w14:paraId="7E1EBDF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42" w:leftChars="-20" w:right="-33" w:rightChars="-16"/>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实测</w:t>
            </w:r>
          </w:p>
        </w:tc>
      </w:tr>
      <w:tr w14:paraId="1F8208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216" w:type="pct"/>
            <w:tcBorders>
              <w:tl2br w:val="nil"/>
              <w:tr2bl w:val="nil"/>
            </w:tcBorders>
            <w:vAlign w:val="center"/>
          </w:tcPr>
          <w:p w14:paraId="3A6DD29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42" w:leftChars="-20" w:right="-33" w:rightChars="-16"/>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区块下风向</w:t>
            </w:r>
          </w:p>
        </w:tc>
        <w:tc>
          <w:tcPr>
            <w:tcW w:w="1101" w:type="pct"/>
            <w:tcBorders>
              <w:tl2br w:val="nil"/>
              <w:tr2bl w:val="nil"/>
            </w:tcBorders>
            <w:vAlign w:val="center"/>
          </w:tcPr>
          <w:p w14:paraId="6B886FFE">
            <w:pPr>
              <w:pStyle w:val="157"/>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highlight w:val="none"/>
                <w:lang w:val="en-US" w:eastAsia="zh-CN"/>
              </w:rPr>
            </w:pPr>
          </w:p>
        </w:tc>
        <w:tc>
          <w:tcPr>
            <w:tcW w:w="1484" w:type="pct"/>
            <w:tcBorders>
              <w:tl2br w:val="nil"/>
              <w:tr2bl w:val="nil"/>
            </w:tcBorders>
            <w:vAlign w:val="center"/>
          </w:tcPr>
          <w:p w14:paraId="4F8F7BE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42" w:leftChars="-20" w:right="-33" w:rightChars="-16"/>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非甲烷总烃、硫化氢、甲醇</w:t>
            </w:r>
          </w:p>
        </w:tc>
        <w:tc>
          <w:tcPr>
            <w:tcW w:w="1197" w:type="pct"/>
            <w:vMerge w:val="continue"/>
            <w:tcBorders>
              <w:tl2br w:val="nil"/>
              <w:tr2bl w:val="nil"/>
            </w:tcBorders>
            <w:vAlign w:val="center"/>
          </w:tcPr>
          <w:p w14:paraId="3D7E3D1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42" w:leftChars="-20" w:right="-33" w:rightChars="-16"/>
              <w:jc w:val="center"/>
              <w:textAlignment w:val="auto"/>
              <w:rPr>
                <w:rFonts w:hint="default" w:ascii="Times New Roman" w:hAnsi="Times New Roman" w:eastAsia="宋体" w:cs="Times New Roman"/>
                <w:color w:val="auto"/>
                <w:kern w:val="2"/>
                <w:sz w:val="21"/>
                <w:szCs w:val="21"/>
                <w:lang w:val="en-US" w:eastAsia="zh-CN" w:bidi="ar-SA"/>
              </w:rPr>
            </w:pPr>
          </w:p>
        </w:tc>
      </w:tr>
    </w:tbl>
    <w:p w14:paraId="54EA86B1">
      <w:pPr>
        <w:pStyle w:val="79"/>
        <w:bidi w:val="0"/>
        <w:rPr>
          <w:rFonts w:hint="eastAsia"/>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rPr>
        <w:t>监测时间及频率</w:t>
      </w:r>
    </w:p>
    <w:p w14:paraId="609EAF6C">
      <w:pPr>
        <w:pStyle w:val="79"/>
        <w:bidi w:val="0"/>
        <w:rPr>
          <w:rFonts w:hint="eastAsia"/>
          <w:color w:val="auto"/>
        </w:rPr>
      </w:pPr>
      <w:r>
        <w:rPr>
          <w:rFonts w:hint="eastAsia"/>
          <w:color w:val="auto"/>
          <w:lang w:val="en-US" w:eastAsia="zh-CN"/>
        </w:rPr>
        <w:t>监测时间为2024年6月9日—2024年6月15日。监测7天，每天采样4次，提供小时值，每小时采样4次</w:t>
      </w:r>
      <w:r>
        <w:rPr>
          <w:rFonts w:hint="eastAsia"/>
          <w:color w:val="auto"/>
        </w:rPr>
        <w:t>。</w:t>
      </w:r>
    </w:p>
    <w:p w14:paraId="332940C9">
      <w:pPr>
        <w:pStyle w:val="79"/>
        <w:bidi w:val="0"/>
        <w:rPr>
          <w:rFonts w:hint="default"/>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rFonts w:hint="default"/>
          <w:color w:val="auto"/>
        </w:rPr>
        <w:t>监测及分析方法</w:t>
      </w:r>
    </w:p>
    <w:p w14:paraId="44324E63">
      <w:pPr>
        <w:pStyle w:val="79"/>
        <w:bidi w:val="0"/>
        <w:rPr>
          <w:rFonts w:hint="default"/>
          <w:color w:val="auto"/>
        </w:rPr>
      </w:pPr>
      <w:r>
        <w:rPr>
          <w:rFonts w:hint="default"/>
          <w:color w:val="auto"/>
        </w:rPr>
        <w:t>各监测因子检测方法及检出限表</w:t>
      </w:r>
      <w:r>
        <w:rPr>
          <w:rFonts w:hint="eastAsia"/>
          <w:color w:val="auto"/>
          <w:lang w:eastAsia="zh-CN"/>
        </w:rPr>
        <w:t>，</w:t>
      </w:r>
      <w:r>
        <w:rPr>
          <w:rFonts w:hint="default"/>
          <w:color w:val="auto"/>
        </w:rPr>
        <w:t>见表4.</w:t>
      </w:r>
      <w:r>
        <w:rPr>
          <w:rFonts w:hint="eastAsia"/>
          <w:color w:val="auto"/>
          <w:lang w:val="en-US" w:eastAsia="zh-CN"/>
        </w:rPr>
        <w:t>6</w:t>
      </w:r>
      <w:r>
        <w:rPr>
          <w:rFonts w:hint="default"/>
          <w:color w:val="auto"/>
        </w:rPr>
        <w:t>-3。</w:t>
      </w:r>
    </w:p>
    <w:p w14:paraId="0EE6B549">
      <w:pPr>
        <w:pStyle w:val="61"/>
        <w:bidi w:val="0"/>
        <w:jc w:val="both"/>
        <w:rPr>
          <w:rFonts w:hint="eastAsia"/>
          <w:color w:val="auto"/>
          <w:lang w:val="en-US" w:eastAsia="zh-CN"/>
        </w:rPr>
      </w:pPr>
      <w:r>
        <w:rPr>
          <w:rFonts w:hint="eastAsia"/>
          <w:color w:val="auto"/>
          <w:lang w:val="en-US" w:eastAsia="zh-CN"/>
        </w:rPr>
        <w:t>表4.6-3   环境空气各监测因子分析方法及检出限一览表</w:t>
      </w:r>
    </w:p>
    <w:tbl>
      <w:tblPr>
        <w:tblStyle w:val="36"/>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6" w:type="dxa"/>
          <w:left w:w="28" w:type="dxa"/>
          <w:bottom w:w="6" w:type="dxa"/>
          <w:right w:w="28" w:type="dxa"/>
        </w:tblCellMar>
      </w:tblPr>
      <w:tblGrid>
        <w:gridCol w:w="615"/>
        <w:gridCol w:w="1324"/>
        <w:gridCol w:w="3529"/>
        <w:gridCol w:w="1381"/>
        <w:gridCol w:w="899"/>
        <w:gridCol w:w="923"/>
      </w:tblGrid>
      <w:tr w14:paraId="0D0DF4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6" w:type="dxa"/>
            <w:left w:w="28" w:type="dxa"/>
            <w:bottom w:w="6" w:type="dxa"/>
            <w:right w:w="28" w:type="dxa"/>
          </w:tblCellMar>
        </w:tblPrEx>
        <w:trPr>
          <w:trHeight w:val="397" w:hRule="atLeast"/>
          <w:jc w:val="center"/>
        </w:trPr>
        <w:tc>
          <w:tcPr>
            <w:tcW w:w="355" w:type="pct"/>
            <w:tcBorders>
              <w:tl2br w:val="nil"/>
              <w:tr2bl w:val="nil"/>
            </w:tcBorders>
            <w:vAlign w:val="center"/>
          </w:tcPr>
          <w:p w14:paraId="5A496E6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763" w:type="pct"/>
            <w:tcBorders>
              <w:tl2br w:val="nil"/>
              <w:tr2bl w:val="nil"/>
            </w:tcBorders>
            <w:vAlign w:val="center"/>
          </w:tcPr>
          <w:p w14:paraId="40DB71A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监测因子</w:t>
            </w:r>
          </w:p>
        </w:tc>
        <w:tc>
          <w:tcPr>
            <w:tcW w:w="2034" w:type="pct"/>
            <w:tcBorders>
              <w:tl2br w:val="nil"/>
              <w:tr2bl w:val="nil"/>
            </w:tcBorders>
            <w:vAlign w:val="center"/>
          </w:tcPr>
          <w:p w14:paraId="0501549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检测方法</w:t>
            </w:r>
          </w:p>
        </w:tc>
        <w:tc>
          <w:tcPr>
            <w:tcW w:w="796" w:type="pct"/>
            <w:tcBorders>
              <w:tl2br w:val="nil"/>
              <w:tr2bl w:val="nil"/>
            </w:tcBorders>
            <w:vAlign w:val="center"/>
          </w:tcPr>
          <w:p w14:paraId="649F55F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方法来源</w:t>
            </w:r>
          </w:p>
        </w:tc>
        <w:tc>
          <w:tcPr>
            <w:tcW w:w="518" w:type="pct"/>
            <w:tcBorders>
              <w:tl2br w:val="nil"/>
              <w:tr2bl w:val="nil"/>
            </w:tcBorders>
            <w:vAlign w:val="center"/>
          </w:tcPr>
          <w:p w14:paraId="6EA499D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c>
          <w:tcPr>
            <w:tcW w:w="532" w:type="pct"/>
            <w:tcBorders>
              <w:tl2br w:val="nil"/>
              <w:tr2bl w:val="nil"/>
            </w:tcBorders>
            <w:vAlign w:val="center"/>
          </w:tcPr>
          <w:p w14:paraId="777948B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检出限</w:t>
            </w:r>
          </w:p>
        </w:tc>
      </w:tr>
      <w:tr w14:paraId="460EE1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6" w:type="dxa"/>
            <w:left w:w="28" w:type="dxa"/>
            <w:bottom w:w="6" w:type="dxa"/>
            <w:right w:w="28" w:type="dxa"/>
          </w:tblCellMar>
        </w:tblPrEx>
        <w:trPr>
          <w:trHeight w:val="397" w:hRule="atLeast"/>
          <w:jc w:val="center"/>
        </w:trPr>
        <w:tc>
          <w:tcPr>
            <w:tcW w:w="355" w:type="pct"/>
            <w:tcBorders>
              <w:tl2br w:val="nil"/>
              <w:tr2bl w:val="nil"/>
            </w:tcBorders>
            <w:vAlign w:val="center"/>
          </w:tcPr>
          <w:p w14:paraId="7C906EC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763" w:type="pct"/>
            <w:tcBorders>
              <w:tl2br w:val="nil"/>
              <w:tr2bl w:val="nil"/>
            </w:tcBorders>
            <w:vAlign w:val="center"/>
          </w:tcPr>
          <w:p w14:paraId="4642ADA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2034" w:type="pct"/>
            <w:tcBorders>
              <w:tl2br w:val="nil"/>
              <w:tr2bl w:val="nil"/>
            </w:tcBorders>
            <w:vAlign w:val="center"/>
          </w:tcPr>
          <w:p w14:paraId="7FF598D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 总烃、甲烷和非甲烷总烃测定 直接进样-气相色谱法》</w:t>
            </w:r>
          </w:p>
        </w:tc>
        <w:tc>
          <w:tcPr>
            <w:tcW w:w="796" w:type="pct"/>
            <w:tcBorders>
              <w:tl2br w:val="nil"/>
              <w:tr2bl w:val="nil"/>
            </w:tcBorders>
            <w:vAlign w:val="center"/>
          </w:tcPr>
          <w:p w14:paraId="12239F0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 604-2017</w:t>
            </w:r>
          </w:p>
        </w:tc>
        <w:tc>
          <w:tcPr>
            <w:tcW w:w="518" w:type="pct"/>
            <w:tcBorders>
              <w:tl2br w:val="nil"/>
              <w:tr2bl w:val="nil"/>
            </w:tcBorders>
            <w:vAlign w:val="center"/>
          </w:tcPr>
          <w:p w14:paraId="346C9F0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532" w:type="pct"/>
            <w:tcBorders>
              <w:tl2br w:val="nil"/>
              <w:tr2bl w:val="nil"/>
            </w:tcBorders>
            <w:vAlign w:val="center"/>
          </w:tcPr>
          <w:p w14:paraId="4139FD0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0.07</w:t>
            </w:r>
          </w:p>
        </w:tc>
      </w:tr>
      <w:tr w14:paraId="429D31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6" w:type="dxa"/>
            <w:left w:w="28" w:type="dxa"/>
            <w:bottom w:w="6" w:type="dxa"/>
            <w:right w:w="28" w:type="dxa"/>
          </w:tblCellMar>
        </w:tblPrEx>
        <w:trPr>
          <w:trHeight w:val="397" w:hRule="atLeast"/>
          <w:jc w:val="center"/>
        </w:trPr>
        <w:tc>
          <w:tcPr>
            <w:tcW w:w="355" w:type="pct"/>
            <w:tcBorders>
              <w:tl2br w:val="nil"/>
              <w:tr2bl w:val="nil"/>
            </w:tcBorders>
            <w:vAlign w:val="center"/>
          </w:tcPr>
          <w:p w14:paraId="17FD89C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763" w:type="pct"/>
            <w:tcBorders>
              <w:tl2br w:val="nil"/>
              <w:tr2bl w:val="nil"/>
            </w:tcBorders>
            <w:vAlign w:val="center"/>
          </w:tcPr>
          <w:p w14:paraId="55D51E0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硫化氢</w:t>
            </w:r>
          </w:p>
        </w:tc>
        <w:tc>
          <w:tcPr>
            <w:tcW w:w="2034" w:type="pct"/>
            <w:tcBorders>
              <w:tl2br w:val="nil"/>
              <w:tr2bl w:val="nil"/>
            </w:tcBorders>
            <w:vAlign w:val="center"/>
          </w:tcPr>
          <w:p w14:paraId="5326D49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《居住区大气中硫化氢卫生检验标准方法 亚甲蓝分光光度法》</w:t>
            </w:r>
          </w:p>
        </w:tc>
        <w:tc>
          <w:tcPr>
            <w:tcW w:w="796" w:type="pct"/>
            <w:tcBorders>
              <w:tl2br w:val="nil"/>
              <w:tr2bl w:val="nil"/>
            </w:tcBorders>
            <w:vAlign w:val="center"/>
          </w:tcPr>
          <w:p w14:paraId="08B94D7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GB11742-89</w:t>
            </w:r>
          </w:p>
        </w:tc>
        <w:tc>
          <w:tcPr>
            <w:tcW w:w="518" w:type="pct"/>
            <w:tcBorders>
              <w:tl2br w:val="nil"/>
              <w:tr2bl w:val="nil"/>
            </w:tcBorders>
            <w:vAlign w:val="center"/>
          </w:tcPr>
          <w:p w14:paraId="65DFCEA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532" w:type="pct"/>
            <w:tcBorders>
              <w:tl2br w:val="nil"/>
              <w:tr2bl w:val="nil"/>
            </w:tcBorders>
            <w:vAlign w:val="center"/>
          </w:tcPr>
          <w:p w14:paraId="78C3B50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r>
      <w:tr w14:paraId="6C4295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6" w:type="dxa"/>
            <w:left w:w="28" w:type="dxa"/>
            <w:bottom w:w="6" w:type="dxa"/>
            <w:right w:w="28" w:type="dxa"/>
          </w:tblCellMar>
        </w:tblPrEx>
        <w:trPr>
          <w:trHeight w:val="397" w:hRule="atLeast"/>
          <w:jc w:val="center"/>
        </w:trPr>
        <w:tc>
          <w:tcPr>
            <w:tcW w:w="355" w:type="pct"/>
            <w:tcBorders>
              <w:tl2br w:val="nil"/>
              <w:tr2bl w:val="nil"/>
            </w:tcBorders>
            <w:vAlign w:val="center"/>
          </w:tcPr>
          <w:p w14:paraId="21860A1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c>
          <w:tcPr>
            <w:tcW w:w="763" w:type="pct"/>
            <w:tcBorders>
              <w:tl2br w:val="nil"/>
              <w:tr2bl w:val="nil"/>
            </w:tcBorders>
            <w:vAlign w:val="center"/>
          </w:tcPr>
          <w:p w14:paraId="30139E0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甲醇</w:t>
            </w:r>
          </w:p>
        </w:tc>
        <w:tc>
          <w:tcPr>
            <w:tcW w:w="2034" w:type="pct"/>
            <w:tcBorders>
              <w:tl2br w:val="nil"/>
              <w:tr2bl w:val="nil"/>
            </w:tcBorders>
            <w:vAlign w:val="center"/>
          </w:tcPr>
          <w:p w14:paraId="315200B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《居住区大气中甲醇、丙酮卫生检验标准方法气相色谱法》</w:t>
            </w:r>
          </w:p>
        </w:tc>
        <w:tc>
          <w:tcPr>
            <w:tcW w:w="796" w:type="pct"/>
            <w:tcBorders>
              <w:tl2br w:val="nil"/>
              <w:tr2bl w:val="nil"/>
            </w:tcBorders>
            <w:vAlign w:val="center"/>
          </w:tcPr>
          <w:p w14:paraId="42BF545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GB 11738-89</w:t>
            </w:r>
          </w:p>
        </w:tc>
        <w:tc>
          <w:tcPr>
            <w:tcW w:w="518" w:type="pct"/>
            <w:tcBorders>
              <w:tl2br w:val="nil"/>
              <w:tr2bl w:val="nil"/>
            </w:tcBorders>
            <w:vAlign w:val="center"/>
          </w:tcPr>
          <w:p w14:paraId="70B8E98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p>
        </w:tc>
        <w:tc>
          <w:tcPr>
            <w:tcW w:w="532" w:type="pct"/>
            <w:tcBorders>
              <w:tl2br w:val="nil"/>
              <w:tr2bl w:val="nil"/>
            </w:tcBorders>
            <w:vAlign w:val="center"/>
          </w:tcPr>
          <w:p w14:paraId="2500636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0.40</w:t>
            </w:r>
          </w:p>
        </w:tc>
      </w:tr>
    </w:tbl>
    <w:p w14:paraId="25E7ED55">
      <w:pPr>
        <w:pStyle w:val="79"/>
        <w:bidi w:val="0"/>
        <w:rPr>
          <w:rFonts w:hint="eastAsia" w:eastAsia="宋体"/>
          <w:color w:val="auto"/>
          <w:lang w:eastAsia="zh-CN"/>
        </w:rPr>
        <w:sectPr>
          <w:pgSz w:w="11906"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AndChars" w:linePitch="316" w:charSpace="0"/>
        </w:sectPr>
      </w:pPr>
    </w:p>
    <w:p w14:paraId="5DA0AB97">
      <w:pPr>
        <w:pStyle w:val="26"/>
        <w:jc w:val="center"/>
        <w:rPr>
          <w:rFonts w:hint="eastAsia" w:ascii="黑体" w:hAnsi="黑体" w:eastAsia="黑体" w:cs="黑体"/>
          <w:b/>
          <w:bCs/>
          <w:color w:val="auto"/>
          <w:lang w:val="en-US" w:eastAsia="zh-CN"/>
        </w:rPr>
      </w:pPr>
    </w:p>
    <w:p w14:paraId="65FABDBC">
      <w:pPr>
        <w:pStyle w:val="26"/>
        <w:jc w:val="center"/>
        <w:rPr>
          <w:rFonts w:hint="eastAsia" w:ascii="黑体" w:hAnsi="黑体" w:eastAsia="黑体" w:cs="黑体"/>
          <w:b/>
          <w:bCs/>
          <w:color w:val="auto"/>
          <w:lang w:val="en-US" w:eastAsia="zh-CN"/>
        </w:rPr>
      </w:pPr>
    </w:p>
    <w:p w14:paraId="323C711C">
      <w:pPr>
        <w:pStyle w:val="26"/>
        <w:jc w:val="center"/>
        <w:rPr>
          <w:rFonts w:hint="eastAsia" w:ascii="黑体" w:hAnsi="黑体" w:eastAsia="黑体" w:cs="黑体"/>
          <w:b/>
          <w:bCs/>
          <w:color w:val="auto"/>
          <w:sz w:val="24"/>
          <w:szCs w:val="24"/>
          <w:lang w:val="en-US" w:eastAsia="zh-CN"/>
        </w:rPr>
        <w:sectPr>
          <w:pgSz w:w="16838" w:h="11906" w:orient="landscape"/>
          <w:pgMar w:top="1814" w:right="1474" w:bottom="1474" w:left="1474" w:header="850" w:footer="992" w:gutter="0"/>
          <w:pgBorders>
            <w:top w:val="none" w:sz="0" w:space="0"/>
            <w:left w:val="none" w:sz="0" w:space="0"/>
            <w:bottom w:val="none" w:sz="0" w:space="0"/>
            <w:right w:val="none" w:sz="0" w:space="0"/>
          </w:pgBorders>
          <w:pgNumType w:fmt="decimal"/>
          <w:cols w:space="0" w:num="1"/>
          <w:rtlGutter w:val="0"/>
          <w:docGrid w:type="linesAndChars" w:linePitch="316" w:charSpace="0"/>
        </w:sectPr>
      </w:pPr>
      <w:r>
        <w:rPr>
          <w:rFonts w:hint="eastAsia" w:ascii="黑体" w:hAnsi="黑体" w:eastAsia="黑体" w:cs="黑体"/>
          <w:b/>
          <w:bCs/>
          <w:color w:val="auto"/>
          <w:sz w:val="24"/>
          <w:szCs w:val="24"/>
          <w:lang w:val="en-US" w:eastAsia="zh-CN"/>
        </w:rPr>
        <w:t>图4.3-1   监测点位示意图</w:t>
      </w:r>
    </w:p>
    <w:p w14:paraId="050972A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（4）评价标准</w:t>
      </w:r>
    </w:p>
    <w:p w14:paraId="461E216C">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非甲烷总烃1小时评价浓度参考执行《大气污染物综合排放标准》（GB16297-1996）详解中的浓度限值2</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rPr>
        <w:t>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S执行《环境影响评价技术导则</w:t>
      </w:r>
      <w:r>
        <w:rPr>
          <w:rFonts w:hint="eastAsia"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大气环境》（HJ2.2-2018）附录D中其他污染物空气质量浓度参考限值（10μg/m³）的浓度限值要求</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甲醇参照执行《环境影响评价技术导则 大气环境》（HJ2.2-2018）附录D中的1h平均浓度限值1000μg/m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lang w:eastAsia="zh-CN"/>
        </w:rPr>
        <w:t>。</w:t>
      </w:r>
    </w:p>
    <w:p w14:paraId="5B09E43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（5）评价方法</w:t>
      </w:r>
    </w:p>
    <w:p w14:paraId="7DF8437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采用最大</w:t>
      </w:r>
      <w:r>
        <w:rPr>
          <w:rFonts w:hint="eastAsia" w:ascii="宋体" w:hAnsi="宋体" w:eastAsia="宋体" w:cs="宋体"/>
          <w:bCs/>
          <w:color w:val="auto"/>
          <w:sz w:val="24"/>
          <w:szCs w:val="24"/>
          <w:highlight w:val="none"/>
          <w:lang w:val="en-US" w:eastAsia="zh-CN"/>
        </w:rPr>
        <w:t>浓度</w:t>
      </w:r>
      <w:r>
        <w:rPr>
          <w:rFonts w:hint="eastAsia" w:ascii="宋体" w:hAnsi="宋体" w:eastAsia="宋体" w:cs="宋体"/>
          <w:bCs/>
          <w:color w:val="auto"/>
          <w:sz w:val="24"/>
          <w:szCs w:val="24"/>
          <w:highlight w:val="none"/>
        </w:rPr>
        <w:t>占标率法进行评价区环境空气质量现状评价，计算公式如下：</w:t>
      </w:r>
    </w:p>
    <w:p w14:paraId="65D7FB4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color w:val="auto"/>
          <w:sz w:val="24"/>
          <w:szCs w:val="24"/>
        </w:rPr>
        <w:drawing>
          <wp:anchor distT="0" distB="0" distL="114300" distR="114300" simplePos="0" relativeHeight="251689984" behindDoc="0" locked="0" layoutInCell="1" allowOverlap="1">
            <wp:simplePos x="0" y="0"/>
            <wp:positionH relativeFrom="column">
              <wp:posOffset>2371090</wp:posOffset>
            </wp:positionH>
            <wp:positionV relativeFrom="paragraph">
              <wp:posOffset>114935</wp:posOffset>
            </wp:positionV>
            <wp:extent cx="808355" cy="329565"/>
            <wp:effectExtent l="0" t="0" r="10795" b="13970"/>
            <wp:wrapTopAndBottom/>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22"/>
                    <a:stretch>
                      <a:fillRect/>
                    </a:stretch>
                  </pic:blipFill>
                  <pic:spPr>
                    <a:xfrm>
                      <a:off x="0" y="0"/>
                      <a:ext cx="808355" cy="329565"/>
                    </a:xfrm>
                    <a:prstGeom prst="rect">
                      <a:avLst/>
                    </a:prstGeom>
                    <a:noFill/>
                    <a:ln>
                      <a:noFill/>
                    </a:ln>
                  </pic:spPr>
                </pic:pic>
              </a:graphicData>
            </a:graphic>
          </wp:anchor>
        </w:drawing>
      </w:r>
      <w:r>
        <w:rPr>
          <w:rFonts w:hint="default" w:ascii="Times New Roman" w:hAnsi="Times New Roman" w:eastAsia="宋体" w:cs="Times New Roman"/>
          <w:bCs/>
          <w:color w:val="auto"/>
          <w:sz w:val="24"/>
          <w:szCs w:val="24"/>
        </w:rPr>
        <w:t>式中：P</w:t>
      </w:r>
      <w:r>
        <w:rPr>
          <w:rFonts w:hint="default" w:ascii="Times New Roman" w:hAnsi="Times New Roman" w:eastAsia="宋体" w:cs="Times New Roman"/>
          <w:bCs/>
          <w:color w:val="auto"/>
          <w:sz w:val="24"/>
          <w:szCs w:val="24"/>
          <w:vertAlign w:val="subscript"/>
        </w:rPr>
        <w:t>i</w:t>
      </w:r>
      <w:r>
        <w:rPr>
          <w:rFonts w:hint="default" w:ascii="Times New Roman" w:hAnsi="Times New Roman" w:eastAsia="宋体" w:cs="Times New Roman"/>
          <w:bCs/>
          <w:color w:val="auto"/>
          <w:sz w:val="24"/>
          <w:szCs w:val="24"/>
        </w:rPr>
        <w:t>—污染物i的占标率；</w:t>
      </w:r>
    </w:p>
    <w:p w14:paraId="3047157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 xml:space="preserve">      C</w:t>
      </w:r>
      <w:r>
        <w:rPr>
          <w:rFonts w:hint="default" w:ascii="Times New Roman" w:hAnsi="Times New Roman" w:eastAsia="宋体" w:cs="Times New Roman"/>
          <w:bCs/>
          <w:color w:val="auto"/>
          <w:sz w:val="24"/>
          <w:szCs w:val="24"/>
          <w:vertAlign w:val="subscript"/>
        </w:rPr>
        <w:t>i</w:t>
      </w:r>
      <w:r>
        <w:rPr>
          <w:rFonts w:hint="default" w:ascii="Times New Roman" w:hAnsi="Times New Roman" w:eastAsia="宋体" w:cs="Times New Roman"/>
          <w:bCs/>
          <w:color w:val="auto"/>
          <w:sz w:val="24"/>
          <w:szCs w:val="24"/>
        </w:rPr>
        <w:t>—污染物i的实测浓度，mg/m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rPr>
        <w:t>；</w:t>
      </w:r>
    </w:p>
    <w:p w14:paraId="38ABF0D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rPr>
        <w:t xml:space="preserve">      C</w:t>
      </w:r>
      <w:r>
        <w:rPr>
          <w:rFonts w:hint="default" w:ascii="Times New Roman" w:hAnsi="Times New Roman" w:eastAsia="宋体" w:cs="Times New Roman"/>
          <w:bCs/>
          <w:color w:val="auto"/>
          <w:sz w:val="24"/>
          <w:szCs w:val="24"/>
          <w:vertAlign w:val="subscript"/>
        </w:rPr>
        <w:t>0i</w:t>
      </w:r>
      <w:r>
        <w:rPr>
          <w:rFonts w:hint="default" w:ascii="Times New Roman" w:hAnsi="Times New Roman" w:eastAsia="宋体" w:cs="Times New Roman"/>
          <w:bCs/>
          <w:color w:val="auto"/>
          <w:sz w:val="24"/>
          <w:szCs w:val="24"/>
        </w:rPr>
        <w:t>—污染物i的评价标准，mg/m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rPr>
        <w:t>。</w:t>
      </w:r>
    </w:p>
    <w:p w14:paraId="274C49DA">
      <w:pPr>
        <w:pStyle w:val="53"/>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（6）评价结果</w:t>
      </w:r>
    </w:p>
    <w:p w14:paraId="4A61D5D5">
      <w:pPr>
        <w:pStyle w:val="53"/>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highlight w:val="none"/>
        </w:rPr>
      </w:pPr>
      <w:r>
        <w:rPr>
          <w:rFonts w:hint="eastAsia" w:ascii="宋体" w:hAnsi="宋体" w:eastAsia="宋体" w:cs="宋体"/>
          <w:color w:val="auto"/>
          <w:sz w:val="24"/>
          <w:szCs w:val="24"/>
          <w:highlight w:val="none"/>
        </w:rPr>
        <w:t>监测及评价结果</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见表4.</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p>
    <w:p w14:paraId="21176FCA">
      <w:pPr>
        <w:pStyle w:val="61"/>
        <w:bidi w:val="0"/>
        <w:jc w:val="both"/>
        <w:rPr>
          <w:rFonts w:hint="default"/>
          <w:color w:val="auto"/>
          <w:lang w:val="en-US" w:eastAsia="zh-CN"/>
        </w:rPr>
      </w:pPr>
      <w:r>
        <w:rPr>
          <w:rFonts w:hint="eastAsia"/>
          <w:color w:val="auto"/>
          <w:lang w:val="en-US" w:eastAsia="zh-CN"/>
        </w:rPr>
        <w:t>表4.6-4  其他污染物环境质量现状评价表</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255"/>
        <w:gridCol w:w="1212"/>
        <w:gridCol w:w="1293"/>
        <w:gridCol w:w="1135"/>
        <w:gridCol w:w="1264"/>
        <w:gridCol w:w="1026"/>
        <w:gridCol w:w="807"/>
        <w:gridCol w:w="682"/>
      </w:tblGrid>
      <w:tr w14:paraId="7E8D94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5" w:hRule="atLeast"/>
          <w:jc w:val="center"/>
        </w:trPr>
        <w:tc>
          <w:tcPr>
            <w:tcW w:w="723" w:type="pct"/>
            <w:tcBorders>
              <w:tl2br w:val="nil"/>
              <w:tr2bl w:val="nil"/>
            </w:tcBorders>
            <w:vAlign w:val="center"/>
          </w:tcPr>
          <w:p w14:paraId="79F057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监测</w:t>
            </w:r>
          </w:p>
          <w:p w14:paraId="0D2FED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点位</w:t>
            </w:r>
          </w:p>
        </w:tc>
        <w:tc>
          <w:tcPr>
            <w:tcW w:w="698" w:type="pct"/>
            <w:tcBorders>
              <w:tl2br w:val="nil"/>
              <w:tr2bl w:val="nil"/>
            </w:tcBorders>
            <w:vAlign w:val="center"/>
          </w:tcPr>
          <w:p w14:paraId="055700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污染物</w:t>
            </w:r>
          </w:p>
        </w:tc>
        <w:tc>
          <w:tcPr>
            <w:tcW w:w="745" w:type="pct"/>
            <w:tcBorders>
              <w:tl2br w:val="nil"/>
              <w:tr2bl w:val="nil"/>
            </w:tcBorders>
            <w:vAlign w:val="center"/>
          </w:tcPr>
          <w:p w14:paraId="7F7056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平均时间</w:t>
            </w:r>
          </w:p>
        </w:tc>
        <w:tc>
          <w:tcPr>
            <w:tcW w:w="654" w:type="pct"/>
            <w:tcBorders>
              <w:tl2br w:val="nil"/>
              <w:tr2bl w:val="nil"/>
            </w:tcBorders>
            <w:vAlign w:val="center"/>
          </w:tcPr>
          <w:p w14:paraId="7613A0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Times New Roman" w:hAnsi="Times New Roman" w:eastAsia="宋体" w:cs="Times New Roman"/>
                <w:color w:val="auto"/>
                <w:kern w:val="0"/>
                <w:sz w:val="21"/>
                <w:szCs w:val="21"/>
                <w:highlight w:val="none"/>
                <w:lang w:eastAsia="zh-CN" w:bidi="ar"/>
              </w:rPr>
            </w:pPr>
            <w:r>
              <w:rPr>
                <w:rFonts w:hint="default" w:ascii="Times New Roman" w:hAnsi="Times New Roman" w:eastAsia="宋体" w:cs="Times New Roman"/>
                <w:color w:val="auto"/>
                <w:kern w:val="0"/>
                <w:sz w:val="21"/>
                <w:szCs w:val="21"/>
                <w:highlight w:val="none"/>
                <w:lang w:bidi="ar"/>
              </w:rPr>
              <w:t>评价标准</w:t>
            </w:r>
            <w:r>
              <w:rPr>
                <w:rFonts w:hint="eastAsia" w:cs="Times New Roman"/>
                <w:color w:val="auto"/>
                <w:kern w:val="0"/>
                <w:sz w:val="21"/>
                <w:szCs w:val="21"/>
                <w:highlight w:val="none"/>
                <w:lang w:eastAsia="zh-CN" w:bidi="ar"/>
              </w:rPr>
              <w:t>（</w:t>
            </w:r>
            <w:r>
              <w:rPr>
                <w:rFonts w:hint="default" w:ascii="Times New Roman" w:hAnsi="Times New Roman" w:eastAsia="宋体" w:cs="Times New Roman"/>
                <w:color w:val="auto"/>
                <w:kern w:val="0"/>
                <w:sz w:val="21"/>
                <w:szCs w:val="21"/>
                <w:highlight w:val="none"/>
                <w:lang w:bidi="ar"/>
              </w:rPr>
              <w:t>μg/m</w:t>
            </w:r>
            <w:r>
              <w:rPr>
                <w:rFonts w:hint="default" w:ascii="Times New Roman" w:hAnsi="Times New Roman" w:eastAsia="宋体" w:cs="Times New Roman"/>
                <w:color w:val="auto"/>
                <w:kern w:val="0"/>
                <w:sz w:val="21"/>
                <w:szCs w:val="21"/>
                <w:highlight w:val="none"/>
                <w:vertAlign w:val="superscript"/>
                <w:lang w:bidi="ar"/>
              </w:rPr>
              <w:t>3</w:t>
            </w:r>
            <w:r>
              <w:rPr>
                <w:rFonts w:hint="eastAsia" w:cs="Times New Roman"/>
                <w:color w:val="auto"/>
                <w:kern w:val="0"/>
                <w:sz w:val="21"/>
                <w:szCs w:val="21"/>
                <w:highlight w:val="none"/>
                <w:lang w:eastAsia="zh-CN" w:bidi="ar"/>
              </w:rPr>
              <w:t>）</w:t>
            </w:r>
          </w:p>
        </w:tc>
        <w:tc>
          <w:tcPr>
            <w:tcW w:w="728" w:type="pct"/>
            <w:tcBorders>
              <w:tl2br w:val="nil"/>
              <w:tr2bl w:val="nil"/>
            </w:tcBorders>
            <w:vAlign w:val="center"/>
          </w:tcPr>
          <w:p w14:paraId="60A29A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Times New Roman" w:hAnsi="Times New Roman" w:eastAsia="宋体" w:cs="Times New Roman"/>
                <w:color w:val="auto"/>
                <w:kern w:val="0"/>
                <w:sz w:val="21"/>
                <w:szCs w:val="21"/>
                <w:highlight w:val="none"/>
                <w:lang w:eastAsia="zh-CN" w:bidi="ar"/>
              </w:rPr>
            </w:pPr>
            <w:r>
              <w:rPr>
                <w:rFonts w:hint="default" w:ascii="Times New Roman" w:hAnsi="Times New Roman" w:eastAsia="宋体" w:cs="Times New Roman"/>
                <w:color w:val="auto"/>
                <w:kern w:val="0"/>
                <w:sz w:val="21"/>
                <w:szCs w:val="21"/>
                <w:highlight w:val="none"/>
                <w:lang w:bidi="ar"/>
              </w:rPr>
              <w:t>监测浓度范围</w:t>
            </w:r>
            <w:r>
              <w:rPr>
                <w:rFonts w:hint="eastAsia" w:cs="Times New Roman"/>
                <w:color w:val="auto"/>
                <w:kern w:val="0"/>
                <w:sz w:val="21"/>
                <w:szCs w:val="21"/>
                <w:highlight w:val="none"/>
                <w:lang w:eastAsia="zh-CN" w:bidi="ar"/>
              </w:rPr>
              <w:t>（</w:t>
            </w:r>
            <w:r>
              <w:rPr>
                <w:rFonts w:hint="default" w:ascii="Times New Roman" w:hAnsi="Times New Roman" w:eastAsia="宋体" w:cs="Times New Roman"/>
                <w:color w:val="auto"/>
                <w:kern w:val="0"/>
                <w:sz w:val="21"/>
                <w:szCs w:val="21"/>
                <w:highlight w:val="none"/>
                <w:lang w:bidi="ar"/>
              </w:rPr>
              <w:t>μg/m</w:t>
            </w:r>
            <w:r>
              <w:rPr>
                <w:rFonts w:hint="default" w:ascii="Times New Roman" w:hAnsi="Times New Roman" w:eastAsia="宋体" w:cs="Times New Roman"/>
                <w:color w:val="auto"/>
                <w:kern w:val="0"/>
                <w:sz w:val="21"/>
                <w:szCs w:val="21"/>
                <w:highlight w:val="none"/>
                <w:vertAlign w:val="superscript"/>
                <w:lang w:bidi="ar"/>
              </w:rPr>
              <w:t>3</w:t>
            </w:r>
            <w:r>
              <w:rPr>
                <w:rFonts w:hint="eastAsia" w:cs="Times New Roman"/>
                <w:color w:val="auto"/>
                <w:kern w:val="0"/>
                <w:sz w:val="21"/>
                <w:szCs w:val="21"/>
                <w:highlight w:val="none"/>
                <w:lang w:eastAsia="zh-CN" w:bidi="ar"/>
              </w:rPr>
              <w:t>）</w:t>
            </w:r>
          </w:p>
        </w:tc>
        <w:tc>
          <w:tcPr>
            <w:tcW w:w="591" w:type="pct"/>
            <w:tcBorders>
              <w:tl2br w:val="nil"/>
              <w:tr2bl w:val="nil"/>
            </w:tcBorders>
            <w:vAlign w:val="center"/>
          </w:tcPr>
          <w:p w14:paraId="6B07C8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最大浓度占标率/%</w:t>
            </w:r>
          </w:p>
        </w:tc>
        <w:tc>
          <w:tcPr>
            <w:tcW w:w="465" w:type="pct"/>
            <w:tcBorders>
              <w:tl2br w:val="nil"/>
              <w:tr2bl w:val="nil"/>
            </w:tcBorders>
            <w:vAlign w:val="center"/>
          </w:tcPr>
          <w:p w14:paraId="00E813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超标</w:t>
            </w:r>
          </w:p>
          <w:p w14:paraId="3ED808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频率/%</w:t>
            </w:r>
          </w:p>
        </w:tc>
        <w:tc>
          <w:tcPr>
            <w:tcW w:w="393" w:type="pct"/>
            <w:tcBorders>
              <w:tl2br w:val="nil"/>
              <w:tr2bl w:val="nil"/>
            </w:tcBorders>
            <w:vAlign w:val="center"/>
          </w:tcPr>
          <w:p w14:paraId="59C0DB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达标</w:t>
            </w:r>
          </w:p>
          <w:p w14:paraId="66766B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情况</w:t>
            </w:r>
          </w:p>
        </w:tc>
      </w:tr>
      <w:tr w14:paraId="4C82F1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12" w:hRule="atLeast"/>
          <w:jc w:val="center"/>
        </w:trPr>
        <w:tc>
          <w:tcPr>
            <w:tcW w:w="723" w:type="pct"/>
            <w:vMerge w:val="restart"/>
            <w:tcBorders>
              <w:tl2br w:val="nil"/>
              <w:tr2bl w:val="nil"/>
            </w:tcBorders>
            <w:vAlign w:val="center"/>
          </w:tcPr>
          <w:p w14:paraId="41731A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42" w:leftChars="-20" w:right="-33" w:rightChars="-16"/>
              <w:jc w:val="center"/>
              <w:textAlignment w:val="auto"/>
              <w:rPr>
                <w:rFonts w:hint="default" w:ascii="Times New Roman" w:hAnsi="Times New Roman" w:eastAsia="宋体" w:cs="Times New Roman"/>
                <w:color w:val="auto"/>
                <w:kern w:val="0"/>
                <w:sz w:val="21"/>
                <w:szCs w:val="21"/>
                <w:lang w:val="en-US" w:eastAsia="zh-CN" w:bidi="ar"/>
              </w:rPr>
            </w:pPr>
            <w:bookmarkStart w:id="595" w:name="OLE_LINK2" w:colFirst="0" w:colLast="0"/>
            <w:r>
              <w:rPr>
                <w:rFonts w:hint="eastAsia" w:cs="Times New Roman"/>
                <w:color w:val="auto"/>
                <w:kern w:val="0"/>
                <w:sz w:val="21"/>
                <w:szCs w:val="21"/>
                <w:lang w:val="en-US" w:eastAsia="zh-CN" w:bidi="ar"/>
              </w:rPr>
              <w:t>雄英102井</w:t>
            </w:r>
          </w:p>
        </w:tc>
        <w:tc>
          <w:tcPr>
            <w:tcW w:w="698" w:type="pct"/>
            <w:tcBorders>
              <w:tl2br w:val="nil"/>
              <w:tr2bl w:val="nil"/>
            </w:tcBorders>
            <w:vAlign w:val="center"/>
          </w:tcPr>
          <w:p w14:paraId="0A22BD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非甲烷总烃</w:t>
            </w:r>
          </w:p>
        </w:tc>
        <w:tc>
          <w:tcPr>
            <w:tcW w:w="745" w:type="pct"/>
            <w:tcBorders>
              <w:tl2br w:val="nil"/>
              <w:tr2bl w:val="nil"/>
            </w:tcBorders>
            <w:vAlign w:val="center"/>
          </w:tcPr>
          <w:p w14:paraId="2E7930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1小时平均</w:t>
            </w:r>
          </w:p>
        </w:tc>
        <w:tc>
          <w:tcPr>
            <w:tcW w:w="654" w:type="pct"/>
            <w:tcBorders>
              <w:tl2br w:val="nil"/>
              <w:tr2bl w:val="nil"/>
            </w:tcBorders>
            <w:vAlign w:val="center"/>
          </w:tcPr>
          <w:p w14:paraId="34D87F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0"/>
                <w:sz w:val="21"/>
                <w:szCs w:val="21"/>
                <w:lang w:bidi="ar"/>
              </w:rPr>
            </w:pPr>
          </w:p>
        </w:tc>
        <w:tc>
          <w:tcPr>
            <w:tcW w:w="728" w:type="pct"/>
            <w:tcBorders>
              <w:tl2br w:val="nil"/>
              <w:tr2bl w:val="nil"/>
            </w:tcBorders>
            <w:vAlign w:val="center"/>
          </w:tcPr>
          <w:p w14:paraId="6187C7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
              </w:rPr>
            </w:pPr>
          </w:p>
        </w:tc>
        <w:tc>
          <w:tcPr>
            <w:tcW w:w="591" w:type="pct"/>
            <w:tcBorders>
              <w:tl2br w:val="nil"/>
              <w:tr2bl w:val="nil"/>
            </w:tcBorders>
            <w:vAlign w:val="center"/>
          </w:tcPr>
          <w:p w14:paraId="58C873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
              </w:rPr>
            </w:pPr>
          </w:p>
        </w:tc>
        <w:tc>
          <w:tcPr>
            <w:tcW w:w="465" w:type="pct"/>
            <w:tcBorders>
              <w:tl2br w:val="nil"/>
              <w:tr2bl w:val="nil"/>
            </w:tcBorders>
            <w:vAlign w:val="center"/>
          </w:tcPr>
          <w:p w14:paraId="3B11DF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
              </w:rPr>
            </w:pPr>
          </w:p>
        </w:tc>
        <w:tc>
          <w:tcPr>
            <w:tcW w:w="393" w:type="pct"/>
            <w:tcBorders>
              <w:tl2br w:val="nil"/>
              <w:tr2bl w:val="nil"/>
            </w:tcBorders>
            <w:vAlign w:val="center"/>
          </w:tcPr>
          <w:p w14:paraId="564102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达标</w:t>
            </w:r>
          </w:p>
        </w:tc>
      </w:tr>
      <w:bookmarkEnd w:id="595"/>
      <w:tr w14:paraId="2C9BBE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12" w:hRule="atLeast"/>
          <w:jc w:val="center"/>
        </w:trPr>
        <w:tc>
          <w:tcPr>
            <w:tcW w:w="723" w:type="pct"/>
            <w:vMerge w:val="continue"/>
            <w:tcBorders>
              <w:tl2br w:val="nil"/>
              <w:tr2bl w:val="nil"/>
            </w:tcBorders>
            <w:vAlign w:val="center"/>
          </w:tcPr>
          <w:p w14:paraId="1124B2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sz w:val="21"/>
                <w:szCs w:val="21"/>
              </w:rPr>
            </w:pPr>
          </w:p>
        </w:tc>
        <w:tc>
          <w:tcPr>
            <w:tcW w:w="698" w:type="pct"/>
            <w:tcBorders>
              <w:tl2br w:val="nil"/>
              <w:tr2bl w:val="nil"/>
            </w:tcBorders>
            <w:vAlign w:val="center"/>
          </w:tcPr>
          <w:p w14:paraId="176B11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硫化氢</w:t>
            </w:r>
          </w:p>
        </w:tc>
        <w:tc>
          <w:tcPr>
            <w:tcW w:w="745" w:type="pct"/>
            <w:tcBorders>
              <w:tl2br w:val="nil"/>
              <w:tr2bl w:val="nil"/>
            </w:tcBorders>
            <w:vAlign w:val="center"/>
          </w:tcPr>
          <w:p w14:paraId="25B4DC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1小时平均</w:t>
            </w:r>
          </w:p>
        </w:tc>
        <w:tc>
          <w:tcPr>
            <w:tcW w:w="654" w:type="pct"/>
            <w:tcBorders>
              <w:tl2br w:val="nil"/>
              <w:tr2bl w:val="nil"/>
            </w:tcBorders>
            <w:vAlign w:val="center"/>
          </w:tcPr>
          <w:p w14:paraId="1F02AE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0"/>
                <w:sz w:val="21"/>
                <w:szCs w:val="21"/>
                <w:lang w:bidi="ar"/>
              </w:rPr>
            </w:pPr>
          </w:p>
        </w:tc>
        <w:tc>
          <w:tcPr>
            <w:tcW w:w="728" w:type="pct"/>
            <w:tcBorders>
              <w:tl2br w:val="nil"/>
              <w:tr2bl w:val="nil"/>
            </w:tcBorders>
            <w:vAlign w:val="center"/>
          </w:tcPr>
          <w:p w14:paraId="2D4899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
              </w:rPr>
            </w:pPr>
          </w:p>
        </w:tc>
        <w:tc>
          <w:tcPr>
            <w:tcW w:w="591" w:type="pct"/>
            <w:tcBorders>
              <w:tl2br w:val="nil"/>
              <w:tr2bl w:val="nil"/>
            </w:tcBorders>
            <w:vAlign w:val="center"/>
          </w:tcPr>
          <w:p w14:paraId="6F4603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
              </w:rPr>
            </w:pPr>
          </w:p>
        </w:tc>
        <w:tc>
          <w:tcPr>
            <w:tcW w:w="465" w:type="pct"/>
            <w:tcBorders>
              <w:tl2br w:val="nil"/>
              <w:tr2bl w:val="nil"/>
            </w:tcBorders>
            <w:vAlign w:val="center"/>
          </w:tcPr>
          <w:p w14:paraId="6046FE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
              </w:rPr>
            </w:pPr>
          </w:p>
        </w:tc>
        <w:tc>
          <w:tcPr>
            <w:tcW w:w="393" w:type="pct"/>
            <w:tcBorders>
              <w:tl2br w:val="nil"/>
              <w:tr2bl w:val="nil"/>
            </w:tcBorders>
            <w:vAlign w:val="center"/>
          </w:tcPr>
          <w:p w14:paraId="1F6DB5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达标</w:t>
            </w:r>
          </w:p>
        </w:tc>
      </w:tr>
      <w:tr w14:paraId="462F2B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12" w:hRule="atLeast"/>
          <w:jc w:val="center"/>
        </w:trPr>
        <w:tc>
          <w:tcPr>
            <w:tcW w:w="723" w:type="pct"/>
            <w:vMerge w:val="continue"/>
            <w:tcBorders>
              <w:tl2br w:val="nil"/>
              <w:tr2bl w:val="nil"/>
            </w:tcBorders>
            <w:vAlign w:val="center"/>
          </w:tcPr>
          <w:p w14:paraId="2EE8E4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sz w:val="21"/>
                <w:szCs w:val="21"/>
              </w:rPr>
            </w:pPr>
          </w:p>
        </w:tc>
        <w:tc>
          <w:tcPr>
            <w:tcW w:w="698" w:type="pct"/>
            <w:tcBorders>
              <w:tl2br w:val="nil"/>
              <w:tr2bl w:val="nil"/>
            </w:tcBorders>
            <w:vAlign w:val="center"/>
          </w:tcPr>
          <w:p w14:paraId="3C23C9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甲醇</w:t>
            </w:r>
          </w:p>
        </w:tc>
        <w:tc>
          <w:tcPr>
            <w:tcW w:w="745" w:type="pct"/>
            <w:tcBorders>
              <w:tl2br w:val="nil"/>
              <w:tr2bl w:val="nil"/>
            </w:tcBorders>
            <w:vAlign w:val="center"/>
          </w:tcPr>
          <w:p w14:paraId="077FD7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1小时平均</w:t>
            </w:r>
          </w:p>
        </w:tc>
        <w:tc>
          <w:tcPr>
            <w:tcW w:w="654" w:type="pct"/>
            <w:tcBorders>
              <w:tl2br w:val="nil"/>
              <w:tr2bl w:val="nil"/>
            </w:tcBorders>
            <w:vAlign w:val="center"/>
          </w:tcPr>
          <w:p w14:paraId="388288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
              </w:rPr>
            </w:pPr>
          </w:p>
        </w:tc>
        <w:tc>
          <w:tcPr>
            <w:tcW w:w="728" w:type="pct"/>
            <w:tcBorders>
              <w:tl2br w:val="nil"/>
              <w:tr2bl w:val="nil"/>
            </w:tcBorders>
            <w:vAlign w:val="center"/>
          </w:tcPr>
          <w:p w14:paraId="307ECF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
              </w:rPr>
            </w:pPr>
          </w:p>
        </w:tc>
        <w:tc>
          <w:tcPr>
            <w:tcW w:w="591" w:type="pct"/>
            <w:tcBorders>
              <w:tl2br w:val="nil"/>
              <w:tr2bl w:val="nil"/>
            </w:tcBorders>
            <w:vAlign w:val="center"/>
          </w:tcPr>
          <w:p w14:paraId="3FBE39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
              </w:rPr>
            </w:pPr>
          </w:p>
        </w:tc>
        <w:tc>
          <w:tcPr>
            <w:tcW w:w="465" w:type="pct"/>
            <w:tcBorders>
              <w:tl2br w:val="nil"/>
              <w:tr2bl w:val="nil"/>
            </w:tcBorders>
            <w:vAlign w:val="center"/>
          </w:tcPr>
          <w:p w14:paraId="50DE81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
              </w:rPr>
            </w:pPr>
          </w:p>
        </w:tc>
        <w:tc>
          <w:tcPr>
            <w:tcW w:w="393" w:type="pct"/>
            <w:tcBorders>
              <w:tl2br w:val="nil"/>
              <w:tr2bl w:val="nil"/>
            </w:tcBorders>
            <w:vAlign w:val="center"/>
          </w:tcPr>
          <w:p w14:paraId="70FCA4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达标</w:t>
            </w:r>
          </w:p>
        </w:tc>
      </w:tr>
      <w:tr w14:paraId="4B379F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12" w:hRule="atLeast"/>
          <w:jc w:val="center"/>
        </w:trPr>
        <w:tc>
          <w:tcPr>
            <w:tcW w:w="723" w:type="pct"/>
            <w:vMerge w:val="restart"/>
            <w:tcBorders>
              <w:tl2br w:val="nil"/>
              <w:tr2bl w:val="nil"/>
            </w:tcBorders>
            <w:vAlign w:val="center"/>
          </w:tcPr>
          <w:p w14:paraId="5F50F4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42" w:leftChars="-20" w:right="-33" w:rightChars="-16"/>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sz w:val="21"/>
                <w:szCs w:val="21"/>
                <w:highlight w:val="none"/>
                <w:lang w:val="en-US" w:eastAsia="zh-CN"/>
              </w:rPr>
              <w:t>区块下风向</w:t>
            </w:r>
          </w:p>
        </w:tc>
        <w:tc>
          <w:tcPr>
            <w:tcW w:w="698" w:type="pct"/>
            <w:tcBorders>
              <w:tl2br w:val="nil"/>
              <w:tr2bl w:val="nil"/>
            </w:tcBorders>
            <w:vAlign w:val="center"/>
          </w:tcPr>
          <w:p w14:paraId="772935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非甲烷总烃</w:t>
            </w:r>
          </w:p>
        </w:tc>
        <w:tc>
          <w:tcPr>
            <w:tcW w:w="745" w:type="pct"/>
            <w:tcBorders>
              <w:tl2br w:val="nil"/>
              <w:tr2bl w:val="nil"/>
            </w:tcBorders>
            <w:vAlign w:val="center"/>
          </w:tcPr>
          <w:p w14:paraId="27F3D1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1小时平均</w:t>
            </w:r>
          </w:p>
        </w:tc>
        <w:tc>
          <w:tcPr>
            <w:tcW w:w="654" w:type="pct"/>
            <w:tcBorders>
              <w:tl2br w:val="nil"/>
              <w:tr2bl w:val="nil"/>
            </w:tcBorders>
            <w:vAlign w:val="center"/>
          </w:tcPr>
          <w:p w14:paraId="697C22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
              </w:rPr>
            </w:pPr>
          </w:p>
        </w:tc>
        <w:tc>
          <w:tcPr>
            <w:tcW w:w="728" w:type="pct"/>
            <w:tcBorders>
              <w:tl2br w:val="nil"/>
              <w:tr2bl w:val="nil"/>
            </w:tcBorders>
            <w:vAlign w:val="center"/>
          </w:tcPr>
          <w:p w14:paraId="57FDE7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591" w:type="pct"/>
            <w:tcBorders>
              <w:tl2br w:val="nil"/>
              <w:tr2bl w:val="nil"/>
            </w:tcBorders>
            <w:vAlign w:val="center"/>
          </w:tcPr>
          <w:p w14:paraId="0B2C30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
              </w:rPr>
            </w:pPr>
          </w:p>
        </w:tc>
        <w:tc>
          <w:tcPr>
            <w:tcW w:w="465" w:type="pct"/>
            <w:tcBorders>
              <w:tl2br w:val="nil"/>
              <w:tr2bl w:val="nil"/>
            </w:tcBorders>
            <w:vAlign w:val="center"/>
          </w:tcPr>
          <w:p w14:paraId="4D9241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
              </w:rPr>
            </w:pPr>
          </w:p>
        </w:tc>
        <w:tc>
          <w:tcPr>
            <w:tcW w:w="393" w:type="pct"/>
            <w:tcBorders>
              <w:tl2br w:val="nil"/>
              <w:tr2bl w:val="nil"/>
            </w:tcBorders>
            <w:vAlign w:val="center"/>
          </w:tcPr>
          <w:p w14:paraId="6FA4F0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达标</w:t>
            </w:r>
          </w:p>
        </w:tc>
      </w:tr>
      <w:tr w14:paraId="204501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12" w:hRule="atLeast"/>
          <w:jc w:val="center"/>
        </w:trPr>
        <w:tc>
          <w:tcPr>
            <w:tcW w:w="723" w:type="pct"/>
            <w:vMerge w:val="continue"/>
            <w:tcBorders>
              <w:tl2br w:val="nil"/>
              <w:tr2bl w:val="nil"/>
            </w:tcBorders>
            <w:vAlign w:val="center"/>
          </w:tcPr>
          <w:p w14:paraId="5C161C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sz w:val="21"/>
                <w:szCs w:val="21"/>
              </w:rPr>
            </w:pPr>
          </w:p>
        </w:tc>
        <w:tc>
          <w:tcPr>
            <w:tcW w:w="698" w:type="pct"/>
            <w:tcBorders>
              <w:tl2br w:val="nil"/>
              <w:tr2bl w:val="nil"/>
            </w:tcBorders>
            <w:vAlign w:val="center"/>
          </w:tcPr>
          <w:p w14:paraId="44E7A5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硫化氢</w:t>
            </w:r>
          </w:p>
        </w:tc>
        <w:tc>
          <w:tcPr>
            <w:tcW w:w="745" w:type="pct"/>
            <w:tcBorders>
              <w:tl2br w:val="nil"/>
              <w:tr2bl w:val="nil"/>
            </w:tcBorders>
            <w:vAlign w:val="center"/>
          </w:tcPr>
          <w:p w14:paraId="63F189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1小时平均</w:t>
            </w:r>
          </w:p>
        </w:tc>
        <w:tc>
          <w:tcPr>
            <w:tcW w:w="654" w:type="pct"/>
            <w:tcBorders>
              <w:tl2br w:val="nil"/>
              <w:tr2bl w:val="nil"/>
            </w:tcBorders>
            <w:vAlign w:val="center"/>
          </w:tcPr>
          <w:p w14:paraId="38FA40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
              </w:rPr>
            </w:pPr>
          </w:p>
        </w:tc>
        <w:tc>
          <w:tcPr>
            <w:tcW w:w="728" w:type="pct"/>
            <w:tcBorders>
              <w:tl2br w:val="nil"/>
              <w:tr2bl w:val="nil"/>
            </w:tcBorders>
            <w:vAlign w:val="center"/>
          </w:tcPr>
          <w:p w14:paraId="1CB11F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
              </w:rPr>
            </w:pPr>
          </w:p>
        </w:tc>
        <w:tc>
          <w:tcPr>
            <w:tcW w:w="591" w:type="pct"/>
            <w:tcBorders>
              <w:tl2br w:val="nil"/>
              <w:tr2bl w:val="nil"/>
            </w:tcBorders>
            <w:vAlign w:val="center"/>
          </w:tcPr>
          <w:p w14:paraId="1AFB32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
              </w:rPr>
            </w:pPr>
          </w:p>
        </w:tc>
        <w:tc>
          <w:tcPr>
            <w:tcW w:w="465" w:type="pct"/>
            <w:tcBorders>
              <w:tl2br w:val="nil"/>
              <w:tr2bl w:val="nil"/>
            </w:tcBorders>
            <w:vAlign w:val="center"/>
          </w:tcPr>
          <w:p w14:paraId="113D91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
              </w:rPr>
            </w:pPr>
          </w:p>
        </w:tc>
        <w:tc>
          <w:tcPr>
            <w:tcW w:w="393" w:type="pct"/>
            <w:tcBorders>
              <w:tl2br w:val="nil"/>
              <w:tr2bl w:val="nil"/>
            </w:tcBorders>
            <w:vAlign w:val="center"/>
          </w:tcPr>
          <w:p w14:paraId="5CC4DB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达标</w:t>
            </w:r>
          </w:p>
        </w:tc>
      </w:tr>
      <w:tr w14:paraId="7D9CAB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12" w:hRule="atLeast"/>
          <w:jc w:val="center"/>
        </w:trPr>
        <w:tc>
          <w:tcPr>
            <w:tcW w:w="723" w:type="pct"/>
            <w:vMerge w:val="continue"/>
            <w:tcBorders>
              <w:tl2br w:val="nil"/>
              <w:tr2bl w:val="nil"/>
            </w:tcBorders>
            <w:vAlign w:val="center"/>
          </w:tcPr>
          <w:p w14:paraId="2F981C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sz w:val="21"/>
                <w:szCs w:val="21"/>
              </w:rPr>
            </w:pPr>
          </w:p>
        </w:tc>
        <w:tc>
          <w:tcPr>
            <w:tcW w:w="698" w:type="pct"/>
            <w:tcBorders>
              <w:tl2br w:val="nil"/>
              <w:tr2bl w:val="nil"/>
            </w:tcBorders>
            <w:vAlign w:val="center"/>
          </w:tcPr>
          <w:p w14:paraId="5436C8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0"/>
                <w:sz w:val="21"/>
                <w:szCs w:val="21"/>
                <w:lang w:bidi="ar"/>
              </w:rPr>
            </w:pPr>
            <w:r>
              <w:rPr>
                <w:rFonts w:hint="eastAsia" w:ascii="Times New Roman" w:hAnsi="Times New Roman" w:eastAsia="宋体" w:cs="Times New Roman"/>
                <w:color w:val="auto"/>
                <w:kern w:val="0"/>
                <w:sz w:val="21"/>
                <w:szCs w:val="21"/>
                <w:lang w:val="en-US" w:eastAsia="zh-CN" w:bidi="ar"/>
              </w:rPr>
              <w:t>甲醇</w:t>
            </w:r>
          </w:p>
        </w:tc>
        <w:tc>
          <w:tcPr>
            <w:tcW w:w="745" w:type="pct"/>
            <w:tcBorders>
              <w:tl2br w:val="nil"/>
              <w:tr2bl w:val="nil"/>
            </w:tcBorders>
            <w:vAlign w:val="center"/>
          </w:tcPr>
          <w:p w14:paraId="79F130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1小时平均</w:t>
            </w:r>
          </w:p>
        </w:tc>
        <w:tc>
          <w:tcPr>
            <w:tcW w:w="654" w:type="pct"/>
            <w:tcBorders>
              <w:tl2br w:val="nil"/>
              <w:tr2bl w:val="nil"/>
            </w:tcBorders>
            <w:vAlign w:val="center"/>
          </w:tcPr>
          <w:p w14:paraId="02F2E3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
              </w:rPr>
            </w:pPr>
          </w:p>
        </w:tc>
        <w:tc>
          <w:tcPr>
            <w:tcW w:w="728" w:type="pct"/>
            <w:tcBorders>
              <w:tl2br w:val="nil"/>
              <w:tr2bl w:val="nil"/>
            </w:tcBorders>
            <w:vAlign w:val="center"/>
          </w:tcPr>
          <w:p w14:paraId="2C789E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
              </w:rPr>
            </w:pPr>
          </w:p>
        </w:tc>
        <w:tc>
          <w:tcPr>
            <w:tcW w:w="591" w:type="pct"/>
            <w:tcBorders>
              <w:tl2br w:val="nil"/>
              <w:tr2bl w:val="nil"/>
            </w:tcBorders>
            <w:vAlign w:val="center"/>
          </w:tcPr>
          <w:p w14:paraId="181C50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
              </w:rPr>
            </w:pPr>
          </w:p>
        </w:tc>
        <w:tc>
          <w:tcPr>
            <w:tcW w:w="465" w:type="pct"/>
            <w:tcBorders>
              <w:tl2br w:val="nil"/>
              <w:tr2bl w:val="nil"/>
            </w:tcBorders>
            <w:vAlign w:val="center"/>
          </w:tcPr>
          <w:p w14:paraId="48432F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
              </w:rPr>
            </w:pPr>
          </w:p>
        </w:tc>
        <w:tc>
          <w:tcPr>
            <w:tcW w:w="393" w:type="pct"/>
            <w:tcBorders>
              <w:tl2br w:val="nil"/>
              <w:tr2bl w:val="nil"/>
            </w:tcBorders>
            <w:vAlign w:val="center"/>
          </w:tcPr>
          <w:p w14:paraId="1D08A7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达标</w:t>
            </w:r>
          </w:p>
        </w:tc>
      </w:tr>
    </w:tbl>
    <w:p w14:paraId="7D864DAE">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lang w:val="en-US" w:eastAsia="zh-CN"/>
        </w:rPr>
        <w:t>注：</w:t>
      </w:r>
      <w:r>
        <w:rPr>
          <w:rFonts w:hint="default" w:ascii="Times New Roman" w:hAnsi="Times New Roman" w:eastAsia="宋体" w:cs="Times New Roman"/>
          <w:b w:val="0"/>
          <w:bCs w:val="0"/>
          <w:color w:val="auto"/>
          <w:sz w:val="18"/>
          <w:szCs w:val="18"/>
        </w:rPr>
        <w:t>ND表示低于检出限</w:t>
      </w:r>
    </w:p>
    <w:p w14:paraId="01CEE23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rPr>
      </w:pPr>
      <w:r>
        <w:rPr>
          <w:rFonts w:hint="default" w:ascii="Times New Roman" w:hAnsi="Times New Roman" w:eastAsia="宋体" w:cs="Times New Roman"/>
          <w:color w:val="auto"/>
          <w:sz w:val="24"/>
          <w:szCs w:val="24"/>
        </w:rPr>
        <w:t>由</w:t>
      </w:r>
      <w:r>
        <w:rPr>
          <w:rFonts w:hint="default" w:ascii="Times New Roman" w:hAnsi="Times New Roman" w:eastAsia="宋体" w:cs="Times New Roman"/>
          <w:color w:val="auto"/>
          <w:sz w:val="24"/>
          <w:szCs w:val="24"/>
          <w:lang w:val="en-US" w:eastAsia="zh-CN"/>
        </w:rPr>
        <w:t>上表</w:t>
      </w:r>
      <w:r>
        <w:rPr>
          <w:rFonts w:hint="default" w:ascii="Times New Roman" w:hAnsi="Times New Roman" w:eastAsia="宋体" w:cs="Times New Roman"/>
          <w:color w:val="auto"/>
          <w:sz w:val="24"/>
          <w:szCs w:val="24"/>
        </w:rPr>
        <w:t>可知，监测期间</w:t>
      </w:r>
      <w:r>
        <w:rPr>
          <w:rFonts w:hint="default" w:ascii="Times New Roman" w:hAnsi="Times New Roman" w:eastAsia="宋体" w:cs="Times New Roman"/>
          <w:color w:val="auto"/>
          <w:sz w:val="24"/>
          <w:szCs w:val="24"/>
          <w:lang w:val="en-US" w:eastAsia="zh-CN"/>
        </w:rPr>
        <w:t>各监测</w:t>
      </w:r>
      <w:r>
        <w:rPr>
          <w:rFonts w:hint="default" w:ascii="Times New Roman" w:hAnsi="Times New Roman" w:eastAsia="宋体" w:cs="Times New Roman"/>
          <w:color w:val="auto"/>
          <w:sz w:val="24"/>
          <w:szCs w:val="24"/>
          <w:highlight w:val="none"/>
          <w:lang w:val="en-US" w:eastAsia="zh-CN"/>
        </w:rPr>
        <w:t>点</w:t>
      </w:r>
      <w:r>
        <w:rPr>
          <w:rFonts w:hint="default" w:ascii="Times New Roman" w:hAnsi="Times New Roman" w:eastAsia="宋体" w:cs="Times New Roman"/>
          <w:color w:val="auto"/>
          <w:sz w:val="24"/>
          <w:szCs w:val="24"/>
          <w:highlight w:val="none"/>
        </w:rPr>
        <w:t>非甲烷总烃小时值</w:t>
      </w:r>
      <w:r>
        <w:rPr>
          <w:rFonts w:hint="default" w:ascii="Times New Roman" w:hAnsi="Times New Roman" w:eastAsia="宋体" w:cs="Times New Roman"/>
          <w:color w:val="auto"/>
          <w:sz w:val="24"/>
          <w:szCs w:val="24"/>
          <w:highlight w:val="none"/>
          <w:lang w:val="en-US" w:eastAsia="zh-CN"/>
        </w:rPr>
        <w:t>浓度</w:t>
      </w:r>
      <w:r>
        <w:rPr>
          <w:rFonts w:hint="default" w:ascii="Times New Roman" w:hAnsi="Times New Roman" w:eastAsia="宋体" w:cs="Times New Roman"/>
          <w:color w:val="auto"/>
          <w:sz w:val="24"/>
          <w:szCs w:val="24"/>
          <w:highlight w:val="none"/>
        </w:rPr>
        <w:t>满足《大气污染物综合排放标准》（GB16297-1996）详解中浓度限值2000μg/m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要求；H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S小时平均值均未检出，能满足《环境影响评价技术导则</w:t>
      </w:r>
      <w:r>
        <w:rPr>
          <w:rFonts w:hint="eastAsia"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大气环境》（HJ2.2-2018）附录D中其他污染物空气质量浓度参考限值（10μg/m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）的浓度限值要求</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甲醇</w:t>
      </w:r>
      <w:r>
        <w:rPr>
          <w:rFonts w:hint="default" w:ascii="Times New Roman" w:hAnsi="Times New Roman" w:eastAsia="宋体" w:cs="Times New Roman"/>
          <w:color w:val="auto"/>
          <w:sz w:val="24"/>
          <w:szCs w:val="24"/>
          <w:highlight w:val="none"/>
          <w:lang w:eastAsia="zh-CN"/>
        </w:rPr>
        <w:t>小时平均值均未检出，能满足《环境影响评价技术导则 大气环境》（HJ2.2-2018</w:t>
      </w:r>
      <w:r>
        <w:rPr>
          <w:rFonts w:hint="default" w:ascii="Times New Roman" w:hAnsi="Times New Roman" w:eastAsia="宋体" w:cs="Times New Roman"/>
          <w:color w:val="auto"/>
          <w:sz w:val="24"/>
          <w:szCs w:val="24"/>
          <w:lang w:eastAsia="zh-CN"/>
        </w:rPr>
        <w:t>）附录D中的1h平均浓度限值1000μg/m</w:t>
      </w:r>
      <w:r>
        <w:rPr>
          <w:rFonts w:hint="default" w:ascii="Times New Roman" w:hAnsi="Times New Roman" w:eastAsia="宋体" w:cs="Times New Roman"/>
          <w:color w:val="auto"/>
          <w:sz w:val="24"/>
          <w:szCs w:val="24"/>
          <w:vertAlign w:val="superscript"/>
          <w:lang w:eastAsia="zh-CN"/>
        </w:rPr>
        <w:t>3</w:t>
      </w:r>
      <w:r>
        <w:rPr>
          <w:rFonts w:hint="eastAsia" w:ascii="宋体" w:hAnsi="宋体" w:eastAsia="宋体" w:cs="宋体"/>
          <w:color w:val="auto"/>
          <w:sz w:val="24"/>
          <w:szCs w:val="24"/>
        </w:rPr>
        <w:t>。</w:t>
      </w:r>
    </w:p>
    <w:bookmarkEnd w:id="525"/>
    <w:bookmarkEnd w:id="561"/>
    <w:bookmarkEnd w:id="562"/>
    <w:bookmarkEnd w:id="563"/>
    <w:bookmarkEnd w:id="564"/>
    <w:bookmarkEnd w:id="565"/>
    <w:bookmarkEnd w:id="566"/>
    <w:bookmarkEnd w:id="568"/>
    <w:bookmarkEnd w:id="569"/>
    <w:bookmarkEnd w:id="570"/>
    <w:bookmarkEnd w:id="587"/>
    <w:bookmarkEnd w:id="588"/>
    <w:bookmarkEnd w:id="589"/>
    <w:bookmarkEnd w:id="590"/>
    <w:bookmarkEnd w:id="591"/>
    <w:bookmarkEnd w:id="592"/>
    <w:bookmarkEnd w:id="593"/>
    <w:bookmarkEnd w:id="594"/>
    <w:p w14:paraId="1529804C">
      <w:pPr>
        <w:pStyle w:val="75"/>
        <w:bidi w:val="0"/>
        <w:rPr>
          <w:rFonts w:hint="default"/>
          <w:color w:val="auto"/>
        </w:rPr>
      </w:pPr>
      <w:bookmarkStart w:id="596" w:name="_Toc11962"/>
      <w:bookmarkStart w:id="597" w:name="_Toc28430"/>
      <w:bookmarkStart w:id="598" w:name="_Toc109382930"/>
      <w:bookmarkStart w:id="599" w:name="_Toc21498"/>
      <w:r>
        <w:rPr>
          <w:rFonts w:hint="default"/>
          <w:color w:val="auto"/>
        </w:rPr>
        <w:t>4.</w:t>
      </w:r>
      <w:r>
        <w:rPr>
          <w:rFonts w:hint="eastAsia"/>
          <w:color w:val="auto"/>
          <w:lang w:val="en-US" w:eastAsia="zh-CN"/>
        </w:rPr>
        <w:t xml:space="preserve">7 </w:t>
      </w:r>
      <w:r>
        <w:rPr>
          <w:rFonts w:hint="default"/>
          <w:color w:val="auto"/>
        </w:rPr>
        <w:t>声环境现状</w:t>
      </w:r>
      <w:bookmarkEnd w:id="596"/>
    </w:p>
    <w:p w14:paraId="04D38EB4">
      <w:pPr>
        <w:pStyle w:val="79"/>
        <w:bidi w:val="0"/>
        <w:rPr>
          <w:rFonts w:hint="default"/>
          <w:color w:val="auto"/>
          <w:lang w:val="en-US" w:eastAsia="zh-CN"/>
        </w:rPr>
      </w:pPr>
      <w:bookmarkStart w:id="600" w:name="OLE_LINK334"/>
      <w:r>
        <w:rPr>
          <w:rFonts w:hint="default"/>
          <w:color w:val="auto"/>
          <w:lang w:val="en-US" w:eastAsia="zh-CN"/>
        </w:rPr>
        <w:t>依据《环境影响评价技术导则 声环境》（HJ2.4-2021）中的规定，本工程声环境影响评价工作等级定为二级。</w:t>
      </w:r>
      <w:r>
        <w:rPr>
          <w:rFonts w:hint="eastAsia"/>
          <w:color w:val="auto"/>
          <w:lang w:val="en-US" w:eastAsia="zh-CN"/>
        </w:rPr>
        <w:t>本工程井场、雄探1试采点周边范围内无居民区，没有声环境保护目标。本次选择代表性井场布设2个点位现状监测，可以满足导则声环境现状监测要求。</w:t>
      </w:r>
    </w:p>
    <w:bookmarkEnd w:id="600"/>
    <w:p w14:paraId="6517AE76">
      <w:pPr>
        <w:pStyle w:val="54"/>
        <w:bidi w:val="0"/>
        <w:rPr>
          <w:rFonts w:hint="default"/>
          <w:color w:val="auto"/>
          <w:lang w:val="en-US" w:eastAsia="zh-CN"/>
        </w:rPr>
      </w:pPr>
      <w:r>
        <w:rPr>
          <w:rFonts w:hint="default"/>
          <w:color w:val="auto"/>
          <w:lang w:val="en-US" w:eastAsia="zh-CN"/>
        </w:rPr>
        <w:t>4.</w:t>
      </w:r>
      <w:r>
        <w:rPr>
          <w:rFonts w:hint="eastAsia"/>
          <w:color w:val="auto"/>
          <w:lang w:val="en-US" w:eastAsia="zh-CN"/>
        </w:rPr>
        <w:t>7</w:t>
      </w:r>
      <w:r>
        <w:rPr>
          <w:rFonts w:hint="default"/>
          <w:color w:val="auto"/>
          <w:lang w:val="en-US" w:eastAsia="zh-CN"/>
        </w:rPr>
        <w:t>.1</w:t>
      </w:r>
      <w:r>
        <w:rPr>
          <w:rFonts w:hint="eastAsia"/>
          <w:color w:val="auto"/>
          <w:lang w:val="en-US" w:eastAsia="zh-CN"/>
        </w:rPr>
        <w:t xml:space="preserve"> </w:t>
      </w:r>
      <w:r>
        <w:rPr>
          <w:rFonts w:hint="default"/>
          <w:color w:val="auto"/>
          <w:lang w:val="en-US" w:eastAsia="zh-CN"/>
        </w:rPr>
        <w:t>声环境现状监测</w:t>
      </w:r>
    </w:p>
    <w:p w14:paraId="224F1F5F">
      <w:pPr>
        <w:pStyle w:val="79"/>
        <w:bidi w:val="0"/>
        <w:rPr>
          <w:rFonts w:hint="default"/>
          <w:color w:val="auto"/>
          <w:lang w:val="en-US" w:eastAsia="zh-CN"/>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lang w:val="en-US" w:eastAsia="zh-CN"/>
        </w:rPr>
        <w:t>监测点位</w:t>
      </w:r>
    </w:p>
    <w:p w14:paraId="704B40E5">
      <w:pPr>
        <w:pStyle w:val="79"/>
        <w:bidi w:val="0"/>
        <w:rPr>
          <w:rFonts w:hint="default"/>
          <w:color w:val="auto"/>
          <w:lang w:val="en-US" w:eastAsia="zh-CN"/>
        </w:rPr>
      </w:pPr>
      <w:r>
        <w:rPr>
          <w:rFonts w:hint="default"/>
          <w:color w:val="auto"/>
        </w:rPr>
        <w:t>本次</w:t>
      </w:r>
      <w:r>
        <w:rPr>
          <w:rFonts w:hint="eastAsia"/>
          <w:color w:val="auto"/>
          <w:lang w:val="en-US" w:eastAsia="zh-CN"/>
        </w:rPr>
        <w:t>分别在雄英102井、雄探1井场四周边界各布设1个监测点位</w:t>
      </w:r>
      <w:r>
        <w:rPr>
          <w:rFonts w:hint="default"/>
          <w:color w:val="auto"/>
        </w:rPr>
        <w:t>。监测工作由新疆中测测试有限责任公司完成。</w:t>
      </w:r>
      <w:r>
        <w:rPr>
          <w:rFonts w:hint="eastAsia"/>
          <w:color w:val="auto"/>
          <w:lang w:val="en-US" w:eastAsia="zh-CN"/>
        </w:rPr>
        <w:t>监测点位示意图见图4.3-1。</w:t>
      </w:r>
    </w:p>
    <w:p w14:paraId="604E0481">
      <w:pPr>
        <w:pStyle w:val="61"/>
        <w:bidi w:val="0"/>
        <w:jc w:val="both"/>
        <w:rPr>
          <w:rFonts w:hint="eastAsia"/>
          <w:color w:val="auto"/>
          <w:lang w:val="en-US" w:eastAsia="zh-CN"/>
        </w:rPr>
      </w:pPr>
      <w:r>
        <w:rPr>
          <w:rFonts w:hint="eastAsia"/>
          <w:color w:val="auto"/>
          <w:lang w:val="en-US" w:eastAsia="zh-CN"/>
        </w:rPr>
        <w:t>表4.7-1    声环境现状监测点位表</w:t>
      </w:r>
    </w:p>
    <w:tbl>
      <w:tblPr>
        <w:tblStyle w:val="36"/>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69"/>
        <w:gridCol w:w="1581"/>
        <w:gridCol w:w="1900"/>
        <w:gridCol w:w="1922"/>
        <w:gridCol w:w="2658"/>
      </w:tblGrid>
      <w:tr w14:paraId="79956F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35" w:type="pct"/>
            <w:tcBorders>
              <w:tl2br w:val="nil"/>
              <w:tr2bl w:val="nil"/>
            </w:tcBorders>
            <w:noWrap w:val="0"/>
            <w:vAlign w:val="top"/>
          </w:tcPr>
          <w:p w14:paraId="63933F3C">
            <w:pPr>
              <w:bidi w:val="0"/>
              <w:rPr>
                <w:rFonts w:hint="default" w:ascii="Times New Roman" w:hAnsi="Times New Roman" w:eastAsia="宋体" w:cs="Times New Roman"/>
                <w:color w:val="auto"/>
              </w:rPr>
            </w:pPr>
            <w:r>
              <w:rPr>
                <w:rFonts w:hint="default" w:ascii="Times New Roman" w:hAnsi="Times New Roman" w:eastAsia="宋体" w:cs="Times New Roman"/>
                <w:color w:val="auto"/>
              </w:rPr>
              <w:t>序号</w:t>
            </w:r>
          </w:p>
        </w:tc>
        <w:tc>
          <w:tcPr>
            <w:tcW w:w="895" w:type="pct"/>
            <w:tcBorders>
              <w:tl2br w:val="nil"/>
              <w:tr2bl w:val="nil"/>
            </w:tcBorders>
            <w:noWrap w:val="0"/>
            <w:vAlign w:val="top"/>
          </w:tcPr>
          <w:p w14:paraId="2E1617EE">
            <w:pPr>
              <w:bidi w:val="0"/>
              <w:rPr>
                <w:rFonts w:hint="default" w:ascii="Times New Roman" w:hAnsi="Times New Roman" w:eastAsia="宋体" w:cs="Times New Roman"/>
                <w:color w:val="auto"/>
              </w:rPr>
            </w:pPr>
            <w:r>
              <w:rPr>
                <w:rFonts w:hint="default" w:ascii="Times New Roman" w:hAnsi="Times New Roman" w:eastAsia="宋体" w:cs="Times New Roman"/>
                <w:color w:val="auto"/>
              </w:rPr>
              <w:t>监测点名称</w:t>
            </w:r>
          </w:p>
        </w:tc>
        <w:tc>
          <w:tcPr>
            <w:tcW w:w="1075" w:type="pct"/>
            <w:tcBorders>
              <w:tl2br w:val="nil"/>
              <w:tr2bl w:val="nil"/>
            </w:tcBorders>
            <w:noWrap w:val="0"/>
            <w:vAlign w:val="top"/>
          </w:tcPr>
          <w:p w14:paraId="3C972643">
            <w:pPr>
              <w:bidi w:val="0"/>
              <w:rPr>
                <w:rFonts w:hint="default" w:ascii="Times New Roman" w:hAnsi="Times New Roman" w:eastAsia="宋体" w:cs="Times New Roman"/>
                <w:color w:val="auto"/>
              </w:rPr>
            </w:pPr>
            <w:r>
              <w:rPr>
                <w:rFonts w:hint="default" w:ascii="Times New Roman" w:hAnsi="Times New Roman" w:eastAsia="宋体" w:cs="Times New Roman"/>
                <w:color w:val="auto"/>
              </w:rPr>
              <w:t>位置</w:t>
            </w:r>
          </w:p>
        </w:tc>
        <w:tc>
          <w:tcPr>
            <w:tcW w:w="1088" w:type="pct"/>
            <w:tcBorders>
              <w:tl2br w:val="nil"/>
              <w:tr2bl w:val="nil"/>
            </w:tcBorders>
            <w:noWrap w:val="0"/>
            <w:vAlign w:val="top"/>
          </w:tcPr>
          <w:p w14:paraId="2C960C99">
            <w:pPr>
              <w:bidi w:val="0"/>
              <w:rPr>
                <w:rFonts w:hint="default" w:ascii="Times New Roman" w:hAnsi="Times New Roman" w:eastAsia="宋体" w:cs="Times New Roman"/>
                <w:color w:val="auto"/>
              </w:rPr>
            </w:pPr>
            <w:r>
              <w:rPr>
                <w:rFonts w:hint="default" w:ascii="Times New Roman" w:hAnsi="Times New Roman" w:eastAsia="宋体" w:cs="Times New Roman"/>
                <w:color w:val="auto"/>
              </w:rPr>
              <w:t>监测因子</w:t>
            </w:r>
          </w:p>
        </w:tc>
        <w:tc>
          <w:tcPr>
            <w:tcW w:w="1504" w:type="pct"/>
            <w:tcBorders>
              <w:tl2br w:val="nil"/>
              <w:tr2bl w:val="nil"/>
            </w:tcBorders>
            <w:noWrap w:val="0"/>
            <w:vAlign w:val="top"/>
          </w:tcPr>
          <w:p w14:paraId="16E732CA">
            <w:pPr>
              <w:bidi w:val="0"/>
              <w:rPr>
                <w:rFonts w:hint="default" w:ascii="Times New Roman" w:hAnsi="Times New Roman" w:eastAsia="宋体" w:cs="Times New Roman"/>
                <w:color w:val="auto"/>
              </w:rPr>
            </w:pPr>
            <w:r>
              <w:rPr>
                <w:rFonts w:hint="default" w:ascii="Times New Roman" w:hAnsi="Times New Roman" w:eastAsia="宋体" w:cs="Times New Roman"/>
                <w:color w:val="auto"/>
              </w:rPr>
              <w:t>采样时间、频率</w:t>
            </w:r>
          </w:p>
        </w:tc>
      </w:tr>
      <w:tr w14:paraId="70F075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2" w:hRule="atLeast"/>
        </w:trPr>
        <w:tc>
          <w:tcPr>
            <w:tcW w:w="435" w:type="pct"/>
            <w:tcBorders>
              <w:tl2br w:val="nil"/>
              <w:tr2bl w:val="nil"/>
            </w:tcBorders>
            <w:noWrap w:val="0"/>
            <w:vAlign w:val="top"/>
          </w:tcPr>
          <w:p w14:paraId="1CF502AE">
            <w:pPr>
              <w:bidi w:val="0"/>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895" w:type="pct"/>
            <w:tcBorders>
              <w:tl2br w:val="nil"/>
              <w:tr2bl w:val="nil"/>
            </w:tcBorders>
            <w:noWrap w:val="0"/>
            <w:vAlign w:val="top"/>
          </w:tcPr>
          <w:p w14:paraId="3D079418">
            <w:pPr>
              <w:bidi w:val="0"/>
              <w:rPr>
                <w:rFonts w:hint="default" w:ascii="Times New Roman" w:hAnsi="Times New Roman" w:eastAsia="宋体" w:cs="Times New Roman"/>
                <w:color w:val="auto"/>
                <w:lang w:val="en-US" w:eastAsia="zh-CN"/>
              </w:rPr>
            </w:pPr>
            <w:r>
              <w:rPr>
                <w:rFonts w:hint="eastAsia" w:cs="Times New Roman"/>
                <w:color w:val="auto"/>
                <w:lang w:val="en-US" w:eastAsia="zh-CN"/>
              </w:rPr>
              <w:t>雄英102井</w:t>
            </w:r>
          </w:p>
        </w:tc>
        <w:tc>
          <w:tcPr>
            <w:tcW w:w="1075" w:type="pct"/>
            <w:tcBorders>
              <w:tl2br w:val="nil"/>
              <w:tr2bl w:val="nil"/>
            </w:tcBorders>
            <w:noWrap w:val="0"/>
            <w:vAlign w:val="top"/>
          </w:tcPr>
          <w:p w14:paraId="29D8BEE0">
            <w:pPr>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厂址中心</w:t>
            </w:r>
          </w:p>
        </w:tc>
        <w:tc>
          <w:tcPr>
            <w:tcW w:w="1088" w:type="pct"/>
            <w:vMerge w:val="restart"/>
            <w:tcBorders>
              <w:tl2br w:val="nil"/>
              <w:tr2bl w:val="nil"/>
            </w:tcBorders>
            <w:noWrap w:val="0"/>
            <w:vAlign w:val="top"/>
          </w:tcPr>
          <w:p w14:paraId="0DE22EC1">
            <w:pPr>
              <w:bidi w:val="0"/>
              <w:rPr>
                <w:rFonts w:hint="default" w:ascii="Times New Roman" w:hAnsi="Times New Roman" w:eastAsia="宋体" w:cs="Times New Roman"/>
                <w:color w:val="auto"/>
              </w:rPr>
            </w:pPr>
            <w:r>
              <w:rPr>
                <w:rFonts w:hint="default" w:ascii="Times New Roman" w:hAnsi="Times New Roman" w:eastAsia="宋体" w:cs="Times New Roman"/>
                <w:color w:val="auto"/>
              </w:rPr>
              <w:t>Ld、Ln</w:t>
            </w:r>
          </w:p>
        </w:tc>
        <w:tc>
          <w:tcPr>
            <w:tcW w:w="1504" w:type="pct"/>
            <w:vMerge w:val="restart"/>
            <w:tcBorders>
              <w:tl2br w:val="nil"/>
              <w:tr2bl w:val="nil"/>
            </w:tcBorders>
            <w:noWrap w:val="0"/>
            <w:vAlign w:val="top"/>
          </w:tcPr>
          <w:p w14:paraId="0A131B18">
            <w:pPr>
              <w:bidi w:val="0"/>
              <w:rPr>
                <w:rFonts w:hint="default" w:ascii="Times New Roman" w:hAnsi="Times New Roman" w:eastAsia="宋体" w:cs="Times New Roman"/>
                <w:color w:val="auto"/>
              </w:rPr>
            </w:pPr>
            <w:r>
              <w:rPr>
                <w:rFonts w:hint="default" w:ascii="Times New Roman" w:hAnsi="Times New Roman" w:eastAsia="宋体" w:cs="Times New Roman"/>
                <w:color w:val="auto"/>
                <w:highlight w:val="none"/>
              </w:rPr>
              <w:t>监测1天，每天昼夜各1次</w:t>
            </w:r>
          </w:p>
        </w:tc>
      </w:tr>
      <w:tr w14:paraId="0824A0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35" w:type="pct"/>
            <w:tcBorders>
              <w:tl2br w:val="nil"/>
              <w:tr2bl w:val="nil"/>
            </w:tcBorders>
            <w:noWrap w:val="0"/>
            <w:vAlign w:val="top"/>
          </w:tcPr>
          <w:p w14:paraId="62363A28">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p>
        </w:tc>
        <w:tc>
          <w:tcPr>
            <w:tcW w:w="895" w:type="pct"/>
            <w:tcBorders>
              <w:tl2br w:val="nil"/>
              <w:tr2bl w:val="nil"/>
            </w:tcBorders>
            <w:noWrap w:val="0"/>
            <w:vAlign w:val="top"/>
          </w:tcPr>
          <w:p w14:paraId="60631A27">
            <w:pPr>
              <w:bidi w:val="0"/>
              <w:rPr>
                <w:rFonts w:hint="default" w:ascii="Times New Roman" w:hAnsi="Times New Roman" w:eastAsia="宋体" w:cs="Times New Roman"/>
                <w:color w:val="auto"/>
              </w:rPr>
            </w:pPr>
            <w:r>
              <w:rPr>
                <w:rFonts w:hint="default" w:ascii="Times New Roman" w:hAnsi="Times New Roman" w:eastAsia="宋体" w:cs="Times New Roman"/>
                <w:color w:val="auto"/>
              </w:rPr>
              <w:t>雄探1井场</w:t>
            </w:r>
          </w:p>
        </w:tc>
        <w:tc>
          <w:tcPr>
            <w:tcW w:w="1075" w:type="pct"/>
            <w:tcBorders>
              <w:tl2br w:val="nil"/>
              <w:tr2bl w:val="nil"/>
            </w:tcBorders>
            <w:noWrap w:val="0"/>
            <w:vAlign w:val="top"/>
          </w:tcPr>
          <w:p w14:paraId="49D8C86B">
            <w:pPr>
              <w:bidi w:val="0"/>
              <w:rPr>
                <w:rFonts w:hint="default" w:ascii="Times New Roman" w:hAnsi="Times New Roman" w:eastAsia="宋体" w:cs="Times New Roman"/>
                <w:color w:val="auto"/>
              </w:rPr>
            </w:pPr>
            <w:r>
              <w:rPr>
                <w:rFonts w:hint="default" w:ascii="Times New Roman" w:hAnsi="Times New Roman" w:eastAsia="宋体" w:cs="Times New Roman"/>
                <w:color w:val="auto"/>
              </w:rPr>
              <w:t>厂界四周</w:t>
            </w:r>
          </w:p>
        </w:tc>
        <w:tc>
          <w:tcPr>
            <w:tcW w:w="1088" w:type="pct"/>
            <w:vMerge w:val="continue"/>
            <w:tcBorders>
              <w:tl2br w:val="nil"/>
              <w:tr2bl w:val="nil"/>
            </w:tcBorders>
            <w:noWrap w:val="0"/>
            <w:vAlign w:val="top"/>
          </w:tcPr>
          <w:p w14:paraId="3F2A91F3">
            <w:pPr>
              <w:bidi w:val="0"/>
              <w:rPr>
                <w:rFonts w:hint="default" w:ascii="Times New Roman" w:hAnsi="Times New Roman" w:eastAsia="宋体" w:cs="Times New Roman"/>
                <w:color w:val="auto"/>
              </w:rPr>
            </w:pPr>
          </w:p>
        </w:tc>
        <w:tc>
          <w:tcPr>
            <w:tcW w:w="1504" w:type="pct"/>
            <w:vMerge w:val="continue"/>
            <w:tcBorders>
              <w:tl2br w:val="nil"/>
              <w:tr2bl w:val="nil"/>
            </w:tcBorders>
            <w:noWrap w:val="0"/>
            <w:vAlign w:val="top"/>
          </w:tcPr>
          <w:p w14:paraId="093A8B83">
            <w:pPr>
              <w:bidi w:val="0"/>
              <w:rPr>
                <w:rFonts w:hint="default" w:ascii="Times New Roman" w:hAnsi="Times New Roman" w:eastAsia="宋体" w:cs="Times New Roman"/>
                <w:color w:val="auto"/>
              </w:rPr>
            </w:pPr>
          </w:p>
        </w:tc>
      </w:tr>
    </w:tbl>
    <w:p w14:paraId="0BBDFD48">
      <w:pPr>
        <w:pStyle w:val="79"/>
        <w:bidi w:val="0"/>
        <w:rPr>
          <w:rFonts w:hint="default"/>
          <w:color w:val="auto"/>
          <w:lang w:val="en-US" w:eastAsia="zh-CN"/>
        </w:rPr>
      </w:pPr>
      <w:r>
        <w:rPr>
          <w:rFonts w:hint="eastAsia"/>
          <w:color w:val="auto"/>
          <w:lang w:val="en-US" w:eastAsia="zh-CN"/>
        </w:rPr>
        <w:t>（2）</w:t>
      </w:r>
      <w:r>
        <w:rPr>
          <w:rFonts w:hint="default"/>
          <w:color w:val="auto"/>
          <w:lang w:val="en-US" w:eastAsia="zh-CN"/>
        </w:rPr>
        <w:t>监测时间</w:t>
      </w:r>
    </w:p>
    <w:p w14:paraId="3FD75C4D">
      <w:pPr>
        <w:pStyle w:val="79"/>
        <w:bidi w:val="0"/>
        <w:rPr>
          <w:rFonts w:hint="default"/>
          <w:color w:val="auto"/>
        </w:rPr>
      </w:pPr>
      <w:r>
        <w:rPr>
          <w:rFonts w:hint="default"/>
          <w:color w:val="auto"/>
        </w:rPr>
        <w:t>声环境质量现状监测时间为</w:t>
      </w:r>
      <w:r>
        <w:rPr>
          <w:rFonts w:hint="eastAsia"/>
          <w:color w:val="auto"/>
          <w:lang w:val="en-US" w:eastAsia="zh-CN"/>
        </w:rPr>
        <w:t>2024</w:t>
      </w:r>
      <w:r>
        <w:rPr>
          <w:rFonts w:hint="default"/>
          <w:color w:val="auto"/>
        </w:rPr>
        <w:t>年</w:t>
      </w:r>
      <w:r>
        <w:rPr>
          <w:rFonts w:hint="eastAsia"/>
          <w:color w:val="auto"/>
          <w:lang w:val="en-US" w:eastAsia="zh-CN"/>
        </w:rPr>
        <w:t>6</w:t>
      </w:r>
      <w:r>
        <w:rPr>
          <w:rFonts w:hint="default"/>
          <w:color w:val="auto"/>
        </w:rPr>
        <w:t>月</w:t>
      </w:r>
      <w:r>
        <w:rPr>
          <w:rFonts w:hint="eastAsia"/>
          <w:color w:val="auto"/>
          <w:lang w:val="en-US" w:eastAsia="zh-CN"/>
        </w:rPr>
        <w:t>12日</w:t>
      </w:r>
      <w:r>
        <w:rPr>
          <w:rFonts w:hint="default"/>
          <w:color w:val="auto"/>
        </w:rPr>
        <w:t>，监测</w:t>
      </w:r>
      <w:r>
        <w:rPr>
          <w:rFonts w:hint="eastAsia"/>
          <w:color w:val="auto"/>
          <w:lang w:val="en-US" w:eastAsia="zh-CN"/>
        </w:rPr>
        <w:t>1</w:t>
      </w:r>
      <w:r>
        <w:rPr>
          <w:rFonts w:hint="default"/>
          <w:color w:val="auto"/>
        </w:rPr>
        <w:t>天，分昼间和夜间两个时段进行。</w:t>
      </w:r>
    </w:p>
    <w:p w14:paraId="42C0F313">
      <w:pPr>
        <w:pStyle w:val="79"/>
        <w:bidi w:val="0"/>
        <w:rPr>
          <w:rFonts w:hint="default"/>
          <w:color w:val="auto"/>
          <w:lang w:val="en-US" w:eastAsia="zh-CN"/>
        </w:rPr>
      </w:pPr>
      <w:r>
        <w:rPr>
          <w:rFonts w:hint="eastAsia"/>
          <w:color w:val="auto"/>
          <w:lang w:val="en-US" w:eastAsia="zh-CN"/>
        </w:rPr>
        <w:t>（3）</w:t>
      </w:r>
      <w:r>
        <w:rPr>
          <w:rFonts w:hint="default"/>
          <w:color w:val="auto"/>
          <w:lang w:val="en-US" w:eastAsia="zh-CN"/>
        </w:rPr>
        <w:t>监测方法</w:t>
      </w:r>
    </w:p>
    <w:p w14:paraId="16C89905">
      <w:pPr>
        <w:pStyle w:val="79"/>
        <w:bidi w:val="0"/>
        <w:rPr>
          <w:rFonts w:hint="default"/>
          <w:color w:val="auto"/>
        </w:rPr>
      </w:pPr>
      <w:r>
        <w:rPr>
          <w:rFonts w:hint="default"/>
          <w:color w:val="auto"/>
        </w:rPr>
        <w:t>按照《声环境质量标准》（GB3096-2008）的要求进行测量。噪声测量值为A声级，采用等效连续A声级Leq作为评价量。</w:t>
      </w:r>
    </w:p>
    <w:p w14:paraId="259B97F1">
      <w:pPr>
        <w:pStyle w:val="79"/>
        <w:bidi w:val="0"/>
        <w:rPr>
          <w:rFonts w:hint="default"/>
          <w:color w:val="auto"/>
          <w:lang w:val="en-US" w:eastAsia="zh-CN"/>
        </w:rPr>
      </w:pPr>
      <w:r>
        <w:rPr>
          <w:rFonts w:hint="eastAsia"/>
          <w:color w:val="auto"/>
          <w:lang w:val="en-US" w:eastAsia="zh-CN"/>
        </w:rPr>
        <w:t>（4）</w:t>
      </w:r>
      <w:r>
        <w:rPr>
          <w:rFonts w:hint="default"/>
          <w:color w:val="auto"/>
          <w:lang w:val="en-US" w:eastAsia="zh-CN"/>
        </w:rPr>
        <w:t>评价标准</w:t>
      </w:r>
    </w:p>
    <w:p w14:paraId="34CBB87E">
      <w:pPr>
        <w:pStyle w:val="79"/>
        <w:bidi w:val="0"/>
        <w:rPr>
          <w:rFonts w:hint="default"/>
          <w:color w:val="auto"/>
        </w:rPr>
      </w:pPr>
      <w:r>
        <w:rPr>
          <w:rFonts w:hint="default"/>
          <w:color w:val="auto"/>
        </w:rPr>
        <w:t>评价区声环境现状执行《声环境质量标准》（GB3096-2008）中2类标准，即昼间60dB（A），夜间50dB（A）。</w:t>
      </w:r>
    </w:p>
    <w:p w14:paraId="3A9F4159">
      <w:pPr>
        <w:pStyle w:val="79"/>
        <w:bidi w:val="0"/>
        <w:rPr>
          <w:rFonts w:hint="default"/>
          <w:color w:val="auto"/>
          <w:lang w:val="en-US" w:eastAsia="zh-CN"/>
        </w:rPr>
      </w:pPr>
      <w:r>
        <w:rPr>
          <w:rFonts w:hint="eastAsia"/>
          <w:color w:val="auto"/>
          <w:lang w:val="en-US" w:eastAsia="zh-CN"/>
        </w:rPr>
        <w:t>（5）</w:t>
      </w:r>
      <w:r>
        <w:rPr>
          <w:rFonts w:hint="default"/>
          <w:color w:val="auto"/>
          <w:lang w:val="en-US" w:eastAsia="zh-CN"/>
        </w:rPr>
        <w:t>评价方法</w:t>
      </w:r>
    </w:p>
    <w:p w14:paraId="52B4634E">
      <w:pPr>
        <w:pStyle w:val="79"/>
        <w:bidi w:val="0"/>
        <w:rPr>
          <w:rFonts w:hint="default"/>
          <w:color w:val="auto"/>
        </w:rPr>
      </w:pPr>
      <w:r>
        <w:rPr>
          <w:rFonts w:hint="default"/>
          <w:color w:val="auto"/>
        </w:rPr>
        <w:t>采用对标法对声环境质量现状进行评价，即用现状监测结果与标准值进行对比。</w:t>
      </w:r>
    </w:p>
    <w:p w14:paraId="4BC2131A">
      <w:pPr>
        <w:pStyle w:val="54"/>
        <w:bidi w:val="0"/>
        <w:rPr>
          <w:rFonts w:hint="default"/>
          <w:color w:val="auto"/>
          <w:lang w:val="en-US" w:eastAsia="zh-CN"/>
        </w:rPr>
      </w:pPr>
      <w:r>
        <w:rPr>
          <w:rFonts w:hint="default"/>
          <w:color w:val="auto"/>
          <w:lang w:val="en-US" w:eastAsia="zh-CN"/>
        </w:rPr>
        <w:t>4.</w:t>
      </w:r>
      <w:r>
        <w:rPr>
          <w:rFonts w:hint="eastAsia"/>
          <w:color w:val="auto"/>
          <w:lang w:val="en-US" w:eastAsia="zh-CN"/>
        </w:rPr>
        <w:t xml:space="preserve">7.2 </w:t>
      </w:r>
      <w:r>
        <w:rPr>
          <w:rFonts w:hint="default"/>
          <w:color w:val="auto"/>
          <w:lang w:val="en-US" w:eastAsia="zh-CN"/>
        </w:rPr>
        <w:t>声环境现状评价</w:t>
      </w:r>
    </w:p>
    <w:p w14:paraId="678A5EB7">
      <w:pPr>
        <w:pStyle w:val="79"/>
        <w:bidi w:val="0"/>
        <w:rPr>
          <w:rFonts w:hint="default"/>
          <w:color w:val="auto"/>
        </w:rPr>
      </w:pPr>
      <w:r>
        <w:rPr>
          <w:rFonts w:hint="default"/>
          <w:color w:val="auto"/>
        </w:rPr>
        <w:t>监测及评价结果统计</w:t>
      </w:r>
      <w:r>
        <w:rPr>
          <w:rFonts w:hint="eastAsia"/>
          <w:color w:val="auto"/>
          <w:lang w:eastAsia="zh-CN"/>
        </w:rPr>
        <w:t>，</w:t>
      </w:r>
      <w:r>
        <w:rPr>
          <w:rFonts w:hint="default"/>
          <w:color w:val="auto"/>
        </w:rPr>
        <w:t>见表</w:t>
      </w:r>
      <w:r>
        <w:rPr>
          <w:rFonts w:hint="eastAsia"/>
          <w:color w:val="auto"/>
          <w:lang w:val="en-US" w:eastAsia="zh-CN"/>
        </w:rPr>
        <w:t>4.7-2</w:t>
      </w:r>
      <w:r>
        <w:rPr>
          <w:rFonts w:hint="default"/>
          <w:color w:val="auto"/>
        </w:rPr>
        <w:t>。</w:t>
      </w:r>
    </w:p>
    <w:p w14:paraId="242EB832">
      <w:pPr>
        <w:pStyle w:val="61"/>
        <w:bidi w:val="0"/>
        <w:jc w:val="both"/>
        <w:rPr>
          <w:rFonts w:hint="default"/>
          <w:color w:val="auto"/>
          <w:lang w:val="en-US" w:eastAsia="zh-CN"/>
        </w:rPr>
      </w:pPr>
    </w:p>
    <w:p w14:paraId="56177ACE">
      <w:pPr>
        <w:pStyle w:val="61"/>
        <w:bidi w:val="0"/>
        <w:jc w:val="both"/>
        <w:rPr>
          <w:rFonts w:hint="default"/>
          <w:color w:val="auto"/>
          <w:lang w:val="en-US" w:eastAsia="zh-CN"/>
        </w:rPr>
      </w:pPr>
      <w:r>
        <w:rPr>
          <w:rFonts w:hint="default"/>
          <w:color w:val="auto"/>
          <w:lang w:val="en-US" w:eastAsia="zh-CN"/>
        </w:rPr>
        <w:t>表</w:t>
      </w:r>
      <w:r>
        <w:rPr>
          <w:rFonts w:hint="eastAsia"/>
          <w:color w:val="auto"/>
          <w:lang w:val="en-US" w:eastAsia="zh-CN"/>
        </w:rPr>
        <w:t xml:space="preserve">4.7-2  </w:t>
      </w:r>
      <w:r>
        <w:rPr>
          <w:rFonts w:hint="default"/>
          <w:color w:val="auto"/>
          <w:lang w:val="en-US" w:eastAsia="zh-CN"/>
        </w:rPr>
        <w:t>声环境现状监测统计结果一览表</w:t>
      </w:r>
    </w:p>
    <w:tbl>
      <w:tblPr>
        <w:tblStyle w:val="36"/>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616"/>
        <w:gridCol w:w="2106"/>
        <w:gridCol w:w="1541"/>
        <w:gridCol w:w="1496"/>
        <w:gridCol w:w="1071"/>
      </w:tblGrid>
      <w:tr w14:paraId="21BCE3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481" w:type="pct"/>
            <w:vMerge w:val="restart"/>
            <w:tcBorders>
              <w:tl2br w:val="nil"/>
              <w:tr2bl w:val="nil"/>
            </w:tcBorders>
            <w:noWrap w:val="0"/>
            <w:vAlign w:val="center"/>
          </w:tcPr>
          <w:p w14:paraId="2EE92E6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等线"/>
                <w:color w:val="auto"/>
                <w:kern w:val="2"/>
                <w:sz w:val="21"/>
                <w:szCs w:val="21"/>
              </w:rPr>
            </w:pPr>
            <w:r>
              <w:rPr>
                <w:rFonts w:hint="eastAsia" w:cs="等线"/>
                <w:color w:val="auto"/>
                <w:kern w:val="2"/>
                <w:sz w:val="21"/>
                <w:szCs w:val="21"/>
              </w:rPr>
              <w:t>监测点位</w:t>
            </w:r>
          </w:p>
        </w:tc>
        <w:tc>
          <w:tcPr>
            <w:tcW w:w="1192" w:type="pct"/>
            <w:vMerge w:val="restart"/>
            <w:tcBorders>
              <w:tl2br w:val="nil"/>
              <w:tr2bl w:val="nil"/>
            </w:tcBorders>
            <w:noWrap w:val="0"/>
            <w:vAlign w:val="center"/>
          </w:tcPr>
          <w:p w14:paraId="07920D0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等线"/>
                <w:color w:val="auto"/>
                <w:kern w:val="2"/>
                <w:sz w:val="21"/>
                <w:szCs w:val="21"/>
              </w:rPr>
            </w:pPr>
            <w:r>
              <w:rPr>
                <w:rFonts w:hint="eastAsia" w:cs="等线"/>
                <w:color w:val="auto"/>
                <w:kern w:val="2"/>
                <w:sz w:val="21"/>
                <w:szCs w:val="21"/>
              </w:rPr>
              <w:t>测量时间</w:t>
            </w:r>
          </w:p>
        </w:tc>
        <w:tc>
          <w:tcPr>
            <w:tcW w:w="1719" w:type="pct"/>
            <w:gridSpan w:val="2"/>
            <w:tcBorders>
              <w:tl2br w:val="nil"/>
              <w:tr2bl w:val="nil"/>
            </w:tcBorders>
            <w:noWrap w:val="0"/>
            <w:vAlign w:val="center"/>
          </w:tcPr>
          <w:p w14:paraId="6DCE3F0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等线"/>
                <w:color w:val="auto"/>
                <w:kern w:val="2"/>
                <w:sz w:val="21"/>
                <w:szCs w:val="21"/>
              </w:rPr>
            </w:pPr>
            <w:r>
              <w:rPr>
                <w:rFonts w:hint="eastAsia" w:cs="等线"/>
                <w:color w:val="auto"/>
                <w:kern w:val="2"/>
                <w:sz w:val="21"/>
                <w:szCs w:val="21"/>
              </w:rPr>
              <w:t>等 效 声 级 dB（A）</w:t>
            </w:r>
          </w:p>
        </w:tc>
        <w:tc>
          <w:tcPr>
            <w:tcW w:w="606" w:type="pct"/>
            <w:vMerge w:val="restart"/>
            <w:tcBorders>
              <w:tl2br w:val="nil"/>
              <w:tr2bl w:val="nil"/>
            </w:tcBorders>
            <w:noWrap w:val="0"/>
            <w:vAlign w:val="center"/>
          </w:tcPr>
          <w:p w14:paraId="09741F5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等线"/>
                <w:color w:val="auto"/>
                <w:kern w:val="2"/>
                <w:sz w:val="21"/>
                <w:szCs w:val="21"/>
              </w:rPr>
            </w:pPr>
            <w:r>
              <w:rPr>
                <w:rFonts w:hint="eastAsia" w:cs="等线"/>
                <w:color w:val="auto"/>
                <w:kern w:val="2"/>
                <w:sz w:val="21"/>
                <w:szCs w:val="21"/>
              </w:rPr>
              <w:t>达标情况</w:t>
            </w:r>
          </w:p>
        </w:tc>
      </w:tr>
      <w:tr w14:paraId="7BFB6C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481" w:type="pct"/>
            <w:vMerge w:val="continue"/>
            <w:tcBorders>
              <w:tl2br w:val="nil"/>
              <w:tr2bl w:val="nil"/>
            </w:tcBorders>
            <w:noWrap w:val="0"/>
            <w:vAlign w:val="center"/>
          </w:tcPr>
          <w:p w14:paraId="085481A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等线"/>
                <w:color w:val="auto"/>
                <w:kern w:val="2"/>
                <w:sz w:val="21"/>
                <w:szCs w:val="21"/>
              </w:rPr>
            </w:pPr>
          </w:p>
        </w:tc>
        <w:tc>
          <w:tcPr>
            <w:tcW w:w="1192" w:type="pct"/>
            <w:vMerge w:val="continue"/>
            <w:tcBorders>
              <w:tl2br w:val="nil"/>
              <w:tr2bl w:val="nil"/>
            </w:tcBorders>
            <w:noWrap w:val="0"/>
            <w:vAlign w:val="center"/>
          </w:tcPr>
          <w:p w14:paraId="2F5AE12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等线"/>
                <w:color w:val="auto"/>
                <w:kern w:val="2"/>
                <w:sz w:val="21"/>
                <w:szCs w:val="21"/>
              </w:rPr>
            </w:pPr>
          </w:p>
        </w:tc>
        <w:tc>
          <w:tcPr>
            <w:tcW w:w="872" w:type="pct"/>
            <w:tcBorders>
              <w:tl2br w:val="nil"/>
              <w:tr2bl w:val="nil"/>
            </w:tcBorders>
            <w:noWrap w:val="0"/>
            <w:vAlign w:val="center"/>
          </w:tcPr>
          <w:p w14:paraId="595E8B1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等线"/>
                <w:color w:val="auto"/>
                <w:kern w:val="2"/>
                <w:sz w:val="21"/>
                <w:szCs w:val="21"/>
              </w:rPr>
            </w:pPr>
            <w:r>
              <w:rPr>
                <w:rFonts w:hint="eastAsia" w:cs="等线"/>
                <w:color w:val="auto"/>
                <w:kern w:val="2"/>
                <w:sz w:val="21"/>
                <w:szCs w:val="21"/>
              </w:rPr>
              <w:t>昼间</w:t>
            </w:r>
          </w:p>
        </w:tc>
        <w:tc>
          <w:tcPr>
            <w:tcW w:w="846" w:type="pct"/>
            <w:tcBorders>
              <w:tl2br w:val="nil"/>
              <w:tr2bl w:val="nil"/>
            </w:tcBorders>
            <w:noWrap w:val="0"/>
            <w:vAlign w:val="center"/>
          </w:tcPr>
          <w:p w14:paraId="2F89D03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等线"/>
                <w:color w:val="auto"/>
                <w:kern w:val="2"/>
                <w:sz w:val="21"/>
                <w:szCs w:val="21"/>
              </w:rPr>
            </w:pPr>
            <w:r>
              <w:rPr>
                <w:rFonts w:hint="eastAsia" w:cs="等线"/>
                <w:color w:val="auto"/>
                <w:kern w:val="2"/>
                <w:sz w:val="21"/>
                <w:szCs w:val="21"/>
              </w:rPr>
              <w:t>夜间</w:t>
            </w:r>
          </w:p>
        </w:tc>
        <w:tc>
          <w:tcPr>
            <w:tcW w:w="606" w:type="pct"/>
            <w:vMerge w:val="continue"/>
            <w:tcBorders>
              <w:tl2br w:val="nil"/>
              <w:tr2bl w:val="nil"/>
            </w:tcBorders>
            <w:noWrap w:val="0"/>
            <w:vAlign w:val="center"/>
          </w:tcPr>
          <w:p w14:paraId="6C95018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等线"/>
                <w:color w:val="auto"/>
                <w:kern w:val="2"/>
                <w:sz w:val="21"/>
                <w:szCs w:val="21"/>
              </w:rPr>
            </w:pPr>
          </w:p>
        </w:tc>
      </w:tr>
      <w:tr w14:paraId="6887C4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481" w:type="pct"/>
            <w:tcBorders>
              <w:tl2br w:val="nil"/>
              <w:tr2bl w:val="nil"/>
            </w:tcBorders>
            <w:noWrap w:val="0"/>
            <w:vAlign w:val="center"/>
          </w:tcPr>
          <w:p w14:paraId="05F96D1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cs="等线"/>
                <w:color w:val="auto"/>
                <w:kern w:val="2"/>
                <w:sz w:val="21"/>
                <w:szCs w:val="21"/>
                <w:lang w:val="en-US" w:eastAsia="zh-CN"/>
              </w:rPr>
            </w:pPr>
            <w:r>
              <w:rPr>
                <w:rFonts w:hint="eastAsia" w:cs="等线"/>
                <w:color w:val="auto"/>
                <w:spacing w:val="3"/>
                <w:sz w:val="21"/>
                <w:szCs w:val="21"/>
                <w:lang w:val="en-US" w:eastAsia="zh-CN"/>
              </w:rPr>
              <w:t>雄英102井</w:t>
            </w:r>
          </w:p>
        </w:tc>
        <w:tc>
          <w:tcPr>
            <w:tcW w:w="1192" w:type="pct"/>
            <w:tcBorders>
              <w:tl2br w:val="nil"/>
              <w:tr2bl w:val="nil"/>
            </w:tcBorders>
            <w:noWrap w:val="0"/>
            <w:vAlign w:val="center"/>
          </w:tcPr>
          <w:p w14:paraId="6883173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cs="等线"/>
                <w:color w:val="auto"/>
                <w:kern w:val="2"/>
                <w:sz w:val="21"/>
                <w:szCs w:val="21"/>
                <w:highlight w:val="none"/>
                <w:lang w:val="en-US" w:eastAsia="zh-CN"/>
              </w:rPr>
            </w:pPr>
            <w:r>
              <w:rPr>
                <w:rFonts w:hint="eastAsia" w:eastAsia="宋体" w:cs="等线"/>
                <w:color w:val="auto"/>
                <w:kern w:val="2"/>
                <w:sz w:val="21"/>
                <w:szCs w:val="21"/>
                <w:highlight w:val="none"/>
                <w:lang w:val="en-US" w:eastAsia="zh-CN"/>
              </w:rPr>
              <w:t>2024年</w:t>
            </w:r>
            <w:r>
              <w:rPr>
                <w:rFonts w:hint="eastAsia" w:cs="等线"/>
                <w:color w:val="auto"/>
                <w:kern w:val="2"/>
                <w:sz w:val="21"/>
                <w:szCs w:val="21"/>
                <w:highlight w:val="none"/>
                <w:lang w:val="en-US" w:eastAsia="zh-CN"/>
              </w:rPr>
              <w:t>6</w:t>
            </w:r>
            <w:r>
              <w:rPr>
                <w:rFonts w:hint="eastAsia" w:eastAsia="宋体" w:cs="等线"/>
                <w:color w:val="auto"/>
                <w:kern w:val="2"/>
                <w:sz w:val="21"/>
                <w:szCs w:val="21"/>
                <w:highlight w:val="none"/>
                <w:lang w:val="en-US" w:eastAsia="zh-CN"/>
              </w:rPr>
              <w:t>月</w:t>
            </w:r>
            <w:r>
              <w:rPr>
                <w:rFonts w:hint="eastAsia" w:cs="等线"/>
                <w:color w:val="auto"/>
                <w:kern w:val="2"/>
                <w:sz w:val="21"/>
                <w:szCs w:val="21"/>
                <w:highlight w:val="none"/>
                <w:lang w:val="en-US" w:eastAsia="zh-CN"/>
              </w:rPr>
              <w:t>12日</w:t>
            </w:r>
          </w:p>
        </w:tc>
        <w:tc>
          <w:tcPr>
            <w:tcW w:w="872" w:type="pct"/>
            <w:tcBorders>
              <w:tl2br w:val="nil"/>
              <w:tr2bl w:val="nil"/>
            </w:tcBorders>
            <w:noWrap w:val="0"/>
            <w:vAlign w:val="center"/>
          </w:tcPr>
          <w:p w14:paraId="0AE5873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cs="等线"/>
                <w:color w:val="auto"/>
                <w:kern w:val="2"/>
                <w:sz w:val="21"/>
                <w:szCs w:val="21"/>
                <w:lang w:val="en-US" w:eastAsia="zh-CN"/>
              </w:rPr>
            </w:pPr>
          </w:p>
        </w:tc>
        <w:tc>
          <w:tcPr>
            <w:tcW w:w="846" w:type="pct"/>
            <w:tcBorders>
              <w:tl2br w:val="nil"/>
              <w:tr2bl w:val="nil"/>
            </w:tcBorders>
            <w:noWrap w:val="0"/>
            <w:vAlign w:val="center"/>
          </w:tcPr>
          <w:p w14:paraId="0DAB02D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cs="等线"/>
                <w:color w:val="auto"/>
                <w:kern w:val="2"/>
                <w:sz w:val="21"/>
                <w:szCs w:val="21"/>
                <w:lang w:val="en-US" w:eastAsia="zh-CN"/>
              </w:rPr>
            </w:pPr>
          </w:p>
        </w:tc>
        <w:tc>
          <w:tcPr>
            <w:tcW w:w="606" w:type="pct"/>
            <w:tcBorders>
              <w:tl2br w:val="nil"/>
              <w:tr2bl w:val="nil"/>
            </w:tcBorders>
            <w:noWrap w:val="0"/>
            <w:vAlign w:val="center"/>
          </w:tcPr>
          <w:p w14:paraId="4F7C32F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cs="等线"/>
                <w:color w:val="auto"/>
                <w:kern w:val="2"/>
                <w:sz w:val="21"/>
                <w:szCs w:val="21"/>
                <w:lang w:val="en-US" w:eastAsia="zh-CN"/>
              </w:rPr>
            </w:pPr>
            <w:r>
              <w:rPr>
                <w:rFonts w:hint="eastAsia" w:cs="等线"/>
                <w:color w:val="auto"/>
                <w:kern w:val="2"/>
                <w:sz w:val="21"/>
                <w:szCs w:val="21"/>
                <w:lang w:val="en-US" w:eastAsia="zh-CN"/>
              </w:rPr>
              <w:t>达标</w:t>
            </w:r>
          </w:p>
        </w:tc>
      </w:tr>
      <w:tr w14:paraId="7E24CD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481" w:type="pct"/>
            <w:tcBorders>
              <w:tl2br w:val="nil"/>
              <w:tr2bl w:val="nil"/>
            </w:tcBorders>
            <w:noWrap w:val="0"/>
            <w:vAlign w:val="center"/>
          </w:tcPr>
          <w:p w14:paraId="0E24705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等线"/>
                <w:color w:val="auto"/>
                <w:kern w:val="2"/>
                <w:sz w:val="21"/>
                <w:szCs w:val="21"/>
              </w:rPr>
            </w:pPr>
            <w:r>
              <w:rPr>
                <w:rFonts w:hint="eastAsia" w:cs="等线"/>
                <w:color w:val="auto"/>
                <w:spacing w:val="3"/>
                <w:sz w:val="21"/>
                <w:szCs w:val="21"/>
                <w:lang w:val="en-US" w:eastAsia="zh-CN"/>
              </w:rPr>
              <w:t>雄探1井场东</w:t>
            </w:r>
          </w:p>
        </w:tc>
        <w:tc>
          <w:tcPr>
            <w:tcW w:w="1192" w:type="pct"/>
            <w:vMerge w:val="restart"/>
            <w:tcBorders>
              <w:tl2br w:val="nil"/>
              <w:tr2bl w:val="nil"/>
            </w:tcBorders>
            <w:noWrap w:val="0"/>
            <w:vAlign w:val="center"/>
          </w:tcPr>
          <w:p w14:paraId="02DFEC1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等线"/>
                <w:color w:val="auto"/>
                <w:kern w:val="2"/>
                <w:sz w:val="21"/>
                <w:szCs w:val="21"/>
                <w:highlight w:val="none"/>
                <w:lang w:val="en-US" w:eastAsia="zh-CN" w:bidi="ar-SA"/>
              </w:rPr>
            </w:pPr>
            <w:r>
              <w:rPr>
                <w:rFonts w:hint="eastAsia" w:eastAsia="宋体" w:cs="等线"/>
                <w:color w:val="auto"/>
                <w:kern w:val="2"/>
                <w:sz w:val="21"/>
                <w:szCs w:val="21"/>
                <w:highlight w:val="none"/>
                <w:lang w:val="en-US" w:eastAsia="zh-CN"/>
              </w:rPr>
              <w:t>2024年</w:t>
            </w:r>
            <w:r>
              <w:rPr>
                <w:rFonts w:hint="eastAsia" w:cs="等线"/>
                <w:color w:val="auto"/>
                <w:kern w:val="2"/>
                <w:sz w:val="21"/>
                <w:szCs w:val="21"/>
                <w:highlight w:val="none"/>
                <w:lang w:val="en-US" w:eastAsia="zh-CN"/>
              </w:rPr>
              <w:t>6</w:t>
            </w:r>
            <w:r>
              <w:rPr>
                <w:rFonts w:hint="eastAsia" w:eastAsia="宋体" w:cs="等线"/>
                <w:color w:val="auto"/>
                <w:kern w:val="2"/>
                <w:sz w:val="21"/>
                <w:szCs w:val="21"/>
                <w:highlight w:val="none"/>
                <w:lang w:val="en-US" w:eastAsia="zh-CN"/>
              </w:rPr>
              <w:t>月</w:t>
            </w:r>
            <w:r>
              <w:rPr>
                <w:rFonts w:hint="eastAsia" w:cs="等线"/>
                <w:color w:val="auto"/>
                <w:kern w:val="2"/>
                <w:sz w:val="21"/>
                <w:szCs w:val="21"/>
                <w:highlight w:val="none"/>
                <w:lang w:val="en-US" w:eastAsia="zh-CN"/>
              </w:rPr>
              <w:t>12日</w:t>
            </w:r>
          </w:p>
        </w:tc>
        <w:tc>
          <w:tcPr>
            <w:tcW w:w="872" w:type="pct"/>
            <w:tcBorders>
              <w:tl2br w:val="nil"/>
              <w:tr2bl w:val="nil"/>
            </w:tcBorders>
            <w:noWrap w:val="0"/>
            <w:vAlign w:val="center"/>
          </w:tcPr>
          <w:p w14:paraId="01CE1F0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cs="等线"/>
                <w:color w:val="auto"/>
                <w:kern w:val="2"/>
                <w:sz w:val="21"/>
                <w:szCs w:val="21"/>
                <w:lang w:val="en-US" w:eastAsia="zh-CN"/>
              </w:rPr>
            </w:pPr>
          </w:p>
        </w:tc>
        <w:tc>
          <w:tcPr>
            <w:tcW w:w="846" w:type="pct"/>
            <w:tcBorders>
              <w:tl2br w:val="nil"/>
              <w:tr2bl w:val="nil"/>
            </w:tcBorders>
            <w:noWrap w:val="0"/>
            <w:vAlign w:val="center"/>
          </w:tcPr>
          <w:p w14:paraId="722378E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cs="等线"/>
                <w:color w:val="auto"/>
                <w:kern w:val="2"/>
                <w:sz w:val="21"/>
                <w:szCs w:val="21"/>
                <w:lang w:val="en-US" w:eastAsia="zh-CN"/>
              </w:rPr>
            </w:pPr>
          </w:p>
        </w:tc>
        <w:tc>
          <w:tcPr>
            <w:tcW w:w="606" w:type="pct"/>
            <w:tcBorders>
              <w:tl2br w:val="nil"/>
              <w:tr2bl w:val="nil"/>
            </w:tcBorders>
            <w:noWrap w:val="0"/>
            <w:vAlign w:val="center"/>
          </w:tcPr>
          <w:p w14:paraId="656777C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等线"/>
                <w:color w:val="auto"/>
                <w:kern w:val="2"/>
                <w:sz w:val="21"/>
                <w:szCs w:val="21"/>
              </w:rPr>
            </w:pPr>
            <w:r>
              <w:rPr>
                <w:rFonts w:hint="eastAsia" w:cs="等线"/>
                <w:color w:val="auto"/>
                <w:kern w:val="2"/>
                <w:sz w:val="21"/>
                <w:szCs w:val="21"/>
                <w:lang w:val="en-US" w:eastAsia="zh-CN"/>
              </w:rPr>
              <w:t>达标</w:t>
            </w:r>
          </w:p>
        </w:tc>
      </w:tr>
      <w:tr w14:paraId="0D9AA9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481" w:type="pct"/>
            <w:tcBorders>
              <w:tl2br w:val="nil"/>
              <w:tr2bl w:val="nil"/>
            </w:tcBorders>
            <w:noWrap w:val="0"/>
            <w:vAlign w:val="center"/>
          </w:tcPr>
          <w:p w14:paraId="2341F6F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等线"/>
                <w:color w:val="auto"/>
                <w:kern w:val="2"/>
                <w:sz w:val="21"/>
                <w:szCs w:val="21"/>
              </w:rPr>
            </w:pPr>
            <w:r>
              <w:rPr>
                <w:rFonts w:hint="eastAsia" w:cs="等线"/>
                <w:color w:val="auto"/>
                <w:spacing w:val="3"/>
                <w:sz w:val="21"/>
                <w:szCs w:val="21"/>
                <w:lang w:val="en-US" w:eastAsia="zh-CN"/>
              </w:rPr>
              <w:t>雄探1井场南</w:t>
            </w:r>
          </w:p>
        </w:tc>
        <w:tc>
          <w:tcPr>
            <w:tcW w:w="1192" w:type="pct"/>
            <w:vMerge w:val="continue"/>
            <w:tcBorders>
              <w:tl2br w:val="nil"/>
              <w:tr2bl w:val="nil"/>
            </w:tcBorders>
            <w:noWrap w:val="0"/>
            <w:vAlign w:val="center"/>
          </w:tcPr>
          <w:p w14:paraId="0C72ABC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等线"/>
                <w:color w:val="auto"/>
                <w:kern w:val="2"/>
                <w:sz w:val="21"/>
                <w:szCs w:val="21"/>
              </w:rPr>
            </w:pPr>
          </w:p>
        </w:tc>
        <w:tc>
          <w:tcPr>
            <w:tcW w:w="872" w:type="pct"/>
            <w:tcBorders>
              <w:tl2br w:val="nil"/>
              <w:tr2bl w:val="nil"/>
            </w:tcBorders>
            <w:noWrap w:val="0"/>
            <w:vAlign w:val="center"/>
          </w:tcPr>
          <w:p w14:paraId="6CBA21E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cs="等线"/>
                <w:color w:val="auto"/>
                <w:kern w:val="2"/>
                <w:sz w:val="21"/>
                <w:szCs w:val="21"/>
                <w:lang w:val="en-US" w:eastAsia="zh-CN"/>
              </w:rPr>
            </w:pPr>
          </w:p>
        </w:tc>
        <w:tc>
          <w:tcPr>
            <w:tcW w:w="846" w:type="pct"/>
            <w:tcBorders>
              <w:tl2br w:val="nil"/>
              <w:tr2bl w:val="nil"/>
            </w:tcBorders>
            <w:noWrap w:val="0"/>
            <w:vAlign w:val="center"/>
          </w:tcPr>
          <w:p w14:paraId="6E0AED3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cs="等线"/>
                <w:color w:val="auto"/>
                <w:kern w:val="2"/>
                <w:sz w:val="21"/>
                <w:szCs w:val="21"/>
                <w:lang w:val="en-US" w:eastAsia="zh-CN"/>
              </w:rPr>
            </w:pPr>
          </w:p>
        </w:tc>
        <w:tc>
          <w:tcPr>
            <w:tcW w:w="606" w:type="pct"/>
            <w:tcBorders>
              <w:tl2br w:val="nil"/>
              <w:tr2bl w:val="nil"/>
            </w:tcBorders>
            <w:noWrap w:val="0"/>
            <w:vAlign w:val="center"/>
          </w:tcPr>
          <w:p w14:paraId="2972B59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等线"/>
                <w:color w:val="auto"/>
                <w:kern w:val="2"/>
                <w:sz w:val="21"/>
                <w:szCs w:val="21"/>
              </w:rPr>
            </w:pPr>
            <w:r>
              <w:rPr>
                <w:rFonts w:hint="eastAsia" w:cs="等线"/>
                <w:color w:val="auto"/>
                <w:kern w:val="2"/>
                <w:sz w:val="21"/>
                <w:szCs w:val="21"/>
                <w:lang w:val="en-US" w:eastAsia="zh-CN"/>
              </w:rPr>
              <w:t>达标</w:t>
            </w:r>
          </w:p>
        </w:tc>
      </w:tr>
      <w:tr w14:paraId="6C7E19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481" w:type="pct"/>
            <w:tcBorders>
              <w:tl2br w:val="nil"/>
              <w:tr2bl w:val="nil"/>
            </w:tcBorders>
            <w:noWrap w:val="0"/>
            <w:vAlign w:val="center"/>
          </w:tcPr>
          <w:p w14:paraId="2B510CE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等线"/>
                <w:color w:val="auto"/>
                <w:kern w:val="2"/>
                <w:sz w:val="21"/>
                <w:szCs w:val="21"/>
              </w:rPr>
            </w:pPr>
            <w:r>
              <w:rPr>
                <w:rFonts w:hint="eastAsia" w:cs="等线"/>
                <w:color w:val="auto"/>
                <w:spacing w:val="3"/>
                <w:sz w:val="21"/>
                <w:szCs w:val="21"/>
                <w:lang w:val="en-US" w:eastAsia="zh-CN"/>
              </w:rPr>
              <w:t>雄探1井场西</w:t>
            </w:r>
          </w:p>
        </w:tc>
        <w:tc>
          <w:tcPr>
            <w:tcW w:w="1192" w:type="pct"/>
            <w:vMerge w:val="continue"/>
            <w:tcBorders>
              <w:tl2br w:val="nil"/>
              <w:tr2bl w:val="nil"/>
            </w:tcBorders>
            <w:noWrap w:val="0"/>
            <w:vAlign w:val="center"/>
          </w:tcPr>
          <w:p w14:paraId="0177AA2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等线"/>
                <w:color w:val="auto"/>
                <w:kern w:val="2"/>
                <w:sz w:val="21"/>
                <w:szCs w:val="21"/>
              </w:rPr>
            </w:pPr>
          </w:p>
        </w:tc>
        <w:tc>
          <w:tcPr>
            <w:tcW w:w="872" w:type="pct"/>
            <w:tcBorders>
              <w:tl2br w:val="nil"/>
              <w:tr2bl w:val="nil"/>
            </w:tcBorders>
            <w:noWrap w:val="0"/>
            <w:vAlign w:val="center"/>
          </w:tcPr>
          <w:p w14:paraId="31637AF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cs="等线"/>
                <w:color w:val="auto"/>
                <w:kern w:val="2"/>
                <w:sz w:val="21"/>
                <w:szCs w:val="21"/>
                <w:lang w:val="en-US" w:eastAsia="zh-CN"/>
              </w:rPr>
            </w:pPr>
          </w:p>
        </w:tc>
        <w:tc>
          <w:tcPr>
            <w:tcW w:w="846" w:type="pct"/>
            <w:tcBorders>
              <w:tl2br w:val="nil"/>
              <w:tr2bl w:val="nil"/>
            </w:tcBorders>
            <w:noWrap w:val="0"/>
            <w:vAlign w:val="center"/>
          </w:tcPr>
          <w:p w14:paraId="77167DF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cs="等线"/>
                <w:color w:val="auto"/>
                <w:kern w:val="2"/>
                <w:sz w:val="21"/>
                <w:szCs w:val="21"/>
                <w:lang w:val="en-US" w:eastAsia="zh-CN"/>
              </w:rPr>
            </w:pPr>
          </w:p>
        </w:tc>
        <w:tc>
          <w:tcPr>
            <w:tcW w:w="606" w:type="pct"/>
            <w:tcBorders>
              <w:tl2br w:val="nil"/>
              <w:tr2bl w:val="nil"/>
            </w:tcBorders>
            <w:noWrap w:val="0"/>
            <w:vAlign w:val="center"/>
          </w:tcPr>
          <w:p w14:paraId="465D660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等线"/>
                <w:color w:val="auto"/>
                <w:kern w:val="2"/>
                <w:sz w:val="21"/>
                <w:szCs w:val="21"/>
              </w:rPr>
            </w:pPr>
            <w:r>
              <w:rPr>
                <w:rFonts w:hint="eastAsia" w:cs="等线"/>
                <w:color w:val="auto"/>
                <w:kern w:val="2"/>
                <w:sz w:val="21"/>
                <w:szCs w:val="21"/>
                <w:lang w:val="en-US" w:eastAsia="zh-CN"/>
              </w:rPr>
              <w:t>达标</w:t>
            </w:r>
          </w:p>
        </w:tc>
      </w:tr>
      <w:tr w14:paraId="694ED9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481" w:type="pct"/>
            <w:tcBorders>
              <w:tl2br w:val="nil"/>
              <w:tr2bl w:val="nil"/>
            </w:tcBorders>
            <w:noWrap w:val="0"/>
            <w:vAlign w:val="center"/>
          </w:tcPr>
          <w:p w14:paraId="68DE0F4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等线"/>
                <w:color w:val="auto"/>
                <w:kern w:val="2"/>
                <w:sz w:val="21"/>
                <w:szCs w:val="21"/>
              </w:rPr>
            </w:pPr>
            <w:r>
              <w:rPr>
                <w:rFonts w:hint="eastAsia" w:cs="等线"/>
                <w:color w:val="auto"/>
                <w:spacing w:val="3"/>
                <w:sz w:val="21"/>
                <w:szCs w:val="21"/>
                <w:lang w:val="en-US" w:eastAsia="zh-CN"/>
              </w:rPr>
              <w:t>雄探1井场</w:t>
            </w:r>
            <w:r>
              <w:rPr>
                <w:rFonts w:hint="eastAsia" w:cs="等线"/>
                <w:color w:val="auto"/>
                <w:kern w:val="2"/>
                <w:sz w:val="21"/>
                <w:szCs w:val="21"/>
              </w:rPr>
              <w:t>北</w:t>
            </w:r>
          </w:p>
        </w:tc>
        <w:tc>
          <w:tcPr>
            <w:tcW w:w="1192" w:type="pct"/>
            <w:vMerge w:val="continue"/>
            <w:tcBorders>
              <w:tl2br w:val="nil"/>
              <w:tr2bl w:val="nil"/>
            </w:tcBorders>
            <w:noWrap w:val="0"/>
            <w:vAlign w:val="center"/>
          </w:tcPr>
          <w:p w14:paraId="0D3627F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等线"/>
                <w:color w:val="auto"/>
                <w:kern w:val="2"/>
                <w:sz w:val="21"/>
                <w:szCs w:val="21"/>
              </w:rPr>
            </w:pPr>
          </w:p>
        </w:tc>
        <w:tc>
          <w:tcPr>
            <w:tcW w:w="872" w:type="pct"/>
            <w:tcBorders>
              <w:tl2br w:val="nil"/>
              <w:tr2bl w:val="nil"/>
            </w:tcBorders>
            <w:noWrap w:val="0"/>
            <w:vAlign w:val="center"/>
          </w:tcPr>
          <w:p w14:paraId="0BDC56A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cs="等线"/>
                <w:color w:val="auto"/>
                <w:kern w:val="2"/>
                <w:sz w:val="21"/>
                <w:szCs w:val="21"/>
                <w:lang w:val="en-US" w:eastAsia="zh-CN"/>
              </w:rPr>
            </w:pPr>
          </w:p>
        </w:tc>
        <w:tc>
          <w:tcPr>
            <w:tcW w:w="846" w:type="pct"/>
            <w:tcBorders>
              <w:tl2br w:val="nil"/>
              <w:tr2bl w:val="nil"/>
            </w:tcBorders>
            <w:noWrap w:val="0"/>
            <w:vAlign w:val="center"/>
          </w:tcPr>
          <w:p w14:paraId="3FD33A3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cs="等线"/>
                <w:color w:val="auto"/>
                <w:kern w:val="2"/>
                <w:sz w:val="21"/>
                <w:szCs w:val="21"/>
                <w:lang w:val="en-US" w:eastAsia="zh-CN"/>
              </w:rPr>
            </w:pPr>
          </w:p>
        </w:tc>
        <w:tc>
          <w:tcPr>
            <w:tcW w:w="606" w:type="pct"/>
            <w:tcBorders>
              <w:tl2br w:val="nil"/>
              <w:tr2bl w:val="nil"/>
            </w:tcBorders>
            <w:noWrap w:val="0"/>
            <w:vAlign w:val="center"/>
          </w:tcPr>
          <w:p w14:paraId="33C4266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等线"/>
                <w:color w:val="auto"/>
                <w:kern w:val="2"/>
                <w:sz w:val="21"/>
                <w:szCs w:val="21"/>
              </w:rPr>
            </w:pPr>
            <w:r>
              <w:rPr>
                <w:rFonts w:hint="eastAsia" w:cs="等线"/>
                <w:color w:val="auto"/>
                <w:kern w:val="2"/>
                <w:sz w:val="21"/>
                <w:szCs w:val="21"/>
                <w:lang w:val="en-US" w:eastAsia="zh-CN"/>
              </w:rPr>
              <w:t>达标</w:t>
            </w:r>
          </w:p>
        </w:tc>
      </w:tr>
    </w:tbl>
    <w:p w14:paraId="7F28C0FD">
      <w:pPr>
        <w:pStyle w:val="79"/>
        <w:bidi w:val="0"/>
        <w:rPr>
          <w:rFonts w:hint="default"/>
          <w:color w:val="auto"/>
        </w:rPr>
        <w:sectPr>
          <w:pgSz w:w="11906"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AndChars" w:linePitch="316" w:charSpace="0"/>
        </w:sectPr>
      </w:pPr>
      <w:r>
        <w:rPr>
          <w:rFonts w:hint="eastAsia"/>
          <w:color w:val="auto"/>
        </w:rPr>
        <w:t>由</w:t>
      </w:r>
      <w:r>
        <w:rPr>
          <w:rFonts w:hint="eastAsia"/>
          <w:color w:val="auto"/>
          <w:lang w:val="en-US" w:eastAsia="zh-CN"/>
        </w:rPr>
        <w:t>表4.5-1</w:t>
      </w:r>
      <w:r>
        <w:rPr>
          <w:rFonts w:hint="eastAsia"/>
          <w:color w:val="auto"/>
        </w:rPr>
        <w:t>可知，监测期间</w:t>
      </w:r>
      <w:r>
        <w:rPr>
          <w:rFonts w:hint="eastAsia"/>
          <w:color w:val="auto"/>
          <w:lang w:val="en-US" w:eastAsia="zh-CN"/>
        </w:rPr>
        <w:t>各监测</w:t>
      </w:r>
      <w:r>
        <w:rPr>
          <w:rFonts w:hint="default"/>
          <w:color w:val="auto"/>
        </w:rPr>
        <w:t>昼间</w:t>
      </w:r>
      <w:r>
        <w:rPr>
          <w:rFonts w:hint="eastAsia"/>
          <w:color w:val="auto"/>
          <w:lang w:val="en-US" w:eastAsia="zh-CN"/>
        </w:rPr>
        <w:t>、</w:t>
      </w:r>
      <w:r>
        <w:rPr>
          <w:rFonts w:hint="default"/>
          <w:color w:val="auto"/>
        </w:rPr>
        <w:t>夜间声环境现状</w:t>
      </w:r>
      <w:r>
        <w:rPr>
          <w:rFonts w:hint="eastAsia"/>
          <w:color w:val="auto"/>
          <w:lang w:val="en-US" w:eastAsia="zh-CN"/>
        </w:rPr>
        <w:t>均</w:t>
      </w:r>
      <w:r>
        <w:rPr>
          <w:rFonts w:hint="default"/>
          <w:color w:val="auto"/>
        </w:rPr>
        <w:t>满足《声环境质量标准》（GB3096-2008）中2类标准要求。</w:t>
      </w:r>
    </w:p>
    <w:bookmarkEnd w:id="597"/>
    <w:bookmarkEnd w:id="598"/>
    <w:bookmarkEnd w:id="599"/>
    <w:p w14:paraId="707E57E0">
      <w:pPr>
        <w:pStyle w:val="49"/>
        <w:keepNext/>
        <w:keepLines/>
        <w:pageBreakBefore w:val="0"/>
        <w:widowControl w:val="0"/>
        <w:kinsoku/>
        <w:wordWrap/>
        <w:overflowPunct/>
        <w:topLinePunct w:val="0"/>
        <w:autoSpaceDE/>
        <w:autoSpaceDN/>
        <w:bidi w:val="0"/>
        <w:adjustRightInd/>
        <w:snapToGrid/>
        <w:spacing w:before="327" w:beforeLines="100" w:after="0"/>
        <w:textAlignment w:val="auto"/>
        <w:rPr>
          <w:rFonts w:hint="default" w:ascii="Times New Roman" w:hAnsi="Times New Roman" w:cs="Times New Roman"/>
          <w:color w:val="auto"/>
        </w:rPr>
      </w:pPr>
      <w:bookmarkStart w:id="601" w:name="_Toc20313"/>
      <w:bookmarkStart w:id="602" w:name="_Toc109382931"/>
      <w:bookmarkStart w:id="603" w:name="_Toc19023"/>
      <w:bookmarkStart w:id="604" w:name="_Toc20500"/>
      <w:r>
        <w:rPr>
          <w:rFonts w:hint="default" w:ascii="Times New Roman" w:hAnsi="Times New Roman" w:cs="Times New Roman"/>
          <w:color w:val="auto"/>
        </w:rPr>
        <w:t>5</w:t>
      </w:r>
      <w:r>
        <w:rPr>
          <w:rFonts w:hint="eastAsia" w:cs="Times New Roman"/>
          <w:color w:val="auto"/>
          <w:lang w:val="en-US" w:eastAsia="zh-CN"/>
        </w:rPr>
        <w:t xml:space="preserve"> </w:t>
      </w:r>
      <w:r>
        <w:rPr>
          <w:rFonts w:hint="default" w:ascii="Times New Roman" w:hAnsi="Times New Roman" w:cs="Times New Roman"/>
          <w:color w:val="auto"/>
        </w:rPr>
        <w:t>环境影响预测与评价</w:t>
      </w:r>
      <w:bookmarkEnd w:id="601"/>
      <w:bookmarkEnd w:id="602"/>
      <w:bookmarkEnd w:id="603"/>
      <w:bookmarkEnd w:id="604"/>
    </w:p>
    <w:p w14:paraId="2DA0E9BE">
      <w:pPr>
        <w:pStyle w:val="75"/>
        <w:bidi w:val="0"/>
        <w:rPr>
          <w:rFonts w:hint="eastAsia"/>
          <w:color w:val="auto"/>
          <w:lang w:val="en-US" w:eastAsia="zh-CN"/>
        </w:rPr>
      </w:pPr>
      <w:bookmarkStart w:id="605" w:name="_Toc29782"/>
      <w:bookmarkStart w:id="606" w:name="_Toc547"/>
      <w:bookmarkStart w:id="607" w:name="_Toc508291893"/>
      <w:bookmarkStart w:id="608" w:name="_Toc267479321"/>
      <w:bookmarkStart w:id="609" w:name="_Toc374724190"/>
      <w:bookmarkStart w:id="610" w:name="_Toc353966745"/>
      <w:bookmarkStart w:id="611" w:name="_Toc280954918"/>
      <w:bookmarkStart w:id="612" w:name="_Toc77006755"/>
      <w:bookmarkStart w:id="613" w:name="_Toc297590940"/>
      <w:bookmarkStart w:id="614" w:name="_Toc280954995"/>
      <w:bookmarkStart w:id="615" w:name="_Toc2922"/>
      <w:bookmarkStart w:id="616" w:name="_Toc297590787"/>
      <w:bookmarkStart w:id="617" w:name="_Toc7346"/>
      <w:bookmarkStart w:id="618" w:name="_Toc420492389"/>
      <w:r>
        <w:rPr>
          <w:rFonts w:hint="default"/>
          <w:color w:val="auto"/>
        </w:rPr>
        <w:t>5.1</w:t>
      </w:r>
      <w:r>
        <w:rPr>
          <w:rFonts w:hint="eastAsia"/>
          <w:color w:val="auto"/>
          <w:lang w:val="en-US" w:eastAsia="zh-CN"/>
        </w:rPr>
        <w:t xml:space="preserve"> </w:t>
      </w:r>
      <w:r>
        <w:rPr>
          <w:rFonts w:hint="default"/>
          <w:color w:val="auto"/>
        </w:rPr>
        <w:t>生态影响</w:t>
      </w:r>
      <w:bookmarkEnd w:id="605"/>
      <w:bookmarkEnd w:id="606"/>
      <w:bookmarkEnd w:id="607"/>
      <w:bookmarkEnd w:id="608"/>
      <w:bookmarkEnd w:id="609"/>
      <w:bookmarkEnd w:id="610"/>
      <w:bookmarkEnd w:id="611"/>
      <w:bookmarkEnd w:id="612"/>
      <w:bookmarkEnd w:id="613"/>
      <w:bookmarkEnd w:id="614"/>
      <w:bookmarkEnd w:id="615"/>
      <w:bookmarkEnd w:id="616"/>
      <w:r>
        <w:rPr>
          <w:rFonts w:hint="eastAsia"/>
          <w:color w:val="auto"/>
          <w:lang w:val="en-US" w:eastAsia="zh-CN"/>
        </w:rPr>
        <w:t>评价</w:t>
      </w:r>
      <w:bookmarkEnd w:id="617"/>
    </w:p>
    <w:p w14:paraId="4766A45C">
      <w:pPr>
        <w:pStyle w:val="54"/>
        <w:bidi w:val="0"/>
        <w:rPr>
          <w:rFonts w:hint="eastAsia"/>
          <w:color w:val="auto"/>
          <w:lang w:val="en-US" w:eastAsia="zh-CN"/>
        </w:rPr>
      </w:pPr>
      <w:r>
        <w:rPr>
          <w:rFonts w:hint="default"/>
          <w:color w:val="auto"/>
        </w:rPr>
        <w:t>5.1.</w:t>
      </w:r>
      <w:r>
        <w:rPr>
          <w:rFonts w:hint="eastAsia"/>
          <w:color w:val="auto"/>
          <w:lang w:val="en-US" w:eastAsia="zh-CN"/>
        </w:rPr>
        <w:t>1</w:t>
      </w:r>
      <w:r>
        <w:rPr>
          <w:rFonts w:hint="default"/>
          <w:color w:val="auto"/>
        </w:rPr>
        <w:t xml:space="preserve"> 施工期生态影响</w:t>
      </w:r>
      <w:r>
        <w:rPr>
          <w:rFonts w:hint="eastAsia"/>
          <w:color w:val="auto"/>
          <w:lang w:val="en-US" w:eastAsia="zh-CN"/>
        </w:rPr>
        <w:t>分析</w:t>
      </w:r>
    </w:p>
    <w:p w14:paraId="2138A5AD">
      <w:pPr>
        <w:pStyle w:val="55"/>
        <w:bidi w:val="0"/>
        <w:rPr>
          <w:rFonts w:hint="default"/>
          <w:color w:val="auto"/>
        </w:rPr>
      </w:pPr>
      <w:r>
        <w:rPr>
          <w:rFonts w:hint="default"/>
          <w:color w:val="auto"/>
        </w:rPr>
        <w:t>5.1.</w:t>
      </w:r>
      <w:r>
        <w:rPr>
          <w:rFonts w:hint="eastAsia"/>
          <w:color w:val="auto"/>
          <w:lang w:val="en-US" w:eastAsia="zh-CN"/>
        </w:rPr>
        <w:t>1</w:t>
      </w:r>
      <w:r>
        <w:rPr>
          <w:rFonts w:hint="default"/>
          <w:color w:val="auto"/>
        </w:rPr>
        <w:t>.1</w:t>
      </w:r>
      <w:r>
        <w:rPr>
          <w:rFonts w:hint="eastAsia"/>
          <w:color w:val="auto"/>
          <w:lang w:val="en-US" w:eastAsia="zh-CN"/>
        </w:rPr>
        <w:t xml:space="preserve"> </w:t>
      </w:r>
      <w:r>
        <w:rPr>
          <w:rFonts w:hint="default"/>
          <w:color w:val="auto"/>
        </w:rPr>
        <w:t>占地影响分析</w:t>
      </w:r>
    </w:p>
    <w:p w14:paraId="02537957">
      <w:pPr>
        <w:pStyle w:val="79"/>
        <w:bidi w:val="0"/>
        <w:rPr>
          <w:rFonts w:hint="default"/>
          <w:color w:val="auto"/>
        </w:rPr>
      </w:pPr>
      <w:r>
        <w:rPr>
          <w:rFonts w:hint="default"/>
          <w:color w:val="auto"/>
        </w:rPr>
        <w:t>本工程施工结束后，永久占地被永久性构筑物代替，这部分占地的土地利用类型将发生彻底的改变，永久占地使原先土壤</w:t>
      </w:r>
      <w:r>
        <w:rPr>
          <w:rFonts w:hint="default"/>
          <w:color w:val="auto"/>
          <w:lang w:val="en-US" w:eastAsia="zh-CN"/>
        </w:rPr>
        <w:t>-</w:t>
      </w:r>
      <w:r>
        <w:rPr>
          <w:rFonts w:hint="default"/>
          <w:color w:val="auto"/>
        </w:rPr>
        <w:t>植被复合体构成的自然地表被各类人工构造物长期取代；临时占地伴随着永久性占地的工程建设而发生，也不可避免地对原有地表造成破坏，使原有土壤</w:t>
      </w:r>
      <w:r>
        <w:rPr>
          <w:rFonts w:hint="default"/>
          <w:color w:val="auto"/>
          <w:lang w:val="en-US" w:eastAsia="zh-CN"/>
        </w:rPr>
        <w:t>-</w:t>
      </w:r>
      <w:r>
        <w:rPr>
          <w:rFonts w:hint="default"/>
          <w:color w:val="auto"/>
        </w:rPr>
        <w:t>植被自然体系受到影响或瓦解，在扰动结束后，临时占地影响区的土壤-植被体系的恢复能力与程度取决于临时占地影响程度的大小及原先的生态背景状况。施工活动和工程占地在油区范围内并呈点线状分布，对土壤、植物、野生动物等各生态要素产生不同程度的影响，同时也对原有景观结构和生态系统产生一定程度影响。</w:t>
      </w:r>
    </w:p>
    <w:p w14:paraId="183814AD">
      <w:pPr>
        <w:pStyle w:val="79"/>
        <w:bidi w:val="0"/>
        <w:rPr>
          <w:rFonts w:hint="default"/>
          <w:color w:val="auto"/>
        </w:rPr>
      </w:pPr>
      <w:r>
        <w:rPr>
          <w:rFonts w:hint="default"/>
          <w:color w:val="auto"/>
        </w:rPr>
        <w:t>当工程转入正常运营期后，人群的活动范围缩小，受到破坏的临时占地</w:t>
      </w:r>
      <w:r>
        <w:rPr>
          <w:rFonts w:hint="eastAsia"/>
          <w:color w:val="auto"/>
          <w:lang w:eastAsia="zh-CN"/>
        </w:rPr>
        <w:t>逐渐</w:t>
      </w:r>
      <w:r>
        <w:rPr>
          <w:rFonts w:hint="default"/>
          <w:color w:val="auto"/>
        </w:rPr>
        <w:t>得到恢复，工程占地影响也会逐步减弱。</w:t>
      </w:r>
    </w:p>
    <w:p w14:paraId="26CC10B9">
      <w:pPr>
        <w:pStyle w:val="55"/>
        <w:bidi w:val="0"/>
        <w:rPr>
          <w:color w:val="auto"/>
        </w:rPr>
      </w:pPr>
      <w:r>
        <w:rPr>
          <w:rFonts w:hint="eastAsia"/>
          <w:color w:val="auto"/>
        </w:rPr>
        <w:t>5.1.</w:t>
      </w:r>
      <w:r>
        <w:rPr>
          <w:rFonts w:hint="eastAsia"/>
          <w:color w:val="auto"/>
          <w:lang w:val="en-US" w:eastAsia="zh-CN"/>
        </w:rPr>
        <w:t>1</w:t>
      </w:r>
      <w:r>
        <w:rPr>
          <w:rFonts w:hint="eastAsia"/>
          <w:color w:val="auto"/>
        </w:rPr>
        <w:t>.</w:t>
      </w:r>
      <w:r>
        <w:rPr>
          <w:rFonts w:hint="eastAsia"/>
          <w:color w:val="auto"/>
          <w:lang w:val="en-US" w:eastAsia="zh-CN"/>
        </w:rPr>
        <w:t xml:space="preserve">2 </w:t>
      </w:r>
      <w:r>
        <w:rPr>
          <w:rFonts w:hint="eastAsia"/>
          <w:color w:val="auto"/>
        </w:rPr>
        <w:t>项目实施对周边沙化土地的影响</w:t>
      </w:r>
    </w:p>
    <w:p w14:paraId="1EA63DF2">
      <w:pPr>
        <w:pStyle w:val="79"/>
        <w:bidi w:val="0"/>
        <w:rPr>
          <w:color w:val="auto"/>
        </w:rPr>
      </w:pPr>
      <w:r>
        <w:rPr>
          <w:rFonts w:hint="eastAsia"/>
          <w:color w:val="auto"/>
        </w:rPr>
        <w:t>本</w:t>
      </w:r>
      <w:r>
        <w:rPr>
          <w:rFonts w:hint="eastAsia"/>
          <w:color w:val="auto"/>
          <w:lang w:val="en-US" w:eastAsia="zh-CN"/>
        </w:rPr>
        <w:t>工程站场建设</w:t>
      </w:r>
      <w:r>
        <w:rPr>
          <w:rFonts w:hint="eastAsia"/>
          <w:color w:val="auto"/>
        </w:rPr>
        <w:t>的场地平整、管沟开挖作业时会产生土石方，产生的土石方全部用于回填，无弃方。项目建设过程中对原地貌的扰动将降低项目占地范围内的土壤抗侵蚀能力，造成土地沙化；此外，由于项目地处内陆地区，风沙较大，空气干燥，加上地表植被覆盖度低，若项目土石方堆存过程中未采取</w:t>
      </w:r>
      <w:r>
        <w:rPr>
          <w:rFonts w:hint="eastAsia"/>
          <w:color w:val="auto"/>
          <w:lang w:eastAsia="zh-CN"/>
        </w:rPr>
        <w:t>：</w:t>
      </w:r>
      <w:r>
        <w:rPr>
          <w:rFonts w:hint="eastAsia"/>
          <w:color w:val="auto"/>
        </w:rPr>
        <w:t>防尘网苫盖、洒水抑尘等措施，地表沙化的土壤及废土、废渣遇大风天气易产生严重的扬尘，形成沙尘天气。</w:t>
      </w:r>
    </w:p>
    <w:p w14:paraId="77C1986D">
      <w:pPr>
        <w:pStyle w:val="79"/>
        <w:bidi w:val="0"/>
        <w:rPr>
          <w:color w:val="auto"/>
        </w:rPr>
      </w:pPr>
      <w:r>
        <w:rPr>
          <w:rFonts w:hint="default"/>
          <w:color w:val="auto"/>
        </w:rPr>
        <w:t>项目施工期主要包括</w:t>
      </w:r>
      <w:r>
        <w:rPr>
          <w:rFonts w:hint="eastAsia"/>
          <w:color w:val="auto"/>
          <w:lang w:eastAsia="zh-CN"/>
        </w:rPr>
        <w:t>：</w:t>
      </w:r>
      <w:r>
        <w:rPr>
          <w:rFonts w:hint="default"/>
          <w:color w:val="auto"/>
        </w:rPr>
        <w:t>场站工程、管道工程，工程建设包括</w:t>
      </w:r>
      <w:r>
        <w:rPr>
          <w:rFonts w:hint="eastAsia"/>
          <w:color w:val="auto"/>
          <w:lang w:eastAsia="zh-CN"/>
        </w:rPr>
        <w:t>：</w:t>
      </w:r>
      <w:r>
        <w:rPr>
          <w:rFonts w:hint="default"/>
          <w:color w:val="auto"/>
        </w:rPr>
        <w:t>场地平整、管沟开挖等。在场站场地平整、道路及管沟开挖施工过程中，对原有地表土壤造成扰动，造成地表原有结构的破坏。道路及管沟开挖导致土壤的蓄水保肥能力降低，影响区域植被生长，造成土壤逐渐沙化</w:t>
      </w:r>
      <w:r>
        <w:rPr>
          <w:rFonts w:hint="eastAsia"/>
          <w:color w:val="auto"/>
        </w:rPr>
        <w:t>。</w:t>
      </w:r>
    </w:p>
    <w:p w14:paraId="4F119522">
      <w:pPr>
        <w:pStyle w:val="79"/>
        <w:bidi w:val="0"/>
        <w:rPr>
          <w:rFonts w:hint="default"/>
          <w:color w:val="auto"/>
        </w:rPr>
      </w:pPr>
      <w:r>
        <w:rPr>
          <w:rFonts w:hint="eastAsia"/>
          <w:color w:val="auto"/>
        </w:rPr>
        <w:t>上述施工作业过程中，对原地貌的扰动大大降低了项目占地范围内的土壤抗侵蚀能力，若未采取相应的防护措施，遇大风天气，极易加重区域沙尘天气。</w:t>
      </w:r>
    </w:p>
    <w:p w14:paraId="54FC2220">
      <w:pPr>
        <w:pStyle w:val="55"/>
        <w:bidi w:val="0"/>
        <w:rPr>
          <w:color w:val="auto"/>
          <w:lang w:val="en-US" w:eastAsia="zh-CN"/>
        </w:rPr>
      </w:pPr>
      <w:r>
        <w:rPr>
          <w:rFonts w:hint="eastAsia"/>
          <w:color w:val="auto"/>
          <w:lang w:val="en-US" w:eastAsia="zh-CN"/>
        </w:rPr>
        <w:t>5</w:t>
      </w:r>
      <w:r>
        <w:rPr>
          <w:color w:val="auto"/>
          <w:lang w:val="en-US" w:eastAsia="zh-CN"/>
        </w:rPr>
        <w:t>.1.</w:t>
      </w:r>
      <w:r>
        <w:rPr>
          <w:rFonts w:hint="eastAsia"/>
          <w:color w:val="auto"/>
          <w:lang w:val="en-US" w:eastAsia="zh-CN"/>
        </w:rPr>
        <w:t>1</w:t>
      </w:r>
      <w:r>
        <w:rPr>
          <w:color w:val="auto"/>
          <w:lang w:val="en-US" w:eastAsia="zh-CN"/>
        </w:rPr>
        <w:t>.</w:t>
      </w:r>
      <w:r>
        <w:rPr>
          <w:rFonts w:hint="eastAsia"/>
          <w:color w:val="auto"/>
          <w:lang w:val="en-US" w:eastAsia="zh-CN"/>
        </w:rPr>
        <w:t xml:space="preserve">3 </w:t>
      </w:r>
      <w:r>
        <w:rPr>
          <w:color w:val="auto"/>
          <w:lang w:val="en-US" w:eastAsia="zh-CN"/>
        </w:rPr>
        <w:t>对植被的影响分析</w:t>
      </w:r>
    </w:p>
    <w:p w14:paraId="30A090E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snapToGrid w:val="0"/>
          <w:color w:val="auto"/>
          <w:kern w:val="2"/>
          <w:sz w:val="24"/>
          <w:szCs w:val="20"/>
          <w:highlight w:val="none"/>
          <w:lang w:val="en-US" w:eastAsia="zh-CN" w:bidi="ar-SA"/>
        </w:rPr>
      </w:pPr>
      <w:r>
        <w:rPr>
          <w:rFonts w:hint="eastAsia" w:ascii="Times New Roman" w:hAnsi="Times New Roman" w:eastAsia="宋体" w:cs="Times New Roman"/>
          <w:snapToGrid/>
          <w:color w:val="auto"/>
          <w:kern w:val="2"/>
          <w:sz w:val="24"/>
          <w:szCs w:val="24"/>
          <w:lang w:val="en-US" w:eastAsia="zh-CN" w:bidi="ar-SA"/>
        </w:rPr>
        <w:t>本工程</w:t>
      </w:r>
      <w:r>
        <w:rPr>
          <w:rFonts w:hint="eastAsia" w:cs="Times New Roman"/>
          <w:snapToGrid/>
          <w:color w:val="auto"/>
          <w:kern w:val="2"/>
          <w:sz w:val="24"/>
          <w:szCs w:val="24"/>
          <w:lang w:val="en-US" w:eastAsia="zh-CN" w:bidi="ar-SA"/>
        </w:rPr>
        <w:t>施工</w:t>
      </w:r>
      <w:r>
        <w:rPr>
          <w:rFonts w:hint="eastAsia" w:ascii="Times New Roman" w:hAnsi="Times New Roman" w:eastAsia="宋体" w:cs="Times New Roman"/>
          <w:snapToGrid/>
          <w:color w:val="auto"/>
          <w:kern w:val="2"/>
          <w:sz w:val="24"/>
          <w:szCs w:val="24"/>
          <w:lang w:val="en-US" w:eastAsia="zh-CN" w:bidi="ar-SA"/>
        </w:rPr>
        <w:t>建设是造成植被破坏的主要原因，此外，施工人员活动也会对项目植被造成一定的影响。本工程对植被的影响主要影响形式是对土地的占用以及施工阶段清场过程中对地表植被的清理及施工过程中的</w:t>
      </w:r>
      <w:r>
        <w:rPr>
          <w:rFonts w:hint="eastAsia" w:cs="Times New Roman"/>
          <w:snapToGrid/>
          <w:color w:val="auto"/>
          <w:kern w:val="2"/>
          <w:sz w:val="24"/>
          <w:szCs w:val="24"/>
          <w:lang w:val="en-US" w:eastAsia="zh-CN" w:bidi="ar-SA"/>
        </w:rPr>
        <w:t>碾压</w:t>
      </w:r>
      <w:r>
        <w:rPr>
          <w:rFonts w:hint="eastAsia" w:ascii="Times New Roman" w:hAnsi="Times New Roman" w:eastAsia="宋体" w:cs="Times New Roman"/>
          <w:snapToGrid/>
          <w:color w:val="auto"/>
          <w:kern w:val="2"/>
          <w:sz w:val="24"/>
          <w:szCs w:val="24"/>
          <w:lang w:val="en-US" w:eastAsia="zh-CN" w:bidi="ar-SA"/>
        </w:rPr>
        <w:t>。</w:t>
      </w:r>
      <w:r>
        <w:rPr>
          <w:rFonts w:hint="eastAsia" w:cs="Times New Roman"/>
          <w:snapToGrid/>
          <w:color w:val="auto"/>
          <w:kern w:val="2"/>
          <w:sz w:val="24"/>
          <w:szCs w:val="24"/>
          <w:lang w:val="en-US" w:eastAsia="zh-CN" w:bidi="ar-SA"/>
        </w:rPr>
        <w:t>站场</w:t>
      </w:r>
      <w:r>
        <w:rPr>
          <w:rFonts w:hint="eastAsia" w:ascii="Times New Roman" w:hAnsi="Times New Roman" w:eastAsia="宋体" w:cs="Times New Roman"/>
          <w:snapToGrid/>
          <w:color w:val="auto"/>
          <w:kern w:val="2"/>
          <w:sz w:val="24"/>
          <w:szCs w:val="24"/>
          <w:lang w:val="en-US" w:eastAsia="zh-CN" w:bidi="ar-SA"/>
        </w:rPr>
        <w:t>施工过程中有部分地表土地被各种构筑物或砾石覆盖，工程结束后土地重新回到原来的自然状态，但地表植被及地表结构却发生了较大的变化。地表保护层被破坏后，其稳定性下降，防止</w:t>
      </w:r>
      <w:r>
        <w:rPr>
          <w:rFonts w:hint="eastAsia" w:ascii="Times New Roman" w:hAnsi="Times New Roman" w:eastAsia="宋体" w:cs="Times New Roman"/>
          <w:snapToGrid/>
          <w:color w:val="auto"/>
          <w:kern w:val="2"/>
          <w:sz w:val="24"/>
          <w:szCs w:val="24"/>
          <w:highlight w:val="none"/>
          <w:lang w:val="en-US" w:eastAsia="zh-CN" w:bidi="ar-SA"/>
        </w:rPr>
        <w:t>水土流失的能力也随之下降。</w:t>
      </w:r>
      <w:r>
        <w:rPr>
          <w:rFonts w:ascii="Times New Roman" w:hAnsi="Times New Roman" w:eastAsia="宋体" w:cs="Times New Roman"/>
          <w:snapToGrid w:val="0"/>
          <w:color w:val="auto"/>
          <w:kern w:val="2"/>
          <w:sz w:val="24"/>
          <w:szCs w:val="20"/>
          <w:highlight w:val="none"/>
          <w:lang w:val="en-US" w:eastAsia="zh-CN" w:bidi="ar-SA"/>
        </w:rPr>
        <w:t>在</w:t>
      </w:r>
      <w:r>
        <w:rPr>
          <w:rFonts w:hint="eastAsia" w:cs="Times New Roman"/>
          <w:snapToGrid w:val="0"/>
          <w:color w:val="auto"/>
          <w:kern w:val="2"/>
          <w:sz w:val="24"/>
          <w:szCs w:val="20"/>
          <w:highlight w:val="none"/>
          <w:lang w:val="en-US" w:eastAsia="zh-CN" w:bidi="ar-SA"/>
        </w:rPr>
        <w:t>油田</w:t>
      </w:r>
      <w:r>
        <w:rPr>
          <w:rFonts w:ascii="Times New Roman" w:hAnsi="Times New Roman" w:eastAsia="宋体" w:cs="Times New Roman"/>
          <w:snapToGrid w:val="0"/>
          <w:color w:val="auto"/>
          <w:kern w:val="2"/>
          <w:sz w:val="24"/>
          <w:szCs w:val="20"/>
          <w:highlight w:val="none"/>
          <w:lang w:val="en-US" w:eastAsia="zh-CN" w:bidi="ar-SA"/>
        </w:rPr>
        <w:t>开发初期植被破坏后不易恢复</w:t>
      </w:r>
      <w:r>
        <w:rPr>
          <w:rFonts w:hint="eastAsia" w:ascii="Times New Roman" w:hAnsi="Times New Roman" w:eastAsia="宋体" w:cs="Times New Roman"/>
          <w:snapToGrid w:val="0"/>
          <w:color w:val="auto"/>
          <w:kern w:val="2"/>
          <w:sz w:val="24"/>
          <w:szCs w:val="20"/>
          <w:highlight w:val="none"/>
          <w:lang w:val="en-US" w:eastAsia="zh-CN" w:bidi="ar-SA"/>
        </w:rPr>
        <w:t>。</w:t>
      </w:r>
    </w:p>
    <w:p w14:paraId="4CB17D3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snapToGrid w:val="0"/>
          <w:color w:val="auto"/>
          <w:kern w:val="2"/>
          <w:sz w:val="24"/>
          <w:szCs w:val="20"/>
          <w:highlight w:val="none"/>
          <w:lang w:val="en-US" w:eastAsia="zh-CN" w:bidi="ar-SA"/>
        </w:rPr>
      </w:pPr>
      <w:bookmarkStart w:id="619" w:name="OLE_LINK291"/>
      <w:r>
        <w:rPr>
          <w:rFonts w:hint="eastAsia" w:ascii="Times New Roman" w:hAnsi="Times New Roman" w:eastAsia="宋体" w:cs="Times New Roman"/>
          <w:snapToGrid w:val="0"/>
          <w:color w:val="auto"/>
          <w:kern w:val="2"/>
          <w:sz w:val="24"/>
          <w:szCs w:val="20"/>
          <w:highlight w:val="none"/>
          <w:lang w:val="en-US" w:eastAsia="zh-CN" w:bidi="ar-SA"/>
        </w:rPr>
        <w:t>本工程总占地面积约</w:t>
      </w:r>
      <w:r>
        <w:rPr>
          <w:rFonts w:hint="eastAsia" w:cs="Times New Roman"/>
          <w:snapToGrid w:val="0"/>
          <w:color w:val="auto"/>
          <w:kern w:val="2"/>
          <w:sz w:val="24"/>
          <w:szCs w:val="20"/>
          <w:highlight w:val="none"/>
          <w:lang w:val="en-US" w:eastAsia="zh-CN" w:bidi="ar-SA"/>
        </w:rPr>
        <w:t>27.22</w:t>
      </w:r>
      <w:r>
        <w:rPr>
          <w:rFonts w:hint="eastAsia" w:ascii="Times New Roman" w:hAnsi="Times New Roman" w:eastAsia="宋体" w:cs="Times New Roman"/>
          <w:snapToGrid w:val="0"/>
          <w:color w:val="auto"/>
          <w:kern w:val="2"/>
          <w:sz w:val="24"/>
          <w:szCs w:val="20"/>
          <w:highlight w:val="none"/>
          <w:lang w:val="en-US" w:eastAsia="zh-CN" w:bidi="ar-SA"/>
        </w:rPr>
        <w:t>hm</w:t>
      </w:r>
      <w:r>
        <w:rPr>
          <w:rFonts w:hint="eastAsia" w:ascii="Times New Roman" w:hAnsi="Times New Roman" w:eastAsia="宋体" w:cs="Times New Roman"/>
          <w:snapToGrid w:val="0"/>
          <w:color w:val="auto"/>
          <w:kern w:val="2"/>
          <w:sz w:val="24"/>
          <w:szCs w:val="20"/>
          <w:highlight w:val="none"/>
          <w:vertAlign w:val="superscript"/>
          <w:lang w:val="en-US" w:eastAsia="zh-CN" w:bidi="ar-SA"/>
        </w:rPr>
        <w:t>2</w:t>
      </w:r>
      <w:r>
        <w:rPr>
          <w:rFonts w:hint="eastAsia" w:ascii="Times New Roman" w:hAnsi="Times New Roman" w:eastAsia="宋体" w:cs="Times New Roman"/>
          <w:snapToGrid w:val="0"/>
          <w:color w:val="auto"/>
          <w:kern w:val="2"/>
          <w:sz w:val="24"/>
          <w:szCs w:val="20"/>
          <w:highlight w:val="none"/>
          <w:lang w:val="en-US" w:eastAsia="zh-CN" w:bidi="ar-SA"/>
        </w:rPr>
        <w:t>，其中：永久性占地面积约</w:t>
      </w:r>
      <w:r>
        <w:rPr>
          <w:rFonts w:hint="eastAsia" w:cs="Times New Roman"/>
          <w:snapToGrid w:val="0"/>
          <w:color w:val="auto"/>
          <w:kern w:val="2"/>
          <w:sz w:val="24"/>
          <w:szCs w:val="20"/>
          <w:highlight w:val="none"/>
          <w:lang w:val="en-US" w:eastAsia="zh-CN" w:bidi="ar-SA"/>
        </w:rPr>
        <w:t>2.52</w:t>
      </w:r>
      <w:r>
        <w:rPr>
          <w:rFonts w:hint="eastAsia" w:ascii="Times New Roman" w:hAnsi="Times New Roman" w:eastAsia="宋体" w:cs="Times New Roman"/>
          <w:snapToGrid w:val="0"/>
          <w:color w:val="auto"/>
          <w:kern w:val="2"/>
          <w:sz w:val="24"/>
          <w:szCs w:val="20"/>
          <w:highlight w:val="none"/>
          <w:lang w:val="en-US" w:eastAsia="zh-CN" w:bidi="ar-SA"/>
        </w:rPr>
        <w:t>hm</w:t>
      </w:r>
      <w:r>
        <w:rPr>
          <w:rFonts w:hint="eastAsia" w:ascii="Times New Roman" w:hAnsi="Times New Roman" w:eastAsia="宋体" w:cs="Times New Roman"/>
          <w:snapToGrid w:val="0"/>
          <w:color w:val="auto"/>
          <w:kern w:val="2"/>
          <w:sz w:val="24"/>
          <w:szCs w:val="20"/>
          <w:highlight w:val="none"/>
          <w:vertAlign w:val="superscript"/>
          <w:lang w:val="en-US" w:eastAsia="zh-CN" w:bidi="ar-SA"/>
        </w:rPr>
        <w:t>2</w:t>
      </w:r>
      <w:r>
        <w:rPr>
          <w:rFonts w:hint="eastAsia" w:ascii="Times New Roman" w:hAnsi="Times New Roman" w:eastAsia="宋体" w:cs="Times New Roman"/>
          <w:snapToGrid w:val="0"/>
          <w:color w:val="auto"/>
          <w:kern w:val="2"/>
          <w:sz w:val="24"/>
          <w:szCs w:val="20"/>
          <w:highlight w:val="none"/>
          <w:lang w:val="en-US" w:eastAsia="zh-CN" w:bidi="ar-SA"/>
        </w:rPr>
        <w:t>，临时占地面积约</w:t>
      </w:r>
      <w:r>
        <w:rPr>
          <w:rFonts w:hint="eastAsia" w:cs="Times New Roman"/>
          <w:snapToGrid w:val="0"/>
          <w:color w:val="auto"/>
          <w:kern w:val="2"/>
          <w:sz w:val="24"/>
          <w:szCs w:val="20"/>
          <w:highlight w:val="none"/>
          <w:lang w:val="en-US" w:eastAsia="zh-CN" w:bidi="ar-SA"/>
        </w:rPr>
        <w:t>24.7</w:t>
      </w:r>
      <w:r>
        <w:rPr>
          <w:rFonts w:hint="eastAsia" w:ascii="Times New Roman" w:hAnsi="Times New Roman" w:eastAsia="宋体" w:cs="Times New Roman"/>
          <w:snapToGrid w:val="0"/>
          <w:color w:val="auto"/>
          <w:kern w:val="2"/>
          <w:sz w:val="24"/>
          <w:szCs w:val="20"/>
          <w:highlight w:val="none"/>
          <w:lang w:val="en-US" w:eastAsia="zh-CN" w:bidi="ar-SA"/>
        </w:rPr>
        <w:t>hm</w:t>
      </w:r>
      <w:r>
        <w:rPr>
          <w:rFonts w:hint="eastAsia" w:ascii="Times New Roman" w:hAnsi="Times New Roman" w:eastAsia="宋体" w:cs="Times New Roman"/>
          <w:snapToGrid w:val="0"/>
          <w:color w:val="auto"/>
          <w:kern w:val="2"/>
          <w:sz w:val="24"/>
          <w:szCs w:val="20"/>
          <w:highlight w:val="none"/>
          <w:vertAlign w:val="superscript"/>
          <w:lang w:val="en-US" w:eastAsia="zh-CN" w:bidi="ar-SA"/>
        </w:rPr>
        <w:t>2</w:t>
      </w:r>
      <w:r>
        <w:rPr>
          <w:rFonts w:hint="eastAsia" w:ascii="Times New Roman" w:hAnsi="Times New Roman" w:eastAsia="宋体" w:cs="Times New Roman"/>
          <w:snapToGrid w:val="0"/>
          <w:color w:val="auto"/>
          <w:kern w:val="2"/>
          <w:sz w:val="24"/>
          <w:szCs w:val="20"/>
          <w:highlight w:val="none"/>
          <w:lang w:val="en-US" w:eastAsia="zh-CN" w:bidi="ar-SA"/>
        </w:rPr>
        <w:t>，工程占地类型为天然牧草地。在</w:t>
      </w:r>
      <w:r>
        <w:rPr>
          <w:rFonts w:hint="eastAsia" w:cs="Times New Roman"/>
          <w:snapToGrid w:val="0"/>
          <w:color w:val="auto"/>
          <w:kern w:val="2"/>
          <w:sz w:val="24"/>
          <w:szCs w:val="20"/>
          <w:highlight w:val="none"/>
          <w:lang w:val="en-US" w:eastAsia="zh-CN" w:bidi="ar-SA"/>
        </w:rPr>
        <w:t>油田</w:t>
      </w:r>
      <w:r>
        <w:rPr>
          <w:rFonts w:hint="eastAsia" w:ascii="Times New Roman" w:hAnsi="Times New Roman" w:eastAsia="宋体" w:cs="Times New Roman"/>
          <w:snapToGrid w:val="0"/>
          <w:color w:val="auto"/>
          <w:kern w:val="2"/>
          <w:sz w:val="24"/>
          <w:szCs w:val="20"/>
          <w:highlight w:val="none"/>
          <w:lang w:val="en-US" w:eastAsia="zh-CN" w:bidi="ar-SA"/>
        </w:rPr>
        <w:t>开发初期的2～3年中，将影响占地范围之内的植被初级生产力。根据《陆地石油石油开采建设项目环境影响评价技术导则》中对荒漠化生物生产量的量化指标，项目位于荒漠地区，属于强烈发展的荒漠化，按照生物生产量按照1.1t/</w:t>
      </w:r>
      <w:r>
        <w:rPr>
          <w:rFonts w:hint="eastAsia" w:cs="Times New Roman"/>
          <w:snapToGrid w:val="0"/>
          <w:color w:val="auto"/>
          <w:kern w:val="2"/>
          <w:sz w:val="24"/>
          <w:szCs w:val="20"/>
          <w:highlight w:val="none"/>
          <w:lang w:val="en-US" w:eastAsia="zh-CN" w:bidi="ar-SA"/>
        </w:rPr>
        <w:t>（</w:t>
      </w:r>
      <w:r>
        <w:rPr>
          <w:rFonts w:hint="eastAsia" w:ascii="Times New Roman" w:hAnsi="Times New Roman" w:eastAsia="宋体" w:cs="Times New Roman"/>
          <w:snapToGrid w:val="0"/>
          <w:color w:val="auto"/>
          <w:kern w:val="2"/>
          <w:sz w:val="24"/>
          <w:szCs w:val="20"/>
          <w:highlight w:val="none"/>
          <w:lang w:val="en-US" w:eastAsia="zh-CN" w:bidi="ar-SA"/>
        </w:rPr>
        <w:t>hm</w:t>
      </w:r>
      <w:r>
        <w:rPr>
          <w:rFonts w:hint="eastAsia" w:ascii="Times New Roman" w:hAnsi="Times New Roman" w:eastAsia="宋体" w:cs="Times New Roman"/>
          <w:snapToGrid w:val="0"/>
          <w:color w:val="auto"/>
          <w:kern w:val="2"/>
          <w:sz w:val="24"/>
          <w:szCs w:val="20"/>
          <w:highlight w:val="none"/>
          <w:vertAlign w:val="superscript"/>
          <w:lang w:val="en-US" w:eastAsia="zh-CN" w:bidi="ar-SA"/>
        </w:rPr>
        <w:t>2</w:t>
      </w:r>
      <w:r>
        <w:rPr>
          <w:rFonts w:hint="eastAsia" w:ascii="Times New Roman" w:hAnsi="Times New Roman" w:eastAsia="宋体" w:cs="Times New Roman"/>
          <w:snapToGrid w:val="0"/>
          <w:color w:val="auto"/>
          <w:kern w:val="2"/>
          <w:sz w:val="24"/>
          <w:szCs w:val="20"/>
          <w:highlight w:val="none"/>
          <w:lang w:val="en-US" w:eastAsia="zh-CN" w:bidi="ar-SA"/>
        </w:rPr>
        <w:t>·a</w:t>
      </w:r>
      <w:r>
        <w:rPr>
          <w:rFonts w:hint="eastAsia" w:cs="Times New Roman"/>
          <w:snapToGrid w:val="0"/>
          <w:color w:val="auto"/>
          <w:kern w:val="2"/>
          <w:sz w:val="24"/>
          <w:szCs w:val="20"/>
          <w:highlight w:val="none"/>
          <w:lang w:val="en-US" w:eastAsia="zh-CN" w:bidi="ar-SA"/>
        </w:rPr>
        <w:t>）</w:t>
      </w:r>
      <w:r>
        <w:rPr>
          <w:rFonts w:hint="eastAsia" w:ascii="Times New Roman" w:hAnsi="Times New Roman" w:eastAsia="宋体" w:cs="Times New Roman"/>
          <w:snapToGrid w:val="0"/>
          <w:color w:val="auto"/>
          <w:kern w:val="2"/>
          <w:sz w:val="24"/>
          <w:szCs w:val="20"/>
          <w:highlight w:val="none"/>
          <w:lang w:val="en-US" w:eastAsia="zh-CN" w:bidi="ar-SA"/>
        </w:rPr>
        <w:t>计算，永久占地生物损失量约为</w:t>
      </w:r>
      <w:r>
        <w:rPr>
          <w:rFonts w:hint="eastAsia" w:cs="Times New Roman"/>
          <w:snapToGrid w:val="0"/>
          <w:color w:val="auto"/>
          <w:kern w:val="2"/>
          <w:sz w:val="24"/>
          <w:szCs w:val="20"/>
          <w:highlight w:val="none"/>
          <w:lang w:val="en-US" w:eastAsia="zh-CN" w:bidi="ar-SA"/>
        </w:rPr>
        <w:t>2.772</w:t>
      </w:r>
      <w:r>
        <w:rPr>
          <w:rFonts w:hint="eastAsia" w:ascii="Times New Roman" w:hAnsi="Times New Roman" w:eastAsia="宋体" w:cs="Times New Roman"/>
          <w:snapToGrid w:val="0"/>
          <w:color w:val="auto"/>
          <w:kern w:val="2"/>
          <w:sz w:val="24"/>
          <w:szCs w:val="20"/>
          <w:highlight w:val="none"/>
          <w:lang w:val="en-US" w:eastAsia="zh-CN" w:bidi="ar-SA"/>
        </w:rPr>
        <w:t>t，临时占地生物损失量约为</w:t>
      </w:r>
      <w:r>
        <w:rPr>
          <w:rFonts w:hint="eastAsia" w:cs="Times New Roman"/>
          <w:snapToGrid w:val="0"/>
          <w:color w:val="auto"/>
          <w:kern w:val="2"/>
          <w:sz w:val="24"/>
          <w:szCs w:val="20"/>
          <w:highlight w:val="none"/>
          <w:lang w:val="en-US" w:eastAsia="zh-CN" w:bidi="ar-SA"/>
        </w:rPr>
        <w:t>27.17</w:t>
      </w:r>
      <w:r>
        <w:rPr>
          <w:rFonts w:hint="eastAsia" w:ascii="Times New Roman" w:hAnsi="Times New Roman" w:eastAsia="宋体" w:cs="Times New Roman"/>
          <w:snapToGrid w:val="0"/>
          <w:color w:val="auto"/>
          <w:kern w:val="2"/>
          <w:sz w:val="24"/>
          <w:szCs w:val="20"/>
          <w:highlight w:val="none"/>
          <w:lang w:val="en-US" w:eastAsia="zh-CN" w:bidi="ar-SA"/>
        </w:rPr>
        <w:t>t，当临时性占地的植被得到初步恢复后，这种损失将逐渐减少。</w:t>
      </w:r>
    </w:p>
    <w:bookmarkEnd w:id="619"/>
    <w:p w14:paraId="23BE57E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eastAsia="宋体" w:cs="Times New Roman"/>
          <w:snapToGrid w:val="0"/>
          <w:color w:val="auto"/>
          <w:kern w:val="2"/>
          <w:sz w:val="24"/>
          <w:szCs w:val="20"/>
          <w:lang w:val="en-US" w:eastAsia="zh-CN" w:bidi="ar-SA"/>
        </w:rPr>
      </w:pPr>
      <w:r>
        <w:rPr>
          <w:rFonts w:ascii="Times New Roman" w:hAnsi="Times New Roman" w:eastAsia="宋体" w:cs="Times New Roman"/>
          <w:snapToGrid w:val="0"/>
          <w:color w:val="auto"/>
          <w:kern w:val="2"/>
          <w:sz w:val="24"/>
          <w:szCs w:val="20"/>
          <w:lang w:val="en-US" w:eastAsia="zh-CN" w:bidi="ar-SA"/>
        </w:rPr>
        <w:t>（1）扬尘对植被的影响</w:t>
      </w:r>
    </w:p>
    <w:p w14:paraId="49D5FB7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eastAsia="宋体" w:cs="Times New Roman"/>
          <w:snapToGrid w:val="0"/>
          <w:color w:val="auto"/>
          <w:kern w:val="2"/>
          <w:sz w:val="24"/>
          <w:szCs w:val="20"/>
          <w:lang w:val="en-US" w:eastAsia="zh-CN" w:bidi="ar-SA"/>
        </w:rPr>
      </w:pPr>
      <w:r>
        <w:rPr>
          <w:rFonts w:hint="eastAsia" w:ascii="Times New Roman" w:hAnsi="Times New Roman" w:eastAsia="宋体" w:cs="Times New Roman"/>
          <w:snapToGrid w:val="0"/>
          <w:color w:val="auto"/>
          <w:kern w:val="2"/>
          <w:sz w:val="24"/>
          <w:szCs w:val="20"/>
          <w:lang w:val="en-US" w:eastAsia="zh-CN" w:bidi="ar-SA"/>
        </w:rPr>
        <w:t>工程</w:t>
      </w:r>
      <w:r>
        <w:rPr>
          <w:rFonts w:ascii="Times New Roman" w:hAnsi="Times New Roman" w:eastAsia="宋体" w:cs="Times New Roman"/>
          <w:snapToGrid w:val="0"/>
          <w:color w:val="auto"/>
          <w:kern w:val="2"/>
          <w:sz w:val="24"/>
          <w:szCs w:val="20"/>
          <w:lang w:val="en-US" w:eastAsia="zh-CN" w:bidi="ar-SA"/>
        </w:rPr>
        <w:t>开发建设中的扬尘是对植被生长产生影响的因素之一，扬尘产生的颗粒物质在植物地上器官</w:t>
      </w:r>
      <w:r>
        <w:rPr>
          <w:rFonts w:hint="eastAsia" w:cs="Times New Roman"/>
          <w:snapToGrid w:val="0"/>
          <w:color w:val="auto"/>
          <w:kern w:val="2"/>
          <w:sz w:val="24"/>
          <w:szCs w:val="20"/>
          <w:lang w:val="en-US" w:eastAsia="zh-CN" w:bidi="ar-SA"/>
        </w:rPr>
        <w:t>（</w:t>
      </w:r>
      <w:r>
        <w:rPr>
          <w:rFonts w:ascii="Times New Roman" w:hAnsi="Times New Roman" w:eastAsia="宋体" w:cs="Times New Roman"/>
          <w:snapToGrid w:val="0"/>
          <w:color w:val="auto"/>
          <w:kern w:val="2"/>
          <w:sz w:val="24"/>
          <w:szCs w:val="20"/>
          <w:lang w:val="en-US" w:eastAsia="zh-CN" w:bidi="ar-SA"/>
        </w:rPr>
        <w:t>叶、茎、花和果实</w:t>
      </w:r>
      <w:r>
        <w:rPr>
          <w:rFonts w:hint="eastAsia" w:cs="Times New Roman"/>
          <w:snapToGrid w:val="0"/>
          <w:color w:val="auto"/>
          <w:kern w:val="2"/>
          <w:sz w:val="24"/>
          <w:szCs w:val="20"/>
          <w:lang w:val="en-US" w:eastAsia="zh-CN" w:bidi="ar-SA"/>
        </w:rPr>
        <w:t>）</w:t>
      </w:r>
      <w:r>
        <w:rPr>
          <w:rFonts w:ascii="Times New Roman" w:hAnsi="Times New Roman" w:eastAsia="宋体" w:cs="Times New Roman"/>
          <w:snapToGrid w:val="0"/>
          <w:color w:val="auto"/>
          <w:kern w:val="2"/>
          <w:sz w:val="24"/>
          <w:szCs w:val="20"/>
          <w:lang w:val="en-US" w:eastAsia="zh-CN" w:bidi="ar-SA"/>
        </w:rPr>
        <w:t>沉降将对植物产生直接影响。沉降物在植物表面的扬尘以干粉尘、泥膜等形式累积，植物表面上的沉降物覆盖层阻塞气孔，导致气体交换减少，叶片温度升高，光合作用下降，叶片黄化干缩，植物的干物质生产受到影响。一般情况下，大范围内很低浓度的颗粒物慢性沉降不至于对自然生态系统产生不利影响，只有当颗粒物的沉降速率很高时才会造成生态问题。但对植物的伤害程度还取决于周围的环境及地形。</w:t>
      </w:r>
    </w:p>
    <w:p w14:paraId="6AFC7C1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eastAsia="宋体" w:cs="Times New Roman"/>
          <w:snapToGrid w:val="0"/>
          <w:color w:val="auto"/>
          <w:kern w:val="2"/>
          <w:sz w:val="24"/>
          <w:szCs w:val="20"/>
          <w:lang w:val="en-US" w:eastAsia="zh-CN" w:bidi="ar-SA"/>
        </w:rPr>
      </w:pPr>
      <w:r>
        <w:rPr>
          <w:rFonts w:ascii="Times New Roman" w:hAnsi="Times New Roman" w:eastAsia="宋体" w:cs="Times New Roman"/>
          <w:snapToGrid w:val="0"/>
          <w:color w:val="auto"/>
          <w:kern w:val="2"/>
          <w:sz w:val="24"/>
          <w:szCs w:val="20"/>
          <w:lang w:val="en-US" w:eastAsia="zh-CN" w:bidi="ar-SA"/>
        </w:rPr>
        <w:t>结合</w:t>
      </w:r>
      <w:r>
        <w:rPr>
          <w:rFonts w:hint="eastAsia" w:ascii="Times New Roman" w:hAnsi="Times New Roman" w:eastAsia="宋体" w:cs="Times New Roman"/>
          <w:snapToGrid w:val="0"/>
          <w:color w:val="auto"/>
          <w:kern w:val="2"/>
          <w:sz w:val="24"/>
          <w:szCs w:val="20"/>
          <w:lang w:val="en-US" w:eastAsia="zh-CN" w:bidi="ar-SA"/>
        </w:rPr>
        <w:t>工程区</w:t>
      </w:r>
      <w:r>
        <w:rPr>
          <w:rFonts w:ascii="Times New Roman" w:hAnsi="Times New Roman" w:eastAsia="宋体" w:cs="Times New Roman"/>
          <w:snapToGrid w:val="0"/>
          <w:color w:val="auto"/>
          <w:kern w:val="2"/>
          <w:sz w:val="24"/>
          <w:szCs w:val="20"/>
          <w:lang w:val="en-US" w:eastAsia="zh-CN" w:bidi="ar-SA"/>
        </w:rPr>
        <w:t>域具体情况分析：该区域多风、少雨、干旱、地形开阔的自然条件使得大气中扬尘易扩散，加之工程施工阶段污染源分散，因此在正常情况下扬尘浓度低，工期短，对植被影响不大。</w:t>
      </w:r>
    </w:p>
    <w:p w14:paraId="054B4F7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eastAsia="宋体" w:cs="Times New Roman"/>
          <w:snapToGrid w:val="0"/>
          <w:color w:val="auto"/>
          <w:kern w:val="2"/>
          <w:sz w:val="24"/>
          <w:szCs w:val="20"/>
          <w:lang w:val="en-US" w:eastAsia="zh-CN" w:bidi="ar-SA"/>
        </w:rPr>
      </w:pPr>
      <w:r>
        <w:rPr>
          <w:rFonts w:ascii="Times New Roman" w:hAnsi="Times New Roman" w:eastAsia="宋体" w:cs="Times New Roman"/>
          <w:snapToGrid w:val="0"/>
          <w:color w:val="auto"/>
          <w:kern w:val="2"/>
          <w:sz w:val="24"/>
          <w:szCs w:val="20"/>
          <w:lang w:val="en-US" w:eastAsia="zh-CN" w:bidi="ar-SA"/>
        </w:rPr>
        <w:t>（2）施工废物对植被的影响</w:t>
      </w:r>
    </w:p>
    <w:p w14:paraId="138737B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eastAsia="宋体" w:cs="Times New Roman"/>
          <w:snapToGrid w:val="0"/>
          <w:color w:val="auto"/>
          <w:kern w:val="2"/>
          <w:sz w:val="24"/>
          <w:szCs w:val="20"/>
          <w:lang w:val="en-US" w:eastAsia="zh-CN" w:bidi="ar-SA"/>
        </w:rPr>
      </w:pPr>
      <w:r>
        <w:rPr>
          <w:rFonts w:hint="eastAsia" w:cs="Times New Roman"/>
          <w:snapToGrid w:val="0"/>
          <w:color w:val="auto"/>
          <w:kern w:val="2"/>
          <w:sz w:val="24"/>
          <w:szCs w:val="20"/>
          <w:lang w:val="en-US" w:eastAsia="zh-CN" w:bidi="ar-SA"/>
        </w:rPr>
        <w:t>站</w:t>
      </w:r>
      <w:r>
        <w:rPr>
          <w:rFonts w:ascii="Times New Roman" w:hAnsi="Times New Roman" w:eastAsia="宋体" w:cs="Times New Roman"/>
          <w:snapToGrid w:val="0"/>
          <w:color w:val="auto"/>
          <w:kern w:val="2"/>
          <w:sz w:val="24"/>
          <w:szCs w:val="20"/>
          <w:lang w:val="en-US" w:eastAsia="zh-CN" w:bidi="ar-SA"/>
        </w:rPr>
        <w:t>场施工过程中产生的建筑垃圾，不及时清理，会压覆生长的植被；在管道工程中，管道防腐是不可缺少的一个重要工序，是防止事故发生的主要保护措施；在施工现场对管线进行防腐处理，不可避免地要有一些防腐材料散落在环境中，对土壤和植被产生一定的影响。其附着在植物体上会阻碍植</w:t>
      </w:r>
      <w:r>
        <w:rPr>
          <w:rFonts w:hint="eastAsia" w:ascii="Times New Roman" w:hAnsi="Times New Roman" w:eastAsia="宋体" w:cs="Times New Roman"/>
          <w:snapToGrid w:val="0"/>
          <w:color w:val="auto"/>
          <w:kern w:val="2"/>
          <w:sz w:val="24"/>
          <w:szCs w:val="20"/>
          <w:lang w:val="en-US" w:eastAsia="zh-CN" w:bidi="ar-SA"/>
        </w:rPr>
        <w:t>物叶片呼吸及光合作用；施工废弃物、塑料袋、矿泉水瓶等生活垃圾的胡乱丢弃会造成白色污染而影响土壤，在大风季节塑料袋被吹挂在植物体上，这样不仅影响景观，亦影响植物的生长。但这种影响是有可能杜绝的，在施工中只要加强环保宣传，就会使这种影响降到最小程度甚至没有。</w:t>
      </w:r>
    </w:p>
    <w:p w14:paraId="3BF2E1E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snapToGrid w:val="0"/>
          <w:color w:val="auto"/>
          <w:kern w:val="2"/>
          <w:sz w:val="24"/>
          <w:szCs w:val="20"/>
          <w:lang w:val="en-US" w:eastAsia="zh-CN" w:bidi="ar-SA"/>
        </w:rPr>
      </w:pPr>
      <w:r>
        <w:rPr>
          <w:rFonts w:hint="default" w:ascii="Times New Roman" w:hAnsi="Times New Roman" w:eastAsia="宋体" w:cs="Times New Roman"/>
          <w:snapToGrid w:val="0"/>
          <w:color w:val="auto"/>
          <w:kern w:val="2"/>
          <w:sz w:val="24"/>
          <w:szCs w:val="20"/>
          <w:lang w:val="en-US" w:eastAsia="zh-CN" w:bidi="ar-SA"/>
        </w:rPr>
        <w:t>（3）施工期人为活动对植被的影响</w:t>
      </w:r>
    </w:p>
    <w:p w14:paraId="267F7B4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snapToGrid w:val="0"/>
          <w:color w:val="auto"/>
          <w:kern w:val="2"/>
          <w:sz w:val="24"/>
          <w:szCs w:val="20"/>
          <w:lang w:val="en-US" w:eastAsia="zh-CN" w:bidi="ar-SA"/>
        </w:rPr>
      </w:pPr>
      <w:r>
        <w:rPr>
          <w:rFonts w:hint="default" w:ascii="Times New Roman" w:hAnsi="Times New Roman" w:eastAsia="宋体" w:cs="Times New Roman"/>
          <w:snapToGrid w:val="0"/>
          <w:color w:val="auto"/>
          <w:kern w:val="2"/>
          <w:sz w:val="24"/>
          <w:szCs w:val="20"/>
          <w:lang w:val="en-US" w:eastAsia="zh-CN" w:bidi="ar-SA"/>
        </w:rPr>
        <w:t>人为活动对植被的影响主要表现为施工人员和作业机械对草本植物的践踏、</w:t>
      </w:r>
      <w:r>
        <w:rPr>
          <w:rFonts w:hint="eastAsia" w:cs="Times New Roman"/>
          <w:snapToGrid w:val="0"/>
          <w:color w:val="auto"/>
          <w:kern w:val="2"/>
          <w:sz w:val="24"/>
          <w:szCs w:val="20"/>
          <w:lang w:val="en-US" w:eastAsia="zh-CN" w:bidi="ar-SA"/>
        </w:rPr>
        <w:t>碾压</w:t>
      </w:r>
      <w:r>
        <w:rPr>
          <w:rFonts w:hint="default" w:ascii="Times New Roman" w:hAnsi="Times New Roman" w:eastAsia="宋体" w:cs="Times New Roman"/>
          <w:snapToGrid w:val="0"/>
          <w:color w:val="auto"/>
          <w:kern w:val="2"/>
          <w:sz w:val="24"/>
          <w:szCs w:val="20"/>
          <w:lang w:val="en-US" w:eastAsia="zh-CN" w:bidi="ar-SA"/>
        </w:rPr>
        <w:t>和灌木植物的砍伐等。从干旱荒漠生态系统的脆弱性角度考虑，原始环境中人类活动的介入，荒漠区单位面积上人口活动密度的增大，将导致荒漠区开发范围</w:t>
      </w:r>
      <w:r>
        <w:rPr>
          <w:rFonts w:hint="eastAsia" w:cs="Times New Roman"/>
          <w:snapToGrid w:val="0"/>
          <w:color w:val="auto"/>
          <w:kern w:val="2"/>
          <w:sz w:val="24"/>
          <w:szCs w:val="20"/>
          <w:lang w:val="en-US" w:eastAsia="zh-CN" w:bidi="ar-SA"/>
        </w:rPr>
        <w:t>（</w:t>
      </w:r>
      <w:r>
        <w:rPr>
          <w:rFonts w:hint="default" w:ascii="Times New Roman" w:hAnsi="Times New Roman" w:eastAsia="宋体" w:cs="Times New Roman"/>
          <w:snapToGrid w:val="0"/>
          <w:color w:val="auto"/>
          <w:kern w:val="2"/>
          <w:sz w:val="24"/>
          <w:szCs w:val="20"/>
          <w:lang w:val="en-US" w:eastAsia="zh-CN" w:bidi="ar-SA"/>
        </w:rPr>
        <w:t>施工范围</w:t>
      </w:r>
      <w:r>
        <w:rPr>
          <w:rFonts w:hint="eastAsia" w:cs="Times New Roman"/>
          <w:snapToGrid w:val="0"/>
          <w:color w:val="auto"/>
          <w:kern w:val="2"/>
          <w:sz w:val="24"/>
          <w:szCs w:val="20"/>
          <w:lang w:val="en-US" w:eastAsia="zh-CN" w:bidi="ar-SA"/>
        </w:rPr>
        <w:t>）</w:t>
      </w:r>
      <w:r>
        <w:rPr>
          <w:rFonts w:hint="default" w:ascii="Times New Roman" w:hAnsi="Times New Roman" w:eastAsia="宋体" w:cs="Times New Roman"/>
          <w:snapToGrid w:val="0"/>
          <w:color w:val="auto"/>
          <w:kern w:val="2"/>
          <w:sz w:val="24"/>
          <w:szCs w:val="20"/>
          <w:lang w:val="en-US" w:eastAsia="zh-CN" w:bidi="ar-SA"/>
        </w:rPr>
        <w:t>内及边缘区域地表土壤被践踏和自然植被覆盖度减少，初级生产力水平下降，使该区域的局部地带荒漠化的可能性增大，形成次生性沙漠化土地。其造成荒漠化的可能有以下几种途径。</w:t>
      </w:r>
    </w:p>
    <w:p w14:paraId="23214B1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snapToGrid w:val="0"/>
          <w:color w:val="auto"/>
          <w:kern w:val="2"/>
          <w:sz w:val="24"/>
          <w:szCs w:val="20"/>
          <w:lang w:val="en-US" w:eastAsia="zh-CN" w:bidi="ar-SA"/>
        </w:rPr>
      </w:pPr>
      <w:r>
        <w:rPr>
          <w:rFonts w:hint="default" w:ascii="Times New Roman" w:hAnsi="Times New Roman" w:cs="Times New Roman"/>
          <w:snapToGrid w:val="0"/>
          <w:color w:val="auto"/>
          <w:kern w:val="2"/>
          <w:sz w:val="24"/>
          <w:szCs w:val="20"/>
          <w:lang w:val="en-US" w:eastAsia="zh-CN" w:bidi="ar-SA"/>
        </w:rPr>
        <w:fldChar w:fldCharType="begin"/>
      </w:r>
      <w:r>
        <w:rPr>
          <w:rFonts w:hint="default" w:ascii="Times New Roman" w:hAnsi="Times New Roman" w:cs="Times New Roman"/>
          <w:snapToGrid w:val="0"/>
          <w:color w:val="auto"/>
          <w:kern w:val="2"/>
          <w:sz w:val="24"/>
          <w:szCs w:val="20"/>
          <w:lang w:val="en-US" w:eastAsia="zh-CN" w:bidi="ar-SA"/>
        </w:rPr>
        <w:instrText xml:space="preserve"> = 1 \* GB3 \* MERGEFORMAT </w:instrText>
      </w:r>
      <w:r>
        <w:rPr>
          <w:rFonts w:hint="default" w:ascii="Times New Roman" w:hAnsi="Times New Roman" w:cs="Times New Roman"/>
          <w:snapToGrid w:val="0"/>
          <w:color w:val="auto"/>
          <w:kern w:val="2"/>
          <w:sz w:val="24"/>
          <w:szCs w:val="20"/>
          <w:lang w:val="en-US" w:eastAsia="zh-CN" w:bidi="ar-SA"/>
        </w:rPr>
        <w:fldChar w:fldCharType="separate"/>
      </w:r>
      <w:r>
        <w:rPr>
          <w:rFonts w:hint="default" w:ascii="Times New Roman" w:hAnsi="Times New Roman" w:cs="Times New Roman"/>
          <w:color w:val="auto"/>
        </w:rPr>
        <w:t>①</w:t>
      </w:r>
      <w:r>
        <w:rPr>
          <w:rFonts w:hint="default" w:ascii="Times New Roman" w:hAnsi="Times New Roman" w:cs="Times New Roman"/>
          <w:snapToGrid w:val="0"/>
          <w:color w:val="auto"/>
          <w:kern w:val="2"/>
          <w:sz w:val="24"/>
          <w:szCs w:val="20"/>
          <w:lang w:val="en-US" w:eastAsia="zh-CN" w:bidi="ar-SA"/>
        </w:rPr>
        <w:fldChar w:fldCharType="end"/>
      </w:r>
      <w:r>
        <w:rPr>
          <w:rFonts w:hint="default" w:ascii="Times New Roman" w:hAnsi="Times New Roman" w:eastAsia="宋体" w:cs="Times New Roman"/>
          <w:snapToGrid w:val="0"/>
          <w:color w:val="auto"/>
          <w:kern w:val="2"/>
          <w:sz w:val="24"/>
          <w:szCs w:val="20"/>
          <w:lang w:val="en-US" w:eastAsia="zh-CN" w:bidi="ar-SA"/>
        </w:rPr>
        <w:t>由于开发及施工过程中人类践踏形成的小面积局部地段的次生裸地，从而增加产生沙化的可能性；其多集中在临时性占地外围50m范围内，这种影响一般为短期性影响，且强度不大，施工结束，这一影响也逐渐消除。</w:t>
      </w:r>
    </w:p>
    <w:p w14:paraId="0BB0D79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snapToGrid w:val="0"/>
          <w:color w:val="auto"/>
          <w:kern w:val="2"/>
          <w:sz w:val="24"/>
          <w:szCs w:val="20"/>
          <w:lang w:val="en-US" w:eastAsia="zh-CN" w:bidi="ar-SA"/>
        </w:rPr>
      </w:pPr>
      <w:r>
        <w:rPr>
          <w:rFonts w:hint="default" w:ascii="Times New Roman" w:hAnsi="Times New Roman" w:cs="Times New Roman"/>
          <w:snapToGrid w:val="0"/>
          <w:color w:val="auto"/>
          <w:kern w:val="2"/>
          <w:sz w:val="24"/>
          <w:szCs w:val="20"/>
          <w:lang w:val="en-US" w:eastAsia="zh-CN" w:bidi="ar-SA"/>
        </w:rPr>
        <w:fldChar w:fldCharType="begin"/>
      </w:r>
      <w:r>
        <w:rPr>
          <w:rFonts w:hint="default" w:ascii="Times New Roman" w:hAnsi="Times New Roman" w:cs="Times New Roman"/>
          <w:snapToGrid w:val="0"/>
          <w:color w:val="auto"/>
          <w:kern w:val="2"/>
          <w:sz w:val="24"/>
          <w:szCs w:val="20"/>
          <w:lang w:val="en-US" w:eastAsia="zh-CN" w:bidi="ar-SA"/>
        </w:rPr>
        <w:instrText xml:space="preserve"> = 2 \* GB3 \* MERGEFORMAT </w:instrText>
      </w:r>
      <w:r>
        <w:rPr>
          <w:rFonts w:hint="default" w:ascii="Times New Roman" w:hAnsi="Times New Roman" w:cs="Times New Roman"/>
          <w:snapToGrid w:val="0"/>
          <w:color w:val="auto"/>
          <w:kern w:val="2"/>
          <w:sz w:val="24"/>
          <w:szCs w:val="20"/>
          <w:lang w:val="en-US" w:eastAsia="zh-CN" w:bidi="ar-SA"/>
        </w:rPr>
        <w:fldChar w:fldCharType="separate"/>
      </w:r>
      <w:r>
        <w:rPr>
          <w:rFonts w:hint="default" w:ascii="Times New Roman" w:hAnsi="Times New Roman" w:cs="Times New Roman"/>
          <w:color w:val="auto"/>
        </w:rPr>
        <w:t>②</w:t>
      </w:r>
      <w:r>
        <w:rPr>
          <w:rFonts w:hint="default" w:ascii="Times New Roman" w:hAnsi="Times New Roman" w:cs="Times New Roman"/>
          <w:snapToGrid w:val="0"/>
          <w:color w:val="auto"/>
          <w:kern w:val="2"/>
          <w:sz w:val="24"/>
          <w:szCs w:val="20"/>
          <w:lang w:val="en-US" w:eastAsia="zh-CN" w:bidi="ar-SA"/>
        </w:rPr>
        <w:fldChar w:fldCharType="end"/>
      </w:r>
      <w:r>
        <w:rPr>
          <w:rFonts w:hint="default" w:ascii="Times New Roman" w:hAnsi="Times New Roman" w:eastAsia="宋体" w:cs="Times New Roman"/>
          <w:snapToGrid w:val="0"/>
          <w:color w:val="auto"/>
          <w:kern w:val="2"/>
          <w:sz w:val="24"/>
          <w:szCs w:val="20"/>
          <w:lang w:val="en-US" w:eastAsia="zh-CN" w:bidi="ar-SA"/>
        </w:rPr>
        <w:t>施工作业中大型机械大面积</w:t>
      </w:r>
      <w:r>
        <w:rPr>
          <w:rFonts w:hint="eastAsia" w:cs="Times New Roman"/>
          <w:snapToGrid w:val="0"/>
          <w:color w:val="auto"/>
          <w:kern w:val="2"/>
          <w:sz w:val="24"/>
          <w:szCs w:val="20"/>
          <w:lang w:val="en-US" w:eastAsia="zh-CN" w:bidi="ar-SA"/>
        </w:rPr>
        <w:t>碾压</w:t>
      </w:r>
      <w:r>
        <w:rPr>
          <w:rFonts w:hint="default" w:ascii="Times New Roman" w:hAnsi="Times New Roman" w:eastAsia="宋体" w:cs="Times New Roman"/>
          <w:snapToGrid w:val="0"/>
          <w:color w:val="auto"/>
          <w:kern w:val="2"/>
          <w:sz w:val="24"/>
          <w:szCs w:val="20"/>
          <w:lang w:val="en-US" w:eastAsia="zh-CN" w:bidi="ar-SA"/>
        </w:rPr>
        <w:t>和翻动地表土壤，造成地表原有结构的破坏，改变了十分脆弱的原有自然生态型，造成施工区外缘区域沙漠化。其影响范围同工程临时占地面积相同，这一破坏需经较长时段才能完全恢复。</w:t>
      </w:r>
    </w:p>
    <w:p w14:paraId="041252B8">
      <w:pPr>
        <w:pStyle w:val="55"/>
        <w:bidi w:val="0"/>
        <w:rPr>
          <w:color w:val="auto"/>
          <w:lang w:val="en-US" w:eastAsia="zh-CN"/>
        </w:rPr>
      </w:pPr>
      <w:r>
        <w:rPr>
          <w:rFonts w:hint="eastAsia"/>
          <w:color w:val="auto"/>
          <w:lang w:val="en-US" w:eastAsia="zh-CN"/>
        </w:rPr>
        <w:t>5</w:t>
      </w:r>
      <w:r>
        <w:rPr>
          <w:color w:val="auto"/>
          <w:lang w:val="en-US" w:eastAsia="zh-CN"/>
        </w:rPr>
        <w:t>.1.</w:t>
      </w:r>
      <w:r>
        <w:rPr>
          <w:rFonts w:hint="eastAsia"/>
          <w:color w:val="auto"/>
          <w:lang w:val="en-US" w:eastAsia="zh-CN"/>
        </w:rPr>
        <w:t>1</w:t>
      </w:r>
      <w:r>
        <w:rPr>
          <w:color w:val="auto"/>
          <w:lang w:val="en-US" w:eastAsia="zh-CN"/>
        </w:rPr>
        <w:t>.</w:t>
      </w:r>
      <w:r>
        <w:rPr>
          <w:rFonts w:hint="eastAsia"/>
          <w:color w:val="auto"/>
          <w:lang w:val="en-US" w:eastAsia="zh-CN"/>
        </w:rPr>
        <w:t xml:space="preserve">4 </w:t>
      </w:r>
      <w:r>
        <w:rPr>
          <w:color w:val="auto"/>
          <w:lang w:val="en-US" w:eastAsia="zh-CN"/>
        </w:rPr>
        <w:t>对野生动物的影响分析</w:t>
      </w:r>
    </w:p>
    <w:p w14:paraId="50ABBEFA">
      <w:pPr>
        <w:pStyle w:val="79"/>
        <w:bidi w:val="0"/>
        <w:rPr>
          <w:rFonts w:hint="eastAsia"/>
          <w:color w:val="auto"/>
          <w:lang w:val="en-US" w:eastAsia="zh-CN"/>
        </w:rPr>
      </w:pPr>
      <w:r>
        <w:rPr>
          <w:rFonts w:hint="eastAsia"/>
          <w:color w:val="auto"/>
          <w:lang w:val="en-US" w:eastAsia="zh-CN"/>
        </w:rPr>
        <w:t>评价范围内为荒漠</w:t>
      </w:r>
      <w:r>
        <w:rPr>
          <w:rFonts w:hint="default"/>
          <w:color w:val="auto"/>
          <w:lang w:val="en-US" w:eastAsia="zh-CN"/>
        </w:rPr>
        <w:t>区</w:t>
      </w:r>
      <w:r>
        <w:rPr>
          <w:rFonts w:hint="eastAsia"/>
          <w:color w:val="auto"/>
          <w:lang w:val="en-US" w:eastAsia="zh-CN"/>
        </w:rPr>
        <w:t>，</w:t>
      </w:r>
      <w:r>
        <w:rPr>
          <w:rFonts w:hint="default"/>
          <w:color w:val="auto"/>
          <w:lang w:val="en-US" w:eastAsia="zh-CN"/>
        </w:rPr>
        <w:t>自然条件十分恶劣，野生动物不易生存，动物极为罕见</w:t>
      </w:r>
      <w:r>
        <w:rPr>
          <w:rFonts w:hint="eastAsia"/>
          <w:color w:val="auto"/>
          <w:lang w:val="en-US" w:eastAsia="zh-CN"/>
        </w:rPr>
        <w:t>，</w:t>
      </w:r>
      <w:r>
        <w:rPr>
          <w:rFonts w:hint="eastAsia"/>
          <w:color w:val="auto"/>
        </w:rPr>
        <w:t>主要野生动物以各种昆虫居多，其次是蜥蜴、鼠类和一些雀类，</w:t>
      </w:r>
      <w:r>
        <w:rPr>
          <w:rFonts w:hint="eastAsia"/>
          <w:color w:val="auto"/>
          <w:lang w:val="en-US" w:eastAsia="zh-CN"/>
        </w:rPr>
        <w:t>没有国家和自治区级保护动物分布。</w:t>
      </w:r>
    </w:p>
    <w:p w14:paraId="3FCA6DD5">
      <w:pPr>
        <w:pStyle w:val="79"/>
        <w:bidi w:val="0"/>
        <w:rPr>
          <w:rFonts w:hint="default"/>
          <w:color w:val="auto"/>
          <w:lang w:val="en-US" w:eastAsia="zh-CN"/>
        </w:rPr>
      </w:pPr>
      <w:r>
        <w:rPr>
          <w:rFonts w:hint="eastAsia"/>
          <w:color w:val="auto"/>
          <w:lang w:val="en-US" w:eastAsia="zh-CN"/>
        </w:rPr>
        <w:t>项目各工程</w:t>
      </w:r>
      <w:r>
        <w:rPr>
          <w:color w:val="auto"/>
          <w:lang w:val="en-US" w:eastAsia="zh-CN"/>
        </w:rPr>
        <w:t>呈点块状（如</w:t>
      </w:r>
      <w:r>
        <w:rPr>
          <w:rFonts w:hint="eastAsia"/>
          <w:color w:val="auto"/>
          <w:lang w:val="en-US" w:eastAsia="zh-CN"/>
        </w:rPr>
        <w:t>：</w:t>
      </w:r>
      <w:r>
        <w:rPr>
          <w:color w:val="auto"/>
          <w:lang w:val="en-US" w:eastAsia="zh-CN"/>
        </w:rPr>
        <w:t>井场</w:t>
      </w:r>
      <w:r>
        <w:rPr>
          <w:rFonts w:hint="eastAsia"/>
          <w:color w:val="auto"/>
          <w:lang w:val="en-US" w:eastAsia="zh-CN"/>
        </w:rPr>
        <w:t>、站场</w:t>
      </w:r>
      <w:r>
        <w:rPr>
          <w:color w:val="auto"/>
          <w:lang w:val="en-US" w:eastAsia="zh-CN"/>
        </w:rPr>
        <w:t>等）和线状（如</w:t>
      </w:r>
      <w:r>
        <w:rPr>
          <w:rFonts w:hint="eastAsia"/>
          <w:color w:val="auto"/>
          <w:lang w:val="en-US" w:eastAsia="zh-CN"/>
        </w:rPr>
        <w:t>：</w:t>
      </w:r>
      <w:r>
        <w:rPr>
          <w:color w:val="auto"/>
          <w:lang w:val="en-US" w:eastAsia="zh-CN"/>
        </w:rPr>
        <w:t>管线）分布</w:t>
      </w:r>
      <w:r>
        <w:rPr>
          <w:rFonts w:hint="eastAsia"/>
          <w:color w:val="auto"/>
          <w:lang w:val="en-US" w:eastAsia="zh-CN"/>
        </w:rPr>
        <w:t>在评价区范围内，施工可能会影响或缩小野生动物的栖息空间和生存环境；施工干扰会使野生动物受到惊吓，也将被迫离开施工区周围的栖息地或活动区域。</w:t>
      </w:r>
      <w:r>
        <w:rPr>
          <w:color w:val="auto"/>
          <w:lang w:val="en-US" w:eastAsia="zh-CN"/>
        </w:rPr>
        <w:t>施工结束后，随着人类活动和占地的减少，原有生境将逐步恢复，野生动物对新环境适应后其活动和分布范围亦将恢复</w:t>
      </w:r>
      <w:r>
        <w:rPr>
          <w:rFonts w:hint="default"/>
          <w:color w:val="auto"/>
          <w:lang w:val="en-US" w:eastAsia="zh-CN"/>
        </w:rPr>
        <w:t>。</w:t>
      </w:r>
    </w:p>
    <w:p w14:paraId="241B8F44">
      <w:pPr>
        <w:pStyle w:val="55"/>
        <w:bidi w:val="0"/>
        <w:rPr>
          <w:color w:val="auto"/>
          <w:lang w:val="en-US" w:eastAsia="zh-CN"/>
        </w:rPr>
      </w:pPr>
      <w:bookmarkStart w:id="620" w:name="OLE_LINK292"/>
      <w:r>
        <w:rPr>
          <w:rFonts w:hint="eastAsia"/>
          <w:color w:val="auto"/>
          <w:lang w:val="en-US" w:eastAsia="zh-CN"/>
        </w:rPr>
        <w:t>5.1.1.5 管线建设对生态环境的影响</w:t>
      </w:r>
    </w:p>
    <w:p w14:paraId="0CC3085F">
      <w:pPr>
        <w:pStyle w:val="79"/>
        <w:bidi w:val="0"/>
        <w:rPr>
          <w:rFonts w:hint="default"/>
          <w:color w:val="auto"/>
          <w:lang w:val="en-US" w:eastAsia="zh-CN"/>
        </w:rPr>
      </w:pPr>
      <w:r>
        <w:rPr>
          <w:rFonts w:hint="default"/>
          <w:color w:val="auto"/>
        </w:rPr>
        <w:t>从管线途经区域两侧各200m评价范围的现状调查结果来看，本项目区地处沙漠</w:t>
      </w:r>
      <w:r>
        <w:rPr>
          <w:rFonts w:hint="eastAsia"/>
          <w:color w:val="auto"/>
          <w:lang w:val="en-US" w:eastAsia="zh-CN"/>
        </w:rPr>
        <w:t>北侧</w:t>
      </w:r>
      <w:r>
        <w:rPr>
          <w:rFonts w:hint="default"/>
          <w:color w:val="auto"/>
        </w:rPr>
        <w:t>，极端干旱的气候和稀疏的植被使得该区域的生物种类贫乏</w:t>
      </w:r>
      <w:r>
        <w:rPr>
          <w:rFonts w:hint="eastAsia"/>
          <w:color w:val="auto"/>
          <w:lang w:eastAsia="zh-CN"/>
        </w:rPr>
        <w:t>。项目区内植被覆盖度在5%～10%左右，少部分管线经过茂密区域可达15%</w:t>
      </w:r>
      <w:r>
        <w:rPr>
          <w:rFonts w:hint="default"/>
          <w:color w:val="auto"/>
        </w:rPr>
        <w:t>。在管道敷设过程中，开挖和回填对土壤的影响主要为：破坏土壤原有结构，混合土壤层次、改变土壤质地；影响土壤养分；影响土壤紧实度；土壤污染；影响土壤物理性质。</w:t>
      </w:r>
      <w:r>
        <w:rPr>
          <w:rFonts w:hint="eastAsia"/>
          <w:color w:val="auto"/>
          <w:lang w:val="en-US" w:eastAsia="zh-CN"/>
        </w:rPr>
        <w:t>对地表植被造成一定损失；管线占地均为临时用地，当临时性占地的植被得到初步恢复后，这种损失将逐渐减少。</w:t>
      </w:r>
    </w:p>
    <w:bookmarkEnd w:id="620"/>
    <w:p w14:paraId="0A331D6F">
      <w:pPr>
        <w:pStyle w:val="55"/>
        <w:bidi w:val="0"/>
        <w:rPr>
          <w:rFonts w:hint="default"/>
          <w:color w:val="auto"/>
          <w:lang w:val="en-US" w:eastAsia="zh-CN"/>
        </w:rPr>
      </w:pPr>
      <w:r>
        <w:rPr>
          <w:rFonts w:hint="eastAsia"/>
          <w:color w:val="auto"/>
          <w:lang w:val="en-US" w:eastAsia="zh-CN"/>
        </w:rPr>
        <w:t xml:space="preserve">5.1.1.6 </w:t>
      </w:r>
      <w:r>
        <w:rPr>
          <w:rFonts w:hint="default"/>
          <w:color w:val="auto"/>
          <w:lang w:val="en-US" w:eastAsia="zh-CN"/>
        </w:rPr>
        <w:t>水土流失的影响分析</w:t>
      </w:r>
    </w:p>
    <w:p w14:paraId="6BF99A21">
      <w:pPr>
        <w:pStyle w:val="79"/>
        <w:bidi w:val="0"/>
        <w:rPr>
          <w:color w:val="auto"/>
        </w:rPr>
      </w:pPr>
      <w:r>
        <w:rPr>
          <w:rFonts w:hint="eastAsia"/>
          <w:color w:val="auto"/>
        </w:rPr>
        <w:t>项目区地面建设工程实施中，会使施工带范围内的土体结构遭到破坏，其范围内的植被也会受到严重破坏甚至被彻底清除，导致风沙作用加剧，因此大规模的石油勘探开发可能促使生态环境进一步恶化。其影响主要表现在以下</w:t>
      </w:r>
      <w:r>
        <w:rPr>
          <w:rFonts w:hint="eastAsia"/>
          <w:color w:val="auto"/>
          <w:lang w:val="en-US" w:eastAsia="zh-CN"/>
        </w:rPr>
        <w:t>几</w:t>
      </w:r>
      <w:r>
        <w:rPr>
          <w:rFonts w:hint="eastAsia"/>
          <w:color w:val="auto"/>
        </w:rPr>
        <w:t>个方面。</w:t>
      </w:r>
    </w:p>
    <w:p w14:paraId="585FED42">
      <w:pPr>
        <w:pStyle w:val="79"/>
        <w:bidi w:val="0"/>
        <w:rPr>
          <w:color w:val="auto"/>
        </w:rPr>
      </w:pPr>
      <w:r>
        <w:rPr>
          <w:rFonts w:hint="eastAsia"/>
          <w:color w:val="auto"/>
        </w:rPr>
        <w:t>（1）土壤粗粒化</w:t>
      </w:r>
    </w:p>
    <w:p w14:paraId="7FA32469">
      <w:pPr>
        <w:pStyle w:val="79"/>
        <w:bidi w:val="0"/>
        <w:rPr>
          <w:color w:val="auto"/>
        </w:rPr>
      </w:pPr>
      <w:r>
        <w:rPr>
          <w:rFonts w:hint="eastAsia"/>
          <w:color w:val="auto"/>
        </w:rPr>
        <w:t>在土壤沙化过程中，当风力作用地表产生风蚀时，便产生风选作用，细粒物质被带走，粗粒物质大部分原地保留下来，从而使土壤颗粒变粗，将未沙化的原始土壤和“就地起沙”形成的风沙土颗粒粒级加以比较，沙化后的风沙土较之原始土壤粗砂和细砂粒显著增加，而粉砂和粘粒粒级减少。</w:t>
      </w:r>
    </w:p>
    <w:p w14:paraId="03CACA5F">
      <w:pPr>
        <w:pStyle w:val="79"/>
        <w:bidi w:val="0"/>
        <w:rPr>
          <w:color w:val="auto"/>
        </w:rPr>
      </w:pPr>
      <w:r>
        <w:rPr>
          <w:rFonts w:hint="eastAsia"/>
          <w:color w:val="auto"/>
        </w:rPr>
        <w:t>（</w:t>
      </w:r>
      <w:r>
        <w:rPr>
          <w:color w:val="auto"/>
        </w:rPr>
        <w:t>2</w:t>
      </w:r>
      <w:r>
        <w:rPr>
          <w:rFonts w:hint="eastAsia"/>
          <w:color w:val="auto"/>
        </w:rPr>
        <w:t>）土壤贫瘠及含盐量变化</w:t>
      </w:r>
    </w:p>
    <w:p w14:paraId="79B54122">
      <w:pPr>
        <w:pStyle w:val="79"/>
        <w:bidi w:val="0"/>
        <w:rPr>
          <w:color w:val="auto"/>
        </w:rPr>
      </w:pPr>
      <w:r>
        <w:rPr>
          <w:rFonts w:hint="eastAsia"/>
          <w:color w:val="auto"/>
        </w:rPr>
        <w:t>沙化引起土壤贫瘠化的原因，一是积累土壤有机质的表层被风吹蚀；二是在风沙化发展过程中，土壤干旱并在高温影响下，有机物质矿化加强，使原来积累的有机物大量分解；三是土壤粗粒化结果。从未沙化原始土壤与沙化地段土壤肥力对比看，土壤有机质和全氮含量随沙漠化增加有所降低，特别是土壤有机质随沙化强度的变化十分明显。磷素和钾素随沙化程度增加，含量无明显差异。土壤中的易溶性盐分是随土壤水分发生移动的，并随着土壤水分蒸发而在地表聚积。由于沙土毛管上升高度低，因此，通过毛管上升水流到达地表而产生的积盐很微弱，另外在土壤受到风蚀沙化时，表土层的盐分有的被吹蚀，有的和含盐轻的底土层发生混合，因而也降低了风沙土壤的盐分含量，据邻近</w:t>
      </w:r>
      <w:r>
        <w:rPr>
          <w:rFonts w:hint="eastAsia"/>
          <w:color w:val="auto"/>
          <w:lang w:val="en-US" w:eastAsia="zh-CN"/>
        </w:rPr>
        <w:t>油田</w:t>
      </w:r>
      <w:r>
        <w:rPr>
          <w:rFonts w:hint="eastAsia"/>
          <w:color w:val="auto"/>
        </w:rPr>
        <w:t>的调查结果表明，随沙化增强，盐分含量降低。</w:t>
      </w:r>
    </w:p>
    <w:p w14:paraId="490D65E5">
      <w:pPr>
        <w:pStyle w:val="79"/>
        <w:bidi w:val="0"/>
        <w:rPr>
          <w:color w:val="auto"/>
        </w:rPr>
      </w:pPr>
      <w:r>
        <w:rPr>
          <w:rFonts w:hint="eastAsia"/>
          <w:color w:val="auto"/>
        </w:rPr>
        <w:t>（3）对油区公路、管线、井场的危害</w:t>
      </w:r>
    </w:p>
    <w:p w14:paraId="41C47EC7">
      <w:pPr>
        <w:pStyle w:val="79"/>
        <w:bidi w:val="0"/>
        <w:rPr>
          <w:rFonts w:hint="eastAsia"/>
          <w:color w:val="auto"/>
          <w:lang w:val="en-US" w:eastAsia="zh-CN"/>
        </w:rPr>
      </w:pPr>
      <w:r>
        <w:rPr>
          <w:rFonts w:hint="eastAsia"/>
          <w:color w:val="auto"/>
        </w:rPr>
        <w:t>评价区内春夏两季为多风季节，尤其是春季大风频繁，沙尘暴天气较多，而此时降水稀少，因而干旱沙质地表的沙层易被风力吹扬，风沙活动可以风蚀公路</w:t>
      </w:r>
      <w:r>
        <w:rPr>
          <w:rFonts w:hint="eastAsia"/>
          <w:color w:val="auto"/>
          <w:lang w:eastAsia="zh-CN"/>
        </w:rPr>
        <w:t>。</w:t>
      </w:r>
      <w:r>
        <w:rPr>
          <w:rFonts w:hint="eastAsia"/>
          <w:color w:val="auto"/>
          <w:lang w:val="en-US" w:eastAsia="zh-CN"/>
        </w:rPr>
        <w:t>在敷设管线下管回填时，回填土高于原地表，由于土质疏松，易被春秋季的大风扬起的沙尘，从而造成水土流失。此外管线穿越冲沟处，水工防护设施设计不当或没有采取水工防护，可能在洪水季节由于水流的冲刷而剥蚀暴露出管线。</w:t>
      </w:r>
    </w:p>
    <w:p w14:paraId="4B852026">
      <w:pPr>
        <w:pStyle w:val="54"/>
        <w:bidi w:val="0"/>
        <w:rPr>
          <w:rFonts w:hint="eastAsia"/>
          <w:color w:val="auto"/>
          <w:lang w:val="en-US" w:eastAsia="zh-CN"/>
        </w:rPr>
      </w:pPr>
      <w:r>
        <w:rPr>
          <w:rFonts w:hint="eastAsia"/>
          <w:color w:val="auto"/>
          <w:lang w:val="en-US" w:eastAsia="zh-CN"/>
        </w:rPr>
        <w:t>5.1.2 运营期生态影响分析</w:t>
      </w:r>
    </w:p>
    <w:p w14:paraId="2B3AC82B">
      <w:pPr>
        <w:pStyle w:val="79"/>
        <w:bidi w:val="0"/>
        <w:rPr>
          <w:rFonts w:hint="eastAsia"/>
          <w:color w:val="auto"/>
        </w:rPr>
      </w:pPr>
      <w:r>
        <w:rPr>
          <w:rFonts w:hint="eastAsia"/>
          <w:color w:val="auto"/>
        </w:rPr>
        <w:t>本</w:t>
      </w:r>
      <w:r>
        <w:rPr>
          <w:rFonts w:hint="eastAsia"/>
          <w:color w:val="auto"/>
          <w:lang w:val="en-US" w:eastAsia="zh-CN"/>
        </w:rPr>
        <w:t>工程</w:t>
      </w:r>
      <w:r>
        <w:rPr>
          <w:rFonts w:hint="eastAsia"/>
          <w:color w:val="auto"/>
        </w:rPr>
        <w:t>运营期对生态环境的影响主要表现在对野生动物、植被等的影响，生态系统完整性影响以及生态景观影响。</w:t>
      </w:r>
    </w:p>
    <w:p w14:paraId="058F4012">
      <w:pPr>
        <w:pStyle w:val="79"/>
        <w:bidi w:val="0"/>
        <w:rPr>
          <w:rFonts w:hint="eastAsia"/>
          <w:color w:val="auto"/>
          <w:lang w:eastAsia="zh-CN"/>
        </w:rPr>
      </w:pPr>
      <w:r>
        <w:rPr>
          <w:rFonts w:hint="eastAsia"/>
          <w:color w:val="auto"/>
          <w:lang w:eastAsia="zh-CN"/>
        </w:rPr>
        <w:t>（</w:t>
      </w:r>
      <w:r>
        <w:rPr>
          <w:rFonts w:hint="eastAsia"/>
          <w:color w:val="auto"/>
          <w:lang w:val="en-US" w:eastAsia="zh-CN"/>
        </w:rPr>
        <w:t>1</w:t>
      </w:r>
      <w:r>
        <w:rPr>
          <w:rFonts w:hint="eastAsia"/>
          <w:color w:val="auto"/>
          <w:lang w:eastAsia="zh-CN"/>
        </w:rPr>
        <w:t>）对土地利用的影响</w:t>
      </w:r>
    </w:p>
    <w:p w14:paraId="52069D70">
      <w:pPr>
        <w:pStyle w:val="79"/>
        <w:bidi w:val="0"/>
        <w:rPr>
          <w:rFonts w:hint="eastAsia"/>
          <w:color w:val="auto"/>
          <w:lang w:eastAsia="zh-CN"/>
        </w:rPr>
      </w:pPr>
      <w:r>
        <w:rPr>
          <w:color w:val="auto"/>
        </w:rPr>
        <w:t>对于永久占地，由于改变了原有</w:t>
      </w:r>
      <w:r>
        <w:rPr>
          <w:rFonts w:hint="eastAsia"/>
          <w:color w:val="auto"/>
          <w:lang w:eastAsia="zh-CN"/>
        </w:rPr>
        <w:t>土地</w:t>
      </w:r>
      <w:r>
        <w:rPr>
          <w:color w:val="auto"/>
        </w:rPr>
        <w:t>利用性质，</w:t>
      </w:r>
      <w:r>
        <w:rPr>
          <w:rFonts w:hint="eastAsia"/>
          <w:color w:val="auto"/>
          <w:lang w:val="en-US" w:eastAsia="zh-CN"/>
        </w:rPr>
        <w:t>天然牧草地</w:t>
      </w:r>
      <w:r>
        <w:rPr>
          <w:rFonts w:hint="eastAsia"/>
          <w:color w:val="auto"/>
        </w:rPr>
        <w:t>等</w:t>
      </w:r>
      <w:r>
        <w:rPr>
          <w:color w:val="auto"/>
        </w:rPr>
        <w:t>区域被构筑物代替。地面基础设施建设完成后，井场</w:t>
      </w:r>
      <w:r>
        <w:rPr>
          <w:rFonts w:hint="eastAsia"/>
          <w:color w:val="auto"/>
          <w:lang w:eastAsia="zh-CN"/>
        </w:rPr>
        <w:t>、</w:t>
      </w:r>
      <w:r>
        <w:rPr>
          <w:rFonts w:hint="eastAsia"/>
          <w:color w:val="auto"/>
          <w:lang w:val="en-US" w:eastAsia="zh-CN"/>
        </w:rPr>
        <w:t>站场</w:t>
      </w:r>
      <w:r>
        <w:rPr>
          <w:color w:val="auto"/>
        </w:rPr>
        <w:t>及各类集输管道处于正常运营状况，不再进一步对环境产生明显的干扰和影响</w:t>
      </w:r>
      <w:r>
        <w:rPr>
          <w:rFonts w:hint="eastAsia"/>
          <w:color w:val="auto"/>
          <w:lang w:eastAsia="zh-CN"/>
        </w:rPr>
        <w:t>。</w:t>
      </w:r>
    </w:p>
    <w:p w14:paraId="1761749E">
      <w:pPr>
        <w:pStyle w:val="79"/>
        <w:bidi w:val="0"/>
        <w:rPr>
          <w:rFonts w:hint="eastAsia"/>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rPr>
        <w:t>对野生动物的影响分析</w:t>
      </w:r>
    </w:p>
    <w:p w14:paraId="2C41EDE0">
      <w:pPr>
        <w:pStyle w:val="79"/>
        <w:bidi w:val="0"/>
        <w:rPr>
          <w:rFonts w:hint="eastAsia"/>
          <w:color w:val="auto"/>
        </w:rPr>
      </w:pPr>
      <w:r>
        <w:rPr>
          <w:rFonts w:hint="eastAsia"/>
          <w:color w:val="auto"/>
        </w:rPr>
        <w:t>运营期车辆运输和机械噪声相对施工期有所减小，人为活动相对施工也有所减少，通过加强管理禁止</w:t>
      </w:r>
      <w:r>
        <w:rPr>
          <w:rFonts w:hint="eastAsia"/>
          <w:color w:val="auto"/>
          <w:lang w:eastAsia="zh-CN"/>
        </w:rPr>
        <w:t>油田</w:t>
      </w:r>
      <w:r>
        <w:rPr>
          <w:rFonts w:hint="eastAsia"/>
          <w:color w:val="auto"/>
        </w:rPr>
        <w:t>职工对野生动物的猎杀，</w:t>
      </w:r>
      <w:r>
        <w:rPr>
          <w:rFonts w:hint="eastAsia"/>
          <w:color w:val="auto"/>
          <w:lang w:eastAsia="zh-CN"/>
        </w:rPr>
        <w:t>本工程</w:t>
      </w:r>
      <w:r>
        <w:rPr>
          <w:rFonts w:hint="eastAsia"/>
          <w:color w:val="auto"/>
        </w:rPr>
        <w:t>运营期的噪声和人为活动对野生动物的影响也相对减小。</w:t>
      </w:r>
    </w:p>
    <w:p w14:paraId="5BEAEAE4">
      <w:pPr>
        <w:pStyle w:val="79"/>
        <w:bidi w:val="0"/>
        <w:rPr>
          <w:rFonts w:hint="eastAsia"/>
          <w:color w:val="auto"/>
        </w:rPr>
      </w:pPr>
      <w:r>
        <w:rPr>
          <w:rFonts w:hint="eastAsia"/>
          <w:color w:val="auto"/>
        </w:rPr>
        <w:t>运营期道路行车主要是</w:t>
      </w:r>
      <w:r>
        <w:rPr>
          <w:rFonts w:hint="eastAsia"/>
          <w:color w:val="auto"/>
          <w:lang w:eastAsia="zh-CN"/>
        </w:rPr>
        <w:t>油田</w:t>
      </w:r>
      <w:r>
        <w:rPr>
          <w:rFonts w:hint="eastAsia"/>
          <w:color w:val="auto"/>
        </w:rPr>
        <w:t>巡线的自备车辆，车流量很小，夜间无车行驶，一般情况下，野生动物会自行规避或适应，不会对野生动物产生明显影响。</w:t>
      </w:r>
    </w:p>
    <w:p w14:paraId="64A1F1C0">
      <w:pPr>
        <w:pStyle w:val="79"/>
        <w:bidi w:val="0"/>
        <w:rPr>
          <w:rFonts w:hint="eastAsia"/>
          <w:color w:val="auto"/>
        </w:rPr>
      </w:pPr>
      <w:r>
        <w:rPr>
          <w:rFonts w:hint="eastAsia"/>
          <w:color w:val="auto"/>
        </w:rPr>
        <w:t>（</w:t>
      </w:r>
      <w:r>
        <w:rPr>
          <w:rFonts w:hint="eastAsia"/>
          <w:color w:val="auto"/>
          <w:lang w:val="en-US" w:eastAsia="zh-CN"/>
        </w:rPr>
        <w:t>3</w:t>
      </w:r>
      <w:r>
        <w:rPr>
          <w:rFonts w:hint="eastAsia"/>
          <w:color w:val="auto"/>
        </w:rPr>
        <w:t>）植被影响分析</w:t>
      </w:r>
    </w:p>
    <w:p w14:paraId="5450F28B">
      <w:pPr>
        <w:pStyle w:val="79"/>
        <w:bidi w:val="0"/>
        <w:rPr>
          <w:color w:val="auto"/>
        </w:rPr>
      </w:pPr>
      <w:r>
        <w:rPr>
          <w:rFonts w:hint="eastAsia"/>
          <w:color w:val="auto"/>
        </w:rPr>
        <w:t>运营期由于占地活动的结束，工程基本不会对植被产生影响，临时占地的植被开始自然恢复，一般在2～3年内开始发生向原生植被群落演替，并逐渐得到恢复。但事故状态如管线泄漏或火灾均会致使泄漏或火灾处局部范围内植被死亡。但事故造成的植被破坏是小范围的，在荒漠地带植被损失量很小。</w:t>
      </w:r>
    </w:p>
    <w:p w14:paraId="0BF01455">
      <w:pPr>
        <w:pStyle w:val="54"/>
        <w:bidi w:val="0"/>
        <w:rPr>
          <w:rFonts w:hint="eastAsia"/>
          <w:color w:val="auto"/>
          <w:lang w:val="en-US" w:eastAsia="zh-CN"/>
        </w:rPr>
      </w:pPr>
      <w:r>
        <w:rPr>
          <w:rFonts w:hint="eastAsia"/>
          <w:color w:val="auto"/>
          <w:lang w:val="en-US" w:eastAsia="zh-CN"/>
        </w:rPr>
        <w:t>5.1.3 退役期生态影响分析</w:t>
      </w:r>
    </w:p>
    <w:p w14:paraId="654ACE8D">
      <w:pPr>
        <w:pStyle w:val="79"/>
        <w:bidi w:val="0"/>
        <w:rPr>
          <w:color w:val="auto"/>
        </w:rPr>
      </w:pPr>
      <w:r>
        <w:rPr>
          <w:rFonts w:hint="eastAsia"/>
          <w:color w:val="auto"/>
        </w:rPr>
        <w:t>随着</w:t>
      </w:r>
      <w:r>
        <w:rPr>
          <w:rFonts w:hint="eastAsia"/>
          <w:color w:val="auto"/>
          <w:lang w:eastAsia="zh-CN"/>
        </w:rPr>
        <w:t>油田</w:t>
      </w:r>
      <w:r>
        <w:rPr>
          <w:rFonts w:hint="eastAsia"/>
          <w:color w:val="auto"/>
        </w:rPr>
        <w:t>开采的不断进行，其储量逐渐下降，最终井区将进入</w:t>
      </w:r>
      <w:r>
        <w:rPr>
          <w:rFonts w:hint="eastAsia"/>
          <w:color w:val="auto"/>
          <w:lang w:eastAsia="zh-CN"/>
        </w:rPr>
        <w:t>退役期</w:t>
      </w:r>
      <w:r>
        <w:rPr>
          <w:rFonts w:hint="eastAsia"/>
          <w:color w:val="auto"/>
        </w:rPr>
        <w:t>。当</w:t>
      </w:r>
      <w:r>
        <w:rPr>
          <w:rFonts w:hint="eastAsia"/>
          <w:color w:val="auto"/>
          <w:lang w:eastAsia="zh-CN"/>
        </w:rPr>
        <w:t>油田</w:t>
      </w:r>
      <w:r>
        <w:rPr>
          <w:rFonts w:hint="eastAsia"/>
          <w:color w:val="auto"/>
        </w:rPr>
        <w:t>开发接近尾声时，各种机械设备将停止使用，进驻其中的</w:t>
      </w:r>
      <w:r>
        <w:rPr>
          <w:rFonts w:hint="eastAsia"/>
          <w:color w:val="auto"/>
          <w:lang w:eastAsia="zh-CN"/>
        </w:rPr>
        <w:t>油田</w:t>
      </w:r>
      <w:r>
        <w:rPr>
          <w:rFonts w:hint="eastAsia"/>
          <w:color w:val="auto"/>
        </w:rPr>
        <w:t>开发工作人员将陆续撤离</w:t>
      </w:r>
      <w:r>
        <w:rPr>
          <w:rFonts w:hint="eastAsia"/>
          <w:color w:val="auto"/>
          <w:lang w:eastAsia="zh-CN"/>
        </w:rPr>
        <w:t>油田</w:t>
      </w:r>
      <w:r>
        <w:rPr>
          <w:rFonts w:hint="eastAsia"/>
          <w:color w:val="auto"/>
        </w:rPr>
        <w:t>区域，由此带来的大气污染物、生产废水、噪声及固体废物等对环境的影响将会消失。</w:t>
      </w:r>
    </w:p>
    <w:p w14:paraId="7ABEED96">
      <w:pPr>
        <w:pStyle w:val="79"/>
        <w:bidi w:val="0"/>
        <w:rPr>
          <w:color w:val="auto"/>
        </w:rPr>
      </w:pPr>
      <w:r>
        <w:rPr>
          <w:rFonts w:hint="eastAsia"/>
          <w:color w:val="auto"/>
          <w:lang w:eastAsia="zh-CN"/>
        </w:rPr>
        <w:t>退役期</w:t>
      </w:r>
      <w:r>
        <w:rPr>
          <w:rFonts w:hint="eastAsia"/>
          <w:color w:val="auto"/>
        </w:rPr>
        <w:t>的环境影响以生态环境的恢复为主，同时封井和井场清理也会产生少量扬尘和建筑垃圾，会对周围的环境造成一定影响。</w:t>
      </w:r>
      <w:r>
        <w:rPr>
          <w:rFonts w:hint="eastAsia"/>
          <w:color w:val="auto"/>
          <w:lang w:eastAsia="zh-CN"/>
        </w:rPr>
        <w:t>油井</w:t>
      </w:r>
      <w:r>
        <w:rPr>
          <w:rFonts w:hint="eastAsia"/>
          <w:color w:val="auto"/>
        </w:rPr>
        <w:t>停采后将进行一系列清理工作，包括</w:t>
      </w:r>
      <w:r>
        <w:rPr>
          <w:rFonts w:hint="eastAsia"/>
          <w:color w:val="auto"/>
          <w:lang w:eastAsia="zh-CN"/>
        </w:rPr>
        <w:t>：</w:t>
      </w:r>
      <w:r>
        <w:rPr>
          <w:rFonts w:hint="eastAsia"/>
          <w:color w:val="auto"/>
        </w:rPr>
        <w:t>地面设施拆除、地下截去至少1m的井筒并用水泥灌注封井、井场清理等。在这期间，将会产生少量扬尘和固体废物。在闭井施工操作中应注意采取降尘措施，文明施工，防止水泥等的</w:t>
      </w:r>
      <w:r>
        <w:rPr>
          <w:rFonts w:hint="eastAsia"/>
          <w:color w:val="auto"/>
          <w:lang w:eastAsia="zh-CN"/>
        </w:rPr>
        <w:t>撒落</w:t>
      </w:r>
      <w:r>
        <w:rPr>
          <w:rFonts w:hint="eastAsia"/>
          <w:color w:val="auto"/>
        </w:rPr>
        <w:t>与飘散，同时在清理井场时防止飞灰、扬尘的产生，尽可能降低对周边大气环境的影响。</w:t>
      </w:r>
    </w:p>
    <w:p w14:paraId="59CDD430">
      <w:pPr>
        <w:pStyle w:val="79"/>
        <w:bidi w:val="0"/>
        <w:rPr>
          <w:color w:val="auto"/>
        </w:rPr>
      </w:pPr>
      <w:r>
        <w:rPr>
          <w:rFonts w:hint="eastAsia"/>
          <w:color w:val="auto"/>
        </w:rPr>
        <w:t>另外，井场清理等工作还会产生部分废弃管线、废弃建筑残渣等固体废物，对这些废弃管线、残渣等进行集中清理收集，管线外运经清洗后可回收再利用，废弃建筑残渣外运至指定处理场填埋处理。固体废物的妥善处理，可以有效控制对区域环境的影响。</w:t>
      </w:r>
    </w:p>
    <w:p w14:paraId="6F0C3D69">
      <w:pPr>
        <w:pStyle w:val="79"/>
        <w:bidi w:val="0"/>
        <w:rPr>
          <w:color w:val="auto"/>
        </w:rPr>
      </w:pPr>
      <w:r>
        <w:rPr>
          <w:rFonts w:hint="eastAsia"/>
          <w:color w:val="auto"/>
        </w:rPr>
        <w:t>井场经过清理后，永久性占地范围内的水泥平台或砂砾石铺垫被清理，随后根据周边区域的自然现状对其进行恢复，使井场恢复到相对自然的一种状态。</w:t>
      </w:r>
      <w:r>
        <w:rPr>
          <w:rFonts w:hint="eastAsia"/>
          <w:color w:val="auto"/>
          <w:lang w:eastAsia="zh-CN"/>
        </w:rPr>
        <w:t>油田</w:t>
      </w:r>
      <w:r>
        <w:rPr>
          <w:rFonts w:hint="eastAsia"/>
          <w:color w:val="auto"/>
        </w:rPr>
        <w:t>设施退役后，人员撤离，区域内没有人为扰动，井场范围内的自然植被会逐渐得以恢复，有助于区域生态环境的改善。</w:t>
      </w:r>
    </w:p>
    <w:p w14:paraId="6AB23644">
      <w:pPr>
        <w:pStyle w:val="54"/>
        <w:bidi w:val="0"/>
        <w:rPr>
          <w:rFonts w:hint="eastAsia"/>
          <w:color w:val="auto"/>
          <w:lang w:val="en-US" w:eastAsia="zh-CN"/>
        </w:rPr>
      </w:pPr>
      <w:r>
        <w:rPr>
          <w:rFonts w:hint="eastAsia"/>
          <w:color w:val="auto"/>
          <w:lang w:val="en-US" w:eastAsia="zh-CN"/>
        </w:rPr>
        <w:t>5.1.4 生态影响评价自查表</w:t>
      </w:r>
    </w:p>
    <w:p w14:paraId="063E948D">
      <w:pPr>
        <w:pStyle w:val="79"/>
        <w:bidi w:val="0"/>
        <w:rPr>
          <w:color w:val="auto"/>
          <w:lang w:val="en-US" w:eastAsia="zh-CN"/>
        </w:rPr>
      </w:pPr>
      <w:r>
        <w:rPr>
          <w:rFonts w:hint="eastAsia"/>
          <w:color w:val="auto"/>
          <w:lang w:val="en-US" w:eastAsia="zh-CN"/>
        </w:rPr>
        <w:t>本工程所在区域的野生动物种类少，工程位于油田开发区域，因石油开发建设活动早已开展，人类活动频繁，工程区内对人类活动敏感的野生动物较少，调查期间未见到大中型野生动物，项目对野生动植物影响不大。项目区为典型的荒漠灌木及盐化草甸，主要植被类型为柽柳灌丛及盐穗木草甸，植被覆盖度5%～10%。工程对区域生态的影响主要为施工期的扬尘及相关施工活动，其影响范围同工程临时占地面积相同，这一破坏需经较长时间才能完全恢复。工程区属于塔里木河流域重点治理区，但占地面积较小，采取环评提出的水土流失防治措施后，对环境的影响可以接受。</w:t>
      </w:r>
    </w:p>
    <w:p w14:paraId="436E00BF">
      <w:pPr>
        <w:pStyle w:val="79"/>
        <w:bidi w:val="0"/>
        <w:rPr>
          <w:rFonts w:hint="eastAsia"/>
          <w:color w:val="auto"/>
          <w:lang w:val="en-US" w:eastAsia="zh-CN"/>
        </w:rPr>
      </w:pPr>
      <w:r>
        <w:rPr>
          <w:rFonts w:hint="eastAsia"/>
          <w:color w:val="auto"/>
          <w:lang w:val="en-US" w:eastAsia="zh-CN"/>
        </w:rPr>
        <w:t>因此总体上看本工程建设对生态环境影响可以接受。</w:t>
      </w:r>
    </w:p>
    <w:p w14:paraId="5025DF84">
      <w:pPr>
        <w:pStyle w:val="79"/>
        <w:bidi w:val="0"/>
        <w:rPr>
          <w:rFonts w:hint="default"/>
          <w:color w:val="auto"/>
        </w:rPr>
      </w:pPr>
      <w:r>
        <w:rPr>
          <w:rFonts w:hint="default"/>
          <w:color w:val="auto"/>
        </w:rPr>
        <w:t>本工程生态环境影响评价自查表</w:t>
      </w:r>
      <w:r>
        <w:rPr>
          <w:rFonts w:hint="eastAsia"/>
          <w:color w:val="auto"/>
          <w:lang w:eastAsia="zh-CN"/>
        </w:rPr>
        <w:t>，</w:t>
      </w:r>
      <w:r>
        <w:rPr>
          <w:rFonts w:hint="default"/>
          <w:color w:val="auto"/>
        </w:rPr>
        <w:t>见表5.1-</w:t>
      </w:r>
      <w:r>
        <w:rPr>
          <w:rFonts w:hint="eastAsia"/>
          <w:color w:val="auto"/>
          <w:lang w:val="en-US" w:eastAsia="zh-CN"/>
        </w:rPr>
        <w:t>1</w:t>
      </w:r>
      <w:r>
        <w:rPr>
          <w:rFonts w:hint="default"/>
          <w:color w:val="auto"/>
        </w:rPr>
        <w:t>。</w:t>
      </w:r>
    </w:p>
    <w:p w14:paraId="6CAFD7F2">
      <w:pPr>
        <w:pStyle w:val="61"/>
        <w:bidi w:val="0"/>
        <w:jc w:val="both"/>
        <w:rPr>
          <w:rFonts w:hint="eastAsia"/>
          <w:color w:val="auto"/>
          <w:lang w:val="en-US" w:eastAsia="zh-CN"/>
        </w:rPr>
      </w:pPr>
    </w:p>
    <w:p w14:paraId="33839C1B">
      <w:pPr>
        <w:pStyle w:val="61"/>
        <w:bidi w:val="0"/>
        <w:jc w:val="both"/>
        <w:rPr>
          <w:rFonts w:hint="eastAsia"/>
          <w:color w:val="auto"/>
          <w:lang w:val="en-US" w:eastAsia="zh-CN"/>
        </w:rPr>
      </w:pPr>
    </w:p>
    <w:p w14:paraId="235C3A54">
      <w:pPr>
        <w:pStyle w:val="61"/>
        <w:bidi w:val="0"/>
        <w:jc w:val="both"/>
        <w:rPr>
          <w:rFonts w:hint="default"/>
          <w:color w:val="auto"/>
          <w:lang w:val="en-US" w:eastAsia="zh-CN"/>
        </w:rPr>
      </w:pPr>
      <w:r>
        <w:rPr>
          <w:rFonts w:hint="eastAsia"/>
          <w:color w:val="auto"/>
          <w:lang w:val="en-US" w:eastAsia="zh-CN"/>
        </w:rPr>
        <w:t>表5.1-1  生态影响评价自查表</w:t>
      </w:r>
    </w:p>
    <w:tbl>
      <w:tblPr>
        <w:tblStyle w:val="36"/>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914"/>
        <w:gridCol w:w="246"/>
        <w:gridCol w:w="1474"/>
        <w:gridCol w:w="6038"/>
      </w:tblGrid>
      <w:tr w14:paraId="601A36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6" w:hRule="atLeast"/>
          <w:jc w:val="center"/>
        </w:trPr>
        <w:tc>
          <w:tcPr>
            <w:tcW w:w="1519" w:type="pct"/>
            <w:gridSpan w:val="3"/>
            <w:tcBorders>
              <w:tl2br w:val="nil"/>
              <w:tr2bl w:val="nil"/>
            </w:tcBorders>
            <w:noWrap w:val="0"/>
            <w:vAlign w:val="center"/>
          </w:tcPr>
          <w:p w14:paraId="5509D8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工作内容</w:t>
            </w:r>
          </w:p>
        </w:tc>
        <w:tc>
          <w:tcPr>
            <w:tcW w:w="3480" w:type="pct"/>
            <w:tcBorders>
              <w:tl2br w:val="nil"/>
              <w:tr2bl w:val="nil"/>
            </w:tcBorders>
            <w:noWrap w:val="0"/>
            <w:vAlign w:val="center"/>
          </w:tcPr>
          <w:p w14:paraId="6AEACA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自查项目</w:t>
            </w:r>
          </w:p>
        </w:tc>
      </w:tr>
      <w:tr w14:paraId="7CCC90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92" w:hRule="atLeast"/>
          <w:jc w:val="center"/>
        </w:trPr>
        <w:tc>
          <w:tcPr>
            <w:tcW w:w="527" w:type="pct"/>
            <w:vMerge w:val="restart"/>
            <w:tcBorders>
              <w:tl2br w:val="nil"/>
              <w:tr2bl w:val="nil"/>
            </w:tcBorders>
            <w:noWrap w:val="0"/>
            <w:vAlign w:val="center"/>
          </w:tcPr>
          <w:p w14:paraId="793CDF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生态影响识别</w:t>
            </w:r>
          </w:p>
        </w:tc>
        <w:tc>
          <w:tcPr>
            <w:tcW w:w="992" w:type="pct"/>
            <w:gridSpan w:val="2"/>
            <w:tcBorders>
              <w:tl2br w:val="nil"/>
              <w:tr2bl w:val="nil"/>
            </w:tcBorders>
            <w:noWrap w:val="0"/>
            <w:vAlign w:val="center"/>
          </w:tcPr>
          <w:p w14:paraId="48D87E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生态保护目标</w:t>
            </w:r>
          </w:p>
        </w:tc>
        <w:tc>
          <w:tcPr>
            <w:tcW w:w="3480" w:type="pct"/>
            <w:tcBorders>
              <w:tl2br w:val="nil"/>
              <w:tr2bl w:val="nil"/>
            </w:tcBorders>
            <w:noWrap w:val="0"/>
            <w:vAlign w:val="center"/>
          </w:tcPr>
          <w:p w14:paraId="4FF5B7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left"/>
              <w:textAlignment w:val="auto"/>
              <w:rPr>
                <w:rFonts w:hint="eastAsia" w:ascii="宋体" w:hAnsi="宋体" w:eastAsia="宋体" w:cs="宋体"/>
                <w:color w:val="auto"/>
                <w:spacing w:val="0"/>
                <w:kern w:val="0"/>
                <w:sz w:val="21"/>
                <w:szCs w:val="21"/>
                <w:highlight w:val="none"/>
                <w:lang w:eastAsia="zh-CN"/>
              </w:rPr>
            </w:pPr>
            <w:r>
              <w:rPr>
                <w:rFonts w:hint="eastAsia" w:ascii="宋体" w:hAnsi="宋体" w:eastAsia="宋体" w:cs="宋体"/>
                <w:color w:val="auto"/>
                <w:spacing w:val="0"/>
                <w:kern w:val="0"/>
                <w:sz w:val="21"/>
                <w:szCs w:val="21"/>
                <w:highlight w:val="none"/>
              </w:rPr>
              <w:t>重要物种□；国家公园□；自然保护区□；自然公园□；世界自然遗产□；生态保护红线□；重要生境□；其他具有重要生态功能、对保护生物多样性具有重要意义的区域□；其他</w:t>
            </w:r>
            <w:r>
              <w:rPr>
                <w:rFonts w:hint="eastAsia" w:ascii="宋体" w:hAnsi="宋体" w:eastAsia="宋体" w:cs="宋体"/>
                <w:color w:val="auto"/>
                <w:spacing w:val="0"/>
                <w:kern w:val="0"/>
                <w:sz w:val="21"/>
                <w:szCs w:val="21"/>
                <w:highlight w:val="none"/>
                <w:lang w:eastAsia="zh-CN"/>
              </w:rPr>
              <w:t>☑</w:t>
            </w:r>
          </w:p>
        </w:tc>
      </w:tr>
      <w:tr w14:paraId="7D3147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6" w:hRule="atLeast"/>
          <w:jc w:val="center"/>
        </w:trPr>
        <w:tc>
          <w:tcPr>
            <w:tcW w:w="527" w:type="pct"/>
            <w:vMerge w:val="continue"/>
            <w:tcBorders>
              <w:tl2br w:val="nil"/>
              <w:tr2bl w:val="nil"/>
            </w:tcBorders>
            <w:noWrap w:val="0"/>
            <w:vAlign w:val="center"/>
          </w:tcPr>
          <w:p w14:paraId="508A21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auto"/>
                <w:spacing w:val="0"/>
                <w:kern w:val="0"/>
                <w:sz w:val="21"/>
                <w:szCs w:val="21"/>
                <w:highlight w:val="none"/>
              </w:rPr>
            </w:pPr>
          </w:p>
        </w:tc>
        <w:tc>
          <w:tcPr>
            <w:tcW w:w="992" w:type="pct"/>
            <w:gridSpan w:val="2"/>
            <w:tcBorders>
              <w:tl2br w:val="nil"/>
              <w:tr2bl w:val="nil"/>
            </w:tcBorders>
            <w:noWrap w:val="0"/>
            <w:vAlign w:val="center"/>
          </w:tcPr>
          <w:p w14:paraId="504230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影响方式</w:t>
            </w:r>
          </w:p>
        </w:tc>
        <w:tc>
          <w:tcPr>
            <w:tcW w:w="3480" w:type="pct"/>
            <w:tcBorders>
              <w:tl2br w:val="nil"/>
              <w:tr2bl w:val="nil"/>
            </w:tcBorders>
            <w:noWrap w:val="0"/>
            <w:vAlign w:val="center"/>
          </w:tcPr>
          <w:p w14:paraId="599A4B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left"/>
              <w:textAlignment w:val="auto"/>
              <w:rPr>
                <w:rFonts w:hint="eastAsia"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工程占用</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；施工活动干扰</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；改变环境条件□；其他□</w:t>
            </w:r>
          </w:p>
        </w:tc>
      </w:tr>
      <w:tr w14:paraId="4C2BE7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56" w:hRule="atLeast"/>
          <w:jc w:val="center"/>
        </w:trPr>
        <w:tc>
          <w:tcPr>
            <w:tcW w:w="527" w:type="pct"/>
            <w:vMerge w:val="continue"/>
            <w:tcBorders>
              <w:tl2br w:val="nil"/>
              <w:tr2bl w:val="nil"/>
            </w:tcBorders>
            <w:noWrap w:val="0"/>
            <w:vAlign w:val="center"/>
          </w:tcPr>
          <w:p w14:paraId="7C939C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auto"/>
                <w:spacing w:val="0"/>
                <w:kern w:val="0"/>
                <w:sz w:val="21"/>
                <w:szCs w:val="21"/>
                <w:highlight w:val="none"/>
              </w:rPr>
            </w:pPr>
          </w:p>
        </w:tc>
        <w:tc>
          <w:tcPr>
            <w:tcW w:w="992" w:type="pct"/>
            <w:gridSpan w:val="2"/>
            <w:tcBorders>
              <w:tl2br w:val="nil"/>
              <w:tr2bl w:val="nil"/>
            </w:tcBorders>
            <w:noWrap w:val="0"/>
            <w:vAlign w:val="center"/>
          </w:tcPr>
          <w:p w14:paraId="0307BE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评价因子</w:t>
            </w:r>
          </w:p>
        </w:tc>
        <w:tc>
          <w:tcPr>
            <w:tcW w:w="3480" w:type="pct"/>
            <w:tcBorders>
              <w:tl2br w:val="nil"/>
              <w:tr2bl w:val="nil"/>
            </w:tcBorders>
            <w:noWrap w:val="0"/>
            <w:vAlign w:val="bottom"/>
          </w:tcPr>
          <w:p w14:paraId="3CFD1C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left"/>
              <w:textAlignment w:val="auto"/>
              <w:rPr>
                <w:rFonts w:hint="eastAsia"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mc:AlternateContent>
                <mc:Choice Requires="wps">
                  <w:drawing>
                    <wp:anchor distT="0" distB="0" distL="114300" distR="114300" simplePos="0" relativeHeight="251662336" behindDoc="0" locked="0" layoutInCell="1" allowOverlap="1">
                      <wp:simplePos x="0" y="0"/>
                      <wp:positionH relativeFrom="page">
                        <wp:posOffset>4193540</wp:posOffset>
                      </wp:positionH>
                      <wp:positionV relativeFrom="page">
                        <wp:posOffset>1538605</wp:posOffset>
                      </wp:positionV>
                      <wp:extent cx="6350" cy="6350"/>
                      <wp:effectExtent l="0" t="0" r="0" b="0"/>
                      <wp:wrapNone/>
                      <wp:docPr id="197" name="矩形 197"/>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a:effectLst/>
                            </wps:spPr>
                            <wps:txbx>
                              <w:txbxContent>
                                <w:p w14:paraId="7749A63C">
                                  <w:pPr>
                                    <w:widowControl/>
                                    <w:jc w:val="left"/>
                                    <w:rPr>
                                      <w:rFonts w:ascii="宋体" w:hAnsi="宋体" w:cs="宋体"/>
                                      <w:kern w:val="0"/>
                                      <w:sz w:val="24"/>
                                      <w:szCs w:val="24"/>
                                    </w:rPr>
                                  </w:pPr>
                                </w:p>
                              </w:txbxContent>
                            </wps:txbx>
                            <wps:bodyPr upright="1"/>
                          </wps:wsp>
                        </a:graphicData>
                      </a:graphic>
                    </wp:anchor>
                  </w:drawing>
                </mc:Choice>
                <mc:Fallback>
                  <w:pict>
                    <v:rect id="_x0000_s1026" o:spid="_x0000_s1026" o:spt="1" style="position:absolute;left:0pt;margin-left:330.2pt;margin-top:121.15pt;height:0.5pt;width:0.5pt;mso-position-horizontal-relative:page;mso-position-vertical-relative:page;z-index:251662336;mso-width-relative:page;mso-height-relative:page;" fillcolor="#000000" filled="t" stroked="f" coordsize="21600,21600" o:gfxdata="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tVbGvZAAAACwEAAA8AAAAAAAAAAQAgAAAAIgAAAGRycy9kb3ducmV2LnhtbFBLAQIUABQA&#10;AAAIAIdO4kBOTGTrtgEAAHcDAAAOAAAAAAAAAAEAIAAAACgBAABkcnMvZTJvRG9jLnhtbFBLBQYA&#10;AAAABgAGAFkBAABQBQAAAAA=&#10;">
                      <v:fill on="t" focussize="0,0"/>
                      <v:stroke on="f"/>
                      <v:imagedata o:title=""/>
                      <o:lock v:ext="edit" aspectratio="f"/>
                      <v:textbox>
                        <w:txbxContent>
                          <w:p w14:paraId="7749A63C">
                            <w:pPr>
                              <w:widowControl/>
                              <w:jc w:val="left"/>
                              <w:rPr>
                                <w:rFonts w:ascii="宋体" w:hAnsi="宋体" w:cs="宋体"/>
                                <w:kern w:val="0"/>
                                <w:sz w:val="24"/>
                                <w:szCs w:val="24"/>
                              </w:rPr>
                            </w:pPr>
                          </w:p>
                        </w:txbxContent>
                      </v:textbox>
                    </v:rect>
                  </w:pict>
                </mc:Fallback>
              </mc:AlternateContent>
            </w:r>
            <w:r>
              <w:rPr>
                <w:rFonts w:hint="eastAsia" w:ascii="宋体" w:hAnsi="宋体" w:eastAsia="宋体" w:cs="宋体"/>
                <w:color w:val="auto"/>
                <w:spacing w:val="0"/>
                <w:kern w:val="0"/>
                <w:sz w:val="21"/>
                <w:szCs w:val="21"/>
                <w:highlight w:val="none"/>
              </w:rPr>
              <w:t>物种</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w:t>
            </w:r>
            <w:r>
              <w:rPr>
                <w:rFonts w:hint="eastAsia" w:ascii="宋体" w:hAnsi="宋体" w:eastAsia="宋体" w:cs="宋体"/>
                <w:color w:val="auto"/>
                <w:spacing w:val="0"/>
                <w:kern w:val="0"/>
                <w:sz w:val="21"/>
                <w:szCs w:val="21"/>
                <w:highlight w:val="none"/>
                <w:lang w:val="en-US" w:eastAsia="zh-CN"/>
              </w:rPr>
              <w:t>分</w:t>
            </w:r>
            <w:r>
              <w:rPr>
                <w:rFonts w:hint="eastAsia" w:ascii="宋体" w:hAnsi="宋体" w:eastAsia="宋体" w:cs="宋体"/>
                <w:color w:val="auto"/>
                <w:spacing w:val="0"/>
                <w:kern w:val="0"/>
                <w:sz w:val="21"/>
                <w:szCs w:val="21"/>
                <w:highlight w:val="none"/>
              </w:rPr>
              <w:t>布范围、种群梳理、种群结构、行为</w:t>
            </w:r>
            <w:r>
              <w:rPr>
                <w:rFonts w:hint="eastAsia" w:ascii="宋体" w:hAnsi="宋体" w:eastAsia="宋体" w:cs="宋体"/>
                <w:color w:val="auto"/>
                <w:spacing w:val="0"/>
                <w:kern w:val="0"/>
                <w:sz w:val="21"/>
                <w:szCs w:val="21"/>
                <w:highlight w:val="none"/>
                <w:lang w:val="en-US" w:eastAsia="zh-CN"/>
              </w:rPr>
              <w:t>等</w:t>
            </w:r>
            <w:r>
              <w:rPr>
                <w:rFonts w:hint="eastAsia" w:ascii="宋体" w:hAnsi="宋体" w:eastAsia="宋体" w:cs="宋体"/>
                <w:color w:val="auto"/>
                <w:spacing w:val="0"/>
                <w:kern w:val="0"/>
                <w:sz w:val="21"/>
                <w:szCs w:val="21"/>
                <w:highlight w:val="none"/>
              </w:rPr>
              <w:t>）</w:t>
            </w:r>
          </w:p>
          <w:p w14:paraId="284472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left"/>
              <w:textAlignment w:val="auto"/>
              <w:rPr>
                <w:rFonts w:hint="eastAsia"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生境</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（生境面积、质量、连通性）</w:t>
            </w:r>
          </w:p>
          <w:p w14:paraId="4EDE16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left"/>
              <w:textAlignment w:val="auto"/>
              <w:rPr>
                <w:rFonts w:hint="eastAsia"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生物群落</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（物种组成、群落结构等）</w:t>
            </w:r>
          </w:p>
          <w:p w14:paraId="08FBC9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left"/>
              <w:textAlignment w:val="auto"/>
              <w:rPr>
                <w:rFonts w:hint="eastAsia"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生态系统</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（植被覆盖力、</w:t>
            </w:r>
            <w:r>
              <w:rPr>
                <w:rFonts w:hint="eastAsia" w:ascii="宋体" w:hAnsi="宋体" w:eastAsia="宋体" w:cs="宋体"/>
                <w:color w:val="auto"/>
                <w:spacing w:val="0"/>
                <w:kern w:val="0"/>
                <w:sz w:val="21"/>
                <w:szCs w:val="21"/>
                <w:highlight w:val="none"/>
                <w:lang w:val="en-US" w:eastAsia="zh-CN"/>
              </w:rPr>
              <w:t>生产力</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生物量、生态系统功能</w:t>
            </w:r>
            <w:r>
              <w:rPr>
                <w:rFonts w:hint="eastAsia" w:ascii="宋体" w:hAnsi="宋体" w:eastAsia="宋体" w:cs="宋体"/>
                <w:color w:val="auto"/>
                <w:spacing w:val="0"/>
                <w:kern w:val="0"/>
                <w:sz w:val="21"/>
                <w:szCs w:val="21"/>
                <w:highlight w:val="none"/>
                <w:lang w:val="en-US" w:eastAsia="zh-CN"/>
              </w:rPr>
              <w:t>等</w:t>
            </w:r>
            <w:r>
              <w:rPr>
                <w:rFonts w:hint="eastAsia" w:ascii="宋体" w:hAnsi="宋体" w:eastAsia="宋体" w:cs="宋体"/>
                <w:color w:val="auto"/>
                <w:spacing w:val="0"/>
                <w:kern w:val="0"/>
                <w:sz w:val="21"/>
                <w:szCs w:val="21"/>
                <w:highlight w:val="none"/>
              </w:rPr>
              <w:t>）</w:t>
            </w:r>
          </w:p>
          <w:p w14:paraId="5B8093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left"/>
              <w:textAlignment w:val="auto"/>
              <w:rPr>
                <w:rFonts w:hint="eastAsia"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生物多样性</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w:t>
            </w:r>
            <w:r>
              <w:rPr>
                <w:rFonts w:hint="eastAsia" w:ascii="宋体" w:hAnsi="宋体" w:eastAsia="宋体" w:cs="宋体"/>
                <w:color w:val="auto"/>
                <w:spacing w:val="0"/>
                <w:kern w:val="0"/>
                <w:sz w:val="21"/>
                <w:szCs w:val="21"/>
                <w:highlight w:val="none"/>
                <w:lang w:val="en-US" w:eastAsia="zh-CN"/>
              </w:rPr>
              <w:t>物种丰富度、均匀度、优势度等</w:t>
            </w:r>
            <w:r>
              <w:rPr>
                <w:rFonts w:hint="eastAsia" w:ascii="宋体" w:hAnsi="宋体" w:eastAsia="宋体" w:cs="宋体"/>
                <w:color w:val="auto"/>
                <w:spacing w:val="0"/>
                <w:kern w:val="0"/>
                <w:sz w:val="21"/>
                <w:szCs w:val="21"/>
                <w:highlight w:val="none"/>
              </w:rPr>
              <w:t>）</w:t>
            </w:r>
          </w:p>
          <w:p w14:paraId="6CB1A5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left"/>
              <w:textAlignment w:val="auto"/>
              <w:rPr>
                <w:rFonts w:hint="eastAsia"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生态敏感区</w:t>
            </w:r>
            <w:r>
              <w:rPr>
                <w:rFonts w:hint="eastAsia" w:ascii="宋体" w:hAnsi="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（主要保护对象、生态功能等）</w:t>
            </w:r>
          </w:p>
          <w:p w14:paraId="6F59DF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left"/>
              <w:textAlignment w:val="auto"/>
              <w:rPr>
                <w:rFonts w:hint="eastAsia"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自然景观</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（景观多样性、完整性）</w:t>
            </w:r>
          </w:p>
          <w:p w14:paraId="2CD0B2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left"/>
              <w:textAlignment w:val="auto"/>
              <w:rPr>
                <w:rFonts w:hint="eastAsia"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自然遗迹□（</w:t>
            </w:r>
            <w:r>
              <w:rPr>
                <w:rFonts w:hint="eastAsia" w:ascii="宋体" w:hAnsi="宋体" w:eastAsia="宋体" w:cs="宋体"/>
                <w:color w:val="auto"/>
                <w:spacing w:val="0"/>
                <w:kern w:val="0"/>
                <w:sz w:val="21"/>
                <w:szCs w:val="21"/>
                <w:highlight w:val="none"/>
                <w:lang w:val="en-US" w:eastAsia="zh-CN"/>
              </w:rPr>
              <w:t>遗迹多样性、完整性等</w:t>
            </w:r>
            <w:r>
              <w:rPr>
                <w:rFonts w:hint="eastAsia" w:ascii="宋体" w:hAnsi="宋体" w:eastAsia="宋体" w:cs="宋体"/>
                <w:color w:val="auto"/>
                <w:spacing w:val="0"/>
                <w:kern w:val="0"/>
                <w:sz w:val="21"/>
                <w:szCs w:val="21"/>
                <w:highlight w:val="none"/>
              </w:rPr>
              <w:t>）</w:t>
            </w:r>
          </w:p>
          <w:p w14:paraId="146114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left"/>
              <w:textAlignment w:val="auto"/>
              <w:rPr>
                <w:rFonts w:hint="eastAsia"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其他</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w:t>
            </w:r>
          </w:p>
        </w:tc>
      </w:tr>
      <w:tr w14:paraId="47716C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6" w:hRule="atLeast"/>
          <w:jc w:val="center"/>
        </w:trPr>
        <w:tc>
          <w:tcPr>
            <w:tcW w:w="1519" w:type="pct"/>
            <w:gridSpan w:val="3"/>
            <w:tcBorders>
              <w:tl2br w:val="nil"/>
              <w:tr2bl w:val="nil"/>
            </w:tcBorders>
            <w:noWrap w:val="0"/>
            <w:vAlign w:val="center"/>
          </w:tcPr>
          <w:p w14:paraId="337620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评价等级</w:t>
            </w:r>
          </w:p>
        </w:tc>
        <w:tc>
          <w:tcPr>
            <w:tcW w:w="3480" w:type="pct"/>
            <w:tcBorders>
              <w:tl2br w:val="nil"/>
              <w:tr2bl w:val="nil"/>
            </w:tcBorders>
            <w:noWrap w:val="0"/>
            <w:vAlign w:val="center"/>
          </w:tcPr>
          <w:p w14:paraId="23A768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left"/>
              <w:textAlignment w:val="auto"/>
              <w:rPr>
                <w:rFonts w:hint="eastAsia"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一级□二级</w:t>
            </w:r>
            <w:r>
              <w:rPr>
                <w:rFonts w:hint="eastAsia" w:ascii="宋体" w:hAnsi="宋体" w:eastAsia="宋体" w:cs="宋体"/>
                <w:color w:val="auto"/>
                <w:spacing w:val="0"/>
                <w:kern w:val="0"/>
                <w:sz w:val="21"/>
                <w:szCs w:val="21"/>
                <w:highlight w:val="none"/>
              </w:rPr>
              <w:sym w:font="Wingdings 2" w:char="00A3"/>
            </w:r>
            <w:r>
              <w:rPr>
                <w:rFonts w:hint="eastAsia" w:ascii="宋体" w:hAnsi="宋体" w:eastAsia="宋体" w:cs="宋体"/>
                <w:color w:val="auto"/>
                <w:spacing w:val="0"/>
                <w:kern w:val="0"/>
                <w:sz w:val="21"/>
                <w:szCs w:val="21"/>
                <w:highlight w:val="none"/>
              </w:rPr>
              <w:t>三级</w:t>
            </w:r>
            <w:r>
              <w:rPr>
                <w:rFonts w:hint="eastAsia" w:ascii="宋体" w:hAnsi="宋体" w:cs="宋体"/>
                <w:color w:val="auto"/>
                <w:spacing w:val="0"/>
                <w:kern w:val="0"/>
                <w:sz w:val="21"/>
                <w:szCs w:val="21"/>
                <w:highlight w:val="none"/>
                <w:lang w:eastAsia="zh-CN"/>
              </w:rPr>
              <w:sym w:font="Wingdings 2" w:char="0052"/>
            </w:r>
            <w:r>
              <w:rPr>
                <w:rFonts w:hint="eastAsia" w:ascii="宋体" w:hAnsi="宋体" w:eastAsia="宋体" w:cs="宋体"/>
                <w:color w:val="auto"/>
                <w:spacing w:val="0"/>
                <w:kern w:val="0"/>
                <w:sz w:val="21"/>
                <w:szCs w:val="21"/>
                <w:highlight w:val="none"/>
              </w:rPr>
              <w:t>生态影响简单分析□</w:t>
            </w:r>
          </w:p>
        </w:tc>
      </w:tr>
      <w:tr w14:paraId="67BD55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6" w:hRule="atLeast"/>
          <w:jc w:val="center"/>
        </w:trPr>
        <w:tc>
          <w:tcPr>
            <w:tcW w:w="1519" w:type="pct"/>
            <w:gridSpan w:val="3"/>
            <w:tcBorders>
              <w:tl2br w:val="nil"/>
              <w:tr2bl w:val="nil"/>
            </w:tcBorders>
            <w:noWrap w:val="0"/>
            <w:vAlign w:val="center"/>
          </w:tcPr>
          <w:p w14:paraId="700AE6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评价范围</w:t>
            </w:r>
          </w:p>
        </w:tc>
        <w:tc>
          <w:tcPr>
            <w:tcW w:w="3480" w:type="pct"/>
            <w:tcBorders>
              <w:tl2br w:val="nil"/>
              <w:tr2bl w:val="nil"/>
            </w:tcBorders>
            <w:noWrap w:val="0"/>
            <w:vAlign w:val="center"/>
          </w:tcPr>
          <w:p w14:paraId="0F880A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left"/>
              <w:textAlignment w:val="auto"/>
              <w:rPr>
                <w:rFonts w:hint="eastAsia"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陆域面积：（</w:t>
            </w:r>
            <w:r>
              <w:rPr>
                <w:rFonts w:hint="eastAsia" w:ascii="宋体" w:hAnsi="宋体" w:cs="宋体"/>
                <w:color w:val="auto"/>
                <w:spacing w:val="0"/>
                <w:kern w:val="0"/>
                <w:sz w:val="21"/>
                <w:szCs w:val="21"/>
                <w:highlight w:val="none"/>
                <w:lang w:val="en-US" w:eastAsia="zh-CN"/>
              </w:rPr>
              <w:t>0.2722</w:t>
            </w:r>
            <w:r>
              <w:rPr>
                <w:rFonts w:hint="eastAsia" w:ascii="宋体" w:hAnsi="宋体" w:eastAsia="宋体" w:cs="宋体"/>
                <w:color w:val="auto"/>
                <w:spacing w:val="0"/>
                <w:kern w:val="0"/>
                <w:sz w:val="21"/>
                <w:szCs w:val="21"/>
                <w:highlight w:val="none"/>
              </w:rPr>
              <w:t>）km</w:t>
            </w:r>
            <w:r>
              <w:rPr>
                <w:rFonts w:hint="eastAsia" w:ascii="宋体" w:hAnsi="宋体" w:eastAsia="宋体" w:cs="宋体"/>
                <w:color w:val="auto"/>
                <w:spacing w:val="0"/>
                <w:kern w:val="0"/>
                <w:sz w:val="21"/>
                <w:szCs w:val="21"/>
                <w:highlight w:val="none"/>
                <w:vertAlign w:val="superscript"/>
              </w:rPr>
              <w:t>2</w:t>
            </w:r>
            <w:r>
              <w:rPr>
                <w:rFonts w:hint="eastAsia" w:ascii="宋体" w:hAnsi="宋体" w:eastAsia="宋体" w:cs="宋体"/>
                <w:color w:val="auto"/>
                <w:spacing w:val="0"/>
                <w:kern w:val="0"/>
                <w:sz w:val="21"/>
                <w:szCs w:val="21"/>
                <w:highlight w:val="none"/>
              </w:rPr>
              <w:t>；水域面积：（）km</w:t>
            </w:r>
            <w:r>
              <w:rPr>
                <w:rFonts w:hint="eastAsia" w:ascii="宋体" w:hAnsi="宋体" w:eastAsia="宋体" w:cs="宋体"/>
                <w:color w:val="auto"/>
                <w:spacing w:val="0"/>
                <w:kern w:val="0"/>
                <w:sz w:val="21"/>
                <w:szCs w:val="21"/>
                <w:highlight w:val="none"/>
                <w:vertAlign w:val="superscript"/>
              </w:rPr>
              <w:t>2</w:t>
            </w:r>
          </w:p>
        </w:tc>
      </w:tr>
      <w:tr w14:paraId="34AE84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64" w:hRule="atLeast"/>
          <w:jc w:val="center"/>
        </w:trPr>
        <w:tc>
          <w:tcPr>
            <w:tcW w:w="669" w:type="pct"/>
            <w:gridSpan w:val="2"/>
            <w:vMerge w:val="restart"/>
            <w:tcBorders>
              <w:tl2br w:val="nil"/>
              <w:tr2bl w:val="nil"/>
            </w:tcBorders>
            <w:noWrap w:val="0"/>
            <w:vAlign w:val="center"/>
          </w:tcPr>
          <w:p w14:paraId="232721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生态现状调查与评价</w:t>
            </w:r>
          </w:p>
        </w:tc>
        <w:tc>
          <w:tcPr>
            <w:tcW w:w="849" w:type="pct"/>
            <w:tcBorders>
              <w:tl2br w:val="nil"/>
              <w:tr2bl w:val="nil"/>
            </w:tcBorders>
            <w:noWrap w:val="0"/>
            <w:vAlign w:val="center"/>
          </w:tcPr>
          <w:p w14:paraId="4D6C49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调查方法</w:t>
            </w:r>
          </w:p>
        </w:tc>
        <w:tc>
          <w:tcPr>
            <w:tcW w:w="3480" w:type="pct"/>
            <w:tcBorders>
              <w:tl2br w:val="nil"/>
              <w:tr2bl w:val="nil"/>
            </w:tcBorders>
            <w:noWrap w:val="0"/>
            <w:vAlign w:val="center"/>
          </w:tcPr>
          <w:p w14:paraId="3BEE15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auto"/>
              <w:rPr>
                <w:rFonts w:hint="eastAsia" w:ascii="宋体" w:hAnsi="宋体" w:eastAsia="宋体" w:cs="宋体"/>
                <w:color w:val="auto"/>
                <w:spacing w:val="0"/>
                <w:kern w:val="0"/>
                <w:sz w:val="21"/>
                <w:szCs w:val="21"/>
                <w:highlight w:val="none"/>
                <w:lang w:eastAsia="zh-CN"/>
              </w:rPr>
            </w:pPr>
            <w:r>
              <w:rPr>
                <w:rFonts w:hint="eastAsia" w:ascii="宋体" w:hAnsi="宋体" w:eastAsia="宋体" w:cs="宋体"/>
                <w:color w:val="auto"/>
                <w:spacing w:val="0"/>
                <w:kern w:val="0"/>
                <w:sz w:val="21"/>
                <w:szCs w:val="21"/>
                <w:highlight w:val="none"/>
              </w:rPr>
              <w:t>资料收集</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；遥感调查</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；调查样方、样线</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；调查点位、断面□；专家和公众咨询法</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；其他</w:t>
            </w:r>
            <w:r>
              <w:rPr>
                <w:rFonts w:hint="eastAsia" w:ascii="宋体" w:hAnsi="宋体" w:eastAsia="宋体" w:cs="宋体"/>
                <w:color w:val="auto"/>
                <w:spacing w:val="0"/>
                <w:kern w:val="0"/>
                <w:sz w:val="21"/>
                <w:szCs w:val="21"/>
                <w:highlight w:val="none"/>
                <w:lang w:eastAsia="zh-CN"/>
              </w:rPr>
              <w:t>☑</w:t>
            </w:r>
          </w:p>
        </w:tc>
      </w:tr>
      <w:tr w14:paraId="7826D6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64" w:hRule="atLeast"/>
          <w:jc w:val="center"/>
        </w:trPr>
        <w:tc>
          <w:tcPr>
            <w:tcW w:w="669" w:type="pct"/>
            <w:gridSpan w:val="2"/>
            <w:vMerge w:val="continue"/>
            <w:tcBorders>
              <w:tl2br w:val="nil"/>
              <w:tr2bl w:val="nil"/>
            </w:tcBorders>
            <w:noWrap w:val="0"/>
            <w:vAlign w:val="center"/>
          </w:tcPr>
          <w:p w14:paraId="74EF93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auto"/>
                <w:spacing w:val="0"/>
                <w:kern w:val="0"/>
                <w:sz w:val="21"/>
                <w:szCs w:val="21"/>
                <w:highlight w:val="none"/>
              </w:rPr>
            </w:pPr>
          </w:p>
        </w:tc>
        <w:tc>
          <w:tcPr>
            <w:tcW w:w="849" w:type="pct"/>
            <w:tcBorders>
              <w:tl2br w:val="nil"/>
              <w:tr2bl w:val="nil"/>
            </w:tcBorders>
            <w:noWrap w:val="0"/>
            <w:vAlign w:val="center"/>
          </w:tcPr>
          <w:p w14:paraId="4A5BBA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调查时间</w:t>
            </w:r>
          </w:p>
        </w:tc>
        <w:tc>
          <w:tcPr>
            <w:tcW w:w="3480" w:type="pct"/>
            <w:tcBorders>
              <w:tl2br w:val="nil"/>
              <w:tr2bl w:val="nil"/>
            </w:tcBorders>
            <w:noWrap w:val="0"/>
            <w:vAlign w:val="center"/>
          </w:tcPr>
          <w:p w14:paraId="516230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left"/>
              <w:textAlignment w:val="auto"/>
              <w:rPr>
                <w:rFonts w:hint="eastAsia" w:ascii="宋体" w:hAnsi="宋体" w:eastAsia="宋体" w:cs="宋体"/>
                <w:color w:val="auto"/>
                <w:spacing w:val="0"/>
                <w:kern w:val="0"/>
                <w:sz w:val="21"/>
                <w:szCs w:val="21"/>
                <w:highlight w:val="none"/>
                <w:lang w:eastAsia="zh-CN"/>
              </w:rPr>
            </w:pPr>
            <w:r>
              <w:rPr>
                <w:rFonts w:hint="eastAsia" w:ascii="宋体" w:hAnsi="宋体" w:eastAsia="宋体" w:cs="宋体"/>
                <w:color w:val="auto"/>
                <w:spacing w:val="0"/>
                <w:kern w:val="0"/>
                <w:sz w:val="21"/>
                <w:szCs w:val="21"/>
                <w:highlight w:val="none"/>
              </w:rPr>
              <w:t>春季</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；夏季</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；秋季</w:t>
            </w:r>
            <w:r>
              <w:rPr>
                <w:rFonts w:hint="eastAsia" w:ascii="宋体" w:hAnsi="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；冬季</w:t>
            </w:r>
            <w:r>
              <w:rPr>
                <w:rFonts w:hint="eastAsia" w:ascii="宋体" w:hAnsi="宋体" w:cs="宋体"/>
                <w:color w:val="auto"/>
                <w:spacing w:val="0"/>
                <w:kern w:val="0"/>
                <w:sz w:val="21"/>
                <w:szCs w:val="21"/>
                <w:highlight w:val="none"/>
                <w:lang w:eastAsia="zh-CN"/>
              </w:rPr>
              <w:t>☑</w:t>
            </w:r>
          </w:p>
          <w:p w14:paraId="6B5E60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auto"/>
              <w:rPr>
                <w:rFonts w:hint="eastAsia"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丰水期□；枯水期□；平水期□</w:t>
            </w:r>
          </w:p>
        </w:tc>
      </w:tr>
      <w:tr w14:paraId="1B96B6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64" w:hRule="atLeast"/>
          <w:jc w:val="center"/>
        </w:trPr>
        <w:tc>
          <w:tcPr>
            <w:tcW w:w="669" w:type="pct"/>
            <w:gridSpan w:val="2"/>
            <w:vMerge w:val="continue"/>
            <w:tcBorders>
              <w:tl2br w:val="nil"/>
              <w:tr2bl w:val="nil"/>
            </w:tcBorders>
            <w:noWrap w:val="0"/>
            <w:vAlign w:val="center"/>
          </w:tcPr>
          <w:p w14:paraId="50B682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auto"/>
                <w:spacing w:val="0"/>
                <w:kern w:val="0"/>
                <w:sz w:val="21"/>
                <w:szCs w:val="21"/>
                <w:highlight w:val="none"/>
              </w:rPr>
            </w:pPr>
          </w:p>
        </w:tc>
        <w:tc>
          <w:tcPr>
            <w:tcW w:w="849" w:type="pct"/>
            <w:tcBorders>
              <w:tl2br w:val="nil"/>
              <w:tr2bl w:val="nil"/>
            </w:tcBorders>
            <w:noWrap w:val="0"/>
            <w:vAlign w:val="center"/>
          </w:tcPr>
          <w:p w14:paraId="044FB8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所在区域的生态问题</w:t>
            </w:r>
          </w:p>
        </w:tc>
        <w:tc>
          <w:tcPr>
            <w:tcW w:w="3480" w:type="pct"/>
            <w:tcBorders>
              <w:tl2br w:val="nil"/>
              <w:tr2bl w:val="nil"/>
            </w:tcBorders>
            <w:noWrap w:val="0"/>
            <w:vAlign w:val="center"/>
          </w:tcPr>
          <w:p w14:paraId="161757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auto"/>
              <w:rPr>
                <w:rFonts w:hint="eastAsia" w:ascii="宋体" w:hAnsi="宋体" w:eastAsia="宋体" w:cs="宋体"/>
                <w:color w:val="auto"/>
                <w:spacing w:val="0"/>
                <w:kern w:val="0"/>
                <w:sz w:val="21"/>
                <w:szCs w:val="21"/>
                <w:highlight w:val="none"/>
                <w:lang w:eastAsia="zh-CN"/>
              </w:rPr>
            </w:pPr>
            <w:r>
              <w:rPr>
                <w:rFonts w:hint="eastAsia" w:ascii="宋体" w:hAnsi="宋体" w:eastAsia="宋体" w:cs="宋体"/>
                <w:color w:val="auto"/>
                <w:spacing w:val="0"/>
                <w:kern w:val="0"/>
                <w:sz w:val="21"/>
                <w:szCs w:val="21"/>
                <w:highlight w:val="none"/>
              </w:rPr>
              <w:t>水土流失</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；沙漠化</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；石漠化□；盐渍化</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；生物入侵□；污染危害□；其他</w:t>
            </w:r>
            <w:r>
              <w:rPr>
                <w:rFonts w:hint="eastAsia" w:ascii="宋体" w:hAnsi="宋体" w:eastAsia="宋体" w:cs="宋体"/>
                <w:color w:val="auto"/>
                <w:spacing w:val="0"/>
                <w:kern w:val="0"/>
                <w:sz w:val="21"/>
                <w:szCs w:val="21"/>
                <w:highlight w:val="none"/>
                <w:lang w:eastAsia="zh-CN"/>
              </w:rPr>
              <w:t>☑</w:t>
            </w:r>
          </w:p>
        </w:tc>
      </w:tr>
      <w:tr w14:paraId="2AAE39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64" w:hRule="atLeast"/>
          <w:jc w:val="center"/>
        </w:trPr>
        <w:tc>
          <w:tcPr>
            <w:tcW w:w="669" w:type="pct"/>
            <w:gridSpan w:val="2"/>
            <w:vMerge w:val="continue"/>
            <w:tcBorders>
              <w:tl2br w:val="nil"/>
              <w:tr2bl w:val="nil"/>
            </w:tcBorders>
            <w:noWrap w:val="0"/>
            <w:vAlign w:val="center"/>
          </w:tcPr>
          <w:p w14:paraId="35FA33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auto"/>
                <w:spacing w:val="0"/>
                <w:kern w:val="0"/>
                <w:sz w:val="21"/>
                <w:szCs w:val="21"/>
                <w:highlight w:val="none"/>
              </w:rPr>
            </w:pPr>
          </w:p>
        </w:tc>
        <w:tc>
          <w:tcPr>
            <w:tcW w:w="849" w:type="pct"/>
            <w:tcBorders>
              <w:tl2br w:val="nil"/>
              <w:tr2bl w:val="nil"/>
            </w:tcBorders>
            <w:noWrap w:val="0"/>
            <w:vAlign w:val="center"/>
          </w:tcPr>
          <w:p w14:paraId="2DDCCC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评价内容</w:t>
            </w:r>
          </w:p>
        </w:tc>
        <w:tc>
          <w:tcPr>
            <w:tcW w:w="3480" w:type="pct"/>
            <w:tcBorders>
              <w:tl2br w:val="nil"/>
              <w:tr2bl w:val="nil"/>
            </w:tcBorders>
            <w:noWrap w:val="0"/>
            <w:vAlign w:val="center"/>
          </w:tcPr>
          <w:p w14:paraId="254198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auto"/>
              <w:rPr>
                <w:rFonts w:hint="eastAsia" w:ascii="宋体" w:hAnsi="宋体" w:eastAsia="宋体" w:cs="宋体"/>
                <w:color w:val="auto"/>
                <w:spacing w:val="0"/>
                <w:kern w:val="0"/>
                <w:sz w:val="21"/>
                <w:szCs w:val="21"/>
                <w:highlight w:val="none"/>
                <w:lang w:eastAsia="zh-CN"/>
              </w:rPr>
            </w:pPr>
            <w:r>
              <w:rPr>
                <w:rFonts w:hint="eastAsia" w:ascii="宋体" w:hAnsi="宋体" w:eastAsia="宋体" w:cs="宋体"/>
                <w:color w:val="auto"/>
                <w:spacing w:val="0"/>
                <w:kern w:val="0"/>
                <w:sz w:val="21"/>
                <w:szCs w:val="21"/>
                <w:highlight w:val="none"/>
              </w:rPr>
              <w:t>植被/植物群落</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；土地利用</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；生态系统</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；生物多样性</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；重要物种□；生态敏感区</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；其他</w:t>
            </w:r>
            <w:r>
              <w:rPr>
                <w:rFonts w:hint="eastAsia" w:ascii="宋体" w:hAnsi="宋体" w:eastAsia="宋体" w:cs="宋体"/>
                <w:color w:val="auto"/>
                <w:spacing w:val="0"/>
                <w:kern w:val="0"/>
                <w:sz w:val="21"/>
                <w:szCs w:val="21"/>
                <w:highlight w:val="none"/>
                <w:lang w:eastAsia="zh-CN"/>
              </w:rPr>
              <w:t>☑</w:t>
            </w:r>
          </w:p>
        </w:tc>
      </w:tr>
      <w:tr w14:paraId="7B020F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6" w:hRule="atLeast"/>
          <w:jc w:val="center"/>
        </w:trPr>
        <w:tc>
          <w:tcPr>
            <w:tcW w:w="669" w:type="pct"/>
            <w:gridSpan w:val="2"/>
            <w:vMerge w:val="restart"/>
            <w:tcBorders>
              <w:tl2br w:val="nil"/>
              <w:tr2bl w:val="nil"/>
            </w:tcBorders>
            <w:noWrap w:val="0"/>
            <w:vAlign w:val="center"/>
          </w:tcPr>
          <w:p w14:paraId="27650A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生态影响预测与评价</w:t>
            </w:r>
          </w:p>
        </w:tc>
        <w:tc>
          <w:tcPr>
            <w:tcW w:w="849" w:type="pct"/>
            <w:tcBorders>
              <w:tl2br w:val="nil"/>
              <w:tr2bl w:val="nil"/>
            </w:tcBorders>
            <w:noWrap w:val="0"/>
            <w:vAlign w:val="center"/>
          </w:tcPr>
          <w:p w14:paraId="4DA4A9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评价方法</w:t>
            </w:r>
          </w:p>
        </w:tc>
        <w:tc>
          <w:tcPr>
            <w:tcW w:w="3480" w:type="pct"/>
            <w:tcBorders>
              <w:tl2br w:val="nil"/>
              <w:tr2bl w:val="nil"/>
            </w:tcBorders>
            <w:noWrap w:val="0"/>
            <w:vAlign w:val="center"/>
          </w:tcPr>
          <w:p w14:paraId="1FF3A5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auto"/>
              <w:rPr>
                <w:rFonts w:hint="eastAsia" w:ascii="宋体" w:hAnsi="宋体" w:eastAsia="宋体" w:cs="宋体"/>
                <w:color w:val="auto"/>
                <w:spacing w:val="0"/>
                <w:kern w:val="0"/>
                <w:sz w:val="21"/>
                <w:szCs w:val="21"/>
                <w:highlight w:val="none"/>
                <w:lang w:eastAsia="zh-CN"/>
              </w:rPr>
            </w:pPr>
            <w:r>
              <w:rPr>
                <w:rFonts w:hint="eastAsia" w:ascii="宋体" w:hAnsi="宋体" w:eastAsia="宋体" w:cs="宋体"/>
                <w:color w:val="auto"/>
                <w:spacing w:val="0"/>
                <w:kern w:val="0"/>
                <w:sz w:val="21"/>
                <w:szCs w:val="21"/>
                <w:highlight w:val="none"/>
              </w:rPr>
              <w:t>定性</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；定性和定量</w:t>
            </w:r>
            <w:r>
              <w:rPr>
                <w:rFonts w:hint="eastAsia" w:ascii="宋体" w:hAnsi="宋体" w:eastAsia="宋体" w:cs="宋体"/>
                <w:color w:val="auto"/>
                <w:spacing w:val="0"/>
                <w:kern w:val="0"/>
                <w:sz w:val="21"/>
                <w:szCs w:val="21"/>
                <w:highlight w:val="none"/>
                <w:lang w:eastAsia="zh-CN"/>
              </w:rPr>
              <w:t>□</w:t>
            </w:r>
          </w:p>
        </w:tc>
      </w:tr>
      <w:tr w14:paraId="187AE0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64" w:hRule="atLeast"/>
          <w:jc w:val="center"/>
        </w:trPr>
        <w:tc>
          <w:tcPr>
            <w:tcW w:w="669" w:type="pct"/>
            <w:gridSpan w:val="2"/>
            <w:vMerge w:val="continue"/>
            <w:tcBorders>
              <w:tl2br w:val="nil"/>
              <w:tr2bl w:val="nil"/>
            </w:tcBorders>
            <w:noWrap w:val="0"/>
            <w:vAlign w:val="center"/>
          </w:tcPr>
          <w:p w14:paraId="6CF410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auto"/>
                <w:spacing w:val="0"/>
                <w:kern w:val="0"/>
                <w:sz w:val="21"/>
                <w:szCs w:val="21"/>
                <w:highlight w:val="none"/>
              </w:rPr>
            </w:pPr>
          </w:p>
        </w:tc>
        <w:tc>
          <w:tcPr>
            <w:tcW w:w="849" w:type="pct"/>
            <w:tcBorders>
              <w:tl2br w:val="nil"/>
              <w:tr2bl w:val="nil"/>
            </w:tcBorders>
            <w:noWrap w:val="0"/>
            <w:vAlign w:val="center"/>
          </w:tcPr>
          <w:p w14:paraId="0F3095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评价内容</w:t>
            </w:r>
          </w:p>
        </w:tc>
        <w:tc>
          <w:tcPr>
            <w:tcW w:w="3480" w:type="pct"/>
            <w:tcBorders>
              <w:tl2br w:val="nil"/>
              <w:tr2bl w:val="nil"/>
            </w:tcBorders>
            <w:noWrap w:val="0"/>
            <w:vAlign w:val="center"/>
          </w:tcPr>
          <w:p w14:paraId="3412CC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auto"/>
              <w:rPr>
                <w:rFonts w:hint="eastAsia" w:ascii="宋体" w:hAnsi="宋体" w:eastAsia="宋体" w:cs="宋体"/>
                <w:color w:val="auto"/>
                <w:spacing w:val="0"/>
                <w:kern w:val="0"/>
                <w:sz w:val="21"/>
                <w:szCs w:val="21"/>
                <w:highlight w:val="none"/>
                <w:lang w:eastAsia="zh-CN"/>
              </w:rPr>
            </w:pPr>
            <w:r>
              <w:rPr>
                <w:rFonts w:hint="eastAsia" w:ascii="宋体" w:hAnsi="宋体" w:eastAsia="宋体" w:cs="宋体"/>
                <w:color w:val="auto"/>
                <w:spacing w:val="0"/>
                <w:kern w:val="0"/>
                <w:sz w:val="21"/>
                <w:szCs w:val="21"/>
                <w:highlight w:val="none"/>
              </w:rPr>
              <w:t>植被/植物群落</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；土地利用</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；生态系统</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；生物多样性</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；重要物种□；生态敏感区□；生物入侵风险□；其他</w:t>
            </w:r>
            <w:r>
              <w:rPr>
                <w:rFonts w:hint="eastAsia" w:ascii="宋体" w:hAnsi="宋体" w:eastAsia="宋体" w:cs="宋体"/>
                <w:color w:val="auto"/>
                <w:spacing w:val="0"/>
                <w:kern w:val="0"/>
                <w:sz w:val="21"/>
                <w:szCs w:val="21"/>
                <w:highlight w:val="none"/>
                <w:lang w:eastAsia="zh-CN"/>
              </w:rPr>
              <w:t>☑</w:t>
            </w:r>
          </w:p>
        </w:tc>
      </w:tr>
      <w:tr w14:paraId="35A574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6" w:hRule="atLeast"/>
          <w:jc w:val="center"/>
        </w:trPr>
        <w:tc>
          <w:tcPr>
            <w:tcW w:w="669" w:type="pct"/>
            <w:gridSpan w:val="2"/>
            <w:vMerge w:val="restart"/>
            <w:tcBorders>
              <w:tl2br w:val="nil"/>
              <w:tr2bl w:val="nil"/>
            </w:tcBorders>
            <w:noWrap w:val="0"/>
            <w:vAlign w:val="center"/>
          </w:tcPr>
          <w:p w14:paraId="3EE781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生态保护对策措施</w:t>
            </w:r>
          </w:p>
        </w:tc>
        <w:tc>
          <w:tcPr>
            <w:tcW w:w="849" w:type="pct"/>
            <w:tcBorders>
              <w:tl2br w:val="nil"/>
              <w:tr2bl w:val="nil"/>
            </w:tcBorders>
            <w:noWrap w:val="0"/>
            <w:vAlign w:val="center"/>
          </w:tcPr>
          <w:p w14:paraId="05857E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对策措施</w:t>
            </w:r>
          </w:p>
        </w:tc>
        <w:tc>
          <w:tcPr>
            <w:tcW w:w="3480" w:type="pct"/>
            <w:tcBorders>
              <w:tl2br w:val="nil"/>
              <w:tr2bl w:val="nil"/>
            </w:tcBorders>
            <w:noWrap w:val="0"/>
            <w:vAlign w:val="center"/>
          </w:tcPr>
          <w:p w14:paraId="2A5B83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auto"/>
              <w:rPr>
                <w:rFonts w:hint="eastAsia" w:ascii="宋体" w:hAnsi="宋体" w:eastAsia="宋体" w:cs="宋体"/>
                <w:color w:val="auto"/>
                <w:spacing w:val="0"/>
                <w:kern w:val="0"/>
                <w:sz w:val="21"/>
                <w:szCs w:val="21"/>
                <w:highlight w:val="none"/>
                <w:lang w:eastAsia="zh-CN"/>
              </w:rPr>
            </w:pPr>
            <w:r>
              <w:rPr>
                <w:rFonts w:hint="eastAsia" w:ascii="宋体" w:hAnsi="宋体" w:eastAsia="宋体" w:cs="宋体"/>
                <w:color w:val="auto"/>
                <w:spacing w:val="0"/>
                <w:kern w:val="0"/>
                <w:sz w:val="21"/>
                <w:szCs w:val="21"/>
                <w:highlight w:val="none"/>
              </w:rPr>
              <w:t>避让</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；减缓</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；生态修复</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；生态补偿</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；科研□；其他</w:t>
            </w:r>
            <w:r>
              <w:rPr>
                <w:rFonts w:hint="eastAsia" w:ascii="宋体" w:hAnsi="宋体" w:eastAsia="宋体" w:cs="宋体"/>
                <w:color w:val="auto"/>
                <w:spacing w:val="0"/>
                <w:kern w:val="0"/>
                <w:sz w:val="21"/>
                <w:szCs w:val="21"/>
                <w:highlight w:val="none"/>
                <w:lang w:eastAsia="zh-CN"/>
              </w:rPr>
              <w:t>☑</w:t>
            </w:r>
          </w:p>
        </w:tc>
      </w:tr>
      <w:tr w14:paraId="33EAA0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64" w:hRule="atLeast"/>
          <w:jc w:val="center"/>
        </w:trPr>
        <w:tc>
          <w:tcPr>
            <w:tcW w:w="669" w:type="pct"/>
            <w:gridSpan w:val="2"/>
            <w:vMerge w:val="continue"/>
            <w:tcBorders>
              <w:tl2br w:val="nil"/>
              <w:tr2bl w:val="nil"/>
            </w:tcBorders>
            <w:noWrap w:val="0"/>
            <w:vAlign w:val="center"/>
          </w:tcPr>
          <w:p w14:paraId="3AE4F1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auto"/>
                <w:spacing w:val="0"/>
                <w:kern w:val="0"/>
                <w:sz w:val="21"/>
                <w:szCs w:val="21"/>
                <w:highlight w:val="none"/>
              </w:rPr>
            </w:pPr>
          </w:p>
        </w:tc>
        <w:tc>
          <w:tcPr>
            <w:tcW w:w="849" w:type="pct"/>
            <w:tcBorders>
              <w:tl2br w:val="nil"/>
              <w:tr2bl w:val="nil"/>
            </w:tcBorders>
            <w:noWrap w:val="0"/>
            <w:vAlign w:val="center"/>
          </w:tcPr>
          <w:p w14:paraId="3CDD96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生态监测计划</w:t>
            </w:r>
          </w:p>
        </w:tc>
        <w:tc>
          <w:tcPr>
            <w:tcW w:w="3480" w:type="pct"/>
            <w:tcBorders>
              <w:tl2br w:val="nil"/>
              <w:tr2bl w:val="nil"/>
            </w:tcBorders>
            <w:noWrap w:val="0"/>
            <w:vAlign w:val="center"/>
          </w:tcPr>
          <w:p w14:paraId="59A047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auto"/>
              <w:rPr>
                <w:rFonts w:hint="eastAsia"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全生命周期□；长期跟踪□；常规</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；无□</w:t>
            </w:r>
          </w:p>
        </w:tc>
      </w:tr>
      <w:tr w14:paraId="02C025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6" w:hRule="atLeast"/>
          <w:jc w:val="center"/>
        </w:trPr>
        <w:tc>
          <w:tcPr>
            <w:tcW w:w="669" w:type="pct"/>
            <w:gridSpan w:val="2"/>
            <w:vMerge w:val="continue"/>
            <w:tcBorders>
              <w:tl2br w:val="nil"/>
              <w:tr2bl w:val="nil"/>
            </w:tcBorders>
            <w:noWrap w:val="0"/>
            <w:vAlign w:val="center"/>
          </w:tcPr>
          <w:p w14:paraId="6F86BB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auto"/>
                <w:spacing w:val="0"/>
                <w:kern w:val="0"/>
                <w:sz w:val="21"/>
                <w:szCs w:val="21"/>
                <w:highlight w:val="none"/>
              </w:rPr>
            </w:pPr>
          </w:p>
        </w:tc>
        <w:tc>
          <w:tcPr>
            <w:tcW w:w="849" w:type="pct"/>
            <w:tcBorders>
              <w:tl2br w:val="nil"/>
              <w:tr2bl w:val="nil"/>
            </w:tcBorders>
            <w:noWrap w:val="0"/>
            <w:vAlign w:val="center"/>
          </w:tcPr>
          <w:p w14:paraId="61EE2B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环境管理</w:t>
            </w:r>
          </w:p>
        </w:tc>
        <w:tc>
          <w:tcPr>
            <w:tcW w:w="3480" w:type="pct"/>
            <w:tcBorders>
              <w:tl2br w:val="nil"/>
              <w:tr2bl w:val="nil"/>
            </w:tcBorders>
            <w:noWrap w:val="0"/>
            <w:vAlign w:val="center"/>
          </w:tcPr>
          <w:p w14:paraId="6AABE6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auto"/>
              <w:rPr>
                <w:rFonts w:hint="eastAsia" w:ascii="宋体" w:hAnsi="宋体" w:eastAsia="宋体" w:cs="宋体"/>
                <w:color w:val="auto"/>
                <w:spacing w:val="0"/>
                <w:kern w:val="0"/>
                <w:sz w:val="21"/>
                <w:szCs w:val="21"/>
                <w:highlight w:val="none"/>
                <w:lang w:eastAsia="zh-CN"/>
              </w:rPr>
            </w:pPr>
            <w:r>
              <w:rPr>
                <w:rFonts w:hint="eastAsia" w:ascii="宋体" w:hAnsi="宋体" w:eastAsia="宋体" w:cs="宋体"/>
                <w:color w:val="auto"/>
                <w:spacing w:val="0"/>
                <w:kern w:val="0"/>
                <w:sz w:val="21"/>
                <w:szCs w:val="21"/>
                <w:highlight w:val="none"/>
              </w:rPr>
              <w:t>环境监理</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；环境影响后评价</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；其他</w:t>
            </w:r>
            <w:r>
              <w:rPr>
                <w:rFonts w:hint="eastAsia" w:ascii="宋体" w:hAnsi="宋体" w:eastAsia="宋体" w:cs="宋体"/>
                <w:color w:val="auto"/>
                <w:spacing w:val="0"/>
                <w:kern w:val="0"/>
                <w:sz w:val="21"/>
                <w:szCs w:val="21"/>
                <w:highlight w:val="none"/>
                <w:lang w:eastAsia="zh-CN"/>
              </w:rPr>
              <w:t>☑</w:t>
            </w:r>
          </w:p>
        </w:tc>
      </w:tr>
      <w:tr w14:paraId="05D844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6" w:hRule="atLeast"/>
          <w:jc w:val="center"/>
        </w:trPr>
        <w:tc>
          <w:tcPr>
            <w:tcW w:w="669" w:type="pct"/>
            <w:gridSpan w:val="2"/>
            <w:tcBorders>
              <w:tl2br w:val="nil"/>
              <w:tr2bl w:val="nil"/>
            </w:tcBorders>
            <w:noWrap w:val="0"/>
            <w:vAlign w:val="center"/>
          </w:tcPr>
          <w:p w14:paraId="40B6A8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评价结论</w:t>
            </w:r>
          </w:p>
        </w:tc>
        <w:tc>
          <w:tcPr>
            <w:tcW w:w="849" w:type="pct"/>
            <w:tcBorders>
              <w:tl2br w:val="nil"/>
              <w:tr2bl w:val="nil"/>
            </w:tcBorders>
            <w:noWrap w:val="0"/>
            <w:vAlign w:val="center"/>
          </w:tcPr>
          <w:p w14:paraId="1CDB04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rPr>
              <w:t>生态影响</w:t>
            </w:r>
          </w:p>
        </w:tc>
        <w:tc>
          <w:tcPr>
            <w:tcW w:w="3480" w:type="pct"/>
            <w:tcBorders>
              <w:tl2br w:val="nil"/>
              <w:tr2bl w:val="nil"/>
            </w:tcBorders>
            <w:noWrap w:val="0"/>
            <w:vAlign w:val="center"/>
          </w:tcPr>
          <w:p w14:paraId="17BB12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auto"/>
              <w:rPr>
                <w:rFonts w:hint="eastAsia" w:ascii="宋体" w:hAnsi="宋体" w:eastAsia="宋体" w:cs="宋体"/>
                <w:color w:val="auto"/>
                <w:spacing w:val="0"/>
                <w:kern w:val="0"/>
                <w:sz w:val="21"/>
                <w:szCs w:val="21"/>
                <w:highlight w:val="none"/>
                <w:lang w:eastAsia="zh-CN"/>
              </w:rPr>
            </w:pPr>
            <w:r>
              <w:rPr>
                <w:rFonts w:hint="eastAsia" w:ascii="宋体" w:hAnsi="宋体" w:eastAsia="宋体" w:cs="宋体"/>
                <w:color w:val="auto"/>
                <w:spacing w:val="0"/>
                <w:kern w:val="0"/>
                <w:sz w:val="21"/>
                <w:szCs w:val="21"/>
                <w:highlight w:val="none"/>
              </w:rPr>
              <w:t>可行</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；不可行</w:t>
            </w:r>
            <w:r>
              <w:rPr>
                <w:rFonts w:hint="eastAsia" w:ascii="宋体" w:hAnsi="宋体" w:eastAsia="宋体" w:cs="宋体"/>
                <w:color w:val="auto"/>
                <w:spacing w:val="0"/>
                <w:kern w:val="0"/>
                <w:sz w:val="21"/>
                <w:szCs w:val="21"/>
                <w:highlight w:val="none"/>
                <w:lang w:eastAsia="zh-CN"/>
              </w:rPr>
              <w:t>□</w:t>
            </w:r>
          </w:p>
        </w:tc>
      </w:tr>
      <w:tr w14:paraId="41A9F5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6" w:hRule="atLeast"/>
          <w:jc w:val="center"/>
        </w:trPr>
        <w:tc>
          <w:tcPr>
            <w:tcW w:w="5000" w:type="pct"/>
            <w:gridSpan w:val="4"/>
            <w:tcBorders>
              <w:tl2br w:val="nil"/>
              <w:tr2bl w:val="nil"/>
            </w:tcBorders>
            <w:noWrap w:val="0"/>
            <w:vAlign w:val="center"/>
          </w:tcPr>
          <w:p w14:paraId="06FA9A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auto"/>
              <w:rPr>
                <w:rFonts w:hint="eastAsia"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lang w:val="en-US" w:eastAsia="zh-CN"/>
              </w:rPr>
              <w:t>注：</w:t>
            </w:r>
            <w:r>
              <w:rPr>
                <w:rFonts w:hint="eastAsia" w:ascii="宋体" w:hAnsi="宋体" w:eastAsia="宋体" w:cs="宋体"/>
                <w:color w:val="auto"/>
                <w:spacing w:val="0"/>
                <w:kern w:val="0"/>
                <w:sz w:val="21"/>
                <w:szCs w:val="21"/>
                <w:highlight w:val="none"/>
              </w:rPr>
              <w:t>“□”为勾选项，可√；“（）”为内容填写项。</w:t>
            </w:r>
          </w:p>
        </w:tc>
      </w:tr>
    </w:tbl>
    <w:p w14:paraId="220681F4">
      <w:pPr>
        <w:pStyle w:val="75"/>
        <w:bidi w:val="0"/>
        <w:rPr>
          <w:rFonts w:hint="default"/>
          <w:color w:val="auto"/>
          <w:lang w:val="en-US" w:eastAsia="zh-CN"/>
        </w:rPr>
      </w:pPr>
      <w:bookmarkStart w:id="621" w:name="_Toc5466"/>
      <w:bookmarkStart w:id="622" w:name="_Toc31183"/>
      <w:bookmarkStart w:id="623" w:name="_Toc119915023"/>
      <w:bookmarkStart w:id="624" w:name="_Toc24597"/>
      <w:bookmarkStart w:id="625" w:name="_Toc5739"/>
      <w:bookmarkStart w:id="626" w:name="_Toc2718"/>
      <w:bookmarkStart w:id="627" w:name="_Toc10578"/>
      <w:bookmarkStart w:id="628" w:name="_Toc23776"/>
      <w:bookmarkStart w:id="629" w:name="_Toc101275987"/>
      <w:bookmarkStart w:id="630" w:name="_Toc814"/>
      <w:bookmarkStart w:id="631" w:name="_Toc13851"/>
      <w:bookmarkStart w:id="632" w:name="_Toc31818"/>
      <w:bookmarkStart w:id="633" w:name="_Toc16847"/>
      <w:r>
        <w:rPr>
          <w:rFonts w:hint="default"/>
          <w:color w:val="auto"/>
          <w:lang w:val="en-US" w:eastAsia="zh-CN"/>
        </w:rPr>
        <w:t>5.</w:t>
      </w:r>
      <w:r>
        <w:rPr>
          <w:rFonts w:hint="eastAsia"/>
          <w:color w:val="auto"/>
          <w:lang w:val="en-US" w:eastAsia="zh-CN"/>
        </w:rPr>
        <w:t xml:space="preserve">2 </w:t>
      </w:r>
      <w:r>
        <w:rPr>
          <w:rFonts w:hint="default"/>
          <w:color w:val="auto"/>
          <w:lang w:val="en-US" w:eastAsia="zh-CN"/>
        </w:rPr>
        <w:t>地下水环境影响分析与评价</w:t>
      </w:r>
      <w:bookmarkEnd w:id="621"/>
      <w:bookmarkEnd w:id="622"/>
      <w:bookmarkEnd w:id="623"/>
      <w:bookmarkEnd w:id="624"/>
      <w:bookmarkEnd w:id="625"/>
      <w:bookmarkEnd w:id="626"/>
      <w:bookmarkEnd w:id="627"/>
    </w:p>
    <w:p w14:paraId="3F01B9AE">
      <w:pPr>
        <w:pStyle w:val="54"/>
        <w:bidi w:val="0"/>
        <w:rPr>
          <w:color w:val="auto"/>
          <w:lang w:val="en-US" w:eastAsia="zh-CN"/>
        </w:rPr>
      </w:pPr>
      <w:r>
        <w:rPr>
          <w:rFonts w:hint="eastAsia"/>
          <w:color w:val="auto"/>
          <w:lang w:val="en-US" w:eastAsia="zh-CN"/>
        </w:rPr>
        <w:t>5</w:t>
      </w:r>
      <w:r>
        <w:rPr>
          <w:color w:val="auto"/>
          <w:lang w:val="en-US" w:eastAsia="zh-CN"/>
        </w:rPr>
        <w:t>.</w:t>
      </w:r>
      <w:r>
        <w:rPr>
          <w:rFonts w:hint="eastAsia"/>
          <w:color w:val="auto"/>
          <w:lang w:val="en-US" w:eastAsia="zh-CN"/>
        </w:rPr>
        <w:t>2</w:t>
      </w:r>
      <w:r>
        <w:rPr>
          <w:color w:val="auto"/>
          <w:lang w:val="en-US" w:eastAsia="zh-CN"/>
        </w:rPr>
        <w:t>.1</w:t>
      </w:r>
      <w:r>
        <w:rPr>
          <w:rFonts w:hint="eastAsia"/>
          <w:color w:val="auto"/>
          <w:lang w:val="en-US" w:eastAsia="zh-CN"/>
        </w:rPr>
        <w:t xml:space="preserve"> </w:t>
      </w:r>
      <w:r>
        <w:rPr>
          <w:color w:val="auto"/>
          <w:lang w:val="en-US" w:eastAsia="zh-CN"/>
        </w:rPr>
        <w:t>水文地质</w:t>
      </w:r>
      <w:r>
        <w:rPr>
          <w:rFonts w:hint="eastAsia"/>
          <w:color w:val="auto"/>
          <w:lang w:val="en-US" w:eastAsia="zh-CN"/>
        </w:rPr>
        <w:t>条件</w:t>
      </w:r>
    </w:p>
    <w:p w14:paraId="2D26747E">
      <w:pPr>
        <w:pStyle w:val="55"/>
        <w:bidi w:val="0"/>
        <w:rPr>
          <w:rFonts w:hint="default"/>
          <w:color w:val="auto"/>
        </w:rPr>
      </w:pPr>
      <w:r>
        <w:rPr>
          <w:rFonts w:hint="default"/>
          <w:color w:val="auto"/>
        </w:rPr>
        <w:t>5.</w:t>
      </w:r>
      <w:r>
        <w:rPr>
          <w:rFonts w:hint="eastAsia"/>
          <w:color w:val="auto"/>
          <w:lang w:val="en-US" w:eastAsia="zh-CN"/>
        </w:rPr>
        <w:t>2</w:t>
      </w:r>
      <w:r>
        <w:rPr>
          <w:rFonts w:hint="default"/>
          <w:color w:val="auto"/>
        </w:rPr>
        <w:t>.1.1区域水文地质</w:t>
      </w:r>
    </w:p>
    <w:p w14:paraId="0AA465A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（1）地下水的赋存条件及分布特征</w:t>
      </w:r>
    </w:p>
    <w:p w14:paraId="182AFC7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该区域分布于314国道以南塔里木河以北却勒塔格山洪积冲积平原，部分凝析</w:t>
      </w:r>
      <w:r>
        <w:rPr>
          <w:rFonts w:hint="eastAsia" w:cs="Times New Roman"/>
          <w:color w:val="auto"/>
          <w:sz w:val="24"/>
          <w:szCs w:val="24"/>
          <w:lang w:eastAsia="zh-CN"/>
        </w:rPr>
        <w:t>油田</w:t>
      </w:r>
      <w:r>
        <w:rPr>
          <w:rFonts w:hint="default" w:ascii="Times New Roman" w:hAnsi="Times New Roman" w:eastAsia="宋体" w:cs="Times New Roman"/>
          <w:color w:val="auto"/>
          <w:sz w:val="24"/>
          <w:szCs w:val="24"/>
        </w:rPr>
        <w:t>区位于渭干河冲洪积平原尾缘地段，与塔里木河冲积平原</w:t>
      </w:r>
      <w:r>
        <w:rPr>
          <w:rFonts w:hint="eastAsia" w:cs="Times New Roman"/>
          <w:color w:val="auto"/>
          <w:sz w:val="24"/>
          <w:szCs w:val="24"/>
          <w:lang w:eastAsia="zh-CN"/>
        </w:rPr>
        <w:t>相衔接</w:t>
      </w:r>
      <w:r>
        <w:rPr>
          <w:rFonts w:hint="default" w:ascii="Times New Roman" w:hAnsi="Times New Roman" w:eastAsia="宋体" w:cs="Times New Roman"/>
          <w:color w:val="auto"/>
          <w:sz w:val="24"/>
          <w:szCs w:val="24"/>
        </w:rPr>
        <w:t>，地貌上属细土平原带。</w:t>
      </w:r>
    </w:p>
    <w:p w14:paraId="682D8A8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含水层的特征为：区域内水文地质条件因地形地貌的变化有一定的差异，凝析</w:t>
      </w:r>
      <w:r>
        <w:rPr>
          <w:rFonts w:hint="eastAsia" w:cs="Times New Roman"/>
          <w:color w:val="auto"/>
          <w:sz w:val="24"/>
          <w:szCs w:val="24"/>
          <w:lang w:eastAsia="zh-CN"/>
        </w:rPr>
        <w:t>油气田</w:t>
      </w:r>
      <w:r>
        <w:rPr>
          <w:rFonts w:hint="default" w:ascii="Times New Roman" w:hAnsi="Times New Roman" w:eastAsia="宋体" w:cs="Times New Roman"/>
          <w:color w:val="auto"/>
          <w:sz w:val="24"/>
          <w:szCs w:val="24"/>
        </w:rPr>
        <w:t>区位于渭干河洪冲积平原边缘与塔里木河冲积平原交接处，表层岩性为粘土、亚粘土及粉细砂、亚砂土，部分地区土壤盐渍化严重，地下水径流滞缓，属弱富水的潜水及承压水区，潜水位2m～10m，潜水矿化度大于3g/L。根据已有的资料在150m内有潜水和三层承压含水层。</w:t>
      </w:r>
    </w:p>
    <w:p w14:paraId="36AB95D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（2）区域含水层的分布及富水性</w:t>
      </w:r>
    </w:p>
    <w:p w14:paraId="4701887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潜水含水层岩性为细砂、亚砂土，含水层厚度在25m～35m，第一层承压含水层顶板埋深45m～55m，含水层岩性为粉细砂，含水层厚度12m～16m；第二层承压含水层顶板埋深70m～80m，含水层岩性为粉细砂，含水层厚度10m～15m；第三层承压含水层顶板埋深90m～100m，含水层岩性为粉细砂、细砂，含水层厚度15m～20m。承压含水层富水性弱，单位涌水量0.8L/s·m～1L/s·m左右，渗透系数3m/d～5m/d，水质较差，矿化度1g/L-3g/L左右，水化学类型为HC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vertAlign w:val="superscript"/>
        </w:rPr>
        <w:t>-</w:t>
      </w:r>
      <w:r>
        <w:rPr>
          <w:rFonts w:hint="default" w:ascii="Times New Roman" w:hAnsi="Times New Roman" w:eastAsia="宋体" w:cs="Times New Roman"/>
          <w:color w:val="auto"/>
          <w:sz w:val="24"/>
          <w:szCs w:val="24"/>
        </w:rPr>
        <w:t>·Cl-－Ca</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·Na</w:t>
      </w:r>
      <w:r>
        <w:rPr>
          <w:rFonts w:hint="default" w:ascii="Times New Roman" w:hAnsi="Times New Roman" w:eastAsia="宋体" w:cs="Times New Roman"/>
          <w:color w:val="auto"/>
          <w:sz w:val="24"/>
          <w:szCs w:val="24"/>
          <w:vertAlign w:val="superscript"/>
        </w:rPr>
        <w:t>+</w:t>
      </w:r>
      <w:r>
        <w:rPr>
          <w:rFonts w:hint="default" w:ascii="Times New Roman" w:hAnsi="Times New Roman" w:eastAsia="宋体" w:cs="Times New Roman"/>
          <w:color w:val="auto"/>
          <w:sz w:val="24"/>
          <w:szCs w:val="24"/>
        </w:rPr>
        <w:t>。</w:t>
      </w:r>
    </w:p>
    <w:p w14:paraId="73BA649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（3）水文地质分区</w:t>
      </w:r>
    </w:p>
    <w:p w14:paraId="06441500">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区域内地下主要有单一结构富水性极强的潜水层，多层结构富水性中等的潜水及富水性较强的承压水含水层，多层结构富水性弱的潜水及承压水含水层三种类型，上中部含水层颗粒粗大，为单一潜水层，单井出水量1000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/d～5000m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/d，为HCO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－Ca•Na型水，矿化度小于0.5g/L，下部为多层结构，潜水水量亦丰富，单井出水量达1000m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/d以上。库车地段承压水顶板埋深20m～40m，最大出水量270m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/d～829m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/d，属Cl</w:t>
      </w:r>
      <w:r>
        <w:rPr>
          <w:rFonts w:hint="default" w:ascii="Times New Roman" w:hAnsi="Times New Roman" w:eastAsia="宋体" w:cs="Times New Roman"/>
          <w:color w:val="auto"/>
          <w:sz w:val="24"/>
          <w:szCs w:val="24"/>
          <w:vertAlign w:val="superscript"/>
        </w:rPr>
        <w:t>－</w:t>
      </w:r>
      <w:r>
        <w:rPr>
          <w:rFonts w:hint="default" w:ascii="Times New Roman" w:hAnsi="Times New Roman" w:eastAsia="宋体" w:cs="Times New Roman"/>
          <w:color w:val="auto"/>
          <w:sz w:val="24"/>
          <w:szCs w:val="24"/>
        </w:rPr>
        <w:t>Na或Cl•SO</w:t>
      </w:r>
      <w:r>
        <w:rPr>
          <w:rFonts w:hint="default" w:ascii="Times New Roman" w:hAnsi="Times New Roman" w:eastAsia="宋体" w:cs="Times New Roman"/>
          <w:color w:val="auto"/>
          <w:sz w:val="24"/>
          <w:szCs w:val="24"/>
          <w:vertAlign w:val="subscript"/>
        </w:rPr>
        <w:t>4</w:t>
      </w:r>
      <w:r>
        <w:rPr>
          <w:rFonts w:hint="default" w:ascii="Times New Roman" w:hAnsi="Times New Roman" w:eastAsia="宋体" w:cs="Times New Roman"/>
          <w:color w:val="auto"/>
          <w:sz w:val="24"/>
          <w:szCs w:val="24"/>
        </w:rPr>
        <w:t>•HCO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vertAlign w:val="superscript"/>
        </w:rPr>
        <w:t>－</w:t>
      </w:r>
      <w:r>
        <w:rPr>
          <w:rFonts w:hint="default" w:ascii="Times New Roman" w:hAnsi="Times New Roman" w:eastAsia="宋体" w:cs="Times New Roman"/>
          <w:color w:val="auto"/>
          <w:sz w:val="24"/>
          <w:szCs w:val="24"/>
        </w:rPr>
        <w:t>Na•Ca型水，矿化度小于0.3g/L，而大涝坝、二八台、新和、沙雅地区，承压水顶板埋深7m～42m，最大出水量1025m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/d～5514m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/d，矿化度0.3g/L～0.6g/L，新和</w:t>
      </w:r>
      <w:r>
        <w:rPr>
          <w:rFonts w:hint="eastAsia" w:cs="Times New Roman"/>
          <w:color w:val="auto"/>
          <w:sz w:val="24"/>
          <w:szCs w:val="24"/>
          <w:lang w:val="en-US" w:eastAsia="zh-CN"/>
        </w:rPr>
        <w:t>地区</w:t>
      </w:r>
      <w:r>
        <w:rPr>
          <w:rFonts w:hint="default" w:ascii="Times New Roman" w:hAnsi="Times New Roman" w:eastAsia="宋体" w:cs="Times New Roman"/>
          <w:color w:val="auto"/>
          <w:sz w:val="24"/>
          <w:szCs w:val="24"/>
        </w:rPr>
        <w:t>南可增至11.97g/L。</w:t>
      </w:r>
    </w:p>
    <w:p w14:paraId="6E8BC7BC">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黑体" w:hAnsi="黑体" w:eastAsia="黑体" w:cs="黑体"/>
          <w:b/>
          <w:bCs w:val="0"/>
          <w:color w:val="auto"/>
          <w:kern w:val="2"/>
          <w:sz w:val="24"/>
          <w:szCs w:val="24"/>
          <w:lang w:val="en-US" w:eastAsia="zh-CN" w:bidi="ar-SA"/>
        </w:rPr>
      </w:pPr>
    </w:p>
    <w:p w14:paraId="7D521A72">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黑体" w:hAnsi="黑体" w:eastAsia="黑体" w:cs="黑体"/>
          <w:b/>
          <w:bCs w:val="0"/>
          <w:color w:val="auto"/>
          <w:kern w:val="2"/>
          <w:sz w:val="24"/>
          <w:szCs w:val="24"/>
          <w:lang w:val="en-US" w:eastAsia="zh-CN" w:bidi="ar-SA"/>
        </w:rPr>
      </w:pPr>
    </w:p>
    <w:p w14:paraId="346196C9">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黑体" w:hAnsi="黑体" w:eastAsia="黑体" w:cs="黑体"/>
          <w:b/>
          <w:bCs w:val="0"/>
          <w:color w:val="auto"/>
          <w:kern w:val="2"/>
          <w:sz w:val="24"/>
          <w:szCs w:val="24"/>
          <w:lang w:val="en-US" w:eastAsia="zh-CN" w:bidi="ar-SA"/>
        </w:rPr>
      </w:pPr>
    </w:p>
    <w:p w14:paraId="058C95A4">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黑体" w:hAnsi="黑体" w:eastAsia="黑体" w:cs="黑体"/>
          <w:b/>
          <w:bCs w:val="0"/>
          <w:color w:val="auto"/>
          <w:kern w:val="2"/>
          <w:sz w:val="24"/>
          <w:szCs w:val="24"/>
          <w:lang w:val="en-US" w:eastAsia="zh-CN" w:bidi="ar-SA"/>
        </w:rPr>
      </w:pPr>
    </w:p>
    <w:p w14:paraId="5762CF7F">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黑体" w:hAnsi="黑体" w:eastAsia="黑体" w:cs="黑体"/>
          <w:b/>
          <w:bCs w:val="0"/>
          <w:color w:val="auto"/>
          <w:kern w:val="2"/>
          <w:sz w:val="24"/>
          <w:szCs w:val="24"/>
          <w:lang w:val="en-US" w:eastAsia="zh-CN" w:bidi="ar-SA"/>
        </w:rPr>
      </w:pPr>
    </w:p>
    <w:p w14:paraId="23C32D95">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黑体" w:hAnsi="黑体" w:eastAsia="黑体" w:cs="黑体"/>
          <w:b/>
          <w:bCs w:val="0"/>
          <w:color w:val="auto"/>
          <w:kern w:val="2"/>
          <w:sz w:val="24"/>
          <w:szCs w:val="24"/>
          <w:lang w:val="en-US" w:eastAsia="zh-CN" w:bidi="ar-SA"/>
        </w:rPr>
      </w:pPr>
    </w:p>
    <w:p w14:paraId="7ECD0FCF">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黑体" w:hAnsi="黑体" w:eastAsia="黑体" w:cs="黑体"/>
          <w:b/>
          <w:bCs w:val="0"/>
          <w:color w:val="auto"/>
          <w:kern w:val="2"/>
          <w:sz w:val="24"/>
          <w:szCs w:val="24"/>
          <w:lang w:val="en-US" w:eastAsia="zh-CN" w:bidi="ar-SA"/>
        </w:rPr>
      </w:pPr>
    </w:p>
    <w:p w14:paraId="717C6029">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黑体" w:hAnsi="黑体" w:eastAsia="黑体" w:cs="黑体"/>
          <w:b/>
          <w:bCs w:val="0"/>
          <w:color w:val="auto"/>
          <w:kern w:val="2"/>
          <w:sz w:val="24"/>
          <w:szCs w:val="24"/>
          <w:lang w:val="en-US" w:eastAsia="zh-CN" w:bidi="ar-SA"/>
        </w:rPr>
      </w:pPr>
    </w:p>
    <w:p w14:paraId="4546DFC5">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黑体" w:hAnsi="黑体" w:eastAsia="黑体" w:cs="黑体"/>
          <w:b/>
          <w:bCs w:val="0"/>
          <w:color w:val="auto"/>
          <w:kern w:val="2"/>
          <w:sz w:val="24"/>
          <w:szCs w:val="24"/>
          <w:lang w:val="en-US" w:eastAsia="zh-CN" w:bidi="ar-SA"/>
        </w:rPr>
      </w:pPr>
    </w:p>
    <w:p w14:paraId="77BD0C91">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黑体" w:hAnsi="黑体" w:eastAsia="黑体" w:cs="黑体"/>
          <w:b/>
          <w:bCs w:val="0"/>
          <w:color w:val="auto"/>
          <w:kern w:val="2"/>
          <w:sz w:val="24"/>
          <w:szCs w:val="24"/>
          <w:lang w:val="en-US" w:eastAsia="zh-CN" w:bidi="ar-SA"/>
        </w:rPr>
      </w:pPr>
    </w:p>
    <w:p w14:paraId="7BCB9A36">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黑体" w:hAnsi="黑体" w:eastAsia="黑体" w:cs="黑体"/>
          <w:b/>
          <w:bCs w:val="0"/>
          <w:color w:val="auto"/>
          <w:kern w:val="2"/>
          <w:sz w:val="24"/>
          <w:szCs w:val="24"/>
          <w:lang w:val="en-US" w:eastAsia="zh-CN" w:bidi="ar-SA"/>
        </w:rPr>
      </w:pPr>
    </w:p>
    <w:p w14:paraId="6BD3F902">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黑体" w:hAnsi="黑体" w:eastAsia="黑体" w:cs="黑体"/>
          <w:b/>
          <w:bCs w:val="0"/>
          <w:color w:val="auto"/>
          <w:kern w:val="2"/>
          <w:sz w:val="24"/>
          <w:szCs w:val="24"/>
          <w:lang w:val="en-US" w:eastAsia="zh-CN" w:bidi="ar-SA"/>
        </w:rPr>
      </w:pPr>
    </w:p>
    <w:p w14:paraId="58F43D2B">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ascii="Times New Roman" w:hAnsi="Times New Roman" w:cs="Times New Roman" w:eastAsiaTheme="majorEastAsia"/>
          <w:b/>
          <w:bCs w:val="0"/>
          <w:color w:val="auto"/>
          <w:kern w:val="2"/>
          <w:sz w:val="24"/>
          <w:szCs w:val="24"/>
          <w:lang w:val="en-US" w:eastAsia="zh-CN" w:bidi="ar-SA"/>
        </w:rPr>
      </w:pPr>
      <w:r>
        <w:rPr>
          <w:rFonts w:hint="eastAsia" w:ascii="黑体" w:hAnsi="黑体" w:eastAsia="黑体" w:cs="黑体"/>
          <w:b/>
          <w:bCs w:val="0"/>
          <w:color w:val="auto"/>
          <w:kern w:val="2"/>
          <w:sz w:val="24"/>
          <w:szCs w:val="24"/>
          <w:lang w:val="en-US" w:eastAsia="zh-CN" w:bidi="ar-SA"/>
        </w:rPr>
        <w:t>图5.2-1 水文地质剖面示意图</w:t>
      </w:r>
    </w:p>
    <w:p w14:paraId="15E7CCCE">
      <w:pPr>
        <w:pStyle w:val="55"/>
        <w:bidi w:val="0"/>
        <w:rPr>
          <w:rFonts w:hint="default"/>
          <w:color w:val="auto"/>
        </w:rPr>
      </w:pPr>
      <w:r>
        <w:rPr>
          <w:rFonts w:hint="default"/>
          <w:color w:val="auto"/>
        </w:rPr>
        <w:t>5.</w:t>
      </w:r>
      <w:r>
        <w:rPr>
          <w:rFonts w:hint="eastAsia"/>
          <w:color w:val="auto"/>
          <w:lang w:val="en-US" w:eastAsia="zh-CN"/>
        </w:rPr>
        <w:t>2</w:t>
      </w:r>
      <w:r>
        <w:rPr>
          <w:rFonts w:hint="default"/>
          <w:color w:val="auto"/>
        </w:rPr>
        <w:t>.1.2评价区水文地质条件</w:t>
      </w:r>
    </w:p>
    <w:p w14:paraId="6282042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区内地表岩性以粘土、亚粘土、亚沙土、粉细沙为主，局部有固定和半固定沙丘及冲沟分布，凝析</w:t>
      </w:r>
      <w:r>
        <w:rPr>
          <w:rFonts w:hint="eastAsia" w:cs="Times New Roman"/>
          <w:color w:val="auto"/>
          <w:sz w:val="24"/>
          <w:szCs w:val="24"/>
          <w:lang w:eastAsia="zh-CN"/>
        </w:rPr>
        <w:t>油气田</w:t>
      </w:r>
      <w:r>
        <w:rPr>
          <w:rFonts w:hint="default" w:ascii="Times New Roman" w:hAnsi="Times New Roman" w:eastAsia="宋体" w:cs="Times New Roman"/>
          <w:color w:val="auto"/>
          <w:sz w:val="24"/>
          <w:szCs w:val="24"/>
        </w:rPr>
        <w:t>区为荒漠地区。本区域赋存第四系松散岩类孔隙潜水和承压水含水构造。</w:t>
      </w:r>
    </w:p>
    <w:p w14:paraId="4F7A44C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（1）碎屑岩裂隙孔隙水</w:t>
      </w:r>
    </w:p>
    <w:p w14:paraId="5D06740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第三系的砂岩、砾岩为含水层，泥岩和砂质泥岩为隔水层。岩层中孔隙裂隙极不发育，使该类型地下水循环条件极差，富水性极差，水质极差。矿化度大于3g/L，多为Cl-Na及Cl•SO</w:t>
      </w:r>
      <w:r>
        <w:rPr>
          <w:rFonts w:hint="default" w:ascii="Times New Roman" w:hAnsi="Times New Roman" w:eastAsia="宋体" w:cs="Times New Roman"/>
          <w:color w:val="auto"/>
          <w:sz w:val="24"/>
          <w:szCs w:val="24"/>
          <w:vertAlign w:val="subscript"/>
        </w:rPr>
        <w:t>4</w:t>
      </w:r>
      <w:r>
        <w:rPr>
          <w:rFonts w:hint="default" w:ascii="Times New Roman" w:hAnsi="Times New Roman" w:eastAsia="宋体" w:cs="Times New Roman"/>
          <w:color w:val="auto"/>
          <w:sz w:val="24"/>
          <w:szCs w:val="24"/>
        </w:rPr>
        <w:t>－Na型水，无供水意义。</w:t>
      </w:r>
    </w:p>
    <w:p w14:paraId="050D04B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（2）松散岩类孔隙水</w:t>
      </w:r>
    </w:p>
    <w:p w14:paraId="5D2B826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分布于调查区大部分地区，根据含水层特征，分为潜水和承压水两大类。</w:t>
      </w:r>
    </w:p>
    <w:p w14:paraId="31231AF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1 \* GB3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①</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潜水</w:t>
      </w:r>
    </w:p>
    <w:p w14:paraId="225BFDAF">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潜水含水层岩性均为细砂、粉砂，夹薄层粉土，含水层富水性为100～1000m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/d，含水层的渗透系数为2.38～6.78m/d，水位埋深一般＜10m，补给来源主要为渭干河洪积扇侧向补给，其次为渠水、田间水等入渗补给。以垂直蒸发和水平径流方式排泄。</w:t>
      </w:r>
    </w:p>
    <w:p w14:paraId="03C6ED8D">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详查区内的潜水水质差，矿化度0.42～72.58g/L，溶解性总固体含量在1g/L以上，多为Cl•SO</w:t>
      </w:r>
      <w:r>
        <w:rPr>
          <w:rFonts w:hint="default" w:ascii="Times New Roman" w:hAnsi="Times New Roman" w:eastAsia="宋体" w:cs="Times New Roman"/>
          <w:color w:val="auto"/>
          <w:sz w:val="24"/>
          <w:szCs w:val="24"/>
          <w:vertAlign w:val="subscript"/>
        </w:rPr>
        <w:t>4</w:t>
      </w:r>
      <w:r>
        <w:rPr>
          <w:rFonts w:hint="default" w:ascii="Times New Roman" w:hAnsi="Times New Roman" w:eastAsia="宋体" w:cs="Times New Roman"/>
          <w:color w:val="auto"/>
          <w:sz w:val="24"/>
          <w:szCs w:val="24"/>
        </w:rPr>
        <w:t>－Na、Cl－Na型咸水，不适合生活用水。</w:t>
      </w:r>
    </w:p>
    <w:p w14:paraId="5E4281FB">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2 \* GB3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②</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承压水</w:t>
      </w:r>
    </w:p>
    <w:p w14:paraId="0A49324E">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第四系沉积厚度在调查区为200～300m。赋存浅层、中层、深层多层结构的承压水含水层，单层厚度最大的为35m，单层最小厚度为10m。承压水的主要补给来源为东北部地下水的侧向流入，地下水径流方向为自西北向东南。</w:t>
      </w:r>
    </w:p>
    <w:p w14:paraId="5B5EBCBB">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承压水含水层岩性以细砂、粉砂为主，开采目的层的埋藏深度在75m～200m。钻孔的单位涌水量为62～111m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/d•m，富水性为中等</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100～1000m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，含水层的渗透系数1.30～3.71m/d之间，承压水的水头在+0.5～-1.32m之间，承压水含水层的富水性为水量中等，水化学类型为Cl•SO</w:t>
      </w:r>
      <w:r>
        <w:rPr>
          <w:rFonts w:hint="default" w:ascii="Times New Roman" w:hAnsi="Times New Roman" w:eastAsia="宋体" w:cs="Times New Roman"/>
          <w:color w:val="auto"/>
          <w:sz w:val="24"/>
          <w:szCs w:val="24"/>
          <w:vertAlign w:val="subscript"/>
        </w:rPr>
        <w:t>4</w:t>
      </w:r>
      <w:r>
        <w:rPr>
          <w:rFonts w:hint="default" w:ascii="Times New Roman" w:hAnsi="Times New Roman" w:eastAsia="宋体" w:cs="Times New Roman"/>
          <w:color w:val="auto"/>
          <w:sz w:val="24"/>
          <w:szCs w:val="24"/>
        </w:rPr>
        <w:t>-Na及SO</w:t>
      </w:r>
      <w:r>
        <w:rPr>
          <w:rFonts w:hint="default" w:ascii="Times New Roman" w:hAnsi="Times New Roman" w:eastAsia="宋体" w:cs="Times New Roman"/>
          <w:color w:val="auto"/>
          <w:sz w:val="24"/>
          <w:szCs w:val="24"/>
          <w:vertAlign w:val="subscript"/>
        </w:rPr>
        <w:t>4</w:t>
      </w:r>
      <w:r>
        <w:rPr>
          <w:rFonts w:hint="default" w:ascii="Times New Roman" w:hAnsi="Times New Roman" w:eastAsia="宋体" w:cs="Times New Roman"/>
          <w:color w:val="auto"/>
          <w:sz w:val="24"/>
          <w:szCs w:val="24"/>
        </w:rPr>
        <w:t>•Cl-Na(Ca</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型水。</w:t>
      </w:r>
    </w:p>
    <w:p w14:paraId="56006EF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（3）地下水的补、径、排条件</w:t>
      </w:r>
    </w:p>
    <w:p w14:paraId="3AE72F7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项目区处于冲洪积平原前缘地带，含水层为多层结构，地下水具多层结构特征。</w:t>
      </w:r>
    </w:p>
    <w:p w14:paraId="230CA9A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补给：潜水主要接受大气降水的入渗补给以及上游潜水的侧向</w:t>
      </w:r>
      <w:r>
        <w:rPr>
          <w:rFonts w:hint="eastAsia" w:cs="Times New Roman"/>
          <w:color w:val="auto"/>
          <w:sz w:val="24"/>
          <w:szCs w:val="24"/>
          <w:lang w:eastAsia="zh-CN"/>
        </w:rPr>
        <w:t>径流</w:t>
      </w:r>
      <w:r>
        <w:rPr>
          <w:rFonts w:hint="default" w:ascii="Times New Roman" w:hAnsi="Times New Roman" w:eastAsia="宋体" w:cs="Times New Roman"/>
          <w:color w:val="auto"/>
          <w:sz w:val="24"/>
          <w:szCs w:val="24"/>
        </w:rPr>
        <w:t>补给；承压水主要从上游地段地下水侧向</w:t>
      </w:r>
      <w:r>
        <w:rPr>
          <w:rFonts w:hint="eastAsia" w:cs="Times New Roman"/>
          <w:color w:val="auto"/>
          <w:sz w:val="24"/>
          <w:szCs w:val="24"/>
          <w:lang w:eastAsia="zh-CN"/>
        </w:rPr>
        <w:t>径流</w:t>
      </w:r>
      <w:r>
        <w:rPr>
          <w:rFonts w:hint="default" w:ascii="Times New Roman" w:hAnsi="Times New Roman" w:eastAsia="宋体" w:cs="Times New Roman"/>
          <w:color w:val="auto"/>
          <w:sz w:val="24"/>
          <w:szCs w:val="24"/>
        </w:rPr>
        <w:t>为补给来源。</w:t>
      </w:r>
    </w:p>
    <w:p w14:paraId="197E141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径流：受地表平坦、地下水水力坡度小</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千分之一左右</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、含水层颗粒细的控制，地下水</w:t>
      </w:r>
      <w:r>
        <w:rPr>
          <w:rFonts w:hint="eastAsia" w:cs="Times New Roman"/>
          <w:color w:val="auto"/>
          <w:sz w:val="24"/>
          <w:szCs w:val="24"/>
          <w:lang w:eastAsia="zh-CN"/>
        </w:rPr>
        <w:t>径流</w:t>
      </w:r>
      <w:r>
        <w:rPr>
          <w:rFonts w:hint="default" w:ascii="Times New Roman" w:hAnsi="Times New Roman" w:eastAsia="宋体" w:cs="Times New Roman"/>
          <w:color w:val="auto"/>
          <w:sz w:val="24"/>
          <w:szCs w:val="24"/>
        </w:rPr>
        <w:t>运移十分缓慢，水平</w:t>
      </w:r>
      <w:r>
        <w:rPr>
          <w:rFonts w:hint="eastAsia" w:cs="Times New Roman"/>
          <w:color w:val="auto"/>
          <w:sz w:val="24"/>
          <w:szCs w:val="24"/>
          <w:lang w:eastAsia="zh-CN"/>
        </w:rPr>
        <w:t>径流</w:t>
      </w:r>
      <w:r>
        <w:rPr>
          <w:rFonts w:hint="default" w:ascii="Times New Roman" w:hAnsi="Times New Roman" w:eastAsia="宋体" w:cs="Times New Roman"/>
          <w:color w:val="auto"/>
          <w:sz w:val="24"/>
          <w:szCs w:val="24"/>
        </w:rPr>
        <w:t>运移十分缓慢，为弱径流－停滞状态。根据本项目野外水文地质试验，项目区所在</w:t>
      </w:r>
      <w:r>
        <w:rPr>
          <w:rFonts w:hint="eastAsia" w:cs="Times New Roman"/>
          <w:color w:val="auto"/>
          <w:sz w:val="24"/>
          <w:szCs w:val="24"/>
          <w:lang w:eastAsia="zh-CN"/>
        </w:rPr>
        <w:t>油田</w:t>
      </w:r>
      <w:r>
        <w:rPr>
          <w:rFonts w:hint="default" w:ascii="Times New Roman" w:hAnsi="Times New Roman" w:eastAsia="宋体" w:cs="Times New Roman"/>
          <w:color w:val="auto"/>
          <w:sz w:val="24"/>
          <w:szCs w:val="24"/>
        </w:rPr>
        <w:t>含水层的渗透系数在0.11～4.34m/d。</w:t>
      </w:r>
    </w:p>
    <w:p w14:paraId="3051432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排泄：以潜水面蒸发、植被蒸腾等方式排泄。</w:t>
      </w:r>
    </w:p>
    <w:p w14:paraId="1034FBC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（4）地下水化学类型</w:t>
      </w:r>
    </w:p>
    <w:p w14:paraId="291EAD9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评价区内气候干旱，常年日照，蒸发量巨大，并且地下水径流较为缓慢，所以本区地下水矿化度较高。地下水阴离子以Cl</w:t>
      </w:r>
      <w:r>
        <w:rPr>
          <w:rFonts w:hint="default" w:ascii="Times New Roman" w:hAnsi="Times New Roman" w:eastAsia="宋体" w:cs="Times New Roman"/>
          <w:color w:val="auto"/>
          <w:sz w:val="24"/>
          <w:szCs w:val="24"/>
          <w:vertAlign w:val="superscript"/>
        </w:rPr>
        <w:t>-</w:t>
      </w:r>
      <w:r>
        <w:rPr>
          <w:rFonts w:hint="default" w:ascii="Times New Roman" w:hAnsi="Times New Roman" w:eastAsia="宋体" w:cs="Times New Roman"/>
          <w:color w:val="auto"/>
          <w:sz w:val="24"/>
          <w:szCs w:val="24"/>
        </w:rPr>
        <w:t>，SO</w:t>
      </w:r>
      <w:r>
        <w:rPr>
          <w:rFonts w:hint="default" w:ascii="Times New Roman" w:hAnsi="Times New Roman" w:eastAsia="宋体" w:cs="Times New Roman"/>
          <w:color w:val="auto"/>
          <w:sz w:val="24"/>
          <w:szCs w:val="24"/>
          <w:vertAlign w:val="subscript"/>
        </w:rPr>
        <w:t>4</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为主，阳离子以Na</w:t>
      </w:r>
      <w:r>
        <w:rPr>
          <w:rFonts w:hint="default" w:ascii="Times New Roman" w:hAnsi="Times New Roman" w:eastAsia="宋体" w:cs="Times New Roman"/>
          <w:color w:val="auto"/>
          <w:sz w:val="24"/>
          <w:szCs w:val="24"/>
          <w:vertAlign w:val="superscript"/>
        </w:rPr>
        <w:t>+</w:t>
      </w:r>
      <w:r>
        <w:rPr>
          <w:rFonts w:hint="default" w:ascii="Times New Roman" w:hAnsi="Times New Roman" w:eastAsia="宋体" w:cs="Times New Roman"/>
          <w:color w:val="auto"/>
          <w:sz w:val="24"/>
          <w:szCs w:val="24"/>
        </w:rPr>
        <w:t>为主，水化学类型主要为Cl·SO</w:t>
      </w:r>
      <w:r>
        <w:rPr>
          <w:rFonts w:hint="default" w:ascii="Times New Roman" w:hAnsi="Times New Roman" w:eastAsia="宋体" w:cs="Times New Roman"/>
          <w:color w:val="auto"/>
          <w:sz w:val="24"/>
          <w:szCs w:val="24"/>
          <w:vertAlign w:val="subscript"/>
        </w:rPr>
        <w:t>4</w:t>
      </w:r>
      <w:r>
        <w:rPr>
          <w:rFonts w:hint="default" w:ascii="Times New Roman" w:hAnsi="Times New Roman" w:eastAsia="宋体" w:cs="Times New Roman"/>
          <w:color w:val="auto"/>
          <w:sz w:val="24"/>
          <w:szCs w:val="24"/>
          <w:vertAlign w:val="superscript"/>
        </w:rPr>
        <w:t>-</w:t>
      </w:r>
      <w:r>
        <w:rPr>
          <w:rFonts w:hint="default" w:ascii="Times New Roman" w:hAnsi="Times New Roman" w:eastAsia="宋体" w:cs="Times New Roman"/>
          <w:color w:val="auto"/>
          <w:sz w:val="24"/>
          <w:szCs w:val="24"/>
        </w:rPr>
        <w:t>Na型和Cl-Na型。</w:t>
      </w:r>
    </w:p>
    <w:p w14:paraId="14BE604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（5）包气带特征</w:t>
      </w:r>
    </w:p>
    <w:p w14:paraId="3168995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项目所在区域包气带普遍存在于地表以下，包气带岩性主要为粉土和细砂、粉砂，其结构总体来说比较松散，垂向渗透系数平均值458.3×10</w:t>
      </w:r>
      <w:r>
        <w:rPr>
          <w:rFonts w:hint="default" w:ascii="Times New Roman" w:hAnsi="Times New Roman" w:eastAsia="宋体" w:cs="Times New Roman"/>
          <w:color w:val="auto"/>
          <w:sz w:val="24"/>
          <w:szCs w:val="24"/>
          <w:vertAlign w:val="superscript"/>
        </w:rPr>
        <w:t>-4</w:t>
      </w:r>
      <w:r>
        <w:rPr>
          <w:rFonts w:hint="default" w:ascii="Times New Roman" w:hAnsi="Times New Roman" w:eastAsia="宋体" w:cs="Times New Roman"/>
          <w:color w:val="auto"/>
          <w:sz w:val="24"/>
          <w:szCs w:val="24"/>
        </w:rPr>
        <w:t>cm/s。包气带渗透性能为中等透水，局部为强透水。</w:t>
      </w:r>
    </w:p>
    <w:p w14:paraId="07DEF997">
      <w:pPr>
        <w:pStyle w:val="54"/>
        <w:bidi w:val="0"/>
        <w:rPr>
          <w:rFonts w:hint="default"/>
          <w:color w:val="auto"/>
        </w:rPr>
      </w:pPr>
      <w:r>
        <w:rPr>
          <w:rFonts w:hint="default"/>
          <w:color w:val="auto"/>
        </w:rPr>
        <w:t>5.</w:t>
      </w:r>
      <w:r>
        <w:rPr>
          <w:rFonts w:hint="eastAsia"/>
          <w:color w:val="auto"/>
          <w:lang w:val="en-US" w:eastAsia="zh-CN"/>
        </w:rPr>
        <w:t>2</w:t>
      </w:r>
      <w:r>
        <w:rPr>
          <w:rFonts w:hint="default"/>
          <w:color w:val="auto"/>
        </w:rPr>
        <w:t>.2</w:t>
      </w:r>
      <w:r>
        <w:rPr>
          <w:rFonts w:hint="eastAsia"/>
          <w:color w:val="auto"/>
          <w:lang w:val="en-US" w:eastAsia="zh-CN"/>
        </w:rPr>
        <w:t>施工期</w:t>
      </w:r>
      <w:r>
        <w:rPr>
          <w:rFonts w:hint="default"/>
          <w:color w:val="auto"/>
        </w:rPr>
        <w:t>地下水环境影响分析</w:t>
      </w:r>
    </w:p>
    <w:p w14:paraId="50D4513C">
      <w:pPr>
        <w:pStyle w:val="79"/>
        <w:bidi w:val="0"/>
        <w:rPr>
          <w:rFonts w:hint="eastAsia"/>
          <w:color w:val="auto"/>
        </w:rPr>
      </w:pPr>
      <w:r>
        <w:rPr>
          <w:rFonts w:hint="eastAsia"/>
          <w:color w:val="auto"/>
        </w:rPr>
        <w:t>管道施工期间产生的废水主要为试压废水，主要污染物有SS。管道试压采用清洁水，试压作业分段进行，每段试压水排出后进入下一段管线循环使用，可减少水资源消耗。试压废水中主要污染物为悬浮物，试压结束后全部用于施工场地洒水抑尘</w:t>
      </w:r>
      <w:r>
        <w:rPr>
          <w:rFonts w:hint="eastAsia"/>
          <w:color w:val="auto"/>
          <w:lang w:eastAsia="zh-CN"/>
        </w:rPr>
        <w:t>；</w:t>
      </w:r>
      <w:r>
        <w:rPr>
          <w:rFonts w:hint="eastAsia"/>
          <w:color w:val="auto"/>
        </w:rPr>
        <w:t>施工期不设置施工营地</w:t>
      </w:r>
      <w:r>
        <w:rPr>
          <w:rFonts w:hint="eastAsia"/>
          <w:color w:val="auto"/>
          <w:lang w:eastAsia="zh-CN"/>
        </w:rPr>
        <w:t>，</w:t>
      </w:r>
      <w:r>
        <w:rPr>
          <w:rFonts w:hint="eastAsia"/>
          <w:color w:val="auto"/>
        </w:rPr>
        <w:t>施工现场产生的少量生活污水依托雄探1试采点，雄探1试采点生活污水进入生活污水池，定期由罐车拉运至英买力作业区生活污水处理装置处置</w:t>
      </w:r>
      <w:r>
        <w:rPr>
          <w:rFonts w:hint="eastAsia"/>
          <w:color w:val="auto"/>
          <w:lang w:eastAsia="zh-CN"/>
        </w:rPr>
        <w:t>；</w:t>
      </w:r>
      <w:r>
        <w:rPr>
          <w:rFonts w:hint="eastAsia"/>
          <w:color w:val="auto"/>
        </w:rPr>
        <w:t>施工机械检修期间，地面应铺设塑料布，及时回收废机油，防止废油落地，污染土壤和地下水。</w:t>
      </w:r>
    </w:p>
    <w:p w14:paraId="5B12D599">
      <w:pPr>
        <w:pStyle w:val="79"/>
        <w:bidi w:val="0"/>
        <w:rPr>
          <w:rFonts w:hint="eastAsia"/>
          <w:color w:val="auto"/>
        </w:rPr>
      </w:pPr>
      <w:r>
        <w:rPr>
          <w:rFonts w:hint="eastAsia"/>
          <w:color w:val="auto"/>
        </w:rPr>
        <w:t>拟建工程施工期间无废水直接外排，在严格执行环境保护措施的前提下，项目施工期废水可避免对地下水环境产生不利影响。</w:t>
      </w:r>
    </w:p>
    <w:p w14:paraId="012D4245">
      <w:pPr>
        <w:pStyle w:val="54"/>
        <w:bidi w:val="0"/>
        <w:rPr>
          <w:rFonts w:hint="default"/>
          <w:color w:val="auto"/>
          <w:lang w:val="en-US" w:eastAsia="zh-CN"/>
        </w:rPr>
      </w:pPr>
      <w:r>
        <w:rPr>
          <w:rFonts w:hint="eastAsia"/>
          <w:color w:val="auto"/>
          <w:lang w:val="en-US" w:eastAsia="zh-CN"/>
        </w:rPr>
        <w:t>5.2.3</w:t>
      </w:r>
      <w:r>
        <w:rPr>
          <w:rFonts w:hint="default"/>
          <w:color w:val="auto"/>
          <w:lang w:val="en-US" w:eastAsia="zh-CN"/>
        </w:rPr>
        <w:t>运营期地下</w:t>
      </w:r>
      <w:r>
        <w:rPr>
          <w:rFonts w:hint="eastAsia"/>
          <w:color w:val="auto"/>
          <w:lang w:val="en-US" w:eastAsia="zh-CN"/>
        </w:rPr>
        <w:t>水环境影响</w:t>
      </w:r>
      <w:r>
        <w:rPr>
          <w:rFonts w:hint="default"/>
          <w:color w:val="auto"/>
          <w:lang w:val="en-US" w:eastAsia="zh-CN"/>
        </w:rPr>
        <w:t>评价</w:t>
      </w:r>
    </w:p>
    <w:p w14:paraId="10062F00">
      <w:pPr>
        <w:pStyle w:val="79"/>
        <w:bidi w:val="0"/>
        <w:rPr>
          <w:rFonts w:hint="eastAsia"/>
          <w:color w:val="auto"/>
        </w:rPr>
      </w:pPr>
      <w:r>
        <w:rPr>
          <w:rFonts w:hint="eastAsia"/>
          <w:color w:val="auto"/>
        </w:rPr>
        <w:t>本项目地下水环境影响评价等级为</w:t>
      </w:r>
      <w:r>
        <w:rPr>
          <w:rFonts w:hint="eastAsia"/>
          <w:color w:val="auto"/>
          <w:lang w:val="en-US" w:eastAsia="zh-CN"/>
        </w:rPr>
        <w:t>二</w:t>
      </w:r>
      <w:r>
        <w:rPr>
          <w:rFonts w:hint="eastAsia"/>
          <w:color w:val="auto"/>
        </w:rPr>
        <w:t>级，正常工况下不会对地下水产生影响，只有在非正常工况下可能对地下水产生一定影响，因此，本次评价采用解析模型预测非正常工况下污染物在含水层中扩散并进行影响评价。</w:t>
      </w:r>
    </w:p>
    <w:p w14:paraId="362D809C">
      <w:pPr>
        <w:pStyle w:val="55"/>
        <w:bidi w:val="0"/>
        <w:rPr>
          <w:rFonts w:hint="default"/>
          <w:color w:val="auto"/>
        </w:rPr>
      </w:pPr>
      <w:r>
        <w:rPr>
          <w:rFonts w:hint="default"/>
          <w:color w:val="auto"/>
        </w:rPr>
        <w:t>5.</w:t>
      </w:r>
      <w:r>
        <w:rPr>
          <w:rFonts w:hint="eastAsia"/>
          <w:color w:val="auto"/>
          <w:lang w:val="en-US" w:eastAsia="zh-CN"/>
        </w:rPr>
        <w:t>2.3</w:t>
      </w:r>
      <w:r>
        <w:rPr>
          <w:rFonts w:hint="default"/>
          <w:color w:val="auto"/>
        </w:rPr>
        <w:t>.1正常情况下地下水环境影响分析</w:t>
      </w:r>
    </w:p>
    <w:p w14:paraId="4E5B6580">
      <w:pPr>
        <w:pStyle w:val="79"/>
        <w:bidi w:val="0"/>
        <w:rPr>
          <w:rFonts w:hint="eastAsia"/>
          <w:color w:val="auto"/>
        </w:rPr>
      </w:pPr>
      <w:r>
        <w:rPr>
          <w:rFonts w:hint="eastAsia"/>
          <w:color w:val="auto"/>
        </w:rPr>
        <w:t>（1）废水</w:t>
      </w:r>
    </w:p>
    <w:p w14:paraId="386AC466">
      <w:pPr>
        <w:pStyle w:val="79"/>
        <w:bidi w:val="0"/>
        <w:rPr>
          <w:rFonts w:hint="eastAsia"/>
          <w:color w:val="auto"/>
        </w:rPr>
      </w:pPr>
      <w:r>
        <w:rPr>
          <w:rFonts w:hint="eastAsia"/>
          <w:color w:val="auto"/>
        </w:rPr>
        <w:t>本项目运营期间，正常情况下无废水产生，不会对水环境产生影响。</w:t>
      </w:r>
    </w:p>
    <w:p w14:paraId="2F5FA3FC">
      <w:pPr>
        <w:pStyle w:val="79"/>
        <w:bidi w:val="0"/>
        <w:rPr>
          <w:rFonts w:hint="eastAsia"/>
          <w:color w:val="auto"/>
        </w:rPr>
      </w:pPr>
      <w:r>
        <w:rPr>
          <w:rFonts w:hint="eastAsia"/>
          <w:color w:val="auto"/>
        </w:rPr>
        <w:t>（2）集输管线</w:t>
      </w:r>
    </w:p>
    <w:p w14:paraId="68A2389F">
      <w:pPr>
        <w:pStyle w:val="79"/>
        <w:bidi w:val="0"/>
        <w:rPr>
          <w:rFonts w:hint="eastAsia"/>
          <w:color w:val="auto"/>
        </w:rPr>
      </w:pPr>
      <w:r>
        <w:rPr>
          <w:rFonts w:hint="eastAsia"/>
          <w:color w:val="auto"/>
        </w:rPr>
        <w:t>本项目正常状况下，集输管线采取严格的防腐防渗措施，不会对区域地下水环境产生污染影响。</w:t>
      </w:r>
    </w:p>
    <w:p w14:paraId="604D2399">
      <w:pPr>
        <w:pStyle w:val="79"/>
        <w:bidi w:val="0"/>
        <w:rPr>
          <w:rFonts w:hint="eastAsia"/>
          <w:color w:val="auto"/>
        </w:rPr>
      </w:pPr>
      <w:r>
        <w:rPr>
          <w:rFonts w:hint="eastAsia"/>
          <w:color w:val="auto"/>
        </w:rPr>
        <w:t>综上，正常情况下，本项目各类废水不外排，做好站场防渗的基础上，本项目的实施对地下水的影响较小。</w:t>
      </w:r>
    </w:p>
    <w:p w14:paraId="1A213958">
      <w:pPr>
        <w:pStyle w:val="55"/>
        <w:bidi w:val="0"/>
        <w:rPr>
          <w:rFonts w:hint="default"/>
          <w:color w:val="auto"/>
        </w:rPr>
      </w:pPr>
      <w:r>
        <w:rPr>
          <w:rFonts w:hint="default"/>
          <w:color w:val="auto"/>
        </w:rPr>
        <w:t>5.</w:t>
      </w:r>
      <w:r>
        <w:rPr>
          <w:rFonts w:hint="eastAsia"/>
          <w:color w:val="auto"/>
          <w:lang w:val="en-US" w:eastAsia="zh-CN"/>
        </w:rPr>
        <w:t>2.3</w:t>
      </w:r>
      <w:r>
        <w:rPr>
          <w:rFonts w:hint="default"/>
          <w:color w:val="auto"/>
        </w:rPr>
        <w:t>.2非正常情况地下水环境影响分析</w:t>
      </w:r>
    </w:p>
    <w:p w14:paraId="77AA07FC">
      <w:pPr>
        <w:pStyle w:val="79"/>
        <w:bidi w:val="0"/>
        <w:rPr>
          <w:rFonts w:hint="default"/>
          <w:color w:val="auto"/>
        </w:rPr>
      </w:pPr>
      <w:r>
        <w:rPr>
          <w:rFonts w:hint="default"/>
          <w:color w:val="auto"/>
        </w:rPr>
        <w:t>运营期非正常工况下，废水污染源主要为汇管处阀门、集输管线的采出液及含油物质的</w:t>
      </w:r>
      <w:r>
        <w:rPr>
          <w:rFonts w:hint="eastAsia"/>
          <w:color w:val="auto"/>
          <w:lang w:eastAsia="zh-CN"/>
        </w:rPr>
        <w:t>泄漏，</w:t>
      </w:r>
      <w:r>
        <w:rPr>
          <w:rFonts w:hint="eastAsia"/>
          <w:color w:val="auto"/>
          <w:lang w:val="en-US" w:eastAsia="zh-CN"/>
        </w:rPr>
        <w:t>原油储罐泄漏</w:t>
      </w:r>
      <w:r>
        <w:rPr>
          <w:rFonts w:hint="default"/>
          <w:color w:val="auto"/>
        </w:rPr>
        <w:t>等，污染物主要为石油类，如不及时修复，可能对地下水造成影响。对地下水污染的途径主要有渗透污染。渗透污染是导致地下水污染的普遍和主要方式。落地油、采出液的跑、冒、滴、漏等，都是通过包气带渗透到潜水含水层而污染地下水的。包气带厚度愈薄，透水性愈好，就愈造成潜水污染，反之，包气带愈厚、透水性愈差，则其隔污能力就愈强，则潜水污染就愈轻。</w:t>
      </w:r>
    </w:p>
    <w:p w14:paraId="0F249AFF">
      <w:pPr>
        <w:pStyle w:val="79"/>
        <w:bidi w:val="0"/>
        <w:rPr>
          <w:rFonts w:hint="eastAsia"/>
          <w:color w:val="auto"/>
          <w:lang w:eastAsia="zh-CN"/>
        </w:rPr>
      </w:pPr>
      <w:r>
        <w:rPr>
          <w:rFonts w:hint="eastAsia"/>
          <w:color w:val="auto"/>
          <w:lang w:eastAsia="zh-CN"/>
        </w:rPr>
        <w:t>（</w:t>
      </w:r>
      <w:r>
        <w:rPr>
          <w:rFonts w:hint="eastAsia"/>
          <w:color w:val="auto"/>
          <w:lang w:val="en-US" w:eastAsia="zh-CN"/>
        </w:rPr>
        <w:t>1</w:t>
      </w:r>
      <w:r>
        <w:rPr>
          <w:rFonts w:hint="eastAsia"/>
          <w:color w:val="auto"/>
          <w:lang w:eastAsia="zh-CN"/>
        </w:rPr>
        <w:t>）</w:t>
      </w:r>
      <w:r>
        <w:rPr>
          <w:rFonts w:hint="default"/>
          <w:color w:val="auto"/>
        </w:rPr>
        <w:t>阀门、集输管线泄漏</w:t>
      </w:r>
    </w:p>
    <w:p w14:paraId="5135116C">
      <w:pPr>
        <w:pStyle w:val="79"/>
        <w:bidi w:val="0"/>
        <w:rPr>
          <w:rFonts w:hint="default"/>
          <w:color w:val="auto"/>
        </w:rPr>
      </w:pPr>
      <w:r>
        <w:rPr>
          <w:rFonts w:hint="default"/>
          <w:color w:val="auto"/>
        </w:rPr>
        <w:t>阀门、集输管线泄漏事故会导致浅部隐蔽性污染源的产生，泄漏的含油污染物等下渗而可能导致地下水污染风险的发生。设备阀门、管线等发生泄漏的原因有如下几种：误操作、机械故障、外力作用和腐蚀，这几种因素的产生都是人为的或人为操控程度很高，发生污染的危害程度也取决于操作人员的处置和控制。贮污设施的泄漏是由基座渗漏引起的，污染危害取决于防污工程质量，因此这类污染发生的可控性很高，故一般发生在局部，应以预防为主。</w:t>
      </w:r>
    </w:p>
    <w:p w14:paraId="5423F7FB">
      <w:pPr>
        <w:pStyle w:val="79"/>
        <w:bidi w:val="0"/>
        <w:rPr>
          <w:rFonts w:hint="default"/>
          <w:color w:val="auto"/>
        </w:rPr>
      </w:pPr>
      <w:r>
        <w:rPr>
          <w:rFonts w:hint="default"/>
          <w:color w:val="auto"/>
        </w:rPr>
        <w:t>通常泄漏产生的污染物以点源形式通过土壤表层下渗进入地下含水层。因而管道泄漏事故对地下水环境的影响程度主要取决于</w:t>
      </w:r>
      <w:r>
        <w:rPr>
          <w:rFonts w:hint="eastAsia"/>
          <w:color w:val="auto"/>
          <w:lang w:eastAsia="zh-CN"/>
        </w:rPr>
        <w:t>泄漏</w:t>
      </w:r>
      <w:r>
        <w:rPr>
          <w:rFonts w:hint="default"/>
          <w:color w:val="auto"/>
        </w:rPr>
        <w:t>物质的物理性质、泄漏量、泄漏方式、多孔介质特征及地下水位埋深等因素。污染物进入地下后，污染物向地下水系统的迁移途径为：</w:t>
      </w:r>
    </w:p>
    <w:p w14:paraId="7C53A54C">
      <w:pPr>
        <w:pStyle w:val="79"/>
        <w:bidi w:val="0"/>
        <w:rPr>
          <w:rFonts w:hint="default"/>
          <w:color w:val="auto"/>
        </w:rPr>
      </w:pPr>
      <w:r>
        <w:rPr>
          <w:rFonts w:hint="default"/>
          <w:color w:val="auto"/>
        </w:rPr>
        <w:t>入渗污染物→表土层→包气带→含水层→迁移</w:t>
      </w:r>
    </w:p>
    <w:p w14:paraId="0E5B9F3C">
      <w:pPr>
        <w:pStyle w:val="79"/>
        <w:bidi w:val="0"/>
        <w:rPr>
          <w:rFonts w:hint="default"/>
          <w:color w:val="auto"/>
        </w:rPr>
      </w:pPr>
      <w:r>
        <w:rPr>
          <w:rFonts w:hint="default"/>
          <w:color w:val="auto"/>
        </w:rPr>
        <w:t>a.地表污染物在包气带土壤中的下渗</w:t>
      </w:r>
    </w:p>
    <w:p w14:paraId="3A4BA4AC">
      <w:pPr>
        <w:pStyle w:val="79"/>
        <w:bidi w:val="0"/>
        <w:rPr>
          <w:rFonts w:hint="default"/>
          <w:color w:val="auto"/>
        </w:rPr>
      </w:pPr>
      <w:r>
        <w:rPr>
          <w:rFonts w:hint="default"/>
          <w:color w:val="auto"/>
        </w:rPr>
        <w:t>由于各种土壤的不同土层对石油类均有吸附能力，石油类污染物主要集中在表层，随着时间的推移，包气带土壤对石油类物质的吸附将趋向饱和，吸附能力将逐渐降低。一般来讲，土壤表层0~20cm的滞留石油类物质的含量至少是下层（1m以下）石油类物质含量的35倍；且石油类多在地表1m以内积聚，1m以下土壤中含油量甚少。由于泄漏事故为短期大量排放，污染物的泄漏以地表扩展为主，一般能及时发现，并可很快加以控制，石油烃多属疏水性有机污染物，难溶于水而容易被土壤有机质吸附，当土壤中有机质含量较高时，石油烃等污染物在其中迁移的阻滞作用较强，迁移及衰减速度较慢，其影响范围不大，对地下水环境不易产生不利影响。且一旦发生泄漏，建设单位会立即通过截断阀室进行截断，并组织专门力量进行污染物的清除工作，将在最短的时间内清除地面及地下的石油类物质，因而，石油类污染物进入地下潜水的可能性较小。</w:t>
      </w:r>
    </w:p>
    <w:p w14:paraId="3DA87A68">
      <w:pPr>
        <w:pStyle w:val="79"/>
        <w:bidi w:val="0"/>
        <w:rPr>
          <w:rFonts w:hint="default"/>
          <w:color w:val="auto"/>
        </w:rPr>
      </w:pPr>
      <w:r>
        <w:rPr>
          <w:rFonts w:hint="default"/>
          <w:color w:val="auto"/>
        </w:rPr>
        <w:t>本次考虑最不利情况，地表连续入渗通过包气带土壤</w:t>
      </w:r>
      <w:r>
        <w:rPr>
          <w:rFonts w:hint="eastAsia"/>
          <w:color w:val="auto"/>
          <w:lang w:eastAsia="zh-CN"/>
        </w:rPr>
        <w:t>进入</w:t>
      </w:r>
      <w:r>
        <w:rPr>
          <w:rFonts w:hint="default"/>
          <w:color w:val="auto"/>
        </w:rPr>
        <w:t>地下水含水层中，针对污染物</w:t>
      </w:r>
      <w:r>
        <w:rPr>
          <w:rFonts w:hint="eastAsia"/>
          <w:color w:val="auto"/>
          <w:lang w:eastAsia="zh-CN"/>
        </w:rPr>
        <w:t>进入</w:t>
      </w:r>
      <w:r>
        <w:rPr>
          <w:rFonts w:hint="default"/>
          <w:color w:val="auto"/>
        </w:rPr>
        <w:t>含水层后的运移进行重点预测、评价。</w:t>
      </w:r>
    </w:p>
    <w:p w14:paraId="7DF84B2D">
      <w:pPr>
        <w:pStyle w:val="79"/>
        <w:bidi w:val="0"/>
        <w:rPr>
          <w:rFonts w:hint="default"/>
          <w:color w:val="auto"/>
        </w:rPr>
      </w:pPr>
      <w:r>
        <w:rPr>
          <w:rFonts w:hint="eastAsia"/>
          <w:color w:val="auto"/>
          <w:lang w:val="en-US" w:eastAsia="zh-CN"/>
        </w:rPr>
        <w:t>①</w:t>
      </w:r>
      <w:r>
        <w:rPr>
          <w:rFonts w:hint="default"/>
          <w:color w:val="auto"/>
        </w:rPr>
        <w:t>预测情景</w:t>
      </w:r>
    </w:p>
    <w:p w14:paraId="46C668F7">
      <w:pPr>
        <w:pStyle w:val="79"/>
        <w:bidi w:val="0"/>
        <w:rPr>
          <w:rFonts w:hint="default"/>
          <w:color w:val="auto"/>
        </w:rPr>
      </w:pPr>
      <w:r>
        <w:rPr>
          <w:rFonts w:hint="default"/>
          <w:color w:val="auto"/>
        </w:rPr>
        <w:t>根据区域水文地质条件，地下水类型主要为第四系潜水含水层。当泄漏量很大时，污染物可能通过包气带</w:t>
      </w:r>
      <w:r>
        <w:rPr>
          <w:rFonts w:hint="eastAsia"/>
          <w:color w:val="auto"/>
          <w:lang w:eastAsia="zh-CN"/>
        </w:rPr>
        <w:t>进入</w:t>
      </w:r>
      <w:r>
        <w:rPr>
          <w:rFonts w:hint="default"/>
          <w:color w:val="auto"/>
        </w:rPr>
        <w:t>潜水中，影响潜水水质。污染物泄漏为非连续排放，泄漏后一般可及时发现泄漏状况并截断，排放时间在时间尺度上设定为短时泄漏，泄漏时长最多按1d计。考虑最不利情况，按渗漏的污染物穿透包气带污染地下水，不考虑污染物的吸附、生物降解、化学反应等因素。</w:t>
      </w:r>
    </w:p>
    <w:p w14:paraId="044F7B37">
      <w:pPr>
        <w:pStyle w:val="79"/>
        <w:bidi w:val="0"/>
        <w:rPr>
          <w:rFonts w:hint="default"/>
          <w:color w:val="auto"/>
        </w:rPr>
      </w:pPr>
      <w:r>
        <w:rPr>
          <w:rFonts w:hint="default"/>
          <w:color w:val="auto"/>
        </w:rPr>
        <w:t>②预测因子</w:t>
      </w:r>
    </w:p>
    <w:p w14:paraId="2FC4CF98">
      <w:pPr>
        <w:pStyle w:val="79"/>
        <w:bidi w:val="0"/>
        <w:rPr>
          <w:rFonts w:hint="default"/>
          <w:color w:val="auto"/>
        </w:rPr>
      </w:pPr>
      <w:r>
        <w:rPr>
          <w:rFonts w:hint="eastAsia"/>
          <w:color w:val="auto"/>
          <w:lang w:val="en-US" w:eastAsia="zh-CN"/>
        </w:rPr>
        <w:t>单井集输</w:t>
      </w:r>
      <w:r>
        <w:rPr>
          <w:rFonts w:hint="default"/>
          <w:color w:val="auto"/>
        </w:rPr>
        <w:t>管线内输送物质为</w:t>
      </w:r>
      <w:r>
        <w:rPr>
          <w:rFonts w:hint="eastAsia"/>
          <w:color w:val="auto"/>
          <w:lang w:val="en-US" w:eastAsia="zh-CN"/>
        </w:rPr>
        <w:t>油、气、水三相的混合物</w:t>
      </w:r>
      <w:r>
        <w:rPr>
          <w:rFonts w:hint="default"/>
          <w:color w:val="auto"/>
        </w:rPr>
        <w:t>，污染物主要为石油类，故选取特征污染物石油类作为代表性污染物进行预测，石油类参照《地表水环境质量标准》</w:t>
      </w:r>
      <w:r>
        <w:rPr>
          <w:rFonts w:hint="eastAsia"/>
          <w:color w:val="auto"/>
          <w:lang w:eastAsia="zh-CN"/>
        </w:rPr>
        <w:t>（</w:t>
      </w:r>
      <w:r>
        <w:rPr>
          <w:rFonts w:hint="default"/>
          <w:color w:val="auto"/>
        </w:rPr>
        <w:t>GB3838-2002</w:t>
      </w:r>
      <w:r>
        <w:rPr>
          <w:rFonts w:hint="eastAsia"/>
          <w:color w:val="auto"/>
          <w:lang w:eastAsia="zh-CN"/>
        </w:rPr>
        <w:t>）</w:t>
      </w:r>
      <w:r>
        <w:rPr>
          <w:rFonts w:hint="default"/>
          <w:color w:val="auto"/>
        </w:rPr>
        <w:t>中的Ⅲ类标准。</w:t>
      </w:r>
    </w:p>
    <w:p w14:paraId="3BA96CD1">
      <w:pPr>
        <w:pStyle w:val="79"/>
        <w:bidi w:val="0"/>
        <w:rPr>
          <w:rFonts w:hint="default"/>
          <w:color w:val="auto"/>
        </w:rPr>
      </w:pPr>
      <w:r>
        <w:rPr>
          <w:rFonts w:hint="eastAsia"/>
          <w:color w:val="auto"/>
          <w:lang w:val="en-US" w:eastAsia="zh-CN"/>
        </w:rPr>
        <w:t>③</w:t>
      </w:r>
      <w:r>
        <w:rPr>
          <w:rFonts w:hint="default"/>
          <w:color w:val="auto"/>
        </w:rPr>
        <w:t>预测方法</w:t>
      </w:r>
    </w:p>
    <w:p w14:paraId="0EB1A7A6">
      <w:pPr>
        <w:pStyle w:val="79"/>
        <w:bidi w:val="0"/>
        <w:rPr>
          <w:rFonts w:hint="default"/>
          <w:color w:val="auto"/>
        </w:rPr>
      </w:pPr>
      <w:r>
        <w:rPr>
          <w:rFonts w:hint="default"/>
          <w:color w:val="auto"/>
        </w:rPr>
        <w:t>本次评价采用解析法对地下水环境影响进行预测。</w:t>
      </w:r>
      <w:bookmarkStart w:id="634" w:name="_Hlk66289940"/>
    </w:p>
    <w:p w14:paraId="5C33E6D8">
      <w:pPr>
        <w:pStyle w:val="79"/>
        <w:bidi w:val="0"/>
        <w:rPr>
          <w:rFonts w:hint="default"/>
          <w:color w:val="auto"/>
        </w:rPr>
      </w:pPr>
      <w:r>
        <w:rPr>
          <w:rFonts w:hint="eastAsia"/>
          <w:color w:val="auto"/>
          <w:lang w:val="en-US" w:eastAsia="zh-CN"/>
        </w:rPr>
        <w:t>④</w:t>
      </w:r>
      <w:r>
        <w:rPr>
          <w:rFonts w:hint="default"/>
          <w:color w:val="auto"/>
        </w:rPr>
        <w:t>预测模型</w:t>
      </w:r>
    </w:p>
    <w:p w14:paraId="3B1C23EF">
      <w:pPr>
        <w:pStyle w:val="79"/>
        <w:bidi w:val="0"/>
        <w:rPr>
          <w:rFonts w:hint="default"/>
          <w:color w:val="auto"/>
        </w:rPr>
      </w:pPr>
      <w:r>
        <w:rPr>
          <w:rFonts w:hint="default"/>
          <w:color w:val="auto"/>
        </w:rPr>
        <w:t>预测按最不利的情况设计情景，污染物泄漏直接进入地下水，并在含水层中沿水力梯度方向径流，</w:t>
      </w:r>
      <w:r>
        <w:rPr>
          <w:rFonts w:hint="eastAsia"/>
          <w:color w:val="auto"/>
          <w:lang w:eastAsia="zh-CN"/>
        </w:rPr>
        <w:t>污染物</w:t>
      </w:r>
      <w:r>
        <w:rPr>
          <w:rFonts w:hint="default"/>
          <w:color w:val="auto"/>
        </w:rPr>
        <w:t>浓度在未渗入地下水前不发生变化，不考虑污水在包气带中下渗过程的降解与吸附作用，不考虑含水层中对污染物的吸附、挥发、生物化学反应。设计情景为极端情况，用于表征污水排放对地下水环境的最大影响程度和影响范围。</w:t>
      </w:r>
    </w:p>
    <w:p w14:paraId="1F69A0E3">
      <w:pPr>
        <w:pStyle w:val="79"/>
        <w:bidi w:val="0"/>
        <w:rPr>
          <w:rFonts w:hint="default"/>
          <w:color w:val="auto"/>
        </w:rPr>
      </w:pPr>
      <w:r>
        <w:rPr>
          <w:rFonts w:hint="default"/>
          <w:color w:val="auto"/>
        </w:rPr>
        <w:t>污染物在浅层含水层中的迁移，可将预测情形概化为一维短时</w:t>
      </w:r>
      <w:r>
        <w:rPr>
          <w:rFonts w:hint="eastAsia"/>
          <w:color w:val="auto"/>
          <w:lang w:eastAsia="zh-CN"/>
        </w:rPr>
        <w:t>泄漏</w:t>
      </w:r>
      <w:r>
        <w:rPr>
          <w:rFonts w:hint="default"/>
          <w:color w:val="auto"/>
        </w:rPr>
        <w:t>点源的水动力弥散问题。在模型计算中，对污染物的吸附、挥发、生物化学反应均不予以考虑，对模型中的各项参数均予保守性估计。</w:t>
      </w:r>
    </w:p>
    <w:p w14:paraId="09FEFA0A">
      <w:pPr>
        <w:adjustRightInd w:val="0"/>
        <w:snapToGrid w:val="0"/>
        <w:spacing w:line="360" w:lineRule="auto"/>
        <w:ind w:firstLine="420" w:firstLineChars="20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3007360" cy="539750"/>
            <wp:effectExtent l="0" t="0" r="2540" b="12700"/>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23"/>
                    <a:stretch>
                      <a:fillRect/>
                    </a:stretch>
                  </pic:blipFill>
                  <pic:spPr>
                    <a:xfrm>
                      <a:off x="0" y="0"/>
                      <a:ext cx="3007360" cy="539750"/>
                    </a:xfrm>
                    <a:prstGeom prst="rect">
                      <a:avLst/>
                    </a:prstGeom>
                    <a:noFill/>
                    <a:ln>
                      <a:noFill/>
                    </a:ln>
                  </pic:spPr>
                </pic:pic>
              </a:graphicData>
            </a:graphic>
          </wp:inline>
        </w:drawing>
      </w:r>
    </w:p>
    <w:p w14:paraId="00C34E5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以上式中：x—距注入点的距离，m；</w:t>
      </w:r>
    </w:p>
    <w:p w14:paraId="731C0ACD">
      <w:pPr>
        <w:keepNext w:val="0"/>
        <w:keepLines w:val="0"/>
        <w:pageBreakBefore w:val="0"/>
        <w:widowControl w:val="0"/>
        <w:kinsoku/>
        <w:wordWrap/>
        <w:overflowPunct/>
        <w:topLinePunct w:val="0"/>
        <w:autoSpaceDE/>
        <w:autoSpaceDN/>
        <w:bidi w:val="0"/>
        <w:adjustRightInd/>
        <w:snapToGrid/>
        <w:spacing w:line="480" w:lineRule="exact"/>
        <w:ind w:firstLine="1680" w:firstLineChars="7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t—时间，d；</w:t>
      </w:r>
    </w:p>
    <w:p w14:paraId="6ADD6D8A">
      <w:pPr>
        <w:keepNext w:val="0"/>
        <w:keepLines w:val="0"/>
        <w:pageBreakBefore w:val="0"/>
        <w:widowControl w:val="0"/>
        <w:kinsoku/>
        <w:wordWrap/>
        <w:overflowPunct/>
        <w:topLinePunct w:val="0"/>
        <w:autoSpaceDE/>
        <w:autoSpaceDN/>
        <w:bidi w:val="0"/>
        <w:adjustRightInd/>
        <w:snapToGrid/>
        <w:spacing w:line="480" w:lineRule="exact"/>
        <w:ind w:firstLine="1680" w:firstLineChars="7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C（x，t）—t时刻x处的示踪剂浓度，g/</w:t>
      </w:r>
      <w:r>
        <w:rPr>
          <w:rFonts w:hint="eastAsia" w:ascii="宋体" w:hAnsi="宋体" w:cs="宋体"/>
          <w:color w:val="auto"/>
          <w:sz w:val="24"/>
          <w:szCs w:val="24"/>
          <w:lang w:val="en-US" w:eastAsia="zh-CN"/>
        </w:rPr>
        <w:t>L</w:t>
      </w:r>
      <w:r>
        <w:rPr>
          <w:rFonts w:hint="eastAsia" w:ascii="宋体" w:hAnsi="宋体" w:eastAsia="宋体" w:cs="宋体"/>
          <w:color w:val="auto"/>
          <w:sz w:val="24"/>
          <w:szCs w:val="24"/>
        </w:rPr>
        <w:t>；</w:t>
      </w:r>
    </w:p>
    <w:p w14:paraId="332DB2C7">
      <w:pPr>
        <w:keepNext w:val="0"/>
        <w:keepLines w:val="0"/>
        <w:pageBreakBefore w:val="0"/>
        <w:widowControl w:val="0"/>
        <w:kinsoku/>
        <w:wordWrap/>
        <w:overflowPunct/>
        <w:topLinePunct w:val="0"/>
        <w:autoSpaceDE/>
        <w:autoSpaceDN/>
        <w:bidi w:val="0"/>
        <w:adjustRightInd/>
        <w:snapToGrid/>
        <w:spacing w:line="480" w:lineRule="exact"/>
        <w:ind w:firstLine="1680" w:firstLineChars="7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C</w:t>
      </w:r>
      <w:r>
        <w:rPr>
          <w:rFonts w:hint="eastAsia" w:ascii="宋体" w:hAnsi="宋体" w:eastAsia="宋体" w:cs="宋体"/>
          <w:color w:val="auto"/>
          <w:sz w:val="24"/>
          <w:szCs w:val="24"/>
          <w:vertAlign w:val="subscript"/>
        </w:rPr>
        <w:t>0——</w:t>
      </w:r>
      <w:r>
        <w:rPr>
          <w:rFonts w:hint="eastAsia" w:ascii="宋体" w:hAnsi="宋体" w:eastAsia="宋体" w:cs="宋体"/>
          <w:color w:val="auto"/>
          <w:sz w:val="24"/>
          <w:szCs w:val="24"/>
        </w:rPr>
        <w:t>注入的示踪剂浓度，g/</w:t>
      </w:r>
      <w:r>
        <w:rPr>
          <w:rFonts w:hint="eastAsia" w:ascii="宋体" w:hAnsi="宋体" w:cs="宋体"/>
          <w:color w:val="auto"/>
          <w:sz w:val="24"/>
          <w:szCs w:val="24"/>
          <w:lang w:val="en-US" w:eastAsia="zh-CN"/>
        </w:rPr>
        <w:t>L</w:t>
      </w:r>
      <w:r>
        <w:rPr>
          <w:rFonts w:hint="eastAsia" w:ascii="宋体" w:hAnsi="宋体" w:eastAsia="宋体" w:cs="宋体"/>
          <w:color w:val="auto"/>
          <w:sz w:val="24"/>
          <w:szCs w:val="24"/>
        </w:rPr>
        <w:t>；</w:t>
      </w:r>
    </w:p>
    <w:p w14:paraId="65428FE8">
      <w:pPr>
        <w:keepNext w:val="0"/>
        <w:keepLines w:val="0"/>
        <w:pageBreakBefore w:val="0"/>
        <w:widowControl w:val="0"/>
        <w:kinsoku/>
        <w:wordWrap/>
        <w:overflowPunct/>
        <w:topLinePunct w:val="0"/>
        <w:autoSpaceDE/>
        <w:autoSpaceDN/>
        <w:bidi w:val="0"/>
        <w:adjustRightInd/>
        <w:snapToGrid/>
        <w:spacing w:line="480" w:lineRule="exact"/>
        <w:ind w:firstLine="1680" w:firstLineChars="7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u-水流速度，m/d；</w:t>
      </w:r>
    </w:p>
    <w:p w14:paraId="21A5F92A">
      <w:pPr>
        <w:keepNext w:val="0"/>
        <w:keepLines w:val="0"/>
        <w:pageBreakBefore w:val="0"/>
        <w:widowControl w:val="0"/>
        <w:kinsoku/>
        <w:wordWrap/>
        <w:overflowPunct/>
        <w:topLinePunct w:val="0"/>
        <w:autoSpaceDE/>
        <w:autoSpaceDN/>
        <w:bidi w:val="0"/>
        <w:adjustRightInd/>
        <w:snapToGrid/>
        <w:spacing w:line="480" w:lineRule="exact"/>
        <w:ind w:firstLine="1680" w:firstLineChars="7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n—有效孔隙度，无量纲； </w:t>
      </w:r>
    </w:p>
    <w:p w14:paraId="6F415CD0">
      <w:pPr>
        <w:keepNext w:val="0"/>
        <w:keepLines w:val="0"/>
        <w:pageBreakBefore w:val="0"/>
        <w:widowControl w:val="0"/>
        <w:kinsoku/>
        <w:wordWrap/>
        <w:overflowPunct/>
        <w:topLinePunct w:val="0"/>
        <w:autoSpaceDE/>
        <w:autoSpaceDN/>
        <w:bidi w:val="0"/>
        <w:adjustRightInd/>
        <w:snapToGrid/>
        <w:spacing w:line="480" w:lineRule="exact"/>
        <w:ind w:firstLine="1680" w:firstLineChars="7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D</w:t>
      </w:r>
      <w:r>
        <w:rPr>
          <w:rFonts w:hint="eastAsia" w:ascii="宋体" w:hAnsi="宋体" w:eastAsia="宋体" w:cs="宋体"/>
          <w:color w:val="auto"/>
          <w:sz w:val="24"/>
          <w:szCs w:val="24"/>
          <w:vertAlign w:val="subscript"/>
        </w:rPr>
        <w:t>L</w:t>
      </w:r>
      <w:r>
        <w:rPr>
          <w:rFonts w:hint="eastAsia" w:ascii="宋体" w:hAnsi="宋体" w:eastAsia="宋体" w:cs="宋体"/>
          <w:color w:val="auto"/>
          <w:sz w:val="24"/>
          <w:szCs w:val="24"/>
        </w:rPr>
        <w:t>—纵向弥散系数，m</w:t>
      </w:r>
      <w:r>
        <w:rPr>
          <w:rFonts w:hint="eastAsia" w:ascii="宋体" w:hAnsi="宋体" w:eastAsia="宋体" w:cs="宋体"/>
          <w:color w:val="auto"/>
          <w:sz w:val="24"/>
          <w:szCs w:val="24"/>
          <w:vertAlign w:val="superscript"/>
        </w:rPr>
        <w:t>2</w:t>
      </w:r>
      <w:r>
        <w:rPr>
          <w:rFonts w:hint="eastAsia" w:ascii="宋体" w:hAnsi="宋体" w:eastAsia="宋体" w:cs="宋体"/>
          <w:color w:val="auto"/>
          <w:sz w:val="24"/>
          <w:szCs w:val="24"/>
        </w:rPr>
        <w:t>/d；</w:t>
      </w:r>
    </w:p>
    <w:p w14:paraId="3349F529">
      <w:pPr>
        <w:keepNext w:val="0"/>
        <w:keepLines w:val="0"/>
        <w:pageBreakBefore w:val="0"/>
        <w:widowControl w:val="0"/>
        <w:kinsoku/>
        <w:wordWrap/>
        <w:overflowPunct/>
        <w:topLinePunct w:val="0"/>
        <w:autoSpaceDE/>
        <w:autoSpaceDN/>
        <w:bidi w:val="0"/>
        <w:adjustRightInd/>
        <w:snapToGrid/>
        <w:spacing w:line="480" w:lineRule="exact"/>
        <w:ind w:firstLine="1680" w:firstLineChars="7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erfc( )—余误差函数。</w:t>
      </w:r>
      <w:bookmarkEnd w:id="634"/>
    </w:p>
    <w:p w14:paraId="648BC24E">
      <w:pPr>
        <w:pStyle w:val="79"/>
        <w:bidi w:val="0"/>
        <w:rPr>
          <w:rFonts w:hint="default"/>
          <w:color w:val="auto"/>
          <w:lang w:val="en-US" w:eastAsia="zh-CN"/>
        </w:rPr>
      </w:pPr>
      <w:r>
        <w:rPr>
          <w:rFonts w:hint="default"/>
          <w:color w:val="auto"/>
          <w:lang w:val="en-US" w:eastAsia="zh-CN"/>
        </w:rPr>
        <w:t>⑤预测参数</w:t>
      </w:r>
    </w:p>
    <w:p w14:paraId="3D0D7850">
      <w:pPr>
        <w:pStyle w:val="79"/>
        <w:bidi w:val="0"/>
        <w:rPr>
          <w:rFonts w:hint="eastAsia"/>
          <w:color w:val="auto"/>
        </w:rPr>
      </w:pPr>
      <w:r>
        <w:rPr>
          <w:rFonts w:hint="eastAsia"/>
          <w:color w:val="auto"/>
        </w:rPr>
        <w:t>本次评价水文地质参数主要通过收集项目所在区域的成果资料及经验参数来确定。根据区域水文地质条件，评价区内第四系含水层岩性主要为粉土、粉细砂。本次评价水文地质参数主要通过区域的勘察资料及导则中推荐的经验值确定。模型中所需参数及来源见表5.</w:t>
      </w:r>
      <w:r>
        <w:rPr>
          <w:rFonts w:hint="eastAsia"/>
          <w:color w:val="auto"/>
          <w:lang w:val="en-US" w:eastAsia="zh-CN"/>
        </w:rPr>
        <w:t>2</w:t>
      </w:r>
      <w:r>
        <w:rPr>
          <w:rFonts w:hint="eastAsia"/>
          <w:color w:val="auto"/>
        </w:rPr>
        <w:t>-1。</w:t>
      </w:r>
    </w:p>
    <w:p w14:paraId="433DFDE7">
      <w:pPr>
        <w:pStyle w:val="61"/>
        <w:bidi w:val="0"/>
        <w:jc w:val="both"/>
        <w:rPr>
          <w:rFonts w:hint="eastAsia"/>
          <w:color w:val="auto"/>
        </w:rPr>
      </w:pPr>
      <w:r>
        <w:rPr>
          <w:rFonts w:hint="eastAsia"/>
          <w:color w:val="auto"/>
        </w:rPr>
        <w:t>表5.</w:t>
      </w:r>
      <w:r>
        <w:rPr>
          <w:rFonts w:hint="eastAsia"/>
          <w:color w:val="auto"/>
          <w:lang w:val="en-US" w:eastAsia="zh-CN"/>
        </w:rPr>
        <w:t>2</w:t>
      </w:r>
      <w:r>
        <w:rPr>
          <w:rFonts w:hint="eastAsia"/>
          <w:color w:val="auto"/>
        </w:rPr>
        <w:t>-1   水质预测模型所需参数一览表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748"/>
        <w:gridCol w:w="1301"/>
        <w:gridCol w:w="1156"/>
        <w:gridCol w:w="4970"/>
      </w:tblGrid>
      <w:tr w14:paraId="0344A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blHeader/>
          <w:jc w:val="center"/>
        </w:trPr>
        <w:tc>
          <w:tcPr>
            <w:tcW w:w="373" w:type="pct"/>
            <w:tcBorders>
              <w:top w:val="single" w:color="auto" w:sz="12" w:space="0"/>
              <w:left w:val="single" w:color="auto" w:sz="12" w:space="0"/>
              <w:bottom w:val="single" w:color="auto" w:sz="6" w:space="0"/>
              <w:right w:val="single" w:color="auto" w:sz="6" w:space="0"/>
            </w:tcBorders>
            <w:noWrap w:val="0"/>
            <w:vAlign w:val="center"/>
          </w:tcPr>
          <w:p w14:paraId="7B1A33A9">
            <w:pPr>
              <w:widowControl w:val="0"/>
              <w:autoSpaceDE w:val="0"/>
              <w:autoSpaceDN w:val="0"/>
              <w:spacing w:before="13" w:line="239" w:lineRule="exact"/>
              <w:ind w:left="10"/>
              <w:rPr>
                <w:rFonts w:hint="default" w:ascii="Times New Roman" w:hAnsi="Times New Roman" w:cs="Times New Roman"/>
                <w:color w:val="auto"/>
                <w:sz w:val="21"/>
                <w:szCs w:val="21"/>
                <w:lang w:val="zh-CN" w:bidi="zh-CN"/>
              </w:rPr>
            </w:pPr>
            <w:r>
              <w:rPr>
                <w:rFonts w:hint="default" w:ascii="Times New Roman" w:hAnsi="Times New Roman" w:cs="Times New Roman"/>
                <w:color w:val="auto"/>
                <w:sz w:val="21"/>
                <w:szCs w:val="21"/>
                <w:lang w:val="zh-CN" w:bidi="zh-CN"/>
              </w:rPr>
              <w:t>序号</w:t>
            </w:r>
          </w:p>
        </w:tc>
        <w:tc>
          <w:tcPr>
            <w:tcW w:w="423" w:type="pct"/>
            <w:tcBorders>
              <w:top w:val="single" w:color="auto" w:sz="12" w:space="0"/>
              <w:left w:val="single" w:color="auto" w:sz="6" w:space="0"/>
              <w:bottom w:val="single" w:color="auto" w:sz="6" w:space="0"/>
              <w:right w:val="single" w:color="auto" w:sz="6" w:space="0"/>
            </w:tcBorders>
            <w:noWrap w:val="0"/>
            <w:vAlign w:val="center"/>
          </w:tcPr>
          <w:p w14:paraId="2818B790">
            <w:pPr>
              <w:widowControl w:val="0"/>
              <w:autoSpaceDE w:val="0"/>
              <w:autoSpaceDN w:val="0"/>
              <w:spacing w:before="13" w:line="239" w:lineRule="exact"/>
              <w:ind w:left="10"/>
              <w:rPr>
                <w:rFonts w:hint="default" w:ascii="Times New Roman" w:hAnsi="Times New Roman" w:cs="Times New Roman"/>
                <w:color w:val="auto"/>
                <w:sz w:val="21"/>
                <w:szCs w:val="21"/>
                <w:lang w:val="zh-CN" w:bidi="zh-CN"/>
              </w:rPr>
            </w:pPr>
            <w:r>
              <w:rPr>
                <w:rFonts w:hint="default" w:ascii="Times New Roman" w:hAnsi="Times New Roman" w:cs="Times New Roman"/>
                <w:color w:val="auto"/>
                <w:sz w:val="21"/>
                <w:szCs w:val="21"/>
                <w:lang w:val="zh-CN" w:bidi="zh-CN"/>
              </w:rPr>
              <w:t>参数符号</w:t>
            </w:r>
          </w:p>
        </w:tc>
        <w:tc>
          <w:tcPr>
            <w:tcW w:w="736" w:type="pct"/>
            <w:tcBorders>
              <w:top w:val="single" w:color="auto" w:sz="12" w:space="0"/>
              <w:left w:val="single" w:color="auto" w:sz="6" w:space="0"/>
              <w:bottom w:val="single" w:color="auto" w:sz="6" w:space="0"/>
              <w:right w:val="single" w:color="auto" w:sz="6" w:space="0"/>
            </w:tcBorders>
            <w:noWrap w:val="0"/>
            <w:vAlign w:val="center"/>
          </w:tcPr>
          <w:p w14:paraId="1BE65481">
            <w:pPr>
              <w:widowControl w:val="0"/>
              <w:autoSpaceDE w:val="0"/>
              <w:autoSpaceDN w:val="0"/>
              <w:spacing w:before="13" w:line="239" w:lineRule="exact"/>
              <w:ind w:left="10"/>
              <w:rPr>
                <w:rFonts w:hint="default" w:ascii="Times New Roman" w:hAnsi="Times New Roman" w:cs="Times New Roman"/>
                <w:color w:val="auto"/>
                <w:sz w:val="21"/>
                <w:szCs w:val="21"/>
                <w:lang w:val="zh-CN" w:bidi="zh-CN"/>
              </w:rPr>
            </w:pPr>
            <w:r>
              <w:rPr>
                <w:rFonts w:hint="default" w:ascii="Times New Roman" w:hAnsi="Times New Roman" w:cs="Times New Roman"/>
                <w:color w:val="auto"/>
                <w:sz w:val="21"/>
                <w:szCs w:val="21"/>
                <w:lang w:val="zh-CN" w:bidi="zh-CN"/>
              </w:rPr>
              <w:t>参数名称</w:t>
            </w:r>
          </w:p>
        </w:tc>
        <w:tc>
          <w:tcPr>
            <w:tcW w:w="654" w:type="pct"/>
            <w:tcBorders>
              <w:top w:val="single" w:color="auto" w:sz="12" w:space="0"/>
              <w:left w:val="single" w:color="auto" w:sz="6" w:space="0"/>
              <w:bottom w:val="single" w:color="auto" w:sz="6" w:space="0"/>
              <w:right w:val="single" w:color="auto" w:sz="6" w:space="0"/>
            </w:tcBorders>
            <w:noWrap w:val="0"/>
            <w:vAlign w:val="center"/>
          </w:tcPr>
          <w:p w14:paraId="4E4FC552">
            <w:pPr>
              <w:widowControl w:val="0"/>
              <w:autoSpaceDE w:val="0"/>
              <w:autoSpaceDN w:val="0"/>
              <w:spacing w:before="13" w:line="239" w:lineRule="exact"/>
              <w:ind w:left="10"/>
              <w:rPr>
                <w:rFonts w:hint="default" w:ascii="Times New Roman" w:hAnsi="Times New Roman" w:cs="Times New Roman"/>
                <w:color w:val="auto"/>
                <w:sz w:val="21"/>
                <w:szCs w:val="21"/>
                <w:lang w:val="zh-CN" w:bidi="zh-CN"/>
              </w:rPr>
            </w:pPr>
            <w:r>
              <w:rPr>
                <w:rFonts w:hint="default" w:ascii="Times New Roman" w:hAnsi="Times New Roman" w:cs="Times New Roman"/>
                <w:color w:val="auto"/>
                <w:sz w:val="21"/>
                <w:szCs w:val="21"/>
                <w:lang w:val="zh-CN" w:bidi="zh-CN"/>
              </w:rPr>
              <w:t>参数数值</w:t>
            </w:r>
          </w:p>
        </w:tc>
        <w:tc>
          <w:tcPr>
            <w:tcW w:w="2811" w:type="pct"/>
            <w:tcBorders>
              <w:top w:val="single" w:color="auto" w:sz="12" w:space="0"/>
              <w:left w:val="single" w:color="auto" w:sz="6" w:space="0"/>
              <w:bottom w:val="single" w:color="auto" w:sz="6" w:space="0"/>
              <w:right w:val="single" w:color="auto" w:sz="12" w:space="0"/>
            </w:tcBorders>
            <w:noWrap w:val="0"/>
            <w:vAlign w:val="center"/>
          </w:tcPr>
          <w:p w14:paraId="5B344299">
            <w:pPr>
              <w:widowControl w:val="0"/>
              <w:autoSpaceDE w:val="0"/>
              <w:autoSpaceDN w:val="0"/>
              <w:spacing w:before="13" w:line="239" w:lineRule="exact"/>
              <w:ind w:left="10"/>
              <w:rPr>
                <w:rFonts w:hint="default" w:ascii="Times New Roman" w:hAnsi="Times New Roman" w:cs="Times New Roman"/>
                <w:color w:val="auto"/>
                <w:sz w:val="21"/>
                <w:szCs w:val="21"/>
                <w:lang w:val="zh-CN" w:bidi="zh-CN"/>
              </w:rPr>
            </w:pPr>
            <w:r>
              <w:rPr>
                <w:rFonts w:hint="default" w:ascii="Times New Roman" w:hAnsi="Times New Roman" w:cs="Times New Roman"/>
                <w:color w:val="auto"/>
                <w:sz w:val="21"/>
                <w:szCs w:val="21"/>
                <w:lang w:val="zh-CN" w:bidi="zh-CN"/>
              </w:rPr>
              <w:t>数值来源</w:t>
            </w:r>
          </w:p>
        </w:tc>
      </w:tr>
      <w:tr w14:paraId="64F4C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373" w:type="pct"/>
            <w:tcBorders>
              <w:top w:val="single" w:color="auto" w:sz="6" w:space="0"/>
              <w:left w:val="single" w:color="auto" w:sz="12" w:space="0"/>
              <w:bottom w:val="single" w:color="auto" w:sz="6" w:space="0"/>
              <w:right w:val="single" w:color="auto" w:sz="6" w:space="0"/>
            </w:tcBorders>
            <w:noWrap w:val="0"/>
            <w:vAlign w:val="center"/>
          </w:tcPr>
          <w:p w14:paraId="18DDEF0C">
            <w:pPr>
              <w:widowControl w:val="0"/>
              <w:autoSpaceDE w:val="0"/>
              <w:autoSpaceDN w:val="0"/>
              <w:spacing w:before="13" w:line="239" w:lineRule="exact"/>
              <w:ind w:left="10"/>
              <w:rPr>
                <w:rFonts w:hint="default" w:ascii="Times New Roman" w:hAnsi="Times New Roman" w:cs="Times New Roman"/>
                <w:color w:val="auto"/>
                <w:sz w:val="21"/>
                <w:szCs w:val="21"/>
                <w:lang w:val="zh-CN" w:bidi="zh-CN"/>
              </w:rPr>
            </w:pPr>
            <w:r>
              <w:rPr>
                <w:rFonts w:hint="default" w:ascii="Times New Roman" w:hAnsi="Times New Roman" w:cs="Times New Roman"/>
                <w:color w:val="auto"/>
                <w:sz w:val="21"/>
                <w:szCs w:val="21"/>
                <w:lang w:val="zh-CN" w:bidi="zh-CN"/>
              </w:rPr>
              <w:t>1</w:t>
            </w:r>
          </w:p>
        </w:tc>
        <w:tc>
          <w:tcPr>
            <w:tcW w:w="423" w:type="pct"/>
            <w:tcBorders>
              <w:top w:val="single" w:color="auto" w:sz="6" w:space="0"/>
              <w:left w:val="single" w:color="auto" w:sz="6" w:space="0"/>
              <w:bottom w:val="single" w:color="auto" w:sz="6" w:space="0"/>
              <w:right w:val="single" w:color="auto" w:sz="6" w:space="0"/>
            </w:tcBorders>
            <w:noWrap w:val="0"/>
            <w:vAlign w:val="center"/>
          </w:tcPr>
          <w:p w14:paraId="1A4F9B6D">
            <w:pPr>
              <w:widowControl w:val="0"/>
              <w:autoSpaceDE w:val="0"/>
              <w:autoSpaceDN w:val="0"/>
              <w:spacing w:before="13" w:line="239" w:lineRule="exact"/>
              <w:ind w:left="10"/>
              <w:rPr>
                <w:rFonts w:hint="default" w:ascii="Times New Roman" w:hAnsi="Times New Roman" w:cs="Times New Roman"/>
                <w:color w:val="auto"/>
                <w:sz w:val="21"/>
                <w:szCs w:val="21"/>
                <w:lang w:val="zh-CN" w:bidi="zh-CN"/>
              </w:rPr>
            </w:pPr>
            <w:r>
              <w:rPr>
                <w:rFonts w:hint="default" w:ascii="Times New Roman" w:hAnsi="Times New Roman" w:cs="Times New Roman"/>
                <w:color w:val="auto"/>
                <w:sz w:val="21"/>
                <w:szCs w:val="21"/>
                <w:lang w:val="zh-CN" w:bidi="zh-CN"/>
              </w:rPr>
              <w:t>u</w:t>
            </w:r>
          </w:p>
        </w:tc>
        <w:tc>
          <w:tcPr>
            <w:tcW w:w="736" w:type="pct"/>
            <w:tcBorders>
              <w:top w:val="single" w:color="auto" w:sz="6" w:space="0"/>
              <w:left w:val="single" w:color="auto" w:sz="6" w:space="0"/>
              <w:bottom w:val="single" w:color="auto" w:sz="6" w:space="0"/>
              <w:right w:val="single" w:color="auto" w:sz="6" w:space="0"/>
            </w:tcBorders>
            <w:noWrap w:val="0"/>
            <w:vAlign w:val="center"/>
          </w:tcPr>
          <w:p w14:paraId="77ADA81B">
            <w:pPr>
              <w:widowControl w:val="0"/>
              <w:autoSpaceDE w:val="0"/>
              <w:autoSpaceDN w:val="0"/>
              <w:spacing w:before="13" w:line="239" w:lineRule="exact"/>
              <w:ind w:left="10"/>
              <w:rPr>
                <w:rFonts w:hint="default" w:ascii="Times New Roman" w:hAnsi="Times New Roman" w:cs="Times New Roman"/>
                <w:color w:val="auto"/>
                <w:sz w:val="21"/>
                <w:szCs w:val="21"/>
                <w:lang w:val="zh-CN" w:bidi="zh-CN"/>
              </w:rPr>
            </w:pPr>
            <w:r>
              <w:rPr>
                <w:rFonts w:hint="default" w:ascii="Times New Roman" w:hAnsi="Times New Roman" w:cs="Times New Roman"/>
                <w:color w:val="auto"/>
                <w:sz w:val="21"/>
                <w:szCs w:val="21"/>
                <w:lang w:val="zh-CN" w:bidi="zh-CN"/>
              </w:rPr>
              <w:t>水流速度</w:t>
            </w:r>
          </w:p>
        </w:tc>
        <w:tc>
          <w:tcPr>
            <w:tcW w:w="654" w:type="pct"/>
            <w:tcBorders>
              <w:top w:val="single" w:color="auto" w:sz="6" w:space="0"/>
              <w:left w:val="single" w:color="auto" w:sz="6" w:space="0"/>
              <w:bottom w:val="single" w:color="auto" w:sz="6" w:space="0"/>
              <w:right w:val="single" w:color="auto" w:sz="6" w:space="0"/>
            </w:tcBorders>
            <w:noWrap w:val="0"/>
            <w:vAlign w:val="center"/>
          </w:tcPr>
          <w:p w14:paraId="66019ACF">
            <w:pPr>
              <w:widowControl w:val="0"/>
              <w:autoSpaceDE w:val="0"/>
              <w:autoSpaceDN w:val="0"/>
              <w:spacing w:before="13" w:line="239" w:lineRule="exact"/>
              <w:ind w:left="10"/>
              <w:rPr>
                <w:rFonts w:hint="default" w:ascii="Times New Roman" w:hAnsi="Times New Roman" w:cs="Times New Roman"/>
                <w:color w:val="auto"/>
                <w:sz w:val="21"/>
                <w:szCs w:val="21"/>
                <w:lang w:val="zh-CN" w:bidi="zh-CN"/>
              </w:rPr>
            </w:pPr>
            <w:r>
              <w:rPr>
                <w:rFonts w:hint="eastAsia" w:cs="Times New Roman"/>
                <w:color w:val="auto"/>
                <w:sz w:val="21"/>
                <w:szCs w:val="21"/>
                <w:lang w:val="zh-CN" w:bidi="zh-CN"/>
              </w:rPr>
              <w:t>0.0039</w:t>
            </w:r>
            <w:r>
              <w:rPr>
                <w:rFonts w:hint="default" w:ascii="Times New Roman" w:hAnsi="Times New Roman" w:cs="Times New Roman"/>
                <w:color w:val="auto"/>
                <w:sz w:val="21"/>
                <w:szCs w:val="21"/>
                <w:lang w:val="zh-CN" w:bidi="zh-CN"/>
              </w:rPr>
              <w:t>m/d</w:t>
            </w:r>
          </w:p>
        </w:tc>
        <w:tc>
          <w:tcPr>
            <w:tcW w:w="2811" w:type="pct"/>
            <w:tcBorders>
              <w:top w:val="single" w:color="auto" w:sz="6" w:space="0"/>
              <w:left w:val="single" w:color="auto" w:sz="6" w:space="0"/>
              <w:bottom w:val="single" w:color="auto" w:sz="6" w:space="0"/>
              <w:right w:val="single" w:color="auto" w:sz="12" w:space="0"/>
            </w:tcBorders>
            <w:noWrap w:val="0"/>
            <w:vAlign w:val="center"/>
          </w:tcPr>
          <w:p w14:paraId="3A871C8C">
            <w:pPr>
              <w:widowControl w:val="0"/>
              <w:autoSpaceDE w:val="0"/>
              <w:autoSpaceDN w:val="0"/>
              <w:spacing w:before="13" w:line="239" w:lineRule="exact"/>
              <w:ind w:left="10"/>
              <w:rPr>
                <w:rFonts w:hint="default" w:ascii="Times New Roman" w:hAnsi="Times New Roman" w:cs="Times New Roman"/>
                <w:color w:val="auto"/>
                <w:sz w:val="21"/>
                <w:szCs w:val="21"/>
                <w:lang w:val="zh-CN" w:bidi="zh-CN"/>
              </w:rPr>
            </w:pPr>
            <w:r>
              <w:rPr>
                <w:rFonts w:hint="default" w:ascii="Times New Roman" w:hAnsi="Times New Roman" w:cs="Times New Roman"/>
                <w:color w:val="auto"/>
                <w:sz w:val="21"/>
                <w:szCs w:val="21"/>
                <w:lang w:val="zh-CN" w:bidi="zh-CN"/>
              </w:rPr>
              <w:t>地下水的平均实际流速u= KI /n，根据区内水文地质条件，评价区内渗透系数0.11～4.34m/d，本次取最大值4.34m/d，地下水的水力坡度为1.8‰。</w:t>
            </w:r>
          </w:p>
        </w:tc>
      </w:tr>
      <w:tr w14:paraId="4782F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373" w:type="pct"/>
            <w:tcBorders>
              <w:top w:val="single" w:color="auto" w:sz="6" w:space="0"/>
              <w:left w:val="single" w:color="auto" w:sz="12" w:space="0"/>
              <w:bottom w:val="single" w:color="auto" w:sz="6" w:space="0"/>
              <w:right w:val="single" w:color="auto" w:sz="6" w:space="0"/>
            </w:tcBorders>
            <w:noWrap w:val="0"/>
            <w:vAlign w:val="center"/>
          </w:tcPr>
          <w:p w14:paraId="31E1AE4C">
            <w:pPr>
              <w:widowControl w:val="0"/>
              <w:autoSpaceDE w:val="0"/>
              <w:autoSpaceDN w:val="0"/>
              <w:spacing w:before="13" w:line="239" w:lineRule="exact"/>
              <w:ind w:left="10"/>
              <w:rPr>
                <w:rFonts w:hint="default" w:ascii="Times New Roman" w:hAnsi="Times New Roman" w:cs="Times New Roman"/>
                <w:color w:val="auto"/>
                <w:sz w:val="21"/>
                <w:szCs w:val="21"/>
                <w:lang w:val="zh-CN" w:bidi="zh-CN"/>
              </w:rPr>
            </w:pPr>
            <w:r>
              <w:rPr>
                <w:rFonts w:hint="default" w:ascii="Times New Roman" w:hAnsi="Times New Roman" w:cs="Times New Roman"/>
                <w:color w:val="auto"/>
                <w:sz w:val="21"/>
                <w:szCs w:val="21"/>
                <w:lang w:val="zh-CN" w:bidi="zh-CN"/>
              </w:rPr>
              <w:t>2</w:t>
            </w:r>
          </w:p>
        </w:tc>
        <w:tc>
          <w:tcPr>
            <w:tcW w:w="423" w:type="pct"/>
            <w:tcBorders>
              <w:top w:val="single" w:color="auto" w:sz="6" w:space="0"/>
              <w:left w:val="single" w:color="auto" w:sz="6" w:space="0"/>
              <w:bottom w:val="single" w:color="auto" w:sz="6" w:space="0"/>
              <w:right w:val="single" w:color="auto" w:sz="6" w:space="0"/>
            </w:tcBorders>
            <w:noWrap w:val="0"/>
            <w:vAlign w:val="center"/>
          </w:tcPr>
          <w:p w14:paraId="16CD896E">
            <w:pPr>
              <w:widowControl w:val="0"/>
              <w:autoSpaceDE w:val="0"/>
              <w:autoSpaceDN w:val="0"/>
              <w:spacing w:before="13" w:line="239" w:lineRule="exact"/>
              <w:ind w:left="10"/>
              <w:rPr>
                <w:rFonts w:hint="default" w:ascii="Times New Roman" w:hAnsi="Times New Roman" w:cs="Times New Roman"/>
                <w:color w:val="auto"/>
                <w:sz w:val="21"/>
                <w:szCs w:val="21"/>
                <w:lang w:val="zh-CN" w:bidi="zh-CN"/>
              </w:rPr>
            </w:pPr>
            <w:r>
              <w:rPr>
                <w:rFonts w:hint="default" w:ascii="Times New Roman" w:hAnsi="Times New Roman" w:cs="Times New Roman"/>
                <w:color w:val="auto"/>
                <w:sz w:val="21"/>
                <w:szCs w:val="21"/>
                <w:lang w:val="zh-CN" w:bidi="zh-CN"/>
              </w:rPr>
              <w:t>D</w:t>
            </w:r>
            <w:r>
              <w:rPr>
                <w:rFonts w:hint="default" w:ascii="Times New Roman" w:hAnsi="Times New Roman" w:cs="Times New Roman"/>
                <w:color w:val="auto"/>
                <w:sz w:val="21"/>
                <w:szCs w:val="21"/>
                <w:vertAlign w:val="subscript"/>
                <w:lang w:val="zh-CN" w:bidi="zh-CN"/>
              </w:rPr>
              <w:t>L</w:t>
            </w:r>
          </w:p>
        </w:tc>
        <w:tc>
          <w:tcPr>
            <w:tcW w:w="736" w:type="pct"/>
            <w:tcBorders>
              <w:top w:val="single" w:color="auto" w:sz="6" w:space="0"/>
              <w:left w:val="single" w:color="auto" w:sz="6" w:space="0"/>
              <w:bottom w:val="single" w:color="auto" w:sz="6" w:space="0"/>
              <w:right w:val="single" w:color="auto" w:sz="6" w:space="0"/>
            </w:tcBorders>
            <w:noWrap w:val="0"/>
            <w:vAlign w:val="center"/>
          </w:tcPr>
          <w:p w14:paraId="5151BE85">
            <w:pPr>
              <w:widowControl w:val="0"/>
              <w:autoSpaceDE w:val="0"/>
              <w:autoSpaceDN w:val="0"/>
              <w:spacing w:before="13" w:line="239" w:lineRule="exact"/>
              <w:ind w:left="10"/>
              <w:rPr>
                <w:rFonts w:hint="default" w:ascii="Times New Roman" w:hAnsi="Times New Roman" w:cs="Times New Roman"/>
                <w:color w:val="auto"/>
                <w:sz w:val="21"/>
                <w:szCs w:val="21"/>
                <w:lang w:val="zh-CN" w:bidi="zh-CN"/>
              </w:rPr>
            </w:pPr>
            <w:r>
              <w:rPr>
                <w:rFonts w:hint="default" w:ascii="Times New Roman" w:hAnsi="Times New Roman" w:cs="Times New Roman"/>
                <w:color w:val="auto"/>
                <w:sz w:val="21"/>
                <w:szCs w:val="21"/>
                <w:lang w:val="zh-CN" w:bidi="zh-CN"/>
              </w:rPr>
              <w:t>纵向弥散系数</w:t>
            </w:r>
          </w:p>
        </w:tc>
        <w:tc>
          <w:tcPr>
            <w:tcW w:w="654" w:type="pct"/>
            <w:tcBorders>
              <w:top w:val="single" w:color="auto" w:sz="6" w:space="0"/>
              <w:left w:val="single" w:color="auto" w:sz="6" w:space="0"/>
              <w:bottom w:val="single" w:color="auto" w:sz="6" w:space="0"/>
              <w:right w:val="single" w:color="auto" w:sz="6" w:space="0"/>
            </w:tcBorders>
            <w:noWrap w:val="0"/>
            <w:vAlign w:val="center"/>
          </w:tcPr>
          <w:p w14:paraId="44219717">
            <w:pPr>
              <w:widowControl w:val="0"/>
              <w:autoSpaceDE w:val="0"/>
              <w:autoSpaceDN w:val="0"/>
              <w:spacing w:before="13" w:line="239" w:lineRule="exact"/>
              <w:ind w:left="10"/>
              <w:rPr>
                <w:rFonts w:hint="default" w:ascii="Times New Roman" w:hAnsi="Times New Roman" w:cs="Times New Roman"/>
                <w:color w:val="auto"/>
                <w:sz w:val="21"/>
                <w:szCs w:val="21"/>
                <w:lang w:val="zh-CN" w:bidi="zh-CN"/>
              </w:rPr>
            </w:pPr>
            <w:r>
              <w:rPr>
                <w:rFonts w:hint="default" w:ascii="Times New Roman" w:hAnsi="Times New Roman" w:cs="Times New Roman"/>
                <w:color w:val="auto"/>
                <w:sz w:val="21"/>
                <w:szCs w:val="21"/>
                <w:lang w:val="zh-CN" w:bidi="zh-CN"/>
              </w:rPr>
              <w:t>0.19m</w:t>
            </w:r>
            <w:r>
              <w:rPr>
                <w:rFonts w:hint="default" w:ascii="Times New Roman" w:hAnsi="Times New Roman" w:cs="Times New Roman"/>
                <w:color w:val="auto"/>
                <w:sz w:val="21"/>
                <w:szCs w:val="21"/>
                <w:vertAlign w:val="superscript"/>
                <w:lang w:val="zh-CN" w:bidi="zh-CN"/>
              </w:rPr>
              <w:t>2</w:t>
            </w:r>
            <w:r>
              <w:rPr>
                <w:rFonts w:hint="default" w:ascii="Times New Roman" w:hAnsi="Times New Roman" w:cs="Times New Roman"/>
                <w:color w:val="auto"/>
                <w:sz w:val="21"/>
                <w:szCs w:val="21"/>
                <w:lang w:val="zh-CN" w:bidi="zh-CN"/>
              </w:rPr>
              <w:t>/d</w:t>
            </w:r>
          </w:p>
        </w:tc>
        <w:tc>
          <w:tcPr>
            <w:tcW w:w="2811" w:type="pct"/>
            <w:tcBorders>
              <w:top w:val="single" w:color="auto" w:sz="6" w:space="0"/>
              <w:left w:val="single" w:color="auto" w:sz="6" w:space="0"/>
              <w:bottom w:val="single" w:color="auto" w:sz="6" w:space="0"/>
              <w:right w:val="single" w:color="auto" w:sz="12" w:space="0"/>
            </w:tcBorders>
            <w:noWrap w:val="0"/>
            <w:vAlign w:val="center"/>
          </w:tcPr>
          <w:p w14:paraId="6A8E266D">
            <w:pPr>
              <w:widowControl w:val="0"/>
              <w:autoSpaceDE w:val="0"/>
              <w:autoSpaceDN w:val="0"/>
              <w:spacing w:before="13" w:line="239" w:lineRule="exact"/>
              <w:ind w:left="10"/>
              <w:rPr>
                <w:rFonts w:hint="default" w:ascii="Times New Roman" w:hAnsi="Times New Roman" w:cs="Times New Roman"/>
                <w:color w:val="auto"/>
                <w:sz w:val="21"/>
                <w:szCs w:val="21"/>
                <w:lang w:val="zh-CN" w:bidi="zh-CN"/>
              </w:rPr>
            </w:pPr>
            <w:r>
              <w:rPr>
                <w:rFonts w:hint="default" w:ascii="Times New Roman" w:hAnsi="Times New Roman" w:cs="Times New Roman"/>
                <w:color w:val="auto"/>
                <w:sz w:val="21"/>
                <w:szCs w:val="21"/>
                <w:lang w:val="zh-CN" w:bidi="zh-CN"/>
              </w:rPr>
              <w:t>D</w:t>
            </w:r>
            <w:r>
              <w:rPr>
                <w:rFonts w:hint="default" w:ascii="Times New Roman" w:hAnsi="Times New Roman" w:cs="Times New Roman"/>
                <w:color w:val="auto"/>
                <w:sz w:val="21"/>
                <w:szCs w:val="21"/>
                <w:vertAlign w:val="subscript"/>
                <w:lang w:val="zh-CN" w:bidi="zh-CN"/>
              </w:rPr>
              <w:t>L</w:t>
            </w:r>
            <w:r>
              <w:rPr>
                <w:rFonts w:hint="default" w:ascii="Times New Roman" w:hAnsi="Times New Roman" w:cs="Times New Roman"/>
                <w:color w:val="auto"/>
                <w:sz w:val="21"/>
                <w:szCs w:val="21"/>
                <w:lang w:val="zh-CN" w:bidi="zh-CN"/>
              </w:rPr>
              <w:t>=αLu，aL为纵向弥散度。参考前人的研究成果，结合项目区水文地质条件，弥散度应介于1～10之间，按照最不利的评价原则，本次模拟取弥散度参数值取10。</w:t>
            </w:r>
          </w:p>
        </w:tc>
      </w:tr>
      <w:tr w14:paraId="6CB14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373" w:type="pct"/>
            <w:tcBorders>
              <w:top w:val="single" w:color="auto" w:sz="6" w:space="0"/>
              <w:left w:val="single" w:color="auto" w:sz="12" w:space="0"/>
              <w:bottom w:val="single" w:color="auto" w:sz="6" w:space="0"/>
              <w:right w:val="single" w:color="auto" w:sz="6" w:space="0"/>
            </w:tcBorders>
            <w:noWrap w:val="0"/>
            <w:vAlign w:val="center"/>
          </w:tcPr>
          <w:p w14:paraId="5E5147E9">
            <w:pPr>
              <w:widowControl w:val="0"/>
              <w:autoSpaceDE w:val="0"/>
              <w:autoSpaceDN w:val="0"/>
              <w:spacing w:before="13" w:line="239" w:lineRule="exact"/>
              <w:ind w:left="10"/>
              <w:rPr>
                <w:rFonts w:hint="default" w:ascii="Times New Roman" w:hAnsi="Times New Roman" w:cs="Times New Roman"/>
                <w:color w:val="auto"/>
                <w:sz w:val="21"/>
                <w:szCs w:val="21"/>
                <w:lang w:val="zh-CN" w:bidi="zh-CN"/>
              </w:rPr>
            </w:pPr>
            <w:r>
              <w:rPr>
                <w:rFonts w:hint="default" w:ascii="Times New Roman" w:hAnsi="Times New Roman" w:cs="Times New Roman"/>
                <w:color w:val="auto"/>
                <w:sz w:val="21"/>
                <w:szCs w:val="21"/>
                <w:lang w:val="zh-CN" w:bidi="zh-CN"/>
              </w:rPr>
              <w:t>3</w:t>
            </w:r>
          </w:p>
        </w:tc>
        <w:tc>
          <w:tcPr>
            <w:tcW w:w="423" w:type="pct"/>
            <w:tcBorders>
              <w:top w:val="single" w:color="auto" w:sz="6" w:space="0"/>
              <w:left w:val="single" w:color="auto" w:sz="6" w:space="0"/>
              <w:bottom w:val="single" w:color="auto" w:sz="6" w:space="0"/>
              <w:right w:val="single" w:color="auto" w:sz="6" w:space="0"/>
            </w:tcBorders>
            <w:noWrap w:val="0"/>
            <w:vAlign w:val="center"/>
          </w:tcPr>
          <w:p w14:paraId="04D205A8">
            <w:pPr>
              <w:widowControl w:val="0"/>
              <w:autoSpaceDE w:val="0"/>
              <w:autoSpaceDN w:val="0"/>
              <w:spacing w:before="13" w:line="239" w:lineRule="exact"/>
              <w:ind w:left="10"/>
              <w:rPr>
                <w:rFonts w:hint="default" w:ascii="Times New Roman" w:hAnsi="Times New Roman" w:cs="Times New Roman"/>
                <w:color w:val="auto"/>
                <w:sz w:val="21"/>
                <w:szCs w:val="21"/>
                <w:lang w:val="zh-CN" w:bidi="zh-CN"/>
              </w:rPr>
            </w:pPr>
            <w:r>
              <w:rPr>
                <w:rFonts w:hint="default" w:ascii="Times New Roman" w:hAnsi="Times New Roman" w:cs="Times New Roman"/>
                <w:color w:val="auto"/>
                <w:sz w:val="21"/>
                <w:szCs w:val="21"/>
                <w:lang w:val="zh-CN" w:bidi="zh-CN"/>
              </w:rPr>
              <w:t>n</w:t>
            </w:r>
          </w:p>
        </w:tc>
        <w:tc>
          <w:tcPr>
            <w:tcW w:w="736" w:type="pct"/>
            <w:tcBorders>
              <w:top w:val="single" w:color="auto" w:sz="6" w:space="0"/>
              <w:left w:val="single" w:color="auto" w:sz="6" w:space="0"/>
              <w:bottom w:val="single" w:color="auto" w:sz="6" w:space="0"/>
              <w:right w:val="single" w:color="auto" w:sz="6" w:space="0"/>
            </w:tcBorders>
            <w:noWrap w:val="0"/>
            <w:vAlign w:val="center"/>
          </w:tcPr>
          <w:p w14:paraId="636AF908">
            <w:pPr>
              <w:widowControl w:val="0"/>
              <w:autoSpaceDE w:val="0"/>
              <w:autoSpaceDN w:val="0"/>
              <w:spacing w:before="13" w:line="239" w:lineRule="exact"/>
              <w:ind w:left="10"/>
              <w:rPr>
                <w:rFonts w:hint="default" w:ascii="Times New Roman" w:hAnsi="Times New Roman" w:cs="Times New Roman"/>
                <w:color w:val="auto"/>
                <w:sz w:val="21"/>
                <w:szCs w:val="21"/>
                <w:lang w:val="zh-CN" w:bidi="zh-CN"/>
              </w:rPr>
            </w:pPr>
            <w:r>
              <w:rPr>
                <w:rFonts w:hint="default" w:ascii="Times New Roman" w:hAnsi="Times New Roman" w:cs="Times New Roman"/>
                <w:color w:val="auto"/>
                <w:sz w:val="21"/>
                <w:szCs w:val="21"/>
                <w:lang w:val="zh-CN" w:bidi="zh-CN"/>
              </w:rPr>
              <w:t>有效孔隙度</w:t>
            </w:r>
          </w:p>
        </w:tc>
        <w:tc>
          <w:tcPr>
            <w:tcW w:w="654" w:type="pct"/>
            <w:tcBorders>
              <w:top w:val="single" w:color="auto" w:sz="6" w:space="0"/>
              <w:left w:val="single" w:color="auto" w:sz="6" w:space="0"/>
              <w:bottom w:val="single" w:color="auto" w:sz="6" w:space="0"/>
              <w:right w:val="single" w:color="auto" w:sz="6" w:space="0"/>
            </w:tcBorders>
            <w:noWrap w:val="0"/>
            <w:vAlign w:val="center"/>
          </w:tcPr>
          <w:p w14:paraId="2955E11B">
            <w:pPr>
              <w:widowControl w:val="0"/>
              <w:autoSpaceDE w:val="0"/>
              <w:autoSpaceDN w:val="0"/>
              <w:spacing w:before="13" w:line="239" w:lineRule="exact"/>
              <w:ind w:left="10"/>
              <w:rPr>
                <w:rFonts w:hint="default" w:ascii="Times New Roman" w:hAnsi="Times New Roman" w:cs="Times New Roman"/>
                <w:color w:val="auto"/>
                <w:sz w:val="21"/>
                <w:szCs w:val="21"/>
                <w:lang w:val="zh-CN" w:bidi="zh-CN"/>
              </w:rPr>
            </w:pPr>
            <w:r>
              <w:rPr>
                <w:rFonts w:hint="default" w:ascii="Times New Roman" w:hAnsi="Times New Roman" w:cs="Times New Roman"/>
                <w:color w:val="auto"/>
                <w:sz w:val="21"/>
                <w:szCs w:val="21"/>
                <w:lang w:val="zh-CN" w:bidi="zh-CN"/>
              </w:rPr>
              <w:t>42</w:t>
            </w:r>
            <w:r>
              <w:rPr>
                <w:rFonts w:hint="eastAsia" w:cs="Times New Roman"/>
                <w:color w:val="auto"/>
                <w:sz w:val="21"/>
                <w:szCs w:val="21"/>
                <w:lang w:val="zh-CN" w:bidi="zh-CN"/>
              </w:rPr>
              <w:t>%</w:t>
            </w:r>
          </w:p>
        </w:tc>
        <w:tc>
          <w:tcPr>
            <w:tcW w:w="2811" w:type="pct"/>
            <w:tcBorders>
              <w:top w:val="single" w:color="auto" w:sz="6" w:space="0"/>
              <w:left w:val="single" w:color="auto" w:sz="6" w:space="0"/>
              <w:bottom w:val="single" w:color="auto" w:sz="6" w:space="0"/>
              <w:right w:val="single" w:color="auto" w:sz="12" w:space="0"/>
            </w:tcBorders>
            <w:noWrap w:val="0"/>
            <w:vAlign w:val="center"/>
          </w:tcPr>
          <w:p w14:paraId="29636174">
            <w:pPr>
              <w:widowControl w:val="0"/>
              <w:autoSpaceDE w:val="0"/>
              <w:autoSpaceDN w:val="0"/>
              <w:spacing w:before="13" w:line="239" w:lineRule="exact"/>
              <w:ind w:left="10"/>
              <w:rPr>
                <w:rFonts w:hint="default" w:ascii="Times New Roman" w:hAnsi="Times New Roman" w:cs="Times New Roman"/>
                <w:color w:val="auto"/>
                <w:sz w:val="21"/>
                <w:szCs w:val="21"/>
                <w:lang w:val="zh-CN" w:bidi="zh-CN"/>
              </w:rPr>
            </w:pPr>
            <w:r>
              <w:rPr>
                <w:rFonts w:hint="default" w:ascii="Times New Roman" w:hAnsi="Times New Roman" w:cs="Times New Roman"/>
                <w:color w:val="auto"/>
                <w:sz w:val="21"/>
                <w:szCs w:val="21"/>
                <w:lang w:val="zh-CN" w:bidi="zh-CN"/>
              </w:rPr>
              <w:t>依据《水文地质手册》，细砂孔隙度为0.42，确定区域有效孔隙度取42％。</w:t>
            </w:r>
          </w:p>
        </w:tc>
      </w:tr>
      <w:tr w14:paraId="4C605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373" w:type="pct"/>
            <w:tcBorders>
              <w:top w:val="single" w:color="auto" w:sz="6" w:space="0"/>
              <w:left w:val="single" w:color="auto" w:sz="12" w:space="0"/>
              <w:bottom w:val="single" w:color="auto" w:sz="6" w:space="0"/>
              <w:right w:val="single" w:color="auto" w:sz="6" w:space="0"/>
            </w:tcBorders>
            <w:noWrap w:val="0"/>
            <w:vAlign w:val="center"/>
          </w:tcPr>
          <w:p w14:paraId="04149CB5">
            <w:pPr>
              <w:widowControl w:val="0"/>
              <w:autoSpaceDE w:val="0"/>
              <w:autoSpaceDN w:val="0"/>
              <w:spacing w:before="13" w:line="239" w:lineRule="exact"/>
              <w:ind w:left="10"/>
              <w:rPr>
                <w:rFonts w:hint="default" w:ascii="Times New Roman" w:hAnsi="Times New Roman" w:cs="Times New Roman"/>
                <w:color w:val="auto"/>
                <w:sz w:val="21"/>
                <w:szCs w:val="21"/>
                <w:lang w:val="zh-CN" w:bidi="zh-CN"/>
              </w:rPr>
            </w:pPr>
            <w:r>
              <w:rPr>
                <w:rFonts w:hint="default" w:ascii="Times New Roman" w:hAnsi="Times New Roman" w:cs="Times New Roman"/>
                <w:color w:val="auto"/>
                <w:sz w:val="21"/>
                <w:szCs w:val="21"/>
                <w:lang w:val="zh-CN" w:bidi="zh-CN"/>
              </w:rPr>
              <w:t>4</w:t>
            </w:r>
          </w:p>
        </w:tc>
        <w:tc>
          <w:tcPr>
            <w:tcW w:w="423" w:type="pct"/>
            <w:tcBorders>
              <w:top w:val="single" w:color="auto" w:sz="6" w:space="0"/>
              <w:left w:val="single" w:color="auto" w:sz="6" w:space="0"/>
              <w:bottom w:val="single" w:color="auto" w:sz="6" w:space="0"/>
              <w:right w:val="single" w:color="auto" w:sz="6" w:space="0"/>
            </w:tcBorders>
            <w:noWrap w:val="0"/>
            <w:vAlign w:val="center"/>
          </w:tcPr>
          <w:p w14:paraId="77E92CB2">
            <w:pPr>
              <w:widowControl w:val="0"/>
              <w:autoSpaceDE w:val="0"/>
              <w:autoSpaceDN w:val="0"/>
              <w:spacing w:before="13" w:line="239" w:lineRule="exact"/>
              <w:ind w:left="10"/>
              <w:rPr>
                <w:rFonts w:hint="default" w:ascii="Times New Roman" w:hAnsi="Times New Roman" w:cs="Times New Roman"/>
                <w:color w:val="auto"/>
                <w:sz w:val="21"/>
                <w:szCs w:val="21"/>
                <w:lang w:val="zh-CN" w:bidi="zh-CN"/>
              </w:rPr>
            </w:pPr>
            <w:r>
              <w:rPr>
                <w:rFonts w:hint="default" w:ascii="Times New Roman" w:hAnsi="Times New Roman" w:cs="Times New Roman"/>
                <w:color w:val="auto"/>
                <w:sz w:val="21"/>
                <w:szCs w:val="21"/>
                <w:lang w:val="zh-CN" w:bidi="zh-CN"/>
              </w:rPr>
              <w:t>t</w:t>
            </w:r>
          </w:p>
        </w:tc>
        <w:tc>
          <w:tcPr>
            <w:tcW w:w="736" w:type="pct"/>
            <w:tcBorders>
              <w:top w:val="single" w:color="auto" w:sz="6" w:space="0"/>
              <w:left w:val="single" w:color="auto" w:sz="6" w:space="0"/>
              <w:bottom w:val="single" w:color="auto" w:sz="6" w:space="0"/>
              <w:right w:val="single" w:color="auto" w:sz="6" w:space="0"/>
            </w:tcBorders>
            <w:noWrap w:val="0"/>
            <w:vAlign w:val="center"/>
          </w:tcPr>
          <w:p w14:paraId="6018EE9D">
            <w:pPr>
              <w:widowControl w:val="0"/>
              <w:autoSpaceDE w:val="0"/>
              <w:autoSpaceDN w:val="0"/>
              <w:spacing w:before="13" w:line="239" w:lineRule="exact"/>
              <w:ind w:left="10"/>
              <w:rPr>
                <w:rFonts w:hint="default" w:ascii="Times New Roman" w:hAnsi="Times New Roman" w:cs="Times New Roman"/>
                <w:color w:val="auto"/>
                <w:sz w:val="21"/>
                <w:szCs w:val="21"/>
                <w:lang w:val="zh-CN" w:bidi="zh-CN"/>
              </w:rPr>
            </w:pPr>
            <w:r>
              <w:rPr>
                <w:rFonts w:hint="default" w:ascii="Times New Roman" w:hAnsi="Times New Roman" w:cs="Times New Roman"/>
                <w:color w:val="auto"/>
                <w:sz w:val="21"/>
                <w:szCs w:val="21"/>
                <w:lang w:val="zh-CN" w:bidi="zh-CN"/>
              </w:rPr>
              <w:t>时间</w:t>
            </w:r>
          </w:p>
        </w:tc>
        <w:tc>
          <w:tcPr>
            <w:tcW w:w="3466" w:type="pct"/>
            <w:gridSpan w:val="2"/>
            <w:tcBorders>
              <w:top w:val="single" w:color="auto" w:sz="6" w:space="0"/>
              <w:left w:val="single" w:color="auto" w:sz="6" w:space="0"/>
              <w:bottom w:val="single" w:color="auto" w:sz="6" w:space="0"/>
              <w:right w:val="single" w:color="auto" w:sz="12" w:space="0"/>
            </w:tcBorders>
            <w:noWrap w:val="0"/>
            <w:vAlign w:val="center"/>
          </w:tcPr>
          <w:p w14:paraId="4F8C5E6C">
            <w:pPr>
              <w:widowControl w:val="0"/>
              <w:autoSpaceDE w:val="0"/>
              <w:autoSpaceDN w:val="0"/>
              <w:spacing w:before="13" w:line="239" w:lineRule="exact"/>
              <w:ind w:left="10"/>
              <w:rPr>
                <w:rFonts w:hint="default" w:ascii="Times New Roman" w:hAnsi="Times New Roman" w:cs="Times New Roman"/>
                <w:color w:val="auto"/>
                <w:sz w:val="21"/>
                <w:szCs w:val="21"/>
                <w:lang w:val="zh-CN" w:bidi="zh-CN"/>
              </w:rPr>
            </w:pPr>
            <w:r>
              <w:rPr>
                <w:rFonts w:hint="default" w:ascii="Times New Roman" w:hAnsi="Times New Roman" w:cs="Times New Roman"/>
                <w:color w:val="auto"/>
                <w:sz w:val="21"/>
                <w:szCs w:val="21"/>
                <w:lang w:val="zh-CN" w:bidi="zh-CN"/>
              </w:rPr>
              <w:t>计算发生渗漏后100d、1000d、3650d后各预测点的浓度</w:t>
            </w:r>
          </w:p>
        </w:tc>
      </w:tr>
      <w:tr w14:paraId="3026D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373" w:type="pct"/>
            <w:tcBorders>
              <w:top w:val="single" w:color="auto" w:sz="6" w:space="0"/>
              <w:left w:val="single" w:color="auto" w:sz="12" w:space="0"/>
              <w:bottom w:val="single" w:color="auto" w:sz="12" w:space="0"/>
              <w:right w:val="single" w:color="auto" w:sz="6" w:space="0"/>
            </w:tcBorders>
            <w:noWrap w:val="0"/>
            <w:vAlign w:val="center"/>
          </w:tcPr>
          <w:p w14:paraId="15F55A2A">
            <w:pPr>
              <w:widowControl w:val="0"/>
              <w:autoSpaceDE w:val="0"/>
              <w:autoSpaceDN w:val="0"/>
              <w:spacing w:before="13" w:line="239" w:lineRule="exact"/>
              <w:ind w:left="10"/>
              <w:rPr>
                <w:rFonts w:hint="default" w:ascii="Times New Roman" w:hAnsi="Times New Roman" w:cs="Times New Roman"/>
                <w:color w:val="auto"/>
                <w:sz w:val="21"/>
                <w:szCs w:val="21"/>
                <w:lang w:val="zh-CN" w:bidi="zh-CN"/>
              </w:rPr>
            </w:pPr>
            <w:r>
              <w:rPr>
                <w:rFonts w:hint="default" w:ascii="Times New Roman" w:hAnsi="Times New Roman" w:cs="Times New Roman"/>
                <w:color w:val="auto"/>
                <w:sz w:val="21"/>
                <w:szCs w:val="21"/>
                <w:lang w:val="zh-CN" w:bidi="zh-CN"/>
              </w:rPr>
              <w:t>5</w:t>
            </w:r>
          </w:p>
        </w:tc>
        <w:tc>
          <w:tcPr>
            <w:tcW w:w="423" w:type="pct"/>
            <w:tcBorders>
              <w:top w:val="single" w:color="auto" w:sz="6" w:space="0"/>
              <w:left w:val="single" w:color="auto" w:sz="6" w:space="0"/>
              <w:bottom w:val="single" w:color="auto" w:sz="12" w:space="0"/>
              <w:right w:val="single" w:color="auto" w:sz="6" w:space="0"/>
            </w:tcBorders>
            <w:noWrap w:val="0"/>
            <w:vAlign w:val="center"/>
          </w:tcPr>
          <w:p w14:paraId="13EC2D41">
            <w:pPr>
              <w:widowControl w:val="0"/>
              <w:autoSpaceDE w:val="0"/>
              <w:autoSpaceDN w:val="0"/>
              <w:spacing w:before="13" w:line="239" w:lineRule="exact"/>
              <w:ind w:left="10"/>
              <w:rPr>
                <w:rFonts w:hint="default" w:ascii="Times New Roman" w:hAnsi="Times New Roman" w:cs="Times New Roman"/>
                <w:color w:val="auto"/>
                <w:sz w:val="21"/>
                <w:szCs w:val="21"/>
                <w:lang w:val="zh-CN" w:bidi="zh-CN"/>
              </w:rPr>
            </w:pPr>
            <w:r>
              <w:rPr>
                <w:rFonts w:hint="default" w:ascii="Times New Roman" w:hAnsi="Times New Roman" w:cs="Times New Roman"/>
                <w:color w:val="auto"/>
                <w:sz w:val="21"/>
                <w:szCs w:val="21"/>
                <w:lang w:val="zh-CN" w:bidi="zh-CN"/>
              </w:rPr>
              <w:t>C</w:t>
            </w:r>
            <w:r>
              <w:rPr>
                <w:rFonts w:hint="default" w:ascii="Times New Roman" w:hAnsi="Times New Roman" w:cs="Times New Roman"/>
                <w:color w:val="auto"/>
                <w:sz w:val="21"/>
                <w:szCs w:val="21"/>
                <w:vertAlign w:val="subscript"/>
                <w:lang w:val="zh-CN" w:bidi="zh-CN"/>
              </w:rPr>
              <w:t>0</w:t>
            </w:r>
          </w:p>
        </w:tc>
        <w:tc>
          <w:tcPr>
            <w:tcW w:w="736" w:type="pct"/>
            <w:tcBorders>
              <w:top w:val="single" w:color="auto" w:sz="6" w:space="0"/>
              <w:left w:val="single" w:color="auto" w:sz="6" w:space="0"/>
              <w:bottom w:val="single" w:color="auto" w:sz="12" w:space="0"/>
              <w:right w:val="single" w:color="auto" w:sz="6" w:space="0"/>
            </w:tcBorders>
            <w:noWrap w:val="0"/>
            <w:vAlign w:val="center"/>
          </w:tcPr>
          <w:p w14:paraId="608709C6">
            <w:pPr>
              <w:widowControl w:val="0"/>
              <w:autoSpaceDE w:val="0"/>
              <w:autoSpaceDN w:val="0"/>
              <w:spacing w:before="13" w:line="239" w:lineRule="exact"/>
              <w:ind w:left="10"/>
              <w:rPr>
                <w:rFonts w:hint="default" w:ascii="Times New Roman" w:hAnsi="Times New Roman" w:cs="Times New Roman"/>
                <w:color w:val="auto"/>
                <w:sz w:val="21"/>
                <w:szCs w:val="21"/>
                <w:lang w:val="zh-CN" w:bidi="zh-CN"/>
              </w:rPr>
            </w:pPr>
            <w:r>
              <w:rPr>
                <w:rFonts w:hint="default" w:ascii="Times New Roman" w:hAnsi="Times New Roman" w:cs="Times New Roman"/>
                <w:color w:val="auto"/>
                <w:sz w:val="21"/>
                <w:szCs w:val="21"/>
                <w:lang w:val="zh-CN" w:bidi="zh-CN"/>
              </w:rPr>
              <w:t>污染物浓度</w:t>
            </w:r>
          </w:p>
        </w:tc>
        <w:tc>
          <w:tcPr>
            <w:tcW w:w="3466" w:type="pct"/>
            <w:gridSpan w:val="2"/>
            <w:tcBorders>
              <w:top w:val="single" w:color="auto" w:sz="6" w:space="0"/>
              <w:left w:val="single" w:color="auto" w:sz="6" w:space="0"/>
              <w:bottom w:val="single" w:color="auto" w:sz="12" w:space="0"/>
              <w:right w:val="single" w:color="auto" w:sz="12" w:space="0"/>
            </w:tcBorders>
            <w:noWrap w:val="0"/>
            <w:vAlign w:val="center"/>
          </w:tcPr>
          <w:p w14:paraId="618250A3">
            <w:pPr>
              <w:widowControl w:val="0"/>
              <w:autoSpaceDE w:val="0"/>
              <w:autoSpaceDN w:val="0"/>
              <w:spacing w:before="13" w:line="239" w:lineRule="exact"/>
              <w:ind w:left="10"/>
              <w:rPr>
                <w:rFonts w:hint="default" w:ascii="Times New Roman" w:hAnsi="Times New Roman" w:cs="Times New Roman"/>
                <w:color w:val="auto"/>
                <w:sz w:val="21"/>
                <w:szCs w:val="21"/>
                <w:lang w:val="zh-CN" w:bidi="zh-CN"/>
              </w:rPr>
            </w:pPr>
            <w:r>
              <w:rPr>
                <w:rFonts w:hint="default" w:ascii="Times New Roman" w:hAnsi="Times New Roman" w:cs="Times New Roman"/>
                <w:color w:val="auto"/>
                <w:sz w:val="21"/>
                <w:szCs w:val="21"/>
                <w:lang w:val="zh-CN" w:bidi="zh-CN"/>
              </w:rPr>
              <w:t>参照TPHCWG（1997）中关于石油类污染物的溶解度等相关文献，取18 mg/L为石油类可溶态污染物的最高浓度值。石油类参照《地表水环境质量标准》（GB3838-2002）中Ⅲ类，将石油类污染物浓度标准定为0.05mg/L。检出限为0.01mg/L。</w:t>
            </w:r>
          </w:p>
        </w:tc>
      </w:tr>
    </w:tbl>
    <w:p w14:paraId="26AB68F0">
      <w:pPr>
        <w:pStyle w:val="79"/>
        <w:bidi w:val="0"/>
        <w:rPr>
          <w:rFonts w:hint="default"/>
          <w:color w:val="auto"/>
          <w:lang w:val="en-US" w:eastAsia="zh-CN"/>
        </w:rPr>
      </w:pPr>
      <w:r>
        <w:rPr>
          <w:rFonts w:hint="default"/>
          <w:color w:val="auto"/>
          <w:lang w:val="en-US" w:eastAsia="zh-CN"/>
        </w:rPr>
        <w:t>⑥预测结果与分析</w:t>
      </w:r>
    </w:p>
    <w:p w14:paraId="2A5A976D">
      <w:pPr>
        <w:pStyle w:val="79"/>
        <w:bidi w:val="0"/>
        <w:rPr>
          <w:rFonts w:hint="eastAsia"/>
          <w:color w:val="auto"/>
        </w:rPr>
      </w:pPr>
      <w:r>
        <w:rPr>
          <w:rFonts w:hint="eastAsia"/>
          <w:color w:val="auto"/>
        </w:rPr>
        <w:t>将以上确定的参数代入模型，便可以求出不同时段，石油类污染物</w:t>
      </w:r>
      <w:r>
        <w:rPr>
          <w:rFonts w:hint="eastAsia"/>
          <w:color w:val="auto"/>
          <w:lang w:eastAsia="zh-CN"/>
        </w:rPr>
        <w:t>泄漏</w:t>
      </w:r>
      <w:r>
        <w:rPr>
          <w:rFonts w:hint="eastAsia"/>
          <w:color w:val="auto"/>
        </w:rPr>
        <w:t>后，在预测情景下，不同天数（100天、1000天、3650天）时，污染物在含水层不同位置的浓度分布情况。具体见表5.</w:t>
      </w:r>
      <w:r>
        <w:rPr>
          <w:rFonts w:hint="eastAsia"/>
          <w:color w:val="auto"/>
          <w:lang w:val="en-US" w:eastAsia="zh-CN"/>
        </w:rPr>
        <w:t>2</w:t>
      </w:r>
      <w:r>
        <w:rPr>
          <w:rFonts w:hint="eastAsia"/>
          <w:color w:val="auto"/>
        </w:rPr>
        <w:t>-2，图5.</w:t>
      </w:r>
      <w:r>
        <w:rPr>
          <w:rFonts w:hint="eastAsia"/>
          <w:color w:val="auto"/>
          <w:lang w:val="en-US" w:eastAsia="zh-CN"/>
        </w:rPr>
        <w:t>2</w:t>
      </w:r>
      <w:r>
        <w:rPr>
          <w:rFonts w:hint="eastAsia"/>
          <w:color w:val="auto"/>
        </w:rPr>
        <w:t>-2。</w:t>
      </w:r>
    </w:p>
    <w:p w14:paraId="56615A35">
      <w:pPr>
        <w:pStyle w:val="61"/>
        <w:bidi w:val="0"/>
        <w:jc w:val="both"/>
        <w:rPr>
          <w:rFonts w:hint="default"/>
          <w:color w:val="auto"/>
        </w:rPr>
      </w:pPr>
      <w:r>
        <w:rPr>
          <w:rFonts w:hint="default"/>
          <w:color w:val="auto"/>
        </w:rPr>
        <w:t>表5.</w:t>
      </w:r>
      <w:r>
        <w:rPr>
          <w:rFonts w:hint="eastAsia"/>
          <w:color w:val="auto"/>
          <w:lang w:val="en-US" w:eastAsia="zh-CN"/>
        </w:rPr>
        <w:t>2</w:t>
      </w:r>
      <w:r>
        <w:rPr>
          <w:rFonts w:hint="default"/>
          <w:color w:val="auto"/>
        </w:rPr>
        <w:t>-2 石油类污染物在潜水含水层中的浓度迁移预测结果（短时</w:t>
      </w:r>
      <w:r>
        <w:rPr>
          <w:rFonts w:hint="eastAsia"/>
          <w:color w:val="auto"/>
          <w:lang w:eastAsia="zh-CN"/>
        </w:rPr>
        <w:t>泄漏</w:t>
      </w:r>
      <w:r>
        <w:rPr>
          <w:rFonts w:hint="default"/>
          <w:color w:val="auto"/>
        </w:rPr>
        <w:t>）</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81"/>
        <w:gridCol w:w="1502"/>
        <w:gridCol w:w="1382"/>
        <w:gridCol w:w="1588"/>
        <w:gridCol w:w="1382"/>
        <w:gridCol w:w="1599"/>
      </w:tblGrid>
      <w:tr w14:paraId="509A05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1632" w:type="pct"/>
            <w:gridSpan w:val="2"/>
            <w:tcBorders>
              <w:tl2br w:val="nil"/>
              <w:tr2bl w:val="nil"/>
            </w:tcBorders>
            <w:noWrap/>
            <w:vAlign w:val="center"/>
          </w:tcPr>
          <w:p w14:paraId="229452A0">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cs="Times New Roman"/>
                <w:color w:val="auto"/>
                <w:sz w:val="21"/>
                <w:szCs w:val="21"/>
                <w:lang w:val="zh-CN" w:bidi="zh-CN"/>
              </w:rPr>
              <w:t>100d</w:t>
            </w:r>
          </w:p>
        </w:tc>
        <w:tc>
          <w:tcPr>
            <w:tcW w:w="1681" w:type="pct"/>
            <w:gridSpan w:val="2"/>
            <w:tcBorders>
              <w:tl2br w:val="nil"/>
              <w:tr2bl w:val="nil"/>
            </w:tcBorders>
            <w:noWrap/>
            <w:vAlign w:val="center"/>
          </w:tcPr>
          <w:p w14:paraId="63360D55">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cs="Times New Roman"/>
                <w:color w:val="auto"/>
                <w:sz w:val="21"/>
                <w:szCs w:val="21"/>
                <w:lang w:val="zh-CN" w:bidi="zh-CN"/>
              </w:rPr>
              <w:t>1000d</w:t>
            </w:r>
          </w:p>
        </w:tc>
        <w:tc>
          <w:tcPr>
            <w:tcW w:w="1687" w:type="pct"/>
            <w:gridSpan w:val="2"/>
            <w:tcBorders>
              <w:tl2br w:val="nil"/>
              <w:tr2bl w:val="nil"/>
            </w:tcBorders>
            <w:noWrap/>
            <w:vAlign w:val="center"/>
          </w:tcPr>
          <w:p w14:paraId="284570A3">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cs="Times New Roman"/>
                <w:color w:val="auto"/>
                <w:sz w:val="21"/>
                <w:szCs w:val="21"/>
                <w:lang w:val="zh-CN" w:bidi="zh-CN"/>
              </w:rPr>
              <w:t>3650d</w:t>
            </w:r>
          </w:p>
        </w:tc>
      </w:tr>
      <w:tr w14:paraId="382B5B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782" w:type="pct"/>
            <w:tcBorders>
              <w:tl2br w:val="nil"/>
              <w:tr2bl w:val="nil"/>
            </w:tcBorders>
            <w:noWrap/>
            <w:vAlign w:val="center"/>
          </w:tcPr>
          <w:p w14:paraId="36ADF8B8">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cs="Times New Roman"/>
                <w:color w:val="auto"/>
                <w:sz w:val="21"/>
                <w:szCs w:val="21"/>
                <w:lang w:val="zh-CN" w:bidi="zh-CN"/>
              </w:rPr>
              <w:t>距离（m）</w:t>
            </w:r>
          </w:p>
        </w:tc>
        <w:tc>
          <w:tcPr>
            <w:tcW w:w="850" w:type="pct"/>
            <w:tcBorders>
              <w:tl2br w:val="nil"/>
              <w:tr2bl w:val="nil"/>
            </w:tcBorders>
            <w:noWrap/>
            <w:vAlign w:val="center"/>
          </w:tcPr>
          <w:p w14:paraId="708A01C8">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cs="Times New Roman"/>
                <w:color w:val="auto"/>
                <w:sz w:val="21"/>
                <w:szCs w:val="21"/>
                <w:lang w:val="zh-CN" w:bidi="zh-CN"/>
              </w:rPr>
              <w:t>浓度c(mg/L)</w:t>
            </w:r>
          </w:p>
        </w:tc>
        <w:tc>
          <w:tcPr>
            <w:tcW w:w="782" w:type="pct"/>
            <w:tcBorders>
              <w:tl2br w:val="nil"/>
              <w:tr2bl w:val="nil"/>
            </w:tcBorders>
            <w:noWrap/>
            <w:vAlign w:val="center"/>
          </w:tcPr>
          <w:p w14:paraId="42B72BCB">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cs="Times New Roman"/>
                <w:color w:val="auto"/>
                <w:sz w:val="21"/>
                <w:szCs w:val="21"/>
                <w:lang w:val="zh-CN" w:bidi="zh-CN"/>
              </w:rPr>
              <w:t>距离（m）</w:t>
            </w:r>
          </w:p>
        </w:tc>
        <w:tc>
          <w:tcPr>
            <w:tcW w:w="899" w:type="pct"/>
            <w:tcBorders>
              <w:tl2br w:val="nil"/>
              <w:tr2bl w:val="nil"/>
            </w:tcBorders>
            <w:noWrap/>
            <w:vAlign w:val="center"/>
          </w:tcPr>
          <w:p w14:paraId="72256B06">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cs="Times New Roman"/>
                <w:color w:val="auto"/>
                <w:sz w:val="21"/>
                <w:szCs w:val="21"/>
                <w:lang w:val="zh-CN" w:bidi="zh-CN"/>
              </w:rPr>
              <w:t>浓度c(mg/L)</w:t>
            </w:r>
          </w:p>
        </w:tc>
        <w:tc>
          <w:tcPr>
            <w:tcW w:w="782" w:type="pct"/>
            <w:tcBorders>
              <w:tl2br w:val="nil"/>
              <w:tr2bl w:val="nil"/>
            </w:tcBorders>
            <w:noWrap/>
            <w:vAlign w:val="center"/>
          </w:tcPr>
          <w:p w14:paraId="3D2ECE3B">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cs="Times New Roman"/>
                <w:color w:val="auto"/>
                <w:sz w:val="21"/>
                <w:szCs w:val="21"/>
                <w:lang w:val="zh-CN" w:bidi="zh-CN"/>
              </w:rPr>
              <w:t>距离（m）</w:t>
            </w:r>
          </w:p>
        </w:tc>
        <w:tc>
          <w:tcPr>
            <w:tcW w:w="905" w:type="pct"/>
            <w:tcBorders>
              <w:tl2br w:val="nil"/>
              <w:tr2bl w:val="nil"/>
            </w:tcBorders>
            <w:noWrap/>
            <w:vAlign w:val="center"/>
          </w:tcPr>
          <w:p w14:paraId="00E82EA6">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cs="Times New Roman"/>
                <w:color w:val="auto"/>
                <w:sz w:val="21"/>
                <w:szCs w:val="21"/>
                <w:lang w:val="zh-CN" w:bidi="zh-CN"/>
              </w:rPr>
              <w:t>浓度c(mg/L)</w:t>
            </w:r>
          </w:p>
        </w:tc>
      </w:tr>
      <w:tr w14:paraId="33E2B7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 w:hRule="atLeast"/>
          <w:jc w:val="center"/>
        </w:trPr>
        <w:tc>
          <w:tcPr>
            <w:tcW w:w="782" w:type="pct"/>
            <w:tcBorders>
              <w:tl2br w:val="nil"/>
              <w:tr2bl w:val="nil"/>
            </w:tcBorders>
            <w:noWrap/>
            <w:vAlign w:val="center"/>
          </w:tcPr>
          <w:p w14:paraId="12D7D077">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0</w:t>
            </w:r>
          </w:p>
        </w:tc>
        <w:tc>
          <w:tcPr>
            <w:tcW w:w="850" w:type="pct"/>
            <w:tcBorders>
              <w:tl2br w:val="nil"/>
              <w:tr2bl w:val="nil"/>
            </w:tcBorders>
            <w:noWrap/>
            <w:vAlign w:val="center"/>
          </w:tcPr>
          <w:p w14:paraId="60245072">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0.011</w:t>
            </w:r>
          </w:p>
        </w:tc>
        <w:tc>
          <w:tcPr>
            <w:tcW w:w="782" w:type="pct"/>
            <w:tcBorders>
              <w:tl2br w:val="nil"/>
              <w:tr2bl w:val="nil"/>
            </w:tcBorders>
            <w:noWrap/>
            <w:vAlign w:val="center"/>
          </w:tcPr>
          <w:p w14:paraId="67E3173B">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0</w:t>
            </w:r>
          </w:p>
        </w:tc>
        <w:tc>
          <w:tcPr>
            <w:tcW w:w="899" w:type="pct"/>
            <w:tcBorders>
              <w:tl2br w:val="nil"/>
              <w:tr2bl w:val="nil"/>
            </w:tcBorders>
            <w:noWrap/>
            <w:vAlign w:val="center"/>
          </w:tcPr>
          <w:p w14:paraId="6BF77D5D">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0.002</w:t>
            </w:r>
          </w:p>
        </w:tc>
        <w:tc>
          <w:tcPr>
            <w:tcW w:w="782" w:type="pct"/>
            <w:tcBorders>
              <w:tl2br w:val="nil"/>
              <w:tr2bl w:val="nil"/>
            </w:tcBorders>
            <w:noWrap/>
            <w:vAlign w:val="center"/>
          </w:tcPr>
          <w:p w14:paraId="5135D770">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0</w:t>
            </w:r>
          </w:p>
        </w:tc>
        <w:tc>
          <w:tcPr>
            <w:tcW w:w="905" w:type="pct"/>
            <w:tcBorders>
              <w:tl2br w:val="nil"/>
              <w:tr2bl w:val="nil"/>
            </w:tcBorders>
            <w:noWrap/>
            <w:vAlign w:val="center"/>
          </w:tcPr>
          <w:p w14:paraId="05338CB5">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0.000</w:t>
            </w:r>
          </w:p>
        </w:tc>
      </w:tr>
      <w:tr w14:paraId="1EAD21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82" w:type="pct"/>
            <w:tcBorders>
              <w:tl2br w:val="nil"/>
              <w:tr2bl w:val="nil"/>
            </w:tcBorders>
            <w:noWrap/>
            <w:vAlign w:val="center"/>
          </w:tcPr>
          <w:p w14:paraId="446A2DEB">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5</w:t>
            </w:r>
          </w:p>
        </w:tc>
        <w:tc>
          <w:tcPr>
            <w:tcW w:w="850" w:type="pct"/>
            <w:tcBorders>
              <w:tl2br w:val="nil"/>
              <w:tr2bl w:val="nil"/>
            </w:tcBorders>
            <w:noWrap/>
            <w:vAlign w:val="center"/>
          </w:tcPr>
          <w:p w14:paraId="00D2A627">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0.036</w:t>
            </w:r>
          </w:p>
        </w:tc>
        <w:tc>
          <w:tcPr>
            <w:tcW w:w="782" w:type="pct"/>
            <w:tcBorders>
              <w:tl2br w:val="nil"/>
              <w:tr2bl w:val="nil"/>
            </w:tcBorders>
            <w:noWrap/>
            <w:vAlign w:val="center"/>
          </w:tcPr>
          <w:p w14:paraId="04EDD8E8">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10</w:t>
            </w:r>
          </w:p>
        </w:tc>
        <w:tc>
          <w:tcPr>
            <w:tcW w:w="899" w:type="pct"/>
            <w:tcBorders>
              <w:tl2br w:val="nil"/>
              <w:tr2bl w:val="nil"/>
            </w:tcBorders>
            <w:noWrap/>
            <w:vAlign w:val="center"/>
          </w:tcPr>
          <w:p w14:paraId="35F318D7">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0.005</w:t>
            </w:r>
          </w:p>
        </w:tc>
        <w:tc>
          <w:tcPr>
            <w:tcW w:w="782" w:type="pct"/>
            <w:tcBorders>
              <w:tl2br w:val="nil"/>
              <w:tr2bl w:val="nil"/>
            </w:tcBorders>
            <w:noWrap/>
            <w:vAlign w:val="center"/>
          </w:tcPr>
          <w:p w14:paraId="56716301">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20</w:t>
            </w:r>
          </w:p>
        </w:tc>
        <w:tc>
          <w:tcPr>
            <w:tcW w:w="905" w:type="pct"/>
            <w:tcBorders>
              <w:tl2br w:val="nil"/>
              <w:tr2bl w:val="nil"/>
            </w:tcBorders>
            <w:noWrap/>
            <w:vAlign w:val="center"/>
          </w:tcPr>
          <w:p w14:paraId="3BD34F4C">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0.001</w:t>
            </w:r>
          </w:p>
        </w:tc>
      </w:tr>
      <w:tr w14:paraId="663D59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82" w:type="pct"/>
            <w:tcBorders>
              <w:tl2br w:val="nil"/>
              <w:tr2bl w:val="nil"/>
            </w:tcBorders>
            <w:noWrap/>
            <w:vAlign w:val="center"/>
          </w:tcPr>
          <w:p w14:paraId="73A3D125">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10</w:t>
            </w:r>
          </w:p>
        </w:tc>
        <w:tc>
          <w:tcPr>
            <w:tcW w:w="850" w:type="pct"/>
            <w:tcBorders>
              <w:tl2br w:val="nil"/>
              <w:tr2bl w:val="nil"/>
            </w:tcBorders>
            <w:noWrap/>
            <w:vAlign w:val="center"/>
          </w:tcPr>
          <w:p w14:paraId="1321270F">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0.029</w:t>
            </w:r>
          </w:p>
        </w:tc>
        <w:tc>
          <w:tcPr>
            <w:tcW w:w="782" w:type="pct"/>
            <w:tcBorders>
              <w:tl2br w:val="nil"/>
              <w:tr2bl w:val="nil"/>
            </w:tcBorders>
            <w:noWrap/>
            <w:vAlign w:val="center"/>
          </w:tcPr>
          <w:p w14:paraId="3A68FEF7">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20</w:t>
            </w:r>
          </w:p>
        </w:tc>
        <w:tc>
          <w:tcPr>
            <w:tcW w:w="899" w:type="pct"/>
            <w:tcBorders>
              <w:tl2br w:val="nil"/>
              <w:tr2bl w:val="nil"/>
            </w:tcBorders>
            <w:noWrap/>
            <w:vAlign w:val="center"/>
          </w:tcPr>
          <w:p w14:paraId="306E2C08">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0.007</w:t>
            </w:r>
          </w:p>
        </w:tc>
        <w:tc>
          <w:tcPr>
            <w:tcW w:w="782" w:type="pct"/>
            <w:tcBorders>
              <w:tl2br w:val="nil"/>
              <w:tr2bl w:val="nil"/>
            </w:tcBorders>
            <w:noWrap/>
            <w:vAlign w:val="center"/>
          </w:tcPr>
          <w:p w14:paraId="3C681524">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40</w:t>
            </w:r>
          </w:p>
        </w:tc>
        <w:tc>
          <w:tcPr>
            <w:tcW w:w="905" w:type="pct"/>
            <w:tcBorders>
              <w:tl2br w:val="nil"/>
              <w:tr2bl w:val="nil"/>
            </w:tcBorders>
            <w:noWrap/>
            <w:vAlign w:val="center"/>
          </w:tcPr>
          <w:p w14:paraId="3F1A80CB">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0.002</w:t>
            </w:r>
          </w:p>
        </w:tc>
      </w:tr>
      <w:tr w14:paraId="73D905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82" w:type="pct"/>
            <w:tcBorders>
              <w:tl2br w:val="nil"/>
              <w:tr2bl w:val="nil"/>
            </w:tcBorders>
            <w:noWrap/>
            <w:vAlign w:val="center"/>
          </w:tcPr>
          <w:p w14:paraId="1E036BF1">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b/>
                <w:bCs/>
                <w:color w:val="auto"/>
                <w:sz w:val="21"/>
                <w:szCs w:val="21"/>
              </w:rPr>
              <w:t>15</w:t>
            </w:r>
          </w:p>
        </w:tc>
        <w:tc>
          <w:tcPr>
            <w:tcW w:w="850" w:type="pct"/>
            <w:tcBorders>
              <w:tl2br w:val="nil"/>
              <w:tr2bl w:val="nil"/>
            </w:tcBorders>
            <w:noWrap/>
            <w:vAlign w:val="center"/>
          </w:tcPr>
          <w:p w14:paraId="4C865328">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b/>
                <w:bCs/>
                <w:color w:val="auto"/>
                <w:sz w:val="21"/>
                <w:szCs w:val="21"/>
              </w:rPr>
              <w:t>0.010</w:t>
            </w:r>
          </w:p>
        </w:tc>
        <w:tc>
          <w:tcPr>
            <w:tcW w:w="782" w:type="pct"/>
            <w:tcBorders>
              <w:tl2br w:val="nil"/>
              <w:tr2bl w:val="nil"/>
            </w:tcBorders>
            <w:noWrap/>
            <w:vAlign w:val="center"/>
          </w:tcPr>
          <w:p w14:paraId="64564DB2">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b/>
                <w:bCs/>
                <w:color w:val="auto"/>
                <w:sz w:val="21"/>
                <w:szCs w:val="21"/>
              </w:rPr>
              <w:t>30</w:t>
            </w:r>
          </w:p>
        </w:tc>
        <w:tc>
          <w:tcPr>
            <w:tcW w:w="899" w:type="pct"/>
            <w:tcBorders>
              <w:tl2br w:val="nil"/>
              <w:tr2bl w:val="nil"/>
            </w:tcBorders>
            <w:noWrap/>
            <w:vAlign w:val="center"/>
          </w:tcPr>
          <w:p w14:paraId="5604A44B">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b/>
                <w:bCs/>
                <w:color w:val="auto"/>
                <w:sz w:val="21"/>
                <w:szCs w:val="21"/>
              </w:rPr>
              <w:t>0.008</w:t>
            </w:r>
          </w:p>
        </w:tc>
        <w:tc>
          <w:tcPr>
            <w:tcW w:w="782" w:type="pct"/>
            <w:tcBorders>
              <w:tl2br w:val="nil"/>
              <w:tr2bl w:val="nil"/>
            </w:tcBorders>
            <w:noWrap/>
            <w:vAlign w:val="center"/>
          </w:tcPr>
          <w:p w14:paraId="735A9D78">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60</w:t>
            </w:r>
          </w:p>
        </w:tc>
        <w:tc>
          <w:tcPr>
            <w:tcW w:w="905" w:type="pct"/>
            <w:tcBorders>
              <w:tl2br w:val="nil"/>
              <w:tr2bl w:val="nil"/>
            </w:tcBorders>
            <w:noWrap/>
            <w:vAlign w:val="center"/>
          </w:tcPr>
          <w:p w14:paraId="1F7937DC">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0.003</w:t>
            </w:r>
          </w:p>
        </w:tc>
      </w:tr>
      <w:tr w14:paraId="5813C5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82" w:type="pct"/>
            <w:tcBorders>
              <w:tl2br w:val="nil"/>
              <w:tr2bl w:val="nil"/>
            </w:tcBorders>
            <w:noWrap/>
            <w:vAlign w:val="center"/>
          </w:tcPr>
          <w:p w14:paraId="4C730803">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20</w:t>
            </w:r>
          </w:p>
        </w:tc>
        <w:tc>
          <w:tcPr>
            <w:tcW w:w="850" w:type="pct"/>
            <w:tcBorders>
              <w:tl2br w:val="nil"/>
              <w:tr2bl w:val="nil"/>
            </w:tcBorders>
            <w:noWrap/>
            <w:vAlign w:val="center"/>
          </w:tcPr>
          <w:p w14:paraId="7EDAF61D">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0.002</w:t>
            </w:r>
          </w:p>
        </w:tc>
        <w:tc>
          <w:tcPr>
            <w:tcW w:w="782" w:type="pct"/>
            <w:tcBorders>
              <w:tl2br w:val="nil"/>
              <w:tr2bl w:val="nil"/>
            </w:tcBorders>
            <w:noWrap/>
            <w:vAlign w:val="center"/>
          </w:tcPr>
          <w:p w14:paraId="7172CD69">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40</w:t>
            </w:r>
          </w:p>
        </w:tc>
        <w:tc>
          <w:tcPr>
            <w:tcW w:w="899" w:type="pct"/>
            <w:tcBorders>
              <w:tl2br w:val="nil"/>
              <w:tr2bl w:val="nil"/>
            </w:tcBorders>
            <w:noWrap/>
            <w:vAlign w:val="center"/>
          </w:tcPr>
          <w:p w14:paraId="742829CE">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0.006</w:t>
            </w:r>
          </w:p>
        </w:tc>
        <w:tc>
          <w:tcPr>
            <w:tcW w:w="782" w:type="pct"/>
            <w:tcBorders>
              <w:tl2br w:val="nil"/>
              <w:tr2bl w:val="nil"/>
            </w:tcBorders>
            <w:noWrap/>
            <w:vAlign w:val="center"/>
          </w:tcPr>
          <w:p w14:paraId="29F547DA">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80</w:t>
            </w:r>
          </w:p>
        </w:tc>
        <w:tc>
          <w:tcPr>
            <w:tcW w:w="905" w:type="pct"/>
            <w:tcBorders>
              <w:tl2br w:val="nil"/>
              <w:tr2bl w:val="nil"/>
            </w:tcBorders>
            <w:noWrap/>
            <w:vAlign w:val="center"/>
          </w:tcPr>
          <w:p w14:paraId="54113865">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0.004</w:t>
            </w:r>
          </w:p>
        </w:tc>
      </w:tr>
      <w:tr w14:paraId="0F4A3C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82" w:type="pct"/>
            <w:tcBorders>
              <w:tl2br w:val="nil"/>
              <w:tr2bl w:val="nil"/>
            </w:tcBorders>
            <w:noWrap/>
            <w:vAlign w:val="center"/>
          </w:tcPr>
          <w:p w14:paraId="1E83ECE4">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25</w:t>
            </w:r>
          </w:p>
        </w:tc>
        <w:tc>
          <w:tcPr>
            <w:tcW w:w="850" w:type="pct"/>
            <w:tcBorders>
              <w:tl2br w:val="nil"/>
              <w:tr2bl w:val="nil"/>
            </w:tcBorders>
            <w:noWrap/>
            <w:vAlign w:val="center"/>
          </w:tcPr>
          <w:p w14:paraId="7AA71ECF">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0.000</w:t>
            </w:r>
          </w:p>
        </w:tc>
        <w:tc>
          <w:tcPr>
            <w:tcW w:w="782" w:type="pct"/>
            <w:tcBorders>
              <w:tl2br w:val="nil"/>
              <w:tr2bl w:val="nil"/>
            </w:tcBorders>
            <w:noWrap/>
            <w:vAlign w:val="center"/>
          </w:tcPr>
          <w:p w14:paraId="1732EACB">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50</w:t>
            </w:r>
          </w:p>
        </w:tc>
        <w:tc>
          <w:tcPr>
            <w:tcW w:w="899" w:type="pct"/>
            <w:tcBorders>
              <w:tl2br w:val="nil"/>
              <w:tr2bl w:val="nil"/>
            </w:tcBorders>
            <w:noWrap/>
            <w:vAlign w:val="center"/>
          </w:tcPr>
          <w:p w14:paraId="1FA5489F">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0.004</w:t>
            </w:r>
          </w:p>
        </w:tc>
        <w:tc>
          <w:tcPr>
            <w:tcW w:w="782" w:type="pct"/>
            <w:tcBorders>
              <w:tl2br w:val="nil"/>
              <w:tr2bl w:val="nil"/>
            </w:tcBorders>
            <w:noWrap/>
            <w:vAlign w:val="center"/>
          </w:tcPr>
          <w:p w14:paraId="68C6BD18">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100</w:t>
            </w:r>
          </w:p>
        </w:tc>
        <w:tc>
          <w:tcPr>
            <w:tcW w:w="905" w:type="pct"/>
            <w:tcBorders>
              <w:tl2br w:val="nil"/>
              <w:tr2bl w:val="nil"/>
            </w:tcBorders>
            <w:noWrap/>
            <w:vAlign w:val="center"/>
          </w:tcPr>
          <w:p w14:paraId="4F21DA22">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0.003</w:t>
            </w:r>
          </w:p>
        </w:tc>
      </w:tr>
      <w:tr w14:paraId="5A7D92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82" w:type="pct"/>
            <w:tcBorders>
              <w:tl2br w:val="nil"/>
              <w:tr2bl w:val="nil"/>
            </w:tcBorders>
            <w:noWrap/>
            <w:vAlign w:val="center"/>
          </w:tcPr>
          <w:p w14:paraId="034C892E">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30</w:t>
            </w:r>
          </w:p>
        </w:tc>
        <w:tc>
          <w:tcPr>
            <w:tcW w:w="850" w:type="pct"/>
            <w:tcBorders>
              <w:tl2br w:val="nil"/>
              <w:tr2bl w:val="nil"/>
            </w:tcBorders>
            <w:noWrap/>
            <w:vAlign w:val="center"/>
          </w:tcPr>
          <w:p w14:paraId="53492D78">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0.000</w:t>
            </w:r>
          </w:p>
        </w:tc>
        <w:tc>
          <w:tcPr>
            <w:tcW w:w="782" w:type="pct"/>
            <w:tcBorders>
              <w:tl2br w:val="nil"/>
              <w:tr2bl w:val="nil"/>
            </w:tcBorders>
            <w:noWrap/>
            <w:vAlign w:val="center"/>
          </w:tcPr>
          <w:p w14:paraId="3AA1BDEF">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60</w:t>
            </w:r>
          </w:p>
        </w:tc>
        <w:tc>
          <w:tcPr>
            <w:tcW w:w="899" w:type="pct"/>
            <w:tcBorders>
              <w:tl2br w:val="nil"/>
              <w:tr2bl w:val="nil"/>
            </w:tcBorders>
            <w:noWrap/>
            <w:vAlign w:val="center"/>
          </w:tcPr>
          <w:p w14:paraId="6E3937A0">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0.002</w:t>
            </w:r>
          </w:p>
        </w:tc>
        <w:tc>
          <w:tcPr>
            <w:tcW w:w="782" w:type="pct"/>
            <w:tcBorders>
              <w:tl2br w:val="nil"/>
              <w:tr2bl w:val="nil"/>
            </w:tcBorders>
            <w:noWrap/>
            <w:vAlign w:val="center"/>
          </w:tcPr>
          <w:p w14:paraId="17A018E8">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120</w:t>
            </w:r>
          </w:p>
        </w:tc>
        <w:tc>
          <w:tcPr>
            <w:tcW w:w="905" w:type="pct"/>
            <w:tcBorders>
              <w:tl2br w:val="nil"/>
              <w:tr2bl w:val="nil"/>
            </w:tcBorders>
            <w:noWrap/>
            <w:vAlign w:val="center"/>
          </w:tcPr>
          <w:p w14:paraId="731E1E88">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0.002</w:t>
            </w:r>
          </w:p>
        </w:tc>
      </w:tr>
      <w:tr w14:paraId="3D58BF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82" w:type="pct"/>
            <w:tcBorders>
              <w:tl2br w:val="nil"/>
              <w:tr2bl w:val="nil"/>
            </w:tcBorders>
            <w:noWrap/>
            <w:vAlign w:val="center"/>
          </w:tcPr>
          <w:p w14:paraId="19D15A2F">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35</w:t>
            </w:r>
          </w:p>
        </w:tc>
        <w:tc>
          <w:tcPr>
            <w:tcW w:w="850" w:type="pct"/>
            <w:tcBorders>
              <w:tl2br w:val="nil"/>
              <w:tr2bl w:val="nil"/>
            </w:tcBorders>
            <w:noWrap/>
            <w:vAlign w:val="center"/>
          </w:tcPr>
          <w:p w14:paraId="71868F8D">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0.000</w:t>
            </w:r>
          </w:p>
        </w:tc>
        <w:tc>
          <w:tcPr>
            <w:tcW w:w="782" w:type="pct"/>
            <w:tcBorders>
              <w:tl2br w:val="nil"/>
              <w:tr2bl w:val="nil"/>
            </w:tcBorders>
            <w:noWrap/>
            <w:vAlign w:val="center"/>
          </w:tcPr>
          <w:p w14:paraId="29E80DDF">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70</w:t>
            </w:r>
          </w:p>
        </w:tc>
        <w:tc>
          <w:tcPr>
            <w:tcW w:w="899" w:type="pct"/>
            <w:tcBorders>
              <w:tl2br w:val="nil"/>
              <w:tr2bl w:val="nil"/>
            </w:tcBorders>
            <w:noWrap/>
            <w:vAlign w:val="center"/>
          </w:tcPr>
          <w:p w14:paraId="5FCF4472">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0.001</w:t>
            </w:r>
          </w:p>
        </w:tc>
        <w:tc>
          <w:tcPr>
            <w:tcW w:w="782" w:type="pct"/>
            <w:tcBorders>
              <w:tl2br w:val="nil"/>
              <w:tr2bl w:val="nil"/>
            </w:tcBorders>
            <w:noWrap/>
            <w:vAlign w:val="center"/>
          </w:tcPr>
          <w:p w14:paraId="354F3E40">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140</w:t>
            </w:r>
          </w:p>
        </w:tc>
        <w:tc>
          <w:tcPr>
            <w:tcW w:w="905" w:type="pct"/>
            <w:tcBorders>
              <w:tl2br w:val="nil"/>
              <w:tr2bl w:val="nil"/>
            </w:tcBorders>
            <w:noWrap/>
            <w:vAlign w:val="center"/>
          </w:tcPr>
          <w:p w14:paraId="1FCB5CF3">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0.001</w:t>
            </w:r>
          </w:p>
        </w:tc>
      </w:tr>
      <w:tr w14:paraId="3386F3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82" w:type="pct"/>
            <w:tcBorders>
              <w:tl2br w:val="nil"/>
              <w:tr2bl w:val="nil"/>
            </w:tcBorders>
            <w:noWrap/>
            <w:vAlign w:val="center"/>
          </w:tcPr>
          <w:p w14:paraId="0A5E8A24">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40</w:t>
            </w:r>
          </w:p>
        </w:tc>
        <w:tc>
          <w:tcPr>
            <w:tcW w:w="850" w:type="pct"/>
            <w:tcBorders>
              <w:tl2br w:val="nil"/>
              <w:tr2bl w:val="nil"/>
            </w:tcBorders>
            <w:noWrap/>
            <w:vAlign w:val="center"/>
          </w:tcPr>
          <w:p w14:paraId="6511E89D">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0.000</w:t>
            </w:r>
          </w:p>
        </w:tc>
        <w:tc>
          <w:tcPr>
            <w:tcW w:w="782" w:type="pct"/>
            <w:tcBorders>
              <w:tl2br w:val="nil"/>
              <w:tr2bl w:val="nil"/>
            </w:tcBorders>
            <w:noWrap/>
            <w:vAlign w:val="center"/>
          </w:tcPr>
          <w:p w14:paraId="7F224563">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80</w:t>
            </w:r>
          </w:p>
        </w:tc>
        <w:tc>
          <w:tcPr>
            <w:tcW w:w="899" w:type="pct"/>
            <w:tcBorders>
              <w:tl2br w:val="nil"/>
              <w:tr2bl w:val="nil"/>
            </w:tcBorders>
            <w:noWrap/>
            <w:vAlign w:val="center"/>
          </w:tcPr>
          <w:p w14:paraId="265AAAE6">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0.000</w:t>
            </w:r>
          </w:p>
        </w:tc>
        <w:tc>
          <w:tcPr>
            <w:tcW w:w="782" w:type="pct"/>
            <w:tcBorders>
              <w:tl2br w:val="nil"/>
              <w:tr2bl w:val="nil"/>
            </w:tcBorders>
            <w:noWrap/>
            <w:vAlign w:val="center"/>
          </w:tcPr>
          <w:p w14:paraId="4A6DF0D1">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160</w:t>
            </w:r>
          </w:p>
        </w:tc>
        <w:tc>
          <w:tcPr>
            <w:tcW w:w="905" w:type="pct"/>
            <w:tcBorders>
              <w:tl2br w:val="nil"/>
              <w:tr2bl w:val="nil"/>
            </w:tcBorders>
            <w:noWrap/>
            <w:vAlign w:val="center"/>
          </w:tcPr>
          <w:p w14:paraId="564D43A8">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0.000</w:t>
            </w:r>
          </w:p>
        </w:tc>
      </w:tr>
      <w:tr w14:paraId="624C8A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82" w:type="pct"/>
            <w:tcBorders>
              <w:tl2br w:val="nil"/>
              <w:tr2bl w:val="nil"/>
            </w:tcBorders>
            <w:noWrap/>
            <w:vAlign w:val="center"/>
          </w:tcPr>
          <w:p w14:paraId="2F3FC8D5">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45</w:t>
            </w:r>
          </w:p>
        </w:tc>
        <w:tc>
          <w:tcPr>
            <w:tcW w:w="850" w:type="pct"/>
            <w:tcBorders>
              <w:tl2br w:val="nil"/>
              <w:tr2bl w:val="nil"/>
            </w:tcBorders>
            <w:noWrap/>
            <w:vAlign w:val="center"/>
          </w:tcPr>
          <w:p w14:paraId="47606AD6">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0.000</w:t>
            </w:r>
          </w:p>
        </w:tc>
        <w:tc>
          <w:tcPr>
            <w:tcW w:w="782" w:type="pct"/>
            <w:tcBorders>
              <w:tl2br w:val="nil"/>
              <w:tr2bl w:val="nil"/>
            </w:tcBorders>
            <w:noWrap/>
            <w:vAlign w:val="center"/>
          </w:tcPr>
          <w:p w14:paraId="6BD1A4CE">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90</w:t>
            </w:r>
          </w:p>
        </w:tc>
        <w:tc>
          <w:tcPr>
            <w:tcW w:w="899" w:type="pct"/>
            <w:tcBorders>
              <w:tl2br w:val="nil"/>
              <w:tr2bl w:val="nil"/>
            </w:tcBorders>
            <w:noWrap/>
            <w:vAlign w:val="center"/>
          </w:tcPr>
          <w:p w14:paraId="0012F456">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0.000</w:t>
            </w:r>
          </w:p>
        </w:tc>
        <w:tc>
          <w:tcPr>
            <w:tcW w:w="782" w:type="pct"/>
            <w:tcBorders>
              <w:tl2br w:val="nil"/>
              <w:tr2bl w:val="nil"/>
            </w:tcBorders>
            <w:noWrap/>
            <w:vAlign w:val="center"/>
          </w:tcPr>
          <w:p w14:paraId="337D8034">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180</w:t>
            </w:r>
          </w:p>
        </w:tc>
        <w:tc>
          <w:tcPr>
            <w:tcW w:w="905" w:type="pct"/>
            <w:tcBorders>
              <w:tl2br w:val="nil"/>
              <w:tr2bl w:val="nil"/>
            </w:tcBorders>
            <w:noWrap/>
            <w:vAlign w:val="center"/>
          </w:tcPr>
          <w:p w14:paraId="3640D3BB">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0.000</w:t>
            </w:r>
          </w:p>
        </w:tc>
      </w:tr>
      <w:tr w14:paraId="054B5A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82" w:type="pct"/>
            <w:tcBorders>
              <w:tl2br w:val="nil"/>
              <w:tr2bl w:val="nil"/>
            </w:tcBorders>
            <w:noWrap/>
            <w:vAlign w:val="center"/>
          </w:tcPr>
          <w:p w14:paraId="05239B15">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50</w:t>
            </w:r>
          </w:p>
        </w:tc>
        <w:tc>
          <w:tcPr>
            <w:tcW w:w="850" w:type="pct"/>
            <w:tcBorders>
              <w:tl2br w:val="nil"/>
              <w:tr2bl w:val="nil"/>
            </w:tcBorders>
            <w:noWrap/>
            <w:vAlign w:val="center"/>
          </w:tcPr>
          <w:p w14:paraId="07A9608C">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0.000</w:t>
            </w:r>
          </w:p>
        </w:tc>
        <w:tc>
          <w:tcPr>
            <w:tcW w:w="782" w:type="pct"/>
            <w:tcBorders>
              <w:tl2br w:val="nil"/>
              <w:tr2bl w:val="nil"/>
            </w:tcBorders>
            <w:noWrap/>
            <w:vAlign w:val="center"/>
          </w:tcPr>
          <w:p w14:paraId="07959774">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100</w:t>
            </w:r>
          </w:p>
        </w:tc>
        <w:tc>
          <w:tcPr>
            <w:tcW w:w="899" w:type="pct"/>
            <w:tcBorders>
              <w:tl2br w:val="nil"/>
              <w:tr2bl w:val="nil"/>
            </w:tcBorders>
            <w:noWrap/>
            <w:vAlign w:val="center"/>
          </w:tcPr>
          <w:p w14:paraId="6639CCC2">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0.000</w:t>
            </w:r>
          </w:p>
        </w:tc>
        <w:tc>
          <w:tcPr>
            <w:tcW w:w="782" w:type="pct"/>
            <w:tcBorders>
              <w:tl2br w:val="nil"/>
              <w:tr2bl w:val="nil"/>
            </w:tcBorders>
            <w:noWrap/>
            <w:vAlign w:val="center"/>
          </w:tcPr>
          <w:p w14:paraId="20372C62">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200</w:t>
            </w:r>
          </w:p>
        </w:tc>
        <w:tc>
          <w:tcPr>
            <w:tcW w:w="905" w:type="pct"/>
            <w:tcBorders>
              <w:tl2br w:val="nil"/>
              <w:tr2bl w:val="nil"/>
            </w:tcBorders>
            <w:noWrap/>
            <w:vAlign w:val="center"/>
          </w:tcPr>
          <w:p w14:paraId="360BC385">
            <w:pPr>
              <w:widowControl w:val="0"/>
              <w:autoSpaceDE w:val="0"/>
              <w:autoSpaceDN w:val="0"/>
              <w:spacing w:before="13" w:line="239" w:lineRule="exact"/>
              <w:ind w:left="10"/>
              <w:jc w:val="center"/>
              <w:rPr>
                <w:rFonts w:hint="default" w:ascii="Times New Roman" w:hAnsi="Times New Roman" w:cs="Times New Roman"/>
                <w:color w:val="auto"/>
                <w:sz w:val="21"/>
                <w:szCs w:val="21"/>
                <w:lang w:val="zh-CN" w:bidi="zh-CN"/>
              </w:rPr>
            </w:pPr>
            <w:r>
              <w:rPr>
                <w:rFonts w:hint="default" w:ascii="Times New Roman" w:hAnsi="Times New Roman" w:eastAsia="等线" w:cs="Times New Roman"/>
                <w:color w:val="auto"/>
                <w:sz w:val="21"/>
                <w:szCs w:val="21"/>
              </w:rPr>
              <w:t>0.000</w:t>
            </w:r>
          </w:p>
        </w:tc>
      </w:tr>
    </w:tbl>
    <w:p w14:paraId="2DF30F7D">
      <w:pPr>
        <w:spacing w:line="360" w:lineRule="auto"/>
        <w:ind w:firstLine="420" w:firstLineChars="200"/>
        <w:jc w:val="center"/>
        <w:rPr>
          <w:rFonts w:hint="default" w:ascii="Times New Roman" w:hAnsi="Times New Roman" w:cs="Times New Roman"/>
          <w:color w:val="auto"/>
        </w:rPr>
      </w:pPr>
    </w:p>
    <w:p w14:paraId="663F9193">
      <w:pPr>
        <w:spacing w:line="360" w:lineRule="auto"/>
        <w:ind w:firstLine="420" w:firstLineChars="200"/>
        <w:jc w:val="center"/>
        <w:rPr>
          <w:rFonts w:hint="default" w:ascii="Times New Roman" w:hAnsi="Times New Roman" w:cs="Times New Roman"/>
          <w:color w:val="auto"/>
        </w:rPr>
      </w:pPr>
    </w:p>
    <w:p w14:paraId="239E12A5">
      <w:pPr>
        <w:spacing w:line="360" w:lineRule="auto"/>
        <w:ind w:firstLine="420" w:firstLineChars="200"/>
        <w:jc w:val="center"/>
        <w:rPr>
          <w:rFonts w:hint="default" w:ascii="Times New Roman" w:hAnsi="Times New Roman" w:cs="Times New Roman"/>
          <w:color w:val="auto"/>
        </w:rPr>
      </w:pPr>
    </w:p>
    <w:p w14:paraId="55634165">
      <w:pPr>
        <w:spacing w:line="360" w:lineRule="auto"/>
        <w:ind w:firstLine="420" w:firstLineChars="200"/>
        <w:jc w:val="center"/>
        <w:rPr>
          <w:rFonts w:hint="default" w:ascii="Times New Roman" w:hAnsi="Times New Roman" w:cs="Times New Roman"/>
          <w:color w:val="auto"/>
        </w:rPr>
      </w:pPr>
    </w:p>
    <w:p w14:paraId="60B95E7F">
      <w:pPr>
        <w:spacing w:line="360" w:lineRule="auto"/>
        <w:ind w:firstLine="420" w:firstLineChars="200"/>
        <w:jc w:val="center"/>
        <w:rPr>
          <w:rFonts w:hint="default" w:ascii="Times New Roman" w:hAnsi="Times New Roman" w:cs="Times New Roman"/>
          <w:color w:val="auto"/>
        </w:rPr>
      </w:pPr>
    </w:p>
    <w:p w14:paraId="5C76AE59">
      <w:pPr>
        <w:spacing w:line="360" w:lineRule="auto"/>
        <w:ind w:firstLine="420" w:firstLineChars="200"/>
        <w:jc w:val="center"/>
        <w:rPr>
          <w:rFonts w:hint="default" w:ascii="Times New Roman" w:hAnsi="Times New Roman" w:cs="Times New Roman"/>
          <w:color w:val="auto"/>
        </w:rPr>
      </w:pPr>
    </w:p>
    <w:p w14:paraId="393F50AE">
      <w:pPr>
        <w:spacing w:line="360" w:lineRule="auto"/>
        <w:ind w:firstLine="420" w:firstLineChars="200"/>
        <w:jc w:val="center"/>
        <w:rPr>
          <w:rFonts w:hint="default" w:ascii="Times New Roman" w:hAnsi="Times New Roman" w:cs="Times New Roman"/>
          <w:color w:val="auto"/>
        </w:rPr>
      </w:pPr>
    </w:p>
    <w:p w14:paraId="55C024A3">
      <w:pPr>
        <w:spacing w:line="360" w:lineRule="auto"/>
        <w:ind w:firstLine="420" w:firstLineChars="200"/>
        <w:jc w:val="center"/>
        <w:rPr>
          <w:rFonts w:hint="default" w:ascii="Times New Roman" w:hAnsi="Times New Roman" w:cs="Times New Roman"/>
          <w:color w:val="auto"/>
        </w:rPr>
      </w:pPr>
    </w:p>
    <w:p w14:paraId="682E151A">
      <w:pPr>
        <w:spacing w:line="360" w:lineRule="auto"/>
        <w:ind w:firstLine="420" w:firstLineChars="200"/>
        <w:jc w:val="center"/>
        <w:rPr>
          <w:rFonts w:hint="default" w:ascii="Times New Roman" w:hAnsi="Times New Roman" w:cs="Times New Roman"/>
          <w:color w:val="auto"/>
        </w:rPr>
      </w:pPr>
    </w:p>
    <w:p w14:paraId="0E0AA6B4">
      <w:pPr>
        <w:spacing w:line="360" w:lineRule="auto"/>
        <w:ind w:firstLine="420" w:firstLineChars="200"/>
        <w:jc w:val="center"/>
        <w:rPr>
          <w:rFonts w:hint="default" w:ascii="Times New Roman" w:hAnsi="Times New Roman" w:cs="Times New Roman"/>
          <w:color w:val="auto"/>
        </w:rPr>
      </w:pPr>
    </w:p>
    <w:p w14:paraId="6D45A87F">
      <w:pPr>
        <w:spacing w:line="360" w:lineRule="auto"/>
        <w:ind w:firstLine="420" w:firstLineChars="200"/>
        <w:jc w:val="center"/>
        <w:rPr>
          <w:rFonts w:hint="default" w:ascii="Times New Roman" w:hAnsi="Times New Roman" w:cs="Times New Roman"/>
          <w:color w:val="auto"/>
        </w:rPr>
      </w:pPr>
    </w:p>
    <w:p w14:paraId="3D196544">
      <w:pPr>
        <w:adjustRightInd w:val="0"/>
        <w:snapToGrid w:val="0"/>
        <w:ind w:left="-6" w:firstLine="480" w:firstLineChars="200"/>
        <w:jc w:val="center"/>
        <w:rPr>
          <w:rFonts w:hint="default" w:ascii="Times New Roman" w:hAnsi="Times New Roman" w:cs="Times New Roman"/>
          <w:b/>
          <w:color w:val="auto"/>
          <w:szCs w:val="21"/>
        </w:rPr>
      </w:pPr>
      <w:r>
        <w:rPr>
          <w:rFonts w:hint="eastAsia" w:ascii="黑体" w:hAnsi="黑体" w:eastAsia="黑体" w:cs="黑体"/>
          <w:b/>
          <w:color w:val="auto"/>
          <w:sz w:val="24"/>
          <w:szCs w:val="24"/>
        </w:rPr>
        <w:t>图5.</w:t>
      </w:r>
      <w:r>
        <w:rPr>
          <w:rFonts w:hint="eastAsia" w:ascii="黑体" w:hAnsi="黑体" w:eastAsia="黑体" w:cs="黑体"/>
          <w:b/>
          <w:color w:val="auto"/>
          <w:sz w:val="24"/>
          <w:szCs w:val="24"/>
          <w:lang w:val="en-US" w:eastAsia="zh-CN"/>
        </w:rPr>
        <w:t>2</w:t>
      </w:r>
      <w:r>
        <w:rPr>
          <w:rFonts w:hint="eastAsia" w:ascii="黑体" w:hAnsi="黑体" w:eastAsia="黑体" w:cs="黑体"/>
          <w:b/>
          <w:color w:val="auto"/>
          <w:sz w:val="24"/>
          <w:szCs w:val="24"/>
        </w:rPr>
        <w:t>-2 发生</w:t>
      </w:r>
      <w:r>
        <w:rPr>
          <w:rFonts w:hint="eastAsia" w:ascii="黑体" w:hAnsi="黑体" w:eastAsia="黑体" w:cs="黑体"/>
          <w:b/>
          <w:color w:val="auto"/>
          <w:sz w:val="24"/>
          <w:szCs w:val="24"/>
          <w:lang w:eastAsia="zh-CN"/>
        </w:rPr>
        <w:t>泄漏</w:t>
      </w:r>
      <w:r>
        <w:rPr>
          <w:rFonts w:hint="eastAsia" w:ascii="黑体" w:hAnsi="黑体" w:eastAsia="黑体" w:cs="黑体"/>
          <w:b/>
          <w:color w:val="auto"/>
          <w:sz w:val="24"/>
          <w:szCs w:val="24"/>
        </w:rPr>
        <w:t>后石油类污染物浓度变化趋势图</w:t>
      </w:r>
    </w:p>
    <w:p w14:paraId="134AB026">
      <w:pPr>
        <w:pStyle w:val="79"/>
        <w:bidi w:val="0"/>
        <w:rPr>
          <w:rFonts w:hint="default"/>
          <w:color w:val="auto"/>
        </w:rPr>
      </w:pPr>
      <w:r>
        <w:rPr>
          <w:rFonts w:hint="default"/>
          <w:color w:val="auto"/>
        </w:rPr>
        <w:t>根据以上预测结果，在本次设定的预测情形下：当</w:t>
      </w:r>
      <w:r>
        <w:rPr>
          <w:rFonts w:hint="eastAsia"/>
          <w:color w:val="auto"/>
          <w:lang w:eastAsia="zh-CN"/>
        </w:rPr>
        <w:t>泄漏</w:t>
      </w:r>
      <w:r>
        <w:rPr>
          <w:rFonts w:hint="default"/>
          <w:color w:val="auto"/>
        </w:rPr>
        <w:t>发生后，在预测期间，随着距离的增加，石油类在含水层中在水动力弥散作用下，沿地下水流向运移，污染物的浓度呈先增大后减小的趋势；随着泄漏后的时间的增加，影响范围呈增加趋势。在本次预测情景下的泄漏对地下水环境的影响很小。石油类浓度在预测100d、1000d、3650d时地下水最大影响距离约15m、30m、80m，均未超标</w:t>
      </w:r>
      <w:bookmarkStart w:id="635" w:name="_Hlk66363523"/>
      <w:r>
        <w:rPr>
          <w:rFonts w:hint="default"/>
          <w:color w:val="auto"/>
        </w:rPr>
        <w:t>，但</w:t>
      </w:r>
      <w:r>
        <w:rPr>
          <w:rFonts w:hint="eastAsia"/>
          <w:color w:val="auto"/>
          <w:lang w:eastAsia="zh-CN"/>
        </w:rPr>
        <w:t>泄漏</w:t>
      </w:r>
      <w:r>
        <w:rPr>
          <w:rFonts w:hint="default"/>
          <w:color w:val="auto"/>
        </w:rPr>
        <w:t>事故对该地区地下水的潜在影响依然存在。</w:t>
      </w:r>
      <w:bookmarkEnd w:id="635"/>
      <w:r>
        <w:rPr>
          <w:rFonts w:hint="default"/>
          <w:color w:val="auto"/>
        </w:rPr>
        <w:t>故集输管道必须采取必要的防渗、防渗措施，并加强巡检，防止其泄漏进而</w:t>
      </w:r>
      <w:r>
        <w:rPr>
          <w:rFonts w:hint="eastAsia"/>
          <w:color w:val="auto"/>
          <w:lang w:eastAsia="zh-CN"/>
        </w:rPr>
        <w:t>污染</w:t>
      </w:r>
      <w:r>
        <w:rPr>
          <w:rFonts w:hint="default"/>
          <w:color w:val="auto"/>
        </w:rPr>
        <w:t>周边区域内的地下水。</w:t>
      </w:r>
    </w:p>
    <w:p w14:paraId="032A78DC">
      <w:pPr>
        <w:pStyle w:val="79"/>
        <w:bidi w:val="0"/>
        <w:rPr>
          <w:rFonts w:hint="default"/>
          <w:color w:val="auto"/>
          <w:lang w:val="en-US" w:eastAsia="zh-CN"/>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lang w:val="en-US" w:eastAsia="zh-CN"/>
        </w:rPr>
        <w:t>原油储罐泄漏</w:t>
      </w:r>
    </w:p>
    <w:p w14:paraId="5BAF0C83">
      <w:pPr>
        <w:pStyle w:val="79"/>
        <w:bidi w:val="0"/>
        <w:rPr>
          <w:rFonts w:hint="default"/>
          <w:color w:val="auto"/>
        </w:rPr>
      </w:pPr>
      <w:r>
        <w:rPr>
          <w:rFonts w:hint="default"/>
          <w:color w:val="auto"/>
        </w:rPr>
        <w:t>运行过程中如</w:t>
      </w:r>
      <w:r>
        <w:rPr>
          <w:rFonts w:hint="default"/>
          <w:color w:val="auto"/>
          <w:lang w:val="en-US" w:eastAsia="zh-CN"/>
        </w:rPr>
        <w:t>试采点原油储</w:t>
      </w:r>
      <w:r>
        <w:rPr>
          <w:rFonts w:hint="default"/>
          <w:color w:val="auto"/>
        </w:rPr>
        <w:t>罐破损泄漏事故对地下水的影响，一般泄漏于土体中的</w:t>
      </w:r>
      <w:r>
        <w:rPr>
          <w:rFonts w:hint="eastAsia"/>
          <w:color w:val="auto"/>
          <w:lang w:val="en-US" w:eastAsia="zh-CN"/>
        </w:rPr>
        <w:t>原油</w:t>
      </w:r>
      <w:r>
        <w:rPr>
          <w:rFonts w:hint="default"/>
          <w:color w:val="auto"/>
        </w:rPr>
        <w:t>可以向地下渗透，并选择疏松位置运移。如果有足够多的</w:t>
      </w:r>
      <w:r>
        <w:rPr>
          <w:rFonts w:hint="eastAsia"/>
          <w:color w:val="auto"/>
          <w:lang w:val="en-US" w:eastAsia="zh-CN"/>
        </w:rPr>
        <w:t>原油</w:t>
      </w:r>
      <w:r>
        <w:rPr>
          <w:rFonts w:hint="default"/>
          <w:color w:val="auto"/>
        </w:rPr>
        <w:t>泄漏到疏松的土体中，就有可能下渗至潜水带。</w:t>
      </w:r>
    </w:p>
    <w:p w14:paraId="1F3F919C">
      <w:pPr>
        <w:pStyle w:val="79"/>
        <w:bidi w:val="0"/>
        <w:rPr>
          <w:rFonts w:hint="default"/>
          <w:color w:val="auto"/>
        </w:rPr>
      </w:pPr>
      <w:r>
        <w:rPr>
          <w:rFonts w:hint="default"/>
          <w:color w:val="auto"/>
        </w:rPr>
        <w:t>本次评价对非正常状况下</w:t>
      </w:r>
      <w:r>
        <w:rPr>
          <w:rFonts w:hint="eastAsia"/>
          <w:color w:val="auto"/>
          <w:lang w:val="en-US" w:eastAsia="zh-CN"/>
        </w:rPr>
        <w:t>储</w:t>
      </w:r>
      <w:r>
        <w:rPr>
          <w:rFonts w:hint="default"/>
          <w:color w:val="auto"/>
        </w:rPr>
        <w:t>罐破损泄漏情景运用解析模型进行模拟预测，以评价对地下水环境的影响。</w:t>
      </w:r>
    </w:p>
    <w:p w14:paraId="15AD45AF">
      <w:pPr>
        <w:pStyle w:val="79"/>
        <w:bidi w:val="0"/>
        <w:rPr>
          <w:rFonts w:hint="default"/>
          <w:color w:val="auto"/>
        </w:rPr>
      </w:pPr>
      <w:r>
        <w:rPr>
          <w:rFonts w:hint="default"/>
          <w:color w:val="auto"/>
        </w:rPr>
        <w:t>①预测因子筛选</w:t>
      </w:r>
    </w:p>
    <w:p w14:paraId="17FF01A7">
      <w:pPr>
        <w:pStyle w:val="79"/>
        <w:bidi w:val="0"/>
        <w:rPr>
          <w:rFonts w:hint="default"/>
          <w:color w:val="auto"/>
        </w:rPr>
      </w:pPr>
      <w:r>
        <w:rPr>
          <w:rFonts w:hint="eastAsia"/>
          <w:color w:val="auto"/>
          <w:lang w:val="en-US" w:eastAsia="zh-CN"/>
        </w:rPr>
        <w:t>储</w:t>
      </w:r>
      <w:r>
        <w:rPr>
          <w:rFonts w:hint="default"/>
          <w:color w:val="auto"/>
        </w:rPr>
        <w:t>罐破损泄漏污染物主要为石油类，本评价选取特征污染物石油类作为代表性污染物进行预测，石油类参照《地表水环境质量标准》</w:t>
      </w:r>
      <w:r>
        <w:rPr>
          <w:rFonts w:hint="eastAsia"/>
          <w:color w:val="auto"/>
          <w:lang w:eastAsia="zh-CN"/>
        </w:rPr>
        <w:t>（</w:t>
      </w:r>
      <w:r>
        <w:rPr>
          <w:rFonts w:hint="default"/>
          <w:color w:val="auto"/>
        </w:rPr>
        <w:t>GB3838-2002</w:t>
      </w:r>
      <w:r>
        <w:rPr>
          <w:rFonts w:hint="eastAsia"/>
          <w:color w:val="auto"/>
          <w:lang w:eastAsia="zh-CN"/>
        </w:rPr>
        <w:t>）</w:t>
      </w:r>
      <w:r>
        <w:rPr>
          <w:rFonts w:hint="default"/>
          <w:color w:val="auto"/>
        </w:rPr>
        <w:t>中的Ⅲ类标准。评价因子检出限及评价标准见表5.2-</w:t>
      </w:r>
      <w:r>
        <w:rPr>
          <w:rFonts w:hint="eastAsia"/>
          <w:color w:val="auto"/>
          <w:lang w:val="en-US" w:eastAsia="zh-CN"/>
        </w:rPr>
        <w:t>3</w:t>
      </w:r>
      <w:r>
        <w:rPr>
          <w:rFonts w:hint="default"/>
          <w:color w:val="auto"/>
        </w:rPr>
        <w:t>。</w:t>
      </w:r>
    </w:p>
    <w:p w14:paraId="180F4EED">
      <w:pPr>
        <w:pStyle w:val="61"/>
        <w:bidi w:val="0"/>
        <w:jc w:val="both"/>
        <w:rPr>
          <w:rFonts w:hint="eastAsia"/>
          <w:color w:val="auto"/>
        </w:rPr>
      </w:pPr>
    </w:p>
    <w:p w14:paraId="29FA64CD">
      <w:pPr>
        <w:pStyle w:val="61"/>
        <w:bidi w:val="0"/>
        <w:jc w:val="both"/>
        <w:rPr>
          <w:color w:val="auto"/>
        </w:rPr>
      </w:pPr>
      <w:r>
        <w:rPr>
          <w:rFonts w:hint="eastAsia"/>
          <w:color w:val="auto"/>
        </w:rPr>
        <w:t>表5.2-</w:t>
      </w:r>
      <w:r>
        <w:rPr>
          <w:rFonts w:hint="eastAsia"/>
          <w:color w:val="auto"/>
          <w:lang w:val="en-US" w:eastAsia="zh-CN"/>
        </w:rPr>
        <w:t>3</w:t>
      </w:r>
      <w:r>
        <w:rPr>
          <w:rFonts w:hint="eastAsia"/>
          <w:color w:val="auto"/>
        </w:rPr>
        <w:t xml:space="preserve">          评价因子及评价标准一览表</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296"/>
        <w:gridCol w:w="2032"/>
        <w:gridCol w:w="2289"/>
        <w:gridCol w:w="3057"/>
      </w:tblGrid>
      <w:tr w14:paraId="7A2526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747" w:type="pct"/>
            <w:tcBorders>
              <w:tl2br w:val="nil"/>
              <w:tr2bl w:val="nil"/>
            </w:tcBorders>
            <w:noWrap w:val="0"/>
            <w:vAlign w:val="center"/>
          </w:tcPr>
          <w:p w14:paraId="398C3E96">
            <w:pPr>
              <w:spacing w:line="0" w:lineRule="atLeast"/>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评价因子</w:t>
            </w:r>
          </w:p>
        </w:tc>
        <w:tc>
          <w:tcPr>
            <w:tcW w:w="1171" w:type="pct"/>
            <w:tcBorders>
              <w:tl2br w:val="nil"/>
              <w:tr2bl w:val="nil"/>
            </w:tcBorders>
            <w:noWrap w:val="0"/>
            <w:vAlign w:val="center"/>
          </w:tcPr>
          <w:p w14:paraId="43978965">
            <w:pPr>
              <w:spacing w:line="0" w:lineRule="atLeast"/>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评价标准</w:t>
            </w:r>
            <w:r>
              <w:rPr>
                <w:rFonts w:hint="eastAsia" w:cs="Times New Roman"/>
                <w:color w:val="auto"/>
                <w:spacing w:val="-10"/>
                <w:sz w:val="21"/>
                <w:szCs w:val="21"/>
                <w:lang w:eastAsia="zh-CN"/>
              </w:rPr>
              <w:t>（</w:t>
            </w:r>
            <w:r>
              <w:rPr>
                <w:rFonts w:hint="default" w:ascii="Times New Roman" w:hAnsi="Times New Roman" w:eastAsia="宋体" w:cs="Times New Roman"/>
                <w:color w:val="auto"/>
                <w:spacing w:val="-10"/>
                <w:sz w:val="21"/>
                <w:szCs w:val="21"/>
              </w:rPr>
              <w:t>mg/L</w:t>
            </w:r>
            <w:r>
              <w:rPr>
                <w:rFonts w:hint="eastAsia" w:cs="Times New Roman"/>
                <w:color w:val="auto"/>
                <w:spacing w:val="-10"/>
                <w:sz w:val="21"/>
                <w:szCs w:val="21"/>
                <w:lang w:eastAsia="zh-CN"/>
              </w:rPr>
              <w:t>）</w:t>
            </w:r>
          </w:p>
        </w:tc>
        <w:tc>
          <w:tcPr>
            <w:tcW w:w="1319" w:type="pct"/>
            <w:tcBorders>
              <w:tl2br w:val="nil"/>
              <w:tr2bl w:val="nil"/>
            </w:tcBorders>
            <w:noWrap w:val="0"/>
            <w:vAlign w:val="center"/>
          </w:tcPr>
          <w:p w14:paraId="3DEB817A">
            <w:pPr>
              <w:spacing w:line="0" w:lineRule="atLeast"/>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检出下限值</w:t>
            </w:r>
            <w:r>
              <w:rPr>
                <w:rFonts w:hint="eastAsia" w:cs="Times New Roman"/>
                <w:color w:val="auto"/>
                <w:spacing w:val="-10"/>
                <w:sz w:val="21"/>
                <w:szCs w:val="21"/>
                <w:lang w:eastAsia="zh-CN"/>
              </w:rPr>
              <w:t>（</w:t>
            </w:r>
            <w:r>
              <w:rPr>
                <w:rFonts w:hint="default" w:ascii="Times New Roman" w:hAnsi="Times New Roman" w:eastAsia="宋体" w:cs="Times New Roman"/>
                <w:color w:val="auto"/>
                <w:spacing w:val="-10"/>
                <w:sz w:val="21"/>
                <w:szCs w:val="21"/>
              </w:rPr>
              <w:t>mg/L</w:t>
            </w:r>
            <w:r>
              <w:rPr>
                <w:rFonts w:hint="eastAsia" w:cs="Times New Roman"/>
                <w:color w:val="auto"/>
                <w:spacing w:val="-10"/>
                <w:sz w:val="21"/>
                <w:szCs w:val="21"/>
                <w:lang w:eastAsia="zh-CN"/>
              </w:rPr>
              <w:t>）</w:t>
            </w:r>
          </w:p>
        </w:tc>
        <w:tc>
          <w:tcPr>
            <w:tcW w:w="1762" w:type="pct"/>
            <w:tcBorders>
              <w:tl2br w:val="nil"/>
              <w:tr2bl w:val="nil"/>
            </w:tcBorders>
            <w:noWrap w:val="0"/>
            <w:vAlign w:val="center"/>
          </w:tcPr>
          <w:p w14:paraId="66FDC005">
            <w:pPr>
              <w:spacing w:line="0" w:lineRule="atLeast"/>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现状监测值最大值</w:t>
            </w:r>
            <w:r>
              <w:rPr>
                <w:rFonts w:hint="eastAsia" w:cs="Times New Roman"/>
                <w:color w:val="auto"/>
                <w:spacing w:val="-10"/>
                <w:sz w:val="21"/>
                <w:szCs w:val="21"/>
                <w:lang w:eastAsia="zh-CN"/>
              </w:rPr>
              <w:t>（</w:t>
            </w:r>
            <w:r>
              <w:rPr>
                <w:rFonts w:hint="default" w:ascii="Times New Roman" w:hAnsi="Times New Roman" w:eastAsia="宋体" w:cs="Times New Roman"/>
                <w:color w:val="auto"/>
                <w:spacing w:val="-10"/>
                <w:sz w:val="21"/>
                <w:szCs w:val="21"/>
              </w:rPr>
              <w:t>mg/L</w:t>
            </w:r>
            <w:r>
              <w:rPr>
                <w:rFonts w:hint="eastAsia" w:cs="Times New Roman"/>
                <w:color w:val="auto"/>
                <w:spacing w:val="-10"/>
                <w:sz w:val="21"/>
                <w:szCs w:val="21"/>
                <w:lang w:eastAsia="zh-CN"/>
              </w:rPr>
              <w:t>）</w:t>
            </w:r>
          </w:p>
        </w:tc>
      </w:tr>
      <w:tr w14:paraId="3B137E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747" w:type="pct"/>
            <w:tcBorders>
              <w:tl2br w:val="nil"/>
              <w:tr2bl w:val="nil"/>
            </w:tcBorders>
            <w:noWrap w:val="0"/>
            <w:vAlign w:val="center"/>
          </w:tcPr>
          <w:p w14:paraId="08281D4C">
            <w:pPr>
              <w:spacing w:line="0" w:lineRule="atLeast"/>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石油类</w:t>
            </w:r>
          </w:p>
        </w:tc>
        <w:tc>
          <w:tcPr>
            <w:tcW w:w="1171" w:type="pct"/>
            <w:tcBorders>
              <w:tl2br w:val="nil"/>
              <w:tr2bl w:val="nil"/>
            </w:tcBorders>
            <w:noWrap w:val="0"/>
            <w:vAlign w:val="center"/>
          </w:tcPr>
          <w:p w14:paraId="75A1236D">
            <w:pPr>
              <w:spacing w:line="0" w:lineRule="atLeast"/>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0.05</w:t>
            </w:r>
          </w:p>
        </w:tc>
        <w:tc>
          <w:tcPr>
            <w:tcW w:w="1319" w:type="pct"/>
            <w:tcBorders>
              <w:tl2br w:val="nil"/>
              <w:tr2bl w:val="nil"/>
            </w:tcBorders>
            <w:noWrap w:val="0"/>
            <w:vAlign w:val="center"/>
          </w:tcPr>
          <w:p w14:paraId="0788133D">
            <w:pPr>
              <w:spacing w:line="0" w:lineRule="atLeast"/>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0.01</w:t>
            </w:r>
          </w:p>
        </w:tc>
        <w:tc>
          <w:tcPr>
            <w:tcW w:w="1762" w:type="pct"/>
            <w:tcBorders>
              <w:tl2br w:val="nil"/>
              <w:tr2bl w:val="nil"/>
            </w:tcBorders>
            <w:noWrap w:val="0"/>
            <w:vAlign w:val="center"/>
          </w:tcPr>
          <w:p w14:paraId="552C99A8">
            <w:pPr>
              <w:spacing w:line="0" w:lineRule="atLeast"/>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kern w:val="0"/>
                <w:sz w:val="21"/>
                <w:szCs w:val="21"/>
              </w:rPr>
              <w:t>未检出</w:t>
            </w:r>
          </w:p>
        </w:tc>
      </w:tr>
    </w:tbl>
    <w:p w14:paraId="73187D69">
      <w:pPr>
        <w:pStyle w:val="79"/>
        <w:bidi w:val="0"/>
        <w:rPr>
          <w:rFonts w:hint="default"/>
          <w:color w:val="auto"/>
        </w:rPr>
      </w:pPr>
      <w:r>
        <w:rPr>
          <w:rFonts w:hint="default"/>
          <w:color w:val="auto"/>
        </w:rPr>
        <w:t>②预测源强</w:t>
      </w:r>
    </w:p>
    <w:p w14:paraId="446DC96A">
      <w:pPr>
        <w:pStyle w:val="79"/>
        <w:bidi w:val="0"/>
        <w:rPr>
          <w:rFonts w:hint="default"/>
          <w:color w:val="auto"/>
        </w:rPr>
      </w:pPr>
      <w:r>
        <w:rPr>
          <w:rFonts w:hint="eastAsia"/>
          <w:color w:val="auto"/>
          <w:lang w:val="en-US" w:eastAsia="zh-CN"/>
        </w:rPr>
        <w:t>储</w:t>
      </w:r>
      <w:r>
        <w:rPr>
          <w:rFonts w:hint="default"/>
          <w:color w:val="auto"/>
        </w:rPr>
        <w:t>罐破损泄漏，裂口面积为5cm</w:t>
      </w:r>
      <w:r>
        <w:rPr>
          <w:rFonts w:hint="default"/>
          <w:color w:val="auto"/>
          <w:vertAlign w:val="superscript"/>
        </w:rPr>
        <w:t>2</w:t>
      </w:r>
      <w:r>
        <w:rPr>
          <w:rFonts w:hint="default"/>
          <w:color w:val="auto"/>
        </w:rPr>
        <w:t>，采取措施</w:t>
      </w:r>
      <w:r>
        <w:rPr>
          <w:rFonts w:hint="eastAsia"/>
          <w:color w:val="auto"/>
          <w:lang w:val="en-US" w:eastAsia="zh-CN"/>
        </w:rPr>
        <w:t>15min</w:t>
      </w:r>
      <w:r>
        <w:rPr>
          <w:rFonts w:hint="default"/>
          <w:color w:val="auto"/>
        </w:rPr>
        <w:t>后成功堵漏并停止泄漏，根据伯努利方程计算可得</w:t>
      </w:r>
      <w:r>
        <w:rPr>
          <w:rFonts w:hint="eastAsia"/>
          <w:color w:val="auto"/>
          <w:lang w:val="en-US" w:eastAsia="zh-CN"/>
        </w:rPr>
        <w:t>原油</w:t>
      </w:r>
      <w:r>
        <w:rPr>
          <w:rFonts w:hint="default"/>
          <w:color w:val="auto"/>
        </w:rPr>
        <w:t>渗漏量0.</w:t>
      </w:r>
      <w:r>
        <w:rPr>
          <w:rFonts w:hint="eastAsia"/>
          <w:color w:val="auto"/>
          <w:lang w:val="en-US" w:eastAsia="zh-CN"/>
        </w:rPr>
        <w:t>27</w:t>
      </w:r>
      <w:r>
        <w:rPr>
          <w:rFonts w:hint="default"/>
          <w:color w:val="auto"/>
        </w:rPr>
        <w:t>m</w:t>
      </w:r>
      <w:r>
        <w:rPr>
          <w:rFonts w:hint="default"/>
          <w:color w:val="auto"/>
          <w:vertAlign w:val="superscript"/>
        </w:rPr>
        <w:t>3</w:t>
      </w:r>
      <w:r>
        <w:rPr>
          <w:rFonts w:hint="default"/>
          <w:color w:val="auto"/>
        </w:rPr>
        <w:t>，石油类浓度取0.852g/L，则最终进入地下水中的石油类源强为0.</w:t>
      </w:r>
      <w:r>
        <w:rPr>
          <w:rFonts w:hint="eastAsia"/>
          <w:color w:val="auto"/>
          <w:lang w:val="en-US" w:eastAsia="zh-CN"/>
        </w:rPr>
        <w:t>230</w:t>
      </w:r>
      <w:r>
        <w:rPr>
          <w:rFonts w:hint="default"/>
          <w:color w:val="auto"/>
        </w:rPr>
        <w:t>kg。</w:t>
      </w:r>
    </w:p>
    <w:p w14:paraId="2D1884D6">
      <w:pPr>
        <w:pStyle w:val="79"/>
        <w:bidi w:val="0"/>
        <w:rPr>
          <w:rFonts w:hint="default"/>
          <w:color w:val="auto"/>
        </w:rPr>
      </w:pPr>
      <w:r>
        <w:rPr>
          <w:rFonts w:hint="default"/>
          <w:color w:val="auto"/>
        </w:rPr>
        <w:t>③预测模型</w:t>
      </w:r>
    </w:p>
    <w:p w14:paraId="56675FCF">
      <w:pPr>
        <w:pStyle w:val="79"/>
        <w:bidi w:val="0"/>
        <w:rPr>
          <w:rFonts w:hint="default"/>
          <w:color w:val="auto"/>
        </w:rPr>
      </w:pPr>
      <w:r>
        <w:rPr>
          <w:rFonts w:hint="default"/>
          <w:color w:val="auto"/>
        </w:rPr>
        <w:t>非正常状况下，污染物运移通常可概化为两个相互衔接的过程：①污染物由地表垂直向下穿过包气带进入潜水含水层的过程；②污染物进入潜水含水层后，随地下水流进行迁移的过程。污染物在潜水含水层中随着水流不断扩散，根据拟建工程非正常状况下污染源排放形式与排放规律，本次模型可概化为一维稳定流动二维水动力弥散问题的瞬时注入污染物—平面瞬时点源的预测模型，其主要假设条件为：</w:t>
      </w:r>
    </w:p>
    <w:p w14:paraId="37BCAB85">
      <w:pPr>
        <w:pStyle w:val="79"/>
        <w:bidi w:val="0"/>
        <w:rPr>
          <w:rFonts w:hint="default"/>
          <w:color w:val="auto"/>
        </w:rPr>
      </w:pPr>
      <w:r>
        <w:rPr>
          <w:rFonts w:hint="default"/>
          <w:color w:val="auto"/>
        </w:rPr>
        <w:t>a.假定含水层等厚，均质，并在平面无限分布，含水层的厚度、宽度和长度比可忽略；</w:t>
      </w:r>
    </w:p>
    <w:p w14:paraId="29AE2E71">
      <w:pPr>
        <w:pStyle w:val="79"/>
        <w:bidi w:val="0"/>
        <w:rPr>
          <w:rFonts w:hint="default"/>
          <w:color w:val="auto"/>
        </w:rPr>
      </w:pPr>
      <w:r>
        <w:rPr>
          <w:rFonts w:hint="default"/>
          <w:color w:val="auto"/>
        </w:rPr>
        <w:t>b.假定定量的定浓度的污水，在极短时间内注入整个含水层的厚度范围；</w:t>
      </w:r>
    </w:p>
    <w:p w14:paraId="640FE7A4">
      <w:pPr>
        <w:pStyle w:val="79"/>
        <w:bidi w:val="0"/>
        <w:rPr>
          <w:rFonts w:hint="default"/>
          <w:color w:val="auto"/>
        </w:rPr>
      </w:pPr>
      <w:r>
        <w:rPr>
          <w:rFonts w:hint="default"/>
          <w:color w:val="auto"/>
        </w:rPr>
        <w:t>c.污水的注入对含水层内的天然流场不产生影响。</w:t>
      </w:r>
    </w:p>
    <w:p w14:paraId="0BABB1B9">
      <w:pPr>
        <w:pStyle w:val="79"/>
        <w:bidi w:val="0"/>
        <w:rPr>
          <w:rFonts w:hint="default"/>
          <w:color w:val="auto"/>
        </w:rPr>
      </w:pPr>
      <w:r>
        <w:rPr>
          <w:rFonts w:hint="default"/>
          <w:color w:val="auto"/>
        </w:rPr>
        <w:t>根据《环境影响评价技术导则•地下水环境》</w:t>
      </w:r>
      <w:r>
        <w:rPr>
          <w:rFonts w:hint="eastAsia"/>
          <w:color w:val="auto"/>
          <w:lang w:eastAsia="zh-CN"/>
        </w:rPr>
        <w:t>（</w:t>
      </w:r>
      <w:r>
        <w:rPr>
          <w:rFonts w:hint="default"/>
          <w:color w:val="auto"/>
        </w:rPr>
        <w:t>HJ610-2016</w:t>
      </w:r>
      <w:r>
        <w:rPr>
          <w:rFonts w:hint="eastAsia"/>
          <w:color w:val="auto"/>
          <w:lang w:eastAsia="zh-CN"/>
        </w:rPr>
        <w:t>）</w:t>
      </w:r>
      <w:r>
        <w:rPr>
          <w:rFonts w:hint="default"/>
          <w:color w:val="auto"/>
        </w:rPr>
        <w:t>，一维稳定流动二维水动力弥散问题的瞬时注入示踪剂—平面瞬时点源的预测模型为：</w:t>
      </w:r>
    </w:p>
    <w:p w14:paraId="2DFB8177">
      <w:pPr>
        <w:topLinePunct/>
        <w:ind w:firstLine="420" w:firstLineChars="200"/>
        <w:rPr>
          <w:rFonts w:hint="eastAsia" w:hAnsi="宋体" w:cs="宋体"/>
          <w:color w:val="auto"/>
        </w:rPr>
      </w:pPr>
      <w:r>
        <w:rPr>
          <w:rFonts w:hint="eastAsia" w:hAnsi="宋体" w:cs="宋体"/>
          <w:color w:val="auto"/>
        </w:rPr>
        <w:pict>
          <v:shape id="_x0000_s2067" o:spid="_x0000_s2067" o:spt="75" type="#_x0000_t75" style="position:absolute;left:0pt;margin-left:113.7pt;margin-top:1.25pt;height:38.25pt;width:204pt;z-index:-251612160;mso-width-relative:page;mso-height-relative:page;" o:ole="t" filled="f" o:preferrelative="t" stroked="f" coordsize="21600,21600">
            <v:path/>
            <v:fill on="f" focussize="0,0"/>
            <v:stroke on="f"/>
            <v:imagedata r:id="rId25" o:title=""/>
            <o:lock v:ext="edit" aspectratio="t"/>
          </v:shape>
          <o:OLEObject Type="Embed" ProgID="" ShapeID="_x0000_s2067" DrawAspect="Content" ObjectID="_1468075727" r:id="rId24">
            <o:LockedField>false</o:LockedField>
          </o:OLEObject>
        </w:pict>
      </w:r>
    </w:p>
    <w:p w14:paraId="28815A0D">
      <w:pPr>
        <w:rPr>
          <w:rFonts w:hint="eastAsia" w:hAnsi="宋体" w:cs="宋体"/>
          <w:color w:val="auto"/>
        </w:rPr>
      </w:pPr>
    </w:p>
    <w:p w14:paraId="7C2E2CF5">
      <w:pPr>
        <w:keepNext w:val="0"/>
        <w:keepLines w:val="0"/>
        <w:pageBreakBefore w:val="0"/>
        <w:widowControl w:val="0"/>
        <w:kinsoku/>
        <w:wordWrap/>
        <w:overflowPunct w:val="0"/>
        <w:topLinePunct w:val="0"/>
        <w:autoSpaceDE w:val="0"/>
        <w:autoSpaceDN w:val="0"/>
        <w:bidi w:val="0"/>
        <w:adjustRightInd/>
        <w:snapToGrid w:val="0"/>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t>
      </w:r>
    </w:p>
    <w:p w14:paraId="7F4003FE">
      <w:pPr>
        <w:keepNext w:val="0"/>
        <w:keepLines w:val="0"/>
        <w:pageBreakBefore w:val="0"/>
        <w:widowControl w:val="0"/>
        <w:kinsoku/>
        <w:wordWrap/>
        <w:overflowPunct w:val="0"/>
        <w:topLinePunct w:val="0"/>
        <w:autoSpaceDE w:val="0"/>
        <w:autoSpaceDN w:val="0"/>
        <w:bidi w:val="0"/>
        <w:adjustRightInd/>
        <w:snapToGrid w:val="0"/>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x，y—计算点处的位置坐标；</w:t>
      </w:r>
    </w:p>
    <w:p w14:paraId="2C29DCCE">
      <w:pPr>
        <w:keepNext w:val="0"/>
        <w:keepLines w:val="0"/>
        <w:pageBreakBefore w:val="0"/>
        <w:widowControl w:val="0"/>
        <w:kinsoku/>
        <w:wordWrap/>
        <w:overflowPunct w:val="0"/>
        <w:topLinePunct w:val="0"/>
        <w:autoSpaceDE w:val="0"/>
        <w:autoSpaceDN w:val="0"/>
        <w:bidi w:val="0"/>
        <w:adjustRightInd/>
        <w:snapToGrid w:val="0"/>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t—时间，d；</w:t>
      </w:r>
    </w:p>
    <w:p w14:paraId="798759AE">
      <w:pPr>
        <w:keepNext w:val="0"/>
        <w:keepLines w:val="0"/>
        <w:pageBreakBefore w:val="0"/>
        <w:widowControl w:val="0"/>
        <w:kinsoku/>
        <w:wordWrap/>
        <w:overflowPunct w:val="0"/>
        <w:topLinePunct w:val="0"/>
        <w:autoSpaceDE w:val="0"/>
        <w:autoSpaceDN w:val="0"/>
        <w:bidi w:val="0"/>
        <w:adjustRightInd/>
        <w:snapToGrid w:val="0"/>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C(x,y,t)—t时刻点x,y处的污染物浓度，mg/L；</w:t>
      </w:r>
    </w:p>
    <w:p w14:paraId="0DBD4C74">
      <w:pPr>
        <w:keepNext w:val="0"/>
        <w:keepLines w:val="0"/>
        <w:pageBreakBefore w:val="0"/>
        <w:widowControl w:val="0"/>
        <w:kinsoku/>
        <w:wordWrap/>
        <w:overflowPunct w:val="0"/>
        <w:topLinePunct w:val="0"/>
        <w:autoSpaceDE w:val="0"/>
        <w:autoSpaceDN w:val="0"/>
        <w:bidi w:val="0"/>
        <w:adjustRightInd/>
        <w:snapToGrid w:val="0"/>
        <w:spacing w:line="480" w:lineRule="exact"/>
        <w:ind w:firstLine="480" w:firstLineChars="200"/>
        <w:textAlignment w:val="auto"/>
        <w:rPr>
          <w:rFonts w:hint="default" w:ascii="Times New Roman" w:hAnsi="Times New Roman" w:eastAsia="宋体" w:cs="Times New Roman"/>
          <w:color w:val="auto"/>
          <w:sz w:val="24"/>
          <w:szCs w:val="24"/>
          <w:highlight w:val="yellow"/>
        </w:rPr>
      </w:pPr>
      <w:r>
        <w:rPr>
          <w:rFonts w:hint="default" w:ascii="Times New Roman" w:hAnsi="Times New Roman" w:eastAsia="宋体" w:cs="Times New Roman"/>
          <w:color w:val="auto"/>
          <w:sz w:val="24"/>
          <w:szCs w:val="24"/>
        </w:rPr>
        <w:t>M—含水层厚度，m；</w:t>
      </w:r>
      <w:r>
        <w:rPr>
          <w:rFonts w:hint="default" w:ascii="Times New Roman" w:hAnsi="Times New Roman" w:eastAsia="宋体" w:cs="Times New Roman"/>
          <w:color w:val="auto"/>
          <w:sz w:val="24"/>
          <w:szCs w:val="24"/>
          <w:highlight w:val="none"/>
        </w:rPr>
        <w:t>厚度约</w:t>
      </w:r>
      <w:r>
        <w:rPr>
          <w:rFonts w:hint="eastAsia" w:cs="Times New Roman"/>
          <w:color w:val="auto"/>
          <w:sz w:val="24"/>
          <w:szCs w:val="24"/>
          <w:highlight w:val="none"/>
          <w:lang w:val="en-US" w:eastAsia="zh-CN"/>
        </w:rPr>
        <w:t>35</w:t>
      </w:r>
      <w:r>
        <w:rPr>
          <w:rFonts w:hint="default" w:ascii="Times New Roman" w:hAnsi="Times New Roman" w:eastAsia="宋体" w:cs="Times New Roman"/>
          <w:color w:val="auto"/>
          <w:sz w:val="24"/>
          <w:szCs w:val="24"/>
          <w:highlight w:val="none"/>
        </w:rPr>
        <w:t>m；</w:t>
      </w:r>
    </w:p>
    <w:p w14:paraId="3F8CCB96">
      <w:pPr>
        <w:keepNext w:val="0"/>
        <w:keepLines w:val="0"/>
        <w:pageBreakBefore w:val="0"/>
        <w:widowControl w:val="0"/>
        <w:kinsoku/>
        <w:wordWrap/>
        <w:overflowPunct w:val="0"/>
        <w:topLinePunct w:val="0"/>
        <w:autoSpaceDE w:val="0"/>
        <w:autoSpaceDN w:val="0"/>
        <w:bidi w:val="0"/>
        <w:adjustRightInd/>
        <w:snapToGrid w:val="0"/>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bscript"/>
        </w:rPr>
        <w:t>M</w:t>
      </w:r>
      <w:r>
        <w:rPr>
          <w:rFonts w:hint="default" w:ascii="Times New Roman" w:hAnsi="Times New Roman" w:eastAsia="宋体" w:cs="Times New Roman"/>
          <w:color w:val="auto"/>
          <w:sz w:val="24"/>
          <w:szCs w:val="24"/>
        </w:rPr>
        <w:t>—长度为M的线源</w:t>
      </w:r>
      <w:r>
        <w:rPr>
          <w:rFonts w:hint="default" w:ascii="Times New Roman" w:hAnsi="Times New Roman" w:eastAsia="宋体" w:cs="Times New Roman"/>
          <w:color w:val="auto"/>
          <w:sz w:val="24"/>
          <w:szCs w:val="24"/>
          <w:highlight w:val="none"/>
        </w:rPr>
        <w:t>瞬时注入污染物的质量，kg。本次线源瞬时注入的污染物质量石油类0.</w:t>
      </w:r>
      <w:r>
        <w:rPr>
          <w:rFonts w:hint="eastAsia" w:cs="Times New Roman"/>
          <w:color w:val="auto"/>
          <w:sz w:val="24"/>
          <w:szCs w:val="24"/>
          <w:highlight w:val="none"/>
          <w:lang w:val="en-US" w:eastAsia="zh-CN"/>
        </w:rPr>
        <w:t>230</w:t>
      </w:r>
      <w:r>
        <w:rPr>
          <w:rFonts w:hint="default" w:ascii="Times New Roman" w:hAnsi="Times New Roman" w:eastAsia="宋体" w:cs="Times New Roman"/>
          <w:color w:val="auto"/>
          <w:sz w:val="24"/>
          <w:szCs w:val="24"/>
          <w:highlight w:val="none"/>
        </w:rPr>
        <w:t>kg；</w:t>
      </w:r>
    </w:p>
    <w:p w14:paraId="65767156">
      <w:pPr>
        <w:keepNext w:val="0"/>
        <w:keepLines w:val="0"/>
        <w:pageBreakBefore w:val="0"/>
        <w:widowControl w:val="0"/>
        <w:kinsoku/>
        <w:wordWrap/>
        <w:overflowPunct w:val="0"/>
        <w:topLinePunct w:val="0"/>
        <w:autoSpaceDE w:val="0"/>
        <w:autoSpaceDN w:val="0"/>
        <w:bidi w:val="0"/>
        <w:adjustRightInd/>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rPr>
        <w:t>u—地下水流速度</w:t>
      </w:r>
      <w:r>
        <w:rPr>
          <w:rFonts w:hint="default" w:ascii="Times New Roman" w:hAnsi="Times New Roman" w:eastAsia="宋体" w:cs="Times New Roman"/>
          <w:color w:val="auto"/>
          <w:sz w:val="24"/>
          <w:szCs w:val="24"/>
          <w:highlight w:val="none"/>
        </w:rPr>
        <w:t>，m/d；</w:t>
      </w:r>
      <w:r>
        <w:rPr>
          <w:rFonts w:hint="eastAsia" w:cs="Times New Roman"/>
          <w:color w:val="auto"/>
          <w:sz w:val="24"/>
          <w:szCs w:val="24"/>
          <w:highlight w:val="none"/>
          <w:lang w:val="en-US" w:eastAsia="zh-CN"/>
        </w:rPr>
        <w:t>取值0.019</w:t>
      </w:r>
      <w:r>
        <w:rPr>
          <w:rFonts w:hint="default" w:ascii="Times New Roman" w:hAnsi="Times New Roman" w:eastAsia="宋体" w:cs="Times New Roman"/>
          <w:color w:val="auto"/>
          <w:sz w:val="24"/>
          <w:szCs w:val="24"/>
          <w:highlight w:val="none"/>
        </w:rPr>
        <w:t>m/d；</w:t>
      </w:r>
    </w:p>
    <w:p w14:paraId="26D0DD20">
      <w:pPr>
        <w:keepNext w:val="0"/>
        <w:keepLines w:val="0"/>
        <w:pageBreakBefore w:val="0"/>
        <w:widowControl w:val="0"/>
        <w:kinsoku/>
        <w:wordWrap/>
        <w:overflowPunct w:val="0"/>
        <w:topLinePunct w:val="0"/>
        <w:autoSpaceDE w:val="0"/>
        <w:autoSpaceDN w:val="0"/>
        <w:bidi w:val="0"/>
        <w:adjustRightInd/>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rPr>
        <w:t>n—有效孔隙度，无量纲；参照相关资</w:t>
      </w:r>
      <w:r>
        <w:rPr>
          <w:rFonts w:hint="default" w:ascii="Times New Roman" w:hAnsi="Times New Roman" w:eastAsia="宋体" w:cs="Times New Roman"/>
          <w:color w:val="auto"/>
          <w:sz w:val="24"/>
          <w:szCs w:val="24"/>
          <w:highlight w:val="none"/>
        </w:rPr>
        <w:t>料，其有效孔隙度</w:t>
      </w:r>
      <w:r>
        <w:rPr>
          <w:rFonts w:hint="eastAsia" w:cs="Times New Roman"/>
          <w:color w:val="auto"/>
          <w:sz w:val="24"/>
          <w:szCs w:val="24"/>
          <w:highlight w:val="none"/>
          <w:lang w:val="en-US" w:eastAsia="zh-CN"/>
        </w:rPr>
        <w:t>42%</w:t>
      </w:r>
      <w:r>
        <w:rPr>
          <w:rFonts w:hint="default" w:ascii="Times New Roman" w:hAnsi="Times New Roman" w:eastAsia="宋体" w:cs="Times New Roman"/>
          <w:color w:val="auto"/>
          <w:sz w:val="24"/>
          <w:szCs w:val="24"/>
          <w:highlight w:val="none"/>
        </w:rPr>
        <w:t>；</w:t>
      </w:r>
    </w:p>
    <w:p w14:paraId="108EEA7E">
      <w:pPr>
        <w:keepNext w:val="0"/>
        <w:keepLines w:val="0"/>
        <w:pageBreakBefore w:val="0"/>
        <w:widowControl w:val="0"/>
        <w:kinsoku/>
        <w:wordWrap/>
        <w:overflowPunct w:val="0"/>
        <w:topLinePunct w:val="0"/>
        <w:autoSpaceDE w:val="0"/>
        <w:autoSpaceDN w:val="0"/>
        <w:bidi w:val="0"/>
        <w:adjustRightInd/>
        <w:snapToGrid w:val="0"/>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D</w:t>
      </w:r>
      <w:r>
        <w:rPr>
          <w:rFonts w:hint="default" w:ascii="Times New Roman" w:hAnsi="Times New Roman" w:eastAsia="宋体" w:cs="Times New Roman"/>
          <w:color w:val="auto"/>
          <w:sz w:val="24"/>
          <w:szCs w:val="24"/>
          <w:vertAlign w:val="subscript"/>
        </w:rPr>
        <w:t>L</w:t>
      </w:r>
      <w:r>
        <w:rPr>
          <w:rFonts w:hint="default" w:ascii="Times New Roman" w:hAnsi="Times New Roman" w:eastAsia="宋体" w:cs="Times New Roman"/>
          <w:color w:val="auto"/>
          <w:sz w:val="24"/>
          <w:szCs w:val="24"/>
        </w:rPr>
        <w:t>—纵向弥散系数，m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/d；根据</w:t>
      </w:r>
      <w:r>
        <w:rPr>
          <w:rFonts w:hint="default" w:ascii="Times New Roman" w:hAnsi="Times New Roman" w:eastAsia="宋体" w:cs="Times New Roman"/>
          <w:color w:val="auto"/>
          <w:sz w:val="24"/>
          <w:szCs w:val="24"/>
          <w:highlight w:val="none"/>
        </w:rPr>
        <w:t>资料纵向弥散系数</w:t>
      </w:r>
      <w:r>
        <w:rPr>
          <w:rFonts w:hint="eastAsia" w:cs="Times New Roman"/>
          <w:color w:val="auto"/>
          <w:sz w:val="24"/>
          <w:szCs w:val="24"/>
          <w:highlight w:val="none"/>
          <w:lang w:val="en-US" w:eastAsia="zh-CN"/>
        </w:rPr>
        <w:t>0.19</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/d；</w:t>
      </w:r>
    </w:p>
    <w:p w14:paraId="55783056">
      <w:pPr>
        <w:keepNext w:val="0"/>
        <w:keepLines w:val="0"/>
        <w:pageBreakBefore w:val="0"/>
        <w:widowControl w:val="0"/>
        <w:kinsoku/>
        <w:wordWrap/>
        <w:overflowPunct w:val="0"/>
        <w:topLinePunct w:val="0"/>
        <w:autoSpaceDE w:val="0"/>
        <w:autoSpaceDN w:val="0"/>
        <w:bidi w:val="0"/>
        <w:adjustRightInd/>
        <w:snapToGrid w:val="0"/>
        <w:spacing w:line="480" w:lineRule="exact"/>
        <w:ind w:firstLine="480" w:firstLineChars="200"/>
        <w:textAlignment w:val="auto"/>
        <w:rPr>
          <w:rFonts w:hint="default" w:ascii="Times New Roman" w:hAnsi="Times New Roman" w:eastAsia="宋体" w:cs="Times New Roman"/>
          <w:color w:val="auto"/>
          <w:sz w:val="24"/>
          <w:szCs w:val="24"/>
          <w:highlight w:val="yellow"/>
        </w:rPr>
      </w:pPr>
      <w:r>
        <w:rPr>
          <w:rFonts w:hint="default" w:ascii="Times New Roman" w:hAnsi="Times New Roman" w:eastAsia="宋体" w:cs="Times New Roman"/>
          <w:color w:val="auto"/>
          <w:sz w:val="24"/>
          <w:szCs w:val="24"/>
        </w:rPr>
        <w:t>D</w:t>
      </w:r>
      <w:r>
        <w:rPr>
          <w:rFonts w:hint="default" w:ascii="Times New Roman" w:hAnsi="Times New Roman" w:eastAsia="宋体" w:cs="Times New Roman"/>
          <w:color w:val="auto"/>
          <w:sz w:val="24"/>
          <w:szCs w:val="24"/>
          <w:vertAlign w:val="subscript"/>
        </w:rPr>
        <w:t>T</w:t>
      </w:r>
      <w:r>
        <w:rPr>
          <w:rFonts w:hint="default" w:ascii="Times New Roman" w:hAnsi="Times New Roman" w:eastAsia="宋体" w:cs="Times New Roman"/>
          <w:color w:val="auto"/>
          <w:sz w:val="24"/>
          <w:szCs w:val="24"/>
        </w:rPr>
        <w:t>—横向y方向的弥散系数，m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highlight w:val="none"/>
        </w:rPr>
        <w:t>d；横向弥散系数D</w:t>
      </w:r>
      <w:r>
        <w:rPr>
          <w:rFonts w:hint="default" w:ascii="Times New Roman" w:hAnsi="Times New Roman" w:eastAsia="宋体" w:cs="Times New Roman"/>
          <w:color w:val="auto"/>
          <w:sz w:val="24"/>
          <w:szCs w:val="24"/>
          <w:highlight w:val="none"/>
          <w:vertAlign w:val="subscript"/>
        </w:rPr>
        <w:t>T</w:t>
      </w:r>
      <w:r>
        <w:rPr>
          <w:rFonts w:hint="default" w:ascii="Times New Roman" w:hAnsi="Times New Roman" w:eastAsia="宋体" w:cs="Times New Roman"/>
          <w:color w:val="auto"/>
          <w:sz w:val="24"/>
          <w:szCs w:val="24"/>
          <w:highlight w:val="none"/>
        </w:rPr>
        <w:t>=0.011m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/d；</w:t>
      </w:r>
    </w:p>
    <w:p w14:paraId="06125884">
      <w:pPr>
        <w:keepNext w:val="0"/>
        <w:keepLines w:val="0"/>
        <w:pageBreakBefore w:val="0"/>
        <w:widowControl w:val="0"/>
        <w:kinsoku/>
        <w:wordWrap/>
        <w:overflowPunct w:val="0"/>
        <w:topLinePunct w:val="0"/>
        <w:autoSpaceDE w:val="0"/>
        <w:autoSpaceDN w:val="0"/>
        <w:bidi w:val="0"/>
        <w:adjustRightInd/>
        <w:snapToGrid w:val="0"/>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color w:val="auto"/>
          <w:sz w:val="24"/>
          <w:szCs w:val="24"/>
        </w:rPr>
        <w:t>π—圆周率。</w:t>
      </w:r>
    </w:p>
    <w:p w14:paraId="09BAC971">
      <w:pPr>
        <w:pStyle w:val="79"/>
        <w:bidi w:val="0"/>
        <w:rPr>
          <w:rFonts w:hint="default"/>
          <w:color w:val="auto"/>
        </w:rPr>
      </w:pPr>
      <w:r>
        <w:rPr>
          <w:rFonts w:hint="default"/>
          <w:color w:val="auto"/>
        </w:rPr>
        <w:t>④预测内容</w:t>
      </w:r>
    </w:p>
    <w:p w14:paraId="05186295">
      <w:pPr>
        <w:pStyle w:val="79"/>
        <w:bidi w:val="0"/>
        <w:rPr>
          <w:rFonts w:hint="default"/>
          <w:color w:val="auto"/>
        </w:rPr>
      </w:pPr>
      <w:r>
        <w:rPr>
          <w:rFonts w:hint="default"/>
          <w:color w:val="auto"/>
        </w:rPr>
        <w:t>在非正常状况下，污染物进入含水层后，在水动力弥散作用下，瞬时注入的污染物将产生呈椭圆形的污染晕，污染晕中污染物的浓度由中心向四周逐渐降低。随着水动力弥散作用的进行，污染晕将不断沿水流方向运移，污染晕的范围也会发生变化。本次预测在研究污染晕运移时，选取石油类、氯化物的检出下限值等值线作为影响范围，石油类取《地表水环境质量标准》</w:t>
      </w:r>
      <w:r>
        <w:rPr>
          <w:rFonts w:hint="eastAsia"/>
          <w:color w:val="auto"/>
          <w:lang w:eastAsia="zh-CN"/>
        </w:rPr>
        <w:t>（</w:t>
      </w:r>
      <w:r>
        <w:rPr>
          <w:rFonts w:hint="default"/>
          <w:color w:val="auto"/>
        </w:rPr>
        <w:t>GB3838-2002</w:t>
      </w:r>
      <w:r>
        <w:rPr>
          <w:rFonts w:hint="eastAsia"/>
          <w:color w:val="auto"/>
          <w:lang w:eastAsia="zh-CN"/>
        </w:rPr>
        <w:t>）</w:t>
      </w:r>
      <w:r>
        <w:rPr>
          <w:rFonts w:hint="default"/>
          <w:color w:val="auto"/>
        </w:rPr>
        <w:t>中Ⅲ类标准值等值线作为超标范围，预测污染晕的运移距离和影响范围。</w:t>
      </w:r>
    </w:p>
    <w:p w14:paraId="063E72E3">
      <w:pPr>
        <w:pStyle w:val="79"/>
        <w:bidi w:val="0"/>
        <w:rPr>
          <w:rFonts w:hint="default"/>
          <w:color w:val="auto"/>
        </w:rPr>
      </w:pPr>
      <w:r>
        <w:rPr>
          <w:rFonts w:hint="default"/>
          <w:color w:val="auto"/>
        </w:rPr>
        <w:t>a.石油类预测结果</w:t>
      </w:r>
    </w:p>
    <w:p w14:paraId="512D3CFC">
      <w:pPr>
        <w:pStyle w:val="79"/>
        <w:bidi w:val="0"/>
        <w:rPr>
          <w:rFonts w:hint="default"/>
          <w:color w:val="auto"/>
        </w:rPr>
      </w:pPr>
      <w:r>
        <w:rPr>
          <w:rFonts w:hint="default"/>
          <w:color w:val="auto"/>
        </w:rPr>
        <w:t>石油类预测结果见表5.2-</w:t>
      </w:r>
      <w:r>
        <w:rPr>
          <w:rFonts w:hint="eastAsia"/>
          <w:color w:val="auto"/>
          <w:lang w:val="en-US" w:eastAsia="zh-CN"/>
        </w:rPr>
        <w:t>4</w:t>
      </w:r>
      <w:r>
        <w:rPr>
          <w:rFonts w:hint="default"/>
          <w:color w:val="auto"/>
        </w:rPr>
        <w:t>。</w:t>
      </w:r>
    </w:p>
    <w:p w14:paraId="014F6EE6">
      <w:pPr>
        <w:pStyle w:val="61"/>
        <w:bidi w:val="0"/>
        <w:jc w:val="both"/>
        <w:rPr>
          <w:rFonts w:hint="eastAsia"/>
          <w:color w:val="auto"/>
          <w:lang w:val="zh-CN"/>
        </w:rPr>
      </w:pPr>
      <w:r>
        <w:rPr>
          <w:rFonts w:hint="eastAsia"/>
          <w:color w:val="auto"/>
        </w:rPr>
        <w:t>表5.2-</w:t>
      </w:r>
      <w:r>
        <w:rPr>
          <w:rFonts w:hint="eastAsia"/>
          <w:color w:val="auto"/>
          <w:lang w:val="en-US" w:eastAsia="zh-CN"/>
        </w:rPr>
        <w:t xml:space="preserve">4 </w:t>
      </w:r>
      <w:r>
        <w:rPr>
          <w:rFonts w:hint="eastAsia"/>
          <w:color w:val="auto"/>
          <w:lang w:val="zh-CN"/>
        </w:rPr>
        <w:t xml:space="preserve"> 在非正常状况下石油类在潜水含水层中运移情况一览表</w:t>
      </w:r>
    </w:p>
    <w:tbl>
      <w:tblPr>
        <w:tblStyle w:val="36"/>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886"/>
        <w:gridCol w:w="1096"/>
        <w:gridCol w:w="1154"/>
        <w:gridCol w:w="888"/>
        <w:gridCol w:w="1036"/>
        <w:gridCol w:w="965"/>
        <w:gridCol w:w="1318"/>
        <w:gridCol w:w="1326"/>
      </w:tblGrid>
      <w:tr w14:paraId="232AB1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5" w:hRule="atLeast"/>
          <w:jc w:val="center"/>
        </w:trPr>
        <w:tc>
          <w:tcPr>
            <w:tcW w:w="511" w:type="pct"/>
            <w:tcBorders>
              <w:tl2br w:val="nil"/>
              <w:tr2bl w:val="nil"/>
            </w:tcBorders>
            <w:noWrap w:val="0"/>
            <w:tcMar>
              <w:left w:w="28" w:type="dxa"/>
              <w:right w:w="28" w:type="dxa"/>
            </w:tcMar>
            <w:vAlign w:val="center"/>
          </w:tcPr>
          <w:p w14:paraId="4FCAFFC5">
            <w:pPr>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kern w:val="0"/>
                <w:sz w:val="21"/>
                <w:szCs w:val="21"/>
                <w:highlight w:val="none"/>
              </w:rPr>
              <w:t>污染年限</w:t>
            </w:r>
          </w:p>
        </w:tc>
        <w:tc>
          <w:tcPr>
            <w:tcW w:w="632" w:type="pct"/>
            <w:tcBorders>
              <w:tl2br w:val="nil"/>
              <w:tr2bl w:val="nil"/>
            </w:tcBorders>
            <w:noWrap w:val="0"/>
            <w:tcMar>
              <w:left w:w="28" w:type="dxa"/>
              <w:right w:w="28" w:type="dxa"/>
            </w:tcMar>
            <w:vAlign w:val="center"/>
          </w:tcPr>
          <w:p w14:paraId="125960FF">
            <w:pPr>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kern w:val="0"/>
                <w:sz w:val="21"/>
                <w:szCs w:val="21"/>
                <w:highlight w:val="none"/>
              </w:rPr>
              <w:t>影响范围</w:t>
            </w:r>
            <w:r>
              <w:rPr>
                <w:rFonts w:hint="eastAsia" w:cs="Times New Roman"/>
                <w:color w:val="auto"/>
                <w:spacing w:val="-10"/>
                <w:kern w:val="0"/>
                <w:sz w:val="21"/>
                <w:szCs w:val="21"/>
                <w:highlight w:val="none"/>
                <w:lang w:eastAsia="zh-CN"/>
              </w:rPr>
              <w:t>（</w:t>
            </w:r>
            <w:r>
              <w:rPr>
                <w:rFonts w:hint="default" w:ascii="Times New Roman" w:hAnsi="Times New Roman" w:eastAsia="宋体" w:cs="Times New Roman"/>
                <w:color w:val="auto"/>
                <w:spacing w:val="-10"/>
                <w:kern w:val="0"/>
                <w:sz w:val="21"/>
                <w:szCs w:val="21"/>
                <w:highlight w:val="none"/>
              </w:rPr>
              <w:t>m</w:t>
            </w:r>
            <w:r>
              <w:rPr>
                <w:rFonts w:hint="default" w:ascii="Times New Roman" w:hAnsi="Times New Roman" w:eastAsia="宋体" w:cs="Times New Roman"/>
                <w:color w:val="auto"/>
                <w:spacing w:val="-10"/>
                <w:kern w:val="0"/>
                <w:sz w:val="21"/>
                <w:szCs w:val="21"/>
                <w:highlight w:val="none"/>
                <w:vertAlign w:val="superscript"/>
              </w:rPr>
              <w:t>2</w:t>
            </w:r>
            <w:r>
              <w:rPr>
                <w:rFonts w:hint="eastAsia" w:cs="Times New Roman"/>
                <w:color w:val="auto"/>
                <w:spacing w:val="-10"/>
                <w:kern w:val="0"/>
                <w:sz w:val="21"/>
                <w:szCs w:val="21"/>
                <w:highlight w:val="none"/>
                <w:vertAlign w:val="baseline"/>
                <w:lang w:eastAsia="zh-CN"/>
              </w:rPr>
              <w:t>）</w:t>
            </w:r>
          </w:p>
        </w:tc>
        <w:tc>
          <w:tcPr>
            <w:tcW w:w="665" w:type="pct"/>
            <w:tcBorders>
              <w:tl2br w:val="nil"/>
              <w:tr2bl w:val="nil"/>
            </w:tcBorders>
            <w:noWrap w:val="0"/>
            <w:tcMar>
              <w:left w:w="28" w:type="dxa"/>
              <w:right w:w="28" w:type="dxa"/>
            </w:tcMar>
            <w:vAlign w:val="center"/>
          </w:tcPr>
          <w:p w14:paraId="3B1339EA">
            <w:pPr>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超标范围</w:t>
            </w:r>
            <w:r>
              <w:rPr>
                <w:rFonts w:hint="default" w:ascii="Times New Roman" w:hAnsi="Times New Roman" w:eastAsia="宋体" w:cs="Times New Roman"/>
                <w:color w:val="auto"/>
                <w:spacing w:val="-10"/>
                <w:kern w:val="0"/>
                <w:sz w:val="21"/>
                <w:szCs w:val="21"/>
                <w:highlight w:val="none"/>
              </w:rPr>
              <w:t>(m</w:t>
            </w:r>
            <w:r>
              <w:rPr>
                <w:rFonts w:hint="default" w:ascii="Times New Roman" w:hAnsi="Times New Roman" w:eastAsia="宋体" w:cs="Times New Roman"/>
                <w:color w:val="auto"/>
                <w:spacing w:val="-10"/>
                <w:kern w:val="0"/>
                <w:sz w:val="21"/>
                <w:szCs w:val="21"/>
                <w:highlight w:val="none"/>
                <w:vertAlign w:val="superscript"/>
              </w:rPr>
              <w:t>2</w:t>
            </w:r>
            <w:r>
              <w:rPr>
                <w:rFonts w:hint="default" w:ascii="Times New Roman" w:hAnsi="Times New Roman" w:eastAsia="宋体" w:cs="Times New Roman"/>
                <w:color w:val="auto"/>
                <w:spacing w:val="-10"/>
                <w:kern w:val="0"/>
                <w:sz w:val="21"/>
                <w:szCs w:val="21"/>
                <w:highlight w:val="none"/>
              </w:rPr>
              <w:t>)</w:t>
            </w:r>
          </w:p>
        </w:tc>
        <w:tc>
          <w:tcPr>
            <w:tcW w:w="512" w:type="pct"/>
            <w:tcBorders>
              <w:tl2br w:val="nil"/>
              <w:tr2bl w:val="nil"/>
            </w:tcBorders>
            <w:noWrap w:val="0"/>
            <w:tcMar>
              <w:left w:w="28" w:type="dxa"/>
              <w:right w:w="28" w:type="dxa"/>
            </w:tcMar>
            <w:vAlign w:val="center"/>
          </w:tcPr>
          <w:p w14:paraId="36CED94A">
            <w:pPr>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背景浓度</w:t>
            </w:r>
          </w:p>
          <w:p w14:paraId="2193832E">
            <w:pPr>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(mg/L)</w:t>
            </w:r>
          </w:p>
        </w:tc>
        <w:tc>
          <w:tcPr>
            <w:tcW w:w="597" w:type="pct"/>
            <w:tcBorders>
              <w:tl2br w:val="nil"/>
              <w:tr2bl w:val="nil"/>
            </w:tcBorders>
            <w:noWrap w:val="0"/>
            <w:tcMar>
              <w:left w:w="28" w:type="dxa"/>
              <w:right w:w="28" w:type="dxa"/>
            </w:tcMar>
            <w:vAlign w:val="center"/>
          </w:tcPr>
          <w:p w14:paraId="4531185F">
            <w:pPr>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贡献浓度</w:t>
            </w:r>
          </w:p>
          <w:p w14:paraId="1664D14F">
            <w:pPr>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(mg/L)</w:t>
            </w:r>
          </w:p>
        </w:tc>
        <w:tc>
          <w:tcPr>
            <w:tcW w:w="556" w:type="pct"/>
            <w:tcBorders>
              <w:tl2br w:val="nil"/>
              <w:tr2bl w:val="nil"/>
            </w:tcBorders>
            <w:noWrap w:val="0"/>
            <w:tcMar>
              <w:left w:w="28" w:type="dxa"/>
              <w:right w:w="28" w:type="dxa"/>
            </w:tcMar>
            <w:vAlign w:val="center"/>
          </w:tcPr>
          <w:p w14:paraId="737B7CD7">
            <w:pPr>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叠加浓度</w:t>
            </w:r>
          </w:p>
          <w:p w14:paraId="7E6B60D0">
            <w:pPr>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(mg/L)</w:t>
            </w:r>
          </w:p>
        </w:tc>
        <w:tc>
          <w:tcPr>
            <w:tcW w:w="760" w:type="pct"/>
            <w:tcBorders>
              <w:tl2br w:val="nil"/>
              <w:tr2bl w:val="nil"/>
            </w:tcBorders>
            <w:noWrap w:val="0"/>
            <w:tcMar>
              <w:left w:w="28" w:type="dxa"/>
              <w:right w:w="28" w:type="dxa"/>
            </w:tcMar>
            <w:vAlign w:val="center"/>
          </w:tcPr>
          <w:p w14:paraId="4F5AF859">
            <w:pPr>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污染晕最大运移距离</w:t>
            </w:r>
            <w:r>
              <w:rPr>
                <w:rFonts w:hint="eastAsia" w:cs="Times New Roman"/>
                <w:color w:val="auto"/>
                <w:spacing w:val="-10"/>
                <w:sz w:val="21"/>
                <w:szCs w:val="21"/>
                <w:highlight w:val="none"/>
                <w:lang w:eastAsia="zh-CN"/>
              </w:rPr>
              <w:t>（</w:t>
            </w:r>
            <w:r>
              <w:rPr>
                <w:rFonts w:hint="default" w:ascii="Times New Roman" w:hAnsi="Times New Roman" w:eastAsia="宋体" w:cs="Times New Roman"/>
                <w:color w:val="auto"/>
                <w:spacing w:val="-10"/>
                <w:sz w:val="21"/>
                <w:szCs w:val="21"/>
                <w:highlight w:val="none"/>
              </w:rPr>
              <w:t>m</w:t>
            </w:r>
            <w:r>
              <w:rPr>
                <w:rFonts w:hint="eastAsia" w:cs="Times New Roman"/>
                <w:color w:val="auto"/>
                <w:spacing w:val="-10"/>
                <w:sz w:val="21"/>
                <w:szCs w:val="21"/>
                <w:highlight w:val="none"/>
                <w:lang w:eastAsia="zh-CN"/>
              </w:rPr>
              <w:t>）</w:t>
            </w:r>
          </w:p>
        </w:tc>
        <w:tc>
          <w:tcPr>
            <w:tcW w:w="764" w:type="pct"/>
            <w:tcBorders>
              <w:tl2br w:val="nil"/>
              <w:tr2bl w:val="nil"/>
            </w:tcBorders>
            <w:noWrap w:val="0"/>
            <w:tcMar>
              <w:left w:w="28" w:type="dxa"/>
              <w:right w:w="28" w:type="dxa"/>
            </w:tcMar>
            <w:vAlign w:val="center"/>
          </w:tcPr>
          <w:p w14:paraId="0EB4050C">
            <w:pPr>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lang w:bidi="ar"/>
              </w:rPr>
              <w:t>超标范围是否出场界</w:t>
            </w:r>
          </w:p>
        </w:tc>
      </w:tr>
      <w:tr w14:paraId="463F6D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25" w:hRule="atLeast"/>
          <w:jc w:val="center"/>
        </w:trPr>
        <w:tc>
          <w:tcPr>
            <w:tcW w:w="511" w:type="pct"/>
            <w:tcBorders>
              <w:tl2br w:val="nil"/>
              <w:tr2bl w:val="nil"/>
            </w:tcBorders>
            <w:noWrap w:val="0"/>
            <w:tcMar>
              <w:left w:w="28" w:type="dxa"/>
              <w:right w:w="28" w:type="dxa"/>
            </w:tcMar>
            <w:vAlign w:val="center"/>
          </w:tcPr>
          <w:p w14:paraId="66F04A2C">
            <w:pPr>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100d</w:t>
            </w:r>
          </w:p>
        </w:tc>
        <w:tc>
          <w:tcPr>
            <w:tcW w:w="632" w:type="pct"/>
            <w:tcBorders>
              <w:tl2br w:val="nil"/>
              <w:tr2bl w:val="nil"/>
            </w:tcBorders>
            <w:noWrap w:val="0"/>
            <w:tcMar>
              <w:left w:w="28" w:type="dxa"/>
              <w:right w:w="28" w:type="dxa"/>
            </w:tcMar>
            <w:vAlign w:val="center"/>
          </w:tcPr>
          <w:p w14:paraId="18E3A8EB">
            <w:pPr>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256</w:t>
            </w:r>
          </w:p>
        </w:tc>
        <w:tc>
          <w:tcPr>
            <w:tcW w:w="665" w:type="pct"/>
            <w:tcBorders>
              <w:tl2br w:val="nil"/>
              <w:tr2bl w:val="nil"/>
            </w:tcBorders>
            <w:noWrap w:val="0"/>
            <w:tcMar>
              <w:left w:w="28" w:type="dxa"/>
              <w:right w:w="28" w:type="dxa"/>
            </w:tcMar>
            <w:vAlign w:val="center"/>
          </w:tcPr>
          <w:p w14:paraId="570C8F75">
            <w:pPr>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100</w:t>
            </w:r>
          </w:p>
        </w:tc>
        <w:tc>
          <w:tcPr>
            <w:tcW w:w="512" w:type="pct"/>
            <w:tcBorders>
              <w:tl2br w:val="nil"/>
              <w:tr2bl w:val="nil"/>
            </w:tcBorders>
            <w:noWrap w:val="0"/>
            <w:tcMar>
              <w:left w:w="28" w:type="dxa"/>
              <w:right w:w="28" w:type="dxa"/>
            </w:tcMar>
            <w:vAlign w:val="center"/>
          </w:tcPr>
          <w:p w14:paraId="51809950">
            <w:pPr>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0.005</w:t>
            </w:r>
          </w:p>
        </w:tc>
        <w:tc>
          <w:tcPr>
            <w:tcW w:w="597" w:type="pct"/>
            <w:tcBorders>
              <w:tl2br w:val="nil"/>
              <w:tr2bl w:val="nil"/>
            </w:tcBorders>
            <w:noWrap w:val="0"/>
            <w:tcMar>
              <w:left w:w="28" w:type="dxa"/>
              <w:right w:w="28" w:type="dxa"/>
            </w:tcMar>
            <w:vAlign w:val="center"/>
          </w:tcPr>
          <w:p w14:paraId="7830E0CE">
            <w:pPr>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0.200</w:t>
            </w:r>
          </w:p>
        </w:tc>
        <w:tc>
          <w:tcPr>
            <w:tcW w:w="556" w:type="pct"/>
            <w:tcBorders>
              <w:tl2br w:val="nil"/>
              <w:tr2bl w:val="nil"/>
            </w:tcBorders>
            <w:noWrap w:val="0"/>
            <w:tcMar>
              <w:left w:w="28" w:type="dxa"/>
              <w:right w:w="28" w:type="dxa"/>
            </w:tcMar>
            <w:vAlign w:val="center"/>
          </w:tcPr>
          <w:p w14:paraId="1D18A4A0">
            <w:pPr>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0.205</w:t>
            </w:r>
          </w:p>
        </w:tc>
        <w:tc>
          <w:tcPr>
            <w:tcW w:w="760" w:type="pct"/>
            <w:tcBorders>
              <w:tl2br w:val="nil"/>
              <w:tr2bl w:val="nil"/>
            </w:tcBorders>
            <w:noWrap w:val="0"/>
            <w:tcMar>
              <w:left w:w="28" w:type="dxa"/>
              <w:right w:w="28" w:type="dxa"/>
            </w:tcMar>
            <w:vAlign w:val="center"/>
          </w:tcPr>
          <w:p w14:paraId="03B97B4F">
            <w:pPr>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15</w:t>
            </w:r>
          </w:p>
        </w:tc>
        <w:tc>
          <w:tcPr>
            <w:tcW w:w="764" w:type="pct"/>
            <w:tcBorders>
              <w:tl2br w:val="nil"/>
              <w:tr2bl w:val="nil"/>
            </w:tcBorders>
            <w:noWrap w:val="0"/>
            <w:tcMar>
              <w:left w:w="28" w:type="dxa"/>
              <w:right w:w="28" w:type="dxa"/>
            </w:tcMar>
            <w:vAlign w:val="center"/>
          </w:tcPr>
          <w:p w14:paraId="533D3249">
            <w:pPr>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lang w:bidi="ar"/>
              </w:rPr>
              <w:t>否</w:t>
            </w:r>
          </w:p>
        </w:tc>
      </w:tr>
      <w:tr w14:paraId="13BF41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25" w:hRule="atLeast"/>
          <w:jc w:val="center"/>
        </w:trPr>
        <w:tc>
          <w:tcPr>
            <w:tcW w:w="511" w:type="pct"/>
            <w:tcBorders>
              <w:tl2br w:val="nil"/>
              <w:tr2bl w:val="nil"/>
            </w:tcBorders>
            <w:noWrap w:val="0"/>
            <w:tcMar>
              <w:left w:w="28" w:type="dxa"/>
              <w:right w:w="28" w:type="dxa"/>
            </w:tcMar>
            <w:vAlign w:val="center"/>
          </w:tcPr>
          <w:p w14:paraId="669452EB">
            <w:pPr>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1000d</w:t>
            </w:r>
          </w:p>
        </w:tc>
        <w:tc>
          <w:tcPr>
            <w:tcW w:w="632" w:type="pct"/>
            <w:tcBorders>
              <w:tl2br w:val="nil"/>
              <w:tr2bl w:val="nil"/>
            </w:tcBorders>
            <w:noWrap w:val="0"/>
            <w:tcMar>
              <w:left w:w="28" w:type="dxa"/>
              <w:right w:w="28" w:type="dxa"/>
            </w:tcMar>
            <w:vAlign w:val="center"/>
          </w:tcPr>
          <w:p w14:paraId="02D90BC6">
            <w:pPr>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267</w:t>
            </w:r>
          </w:p>
        </w:tc>
        <w:tc>
          <w:tcPr>
            <w:tcW w:w="665" w:type="pct"/>
            <w:tcBorders>
              <w:tl2br w:val="nil"/>
              <w:tr2bl w:val="nil"/>
            </w:tcBorders>
            <w:noWrap w:val="0"/>
            <w:tcMar>
              <w:left w:w="28" w:type="dxa"/>
              <w:right w:w="28" w:type="dxa"/>
            </w:tcMar>
            <w:vAlign w:val="center"/>
          </w:tcPr>
          <w:p w14:paraId="3B06E271">
            <w:pPr>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w:t>
            </w:r>
          </w:p>
        </w:tc>
        <w:tc>
          <w:tcPr>
            <w:tcW w:w="512" w:type="pct"/>
            <w:tcBorders>
              <w:tl2br w:val="nil"/>
              <w:tr2bl w:val="nil"/>
            </w:tcBorders>
            <w:noWrap w:val="0"/>
            <w:tcMar>
              <w:left w:w="28" w:type="dxa"/>
              <w:right w:w="28" w:type="dxa"/>
            </w:tcMar>
            <w:vAlign w:val="center"/>
          </w:tcPr>
          <w:p w14:paraId="1AE9C6A8">
            <w:pPr>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0.005</w:t>
            </w:r>
          </w:p>
        </w:tc>
        <w:tc>
          <w:tcPr>
            <w:tcW w:w="597" w:type="pct"/>
            <w:tcBorders>
              <w:tl2br w:val="nil"/>
              <w:tr2bl w:val="nil"/>
            </w:tcBorders>
            <w:noWrap w:val="0"/>
            <w:tcMar>
              <w:left w:w="28" w:type="dxa"/>
              <w:right w:w="28" w:type="dxa"/>
            </w:tcMar>
            <w:vAlign w:val="center"/>
          </w:tcPr>
          <w:p w14:paraId="3225FB5C">
            <w:pPr>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0.021</w:t>
            </w:r>
          </w:p>
        </w:tc>
        <w:tc>
          <w:tcPr>
            <w:tcW w:w="556" w:type="pct"/>
            <w:tcBorders>
              <w:tl2br w:val="nil"/>
              <w:tr2bl w:val="nil"/>
            </w:tcBorders>
            <w:noWrap w:val="0"/>
            <w:tcMar>
              <w:left w:w="28" w:type="dxa"/>
              <w:right w:w="28" w:type="dxa"/>
            </w:tcMar>
            <w:vAlign w:val="center"/>
          </w:tcPr>
          <w:p w14:paraId="7F195AA2">
            <w:pPr>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0.026</w:t>
            </w:r>
          </w:p>
        </w:tc>
        <w:tc>
          <w:tcPr>
            <w:tcW w:w="760" w:type="pct"/>
            <w:tcBorders>
              <w:tl2br w:val="nil"/>
              <w:tr2bl w:val="nil"/>
            </w:tcBorders>
            <w:noWrap w:val="0"/>
            <w:tcMar>
              <w:left w:w="28" w:type="dxa"/>
              <w:right w:w="28" w:type="dxa"/>
            </w:tcMar>
            <w:vAlign w:val="center"/>
          </w:tcPr>
          <w:p w14:paraId="1CA8FDAE">
            <w:pPr>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27</w:t>
            </w:r>
          </w:p>
        </w:tc>
        <w:tc>
          <w:tcPr>
            <w:tcW w:w="764" w:type="pct"/>
            <w:tcBorders>
              <w:tl2br w:val="nil"/>
              <w:tr2bl w:val="nil"/>
            </w:tcBorders>
            <w:noWrap w:val="0"/>
            <w:tcMar>
              <w:left w:w="28" w:type="dxa"/>
              <w:right w:w="28" w:type="dxa"/>
            </w:tcMar>
            <w:vAlign w:val="center"/>
          </w:tcPr>
          <w:p w14:paraId="6A2D07A7">
            <w:pPr>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w:t>
            </w:r>
          </w:p>
        </w:tc>
      </w:tr>
      <w:tr w14:paraId="19909F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5" w:hRule="atLeast"/>
          <w:jc w:val="center"/>
        </w:trPr>
        <w:tc>
          <w:tcPr>
            <w:tcW w:w="511" w:type="pct"/>
            <w:tcBorders>
              <w:tl2br w:val="nil"/>
              <w:tr2bl w:val="nil"/>
            </w:tcBorders>
            <w:noWrap w:val="0"/>
            <w:tcMar>
              <w:left w:w="28" w:type="dxa"/>
              <w:right w:w="28" w:type="dxa"/>
            </w:tcMar>
            <w:vAlign w:val="center"/>
          </w:tcPr>
          <w:p w14:paraId="39D966E0">
            <w:pPr>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7300d</w:t>
            </w:r>
          </w:p>
        </w:tc>
        <w:tc>
          <w:tcPr>
            <w:tcW w:w="632" w:type="pct"/>
            <w:tcBorders>
              <w:tl2br w:val="nil"/>
              <w:tr2bl w:val="nil"/>
            </w:tcBorders>
            <w:noWrap w:val="0"/>
            <w:tcMar>
              <w:left w:w="28" w:type="dxa"/>
              <w:right w:w="28" w:type="dxa"/>
            </w:tcMar>
            <w:vAlign w:val="center"/>
          </w:tcPr>
          <w:p w14:paraId="77B121C8">
            <w:pPr>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w:t>
            </w:r>
          </w:p>
        </w:tc>
        <w:tc>
          <w:tcPr>
            <w:tcW w:w="665" w:type="pct"/>
            <w:tcBorders>
              <w:tl2br w:val="nil"/>
              <w:tr2bl w:val="nil"/>
            </w:tcBorders>
            <w:noWrap w:val="0"/>
            <w:tcMar>
              <w:left w:w="28" w:type="dxa"/>
              <w:right w:w="28" w:type="dxa"/>
            </w:tcMar>
            <w:vAlign w:val="center"/>
          </w:tcPr>
          <w:p w14:paraId="77D5987B">
            <w:pPr>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w:t>
            </w:r>
          </w:p>
        </w:tc>
        <w:tc>
          <w:tcPr>
            <w:tcW w:w="512" w:type="pct"/>
            <w:tcBorders>
              <w:tl2br w:val="nil"/>
              <w:tr2bl w:val="nil"/>
            </w:tcBorders>
            <w:noWrap w:val="0"/>
            <w:tcMar>
              <w:left w:w="28" w:type="dxa"/>
              <w:right w:w="28" w:type="dxa"/>
            </w:tcMar>
            <w:vAlign w:val="center"/>
          </w:tcPr>
          <w:p w14:paraId="06DCED23">
            <w:pPr>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0.005</w:t>
            </w:r>
          </w:p>
        </w:tc>
        <w:tc>
          <w:tcPr>
            <w:tcW w:w="597" w:type="pct"/>
            <w:tcBorders>
              <w:tl2br w:val="nil"/>
              <w:tr2bl w:val="nil"/>
            </w:tcBorders>
            <w:noWrap w:val="0"/>
            <w:tcMar>
              <w:left w:w="28" w:type="dxa"/>
              <w:right w:w="28" w:type="dxa"/>
            </w:tcMar>
            <w:vAlign w:val="center"/>
          </w:tcPr>
          <w:p w14:paraId="59095908">
            <w:pPr>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w:t>
            </w:r>
          </w:p>
        </w:tc>
        <w:tc>
          <w:tcPr>
            <w:tcW w:w="556" w:type="pct"/>
            <w:tcBorders>
              <w:tl2br w:val="nil"/>
              <w:tr2bl w:val="nil"/>
            </w:tcBorders>
            <w:noWrap w:val="0"/>
            <w:tcMar>
              <w:left w:w="28" w:type="dxa"/>
              <w:right w:w="28" w:type="dxa"/>
            </w:tcMar>
            <w:vAlign w:val="center"/>
          </w:tcPr>
          <w:p w14:paraId="788A8E8F">
            <w:pPr>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w:t>
            </w:r>
          </w:p>
        </w:tc>
        <w:tc>
          <w:tcPr>
            <w:tcW w:w="760" w:type="pct"/>
            <w:tcBorders>
              <w:tl2br w:val="nil"/>
              <w:tr2bl w:val="nil"/>
            </w:tcBorders>
            <w:noWrap w:val="0"/>
            <w:tcMar>
              <w:left w:w="28" w:type="dxa"/>
              <w:right w:w="28" w:type="dxa"/>
            </w:tcMar>
            <w:vAlign w:val="center"/>
          </w:tcPr>
          <w:p w14:paraId="485452ED">
            <w:pPr>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w:t>
            </w:r>
          </w:p>
        </w:tc>
        <w:tc>
          <w:tcPr>
            <w:tcW w:w="764" w:type="pct"/>
            <w:tcBorders>
              <w:tl2br w:val="nil"/>
              <w:tr2bl w:val="nil"/>
            </w:tcBorders>
            <w:noWrap w:val="0"/>
            <w:tcMar>
              <w:left w:w="28" w:type="dxa"/>
              <w:right w:w="28" w:type="dxa"/>
            </w:tcMar>
            <w:vAlign w:val="center"/>
          </w:tcPr>
          <w:p w14:paraId="60E2AEEB">
            <w:pPr>
              <w:spacing w:line="0" w:lineRule="atLeast"/>
              <w:jc w:val="center"/>
              <w:rPr>
                <w:rFonts w:hint="default" w:ascii="Times New Roman" w:hAnsi="Times New Roman" w:eastAsia="宋体" w:cs="Times New Roman"/>
                <w:color w:val="auto"/>
                <w:spacing w:val="-10"/>
                <w:sz w:val="21"/>
                <w:szCs w:val="21"/>
                <w:highlight w:val="none"/>
                <w:lang w:bidi="ar"/>
              </w:rPr>
            </w:pPr>
            <w:r>
              <w:rPr>
                <w:rFonts w:hint="default" w:ascii="Times New Roman" w:hAnsi="Times New Roman" w:eastAsia="宋体" w:cs="Times New Roman"/>
                <w:color w:val="auto"/>
                <w:spacing w:val="-10"/>
                <w:sz w:val="21"/>
                <w:szCs w:val="21"/>
                <w:highlight w:val="none"/>
              </w:rPr>
              <w:t>—</w:t>
            </w:r>
          </w:p>
        </w:tc>
      </w:tr>
    </w:tbl>
    <w:p w14:paraId="69DE41E2">
      <w:pPr>
        <w:ind w:firstLine="420" w:firstLineChars="200"/>
        <w:rPr>
          <w:rFonts w:hint="eastAsia" w:ascii="楷体_GB2312" w:hAnsi="宋体" w:eastAsia="楷体_GB2312" w:cs="宋体"/>
          <w:color w:val="auto"/>
          <w:sz w:val="21"/>
          <w:szCs w:val="21"/>
          <w:highlight w:val="none"/>
        </w:rPr>
      </w:pPr>
      <w:r>
        <w:rPr>
          <w:rFonts w:hint="eastAsia" w:ascii="楷体_GB2312" w:hAnsi="宋体" w:eastAsia="楷体_GB2312" w:cs="宋体"/>
          <w:color w:val="auto"/>
          <w:sz w:val="21"/>
          <w:szCs w:val="21"/>
          <w:highlight w:val="none"/>
        </w:rPr>
        <w:t>注：区域地下水监测点石油类均未检出，背景浓度按检出限一半计。</w:t>
      </w:r>
    </w:p>
    <w:p w14:paraId="4019DA31">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综合以上分析可知，在非正常状况下，由预测结果可以看出，石油类污染物泄漏100d后污染晕影响范围为256m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，超标范围为100m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，污染晕沿地下水流向，由泄漏点向东南方向最大运移距离为20m，污染晕中心最大贡献浓度为0.200mg/L，叠加背景值后的浓度为0.205mg/L</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sz w:val="24"/>
          <w:szCs w:val="24"/>
          <w:highlight w:val="none"/>
        </w:rPr>
        <w:t>石油类污染物泄漏1000d后污染晕影响范围为267m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，无超标范围，污染晕沿地下水流向，由泄漏点向东南方向最大运移距离为27m，污染晕中心最大贡献浓度为0.021mg/L，叠加背景值后的浓度为0.026mg/L</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sz w:val="24"/>
          <w:szCs w:val="24"/>
          <w:highlight w:val="none"/>
        </w:rPr>
        <w:t>石油类污染物泄漏</w:t>
      </w:r>
      <w:r>
        <w:rPr>
          <w:rFonts w:hint="default" w:ascii="Times New Roman" w:hAnsi="Times New Roman" w:eastAsia="宋体" w:cs="Times New Roman"/>
          <w:color w:val="auto"/>
          <w:kern w:val="0"/>
          <w:sz w:val="24"/>
          <w:szCs w:val="24"/>
          <w:highlight w:val="none"/>
        </w:rPr>
        <w:t>7300d后石油类污染晕影响范围消失。</w:t>
      </w:r>
    </w:p>
    <w:p w14:paraId="0F276C64">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snapToGrid w:val="0"/>
          <w:color w:val="auto"/>
          <w:sz w:val="24"/>
          <w:szCs w:val="24"/>
        </w:rPr>
        <w:t>在非正常状况下，由于</w:t>
      </w:r>
      <w:r>
        <w:rPr>
          <w:rFonts w:hint="default" w:ascii="Times New Roman" w:hAnsi="Times New Roman" w:eastAsia="宋体" w:cs="Times New Roman"/>
          <w:bCs/>
          <w:color w:val="auto"/>
          <w:sz w:val="24"/>
          <w:szCs w:val="24"/>
        </w:rPr>
        <w:t>项目区地下水循环条件差，径流、排泄基本处于停滞状态，因此，</w:t>
      </w:r>
      <w:r>
        <w:rPr>
          <w:rFonts w:hint="eastAsia" w:cs="Times New Roman"/>
          <w:bCs/>
          <w:color w:val="auto"/>
          <w:sz w:val="24"/>
          <w:szCs w:val="24"/>
          <w:lang w:eastAsia="zh-CN"/>
        </w:rPr>
        <w:t>泄漏</w:t>
      </w:r>
      <w:r>
        <w:rPr>
          <w:rFonts w:hint="default" w:ascii="Times New Roman" w:hAnsi="Times New Roman" w:eastAsia="宋体" w:cs="Times New Roman"/>
          <w:bCs/>
          <w:color w:val="auto"/>
          <w:sz w:val="24"/>
          <w:szCs w:val="24"/>
        </w:rPr>
        <w:t>对地下水环境产生的影响也非常有限，且</w:t>
      </w:r>
      <w:r>
        <w:rPr>
          <w:rFonts w:hint="default" w:ascii="Times New Roman" w:hAnsi="Times New Roman" w:eastAsia="宋体" w:cs="Times New Roman"/>
          <w:color w:val="auto"/>
          <w:sz w:val="24"/>
          <w:szCs w:val="24"/>
        </w:rPr>
        <w:t>本次预测评价未考虑土层及含水层吸附作用的影响。实际上，地表土层中含有各种离子、有机物和微生物，项目产生的污染源中污染物在通过覆盖层时，污染物在迁移过程中将发生吸附、过滤、离子交换、生物降解等作用而得到不同程度的净化。因此泄漏产生的污染可能小于上述结果。</w:t>
      </w:r>
      <w:r>
        <w:rPr>
          <w:rFonts w:hint="default" w:ascii="Times New Roman" w:hAnsi="Times New Roman" w:eastAsia="宋体" w:cs="Times New Roman"/>
          <w:bCs/>
          <w:color w:val="auto"/>
          <w:sz w:val="24"/>
          <w:szCs w:val="24"/>
        </w:rPr>
        <w:t>事故发生后，</w:t>
      </w:r>
      <w:r>
        <w:rPr>
          <w:rFonts w:hint="default" w:ascii="Times New Roman" w:hAnsi="Times New Roman" w:eastAsia="宋体" w:cs="Times New Roman"/>
          <w:snapToGrid w:val="0"/>
          <w:color w:val="auto"/>
          <w:sz w:val="24"/>
          <w:szCs w:val="24"/>
        </w:rPr>
        <w:t>建设单位应立即采取切断措施并及时组织专门力量进行污染物的清除工作，在最短的时间内清除地面及地下的石油类物质，因而，石油类污染物进入地下潜水的可能性较小。只要建设单位和施工单位严格按照拟定的环保措施进行，非正常状况下，对地下水的影响属可接受范围。</w:t>
      </w:r>
    </w:p>
    <w:p w14:paraId="3130051A">
      <w:pPr>
        <w:pStyle w:val="54"/>
        <w:bidi w:val="0"/>
        <w:rPr>
          <w:rFonts w:hint="default"/>
          <w:color w:val="auto"/>
          <w:lang w:val="en-US" w:eastAsia="zh-CN"/>
        </w:rPr>
      </w:pPr>
      <w:r>
        <w:rPr>
          <w:rFonts w:hint="eastAsia"/>
          <w:color w:val="auto"/>
          <w:lang w:val="en-US" w:eastAsia="zh-CN"/>
        </w:rPr>
        <w:t>5.2.4退役期地下水环境影响分析</w:t>
      </w:r>
    </w:p>
    <w:p w14:paraId="7C60BA07">
      <w:pPr>
        <w:pStyle w:val="79"/>
        <w:bidi w:val="0"/>
        <w:rPr>
          <w:rFonts w:hint="default"/>
          <w:color w:val="auto"/>
        </w:rPr>
      </w:pPr>
      <w:r>
        <w:rPr>
          <w:rFonts w:hint="default"/>
          <w:color w:val="auto"/>
        </w:rPr>
        <w:t>对废弃井应封堵内井眼，拆除井口装置，截去地下1m内管头，清理场地，清除填埋各种固体废物，恢复原有地貌。保证对废弃井采取的固井、封井措施有效可行，防止其发生油水层窜层，产生二次污染。</w:t>
      </w:r>
    </w:p>
    <w:p w14:paraId="418E80DF">
      <w:pPr>
        <w:pStyle w:val="54"/>
        <w:bidi w:val="0"/>
        <w:rPr>
          <w:rFonts w:hint="default"/>
          <w:color w:val="auto"/>
        </w:rPr>
      </w:pPr>
      <w:r>
        <w:rPr>
          <w:rFonts w:hint="default"/>
          <w:color w:val="auto"/>
        </w:rPr>
        <w:t>5.</w:t>
      </w:r>
      <w:r>
        <w:rPr>
          <w:rFonts w:hint="eastAsia"/>
          <w:color w:val="auto"/>
          <w:lang w:val="en-US" w:eastAsia="zh-CN"/>
        </w:rPr>
        <w:t>2.5</w:t>
      </w:r>
      <w:r>
        <w:rPr>
          <w:rFonts w:hint="default"/>
          <w:color w:val="auto"/>
        </w:rPr>
        <w:t>地下水环境评价结论</w:t>
      </w:r>
    </w:p>
    <w:p w14:paraId="3DB718BA">
      <w:pPr>
        <w:pStyle w:val="79"/>
        <w:bidi w:val="0"/>
        <w:rPr>
          <w:rFonts w:hint="eastAsia"/>
          <w:color w:val="auto"/>
        </w:rPr>
      </w:pPr>
      <w:r>
        <w:rPr>
          <w:rFonts w:hint="eastAsia"/>
          <w:color w:val="auto"/>
          <w:lang w:val="zh-CN"/>
        </w:rPr>
        <w:t>正常状况下，污染源从源头上可以得到控制，</w:t>
      </w:r>
      <w:r>
        <w:rPr>
          <w:rFonts w:hint="eastAsia"/>
          <w:color w:val="auto"/>
        </w:rPr>
        <w:t>采取了防渗措施</w:t>
      </w:r>
      <w:r>
        <w:rPr>
          <w:rFonts w:hint="eastAsia"/>
          <w:color w:val="auto"/>
          <w:lang w:val="zh-CN"/>
        </w:rPr>
        <w:t>；非正常状况下，根据环境影响预测结果，在假定情景预测期限内，污染物的泄漏将会对泄漏点附近的地下水环境产生一定影响。但</w:t>
      </w:r>
      <w:r>
        <w:rPr>
          <w:rFonts w:hint="eastAsia"/>
          <w:color w:val="auto"/>
        </w:rPr>
        <w:t>由于项目区地下水循环条件差，其影响范围不大，对地下水环境产生的影响也非常有限。本项目需采取地下水污染防治措施按照“源头控制、分区防渗、跟踪监测、应急响应”相结合的原则，并定期开展地下水跟踪监测，在严格按照地下水污染防护措施后，本项目对区域地下水环境影响可接受。</w:t>
      </w:r>
    </w:p>
    <w:bookmarkEnd w:id="628"/>
    <w:bookmarkEnd w:id="629"/>
    <w:bookmarkEnd w:id="630"/>
    <w:bookmarkEnd w:id="631"/>
    <w:p w14:paraId="71714A77">
      <w:pPr>
        <w:pStyle w:val="75"/>
        <w:bidi w:val="0"/>
        <w:rPr>
          <w:rFonts w:hint="eastAsia"/>
          <w:color w:val="auto"/>
          <w:lang w:val="en-US" w:eastAsia="zh-CN"/>
        </w:rPr>
      </w:pPr>
      <w:bookmarkStart w:id="636" w:name="_Toc10364"/>
      <w:r>
        <w:rPr>
          <w:color w:val="auto"/>
          <w:lang w:val="en-US" w:eastAsia="zh-CN"/>
        </w:rPr>
        <w:t>5.</w:t>
      </w:r>
      <w:r>
        <w:rPr>
          <w:rFonts w:hint="eastAsia"/>
          <w:color w:val="auto"/>
          <w:lang w:val="en-US" w:eastAsia="zh-CN"/>
        </w:rPr>
        <w:t xml:space="preserve">3 </w:t>
      </w:r>
      <w:r>
        <w:rPr>
          <w:color w:val="auto"/>
          <w:lang w:val="en-US" w:eastAsia="zh-CN"/>
        </w:rPr>
        <w:t>土壤环境影响分析</w:t>
      </w:r>
      <w:bookmarkEnd w:id="636"/>
    </w:p>
    <w:p w14:paraId="03B613BD">
      <w:pPr>
        <w:pStyle w:val="54"/>
        <w:bidi w:val="0"/>
        <w:rPr>
          <w:rFonts w:hint="eastAsia"/>
          <w:color w:val="auto"/>
          <w:lang w:val="en-US" w:eastAsia="zh-CN"/>
        </w:rPr>
      </w:pPr>
      <w:r>
        <w:rPr>
          <w:rFonts w:hint="default"/>
          <w:color w:val="auto"/>
          <w:lang w:val="en-US" w:eastAsia="zh-CN"/>
        </w:rPr>
        <w:t>5.</w:t>
      </w:r>
      <w:r>
        <w:rPr>
          <w:rFonts w:hint="eastAsia"/>
          <w:color w:val="auto"/>
          <w:lang w:val="en-US" w:eastAsia="zh-CN"/>
        </w:rPr>
        <w:t>3</w:t>
      </w:r>
      <w:r>
        <w:rPr>
          <w:rFonts w:hint="default"/>
          <w:color w:val="auto"/>
          <w:lang w:val="en-US" w:eastAsia="zh-CN"/>
        </w:rPr>
        <w:t>.1</w:t>
      </w:r>
      <w:r>
        <w:rPr>
          <w:rFonts w:hint="eastAsia"/>
          <w:color w:val="auto"/>
          <w:lang w:val="en-US" w:eastAsia="zh-CN"/>
        </w:rPr>
        <w:t xml:space="preserve"> </w:t>
      </w:r>
      <w:r>
        <w:rPr>
          <w:rFonts w:hint="default"/>
          <w:color w:val="auto"/>
          <w:lang w:val="en-US" w:eastAsia="zh-CN"/>
        </w:rPr>
        <w:t>施工期土壤环境影响分析</w:t>
      </w:r>
    </w:p>
    <w:p w14:paraId="5EF53841">
      <w:pPr>
        <w:pStyle w:val="79"/>
        <w:bidi w:val="0"/>
        <w:rPr>
          <w:color w:val="auto"/>
        </w:rPr>
      </w:pPr>
      <w:r>
        <w:rPr>
          <w:color w:val="auto"/>
        </w:rPr>
        <w:t>施工期对土壤质量的影响主要为</w:t>
      </w:r>
      <w:r>
        <w:rPr>
          <w:rFonts w:hint="eastAsia"/>
          <w:color w:val="auto"/>
          <w:lang w:eastAsia="zh-CN"/>
        </w:rPr>
        <w:t>：</w:t>
      </w:r>
      <w:r>
        <w:rPr>
          <w:color w:val="auto"/>
        </w:rPr>
        <w:t>人为扰动、车辆行驶和机械施工、各种废弃物污染影响。</w:t>
      </w:r>
    </w:p>
    <w:p w14:paraId="730E5855">
      <w:pPr>
        <w:pStyle w:val="79"/>
        <w:bidi w:val="0"/>
        <w:rPr>
          <w:color w:val="auto"/>
        </w:rPr>
      </w:pPr>
      <w:r>
        <w:rPr>
          <w:color w:val="auto"/>
        </w:rPr>
        <w:t>（1）</w:t>
      </w:r>
      <w:r>
        <w:rPr>
          <w:rFonts w:hint="eastAsia"/>
          <w:color w:val="auto"/>
        </w:rPr>
        <w:t>人为扰动对土壤的影响</w:t>
      </w:r>
    </w:p>
    <w:p w14:paraId="792DED70">
      <w:pPr>
        <w:pStyle w:val="79"/>
        <w:bidi w:val="0"/>
        <w:rPr>
          <w:color w:val="auto"/>
        </w:rPr>
      </w:pPr>
      <w:r>
        <w:rPr>
          <w:rFonts w:hint="eastAsia"/>
          <w:color w:val="auto"/>
          <w:lang w:val="en-US" w:eastAsia="zh-CN"/>
        </w:rPr>
        <w:t>油田</w:t>
      </w:r>
      <w:r>
        <w:rPr>
          <w:rFonts w:hint="eastAsia"/>
          <w:color w:val="auto"/>
        </w:rPr>
        <w:t>开发过程中，不可避免地要对土壤进行人为扰动，主要是</w:t>
      </w:r>
      <w:r>
        <w:rPr>
          <w:rFonts w:hint="eastAsia"/>
          <w:color w:val="auto"/>
          <w:lang w:val="en-US" w:eastAsia="zh-CN"/>
        </w:rPr>
        <w:t>场站</w:t>
      </w:r>
      <w:r>
        <w:rPr>
          <w:rFonts w:hint="eastAsia"/>
          <w:color w:val="auto"/>
        </w:rPr>
        <w:t>建设、管道敷设建设过程中，车辆行驶、机械施工碾压和踩踏破坏土壤结构。</w:t>
      </w:r>
    </w:p>
    <w:p w14:paraId="17F95FC7">
      <w:pPr>
        <w:pStyle w:val="79"/>
        <w:bidi w:val="0"/>
        <w:rPr>
          <w:color w:val="auto"/>
        </w:rPr>
      </w:pPr>
      <w:r>
        <w:rPr>
          <w:rFonts w:hint="eastAsia"/>
          <w:color w:val="auto"/>
        </w:rPr>
        <w:t>在施工中，车辆行驶和机械作业时机械设备的碾压、施工人员的踩踏等都会对土壤的紧实度产生影响。机械碾压的结果使土壤紧实度增高，地表水入渗减少，土壤团粒结构遭到破坏，土壤养分流失，不利于植物生长。各种车辆（尤其是重型卡车）在地表上行驶将使经过的土壤变紧实，严重的经过多次碾压后植物很难再生长，甚至退化。</w:t>
      </w:r>
      <w:r>
        <w:rPr>
          <w:rFonts w:hint="eastAsia"/>
          <w:color w:val="auto"/>
          <w:lang w:eastAsia="zh-CN"/>
        </w:rPr>
        <w:t>本工程</w:t>
      </w:r>
      <w:r>
        <w:rPr>
          <w:rFonts w:hint="eastAsia"/>
          <w:color w:val="auto"/>
        </w:rPr>
        <w:t>评价区域内</w:t>
      </w:r>
      <w:r>
        <w:rPr>
          <w:color w:val="auto"/>
        </w:rPr>
        <w:t>土壤类型主要是</w:t>
      </w:r>
      <w:r>
        <w:rPr>
          <w:rFonts w:hint="eastAsia"/>
          <w:color w:val="auto"/>
          <w:lang w:val="en-US" w:eastAsia="zh-CN"/>
        </w:rPr>
        <w:t>棕漠土</w:t>
      </w:r>
      <w:r>
        <w:rPr>
          <w:rFonts w:hint="eastAsia"/>
          <w:color w:val="auto"/>
        </w:rPr>
        <w:t>，</w:t>
      </w:r>
      <w:r>
        <w:rPr>
          <w:rFonts w:hint="eastAsia"/>
          <w:color w:val="auto"/>
          <w:lang w:val="en-US" w:eastAsia="zh-CN"/>
        </w:rPr>
        <w:t>植被覆盖度较低</w:t>
      </w:r>
      <w:r>
        <w:rPr>
          <w:rFonts w:hint="eastAsia"/>
          <w:color w:val="auto"/>
        </w:rPr>
        <w:t>，油气开发</w:t>
      </w:r>
      <w:r>
        <w:rPr>
          <w:color w:val="auto"/>
        </w:rPr>
        <w:t>工程占地</w:t>
      </w:r>
      <w:r>
        <w:rPr>
          <w:rFonts w:hint="eastAsia"/>
          <w:color w:val="auto"/>
        </w:rPr>
        <w:t>开辟了土地利用的途径，场</w:t>
      </w:r>
      <w:r>
        <w:rPr>
          <w:rFonts w:hint="eastAsia"/>
          <w:color w:val="auto"/>
          <w:lang w:val="en-US" w:eastAsia="zh-CN"/>
        </w:rPr>
        <w:t>站</w:t>
      </w:r>
      <w:r>
        <w:rPr>
          <w:rFonts w:hint="eastAsia"/>
          <w:color w:val="auto"/>
        </w:rPr>
        <w:t>和管道的施工等产生的这种影响非常轻微。</w:t>
      </w:r>
    </w:p>
    <w:p w14:paraId="3488B70B">
      <w:pPr>
        <w:pStyle w:val="79"/>
        <w:bidi w:val="0"/>
        <w:rPr>
          <w:rFonts w:hint="eastAsia"/>
          <w:color w:val="auto"/>
          <w:lang w:val="en-US" w:eastAsia="zh-CN"/>
        </w:rPr>
      </w:pPr>
      <w:r>
        <w:rPr>
          <w:rFonts w:hint="eastAsia"/>
          <w:color w:val="auto"/>
          <w:lang w:val="en-US" w:eastAsia="zh-CN"/>
        </w:rPr>
        <w:t>（2）场站</w:t>
      </w:r>
      <w:r>
        <w:rPr>
          <w:rFonts w:hint="default"/>
          <w:color w:val="auto"/>
          <w:lang w:val="en-US" w:eastAsia="zh-CN"/>
        </w:rPr>
        <w:t>建</w:t>
      </w:r>
      <w:r>
        <w:rPr>
          <w:rFonts w:hint="eastAsia"/>
          <w:color w:val="auto"/>
          <w:lang w:val="en-US" w:eastAsia="zh-CN"/>
        </w:rPr>
        <w:t>设</w:t>
      </w:r>
    </w:p>
    <w:p w14:paraId="0BDDAE34">
      <w:pPr>
        <w:pStyle w:val="79"/>
        <w:bidi w:val="0"/>
        <w:rPr>
          <w:rFonts w:hint="eastAsia"/>
          <w:color w:val="auto"/>
          <w:lang w:val="en-US" w:eastAsia="zh-CN"/>
        </w:rPr>
      </w:pPr>
      <w:r>
        <w:rPr>
          <w:rFonts w:hint="eastAsia"/>
          <w:color w:val="auto"/>
          <w:lang w:val="en-US" w:eastAsia="zh-CN"/>
        </w:rPr>
        <w:t>本工程开发建设期施工占地，将对地表土壤产生破坏性影响，如站场等占地，以及堆积、挖掘、碾压、践踏等均改变原有的土壤结构。油田施工期间，占地都将改变原有土壤的理化性质和土壤结构，使原有土壤结构和性状难以恢复。但是施工期对土壤的影响程度轻，影响特征是部分可逆，影响时间为短期。</w:t>
      </w:r>
    </w:p>
    <w:p w14:paraId="1F0F55CA">
      <w:pPr>
        <w:pStyle w:val="79"/>
        <w:bidi w:val="0"/>
        <w:rPr>
          <w:rFonts w:hint="eastAsia"/>
          <w:color w:val="auto"/>
          <w:lang w:val="en-US" w:eastAsia="zh-CN"/>
        </w:rPr>
      </w:pPr>
      <w:r>
        <w:rPr>
          <w:rFonts w:hint="eastAsia"/>
          <w:color w:val="auto"/>
          <w:lang w:val="en-US" w:eastAsia="zh-CN"/>
        </w:rPr>
        <w:t>（3）管线施工对土壤环境的影响</w:t>
      </w:r>
    </w:p>
    <w:p w14:paraId="024DFD73">
      <w:pPr>
        <w:pStyle w:val="79"/>
        <w:bidi w:val="0"/>
        <w:rPr>
          <w:rFonts w:hint="eastAsia"/>
          <w:color w:val="auto"/>
          <w:lang w:val="en-US" w:eastAsia="zh-CN"/>
        </w:rPr>
      </w:pPr>
      <w:r>
        <w:rPr>
          <w:rFonts w:hint="eastAsia"/>
          <w:color w:val="auto"/>
          <w:lang w:val="en-US" w:eastAsia="zh-CN"/>
        </w:rPr>
        <w:t>本工程管线施工作业带宽10m内的土壤均会受到严重扰动和破坏。在施工作业带以外的直接影响区域表现为施工活动中施工机械、车辆碾压、施工人员践踏等对土壤的扰动，改变土壤的紧密度和坚实度，可能造成土壤板结。由于植被被毁，土壤表面压实，土壤板结，通透性差，使土壤水量降低，同时加剧了土壤的蒸发作用，导致盐碱化加重。</w:t>
      </w:r>
    </w:p>
    <w:p w14:paraId="3CD1A7BA">
      <w:pPr>
        <w:pStyle w:val="79"/>
        <w:bidi w:val="0"/>
        <w:rPr>
          <w:color w:val="auto"/>
        </w:rPr>
      </w:pPr>
      <w:r>
        <w:rPr>
          <w:rFonts w:hint="eastAsia"/>
          <w:color w:val="auto"/>
        </w:rPr>
        <w:t>（</w:t>
      </w:r>
      <w:r>
        <w:rPr>
          <w:rFonts w:hint="eastAsia"/>
          <w:color w:val="auto"/>
          <w:lang w:val="en-US" w:eastAsia="zh-CN"/>
        </w:rPr>
        <w:t>4</w:t>
      </w:r>
      <w:r>
        <w:rPr>
          <w:rFonts w:hint="eastAsia"/>
          <w:color w:val="auto"/>
        </w:rPr>
        <w:t>）水土流失及沙化影响分析</w:t>
      </w:r>
    </w:p>
    <w:p w14:paraId="57CA82D9">
      <w:pPr>
        <w:pStyle w:val="79"/>
        <w:bidi w:val="0"/>
        <w:rPr>
          <w:color w:val="auto"/>
        </w:rPr>
      </w:pPr>
      <w:r>
        <w:rPr>
          <w:rFonts w:hint="eastAsia"/>
          <w:color w:val="auto"/>
          <w:lang w:val="en-US" w:eastAsia="zh-CN"/>
        </w:rPr>
        <w:t>油田</w:t>
      </w:r>
      <w:r>
        <w:rPr>
          <w:rFonts w:hint="eastAsia"/>
          <w:color w:val="auto"/>
        </w:rPr>
        <w:t>工程建设对当地水土流失影响的方式包括扰动、损坏、开挖及破坏原地貌、地表土壤结构及植被。工程施工及占地呈线状分布，所造成的水土流失因管线所经过的区域不同而不同。施工期间，开挖管沟、土方排放、机械作业人员活动等都会加剧水土流失。</w:t>
      </w:r>
    </w:p>
    <w:p w14:paraId="67D4CDA3">
      <w:pPr>
        <w:pStyle w:val="79"/>
        <w:bidi w:val="0"/>
        <w:rPr>
          <w:color w:val="auto"/>
        </w:rPr>
      </w:pPr>
      <w:r>
        <w:rPr>
          <w:rFonts w:hint="eastAsia"/>
          <w:color w:val="auto"/>
        </w:rPr>
        <w:t>施工车辆对地表的大面积碾压，使所经过地段的植被和地表结构遭到不同程度的破坏，使风蚀荒漠化的过程加剧，从而造成水土流失，严重时会导致沙化，这种影响在短时间内不会完全恢复；在地面构筑物建设中，最直接而且易引起水土流失的是施工过程中使影响范围内的地表保护层变得松散，增加风蚀量。</w:t>
      </w:r>
      <w:r>
        <w:rPr>
          <w:rFonts w:hint="eastAsia"/>
          <w:color w:val="auto"/>
          <w:lang w:eastAsia="zh-CN"/>
        </w:rPr>
        <w:t>本工程</w:t>
      </w:r>
      <w:r>
        <w:rPr>
          <w:rFonts w:hint="eastAsia"/>
          <w:color w:val="auto"/>
        </w:rPr>
        <w:t>地面建设的内容主要包括</w:t>
      </w:r>
      <w:r>
        <w:rPr>
          <w:rFonts w:hint="eastAsia"/>
          <w:color w:val="auto"/>
          <w:lang w:val="en-US" w:eastAsia="zh-CN"/>
        </w:rPr>
        <w:t>井场建设、试采点的建设</w:t>
      </w:r>
      <w:r>
        <w:rPr>
          <w:rFonts w:hint="eastAsia"/>
          <w:color w:val="auto"/>
        </w:rPr>
        <w:t>、管线的敷设等，但场站硬化措施可有效防止风蚀造成水土流失，从而避免土地沙化。临时占地范围内的土壤地表表层遭到破坏，下层的粉细物质暴露在地层表面，在风力的作用下，风蚀量会明显加大，这种影响在短时间内不会完全恢复。但随着时间的推移，风蚀量会随着地表新保护层的逐渐形成而减弱。各种管道的敷设均采用明沟开挖方式，管沟开挖土方在管道一侧临时堆放。施工期内，管沟边堆起一道临时土垄，在大风状态下易发生风力侵蚀，即使在堆土回填后风蚀量会有所减少，但地表仍为疏松地带，需要一个较长的恢复阶段。</w:t>
      </w:r>
    </w:p>
    <w:p w14:paraId="1502934C">
      <w:pPr>
        <w:pStyle w:val="79"/>
        <w:bidi w:val="0"/>
        <w:rPr>
          <w:rFonts w:hint="eastAsia"/>
          <w:color w:val="auto"/>
          <w:lang w:val="en-US" w:eastAsia="zh-CN"/>
        </w:rPr>
      </w:pPr>
      <w:r>
        <w:rPr>
          <w:rFonts w:hint="eastAsia"/>
          <w:color w:val="auto"/>
          <w:lang w:val="en-US" w:eastAsia="zh-CN"/>
        </w:rPr>
        <w:t>综上所述，施工期对项目区土壤环境影响不大。</w:t>
      </w:r>
    </w:p>
    <w:p w14:paraId="631FC71C">
      <w:pPr>
        <w:pStyle w:val="54"/>
        <w:bidi w:val="0"/>
        <w:rPr>
          <w:rFonts w:hint="eastAsia"/>
          <w:color w:val="auto"/>
          <w:lang w:val="en-US" w:eastAsia="zh-CN"/>
        </w:rPr>
      </w:pPr>
      <w:r>
        <w:rPr>
          <w:color w:val="auto"/>
          <w:lang w:val="en-US" w:eastAsia="zh-CN"/>
        </w:rPr>
        <w:t>5.</w:t>
      </w:r>
      <w:r>
        <w:rPr>
          <w:rFonts w:hint="eastAsia"/>
          <w:color w:val="auto"/>
          <w:lang w:val="en-US" w:eastAsia="zh-CN"/>
        </w:rPr>
        <w:t>3</w:t>
      </w:r>
      <w:r>
        <w:rPr>
          <w:color w:val="auto"/>
          <w:lang w:val="en-US" w:eastAsia="zh-CN"/>
        </w:rPr>
        <w:t>.2</w:t>
      </w:r>
      <w:r>
        <w:rPr>
          <w:rFonts w:hint="eastAsia"/>
          <w:color w:val="auto"/>
          <w:lang w:val="en-US" w:eastAsia="zh-CN"/>
        </w:rPr>
        <w:t xml:space="preserve"> </w:t>
      </w:r>
      <w:r>
        <w:rPr>
          <w:color w:val="auto"/>
          <w:lang w:val="en-US" w:eastAsia="zh-CN"/>
        </w:rPr>
        <w:t>运营期土壤环境影响分析</w:t>
      </w:r>
    </w:p>
    <w:p w14:paraId="362EF100">
      <w:pPr>
        <w:pStyle w:val="55"/>
        <w:bidi w:val="0"/>
        <w:rPr>
          <w:rFonts w:hint="eastAsia"/>
          <w:color w:val="auto"/>
          <w:lang w:val="en-US" w:eastAsia="zh-CN"/>
        </w:rPr>
      </w:pPr>
      <w:r>
        <w:rPr>
          <w:rFonts w:hint="eastAsia"/>
          <w:color w:val="auto"/>
          <w:lang w:val="en-US" w:eastAsia="zh-CN"/>
        </w:rPr>
        <w:t>5.3.2.1 土壤污染途径</w:t>
      </w:r>
    </w:p>
    <w:p w14:paraId="0FF33CE9">
      <w:pPr>
        <w:pStyle w:val="79"/>
        <w:bidi w:val="0"/>
        <w:rPr>
          <w:color w:val="auto"/>
        </w:rPr>
      </w:pPr>
      <w:r>
        <w:rPr>
          <w:rFonts w:hint="eastAsia"/>
          <w:color w:val="auto"/>
          <w:lang w:eastAsia="zh-CN"/>
        </w:rPr>
        <w:t>本工程</w:t>
      </w:r>
      <w:r>
        <w:rPr>
          <w:color w:val="auto"/>
        </w:rPr>
        <w:t>为</w:t>
      </w:r>
      <w:r>
        <w:rPr>
          <w:rFonts w:hint="eastAsia"/>
          <w:color w:val="auto"/>
          <w:lang w:val="en-US" w:eastAsia="zh-CN"/>
        </w:rPr>
        <w:t>油气</w:t>
      </w:r>
      <w:r>
        <w:rPr>
          <w:color w:val="auto"/>
        </w:rPr>
        <w:t>开采项目，</w:t>
      </w:r>
      <w:r>
        <w:rPr>
          <w:rFonts w:hint="eastAsia"/>
          <w:color w:val="auto"/>
          <w:lang w:val="en-US" w:eastAsia="zh-CN"/>
        </w:rPr>
        <w:t>运营期主要以</w:t>
      </w:r>
      <w:r>
        <w:rPr>
          <w:color w:val="auto"/>
        </w:rPr>
        <w:t>污染影响为</w:t>
      </w:r>
      <w:r>
        <w:rPr>
          <w:rFonts w:hint="eastAsia"/>
          <w:color w:val="auto"/>
          <w:lang w:val="en-US" w:eastAsia="zh-CN"/>
        </w:rPr>
        <w:t>主</w:t>
      </w:r>
      <w:r>
        <w:rPr>
          <w:color w:val="auto"/>
        </w:rPr>
        <w:t>。运营期</w:t>
      </w:r>
      <w:r>
        <w:rPr>
          <w:rFonts w:hint="eastAsia"/>
          <w:color w:val="auto"/>
          <w:lang w:eastAsia="zh-CN"/>
        </w:rPr>
        <w:t>本工程</w:t>
      </w:r>
      <w:r>
        <w:rPr>
          <w:rFonts w:hint="eastAsia"/>
          <w:color w:val="auto"/>
          <w:lang w:val="en-US" w:eastAsia="zh-CN"/>
        </w:rPr>
        <w:t>天然气管线外输、原油罐车拉运，</w:t>
      </w:r>
      <w:r>
        <w:rPr>
          <w:color w:val="auto"/>
        </w:rPr>
        <w:t>正常情况下不会对土壤环境造成污染。非正常情况下</w:t>
      </w:r>
      <w:r>
        <w:rPr>
          <w:rFonts w:hint="eastAsia"/>
          <w:color w:val="auto"/>
          <w:lang w:val="en-US" w:eastAsia="zh-CN"/>
        </w:rPr>
        <w:t>原油、</w:t>
      </w:r>
      <w:r>
        <w:rPr>
          <w:color w:val="auto"/>
        </w:rPr>
        <w:t>含油污水泄漏可能会对土壤环境造成污染。结合项目特点，本节主要分析非正常状况下泄漏对土壤环境的污染影响，以及对土壤理化性质的影响和</w:t>
      </w:r>
      <w:r>
        <w:rPr>
          <w:rFonts w:hint="eastAsia"/>
          <w:color w:val="auto"/>
          <w:lang w:eastAsia="zh-CN"/>
        </w:rPr>
        <w:t>累积</w:t>
      </w:r>
      <w:r>
        <w:rPr>
          <w:color w:val="auto"/>
        </w:rPr>
        <w:t>影响。</w:t>
      </w:r>
    </w:p>
    <w:p w14:paraId="5F7C29DF">
      <w:pPr>
        <w:pStyle w:val="79"/>
        <w:bidi w:val="0"/>
        <w:rPr>
          <w:color w:val="auto"/>
        </w:rPr>
      </w:pPr>
      <w:r>
        <w:rPr>
          <w:rFonts w:hint="eastAsia"/>
          <w:color w:val="auto"/>
          <w:lang w:val="en-US" w:eastAsia="zh-CN"/>
        </w:rPr>
        <w:t>油田</w:t>
      </w:r>
      <w:r>
        <w:rPr>
          <w:color w:val="auto"/>
        </w:rPr>
        <w:t>土壤环境污染的分布为：污染物主要集中在场站永久占地内，各种污染物尤其是石油烃污染物主要集中在土壤表层，迁移深度较浅。</w:t>
      </w:r>
    </w:p>
    <w:p w14:paraId="25DB7412">
      <w:pPr>
        <w:pStyle w:val="79"/>
        <w:bidi w:val="0"/>
        <w:rPr>
          <w:color w:val="auto"/>
        </w:rPr>
      </w:pPr>
      <w:r>
        <w:rPr>
          <w:color w:val="auto"/>
        </w:rPr>
        <w:t>事故时排放的</w:t>
      </w:r>
      <w:r>
        <w:rPr>
          <w:rFonts w:hint="eastAsia"/>
          <w:color w:val="auto"/>
          <w:lang w:val="en-US" w:eastAsia="zh-CN"/>
        </w:rPr>
        <w:t>原油、</w:t>
      </w:r>
      <w:r>
        <w:rPr>
          <w:color w:val="auto"/>
        </w:rPr>
        <w:t>含油污水量大且集中，其危害主要表现为降低土壤透气、透水性，改变土壤微生物种群结构，消耗土壤氮素，使植物生长受阻，体内残留量增加，恶化土壤-植物及土壤-食物链系统的环境质量。因此，</w:t>
      </w:r>
      <w:r>
        <w:rPr>
          <w:rFonts w:hint="eastAsia"/>
          <w:color w:val="auto"/>
          <w:lang w:val="en-US" w:eastAsia="zh-CN"/>
        </w:rPr>
        <w:t>油田</w:t>
      </w:r>
      <w:r>
        <w:rPr>
          <w:color w:val="auto"/>
        </w:rPr>
        <w:t>生产中一定要严防采出</w:t>
      </w:r>
      <w:r>
        <w:rPr>
          <w:rFonts w:hint="eastAsia"/>
          <w:color w:val="auto"/>
        </w:rPr>
        <w:t>液</w:t>
      </w:r>
      <w:r>
        <w:rPr>
          <w:color w:val="auto"/>
        </w:rPr>
        <w:t>泄漏事故的发生，一旦发生事故，应立即采取事故应急措施，及时对</w:t>
      </w:r>
      <w:r>
        <w:rPr>
          <w:rFonts w:hint="eastAsia"/>
          <w:color w:val="auto"/>
          <w:lang w:val="en-US" w:eastAsia="zh-CN"/>
        </w:rPr>
        <w:t>原油、</w:t>
      </w:r>
      <w:r>
        <w:rPr>
          <w:color w:val="auto"/>
        </w:rPr>
        <w:t>含油污水进行回收，最大限度地恢复地表原貌，为利用土壤的自净作用创造条件，在尽可能短的时间使土壤环境得到恢复。</w:t>
      </w:r>
    </w:p>
    <w:p w14:paraId="61C20FA3">
      <w:pPr>
        <w:pStyle w:val="55"/>
        <w:bidi w:val="0"/>
        <w:rPr>
          <w:rFonts w:hint="eastAsia"/>
          <w:color w:val="auto"/>
          <w:lang w:val="en-US" w:eastAsia="zh-CN"/>
        </w:rPr>
      </w:pPr>
      <w:r>
        <w:rPr>
          <w:rFonts w:hint="eastAsia"/>
          <w:color w:val="auto"/>
          <w:lang w:val="en-US" w:eastAsia="zh-CN"/>
        </w:rPr>
        <w:t>5.3.2.2 正常状况下对土壤环境的影响分析</w:t>
      </w:r>
    </w:p>
    <w:p w14:paraId="7552C251">
      <w:pPr>
        <w:pStyle w:val="79"/>
        <w:bidi w:val="0"/>
        <w:rPr>
          <w:color w:val="auto"/>
          <w:lang w:val="en-US" w:eastAsia="zh-CN"/>
        </w:rPr>
      </w:pPr>
      <w:r>
        <w:rPr>
          <w:rFonts w:hint="eastAsia"/>
          <w:color w:val="auto"/>
          <w:lang w:val="en-US" w:eastAsia="zh-CN"/>
        </w:rPr>
        <w:t>本工程</w:t>
      </w:r>
      <w:r>
        <w:rPr>
          <w:color w:val="auto"/>
          <w:lang w:val="en-US" w:eastAsia="zh-CN"/>
        </w:rPr>
        <w:t>污染土壤的途径主要为采出液输送</w:t>
      </w:r>
      <w:r>
        <w:rPr>
          <w:rFonts w:hint="eastAsia"/>
          <w:color w:val="auto"/>
          <w:lang w:val="en-US" w:eastAsia="zh-CN"/>
        </w:rPr>
        <w:t>、拉运</w:t>
      </w:r>
      <w:r>
        <w:rPr>
          <w:color w:val="auto"/>
          <w:lang w:val="en-US" w:eastAsia="zh-CN"/>
        </w:rPr>
        <w:t>及处理过程中发生跑冒滴漏，渗入土壤对土壤产生影响。</w:t>
      </w:r>
    </w:p>
    <w:p w14:paraId="75640AE0">
      <w:pPr>
        <w:pStyle w:val="79"/>
        <w:bidi w:val="0"/>
        <w:rPr>
          <w:color w:val="auto"/>
          <w:lang w:val="en-US" w:eastAsia="zh-CN"/>
        </w:rPr>
      </w:pPr>
      <w:r>
        <w:rPr>
          <w:rFonts w:hint="eastAsia"/>
          <w:color w:val="auto"/>
          <w:lang w:val="en-US" w:eastAsia="zh-CN"/>
        </w:rPr>
        <w:t>运营期正常工况下，本工程井下作业废水得到妥善处置、原油拉运严格遵守规章制度；</w:t>
      </w:r>
      <w:r>
        <w:rPr>
          <w:color w:val="auto"/>
          <w:lang w:val="en-US" w:eastAsia="zh-CN"/>
        </w:rPr>
        <w:t>生产过程中液体物料配置过程中均为全密闭管路连接，不会出现溢出和</w:t>
      </w:r>
      <w:r>
        <w:rPr>
          <w:rFonts w:hint="eastAsia"/>
          <w:color w:val="auto"/>
          <w:lang w:val="en-US" w:eastAsia="zh-CN"/>
        </w:rPr>
        <w:t>泄漏</w:t>
      </w:r>
      <w:r>
        <w:rPr>
          <w:color w:val="auto"/>
          <w:lang w:val="en-US" w:eastAsia="zh-CN"/>
        </w:rPr>
        <w:t>情况，实现可视可控，且在管线上做好标识，如若出现</w:t>
      </w:r>
      <w:r>
        <w:rPr>
          <w:rFonts w:hint="eastAsia"/>
          <w:color w:val="auto"/>
          <w:lang w:val="en-US" w:eastAsia="zh-CN"/>
        </w:rPr>
        <w:t>泄漏</w:t>
      </w:r>
      <w:r>
        <w:rPr>
          <w:color w:val="auto"/>
          <w:lang w:val="en-US" w:eastAsia="zh-CN"/>
        </w:rPr>
        <w:t>等事故情况，可及时发现，及时处理。</w:t>
      </w:r>
    </w:p>
    <w:p w14:paraId="12C47293">
      <w:pPr>
        <w:pStyle w:val="55"/>
        <w:bidi w:val="0"/>
        <w:rPr>
          <w:rFonts w:hint="eastAsia"/>
          <w:color w:val="auto"/>
          <w:lang w:val="en-US" w:eastAsia="zh-CN"/>
        </w:rPr>
      </w:pPr>
      <w:r>
        <w:rPr>
          <w:rFonts w:hint="eastAsia"/>
          <w:color w:val="auto"/>
          <w:lang w:val="en-US" w:eastAsia="zh-CN"/>
        </w:rPr>
        <w:t>5.3.2.3 非正常状况下对土壤环境的影响预测分析</w:t>
      </w:r>
    </w:p>
    <w:p w14:paraId="2ED94B95">
      <w:pPr>
        <w:pStyle w:val="79"/>
        <w:bidi w:val="0"/>
        <w:rPr>
          <w:color w:val="auto"/>
        </w:rPr>
      </w:pPr>
      <w:r>
        <w:rPr>
          <w:color w:val="auto"/>
        </w:rPr>
        <w:t>本次土壤环境影响主要考虑非正常工况下，集输管道</w:t>
      </w:r>
      <w:r>
        <w:rPr>
          <w:rFonts w:hint="eastAsia"/>
          <w:color w:val="auto"/>
          <w:lang w:val="en-US" w:eastAsia="zh-CN"/>
        </w:rPr>
        <w:t>、原油拉运罐车以及场站设备</w:t>
      </w:r>
      <w:r>
        <w:rPr>
          <w:color w:val="auto"/>
        </w:rPr>
        <w:t>的采出液</w:t>
      </w:r>
      <w:r>
        <w:rPr>
          <w:rFonts w:hint="eastAsia"/>
          <w:color w:val="auto"/>
        </w:rPr>
        <w:t>泄漏</w:t>
      </w:r>
      <w:r>
        <w:rPr>
          <w:color w:val="auto"/>
        </w:rPr>
        <w:t>，垂直入渗对土壤的环境影响。</w:t>
      </w:r>
    </w:p>
    <w:p w14:paraId="3927D664">
      <w:pPr>
        <w:pStyle w:val="79"/>
        <w:bidi w:val="0"/>
        <w:rPr>
          <w:color w:val="auto"/>
        </w:rPr>
      </w:pPr>
      <w:r>
        <w:rPr>
          <w:color w:val="auto"/>
        </w:rPr>
        <w:t>经查阅相关资料，目前项目区用地性质</w:t>
      </w:r>
      <w:r>
        <w:rPr>
          <w:rFonts w:hint="eastAsia"/>
          <w:color w:val="auto"/>
          <w:lang w:val="en-US" w:eastAsia="zh-CN"/>
        </w:rPr>
        <w:t>主要</w:t>
      </w:r>
      <w:r>
        <w:rPr>
          <w:color w:val="auto"/>
        </w:rPr>
        <w:t>为</w:t>
      </w:r>
      <w:r>
        <w:rPr>
          <w:rFonts w:hint="eastAsia"/>
          <w:color w:val="auto"/>
          <w:lang w:eastAsia="zh-CN"/>
        </w:rPr>
        <w:t>天然牧草地</w:t>
      </w:r>
      <w:r>
        <w:rPr>
          <w:color w:val="auto"/>
        </w:rPr>
        <w:t>，土壤类型</w:t>
      </w:r>
      <w:r>
        <w:rPr>
          <w:rFonts w:hint="eastAsia"/>
          <w:color w:val="auto"/>
          <w:lang w:val="en-US" w:eastAsia="zh-CN"/>
        </w:rPr>
        <w:t>主要</w:t>
      </w:r>
      <w:r>
        <w:rPr>
          <w:color w:val="auto"/>
        </w:rPr>
        <w:t>为</w:t>
      </w:r>
      <w:r>
        <w:rPr>
          <w:rFonts w:hint="eastAsia"/>
          <w:color w:val="auto"/>
          <w:lang w:val="en-US" w:eastAsia="zh-CN"/>
        </w:rPr>
        <w:t>棕漠土</w:t>
      </w:r>
      <w:r>
        <w:rPr>
          <w:color w:val="auto"/>
        </w:rPr>
        <w:t>。根据工程建设涉及的垂直入渗途径，给出工程建设在各实施阶段不同环节与不同环境影响防控措施下预测因子的土壤环境影响范围与程度，对工程建设产生的土壤</w:t>
      </w:r>
      <w:r>
        <w:rPr>
          <w:rFonts w:hint="default"/>
          <w:color w:val="auto"/>
        </w:rPr>
        <w:t>包气带环境影响进行综合评价。运营期</w:t>
      </w:r>
      <w:r>
        <w:rPr>
          <w:rFonts w:hint="eastAsia"/>
          <w:color w:val="auto"/>
          <w:lang w:eastAsia="zh-CN"/>
        </w:rPr>
        <w:t>本工程</w:t>
      </w:r>
      <w:r>
        <w:rPr>
          <w:rFonts w:hint="default"/>
          <w:color w:val="auto"/>
        </w:rPr>
        <w:t>土壤影响类型与途径</w:t>
      </w:r>
      <w:r>
        <w:rPr>
          <w:rFonts w:hint="eastAsia"/>
          <w:color w:val="auto"/>
          <w:lang w:eastAsia="zh-CN"/>
        </w:rPr>
        <w:t>，</w:t>
      </w:r>
      <w:r>
        <w:rPr>
          <w:rFonts w:hint="default"/>
          <w:color w:val="auto"/>
        </w:rPr>
        <w:t>见表5.</w:t>
      </w:r>
      <w:r>
        <w:rPr>
          <w:rFonts w:hint="eastAsia"/>
          <w:color w:val="auto"/>
          <w:lang w:val="en-US" w:eastAsia="zh-CN"/>
        </w:rPr>
        <w:t>3</w:t>
      </w:r>
      <w:r>
        <w:rPr>
          <w:rFonts w:hint="default"/>
          <w:color w:val="auto"/>
        </w:rPr>
        <w:t>-</w:t>
      </w:r>
      <w:r>
        <w:rPr>
          <w:rFonts w:hint="default"/>
          <w:color w:val="auto"/>
          <w:lang w:val="en-US" w:eastAsia="zh-CN"/>
        </w:rPr>
        <w:t>1</w:t>
      </w:r>
      <w:r>
        <w:rPr>
          <w:rFonts w:hint="eastAsia"/>
          <w:color w:val="auto"/>
          <w:lang w:eastAsia="zh-CN"/>
        </w:rPr>
        <w:t>；</w:t>
      </w:r>
      <w:r>
        <w:rPr>
          <w:rFonts w:hint="default"/>
          <w:color w:val="auto"/>
        </w:rPr>
        <w:t>影响因子</w:t>
      </w:r>
      <w:r>
        <w:rPr>
          <w:rFonts w:hint="eastAsia"/>
          <w:color w:val="auto"/>
          <w:lang w:eastAsia="zh-CN"/>
        </w:rPr>
        <w:t>，</w:t>
      </w:r>
      <w:r>
        <w:rPr>
          <w:rFonts w:hint="default"/>
          <w:color w:val="auto"/>
        </w:rPr>
        <w:t>见表5.</w:t>
      </w:r>
      <w:r>
        <w:rPr>
          <w:rFonts w:hint="eastAsia"/>
          <w:color w:val="auto"/>
          <w:lang w:val="en-US" w:eastAsia="zh-CN"/>
        </w:rPr>
        <w:t>3</w:t>
      </w:r>
      <w:r>
        <w:rPr>
          <w:rFonts w:hint="default"/>
          <w:color w:val="auto"/>
        </w:rPr>
        <w:t>-</w:t>
      </w:r>
      <w:r>
        <w:rPr>
          <w:rFonts w:hint="default"/>
          <w:color w:val="auto"/>
          <w:lang w:val="en-US" w:eastAsia="zh-CN"/>
        </w:rPr>
        <w:t>2</w:t>
      </w:r>
      <w:r>
        <w:rPr>
          <w:rFonts w:hint="default"/>
          <w:color w:val="auto"/>
        </w:rPr>
        <w:t>。</w:t>
      </w:r>
    </w:p>
    <w:p w14:paraId="254916BB">
      <w:pPr>
        <w:pStyle w:val="61"/>
        <w:bidi w:val="0"/>
        <w:jc w:val="both"/>
        <w:rPr>
          <w:rFonts w:hint="default"/>
          <w:color w:val="auto"/>
          <w:lang w:val="en-US" w:eastAsia="zh-CN"/>
        </w:rPr>
      </w:pPr>
      <w:r>
        <w:rPr>
          <w:rFonts w:hint="eastAsia"/>
          <w:color w:val="auto"/>
          <w:lang w:val="en-US" w:eastAsia="zh-CN"/>
        </w:rPr>
        <w:t>表5.3-1  建设项目土壤环境影响类型与影响途径表</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31"/>
        <w:gridCol w:w="1914"/>
        <w:gridCol w:w="1976"/>
        <w:gridCol w:w="1976"/>
        <w:gridCol w:w="1237"/>
      </w:tblGrid>
      <w:tr w14:paraId="0FE6CB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80" w:type="pct"/>
            <w:vMerge w:val="restart"/>
            <w:tcBorders>
              <w:tl2br w:val="nil"/>
              <w:tr2bl w:val="nil"/>
            </w:tcBorders>
            <w:noWrap w:val="0"/>
            <w:vAlign w:val="center"/>
          </w:tcPr>
          <w:p w14:paraId="189EEAA1">
            <w:pPr>
              <w:keepNext w:val="0"/>
              <w:keepLines w:val="0"/>
              <w:pageBreakBefore w:val="0"/>
              <w:widowControl/>
              <w:kinsoku/>
              <w:overflowPunct/>
              <w:topLinePunct w:val="0"/>
              <w:autoSpaceDE/>
              <w:autoSpaceDN/>
              <w:bidi w:val="0"/>
              <w:adjustRightInd/>
              <w:snapToGrid/>
              <w:spacing w:line="400" w:lineRule="exact"/>
              <w:jc w:val="center"/>
              <w:textAlignment w:val="auto"/>
              <w:rPr>
                <w:rFonts w:ascii="Times New Roman" w:hAnsi="Times New Roman" w:cs="Times New Roman"/>
                <w:b w:val="0"/>
                <w:bCs/>
                <w:color w:val="auto"/>
                <w:kern w:val="0"/>
                <w:sz w:val="21"/>
                <w:szCs w:val="21"/>
                <w:highlight w:val="none"/>
              </w:rPr>
            </w:pPr>
            <w:r>
              <w:rPr>
                <w:rFonts w:ascii="Times New Roman" w:hAnsi="Times New Roman" w:cs="Times New Roman"/>
                <w:b w:val="0"/>
                <w:bCs/>
                <w:color w:val="auto"/>
                <w:kern w:val="0"/>
                <w:sz w:val="21"/>
                <w:szCs w:val="21"/>
                <w:highlight w:val="none"/>
              </w:rPr>
              <w:t>不同时段</w:t>
            </w:r>
          </w:p>
        </w:tc>
        <w:tc>
          <w:tcPr>
            <w:tcW w:w="4019" w:type="pct"/>
            <w:gridSpan w:val="4"/>
            <w:tcBorders>
              <w:tl2br w:val="nil"/>
              <w:tr2bl w:val="nil"/>
            </w:tcBorders>
            <w:noWrap w:val="0"/>
            <w:vAlign w:val="center"/>
          </w:tcPr>
          <w:p w14:paraId="7E4BCE37">
            <w:pPr>
              <w:keepNext w:val="0"/>
              <w:keepLines w:val="0"/>
              <w:pageBreakBefore w:val="0"/>
              <w:widowControl/>
              <w:kinsoku/>
              <w:overflowPunct/>
              <w:topLinePunct w:val="0"/>
              <w:autoSpaceDE/>
              <w:autoSpaceDN/>
              <w:bidi w:val="0"/>
              <w:adjustRightInd/>
              <w:snapToGrid/>
              <w:spacing w:line="400" w:lineRule="exact"/>
              <w:jc w:val="center"/>
              <w:textAlignment w:val="auto"/>
              <w:rPr>
                <w:rFonts w:ascii="Times New Roman" w:hAnsi="Times New Roman" w:cs="Times New Roman"/>
                <w:b w:val="0"/>
                <w:bCs/>
                <w:color w:val="auto"/>
                <w:kern w:val="0"/>
                <w:sz w:val="21"/>
                <w:szCs w:val="21"/>
                <w:highlight w:val="none"/>
              </w:rPr>
            </w:pPr>
            <w:r>
              <w:rPr>
                <w:rFonts w:ascii="Times New Roman" w:hAnsi="Times New Roman" w:cs="Times New Roman"/>
                <w:b w:val="0"/>
                <w:bCs/>
                <w:color w:val="auto"/>
                <w:kern w:val="0"/>
                <w:sz w:val="21"/>
                <w:szCs w:val="21"/>
                <w:highlight w:val="none"/>
              </w:rPr>
              <w:t>污染影响型</w:t>
            </w:r>
          </w:p>
        </w:tc>
      </w:tr>
      <w:tr w14:paraId="7DD57C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80" w:type="pct"/>
            <w:vMerge w:val="continue"/>
            <w:tcBorders>
              <w:tl2br w:val="nil"/>
              <w:tr2bl w:val="nil"/>
            </w:tcBorders>
            <w:noWrap w:val="0"/>
            <w:vAlign w:val="center"/>
          </w:tcPr>
          <w:p w14:paraId="45AAB2A8">
            <w:pPr>
              <w:keepNext w:val="0"/>
              <w:keepLines w:val="0"/>
              <w:pageBreakBefore w:val="0"/>
              <w:widowControl/>
              <w:kinsoku/>
              <w:overflowPunct/>
              <w:topLinePunct w:val="0"/>
              <w:autoSpaceDE/>
              <w:autoSpaceDN/>
              <w:bidi w:val="0"/>
              <w:adjustRightInd/>
              <w:snapToGrid/>
              <w:spacing w:line="400" w:lineRule="exact"/>
              <w:jc w:val="left"/>
              <w:textAlignment w:val="auto"/>
              <w:rPr>
                <w:rFonts w:ascii="Times New Roman" w:hAnsi="Times New Roman" w:cs="Times New Roman"/>
                <w:b w:val="0"/>
                <w:bCs/>
                <w:color w:val="auto"/>
                <w:kern w:val="0"/>
                <w:sz w:val="21"/>
                <w:szCs w:val="21"/>
                <w:highlight w:val="none"/>
              </w:rPr>
            </w:pPr>
          </w:p>
        </w:tc>
        <w:tc>
          <w:tcPr>
            <w:tcW w:w="1083" w:type="pct"/>
            <w:tcBorders>
              <w:tl2br w:val="nil"/>
              <w:tr2bl w:val="nil"/>
            </w:tcBorders>
            <w:noWrap w:val="0"/>
            <w:vAlign w:val="center"/>
          </w:tcPr>
          <w:p w14:paraId="5426742F">
            <w:pPr>
              <w:keepNext w:val="0"/>
              <w:keepLines w:val="0"/>
              <w:pageBreakBefore w:val="0"/>
              <w:widowControl/>
              <w:kinsoku/>
              <w:overflowPunct/>
              <w:topLinePunct w:val="0"/>
              <w:autoSpaceDE/>
              <w:autoSpaceDN/>
              <w:bidi w:val="0"/>
              <w:adjustRightInd/>
              <w:snapToGrid/>
              <w:spacing w:line="400" w:lineRule="exact"/>
              <w:jc w:val="center"/>
              <w:textAlignment w:val="auto"/>
              <w:rPr>
                <w:rFonts w:ascii="Times New Roman" w:hAnsi="Times New Roman" w:cs="Times New Roman"/>
                <w:b w:val="0"/>
                <w:bCs/>
                <w:color w:val="auto"/>
                <w:kern w:val="0"/>
                <w:sz w:val="21"/>
                <w:szCs w:val="21"/>
                <w:highlight w:val="none"/>
              </w:rPr>
            </w:pPr>
            <w:r>
              <w:rPr>
                <w:rFonts w:ascii="Times New Roman" w:hAnsi="Times New Roman" w:cs="Times New Roman"/>
                <w:b w:val="0"/>
                <w:bCs/>
                <w:color w:val="auto"/>
                <w:kern w:val="0"/>
                <w:sz w:val="21"/>
                <w:szCs w:val="21"/>
                <w:highlight w:val="none"/>
              </w:rPr>
              <w:t>大气沉降</w:t>
            </w:r>
          </w:p>
        </w:tc>
        <w:tc>
          <w:tcPr>
            <w:tcW w:w="1118" w:type="pct"/>
            <w:tcBorders>
              <w:tl2br w:val="nil"/>
              <w:tr2bl w:val="nil"/>
            </w:tcBorders>
            <w:noWrap w:val="0"/>
            <w:vAlign w:val="center"/>
          </w:tcPr>
          <w:p w14:paraId="4760EFDF">
            <w:pPr>
              <w:keepNext w:val="0"/>
              <w:keepLines w:val="0"/>
              <w:pageBreakBefore w:val="0"/>
              <w:widowControl/>
              <w:kinsoku/>
              <w:overflowPunct/>
              <w:topLinePunct w:val="0"/>
              <w:autoSpaceDE/>
              <w:autoSpaceDN/>
              <w:bidi w:val="0"/>
              <w:adjustRightInd/>
              <w:snapToGrid/>
              <w:spacing w:line="400" w:lineRule="exact"/>
              <w:jc w:val="center"/>
              <w:textAlignment w:val="auto"/>
              <w:rPr>
                <w:rFonts w:ascii="Times New Roman" w:hAnsi="Times New Roman" w:cs="Times New Roman"/>
                <w:b w:val="0"/>
                <w:bCs/>
                <w:color w:val="auto"/>
                <w:kern w:val="0"/>
                <w:sz w:val="21"/>
                <w:szCs w:val="21"/>
                <w:highlight w:val="none"/>
              </w:rPr>
            </w:pPr>
            <w:r>
              <w:rPr>
                <w:rFonts w:ascii="Times New Roman" w:hAnsi="Times New Roman" w:cs="Times New Roman"/>
                <w:b w:val="0"/>
                <w:bCs/>
                <w:color w:val="auto"/>
                <w:kern w:val="0"/>
                <w:sz w:val="21"/>
                <w:szCs w:val="21"/>
                <w:highlight w:val="none"/>
              </w:rPr>
              <w:t>地面漫流</w:t>
            </w:r>
          </w:p>
        </w:tc>
        <w:tc>
          <w:tcPr>
            <w:tcW w:w="1118" w:type="pct"/>
            <w:tcBorders>
              <w:tl2br w:val="nil"/>
              <w:tr2bl w:val="nil"/>
            </w:tcBorders>
            <w:noWrap w:val="0"/>
            <w:vAlign w:val="center"/>
          </w:tcPr>
          <w:p w14:paraId="5D5B4844">
            <w:pPr>
              <w:keepNext w:val="0"/>
              <w:keepLines w:val="0"/>
              <w:pageBreakBefore w:val="0"/>
              <w:widowControl/>
              <w:kinsoku/>
              <w:overflowPunct/>
              <w:topLinePunct w:val="0"/>
              <w:autoSpaceDE/>
              <w:autoSpaceDN/>
              <w:bidi w:val="0"/>
              <w:adjustRightInd/>
              <w:snapToGrid/>
              <w:spacing w:line="400" w:lineRule="exact"/>
              <w:jc w:val="center"/>
              <w:textAlignment w:val="auto"/>
              <w:rPr>
                <w:rFonts w:ascii="Times New Roman" w:hAnsi="Times New Roman" w:cs="Times New Roman"/>
                <w:b w:val="0"/>
                <w:bCs/>
                <w:color w:val="auto"/>
                <w:kern w:val="0"/>
                <w:sz w:val="21"/>
                <w:szCs w:val="21"/>
                <w:highlight w:val="none"/>
              </w:rPr>
            </w:pPr>
            <w:r>
              <w:rPr>
                <w:rFonts w:ascii="Times New Roman" w:hAnsi="Times New Roman" w:cs="Times New Roman"/>
                <w:b w:val="0"/>
                <w:bCs/>
                <w:color w:val="auto"/>
                <w:kern w:val="0"/>
                <w:sz w:val="21"/>
                <w:szCs w:val="21"/>
                <w:highlight w:val="none"/>
              </w:rPr>
              <w:t>垂直入渗</w:t>
            </w:r>
          </w:p>
        </w:tc>
        <w:tc>
          <w:tcPr>
            <w:tcW w:w="699" w:type="pct"/>
            <w:tcBorders>
              <w:tl2br w:val="nil"/>
              <w:tr2bl w:val="nil"/>
            </w:tcBorders>
            <w:noWrap w:val="0"/>
            <w:vAlign w:val="center"/>
          </w:tcPr>
          <w:p w14:paraId="221C8314">
            <w:pPr>
              <w:keepNext w:val="0"/>
              <w:keepLines w:val="0"/>
              <w:pageBreakBefore w:val="0"/>
              <w:widowControl/>
              <w:kinsoku/>
              <w:overflowPunct/>
              <w:topLinePunct w:val="0"/>
              <w:autoSpaceDE/>
              <w:autoSpaceDN/>
              <w:bidi w:val="0"/>
              <w:adjustRightInd/>
              <w:snapToGrid/>
              <w:spacing w:line="400" w:lineRule="exact"/>
              <w:jc w:val="center"/>
              <w:textAlignment w:val="auto"/>
              <w:rPr>
                <w:rFonts w:ascii="Times New Roman" w:hAnsi="Times New Roman" w:cs="Times New Roman"/>
                <w:b w:val="0"/>
                <w:bCs/>
                <w:color w:val="auto"/>
                <w:kern w:val="0"/>
                <w:sz w:val="21"/>
                <w:szCs w:val="21"/>
                <w:highlight w:val="none"/>
              </w:rPr>
            </w:pPr>
            <w:r>
              <w:rPr>
                <w:rFonts w:ascii="Times New Roman" w:hAnsi="Times New Roman" w:cs="Times New Roman"/>
                <w:b w:val="0"/>
                <w:bCs/>
                <w:color w:val="auto"/>
                <w:kern w:val="0"/>
                <w:sz w:val="21"/>
                <w:szCs w:val="21"/>
                <w:highlight w:val="none"/>
              </w:rPr>
              <w:t>其他</w:t>
            </w:r>
          </w:p>
        </w:tc>
      </w:tr>
      <w:tr w14:paraId="723C27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80" w:type="pct"/>
            <w:tcBorders>
              <w:tl2br w:val="nil"/>
              <w:tr2bl w:val="nil"/>
            </w:tcBorders>
            <w:noWrap w:val="0"/>
            <w:vAlign w:val="center"/>
          </w:tcPr>
          <w:p w14:paraId="3F41FE8A">
            <w:pPr>
              <w:keepNext w:val="0"/>
              <w:keepLines w:val="0"/>
              <w:pageBreakBefore w:val="0"/>
              <w:widowControl/>
              <w:kinsoku/>
              <w:wordWrap w:val="0"/>
              <w:overflowPunct/>
              <w:topLinePunct w:val="0"/>
              <w:autoSpaceDE/>
              <w:autoSpaceDN/>
              <w:bidi w:val="0"/>
              <w:adjustRightInd/>
              <w:snapToGrid/>
              <w:spacing w:line="400" w:lineRule="exact"/>
              <w:jc w:val="center"/>
              <w:textAlignment w:val="auto"/>
              <w:rPr>
                <w:rFonts w:ascii="Times New Roman" w:hAnsi="Times New Roman" w:cs="Times New Roman"/>
                <w:b w:val="0"/>
                <w:bCs/>
                <w:color w:val="auto"/>
                <w:kern w:val="0"/>
                <w:sz w:val="21"/>
                <w:szCs w:val="21"/>
                <w:highlight w:val="none"/>
              </w:rPr>
            </w:pPr>
            <w:r>
              <w:rPr>
                <w:rFonts w:ascii="Times New Roman" w:hAnsi="Times New Roman" w:cs="Times New Roman"/>
                <w:b w:val="0"/>
                <w:bCs/>
                <w:color w:val="auto"/>
                <w:kern w:val="0"/>
                <w:sz w:val="21"/>
                <w:szCs w:val="21"/>
                <w:highlight w:val="none"/>
              </w:rPr>
              <w:t>施工期</w:t>
            </w:r>
          </w:p>
        </w:tc>
        <w:tc>
          <w:tcPr>
            <w:tcW w:w="1083" w:type="pct"/>
            <w:tcBorders>
              <w:tl2br w:val="nil"/>
              <w:tr2bl w:val="nil"/>
            </w:tcBorders>
            <w:noWrap w:val="0"/>
            <w:vAlign w:val="center"/>
          </w:tcPr>
          <w:p w14:paraId="09AA3672">
            <w:pPr>
              <w:keepNext w:val="0"/>
              <w:keepLines w:val="0"/>
              <w:pageBreakBefore w:val="0"/>
              <w:widowControl/>
              <w:kinsoku/>
              <w:wordWrap w:val="0"/>
              <w:overflowPunct/>
              <w:topLinePunct w:val="0"/>
              <w:autoSpaceDE/>
              <w:autoSpaceDN/>
              <w:bidi w:val="0"/>
              <w:adjustRightInd/>
              <w:snapToGrid/>
              <w:spacing w:line="400" w:lineRule="exact"/>
              <w:jc w:val="center"/>
              <w:textAlignment w:val="auto"/>
              <w:rPr>
                <w:rFonts w:ascii="Times New Roman" w:hAnsi="Times New Roman" w:cs="Times New Roman"/>
                <w:b w:val="0"/>
                <w:bCs/>
                <w:color w:val="auto"/>
                <w:kern w:val="0"/>
                <w:sz w:val="21"/>
                <w:szCs w:val="21"/>
                <w:highlight w:val="none"/>
              </w:rPr>
            </w:pPr>
            <w:r>
              <w:rPr>
                <w:rFonts w:hint="eastAsia" w:ascii="Times New Roman" w:hAnsi="Times New Roman" w:cs="Times New Roman"/>
                <w:b w:val="0"/>
                <w:bCs/>
                <w:color w:val="auto"/>
                <w:kern w:val="0"/>
                <w:sz w:val="21"/>
                <w:szCs w:val="21"/>
                <w:highlight w:val="none"/>
              </w:rPr>
              <w:t>/</w:t>
            </w:r>
          </w:p>
        </w:tc>
        <w:tc>
          <w:tcPr>
            <w:tcW w:w="1118" w:type="pct"/>
            <w:tcBorders>
              <w:tl2br w:val="nil"/>
              <w:tr2bl w:val="nil"/>
            </w:tcBorders>
            <w:noWrap w:val="0"/>
            <w:vAlign w:val="center"/>
          </w:tcPr>
          <w:p w14:paraId="456AA603">
            <w:pPr>
              <w:keepNext w:val="0"/>
              <w:keepLines w:val="0"/>
              <w:pageBreakBefore w:val="0"/>
              <w:widowControl/>
              <w:kinsoku/>
              <w:wordWrap w:val="0"/>
              <w:overflowPunct/>
              <w:topLinePunct w:val="0"/>
              <w:autoSpaceDE/>
              <w:autoSpaceDN/>
              <w:bidi w:val="0"/>
              <w:adjustRightInd/>
              <w:snapToGrid/>
              <w:spacing w:line="400" w:lineRule="exact"/>
              <w:jc w:val="center"/>
              <w:textAlignment w:val="auto"/>
              <w:rPr>
                <w:rFonts w:ascii="Times New Roman" w:hAnsi="Times New Roman" w:cs="Times New Roman"/>
                <w:b w:val="0"/>
                <w:bCs/>
                <w:color w:val="auto"/>
                <w:kern w:val="0"/>
                <w:sz w:val="21"/>
                <w:szCs w:val="21"/>
                <w:highlight w:val="none"/>
              </w:rPr>
            </w:pPr>
            <w:r>
              <w:rPr>
                <w:rFonts w:hint="eastAsia" w:ascii="Times New Roman" w:hAnsi="Times New Roman" w:cs="Times New Roman"/>
                <w:b w:val="0"/>
                <w:bCs/>
                <w:color w:val="auto"/>
                <w:kern w:val="0"/>
                <w:sz w:val="21"/>
                <w:szCs w:val="21"/>
                <w:highlight w:val="none"/>
              </w:rPr>
              <w:t>/</w:t>
            </w:r>
          </w:p>
        </w:tc>
        <w:tc>
          <w:tcPr>
            <w:tcW w:w="1118" w:type="pct"/>
            <w:tcBorders>
              <w:tl2br w:val="nil"/>
              <w:tr2bl w:val="nil"/>
            </w:tcBorders>
            <w:noWrap w:val="0"/>
            <w:vAlign w:val="center"/>
          </w:tcPr>
          <w:p w14:paraId="37E4CC1B">
            <w:pPr>
              <w:keepNext w:val="0"/>
              <w:keepLines w:val="0"/>
              <w:pageBreakBefore w:val="0"/>
              <w:widowControl/>
              <w:kinsoku/>
              <w:wordWrap w:val="0"/>
              <w:overflowPunct/>
              <w:topLinePunct w:val="0"/>
              <w:autoSpaceDE/>
              <w:autoSpaceDN/>
              <w:bidi w:val="0"/>
              <w:adjustRightInd/>
              <w:snapToGrid/>
              <w:spacing w:line="400" w:lineRule="exact"/>
              <w:jc w:val="center"/>
              <w:textAlignment w:val="auto"/>
              <w:rPr>
                <w:rFonts w:ascii="Times New Roman" w:hAnsi="Times New Roman" w:cs="Times New Roman"/>
                <w:b w:val="0"/>
                <w:bCs/>
                <w:color w:val="auto"/>
                <w:kern w:val="0"/>
                <w:sz w:val="21"/>
                <w:szCs w:val="21"/>
                <w:highlight w:val="none"/>
              </w:rPr>
            </w:pPr>
            <w:r>
              <w:rPr>
                <w:rFonts w:ascii="Times New Roman" w:hAnsi="Times New Roman" w:cs="Times New Roman"/>
                <w:b w:val="0"/>
                <w:bCs/>
                <w:color w:val="auto"/>
                <w:kern w:val="0"/>
                <w:sz w:val="21"/>
                <w:szCs w:val="21"/>
                <w:highlight w:val="none"/>
              </w:rPr>
              <w:t>√</w:t>
            </w:r>
          </w:p>
        </w:tc>
        <w:tc>
          <w:tcPr>
            <w:tcW w:w="699" w:type="pct"/>
            <w:tcBorders>
              <w:tl2br w:val="nil"/>
              <w:tr2bl w:val="nil"/>
            </w:tcBorders>
            <w:noWrap w:val="0"/>
            <w:vAlign w:val="center"/>
          </w:tcPr>
          <w:p w14:paraId="4B799CA6">
            <w:pPr>
              <w:keepNext w:val="0"/>
              <w:keepLines w:val="0"/>
              <w:pageBreakBefore w:val="0"/>
              <w:widowControl/>
              <w:kinsoku/>
              <w:wordWrap w:val="0"/>
              <w:overflowPunct/>
              <w:topLinePunct w:val="0"/>
              <w:autoSpaceDE/>
              <w:autoSpaceDN/>
              <w:bidi w:val="0"/>
              <w:adjustRightInd/>
              <w:snapToGrid/>
              <w:spacing w:line="400" w:lineRule="exact"/>
              <w:jc w:val="center"/>
              <w:textAlignment w:val="auto"/>
              <w:rPr>
                <w:rFonts w:ascii="Times New Roman" w:hAnsi="Times New Roman" w:cs="Times New Roman"/>
                <w:b w:val="0"/>
                <w:bCs/>
                <w:color w:val="auto"/>
                <w:kern w:val="0"/>
                <w:sz w:val="21"/>
                <w:szCs w:val="21"/>
                <w:highlight w:val="none"/>
              </w:rPr>
            </w:pPr>
            <w:r>
              <w:rPr>
                <w:rFonts w:hint="eastAsia" w:ascii="Times New Roman" w:hAnsi="Times New Roman" w:cs="Times New Roman"/>
                <w:b w:val="0"/>
                <w:bCs/>
                <w:color w:val="auto"/>
                <w:kern w:val="0"/>
                <w:sz w:val="21"/>
                <w:szCs w:val="21"/>
                <w:highlight w:val="none"/>
              </w:rPr>
              <w:t>/</w:t>
            </w:r>
          </w:p>
        </w:tc>
      </w:tr>
      <w:tr w14:paraId="4D233E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80" w:type="pct"/>
            <w:tcBorders>
              <w:tl2br w:val="nil"/>
              <w:tr2bl w:val="nil"/>
            </w:tcBorders>
            <w:noWrap w:val="0"/>
            <w:vAlign w:val="center"/>
          </w:tcPr>
          <w:p w14:paraId="6DCCE6CA">
            <w:pPr>
              <w:keepNext w:val="0"/>
              <w:keepLines w:val="0"/>
              <w:pageBreakBefore w:val="0"/>
              <w:widowControl/>
              <w:kinsoku/>
              <w:wordWrap w:val="0"/>
              <w:overflowPunct/>
              <w:topLinePunct w:val="0"/>
              <w:autoSpaceDE/>
              <w:autoSpaceDN/>
              <w:bidi w:val="0"/>
              <w:adjustRightInd/>
              <w:snapToGrid/>
              <w:spacing w:line="400" w:lineRule="exact"/>
              <w:jc w:val="center"/>
              <w:textAlignment w:val="auto"/>
              <w:rPr>
                <w:rFonts w:ascii="Times New Roman" w:hAnsi="Times New Roman" w:cs="Times New Roman"/>
                <w:b w:val="0"/>
                <w:bCs/>
                <w:color w:val="auto"/>
                <w:kern w:val="0"/>
                <w:sz w:val="21"/>
                <w:szCs w:val="21"/>
                <w:highlight w:val="none"/>
              </w:rPr>
            </w:pPr>
            <w:r>
              <w:rPr>
                <w:rFonts w:ascii="Times New Roman" w:hAnsi="Times New Roman" w:cs="Times New Roman"/>
                <w:b w:val="0"/>
                <w:bCs/>
                <w:color w:val="auto"/>
                <w:kern w:val="0"/>
                <w:sz w:val="21"/>
                <w:szCs w:val="21"/>
                <w:highlight w:val="none"/>
              </w:rPr>
              <w:t>运营期</w:t>
            </w:r>
          </w:p>
        </w:tc>
        <w:tc>
          <w:tcPr>
            <w:tcW w:w="1083" w:type="pct"/>
            <w:tcBorders>
              <w:tl2br w:val="nil"/>
              <w:tr2bl w:val="nil"/>
            </w:tcBorders>
            <w:noWrap w:val="0"/>
            <w:vAlign w:val="center"/>
          </w:tcPr>
          <w:p w14:paraId="2CA90BB4">
            <w:pPr>
              <w:keepNext w:val="0"/>
              <w:keepLines w:val="0"/>
              <w:pageBreakBefore w:val="0"/>
              <w:widowControl/>
              <w:kinsoku/>
              <w:wordWrap w:val="0"/>
              <w:overflowPunct/>
              <w:topLinePunct w:val="0"/>
              <w:autoSpaceDE/>
              <w:autoSpaceDN/>
              <w:bidi w:val="0"/>
              <w:adjustRightInd/>
              <w:snapToGrid/>
              <w:spacing w:line="400" w:lineRule="exact"/>
              <w:jc w:val="center"/>
              <w:textAlignment w:val="auto"/>
              <w:rPr>
                <w:rFonts w:ascii="Times New Roman" w:hAnsi="Times New Roman" w:cs="Times New Roman"/>
                <w:b w:val="0"/>
                <w:bCs/>
                <w:color w:val="auto"/>
                <w:kern w:val="0"/>
                <w:sz w:val="21"/>
                <w:szCs w:val="21"/>
                <w:highlight w:val="none"/>
              </w:rPr>
            </w:pPr>
            <w:r>
              <w:rPr>
                <w:rFonts w:hint="eastAsia" w:ascii="Times New Roman" w:hAnsi="Times New Roman" w:cs="Times New Roman"/>
                <w:b w:val="0"/>
                <w:bCs/>
                <w:color w:val="auto"/>
                <w:kern w:val="0"/>
                <w:sz w:val="21"/>
                <w:szCs w:val="21"/>
                <w:highlight w:val="none"/>
              </w:rPr>
              <w:t>/</w:t>
            </w:r>
          </w:p>
        </w:tc>
        <w:tc>
          <w:tcPr>
            <w:tcW w:w="1118" w:type="pct"/>
            <w:tcBorders>
              <w:tl2br w:val="nil"/>
              <w:tr2bl w:val="nil"/>
            </w:tcBorders>
            <w:noWrap w:val="0"/>
            <w:vAlign w:val="center"/>
          </w:tcPr>
          <w:p w14:paraId="36085713">
            <w:pPr>
              <w:keepNext w:val="0"/>
              <w:keepLines w:val="0"/>
              <w:pageBreakBefore w:val="0"/>
              <w:widowControl/>
              <w:kinsoku/>
              <w:wordWrap w:val="0"/>
              <w:overflowPunct/>
              <w:topLinePunct w:val="0"/>
              <w:autoSpaceDE/>
              <w:autoSpaceDN/>
              <w:bidi w:val="0"/>
              <w:adjustRightInd/>
              <w:snapToGrid/>
              <w:spacing w:line="400" w:lineRule="exact"/>
              <w:jc w:val="center"/>
              <w:textAlignment w:val="auto"/>
              <w:rPr>
                <w:rFonts w:ascii="Times New Roman" w:hAnsi="Times New Roman" w:cs="Times New Roman"/>
                <w:b w:val="0"/>
                <w:bCs/>
                <w:color w:val="auto"/>
                <w:kern w:val="0"/>
                <w:sz w:val="21"/>
                <w:szCs w:val="21"/>
                <w:highlight w:val="none"/>
              </w:rPr>
            </w:pPr>
            <w:r>
              <w:rPr>
                <w:rFonts w:hint="eastAsia" w:ascii="Times New Roman" w:hAnsi="Times New Roman" w:cs="Times New Roman"/>
                <w:b w:val="0"/>
                <w:bCs/>
                <w:color w:val="auto"/>
                <w:kern w:val="0"/>
                <w:sz w:val="21"/>
                <w:szCs w:val="21"/>
                <w:highlight w:val="none"/>
              </w:rPr>
              <w:t>/</w:t>
            </w:r>
          </w:p>
        </w:tc>
        <w:tc>
          <w:tcPr>
            <w:tcW w:w="1118" w:type="pct"/>
            <w:tcBorders>
              <w:tl2br w:val="nil"/>
              <w:tr2bl w:val="nil"/>
            </w:tcBorders>
            <w:noWrap w:val="0"/>
            <w:vAlign w:val="center"/>
          </w:tcPr>
          <w:p w14:paraId="5C0C47D3">
            <w:pPr>
              <w:keepNext w:val="0"/>
              <w:keepLines w:val="0"/>
              <w:pageBreakBefore w:val="0"/>
              <w:widowControl/>
              <w:kinsoku/>
              <w:wordWrap w:val="0"/>
              <w:overflowPunct/>
              <w:topLinePunct w:val="0"/>
              <w:autoSpaceDE/>
              <w:autoSpaceDN/>
              <w:bidi w:val="0"/>
              <w:adjustRightInd/>
              <w:snapToGrid/>
              <w:spacing w:line="400" w:lineRule="exact"/>
              <w:jc w:val="center"/>
              <w:textAlignment w:val="auto"/>
              <w:rPr>
                <w:rFonts w:ascii="Times New Roman" w:hAnsi="Times New Roman" w:cs="Times New Roman"/>
                <w:b w:val="0"/>
                <w:bCs/>
                <w:color w:val="auto"/>
                <w:kern w:val="0"/>
                <w:sz w:val="21"/>
                <w:szCs w:val="21"/>
                <w:highlight w:val="none"/>
              </w:rPr>
            </w:pPr>
            <w:r>
              <w:rPr>
                <w:rFonts w:ascii="Times New Roman" w:hAnsi="Times New Roman" w:cs="Times New Roman"/>
                <w:b w:val="0"/>
                <w:bCs/>
                <w:color w:val="auto"/>
                <w:kern w:val="0"/>
                <w:sz w:val="21"/>
                <w:szCs w:val="21"/>
                <w:highlight w:val="none"/>
              </w:rPr>
              <w:t>√</w:t>
            </w:r>
          </w:p>
        </w:tc>
        <w:tc>
          <w:tcPr>
            <w:tcW w:w="699" w:type="pct"/>
            <w:tcBorders>
              <w:tl2br w:val="nil"/>
              <w:tr2bl w:val="nil"/>
            </w:tcBorders>
            <w:noWrap w:val="0"/>
            <w:vAlign w:val="center"/>
          </w:tcPr>
          <w:p w14:paraId="0D0653F2">
            <w:pPr>
              <w:keepNext w:val="0"/>
              <w:keepLines w:val="0"/>
              <w:pageBreakBefore w:val="0"/>
              <w:widowControl/>
              <w:kinsoku/>
              <w:wordWrap w:val="0"/>
              <w:overflowPunct/>
              <w:topLinePunct w:val="0"/>
              <w:autoSpaceDE/>
              <w:autoSpaceDN/>
              <w:bidi w:val="0"/>
              <w:adjustRightInd/>
              <w:snapToGrid/>
              <w:spacing w:line="400" w:lineRule="exact"/>
              <w:jc w:val="center"/>
              <w:textAlignment w:val="auto"/>
              <w:rPr>
                <w:rFonts w:ascii="Times New Roman" w:hAnsi="Times New Roman" w:cs="Times New Roman"/>
                <w:b w:val="0"/>
                <w:bCs/>
                <w:color w:val="auto"/>
                <w:kern w:val="0"/>
                <w:sz w:val="21"/>
                <w:szCs w:val="21"/>
                <w:highlight w:val="none"/>
              </w:rPr>
            </w:pPr>
            <w:r>
              <w:rPr>
                <w:rFonts w:hint="eastAsia" w:ascii="Times New Roman" w:hAnsi="Times New Roman" w:cs="Times New Roman"/>
                <w:b w:val="0"/>
                <w:bCs/>
                <w:color w:val="auto"/>
                <w:kern w:val="0"/>
                <w:sz w:val="21"/>
                <w:szCs w:val="21"/>
                <w:highlight w:val="none"/>
              </w:rPr>
              <w:t>/</w:t>
            </w:r>
          </w:p>
        </w:tc>
      </w:tr>
      <w:tr w14:paraId="5BC4E0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80" w:type="pct"/>
            <w:tcBorders>
              <w:tl2br w:val="nil"/>
              <w:tr2bl w:val="nil"/>
            </w:tcBorders>
            <w:noWrap w:val="0"/>
            <w:vAlign w:val="center"/>
          </w:tcPr>
          <w:p w14:paraId="29FCC269">
            <w:pPr>
              <w:keepNext w:val="0"/>
              <w:keepLines w:val="0"/>
              <w:pageBreakBefore w:val="0"/>
              <w:widowControl/>
              <w:kinsoku/>
              <w:wordWrap w:val="0"/>
              <w:overflowPunct/>
              <w:topLinePunct w:val="0"/>
              <w:autoSpaceDE/>
              <w:autoSpaceDN/>
              <w:bidi w:val="0"/>
              <w:adjustRightInd/>
              <w:snapToGrid/>
              <w:spacing w:line="400" w:lineRule="exact"/>
              <w:jc w:val="center"/>
              <w:textAlignment w:val="auto"/>
              <w:rPr>
                <w:rFonts w:ascii="Times New Roman" w:hAnsi="Times New Roman" w:cs="Times New Roman"/>
                <w:b w:val="0"/>
                <w:bCs/>
                <w:color w:val="auto"/>
                <w:kern w:val="0"/>
                <w:sz w:val="21"/>
                <w:szCs w:val="21"/>
                <w:highlight w:val="none"/>
              </w:rPr>
            </w:pPr>
            <w:r>
              <w:rPr>
                <w:rFonts w:ascii="Times New Roman" w:hAnsi="Times New Roman" w:cs="Times New Roman"/>
                <w:b w:val="0"/>
                <w:bCs/>
                <w:color w:val="auto"/>
                <w:kern w:val="0"/>
                <w:sz w:val="21"/>
                <w:szCs w:val="21"/>
                <w:highlight w:val="none"/>
              </w:rPr>
              <w:t>退役期后</w:t>
            </w:r>
          </w:p>
        </w:tc>
        <w:tc>
          <w:tcPr>
            <w:tcW w:w="1083" w:type="pct"/>
            <w:tcBorders>
              <w:tl2br w:val="nil"/>
              <w:tr2bl w:val="nil"/>
            </w:tcBorders>
            <w:noWrap w:val="0"/>
            <w:vAlign w:val="center"/>
          </w:tcPr>
          <w:p w14:paraId="6A96F61B">
            <w:pPr>
              <w:keepNext w:val="0"/>
              <w:keepLines w:val="0"/>
              <w:pageBreakBefore w:val="0"/>
              <w:widowControl/>
              <w:kinsoku/>
              <w:wordWrap w:val="0"/>
              <w:overflowPunct/>
              <w:topLinePunct w:val="0"/>
              <w:autoSpaceDE/>
              <w:autoSpaceDN/>
              <w:bidi w:val="0"/>
              <w:adjustRightInd/>
              <w:snapToGrid/>
              <w:spacing w:line="400" w:lineRule="exact"/>
              <w:jc w:val="center"/>
              <w:textAlignment w:val="auto"/>
              <w:rPr>
                <w:rFonts w:ascii="Times New Roman" w:hAnsi="Times New Roman" w:cs="Times New Roman"/>
                <w:b w:val="0"/>
                <w:bCs/>
                <w:color w:val="auto"/>
                <w:kern w:val="0"/>
                <w:sz w:val="21"/>
                <w:szCs w:val="21"/>
                <w:highlight w:val="none"/>
              </w:rPr>
            </w:pPr>
            <w:r>
              <w:rPr>
                <w:rFonts w:hint="eastAsia" w:ascii="Times New Roman" w:hAnsi="Times New Roman" w:cs="Times New Roman"/>
                <w:b w:val="0"/>
                <w:bCs/>
                <w:color w:val="auto"/>
                <w:kern w:val="0"/>
                <w:sz w:val="21"/>
                <w:szCs w:val="21"/>
                <w:highlight w:val="none"/>
              </w:rPr>
              <w:t>/</w:t>
            </w:r>
          </w:p>
        </w:tc>
        <w:tc>
          <w:tcPr>
            <w:tcW w:w="1118" w:type="pct"/>
            <w:tcBorders>
              <w:tl2br w:val="nil"/>
              <w:tr2bl w:val="nil"/>
            </w:tcBorders>
            <w:noWrap w:val="0"/>
            <w:vAlign w:val="center"/>
          </w:tcPr>
          <w:p w14:paraId="7C5D8BD8">
            <w:pPr>
              <w:keepNext w:val="0"/>
              <w:keepLines w:val="0"/>
              <w:pageBreakBefore w:val="0"/>
              <w:widowControl/>
              <w:kinsoku/>
              <w:wordWrap w:val="0"/>
              <w:overflowPunct/>
              <w:topLinePunct w:val="0"/>
              <w:autoSpaceDE/>
              <w:autoSpaceDN/>
              <w:bidi w:val="0"/>
              <w:adjustRightInd/>
              <w:snapToGrid/>
              <w:spacing w:line="400" w:lineRule="exact"/>
              <w:jc w:val="center"/>
              <w:textAlignment w:val="auto"/>
              <w:rPr>
                <w:rFonts w:ascii="Times New Roman" w:hAnsi="Times New Roman" w:cs="Times New Roman"/>
                <w:b w:val="0"/>
                <w:bCs/>
                <w:color w:val="auto"/>
                <w:kern w:val="0"/>
                <w:sz w:val="21"/>
                <w:szCs w:val="21"/>
                <w:highlight w:val="none"/>
              </w:rPr>
            </w:pPr>
            <w:r>
              <w:rPr>
                <w:rFonts w:hint="eastAsia" w:ascii="Times New Roman" w:hAnsi="Times New Roman" w:cs="Times New Roman"/>
                <w:b w:val="0"/>
                <w:bCs/>
                <w:color w:val="auto"/>
                <w:kern w:val="0"/>
                <w:sz w:val="21"/>
                <w:szCs w:val="21"/>
                <w:highlight w:val="none"/>
              </w:rPr>
              <w:t>/</w:t>
            </w:r>
          </w:p>
        </w:tc>
        <w:tc>
          <w:tcPr>
            <w:tcW w:w="1118" w:type="pct"/>
            <w:tcBorders>
              <w:tl2br w:val="nil"/>
              <w:tr2bl w:val="nil"/>
            </w:tcBorders>
            <w:noWrap w:val="0"/>
            <w:vAlign w:val="center"/>
          </w:tcPr>
          <w:p w14:paraId="4E303F7D">
            <w:pPr>
              <w:keepNext w:val="0"/>
              <w:keepLines w:val="0"/>
              <w:pageBreakBefore w:val="0"/>
              <w:widowControl/>
              <w:kinsoku/>
              <w:wordWrap w:val="0"/>
              <w:overflowPunct/>
              <w:topLinePunct w:val="0"/>
              <w:autoSpaceDE/>
              <w:autoSpaceDN/>
              <w:bidi w:val="0"/>
              <w:adjustRightInd/>
              <w:snapToGrid/>
              <w:spacing w:line="400" w:lineRule="exact"/>
              <w:jc w:val="center"/>
              <w:textAlignment w:val="auto"/>
              <w:rPr>
                <w:rFonts w:ascii="Times New Roman" w:hAnsi="Times New Roman" w:cs="Times New Roman"/>
                <w:b w:val="0"/>
                <w:bCs/>
                <w:color w:val="auto"/>
                <w:kern w:val="0"/>
                <w:sz w:val="21"/>
                <w:szCs w:val="21"/>
                <w:highlight w:val="none"/>
              </w:rPr>
            </w:pPr>
            <w:r>
              <w:rPr>
                <w:rFonts w:hint="eastAsia" w:ascii="Times New Roman" w:hAnsi="Times New Roman" w:cs="Times New Roman"/>
                <w:b w:val="0"/>
                <w:bCs/>
                <w:color w:val="auto"/>
                <w:kern w:val="0"/>
                <w:sz w:val="21"/>
                <w:szCs w:val="21"/>
                <w:highlight w:val="none"/>
              </w:rPr>
              <w:t>/</w:t>
            </w:r>
          </w:p>
        </w:tc>
        <w:tc>
          <w:tcPr>
            <w:tcW w:w="699" w:type="pct"/>
            <w:tcBorders>
              <w:tl2br w:val="nil"/>
              <w:tr2bl w:val="nil"/>
            </w:tcBorders>
            <w:noWrap w:val="0"/>
            <w:vAlign w:val="center"/>
          </w:tcPr>
          <w:p w14:paraId="0079B79A">
            <w:pPr>
              <w:keepNext w:val="0"/>
              <w:keepLines w:val="0"/>
              <w:pageBreakBefore w:val="0"/>
              <w:widowControl/>
              <w:kinsoku/>
              <w:wordWrap w:val="0"/>
              <w:overflowPunct/>
              <w:topLinePunct w:val="0"/>
              <w:autoSpaceDE/>
              <w:autoSpaceDN/>
              <w:bidi w:val="0"/>
              <w:adjustRightInd/>
              <w:snapToGrid/>
              <w:spacing w:line="400" w:lineRule="exact"/>
              <w:jc w:val="center"/>
              <w:textAlignment w:val="auto"/>
              <w:rPr>
                <w:rFonts w:ascii="Times New Roman" w:hAnsi="Times New Roman" w:cs="Times New Roman"/>
                <w:b w:val="0"/>
                <w:bCs/>
                <w:color w:val="auto"/>
                <w:kern w:val="0"/>
                <w:sz w:val="21"/>
                <w:szCs w:val="21"/>
                <w:highlight w:val="none"/>
              </w:rPr>
            </w:pPr>
            <w:r>
              <w:rPr>
                <w:rFonts w:hint="eastAsia" w:ascii="Times New Roman" w:hAnsi="Times New Roman" w:cs="Times New Roman"/>
                <w:b w:val="0"/>
                <w:bCs/>
                <w:color w:val="auto"/>
                <w:kern w:val="0"/>
                <w:sz w:val="21"/>
                <w:szCs w:val="21"/>
                <w:highlight w:val="none"/>
              </w:rPr>
              <w:t>/</w:t>
            </w:r>
          </w:p>
        </w:tc>
      </w:tr>
    </w:tbl>
    <w:p w14:paraId="2944B3DE">
      <w:pPr>
        <w:pStyle w:val="61"/>
        <w:bidi w:val="0"/>
        <w:jc w:val="both"/>
        <w:rPr>
          <w:rFonts w:hint="eastAsia"/>
          <w:color w:val="auto"/>
          <w:lang w:val="en-US" w:eastAsia="zh-CN"/>
        </w:rPr>
      </w:pPr>
      <w:r>
        <w:rPr>
          <w:rFonts w:hint="eastAsia"/>
          <w:color w:val="auto"/>
          <w:lang w:val="en-US" w:eastAsia="zh-CN"/>
        </w:rPr>
        <w:t>表5.3-2  污染影响型建设项目土壤环境影响源及影响因子识别表</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66"/>
        <w:gridCol w:w="1766"/>
        <w:gridCol w:w="1766"/>
        <w:gridCol w:w="1768"/>
        <w:gridCol w:w="1768"/>
      </w:tblGrid>
      <w:tr w14:paraId="649F0B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99" w:type="pct"/>
            <w:tcBorders>
              <w:tl2br w:val="nil"/>
              <w:tr2bl w:val="nil"/>
            </w:tcBorders>
            <w:noWrap w:val="0"/>
            <w:vAlign w:val="center"/>
          </w:tcPr>
          <w:p w14:paraId="76633BC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Times New Roman" w:hAnsi="Times New Roman" w:cs="Times New Roman"/>
                <w:b w:val="0"/>
                <w:bCs w:val="0"/>
                <w:color w:val="auto"/>
                <w:kern w:val="0"/>
                <w:sz w:val="21"/>
                <w:szCs w:val="21"/>
                <w:highlight w:val="none"/>
              </w:rPr>
            </w:pPr>
            <w:r>
              <w:rPr>
                <w:rFonts w:ascii="Times New Roman" w:hAnsi="Times New Roman" w:cs="Times New Roman"/>
                <w:b w:val="0"/>
                <w:bCs w:val="0"/>
                <w:color w:val="auto"/>
                <w:kern w:val="0"/>
                <w:sz w:val="21"/>
                <w:szCs w:val="21"/>
                <w:highlight w:val="none"/>
              </w:rPr>
              <w:t>污染源</w:t>
            </w:r>
          </w:p>
        </w:tc>
        <w:tc>
          <w:tcPr>
            <w:tcW w:w="999" w:type="pct"/>
            <w:tcBorders>
              <w:tl2br w:val="nil"/>
              <w:tr2bl w:val="nil"/>
            </w:tcBorders>
            <w:noWrap w:val="0"/>
            <w:vAlign w:val="center"/>
          </w:tcPr>
          <w:p w14:paraId="521D385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Times New Roman" w:hAnsi="Times New Roman" w:cs="Times New Roman"/>
                <w:b w:val="0"/>
                <w:bCs w:val="0"/>
                <w:color w:val="auto"/>
                <w:kern w:val="0"/>
                <w:sz w:val="21"/>
                <w:szCs w:val="21"/>
                <w:highlight w:val="none"/>
              </w:rPr>
            </w:pPr>
            <w:r>
              <w:rPr>
                <w:rFonts w:ascii="Times New Roman" w:hAnsi="Times New Roman" w:cs="Times New Roman"/>
                <w:b w:val="0"/>
                <w:bCs w:val="0"/>
                <w:color w:val="auto"/>
                <w:kern w:val="0"/>
                <w:sz w:val="21"/>
                <w:szCs w:val="21"/>
                <w:highlight w:val="none"/>
              </w:rPr>
              <w:t>工艺流程</w:t>
            </w:r>
          </w:p>
        </w:tc>
        <w:tc>
          <w:tcPr>
            <w:tcW w:w="999" w:type="pct"/>
            <w:tcBorders>
              <w:tl2br w:val="nil"/>
              <w:tr2bl w:val="nil"/>
            </w:tcBorders>
            <w:noWrap w:val="0"/>
            <w:vAlign w:val="center"/>
          </w:tcPr>
          <w:p w14:paraId="790E1BE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Times New Roman" w:hAnsi="Times New Roman" w:cs="Times New Roman"/>
                <w:b w:val="0"/>
                <w:bCs w:val="0"/>
                <w:color w:val="auto"/>
                <w:kern w:val="0"/>
                <w:sz w:val="21"/>
                <w:szCs w:val="21"/>
                <w:highlight w:val="none"/>
              </w:rPr>
            </w:pPr>
            <w:r>
              <w:rPr>
                <w:rFonts w:ascii="Times New Roman" w:hAnsi="Times New Roman" w:cs="Times New Roman"/>
                <w:b w:val="0"/>
                <w:bCs w:val="0"/>
                <w:color w:val="auto"/>
                <w:kern w:val="0"/>
                <w:sz w:val="21"/>
                <w:szCs w:val="21"/>
                <w:highlight w:val="none"/>
              </w:rPr>
              <w:t>污染途径</w:t>
            </w:r>
          </w:p>
        </w:tc>
        <w:tc>
          <w:tcPr>
            <w:tcW w:w="1000" w:type="pct"/>
            <w:tcBorders>
              <w:tl2br w:val="nil"/>
              <w:tr2bl w:val="nil"/>
            </w:tcBorders>
            <w:noWrap w:val="0"/>
            <w:vAlign w:val="center"/>
          </w:tcPr>
          <w:p w14:paraId="4A87BA0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Times New Roman" w:hAnsi="Times New Roman" w:cs="Times New Roman"/>
                <w:b w:val="0"/>
                <w:bCs w:val="0"/>
                <w:color w:val="auto"/>
                <w:kern w:val="0"/>
                <w:sz w:val="21"/>
                <w:szCs w:val="21"/>
                <w:highlight w:val="none"/>
              </w:rPr>
            </w:pPr>
            <w:r>
              <w:rPr>
                <w:rFonts w:ascii="Times New Roman" w:hAnsi="Times New Roman" w:cs="Times New Roman"/>
                <w:b w:val="0"/>
                <w:bCs w:val="0"/>
                <w:color w:val="auto"/>
                <w:kern w:val="0"/>
                <w:sz w:val="21"/>
                <w:szCs w:val="21"/>
                <w:highlight w:val="none"/>
              </w:rPr>
              <w:t>特征因子</w:t>
            </w:r>
          </w:p>
        </w:tc>
        <w:tc>
          <w:tcPr>
            <w:tcW w:w="1000" w:type="pct"/>
            <w:tcBorders>
              <w:tl2br w:val="nil"/>
              <w:tr2bl w:val="nil"/>
            </w:tcBorders>
            <w:noWrap w:val="0"/>
            <w:vAlign w:val="center"/>
          </w:tcPr>
          <w:p w14:paraId="67E34ED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Times New Roman" w:hAnsi="Times New Roman" w:cs="Times New Roman"/>
                <w:b w:val="0"/>
                <w:bCs w:val="0"/>
                <w:color w:val="auto"/>
                <w:kern w:val="0"/>
                <w:sz w:val="21"/>
                <w:szCs w:val="21"/>
                <w:highlight w:val="none"/>
              </w:rPr>
            </w:pPr>
            <w:r>
              <w:rPr>
                <w:rFonts w:ascii="Times New Roman" w:hAnsi="Times New Roman" w:cs="Times New Roman"/>
                <w:b w:val="0"/>
                <w:bCs w:val="0"/>
                <w:color w:val="auto"/>
                <w:kern w:val="0"/>
                <w:sz w:val="21"/>
                <w:szCs w:val="21"/>
                <w:highlight w:val="none"/>
              </w:rPr>
              <w:t>备注</w:t>
            </w:r>
          </w:p>
        </w:tc>
      </w:tr>
      <w:tr w14:paraId="392EED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99" w:type="pct"/>
            <w:tcBorders>
              <w:tl2br w:val="nil"/>
              <w:tr2bl w:val="nil"/>
            </w:tcBorders>
            <w:noWrap w:val="0"/>
            <w:vAlign w:val="center"/>
          </w:tcPr>
          <w:p w14:paraId="49AC216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ascii="Times New Roman" w:hAnsi="Times New Roman" w:cs="Times New Roman"/>
                <w:b w:val="0"/>
                <w:bCs w:val="0"/>
                <w:color w:val="auto"/>
                <w:kern w:val="0"/>
                <w:sz w:val="21"/>
                <w:szCs w:val="21"/>
                <w:highlight w:val="none"/>
              </w:rPr>
              <w:t>管线</w:t>
            </w:r>
            <w:r>
              <w:rPr>
                <w:rFonts w:hint="eastAsia" w:cs="Times New Roman"/>
                <w:b w:val="0"/>
                <w:bCs w:val="0"/>
                <w:color w:val="auto"/>
                <w:kern w:val="0"/>
                <w:sz w:val="21"/>
                <w:szCs w:val="21"/>
                <w:highlight w:val="none"/>
                <w:lang w:val="en-US" w:eastAsia="zh-CN"/>
              </w:rPr>
              <w:t>、罐车、雄探1试采点内原油罐</w:t>
            </w:r>
          </w:p>
        </w:tc>
        <w:tc>
          <w:tcPr>
            <w:tcW w:w="999" w:type="pct"/>
            <w:tcBorders>
              <w:tl2br w:val="nil"/>
              <w:tr2bl w:val="nil"/>
            </w:tcBorders>
            <w:noWrap w:val="0"/>
            <w:vAlign w:val="center"/>
          </w:tcPr>
          <w:p w14:paraId="2E0EE0C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Times New Roman" w:hAnsi="Times New Roman" w:cs="Times New Roman"/>
                <w:b w:val="0"/>
                <w:bCs w:val="0"/>
                <w:color w:val="auto"/>
                <w:kern w:val="0"/>
                <w:sz w:val="21"/>
                <w:szCs w:val="21"/>
                <w:highlight w:val="none"/>
              </w:rPr>
            </w:pPr>
            <w:r>
              <w:rPr>
                <w:rFonts w:ascii="Times New Roman" w:hAnsi="Times New Roman" w:cs="Times New Roman"/>
                <w:b w:val="0"/>
                <w:bCs w:val="0"/>
                <w:color w:val="auto"/>
                <w:kern w:val="0"/>
                <w:sz w:val="21"/>
                <w:szCs w:val="21"/>
                <w:highlight w:val="none"/>
              </w:rPr>
              <w:t>/</w:t>
            </w:r>
          </w:p>
        </w:tc>
        <w:tc>
          <w:tcPr>
            <w:tcW w:w="999" w:type="pct"/>
            <w:tcBorders>
              <w:tl2br w:val="nil"/>
              <w:tr2bl w:val="nil"/>
            </w:tcBorders>
            <w:noWrap w:val="0"/>
            <w:vAlign w:val="center"/>
          </w:tcPr>
          <w:p w14:paraId="3AB2F4B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Times New Roman" w:hAnsi="Times New Roman" w:cs="Times New Roman"/>
                <w:b w:val="0"/>
                <w:bCs w:val="0"/>
                <w:color w:val="auto"/>
                <w:kern w:val="0"/>
                <w:sz w:val="21"/>
                <w:szCs w:val="21"/>
                <w:highlight w:val="none"/>
              </w:rPr>
            </w:pPr>
            <w:r>
              <w:rPr>
                <w:rFonts w:ascii="Times New Roman" w:hAnsi="Times New Roman" w:cs="Times New Roman"/>
                <w:b w:val="0"/>
                <w:bCs w:val="0"/>
                <w:color w:val="auto"/>
                <w:kern w:val="0"/>
                <w:sz w:val="21"/>
                <w:szCs w:val="21"/>
                <w:highlight w:val="none"/>
              </w:rPr>
              <w:t>垂直入渗</w:t>
            </w:r>
          </w:p>
        </w:tc>
        <w:tc>
          <w:tcPr>
            <w:tcW w:w="1000" w:type="pct"/>
            <w:tcBorders>
              <w:tl2br w:val="nil"/>
              <w:tr2bl w:val="nil"/>
            </w:tcBorders>
            <w:noWrap w:val="0"/>
            <w:vAlign w:val="center"/>
          </w:tcPr>
          <w:p w14:paraId="35DC92C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Times New Roman" w:hAnsi="Times New Roman" w:cs="Times New Roman"/>
                <w:b w:val="0"/>
                <w:bCs w:val="0"/>
                <w:color w:val="auto"/>
                <w:kern w:val="0"/>
                <w:sz w:val="21"/>
                <w:szCs w:val="21"/>
                <w:highlight w:val="none"/>
              </w:rPr>
            </w:pPr>
            <w:r>
              <w:rPr>
                <w:rFonts w:ascii="Times New Roman" w:hAnsi="Times New Roman" w:cs="Times New Roman"/>
                <w:b w:val="0"/>
                <w:bCs w:val="0"/>
                <w:color w:val="auto"/>
                <w:kern w:val="0"/>
                <w:sz w:val="21"/>
                <w:szCs w:val="21"/>
                <w:highlight w:val="none"/>
              </w:rPr>
              <w:t>石油类</w:t>
            </w:r>
          </w:p>
        </w:tc>
        <w:tc>
          <w:tcPr>
            <w:tcW w:w="1000" w:type="pct"/>
            <w:tcBorders>
              <w:tl2br w:val="nil"/>
              <w:tr2bl w:val="nil"/>
            </w:tcBorders>
            <w:noWrap w:val="0"/>
            <w:vAlign w:val="center"/>
          </w:tcPr>
          <w:p w14:paraId="6D0E15C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Times New Roman" w:hAnsi="Times New Roman" w:cs="Times New Roman"/>
                <w:b w:val="0"/>
                <w:bCs w:val="0"/>
                <w:color w:val="auto"/>
                <w:kern w:val="0"/>
                <w:sz w:val="21"/>
                <w:szCs w:val="21"/>
                <w:highlight w:val="none"/>
              </w:rPr>
            </w:pPr>
            <w:r>
              <w:rPr>
                <w:rFonts w:hint="eastAsia" w:ascii="Times New Roman" w:hAnsi="Times New Roman" w:cs="Times New Roman"/>
                <w:b w:val="0"/>
                <w:bCs w:val="0"/>
                <w:color w:val="auto"/>
                <w:kern w:val="0"/>
                <w:sz w:val="21"/>
                <w:szCs w:val="21"/>
                <w:highlight w:val="none"/>
              </w:rPr>
              <w:t>事故工况</w:t>
            </w:r>
          </w:p>
        </w:tc>
      </w:tr>
    </w:tbl>
    <w:p w14:paraId="79CB9CC3">
      <w:pPr>
        <w:pStyle w:val="79"/>
        <w:bidi w:val="0"/>
        <w:rPr>
          <w:color w:val="auto"/>
          <w:lang w:val="en-US" w:eastAsia="zh-CN"/>
        </w:rPr>
      </w:pPr>
      <w:r>
        <w:rPr>
          <w:color w:val="auto"/>
          <w:lang w:val="en-US" w:eastAsia="zh-CN"/>
        </w:rPr>
        <w:t>根据建设项目对土壤环境可能产生的影响主要为管线</w:t>
      </w:r>
      <w:r>
        <w:rPr>
          <w:rFonts w:hint="eastAsia"/>
          <w:color w:val="auto"/>
          <w:lang w:val="en-US" w:eastAsia="zh-CN"/>
        </w:rPr>
        <w:t>、罐车、试采点内原油罐泄漏时</w:t>
      </w:r>
      <w:r>
        <w:rPr>
          <w:color w:val="auto"/>
          <w:lang w:val="en-US" w:eastAsia="zh-CN"/>
        </w:rPr>
        <w:t>垂直下渗造成的土壤污染。故将</w:t>
      </w:r>
      <w:r>
        <w:rPr>
          <w:rFonts w:hint="eastAsia"/>
          <w:color w:val="auto"/>
          <w:lang w:val="en-US" w:eastAsia="zh-CN"/>
        </w:rPr>
        <w:t>本工程</w:t>
      </w:r>
      <w:r>
        <w:rPr>
          <w:color w:val="auto"/>
          <w:lang w:val="en-US" w:eastAsia="zh-CN"/>
        </w:rPr>
        <w:t>土壤环境影响类型划分为污染影响型，主要影响方式为垂直下渗。</w:t>
      </w:r>
    </w:p>
    <w:p w14:paraId="75110534">
      <w:pPr>
        <w:pStyle w:val="79"/>
        <w:bidi w:val="0"/>
        <w:rPr>
          <w:color w:val="auto"/>
          <w:lang w:val="en-US" w:eastAsia="zh-CN"/>
        </w:rPr>
      </w:pPr>
      <w:r>
        <w:rPr>
          <w:rFonts w:hint="eastAsia"/>
          <w:color w:val="auto"/>
          <w:lang w:val="en-US" w:eastAsia="zh-CN"/>
        </w:rPr>
        <w:t>（1）</w:t>
      </w:r>
      <w:r>
        <w:rPr>
          <w:color w:val="auto"/>
          <w:lang w:val="en-US" w:eastAsia="zh-CN"/>
        </w:rPr>
        <w:t>溢油污染过程分析</w:t>
      </w:r>
    </w:p>
    <w:p w14:paraId="3B5416EA">
      <w:pPr>
        <w:pStyle w:val="79"/>
        <w:bidi w:val="0"/>
        <w:rPr>
          <w:color w:val="auto"/>
          <w:lang w:val="en-US" w:eastAsia="zh-CN"/>
        </w:rPr>
      </w:pPr>
      <w:r>
        <w:rPr>
          <w:color w:val="auto"/>
          <w:lang w:val="en-US" w:eastAsia="zh-CN"/>
        </w:rPr>
        <w:t>原油不溶于水，在环境中被称为不溶性液相污染物（NAPLs）。溢油发生后，由于管道输油压力较大，而顶层覆土层压力较小，混合原油会向上喷出地表。如果无人工立即回收，则其一部分轻组分将挥发，另一部分下渗到包气带土体，甚至到达潜水含水层。见图5.</w:t>
      </w:r>
      <w:r>
        <w:rPr>
          <w:rFonts w:hint="eastAsia"/>
          <w:color w:val="auto"/>
          <w:lang w:val="en-US" w:eastAsia="zh-CN"/>
        </w:rPr>
        <w:t>6</w:t>
      </w:r>
      <w:r>
        <w:rPr>
          <w:color w:val="auto"/>
          <w:lang w:val="en-US" w:eastAsia="zh-CN"/>
        </w:rPr>
        <w:t>-1。</w:t>
      </w:r>
    </w:p>
    <w:p w14:paraId="4A8F933D">
      <w:pPr>
        <w:spacing w:after="120" w:afterLines="0" w:afterAutospacing="0" w:line="360" w:lineRule="auto"/>
        <w:ind w:firstLine="436" w:firstLineChars="200"/>
        <w:jc w:val="center"/>
        <w:rPr>
          <w:rFonts w:ascii="Times New Roman" w:hAnsi="Times New Roman" w:eastAsia="宋体" w:cs="Times New Roman"/>
          <w:color w:val="auto"/>
          <w:spacing w:val="4"/>
          <w:kern w:val="24"/>
          <w:sz w:val="21"/>
          <w:szCs w:val="20"/>
          <w:highlight w:val="none"/>
          <w:lang w:val="en-US" w:eastAsia="zh-CN" w:bidi="ar-SA"/>
        </w:rPr>
      </w:pPr>
    </w:p>
    <w:p w14:paraId="4855F534">
      <w:pPr>
        <w:spacing w:after="120" w:afterLines="0" w:afterAutospacing="0" w:line="360" w:lineRule="auto"/>
        <w:ind w:firstLine="436" w:firstLineChars="200"/>
        <w:jc w:val="center"/>
        <w:rPr>
          <w:rFonts w:ascii="Times New Roman" w:hAnsi="Times New Roman" w:eastAsia="宋体" w:cs="Times New Roman"/>
          <w:color w:val="auto"/>
          <w:spacing w:val="4"/>
          <w:kern w:val="24"/>
          <w:sz w:val="21"/>
          <w:szCs w:val="20"/>
          <w:highlight w:val="none"/>
          <w:lang w:val="en-US" w:eastAsia="zh-CN" w:bidi="ar-SA"/>
        </w:rPr>
      </w:pPr>
    </w:p>
    <w:p w14:paraId="685C8615">
      <w:pPr>
        <w:spacing w:after="120" w:afterLines="0" w:afterAutospacing="0" w:line="360" w:lineRule="auto"/>
        <w:ind w:firstLine="436" w:firstLineChars="200"/>
        <w:jc w:val="center"/>
        <w:rPr>
          <w:rFonts w:ascii="Times New Roman" w:hAnsi="Times New Roman" w:eastAsia="宋体" w:cs="Times New Roman"/>
          <w:color w:val="auto"/>
          <w:spacing w:val="4"/>
          <w:kern w:val="24"/>
          <w:sz w:val="21"/>
          <w:szCs w:val="20"/>
          <w:highlight w:val="none"/>
          <w:lang w:val="en-US" w:eastAsia="zh-CN" w:bidi="ar-SA"/>
        </w:rPr>
      </w:pPr>
    </w:p>
    <w:p w14:paraId="6F4292EE">
      <w:pPr>
        <w:spacing w:after="120" w:afterLines="0" w:afterAutospacing="0" w:line="360" w:lineRule="auto"/>
        <w:ind w:firstLine="436" w:firstLineChars="200"/>
        <w:jc w:val="center"/>
        <w:rPr>
          <w:rFonts w:ascii="Times New Roman" w:hAnsi="Times New Roman" w:eastAsia="宋体" w:cs="Times New Roman"/>
          <w:color w:val="auto"/>
          <w:spacing w:val="4"/>
          <w:kern w:val="24"/>
          <w:sz w:val="21"/>
          <w:szCs w:val="20"/>
          <w:highlight w:val="none"/>
          <w:lang w:val="en-US" w:eastAsia="zh-CN" w:bidi="ar-SA"/>
        </w:rPr>
      </w:pPr>
    </w:p>
    <w:p w14:paraId="2790BD31">
      <w:pPr>
        <w:spacing w:after="120" w:afterLines="0" w:afterAutospacing="0" w:line="360" w:lineRule="auto"/>
        <w:ind w:firstLine="436" w:firstLineChars="200"/>
        <w:jc w:val="center"/>
        <w:rPr>
          <w:rFonts w:ascii="Times New Roman" w:hAnsi="Times New Roman" w:eastAsia="宋体" w:cs="Times New Roman"/>
          <w:color w:val="auto"/>
          <w:spacing w:val="4"/>
          <w:kern w:val="24"/>
          <w:sz w:val="21"/>
          <w:szCs w:val="20"/>
          <w:highlight w:val="none"/>
          <w:lang w:val="en-US" w:eastAsia="zh-CN" w:bidi="ar-SA"/>
        </w:rPr>
      </w:pPr>
    </w:p>
    <w:p w14:paraId="73F77CB0">
      <w:pPr>
        <w:spacing w:after="120" w:afterLines="0" w:afterAutospacing="0" w:line="360" w:lineRule="auto"/>
        <w:ind w:firstLine="436" w:firstLineChars="200"/>
        <w:jc w:val="center"/>
        <w:rPr>
          <w:rFonts w:ascii="Times New Roman" w:hAnsi="Times New Roman" w:eastAsia="宋体" w:cs="Times New Roman"/>
          <w:color w:val="auto"/>
          <w:spacing w:val="4"/>
          <w:kern w:val="24"/>
          <w:sz w:val="21"/>
          <w:szCs w:val="20"/>
          <w:highlight w:val="none"/>
          <w:lang w:val="en-US" w:eastAsia="zh-CN" w:bidi="ar-SA"/>
        </w:rPr>
      </w:pPr>
    </w:p>
    <w:p w14:paraId="363A83FE">
      <w:pPr>
        <w:spacing w:after="120" w:afterLines="0" w:afterAutospacing="0" w:line="360" w:lineRule="auto"/>
        <w:ind w:firstLine="436" w:firstLineChars="200"/>
        <w:jc w:val="center"/>
        <w:rPr>
          <w:rFonts w:ascii="Times New Roman" w:hAnsi="Times New Roman" w:eastAsia="宋体" w:cs="Times New Roman"/>
          <w:color w:val="auto"/>
          <w:spacing w:val="4"/>
          <w:kern w:val="24"/>
          <w:sz w:val="21"/>
          <w:szCs w:val="20"/>
          <w:highlight w:val="none"/>
          <w:lang w:val="en-US" w:eastAsia="zh-CN" w:bidi="ar-SA"/>
        </w:rPr>
      </w:pPr>
    </w:p>
    <w:p w14:paraId="1AB0AC60">
      <w:pPr>
        <w:keepNext w:val="0"/>
        <w:keepLines w:val="0"/>
        <w:pageBreakBefore w:val="0"/>
        <w:widowControl w:val="0"/>
        <w:kinsoku/>
        <w:wordWrap/>
        <w:overflowPunct/>
        <w:topLinePunct w:val="0"/>
        <w:autoSpaceDE/>
        <w:autoSpaceDN/>
        <w:bidi w:val="0"/>
        <w:adjustRightInd w:val="0"/>
        <w:snapToGrid w:val="0"/>
        <w:spacing w:line="400" w:lineRule="exact"/>
        <w:ind w:left="-6" w:firstLine="420"/>
        <w:jc w:val="center"/>
        <w:textAlignment w:val="auto"/>
        <w:rPr>
          <w:rFonts w:hint="eastAsia" w:ascii="黑体" w:hAnsi="黑体" w:eastAsia="黑体" w:cs="黑体"/>
          <w:b/>
          <w:color w:val="auto"/>
          <w:kern w:val="2"/>
          <w:sz w:val="24"/>
          <w:szCs w:val="24"/>
          <w:highlight w:val="none"/>
          <w:lang w:val="en-US" w:eastAsia="zh-CN" w:bidi="ar-SA"/>
        </w:rPr>
      </w:pPr>
      <w:r>
        <w:rPr>
          <w:rFonts w:hint="eastAsia" w:ascii="黑体" w:hAnsi="黑体" w:eastAsia="黑体" w:cs="黑体"/>
          <w:b/>
          <w:bCs w:val="0"/>
          <w:color w:val="auto"/>
          <w:kern w:val="2"/>
          <w:sz w:val="24"/>
          <w:szCs w:val="24"/>
          <w:lang w:val="en-US" w:eastAsia="zh-CN" w:bidi="ar-SA"/>
        </w:rPr>
        <w:t>图5.3-1  溢油污染过程示意图</w:t>
      </w:r>
    </w:p>
    <w:p w14:paraId="5DA27B87">
      <w:pPr>
        <w:pStyle w:val="79"/>
        <w:bidi w:val="0"/>
        <w:rPr>
          <w:color w:val="auto"/>
          <w:lang w:val="en-US" w:eastAsia="zh-CN"/>
        </w:rPr>
      </w:pPr>
      <w:r>
        <w:rPr>
          <w:rFonts w:hint="eastAsia"/>
          <w:color w:val="auto"/>
          <w:lang w:val="en-US" w:eastAsia="zh-CN"/>
        </w:rPr>
        <w:t>1）</w:t>
      </w:r>
      <w:r>
        <w:rPr>
          <w:color w:val="auto"/>
          <w:lang w:val="en-US" w:eastAsia="zh-CN"/>
        </w:rPr>
        <w:t>溢油在包气带中的污染过程分析</w:t>
      </w:r>
    </w:p>
    <w:p w14:paraId="13844695">
      <w:pPr>
        <w:pStyle w:val="79"/>
        <w:bidi w:val="0"/>
        <w:rPr>
          <w:color w:val="auto"/>
          <w:lang w:val="en-US" w:eastAsia="zh-CN"/>
        </w:rPr>
      </w:pPr>
      <w:r>
        <w:rPr>
          <w:color w:val="auto"/>
          <w:lang w:val="en-US" w:eastAsia="zh-CN"/>
        </w:rPr>
        <w:t>包气带中，溢出原油在重力作用下以垂向迁移为主。油流在迁移过程中不断被土壤颗粒截留、吸附、粘滞，其影响的深度和范围取决于原油的物理性质（密度、粘度、张力等）、泄漏量、泄漏方式以及包气带土层的空隙渗透特性等。对一般的粘土或细砂土层而言，溢油的影响主要集中在地面以下2m以内。同时，在污染集中的地表层还是生物活动剧烈区域，在较适宜的水热条件下，溢油将被很快降解而</w:t>
      </w:r>
      <w:r>
        <w:rPr>
          <w:rFonts w:hint="eastAsia"/>
          <w:color w:val="auto"/>
          <w:lang w:val="en-US" w:eastAsia="zh-CN"/>
        </w:rPr>
        <w:t>去除</w:t>
      </w:r>
      <w:r>
        <w:rPr>
          <w:color w:val="auto"/>
          <w:lang w:val="en-US" w:eastAsia="zh-CN"/>
        </w:rPr>
        <w:t>。</w:t>
      </w:r>
    </w:p>
    <w:p w14:paraId="6DD2069F">
      <w:pPr>
        <w:pStyle w:val="79"/>
        <w:bidi w:val="0"/>
        <w:rPr>
          <w:color w:val="auto"/>
          <w:lang w:val="en-US" w:eastAsia="zh-CN"/>
        </w:rPr>
      </w:pPr>
      <w:r>
        <w:rPr>
          <w:rFonts w:hint="eastAsia"/>
          <w:color w:val="auto"/>
          <w:lang w:val="en-US" w:eastAsia="zh-CN"/>
        </w:rPr>
        <w:t>2）</w:t>
      </w:r>
      <w:r>
        <w:rPr>
          <w:color w:val="auto"/>
          <w:lang w:val="en-US" w:eastAsia="zh-CN"/>
        </w:rPr>
        <w:t>溢油在潜水含水层中的污染过程分析在潜水位较浅，溢油量大的条件下，溢油有可能达到潜水含水层。到达潜水层后，由于原油在水中溶解性差，原油主要集聚在潜水水位线附近，并在水动力作用下向下游迁移并向四周扩散，形成“油饼”。原油继续下渗量很少，基本不会对具有良好隔水顶板的各类承压水产生影响。</w:t>
      </w:r>
    </w:p>
    <w:p w14:paraId="5AD16FF8">
      <w:pPr>
        <w:pStyle w:val="79"/>
        <w:bidi w:val="0"/>
        <w:rPr>
          <w:rFonts w:hint="default"/>
          <w:color w:val="auto"/>
          <w:lang w:val="en-US" w:eastAsia="zh-CN"/>
        </w:rPr>
      </w:pPr>
      <w:r>
        <w:rPr>
          <w:rFonts w:hint="default"/>
          <w:color w:val="auto"/>
          <w:lang w:val="en-US" w:eastAsia="zh-CN"/>
        </w:rPr>
        <w:t>（2）垂直入渗途径</w:t>
      </w:r>
    </w:p>
    <w:p w14:paraId="33371864">
      <w:pPr>
        <w:pStyle w:val="79"/>
        <w:bidi w:val="0"/>
        <w:rPr>
          <w:rFonts w:hint="default"/>
          <w:color w:val="auto"/>
        </w:rPr>
      </w:pPr>
      <w:r>
        <w:rPr>
          <w:rFonts w:hint="default"/>
          <w:color w:val="auto"/>
        </w:rPr>
        <w:t>1）项目区包气带岩性及厚度</w:t>
      </w:r>
    </w:p>
    <w:p w14:paraId="75152B84">
      <w:pPr>
        <w:pStyle w:val="79"/>
        <w:bidi w:val="0"/>
        <w:rPr>
          <w:rFonts w:hint="default"/>
          <w:color w:val="auto"/>
        </w:rPr>
      </w:pPr>
      <w:r>
        <w:rPr>
          <w:rFonts w:hint="default"/>
          <w:color w:val="auto"/>
        </w:rPr>
        <w:t>项目区土壤类型为棕漠土，包气带主要以粉土、细砂和粉砂为主，包气带厚度约3m左右。</w:t>
      </w:r>
    </w:p>
    <w:p w14:paraId="6585CBC1">
      <w:pPr>
        <w:pStyle w:val="79"/>
        <w:bidi w:val="0"/>
        <w:rPr>
          <w:rFonts w:hint="default"/>
          <w:color w:val="auto"/>
        </w:rPr>
      </w:pPr>
      <w:r>
        <w:rPr>
          <w:rFonts w:hint="default"/>
          <w:color w:val="auto"/>
        </w:rPr>
        <w:t>根据资料调研结果，拟建项目模型选择自地表向下1.5m范围内进行模拟，考虑不利条件，土壤质地</w:t>
      </w:r>
      <w:r>
        <w:rPr>
          <w:rFonts w:hint="eastAsia"/>
          <w:color w:val="auto"/>
          <w:lang w:eastAsia="zh-CN"/>
        </w:rPr>
        <w:t>按照</w:t>
      </w:r>
      <w:r>
        <w:rPr>
          <w:rFonts w:hint="default"/>
          <w:color w:val="auto"/>
        </w:rPr>
        <w:t>砂土进行预测。模拟厚度设置为3m，模型剖分按1cm间隔，共300个节点。在模型中设置3个观测点位，编号N1～N3，分别位于-0.5m、-1.5m、-3m深处。</w:t>
      </w:r>
    </w:p>
    <w:p w14:paraId="05EF454C">
      <w:pPr>
        <w:pStyle w:val="79"/>
        <w:bidi w:val="0"/>
        <w:rPr>
          <w:rFonts w:hint="default"/>
          <w:color w:val="auto"/>
        </w:rPr>
      </w:pPr>
      <w:r>
        <w:rPr>
          <w:rFonts w:hint="default"/>
          <w:color w:val="auto"/>
        </w:rPr>
        <w:t>本次设定模型运行时间为100d，本次共设置了5个输出时间点，分别为5d、10d、20d、50d、100d。</w:t>
      </w:r>
    </w:p>
    <w:p w14:paraId="7361310B">
      <w:pPr>
        <w:pStyle w:val="79"/>
        <w:bidi w:val="0"/>
        <w:rPr>
          <w:rFonts w:hint="default"/>
          <w:color w:val="auto"/>
        </w:rPr>
      </w:pPr>
      <w:r>
        <w:rPr>
          <w:rFonts w:hint="default"/>
          <w:color w:val="auto"/>
        </w:rPr>
        <w:t>2）预测方法</w:t>
      </w:r>
    </w:p>
    <w:p w14:paraId="218C7B6C">
      <w:pPr>
        <w:pStyle w:val="79"/>
        <w:bidi w:val="0"/>
        <w:rPr>
          <w:rFonts w:hint="default"/>
          <w:color w:val="auto"/>
        </w:rPr>
      </w:pPr>
      <w:r>
        <w:rPr>
          <w:rFonts w:hint="default"/>
          <w:color w:val="auto"/>
        </w:rPr>
        <w:t>采用《环境影响评价技术导则 土壤环境</w:t>
      </w:r>
      <w:r>
        <w:rPr>
          <w:rFonts w:hint="eastAsia"/>
          <w:color w:val="auto"/>
          <w:lang w:eastAsia="zh-CN"/>
        </w:rPr>
        <w:t>（</w:t>
      </w:r>
      <w:r>
        <w:rPr>
          <w:rFonts w:hint="default"/>
          <w:color w:val="auto"/>
        </w:rPr>
        <w:t>试行</w:t>
      </w:r>
      <w:r>
        <w:rPr>
          <w:rFonts w:hint="eastAsia"/>
          <w:color w:val="auto"/>
          <w:lang w:eastAsia="zh-CN"/>
        </w:rPr>
        <w:t>）</w:t>
      </w:r>
      <w:r>
        <w:rPr>
          <w:rFonts w:hint="default"/>
          <w:color w:val="auto"/>
        </w:rPr>
        <w:t>》</w:t>
      </w:r>
      <w:r>
        <w:rPr>
          <w:rFonts w:hint="eastAsia"/>
          <w:color w:val="auto"/>
          <w:lang w:eastAsia="zh-CN"/>
        </w:rPr>
        <w:t>（</w:t>
      </w:r>
      <w:r>
        <w:rPr>
          <w:rFonts w:hint="default"/>
          <w:color w:val="auto"/>
        </w:rPr>
        <w:t>HJ964-2018</w:t>
      </w:r>
      <w:r>
        <w:rPr>
          <w:rFonts w:hint="eastAsia"/>
          <w:color w:val="auto"/>
          <w:lang w:eastAsia="zh-CN"/>
        </w:rPr>
        <w:t>）</w:t>
      </w:r>
      <w:r>
        <w:rPr>
          <w:rFonts w:hint="default"/>
          <w:color w:val="auto"/>
        </w:rPr>
        <w:t>附录E中预测方法进行预测。</w:t>
      </w:r>
    </w:p>
    <w:p w14:paraId="18E615DB">
      <w:pPr>
        <w:pStyle w:val="79"/>
        <w:bidi w:val="0"/>
        <w:rPr>
          <w:rFonts w:hint="default"/>
          <w:color w:val="auto"/>
        </w:rPr>
      </w:pPr>
      <w:r>
        <w:rPr>
          <w:rFonts w:hint="default"/>
          <w:color w:val="auto"/>
        </w:rPr>
        <w:t>3）预测情景设定</w:t>
      </w:r>
    </w:p>
    <w:p w14:paraId="37E19749">
      <w:pPr>
        <w:pStyle w:val="79"/>
        <w:bidi w:val="0"/>
        <w:rPr>
          <w:rFonts w:hint="default"/>
          <w:color w:val="auto"/>
        </w:rPr>
      </w:pPr>
      <w:r>
        <w:rPr>
          <w:rFonts w:hint="default"/>
          <w:color w:val="auto"/>
        </w:rPr>
        <w:t>井场采</w:t>
      </w:r>
      <w:r>
        <w:rPr>
          <w:rFonts w:hint="eastAsia"/>
          <w:color w:val="auto"/>
          <w:lang w:val="en-US" w:eastAsia="zh-CN"/>
        </w:rPr>
        <w:t>油</w:t>
      </w:r>
      <w:r>
        <w:rPr>
          <w:rFonts w:hint="default"/>
          <w:color w:val="auto"/>
        </w:rPr>
        <w:t>树管线与法兰连接处</w:t>
      </w:r>
      <w:r>
        <w:rPr>
          <w:rFonts w:hint="eastAsia"/>
          <w:color w:val="auto"/>
          <w:lang w:val="en-US" w:eastAsia="zh-CN"/>
        </w:rPr>
        <w:t>、雄探1试采点原油方罐</w:t>
      </w:r>
      <w:r>
        <w:rPr>
          <w:rFonts w:hint="default"/>
          <w:color w:val="auto"/>
        </w:rPr>
        <w:t>出现破损泄漏的石油烃对土壤垂直下渗的污染。考虑瞬时泄漏1d后，5d、10d、20d、50d、100d后，污染物在垂直方向上的超标扩散距离和包气带底部石油类浓度。</w:t>
      </w:r>
    </w:p>
    <w:p w14:paraId="0EBE57CC">
      <w:pPr>
        <w:pStyle w:val="79"/>
        <w:bidi w:val="0"/>
        <w:rPr>
          <w:rFonts w:hint="default"/>
          <w:color w:val="auto"/>
        </w:rPr>
      </w:pPr>
      <w:r>
        <w:rPr>
          <w:rFonts w:hint="default"/>
          <w:color w:val="auto"/>
        </w:rPr>
        <w:t>4）污染物预测评价因子和预测源强</w:t>
      </w:r>
    </w:p>
    <w:p w14:paraId="6F38C727">
      <w:pPr>
        <w:pStyle w:val="79"/>
        <w:bidi w:val="0"/>
        <w:rPr>
          <w:rFonts w:hint="default"/>
          <w:color w:val="auto"/>
        </w:rPr>
      </w:pPr>
      <w:r>
        <w:rPr>
          <w:rFonts w:hint="default"/>
          <w:color w:val="auto"/>
        </w:rPr>
        <w:t>场</w:t>
      </w:r>
      <w:r>
        <w:rPr>
          <w:rFonts w:hint="eastAsia"/>
          <w:color w:val="auto"/>
          <w:lang w:val="en-US" w:eastAsia="zh-CN"/>
        </w:rPr>
        <w:t>站设备</w:t>
      </w:r>
      <w:r>
        <w:rPr>
          <w:rFonts w:hint="default"/>
          <w:color w:val="auto"/>
        </w:rPr>
        <w:t>或集输管线由于开裂或腐蚀磨损等原因，造成采出液少量泄漏。参考《建设项目环境风险评价技术导则》（HJ 169-2018）附录E，设定拟建项目</w:t>
      </w:r>
      <w:r>
        <w:rPr>
          <w:rFonts w:hint="eastAsia"/>
          <w:color w:val="auto"/>
          <w:lang w:val="en-US" w:eastAsia="zh-CN"/>
        </w:rPr>
        <w:t>原油方罐</w:t>
      </w:r>
      <w:r>
        <w:rPr>
          <w:rFonts w:hint="default"/>
          <w:color w:val="auto"/>
        </w:rPr>
        <w:t>破裂，单井日产油</w:t>
      </w:r>
      <w:r>
        <w:rPr>
          <w:rFonts w:hint="eastAsia"/>
          <w:color w:val="auto"/>
          <w:lang w:val="en-US" w:eastAsia="zh-CN"/>
        </w:rPr>
        <w:t>21.12</w:t>
      </w:r>
      <w:r>
        <w:rPr>
          <w:rFonts w:hint="default"/>
          <w:color w:val="auto"/>
        </w:rPr>
        <w:t>t/d，以事故状态下</w:t>
      </w:r>
      <w:r>
        <w:rPr>
          <w:rFonts w:hint="eastAsia"/>
          <w:color w:val="auto"/>
          <w:lang w:eastAsia="zh-CN"/>
        </w:rPr>
        <w:t>泄漏</w:t>
      </w:r>
      <w:r>
        <w:rPr>
          <w:rFonts w:hint="default"/>
          <w:color w:val="auto"/>
        </w:rPr>
        <w:t>1d计算。</w:t>
      </w:r>
    </w:p>
    <w:p w14:paraId="4096C12E">
      <w:pPr>
        <w:pStyle w:val="79"/>
        <w:bidi w:val="0"/>
        <w:rPr>
          <w:rFonts w:hint="default"/>
          <w:color w:val="auto"/>
        </w:rPr>
      </w:pPr>
      <w:r>
        <w:rPr>
          <w:rFonts w:hint="default"/>
          <w:color w:val="auto"/>
        </w:rPr>
        <w:t>石油类泄漏源强见表5.</w:t>
      </w:r>
      <w:r>
        <w:rPr>
          <w:rFonts w:hint="eastAsia"/>
          <w:color w:val="auto"/>
          <w:lang w:val="en-US" w:eastAsia="zh-CN"/>
        </w:rPr>
        <w:t>3</w:t>
      </w:r>
      <w:r>
        <w:rPr>
          <w:rFonts w:hint="default"/>
          <w:color w:val="auto"/>
        </w:rPr>
        <w:t>-3。</w:t>
      </w:r>
    </w:p>
    <w:p w14:paraId="5765FE49">
      <w:pPr>
        <w:pStyle w:val="61"/>
        <w:bidi w:val="0"/>
        <w:jc w:val="both"/>
        <w:rPr>
          <w:rFonts w:hint="eastAsia"/>
          <w:color w:val="auto"/>
          <w:lang w:val="en-US" w:eastAsia="zh-CN"/>
        </w:rPr>
      </w:pPr>
      <w:bookmarkStart w:id="637" w:name="_Ref38723385"/>
      <w:r>
        <w:rPr>
          <w:rFonts w:hint="eastAsia"/>
          <w:color w:val="auto"/>
          <w:lang w:val="en-US" w:eastAsia="zh-CN"/>
        </w:rPr>
        <w:t>表</w:t>
      </w:r>
      <w:bookmarkEnd w:id="637"/>
      <w:r>
        <w:rPr>
          <w:rFonts w:hint="eastAsia"/>
          <w:color w:val="auto"/>
          <w:lang w:val="en-US" w:eastAsia="zh-CN"/>
        </w:rPr>
        <w:t>5.3-3  泄漏源强表</w:t>
      </w:r>
    </w:p>
    <w:tbl>
      <w:tblPr>
        <w:tblStyle w:val="36"/>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89"/>
        <w:gridCol w:w="1989"/>
        <w:gridCol w:w="1887"/>
        <w:gridCol w:w="2965"/>
      </w:tblGrid>
      <w:tr w14:paraId="520B26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1126" w:type="pct"/>
            <w:tcBorders>
              <w:tl2br w:val="nil"/>
              <w:tr2bl w:val="nil"/>
            </w:tcBorders>
            <w:noWrap w:val="0"/>
            <w:vAlign w:val="center"/>
          </w:tcPr>
          <w:p w14:paraId="01C858CC">
            <w:pPr>
              <w:bidi w:val="0"/>
              <w:jc w:val="center"/>
              <w:rPr>
                <w:rFonts w:hint="default" w:ascii="Times New Roman" w:hAnsi="Times New Roman" w:eastAsia="宋体" w:cs="Times New Roman"/>
                <w:color w:val="auto"/>
                <w:lang w:eastAsia="en-US"/>
              </w:rPr>
            </w:pPr>
            <w:r>
              <w:rPr>
                <w:rFonts w:hint="default" w:ascii="Times New Roman" w:hAnsi="Times New Roman" w:eastAsia="宋体" w:cs="Times New Roman"/>
                <w:color w:val="auto"/>
                <w:lang w:eastAsia="en-US"/>
              </w:rPr>
              <w:t>预测情景</w:t>
            </w:r>
          </w:p>
        </w:tc>
        <w:tc>
          <w:tcPr>
            <w:tcW w:w="1126" w:type="pct"/>
            <w:tcBorders>
              <w:tl2br w:val="nil"/>
              <w:tr2bl w:val="nil"/>
            </w:tcBorders>
            <w:noWrap/>
            <w:vAlign w:val="center"/>
          </w:tcPr>
          <w:p w14:paraId="3BF0F854">
            <w:pPr>
              <w:bidi w:val="0"/>
              <w:jc w:val="center"/>
              <w:rPr>
                <w:rFonts w:hint="default" w:ascii="Times New Roman" w:hAnsi="Times New Roman" w:eastAsia="宋体" w:cs="Times New Roman"/>
                <w:color w:val="auto"/>
                <w:lang w:eastAsia="en-US"/>
              </w:rPr>
            </w:pPr>
            <w:r>
              <w:rPr>
                <w:rFonts w:hint="default" w:ascii="Times New Roman" w:hAnsi="Times New Roman" w:eastAsia="宋体" w:cs="Times New Roman"/>
                <w:color w:val="auto"/>
                <w:lang w:eastAsia="en-US"/>
              </w:rPr>
              <w:t>污染物</w:t>
            </w:r>
          </w:p>
        </w:tc>
        <w:tc>
          <w:tcPr>
            <w:tcW w:w="1068" w:type="pct"/>
            <w:tcBorders>
              <w:tl2br w:val="nil"/>
              <w:tr2bl w:val="nil"/>
            </w:tcBorders>
            <w:noWrap w:val="0"/>
            <w:vAlign w:val="center"/>
          </w:tcPr>
          <w:p w14:paraId="6B2D9496">
            <w:pPr>
              <w:bidi w:val="0"/>
              <w:jc w:val="center"/>
              <w:rPr>
                <w:rFonts w:hint="default" w:ascii="Times New Roman" w:hAnsi="Times New Roman" w:eastAsia="宋体" w:cs="Times New Roman"/>
                <w:color w:val="auto"/>
                <w:lang w:eastAsia="en-US"/>
              </w:rPr>
            </w:pPr>
            <w:r>
              <w:rPr>
                <w:rFonts w:hint="default" w:ascii="Times New Roman" w:hAnsi="Times New Roman" w:eastAsia="宋体" w:cs="Times New Roman"/>
                <w:color w:val="auto"/>
                <w:lang w:eastAsia="en-US"/>
              </w:rPr>
              <w:t>浓度（mg/L）</w:t>
            </w:r>
          </w:p>
        </w:tc>
        <w:tc>
          <w:tcPr>
            <w:tcW w:w="1678" w:type="pct"/>
            <w:tcBorders>
              <w:tl2br w:val="nil"/>
              <w:tr2bl w:val="nil"/>
            </w:tcBorders>
            <w:noWrap w:val="0"/>
            <w:vAlign w:val="center"/>
          </w:tcPr>
          <w:p w14:paraId="27D41027">
            <w:pPr>
              <w:bidi w:val="0"/>
              <w:jc w:val="center"/>
              <w:rPr>
                <w:rFonts w:hint="default" w:ascii="Times New Roman" w:hAnsi="Times New Roman" w:eastAsia="宋体" w:cs="Times New Roman"/>
                <w:color w:val="auto"/>
              </w:rPr>
            </w:pPr>
            <w:bookmarkStart w:id="638" w:name="_Hlk17375435"/>
            <w:r>
              <w:rPr>
                <w:rFonts w:hint="default" w:ascii="Times New Roman" w:hAnsi="Times New Roman" w:eastAsia="宋体" w:cs="Times New Roman"/>
                <w:color w:val="auto"/>
              </w:rPr>
              <w:t>泄漏量</w:t>
            </w:r>
            <w:bookmarkEnd w:id="638"/>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w:t>
            </w:r>
          </w:p>
        </w:tc>
      </w:tr>
      <w:tr w14:paraId="1D3AE6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126" w:type="pct"/>
            <w:tcBorders>
              <w:tl2br w:val="nil"/>
              <w:tr2bl w:val="nil"/>
            </w:tcBorders>
            <w:noWrap w:val="0"/>
            <w:vAlign w:val="center"/>
          </w:tcPr>
          <w:p w14:paraId="4FEE4151">
            <w:pPr>
              <w:bidi w:val="0"/>
              <w:jc w:val="center"/>
              <w:rPr>
                <w:rFonts w:hint="default" w:ascii="Times New Roman" w:hAnsi="Times New Roman" w:eastAsia="宋体" w:cs="Times New Roman"/>
                <w:color w:val="auto"/>
                <w:lang w:eastAsia="en-US"/>
              </w:rPr>
            </w:pPr>
            <w:r>
              <w:rPr>
                <w:rFonts w:hint="eastAsia" w:ascii="Times New Roman" w:hAnsi="Times New Roman" w:eastAsia="宋体" w:cs="Times New Roman"/>
                <w:color w:val="auto"/>
                <w:lang w:val="en-US" w:eastAsia="zh-CN"/>
              </w:rPr>
              <w:t>储罐</w:t>
            </w:r>
            <w:r>
              <w:rPr>
                <w:rFonts w:hint="default" w:ascii="Times New Roman" w:hAnsi="Times New Roman" w:eastAsia="宋体" w:cs="Times New Roman"/>
                <w:color w:val="auto"/>
              </w:rPr>
              <w:t>破裂</w:t>
            </w:r>
          </w:p>
        </w:tc>
        <w:tc>
          <w:tcPr>
            <w:tcW w:w="1126" w:type="pct"/>
            <w:tcBorders>
              <w:tl2br w:val="nil"/>
              <w:tr2bl w:val="nil"/>
            </w:tcBorders>
            <w:noWrap/>
            <w:vAlign w:val="center"/>
          </w:tcPr>
          <w:p w14:paraId="054D9984">
            <w:pPr>
              <w:bidi w:val="0"/>
              <w:jc w:val="center"/>
              <w:rPr>
                <w:rFonts w:hint="default" w:ascii="Times New Roman" w:hAnsi="Times New Roman" w:eastAsia="宋体" w:cs="Times New Roman"/>
                <w:color w:val="auto"/>
                <w:lang w:eastAsia="en-US"/>
              </w:rPr>
            </w:pPr>
            <w:r>
              <w:rPr>
                <w:rFonts w:hint="default" w:ascii="Times New Roman" w:hAnsi="Times New Roman" w:eastAsia="宋体" w:cs="Times New Roman"/>
                <w:color w:val="auto"/>
                <w:lang w:eastAsia="en-US"/>
              </w:rPr>
              <w:t>石油类</w:t>
            </w:r>
          </w:p>
        </w:tc>
        <w:tc>
          <w:tcPr>
            <w:tcW w:w="1068" w:type="pct"/>
            <w:tcBorders>
              <w:tl2br w:val="nil"/>
              <w:tr2bl w:val="nil"/>
            </w:tcBorders>
            <w:noWrap/>
            <w:vAlign w:val="center"/>
          </w:tcPr>
          <w:p w14:paraId="21B12CF4">
            <w:pPr>
              <w:bidi w:val="0"/>
              <w:jc w:val="center"/>
              <w:rPr>
                <w:rFonts w:hint="default" w:ascii="Times New Roman" w:hAnsi="Times New Roman" w:eastAsia="宋体" w:cs="Times New Roman"/>
                <w:color w:val="auto"/>
                <w:lang w:eastAsia="en-US"/>
              </w:rPr>
            </w:pPr>
            <w:r>
              <w:rPr>
                <w:rFonts w:hint="default" w:ascii="Times New Roman" w:hAnsi="Times New Roman" w:eastAsia="宋体" w:cs="Times New Roman"/>
                <w:color w:val="auto"/>
              </w:rPr>
              <w:t>1000</w:t>
            </w:r>
          </w:p>
        </w:tc>
        <w:tc>
          <w:tcPr>
            <w:tcW w:w="1678" w:type="pct"/>
            <w:tcBorders>
              <w:tl2br w:val="nil"/>
              <w:tr2bl w:val="nil"/>
            </w:tcBorders>
            <w:noWrap/>
            <w:vAlign w:val="center"/>
          </w:tcPr>
          <w:p w14:paraId="4C2D34E8">
            <w:pPr>
              <w:bidi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21.12</w:t>
            </w:r>
          </w:p>
        </w:tc>
      </w:tr>
    </w:tbl>
    <w:p w14:paraId="3B28DC53">
      <w:pPr>
        <w:pStyle w:val="79"/>
        <w:bidi w:val="0"/>
        <w:rPr>
          <w:rFonts w:hint="default"/>
          <w:color w:val="auto"/>
        </w:rPr>
      </w:pPr>
      <w:r>
        <w:rPr>
          <w:rFonts w:hint="default"/>
          <w:color w:val="auto"/>
        </w:rPr>
        <w:t>5）垂直入渗土壤预测模型</w:t>
      </w:r>
    </w:p>
    <w:p w14:paraId="53A8DA25">
      <w:pPr>
        <w:pStyle w:val="79"/>
        <w:bidi w:val="0"/>
        <w:rPr>
          <w:rFonts w:hint="default"/>
          <w:color w:val="auto"/>
        </w:rPr>
      </w:pPr>
      <w:r>
        <w:rPr>
          <w:rFonts w:hint="default"/>
          <w:color w:val="auto"/>
        </w:rPr>
        <w:t>根据《环境影响评价技术导则 土壤环境</w:t>
      </w:r>
      <w:r>
        <w:rPr>
          <w:rFonts w:hint="eastAsia"/>
          <w:color w:val="auto"/>
          <w:lang w:eastAsia="zh-CN"/>
        </w:rPr>
        <w:t>（</w:t>
      </w:r>
      <w:r>
        <w:rPr>
          <w:rFonts w:hint="default"/>
          <w:color w:val="auto"/>
        </w:rPr>
        <w:t>试行</w:t>
      </w:r>
      <w:r>
        <w:rPr>
          <w:rFonts w:hint="eastAsia"/>
          <w:color w:val="auto"/>
          <w:lang w:eastAsia="zh-CN"/>
        </w:rPr>
        <w:t>）</w:t>
      </w:r>
      <w:r>
        <w:rPr>
          <w:rFonts w:hint="default"/>
          <w:color w:val="auto"/>
        </w:rPr>
        <w:t>》</w:t>
      </w:r>
      <w:r>
        <w:rPr>
          <w:rFonts w:hint="eastAsia"/>
          <w:color w:val="auto"/>
          <w:lang w:eastAsia="zh-CN"/>
        </w:rPr>
        <w:t>（</w:t>
      </w:r>
      <w:r>
        <w:rPr>
          <w:rFonts w:hint="default"/>
          <w:color w:val="auto"/>
        </w:rPr>
        <w:t>HJ964-2018</w:t>
      </w:r>
      <w:r>
        <w:rPr>
          <w:rFonts w:hint="eastAsia"/>
          <w:color w:val="auto"/>
          <w:lang w:eastAsia="zh-CN"/>
        </w:rPr>
        <w:t>）</w:t>
      </w:r>
      <w:r>
        <w:rPr>
          <w:rFonts w:hint="default"/>
          <w:color w:val="auto"/>
        </w:rPr>
        <w:t>附录E中预测方法对拟建工程垂直入渗对区域土壤环境影响进行预测，预测公式如下：</w:t>
      </w:r>
    </w:p>
    <w:p w14:paraId="3B6C86A4">
      <w:pPr>
        <w:pStyle w:val="79"/>
        <w:bidi w:val="0"/>
        <w:rPr>
          <w:rFonts w:hint="default"/>
          <w:color w:val="auto"/>
        </w:rPr>
      </w:pPr>
      <w:r>
        <w:rPr>
          <w:rFonts w:hint="default"/>
          <w:color w:val="auto"/>
        </w:rPr>
        <w:t>a一维非饱和溶质垂向运移控制方程：</w:t>
      </w:r>
    </w:p>
    <w:p w14:paraId="0DECB48F">
      <w:pPr>
        <w:pStyle w:val="102"/>
        <w:rPr>
          <w:rStyle w:val="163"/>
          <w:color w:val="auto"/>
        </w:rPr>
      </w:pPr>
      <w:r>
        <w:rPr>
          <w:rStyle w:val="163"/>
          <w:color w:val="auto"/>
        </w:rPr>
        <w:drawing>
          <wp:anchor distT="0" distB="0" distL="114300" distR="114300" simplePos="0" relativeHeight="251692032" behindDoc="0" locked="0" layoutInCell="1" allowOverlap="1">
            <wp:simplePos x="0" y="0"/>
            <wp:positionH relativeFrom="column">
              <wp:posOffset>1843405</wp:posOffset>
            </wp:positionH>
            <wp:positionV relativeFrom="paragraph">
              <wp:posOffset>102235</wp:posOffset>
            </wp:positionV>
            <wp:extent cx="1887220" cy="400685"/>
            <wp:effectExtent l="0" t="0" r="17780" b="18415"/>
            <wp:wrapNone/>
            <wp:docPr id="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
                    <pic:cNvPicPr>
                      <a:picLocks noChangeAspect="1"/>
                    </pic:cNvPicPr>
                  </pic:nvPicPr>
                  <pic:blipFill>
                    <a:blip r:embed="rId26"/>
                    <a:stretch>
                      <a:fillRect/>
                    </a:stretch>
                  </pic:blipFill>
                  <pic:spPr>
                    <a:xfrm>
                      <a:off x="0" y="0"/>
                      <a:ext cx="1887220" cy="400685"/>
                    </a:xfrm>
                    <a:prstGeom prst="rect">
                      <a:avLst/>
                    </a:prstGeom>
                    <a:noFill/>
                    <a:ln>
                      <a:noFill/>
                    </a:ln>
                  </pic:spPr>
                </pic:pic>
              </a:graphicData>
            </a:graphic>
          </wp:anchor>
        </w:drawing>
      </w:r>
      <w:r>
        <w:rPr>
          <w:rStyle w:val="163"/>
          <w:color w:val="auto"/>
        </w:rPr>
        <w:t xml:space="preserve"> </w:t>
      </w:r>
    </w:p>
    <w:p w14:paraId="79C11CD8">
      <w:pPr>
        <w:pStyle w:val="102"/>
        <w:rPr>
          <w:rStyle w:val="163"/>
          <w:color w:val="auto"/>
        </w:rPr>
      </w:pPr>
    </w:p>
    <w:p w14:paraId="3125FCB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式中：c--污染物介质中的浓度，mg/L；</w:t>
      </w:r>
    </w:p>
    <w:p w14:paraId="66524FC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D--弥散系数，m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/d；</w:t>
      </w:r>
    </w:p>
    <w:p w14:paraId="4294188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q--渗流速度，m/d；</w:t>
      </w:r>
    </w:p>
    <w:p w14:paraId="537564D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z--沿z轴的距离，m；</w:t>
      </w:r>
    </w:p>
    <w:p w14:paraId="73DF1E7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t--时间变量，d；</w:t>
      </w:r>
    </w:p>
    <w:p w14:paraId="2EB9B2A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θ-土壤含水率，%。</w:t>
      </w:r>
    </w:p>
    <w:p w14:paraId="741AAA5F">
      <w:pPr>
        <w:pStyle w:val="79"/>
        <w:bidi w:val="0"/>
        <w:rPr>
          <w:rFonts w:hint="default"/>
          <w:color w:val="auto"/>
        </w:rPr>
      </w:pPr>
      <w:r>
        <w:rPr>
          <w:rFonts w:hint="default"/>
          <w:color w:val="auto"/>
        </w:rPr>
        <w:t>b初始条件</w:t>
      </w:r>
    </w:p>
    <w:p w14:paraId="26DA9127">
      <w:pPr>
        <w:pStyle w:val="102"/>
        <w:rPr>
          <w:rStyle w:val="163"/>
          <w:color w:val="auto"/>
        </w:rPr>
      </w:pPr>
      <w:r>
        <w:rPr>
          <w:rStyle w:val="163"/>
          <w:color w:val="auto"/>
        </w:rPr>
        <w:drawing>
          <wp:anchor distT="0" distB="0" distL="114300" distR="114300" simplePos="0" relativeHeight="251693056" behindDoc="0" locked="0" layoutInCell="1" allowOverlap="1">
            <wp:simplePos x="0" y="0"/>
            <wp:positionH relativeFrom="column">
              <wp:posOffset>1152525</wp:posOffset>
            </wp:positionH>
            <wp:positionV relativeFrom="paragraph">
              <wp:posOffset>62865</wp:posOffset>
            </wp:positionV>
            <wp:extent cx="1980565" cy="200025"/>
            <wp:effectExtent l="0" t="0" r="635" b="9525"/>
            <wp:wrapNone/>
            <wp:docPr id="7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
                    <pic:cNvPicPr>
                      <a:picLocks noChangeAspect="1"/>
                    </pic:cNvPicPr>
                  </pic:nvPicPr>
                  <pic:blipFill>
                    <a:blip r:embed="rId27"/>
                    <a:stretch>
                      <a:fillRect/>
                    </a:stretch>
                  </pic:blipFill>
                  <pic:spPr>
                    <a:xfrm>
                      <a:off x="0" y="0"/>
                      <a:ext cx="1980565" cy="200025"/>
                    </a:xfrm>
                    <a:prstGeom prst="rect">
                      <a:avLst/>
                    </a:prstGeom>
                    <a:noFill/>
                    <a:ln>
                      <a:noFill/>
                    </a:ln>
                  </pic:spPr>
                </pic:pic>
              </a:graphicData>
            </a:graphic>
          </wp:anchor>
        </w:drawing>
      </w:r>
      <w:r>
        <w:rPr>
          <w:rStyle w:val="163"/>
          <w:color w:val="auto"/>
        </w:rPr>
        <w:t xml:space="preserve"> </w:t>
      </w:r>
    </w:p>
    <w:p w14:paraId="7721D578">
      <w:pPr>
        <w:pStyle w:val="102"/>
        <w:keepNext w:val="0"/>
        <w:keepLines w:val="0"/>
        <w:pageBreakBefore w:val="0"/>
        <w:kinsoku/>
        <w:wordWrap/>
        <w:overflowPunct/>
        <w:topLinePunct w:val="0"/>
        <w:autoSpaceDE/>
        <w:autoSpaceDN/>
        <w:bidi w:val="0"/>
        <w:adjustRightInd/>
        <w:spacing w:line="480" w:lineRule="exact"/>
        <w:textAlignment w:val="auto"/>
        <w:rPr>
          <w:rStyle w:val="163"/>
          <w:rFonts w:hint="default" w:ascii="Times New Roman" w:hAnsi="Times New Roman" w:eastAsia="宋体" w:cs="Times New Roman"/>
          <w:color w:val="auto"/>
        </w:rPr>
      </w:pPr>
      <w:r>
        <w:rPr>
          <w:rStyle w:val="163"/>
          <w:rFonts w:hint="default" w:ascii="Times New Roman" w:hAnsi="Times New Roman" w:eastAsia="宋体" w:cs="Times New Roman"/>
          <w:color w:val="auto"/>
        </w:rPr>
        <w:t>c边界条件</w:t>
      </w:r>
    </w:p>
    <w:p w14:paraId="0EF94ADA">
      <w:pPr>
        <w:pStyle w:val="102"/>
        <w:keepNext w:val="0"/>
        <w:keepLines w:val="0"/>
        <w:pageBreakBefore w:val="0"/>
        <w:kinsoku/>
        <w:wordWrap/>
        <w:overflowPunct/>
        <w:topLinePunct w:val="0"/>
        <w:autoSpaceDE/>
        <w:autoSpaceDN/>
        <w:bidi w:val="0"/>
        <w:adjustRightInd/>
        <w:spacing w:line="480" w:lineRule="exact"/>
        <w:textAlignment w:val="auto"/>
        <w:rPr>
          <w:rStyle w:val="163"/>
          <w:rFonts w:hint="default" w:ascii="Times New Roman" w:hAnsi="Times New Roman" w:eastAsia="宋体" w:cs="Times New Roman"/>
          <w:color w:val="auto"/>
        </w:rPr>
      </w:pPr>
      <w:r>
        <w:rPr>
          <w:rStyle w:val="163"/>
          <w:rFonts w:hint="default" w:ascii="Times New Roman" w:hAnsi="Times New Roman" w:eastAsia="宋体" w:cs="Times New Roman"/>
          <w:color w:val="auto"/>
        </w:rPr>
        <w:t>第一类Dirichlet边界条件：</w:t>
      </w:r>
    </w:p>
    <w:p w14:paraId="3AE2037A">
      <w:pPr>
        <w:pStyle w:val="102"/>
        <w:keepNext w:val="0"/>
        <w:keepLines w:val="0"/>
        <w:pageBreakBefore w:val="0"/>
        <w:kinsoku/>
        <w:wordWrap/>
        <w:overflowPunct/>
        <w:topLinePunct w:val="0"/>
        <w:autoSpaceDE/>
        <w:autoSpaceDN/>
        <w:bidi w:val="0"/>
        <w:adjustRightInd/>
        <w:spacing w:line="480" w:lineRule="exact"/>
        <w:textAlignment w:val="auto"/>
        <w:rPr>
          <w:rStyle w:val="163"/>
          <w:color w:val="auto"/>
        </w:rPr>
      </w:pPr>
      <w:r>
        <w:rPr>
          <w:rStyle w:val="163"/>
          <w:color w:val="auto"/>
        </w:rPr>
        <w:t>连续点源：</w:t>
      </w:r>
      <w:r>
        <w:rPr>
          <w:rStyle w:val="163"/>
          <w:color w:val="auto"/>
        </w:rPr>
        <w:drawing>
          <wp:inline distT="0" distB="0" distL="114300" distR="114300">
            <wp:extent cx="1752600" cy="196850"/>
            <wp:effectExtent l="0" t="0" r="0" b="12700"/>
            <wp:docPr id="8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
                    <pic:cNvPicPr>
                      <a:picLocks noChangeAspect="1"/>
                    </pic:cNvPicPr>
                  </pic:nvPicPr>
                  <pic:blipFill>
                    <a:blip r:embed="rId28"/>
                    <a:stretch>
                      <a:fillRect/>
                    </a:stretch>
                  </pic:blipFill>
                  <pic:spPr>
                    <a:xfrm>
                      <a:off x="0" y="0"/>
                      <a:ext cx="1752600" cy="196850"/>
                    </a:xfrm>
                    <a:prstGeom prst="rect">
                      <a:avLst/>
                    </a:prstGeom>
                    <a:noFill/>
                    <a:ln>
                      <a:noFill/>
                    </a:ln>
                  </pic:spPr>
                </pic:pic>
              </a:graphicData>
            </a:graphic>
          </wp:inline>
        </w:drawing>
      </w:r>
      <w:r>
        <w:rPr>
          <w:rStyle w:val="163"/>
          <w:color w:val="auto"/>
        </w:rPr>
        <w:t xml:space="preserve"> </w:t>
      </w:r>
    </w:p>
    <w:p w14:paraId="163F5A41">
      <w:pPr>
        <w:pStyle w:val="102"/>
        <w:keepNext w:val="0"/>
        <w:keepLines w:val="0"/>
        <w:pageBreakBefore w:val="0"/>
        <w:kinsoku/>
        <w:wordWrap/>
        <w:overflowPunct/>
        <w:topLinePunct w:val="0"/>
        <w:autoSpaceDE/>
        <w:autoSpaceDN/>
        <w:bidi w:val="0"/>
        <w:adjustRightInd/>
        <w:spacing w:line="480" w:lineRule="exact"/>
        <w:textAlignment w:val="auto"/>
        <w:rPr>
          <w:rStyle w:val="163"/>
          <w:color w:val="auto"/>
        </w:rPr>
      </w:pPr>
      <w:r>
        <w:rPr>
          <w:rStyle w:val="163"/>
          <w:color w:val="auto"/>
        </w:rPr>
        <w:drawing>
          <wp:anchor distT="0" distB="0" distL="114300" distR="114300" simplePos="0" relativeHeight="251694080" behindDoc="0" locked="0" layoutInCell="1" allowOverlap="1">
            <wp:simplePos x="0" y="0"/>
            <wp:positionH relativeFrom="column">
              <wp:posOffset>1045210</wp:posOffset>
            </wp:positionH>
            <wp:positionV relativeFrom="paragraph">
              <wp:posOffset>63500</wp:posOffset>
            </wp:positionV>
            <wp:extent cx="2030095" cy="400685"/>
            <wp:effectExtent l="0" t="0" r="8255" b="18415"/>
            <wp:wrapNone/>
            <wp:docPr id="8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5"/>
                    <pic:cNvPicPr>
                      <a:picLocks noChangeAspect="1"/>
                    </pic:cNvPicPr>
                  </pic:nvPicPr>
                  <pic:blipFill>
                    <a:blip r:embed="rId29"/>
                    <a:stretch>
                      <a:fillRect/>
                    </a:stretch>
                  </pic:blipFill>
                  <pic:spPr>
                    <a:xfrm>
                      <a:off x="0" y="0"/>
                      <a:ext cx="2030095" cy="400685"/>
                    </a:xfrm>
                    <a:prstGeom prst="rect">
                      <a:avLst/>
                    </a:prstGeom>
                    <a:noFill/>
                    <a:ln>
                      <a:noFill/>
                    </a:ln>
                  </pic:spPr>
                </pic:pic>
              </a:graphicData>
            </a:graphic>
          </wp:anchor>
        </w:drawing>
      </w:r>
    </w:p>
    <w:p w14:paraId="1FBD2C90">
      <w:pPr>
        <w:pStyle w:val="102"/>
        <w:keepNext w:val="0"/>
        <w:keepLines w:val="0"/>
        <w:pageBreakBefore w:val="0"/>
        <w:kinsoku/>
        <w:wordWrap/>
        <w:overflowPunct/>
        <w:topLinePunct w:val="0"/>
        <w:autoSpaceDE/>
        <w:autoSpaceDN/>
        <w:bidi w:val="0"/>
        <w:adjustRightInd/>
        <w:spacing w:line="480" w:lineRule="exact"/>
        <w:textAlignment w:val="auto"/>
        <w:rPr>
          <w:rStyle w:val="163"/>
          <w:color w:val="auto"/>
        </w:rPr>
      </w:pPr>
    </w:p>
    <w:p w14:paraId="7E16D686">
      <w:pPr>
        <w:pStyle w:val="102"/>
        <w:keepNext w:val="0"/>
        <w:keepLines w:val="0"/>
        <w:pageBreakBefore w:val="0"/>
        <w:kinsoku/>
        <w:wordWrap/>
        <w:overflowPunct/>
        <w:topLinePunct w:val="0"/>
        <w:autoSpaceDE/>
        <w:autoSpaceDN/>
        <w:bidi w:val="0"/>
        <w:adjustRightInd/>
        <w:spacing w:line="480" w:lineRule="exact"/>
        <w:textAlignment w:val="auto"/>
        <w:rPr>
          <w:rStyle w:val="163"/>
          <w:color w:val="auto"/>
        </w:rPr>
      </w:pPr>
      <w:r>
        <w:rPr>
          <w:rStyle w:val="163"/>
          <w:color w:val="auto"/>
        </w:rPr>
        <w:drawing>
          <wp:anchor distT="0" distB="0" distL="114300" distR="114300" simplePos="0" relativeHeight="251695104" behindDoc="0" locked="0" layoutInCell="1" allowOverlap="1">
            <wp:simplePos x="0" y="0"/>
            <wp:positionH relativeFrom="column">
              <wp:posOffset>2737485</wp:posOffset>
            </wp:positionH>
            <wp:positionV relativeFrom="paragraph">
              <wp:posOffset>235585</wp:posOffset>
            </wp:positionV>
            <wp:extent cx="1868170" cy="400685"/>
            <wp:effectExtent l="0" t="0" r="17780" b="18415"/>
            <wp:wrapNone/>
            <wp:docPr id="7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
                    <pic:cNvPicPr>
                      <a:picLocks noChangeAspect="1"/>
                    </pic:cNvPicPr>
                  </pic:nvPicPr>
                  <pic:blipFill>
                    <a:blip r:embed="rId30"/>
                    <a:stretch>
                      <a:fillRect/>
                    </a:stretch>
                  </pic:blipFill>
                  <pic:spPr>
                    <a:xfrm>
                      <a:off x="0" y="0"/>
                      <a:ext cx="1868170" cy="400685"/>
                    </a:xfrm>
                    <a:prstGeom prst="rect">
                      <a:avLst/>
                    </a:prstGeom>
                    <a:noFill/>
                    <a:ln>
                      <a:noFill/>
                    </a:ln>
                  </pic:spPr>
                </pic:pic>
              </a:graphicData>
            </a:graphic>
          </wp:anchor>
        </w:drawing>
      </w:r>
      <w:r>
        <w:rPr>
          <w:rStyle w:val="163"/>
          <w:color w:val="auto"/>
        </w:rPr>
        <w:t>非连续点源：</w:t>
      </w:r>
    </w:p>
    <w:p w14:paraId="7F2329BA">
      <w:pPr>
        <w:pStyle w:val="102"/>
        <w:keepNext w:val="0"/>
        <w:keepLines w:val="0"/>
        <w:pageBreakBefore w:val="0"/>
        <w:kinsoku/>
        <w:wordWrap/>
        <w:overflowPunct/>
        <w:topLinePunct w:val="0"/>
        <w:autoSpaceDE/>
        <w:autoSpaceDN/>
        <w:bidi w:val="0"/>
        <w:adjustRightInd/>
        <w:spacing w:line="480" w:lineRule="exact"/>
        <w:textAlignment w:val="auto"/>
        <w:rPr>
          <w:rStyle w:val="163"/>
          <w:color w:val="auto"/>
        </w:rPr>
      </w:pPr>
      <w:r>
        <w:rPr>
          <w:rStyle w:val="163"/>
          <w:color w:val="auto"/>
        </w:rPr>
        <w:t>第二类Neumann零梯度边界条件：</w:t>
      </w:r>
    </w:p>
    <w:p w14:paraId="77EA7BF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对于边界条件概化方法，综述如下：</w:t>
      </w:r>
    </w:p>
    <w:p w14:paraId="44F8FB3A">
      <w:pPr>
        <w:pStyle w:val="79"/>
        <w:bidi w:val="0"/>
        <w:rPr>
          <w:rFonts w:hint="default"/>
          <w:color w:val="auto"/>
        </w:rPr>
      </w:pPr>
      <w:r>
        <w:rPr>
          <w:rFonts w:hint="default"/>
          <w:color w:val="auto"/>
        </w:rPr>
        <w:t>d水流模型</w:t>
      </w:r>
    </w:p>
    <w:p w14:paraId="0ECEBDDA">
      <w:pPr>
        <w:pStyle w:val="79"/>
        <w:bidi w:val="0"/>
        <w:rPr>
          <w:rFonts w:hint="default"/>
          <w:color w:val="auto"/>
        </w:rPr>
      </w:pPr>
      <w:r>
        <w:rPr>
          <w:rFonts w:hint="default"/>
          <w:color w:val="auto"/>
        </w:rPr>
        <w:t>上边界为定通量边界，单位时间渗漏通量为0.961m³/d，设定土壤剖面初始压力水头为-300cm。下边界为潜水含水层自由水面，下边界设定为定压力水头。</w:t>
      </w:r>
    </w:p>
    <w:p w14:paraId="41788BA5">
      <w:pPr>
        <w:pStyle w:val="79"/>
        <w:bidi w:val="0"/>
        <w:rPr>
          <w:rFonts w:hint="default"/>
          <w:color w:val="auto"/>
        </w:rPr>
      </w:pPr>
      <w:r>
        <w:rPr>
          <w:rFonts w:hint="default"/>
          <w:color w:val="auto"/>
        </w:rPr>
        <w:t>e溶质运移模型</w:t>
      </w:r>
    </w:p>
    <w:p w14:paraId="76BE1AA3">
      <w:pPr>
        <w:pStyle w:val="79"/>
        <w:bidi w:val="0"/>
        <w:rPr>
          <w:rFonts w:hint="default"/>
          <w:color w:val="auto"/>
        </w:rPr>
      </w:pPr>
      <w:r>
        <w:rPr>
          <w:rFonts w:hint="default"/>
          <w:color w:val="auto"/>
        </w:rPr>
        <w:t>模型上边界概化为</w:t>
      </w:r>
      <w:bookmarkStart w:id="639" w:name="_Hlk17666264"/>
      <w:r>
        <w:rPr>
          <w:rFonts w:hint="default"/>
          <w:color w:val="auto"/>
        </w:rPr>
        <w:t>污染物变量，</w:t>
      </w:r>
      <w:bookmarkEnd w:id="639"/>
      <w:r>
        <w:rPr>
          <w:rFonts w:hint="default"/>
          <w:color w:val="auto"/>
        </w:rPr>
        <w:t>下边界为自由排水边界。</w:t>
      </w:r>
    </w:p>
    <w:p w14:paraId="0C91039F">
      <w:pPr>
        <w:pStyle w:val="79"/>
        <w:bidi w:val="0"/>
        <w:rPr>
          <w:rFonts w:hint="default"/>
          <w:color w:val="auto"/>
        </w:rPr>
      </w:pPr>
      <w:r>
        <w:rPr>
          <w:rFonts w:hint="default"/>
          <w:color w:val="auto"/>
        </w:rPr>
        <w:t>6）预测参数选取</w:t>
      </w:r>
    </w:p>
    <w:p w14:paraId="4B525A8C">
      <w:pPr>
        <w:pStyle w:val="79"/>
        <w:bidi w:val="0"/>
        <w:rPr>
          <w:rFonts w:hint="default"/>
          <w:color w:val="auto"/>
        </w:rPr>
      </w:pPr>
      <w:r>
        <w:rPr>
          <w:rFonts w:hint="default"/>
          <w:color w:val="auto"/>
        </w:rPr>
        <w:t>根据现场土壤采样及水文地质调查结果，拟建工程选取</w:t>
      </w:r>
      <w:r>
        <w:rPr>
          <w:rFonts w:hint="eastAsia"/>
          <w:color w:val="auto"/>
          <w:lang w:val="en-US" w:eastAsia="zh-CN"/>
        </w:rPr>
        <w:t>雄探1试采点</w:t>
      </w:r>
      <w:r>
        <w:rPr>
          <w:rFonts w:hint="default"/>
          <w:color w:val="auto"/>
        </w:rPr>
        <w:t>进行预测，各参数均采用Hydrus软件自带的经验参数值。预测模型参数取值见表5.</w:t>
      </w:r>
      <w:r>
        <w:rPr>
          <w:rFonts w:hint="eastAsia"/>
          <w:color w:val="auto"/>
          <w:lang w:val="en-US" w:eastAsia="zh-CN"/>
        </w:rPr>
        <w:t>3</w:t>
      </w:r>
      <w:r>
        <w:rPr>
          <w:rFonts w:hint="default"/>
          <w:color w:val="auto"/>
        </w:rPr>
        <w:t>-4。</w:t>
      </w:r>
    </w:p>
    <w:p w14:paraId="4A1C6F3E">
      <w:pPr>
        <w:pStyle w:val="61"/>
        <w:bidi w:val="0"/>
        <w:jc w:val="both"/>
        <w:rPr>
          <w:rFonts w:hint="eastAsia"/>
          <w:color w:val="auto"/>
          <w:lang w:val="en-US" w:eastAsia="zh-CN"/>
        </w:rPr>
      </w:pPr>
      <w:bookmarkStart w:id="640" w:name="_Ref37768170"/>
      <w:r>
        <w:rPr>
          <w:rFonts w:hint="eastAsia"/>
          <w:color w:val="auto"/>
          <w:lang w:val="en-US" w:eastAsia="zh-CN"/>
        </w:rPr>
        <w:t>表</w:t>
      </w:r>
      <w:bookmarkEnd w:id="640"/>
      <w:r>
        <w:rPr>
          <w:rFonts w:hint="eastAsia"/>
          <w:color w:val="auto"/>
          <w:lang w:val="en-US" w:eastAsia="zh-CN"/>
        </w:rPr>
        <w:t>5.3-4 土壤水力参数表</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081"/>
        <w:gridCol w:w="1081"/>
        <w:gridCol w:w="1081"/>
        <w:gridCol w:w="1081"/>
        <w:gridCol w:w="1081"/>
        <w:gridCol w:w="941"/>
        <w:gridCol w:w="1221"/>
        <w:gridCol w:w="1081"/>
      </w:tblGrid>
      <w:tr w14:paraId="26D0E4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25" w:type="pct"/>
            <w:tcBorders>
              <w:tl2br w:val="nil"/>
              <w:tr2bl w:val="nil"/>
            </w:tcBorders>
            <w:noWrap w:val="0"/>
            <w:vAlign w:val="center"/>
          </w:tcPr>
          <w:p w14:paraId="38806093">
            <w:pPr>
              <w:pStyle w:val="136"/>
              <w:rPr>
                <w:color w:val="auto"/>
              </w:rPr>
            </w:pPr>
            <w:r>
              <w:rPr>
                <w:rFonts w:hint="eastAsia"/>
                <w:color w:val="auto"/>
              </w:rPr>
              <w:t>土壤层次（cm）</w:t>
            </w:r>
          </w:p>
        </w:tc>
        <w:tc>
          <w:tcPr>
            <w:tcW w:w="625" w:type="pct"/>
            <w:tcBorders>
              <w:tl2br w:val="nil"/>
              <w:tr2bl w:val="nil"/>
            </w:tcBorders>
            <w:noWrap w:val="0"/>
            <w:vAlign w:val="center"/>
          </w:tcPr>
          <w:p w14:paraId="5B55702C">
            <w:pPr>
              <w:pStyle w:val="136"/>
              <w:rPr>
                <w:color w:val="auto"/>
              </w:rPr>
            </w:pPr>
            <w:r>
              <w:rPr>
                <w:rFonts w:hint="eastAsia"/>
                <w:color w:val="auto"/>
              </w:rPr>
              <w:t>土壤质地</w:t>
            </w:r>
          </w:p>
        </w:tc>
        <w:tc>
          <w:tcPr>
            <w:tcW w:w="625" w:type="pct"/>
            <w:tcBorders>
              <w:tl2br w:val="nil"/>
              <w:tr2bl w:val="nil"/>
            </w:tcBorders>
            <w:noWrap w:val="0"/>
            <w:vAlign w:val="center"/>
          </w:tcPr>
          <w:p w14:paraId="24F45EA8">
            <w:pPr>
              <w:pStyle w:val="136"/>
              <w:rPr>
                <w:color w:val="auto"/>
              </w:rPr>
            </w:pPr>
            <w:r>
              <w:rPr>
                <w:rFonts w:hint="eastAsia"/>
                <w:color w:val="auto"/>
              </w:rPr>
              <w:t>饱和含水率θs</w:t>
            </w:r>
          </w:p>
        </w:tc>
        <w:tc>
          <w:tcPr>
            <w:tcW w:w="625" w:type="pct"/>
            <w:tcBorders>
              <w:tl2br w:val="nil"/>
              <w:tr2bl w:val="nil"/>
            </w:tcBorders>
            <w:noWrap w:val="0"/>
            <w:vAlign w:val="center"/>
          </w:tcPr>
          <w:p w14:paraId="79E93E8C">
            <w:pPr>
              <w:pStyle w:val="136"/>
              <w:rPr>
                <w:color w:val="auto"/>
              </w:rPr>
            </w:pPr>
            <w:r>
              <w:rPr>
                <w:rFonts w:hint="eastAsia"/>
                <w:color w:val="auto"/>
              </w:rPr>
              <w:t>残余含水率θ</w:t>
            </w:r>
            <w:r>
              <w:rPr>
                <w:color w:val="auto"/>
              </w:rPr>
              <w:t>r</w:t>
            </w:r>
          </w:p>
        </w:tc>
        <w:tc>
          <w:tcPr>
            <w:tcW w:w="625" w:type="pct"/>
            <w:tcBorders>
              <w:tl2br w:val="nil"/>
              <w:tr2bl w:val="nil"/>
            </w:tcBorders>
            <w:noWrap w:val="0"/>
            <w:vAlign w:val="center"/>
          </w:tcPr>
          <w:p w14:paraId="4DCD142F">
            <w:pPr>
              <w:pStyle w:val="136"/>
              <w:rPr>
                <w:color w:val="auto"/>
              </w:rPr>
            </w:pPr>
            <w:r>
              <w:rPr>
                <w:color w:val="auto"/>
              </w:rPr>
              <w:t>α</w:t>
            </w:r>
          </w:p>
          <w:p w14:paraId="05B441CD">
            <w:pPr>
              <w:pStyle w:val="136"/>
              <w:rPr>
                <w:rFonts w:hint="eastAsia" w:eastAsia="宋体"/>
                <w:color w:val="auto"/>
                <w:lang w:eastAsia="zh-CN"/>
              </w:rPr>
            </w:pPr>
            <w:r>
              <w:rPr>
                <w:rFonts w:hint="eastAsia"/>
                <w:color w:val="auto"/>
                <w:lang w:eastAsia="zh-CN"/>
              </w:rPr>
              <w:t>(</w:t>
            </w:r>
            <w:r>
              <w:rPr>
                <w:rFonts w:hint="eastAsia"/>
                <w:color w:val="auto"/>
              </w:rPr>
              <w:t>cm</w:t>
            </w:r>
            <w:r>
              <w:rPr>
                <w:rFonts w:hint="eastAsia"/>
                <w:color w:val="auto"/>
                <w:vertAlign w:val="superscript"/>
              </w:rPr>
              <w:t>-1</w:t>
            </w:r>
            <w:r>
              <w:rPr>
                <w:rFonts w:hint="eastAsia"/>
                <w:color w:val="auto"/>
                <w:lang w:eastAsia="zh-CN"/>
              </w:rPr>
              <w:t>）</w:t>
            </w:r>
          </w:p>
        </w:tc>
        <w:tc>
          <w:tcPr>
            <w:tcW w:w="544" w:type="pct"/>
            <w:tcBorders>
              <w:tl2br w:val="nil"/>
              <w:tr2bl w:val="nil"/>
            </w:tcBorders>
            <w:noWrap w:val="0"/>
            <w:vAlign w:val="center"/>
          </w:tcPr>
          <w:p w14:paraId="66308AF5">
            <w:pPr>
              <w:pStyle w:val="136"/>
              <w:rPr>
                <w:color w:val="auto"/>
              </w:rPr>
            </w:pPr>
            <w:r>
              <w:rPr>
                <w:rFonts w:hint="eastAsia"/>
                <w:color w:val="auto"/>
              </w:rPr>
              <w:t>n</w:t>
            </w:r>
          </w:p>
        </w:tc>
        <w:tc>
          <w:tcPr>
            <w:tcW w:w="706" w:type="pct"/>
            <w:tcBorders>
              <w:tl2br w:val="nil"/>
              <w:tr2bl w:val="nil"/>
            </w:tcBorders>
            <w:noWrap w:val="0"/>
            <w:vAlign w:val="center"/>
          </w:tcPr>
          <w:p w14:paraId="63706B4B">
            <w:pPr>
              <w:pStyle w:val="136"/>
              <w:rPr>
                <w:color w:val="auto"/>
              </w:rPr>
            </w:pPr>
            <w:r>
              <w:rPr>
                <w:rFonts w:hint="eastAsia"/>
                <w:color w:val="auto"/>
              </w:rPr>
              <w:t>饱和导水率</w:t>
            </w:r>
            <w:r>
              <w:rPr>
                <w:color w:val="auto"/>
              </w:rPr>
              <w:t>Ks</w:t>
            </w:r>
            <w:r>
              <w:rPr>
                <w:rFonts w:hint="eastAsia"/>
                <w:color w:val="auto"/>
              </w:rPr>
              <w:t>（c</w:t>
            </w:r>
            <w:r>
              <w:rPr>
                <w:color w:val="auto"/>
              </w:rPr>
              <w:t>m/d</w:t>
            </w:r>
            <w:r>
              <w:rPr>
                <w:rFonts w:hint="eastAsia"/>
                <w:color w:val="auto"/>
              </w:rPr>
              <w:t>）</w:t>
            </w:r>
          </w:p>
        </w:tc>
        <w:tc>
          <w:tcPr>
            <w:tcW w:w="625" w:type="pct"/>
            <w:tcBorders>
              <w:tl2br w:val="nil"/>
              <w:tr2bl w:val="nil"/>
            </w:tcBorders>
            <w:noWrap w:val="0"/>
            <w:vAlign w:val="center"/>
          </w:tcPr>
          <w:p w14:paraId="42FE2490">
            <w:pPr>
              <w:pStyle w:val="136"/>
              <w:rPr>
                <w:color w:val="auto"/>
              </w:rPr>
            </w:pPr>
            <w:r>
              <w:rPr>
                <w:rFonts w:hint="eastAsia"/>
                <w:color w:val="auto"/>
              </w:rPr>
              <w:t>经验参数l</w:t>
            </w:r>
          </w:p>
        </w:tc>
      </w:tr>
      <w:tr w14:paraId="4AFACA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25" w:type="pct"/>
            <w:tcBorders>
              <w:tl2br w:val="nil"/>
              <w:tr2bl w:val="nil"/>
            </w:tcBorders>
            <w:noWrap w:val="0"/>
            <w:vAlign w:val="center"/>
          </w:tcPr>
          <w:p w14:paraId="37C66127">
            <w:pPr>
              <w:pStyle w:val="136"/>
              <w:rPr>
                <w:color w:val="auto"/>
              </w:rPr>
            </w:pPr>
            <w:r>
              <w:rPr>
                <w:color w:val="auto"/>
              </w:rPr>
              <w:t>0</w:t>
            </w:r>
            <w:r>
              <w:rPr>
                <w:rFonts w:hint="eastAsia"/>
                <w:color w:val="auto"/>
              </w:rPr>
              <w:t>～300</w:t>
            </w:r>
          </w:p>
        </w:tc>
        <w:tc>
          <w:tcPr>
            <w:tcW w:w="625" w:type="pct"/>
            <w:tcBorders>
              <w:tl2br w:val="nil"/>
              <w:tr2bl w:val="nil"/>
            </w:tcBorders>
            <w:noWrap w:val="0"/>
            <w:vAlign w:val="center"/>
          </w:tcPr>
          <w:p w14:paraId="4ED91B85">
            <w:pPr>
              <w:pStyle w:val="136"/>
              <w:rPr>
                <w:color w:val="auto"/>
              </w:rPr>
            </w:pPr>
            <w:r>
              <w:rPr>
                <w:rFonts w:hint="eastAsia"/>
                <w:color w:val="auto"/>
              </w:rPr>
              <w:t>砂土</w:t>
            </w:r>
          </w:p>
        </w:tc>
        <w:tc>
          <w:tcPr>
            <w:tcW w:w="625" w:type="pct"/>
            <w:tcBorders>
              <w:tl2br w:val="nil"/>
              <w:tr2bl w:val="nil"/>
            </w:tcBorders>
            <w:noWrap w:val="0"/>
            <w:vAlign w:val="center"/>
          </w:tcPr>
          <w:p w14:paraId="37744FB1">
            <w:pPr>
              <w:pStyle w:val="136"/>
              <w:rPr>
                <w:color w:val="auto"/>
              </w:rPr>
            </w:pPr>
            <w:r>
              <w:rPr>
                <w:rFonts w:hint="eastAsia"/>
                <w:color w:val="auto"/>
              </w:rPr>
              <w:t>0.38</w:t>
            </w:r>
          </w:p>
        </w:tc>
        <w:tc>
          <w:tcPr>
            <w:tcW w:w="625" w:type="pct"/>
            <w:tcBorders>
              <w:tl2br w:val="nil"/>
              <w:tr2bl w:val="nil"/>
            </w:tcBorders>
            <w:noWrap w:val="0"/>
            <w:vAlign w:val="center"/>
          </w:tcPr>
          <w:p w14:paraId="22FD1740">
            <w:pPr>
              <w:pStyle w:val="136"/>
              <w:rPr>
                <w:rFonts w:hint="eastAsia"/>
                <w:color w:val="auto"/>
              </w:rPr>
            </w:pPr>
            <w:r>
              <w:rPr>
                <w:rFonts w:hint="eastAsia"/>
                <w:color w:val="auto"/>
              </w:rPr>
              <w:t>0.1</w:t>
            </w:r>
          </w:p>
        </w:tc>
        <w:tc>
          <w:tcPr>
            <w:tcW w:w="625" w:type="pct"/>
            <w:tcBorders>
              <w:tl2br w:val="nil"/>
              <w:tr2bl w:val="nil"/>
            </w:tcBorders>
            <w:noWrap w:val="0"/>
            <w:vAlign w:val="center"/>
          </w:tcPr>
          <w:p w14:paraId="10847F4A">
            <w:pPr>
              <w:pStyle w:val="136"/>
              <w:rPr>
                <w:color w:val="auto"/>
              </w:rPr>
            </w:pPr>
            <w:r>
              <w:rPr>
                <w:rFonts w:hint="eastAsia"/>
                <w:color w:val="auto"/>
              </w:rPr>
              <w:t>0.027</w:t>
            </w:r>
          </w:p>
        </w:tc>
        <w:tc>
          <w:tcPr>
            <w:tcW w:w="544" w:type="pct"/>
            <w:tcBorders>
              <w:tl2br w:val="nil"/>
              <w:tr2bl w:val="nil"/>
            </w:tcBorders>
            <w:noWrap w:val="0"/>
            <w:vAlign w:val="center"/>
          </w:tcPr>
          <w:p w14:paraId="2A8D9D52">
            <w:pPr>
              <w:pStyle w:val="136"/>
              <w:rPr>
                <w:color w:val="auto"/>
              </w:rPr>
            </w:pPr>
            <w:r>
              <w:rPr>
                <w:rFonts w:hint="eastAsia"/>
                <w:color w:val="auto"/>
              </w:rPr>
              <w:t>1.23</w:t>
            </w:r>
          </w:p>
        </w:tc>
        <w:tc>
          <w:tcPr>
            <w:tcW w:w="706" w:type="pct"/>
            <w:tcBorders>
              <w:tl2br w:val="nil"/>
              <w:tr2bl w:val="nil"/>
            </w:tcBorders>
            <w:noWrap w:val="0"/>
            <w:vAlign w:val="center"/>
          </w:tcPr>
          <w:p w14:paraId="0AE86127">
            <w:pPr>
              <w:pStyle w:val="136"/>
              <w:rPr>
                <w:color w:val="auto"/>
              </w:rPr>
            </w:pPr>
            <w:r>
              <w:rPr>
                <w:rFonts w:hint="eastAsia"/>
                <w:color w:val="auto"/>
              </w:rPr>
              <w:t>2.88</w:t>
            </w:r>
          </w:p>
        </w:tc>
        <w:tc>
          <w:tcPr>
            <w:tcW w:w="625" w:type="pct"/>
            <w:tcBorders>
              <w:tl2br w:val="nil"/>
              <w:tr2bl w:val="nil"/>
            </w:tcBorders>
            <w:noWrap w:val="0"/>
            <w:vAlign w:val="center"/>
          </w:tcPr>
          <w:p w14:paraId="166D2B16">
            <w:pPr>
              <w:pStyle w:val="136"/>
              <w:rPr>
                <w:color w:val="auto"/>
              </w:rPr>
            </w:pPr>
            <w:r>
              <w:rPr>
                <w:rFonts w:hint="eastAsia"/>
                <w:color w:val="auto"/>
              </w:rPr>
              <w:t>0</w:t>
            </w:r>
            <w:r>
              <w:rPr>
                <w:color w:val="auto"/>
              </w:rPr>
              <w:t>.5</w:t>
            </w:r>
          </w:p>
        </w:tc>
      </w:tr>
    </w:tbl>
    <w:p w14:paraId="6B9673BE">
      <w:pPr>
        <w:pStyle w:val="102"/>
        <w:keepNext w:val="0"/>
        <w:keepLines w:val="0"/>
        <w:pageBreakBefore w:val="0"/>
        <w:widowControl/>
        <w:kinsoku/>
        <w:wordWrap/>
        <w:overflowPunct/>
        <w:topLinePunct w:val="0"/>
        <w:autoSpaceDE/>
        <w:autoSpaceDN/>
        <w:bidi w:val="0"/>
        <w:adjustRightInd/>
        <w:snapToGrid w:val="0"/>
        <w:spacing w:line="240" w:lineRule="auto"/>
        <w:ind w:firstLine="0" w:firstLineChars="0"/>
        <w:textAlignment w:val="auto"/>
        <w:rPr>
          <w:rStyle w:val="163"/>
          <w:color w:val="auto"/>
        </w:rPr>
      </w:pPr>
      <w:r>
        <w:rPr>
          <w:rStyle w:val="163"/>
          <w:rFonts w:hint="eastAsia"/>
          <w:color w:val="auto"/>
          <w:sz w:val="21"/>
        </w:rPr>
        <w:t>备注：表中参数引用</w:t>
      </w:r>
      <w:r>
        <w:rPr>
          <w:rStyle w:val="163"/>
          <w:color w:val="auto"/>
          <w:sz w:val="21"/>
        </w:rPr>
        <w:t>HYDRUS</w:t>
      </w:r>
      <w:r>
        <w:rPr>
          <w:rStyle w:val="163"/>
          <w:rFonts w:hint="eastAsia"/>
          <w:color w:val="auto"/>
          <w:sz w:val="21"/>
        </w:rPr>
        <w:t>软件中</w:t>
      </w:r>
      <w:r>
        <w:rPr>
          <w:rStyle w:val="163"/>
          <w:color w:val="auto"/>
          <w:sz w:val="21"/>
        </w:rPr>
        <w:t>所推荐的包气带基本岩性参数</w:t>
      </w:r>
      <w:r>
        <w:rPr>
          <w:rStyle w:val="163"/>
          <w:rFonts w:hint="eastAsia"/>
          <w:color w:val="auto"/>
        </w:rPr>
        <w:t>。</w:t>
      </w:r>
    </w:p>
    <w:p w14:paraId="6B9250BA">
      <w:pPr>
        <w:pStyle w:val="61"/>
        <w:bidi w:val="0"/>
        <w:jc w:val="both"/>
        <w:rPr>
          <w:rFonts w:hint="eastAsia"/>
          <w:color w:val="auto"/>
          <w:lang w:val="en-US" w:eastAsia="zh-CN"/>
        </w:rPr>
      </w:pPr>
      <w:bookmarkStart w:id="641" w:name="_Ref37768176"/>
      <w:bookmarkStart w:id="642" w:name="_Ref38454147"/>
      <w:r>
        <w:rPr>
          <w:rFonts w:hint="eastAsia"/>
          <w:color w:val="auto"/>
          <w:lang w:val="en-US" w:eastAsia="zh-CN"/>
        </w:rPr>
        <w:t xml:space="preserve">表 </w:t>
      </w:r>
      <w:bookmarkEnd w:id="641"/>
      <w:bookmarkEnd w:id="642"/>
      <w:r>
        <w:rPr>
          <w:rFonts w:hint="eastAsia"/>
          <w:color w:val="auto"/>
          <w:lang w:val="en-US" w:eastAsia="zh-CN"/>
        </w:rPr>
        <w:t>5.3-5  土壤溶质运移参数表</w:t>
      </w:r>
    </w:p>
    <w:tbl>
      <w:tblPr>
        <w:tblStyle w:val="36"/>
        <w:tblW w:w="4942"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02"/>
        <w:gridCol w:w="1660"/>
        <w:gridCol w:w="2563"/>
        <w:gridCol w:w="2807"/>
      </w:tblGrid>
      <w:tr w14:paraId="56A772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4" w:type="pct"/>
            <w:tcBorders>
              <w:tl2br w:val="nil"/>
              <w:tr2bl w:val="nil"/>
            </w:tcBorders>
            <w:noWrap w:val="0"/>
            <w:vAlign w:val="center"/>
          </w:tcPr>
          <w:p w14:paraId="2415950A">
            <w:pPr>
              <w:pStyle w:val="136"/>
              <w:rPr>
                <w:color w:val="auto"/>
              </w:rPr>
            </w:pPr>
            <w:r>
              <w:rPr>
                <w:rFonts w:hint="eastAsia"/>
                <w:color w:val="auto"/>
              </w:rPr>
              <w:t>土壤层次（cm）</w:t>
            </w:r>
          </w:p>
        </w:tc>
        <w:tc>
          <w:tcPr>
            <w:tcW w:w="950" w:type="pct"/>
            <w:tcBorders>
              <w:tl2br w:val="nil"/>
              <w:tr2bl w:val="nil"/>
            </w:tcBorders>
            <w:noWrap w:val="0"/>
            <w:vAlign w:val="center"/>
          </w:tcPr>
          <w:p w14:paraId="1FB71F79">
            <w:pPr>
              <w:pStyle w:val="136"/>
              <w:rPr>
                <w:color w:val="auto"/>
              </w:rPr>
            </w:pPr>
            <w:r>
              <w:rPr>
                <w:rFonts w:hint="eastAsia"/>
                <w:color w:val="auto"/>
              </w:rPr>
              <w:t>土壤质地</w:t>
            </w:r>
          </w:p>
        </w:tc>
        <w:tc>
          <w:tcPr>
            <w:tcW w:w="1467" w:type="pct"/>
            <w:tcBorders>
              <w:tl2br w:val="nil"/>
              <w:tr2bl w:val="nil"/>
            </w:tcBorders>
            <w:noWrap w:val="0"/>
            <w:vAlign w:val="center"/>
          </w:tcPr>
          <w:p w14:paraId="75FDF380">
            <w:pPr>
              <w:pStyle w:val="136"/>
              <w:rPr>
                <w:color w:val="auto"/>
              </w:rPr>
            </w:pPr>
            <w:r>
              <w:rPr>
                <w:rFonts w:hint="eastAsia"/>
                <w:color w:val="auto"/>
              </w:rPr>
              <w:t>土壤密度（g/cm</w:t>
            </w:r>
            <w:r>
              <w:rPr>
                <w:rFonts w:hint="eastAsia"/>
                <w:color w:val="auto"/>
                <w:vertAlign w:val="superscript"/>
              </w:rPr>
              <w:t>3</w:t>
            </w:r>
            <w:r>
              <w:rPr>
                <w:rFonts w:hint="eastAsia"/>
                <w:color w:val="auto"/>
              </w:rPr>
              <w:t>）</w:t>
            </w:r>
          </w:p>
        </w:tc>
        <w:tc>
          <w:tcPr>
            <w:tcW w:w="1607" w:type="pct"/>
            <w:tcBorders>
              <w:tl2br w:val="nil"/>
              <w:tr2bl w:val="nil"/>
            </w:tcBorders>
            <w:noWrap w:val="0"/>
            <w:vAlign w:val="center"/>
          </w:tcPr>
          <w:p w14:paraId="6EEBD382">
            <w:pPr>
              <w:pStyle w:val="136"/>
              <w:rPr>
                <w:color w:val="auto"/>
              </w:rPr>
            </w:pPr>
            <w:r>
              <w:rPr>
                <w:rFonts w:hint="eastAsia"/>
                <w:color w:val="auto"/>
              </w:rPr>
              <w:t>纵向弥散系数D</w:t>
            </w:r>
            <w:r>
              <w:rPr>
                <w:color w:val="auto"/>
              </w:rPr>
              <w:t>L</w:t>
            </w:r>
            <w:r>
              <w:rPr>
                <w:rFonts w:hint="eastAsia"/>
                <w:color w:val="auto"/>
              </w:rPr>
              <w:t>（</w:t>
            </w:r>
            <w:r>
              <w:rPr>
                <w:color w:val="auto"/>
              </w:rPr>
              <w:t>m</w:t>
            </w:r>
            <w:r>
              <w:rPr>
                <w:color w:val="auto"/>
                <w:vertAlign w:val="superscript"/>
              </w:rPr>
              <w:t>2</w:t>
            </w:r>
            <w:r>
              <w:rPr>
                <w:color w:val="auto"/>
              </w:rPr>
              <w:t>/d</w:t>
            </w:r>
            <w:r>
              <w:rPr>
                <w:rFonts w:hint="eastAsia"/>
                <w:color w:val="auto"/>
              </w:rPr>
              <w:t>）</w:t>
            </w:r>
          </w:p>
        </w:tc>
      </w:tr>
      <w:tr w14:paraId="144689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4" w:type="pct"/>
            <w:tcBorders>
              <w:tl2br w:val="nil"/>
              <w:tr2bl w:val="nil"/>
            </w:tcBorders>
            <w:noWrap w:val="0"/>
            <w:vAlign w:val="center"/>
          </w:tcPr>
          <w:p w14:paraId="26A4EC29">
            <w:pPr>
              <w:pStyle w:val="136"/>
              <w:rPr>
                <w:color w:val="auto"/>
              </w:rPr>
            </w:pPr>
            <w:r>
              <w:rPr>
                <w:color w:val="auto"/>
              </w:rPr>
              <w:t>0</w:t>
            </w:r>
            <w:r>
              <w:rPr>
                <w:rFonts w:hint="eastAsia"/>
                <w:color w:val="auto"/>
              </w:rPr>
              <w:t>～300</w:t>
            </w:r>
          </w:p>
        </w:tc>
        <w:tc>
          <w:tcPr>
            <w:tcW w:w="950" w:type="pct"/>
            <w:tcBorders>
              <w:tl2br w:val="nil"/>
              <w:tr2bl w:val="nil"/>
            </w:tcBorders>
            <w:noWrap w:val="0"/>
            <w:vAlign w:val="center"/>
          </w:tcPr>
          <w:p w14:paraId="40CFACB4">
            <w:pPr>
              <w:pStyle w:val="136"/>
              <w:rPr>
                <w:color w:val="auto"/>
              </w:rPr>
            </w:pPr>
            <w:r>
              <w:rPr>
                <w:rFonts w:hint="eastAsia"/>
                <w:color w:val="auto"/>
              </w:rPr>
              <w:t>砂土</w:t>
            </w:r>
          </w:p>
        </w:tc>
        <w:tc>
          <w:tcPr>
            <w:tcW w:w="1467" w:type="pct"/>
            <w:tcBorders>
              <w:tl2br w:val="nil"/>
              <w:tr2bl w:val="nil"/>
            </w:tcBorders>
            <w:noWrap w:val="0"/>
            <w:vAlign w:val="center"/>
          </w:tcPr>
          <w:p w14:paraId="04F0823B">
            <w:pPr>
              <w:pStyle w:val="136"/>
              <w:rPr>
                <w:rFonts w:hint="eastAsia"/>
                <w:color w:val="auto"/>
              </w:rPr>
            </w:pPr>
            <w:r>
              <w:rPr>
                <w:rFonts w:hint="eastAsia"/>
                <w:color w:val="auto"/>
              </w:rPr>
              <w:t>1.6</w:t>
            </w:r>
          </w:p>
        </w:tc>
        <w:tc>
          <w:tcPr>
            <w:tcW w:w="1607" w:type="pct"/>
            <w:tcBorders>
              <w:tl2br w:val="nil"/>
              <w:tr2bl w:val="nil"/>
            </w:tcBorders>
            <w:noWrap w:val="0"/>
            <w:vAlign w:val="center"/>
          </w:tcPr>
          <w:p w14:paraId="053CC5A3">
            <w:pPr>
              <w:pStyle w:val="136"/>
              <w:rPr>
                <w:rFonts w:hint="eastAsia"/>
                <w:color w:val="auto"/>
              </w:rPr>
            </w:pPr>
            <w:r>
              <w:rPr>
                <w:rFonts w:hint="eastAsia"/>
                <w:color w:val="auto"/>
              </w:rPr>
              <w:t>0.3</w:t>
            </w:r>
          </w:p>
        </w:tc>
      </w:tr>
    </w:tbl>
    <w:p w14:paraId="662034A6">
      <w:pPr>
        <w:pStyle w:val="102"/>
        <w:keepNext w:val="0"/>
        <w:keepLines w:val="0"/>
        <w:pageBreakBefore w:val="0"/>
        <w:widowControl/>
        <w:kinsoku/>
        <w:wordWrap/>
        <w:overflowPunct/>
        <w:topLinePunct w:val="0"/>
        <w:autoSpaceDE/>
        <w:autoSpaceDN/>
        <w:bidi w:val="0"/>
        <w:adjustRightInd/>
        <w:snapToGrid w:val="0"/>
        <w:spacing w:line="240" w:lineRule="auto"/>
        <w:ind w:firstLine="0" w:firstLineChars="0"/>
        <w:textAlignment w:val="auto"/>
        <w:rPr>
          <w:rStyle w:val="163"/>
          <w:rFonts w:hint="eastAsia"/>
          <w:color w:val="auto"/>
          <w:sz w:val="21"/>
        </w:rPr>
      </w:pPr>
      <w:r>
        <w:rPr>
          <w:rStyle w:val="163"/>
          <w:rFonts w:hint="eastAsia"/>
          <w:color w:val="auto"/>
          <w:sz w:val="21"/>
        </w:rPr>
        <w:t>备注：纵向弥散系数采用水流速度乘以纵向弥散度，其中纵向弥散度为项目附近水文地质勘察的相关数据。</w:t>
      </w:r>
    </w:p>
    <w:p w14:paraId="1A98B357">
      <w:pPr>
        <w:pStyle w:val="79"/>
        <w:bidi w:val="0"/>
        <w:rPr>
          <w:rFonts w:hint="default"/>
          <w:color w:val="auto"/>
        </w:rPr>
      </w:pPr>
      <w:r>
        <w:rPr>
          <w:rFonts w:hint="default"/>
          <w:color w:val="auto"/>
        </w:rPr>
        <w:t>7）土壤污染预测结果</w:t>
      </w:r>
    </w:p>
    <w:p w14:paraId="571600D3">
      <w:pPr>
        <w:pStyle w:val="79"/>
        <w:bidi w:val="0"/>
        <w:rPr>
          <w:rFonts w:hint="default"/>
          <w:color w:val="auto"/>
        </w:rPr>
      </w:pPr>
      <w:r>
        <w:rPr>
          <w:rFonts w:hint="default"/>
          <w:color w:val="auto"/>
        </w:rPr>
        <w:t>在不同深度石油烃沿土壤迁移模拟结果如图5.6-</w:t>
      </w:r>
      <w:r>
        <w:rPr>
          <w:rFonts w:hint="eastAsia"/>
          <w:color w:val="auto"/>
          <w:lang w:val="en-US" w:eastAsia="zh-CN"/>
        </w:rPr>
        <w:t>2</w:t>
      </w:r>
      <w:r>
        <w:rPr>
          <w:rFonts w:hint="default"/>
          <w:color w:val="auto"/>
        </w:rPr>
        <w:t>所示。</w:t>
      </w:r>
    </w:p>
    <w:p w14:paraId="6C41A65B">
      <w:pPr>
        <w:adjustRightInd w:val="0"/>
        <w:snapToGrid w:val="0"/>
        <w:ind w:firstLine="482"/>
        <w:jc w:val="center"/>
        <w:rPr>
          <w:color w:val="auto"/>
        </w:rPr>
      </w:pPr>
      <w:bookmarkStart w:id="643" w:name="_Ref37768951"/>
    </w:p>
    <w:p w14:paraId="4DA7FB1D">
      <w:pPr>
        <w:adjustRightInd w:val="0"/>
        <w:snapToGrid w:val="0"/>
        <w:ind w:firstLine="482"/>
        <w:jc w:val="center"/>
        <w:rPr>
          <w:rFonts w:hint="eastAsia" w:ascii="黑体" w:hAnsi="黑体" w:eastAsia="黑体" w:cs="黑体"/>
          <w:b/>
          <w:bCs/>
          <w:color w:val="auto"/>
          <w:sz w:val="24"/>
          <w:szCs w:val="24"/>
        </w:rPr>
      </w:pPr>
    </w:p>
    <w:p w14:paraId="39268701">
      <w:pPr>
        <w:adjustRightInd w:val="0"/>
        <w:snapToGrid w:val="0"/>
        <w:ind w:firstLine="482"/>
        <w:jc w:val="center"/>
        <w:rPr>
          <w:rFonts w:hint="eastAsia" w:ascii="黑体" w:hAnsi="黑体" w:eastAsia="黑体" w:cs="黑体"/>
          <w:b/>
          <w:bCs/>
          <w:color w:val="auto"/>
          <w:sz w:val="24"/>
          <w:szCs w:val="24"/>
        </w:rPr>
      </w:pPr>
    </w:p>
    <w:p w14:paraId="09392459">
      <w:pPr>
        <w:adjustRightInd w:val="0"/>
        <w:snapToGrid w:val="0"/>
        <w:ind w:firstLine="482"/>
        <w:jc w:val="center"/>
        <w:rPr>
          <w:rFonts w:hint="eastAsia" w:ascii="黑体" w:hAnsi="黑体" w:eastAsia="黑体" w:cs="黑体"/>
          <w:b/>
          <w:bCs/>
          <w:color w:val="auto"/>
          <w:sz w:val="24"/>
          <w:szCs w:val="24"/>
        </w:rPr>
      </w:pPr>
    </w:p>
    <w:p w14:paraId="5644C3C0">
      <w:pPr>
        <w:adjustRightInd w:val="0"/>
        <w:snapToGrid w:val="0"/>
        <w:ind w:firstLine="482"/>
        <w:jc w:val="center"/>
        <w:rPr>
          <w:rFonts w:hint="eastAsia" w:ascii="黑体" w:hAnsi="黑体" w:eastAsia="黑体" w:cs="黑体"/>
          <w:b/>
          <w:bCs/>
          <w:color w:val="auto"/>
          <w:sz w:val="24"/>
          <w:szCs w:val="24"/>
        </w:rPr>
      </w:pPr>
    </w:p>
    <w:p w14:paraId="04AC5E30">
      <w:pPr>
        <w:adjustRightInd w:val="0"/>
        <w:snapToGrid w:val="0"/>
        <w:ind w:firstLine="482"/>
        <w:jc w:val="center"/>
        <w:rPr>
          <w:rFonts w:hint="eastAsia" w:ascii="黑体" w:hAnsi="黑体" w:eastAsia="黑体" w:cs="黑体"/>
          <w:b/>
          <w:bCs/>
          <w:color w:val="auto"/>
          <w:sz w:val="24"/>
          <w:szCs w:val="24"/>
        </w:rPr>
      </w:pPr>
    </w:p>
    <w:p w14:paraId="7AF33147">
      <w:pPr>
        <w:adjustRightInd w:val="0"/>
        <w:snapToGrid w:val="0"/>
        <w:ind w:firstLine="482"/>
        <w:jc w:val="center"/>
        <w:rPr>
          <w:rFonts w:hint="eastAsia" w:ascii="黑体" w:hAnsi="黑体" w:eastAsia="黑体" w:cs="黑体"/>
          <w:b/>
          <w:bCs/>
          <w:color w:val="auto"/>
          <w:sz w:val="24"/>
          <w:szCs w:val="24"/>
        </w:rPr>
      </w:pPr>
    </w:p>
    <w:p w14:paraId="76F9332A">
      <w:pPr>
        <w:adjustRightInd w:val="0"/>
        <w:snapToGrid w:val="0"/>
        <w:ind w:firstLine="482"/>
        <w:jc w:val="center"/>
        <w:rPr>
          <w:rFonts w:hint="eastAsia" w:ascii="黑体" w:hAnsi="黑体" w:eastAsia="黑体" w:cs="黑体"/>
          <w:b/>
          <w:bCs/>
          <w:color w:val="auto"/>
          <w:sz w:val="24"/>
          <w:szCs w:val="24"/>
        </w:rPr>
      </w:pPr>
    </w:p>
    <w:p w14:paraId="4140C6EE">
      <w:pPr>
        <w:adjustRightInd w:val="0"/>
        <w:snapToGrid w:val="0"/>
        <w:ind w:firstLine="482"/>
        <w:jc w:val="center"/>
        <w:rPr>
          <w:rFonts w:hint="eastAsia" w:ascii="黑体" w:hAnsi="黑体" w:eastAsia="黑体" w:cs="黑体"/>
          <w:b/>
          <w:bCs/>
          <w:color w:val="auto"/>
          <w:sz w:val="24"/>
          <w:szCs w:val="24"/>
        </w:rPr>
      </w:pPr>
    </w:p>
    <w:p w14:paraId="26BEB6B1">
      <w:pPr>
        <w:adjustRightInd w:val="0"/>
        <w:snapToGrid w:val="0"/>
        <w:ind w:firstLine="482"/>
        <w:jc w:val="center"/>
        <w:rPr>
          <w:rFonts w:hint="eastAsia" w:ascii="黑体" w:hAnsi="黑体" w:eastAsia="黑体" w:cs="黑体"/>
          <w:color w:val="auto"/>
          <w:sz w:val="24"/>
          <w:szCs w:val="24"/>
        </w:rPr>
      </w:pPr>
      <w:r>
        <w:rPr>
          <w:rFonts w:hint="eastAsia" w:ascii="黑体" w:hAnsi="黑体" w:eastAsia="黑体" w:cs="黑体"/>
          <w:b/>
          <w:bCs/>
          <w:color w:val="auto"/>
          <w:sz w:val="24"/>
          <w:szCs w:val="24"/>
        </w:rPr>
        <w:t>图</w:t>
      </w:r>
      <w:bookmarkEnd w:id="643"/>
      <w:r>
        <w:rPr>
          <w:rFonts w:hint="eastAsia" w:ascii="黑体" w:hAnsi="黑体" w:eastAsia="黑体" w:cs="黑体"/>
          <w:b/>
          <w:bCs/>
          <w:color w:val="auto"/>
          <w:sz w:val="24"/>
          <w:szCs w:val="24"/>
        </w:rPr>
        <w:t>5.</w:t>
      </w:r>
      <w:r>
        <w:rPr>
          <w:rFonts w:hint="eastAsia" w:ascii="黑体" w:hAnsi="黑体" w:eastAsia="黑体" w:cs="黑体"/>
          <w:b/>
          <w:bCs/>
          <w:color w:val="auto"/>
          <w:sz w:val="24"/>
          <w:szCs w:val="24"/>
          <w:lang w:val="en-US" w:eastAsia="zh-CN"/>
        </w:rPr>
        <w:t>3</w:t>
      </w:r>
      <w:r>
        <w:rPr>
          <w:rFonts w:hint="eastAsia" w:ascii="黑体" w:hAnsi="黑体" w:eastAsia="黑体" w:cs="黑体"/>
          <w:b/>
          <w:bCs/>
          <w:color w:val="auto"/>
          <w:sz w:val="24"/>
          <w:szCs w:val="24"/>
        </w:rPr>
        <w:t>-</w:t>
      </w:r>
      <w:r>
        <w:rPr>
          <w:rFonts w:hint="eastAsia" w:ascii="黑体" w:hAnsi="黑体" w:eastAsia="黑体" w:cs="黑体"/>
          <w:b/>
          <w:bCs/>
          <w:color w:val="auto"/>
          <w:sz w:val="24"/>
          <w:szCs w:val="24"/>
          <w:lang w:val="en-US" w:eastAsia="zh-CN"/>
        </w:rPr>
        <w:t>2</w:t>
      </w:r>
      <w:r>
        <w:rPr>
          <w:rFonts w:hint="eastAsia" w:ascii="黑体" w:hAnsi="黑体" w:eastAsia="黑体" w:cs="黑体"/>
          <w:b/>
          <w:bCs/>
          <w:color w:val="auto"/>
          <w:sz w:val="24"/>
          <w:szCs w:val="24"/>
        </w:rPr>
        <w:t xml:space="preserve"> 不同深度处石油类浓度-时间变化曲线图</w:t>
      </w:r>
    </w:p>
    <w:p w14:paraId="4FB4343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由</w:t>
      </w:r>
      <w:r>
        <w:rPr>
          <w:rFonts w:hint="eastAsia" w:ascii="Times New Roman" w:hAnsi="Times New Roman" w:eastAsia="宋体" w:cs="Times New Roman"/>
          <w:color w:val="auto"/>
          <w:sz w:val="24"/>
          <w:szCs w:val="24"/>
          <w:lang w:val="en-US" w:eastAsia="zh-CN"/>
        </w:rPr>
        <w:t>上图</w:t>
      </w:r>
      <w:r>
        <w:rPr>
          <w:rFonts w:hint="default" w:ascii="Times New Roman" w:hAnsi="Times New Roman" w:eastAsia="宋体" w:cs="Times New Roman"/>
          <w:color w:val="auto"/>
          <w:sz w:val="24"/>
          <w:szCs w:val="24"/>
        </w:rPr>
        <w:t>可知，根据预测结果，不同预测时间最大浓度所在的深度不同，污染物在土壤环境中迁移极慢。发生</w:t>
      </w:r>
      <w:r>
        <w:rPr>
          <w:rFonts w:hint="eastAsia" w:cs="Times New Roman"/>
          <w:color w:val="auto"/>
          <w:sz w:val="24"/>
          <w:szCs w:val="24"/>
          <w:lang w:eastAsia="zh-CN"/>
        </w:rPr>
        <w:t>泄漏</w:t>
      </w:r>
      <w:r>
        <w:rPr>
          <w:rFonts w:hint="default" w:ascii="Times New Roman" w:hAnsi="Times New Roman" w:eastAsia="宋体" w:cs="Times New Roman"/>
          <w:color w:val="auto"/>
          <w:sz w:val="24"/>
          <w:szCs w:val="24"/>
        </w:rPr>
        <w:t>后5d时，最大浓度出现在泄漏点以下28cm处，最大浓度为158mg/kg，发生</w:t>
      </w:r>
      <w:r>
        <w:rPr>
          <w:rFonts w:hint="eastAsia" w:cs="Times New Roman"/>
          <w:color w:val="auto"/>
          <w:sz w:val="24"/>
          <w:szCs w:val="24"/>
          <w:lang w:eastAsia="zh-CN"/>
        </w:rPr>
        <w:t>泄漏</w:t>
      </w:r>
      <w:r>
        <w:rPr>
          <w:rFonts w:hint="default" w:ascii="Times New Roman" w:hAnsi="Times New Roman" w:eastAsia="宋体" w:cs="Times New Roman"/>
          <w:color w:val="auto"/>
          <w:sz w:val="24"/>
          <w:szCs w:val="24"/>
        </w:rPr>
        <w:t>后10d时，最大浓度出现在泄漏点以下62cm处，最大浓度为116.56mg/kg，发生</w:t>
      </w:r>
      <w:r>
        <w:rPr>
          <w:rFonts w:hint="eastAsia" w:cs="Times New Roman"/>
          <w:color w:val="auto"/>
          <w:sz w:val="24"/>
          <w:szCs w:val="24"/>
          <w:lang w:eastAsia="zh-CN"/>
        </w:rPr>
        <w:t>泄漏</w:t>
      </w:r>
      <w:r>
        <w:rPr>
          <w:rFonts w:hint="default" w:ascii="Times New Roman" w:hAnsi="Times New Roman" w:eastAsia="宋体" w:cs="Times New Roman"/>
          <w:color w:val="auto"/>
          <w:sz w:val="24"/>
          <w:szCs w:val="24"/>
        </w:rPr>
        <w:t>后20d时，最大浓度出现在泄漏点以下137cm处，最大浓度为79.97mg/kg，在发生泄漏后50d、100d时，石油类污染物浓度极小。由以上分析可以看出，发生泄漏后，最先污染表层土壤，落地油积存于表层会影响表层土壤通透性，影响土壤养分的释放，降低土壤动物及微生物的活性，使土壤的综合肥力下降，最终影响植物根系的</w:t>
      </w:r>
      <w:r>
        <w:rPr>
          <w:rFonts w:hint="eastAsia" w:cs="Times New Roman"/>
          <w:color w:val="auto"/>
          <w:sz w:val="24"/>
          <w:szCs w:val="24"/>
          <w:lang w:eastAsia="zh-CN"/>
        </w:rPr>
        <w:t>呼吸作用</w:t>
      </w:r>
      <w:r>
        <w:rPr>
          <w:rFonts w:hint="default" w:ascii="Times New Roman" w:hAnsi="Times New Roman" w:eastAsia="宋体" w:cs="Times New Roman"/>
          <w:color w:val="auto"/>
          <w:sz w:val="24"/>
          <w:szCs w:val="24"/>
        </w:rPr>
        <w:t>和吸收作用。时间越久，污染物向土壤下方运移越深，泄漏发生后短期内对表层土壤环境影响相对严重。在设定情景下在不同时刻、不同土壤深度的石油烃（C10~C40）浓度均满足</w:t>
      </w:r>
      <w:r>
        <w:rPr>
          <w:rFonts w:hint="default" w:ascii="Times New Roman" w:hAnsi="Times New Roman" w:eastAsia="宋体" w:cs="Times New Roman"/>
          <w:color w:val="auto"/>
          <w:sz w:val="24"/>
          <w:szCs w:val="24"/>
          <w:lang w:val="zh-CN"/>
        </w:rPr>
        <w:t>《土壤环境质量 建设用地土壤污染风险管控标准（试行）》（GB36600-2018）中第</w:t>
      </w:r>
      <w:r>
        <w:rPr>
          <w:rFonts w:hint="default" w:ascii="Times New Roman" w:hAnsi="Times New Roman" w:eastAsia="宋体" w:cs="Times New Roman"/>
          <w:color w:val="auto"/>
          <w:sz w:val="24"/>
          <w:szCs w:val="24"/>
        </w:rPr>
        <w:t>二</w:t>
      </w:r>
      <w:r>
        <w:rPr>
          <w:rFonts w:hint="default" w:ascii="Times New Roman" w:hAnsi="Times New Roman" w:eastAsia="宋体" w:cs="Times New Roman"/>
          <w:color w:val="auto"/>
          <w:sz w:val="24"/>
          <w:szCs w:val="24"/>
          <w:lang w:val="zh-CN"/>
        </w:rPr>
        <w:t>类用地风险筛选值（</w:t>
      </w:r>
      <w:r>
        <w:rPr>
          <w:rFonts w:hint="default" w:ascii="Times New Roman" w:hAnsi="Times New Roman" w:eastAsia="宋体" w:cs="Times New Roman"/>
          <w:color w:val="auto"/>
          <w:sz w:val="24"/>
          <w:szCs w:val="24"/>
        </w:rPr>
        <w:t>4500</w:t>
      </w:r>
      <w:r>
        <w:rPr>
          <w:rFonts w:hint="default" w:ascii="Times New Roman" w:hAnsi="Times New Roman" w:eastAsia="宋体" w:cs="Times New Roman"/>
          <w:color w:val="auto"/>
          <w:sz w:val="24"/>
          <w:szCs w:val="24"/>
          <w:lang w:val="zh-CN"/>
        </w:rPr>
        <w:t>mg/kg）。</w:t>
      </w:r>
      <w:r>
        <w:rPr>
          <w:rFonts w:hint="default" w:ascii="Times New Roman" w:hAnsi="Times New Roman" w:eastAsia="宋体" w:cs="Times New Roman"/>
          <w:color w:val="auto"/>
          <w:sz w:val="24"/>
          <w:szCs w:val="24"/>
        </w:rPr>
        <w:t>本项目运行期对</w:t>
      </w:r>
      <w:r>
        <w:rPr>
          <w:rFonts w:hint="eastAsia" w:cs="Times New Roman"/>
          <w:color w:val="auto"/>
          <w:sz w:val="24"/>
          <w:szCs w:val="24"/>
          <w:lang w:val="en-US" w:eastAsia="zh-CN"/>
        </w:rPr>
        <w:t>试采点</w:t>
      </w:r>
      <w:r>
        <w:rPr>
          <w:rFonts w:hint="default" w:ascii="Times New Roman" w:hAnsi="Times New Roman" w:eastAsia="宋体" w:cs="Times New Roman"/>
          <w:color w:val="auto"/>
          <w:sz w:val="24"/>
          <w:szCs w:val="24"/>
        </w:rPr>
        <w:t>永久占地采取防渗措施，并加强管理和监督检查，须定期检查</w:t>
      </w:r>
      <w:r>
        <w:rPr>
          <w:rFonts w:hint="eastAsia" w:ascii="Times New Roman" w:hAnsi="Times New Roman" w:eastAsia="宋体" w:cs="Times New Roman"/>
          <w:color w:val="auto"/>
          <w:sz w:val="24"/>
          <w:szCs w:val="24"/>
          <w:lang w:val="en-US" w:eastAsia="zh-CN"/>
        </w:rPr>
        <w:t>储罐</w:t>
      </w:r>
      <w:r>
        <w:rPr>
          <w:rFonts w:hint="default" w:ascii="Times New Roman" w:hAnsi="Times New Roman" w:eastAsia="宋体" w:cs="Times New Roman"/>
          <w:color w:val="auto"/>
          <w:sz w:val="24"/>
          <w:szCs w:val="24"/>
        </w:rPr>
        <w:t>破损或破裂情况，若发现有破损或破裂部位须及时进行修补。杜绝非正常情况的发生，避免污染物进入土壤及地下水含水层中。在严格落实本次环评提出的土壤污染防治措施的前提下，本项目运营期对土壤环境影响属可接受范围。</w:t>
      </w:r>
    </w:p>
    <w:p w14:paraId="66E909C6">
      <w:pPr>
        <w:pStyle w:val="54"/>
        <w:bidi w:val="0"/>
        <w:rPr>
          <w:rFonts w:hint="default"/>
          <w:color w:val="auto"/>
          <w:lang w:val="en-US" w:eastAsia="zh-CN"/>
        </w:rPr>
      </w:pPr>
      <w:r>
        <w:rPr>
          <w:rFonts w:hint="eastAsia"/>
          <w:color w:val="auto"/>
          <w:lang w:val="en-US" w:eastAsia="zh-CN"/>
        </w:rPr>
        <w:t>5.3.3</w:t>
      </w:r>
      <w:r>
        <w:rPr>
          <w:rFonts w:hint="default"/>
          <w:color w:val="auto"/>
          <w:lang w:val="en-US" w:eastAsia="zh-CN"/>
        </w:rPr>
        <w:t>退役期</w:t>
      </w:r>
      <w:r>
        <w:rPr>
          <w:rFonts w:hint="eastAsia"/>
          <w:color w:val="auto"/>
          <w:lang w:val="en-US" w:eastAsia="zh-CN"/>
        </w:rPr>
        <w:t>土壤环境影响分析</w:t>
      </w:r>
    </w:p>
    <w:p w14:paraId="27F0EAF4">
      <w:pPr>
        <w:pStyle w:val="79"/>
        <w:bidi w:val="0"/>
        <w:rPr>
          <w:rFonts w:hint="default"/>
          <w:color w:val="auto"/>
        </w:rPr>
      </w:pPr>
      <w:r>
        <w:rPr>
          <w:rFonts w:hint="default"/>
          <w:color w:val="auto"/>
        </w:rPr>
        <w:t>井场清理等工作还会产生部分废弃管道、建筑垃圾等固体废物，对建筑垃圾等进行集中清理收集，收集后送至区域一般工业固体废物填埋场填埋处置；废弃管线维持现状，避免因开挖管线对区域生态环境造成二次破坏，管线内物质应清空干净，并按要求进行吹扫，确保管线内无残留采出液，管线两端使用盲板封堵。固体废物的妥善处理，可以有效控制对区域环境的影响。</w:t>
      </w:r>
    </w:p>
    <w:p w14:paraId="1B7886FE">
      <w:pPr>
        <w:pStyle w:val="54"/>
        <w:bidi w:val="0"/>
        <w:rPr>
          <w:rFonts w:hint="eastAsia"/>
          <w:color w:val="auto"/>
          <w:lang w:val="en-US" w:eastAsia="zh-CN"/>
        </w:rPr>
      </w:pPr>
      <w:r>
        <w:rPr>
          <w:rFonts w:hint="eastAsia"/>
          <w:color w:val="auto"/>
          <w:lang w:val="en-US" w:eastAsia="zh-CN"/>
        </w:rPr>
        <w:t>5.3.4 土壤环境影响评价结论</w:t>
      </w:r>
    </w:p>
    <w:p w14:paraId="2EAE3E61">
      <w:pPr>
        <w:pStyle w:val="79"/>
        <w:bidi w:val="0"/>
        <w:rPr>
          <w:color w:val="auto"/>
        </w:rPr>
      </w:pPr>
      <w:r>
        <w:rPr>
          <w:rFonts w:hint="eastAsia"/>
          <w:color w:val="auto"/>
        </w:rPr>
        <w:t>综上，</w:t>
      </w:r>
      <w:r>
        <w:rPr>
          <w:rFonts w:hint="eastAsia"/>
          <w:color w:val="auto"/>
          <w:lang w:eastAsia="zh-CN"/>
        </w:rPr>
        <w:t>本项目为试采工程，天然气采用密闭流程，原油采用装车拉运，装车过程采用气相平衡，</w:t>
      </w:r>
      <w:r>
        <w:rPr>
          <w:rFonts w:hint="eastAsia"/>
          <w:color w:val="auto"/>
        </w:rPr>
        <w:t>正常工况下无废水及固废等污染物外排，不会造成土壤环境污染。如果发生</w:t>
      </w:r>
      <w:r>
        <w:rPr>
          <w:rFonts w:hint="eastAsia"/>
          <w:color w:val="auto"/>
          <w:lang w:val="en-US" w:eastAsia="zh-CN"/>
        </w:rPr>
        <w:t>原油储罐、管线</w:t>
      </w:r>
      <w:r>
        <w:rPr>
          <w:rFonts w:hint="eastAsia"/>
          <w:color w:val="auto"/>
        </w:rPr>
        <w:t>泄漏等事故，泄漏的原油会对土壤环境产生一定的影响，泄漏的油类物质覆盖于地表可使土壤透气性下降、土壤理化性状发生变化。泄漏的油品如果进入土壤，从而使土壤质地、结构发生改变，影响到土地功能，进而影响地表植被的生长。根据环境风险分析可知，</w:t>
      </w:r>
      <w:r>
        <w:rPr>
          <w:rFonts w:hint="eastAsia"/>
          <w:color w:val="auto"/>
          <w:lang w:eastAsia="zh-CN"/>
        </w:rPr>
        <w:t>本工程</w:t>
      </w:r>
      <w:r>
        <w:rPr>
          <w:rFonts w:hint="eastAsia"/>
          <w:color w:val="auto"/>
        </w:rPr>
        <w:t>风险潜势很低，发生泄漏事故的可能性很小，在做好源头控制、过程防控等措施的前提下，可避免工程项目实施对土壤环境产生污染影响。</w:t>
      </w:r>
    </w:p>
    <w:p w14:paraId="14901F34">
      <w:pPr>
        <w:pStyle w:val="54"/>
        <w:bidi w:val="0"/>
        <w:rPr>
          <w:rFonts w:hint="eastAsia"/>
          <w:color w:val="auto"/>
          <w:lang w:val="en-US" w:eastAsia="zh-CN"/>
        </w:rPr>
      </w:pPr>
      <w:r>
        <w:rPr>
          <w:rFonts w:hint="eastAsia"/>
          <w:color w:val="auto"/>
          <w:lang w:val="en-US" w:eastAsia="zh-CN"/>
        </w:rPr>
        <w:t>5.3.5 土壤环境影响自查表</w:t>
      </w:r>
    </w:p>
    <w:p w14:paraId="1C284CDC">
      <w:pPr>
        <w:pStyle w:val="79"/>
        <w:bidi w:val="0"/>
        <w:rPr>
          <w:color w:val="auto"/>
        </w:rPr>
      </w:pPr>
      <w:r>
        <w:rPr>
          <w:rFonts w:hint="eastAsia"/>
          <w:color w:val="auto"/>
          <w:lang w:eastAsia="zh-CN"/>
        </w:rPr>
        <w:t>本工程</w:t>
      </w:r>
      <w:r>
        <w:rPr>
          <w:color w:val="auto"/>
        </w:rPr>
        <w:t>土壤环境影响评价自查表，见表5.</w:t>
      </w:r>
      <w:r>
        <w:rPr>
          <w:rFonts w:hint="eastAsia"/>
          <w:color w:val="auto"/>
          <w:lang w:val="en-US" w:eastAsia="zh-CN"/>
        </w:rPr>
        <w:t>3</w:t>
      </w:r>
      <w:r>
        <w:rPr>
          <w:color w:val="auto"/>
        </w:rPr>
        <w:t>-</w:t>
      </w:r>
      <w:r>
        <w:rPr>
          <w:rFonts w:hint="eastAsia"/>
          <w:color w:val="auto"/>
          <w:lang w:val="en-US" w:eastAsia="zh-CN"/>
        </w:rPr>
        <w:t>6</w:t>
      </w:r>
      <w:r>
        <w:rPr>
          <w:color w:val="auto"/>
        </w:rPr>
        <w:t>。</w:t>
      </w:r>
    </w:p>
    <w:p w14:paraId="608CD2E2">
      <w:pPr>
        <w:pStyle w:val="61"/>
        <w:bidi w:val="0"/>
        <w:jc w:val="both"/>
        <w:rPr>
          <w:rFonts w:hint="eastAsia"/>
          <w:color w:val="auto"/>
          <w:lang w:val="zh-CN" w:eastAsia="zh-CN"/>
        </w:rPr>
      </w:pPr>
      <w:r>
        <w:rPr>
          <w:rFonts w:hint="eastAsia"/>
          <w:color w:val="auto"/>
          <w:lang w:val="zh-CN" w:eastAsia="zh-CN"/>
        </w:rPr>
        <w:t>表5.</w:t>
      </w:r>
      <w:r>
        <w:rPr>
          <w:rFonts w:hint="eastAsia"/>
          <w:color w:val="auto"/>
          <w:lang w:val="en-US" w:eastAsia="zh-CN"/>
        </w:rPr>
        <w:t xml:space="preserve">3-6  </w:t>
      </w:r>
      <w:r>
        <w:rPr>
          <w:rFonts w:hint="eastAsia"/>
          <w:color w:val="auto"/>
          <w:lang w:val="zh-CN" w:eastAsia="zh-CN"/>
        </w:rPr>
        <w:t>土壤环境影响评价自查表</w:t>
      </w:r>
    </w:p>
    <w:tbl>
      <w:tblPr>
        <w:tblStyle w:val="36"/>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11"/>
        <w:gridCol w:w="1494"/>
        <w:gridCol w:w="721"/>
        <w:gridCol w:w="1137"/>
        <w:gridCol w:w="178"/>
        <w:gridCol w:w="660"/>
        <w:gridCol w:w="602"/>
        <w:gridCol w:w="293"/>
        <w:gridCol w:w="971"/>
        <w:gridCol w:w="864"/>
        <w:gridCol w:w="1499"/>
      </w:tblGrid>
      <w:tr w14:paraId="126C09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9" w:type="pct"/>
            <w:gridSpan w:val="2"/>
            <w:tcBorders>
              <w:tl2br w:val="nil"/>
              <w:tr2bl w:val="nil"/>
            </w:tcBorders>
            <w:noWrap w:val="0"/>
            <w:vAlign w:val="center"/>
          </w:tcPr>
          <w:p w14:paraId="1A4588FB">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工作内容</w:t>
            </w:r>
          </w:p>
        </w:tc>
        <w:tc>
          <w:tcPr>
            <w:tcW w:w="3073" w:type="pct"/>
            <w:gridSpan w:val="8"/>
            <w:tcBorders>
              <w:tl2br w:val="nil"/>
              <w:tr2bl w:val="nil"/>
            </w:tcBorders>
            <w:noWrap w:val="0"/>
            <w:vAlign w:val="center"/>
          </w:tcPr>
          <w:p w14:paraId="50C21E1A">
            <w:pPr>
              <w:keepNext w:val="0"/>
              <w:keepLines w:val="0"/>
              <w:pageBreakBefore w:val="0"/>
              <w:widowControl/>
              <w:kinsoku/>
              <w:wordWrap/>
              <w:overflowPunct/>
              <w:topLinePunct w:val="0"/>
              <w:autoSpaceDE/>
              <w:autoSpaceDN/>
              <w:bidi w:val="0"/>
              <w:spacing w:line="240" w:lineRule="exact"/>
              <w:jc w:val="center"/>
              <w:rPr>
                <w:rFonts w:hint="eastAsia"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rPr>
              <w:t>塔里木油田</w:t>
            </w:r>
            <w:r>
              <w:rPr>
                <w:rFonts w:hint="eastAsia" w:cs="Times New Roman"/>
                <w:color w:val="auto"/>
                <w:kern w:val="0"/>
                <w:sz w:val="18"/>
                <w:szCs w:val="18"/>
                <w:highlight w:val="none"/>
                <w:lang w:eastAsia="zh-CN"/>
              </w:rPr>
              <w:t>雄英油田</w:t>
            </w:r>
            <w:r>
              <w:rPr>
                <w:rFonts w:hint="default" w:ascii="Times New Roman" w:hAnsi="Times New Roman" w:cs="Times New Roman"/>
                <w:color w:val="auto"/>
                <w:kern w:val="0"/>
                <w:sz w:val="18"/>
                <w:szCs w:val="18"/>
                <w:highlight w:val="none"/>
              </w:rPr>
              <w:t>雄英1区块寒武系下丘里塔格组试采</w:t>
            </w:r>
            <w:r>
              <w:rPr>
                <w:rFonts w:hint="eastAsia" w:cs="Times New Roman"/>
                <w:color w:val="auto"/>
                <w:kern w:val="0"/>
                <w:sz w:val="18"/>
                <w:szCs w:val="18"/>
                <w:highlight w:val="none"/>
                <w:lang w:eastAsia="zh-CN"/>
              </w:rPr>
              <w:t>优化调整项目</w:t>
            </w:r>
          </w:p>
        </w:tc>
        <w:tc>
          <w:tcPr>
            <w:tcW w:w="847" w:type="pct"/>
            <w:tcBorders>
              <w:tl2br w:val="nil"/>
              <w:tr2bl w:val="nil"/>
            </w:tcBorders>
            <w:noWrap w:val="0"/>
            <w:vAlign w:val="center"/>
          </w:tcPr>
          <w:p w14:paraId="7BC4FE75">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备注</w:t>
            </w:r>
          </w:p>
        </w:tc>
      </w:tr>
      <w:tr w14:paraId="42FF3B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3" w:type="pct"/>
            <w:vMerge w:val="restart"/>
            <w:tcBorders>
              <w:tl2br w:val="nil"/>
              <w:tr2bl w:val="nil"/>
            </w:tcBorders>
            <w:noWrap w:val="0"/>
            <w:vAlign w:val="center"/>
          </w:tcPr>
          <w:p w14:paraId="3046105C">
            <w:pPr>
              <w:keepNext w:val="0"/>
              <w:keepLines w:val="0"/>
              <w:pageBreakBefore w:val="0"/>
              <w:kinsoku/>
              <w:wordWrap/>
              <w:overflowPunct/>
              <w:topLinePunct w:val="0"/>
              <w:autoSpaceDE/>
              <w:autoSpaceDN/>
              <w:bidi w:val="0"/>
              <w:adjustRightInd w:val="0"/>
              <w:snapToGrid w:val="0"/>
              <w:spacing w:line="240" w:lineRule="exact"/>
              <w:ind w:right="-31" w:rightChars="-15"/>
              <w:jc w:val="both"/>
              <w:textAlignment w:val="baseline"/>
              <w:rPr>
                <w:rFonts w:hint="default" w:ascii="Times New Roman" w:hAnsi="Times New Roman" w:eastAsia="宋体" w:cs="Times New Roman"/>
                <w:color w:val="auto"/>
                <w:sz w:val="18"/>
                <w:szCs w:val="18"/>
                <w:highlight w:val="none"/>
                <w:lang w:val="en-US" w:eastAsia="zh-CN" w:bidi="ar-SA"/>
              </w:rPr>
            </w:pPr>
            <w:r>
              <w:rPr>
                <w:rFonts w:hint="eastAsia" w:cs="Times New Roman"/>
                <w:color w:val="auto"/>
                <w:sz w:val="18"/>
                <w:szCs w:val="18"/>
                <w:highlight w:val="none"/>
                <w:lang w:val="en-US" w:eastAsia="zh-CN" w:bidi="ar-SA"/>
              </w:rPr>
              <w:t>影</w:t>
            </w:r>
            <w:r>
              <w:rPr>
                <w:rFonts w:hint="default" w:ascii="Times New Roman" w:hAnsi="Times New Roman" w:eastAsia="宋体" w:cs="Times New Roman"/>
                <w:color w:val="auto"/>
                <w:sz w:val="18"/>
                <w:szCs w:val="18"/>
                <w:highlight w:val="none"/>
                <w:lang w:val="en-US" w:eastAsia="zh-CN" w:bidi="ar-SA"/>
              </w:rPr>
              <w:t>响</w:t>
            </w:r>
          </w:p>
          <w:p w14:paraId="6A789357">
            <w:pPr>
              <w:keepNext w:val="0"/>
              <w:keepLines w:val="0"/>
              <w:pageBreakBefore w:val="0"/>
              <w:kinsoku/>
              <w:wordWrap/>
              <w:overflowPunct/>
              <w:topLinePunct w:val="0"/>
              <w:autoSpaceDE/>
              <w:autoSpaceDN/>
              <w:bidi w:val="0"/>
              <w:adjustRightInd w:val="0"/>
              <w:snapToGrid w:val="0"/>
              <w:spacing w:line="240" w:lineRule="exact"/>
              <w:ind w:right="-31" w:rightChars="-15"/>
              <w:jc w:val="both"/>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识别</w:t>
            </w:r>
          </w:p>
        </w:tc>
        <w:tc>
          <w:tcPr>
            <w:tcW w:w="845" w:type="pct"/>
            <w:tcBorders>
              <w:tl2br w:val="nil"/>
              <w:tr2bl w:val="nil"/>
            </w:tcBorders>
            <w:noWrap w:val="0"/>
            <w:vAlign w:val="center"/>
          </w:tcPr>
          <w:p w14:paraId="0D2E28CF">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影响类型</w:t>
            </w:r>
          </w:p>
        </w:tc>
        <w:tc>
          <w:tcPr>
            <w:tcW w:w="3073" w:type="pct"/>
            <w:gridSpan w:val="8"/>
            <w:tcBorders>
              <w:tl2br w:val="nil"/>
              <w:tr2bl w:val="nil"/>
            </w:tcBorders>
            <w:noWrap w:val="0"/>
            <w:vAlign w:val="center"/>
          </w:tcPr>
          <w:p w14:paraId="6704035B">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污染影响</w:t>
            </w:r>
            <w:r>
              <w:rPr>
                <w:rFonts w:hint="eastAsia" w:cs="Times New Roman"/>
                <w:color w:val="auto"/>
                <w:sz w:val="18"/>
                <w:szCs w:val="18"/>
                <w:highlight w:val="none"/>
                <w:lang w:val="en-US" w:eastAsia="zh-CN" w:bidi="ar-SA"/>
              </w:rPr>
              <w:t>□</w:t>
            </w:r>
            <w:r>
              <w:rPr>
                <w:rFonts w:hint="default" w:ascii="Times New Roman" w:hAnsi="Times New Roman" w:eastAsia="宋体" w:cs="Times New Roman"/>
                <w:color w:val="auto"/>
                <w:sz w:val="18"/>
                <w:szCs w:val="18"/>
                <w:highlight w:val="none"/>
                <w:lang w:val="en-US" w:eastAsia="zh-CN" w:bidi="ar-SA"/>
              </w:rPr>
              <w:t>；生态影响型</w:t>
            </w:r>
            <w:r>
              <w:rPr>
                <w:rFonts w:hint="eastAsia" w:cs="Times New Roman"/>
                <w:color w:val="auto"/>
                <w:sz w:val="18"/>
                <w:szCs w:val="18"/>
                <w:highlight w:val="none"/>
                <w:lang w:val="en-US" w:eastAsia="zh-CN" w:bidi="ar-SA"/>
              </w:rPr>
              <w:t>□</w:t>
            </w:r>
            <w:r>
              <w:rPr>
                <w:rFonts w:hint="default" w:ascii="Times New Roman" w:hAnsi="Times New Roman" w:eastAsia="宋体" w:cs="Times New Roman"/>
                <w:color w:val="auto"/>
                <w:sz w:val="18"/>
                <w:szCs w:val="18"/>
                <w:highlight w:val="none"/>
                <w:lang w:val="en-US" w:eastAsia="zh-CN" w:bidi="ar-SA"/>
              </w:rPr>
              <w:t>；两种兼有</w:t>
            </w:r>
            <w:r>
              <w:rPr>
                <w:rFonts w:hint="eastAsia" w:cs="Times New Roman"/>
                <w:color w:val="auto"/>
                <w:sz w:val="18"/>
                <w:szCs w:val="18"/>
                <w:highlight w:val="none"/>
                <w:lang w:val="en-US" w:eastAsia="zh-CN" w:bidi="ar-SA"/>
              </w:rPr>
              <w:t>☑</w:t>
            </w:r>
          </w:p>
        </w:tc>
        <w:tc>
          <w:tcPr>
            <w:tcW w:w="847" w:type="pct"/>
            <w:tcBorders>
              <w:tl2br w:val="nil"/>
              <w:tr2bl w:val="nil"/>
            </w:tcBorders>
            <w:noWrap w:val="0"/>
            <w:vAlign w:val="center"/>
          </w:tcPr>
          <w:p w14:paraId="467A4137">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p>
        </w:tc>
      </w:tr>
      <w:tr w14:paraId="0ABA1B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3" w:type="pct"/>
            <w:vMerge w:val="continue"/>
            <w:tcBorders>
              <w:tl2br w:val="nil"/>
              <w:tr2bl w:val="nil"/>
            </w:tcBorders>
            <w:noWrap w:val="0"/>
            <w:vAlign w:val="center"/>
          </w:tcPr>
          <w:p w14:paraId="37B50F25">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p>
        </w:tc>
        <w:tc>
          <w:tcPr>
            <w:tcW w:w="845" w:type="pct"/>
            <w:tcBorders>
              <w:tl2br w:val="nil"/>
              <w:tr2bl w:val="nil"/>
            </w:tcBorders>
            <w:noWrap w:val="0"/>
            <w:vAlign w:val="center"/>
          </w:tcPr>
          <w:p w14:paraId="0B6398C8">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土地利用类型</w:t>
            </w:r>
          </w:p>
        </w:tc>
        <w:tc>
          <w:tcPr>
            <w:tcW w:w="3073" w:type="pct"/>
            <w:gridSpan w:val="8"/>
            <w:tcBorders>
              <w:tl2br w:val="nil"/>
              <w:tr2bl w:val="nil"/>
            </w:tcBorders>
            <w:noWrap w:val="0"/>
            <w:vAlign w:val="center"/>
          </w:tcPr>
          <w:p w14:paraId="4D7E6C4A">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建设用地</w:t>
            </w:r>
            <w:r>
              <w:rPr>
                <w:rFonts w:hint="eastAsia" w:cs="Times New Roman"/>
                <w:color w:val="auto"/>
                <w:sz w:val="18"/>
                <w:szCs w:val="18"/>
                <w:highlight w:val="none"/>
                <w:lang w:val="en-US" w:eastAsia="zh-CN" w:bidi="ar-SA"/>
              </w:rPr>
              <w:t>□</w:t>
            </w:r>
            <w:r>
              <w:rPr>
                <w:rFonts w:hint="default" w:ascii="Times New Roman" w:hAnsi="Times New Roman" w:eastAsia="宋体" w:cs="Times New Roman"/>
                <w:color w:val="auto"/>
                <w:sz w:val="18"/>
                <w:szCs w:val="18"/>
                <w:highlight w:val="none"/>
                <w:lang w:val="en-US" w:eastAsia="zh-CN" w:bidi="ar-SA"/>
              </w:rPr>
              <w:t>；农用地</w:t>
            </w:r>
            <w:r>
              <w:rPr>
                <w:rFonts w:hint="eastAsia" w:cs="Times New Roman"/>
                <w:color w:val="auto"/>
                <w:sz w:val="18"/>
                <w:szCs w:val="18"/>
                <w:highlight w:val="none"/>
                <w:lang w:val="en-US" w:eastAsia="zh-CN" w:bidi="ar-SA"/>
              </w:rPr>
              <w:t>□</w:t>
            </w:r>
            <w:r>
              <w:rPr>
                <w:rFonts w:hint="default" w:ascii="Times New Roman" w:hAnsi="Times New Roman" w:eastAsia="宋体" w:cs="Times New Roman"/>
                <w:color w:val="auto"/>
                <w:sz w:val="18"/>
                <w:szCs w:val="18"/>
                <w:highlight w:val="none"/>
                <w:lang w:val="en-US" w:eastAsia="zh-CN" w:bidi="ar-SA"/>
              </w:rPr>
              <w:t>；未利用地</w:t>
            </w:r>
            <w:r>
              <w:rPr>
                <w:rFonts w:hint="eastAsia" w:cs="Times New Roman"/>
                <w:color w:val="auto"/>
                <w:sz w:val="18"/>
                <w:szCs w:val="18"/>
                <w:highlight w:val="none"/>
                <w:lang w:val="en-US" w:eastAsia="zh-CN" w:bidi="ar-SA"/>
              </w:rPr>
              <w:t>☑</w:t>
            </w:r>
          </w:p>
        </w:tc>
        <w:tc>
          <w:tcPr>
            <w:tcW w:w="847" w:type="pct"/>
            <w:tcBorders>
              <w:tl2br w:val="nil"/>
              <w:tr2bl w:val="nil"/>
            </w:tcBorders>
            <w:noWrap w:val="0"/>
            <w:vAlign w:val="center"/>
          </w:tcPr>
          <w:p w14:paraId="6E25F949">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土地利用类型图</w:t>
            </w:r>
          </w:p>
        </w:tc>
      </w:tr>
      <w:tr w14:paraId="03F6F9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3" w:type="pct"/>
            <w:vMerge w:val="continue"/>
            <w:tcBorders>
              <w:tl2br w:val="nil"/>
              <w:tr2bl w:val="nil"/>
            </w:tcBorders>
            <w:noWrap w:val="0"/>
            <w:vAlign w:val="center"/>
          </w:tcPr>
          <w:p w14:paraId="49A81948">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p>
        </w:tc>
        <w:tc>
          <w:tcPr>
            <w:tcW w:w="845" w:type="pct"/>
            <w:tcBorders>
              <w:tl2br w:val="nil"/>
              <w:tr2bl w:val="nil"/>
            </w:tcBorders>
            <w:noWrap w:val="0"/>
            <w:vAlign w:val="center"/>
          </w:tcPr>
          <w:p w14:paraId="2EE41CC9">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占地规模</w:t>
            </w:r>
          </w:p>
        </w:tc>
        <w:tc>
          <w:tcPr>
            <w:tcW w:w="3073" w:type="pct"/>
            <w:gridSpan w:val="8"/>
            <w:tcBorders>
              <w:tl2br w:val="nil"/>
              <w:tr2bl w:val="nil"/>
            </w:tcBorders>
            <w:noWrap w:val="0"/>
            <w:vAlign w:val="center"/>
          </w:tcPr>
          <w:p w14:paraId="729875A6">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eastAsia" w:cs="Times New Roman"/>
                <w:color w:val="auto"/>
                <w:sz w:val="18"/>
                <w:szCs w:val="18"/>
                <w:highlight w:val="none"/>
                <w:lang w:val="en-US" w:eastAsia="zh-CN" w:bidi="ar-SA"/>
              </w:rPr>
              <w:t>(2.52)</w:t>
            </w:r>
            <w:r>
              <w:rPr>
                <w:rFonts w:hint="default" w:ascii="Times New Roman" w:hAnsi="Times New Roman" w:eastAsia="宋体" w:cs="Times New Roman"/>
                <w:color w:val="auto"/>
                <w:sz w:val="18"/>
                <w:szCs w:val="18"/>
                <w:highlight w:val="none"/>
                <w:lang w:val="en-US" w:eastAsia="zh-CN" w:bidi="ar-SA"/>
              </w:rPr>
              <w:t>hm</w:t>
            </w:r>
            <w:r>
              <w:rPr>
                <w:rFonts w:hint="default" w:ascii="Times New Roman" w:hAnsi="Times New Roman" w:eastAsia="宋体" w:cs="Times New Roman"/>
                <w:color w:val="auto"/>
                <w:sz w:val="18"/>
                <w:szCs w:val="18"/>
                <w:highlight w:val="none"/>
                <w:vertAlign w:val="superscript"/>
                <w:lang w:val="en-US" w:eastAsia="zh-CN" w:bidi="ar-SA"/>
              </w:rPr>
              <w:t>2</w:t>
            </w:r>
          </w:p>
        </w:tc>
        <w:tc>
          <w:tcPr>
            <w:tcW w:w="847" w:type="pct"/>
            <w:tcBorders>
              <w:tl2br w:val="nil"/>
              <w:tr2bl w:val="nil"/>
            </w:tcBorders>
            <w:noWrap w:val="0"/>
            <w:vAlign w:val="center"/>
          </w:tcPr>
          <w:p w14:paraId="60D24430">
            <w:pPr>
              <w:keepNext w:val="0"/>
              <w:keepLines w:val="0"/>
              <w:pageBreakBefore w:val="0"/>
              <w:kinsoku/>
              <w:wordWrap/>
              <w:overflowPunct/>
              <w:topLinePunct w:val="0"/>
              <w:autoSpaceDE/>
              <w:autoSpaceDN/>
              <w:bidi w:val="0"/>
              <w:adjustRightInd w:val="0"/>
              <w:snapToGrid w:val="0"/>
              <w:spacing w:line="240" w:lineRule="exact"/>
              <w:ind w:right="-31" w:rightChars="-15"/>
              <w:jc w:val="center"/>
              <w:textAlignment w:val="baseline"/>
              <w:rPr>
                <w:rFonts w:hint="default" w:ascii="Times New Roman" w:hAnsi="Times New Roman" w:eastAsia="宋体" w:cs="Times New Roman"/>
                <w:color w:val="auto"/>
                <w:sz w:val="18"/>
                <w:szCs w:val="18"/>
                <w:highlight w:val="none"/>
                <w:lang w:val="en-US" w:eastAsia="zh-CN" w:bidi="ar-SA"/>
              </w:rPr>
            </w:pPr>
            <w:r>
              <w:rPr>
                <w:rFonts w:hint="eastAsia" w:cs="Times New Roman"/>
                <w:color w:val="auto"/>
                <w:sz w:val="18"/>
                <w:szCs w:val="18"/>
                <w:highlight w:val="none"/>
                <w:lang w:val="en-US" w:eastAsia="zh-CN" w:bidi="ar-SA"/>
              </w:rPr>
              <w:t>永久占地</w:t>
            </w:r>
          </w:p>
        </w:tc>
      </w:tr>
      <w:tr w14:paraId="5F6619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3" w:type="pct"/>
            <w:vMerge w:val="continue"/>
            <w:tcBorders>
              <w:tl2br w:val="nil"/>
              <w:tr2bl w:val="nil"/>
            </w:tcBorders>
            <w:noWrap w:val="0"/>
            <w:vAlign w:val="center"/>
          </w:tcPr>
          <w:p w14:paraId="518209A1">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p>
        </w:tc>
        <w:tc>
          <w:tcPr>
            <w:tcW w:w="845" w:type="pct"/>
            <w:tcBorders>
              <w:tl2br w:val="nil"/>
              <w:tr2bl w:val="nil"/>
            </w:tcBorders>
            <w:noWrap w:val="0"/>
            <w:vAlign w:val="center"/>
          </w:tcPr>
          <w:p w14:paraId="2746E0D9">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敏感目标信息</w:t>
            </w:r>
          </w:p>
        </w:tc>
        <w:tc>
          <w:tcPr>
            <w:tcW w:w="3073" w:type="pct"/>
            <w:gridSpan w:val="8"/>
            <w:tcBorders>
              <w:tl2br w:val="nil"/>
              <w:tr2bl w:val="nil"/>
            </w:tcBorders>
            <w:noWrap w:val="0"/>
            <w:vAlign w:val="center"/>
          </w:tcPr>
          <w:p w14:paraId="3C522A0A">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敏感目标（</w:t>
            </w:r>
            <w:r>
              <w:rPr>
                <w:rFonts w:hint="eastAsia" w:ascii="Times New Roman" w:hAnsi="Times New Roman" w:eastAsia="宋体" w:cs="Times New Roman"/>
                <w:color w:val="auto"/>
                <w:sz w:val="18"/>
                <w:szCs w:val="18"/>
                <w:highlight w:val="none"/>
                <w:lang w:val="en-US" w:eastAsia="zh-CN" w:bidi="ar-SA"/>
              </w:rPr>
              <w:t>无</w:t>
            </w:r>
            <w:r>
              <w:rPr>
                <w:rFonts w:hint="default" w:ascii="Times New Roman" w:hAnsi="Times New Roman" w:eastAsia="宋体" w:cs="Times New Roman"/>
                <w:color w:val="auto"/>
                <w:sz w:val="18"/>
                <w:szCs w:val="18"/>
                <w:highlight w:val="none"/>
                <w:lang w:val="en-US" w:eastAsia="zh-CN" w:bidi="ar-SA"/>
              </w:rPr>
              <w:t>）、方位（/）、距离（/）</w:t>
            </w:r>
          </w:p>
        </w:tc>
        <w:tc>
          <w:tcPr>
            <w:tcW w:w="847" w:type="pct"/>
            <w:tcBorders>
              <w:tl2br w:val="nil"/>
              <w:tr2bl w:val="nil"/>
            </w:tcBorders>
            <w:noWrap w:val="0"/>
            <w:vAlign w:val="center"/>
          </w:tcPr>
          <w:p w14:paraId="72C79899">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p>
        </w:tc>
      </w:tr>
      <w:tr w14:paraId="26822C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3" w:type="pct"/>
            <w:vMerge w:val="continue"/>
            <w:tcBorders>
              <w:tl2br w:val="nil"/>
              <w:tr2bl w:val="nil"/>
            </w:tcBorders>
            <w:noWrap w:val="0"/>
            <w:vAlign w:val="center"/>
          </w:tcPr>
          <w:p w14:paraId="6EB4E514">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p>
        </w:tc>
        <w:tc>
          <w:tcPr>
            <w:tcW w:w="845" w:type="pct"/>
            <w:tcBorders>
              <w:tl2br w:val="nil"/>
              <w:tr2bl w:val="nil"/>
            </w:tcBorders>
            <w:noWrap w:val="0"/>
            <w:vAlign w:val="center"/>
          </w:tcPr>
          <w:p w14:paraId="3CC53F84">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影响途径</w:t>
            </w:r>
          </w:p>
        </w:tc>
        <w:tc>
          <w:tcPr>
            <w:tcW w:w="3073" w:type="pct"/>
            <w:gridSpan w:val="8"/>
            <w:tcBorders>
              <w:tl2br w:val="nil"/>
              <w:tr2bl w:val="nil"/>
            </w:tcBorders>
            <w:noWrap w:val="0"/>
            <w:vAlign w:val="center"/>
          </w:tcPr>
          <w:p w14:paraId="0417CC06">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大气沉降□；地面漫流□；垂直入渗☑；地下水位□；其他□</w:t>
            </w:r>
          </w:p>
        </w:tc>
        <w:tc>
          <w:tcPr>
            <w:tcW w:w="847" w:type="pct"/>
            <w:tcBorders>
              <w:tl2br w:val="nil"/>
              <w:tr2bl w:val="nil"/>
            </w:tcBorders>
            <w:noWrap w:val="0"/>
            <w:vAlign w:val="center"/>
          </w:tcPr>
          <w:p w14:paraId="7C829C13">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p>
        </w:tc>
      </w:tr>
      <w:tr w14:paraId="28D939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3" w:type="pct"/>
            <w:vMerge w:val="continue"/>
            <w:tcBorders>
              <w:tl2br w:val="nil"/>
              <w:tr2bl w:val="nil"/>
            </w:tcBorders>
            <w:noWrap w:val="0"/>
            <w:vAlign w:val="center"/>
          </w:tcPr>
          <w:p w14:paraId="04C086C3">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p>
        </w:tc>
        <w:tc>
          <w:tcPr>
            <w:tcW w:w="845" w:type="pct"/>
            <w:tcBorders>
              <w:tl2br w:val="nil"/>
              <w:tr2bl w:val="nil"/>
            </w:tcBorders>
            <w:noWrap w:val="0"/>
            <w:vAlign w:val="center"/>
          </w:tcPr>
          <w:p w14:paraId="6B6E56FC">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全部污染物</w:t>
            </w:r>
          </w:p>
        </w:tc>
        <w:tc>
          <w:tcPr>
            <w:tcW w:w="3073" w:type="pct"/>
            <w:gridSpan w:val="8"/>
            <w:tcBorders>
              <w:tl2br w:val="nil"/>
              <w:tr2bl w:val="nil"/>
            </w:tcBorders>
            <w:noWrap w:val="0"/>
            <w:vAlign w:val="center"/>
          </w:tcPr>
          <w:p w14:paraId="02B3B675">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eastAsia"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kern w:val="0"/>
                <w:sz w:val="18"/>
                <w:szCs w:val="18"/>
                <w:highlight w:val="none"/>
                <w:lang w:val="en-US" w:eastAsia="zh-CN" w:bidi="ar-SA"/>
              </w:rPr>
              <w:t>石油烃（</w:t>
            </w:r>
            <w:r>
              <w:rPr>
                <w:rFonts w:hint="default" w:ascii="Times New Roman" w:hAnsi="Times New Roman" w:eastAsia="宋体" w:cs="Times New Roman"/>
                <w:color w:val="auto"/>
                <w:spacing w:val="-10"/>
                <w:sz w:val="18"/>
                <w:szCs w:val="18"/>
                <w:highlight w:val="none"/>
                <w:lang w:val="en-US" w:eastAsia="zh-CN" w:bidi="ar-SA"/>
              </w:rPr>
              <w:t>C</w:t>
            </w:r>
            <w:r>
              <w:rPr>
                <w:rFonts w:hint="default" w:ascii="Times New Roman" w:hAnsi="Times New Roman" w:eastAsia="宋体" w:cs="Times New Roman"/>
                <w:color w:val="auto"/>
                <w:spacing w:val="-10"/>
                <w:sz w:val="18"/>
                <w:szCs w:val="18"/>
                <w:highlight w:val="none"/>
                <w:vertAlign w:val="subscript"/>
                <w:lang w:val="en-US" w:eastAsia="zh-CN" w:bidi="ar-SA"/>
              </w:rPr>
              <w:t>10</w:t>
            </w:r>
            <w:r>
              <w:rPr>
                <w:rFonts w:hint="default" w:ascii="Times New Roman" w:hAnsi="Times New Roman" w:eastAsia="宋体" w:cs="Times New Roman"/>
                <w:color w:val="auto"/>
                <w:spacing w:val="-10"/>
                <w:sz w:val="18"/>
                <w:szCs w:val="18"/>
                <w:highlight w:val="none"/>
                <w:lang w:val="en-US" w:eastAsia="zh-CN" w:bidi="ar-SA"/>
              </w:rPr>
              <w:t>-C</w:t>
            </w:r>
            <w:r>
              <w:rPr>
                <w:rFonts w:hint="default" w:ascii="Times New Roman" w:hAnsi="Times New Roman" w:eastAsia="宋体" w:cs="Times New Roman"/>
                <w:color w:val="auto"/>
                <w:spacing w:val="-10"/>
                <w:sz w:val="18"/>
                <w:szCs w:val="18"/>
                <w:highlight w:val="none"/>
                <w:vertAlign w:val="subscript"/>
                <w:lang w:val="en-US" w:eastAsia="zh-CN" w:bidi="ar-SA"/>
              </w:rPr>
              <w:t>40</w:t>
            </w:r>
            <w:r>
              <w:rPr>
                <w:rFonts w:hint="default" w:ascii="Times New Roman" w:hAnsi="Times New Roman" w:eastAsia="宋体" w:cs="Times New Roman"/>
                <w:color w:val="auto"/>
                <w:kern w:val="0"/>
                <w:sz w:val="18"/>
                <w:szCs w:val="18"/>
                <w:highlight w:val="none"/>
                <w:lang w:val="en-US" w:eastAsia="zh-CN" w:bidi="ar-SA"/>
              </w:rPr>
              <w:t>）</w:t>
            </w:r>
          </w:p>
        </w:tc>
        <w:tc>
          <w:tcPr>
            <w:tcW w:w="847" w:type="pct"/>
            <w:tcBorders>
              <w:tl2br w:val="nil"/>
              <w:tr2bl w:val="nil"/>
            </w:tcBorders>
            <w:noWrap w:val="0"/>
            <w:vAlign w:val="center"/>
          </w:tcPr>
          <w:p w14:paraId="676387C9">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p>
        </w:tc>
      </w:tr>
      <w:tr w14:paraId="107429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3" w:type="pct"/>
            <w:vMerge w:val="continue"/>
            <w:tcBorders>
              <w:tl2br w:val="nil"/>
              <w:tr2bl w:val="nil"/>
            </w:tcBorders>
            <w:noWrap w:val="0"/>
            <w:vAlign w:val="center"/>
          </w:tcPr>
          <w:p w14:paraId="4228C6D8">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p>
        </w:tc>
        <w:tc>
          <w:tcPr>
            <w:tcW w:w="845" w:type="pct"/>
            <w:tcBorders>
              <w:tl2br w:val="nil"/>
              <w:tr2bl w:val="nil"/>
            </w:tcBorders>
            <w:noWrap w:val="0"/>
            <w:vAlign w:val="center"/>
          </w:tcPr>
          <w:p w14:paraId="338F9BD2">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特征因子</w:t>
            </w:r>
          </w:p>
        </w:tc>
        <w:tc>
          <w:tcPr>
            <w:tcW w:w="3073" w:type="pct"/>
            <w:gridSpan w:val="8"/>
            <w:tcBorders>
              <w:tl2br w:val="nil"/>
              <w:tr2bl w:val="nil"/>
            </w:tcBorders>
            <w:noWrap w:val="0"/>
            <w:vAlign w:val="center"/>
          </w:tcPr>
          <w:p w14:paraId="766D88A1">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kern w:val="0"/>
                <w:sz w:val="18"/>
                <w:szCs w:val="18"/>
                <w:highlight w:val="none"/>
                <w:lang w:val="en-US" w:eastAsia="zh-CN" w:bidi="ar-SA"/>
              </w:rPr>
              <w:t>石油烃（</w:t>
            </w:r>
            <w:r>
              <w:rPr>
                <w:rFonts w:hint="default" w:ascii="Times New Roman" w:hAnsi="Times New Roman" w:eastAsia="宋体" w:cs="Times New Roman"/>
                <w:color w:val="auto"/>
                <w:spacing w:val="-10"/>
                <w:sz w:val="18"/>
                <w:szCs w:val="18"/>
                <w:highlight w:val="none"/>
                <w:lang w:val="en-US" w:eastAsia="zh-CN" w:bidi="ar-SA"/>
              </w:rPr>
              <w:t>C</w:t>
            </w:r>
            <w:r>
              <w:rPr>
                <w:rFonts w:hint="default" w:ascii="Times New Roman" w:hAnsi="Times New Roman" w:eastAsia="宋体" w:cs="Times New Roman"/>
                <w:color w:val="auto"/>
                <w:spacing w:val="-10"/>
                <w:sz w:val="18"/>
                <w:szCs w:val="18"/>
                <w:highlight w:val="none"/>
                <w:vertAlign w:val="subscript"/>
                <w:lang w:val="en-US" w:eastAsia="zh-CN" w:bidi="ar-SA"/>
              </w:rPr>
              <w:t>10</w:t>
            </w:r>
            <w:r>
              <w:rPr>
                <w:rFonts w:hint="default" w:ascii="Times New Roman" w:hAnsi="Times New Roman" w:eastAsia="宋体" w:cs="Times New Roman"/>
                <w:color w:val="auto"/>
                <w:spacing w:val="-10"/>
                <w:sz w:val="18"/>
                <w:szCs w:val="18"/>
                <w:highlight w:val="none"/>
                <w:lang w:val="en-US" w:eastAsia="zh-CN" w:bidi="ar-SA"/>
              </w:rPr>
              <w:t>-C</w:t>
            </w:r>
            <w:r>
              <w:rPr>
                <w:rFonts w:hint="default" w:ascii="Times New Roman" w:hAnsi="Times New Roman" w:eastAsia="宋体" w:cs="Times New Roman"/>
                <w:color w:val="auto"/>
                <w:spacing w:val="-10"/>
                <w:sz w:val="18"/>
                <w:szCs w:val="18"/>
                <w:highlight w:val="none"/>
                <w:vertAlign w:val="subscript"/>
                <w:lang w:val="en-US" w:eastAsia="zh-CN" w:bidi="ar-SA"/>
              </w:rPr>
              <w:t>40</w:t>
            </w:r>
            <w:r>
              <w:rPr>
                <w:rFonts w:hint="default" w:ascii="Times New Roman" w:hAnsi="Times New Roman" w:eastAsia="宋体" w:cs="Times New Roman"/>
                <w:color w:val="auto"/>
                <w:kern w:val="0"/>
                <w:sz w:val="18"/>
                <w:szCs w:val="18"/>
                <w:highlight w:val="none"/>
                <w:lang w:val="en-US" w:eastAsia="zh-CN" w:bidi="ar-SA"/>
              </w:rPr>
              <w:t>）</w:t>
            </w:r>
          </w:p>
        </w:tc>
        <w:tc>
          <w:tcPr>
            <w:tcW w:w="847" w:type="pct"/>
            <w:tcBorders>
              <w:tl2br w:val="nil"/>
              <w:tr2bl w:val="nil"/>
            </w:tcBorders>
            <w:noWrap w:val="0"/>
            <w:vAlign w:val="center"/>
          </w:tcPr>
          <w:p w14:paraId="69D9B340">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p>
        </w:tc>
      </w:tr>
      <w:tr w14:paraId="12ECEA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3" w:type="pct"/>
            <w:vMerge w:val="continue"/>
            <w:tcBorders>
              <w:tl2br w:val="nil"/>
              <w:tr2bl w:val="nil"/>
            </w:tcBorders>
            <w:noWrap w:val="0"/>
            <w:vAlign w:val="center"/>
          </w:tcPr>
          <w:p w14:paraId="42EAC73E">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p>
        </w:tc>
        <w:tc>
          <w:tcPr>
            <w:tcW w:w="845" w:type="pct"/>
            <w:tcBorders>
              <w:tl2br w:val="nil"/>
              <w:tr2bl w:val="nil"/>
            </w:tcBorders>
            <w:noWrap w:val="0"/>
            <w:vAlign w:val="center"/>
          </w:tcPr>
          <w:p w14:paraId="6DF576D5">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所属土壤环境影响评价项目类别</w:t>
            </w:r>
          </w:p>
        </w:tc>
        <w:tc>
          <w:tcPr>
            <w:tcW w:w="3073" w:type="pct"/>
            <w:gridSpan w:val="8"/>
            <w:tcBorders>
              <w:tl2br w:val="nil"/>
              <w:tr2bl w:val="nil"/>
            </w:tcBorders>
            <w:noWrap w:val="0"/>
            <w:vAlign w:val="center"/>
          </w:tcPr>
          <w:p w14:paraId="77527A88">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Ⅰ类</w:t>
            </w:r>
            <w:r>
              <w:rPr>
                <w:rFonts w:hint="eastAsia" w:cs="Times New Roman"/>
                <w:color w:val="auto"/>
                <w:sz w:val="18"/>
                <w:szCs w:val="18"/>
                <w:highlight w:val="none"/>
                <w:lang w:val="en-US" w:eastAsia="zh-CN" w:bidi="ar-SA"/>
              </w:rPr>
              <w:sym w:font="Wingdings 2" w:char="0052"/>
            </w:r>
            <w:r>
              <w:rPr>
                <w:rFonts w:hint="default" w:ascii="Times New Roman" w:hAnsi="Times New Roman" w:eastAsia="宋体" w:cs="Times New Roman"/>
                <w:color w:val="auto"/>
                <w:sz w:val="18"/>
                <w:szCs w:val="18"/>
                <w:highlight w:val="none"/>
                <w:lang w:val="en-US" w:eastAsia="zh-CN" w:bidi="ar-SA"/>
              </w:rPr>
              <w:t>；Ⅱ类</w:t>
            </w:r>
            <w:r>
              <w:rPr>
                <w:rFonts w:hint="eastAsia" w:cs="Times New Roman"/>
                <w:color w:val="auto"/>
                <w:sz w:val="18"/>
                <w:szCs w:val="18"/>
                <w:highlight w:val="none"/>
                <w:lang w:val="en-US" w:eastAsia="zh-CN" w:bidi="ar-SA"/>
              </w:rPr>
              <w:t>☑</w:t>
            </w:r>
            <w:r>
              <w:rPr>
                <w:rFonts w:hint="default" w:ascii="Times New Roman" w:hAnsi="Times New Roman" w:eastAsia="宋体" w:cs="Times New Roman"/>
                <w:color w:val="auto"/>
                <w:sz w:val="18"/>
                <w:szCs w:val="18"/>
                <w:highlight w:val="none"/>
                <w:lang w:val="en-US" w:eastAsia="zh-CN" w:bidi="ar-SA"/>
              </w:rPr>
              <w:t>；Ⅲ类□；Ⅳ类</w:t>
            </w:r>
            <w:r>
              <w:rPr>
                <w:rFonts w:hint="default" w:ascii="Times New Roman" w:hAnsi="Times New Roman" w:eastAsia="宋体" w:cs="Times New Roman"/>
                <w:color w:val="auto"/>
                <w:sz w:val="18"/>
                <w:szCs w:val="18"/>
                <w:highlight w:val="none"/>
                <w:lang w:val="en-US" w:eastAsia="zh-CN" w:bidi="ar-SA"/>
              </w:rPr>
              <w:sym w:font="Wingdings 2" w:char="00A3"/>
            </w:r>
            <w:r>
              <w:rPr>
                <w:rFonts w:hint="default" w:ascii="Times New Roman" w:hAnsi="Times New Roman" w:eastAsia="宋体" w:cs="Times New Roman"/>
                <w:color w:val="auto"/>
                <w:sz w:val="18"/>
                <w:szCs w:val="18"/>
                <w:highlight w:val="none"/>
                <w:lang w:val="en-US" w:eastAsia="zh-CN" w:bidi="ar-SA"/>
              </w:rPr>
              <w:t>；</w:t>
            </w:r>
          </w:p>
        </w:tc>
        <w:tc>
          <w:tcPr>
            <w:tcW w:w="847" w:type="pct"/>
            <w:vMerge w:val="restart"/>
            <w:tcBorders>
              <w:tl2br w:val="nil"/>
              <w:tr2bl w:val="nil"/>
            </w:tcBorders>
            <w:noWrap w:val="0"/>
            <w:vAlign w:val="center"/>
          </w:tcPr>
          <w:p w14:paraId="648DC0EF">
            <w:pPr>
              <w:keepNext w:val="0"/>
              <w:keepLines w:val="0"/>
              <w:pageBreakBefore w:val="0"/>
              <w:kinsoku/>
              <w:wordWrap/>
              <w:overflowPunct/>
              <w:topLinePunct w:val="0"/>
              <w:autoSpaceDE/>
              <w:autoSpaceDN/>
              <w:bidi w:val="0"/>
              <w:adjustRightInd w:val="0"/>
              <w:snapToGrid w:val="0"/>
              <w:spacing w:line="240" w:lineRule="exact"/>
              <w:ind w:right="-31" w:rightChars="-15"/>
              <w:jc w:val="both"/>
              <w:textAlignment w:val="baseline"/>
              <w:rPr>
                <w:rFonts w:hint="default" w:ascii="Times New Roman" w:hAnsi="Times New Roman" w:eastAsia="宋体" w:cs="Times New Roman"/>
                <w:color w:val="auto"/>
                <w:sz w:val="18"/>
                <w:szCs w:val="18"/>
                <w:highlight w:val="none"/>
                <w:lang w:val="en-US" w:eastAsia="zh-CN" w:bidi="ar-SA"/>
              </w:rPr>
            </w:pPr>
            <w:r>
              <w:rPr>
                <w:rFonts w:hint="eastAsia"/>
                <w:color w:val="auto"/>
                <w:sz w:val="18"/>
                <w:szCs w:val="18"/>
                <w:highlight w:val="none"/>
                <w:lang w:val="en-US" w:eastAsia="zh-CN"/>
              </w:rPr>
              <w:t>本工程</w:t>
            </w:r>
            <w:r>
              <w:rPr>
                <w:rFonts w:hint="eastAsia"/>
                <w:color w:val="auto"/>
                <w:sz w:val="18"/>
                <w:szCs w:val="18"/>
                <w:highlight w:val="none"/>
              </w:rPr>
              <w:t>站场属于I类项目，生态影响型评价等级划分为</w:t>
            </w:r>
            <w:r>
              <w:rPr>
                <w:rFonts w:hint="eastAsia"/>
                <w:color w:val="auto"/>
                <w:sz w:val="18"/>
                <w:szCs w:val="18"/>
                <w:highlight w:val="none"/>
                <w:lang w:val="en-US" w:eastAsia="zh-CN"/>
              </w:rPr>
              <w:t>二</w:t>
            </w:r>
            <w:r>
              <w:rPr>
                <w:rFonts w:hint="eastAsia"/>
                <w:color w:val="auto"/>
                <w:sz w:val="18"/>
                <w:szCs w:val="18"/>
                <w:highlight w:val="none"/>
              </w:rPr>
              <w:t>级；</w:t>
            </w:r>
            <w:r>
              <w:rPr>
                <w:rFonts w:hint="eastAsia"/>
                <w:color w:val="auto"/>
                <w:sz w:val="18"/>
                <w:szCs w:val="18"/>
                <w:highlight w:val="none"/>
                <w:lang w:val="en-US" w:eastAsia="zh-CN"/>
              </w:rPr>
              <w:t>污染</w:t>
            </w:r>
            <w:r>
              <w:rPr>
                <w:rFonts w:hint="eastAsia"/>
                <w:color w:val="auto"/>
                <w:sz w:val="18"/>
                <w:szCs w:val="18"/>
                <w:highlight w:val="none"/>
              </w:rPr>
              <w:t>影响型评价等级划分为</w:t>
            </w:r>
            <w:r>
              <w:rPr>
                <w:rFonts w:hint="eastAsia"/>
                <w:color w:val="auto"/>
                <w:sz w:val="18"/>
                <w:szCs w:val="18"/>
                <w:highlight w:val="none"/>
                <w:lang w:val="en-US" w:eastAsia="zh-CN"/>
              </w:rPr>
              <w:t>一</w:t>
            </w:r>
            <w:r>
              <w:rPr>
                <w:rFonts w:hint="eastAsia"/>
                <w:color w:val="auto"/>
                <w:sz w:val="18"/>
                <w:szCs w:val="18"/>
                <w:highlight w:val="none"/>
              </w:rPr>
              <w:t>级。</w:t>
            </w:r>
          </w:p>
        </w:tc>
      </w:tr>
      <w:tr w14:paraId="2B0477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3" w:type="pct"/>
            <w:vMerge w:val="continue"/>
            <w:tcBorders>
              <w:tl2br w:val="nil"/>
              <w:tr2bl w:val="nil"/>
            </w:tcBorders>
            <w:noWrap w:val="0"/>
            <w:vAlign w:val="center"/>
          </w:tcPr>
          <w:p w14:paraId="36C5E07F">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p>
        </w:tc>
        <w:tc>
          <w:tcPr>
            <w:tcW w:w="845" w:type="pct"/>
            <w:tcBorders>
              <w:tl2br w:val="nil"/>
              <w:tr2bl w:val="nil"/>
            </w:tcBorders>
            <w:noWrap w:val="0"/>
            <w:vAlign w:val="center"/>
          </w:tcPr>
          <w:p w14:paraId="695CDD4B">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敏感程度</w:t>
            </w:r>
          </w:p>
        </w:tc>
        <w:tc>
          <w:tcPr>
            <w:tcW w:w="3073" w:type="pct"/>
            <w:gridSpan w:val="8"/>
            <w:tcBorders>
              <w:tl2br w:val="nil"/>
              <w:tr2bl w:val="nil"/>
            </w:tcBorders>
            <w:noWrap w:val="0"/>
            <w:vAlign w:val="center"/>
          </w:tcPr>
          <w:p w14:paraId="4BED88D8">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敏感</w:t>
            </w:r>
            <w:r>
              <w:rPr>
                <w:rFonts w:hint="eastAsia" w:cs="Times New Roman"/>
                <w:color w:val="auto"/>
                <w:sz w:val="18"/>
                <w:szCs w:val="18"/>
                <w:highlight w:val="none"/>
                <w:lang w:val="en-US" w:eastAsia="zh-CN" w:bidi="ar-SA"/>
              </w:rPr>
              <w:sym w:font="Wingdings 2" w:char="0052"/>
            </w:r>
            <w:r>
              <w:rPr>
                <w:rFonts w:hint="default" w:ascii="Times New Roman" w:hAnsi="Times New Roman" w:eastAsia="宋体" w:cs="Times New Roman"/>
                <w:color w:val="auto"/>
                <w:sz w:val="18"/>
                <w:szCs w:val="18"/>
                <w:highlight w:val="none"/>
                <w:lang w:val="en-US" w:eastAsia="zh-CN" w:bidi="ar-SA"/>
              </w:rPr>
              <w:t>；较敏感</w:t>
            </w:r>
            <w:r>
              <w:rPr>
                <w:rFonts w:hint="default" w:ascii="Times New Roman" w:hAnsi="Times New Roman" w:eastAsia="宋体" w:cs="Times New Roman"/>
                <w:color w:val="auto"/>
                <w:sz w:val="18"/>
                <w:szCs w:val="18"/>
                <w:highlight w:val="none"/>
                <w:lang w:val="en-US" w:eastAsia="zh-CN" w:bidi="ar-SA"/>
              </w:rPr>
              <w:sym w:font="Wingdings 2" w:char="0052"/>
            </w:r>
            <w:r>
              <w:rPr>
                <w:rFonts w:hint="default" w:ascii="Times New Roman" w:hAnsi="Times New Roman" w:eastAsia="宋体" w:cs="Times New Roman"/>
                <w:color w:val="auto"/>
                <w:sz w:val="18"/>
                <w:szCs w:val="18"/>
                <w:highlight w:val="none"/>
                <w:lang w:val="en-US" w:eastAsia="zh-CN" w:bidi="ar-SA"/>
              </w:rPr>
              <w:t>；不敏感</w:t>
            </w:r>
            <w:r>
              <w:rPr>
                <w:rFonts w:hint="eastAsia" w:cs="Times New Roman"/>
                <w:color w:val="auto"/>
                <w:sz w:val="18"/>
                <w:szCs w:val="18"/>
                <w:highlight w:val="none"/>
                <w:lang w:val="en-US" w:eastAsia="zh-CN" w:bidi="ar-SA"/>
              </w:rPr>
              <w:sym w:font="Wingdings 2" w:char="00A3"/>
            </w:r>
            <w:r>
              <w:rPr>
                <w:rFonts w:hint="default" w:ascii="Times New Roman" w:hAnsi="Times New Roman" w:eastAsia="宋体" w:cs="Times New Roman"/>
                <w:color w:val="auto"/>
                <w:sz w:val="18"/>
                <w:szCs w:val="18"/>
                <w:highlight w:val="none"/>
                <w:lang w:val="en-US" w:eastAsia="zh-CN" w:bidi="ar-SA"/>
              </w:rPr>
              <w:t>；</w:t>
            </w:r>
          </w:p>
        </w:tc>
        <w:tc>
          <w:tcPr>
            <w:tcW w:w="847" w:type="pct"/>
            <w:vMerge w:val="continue"/>
            <w:tcBorders>
              <w:tl2br w:val="nil"/>
              <w:tr2bl w:val="nil"/>
            </w:tcBorders>
            <w:noWrap w:val="0"/>
            <w:vAlign w:val="center"/>
          </w:tcPr>
          <w:p w14:paraId="180CCA10">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p>
        </w:tc>
      </w:tr>
      <w:tr w14:paraId="406547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9" w:type="pct"/>
            <w:gridSpan w:val="2"/>
            <w:tcBorders>
              <w:tl2br w:val="nil"/>
              <w:tr2bl w:val="nil"/>
            </w:tcBorders>
            <w:noWrap w:val="0"/>
            <w:vAlign w:val="center"/>
          </w:tcPr>
          <w:p w14:paraId="0991C362">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评价工作等级</w:t>
            </w:r>
          </w:p>
        </w:tc>
        <w:tc>
          <w:tcPr>
            <w:tcW w:w="3073" w:type="pct"/>
            <w:gridSpan w:val="8"/>
            <w:tcBorders>
              <w:tl2br w:val="nil"/>
              <w:tr2bl w:val="nil"/>
            </w:tcBorders>
            <w:noWrap w:val="0"/>
            <w:vAlign w:val="center"/>
          </w:tcPr>
          <w:p w14:paraId="55394A53">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一级</w:t>
            </w:r>
            <w:r>
              <w:rPr>
                <w:rFonts w:hint="eastAsia" w:cs="Times New Roman"/>
                <w:color w:val="auto"/>
                <w:sz w:val="18"/>
                <w:szCs w:val="18"/>
                <w:highlight w:val="none"/>
                <w:lang w:val="en-US" w:eastAsia="zh-CN" w:bidi="ar-SA"/>
              </w:rPr>
              <w:sym w:font="Wingdings 2" w:char="0052"/>
            </w:r>
            <w:r>
              <w:rPr>
                <w:rFonts w:hint="default" w:ascii="Times New Roman" w:hAnsi="Times New Roman" w:eastAsia="宋体" w:cs="Times New Roman"/>
                <w:color w:val="auto"/>
                <w:sz w:val="18"/>
                <w:szCs w:val="18"/>
                <w:highlight w:val="none"/>
                <w:lang w:val="en-US" w:eastAsia="zh-CN" w:bidi="ar-SA"/>
              </w:rPr>
              <w:t>；二级☑；三级</w:t>
            </w:r>
            <w:r>
              <w:rPr>
                <w:rFonts w:hint="eastAsia" w:cs="Times New Roman"/>
                <w:color w:val="auto"/>
                <w:sz w:val="18"/>
                <w:szCs w:val="18"/>
                <w:highlight w:val="none"/>
                <w:lang w:val="en-US" w:eastAsia="zh-CN" w:bidi="ar-SA"/>
              </w:rPr>
              <w:sym w:font="Wingdings 2" w:char="00A3"/>
            </w:r>
          </w:p>
        </w:tc>
        <w:tc>
          <w:tcPr>
            <w:tcW w:w="847" w:type="pct"/>
            <w:vMerge w:val="continue"/>
            <w:tcBorders>
              <w:tl2br w:val="nil"/>
              <w:tr2bl w:val="nil"/>
            </w:tcBorders>
            <w:noWrap w:val="0"/>
            <w:vAlign w:val="center"/>
          </w:tcPr>
          <w:p w14:paraId="7928B275">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p>
        </w:tc>
      </w:tr>
      <w:tr w14:paraId="7BC073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3" w:type="pct"/>
            <w:vMerge w:val="restart"/>
            <w:tcBorders>
              <w:tl2br w:val="nil"/>
              <w:tr2bl w:val="nil"/>
            </w:tcBorders>
            <w:noWrap w:val="0"/>
            <w:vAlign w:val="center"/>
          </w:tcPr>
          <w:p w14:paraId="064E0A37">
            <w:pPr>
              <w:keepNext w:val="0"/>
              <w:keepLines w:val="0"/>
              <w:pageBreakBefore w:val="0"/>
              <w:kinsoku/>
              <w:wordWrap/>
              <w:overflowPunct/>
              <w:topLinePunct w:val="0"/>
              <w:autoSpaceDE/>
              <w:autoSpaceDN/>
              <w:bidi w:val="0"/>
              <w:adjustRightInd w:val="0"/>
              <w:snapToGrid w:val="0"/>
              <w:spacing w:line="240" w:lineRule="exact"/>
              <w:ind w:right="-31" w:rightChars="-15"/>
              <w:jc w:val="both"/>
              <w:textAlignment w:val="baseline"/>
              <w:rPr>
                <w:rFonts w:hint="default" w:ascii="Times New Roman" w:hAnsi="Times New Roman" w:eastAsia="宋体" w:cs="Times New Roman"/>
                <w:color w:val="auto"/>
                <w:sz w:val="18"/>
                <w:szCs w:val="18"/>
                <w:highlight w:val="none"/>
                <w:lang w:val="en-US" w:eastAsia="zh-CN" w:bidi="ar-SA"/>
              </w:rPr>
            </w:pPr>
            <w:r>
              <w:rPr>
                <w:rFonts w:hint="eastAsia" w:cs="Times New Roman"/>
                <w:color w:val="auto"/>
                <w:sz w:val="18"/>
                <w:szCs w:val="18"/>
                <w:highlight w:val="none"/>
                <w:lang w:val="en-US" w:eastAsia="zh-CN" w:bidi="ar-SA"/>
              </w:rPr>
              <w:t>现</w:t>
            </w:r>
            <w:r>
              <w:rPr>
                <w:rFonts w:hint="default" w:ascii="Times New Roman" w:hAnsi="Times New Roman" w:eastAsia="宋体" w:cs="Times New Roman"/>
                <w:color w:val="auto"/>
                <w:sz w:val="18"/>
                <w:szCs w:val="18"/>
                <w:highlight w:val="none"/>
                <w:lang w:val="en-US" w:eastAsia="zh-CN" w:bidi="ar-SA"/>
              </w:rPr>
              <w:t>状</w:t>
            </w:r>
          </w:p>
          <w:p w14:paraId="66E3F02E">
            <w:pPr>
              <w:keepNext w:val="0"/>
              <w:keepLines w:val="0"/>
              <w:pageBreakBefore w:val="0"/>
              <w:kinsoku/>
              <w:wordWrap/>
              <w:overflowPunct/>
              <w:topLinePunct w:val="0"/>
              <w:autoSpaceDE/>
              <w:autoSpaceDN/>
              <w:bidi w:val="0"/>
              <w:adjustRightInd w:val="0"/>
              <w:snapToGrid w:val="0"/>
              <w:spacing w:line="240" w:lineRule="exact"/>
              <w:ind w:right="-31" w:rightChars="-15"/>
              <w:jc w:val="both"/>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调查</w:t>
            </w:r>
          </w:p>
          <w:p w14:paraId="4E07A6F5">
            <w:pPr>
              <w:keepNext w:val="0"/>
              <w:keepLines w:val="0"/>
              <w:pageBreakBefore w:val="0"/>
              <w:kinsoku/>
              <w:wordWrap/>
              <w:overflowPunct/>
              <w:topLinePunct w:val="0"/>
              <w:autoSpaceDE/>
              <w:autoSpaceDN/>
              <w:bidi w:val="0"/>
              <w:adjustRightInd w:val="0"/>
              <w:snapToGrid w:val="0"/>
              <w:spacing w:line="240" w:lineRule="exact"/>
              <w:ind w:right="-31" w:rightChars="-15"/>
              <w:jc w:val="both"/>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内容</w:t>
            </w:r>
          </w:p>
        </w:tc>
        <w:tc>
          <w:tcPr>
            <w:tcW w:w="845" w:type="pct"/>
            <w:tcBorders>
              <w:tl2br w:val="nil"/>
              <w:tr2bl w:val="nil"/>
            </w:tcBorders>
            <w:noWrap w:val="0"/>
            <w:vAlign w:val="center"/>
          </w:tcPr>
          <w:p w14:paraId="59693D25">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资料收集</w:t>
            </w:r>
          </w:p>
        </w:tc>
        <w:tc>
          <w:tcPr>
            <w:tcW w:w="3073" w:type="pct"/>
            <w:gridSpan w:val="8"/>
            <w:tcBorders>
              <w:tl2br w:val="nil"/>
              <w:tr2bl w:val="nil"/>
            </w:tcBorders>
            <w:noWrap w:val="0"/>
            <w:vAlign w:val="center"/>
          </w:tcPr>
          <w:p w14:paraId="3573245B">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a</w:t>
            </w:r>
            <w:r>
              <w:rPr>
                <w:rFonts w:hint="eastAsia" w:cs="Times New Roman"/>
                <w:color w:val="auto"/>
                <w:sz w:val="18"/>
                <w:szCs w:val="18"/>
                <w:highlight w:val="none"/>
                <w:lang w:val="en-US" w:eastAsia="zh-CN" w:bidi="ar-SA"/>
              </w:rPr>
              <w:t>)</w:t>
            </w:r>
            <w:r>
              <w:rPr>
                <w:rFonts w:hint="default" w:ascii="Times New Roman" w:hAnsi="Times New Roman" w:eastAsia="宋体" w:cs="Times New Roman"/>
                <w:color w:val="auto"/>
                <w:sz w:val="18"/>
                <w:szCs w:val="18"/>
                <w:highlight w:val="none"/>
                <w:lang w:val="en-US" w:eastAsia="zh-CN" w:bidi="ar-SA"/>
              </w:rPr>
              <w:t>☑</w:t>
            </w:r>
            <w:r>
              <w:rPr>
                <w:rFonts w:hint="eastAsia" w:cs="Times New Roman"/>
                <w:color w:val="auto"/>
                <w:sz w:val="18"/>
                <w:szCs w:val="18"/>
                <w:highlight w:val="none"/>
                <w:lang w:val="en-US" w:eastAsia="zh-CN" w:bidi="ar-SA"/>
              </w:rPr>
              <w:t>;</w:t>
            </w:r>
            <w:r>
              <w:rPr>
                <w:rFonts w:hint="default" w:ascii="Times New Roman" w:hAnsi="Times New Roman" w:eastAsia="宋体" w:cs="Times New Roman"/>
                <w:color w:val="auto"/>
                <w:sz w:val="18"/>
                <w:szCs w:val="18"/>
                <w:highlight w:val="none"/>
                <w:lang w:val="en-US" w:eastAsia="zh-CN" w:bidi="ar-SA"/>
              </w:rPr>
              <w:t>b</w:t>
            </w:r>
            <w:r>
              <w:rPr>
                <w:rFonts w:hint="eastAsia" w:cs="Times New Roman"/>
                <w:color w:val="auto"/>
                <w:sz w:val="18"/>
                <w:szCs w:val="18"/>
                <w:highlight w:val="none"/>
                <w:lang w:val="en-US" w:eastAsia="zh-CN" w:bidi="ar-SA"/>
              </w:rPr>
              <w:t>)</w:t>
            </w:r>
            <w:r>
              <w:rPr>
                <w:rFonts w:hint="default" w:ascii="Times New Roman" w:hAnsi="Times New Roman" w:eastAsia="宋体" w:cs="Times New Roman"/>
                <w:color w:val="auto"/>
                <w:sz w:val="18"/>
                <w:szCs w:val="18"/>
                <w:highlight w:val="none"/>
                <w:lang w:val="en-US" w:eastAsia="zh-CN" w:bidi="ar-SA"/>
              </w:rPr>
              <w:t>☑</w:t>
            </w:r>
            <w:r>
              <w:rPr>
                <w:rFonts w:hint="eastAsia" w:cs="Times New Roman"/>
                <w:color w:val="auto"/>
                <w:sz w:val="18"/>
                <w:szCs w:val="18"/>
                <w:highlight w:val="none"/>
                <w:lang w:val="en-US" w:eastAsia="zh-CN" w:bidi="ar-SA"/>
              </w:rPr>
              <w:t>;</w:t>
            </w:r>
            <w:r>
              <w:rPr>
                <w:rFonts w:hint="default" w:ascii="Times New Roman" w:hAnsi="Times New Roman" w:eastAsia="宋体" w:cs="Times New Roman"/>
                <w:color w:val="auto"/>
                <w:sz w:val="18"/>
                <w:szCs w:val="18"/>
                <w:highlight w:val="none"/>
                <w:lang w:val="en-US" w:eastAsia="zh-CN" w:bidi="ar-SA"/>
              </w:rPr>
              <w:t>c</w:t>
            </w:r>
            <w:r>
              <w:rPr>
                <w:rFonts w:hint="eastAsia" w:cs="Times New Roman"/>
                <w:color w:val="auto"/>
                <w:sz w:val="18"/>
                <w:szCs w:val="18"/>
                <w:highlight w:val="none"/>
                <w:lang w:val="en-US" w:eastAsia="zh-CN" w:bidi="ar-SA"/>
              </w:rPr>
              <w:t>)</w:t>
            </w:r>
            <w:r>
              <w:rPr>
                <w:rFonts w:hint="default" w:ascii="Times New Roman" w:hAnsi="Times New Roman" w:eastAsia="宋体" w:cs="Times New Roman"/>
                <w:color w:val="auto"/>
                <w:sz w:val="18"/>
                <w:szCs w:val="18"/>
                <w:highlight w:val="none"/>
                <w:lang w:val="en-US" w:eastAsia="zh-CN" w:bidi="ar-SA"/>
              </w:rPr>
              <w:t>☑</w:t>
            </w:r>
            <w:r>
              <w:rPr>
                <w:rFonts w:hint="eastAsia" w:cs="Times New Roman"/>
                <w:color w:val="auto"/>
                <w:sz w:val="18"/>
                <w:szCs w:val="18"/>
                <w:highlight w:val="none"/>
                <w:lang w:val="en-US" w:eastAsia="zh-CN" w:bidi="ar-SA"/>
              </w:rPr>
              <w:t>;</w:t>
            </w:r>
            <w:r>
              <w:rPr>
                <w:rFonts w:hint="default" w:ascii="Times New Roman" w:hAnsi="Times New Roman" w:eastAsia="宋体" w:cs="Times New Roman"/>
                <w:color w:val="auto"/>
                <w:sz w:val="18"/>
                <w:szCs w:val="18"/>
                <w:highlight w:val="none"/>
                <w:lang w:val="en-US" w:eastAsia="zh-CN" w:bidi="ar-SA"/>
              </w:rPr>
              <w:t>d</w:t>
            </w:r>
            <w:r>
              <w:rPr>
                <w:rFonts w:hint="eastAsia" w:cs="Times New Roman"/>
                <w:color w:val="auto"/>
                <w:sz w:val="18"/>
                <w:szCs w:val="18"/>
                <w:highlight w:val="none"/>
                <w:lang w:val="en-US" w:eastAsia="zh-CN" w:bidi="ar-SA"/>
              </w:rPr>
              <w:t>)</w:t>
            </w:r>
            <w:r>
              <w:rPr>
                <w:rFonts w:hint="default" w:ascii="Times New Roman" w:hAnsi="Times New Roman" w:eastAsia="宋体" w:cs="Times New Roman"/>
                <w:color w:val="auto"/>
                <w:sz w:val="18"/>
                <w:szCs w:val="18"/>
                <w:highlight w:val="none"/>
                <w:lang w:val="en-US" w:eastAsia="zh-CN" w:bidi="ar-SA"/>
              </w:rPr>
              <w:t>☑</w:t>
            </w:r>
            <w:r>
              <w:rPr>
                <w:rFonts w:hint="eastAsia" w:cs="Times New Roman"/>
                <w:color w:val="auto"/>
                <w:sz w:val="18"/>
                <w:szCs w:val="18"/>
                <w:highlight w:val="none"/>
                <w:lang w:val="en-US" w:eastAsia="zh-CN" w:bidi="ar-SA"/>
              </w:rPr>
              <w:t>;</w:t>
            </w:r>
          </w:p>
        </w:tc>
        <w:tc>
          <w:tcPr>
            <w:tcW w:w="847" w:type="pct"/>
            <w:tcBorders>
              <w:tl2br w:val="nil"/>
              <w:tr2bl w:val="nil"/>
            </w:tcBorders>
            <w:noWrap w:val="0"/>
            <w:vAlign w:val="center"/>
          </w:tcPr>
          <w:p w14:paraId="14F255CA">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p>
        </w:tc>
      </w:tr>
      <w:tr w14:paraId="6EBB99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3" w:type="pct"/>
            <w:vMerge w:val="continue"/>
            <w:tcBorders>
              <w:tl2br w:val="nil"/>
              <w:tr2bl w:val="nil"/>
            </w:tcBorders>
            <w:noWrap w:val="0"/>
            <w:vAlign w:val="center"/>
          </w:tcPr>
          <w:p w14:paraId="36867198">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p>
        </w:tc>
        <w:tc>
          <w:tcPr>
            <w:tcW w:w="845" w:type="pct"/>
            <w:tcBorders>
              <w:tl2br w:val="nil"/>
              <w:tr2bl w:val="nil"/>
            </w:tcBorders>
            <w:noWrap w:val="0"/>
            <w:vAlign w:val="center"/>
          </w:tcPr>
          <w:p w14:paraId="053B83FF">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理化特性</w:t>
            </w:r>
          </w:p>
        </w:tc>
        <w:tc>
          <w:tcPr>
            <w:tcW w:w="3073" w:type="pct"/>
            <w:gridSpan w:val="8"/>
            <w:tcBorders>
              <w:tl2br w:val="nil"/>
              <w:tr2bl w:val="nil"/>
            </w:tcBorders>
            <w:noWrap w:val="0"/>
            <w:vAlign w:val="center"/>
          </w:tcPr>
          <w:p w14:paraId="033D24CB">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w:t>
            </w:r>
          </w:p>
        </w:tc>
        <w:tc>
          <w:tcPr>
            <w:tcW w:w="847" w:type="pct"/>
            <w:tcBorders>
              <w:tl2br w:val="nil"/>
              <w:tr2bl w:val="nil"/>
            </w:tcBorders>
            <w:noWrap w:val="0"/>
            <w:vAlign w:val="center"/>
          </w:tcPr>
          <w:p w14:paraId="0215A163">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同附录C</w:t>
            </w:r>
          </w:p>
        </w:tc>
      </w:tr>
      <w:tr w14:paraId="5EC636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3" w:type="pct"/>
            <w:vMerge w:val="continue"/>
            <w:tcBorders>
              <w:tl2br w:val="nil"/>
              <w:tr2bl w:val="nil"/>
            </w:tcBorders>
            <w:noWrap w:val="0"/>
            <w:vAlign w:val="center"/>
          </w:tcPr>
          <w:p w14:paraId="12E75EC0">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p>
        </w:tc>
        <w:tc>
          <w:tcPr>
            <w:tcW w:w="845" w:type="pct"/>
            <w:vMerge w:val="restart"/>
            <w:tcBorders>
              <w:tl2br w:val="nil"/>
              <w:tr2bl w:val="nil"/>
            </w:tcBorders>
            <w:noWrap w:val="0"/>
            <w:vAlign w:val="center"/>
          </w:tcPr>
          <w:p w14:paraId="758A0CE3">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现状监测点位</w:t>
            </w:r>
          </w:p>
        </w:tc>
        <w:tc>
          <w:tcPr>
            <w:tcW w:w="1153" w:type="pct"/>
            <w:gridSpan w:val="3"/>
            <w:vMerge w:val="restart"/>
            <w:tcBorders>
              <w:tl2br w:val="nil"/>
              <w:tr2bl w:val="nil"/>
            </w:tcBorders>
            <w:noWrap w:val="0"/>
            <w:vAlign w:val="center"/>
          </w:tcPr>
          <w:p w14:paraId="726C0AAD">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层位</w:t>
            </w:r>
          </w:p>
        </w:tc>
        <w:tc>
          <w:tcPr>
            <w:tcW w:w="1431" w:type="pct"/>
            <w:gridSpan w:val="4"/>
            <w:tcBorders>
              <w:tl2br w:val="nil"/>
              <w:tr2bl w:val="nil"/>
            </w:tcBorders>
            <w:noWrap w:val="0"/>
            <w:vAlign w:val="center"/>
          </w:tcPr>
          <w:p w14:paraId="02B7158A">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井场</w:t>
            </w:r>
          </w:p>
        </w:tc>
        <w:tc>
          <w:tcPr>
            <w:tcW w:w="488" w:type="pct"/>
            <w:vMerge w:val="restart"/>
            <w:tcBorders>
              <w:tl2br w:val="nil"/>
              <w:tr2bl w:val="nil"/>
            </w:tcBorders>
            <w:noWrap w:val="0"/>
            <w:vAlign w:val="center"/>
          </w:tcPr>
          <w:p w14:paraId="0465CD7F">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深度</w:t>
            </w:r>
          </w:p>
        </w:tc>
        <w:tc>
          <w:tcPr>
            <w:tcW w:w="847" w:type="pct"/>
            <w:vMerge w:val="restart"/>
            <w:tcBorders>
              <w:tl2br w:val="nil"/>
              <w:tr2bl w:val="nil"/>
            </w:tcBorders>
            <w:noWrap w:val="0"/>
            <w:vAlign w:val="center"/>
          </w:tcPr>
          <w:p w14:paraId="1EE492DB">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点位布置图</w:t>
            </w:r>
          </w:p>
        </w:tc>
      </w:tr>
      <w:tr w14:paraId="3642C3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3" w:type="pct"/>
            <w:vMerge w:val="continue"/>
            <w:tcBorders>
              <w:tl2br w:val="nil"/>
              <w:tr2bl w:val="nil"/>
            </w:tcBorders>
            <w:noWrap w:val="0"/>
            <w:vAlign w:val="center"/>
          </w:tcPr>
          <w:p w14:paraId="3C489ABE">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p>
        </w:tc>
        <w:tc>
          <w:tcPr>
            <w:tcW w:w="845" w:type="pct"/>
            <w:vMerge w:val="continue"/>
            <w:tcBorders>
              <w:tl2br w:val="nil"/>
              <w:tr2bl w:val="nil"/>
            </w:tcBorders>
            <w:noWrap w:val="0"/>
            <w:vAlign w:val="center"/>
          </w:tcPr>
          <w:p w14:paraId="5FC93DA1">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p>
        </w:tc>
        <w:tc>
          <w:tcPr>
            <w:tcW w:w="1153" w:type="pct"/>
            <w:gridSpan w:val="3"/>
            <w:vMerge w:val="continue"/>
            <w:tcBorders>
              <w:tl2br w:val="nil"/>
              <w:tr2bl w:val="nil"/>
            </w:tcBorders>
            <w:noWrap w:val="0"/>
            <w:vAlign w:val="center"/>
          </w:tcPr>
          <w:p w14:paraId="68700D16">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p>
        </w:tc>
        <w:tc>
          <w:tcPr>
            <w:tcW w:w="715" w:type="pct"/>
            <w:gridSpan w:val="2"/>
            <w:tcBorders>
              <w:tl2br w:val="nil"/>
              <w:tr2bl w:val="nil"/>
            </w:tcBorders>
            <w:noWrap w:val="0"/>
            <w:vAlign w:val="center"/>
          </w:tcPr>
          <w:p w14:paraId="4BFBF567">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center"/>
              <w:textAlignment w:val="baseline"/>
              <w:rPr>
                <w:rFonts w:hint="default" w:ascii="Times New Roman" w:hAnsi="Times New Roman" w:eastAsia="宋体" w:cs="Times New Roman"/>
                <w:color w:val="auto"/>
                <w:sz w:val="18"/>
                <w:szCs w:val="18"/>
                <w:highlight w:val="none"/>
                <w:lang w:val="en-GB" w:eastAsia="zh-CN" w:bidi="ar-SA"/>
              </w:rPr>
            </w:pPr>
            <w:r>
              <w:rPr>
                <w:rFonts w:hint="default" w:ascii="Times New Roman" w:hAnsi="Times New Roman" w:eastAsia="宋体" w:cs="Times New Roman"/>
                <w:color w:val="auto"/>
                <w:sz w:val="18"/>
                <w:szCs w:val="18"/>
                <w:highlight w:val="none"/>
                <w:lang w:val="en-GB" w:eastAsia="zh-CN" w:bidi="ar-SA"/>
              </w:rPr>
              <w:t>占地范围内</w:t>
            </w:r>
          </w:p>
        </w:tc>
        <w:tc>
          <w:tcPr>
            <w:tcW w:w="716" w:type="pct"/>
            <w:gridSpan w:val="2"/>
            <w:tcBorders>
              <w:tl2br w:val="nil"/>
              <w:tr2bl w:val="nil"/>
            </w:tcBorders>
            <w:noWrap w:val="0"/>
            <w:vAlign w:val="center"/>
          </w:tcPr>
          <w:p w14:paraId="361B85FB">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center"/>
              <w:textAlignment w:val="baseline"/>
              <w:rPr>
                <w:rFonts w:hint="default" w:ascii="Times New Roman" w:hAnsi="Times New Roman" w:eastAsia="宋体" w:cs="Times New Roman"/>
                <w:color w:val="auto"/>
                <w:sz w:val="18"/>
                <w:szCs w:val="18"/>
                <w:highlight w:val="none"/>
                <w:lang w:val="en-GB" w:eastAsia="zh-CN" w:bidi="ar-SA"/>
              </w:rPr>
            </w:pPr>
            <w:r>
              <w:rPr>
                <w:rFonts w:hint="default" w:ascii="Times New Roman" w:hAnsi="Times New Roman" w:eastAsia="宋体" w:cs="Times New Roman"/>
                <w:color w:val="auto"/>
                <w:sz w:val="18"/>
                <w:szCs w:val="18"/>
                <w:highlight w:val="none"/>
                <w:lang w:val="en-GB" w:eastAsia="zh-CN" w:bidi="ar-SA"/>
              </w:rPr>
              <w:t>占地范围外</w:t>
            </w:r>
          </w:p>
        </w:tc>
        <w:tc>
          <w:tcPr>
            <w:tcW w:w="488" w:type="pct"/>
            <w:vMerge w:val="continue"/>
            <w:tcBorders>
              <w:tl2br w:val="nil"/>
              <w:tr2bl w:val="nil"/>
            </w:tcBorders>
            <w:noWrap w:val="0"/>
            <w:vAlign w:val="center"/>
          </w:tcPr>
          <w:p w14:paraId="566CADF3">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center"/>
              <w:textAlignment w:val="baseline"/>
              <w:rPr>
                <w:rFonts w:hint="default" w:ascii="Times New Roman" w:hAnsi="Times New Roman" w:eastAsia="宋体" w:cs="Times New Roman"/>
                <w:color w:val="auto"/>
                <w:sz w:val="18"/>
                <w:szCs w:val="18"/>
                <w:highlight w:val="none"/>
                <w:lang w:val="en-GB" w:eastAsia="zh-CN" w:bidi="ar-SA"/>
              </w:rPr>
            </w:pPr>
          </w:p>
        </w:tc>
        <w:tc>
          <w:tcPr>
            <w:tcW w:w="847" w:type="pct"/>
            <w:vMerge w:val="continue"/>
            <w:tcBorders>
              <w:tl2br w:val="nil"/>
              <w:tr2bl w:val="nil"/>
            </w:tcBorders>
            <w:noWrap w:val="0"/>
            <w:vAlign w:val="center"/>
          </w:tcPr>
          <w:p w14:paraId="3C9A2FCF">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p>
        </w:tc>
      </w:tr>
      <w:tr w14:paraId="547951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3" w:type="pct"/>
            <w:vMerge w:val="continue"/>
            <w:tcBorders>
              <w:tl2br w:val="nil"/>
              <w:tr2bl w:val="nil"/>
            </w:tcBorders>
            <w:noWrap w:val="0"/>
            <w:vAlign w:val="center"/>
          </w:tcPr>
          <w:p w14:paraId="7D077A3C">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p>
        </w:tc>
        <w:tc>
          <w:tcPr>
            <w:tcW w:w="845" w:type="pct"/>
            <w:vMerge w:val="continue"/>
            <w:tcBorders>
              <w:tl2br w:val="nil"/>
              <w:tr2bl w:val="nil"/>
            </w:tcBorders>
            <w:noWrap w:val="0"/>
            <w:vAlign w:val="center"/>
          </w:tcPr>
          <w:p w14:paraId="666A75BE">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p>
        </w:tc>
        <w:tc>
          <w:tcPr>
            <w:tcW w:w="1153" w:type="pct"/>
            <w:gridSpan w:val="3"/>
            <w:tcBorders>
              <w:tl2br w:val="nil"/>
              <w:tr2bl w:val="nil"/>
            </w:tcBorders>
            <w:noWrap w:val="0"/>
            <w:vAlign w:val="center"/>
          </w:tcPr>
          <w:p w14:paraId="5D4D0F12">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center"/>
              <w:textAlignment w:val="baseline"/>
              <w:rPr>
                <w:rFonts w:hint="default" w:ascii="Times New Roman" w:hAnsi="Times New Roman" w:eastAsia="宋体" w:cs="Times New Roman"/>
                <w:color w:val="auto"/>
                <w:sz w:val="18"/>
                <w:szCs w:val="18"/>
                <w:highlight w:val="none"/>
                <w:lang w:val="en-GB" w:eastAsia="zh-CN" w:bidi="ar-SA"/>
              </w:rPr>
            </w:pPr>
            <w:r>
              <w:rPr>
                <w:rFonts w:hint="default" w:ascii="Times New Roman" w:hAnsi="Times New Roman" w:eastAsia="宋体" w:cs="Times New Roman"/>
                <w:color w:val="auto"/>
                <w:sz w:val="18"/>
                <w:szCs w:val="18"/>
                <w:highlight w:val="none"/>
                <w:lang w:val="en-GB" w:eastAsia="zh-CN" w:bidi="ar-SA"/>
              </w:rPr>
              <w:t>表层样点数</w:t>
            </w:r>
          </w:p>
        </w:tc>
        <w:tc>
          <w:tcPr>
            <w:tcW w:w="715" w:type="pct"/>
            <w:gridSpan w:val="2"/>
            <w:tcBorders>
              <w:tl2br w:val="nil"/>
              <w:tr2bl w:val="nil"/>
            </w:tcBorders>
            <w:noWrap w:val="0"/>
            <w:vAlign w:val="center"/>
          </w:tcPr>
          <w:p w14:paraId="70C51521">
            <w:pPr>
              <w:keepNext w:val="0"/>
              <w:keepLines w:val="0"/>
              <w:pageBreakBefore w:val="0"/>
              <w:widowControl w:val="0"/>
              <w:kinsoku/>
              <w:wordWrap/>
              <w:overflowPunct/>
              <w:topLinePunct w:val="0"/>
              <w:autoSpaceDE/>
              <w:autoSpaceDN/>
              <w:bidi w:val="0"/>
              <w:spacing w:line="240" w:lineRule="exact"/>
              <w:jc w:val="center"/>
              <w:textAlignment w:val="center"/>
              <w:rPr>
                <w:rFonts w:hint="default" w:ascii="Times New Roman" w:hAnsi="Times New Roman" w:eastAsia="宋体" w:cs="Times New Roman"/>
                <w:color w:val="auto"/>
                <w:kern w:val="2"/>
                <w:sz w:val="18"/>
                <w:szCs w:val="18"/>
                <w:highlight w:val="none"/>
                <w:lang w:val="en-GB" w:eastAsia="zh-CN" w:bidi="ar-SA"/>
              </w:rPr>
            </w:pPr>
            <w:r>
              <w:rPr>
                <w:rFonts w:hint="eastAsia" w:cs="Times New Roman"/>
                <w:color w:val="auto"/>
                <w:kern w:val="2"/>
                <w:sz w:val="18"/>
                <w:szCs w:val="18"/>
                <w:highlight w:val="none"/>
                <w:lang w:val="en-US" w:eastAsia="zh-CN" w:bidi="ar-SA"/>
              </w:rPr>
              <w:t>3</w:t>
            </w:r>
          </w:p>
        </w:tc>
        <w:tc>
          <w:tcPr>
            <w:tcW w:w="716" w:type="pct"/>
            <w:gridSpan w:val="2"/>
            <w:tcBorders>
              <w:tl2br w:val="nil"/>
              <w:tr2bl w:val="nil"/>
            </w:tcBorders>
            <w:noWrap w:val="0"/>
            <w:vAlign w:val="center"/>
          </w:tcPr>
          <w:p w14:paraId="2D869941">
            <w:pPr>
              <w:keepNext w:val="0"/>
              <w:keepLines w:val="0"/>
              <w:pageBreakBefore w:val="0"/>
              <w:widowControl w:val="0"/>
              <w:kinsoku/>
              <w:wordWrap/>
              <w:overflowPunct/>
              <w:topLinePunct w:val="0"/>
              <w:autoSpaceDE/>
              <w:autoSpaceDN/>
              <w:bidi w:val="0"/>
              <w:spacing w:line="24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6</w:t>
            </w:r>
          </w:p>
        </w:tc>
        <w:tc>
          <w:tcPr>
            <w:tcW w:w="488" w:type="pct"/>
            <w:tcBorders>
              <w:tl2br w:val="nil"/>
              <w:tr2bl w:val="nil"/>
            </w:tcBorders>
            <w:noWrap w:val="0"/>
            <w:vAlign w:val="center"/>
          </w:tcPr>
          <w:p w14:paraId="21CD735F">
            <w:pPr>
              <w:keepNext w:val="0"/>
              <w:keepLines w:val="0"/>
              <w:pageBreakBefore w:val="0"/>
              <w:widowControl w:val="0"/>
              <w:kinsoku/>
              <w:wordWrap/>
              <w:overflowPunct/>
              <w:topLinePunct w:val="0"/>
              <w:autoSpaceDE/>
              <w:autoSpaceDN/>
              <w:bidi w:val="0"/>
              <w:spacing w:line="240" w:lineRule="exact"/>
              <w:jc w:val="center"/>
              <w:textAlignment w:val="center"/>
              <w:rPr>
                <w:rFonts w:hint="default" w:ascii="Times New Roman" w:hAnsi="Times New Roman" w:eastAsia="宋体" w:cs="Times New Roman"/>
                <w:color w:val="auto"/>
                <w:kern w:val="2"/>
                <w:sz w:val="18"/>
                <w:szCs w:val="18"/>
                <w:highlight w:val="none"/>
                <w:lang w:val="en-GB" w:eastAsia="zh-CN" w:bidi="ar-SA"/>
              </w:rPr>
            </w:pPr>
            <w:r>
              <w:rPr>
                <w:rFonts w:hint="default" w:ascii="Times New Roman" w:hAnsi="Times New Roman" w:eastAsia="宋体" w:cs="Times New Roman"/>
                <w:color w:val="auto"/>
                <w:kern w:val="2"/>
                <w:sz w:val="18"/>
                <w:szCs w:val="18"/>
                <w:highlight w:val="none"/>
                <w:lang w:val="en-US" w:eastAsia="zh-CN" w:bidi="ar-SA"/>
              </w:rPr>
              <w:t>0-0.2m</w:t>
            </w:r>
          </w:p>
        </w:tc>
        <w:tc>
          <w:tcPr>
            <w:tcW w:w="847" w:type="pct"/>
            <w:vMerge w:val="continue"/>
            <w:tcBorders>
              <w:tl2br w:val="nil"/>
              <w:tr2bl w:val="nil"/>
            </w:tcBorders>
            <w:noWrap w:val="0"/>
            <w:vAlign w:val="center"/>
          </w:tcPr>
          <w:p w14:paraId="5EE0D367">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p>
        </w:tc>
      </w:tr>
      <w:tr w14:paraId="33313F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3" w:type="pct"/>
            <w:vMerge w:val="continue"/>
            <w:tcBorders>
              <w:tl2br w:val="nil"/>
              <w:tr2bl w:val="nil"/>
            </w:tcBorders>
            <w:noWrap w:val="0"/>
            <w:vAlign w:val="center"/>
          </w:tcPr>
          <w:p w14:paraId="11C884E6">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center"/>
              <w:textAlignment w:val="baseline"/>
              <w:rPr>
                <w:rFonts w:hint="default" w:ascii="Times New Roman" w:hAnsi="Times New Roman" w:eastAsia="宋体" w:cs="Times New Roman"/>
                <w:color w:val="auto"/>
                <w:sz w:val="18"/>
                <w:szCs w:val="18"/>
                <w:highlight w:val="none"/>
                <w:lang w:val="en-US" w:eastAsia="zh-CN" w:bidi="ar-SA"/>
              </w:rPr>
            </w:pPr>
          </w:p>
        </w:tc>
        <w:tc>
          <w:tcPr>
            <w:tcW w:w="845" w:type="pct"/>
            <w:vMerge w:val="continue"/>
            <w:tcBorders>
              <w:tl2br w:val="nil"/>
              <w:tr2bl w:val="nil"/>
            </w:tcBorders>
            <w:noWrap w:val="0"/>
            <w:vAlign w:val="center"/>
          </w:tcPr>
          <w:p w14:paraId="68BE99AF">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center"/>
              <w:textAlignment w:val="baseline"/>
              <w:rPr>
                <w:rFonts w:hint="default" w:ascii="Times New Roman" w:hAnsi="Times New Roman" w:eastAsia="宋体" w:cs="Times New Roman"/>
                <w:color w:val="auto"/>
                <w:sz w:val="18"/>
                <w:szCs w:val="18"/>
                <w:highlight w:val="none"/>
                <w:lang w:val="en-US" w:eastAsia="zh-CN" w:bidi="ar-SA"/>
              </w:rPr>
            </w:pPr>
          </w:p>
        </w:tc>
        <w:tc>
          <w:tcPr>
            <w:tcW w:w="1153" w:type="pct"/>
            <w:gridSpan w:val="3"/>
            <w:tcBorders>
              <w:tl2br w:val="nil"/>
              <w:tr2bl w:val="nil"/>
            </w:tcBorders>
            <w:noWrap w:val="0"/>
            <w:vAlign w:val="center"/>
          </w:tcPr>
          <w:p w14:paraId="3990BE1F">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eastAsia" w:cs="Times New Roman"/>
                <w:color w:val="auto"/>
                <w:sz w:val="18"/>
                <w:szCs w:val="18"/>
                <w:highlight w:val="none"/>
                <w:lang w:val="en-US" w:eastAsia="zh-CN" w:bidi="ar-SA"/>
              </w:rPr>
              <w:t>柱状样点数</w:t>
            </w:r>
          </w:p>
        </w:tc>
        <w:tc>
          <w:tcPr>
            <w:tcW w:w="715" w:type="pct"/>
            <w:gridSpan w:val="2"/>
            <w:tcBorders>
              <w:tl2br w:val="nil"/>
              <w:tr2bl w:val="nil"/>
            </w:tcBorders>
            <w:noWrap w:val="0"/>
            <w:vAlign w:val="center"/>
          </w:tcPr>
          <w:p w14:paraId="7A6598B9">
            <w:pPr>
              <w:keepNext w:val="0"/>
              <w:keepLines w:val="0"/>
              <w:pageBreakBefore w:val="0"/>
              <w:widowControl w:val="0"/>
              <w:kinsoku/>
              <w:wordWrap/>
              <w:overflowPunct/>
              <w:topLinePunct w:val="0"/>
              <w:autoSpaceDE/>
              <w:autoSpaceDN/>
              <w:bidi w:val="0"/>
              <w:spacing w:line="24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5</w:t>
            </w:r>
          </w:p>
        </w:tc>
        <w:tc>
          <w:tcPr>
            <w:tcW w:w="716" w:type="pct"/>
            <w:gridSpan w:val="2"/>
            <w:tcBorders>
              <w:tl2br w:val="nil"/>
              <w:tr2bl w:val="nil"/>
            </w:tcBorders>
            <w:noWrap w:val="0"/>
            <w:vAlign w:val="center"/>
          </w:tcPr>
          <w:p w14:paraId="5BFE8DD8">
            <w:pPr>
              <w:keepNext w:val="0"/>
              <w:keepLines w:val="0"/>
              <w:pageBreakBefore w:val="0"/>
              <w:widowControl w:val="0"/>
              <w:kinsoku/>
              <w:wordWrap/>
              <w:overflowPunct/>
              <w:topLinePunct w:val="0"/>
              <w:autoSpaceDE/>
              <w:autoSpaceDN/>
              <w:bidi w:val="0"/>
              <w:spacing w:line="24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p>
        </w:tc>
        <w:tc>
          <w:tcPr>
            <w:tcW w:w="488" w:type="pct"/>
            <w:tcBorders>
              <w:tl2br w:val="nil"/>
              <w:tr2bl w:val="nil"/>
            </w:tcBorders>
            <w:noWrap w:val="0"/>
            <w:vAlign w:val="center"/>
          </w:tcPr>
          <w:p w14:paraId="22B5914F">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both"/>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0-</w:t>
            </w:r>
            <w:r>
              <w:rPr>
                <w:rFonts w:hint="eastAsia" w:ascii="Times New Roman" w:hAnsi="Times New Roman" w:eastAsia="宋体" w:cs="Times New Roman"/>
                <w:color w:val="auto"/>
                <w:sz w:val="18"/>
                <w:szCs w:val="18"/>
                <w:highlight w:val="none"/>
                <w:lang w:val="en-US" w:eastAsia="zh-CN" w:bidi="ar-SA"/>
              </w:rPr>
              <w:t>0.5</w:t>
            </w:r>
            <w:r>
              <w:rPr>
                <w:rFonts w:hint="default" w:ascii="Times New Roman" w:hAnsi="Times New Roman" w:eastAsia="宋体" w:cs="Times New Roman"/>
                <w:color w:val="auto"/>
                <w:sz w:val="18"/>
                <w:szCs w:val="18"/>
                <w:highlight w:val="none"/>
                <w:lang w:val="en-US" w:eastAsia="zh-CN" w:bidi="ar-SA"/>
              </w:rPr>
              <w:t>m</w:t>
            </w:r>
          </w:p>
          <w:p w14:paraId="795DB081">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both"/>
              <w:textAlignment w:val="baseline"/>
              <w:rPr>
                <w:rFonts w:hint="default" w:ascii="Times New Roman" w:hAnsi="Times New Roman" w:eastAsia="宋体" w:cs="Times New Roman"/>
                <w:color w:val="auto"/>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bidi="ar-SA"/>
              </w:rPr>
              <w:t>0.5</w:t>
            </w:r>
            <w:r>
              <w:rPr>
                <w:rFonts w:hint="default" w:ascii="Times New Roman" w:hAnsi="Times New Roman" w:eastAsia="宋体" w:cs="Times New Roman"/>
                <w:color w:val="auto"/>
                <w:sz w:val="18"/>
                <w:szCs w:val="18"/>
                <w:highlight w:val="none"/>
                <w:lang w:val="en-US" w:eastAsia="zh-CN" w:bidi="ar-SA"/>
              </w:rPr>
              <w:t>-</w:t>
            </w:r>
            <w:r>
              <w:rPr>
                <w:rFonts w:hint="eastAsia" w:ascii="Times New Roman" w:hAnsi="Times New Roman" w:eastAsia="宋体" w:cs="Times New Roman"/>
                <w:color w:val="auto"/>
                <w:sz w:val="18"/>
                <w:szCs w:val="18"/>
                <w:highlight w:val="none"/>
                <w:lang w:val="en-US" w:eastAsia="zh-CN" w:bidi="ar-SA"/>
              </w:rPr>
              <w:t>1.5</w:t>
            </w:r>
            <w:r>
              <w:rPr>
                <w:rFonts w:hint="default" w:ascii="Times New Roman" w:hAnsi="Times New Roman" w:eastAsia="宋体" w:cs="Times New Roman"/>
                <w:color w:val="auto"/>
                <w:sz w:val="18"/>
                <w:szCs w:val="18"/>
                <w:highlight w:val="none"/>
                <w:lang w:val="en-US" w:eastAsia="zh-CN" w:bidi="ar-SA"/>
              </w:rPr>
              <w:t>m</w:t>
            </w:r>
          </w:p>
          <w:p w14:paraId="50891C43">
            <w:pPr>
              <w:keepNext w:val="0"/>
              <w:keepLines w:val="0"/>
              <w:pageBreakBefore w:val="0"/>
              <w:widowControl w:val="0"/>
              <w:kinsoku/>
              <w:wordWrap/>
              <w:overflowPunct/>
              <w:topLinePunct w:val="0"/>
              <w:autoSpaceDE/>
              <w:autoSpaceDN/>
              <w:bidi w:val="0"/>
              <w:spacing w:line="24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bidi="ar-SA"/>
              </w:rPr>
              <w:t>1.5</w:t>
            </w:r>
            <w:r>
              <w:rPr>
                <w:rFonts w:hint="default" w:ascii="Times New Roman" w:hAnsi="Times New Roman" w:eastAsia="宋体" w:cs="Times New Roman"/>
                <w:color w:val="auto"/>
                <w:sz w:val="18"/>
                <w:szCs w:val="18"/>
                <w:highlight w:val="none"/>
                <w:lang w:val="en-US" w:eastAsia="zh-CN" w:bidi="ar-SA"/>
              </w:rPr>
              <w:t>-</w:t>
            </w:r>
            <w:r>
              <w:rPr>
                <w:rFonts w:hint="eastAsia" w:ascii="Times New Roman" w:hAnsi="Times New Roman" w:eastAsia="宋体" w:cs="Times New Roman"/>
                <w:color w:val="auto"/>
                <w:sz w:val="18"/>
                <w:szCs w:val="18"/>
                <w:highlight w:val="none"/>
                <w:lang w:val="en-US" w:eastAsia="zh-CN" w:bidi="ar-SA"/>
              </w:rPr>
              <w:t>3</w:t>
            </w:r>
            <w:r>
              <w:rPr>
                <w:rFonts w:hint="default" w:ascii="Times New Roman" w:hAnsi="Times New Roman" w:eastAsia="宋体" w:cs="Times New Roman"/>
                <w:color w:val="auto"/>
                <w:sz w:val="18"/>
                <w:szCs w:val="18"/>
                <w:highlight w:val="none"/>
                <w:lang w:val="en-US" w:eastAsia="zh-CN" w:bidi="ar-SA"/>
              </w:rPr>
              <w:t>m</w:t>
            </w:r>
          </w:p>
        </w:tc>
        <w:tc>
          <w:tcPr>
            <w:tcW w:w="847" w:type="pct"/>
            <w:vMerge w:val="continue"/>
            <w:tcBorders>
              <w:tl2br w:val="nil"/>
              <w:tr2bl w:val="nil"/>
            </w:tcBorders>
            <w:noWrap w:val="0"/>
            <w:vAlign w:val="center"/>
          </w:tcPr>
          <w:p w14:paraId="3E0D4F96">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center"/>
              <w:textAlignment w:val="baseline"/>
              <w:rPr>
                <w:rFonts w:hint="default" w:ascii="Times New Roman" w:hAnsi="Times New Roman" w:eastAsia="宋体" w:cs="Times New Roman"/>
                <w:color w:val="auto"/>
                <w:sz w:val="18"/>
                <w:szCs w:val="18"/>
                <w:highlight w:val="none"/>
                <w:lang w:val="en-US" w:eastAsia="zh-CN" w:bidi="ar-SA"/>
              </w:rPr>
            </w:pPr>
          </w:p>
        </w:tc>
      </w:tr>
      <w:tr w14:paraId="7E4F16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3" w:type="pct"/>
            <w:vMerge w:val="continue"/>
            <w:tcBorders>
              <w:tl2br w:val="nil"/>
              <w:tr2bl w:val="nil"/>
            </w:tcBorders>
            <w:noWrap w:val="0"/>
            <w:vAlign w:val="center"/>
          </w:tcPr>
          <w:p w14:paraId="23747E03">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p>
        </w:tc>
        <w:tc>
          <w:tcPr>
            <w:tcW w:w="845" w:type="pct"/>
            <w:tcBorders>
              <w:tl2br w:val="nil"/>
              <w:tr2bl w:val="nil"/>
            </w:tcBorders>
            <w:noWrap w:val="0"/>
            <w:vAlign w:val="center"/>
          </w:tcPr>
          <w:p w14:paraId="7632F853">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现状监测因子</w:t>
            </w:r>
          </w:p>
        </w:tc>
        <w:tc>
          <w:tcPr>
            <w:tcW w:w="3073" w:type="pct"/>
            <w:gridSpan w:val="8"/>
            <w:vMerge w:val="restart"/>
            <w:tcBorders>
              <w:tl2br w:val="nil"/>
              <w:tr2bl w:val="nil"/>
            </w:tcBorders>
            <w:noWrap w:val="0"/>
            <w:vAlign w:val="center"/>
          </w:tcPr>
          <w:p w14:paraId="1C62E8FF">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both"/>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pacing w:val="-10"/>
                <w:sz w:val="18"/>
                <w:szCs w:val="18"/>
                <w:highlight w:val="none"/>
                <w:lang w:val="en-GB" w:eastAsia="zh-CN" w:bidi="ar-SA"/>
              </w:rPr>
              <w:t>《土壤环境质量建设用地土壤污染风险管控标准（试行）》（Gb36600-2018）第二类用地的45项基本因子、</w:t>
            </w:r>
            <w:r>
              <w:rPr>
                <w:rFonts w:hint="default" w:ascii="Times New Roman" w:hAnsi="Times New Roman" w:eastAsia="宋体" w:cs="Times New Roman"/>
                <w:color w:val="auto"/>
                <w:spacing w:val="-10"/>
                <w:sz w:val="18"/>
                <w:szCs w:val="18"/>
                <w:highlight w:val="none"/>
                <w:lang w:val="en-US" w:eastAsia="zh-CN" w:bidi="ar-SA"/>
              </w:rPr>
              <w:t>pH、</w:t>
            </w:r>
            <w:r>
              <w:rPr>
                <w:rFonts w:hint="eastAsia" w:cs="Times New Roman"/>
                <w:color w:val="auto"/>
                <w:spacing w:val="-10"/>
                <w:sz w:val="18"/>
                <w:szCs w:val="18"/>
                <w:highlight w:val="none"/>
                <w:lang w:val="en-US" w:eastAsia="zh-CN" w:bidi="ar-SA"/>
              </w:rPr>
              <w:t>全盐量、</w:t>
            </w:r>
            <w:r>
              <w:rPr>
                <w:rFonts w:hint="default" w:ascii="Times New Roman" w:hAnsi="Times New Roman" w:eastAsia="宋体" w:cs="Times New Roman"/>
                <w:color w:val="auto"/>
                <w:spacing w:val="-10"/>
                <w:sz w:val="18"/>
                <w:szCs w:val="18"/>
                <w:highlight w:val="none"/>
                <w:lang w:val="en-GB" w:eastAsia="zh-CN" w:bidi="ar-SA"/>
              </w:rPr>
              <w:t>石油烃</w:t>
            </w:r>
          </w:p>
        </w:tc>
        <w:tc>
          <w:tcPr>
            <w:tcW w:w="847" w:type="pct"/>
            <w:vMerge w:val="restart"/>
            <w:tcBorders>
              <w:tl2br w:val="nil"/>
              <w:tr2bl w:val="nil"/>
            </w:tcBorders>
            <w:noWrap w:val="0"/>
            <w:vAlign w:val="center"/>
          </w:tcPr>
          <w:p w14:paraId="57696C1E">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p>
        </w:tc>
      </w:tr>
      <w:tr w14:paraId="17FD10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3" w:type="pct"/>
            <w:vMerge w:val="restart"/>
            <w:tcBorders>
              <w:tl2br w:val="nil"/>
              <w:tr2bl w:val="nil"/>
            </w:tcBorders>
            <w:noWrap w:val="0"/>
            <w:vAlign w:val="center"/>
          </w:tcPr>
          <w:p w14:paraId="63C43E88">
            <w:pPr>
              <w:keepNext w:val="0"/>
              <w:keepLines w:val="0"/>
              <w:pageBreakBefore w:val="0"/>
              <w:kinsoku/>
              <w:wordWrap/>
              <w:overflowPunct/>
              <w:topLinePunct w:val="0"/>
              <w:autoSpaceDE/>
              <w:autoSpaceDN/>
              <w:bidi w:val="0"/>
              <w:adjustRightInd w:val="0"/>
              <w:snapToGrid w:val="0"/>
              <w:spacing w:line="240" w:lineRule="exact"/>
              <w:ind w:right="-31" w:rightChars="-15"/>
              <w:jc w:val="both"/>
              <w:textAlignment w:val="baseline"/>
              <w:rPr>
                <w:rFonts w:hint="default" w:ascii="Times New Roman" w:hAnsi="Times New Roman" w:eastAsia="宋体" w:cs="Times New Roman"/>
                <w:color w:val="auto"/>
                <w:sz w:val="18"/>
                <w:szCs w:val="18"/>
                <w:highlight w:val="none"/>
                <w:lang w:val="en-US" w:eastAsia="zh-CN" w:bidi="ar-SA"/>
              </w:rPr>
            </w:pPr>
            <w:r>
              <w:rPr>
                <w:rFonts w:hint="eastAsia" w:cs="Times New Roman"/>
                <w:color w:val="auto"/>
                <w:sz w:val="18"/>
                <w:szCs w:val="18"/>
                <w:highlight w:val="none"/>
                <w:lang w:val="en-US" w:eastAsia="zh-CN" w:bidi="ar-SA"/>
              </w:rPr>
              <w:t>现</w:t>
            </w:r>
            <w:r>
              <w:rPr>
                <w:rFonts w:hint="default" w:ascii="Times New Roman" w:hAnsi="Times New Roman" w:eastAsia="宋体" w:cs="Times New Roman"/>
                <w:color w:val="auto"/>
                <w:sz w:val="18"/>
                <w:szCs w:val="18"/>
                <w:highlight w:val="none"/>
                <w:lang w:val="en-US" w:eastAsia="zh-CN" w:bidi="ar-SA"/>
              </w:rPr>
              <w:t>状</w:t>
            </w:r>
          </w:p>
          <w:p w14:paraId="20833E05">
            <w:pPr>
              <w:keepNext w:val="0"/>
              <w:keepLines w:val="0"/>
              <w:pageBreakBefore w:val="0"/>
              <w:kinsoku/>
              <w:wordWrap/>
              <w:overflowPunct/>
              <w:topLinePunct w:val="0"/>
              <w:autoSpaceDE/>
              <w:autoSpaceDN/>
              <w:bidi w:val="0"/>
              <w:adjustRightInd w:val="0"/>
              <w:snapToGrid w:val="0"/>
              <w:spacing w:line="240" w:lineRule="exact"/>
              <w:ind w:right="-31" w:rightChars="-15"/>
              <w:jc w:val="both"/>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评价</w:t>
            </w:r>
          </w:p>
        </w:tc>
        <w:tc>
          <w:tcPr>
            <w:tcW w:w="845" w:type="pct"/>
            <w:tcBorders>
              <w:tl2br w:val="nil"/>
              <w:tr2bl w:val="nil"/>
            </w:tcBorders>
            <w:noWrap w:val="0"/>
            <w:vAlign w:val="center"/>
          </w:tcPr>
          <w:p w14:paraId="6ACFC472">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评价因子</w:t>
            </w:r>
          </w:p>
        </w:tc>
        <w:tc>
          <w:tcPr>
            <w:tcW w:w="3073" w:type="pct"/>
            <w:gridSpan w:val="8"/>
            <w:vMerge w:val="continue"/>
            <w:tcBorders>
              <w:tl2br w:val="nil"/>
              <w:tr2bl w:val="nil"/>
            </w:tcBorders>
            <w:noWrap w:val="0"/>
            <w:vAlign w:val="center"/>
          </w:tcPr>
          <w:p w14:paraId="2AE68655">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p>
        </w:tc>
        <w:tc>
          <w:tcPr>
            <w:tcW w:w="847" w:type="pct"/>
            <w:vMerge w:val="continue"/>
            <w:tcBorders>
              <w:tl2br w:val="nil"/>
              <w:tr2bl w:val="nil"/>
            </w:tcBorders>
            <w:noWrap w:val="0"/>
            <w:vAlign w:val="center"/>
          </w:tcPr>
          <w:p w14:paraId="7BD04F99">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p>
        </w:tc>
      </w:tr>
      <w:tr w14:paraId="332FC9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3" w:type="pct"/>
            <w:vMerge w:val="continue"/>
            <w:tcBorders>
              <w:tl2br w:val="nil"/>
              <w:tr2bl w:val="nil"/>
            </w:tcBorders>
            <w:noWrap w:val="0"/>
            <w:vAlign w:val="center"/>
          </w:tcPr>
          <w:p w14:paraId="1C181439">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p>
        </w:tc>
        <w:tc>
          <w:tcPr>
            <w:tcW w:w="845" w:type="pct"/>
            <w:tcBorders>
              <w:tl2br w:val="nil"/>
              <w:tr2bl w:val="nil"/>
            </w:tcBorders>
            <w:noWrap w:val="0"/>
            <w:vAlign w:val="center"/>
          </w:tcPr>
          <w:p w14:paraId="4E2BF9CF">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评价标准</w:t>
            </w:r>
          </w:p>
        </w:tc>
        <w:tc>
          <w:tcPr>
            <w:tcW w:w="3073" w:type="pct"/>
            <w:gridSpan w:val="8"/>
            <w:tcBorders>
              <w:tl2br w:val="nil"/>
              <w:tr2bl w:val="nil"/>
            </w:tcBorders>
            <w:noWrap w:val="0"/>
            <w:vAlign w:val="center"/>
          </w:tcPr>
          <w:p w14:paraId="49C808C0">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GB15618</w:t>
            </w:r>
            <w:r>
              <w:rPr>
                <w:rFonts w:hint="eastAsia" w:cs="Times New Roman"/>
                <w:color w:val="auto"/>
                <w:sz w:val="18"/>
                <w:szCs w:val="18"/>
                <w:highlight w:val="none"/>
                <w:lang w:val="en-US" w:eastAsia="zh-CN" w:bidi="ar-SA"/>
              </w:rPr>
              <w:sym w:font="Wingdings 2" w:char="0052"/>
            </w:r>
            <w:r>
              <w:rPr>
                <w:rFonts w:hint="default" w:ascii="Times New Roman" w:hAnsi="Times New Roman" w:eastAsia="宋体" w:cs="Times New Roman"/>
                <w:color w:val="auto"/>
                <w:sz w:val="18"/>
                <w:szCs w:val="18"/>
                <w:highlight w:val="none"/>
                <w:lang w:val="en-US" w:eastAsia="zh-CN" w:bidi="ar-SA"/>
              </w:rPr>
              <w:t>；GB36600☑；表D.2□；其他（）</w:t>
            </w:r>
          </w:p>
        </w:tc>
        <w:tc>
          <w:tcPr>
            <w:tcW w:w="847" w:type="pct"/>
            <w:tcBorders>
              <w:tl2br w:val="nil"/>
              <w:tr2bl w:val="nil"/>
            </w:tcBorders>
            <w:noWrap w:val="0"/>
            <w:vAlign w:val="center"/>
          </w:tcPr>
          <w:p w14:paraId="1B02080F">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p>
        </w:tc>
      </w:tr>
      <w:tr w14:paraId="736A6D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3" w:type="pct"/>
            <w:vMerge w:val="continue"/>
            <w:tcBorders>
              <w:tl2br w:val="nil"/>
              <w:tr2bl w:val="nil"/>
            </w:tcBorders>
            <w:noWrap w:val="0"/>
            <w:vAlign w:val="center"/>
          </w:tcPr>
          <w:p w14:paraId="2A5EFDB6">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p>
        </w:tc>
        <w:tc>
          <w:tcPr>
            <w:tcW w:w="845" w:type="pct"/>
            <w:tcBorders>
              <w:tl2br w:val="nil"/>
              <w:tr2bl w:val="nil"/>
            </w:tcBorders>
            <w:noWrap w:val="0"/>
            <w:vAlign w:val="center"/>
          </w:tcPr>
          <w:p w14:paraId="209272C1">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现状评价结论</w:t>
            </w:r>
          </w:p>
        </w:tc>
        <w:tc>
          <w:tcPr>
            <w:tcW w:w="3073" w:type="pct"/>
            <w:gridSpan w:val="8"/>
            <w:tcBorders>
              <w:tl2br w:val="nil"/>
              <w:tr2bl w:val="nil"/>
            </w:tcBorders>
            <w:noWrap w:val="0"/>
            <w:vAlign w:val="center"/>
          </w:tcPr>
          <w:p w14:paraId="614018C1">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both"/>
              <w:textAlignment w:val="baseline"/>
              <w:rPr>
                <w:rFonts w:hint="default" w:ascii="Times New Roman" w:hAnsi="Times New Roman" w:eastAsia="宋体" w:cs="Times New Roman"/>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项目区占地范围内</w:t>
            </w:r>
            <w:r>
              <w:rPr>
                <w:rFonts w:hint="eastAsia" w:ascii="Times New Roman" w:hAnsi="Times New Roman" w:eastAsia="宋体" w:cs="Times New Roman"/>
                <w:color w:val="auto"/>
                <w:sz w:val="18"/>
                <w:szCs w:val="18"/>
                <w:highlight w:val="none"/>
                <w:lang w:val="en-US" w:eastAsia="zh-CN" w:bidi="ar-SA"/>
              </w:rPr>
              <w:t>土壤监测因子满足《土壤环境质量 建设用地土壤污染风险管控标准（试行）》（GB36600-2018）第二类用地风险筛选值要求</w:t>
            </w:r>
            <w:r>
              <w:rPr>
                <w:rFonts w:hint="eastAsia" w:cs="Times New Roman"/>
                <w:color w:val="auto"/>
                <w:sz w:val="18"/>
                <w:szCs w:val="18"/>
                <w:highlight w:val="none"/>
                <w:lang w:val="en-US" w:eastAsia="zh-CN" w:bidi="ar-SA"/>
              </w:rPr>
              <w:t>，占地外土壤监测因子满足《土壤环境质量 农用地土壤污染风险管控标准（试行）》（GB15618-2018）相关标准要求</w:t>
            </w:r>
          </w:p>
        </w:tc>
        <w:tc>
          <w:tcPr>
            <w:tcW w:w="847" w:type="pct"/>
            <w:tcBorders>
              <w:tl2br w:val="nil"/>
              <w:tr2bl w:val="nil"/>
            </w:tcBorders>
            <w:noWrap w:val="0"/>
            <w:vAlign w:val="center"/>
          </w:tcPr>
          <w:p w14:paraId="4A353F51">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p>
        </w:tc>
      </w:tr>
      <w:tr w14:paraId="445D9B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3" w:type="pct"/>
            <w:vMerge w:val="restart"/>
            <w:tcBorders>
              <w:tl2br w:val="nil"/>
              <w:tr2bl w:val="nil"/>
            </w:tcBorders>
            <w:noWrap w:val="0"/>
            <w:vAlign w:val="center"/>
          </w:tcPr>
          <w:p w14:paraId="060C9389">
            <w:pPr>
              <w:keepNext w:val="0"/>
              <w:keepLines w:val="0"/>
              <w:pageBreakBefore w:val="0"/>
              <w:kinsoku/>
              <w:wordWrap/>
              <w:overflowPunct/>
              <w:topLinePunct w:val="0"/>
              <w:autoSpaceDE/>
              <w:autoSpaceDN/>
              <w:bidi w:val="0"/>
              <w:adjustRightInd w:val="0"/>
              <w:snapToGrid w:val="0"/>
              <w:spacing w:line="240" w:lineRule="exact"/>
              <w:ind w:right="-31" w:rightChars="-15"/>
              <w:jc w:val="both"/>
              <w:textAlignment w:val="baseline"/>
              <w:rPr>
                <w:rFonts w:hint="default" w:ascii="Times New Roman" w:hAnsi="Times New Roman" w:eastAsia="宋体" w:cs="Times New Roman"/>
                <w:color w:val="auto"/>
                <w:sz w:val="18"/>
                <w:szCs w:val="18"/>
                <w:highlight w:val="none"/>
                <w:lang w:val="en-US" w:eastAsia="zh-CN" w:bidi="ar-SA"/>
              </w:rPr>
            </w:pPr>
            <w:r>
              <w:rPr>
                <w:rFonts w:hint="eastAsia" w:cs="Times New Roman"/>
                <w:color w:val="auto"/>
                <w:sz w:val="18"/>
                <w:szCs w:val="18"/>
                <w:highlight w:val="none"/>
                <w:lang w:val="en-US" w:eastAsia="zh-CN" w:bidi="ar-SA"/>
              </w:rPr>
              <w:t>影</w:t>
            </w:r>
            <w:r>
              <w:rPr>
                <w:rFonts w:hint="default" w:ascii="Times New Roman" w:hAnsi="Times New Roman" w:eastAsia="宋体" w:cs="Times New Roman"/>
                <w:color w:val="auto"/>
                <w:sz w:val="18"/>
                <w:szCs w:val="18"/>
                <w:highlight w:val="none"/>
                <w:lang w:val="en-US" w:eastAsia="zh-CN" w:bidi="ar-SA"/>
              </w:rPr>
              <w:t>响</w:t>
            </w:r>
          </w:p>
          <w:p w14:paraId="549307C2">
            <w:pPr>
              <w:keepNext w:val="0"/>
              <w:keepLines w:val="0"/>
              <w:pageBreakBefore w:val="0"/>
              <w:kinsoku/>
              <w:wordWrap/>
              <w:overflowPunct/>
              <w:topLinePunct w:val="0"/>
              <w:autoSpaceDE/>
              <w:autoSpaceDN/>
              <w:bidi w:val="0"/>
              <w:adjustRightInd w:val="0"/>
              <w:snapToGrid w:val="0"/>
              <w:spacing w:line="240" w:lineRule="exact"/>
              <w:ind w:right="-31" w:rightChars="-15"/>
              <w:jc w:val="both"/>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预测</w:t>
            </w:r>
          </w:p>
        </w:tc>
        <w:tc>
          <w:tcPr>
            <w:tcW w:w="845" w:type="pct"/>
            <w:tcBorders>
              <w:tl2br w:val="nil"/>
              <w:tr2bl w:val="nil"/>
            </w:tcBorders>
            <w:noWrap w:val="0"/>
            <w:vAlign w:val="center"/>
          </w:tcPr>
          <w:p w14:paraId="0DB6FF01">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预测因子</w:t>
            </w:r>
          </w:p>
        </w:tc>
        <w:tc>
          <w:tcPr>
            <w:tcW w:w="3073" w:type="pct"/>
            <w:gridSpan w:val="8"/>
            <w:tcBorders>
              <w:tl2br w:val="nil"/>
              <w:tr2bl w:val="nil"/>
            </w:tcBorders>
            <w:noWrap w:val="0"/>
            <w:vAlign w:val="center"/>
          </w:tcPr>
          <w:p w14:paraId="4543F498">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石油烃</w:t>
            </w:r>
          </w:p>
        </w:tc>
        <w:tc>
          <w:tcPr>
            <w:tcW w:w="847" w:type="pct"/>
            <w:tcBorders>
              <w:tl2br w:val="nil"/>
              <w:tr2bl w:val="nil"/>
            </w:tcBorders>
            <w:noWrap w:val="0"/>
            <w:vAlign w:val="center"/>
          </w:tcPr>
          <w:p w14:paraId="27174D02">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p>
        </w:tc>
      </w:tr>
      <w:tr w14:paraId="39868E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3" w:type="pct"/>
            <w:vMerge w:val="continue"/>
            <w:tcBorders>
              <w:tl2br w:val="nil"/>
              <w:tr2bl w:val="nil"/>
            </w:tcBorders>
            <w:noWrap w:val="0"/>
            <w:vAlign w:val="center"/>
          </w:tcPr>
          <w:p w14:paraId="319C3C06">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p>
        </w:tc>
        <w:tc>
          <w:tcPr>
            <w:tcW w:w="845" w:type="pct"/>
            <w:tcBorders>
              <w:tl2br w:val="nil"/>
              <w:tr2bl w:val="nil"/>
            </w:tcBorders>
            <w:noWrap w:val="0"/>
            <w:vAlign w:val="center"/>
          </w:tcPr>
          <w:p w14:paraId="4F228F8B">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预测方法</w:t>
            </w:r>
          </w:p>
        </w:tc>
        <w:tc>
          <w:tcPr>
            <w:tcW w:w="3073" w:type="pct"/>
            <w:gridSpan w:val="8"/>
            <w:tcBorders>
              <w:tl2br w:val="nil"/>
              <w:tr2bl w:val="nil"/>
            </w:tcBorders>
            <w:noWrap w:val="0"/>
            <w:vAlign w:val="center"/>
          </w:tcPr>
          <w:p w14:paraId="6C28FCC5">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附录E</w:t>
            </w:r>
            <w:r>
              <w:rPr>
                <w:rFonts w:hint="default" w:ascii="Times New Roman" w:hAnsi="Times New Roman" w:eastAsia="宋体" w:cs="Times New Roman"/>
                <w:color w:val="auto"/>
                <w:sz w:val="18"/>
                <w:szCs w:val="18"/>
                <w:highlight w:val="none"/>
                <w:lang w:val="en-US" w:eastAsia="zh-CN" w:bidi="ar-SA"/>
              </w:rPr>
              <w:sym w:font="Wingdings 2" w:char="0052"/>
            </w:r>
            <w:r>
              <w:rPr>
                <w:rFonts w:hint="default" w:ascii="Times New Roman" w:hAnsi="Times New Roman" w:eastAsia="宋体" w:cs="Times New Roman"/>
                <w:color w:val="auto"/>
                <w:sz w:val="18"/>
                <w:szCs w:val="18"/>
                <w:highlight w:val="none"/>
                <w:lang w:val="en-US" w:eastAsia="zh-CN" w:bidi="ar-SA"/>
              </w:rPr>
              <w:t>；附录F□；其他（类比）</w:t>
            </w:r>
          </w:p>
        </w:tc>
        <w:tc>
          <w:tcPr>
            <w:tcW w:w="847" w:type="pct"/>
            <w:tcBorders>
              <w:tl2br w:val="nil"/>
              <w:tr2bl w:val="nil"/>
            </w:tcBorders>
            <w:noWrap w:val="0"/>
            <w:vAlign w:val="center"/>
          </w:tcPr>
          <w:p w14:paraId="2F032233">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p>
        </w:tc>
      </w:tr>
      <w:tr w14:paraId="27A098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3" w:type="pct"/>
            <w:vMerge w:val="continue"/>
            <w:tcBorders>
              <w:tl2br w:val="nil"/>
              <w:tr2bl w:val="nil"/>
            </w:tcBorders>
            <w:noWrap w:val="0"/>
            <w:vAlign w:val="center"/>
          </w:tcPr>
          <w:p w14:paraId="154F1AF8">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p>
        </w:tc>
        <w:tc>
          <w:tcPr>
            <w:tcW w:w="845" w:type="pct"/>
            <w:tcBorders>
              <w:tl2br w:val="nil"/>
              <w:tr2bl w:val="nil"/>
            </w:tcBorders>
            <w:noWrap w:val="0"/>
            <w:vAlign w:val="center"/>
          </w:tcPr>
          <w:p w14:paraId="4E10F05B">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预测分析内容</w:t>
            </w:r>
          </w:p>
        </w:tc>
        <w:tc>
          <w:tcPr>
            <w:tcW w:w="3073" w:type="pct"/>
            <w:gridSpan w:val="8"/>
            <w:tcBorders>
              <w:tl2br w:val="nil"/>
              <w:tr2bl w:val="nil"/>
            </w:tcBorders>
            <w:noWrap w:val="0"/>
            <w:vAlign w:val="center"/>
          </w:tcPr>
          <w:p w14:paraId="08C75A12">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both"/>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影响范围（事故状态下，</w:t>
            </w:r>
            <w:r>
              <w:rPr>
                <w:rFonts w:hint="eastAsia" w:cs="Times New Roman"/>
                <w:color w:val="auto"/>
                <w:sz w:val="18"/>
                <w:szCs w:val="18"/>
                <w:highlight w:val="none"/>
                <w:lang w:val="en-US" w:eastAsia="zh-CN" w:bidi="ar-SA"/>
              </w:rPr>
              <w:t>集输管线、油罐、罐车泄漏，油类物质</w:t>
            </w:r>
            <w:r>
              <w:rPr>
                <w:rFonts w:hint="default" w:ascii="Times New Roman" w:hAnsi="Times New Roman" w:eastAsia="宋体" w:cs="Times New Roman"/>
                <w:color w:val="auto"/>
                <w:sz w:val="18"/>
                <w:szCs w:val="18"/>
                <w:highlight w:val="none"/>
                <w:lang w:val="en-US" w:eastAsia="zh-CN" w:bidi="ar-SA"/>
              </w:rPr>
              <w:t>进入土壤的0-3m土层）影响程度（较小）</w:t>
            </w:r>
          </w:p>
        </w:tc>
        <w:tc>
          <w:tcPr>
            <w:tcW w:w="847" w:type="pct"/>
            <w:tcBorders>
              <w:tl2br w:val="nil"/>
              <w:tr2bl w:val="nil"/>
            </w:tcBorders>
            <w:noWrap w:val="0"/>
            <w:vAlign w:val="center"/>
          </w:tcPr>
          <w:p w14:paraId="363B2312">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p>
        </w:tc>
      </w:tr>
      <w:tr w14:paraId="7DF7E2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3" w:type="pct"/>
            <w:vMerge w:val="continue"/>
            <w:tcBorders>
              <w:tl2br w:val="nil"/>
              <w:tr2bl w:val="nil"/>
            </w:tcBorders>
            <w:noWrap w:val="0"/>
            <w:vAlign w:val="center"/>
          </w:tcPr>
          <w:p w14:paraId="113DB6EB">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p>
        </w:tc>
        <w:tc>
          <w:tcPr>
            <w:tcW w:w="845" w:type="pct"/>
            <w:tcBorders>
              <w:tl2br w:val="nil"/>
              <w:tr2bl w:val="nil"/>
            </w:tcBorders>
            <w:noWrap w:val="0"/>
            <w:vAlign w:val="center"/>
          </w:tcPr>
          <w:p w14:paraId="5E3422F3">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预测结论</w:t>
            </w:r>
          </w:p>
        </w:tc>
        <w:tc>
          <w:tcPr>
            <w:tcW w:w="3073" w:type="pct"/>
            <w:gridSpan w:val="8"/>
            <w:tcBorders>
              <w:tl2br w:val="nil"/>
              <w:tr2bl w:val="nil"/>
            </w:tcBorders>
            <w:noWrap w:val="0"/>
            <w:vAlign w:val="center"/>
          </w:tcPr>
          <w:p w14:paraId="721C932A">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达标结论：a）□；b）□；c）☑</w:t>
            </w:r>
          </w:p>
          <w:p w14:paraId="16BA7AAA">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不达标结论：a）□；b）□</w:t>
            </w:r>
          </w:p>
        </w:tc>
        <w:tc>
          <w:tcPr>
            <w:tcW w:w="847" w:type="pct"/>
            <w:tcBorders>
              <w:tl2br w:val="nil"/>
              <w:tr2bl w:val="nil"/>
            </w:tcBorders>
            <w:noWrap w:val="0"/>
            <w:vAlign w:val="center"/>
          </w:tcPr>
          <w:p w14:paraId="4E8E38CB">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p>
        </w:tc>
      </w:tr>
      <w:tr w14:paraId="6A67D6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3" w:type="pct"/>
            <w:vMerge w:val="restart"/>
            <w:tcBorders>
              <w:tl2br w:val="nil"/>
              <w:tr2bl w:val="nil"/>
            </w:tcBorders>
            <w:noWrap w:val="0"/>
            <w:vAlign w:val="center"/>
          </w:tcPr>
          <w:p w14:paraId="4152A241">
            <w:pPr>
              <w:keepNext w:val="0"/>
              <w:keepLines w:val="0"/>
              <w:pageBreakBefore w:val="0"/>
              <w:kinsoku/>
              <w:wordWrap/>
              <w:overflowPunct/>
              <w:topLinePunct w:val="0"/>
              <w:autoSpaceDE/>
              <w:autoSpaceDN/>
              <w:bidi w:val="0"/>
              <w:adjustRightInd w:val="0"/>
              <w:snapToGrid w:val="0"/>
              <w:spacing w:line="240" w:lineRule="exact"/>
              <w:ind w:right="-31" w:rightChars="-15"/>
              <w:jc w:val="both"/>
              <w:textAlignment w:val="baseline"/>
              <w:rPr>
                <w:rFonts w:hint="default" w:ascii="Times New Roman" w:hAnsi="Times New Roman" w:eastAsia="宋体" w:cs="Times New Roman"/>
                <w:color w:val="auto"/>
                <w:sz w:val="18"/>
                <w:szCs w:val="18"/>
                <w:highlight w:val="none"/>
                <w:lang w:val="en-US" w:eastAsia="zh-CN" w:bidi="ar-SA"/>
              </w:rPr>
            </w:pPr>
            <w:r>
              <w:rPr>
                <w:rFonts w:hint="eastAsia" w:cs="Times New Roman"/>
                <w:color w:val="auto"/>
                <w:sz w:val="18"/>
                <w:szCs w:val="18"/>
                <w:highlight w:val="none"/>
                <w:lang w:val="en-US" w:eastAsia="zh-CN" w:bidi="ar-SA"/>
              </w:rPr>
              <w:t>防</w:t>
            </w:r>
            <w:r>
              <w:rPr>
                <w:rFonts w:hint="default" w:ascii="Times New Roman" w:hAnsi="Times New Roman" w:eastAsia="宋体" w:cs="Times New Roman"/>
                <w:color w:val="auto"/>
                <w:sz w:val="18"/>
                <w:szCs w:val="18"/>
                <w:highlight w:val="none"/>
                <w:lang w:val="en-US" w:eastAsia="zh-CN" w:bidi="ar-SA"/>
              </w:rPr>
              <w:t>治措施</w:t>
            </w:r>
          </w:p>
        </w:tc>
        <w:tc>
          <w:tcPr>
            <w:tcW w:w="845" w:type="pct"/>
            <w:tcBorders>
              <w:tl2br w:val="nil"/>
              <w:tr2bl w:val="nil"/>
            </w:tcBorders>
            <w:noWrap w:val="0"/>
            <w:vAlign w:val="center"/>
          </w:tcPr>
          <w:p w14:paraId="45FDB8BF">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防控措施</w:t>
            </w:r>
          </w:p>
        </w:tc>
        <w:tc>
          <w:tcPr>
            <w:tcW w:w="3073" w:type="pct"/>
            <w:gridSpan w:val="8"/>
            <w:tcBorders>
              <w:tl2br w:val="nil"/>
              <w:tr2bl w:val="nil"/>
            </w:tcBorders>
            <w:noWrap w:val="0"/>
            <w:vAlign w:val="center"/>
          </w:tcPr>
          <w:p w14:paraId="52E66C25">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both"/>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土壤环境质量现状保障☑；源头控制☑；过程防控☑；其他（）</w:t>
            </w:r>
          </w:p>
        </w:tc>
        <w:tc>
          <w:tcPr>
            <w:tcW w:w="847" w:type="pct"/>
            <w:tcBorders>
              <w:tl2br w:val="nil"/>
              <w:tr2bl w:val="nil"/>
            </w:tcBorders>
            <w:noWrap w:val="0"/>
            <w:vAlign w:val="center"/>
          </w:tcPr>
          <w:p w14:paraId="6E99B987">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p>
        </w:tc>
      </w:tr>
      <w:tr w14:paraId="572439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3" w:type="pct"/>
            <w:vMerge w:val="continue"/>
            <w:tcBorders>
              <w:tl2br w:val="nil"/>
              <w:tr2bl w:val="nil"/>
            </w:tcBorders>
            <w:noWrap w:val="0"/>
            <w:vAlign w:val="center"/>
          </w:tcPr>
          <w:p w14:paraId="3B3E4436">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p>
        </w:tc>
        <w:tc>
          <w:tcPr>
            <w:tcW w:w="845" w:type="pct"/>
            <w:vMerge w:val="restart"/>
            <w:tcBorders>
              <w:tl2br w:val="nil"/>
              <w:tr2bl w:val="nil"/>
            </w:tcBorders>
            <w:noWrap w:val="0"/>
            <w:vAlign w:val="center"/>
          </w:tcPr>
          <w:p w14:paraId="6D2F4A71">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跟踪监测</w:t>
            </w:r>
          </w:p>
        </w:tc>
        <w:tc>
          <w:tcPr>
            <w:tcW w:w="408" w:type="pct"/>
            <w:tcBorders>
              <w:tl2br w:val="nil"/>
              <w:tr2bl w:val="nil"/>
            </w:tcBorders>
            <w:noWrap w:val="0"/>
            <w:vAlign w:val="center"/>
          </w:tcPr>
          <w:p w14:paraId="4237CFAE">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层位</w:t>
            </w:r>
          </w:p>
        </w:tc>
        <w:tc>
          <w:tcPr>
            <w:tcW w:w="644" w:type="pct"/>
            <w:tcBorders>
              <w:tl2br w:val="nil"/>
              <w:tr2bl w:val="nil"/>
            </w:tcBorders>
            <w:noWrap w:val="0"/>
            <w:vAlign w:val="center"/>
          </w:tcPr>
          <w:p w14:paraId="50A5C1E6">
            <w:pPr>
              <w:keepNext w:val="0"/>
              <w:keepLines w:val="0"/>
              <w:pageBreakBefore w:val="0"/>
              <w:widowControl w:val="0"/>
              <w:kinsoku/>
              <w:wordWrap/>
              <w:overflowPunct/>
              <w:topLinePunct w:val="0"/>
              <w:autoSpaceDE/>
              <w:autoSpaceDN/>
              <w:bidi w:val="0"/>
              <w:spacing w:line="240" w:lineRule="exact"/>
              <w:jc w:val="center"/>
              <w:textAlignment w:val="center"/>
              <w:rPr>
                <w:rFonts w:hint="default" w:ascii="Times New Roman" w:hAnsi="Times New Roman" w:eastAsia="宋体" w:cs="Times New Roman"/>
                <w:color w:val="auto"/>
                <w:spacing w:val="-6"/>
                <w:kern w:val="2"/>
                <w:sz w:val="18"/>
                <w:szCs w:val="18"/>
                <w:highlight w:val="none"/>
                <w:lang w:val="en-US" w:eastAsia="zh-CN" w:bidi="ar-SA"/>
              </w:rPr>
            </w:pPr>
            <w:r>
              <w:rPr>
                <w:rFonts w:hint="eastAsia" w:cs="Times New Roman"/>
                <w:color w:val="auto"/>
                <w:spacing w:val="-6"/>
                <w:kern w:val="2"/>
                <w:sz w:val="18"/>
                <w:szCs w:val="18"/>
                <w:highlight w:val="none"/>
                <w:lang w:val="en-US" w:eastAsia="zh-CN" w:bidi="ar-SA"/>
              </w:rPr>
              <w:t>计量</w:t>
            </w:r>
            <w:r>
              <w:rPr>
                <w:rFonts w:hint="eastAsia" w:ascii="Times New Roman" w:hAnsi="Times New Roman" w:eastAsia="宋体" w:cs="Times New Roman"/>
                <w:color w:val="auto"/>
                <w:spacing w:val="-6"/>
                <w:kern w:val="2"/>
                <w:sz w:val="18"/>
                <w:szCs w:val="18"/>
                <w:highlight w:val="none"/>
                <w:lang w:val="en-US" w:eastAsia="zh-CN" w:bidi="ar-SA"/>
              </w:rPr>
              <w:t>站</w:t>
            </w:r>
            <w:r>
              <w:rPr>
                <w:rFonts w:hint="default" w:ascii="Times New Roman" w:hAnsi="Times New Roman" w:eastAsia="宋体" w:cs="Times New Roman"/>
                <w:color w:val="auto"/>
                <w:spacing w:val="-6"/>
                <w:kern w:val="2"/>
                <w:sz w:val="18"/>
                <w:szCs w:val="18"/>
                <w:highlight w:val="none"/>
                <w:lang w:val="en-US" w:eastAsia="zh-CN" w:bidi="ar-SA"/>
              </w:rPr>
              <w:t>占地范围内</w:t>
            </w:r>
          </w:p>
        </w:tc>
        <w:tc>
          <w:tcPr>
            <w:tcW w:w="475" w:type="pct"/>
            <w:gridSpan w:val="2"/>
            <w:tcBorders>
              <w:tl2br w:val="nil"/>
              <w:tr2bl w:val="nil"/>
            </w:tcBorders>
            <w:noWrap w:val="0"/>
            <w:vAlign w:val="center"/>
          </w:tcPr>
          <w:p w14:paraId="71B0BA4B">
            <w:pPr>
              <w:keepNext w:val="0"/>
              <w:keepLines w:val="0"/>
              <w:pageBreakBefore w:val="0"/>
              <w:widowControl w:val="0"/>
              <w:kinsoku/>
              <w:wordWrap/>
              <w:overflowPunct/>
              <w:topLinePunct w:val="0"/>
              <w:autoSpaceDE/>
              <w:autoSpaceDN/>
              <w:bidi w:val="0"/>
              <w:spacing w:line="240" w:lineRule="exact"/>
              <w:jc w:val="center"/>
              <w:textAlignment w:val="center"/>
              <w:rPr>
                <w:rFonts w:hint="default" w:ascii="Times New Roman" w:hAnsi="Times New Roman" w:eastAsia="宋体" w:cs="Times New Roman"/>
                <w:color w:val="auto"/>
                <w:spacing w:val="-6"/>
                <w:kern w:val="2"/>
                <w:sz w:val="18"/>
                <w:szCs w:val="18"/>
                <w:highlight w:val="none"/>
                <w:lang w:val="en-US" w:eastAsia="zh-CN" w:bidi="ar-SA"/>
              </w:rPr>
            </w:pPr>
            <w:r>
              <w:rPr>
                <w:rFonts w:hint="default" w:ascii="Times New Roman" w:hAnsi="Times New Roman" w:eastAsia="宋体" w:cs="Times New Roman"/>
                <w:color w:val="auto"/>
                <w:spacing w:val="-6"/>
                <w:kern w:val="2"/>
                <w:sz w:val="18"/>
                <w:szCs w:val="18"/>
                <w:highlight w:val="none"/>
                <w:lang w:val="en-US" w:eastAsia="zh-CN" w:bidi="ar-SA"/>
              </w:rPr>
              <w:t>占地范围外</w:t>
            </w:r>
          </w:p>
        </w:tc>
        <w:tc>
          <w:tcPr>
            <w:tcW w:w="507" w:type="pct"/>
            <w:gridSpan w:val="2"/>
            <w:tcBorders>
              <w:tl2br w:val="nil"/>
              <w:tr2bl w:val="nil"/>
            </w:tcBorders>
            <w:noWrap w:val="0"/>
            <w:vAlign w:val="center"/>
          </w:tcPr>
          <w:p w14:paraId="17CA51DD">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深度</w:t>
            </w:r>
          </w:p>
        </w:tc>
        <w:tc>
          <w:tcPr>
            <w:tcW w:w="549" w:type="pct"/>
            <w:tcBorders>
              <w:tl2br w:val="nil"/>
              <w:tr2bl w:val="nil"/>
            </w:tcBorders>
            <w:noWrap w:val="0"/>
            <w:vAlign w:val="center"/>
          </w:tcPr>
          <w:p w14:paraId="392F13AF">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监测指标</w:t>
            </w:r>
          </w:p>
        </w:tc>
        <w:tc>
          <w:tcPr>
            <w:tcW w:w="488" w:type="pct"/>
            <w:tcBorders>
              <w:tl2br w:val="nil"/>
              <w:tr2bl w:val="nil"/>
            </w:tcBorders>
            <w:noWrap w:val="0"/>
            <w:vAlign w:val="center"/>
          </w:tcPr>
          <w:p w14:paraId="769AA569">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监测频次</w:t>
            </w:r>
          </w:p>
        </w:tc>
        <w:tc>
          <w:tcPr>
            <w:tcW w:w="847" w:type="pct"/>
            <w:vMerge w:val="restart"/>
            <w:tcBorders>
              <w:tl2br w:val="nil"/>
              <w:tr2bl w:val="nil"/>
            </w:tcBorders>
            <w:noWrap w:val="0"/>
            <w:vAlign w:val="center"/>
          </w:tcPr>
          <w:p w14:paraId="37A88204">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p>
        </w:tc>
      </w:tr>
      <w:tr w14:paraId="1BBA80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3" w:type="pct"/>
            <w:vMerge w:val="continue"/>
            <w:tcBorders>
              <w:tl2br w:val="nil"/>
              <w:tr2bl w:val="nil"/>
            </w:tcBorders>
            <w:noWrap w:val="0"/>
            <w:vAlign w:val="center"/>
          </w:tcPr>
          <w:p w14:paraId="33A7A8B2">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p>
        </w:tc>
        <w:tc>
          <w:tcPr>
            <w:tcW w:w="845" w:type="pct"/>
            <w:vMerge w:val="continue"/>
            <w:tcBorders>
              <w:tl2br w:val="nil"/>
              <w:tr2bl w:val="nil"/>
            </w:tcBorders>
            <w:noWrap w:val="0"/>
            <w:vAlign w:val="center"/>
          </w:tcPr>
          <w:p w14:paraId="27EB91AE">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p>
        </w:tc>
        <w:tc>
          <w:tcPr>
            <w:tcW w:w="408" w:type="pct"/>
            <w:tcBorders>
              <w:tl2br w:val="nil"/>
              <w:tr2bl w:val="nil"/>
            </w:tcBorders>
            <w:noWrap w:val="0"/>
            <w:vAlign w:val="center"/>
          </w:tcPr>
          <w:p w14:paraId="165458CF">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表层</w:t>
            </w:r>
          </w:p>
        </w:tc>
        <w:tc>
          <w:tcPr>
            <w:tcW w:w="644" w:type="pct"/>
            <w:tcBorders>
              <w:tl2br w:val="nil"/>
              <w:tr2bl w:val="nil"/>
            </w:tcBorders>
            <w:noWrap w:val="0"/>
            <w:vAlign w:val="center"/>
          </w:tcPr>
          <w:p w14:paraId="77384E8A">
            <w:pPr>
              <w:keepNext w:val="0"/>
              <w:keepLines w:val="0"/>
              <w:pageBreakBefore w:val="0"/>
              <w:widowControl w:val="0"/>
              <w:kinsoku/>
              <w:wordWrap/>
              <w:overflowPunct/>
              <w:topLinePunct w:val="0"/>
              <w:autoSpaceDE/>
              <w:autoSpaceDN/>
              <w:bidi w:val="0"/>
              <w:spacing w:line="24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ascii="Times New Roman" w:hAnsi="Times New Roman" w:eastAsia="宋体" w:cs="Times New Roman"/>
                <w:color w:val="auto"/>
                <w:kern w:val="2"/>
                <w:sz w:val="18"/>
                <w:szCs w:val="18"/>
                <w:highlight w:val="none"/>
                <w:lang w:val="en-US" w:eastAsia="zh-CN" w:bidi="ar-SA"/>
              </w:rPr>
              <w:t>1</w:t>
            </w:r>
          </w:p>
        </w:tc>
        <w:tc>
          <w:tcPr>
            <w:tcW w:w="475" w:type="pct"/>
            <w:gridSpan w:val="2"/>
            <w:tcBorders>
              <w:tl2br w:val="nil"/>
              <w:tr2bl w:val="nil"/>
            </w:tcBorders>
            <w:noWrap w:val="0"/>
            <w:vAlign w:val="center"/>
          </w:tcPr>
          <w:p w14:paraId="60EC474B">
            <w:pPr>
              <w:keepNext w:val="0"/>
              <w:keepLines w:val="0"/>
              <w:pageBreakBefore w:val="0"/>
              <w:widowControl w:val="0"/>
              <w:kinsoku/>
              <w:wordWrap/>
              <w:overflowPunct/>
              <w:topLinePunct w:val="0"/>
              <w:autoSpaceDE/>
              <w:autoSpaceDN/>
              <w:bidi w:val="0"/>
              <w:spacing w:line="24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ascii="Times New Roman" w:hAnsi="Times New Roman" w:eastAsia="宋体" w:cs="Times New Roman"/>
                <w:color w:val="auto"/>
                <w:kern w:val="2"/>
                <w:sz w:val="18"/>
                <w:szCs w:val="18"/>
                <w:highlight w:val="none"/>
                <w:lang w:val="en-US" w:eastAsia="zh-CN" w:bidi="ar-SA"/>
              </w:rPr>
              <w:t>1</w:t>
            </w:r>
          </w:p>
        </w:tc>
        <w:tc>
          <w:tcPr>
            <w:tcW w:w="507" w:type="pct"/>
            <w:gridSpan w:val="2"/>
            <w:tcBorders>
              <w:tl2br w:val="nil"/>
              <w:tr2bl w:val="nil"/>
            </w:tcBorders>
            <w:noWrap w:val="0"/>
            <w:vAlign w:val="center"/>
          </w:tcPr>
          <w:p w14:paraId="62E01ECE">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both"/>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0-0.2m</w:t>
            </w:r>
          </w:p>
        </w:tc>
        <w:tc>
          <w:tcPr>
            <w:tcW w:w="549" w:type="pct"/>
            <w:tcBorders>
              <w:tl2br w:val="nil"/>
              <w:tr2bl w:val="nil"/>
            </w:tcBorders>
            <w:noWrap w:val="0"/>
            <w:vAlign w:val="center"/>
          </w:tcPr>
          <w:p w14:paraId="2A440A0B">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eastAsia" w:ascii="Times New Roman" w:hAnsi="Times New Roman" w:eastAsia="宋体" w:cs="Times New Roman"/>
                <w:color w:val="auto"/>
                <w:spacing w:val="-6"/>
                <w:sz w:val="18"/>
                <w:szCs w:val="18"/>
                <w:highlight w:val="none"/>
                <w:lang w:val="en-US" w:eastAsia="zh-CN" w:bidi="ar-SA"/>
              </w:rPr>
              <w:t>石油烃</w:t>
            </w:r>
          </w:p>
        </w:tc>
        <w:tc>
          <w:tcPr>
            <w:tcW w:w="488" w:type="pct"/>
            <w:tcBorders>
              <w:tl2br w:val="nil"/>
              <w:tr2bl w:val="nil"/>
            </w:tcBorders>
            <w:noWrap w:val="0"/>
            <w:vAlign w:val="center"/>
          </w:tcPr>
          <w:p w14:paraId="33E650C3">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每</w:t>
            </w:r>
            <w:r>
              <w:rPr>
                <w:rFonts w:hint="eastAsia" w:cs="Times New Roman"/>
                <w:color w:val="auto"/>
                <w:sz w:val="18"/>
                <w:szCs w:val="18"/>
                <w:highlight w:val="none"/>
                <w:lang w:val="en-US" w:eastAsia="zh-CN" w:bidi="ar-SA"/>
              </w:rPr>
              <w:t>3</w:t>
            </w:r>
            <w:r>
              <w:rPr>
                <w:rFonts w:hint="default" w:ascii="Times New Roman" w:hAnsi="Times New Roman" w:eastAsia="宋体" w:cs="Times New Roman"/>
                <w:color w:val="auto"/>
                <w:sz w:val="18"/>
                <w:szCs w:val="18"/>
                <w:highlight w:val="none"/>
                <w:lang w:val="en-US" w:eastAsia="zh-CN" w:bidi="ar-SA"/>
              </w:rPr>
              <w:t>年1次</w:t>
            </w:r>
          </w:p>
        </w:tc>
        <w:tc>
          <w:tcPr>
            <w:tcW w:w="847" w:type="pct"/>
            <w:vMerge w:val="continue"/>
            <w:tcBorders>
              <w:tl2br w:val="nil"/>
              <w:tr2bl w:val="nil"/>
            </w:tcBorders>
            <w:noWrap w:val="0"/>
            <w:vAlign w:val="center"/>
          </w:tcPr>
          <w:p w14:paraId="055555BE">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p>
        </w:tc>
      </w:tr>
      <w:tr w14:paraId="53D0C7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3" w:type="pct"/>
            <w:vMerge w:val="continue"/>
            <w:tcBorders>
              <w:tl2br w:val="nil"/>
              <w:tr2bl w:val="nil"/>
            </w:tcBorders>
            <w:noWrap w:val="0"/>
            <w:vAlign w:val="center"/>
          </w:tcPr>
          <w:p w14:paraId="2903F46F">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p>
        </w:tc>
        <w:tc>
          <w:tcPr>
            <w:tcW w:w="845" w:type="pct"/>
            <w:vMerge w:val="continue"/>
            <w:tcBorders>
              <w:tl2br w:val="nil"/>
              <w:tr2bl w:val="nil"/>
            </w:tcBorders>
            <w:noWrap w:val="0"/>
            <w:vAlign w:val="center"/>
          </w:tcPr>
          <w:p w14:paraId="1583223B">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p>
        </w:tc>
        <w:tc>
          <w:tcPr>
            <w:tcW w:w="408" w:type="pct"/>
            <w:tcBorders>
              <w:tl2br w:val="nil"/>
              <w:tr2bl w:val="nil"/>
            </w:tcBorders>
            <w:noWrap w:val="0"/>
            <w:vAlign w:val="center"/>
          </w:tcPr>
          <w:p w14:paraId="6D4A4948">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eastAsia" w:cs="Times New Roman"/>
                <w:color w:val="auto"/>
                <w:sz w:val="18"/>
                <w:szCs w:val="18"/>
                <w:highlight w:val="none"/>
                <w:lang w:val="en-US" w:eastAsia="zh-CN" w:bidi="ar-SA"/>
              </w:rPr>
              <w:t>柱状样</w:t>
            </w:r>
          </w:p>
        </w:tc>
        <w:tc>
          <w:tcPr>
            <w:tcW w:w="644" w:type="pct"/>
            <w:tcBorders>
              <w:tl2br w:val="nil"/>
              <w:tr2bl w:val="nil"/>
            </w:tcBorders>
            <w:noWrap w:val="0"/>
            <w:vAlign w:val="center"/>
          </w:tcPr>
          <w:p w14:paraId="237402C7">
            <w:pPr>
              <w:keepNext w:val="0"/>
              <w:keepLines w:val="0"/>
              <w:pageBreakBefore w:val="0"/>
              <w:widowControl w:val="0"/>
              <w:kinsoku/>
              <w:wordWrap/>
              <w:overflowPunct/>
              <w:topLinePunct w:val="0"/>
              <w:autoSpaceDE/>
              <w:autoSpaceDN/>
              <w:bidi w:val="0"/>
              <w:spacing w:line="24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w:t>
            </w:r>
          </w:p>
        </w:tc>
        <w:tc>
          <w:tcPr>
            <w:tcW w:w="475" w:type="pct"/>
            <w:gridSpan w:val="2"/>
            <w:tcBorders>
              <w:tl2br w:val="nil"/>
              <w:tr2bl w:val="nil"/>
            </w:tcBorders>
            <w:noWrap w:val="0"/>
            <w:vAlign w:val="center"/>
          </w:tcPr>
          <w:p w14:paraId="02559991">
            <w:pPr>
              <w:keepNext w:val="0"/>
              <w:keepLines w:val="0"/>
              <w:pageBreakBefore w:val="0"/>
              <w:widowControl w:val="0"/>
              <w:kinsoku/>
              <w:wordWrap/>
              <w:overflowPunct/>
              <w:topLinePunct w:val="0"/>
              <w:autoSpaceDE/>
              <w:autoSpaceDN/>
              <w:bidi w:val="0"/>
              <w:spacing w:line="24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w:t>
            </w:r>
          </w:p>
        </w:tc>
        <w:tc>
          <w:tcPr>
            <w:tcW w:w="507" w:type="pct"/>
            <w:gridSpan w:val="2"/>
            <w:tcBorders>
              <w:tl2br w:val="nil"/>
              <w:tr2bl w:val="nil"/>
            </w:tcBorders>
            <w:noWrap w:val="0"/>
            <w:vAlign w:val="center"/>
          </w:tcPr>
          <w:p w14:paraId="2B517CC2">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both"/>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0-</w:t>
            </w:r>
            <w:r>
              <w:rPr>
                <w:rFonts w:hint="eastAsia" w:ascii="Times New Roman" w:hAnsi="Times New Roman" w:eastAsia="宋体" w:cs="Times New Roman"/>
                <w:color w:val="auto"/>
                <w:sz w:val="18"/>
                <w:szCs w:val="18"/>
                <w:highlight w:val="none"/>
                <w:lang w:val="en-US" w:eastAsia="zh-CN" w:bidi="ar-SA"/>
              </w:rPr>
              <w:t>0.5</w:t>
            </w:r>
            <w:r>
              <w:rPr>
                <w:rFonts w:hint="default" w:ascii="Times New Roman" w:hAnsi="Times New Roman" w:eastAsia="宋体" w:cs="Times New Roman"/>
                <w:color w:val="auto"/>
                <w:sz w:val="18"/>
                <w:szCs w:val="18"/>
                <w:highlight w:val="none"/>
                <w:lang w:val="en-US" w:eastAsia="zh-CN" w:bidi="ar-SA"/>
              </w:rPr>
              <w:t>m</w:t>
            </w:r>
          </w:p>
          <w:p w14:paraId="1F66B0C0">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both"/>
              <w:textAlignment w:val="baseline"/>
              <w:rPr>
                <w:rFonts w:hint="default" w:ascii="Times New Roman" w:hAnsi="Times New Roman" w:eastAsia="宋体" w:cs="Times New Roman"/>
                <w:color w:val="auto"/>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bidi="ar-SA"/>
              </w:rPr>
              <w:t>0.5</w:t>
            </w:r>
            <w:r>
              <w:rPr>
                <w:rFonts w:hint="default" w:ascii="Times New Roman" w:hAnsi="Times New Roman" w:eastAsia="宋体" w:cs="Times New Roman"/>
                <w:color w:val="auto"/>
                <w:sz w:val="18"/>
                <w:szCs w:val="18"/>
                <w:highlight w:val="none"/>
                <w:lang w:val="en-US" w:eastAsia="zh-CN" w:bidi="ar-SA"/>
              </w:rPr>
              <w:t>-</w:t>
            </w:r>
            <w:r>
              <w:rPr>
                <w:rFonts w:hint="eastAsia" w:ascii="Times New Roman" w:hAnsi="Times New Roman" w:eastAsia="宋体" w:cs="Times New Roman"/>
                <w:color w:val="auto"/>
                <w:sz w:val="18"/>
                <w:szCs w:val="18"/>
                <w:highlight w:val="none"/>
                <w:lang w:val="en-US" w:eastAsia="zh-CN" w:bidi="ar-SA"/>
              </w:rPr>
              <w:t>1.5</w:t>
            </w:r>
            <w:r>
              <w:rPr>
                <w:rFonts w:hint="default" w:ascii="Times New Roman" w:hAnsi="Times New Roman" w:eastAsia="宋体" w:cs="Times New Roman"/>
                <w:color w:val="auto"/>
                <w:sz w:val="18"/>
                <w:szCs w:val="18"/>
                <w:highlight w:val="none"/>
                <w:lang w:val="en-US" w:eastAsia="zh-CN" w:bidi="ar-SA"/>
              </w:rPr>
              <w:t>m</w:t>
            </w:r>
          </w:p>
          <w:p w14:paraId="76248B9C">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both"/>
              <w:textAlignment w:val="baseline"/>
              <w:rPr>
                <w:rFonts w:hint="default" w:ascii="Times New Roman" w:hAnsi="Times New Roman" w:eastAsia="宋体" w:cs="Times New Roman"/>
                <w:color w:val="auto"/>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bidi="ar-SA"/>
              </w:rPr>
              <w:t>1.5</w:t>
            </w:r>
            <w:r>
              <w:rPr>
                <w:rFonts w:hint="default" w:ascii="Times New Roman" w:hAnsi="Times New Roman" w:eastAsia="宋体" w:cs="Times New Roman"/>
                <w:color w:val="auto"/>
                <w:sz w:val="18"/>
                <w:szCs w:val="18"/>
                <w:highlight w:val="none"/>
                <w:lang w:val="en-US" w:eastAsia="zh-CN" w:bidi="ar-SA"/>
              </w:rPr>
              <w:t>-</w:t>
            </w:r>
            <w:r>
              <w:rPr>
                <w:rFonts w:hint="eastAsia" w:ascii="Times New Roman" w:hAnsi="Times New Roman" w:eastAsia="宋体" w:cs="Times New Roman"/>
                <w:color w:val="auto"/>
                <w:sz w:val="18"/>
                <w:szCs w:val="18"/>
                <w:highlight w:val="none"/>
                <w:lang w:val="en-US" w:eastAsia="zh-CN" w:bidi="ar-SA"/>
              </w:rPr>
              <w:t>3</w:t>
            </w:r>
            <w:r>
              <w:rPr>
                <w:rFonts w:hint="default" w:ascii="Times New Roman" w:hAnsi="Times New Roman" w:eastAsia="宋体" w:cs="Times New Roman"/>
                <w:color w:val="auto"/>
                <w:sz w:val="18"/>
                <w:szCs w:val="18"/>
                <w:highlight w:val="none"/>
                <w:lang w:val="en-US" w:eastAsia="zh-CN" w:bidi="ar-SA"/>
              </w:rPr>
              <w:t>m</w:t>
            </w:r>
          </w:p>
        </w:tc>
        <w:tc>
          <w:tcPr>
            <w:tcW w:w="549" w:type="pct"/>
            <w:tcBorders>
              <w:tl2br w:val="nil"/>
              <w:tr2bl w:val="nil"/>
            </w:tcBorders>
            <w:noWrap w:val="0"/>
            <w:vAlign w:val="center"/>
          </w:tcPr>
          <w:p w14:paraId="09258472">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pacing w:val="-6"/>
                <w:sz w:val="18"/>
                <w:szCs w:val="18"/>
                <w:highlight w:val="none"/>
                <w:lang w:val="en-US" w:eastAsia="zh-CN" w:bidi="ar-SA"/>
              </w:rPr>
              <w:t>石油烃</w:t>
            </w:r>
          </w:p>
        </w:tc>
        <w:tc>
          <w:tcPr>
            <w:tcW w:w="488" w:type="pct"/>
            <w:tcBorders>
              <w:tl2br w:val="nil"/>
              <w:tr2bl w:val="nil"/>
            </w:tcBorders>
            <w:noWrap w:val="0"/>
            <w:vAlign w:val="center"/>
          </w:tcPr>
          <w:p w14:paraId="69AA6DA1">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每</w:t>
            </w:r>
            <w:r>
              <w:rPr>
                <w:rFonts w:hint="eastAsia" w:cs="Times New Roman"/>
                <w:color w:val="auto"/>
                <w:sz w:val="18"/>
                <w:szCs w:val="18"/>
                <w:highlight w:val="none"/>
                <w:lang w:val="en-US" w:eastAsia="zh-CN" w:bidi="ar-SA"/>
              </w:rPr>
              <w:t>3</w:t>
            </w:r>
            <w:r>
              <w:rPr>
                <w:rFonts w:hint="default" w:ascii="Times New Roman" w:hAnsi="Times New Roman" w:eastAsia="宋体" w:cs="Times New Roman"/>
                <w:color w:val="auto"/>
                <w:sz w:val="18"/>
                <w:szCs w:val="18"/>
                <w:highlight w:val="none"/>
                <w:lang w:val="en-US" w:eastAsia="zh-CN" w:bidi="ar-SA"/>
              </w:rPr>
              <w:t>年1次</w:t>
            </w:r>
          </w:p>
        </w:tc>
        <w:tc>
          <w:tcPr>
            <w:tcW w:w="847" w:type="pct"/>
            <w:vMerge w:val="continue"/>
            <w:tcBorders>
              <w:tl2br w:val="nil"/>
              <w:tr2bl w:val="nil"/>
            </w:tcBorders>
            <w:noWrap w:val="0"/>
            <w:vAlign w:val="center"/>
          </w:tcPr>
          <w:p w14:paraId="1E39ECD5">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p>
        </w:tc>
      </w:tr>
      <w:tr w14:paraId="54D37B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3" w:type="pct"/>
            <w:vMerge w:val="continue"/>
            <w:tcBorders>
              <w:tl2br w:val="nil"/>
              <w:tr2bl w:val="nil"/>
            </w:tcBorders>
            <w:noWrap w:val="0"/>
            <w:vAlign w:val="center"/>
          </w:tcPr>
          <w:p w14:paraId="00C82B5F">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p>
        </w:tc>
        <w:tc>
          <w:tcPr>
            <w:tcW w:w="845" w:type="pct"/>
            <w:tcBorders>
              <w:tl2br w:val="nil"/>
              <w:tr2bl w:val="nil"/>
            </w:tcBorders>
            <w:noWrap w:val="0"/>
            <w:vAlign w:val="center"/>
          </w:tcPr>
          <w:p w14:paraId="18319DC0">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信息公开指标</w:t>
            </w:r>
          </w:p>
        </w:tc>
        <w:tc>
          <w:tcPr>
            <w:tcW w:w="3073" w:type="pct"/>
            <w:gridSpan w:val="8"/>
            <w:tcBorders>
              <w:tl2br w:val="nil"/>
              <w:tr2bl w:val="nil"/>
            </w:tcBorders>
            <w:noWrap w:val="0"/>
            <w:vAlign w:val="center"/>
          </w:tcPr>
          <w:p w14:paraId="12CAA1E4">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w:t>
            </w:r>
          </w:p>
        </w:tc>
        <w:tc>
          <w:tcPr>
            <w:tcW w:w="847" w:type="pct"/>
            <w:vMerge w:val="continue"/>
            <w:tcBorders>
              <w:tl2br w:val="nil"/>
              <w:tr2bl w:val="nil"/>
            </w:tcBorders>
            <w:noWrap w:val="0"/>
            <w:vAlign w:val="center"/>
          </w:tcPr>
          <w:p w14:paraId="5F8D8D47">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p>
        </w:tc>
      </w:tr>
      <w:tr w14:paraId="0B1A00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9" w:type="pct"/>
            <w:gridSpan w:val="2"/>
            <w:tcBorders>
              <w:tl2br w:val="nil"/>
              <w:tr2bl w:val="nil"/>
            </w:tcBorders>
            <w:noWrap w:val="0"/>
            <w:vAlign w:val="center"/>
          </w:tcPr>
          <w:p w14:paraId="170E9CA2">
            <w:pPr>
              <w:keepNext w:val="0"/>
              <w:keepLines w:val="0"/>
              <w:pageBreakBefore w:val="0"/>
              <w:kinsoku/>
              <w:wordWrap/>
              <w:overflowPunct/>
              <w:topLinePunct w:val="0"/>
              <w:autoSpaceDE/>
              <w:autoSpaceDN/>
              <w:bidi w:val="0"/>
              <w:adjustRightInd w:val="0"/>
              <w:snapToGrid w:val="0"/>
              <w:spacing w:line="240" w:lineRule="exact"/>
              <w:ind w:left="0" w:leftChars="0" w:right="-31" w:rightChars="-15" w:firstLine="0" w:firstLineChars="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评价结论</w:t>
            </w:r>
          </w:p>
        </w:tc>
        <w:tc>
          <w:tcPr>
            <w:tcW w:w="3073" w:type="pct"/>
            <w:gridSpan w:val="8"/>
            <w:tcBorders>
              <w:tl2br w:val="nil"/>
              <w:tr2bl w:val="nil"/>
            </w:tcBorders>
            <w:noWrap w:val="0"/>
            <w:vAlign w:val="center"/>
          </w:tcPr>
          <w:p w14:paraId="1265FF5B">
            <w:pPr>
              <w:keepNext w:val="0"/>
              <w:keepLines w:val="0"/>
              <w:pageBreakBefore w:val="0"/>
              <w:kinsoku/>
              <w:wordWrap/>
              <w:overflowPunct/>
              <w:topLinePunct w:val="0"/>
              <w:autoSpaceDE/>
              <w:autoSpaceDN/>
              <w:bidi w:val="0"/>
              <w:adjustRightInd w:val="0"/>
              <w:snapToGrid w:val="0"/>
              <w:spacing w:line="240" w:lineRule="exact"/>
              <w:ind w:right="-31" w:rightChars="-15"/>
              <w:jc w:val="left"/>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在工程做好分区防渗、定期监测、严格执行本次环评提出的污染防治措施的前提下</w:t>
            </w:r>
            <w:r>
              <w:rPr>
                <w:rFonts w:hint="eastAsia" w:ascii="Times New Roman" w:hAnsi="Times New Roman" w:eastAsia="宋体" w:cs="Times New Roman"/>
                <w:color w:val="auto"/>
                <w:sz w:val="18"/>
                <w:szCs w:val="18"/>
                <w:highlight w:val="none"/>
                <w:lang w:val="en-US" w:eastAsia="zh-CN" w:bidi="ar-SA"/>
              </w:rPr>
              <w:t>本工程</w:t>
            </w:r>
            <w:r>
              <w:rPr>
                <w:rFonts w:hint="default" w:ascii="Times New Roman" w:hAnsi="Times New Roman" w:eastAsia="宋体" w:cs="Times New Roman"/>
                <w:color w:val="auto"/>
                <w:sz w:val="18"/>
                <w:szCs w:val="18"/>
                <w:highlight w:val="none"/>
                <w:lang w:val="en-US" w:eastAsia="zh-CN" w:bidi="ar-SA"/>
              </w:rPr>
              <w:t>对土壤环境影响可接受</w:t>
            </w:r>
          </w:p>
        </w:tc>
        <w:tc>
          <w:tcPr>
            <w:tcW w:w="847" w:type="pct"/>
            <w:tcBorders>
              <w:tl2br w:val="nil"/>
              <w:tr2bl w:val="nil"/>
            </w:tcBorders>
            <w:noWrap w:val="0"/>
            <w:vAlign w:val="center"/>
          </w:tcPr>
          <w:p w14:paraId="36D8B4FA">
            <w:pPr>
              <w:keepNext w:val="0"/>
              <w:keepLines w:val="0"/>
              <w:pageBreakBefore w:val="0"/>
              <w:kinsoku/>
              <w:wordWrap/>
              <w:overflowPunct/>
              <w:topLinePunct w:val="0"/>
              <w:autoSpaceDE/>
              <w:autoSpaceDN/>
              <w:bidi w:val="0"/>
              <w:adjustRightInd w:val="0"/>
              <w:snapToGrid w:val="0"/>
              <w:spacing w:line="240" w:lineRule="exact"/>
              <w:ind w:left="-31" w:leftChars="-15" w:right="-31" w:rightChars="-15" w:firstLine="420"/>
              <w:jc w:val="center"/>
              <w:textAlignment w:val="baseline"/>
              <w:rPr>
                <w:rFonts w:hint="default" w:ascii="Times New Roman" w:hAnsi="Times New Roman" w:eastAsia="宋体" w:cs="Times New Roman"/>
                <w:color w:val="auto"/>
                <w:sz w:val="18"/>
                <w:szCs w:val="18"/>
                <w:highlight w:val="none"/>
                <w:lang w:val="en-US" w:eastAsia="zh-CN" w:bidi="ar-SA"/>
              </w:rPr>
            </w:pPr>
          </w:p>
        </w:tc>
      </w:tr>
      <w:tr w14:paraId="3ACDD6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11"/>
            <w:tcBorders>
              <w:tl2br w:val="nil"/>
              <w:tr2bl w:val="nil"/>
            </w:tcBorders>
            <w:noWrap w:val="0"/>
            <w:vAlign w:val="center"/>
          </w:tcPr>
          <w:p w14:paraId="6BF4E51B">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jc w:val="left"/>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注1：</w:t>
            </w:r>
            <w:r>
              <w:rPr>
                <w:rFonts w:hint="eastAsia" w:cs="Times New Roman"/>
                <w:color w:val="auto"/>
                <w:sz w:val="18"/>
                <w:szCs w:val="18"/>
                <w:highlight w:val="none"/>
                <w:lang w:val="en-US" w:eastAsia="zh-CN" w:bidi="ar-SA"/>
              </w:rPr>
              <w:t>“</w:t>
            </w:r>
            <w:r>
              <w:rPr>
                <w:rFonts w:hint="default" w:ascii="Times New Roman" w:hAnsi="Times New Roman" w:eastAsia="宋体" w:cs="Times New Roman"/>
                <w:color w:val="auto"/>
                <w:sz w:val="18"/>
                <w:szCs w:val="18"/>
                <w:highlight w:val="none"/>
                <w:lang w:val="en-US" w:eastAsia="zh-CN" w:bidi="ar-SA"/>
              </w:rPr>
              <w:t>□</w:t>
            </w:r>
            <w:r>
              <w:rPr>
                <w:rFonts w:hint="eastAsia" w:cs="Times New Roman"/>
                <w:color w:val="auto"/>
                <w:sz w:val="18"/>
                <w:szCs w:val="18"/>
                <w:highlight w:val="none"/>
                <w:lang w:val="en-US" w:eastAsia="zh-CN" w:bidi="ar-SA"/>
              </w:rPr>
              <w:t>”</w:t>
            </w:r>
            <w:r>
              <w:rPr>
                <w:rFonts w:hint="default" w:ascii="Times New Roman" w:hAnsi="Times New Roman" w:eastAsia="宋体" w:cs="Times New Roman"/>
                <w:color w:val="auto"/>
                <w:sz w:val="18"/>
                <w:szCs w:val="18"/>
                <w:highlight w:val="none"/>
                <w:lang w:val="en-US" w:eastAsia="zh-CN" w:bidi="ar-SA"/>
              </w:rPr>
              <w:t>为勾选项，可√；</w:t>
            </w:r>
            <w:r>
              <w:rPr>
                <w:rFonts w:hint="eastAsia" w:cs="Times New Roman"/>
                <w:color w:val="auto"/>
                <w:sz w:val="18"/>
                <w:szCs w:val="18"/>
                <w:highlight w:val="none"/>
                <w:lang w:val="en-US" w:eastAsia="zh-CN" w:bidi="ar-SA"/>
              </w:rPr>
              <w:t>“</w:t>
            </w:r>
            <w:r>
              <w:rPr>
                <w:rFonts w:hint="default" w:ascii="Times New Roman" w:hAnsi="Times New Roman" w:eastAsia="宋体" w:cs="Times New Roman"/>
                <w:color w:val="auto"/>
                <w:sz w:val="18"/>
                <w:szCs w:val="18"/>
                <w:highlight w:val="none"/>
                <w:lang w:val="en-US" w:eastAsia="zh-CN" w:bidi="ar-SA"/>
              </w:rPr>
              <w:t>（）</w:t>
            </w:r>
            <w:r>
              <w:rPr>
                <w:rFonts w:hint="eastAsia" w:cs="Times New Roman"/>
                <w:color w:val="auto"/>
                <w:sz w:val="18"/>
                <w:szCs w:val="18"/>
                <w:highlight w:val="none"/>
                <w:lang w:val="en-US" w:eastAsia="zh-CN" w:bidi="ar-SA"/>
              </w:rPr>
              <w:t>”</w:t>
            </w:r>
            <w:r>
              <w:rPr>
                <w:rFonts w:hint="default" w:ascii="Times New Roman" w:hAnsi="Times New Roman" w:eastAsia="宋体" w:cs="Times New Roman"/>
                <w:color w:val="auto"/>
                <w:sz w:val="18"/>
                <w:szCs w:val="18"/>
                <w:highlight w:val="none"/>
                <w:lang w:val="en-US" w:eastAsia="zh-CN" w:bidi="ar-SA"/>
              </w:rPr>
              <w:t>为内容填写项；</w:t>
            </w:r>
            <w:r>
              <w:rPr>
                <w:rFonts w:hint="eastAsia" w:cs="Times New Roman"/>
                <w:color w:val="auto"/>
                <w:sz w:val="18"/>
                <w:szCs w:val="18"/>
                <w:highlight w:val="none"/>
                <w:lang w:val="en-US" w:eastAsia="zh-CN" w:bidi="ar-SA"/>
              </w:rPr>
              <w:t>“</w:t>
            </w:r>
            <w:r>
              <w:rPr>
                <w:rFonts w:hint="default" w:ascii="Times New Roman" w:hAnsi="Times New Roman" w:eastAsia="宋体" w:cs="Times New Roman"/>
                <w:color w:val="auto"/>
                <w:sz w:val="18"/>
                <w:szCs w:val="18"/>
                <w:highlight w:val="none"/>
                <w:lang w:val="en-US" w:eastAsia="zh-CN" w:bidi="ar-SA"/>
              </w:rPr>
              <w:t>备注</w:t>
            </w:r>
            <w:r>
              <w:rPr>
                <w:rFonts w:hint="eastAsia" w:cs="Times New Roman"/>
                <w:color w:val="auto"/>
                <w:sz w:val="18"/>
                <w:szCs w:val="18"/>
                <w:highlight w:val="none"/>
                <w:lang w:val="en-US" w:eastAsia="zh-CN" w:bidi="ar-SA"/>
              </w:rPr>
              <w:t>”</w:t>
            </w:r>
            <w:r>
              <w:rPr>
                <w:rFonts w:hint="default" w:ascii="Times New Roman" w:hAnsi="Times New Roman" w:eastAsia="宋体" w:cs="Times New Roman"/>
                <w:color w:val="auto"/>
                <w:sz w:val="18"/>
                <w:szCs w:val="18"/>
                <w:highlight w:val="none"/>
                <w:lang w:val="en-US" w:eastAsia="zh-CN" w:bidi="ar-SA"/>
              </w:rPr>
              <w:t>为其他补充内容。</w:t>
            </w:r>
          </w:p>
          <w:p w14:paraId="65C07BAE">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jc w:val="left"/>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bidi="ar-SA"/>
              </w:rPr>
              <w:t>注2：需要分别开展土壤环境影响评价等级工作的，分别填写自查表。</w:t>
            </w:r>
          </w:p>
        </w:tc>
      </w:tr>
    </w:tbl>
    <w:p w14:paraId="18F9DBD3">
      <w:pPr>
        <w:pStyle w:val="75"/>
        <w:bidi w:val="0"/>
        <w:rPr>
          <w:rFonts w:hint="eastAsia"/>
          <w:color w:val="auto"/>
          <w:lang w:eastAsia="zh-CN"/>
        </w:rPr>
      </w:pPr>
      <w:bookmarkStart w:id="644" w:name="_Toc4359"/>
      <w:r>
        <w:rPr>
          <w:rFonts w:hint="default"/>
          <w:color w:val="auto"/>
        </w:rPr>
        <w:t>5.</w:t>
      </w:r>
      <w:r>
        <w:rPr>
          <w:rFonts w:hint="eastAsia"/>
          <w:color w:val="auto"/>
          <w:lang w:val="en-US" w:eastAsia="zh-CN"/>
        </w:rPr>
        <w:t>4</w:t>
      </w:r>
      <w:r>
        <w:rPr>
          <w:rFonts w:hint="default"/>
          <w:color w:val="auto"/>
        </w:rPr>
        <w:t xml:space="preserve"> 大气环境影响分析</w:t>
      </w:r>
      <w:bookmarkEnd w:id="632"/>
      <w:bookmarkEnd w:id="633"/>
      <w:bookmarkEnd w:id="644"/>
    </w:p>
    <w:p w14:paraId="5E870B90">
      <w:pPr>
        <w:pStyle w:val="54"/>
        <w:bidi w:val="0"/>
        <w:rPr>
          <w:rFonts w:hint="default"/>
          <w:color w:val="auto"/>
        </w:rPr>
      </w:pPr>
      <w:bookmarkStart w:id="645" w:name="_Toc13532"/>
      <w:r>
        <w:rPr>
          <w:rFonts w:hint="default"/>
          <w:color w:val="auto"/>
        </w:rPr>
        <w:t>5.</w:t>
      </w:r>
      <w:r>
        <w:rPr>
          <w:rFonts w:hint="eastAsia"/>
          <w:color w:val="auto"/>
          <w:lang w:val="en-US" w:eastAsia="zh-CN"/>
        </w:rPr>
        <w:t>4</w:t>
      </w:r>
      <w:r>
        <w:rPr>
          <w:rFonts w:hint="default"/>
          <w:color w:val="auto"/>
        </w:rPr>
        <w:t>.1 施工期</w:t>
      </w:r>
      <w:r>
        <w:rPr>
          <w:rFonts w:hint="eastAsia"/>
          <w:color w:val="auto"/>
          <w:lang w:val="en-US" w:eastAsia="zh-CN"/>
        </w:rPr>
        <w:t>大气环境</w:t>
      </w:r>
      <w:r>
        <w:rPr>
          <w:rFonts w:hint="default"/>
          <w:color w:val="auto"/>
        </w:rPr>
        <w:t>影响分析</w:t>
      </w:r>
    </w:p>
    <w:p w14:paraId="5EA0D2B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eastAsia="zh-CN"/>
        </w:rPr>
        <w:t>本项目施工期产生的废气主要为汽车尾气排放、施工扬尘及施工焊接废气。</w:t>
      </w:r>
    </w:p>
    <w:p w14:paraId="687F874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eastAsia="zh-CN"/>
        </w:rPr>
        <w:t>（1）施工机械及运输车辆尾气影响分析</w:t>
      </w:r>
    </w:p>
    <w:p w14:paraId="58B9E48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eastAsia="zh-CN"/>
        </w:rPr>
        <w:t>施工机械及运输车辆所排放的废气主要污染物为NO</w:t>
      </w:r>
      <w:r>
        <w:rPr>
          <w:rFonts w:hint="default" w:ascii="Times New Roman" w:hAnsi="Times New Roman" w:eastAsia="宋体" w:cs="Times New Roman"/>
          <w:color w:val="auto"/>
          <w:kern w:val="0"/>
          <w:sz w:val="24"/>
          <w:szCs w:val="24"/>
          <w:highlight w:val="none"/>
          <w:vertAlign w:val="subscript"/>
          <w:lang w:eastAsia="zh-CN"/>
        </w:rPr>
        <w:t>x</w:t>
      </w:r>
      <w:r>
        <w:rPr>
          <w:rFonts w:hint="default" w:ascii="Times New Roman" w:hAnsi="Times New Roman" w:eastAsia="宋体" w:cs="Times New Roman"/>
          <w:color w:val="auto"/>
          <w:kern w:val="0"/>
          <w:sz w:val="24"/>
          <w:szCs w:val="24"/>
          <w:highlight w:val="none"/>
          <w:lang w:eastAsia="zh-CN"/>
        </w:rPr>
        <w:t>、CO、SO</w:t>
      </w:r>
      <w:r>
        <w:rPr>
          <w:rFonts w:hint="default" w:ascii="Times New Roman" w:hAnsi="Times New Roman" w:eastAsia="宋体" w:cs="Times New Roman"/>
          <w:color w:val="auto"/>
          <w:kern w:val="0"/>
          <w:sz w:val="24"/>
          <w:szCs w:val="24"/>
          <w:highlight w:val="none"/>
          <w:vertAlign w:val="subscript"/>
          <w:lang w:eastAsia="zh-CN"/>
        </w:rPr>
        <w:t>2</w:t>
      </w:r>
      <w:r>
        <w:rPr>
          <w:rFonts w:hint="default" w:ascii="Times New Roman" w:hAnsi="Times New Roman" w:eastAsia="宋体" w:cs="Times New Roman"/>
          <w:color w:val="auto"/>
          <w:kern w:val="0"/>
          <w:sz w:val="24"/>
          <w:szCs w:val="24"/>
          <w:highlight w:val="none"/>
          <w:lang w:eastAsia="zh-CN"/>
        </w:rPr>
        <w:t>、THC等。在空间上和时间上具有较集中的特点，在局部的范围内污染物的浓度较高。本项目所在区域扩散条件良好，施工机械及运输车辆产生的尾气很快被空气稀释，且大气污染物随钻井工程的结束而消失，井场进入采油阶段，区域空气环境质量将会有所改善。</w:t>
      </w:r>
    </w:p>
    <w:p w14:paraId="23D4210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eastAsia="zh-CN"/>
        </w:rPr>
        <w:t>（2）运输车辆扬尘影响分析</w:t>
      </w:r>
    </w:p>
    <w:p w14:paraId="43B6C77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eastAsia="zh-CN"/>
        </w:rPr>
        <w:t>施工期运输车辆产生扬尘，采用洒水降尘，在施工场地实施每天洒水抑尘作业4～5次，其扬尘造成的污染距离可缩小到20～50m范围，由此车辆产生的扬尘对周围环境影响较小。从影响时间、范围和程度来看，施工车辆废气对周围大气环境质量影响是有限的。</w:t>
      </w:r>
    </w:p>
    <w:p w14:paraId="147CD09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eastAsia="zh-CN"/>
        </w:rPr>
        <w:t>在</w:t>
      </w:r>
      <w:r>
        <w:rPr>
          <w:rFonts w:hint="eastAsia" w:cs="Times New Roman"/>
          <w:color w:val="auto"/>
          <w:kern w:val="0"/>
          <w:sz w:val="24"/>
          <w:szCs w:val="24"/>
          <w:highlight w:val="none"/>
          <w:lang w:eastAsia="zh-CN"/>
        </w:rPr>
        <w:t>油田</w:t>
      </w:r>
      <w:r>
        <w:rPr>
          <w:rFonts w:hint="default" w:ascii="Times New Roman" w:hAnsi="Times New Roman" w:eastAsia="宋体" w:cs="Times New Roman"/>
          <w:color w:val="auto"/>
          <w:kern w:val="0"/>
          <w:sz w:val="24"/>
          <w:szCs w:val="24"/>
          <w:highlight w:val="none"/>
          <w:lang w:eastAsia="zh-CN"/>
        </w:rPr>
        <w:t>区块开发前期，由于主要进行地面建筑、道路等施工，区块内大量出入中型车辆，因此区块内道路主要为砂石路，车辆行驶的扬尘污染较重，要求适当洒水降尘，减轻污染。合理规划、选择最短的运输路线，利用</w:t>
      </w:r>
      <w:r>
        <w:rPr>
          <w:rFonts w:hint="eastAsia" w:cs="Times New Roman"/>
          <w:color w:val="auto"/>
          <w:kern w:val="0"/>
          <w:sz w:val="24"/>
          <w:szCs w:val="24"/>
          <w:highlight w:val="none"/>
          <w:lang w:eastAsia="zh-CN"/>
        </w:rPr>
        <w:t>油田</w:t>
      </w:r>
      <w:r>
        <w:rPr>
          <w:rFonts w:hint="default" w:ascii="Times New Roman" w:hAnsi="Times New Roman" w:eastAsia="宋体" w:cs="Times New Roman"/>
          <w:color w:val="auto"/>
          <w:kern w:val="0"/>
          <w:sz w:val="24"/>
          <w:szCs w:val="24"/>
          <w:highlight w:val="none"/>
          <w:lang w:eastAsia="zh-CN"/>
        </w:rPr>
        <w:t>现有公路网络，禁止随意开辟道路，运输车辆应以中、低速行驶，减少车辆行驶动力起尘。随</w:t>
      </w:r>
      <w:r>
        <w:rPr>
          <w:rFonts w:hint="eastAsia" w:cs="Times New Roman"/>
          <w:color w:val="auto"/>
          <w:kern w:val="0"/>
          <w:sz w:val="24"/>
          <w:szCs w:val="24"/>
          <w:highlight w:val="none"/>
          <w:lang w:eastAsia="zh-CN"/>
        </w:rPr>
        <w:t>油田</w:t>
      </w:r>
      <w:r>
        <w:rPr>
          <w:rFonts w:hint="default" w:ascii="Times New Roman" w:hAnsi="Times New Roman" w:eastAsia="宋体" w:cs="Times New Roman"/>
          <w:color w:val="auto"/>
          <w:kern w:val="0"/>
          <w:sz w:val="24"/>
          <w:szCs w:val="24"/>
          <w:highlight w:val="none"/>
          <w:lang w:eastAsia="zh-CN"/>
        </w:rPr>
        <w:t>开发进入产液期，区块道路路面硬化，这部分扬尘影响大大减轻。</w:t>
      </w:r>
    </w:p>
    <w:p w14:paraId="2A973CB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eastAsia="zh-CN"/>
        </w:rPr>
        <w:t>（3）地面工程施工过程中扬尘影响分析</w:t>
      </w:r>
    </w:p>
    <w:p w14:paraId="3891017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eastAsia="zh-CN"/>
        </w:rPr>
        <w:t>施工扬尘污染主要来自：①管沟、地基开挖、土地平整等施工过程，遇大风天气，会造成粉尘、扬尘等大气污染；②水泥、砂石、混凝土等建筑材料的运输、装卸和仓储过程不可避免会产生一定的泄漏，产生扬尘污染；③灰土拌和、混凝土拌和加工都会产生扬尘和粉尘；④物料运输车辆在施工场地运行过程中将产生大量尘土。</w:t>
      </w:r>
    </w:p>
    <w:p w14:paraId="10620F3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eastAsia="zh-CN"/>
        </w:rPr>
        <w:t>施工期扬尘最大产生时间将出现在土方开挖阶段，由于该阶段裸露浮土较多，产尘量较大。由于本工程的土方运输量较大，比较容易造成物料沿路撒落后风吹起尘，同时随着大型车辆的行驶和碾压，在工程区内和道路上较易带起扬尘，污染环境。因此必须做到施工现场及场外道路泥土及时清理，减少二次扬尘。</w:t>
      </w:r>
    </w:p>
    <w:p w14:paraId="1CB86F0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eastAsia="zh-CN"/>
        </w:rPr>
        <w:t>工程施工在混合土工序阶段，灰土拌和、混凝土拌和是扬尘的主要来源。必须采取封闭作业或洒水措施，控制扬尘量。</w:t>
      </w:r>
    </w:p>
    <w:p w14:paraId="674BD04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eastAsia="zh-CN"/>
        </w:rPr>
        <w:t>（4）施工焊接废气影响分析</w:t>
      </w:r>
    </w:p>
    <w:p w14:paraId="3307F3C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eastAsia="zh-CN"/>
        </w:rPr>
        <w:t>本工程管线施工分段进行，管道连接过程产生的焊接废气的排放具有排放量小且较分散等特点，对环境影响较小。</w:t>
      </w:r>
    </w:p>
    <w:p w14:paraId="21AE91F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color w:val="auto"/>
          <w:kern w:val="0"/>
          <w:sz w:val="24"/>
          <w:szCs w:val="24"/>
          <w:highlight w:val="none"/>
          <w:lang w:eastAsia="zh-CN"/>
        </w:rPr>
        <w:t>综上所述，施工期产生的污染是暂时性的，对环境的影响随着施工期的结束而消失，项目周边无集中固定人群居住，从影响时间、范围和程度来看，施工期废气对周围大气环境质量影响较小。</w:t>
      </w:r>
    </w:p>
    <w:p w14:paraId="55FA04AB">
      <w:pPr>
        <w:pStyle w:val="54"/>
        <w:bidi w:val="0"/>
        <w:rPr>
          <w:color w:val="auto"/>
          <w:lang w:val="en-US" w:eastAsia="zh-CN"/>
        </w:rPr>
      </w:pPr>
      <w:r>
        <w:rPr>
          <w:color w:val="auto"/>
          <w:lang w:val="en-US" w:eastAsia="zh-CN"/>
        </w:rPr>
        <w:t>5.</w:t>
      </w:r>
      <w:r>
        <w:rPr>
          <w:rFonts w:hint="eastAsia"/>
          <w:color w:val="auto"/>
          <w:lang w:val="en-US" w:eastAsia="zh-CN"/>
        </w:rPr>
        <w:t>4</w:t>
      </w:r>
      <w:r>
        <w:rPr>
          <w:color w:val="auto"/>
          <w:lang w:val="en-US" w:eastAsia="zh-CN"/>
        </w:rPr>
        <w:t>.</w:t>
      </w:r>
      <w:r>
        <w:rPr>
          <w:rFonts w:hint="eastAsia"/>
          <w:color w:val="auto"/>
          <w:lang w:val="en-US" w:eastAsia="zh-CN"/>
        </w:rPr>
        <w:t xml:space="preserve">2 </w:t>
      </w:r>
      <w:r>
        <w:rPr>
          <w:color w:val="auto"/>
          <w:lang w:val="en-US" w:eastAsia="zh-CN"/>
        </w:rPr>
        <w:t>运营期大气环境影响分析</w:t>
      </w:r>
    </w:p>
    <w:p w14:paraId="7B072292">
      <w:pPr>
        <w:pStyle w:val="55"/>
        <w:bidi w:val="0"/>
        <w:rPr>
          <w:rFonts w:hint="default"/>
          <w:color w:val="auto"/>
        </w:rPr>
      </w:pPr>
      <w:bookmarkStart w:id="646" w:name="_Toc313911369"/>
      <w:bookmarkStart w:id="647" w:name="_Toc330418828"/>
      <w:bookmarkStart w:id="648" w:name="_Toc330419043"/>
      <w:bookmarkStart w:id="649" w:name="_Toc332317972"/>
      <w:bookmarkStart w:id="650" w:name="_Toc312149054"/>
      <w:bookmarkStart w:id="651" w:name="_Toc329026175"/>
      <w:r>
        <w:rPr>
          <w:rFonts w:hint="default"/>
          <w:color w:val="auto"/>
        </w:rPr>
        <w:t>5.</w:t>
      </w:r>
      <w:r>
        <w:rPr>
          <w:rFonts w:hint="eastAsia"/>
          <w:color w:val="auto"/>
          <w:lang w:val="en-US" w:eastAsia="zh-CN"/>
        </w:rPr>
        <w:t>4</w:t>
      </w:r>
      <w:r>
        <w:rPr>
          <w:rFonts w:hint="default"/>
          <w:color w:val="auto"/>
        </w:rPr>
        <w:t>.2.1区域地面污染气象特征分析</w:t>
      </w:r>
      <w:bookmarkEnd w:id="646"/>
      <w:bookmarkEnd w:id="647"/>
      <w:bookmarkEnd w:id="648"/>
      <w:bookmarkEnd w:id="649"/>
      <w:bookmarkEnd w:id="650"/>
      <w:bookmarkEnd w:id="651"/>
    </w:p>
    <w:p w14:paraId="2639E2B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w:t>
      </w:r>
      <w:r>
        <w:rPr>
          <w:rFonts w:hint="default"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rPr>
        <w:t>大气环境影响评价等级为二级，按《环境影响评价技术导则 大气环境》（HJ 2.2-2018）要求只分析常规地面气象资料统计特征量。本工程</w:t>
      </w:r>
      <w:r>
        <w:rPr>
          <w:rFonts w:hint="eastAsia" w:ascii="Times New Roman" w:hAnsi="Times New Roman" w:eastAsia="宋体" w:cs="Times New Roman"/>
          <w:color w:val="auto"/>
          <w:sz w:val="24"/>
          <w:szCs w:val="24"/>
          <w:lang w:val="en-US" w:eastAsia="zh-CN"/>
        </w:rPr>
        <w:t>井场、</w:t>
      </w:r>
      <w:r>
        <w:rPr>
          <w:rFonts w:hint="eastAsia" w:cs="Times New Roman"/>
          <w:color w:val="auto"/>
          <w:sz w:val="24"/>
          <w:szCs w:val="24"/>
          <w:lang w:val="en-US" w:eastAsia="zh-CN"/>
        </w:rPr>
        <w:t>雄探1试采点</w:t>
      </w:r>
      <w:r>
        <w:rPr>
          <w:rFonts w:hint="eastAsia" w:ascii="Times New Roman" w:hAnsi="Times New Roman" w:eastAsia="宋体" w:cs="Times New Roman"/>
          <w:color w:val="auto"/>
          <w:sz w:val="24"/>
          <w:szCs w:val="24"/>
          <w:lang w:val="en-US" w:eastAsia="zh-CN"/>
        </w:rPr>
        <w:t>均</w:t>
      </w:r>
      <w:r>
        <w:rPr>
          <w:rFonts w:hint="default" w:ascii="Times New Roman" w:hAnsi="Times New Roman" w:eastAsia="宋体" w:cs="Times New Roman"/>
          <w:color w:val="auto"/>
          <w:sz w:val="24"/>
          <w:szCs w:val="24"/>
        </w:rPr>
        <w:t>位于阿克苏地区</w:t>
      </w:r>
      <w:r>
        <w:rPr>
          <w:rFonts w:hint="default" w:ascii="Times New Roman" w:hAnsi="Times New Roman" w:eastAsia="宋体" w:cs="Times New Roman"/>
          <w:color w:val="auto"/>
          <w:sz w:val="24"/>
          <w:szCs w:val="24"/>
          <w:lang w:val="en-US" w:eastAsia="zh-CN"/>
        </w:rPr>
        <w:t>温宿</w:t>
      </w:r>
      <w:r>
        <w:rPr>
          <w:rFonts w:hint="default" w:ascii="Times New Roman" w:hAnsi="Times New Roman" w:eastAsia="宋体" w:cs="Times New Roman"/>
          <w:color w:val="auto"/>
          <w:sz w:val="24"/>
          <w:szCs w:val="24"/>
        </w:rPr>
        <w:t>县境内。本次收集了</w:t>
      </w:r>
      <w:r>
        <w:rPr>
          <w:rFonts w:hint="default" w:ascii="Times New Roman" w:hAnsi="Times New Roman" w:eastAsia="宋体" w:cs="Times New Roman"/>
          <w:color w:val="auto"/>
          <w:sz w:val="24"/>
          <w:szCs w:val="24"/>
          <w:lang w:val="en-US" w:eastAsia="zh-CN"/>
        </w:rPr>
        <w:t>温宿</w:t>
      </w:r>
      <w:r>
        <w:rPr>
          <w:rFonts w:hint="default" w:ascii="Times New Roman" w:hAnsi="Times New Roman" w:eastAsia="宋体" w:cs="Times New Roman"/>
          <w:color w:val="auto"/>
          <w:sz w:val="24"/>
          <w:szCs w:val="24"/>
        </w:rPr>
        <w:t>县近20年的地面观测数据进行统计分析。</w:t>
      </w:r>
    </w:p>
    <w:p w14:paraId="03E157E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（1）风速</w:t>
      </w:r>
    </w:p>
    <w:p w14:paraId="16B00BA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温宿</w:t>
      </w:r>
      <w:r>
        <w:rPr>
          <w:rFonts w:hint="default" w:ascii="Times New Roman" w:hAnsi="Times New Roman" w:eastAsia="宋体" w:cs="Times New Roman"/>
          <w:color w:val="auto"/>
          <w:sz w:val="24"/>
          <w:szCs w:val="24"/>
        </w:rPr>
        <w:t>县气象站的年平均风速为1.</w:t>
      </w:r>
      <w:r>
        <w:rPr>
          <w:rFonts w:hint="default" w:ascii="Times New Roman" w:hAnsi="Times New Roman" w:eastAsia="宋体" w:cs="Times New Roman"/>
          <w:color w:val="auto"/>
          <w:sz w:val="24"/>
          <w:szCs w:val="24"/>
          <w:lang w:val="en-US" w:eastAsia="zh-CN"/>
        </w:rPr>
        <w:t>97</w:t>
      </w:r>
      <w:r>
        <w:rPr>
          <w:rFonts w:hint="default" w:ascii="Times New Roman" w:hAnsi="Times New Roman" w:eastAsia="宋体" w:cs="Times New Roman"/>
          <w:color w:val="auto"/>
          <w:sz w:val="24"/>
          <w:szCs w:val="24"/>
        </w:rPr>
        <w:t>m/s，春夏季风速最大，其中以6月份和7月份风速最大（</w:t>
      </w:r>
      <w:r>
        <w:rPr>
          <w:rFonts w:hint="default" w:ascii="Times New Roman" w:hAnsi="Times New Roman" w:eastAsia="宋体" w:cs="Times New Roman"/>
          <w:color w:val="auto"/>
          <w:sz w:val="24"/>
          <w:szCs w:val="24"/>
          <w:lang w:val="en-US" w:eastAsia="zh-CN"/>
        </w:rPr>
        <w:t>2.45</w:t>
      </w:r>
      <w:r>
        <w:rPr>
          <w:rFonts w:hint="default" w:ascii="Times New Roman" w:hAnsi="Times New Roman" w:eastAsia="宋体" w:cs="Times New Roman"/>
          <w:color w:val="auto"/>
          <w:sz w:val="24"/>
          <w:szCs w:val="24"/>
        </w:rPr>
        <w:t>m/s），以1</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月份风速最小（1.</w:t>
      </w:r>
      <w:r>
        <w:rPr>
          <w:rFonts w:hint="default" w:ascii="Times New Roman" w:hAnsi="Times New Roman" w:eastAsia="宋体" w:cs="Times New Roman"/>
          <w:color w:val="auto"/>
          <w:sz w:val="24"/>
          <w:szCs w:val="24"/>
          <w:lang w:val="en-US" w:eastAsia="zh-CN"/>
        </w:rPr>
        <w:t>36</w:t>
      </w:r>
      <w:r>
        <w:rPr>
          <w:rFonts w:hint="default" w:ascii="Times New Roman" w:hAnsi="Times New Roman" w:eastAsia="宋体" w:cs="Times New Roman"/>
          <w:color w:val="auto"/>
          <w:sz w:val="24"/>
          <w:szCs w:val="24"/>
        </w:rPr>
        <w:t>m/s），区域内近20年各月平均风速统计见表5.</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rPr>
        <w:t>-1。平均风速的全年各月变化曲线见图5.</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rPr>
        <w:t>-1。</w:t>
      </w:r>
    </w:p>
    <w:p w14:paraId="4728E1B4">
      <w:pPr>
        <w:pStyle w:val="61"/>
        <w:bidi w:val="0"/>
        <w:jc w:val="both"/>
        <w:rPr>
          <w:rFonts w:hint="default"/>
          <w:color w:val="auto"/>
          <w:lang w:val="en-US" w:eastAsia="zh-CN"/>
        </w:rPr>
      </w:pPr>
      <w:r>
        <w:rPr>
          <w:rFonts w:hint="default"/>
          <w:color w:val="auto"/>
          <w:lang w:val="en-US" w:eastAsia="zh-CN"/>
        </w:rPr>
        <w:t>表5.</w:t>
      </w:r>
      <w:r>
        <w:rPr>
          <w:rFonts w:hint="eastAsia"/>
          <w:color w:val="auto"/>
          <w:lang w:val="en-US" w:eastAsia="zh-CN"/>
        </w:rPr>
        <w:t>4</w:t>
      </w:r>
      <w:r>
        <w:rPr>
          <w:rFonts w:hint="default"/>
          <w:color w:val="auto"/>
          <w:lang w:val="en-US" w:eastAsia="zh-CN"/>
        </w:rPr>
        <w:t xml:space="preserve">-1    </w:t>
      </w:r>
      <w:r>
        <w:rPr>
          <w:rFonts w:hint="eastAsia"/>
          <w:color w:val="auto"/>
          <w:lang w:val="en-US" w:eastAsia="zh-CN"/>
        </w:rPr>
        <w:t>温宿</w:t>
      </w:r>
      <w:r>
        <w:rPr>
          <w:rFonts w:hint="default"/>
          <w:color w:val="auto"/>
          <w:lang w:val="en-US" w:eastAsia="zh-CN"/>
        </w:rPr>
        <w:t>县各月平均风速统计表</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49"/>
        <w:gridCol w:w="674"/>
        <w:gridCol w:w="674"/>
        <w:gridCol w:w="674"/>
        <w:gridCol w:w="674"/>
        <w:gridCol w:w="674"/>
        <w:gridCol w:w="674"/>
        <w:gridCol w:w="674"/>
        <w:gridCol w:w="674"/>
        <w:gridCol w:w="674"/>
        <w:gridCol w:w="674"/>
        <w:gridCol w:w="676"/>
        <w:gridCol w:w="669"/>
      </w:tblGrid>
      <w:tr w14:paraId="4F2F8A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4" w:type="pct"/>
            <w:tcBorders>
              <w:tl2br w:val="nil"/>
              <w:tr2bl w:val="nil"/>
            </w:tcBorders>
            <w:noWrap w:val="0"/>
            <w:vAlign w:val="center"/>
          </w:tcPr>
          <w:p w14:paraId="754B4580">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 w:val="21"/>
                <w:szCs w:val="21"/>
                <w:highlight w:val="none"/>
              </w:rPr>
              <w:t>月份</w:t>
            </w:r>
          </w:p>
        </w:tc>
        <w:tc>
          <w:tcPr>
            <w:tcW w:w="381" w:type="pct"/>
            <w:tcBorders>
              <w:tl2br w:val="nil"/>
              <w:tr2bl w:val="nil"/>
            </w:tcBorders>
            <w:noWrap w:val="0"/>
            <w:vAlign w:val="center"/>
          </w:tcPr>
          <w:p w14:paraId="2FC1F1F9">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 w:val="21"/>
                <w:szCs w:val="21"/>
                <w:highlight w:val="none"/>
              </w:rPr>
              <w:t>1月</w:t>
            </w:r>
          </w:p>
        </w:tc>
        <w:tc>
          <w:tcPr>
            <w:tcW w:w="381" w:type="pct"/>
            <w:tcBorders>
              <w:tl2br w:val="nil"/>
              <w:tr2bl w:val="nil"/>
            </w:tcBorders>
            <w:noWrap w:val="0"/>
            <w:vAlign w:val="center"/>
          </w:tcPr>
          <w:p w14:paraId="055E8ABC">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 w:val="21"/>
                <w:szCs w:val="21"/>
                <w:highlight w:val="none"/>
              </w:rPr>
              <w:t>2月</w:t>
            </w:r>
          </w:p>
        </w:tc>
        <w:tc>
          <w:tcPr>
            <w:tcW w:w="381" w:type="pct"/>
            <w:tcBorders>
              <w:tl2br w:val="nil"/>
              <w:tr2bl w:val="nil"/>
            </w:tcBorders>
            <w:noWrap w:val="0"/>
            <w:vAlign w:val="center"/>
          </w:tcPr>
          <w:p w14:paraId="17C539E2">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 w:val="21"/>
                <w:szCs w:val="21"/>
                <w:highlight w:val="none"/>
              </w:rPr>
              <w:t>3月</w:t>
            </w:r>
          </w:p>
        </w:tc>
        <w:tc>
          <w:tcPr>
            <w:tcW w:w="381" w:type="pct"/>
            <w:tcBorders>
              <w:tl2br w:val="nil"/>
              <w:tr2bl w:val="nil"/>
            </w:tcBorders>
            <w:noWrap w:val="0"/>
            <w:vAlign w:val="center"/>
          </w:tcPr>
          <w:p w14:paraId="487BBF13">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 w:val="21"/>
                <w:szCs w:val="21"/>
                <w:highlight w:val="none"/>
              </w:rPr>
              <w:t>4月</w:t>
            </w:r>
          </w:p>
        </w:tc>
        <w:tc>
          <w:tcPr>
            <w:tcW w:w="381" w:type="pct"/>
            <w:tcBorders>
              <w:tl2br w:val="nil"/>
              <w:tr2bl w:val="nil"/>
            </w:tcBorders>
            <w:noWrap w:val="0"/>
            <w:vAlign w:val="center"/>
          </w:tcPr>
          <w:p w14:paraId="16B7A89D">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 w:val="21"/>
                <w:szCs w:val="21"/>
                <w:highlight w:val="none"/>
              </w:rPr>
              <w:t>5月</w:t>
            </w:r>
          </w:p>
        </w:tc>
        <w:tc>
          <w:tcPr>
            <w:tcW w:w="381" w:type="pct"/>
            <w:tcBorders>
              <w:tl2br w:val="nil"/>
              <w:tr2bl w:val="nil"/>
            </w:tcBorders>
            <w:noWrap w:val="0"/>
            <w:vAlign w:val="center"/>
          </w:tcPr>
          <w:p w14:paraId="5114963B">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 w:val="21"/>
                <w:szCs w:val="21"/>
                <w:highlight w:val="none"/>
              </w:rPr>
              <w:t>6月</w:t>
            </w:r>
          </w:p>
        </w:tc>
        <w:tc>
          <w:tcPr>
            <w:tcW w:w="381" w:type="pct"/>
            <w:tcBorders>
              <w:tl2br w:val="nil"/>
              <w:tr2bl w:val="nil"/>
            </w:tcBorders>
            <w:noWrap w:val="0"/>
            <w:vAlign w:val="center"/>
          </w:tcPr>
          <w:p w14:paraId="32642D74">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 w:val="21"/>
                <w:szCs w:val="21"/>
                <w:highlight w:val="none"/>
              </w:rPr>
              <w:t>7月</w:t>
            </w:r>
          </w:p>
        </w:tc>
        <w:tc>
          <w:tcPr>
            <w:tcW w:w="381" w:type="pct"/>
            <w:tcBorders>
              <w:tl2br w:val="nil"/>
              <w:tr2bl w:val="nil"/>
            </w:tcBorders>
            <w:noWrap w:val="0"/>
            <w:vAlign w:val="center"/>
          </w:tcPr>
          <w:p w14:paraId="11E1F71C">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 w:val="21"/>
                <w:szCs w:val="21"/>
                <w:highlight w:val="none"/>
              </w:rPr>
              <w:t>8月</w:t>
            </w:r>
          </w:p>
        </w:tc>
        <w:tc>
          <w:tcPr>
            <w:tcW w:w="381" w:type="pct"/>
            <w:tcBorders>
              <w:tl2br w:val="nil"/>
              <w:tr2bl w:val="nil"/>
            </w:tcBorders>
            <w:noWrap w:val="0"/>
            <w:vAlign w:val="center"/>
          </w:tcPr>
          <w:p w14:paraId="029ACF85">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 w:val="21"/>
                <w:szCs w:val="21"/>
                <w:highlight w:val="none"/>
              </w:rPr>
              <w:t>9月</w:t>
            </w:r>
          </w:p>
        </w:tc>
        <w:tc>
          <w:tcPr>
            <w:tcW w:w="381" w:type="pct"/>
            <w:tcBorders>
              <w:tl2br w:val="nil"/>
              <w:tr2bl w:val="nil"/>
            </w:tcBorders>
            <w:noWrap w:val="0"/>
            <w:vAlign w:val="center"/>
          </w:tcPr>
          <w:p w14:paraId="7DD562AC">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 w:val="21"/>
                <w:szCs w:val="21"/>
                <w:highlight w:val="none"/>
              </w:rPr>
              <w:t>10月</w:t>
            </w:r>
          </w:p>
        </w:tc>
        <w:tc>
          <w:tcPr>
            <w:tcW w:w="382" w:type="pct"/>
            <w:tcBorders>
              <w:tl2br w:val="nil"/>
              <w:tr2bl w:val="nil"/>
            </w:tcBorders>
            <w:noWrap w:val="0"/>
            <w:vAlign w:val="center"/>
          </w:tcPr>
          <w:p w14:paraId="2038C836">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 w:val="21"/>
                <w:szCs w:val="21"/>
                <w:highlight w:val="none"/>
              </w:rPr>
              <w:t>11月</w:t>
            </w:r>
          </w:p>
        </w:tc>
        <w:tc>
          <w:tcPr>
            <w:tcW w:w="378" w:type="pct"/>
            <w:tcBorders>
              <w:tl2br w:val="nil"/>
              <w:tr2bl w:val="nil"/>
            </w:tcBorders>
            <w:noWrap w:val="0"/>
            <w:vAlign w:val="center"/>
          </w:tcPr>
          <w:p w14:paraId="00E73F7B">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 w:val="21"/>
                <w:szCs w:val="21"/>
                <w:highlight w:val="none"/>
              </w:rPr>
              <w:t>12月</w:t>
            </w:r>
          </w:p>
        </w:tc>
      </w:tr>
      <w:tr w14:paraId="24F27A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4" w:type="pct"/>
            <w:tcBorders>
              <w:tl2br w:val="nil"/>
              <w:tr2bl w:val="nil"/>
            </w:tcBorders>
            <w:noWrap w:val="0"/>
            <w:vAlign w:val="center"/>
          </w:tcPr>
          <w:p w14:paraId="02C71790">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 w:val="21"/>
                <w:szCs w:val="21"/>
                <w:highlight w:val="none"/>
              </w:rPr>
              <w:t>风速（m/s）</w:t>
            </w:r>
          </w:p>
        </w:tc>
        <w:tc>
          <w:tcPr>
            <w:tcW w:w="381" w:type="pct"/>
            <w:tcBorders>
              <w:tl2br w:val="nil"/>
              <w:tr2bl w:val="nil"/>
            </w:tcBorders>
            <w:noWrap w:val="0"/>
            <w:vAlign w:val="center"/>
          </w:tcPr>
          <w:p w14:paraId="3760580A">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 w:val="21"/>
                <w:szCs w:val="21"/>
                <w:highlight w:val="none"/>
              </w:rPr>
              <w:t>1.55</w:t>
            </w:r>
          </w:p>
        </w:tc>
        <w:tc>
          <w:tcPr>
            <w:tcW w:w="381" w:type="pct"/>
            <w:tcBorders>
              <w:tl2br w:val="nil"/>
              <w:tr2bl w:val="nil"/>
            </w:tcBorders>
            <w:noWrap w:val="0"/>
            <w:vAlign w:val="center"/>
          </w:tcPr>
          <w:p w14:paraId="7A659F24">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 w:val="21"/>
                <w:szCs w:val="21"/>
                <w:highlight w:val="none"/>
              </w:rPr>
              <w:t>1.85</w:t>
            </w:r>
          </w:p>
        </w:tc>
        <w:tc>
          <w:tcPr>
            <w:tcW w:w="381" w:type="pct"/>
            <w:tcBorders>
              <w:tl2br w:val="nil"/>
              <w:tr2bl w:val="nil"/>
            </w:tcBorders>
            <w:noWrap w:val="0"/>
            <w:vAlign w:val="center"/>
          </w:tcPr>
          <w:p w14:paraId="48C233FC">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 w:val="21"/>
                <w:szCs w:val="21"/>
                <w:highlight w:val="none"/>
              </w:rPr>
              <w:t>2.01</w:t>
            </w:r>
          </w:p>
        </w:tc>
        <w:tc>
          <w:tcPr>
            <w:tcW w:w="381" w:type="pct"/>
            <w:tcBorders>
              <w:tl2br w:val="nil"/>
              <w:tr2bl w:val="nil"/>
            </w:tcBorders>
            <w:noWrap w:val="0"/>
            <w:vAlign w:val="center"/>
          </w:tcPr>
          <w:p w14:paraId="5CADA052">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 w:val="21"/>
                <w:szCs w:val="21"/>
                <w:highlight w:val="none"/>
              </w:rPr>
              <w:t>2.33</w:t>
            </w:r>
          </w:p>
        </w:tc>
        <w:tc>
          <w:tcPr>
            <w:tcW w:w="381" w:type="pct"/>
            <w:tcBorders>
              <w:tl2br w:val="nil"/>
              <w:tr2bl w:val="nil"/>
            </w:tcBorders>
            <w:noWrap w:val="0"/>
            <w:vAlign w:val="center"/>
          </w:tcPr>
          <w:p w14:paraId="21F9C2B7">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 w:val="21"/>
                <w:szCs w:val="21"/>
                <w:highlight w:val="none"/>
              </w:rPr>
              <w:t>2.22</w:t>
            </w:r>
          </w:p>
        </w:tc>
        <w:tc>
          <w:tcPr>
            <w:tcW w:w="381" w:type="pct"/>
            <w:tcBorders>
              <w:tl2br w:val="nil"/>
              <w:tr2bl w:val="nil"/>
            </w:tcBorders>
            <w:noWrap w:val="0"/>
            <w:vAlign w:val="center"/>
          </w:tcPr>
          <w:p w14:paraId="07DCB533">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 w:val="21"/>
                <w:szCs w:val="21"/>
                <w:highlight w:val="none"/>
              </w:rPr>
              <w:t>2.44</w:t>
            </w:r>
          </w:p>
        </w:tc>
        <w:tc>
          <w:tcPr>
            <w:tcW w:w="381" w:type="pct"/>
            <w:tcBorders>
              <w:tl2br w:val="nil"/>
              <w:tr2bl w:val="nil"/>
            </w:tcBorders>
            <w:noWrap w:val="0"/>
            <w:vAlign w:val="center"/>
          </w:tcPr>
          <w:p w14:paraId="616D0B9C">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 w:val="21"/>
                <w:szCs w:val="21"/>
                <w:highlight w:val="none"/>
              </w:rPr>
              <w:t>2.45</w:t>
            </w:r>
          </w:p>
        </w:tc>
        <w:tc>
          <w:tcPr>
            <w:tcW w:w="381" w:type="pct"/>
            <w:tcBorders>
              <w:tl2br w:val="nil"/>
              <w:tr2bl w:val="nil"/>
            </w:tcBorders>
            <w:noWrap w:val="0"/>
            <w:vAlign w:val="center"/>
          </w:tcPr>
          <w:p w14:paraId="17BEB042">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 w:val="21"/>
                <w:szCs w:val="21"/>
                <w:highlight w:val="none"/>
              </w:rPr>
              <w:t>2.17</w:t>
            </w:r>
          </w:p>
        </w:tc>
        <w:tc>
          <w:tcPr>
            <w:tcW w:w="381" w:type="pct"/>
            <w:tcBorders>
              <w:tl2br w:val="nil"/>
              <w:tr2bl w:val="nil"/>
            </w:tcBorders>
            <w:noWrap w:val="0"/>
            <w:vAlign w:val="center"/>
          </w:tcPr>
          <w:p w14:paraId="79063232">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 w:val="21"/>
                <w:szCs w:val="21"/>
                <w:highlight w:val="none"/>
              </w:rPr>
              <w:t>1.91</w:t>
            </w:r>
          </w:p>
        </w:tc>
        <w:tc>
          <w:tcPr>
            <w:tcW w:w="381" w:type="pct"/>
            <w:tcBorders>
              <w:tl2br w:val="nil"/>
              <w:tr2bl w:val="nil"/>
            </w:tcBorders>
            <w:noWrap w:val="0"/>
            <w:vAlign w:val="center"/>
          </w:tcPr>
          <w:p w14:paraId="0B089763">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 w:val="21"/>
                <w:szCs w:val="21"/>
                <w:highlight w:val="none"/>
              </w:rPr>
              <w:t>1.81</w:t>
            </w:r>
          </w:p>
        </w:tc>
        <w:tc>
          <w:tcPr>
            <w:tcW w:w="382" w:type="pct"/>
            <w:tcBorders>
              <w:tl2br w:val="nil"/>
              <w:tr2bl w:val="nil"/>
            </w:tcBorders>
            <w:noWrap w:val="0"/>
            <w:vAlign w:val="center"/>
          </w:tcPr>
          <w:p w14:paraId="42F7B2A6">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 w:val="21"/>
                <w:szCs w:val="21"/>
                <w:highlight w:val="none"/>
              </w:rPr>
              <w:t>1.55</w:t>
            </w:r>
          </w:p>
        </w:tc>
        <w:tc>
          <w:tcPr>
            <w:tcW w:w="378" w:type="pct"/>
            <w:tcBorders>
              <w:tl2br w:val="nil"/>
              <w:tr2bl w:val="nil"/>
            </w:tcBorders>
            <w:noWrap w:val="0"/>
            <w:vAlign w:val="center"/>
          </w:tcPr>
          <w:p w14:paraId="07803219">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 w:val="21"/>
                <w:szCs w:val="21"/>
                <w:highlight w:val="none"/>
              </w:rPr>
              <w:t>1.36</w:t>
            </w:r>
          </w:p>
        </w:tc>
      </w:tr>
    </w:tbl>
    <w:p w14:paraId="741444DA">
      <w:pPr>
        <w:keepNext w:val="0"/>
        <w:keepLines w:val="0"/>
        <w:pageBreakBefore w:val="0"/>
        <w:widowControl w:val="0"/>
        <w:kinsoku/>
        <w:bidi w:val="0"/>
        <w:spacing w:line="360" w:lineRule="auto"/>
        <w:jc w:val="center"/>
        <w:rPr>
          <w:rFonts w:hint="default" w:ascii="Times New Roman" w:hAnsi="Times New Roman" w:cs="Times New Roman"/>
          <w:b/>
          <w:color w:val="auto"/>
          <w:kern w:val="0"/>
          <w:sz w:val="24"/>
          <w:szCs w:val="24"/>
          <w:highlight w:val="none"/>
        </w:rPr>
      </w:pPr>
    </w:p>
    <w:p w14:paraId="7CCE558A">
      <w:pPr>
        <w:keepNext w:val="0"/>
        <w:keepLines w:val="0"/>
        <w:pageBreakBefore w:val="0"/>
        <w:widowControl w:val="0"/>
        <w:kinsoku/>
        <w:bidi w:val="0"/>
        <w:spacing w:line="360" w:lineRule="auto"/>
        <w:jc w:val="center"/>
        <w:rPr>
          <w:rFonts w:hint="default" w:ascii="Times New Roman" w:hAnsi="Times New Roman" w:cs="Times New Roman"/>
          <w:b/>
          <w:color w:val="auto"/>
          <w:kern w:val="0"/>
          <w:sz w:val="24"/>
          <w:szCs w:val="24"/>
          <w:highlight w:val="none"/>
        </w:rPr>
      </w:pPr>
    </w:p>
    <w:p w14:paraId="2E69BC84">
      <w:pPr>
        <w:keepNext w:val="0"/>
        <w:keepLines w:val="0"/>
        <w:pageBreakBefore w:val="0"/>
        <w:widowControl w:val="0"/>
        <w:kinsoku/>
        <w:bidi w:val="0"/>
        <w:spacing w:line="360" w:lineRule="auto"/>
        <w:jc w:val="center"/>
        <w:rPr>
          <w:rFonts w:hint="default" w:ascii="Times New Roman" w:hAnsi="Times New Roman" w:cs="Times New Roman"/>
          <w:b/>
          <w:color w:val="auto"/>
          <w:kern w:val="0"/>
          <w:sz w:val="24"/>
          <w:szCs w:val="24"/>
          <w:highlight w:val="none"/>
        </w:rPr>
      </w:pPr>
    </w:p>
    <w:p w14:paraId="00E39DD2">
      <w:pPr>
        <w:keepNext w:val="0"/>
        <w:keepLines w:val="0"/>
        <w:pageBreakBefore w:val="0"/>
        <w:widowControl w:val="0"/>
        <w:kinsoku/>
        <w:bidi w:val="0"/>
        <w:spacing w:line="360" w:lineRule="auto"/>
        <w:jc w:val="center"/>
        <w:rPr>
          <w:rFonts w:hint="default" w:ascii="Times New Roman" w:hAnsi="Times New Roman" w:cs="Times New Roman"/>
          <w:b/>
          <w:color w:val="auto"/>
          <w:kern w:val="0"/>
          <w:sz w:val="24"/>
          <w:szCs w:val="24"/>
          <w:highlight w:val="none"/>
        </w:rPr>
      </w:pPr>
    </w:p>
    <w:p w14:paraId="6028B455">
      <w:pPr>
        <w:keepNext w:val="0"/>
        <w:keepLines w:val="0"/>
        <w:pageBreakBefore w:val="0"/>
        <w:widowControl w:val="0"/>
        <w:kinsoku/>
        <w:bidi w:val="0"/>
        <w:spacing w:line="360" w:lineRule="auto"/>
        <w:jc w:val="center"/>
        <w:rPr>
          <w:rFonts w:hint="default" w:ascii="Times New Roman" w:hAnsi="Times New Roman" w:cs="Times New Roman"/>
          <w:b/>
          <w:color w:val="auto"/>
          <w:kern w:val="0"/>
          <w:sz w:val="24"/>
          <w:szCs w:val="24"/>
          <w:highlight w:val="none"/>
        </w:rPr>
      </w:pPr>
    </w:p>
    <w:p w14:paraId="1731658A">
      <w:pPr>
        <w:keepNext w:val="0"/>
        <w:keepLines w:val="0"/>
        <w:pageBreakBefore w:val="0"/>
        <w:widowControl w:val="0"/>
        <w:kinsoku/>
        <w:bidi w:val="0"/>
        <w:spacing w:line="360" w:lineRule="auto"/>
        <w:jc w:val="center"/>
        <w:rPr>
          <w:rFonts w:hint="default" w:ascii="Times New Roman" w:hAnsi="Times New Roman" w:cs="Times New Roman"/>
          <w:b/>
          <w:color w:val="auto"/>
          <w:kern w:val="0"/>
          <w:sz w:val="24"/>
          <w:szCs w:val="24"/>
          <w:highlight w:val="none"/>
        </w:rPr>
      </w:pPr>
    </w:p>
    <w:p w14:paraId="3C0CC670">
      <w:pPr>
        <w:keepNext w:val="0"/>
        <w:keepLines w:val="0"/>
        <w:pageBreakBefore w:val="0"/>
        <w:widowControl w:val="0"/>
        <w:kinsoku/>
        <w:bidi w:val="0"/>
        <w:spacing w:line="360" w:lineRule="auto"/>
        <w:jc w:val="center"/>
        <w:rPr>
          <w:rFonts w:hint="default" w:ascii="Times New Roman" w:hAnsi="Times New Roman" w:cs="Times New Roman"/>
          <w:b/>
          <w:color w:val="auto"/>
          <w:kern w:val="0"/>
          <w:sz w:val="24"/>
          <w:szCs w:val="24"/>
          <w:highlight w:val="none"/>
        </w:rPr>
      </w:pPr>
    </w:p>
    <w:p w14:paraId="61D07B44">
      <w:pPr>
        <w:keepNext w:val="0"/>
        <w:keepLines w:val="0"/>
        <w:pageBreakBefore w:val="0"/>
        <w:widowControl w:val="0"/>
        <w:kinsoku/>
        <w:bidi w:val="0"/>
        <w:spacing w:line="360" w:lineRule="auto"/>
        <w:jc w:val="center"/>
        <w:rPr>
          <w:rFonts w:hint="default" w:ascii="Times New Roman" w:hAnsi="Times New Roman" w:cs="Times New Roman"/>
          <w:b/>
          <w:color w:val="auto"/>
          <w:kern w:val="0"/>
          <w:sz w:val="24"/>
          <w:szCs w:val="24"/>
          <w:highlight w:val="none"/>
        </w:rPr>
      </w:pPr>
    </w:p>
    <w:p w14:paraId="497D2C54">
      <w:pPr>
        <w:keepNext w:val="0"/>
        <w:keepLines w:val="0"/>
        <w:pageBreakBefore w:val="0"/>
        <w:widowControl w:val="0"/>
        <w:kinsoku/>
        <w:bidi w:val="0"/>
        <w:spacing w:line="360" w:lineRule="auto"/>
        <w:jc w:val="center"/>
        <w:rPr>
          <w:rFonts w:hint="default" w:ascii="Times New Roman" w:hAnsi="Times New Roman" w:cs="Times New Roman"/>
          <w:b/>
          <w:color w:val="auto"/>
          <w:kern w:val="0"/>
          <w:sz w:val="24"/>
          <w:szCs w:val="24"/>
          <w:highlight w:val="none"/>
        </w:rPr>
      </w:pPr>
    </w:p>
    <w:p w14:paraId="31330CF0">
      <w:pPr>
        <w:pStyle w:val="135"/>
        <w:keepNext w:val="0"/>
        <w:keepLines w:val="0"/>
        <w:pageBreakBefore w:val="0"/>
        <w:widowControl w:val="0"/>
        <w:kinsoku/>
        <w:bidi w:val="0"/>
        <w:spacing w:after="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图5.</w:t>
      </w:r>
      <w:r>
        <w:rPr>
          <w:rFonts w:hint="eastAsia" w:ascii="黑体" w:hAnsi="黑体" w:eastAsia="黑体" w:cs="黑体"/>
          <w:color w:val="auto"/>
          <w:sz w:val="24"/>
          <w:szCs w:val="24"/>
          <w:highlight w:val="none"/>
          <w:lang w:val="en-US" w:eastAsia="zh-CN"/>
        </w:rPr>
        <w:t>4</w:t>
      </w:r>
      <w:r>
        <w:rPr>
          <w:rFonts w:hint="eastAsia" w:ascii="黑体" w:hAnsi="黑体" w:eastAsia="黑体" w:cs="黑体"/>
          <w:color w:val="auto"/>
          <w:sz w:val="24"/>
          <w:szCs w:val="24"/>
          <w:highlight w:val="none"/>
        </w:rPr>
        <w:t xml:space="preserve">-1    </w:t>
      </w:r>
      <w:r>
        <w:rPr>
          <w:rFonts w:hint="eastAsia" w:ascii="黑体" w:hAnsi="黑体" w:eastAsia="黑体" w:cs="黑体"/>
          <w:color w:val="auto"/>
          <w:sz w:val="24"/>
          <w:szCs w:val="24"/>
          <w:highlight w:val="none"/>
          <w:lang w:val="en-US" w:eastAsia="zh-CN"/>
        </w:rPr>
        <w:t>温宿</w:t>
      </w:r>
      <w:r>
        <w:rPr>
          <w:rFonts w:hint="eastAsia" w:ascii="黑体" w:hAnsi="黑体" w:eastAsia="黑体" w:cs="黑体"/>
          <w:color w:val="auto"/>
          <w:sz w:val="24"/>
          <w:szCs w:val="24"/>
          <w:highlight w:val="none"/>
        </w:rPr>
        <w:t>县全年各月风速变化曲线</w:t>
      </w:r>
    </w:p>
    <w:p w14:paraId="18656EFF">
      <w:pPr>
        <w:pStyle w:val="79"/>
        <w:bidi w:val="0"/>
        <w:rPr>
          <w:rFonts w:hint="default"/>
          <w:color w:val="auto"/>
        </w:rPr>
      </w:pPr>
      <w:r>
        <w:rPr>
          <w:rFonts w:hint="default"/>
          <w:color w:val="auto"/>
        </w:rPr>
        <w:t>（2）风向、风频</w:t>
      </w:r>
    </w:p>
    <w:p w14:paraId="36257273">
      <w:pPr>
        <w:pStyle w:val="79"/>
        <w:bidi w:val="0"/>
        <w:rPr>
          <w:rFonts w:hint="default"/>
          <w:color w:val="auto"/>
        </w:rPr>
      </w:pPr>
      <w:r>
        <w:rPr>
          <w:rFonts w:hint="default"/>
          <w:color w:val="auto"/>
        </w:rPr>
        <w:t>大气污染物的传输与扩散受地面风向风速的影响，风向决定了污染物被输送的方向以及被污染区域的方位，而风速的大小则影响大气污染物的扩散稀释速度。一般在风向频率较大的方位其下风向的轴线区域污染物浓度较大。</w:t>
      </w:r>
    </w:p>
    <w:p w14:paraId="3291B8A8">
      <w:pPr>
        <w:pStyle w:val="79"/>
        <w:bidi w:val="0"/>
        <w:rPr>
          <w:rFonts w:hint="default"/>
          <w:color w:val="auto"/>
        </w:rPr>
      </w:pPr>
      <w:r>
        <w:rPr>
          <w:rFonts w:hint="default"/>
          <w:color w:val="auto"/>
          <w:lang w:val="en-US" w:eastAsia="zh-CN"/>
        </w:rPr>
        <w:t>温宿</w:t>
      </w:r>
      <w:r>
        <w:rPr>
          <w:rFonts w:hint="default"/>
          <w:color w:val="auto"/>
        </w:rPr>
        <w:t>县各季及全年各风向频率统计情况见表5.</w:t>
      </w:r>
      <w:r>
        <w:rPr>
          <w:rFonts w:hint="eastAsia"/>
          <w:color w:val="auto"/>
          <w:lang w:val="en-US" w:eastAsia="zh-CN"/>
        </w:rPr>
        <w:t>4</w:t>
      </w:r>
      <w:r>
        <w:rPr>
          <w:rFonts w:hint="default"/>
          <w:color w:val="auto"/>
        </w:rPr>
        <w:t>-2，风向频率玫瑰见图5.</w:t>
      </w:r>
      <w:r>
        <w:rPr>
          <w:rFonts w:hint="eastAsia"/>
          <w:color w:val="auto"/>
          <w:lang w:val="en-US" w:eastAsia="zh-CN"/>
        </w:rPr>
        <w:t>4</w:t>
      </w:r>
      <w:r>
        <w:rPr>
          <w:rFonts w:hint="default"/>
          <w:color w:val="auto"/>
        </w:rPr>
        <w:t>-2。</w:t>
      </w:r>
    </w:p>
    <w:p w14:paraId="391D4382">
      <w:pPr>
        <w:keepNext w:val="0"/>
        <w:keepLines w:val="0"/>
        <w:pageBreakBefore w:val="0"/>
        <w:widowControl w:val="0"/>
        <w:kinsoku/>
        <w:bidi w:val="0"/>
        <w:adjustRightInd w:val="0"/>
        <w:snapToGrid w:val="0"/>
        <w:spacing w:line="360" w:lineRule="auto"/>
        <w:jc w:val="center"/>
        <w:rPr>
          <w:rFonts w:hint="default" w:ascii="Times New Roman" w:hAnsi="Times New Roman" w:cs="Times New Roman"/>
          <w:b/>
          <w:color w:val="auto"/>
          <w:kern w:val="0"/>
          <w:sz w:val="24"/>
          <w:szCs w:val="24"/>
          <w:highlight w:val="none"/>
        </w:rPr>
      </w:pPr>
    </w:p>
    <w:p w14:paraId="0707F5D6">
      <w:pPr>
        <w:keepNext w:val="0"/>
        <w:keepLines w:val="0"/>
        <w:pageBreakBefore w:val="0"/>
        <w:widowControl w:val="0"/>
        <w:kinsoku/>
        <w:bidi w:val="0"/>
        <w:adjustRightInd w:val="0"/>
        <w:snapToGrid w:val="0"/>
        <w:spacing w:line="360" w:lineRule="auto"/>
        <w:jc w:val="center"/>
        <w:rPr>
          <w:rFonts w:hint="default" w:ascii="Times New Roman" w:hAnsi="Times New Roman" w:cs="Times New Roman"/>
          <w:b/>
          <w:color w:val="auto"/>
          <w:kern w:val="0"/>
          <w:sz w:val="24"/>
          <w:szCs w:val="24"/>
          <w:highlight w:val="none"/>
        </w:rPr>
      </w:pPr>
    </w:p>
    <w:p w14:paraId="4E904B6B">
      <w:pPr>
        <w:keepNext w:val="0"/>
        <w:keepLines w:val="0"/>
        <w:pageBreakBefore w:val="0"/>
        <w:widowControl w:val="0"/>
        <w:kinsoku/>
        <w:bidi w:val="0"/>
        <w:adjustRightInd w:val="0"/>
        <w:snapToGrid w:val="0"/>
        <w:spacing w:line="360" w:lineRule="auto"/>
        <w:jc w:val="center"/>
        <w:rPr>
          <w:rFonts w:hint="default" w:ascii="Times New Roman" w:hAnsi="Times New Roman" w:cs="Times New Roman"/>
          <w:b/>
          <w:color w:val="auto"/>
          <w:kern w:val="0"/>
          <w:sz w:val="24"/>
          <w:szCs w:val="24"/>
          <w:highlight w:val="none"/>
        </w:rPr>
      </w:pPr>
    </w:p>
    <w:p w14:paraId="5DD4A03D">
      <w:pPr>
        <w:keepNext w:val="0"/>
        <w:keepLines w:val="0"/>
        <w:pageBreakBefore w:val="0"/>
        <w:widowControl w:val="0"/>
        <w:kinsoku/>
        <w:bidi w:val="0"/>
        <w:adjustRightInd w:val="0"/>
        <w:snapToGrid w:val="0"/>
        <w:spacing w:line="360" w:lineRule="auto"/>
        <w:jc w:val="center"/>
        <w:rPr>
          <w:rFonts w:hint="default" w:ascii="Times New Roman" w:hAnsi="Times New Roman" w:cs="Times New Roman"/>
          <w:b/>
          <w:color w:val="auto"/>
          <w:kern w:val="0"/>
          <w:sz w:val="24"/>
          <w:szCs w:val="24"/>
          <w:highlight w:val="none"/>
        </w:rPr>
      </w:pPr>
    </w:p>
    <w:p w14:paraId="0F737C56">
      <w:pPr>
        <w:keepNext w:val="0"/>
        <w:keepLines w:val="0"/>
        <w:pageBreakBefore w:val="0"/>
        <w:widowControl w:val="0"/>
        <w:kinsoku/>
        <w:bidi w:val="0"/>
        <w:adjustRightInd w:val="0"/>
        <w:snapToGrid w:val="0"/>
        <w:spacing w:line="360" w:lineRule="auto"/>
        <w:jc w:val="center"/>
        <w:rPr>
          <w:rFonts w:hint="default" w:ascii="Times New Roman" w:hAnsi="Times New Roman" w:cs="Times New Roman"/>
          <w:b/>
          <w:color w:val="auto"/>
          <w:kern w:val="0"/>
          <w:sz w:val="24"/>
          <w:szCs w:val="24"/>
          <w:highlight w:val="none"/>
        </w:rPr>
      </w:pPr>
    </w:p>
    <w:p w14:paraId="76930DC5">
      <w:pPr>
        <w:keepNext w:val="0"/>
        <w:keepLines w:val="0"/>
        <w:pageBreakBefore w:val="0"/>
        <w:widowControl w:val="0"/>
        <w:kinsoku/>
        <w:bidi w:val="0"/>
        <w:adjustRightInd w:val="0"/>
        <w:snapToGrid w:val="0"/>
        <w:spacing w:line="360" w:lineRule="auto"/>
        <w:jc w:val="center"/>
        <w:rPr>
          <w:rFonts w:hint="default" w:ascii="Times New Roman" w:hAnsi="Times New Roman" w:cs="Times New Roman"/>
          <w:b/>
          <w:color w:val="auto"/>
          <w:kern w:val="0"/>
          <w:sz w:val="24"/>
          <w:szCs w:val="24"/>
          <w:highlight w:val="none"/>
        </w:rPr>
      </w:pPr>
    </w:p>
    <w:p w14:paraId="7C4F2671">
      <w:pPr>
        <w:keepNext w:val="0"/>
        <w:keepLines w:val="0"/>
        <w:pageBreakBefore w:val="0"/>
        <w:widowControl w:val="0"/>
        <w:kinsoku/>
        <w:bidi w:val="0"/>
        <w:adjustRightInd w:val="0"/>
        <w:snapToGrid w:val="0"/>
        <w:spacing w:line="360" w:lineRule="auto"/>
        <w:jc w:val="center"/>
        <w:rPr>
          <w:rFonts w:hint="default" w:ascii="Times New Roman" w:hAnsi="Times New Roman" w:cs="Times New Roman"/>
          <w:b/>
          <w:color w:val="auto"/>
          <w:kern w:val="0"/>
          <w:sz w:val="24"/>
          <w:szCs w:val="24"/>
          <w:highlight w:val="none"/>
        </w:rPr>
      </w:pPr>
    </w:p>
    <w:p w14:paraId="2779916F">
      <w:pPr>
        <w:keepNext w:val="0"/>
        <w:keepLines w:val="0"/>
        <w:pageBreakBefore w:val="0"/>
        <w:widowControl w:val="0"/>
        <w:kinsoku/>
        <w:bidi w:val="0"/>
        <w:adjustRightInd w:val="0"/>
        <w:snapToGrid w:val="0"/>
        <w:spacing w:line="360" w:lineRule="auto"/>
        <w:jc w:val="center"/>
        <w:rPr>
          <w:rFonts w:hint="default" w:ascii="Times New Roman" w:hAnsi="Times New Roman" w:cs="Times New Roman"/>
          <w:b/>
          <w:color w:val="auto"/>
          <w:kern w:val="0"/>
          <w:sz w:val="24"/>
          <w:szCs w:val="24"/>
          <w:highlight w:val="none"/>
        </w:rPr>
      </w:pPr>
    </w:p>
    <w:p w14:paraId="0A520DC3">
      <w:pPr>
        <w:keepNext w:val="0"/>
        <w:keepLines w:val="0"/>
        <w:pageBreakBefore w:val="0"/>
        <w:widowControl w:val="0"/>
        <w:kinsoku/>
        <w:bidi w:val="0"/>
        <w:adjustRightInd w:val="0"/>
        <w:snapToGrid w:val="0"/>
        <w:spacing w:line="360" w:lineRule="auto"/>
        <w:jc w:val="center"/>
        <w:rPr>
          <w:rFonts w:hint="default" w:ascii="Times New Roman" w:hAnsi="Times New Roman" w:cs="Times New Roman"/>
          <w:b/>
          <w:color w:val="auto"/>
          <w:kern w:val="0"/>
          <w:sz w:val="24"/>
          <w:szCs w:val="24"/>
          <w:highlight w:val="none"/>
        </w:rPr>
      </w:pPr>
    </w:p>
    <w:p w14:paraId="7941BC4D">
      <w:pPr>
        <w:keepNext w:val="0"/>
        <w:keepLines w:val="0"/>
        <w:pageBreakBefore w:val="0"/>
        <w:widowControl w:val="0"/>
        <w:kinsoku/>
        <w:bidi w:val="0"/>
        <w:adjustRightInd w:val="0"/>
        <w:snapToGrid w:val="0"/>
        <w:spacing w:line="360" w:lineRule="auto"/>
        <w:jc w:val="center"/>
        <w:rPr>
          <w:rFonts w:hint="default" w:ascii="Times New Roman" w:hAnsi="Times New Roman" w:cs="Times New Roman"/>
          <w:b/>
          <w:color w:val="auto"/>
          <w:kern w:val="0"/>
          <w:sz w:val="24"/>
          <w:szCs w:val="24"/>
          <w:highlight w:val="none"/>
        </w:rPr>
      </w:pPr>
    </w:p>
    <w:p w14:paraId="7C99E666">
      <w:pPr>
        <w:keepNext w:val="0"/>
        <w:keepLines w:val="0"/>
        <w:pageBreakBefore w:val="0"/>
        <w:widowControl w:val="0"/>
        <w:kinsoku/>
        <w:bidi w:val="0"/>
        <w:adjustRightInd w:val="0"/>
        <w:snapToGrid w:val="0"/>
        <w:spacing w:line="360" w:lineRule="auto"/>
        <w:jc w:val="center"/>
        <w:rPr>
          <w:rFonts w:hint="default" w:ascii="Times New Roman" w:hAnsi="Times New Roman" w:cs="Times New Roman"/>
          <w:b/>
          <w:color w:val="auto"/>
          <w:kern w:val="0"/>
          <w:sz w:val="24"/>
          <w:szCs w:val="24"/>
          <w:highlight w:val="none"/>
        </w:rPr>
      </w:pPr>
    </w:p>
    <w:p w14:paraId="793E78D1">
      <w:pPr>
        <w:keepNext w:val="0"/>
        <w:keepLines w:val="0"/>
        <w:pageBreakBefore w:val="0"/>
        <w:widowControl w:val="0"/>
        <w:kinsoku/>
        <w:bidi w:val="0"/>
        <w:adjustRightInd w:val="0"/>
        <w:snapToGrid w:val="0"/>
        <w:spacing w:line="360" w:lineRule="auto"/>
        <w:jc w:val="center"/>
        <w:rPr>
          <w:rFonts w:hint="default" w:ascii="Times New Roman" w:hAnsi="Times New Roman" w:cs="Times New Roman"/>
          <w:b/>
          <w:color w:val="auto"/>
          <w:kern w:val="0"/>
          <w:sz w:val="24"/>
          <w:szCs w:val="24"/>
          <w:highlight w:val="none"/>
        </w:rPr>
      </w:pPr>
    </w:p>
    <w:p w14:paraId="1C72BA20">
      <w:pPr>
        <w:keepNext w:val="0"/>
        <w:keepLines w:val="0"/>
        <w:pageBreakBefore w:val="0"/>
        <w:widowControl w:val="0"/>
        <w:kinsoku/>
        <w:bidi w:val="0"/>
        <w:adjustRightInd w:val="0"/>
        <w:snapToGrid w:val="0"/>
        <w:spacing w:line="360" w:lineRule="auto"/>
        <w:jc w:val="center"/>
        <w:rPr>
          <w:rFonts w:hint="default" w:ascii="Times New Roman" w:hAnsi="Times New Roman" w:cs="Times New Roman"/>
          <w:b/>
          <w:color w:val="auto"/>
          <w:kern w:val="0"/>
          <w:sz w:val="24"/>
          <w:szCs w:val="24"/>
          <w:highlight w:val="none"/>
        </w:rPr>
      </w:pPr>
    </w:p>
    <w:p w14:paraId="22521D01">
      <w:pPr>
        <w:keepNext w:val="0"/>
        <w:keepLines w:val="0"/>
        <w:pageBreakBefore w:val="0"/>
        <w:widowControl w:val="0"/>
        <w:kinsoku/>
        <w:bidi w:val="0"/>
        <w:adjustRightInd w:val="0"/>
        <w:snapToGrid w:val="0"/>
        <w:spacing w:line="360" w:lineRule="auto"/>
        <w:jc w:val="center"/>
        <w:rPr>
          <w:rFonts w:hint="default" w:ascii="Times New Roman" w:hAnsi="Times New Roman" w:cs="Times New Roman"/>
          <w:b/>
          <w:color w:val="auto"/>
          <w:kern w:val="0"/>
          <w:sz w:val="24"/>
          <w:szCs w:val="24"/>
          <w:highlight w:val="none"/>
        </w:rPr>
      </w:pPr>
    </w:p>
    <w:p w14:paraId="4D6014AF">
      <w:pPr>
        <w:keepNext w:val="0"/>
        <w:keepLines w:val="0"/>
        <w:pageBreakBefore w:val="0"/>
        <w:widowControl w:val="0"/>
        <w:kinsoku/>
        <w:bidi w:val="0"/>
        <w:adjustRightInd w:val="0"/>
        <w:snapToGrid w:val="0"/>
        <w:spacing w:line="360" w:lineRule="auto"/>
        <w:jc w:val="center"/>
        <w:rPr>
          <w:rFonts w:hint="default" w:ascii="Times New Roman" w:hAnsi="Times New Roman" w:cs="Times New Roman"/>
          <w:b/>
          <w:color w:val="auto"/>
          <w:kern w:val="0"/>
          <w:sz w:val="24"/>
          <w:szCs w:val="24"/>
          <w:highlight w:val="none"/>
        </w:rPr>
      </w:pPr>
    </w:p>
    <w:p w14:paraId="44988C0D">
      <w:pPr>
        <w:keepNext w:val="0"/>
        <w:keepLines w:val="0"/>
        <w:pageBreakBefore w:val="0"/>
        <w:widowControl w:val="0"/>
        <w:kinsoku/>
        <w:bidi w:val="0"/>
        <w:adjustRightInd w:val="0"/>
        <w:snapToGrid w:val="0"/>
        <w:spacing w:line="360" w:lineRule="auto"/>
        <w:jc w:val="center"/>
        <w:rPr>
          <w:rFonts w:hint="default" w:ascii="Times New Roman" w:hAnsi="Times New Roman" w:cs="Times New Roman"/>
          <w:b/>
          <w:color w:val="auto"/>
          <w:kern w:val="0"/>
          <w:sz w:val="24"/>
          <w:szCs w:val="24"/>
          <w:highlight w:val="none"/>
        </w:rPr>
      </w:pPr>
    </w:p>
    <w:p w14:paraId="4C2219EB">
      <w:pPr>
        <w:keepNext w:val="0"/>
        <w:keepLines w:val="0"/>
        <w:pageBreakBefore w:val="0"/>
        <w:widowControl w:val="0"/>
        <w:kinsoku/>
        <w:bidi w:val="0"/>
        <w:adjustRightInd w:val="0"/>
        <w:snapToGrid w:val="0"/>
        <w:spacing w:line="360" w:lineRule="auto"/>
        <w:jc w:val="center"/>
        <w:rPr>
          <w:rFonts w:hint="default" w:ascii="Times New Roman" w:hAnsi="Times New Roman" w:cs="Times New Roman"/>
          <w:b/>
          <w:color w:val="auto"/>
          <w:kern w:val="0"/>
          <w:sz w:val="24"/>
          <w:szCs w:val="24"/>
          <w:highlight w:val="none"/>
        </w:rPr>
      </w:pPr>
    </w:p>
    <w:p w14:paraId="72EB2097">
      <w:pPr>
        <w:keepNext w:val="0"/>
        <w:keepLines w:val="0"/>
        <w:pageBreakBefore w:val="0"/>
        <w:widowControl w:val="0"/>
        <w:kinsoku/>
        <w:bidi w:val="0"/>
        <w:adjustRightInd w:val="0"/>
        <w:snapToGrid w:val="0"/>
        <w:spacing w:line="360" w:lineRule="auto"/>
        <w:jc w:val="center"/>
        <w:rPr>
          <w:rFonts w:hint="default" w:ascii="Times New Roman" w:hAnsi="Times New Roman" w:cs="Times New Roman"/>
          <w:b/>
          <w:color w:val="auto"/>
          <w:kern w:val="0"/>
          <w:sz w:val="24"/>
          <w:szCs w:val="24"/>
          <w:highlight w:val="none"/>
        </w:rPr>
      </w:pPr>
    </w:p>
    <w:p w14:paraId="40662714">
      <w:pPr>
        <w:keepNext w:val="0"/>
        <w:keepLines w:val="0"/>
        <w:pageBreakBefore w:val="0"/>
        <w:widowControl w:val="0"/>
        <w:kinsoku/>
        <w:bidi w:val="0"/>
        <w:adjustRightInd w:val="0"/>
        <w:snapToGrid w:val="0"/>
        <w:spacing w:line="360" w:lineRule="auto"/>
        <w:jc w:val="center"/>
        <w:rPr>
          <w:rFonts w:hint="default" w:ascii="Times New Roman" w:hAnsi="Times New Roman" w:cs="Times New Roman"/>
          <w:b/>
          <w:color w:val="auto"/>
          <w:kern w:val="0"/>
          <w:sz w:val="24"/>
          <w:szCs w:val="24"/>
          <w:highlight w:val="none"/>
        </w:rPr>
      </w:pPr>
    </w:p>
    <w:p w14:paraId="20626A37">
      <w:pPr>
        <w:keepNext w:val="0"/>
        <w:keepLines w:val="0"/>
        <w:pageBreakBefore w:val="0"/>
        <w:widowControl w:val="0"/>
        <w:kinsoku/>
        <w:bidi w:val="0"/>
        <w:adjustRightInd w:val="0"/>
        <w:snapToGrid w:val="0"/>
        <w:spacing w:line="360" w:lineRule="auto"/>
        <w:jc w:val="center"/>
        <w:rPr>
          <w:rFonts w:hint="default" w:ascii="Times New Roman" w:hAnsi="Times New Roman" w:cs="Times New Roman"/>
          <w:b/>
          <w:color w:val="auto"/>
          <w:kern w:val="0"/>
          <w:sz w:val="24"/>
          <w:szCs w:val="24"/>
          <w:highlight w:val="none"/>
        </w:rPr>
      </w:pPr>
    </w:p>
    <w:p w14:paraId="2E8539B1">
      <w:pPr>
        <w:pStyle w:val="135"/>
        <w:keepNext w:val="0"/>
        <w:keepLines w:val="0"/>
        <w:pageBreakBefore w:val="0"/>
        <w:widowControl w:val="0"/>
        <w:kinsoku/>
        <w:bidi w:val="0"/>
        <w:spacing w:after="0"/>
        <w:rPr>
          <w:rFonts w:hint="eastAsia" w:ascii="黑体" w:hAnsi="黑体" w:eastAsia="黑体" w:cs="黑体"/>
          <w:color w:val="auto"/>
          <w:sz w:val="24"/>
          <w:szCs w:val="24"/>
          <w:highlight w:val="none"/>
        </w:rPr>
      </w:pPr>
      <w:r>
        <w:rPr>
          <w:rFonts w:hint="eastAsia" w:ascii="黑体" w:hAnsi="黑体" w:eastAsia="黑体" w:cs="黑体"/>
          <w:bCs/>
          <w:color w:val="auto"/>
          <w:sz w:val="24"/>
          <w:szCs w:val="24"/>
          <w:highlight w:val="none"/>
        </w:rPr>
        <w:t>图5.</w:t>
      </w:r>
      <w:r>
        <w:rPr>
          <w:rFonts w:hint="eastAsia" w:ascii="黑体" w:hAnsi="黑体" w:eastAsia="黑体" w:cs="黑体"/>
          <w:bCs/>
          <w:color w:val="auto"/>
          <w:sz w:val="24"/>
          <w:szCs w:val="24"/>
          <w:highlight w:val="none"/>
          <w:lang w:val="en-US" w:eastAsia="zh-CN"/>
        </w:rPr>
        <w:t>4</w:t>
      </w:r>
      <w:r>
        <w:rPr>
          <w:rFonts w:hint="eastAsia" w:ascii="黑体" w:hAnsi="黑体" w:eastAsia="黑体" w:cs="黑体"/>
          <w:bCs/>
          <w:color w:val="auto"/>
          <w:sz w:val="24"/>
          <w:szCs w:val="24"/>
          <w:highlight w:val="none"/>
        </w:rPr>
        <w:t>-2</w:t>
      </w:r>
      <w:r>
        <w:rPr>
          <w:rFonts w:hint="eastAsia" w:ascii="黑体" w:hAnsi="黑体" w:eastAsia="黑体" w:cs="黑体"/>
          <w:bCs/>
          <w:color w:val="auto"/>
          <w:sz w:val="24"/>
          <w:szCs w:val="24"/>
          <w:highlight w:val="none"/>
        </w:rPr>
        <w:tab/>
      </w:r>
      <w:r>
        <w:rPr>
          <w:rFonts w:hint="eastAsia" w:ascii="黑体" w:hAnsi="黑体" w:eastAsia="黑体" w:cs="黑体"/>
          <w:bCs/>
          <w:color w:val="auto"/>
          <w:sz w:val="24"/>
          <w:szCs w:val="24"/>
          <w:highlight w:val="none"/>
        </w:rPr>
        <w:t xml:space="preserve">   </w:t>
      </w:r>
      <w:r>
        <w:rPr>
          <w:rFonts w:hint="eastAsia" w:ascii="黑体" w:hAnsi="黑体" w:eastAsia="黑体" w:cs="黑体"/>
          <w:bCs/>
          <w:color w:val="auto"/>
          <w:sz w:val="24"/>
          <w:szCs w:val="24"/>
          <w:highlight w:val="none"/>
          <w:lang w:val="en-US" w:eastAsia="zh-CN"/>
        </w:rPr>
        <w:t>温宿</w:t>
      </w:r>
      <w:r>
        <w:rPr>
          <w:rFonts w:hint="eastAsia" w:ascii="黑体" w:hAnsi="黑体" w:eastAsia="黑体" w:cs="黑体"/>
          <w:bCs/>
          <w:color w:val="auto"/>
          <w:sz w:val="24"/>
          <w:szCs w:val="24"/>
          <w:highlight w:val="none"/>
        </w:rPr>
        <w:t>县各季、全年风向玫瑰图</w:t>
      </w:r>
    </w:p>
    <w:p w14:paraId="46E61740">
      <w:pPr>
        <w:adjustRightInd w:val="0"/>
        <w:snapToGrid w:val="0"/>
        <w:rPr>
          <w:rFonts w:hint="eastAsia" w:ascii="黑体" w:hAnsi="黑体" w:eastAsia="黑体" w:cs="黑体"/>
          <w:color w:val="auto"/>
          <w:sz w:val="24"/>
          <w:szCs w:val="24"/>
          <w:highlight w:val="none"/>
        </w:rPr>
        <w:sectPr>
          <w:pgSz w:w="11906"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AndChars" w:linePitch="316" w:charSpace="0"/>
        </w:sectPr>
      </w:pPr>
    </w:p>
    <w:p w14:paraId="5E919406">
      <w:pPr>
        <w:pStyle w:val="61"/>
        <w:bidi w:val="0"/>
        <w:jc w:val="both"/>
        <w:rPr>
          <w:rFonts w:hint="default"/>
          <w:color w:val="auto"/>
          <w:lang w:val="en-US" w:eastAsia="zh-CN"/>
        </w:rPr>
      </w:pPr>
      <w:r>
        <w:rPr>
          <w:color w:val="auto"/>
          <w:sz w:val="21"/>
        </w:rPr>
        <mc:AlternateContent>
          <mc:Choice Requires="wps">
            <w:drawing>
              <wp:anchor distT="0" distB="0" distL="114300" distR="114300" simplePos="0" relativeHeight="251705344" behindDoc="0" locked="0" layoutInCell="1" allowOverlap="1">
                <wp:simplePos x="0" y="0"/>
                <wp:positionH relativeFrom="column">
                  <wp:posOffset>-68580</wp:posOffset>
                </wp:positionH>
                <wp:positionV relativeFrom="paragraph">
                  <wp:posOffset>545465</wp:posOffset>
                </wp:positionV>
                <wp:extent cx="954405" cy="282575"/>
                <wp:effectExtent l="1270" t="4445" r="15875" b="17780"/>
                <wp:wrapNone/>
                <wp:docPr id="88" name="直接连接符 88"/>
                <wp:cNvGraphicFramePr/>
                <a:graphic xmlns:a="http://schemas.openxmlformats.org/drawingml/2006/main">
                  <a:graphicData uri="http://schemas.microsoft.com/office/word/2010/wordprocessingShape">
                    <wps:wsp>
                      <wps:cNvCnPr/>
                      <wps:spPr>
                        <a:xfrm>
                          <a:off x="0" y="0"/>
                          <a:ext cx="954405" cy="282575"/>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5.4pt;margin-top:42.95pt;height:22.25pt;width:75.15pt;z-index:251705344;mso-width-relative:page;mso-height-relative:page;" filled="f" stroked="t" coordsize="21600,21600" o:gfxdata="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h8DJq&#10;2gAAAAoBAAAPAAAAAAAAAAEAIAAAACIAAABkcnMvZG93bnJldi54bWxQSwECFAAUAAAACACHTuJA&#10;L7YqGuYBAAC3AwAADgAAAAAAAAABACAAAAApAQAAZHJzL2Uyb0RvYy54bWxQSwUGAAAAAAYABgBZ&#10;AQAAgQUAAAAA&#10;">
                <v:fill on="f" focussize="0,0"/>
                <v:stroke color="#000000 [3213]" miterlimit="8" joinstyle="miter"/>
                <v:imagedata o:title=""/>
                <o:lock v:ext="edit" aspectratio="f"/>
              </v:line>
            </w:pict>
          </mc:Fallback>
        </mc:AlternateContent>
      </w:r>
      <w:r>
        <w:rPr>
          <w:color w:val="auto"/>
          <w:sz w:val="21"/>
        </w:rPr>
        <mc:AlternateContent>
          <mc:Choice Requires="wps">
            <w:drawing>
              <wp:anchor distT="0" distB="0" distL="114300" distR="114300" simplePos="0" relativeHeight="251701248" behindDoc="0" locked="0" layoutInCell="1" allowOverlap="1">
                <wp:simplePos x="0" y="0"/>
                <wp:positionH relativeFrom="column">
                  <wp:posOffset>312420</wp:posOffset>
                </wp:positionH>
                <wp:positionV relativeFrom="paragraph">
                  <wp:posOffset>323215</wp:posOffset>
                </wp:positionV>
                <wp:extent cx="579755" cy="495300"/>
                <wp:effectExtent l="3175" t="3810" r="7620" b="15240"/>
                <wp:wrapNone/>
                <wp:docPr id="73" name="直接连接符 73"/>
                <wp:cNvGraphicFramePr/>
                <a:graphic xmlns:a="http://schemas.openxmlformats.org/drawingml/2006/main">
                  <a:graphicData uri="http://schemas.microsoft.com/office/word/2010/wordprocessingShape">
                    <wps:wsp>
                      <wps:cNvCnPr/>
                      <wps:spPr>
                        <a:xfrm>
                          <a:off x="981075" y="1435735"/>
                          <a:ext cx="579755" cy="495300"/>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4.6pt;margin-top:25.45pt;height:39pt;width:45.65pt;z-index:251701248;mso-width-relative:page;mso-height-relative:page;" filled="f" stroked="t" coordsize="21600,21600" o:gfxdata="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xgB/rZAAAACQEAAA8AAAAAAAAAAQAgAAAAIgAAAGRycy9kb3ducmV2LnhtbFBL&#10;AQIUABQAAAAIAIdO4kBLKLzO9QEAAMIDAAAOAAAAAAAAAAEAIAAAACgBAABkcnMvZTJvRG9jLnht&#10;bFBLBQYAAAAABgAGAFkBAACPBQAAAAA=&#10;">
                <v:fill on="f" focussize="0,0"/>
                <v:stroke color="#000000 [3213]" miterlimit="8" joinstyle="miter"/>
                <v:imagedata o:title=""/>
                <o:lock v:ext="edit" aspectratio="f"/>
              </v:line>
            </w:pict>
          </mc:Fallback>
        </mc:AlternateContent>
      </w:r>
      <w:r>
        <w:rPr>
          <w:rFonts w:hint="default"/>
          <w:color w:val="auto"/>
          <w:lang w:val="en-US" w:eastAsia="zh-CN"/>
        </w:rPr>
        <w:t>表</w:t>
      </w:r>
      <w:r>
        <w:rPr>
          <w:rFonts w:hint="eastAsia"/>
          <w:color w:val="auto"/>
          <w:lang w:val="en-US" w:eastAsia="zh-CN"/>
        </w:rPr>
        <w:t>5</w:t>
      </w:r>
      <w:r>
        <w:rPr>
          <w:rFonts w:hint="default"/>
          <w:color w:val="auto"/>
          <w:lang w:val="en-US" w:eastAsia="zh-CN"/>
        </w:rPr>
        <w:t>.</w:t>
      </w:r>
      <w:r>
        <w:rPr>
          <w:rFonts w:hint="eastAsia"/>
          <w:color w:val="auto"/>
          <w:lang w:val="en-US" w:eastAsia="zh-CN"/>
        </w:rPr>
        <w:t>4</w:t>
      </w:r>
      <w:r>
        <w:rPr>
          <w:rFonts w:hint="default"/>
          <w:color w:val="auto"/>
          <w:lang w:val="en-US" w:eastAsia="zh-CN"/>
        </w:rPr>
        <w:t>-</w:t>
      </w:r>
      <w:r>
        <w:rPr>
          <w:rFonts w:hint="eastAsia"/>
          <w:color w:val="auto"/>
          <w:lang w:val="en-US" w:eastAsia="zh-CN"/>
        </w:rPr>
        <w:t>2</w:t>
      </w:r>
      <w:r>
        <w:rPr>
          <w:rFonts w:hint="default"/>
          <w:color w:val="auto"/>
          <w:lang w:val="en-US" w:eastAsia="zh-CN"/>
        </w:rPr>
        <w:t xml:space="preserve">        年均风频的月变化、季变化及年均风频</w:t>
      </w:r>
    </w:p>
    <w:tbl>
      <w:tblPr>
        <w:tblStyle w:val="36"/>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09"/>
        <w:gridCol w:w="753"/>
        <w:gridCol w:w="753"/>
        <w:gridCol w:w="753"/>
        <w:gridCol w:w="753"/>
        <w:gridCol w:w="753"/>
        <w:gridCol w:w="736"/>
        <w:gridCol w:w="731"/>
        <w:gridCol w:w="731"/>
        <w:gridCol w:w="731"/>
        <w:gridCol w:w="731"/>
        <w:gridCol w:w="731"/>
        <w:gridCol w:w="734"/>
        <w:gridCol w:w="731"/>
        <w:gridCol w:w="753"/>
        <w:gridCol w:w="745"/>
        <w:gridCol w:w="753"/>
        <w:gridCol w:w="725"/>
      </w:tblGrid>
      <w:tr w14:paraId="3A147F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35" w:type="pct"/>
            <w:noWrap/>
            <w:vAlign w:val="center"/>
          </w:tcPr>
          <w:p w14:paraId="33AAA80B">
            <w:pPr>
              <w:keepNext w:val="0"/>
              <w:keepLines w:val="0"/>
              <w:suppressLineNumbers w:val="0"/>
              <w:adjustRightInd w:val="0"/>
              <w:snapToGrid w:val="0"/>
              <w:spacing w:before="0" w:beforeAutospacing="0" w:after="0" w:afterAutospacing="0" w:line="240" w:lineRule="auto"/>
              <w:ind w:left="0" w:right="0"/>
              <w:jc w:val="righ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风向</w:t>
            </w:r>
          </w:p>
          <w:p w14:paraId="58DAB31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风频（%）</w:t>
            </w:r>
          </w:p>
          <w:p w14:paraId="3F560D83">
            <w:pPr>
              <w:keepNext w:val="0"/>
              <w:keepLines w:val="0"/>
              <w:suppressLineNumbers w:val="0"/>
              <w:adjustRightInd w:val="0"/>
              <w:snapToGrid w:val="0"/>
              <w:spacing w:before="0" w:beforeAutospacing="0" w:after="0" w:afterAutospacing="0" w:line="240" w:lineRule="auto"/>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月份</w:t>
            </w:r>
          </w:p>
        </w:tc>
        <w:tc>
          <w:tcPr>
            <w:tcW w:w="267" w:type="pct"/>
            <w:noWrap/>
            <w:vAlign w:val="center"/>
          </w:tcPr>
          <w:p w14:paraId="591DD6C5">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w:t>
            </w:r>
          </w:p>
        </w:tc>
        <w:tc>
          <w:tcPr>
            <w:tcW w:w="267" w:type="pct"/>
            <w:noWrap/>
            <w:vAlign w:val="center"/>
          </w:tcPr>
          <w:p w14:paraId="26DFDDF7">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NNE</w:t>
            </w:r>
          </w:p>
        </w:tc>
        <w:tc>
          <w:tcPr>
            <w:tcW w:w="267" w:type="pct"/>
            <w:noWrap/>
            <w:vAlign w:val="center"/>
          </w:tcPr>
          <w:p w14:paraId="7013BB02">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NE</w:t>
            </w:r>
          </w:p>
        </w:tc>
        <w:tc>
          <w:tcPr>
            <w:tcW w:w="267" w:type="pct"/>
            <w:noWrap/>
            <w:vAlign w:val="center"/>
          </w:tcPr>
          <w:p w14:paraId="16B3CEA7">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ENE</w:t>
            </w:r>
          </w:p>
        </w:tc>
        <w:tc>
          <w:tcPr>
            <w:tcW w:w="267" w:type="pct"/>
            <w:noWrap/>
            <w:vAlign w:val="center"/>
          </w:tcPr>
          <w:p w14:paraId="29D8CE32">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E</w:t>
            </w:r>
          </w:p>
        </w:tc>
        <w:tc>
          <w:tcPr>
            <w:tcW w:w="261" w:type="pct"/>
            <w:noWrap/>
            <w:vAlign w:val="center"/>
          </w:tcPr>
          <w:p w14:paraId="4C76685D">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ESE</w:t>
            </w:r>
          </w:p>
        </w:tc>
        <w:tc>
          <w:tcPr>
            <w:tcW w:w="259" w:type="pct"/>
            <w:noWrap/>
            <w:vAlign w:val="center"/>
          </w:tcPr>
          <w:p w14:paraId="4CBED0A2">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SE</w:t>
            </w:r>
          </w:p>
        </w:tc>
        <w:tc>
          <w:tcPr>
            <w:tcW w:w="259" w:type="pct"/>
            <w:noWrap/>
            <w:vAlign w:val="center"/>
          </w:tcPr>
          <w:p w14:paraId="709118AC">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SSE</w:t>
            </w:r>
          </w:p>
        </w:tc>
        <w:tc>
          <w:tcPr>
            <w:tcW w:w="259" w:type="pct"/>
            <w:noWrap/>
            <w:vAlign w:val="center"/>
          </w:tcPr>
          <w:p w14:paraId="0654A3AA">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t>
            </w:r>
          </w:p>
        </w:tc>
        <w:tc>
          <w:tcPr>
            <w:tcW w:w="259" w:type="pct"/>
            <w:noWrap/>
            <w:vAlign w:val="center"/>
          </w:tcPr>
          <w:p w14:paraId="446D2987">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SSW</w:t>
            </w:r>
          </w:p>
        </w:tc>
        <w:tc>
          <w:tcPr>
            <w:tcW w:w="259" w:type="pct"/>
            <w:noWrap/>
            <w:vAlign w:val="center"/>
          </w:tcPr>
          <w:p w14:paraId="227CE428">
            <w:pPr>
              <w:keepNext w:val="0"/>
              <w:keepLines w:val="0"/>
              <w:widowControl/>
              <w:suppressLineNumbers w:val="0"/>
              <w:adjustRightInd w:val="0"/>
              <w:snapToGrid w:val="0"/>
              <w:spacing w:before="0" w:beforeAutospacing="0" w:after="0" w:afterAutospacing="0" w:line="240" w:lineRule="auto"/>
              <w:ind w:left="-50" w:right="-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w:t>
            </w:r>
          </w:p>
        </w:tc>
        <w:tc>
          <w:tcPr>
            <w:tcW w:w="260" w:type="pct"/>
            <w:noWrap/>
            <w:vAlign w:val="center"/>
          </w:tcPr>
          <w:p w14:paraId="6D39D4FF">
            <w:pPr>
              <w:keepNext w:val="0"/>
              <w:keepLines w:val="0"/>
              <w:widowControl/>
              <w:suppressLineNumbers w:val="0"/>
              <w:adjustRightInd w:val="0"/>
              <w:snapToGrid w:val="0"/>
              <w:spacing w:before="0" w:beforeAutospacing="0" w:after="0" w:afterAutospacing="0" w:line="240" w:lineRule="auto"/>
              <w:ind w:left="-50" w:right="-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WSW</w:t>
            </w:r>
          </w:p>
        </w:tc>
        <w:tc>
          <w:tcPr>
            <w:tcW w:w="259" w:type="pct"/>
            <w:noWrap/>
            <w:vAlign w:val="center"/>
          </w:tcPr>
          <w:p w14:paraId="7381CEFC">
            <w:pPr>
              <w:keepNext w:val="0"/>
              <w:keepLines w:val="0"/>
              <w:widowControl/>
              <w:suppressLineNumbers w:val="0"/>
              <w:adjustRightInd w:val="0"/>
              <w:snapToGrid w:val="0"/>
              <w:spacing w:before="0" w:beforeAutospacing="0" w:after="0" w:afterAutospacing="0" w:line="240" w:lineRule="auto"/>
              <w:ind w:left="-50" w:right="-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w:t>
            </w:r>
          </w:p>
        </w:tc>
        <w:tc>
          <w:tcPr>
            <w:tcW w:w="267" w:type="pct"/>
            <w:noWrap/>
            <w:vAlign w:val="center"/>
          </w:tcPr>
          <w:p w14:paraId="2F194999">
            <w:pPr>
              <w:keepNext w:val="0"/>
              <w:keepLines w:val="0"/>
              <w:widowControl/>
              <w:suppressLineNumbers w:val="0"/>
              <w:adjustRightInd w:val="0"/>
              <w:snapToGrid w:val="0"/>
              <w:spacing w:before="0" w:beforeAutospacing="0" w:after="0" w:afterAutospacing="0" w:line="240" w:lineRule="auto"/>
              <w:ind w:left="-50" w:right="-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WNW</w:t>
            </w:r>
          </w:p>
        </w:tc>
        <w:tc>
          <w:tcPr>
            <w:tcW w:w="264" w:type="pct"/>
            <w:noWrap/>
            <w:vAlign w:val="center"/>
          </w:tcPr>
          <w:p w14:paraId="0F55C8F0">
            <w:pPr>
              <w:keepNext w:val="0"/>
              <w:keepLines w:val="0"/>
              <w:widowControl/>
              <w:suppressLineNumbers w:val="0"/>
              <w:adjustRightInd w:val="0"/>
              <w:snapToGrid w:val="0"/>
              <w:spacing w:before="0" w:beforeAutospacing="0" w:after="0" w:afterAutospacing="0" w:line="240" w:lineRule="auto"/>
              <w:ind w:left="-50" w:right="-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NW</w:t>
            </w:r>
          </w:p>
        </w:tc>
        <w:tc>
          <w:tcPr>
            <w:tcW w:w="267" w:type="pct"/>
            <w:noWrap/>
            <w:vAlign w:val="center"/>
          </w:tcPr>
          <w:p w14:paraId="02B01737">
            <w:pPr>
              <w:keepNext w:val="0"/>
              <w:keepLines w:val="0"/>
              <w:widowControl/>
              <w:suppressLineNumbers w:val="0"/>
              <w:adjustRightInd w:val="0"/>
              <w:snapToGrid w:val="0"/>
              <w:spacing w:before="0" w:beforeAutospacing="0" w:after="0" w:afterAutospacing="0" w:line="240" w:lineRule="auto"/>
              <w:ind w:left="-50" w:right="-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NNW</w:t>
            </w:r>
          </w:p>
        </w:tc>
        <w:tc>
          <w:tcPr>
            <w:tcW w:w="260" w:type="pct"/>
            <w:noWrap/>
            <w:vAlign w:val="center"/>
          </w:tcPr>
          <w:p w14:paraId="24E38560">
            <w:pPr>
              <w:keepNext w:val="0"/>
              <w:keepLines w:val="0"/>
              <w:widowControl/>
              <w:suppressLineNumbers w:val="0"/>
              <w:adjustRightInd w:val="0"/>
              <w:snapToGrid w:val="0"/>
              <w:spacing w:before="0" w:beforeAutospacing="0" w:after="0" w:afterAutospacing="0" w:line="240" w:lineRule="auto"/>
              <w:ind w:left="-50" w:right="-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w:t>
            </w:r>
          </w:p>
        </w:tc>
      </w:tr>
      <w:tr w14:paraId="4A843A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35" w:type="pct"/>
            <w:noWrap/>
            <w:vAlign w:val="center"/>
          </w:tcPr>
          <w:p w14:paraId="3D85C573">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一月</w:t>
            </w:r>
          </w:p>
        </w:tc>
        <w:tc>
          <w:tcPr>
            <w:tcW w:w="267" w:type="pct"/>
            <w:noWrap/>
            <w:vAlign w:val="center"/>
          </w:tcPr>
          <w:p w14:paraId="7C5CFF7F">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17.34</w:t>
            </w:r>
          </w:p>
        </w:tc>
        <w:tc>
          <w:tcPr>
            <w:tcW w:w="267" w:type="pct"/>
            <w:noWrap/>
            <w:vAlign w:val="center"/>
          </w:tcPr>
          <w:p w14:paraId="77185FDA">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10.75</w:t>
            </w:r>
          </w:p>
        </w:tc>
        <w:tc>
          <w:tcPr>
            <w:tcW w:w="267" w:type="pct"/>
            <w:noWrap/>
            <w:vAlign w:val="center"/>
          </w:tcPr>
          <w:p w14:paraId="6C23D518">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9.01</w:t>
            </w:r>
          </w:p>
        </w:tc>
        <w:tc>
          <w:tcPr>
            <w:tcW w:w="267" w:type="pct"/>
            <w:noWrap/>
            <w:vAlign w:val="center"/>
          </w:tcPr>
          <w:p w14:paraId="15023A3B">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5.91</w:t>
            </w:r>
          </w:p>
        </w:tc>
        <w:tc>
          <w:tcPr>
            <w:tcW w:w="267" w:type="pct"/>
            <w:noWrap/>
            <w:vAlign w:val="center"/>
          </w:tcPr>
          <w:p w14:paraId="3593AE37">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8.87</w:t>
            </w:r>
          </w:p>
        </w:tc>
        <w:tc>
          <w:tcPr>
            <w:tcW w:w="261" w:type="pct"/>
            <w:noWrap/>
            <w:vAlign w:val="center"/>
          </w:tcPr>
          <w:p w14:paraId="440DB7EE">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4.30</w:t>
            </w:r>
          </w:p>
        </w:tc>
        <w:tc>
          <w:tcPr>
            <w:tcW w:w="259" w:type="pct"/>
            <w:noWrap/>
            <w:vAlign w:val="center"/>
          </w:tcPr>
          <w:p w14:paraId="257CE11B">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4.03</w:t>
            </w:r>
          </w:p>
        </w:tc>
        <w:tc>
          <w:tcPr>
            <w:tcW w:w="259" w:type="pct"/>
            <w:noWrap/>
            <w:vAlign w:val="center"/>
          </w:tcPr>
          <w:p w14:paraId="2B19CE99">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4.70</w:t>
            </w:r>
          </w:p>
        </w:tc>
        <w:tc>
          <w:tcPr>
            <w:tcW w:w="259" w:type="pct"/>
            <w:noWrap/>
            <w:vAlign w:val="center"/>
          </w:tcPr>
          <w:p w14:paraId="531EF99D">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7.53</w:t>
            </w:r>
          </w:p>
        </w:tc>
        <w:tc>
          <w:tcPr>
            <w:tcW w:w="259" w:type="pct"/>
            <w:noWrap/>
            <w:vAlign w:val="center"/>
          </w:tcPr>
          <w:p w14:paraId="7BC0A252">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4.57</w:t>
            </w:r>
          </w:p>
        </w:tc>
        <w:tc>
          <w:tcPr>
            <w:tcW w:w="259" w:type="pct"/>
            <w:noWrap/>
            <w:vAlign w:val="center"/>
          </w:tcPr>
          <w:p w14:paraId="70C8B605">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w:t>
            </w:r>
          </w:p>
        </w:tc>
        <w:tc>
          <w:tcPr>
            <w:tcW w:w="260" w:type="pct"/>
            <w:noWrap/>
            <w:vAlign w:val="center"/>
          </w:tcPr>
          <w:p w14:paraId="088B9459">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1.34</w:t>
            </w:r>
          </w:p>
        </w:tc>
        <w:tc>
          <w:tcPr>
            <w:tcW w:w="259" w:type="pct"/>
            <w:noWrap/>
            <w:vAlign w:val="center"/>
          </w:tcPr>
          <w:p w14:paraId="6DD7BF64">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1.08</w:t>
            </w:r>
          </w:p>
        </w:tc>
        <w:tc>
          <w:tcPr>
            <w:tcW w:w="267" w:type="pct"/>
            <w:noWrap/>
            <w:vAlign w:val="center"/>
          </w:tcPr>
          <w:p w14:paraId="17FD9CC7">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1.21</w:t>
            </w:r>
          </w:p>
        </w:tc>
        <w:tc>
          <w:tcPr>
            <w:tcW w:w="264" w:type="pct"/>
            <w:noWrap/>
            <w:vAlign w:val="center"/>
          </w:tcPr>
          <w:p w14:paraId="229C767A">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2.42</w:t>
            </w:r>
          </w:p>
        </w:tc>
        <w:tc>
          <w:tcPr>
            <w:tcW w:w="267" w:type="pct"/>
            <w:noWrap/>
            <w:vAlign w:val="center"/>
          </w:tcPr>
          <w:p w14:paraId="031CE9E8">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14.78</w:t>
            </w:r>
          </w:p>
        </w:tc>
        <w:tc>
          <w:tcPr>
            <w:tcW w:w="260" w:type="pct"/>
            <w:noWrap/>
            <w:vAlign w:val="center"/>
          </w:tcPr>
          <w:p w14:paraId="685C53F6">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0.13</w:t>
            </w:r>
          </w:p>
        </w:tc>
      </w:tr>
      <w:tr w14:paraId="79F456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35" w:type="pct"/>
            <w:noWrap/>
            <w:vAlign w:val="center"/>
          </w:tcPr>
          <w:p w14:paraId="12C368E4">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二月</w:t>
            </w:r>
          </w:p>
        </w:tc>
        <w:tc>
          <w:tcPr>
            <w:tcW w:w="267" w:type="pct"/>
            <w:noWrap/>
            <w:vAlign w:val="center"/>
          </w:tcPr>
          <w:p w14:paraId="01E673BB">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14.14</w:t>
            </w:r>
          </w:p>
        </w:tc>
        <w:tc>
          <w:tcPr>
            <w:tcW w:w="267" w:type="pct"/>
            <w:noWrap/>
            <w:vAlign w:val="center"/>
          </w:tcPr>
          <w:p w14:paraId="0CFE44AF">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9.97</w:t>
            </w:r>
          </w:p>
        </w:tc>
        <w:tc>
          <w:tcPr>
            <w:tcW w:w="267" w:type="pct"/>
            <w:noWrap/>
            <w:vAlign w:val="center"/>
          </w:tcPr>
          <w:p w14:paraId="576E6C52">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9.23</w:t>
            </w:r>
          </w:p>
        </w:tc>
        <w:tc>
          <w:tcPr>
            <w:tcW w:w="267" w:type="pct"/>
            <w:noWrap/>
            <w:vAlign w:val="center"/>
          </w:tcPr>
          <w:p w14:paraId="04551909">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267" w:type="pct"/>
            <w:noWrap/>
            <w:vAlign w:val="center"/>
          </w:tcPr>
          <w:p w14:paraId="09D397AA">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7.29</w:t>
            </w:r>
          </w:p>
        </w:tc>
        <w:tc>
          <w:tcPr>
            <w:tcW w:w="261" w:type="pct"/>
            <w:noWrap/>
            <w:vAlign w:val="center"/>
          </w:tcPr>
          <w:p w14:paraId="026FF3DF">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4.02</w:t>
            </w:r>
          </w:p>
        </w:tc>
        <w:tc>
          <w:tcPr>
            <w:tcW w:w="259" w:type="pct"/>
            <w:noWrap/>
            <w:vAlign w:val="center"/>
          </w:tcPr>
          <w:p w14:paraId="0D7B9250">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2.98</w:t>
            </w:r>
          </w:p>
        </w:tc>
        <w:tc>
          <w:tcPr>
            <w:tcW w:w="259" w:type="pct"/>
            <w:noWrap/>
            <w:vAlign w:val="center"/>
          </w:tcPr>
          <w:p w14:paraId="7DE5D646">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3.87</w:t>
            </w:r>
          </w:p>
        </w:tc>
        <w:tc>
          <w:tcPr>
            <w:tcW w:w="259" w:type="pct"/>
            <w:noWrap/>
            <w:vAlign w:val="center"/>
          </w:tcPr>
          <w:p w14:paraId="535926E9">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7.14</w:t>
            </w:r>
          </w:p>
        </w:tc>
        <w:tc>
          <w:tcPr>
            <w:tcW w:w="259" w:type="pct"/>
            <w:noWrap/>
            <w:vAlign w:val="center"/>
          </w:tcPr>
          <w:p w14:paraId="51DC8285">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4.02</w:t>
            </w:r>
          </w:p>
        </w:tc>
        <w:tc>
          <w:tcPr>
            <w:tcW w:w="259" w:type="pct"/>
            <w:noWrap/>
            <w:vAlign w:val="center"/>
          </w:tcPr>
          <w:p w14:paraId="3773EF29">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1.79</w:t>
            </w:r>
          </w:p>
        </w:tc>
        <w:tc>
          <w:tcPr>
            <w:tcW w:w="260" w:type="pct"/>
            <w:noWrap/>
            <w:vAlign w:val="center"/>
          </w:tcPr>
          <w:p w14:paraId="5AD9014F">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1.64</w:t>
            </w:r>
          </w:p>
        </w:tc>
        <w:tc>
          <w:tcPr>
            <w:tcW w:w="259" w:type="pct"/>
            <w:noWrap/>
            <w:vAlign w:val="center"/>
          </w:tcPr>
          <w:p w14:paraId="4FA879EE">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2.68</w:t>
            </w:r>
          </w:p>
        </w:tc>
        <w:tc>
          <w:tcPr>
            <w:tcW w:w="267" w:type="pct"/>
            <w:noWrap/>
            <w:vAlign w:val="center"/>
          </w:tcPr>
          <w:p w14:paraId="3C9F81ED">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0.60</w:t>
            </w:r>
          </w:p>
        </w:tc>
        <w:tc>
          <w:tcPr>
            <w:tcW w:w="264" w:type="pct"/>
            <w:noWrap/>
            <w:vAlign w:val="center"/>
          </w:tcPr>
          <w:p w14:paraId="21B879CF">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3.42</w:t>
            </w:r>
          </w:p>
        </w:tc>
        <w:tc>
          <w:tcPr>
            <w:tcW w:w="267" w:type="pct"/>
            <w:noWrap/>
            <w:vAlign w:val="center"/>
          </w:tcPr>
          <w:p w14:paraId="2B7274AF">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20.24</w:t>
            </w:r>
          </w:p>
        </w:tc>
        <w:tc>
          <w:tcPr>
            <w:tcW w:w="260" w:type="pct"/>
            <w:noWrap/>
            <w:vAlign w:val="center"/>
          </w:tcPr>
          <w:p w14:paraId="63D64784">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0.30</w:t>
            </w:r>
          </w:p>
        </w:tc>
      </w:tr>
      <w:tr w14:paraId="6CC359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35" w:type="pct"/>
            <w:noWrap/>
            <w:vAlign w:val="center"/>
          </w:tcPr>
          <w:p w14:paraId="1918F098">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三月</w:t>
            </w:r>
          </w:p>
        </w:tc>
        <w:tc>
          <w:tcPr>
            <w:tcW w:w="267" w:type="pct"/>
            <w:noWrap/>
            <w:vAlign w:val="center"/>
          </w:tcPr>
          <w:p w14:paraId="215D628F">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13.84</w:t>
            </w:r>
          </w:p>
        </w:tc>
        <w:tc>
          <w:tcPr>
            <w:tcW w:w="267" w:type="pct"/>
            <w:noWrap/>
            <w:vAlign w:val="center"/>
          </w:tcPr>
          <w:p w14:paraId="32669293">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9.41</w:t>
            </w:r>
          </w:p>
        </w:tc>
        <w:tc>
          <w:tcPr>
            <w:tcW w:w="267" w:type="pct"/>
            <w:noWrap/>
            <w:vAlign w:val="center"/>
          </w:tcPr>
          <w:p w14:paraId="1E5AF782">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9.14</w:t>
            </w:r>
          </w:p>
        </w:tc>
        <w:tc>
          <w:tcPr>
            <w:tcW w:w="267" w:type="pct"/>
            <w:noWrap/>
            <w:vAlign w:val="center"/>
          </w:tcPr>
          <w:p w14:paraId="542EE4CE">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10.08</w:t>
            </w:r>
          </w:p>
        </w:tc>
        <w:tc>
          <w:tcPr>
            <w:tcW w:w="267" w:type="pct"/>
            <w:noWrap/>
            <w:vAlign w:val="center"/>
          </w:tcPr>
          <w:p w14:paraId="6BB65000">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11.83</w:t>
            </w:r>
          </w:p>
        </w:tc>
        <w:tc>
          <w:tcPr>
            <w:tcW w:w="261" w:type="pct"/>
            <w:noWrap/>
            <w:vAlign w:val="center"/>
          </w:tcPr>
          <w:p w14:paraId="01520D8B">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4.97</w:t>
            </w:r>
          </w:p>
        </w:tc>
        <w:tc>
          <w:tcPr>
            <w:tcW w:w="259" w:type="pct"/>
            <w:noWrap/>
            <w:vAlign w:val="center"/>
          </w:tcPr>
          <w:p w14:paraId="75895DC9">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4.17</w:t>
            </w:r>
          </w:p>
        </w:tc>
        <w:tc>
          <w:tcPr>
            <w:tcW w:w="259" w:type="pct"/>
            <w:noWrap/>
            <w:vAlign w:val="center"/>
          </w:tcPr>
          <w:p w14:paraId="2E1B5EE8">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3.49</w:t>
            </w:r>
          </w:p>
        </w:tc>
        <w:tc>
          <w:tcPr>
            <w:tcW w:w="259" w:type="pct"/>
            <w:noWrap/>
            <w:vAlign w:val="center"/>
          </w:tcPr>
          <w:p w14:paraId="38E46BC2">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4.17</w:t>
            </w:r>
          </w:p>
        </w:tc>
        <w:tc>
          <w:tcPr>
            <w:tcW w:w="259" w:type="pct"/>
            <w:noWrap/>
            <w:vAlign w:val="center"/>
          </w:tcPr>
          <w:p w14:paraId="6D231F8C">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4.03</w:t>
            </w:r>
          </w:p>
        </w:tc>
        <w:tc>
          <w:tcPr>
            <w:tcW w:w="259" w:type="pct"/>
            <w:noWrap/>
            <w:vAlign w:val="center"/>
          </w:tcPr>
          <w:p w14:paraId="26C00F7C">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2.82</w:t>
            </w:r>
          </w:p>
        </w:tc>
        <w:tc>
          <w:tcPr>
            <w:tcW w:w="260" w:type="pct"/>
            <w:noWrap/>
            <w:vAlign w:val="center"/>
          </w:tcPr>
          <w:p w14:paraId="6156E8A5">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259" w:type="pct"/>
            <w:noWrap/>
            <w:vAlign w:val="center"/>
          </w:tcPr>
          <w:p w14:paraId="00146E8E">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3.09</w:t>
            </w:r>
          </w:p>
        </w:tc>
        <w:tc>
          <w:tcPr>
            <w:tcW w:w="267" w:type="pct"/>
            <w:noWrap/>
            <w:vAlign w:val="center"/>
          </w:tcPr>
          <w:p w14:paraId="4EC720F6">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1.88</w:t>
            </w:r>
          </w:p>
        </w:tc>
        <w:tc>
          <w:tcPr>
            <w:tcW w:w="264" w:type="pct"/>
            <w:noWrap/>
            <w:vAlign w:val="center"/>
          </w:tcPr>
          <w:p w14:paraId="6F4CBE3D">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267" w:type="pct"/>
            <w:noWrap/>
            <w:vAlign w:val="center"/>
          </w:tcPr>
          <w:p w14:paraId="4CFDF094">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11.96</w:t>
            </w:r>
          </w:p>
        </w:tc>
        <w:tc>
          <w:tcPr>
            <w:tcW w:w="260" w:type="pct"/>
            <w:noWrap/>
            <w:vAlign w:val="center"/>
          </w:tcPr>
          <w:p w14:paraId="1F1D6E25">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w:t>
            </w:r>
          </w:p>
        </w:tc>
      </w:tr>
      <w:tr w14:paraId="52E758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35" w:type="pct"/>
            <w:noWrap/>
            <w:vAlign w:val="center"/>
          </w:tcPr>
          <w:p w14:paraId="373450C9">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四月</w:t>
            </w:r>
          </w:p>
        </w:tc>
        <w:tc>
          <w:tcPr>
            <w:tcW w:w="267" w:type="pct"/>
            <w:noWrap/>
            <w:vAlign w:val="center"/>
          </w:tcPr>
          <w:p w14:paraId="6EFE94CE">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11.94</w:t>
            </w:r>
          </w:p>
        </w:tc>
        <w:tc>
          <w:tcPr>
            <w:tcW w:w="267" w:type="pct"/>
            <w:noWrap/>
            <w:vAlign w:val="center"/>
          </w:tcPr>
          <w:p w14:paraId="5AB4F2E6">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6.67</w:t>
            </w:r>
          </w:p>
        </w:tc>
        <w:tc>
          <w:tcPr>
            <w:tcW w:w="267" w:type="pct"/>
            <w:noWrap/>
            <w:vAlign w:val="center"/>
          </w:tcPr>
          <w:p w14:paraId="07A9ACE3">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10.00</w:t>
            </w:r>
          </w:p>
        </w:tc>
        <w:tc>
          <w:tcPr>
            <w:tcW w:w="267" w:type="pct"/>
            <w:noWrap/>
            <w:vAlign w:val="center"/>
          </w:tcPr>
          <w:p w14:paraId="078493EE">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8.61</w:t>
            </w:r>
          </w:p>
        </w:tc>
        <w:tc>
          <w:tcPr>
            <w:tcW w:w="267" w:type="pct"/>
            <w:noWrap/>
            <w:vAlign w:val="center"/>
          </w:tcPr>
          <w:p w14:paraId="1EFE82E5">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11.39</w:t>
            </w:r>
          </w:p>
        </w:tc>
        <w:tc>
          <w:tcPr>
            <w:tcW w:w="261" w:type="pct"/>
            <w:noWrap/>
            <w:vAlign w:val="center"/>
          </w:tcPr>
          <w:p w14:paraId="4E7A5BD9">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w:t>
            </w:r>
          </w:p>
        </w:tc>
        <w:tc>
          <w:tcPr>
            <w:tcW w:w="259" w:type="pct"/>
            <w:noWrap/>
            <w:vAlign w:val="center"/>
          </w:tcPr>
          <w:p w14:paraId="10416911">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3.33</w:t>
            </w:r>
          </w:p>
        </w:tc>
        <w:tc>
          <w:tcPr>
            <w:tcW w:w="259" w:type="pct"/>
            <w:noWrap/>
            <w:vAlign w:val="center"/>
          </w:tcPr>
          <w:p w14:paraId="445FD251">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2.08</w:t>
            </w:r>
          </w:p>
        </w:tc>
        <w:tc>
          <w:tcPr>
            <w:tcW w:w="259" w:type="pct"/>
            <w:noWrap/>
            <w:vAlign w:val="center"/>
          </w:tcPr>
          <w:p w14:paraId="2BAC7C1F">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4.03</w:t>
            </w:r>
          </w:p>
        </w:tc>
        <w:tc>
          <w:tcPr>
            <w:tcW w:w="259" w:type="pct"/>
            <w:noWrap/>
            <w:vAlign w:val="center"/>
          </w:tcPr>
          <w:p w14:paraId="10A43DC8">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2.78</w:t>
            </w:r>
          </w:p>
        </w:tc>
        <w:tc>
          <w:tcPr>
            <w:tcW w:w="259" w:type="pct"/>
            <w:noWrap/>
            <w:vAlign w:val="center"/>
          </w:tcPr>
          <w:p w14:paraId="62EAF08D">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3.19</w:t>
            </w:r>
          </w:p>
        </w:tc>
        <w:tc>
          <w:tcPr>
            <w:tcW w:w="260" w:type="pct"/>
            <w:noWrap/>
            <w:vAlign w:val="center"/>
          </w:tcPr>
          <w:p w14:paraId="74911D9B">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3.19</w:t>
            </w:r>
          </w:p>
        </w:tc>
        <w:tc>
          <w:tcPr>
            <w:tcW w:w="259" w:type="pct"/>
            <w:noWrap/>
            <w:vAlign w:val="center"/>
          </w:tcPr>
          <w:p w14:paraId="270B11BA">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4.72</w:t>
            </w:r>
          </w:p>
        </w:tc>
        <w:tc>
          <w:tcPr>
            <w:tcW w:w="267" w:type="pct"/>
            <w:noWrap/>
            <w:vAlign w:val="center"/>
          </w:tcPr>
          <w:p w14:paraId="31EEDA23">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3.89</w:t>
            </w:r>
          </w:p>
        </w:tc>
        <w:tc>
          <w:tcPr>
            <w:tcW w:w="264" w:type="pct"/>
            <w:noWrap/>
            <w:vAlign w:val="center"/>
          </w:tcPr>
          <w:p w14:paraId="5F023B61">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8.47</w:t>
            </w:r>
          </w:p>
        </w:tc>
        <w:tc>
          <w:tcPr>
            <w:tcW w:w="267" w:type="pct"/>
            <w:noWrap/>
            <w:vAlign w:val="center"/>
          </w:tcPr>
          <w:p w14:paraId="6E90257B">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10.69</w:t>
            </w:r>
          </w:p>
        </w:tc>
        <w:tc>
          <w:tcPr>
            <w:tcW w:w="260" w:type="pct"/>
            <w:noWrap/>
            <w:vAlign w:val="center"/>
          </w:tcPr>
          <w:p w14:paraId="6B4B8BFA">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w:t>
            </w:r>
          </w:p>
        </w:tc>
      </w:tr>
      <w:tr w14:paraId="539848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35" w:type="pct"/>
            <w:noWrap/>
            <w:vAlign w:val="center"/>
          </w:tcPr>
          <w:p w14:paraId="750C04A0">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五月</w:t>
            </w:r>
          </w:p>
        </w:tc>
        <w:tc>
          <w:tcPr>
            <w:tcW w:w="267" w:type="pct"/>
            <w:noWrap/>
            <w:vAlign w:val="center"/>
          </w:tcPr>
          <w:p w14:paraId="324EA152">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11.16</w:t>
            </w:r>
          </w:p>
        </w:tc>
        <w:tc>
          <w:tcPr>
            <w:tcW w:w="267" w:type="pct"/>
            <w:noWrap/>
            <w:vAlign w:val="center"/>
          </w:tcPr>
          <w:p w14:paraId="2CD627BE">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10.75</w:t>
            </w:r>
          </w:p>
        </w:tc>
        <w:tc>
          <w:tcPr>
            <w:tcW w:w="267" w:type="pct"/>
            <w:noWrap/>
            <w:vAlign w:val="center"/>
          </w:tcPr>
          <w:p w14:paraId="4AD36CD7">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8.87</w:t>
            </w:r>
          </w:p>
        </w:tc>
        <w:tc>
          <w:tcPr>
            <w:tcW w:w="267" w:type="pct"/>
            <w:noWrap/>
            <w:vAlign w:val="center"/>
          </w:tcPr>
          <w:p w14:paraId="7F4E8350">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8.20</w:t>
            </w:r>
          </w:p>
        </w:tc>
        <w:tc>
          <w:tcPr>
            <w:tcW w:w="267" w:type="pct"/>
            <w:noWrap/>
            <w:vAlign w:val="center"/>
          </w:tcPr>
          <w:p w14:paraId="4AF9A2AD">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12.10</w:t>
            </w:r>
          </w:p>
        </w:tc>
        <w:tc>
          <w:tcPr>
            <w:tcW w:w="261" w:type="pct"/>
            <w:noWrap/>
            <w:vAlign w:val="center"/>
          </w:tcPr>
          <w:p w14:paraId="4D7A1DAB">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5.11</w:t>
            </w:r>
          </w:p>
        </w:tc>
        <w:tc>
          <w:tcPr>
            <w:tcW w:w="259" w:type="pct"/>
            <w:noWrap/>
            <w:vAlign w:val="center"/>
          </w:tcPr>
          <w:p w14:paraId="14C3ABE0">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3.09</w:t>
            </w:r>
          </w:p>
        </w:tc>
        <w:tc>
          <w:tcPr>
            <w:tcW w:w="259" w:type="pct"/>
            <w:noWrap/>
            <w:vAlign w:val="center"/>
          </w:tcPr>
          <w:p w14:paraId="7F4C6F6B">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1.48</w:t>
            </w:r>
          </w:p>
        </w:tc>
        <w:tc>
          <w:tcPr>
            <w:tcW w:w="259" w:type="pct"/>
            <w:noWrap/>
            <w:vAlign w:val="center"/>
          </w:tcPr>
          <w:p w14:paraId="1A1A1FDD">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5.24</w:t>
            </w:r>
          </w:p>
        </w:tc>
        <w:tc>
          <w:tcPr>
            <w:tcW w:w="259" w:type="pct"/>
            <w:noWrap/>
            <w:vAlign w:val="center"/>
          </w:tcPr>
          <w:p w14:paraId="7BF152E7">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3.63</w:t>
            </w:r>
          </w:p>
        </w:tc>
        <w:tc>
          <w:tcPr>
            <w:tcW w:w="259" w:type="pct"/>
            <w:noWrap/>
            <w:vAlign w:val="center"/>
          </w:tcPr>
          <w:p w14:paraId="1E4250A1">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3.23</w:t>
            </w:r>
          </w:p>
        </w:tc>
        <w:tc>
          <w:tcPr>
            <w:tcW w:w="260" w:type="pct"/>
            <w:noWrap/>
            <w:vAlign w:val="center"/>
          </w:tcPr>
          <w:p w14:paraId="22FF0345">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3.63</w:t>
            </w:r>
          </w:p>
        </w:tc>
        <w:tc>
          <w:tcPr>
            <w:tcW w:w="259" w:type="pct"/>
            <w:noWrap/>
            <w:vAlign w:val="center"/>
          </w:tcPr>
          <w:p w14:paraId="2D3D1D50">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2.15</w:t>
            </w:r>
          </w:p>
        </w:tc>
        <w:tc>
          <w:tcPr>
            <w:tcW w:w="267" w:type="pct"/>
            <w:noWrap/>
            <w:vAlign w:val="center"/>
          </w:tcPr>
          <w:p w14:paraId="2823AA75">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4.57</w:t>
            </w:r>
          </w:p>
        </w:tc>
        <w:tc>
          <w:tcPr>
            <w:tcW w:w="264" w:type="pct"/>
            <w:noWrap/>
            <w:vAlign w:val="center"/>
          </w:tcPr>
          <w:p w14:paraId="33523ADF">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5.91</w:t>
            </w:r>
          </w:p>
        </w:tc>
        <w:tc>
          <w:tcPr>
            <w:tcW w:w="267" w:type="pct"/>
            <w:noWrap/>
            <w:vAlign w:val="center"/>
          </w:tcPr>
          <w:p w14:paraId="56150F03">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10.22</w:t>
            </w:r>
          </w:p>
        </w:tc>
        <w:tc>
          <w:tcPr>
            <w:tcW w:w="260" w:type="pct"/>
            <w:noWrap/>
            <w:vAlign w:val="center"/>
          </w:tcPr>
          <w:p w14:paraId="58CC22A7">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0.67</w:t>
            </w:r>
          </w:p>
        </w:tc>
      </w:tr>
      <w:tr w14:paraId="1282F2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35" w:type="pct"/>
            <w:noWrap/>
            <w:vAlign w:val="center"/>
          </w:tcPr>
          <w:p w14:paraId="12279D70">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六月</w:t>
            </w:r>
          </w:p>
        </w:tc>
        <w:tc>
          <w:tcPr>
            <w:tcW w:w="267" w:type="pct"/>
            <w:noWrap/>
            <w:vAlign w:val="center"/>
          </w:tcPr>
          <w:p w14:paraId="66BADEEA">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11.53</w:t>
            </w:r>
          </w:p>
        </w:tc>
        <w:tc>
          <w:tcPr>
            <w:tcW w:w="267" w:type="pct"/>
            <w:noWrap/>
            <w:vAlign w:val="center"/>
          </w:tcPr>
          <w:p w14:paraId="5A468A7D">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8.33</w:t>
            </w:r>
          </w:p>
        </w:tc>
        <w:tc>
          <w:tcPr>
            <w:tcW w:w="267" w:type="pct"/>
            <w:noWrap/>
            <w:vAlign w:val="center"/>
          </w:tcPr>
          <w:p w14:paraId="187D8DB6">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9.44</w:t>
            </w:r>
          </w:p>
        </w:tc>
        <w:tc>
          <w:tcPr>
            <w:tcW w:w="267" w:type="pct"/>
            <w:noWrap/>
            <w:vAlign w:val="center"/>
          </w:tcPr>
          <w:p w14:paraId="41BE0368">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6.94</w:t>
            </w:r>
          </w:p>
        </w:tc>
        <w:tc>
          <w:tcPr>
            <w:tcW w:w="267" w:type="pct"/>
            <w:noWrap/>
            <w:vAlign w:val="center"/>
          </w:tcPr>
          <w:p w14:paraId="37693D6D">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11.53</w:t>
            </w:r>
          </w:p>
        </w:tc>
        <w:tc>
          <w:tcPr>
            <w:tcW w:w="261" w:type="pct"/>
            <w:noWrap/>
            <w:vAlign w:val="center"/>
          </w:tcPr>
          <w:p w14:paraId="64B81AB0">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5.42</w:t>
            </w:r>
          </w:p>
        </w:tc>
        <w:tc>
          <w:tcPr>
            <w:tcW w:w="259" w:type="pct"/>
            <w:noWrap/>
            <w:vAlign w:val="center"/>
          </w:tcPr>
          <w:p w14:paraId="7F117098">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4.03</w:t>
            </w:r>
          </w:p>
        </w:tc>
        <w:tc>
          <w:tcPr>
            <w:tcW w:w="259" w:type="pct"/>
            <w:noWrap/>
            <w:vAlign w:val="center"/>
          </w:tcPr>
          <w:p w14:paraId="2386B6CF">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2.36</w:t>
            </w:r>
          </w:p>
        </w:tc>
        <w:tc>
          <w:tcPr>
            <w:tcW w:w="259" w:type="pct"/>
            <w:noWrap/>
            <w:vAlign w:val="center"/>
          </w:tcPr>
          <w:p w14:paraId="1592EFB3">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5.28</w:t>
            </w:r>
          </w:p>
        </w:tc>
        <w:tc>
          <w:tcPr>
            <w:tcW w:w="259" w:type="pct"/>
            <w:noWrap/>
            <w:vAlign w:val="center"/>
          </w:tcPr>
          <w:p w14:paraId="00895D7A">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4.86</w:t>
            </w:r>
          </w:p>
        </w:tc>
        <w:tc>
          <w:tcPr>
            <w:tcW w:w="259" w:type="pct"/>
            <w:noWrap/>
            <w:vAlign w:val="center"/>
          </w:tcPr>
          <w:p w14:paraId="18829B39">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2.78</w:t>
            </w:r>
          </w:p>
        </w:tc>
        <w:tc>
          <w:tcPr>
            <w:tcW w:w="260" w:type="pct"/>
            <w:noWrap/>
            <w:vAlign w:val="center"/>
          </w:tcPr>
          <w:p w14:paraId="77BD04D8">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1.67</w:t>
            </w:r>
          </w:p>
        </w:tc>
        <w:tc>
          <w:tcPr>
            <w:tcW w:w="259" w:type="pct"/>
            <w:noWrap/>
            <w:vAlign w:val="center"/>
          </w:tcPr>
          <w:p w14:paraId="588CF12C">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3.33</w:t>
            </w:r>
          </w:p>
        </w:tc>
        <w:tc>
          <w:tcPr>
            <w:tcW w:w="267" w:type="pct"/>
            <w:noWrap/>
            <w:vAlign w:val="center"/>
          </w:tcPr>
          <w:p w14:paraId="628B3D22">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4.58</w:t>
            </w:r>
          </w:p>
        </w:tc>
        <w:tc>
          <w:tcPr>
            <w:tcW w:w="264" w:type="pct"/>
            <w:noWrap/>
            <w:vAlign w:val="center"/>
          </w:tcPr>
          <w:p w14:paraId="1341611A">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6.39</w:t>
            </w:r>
          </w:p>
        </w:tc>
        <w:tc>
          <w:tcPr>
            <w:tcW w:w="267" w:type="pct"/>
            <w:noWrap/>
            <w:vAlign w:val="center"/>
          </w:tcPr>
          <w:p w14:paraId="5F1194E2">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10.83</w:t>
            </w:r>
          </w:p>
        </w:tc>
        <w:tc>
          <w:tcPr>
            <w:tcW w:w="260" w:type="pct"/>
            <w:noWrap/>
            <w:vAlign w:val="center"/>
          </w:tcPr>
          <w:p w14:paraId="6C615B11">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0.69</w:t>
            </w:r>
          </w:p>
        </w:tc>
      </w:tr>
      <w:tr w14:paraId="6C12E6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35" w:type="pct"/>
            <w:noWrap/>
            <w:vAlign w:val="center"/>
          </w:tcPr>
          <w:p w14:paraId="481B7F9F">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七月</w:t>
            </w:r>
          </w:p>
        </w:tc>
        <w:tc>
          <w:tcPr>
            <w:tcW w:w="267" w:type="pct"/>
            <w:noWrap/>
            <w:vAlign w:val="center"/>
          </w:tcPr>
          <w:p w14:paraId="4A2920F2">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10.62</w:t>
            </w:r>
          </w:p>
        </w:tc>
        <w:tc>
          <w:tcPr>
            <w:tcW w:w="267" w:type="pct"/>
            <w:noWrap/>
            <w:vAlign w:val="center"/>
          </w:tcPr>
          <w:p w14:paraId="11141A48">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7.26</w:t>
            </w:r>
          </w:p>
        </w:tc>
        <w:tc>
          <w:tcPr>
            <w:tcW w:w="267" w:type="pct"/>
            <w:noWrap/>
            <w:vAlign w:val="center"/>
          </w:tcPr>
          <w:p w14:paraId="1B7A25B1">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5.51</w:t>
            </w:r>
          </w:p>
        </w:tc>
        <w:tc>
          <w:tcPr>
            <w:tcW w:w="267" w:type="pct"/>
            <w:noWrap/>
            <w:vAlign w:val="center"/>
          </w:tcPr>
          <w:p w14:paraId="220E3720">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4.84</w:t>
            </w:r>
          </w:p>
        </w:tc>
        <w:tc>
          <w:tcPr>
            <w:tcW w:w="267" w:type="pct"/>
            <w:noWrap/>
            <w:vAlign w:val="center"/>
          </w:tcPr>
          <w:p w14:paraId="18D62730">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7.93</w:t>
            </w:r>
          </w:p>
        </w:tc>
        <w:tc>
          <w:tcPr>
            <w:tcW w:w="261" w:type="pct"/>
            <w:noWrap/>
            <w:vAlign w:val="center"/>
          </w:tcPr>
          <w:p w14:paraId="7F1C52B0">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4.84</w:t>
            </w:r>
          </w:p>
        </w:tc>
        <w:tc>
          <w:tcPr>
            <w:tcW w:w="259" w:type="pct"/>
            <w:noWrap/>
            <w:vAlign w:val="center"/>
          </w:tcPr>
          <w:p w14:paraId="354338D7">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w:t>
            </w:r>
          </w:p>
        </w:tc>
        <w:tc>
          <w:tcPr>
            <w:tcW w:w="259" w:type="pct"/>
            <w:noWrap/>
            <w:vAlign w:val="center"/>
          </w:tcPr>
          <w:p w14:paraId="1E21EC76">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1.61</w:t>
            </w:r>
          </w:p>
        </w:tc>
        <w:tc>
          <w:tcPr>
            <w:tcW w:w="259" w:type="pct"/>
            <w:noWrap/>
            <w:vAlign w:val="center"/>
          </w:tcPr>
          <w:p w14:paraId="13D4AEAA">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4.57</w:t>
            </w:r>
          </w:p>
        </w:tc>
        <w:tc>
          <w:tcPr>
            <w:tcW w:w="259" w:type="pct"/>
            <w:noWrap/>
            <w:vAlign w:val="center"/>
          </w:tcPr>
          <w:p w14:paraId="3FACB8A8">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2.96</w:t>
            </w:r>
          </w:p>
        </w:tc>
        <w:tc>
          <w:tcPr>
            <w:tcW w:w="259" w:type="pct"/>
            <w:noWrap/>
            <w:vAlign w:val="center"/>
          </w:tcPr>
          <w:p w14:paraId="034B7870">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4.17</w:t>
            </w:r>
          </w:p>
        </w:tc>
        <w:tc>
          <w:tcPr>
            <w:tcW w:w="260" w:type="pct"/>
            <w:noWrap/>
            <w:vAlign w:val="center"/>
          </w:tcPr>
          <w:p w14:paraId="32C88227">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3.36</w:t>
            </w:r>
          </w:p>
        </w:tc>
        <w:tc>
          <w:tcPr>
            <w:tcW w:w="259" w:type="pct"/>
            <w:noWrap/>
            <w:vAlign w:val="center"/>
          </w:tcPr>
          <w:p w14:paraId="27B52EED">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5.78</w:t>
            </w:r>
          </w:p>
        </w:tc>
        <w:tc>
          <w:tcPr>
            <w:tcW w:w="267" w:type="pct"/>
            <w:noWrap/>
            <w:vAlign w:val="center"/>
          </w:tcPr>
          <w:p w14:paraId="60268F25">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10.75</w:t>
            </w:r>
          </w:p>
        </w:tc>
        <w:tc>
          <w:tcPr>
            <w:tcW w:w="264" w:type="pct"/>
            <w:noWrap/>
            <w:vAlign w:val="center"/>
          </w:tcPr>
          <w:p w14:paraId="1342BA49">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11.69</w:t>
            </w:r>
          </w:p>
        </w:tc>
        <w:tc>
          <w:tcPr>
            <w:tcW w:w="267" w:type="pct"/>
            <w:noWrap/>
            <w:vAlign w:val="center"/>
          </w:tcPr>
          <w:p w14:paraId="3C65766E">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12.10</w:t>
            </w:r>
          </w:p>
        </w:tc>
        <w:tc>
          <w:tcPr>
            <w:tcW w:w="260" w:type="pct"/>
            <w:noWrap/>
            <w:vAlign w:val="center"/>
          </w:tcPr>
          <w:p w14:paraId="2B1B1058">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w:t>
            </w:r>
          </w:p>
        </w:tc>
      </w:tr>
      <w:tr w14:paraId="5526BE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35" w:type="pct"/>
            <w:noWrap/>
            <w:vAlign w:val="center"/>
          </w:tcPr>
          <w:p w14:paraId="1C0E18E3">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八月</w:t>
            </w:r>
          </w:p>
        </w:tc>
        <w:tc>
          <w:tcPr>
            <w:tcW w:w="267" w:type="pct"/>
            <w:noWrap/>
            <w:vAlign w:val="center"/>
          </w:tcPr>
          <w:p w14:paraId="6AF7E8DA">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13.17</w:t>
            </w:r>
          </w:p>
        </w:tc>
        <w:tc>
          <w:tcPr>
            <w:tcW w:w="267" w:type="pct"/>
            <w:noWrap/>
            <w:vAlign w:val="center"/>
          </w:tcPr>
          <w:p w14:paraId="4883DFBB">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8.60</w:t>
            </w:r>
          </w:p>
        </w:tc>
        <w:tc>
          <w:tcPr>
            <w:tcW w:w="267" w:type="pct"/>
            <w:noWrap/>
            <w:vAlign w:val="center"/>
          </w:tcPr>
          <w:p w14:paraId="2C2E1183">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267" w:type="pct"/>
            <w:noWrap/>
            <w:vAlign w:val="center"/>
          </w:tcPr>
          <w:p w14:paraId="70858B63">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5.91</w:t>
            </w:r>
          </w:p>
        </w:tc>
        <w:tc>
          <w:tcPr>
            <w:tcW w:w="267" w:type="pct"/>
            <w:noWrap/>
            <w:vAlign w:val="center"/>
          </w:tcPr>
          <w:p w14:paraId="6DD24144">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8.06</w:t>
            </w:r>
          </w:p>
        </w:tc>
        <w:tc>
          <w:tcPr>
            <w:tcW w:w="261" w:type="pct"/>
            <w:noWrap/>
            <w:vAlign w:val="center"/>
          </w:tcPr>
          <w:p w14:paraId="54714B9F">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6.45</w:t>
            </w:r>
          </w:p>
        </w:tc>
        <w:tc>
          <w:tcPr>
            <w:tcW w:w="259" w:type="pct"/>
            <w:noWrap/>
            <w:vAlign w:val="center"/>
          </w:tcPr>
          <w:p w14:paraId="68594C54">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3.76</w:t>
            </w:r>
          </w:p>
        </w:tc>
        <w:tc>
          <w:tcPr>
            <w:tcW w:w="259" w:type="pct"/>
            <w:noWrap/>
            <w:vAlign w:val="center"/>
          </w:tcPr>
          <w:p w14:paraId="515ACB01">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1.61</w:t>
            </w:r>
          </w:p>
        </w:tc>
        <w:tc>
          <w:tcPr>
            <w:tcW w:w="259" w:type="pct"/>
            <w:noWrap/>
            <w:vAlign w:val="center"/>
          </w:tcPr>
          <w:p w14:paraId="4C282955">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5.65</w:t>
            </w:r>
          </w:p>
        </w:tc>
        <w:tc>
          <w:tcPr>
            <w:tcW w:w="259" w:type="pct"/>
            <w:noWrap/>
            <w:vAlign w:val="center"/>
          </w:tcPr>
          <w:p w14:paraId="759FC8CA">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4.17</w:t>
            </w:r>
          </w:p>
        </w:tc>
        <w:tc>
          <w:tcPr>
            <w:tcW w:w="259" w:type="pct"/>
            <w:noWrap/>
            <w:vAlign w:val="center"/>
          </w:tcPr>
          <w:p w14:paraId="2426807E">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3.76</w:t>
            </w:r>
          </w:p>
        </w:tc>
        <w:tc>
          <w:tcPr>
            <w:tcW w:w="260" w:type="pct"/>
            <w:noWrap/>
            <w:vAlign w:val="center"/>
          </w:tcPr>
          <w:p w14:paraId="57E83A05">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2.82</w:t>
            </w:r>
          </w:p>
        </w:tc>
        <w:tc>
          <w:tcPr>
            <w:tcW w:w="259" w:type="pct"/>
            <w:noWrap/>
            <w:vAlign w:val="center"/>
          </w:tcPr>
          <w:p w14:paraId="6859C288">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4.03</w:t>
            </w:r>
          </w:p>
        </w:tc>
        <w:tc>
          <w:tcPr>
            <w:tcW w:w="267" w:type="pct"/>
            <w:noWrap/>
            <w:vAlign w:val="center"/>
          </w:tcPr>
          <w:p w14:paraId="4A158260">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4.17</w:t>
            </w:r>
          </w:p>
        </w:tc>
        <w:tc>
          <w:tcPr>
            <w:tcW w:w="264" w:type="pct"/>
            <w:noWrap/>
            <w:vAlign w:val="center"/>
          </w:tcPr>
          <w:p w14:paraId="6C17C9BD">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8.47</w:t>
            </w:r>
          </w:p>
        </w:tc>
        <w:tc>
          <w:tcPr>
            <w:tcW w:w="267" w:type="pct"/>
            <w:noWrap/>
            <w:vAlign w:val="center"/>
          </w:tcPr>
          <w:p w14:paraId="41AD1E28">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12.77</w:t>
            </w:r>
          </w:p>
        </w:tc>
        <w:tc>
          <w:tcPr>
            <w:tcW w:w="260" w:type="pct"/>
            <w:noWrap/>
            <w:vAlign w:val="center"/>
          </w:tcPr>
          <w:p w14:paraId="3EEC210B">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w:t>
            </w:r>
          </w:p>
        </w:tc>
      </w:tr>
      <w:tr w14:paraId="109ECC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35" w:type="pct"/>
            <w:noWrap/>
            <w:vAlign w:val="center"/>
          </w:tcPr>
          <w:p w14:paraId="50866FE0">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九月</w:t>
            </w:r>
          </w:p>
        </w:tc>
        <w:tc>
          <w:tcPr>
            <w:tcW w:w="267" w:type="pct"/>
            <w:noWrap/>
            <w:vAlign w:val="center"/>
          </w:tcPr>
          <w:p w14:paraId="1314B883">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20.97</w:t>
            </w:r>
          </w:p>
        </w:tc>
        <w:tc>
          <w:tcPr>
            <w:tcW w:w="267" w:type="pct"/>
            <w:noWrap/>
            <w:vAlign w:val="center"/>
          </w:tcPr>
          <w:p w14:paraId="7B4E942A">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12.08</w:t>
            </w:r>
          </w:p>
        </w:tc>
        <w:tc>
          <w:tcPr>
            <w:tcW w:w="267" w:type="pct"/>
            <w:noWrap/>
            <w:vAlign w:val="center"/>
          </w:tcPr>
          <w:p w14:paraId="1B54E88E">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10.97</w:t>
            </w:r>
          </w:p>
        </w:tc>
        <w:tc>
          <w:tcPr>
            <w:tcW w:w="267" w:type="pct"/>
            <w:noWrap/>
            <w:vAlign w:val="center"/>
          </w:tcPr>
          <w:p w14:paraId="1480175B">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5.56</w:t>
            </w:r>
          </w:p>
        </w:tc>
        <w:tc>
          <w:tcPr>
            <w:tcW w:w="267" w:type="pct"/>
            <w:noWrap/>
            <w:vAlign w:val="center"/>
          </w:tcPr>
          <w:p w14:paraId="0C3C25A9">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10.28</w:t>
            </w:r>
          </w:p>
        </w:tc>
        <w:tc>
          <w:tcPr>
            <w:tcW w:w="261" w:type="pct"/>
            <w:noWrap/>
            <w:vAlign w:val="center"/>
          </w:tcPr>
          <w:p w14:paraId="381FF3B1">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259" w:type="pct"/>
            <w:noWrap/>
            <w:vAlign w:val="center"/>
          </w:tcPr>
          <w:p w14:paraId="04F1208B">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4.86</w:t>
            </w:r>
          </w:p>
        </w:tc>
        <w:tc>
          <w:tcPr>
            <w:tcW w:w="259" w:type="pct"/>
            <w:noWrap/>
            <w:vAlign w:val="center"/>
          </w:tcPr>
          <w:p w14:paraId="51292851">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1.39</w:t>
            </w:r>
          </w:p>
        </w:tc>
        <w:tc>
          <w:tcPr>
            <w:tcW w:w="259" w:type="pct"/>
            <w:noWrap/>
            <w:vAlign w:val="center"/>
          </w:tcPr>
          <w:p w14:paraId="11762939">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2.36</w:t>
            </w:r>
          </w:p>
        </w:tc>
        <w:tc>
          <w:tcPr>
            <w:tcW w:w="259" w:type="pct"/>
            <w:noWrap/>
            <w:vAlign w:val="center"/>
          </w:tcPr>
          <w:p w14:paraId="6A12CC46">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1.81</w:t>
            </w:r>
          </w:p>
        </w:tc>
        <w:tc>
          <w:tcPr>
            <w:tcW w:w="259" w:type="pct"/>
            <w:noWrap/>
            <w:vAlign w:val="center"/>
          </w:tcPr>
          <w:p w14:paraId="1BE4BEDF">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3.75</w:t>
            </w:r>
          </w:p>
        </w:tc>
        <w:tc>
          <w:tcPr>
            <w:tcW w:w="260" w:type="pct"/>
            <w:noWrap/>
            <w:vAlign w:val="center"/>
          </w:tcPr>
          <w:p w14:paraId="614FBE3F">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2.78</w:t>
            </w:r>
          </w:p>
        </w:tc>
        <w:tc>
          <w:tcPr>
            <w:tcW w:w="259" w:type="pct"/>
            <w:noWrap/>
            <w:vAlign w:val="center"/>
          </w:tcPr>
          <w:p w14:paraId="28C30108">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1.81</w:t>
            </w:r>
          </w:p>
        </w:tc>
        <w:tc>
          <w:tcPr>
            <w:tcW w:w="267" w:type="pct"/>
            <w:noWrap/>
            <w:vAlign w:val="center"/>
          </w:tcPr>
          <w:p w14:paraId="3BE74AE9">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1.25</w:t>
            </w:r>
          </w:p>
        </w:tc>
        <w:tc>
          <w:tcPr>
            <w:tcW w:w="264" w:type="pct"/>
            <w:noWrap/>
            <w:vAlign w:val="center"/>
          </w:tcPr>
          <w:p w14:paraId="7A14D995">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3.61</w:t>
            </w:r>
          </w:p>
        </w:tc>
        <w:tc>
          <w:tcPr>
            <w:tcW w:w="267" w:type="pct"/>
            <w:noWrap/>
            <w:vAlign w:val="center"/>
          </w:tcPr>
          <w:p w14:paraId="5111BA09">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10.00</w:t>
            </w:r>
          </w:p>
        </w:tc>
        <w:tc>
          <w:tcPr>
            <w:tcW w:w="260" w:type="pct"/>
            <w:noWrap/>
            <w:vAlign w:val="center"/>
          </w:tcPr>
          <w:p w14:paraId="26691CB4">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w:t>
            </w:r>
          </w:p>
        </w:tc>
      </w:tr>
      <w:tr w14:paraId="6E93A9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35" w:type="pct"/>
            <w:noWrap/>
            <w:vAlign w:val="center"/>
          </w:tcPr>
          <w:p w14:paraId="36AE26DE">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十月</w:t>
            </w:r>
          </w:p>
        </w:tc>
        <w:tc>
          <w:tcPr>
            <w:tcW w:w="267" w:type="pct"/>
            <w:noWrap/>
            <w:vAlign w:val="center"/>
          </w:tcPr>
          <w:p w14:paraId="388E15A5">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15.59</w:t>
            </w:r>
          </w:p>
        </w:tc>
        <w:tc>
          <w:tcPr>
            <w:tcW w:w="267" w:type="pct"/>
            <w:noWrap/>
            <w:vAlign w:val="center"/>
          </w:tcPr>
          <w:p w14:paraId="0E0E117D">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9.01</w:t>
            </w:r>
          </w:p>
        </w:tc>
        <w:tc>
          <w:tcPr>
            <w:tcW w:w="267" w:type="pct"/>
            <w:noWrap/>
            <w:vAlign w:val="center"/>
          </w:tcPr>
          <w:p w14:paraId="69BC8B4A">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13.44</w:t>
            </w:r>
          </w:p>
        </w:tc>
        <w:tc>
          <w:tcPr>
            <w:tcW w:w="267" w:type="pct"/>
            <w:noWrap/>
            <w:vAlign w:val="center"/>
          </w:tcPr>
          <w:p w14:paraId="4B9EE64C">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9.95</w:t>
            </w:r>
          </w:p>
        </w:tc>
        <w:tc>
          <w:tcPr>
            <w:tcW w:w="267" w:type="pct"/>
            <w:noWrap/>
            <w:vAlign w:val="center"/>
          </w:tcPr>
          <w:p w14:paraId="32235C14">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10.08</w:t>
            </w:r>
          </w:p>
        </w:tc>
        <w:tc>
          <w:tcPr>
            <w:tcW w:w="261" w:type="pct"/>
            <w:noWrap/>
            <w:vAlign w:val="center"/>
          </w:tcPr>
          <w:p w14:paraId="5287C202">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4.03</w:t>
            </w:r>
          </w:p>
        </w:tc>
        <w:tc>
          <w:tcPr>
            <w:tcW w:w="259" w:type="pct"/>
            <w:noWrap/>
            <w:vAlign w:val="center"/>
          </w:tcPr>
          <w:p w14:paraId="1F5E07FD">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4.70</w:t>
            </w:r>
          </w:p>
        </w:tc>
        <w:tc>
          <w:tcPr>
            <w:tcW w:w="259" w:type="pct"/>
            <w:noWrap/>
            <w:vAlign w:val="center"/>
          </w:tcPr>
          <w:p w14:paraId="0AD6FC06">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3.63</w:t>
            </w:r>
          </w:p>
        </w:tc>
        <w:tc>
          <w:tcPr>
            <w:tcW w:w="259" w:type="pct"/>
            <w:noWrap/>
            <w:vAlign w:val="center"/>
          </w:tcPr>
          <w:p w14:paraId="693E0F4E">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4.57</w:t>
            </w:r>
          </w:p>
        </w:tc>
        <w:tc>
          <w:tcPr>
            <w:tcW w:w="259" w:type="pct"/>
            <w:noWrap/>
            <w:vAlign w:val="center"/>
          </w:tcPr>
          <w:p w14:paraId="1E8A84FF">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4.57</w:t>
            </w:r>
          </w:p>
        </w:tc>
        <w:tc>
          <w:tcPr>
            <w:tcW w:w="259" w:type="pct"/>
            <w:noWrap/>
            <w:vAlign w:val="center"/>
          </w:tcPr>
          <w:p w14:paraId="490E22C3">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4.44</w:t>
            </w:r>
          </w:p>
        </w:tc>
        <w:tc>
          <w:tcPr>
            <w:tcW w:w="260" w:type="pct"/>
            <w:noWrap/>
            <w:vAlign w:val="center"/>
          </w:tcPr>
          <w:p w14:paraId="0E4882F0">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w:t>
            </w:r>
          </w:p>
        </w:tc>
        <w:tc>
          <w:tcPr>
            <w:tcW w:w="259" w:type="pct"/>
            <w:noWrap/>
            <w:vAlign w:val="center"/>
          </w:tcPr>
          <w:p w14:paraId="73B92253">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4.57</w:t>
            </w:r>
          </w:p>
        </w:tc>
        <w:tc>
          <w:tcPr>
            <w:tcW w:w="267" w:type="pct"/>
            <w:noWrap/>
            <w:vAlign w:val="center"/>
          </w:tcPr>
          <w:p w14:paraId="6948ED61">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1.34</w:t>
            </w:r>
          </w:p>
        </w:tc>
        <w:tc>
          <w:tcPr>
            <w:tcW w:w="264" w:type="pct"/>
            <w:noWrap/>
            <w:vAlign w:val="center"/>
          </w:tcPr>
          <w:p w14:paraId="1E58B131">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2.42</w:t>
            </w:r>
          </w:p>
        </w:tc>
        <w:tc>
          <w:tcPr>
            <w:tcW w:w="267" w:type="pct"/>
            <w:noWrap/>
            <w:vAlign w:val="center"/>
          </w:tcPr>
          <w:p w14:paraId="026D5BBE">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5.38</w:t>
            </w:r>
          </w:p>
        </w:tc>
        <w:tc>
          <w:tcPr>
            <w:tcW w:w="260" w:type="pct"/>
            <w:noWrap/>
            <w:vAlign w:val="center"/>
          </w:tcPr>
          <w:p w14:paraId="124354D8">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0.27</w:t>
            </w:r>
          </w:p>
        </w:tc>
      </w:tr>
      <w:tr w14:paraId="5384D7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35" w:type="pct"/>
            <w:noWrap/>
            <w:vAlign w:val="center"/>
          </w:tcPr>
          <w:p w14:paraId="0434BE8F">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十一月</w:t>
            </w:r>
          </w:p>
        </w:tc>
        <w:tc>
          <w:tcPr>
            <w:tcW w:w="267" w:type="pct"/>
            <w:noWrap/>
            <w:vAlign w:val="center"/>
          </w:tcPr>
          <w:p w14:paraId="0A55ED03">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17.64</w:t>
            </w:r>
          </w:p>
        </w:tc>
        <w:tc>
          <w:tcPr>
            <w:tcW w:w="267" w:type="pct"/>
            <w:noWrap/>
            <w:vAlign w:val="center"/>
          </w:tcPr>
          <w:p w14:paraId="3240F9DC">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11.67</w:t>
            </w:r>
          </w:p>
        </w:tc>
        <w:tc>
          <w:tcPr>
            <w:tcW w:w="267" w:type="pct"/>
            <w:noWrap/>
            <w:vAlign w:val="center"/>
          </w:tcPr>
          <w:p w14:paraId="38859EA9">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11.67</w:t>
            </w:r>
          </w:p>
        </w:tc>
        <w:tc>
          <w:tcPr>
            <w:tcW w:w="267" w:type="pct"/>
            <w:noWrap/>
            <w:vAlign w:val="center"/>
          </w:tcPr>
          <w:p w14:paraId="2DD8B018">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6.81</w:t>
            </w:r>
          </w:p>
        </w:tc>
        <w:tc>
          <w:tcPr>
            <w:tcW w:w="267" w:type="pct"/>
            <w:noWrap/>
            <w:vAlign w:val="center"/>
          </w:tcPr>
          <w:p w14:paraId="5E430533">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5.69</w:t>
            </w:r>
          </w:p>
        </w:tc>
        <w:tc>
          <w:tcPr>
            <w:tcW w:w="261" w:type="pct"/>
            <w:noWrap/>
            <w:vAlign w:val="center"/>
          </w:tcPr>
          <w:p w14:paraId="2F0B12C4">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4.44</w:t>
            </w:r>
          </w:p>
        </w:tc>
        <w:tc>
          <w:tcPr>
            <w:tcW w:w="259" w:type="pct"/>
            <w:noWrap/>
            <w:vAlign w:val="center"/>
          </w:tcPr>
          <w:p w14:paraId="0BA4949E">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4.86</w:t>
            </w:r>
          </w:p>
        </w:tc>
        <w:tc>
          <w:tcPr>
            <w:tcW w:w="259" w:type="pct"/>
            <w:noWrap/>
            <w:vAlign w:val="center"/>
          </w:tcPr>
          <w:p w14:paraId="6E35D52A">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4.58</w:t>
            </w:r>
          </w:p>
        </w:tc>
        <w:tc>
          <w:tcPr>
            <w:tcW w:w="259" w:type="pct"/>
            <w:noWrap/>
            <w:vAlign w:val="center"/>
          </w:tcPr>
          <w:p w14:paraId="09EAA908">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6.25</w:t>
            </w:r>
          </w:p>
        </w:tc>
        <w:tc>
          <w:tcPr>
            <w:tcW w:w="259" w:type="pct"/>
            <w:noWrap/>
            <w:vAlign w:val="center"/>
          </w:tcPr>
          <w:p w14:paraId="6586AC40">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4.44</w:t>
            </w:r>
          </w:p>
        </w:tc>
        <w:tc>
          <w:tcPr>
            <w:tcW w:w="259" w:type="pct"/>
            <w:noWrap/>
            <w:vAlign w:val="center"/>
          </w:tcPr>
          <w:p w14:paraId="5D0CDC0E">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3.89</w:t>
            </w:r>
          </w:p>
        </w:tc>
        <w:tc>
          <w:tcPr>
            <w:tcW w:w="260" w:type="pct"/>
            <w:noWrap/>
            <w:vAlign w:val="center"/>
          </w:tcPr>
          <w:p w14:paraId="08CADFA8">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1.67</w:t>
            </w:r>
          </w:p>
        </w:tc>
        <w:tc>
          <w:tcPr>
            <w:tcW w:w="259" w:type="pct"/>
            <w:noWrap/>
            <w:vAlign w:val="center"/>
          </w:tcPr>
          <w:p w14:paraId="08DD3F18">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2.08</w:t>
            </w:r>
          </w:p>
        </w:tc>
        <w:tc>
          <w:tcPr>
            <w:tcW w:w="267" w:type="pct"/>
            <w:noWrap/>
            <w:vAlign w:val="center"/>
          </w:tcPr>
          <w:p w14:paraId="546E47AF">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0.83</w:t>
            </w:r>
          </w:p>
        </w:tc>
        <w:tc>
          <w:tcPr>
            <w:tcW w:w="264" w:type="pct"/>
            <w:noWrap/>
            <w:vAlign w:val="center"/>
          </w:tcPr>
          <w:p w14:paraId="16754C1E">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1.39</w:t>
            </w:r>
          </w:p>
        </w:tc>
        <w:tc>
          <w:tcPr>
            <w:tcW w:w="267" w:type="pct"/>
            <w:noWrap/>
            <w:vAlign w:val="center"/>
          </w:tcPr>
          <w:p w14:paraId="5167A146">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11.81</w:t>
            </w:r>
          </w:p>
        </w:tc>
        <w:tc>
          <w:tcPr>
            <w:tcW w:w="260" w:type="pct"/>
            <w:noWrap/>
            <w:vAlign w:val="center"/>
          </w:tcPr>
          <w:p w14:paraId="3730416B">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0.28</w:t>
            </w:r>
          </w:p>
        </w:tc>
      </w:tr>
      <w:tr w14:paraId="450F89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35" w:type="pct"/>
            <w:noWrap/>
            <w:vAlign w:val="center"/>
          </w:tcPr>
          <w:p w14:paraId="1448D2A3">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十二月</w:t>
            </w:r>
          </w:p>
        </w:tc>
        <w:tc>
          <w:tcPr>
            <w:tcW w:w="267" w:type="pct"/>
            <w:noWrap/>
            <w:vAlign w:val="center"/>
          </w:tcPr>
          <w:p w14:paraId="13B18DB0">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26.48</w:t>
            </w:r>
          </w:p>
        </w:tc>
        <w:tc>
          <w:tcPr>
            <w:tcW w:w="267" w:type="pct"/>
            <w:noWrap/>
            <w:vAlign w:val="center"/>
          </w:tcPr>
          <w:p w14:paraId="4408FC27">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11.56</w:t>
            </w:r>
          </w:p>
        </w:tc>
        <w:tc>
          <w:tcPr>
            <w:tcW w:w="267" w:type="pct"/>
            <w:noWrap/>
            <w:vAlign w:val="center"/>
          </w:tcPr>
          <w:p w14:paraId="1F0E14F2">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10.22</w:t>
            </w:r>
          </w:p>
        </w:tc>
        <w:tc>
          <w:tcPr>
            <w:tcW w:w="267" w:type="pct"/>
            <w:noWrap/>
            <w:vAlign w:val="center"/>
          </w:tcPr>
          <w:p w14:paraId="6A50DC9F">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4.70</w:t>
            </w:r>
          </w:p>
        </w:tc>
        <w:tc>
          <w:tcPr>
            <w:tcW w:w="267" w:type="pct"/>
            <w:noWrap/>
            <w:vAlign w:val="center"/>
          </w:tcPr>
          <w:p w14:paraId="628664D0">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4.97</w:t>
            </w:r>
          </w:p>
        </w:tc>
        <w:tc>
          <w:tcPr>
            <w:tcW w:w="261" w:type="pct"/>
            <w:noWrap/>
            <w:vAlign w:val="center"/>
          </w:tcPr>
          <w:p w14:paraId="19AC94F4">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3.23</w:t>
            </w:r>
          </w:p>
        </w:tc>
        <w:tc>
          <w:tcPr>
            <w:tcW w:w="259" w:type="pct"/>
            <w:noWrap/>
            <w:vAlign w:val="center"/>
          </w:tcPr>
          <w:p w14:paraId="46B40398">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3.09</w:t>
            </w:r>
          </w:p>
        </w:tc>
        <w:tc>
          <w:tcPr>
            <w:tcW w:w="259" w:type="pct"/>
            <w:noWrap/>
            <w:vAlign w:val="center"/>
          </w:tcPr>
          <w:p w14:paraId="6F5239F9">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5.51</w:t>
            </w:r>
          </w:p>
        </w:tc>
        <w:tc>
          <w:tcPr>
            <w:tcW w:w="259" w:type="pct"/>
            <w:noWrap/>
            <w:vAlign w:val="center"/>
          </w:tcPr>
          <w:p w14:paraId="64ADD6BC">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5.51</w:t>
            </w:r>
          </w:p>
        </w:tc>
        <w:tc>
          <w:tcPr>
            <w:tcW w:w="259" w:type="pct"/>
            <w:noWrap/>
            <w:vAlign w:val="center"/>
          </w:tcPr>
          <w:p w14:paraId="017440BB">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3.09</w:t>
            </w:r>
          </w:p>
        </w:tc>
        <w:tc>
          <w:tcPr>
            <w:tcW w:w="259" w:type="pct"/>
            <w:noWrap/>
            <w:vAlign w:val="center"/>
          </w:tcPr>
          <w:p w14:paraId="537E0CAE">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2.28</w:t>
            </w:r>
          </w:p>
        </w:tc>
        <w:tc>
          <w:tcPr>
            <w:tcW w:w="260" w:type="pct"/>
            <w:noWrap/>
            <w:vAlign w:val="center"/>
          </w:tcPr>
          <w:p w14:paraId="09BF797F">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0.81</w:t>
            </w:r>
          </w:p>
        </w:tc>
        <w:tc>
          <w:tcPr>
            <w:tcW w:w="259" w:type="pct"/>
            <w:noWrap/>
            <w:vAlign w:val="center"/>
          </w:tcPr>
          <w:p w14:paraId="57E8856E">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2.42</w:t>
            </w:r>
          </w:p>
        </w:tc>
        <w:tc>
          <w:tcPr>
            <w:tcW w:w="267" w:type="pct"/>
            <w:noWrap/>
            <w:vAlign w:val="center"/>
          </w:tcPr>
          <w:p w14:paraId="53CC9853">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0.81</w:t>
            </w:r>
          </w:p>
        </w:tc>
        <w:tc>
          <w:tcPr>
            <w:tcW w:w="264" w:type="pct"/>
            <w:noWrap/>
            <w:vAlign w:val="center"/>
          </w:tcPr>
          <w:p w14:paraId="51AF021C">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2.42</w:t>
            </w:r>
          </w:p>
        </w:tc>
        <w:tc>
          <w:tcPr>
            <w:tcW w:w="267" w:type="pct"/>
            <w:noWrap/>
            <w:vAlign w:val="center"/>
          </w:tcPr>
          <w:p w14:paraId="10B0954B">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12.10</w:t>
            </w:r>
          </w:p>
        </w:tc>
        <w:tc>
          <w:tcPr>
            <w:tcW w:w="260" w:type="pct"/>
            <w:noWrap/>
            <w:vAlign w:val="center"/>
          </w:tcPr>
          <w:p w14:paraId="1A2C1136">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0.81</w:t>
            </w:r>
          </w:p>
        </w:tc>
      </w:tr>
      <w:tr w14:paraId="27F4DF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35" w:type="pct"/>
            <w:noWrap/>
            <w:vAlign w:val="center"/>
          </w:tcPr>
          <w:p w14:paraId="318B7976">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春季</w:t>
            </w:r>
          </w:p>
        </w:tc>
        <w:tc>
          <w:tcPr>
            <w:tcW w:w="267" w:type="pct"/>
            <w:noWrap/>
            <w:vAlign w:val="center"/>
          </w:tcPr>
          <w:p w14:paraId="75C37E08">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12.32</w:t>
            </w:r>
          </w:p>
        </w:tc>
        <w:tc>
          <w:tcPr>
            <w:tcW w:w="267" w:type="pct"/>
            <w:noWrap/>
            <w:vAlign w:val="center"/>
          </w:tcPr>
          <w:p w14:paraId="2181D3DC">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8.97</w:t>
            </w:r>
          </w:p>
        </w:tc>
        <w:tc>
          <w:tcPr>
            <w:tcW w:w="267" w:type="pct"/>
            <w:noWrap/>
            <w:vAlign w:val="center"/>
          </w:tcPr>
          <w:p w14:paraId="6CCA8E30">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9.33</w:t>
            </w:r>
          </w:p>
        </w:tc>
        <w:tc>
          <w:tcPr>
            <w:tcW w:w="267" w:type="pct"/>
            <w:noWrap/>
            <w:vAlign w:val="center"/>
          </w:tcPr>
          <w:p w14:paraId="4B8E8629">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8.97</w:t>
            </w:r>
          </w:p>
        </w:tc>
        <w:tc>
          <w:tcPr>
            <w:tcW w:w="267" w:type="pct"/>
            <w:noWrap/>
            <w:vAlign w:val="center"/>
          </w:tcPr>
          <w:p w14:paraId="44151429">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11.78</w:t>
            </w:r>
          </w:p>
        </w:tc>
        <w:tc>
          <w:tcPr>
            <w:tcW w:w="261" w:type="pct"/>
            <w:noWrap/>
            <w:vAlign w:val="center"/>
          </w:tcPr>
          <w:p w14:paraId="471A50AD">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5.03</w:t>
            </w:r>
          </w:p>
        </w:tc>
        <w:tc>
          <w:tcPr>
            <w:tcW w:w="259" w:type="pct"/>
            <w:noWrap/>
            <w:vAlign w:val="center"/>
          </w:tcPr>
          <w:p w14:paraId="023DE421">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3.53</w:t>
            </w:r>
          </w:p>
        </w:tc>
        <w:tc>
          <w:tcPr>
            <w:tcW w:w="259" w:type="pct"/>
            <w:noWrap/>
            <w:vAlign w:val="center"/>
          </w:tcPr>
          <w:p w14:paraId="040E426D">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2.36</w:t>
            </w:r>
          </w:p>
        </w:tc>
        <w:tc>
          <w:tcPr>
            <w:tcW w:w="259" w:type="pct"/>
            <w:noWrap/>
            <w:vAlign w:val="center"/>
          </w:tcPr>
          <w:p w14:paraId="63CE5805">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4.48</w:t>
            </w:r>
          </w:p>
        </w:tc>
        <w:tc>
          <w:tcPr>
            <w:tcW w:w="259" w:type="pct"/>
            <w:noWrap/>
            <w:vAlign w:val="center"/>
          </w:tcPr>
          <w:p w14:paraId="0C3FEDA0">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3.49</w:t>
            </w:r>
          </w:p>
        </w:tc>
        <w:tc>
          <w:tcPr>
            <w:tcW w:w="259" w:type="pct"/>
            <w:noWrap/>
            <w:vAlign w:val="center"/>
          </w:tcPr>
          <w:p w14:paraId="6054D6F5">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3.08</w:t>
            </w:r>
          </w:p>
        </w:tc>
        <w:tc>
          <w:tcPr>
            <w:tcW w:w="260" w:type="pct"/>
            <w:noWrap/>
            <w:vAlign w:val="center"/>
          </w:tcPr>
          <w:p w14:paraId="7F9051DE">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3.13</w:t>
            </w:r>
          </w:p>
        </w:tc>
        <w:tc>
          <w:tcPr>
            <w:tcW w:w="259" w:type="pct"/>
            <w:noWrap/>
            <w:vAlign w:val="center"/>
          </w:tcPr>
          <w:p w14:paraId="4F1440AB">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3.31</w:t>
            </w:r>
          </w:p>
        </w:tc>
        <w:tc>
          <w:tcPr>
            <w:tcW w:w="267" w:type="pct"/>
            <w:noWrap/>
            <w:vAlign w:val="center"/>
          </w:tcPr>
          <w:p w14:paraId="0710B6DC">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3.44</w:t>
            </w:r>
          </w:p>
        </w:tc>
        <w:tc>
          <w:tcPr>
            <w:tcW w:w="264" w:type="pct"/>
            <w:noWrap/>
            <w:vAlign w:val="center"/>
          </w:tcPr>
          <w:p w14:paraId="25840678">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5.62</w:t>
            </w:r>
          </w:p>
        </w:tc>
        <w:tc>
          <w:tcPr>
            <w:tcW w:w="267" w:type="pct"/>
            <w:noWrap/>
            <w:vAlign w:val="center"/>
          </w:tcPr>
          <w:p w14:paraId="7D4C8355">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10.96</w:t>
            </w:r>
          </w:p>
        </w:tc>
        <w:tc>
          <w:tcPr>
            <w:tcW w:w="260" w:type="pct"/>
            <w:noWrap/>
            <w:vAlign w:val="center"/>
          </w:tcPr>
          <w:p w14:paraId="7CE493B0">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0.23</w:t>
            </w:r>
          </w:p>
        </w:tc>
      </w:tr>
      <w:tr w14:paraId="17256B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35" w:type="pct"/>
            <w:noWrap/>
            <w:vAlign w:val="center"/>
          </w:tcPr>
          <w:p w14:paraId="7C400D2C">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夏季</w:t>
            </w:r>
          </w:p>
        </w:tc>
        <w:tc>
          <w:tcPr>
            <w:tcW w:w="267" w:type="pct"/>
            <w:noWrap/>
            <w:vAlign w:val="center"/>
          </w:tcPr>
          <w:p w14:paraId="557213C7">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11.78</w:t>
            </w:r>
          </w:p>
        </w:tc>
        <w:tc>
          <w:tcPr>
            <w:tcW w:w="267" w:type="pct"/>
            <w:noWrap/>
            <w:vAlign w:val="center"/>
          </w:tcPr>
          <w:p w14:paraId="17C4248D">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8.06</w:t>
            </w:r>
          </w:p>
        </w:tc>
        <w:tc>
          <w:tcPr>
            <w:tcW w:w="267" w:type="pct"/>
            <w:noWrap/>
            <w:vAlign w:val="center"/>
          </w:tcPr>
          <w:p w14:paraId="09CB26BE">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7.16</w:t>
            </w:r>
          </w:p>
        </w:tc>
        <w:tc>
          <w:tcPr>
            <w:tcW w:w="267" w:type="pct"/>
            <w:noWrap/>
            <w:vAlign w:val="center"/>
          </w:tcPr>
          <w:p w14:paraId="4F891EB5">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5.89</w:t>
            </w:r>
          </w:p>
        </w:tc>
        <w:tc>
          <w:tcPr>
            <w:tcW w:w="267" w:type="pct"/>
            <w:noWrap/>
            <w:vAlign w:val="center"/>
          </w:tcPr>
          <w:p w14:paraId="7A131F1A">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9.15</w:t>
            </w:r>
          </w:p>
        </w:tc>
        <w:tc>
          <w:tcPr>
            <w:tcW w:w="261" w:type="pct"/>
            <w:noWrap/>
            <w:vAlign w:val="center"/>
          </w:tcPr>
          <w:p w14:paraId="24E0E93A">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5.57</w:t>
            </w:r>
          </w:p>
        </w:tc>
        <w:tc>
          <w:tcPr>
            <w:tcW w:w="259" w:type="pct"/>
            <w:noWrap/>
            <w:vAlign w:val="center"/>
          </w:tcPr>
          <w:p w14:paraId="5F1F04FB">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3.26</w:t>
            </w:r>
          </w:p>
        </w:tc>
        <w:tc>
          <w:tcPr>
            <w:tcW w:w="259" w:type="pct"/>
            <w:noWrap/>
            <w:vAlign w:val="center"/>
          </w:tcPr>
          <w:p w14:paraId="03D85590">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1.86</w:t>
            </w:r>
          </w:p>
        </w:tc>
        <w:tc>
          <w:tcPr>
            <w:tcW w:w="259" w:type="pct"/>
            <w:noWrap/>
            <w:vAlign w:val="center"/>
          </w:tcPr>
          <w:p w14:paraId="6921FC0D">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5.16</w:t>
            </w:r>
          </w:p>
        </w:tc>
        <w:tc>
          <w:tcPr>
            <w:tcW w:w="259" w:type="pct"/>
            <w:noWrap/>
            <w:vAlign w:val="center"/>
          </w:tcPr>
          <w:p w14:paraId="67E642FE">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3.99</w:t>
            </w:r>
          </w:p>
        </w:tc>
        <w:tc>
          <w:tcPr>
            <w:tcW w:w="259" w:type="pct"/>
            <w:noWrap/>
            <w:vAlign w:val="center"/>
          </w:tcPr>
          <w:p w14:paraId="054838CD">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3.58</w:t>
            </w:r>
          </w:p>
        </w:tc>
        <w:tc>
          <w:tcPr>
            <w:tcW w:w="260" w:type="pct"/>
            <w:noWrap/>
            <w:vAlign w:val="center"/>
          </w:tcPr>
          <w:p w14:paraId="3CCE8E11">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2.63</w:t>
            </w:r>
          </w:p>
        </w:tc>
        <w:tc>
          <w:tcPr>
            <w:tcW w:w="259" w:type="pct"/>
            <w:noWrap/>
            <w:vAlign w:val="center"/>
          </w:tcPr>
          <w:p w14:paraId="7E420224">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4.39</w:t>
            </w:r>
          </w:p>
        </w:tc>
        <w:tc>
          <w:tcPr>
            <w:tcW w:w="267" w:type="pct"/>
            <w:noWrap/>
            <w:vAlign w:val="center"/>
          </w:tcPr>
          <w:p w14:paraId="7226F4BD">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6.52</w:t>
            </w:r>
          </w:p>
        </w:tc>
        <w:tc>
          <w:tcPr>
            <w:tcW w:w="264" w:type="pct"/>
            <w:noWrap/>
            <w:vAlign w:val="center"/>
          </w:tcPr>
          <w:p w14:paraId="5E3524C9">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8.88</w:t>
            </w:r>
          </w:p>
        </w:tc>
        <w:tc>
          <w:tcPr>
            <w:tcW w:w="267" w:type="pct"/>
            <w:noWrap/>
            <w:vAlign w:val="center"/>
          </w:tcPr>
          <w:p w14:paraId="61E85516">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11.91</w:t>
            </w:r>
          </w:p>
        </w:tc>
        <w:tc>
          <w:tcPr>
            <w:tcW w:w="260" w:type="pct"/>
            <w:noWrap/>
            <w:vAlign w:val="center"/>
          </w:tcPr>
          <w:p w14:paraId="7439D6D4">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0.23</w:t>
            </w:r>
          </w:p>
        </w:tc>
      </w:tr>
      <w:tr w14:paraId="18E140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35" w:type="pct"/>
            <w:noWrap/>
            <w:vAlign w:val="center"/>
          </w:tcPr>
          <w:p w14:paraId="7B763E05">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秋季</w:t>
            </w:r>
          </w:p>
        </w:tc>
        <w:tc>
          <w:tcPr>
            <w:tcW w:w="267" w:type="pct"/>
            <w:noWrap/>
            <w:vAlign w:val="center"/>
          </w:tcPr>
          <w:p w14:paraId="22003018">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18.04</w:t>
            </w:r>
          </w:p>
        </w:tc>
        <w:tc>
          <w:tcPr>
            <w:tcW w:w="267" w:type="pct"/>
            <w:noWrap/>
            <w:vAlign w:val="center"/>
          </w:tcPr>
          <w:p w14:paraId="475177F5">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10.90</w:t>
            </w:r>
          </w:p>
        </w:tc>
        <w:tc>
          <w:tcPr>
            <w:tcW w:w="267" w:type="pct"/>
            <w:noWrap/>
            <w:vAlign w:val="center"/>
          </w:tcPr>
          <w:p w14:paraId="1EBB06B4">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12.04</w:t>
            </w:r>
          </w:p>
        </w:tc>
        <w:tc>
          <w:tcPr>
            <w:tcW w:w="267" w:type="pct"/>
            <w:noWrap/>
            <w:vAlign w:val="center"/>
          </w:tcPr>
          <w:p w14:paraId="75529E44">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7.46</w:t>
            </w:r>
          </w:p>
        </w:tc>
        <w:tc>
          <w:tcPr>
            <w:tcW w:w="267" w:type="pct"/>
            <w:noWrap/>
            <w:vAlign w:val="center"/>
          </w:tcPr>
          <w:p w14:paraId="2DD47E39">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8.70</w:t>
            </w:r>
          </w:p>
        </w:tc>
        <w:tc>
          <w:tcPr>
            <w:tcW w:w="261" w:type="pct"/>
            <w:noWrap/>
            <w:vAlign w:val="center"/>
          </w:tcPr>
          <w:p w14:paraId="380B50E6">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4.99</w:t>
            </w:r>
          </w:p>
        </w:tc>
        <w:tc>
          <w:tcPr>
            <w:tcW w:w="259" w:type="pct"/>
            <w:noWrap/>
            <w:vAlign w:val="center"/>
          </w:tcPr>
          <w:p w14:paraId="3BF4FF74">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4.81</w:t>
            </w:r>
          </w:p>
        </w:tc>
        <w:tc>
          <w:tcPr>
            <w:tcW w:w="259" w:type="pct"/>
            <w:noWrap/>
            <w:vAlign w:val="center"/>
          </w:tcPr>
          <w:p w14:paraId="0D077897">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3.21</w:t>
            </w:r>
          </w:p>
        </w:tc>
        <w:tc>
          <w:tcPr>
            <w:tcW w:w="259" w:type="pct"/>
            <w:noWrap/>
            <w:vAlign w:val="center"/>
          </w:tcPr>
          <w:p w14:paraId="0F99499D">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4.40</w:t>
            </w:r>
          </w:p>
        </w:tc>
        <w:tc>
          <w:tcPr>
            <w:tcW w:w="259" w:type="pct"/>
            <w:noWrap/>
            <w:vAlign w:val="center"/>
          </w:tcPr>
          <w:p w14:paraId="67BA4DF8">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3.62</w:t>
            </w:r>
          </w:p>
        </w:tc>
        <w:tc>
          <w:tcPr>
            <w:tcW w:w="259" w:type="pct"/>
            <w:noWrap/>
            <w:vAlign w:val="center"/>
          </w:tcPr>
          <w:p w14:paraId="324A13AC">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4.03</w:t>
            </w:r>
          </w:p>
        </w:tc>
        <w:tc>
          <w:tcPr>
            <w:tcW w:w="260" w:type="pct"/>
            <w:noWrap/>
            <w:vAlign w:val="center"/>
          </w:tcPr>
          <w:p w14:paraId="4854AE29">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2.15</w:t>
            </w:r>
          </w:p>
        </w:tc>
        <w:tc>
          <w:tcPr>
            <w:tcW w:w="259" w:type="pct"/>
            <w:noWrap/>
            <w:vAlign w:val="center"/>
          </w:tcPr>
          <w:p w14:paraId="669B1EA8">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2.84</w:t>
            </w:r>
          </w:p>
        </w:tc>
        <w:tc>
          <w:tcPr>
            <w:tcW w:w="267" w:type="pct"/>
            <w:noWrap/>
            <w:vAlign w:val="center"/>
          </w:tcPr>
          <w:p w14:paraId="2CCC5480">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1.14</w:t>
            </w:r>
          </w:p>
        </w:tc>
        <w:tc>
          <w:tcPr>
            <w:tcW w:w="264" w:type="pct"/>
            <w:noWrap/>
            <w:vAlign w:val="center"/>
          </w:tcPr>
          <w:p w14:paraId="7432EBD8">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2.47</w:t>
            </w:r>
          </w:p>
        </w:tc>
        <w:tc>
          <w:tcPr>
            <w:tcW w:w="267" w:type="pct"/>
            <w:noWrap/>
            <w:vAlign w:val="center"/>
          </w:tcPr>
          <w:p w14:paraId="214B249F">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9.02</w:t>
            </w:r>
          </w:p>
        </w:tc>
        <w:tc>
          <w:tcPr>
            <w:tcW w:w="260" w:type="pct"/>
            <w:noWrap/>
            <w:vAlign w:val="center"/>
          </w:tcPr>
          <w:p w14:paraId="1A641394">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0.18</w:t>
            </w:r>
          </w:p>
        </w:tc>
      </w:tr>
      <w:tr w14:paraId="434260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35" w:type="pct"/>
            <w:noWrap/>
            <w:vAlign w:val="center"/>
          </w:tcPr>
          <w:p w14:paraId="515B85C3">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冬季</w:t>
            </w:r>
          </w:p>
        </w:tc>
        <w:tc>
          <w:tcPr>
            <w:tcW w:w="267" w:type="pct"/>
            <w:noWrap/>
            <w:vAlign w:val="center"/>
          </w:tcPr>
          <w:p w14:paraId="2B736F8F">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19.49</w:t>
            </w:r>
          </w:p>
        </w:tc>
        <w:tc>
          <w:tcPr>
            <w:tcW w:w="267" w:type="pct"/>
            <w:noWrap/>
            <w:vAlign w:val="center"/>
          </w:tcPr>
          <w:p w14:paraId="472DFD69">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10.79</w:t>
            </w:r>
          </w:p>
        </w:tc>
        <w:tc>
          <w:tcPr>
            <w:tcW w:w="267" w:type="pct"/>
            <w:noWrap/>
            <w:vAlign w:val="center"/>
          </w:tcPr>
          <w:p w14:paraId="3C6D431E">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9.49</w:t>
            </w:r>
          </w:p>
        </w:tc>
        <w:tc>
          <w:tcPr>
            <w:tcW w:w="267" w:type="pct"/>
            <w:noWrap/>
            <w:vAlign w:val="center"/>
          </w:tcPr>
          <w:p w14:paraId="64E6FE4C">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5.74</w:t>
            </w:r>
          </w:p>
        </w:tc>
        <w:tc>
          <w:tcPr>
            <w:tcW w:w="267" w:type="pct"/>
            <w:noWrap/>
            <w:vAlign w:val="center"/>
          </w:tcPr>
          <w:p w14:paraId="65834AF2">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7.04</w:t>
            </w:r>
          </w:p>
        </w:tc>
        <w:tc>
          <w:tcPr>
            <w:tcW w:w="261" w:type="pct"/>
            <w:noWrap/>
            <w:vAlign w:val="center"/>
          </w:tcPr>
          <w:p w14:paraId="479946EF">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3.84</w:t>
            </w:r>
          </w:p>
        </w:tc>
        <w:tc>
          <w:tcPr>
            <w:tcW w:w="259" w:type="pct"/>
            <w:noWrap/>
            <w:vAlign w:val="center"/>
          </w:tcPr>
          <w:p w14:paraId="42030CF0">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3.38</w:t>
            </w:r>
          </w:p>
        </w:tc>
        <w:tc>
          <w:tcPr>
            <w:tcW w:w="259" w:type="pct"/>
            <w:noWrap/>
            <w:vAlign w:val="center"/>
          </w:tcPr>
          <w:p w14:paraId="1EC6B504">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4.72</w:t>
            </w:r>
          </w:p>
        </w:tc>
        <w:tc>
          <w:tcPr>
            <w:tcW w:w="259" w:type="pct"/>
            <w:noWrap/>
            <w:vAlign w:val="center"/>
          </w:tcPr>
          <w:p w14:paraId="054D8502">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6.71</w:t>
            </w:r>
          </w:p>
        </w:tc>
        <w:tc>
          <w:tcPr>
            <w:tcW w:w="259" w:type="pct"/>
            <w:noWrap/>
            <w:vAlign w:val="center"/>
          </w:tcPr>
          <w:p w14:paraId="7F6F3336">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3.89</w:t>
            </w:r>
          </w:p>
        </w:tc>
        <w:tc>
          <w:tcPr>
            <w:tcW w:w="259" w:type="pct"/>
            <w:noWrap/>
            <w:vAlign w:val="center"/>
          </w:tcPr>
          <w:p w14:paraId="28C0C443">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2.04</w:t>
            </w:r>
          </w:p>
        </w:tc>
        <w:tc>
          <w:tcPr>
            <w:tcW w:w="260" w:type="pct"/>
            <w:noWrap/>
            <w:vAlign w:val="center"/>
          </w:tcPr>
          <w:p w14:paraId="2EE6AC44">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1.25</w:t>
            </w:r>
          </w:p>
        </w:tc>
        <w:tc>
          <w:tcPr>
            <w:tcW w:w="259" w:type="pct"/>
            <w:noWrap/>
            <w:vAlign w:val="center"/>
          </w:tcPr>
          <w:p w14:paraId="1043F975">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2.04</w:t>
            </w:r>
          </w:p>
        </w:tc>
        <w:tc>
          <w:tcPr>
            <w:tcW w:w="267" w:type="pct"/>
            <w:noWrap/>
            <w:vAlign w:val="center"/>
          </w:tcPr>
          <w:p w14:paraId="62E52D04">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0.88</w:t>
            </w:r>
          </w:p>
        </w:tc>
        <w:tc>
          <w:tcPr>
            <w:tcW w:w="264" w:type="pct"/>
            <w:noWrap/>
            <w:vAlign w:val="center"/>
          </w:tcPr>
          <w:p w14:paraId="7287E0FE">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2.73</w:t>
            </w:r>
          </w:p>
        </w:tc>
        <w:tc>
          <w:tcPr>
            <w:tcW w:w="267" w:type="pct"/>
            <w:noWrap/>
            <w:vAlign w:val="center"/>
          </w:tcPr>
          <w:p w14:paraId="72003AB2">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15.56</w:t>
            </w:r>
          </w:p>
        </w:tc>
        <w:tc>
          <w:tcPr>
            <w:tcW w:w="260" w:type="pct"/>
            <w:noWrap/>
            <w:vAlign w:val="center"/>
          </w:tcPr>
          <w:p w14:paraId="78485F2D">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0.42</w:t>
            </w:r>
          </w:p>
        </w:tc>
      </w:tr>
      <w:tr w14:paraId="79F431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35" w:type="pct"/>
            <w:noWrap/>
            <w:vAlign w:val="center"/>
          </w:tcPr>
          <w:p w14:paraId="520911F5">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全年</w:t>
            </w:r>
          </w:p>
        </w:tc>
        <w:tc>
          <w:tcPr>
            <w:tcW w:w="267" w:type="pct"/>
            <w:noWrap/>
            <w:vAlign w:val="center"/>
          </w:tcPr>
          <w:p w14:paraId="4ECF9023">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15.38</w:t>
            </w:r>
          </w:p>
        </w:tc>
        <w:tc>
          <w:tcPr>
            <w:tcW w:w="267" w:type="pct"/>
            <w:noWrap/>
            <w:vAlign w:val="center"/>
          </w:tcPr>
          <w:p w14:paraId="1D68BC4A">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9.67</w:t>
            </w:r>
          </w:p>
        </w:tc>
        <w:tc>
          <w:tcPr>
            <w:tcW w:w="267" w:type="pct"/>
            <w:noWrap/>
            <w:vAlign w:val="center"/>
          </w:tcPr>
          <w:p w14:paraId="695FA7E5">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9.50</w:t>
            </w:r>
          </w:p>
        </w:tc>
        <w:tc>
          <w:tcPr>
            <w:tcW w:w="267" w:type="pct"/>
            <w:noWrap/>
            <w:vAlign w:val="center"/>
          </w:tcPr>
          <w:p w14:paraId="3DBBF924">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7.02</w:t>
            </w:r>
          </w:p>
        </w:tc>
        <w:tc>
          <w:tcPr>
            <w:tcW w:w="267" w:type="pct"/>
            <w:noWrap/>
            <w:vAlign w:val="center"/>
          </w:tcPr>
          <w:p w14:paraId="1007B947">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9.18</w:t>
            </w:r>
          </w:p>
        </w:tc>
        <w:tc>
          <w:tcPr>
            <w:tcW w:w="261" w:type="pct"/>
            <w:noWrap/>
            <w:vAlign w:val="center"/>
          </w:tcPr>
          <w:p w14:paraId="1EAFE6D4">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4.86</w:t>
            </w:r>
          </w:p>
        </w:tc>
        <w:tc>
          <w:tcPr>
            <w:tcW w:w="259" w:type="pct"/>
            <w:noWrap/>
            <w:vAlign w:val="center"/>
          </w:tcPr>
          <w:p w14:paraId="2266C656">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3.74</w:t>
            </w:r>
          </w:p>
        </w:tc>
        <w:tc>
          <w:tcPr>
            <w:tcW w:w="259" w:type="pct"/>
            <w:noWrap/>
            <w:vAlign w:val="center"/>
          </w:tcPr>
          <w:p w14:paraId="543BF4BD">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3.03</w:t>
            </w:r>
          </w:p>
        </w:tc>
        <w:tc>
          <w:tcPr>
            <w:tcW w:w="259" w:type="pct"/>
            <w:noWrap/>
            <w:vAlign w:val="center"/>
          </w:tcPr>
          <w:p w14:paraId="72F74F25">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5.18</w:t>
            </w:r>
          </w:p>
        </w:tc>
        <w:tc>
          <w:tcPr>
            <w:tcW w:w="259" w:type="pct"/>
            <w:noWrap/>
            <w:vAlign w:val="center"/>
          </w:tcPr>
          <w:p w14:paraId="6F5933C4">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3.74</w:t>
            </w:r>
          </w:p>
        </w:tc>
        <w:tc>
          <w:tcPr>
            <w:tcW w:w="259" w:type="pct"/>
            <w:noWrap/>
            <w:vAlign w:val="center"/>
          </w:tcPr>
          <w:p w14:paraId="16A0E6D5">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3.18</w:t>
            </w:r>
          </w:p>
        </w:tc>
        <w:tc>
          <w:tcPr>
            <w:tcW w:w="260" w:type="pct"/>
            <w:noWrap/>
            <w:vAlign w:val="center"/>
          </w:tcPr>
          <w:p w14:paraId="152AF0D1">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2.29</w:t>
            </w:r>
          </w:p>
        </w:tc>
        <w:tc>
          <w:tcPr>
            <w:tcW w:w="259" w:type="pct"/>
            <w:noWrap/>
            <w:vAlign w:val="center"/>
          </w:tcPr>
          <w:p w14:paraId="121FA75A">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3.15</w:t>
            </w:r>
          </w:p>
        </w:tc>
        <w:tc>
          <w:tcPr>
            <w:tcW w:w="267" w:type="pct"/>
            <w:noWrap/>
            <w:vAlign w:val="center"/>
          </w:tcPr>
          <w:p w14:paraId="138DAAA8">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3.01</w:t>
            </w:r>
          </w:p>
        </w:tc>
        <w:tc>
          <w:tcPr>
            <w:tcW w:w="264" w:type="pct"/>
            <w:noWrap/>
            <w:vAlign w:val="center"/>
          </w:tcPr>
          <w:p w14:paraId="1CFFB2AE">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4.94</w:t>
            </w:r>
          </w:p>
        </w:tc>
        <w:tc>
          <w:tcPr>
            <w:tcW w:w="267" w:type="pct"/>
            <w:noWrap/>
            <w:vAlign w:val="center"/>
          </w:tcPr>
          <w:p w14:paraId="04B4FB73">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11.85</w:t>
            </w:r>
          </w:p>
        </w:tc>
        <w:tc>
          <w:tcPr>
            <w:tcW w:w="260" w:type="pct"/>
            <w:noWrap/>
            <w:vAlign w:val="center"/>
          </w:tcPr>
          <w:p w14:paraId="1C19A65D">
            <w:pPr>
              <w:keepNext w:val="0"/>
              <w:keepLines w:val="0"/>
              <w:suppressLineNumbers w:val="0"/>
              <w:adjustRightInd w:val="0"/>
              <w:snapToGrid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0.26</w:t>
            </w:r>
          </w:p>
        </w:tc>
      </w:tr>
    </w:tbl>
    <w:p w14:paraId="36E357CB">
      <w:pPr>
        <w:adjustRightInd w:val="0"/>
        <w:snapToGrid w:val="0"/>
        <w:spacing w:line="240" w:lineRule="auto"/>
        <w:rPr>
          <w:rFonts w:hint="default" w:ascii="Times New Roman" w:hAnsi="Times New Roman" w:cs="Times New Roman"/>
          <w:color w:val="auto"/>
          <w:sz w:val="21"/>
          <w:szCs w:val="21"/>
          <w:highlight w:val="none"/>
        </w:rPr>
      </w:pPr>
    </w:p>
    <w:p w14:paraId="194B62FB">
      <w:pPr>
        <w:adjustRightInd w:val="0"/>
        <w:snapToGrid w:val="0"/>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p>
    <w:p w14:paraId="330F52B9">
      <w:pPr>
        <w:adjustRightInd w:val="0"/>
        <w:snapToGrid w:val="0"/>
        <w:spacing w:line="240" w:lineRule="auto"/>
        <w:rPr>
          <w:rFonts w:hint="default" w:ascii="Times New Roman" w:hAnsi="Times New Roman" w:cs="Times New Roman"/>
          <w:color w:val="auto"/>
          <w:sz w:val="21"/>
          <w:szCs w:val="21"/>
          <w:highlight w:val="none"/>
        </w:rPr>
        <w:sectPr>
          <w:pgSz w:w="16838" w:h="11906" w:orient="landscape"/>
          <w:pgMar w:top="1814" w:right="1474" w:bottom="1474" w:left="1474" w:header="850" w:footer="992" w:gutter="0"/>
          <w:pgBorders>
            <w:top w:val="none" w:sz="0" w:space="0"/>
            <w:left w:val="none" w:sz="0" w:space="0"/>
            <w:bottom w:val="none" w:sz="0" w:space="0"/>
            <w:right w:val="none" w:sz="0" w:space="0"/>
          </w:pgBorders>
          <w:pgNumType w:fmt="decimal"/>
          <w:cols w:space="0" w:num="1"/>
          <w:rtlGutter w:val="0"/>
          <w:docGrid w:type="linesAndChars" w:linePitch="316" w:charSpace="0"/>
        </w:sectPr>
      </w:pPr>
    </w:p>
    <w:p w14:paraId="4193956D">
      <w:pPr>
        <w:pStyle w:val="55"/>
        <w:bidi w:val="0"/>
        <w:rPr>
          <w:rFonts w:hint="default"/>
          <w:color w:val="auto"/>
        </w:rPr>
      </w:pPr>
      <w:r>
        <w:rPr>
          <w:rFonts w:hint="default"/>
          <w:color w:val="auto"/>
        </w:rPr>
        <w:t>5.</w:t>
      </w:r>
      <w:r>
        <w:rPr>
          <w:rFonts w:hint="eastAsia"/>
          <w:color w:val="auto"/>
          <w:lang w:val="en-US" w:eastAsia="zh-CN"/>
        </w:rPr>
        <w:t>4</w:t>
      </w:r>
      <w:r>
        <w:rPr>
          <w:rFonts w:hint="default"/>
          <w:color w:val="auto"/>
        </w:rPr>
        <w:t>.2.2大气影响估算</w:t>
      </w:r>
    </w:p>
    <w:p w14:paraId="645C292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（1）预测因子及标准</w:t>
      </w:r>
    </w:p>
    <w:p w14:paraId="7AA5AE7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lang w:val="en-US" w:eastAsia="zh-CN"/>
        </w:rPr>
      </w:pPr>
      <w:bookmarkStart w:id="652" w:name="OLE_LINK344"/>
      <w:r>
        <w:rPr>
          <w:rFonts w:hint="default" w:ascii="Times New Roman" w:hAnsi="Times New Roman" w:eastAsia="宋体" w:cs="Times New Roman"/>
          <w:color w:val="auto"/>
          <w:sz w:val="24"/>
          <w:szCs w:val="24"/>
          <w:lang w:val="en-US" w:eastAsia="zh-CN"/>
        </w:rPr>
        <w:t>根据工程污染源、工程区域环境的特点，结合环境影响因素分析结果，确定本次评价的大气环境影响预测因子为有组织排放的二氧化硫、氮氧化物、颗粒物和非甲烷总烃，无组织排放的非甲烷总烃、硫化氢。</w:t>
      </w:r>
    </w:p>
    <w:bookmarkEnd w:id="652"/>
    <w:p w14:paraId="6D55646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bookmarkStart w:id="653" w:name="OLE_LINK347"/>
      <w:r>
        <w:rPr>
          <w:rFonts w:hint="default" w:ascii="Times New Roman" w:hAnsi="Times New Roman" w:eastAsia="宋体" w:cs="Times New Roman"/>
          <w:color w:val="auto"/>
          <w:sz w:val="24"/>
          <w:szCs w:val="24"/>
        </w:rPr>
        <w:t>（2）评价标准</w:t>
      </w:r>
    </w:p>
    <w:p w14:paraId="5C0BC50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二氧化硫、氮氧化物、颗粒物按照《环境空气质量标准》（GB 3095-2012）中的二级浓度限值（二氧化硫500μg/m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、二氧化氮200μg/m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、颗粒物450μg/m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），非甲烷总烃参考《大气污染物综合排放标准详解》，以2.0mg/m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作为环境质量标准限值；硫化氢参照《环境影响评价技术导则</w:t>
      </w:r>
      <w:r>
        <w:rPr>
          <w:rFonts w:hint="eastAsia"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大气环境》（HJ2.2-2018）附录D中的浓度限值（10μg/m</w:t>
      </w:r>
      <w:bookmarkStart w:id="654" w:name="OLE_LINK346"/>
      <w:bookmarkStart w:id="655" w:name="OLE_LINK345"/>
      <w:r>
        <w:rPr>
          <w:rFonts w:hint="default" w:ascii="Times New Roman" w:hAnsi="Times New Roman" w:eastAsia="宋体" w:cs="Times New Roman"/>
          <w:color w:val="auto"/>
          <w:sz w:val="24"/>
          <w:szCs w:val="24"/>
          <w:vertAlign w:val="superscript"/>
          <w:lang w:val="en-US" w:eastAsia="zh-CN"/>
        </w:rPr>
        <w:t>3</w:t>
      </w:r>
      <w:bookmarkEnd w:id="654"/>
      <w:r>
        <w:rPr>
          <w:rFonts w:hint="default" w:ascii="Times New Roman" w:hAnsi="Times New Roman" w:eastAsia="宋体" w:cs="Times New Roman"/>
          <w:color w:val="auto"/>
          <w:sz w:val="24"/>
          <w:szCs w:val="24"/>
          <w:lang w:val="en-US" w:eastAsia="zh-CN"/>
        </w:rPr>
        <w:t>）</w:t>
      </w:r>
      <w:bookmarkEnd w:id="655"/>
      <w:r>
        <w:rPr>
          <w:rFonts w:hint="default" w:ascii="Times New Roman" w:hAnsi="Times New Roman" w:eastAsia="宋体" w:cs="Times New Roman"/>
          <w:color w:val="auto"/>
          <w:sz w:val="24"/>
          <w:szCs w:val="24"/>
          <w:lang w:val="en-US" w:eastAsia="zh-CN"/>
        </w:rPr>
        <w:t>。</w:t>
      </w:r>
    </w:p>
    <w:bookmarkEnd w:id="653"/>
    <w:p w14:paraId="2C485CF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（3）预测模式</w:t>
      </w:r>
    </w:p>
    <w:p w14:paraId="2DBB97E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根据《环境影响评价技术导则 大气环境》（HJ2.2-2018）的相关规定，本次环境影响预测采用AERSCREEN估算模式。估算模式AERSCREEN是一个单源高斯烟羽模式，可计算点源、火炬源、面源和体源的最大地面浓度，以及下洗和岸边熏烟等特殊条件下最大地面落地浓度。估算模式中嵌入了多种预测的气象组合条件，包括一些最不利的气象条件，在某个地区有可能发生，也有可能没有此种不利气象条件。所以经估算模式计算出的是某一污染源对环境空气</w:t>
      </w:r>
      <w:r>
        <w:rPr>
          <w:rFonts w:hint="eastAsia" w:cs="Times New Roman"/>
          <w:color w:val="auto"/>
          <w:sz w:val="24"/>
          <w:szCs w:val="24"/>
          <w:lang w:val="en-US" w:eastAsia="zh-CN"/>
        </w:rPr>
        <w:t>质</w:t>
      </w:r>
      <w:r>
        <w:rPr>
          <w:rFonts w:hint="default" w:ascii="Times New Roman" w:hAnsi="Times New Roman" w:eastAsia="宋体" w:cs="Times New Roman"/>
          <w:color w:val="auto"/>
          <w:sz w:val="24"/>
          <w:szCs w:val="24"/>
          <w:lang w:val="en-US" w:eastAsia="zh-CN"/>
        </w:rPr>
        <w:t>量的最大影响程度和影响范围的保守计算结果。估算模型参数见表5.</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-3。</w:t>
      </w:r>
    </w:p>
    <w:p w14:paraId="4CDA9A84">
      <w:pPr>
        <w:pStyle w:val="61"/>
        <w:bidi w:val="0"/>
        <w:jc w:val="both"/>
        <w:rPr>
          <w:rFonts w:hint="default"/>
          <w:color w:val="auto"/>
          <w:lang w:val="en-US" w:eastAsia="zh-CN"/>
        </w:rPr>
      </w:pPr>
      <w:r>
        <w:rPr>
          <w:rFonts w:hint="default"/>
          <w:color w:val="auto"/>
          <w:lang w:val="en-US" w:eastAsia="zh-CN"/>
        </w:rPr>
        <w:t>表5.</w:t>
      </w:r>
      <w:r>
        <w:rPr>
          <w:rFonts w:hint="eastAsia"/>
          <w:color w:val="auto"/>
          <w:lang w:val="en-US" w:eastAsia="zh-CN"/>
        </w:rPr>
        <w:t>4</w:t>
      </w:r>
      <w:r>
        <w:rPr>
          <w:rFonts w:hint="default"/>
          <w:color w:val="auto"/>
          <w:lang w:val="en-US" w:eastAsia="zh-CN"/>
        </w:rPr>
        <w:t>-3    估算模型参数表</w:t>
      </w:r>
    </w:p>
    <w:tbl>
      <w:tblPr>
        <w:tblStyle w:val="36"/>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2321"/>
        <w:gridCol w:w="2676"/>
        <w:gridCol w:w="3649"/>
      </w:tblGrid>
      <w:tr w14:paraId="551E80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jc w:val="center"/>
        </w:trPr>
        <w:tc>
          <w:tcPr>
            <w:tcW w:w="2889" w:type="pct"/>
            <w:gridSpan w:val="2"/>
            <w:tcBorders>
              <w:tl2br w:val="nil"/>
              <w:tr2bl w:val="nil"/>
            </w:tcBorders>
            <w:noWrap w:val="0"/>
            <w:vAlign w:val="center"/>
          </w:tcPr>
          <w:p w14:paraId="10007ED8">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参数</w:t>
            </w:r>
          </w:p>
        </w:tc>
        <w:tc>
          <w:tcPr>
            <w:tcW w:w="2110" w:type="pct"/>
            <w:tcBorders>
              <w:tl2br w:val="nil"/>
              <w:tr2bl w:val="nil"/>
            </w:tcBorders>
            <w:noWrap w:val="0"/>
            <w:vAlign w:val="center"/>
          </w:tcPr>
          <w:p w14:paraId="5DF27436">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取值</w:t>
            </w:r>
          </w:p>
        </w:tc>
      </w:tr>
      <w:tr w14:paraId="48D97C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jc w:val="center"/>
        </w:trPr>
        <w:tc>
          <w:tcPr>
            <w:tcW w:w="1342" w:type="pct"/>
            <w:vMerge w:val="restart"/>
            <w:tcBorders>
              <w:tl2br w:val="nil"/>
              <w:tr2bl w:val="nil"/>
            </w:tcBorders>
            <w:noWrap w:val="0"/>
            <w:vAlign w:val="center"/>
          </w:tcPr>
          <w:p w14:paraId="3CC2432D">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城市/农村选项</w:t>
            </w:r>
          </w:p>
        </w:tc>
        <w:tc>
          <w:tcPr>
            <w:tcW w:w="1547" w:type="pct"/>
            <w:tcBorders>
              <w:tl2br w:val="nil"/>
              <w:tr2bl w:val="nil"/>
            </w:tcBorders>
            <w:noWrap w:val="0"/>
            <w:vAlign w:val="center"/>
          </w:tcPr>
          <w:p w14:paraId="7CEBBEFE">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城市/农村</w:t>
            </w:r>
          </w:p>
        </w:tc>
        <w:tc>
          <w:tcPr>
            <w:tcW w:w="2110" w:type="pct"/>
            <w:tcBorders>
              <w:tl2br w:val="nil"/>
              <w:tr2bl w:val="nil"/>
            </w:tcBorders>
            <w:noWrap w:val="0"/>
            <w:vAlign w:val="center"/>
          </w:tcPr>
          <w:p w14:paraId="3260C32B">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农村</w:t>
            </w:r>
          </w:p>
        </w:tc>
      </w:tr>
      <w:tr w14:paraId="7628CC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jc w:val="center"/>
        </w:trPr>
        <w:tc>
          <w:tcPr>
            <w:tcW w:w="1342" w:type="pct"/>
            <w:vMerge w:val="continue"/>
            <w:tcBorders>
              <w:tl2br w:val="nil"/>
              <w:tr2bl w:val="nil"/>
            </w:tcBorders>
            <w:noWrap w:val="0"/>
            <w:vAlign w:val="center"/>
          </w:tcPr>
          <w:p w14:paraId="64185762">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auto"/>
                <w:szCs w:val="21"/>
                <w:highlight w:val="none"/>
              </w:rPr>
            </w:pPr>
          </w:p>
        </w:tc>
        <w:tc>
          <w:tcPr>
            <w:tcW w:w="1547" w:type="pct"/>
            <w:tcBorders>
              <w:tl2br w:val="nil"/>
              <w:tr2bl w:val="nil"/>
            </w:tcBorders>
            <w:noWrap w:val="0"/>
            <w:vAlign w:val="center"/>
          </w:tcPr>
          <w:p w14:paraId="7C3BA0BF">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人口数（城市人口数）</w:t>
            </w:r>
          </w:p>
        </w:tc>
        <w:tc>
          <w:tcPr>
            <w:tcW w:w="2110" w:type="pct"/>
            <w:tcBorders>
              <w:tl2br w:val="nil"/>
              <w:tr2bl w:val="nil"/>
            </w:tcBorders>
            <w:noWrap w:val="0"/>
            <w:vAlign w:val="center"/>
          </w:tcPr>
          <w:p w14:paraId="60018435">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r>
      <w:tr w14:paraId="334C87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jc w:val="center"/>
        </w:trPr>
        <w:tc>
          <w:tcPr>
            <w:tcW w:w="2889" w:type="pct"/>
            <w:gridSpan w:val="2"/>
            <w:tcBorders>
              <w:tl2br w:val="nil"/>
              <w:tr2bl w:val="nil"/>
            </w:tcBorders>
            <w:noWrap w:val="0"/>
            <w:vAlign w:val="center"/>
          </w:tcPr>
          <w:p w14:paraId="78785EF4">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最高环境温度/℃</w:t>
            </w:r>
          </w:p>
        </w:tc>
        <w:tc>
          <w:tcPr>
            <w:tcW w:w="2110" w:type="pct"/>
            <w:tcBorders>
              <w:tl2br w:val="nil"/>
              <w:tr2bl w:val="nil"/>
            </w:tcBorders>
            <w:noWrap w:val="0"/>
            <w:vAlign w:val="center"/>
          </w:tcPr>
          <w:p w14:paraId="60256800">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40.7</w:t>
            </w:r>
          </w:p>
        </w:tc>
      </w:tr>
      <w:tr w14:paraId="6CCEF8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jc w:val="center"/>
        </w:trPr>
        <w:tc>
          <w:tcPr>
            <w:tcW w:w="2889" w:type="pct"/>
            <w:gridSpan w:val="2"/>
            <w:tcBorders>
              <w:tl2br w:val="nil"/>
              <w:tr2bl w:val="nil"/>
            </w:tcBorders>
            <w:noWrap w:val="0"/>
            <w:vAlign w:val="center"/>
          </w:tcPr>
          <w:p w14:paraId="3DAE88BC">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最低环境温度/℃</w:t>
            </w:r>
          </w:p>
        </w:tc>
        <w:tc>
          <w:tcPr>
            <w:tcW w:w="2110" w:type="pct"/>
            <w:tcBorders>
              <w:tl2br w:val="nil"/>
              <w:tr2bl w:val="nil"/>
            </w:tcBorders>
            <w:noWrap w:val="0"/>
            <w:vAlign w:val="center"/>
          </w:tcPr>
          <w:p w14:paraId="2B2D99C6">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-27.6</w:t>
            </w:r>
          </w:p>
        </w:tc>
      </w:tr>
      <w:tr w14:paraId="5E5AF5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jc w:val="center"/>
        </w:trPr>
        <w:tc>
          <w:tcPr>
            <w:tcW w:w="2889" w:type="pct"/>
            <w:gridSpan w:val="2"/>
            <w:tcBorders>
              <w:tl2br w:val="nil"/>
              <w:tr2bl w:val="nil"/>
            </w:tcBorders>
            <w:noWrap w:val="0"/>
            <w:vAlign w:val="center"/>
          </w:tcPr>
          <w:p w14:paraId="059E6758">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土地利用类型</w:t>
            </w:r>
          </w:p>
        </w:tc>
        <w:tc>
          <w:tcPr>
            <w:tcW w:w="2110" w:type="pct"/>
            <w:tcBorders>
              <w:tl2br w:val="nil"/>
              <w:tr2bl w:val="nil"/>
            </w:tcBorders>
            <w:noWrap w:val="0"/>
            <w:vAlign w:val="center"/>
          </w:tcPr>
          <w:p w14:paraId="45ADE949">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荒漠</w:t>
            </w:r>
          </w:p>
        </w:tc>
      </w:tr>
      <w:tr w14:paraId="638BA7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jc w:val="center"/>
        </w:trPr>
        <w:tc>
          <w:tcPr>
            <w:tcW w:w="2889" w:type="pct"/>
            <w:gridSpan w:val="2"/>
            <w:tcBorders>
              <w:tl2br w:val="nil"/>
              <w:tr2bl w:val="nil"/>
            </w:tcBorders>
            <w:noWrap w:val="0"/>
            <w:vAlign w:val="center"/>
          </w:tcPr>
          <w:p w14:paraId="1EB4F8D7">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区域湿度条件</w:t>
            </w:r>
          </w:p>
        </w:tc>
        <w:tc>
          <w:tcPr>
            <w:tcW w:w="2110" w:type="pct"/>
            <w:tcBorders>
              <w:tl2br w:val="nil"/>
              <w:tr2bl w:val="nil"/>
            </w:tcBorders>
            <w:noWrap w:val="0"/>
            <w:vAlign w:val="center"/>
          </w:tcPr>
          <w:p w14:paraId="0D7A6D9C">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干燥</w:t>
            </w:r>
          </w:p>
        </w:tc>
      </w:tr>
      <w:tr w14:paraId="146693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jc w:val="center"/>
        </w:trPr>
        <w:tc>
          <w:tcPr>
            <w:tcW w:w="1342" w:type="pct"/>
            <w:vMerge w:val="restart"/>
            <w:tcBorders>
              <w:tl2br w:val="nil"/>
              <w:tr2bl w:val="nil"/>
            </w:tcBorders>
            <w:noWrap w:val="0"/>
            <w:vAlign w:val="center"/>
          </w:tcPr>
          <w:p w14:paraId="0AF66DED">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是否考虑地形</w:t>
            </w:r>
          </w:p>
        </w:tc>
        <w:tc>
          <w:tcPr>
            <w:tcW w:w="1547" w:type="pct"/>
            <w:tcBorders>
              <w:tl2br w:val="nil"/>
              <w:tr2bl w:val="nil"/>
            </w:tcBorders>
            <w:noWrap w:val="0"/>
            <w:vAlign w:val="center"/>
          </w:tcPr>
          <w:p w14:paraId="6481E836">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考虑地形</w:t>
            </w:r>
          </w:p>
        </w:tc>
        <w:tc>
          <w:tcPr>
            <w:tcW w:w="2110" w:type="pct"/>
            <w:tcBorders>
              <w:tl2br w:val="nil"/>
              <w:tr2bl w:val="nil"/>
            </w:tcBorders>
            <w:noWrap w:val="0"/>
            <w:vAlign w:val="center"/>
          </w:tcPr>
          <w:p w14:paraId="703A1AA0">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shd w:val="clear" w:color="auto" w:fill="FFFFFF"/>
              </w:rPr>
              <w:t>☑</w:t>
            </w:r>
            <w:r>
              <w:rPr>
                <w:rFonts w:hint="default" w:ascii="Times New Roman" w:hAnsi="Times New Roman" w:eastAsia="宋体" w:cs="Times New Roman"/>
                <w:color w:val="auto"/>
                <w:szCs w:val="21"/>
                <w:highlight w:val="none"/>
              </w:rPr>
              <w:t xml:space="preserve">是  </w:t>
            </w:r>
            <w:r>
              <w:rPr>
                <w:rFonts w:hint="default" w:ascii="Times New Roman" w:hAnsi="Times New Roman" w:eastAsia="宋体" w:cs="Times New Roman"/>
                <w:color w:val="auto"/>
                <w:szCs w:val="21"/>
                <w:highlight w:val="none"/>
                <w:shd w:val="clear" w:color="auto" w:fill="FFFFFF"/>
              </w:rPr>
              <w:t>□否</w:t>
            </w:r>
          </w:p>
        </w:tc>
      </w:tr>
      <w:tr w14:paraId="443CA4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jc w:val="center"/>
        </w:trPr>
        <w:tc>
          <w:tcPr>
            <w:tcW w:w="1342" w:type="pct"/>
            <w:vMerge w:val="continue"/>
            <w:tcBorders>
              <w:tl2br w:val="nil"/>
              <w:tr2bl w:val="nil"/>
            </w:tcBorders>
            <w:noWrap w:val="0"/>
            <w:vAlign w:val="center"/>
          </w:tcPr>
          <w:p w14:paraId="708F07A8">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auto"/>
                <w:szCs w:val="21"/>
                <w:highlight w:val="none"/>
              </w:rPr>
            </w:pPr>
          </w:p>
        </w:tc>
        <w:tc>
          <w:tcPr>
            <w:tcW w:w="1547" w:type="pct"/>
            <w:tcBorders>
              <w:tl2br w:val="nil"/>
              <w:tr2bl w:val="nil"/>
            </w:tcBorders>
            <w:noWrap w:val="0"/>
            <w:vAlign w:val="center"/>
          </w:tcPr>
          <w:p w14:paraId="65F05DF9">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地形数据分辨率（m）</w:t>
            </w:r>
          </w:p>
        </w:tc>
        <w:tc>
          <w:tcPr>
            <w:tcW w:w="2110" w:type="pct"/>
            <w:tcBorders>
              <w:tl2br w:val="nil"/>
              <w:tr2bl w:val="nil"/>
            </w:tcBorders>
            <w:noWrap w:val="0"/>
            <w:vAlign w:val="center"/>
          </w:tcPr>
          <w:p w14:paraId="434C7692">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90</w:t>
            </w:r>
          </w:p>
        </w:tc>
      </w:tr>
      <w:tr w14:paraId="36C056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jc w:val="center"/>
        </w:trPr>
        <w:tc>
          <w:tcPr>
            <w:tcW w:w="1342" w:type="pct"/>
            <w:vMerge w:val="restart"/>
            <w:tcBorders>
              <w:tl2br w:val="nil"/>
              <w:tr2bl w:val="nil"/>
            </w:tcBorders>
            <w:noWrap w:val="0"/>
            <w:vAlign w:val="center"/>
          </w:tcPr>
          <w:p w14:paraId="6E47FA5B">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是否考虑海岸线熏烟</w:t>
            </w:r>
          </w:p>
        </w:tc>
        <w:tc>
          <w:tcPr>
            <w:tcW w:w="1547" w:type="pct"/>
            <w:tcBorders>
              <w:tl2br w:val="nil"/>
              <w:tr2bl w:val="nil"/>
            </w:tcBorders>
            <w:noWrap w:val="0"/>
            <w:vAlign w:val="center"/>
          </w:tcPr>
          <w:p w14:paraId="38C5068F">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考虑海岸线熏烟</w:t>
            </w:r>
          </w:p>
        </w:tc>
        <w:tc>
          <w:tcPr>
            <w:tcW w:w="2110" w:type="pct"/>
            <w:tcBorders>
              <w:tl2br w:val="nil"/>
              <w:tr2bl w:val="nil"/>
            </w:tcBorders>
            <w:noWrap w:val="0"/>
            <w:vAlign w:val="center"/>
          </w:tcPr>
          <w:p w14:paraId="63DC9BD6">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shd w:val="clear" w:color="auto" w:fill="FFFFFF"/>
              </w:rPr>
              <w:t>□</w:t>
            </w:r>
            <w:r>
              <w:rPr>
                <w:rFonts w:hint="default" w:ascii="Times New Roman" w:hAnsi="Times New Roman" w:eastAsia="宋体" w:cs="Times New Roman"/>
                <w:color w:val="auto"/>
                <w:szCs w:val="21"/>
                <w:highlight w:val="none"/>
              </w:rPr>
              <w:t xml:space="preserve">是  </w:t>
            </w:r>
            <w:r>
              <w:rPr>
                <w:rFonts w:hint="default" w:ascii="Times New Roman" w:hAnsi="Times New Roman" w:eastAsia="宋体" w:cs="Times New Roman"/>
                <w:color w:val="auto"/>
                <w:szCs w:val="21"/>
                <w:highlight w:val="none"/>
                <w:shd w:val="clear" w:color="auto" w:fill="FFFFFF"/>
              </w:rPr>
              <w:t>☑否</w:t>
            </w:r>
          </w:p>
        </w:tc>
      </w:tr>
      <w:tr w14:paraId="6577D6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jc w:val="center"/>
        </w:trPr>
        <w:tc>
          <w:tcPr>
            <w:tcW w:w="1342" w:type="pct"/>
            <w:vMerge w:val="continue"/>
            <w:tcBorders>
              <w:tl2br w:val="nil"/>
              <w:tr2bl w:val="nil"/>
            </w:tcBorders>
            <w:noWrap w:val="0"/>
            <w:vAlign w:val="center"/>
          </w:tcPr>
          <w:p w14:paraId="6D1459B0">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auto"/>
                <w:szCs w:val="21"/>
                <w:highlight w:val="none"/>
              </w:rPr>
            </w:pPr>
          </w:p>
        </w:tc>
        <w:tc>
          <w:tcPr>
            <w:tcW w:w="1547" w:type="pct"/>
            <w:tcBorders>
              <w:tl2br w:val="nil"/>
              <w:tr2bl w:val="nil"/>
            </w:tcBorders>
            <w:noWrap w:val="0"/>
            <w:vAlign w:val="center"/>
          </w:tcPr>
          <w:p w14:paraId="7F61AB1D">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岸线距离/km</w:t>
            </w:r>
          </w:p>
        </w:tc>
        <w:tc>
          <w:tcPr>
            <w:tcW w:w="2110" w:type="pct"/>
            <w:tcBorders>
              <w:tl2br w:val="nil"/>
              <w:tr2bl w:val="nil"/>
            </w:tcBorders>
            <w:noWrap w:val="0"/>
            <w:vAlign w:val="center"/>
          </w:tcPr>
          <w:p w14:paraId="68754F8F">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r>
      <w:tr w14:paraId="0A1C76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jc w:val="center"/>
        </w:trPr>
        <w:tc>
          <w:tcPr>
            <w:tcW w:w="1342" w:type="pct"/>
            <w:vMerge w:val="continue"/>
            <w:tcBorders>
              <w:tl2br w:val="nil"/>
              <w:tr2bl w:val="nil"/>
            </w:tcBorders>
            <w:noWrap w:val="0"/>
            <w:vAlign w:val="center"/>
          </w:tcPr>
          <w:p w14:paraId="7141173A">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auto"/>
                <w:szCs w:val="21"/>
                <w:highlight w:val="none"/>
              </w:rPr>
            </w:pPr>
          </w:p>
        </w:tc>
        <w:tc>
          <w:tcPr>
            <w:tcW w:w="1547" w:type="pct"/>
            <w:tcBorders>
              <w:tl2br w:val="nil"/>
              <w:tr2bl w:val="nil"/>
            </w:tcBorders>
            <w:noWrap w:val="0"/>
            <w:vAlign w:val="center"/>
          </w:tcPr>
          <w:p w14:paraId="4707BC9D">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岸线方向/°</w:t>
            </w:r>
          </w:p>
        </w:tc>
        <w:tc>
          <w:tcPr>
            <w:tcW w:w="2110" w:type="pct"/>
            <w:tcBorders>
              <w:tl2br w:val="nil"/>
              <w:tr2bl w:val="nil"/>
            </w:tcBorders>
            <w:noWrap w:val="0"/>
            <w:vAlign w:val="center"/>
          </w:tcPr>
          <w:p w14:paraId="70BF5914">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r>
    </w:tbl>
    <w:p w14:paraId="740508B4">
      <w:pPr>
        <w:pStyle w:val="79"/>
        <w:bidi w:val="0"/>
        <w:rPr>
          <w:rFonts w:hint="default"/>
          <w:color w:val="auto"/>
        </w:rPr>
      </w:pPr>
      <w:r>
        <w:rPr>
          <w:rFonts w:hint="default"/>
          <w:color w:val="auto"/>
        </w:rPr>
        <w:t>（</w:t>
      </w:r>
      <w:r>
        <w:rPr>
          <w:rFonts w:hint="default"/>
          <w:color w:val="auto"/>
          <w:lang w:val="en-US" w:eastAsia="zh-CN"/>
        </w:rPr>
        <w:t>4</w:t>
      </w:r>
      <w:r>
        <w:rPr>
          <w:rFonts w:hint="default"/>
          <w:color w:val="auto"/>
        </w:rPr>
        <w:t>）污染源参数</w:t>
      </w:r>
    </w:p>
    <w:p w14:paraId="788F7D5E">
      <w:pPr>
        <w:pStyle w:val="79"/>
        <w:bidi w:val="0"/>
        <w:rPr>
          <w:rFonts w:hint="eastAsia"/>
          <w:color w:val="auto"/>
          <w:lang w:val="en-US" w:eastAsia="zh-CN"/>
        </w:rPr>
      </w:pPr>
      <w:bookmarkStart w:id="656" w:name="OLE_LINK285"/>
      <w:r>
        <w:rPr>
          <w:rFonts w:hint="default"/>
          <w:color w:val="auto"/>
        </w:rPr>
        <w:t>本工程运营期产生的</w:t>
      </w:r>
      <w:r>
        <w:rPr>
          <w:rFonts w:hint="eastAsia"/>
          <w:color w:val="auto"/>
          <w:lang w:val="en-US" w:eastAsia="zh-CN"/>
        </w:rPr>
        <w:t>有组织废气</w:t>
      </w:r>
      <w:r>
        <w:rPr>
          <w:rFonts w:hint="default"/>
          <w:color w:val="auto"/>
        </w:rPr>
        <w:t>主要为</w:t>
      </w:r>
      <w:r>
        <w:rPr>
          <w:rFonts w:hint="eastAsia"/>
          <w:color w:val="auto"/>
          <w:lang w:val="en-US" w:eastAsia="zh-CN"/>
        </w:rPr>
        <w:t>雄探1井，该井场建有1</w:t>
      </w:r>
      <w:r>
        <w:rPr>
          <w:rFonts w:hint="default"/>
          <w:color w:val="auto"/>
        </w:rPr>
        <w:t>台</w:t>
      </w:r>
      <w:r>
        <w:rPr>
          <w:rFonts w:hint="eastAsia"/>
          <w:color w:val="auto"/>
          <w:lang w:val="en-US" w:eastAsia="zh-CN"/>
        </w:rPr>
        <w:t>2</w:t>
      </w:r>
      <w:r>
        <w:rPr>
          <w:rFonts w:hint="default"/>
          <w:color w:val="auto"/>
        </w:rPr>
        <w:t>00</w:t>
      </w:r>
      <w:r>
        <w:rPr>
          <w:rFonts w:hint="eastAsia"/>
          <w:color w:val="auto"/>
          <w:lang w:eastAsia="zh-CN"/>
        </w:rPr>
        <w:t>kW</w:t>
      </w:r>
      <w:r>
        <w:rPr>
          <w:rFonts w:hint="default"/>
          <w:color w:val="auto"/>
        </w:rPr>
        <w:t>抗硫加热炉，</w:t>
      </w:r>
      <w:r>
        <w:rPr>
          <w:rFonts w:hint="eastAsia"/>
          <w:color w:val="auto"/>
          <w:lang w:val="en-US" w:eastAsia="zh-CN"/>
        </w:rPr>
        <w:t>主要大气污染物包括二氧化硫、氮氧化物、颗粒物及非甲烷总烃。无组织废气主要为雄探1井、雄英101井、雄英102井、雄英103井、雄英2井、雄英3井等6座采油井以及雄探1试采点在油气开采和集油外输过程中无组织挥发的烃类和硫化氢。</w:t>
      </w:r>
    </w:p>
    <w:bookmarkEnd w:id="656"/>
    <w:p w14:paraId="39898D0E">
      <w:pPr>
        <w:pStyle w:val="79"/>
        <w:bidi w:val="0"/>
        <w:rPr>
          <w:rFonts w:hint="default"/>
          <w:color w:val="auto"/>
        </w:rPr>
      </w:pPr>
      <w:bookmarkStart w:id="657" w:name="OLE_LINK286"/>
      <w:r>
        <w:rPr>
          <w:rFonts w:hint="default"/>
          <w:color w:val="auto"/>
        </w:rPr>
        <w:t>废气排放量进行估算预测，废气源强详见表5.</w:t>
      </w:r>
      <w:r>
        <w:rPr>
          <w:rFonts w:hint="eastAsia"/>
          <w:color w:val="auto"/>
          <w:lang w:val="en-US" w:eastAsia="zh-CN"/>
        </w:rPr>
        <w:t>4</w:t>
      </w:r>
      <w:r>
        <w:rPr>
          <w:rFonts w:hint="default"/>
          <w:color w:val="auto"/>
        </w:rPr>
        <w:t>-4</w:t>
      </w:r>
      <w:r>
        <w:rPr>
          <w:rFonts w:hint="eastAsia"/>
          <w:color w:val="auto"/>
          <w:lang w:val="en-US" w:eastAsia="zh-CN"/>
        </w:rPr>
        <w:t>和5.4-5</w:t>
      </w:r>
      <w:r>
        <w:rPr>
          <w:rFonts w:hint="default"/>
          <w:color w:val="auto"/>
        </w:rPr>
        <w:t>。</w:t>
      </w:r>
    </w:p>
    <w:p w14:paraId="3CB804FD">
      <w:pPr>
        <w:pStyle w:val="61"/>
        <w:bidi w:val="0"/>
        <w:jc w:val="both"/>
        <w:rPr>
          <w:rFonts w:hint="default"/>
          <w:color w:val="auto"/>
          <w:lang w:val="en-US" w:eastAsia="zh-CN"/>
        </w:rPr>
      </w:pPr>
      <w:r>
        <w:rPr>
          <w:rFonts w:hint="eastAsia"/>
          <w:color w:val="auto"/>
          <w:lang w:val="en-US" w:eastAsia="zh-CN"/>
        </w:rPr>
        <w:t>表</w:t>
      </w:r>
      <w:r>
        <w:rPr>
          <w:rFonts w:hint="default"/>
          <w:color w:val="auto"/>
          <w:lang w:val="en-US" w:eastAsia="zh-CN"/>
        </w:rPr>
        <w:t>5.</w:t>
      </w:r>
      <w:r>
        <w:rPr>
          <w:rFonts w:hint="eastAsia"/>
          <w:color w:val="auto"/>
          <w:lang w:val="en-US" w:eastAsia="zh-CN"/>
        </w:rPr>
        <w:t>4</w:t>
      </w:r>
      <w:r>
        <w:rPr>
          <w:rFonts w:hint="default"/>
          <w:color w:val="auto"/>
          <w:lang w:val="en-US" w:eastAsia="zh-CN"/>
        </w:rPr>
        <w:t>-</w:t>
      </w:r>
      <w:r>
        <w:rPr>
          <w:rFonts w:hint="eastAsia"/>
          <w:color w:val="auto"/>
          <w:lang w:val="en-US" w:eastAsia="zh-CN"/>
        </w:rPr>
        <w:t>4</w:t>
      </w:r>
      <w:r>
        <w:rPr>
          <w:rFonts w:hint="default"/>
          <w:color w:val="auto"/>
          <w:lang w:val="en-US" w:eastAsia="zh-CN"/>
        </w:rPr>
        <w:t xml:space="preserve">  </w:t>
      </w:r>
      <w:r>
        <w:rPr>
          <w:rFonts w:hint="eastAsia"/>
          <w:color w:val="auto"/>
          <w:lang w:val="en-US" w:eastAsia="zh-CN"/>
        </w:rPr>
        <w:t>运营期有组织废气源强一览表</w:t>
      </w:r>
    </w:p>
    <w:tbl>
      <w:tblPr>
        <w:tblStyle w:val="36"/>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616"/>
        <w:gridCol w:w="1646"/>
        <w:gridCol w:w="821"/>
        <w:gridCol w:w="706"/>
        <w:gridCol w:w="706"/>
        <w:gridCol w:w="756"/>
        <w:gridCol w:w="918"/>
        <w:gridCol w:w="821"/>
        <w:gridCol w:w="810"/>
        <w:gridCol w:w="871"/>
      </w:tblGrid>
      <w:tr w14:paraId="197316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355" w:type="pct"/>
            <w:vMerge w:val="restart"/>
            <w:tcBorders>
              <w:tl2br w:val="nil"/>
              <w:tr2bl w:val="nil"/>
            </w:tcBorders>
            <w:noWrap w:val="0"/>
            <w:vAlign w:val="center"/>
          </w:tcPr>
          <w:p w14:paraId="37FF678E">
            <w:pPr>
              <w:pStyle w:val="65"/>
              <w:keepNext w:val="0"/>
              <w:pageBreakBefore w:val="0"/>
              <w:kinsoku/>
              <w:wordWrap/>
              <w:overflowPunct/>
              <w:topLinePunct w:val="0"/>
              <w:bidi w:val="0"/>
              <w:spacing w:line="240" w:lineRule="auto"/>
              <w:ind w:firstLine="0"/>
              <w:rPr>
                <w:b w:val="0"/>
                <w:bCs w:val="0"/>
                <w:color w:val="auto"/>
                <w:sz w:val="21"/>
                <w:szCs w:val="21"/>
                <w:highlight w:val="none"/>
              </w:rPr>
            </w:pPr>
            <w:r>
              <w:rPr>
                <w:rFonts w:hint="eastAsia"/>
                <w:b w:val="0"/>
                <w:bCs w:val="0"/>
                <w:color w:val="auto"/>
                <w:sz w:val="21"/>
                <w:szCs w:val="21"/>
                <w:highlight w:val="none"/>
              </w:rPr>
              <w:t>污染源名称</w:t>
            </w:r>
          </w:p>
        </w:tc>
        <w:tc>
          <w:tcPr>
            <w:tcW w:w="949" w:type="pct"/>
            <w:vMerge w:val="restart"/>
            <w:tcBorders>
              <w:tl2br w:val="nil"/>
              <w:tr2bl w:val="nil"/>
            </w:tcBorders>
            <w:noWrap w:val="0"/>
            <w:vAlign w:val="center"/>
          </w:tcPr>
          <w:p w14:paraId="6FB6BCDB">
            <w:pPr>
              <w:pStyle w:val="65"/>
              <w:keepNext w:val="0"/>
              <w:pageBreakBefore w:val="0"/>
              <w:kinsoku/>
              <w:wordWrap/>
              <w:overflowPunct/>
              <w:topLinePunct w:val="0"/>
              <w:bidi w:val="0"/>
              <w:spacing w:line="240" w:lineRule="auto"/>
              <w:ind w:firstLine="0"/>
              <w:rPr>
                <w:b w:val="0"/>
                <w:bCs w:val="0"/>
                <w:color w:val="auto"/>
                <w:sz w:val="21"/>
                <w:szCs w:val="21"/>
                <w:highlight w:val="none"/>
              </w:rPr>
            </w:pPr>
            <w:r>
              <w:rPr>
                <w:rFonts w:hint="eastAsia"/>
                <w:b w:val="0"/>
                <w:bCs w:val="0"/>
                <w:color w:val="auto"/>
                <w:sz w:val="21"/>
                <w:szCs w:val="21"/>
                <w:highlight w:val="none"/>
              </w:rPr>
              <w:t>坐标</w:t>
            </w:r>
          </w:p>
        </w:tc>
        <w:tc>
          <w:tcPr>
            <w:tcW w:w="473" w:type="pct"/>
            <w:vMerge w:val="restart"/>
            <w:tcBorders>
              <w:tl2br w:val="nil"/>
              <w:tr2bl w:val="nil"/>
            </w:tcBorders>
            <w:noWrap w:val="0"/>
            <w:vAlign w:val="center"/>
          </w:tcPr>
          <w:p w14:paraId="0ABD8991">
            <w:pPr>
              <w:pStyle w:val="65"/>
              <w:keepNext w:val="0"/>
              <w:pageBreakBefore w:val="0"/>
              <w:kinsoku/>
              <w:wordWrap/>
              <w:overflowPunct/>
              <w:topLinePunct w:val="0"/>
              <w:bidi w:val="0"/>
              <w:spacing w:line="240" w:lineRule="auto"/>
              <w:ind w:firstLine="0"/>
              <w:rPr>
                <w:b w:val="0"/>
                <w:bCs w:val="0"/>
                <w:color w:val="auto"/>
                <w:sz w:val="21"/>
                <w:szCs w:val="21"/>
                <w:highlight w:val="none"/>
              </w:rPr>
            </w:pPr>
            <w:r>
              <w:rPr>
                <w:rFonts w:hint="eastAsia"/>
                <w:b w:val="0"/>
                <w:bCs w:val="0"/>
                <w:color w:val="auto"/>
                <w:sz w:val="21"/>
                <w:szCs w:val="21"/>
                <w:highlight w:val="none"/>
              </w:rPr>
              <w:t>海拔</w:t>
            </w:r>
          </w:p>
          <w:p w14:paraId="4598EDD3">
            <w:pPr>
              <w:pStyle w:val="65"/>
              <w:keepNext w:val="0"/>
              <w:pageBreakBefore w:val="0"/>
              <w:kinsoku/>
              <w:wordWrap/>
              <w:overflowPunct/>
              <w:topLinePunct w:val="0"/>
              <w:bidi w:val="0"/>
              <w:spacing w:line="240" w:lineRule="auto"/>
              <w:ind w:firstLine="0"/>
              <w:rPr>
                <w:b w:val="0"/>
                <w:bCs w:val="0"/>
                <w:color w:val="auto"/>
                <w:sz w:val="21"/>
                <w:szCs w:val="21"/>
                <w:highlight w:val="none"/>
              </w:rPr>
            </w:pPr>
            <w:r>
              <w:rPr>
                <w:b w:val="0"/>
                <w:bCs w:val="0"/>
                <w:color w:val="auto"/>
                <w:sz w:val="21"/>
                <w:szCs w:val="21"/>
                <w:highlight w:val="none"/>
              </w:rPr>
              <w:t>m</w:t>
            </w:r>
          </w:p>
        </w:tc>
        <w:tc>
          <w:tcPr>
            <w:tcW w:w="1779" w:type="pct"/>
            <w:gridSpan w:val="4"/>
            <w:tcBorders>
              <w:tl2br w:val="nil"/>
              <w:tr2bl w:val="nil"/>
            </w:tcBorders>
            <w:noWrap w:val="0"/>
            <w:vAlign w:val="center"/>
          </w:tcPr>
          <w:p w14:paraId="7581A593">
            <w:pPr>
              <w:pStyle w:val="65"/>
              <w:keepNext w:val="0"/>
              <w:pageBreakBefore w:val="0"/>
              <w:kinsoku/>
              <w:wordWrap/>
              <w:overflowPunct/>
              <w:topLinePunct w:val="0"/>
              <w:bidi w:val="0"/>
              <w:spacing w:line="240" w:lineRule="auto"/>
              <w:ind w:firstLine="0"/>
              <w:rPr>
                <w:b w:val="0"/>
                <w:bCs w:val="0"/>
                <w:color w:val="auto"/>
                <w:sz w:val="21"/>
                <w:szCs w:val="21"/>
                <w:highlight w:val="none"/>
              </w:rPr>
            </w:pPr>
            <w:r>
              <w:rPr>
                <w:rFonts w:hint="eastAsia"/>
                <w:b w:val="0"/>
                <w:bCs w:val="0"/>
                <w:color w:val="auto"/>
                <w:sz w:val="21"/>
                <w:szCs w:val="21"/>
                <w:highlight w:val="none"/>
              </w:rPr>
              <w:t>排气筒参数</w:t>
            </w:r>
          </w:p>
        </w:tc>
        <w:tc>
          <w:tcPr>
            <w:tcW w:w="473" w:type="pct"/>
            <w:vMerge w:val="restart"/>
            <w:tcBorders>
              <w:tl2br w:val="nil"/>
              <w:tr2bl w:val="nil"/>
            </w:tcBorders>
            <w:noWrap w:val="0"/>
            <w:vAlign w:val="center"/>
          </w:tcPr>
          <w:p w14:paraId="5E318919">
            <w:pPr>
              <w:pStyle w:val="65"/>
              <w:keepNext w:val="0"/>
              <w:pageBreakBefore w:val="0"/>
              <w:kinsoku/>
              <w:wordWrap/>
              <w:overflowPunct/>
              <w:topLinePunct w:val="0"/>
              <w:bidi w:val="0"/>
              <w:spacing w:line="240" w:lineRule="auto"/>
              <w:ind w:firstLine="0"/>
              <w:rPr>
                <w:b w:val="0"/>
                <w:bCs w:val="0"/>
                <w:color w:val="auto"/>
                <w:sz w:val="21"/>
                <w:szCs w:val="21"/>
                <w:highlight w:val="none"/>
              </w:rPr>
            </w:pPr>
            <w:r>
              <w:rPr>
                <w:rFonts w:hint="eastAsia"/>
                <w:b w:val="0"/>
                <w:bCs w:val="0"/>
                <w:color w:val="auto"/>
                <w:sz w:val="21"/>
                <w:szCs w:val="21"/>
                <w:highlight w:val="none"/>
              </w:rPr>
              <w:t>年排放小时数</w:t>
            </w:r>
          </w:p>
        </w:tc>
        <w:tc>
          <w:tcPr>
            <w:tcW w:w="467" w:type="pct"/>
            <w:vMerge w:val="restart"/>
            <w:tcBorders>
              <w:tl2br w:val="nil"/>
              <w:tr2bl w:val="nil"/>
            </w:tcBorders>
            <w:noWrap w:val="0"/>
            <w:vAlign w:val="center"/>
          </w:tcPr>
          <w:p w14:paraId="7B5B94DC">
            <w:pPr>
              <w:pStyle w:val="65"/>
              <w:keepNext w:val="0"/>
              <w:pageBreakBefore w:val="0"/>
              <w:kinsoku/>
              <w:wordWrap/>
              <w:overflowPunct/>
              <w:topLinePunct w:val="0"/>
              <w:bidi w:val="0"/>
              <w:spacing w:line="240" w:lineRule="auto"/>
              <w:ind w:firstLine="0"/>
              <w:rPr>
                <w:b w:val="0"/>
                <w:bCs w:val="0"/>
                <w:color w:val="auto"/>
                <w:sz w:val="21"/>
                <w:szCs w:val="21"/>
                <w:highlight w:val="none"/>
              </w:rPr>
            </w:pPr>
            <w:r>
              <w:rPr>
                <w:rFonts w:hint="eastAsia"/>
                <w:b w:val="0"/>
                <w:bCs w:val="0"/>
                <w:color w:val="auto"/>
                <w:sz w:val="21"/>
                <w:szCs w:val="21"/>
                <w:highlight w:val="none"/>
              </w:rPr>
              <w:t>污染物名称</w:t>
            </w:r>
          </w:p>
        </w:tc>
        <w:tc>
          <w:tcPr>
            <w:tcW w:w="502" w:type="pct"/>
            <w:vMerge w:val="restart"/>
            <w:tcBorders>
              <w:tl2br w:val="nil"/>
              <w:tr2bl w:val="nil"/>
            </w:tcBorders>
            <w:noWrap w:val="0"/>
            <w:vAlign w:val="center"/>
          </w:tcPr>
          <w:p w14:paraId="1BE092B6">
            <w:pPr>
              <w:pStyle w:val="65"/>
              <w:keepNext w:val="0"/>
              <w:pageBreakBefore w:val="0"/>
              <w:kinsoku/>
              <w:wordWrap/>
              <w:overflowPunct/>
              <w:topLinePunct w:val="0"/>
              <w:bidi w:val="0"/>
              <w:spacing w:line="240" w:lineRule="auto"/>
              <w:ind w:firstLine="0"/>
              <w:rPr>
                <w:b w:val="0"/>
                <w:bCs w:val="0"/>
                <w:color w:val="auto"/>
                <w:sz w:val="21"/>
                <w:szCs w:val="21"/>
                <w:highlight w:val="none"/>
              </w:rPr>
            </w:pPr>
            <w:r>
              <w:rPr>
                <w:rFonts w:hint="eastAsia"/>
                <w:b w:val="0"/>
                <w:bCs w:val="0"/>
                <w:color w:val="auto"/>
                <w:sz w:val="21"/>
                <w:szCs w:val="21"/>
                <w:highlight w:val="none"/>
              </w:rPr>
              <w:t>排放速率</w:t>
            </w:r>
            <w:r>
              <w:rPr>
                <w:b w:val="0"/>
                <w:bCs w:val="0"/>
                <w:color w:val="auto"/>
                <w:sz w:val="21"/>
                <w:szCs w:val="21"/>
                <w:highlight w:val="none"/>
              </w:rPr>
              <w:t>kg/h</w:t>
            </w:r>
          </w:p>
        </w:tc>
      </w:tr>
      <w:tr w14:paraId="65DA8C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355" w:type="pct"/>
            <w:vMerge w:val="continue"/>
            <w:tcBorders>
              <w:tl2br w:val="nil"/>
              <w:tr2bl w:val="nil"/>
            </w:tcBorders>
            <w:noWrap w:val="0"/>
            <w:vAlign w:val="center"/>
          </w:tcPr>
          <w:p w14:paraId="4E01B6FC">
            <w:pPr>
              <w:keepNext w:val="0"/>
              <w:pageBreakBefore w:val="0"/>
              <w:kinsoku/>
              <w:wordWrap/>
              <w:overflowPunct/>
              <w:topLinePunct w:val="0"/>
              <w:bidi w:val="0"/>
              <w:spacing w:line="240" w:lineRule="auto"/>
              <w:ind w:firstLine="0"/>
              <w:rPr>
                <w:b w:val="0"/>
                <w:bCs w:val="0"/>
                <w:color w:val="auto"/>
                <w:sz w:val="21"/>
                <w:szCs w:val="21"/>
                <w:highlight w:val="none"/>
                <w:lang w:bidi="en-US"/>
              </w:rPr>
            </w:pPr>
          </w:p>
        </w:tc>
        <w:tc>
          <w:tcPr>
            <w:tcW w:w="949" w:type="pct"/>
            <w:vMerge w:val="continue"/>
            <w:tcBorders>
              <w:tl2br w:val="nil"/>
              <w:tr2bl w:val="nil"/>
            </w:tcBorders>
            <w:noWrap w:val="0"/>
            <w:vAlign w:val="center"/>
          </w:tcPr>
          <w:p w14:paraId="2DF63A70">
            <w:pPr>
              <w:keepNext w:val="0"/>
              <w:pageBreakBefore w:val="0"/>
              <w:kinsoku/>
              <w:wordWrap/>
              <w:overflowPunct/>
              <w:topLinePunct w:val="0"/>
              <w:bidi w:val="0"/>
              <w:spacing w:line="240" w:lineRule="auto"/>
              <w:ind w:firstLine="0"/>
              <w:rPr>
                <w:b w:val="0"/>
                <w:bCs w:val="0"/>
                <w:color w:val="auto"/>
                <w:sz w:val="21"/>
                <w:szCs w:val="21"/>
                <w:highlight w:val="none"/>
                <w:lang w:bidi="en-US"/>
              </w:rPr>
            </w:pPr>
          </w:p>
        </w:tc>
        <w:tc>
          <w:tcPr>
            <w:tcW w:w="473" w:type="pct"/>
            <w:vMerge w:val="continue"/>
            <w:tcBorders>
              <w:tl2br w:val="nil"/>
              <w:tr2bl w:val="nil"/>
            </w:tcBorders>
            <w:noWrap w:val="0"/>
            <w:vAlign w:val="center"/>
          </w:tcPr>
          <w:p w14:paraId="50389B10">
            <w:pPr>
              <w:keepNext w:val="0"/>
              <w:pageBreakBefore w:val="0"/>
              <w:kinsoku/>
              <w:wordWrap/>
              <w:overflowPunct/>
              <w:topLinePunct w:val="0"/>
              <w:bidi w:val="0"/>
              <w:spacing w:line="240" w:lineRule="auto"/>
              <w:ind w:firstLine="0"/>
              <w:rPr>
                <w:b w:val="0"/>
                <w:bCs w:val="0"/>
                <w:color w:val="auto"/>
                <w:sz w:val="21"/>
                <w:szCs w:val="21"/>
                <w:highlight w:val="none"/>
                <w:lang w:bidi="en-US"/>
              </w:rPr>
            </w:pPr>
          </w:p>
        </w:tc>
        <w:tc>
          <w:tcPr>
            <w:tcW w:w="407" w:type="pct"/>
            <w:tcBorders>
              <w:tl2br w:val="nil"/>
              <w:tr2bl w:val="nil"/>
            </w:tcBorders>
            <w:noWrap w:val="0"/>
            <w:vAlign w:val="center"/>
          </w:tcPr>
          <w:p w14:paraId="178D2DE7">
            <w:pPr>
              <w:pStyle w:val="65"/>
              <w:keepNext w:val="0"/>
              <w:pageBreakBefore w:val="0"/>
              <w:kinsoku/>
              <w:wordWrap/>
              <w:overflowPunct/>
              <w:topLinePunct w:val="0"/>
              <w:bidi w:val="0"/>
              <w:spacing w:line="240" w:lineRule="auto"/>
              <w:ind w:firstLine="0"/>
              <w:rPr>
                <w:b w:val="0"/>
                <w:bCs w:val="0"/>
                <w:color w:val="auto"/>
                <w:sz w:val="21"/>
                <w:szCs w:val="21"/>
                <w:highlight w:val="none"/>
              </w:rPr>
            </w:pPr>
            <w:r>
              <w:rPr>
                <w:rFonts w:hint="eastAsia"/>
                <w:b w:val="0"/>
                <w:bCs w:val="0"/>
                <w:color w:val="auto"/>
                <w:sz w:val="21"/>
                <w:szCs w:val="21"/>
                <w:highlight w:val="none"/>
              </w:rPr>
              <w:t>高度</w:t>
            </w:r>
          </w:p>
          <w:p w14:paraId="3B3B5ABB">
            <w:pPr>
              <w:pStyle w:val="65"/>
              <w:keepNext w:val="0"/>
              <w:pageBreakBefore w:val="0"/>
              <w:kinsoku/>
              <w:wordWrap/>
              <w:overflowPunct/>
              <w:topLinePunct w:val="0"/>
              <w:bidi w:val="0"/>
              <w:spacing w:line="240" w:lineRule="auto"/>
              <w:ind w:firstLine="0"/>
              <w:rPr>
                <w:b w:val="0"/>
                <w:bCs w:val="0"/>
                <w:color w:val="auto"/>
                <w:sz w:val="21"/>
                <w:szCs w:val="21"/>
                <w:highlight w:val="none"/>
              </w:rPr>
            </w:pPr>
            <w:r>
              <w:rPr>
                <w:b w:val="0"/>
                <w:bCs w:val="0"/>
                <w:color w:val="auto"/>
                <w:sz w:val="21"/>
                <w:szCs w:val="21"/>
                <w:highlight w:val="none"/>
              </w:rPr>
              <w:t>(m)</w:t>
            </w:r>
          </w:p>
        </w:tc>
        <w:tc>
          <w:tcPr>
            <w:tcW w:w="407" w:type="pct"/>
            <w:tcBorders>
              <w:tl2br w:val="nil"/>
              <w:tr2bl w:val="nil"/>
            </w:tcBorders>
            <w:noWrap w:val="0"/>
            <w:vAlign w:val="center"/>
          </w:tcPr>
          <w:p w14:paraId="46B4E8E2">
            <w:pPr>
              <w:pStyle w:val="65"/>
              <w:keepNext w:val="0"/>
              <w:pageBreakBefore w:val="0"/>
              <w:kinsoku/>
              <w:wordWrap/>
              <w:overflowPunct/>
              <w:topLinePunct w:val="0"/>
              <w:bidi w:val="0"/>
              <w:spacing w:line="240" w:lineRule="auto"/>
              <w:ind w:firstLine="0"/>
              <w:rPr>
                <w:b w:val="0"/>
                <w:bCs w:val="0"/>
                <w:color w:val="auto"/>
                <w:sz w:val="21"/>
                <w:szCs w:val="21"/>
                <w:highlight w:val="none"/>
              </w:rPr>
            </w:pPr>
            <w:r>
              <w:rPr>
                <w:rFonts w:hint="eastAsia"/>
                <w:b w:val="0"/>
                <w:bCs w:val="0"/>
                <w:color w:val="auto"/>
                <w:sz w:val="21"/>
                <w:szCs w:val="21"/>
                <w:highlight w:val="none"/>
              </w:rPr>
              <w:t>内径</w:t>
            </w:r>
          </w:p>
          <w:p w14:paraId="128F53F0">
            <w:pPr>
              <w:pStyle w:val="65"/>
              <w:keepNext w:val="0"/>
              <w:pageBreakBefore w:val="0"/>
              <w:kinsoku/>
              <w:wordWrap/>
              <w:overflowPunct/>
              <w:topLinePunct w:val="0"/>
              <w:bidi w:val="0"/>
              <w:spacing w:line="240" w:lineRule="auto"/>
              <w:ind w:firstLine="0"/>
              <w:rPr>
                <w:b w:val="0"/>
                <w:bCs w:val="0"/>
                <w:color w:val="auto"/>
                <w:sz w:val="21"/>
                <w:szCs w:val="21"/>
                <w:highlight w:val="none"/>
              </w:rPr>
            </w:pPr>
            <w:r>
              <w:rPr>
                <w:b w:val="0"/>
                <w:bCs w:val="0"/>
                <w:color w:val="auto"/>
                <w:sz w:val="21"/>
                <w:szCs w:val="21"/>
                <w:highlight w:val="none"/>
              </w:rPr>
              <w:t>(m)</w:t>
            </w:r>
          </w:p>
        </w:tc>
        <w:tc>
          <w:tcPr>
            <w:tcW w:w="436" w:type="pct"/>
            <w:tcBorders>
              <w:tl2br w:val="nil"/>
              <w:tr2bl w:val="nil"/>
            </w:tcBorders>
            <w:noWrap w:val="0"/>
            <w:vAlign w:val="center"/>
          </w:tcPr>
          <w:p w14:paraId="3ED83FEF">
            <w:pPr>
              <w:pStyle w:val="65"/>
              <w:keepNext w:val="0"/>
              <w:pageBreakBefore w:val="0"/>
              <w:kinsoku/>
              <w:wordWrap/>
              <w:overflowPunct/>
              <w:topLinePunct w:val="0"/>
              <w:bidi w:val="0"/>
              <w:spacing w:line="240" w:lineRule="auto"/>
              <w:ind w:firstLine="0"/>
              <w:rPr>
                <w:b w:val="0"/>
                <w:bCs w:val="0"/>
                <w:color w:val="auto"/>
                <w:sz w:val="21"/>
                <w:szCs w:val="21"/>
                <w:highlight w:val="none"/>
              </w:rPr>
            </w:pPr>
            <w:r>
              <w:rPr>
                <w:rFonts w:hint="eastAsia"/>
                <w:b w:val="0"/>
                <w:bCs w:val="0"/>
                <w:color w:val="auto"/>
                <w:sz w:val="21"/>
                <w:szCs w:val="21"/>
                <w:highlight w:val="none"/>
              </w:rPr>
              <w:t>烟气温度</w:t>
            </w:r>
          </w:p>
          <w:p w14:paraId="6D28FE43">
            <w:pPr>
              <w:pStyle w:val="65"/>
              <w:keepNext w:val="0"/>
              <w:pageBreakBefore w:val="0"/>
              <w:kinsoku/>
              <w:wordWrap/>
              <w:overflowPunct/>
              <w:topLinePunct w:val="0"/>
              <w:bidi w:val="0"/>
              <w:spacing w:line="240" w:lineRule="auto"/>
              <w:ind w:firstLine="0"/>
              <w:rPr>
                <w:b w:val="0"/>
                <w:bCs w:val="0"/>
                <w:color w:val="auto"/>
                <w:sz w:val="21"/>
                <w:szCs w:val="21"/>
                <w:highlight w:val="none"/>
              </w:rPr>
            </w:pPr>
            <w:r>
              <w:rPr>
                <w:b w:val="0"/>
                <w:bCs w:val="0"/>
                <w:color w:val="auto"/>
                <w:sz w:val="21"/>
                <w:szCs w:val="21"/>
                <w:highlight w:val="none"/>
              </w:rPr>
              <w:t>(℃)</w:t>
            </w:r>
          </w:p>
        </w:tc>
        <w:tc>
          <w:tcPr>
            <w:tcW w:w="528" w:type="pct"/>
            <w:tcBorders>
              <w:tl2br w:val="nil"/>
              <w:tr2bl w:val="nil"/>
            </w:tcBorders>
            <w:noWrap w:val="0"/>
            <w:vAlign w:val="center"/>
          </w:tcPr>
          <w:p w14:paraId="66AB9498">
            <w:pPr>
              <w:pStyle w:val="65"/>
              <w:keepNext w:val="0"/>
              <w:pageBreakBefore w:val="0"/>
              <w:kinsoku/>
              <w:wordWrap/>
              <w:overflowPunct/>
              <w:topLinePunct w:val="0"/>
              <w:bidi w:val="0"/>
              <w:spacing w:line="240" w:lineRule="auto"/>
              <w:ind w:firstLine="0"/>
              <w:rPr>
                <w:b w:val="0"/>
                <w:bCs w:val="0"/>
                <w:color w:val="auto"/>
                <w:sz w:val="21"/>
                <w:szCs w:val="21"/>
                <w:highlight w:val="none"/>
              </w:rPr>
            </w:pPr>
            <w:r>
              <w:rPr>
                <w:rFonts w:hint="eastAsia"/>
                <w:b w:val="0"/>
                <w:bCs w:val="0"/>
                <w:color w:val="auto"/>
                <w:sz w:val="21"/>
                <w:szCs w:val="21"/>
                <w:highlight w:val="none"/>
              </w:rPr>
              <w:t>流量</w:t>
            </w:r>
          </w:p>
          <w:p w14:paraId="51463A14">
            <w:pPr>
              <w:pStyle w:val="65"/>
              <w:keepNext w:val="0"/>
              <w:pageBreakBefore w:val="0"/>
              <w:kinsoku/>
              <w:wordWrap/>
              <w:overflowPunct/>
              <w:topLinePunct w:val="0"/>
              <w:bidi w:val="0"/>
              <w:spacing w:line="240" w:lineRule="auto"/>
              <w:ind w:firstLine="0"/>
              <w:rPr>
                <w:b w:val="0"/>
                <w:bCs w:val="0"/>
                <w:color w:val="auto"/>
                <w:sz w:val="21"/>
                <w:szCs w:val="21"/>
                <w:highlight w:val="none"/>
              </w:rPr>
            </w:pPr>
            <w:r>
              <w:rPr>
                <w:b w:val="0"/>
                <w:bCs w:val="0"/>
                <w:color w:val="auto"/>
                <w:sz w:val="21"/>
                <w:szCs w:val="21"/>
                <w:highlight w:val="none"/>
              </w:rPr>
              <w:t>(m</w:t>
            </w:r>
            <w:r>
              <w:rPr>
                <w:b w:val="0"/>
                <w:bCs w:val="0"/>
                <w:color w:val="auto"/>
                <w:sz w:val="21"/>
                <w:szCs w:val="21"/>
                <w:highlight w:val="none"/>
                <w:vertAlign w:val="superscript"/>
              </w:rPr>
              <w:t>3</w:t>
            </w:r>
            <w:r>
              <w:rPr>
                <w:b w:val="0"/>
                <w:bCs w:val="0"/>
                <w:color w:val="auto"/>
                <w:sz w:val="21"/>
                <w:szCs w:val="21"/>
                <w:highlight w:val="none"/>
              </w:rPr>
              <w:t>/s)</w:t>
            </w:r>
          </w:p>
        </w:tc>
        <w:tc>
          <w:tcPr>
            <w:tcW w:w="473" w:type="pct"/>
            <w:vMerge w:val="continue"/>
            <w:tcBorders>
              <w:tl2br w:val="nil"/>
              <w:tr2bl w:val="nil"/>
            </w:tcBorders>
            <w:noWrap w:val="0"/>
            <w:vAlign w:val="center"/>
          </w:tcPr>
          <w:p w14:paraId="00EBA87E">
            <w:pPr>
              <w:keepNext w:val="0"/>
              <w:pageBreakBefore w:val="0"/>
              <w:kinsoku/>
              <w:wordWrap/>
              <w:overflowPunct/>
              <w:topLinePunct w:val="0"/>
              <w:bidi w:val="0"/>
              <w:spacing w:line="240" w:lineRule="auto"/>
              <w:ind w:firstLine="0"/>
              <w:rPr>
                <w:b w:val="0"/>
                <w:bCs w:val="0"/>
                <w:color w:val="auto"/>
                <w:sz w:val="21"/>
                <w:szCs w:val="21"/>
                <w:highlight w:val="none"/>
                <w:lang w:bidi="en-US"/>
              </w:rPr>
            </w:pPr>
          </w:p>
        </w:tc>
        <w:tc>
          <w:tcPr>
            <w:tcW w:w="467" w:type="pct"/>
            <w:vMerge w:val="continue"/>
            <w:tcBorders>
              <w:tl2br w:val="nil"/>
              <w:tr2bl w:val="nil"/>
            </w:tcBorders>
            <w:noWrap w:val="0"/>
            <w:vAlign w:val="center"/>
          </w:tcPr>
          <w:p w14:paraId="6FF34116">
            <w:pPr>
              <w:keepNext w:val="0"/>
              <w:pageBreakBefore w:val="0"/>
              <w:kinsoku/>
              <w:wordWrap/>
              <w:overflowPunct/>
              <w:topLinePunct w:val="0"/>
              <w:bidi w:val="0"/>
              <w:spacing w:line="240" w:lineRule="auto"/>
              <w:ind w:firstLine="0"/>
              <w:rPr>
                <w:b w:val="0"/>
                <w:bCs w:val="0"/>
                <w:color w:val="auto"/>
                <w:sz w:val="21"/>
                <w:szCs w:val="21"/>
                <w:highlight w:val="none"/>
                <w:lang w:bidi="en-US"/>
              </w:rPr>
            </w:pPr>
          </w:p>
        </w:tc>
        <w:tc>
          <w:tcPr>
            <w:tcW w:w="502" w:type="pct"/>
            <w:vMerge w:val="continue"/>
            <w:tcBorders>
              <w:tl2br w:val="nil"/>
              <w:tr2bl w:val="nil"/>
            </w:tcBorders>
            <w:noWrap w:val="0"/>
            <w:vAlign w:val="center"/>
          </w:tcPr>
          <w:p w14:paraId="5025C134">
            <w:pPr>
              <w:keepNext w:val="0"/>
              <w:pageBreakBefore w:val="0"/>
              <w:kinsoku/>
              <w:wordWrap/>
              <w:overflowPunct/>
              <w:topLinePunct w:val="0"/>
              <w:bidi w:val="0"/>
              <w:spacing w:line="240" w:lineRule="auto"/>
              <w:ind w:firstLine="0"/>
              <w:rPr>
                <w:b w:val="0"/>
                <w:bCs w:val="0"/>
                <w:color w:val="auto"/>
                <w:sz w:val="21"/>
                <w:szCs w:val="21"/>
                <w:highlight w:val="none"/>
                <w:lang w:bidi="en-US"/>
              </w:rPr>
            </w:pPr>
          </w:p>
        </w:tc>
      </w:tr>
      <w:tr w14:paraId="07AE6C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0" w:hRule="atLeast"/>
        </w:trPr>
        <w:tc>
          <w:tcPr>
            <w:tcW w:w="355" w:type="pct"/>
            <w:vMerge w:val="restart"/>
            <w:tcBorders>
              <w:tl2br w:val="nil"/>
              <w:tr2bl w:val="nil"/>
            </w:tcBorders>
            <w:noWrap w:val="0"/>
            <w:vAlign w:val="center"/>
          </w:tcPr>
          <w:p w14:paraId="217AC543">
            <w:pPr>
              <w:pStyle w:val="65"/>
              <w:keepNext w:val="0"/>
              <w:pageBreakBefore w:val="0"/>
              <w:kinsoku/>
              <w:wordWrap/>
              <w:overflowPunct/>
              <w:topLinePunct w:val="0"/>
              <w:bidi w:val="0"/>
              <w:spacing w:line="240" w:lineRule="auto"/>
              <w:ind w:firstLine="0"/>
              <w:rPr>
                <w:b w:val="0"/>
                <w:bCs w:val="0"/>
                <w:color w:val="auto"/>
                <w:sz w:val="21"/>
                <w:szCs w:val="21"/>
                <w:highlight w:val="none"/>
              </w:rPr>
            </w:pPr>
            <w:r>
              <w:rPr>
                <w:rFonts w:hint="eastAsia"/>
                <w:b w:val="0"/>
                <w:bCs w:val="0"/>
                <w:color w:val="auto"/>
                <w:sz w:val="21"/>
                <w:szCs w:val="21"/>
                <w:highlight w:val="none"/>
                <w:lang w:val="en-US" w:eastAsia="zh-CN"/>
              </w:rPr>
              <w:t>雄探1井</w:t>
            </w:r>
            <w:r>
              <w:rPr>
                <w:rFonts w:hint="eastAsia"/>
                <w:b w:val="0"/>
                <w:bCs w:val="0"/>
                <w:color w:val="auto"/>
                <w:sz w:val="21"/>
                <w:szCs w:val="21"/>
                <w:highlight w:val="none"/>
              </w:rPr>
              <w:t>加热炉</w:t>
            </w:r>
          </w:p>
        </w:tc>
        <w:tc>
          <w:tcPr>
            <w:tcW w:w="949" w:type="pct"/>
            <w:vMerge w:val="restart"/>
            <w:tcBorders>
              <w:tl2br w:val="nil"/>
              <w:tr2bl w:val="nil"/>
            </w:tcBorders>
            <w:noWrap w:val="0"/>
            <w:vAlign w:val="center"/>
          </w:tcPr>
          <w:p w14:paraId="67ACEB4F">
            <w:pPr>
              <w:pStyle w:val="65"/>
              <w:keepNext w:val="0"/>
              <w:pageBreakBefore w:val="0"/>
              <w:kinsoku/>
              <w:wordWrap/>
              <w:overflowPunct/>
              <w:topLinePunct w:val="0"/>
              <w:bidi w:val="0"/>
              <w:spacing w:line="240" w:lineRule="auto"/>
              <w:ind w:firstLine="0"/>
              <w:rPr>
                <w:rFonts w:hint="eastAsia"/>
                <w:b w:val="0"/>
                <w:bCs w:val="0"/>
                <w:color w:val="auto"/>
                <w:sz w:val="21"/>
                <w:szCs w:val="21"/>
                <w:highlight w:val="none"/>
              </w:rPr>
            </w:pPr>
          </w:p>
        </w:tc>
        <w:tc>
          <w:tcPr>
            <w:tcW w:w="473" w:type="pct"/>
            <w:vMerge w:val="restart"/>
            <w:tcBorders>
              <w:tl2br w:val="nil"/>
              <w:tr2bl w:val="nil"/>
            </w:tcBorders>
            <w:noWrap w:val="0"/>
            <w:vAlign w:val="center"/>
          </w:tcPr>
          <w:p w14:paraId="77EF781B">
            <w:pPr>
              <w:pStyle w:val="65"/>
              <w:keepNext w:val="0"/>
              <w:pageBreakBefore w:val="0"/>
              <w:kinsoku/>
              <w:wordWrap/>
              <w:overflowPunct/>
              <w:topLinePunct w:val="0"/>
              <w:bidi w:val="0"/>
              <w:spacing w:line="240" w:lineRule="auto"/>
              <w:ind w:firstLine="0"/>
              <w:rPr>
                <w:rFonts w:hint="eastAsia" w:eastAsia="宋体"/>
                <w:b w:val="0"/>
                <w:bCs w:val="0"/>
                <w:color w:val="auto"/>
                <w:sz w:val="21"/>
                <w:szCs w:val="21"/>
                <w:highlight w:val="none"/>
                <w:lang w:eastAsia="zh-CN"/>
              </w:rPr>
            </w:pPr>
            <w:r>
              <w:rPr>
                <w:rFonts w:hint="eastAsia"/>
                <w:b w:val="0"/>
                <w:bCs w:val="0"/>
                <w:color w:val="auto"/>
                <w:sz w:val="21"/>
                <w:szCs w:val="21"/>
                <w:highlight w:val="none"/>
              </w:rPr>
              <w:t>1</w:t>
            </w:r>
            <w:r>
              <w:rPr>
                <w:b w:val="0"/>
                <w:bCs w:val="0"/>
                <w:color w:val="auto"/>
                <w:sz w:val="21"/>
                <w:szCs w:val="21"/>
                <w:highlight w:val="none"/>
              </w:rPr>
              <w:t>08</w:t>
            </w:r>
            <w:r>
              <w:rPr>
                <w:rFonts w:hint="eastAsia"/>
                <w:b w:val="0"/>
                <w:bCs w:val="0"/>
                <w:color w:val="auto"/>
                <w:sz w:val="21"/>
                <w:szCs w:val="21"/>
                <w:highlight w:val="none"/>
                <w:lang w:val="en-US" w:eastAsia="zh-CN"/>
              </w:rPr>
              <w:t>0</w:t>
            </w:r>
          </w:p>
        </w:tc>
        <w:tc>
          <w:tcPr>
            <w:tcW w:w="407" w:type="pct"/>
            <w:vMerge w:val="restart"/>
            <w:tcBorders>
              <w:tl2br w:val="nil"/>
              <w:tr2bl w:val="nil"/>
            </w:tcBorders>
            <w:noWrap w:val="0"/>
            <w:vAlign w:val="center"/>
          </w:tcPr>
          <w:p w14:paraId="3751D17C">
            <w:pPr>
              <w:pStyle w:val="65"/>
              <w:keepNext w:val="0"/>
              <w:pageBreakBefore w:val="0"/>
              <w:kinsoku/>
              <w:wordWrap/>
              <w:overflowPunct/>
              <w:topLinePunct w:val="0"/>
              <w:bidi w:val="0"/>
              <w:spacing w:line="240" w:lineRule="auto"/>
              <w:ind w:firstLine="0"/>
              <w:rPr>
                <w:b w:val="0"/>
                <w:bCs w:val="0"/>
                <w:color w:val="auto"/>
                <w:sz w:val="21"/>
                <w:szCs w:val="21"/>
                <w:highlight w:val="none"/>
              </w:rPr>
            </w:pPr>
            <w:r>
              <w:rPr>
                <w:b w:val="0"/>
                <w:bCs w:val="0"/>
                <w:color w:val="auto"/>
                <w:sz w:val="21"/>
                <w:szCs w:val="21"/>
                <w:highlight w:val="none"/>
              </w:rPr>
              <w:t>8</w:t>
            </w:r>
          </w:p>
        </w:tc>
        <w:tc>
          <w:tcPr>
            <w:tcW w:w="407" w:type="pct"/>
            <w:vMerge w:val="restart"/>
            <w:tcBorders>
              <w:tl2br w:val="nil"/>
              <w:tr2bl w:val="nil"/>
            </w:tcBorders>
            <w:noWrap w:val="0"/>
            <w:vAlign w:val="center"/>
          </w:tcPr>
          <w:p w14:paraId="08D7CB96">
            <w:pPr>
              <w:pStyle w:val="65"/>
              <w:keepNext w:val="0"/>
              <w:pageBreakBefore w:val="0"/>
              <w:kinsoku/>
              <w:wordWrap/>
              <w:overflowPunct/>
              <w:topLinePunct w:val="0"/>
              <w:bidi w:val="0"/>
              <w:spacing w:line="240" w:lineRule="auto"/>
              <w:ind w:firstLine="0"/>
              <w:rPr>
                <w:b w:val="0"/>
                <w:bCs w:val="0"/>
                <w:color w:val="auto"/>
                <w:sz w:val="21"/>
                <w:szCs w:val="21"/>
                <w:highlight w:val="none"/>
              </w:rPr>
            </w:pPr>
            <w:r>
              <w:rPr>
                <w:b w:val="0"/>
                <w:bCs w:val="0"/>
                <w:color w:val="auto"/>
                <w:sz w:val="21"/>
                <w:szCs w:val="21"/>
                <w:highlight w:val="none"/>
              </w:rPr>
              <w:t>0.3</w:t>
            </w:r>
          </w:p>
        </w:tc>
        <w:tc>
          <w:tcPr>
            <w:tcW w:w="436" w:type="pct"/>
            <w:vMerge w:val="restart"/>
            <w:tcBorders>
              <w:tl2br w:val="nil"/>
              <w:tr2bl w:val="nil"/>
            </w:tcBorders>
            <w:noWrap w:val="0"/>
            <w:vAlign w:val="center"/>
          </w:tcPr>
          <w:p w14:paraId="66AB793B">
            <w:pPr>
              <w:pStyle w:val="65"/>
              <w:keepNext w:val="0"/>
              <w:pageBreakBefore w:val="0"/>
              <w:kinsoku/>
              <w:wordWrap/>
              <w:overflowPunct/>
              <w:topLinePunct w:val="0"/>
              <w:bidi w:val="0"/>
              <w:spacing w:line="240" w:lineRule="auto"/>
              <w:ind w:firstLine="0"/>
              <w:rPr>
                <w:b w:val="0"/>
                <w:bCs w:val="0"/>
                <w:color w:val="auto"/>
                <w:sz w:val="21"/>
                <w:szCs w:val="21"/>
                <w:highlight w:val="none"/>
              </w:rPr>
            </w:pPr>
            <w:r>
              <w:rPr>
                <w:b w:val="0"/>
                <w:bCs w:val="0"/>
                <w:color w:val="auto"/>
                <w:sz w:val="21"/>
                <w:szCs w:val="21"/>
                <w:highlight w:val="none"/>
              </w:rPr>
              <w:t>120</w:t>
            </w:r>
          </w:p>
        </w:tc>
        <w:tc>
          <w:tcPr>
            <w:tcW w:w="528" w:type="pct"/>
            <w:vMerge w:val="restart"/>
            <w:tcBorders>
              <w:tl2br w:val="nil"/>
              <w:tr2bl w:val="nil"/>
            </w:tcBorders>
            <w:noWrap w:val="0"/>
            <w:vAlign w:val="center"/>
          </w:tcPr>
          <w:p w14:paraId="712E36FE">
            <w:pPr>
              <w:pStyle w:val="65"/>
              <w:keepNext w:val="0"/>
              <w:pageBreakBefore w:val="0"/>
              <w:kinsoku/>
              <w:wordWrap/>
              <w:overflowPunct/>
              <w:topLinePunct w:val="0"/>
              <w:bidi w:val="0"/>
              <w:spacing w:line="240" w:lineRule="auto"/>
              <w:ind w:firstLine="0"/>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1.65</w:t>
            </w:r>
          </w:p>
        </w:tc>
        <w:tc>
          <w:tcPr>
            <w:tcW w:w="473" w:type="pct"/>
            <w:vMerge w:val="restart"/>
            <w:tcBorders>
              <w:tl2br w:val="nil"/>
              <w:tr2bl w:val="nil"/>
            </w:tcBorders>
            <w:noWrap w:val="0"/>
            <w:vAlign w:val="center"/>
          </w:tcPr>
          <w:p w14:paraId="2BED6F44">
            <w:pPr>
              <w:pStyle w:val="65"/>
              <w:keepNext w:val="0"/>
              <w:pageBreakBefore w:val="0"/>
              <w:kinsoku/>
              <w:wordWrap/>
              <w:overflowPunct/>
              <w:topLinePunct w:val="0"/>
              <w:bidi w:val="0"/>
              <w:spacing w:line="240" w:lineRule="auto"/>
              <w:ind w:firstLine="0"/>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3600</w:t>
            </w:r>
          </w:p>
        </w:tc>
        <w:tc>
          <w:tcPr>
            <w:tcW w:w="467" w:type="pct"/>
            <w:tcBorders>
              <w:tl2br w:val="nil"/>
              <w:tr2bl w:val="nil"/>
            </w:tcBorders>
            <w:noWrap w:val="0"/>
            <w:vAlign w:val="center"/>
          </w:tcPr>
          <w:p w14:paraId="6534AB38">
            <w:pPr>
              <w:pStyle w:val="65"/>
              <w:keepNext w:val="0"/>
              <w:pageBreakBefore w:val="0"/>
              <w:kinsoku/>
              <w:wordWrap/>
              <w:overflowPunct/>
              <w:topLinePunct w:val="0"/>
              <w:bidi w:val="0"/>
              <w:spacing w:line="240" w:lineRule="auto"/>
              <w:ind w:firstLine="0"/>
              <w:rPr>
                <w:b w:val="0"/>
                <w:bCs w:val="0"/>
                <w:color w:val="auto"/>
                <w:sz w:val="21"/>
                <w:szCs w:val="21"/>
                <w:highlight w:val="none"/>
              </w:rPr>
            </w:pPr>
            <w:r>
              <w:rPr>
                <w:b w:val="0"/>
                <w:bCs w:val="0"/>
                <w:color w:val="auto"/>
                <w:sz w:val="21"/>
                <w:szCs w:val="21"/>
                <w:highlight w:val="none"/>
              </w:rPr>
              <w:t>SO</w:t>
            </w:r>
            <w:r>
              <w:rPr>
                <w:b w:val="0"/>
                <w:bCs w:val="0"/>
                <w:color w:val="auto"/>
                <w:sz w:val="21"/>
                <w:szCs w:val="21"/>
                <w:highlight w:val="none"/>
                <w:vertAlign w:val="subscript"/>
              </w:rPr>
              <w:t>2</w:t>
            </w:r>
          </w:p>
        </w:tc>
        <w:tc>
          <w:tcPr>
            <w:tcW w:w="502" w:type="pct"/>
            <w:tcBorders>
              <w:tl2br w:val="nil"/>
              <w:tr2bl w:val="nil"/>
            </w:tcBorders>
            <w:noWrap w:val="0"/>
            <w:vAlign w:val="center"/>
          </w:tcPr>
          <w:p w14:paraId="78BA5AFF">
            <w:pPr>
              <w:pStyle w:val="65"/>
              <w:keepNext w:val="0"/>
              <w:pageBreakBefore w:val="0"/>
              <w:kinsoku/>
              <w:wordWrap/>
              <w:overflowPunct/>
              <w:topLinePunct w:val="0"/>
              <w:bidi w:val="0"/>
              <w:spacing w:line="240" w:lineRule="auto"/>
              <w:ind w:firstLine="0"/>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0.01083</w:t>
            </w:r>
          </w:p>
        </w:tc>
      </w:tr>
      <w:tr w14:paraId="78939A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10" w:hRule="atLeast"/>
        </w:trPr>
        <w:tc>
          <w:tcPr>
            <w:tcW w:w="355" w:type="pct"/>
            <w:vMerge w:val="continue"/>
            <w:tcBorders>
              <w:tl2br w:val="nil"/>
              <w:tr2bl w:val="nil"/>
            </w:tcBorders>
            <w:noWrap w:val="0"/>
            <w:vAlign w:val="center"/>
          </w:tcPr>
          <w:p w14:paraId="0020226D">
            <w:pPr>
              <w:keepNext w:val="0"/>
              <w:pageBreakBefore w:val="0"/>
              <w:kinsoku/>
              <w:wordWrap/>
              <w:overflowPunct/>
              <w:topLinePunct w:val="0"/>
              <w:bidi w:val="0"/>
              <w:spacing w:line="240" w:lineRule="auto"/>
              <w:ind w:firstLine="0"/>
              <w:rPr>
                <w:color w:val="auto"/>
                <w:sz w:val="21"/>
                <w:szCs w:val="21"/>
                <w:highlight w:val="none"/>
                <w:lang w:bidi="en-US"/>
              </w:rPr>
            </w:pPr>
          </w:p>
        </w:tc>
        <w:tc>
          <w:tcPr>
            <w:tcW w:w="949" w:type="pct"/>
            <w:vMerge w:val="continue"/>
            <w:tcBorders>
              <w:tl2br w:val="nil"/>
              <w:tr2bl w:val="nil"/>
            </w:tcBorders>
            <w:noWrap w:val="0"/>
            <w:vAlign w:val="center"/>
          </w:tcPr>
          <w:p w14:paraId="2B2A01BB">
            <w:pPr>
              <w:keepNext w:val="0"/>
              <w:pageBreakBefore w:val="0"/>
              <w:kinsoku/>
              <w:wordWrap/>
              <w:overflowPunct/>
              <w:topLinePunct w:val="0"/>
              <w:bidi w:val="0"/>
              <w:spacing w:line="240" w:lineRule="auto"/>
              <w:ind w:firstLine="0"/>
              <w:rPr>
                <w:color w:val="auto"/>
                <w:sz w:val="21"/>
                <w:szCs w:val="21"/>
                <w:highlight w:val="none"/>
                <w:lang w:bidi="en-US"/>
              </w:rPr>
            </w:pPr>
          </w:p>
        </w:tc>
        <w:tc>
          <w:tcPr>
            <w:tcW w:w="473" w:type="pct"/>
            <w:vMerge w:val="continue"/>
            <w:tcBorders>
              <w:tl2br w:val="nil"/>
              <w:tr2bl w:val="nil"/>
            </w:tcBorders>
            <w:noWrap w:val="0"/>
            <w:vAlign w:val="center"/>
          </w:tcPr>
          <w:p w14:paraId="1D194A52">
            <w:pPr>
              <w:keepNext w:val="0"/>
              <w:pageBreakBefore w:val="0"/>
              <w:kinsoku/>
              <w:wordWrap/>
              <w:overflowPunct/>
              <w:topLinePunct w:val="0"/>
              <w:bidi w:val="0"/>
              <w:spacing w:line="240" w:lineRule="auto"/>
              <w:ind w:firstLine="0"/>
              <w:rPr>
                <w:color w:val="auto"/>
                <w:sz w:val="21"/>
                <w:szCs w:val="21"/>
                <w:highlight w:val="none"/>
                <w:lang w:bidi="en-US"/>
              </w:rPr>
            </w:pPr>
          </w:p>
        </w:tc>
        <w:tc>
          <w:tcPr>
            <w:tcW w:w="407" w:type="pct"/>
            <w:vMerge w:val="continue"/>
            <w:tcBorders>
              <w:tl2br w:val="nil"/>
              <w:tr2bl w:val="nil"/>
            </w:tcBorders>
            <w:noWrap w:val="0"/>
            <w:vAlign w:val="center"/>
          </w:tcPr>
          <w:p w14:paraId="4E6DE16B">
            <w:pPr>
              <w:keepNext w:val="0"/>
              <w:pageBreakBefore w:val="0"/>
              <w:kinsoku/>
              <w:wordWrap/>
              <w:overflowPunct/>
              <w:topLinePunct w:val="0"/>
              <w:bidi w:val="0"/>
              <w:spacing w:line="240" w:lineRule="auto"/>
              <w:ind w:firstLine="0"/>
              <w:rPr>
                <w:color w:val="auto"/>
                <w:sz w:val="21"/>
                <w:szCs w:val="21"/>
                <w:highlight w:val="none"/>
                <w:lang w:bidi="en-US"/>
              </w:rPr>
            </w:pPr>
          </w:p>
        </w:tc>
        <w:tc>
          <w:tcPr>
            <w:tcW w:w="407" w:type="pct"/>
            <w:vMerge w:val="continue"/>
            <w:tcBorders>
              <w:tl2br w:val="nil"/>
              <w:tr2bl w:val="nil"/>
            </w:tcBorders>
            <w:noWrap w:val="0"/>
            <w:vAlign w:val="center"/>
          </w:tcPr>
          <w:p w14:paraId="6799680C">
            <w:pPr>
              <w:keepNext w:val="0"/>
              <w:pageBreakBefore w:val="0"/>
              <w:kinsoku/>
              <w:wordWrap/>
              <w:overflowPunct/>
              <w:topLinePunct w:val="0"/>
              <w:bidi w:val="0"/>
              <w:spacing w:line="240" w:lineRule="auto"/>
              <w:ind w:firstLine="0"/>
              <w:rPr>
                <w:color w:val="auto"/>
                <w:sz w:val="21"/>
                <w:szCs w:val="21"/>
                <w:highlight w:val="none"/>
                <w:lang w:bidi="en-US"/>
              </w:rPr>
            </w:pPr>
          </w:p>
        </w:tc>
        <w:tc>
          <w:tcPr>
            <w:tcW w:w="436" w:type="pct"/>
            <w:vMerge w:val="continue"/>
            <w:tcBorders>
              <w:tl2br w:val="nil"/>
              <w:tr2bl w:val="nil"/>
            </w:tcBorders>
            <w:noWrap w:val="0"/>
            <w:vAlign w:val="center"/>
          </w:tcPr>
          <w:p w14:paraId="326D6C49">
            <w:pPr>
              <w:keepNext w:val="0"/>
              <w:pageBreakBefore w:val="0"/>
              <w:kinsoku/>
              <w:wordWrap/>
              <w:overflowPunct/>
              <w:topLinePunct w:val="0"/>
              <w:bidi w:val="0"/>
              <w:spacing w:line="240" w:lineRule="auto"/>
              <w:ind w:firstLine="0"/>
              <w:rPr>
                <w:color w:val="auto"/>
                <w:sz w:val="21"/>
                <w:szCs w:val="21"/>
                <w:highlight w:val="none"/>
                <w:lang w:bidi="en-US"/>
              </w:rPr>
            </w:pPr>
          </w:p>
        </w:tc>
        <w:tc>
          <w:tcPr>
            <w:tcW w:w="528" w:type="pct"/>
            <w:vMerge w:val="continue"/>
            <w:tcBorders>
              <w:tl2br w:val="nil"/>
              <w:tr2bl w:val="nil"/>
            </w:tcBorders>
            <w:noWrap w:val="0"/>
            <w:vAlign w:val="center"/>
          </w:tcPr>
          <w:p w14:paraId="5B06689F">
            <w:pPr>
              <w:keepNext w:val="0"/>
              <w:pageBreakBefore w:val="0"/>
              <w:kinsoku/>
              <w:wordWrap/>
              <w:overflowPunct/>
              <w:topLinePunct w:val="0"/>
              <w:bidi w:val="0"/>
              <w:spacing w:line="240" w:lineRule="auto"/>
              <w:ind w:firstLine="0"/>
              <w:rPr>
                <w:color w:val="auto"/>
                <w:sz w:val="21"/>
                <w:szCs w:val="21"/>
                <w:highlight w:val="none"/>
                <w:lang w:bidi="en-US"/>
              </w:rPr>
            </w:pPr>
          </w:p>
        </w:tc>
        <w:tc>
          <w:tcPr>
            <w:tcW w:w="473" w:type="pct"/>
            <w:vMerge w:val="continue"/>
            <w:tcBorders>
              <w:tl2br w:val="nil"/>
              <w:tr2bl w:val="nil"/>
            </w:tcBorders>
            <w:noWrap w:val="0"/>
            <w:vAlign w:val="center"/>
          </w:tcPr>
          <w:p w14:paraId="603FC4C8">
            <w:pPr>
              <w:keepNext w:val="0"/>
              <w:pageBreakBefore w:val="0"/>
              <w:kinsoku/>
              <w:wordWrap/>
              <w:overflowPunct/>
              <w:topLinePunct w:val="0"/>
              <w:bidi w:val="0"/>
              <w:spacing w:line="240" w:lineRule="auto"/>
              <w:ind w:firstLine="0"/>
              <w:rPr>
                <w:color w:val="auto"/>
                <w:sz w:val="21"/>
                <w:szCs w:val="21"/>
                <w:highlight w:val="none"/>
                <w:lang w:bidi="en-US"/>
              </w:rPr>
            </w:pPr>
          </w:p>
        </w:tc>
        <w:tc>
          <w:tcPr>
            <w:tcW w:w="467" w:type="pct"/>
            <w:tcBorders>
              <w:tl2br w:val="nil"/>
              <w:tr2bl w:val="nil"/>
            </w:tcBorders>
            <w:noWrap w:val="0"/>
            <w:vAlign w:val="center"/>
          </w:tcPr>
          <w:p w14:paraId="68D2D6AB">
            <w:pPr>
              <w:pStyle w:val="65"/>
              <w:keepNext w:val="0"/>
              <w:pageBreakBefore w:val="0"/>
              <w:kinsoku/>
              <w:wordWrap/>
              <w:overflowPunct/>
              <w:topLinePunct w:val="0"/>
              <w:bidi w:val="0"/>
              <w:spacing w:line="240" w:lineRule="auto"/>
              <w:ind w:firstLine="0"/>
              <w:rPr>
                <w:color w:val="auto"/>
                <w:sz w:val="21"/>
                <w:szCs w:val="21"/>
                <w:highlight w:val="none"/>
              </w:rPr>
            </w:pPr>
            <w:r>
              <w:rPr>
                <w:color w:val="auto"/>
                <w:sz w:val="21"/>
                <w:szCs w:val="21"/>
                <w:highlight w:val="none"/>
              </w:rPr>
              <w:t>NOx</w:t>
            </w:r>
          </w:p>
        </w:tc>
        <w:tc>
          <w:tcPr>
            <w:tcW w:w="502" w:type="pct"/>
            <w:tcBorders>
              <w:tl2br w:val="nil"/>
              <w:tr2bl w:val="nil"/>
            </w:tcBorders>
            <w:noWrap w:val="0"/>
            <w:vAlign w:val="center"/>
          </w:tcPr>
          <w:p w14:paraId="2F8EA0F3">
            <w:pPr>
              <w:pStyle w:val="65"/>
              <w:keepNext w:val="0"/>
              <w:pageBreakBefore w:val="0"/>
              <w:kinsoku/>
              <w:wordWrap/>
              <w:overflowPunct/>
              <w:topLinePunct w:val="0"/>
              <w:bidi w:val="0"/>
              <w:spacing w:line="240" w:lineRule="auto"/>
              <w:ind w:firstLine="0"/>
              <w:rPr>
                <w:rFonts w:hint="default" w:eastAsia="宋体"/>
                <w:color w:val="auto"/>
                <w:sz w:val="21"/>
                <w:szCs w:val="21"/>
                <w:highlight w:val="none"/>
                <w:lang w:val="en-US" w:eastAsia="zh-CN"/>
              </w:rPr>
            </w:pPr>
            <w:r>
              <w:rPr>
                <w:rFonts w:hint="eastAsia"/>
                <w:color w:val="auto"/>
                <w:sz w:val="21"/>
                <w:szCs w:val="21"/>
                <w:highlight w:val="none"/>
                <w:lang w:val="en-US" w:eastAsia="zh-CN"/>
              </w:rPr>
              <w:t>0.04306</w:t>
            </w:r>
          </w:p>
        </w:tc>
      </w:tr>
      <w:tr w14:paraId="2EE449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10" w:hRule="atLeast"/>
        </w:trPr>
        <w:tc>
          <w:tcPr>
            <w:tcW w:w="355" w:type="pct"/>
            <w:vMerge w:val="continue"/>
            <w:tcBorders>
              <w:tl2br w:val="nil"/>
              <w:tr2bl w:val="nil"/>
            </w:tcBorders>
            <w:noWrap w:val="0"/>
            <w:vAlign w:val="center"/>
          </w:tcPr>
          <w:p w14:paraId="4BC9287D">
            <w:pPr>
              <w:keepNext w:val="0"/>
              <w:pageBreakBefore w:val="0"/>
              <w:kinsoku/>
              <w:wordWrap/>
              <w:overflowPunct/>
              <w:topLinePunct w:val="0"/>
              <w:bidi w:val="0"/>
              <w:spacing w:line="240" w:lineRule="auto"/>
              <w:ind w:firstLine="0"/>
              <w:rPr>
                <w:color w:val="auto"/>
                <w:sz w:val="21"/>
                <w:szCs w:val="21"/>
                <w:highlight w:val="none"/>
                <w:lang w:bidi="en-US"/>
              </w:rPr>
            </w:pPr>
          </w:p>
        </w:tc>
        <w:tc>
          <w:tcPr>
            <w:tcW w:w="949" w:type="pct"/>
            <w:vMerge w:val="continue"/>
            <w:tcBorders>
              <w:tl2br w:val="nil"/>
              <w:tr2bl w:val="nil"/>
            </w:tcBorders>
            <w:noWrap w:val="0"/>
            <w:vAlign w:val="center"/>
          </w:tcPr>
          <w:p w14:paraId="466B7134">
            <w:pPr>
              <w:keepNext w:val="0"/>
              <w:pageBreakBefore w:val="0"/>
              <w:kinsoku/>
              <w:wordWrap/>
              <w:overflowPunct/>
              <w:topLinePunct w:val="0"/>
              <w:bidi w:val="0"/>
              <w:spacing w:line="240" w:lineRule="auto"/>
              <w:ind w:firstLine="0"/>
              <w:rPr>
                <w:color w:val="auto"/>
                <w:sz w:val="21"/>
                <w:szCs w:val="21"/>
                <w:highlight w:val="none"/>
                <w:lang w:bidi="en-US"/>
              </w:rPr>
            </w:pPr>
          </w:p>
        </w:tc>
        <w:tc>
          <w:tcPr>
            <w:tcW w:w="473" w:type="pct"/>
            <w:vMerge w:val="continue"/>
            <w:tcBorders>
              <w:tl2br w:val="nil"/>
              <w:tr2bl w:val="nil"/>
            </w:tcBorders>
            <w:noWrap w:val="0"/>
            <w:vAlign w:val="center"/>
          </w:tcPr>
          <w:p w14:paraId="0F64AB7C">
            <w:pPr>
              <w:keepNext w:val="0"/>
              <w:pageBreakBefore w:val="0"/>
              <w:kinsoku/>
              <w:wordWrap/>
              <w:overflowPunct/>
              <w:topLinePunct w:val="0"/>
              <w:bidi w:val="0"/>
              <w:spacing w:line="240" w:lineRule="auto"/>
              <w:ind w:firstLine="0"/>
              <w:rPr>
                <w:color w:val="auto"/>
                <w:sz w:val="21"/>
                <w:szCs w:val="21"/>
                <w:highlight w:val="none"/>
                <w:lang w:bidi="en-US"/>
              </w:rPr>
            </w:pPr>
          </w:p>
        </w:tc>
        <w:tc>
          <w:tcPr>
            <w:tcW w:w="407" w:type="pct"/>
            <w:vMerge w:val="continue"/>
            <w:tcBorders>
              <w:tl2br w:val="nil"/>
              <w:tr2bl w:val="nil"/>
            </w:tcBorders>
            <w:noWrap w:val="0"/>
            <w:vAlign w:val="center"/>
          </w:tcPr>
          <w:p w14:paraId="50D1FB9F">
            <w:pPr>
              <w:keepNext w:val="0"/>
              <w:pageBreakBefore w:val="0"/>
              <w:kinsoku/>
              <w:wordWrap/>
              <w:overflowPunct/>
              <w:topLinePunct w:val="0"/>
              <w:bidi w:val="0"/>
              <w:spacing w:line="240" w:lineRule="auto"/>
              <w:ind w:firstLine="0"/>
              <w:rPr>
                <w:color w:val="auto"/>
                <w:sz w:val="21"/>
                <w:szCs w:val="21"/>
                <w:highlight w:val="none"/>
                <w:lang w:bidi="en-US"/>
              </w:rPr>
            </w:pPr>
          </w:p>
        </w:tc>
        <w:tc>
          <w:tcPr>
            <w:tcW w:w="407" w:type="pct"/>
            <w:vMerge w:val="continue"/>
            <w:tcBorders>
              <w:tl2br w:val="nil"/>
              <w:tr2bl w:val="nil"/>
            </w:tcBorders>
            <w:noWrap w:val="0"/>
            <w:vAlign w:val="center"/>
          </w:tcPr>
          <w:p w14:paraId="05E41D73">
            <w:pPr>
              <w:keepNext w:val="0"/>
              <w:pageBreakBefore w:val="0"/>
              <w:kinsoku/>
              <w:wordWrap/>
              <w:overflowPunct/>
              <w:topLinePunct w:val="0"/>
              <w:bidi w:val="0"/>
              <w:spacing w:line="240" w:lineRule="auto"/>
              <w:ind w:firstLine="0"/>
              <w:rPr>
                <w:color w:val="auto"/>
                <w:sz w:val="21"/>
                <w:szCs w:val="21"/>
                <w:highlight w:val="none"/>
                <w:lang w:bidi="en-US"/>
              </w:rPr>
            </w:pPr>
          </w:p>
        </w:tc>
        <w:tc>
          <w:tcPr>
            <w:tcW w:w="436" w:type="pct"/>
            <w:vMerge w:val="continue"/>
            <w:tcBorders>
              <w:tl2br w:val="nil"/>
              <w:tr2bl w:val="nil"/>
            </w:tcBorders>
            <w:noWrap w:val="0"/>
            <w:vAlign w:val="center"/>
          </w:tcPr>
          <w:p w14:paraId="3C66CCAA">
            <w:pPr>
              <w:keepNext w:val="0"/>
              <w:pageBreakBefore w:val="0"/>
              <w:kinsoku/>
              <w:wordWrap/>
              <w:overflowPunct/>
              <w:topLinePunct w:val="0"/>
              <w:bidi w:val="0"/>
              <w:spacing w:line="240" w:lineRule="auto"/>
              <w:ind w:firstLine="0"/>
              <w:rPr>
                <w:color w:val="auto"/>
                <w:sz w:val="21"/>
                <w:szCs w:val="21"/>
                <w:highlight w:val="none"/>
                <w:lang w:bidi="en-US"/>
              </w:rPr>
            </w:pPr>
          </w:p>
        </w:tc>
        <w:tc>
          <w:tcPr>
            <w:tcW w:w="528" w:type="pct"/>
            <w:vMerge w:val="continue"/>
            <w:tcBorders>
              <w:tl2br w:val="nil"/>
              <w:tr2bl w:val="nil"/>
            </w:tcBorders>
            <w:noWrap w:val="0"/>
            <w:vAlign w:val="center"/>
          </w:tcPr>
          <w:p w14:paraId="040E8771">
            <w:pPr>
              <w:keepNext w:val="0"/>
              <w:pageBreakBefore w:val="0"/>
              <w:kinsoku/>
              <w:wordWrap/>
              <w:overflowPunct/>
              <w:topLinePunct w:val="0"/>
              <w:bidi w:val="0"/>
              <w:spacing w:line="240" w:lineRule="auto"/>
              <w:ind w:firstLine="0"/>
              <w:rPr>
                <w:color w:val="auto"/>
                <w:sz w:val="21"/>
                <w:szCs w:val="21"/>
                <w:highlight w:val="none"/>
                <w:lang w:bidi="en-US"/>
              </w:rPr>
            </w:pPr>
          </w:p>
        </w:tc>
        <w:tc>
          <w:tcPr>
            <w:tcW w:w="473" w:type="pct"/>
            <w:vMerge w:val="continue"/>
            <w:tcBorders>
              <w:tl2br w:val="nil"/>
              <w:tr2bl w:val="nil"/>
            </w:tcBorders>
            <w:noWrap w:val="0"/>
            <w:vAlign w:val="center"/>
          </w:tcPr>
          <w:p w14:paraId="5D055E2A">
            <w:pPr>
              <w:keepNext w:val="0"/>
              <w:pageBreakBefore w:val="0"/>
              <w:kinsoku/>
              <w:wordWrap/>
              <w:overflowPunct/>
              <w:topLinePunct w:val="0"/>
              <w:bidi w:val="0"/>
              <w:spacing w:line="240" w:lineRule="auto"/>
              <w:ind w:firstLine="0"/>
              <w:rPr>
                <w:color w:val="auto"/>
                <w:sz w:val="21"/>
                <w:szCs w:val="21"/>
                <w:highlight w:val="none"/>
                <w:lang w:bidi="en-US"/>
              </w:rPr>
            </w:pPr>
          </w:p>
        </w:tc>
        <w:tc>
          <w:tcPr>
            <w:tcW w:w="467" w:type="pct"/>
            <w:tcBorders>
              <w:tl2br w:val="nil"/>
              <w:tr2bl w:val="nil"/>
            </w:tcBorders>
            <w:noWrap w:val="0"/>
            <w:vAlign w:val="center"/>
          </w:tcPr>
          <w:p w14:paraId="0AEFA212">
            <w:pPr>
              <w:pStyle w:val="65"/>
              <w:keepNext w:val="0"/>
              <w:pageBreakBefore w:val="0"/>
              <w:kinsoku/>
              <w:wordWrap/>
              <w:overflowPunct/>
              <w:topLinePunct w:val="0"/>
              <w:bidi w:val="0"/>
              <w:spacing w:line="240" w:lineRule="auto"/>
              <w:ind w:firstLine="0"/>
              <w:rPr>
                <w:rFonts w:hint="eastAsia" w:eastAsia="宋体"/>
                <w:color w:val="auto"/>
                <w:sz w:val="21"/>
                <w:szCs w:val="21"/>
                <w:highlight w:val="none"/>
                <w:lang w:val="en-US" w:eastAsia="zh-CN"/>
              </w:rPr>
            </w:pPr>
            <w:r>
              <w:rPr>
                <w:rFonts w:hint="eastAsia"/>
                <w:color w:val="auto"/>
                <w:sz w:val="21"/>
                <w:szCs w:val="21"/>
                <w:highlight w:val="none"/>
                <w:lang w:val="en-US" w:eastAsia="zh-CN"/>
              </w:rPr>
              <w:t>颗粒物</w:t>
            </w:r>
          </w:p>
        </w:tc>
        <w:tc>
          <w:tcPr>
            <w:tcW w:w="502" w:type="pct"/>
            <w:tcBorders>
              <w:tl2br w:val="nil"/>
              <w:tr2bl w:val="nil"/>
            </w:tcBorders>
            <w:noWrap w:val="0"/>
            <w:vAlign w:val="center"/>
          </w:tcPr>
          <w:p w14:paraId="508C7F4A">
            <w:pPr>
              <w:pStyle w:val="65"/>
              <w:keepNext w:val="0"/>
              <w:pageBreakBefore w:val="0"/>
              <w:kinsoku/>
              <w:wordWrap/>
              <w:overflowPunct/>
              <w:topLinePunct w:val="0"/>
              <w:bidi w:val="0"/>
              <w:spacing w:line="240" w:lineRule="auto"/>
              <w:ind w:firstLine="0"/>
              <w:rPr>
                <w:rFonts w:hint="default" w:eastAsia="宋体"/>
                <w:color w:val="auto"/>
                <w:sz w:val="21"/>
                <w:szCs w:val="21"/>
                <w:highlight w:val="none"/>
                <w:lang w:val="en-US" w:eastAsia="zh-CN"/>
              </w:rPr>
            </w:pPr>
            <w:r>
              <w:rPr>
                <w:rFonts w:hint="eastAsia"/>
                <w:color w:val="auto"/>
                <w:sz w:val="21"/>
                <w:szCs w:val="21"/>
                <w:highlight w:val="none"/>
                <w:lang w:val="en-US" w:eastAsia="zh-CN"/>
              </w:rPr>
              <w:t>0.00583</w:t>
            </w:r>
          </w:p>
        </w:tc>
      </w:tr>
      <w:tr w14:paraId="432C71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4" w:hRule="atLeast"/>
        </w:trPr>
        <w:tc>
          <w:tcPr>
            <w:tcW w:w="355" w:type="pct"/>
            <w:vMerge w:val="continue"/>
            <w:tcBorders>
              <w:tl2br w:val="nil"/>
              <w:tr2bl w:val="nil"/>
            </w:tcBorders>
            <w:noWrap w:val="0"/>
            <w:vAlign w:val="center"/>
          </w:tcPr>
          <w:p w14:paraId="11562311">
            <w:pPr>
              <w:keepNext w:val="0"/>
              <w:pageBreakBefore w:val="0"/>
              <w:kinsoku/>
              <w:wordWrap/>
              <w:overflowPunct/>
              <w:topLinePunct w:val="0"/>
              <w:bidi w:val="0"/>
              <w:spacing w:line="240" w:lineRule="auto"/>
              <w:ind w:firstLine="0"/>
              <w:rPr>
                <w:color w:val="auto"/>
                <w:sz w:val="21"/>
                <w:szCs w:val="21"/>
                <w:highlight w:val="none"/>
                <w:lang w:bidi="en-US"/>
              </w:rPr>
            </w:pPr>
          </w:p>
        </w:tc>
        <w:tc>
          <w:tcPr>
            <w:tcW w:w="949" w:type="pct"/>
            <w:vMerge w:val="continue"/>
            <w:tcBorders>
              <w:tl2br w:val="nil"/>
              <w:tr2bl w:val="nil"/>
            </w:tcBorders>
            <w:noWrap w:val="0"/>
            <w:vAlign w:val="center"/>
          </w:tcPr>
          <w:p w14:paraId="63B98B57">
            <w:pPr>
              <w:keepNext w:val="0"/>
              <w:pageBreakBefore w:val="0"/>
              <w:kinsoku/>
              <w:wordWrap/>
              <w:overflowPunct/>
              <w:topLinePunct w:val="0"/>
              <w:bidi w:val="0"/>
              <w:spacing w:line="240" w:lineRule="auto"/>
              <w:ind w:firstLine="0"/>
              <w:rPr>
                <w:color w:val="auto"/>
                <w:sz w:val="21"/>
                <w:szCs w:val="21"/>
                <w:highlight w:val="none"/>
                <w:lang w:bidi="en-US"/>
              </w:rPr>
            </w:pPr>
          </w:p>
        </w:tc>
        <w:tc>
          <w:tcPr>
            <w:tcW w:w="473" w:type="pct"/>
            <w:vMerge w:val="continue"/>
            <w:tcBorders>
              <w:tl2br w:val="nil"/>
              <w:tr2bl w:val="nil"/>
            </w:tcBorders>
            <w:noWrap w:val="0"/>
            <w:vAlign w:val="center"/>
          </w:tcPr>
          <w:p w14:paraId="185274D8">
            <w:pPr>
              <w:keepNext w:val="0"/>
              <w:pageBreakBefore w:val="0"/>
              <w:kinsoku/>
              <w:wordWrap/>
              <w:overflowPunct/>
              <w:topLinePunct w:val="0"/>
              <w:bidi w:val="0"/>
              <w:spacing w:line="240" w:lineRule="auto"/>
              <w:ind w:firstLine="0"/>
              <w:rPr>
                <w:color w:val="auto"/>
                <w:sz w:val="21"/>
                <w:szCs w:val="21"/>
                <w:highlight w:val="none"/>
                <w:lang w:bidi="en-US"/>
              </w:rPr>
            </w:pPr>
          </w:p>
        </w:tc>
        <w:tc>
          <w:tcPr>
            <w:tcW w:w="407" w:type="pct"/>
            <w:vMerge w:val="continue"/>
            <w:tcBorders>
              <w:tl2br w:val="nil"/>
              <w:tr2bl w:val="nil"/>
            </w:tcBorders>
            <w:noWrap w:val="0"/>
            <w:vAlign w:val="center"/>
          </w:tcPr>
          <w:p w14:paraId="69E1E9E0">
            <w:pPr>
              <w:keepNext w:val="0"/>
              <w:pageBreakBefore w:val="0"/>
              <w:kinsoku/>
              <w:wordWrap/>
              <w:overflowPunct/>
              <w:topLinePunct w:val="0"/>
              <w:bidi w:val="0"/>
              <w:spacing w:line="240" w:lineRule="auto"/>
              <w:ind w:firstLine="0"/>
              <w:rPr>
                <w:color w:val="auto"/>
                <w:sz w:val="21"/>
                <w:szCs w:val="21"/>
                <w:highlight w:val="none"/>
                <w:lang w:bidi="en-US"/>
              </w:rPr>
            </w:pPr>
          </w:p>
        </w:tc>
        <w:tc>
          <w:tcPr>
            <w:tcW w:w="407" w:type="pct"/>
            <w:vMerge w:val="continue"/>
            <w:tcBorders>
              <w:tl2br w:val="nil"/>
              <w:tr2bl w:val="nil"/>
            </w:tcBorders>
            <w:noWrap w:val="0"/>
            <w:vAlign w:val="center"/>
          </w:tcPr>
          <w:p w14:paraId="5E3B793B">
            <w:pPr>
              <w:keepNext w:val="0"/>
              <w:pageBreakBefore w:val="0"/>
              <w:kinsoku/>
              <w:wordWrap/>
              <w:overflowPunct/>
              <w:topLinePunct w:val="0"/>
              <w:bidi w:val="0"/>
              <w:spacing w:line="240" w:lineRule="auto"/>
              <w:ind w:firstLine="0"/>
              <w:rPr>
                <w:color w:val="auto"/>
                <w:sz w:val="21"/>
                <w:szCs w:val="21"/>
                <w:highlight w:val="none"/>
                <w:lang w:bidi="en-US"/>
              </w:rPr>
            </w:pPr>
          </w:p>
        </w:tc>
        <w:tc>
          <w:tcPr>
            <w:tcW w:w="436" w:type="pct"/>
            <w:vMerge w:val="continue"/>
            <w:tcBorders>
              <w:tl2br w:val="nil"/>
              <w:tr2bl w:val="nil"/>
            </w:tcBorders>
            <w:noWrap w:val="0"/>
            <w:vAlign w:val="center"/>
          </w:tcPr>
          <w:p w14:paraId="2A9A2568">
            <w:pPr>
              <w:keepNext w:val="0"/>
              <w:pageBreakBefore w:val="0"/>
              <w:kinsoku/>
              <w:wordWrap/>
              <w:overflowPunct/>
              <w:topLinePunct w:val="0"/>
              <w:bidi w:val="0"/>
              <w:spacing w:line="240" w:lineRule="auto"/>
              <w:ind w:firstLine="0"/>
              <w:rPr>
                <w:color w:val="auto"/>
                <w:sz w:val="21"/>
                <w:szCs w:val="21"/>
                <w:highlight w:val="none"/>
                <w:lang w:bidi="en-US"/>
              </w:rPr>
            </w:pPr>
          </w:p>
        </w:tc>
        <w:tc>
          <w:tcPr>
            <w:tcW w:w="528" w:type="pct"/>
            <w:vMerge w:val="continue"/>
            <w:tcBorders>
              <w:tl2br w:val="nil"/>
              <w:tr2bl w:val="nil"/>
            </w:tcBorders>
            <w:noWrap w:val="0"/>
            <w:vAlign w:val="center"/>
          </w:tcPr>
          <w:p w14:paraId="37934DA4">
            <w:pPr>
              <w:keepNext w:val="0"/>
              <w:pageBreakBefore w:val="0"/>
              <w:kinsoku/>
              <w:wordWrap/>
              <w:overflowPunct/>
              <w:topLinePunct w:val="0"/>
              <w:bidi w:val="0"/>
              <w:spacing w:line="240" w:lineRule="auto"/>
              <w:ind w:firstLine="0"/>
              <w:rPr>
                <w:color w:val="auto"/>
                <w:sz w:val="21"/>
                <w:szCs w:val="21"/>
                <w:highlight w:val="none"/>
                <w:lang w:bidi="en-US"/>
              </w:rPr>
            </w:pPr>
          </w:p>
        </w:tc>
        <w:tc>
          <w:tcPr>
            <w:tcW w:w="473" w:type="pct"/>
            <w:vMerge w:val="continue"/>
            <w:tcBorders>
              <w:tl2br w:val="nil"/>
              <w:tr2bl w:val="nil"/>
            </w:tcBorders>
            <w:noWrap w:val="0"/>
            <w:vAlign w:val="center"/>
          </w:tcPr>
          <w:p w14:paraId="19B3078C">
            <w:pPr>
              <w:keepNext w:val="0"/>
              <w:pageBreakBefore w:val="0"/>
              <w:kinsoku/>
              <w:wordWrap/>
              <w:overflowPunct/>
              <w:topLinePunct w:val="0"/>
              <w:bidi w:val="0"/>
              <w:spacing w:line="240" w:lineRule="auto"/>
              <w:ind w:firstLine="0"/>
              <w:rPr>
                <w:color w:val="auto"/>
                <w:sz w:val="21"/>
                <w:szCs w:val="21"/>
                <w:highlight w:val="none"/>
                <w:lang w:bidi="en-US"/>
              </w:rPr>
            </w:pPr>
          </w:p>
        </w:tc>
        <w:tc>
          <w:tcPr>
            <w:tcW w:w="467" w:type="pct"/>
            <w:tcBorders>
              <w:tl2br w:val="nil"/>
              <w:tr2bl w:val="nil"/>
            </w:tcBorders>
            <w:noWrap w:val="0"/>
            <w:vAlign w:val="center"/>
          </w:tcPr>
          <w:p w14:paraId="5065719C">
            <w:pPr>
              <w:pStyle w:val="65"/>
              <w:keepNext w:val="0"/>
              <w:pageBreakBefore w:val="0"/>
              <w:kinsoku/>
              <w:wordWrap/>
              <w:overflowPunct/>
              <w:topLinePunct w:val="0"/>
              <w:bidi w:val="0"/>
              <w:spacing w:line="240" w:lineRule="auto"/>
              <w:ind w:firstLine="0"/>
              <w:rPr>
                <w:rFonts w:hint="eastAsia" w:eastAsia="宋体"/>
                <w:color w:val="auto"/>
                <w:sz w:val="21"/>
                <w:szCs w:val="21"/>
                <w:highlight w:val="none"/>
                <w:lang w:eastAsia="zh-CN"/>
              </w:rPr>
            </w:pPr>
            <w:r>
              <w:rPr>
                <w:rFonts w:hint="eastAsia"/>
                <w:color w:val="auto"/>
                <w:sz w:val="21"/>
                <w:szCs w:val="21"/>
                <w:highlight w:val="none"/>
                <w:lang w:val="en-US" w:eastAsia="zh-CN"/>
              </w:rPr>
              <w:t>非甲烷总烃</w:t>
            </w:r>
          </w:p>
        </w:tc>
        <w:tc>
          <w:tcPr>
            <w:tcW w:w="502" w:type="pct"/>
            <w:tcBorders>
              <w:tl2br w:val="nil"/>
              <w:tr2bl w:val="nil"/>
            </w:tcBorders>
            <w:noWrap w:val="0"/>
            <w:vAlign w:val="center"/>
          </w:tcPr>
          <w:p w14:paraId="160B89BB">
            <w:pPr>
              <w:pStyle w:val="65"/>
              <w:keepNext w:val="0"/>
              <w:pageBreakBefore w:val="0"/>
              <w:kinsoku/>
              <w:wordWrap/>
              <w:overflowPunct/>
              <w:topLinePunct w:val="0"/>
              <w:bidi w:val="0"/>
              <w:spacing w:line="240" w:lineRule="auto"/>
              <w:ind w:firstLine="0"/>
              <w:rPr>
                <w:rFonts w:hint="default" w:eastAsia="宋体"/>
                <w:color w:val="auto"/>
                <w:sz w:val="21"/>
                <w:szCs w:val="21"/>
                <w:highlight w:val="none"/>
                <w:lang w:val="en-US" w:eastAsia="zh-CN"/>
              </w:rPr>
            </w:pPr>
            <w:r>
              <w:rPr>
                <w:rFonts w:hint="eastAsia"/>
                <w:color w:val="auto"/>
                <w:sz w:val="21"/>
                <w:szCs w:val="21"/>
                <w:highlight w:val="none"/>
                <w:lang w:val="en-US" w:eastAsia="zh-CN"/>
              </w:rPr>
              <w:t>0.00428</w:t>
            </w:r>
          </w:p>
        </w:tc>
      </w:tr>
    </w:tbl>
    <w:p w14:paraId="67222E09">
      <w:pPr>
        <w:pStyle w:val="10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黑体" w:hAnsi="黑体" w:eastAsia="黑体" w:cs="黑体"/>
          <w:b/>
          <w:bCs/>
          <w:color w:val="auto"/>
          <w:highlight w:val="none"/>
          <w:lang w:val="en-US" w:eastAsia="zh-CN"/>
        </w:rPr>
      </w:pPr>
    </w:p>
    <w:p w14:paraId="7CABBF32">
      <w:pPr>
        <w:pStyle w:val="61"/>
        <w:bidi w:val="0"/>
        <w:jc w:val="both"/>
        <w:rPr>
          <w:rFonts w:hint="default"/>
          <w:color w:val="auto"/>
          <w:lang w:val="en-US" w:eastAsia="zh-CN"/>
        </w:rPr>
      </w:pPr>
      <w:r>
        <w:rPr>
          <w:rFonts w:hint="default"/>
          <w:color w:val="auto"/>
          <w:lang w:val="en-US" w:eastAsia="zh-CN"/>
        </w:rPr>
        <w:t>表5.</w:t>
      </w:r>
      <w:r>
        <w:rPr>
          <w:rFonts w:hint="eastAsia"/>
          <w:color w:val="auto"/>
          <w:lang w:val="en-US" w:eastAsia="zh-CN"/>
        </w:rPr>
        <w:t>4</w:t>
      </w:r>
      <w:r>
        <w:rPr>
          <w:rFonts w:hint="default"/>
          <w:color w:val="auto"/>
          <w:lang w:val="en-US" w:eastAsia="zh-CN"/>
        </w:rPr>
        <w:t>-</w:t>
      </w:r>
      <w:r>
        <w:rPr>
          <w:rFonts w:hint="eastAsia"/>
          <w:color w:val="auto"/>
          <w:lang w:val="en-US" w:eastAsia="zh-CN"/>
        </w:rPr>
        <w:t>5</w:t>
      </w:r>
      <w:r>
        <w:rPr>
          <w:rFonts w:hint="default"/>
          <w:color w:val="auto"/>
          <w:lang w:val="en-US" w:eastAsia="zh-CN"/>
        </w:rPr>
        <w:t xml:space="preserve">    运营期无组织废气源强一览表</w:t>
      </w:r>
    </w:p>
    <w:bookmarkEnd w:id="657"/>
    <w:tbl>
      <w:tblPr>
        <w:tblStyle w:val="36"/>
        <w:tblW w:w="4905" w:type="pct"/>
        <w:tblInd w:w="9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21"/>
        <w:gridCol w:w="1124"/>
        <w:gridCol w:w="600"/>
        <w:gridCol w:w="555"/>
        <w:gridCol w:w="725"/>
        <w:gridCol w:w="526"/>
        <w:gridCol w:w="456"/>
        <w:gridCol w:w="744"/>
        <w:gridCol w:w="796"/>
        <w:gridCol w:w="683"/>
        <w:gridCol w:w="1110"/>
        <w:gridCol w:w="1026"/>
      </w:tblGrid>
      <w:tr w14:paraId="59159C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trPr>
        <w:tc>
          <w:tcPr>
            <w:tcW w:w="185" w:type="pct"/>
            <w:vMerge w:val="restart"/>
            <w:tcBorders>
              <w:tl2br w:val="nil"/>
              <w:tr2bl w:val="nil"/>
            </w:tcBorders>
            <w:noWrap w:val="0"/>
            <w:vAlign w:val="center"/>
          </w:tcPr>
          <w:p w14:paraId="76D06EAE">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编号</w:t>
            </w:r>
          </w:p>
        </w:tc>
        <w:tc>
          <w:tcPr>
            <w:tcW w:w="648" w:type="pct"/>
            <w:vMerge w:val="restart"/>
            <w:tcBorders>
              <w:tl2br w:val="nil"/>
              <w:tr2bl w:val="nil"/>
            </w:tcBorders>
            <w:noWrap w:val="0"/>
            <w:vAlign w:val="center"/>
          </w:tcPr>
          <w:p w14:paraId="46E6B0BE">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名称</w:t>
            </w:r>
          </w:p>
        </w:tc>
        <w:tc>
          <w:tcPr>
            <w:tcW w:w="666" w:type="pct"/>
            <w:gridSpan w:val="2"/>
            <w:tcBorders>
              <w:tl2br w:val="nil"/>
              <w:tr2bl w:val="nil"/>
            </w:tcBorders>
            <w:noWrap w:val="0"/>
            <w:vAlign w:val="center"/>
          </w:tcPr>
          <w:p w14:paraId="1AA1C5A5">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面源起点</w:t>
            </w:r>
            <w:r>
              <w:rPr>
                <w:rFonts w:hint="default" w:ascii="Times New Roman" w:hAnsi="Times New Roman" w:cs="Times New Roman"/>
                <w:color w:val="auto"/>
                <w:sz w:val="21"/>
                <w:szCs w:val="21"/>
                <w:highlight w:val="none"/>
              </w:rPr>
              <w:t>坐标</w:t>
            </w:r>
            <w:r>
              <w:rPr>
                <w:rFonts w:hint="default" w:ascii="Times New Roman" w:hAnsi="Times New Roman" w:eastAsia="宋体" w:cs="Times New Roman"/>
                <w:color w:val="auto"/>
                <w:spacing w:val="0"/>
                <w:kern w:val="2"/>
                <w:sz w:val="21"/>
                <w:szCs w:val="21"/>
                <w:highlight w:val="none"/>
                <w:lang w:val="en-US" w:eastAsia="zh-CN" w:bidi="ar-SA"/>
              </w:rPr>
              <w:t>/m</w:t>
            </w:r>
          </w:p>
        </w:tc>
        <w:tc>
          <w:tcPr>
            <w:tcW w:w="418" w:type="pct"/>
            <w:vMerge w:val="restart"/>
            <w:tcBorders>
              <w:tl2br w:val="nil"/>
              <w:tr2bl w:val="nil"/>
            </w:tcBorders>
            <w:noWrap w:val="0"/>
            <w:vAlign w:val="center"/>
          </w:tcPr>
          <w:p w14:paraId="739B780D">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面源</w:t>
            </w:r>
            <w:r>
              <w:rPr>
                <w:rFonts w:hint="default" w:ascii="Times New Roman" w:hAnsi="Times New Roman" w:cs="Times New Roman"/>
                <w:color w:val="auto"/>
                <w:sz w:val="21"/>
                <w:szCs w:val="21"/>
                <w:highlight w:val="none"/>
              </w:rPr>
              <w:t>海拔高度</w:t>
            </w:r>
            <w:r>
              <w:rPr>
                <w:rFonts w:hint="eastAsia" w:ascii="Times New Roman" w:hAnsi="Times New Roman" w:cs="Times New Roman"/>
                <w:color w:val="auto"/>
                <w:sz w:val="21"/>
                <w:szCs w:val="21"/>
                <w:highlight w:val="none"/>
                <w:lang w:val="en-US" w:eastAsia="zh-CN"/>
              </w:rPr>
              <w:t>/m</w:t>
            </w:r>
          </w:p>
        </w:tc>
        <w:tc>
          <w:tcPr>
            <w:tcW w:w="303" w:type="pct"/>
            <w:vMerge w:val="restart"/>
            <w:tcBorders>
              <w:tl2br w:val="nil"/>
              <w:tr2bl w:val="nil"/>
            </w:tcBorders>
            <w:noWrap w:val="0"/>
            <w:vAlign w:val="center"/>
          </w:tcPr>
          <w:p w14:paraId="2AF54A18">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面源长度/m</w:t>
            </w:r>
          </w:p>
        </w:tc>
        <w:tc>
          <w:tcPr>
            <w:tcW w:w="263" w:type="pct"/>
            <w:vMerge w:val="restart"/>
            <w:tcBorders>
              <w:tl2br w:val="nil"/>
              <w:tr2bl w:val="nil"/>
            </w:tcBorders>
            <w:noWrap w:val="0"/>
            <w:vAlign w:val="center"/>
          </w:tcPr>
          <w:p w14:paraId="2F841462">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面源宽度/m</w:t>
            </w:r>
          </w:p>
        </w:tc>
        <w:tc>
          <w:tcPr>
            <w:tcW w:w="429" w:type="pct"/>
            <w:vMerge w:val="restart"/>
            <w:tcBorders>
              <w:tl2br w:val="nil"/>
              <w:tr2bl w:val="nil"/>
            </w:tcBorders>
            <w:noWrap w:val="0"/>
            <w:vAlign w:val="center"/>
          </w:tcPr>
          <w:p w14:paraId="32D8719D">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与正北向夹角/°</w:t>
            </w:r>
          </w:p>
        </w:tc>
        <w:tc>
          <w:tcPr>
            <w:tcW w:w="459" w:type="pct"/>
            <w:vMerge w:val="restart"/>
            <w:tcBorders>
              <w:tl2br w:val="nil"/>
              <w:tr2bl w:val="nil"/>
            </w:tcBorders>
            <w:noWrap w:val="0"/>
            <w:vAlign w:val="center"/>
          </w:tcPr>
          <w:p w14:paraId="765A0448">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面源</w:t>
            </w:r>
            <w:r>
              <w:rPr>
                <w:rFonts w:hint="eastAsia" w:ascii="Times New Roman" w:hAnsi="Times New Roman" w:cs="Times New Roman"/>
                <w:color w:val="auto"/>
                <w:sz w:val="21"/>
                <w:szCs w:val="21"/>
                <w:highlight w:val="none"/>
                <w:lang w:val="en-US" w:eastAsia="zh-CN"/>
              </w:rPr>
              <w:t>有效排放</w:t>
            </w:r>
            <w:r>
              <w:rPr>
                <w:rFonts w:hint="default" w:ascii="Times New Roman" w:hAnsi="Times New Roman" w:cs="Times New Roman"/>
                <w:color w:val="auto"/>
                <w:sz w:val="21"/>
                <w:szCs w:val="21"/>
                <w:highlight w:val="none"/>
              </w:rPr>
              <w:t>高度</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m</w:t>
            </w:r>
          </w:p>
        </w:tc>
        <w:tc>
          <w:tcPr>
            <w:tcW w:w="394" w:type="pct"/>
            <w:vMerge w:val="restart"/>
            <w:tcBorders>
              <w:tl2br w:val="nil"/>
              <w:tr2bl w:val="nil"/>
            </w:tcBorders>
            <w:noWrap w:val="0"/>
            <w:vAlign w:val="center"/>
          </w:tcPr>
          <w:p w14:paraId="6D887574">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年排放小时数</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h</w:t>
            </w:r>
          </w:p>
        </w:tc>
        <w:tc>
          <w:tcPr>
            <w:tcW w:w="1231" w:type="pct"/>
            <w:gridSpan w:val="2"/>
            <w:tcBorders>
              <w:tl2br w:val="nil"/>
              <w:tr2bl w:val="nil"/>
            </w:tcBorders>
            <w:noWrap w:val="0"/>
            <w:vAlign w:val="center"/>
          </w:tcPr>
          <w:p w14:paraId="207F9AF2">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污染物排放速率</w:t>
            </w:r>
            <w:r>
              <w:rPr>
                <w:rFonts w:hint="eastAsia"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kg</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h</w:t>
            </w:r>
            <w:r>
              <w:rPr>
                <w:rFonts w:hint="eastAsia" w:cs="Times New Roman"/>
                <w:color w:val="auto"/>
                <w:sz w:val="21"/>
                <w:szCs w:val="21"/>
                <w:highlight w:val="none"/>
                <w:lang w:val="en-US" w:eastAsia="zh-CN"/>
              </w:rPr>
              <w:t>）</w:t>
            </w:r>
          </w:p>
        </w:tc>
      </w:tr>
      <w:tr w14:paraId="5D5C35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trPr>
        <w:tc>
          <w:tcPr>
            <w:tcW w:w="185" w:type="pct"/>
            <w:vMerge w:val="continue"/>
            <w:tcBorders>
              <w:tl2br w:val="nil"/>
              <w:tr2bl w:val="nil"/>
            </w:tcBorders>
            <w:noWrap w:val="0"/>
            <w:vAlign w:val="center"/>
          </w:tcPr>
          <w:p w14:paraId="222D9330">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 w:val="21"/>
                <w:szCs w:val="21"/>
                <w:highlight w:val="none"/>
              </w:rPr>
            </w:pPr>
          </w:p>
        </w:tc>
        <w:tc>
          <w:tcPr>
            <w:tcW w:w="648" w:type="pct"/>
            <w:vMerge w:val="continue"/>
            <w:tcBorders>
              <w:tl2br w:val="nil"/>
              <w:tr2bl w:val="nil"/>
            </w:tcBorders>
            <w:noWrap w:val="0"/>
            <w:vAlign w:val="center"/>
          </w:tcPr>
          <w:p w14:paraId="729D4AB1">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eastAsia" w:ascii="Times New Roman" w:hAnsi="Times New Roman" w:cs="Times New Roman"/>
                <w:color w:val="auto"/>
                <w:sz w:val="21"/>
                <w:szCs w:val="21"/>
                <w:highlight w:val="none"/>
                <w:lang w:val="en-US" w:eastAsia="zh-CN"/>
              </w:rPr>
            </w:pPr>
          </w:p>
        </w:tc>
        <w:tc>
          <w:tcPr>
            <w:tcW w:w="346" w:type="pct"/>
            <w:tcBorders>
              <w:tl2br w:val="nil"/>
              <w:tr2bl w:val="nil"/>
            </w:tcBorders>
            <w:noWrap w:val="0"/>
            <w:vAlign w:val="center"/>
          </w:tcPr>
          <w:p w14:paraId="71551514">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X</w:t>
            </w:r>
          </w:p>
        </w:tc>
        <w:tc>
          <w:tcPr>
            <w:tcW w:w="319" w:type="pct"/>
            <w:tcBorders>
              <w:tl2br w:val="nil"/>
              <w:tr2bl w:val="nil"/>
            </w:tcBorders>
            <w:noWrap w:val="0"/>
            <w:vAlign w:val="center"/>
          </w:tcPr>
          <w:p w14:paraId="0D25D02E">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Y</w:t>
            </w:r>
          </w:p>
        </w:tc>
        <w:tc>
          <w:tcPr>
            <w:tcW w:w="418" w:type="pct"/>
            <w:vMerge w:val="continue"/>
            <w:tcBorders>
              <w:tl2br w:val="nil"/>
              <w:tr2bl w:val="nil"/>
            </w:tcBorders>
            <w:noWrap w:val="0"/>
            <w:vAlign w:val="center"/>
          </w:tcPr>
          <w:p w14:paraId="01DA1F32">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 w:val="21"/>
                <w:szCs w:val="21"/>
                <w:highlight w:val="none"/>
              </w:rPr>
            </w:pPr>
          </w:p>
        </w:tc>
        <w:tc>
          <w:tcPr>
            <w:tcW w:w="303" w:type="pct"/>
            <w:vMerge w:val="continue"/>
            <w:tcBorders>
              <w:tl2br w:val="nil"/>
              <w:tr2bl w:val="nil"/>
            </w:tcBorders>
            <w:noWrap w:val="0"/>
            <w:vAlign w:val="center"/>
          </w:tcPr>
          <w:p w14:paraId="498EE579">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 w:val="21"/>
                <w:szCs w:val="21"/>
                <w:highlight w:val="none"/>
              </w:rPr>
            </w:pPr>
          </w:p>
        </w:tc>
        <w:tc>
          <w:tcPr>
            <w:tcW w:w="263" w:type="pct"/>
            <w:vMerge w:val="continue"/>
            <w:tcBorders>
              <w:tl2br w:val="nil"/>
              <w:tr2bl w:val="nil"/>
            </w:tcBorders>
            <w:noWrap w:val="0"/>
            <w:vAlign w:val="center"/>
          </w:tcPr>
          <w:p w14:paraId="432AD2CD">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 w:val="21"/>
                <w:szCs w:val="21"/>
                <w:highlight w:val="none"/>
              </w:rPr>
            </w:pPr>
          </w:p>
        </w:tc>
        <w:tc>
          <w:tcPr>
            <w:tcW w:w="429" w:type="pct"/>
            <w:vMerge w:val="continue"/>
            <w:tcBorders>
              <w:tl2br w:val="nil"/>
              <w:tr2bl w:val="nil"/>
            </w:tcBorders>
            <w:noWrap w:val="0"/>
            <w:vAlign w:val="center"/>
          </w:tcPr>
          <w:p w14:paraId="59CE787D">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 w:val="21"/>
                <w:szCs w:val="21"/>
                <w:highlight w:val="none"/>
              </w:rPr>
            </w:pPr>
          </w:p>
        </w:tc>
        <w:tc>
          <w:tcPr>
            <w:tcW w:w="459" w:type="pct"/>
            <w:vMerge w:val="continue"/>
            <w:tcBorders>
              <w:tl2br w:val="nil"/>
              <w:tr2bl w:val="nil"/>
            </w:tcBorders>
            <w:noWrap w:val="0"/>
            <w:vAlign w:val="center"/>
          </w:tcPr>
          <w:p w14:paraId="7FE44B0A">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 w:val="21"/>
                <w:szCs w:val="21"/>
                <w:highlight w:val="none"/>
              </w:rPr>
            </w:pPr>
          </w:p>
        </w:tc>
        <w:tc>
          <w:tcPr>
            <w:tcW w:w="394" w:type="pct"/>
            <w:vMerge w:val="continue"/>
            <w:tcBorders>
              <w:tl2br w:val="nil"/>
              <w:tr2bl w:val="nil"/>
            </w:tcBorders>
            <w:noWrap w:val="0"/>
            <w:vAlign w:val="center"/>
          </w:tcPr>
          <w:p w14:paraId="55E1604D">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 w:val="21"/>
                <w:szCs w:val="21"/>
                <w:highlight w:val="none"/>
              </w:rPr>
            </w:pPr>
          </w:p>
        </w:tc>
        <w:tc>
          <w:tcPr>
            <w:tcW w:w="640" w:type="pct"/>
            <w:tcBorders>
              <w:tl2br w:val="nil"/>
              <w:tr2bl w:val="nil"/>
            </w:tcBorders>
            <w:noWrap w:val="0"/>
            <w:vAlign w:val="center"/>
          </w:tcPr>
          <w:p w14:paraId="694F94D1">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非甲烷总烃</w:t>
            </w:r>
          </w:p>
        </w:tc>
        <w:tc>
          <w:tcPr>
            <w:tcW w:w="590" w:type="pct"/>
            <w:tcBorders>
              <w:tl2br w:val="nil"/>
              <w:tr2bl w:val="nil"/>
            </w:tcBorders>
            <w:noWrap w:val="0"/>
            <w:vAlign w:val="center"/>
          </w:tcPr>
          <w:p w14:paraId="38C6C84C">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硫化氢</w:t>
            </w:r>
          </w:p>
        </w:tc>
      </w:tr>
      <w:tr w14:paraId="349B45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85" w:type="pct"/>
            <w:tcBorders>
              <w:tl2br w:val="nil"/>
              <w:tr2bl w:val="nil"/>
            </w:tcBorders>
            <w:noWrap w:val="0"/>
            <w:vAlign w:val="center"/>
          </w:tcPr>
          <w:p w14:paraId="5732BE51">
            <w:pPr>
              <w:keepNext w:val="0"/>
              <w:keepLines w:val="0"/>
              <w:pageBreakBefore w:val="0"/>
              <w:widowControl w:val="0"/>
              <w:suppressLineNumbers w:val="0"/>
              <w:kinsoku/>
              <w:bidi w:val="0"/>
              <w:jc w:val="center"/>
              <w:textAlignment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648" w:type="pct"/>
            <w:tcBorders>
              <w:tl2br w:val="nil"/>
              <w:tr2bl w:val="nil"/>
            </w:tcBorders>
            <w:noWrap w:val="0"/>
            <w:vAlign w:val="center"/>
          </w:tcPr>
          <w:p w14:paraId="3DA91148">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kern w:val="2"/>
                <w:sz w:val="21"/>
                <w:highlight w:val="none"/>
                <w:lang w:val="en-US" w:eastAsia="zh-CN" w:bidi="ar-SA"/>
              </w:rPr>
            </w:pPr>
            <w:r>
              <w:rPr>
                <w:rFonts w:hint="eastAsia"/>
                <w:color w:val="auto"/>
                <w:highlight w:val="none"/>
              </w:rPr>
              <w:t>雄探1井</w:t>
            </w:r>
          </w:p>
        </w:tc>
        <w:tc>
          <w:tcPr>
            <w:tcW w:w="346" w:type="pct"/>
            <w:tcBorders>
              <w:tl2br w:val="nil"/>
              <w:tr2bl w:val="nil"/>
            </w:tcBorders>
            <w:noWrap w:val="0"/>
            <w:vAlign w:val="center"/>
          </w:tcPr>
          <w:p w14:paraId="5DFE43C8">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宋体" w:cs="Times New Roman"/>
                <w:color w:val="auto"/>
                <w:highlight w:val="none"/>
                <w:lang w:val="en-US" w:eastAsia="zh-CN"/>
              </w:rPr>
            </w:pPr>
          </w:p>
        </w:tc>
        <w:tc>
          <w:tcPr>
            <w:tcW w:w="319" w:type="pct"/>
            <w:tcBorders>
              <w:tl2br w:val="nil"/>
              <w:tr2bl w:val="nil"/>
            </w:tcBorders>
            <w:noWrap w:val="0"/>
            <w:vAlign w:val="center"/>
          </w:tcPr>
          <w:p w14:paraId="78291410">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宋体" w:cs="Times New Roman"/>
                <w:color w:val="auto"/>
                <w:highlight w:val="none"/>
                <w:lang w:val="en-US" w:eastAsia="zh-CN"/>
              </w:rPr>
            </w:pPr>
          </w:p>
        </w:tc>
        <w:tc>
          <w:tcPr>
            <w:tcW w:w="418" w:type="pct"/>
            <w:tcBorders>
              <w:tl2br w:val="nil"/>
              <w:tr2bl w:val="nil"/>
            </w:tcBorders>
            <w:noWrap w:val="0"/>
            <w:vAlign w:val="center"/>
          </w:tcPr>
          <w:p w14:paraId="40F5B1FF">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108</w:t>
            </w:r>
            <w:r>
              <w:rPr>
                <w:rFonts w:hint="eastAsia" w:cs="Times New Roman"/>
                <w:color w:val="auto"/>
                <w:sz w:val="21"/>
                <w:szCs w:val="21"/>
                <w:highlight w:val="none"/>
                <w:lang w:val="en-US" w:eastAsia="zh-CN"/>
              </w:rPr>
              <w:t>2</w:t>
            </w:r>
          </w:p>
        </w:tc>
        <w:tc>
          <w:tcPr>
            <w:tcW w:w="303" w:type="pct"/>
            <w:tcBorders>
              <w:tl2br w:val="nil"/>
              <w:tr2bl w:val="nil"/>
            </w:tcBorders>
            <w:noWrap w:val="0"/>
            <w:vAlign w:val="center"/>
          </w:tcPr>
          <w:p w14:paraId="4BBABB96">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35</w:t>
            </w:r>
          </w:p>
        </w:tc>
        <w:tc>
          <w:tcPr>
            <w:tcW w:w="263" w:type="pct"/>
            <w:tcBorders>
              <w:tl2br w:val="nil"/>
              <w:tr2bl w:val="nil"/>
            </w:tcBorders>
            <w:noWrap w:val="0"/>
            <w:vAlign w:val="center"/>
          </w:tcPr>
          <w:p w14:paraId="269D01F8">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40</w:t>
            </w:r>
          </w:p>
        </w:tc>
        <w:tc>
          <w:tcPr>
            <w:tcW w:w="429" w:type="pct"/>
            <w:tcBorders>
              <w:tl2br w:val="nil"/>
              <w:tr2bl w:val="nil"/>
            </w:tcBorders>
            <w:noWrap w:val="0"/>
            <w:vAlign w:val="center"/>
          </w:tcPr>
          <w:p w14:paraId="64124A5E">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459" w:type="pct"/>
            <w:tcBorders>
              <w:tl2br w:val="nil"/>
              <w:tr2bl w:val="nil"/>
            </w:tcBorders>
            <w:noWrap w:val="0"/>
            <w:vAlign w:val="center"/>
          </w:tcPr>
          <w:p w14:paraId="045D7BE3">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4</w:t>
            </w:r>
          </w:p>
        </w:tc>
        <w:tc>
          <w:tcPr>
            <w:tcW w:w="394" w:type="pct"/>
            <w:tcBorders>
              <w:tl2br w:val="nil"/>
              <w:tr2bl w:val="nil"/>
            </w:tcBorders>
            <w:noWrap w:val="0"/>
            <w:vAlign w:val="center"/>
          </w:tcPr>
          <w:p w14:paraId="70549AFE">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7200</w:t>
            </w:r>
          </w:p>
        </w:tc>
        <w:tc>
          <w:tcPr>
            <w:tcW w:w="640" w:type="pct"/>
            <w:tcBorders>
              <w:tl2br w:val="nil"/>
              <w:tr2bl w:val="nil"/>
            </w:tcBorders>
            <w:noWrap w:val="0"/>
            <w:vAlign w:val="center"/>
          </w:tcPr>
          <w:p w14:paraId="61BFE281">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3.725×10</w:t>
            </w:r>
            <w:r>
              <w:rPr>
                <w:rFonts w:hint="default" w:ascii="Times New Roman" w:hAnsi="Times New Roman" w:cs="Times New Roman"/>
                <w:color w:val="auto"/>
                <w:sz w:val="21"/>
                <w:szCs w:val="21"/>
                <w:highlight w:val="none"/>
                <w:vertAlign w:val="superscript"/>
                <w:lang w:val="en-US" w:eastAsia="zh-CN"/>
              </w:rPr>
              <w:t>3</w:t>
            </w:r>
          </w:p>
        </w:tc>
        <w:tc>
          <w:tcPr>
            <w:tcW w:w="590" w:type="pct"/>
            <w:tcBorders>
              <w:tl2br w:val="nil"/>
              <w:tr2bl w:val="nil"/>
            </w:tcBorders>
            <w:noWrap w:val="0"/>
            <w:vAlign w:val="center"/>
          </w:tcPr>
          <w:p w14:paraId="372D1E77">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2.875</w:t>
            </w:r>
            <w:r>
              <w:rPr>
                <w:rFonts w:hint="default" w:ascii="Times New Roman" w:hAnsi="Times New Roman" w:cs="Times New Roman"/>
                <w:color w:val="auto"/>
                <w:sz w:val="21"/>
                <w:szCs w:val="21"/>
                <w:highlight w:val="none"/>
                <w:lang w:val="en-US" w:eastAsia="zh-CN"/>
              </w:rPr>
              <w:t>×10</w:t>
            </w:r>
            <w:r>
              <w:rPr>
                <w:rFonts w:hint="eastAsia" w:cs="Times New Roman"/>
                <w:color w:val="auto"/>
                <w:sz w:val="21"/>
                <w:szCs w:val="21"/>
                <w:highlight w:val="none"/>
                <w:vertAlign w:val="superscript"/>
                <w:lang w:val="en-US" w:eastAsia="zh-CN"/>
              </w:rPr>
              <w:t>6</w:t>
            </w:r>
          </w:p>
        </w:tc>
      </w:tr>
      <w:tr w14:paraId="289032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85" w:type="pct"/>
            <w:tcBorders>
              <w:tl2br w:val="nil"/>
              <w:tr2bl w:val="nil"/>
            </w:tcBorders>
            <w:noWrap w:val="0"/>
            <w:vAlign w:val="center"/>
          </w:tcPr>
          <w:p w14:paraId="37A795F5">
            <w:pPr>
              <w:keepNext w:val="0"/>
              <w:keepLines w:val="0"/>
              <w:pageBreakBefore w:val="0"/>
              <w:widowControl w:val="0"/>
              <w:suppressLineNumbers w:val="0"/>
              <w:kinsoku/>
              <w:bidi w:val="0"/>
              <w:jc w:val="center"/>
              <w:textAlignment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w:t>
            </w:r>
          </w:p>
        </w:tc>
        <w:tc>
          <w:tcPr>
            <w:tcW w:w="648" w:type="pct"/>
            <w:tcBorders>
              <w:tl2br w:val="nil"/>
              <w:tr2bl w:val="nil"/>
            </w:tcBorders>
            <w:noWrap w:val="0"/>
            <w:vAlign w:val="center"/>
          </w:tcPr>
          <w:p w14:paraId="03662011">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kern w:val="2"/>
                <w:sz w:val="21"/>
                <w:highlight w:val="none"/>
                <w:lang w:val="en-US" w:eastAsia="zh-CN" w:bidi="ar-SA"/>
              </w:rPr>
            </w:pPr>
            <w:r>
              <w:rPr>
                <w:rFonts w:hint="default" w:ascii="Times New Roman" w:hAnsi="Times New Roman" w:eastAsia="宋体" w:cs="Times New Roman"/>
                <w:b w:val="0"/>
                <w:bCs/>
                <w:color w:val="auto"/>
                <w:spacing w:val="-1"/>
                <w:sz w:val="21"/>
                <w:szCs w:val="21"/>
                <w:highlight w:val="none"/>
              </w:rPr>
              <w:t>雄英101井</w:t>
            </w:r>
          </w:p>
        </w:tc>
        <w:tc>
          <w:tcPr>
            <w:tcW w:w="346" w:type="pct"/>
            <w:tcBorders>
              <w:tl2br w:val="nil"/>
              <w:tr2bl w:val="nil"/>
            </w:tcBorders>
            <w:noWrap w:val="0"/>
            <w:vAlign w:val="center"/>
          </w:tcPr>
          <w:p w14:paraId="43CDED32">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宋体" w:cs="Times New Roman"/>
                <w:color w:val="auto"/>
                <w:kern w:val="2"/>
                <w:sz w:val="21"/>
                <w:highlight w:val="none"/>
                <w:lang w:val="en-US" w:eastAsia="zh-CN" w:bidi="ar-SA"/>
              </w:rPr>
            </w:pPr>
          </w:p>
        </w:tc>
        <w:tc>
          <w:tcPr>
            <w:tcW w:w="319" w:type="pct"/>
            <w:tcBorders>
              <w:tl2br w:val="nil"/>
              <w:tr2bl w:val="nil"/>
            </w:tcBorders>
            <w:noWrap w:val="0"/>
            <w:vAlign w:val="center"/>
          </w:tcPr>
          <w:p w14:paraId="143D32F4">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宋体" w:cs="Times New Roman"/>
                <w:color w:val="auto"/>
                <w:kern w:val="2"/>
                <w:sz w:val="21"/>
                <w:highlight w:val="none"/>
                <w:lang w:val="en-US" w:eastAsia="zh-CN" w:bidi="ar-SA"/>
              </w:rPr>
            </w:pPr>
          </w:p>
        </w:tc>
        <w:tc>
          <w:tcPr>
            <w:tcW w:w="418" w:type="pct"/>
            <w:tcBorders>
              <w:tl2br w:val="nil"/>
              <w:tr2bl w:val="nil"/>
            </w:tcBorders>
            <w:noWrap w:val="0"/>
            <w:vAlign w:val="center"/>
          </w:tcPr>
          <w:p w14:paraId="3EEE8A92">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1053</w:t>
            </w:r>
          </w:p>
        </w:tc>
        <w:tc>
          <w:tcPr>
            <w:tcW w:w="303" w:type="pct"/>
            <w:tcBorders>
              <w:tl2br w:val="nil"/>
              <w:tr2bl w:val="nil"/>
            </w:tcBorders>
            <w:noWrap w:val="0"/>
            <w:vAlign w:val="center"/>
          </w:tcPr>
          <w:p w14:paraId="16047641">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35</w:t>
            </w:r>
          </w:p>
        </w:tc>
        <w:tc>
          <w:tcPr>
            <w:tcW w:w="263" w:type="pct"/>
            <w:tcBorders>
              <w:tl2br w:val="nil"/>
              <w:tr2bl w:val="nil"/>
            </w:tcBorders>
            <w:noWrap w:val="0"/>
            <w:vAlign w:val="center"/>
          </w:tcPr>
          <w:p w14:paraId="29512AB0">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40</w:t>
            </w:r>
          </w:p>
        </w:tc>
        <w:tc>
          <w:tcPr>
            <w:tcW w:w="429" w:type="pct"/>
            <w:tcBorders>
              <w:tl2br w:val="nil"/>
              <w:tr2bl w:val="nil"/>
            </w:tcBorders>
            <w:noWrap w:val="0"/>
            <w:vAlign w:val="center"/>
          </w:tcPr>
          <w:p w14:paraId="1DA6264C">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459" w:type="pct"/>
            <w:tcBorders>
              <w:tl2br w:val="nil"/>
              <w:tr2bl w:val="nil"/>
            </w:tcBorders>
            <w:noWrap w:val="0"/>
            <w:vAlign w:val="center"/>
          </w:tcPr>
          <w:p w14:paraId="6DE83507">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4</w:t>
            </w:r>
          </w:p>
        </w:tc>
        <w:tc>
          <w:tcPr>
            <w:tcW w:w="394" w:type="pct"/>
            <w:tcBorders>
              <w:tl2br w:val="nil"/>
              <w:tr2bl w:val="nil"/>
            </w:tcBorders>
            <w:noWrap w:val="0"/>
            <w:vAlign w:val="center"/>
          </w:tcPr>
          <w:p w14:paraId="67C55851">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7200</w:t>
            </w:r>
          </w:p>
        </w:tc>
        <w:tc>
          <w:tcPr>
            <w:tcW w:w="640" w:type="pct"/>
            <w:tcBorders>
              <w:tl2br w:val="nil"/>
              <w:tr2bl w:val="nil"/>
            </w:tcBorders>
            <w:noWrap w:val="0"/>
            <w:vAlign w:val="center"/>
          </w:tcPr>
          <w:p w14:paraId="672532FE">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3.725×10</w:t>
            </w:r>
            <w:r>
              <w:rPr>
                <w:rFonts w:hint="default" w:ascii="Times New Roman" w:hAnsi="Times New Roman" w:cs="Times New Roman"/>
                <w:color w:val="auto"/>
                <w:sz w:val="21"/>
                <w:szCs w:val="21"/>
                <w:highlight w:val="none"/>
                <w:vertAlign w:val="superscript"/>
                <w:lang w:val="en-US" w:eastAsia="zh-CN"/>
              </w:rPr>
              <w:t>3</w:t>
            </w:r>
          </w:p>
        </w:tc>
        <w:tc>
          <w:tcPr>
            <w:tcW w:w="590" w:type="pct"/>
            <w:tcBorders>
              <w:tl2br w:val="nil"/>
              <w:tr2bl w:val="nil"/>
            </w:tcBorders>
            <w:noWrap w:val="0"/>
            <w:vAlign w:val="center"/>
          </w:tcPr>
          <w:p w14:paraId="4ED2F62B">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2.875</w:t>
            </w:r>
            <w:r>
              <w:rPr>
                <w:rFonts w:hint="default" w:ascii="Times New Roman" w:hAnsi="Times New Roman" w:cs="Times New Roman"/>
                <w:color w:val="auto"/>
                <w:sz w:val="21"/>
                <w:szCs w:val="21"/>
                <w:highlight w:val="none"/>
                <w:lang w:val="en-US" w:eastAsia="zh-CN"/>
              </w:rPr>
              <w:t>×10</w:t>
            </w:r>
            <w:r>
              <w:rPr>
                <w:rFonts w:hint="eastAsia" w:cs="Times New Roman"/>
                <w:color w:val="auto"/>
                <w:sz w:val="21"/>
                <w:szCs w:val="21"/>
                <w:highlight w:val="none"/>
                <w:vertAlign w:val="superscript"/>
                <w:lang w:val="en-US" w:eastAsia="zh-CN"/>
              </w:rPr>
              <w:t>6</w:t>
            </w:r>
          </w:p>
        </w:tc>
      </w:tr>
      <w:tr w14:paraId="13FBD5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85" w:type="pct"/>
            <w:tcBorders>
              <w:tl2br w:val="nil"/>
              <w:tr2bl w:val="nil"/>
            </w:tcBorders>
            <w:noWrap w:val="0"/>
            <w:vAlign w:val="center"/>
          </w:tcPr>
          <w:p w14:paraId="5D851C2B">
            <w:pPr>
              <w:keepNext w:val="0"/>
              <w:keepLines w:val="0"/>
              <w:pageBreakBefore w:val="0"/>
              <w:widowControl w:val="0"/>
              <w:suppressLineNumbers w:val="0"/>
              <w:kinsoku/>
              <w:bidi w:val="0"/>
              <w:jc w:val="center"/>
              <w:textAlignment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w:t>
            </w:r>
          </w:p>
        </w:tc>
        <w:tc>
          <w:tcPr>
            <w:tcW w:w="648" w:type="pct"/>
            <w:tcBorders>
              <w:tl2br w:val="nil"/>
              <w:tr2bl w:val="nil"/>
            </w:tcBorders>
            <w:noWrap w:val="0"/>
            <w:vAlign w:val="center"/>
          </w:tcPr>
          <w:p w14:paraId="08DE9584">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kern w:val="2"/>
                <w:sz w:val="21"/>
                <w:highlight w:val="none"/>
                <w:lang w:val="en-US" w:eastAsia="zh-CN" w:bidi="ar-SA"/>
              </w:rPr>
            </w:pPr>
            <w:r>
              <w:rPr>
                <w:rFonts w:hint="default" w:ascii="Times New Roman" w:hAnsi="Times New Roman" w:eastAsia="宋体" w:cs="Times New Roman"/>
                <w:b w:val="0"/>
                <w:bCs/>
                <w:color w:val="auto"/>
                <w:spacing w:val="-1"/>
                <w:sz w:val="21"/>
                <w:szCs w:val="21"/>
                <w:highlight w:val="none"/>
              </w:rPr>
              <w:t>雄英102井</w:t>
            </w:r>
          </w:p>
        </w:tc>
        <w:tc>
          <w:tcPr>
            <w:tcW w:w="346" w:type="pct"/>
            <w:tcBorders>
              <w:tl2br w:val="nil"/>
              <w:tr2bl w:val="nil"/>
            </w:tcBorders>
            <w:noWrap w:val="0"/>
            <w:vAlign w:val="center"/>
          </w:tcPr>
          <w:p w14:paraId="7A488284">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宋体" w:cs="Times New Roman"/>
                <w:color w:val="auto"/>
                <w:highlight w:val="none"/>
                <w:lang w:val="en-US" w:eastAsia="zh-CN"/>
              </w:rPr>
            </w:pPr>
          </w:p>
        </w:tc>
        <w:tc>
          <w:tcPr>
            <w:tcW w:w="319" w:type="pct"/>
            <w:tcBorders>
              <w:tl2br w:val="nil"/>
              <w:tr2bl w:val="nil"/>
            </w:tcBorders>
            <w:noWrap w:val="0"/>
            <w:vAlign w:val="center"/>
          </w:tcPr>
          <w:p w14:paraId="2EC6D375">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宋体" w:cs="Times New Roman"/>
                <w:color w:val="auto"/>
                <w:highlight w:val="none"/>
                <w:lang w:val="en-US" w:eastAsia="zh-CN"/>
              </w:rPr>
            </w:pPr>
          </w:p>
        </w:tc>
        <w:tc>
          <w:tcPr>
            <w:tcW w:w="418" w:type="pct"/>
            <w:tcBorders>
              <w:tl2br w:val="nil"/>
              <w:tr2bl w:val="nil"/>
            </w:tcBorders>
            <w:noWrap w:val="0"/>
            <w:vAlign w:val="center"/>
          </w:tcPr>
          <w:p w14:paraId="4031D774">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1058</w:t>
            </w:r>
          </w:p>
        </w:tc>
        <w:tc>
          <w:tcPr>
            <w:tcW w:w="303" w:type="pct"/>
            <w:tcBorders>
              <w:tl2br w:val="nil"/>
              <w:tr2bl w:val="nil"/>
            </w:tcBorders>
            <w:noWrap w:val="0"/>
            <w:vAlign w:val="center"/>
          </w:tcPr>
          <w:p w14:paraId="6A711E83">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35</w:t>
            </w:r>
          </w:p>
        </w:tc>
        <w:tc>
          <w:tcPr>
            <w:tcW w:w="263" w:type="pct"/>
            <w:tcBorders>
              <w:tl2br w:val="nil"/>
              <w:tr2bl w:val="nil"/>
            </w:tcBorders>
            <w:noWrap w:val="0"/>
            <w:vAlign w:val="center"/>
          </w:tcPr>
          <w:p w14:paraId="5F5890EA">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40</w:t>
            </w:r>
          </w:p>
        </w:tc>
        <w:tc>
          <w:tcPr>
            <w:tcW w:w="429" w:type="pct"/>
            <w:tcBorders>
              <w:tl2br w:val="nil"/>
              <w:tr2bl w:val="nil"/>
            </w:tcBorders>
            <w:noWrap w:val="0"/>
            <w:vAlign w:val="center"/>
          </w:tcPr>
          <w:p w14:paraId="2C1D3EB4">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459" w:type="pct"/>
            <w:tcBorders>
              <w:tl2br w:val="nil"/>
              <w:tr2bl w:val="nil"/>
            </w:tcBorders>
            <w:noWrap w:val="0"/>
            <w:vAlign w:val="center"/>
          </w:tcPr>
          <w:p w14:paraId="0E24A427">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4</w:t>
            </w:r>
          </w:p>
        </w:tc>
        <w:tc>
          <w:tcPr>
            <w:tcW w:w="394" w:type="pct"/>
            <w:tcBorders>
              <w:tl2br w:val="nil"/>
              <w:tr2bl w:val="nil"/>
            </w:tcBorders>
            <w:noWrap w:val="0"/>
            <w:vAlign w:val="center"/>
          </w:tcPr>
          <w:p w14:paraId="65F7CD3C">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7200</w:t>
            </w:r>
          </w:p>
        </w:tc>
        <w:tc>
          <w:tcPr>
            <w:tcW w:w="640" w:type="pct"/>
            <w:tcBorders>
              <w:tl2br w:val="nil"/>
              <w:tr2bl w:val="nil"/>
            </w:tcBorders>
            <w:noWrap w:val="0"/>
            <w:vAlign w:val="center"/>
          </w:tcPr>
          <w:p w14:paraId="012929B7">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3.725×10</w:t>
            </w:r>
            <w:r>
              <w:rPr>
                <w:rFonts w:hint="default" w:ascii="Times New Roman" w:hAnsi="Times New Roman" w:cs="Times New Roman"/>
                <w:color w:val="auto"/>
                <w:sz w:val="21"/>
                <w:szCs w:val="21"/>
                <w:highlight w:val="none"/>
                <w:vertAlign w:val="superscript"/>
                <w:lang w:val="en-US" w:eastAsia="zh-CN"/>
              </w:rPr>
              <w:t>3</w:t>
            </w:r>
          </w:p>
        </w:tc>
        <w:tc>
          <w:tcPr>
            <w:tcW w:w="590" w:type="pct"/>
            <w:tcBorders>
              <w:tl2br w:val="nil"/>
              <w:tr2bl w:val="nil"/>
            </w:tcBorders>
            <w:noWrap w:val="0"/>
            <w:vAlign w:val="center"/>
          </w:tcPr>
          <w:p w14:paraId="0A4B698A">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2.875</w:t>
            </w:r>
            <w:r>
              <w:rPr>
                <w:rFonts w:hint="default" w:ascii="Times New Roman" w:hAnsi="Times New Roman" w:cs="Times New Roman"/>
                <w:color w:val="auto"/>
                <w:sz w:val="21"/>
                <w:szCs w:val="21"/>
                <w:highlight w:val="none"/>
                <w:lang w:val="en-US" w:eastAsia="zh-CN"/>
              </w:rPr>
              <w:t>×10</w:t>
            </w:r>
            <w:r>
              <w:rPr>
                <w:rFonts w:hint="eastAsia" w:cs="Times New Roman"/>
                <w:color w:val="auto"/>
                <w:sz w:val="21"/>
                <w:szCs w:val="21"/>
                <w:highlight w:val="none"/>
                <w:vertAlign w:val="superscript"/>
                <w:lang w:val="en-US" w:eastAsia="zh-CN"/>
              </w:rPr>
              <w:t>6</w:t>
            </w:r>
          </w:p>
        </w:tc>
      </w:tr>
      <w:tr w14:paraId="60C7D6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85" w:type="pct"/>
            <w:tcBorders>
              <w:tl2br w:val="nil"/>
              <w:tr2bl w:val="nil"/>
            </w:tcBorders>
            <w:noWrap w:val="0"/>
            <w:vAlign w:val="center"/>
          </w:tcPr>
          <w:p w14:paraId="21B6C771">
            <w:pPr>
              <w:keepNext w:val="0"/>
              <w:keepLines w:val="0"/>
              <w:pageBreakBefore w:val="0"/>
              <w:widowControl w:val="0"/>
              <w:suppressLineNumbers w:val="0"/>
              <w:kinsoku/>
              <w:bidi w:val="0"/>
              <w:jc w:val="center"/>
              <w:textAlignment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w:t>
            </w:r>
          </w:p>
        </w:tc>
        <w:tc>
          <w:tcPr>
            <w:tcW w:w="648" w:type="pct"/>
            <w:tcBorders>
              <w:tl2br w:val="nil"/>
              <w:tr2bl w:val="nil"/>
            </w:tcBorders>
            <w:noWrap w:val="0"/>
            <w:vAlign w:val="center"/>
          </w:tcPr>
          <w:p w14:paraId="4763D940">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kern w:val="2"/>
                <w:sz w:val="21"/>
                <w:highlight w:val="none"/>
                <w:lang w:val="en-US" w:eastAsia="zh-CN" w:bidi="ar-SA"/>
              </w:rPr>
            </w:pPr>
            <w:r>
              <w:rPr>
                <w:rFonts w:hint="default" w:ascii="Times New Roman" w:hAnsi="Times New Roman" w:eastAsia="宋体" w:cs="Times New Roman"/>
                <w:b w:val="0"/>
                <w:bCs/>
                <w:color w:val="auto"/>
                <w:spacing w:val="-1"/>
                <w:sz w:val="21"/>
                <w:szCs w:val="21"/>
                <w:highlight w:val="none"/>
              </w:rPr>
              <w:t>雄英103井</w:t>
            </w:r>
          </w:p>
        </w:tc>
        <w:tc>
          <w:tcPr>
            <w:tcW w:w="346" w:type="pct"/>
            <w:tcBorders>
              <w:tl2br w:val="nil"/>
              <w:tr2bl w:val="nil"/>
            </w:tcBorders>
            <w:noWrap w:val="0"/>
            <w:vAlign w:val="center"/>
          </w:tcPr>
          <w:p w14:paraId="7F61DCB1">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宋体" w:cs="Times New Roman"/>
                <w:color w:val="auto"/>
                <w:kern w:val="2"/>
                <w:sz w:val="21"/>
                <w:highlight w:val="none"/>
                <w:lang w:val="en-US" w:eastAsia="zh-CN" w:bidi="ar-SA"/>
              </w:rPr>
            </w:pPr>
          </w:p>
        </w:tc>
        <w:tc>
          <w:tcPr>
            <w:tcW w:w="319" w:type="pct"/>
            <w:tcBorders>
              <w:tl2br w:val="nil"/>
              <w:tr2bl w:val="nil"/>
            </w:tcBorders>
            <w:noWrap w:val="0"/>
            <w:vAlign w:val="center"/>
          </w:tcPr>
          <w:p w14:paraId="3297BD5D">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宋体" w:cs="Times New Roman"/>
                <w:color w:val="auto"/>
                <w:kern w:val="2"/>
                <w:sz w:val="21"/>
                <w:highlight w:val="none"/>
                <w:lang w:val="en-US" w:eastAsia="zh-CN" w:bidi="ar-SA"/>
              </w:rPr>
            </w:pPr>
          </w:p>
        </w:tc>
        <w:tc>
          <w:tcPr>
            <w:tcW w:w="418" w:type="pct"/>
            <w:tcBorders>
              <w:tl2br w:val="nil"/>
              <w:tr2bl w:val="nil"/>
            </w:tcBorders>
            <w:noWrap w:val="0"/>
            <w:vAlign w:val="center"/>
          </w:tcPr>
          <w:p w14:paraId="2805FBA7">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1091</w:t>
            </w:r>
          </w:p>
        </w:tc>
        <w:tc>
          <w:tcPr>
            <w:tcW w:w="303" w:type="pct"/>
            <w:tcBorders>
              <w:tl2br w:val="nil"/>
              <w:tr2bl w:val="nil"/>
            </w:tcBorders>
            <w:noWrap w:val="0"/>
            <w:vAlign w:val="center"/>
          </w:tcPr>
          <w:p w14:paraId="027A654F">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35</w:t>
            </w:r>
          </w:p>
        </w:tc>
        <w:tc>
          <w:tcPr>
            <w:tcW w:w="263" w:type="pct"/>
            <w:tcBorders>
              <w:tl2br w:val="nil"/>
              <w:tr2bl w:val="nil"/>
            </w:tcBorders>
            <w:noWrap w:val="0"/>
            <w:vAlign w:val="center"/>
          </w:tcPr>
          <w:p w14:paraId="3ED76BD6">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40</w:t>
            </w:r>
          </w:p>
        </w:tc>
        <w:tc>
          <w:tcPr>
            <w:tcW w:w="429" w:type="pct"/>
            <w:tcBorders>
              <w:tl2br w:val="nil"/>
              <w:tr2bl w:val="nil"/>
            </w:tcBorders>
            <w:noWrap w:val="0"/>
            <w:vAlign w:val="center"/>
          </w:tcPr>
          <w:p w14:paraId="04841AC5">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459" w:type="pct"/>
            <w:tcBorders>
              <w:tl2br w:val="nil"/>
              <w:tr2bl w:val="nil"/>
            </w:tcBorders>
            <w:noWrap w:val="0"/>
            <w:vAlign w:val="center"/>
          </w:tcPr>
          <w:p w14:paraId="1BBC7B0C">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394" w:type="pct"/>
            <w:tcBorders>
              <w:tl2br w:val="nil"/>
              <w:tr2bl w:val="nil"/>
            </w:tcBorders>
            <w:noWrap w:val="0"/>
            <w:vAlign w:val="center"/>
          </w:tcPr>
          <w:p w14:paraId="10D800F9">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7200</w:t>
            </w:r>
          </w:p>
        </w:tc>
        <w:tc>
          <w:tcPr>
            <w:tcW w:w="640" w:type="pct"/>
            <w:tcBorders>
              <w:tl2br w:val="nil"/>
              <w:tr2bl w:val="nil"/>
            </w:tcBorders>
            <w:noWrap w:val="0"/>
            <w:vAlign w:val="center"/>
          </w:tcPr>
          <w:p w14:paraId="6E54F68D">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3.725×10</w:t>
            </w:r>
            <w:r>
              <w:rPr>
                <w:rFonts w:hint="default" w:ascii="Times New Roman" w:hAnsi="Times New Roman" w:cs="Times New Roman"/>
                <w:color w:val="auto"/>
                <w:sz w:val="21"/>
                <w:szCs w:val="21"/>
                <w:highlight w:val="none"/>
                <w:vertAlign w:val="superscript"/>
                <w:lang w:val="en-US" w:eastAsia="zh-CN"/>
              </w:rPr>
              <w:t>3</w:t>
            </w:r>
          </w:p>
        </w:tc>
        <w:tc>
          <w:tcPr>
            <w:tcW w:w="590" w:type="pct"/>
            <w:tcBorders>
              <w:tl2br w:val="nil"/>
              <w:tr2bl w:val="nil"/>
            </w:tcBorders>
            <w:noWrap w:val="0"/>
            <w:vAlign w:val="center"/>
          </w:tcPr>
          <w:p w14:paraId="76B57198">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2.875</w:t>
            </w:r>
            <w:r>
              <w:rPr>
                <w:rFonts w:hint="default" w:ascii="Times New Roman" w:hAnsi="Times New Roman" w:cs="Times New Roman"/>
                <w:color w:val="auto"/>
                <w:sz w:val="21"/>
                <w:szCs w:val="21"/>
                <w:highlight w:val="none"/>
                <w:lang w:val="en-US" w:eastAsia="zh-CN"/>
              </w:rPr>
              <w:t>×10</w:t>
            </w:r>
            <w:r>
              <w:rPr>
                <w:rFonts w:hint="eastAsia" w:cs="Times New Roman"/>
                <w:color w:val="auto"/>
                <w:sz w:val="21"/>
                <w:szCs w:val="21"/>
                <w:highlight w:val="none"/>
                <w:vertAlign w:val="superscript"/>
                <w:lang w:val="en-US" w:eastAsia="zh-CN"/>
              </w:rPr>
              <w:t>6</w:t>
            </w:r>
          </w:p>
        </w:tc>
      </w:tr>
      <w:tr w14:paraId="3887C9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85" w:type="pct"/>
            <w:tcBorders>
              <w:tl2br w:val="nil"/>
              <w:tr2bl w:val="nil"/>
            </w:tcBorders>
            <w:noWrap w:val="0"/>
            <w:vAlign w:val="center"/>
          </w:tcPr>
          <w:p w14:paraId="334C1973">
            <w:pPr>
              <w:keepNext w:val="0"/>
              <w:keepLines w:val="0"/>
              <w:pageBreakBefore w:val="0"/>
              <w:widowControl w:val="0"/>
              <w:suppressLineNumbers w:val="0"/>
              <w:kinsoku/>
              <w:bidi w:val="0"/>
              <w:jc w:val="center"/>
              <w:textAlignment w:val="center"/>
              <w:rPr>
                <w:rFonts w:hint="eastAsia" w:ascii="Times New Roman" w:hAnsi="Times New Roman" w:eastAsia="宋体" w:cs="Times New Roman"/>
                <w:color w:val="auto"/>
                <w:kern w:val="2"/>
                <w:sz w:val="21"/>
                <w:highlight w:val="none"/>
                <w:lang w:val="en-US" w:eastAsia="zh-CN" w:bidi="ar-SA"/>
              </w:rPr>
            </w:pPr>
            <w:r>
              <w:rPr>
                <w:rFonts w:hint="eastAsia" w:ascii="Times New Roman" w:hAnsi="Times New Roman" w:eastAsia="宋体" w:cs="Times New Roman"/>
                <w:color w:val="auto"/>
                <w:highlight w:val="none"/>
                <w:lang w:val="en-US" w:eastAsia="zh-CN"/>
              </w:rPr>
              <w:t>5</w:t>
            </w:r>
          </w:p>
        </w:tc>
        <w:tc>
          <w:tcPr>
            <w:tcW w:w="648" w:type="pct"/>
            <w:tcBorders>
              <w:tl2br w:val="nil"/>
              <w:tr2bl w:val="nil"/>
            </w:tcBorders>
            <w:noWrap w:val="0"/>
            <w:vAlign w:val="center"/>
          </w:tcPr>
          <w:p w14:paraId="79D1A7A2">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kern w:val="2"/>
                <w:sz w:val="21"/>
                <w:highlight w:val="none"/>
                <w:lang w:val="en-US" w:eastAsia="zh-CN" w:bidi="ar-SA"/>
              </w:rPr>
            </w:pPr>
            <w:r>
              <w:rPr>
                <w:rFonts w:hint="default" w:ascii="Times New Roman" w:hAnsi="Times New Roman" w:eastAsia="宋体" w:cs="Times New Roman"/>
                <w:b w:val="0"/>
                <w:bCs/>
                <w:color w:val="auto"/>
                <w:spacing w:val="-1"/>
                <w:sz w:val="21"/>
                <w:szCs w:val="21"/>
                <w:highlight w:val="none"/>
              </w:rPr>
              <w:t>雄英</w:t>
            </w:r>
            <w:r>
              <w:rPr>
                <w:rFonts w:hint="eastAsia" w:cs="Times New Roman"/>
                <w:b w:val="0"/>
                <w:bCs/>
                <w:color w:val="auto"/>
                <w:spacing w:val="-1"/>
                <w:sz w:val="21"/>
                <w:szCs w:val="21"/>
                <w:highlight w:val="none"/>
                <w:lang w:val="en-US" w:eastAsia="zh-CN"/>
              </w:rPr>
              <w:t>2</w:t>
            </w:r>
            <w:r>
              <w:rPr>
                <w:rFonts w:hint="default" w:ascii="Times New Roman" w:hAnsi="Times New Roman" w:eastAsia="宋体" w:cs="Times New Roman"/>
                <w:b w:val="0"/>
                <w:bCs/>
                <w:color w:val="auto"/>
                <w:spacing w:val="-1"/>
                <w:sz w:val="21"/>
                <w:szCs w:val="21"/>
                <w:highlight w:val="none"/>
              </w:rPr>
              <w:t>井</w:t>
            </w:r>
          </w:p>
        </w:tc>
        <w:tc>
          <w:tcPr>
            <w:tcW w:w="346" w:type="pct"/>
            <w:tcBorders>
              <w:tl2br w:val="nil"/>
              <w:tr2bl w:val="nil"/>
            </w:tcBorders>
            <w:noWrap w:val="0"/>
            <w:vAlign w:val="center"/>
          </w:tcPr>
          <w:p w14:paraId="17A904FB">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宋体" w:cs="Times New Roman"/>
                <w:color w:val="auto"/>
                <w:kern w:val="2"/>
                <w:sz w:val="21"/>
                <w:highlight w:val="none"/>
                <w:lang w:val="en-US" w:eastAsia="zh-CN" w:bidi="ar-SA"/>
              </w:rPr>
            </w:pPr>
          </w:p>
        </w:tc>
        <w:tc>
          <w:tcPr>
            <w:tcW w:w="319" w:type="pct"/>
            <w:tcBorders>
              <w:tl2br w:val="nil"/>
              <w:tr2bl w:val="nil"/>
            </w:tcBorders>
            <w:noWrap w:val="0"/>
            <w:vAlign w:val="center"/>
          </w:tcPr>
          <w:p w14:paraId="3B31D984">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宋体" w:cs="Times New Roman"/>
                <w:color w:val="auto"/>
                <w:kern w:val="2"/>
                <w:sz w:val="21"/>
                <w:highlight w:val="none"/>
                <w:lang w:val="en-US" w:eastAsia="zh-CN" w:bidi="ar-SA"/>
              </w:rPr>
            </w:pPr>
          </w:p>
        </w:tc>
        <w:tc>
          <w:tcPr>
            <w:tcW w:w="418" w:type="pct"/>
            <w:tcBorders>
              <w:tl2br w:val="nil"/>
              <w:tr2bl w:val="nil"/>
            </w:tcBorders>
            <w:noWrap w:val="0"/>
            <w:vAlign w:val="center"/>
          </w:tcPr>
          <w:p w14:paraId="72FAA3EC">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1080</w:t>
            </w:r>
          </w:p>
        </w:tc>
        <w:tc>
          <w:tcPr>
            <w:tcW w:w="303" w:type="pct"/>
            <w:tcBorders>
              <w:tl2br w:val="nil"/>
              <w:tr2bl w:val="nil"/>
            </w:tcBorders>
            <w:noWrap w:val="0"/>
            <w:vAlign w:val="center"/>
          </w:tcPr>
          <w:p w14:paraId="03137DDA">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35</w:t>
            </w:r>
          </w:p>
        </w:tc>
        <w:tc>
          <w:tcPr>
            <w:tcW w:w="263" w:type="pct"/>
            <w:tcBorders>
              <w:tl2br w:val="nil"/>
              <w:tr2bl w:val="nil"/>
            </w:tcBorders>
            <w:noWrap w:val="0"/>
            <w:vAlign w:val="center"/>
          </w:tcPr>
          <w:p w14:paraId="38117660">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40</w:t>
            </w:r>
          </w:p>
        </w:tc>
        <w:tc>
          <w:tcPr>
            <w:tcW w:w="429" w:type="pct"/>
            <w:tcBorders>
              <w:tl2br w:val="nil"/>
              <w:tr2bl w:val="nil"/>
            </w:tcBorders>
            <w:noWrap w:val="0"/>
            <w:vAlign w:val="center"/>
          </w:tcPr>
          <w:p w14:paraId="1B9C8279">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w:t>
            </w:r>
          </w:p>
        </w:tc>
        <w:tc>
          <w:tcPr>
            <w:tcW w:w="459" w:type="pct"/>
            <w:tcBorders>
              <w:tl2br w:val="nil"/>
              <w:tr2bl w:val="nil"/>
            </w:tcBorders>
            <w:noWrap w:val="0"/>
            <w:vAlign w:val="center"/>
          </w:tcPr>
          <w:p w14:paraId="7B389489">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4</w:t>
            </w:r>
          </w:p>
        </w:tc>
        <w:tc>
          <w:tcPr>
            <w:tcW w:w="394" w:type="pct"/>
            <w:tcBorders>
              <w:tl2br w:val="nil"/>
              <w:tr2bl w:val="nil"/>
            </w:tcBorders>
            <w:noWrap w:val="0"/>
            <w:vAlign w:val="center"/>
          </w:tcPr>
          <w:p w14:paraId="7DAAA52F">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7200</w:t>
            </w:r>
          </w:p>
        </w:tc>
        <w:tc>
          <w:tcPr>
            <w:tcW w:w="640" w:type="pct"/>
            <w:tcBorders>
              <w:tl2br w:val="nil"/>
              <w:tr2bl w:val="nil"/>
            </w:tcBorders>
            <w:noWrap w:val="0"/>
            <w:vAlign w:val="center"/>
          </w:tcPr>
          <w:p w14:paraId="1DCBF98D">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3.725×10</w:t>
            </w:r>
            <w:r>
              <w:rPr>
                <w:rFonts w:hint="default" w:ascii="Times New Roman" w:hAnsi="Times New Roman" w:cs="Times New Roman"/>
                <w:color w:val="auto"/>
                <w:sz w:val="21"/>
                <w:szCs w:val="21"/>
                <w:highlight w:val="none"/>
                <w:vertAlign w:val="superscript"/>
                <w:lang w:val="en-US" w:eastAsia="zh-CN"/>
              </w:rPr>
              <w:t>3</w:t>
            </w:r>
          </w:p>
        </w:tc>
        <w:tc>
          <w:tcPr>
            <w:tcW w:w="590" w:type="pct"/>
            <w:tcBorders>
              <w:tl2br w:val="nil"/>
              <w:tr2bl w:val="nil"/>
            </w:tcBorders>
            <w:noWrap w:val="0"/>
            <w:vAlign w:val="center"/>
          </w:tcPr>
          <w:p w14:paraId="723042FB">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2.875</w:t>
            </w:r>
            <w:r>
              <w:rPr>
                <w:rFonts w:hint="default" w:ascii="Times New Roman" w:hAnsi="Times New Roman" w:cs="Times New Roman"/>
                <w:color w:val="auto"/>
                <w:sz w:val="21"/>
                <w:szCs w:val="21"/>
                <w:highlight w:val="none"/>
                <w:lang w:val="en-US" w:eastAsia="zh-CN"/>
              </w:rPr>
              <w:t>×10</w:t>
            </w:r>
            <w:r>
              <w:rPr>
                <w:rFonts w:hint="eastAsia" w:cs="Times New Roman"/>
                <w:color w:val="auto"/>
                <w:sz w:val="21"/>
                <w:szCs w:val="21"/>
                <w:highlight w:val="none"/>
                <w:vertAlign w:val="superscript"/>
                <w:lang w:val="en-US" w:eastAsia="zh-CN"/>
              </w:rPr>
              <w:t>6</w:t>
            </w:r>
          </w:p>
        </w:tc>
      </w:tr>
      <w:tr w14:paraId="40621D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85" w:type="pct"/>
            <w:tcBorders>
              <w:tl2br w:val="nil"/>
              <w:tr2bl w:val="nil"/>
            </w:tcBorders>
            <w:noWrap w:val="0"/>
            <w:vAlign w:val="center"/>
          </w:tcPr>
          <w:p w14:paraId="0CFB95B4">
            <w:pPr>
              <w:keepNext w:val="0"/>
              <w:keepLines w:val="0"/>
              <w:pageBreakBefore w:val="0"/>
              <w:widowControl w:val="0"/>
              <w:suppressLineNumbers w:val="0"/>
              <w:kinsoku/>
              <w:bidi w:val="0"/>
              <w:jc w:val="center"/>
              <w:textAlignment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6</w:t>
            </w:r>
          </w:p>
        </w:tc>
        <w:tc>
          <w:tcPr>
            <w:tcW w:w="648" w:type="pct"/>
            <w:tcBorders>
              <w:tl2br w:val="nil"/>
              <w:tr2bl w:val="nil"/>
            </w:tcBorders>
            <w:noWrap w:val="0"/>
            <w:vAlign w:val="center"/>
          </w:tcPr>
          <w:p w14:paraId="6D6FF297">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kern w:val="2"/>
                <w:sz w:val="21"/>
                <w:highlight w:val="none"/>
                <w:lang w:val="en-US" w:eastAsia="zh-CN" w:bidi="ar-SA"/>
              </w:rPr>
            </w:pPr>
            <w:r>
              <w:rPr>
                <w:rFonts w:hint="default" w:ascii="Times New Roman" w:hAnsi="Times New Roman" w:eastAsia="宋体" w:cs="Times New Roman"/>
                <w:b w:val="0"/>
                <w:bCs/>
                <w:color w:val="auto"/>
                <w:spacing w:val="-1"/>
                <w:sz w:val="21"/>
                <w:szCs w:val="21"/>
                <w:highlight w:val="none"/>
              </w:rPr>
              <w:t>雄英3井</w:t>
            </w:r>
          </w:p>
        </w:tc>
        <w:tc>
          <w:tcPr>
            <w:tcW w:w="346" w:type="pct"/>
            <w:tcBorders>
              <w:tl2br w:val="nil"/>
              <w:tr2bl w:val="nil"/>
            </w:tcBorders>
            <w:noWrap w:val="0"/>
            <w:vAlign w:val="center"/>
          </w:tcPr>
          <w:p w14:paraId="212EE971">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宋体" w:cs="Times New Roman"/>
                <w:color w:val="auto"/>
                <w:highlight w:val="none"/>
                <w:lang w:val="en-US" w:eastAsia="zh-CN"/>
              </w:rPr>
            </w:pPr>
          </w:p>
        </w:tc>
        <w:tc>
          <w:tcPr>
            <w:tcW w:w="319" w:type="pct"/>
            <w:tcBorders>
              <w:tl2br w:val="nil"/>
              <w:tr2bl w:val="nil"/>
            </w:tcBorders>
            <w:noWrap w:val="0"/>
            <w:vAlign w:val="center"/>
          </w:tcPr>
          <w:p w14:paraId="6095ABB0">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宋体" w:cs="Times New Roman"/>
                <w:color w:val="auto"/>
                <w:highlight w:val="none"/>
                <w:lang w:val="en-US" w:eastAsia="zh-CN"/>
              </w:rPr>
            </w:pPr>
          </w:p>
        </w:tc>
        <w:tc>
          <w:tcPr>
            <w:tcW w:w="418" w:type="pct"/>
            <w:tcBorders>
              <w:tl2br w:val="nil"/>
              <w:tr2bl w:val="nil"/>
            </w:tcBorders>
            <w:noWrap w:val="0"/>
            <w:vAlign w:val="center"/>
          </w:tcPr>
          <w:p w14:paraId="42F5C4A2">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1033</w:t>
            </w:r>
          </w:p>
        </w:tc>
        <w:tc>
          <w:tcPr>
            <w:tcW w:w="303" w:type="pct"/>
            <w:tcBorders>
              <w:tl2br w:val="nil"/>
              <w:tr2bl w:val="nil"/>
            </w:tcBorders>
            <w:noWrap w:val="0"/>
            <w:vAlign w:val="center"/>
          </w:tcPr>
          <w:p w14:paraId="21BC8FF8">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35</w:t>
            </w:r>
          </w:p>
        </w:tc>
        <w:tc>
          <w:tcPr>
            <w:tcW w:w="263" w:type="pct"/>
            <w:tcBorders>
              <w:tl2br w:val="nil"/>
              <w:tr2bl w:val="nil"/>
            </w:tcBorders>
            <w:noWrap w:val="0"/>
            <w:vAlign w:val="center"/>
          </w:tcPr>
          <w:p w14:paraId="0D68A215">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40</w:t>
            </w:r>
          </w:p>
        </w:tc>
        <w:tc>
          <w:tcPr>
            <w:tcW w:w="429" w:type="pct"/>
            <w:tcBorders>
              <w:tl2br w:val="nil"/>
              <w:tr2bl w:val="nil"/>
            </w:tcBorders>
            <w:noWrap w:val="0"/>
            <w:vAlign w:val="center"/>
          </w:tcPr>
          <w:p w14:paraId="36BB58BF">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459" w:type="pct"/>
            <w:tcBorders>
              <w:tl2br w:val="nil"/>
              <w:tr2bl w:val="nil"/>
            </w:tcBorders>
            <w:noWrap w:val="0"/>
            <w:vAlign w:val="center"/>
          </w:tcPr>
          <w:p w14:paraId="725F5CDD">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394" w:type="pct"/>
            <w:tcBorders>
              <w:tl2br w:val="nil"/>
              <w:tr2bl w:val="nil"/>
            </w:tcBorders>
            <w:noWrap w:val="0"/>
            <w:vAlign w:val="center"/>
          </w:tcPr>
          <w:p w14:paraId="329DAC64">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7200</w:t>
            </w:r>
          </w:p>
        </w:tc>
        <w:tc>
          <w:tcPr>
            <w:tcW w:w="640" w:type="pct"/>
            <w:tcBorders>
              <w:tl2br w:val="nil"/>
              <w:tr2bl w:val="nil"/>
            </w:tcBorders>
            <w:noWrap w:val="0"/>
            <w:vAlign w:val="center"/>
          </w:tcPr>
          <w:p w14:paraId="2C7B9725">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3.725×10</w:t>
            </w:r>
            <w:r>
              <w:rPr>
                <w:rFonts w:hint="default" w:ascii="Times New Roman" w:hAnsi="Times New Roman" w:cs="Times New Roman"/>
                <w:color w:val="auto"/>
                <w:sz w:val="21"/>
                <w:szCs w:val="21"/>
                <w:highlight w:val="none"/>
                <w:vertAlign w:val="superscript"/>
                <w:lang w:val="en-US" w:eastAsia="zh-CN"/>
              </w:rPr>
              <w:t>3</w:t>
            </w:r>
          </w:p>
        </w:tc>
        <w:tc>
          <w:tcPr>
            <w:tcW w:w="590" w:type="pct"/>
            <w:tcBorders>
              <w:tl2br w:val="nil"/>
              <w:tr2bl w:val="nil"/>
            </w:tcBorders>
            <w:noWrap w:val="0"/>
            <w:vAlign w:val="center"/>
          </w:tcPr>
          <w:p w14:paraId="3741A6C8">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2.875</w:t>
            </w:r>
            <w:r>
              <w:rPr>
                <w:rFonts w:hint="default" w:ascii="Times New Roman" w:hAnsi="Times New Roman" w:cs="Times New Roman"/>
                <w:color w:val="auto"/>
                <w:sz w:val="21"/>
                <w:szCs w:val="21"/>
                <w:highlight w:val="none"/>
                <w:lang w:val="en-US" w:eastAsia="zh-CN"/>
              </w:rPr>
              <w:t>×10</w:t>
            </w:r>
            <w:r>
              <w:rPr>
                <w:rFonts w:hint="eastAsia" w:cs="Times New Roman"/>
                <w:color w:val="auto"/>
                <w:sz w:val="21"/>
                <w:szCs w:val="21"/>
                <w:highlight w:val="none"/>
                <w:vertAlign w:val="superscript"/>
                <w:lang w:val="en-US" w:eastAsia="zh-CN"/>
              </w:rPr>
              <w:t>6</w:t>
            </w:r>
          </w:p>
        </w:tc>
      </w:tr>
      <w:tr w14:paraId="7290CC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85" w:type="pct"/>
            <w:tcBorders>
              <w:tl2br w:val="nil"/>
              <w:tr2bl w:val="nil"/>
            </w:tcBorders>
            <w:noWrap w:val="0"/>
            <w:vAlign w:val="center"/>
          </w:tcPr>
          <w:p w14:paraId="5BB0A1ED">
            <w:pPr>
              <w:keepNext w:val="0"/>
              <w:keepLines w:val="0"/>
              <w:pageBreakBefore w:val="0"/>
              <w:widowControl w:val="0"/>
              <w:suppressLineNumbers w:val="0"/>
              <w:kinsoku/>
              <w:bidi w:val="0"/>
              <w:jc w:val="center"/>
              <w:textAlignment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7</w:t>
            </w:r>
          </w:p>
        </w:tc>
        <w:tc>
          <w:tcPr>
            <w:tcW w:w="648" w:type="pct"/>
            <w:tcBorders>
              <w:tl2br w:val="nil"/>
              <w:tr2bl w:val="nil"/>
            </w:tcBorders>
            <w:noWrap w:val="0"/>
            <w:vAlign w:val="center"/>
          </w:tcPr>
          <w:p w14:paraId="050E8AA2">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kern w:val="2"/>
                <w:sz w:val="21"/>
                <w:highlight w:val="none"/>
                <w:lang w:val="en-US" w:eastAsia="zh-CN" w:bidi="ar-SA"/>
              </w:rPr>
            </w:pPr>
            <w:r>
              <w:rPr>
                <w:rFonts w:hint="eastAsia" w:cs="Times New Roman"/>
                <w:color w:val="auto"/>
                <w:kern w:val="2"/>
                <w:sz w:val="21"/>
                <w:highlight w:val="none"/>
                <w:lang w:val="en-US" w:eastAsia="zh-CN" w:bidi="ar-SA"/>
              </w:rPr>
              <w:t>雄探1试采点</w:t>
            </w:r>
          </w:p>
        </w:tc>
        <w:tc>
          <w:tcPr>
            <w:tcW w:w="346" w:type="pct"/>
            <w:tcBorders>
              <w:tl2br w:val="nil"/>
              <w:tr2bl w:val="nil"/>
            </w:tcBorders>
            <w:noWrap w:val="0"/>
            <w:vAlign w:val="center"/>
          </w:tcPr>
          <w:p w14:paraId="3AE688A2">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宋体" w:cs="Times New Roman"/>
                <w:color w:val="auto"/>
                <w:highlight w:val="none"/>
                <w:lang w:val="en-US" w:eastAsia="zh-CN"/>
              </w:rPr>
            </w:pPr>
          </w:p>
        </w:tc>
        <w:tc>
          <w:tcPr>
            <w:tcW w:w="319" w:type="pct"/>
            <w:tcBorders>
              <w:tl2br w:val="nil"/>
              <w:tr2bl w:val="nil"/>
            </w:tcBorders>
            <w:noWrap w:val="0"/>
            <w:vAlign w:val="center"/>
          </w:tcPr>
          <w:p w14:paraId="44B54981">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center"/>
              <w:rPr>
                <w:rFonts w:hint="default" w:ascii="Times New Roman" w:hAnsi="Times New Roman" w:eastAsia="宋体" w:cs="Times New Roman"/>
                <w:color w:val="auto"/>
                <w:highlight w:val="none"/>
                <w:lang w:val="en-US" w:eastAsia="zh-CN"/>
              </w:rPr>
            </w:pPr>
          </w:p>
        </w:tc>
        <w:tc>
          <w:tcPr>
            <w:tcW w:w="418" w:type="pct"/>
            <w:tcBorders>
              <w:tl2br w:val="nil"/>
              <w:tr2bl w:val="nil"/>
            </w:tcBorders>
            <w:noWrap w:val="0"/>
            <w:vAlign w:val="center"/>
          </w:tcPr>
          <w:p w14:paraId="2C96C5E1">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r>
              <w:rPr>
                <w:rFonts w:hint="eastAsia" w:cs="Times New Roman"/>
                <w:color w:val="auto"/>
                <w:sz w:val="21"/>
                <w:szCs w:val="21"/>
                <w:highlight w:val="none"/>
                <w:lang w:val="en-US" w:eastAsia="zh-CN"/>
              </w:rPr>
              <w:t>82</w:t>
            </w:r>
          </w:p>
        </w:tc>
        <w:tc>
          <w:tcPr>
            <w:tcW w:w="303" w:type="pct"/>
            <w:tcBorders>
              <w:tl2br w:val="nil"/>
              <w:tr2bl w:val="nil"/>
            </w:tcBorders>
            <w:noWrap w:val="0"/>
            <w:vAlign w:val="center"/>
          </w:tcPr>
          <w:p w14:paraId="7F1A6B36">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350</w:t>
            </w:r>
          </w:p>
        </w:tc>
        <w:tc>
          <w:tcPr>
            <w:tcW w:w="263" w:type="pct"/>
            <w:tcBorders>
              <w:tl2br w:val="nil"/>
              <w:tr2bl w:val="nil"/>
            </w:tcBorders>
            <w:noWrap w:val="0"/>
            <w:vAlign w:val="center"/>
          </w:tcPr>
          <w:p w14:paraId="3B423224">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220</w:t>
            </w:r>
          </w:p>
        </w:tc>
        <w:tc>
          <w:tcPr>
            <w:tcW w:w="429" w:type="pct"/>
            <w:tcBorders>
              <w:tl2br w:val="nil"/>
              <w:tr2bl w:val="nil"/>
            </w:tcBorders>
            <w:noWrap w:val="0"/>
            <w:vAlign w:val="center"/>
          </w:tcPr>
          <w:p w14:paraId="2CF257E4">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459" w:type="pct"/>
            <w:tcBorders>
              <w:tl2br w:val="nil"/>
              <w:tr2bl w:val="nil"/>
            </w:tcBorders>
            <w:noWrap w:val="0"/>
            <w:vAlign w:val="center"/>
          </w:tcPr>
          <w:p w14:paraId="09DFC9C3">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394" w:type="pct"/>
            <w:tcBorders>
              <w:tl2br w:val="nil"/>
              <w:tr2bl w:val="nil"/>
            </w:tcBorders>
            <w:noWrap w:val="0"/>
            <w:vAlign w:val="center"/>
          </w:tcPr>
          <w:p w14:paraId="6CB310F8">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7200</w:t>
            </w:r>
          </w:p>
        </w:tc>
        <w:tc>
          <w:tcPr>
            <w:tcW w:w="640" w:type="pct"/>
            <w:tcBorders>
              <w:tl2br w:val="nil"/>
              <w:tr2bl w:val="nil"/>
            </w:tcBorders>
            <w:noWrap w:val="0"/>
            <w:vAlign w:val="center"/>
          </w:tcPr>
          <w:p w14:paraId="5988EBDC">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r>
              <w:rPr>
                <w:rFonts w:hint="eastAsia" w:cs="Times New Roman"/>
                <w:color w:val="auto"/>
                <w:sz w:val="21"/>
                <w:szCs w:val="21"/>
                <w:highlight w:val="none"/>
                <w:lang w:val="en-US" w:eastAsia="zh-CN"/>
              </w:rPr>
              <w:t>370725</w:t>
            </w:r>
          </w:p>
        </w:tc>
        <w:tc>
          <w:tcPr>
            <w:tcW w:w="590" w:type="pct"/>
            <w:tcBorders>
              <w:tl2br w:val="nil"/>
              <w:tr2bl w:val="nil"/>
            </w:tcBorders>
            <w:noWrap w:val="0"/>
            <w:vAlign w:val="center"/>
          </w:tcPr>
          <w:p w14:paraId="20698951">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0.00009</w:t>
            </w:r>
          </w:p>
        </w:tc>
      </w:tr>
    </w:tbl>
    <w:p w14:paraId="7B6E1C0D">
      <w:pPr>
        <w:pStyle w:val="79"/>
        <w:bidi w:val="0"/>
        <w:rPr>
          <w:rFonts w:hint="default"/>
          <w:color w:val="auto"/>
        </w:rPr>
      </w:pPr>
      <w:r>
        <w:rPr>
          <w:rFonts w:hint="default"/>
          <w:color w:val="auto"/>
        </w:rPr>
        <w:t>（</w:t>
      </w:r>
      <w:r>
        <w:rPr>
          <w:rFonts w:hint="default"/>
          <w:color w:val="auto"/>
          <w:lang w:val="en-US" w:eastAsia="zh-CN"/>
        </w:rPr>
        <w:t>5</w:t>
      </w:r>
      <w:r>
        <w:rPr>
          <w:rFonts w:hint="default"/>
          <w:color w:val="auto"/>
        </w:rPr>
        <w:t>）废气估算及评价</w:t>
      </w:r>
    </w:p>
    <w:p w14:paraId="2E1498C9">
      <w:pPr>
        <w:pStyle w:val="79"/>
        <w:bidi w:val="0"/>
        <w:rPr>
          <w:rFonts w:hint="default"/>
          <w:color w:val="auto"/>
        </w:rPr>
      </w:pPr>
      <w:r>
        <w:rPr>
          <w:rFonts w:hint="default"/>
          <w:color w:val="auto"/>
        </w:rPr>
        <w:t>本</w:t>
      </w:r>
      <w:r>
        <w:rPr>
          <w:rFonts w:hint="default"/>
          <w:color w:val="auto"/>
          <w:lang w:val="en-US" w:eastAsia="zh-CN"/>
        </w:rPr>
        <w:t>项目</w:t>
      </w:r>
      <w:r>
        <w:rPr>
          <w:rFonts w:hint="default"/>
          <w:color w:val="auto"/>
        </w:rPr>
        <w:t>大气环境影响评价等级为二级。根据《环境影响评价技术导则 大气环境》（HJ2.2-2018）的相关规定：“二级评价项目不进行进一步预测，只对污染物排放量进行核算”。故本次只对采用AERSCREEN模式预测的结果进行评价，不进行进一步预测。</w:t>
      </w:r>
      <w:r>
        <w:rPr>
          <w:rFonts w:hint="default"/>
          <w:color w:val="auto"/>
          <w:lang w:val="en-US" w:eastAsia="zh-CN"/>
        </w:rPr>
        <w:t>本次雄探1井井场加热炉燃烧烟气有组织排放的二氧化硫、氮氧化物、颗粒物和非甲烷总烃估算结果见表5.</w:t>
      </w:r>
      <w:r>
        <w:rPr>
          <w:rFonts w:hint="eastAsia"/>
          <w:color w:val="auto"/>
          <w:lang w:val="en-US" w:eastAsia="zh-CN"/>
        </w:rPr>
        <w:t>4</w:t>
      </w:r>
      <w:r>
        <w:rPr>
          <w:rFonts w:hint="default"/>
          <w:color w:val="auto"/>
          <w:lang w:val="en-US" w:eastAsia="zh-CN"/>
        </w:rPr>
        <w:t>-6，6座</w:t>
      </w:r>
      <w:r>
        <w:rPr>
          <w:rFonts w:hint="default"/>
          <w:color w:val="auto"/>
        </w:rPr>
        <w:t>井场</w:t>
      </w:r>
      <w:r>
        <w:rPr>
          <w:rFonts w:hint="default"/>
          <w:color w:val="auto"/>
          <w:lang w:val="en-US" w:eastAsia="zh-CN"/>
        </w:rPr>
        <w:t>和试采点</w:t>
      </w:r>
      <w:r>
        <w:rPr>
          <w:rFonts w:hint="default"/>
          <w:color w:val="auto"/>
        </w:rPr>
        <w:t>的油气开采、集输过程中无组织排放的非甲烷总烃和硫化氢估算结果见表5.</w:t>
      </w:r>
      <w:r>
        <w:rPr>
          <w:rFonts w:hint="eastAsia"/>
          <w:color w:val="auto"/>
          <w:lang w:val="en-US" w:eastAsia="zh-CN"/>
        </w:rPr>
        <w:t>4</w:t>
      </w:r>
      <w:r>
        <w:rPr>
          <w:rFonts w:hint="default"/>
          <w:color w:val="auto"/>
        </w:rPr>
        <w:t>-</w:t>
      </w:r>
      <w:r>
        <w:rPr>
          <w:rFonts w:hint="default"/>
          <w:color w:val="auto"/>
          <w:lang w:val="en-US" w:eastAsia="zh-CN"/>
        </w:rPr>
        <w:t>7</w:t>
      </w:r>
      <w:r>
        <w:rPr>
          <w:rFonts w:hint="default"/>
          <w:color w:val="auto"/>
        </w:rPr>
        <w:t>。</w:t>
      </w:r>
    </w:p>
    <w:p w14:paraId="35AB1E25">
      <w:pPr>
        <w:pStyle w:val="61"/>
        <w:keepNext w:val="0"/>
        <w:keepLines w:val="0"/>
        <w:pageBreakBefore w:val="0"/>
        <w:widowControl w:val="0"/>
        <w:kinsoku/>
        <w:wordWrap/>
        <w:overflowPunct/>
        <w:topLinePunct w:val="0"/>
        <w:autoSpaceDE/>
        <w:autoSpaceDN/>
        <w:bidi w:val="0"/>
        <w:adjustRightInd/>
        <w:snapToGrid/>
        <w:jc w:val="both"/>
        <w:textAlignment w:val="auto"/>
        <w:rPr>
          <w:rFonts w:hint="default"/>
          <w:color w:val="auto"/>
          <w:lang w:val="en-US" w:eastAsia="zh-CN"/>
        </w:rPr>
      </w:pPr>
      <w:r>
        <w:rPr>
          <w:rFonts w:hint="eastAsia"/>
          <w:color w:val="auto"/>
          <w:lang w:val="en-US" w:eastAsia="zh-CN"/>
        </w:rPr>
        <w:t>表</w:t>
      </w:r>
      <w:r>
        <w:rPr>
          <w:rFonts w:hint="default"/>
          <w:color w:val="auto"/>
          <w:lang w:val="en-US" w:eastAsia="zh-CN"/>
        </w:rPr>
        <w:t>5.</w:t>
      </w:r>
      <w:r>
        <w:rPr>
          <w:rFonts w:hint="eastAsia"/>
          <w:color w:val="auto"/>
          <w:lang w:val="en-US" w:eastAsia="zh-CN"/>
        </w:rPr>
        <w:t>4</w:t>
      </w:r>
      <w:r>
        <w:rPr>
          <w:rFonts w:hint="default"/>
          <w:color w:val="auto"/>
          <w:lang w:val="en-US" w:eastAsia="zh-CN"/>
        </w:rPr>
        <w:t>-</w:t>
      </w:r>
      <w:r>
        <w:rPr>
          <w:rFonts w:hint="eastAsia"/>
          <w:color w:val="auto"/>
          <w:lang w:val="en-US" w:eastAsia="zh-CN"/>
        </w:rPr>
        <w:t>6</w:t>
      </w:r>
      <w:r>
        <w:rPr>
          <w:rFonts w:hint="default"/>
          <w:color w:val="auto"/>
          <w:lang w:val="en-US" w:eastAsia="zh-CN"/>
        </w:rPr>
        <w:t xml:space="preserve">  </w:t>
      </w:r>
      <w:r>
        <w:rPr>
          <w:rFonts w:hint="eastAsia"/>
          <w:color w:val="auto"/>
          <w:lang w:val="en-US" w:eastAsia="zh-CN"/>
        </w:rPr>
        <w:t>有组织燃烧废气污染物的占标率和落地浓度一览表</w:t>
      </w:r>
    </w:p>
    <w:tbl>
      <w:tblPr>
        <w:tblStyle w:val="36"/>
        <w:tblW w:w="492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28" w:type="dxa"/>
          <w:left w:w="108" w:type="dxa"/>
          <w:bottom w:w="28" w:type="dxa"/>
          <w:right w:w="108" w:type="dxa"/>
        </w:tblCellMar>
      </w:tblPr>
      <w:tblGrid>
        <w:gridCol w:w="983"/>
        <w:gridCol w:w="1214"/>
        <w:gridCol w:w="736"/>
        <w:gridCol w:w="1231"/>
        <w:gridCol w:w="736"/>
        <w:gridCol w:w="1231"/>
        <w:gridCol w:w="736"/>
        <w:gridCol w:w="1231"/>
        <w:gridCol w:w="595"/>
      </w:tblGrid>
      <w:tr w14:paraId="2E647A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27" w:hRule="atLeast"/>
          <w:jc w:val="center"/>
        </w:trPr>
        <w:tc>
          <w:tcPr>
            <w:tcW w:w="565" w:type="pct"/>
            <w:vMerge w:val="restart"/>
            <w:tcBorders>
              <w:tl2br w:val="nil"/>
              <w:tr2bl w:val="nil"/>
            </w:tcBorders>
            <w:shd w:val="clear" w:color="auto" w:fill="auto"/>
            <w:noWrap w:val="0"/>
            <w:vAlign w:val="center"/>
          </w:tcPr>
          <w:p w14:paraId="36902F9B">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下风向距离（m）</w:t>
            </w:r>
          </w:p>
        </w:tc>
        <w:tc>
          <w:tcPr>
            <w:tcW w:w="1121" w:type="pct"/>
            <w:gridSpan w:val="2"/>
            <w:tcBorders>
              <w:tl2br w:val="nil"/>
              <w:tr2bl w:val="nil"/>
            </w:tcBorders>
            <w:shd w:val="clear" w:color="auto" w:fill="auto"/>
            <w:noWrap w:val="0"/>
            <w:vAlign w:val="center"/>
          </w:tcPr>
          <w:p w14:paraId="7DA6BA14">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SO</w:t>
            </w:r>
            <w:r>
              <w:rPr>
                <w:rFonts w:hint="default" w:ascii="Times New Roman" w:hAnsi="Times New Roman" w:cs="Times New Roman"/>
                <w:b w:val="0"/>
                <w:bCs w:val="0"/>
                <w:color w:val="auto"/>
                <w:sz w:val="21"/>
                <w:szCs w:val="21"/>
                <w:highlight w:val="none"/>
                <w:vertAlign w:val="subscript"/>
              </w:rPr>
              <w:t>2</w:t>
            </w:r>
          </w:p>
        </w:tc>
        <w:tc>
          <w:tcPr>
            <w:tcW w:w="1131" w:type="pct"/>
            <w:gridSpan w:val="2"/>
            <w:tcBorders>
              <w:tl2br w:val="nil"/>
              <w:tr2bl w:val="nil"/>
            </w:tcBorders>
            <w:shd w:val="clear" w:color="auto" w:fill="auto"/>
            <w:noWrap w:val="0"/>
            <w:vAlign w:val="center"/>
          </w:tcPr>
          <w:p w14:paraId="77D528F8">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NO</w:t>
            </w:r>
            <w:r>
              <w:rPr>
                <w:rFonts w:hint="default" w:ascii="Times New Roman" w:hAnsi="Times New Roman" w:cs="Times New Roman"/>
                <w:b w:val="0"/>
                <w:bCs w:val="0"/>
                <w:color w:val="auto"/>
                <w:sz w:val="21"/>
                <w:szCs w:val="21"/>
                <w:highlight w:val="none"/>
                <w:vertAlign w:val="subscript"/>
              </w:rPr>
              <w:t>X</w:t>
            </w:r>
          </w:p>
        </w:tc>
        <w:tc>
          <w:tcPr>
            <w:tcW w:w="1131" w:type="pct"/>
            <w:gridSpan w:val="2"/>
            <w:tcBorders>
              <w:tl2br w:val="nil"/>
              <w:tr2bl w:val="nil"/>
            </w:tcBorders>
            <w:shd w:val="clear" w:color="auto" w:fill="auto"/>
            <w:noWrap w:val="0"/>
            <w:vAlign w:val="center"/>
          </w:tcPr>
          <w:p w14:paraId="133EF6C8">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烟尘</w:t>
            </w:r>
          </w:p>
        </w:tc>
        <w:tc>
          <w:tcPr>
            <w:tcW w:w="1050" w:type="pct"/>
            <w:gridSpan w:val="2"/>
            <w:tcBorders>
              <w:tl2br w:val="nil"/>
              <w:tr2bl w:val="nil"/>
            </w:tcBorders>
            <w:shd w:val="clear" w:color="auto" w:fill="auto"/>
            <w:noWrap w:val="0"/>
            <w:vAlign w:val="center"/>
          </w:tcPr>
          <w:p w14:paraId="6230449F">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非甲烷总烃</w:t>
            </w:r>
          </w:p>
        </w:tc>
      </w:tr>
      <w:tr w14:paraId="790854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27" w:hRule="atLeast"/>
          <w:jc w:val="center"/>
        </w:trPr>
        <w:tc>
          <w:tcPr>
            <w:tcW w:w="565" w:type="pct"/>
            <w:vMerge w:val="continue"/>
            <w:tcBorders>
              <w:tl2br w:val="nil"/>
              <w:tr2bl w:val="nil"/>
            </w:tcBorders>
            <w:shd w:val="clear" w:color="auto" w:fill="auto"/>
            <w:noWrap w:val="0"/>
            <w:vAlign w:val="center"/>
          </w:tcPr>
          <w:p w14:paraId="00A30CE1">
            <w:pPr>
              <w:keepNext w:val="0"/>
              <w:keepLines w:val="0"/>
              <w:pageBreakBefore w:val="0"/>
              <w:kinsoku/>
              <w:wordWrap/>
              <w:overflowPunct/>
              <w:topLinePunct w:val="0"/>
              <w:bidi w:val="0"/>
              <w:ind w:left="-105" w:leftChars="-50" w:right="-105" w:rightChars="-50"/>
              <w:jc w:val="center"/>
              <w:rPr>
                <w:rFonts w:hint="default" w:ascii="Times New Roman" w:hAnsi="Times New Roman" w:cs="Times New Roman"/>
                <w:b w:val="0"/>
                <w:bCs w:val="0"/>
                <w:color w:val="auto"/>
                <w:sz w:val="21"/>
                <w:szCs w:val="21"/>
                <w:highlight w:val="none"/>
              </w:rPr>
            </w:pPr>
          </w:p>
        </w:tc>
        <w:tc>
          <w:tcPr>
            <w:tcW w:w="698" w:type="pct"/>
            <w:tcBorders>
              <w:tl2br w:val="nil"/>
              <w:tr2bl w:val="nil"/>
            </w:tcBorders>
            <w:shd w:val="clear" w:color="auto" w:fill="auto"/>
            <w:noWrap w:val="0"/>
            <w:vAlign w:val="center"/>
          </w:tcPr>
          <w:p w14:paraId="153E9071">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预测地面空气质量浓度（µg/m</w:t>
            </w:r>
            <w:r>
              <w:rPr>
                <w:rFonts w:hint="default" w:ascii="Times New Roman" w:hAnsi="Times New Roman" w:cs="Times New Roman"/>
                <w:b w:val="0"/>
                <w:bCs w:val="0"/>
                <w:color w:val="auto"/>
                <w:sz w:val="21"/>
                <w:szCs w:val="21"/>
                <w:highlight w:val="none"/>
                <w:vertAlign w:val="superscript"/>
              </w:rPr>
              <w:t>3</w:t>
            </w:r>
            <w:r>
              <w:rPr>
                <w:rFonts w:hint="default" w:ascii="Times New Roman" w:hAnsi="Times New Roman" w:cs="Times New Roman"/>
                <w:b w:val="0"/>
                <w:bCs w:val="0"/>
                <w:color w:val="auto"/>
                <w:sz w:val="21"/>
                <w:szCs w:val="21"/>
                <w:highlight w:val="none"/>
              </w:rPr>
              <w:t>）</w:t>
            </w:r>
          </w:p>
        </w:tc>
        <w:tc>
          <w:tcPr>
            <w:tcW w:w="423" w:type="pct"/>
            <w:tcBorders>
              <w:tl2br w:val="nil"/>
              <w:tr2bl w:val="nil"/>
            </w:tcBorders>
            <w:shd w:val="clear" w:color="auto" w:fill="auto"/>
            <w:noWrap w:val="0"/>
            <w:vAlign w:val="center"/>
          </w:tcPr>
          <w:p w14:paraId="5EFFBF65">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占标率（%）</w:t>
            </w:r>
          </w:p>
        </w:tc>
        <w:tc>
          <w:tcPr>
            <w:tcW w:w="708" w:type="pct"/>
            <w:tcBorders>
              <w:tl2br w:val="nil"/>
              <w:tr2bl w:val="nil"/>
            </w:tcBorders>
            <w:shd w:val="clear" w:color="auto" w:fill="auto"/>
            <w:noWrap w:val="0"/>
            <w:vAlign w:val="center"/>
          </w:tcPr>
          <w:p w14:paraId="10B30374">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预测地面空气质量浓度（µg/m</w:t>
            </w:r>
            <w:r>
              <w:rPr>
                <w:rFonts w:hint="default" w:ascii="Times New Roman" w:hAnsi="Times New Roman" w:cs="Times New Roman"/>
                <w:b w:val="0"/>
                <w:bCs w:val="0"/>
                <w:color w:val="auto"/>
                <w:sz w:val="21"/>
                <w:szCs w:val="21"/>
                <w:highlight w:val="none"/>
                <w:vertAlign w:val="superscript"/>
              </w:rPr>
              <w:t>3</w:t>
            </w:r>
            <w:r>
              <w:rPr>
                <w:rFonts w:hint="default" w:ascii="Times New Roman" w:hAnsi="Times New Roman" w:cs="Times New Roman"/>
                <w:b w:val="0"/>
                <w:bCs w:val="0"/>
                <w:color w:val="auto"/>
                <w:sz w:val="21"/>
                <w:szCs w:val="21"/>
                <w:highlight w:val="none"/>
              </w:rPr>
              <w:t>）</w:t>
            </w:r>
          </w:p>
        </w:tc>
        <w:tc>
          <w:tcPr>
            <w:tcW w:w="423" w:type="pct"/>
            <w:tcBorders>
              <w:tl2br w:val="nil"/>
              <w:tr2bl w:val="nil"/>
            </w:tcBorders>
            <w:shd w:val="clear" w:color="auto" w:fill="auto"/>
            <w:noWrap w:val="0"/>
            <w:vAlign w:val="center"/>
          </w:tcPr>
          <w:p w14:paraId="4771C604">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占标率（%）</w:t>
            </w:r>
          </w:p>
        </w:tc>
        <w:tc>
          <w:tcPr>
            <w:tcW w:w="708" w:type="pct"/>
            <w:tcBorders>
              <w:tl2br w:val="nil"/>
              <w:tr2bl w:val="nil"/>
            </w:tcBorders>
            <w:shd w:val="clear" w:color="auto" w:fill="auto"/>
            <w:noWrap w:val="0"/>
            <w:vAlign w:val="center"/>
          </w:tcPr>
          <w:p w14:paraId="5203966D">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rPr>
              <w:t>预测地面空气质量浓度（µg/m</w:t>
            </w:r>
            <w:r>
              <w:rPr>
                <w:rFonts w:hint="default" w:ascii="Times New Roman" w:hAnsi="Times New Roman" w:cs="Times New Roman"/>
                <w:b w:val="0"/>
                <w:bCs w:val="0"/>
                <w:color w:val="auto"/>
                <w:sz w:val="21"/>
                <w:szCs w:val="21"/>
                <w:highlight w:val="none"/>
                <w:vertAlign w:val="superscript"/>
              </w:rPr>
              <w:t>3</w:t>
            </w:r>
            <w:r>
              <w:rPr>
                <w:rFonts w:hint="default" w:ascii="Times New Roman" w:hAnsi="Times New Roman" w:cs="Times New Roman"/>
                <w:b w:val="0"/>
                <w:bCs w:val="0"/>
                <w:color w:val="auto"/>
                <w:sz w:val="21"/>
                <w:szCs w:val="21"/>
                <w:highlight w:val="none"/>
              </w:rPr>
              <w:t>）</w:t>
            </w:r>
          </w:p>
        </w:tc>
        <w:tc>
          <w:tcPr>
            <w:tcW w:w="423" w:type="pct"/>
            <w:tcBorders>
              <w:tl2br w:val="nil"/>
              <w:tr2bl w:val="nil"/>
            </w:tcBorders>
            <w:shd w:val="clear" w:color="auto" w:fill="auto"/>
            <w:noWrap w:val="0"/>
            <w:vAlign w:val="center"/>
          </w:tcPr>
          <w:p w14:paraId="462101DC">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rPr>
              <w:t>占标率（%）</w:t>
            </w:r>
          </w:p>
        </w:tc>
        <w:tc>
          <w:tcPr>
            <w:tcW w:w="708" w:type="pct"/>
            <w:tcBorders>
              <w:tl2br w:val="nil"/>
              <w:tr2bl w:val="nil"/>
            </w:tcBorders>
            <w:shd w:val="clear" w:color="auto" w:fill="auto"/>
            <w:noWrap w:val="0"/>
            <w:vAlign w:val="center"/>
          </w:tcPr>
          <w:p w14:paraId="26B4A1EC">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预测地面空气质量浓度（µg/m</w:t>
            </w:r>
            <w:r>
              <w:rPr>
                <w:rFonts w:hint="default" w:ascii="Times New Roman" w:hAnsi="Times New Roman" w:cs="Times New Roman"/>
                <w:b w:val="0"/>
                <w:bCs w:val="0"/>
                <w:color w:val="auto"/>
                <w:sz w:val="21"/>
                <w:szCs w:val="21"/>
                <w:highlight w:val="none"/>
                <w:vertAlign w:val="superscript"/>
              </w:rPr>
              <w:t>3</w:t>
            </w:r>
            <w:r>
              <w:rPr>
                <w:rFonts w:hint="default" w:ascii="Times New Roman" w:hAnsi="Times New Roman" w:cs="Times New Roman"/>
                <w:b w:val="0"/>
                <w:bCs w:val="0"/>
                <w:color w:val="auto"/>
                <w:sz w:val="21"/>
                <w:szCs w:val="21"/>
                <w:highlight w:val="none"/>
              </w:rPr>
              <w:t>）</w:t>
            </w:r>
          </w:p>
        </w:tc>
        <w:tc>
          <w:tcPr>
            <w:tcW w:w="342" w:type="pct"/>
            <w:tcBorders>
              <w:tl2br w:val="nil"/>
              <w:tr2bl w:val="nil"/>
            </w:tcBorders>
            <w:shd w:val="clear" w:color="auto" w:fill="auto"/>
            <w:noWrap w:val="0"/>
            <w:vAlign w:val="center"/>
          </w:tcPr>
          <w:p w14:paraId="0890A03A">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占标率（%）</w:t>
            </w:r>
          </w:p>
        </w:tc>
      </w:tr>
      <w:tr w14:paraId="0DC13F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27" w:hRule="atLeast"/>
          <w:jc w:val="center"/>
        </w:trPr>
        <w:tc>
          <w:tcPr>
            <w:tcW w:w="565" w:type="pct"/>
            <w:tcBorders>
              <w:tl2br w:val="nil"/>
              <w:tr2bl w:val="nil"/>
            </w:tcBorders>
            <w:shd w:val="clear" w:color="auto" w:fill="auto"/>
            <w:noWrap w:val="0"/>
            <w:vAlign w:val="center"/>
          </w:tcPr>
          <w:p w14:paraId="5B22F570">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w:t>
            </w:r>
          </w:p>
        </w:tc>
        <w:tc>
          <w:tcPr>
            <w:tcW w:w="698" w:type="pct"/>
            <w:tcBorders>
              <w:tl2br w:val="nil"/>
              <w:tr2bl w:val="nil"/>
            </w:tcBorders>
            <w:shd w:val="clear" w:color="auto" w:fill="auto"/>
            <w:noWrap w:val="0"/>
            <w:vAlign w:val="center"/>
          </w:tcPr>
          <w:p w14:paraId="6DA853FC">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2.271795</w:t>
            </w:r>
          </w:p>
        </w:tc>
        <w:tc>
          <w:tcPr>
            <w:tcW w:w="423" w:type="pct"/>
            <w:tcBorders>
              <w:tl2br w:val="nil"/>
              <w:tr2bl w:val="nil"/>
            </w:tcBorders>
            <w:shd w:val="clear" w:color="auto" w:fill="auto"/>
            <w:noWrap w:val="0"/>
            <w:vAlign w:val="center"/>
          </w:tcPr>
          <w:p w14:paraId="5722DF91">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0.45</w:t>
            </w:r>
          </w:p>
        </w:tc>
        <w:tc>
          <w:tcPr>
            <w:tcW w:w="708" w:type="pct"/>
            <w:tcBorders>
              <w:tl2br w:val="nil"/>
              <w:tr2bl w:val="nil"/>
            </w:tcBorders>
            <w:shd w:val="clear" w:color="auto" w:fill="auto"/>
            <w:noWrap w:val="0"/>
            <w:vAlign w:val="center"/>
          </w:tcPr>
          <w:p w14:paraId="0F6E03D9">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9.032638</w:t>
            </w:r>
          </w:p>
        </w:tc>
        <w:tc>
          <w:tcPr>
            <w:tcW w:w="423" w:type="pct"/>
            <w:tcBorders>
              <w:tl2br w:val="nil"/>
              <w:tr2bl w:val="nil"/>
            </w:tcBorders>
            <w:shd w:val="clear" w:color="auto" w:fill="auto"/>
            <w:noWrap w:val="0"/>
            <w:vAlign w:val="center"/>
          </w:tcPr>
          <w:p w14:paraId="4992FF1B">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4.52</w:t>
            </w:r>
          </w:p>
        </w:tc>
        <w:tc>
          <w:tcPr>
            <w:tcW w:w="708" w:type="pct"/>
            <w:tcBorders>
              <w:tl2br w:val="nil"/>
              <w:tr2bl w:val="nil"/>
            </w:tcBorders>
            <w:shd w:val="clear" w:color="auto" w:fill="auto"/>
            <w:noWrap w:val="0"/>
            <w:vAlign w:val="center"/>
          </w:tcPr>
          <w:p w14:paraId="1FEFC52B">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1.222951</w:t>
            </w:r>
          </w:p>
        </w:tc>
        <w:tc>
          <w:tcPr>
            <w:tcW w:w="423" w:type="pct"/>
            <w:tcBorders>
              <w:tl2br w:val="nil"/>
              <w:tr2bl w:val="nil"/>
            </w:tcBorders>
            <w:shd w:val="clear" w:color="auto" w:fill="auto"/>
            <w:noWrap w:val="0"/>
            <w:vAlign w:val="center"/>
          </w:tcPr>
          <w:p w14:paraId="6251E028">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0.27</w:t>
            </w:r>
          </w:p>
        </w:tc>
        <w:tc>
          <w:tcPr>
            <w:tcW w:w="708" w:type="pct"/>
            <w:tcBorders>
              <w:tl2br w:val="nil"/>
              <w:tr2bl w:val="nil"/>
            </w:tcBorders>
            <w:shd w:val="clear" w:color="auto" w:fill="auto"/>
            <w:noWrap w:val="0"/>
            <w:vAlign w:val="center"/>
          </w:tcPr>
          <w:p w14:paraId="3516C5CE">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0.89781</w:t>
            </w:r>
          </w:p>
        </w:tc>
        <w:tc>
          <w:tcPr>
            <w:tcW w:w="342" w:type="pct"/>
            <w:tcBorders>
              <w:tl2br w:val="nil"/>
              <w:tr2bl w:val="nil"/>
            </w:tcBorders>
            <w:shd w:val="clear" w:color="auto" w:fill="auto"/>
            <w:noWrap w:val="0"/>
            <w:vAlign w:val="center"/>
          </w:tcPr>
          <w:p w14:paraId="63793219">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0.04</w:t>
            </w:r>
          </w:p>
        </w:tc>
      </w:tr>
      <w:tr w14:paraId="24A7A9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27" w:hRule="atLeast"/>
          <w:jc w:val="center"/>
        </w:trPr>
        <w:tc>
          <w:tcPr>
            <w:tcW w:w="565" w:type="pct"/>
            <w:tcBorders>
              <w:tl2br w:val="nil"/>
              <w:tr2bl w:val="nil"/>
            </w:tcBorders>
            <w:shd w:val="clear" w:color="auto" w:fill="auto"/>
            <w:noWrap w:val="0"/>
            <w:vAlign w:val="center"/>
          </w:tcPr>
          <w:p w14:paraId="09B9959B">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50</w:t>
            </w:r>
          </w:p>
        </w:tc>
        <w:tc>
          <w:tcPr>
            <w:tcW w:w="698" w:type="pct"/>
            <w:tcBorders>
              <w:tl2br w:val="nil"/>
              <w:tr2bl w:val="nil"/>
            </w:tcBorders>
            <w:shd w:val="clear" w:color="auto" w:fill="auto"/>
            <w:noWrap w:val="0"/>
            <w:vAlign w:val="center"/>
          </w:tcPr>
          <w:p w14:paraId="0A1B0772">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2.024526</w:t>
            </w:r>
          </w:p>
        </w:tc>
        <w:tc>
          <w:tcPr>
            <w:tcW w:w="423" w:type="pct"/>
            <w:tcBorders>
              <w:tl2br w:val="nil"/>
              <w:tr2bl w:val="nil"/>
            </w:tcBorders>
            <w:shd w:val="clear" w:color="auto" w:fill="auto"/>
            <w:noWrap w:val="0"/>
            <w:vAlign w:val="center"/>
          </w:tcPr>
          <w:p w14:paraId="4F79F308">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w:t>
            </w:r>
          </w:p>
        </w:tc>
        <w:tc>
          <w:tcPr>
            <w:tcW w:w="708" w:type="pct"/>
            <w:tcBorders>
              <w:tl2br w:val="nil"/>
              <w:tr2bl w:val="nil"/>
            </w:tcBorders>
            <w:shd w:val="clear" w:color="auto" w:fill="auto"/>
            <w:noWrap w:val="0"/>
            <w:vAlign w:val="center"/>
          </w:tcPr>
          <w:p w14:paraId="5FC50B85">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8.049502</w:t>
            </w:r>
          </w:p>
        </w:tc>
        <w:tc>
          <w:tcPr>
            <w:tcW w:w="423" w:type="pct"/>
            <w:tcBorders>
              <w:tl2br w:val="nil"/>
              <w:tr2bl w:val="nil"/>
            </w:tcBorders>
            <w:shd w:val="clear" w:color="auto" w:fill="auto"/>
            <w:noWrap w:val="0"/>
            <w:vAlign w:val="center"/>
          </w:tcPr>
          <w:p w14:paraId="54A59967">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4.02</w:t>
            </w:r>
          </w:p>
        </w:tc>
        <w:tc>
          <w:tcPr>
            <w:tcW w:w="708" w:type="pct"/>
            <w:tcBorders>
              <w:tl2br w:val="nil"/>
              <w:tr2bl w:val="nil"/>
            </w:tcBorders>
            <w:shd w:val="clear" w:color="auto" w:fill="auto"/>
            <w:noWrap w:val="0"/>
            <w:vAlign w:val="center"/>
          </w:tcPr>
          <w:p w14:paraId="6ABA72DB">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1.089842</w:t>
            </w:r>
          </w:p>
        </w:tc>
        <w:tc>
          <w:tcPr>
            <w:tcW w:w="423" w:type="pct"/>
            <w:tcBorders>
              <w:tl2br w:val="nil"/>
              <w:tr2bl w:val="nil"/>
            </w:tcBorders>
            <w:shd w:val="clear" w:color="auto" w:fill="auto"/>
            <w:noWrap w:val="0"/>
            <w:vAlign w:val="center"/>
          </w:tcPr>
          <w:p w14:paraId="76701D93">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0.24</w:t>
            </w:r>
          </w:p>
        </w:tc>
        <w:tc>
          <w:tcPr>
            <w:tcW w:w="708" w:type="pct"/>
            <w:tcBorders>
              <w:tl2br w:val="nil"/>
              <w:tr2bl w:val="nil"/>
            </w:tcBorders>
            <w:shd w:val="clear" w:color="auto" w:fill="auto"/>
            <w:noWrap w:val="0"/>
            <w:vAlign w:val="center"/>
          </w:tcPr>
          <w:p w14:paraId="265CECBC">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0.80009</w:t>
            </w:r>
          </w:p>
        </w:tc>
        <w:tc>
          <w:tcPr>
            <w:tcW w:w="342" w:type="pct"/>
            <w:tcBorders>
              <w:tl2br w:val="nil"/>
              <w:tr2bl w:val="nil"/>
            </w:tcBorders>
            <w:shd w:val="clear" w:color="auto" w:fill="auto"/>
            <w:noWrap w:val="0"/>
            <w:vAlign w:val="center"/>
          </w:tcPr>
          <w:p w14:paraId="04514662">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0.04</w:t>
            </w:r>
          </w:p>
        </w:tc>
      </w:tr>
      <w:tr w14:paraId="4DF8EF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27" w:hRule="atLeast"/>
          <w:jc w:val="center"/>
        </w:trPr>
        <w:tc>
          <w:tcPr>
            <w:tcW w:w="565" w:type="pct"/>
            <w:tcBorders>
              <w:tl2br w:val="nil"/>
              <w:tr2bl w:val="nil"/>
            </w:tcBorders>
            <w:shd w:val="clear" w:color="auto" w:fill="auto"/>
            <w:noWrap w:val="0"/>
            <w:vAlign w:val="center"/>
          </w:tcPr>
          <w:p w14:paraId="3A12BD09">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94</w:t>
            </w:r>
          </w:p>
        </w:tc>
        <w:tc>
          <w:tcPr>
            <w:tcW w:w="698" w:type="pct"/>
            <w:tcBorders>
              <w:tl2br w:val="nil"/>
              <w:tr2bl w:val="nil"/>
            </w:tcBorders>
            <w:shd w:val="clear" w:color="auto" w:fill="auto"/>
            <w:noWrap w:val="0"/>
            <w:vAlign w:val="center"/>
          </w:tcPr>
          <w:p w14:paraId="10523E4C">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2.5014</w:t>
            </w:r>
          </w:p>
        </w:tc>
        <w:tc>
          <w:tcPr>
            <w:tcW w:w="423" w:type="pct"/>
            <w:tcBorders>
              <w:tl2br w:val="nil"/>
              <w:tr2bl w:val="nil"/>
            </w:tcBorders>
            <w:shd w:val="clear" w:color="auto" w:fill="auto"/>
            <w:noWrap w:val="0"/>
            <w:vAlign w:val="center"/>
          </w:tcPr>
          <w:p w14:paraId="26626252">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0.5</w:t>
            </w:r>
          </w:p>
        </w:tc>
        <w:tc>
          <w:tcPr>
            <w:tcW w:w="708" w:type="pct"/>
            <w:tcBorders>
              <w:tl2br w:val="nil"/>
              <w:tr2bl w:val="nil"/>
            </w:tcBorders>
            <w:shd w:val="clear" w:color="auto" w:fill="auto"/>
            <w:noWrap w:val="0"/>
            <w:vAlign w:val="center"/>
          </w:tcPr>
          <w:p w14:paraId="03E819E1">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9.94555</w:t>
            </w:r>
          </w:p>
        </w:tc>
        <w:tc>
          <w:tcPr>
            <w:tcW w:w="423" w:type="pct"/>
            <w:tcBorders>
              <w:tl2br w:val="nil"/>
              <w:tr2bl w:val="nil"/>
            </w:tcBorders>
            <w:shd w:val="clear" w:color="auto" w:fill="auto"/>
            <w:noWrap w:val="0"/>
            <w:vAlign w:val="center"/>
          </w:tcPr>
          <w:p w14:paraId="5B2C8D2C">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4.97</w:t>
            </w:r>
          </w:p>
        </w:tc>
        <w:tc>
          <w:tcPr>
            <w:tcW w:w="708" w:type="pct"/>
            <w:tcBorders>
              <w:tl2br w:val="nil"/>
              <w:tr2bl w:val="nil"/>
            </w:tcBorders>
            <w:shd w:val="clear" w:color="auto" w:fill="auto"/>
            <w:noWrap w:val="0"/>
            <w:vAlign w:val="center"/>
          </w:tcPr>
          <w:p w14:paraId="2CFB1EAF">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1.346552</w:t>
            </w:r>
          </w:p>
        </w:tc>
        <w:tc>
          <w:tcPr>
            <w:tcW w:w="423" w:type="pct"/>
            <w:tcBorders>
              <w:tl2br w:val="nil"/>
              <w:tr2bl w:val="nil"/>
            </w:tcBorders>
            <w:shd w:val="clear" w:color="auto" w:fill="auto"/>
            <w:noWrap w:val="0"/>
            <w:vAlign w:val="center"/>
          </w:tcPr>
          <w:p w14:paraId="5058F013">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0.3</w:t>
            </w:r>
          </w:p>
        </w:tc>
        <w:tc>
          <w:tcPr>
            <w:tcW w:w="708" w:type="pct"/>
            <w:tcBorders>
              <w:tl2br w:val="nil"/>
              <w:tr2bl w:val="nil"/>
            </w:tcBorders>
            <w:shd w:val="clear" w:color="auto" w:fill="auto"/>
            <w:noWrap w:val="0"/>
            <w:vAlign w:val="center"/>
          </w:tcPr>
          <w:p w14:paraId="513E3B7A">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0.98855</w:t>
            </w:r>
          </w:p>
        </w:tc>
        <w:tc>
          <w:tcPr>
            <w:tcW w:w="342" w:type="pct"/>
            <w:tcBorders>
              <w:tl2br w:val="nil"/>
              <w:tr2bl w:val="nil"/>
            </w:tcBorders>
            <w:shd w:val="clear" w:color="auto" w:fill="auto"/>
            <w:noWrap w:val="0"/>
            <w:vAlign w:val="center"/>
          </w:tcPr>
          <w:p w14:paraId="364B7C91">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0.05</w:t>
            </w:r>
          </w:p>
        </w:tc>
      </w:tr>
      <w:tr w14:paraId="32DC3B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27" w:hRule="atLeast"/>
          <w:jc w:val="center"/>
        </w:trPr>
        <w:tc>
          <w:tcPr>
            <w:tcW w:w="565" w:type="pct"/>
            <w:tcBorders>
              <w:tl2br w:val="nil"/>
              <w:tr2bl w:val="nil"/>
            </w:tcBorders>
            <w:shd w:val="clear" w:color="auto" w:fill="auto"/>
            <w:noWrap w:val="0"/>
            <w:vAlign w:val="center"/>
          </w:tcPr>
          <w:p w14:paraId="2D57544E">
            <w:pPr>
              <w:pStyle w:val="176"/>
              <w:keepNext w:val="0"/>
              <w:keepLines w:val="0"/>
              <w:pageBreakBefore w:val="0"/>
              <w:kinsoku/>
              <w:wordWrap/>
              <w:overflowPunct/>
              <w:topLinePunct w:val="0"/>
              <w:bidi w:val="0"/>
              <w:ind w:left="-105" w:leftChars="-50" w:right="-105" w:rightChars="-5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100</w:t>
            </w:r>
          </w:p>
        </w:tc>
        <w:tc>
          <w:tcPr>
            <w:tcW w:w="698" w:type="pct"/>
            <w:tcBorders>
              <w:tl2br w:val="nil"/>
              <w:tr2bl w:val="nil"/>
            </w:tcBorders>
            <w:shd w:val="clear" w:color="auto" w:fill="auto"/>
            <w:noWrap w:val="0"/>
            <w:vAlign w:val="center"/>
          </w:tcPr>
          <w:p w14:paraId="04DFE5D5">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2.491279</w:t>
            </w:r>
          </w:p>
        </w:tc>
        <w:tc>
          <w:tcPr>
            <w:tcW w:w="423" w:type="pct"/>
            <w:tcBorders>
              <w:tl2br w:val="nil"/>
              <w:tr2bl w:val="nil"/>
            </w:tcBorders>
            <w:shd w:val="clear" w:color="auto" w:fill="auto"/>
            <w:noWrap w:val="0"/>
            <w:vAlign w:val="center"/>
          </w:tcPr>
          <w:p w14:paraId="621E6333">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0.5</w:t>
            </w:r>
          </w:p>
        </w:tc>
        <w:tc>
          <w:tcPr>
            <w:tcW w:w="708" w:type="pct"/>
            <w:tcBorders>
              <w:tl2br w:val="nil"/>
              <w:tr2bl w:val="nil"/>
            </w:tcBorders>
            <w:shd w:val="clear" w:color="auto" w:fill="auto"/>
            <w:noWrap w:val="0"/>
            <w:vAlign w:val="center"/>
          </w:tcPr>
          <w:p w14:paraId="16AA807E">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9.905308</w:t>
            </w:r>
          </w:p>
        </w:tc>
        <w:tc>
          <w:tcPr>
            <w:tcW w:w="423" w:type="pct"/>
            <w:tcBorders>
              <w:tl2br w:val="nil"/>
              <w:tr2bl w:val="nil"/>
            </w:tcBorders>
            <w:shd w:val="clear" w:color="auto" w:fill="auto"/>
            <w:noWrap w:val="0"/>
            <w:vAlign w:val="center"/>
          </w:tcPr>
          <w:p w14:paraId="3C54AAAE">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4.95</w:t>
            </w:r>
          </w:p>
        </w:tc>
        <w:tc>
          <w:tcPr>
            <w:tcW w:w="708" w:type="pct"/>
            <w:tcBorders>
              <w:tl2br w:val="nil"/>
              <w:tr2bl w:val="nil"/>
            </w:tcBorders>
            <w:shd w:val="clear" w:color="auto" w:fill="auto"/>
            <w:noWrap w:val="0"/>
            <w:vAlign w:val="center"/>
          </w:tcPr>
          <w:p w14:paraId="47969B23">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1.341104</w:t>
            </w:r>
          </w:p>
        </w:tc>
        <w:tc>
          <w:tcPr>
            <w:tcW w:w="423" w:type="pct"/>
            <w:tcBorders>
              <w:tl2br w:val="nil"/>
              <w:tr2bl w:val="nil"/>
            </w:tcBorders>
            <w:shd w:val="clear" w:color="auto" w:fill="auto"/>
            <w:noWrap w:val="0"/>
            <w:vAlign w:val="center"/>
          </w:tcPr>
          <w:p w14:paraId="4844E93A">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0.3</w:t>
            </w:r>
          </w:p>
        </w:tc>
        <w:tc>
          <w:tcPr>
            <w:tcW w:w="708" w:type="pct"/>
            <w:tcBorders>
              <w:tl2br w:val="nil"/>
              <w:tr2bl w:val="nil"/>
            </w:tcBorders>
            <w:shd w:val="clear" w:color="auto" w:fill="auto"/>
            <w:noWrap w:val="0"/>
            <w:vAlign w:val="center"/>
          </w:tcPr>
          <w:p w14:paraId="75E82B5C">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0.98455</w:t>
            </w:r>
          </w:p>
        </w:tc>
        <w:tc>
          <w:tcPr>
            <w:tcW w:w="342" w:type="pct"/>
            <w:tcBorders>
              <w:tl2br w:val="nil"/>
              <w:tr2bl w:val="nil"/>
            </w:tcBorders>
            <w:shd w:val="clear" w:color="auto" w:fill="auto"/>
            <w:noWrap w:val="0"/>
            <w:vAlign w:val="center"/>
          </w:tcPr>
          <w:p w14:paraId="5FCFFABA">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0.05</w:t>
            </w:r>
          </w:p>
        </w:tc>
      </w:tr>
      <w:tr w14:paraId="4529F2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27" w:hRule="atLeast"/>
          <w:jc w:val="center"/>
        </w:trPr>
        <w:tc>
          <w:tcPr>
            <w:tcW w:w="565" w:type="pct"/>
            <w:tcBorders>
              <w:tl2br w:val="nil"/>
              <w:tr2bl w:val="nil"/>
            </w:tcBorders>
            <w:shd w:val="clear" w:color="auto" w:fill="auto"/>
            <w:noWrap w:val="0"/>
            <w:vAlign w:val="center"/>
          </w:tcPr>
          <w:p w14:paraId="49A2A27B">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200</w:t>
            </w:r>
          </w:p>
        </w:tc>
        <w:tc>
          <w:tcPr>
            <w:tcW w:w="698" w:type="pct"/>
            <w:tcBorders>
              <w:tl2br w:val="nil"/>
              <w:tr2bl w:val="nil"/>
            </w:tcBorders>
            <w:shd w:val="clear" w:color="auto" w:fill="auto"/>
            <w:noWrap w:val="0"/>
            <w:vAlign w:val="center"/>
          </w:tcPr>
          <w:p w14:paraId="55C88244">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1.694743</w:t>
            </w:r>
          </w:p>
        </w:tc>
        <w:tc>
          <w:tcPr>
            <w:tcW w:w="423" w:type="pct"/>
            <w:tcBorders>
              <w:tl2br w:val="nil"/>
              <w:tr2bl w:val="nil"/>
            </w:tcBorders>
            <w:shd w:val="clear" w:color="auto" w:fill="auto"/>
            <w:noWrap w:val="0"/>
            <w:vAlign w:val="center"/>
          </w:tcPr>
          <w:p w14:paraId="62DB9167">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0.34</w:t>
            </w:r>
          </w:p>
        </w:tc>
        <w:tc>
          <w:tcPr>
            <w:tcW w:w="708" w:type="pct"/>
            <w:tcBorders>
              <w:tl2br w:val="nil"/>
              <w:tr2bl w:val="nil"/>
            </w:tcBorders>
            <w:shd w:val="clear" w:color="auto" w:fill="auto"/>
            <w:noWrap w:val="0"/>
            <w:vAlign w:val="center"/>
          </w:tcPr>
          <w:p w14:paraId="798A4F5B">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6.738286</w:t>
            </w:r>
          </w:p>
        </w:tc>
        <w:tc>
          <w:tcPr>
            <w:tcW w:w="423" w:type="pct"/>
            <w:tcBorders>
              <w:tl2br w:val="nil"/>
              <w:tr2bl w:val="nil"/>
            </w:tcBorders>
            <w:shd w:val="clear" w:color="auto" w:fill="auto"/>
            <w:noWrap w:val="0"/>
            <w:vAlign w:val="center"/>
          </w:tcPr>
          <w:p w14:paraId="38E3A4DD">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3.37</w:t>
            </w:r>
          </w:p>
        </w:tc>
        <w:tc>
          <w:tcPr>
            <w:tcW w:w="708" w:type="pct"/>
            <w:tcBorders>
              <w:tl2br w:val="nil"/>
              <w:tr2bl w:val="nil"/>
            </w:tcBorders>
            <w:shd w:val="clear" w:color="auto" w:fill="auto"/>
            <w:noWrap w:val="0"/>
            <w:vAlign w:val="center"/>
          </w:tcPr>
          <w:p w14:paraId="7635DA64">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0.912313</w:t>
            </w:r>
          </w:p>
        </w:tc>
        <w:tc>
          <w:tcPr>
            <w:tcW w:w="423" w:type="pct"/>
            <w:tcBorders>
              <w:tl2br w:val="nil"/>
              <w:tr2bl w:val="nil"/>
            </w:tcBorders>
            <w:shd w:val="clear" w:color="auto" w:fill="auto"/>
            <w:noWrap w:val="0"/>
            <w:vAlign w:val="center"/>
          </w:tcPr>
          <w:p w14:paraId="4B895D9E">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0.2</w:t>
            </w:r>
          </w:p>
        </w:tc>
        <w:tc>
          <w:tcPr>
            <w:tcW w:w="708" w:type="pct"/>
            <w:tcBorders>
              <w:tl2br w:val="nil"/>
              <w:tr2bl w:val="nil"/>
            </w:tcBorders>
            <w:shd w:val="clear" w:color="auto" w:fill="auto"/>
            <w:noWrap w:val="0"/>
            <w:vAlign w:val="center"/>
          </w:tcPr>
          <w:p w14:paraId="2AD85472">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0.66976</w:t>
            </w:r>
          </w:p>
        </w:tc>
        <w:tc>
          <w:tcPr>
            <w:tcW w:w="342" w:type="pct"/>
            <w:tcBorders>
              <w:tl2br w:val="nil"/>
              <w:tr2bl w:val="nil"/>
            </w:tcBorders>
            <w:shd w:val="clear" w:color="auto" w:fill="auto"/>
            <w:noWrap w:val="0"/>
            <w:vAlign w:val="center"/>
          </w:tcPr>
          <w:p w14:paraId="74E0AE13">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0.03</w:t>
            </w:r>
          </w:p>
        </w:tc>
      </w:tr>
      <w:tr w14:paraId="0525FA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27" w:hRule="atLeast"/>
          <w:jc w:val="center"/>
        </w:trPr>
        <w:tc>
          <w:tcPr>
            <w:tcW w:w="565" w:type="pct"/>
            <w:tcBorders>
              <w:tl2br w:val="nil"/>
              <w:tr2bl w:val="nil"/>
            </w:tcBorders>
            <w:shd w:val="clear" w:color="auto" w:fill="auto"/>
            <w:noWrap w:val="0"/>
            <w:vAlign w:val="center"/>
          </w:tcPr>
          <w:p w14:paraId="1E1BD578">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500</w:t>
            </w:r>
          </w:p>
        </w:tc>
        <w:tc>
          <w:tcPr>
            <w:tcW w:w="698" w:type="pct"/>
            <w:tcBorders>
              <w:tl2br w:val="nil"/>
              <w:tr2bl w:val="nil"/>
            </w:tcBorders>
            <w:shd w:val="clear" w:color="auto" w:fill="auto"/>
            <w:noWrap w:val="0"/>
            <w:vAlign w:val="center"/>
          </w:tcPr>
          <w:p w14:paraId="652E59C3">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0.946613</w:t>
            </w:r>
          </w:p>
        </w:tc>
        <w:tc>
          <w:tcPr>
            <w:tcW w:w="423" w:type="pct"/>
            <w:tcBorders>
              <w:tl2br w:val="nil"/>
              <w:tr2bl w:val="nil"/>
            </w:tcBorders>
            <w:shd w:val="clear" w:color="auto" w:fill="auto"/>
            <w:noWrap w:val="0"/>
            <w:vAlign w:val="center"/>
          </w:tcPr>
          <w:p w14:paraId="3B24D14D">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0.19</w:t>
            </w:r>
          </w:p>
        </w:tc>
        <w:tc>
          <w:tcPr>
            <w:tcW w:w="708" w:type="pct"/>
            <w:tcBorders>
              <w:tl2br w:val="nil"/>
              <w:tr2bl w:val="nil"/>
            </w:tcBorders>
            <w:shd w:val="clear" w:color="auto" w:fill="auto"/>
            <w:noWrap w:val="0"/>
            <w:vAlign w:val="center"/>
          </w:tcPr>
          <w:p w14:paraId="6F8F48DD">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3.763725</w:t>
            </w:r>
          </w:p>
        </w:tc>
        <w:tc>
          <w:tcPr>
            <w:tcW w:w="423" w:type="pct"/>
            <w:tcBorders>
              <w:tl2br w:val="nil"/>
              <w:tr2bl w:val="nil"/>
            </w:tcBorders>
            <w:shd w:val="clear" w:color="auto" w:fill="auto"/>
            <w:noWrap w:val="0"/>
            <w:vAlign w:val="center"/>
          </w:tcPr>
          <w:p w14:paraId="321A6260">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1.88</w:t>
            </w:r>
          </w:p>
        </w:tc>
        <w:tc>
          <w:tcPr>
            <w:tcW w:w="708" w:type="pct"/>
            <w:tcBorders>
              <w:tl2br w:val="nil"/>
              <w:tr2bl w:val="nil"/>
            </w:tcBorders>
            <w:shd w:val="clear" w:color="auto" w:fill="auto"/>
            <w:noWrap w:val="0"/>
            <w:vAlign w:val="center"/>
          </w:tcPr>
          <w:p w14:paraId="4FE6DBCE">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0.50958</w:t>
            </w:r>
          </w:p>
        </w:tc>
        <w:tc>
          <w:tcPr>
            <w:tcW w:w="423" w:type="pct"/>
            <w:tcBorders>
              <w:tl2br w:val="nil"/>
              <w:tr2bl w:val="nil"/>
            </w:tcBorders>
            <w:shd w:val="clear" w:color="auto" w:fill="auto"/>
            <w:noWrap w:val="0"/>
            <w:vAlign w:val="center"/>
          </w:tcPr>
          <w:p w14:paraId="043B9CFC">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0.11</w:t>
            </w:r>
          </w:p>
        </w:tc>
        <w:tc>
          <w:tcPr>
            <w:tcW w:w="708" w:type="pct"/>
            <w:tcBorders>
              <w:tl2br w:val="nil"/>
              <w:tr2bl w:val="nil"/>
            </w:tcBorders>
            <w:shd w:val="clear" w:color="auto" w:fill="auto"/>
            <w:noWrap w:val="0"/>
            <w:vAlign w:val="center"/>
          </w:tcPr>
          <w:p w14:paraId="4831D770">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0.3741</w:t>
            </w:r>
          </w:p>
        </w:tc>
        <w:tc>
          <w:tcPr>
            <w:tcW w:w="342" w:type="pct"/>
            <w:tcBorders>
              <w:tl2br w:val="nil"/>
              <w:tr2bl w:val="nil"/>
            </w:tcBorders>
            <w:shd w:val="clear" w:color="auto" w:fill="auto"/>
            <w:noWrap w:val="0"/>
            <w:vAlign w:val="center"/>
          </w:tcPr>
          <w:p w14:paraId="12D8F5A0">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0.02</w:t>
            </w:r>
          </w:p>
        </w:tc>
      </w:tr>
      <w:tr w14:paraId="68A520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27" w:hRule="atLeast"/>
          <w:jc w:val="center"/>
        </w:trPr>
        <w:tc>
          <w:tcPr>
            <w:tcW w:w="565" w:type="pct"/>
            <w:tcBorders>
              <w:tl2br w:val="nil"/>
              <w:tr2bl w:val="nil"/>
            </w:tcBorders>
            <w:shd w:val="clear" w:color="auto" w:fill="auto"/>
            <w:noWrap w:val="0"/>
            <w:vAlign w:val="center"/>
          </w:tcPr>
          <w:p w14:paraId="28324403">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1000</w:t>
            </w:r>
          </w:p>
        </w:tc>
        <w:tc>
          <w:tcPr>
            <w:tcW w:w="698" w:type="pct"/>
            <w:tcBorders>
              <w:tl2br w:val="nil"/>
              <w:tr2bl w:val="nil"/>
            </w:tcBorders>
            <w:shd w:val="clear" w:color="auto" w:fill="auto"/>
            <w:noWrap w:val="0"/>
            <w:vAlign w:val="center"/>
          </w:tcPr>
          <w:p w14:paraId="509A84B2">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0.624268</w:t>
            </w:r>
          </w:p>
        </w:tc>
        <w:tc>
          <w:tcPr>
            <w:tcW w:w="423" w:type="pct"/>
            <w:tcBorders>
              <w:tl2br w:val="nil"/>
              <w:tr2bl w:val="nil"/>
            </w:tcBorders>
            <w:shd w:val="clear" w:color="auto" w:fill="auto"/>
            <w:noWrap w:val="0"/>
            <w:vAlign w:val="center"/>
          </w:tcPr>
          <w:p w14:paraId="0A8E3A5A">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0.12</w:t>
            </w:r>
          </w:p>
        </w:tc>
        <w:tc>
          <w:tcPr>
            <w:tcW w:w="708" w:type="pct"/>
            <w:tcBorders>
              <w:tl2br w:val="nil"/>
              <w:tr2bl w:val="nil"/>
            </w:tcBorders>
            <w:shd w:val="clear" w:color="auto" w:fill="auto"/>
            <w:noWrap w:val="0"/>
            <w:vAlign w:val="center"/>
          </w:tcPr>
          <w:p w14:paraId="3325C1C8">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2.482086</w:t>
            </w:r>
          </w:p>
        </w:tc>
        <w:tc>
          <w:tcPr>
            <w:tcW w:w="423" w:type="pct"/>
            <w:tcBorders>
              <w:tl2br w:val="nil"/>
              <w:tr2bl w:val="nil"/>
            </w:tcBorders>
            <w:shd w:val="clear" w:color="auto" w:fill="auto"/>
            <w:noWrap w:val="0"/>
            <w:vAlign w:val="center"/>
          </w:tcPr>
          <w:p w14:paraId="2A824948">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1.24</w:t>
            </w:r>
          </w:p>
        </w:tc>
        <w:tc>
          <w:tcPr>
            <w:tcW w:w="708" w:type="pct"/>
            <w:tcBorders>
              <w:tl2br w:val="nil"/>
              <w:tr2bl w:val="nil"/>
            </w:tcBorders>
            <w:shd w:val="clear" w:color="auto" w:fill="auto"/>
            <w:noWrap w:val="0"/>
            <w:vAlign w:val="center"/>
          </w:tcPr>
          <w:p w14:paraId="29DD2E3E">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0.336056</w:t>
            </w:r>
          </w:p>
        </w:tc>
        <w:tc>
          <w:tcPr>
            <w:tcW w:w="423" w:type="pct"/>
            <w:tcBorders>
              <w:tl2br w:val="nil"/>
              <w:tr2bl w:val="nil"/>
            </w:tcBorders>
            <w:shd w:val="clear" w:color="auto" w:fill="auto"/>
            <w:noWrap w:val="0"/>
            <w:vAlign w:val="center"/>
          </w:tcPr>
          <w:p w14:paraId="38F11D5B">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0.07</w:t>
            </w:r>
          </w:p>
        </w:tc>
        <w:tc>
          <w:tcPr>
            <w:tcW w:w="708" w:type="pct"/>
            <w:tcBorders>
              <w:tl2br w:val="nil"/>
              <w:tr2bl w:val="nil"/>
            </w:tcBorders>
            <w:shd w:val="clear" w:color="auto" w:fill="auto"/>
            <w:noWrap w:val="0"/>
            <w:vAlign w:val="center"/>
          </w:tcPr>
          <w:p w14:paraId="51F0F4BB">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0.24671</w:t>
            </w:r>
          </w:p>
        </w:tc>
        <w:tc>
          <w:tcPr>
            <w:tcW w:w="342" w:type="pct"/>
            <w:tcBorders>
              <w:tl2br w:val="nil"/>
              <w:tr2bl w:val="nil"/>
            </w:tcBorders>
            <w:shd w:val="clear" w:color="auto" w:fill="auto"/>
            <w:noWrap w:val="0"/>
            <w:vAlign w:val="center"/>
          </w:tcPr>
          <w:p w14:paraId="07B6AD2E">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0.01</w:t>
            </w:r>
          </w:p>
        </w:tc>
      </w:tr>
      <w:tr w14:paraId="1F9131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27" w:hRule="atLeast"/>
          <w:jc w:val="center"/>
        </w:trPr>
        <w:tc>
          <w:tcPr>
            <w:tcW w:w="565" w:type="pct"/>
            <w:tcBorders>
              <w:tl2br w:val="nil"/>
              <w:tr2bl w:val="nil"/>
            </w:tcBorders>
            <w:shd w:val="clear" w:color="auto" w:fill="auto"/>
            <w:noWrap w:val="0"/>
            <w:vAlign w:val="center"/>
          </w:tcPr>
          <w:p w14:paraId="76E599DD">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1500</w:t>
            </w:r>
          </w:p>
        </w:tc>
        <w:tc>
          <w:tcPr>
            <w:tcW w:w="698" w:type="pct"/>
            <w:tcBorders>
              <w:tl2br w:val="nil"/>
              <w:tr2bl w:val="nil"/>
            </w:tcBorders>
            <w:shd w:val="clear" w:color="auto" w:fill="auto"/>
            <w:noWrap w:val="0"/>
            <w:vAlign w:val="center"/>
          </w:tcPr>
          <w:p w14:paraId="0DB784B5">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0.472471</w:t>
            </w:r>
          </w:p>
        </w:tc>
        <w:tc>
          <w:tcPr>
            <w:tcW w:w="423" w:type="pct"/>
            <w:tcBorders>
              <w:tl2br w:val="nil"/>
              <w:tr2bl w:val="nil"/>
            </w:tcBorders>
            <w:shd w:val="clear" w:color="auto" w:fill="auto"/>
            <w:noWrap w:val="0"/>
            <w:vAlign w:val="center"/>
          </w:tcPr>
          <w:p w14:paraId="1F11700E">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0.09</w:t>
            </w:r>
          </w:p>
        </w:tc>
        <w:tc>
          <w:tcPr>
            <w:tcW w:w="708" w:type="pct"/>
            <w:tcBorders>
              <w:tl2br w:val="nil"/>
              <w:tr2bl w:val="nil"/>
            </w:tcBorders>
            <w:shd w:val="clear" w:color="auto" w:fill="auto"/>
            <w:noWrap w:val="0"/>
            <w:vAlign w:val="center"/>
          </w:tcPr>
          <w:p w14:paraId="7CAAA789">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1.878542</w:t>
            </w:r>
          </w:p>
        </w:tc>
        <w:tc>
          <w:tcPr>
            <w:tcW w:w="423" w:type="pct"/>
            <w:tcBorders>
              <w:tl2br w:val="nil"/>
              <w:tr2bl w:val="nil"/>
            </w:tcBorders>
            <w:shd w:val="clear" w:color="auto" w:fill="auto"/>
            <w:noWrap w:val="0"/>
            <w:vAlign w:val="center"/>
          </w:tcPr>
          <w:p w14:paraId="57F3F76D">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0.94</w:t>
            </w:r>
          </w:p>
        </w:tc>
        <w:tc>
          <w:tcPr>
            <w:tcW w:w="708" w:type="pct"/>
            <w:tcBorders>
              <w:tl2br w:val="nil"/>
              <w:tr2bl w:val="nil"/>
            </w:tcBorders>
            <w:shd w:val="clear" w:color="auto" w:fill="auto"/>
            <w:noWrap w:val="0"/>
            <w:vAlign w:val="center"/>
          </w:tcPr>
          <w:p w14:paraId="59FAD785">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0.254341</w:t>
            </w:r>
          </w:p>
        </w:tc>
        <w:tc>
          <w:tcPr>
            <w:tcW w:w="423" w:type="pct"/>
            <w:tcBorders>
              <w:tl2br w:val="nil"/>
              <w:tr2bl w:val="nil"/>
            </w:tcBorders>
            <w:shd w:val="clear" w:color="auto" w:fill="auto"/>
            <w:noWrap w:val="0"/>
            <w:vAlign w:val="center"/>
          </w:tcPr>
          <w:p w14:paraId="432A8E53">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0.06</w:t>
            </w:r>
          </w:p>
        </w:tc>
        <w:tc>
          <w:tcPr>
            <w:tcW w:w="708" w:type="pct"/>
            <w:tcBorders>
              <w:tl2br w:val="nil"/>
              <w:tr2bl w:val="nil"/>
            </w:tcBorders>
            <w:shd w:val="clear" w:color="auto" w:fill="auto"/>
            <w:noWrap w:val="0"/>
            <w:vAlign w:val="center"/>
          </w:tcPr>
          <w:p w14:paraId="092B373E">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0.18672</w:t>
            </w:r>
          </w:p>
        </w:tc>
        <w:tc>
          <w:tcPr>
            <w:tcW w:w="342" w:type="pct"/>
            <w:tcBorders>
              <w:tl2br w:val="nil"/>
              <w:tr2bl w:val="nil"/>
            </w:tcBorders>
            <w:shd w:val="clear" w:color="auto" w:fill="auto"/>
            <w:noWrap w:val="0"/>
            <w:vAlign w:val="center"/>
          </w:tcPr>
          <w:p w14:paraId="1EDB749F">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0.01</w:t>
            </w:r>
          </w:p>
        </w:tc>
      </w:tr>
      <w:tr w14:paraId="64C2F4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27" w:hRule="atLeast"/>
          <w:jc w:val="center"/>
        </w:trPr>
        <w:tc>
          <w:tcPr>
            <w:tcW w:w="565" w:type="pct"/>
            <w:tcBorders>
              <w:tl2br w:val="nil"/>
              <w:tr2bl w:val="nil"/>
            </w:tcBorders>
            <w:shd w:val="clear" w:color="auto" w:fill="auto"/>
            <w:noWrap w:val="0"/>
            <w:vAlign w:val="center"/>
          </w:tcPr>
          <w:p w14:paraId="00FE5239">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2000</w:t>
            </w:r>
          </w:p>
        </w:tc>
        <w:tc>
          <w:tcPr>
            <w:tcW w:w="698" w:type="pct"/>
            <w:tcBorders>
              <w:tl2br w:val="nil"/>
              <w:tr2bl w:val="nil"/>
            </w:tcBorders>
            <w:shd w:val="clear" w:color="auto" w:fill="auto"/>
            <w:noWrap w:val="0"/>
            <w:vAlign w:val="center"/>
          </w:tcPr>
          <w:p w14:paraId="39D2662B">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0.383352</w:t>
            </w:r>
          </w:p>
        </w:tc>
        <w:tc>
          <w:tcPr>
            <w:tcW w:w="423" w:type="pct"/>
            <w:tcBorders>
              <w:tl2br w:val="nil"/>
              <w:tr2bl w:val="nil"/>
            </w:tcBorders>
            <w:shd w:val="clear" w:color="auto" w:fill="auto"/>
            <w:noWrap w:val="0"/>
            <w:vAlign w:val="center"/>
          </w:tcPr>
          <w:p w14:paraId="508B57BF">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0.08</w:t>
            </w:r>
          </w:p>
        </w:tc>
        <w:tc>
          <w:tcPr>
            <w:tcW w:w="708" w:type="pct"/>
            <w:tcBorders>
              <w:tl2br w:val="nil"/>
              <w:tr2bl w:val="nil"/>
            </w:tcBorders>
            <w:shd w:val="clear" w:color="auto" w:fill="auto"/>
            <w:noWrap w:val="0"/>
            <w:vAlign w:val="center"/>
          </w:tcPr>
          <w:p w14:paraId="72AC3AF5">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1.524203</w:t>
            </w:r>
          </w:p>
        </w:tc>
        <w:tc>
          <w:tcPr>
            <w:tcW w:w="423" w:type="pct"/>
            <w:tcBorders>
              <w:tl2br w:val="nil"/>
              <w:tr2bl w:val="nil"/>
            </w:tcBorders>
            <w:shd w:val="clear" w:color="auto" w:fill="auto"/>
            <w:noWrap w:val="0"/>
            <w:vAlign w:val="center"/>
          </w:tcPr>
          <w:p w14:paraId="5C7451C3">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0.76</w:t>
            </w:r>
          </w:p>
        </w:tc>
        <w:tc>
          <w:tcPr>
            <w:tcW w:w="708" w:type="pct"/>
            <w:tcBorders>
              <w:tl2br w:val="nil"/>
              <w:tr2bl w:val="nil"/>
            </w:tcBorders>
            <w:shd w:val="clear" w:color="auto" w:fill="auto"/>
            <w:noWrap w:val="0"/>
            <w:vAlign w:val="center"/>
          </w:tcPr>
          <w:p w14:paraId="564CDEAC">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0.206366</w:t>
            </w:r>
          </w:p>
        </w:tc>
        <w:tc>
          <w:tcPr>
            <w:tcW w:w="423" w:type="pct"/>
            <w:tcBorders>
              <w:tl2br w:val="nil"/>
              <w:tr2bl w:val="nil"/>
            </w:tcBorders>
            <w:shd w:val="clear" w:color="auto" w:fill="auto"/>
            <w:noWrap w:val="0"/>
            <w:vAlign w:val="center"/>
          </w:tcPr>
          <w:p w14:paraId="28CF5A7D">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0.05</w:t>
            </w:r>
          </w:p>
        </w:tc>
        <w:tc>
          <w:tcPr>
            <w:tcW w:w="708" w:type="pct"/>
            <w:tcBorders>
              <w:tl2br w:val="nil"/>
              <w:tr2bl w:val="nil"/>
            </w:tcBorders>
            <w:shd w:val="clear" w:color="auto" w:fill="auto"/>
            <w:noWrap w:val="0"/>
            <w:vAlign w:val="center"/>
          </w:tcPr>
          <w:p w14:paraId="74C364F5">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0.1515</w:t>
            </w:r>
          </w:p>
        </w:tc>
        <w:tc>
          <w:tcPr>
            <w:tcW w:w="342" w:type="pct"/>
            <w:tcBorders>
              <w:tl2br w:val="nil"/>
              <w:tr2bl w:val="nil"/>
            </w:tcBorders>
            <w:shd w:val="clear" w:color="auto" w:fill="auto"/>
            <w:noWrap w:val="0"/>
            <w:vAlign w:val="center"/>
          </w:tcPr>
          <w:p w14:paraId="3C6A333D">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0.01</w:t>
            </w:r>
          </w:p>
        </w:tc>
      </w:tr>
      <w:tr w14:paraId="13112F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27" w:hRule="atLeast"/>
          <w:jc w:val="center"/>
        </w:trPr>
        <w:tc>
          <w:tcPr>
            <w:tcW w:w="565" w:type="pct"/>
            <w:tcBorders>
              <w:tl2br w:val="nil"/>
              <w:tr2bl w:val="nil"/>
            </w:tcBorders>
            <w:shd w:val="clear" w:color="auto" w:fill="auto"/>
            <w:noWrap w:val="0"/>
            <w:vAlign w:val="center"/>
          </w:tcPr>
          <w:p w14:paraId="6A26108A">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2500</w:t>
            </w:r>
          </w:p>
        </w:tc>
        <w:tc>
          <w:tcPr>
            <w:tcW w:w="698" w:type="pct"/>
            <w:tcBorders>
              <w:tl2br w:val="nil"/>
              <w:tr2bl w:val="nil"/>
            </w:tcBorders>
            <w:shd w:val="clear" w:color="auto" w:fill="auto"/>
            <w:noWrap w:val="0"/>
            <w:vAlign w:val="center"/>
          </w:tcPr>
          <w:p w14:paraId="3C19B1A4">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0.369283</w:t>
            </w:r>
          </w:p>
        </w:tc>
        <w:tc>
          <w:tcPr>
            <w:tcW w:w="423" w:type="pct"/>
            <w:tcBorders>
              <w:tl2br w:val="nil"/>
              <w:tr2bl w:val="nil"/>
            </w:tcBorders>
            <w:shd w:val="clear" w:color="auto" w:fill="auto"/>
            <w:noWrap w:val="0"/>
            <w:vAlign w:val="center"/>
          </w:tcPr>
          <w:p w14:paraId="04D1AA90">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0.07</w:t>
            </w:r>
          </w:p>
        </w:tc>
        <w:tc>
          <w:tcPr>
            <w:tcW w:w="708" w:type="pct"/>
            <w:tcBorders>
              <w:tl2br w:val="nil"/>
              <w:tr2bl w:val="nil"/>
            </w:tcBorders>
            <w:shd w:val="clear" w:color="auto" w:fill="auto"/>
            <w:noWrap w:val="0"/>
            <w:vAlign w:val="center"/>
          </w:tcPr>
          <w:p w14:paraId="75837A36">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1.468265</w:t>
            </w:r>
          </w:p>
        </w:tc>
        <w:tc>
          <w:tcPr>
            <w:tcW w:w="423" w:type="pct"/>
            <w:tcBorders>
              <w:tl2br w:val="nil"/>
              <w:tr2bl w:val="nil"/>
            </w:tcBorders>
            <w:shd w:val="clear" w:color="auto" w:fill="auto"/>
            <w:noWrap w:val="0"/>
            <w:vAlign w:val="center"/>
          </w:tcPr>
          <w:p w14:paraId="4B6A9E8B">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0.73</w:t>
            </w:r>
          </w:p>
        </w:tc>
        <w:tc>
          <w:tcPr>
            <w:tcW w:w="708" w:type="pct"/>
            <w:tcBorders>
              <w:tl2br w:val="nil"/>
              <w:tr2bl w:val="nil"/>
            </w:tcBorders>
            <w:shd w:val="clear" w:color="auto" w:fill="auto"/>
            <w:noWrap w:val="0"/>
            <w:vAlign w:val="center"/>
          </w:tcPr>
          <w:p w14:paraId="10C73C00">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0.198792</w:t>
            </w:r>
          </w:p>
        </w:tc>
        <w:tc>
          <w:tcPr>
            <w:tcW w:w="423" w:type="pct"/>
            <w:tcBorders>
              <w:tl2br w:val="nil"/>
              <w:tr2bl w:val="nil"/>
            </w:tcBorders>
            <w:shd w:val="clear" w:color="auto" w:fill="auto"/>
            <w:noWrap w:val="0"/>
            <w:vAlign w:val="center"/>
          </w:tcPr>
          <w:p w14:paraId="2F5B32CC">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0.04</w:t>
            </w:r>
          </w:p>
        </w:tc>
        <w:tc>
          <w:tcPr>
            <w:tcW w:w="708" w:type="pct"/>
            <w:tcBorders>
              <w:tl2br w:val="nil"/>
              <w:tr2bl w:val="nil"/>
            </w:tcBorders>
            <w:shd w:val="clear" w:color="auto" w:fill="auto"/>
            <w:noWrap w:val="0"/>
            <w:vAlign w:val="center"/>
          </w:tcPr>
          <w:p w14:paraId="119E7200">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0.14594</w:t>
            </w:r>
          </w:p>
        </w:tc>
        <w:tc>
          <w:tcPr>
            <w:tcW w:w="342" w:type="pct"/>
            <w:tcBorders>
              <w:tl2br w:val="nil"/>
              <w:tr2bl w:val="nil"/>
            </w:tcBorders>
            <w:shd w:val="clear" w:color="auto" w:fill="auto"/>
            <w:noWrap w:val="0"/>
            <w:vAlign w:val="center"/>
          </w:tcPr>
          <w:p w14:paraId="1A04E8DE">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0.01</w:t>
            </w:r>
          </w:p>
        </w:tc>
      </w:tr>
      <w:tr w14:paraId="4E5977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27" w:hRule="atLeast"/>
          <w:jc w:val="center"/>
        </w:trPr>
        <w:tc>
          <w:tcPr>
            <w:tcW w:w="565" w:type="pct"/>
            <w:tcBorders>
              <w:tl2br w:val="nil"/>
              <w:tr2bl w:val="nil"/>
            </w:tcBorders>
            <w:shd w:val="clear" w:color="auto" w:fill="auto"/>
            <w:noWrap w:val="0"/>
            <w:vAlign w:val="center"/>
          </w:tcPr>
          <w:p w14:paraId="29121B33">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1"/>
                <w:sz w:val="21"/>
                <w:szCs w:val="21"/>
                <w:highlight w:val="none"/>
              </w:rPr>
              <w:t>下风向最大地面空气质量浓度及占标率</w:t>
            </w:r>
          </w:p>
        </w:tc>
        <w:tc>
          <w:tcPr>
            <w:tcW w:w="698" w:type="pct"/>
            <w:tcBorders>
              <w:tl2br w:val="nil"/>
              <w:tr2bl w:val="nil"/>
            </w:tcBorders>
            <w:shd w:val="clear" w:color="auto" w:fill="auto"/>
            <w:noWrap w:val="0"/>
            <w:vAlign w:val="center"/>
          </w:tcPr>
          <w:p w14:paraId="06A2D4F3">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rPr>
            </w:pPr>
            <w:r>
              <w:rPr>
                <w:rFonts w:hint="eastAsia" w:ascii="Times New Roman" w:hAnsi="Times New Roman" w:cs="Times New Roman"/>
                <w:b/>
                <w:bCs/>
                <w:color w:val="auto"/>
                <w:sz w:val="21"/>
                <w:szCs w:val="21"/>
                <w:highlight w:val="none"/>
                <w:lang w:val="en-US" w:eastAsia="zh-CN"/>
              </w:rPr>
              <w:t>2.5014</w:t>
            </w:r>
          </w:p>
        </w:tc>
        <w:tc>
          <w:tcPr>
            <w:tcW w:w="423" w:type="pct"/>
            <w:tcBorders>
              <w:tl2br w:val="nil"/>
              <w:tr2bl w:val="nil"/>
            </w:tcBorders>
            <w:shd w:val="clear" w:color="auto" w:fill="auto"/>
            <w:noWrap w:val="0"/>
            <w:vAlign w:val="center"/>
          </w:tcPr>
          <w:p w14:paraId="49550F3E">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rPr>
            </w:pPr>
            <w:r>
              <w:rPr>
                <w:rFonts w:hint="eastAsia" w:ascii="Times New Roman" w:hAnsi="Times New Roman" w:cs="Times New Roman"/>
                <w:b/>
                <w:bCs/>
                <w:color w:val="auto"/>
                <w:sz w:val="21"/>
                <w:szCs w:val="21"/>
                <w:highlight w:val="none"/>
                <w:lang w:val="en-US" w:eastAsia="zh-CN"/>
              </w:rPr>
              <w:t>0.5</w:t>
            </w:r>
          </w:p>
        </w:tc>
        <w:tc>
          <w:tcPr>
            <w:tcW w:w="708" w:type="pct"/>
            <w:tcBorders>
              <w:tl2br w:val="nil"/>
              <w:tr2bl w:val="nil"/>
            </w:tcBorders>
            <w:shd w:val="clear" w:color="auto" w:fill="auto"/>
            <w:noWrap w:val="0"/>
            <w:vAlign w:val="center"/>
          </w:tcPr>
          <w:p w14:paraId="308C731F">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rPr>
            </w:pPr>
            <w:r>
              <w:rPr>
                <w:rFonts w:hint="eastAsia" w:ascii="Times New Roman" w:hAnsi="Times New Roman" w:cs="Times New Roman"/>
                <w:b/>
                <w:bCs/>
                <w:color w:val="auto"/>
                <w:sz w:val="21"/>
                <w:szCs w:val="21"/>
                <w:highlight w:val="none"/>
                <w:lang w:val="en-US" w:eastAsia="zh-CN"/>
              </w:rPr>
              <w:t>9.94555</w:t>
            </w:r>
          </w:p>
        </w:tc>
        <w:tc>
          <w:tcPr>
            <w:tcW w:w="423" w:type="pct"/>
            <w:tcBorders>
              <w:tl2br w:val="nil"/>
              <w:tr2bl w:val="nil"/>
            </w:tcBorders>
            <w:shd w:val="clear" w:color="auto" w:fill="auto"/>
            <w:noWrap w:val="0"/>
            <w:vAlign w:val="center"/>
          </w:tcPr>
          <w:p w14:paraId="4E42B659">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rPr>
            </w:pPr>
            <w:r>
              <w:rPr>
                <w:rFonts w:hint="eastAsia" w:ascii="Times New Roman" w:hAnsi="Times New Roman" w:cs="Times New Roman"/>
                <w:b/>
                <w:bCs/>
                <w:color w:val="auto"/>
                <w:sz w:val="21"/>
                <w:szCs w:val="21"/>
                <w:highlight w:val="none"/>
                <w:lang w:val="en-US" w:eastAsia="zh-CN"/>
              </w:rPr>
              <w:t>4.97</w:t>
            </w:r>
          </w:p>
        </w:tc>
        <w:tc>
          <w:tcPr>
            <w:tcW w:w="708" w:type="pct"/>
            <w:tcBorders>
              <w:tl2br w:val="nil"/>
              <w:tr2bl w:val="nil"/>
            </w:tcBorders>
            <w:shd w:val="clear" w:color="auto" w:fill="auto"/>
            <w:noWrap w:val="0"/>
            <w:vAlign w:val="center"/>
          </w:tcPr>
          <w:p w14:paraId="119AD88E">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b/>
                <w:bCs/>
                <w:color w:val="auto"/>
                <w:sz w:val="21"/>
                <w:szCs w:val="21"/>
                <w:highlight w:val="none"/>
                <w:lang w:val="en-US" w:eastAsia="zh-CN"/>
              </w:rPr>
              <w:t>1.346552</w:t>
            </w:r>
          </w:p>
        </w:tc>
        <w:tc>
          <w:tcPr>
            <w:tcW w:w="423" w:type="pct"/>
            <w:tcBorders>
              <w:tl2br w:val="nil"/>
              <w:tr2bl w:val="nil"/>
            </w:tcBorders>
            <w:shd w:val="clear" w:color="auto" w:fill="auto"/>
            <w:noWrap w:val="0"/>
            <w:vAlign w:val="center"/>
          </w:tcPr>
          <w:p w14:paraId="1C329B9A">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b/>
                <w:bCs/>
                <w:color w:val="auto"/>
                <w:sz w:val="21"/>
                <w:szCs w:val="21"/>
                <w:highlight w:val="none"/>
                <w:lang w:val="en-US" w:eastAsia="zh-CN"/>
              </w:rPr>
              <w:t>0.3</w:t>
            </w:r>
          </w:p>
        </w:tc>
        <w:tc>
          <w:tcPr>
            <w:tcW w:w="708" w:type="pct"/>
            <w:tcBorders>
              <w:tl2br w:val="nil"/>
              <w:tr2bl w:val="nil"/>
            </w:tcBorders>
            <w:shd w:val="clear" w:color="auto" w:fill="auto"/>
            <w:noWrap w:val="0"/>
            <w:vAlign w:val="center"/>
          </w:tcPr>
          <w:p w14:paraId="6AA1D327">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rPr>
            </w:pPr>
            <w:r>
              <w:rPr>
                <w:rFonts w:hint="eastAsia" w:ascii="Times New Roman" w:hAnsi="Times New Roman" w:cs="Times New Roman"/>
                <w:b/>
                <w:bCs/>
                <w:color w:val="auto"/>
                <w:sz w:val="21"/>
                <w:szCs w:val="21"/>
                <w:highlight w:val="none"/>
                <w:lang w:val="en-US" w:eastAsia="zh-CN"/>
              </w:rPr>
              <w:t>0.98855</w:t>
            </w:r>
          </w:p>
        </w:tc>
        <w:tc>
          <w:tcPr>
            <w:tcW w:w="342" w:type="pct"/>
            <w:tcBorders>
              <w:tl2br w:val="nil"/>
              <w:tr2bl w:val="nil"/>
            </w:tcBorders>
            <w:shd w:val="clear" w:color="auto" w:fill="auto"/>
            <w:noWrap w:val="0"/>
            <w:vAlign w:val="center"/>
          </w:tcPr>
          <w:p w14:paraId="7326B01A">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rPr>
            </w:pPr>
            <w:r>
              <w:rPr>
                <w:rFonts w:hint="eastAsia" w:ascii="Times New Roman" w:hAnsi="Times New Roman" w:cs="Times New Roman"/>
                <w:b/>
                <w:bCs/>
                <w:color w:val="auto"/>
                <w:sz w:val="21"/>
                <w:szCs w:val="21"/>
                <w:highlight w:val="none"/>
                <w:lang w:val="en-US" w:eastAsia="zh-CN"/>
              </w:rPr>
              <w:t>0.05</w:t>
            </w:r>
          </w:p>
        </w:tc>
      </w:tr>
      <w:tr w14:paraId="5123D7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27" w:hRule="atLeast"/>
          <w:jc w:val="center"/>
        </w:trPr>
        <w:tc>
          <w:tcPr>
            <w:tcW w:w="565" w:type="pct"/>
            <w:tcBorders>
              <w:tl2br w:val="nil"/>
              <w:tr2bl w:val="nil"/>
            </w:tcBorders>
            <w:shd w:val="clear" w:color="auto" w:fill="auto"/>
            <w:noWrap w:val="0"/>
            <w:vAlign w:val="center"/>
          </w:tcPr>
          <w:p w14:paraId="2F6CA3A2">
            <w:pPr>
              <w:keepNext w:val="0"/>
              <w:keepLines w:val="0"/>
              <w:pageBreakBefore w:val="0"/>
              <w:kinsoku/>
              <w:wordWrap/>
              <w:overflowPunct/>
              <w:topLinePunct w:val="0"/>
              <w:bidi w:val="0"/>
              <w:adjustRightInd w:val="0"/>
              <w:snapToGrid w:val="0"/>
              <w:ind w:left="-105" w:leftChars="-50" w:right="-105" w:rightChars="-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D</w:t>
            </w:r>
            <w:r>
              <w:rPr>
                <w:rFonts w:hint="default" w:ascii="Times New Roman" w:hAnsi="Times New Roman" w:cs="Times New Roman"/>
                <w:color w:val="auto"/>
                <w:sz w:val="21"/>
                <w:szCs w:val="21"/>
                <w:highlight w:val="none"/>
                <w:vertAlign w:val="subscript"/>
              </w:rPr>
              <w:t>10%</w:t>
            </w:r>
            <w:r>
              <w:rPr>
                <w:rFonts w:hint="default" w:ascii="Times New Roman" w:hAnsi="Times New Roman" w:cs="Times New Roman"/>
                <w:color w:val="auto"/>
                <w:sz w:val="21"/>
                <w:szCs w:val="21"/>
                <w:highlight w:val="none"/>
              </w:rPr>
              <w:t>最远距离（m）</w:t>
            </w:r>
          </w:p>
        </w:tc>
        <w:tc>
          <w:tcPr>
            <w:tcW w:w="1121" w:type="pct"/>
            <w:gridSpan w:val="2"/>
            <w:tcBorders>
              <w:tl2br w:val="nil"/>
              <w:tr2bl w:val="nil"/>
            </w:tcBorders>
            <w:shd w:val="clear" w:color="auto" w:fill="auto"/>
            <w:noWrap w:val="0"/>
            <w:vAlign w:val="center"/>
          </w:tcPr>
          <w:p w14:paraId="5D8F4DB7">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未出现</w:t>
            </w:r>
          </w:p>
        </w:tc>
        <w:tc>
          <w:tcPr>
            <w:tcW w:w="1131" w:type="pct"/>
            <w:gridSpan w:val="2"/>
            <w:tcBorders>
              <w:tl2br w:val="nil"/>
              <w:tr2bl w:val="nil"/>
            </w:tcBorders>
            <w:shd w:val="clear" w:color="auto" w:fill="auto"/>
            <w:noWrap w:val="0"/>
            <w:vAlign w:val="center"/>
          </w:tcPr>
          <w:p w14:paraId="084D8760">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未出现</w:t>
            </w:r>
          </w:p>
        </w:tc>
        <w:tc>
          <w:tcPr>
            <w:tcW w:w="1131" w:type="pct"/>
            <w:gridSpan w:val="2"/>
            <w:tcBorders>
              <w:tl2br w:val="nil"/>
              <w:tr2bl w:val="nil"/>
            </w:tcBorders>
            <w:shd w:val="clear" w:color="auto" w:fill="auto"/>
            <w:noWrap w:val="0"/>
            <w:vAlign w:val="center"/>
          </w:tcPr>
          <w:p w14:paraId="4A9451E7">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未出现</w:t>
            </w:r>
          </w:p>
        </w:tc>
        <w:tc>
          <w:tcPr>
            <w:tcW w:w="1050" w:type="pct"/>
            <w:gridSpan w:val="2"/>
            <w:tcBorders>
              <w:tl2br w:val="nil"/>
              <w:tr2bl w:val="nil"/>
            </w:tcBorders>
            <w:shd w:val="clear" w:color="auto" w:fill="auto"/>
            <w:noWrap w:val="0"/>
            <w:vAlign w:val="center"/>
          </w:tcPr>
          <w:p w14:paraId="2519172C">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未出现</w:t>
            </w:r>
          </w:p>
        </w:tc>
      </w:tr>
      <w:tr w14:paraId="759545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27" w:hRule="atLeast"/>
          <w:jc w:val="center"/>
        </w:trPr>
        <w:tc>
          <w:tcPr>
            <w:tcW w:w="565" w:type="pct"/>
            <w:tcBorders>
              <w:tl2br w:val="nil"/>
              <w:tr2bl w:val="nil"/>
            </w:tcBorders>
            <w:shd w:val="clear" w:color="auto" w:fill="auto"/>
            <w:noWrap w:val="0"/>
            <w:vAlign w:val="center"/>
          </w:tcPr>
          <w:p w14:paraId="6B75C2FD">
            <w:pPr>
              <w:pStyle w:val="88"/>
              <w:keepNext w:val="0"/>
              <w:keepLines w:val="0"/>
              <w:pageBreakBefore w:val="0"/>
              <w:kinsoku/>
              <w:wordWrap/>
              <w:overflowPunct/>
              <w:topLinePunct w:val="0"/>
              <w:bidi w:val="0"/>
              <w:ind w:left="-105" w:leftChars="-50" w:right="-105" w:rightChars="-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最大地面空气质量浓度距源距离（m）</w:t>
            </w:r>
          </w:p>
        </w:tc>
        <w:tc>
          <w:tcPr>
            <w:tcW w:w="1121" w:type="pct"/>
            <w:gridSpan w:val="2"/>
            <w:tcBorders>
              <w:tl2br w:val="nil"/>
              <w:tr2bl w:val="nil"/>
            </w:tcBorders>
            <w:shd w:val="clear" w:color="auto" w:fill="auto"/>
            <w:noWrap w:val="0"/>
            <w:vAlign w:val="center"/>
          </w:tcPr>
          <w:p w14:paraId="0D83D70C">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94</w:t>
            </w:r>
          </w:p>
        </w:tc>
        <w:tc>
          <w:tcPr>
            <w:tcW w:w="1131" w:type="pct"/>
            <w:gridSpan w:val="2"/>
            <w:tcBorders>
              <w:tl2br w:val="nil"/>
              <w:tr2bl w:val="nil"/>
            </w:tcBorders>
            <w:shd w:val="clear" w:color="auto" w:fill="auto"/>
            <w:noWrap w:val="0"/>
            <w:vAlign w:val="center"/>
          </w:tcPr>
          <w:p w14:paraId="050ABE7C">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94</w:t>
            </w:r>
          </w:p>
        </w:tc>
        <w:tc>
          <w:tcPr>
            <w:tcW w:w="1131" w:type="pct"/>
            <w:gridSpan w:val="2"/>
            <w:tcBorders>
              <w:tl2br w:val="nil"/>
              <w:tr2bl w:val="nil"/>
            </w:tcBorders>
            <w:shd w:val="clear" w:color="auto" w:fill="auto"/>
            <w:noWrap w:val="0"/>
            <w:vAlign w:val="center"/>
          </w:tcPr>
          <w:p w14:paraId="7F6C5E3C">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94</w:t>
            </w:r>
          </w:p>
        </w:tc>
        <w:tc>
          <w:tcPr>
            <w:tcW w:w="1050" w:type="pct"/>
            <w:gridSpan w:val="2"/>
            <w:tcBorders>
              <w:tl2br w:val="nil"/>
              <w:tr2bl w:val="nil"/>
            </w:tcBorders>
            <w:shd w:val="clear" w:color="auto" w:fill="auto"/>
            <w:noWrap w:val="0"/>
            <w:vAlign w:val="center"/>
          </w:tcPr>
          <w:p w14:paraId="6D87FDAF">
            <w:pPr>
              <w:pStyle w:val="176"/>
              <w:keepNext w:val="0"/>
              <w:keepLines w:val="0"/>
              <w:pageBreakBefore w:val="0"/>
              <w:kinsoku/>
              <w:wordWrap/>
              <w:overflowPunct/>
              <w:topLinePunct w:val="0"/>
              <w:bidi w:val="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94</w:t>
            </w:r>
          </w:p>
        </w:tc>
      </w:tr>
    </w:tbl>
    <w:p w14:paraId="2E32662A">
      <w:pPr>
        <w:pStyle w:val="61"/>
        <w:bidi w:val="0"/>
        <w:jc w:val="both"/>
        <w:rPr>
          <w:rFonts w:hint="default" w:ascii="黑体" w:hAnsi="黑体" w:eastAsia="黑体" w:cs="黑体"/>
          <w:b/>
          <w:bCs/>
          <w:color w:val="auto"/>
          <w:highlight w:val="none"/>
          <w:lang w:val="en-US" w:eastAsia="zh-CN"/>
        </w:rPr>
      </w:pPr>
      <w:r>
        <w:rPr>
          <w:rFonts w:hint="default"/>
          <w:color w:val="auto"/>
          <w:lang w:val="en-US" w:eastAsia="zh-CN"/>
        </w:rPr>
        <w:t>表5.</w:t>
      </w:r>
      <w:r>
        <w:rPr>
          <w:rFonts w:hint="eastAsia"/>
          <w:color w:val="auto"/>
          <w:lang w:val="en-US" w:eastAsia="zh-CN"/>
        </w:rPr>
        <w:t>4</w:t>
      </w:r>
      <w:r>
        <w:rPr>
          <w:rFonts w:hint="default"/>
          <w:color w:val="auto"/>
          <w:lang w:val="en-US" w:eastAsia="zh-CN"/>
        </w:rPr>
        <w:t>-</w:t>
      </w:r>
      <w:r>
        <w:rPr>
          <w:rFonts w:hint="eastAsia"/>
          <w:color w:val="auto"/>
          <w:lang w:val="en-US" w:eastAsia="zh-CN"/>
        </w:rPr>
        <w:t>7</w:t>
      </w:r>
      <w:r>
        <w:rPr>
          <w:rFonts w:hint="default"/>
          <w:color w:val="auto"/>
          <w:lang w:val="en-US" w:eastAsia="zh-CN"/>
        </w:rPr>
        <w:t xml:space="preserve">    无组织挥发废气污染物的占标率和落地浓度一览表</w:t>
      </w:r>
    </w:p>
    <w:tbl>
      <w:tblPr>
        <w:tblStyle w:val="36"/>
        <w:tblW w:w="498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394"/>
        <w:gridCol w:w="1124"/>
        <w:gridCol w:w="1233"/>
        <w:gridCol w:w="1280"/>
        <w:gridCol w:w="1097"/>
        <w:gridCol w:w="797"/>
        <w:gridCol w:w="650"/>
        <w:gridCol w:w="1187"/>
        <w:gridCol w:w="876"/>
      </w:tblGrid>
      <w:tr w14:paraId="674CC7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228" w:type="pct"/>
            <w:tcBorders>
              <w:tl2br w:val="nil"/>
              <w:tr2bl w:val="nil"/>
            </w:tcBorders>
            <w:noWrap w:val="0"/>
            <w:vAlign w:val="center"/>
          </w:tcPr>
          <w:p w14:paraId="460B396D">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650" w:type="pct"/>
            <w:tcBorders>
              <w:tl2br w:val="nil"/>
              <w:tr2bl w:val="nil"/>
            </w:tcBorders>
            <w:noWrap w:val="0"/>
            <w:tcMar>
              <w:top w:w="12" w:type="dxa"/>
              <w:left w:w="12" w:type="dxa"/>
              <w:bottom w:w="0" w:type="dxa"/>
              <w:right w:w="12" w:type="dxa"/>
            </w:tcMar>
            <w:vAlign w:val="center"/>
          </w:tcPr>
          <w:p w14:paraId="2D68C3B6">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污染源名称</w:t>
            </w:r>
          </w:p>
        </w:tc>
        <w:tc>
          <w:tcPr>
            <w:tcW w:w="713" w:type="pct"/>
            <w:tcBorders>
              <w:tl2br w:val="nil"/>
              <w:tr2bl w:val="nil"/>
            </w:tcBorders>
            <w:noWrap w:val="0"/>
            <w:tcMar>
              <w:top w:w="12" w:type="dxa"/>
              <w:left w:w="12" w:type="dxa"/>
              <w:bottom w:w="0" w:type="dxa"/>
              <w:right w:w="12" w:type="dxa"/>
            </w:tcMar>
            <w:vAlign w:val="center"/>
          </w:tcPr>
          <w:p w14:paraId="2E16A197">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评价因子</w:t>
            </w:r>
          </w:p>
        </w:tc>
        <w:tc>
          <w:tcPr>
            <w:tcW w:w="740" w:type="pct"/>
            <w:tcBorders>
              <w:tl2br w:val="nil"/>
              <w:tr2bl w:val="nil"/>
            </w:tcBorders>
            <w:noWrap w:val="0"/>
            <w:tcMar>
              <w:top w:w="12" w:type="dxa"/>
              <w:left w:w="12" w:type="dxa"/>
              <w:bottom w:w="0" w:type="dxa"/>
              <w:right w:w="12" w:type="dxa"/>
            </w:tcMar>
            <w:vAlign w:val="center"/>
          </w:tcPr>
          <w:p w14:paraId="586D0D2B">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C</w:t>
            </w:r>
            <w:r>
              <w:rPr>
                <w:rFonts w:hint="default" w:ascii="Times New Roman" w:hAnsi="Times New Roman" w:cs="Times New Roman"/>
                <w:color w:val="auto"/>
                <w:szCs w:val="21"/>
                <w:highlight w:val="none"/>
                <w:vertAlign w:val="subscript"/>
              </w:rPr>
              <w:t>i</w:t>
            </w:r>
            <w:r>
              <w:rPr>
                <w:rFonts w:hint="eastAsia" w:cs="Times New Roman"/>
                <w:color w:val="auto"/>
                <w:szCs w:val="21"/>
                <w:highlight w:val="none"/>
                <w:vertAlign w:val="subscript"/>
                <w:lang w:eastAsia="zh-CN"/>
              </w:rPr>
              <w:t>(</w:t>
            </w:r>
            <w:r>
              <w:rPr>
                <w:rFonts w:hint="default" w:ascii="Times New Roman" w:hAnsi="Times New Roman" w:cs="Times New Roman"/>
                <w:color w:val="auto"/>
                <w:szCs w:val="21"/>
                <w:highlight w:val="none"/>
              </w:rPr>
              <w:t>μg/m</w:t>
            </w:r>
            <w:r>
              <w:rPr>
                <w:rFonts w:hint="default" w:ascii="Times New Roman" w:hAnsi="Times New Roman" w:cs="Times New Roman"/>
                <w:bCs/>
                <w:color w:val="auto"/>
                <w:szCs w:val="21"/>
                <w:highlight w:val="none"/>
                <w:vertAlign w:val="superscript"/>
              </w:rPr>
              <w:t>3</w:t>
            </w:r>
            <w:r>
              <w:rPr>
                <w:rFonts w:hint="eastAsia" w:cs="Times New Roman"/>
                <w:color w:val="auto"/>
                <w:szCs w:val="21"/>
                <w:highlight w:val="none"/>
                <w:lang w:eastAsia="zh-CN"/>
              </w:rPr>
              <w:t>）</w:t>
            </w:r>
          </w:p>
        </w:tc>
        <w:tc>
          <w:tcPr>
            <w:tcW w:w="634" w:type="pct"/>
            <w:tcBorders>
              <w:tl2br w:val="nil"/>
              <w:tr2bl w:val="nil"/>
            </w:tcBorders>
            <w:noWrap w:val="0"/>
            <w:tcMar>
              <w:top w:w="12" w:type="dxa"/>
              <w:left w:w="12" w:type="dxa"/>
              <w:bottom w:w="0" w:type="dxa"/>
              <w:right w:w="12" w:type="dxa"/>
            </w:tcMar>
            <w:vAlign w:val="center"/>
          </w:tcPr>
          <w:p w14:paraId="0F75A848">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评价标准（μg/m</w:t>
            </w:r>
            <w:r>
              <w:rPr>
                <w:rFonts w:hint="default" w:ascii="Times New Roman" w:hAnsi="Times New Roman" w:cs="Times New Roman"/>
                <w:color w:val="auto"/>
                <w:szCs w:val="21"/>
                <w:highlight w:val="none"/>
                <w:vertAlign w:val="superscript"/>
              </w:rPr>
              <w:t>3</w:t>
            </w:r>
            <w:r>
              <w:rPr>
                <w:rFonts w:hint="eastAsia" w:cs="Times New Roman"/>
                <w:color w:val="auto"/>
                <w:szCs w:val="21"/>
                <w:highlight w:val="none"/>
                <w:lang w:eastAsia="zh-CN"/>
              </w:rPr>
              <w:t>）</w:t>
            </w:r>
          </w:p>
        </w:tc>
        <w:tc>
          <w:tcPr>
            <w:tcW w:w="461" w:type="pct"/>
            <w:tcBorders>
              <w:tl2br w:val="nil"/>
              <w:tr2bl w:val="nil"/>
            </w:tcBorders>
            <w:noWrap w:val="0"/>
            <w:tcMar>
              <w:top w:w="12" w:type="dxa"/>
              <w:left w:w="12" w:type="dxa"/>
              <w:bottom w:w="0" w:type="dxa"/>
              <w:right w:w="12" w:type="dxa"/>
            </w:tcMar>
            <w:vAlign w:val="center"/>
          </w:tcPr>
          <w:p w14:paraId="3828020E">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vertAlign w:val="subscript"/>
              </w:rPr>
            </w:pPr>
            <w:r>
              <w:rPr>
                <w:rFonts w:hint="default" w:ascii="Times New Roman" w:hAnsi="Times New Roman" w:cs="Times New Roman"/>
                <w:color w:val="auto"/>
                <w:szCs w:val="21"/>
                <w:highlight w:val="none"/>
              </w:rPr>
              <w:t>P</w:t>
            </w:r>
            <w:r>
              <w:rPr>
                <w:rFonts w:hint="default" w:ascii="Times New Roman" w:hAnsi="Times New Roman" w:cs="Times New Roman"/>
                <w:color w:val="auto"/>
                <w:szCs w:val="21"/>
                <w:highlight w:val="none"/>
                <w:vertAlign w:val="subscript"/>
              </w:rPr>
              <w:t>i</w:t>
            </w:r>
          </w:p>
          <w:p w14:paraId="6B461016">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376" w:type="pct"/>
            <w:tcBorders>
              <w:tl2br w:val="nil"/>
              <w:tr2bl w:val="nil"/>
            </w:tcBorders>
            <w:noWrap w:val="0"/>
            <w:tcMar>
              <w:top w:w="12" w:type="dxa"/>
              <w:left w:w="12" w:type="dxa"/>
              <w:bottom w:w="0" w:type="dxa"/>
              <w:right w:w="12" w:type="dxa"/>
            </w:tcMar>
            <w:vAlign w:val="center"/>
          </w:tcPr>
          <w:p w14:paraId="3C1B87AE">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vertAlign w:val="subscript"/>
              </w:rPr>
            </w:pPr>
            <w:r>
              <w:rPr>
                <w:rFonts w:hint="default" w:ascii="Times New Roman" w:hAnsi="Times New Roman" w:cs="Times New Roman"/>
                <w:color w:val="auto"/>
                <w:szCs w:val="21"/>
                <w:highlight w:val="none"/>
              </w:rPr>
              <w:t>P</w:t>
            </w:r>
            <w:r>
              <w:rPr>
                <w:rFonts w:hint="default" w:ascii="Times New Roman" w:hAnsi="Times New Roman" w:cs="Times New Roman"/>
                <w:color w:val="auto"/>
                <w:szCs w:val="21"/>
                <w:highlight w:val="none"/>
                <w:vertAlign w:val="subscript"/>
              </w:rPr>
              <w:t>max</w:t>
            </w:r>
          </w:p>
          <w:p w14:paraId="13C7343E">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686" w:type="pct"/>
            <w:tcBorders>
              <w:tl2br w:val="nil"/>
              <w:tr2bl w:val="nil"/>
            </w:tcBorders>
            <w:noWrap w:val="0"/>
            <w:tcMar>
              <w:top w:w="12" w:type="dxa"/>
              <w:left w:w="12" w:type="dxa"/>
              <w:bottom w:w="0" w:type="dxa"/>
              <w:right w:w="12" w:type="dxa"/>
            </w:tcMar>
            <w:vAlign w:val="center"/>
          </w:tcPr>
          <w:p w14:paraId="14BA53A5">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最大浓度出现距离（m）</w:t>
            </w:r>
          </w:p>
        </w:tc>
        <w:tc>
          <w:tcPr>
            <w:tcW w:w="506" w:type="pct"/>
            <w:tcBorders>
              <w:tl2br w:val="nil"/>
              <w:tr2bl w:val="nil"/>
            </w:tcBorders>
            <w:noWrap w:val="0"/>
            <w:tcMar>
              <w:top w:w="12" w:type="dxa"/>
              <w:left w:w="12" w:type="dxa"/>
              <w:bottom w:w="0" w:type="dxa"/>
              <w:right w:w="12" w:type="dxa"/>
            </w:tcMar>
            <w:vAlign w:val="center"/>
          </w:tcPr>
          <w:p w14:paraId="2D2C4F96">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D</w:t>
            </w:r>
            <w:r>
              <w:rPr>
                <w:rFonts w:hint="default" w:ascii="Times New Roman" w:hAnsi="Times New Roman" w:cs="Times New Roman"/>
                <w:color w:val="auto"/>
                <w:szCs w:val="21"/>
                <w:highlight w:val="none"/>
                <w:vertAlign w:val="subscript"/>
              </w:rPr>
              <w:t>10%</w:t>
            </w:r>
            <w:r>
              <w:rPr>
                <w:rFonts w:hint="eastAsia" w:cs="Times New Roman"/>
                <w:color w:val="auto"/>
                <w:szCs w:val="21"/>
                <w:highlight w:val="none"/>
                <w:vertAlign w:val="subscript"/>
                <w:lang w:eastAsia="zh-CN"/>
              </w:rPr>
              <w:t>(</w:t>
            </w:r>
            <w:r>
              <w:rPr>
                <w:rFonts w:hint="default" w:ascii="Times New Roman" w:hAnsi="Times New Roman" w:cs="Times New Roman"/>
                <w:color w:val="auto"/>
                <w:szCs w:val="21"/>
                <w:highlight w:val="none"/>
              </w:rPr>
              <w:t>m</w:t>
            </w:r>
            <w:r>
              <w:rPr>
                <w:rFonts w:hint="eastAsia" w:cs="Times New Roman"/>
                <w:color w:val="auto"/>
                <w:szCs w:val="21"/>
                <w:highlight w:val="none"/>
                <w:lang w:eastAsia="zh-CN"/>
              </w:rPr>
              <w:t>)</w:t>
            </w:r>
          </w:p>
        </w:tc>
      </w:tr>
      <w:tr w14:paraId="27A72B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28" w:type="pct"/>
            <w:vMerge w:val="restart"/>
            <w:tcBorders>
              <w:tl2br w:val="nil"/>
              <w:tr2bl w:val="nil"/>
            </w:tcBorders>
            <w:noWrap w:val="0"/>
            <w:vAlign w:val="center"/>
          </w:tcPr>
          <w:p w14:paraId="68AEBE56">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650" w:type="pct"/>
            <w:vMerge w:val="restart"/>
            <w:tcBorders>
              <w:tl2br w:val="nil"/>
              <w:tr2bl w:val="nil"/>
            </w:tcBorders>
            <w:noWrap w:val="0"/>
            <w:tcMar>
              <w:top w:w="12" w:type="dxa"/>
              <w:left w:w="12" w:type="dxa"/>
              <w:bottom w:w="0" w:type="dxa"/>
              <w:right w:w="12" w:type="dxa"/>
            </w:tcMar>
            <w:vAlign w:val="center"/>
          </w:tcPr>
          <w:p w14:paraId="16ACACA0">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Cs w:val="21"/>
                <w:highlight w:val="none"/>
              </w:rPr>
            </w:pPr>
            <w:r>
              <w:rPr>
                <w:rFonts w:hint="eastAsia"/>
                <w:color w:val="auto"/>
                <w:highlight w:val="none"/>
              </w:rPr>
              <w:t>雄探1井</w:t>
            </w:r>
          </w:p>
        </w:tc>
        <w:tc>
          <w:tcPr>
            <w:tcW w:w="713" w:type="pct"/>
            <w:tcBorders>
              <w:tl2br w:val="nil"/>
              <w:tr2bl w:val="nil"/>
            </w:tcBorders>
            <w:noWrap w:val="0"/>
            <w:tcMar>
              <w:top w:w="12" w:type="dxa"/>
              <w:left w:w="12" w:type="dxa"/>
              <w:bottom w:w="0" w:type="dxa"/>
              <w:right w:w="12" w:type="dxa"/>
            </w:tcMar>
            <w:vAlign w:val="center"/>
          </w:tcPr>
          <w:p w14:paraId="3607AAC9">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非甲烷总烃</w:t>
            </w:r>
          </w:p>
        </w:tc>
        <w:tc>
          <w:tcPr>
            <w:tcW w:w="740" w:type="pct"/>
            <w:tcBorders>
              <w:tl2br w:val="nil"/>
              <w:tr2bl w:val="nil"/>
            </w:tcBorders>
            <w:noWrap w:val="0"/>
            <w:tcMar>
              <w:top w:w="12" w:type="dxa"/>
              <w:left w:w="12" w:type="dxa"/>
              <w:bottom w:w="0" w:type="dxa"/>
              <w:right w:w="12" w:type="dxa"/>
            </w:tcMar>
            <w:vAlign w:val="center"/>
          </w:tcPr>
          <w:p w14:paraId="0B2EC956">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9.4006</w:t>
            </w:r>
          </w:p>
        </w:tc>
        <w:tc>
          <w:tcPr>
            <w:tcW w:w="634" w:type="pct"/>
            <w:tcBorders>
              <w:tl2br w:val="nil"/>
              <w:tr2bl w:val="nil"/>
            </w:tcBorders>
            <w:noWrap w:val="0"/>
            <w:tcMar>
              <w:top w:w="12" w:type="dxa"/>
              <w:left w:w="12" w:type="dxa"/>
              <w:bottom w:w="0" w:type="dxa"/>
              <w:right w:w="12" w:type="dxa"/>
            </w:tcMar>
            <w:vAlign w:val="center"/>
          </w:tcPr>
          <w:p w14:paraId="1A6E08A2">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2000</w:t>
            </w:r>
          </w:p>
        </w:tc>
        <w:tc>
          <w:tcPr>
            <w:tcW w:w="461" w:type="pct"/>
            <w:tcBorders>
              <w:tl2br w:val="nil"/>
              <w:tr2bl w:val="nil"/>
            </w:tcBorders>
            <w:noWrap w:val="0"/>
            <w:tcMar>
              <w:top w:w="12" w:type="dxa"/>
              <w:left w:w="12" w:type="dxa"/>
              <w:bottom w:w="0" w:type="dxa"/>
              <w:right w:w="12" w:type="dxa"/>
            </w:tcMar>
            <w:vAlign w:val="center"/>
          </w:tcPr>
          <w:p w14:paraId="48462520">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0.47</w:t>
            </w:r>
          </w:p>
        </w:tc>
        <w:tc>
          <w:tcPr>
            <w:tcW w:w="376" w:type="pct"/>
            <w:vMerge w:val="restart"/>
            <w:tcBorders>
              <w:tl2br w:val="nil"/>
              <w:tr2bl w:val="nil"/>
            </w:tcBorders>
            <w:noWrap w:val="0"/>
            <w:tcMar>
              <w:top w:w="12" w:type="dxa"/>
              <w:left w:w="12" w:type="dxa"/>
              <w:bottom w:w="0" w:type="dxa"/>
              <w:right w:w="12" w:type="dxa"/>
            </w:tcMar>
            <w:vAlign w:val="center"/>
          </w:tcPr>
          <w:p w14:paraId="68ADCA41">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8.82</w:t>
            </w:r>
          </w:p>
        </w:tc>
        <w:tc>
          <w:tcPr>
            <w:tcW w:w="686" w:type="pct"/>
            <w:vMerge w:val="restart"/>
            <w:tcBorders>
              <w:tl2br w:val="nil"/>
              <w:tr2bl w:val="nil"/>
            </w:tcBorders>
            <w:noWrap w:val="0"/>
            <w:tcMar>
              <w:top w:w="12" w:type="dxa"/>
              <w:left w:w="12" w:type="dxa"/>
              <w:bottom w:w="0" w:type="dxa"/>
              <w:right w:w="12" w:type="dxa"/>
            </w:tcMar>
            <w:vAlign w:val="center"/>
          </w:tcPr>
          <w:p w14:paraId="7B6A0733">
            <w:pPr>
              <w:keepNext w:val="0"/>
              <w:keepLines w:val="0"/>
              <w:pageBreakBefore w:val="0"/>
              <w:widowControl w:val="0"/>
              <w:kinsoku/>
              <w:bidi w:val="0"/>
              <w:jc w:val="center"/>
              <w:rPr>
                <w:rFonts w:hint="default"/>
                <w:color w:val="auto"/>
                <w:highlight w:val="none"/>
                <w:lang w:val="en-US" w:eastAsia="zh-CN"/>
              </w:rPr>
            </w:pPr>
            <w:r>
              <w:rPr>
                <w:rFonts w:hint="eastAsia" w:cs="Times New Roman"/>
                <w:color w:val="auto"/>
                <w:szCs w:val="21"/>
                <w:highlight w:val="none"/>
                <w:lang w:val="en-US" w:eastAsia="zh-CN"/>
              </w:rPr>
              <w:t>48</w:t>
            </w:r>
          </w:p>
        </w:tc>
        <w:tc>
          <w:tcPr>
            <w:tcW w:w="506" w:type="pct"/>
            <w:vMerge w:val="restart"/>
            <w:tcBorders>
              <w:tl2br w:val="nil"/>
              <w:tr2bl w:val="nil"/>
            </w:tcBorders>
            <w:noWrap w:val="0"/>
            <w:tcMar>
              <w:top w:w="12" w:type="dxa"/>
              <w:left w:w="12" w:type="dxa"/>
              <w:bottom w:w="0" w:type="dxa"/>
              <w:right w:w="12" w:type="dxa"/>
            </w:tcMar>
            <w:vAlign w:val="center"/>
          </w:tcPr>
          <w:p w14:paraId="4B7D5924">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57F2FB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28" w:type="pct"/>
            <w:vMerge w:val="continue"/>
            <w:tcBorders>
              <w:tl2br w:val="nil"/>
              <w:tr2bl w:val="nil"/>
            </w:tcBorders>
            <w:noWrap w:val="0"/>
            <w:vAlign w:val="center"/>
          </w:tcPr>
          <w:p w14:paraId="048F46F5">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c>
          <w:tcPr>
            <w:tcW w:w="650" w:type="pct"/>
            <w:vMerge w:val="continue"/>
            <w:tcBorders>
              <w:tl2br w:val="nil"/>
              <w:tr2bl w:val="nil"/>
            </w:tcBorders>
            <w:noWrap w:val="0"/>
            <w:vAlign w:val="center"/>
          </w:tcPr>
          <w:p w14:paraId="4F637C9C">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c>
          <w:tcPr>
            <w:tcW w:w="713" w:type="pct"/>
            <w:tcBorders>
              <w:tl2br w:val="nil"/>
              <w:tr2bl w:val="nil"/>
            </w:tcBorders>
            <w:noWrap w:val="0"/>
            <w:tcMar>
              <w:top w:w="12" w:type="dxa"/>
              <w:left w:w="12" w:type="dxa"/>
              <w:bottom w:w="0" w:type="dxa"/>
              <w:right w:w="12" w:type="dxa"/>
            </w:tcMar>
            <w:vAlign w:val="center"/>
          </w:tcPr>
          <w:p w14:paraId="75732BF6">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硫化氢</w:t>
            </w:r>
          </w:p>
        </w:tc>
        <w:tc>
          <w:tcPr>
            <w:tcW w:w="740" w:type="pct"/>
            <w:tcBorders>
              <w:tl2br w:val="nil"/>
              <w:tr2bl w:val="nil"/>
            </w:tcBorders>
            <w:noWrap w:val="0"/>
            <w:tcMar>
              <w:top w:w="12" w:type="dxa"/>
              <w:left w:w="12" w:type="dxa"/>
              <w:bottom w:w="0" w:type="dxa"/>
              <w:right w:w="12" w:type="dxa"/>
            </w:tcMar>
            <w:vAlign w:val="center"/>
          </w:tcPr>
          <w:p w14:paraId="15D96B32">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0.007256</w:t>
            </w:r>
          </w:p>
        </w:tc>
        <w:tc>
          <w:tcPr>
            <w:tcW w:w="634" w:type="pct"/>
            <w:tcBorders>
              <w:tl2br w:val="nil"/>
              <w:tr2bl w:val="nil"/>
            </w:tcBorders>
            <w:noWrap w:val="0"/>
            <w:tcMar>
              <w:top w:w="12" w:type="dxa"/>
              <w:left w:w="12" w:type="dxa"/>
              <w:bottom w:w="0" w:type="dxa"/>
              <w:right w:w="12" w:type="dxa"/>
            </w:tcMar>
            <w:vAlign w:val="center"/>
          </w:tcPr>
          <w:p w14:paraId="7D459C5D">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c>
          <w:tcPr>
            <w:tcW w:w="461" w:type="pct"/>
            <w:tcBorders>
              <w:tl2br w:val="nil"/>
              <w:tr2bl w:val="nil"/>
            </w:tcBorders>
            <w:noWrap w:val="0"/>
            <w:tcMar>
              <w:top w:w="12" w:type="dxa"/>
              <w:left w:w="12" w:type="dxa"/>
              <w:bottom w:w="0" w:type="dxa"/>
              <w:right w:w="12" w:type="dxa"/>
            </w:tcMar>
            <w:vAlign w:val="center"/>
          </w:tcPr>
          <w:p w14:paraId="45BA8D87">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0.07</w:t>
            </w:r>
          </w:p>
        </w:tc>
        <w:tc>
          <w:tcPr>
            <w:tcW w:w="376" w:type="pct"/>
            <w:vMerge w:val="continue"/>
            <w:tcBorders>
              <w:tl2br w:val="nil"/>
              <w:tr2bl w:val="nil"/>
            </w:tcBorders>
            <w:noWrap w:val="0"/>
            <w:vAlign w:val="center"/>
          </w:tcPr>
          <w:p w14:paraId="5A0892FD">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c>
          <w:tcPr>
            <w:tcW w:w="686" w:type="pct"/>
            <w:vMerge w:val="continue"/>
            <w:tcBorders>
              <w:tl2br w:val="nil"/>
              <w:tr2bl w:val="nil"/>
            </w:tcBorders>
            <w:noWrap w:val="0"/>
            <w:vAlign w:val="center"/>
          </w:tcPr>
          <w:p w14:paraId="3ECC74A5">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cs="Times New Roman"/>
                <w:color w:val="auto"/>
                <w:szCs w:val="21"/>
                <w:highlight w:val="none"/>
              </w:rPr>
            </w:pPr>
          </w:p>
        </w:tc>
        <w:tc>
          <w:tcPr>
            <w:tcW w:w="506" w:type="pct"/>
            <w:vMerge w:val="continue"/>
            <w:tcBorders>
              <w:tl2br w:val="nil"/>
              <w:tr2bl w:val="nil"/>
            </w:tcBorders>
            <w:noWrap w:val="0"/>
            <w:tcMar>
              <w:top w:w="12" w:type="dxa"/>
              <w:left w:w="12" w:type="dxa"/>
              <w:bottom w:w="0" w:type="dxa"/>
              <w:right w:w="12" w:type="dxa"/>
            </w:tcMar>
            <w:vAlign w:val="center"/>
          </w:tcPr>
          <w:p w14:paraId="4ADBF358">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r>
      <w:tr w14:paraId="5C0133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28" w:type="pct"/>
            <w:vMerge w:val="restart"/>
            <w:tcBorders>
              <w:tl2br w:val="nil"/>
              <w:tr2bl w:val="nil"/>
            </w:tcBorders>
            <w:noWrap w:val="0"/>
            <w:vAlign w:val="center"/>
          </w:tcPr>
          <w:p w14:paraId="4C56601F">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650" w:type="pct"/>
            <w:vMerge w:val="restart"/>
            <w:tcBorders>
              <w:tl2br w:val="nil"/>
              <w:tr2bl w:val="nil"/>
            </w:tcBorders>
            <w:noWrap w:val="0"/>
            <w:vAlign w:val="center"/>
          </w:tcPr>
          <w:p w14:paraId="32DC6580">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Cs w:val="21"/>
                <w:highlight w:val="none"/>
              </w:rPr>
            </w:pPr>
            <w:r>
              <w:rPr>
                <w:rFonts w:hint="default" w:ascii="Times New Roman" w:hAnsi="Times New Roman" w:eastAsia="宋体" w:cs="Times New Roman"/>
                <w:b w:val="0"/>
                <w:bCs/>
                <w:color w:val="auto"/>
                <w:spacing w:val="-1"/>
                <w:sz w:val="21"/>
                <w:szCs w:val="21"/>
                <w:highlight w:val="none"/>
              </w:rPr>
              <w:t>雄英101井</w:t>
            </w:r>
          </w:p>
        </w:tc>
        <w:tc>
          <w:tcPr>
            <w:tcW w:w="713" w:type="pct"/>
            <w:tcBorders>
              <w:tl2br w:val="nil"/>
              <w:tr2bl w:val="nil"/>
            </w:tcBorders>
            <w:noWrap w:val="0"/>
            <w:tcMar>
              <w:top w:w="12" w:type="dxa"/>
              <w:left w:w="12" w:type="dxa"/>
              <w:bottom w:w="0" w:type="dxa"/>
              <w:right w:w="12" w:type="dxa"/>
            </w:tcMar>
            <w:vAlign w:val="center"/>
          </w:tcPr>
          <w:p w14:paraId="352CE879">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非甲烷总烃</w:t>
            </w:r>
          </w:p>
        </w:tc>
        <w:tc>
          <w:tcPr>
            <w:tcW w:w="740" w:type="pct"/>
            <w:tcBorders>
              <w:tl2br w:val="nil"/>
              <w:tr2bl w:val="nil"/>
            </w:tcBorders>
            <w:noWrap w:val="0"/>
            <w:tcMar>
              <w:top w:w="12" w:type="dxa"/>
              <w:left w:w="12" w:type="dxa"/>
              <w:bottom w:w="0" w:type="dxa"/>
              <w:right w:w="12" w:type="dxa"/>
            </w:tcMar>
            <w:vAlign w:val="center"/>
          </w:tcPr>
          <w:p w14:paraId="67A14F48">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9.4006</w:t>
            </w:r>
          </w:p>
        </w:tc>
        <w:tc>
          <w:tcPr>
            <w:tcW w:w="634" w:type="pct"/>
            <w:tcBorders>
              <w:tl2br w:val="nil"/>
              <w:tr2bl w:val="nil"/>
            </w:tcBorders>
            <w:noWrap w:val="0"/>
            <w:tcMar>
              <w:top w:w="12" w:type="dxa"/>
              <w:left w:w="12" w:type="dxa"/>
              <w:bottom w:w="0" w:type="dxa"/>
              <w:right w:w="12" w:type="dxa"/>
            </w:tcMar>
            <w:vAlign w:val="center"/>
          </w:tcPr>
          <w:p w14:paraId="0E0ED8D6">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2000</w:t>
            </w:r>
          </w:p>
        </w:tc>
        <w:tc>
          <w:tcPr>
            <w:tcW w:w="461" w:type="pct"/>
            <w:tcBorders>
              <w:tl2br w:val="nil"/>
              <w:tr2bl w:val="nil"/>
            </w:tcBorders>
            <w:noWrap w:val="0"/>
            <w:tcMar>
              <w:top w:w="12" w:type="dxa"/>
              <w:left w:w="12" w:type="dxa"/>
              <w:bottom w:w="0" w:type="dxa"/>
              <w:right w:w="12" w:type="dxa"/>
            </w:tcMar>
            <w:vAlign w:val="center"/>
          </w:tcPr>
          <w:p w14:paraId="0B2CAF1C">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0.47</w:t>
            </w:r>
          </w:p>
        </w:tc>
        <w:tc>
          <w:tcPr>
            <w:tcW w:w="376" w:type="pct"/>
            <w:vMerge w:val="continue"/>
            <w:tcBorders>
              <w:tl2br w:val="nil"/>
              <w:tr2bl w:val="nil"/>
            </w:tcBorders>
            <w:noWrap w:val="0"/>
            <w:vAlign w:val="center"/>
          </w:tcPr>
          <w:p w14:paraId="71B6EEBD">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c>
          <w:tcPr>
            <w:tcW w:w="686" w:type="pct"/>
            <w:vMerge w:val="restart"/>
            <w:tcBorders>
              <w:tl2br w:val="nil"/>
              <w:tr2bl w:val="nil"/>
            </w:tcBorders>
            <w:noWrap w:val="0"/>
            <w:vAlign w:val="center"/>
          </w:tcPr>
          <w:p w14:paraId="55908AF4">
            <w:pPr>
              <w:keepNext w:val="0"/>
              <w:keepLines w:val="0"/>
              <w:pageBreakBefore w:val="0"/>
              <w:widowControl w:val="0"/>
              <w:kinsoku/>
              <w:bidi w:val="0"/>
              <w:jc w:val="center"/>
              <w:rPr>
                <w:rFonts w:hint="default"/>
                <w:color w:val="auto"/>
                <w:highlight w:val="none"/>
                <w:lang w:val="en-US"/>
              </w:rPr>
            </w:pPr>
            <w:r>
              <w:rPr>
                <w:rFonts w:hint="eastAsia" w:cs="Times New Roman"/>
                <w:color w:val="auto"/>
                <w:szCs w:val="21"/>
                <w:highlight w:val="none"/>
                <w:lang w:val="en-US" w:eastAsia="zh-CN"/>
              </w:rPr>
              <w:t>48</w:t>
            </w:r>
          </w:p>
        </w:tc>
        <w:tc>
          <w:tcPr>
            <w:tcW w:w="506" w:type="pct"/>
            <w:vMerge w:val="restart"/>
            <w:tcBorders>
              <w:tl2br w:val="nil"/>
              <w:tr2bl w:val="nil"/>
            </w:tcBorders>
            <w:noWrap w:val="0"/>
            <w:tcMar>
              <w:top w:w="12" w:type="dxa"/>
              <w:left w:w="12" w:type="dxa"/>
              <w:bottom w:w="0" w:type="dxa"/>
              <w:right w:w="12" w:type="dxa"/>
            </w:tcMar>
            <w:vAlign w:val="center"/>
          </w:tcPr>
          <w:p w14:paraId="6017242E">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5E3515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28" w:type="pct"/>
            <w:vMerge w:val="continue"/>
            <w:tcBorders>
              <w:tl2br w:val="nil"/>
              <w:tr2bl w:val="nil"/>
            </w:tcBorders>
            <w:noWrap w:val="0"/>
            <w:vAlign w:val="center"/>
          </w:tcPr>
          <w:p w14:paraId="4BA8DD39">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c>
          <w:tcPr>
            <w:tcW w:w="650" w:type="pct"/>
            <w:vMerge w:val="continue"/>
            <w:tcBorders>
              <w:tl2br w:val="nil"/>
              <w:tr2bl w:val="nil"/>
            </w:tcBorders>
            <w:noWrap w:val="0"/>
            <w:vAlign w:val="center"/>
          </w:tcPr>
          <w:p w14:paraId="137568B7">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c>
          <w:tcPr>
            <w:tcW w:w="713" w:type="pct"/>
            <w:tcBorders>
              <w:tl2br w:val="nil"/>
              <w:tr2bl w:val="nil"/>
            </w:tcBorders>
            <w:noWrap w:val="0"/>
            <w:tcMar>
              <w:top w:w="12" w:type="dxa"/>
              <w:left w:w="12" w:type="dxa"/>
              <w:bottom w:w="0" w:type="dxa"/>
              <w:right w:w="12" w:type="dxa"/>
            </w:tcMar>
            <w:vAlign w:val="center"/>
          </w:tcPr>
          <w:p w14:paraId="6E86660B">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硫化氢</w:t>
            </w:r>
          </w:p>
        </w:tc>
        <w:tc>
          <w:tcPr>
            <w:tcW w:w="740" w:type="pct"/>
            <w:tcBorders>
              <w:tl2br w:val="nil"/>
              <w:tr2bl w:val="nil"/>
            </w:tcBorders>
            <w:noWrap w:val="0"/>
            <w:tcMar>
              <w:top w:w="12" w:type="dxa"/>
              <w:left w:w="12" w:type="dxa"/>
              <w:bottom w:w="0" w:type="dxa"/>
              <w:right w:w="12" w:type="dxa"/>
            </w:tcMar>
            <w:vAlign w:val="center"/>
          </w:tcPr>
          <w:p w14:paraId="3D901AD4">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0.007256</w:t>
            </w:r>
          </w:p>
        </w:tc>
        <w:tc>
          <w:tcPr>
            <w:tcW w:w="634" w:type="pct"/>
            <w:tcBorders>
              <w:tl2br w:val="nil"/>
              <w:tr2bl w:val="nil"/>
            </w:tcBorders>
            <w:noWrap w:val="0"/>
            <w:tcMar>
              <w:top w:w="12" w:type="dxa"/>
              <w:left w:w="12" w:type="dxa"/>
              <w:bottom w:w="0" w:type="dxa"/>
              <w:right w:w="12" w:type="dxa"/>
            </w:tcMar>
            <w:vAlign w:val="center"/>
          </w:tcPr>
          <w:p w14:paraId="29FBBDF6">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c>
          <w:tcPr>
            <w:tcW w:w="461" w:type="pct"/>
            <w:tcBorders>
              <w:tl2br w:val="nil"/>
              <w:tr2bl w:val="nil"/>
            </w:tcBorders>
            <w:noWrap w:val="0"/>
            <w:tcMar>
              <w:top w:w="12" w:type="dxa"/>
              <w:left w:w="12" w:type="dxa"/>
              <w:bottom w:w="0" w:type="dxa"/>
              <w:right w:w="12" w:type="dxa"/>
            </w:tcMar>
            <w:vAlign w:val="center"/>
          </w:tcPr>
          <w:p w14:paraId="368A6A1A">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0.07</w:t>
            </w:r>
          </w:p>
        </w:tc>
        <w:tc>
          <w:tcPr>
            <w:tcW w:w="376" w:type="pct"/>
            <w:vMerge w:val="continue"/>
            <w:tcBorders>
              <w:tl2br w:val="nil"/>
              <w:tr2bl w:val="nil"/>
            </w:tcBorders>
            <w:noWrap w:val="0"/>
            <w:vAlign w:val="center"/>
          </w:tcPr>
          <w:p w14:paraId="5E30E162">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c>
          <w:tcPr>
            <w:tcW w:w="686" w:type="pct"/>
            <w:vMerge w:val="continue"/>
            <w:tcBorders>
              <w:tl2br w:val="nil"/>
              <w:tr2bl w:val="nil"/>
            </w:tcBorders>
            <w:noWrap w:val="0"/>
            <w:vAlign w:val="center"/>
          </w:tcPr>
          <w:p w14:paraId="563E5401">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cs="Times New Roman"/>
                <w:color w:val="auto"/>
                <w:szCs w:val="21"/>
                <w:highlight w:val="none"/>
              </w:rPr>
            </w:pPr>
          </w:p>
        </w:tc>
        <w:tc>
          <w:tcPr>
            <w:tcW w:w="506" w:type="pct"/>
            <w:vMerge w:val="continue"/>
            <w:tcBorders>
              <w:tl2br w:val="nil"/>
              <w:tr2bl w:val="nil"/>
            </w:tcBorders>
            <w:noWrap w:val="0"/>
            <w:tcMar>
              <w:top w:w="12" w:type="dxa"/>
              <w:left w:w="12" w:type="dxa"/>
              <w:bottom w:w="0" w:type="dxa"/>
              <w:right w:w="12" w:type="dxa"/>
            </w:tcMar>
            <w:vAlign w:val="center"/>
          </w:tcPr>
          <w:p w14:paraId="1AF8760C">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r>
      <w:tr w14:paraId="08877F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28" w:type="pct"/>
            <w:vMerge w:val="restart"/>
            <w:tcBorders>
              <w:tl2br w:val="nil"/>
              <w:tr2bl w:val="nil"/>
            </w:tcBorders>
            <w:noWrap w:val="0"/>
            <w:vAlign w:val="center"/>
          </w:tcPr>
          <w:p w14:paraId="6984BC20">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p>
        </w:tc>
        <w:tc>
          <w:tcPr>
            <w:tcW w:w="650" w:type="pct"/>
            <w:vMerge w:val="restart"/>
            <w:tcBorders>
              <w:tl2br w:val="nil"/>
              <w:tr2bl w:val="nil"/>
            </w:tcBorders>
            <w:noWrap w:val="0"/>
            <w:tcMar>
              <w:top w:w="12" w:type="dxa"/>
              <w:left w:w="12" w:type="dxa"/>
              <w:bottom w:w="0" w:type="dxa"/>
              <w:right w:w="12" w:type="dxa"/>
            </w:tcMar>
            <w:vAlign w:val="center"/>
          </w:tcPr>
          <w:p w14:paraId="3C3A5D4D">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Cs w:val="21"/>
                <w:highlight w:val="none"/>
              </w:rPr>
            </w:pPr>
            <w:r>
              <w:rPr>
                <w:rFonts w:hint="default" w:ascii="Times New Roman" w:hAnsi="Times New Roman" w:eastAsia="宋体" w:cs="Times New Roman"/>
                <w:b w:val="0"/>
                <w:bCs/>
                <w:color w:val="auto"/>
                <w:spacing w:val="-1"/>
                <w:sz w:val="21"/>
                <w:szCs w:val="21"/>
                <w:highlight w:val="none"/>
              </w:rPr>
              <w:t>雄英102井</w:t>
            </w:r>
          </w:p>
        </w:tc>
        <w:tc>
          <w:tcPr>
            <w:tcW w:w="713" w:type="pct"/>
            <w:tcBorders>
              <w:tl2br w:val="nil"/>
              <w:tr2bl w:val="nil"/>
            </w:tcBorders>
            <w:noWrap w:val="0"/>
            <w:tcMar>
              <w:top w:w="12" w:type="dxa"/>
              <w:left w:w="12" w:type="dxa"/>
              <w:bottom w:w="0" w:type="dxa"/>
              <w:right w:w="12" w:type="dxa"/>
            </w:tcMar>
            <w:vAlign w:val="center"/>
          </w:tcPr>
          <w:p w14:paraId="601F8628">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非甲烷总烃</w:t>
            </w:r>
          </w:p>
        </w:tc>
        <w:tc>
          <w:tcPr>
            <w:tcW w:w="740" w:type="pct"/>
            <w:tcBorders>
              <w:tl2br w:val="nil"/>
              <w:tr2bl w:val="nil"/>
            </w:tcBorders>
            <w:noWrap w:val="0"/>
            <w:tcMar>
              <w:top w:w="12" w:type="dxa"/>
              <w:left w:w="12" w:type="dxa"/>
              <w:bottom w:w="0" w:type="dxa"/>
              <w:right w:w="12" w:type="dxa"/>
            </w:tcMar>
            <w:vAlign w:val="center"/>
          </w:tcPr>
          <w:p w14:paraId="60840D73">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9.4006</w:t>
            </w:r>
          </w:p>
        </w:tc>
        <w:tc>
          <w:tcPr>
            <w:tcW w:w="634" w:type="pct"/>
            <w:tcBorders>
              <w:tl2br w:val="nil"/>
              <w:tr2bl w:val="nil"/>
            </w:tcBorders>
            <w:noWrap w:val="0"/>
            <w:tcMar>
              <w:top w:w="12" w:type="dxa"/>
              <w:left w:w="12" w:type="dxa"/>
              <w:bottom w:w="0" w:type="dxa"/>
              <w:right w:w="12" w:type="dxa"/>
            </w:tcMar>
            <w:vAlign w:val="center"/>
          </w:tcPr>
          <w:p w14:paraId="13C69793">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2000</w:t>
            </w:r>
          </w:p>
        </w:tc>
        <w:tc>
          <w:tcPr>
            <w:tcW w:w="461" w:type="pct"/>
            <w:tcBorders>
              <w:tl2br w:val="nil"/>
              <w:tr2bl w:val="nil"/>
            </w:tcBorders>
            <w:noWrap w:val="0"/>
            <w:tcMar>
              <w:top w:w="12" w:type="dxa"/>
              <w:left w:w="12" w:type="dxa"/>
              <w:bottom w:w="0" w:type="dxa"/>
              <w:right w:w="12" w:type="dxa"/>
            </w:tcMar>
            <w:vAlign w:val="center"/>
          </w:tcPr>
          <w:p w14:paraId="6980C0CD">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0.47</w:t>
            </w:r>
          </w:p>
        </w:tc>
        <w:tc>
          <w:tcPr>
            <w:tcW w:w="376" w:type="pct"/>
            <w:vMerge w:val="continue"/>
            <w:tcBorders>
              <w:tl2br w:val="nil"/>
              <w:tr2bl w:val="nil"/>
            </w:tcBorders>
            <w:noWrap w:val="0"/>
            <w:tcMar>
              <w:top w:w="12" w:type="dxa"/>
              <w:left w:w="12" w:type="dxa"/>
              <w:bottom w:w="0" w:type="dxa"/>
              <w:right w:w="12" w:type="dxa"/>
            </w:tcMar>
            <w:vAlign w:val="center"/>
          </w:tcPr>
          <w:p w14:paraId="575FD5EF">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c>
          <w:tcPr>
            <w:tcW w:w="686" w:type="pct"/>
            <w:vMerge w:val="restart"/>
            <w:tcBorders>
              <w:tl2br w:val="nil"/>
              <w:tr2bl w:val="nil"/>
            </w:tcBorders>
            <w:noWrap w:val="0"/>
            <w:tcMar>
              <w:top w:w="12" w:type="dxa"/>
              <w:left w:w="12" w:type="dxa"/>
              <w:bottom w:w="0" w:type="dxa"/>
              <w:right w:w="12" w:type="dxa"/>
            </w:tcMar>
            <w:vAlign w:val="center"/>
          </w:tcPr>
          <w:p w14:paraId="4C57242B">
            <w:pPr>
              <w:keepNext w:val="0"/>
              <w:keepLines w:val="0"/>
              <w:pageBreakBefore w:val="0"/>
              <w:widowControl w:val="0"/>
              <w:kinsoku/>
              <w:bidi w:val="0"/>
              <w:jc w:val="center"/>
              <w:rPr>
                <w:rFonts w:hint="default"/>
                <w:color w:val="auto"/>
                <w:highlight w:val="none"/>
              </w:rPr>
            </w:pPr>
            <w:r>
              <w:rPr>
                <w:rFonts w:hint="eastAsia" w:cs="Times New Roman"/>
                <w:color w:val="auto"/>
                <w:szCs w:val="21"/>
                <w:highlight w:val="none"/>
                <w:lang w:val="en-US" w:eastAsia="zh-CN"/>
              </w:rPr>
              <w:t>48</w:t>
            </w:r>
          </w:p>
        </w:tc>
        <w:tc>
          <w:tcPr>
            <w:tcW w:w="506" w:type="pct"/>
            <w:vMerge w:val="restart"/>
            <w:tcBorders>
              <w:tl2br w:val="nil"/>
              <w:tr2bl w:val="nil"/>
            </w:tcBorders>
            <w:noWrap w:val="0"/>
            <w:tcMar>
              <w:top w:w="12" w:type="dxa"/>
              <w:left w:w="12" w:type="dxa"/>
              <w:bottom w:w="0" w:type="dxa"/>
              <w:right w:w="12" w:type="dxa"/>
            </w:tcMar>
            <w:vAlign w:val="center"/>
          </w:tcPr>
          <w:p w14:paraId="3FA12AC4">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23E868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28" w:type="pct"/>
            <w:vMerge w:val="continue"/>
            <w:tcBorders>
              <w:tl2br w:val="nil"/>
              <w:tr2bl w:val="nil"/>
            </w:tcBorders>
            <w:noWrap w:val="0"/>
            <w:vAlign w:val="center"/>
          </w:tcPr>
          <w:p w14:paraId="3EF0D281">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c>
          <w:tcPr>
            <w:tcW w:w="650" w:type="pct"/>
            <w:vMerge w:val="continue"/>
            <w:tcBorders>
              <w:tl2br w:val="nil"/>
              <w:tr2bl w:val="nil"/>
            </w:tcBorders>
            <w:noWrap w:val="0"/>
            <w:vAlign w:val="center"/>
          </w:tcPr>
          <w:p w14:paraId="2F5778A9">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c>
          <w:tcPr>
            <w:tcW w:w="713" w:type="pct"/>
            <w:tcBorders>
              <w:tl2br w:val="nil"/>
              <w:tr2bl w:val="nil"/>
            </w:tcBorders>
            <w:noWrap w:val="0"/>
            <w:tcMar>
              <w:top w:w="12" w:type="dxa"/>
              <w:left w:w="12" w:type="dxa"/>
              <w:bottom w:w="0" w:type="dxa"/>
              <w:right w:w="12" w:type="dxa"/>
            </w:tcMar>
            <w:vAlign w:val="center"/>
          </w:tcPr>
          <w:p w14:paraId="6A7F178B">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硫化氢</w:t>
            </w:r>
          </w:p>
        </w:tc>
        <w:tc>
          <w:tcPr>
            <w:tcW w:w="740" w:type="pct"/>
            <w:tcBorders>
              <w:tl2br w:val="nil"/>
              <w:tr2bl w:val="nil"/>
            </w:tcBorders>
            <w:noWrap w:val="0"/>
            <w:tcMar>
              <w:top w:w="12" w:type="dxa"/>
              <w:left w:w="12" w:type="dxa"/>
              <w:bottom w:w="0" w:type="dxa"/>
              <w:right w:w="12" w:type="dxa"/>
            </w:tcMar>
            <w:vAlign w:val="center"/>
          </w:tcPr>
          <w:p w14:paraId="2F41E922">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0.007256</w:t>
            </w:r>
          </w:p>
        </w:tc>
        <w:tc>
          <w:tcPr>
            <w:tcW w:w="634" w:type="pct"/>
            <w:tcBorders>
              <w:tl2br w:val="nil"/>
              <w:tr2bl w:val="nil"/>
            </w:tcBorders>
            <w:noWrap w:val="0"/>
            <w:tcMar>
              <w:top w:w="12" w:type="dxa"/>
              <w:left w:w="12" w:type="dxa"/>
              <w:bottom w:w="0" w:type="dxa"/>
              <w:right w:w="12" w:type="dxa"/>
            </w:tcMar>
            <w:vAlign w:val="center"/>
          </w:tcPr>
          <w:p w14:paraId="390970ED">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c>
          <w:tcPr>
            <w:tcW w:w="461" w:type="pct"/>
            <w:tcBorders>
              <w:tl2br w:val="nil"/>
              <w:tr2bl w:val="nil"/>
            </w:tcBorders>
            <w:noWrap w:val="0"/>
            <w:tcMar>
              <w:top w:w="12" w:type="dxa"/>
              <w:left w:w="12" w:type="dxa"/>
              <w:bottom w:w="0" w:type="dxa"/>
              <w:right w:w="12" w:type="dxa"/>
            </w:tcMar>
            <w:vAlign w:val="center"/>
          </w:tcPr>
          <w:p w14:paraId="748DB2D8">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0.07</w:t>
            </w:r>
          </w:p>
        </w:tc>
        <w:tc>
          <w:tcPr>
            <w:tcW w:w="376" w:type="pct"/>
            <w:vMerge w:val="continue"/>
            <w:tcBorders>
              <w:tl2br w:val="nil"/>
              <w:tr2bl w:val="nil"/>
            </w:tcBorders>
            <w:noWrap w:val="0"/>
            <w:vAlign w:val="center"/>
          </w:tcPr>
          <w:p w14:paraId="6E3D2136">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c>
          <w:tcPr>
            <w:tcW w:w="686" w:type="pct"/>
            <w:vMerge w:val="continue"/>
            <w:tcBorders>
              <w:tl2br w:val="nil"/>
              <w:tr2bl w:val="nil"/>
            </w:tcBorders>
            <w:noWrap w:val="0"/>
            <w:vAlign w:val="center"/>
          </w:tcPr>
          <w:p w14:paraId="1EDCE126">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cs="Times New Roman"/>
                <w:color w:val="auto"/>
                <w:szCs w:val="21"/>
                <w:highlight w:val="none"/>
              </w:rPr>
            </w:pPr>
          </w:p>
        </w:tc>
        <w:tc>
          <w:tcPr>
            <w:tcW w:w="506" w:type="pct"/>
            <w:vMerge w:val="continue"/>
            <w:tcBorders>
              <w:tl2br w:val="nil"/>
              <w:tr2bl w:val="nil"/>
            </w:tcBorders>
            <w:noWrap w:val="0"/>
            <w:tcMar>
              <w:top w:w="12" w:type="dxa"/>
              <w:left w:w="12" w:type="dxa"/>
              <w:bottom w:w="0" w:type="dxa"/>
              <w:right w:w="12" w:type="dxa"/>
            </w:tcMar>
            <w:vAlign w:val="center"/>
          </w:tcPr>
          <w:p w14:paraId="7AEC83FC">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r>
      <w:tr w14:paraId="2B0BC9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28" w:type="pct"/>
            <w:vMerge w:val="restart"/>
            <w:tcBorders>
              <w:tl2br w:val="nil"/>
              <w:tr2bl w:val="nil"/>
            </w:tcBorders>
            <w:noWrap w:val="0"/>
            <w:vAlign w:val="center"/>
          </w:tcPr>
          <w:p w14:paraId="265C1A85">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w:t>
            </w:r>
          </w:p>
        </w:tc>
        <w:tc>
          <w:tcPr>
            <w:tcW w:w="650" w:type="pct"/>
            <w:vMerge w:val="restart"/>
            <w:tcBorders>
              <w:tl2br w:val="nil"/>
              <w:tr2bl w:val="nil"/>
            </w:tcBorders>
            <w:noWrap w:val="0"/>
            <w:tcMar>
              <w:top w:w="12" w:type="dxa"/>
              <w:left w:w="12" w:type="dxa"/>
              <w:bottom w:w="0" w:type="dxa"/>
              <w:right w:w="12" w:type="dxa"/>
            </w:tcMar>
            <w:vAlign w:val="center"/>
          </w:tcPr>
          <w:p w14:paraId="1A106D84">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Cs w:val="21"/>
                <w:highlight w:val="none"/>
              </w:rPr>
            </w:pPr>
            <w:r>
              <w:rPr>
                <w:rFonts w:hint="default" w:ascii="Times New Roman" w:hAnsi="Times New Roman" w:eastAsia="宋体" w:cs="Times New Roman"/>
                <w:b w:val="0"/>
                <w:bCs/>
                <w:color w:val="auto"/>
                <w:spacing w:val="-1"/>
                <w:sz w:val="21"/>
                <w:szCs w:val="21"/>
                <w:highlight w:val="none"/>
              </w:rPr>
              <w:t>雄英103井</w:t>
            </w:r>
          </w:p>
        </w:tc>
        <w:tc>
          <w:tcPr>
            <w:tcW w:w="713" w:type="pct"/>
            <w:tcBorders>
              <w:tl2br w:val="nil"/>
              <w:tr2bl w:val="nil"/>
            </w:tcBorders>
            <w:noWrap w:val="0"/>
            <w:tcMar>
              <w:top w:w="12" w:type="dxa"/>
              <w:left w:w="12" w:type="dxa"/>
              <w:bottom w:w="0" w:type="dxa"/>
              <w:right w:w="12" w:type="dxa"/>
            </w:tcMar>
            <w:vAlign w:val="center"/>
          </w:tcPr>
          <w:p w14:paraId="6A5D2D50">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非甲烷总烃</w:t>
            </w:r>
          </w:p>
        </w:tc>
        <w:tc>
          <w:tcPr>
            <w:tcW w:w="740" w:type="pct"/>
            <w:tcBorders>
              <w:tl2br w:val="nil"/>
              <w:tr2bl w:val="nil"/>
            </w:tcBorders>
            <w:noWrap w:val="0"/>
            <w:tcMar>
              <w:top w:w="12" w:type="dxa"/>
              <w:left w:w="12" w:type="dxa"/>
              <w:bottom w:w="0" w:type="dxa"/>
              <w:right w:w="12" w:type="dxa"/>
            </w:tcMar>
            <w:vAlign w:val="center"/>
          </w:tcPr>
          <w:p w14:paraId="0AD7F8E7">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9.4006</w:t>
            </w:r>
          </w:p>
        </w:tc>
        <w:tc>
          <w:tcPr>
            <w:tcW w:w="634" w:type="pct"/>
            <w:tcBorders>
              <w:tl2br w:val="nil"/>
              <w:tr2bl w:val="nil"/>
            </w:tcBorders>
            <w:noWrap w:val="0"/>
            <w:tcMar>
              <w:top w:w="12" w:type="dxa"/>
              <w:left w:w="12" w:type="dxa"/>
              <w:bottom w:w="0" w:type="dxa"/>
              <w:right w:w="12" w:type="dxa"/>
            </w:tcMar>
            <w:vAlign w:val="center"/>
          </w:tcPr>
          <w:p w14:paraId="5C931E1F">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2000</w:t>
            </w:r>
          </w:p>
        </w:tc>
        <w:tc>
          <w:tcPr>
            <w:tcW w:w="461" w:type="pct"/>
            <w:tcBorders>
              <w:tl2br w:val="nil"/>
              <w:tr2bl w:val="nil"/>
            </w:tcBorders>
            <w:noWrap w:val="0"/>
            <w:tcMar>
              <w:top w:w="12" w:type="dxa"/>
              <w:left w:w="12" w:type="dxa"/>
              <w:bottom w:w="0" w:type="dxa"/>
              <w:right w:w="12" w:type="dxa"/>
            </w:tcMar>
            <w:vAlign w:val="center"/>
          </w:tcPr>
          <w:p w14:paraId="6BB7C1F0">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0.47</w:t>
            </w:r>
          </w:p>
        </w:tc>
        <w:tc>
          <w:tcPr>
            <w:tcW w:w="376" w:type="pct"/>
            <w:vMerge w:val="continue"/>
            <w:tcBorders>
              <w:tl2br w:val="nil"/>
              <w:tr2bl w:val="nil"/>
            </w:tcBorders>
            <w:noWrap w:val="0"/>
            <w:tcMar>
              <w:top w:w="12" w:type="dxa"/>
              <w:left w:w="12" w:type="dxa"/>
              <w:bottom w:w="0" w:type="dxa"/>
              <w:right w:w="12" w:type="dxa"/>
            </w:tcMar>
            <w:vAlign w:val="center"/>
          </w:tcPr>
          <w:p w14:paraId="6B1C619B">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eastAsia="宋体" w:cs="Times New Roman"/>
                <w:color w:val="auto"/>
                <w:szCs w:val="21"/>
                <w:highlight w:val="none"/>
                <w:lang w:val="en-US" w:eastAsia="zh-CN"/>
              </w:rPr>
            </w:pPr>
          </w:p>
        </w:tc>
        <w:tc>
          <w:tcPr>
            <w:tcW w:w="686" w:type="pct"/>
            <w:vMerge w:val="restart"/>
            <w:tcBorders>
              <w:tl2br w:val="nil"/>
              <w:tr2bl w:val="nil"/>
            </w:tcBorders>
            <w:noWrap w:val="0"/>
            <w:tcMar>
              <w:top w:w="12" w:type="dxa"/>
              <w:left w:w="12" w:type="dxa"/>
              <w:bottom w:w="0" w:type="dxa"/>
              <w:right w:w="12" w:type="dxa"/>
            </w:tcMar>
            <w:vAlign w:val="center"/>
          </w:tcPr>
          <w:p w14:paraId="087E464D">
            <w:pPr>
              <w:keepNext w:val="0"/>
              <w:keepLines w:val="0"/>
              <w:pageBreakBefore w:val="0"/>
              <w:widowControl w:val="0"/>
              <w:kinsoku/>
              <w:bidi w:val="0"/>
              <w:jc w:val="center"/>
              <w:rPr>
                <w:rFonts w:hint="default"/>
                <w:color w:val="auto"/>
                <w:highlight w:val="none"/>
                <w:lang w:val="en-US" w:eastAsia="zh-CN"/>
              </w:rPr>
            </w:pPr>
            <w:r>
              <w:rPr>
                <w:rFonts w:hint="eastAsia" w:cs="Times New Roman"/>
                <w:color w:val="auto"/>
                <w:szCs w:val="21"/>
                <w:highlight w:val="none"/>
                <w:lang w:val="en-US" w:eastAsia="zh-CN"/>
              </w:rPr>
              <w:t>48</w:t>
            </w:r>
          </w:p>
        </w:tc>
        <w:tc>
          <w:tcPr>
            <w:tcW w:w="506" w:type="pct"/>
            <w:vMerge w:val="restart"/>
            <w:tcBorders>
              <w:tl2br w:val="nil"/>
              <w:tr2bl w:val="nil"/>
            </w:tcBorders>
            <w:noWrap w:val="0"/>
            <w:tcMar>
              <w:top w:w="12" w:type="dxa"/>
              <w:left w:w="12" w:type="dxa"/>
              <w:bottom w:w="0" w:type="dxa"/>
              <w:right w:w="12" w:type="dxa"/>
            </w:tcMar>
            <w:vAlign w:val="center"/>
          </w:tcPr>
          <w:p w14:paraId="11AD01EE">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7297F4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28" w:type="pct"/>
            <w:vMerge w:val="continue"/>
            <w:tcBorders>
              <w:tl2br w:val="nil"/>
              <w:tr2bl w:val="nil"/>
            </w:tcBorders>
            <w:noWrap w:val="0"/>
            <w:vAlign w:val="center"/>
          </w:tcPr>
          <w:p w14:paraId="1D7E34F8">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c>
          <w:tcPr>
            <w:tcW w:w="650" w:type="pct"/>
            <w:vMerge w:val="continue"/>
            <w:tcBorders>
              <w:tl2br w:val="nil"/>
              <w:tr2bl w:val="nil"/>
            </w:tcBorders>
            <w:noWrap w:val="0"/>
            <w:vAlign w:val="center"/>
          </w:tcPr>
          <w:p w14:paraId="24906858">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c>
          <w:tcPr>
            <w:tcW w:w="713" w:type="pct"/>
            <w:tcBorders>
              <w:tl2br w:val="nil"/>
              <w:tr2bl w:val="nil"/>
            </w:tcBorders>
            <w:noWrap w:val="0"/>
            <w:tcMar>
              <w:top w:w="12" w:type="dxa"/>
              <w:left w:w="12" w:type="dxa"/>
              <w:bottom w:w="0" w:type="dxa"/>
              <w:right w:w="12" w:type="dxa"/>
            </w:tcMar>
            <w:vAlign w:val="center"/>
          </w:tcPr>
          <w:p w14:paraId="516C4BE7">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硫化氢</w:t>
            </w:r>
          </w:p>
        </w:tc>
        <w:tc>
          <w:tcPr>
            <w:tcW w:w="740" w:type="pct"/>
            <w:tcBorders>
              <w:tl2br w:val="nil"/>
              <w:tr2bl w:val="nil"/>
            </w:tcBorders>
            <w:noWrap w:val="0"/>
            <w:tcMar>
              <w:top w:w="12" w:type="dxa"/>
              <w:left w:w="12" w:type="dxa"/>
              <w:bottom w:w="0" w:type="dxa"/>
              <w:right w:w="12" w:type="dxa"/>
            </w:tcMar>
            <w:vAlign w:val="center"/>
          </w:tcPr>
          <w:p w14:paraId="6F352F94">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0.007256</w:t>
            </w:r>
          </w:p>
        </w:tc>
        <w:tc>
          <w:tcPr>
            <w:tcW w:w="634" w:type="pct"/>
            <w:tcBorders>
              <w:tl2br w:val="nil"/>
              <w:tr2bl w:val="nil"/>
            </w:tcBorders>
            <w:noWrap w:val="0"/>
            <w:tcMar>
              <w:top w:w="12" w:type="dxa"/>
              <w:left w:w="12" w:type="dxa"/>
              <w:bottom w:w="0" w:type="dxa"/>
              <w:right w:w="12" w:type="dxa"/>
            </w:tcMar>
            <w:vAlign w:val="center"/>
          </w:tcPr>
          <w:p w14:paraId="1EDFF462">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c>
          <w:tcPr>
            <w:tcW w:w="461" w:type="pct"/>
            <w:tcBorders>
              <w:tl2br w:val="nil"/>
              <w:tr2bl w:val="nil"/>
            </w:tcBorders>
            <w:noWrap w:val="0"/>
            <w:tcMar>
              <w:top w:w="12" w:type="dxa"/>
              <w:left w:w="12" w:type="dxa"/>
              <w:bottom w:w="0" w:type="dxa"/>
              <w:right w:w="12" w:type="dxa"/>
            </w:tcMar>
            <w:vAlign w:val="center"/>
          </w:tcPr>
          <w:p w14:paraId="7E91BCD2">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0.07</w:t>
            </w:r>
          </w:p>
        </w:tc>
        <w:tc>
          <w:tcPr>
            <w:tcW w:w="376" w:type="pct"/>
            <w:vMerge w:val="continue"/>
            <w:tcBorders>
              <w:tl2br w:val="nil"/>
              <w:tr2bl w:val="nil"/>
            </w:tcBorders>
            <w:noWrap w:val="0"/>
            <w:vAlign w:val="center"/>
          </w:tcPr>
          <w:p w14:paraId="397A11D5">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c>
          <w:tcPr>
            <w:tcW w:w="686" w:type="pct"/>
            <w:vMerge w:val="continue"/>
            <w:tcBorders>
              <w:tl2br w:val="nil"/>
              <w:tr2bl w:val="nil"/>
            </w:tcBorders>
            <w:noWrap w:val="0"/>
            <w:vAlign w:val="center"/>
          </w:tcPr>
          <w:p w14:paraId="6D8BA462">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cs="Times New Roman"/>
                <w:color w:val="auto"/>
                <w:szCs w:val="21"/>
                <w:highlight w:val="none"/>
              </w:rPr>
            </w:pPr>
          </w:p>
        </w:tc>
        <w:tc>
          <w:tcPr>
            <w:tcW w:w="506" w:type="pct"/>
            <w:vMerge w:val="continue"/>
            <w:tcBorders>
              <w:tl2br w:val="nil"/>
              <w:tr2bl w:val="nil"/>
            </w:tcBorders>
            <w:noWrap w:val="0"/>
            <w:tcMar>
              <w:top w:w="12" w:type="dxa"/>
              <w:left w:w="12" w:type="dxa"/>
              <w:bottom w:w="0" w:type="dxa"/>
              <w:right w:w="12" w:type="dxa"/>
            </w:tcMar>
            <w:vAlign w:val="center"/>
          </w:tcPr>
          <w:p w14:paraId="0318B861">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r>
      <w:tr w14:paraId="52B52F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28" w:type="pct"/>
            <w:vMerge w:val="restart"/>
            <w:tcBorders>
              <w:tl2br w:val="nil"/>
              <w:tr2bl w:val="nil"/>
            </w:tcBorders>
            <w:noWrap w:val="0"/>
            <w:vAlign w:val="center"/>
          </w:tcPr>
          <w:p w14:paraId="71C0B3B6">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w:t>
            </w:r>
          </w:p>
        </w:tc>
        <w:tc>
          <w:tcPr>
            <w:tcW w:w="650" w:type="pct"/>
            <w:vMerge w:val="restart"/>
            <w:tcBorders>
              <w:tl2br w:val="nil"/>
              <w:tr2bl w:val="nil"/>
            </w:tcBorders>
            <w:noWrap w:val="0"/>
            <w:vAlign w:val="center"/>
          </w:tcPr>
          <w:p w14:paraId="529B763C">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pacing w:val="-1"/>
                <w:sz w:val="21"/>
                <w:szCs w:val="21"/>
                <w:highlight w:val="none"/>
              </w:rPr>
              <w:t>雄英</w:t>
            </w:r>
            <w:r>
              <w:rPr>
                <w:rFonts w:hint="eastAsia" w:cs="Times New Roman"/>
                <w:b w:val="0"/>
                <w:bCs/>
                <w:color w:val="auto"/>
                <w:spacing w:val="-1"/>
                <w:sz w:val="21"/>
                <w:szCs w:val="21"/>
                <w:highlight w:val="none"/>
                <w:lang w:val="en-US" w:eastAsia="zh-CN"/>
              </w:rPr>
              <w:t>2</w:t>
            </w:r>
            <w:r>
              <w:rPr>
                <w:rFonts w:hint="default" w:ascii="Times New Roman" w:hAnsi="Times New Roman" w:eastAsia="宋体" w:cs="Times New Roman"/>
                <w:b w:val="0"/>
                <w:bCs/>
                <w:color w:val="auto"/>
                <w:spacing w:val="-1"/>
                <w:sz w:val="21"/>
                <w:szCs w:val="21"/>
                <w:highlight w:val="none"/>
              </w:rPr>
              <w:t>井</w:t>
            </w:r>
          </w:p>
        </w:tc>
        <w:tc>
          <w:tcPr>
            <w:tcW w:w="713" w:type="pct"/>
            <w:tcBorders>
              <w:tl2br w:val="nil"/>
              <w:tr2bl w:val="nil"/>
            </w:tcBorders>
            <w:noWrap w:val="0"/>
            <w:tcMar>
              <w:top w:w="12" w:type="dxa"/>
              <w:left w:w="12" w:type="dxa"/>
              <w:bottom w:w="0" w:type="dxa"/>
              <w:right w:w="12" w:type="dxa"/>
            </w:tcMar>
            <w:vAlign w:val="center"/>
          </w:tcPr>
          <w:p w14:paraId="24ACE738">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cs="Times New Roman"/>
                <w:color w:val="auto"/>
                <w:szCs w:val="21"/>
                <w:highlight w:val="none"/>
              </w:rPr>
              <w:t>非甲烷总烃</w:t>
            </w:r>
          </w:p>
        </w:tc>
        <w:tc>
          <w:tcPr>
            <w:tcW w:w="740" w:type="pct"/>
            <w:tcBorders>
              <w:tl2br w:val="nil"/>
              <w:tr2bl w:val="nil"/>
            </w:tcBorders>
            <w:noWrap w:val="0"/>
            <w:tcMar>
              <w:top w:w="12" w:type="dxa"/>
              <w:left w:w="12" w:type="dxa"/>
              <w:bottom w:w="0" w:type="dxa"/>
              <w:right w:w="12" w:type="dxa"/>
            </w:tcMar>
            <w:vAlign w:val="center"/>
          </w:tcPr>
          <w:p w14:paraId="6F8C5D6E">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eastAsia"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zCs w:val="21"/>
                <w:highlight w:val="none"/>
                <w:lang w:val="en-US" w:eastAsia="zh-CN"/>
              </w:rPr>
              <w:t>9.4006</w:t>
            </w:r>
          </w:p>
        </w:tc>
        <w:tc>
          <w:tcPr>
            <w:tcW w:w="634" w:type="pct"/>
            <w:tcBorders>
              <w:tl2br w:val="nil"/>
              <w:tr2bl w:val="nil"/>
            </w:tcBorders>
            <w:noWrap w:val="0"/>
            <w:tcMar>
              <w:top w:w="12" w:type="dxa"/>
              <w:left w:w="12" w:type="dxa"/>
              <w:bottom w:w="0" w:type="dxa"/>
              <w:right w:w="12" w:type="dxa"/>
            </w:tcMar>
            <w:vAlign w:val="center"/>
          </w:tcPr>
          <w:p w14:paraId="22DE4F4D">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cs="Times New Roman"/>
                <w:color w:val="auto"/>
                <w:szCs w:val="21"/>
                <w:highlight w:val="none"/>
              </w:rPr>
              <w:t>2000</w:t>
            </w:r>
          </w:p>
        </w:tc>
        <w:tc>
          <w:tcPr>
            <w:tcW w:w="461" w:type="pct"/>
            <w:tcBorders>
              <w:tl2br w:val="nil"/>
              <w:tr2bl w:val="nil"/>
            </w:tcBorders>
            <w:noWrap w:val="0"/>
            <w:tcMar>
              <w:top w:w="12" w:type="dxa"/>
              <w:left w:w="12" w:type="dxa"/>
              <w:bottom w:w="0" w:type="dxa"/>
              <w:right w:w="12" w:type="dxa"/>
            </w:tcMar>
            <w:vAlign w:val="center"/>
          </w:tcPr>
          <w:p w14:paraId="5B261F53">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eastAsia"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zCs w:val="21"/>
                <w:highlight w:val="none"/>
                <w:lang w:val="en-US" w:eastAsia="zh-CN"/>
              </w:rPr>
              <w:t>0.47</w:t>
            </w:r>
          </w:p>
        </w:tc>
        <w:tc>
          <w:tcPr>
            <w:tcW w:w="376" w:type="pct"/>
            <w:vMerge w:val="continue"/>
            <w:tcBorders>
              <w:tl2br w:val="nil"/>
              <w:tr2bl w:val="nil"/>
            </w:tcBorders>
            <w:noWrap w:val="0"/>
            <w:vAlign w:val="center"/>
          </w:tcPr>
          <w:p w14:paraId="22BB6659">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c>
          <w:tcPr>
            <w:tcW w:w="686" w:type="pct"/>
            <w:vMerge w:val="restart"/>
            <w:tcBorders>
              <w:tl2br w:val="nil"/>
              <w:tr2bl w:val="nil"/>
            </w:tcBorders>
            <w:noWrap w:val="0"/>
            <w:vAlign w:val="center"/>
          </w:tcPr>
          <w:p w14:paraId="70C5F193">
            <w:pPr>
              <w:keepNext w:val="0"/>
              <w:keepLines w:val="0"/>
              <w:pageBreakBefore w:val="0"/>
              <w:widowControl w:val="0"/>
              <w:kinsoku/>
              <w:bidi w:val="0"/>
              <w:jc w:val="center"/>
              <w:rPr>
                <w:rFonts w:hint="eastAsia"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48</w:t>
            </w:r>
          </w:p>
        </w:tc>
        <w:tc>
          <w:tcPr>
            <w:tcW w:w="506" w:type="pct"/>
            <w:vMerge w:val="restart"/>
            <w:tcBorders>
              <w:tl2br w:val="nil"/>
              <w:tr2bl w:val="nil"/>
            </w:tcBorders>
            <w:noWrap w:val="0"/>
            <w:tcMar>
              <w:top w:w="12" w:type="dxa"/>
              <w:left w:w="12" w:type="dxa"/>
              <w:bottom w:w="0" w:type="dxa"/>
              <w:right w:w="12" w:type="dxa"/>
            </w:tcMar>
            <w:vAlign w:val="center"/>
          </w:tcPr>
          <w:p w14:paraId="77354EC9">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70E69A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28" w:type="pct"/>
            <w:vMerge w:val="continue"/>
            <w:tcBorders>
              <w:tl2br w:val="nil"/>
              <w:tr2bl w:val="nil"/>
            </w:tcBorders>
            <w:noWrap w:val="0"/>
            <w:vAlign w:val="center"/>
          </w:tcPr>
          <w:p w14:paraId="5161373E">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p>
        </w:tc>
        <w:tc>
          <w:tcPr>
            <w:tcW w:w="650" w:type="pct"/>
            <w:vMerge w:val="continue"/>
            <w:tcBorders>
              <w:tl2br w:val="nil"/>
              <w:tr2bl w:val="nil"/>
            </w:tcBorders>
            <w:noWrap w:val="0"/>
            <w:vAlign w:val="center"/>
          </w:tcPr>
          <w:p w14:paraId="2BE2FE26">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b w:val="0"/>
                <w:bCs/>
                <w:color w:val="auto"/>
                <w:spacing w:val="-1"/>
                <w:sz w:val="21"/>
                <w:szCs w:val="21"/>
                <w:highlight w:val="none"/>
              </w:rPr>
            </w:pPr>
          </w:p>
        </w:tc>
        <w:tc>
          <w:tcPr>
            <w:tcW w:w="713" w:type="pct"/>
            <w:tcBorders>
              <w:tl2br w:val="nil"/>
              <w:tr2bl w:val="nil"/>
            </w:tcBorders>
            <w:noWrap w:val="0"/>
            <w:tcMar>
              <w:top w:w="12" w:type="dxa"/>
              <w:left w:w="12" w:type="dxa"/>
              <w:bottom w:w="0" w:type="dxa"/>
              <w:right w:w="12" w:type="dxa"/>
            </w:tcMar>
            <w:vAlign w:val="center"/>
          </w:tcPr>
          <w:p w14:paraId="76808EFB">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cs="Times New Roman"/>
                <w:color w:val="auto"/>
                <w:szCs w:val="21"/>
                <w:highlight w:val="none"/>
              </w:rPr>
              <w:t>硫化氢</w:t>
            </w:r>
          </w:p>
        </w:tc>
        <w:tc>
          <w:tcPr>
            <w:tcW w:w="740" w:type="pct"/>
            <w:tcBorders>
              <w:tl2br w:val="nil"/>
              <w:tr2bl w:val="nil"/>
            </w:tcBorders>
            <w:noWrap w:val="0"/>
            <w:tcMar>
              <w:top w:w="12" w:type="dxa"/>
              <w:left w:w="12" w:type="dxa"/>
              <w:bottom w:w="0" w:type="dxa"/>
              <w:right w:w="12" w:type="dxa"/>
            </w:tcMar>
            <w:vAlign w:val="center"/>
          </w:tcPr>
          <w:p w14:paraId="03EFAF20">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eastAsia"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zCs w:val="21"/>
                <w:highlight w:val="none"/>
                <w:lang w:val="en-US" w:eastAsia="zh-CN"/>
              </w:rPr>
              <w:t>0.007256</w:t>
            </w:r>
          </w:p>
        </w:tc>
        <w:tc>
          <w:tcPr>
            <w:tcW w:w="634" w:type="pct"/>
            <w:tcBorders>
              <w:tl2br w:val="nil"/>
              <w:tr2bl w:val="nil"/>
            </w:tcBorders>
            <w:noWrap w:val="0"/>
            <w:tcMar>
              <w:top w:w="12" w:type="dxa"/>
              <w:left w:w="12" w:type="dxa"/>
              <w:bottom w:w="0" w:type="dxa"/>
              <w:right w:w="12" w:type="dxa"/>
            </w:tcMar>
            <w:vAlign w:val="center"/>
          </w:tcPr>
          <w:p w14:paraId="7A8BCDC2">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cs="Times New Roman"/>
                <w:color w:val="auto"/>
                <w:szCs w:val="21"/>
                <w:highlight w:val="none"/>
              </w:rPr>
              <w:t>10</w:t>
            </w:r>
          </w:p>
        </w:tc>
        <w:tc>
          <w:tcPr>
            <w:tcW w:w="461" w:type="pct"/>
            <w:tcBorders>
              <w:tl2br w:val="nil"/>
              <w:tr2bl w:val="nil"/>
            </w:tcBorders>
            <w:noWrap w:val="0"/>
            <w:tcMar>
              <w:top w:w="12" w:type="dxa"/>
              <w:left w:w="12" w:type="dxa"/>
              <w:bottom w:w="0" w:type="dxa"/>
              <w:right w:w="12" w:type="dxa"/>
            </w:tcMar>
            <w:vAlign w:val="center"/>
          </w:tcPr>
          <w:p w14:paraId="5ADDAADB">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eastAsia"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zCs w:val="21"/>
                <w:highlight w:val="none"/>
                <w:lang w:val="en-US" w:eastAsia="zh-CN"/>
              </w:rPr>
              <w:t>0.07</w:t>
            </w:r>
          </w:p>
        </w:tc>
        <w:tc>
          <w:tcPr>
            <w:tcW w:w="376" w:type="pct"/>
            <w:vMerge w:val="continue"/>
            <w:tcBorders>
              <w:tl2br w:val="nil"/>
              <w:tr2bl w:val="nil"/>
            </w:tcBorders>
            <w:noWrap w:val="0"/>
            <w:vAlign w:val="center"/>
          </w:tcPr>
          <w:p w14:paraId="215F4814">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c>
          <w:tcPr>
            <w:tcW w:w="686" w:type="pct"/>
            <w:vMerge w:val="continue"/>
            <w:tcBorders>
              <w:tl2br w:val="nil"/>
              <w:tr2bl w:val="nil"/>
            </w:tcBorders>
            <w:noWrap w:val="0"/>
            <w:vAlign w:val="center"/>
          </w:tcPr>
          <w:p w14:paraId="62491331">
            <w:pPr>
              <w:keepNext w:val="0"/>
              <w:keepLines w:val="0"/>
              <w:pageBreakBefore w:val="0"/>
              <w:widowControl w:val="0"/>
              <w:kinsoku/>
              <w:bidi w:val="0"/>
              <w:jc w:val="center"/>
              <w:rPr>
                <w:rFonts w:hint="eastAsia" w:ascii="Times New Roman" w:hAnsi="Times New Roman" w:cs="Times New Roman"/>
                <w:color w:val="auto"/>
                <w:szCs w:val="21"/>
                <w:highlight w:val="none"/>
                <w:lang w:val="en-US" w:eastAsia="zh-CN"/>
              </w:rPr>
            </w:pPr>
          </w:p>
        </w:tc>
        <w:tc>
          <w:tcPr>
            <w:tcW w:w="506" w:type="pct"/>
            <w:vMerge w:val="continue"/>
            <w:tcBorders>
              <w:tl2br w:val="nil"/>
              <w:tr2bl w:val="nil"/>
            </w:tcBorders>
            <w:noWrap w:val="0"/>
            <w:tcMar>
              <w:top w:w="12" w:type="dxa"/>
              <w:left w:w="12" w:type="dxa"/>
              <w:bottom w:w="0" w:type="dxa"/>
              <w:right w:w="12" w:type="dxa"/>
            </w:tcMar>
            <w:vAlign w:val="center"/>
          </w:tcPr>
          <w:p w14:paraId="5E2BF580">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r>
      <w:tr w14:paraId="766CD8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28" w:type="pct"/>
            <w:vMerge w:val="restart"/>
            <w:tcBorders>
              <w:tl2br w:val="nil"/>
              <w:tr2bl w:val="nil"/>
            </w:tcBorders>
            <w:noWrap w:val="0"/>
            <w:vAlign w:val="center"/>
          </w:tcPr>
          <w:p w14:paraId="067A02D1">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6</w:t>
            </w:r>
          </w:p>
        </w:tc>
        <w:tc>
          <w:tcPr>
            <w:tcW w:w="650" w:type="pct"/>
            <w:vMerge w:val="restart"/>
            <w:tcBorders>
              <w:tl2br w:val="nil"/>
              <w:tr2bl w:val="nil"/>
            </w:tcBorders>
            <w:noWrap w:val="0"/>
            <w:vAlign w:val="center"/>
          </w:tcPr>
          <w:p w14:paraId="581BD9B8">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Cs w:val="21"/>
                <w:highlight w:val="none"/>
              </w:rPr>
            </w:pPr>
            <w:r>
              <w:rPr>
                <w:rFonts w:hint="default" w:ascii="Times New Roman" w:hAnsi="Times New Roman" w:eastAsia="宋体" w:cs="Times New Roman"/>
                <w:b w:val="0"/>
                <w:bCs/>
                <w:color w:val="auto"/>
                <w:spacing w:val="-1"/>
                <w:sz w:val="21"/>
                <w:szCs w:val="21"/>
                <w:highlight w:val="none"/>
              </w:rPr>
              <w:t>雄英3井</w:t>
            </w:r>
          </w:p>
        </w:tc>
        <w:tc>
          <w:tcPr>
            <w:tcW w:w="713" w:type="pct"/>
            <w:tcBorders>
              <w:tl2br w:val="nil"/>
              <w:tr2bl w:val="nil"/>
            </w:tcBorders>
            <w:noWrap w:val="0"/>
            <w:tcMar>
              <w:top w:w="12" w:type="dxa"/>
              <w:left w:w="12" w:type="dxa"/>
              <w:bottom w:w="0" w:type="dxa"/>
              <w:right w:w="12" w:type="dxa"/>
            </w:tcMar>
            <w:vAlign w:val="center"/>
          </w:tcPr>
          <w:p w14:paraId="0C86735A">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非甲烷总烃</w:t>
            </w:r>
          </w:p>
        </w:tc>
        <w:tc>
          <w:tcPr>
            <w:tcW w:w="740" w:type="pct"/>
            <w:tcBorders>
              <w:tl2br w:val="nil"/>
              <w:tr2bl w:val="nil"/>
            </w:tcBorders>
            <w:noWrap w:val="0"/>
            <w:tcMar>
              <w:top w:w="12" w:type="dxa"/>
              <w:left w:w="12" w:type="dxa"/>
              <w:bottom w:w="0" w:type="dxa"/>
              <w:right w:w="12" w:type="dxa"/>
            </w:tcMar>
            <w:vAlign w:val="center"/>
          </w:tcPr>
          <w:p w14:paraId="352667C3">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9.4006</w:t>
            </w:r>
          </w:p>
        </w:tc>
        <w:tc>
          <w:tcPr>
            <w:tcW w:w="634" w:type="pct"/>
            <w:tcBorders>
              <w:tl2br w:val="nil"/>
              <w:tr2bl w:val="nil"/>
            </w:tcBorders>
            <w:noWrap w:val="0"/>
            <w:tcMar>
              <w:top w:w="12" w:type="dxa"/>
              <w:left w:w="12" w:type="dxa"/>
              <w:bottom w:w="0" w:type="dxa"/>
              <w:right w:w="12" w:type="dxa"/>
            </w:tcMar>
            <w:vAlign w:val="center"/>
          </w:tcPr>
          <w:p w14:paraId="62696916">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2000</w:t>
            </w:r>
          </w:p>
        </w:tc>
        <w:tc>
          <w:tcPr>
            <w:tcW w:w="461" w:type="pct"/>
            <w:tcBorders>
              <w:tl2br w:val="nil"/>
              <w:tr2bl w:val="nil"/>
            </w:tcBorders>
            <w:noWrap w:val="0"/>
            <w:tcMar>
              <w:top w:w="12" w:type="dxa"/>
              <w:left w:w="12" w:type="dxa"/>
              <w:bottom w:w="0" w:type="dxa"/>
              <w:right w:w="12" w:type="dxa"/>
            </w:tcMar>
            <w:vAlign w:val="center"/>
          </w:tcPr>
          <w:p w14:paraId="6F88DE1F">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0.47</w:t>
            </w:r>
          </w:p>
        </w:tc>
        <w:tc>
          <w:tcPr>
            <w:tcW w:w="376" w:type="pct"/>
            <w:vMerge w:val="continue"/>
            <w:tcBorders>
              <w:tl2br w:val="nil"/>
              <w:tr2bl w:val="nil"/>
            </w:tcBorders>
            <w:noWrap w:val="0"/>
            <w:vAlign w:val="center"/>
          </w:tcPr>
          <w:p w14:paraId="22814B65">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c>
          <w:tcPr>
            <w:tcW w:w="686" w:type="pct"/>
            <w:vMerge w:val="restart"/>
            <w:tcBorders>
              <w:tl2br w:val="nil"/>
              <w:tr2bl w:val="nil"/>
            </w:tcBorders>
            <w:noWrap w:val="0"/>
            <w:vAlign w:val="center"/>
          </w:tcPr>
          <w:p w14:paraId="3ADC7185">
            <w:pPr>
              <w:keepNext w:val="0"/>
              <w:keepLines w:val="0"/>
              <w:pageBreakBefore w:val="0"/>
              <w:widowControl w:val="0"/>
              <w:kinsoku/>
              <w:bidi w:val="0"/>
              <w:jc w:val="center"/>
              <w:rPr>
                <w:rFonts w:hint="default"/>
                <w:color w:val="auto"/>
                <w:highlight w:val="none"/>
              </w:rPr>
            </w:pPr>
            <w:r>
              <w:rPr>
                <w:rFonts w:hint="eastAsia" w:cs="Times New Roman"/>
                <w:color w:val="auto"/>
                <w:szCs w:val="21"/>
                <w:highlight w:val="none"/>
                <w:lang w:val="en-US" w:eastAsia="zh-CN"/>
              </w:rPr>
              <w:t>48</w:t>
            </w:r>
          </w:p>
        </w:tc>
        <w:tc>
          <w:tcPr>
            <w:tcW w:w="506" w:type="pct"/>
            <w:vMerge w:val="restart"/>
            <w:tcBorders>
              <w:tl2br w:val="nil"/>
              <w:tr2bl w:val="nil"/>
            </w:tcBorders>
            <w:noWrap w:val="0"/>
            <w:tcMar>
              <w:top w:w="12" w:type="dxa"/>
              <w:left w:w="12" w:type="dxa"/>
              <w:bottom w:w="0" w:type="dxa"/>
              <w:right w:w="12" w:type="dxa"/>
            </w:tcMar>
            <w:vAlign w:val="center"/>
          </w:tcPr>
          <w:p w14:paraId="647E5D6C">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0E1A3C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28" w:type="pct"/>
            <w:vMerge w:val="continue"/>
            <w:tcBorders>
              <w:tl2br w:val="nil"/>
              <w:tr2bl w:val="nil"/>
            </w:tcBorders>
            <w:noWrap w:val="0"/>
            <w:vAlign w:val="center"/>
          </w:tcPr>
          <w:p w14:paraId="051A244D">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c>
          <w:tcPr>
            <w:tcW w:w="650" w:type="pct"/>
            <w:vMerge w:val="continue"/>
            <w:tcBorders>
              <w:tl2br w:val="nil"/>
              <w:tr2bl w:val="nil"/>
            </w:tcBorders>
            <w:noWrap w:val="0"/>
            <w:vAlign w:val="center"/>
          </w:tcPr>
          <w:p w14:paraId="59FC0565">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c>
          <w:tcPr>
            <w:tcW w:w="713" w:type="pct"/>
            <w:tcBorders>
              <w:tl2br w:val="nil"/>
              <w:tr2bl w:val="nil"/>
            </w:tcBorders>
            <w:noWrap w:val="0"/>
            <w:tcMar>
              <w:top w:w="12" w:type="dxa"/>
              <w:left w:w="12" w:type="dxa"/>
              <w:bottom w:w="0" w:type="dxa"/>
              <w:right w:w="12" w:type="dxa"/>
            </w:tcMar>
            <w:vAlign w:val="center"/>
          </w:tcPr>
          <w:p w14:paraId="0976B3D3">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硫化氢</w:t>
            </w:r>
          </w:p>
        </w:tc>
        <w:tc>
          <w:tcPr>
            <w:tcW w:w="740" w:type="pct"/>
            <w:tcBorders>
              <w:tl2br w:val="nil"/>
              <w:tr2bl w:val="nil"/>
            </w:tcBorders>
            <w:noWrap w:val="0"/>
            <w:tcMar>
              <w:top w:w="12" w:type="dxa"/>
              <w:left w:w="12" w:type="dxa"/>
              <w:bottom w:w="0" w:type="dxa"/>
              <w:right w:w="12" w:type="dxa"/>
            </w:tcMar>
            <w:vAlign w:val="center"/>
          </w:tcPr>
          <w:p w14:paraId="70F5CA44">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0.007256</w:t>
            </w:r>
          </w:p>
        </w:tc>
        <w:tc>
          <w:tcPr>
            <w:tcW w:w="634" w:type="pct"/>
            <w:tcBorders>
              <w:tl2br w:val="nil"/>
              <w:tr2bl w:val="nil"/>
            </w:tcBorders>
            <w:noWrap w:val="0"/>
            <w:tcMar>
              <w:top w:w="12" w:type="dxa"/>
              <w:left w:w="12" w:type="dxa"/>
              <w:bottom w:w="0" w:type="dxa"/>
              <w:right w:w="12" w:type="dxa"/>
            </w:tcMar>
            <w:vAlign w:val="center"/>
          </w:tcPr>
          <w:p w14:paraId="0A571CAA">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c>
          <w:tcPr>
            <w:tcW w:w="461" w:type="pct"/>
            <w:tcBorders>
              <w:tl2br w:val="nil"/>
              <w:tr2bl w:val="nil"/>
            </w:tcBorders>
            <w:noWrap w:val="0"/>
            <w:tcMar>
              <w:top w:w="12" w:type="dxa"/>
              <w:left w:w="12" w:type="dxa"/>
              <w:bottom w:w="0" w:type="dxa"/>
              <w:right w:w="12" w:type="dxa"/>
            </w:tcMar>
            <w:vAlign w:val="center"/>
          </w:tcPr>
          <w:p w14:paraId="73A1EDE6">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0.07</w:t>
            </w:r>
          </w:p>
        </w:tc>
        <w:tc>
          <w:tcPr>
            <w:tcW w:w="376" w:type="pct"/>
            <w:vMerge w:val="continue"/>
            <w:tcBorders>
              <w:tl2br w:val="nil"/>
              <w:tr2bl w:val="nil"/>
            </w:tcBorders>
            <w:noWrap w:val="0"/>
            <w:vAlign w:val="center"/>
          </w:tcPr>
          <w:p w14:paraId="5FCB79A4">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c>
          <w:tcPr>
            <w:tcW w:w="686" w:type="pct"/>
            <w:vMerge w:val="continue"/>
            <w:tcBorders>
              <w:tl2br w:val="nil"/>
              <w:tr2bl w:val="nil"/>
            </w:tcBorders>
            <w:noWrap w:val="0"/>
            <w:vAlign w:val="center"/>
          </w:tcPr>
          <w:p w14:paraId="2CD8D49E">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cs="Times New Roman"/>
                <w:color w:val="auto"/>
                <w:szCs w:val="21"/>
                <w:highlight w:val="none"/>
              </w:rPr>
            </w:pPr>
          </w:p>
        </w:tc>
        <w:tc>
          <w:tcPr>
            <w:tcW w:w="506" w:type="pct"/>
            <w:vMerge w:val="continue"/>
            <w:tcBorders>
              <w:tl2br w:val="nil"/>
              <w:tr2bl w:val="nil"/>
            </w:tcBorders>
            <w:noWrap w:val="0"/>
            <w:tcMar>
              <w:top w:w="12" w:type="dxa"/>
              <w:left w:w="12" w:type="dxa"/>
              <w:bottom w:w="0" w:type="dxa"/>
              <w:right w:w="12" w:type="dxa"/>
            </w:tcMar>
            <w:vAlign w:val="center"/>
          </w:tcPr>
          <w:p w14:paraId="10F22F42">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r>
      <w:tr w14:paraId="2AD6C5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28" w:type="pct"/>
            <w:vMerge w:val="restart"/>
            <w:tcBorders>
              <w:tl2br w:val="nil"/>
              <w:tr2bl w:val="nil"/>
            </w:tcBorders>
            <w:noWrap w:val="0"/>
            <w:vAlign w:val="center"/>
          </w:tcPr>
          <w:p w14:paraId="4E4E8A44">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7</w:t>
            </w:r>
          </w:p>
        </w:tc>
        <w:tc>
          <w:tcPr>
            <w:tcW w:w="650" w:type="pct"/>
            <w:vMerge w:val="restart"/>
            <w:tcBorders>
              <w:tl2br w:val="nil"/>
              <w:tr2bl w:val="nil"/>
            </w:tcBorders>
            <w:noWrap w:val="0"/>
            <w:tcMar>
              <w:top w:w="12" w:type="dxa"/>
              <w:left w:w="12" w:type="dxa"/>
              <w:bottom w:w="0" w:type="dxa"/>
              <w:right w:w="12" w:type="dxa"/>
            </w:tcMar>
            <w:vAlign w:val="center"/>
          </w:tcPr>
          <w:p w14:paraId="52A38A65">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Cs w:val="21"/>
                <w:highlight w:val="none"/>
                <w:lang w:val="en-US"/>
              </w:rPr>
            </w:pPr>
            <w:r>
              <w:rPr>
                <w:rFonts w:hint="eastAsia" w:cs="Times New Roman"/>
                <w:b w:val="0"/>
                <w:bCs/>
                <w:color w:val="auto"/>
                <w:sz w:val="21"/>
                <w:szCs w:val="21"/>
                <w:highlight w:val="none"/>
                <w:lang w:val="en-US" w:eastAsia="zh-CN"/>
              </w:rPr>
              <w:t>雄探1试采点</w:t>
            </w:r>
          </w:p>
        </w:tc>
        <w:tc>
          <w:tcPr>
            <w:tcW w:w="713" w:type="pct"/>
            <w:tcBorders>
              <w:tl2br w:val="nil"/>
              <w:tr2bl w:val="nil"/>
            </w:tcBorders>
            <w:noWrap w:val="0"/>
            <w:tcMar>
              <w:top w:w="12" w:type="dxa"/>
              <w:left w:w="12" w:type="dxa"/>
              <w:bottom w:w="0" w:type="dxa"/>
              <w:right w:w="12" w:type="dxa"/>
            </w:tcMar>
            <w:vAlign w:val="center"/>
          </w:tcPr>
          <w:p w14:paraId="7DC292D6">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非甲烷总烃</w:t>
            </w:r>
          </w:p>
        </w:tc>
        <w:tc>
          <w:tcPr>
            <w:tcW w:w="740" w:type="pct"/>
            <w:tcBorders>
              <w:tl2br w:val="nil"/>
              <w:tr2bl w:val="nil"/>
            </w:tcBorders>
            <w:noWrap w:val="0"/>
            <w:tcMar>
              <w:top w:w="12" w:type="dxa"/>
              <w:left w:w="12" w:type="dxa"/>
              <w:bottom w:w="0" w:type="dxa"/>
              <w:right w:w="12" w:type="dxa"/>
            </w:tcMar>
            <w:vAlign w:val="center"/>
          </w:tcPr>
          <w:p w14:paraId="0DBB81D6">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lang w:val="en-US"/>
              </w:rPr>
            </w:pPr>
            <w:r>
              <w:rPr>
                <w:rFonts w:hint="eastAsia" w:cs="Times New Roman"/>
                <w:color w:val="auto"/>
                <w:szCs w:val="21"/>
                <w:highlight w:val="none"/>
                <w:lang w:val="en-US" w:eastAsia="zh-CN"/>
              </w:rPr>
              <w:t>176.46</w:t>
            </w:r>
          </w:p>
        </w:tc>
        <w:tc>
          <w:tcPr>
            <w:tcW w:w="634" w:type="pct"/>
            <w:tcBorders>
              <w:tl2br w:val="nil"/>
              <w:tr2bl w:val="nil"/>
            </w:tcBorders>
            <w:noWrap w:val="0"/>
            <w:tcMar>
              <w:top w:w="12" w:type="dxa"/>
              <w:left w:w="12" w:type="dxa"/>
              <w:bottom w:w="0" w:type="dxa"/>
              <w:right w:w="12" w:type="dxa"/>
            </w:tcMar>
            <w:vAlign w:val="center"/>
          </w:tcPr>
          <w:p w14:paraId="1BD5F6F2">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2000</w:t>
            </w:r>
          </w:p>
        </w:tc>
        <w:tc>
          <w:tcPr>
            <w:tcW w:w="461" w:type="pct"/>
            <w:tcBorders>
              <w:tl2br w:val="nil"/>
              <w:tr2bl w:val="nil"/>
            </w:tcBorders>
            <w:noWrap w:val="0"/>
            <w:tcMar>
              <w:top w:w="12" w:type="dxa"/>
              <w:left w:w="12" w:type="dxa"/>
              <w:bottom w:w="0" w:type="dxa"/>
              <w:right w:w="12" w:type="dxa"/>
            </w:tcMar>
            <w:vAlign w:val="center"/>
          </w:tcPr>
          <w:p w14:paraId="778B2CEF">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lang w:val="en-US"/>
              </w:rPr>
            </w:pPr>
            <w:r>
              <w:rPr>
                <w:rFonts w:hint="eastAsia" w:cs="Times New Roman"/>
                <w:color w:val="auto"/>
                <w:szCs w:val="21"/>
                <w:highlight w:val="none"/>
                <w:lang w:val="en-US" w:eastAsia="zh-CN"/>
              </w:rPr>
              <w:t>8.82</w:t>
            </w:r>
          </w:p>
        </w:tc>
        <w:tc>
          <w:tcPr>
            <w:tcW w:w="376" w:type="pct"/>
            <w:vMerge w:val="continue"/>
            <w:tcBorders>
              <w:tl2br w:val="nil"/>
              <w:tr2bl w:val="nil"/>
            </w:tcBorders>
            <w:noWrap w:val="0"/>
            <w:tcMar>
              <w:top w:w="12" w:type="dxa"/>
              <w:left w:w="12" w:type="dxa"/>
              <w:bottom w:w="0" w:type="dxa"/>
              <w:right w:w="12" w:type="dxa"/>
            </w:tcMar>
            <w:vAlign w:val="center"/>
          </w:tcPr>
          <w:p w14:paraId="728F3903">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c>
          <w:tcPr>
            <w:tcW w:w="686" w:type="pct"/>
            <w:vMerge w:val="restart"/>
            <w:tcBorders>
              <w:tl2br w:val="nil"/>
              <w:tr2bl w:val="nil"/>
            </w:tcBorders>
            <w:noWrap w:val="0"/>
            <w:tcMar>
              <w:top w:w="12" w:type="dxa"/>
              <w:left w:w="12" w:type="dxa"/>
              <w:bottom w:w="0" w:type="dxa"/>
              <w:right w:w="12" w:type="dxa"/>
            </w:tcMar>
            <w:vAlign w:val="center"/>
          </w:tcPr>
          <w:p w14:paraId="0884AA53">
            <w:pPr>
              <w:keepNext w:val="0"/>
              <w:keepLines w:val="0"/>
              <w:pageBreakBefore w:val="0"/>
              <w:widowControl w:val="0"/>
              <w:kinsoku/>
              <w:bidi w:val="0"/>
              <w:jc w:val="center"/>
              <w:rPr>
                <w:rFonts w:hint="default"/>
                <w:color w:val="auto"/>
                <w:highlight w:val="none"/>
                <w:lang w:val="en-US"/>
              </w:rPr>
            </w:pPr>
            <w:r>
              <w:rPr>
                <w:rFonts w:hint="eastAsia" w:cs="Times New Roman"/>
                <w:color w:val="auto"/>
                <w:szCs w:val="21"/>
                <w:highlight w:val="none"/>
                <w:lang w:val="en-US" w:eastAsia="zh-CN"/>
              </w:rPr>
              <w:t>252</w:t>
            </w:r>
          </w:p>
        </w:tc>
        <w:tc>
          <w:tcPr>
            <w:tcW w:w="506" w:type="pct"/>
            <w:vMerge w:val="restart"/>
            <w:tcBorders>
              <w:tl2br w:val="nil"/>
              <w:tr2bl w:val="nil"/>
            </w:tcBorders>
            <w:noWrap w:val="0"/>
            <w:tcMar>
              <w:top w:w="12" w:type="dxa"/>
              <w:left w:w="12" w:type="dxa"/>
              <w:bottom w:w="0" w:type="dxa"/>
              <w:right w:w="12" w:type="dxa"/>
            </w:tcMar>
            <w:vAlign w:val="center"/>
          </w:tcPr>
          <w:p w14:paraId="352E82BA">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4D4E25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28" w:type="pct"/>
            <w:vMerge w:val="continue"/>
            <w:tcBorders>
              <w:tl2br w:val="nil"/>
              <w:tr2bl w:val="nil"/>
            </w:tcBorders>
            <w:noWrap w:val="0"/>
            <w:vAlign w:val="center"/>
          </w:tcPr>
          <w:p w14:paraId="2C7EB5DA">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c>
          <w:tcPr>
            <w:tcW w:w="650" w:type="pct"/>
            <w:vMerge w:val="continue"/>
            <w:tcBorders>
              <w:tl2br w:val="nil"/>
              <w:tr2bl w:val="nil"/>
            </w:tcBorders>
            <w:noWrap w:val="0"/>
            <w:vAlign w:val="center"/>
          </w:tcPr>
          <w:p w14:paraId="1A7931F3">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c>
          <w:tcPr>
            <w:tcW w:w="713" w:type="pct"/>
            <w:tcBorders>
              <w:tl2br w:val="nil"/>
              <w:tr2bl w:val="nil"/>
            </w:tcBorders>
            <w:noWrap w:val="0"/>
            <w:tcMar>
              <w:top w:w="12" w:type="dxa"/>
              <w:left w:w="12" w:type="dxa"/>
              <w:bottom w:w="0" w:type="dxa"/>
              <w:right w:w="12" w:type="dxa"/>
            </w:tcMar>
            <w:vAlign w:val="center"/>
          </w:tcPr>
          <w:p w14:paraId="26509E8B">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硫化氢</w:t>
            </w:r>
          </w:p>
        </w:tc>
        <w:tc>
          <w:tcPr>
            <w:tcW w:w="740" w:type="pct"/>
            <w:tcBorders>
              <w:tl2br w:val="nil"/>
              <w:tr2bl w:val="nil"/>
            </w:tcBorders>
            <w:noWrap w:val="0"/>
            <w:tcMar>
              <w:top w:w="12" w:type="dxa"/>
              <w:left w:w="12" w:type="dxa"/>
              <w:bottom w:w="0" w:type="dxa"/>
              <w:right w:w="12" w:type="dxa"/>
            </w:tcMar>
            <w:vAlign w:val="center"/>
          </w:tcPr>
          <w:p w14:paraId="1EF08D22">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lang w:val="en-US"/>
              </w:rPr>
            </w:pPr>
            <w:r>
              <w:rPr>
                <w:rFonts w:hint="eastAsia" w:cs="Times New Roman"/>
                <w:color w:val="auto"/>
                <w:szCs w:val="21"/>
                <w:highlight w:val="none"/>
                <w:lang w:val="en-US" w:eastAsia="zh-CN"/>
              </w:rPr>
              <w:t>0.42839</w:t>
            </w:r>
          </w:p>
        </w:tc>
        <w:tc>
          <w:tcPr>
            <w:tcW w:w="634" w:type="pct"/>
            <w:tcBorders>
              <w:tl2br w:val="nil"/>
              <w:tr2bl w:val="nil"/>
            </w:tcBorders>
            <w:noWrap w:val="0"/>
            <w:tcMar>
              <w:top w:w="12" w:type="dxa"/>
              <w:left w:w="12" w:type="dxa"/>
              <w:bottom w:w="0" w:type="dxa"/>
              <w:right w:w="12" w:type="dxa"/>
            </w:tcMar>
            <w:vAlign w:val="center"/>
          </w:tcPr>
          <w:p w14:paraId="2051729D">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c>
          <w:tcPr>
            <w:tcW w:w="461" w:type="pct"/>
            <w:tcBorders>
              <w:tl2br w:val="nil"/>
              <w:tr2bl w:val="nil"/>
            </w:tcBorders>
            <w:noWrap w:val="0"/>
            <w:tcMar>
              <w:top w:w="12" w:type="dxa"/>
              <w:left w:w="12" w:type="dxa"/>
              <w:bottom w:w="0" w:type="dxa"/>
              <w:right w:w="12" w:type="dxa"/>
            </w:tcMar>
            <w:vAlign w:val="center"/>
          </w:tcPr>
          <w:p w14:paraId="6B743BE1">
            <w:pPr>
              <w:pStyle w:val="145"/>
              <w:keepNext w:val="0"/>
              <w:keepLines w:val="0"/>
              <w:pageBreakBefore w:val="0"/>
              <w:widowControl w:val="0"/>
              <w:kinsoku/>
              <w:wordWrap/>
              <w:overflowPunct/>
              <w:topLinePunct w:val="0"/>
              <w:autoSpaceDE/>
              <w:autoSpaceDN/>
              <w:bidi w:val="0"/>
              <w:adjustRightInd/>
              <w:snapToGrid w:val="0"/>
              <w:spacing w:after="0"/>
              <w:ind w:firstLine="0" w:firstLineChars="0"/>
              <w:textAlignment w:val="auto"/>
              <w:rPr>
                <w:rFonts w:hint="default" w:ascii="Times New Roman" w:hAnsi="Times New Roman" w:cs="Times New Roman"/>
                <w:color w:val="auto"/>
                <w:szCs w:val="21"/>
                <w:highlight w:val="none"/>
                <w:lang w:val="en-US"/>
              </w:rPr>
            </w:pPr>
            <w:r>
              <w:rPr>
                <w:rFonts w:hint="eastAsia" w:cs="Times New Roman"/>
                <w:color w:val="auto"/>
                <w:szCs w:val="21"/>
                <w:highlight w:val="none"/>
                <w:lang w:val="en-US" w:eastAsia="zh-CN"/>
              </w:rPr>
              <w:t>0.43</w:t>
            </w:r>
          </w:p>
        </w:tc>
        <w:tc>
          <w:tcPr>
            <w:tcW w:w="376" w:type="pct"/>
            <w:vMerge w:val="continue"/>
            <w:tcBorders>
              <w:tl2br w:val="nil"/>
              <w:tr2bl w:val="nil"/>
            </w:tcBorders>
            <w:noWrap w:val="0"/>
            <w:vAlign w:val="center"/>
          </w:tcPr>
          <w:p w14:paraId="640AB61C">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c>
          <w:tcPr>
            <w:tcW w:w="686" w:type="pct"/>
            <w:vMerge w:val="continue"/>
            <w:tcBorders>
              <w:tl2br w:val="nil"/>
              <w:tr2bl w:val="nil"/>
            </w:tcBorders>
            <w:noWrap w:val="0"/>
            <w:vAlign w:val="center"/>
          </w:tcPr>
          <w:p w14:paraId="3DD905B6">
            <w:pPr>
              <w:pStyle w:val="145"/>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cs="Times New Roman"/>
                <w:color w:val="auto"/>
                <w:szCs w:val="21"/>
                <w:highlight w:val="none"/>
              </w:rPr>
            </w:pPr>
          </w:p>
        </w:tc>
        <w:tc>
          <w:tcPr>
            <w:tcW w:w="506" w:type="pct"/>
            <w:vMerge w:val="continue"/>
            <w:tcBorders>
              <w:tl2br w:val="nil"/>
              <w:tr2bl w:val="nil"/>
            </w:tcBorders>
            <w:noWrap w:val="0"/>
            <w:tcMar>
              <w:top w:w="12" w:type="dxa"/>
              <w:left w:w="12" w:type="dxa"/>
              <w:bottom w:w="0" w:type="dxa"/>
              <w:right w:w="12" w:type="dxa"/>
            </w:tcMar>
            <w:vAlign w:val="center"/>
          </w:tcPr>
          <w:p w14:paraId="695B0894">
            <w:pPr>
              <w:pStyle w:val="145"/>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Cs w:val="21"/>
                <w:highlight w:val="none"/>
              </w:rPr>
            </w:pPr>
          </w:p>
        </w:tc>
      </w:tr>
    </w:tbl>
    <w:p w14:paraId="57504AAC">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根据表5.</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-6可知，</w:t>
      </w:r>
      <w:r>
        <w:rPr>
          <w:rFonts w:hint="default" w:ascii="Times New Roman" w:hAnsi="Times New Roman" w:eastAsia="宋体" w:cs="Times New Roman"/>
          <w:color w:val="auto"/>
          <w:sz w:val="24"/>
          <w:szCs w:val="24"/>
        </w:rPr>
        <w:t>加热炉氮氧化物最大落地浓度</w:t>
      </w:r>
      <w:r>
        <w:rPr>
          <w:rFonts w:hint="default" w:ascii="Times New Roman" w:hAnsi="Times New Roman" w:eastAsia="宋体" w:cs="Times New Roman"/>
          <w:color w:val="auto"/>
          <w:sz w:val="24"/>
          <w:szCs w:val="24"/>
          <w:lang w:val="en-US" w:eastAsia="zh-CN"/>
        </w:rPr>
        <w:t>9.94555</w:t>
      </w:r>
      <w:r>
        <w:rPr>
          <w:rFonts w:hint="default" w:ascii="Times New Roman" w:hAnsi="Times New Roman" w:eastAsia="宋体" w:cs="Times New Roman"/>
          <w:color w:val="auto"/>
          <w:sz w:val="24"/>
          <w:szCs w:val="24"/>
        </w:rPr>
        <w:t>µg/m³，占标率</w:t>
      </w:r>
      <w:r>
        <w:rPr>
          <w:rFonts w:hint="default" w:ascii="Times New Roman" w:hAnsi="Times New Roman" w:eastAsia="宋体" w:cs="Times New Roman"/>
          <w:color w:val="auto"/>
          <w:sz w:val="24"/>
          <w:szCs w:val="24"/>
          <w:lang w:val="en-US" w:eastAsia="zh-CN"/>
        </w:rPr>
        <w:t>4.97</w:t>
      </w:r>
      <w:r>
        <w:rPr>
          <w:rFonts w:hint="default" w:ascii="Times New Roman" w:hAnsi="Times New Roman" w:eastAsia="宋体" w:cs="Times New Roman"/>
          <w:color w:val="auto"/>
          <w:sz w:val="24"/>
          <w:szCs w:val="24"/>
        </w:rPr>
        <w:t>%；二氧化硫最大落地浓度</w:t>
      </w:r>
      <w:r>
        <w:rPr>
          <w:rFonts w:hint="default" w:ascii="Times New Roman" w:hAnsi="Times New Roman" w:eastAsia="宋体" w:cs="Times New Roman"/>
          <w:color w:val="auto"/>
          <w:sz w:val="24"/>
          <w:szCs w:val="24"/>
          <w:lang w:val="en-US" w:eastAsia="zh-CN"/>
        </w:rPr>
        <w:t>2.5014</w:t>
      </w:r>
      <w:r>
        <w:rPr>
          <w:rFonts w:hint="default" w:ascii="Times New Roman" w:hAnsi="Times New Roman" w:eastAsia="宋体" w:cs="Times New Roman"/>
          <w:color w:val="auto"/>
          <w:sz w:val="24"/>
          <w:szCs w:val="24"/>
        </w:rPr>
        <w:t>µg/m³，占标率</w:t>
      </w:r>
      <w:r>
        <w:rPr>
          <w:rFonts w:hint="default" w:ascii="Times New Roman" w:hAnsi="Times New Roman" w:eastAsia="宋体" w:cs="Times New Roman"/>
          <w:color w:val="auto"/>
          <w:sz w:val="24"/>
          <w:szCs w:val="24"/>
          <w:lang w:val="en-US" w:eastAsia="zh-CN"/>
        </w:rPr>
        <w:t>0.5</w:t>
      </w:r>
      <w:r>
        <w:rPr>
          <w:rFonts w:hint="default" w:ascii="Times New Roman" w:hAnsi="Times New Roman" w:eastAsia="宋体" w:cs="Times New Roman"/>
          <w:color w:val="auto"/>
          <w:sz w:val="24"/>
          <w:szCs w:val="24"/>
        </w:rPr>
        <w:t>%；烟尘最大落地浓度</w:t>
      </w:r>
      <w:r>
        <w:rPr>
          <w:rFonts w:hint="default" w:ascii="Times New Roman" w:hAnsi="Times New Roman" w:eastAsia="宋体" w:cs="Times New Roman"/>
          <w:color w:val="auto"/>
          <w:sz w:val="24"/>
          <w:szCs w:val="24"/>
          <w:lang w:val="en-US" w:eastAsia="zh-CN"/>
        </w:rPr>
        <w:t>1.346552</w:t>
      </w:r>
      <w:r>
        <w:rPr>
          <w:rFonts w:hint="default" w:ascii="Times New Roman" w:hAnsi="Times New Roman" w:eastAsia="宋体" w:cs="Times New Roman"/>
          <w:color w:val="auto"/>
          <w:sz w:val="24"/>
          <w:szCs w:val="24"/>
        </w:rPr>
        <w:t>µg/m³，占标率0.</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非甲烷总烃</w:t>
      </w:r>
      <w:r>
        <w:rPr>
          <w:rFonts w:hint="default" w:ascii="Times New Roman" w:hAnsi="Times New Roman" w:eastAsia="宋体" w:cs="Times New Roman"/>
          <w:color w:val="auto"/>
          <w:sz w:val="24"/>
          <w:szCs w:val="24"/>
        </w:rPr>
        <w:t>最大落地浓度</w:t>
      </w:r>
      <w:r>
        <w:rPr>
          <w:rFonts w:hint="default" w:ascii="Times New Roman" w:hAnsi="Times New Roman" w:eastAsia="宋体" w:cs="Times New Roman"/>
          <w:color w:val="auto"/>
          <w:sz w:val="24"/>
          <w:szCs w:val="24"/>
          <w:lang w:val="en-US" w:eastAsia="zh-CN"/>
        </w:rPr>
        <w:t>0.98855</w:t>
      </w:r>
      <w:r>
        <w:rPr>
          <w:rFonts w:hint="default" w:ascii="Times New Roman" w:hAnsi="Times New Roman" w:eastAsia="宋体" w:cs="Times New Roman"/>
          <w:color w:val="auto"/>
          <w:sz w:val="24"/>
          <w:szCs w:val="24"/>
        </w:rPr>
        <w:t>µg/m³，占标率0.</w:t>
      </w:r>
      <w:r>
        <w:rPr>
          <w:rFonts w:hint="default" w:ascii="Times New Roman" w:hAnsi="Times New Roman" w:eastAsia="宋体" w:cs="Times New Roman"/>
          <w:color w:val="auto"/>
          <w:sz w:val="24"/>
          <w:szCs w:val="24"/>
          <w:lang w:val="en-US" w:eastAsia="zh-CN"/>
        </w:rPr>
        <w:t>05</w:t>
      </w:r>
      <w:r>
        <w:rPr>
          <w:rFonts w:hint="default" w:ascii="Times New Roman" w:hAnsi="Times New Roman" w:eastAsia="宋体" w:cs="Times New Roman"/>
          <w:color w:val="auto"/>
          <w:sz w:val="24"/>
          <w:szCs w:val="24"/>
        </w:rPr>
        <w:t>%，最大落地浓度点位下风向</w:t>
      </w:r>
      <w:r>
        <w:rPr>
          <w:rFonts w:hint="default" w:ascii="Times New Roman" w:hAnsi="Times New Roman" w:eastAsia="宋体" w:cs="Times New Roman"/>
          <w:color w:val="auto"/>
          <w:sz w:val="24"/>
          <w:szCs w:val="24"/>
          <w:lang w:val="en-US" w:eastAsia="zh-CN"/>
        </w:rPr>
        <w:t>94</w:t>
      </w:r>
      <w:r>
        <w:rPr>
          <w:rFonts w:hint="default" w:ascii="Times New Roman" w:hAnsi="Times New Roman" w:eastAsia="宋体" w:cs="Times New Roman"/>
          <w:color w:val="auto"/>
          <w:sz w:val="24"/>
          <w:szCs w:val="24"/>
        </w:rPr>
        <w:t>m，满足《环境空气质量标准》（GB3095-2012）二级标准要求。</w:t>
      </w:r>
    </w:p>
    <w:p w14:paraId="1C5816D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highlight w:val="yellow"/>
        </w:rPr>
      </w:pPr>
      <w:r>
        <w:rPr>
          <w:rFonts w:hint="default" w:ascii="Times New Roman" w:hAnsi="Times New Roman" w:eastAsia="宋体" w:cs="Times New Roman"/>
          <w:color w:val="auto"/>
          <w:sz w:val="24"/>
          <w:szCs w:val="24"/>
        </w:rPr>
        <w:t>根据表</w:t>
      </w:r>
      <w:r>
        <w:rPr>
          <w:rFonts w:hint="default" w:ascii="Times New Roman" w:hAnsi="Times New Roman" w:eastAsia="宋体" w:cs="Times New Roman"/>
          <w:color w:val="auto"/>
          <w:sz w:val="24"/>
          <w:szCs w:val="24"/>
          <w:lang w:val="en-US" w:eastAsia="zh-CN"/>
        </w:rPr>
        <w:t>5.2-7</w:t>
      </w:r>
      <w:r>
        <w:rPr>
          <w:rFonts w:hint="default" w:ascii="Times New Roman" w:hAnsi="Times New Roman" w:eastAsia="宋体" w:cs="Times New Roman"/>
          <w:color w:val="auto"/>
          <w:sz w:val="24"/>
          <w:szCs w:val="24"/>
        </w:rPr>
        <w:t>可知，</w:t>
      </w:r>
      <w:r>
        <w:rPr>
          <w:rFonts w:hint="default" w:ascii="Times New Roman" w:hAnsi="Times New Roman" w:eastAsia="宋体" w:cs="Times New Roman"/>
          <w:color w:val="auto"/>
          <w:sz w:val="24"/>
          <w:szCs w:val="24"/>
          <w:lang w:val="en-US" w:eastAsia="zh-CN"/>
        </w:rPr>
        <w:t>无组织</w:t>
      </w:r>
      <w:r>
        <w:rPr>
          <w:rFonts w:hint="default" w:ascii="Times New Roman" w:hAnsi="Times New Roman" w:eastAsia="宋体" w:cs="Times New Roman"/>
          <w:color w:val="auto"/>
          <w:sz w:val="24"/>
          <w:szCs w:val="24"/>
        </w:rPr>
        <w:t>废气中非甲烷总烃最大落地浓度为</w:t>
      </w:r>
      <w:r>
        <w:rPr>
          <w:rFonts w:hint="default" w:ascii="Times New Roman" w:hAnsi="Times New Roman" w:eastAsia="宋体" w:cs="Times New Roman"/>
          <w:color w:val="auto"/>
          <w:sz w:val="24"/>
          <w:szCs w:val="24"/>
          <w:lang w:val="en-US" w:eastAsia="zh-CN"/>
        </w:rPr>
        <w:t>176.46</w:t>
      </w:r>
      <w:r>
        <w:rPr>
          <w:rFonts w:hint="default" w:ascii="Times New Roman" w:hAnsi="Times New Roman" w:eastAsia="宋体" w:cs="Times New Roman"/>
          <w:color w:val="auto"/>
          <w:sz w:val="24"/>
          <w:szCs w:val="24"/>
        </w:rPr>
        <w:t>μg/m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、占标率为</w:t>
      </w:r>
      <w:r>
        <w:rPr>
          <w:rFonts w:hint="default" w:ascii="Times New Roman" w:hAnsi="Times New Roman" w:eastAsia="宋体" w:cs="Times New Roman"/>
          <w:color w:val="auto"/>
          <w:sz w:val="24"/>
          <w:szCs w:val="24"/>
          <w:lang w:val="en-US" w:eastAsia="zh-CN"/>
        </w:rPr>
        <w:t>8.82</w:t>
      </w:r>
      <w:r>
        <w:rPr>
          <w:rFonts w:hint="default" w:ascii="Times New Roman" w:hAnsi="Times New Roman" w:eastAsia="宋体" w:cs="Times New Roman"/>
          <w:color w:val="auto"/>
          <w:sz w:val="24"/>
          <w:szCs w:val="24"/>
        </w:rPr>
        <w:t>%，最大浓度出现距离为</w:t>
      </w:r>
      <w:r>
        <w:rPr>
          <w:rFonts w:hint="default" w:ascii="Times New Roman" w:hAnsi="Times New Roman" w:eastAsia="宋体" w:cs="Times New Roman"/>
          <w:color w:val="auto"/>
          <w:sz w:val="24"/>
          <w:szCs w:val="24"/>
          <w:lang w:val="en-US" w:eastAsia="zh-CN"/>
        </w:rPr>
        <w:t>雄探1试采点</w:t>
      </w:r>
      <w:r>
        <w:rPr>
          <w:rFonts w:hint="default" w:ascii="Times New Roman" w:hAnsi="Times New Roman" w:eastAsia="宋体" w:cs="Times New Roman"/>
          <w:color w:val="auto"/>
          <w:sz w:val="24"/>
          <w:szCs w:val="24"/>
        </w:rPr>
        <w:t>下风向</w:t>
      </w:r>
      <w:r>
        <w:rPr>
          <w:rFonts w:hint="default" w:ascii="Times New Roman" w:hAnsi="Times New Roman" w:eastAsia="宋体" w:cs="Times New Roman"/>
          <w:color w:val="auto"/>
          <w:sz w:val="24"/>
          <w:szCs w:val="24"/>
          <w:lang w:val="en-US" w:eastAsia="zh-CN"/>
        </w:rPr>
        <w:t>252</w:t>
      </w:r>
      <w:r>
        <w:rPr>
          <w:rFonts w:hint="default" w:ascii="Times New Roman" w:hAnsi="Times New Roman" w:eastAsia="宋体" w:cs="Times New Roman"/>
          <w:color w:val="auto"/>
          <w:sz w:val="24"/>
          <w:szCs w:val="24"/>
        </w:rPr>
        <w:t>m处；</w:t>
      </w:r>
      <w:r>
        <w:rPr>
          <w:rFonts w:hint="default" w:ascii="Times New Roman" w:hAnsi="Times New Roman" w:eastAsia="宋体" w:cs="Times New Roman"/>
          <w:color w:val="auto"/>
          <w:sz w:val="24"/>
          <w:szCs w:val="24"/>
          <w:lang w:val="en-US" w:eastAsia="zh-CN"/>
        </w:rPr>
        <w:t>硫化氢</w:t>
      </w:r>
      <w:r>
        <w:rPr>
          <w:rFonts w:hint="default" w:ascii="Times New Roman" w:hAnsi="Times New Roman" w:eastAsia="宋体" w:cs="Times New Roman"/>
          <w:color w:val="auto"/>
          <w:sz w:val="24"/>
          <w:szCs w:val="24"/>
        </w:rPr>
        <w:t>最大落地浓度为0.42839μg/m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、占标率为</w:t>
      </w:r>
      <w:r>
        <w:rPr>
          <w:rFonts w:hint="default" w:ascii="Times New Roman" w:hAnsi="Times New Roman" w:eastAsia="宋体" w:cs="Times New Roman"/>
          <w:color w:val="auto"/>
          <w:sz w:val="24"/>
          <w:szCs w:val="24"/>
          <w:lang w:val="en-US" w:eastAsia="zh-CN"/>
        </w:rPr>
        <w:t>0.43</w:t>
      </w:r>
      <w:r>
        <w:rPr>
          <w:rFonts w:hint="default" w:ascii="Times New Roman" w:hAnsi="Times New Roman" w:eastAsia="宋体" w:cs="Times New Roman"/>
          <w:color w:val="auto"/>
          <w:sz w:val="24"/>
          <w:szCs w:val="24"/>
        </w:rPr>
        <w:t>%，最大浓度出现距离为</w:t>
      </w:r>
      <w:r>
        <w:rPr>
          <w:rFonts w:hint="default" w:ascii="Times New Roman" w:hAnsi="Times New Roman" w:eastAsia="宋体" w:cs="Times New Roman"/>
          <w:color w:val="auto"/>
          <w:sz w:val="24"/>
          <w:szCs w:val="24"/>
          <w:lang w:val="en-US" w:eastAsia="zh-CN"/>
        </w:rPr>
        <w:t>雄探1试采点</w:t>
      </w:r>
      <w:r>
        <w:rPr>
          <w:rFonts w:hint="default" w:ascii="Times New Roman" w:hAnsi="Times New Roman" w:eastAsia="宋体" w:cs="Times New Roman"/>
          <w:color w:val="auto"/>
          <w:sz w:val="24"/>
          <w:szCs w:val="24"/>
        </w:rPr>
        <w:t>下风向</w:t>
      </w:r>
      <w:r>
        <w:rPr>
          <w:rFonts w:hint="default" w:ascii="Times New Roman" w:hAnsi="Times New Roman" w:eastAsia="宋体" w:cs="Times New Roman"/>
          <w:color w:val="auto"/>
          <w:sz w:val="24"/>
          <w:szCs w:val="24"/>
          <w:lang w:val="en-US" w:eastAsia="zh-CN"/>
        </w:rPr>
        <w:t>252</w:t>
      </w:r>
      <w:r>
        <w:rPr>
          <w:rFonts w:hint="default" w:ascii="Times New Roman" w:hAnsi="Times New Roman" w:eastAsia="宋体" w:cs="Times New Roman"/>
          <w:color w:val="auto"/>
          <w:sz w:val="24"/>
          <w:szCs w:val="24"/>
        </w:rPr>
        <w:t>m处，D10%均未</w:t>
      </w:r>
      <w:r>
        <w:rPr>
          <w:rFonts w:hint="default" w:ascii="Times New Roman" w:hAnsi="Times New Roman" w:eastAsia="宋体" w:cs="Times New Roman"/>
          <w:color w:val="auto"/>
          <w:sz w:val="24"/>
          <w:szCs w:val="24"/>
          <w:highlight w:val="none"/>
        </w:rPr>
        <w:t>出现</w:t>
      </w:r>
      <w:r>
        <w:rPr>
          <w:rFonts w:hint="default" w:ascii="Times New Roman" w:hAnsi="Times New Roman" w:eastAsia="宋体" w:cs="Times New Roman"/>
          <w:color w:val="auto"/>
          <w:highlight w:val="none"/>
        </w:rPr>
        <w:t>。</w:t>
      </w:r>
    </w:p>
    <w:p w14:paraId="2B641ED7">
      <w:pPr>
        <w:pStyle w:val="55"/>
        <w:bidi w:val="0"/>
        <w:rPr>
          <w:rFonts w:hint="default"/>
          <w:color w:val="auto"/>
          <w:lang w:val="en-US" w:eastAsia="zh-CN"/>
        </w:rPr>
      </w:pPr>
      <w:r>
        <w:rPr>
          <w:rFonts w:hint="eastAsia"/>
          <w:color w:val="auto"/>
          <w:lang w:val="en-US" w:eastAsia="zh-CN"/>
        </w:rPr>
        <w:t>5.4.2.3 大气环境防护距离</w:t>
      </w:r>
    </w:p>
    <w:p w14:paraId="0B08BA79">
      <w:pPr>
        <w:pStyle w:val="79"/>
        <w:bidi w:val="0"/>
        <w:rPr>
          <w:rFonts w:hint="default"/>
          <w:color w:val="auto"/>
        </w:rPr>
      </w:pPr>
      <w:r>
        <w:rPr>
          <w:rFonts w:hint="default"/>
          <w:color w:val="auto"/>
        </w:rPr>
        <w:t>根据《环境影响评价技术导则 大气环境》(HJ2.2-2018)“8.8.5大气环境防护距离确定”相关要求，需要采用进一步预测模式计算大气环境防护距离，本工程大气环境影响评价等级为二级，不再计算大气环境防护距离。</w:t>
      </w:r>
    </w:p>
    <w:p w14:paraId="5025C8DD">
      <w:pPr>
        <w:pStyle w:val="55"/>
        <w:bidi w:val="0"/>
        <w:rPr>
          <w:rFonts w:hint="default"/>
          <w:color w:val="auto"/>
          <w:lang w:val="en-US" w:eastAsia="zh-CN"/>
        </w:rPr>
      </w:pPr>
      <w:r>
        <w:rPr>
          <w:rFonts w:hint="default"/>
          <w:color w:val="auto"/>
          <w:lang w:val="en-US" w:eastAsia="zh-CN"/>
        </w:rPr>
        <w:t>5.</w:t>
      </w:r>
      <w:r>
        <w:rPr>
          <w:rFonts w:hint="eastAsia"/>
          <w:color w:val="auto"/>
          <w:lang w:val="en-US" w:eastAsia="zh-CN"/>
        </w:rPr>
        <w:t>4</w:t>
      </w:r>
      <w:r>
        <w:rPr>
          <w:rFonts w:hint="default"/>
          <w:color w:val="auto"/>
          <w:lang w:val="en-US" w:eastAsia="zh-CN"/>
        </w:rPr>
        <w:t>.2.</w:t>
      </w:r>
      <w:r>
        <w:rPr>
          <w:rFonts w:hint="eastAsia"/>
          <w:color w:val="auto"/>
          <w:lang w:val="en-US" w:eastAsia="zh-CN"/>
        </w:rPr>
        <w:t xml:space="preserve">4 </w:t>
      </w:r>
      <w:r>
        <w:rPr>
          <w:rFonts w:hint="default"/>
          <w:color w:val="auto"/>
          <w:lang w:val="en-US" w:eastAsia="zh-CN"/>
        </w:rPr>
        <w:t>大气环境影响小结</w:t>
      </w:r>
    </w:p>
    <w:p w14:paraId="49AC7511">
      <w:pPr>
        <w:pStyle w:val="79"/>
        <w:bidi w:val="0"/>
        <w:rPr>
          <w:color w:val="auto"/>
        </w:rPr>
      </w:pPr>
      <w:bookmarkStart w:id="658" w:name="OLE_LINK287"/>
      <w:r>
        <w:rPr>
          <w:rFonts w:hint="eastAsia"/>
          <w:color w:val="auto"/>
        </w:rPr>
        <w:t>①</w:t>
      </w:r>
      <w:r>
        <w:rPr>
          <w:color w:val="auto"/>
        </w:rPr>
        <w:t>加热炉燃烧废气</w:t>
      </w:r>
    </w:p>
    <w:p w14:paraId="54DF4258">
      <w:pPr>
        <w:pStyle w:val="79"/>
        <w:bidi w:val="0"/>
        <w:rPr>
          <w:color w:val="auto"/>
        </w:rPr>
      </w:pPr>
      <w:r>
        <w:rPr>
          <w:rFonts w:hint="eastAsia"/>
          <w:color w:val="auto"/>
        </w:rPr>
        <w:t>本项目雄探1井抗硫加热炉有组织排放的二氧化硫、氮氧化物、颗粒物满足《锅炉大气污染物排放标准》（GB13271-2014）中新建燃气锅炉大气污染物排放浓度限值要求，非甲烷总烃满足《大气污染物综合排放标准》(GB16297-1996</w:t>
      </w:r>
      <w:r>
        <w:rPr>
          <w:rFonts w:hint="eastAsia"/>
          <w:color w:val="auto"/>
          <w:lang w:eastAsia="zh-CN"/>
        </w:rPr>
        <w:t>）</w:t>
      </w:r>
      <w:r>
        <w:rPr>
          <w:rFonts w:hint="eastAsia"/>
          <w:color w:val="auto"/>
        </w:rPr>
        <w:t>表2最高允许排放浓度，烟气最终通过不低于8m高排气筒排放。</w:t>
      </w:r>
      <w:r>
        <w:rPr>
          <w:color w:val="auto"/>
        </w:rPr>
        <w:t>根据以上计算结果可知，本项目</w:t>
      </w:r>
      <w:r>
        <w:rPr>
          <w:rFonts w:hint="eastAsia"/>
          <w:color w:val="auto"/>
          <w:lang w:eastAsia="zh-CN"/>
        </w:rPr>
        <w:t>加热炉</w:t>
      </w:r>
      <w:r>
        <w:rPr>
          <w:color w:val="auto"/>
        </w:rPr>
        <w:t>燃烧废气中各污染物下风向地面浓度均低于《环境空气质量标准》（GB3095-2012）二级标准限值，项目正常排放的各污染物对评价区域大气环境质量均不会产生明显影响。</w:t>
      </w:r>
    </w:p>
    <w:p w14:paraId="5CBC0FA1">
      <w:pPr>
        <w:pStyle w:val="79"/>
        <w:bidi w:val="0"/>
        <w:rPr>
          <w:color w:val="auto"/>
        </w:rPr>
      </w:pPr>
      <w:r>
        <w:rPr>
          <w:rFonts w:hint="eastAsia"/>
          <w:color w:val="auto"/>
        </w:rPr>
        <w:t>②</w:t>
      </w:r>
      <w:r>
        <w:rPr>
          <w:color w:val="auto"/>
        </w:rPr>
        <w:t>无组织排放挥发性有机物环境影响分析</w:t>
      </w:r>
    </w:p>
    <w:p w14:paraId="6898E29E">
      <w:pPr>
        <w:pStyle w:val="79"/>
        <w:bidi w:val="0"/>
        <w:rPr>
          <w:rFonts w:hint="default"/>
          <w:color w:val="auto"/>
        </w:rPr>
      </w:pPr>
      <w:r>
        <w:rPr>
          <w:rFonts w:hint="default"/>
          <w:color w:val="auto"/>
        </w:rPr>
        <w:t>烃类无组织是影响</w:t>
      </w:r>
      <w:r>
        <w:rPr>
          <w:rFonts w:hint="eastAsia"/>
          <w:color w:val="auto"/>
          <w:lang w:eastAsia="zh-CN"/>
        </w:rPr>
        <w:t>油田</w:t>
      </w:r>
      <w:r>
        <w:rPr>
          <w:rFonts w:hint="default"/>
          <w:color w:val="auto"/>
        </w:rPr>
        <w:t>区域环境空气的主要污染源之一，</w:t>
      </w:r>
      <w:r>
        <w:rPr>
          <w:rFonts w:hint="default"/>
          <w:color w:val="auto"/>
          <w:lang w:eastAsia="zh-CN"/>
        </w:rPr>
        <w:t>本</w:t>
      </w:r>
      <w:r>
        <w:rPr>
          <w:rFonts w:hint="default"/>
          <w:color w:val="auto"/>
          <w:lang w:val="en-US" w:eastAsia="zh-CN"/>
        </w:rPr>
        <w:t>项目</w:t>
      </w:r>
      <w:r>
        <w:rPr>
          <w:rFonts w:hint="default"/>
          <w:color w:val="auto"/>
        </w:rPr>
        <w:t>油气开采、集输采用密闭流程，井口密封并设紧急切断阀，可有效减少烃类气体的排放量。根据现状监测结果，区域环境空气中非甲烷总烃满足标准限值要求。根据预测结果可知，无组织排放的非甲烷总烃满足《陆上石油天然气开采工业大气污染物排放标准》（GB39728-2020）厂界无组织排放监控限值4.0mg/m³的要求，硫化氢浓度满足《恶臭污染物排放标准》（GB14554-93）改扩建项目厂界二级标准限值（0.06mg/m</w:t>
      </w:r>
      <w:r>
        <w:rPr>
          <w:rFonts w:hint="default"/>
          <w:color w:val="auto"/>
          <w:vertAlign w:val="superscript"/>
        </w:rPr>
        <w:t>3</w:t>
      </w:r>
      <w:r>
        <w:rPr>
          <w:rFonts w:hint="default"/>
          <w:color w:val="auto"/>
        </w:rPr>
        <w:t>）要求。无组织源对区域环境空气的影响主要集中在污染源下风向</w:t>
      </w:r>
      <w:r>
        <w:rPr>
          <w:rFonts w:hint="eastAsia"/>
          <w:color w:val="auto"/>
          <w:lang w:val="en-US" w:eastAsia="zh-CN"/>
        </w:rPr>
        <w:t>252</w:t>
      </w:r>
      <w:r>
        <w:rPr>
          <w:rFonts w:hint="default"/>
          <w:color w:val="auto"/>
        </w:rPr>
        <w:t>m范围内，项目区周边5.0km范围内无敏感点，因此</w:t>
      </w:r>
      <w:r>
        <w:rPr>
          <w:rFonts w:hint="default"/>
          <w:color w:val="auto"/>
          <w:lang w:val="en-US" w:eastAsia="zh-CN"/>
        </w:rPr>
        <w:t>本项目</w:t>
      </w:r>
      <w:r>
        <w:rPr>
          <w:rFonts w:hint="default"/>
          <w:color w:val="auto"/>
        </w:rPr>
        <w:t>正常运行期间无组织排放的非甲烷总烃</w:t>
      </w:r>
      <w:r>
        <w:rPr>
          <w:rFonts w:hint="eastAsia"/>
          <w:color w:val="auto"/>
          <w:lang w:val="en-US" w:eastAsia="zh-CN"/>
        </w:rPr>
        <w:t>和硫化氢</w:t>
      </w:r>
      <w:r>
        <w:rPr>
          <w:rFonts w:hint="default"/>
          <w:color w:val="auto"/>
        </w:rPr>
        <w:t>对周围环境空气影响较小。</w:t>
      </w:r>
    </w:p>
    <w:bookmarkEnd w:id="658"/>
    <w:p w14:paraId="6032480A">
      <w:pPr>
        <w:pStyle w:val="55"/>
        <w:bidi w:val="0"/>
        <w:rPr>
          <w:color w:val="auto"/>
          <w:lang w:val="en-US" w:eastAsia="zh-CN"/>
        </w:rPr>
      </w:pPr>
      <w:r>
        <w:rPr>
          <w:color w:val="auto"/>
          <w:lang w:val="en-US" w:eastAsia="zh-CN"/>
        </w:rPr>
        <w:t>5.</w:t>
      </w:r>
      <w:r>
        <w:rPr>
          <w:rFonts w:hint="eastAsia"/>
          <w:color w:val="auto"/>
          <w:lang w:val="en-US" w:eastAsia="zh-CN"/>
        </w:rPr>
        <w:t>4</w:t>
      </w:r>
      <w:r>
        <w:rPr>
          <w:color w:val="auto"/>
          <w:lang w:val="en-US" w:eastAsia="zh-CN"/>
        </w:rPr>
        <w:t>.</w:t>
      </w:r>
      <w:r>
        <w:rPr>
          <w:rFonts w:hint="eastAsia"/>
          <w:color w:val="auto"/>
          <w:lang w:val="en-US" w:eastAsia="zh-CN"/>
        </w:rPr>
        <w:t>2</w:t>
      </w:r>
      <w:r>
        <w:rPr>
          <w:color w:val="auto"/>
          <w:lang w:val="en-US" w:eastAsia="zh-CN"/>
        </w:rPr>
        <w:t>.</w:t>
      </w:r>
      <w:r>
        <w:rPr>
          <w:rFonts w:hint="eastAsia"/>
          <w:color w:val="auto"/>
          <w:lang w:val="en-US" w:eastAsia="zh-CN"/>
        </w:rPr>
        <w:t xml:space="preserve">5 </w:t>
      </w:r>
      <w:r>
        <w:rPr>
          <w:color w:val="auto"/>
          <w:lang w:val="en-US" w:eastAsia="zh-CN"/>
        </w:rPr>
        <w:t>大气污染物核算</w:t>
      </w:r>
    </w:p>
    <w:p w14:paraId="6BF8A289">
      <w:pPr>
        <w:pStyle w:val="79"/>
        <w:bidi w:val="0"/>
        <w:rPr>
          <w:color w:val="auto"/>
          <w:lang w:val="en-US" w:eastAsia="zh-CN"/>
        </w:rPr>
      </w:pPr>
      <w:bookmarkStart w:id="659" w:name="OLE_LINK289"/>
      <w:r>
        <w:rPr>
          <w:rFonts w:hint="eastAsia"/>
          <w:color w:val="auto"/>
          <w:lang w:val="en-US" w:eastAsia="zh-CN"/>
        </w:rPr>
        <w:t>本工程运营期</w:t>
      </w:r>
      <w:r>
        <w:rPr>
          <w:color w:val="auto"/>
          <w:lang w:val="en-US" w:eastAsia="zh-CN"/>
        </w:rPr>
        <w:t>大气污染物排放量</w:t>
      </w:r>
      <w:r>
        <w:rPr>
          <w:rFonts w:hint="eastAsia"/>
          <w:color w:val="auto"/>
          <w:lang w:val="en-US" w:eastAsia="zh-CN"/>
        </w:rPr>
        <w:t>，</w:t>
      </w:r>
      <w:r>
        <w:rPr>
          <w:color w:val="auto"/>
          <w:lang w:val="en-US" w:eastAsia="zh-CN"/>
        </w:rPr>
        <w:t>见表5.</w:t>
      </w:r>
      <w:r>
        <w:rPr>
          <w:rFonts w:hint="eastAsia"/>
          <w:color w:val="auto"/>
          <w:lang w:val="en-US" w:eastAsia="zh-CN"/>
        </w:rPr>
        <w:t>4</w:t>
      </w:r>
      <w:r>
        <w:rPr>
          <w:color w:val="auto"/>
          <w:lang w:val="en-US" w:eastAsia="zh-CN"/>
        </w:rPr>
        <w:t>-</w:t>
      </w:r>
      <w:r>
        <w:rPr>
          <w:rFonts w:hint="eastAsia"/>
          <w:color w:val="auto"/>
          <w:lang w:val="en-US" w:eastAsia="zh-CN"/>
        </w:rPr>
        <w:t>8</w:t>
      </w:r>
      <w:r>
        <w:rPr>
          <w:color w:val="auto"/>
          <w:lang w:val="en-US" w:eastAsia="zh-CN"/>
        </w:rPr>
        <w:t>。</w:t>
      </w:r>
    </w:p>
    <w:p w14:paraId="2C08EF51">
      <w:pPr>
        <w:pStyle w:val="61"/>
        <w:bidi w:val="0"/>
        <w:jc w:val="both"/>
        <w:rPr>
          <w:rFonts w:hint="eastAsia"/>
          <w:color w:val="auto"/>
          <w:lang w:val="en-US" w:eastAsia="zh-CN"/>
        </w:rPr>
      </w:pPr>
      <w:r>
        <w:rPr>
          <w:rFonts w:hint="eastAsia"/>
          <w:color w:val="auto"/>
          <w:lang w:val="en-US" w:eastAsia="zh-CN"/>
        </w:rPr>
        <w:t>表5.4-8  本工程大气污染物排放量核算表</w:t>
      </w:r>
    </w:p>
    <w:tbl>
      <w:tblPr>
        <w:tblStyle w:val="36"/>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805"/>
        <w:gridCol w:w="1166"/>
        <w:gridCol w:w="1206"/>
        <w:gridCol w:w="2507"/>
        <w:gridCol w:w="2035"/>
        <w:gridCol w:w="952"/>
      </w:tblGrid>
      <w:tr w14:paraId="5B110E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94" w:hRule="atLeast"/>
          <w:jc w:val="center"/>
        </w:trPr>
        <w:tc>
          <w:tcPr>
            <w:tcW w:w="464" w:type="pct"/>
            <w:vMerge w:val="restart"/>
            <w:tcBorders>
              <w:tl2br w:val="nil"/>
              <w:tr2bl w:val="nil"/>
            </w:tcBorders>
            <w:noWrap w:val="0"/>
            <w:vAlign w:val="center"/>
          </w:tcPr>
          <w:p w14:paraId="692E6436">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2"/>
                <w:sz w:val="21"/>
                <w:szCs w:val="22"/>
                <w:highlight w:val="none"/>
                <w:lang w:val="en-US" w:eastAsia="zh-CN" w:bidi="ar-SA"/>
              </w:rPr>
            </w:pPr>
            <w:bookmarkStart w:id="660" w:name="OLE_LINK288"/>
            <w:r>
              <w:rPr>
                <w:rFonts w:ascii="Times New Roman" w:hAnsi="Times New Roman" w:eastAsia="宋体" w:cs="Times New Roman"/>
                <w:color w:val="auto"/>
                <w:kern w:val="2"/>
                <w:sz w:val="21"/>
                <w:szCs w:val="22"/>
                <w:highlight w:val="none"/>
                <w:lang w:val="en-US" w:eastAsia="zh-CN" w:bidi="ar-SA"/>
              </w:rPr>
              <w:t>污染源</w:t>
            </w:r>
          </w:p>
        </w:tc>
        <w:tc>
          <w:tcPr>
            <w:tcW w:w="672" w:type="pct"/>
            <w:vMerge w:val="restart"/>
            <w:tcBorders>
              <w:tl2br w:val="nil"/>
              <w:tr2bl w:val="nil"/>
            </w:tcBorders>
            <w:noWrap w:val="0"/>
            <w:vAlign w:val="center"/>
          </w:tcPr>
          <w:p w14:paraId="4EB369F2">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2"/>
                <w:sz w:val="21"/>
                <w:szCs w:val="22"/>
                <w:highlight w:val="none"/>
                <w:lang w:val="en-US" w:eastAsia="zh-CN" w:bidi="ar-SA"/>
              </w:rPr>
            </w:pPr>
            <w:r>
              <w:rPr>
                <w:rFonts w:ascii="Times New Roman" w:hAnsi="Times New Roman" w:eastAsia="宋体" w:cs="Times New Roman"/>
                <w:color w:val="auto"/>
                <w:kern w:val="2"/>
                <w:sz w:val="21"/>
                <w:szCs w:val="22"/>
                <w:highlight w:val="none"/>
                <w:lang w:val="en-US" w:eastAsia="zh-CN" w:bidi="ar-SA"/>
              </w:rPr>
              <w:t>污染物项目</w:t>
            </w:r>
          </w:p>
        </w:tc>
        <w:tc>
          <w:tcPr>
            <w:tcW w:w="695" w:type="pct"/>
            <w:vMerge w:val="restart"/>
            <w:tcBorders>
              <w:tl2br w:val="nil"/>
              <w:tr2bl w:val="nil"/>
            </w:tcBorders>
            <w:noWrap w:val="0"/>
            <w:vAlign w:val="center"/>
          </w:tcPr>
          <w:p w14:paraId="11CF874D">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2"/>
                <w:sz w:val="21"/>
                <w:szCs w:val="22"/>
                <w:highlight w:val="none"/>
                <w:lang w:val="en-US" w:eastAsia="zh-CN" w:bidi="ar-SA"/>
              </w:rPr>
            </w:pPr>
            <w:r>
              <w:rPr>
                <w:rFonts w:ascii="Times New Roman" w:hAnsi="Times New Roman" w:eastAsia="宋体" w:cs="Times New Roman"/>
                <w:color w:val="auto"/>
                <w:kern w:val="2"/>
                <w:sz w:val="21"/>
                <w:szCs w:val="22"/>
                <w:highlight w:val="none"/>
                <w:lang w:val="en-US" w:eastAsia="zh-CN" w:bidi="ar-SA"/>
              </w:rPr>
              <w:t>主要污染</w:t>
            </w:r>
          </w:p>
          <w:p w14:paraId="4DD4B0C0">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2"/>
                <w:sz w:val="21"/>
                <w:szCs w:val="22"/>
                <w:highlight w:val="none"/>
                <w:lang w:val="en-US" w:eastAsia="zh-CN" w:bidi="ar-SA"/>
              </w:rPr>
            </w:pPr>
            <w:r>
              <w:rPr>
                <w:rFonts w:ascii="Times New Roman" w:hAnsi="Times New Roman" w:eastAsia="宋体" w:cs="Times New Roman"/>
                <w:color w:val="auto"/>
                <w:kern w:val="2"/>
                <w:sz w:val="21"/>
                <w:szCs w:val="22"/>
                <w:highlight w:val="none"/>
                <w:lang w:val="en-US" w:eastAsia="zh-CN" w:bidi="ar-SA"/>
              </w:rPr>
              <w:t>防治措施</w:t>
            </w:r>
          </w:p>
        </w:tc>
        <w:tc>
          <w:tcPr>
            <w:tcW w:w="2618" w:type="pct"/>
            <w:gridSpan w:val="2"/>
            <w:tcBorders>
              <w:tl2br w:val="nil"/>
              <w:tr2bl w:val="nil"/>
            </w:tcBorders>
            <w:noWrap w:val="0"/>
            <w:vAlign w:val="center"/>
          </w:tcPr>
          <w:p w14:paraId="07AC980A">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2"/>
                <w:sz w:val="21"/>
                <w:szCs w:val="22"/>
                <w:highlight w:val="none"/>
                <w:lang w:val="en-US" w:eastAsia="zh-CN" w:bidi="ar-SA"/>
              </w:rPr>
            </w:pPr>
            <w:r>
              <w:rPr>
                <w:rFonts w:ascii="Times New Roman" w:hAnsi="Times New Roman" w:eastAsia="宋体" w:cs="Times New Roman"/>
                <w:color w:val="auto"/>
                <w:kern w:val="2"/>
                <w:sz w:val="21"/>
                <w:szCs w:val="22"/>
                <w:highlight w:val="none"/>
                <w:lang w:val="en-US" w:eastAsia="zh-CN" w:bidi="ar-SA"/>
              </w:rPr>
              <w:t>国家或地方污染物排放标准</w:t>
            </w:r>
          </w:p>
        </w:tc>
        <w:tc>
          <w:tcPr>
            <w:tcW w:w="548" w:type="pct"/>
            <w:vMerge w:val="restart"/>
            <w:tcBorders>
              <w:tl2br w:val="nil"/>
              <w:tr2bl w:val="nil"/>
            </w:tcBorders>
            <w:noWrap w:val="0"/>
            <w:vAlign w:val="center"/>
          </w:tcPr>
          <w:p w14:paraId="24C1609A">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2"/>
                <w:sz w:val="21"/>
                <w:szCs w:val="22"/>
                <w:highlight w:val="none"/>
                <w:lang w:val="en-US" w:eastAsia="zh-CN" w:bidi="ar-SA"/>
              </w:rPr>
            </w:pPr>
            <w:r>
              <w:rPr>
                <w:rFonts w:ascii="Times New Roman" w:hAnsi="Times New Roman" w:eastAsia="宋体" w:cs="Times New Roman"/>
                <w:color w:val="auto"/>
                <w:kern w:val="2"/>
                <w:sz w:val="21"/>
                <w:szCs w:val="22"/>
                <w:highlight w:val="none"/>
                <w:lang w:val="en-US" w:eastAsia="zh-CN" w:bidi="ar-SA"/>
              </w:rPr>
              <w:t>核算年排放量（t/a）</w:t>
            </w:r>
          </w:p>
        </w:tc>
      </w:tr>
      <w:tr w14:paraId="1C6EDD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94" w:hRule="atLeast"/>
          <w:jc w:val="center"/>
        </w:trPr>
        <w:tc>
          <w:tcPr>
            <w:tcW w:w="464" w:type="pct"/>
            <w:vMerge w:val="continue"/>
            <w:tcBorders>
              <w:tl2br w:val="nil"/>
              <w:tr2bl w:val="nil"/>
            </w:tcBorders>
            <w:noWrap w:val="0"/>
            <w:vAlign w:val="center"/>
          </w:tcPr>
          <w:p w14:paraId="212610F0">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2"/>
                <w:sz w:val="21"/>
                <w:szCs w:val="22"/>
                <w:highlight w:val="none"/>
                <w:lang w:val="en-US" w:eastAsia="zh-CN" w:bidi="ar-SA"/>
              </w:rPr>
            </w:pPr>
          </w:p>
        </w:tc>
        <w:tc>
          <w:tcPr>
            <w:tcW w:w="672" w:type="pct"/>
            <w:vMerge w:val="continue"/>
            <w:tcBorders>
              <w:tl2br w:val="nil"/>
              <w:tr2bl w:val="nil"/>
            </w:tcBorders>
            <w:noWrap w:val="0"/>
            <w:vAlign w:val="center"/>
          </w:tcPr>
          <w:p w14:paraId="516E1C34">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2"/>
                <w:sz w:val="21"/>
                <w:szCs w:val="22"/>
                <w:highlight w:val="none"/>
                <w:lang w:val="en-US" w:eastAsia="zh-CN" w:bidi="ar-SA"/>
              </w:rPr>
            </w:pPr>
          </w:p>
        </w:tc>
        <w:tc>
          <w:tcPr>
            <w:tcW w:w="695" w:type="pct"/>
            <w:vMerge w:val="continue"/>
            <w:tcBorders>
              <w:tl2br w:val="nil"/>
              <w:tr2bl w:val="nil"/>
            </w:tcBorders>
            <w:noWrap w:val="0"/>
            <w:vAlign w:val="center"/>
          </w:tcPr>
          <w:p w14:paraId="259A5FA4">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2"/>
                <w:sz w:val="21"/>
                <w:szCs w:val="22"/>
                <w:highlight w:val="none"/>
                <w:lang w:val="en-US" w:eastAsia="zh-CN" w:bidi="ar-SA"/>
              </w:rPr>
            </w:pPr>
          </w:p>
        </w:tc>
        <w:tc>
          <w:tcPr>
            <w:tcW w:w="1445" w:type="pct"/>
            <w:tcBorders>
              <w:tl2br w:val="nil"/>
              <w:tr2bl w:val="nil"/>
            </w:tcBorders>
            <w:noWrap w:val="0"/>
            <w:vAlign w:val="center"/>
          </w:tcPr>
          <w:p w14:paraId="1BB0AE7D">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2"/>
                <w:sz w:val="21"/>
                <w:szCs w:val="22"/>
                <w:highlight w:val="none"/>
                <w:lang w:val="en-US" w:eastAsia="zh-CN" w:bidi="ar-SA"/>
              </w:rPr>
            </w:pPr>
            <w:r>
              <w:rPr>
                <w:rFonts w:ascii="Times New Roman" w:hAnsi="Times New Roman" w:eastAsia="宋体" w:cs="Times New Roman"/>
                <w:color w:val="auto"/>
                <w:kern w:val="2"/>
                <w:sz w:val="21"/>
                <w:szCs w:val="22"/>
                <w:highlight w:val="none"/>
                <w:lang w:val="en-US" w:eastAsia="zh-CN" w:bidi="ar-SA"/>
              </w:rPr>
              <w:t>标准名称</w:t>
            </w:r>
          </w:p>
        </w:tc>
        <w:tc>
          <w:tcPr>
            <w:tcW w:w="1172" w:type="pct"/>
            <w:tcBorders>
              <w:tl2br w:val="nil"/>
              <w:tr2bl w:val="nil"/>
            </w:tcBorders>
            <w:noWrap w:val="0"/>
            <w:vAlign w:val="center"/>
          </w:tcPr>
          <w:p w14:paraId="7CBC3AA7">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kern w:val="2"/>
                <w:sz w:val="21"/>
                <w:szCs w:val="22"/>
                <w:highlight w:val="none"/>
                <w:lang w:val="en-US" w:eastAsia="zh-CN" w:bidi="ar-SA"/>
              </w:rPr>
              <w:t>浓度限值（mg/m</w:t>
            </w:r>
            <w:r>
              <w:rPr>
                <w:rFonts w:hint="default" w:ascii="Times New Roman" w:hAnsi="Times New Roman" w:eastAsia="宋体" w:cs="Times New Roman"/>
                <w:color w:val="auto"/>
                <w:kern w:val="2"/>
                <w:sz w:val="21"/>
                <w:szCs w:val="22"/>
                <w:highlight w:val="none"/>
                <w:vertAlign w:val="superscript"/>
                <w:lang w:val="en-US" w:eastAsia="zh-CN" w:bidi="ar-SA"/>
              </w:rPr>
              <w:t>3</w:t>
            </w:r>
            <w:r>
              <w:rPr>
                <w:rFonts w:hint="default" w:ascii="Times New Roman" w:hAnsi="Times New Roman" w:eastAsia="宋体" w:cs="Times New Roman"/>
                <w:color w:val="auto"/>
                <w:kern w:val="2"/>
                <w:sz w:val="21"/>
                <w:szCs w:val="22"/>
                <w:highlight w:val="none"/>
                <w:lang w:val="en-US" w:eastAsia="zh-CN" w:bidi="ar-SA"/>
              </w:rPr>
              <w:t>）</w:t>
            </w:r>
          </w:p>
        </w:tc>
        <w:tc>
          <w:tcPr>
            <w:tcW w:w="548" w:type="pct"/>
            <w:vMerge w:val="continue"/>
            <w:tcBorders>
              <w:tl2br w:val="nil"/>
              <w:tr2bl w:val="nil"/>
            </w:tcBorders>
            <w:noWrap w:val="0"/>
            <w:vAlign w:val="center"/>
          </w:tcPr>
          <w:p w14:paraId="72B421A5">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2"/>
                <w:sz w:val="21"/>
                <w:szCs w:val="22"/>
                <w:highlight w:val="none"/>
                <w:lang w:val="en-US" w:eastAsia="zh-CN" w:bidi="ar-SA"/>
              </w:rPr>
            </w:pPr>
          </w:p>
        </w:tc>
      </w:tr>
      <w:bookmarkEnd w:id="659"/>
      <w:tr w14:paraId="3A3C52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94" w:hRule="atLeast"/>
          <w:jc w:val="center"/>
        </w:trPr>
        <w:tc>
          <w:tcPr>
            <w:tcW w:w="464" w:type="pct"/>
            <w:vMerge w:val="restart"/>
            <w:tcBorders>
              <w:tl2br w:val="nil"/>
              <w:tr2bl w:val="nil"/>
            </w:tcBorders>
            <w:noWrap w:val="0"/>
            <w:vAlign w:val="center"/>
          </w:tcPr>
          <w:p w14:paraId="3A579211">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2"/>
                <w:sz w:val="21"/>
                <w:szCs w:val="22"/>
                <w:highlight w:val="none"/>
                <w:lang w:val="en-US" w:eastAsia="zh-CN" w:bidi="ar-SA"/>
              </w:rPr>
            </w:pPr>
            <w:r>
              <w:rPr>
                <w:rFonts w:hint="eastAsia" w:cs="Times New Roman"/>
                <w:color w:val="auto"/>
                <w:kern w:val="2"/>
                <w:sz w:val="21"/>
                <w:szCs w:val="22"/>
                <w:highlight w:val="none"/>
                <w:lang w:val="en-US" w:eastAsia="zh-CN" w:bidi="ar-SA"/>
              </w:rPr>
              <w:t>井场、雄探1试采点</w:t>
            </w:r>
          </w:p>
        </w:tc>
        <w:tc>
          <w:tcPr>
            <w:tcW w:w="672" w:type="pct"/>
            <w:tcBorders>
              <w:tl2br w:val="nil"/>
              <w:tr2bl w:val="nil"/>
            </w:tcBorders>
            <w:noWrap w:val="0"/>
            <w:vAlign w:val="center"/>
          </w:tcPr>
          <w:p w14:paraId="62C96982">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2"/>
                <w:sz w:val="21"/>
                <w:szCs w:val="22"/>
                <w:highlight w:val="none"/>
                <w:lang w:val="en-US" w:eastAsia="zh-CN" w:bidi="ar-SA"/>
              </w:rPr>
            </w:pPr>
            <w:r>
              <w:rPr>
                <w:rFonts w:ascii="Times New Roman" w:hAnsi="Times New Roman" w:eastAsia="宋体" w:cs="Times New Roman"/>
                <w:color w:val="auto"/>
                <w:kern w:val="2"/>
                <w:sz w:val="21"/>
                <w:szCs w:val="22"/>
                <w:highlight w:val="none"/>
                <w:lang w:val="en-US" w:eastAsia="zh-CN" w:bidi="ar-SA"/>
              </w:rPr>
              <w:t>非甲烷总烃</w:t>
            </w:r>
          </w:p>
        </w:tc>
        <w:tc>
          <w:tcPr>
            <w:tcW w:w="695" w:type="pct"/>
            <w:vMerge w:val="restart"/>
            <w:tcBorders>
              <w:tl2br w:val="nil"/>
              <w:tr2bl w:val="nil"/>
            </w:tcBorders>
            <w:noWrap w:val="0"/>
            <w:vAlign w:val="center"/>
          </w:tcPr>
          <w:p w14:paraId="4910F7FD">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2"/>
                <w:sz w:val="21"/>
                <w:szCs w:val="22"/>
                <w:highlight w:val="none"/>
                <w:lang w:val="en-US" w:eastAsia="zh-CN" w:bidi="ar-SA"/>
              </w:rPr>
            </w:pPr>
            <w:r>
              <w:rPr>
                <w:rFonts w:ascii="Times New Roman" w:hAnsi="Times New Roman" w:eastAsia="宋体" w:cs="Times New Roman"/>
                <w:color w:val="auto"/>
                <w:kern w:val="2"/>
                <w:sz w:val="21"/>
                <w:szCs w:val="22"/>
                <w:highlight w:val="none"/>
                <w:lang w:val="en-US" w:eastAsia="zh-CN" w:bidi="ar-SA"/>
              </w:rPr>
              <w:t>日常维护，做好密闭措施</w:t>
            </w:r>
          </w:p>
        </w:tc>
        <w:tc>
          <w:tcPr>
            <w:tcW w:w="1445" w:type="pct"/>
            <w:tcBorders>
              <w:tl2br w:val="nil"/>
              <w:tr2bl w:val="nil"/>
            </w:tcBorders>
            <w:noWrap w:val="0"/>
            <w:vAlign w:val="center"/>
          </w:tcPr>
          <w:p w14:paraId="0B5538ED">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ascii="Times New Roman" w:hAnsi="Times New Roman" w:eastAsia="宋体" w:cs="Times New Roman"/>
                <w:color w:val="auto"/>
                <w:kern w:val="2"/>
                <w:sz w:val="21"/>
                <w:szCs w:val="22"/>
                <w:highlight w:val="none"/>
                <w:lang w:val="en-US" w:eastAsia="zh-CN" w:bidi="ar-SA"/>
              </w:rPr>
            </w:pPr>
            <w:r>
              <w:rPr>
                <w:rFonts w:ascii="Times New Roman" w:hAnsi="Times New Roman" w:eastAsia="宋体" w:cs="Times New Roman"/>
                <w:color w:val="auto"/>
                <w:kern w:val="2"/>
                <w:sz w:val="21"/>
                <w:szCs w:val="22"/>
                <w:highlight w:val="none"/>
                <w:lang w:val="en-US" w:eastAsia="zh-CN" w:bidi="ar-SA"/>
              </w:rPr>
              <w:t>《陆上石油天然气开采工业大气污染物排放标准》（GB39728-2020）中企业边界污染物控制要求</w:t>
            </w:r>
          </w:p>
        </w:tc>
        <w:tc>
          <w:tcPr>
            <w:tcW w:w="1172" w:type="pct"/>
            <w:tcBorders>
              <w:tl2br w:val="nil"/>
              <w:tr2bl w:val="nil"/>
            </w:tcBorders>
            <w:noWrap w:val="0"/>
            <w:vAlign w:val="center"/>
          </w:tcPr>
          <w:p w14:paraId="08ACC006">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ascii="Times New Roman" w:hAnsi="Times New Roman" w:eastAsia="宋体" w:cs="Times New Roman"/>
                <w:color w:val="auto"/>
                <w:kern w:val="2"/>
                <w:sz w:val="21"/>
                <w:szCs w:val="22"/>
                <w:highlight w:val="none"/>
                <w:lang w:val="en-US" w:eastAsia="zh-CN" w:bidi="ar-SA"/>
              </w:rPr>
            </w:pPr>
            <w:r>
              <w:rPr>
                <w:rFonts w:ascii="Times New Roman" w:hAnsi="Times New Roman" w:cs="Calibri"/>
                <w:color w:val="auto"/>
                <w:sz w:val="21"/>
                <w:szCs w:val="21"/>
                <w:highlight w:val="none"/>
              </w:rPr>
              <w:t>厂界</w:t>
            </w:r>
            <w:r>
              <w:rPr>
                <w:rFonts w:ascii="Times New Roman" w:hAnsi="Times New Roman" w:eastAsia="宋体" w:cs="Times New Roman"/>
                <w:color w:val="auto"/>
                <w:kern w:val="2"/>
                <w:sz w:val="21"/>
                <w:szCs w:val="22"/>
                <w:highlight w:val="none"/>
                <w:lang w:val="en-US" w:eastAsia="zh-CN" w:bidi="ar-SA"/>
              </w:rPr>
              <w:t>无组织挥发产生的非甲烷总烃1h平均浓度限值4mg/m</w:t>
            </w:r>
            <w:r>
              <w:rPr>
                <w:rFonts w:ascii="Times New Roman" w:hAnsi="Times New Roman" w:eastAsia="宋体" w:cs="Times New Roman"/>
                <w:color w:val="auto"/>
                <w:kern w:val="2"/>
                <w:sz w:val="21"/>
                <w:szCs w:val="22"/>
                <w:highlight w:val="none"/>
                <w:vertAlign w:val="superscript"/>
                <w:lang w:val="en-US" w:eastAsia="zh-CN" w:bidi="ar-SA"/>
              </w:rPr>
              <w:t>3</w:t>
            </w:r>
          </w:p>
        </w:tc>
        <w:tc>
          <w:tcPr>
            <w:tcW w:w="548" w:type="pct"/>
            <w:tcBorders>
              <w:tl2br w:val="nil"/>
              <w:tr2bl w:val="nil"/>
            </w:tcBorders>
            <w:noWrap w:val="0"/>
            <w:vAlign w:val="center"/>
          </w:tcPr>
          <w:p w14:paraId="2777632B">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2"/>
                <w:sz w:val="21"/>
                <w:szCs w:val="22"/>
                <w:highlight w:val="none"/>
                <w:lang w:val="en-US" w:eastAsia="zh-CN" w:bidi="ar-SA"/>
              </w:rPr>
            </w:pPr>
            <w:r>
              <w:rPr>
                <w:rFonts w:hint="eastAsia" w:cs="Times New Roman"/>
                <w:color w:val="auto"/>
                <w:kern w:val="2"/>
                <w:sz w:val="21"/>
                <w:szCs w:val="22"/>
                <w:highlight w:val="none"/>
                <w:lang w:val="en-US" w:eastAsia="zh-CN" w:bidi="ar-SA"/>
              </w:rPr>
              <w:t>3.3767</w:t>
            </w:r>
          </w:p>
        </w:tc>
      </w:tr>
      <w:tr w14:paraId="6A31AD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94" w:hRule="atLeast"/>
          <w:jc w:val="center"/>
        </w:trPr>
        <w:tc>
          <w:tcPr>
            <w:tcW w:w="464" w:type="pct"/>
            <w:vMerge w:val="continue"/>
            <w:tcBorders>
              <w:tl2br w:val="nil"/>
              <w:tr2bl w:val="nil"/>
            </w:tcBorders>
            <w:noWrap w:val="0"/>
            <w:vAlign w:val="center"/>
          </w:tcPr>
          <w:p w14:paraId="681408B2">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cs="Times New Roman"/>
                <w:color w:val="auto"/>
                <w:kern w:val="2"/>
                <w:sz w:val="21"/>
                <w:szCs w:val="22"/>
                <w:highlight w:val="none"/>
                <w:lang w:val="en-US" w:eastAsia="zh-CN" w:bidi="ar-SA"/>
              </w:rPr>
            </w:pPr>
          </w:p>
        </w:tc>
        <w:tc>
          <w:tcPr>
            <w:tcW w:w="672" w:type="pct"/>
            <w:tcBorders>
              <w:tl2br w:val="nil"/>
              <w:tr2bl w:val="nil"/>
            </w:tcBorders>
            <w:noWrap w:val="0"/>
            <w:vAlign w:val="center"/>
          </w:tcPr>
          <w:p w14:paraId="74150561">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2"/>
                <w:sz w:val="21"/>
                <w:szCs w:val="22"/>
                <w:highlight w:val="none"/>
                <w:lang w:val="en-US" w:eastAsia="zh-CN" w:bidi="ar-SA"/>
              </w:rPr>
            </w:pPr>
            <w:r>
              <w:rPr>
                <w:rFonts w:hint="eastAsia" w:cs="Times New Roman"/>
                <w:color w:val="auto"/>
                <w:kern w:val="2"/>
                <w:sz w:val="21"/>
                <w:szCs w:val="22"/>
                <w:highlight w:val="none"/>
                <w:lang w:val="en-US" w:eastAsia="zh-CN" w:bidi="ar-SA"/>
              </w:rPr>
              <w:t>硫化氢</w:t>
            </w:r>
          </w:p>
        </w:tc>
        <w:tc>
          <w:tcPr>
            <w:tcW w:w="695" w:type="pct"/>
            <w:vMerge w:val="continue"/>
            <w:tcBorders>
              <w:tl2br w:val="nil"/>
              <w:tr2bl w:val="nil"/>
            </w:tcBorders>
            <w:noWrap w:val="0"/>
            <w:vAlign w:val="center"/>
          </w:tcPr>
          <w:p w14:paraId="022ECE63">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2"/>
                <w:sz w:val="21"/>
                <w:szCs w:val="22"/>
                <w:highlight w:val="none"/>
                <w:lang w:val="en-US" w:eastAsia="zh-CN" w:bidi="ar-SA"/>
              </w:rPr>
            </w:pPr>
          </w:p>
        </w:tc>
        <w:tc>
          <w:tcPr>
            <w:tcW w:w="1445" w:type="pct"/>
            <w:tcBorders>
              <w:tl2br w:val="nil"/>
              <w:tr2bl w:val="nil"/>
            </w:tcBorders>
            <w:noWrap w:val="0"/>
            <w:vAlign w:val="center"/>
          </w:tcPr>
          <w:p w14:paraId="2C75D74A">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2"/>
                <w:sz w:val="21"/>
                <w:szCs w:val="22"/>
                <w:highlight w:val="none"/>
                <w:lang w:val="en-US" w:eastAsia="zh-CN" w:bidi="ar-SA"/>
              </w:rPr>
            </w:pPr>
            <w:r>
              <w:rPr>
                <w:rFonts w:ascii="Times New Roman" w:hAnsi="Times New Roman" w:cs="Calibri"/>
                <w:color w:val="auto"/>
                <w:sz w:val="21"/>
                <w:szCs w:val="21"/>
                <w:highlight w:val="none"/>
              </w:rPr>
              <w:t>《恶臭污染物排放标准》（GB14554-93）</w:t>
            </w:r>
          </w:p>
        </w:tc>
        <w:tc>
          <w:tcPr>
            <w:tcW w:w="1172" w:type="pct"/>
            <w:tcBorders>
              <w:tl2br w:val="nil"/>
              <w:tr2bl w:val="nil"/>
            </w:tcBorders>
            <w:noWrap w:val="0"/>
            <w:vAlign w:val="center"/>
          </w:tcPr>
          <w:p w14:paraId="5A16FC13">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color w:val="auto"/>
                <w:kern w:val="2"/>
                <w:sz w:val="21"/>
                <w:szCs w:val="22"/>
                <w:highlight w:val="none"/>
                <w:lang w:val="en-US" w:eastAsia="zh-CN" w:bidi="ar-SA"/>
              </w:rPr>
            </w:pPr>
            <w:r>
              <w:rPr>
                <w:rFonts w:ascii="Times New Roman" w:hAnsi="Times New Roman" w:cs="Calibri"/>
                <w:color w:val="auto"/>
                <w:sz w:val="21"/>
                <w:szCs w:val="21"/>
                <w:highlight w:val="none"/>
              </w:rPr>
              <w:t>厂界硫化氢1h平均浓度限值0.06mg/m</w:t>
            </w:r>
            <w:r>
              <w:rPr>
                <w:rFonts w:ascii="Times New Roman" w:hAnsi="Times New Roman" w:cs="Calibri"/>
                <w:color w:val="auto"/>
                <w:sz w:val="21"/>
                <w:szCs w:val="21"/>
                <w:highlight w:val="none"/>
                <w:vertAlign w:val="superscript"/>
              </w:rPr>
              <w:t>3</w:t>
            </w:r>
          </w:p>
        </w:tc>
        <w:tc>
          <w:tcPr>
            <w:tcW w:w="548" w:type="pct"/>
            <w:tcBorders>
              <w:tl2br w:val="nil"/>
              <w:tr2bl w:val="nil"/>
            </w:tcBorders>
            <w:noWrap w:val="0"/>
            <w:vAlign w:val="center"/>
          </w:tcPr>
          <w:p w14:paraId="5B66B8FA">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cs="Times New Roman"/>
                <w:snapToGrid w:val="0"/>
                <w:color w:val="auto"/>
                <w:kern w:val="2"/>
                <w:sz w:val="21"/>
                <w:szCs w:val="21"/>
                <w:highlight w:val="none"/>
                <w:lang w:val="en-US" w:eastAsia="zh-CN" w:bidi="ar-SA"/>
              </w:rPr>
            </w:pPr>
            <w:r>
              <w:rPr>
                <w:rFonts w:hint="eastAsia" w:cs="Times New Roman"/>
                <w:color w:val="auto"/>
                <w:highlight w:val="none"/>
                <w:lang w:val="en-US" w:eastAsia="zh-CN"/>
              </w:rPr>
              <w:t>0.000858</w:t>
            </w:r>
          </w:p>
        </w:tc>
      </w:tr>
      <w:tr w14:paraId="3ACA0A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94" w:hRule="atLeast"/>
          <w:jc w:val="center"/>
        </w:trPr>
        <w:tc>
          <w:tcPr>
            <w:tcW w:w="464" w:type="pct"/>
            <w:vMerge w:val="restart"/>
            <w:tcBorders>
              <w:tl2br w:val="nil"/>
              <w:tr2bl w:val="nil"/>
            </w:tcBorders>
            <w:noWrap w:val="0"/>
            <w:vAlign w:val="center"/>
          </w:tcPr>
          <w:p w14:paraId="15EE3FE1">
            <w:pPr>
              <w:jc w:val="center"/>
              <w:rPr>
                <w:rFonts w:ascii="Times New Roman" w:hAnsi="Times New Roman" w:cs="Calibri"/>
                <w:color w:val="auto"/>
                <w:sz w:val="21"/>
                <w:szCs w:val="21"/>
                <w:highlight w:val="none"/>
              </w:rPr>
            </w:pPr>
            <w:r>
              <w:rPr>
                <w:rFonts w:hint="eastAsia" w:ascii="Times New Roman" w:hAnsi="Times New Roman" w:cs="Calibri"/>
                <w:color w:val="auto"/>
                <w:sz w:val="21"/>
                <w:szCs w:val="21"/>
                <w:highlight w:val="none"/>
                <w:lang w:val="en-US" w:eastAsia="zh-CN"/>
              </w:rPr>
              <w:t>雄探1井</w:t>
            </w:r>
            <w:r>
              <w:rPr>
                <w:rFonts w:ascii="Times New Roman" w:hAnsi="Times New Roman" w:cs="Calibri"/>
                <w:color w:val="auto"/>
                <w:sz w:val="21"/>
                <w:szCs w:val="21"/>
                <w:highlight w:val="none"/>
              </w:rPr>
              <w:t>加热炉</w:t>
            </w:r>
          </w:p>
        </w:tc>
        <w:tc>
          <w:tcPr>
            <w:tcW w:w="672" w:type="pct"/>
            <w:tcBorders>
              <w:tl2br w:val="nil"/>
              <w:tr2bl w:val="nil"/>
            </w:tcBorders>
            <w:noWrap w:val="0"/>
            <w:vAlign w:val="center"/>
          </w:tcPr>
          <w:p w14:paraId="02197305">
            <w:pPr>
              <w:jc w:val="center"/>
              <w:rPr>
                <w:rFonts w:hint="eastAsia" w:ascii="Times New Roman" w:hAnsi="Times New Roman" w:eastAsia="宋体" w:cs="Calibri"/>
                <w:color w:val="auto"/>
                <w:sz w:val="21"/>
                <w:szCs w:val="21"/>
                <w:highlight w:val="none"/>
                <w:lang w:val="en-US" w:eastAsia="zh-CN"/>
              </w:rPr>
            </w:pPr>
            <w:r>
              <w:rPr>
                <w:rFonts w:ascii="Times New Roman" w:hAnsi="Times New Roman" w:cs="Calibri"/>
                <w:color w:val="auto"/>
                <w:sz w:val="21"/>
                <w:szCs w:val="21"/>
                <w:highlight w:val="none"/>
              </w:rPr>
              <w:t>二氧化硫</w:t>
            </w:r>
          </w:p>
        </w:tc>
        <w:tc>
          <w:tcPr>
            <w:tcW w:w="695" w:type="pct"/>
            <w:vMerge w:val="restart"/>
            <w:tcBorders>
              <w:tl2br w:val="nil"/>
              <w:tr2bl w:val="nil"/>
            </w:tcBorders>
            <w:noWrap w:val="0"/>
            <w:vAlign w:val="center"/>
          </w:tcPr>
          <w:p w14:paraId="7FB2B065">
            <w:pPr>
              <w:jc w:val="center"/>
              <w:rPr>
                <w:rFonts w:ascii="Times New Roman" w:hAnsi="Times New Roman" w:cs="Calibri"/>
                <w:color w:val="auto"/>
                <w:sz w:val="21"/>
                <w:szCs w:val="21"/>
                <w:highlight w:val="none"/>
              </w:rPr>
            </w:pPr>
            <w:r>
              <w:rPr>
                <w:rFonts w:ascii="Times New Roman" w:hAnsi="Times New Roman" w:cs="Calibri"/>
                <w:color w:val="auto"/>
                <w:sz w:val="21"/>
                <w:szCs w:val="21"/>
                <w:highlight w:val="none"/>
              </w:rPr>
              <w:t>燃用天然气</w:t>
            </w:r>
          </w:p>
        </w:tc>
        <w:tc>
          <w:tcPr>
            <w:tcW w:w="1445" w:type="pct"/>
            <w:vMerge w:val="restart"/>
            <w:tcBorders>
              <w:tl2br w:val="nil"/>
              <w:tr2bl w:val="nil"/>
            </w:tcBorders>
            <w:noWrap w:val="0"/>
            <w:vAlign w:val="center"/>
          </w:tcPr>
          <w:p w14:paraId="5FBEB916">
            <w:pPr>
              <w:jc w:val="center"/>
              <w:rPr>
                <w:rFonts w:hint="eastAsia" w:ascii="Times New Roman" w:hAnsi="Times New Roman" w:cs="Calibri"/>
                <w:color w:val="auto"/>
                <w:sz w:val="21"/>
                <w:szCs w:val="21"/>
                <w:highlight w:val="none"/>
                <w:lang w:eastAsia="zh-CN"/>
              </w:rPr>
            </w:pPr>
            <w:r>
              <w:rPr>
                <w:rFonts w:hint="eastAsia" w:ascii="Times New Roman" w:hAnsi="Times New Roman" w:cs="Calibri"/>
                <w:color w:val="auto"/>
                <w:sz w:val="21"/>
                <w:szCs w:val="21"/>
                <w:highlight w:val="none"/>
                <w:lang w:val="en-US" w:eastAsia="zh-CN"/>
              </w:rPr>
              <w:t>二氧化硫、氮氧化物、颗粒物</w:t>
            </w:r>
            <w:r>
              <w:rPr>
                <w:rFonts w:ascii="Times New Roman" w:hAnsi="Times New Roman" w:cs="Calibri"/>
                <w:color w:val="auto"/>
                <w:sz w:val="21"/>
                <w:szCs w:val="21"/>
                <w:highlight w:val="none"/>
              </w:rPr>
              <w:t>满足《锅炉大气污染物排放标准》（GB13271－2014）中新建燃气锅炉标准限值</w:t>
            </w:r>
            <w:r>
              <w:rPr>
                <w:rFonts w:hint="eastAsia" w:ascii="Times New Roman" w:hAnsi="Times New Roman" w:cs="Calibri"/>
                <w:color w:val="auto"/>
                <w:sz w:val="21"/>
                <w:szCs w:val="21"/>
                <w:highlight w:val="none"/>
                <w:lang w:eastAsia="zh-CN"/>
              </w:rPr>
              <w:t>；</w:t>
            </w:r>
          </w:p>
          <w:p w14:paraId="3A39894D">
            <w:pPr>
              <w:jc w:val="center"/>
              <w:rPr>
                <w:rFonts w:hint="default" w:ascii="Times New Roman" w:hAnsi="Times New Roman" w:cs="Calibri"/>
                <w:color w:val="auto"/>
                <w:sz w:val="21"/>
                <w:szCs w:val="21"/>
                <w:highlight w:val="none"/>
                <w:lang w:val="en-US" w:eastAsia="zh-CN"/>
              </w:rPr>
            </w:pPr>
            <w:r>
              <w:rPr>
                <w:rFonts w:hint="eastAsia" w:ascii="Times New Roman" w:hAnsi="Times New Roman" w:cs="Calibri"/>
                <w:color w:val="auto"/>
                <w:sz w:val="21"/>
                <w:szCs w:val="21"/>
                <w:highlight w:val="none"/>
                <w:lang w:val="en-US" w:eastAsia="zh-CN"/>
              </w:rPr>
              <w:t>非甲烷总烃《锅炉大气污染物排放标准》（GB13271-2014）中新建燃气锅炉大气污染物排放浓度限值要求</w:t>
            </w:r>
          </w:p>
        </w:tc>
        <w:tc>
          <w:tcPr>
            <w:tcW w:w="1172" w:type="pct"/>
            <w:tcBorders>
              <w:tl2br w:val="nil"/>
              <w:tr2bl w:val="nil"/>
            </w:tcBorders>
            <w:noWrap w:val="0"/>
            <w:vAlign w:val="center"/>
          </w:tcPr>
          <w:p w14:paraId="51627310">
            <w:pPr>
              <w:jc w:val="center"/>
              <w:rPr>
                <w:rFonts w:hint="default" w:ascii="Times New Roman" w:hAnsi="Times New Roman" w:eastAsia="宋体" w:cs="Calibri"/>
                <w:color w:val="auto"/>
                <w:sz w:val="21"/>
                <w:szCs w:val="21"/>
                <w:highlight w:val="none"/>
                <w:vertAlign w:val="superscript"/>
                <w:lang w:val="en-US" w:eastAsia="zh-CN"/>
              </w:rPr>
            </w:pPr>
            <w:r>
              <w:rPr>
                <w:rFonts w:ascii="Times New Roman" w:hAnsi="Times New Roman" w:cs="Calibri"/>
                <w:color w:val="auto"/>
                <w:sz w:val="21"/>
                <w:szCs w:val="21"/>
                <w:highlight w:val="none"/>
              </w:rPr>
              <w:t>50mg/m</w:t>
            </w:r>
            <w:r>
              <w:rPr>
                <w:rFonts w:ascii="Times New Roman" w:hAnsi="Times New Roman" w:cs="Calibri"/>
                <w:color w:val="auto"/>
                <w:sz w:val="21"/>
                <w:szCs w:val="21"/>
                <w:highlight w:val="none"/>
                <w:vertAlign w:val="superscript"/>
              </w:rPr>
              <w:t>3</w:t>
            </w:r>
          </w:p>
        </w:tc>
        <w:tc>
          <w:tcPr>
            <w:tcW w:w="548" w:type="pct"/>
            <w:tcBorders>
              <w:tl2br w:val="nil"/>
              <w:tr2bl w:val="nil"/>
            </w:tcBorders>
            <w:noWrap w:val="0"/>
            <w:vAlign w:val="center"/>
          </w:tcPr>
          <w:p w14:paraId="45F0FF9B">
            <w:pPr>
              <w:jc w:val="center"/>
              <w:rPr>
                <w:rFonts w:hint="default" w:ascii="Times New Roman" w:hAnsi="Times New Roman" w:eastAsia="宋体" w:cs="Calibri"/>
                <w:color w:val="auto"/>
                <w:sz w:val="21"/>
                <w:szCs w:val="21"/>
                <w:highlight w:val="none"/>
                <w:lang w:val="en-US" w:eastAsia="zh-CN"/>
              </w:rPr>
            </w:pPr>
            <w:r>
              <w:rPr>
                <w:rFonts w:hint="eastAsia" w:cs="Calibri"/>
                <w:color w:val="auto"/>
                <w:sz w:val="21"/>
                <w:szCs w:val="21"/>
                <w:highlight w:val="none"/>
                <w:lang w:val="en-US" w:eastAsia="zh-CN"/>
              </w:rPr>
              <w:t>0.0039</w:t>
            </w:r>
          </w:p>
        </w:tc>
      </w:tr>
      <w:tr w14:paraId="404435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94" w:hRule="atLeast"/>
          <w:jc w:val="center"/>
        </w:trPr>
        <w:tc>
          <w:tcPr>
            <w:tcW w:w="464" w:type="pct"/>
            <w:vMerge w:val="continue"/>
            <w:tcBorders>
              <w:tl2br w:val="nil"/>
              <w:tr2bl w:val="nil"/>
            </w:tcBorders>
            <w:noWrap w:val="0"/>
            <w:vAlign w:val="center"/>
          </w:tcPr>
          <w:p w14:paraId="2D5FEBF0">
            <w:pPr>
              <w:jc w:val="center"/>
              <w:rPr>
                <w:rFonts w:hint="eastAsia" w:ascii="Times New Roman" w:hAnsi="Times New Roman" w:cs="Calibri"/>
                <w:color w:val="auto"/>
                <w:sz w:val="21"/>
                <w:szCs w:val="21"/>
                <w:highlight w:val="none"/>
                <w:lang w:val="en-US" w:eastAsia="zh-CN"/>
              </w:rPr>
            </w:pPr>
          </w:p>
        </w:tc>
        <w:tc>
          <w:tcPr>
            <w:tcW w:w="672" w:type="pct"/>
            <w:tcBorders>
              <w:tl2br w:val="nil"/>
              <w:tr2bl w:val="nil"/>
            </w:tcBorders>
            <w:shd w:val="clear" w:color="auto" w:fill="auto"/>
            <w:noWrap w:val="0"/>
            <w:vAlign w:val="center"/>
          </w:tcPr>
          <w:p w14:paraId="0D540127">
            <w:pPr>
              <w:jc w:val="center"/>
              <w:rPr>
                <w:rFonts w:hint="eastAsia" w:ascii="Times New Roman" w:hAnsi="Times New Roman" w:eastAsia="宋体" w:cs="Calibri"/>
                <w:color w:val="auto"/>
                <w:kern w:val="2"/>
                <w:sz w:val="21"/>
                <w:szCs w:val="21"/>
                <w:highlight w:val="none"/>
                <w:lang w:val="en-US" w:eastAsia="zh-CN" w:bidi="ar-SA"/>
              </w:rPr>
            </w:pPr>
            <w:r>
              <w:rPr>
                <w:rFonts w:ascii="Times New Roman" w:hAnsi="Times New Roman" w:cs="Calibri"/>
                <w:color w:val="auto"/>
                <w:sz w:val="21"/>
                <w:szCs w:val="21"/>
                <w:highlight w:val="none"/>
              </w:rPr>
              <w:t>氮氧化物</w:t>
            </w:r>
          </w:p>
        </w:tc>
        <w:tc>
          <w:tcPr>
            <w:tcW w:w="695" w:type="pct"/>
            <w:vMerge w:val="continue"/>
            <w:tcBorders>
              <w:tl2br w:val="nil"/>
              <w:tr2bl w:val="nil"/>
            </w:tcBorders>
            <w:noWrap w:val="0"/>
            <w:vAlign w:val="center"/>
          </w:tcPr>
          <w:p w14:paraId="4B6B071F">
            <w:pPr>
              <w:jc w:val="center"/>
              <w:rPr>
                <w:rFonts w:ascii="Times New Roman" w:hAnsi="Times New Roman" w:cs="Calibri"/>
                <w:color w:val="auto"/>
                <w:sz w:val="21"/>
                <w:szCs w:val="21"/>
                <w:highlight w:val="none"/>
              </w:rPr>
            </w:pPr>
          </w:p>
        </w:tc>
        <w:tc>
          <w:tcPr>
            <w:tcW w:w="1445" w:type="pct"/>
            <w:vMerge w:val="continue"/>
            <w:tcBorders>
              <w:tl2br w:val="nil"/>
              <w:tr2bl w:val="nil"/>
            </w:tcBorders>
            <w:noWrap w:val="0"/>
            <w:vAlign w:val="center"/>
          </w:tcPr>
          <w:p w14:paraId="2F6E1741">
            <w:pPr>
              <w:jc w:val="center"/>
              <w:rPr>
                <w:rFonts w:hint="eastAsia" w:ascii="Times New Roman" w:hAnsi="Times New Roman" w:cs="Calibri"/>
                <w:color w:val="auto"/>
                <w:sz w:val="21"/>
                <w:szCs w:val="21"/>
                <w:highlight w:val="none"/>
                <w:lang w:val="en-US" w:eastAsia="zh-CN"/>
              </w:rPr>
            </w:pPr>
          </w:p>
        </w:tc>
        <w:tc>
          <w:tcPr>
            <w:tcW w:w="1172" w:type="pct"/>
            <w:tcBorders>
              <w:tl2br w:val="nil"/>
              <w:tr2bl w:val="nil"/>
            </w:tcBorders>
            <w:noWrap w:val="0"/>
            <w:vAlign w:val="center"/>
          </w:tcPr>
          <w:p w14:paraId="57A6BD5C">
            <w:pPr>
              <w:jc w:val="center"/>
              <w:rPr>
                <w:rFonts w:hint="eastAsia" w:ascii="Times New Roman" w:hAnsi="Times New Roman" w:cs="Calibri"/>
                <w:color w:val="auto"/>
                <w:sz w:val="21"/>
                <w:szCs w:val="21"/>
                <w:highlight w:val="none"/>
                <w:vertAlign w:val="baseline"/>
                <w:lang w:val="en-US" w:eastAsia="zh-CN"/>
              </w:rPr>
            </w:pPr>
            <w:r>
              <w:rPr>
                <w:rFonts w:ascii="Times New Roman" w:hAnsi="Times New Roman" w:cs="Calibri"/>
                <w:color w:val="auto"/>
                <w:sz w:val="21"/>
                <w:szCs w:val="21"/>
                <w:highlight w:val="none"/>
              </w:rPr>
              <w:t>200mg/m</w:t>
            </w:r>
            <w:r>
              <w:rPr>
                <w:rFonts w:ascii="Times New Roman" w:hAnsi="Times New Roman" w:cs="Calibri"/>
                <w:color w:val="auto"/>
                <w:sz w:val="21"/>
                <w:szCs w:val="21"/>
                <w:highlight w:val="none"/>
                <w:vertAlign w:val="superscript"/>
              </w:rPr>
              <w:t>3</w:t>
            </w:r>
          </w:p>
        </w:tc>
        <w:tc>
          <w:tcPr>
            <w:tcW w:w="548" w:type="pct"/>
            <w:tcBorders>
              <w:tl2br w:val="nil"/>
              <w:tr2bl w:val="nil"/>
            </w:tcBorders>
            <w:noWrap w:val="0"/>
            <w:vAlign w:val="center"/>
          </w:tcPr>
          <w:p w14:paraId="1C91FAF5">
            <w:pPr>
              <w:jc w:val="center"/>
              <w:rPr>
                <w:rFonts w:hint="default" w:ascii="Times New Roman" w:hAnsi="Times New Roman" w:eastAsia="宋体" w:cs="Calibri"/>
                <w:color w:val="auto"/>
                <w:sz w:val="21"/>
                <w:szCs w:val="21"/>
                <w:highlight w:val="none"/>
                <w:lang w:val="en-US" w:eastAsia="zh-CN"/>
              </w:rPr>
            </w:pPr>
            <w:r>
              <w:rPr>
                <w:rFonts w:hint="eastAsia" w:ascii="Times New Roman" w:hAnsi="Times New Roman" w:cs="Calibri"/>
                <w:color w:val="auto"/>
                <w:sz w:val="21"/>
                <w:szCs w:val="21"/>
                <w:highlight w:val="none"/>
                <w:lang w:val="en-US" w:eastAsia="zh-CN"/>
              </w:rPr>
              <w:t>0.155</w:t>
            </w:r>
          </w:p>
        </w:tc>
      </w:tr>
      <w:tr w14:paraId="7276C1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94" w:hRule="atLeast"/>
          <w:jc w:val="center"/>
        </w:trPr>
        <w:tc>
          <w:tcPr>
            <w:tcW w:w="464" w:type="pct"/>
            <w:vMerge w:val="continue"/>
            <w:tcBorders>
              <w:tl2br w:val="nil"/>
              <w:tr2bl w:val="nil"/>
            </w:tcBorders>
            <w:noWrap w:val="0"/>
            <w:vAlign w:val="center"/>
          </w:tcPr>
          <w:p w14:paraId="6B5B08AD">
            <w:pPr>
              <w:jc w:val="center"/>
              <w:rPr>
                <w:rFonts w:hint="eastAsia" w:ascii="Times New Roman" w:hAnsi="Times New Roman" w:cs="Calibri"/>
                <w:color w:val="auto"/>
                <w:sz w:val="21"/>
                <w:szCs w:val="21"/>
                <w:highlight w:val="none"/>
                <w:lang w:val="en-US" w:eastAsia="zh-CN"/>
              </w:rPr>
            </w:pPr>
          </w:p>
        </w:tc>
        <w:tc>
          <w:tcPr>
            <w:tcW w:w="672" w:type="pct"/>
            <w:tcBorders>
              <w:tl2br w:val="nil"/>
              <w:tr2bl w:val="nil"/>
            </w:tcBorders>
            <w:shd w:val="clear" w:color="auto" w:fill="auto"/>
            <w:noWrap w:val="0"/>
            <w:vAlign w:val="center"/>
          </w:tcPr>
          <w:p w14:paraId="1EE93B0E">
            <w:pPr>
              <w:jc w:val="center"/>
              <w:rPr>
                <w:rFonts w:hint="eastAsia" w:ascii="Times New Roman" w:hAnsi="Times New Roman" w:eastAsia="宋体" w:cs="Calibri"/>
                <w:color w:val="auto"/>
                <w:kern w:val="2"/>
                <w:sz w:val="21"/>
                <w:szCs w:val="21"/>
                <w:highlight w:val="none"/>
                <w:lang w:val="en-US" w:eastAsia="zh-CN" w:bidi="ar-SA"/>
              </w:rPr>
            </w:pPr>
            <w:r>
              <w:rPr>
                <w:rFonts w:hint="eastAsia" w:ascii="Times New Roman" w:hAnsi="Times New Roman" w:cs="Calibri"/>
                <w:color w:val="auto"/>
                <w:sz w:val="21"/>
                <w:szCs w:val="21"/>
                <w:highlight w:val="none"/>
                <w:lang w:val="en-US" w:eastAsia="zh-CN"/>
              </w:rPr>
              <w:t>颗粒物</w:t>
            </w:r>
          </w:p>
        </w:tc>
        <w:tc>
          <w:tcPr>
            <w:tcW w:w="695" w:type="pct"/>
            <w:vMerge w:val="continue"/>
            <w:tcBorders>
              <w:tl2br w:val="nil"/>
              <w:tr2bl w:val="nil"/>
            </w:tcBorders>
            <w:noWrap w:val="0"/>
            <w:vAlign w:val="center"/>
          </w:tcPr>
          <w:p w14:paraId="3637D050">
            <w:pPr>
              <w:jc w:val="center"/>
              <w:rPr>
                <w:rFonts w:ascii="Times New Roman" w:hAnsi="Times New Roman" w:cs="Calibri"/>
                <w:color w:val="auto"/>
                <w:sz w:val="21"/>
                <w:szCs w:val="21"/>
                <w:highlight w:val="none"/>
              </w:rPr>
            </w:pPr>
          </w:p>
        </w:tc>
        <w:tc>
          <w:tcPr>
            <w:tcW w:w="1445" w:type="pct"/>
            <w:vMerge w:val="continue"/>
            <w:tcBorders>
              <w:tl2br w:val="nil"/>
              <w:tr2bl w:val="nil"/>
            </w:tcBorders>
            <w:noWrap w:val="0"/>
            <w:vAlign w:val="center"/>
          </w:tcPr>
          <w:p w14:paraId="71C65ADC">
            <w:pPr>
              <w:jc w:val="center"/>
              <w:rPr>
                <w:rFonts w:hint="eastAsia" w:ascii="Times New Roman" w:hAnsi="Times New Roman" w:cs="Calibri"/>
                <w:color w:val="auto"/>
                <w:sz w:val="21"/>
                <w:szCs w:val="21"/>
                <w:highlight w:val="none"/>
                <w:lang w:val="en-US" w:eastAsia="zh-CN"/>
              </w:rPr>
            </w:pPr>
          </w:p>
        </w:tc>
        <w:tc>
          <w:tcPr>
            <w:tcW w:w="1172" w:type="pct"/>
            <w:tcBorders>
              <w:tl2br w:val="nil"/>
              <w:tr2bl w:val="nil"/>
            </w:tcBorders>
            <w:noWrap w:val="0"/>
            <w:vAlign w:val="center"/>
          </w:tcPr>
          <w:p w14:paraId="32D4B926">
            <w:pPr>
              <w:jc w:val="center"/>
              <w:rPr>
                <w:rFonts w:hint="eastAsia" w:ascii="Times New Roman" w:hAnsi="Times New Roman" w:cs="Calibri"/>
                <w:color w:val="auto"/>
                <w:sz w:val="21"/>
                <w:szCs w:val="21"/>
                <w:highlight w:val="none"/>
                <w:vertAlign w:val="baseline"/>
                <w:lang w:val="en-US" w:eastAsia="zh-CN"/>
              </w:rPr>
            </w:pPr>
            <w:r>
              <w:rPr>
                <w:rFonts w:ascii="Times New Roman" w:hAnsi="Times New Roman" w:cs="Calibri"/>
                <w:color w:val="auto"/>
                <w:sz w:val="21"/>
                <w:szCs w:val="21"/>
                <w:highlight w:val="none"/>
              </w:rPr>
              <w:t>20mg/m</w:t>
            </w:r>
            <w:r>
              <w:rPr>
                <w:rFonts w:ascii="Times New Roman" w:hAnsi="Times New Roman" w:cs="Calibri"/>
                <w:color w:val="auto"/>
                <w:sz w:val="21"/>
                <w:szCs w:val="21"/>
                <w:highlight w:val="none"/>
                <w:vertAlign w:val="superscript"/>
              </w:rPr>
              <w:t>3</w:t>
            </w:r>
          </w:p>
        </w:tc>
        <w:tc>
          <w:tcPr>
            <w:tcW w:w="548" w:type="pct"/>
            <w:tcBorders>
              <w:tl2br w:val="nil"/>
              <w:tr2bl w:val="nil"/>
            </w:tcBorders>
            <w:noWrap w:val="0"/>
            <w:vAlign w:val="center"/>
          </w:tcPr>
          <w:p w14:paraId="60BD6DEB">
            <w:pPr>
              <w:jc w:val="center"/>
              <w:rPr>
                <w:rFonts w:hint="default" w:ascii="Times New Roman" w:hAnsi="Times New Roman" w:eastAsia="宋体" w:cs="Calibri"/>
                <w:color w:val="auto"/>
                <w:sz w:val="21"/>
                <w:szCs w:val="21"/>
                <w:highlight w:val="none"/>
                <w:lang w:val="en-US" w:eastAsia="zh-CN"/>
              </w:rPr>
            </w:pPr>
            <w:r>
              <w:rPr>
                <w:rFonts w:hint="eastAsia" w:ascii="Times New Roman" w:hAnsi="Times New Roman" w:cs="Calibri"/>
                <w:color w:val="auto"/>
                <w:sz w:val="21"/>
                <w:szCs w:val="21"/>
                <w:highlight w:val="none"/>
                <w:lang w:val="en-US" w:eastAsia="zh-CN"/>
              </w:rPr>
              <w:t>0.021</w:t>
            </w:r>
          </w:p>
        </w:tc>
      </w:tr>
      <w:tr w14:paraId="074224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94" w:hRule="atLeast"/>
          <w:jc w:val="center"/>
        </w:trPr>
        <w:tc>
          <w:tcPr>
            <w:tcW w:w="464" w:type="pct"/>
            <w:vMerge w:val="continue"/>
            <w:tcBorders>
              <w:tl2br w:val="nil"/>
              <w:tr2bl w:val="nil"/>
            </w:tcBorders>
            <w:noWrap w:val="0"/>
            <w:vAlign w:val="center"/>
          </w:tcPr>
          <w:p w14:paraId="367EDA43">
            <w:pPr>
              <w:jc w:val="center"/>
              <w:rPr>
                <w:rFonts w:hint="eastAsia" w:ascii="Times New Roman" w:hAnsi="Times New Roman" w:cs="Calibri"/>
                <w:color w:val="auto"/>
                <w:sz w:val="21"/>
                <w:szCs w:val="21"/>
                <w:highlight w:val="none"/>
                <w:lang w:val="en-US" w:eastAsia="zh-CN"/>
              </w:rPr>
            </w:pPr>
          </w:p>
        </w:tc>
        <w:tc>
          <w:tcPr>
            <w:tcW w:w="672" w:type="pct"/>
            <w:tcBorders>
              <w:tl2br w:val="nil"/>
              <w:tr2bl w:val="nil"/>
            </w:tcBorders>
            <w:noWrap w:val="0"/>
            <w:vAlign w:val="center"/>
          </w:tcPr>
          <w:p w14:paraId="0DF68284">
            <w:pPr>
              <w:jc w:val="center"/>
              <w:rPr>
                <w:rFonts w:hint="eastAsia" w:ascii="Times New Roman" w:hAnsi="Times New Roman" w:cs="Calibri"/>
                <w:color w:val="auto"/>
                <w:sz w:val="21"/>
                <w:szCs w:val="21"/>
                <w:highlight w:val="none"/>
                <w:lang w:val="en-US" w:eastAsia="zh-CN"/>
              </w:rPr>
            </w:pPr>
            <w:r>
              <w:rPr>
                <w:rFonts w:hint="eastAsia" w:ascii="Times New Roman" w:hAnsi="Times New Roman" w:cs="Calibri"/>
                <w:color w:val="auto"/>
                <w:sz w:val="21"/>
                <w:szCs w:val="21"/>
                <w:highlight w:val="none"/>
                <w:lang w:val="en-US" w:eastAsia="zh-CN"/>
              </w:rPr>
              <w:t>非甲烷总烃</w:t>
            </w:r>
          </w:p>
        </w:tc>
        <w:tc>
          <w:tcPr>
            <w:tcW w:w="695" w:type="pct"/>
            <w:vMerge w:val="continue"/>
            <w:tcBorders>
              <w:tl2br w:val="nil"/>
              <w:tr2bl w:val="nil"/>
            </w:tcBorders>
            <w:noWrap w:val="0"/>
            <w:vAlign w:val="center"/>
          </w:tcPr>
          <w:p w14:paraId="7E13A72F">
            <w:pPr>
              <w:jc w:val="center"/>
              <w:rPr>
                <w:rFonts w:ascii="Times New Roman" w:hAnsi="Times New Roman" w:cs="Calibri"/>
                <w:color w:val="auto"/>
                <w:sz w:val="21"/>
                <w:szCs w:val="21"/>
                <w:highlight w:val="none"/>
              </w:rPr>
            </w:pPr>
          </w:p>
        </w:tc>
        <w:tc>
          <w:tcPr>
            <w:tcW w:w="1445" w:type="pct"/>
            <w:vMerge w:val="continue"/>
            <w:tcBorders>
              <w:tl2br w:val="nil"/>
              <w:tr2bl w:val="nil"/>
            </w:tcBorders>
            <w:noWrap w:val="0"/>
            <w:vAlign w:val="center"/>
          </w:tcPr>
          <w:p w14:paraId="5F89C658">
            <w:pPr>
              <w:jc w:val="center"/>
              <w:rPr>
                <w:rFonts w:hint="eastAsia" w:ascii="Times New Roman" w:hAnsi="Times New Roman" w:cs="Calibri"/>
                <w:color w:val="auto"/>
                <w:sz w:val="21"/>
                <w:szCs w:val="21"/>
                <w:highlight w:val="none"/>
                <w:lang w:val="en-US" w:eastAsia="zh-CN"/>
              </w:rPr>
            </w:pPr>
          </w:p>
        </w:tc>
        <w:tc>
          <w:tcPr>
            <w:tcW w:w="1172" w:type="pct"/>
            <w:tcBorders>
              <w:tl2br w:val="nil"/>
              <w:tr2bl w:val="nil"/>
            </w:tcBorders>
            <w:noWrap w:val="0"/>
            <w:vAlign w:val="center"/>
          </w:tcPr>
          <w:p w14:paraId="40320E52">
            <w:pPr>
              <w:jc w:val="center"/>
              <w:rPr>
                <w:rFonts w:hint="eastAsia" w:ascii="Times New Roman" w:hAnsi="Times New Roman" w:cs="Calibri"/>
                <w:color w:val="auto"/>
                <w:sz w:val="21"/>
                <w:szCs w:val="21"/>
                <w:highlight w:val="none"/>
                <w:vertAlign w:val="baseline"/>
                <w:lang w:val="en-US" w:eastAsia="zh-CN"/>
              </w:rPr>
            </w:pPr>
            <w:r>
              <w:rPr>
                <w:rFonts w:hint="eastAsia" w:ascii="Times New Roman" w:hAnsi="Times New Roman" w:cs="Calibri"/>
                <w:color w:val="auto"/>
                <w:sz w:val="21"/>
                <w:szCs w:val="21"/>
                <w:highlight w:val="none"/>
                <w:vertAlign w:val="baseline"/>
                <w:lang w:val="en-US" w:eastAsia="zh-CN"/>
              </w:rPr>
              <w:t>4</w:t>
            </w:r>
            <w:r>
              <w:rPr>
                <w:rFonts w:ascii="Times New Roman" w:hAnsi="Times New Roman" w:cs="Calibri"/>
                <w:color w:val="auto"/>
                <w:sz w:val="21"/>
                <w:szCs w:val="21"/>
                <w:highlight w:val="none"/>
              </w:rPr>
              <w:t>mg/m</w:t>
            </w:r>
            <w:r>
              <w:rPr>
                <w:rFonts w:ascii="Times New Roman" w:hAnsi="Times New Roman" w:cs="Calibri"/>
                <w:color w:val="auto"/>
                <w:sz w:val="21"/>
                <w:szCs w:val="21"/>
                <w:highlight w:val="none"/>
                <w:vertAlign w:val="superscript"/>
              </w:rPr>
              <w:t>3</w:t>
            </w:r>
          </w:p>
        </w:tc>
        <w:tc>
          <w:tcPr>
            <w:tcW w:w="548" w:type="pct"/>
            <w:tcBorders>
              <w:tl2br w:val="nil"/>
              <w:tr2bl w:val="nil"/>
            </w:tcBorders>
            <w:noWrap w:val="0"/>
            <w:vAlign w:val="center"/>
          </w:tcPr>
          <w:p w14:paraId="34F71AB4">
            <w:pPr>
              <w:jc w:val="center"/>
              <w:rPr>
                <w:rFonts w:hint="default" w:ascii="Times New Roman" w:hAnsi="Times New Roman" w:eastAsia="宋体" w:cs="Calibri"/>
                <w:color w:val="auto"/>
                <w:sz w:val="21"/>
                <w:szCs w:val="21"/>
                <w:highlight w:val="none"/>
                <w:lang w:val="en-US" w:eastAsia="zh-CN"/>
              </w:rPr>
            </w:pPr>
            <w:r>
              <w:rPr>
                <w:rFonts w:hint="eastAsia" w:ascii="Times New Roman" w:hAnsi="Times New Roman" w:cs="Calibri"/>
                <w:color w:val="auto"/>
                <w:sz w:val="21"/>
                <w:szCs w:val="21"/>
                <w:highlight w:val="none"/>
                <w:lang w:val="en-US" w:eastAsia="zh-CN"/>
              </w:rPr>
              <w:t>0.0154</w:t>
            </w:r>
          </w:p>
        </w:tc>
      </w:tr>
      <w:bookmarkEnd w:id="660"/>
    </w:tbl>
    <w:p w14:paraId="7E66C8D0">
      <w:pPr>
        <w:pStyle w:val="54"/>
        <w:bidi w:val="0"/>
        <w:rPr>
          <w:color w:val="auto"/>
          <w:lang w:val="en-US" w:eastAsia="zh-CN"/>
        </w:rPr>
      </w:pPr>
      <w:r>
        <w:rPr>
          <w:color w:val="auto"/>
          <w:lang w:val="en-US" w:eastAsia="zh-CN"/>
        </w:rPr>
        <w:t>5.</w:t>
      </w:r>
      <w:r>
        <w:rPr>
          <w:rFonts w:hint="eastAsia"/>
          <w:color w:val="auto"/>
          <w:lang w:val="en-US" w:eastAsia="zh-CN"/>
        </w:rPr>
        <w:t>4</w:t>
      </w:r>
      <w:r>
        <w:rPr>
          <w:color w:val="auto"/>
          <w:lang w:val="en-US" w:eastAsia="zh-CN"/>
        </w:rPr>
        <w:t>.</w:t>
      </w:r>
      <w:r>
        <w:rPr>
          <w:rFonts w:hint="eastAsia"/>
          <w:color w:val="auto"/>
          <w:lang w:val="en-US" w:eastAsia="zh-CN"/>
        </w:rPr>
        <w:t>3 退役期</w:t>
      </w:r>
      <w:r>
        <w:rPr>
          <w:color w:val="auto"/>
          <w:lang w:val="en-US" w:eastAsia="zh-CN"/>
        </w:rPr>
        <w:t>大气环境影响分析</w:t>
      </w:r>
    </w:p>
    <w:p w14:paraId="5FB2F91B">
      <w:pPr>
        <w:pStyle w:val="79"/>
        <w:bidi w:val="0"/>
        <w:rPr>
          <w:rFonts w:hint="default"/>
          <w:color w:val="auto"/>
        </w:rPr>
      </w:pPr>
      <w:r>
        <w:rPr>
          <w:rFonts w:hint="eastAsia"/>
          <w:color w:val="auto"/>
          <w:lang w:val="en-US" w:eastAsia="zh-CN"/>
        </w:rPr>
        <w:t>油井</w:t>
      </w:r>
      <w:r>
        <w:rPr>
          <w:rFonts w:hint="default"/>
          <w:color w:val="auto"/>
        </w:rPr>
        <w:t>退役后各种相关辅助工作均停止，</w:t>
      </w:r>
      <w:r>
        <w:rPr>
          <w:rFonts w:hint="eastAsia"/>
          <w:color w:val="auto"/>
          <w:lang w:val="en-US" w:eastAsia="zh-CN"/>
        </w:rPr>
        <w:t>开采</w:t>
      </w:r>
      <w:r>
        <w:rPr>
          <w:rFonts w:hint="default"/>
          <w:color w:val="auto"/>
        </w:rPr>
        <w:t>造成的环境空气污染源将消失，</w:t>
      </w:r>
      <w:r>
        <w:rPr>
          <w:rFonts w:hint="eastAsia"/>
          <w:color w:val="auto"/>
          <w:lang w:val="en-US" w:eastAsia="zh-CN"/>
        </w:rPr>
        <w:t>油井</w:t>
      </w:r>
      <w:r>
        <w:rPr>
          <w:rFonts w:hint="default"/>
          <w:color w:val="auto"/>
        </w:rPr>
        <w:t>停止后将进行一系列清理工作，包括地面设施拆除、封井、井场清理等，将会产生少量扬尘。与当地自然条件导致的风沙相比较，清理过程中扬尘造成的环境影响是暂时的，且该区域内活动人群较少，主要为井场清理的</w:t>
      </w:r>
      <w:r>
        <w:rPr>
          <w:rFonts w:hint="eastAsia"/>
          <w:color w:val="auto"/>
          <w:lang w:eastAsia="zh-CN"/>
        </w:rPr>
        <w:t>油田</w:t>
      </w:r>
      <w:r>
        <w:rPr>
          <w:rFonts w:hint="default"/>
          <w:color w:val="auto"/>
        </w:rPr>
        <w:t>工作人员。</w:t>
      </w:r>
    </w:p>
    <w:bookmarkEnd w:id="645"/>
    <w:p w14:paraId="671600E1">
      <w:pPr>
        <w:pStyle w:val="54"/>
        <w:bidi w:val="0"/>
        <w:rPr>
          <w:rFonts w:hint="default"/>
          <w:color w:val="auto"/>
          <w:lang w:val="en-US" w:eastAsia="zh-CN"/>
        </w:rPr>
      </w:pPr>
      <w:bookmarkStart w:id="661" w:name="_Toc13110"/>
      <w:bookmarkStart w:id="662" w:name="_Toc24278"/>
      <w:bookmarkStart w:id="663" w:name="_Toc30989"/>
      <w:bookmarkStart w:id="664" w:name="_Toc26658"/>
      <w:bookmarkStart w:id="665" w:name="_Toc4949"/>
      <w:bookmarkStart w:id="666" w:name="_Toc11684"/>
      <w:bookmarkStart w:id="667" w:name="_Toc119915021"/>
      <w:bookmarkStart w:id="668" w:name="_Toc1523"/>
      <w:bookmarkStart w:id="669" w:name="_Toc17995"/>
      <w:bookmarkStart w:id="670" w:name="_Toc23547"/>
      <w:bookmarkStart w:id="671" w:name="_Toc508291897"/>
      <w:bookmarkStart w:id="672" w:name="_Toc8177"/>
      <w:r>
        <w:rPr>
          <w:rFonts w:hint="eastAsia"/>
          <w:color w:val="auto"/>
          <w:lang w:val="en-US" w:eastAsia="zh-CN"/>
        </w:rPr>
        <w:t>5.4.4大气环境影响评价结论</w:t>
      </w:r>
    </w:p>
    <w:p w14:paraId="18799F67">
      <w:pPr>
        <w:pStyle w:val="79"/>
        <w:bidi w:val="0"/>
        <w:rPr>
          <w:rFonts w:hint="default"/>
          <w:color w:val="auto"/>
          <w:lang w:val="en-US" w:eastAsia="zh-CN"/>
        </w:rPr>
      </w:pPr>
      <w:r>
        <w:rPr>
          <w:rFonts w:hint="eastAsia"/>
          <w:color w:val="auto"/>
          <w:lang w:val="en-US" w:eastAsia="zh-CN"/>
        </w:rPr>
        <w:t>拟建工程位于环境质量不达标区，污染源正常排放下非甲烷总烃短期浓度贡献值的最大浓度占标率均小于10%，污染物的贡献浓度较低，且出现距离较近，影响范围较小。本工程废气污染源对井场、试采点四周的贡献浓度均满足相应标准要求。拟建工程实施后大气环境影响可以接受。</w:t>
      </w:r>
    </w:p>
    <w:p w14:paraId="327BF197">
      <w:pPr>
        <w:pStyle w:val="54"/>
        <w:bidi w:val="0"/>
        <w:rPr>
          <w:color w:val="auto"/>
          <w:lang w:val="en-US" w:eastAsia="zh-CN"/>
        </w:rPr>
      </w:pPr>
      <w:r>
        <w:rPr>
          <w:color w:val="auto"/>
          <w:lang w:val="en-US" w:eastAsia="zh-CN"/>
        </w:rPr>
        <w:t>5.</w:t>
      </w:r>
      <w:r>
        <w:rPr>
          <w:rFonts w:hint="eastAsia"/>
          <w:color w:val="auto"/>
          <w:lang w:val="en-US" w:eastAsia="zh-CN"/>
        </w:rPr>
        <w:t>4.5 大气环境影响评价自查表</w:t>
      </w:r>
    </w:p>
    <w:p w14:paraId="3E60312E">
      <w:pPr>
        <w:pStyle w:val="79"/>
        <w:bidi w:val="0"/>
        <w:rPr>
          <w:rFonts w:hint="eastAsia"/>
          <w:color w:val="auto"/>
          <w:lang w:eastAsia="zh-CN"/>
        </w:rPr>
      </w:pPr>
      <w:r>
        <w:rPr>
          <w:rFonts w:hint="eastAsia"/>
          <w:color w:val="auto"/>
          <w:lang w:val="en-US" w:eastAsia="zh-CN"/>
        </w:rPr>
        <w:t>本</w:t>
      </w:r>
      <w:r>
        <w:rPr>
          <w:rFonts w:hint="eastAsia"/>
          <w:color w:val="auto"/>
          <w:lang w:eastAsia="zh-CN"/>
        </w:rPr>
        <w:t>项目大气环境影响评价自查表，见表5.</w:t>
      </w:r>
      <w:r>
        <w:rPr>
          <w:rFonts w:hint="eastAsia"/>
          <w:color w:val="auto"/>
          <w:lang w:val="en-US" w:eastAsia="zh-CN"/>
        </w:rPr>
        <w:t>4</w:t>
      </w:r>
      <w:r>
        <w:rPr>
          <w:rFonts w:hint="eastAsia"/>
          <w:color w:val="auto"/>
          <w:lang w:eastAsia="zh-CN"/>
        </w:rPr>
        <w:t>-</w:t>
      </w:r>
      <w:r>
        <w:rPr>
          <w:rFonts w:hint="eastAsia"/>
          <w:color w:val="auto"/>
          <w:lang w:val="en-US" w:eastAsia="zh-CN"/>
        </w:rPr>
        <w:t>9</w:t>
      </w:r>
      <w:r>
        <w:rPr>
          <w:rFonts w:hint="eastAsia"/>
          <w:color w:val="auto"/>
          <w:lang w:eastAsia="zh-CN"/>
        </w:rPr>
        <w:t>。</w:t>
      </w:r>
    </w:p>
    <w:p w14:paraId="606B7CDB">
      <w:pPr>
        <w:pStyle w:val="61"/>
        <w:bidi w:val="0"/>
        <w:jc w:val="both"/>
        <w:rPr>
          <w:rFonts w:hint="eastAsia"/>
          <w:color w:val="auto"/>
          <w:lang w:val="en-US" w:eastAsia="zh-CN"/>
        </w:rPr>
      </w:pPr>
      <w:r>
        <w:rPr>
          <w:rFonts w:hint="default"/>
          <w:color w:val="auto"/>
          <w:lang w:val="en-US" w:eastAsia="zh-CN"/>
        </w:rPr>
        <w:t>表5.</w:t>
      </w:r>
      <w:r>
        <w:rPr>
          <w:rFonts w:hint="eastAsia"/>
          <w:color w:val="auto"/>
          <w:lang w:val="en-US" w:eastAsia="zh-CN"/>
        </w:rPr>
        <w:t>4</w:t>
      </w:r>
      <w:r>
        <w:rPr>
          <w:rFonts w:hint="default"/>
          <w:color w:val="auto"/>
          <w:lang w:val="en-US" w:eastAsia="zh-CN"/>
        </w:rPr>
        <w:t>-</w:t>
      </w:r>
      <w:r>
        <w:rPr>
          <w:rFonts w:hint="eastAsia"/>
          <w:color w:val="auto"/>
          <w:lang w:val="en-US" w:eastAsia="zh-CN"/>
        </w:rPr>
        <w:t xml:space="preserve">9  </w:t>
      </w:r>
      <w:r>
        <w:rPr>
          <w:rFonts w:hint="default"/>
          <w:color w:val="auto"/>
          <w:lang w:val="en-US" w:eastAsia="zh-CN"/>
        </w:rPr>
        <w:t>大气环境影响评价自查表</w:t>
      </w:r>
    </w:p>
    <w:tbl>
      <w:tblPr>
        <w:tblStyle w:val="3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45"/>
        <w:gridCol w:w="1141"/>
        <w:gridCol w:w="933"/>
        <w:gridCol w:w="674"/>
        <w:gridCol w:w="509"/>
        <w:gridCol w:w="198"/>
        <w:gridCol w:w="535"/>
        <w:gridCol w:w="276"/>
        <w:gridCol w:w="930"/>
        <w:gridCol w:w="208"/>
        <w:gridCol w:w="214"/>
        <w:gridCol w:w="261"/>
        <w:gridCol w:w="339"/>
        <w:gridCol w:w="360"/>
        <w:gridCol w:w="330"/>
        <w:gridCol w:w="1042"/>
      </w:tblGrid>
      <w:tr w14:paraId="3C1924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trPr>
        <w:tc>
          <w:tcPr>
            <w:tcW w:w="1886" w:type="dxa"/>
            <w:gridSpan w:val="2"/>
            <w:tcBorders>
              <w:tl2br w:val="nil"/>
              <w:tr2bl w:val="nil"/>
            </w:tcBorders>
            <w:noWrap w:val="0"/>
            <w:vAlign w:val="center"/>
          </w:tcPr>
          <w:p w14:paraId="15452CA6">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工作内容</w:t>
            </w:r>
          </w:p>
        </w:tc>
        <w:tc>
          <w:tcPr>
            <w:tcW w:w="6809" w:type="dxa"/>
            <w:gridSpan w:val="14"/>
            <w:tcBorders>
              <w:tl2br w:val="nil"/>
              <w:tr2bl w:val="nil"/>
            </w:tcBorders>
            <w:noWrap w:val="0"/>
            <w:vAlign w:val="center"/>
          </w:tcPr>
          <w:p w14:paraId="66B680E5">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自查项目</w:t>
            </w:r>
          </w:p>
        </w:tc>
      </w:tr>
      <w:tr w14:paraId="5AB4D7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trPr>
        <w:tc>
          <w:tcPr>
            <w:tcW w:w="745" w:type="dxa"/>
            <w:vMerge w:val="restart"/>
            <w:tcBorders>
              <w:tl2br w:val="nil"/>
              <w:tr2bl w:val="nil"/>
            </w:tcBorders>
            <w:noWrap w:val="0"/>
            <w:vAlign w:val="center"/>
          </w:tcPr>
          <w:p w14:paraId="61BC1B96">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评价等级</w:t>
            </w:r>
          </w:p>
        </w:tc>
        <w:tc>
          <w:tcPr>
            <w:tcW w:w="1141" w:type="dxa"/>
            <w:tcBorders>
              <w:tl2br w:val="nil"/>
              <w:tr2bl w:val="nil"/>
            </w:tcBorders>
            <w:noWrap w:val="0"/>
            <w:vAlign w:val="center"/>
          </w:tcPr>
          <w:p w14:paraId="523C48C9">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评价等级</w:t>
            </w:r>
          </w:p>
        </w:tc>
        <w:tc>
          <w:tcPr>
            <w:tcW w:w="2314" w:type="dxa"/>
            <w:gridSpan w:val="4"/>
            <w:tcBorders>
              <w:tl2br w:val="nil"/>
              <w:tr2bl w:val="nil"/>
            </w:tcBorders>
            <w:noWrap w:val="0"/>
            <w:vAlign w:val="center"/>
          </w:tcPr>
          <w:p w14:paraId="25D96EA7">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一级</w:t>
            </w:r>
            <w:r>
              <w:rPr>
                <w:rFonts w:hint="default" w:ascii="Times New Roman" w:hAnsi="Times New Roman" w:eastAsia="宋体" w:cs="Times New Roman"/>
                <w:color w:val="auto"/>
                <w:kern w:val="0"/>
                <w:sz w:val="21"/>
                <w:szCs w:val="21"/>
                <w:highlight w:val="none"/>
                <w:lang w:eastAsia="zh-CN"/>
              </w:rPr>
              <w:t>□</w:t>
            </w:r>
          </w:p>
        </w:tc>
        <w:tc>
          <w:tcPr>
            <w:tcW w:w="2424" w:type="dxa"/>
            <w:gridSpan w:val="6"/>
            <w:tcBorders>
              <w:tl2br w:val="nil"/>
              <w:tr2bl w:val="nil"/>
            </w:tcBorders>
            <w:noWrap w:val="0"/>
            <w:vAlign w:val="center"/>
          </w:tcPr>
          <w:p w14:paraId="29ACC20F">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二级</w:t>
            </w:r>
            <w:r>
              <w:rPr>
                <w:rFonts w:hint="default" w:ascii="Times New Roman" w:hAnsi="Times New Roman" w:eastAsia="宋体" w:cs="Times New Roman"/>
                <w:color w:val="auto"/>
                <w:kern w:val="0"/>
                <w:sz w:val="21"/>
                <w:szCs w:val="21"/>
                <w:highlight w:val="none"/>
                <w:lang w:eastAsia="zh-CN"/>
              </w:rPr>
              <w:t>☑</w:t>
            </w:r>
          </w:p>
        </w:tc>
        <w:tc>
          <w:tcPr>
            <w:tcW w:w="2071" w:type="dxa"/>
            <w:gridSpan w:val="4"/>
            <w:tcBorders>
              <w:tl2br w:val="nil"/>
              <w:tr2bl w:val="nil"/>
            </w:tcBorders>
            <w:noWrap w:val="0"/>
            <w:vAlign w:val="center"/>
          </w:tcPr>
          <w:p w14:paraId="65A99163">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三级</w:t>
            </w:r>
            <w:r>
              <w:rPr>
                <w:rFonts w:hint="default" w:ascii="Times New Roman" w:hAnsi="Times New Roman" w:eastAsia="宋体" w:cs="Times New Roman"/>
                <w:color w:val="auto"/>
                <w:kern w:val="0"/>
                <w:sz w:val="21"/>
                <w:szCs w:val="21"/>
                <w:highlight w:val="none"/>
                <w:lang w:eastAsia="zh-CN"/>
              </w:rPr>
              <w:t>□</w:t>
            </w:r>
          </w:p>
        </w:tc>
      </w:tr>
      <w:tr w14:paraId="182CF7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trPr>
        <w:tc>
          <w:tcPr>
            <w:tcW w:w="745" w:type="dxa"/>
            <w:vMerge w:val="continue"/>
            <w:tcBorders>
              <w:tl2br w:val="nil"/>
              <w:tr2bl w:val="nil"/>
            </w:tcBorders>
            <w:noWrap w:val="0"/>
            <w:vAlign w:val="center"/>
          </w:tcPr>
          <w:p w14:paraId="1E646BAE">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p>
        </w:tc>
        <w:tc>
          <w:tcPr>
            <w:tcW w:w="1141" w:type="dxa"/>
            <w:tcBorders>
              <w:tl2br w:val="nil"/>
              <w:tr2bl w:val="nil"/>
            </w:tcBorders>
            <w:noWrap w:val="0"/>
            <w:vAlign w:val="center"/>
          </w:tcPr>
          <w:p w14:paraId="29F3BE52">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评价范围</w:t>
            </w:r>
          </w:p>
        </w:tc>
        <w:tc>
          <w:tcPr>
            <w:tcW w:w="2314" w:type="dxa"/>
            <w:gridSpan w:val="4"/>
            <w:tcBorders>
              <w:tl2br w:val="nil"/>
              <w:tr2bl w:val="nil"/>
            </w:tcBorders>
            <w:noWrap w:val="0"/>
            <w:vAlign w:val="center"/>
          </w:tcPr>
          <w:p w14:paraId="7EB5388E">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边长=50km□</w:t>
            </w:r>
          </w:p>
        </w:tc>
        <w:tc>
          <w:tcPr>
            <w:tcW w:w="2424" w:type="dxa"/>
            <w:gridSpan w:val="6"/>
            <w:tcBorders>
              <w:tl2br w:val="nil"/>
              <w:tr2bl w:val="nil"/>
            </w:tcBorders>
            <w:noWrap w:val="0"/>
            <w:vAlign w:val="center"/>
          </w:tcPr>
          <w:p w14:paraId="651C9C33">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边长5～50km</w:t>
            </w:r>
            <w:r>
              <w:rPr>
                <w:rFonts w:hint="default" w:ascii="Times New Roman" w:hAnsi="Times New Roman" w:eastAsia="宋体" w:cs="Times New Roman"/>
                <w:color w:val="auto"/>
                <w:kern w:val="0"/>
                <w:sz w:val="21"/>
                <w:szCs w:val="21"/>
                <w:highlight w:val="none"/>
                <w:lang w:eastAsia="zh-CN"/>
              </w:rPr>
              <w:t>□</w:t>
            </w:r>
          </w:p>
        </w:tc>
        <w:tc>
          <w:tcPr>
            <w:tcW w:w="2071" w:type="dxa"/>
            <w:gridSpan w:val="4"/>
            <w:tcBorders>
              <w:tl2br w:val="nil"/>
              <w:tr2bl w:val="nil"/>
            </w:tcBorders>
            <w:noWrap w:val="0"/>
            <w:vAlign w:val="center"/>
          </w:tcPr>
          <w:p w14:paraId="49DB41CD">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边长=5km</w:t>
            </w:r>
            <w:r>
              <w:rPr>
                <w:rFonts w:hint="default" w:ascii="Times New Roman" w:hAnsi="Times New Roman" w:eastAsia="宋体" w:cs="Times New Roman"/>
                <w:color w:val="auto"/>
                <w:kern w:val="0"/>
                <w:sz w:val="21"/>
                <w:szCs w:val="21"/>
                <w:highlight w:val="none"/>
                <w:lang w:eastAsia="zh-CN"/>
              </w:rPr>
              <w:t>☑</w:t>
            </w:r>
          </w:p>
        </w:tc>
      </w:tr>
      <w:tr w14:paraId="4F2881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trPr>
        <w:tc>
          <w:tcPr>
            <w:tcW w:w="745" w:type="dxa"/>
            <w:vMerge w:val="restart"/>
            <w:tcBorders>
              <w:tl2br w:val="nil"/>
              <w:tr2bl w:val="nil"/>
            </w:tcBorders>
            <w:noWrap w:val="0"/>
            <w:vAlign w:val="center"/>
          </w:tcPr>
          <w:p w14:paraId="6E835FA1">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评价因子</w:t>
            </w:r>
          </w:p>
        </w:tc>
        <w:tc>
          <w:tcPr>
            <w:tcW w:w="1141" w:type="dxa"/>
            <w:tcBorders>
              <w:tl2br w:val="nil"/>
              <w:tr2bl w:val="nil"/>
            </w:tcBorders>
            <w:noWrap w:val="0"/>
            <w:vAlign w:val="center"/>
          </w:tcPr>
          <w:p w14:paraId="64E010C0">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SO</w:t>
            </w:r>
            <w:r>
              <w:rPr>
                <w:rFonts w:hint="default" w:ascii="Times New Roman" w:hAnsi="Times New Roman" w:eastAsia="宋体" w:cs="Times New Roman"/>
                <w:color w:val="auto"/>
                <w:kern w:val="0"/>
                <w:sz w:val="21"/>
                <w:szCs w:val="21"/>
                <w:highlight w:val="none"/>
                <w:vertAlign w:val="subscript"/>
              </w:rPr>
              <w:t>2</w:t>
            </w:r>
            <w:r>
              <w:rPr>
                <w:rFonts w:hint="default" w:ascii="Times New Roman" w:hAnsi="Times New Roman" w:eastAsia="宋体" w:cs="Times New Roman"/>
                <w:color w:val="auto"/>
                <w:kern w:val="0"/>
                <w:sz w:val="21"/>
                <w:szCs w:val="21"/>
                <w:highlight w:val="none"/>
              </w:rPr>
              <w:t>+NO</w:t>
            </w:r>
            <w:r>
              <w:rPr>
                <w:rFonts w:hint="default" w:ascii="Times New Roman" w:hAnsi="Times New Roman" w:eastAsia="宋体" w:cs="Times New Roman"/>
                <w:color w:val="auto"/>
                <w:kern w:val="0"/>
                <w:sz w:val="21"/>
                <w:szCs w:val="21"/>
                <w:highlight w:val="none"/>
                <w:vertAlign w:val="subscript"/>
              </w:rPr>
              <w:t>x</w:t>
            </w:r>
            <w:r>
              <w:rPr>
                <w:rFonts w:hint="default" w:ascii="Times New Roman" w:hAnsi="Times New Roman" w:eastAsia="宋体" w:cs="Times New Roman"/>
                <w:color w:val="auto"/>
                <w:kern w:val="0"/>
                <w:sz w:val="21"/>
                <w:szCs w:val="21"/>
                <w:highlight w:val="none"/>
              </w:rPr>
              <w:t>排放量</w:t>
            </w:r>
          </w:p>
        </w:tc>
        <w:tc>
          <w:tcPr>
            <w:tcW w:w="2314" w:type="dxa"/>
            <w:gridSpan w:val="4"/>
            <w:tcBorders>
              <w:tl2br w:val="nil"/>
              <w:tr2bl w:val="nil"/>
            </w:tcBorders>
            <w:noWrap w:val="0"/>
            <w:vAlign w:val="center"/>
          </w:tcPr>
          <w:p w14:paraId="2D757AAC">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≥2000t/a□</w:t>
            </w:r>
          </w:p>
        </w:tc>
        <w:tc>
          <w:tcPr>
            <w:tcW w:w="2424" w:type="dxa"/>
            <w:gridSpan w:val="6"/>
            <w:tcBorders>
              <w:tl2br w:val="nil"/>
              <w:tr2bl w:val="nil"/>
            </w:tcBorders>
            <w:noWrap w:val="0"/>
            <w:vAlign w:val="center"/>
          </w:tcPr>
          <w:p w14:paraId="4B39F82F">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500～2000t/a□</w:t>
            </w:r>
          </w:p>
        </w:tc>
        <w:tc>
          <w:tcPr>
            <w:tcW w:w="2071" w:type="dxa"/>
            <w:gridSpan w:val="4"/>
            <w:tcBorders>
              <w:tl2br w:val="nil"/>
              <w:tr2bl w:val="nil"/>
            </w:tcBorders>
            <w:noWrap w:val="0"/>
            <w:vAlign w:val="center"/>
          </w:tcPr>
          <w:p w14:paraId="2A65B373">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eastAsia" w:cs="Times New Roman"/>
                <w:color w:val="auto"/>
                <w:kern w:val="0"/>
                <w:sz w:val="21"/>
                <w:szCs w:val="21"/>
                <w:highlight w:val="none"/>
                <w:lang w:eastAsia="zh-CN"/>
              </w:rPr>
              <w:t>&lt;</w:t>
            </w:r>
            <w:r>
              <w:rPr>
                <w:rFonts w:hint="default" w:ascii="Times New Roman" w:hAnsi="Times New Roman" w:eastAsia="宋体" w:cs="Times New Roman"/>
                <w:color w:val="auto"/>
                <w:kern w:val="0"/>
                <w:sz w:val="21"/>
                <w:szCs w:val="21"/>
                <w:highlight w:val="none"/>
              </w:rPr>
              <w:t>500t/a</w:t>
            </w:r>
            <w:r>
              <w:rPr>
                <w:rFonts w:hint="default" w:ascii="Times New Roman" w:hAnsi="Times New Roman" w:eastAsia="宋体" w:cs="Times New Roman"/>
                <w:color w:val="auto"/>
                <w:kern w:val="0"/>
                <w:sz w:val="21"/>
                <w:szCs w:val="21"/>
                <w:highlight w:val="none"/>
                <w:lang w:eastAsia="zh-CN"/>
              </w:rPr>
              <w:t>☑</w:t>
            </w:r>
          </w:p>
        </w:tc>
      </w:tr>
      <w:tr w14:paraId="13E69A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trPr>
        <w:tc>
          <w:tcPr>
            <w:tcW w:w="745" w:type="dxa"/>
            <w:vMerge w:val="continue"/>
            <w:tcBorders>
              <w:tl2br w:val="nil"/>
              <w:tr2bl w:val="nil"/>
            </w:tcBorders>
            <w:noWrap w:val="0"/>
            <w:vAlign w:val="center"/>
          </w:tcPr>
          <w:p w14:paraId="0338BF50">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p>
        </w:tc>
        <w:tc>
          <w:tcPr>
            <w:tcW w:w="1141" w:type="dxa"/>
            <w:tcBorders>
              <w:tl2br w:val="nil"/>
              <w:tr2bl w:val="nil"/>
            </w:tcBorders>
            <w:noWrap w:val="0"/>
            <w:vAlign w:val="center"/>
          </w:tcPr>
          <w:p w14:paraId="576EF6A5">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评价因子</w:t>
            </w:r>
          </w:p>
        </w:tc>
        <w:tc>
          <w:tcPr>
            <w:tcW w:w="4263" w:type="dxa"/>
            <w:gridSpan w:val="8"/>
            <w:tcBorders>
              <w:tl2br w:val="nil"/>
              <w:tr2bl w:val="nil"/>
            </w:tcBorders>
            <w:noWrap w:val="0"/>
            <w:vAlign w:val="center"/>
          </w:tcPr>
          <w:p w14:paraId="576FEBF2">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基本污染物（SO</w:t>
            </w:r>
            <w:r>
              <w:rPr>
                <w:rFonts w:hint="default" w:ascii="Times New Roman" w:hAnsi="Times New Roman" w:eastAsia="宋体" w:cs="Times New Roman"/>
                <w:color w:val="auto"/>
                <w:kern w:val="0"/>
                <w:sz w:val="21"/>
                <w:szCs w:val="21"/>
                <w:highlight w:val="none"/>
                <w:vertAlign w:val="subscript"/>
              </w:rPr>
              <w:t>2</w:t>
            </w:r>
            <w:r>
              <w:rPr>
                <w:rFonts w:hint="default" w:ascii="Times New Roman" w:hAnsi="Times New Roman" w:eastAsia="宋体" w:cs="Times New Roman"/>
                <w:color w:val="auto"/>
                <w:kern w:val="0"/>
                <w:sz w:val="21"/>
                <w:szCs w:val="21"/>
                <w:highlight w:val="none"/>
              </w:rPr>
              <w:t>、NO</w:t>
            </w:r>
            <w:r>
              <w:rPr>
                <w:rFonts w:hint="default" w:ascii="Times New Roman" w:hAnsi="Times New Roman" w:eastAsia="宋体" w:cs="Times New Roman"/>
                <w:color w:val="auto"/>
                <w:kern w:val="0"/>
                <w:sz w:val="21"/>
                <w:szCs w:val="21"/>
                <w:highlight w:val="none"/>
                <w:vertAlign w:val="subscript"/>
              </w:rPr>
              <w:t>2</w:t>
            </w:r>
            <w:r>
              <w:rPr>
                <w:rFonts w:hint="default" w:ascii="Times New Roman" w:hAnsi="Times New Roman" w:eastAsia="宋体" w:cs="Times New Roman"/>
                <w:color w:val="auto"/>
                <w:kern w:val="0"/>
                <w:sz w:val="21"/>
                <w:szCs w:val="21"/>
                <w:highlight w:val="none"/>
              </w:rPr>
              <w:t>、PM</w:t>
            </w:r>
            <w:r>
              <w:rPr>
                <w:rFonts w:hint="default" w:ascii="Times New Roman" w:hAnsi="Times New Roman" w:eastAsia="宋体" w:cs="Times New Roman"/>
                <w:color w:val="auto"/>
                <w:kern w:val="0"/>
                <w:sz w:val="21"/>
                <w:szCs w:val="21"/>
                <w:highlight w:val="none"/>
                <w:vertAlign w:val="subscript"/>
              </w:rPr>
              <w:t>10</w:t>
            </w:r>
            <w:r>
              <w:rPr>
                <w:rFonts w:hint="default" w:ascii="Times New Roman" w:hAnsi="Times New Roman" w:eastAsia="宋体" w:cs="Times New Roman"/>
                <w:color w:val="auto"/>
                <w:kern w:val="0"/>
                <w:sz w:val="21"/>
                <w:szCs w:val="21"/>
                <w:highlight w:val="none"/>
              </w:rPr>
              <w:t>、PM</w:t>
            </w:r>
            <w:r>
              <w:rPr>
                <w:rFonts w:hint="default" w:ascii="Times New Roman" w:hAnsi="Times New Roman" w:eastAsia="宋体" w:cs="Times New Roman"/>
                <w:color w:val="auto"/>
                <w:kern w:val="0"/>
                <w:sz w:val="21"/>
                <w:szCs w:val="21"/>
                <w:highlight w:val="none"/>
                <w:vertAlign w:val="subscript"/>
              </w:rPr>
              <w:t>2.5</w:t>
            </w:r>
            <w:r>
              <w:rPr>
                <w:rFonts w:hint="default" w:ascii="Times New Roman" w:hAnsi="Times New Roman" w:eastAsia="宋体" w:cs="Times New Roman"/>
                <w:color w:val="auto"/>
                <w:kern w:val="0"/>
                <w:sz w:val="21"/>
                <w:szCs w:val="21"/>
                <w:highlight w:val="none"/>
              </w:rPr>
              <w:t>、CO、O</w:t>
            </w:r>
            <w:r>
              <w:rPr>
                <w:rFonts w:hint="default" w:ascii="Times New Roman" w:hAnsi="Times New Roman" w:eastAsia="宋体" w:cs="Times New Roman"/>
                <w:color w:val="auto"/>
                <w:kern w:val="0"/>
                <w:sz w:val="21"/>
                <w:szCs w:val="21"/>
                <w:highlight w:val="none"/>
                <w:vertAlign w:val="subscript"/>
              </w:rPr>
              <w:t>3</w:t>
            </w:r>
            <w:r>
              <w:rPr>
                <w:rFonts w:hint="default" w:ascii="Times New Roman" w:hAnsi="Times New Roman" w:eastAsia="宋体" w:cs="Times New Roman"/>
                <w:color w:val="auto"/>
                <w:kern w:val="0"/>
                <w:sz w:val="21"/>
                <w:szCs w:val="21"/>
                <w:highlight w:val="none"/>
              </w:rPr>
              <w:t>）</w:t>
            </w:r>
          </w:p>
          <w:p w14:paraId="617712A3">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特征</w:t>
            </w:r>
            <w:r>
              <w:rPr>
                <w:rFonts w:hint="default" w:ascii="Times New Roman" w:hAnsi="Times New Roman" w:eastAsia="宋体" w:cs="Times New Roman"/>
                <w:color w:val="auto"/>
                <w:kern w:val="0"/>
                <w:sz w:val="21"/>
                <w:szCs w:val="21"/>
                <w:highlight w:val="none"/>
              </w:rPr>
              <w:t>污染物（NMHC</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H</w:t>
            </w:r>
            <w:r>
              <w:rPr>
                <w:rFonts w:hint="default" w:ascii="Times New Roman" w:hAnsi="Times New Roman" w:eastAsia="宋体" w:cs="Times New Roman"/>
                <w:color w:val="auto"/>
                <w:kern w:val="0"/>
                <w:sz w:val="21"/>
                <w:szCs w:val="21"/>
                <w:highlight w:val="none"/>
                <w:vertAlign w:val="subscript"/>
                <w:lang w:val="en-US" w:eastAsia="zh-CN"/>
              </w:rPr>
              <w:t>2</w:t>
            </w:r>
            <w:r>
              <w:rPr>
                <w:rFonts w:hint="default" w:ascii="Times New Roman" w:hAnsi="Times New Roman" w:eastAsia="宋体" w:cs="Times New Roman"/>
                <w:color w:val="auto"/>
                <w:kern w:val="0"/>
                <w:sz w:val="21"/>
                <w:szCs w:val="21"/>
                <w:highlight w:val="none"/>
                <w:lang w:val="en-US" w:eastAsia="zh-CN"/>
              </w:rPr>
              <w:t>S</w:t>
            </w:r>
            <w:r>
              <w:rPr>
                <w:rFonts w:hint="default" w:ascii="Times New Roman" w:hAnsi="Times New Roman" w:eastAsia="宋体" w:cs="Times New Roman"/>
                <w:color w:val="auto"/>
                <w:kern w:val="0"/>
                <w:sz w:val="21"/>
                <w:szCs w:val="21"/>
                <w:highlight w:val="none"/>
              </w:rPr>
              <w:t>）</w:t>
            </w:r>
          </w:p>
        </w:tc>
        <w:tc>
          <w:tcPr>
            <w:tcW w:w="2546" w:type="dxa"/>
            <w:gridSpan w:val="6"/>
            <w:tcBorders>
              <w:tl2br w:val="nil"/>
              <w:tr2bl w:val="nil"/>
            </w:tcBorders>
            <w:noWrap w:val="0"/>
            <w:vAlign w:val="center"/>
          </w:tcPr>
          <w:p w14:paraId="5A1FDAC5">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包括二次PM2.5□</w:t>
            </w:r>
          </w:p>
          <w:p w14:paraId="3FE10C0B">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不包括二次PM2.5</w:t>
            </w:r>
            <w:r>
              <w:rPr>
                <w:rFonts w:hint="default" w:ascii="Times New Roman" w:hAnsi="Times New Roman" w:eastAsia="宋体" w:cs="Times New Roman"/>
                <w:color w:val="auto"/>
                <w:kern w:val="0"/>
                <w:sz w:val="21"/>
                <w:szCs w:val="21"/>
                <w:highlight w:val="none"/>
                <w:lang w:eastAsia="zh-CN"/>
              </w:rPr>
              <w:t>☑</w:t>
            </w:r>
          </w:p>
        </w:tc>
      </w:tr>
      <w:tr w14:paraId="348BD5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trPr>
        <w:tc>
          <w:tcPr>
            <w:tcW w:w="745" w:type="dxa"/>
            <w:tcBorders>
              <w:tl2br w:val="nil"/>
              <w:tr2bl w:val="nil"/>
            </w:tcBorders>
            <w:noWrap w:val="0"/>
            <w:vAlign w:val="center"/>
          </w:tcPr>
          <w:p w14:paraId="135D35DA">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评价标准</w:t>
            </w:r>
          </w:p>
        </w:tc>
        <w:tc>
          <w:tcPr>
            <w:tcW w:w="1141" w:type="dxa"/>
            <w:tcBorders>
              <w:tl2br w:val="nil"/>
              <w:tr2bl w:val="nil"/>
            </w:tcBorders>
            <w:noWrap w:val="0"/>
            <w:vAlign w:val="center"/>
          </w:tcPr>
          <w:p w14:paraId="36324AB0">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评价标准</w:t>
            </w:r>
          </w:p>
        </w:tc>
        <w:tc>
          <w:tcPr>
            <w:tcW w:w="2116" w:type="dxa"/>
            <w:gridSpan w:val="3"/>
            <w:tcBorders>
              <w:tl2br w:val="nil"/>
              <w:tr2bl w:val="nil"/>
            </w:tcBorders>
            <w:noWrap w:val="0"/>
            <w:vAlign w:val="center"/>
          </w:tcPr>
          <w:p w14:paraId="38E12B56">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国家标准</w:t>
            </w:r>
            <w:r>
              <w:rPr>
                <w:rFonts w:hint="default" w:ascii="Times New Roman" w:hAnsi="Times New Roman" w:eastAsia="宋体" w:cs="Times New Roman"/>
                <w:color w:val="auto"/>
                <w:kern w:val="0"/>
                <w:sz w:val="21"/>
                <w:szCs w:val="21"/>
                <w:highlight w:val="none"/>
                <w:lang w:eastAsia="zh-CN"/>
              </w:rPr>
              <w:t>☑</w:t>
            </w:r>
          </w:p>
        </w:tc>
        <w:tc>
          <w:tcPr>
            <w:tcW w:w="1939" w:type="dxa"/>
            <w:gridSpan w:val="4"/>
            <w:tcBorders>
              <w:tl2br w:val="nil"/>
              <w:tr2bl w:val="nil"/>
            </w:tcBorders>
            <w:noWrap w:val="0"/>
            <w:vAlign w:val="center"/>
          </w:tcPr>
          <w:p w14:paraId="0FD11C78">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地方标准□</w:t>
            </w:r>
          </w:p>
        </w:tc>
        <w:tc>
          <w:tcPr>
            <w:tcW w:w="1382" w:type="dxa"/>
            <w:gridSpan w:val="5"/>
            <w:tcBorders>
              <w:tl2br w:val="nil"/>
              <w:tr2bl w:val="nil"/>
            </w:tcBorders>
            <w:noWrap w:val="0"/>
            <w:vAlign w:val="center"/>
          </w:tcPr>
          <w:p w14:paraId="000DF8B4">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附录D</w:t>
            </w:r>
            <w:r>
              <w:rPr>
                <w:rFonts w:hint="default" w:ascii="Times New Roman" w:hAnsi="Times New Roman" w:eastAsia="宋体" w:cs="Times New Roman"/>
                <w:color w:val="auto"/>
                <w:kern w:val="0"/>
                <w:sz w:val="21"/>
                <w:szCs w:val="21"/>
                <w:highlight w:val="none"/>
                <w:lang w:eastAsia="zh-CN"/>
              </w:rPr>
              <w:sym w:font="Wingdings 2" w:char="0052"/>
            </w:r>
          </w:p>
        </w:tc>
        <w:tc>
          <w:tcPr>
            <w:tcW w:w="1372" w:type="dxa"/>
            <w:gridSpan w:val="2"/>
            <w:tcBorders>
              <w:tl2br w:val="nil"/>
              <w:tr2bl w:val="nil"/>
            </w:tcBorders>
            <w:noWrap w:val="0"/>
            <w:vAlign w:val="center"/>
          </w:tcPr>
          <w:p w14:paraId="3EEF876D">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其他标准□</w:t>
            </w:r>
          </w:p>
        </w:tc>
      </w:tr>
      <w:tr w14:paraId="33E585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trPr>
        <w:tc>
          <w:tcPr>
            <w:tcW w:w="745" w:type="dxa"/>
            <w:vMerge w:val="restart"/>
            <w:tcBorders>
              <w:tl2br w:val="nil"/>
              <w:tr2bl w:val="nil"/>
            </w:tcBorders>
            <w:noWrap w:val="0"/>
            <w:vAlign w:val="center"/>
          </w:tcPr>
          <w:p w14:paraId="0303E220">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现状评价</w:t>
            </w:r>
          </w:p>
        </w:tc>
        <w:tc>
          <w:tcPr>
            <w:tcW w:w="1141" w:type="dxa"/>
            <w:tcBorders>
              <w:tl2br w:val="nil"/>
              <w:tr2bl w:val="nil"/>
            </w:tcBorders>
            <w:noWrap w:val="0"/>
            <w:vAlign w:val="center"/>
          </w:tcPr>
          <w:p w14:paraId="5EB8E414">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环境功能区</w:t>
            </w:r>
          </w:p>
        </w:tc>
        <w:tc>
          <w:tcPr>
            <w:tcW w:w="2314" w:type="dxa"/>
            <w:gridSpan w:val="4"/>
            <w:tcBorders>
              <w:tl2br w:val="nil"/>
              <w:tr2bl w:val="nil"/>
            </w:tcBorders>
            <w:noWrap w:val="0"/>
            <w:vAlign w:val="center"/>
          </w:tcPr>
          <w:p w14:paraId="641A5C12">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一类区□</w:t>
            </w:r>
          </w:p>
        </w:tc>
        <w:tc>
          <w:tcPr>
            <w:tcW w:w="2424" w:type="dxa"/>
            <w:gridSpan w:val="6"/>
            <w:tcBorders>
              <w:tl2br w:val="nil"/>
              <w:tr2bl w:val="nil"/>
            </w:tcBorders>
            <w:noWrap w:val="0"/>
            <w:vAlign w:val="center"/>
          </w:tcPr>
          <w:p w14:paraId="7E9A2669">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二类区</w:t>
            </w:r>
            <w:r>
              <w:rPr>
                <w:rFonts w:hint="default" w:ascii="Times New Roman" w:hAnsi="Times New Roman" w:eastAsia="宋体" w:cs="Times New Roman"/>
                <w:color w:val="auto"/>
                <w:kern w:val="0"/>
                <w:sz w:val="21"/>
                <w:szCs w:val="21"/>
                <w:highlight w:val="none"/>
                <w:lang w:eastAsia="zh-CN"/>
              </w:rPr>
              <w:t>☑</w:t>
            </w:r>
          </w:p>
        </w:tc>
        <w:tc>
          <w:tcPr>
            <w:tcW w:w="2071" w:type="dxa"/>
            <w:gridSpan w:val="4"/>
            <w:tcBorders>
              <w:tl2br w:val="nil"/>
              <w:tr2bl w:val="nil"/>
            </w:tcBorders>
            <w:noWrap w:val="0"/>
            <w:vAlign w:val="center"/>
          </w:tcPr>
          <w:p w14:paraId="2F2855DA">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一类区和二类区□</w:t>
            </w:r>
          </w:p>
        </w:tc>
      </w:tr>
      <w:tr w14:paraId="5BDD5F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trPr>
        <w:tc>
          <w:tcPr>
            <w:tcW w:w="745" w:type="dxa"/>
            <w:vMerge w:val="continue"/>
            <w:tcBorders>
              <w:tl2br w:val="nil"/>
              <w:tr2bl w:val="nil"/>
            </w:tcBorders>
            <w:noWrap w:val="0"/>
            <w:vAlign w:val="center"/>
          </w:tcPr>
          <w:p w14:paraId="29A1F07E">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p>
        </w:tc>
        <w:tc>
          <w:tcPr>
            <w:tcW w:w="1141" w:type="dxa"/>
            <w:tcBorders>
              <w:tl2br w:val="nil"/>
              <w:tr2bl w:val="nil"/>
            </w:tcBorders>
            <w:noWrap w:val="0"/>
            <w:vAlign w:val="center"/>
          </w:tcPr>
          <w:p w14:paraId="1D05132B">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评价基准年</w:t>
            </w:r>
          </w:p>
        </w:tc>
        <w:tc>
          <w:tcPr>
            <w:tcW w:w="6809" w:type="dxa"/>
            <w:gridSpan w:val="14"/>
            <w:tcBorders>
              <w:tl2br w:val="nil"/>
              <w:tr2bl w:val="nil"/>
            </w:tcBorders>
            <w:noWrap w:val="0"/>
            <w:vAlign w:val="center"/>
          </w:tcPr>
          <w:p w14:paraId="2B00BE7A">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（202</w:t>
            </w:r>
            <w:r>
              <w:rPr>
                <w:rFonts w:hint="eastAsia" w:cs="Times New Roman"/>
                <w:color w:val="auto"/>
                <w:kern w:val="0"/>
                <w:sz w:val="21"/>
                <w:szCs w:val="21"/>
                <w:highlight w:val="none"/>
                <w:lang w:val="en-US" w:eastAsia="zh-CN"/>
              </w:rPr>
              <w:t>3</w:t>
            </w:r>
            <w:r>
              <w:rPr>
                <w:rFonts w:hint="default" w:ascii="Times New Roman" w:hAnsi="Times New Roman" w:eastAsia="宋体" w:cs="Times New Roman"/>
                <w:color w:val="auto"/>
                <w:kern w:val="0"/>
                <w:sz w:val="21"/>
                <w:szCs w:val="21"/>
                <w:highlight w:val="none"/>
              </w:rPr>
              <w:t>）年</w:t>
            </w:r>
          </w:p>
        </w:tc>
      </w:tr>
      <w:tr w14:paraId="725D21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trPr>
        <w:tc>
          <w:tcPr>
            <w:tcW w:w="745" w:type="dxa"/>
            <w:vMerge w:val="continue"/>
            <w:tcBorders>
              <w:tl2br w:val="nil"/>
              <w:tr2bl w:val="nil"/>
            </w:tcBorders>
            <w:noWrap w:val="0"/>
            <w:vAlign w:val="center"/>
          </w:tcPr>
          <w:p w14:paraId="5318CF49">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p>
        </w:tc>
        <w:tc>
          <w:tcPr>
            <w:tcW w:w="1141" w:type="dxa"/>
            <w:tcBorders>
              <w:tl2br w:val="nil"/>
              <w:tr2bl w:val="nil"/>
            </w:tcBorders>
            <w:noWrap w:val="0"/>
            <w:vAlign w:val="center"/>
          </w:tcPr>
          <w:p w14:paraId="4F5F6AF7">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环境空气质量现状调查数据来源</w:t>
            </w:r>
          </w:p>
        </w:tc>
        <w:tc>
          <w:tcPr>
            <w:tcW w:w="2314" w:type="dxa"/>
            <w:gridSpan w:val="4"/>
            <w:tcBorders>
              <w:tl2br w:val="nil"/>
              <w:tr2bl w:val="nil"/>
            </w:tcBorders>
            <w:noWrap w:val="0"/>
            <w:vAlign w:val="center"/>
          </w:tcPr>
          <w:p w14:paraId="54F30270">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长期例行监测数据□</w:t>
            </w:r>
          </w:p>
        </w:tc>
        <w:tc>
          <w:tcPr>
            <w:tcW w:w="2424" w:type="dxa"/>
            <w:gridSpan w:val="6"/>
            <w:tcBorders>
              <w:tl2br w:val="nil"/>
              <w:tr2bl w:val="nil"/>
            </w:tcBorders>
            <w:noWrap w:val="0"/>
            <w:vAlign w:val="center"/>
          </w:tcPr>
          <w:p w14:paraId="5D043E84">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主管部门发布的数据</w:t>
            </w:r>
            <w:r>
              <w:rPr>
                <w:rFonts w:hint="default" w:ascii="Times New Roman" w:hAnsi="Times New Roman" w:eastAsia="宋体" w:cs="Times New Roman"/>
                <w:color w:val="auto"/>
                <w:kern w:val="0"/>
                <w:sz w:val="21"/>
                <w:szCs w:val="21"/>
                <w:highlight w:val="none"/>
                <w:lang w:eastAsia="zh-CN"/>
              </w:rPr>
              <w:t>☑</w:t>
            </w:r>
          </w:p>
        </w:tc>
        <w:tc>
          <w:tcPr>
            <w:tcW w:w="2071" w:type="dxa"/>
            <w:gridSpan w:val="4"/>
            <w:tcBorders>
              <w:tl2br w:val="nil"/>
              <w:tr2bl w:val="nil"/>
            </w:tcBorders>
            <w:noWrap w:val="0"/>
            <w:vAlign w:val="center"/>
          </w:tcPr>
          <w:p w14:paraId="79725331">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现状补充监测</w:t>
            </w:r>
            <w:r>
              <w:rPr>
                <w:rFonts w:hint="default" w:ascii="Times New Roman" w:hAnsi="Times New Roman" w:eastAsia="宋体" w:cs="Times New Roman"/>
                <w:color w:val="auto"/>
                <w:kern w:val="0"/>
                <w:sz w:val="21"/>
                <w:szCs w:val="21"/>
                <w:highlight w:val="none"/>
                <w:lang w:eastAsia="zh-CN"/>
              </w:rPr>
              <w:t>☑</w:t>
            </w:r>
          </w:p>
        </w:tc>
      </w:tr>
      <w:tr w14:paraId="4A3EBF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trPr>
        <w:tc>
          <w:tcPr>
            <w:tcW w:w="745" w:type="dxa"/>
            <w:vMerge w:val="continue"/>
            <w:tcBorders>
              <w:tl2br w:val="nil"/>
              <w:tr2bl w:val="nil"/>
            </w:tcBorders>
            <w:noWrap w:val="0"/>
            <w:vAlign w:val="center"/>
          </w:tcPr>
          <w:p w14:paraId="288E3342">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p>
        </w:tc>
        <w:tc>
          <w:tcPr>
            <w:tcW w:w="1141" w:type="dxa"/>
            <w:tcBorders>
              <w:tl2br w:val="nil"/>
              <w:tr2bl w:val="nil"/>
            </w:tcBorders>
            <w:noWrap w:val="0"/>
            <w:vAlign w:val="center"/>
          </w:tcPr>
          <w:p w14:paraId="0DB33FBD">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现状评价</w:t>
            </w:r>
          </w:p>
        </w:tc>
        <w:tc>
          <w:tcPr>
            <w:tcW w:w="4055" w:type="dxa"/>
            <w:gridSpan w:val="7"/>
            <w:tcBorders>
              <w:tl2br w:val="nil"/>
              <w:tr2bl w:val="nil"/>
            </w:tcBorders>
            <w:noWrap w:val="0"/>
            <w:vAlign w:val="center"/>
          </w:tcPr>
          <w:p w14:paraId="16CD6891">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达标区□</w:t>
            </w:r>
          </w:p>
        </w:tc>
        <w:tc>
          <w:tcPr>
            <w:tcW w:w="2754" w:type="dxa"/>
            <w:gridSpan w:val="7"/>
            <w:tcBorders>
              <w:tl2br w:val="nil"/>
              <w:tr2bl w:val="nil"/>
            </w:tcBorders>
            <w:noWrap w:val="0"/>
            <w:vAlign w:val="center"/>
          </w:tcPr>
          <w:p w14:paraId="7F7342D2">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不达标区</w:t>
            </w:r>
            <w:r>
              <w:rPr>
                <w:rFonts w:hint="default" w:ascii="Times New Roman" w:hAnsi="Times New Roman" w:eastAsia="宋体" w:cs="Times New Roman"/>
                <w:color w:val="auto"/>
                <w:kern w:val="0"/>
                <w:sz w:val="21"/>
                <w:szCs w:val="21"/>
                <w:highlight w:val="none"/>
                <w:lang w:eastAsia="zh-CN"/>
              </w:rPr>
              <w:t>☑</w:t>
            </w:r>
          </w:p>
        </w:tc>
      </w:tr>
      <w:tr w14:paraId="45540A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trPr>
        <w:tc>
          <w:tcPr>
            <w:tcW w:w="745" w:type="dxa"/>
            <w:tcBorders>
              <w:tl2br w:val="nil"/>
              <w:tr2bl w:val="nil"/>
            </w:tcBorders>
            <w:noWrap w:val="0"/>
            <w:vAlign w:val="center"/>
          </w:tcPr>
          <w:p w14:paraId="4A4C2B4A">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污染源</w:t>
            </w:r>
          </w:p>
          <w:p w14:paraId="4B462E62">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调查</w:t>
            </w:r>
          </w:p>
        </w:tc>
        <w:tc>
          <w:tcPr>
            <w:tcW w:w="1141" w:type="dxa"/>
            <w:tcBorders>
              <w:tl2br w:val="nil"/>
              <w:tr2bl w:val="nil"/>
            </w:tcBorders>
            <w:noWrap w:val="0"/>
            <w:vAlign w:val="center"/>
          </w:tcPr>
          <w:p w14:paraId="303F01E3">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调查内容</w:t>
            </w:r>
          </w:p>
        </w:tc>
        <w:tc>
          <w:tcPr>
            <w:tcW w:w="2116" w:type="dxa"/>
            <w:gridSpan w:val="3"/>
            <w:tcBorders>
              <w:tl2br w:val="nil"/>
              <w:tr2bl w:val="nil"/>
            </w:tcBorders>
            <w:noWrap w:val="0"/>
            <w:vAlign w:val="center"/>
          </w:tcPr>
          <w:p w14:paraId="42E1B40A">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CN"/>
              </w:rPr>
              <w:t>本工程</w:t>
            </w:r>
            <w:r>
              <w:rPr>
                <w:rFonts w:hint="default" w:ascii="Times New Roman" w:hAnsi="Times New Roman" w:eastAsia="宋体" w:cs="Times New Roman"/>
                <w:color w:val="auto"/>
                <w:kern w:val="0"/>
                <w:sz w:val="21"/>
                <w:szCs w:val="21"/>
                <w:highlight w:val="none"/>
              </w:rPr>
              <w:t>正常排放源</w:t>
            </w:r>
            <w:r>
              <w:rPr>
                <w:rFonts w:hint="default" w:ascii="Times New Roman" w:hAnsi="Times New Roman" w:eastAsia="宋体" w:cs="Times New Roman"/>
                <w:color w:val="auto"/>
                <w:kern w:val="0"/>
                <w:sz w:val="21"/>
                <w:szCs w:val="21"/>
                <w:highlight w:val="none"/>
                <w:lang w:eastAsia="zh-CN"/>
              </w:rPr>
              <w:t>☑</w:t>
            </w:r>
          </w:p>
          <w:p w14:paraId="3EBA44E1">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10"/>
                <w:kern w:val="0"/>
                <w:sz w:val="21"/>
                <w:szCs w:val="21"/>
                <w:highlight w:val="none"/>
                <w:lang w:eastAsia="zh-CN"/>
              </w:rPr>
              <w:t>本工程</w:t>
            </w:r>
            <w:r>
              <w:rPr>
                <w:rFonts w:hint="default" w:ascii="Times New Roman" w:hAnsi="Times New Roman" w:eastAsia="宋体" w:cs="Times New Roman"/>
                <w:color w:val="auto"/>
                <w:spacing w:val="-10"/>
                <w:kern w:val="0"/>
                <w:sz w:val="21"/>
                <w:szCs w:val="21"/>
                <w:highlight w:val="none"/>
              </w:rPr>
              <w:t>非正常排放源</w:t>
            </w:r>
            <w:r>
              <w:rPr>
                <w:rFonts w:hint="default" w:ascii="Times New Roman" w:hAnsi="Times New Roman" w:eastAsia="宋体" w:cs="Times New Roman"/>
                <w:color w:val="auto"/>
                <w:kern w:val="0"/>
                <w:sz w:val="21"/>
                <w:szCs w:val="21"/>
                <w:highlight w:val="none"/>
              </w:rPr>
              <w:sym w:font="Wingdings 2" w:char="0052"/>
            </w:r>
          </w:p>
          <w:p w14:paraId="676A6183">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现有污染源□</w:t>
            </w:r>
          </w:p>
        </w:tc>
        <w:tc>
          <w:tcPr>
            <w:tcW w:w="1939" w:type="dxa"/>
            <w:gridSpan w:val="4"/>
            <w:tcBorders>
              <w:tl2br w:val="nil"/>
              <w:tr2bl w:val="nil"/>
            </w:tcBorders>
            <w:noWrap w:val="0"/>
            <w:vAlign w:val="center"/>
          </w:tcPr>
          <w:p w14:paraId="5F2B4546">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拟替代的污染源□</w:t>
            </w:r>
          </w:p>
        </w:tc>
        <w:tc>
          <w:tcPr>
            <w:tcW w:w="1382" w:type="dxa"/>
            <w:gridSpan w:val="5"/>
            <w:tcBorders>
              <w:tl2br w:val="nil"/>
              <w:tr2bl w:val="nil"/>
            </w:tcBorders>
            <w:noWrap w:val="0"/>
            <w:vAlign w:val="center"/>
          </w:tcPr>
          <w:p w14:paraId="5F307103">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其他在建、拟建项目污染源□</w:t>
            </w:r>
          </w:p>
        </w:tc>
        <w:tc>
          <w:tcPr>
            <w:tcW w:w="1372" w:type="dxa"/>
            <w:gridSpan w:val="2"/>
            <w:tcBorders>
              <w:tl2br w:val="nil"/>
              <w:tr2bl w:val="nil"/>
            </w:tcBorders>
            <w:noWrap w:val="0"/>
            <w:vAlign w:val="center"/>
          </w:tcPr>
          <w:p w14:paraId="1515099D">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区域污染源</w:t>
            </w:r>
            <w:r>
              <w:rPr>
                <w:rFonts w:hint="default" w:ascii="Times New Roman" w:hAnsi="Times New Roman" w:eastAsia="宋体" w:cs="Times New Roman"/>
                <w:color w:val="auto"/>
                <w:kern w:val="0"/>
                <w:sz w:val="21"/>
                <w:szCs w:val="21"/>
                <w:highlight w:val="none"/>
                <w:lang w:eastAsia="zh-CN"/>
              </w:rPr>
              <w:t>□</w:t>
            </w:r>
          </w:p>
        </w:tc>
      </w:tr>
      <w:tr w14:paraId="17B21A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trPr>
        <w:tc>
          <w:tcPr>
            <w:tcW w:w="745" w:type="dxa"/>
            <w:vMerge w:val="restart"/>
            <w:tcBorders>
              <w:tl2br w:val="nil"/>
              <w:tr2bl w:val="nil"/>
            </w:tcBorders>
            <w:noWrap w:val="0"/>
            <w:vAlign w:val="center"/>
          </w:tcPr>
          <w:p w14:paraId="0C62AF9C">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大气环境影响预测与评价</w:t>
            </w:r>
          </w:p>
        </w:tc>
        <w:tc>
          <w:tcPr>
            <w:tcW w:w="1141" w:type="dxa"/>
            <w:tcBorders>
              <w:tl2br w:val="nil"/>
              <w:tr2bl w:val="nil"/>
            </w:tcBorders>
            <w:noWrap w:val="0"/>
            <w:vAlign w:val="center"/>
          </w:tcPr>
          <w:p w14:paraId="3C4B2022">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预测模型</w:t>
            </w:r>
          </w:p>
        </w:tc>
        <w:tc>
          <w:tcPr>
            <w:tcW w:w="933" w:type="dxa"/>
            <w:tcBorders>
              <w:tl2br w:val="nil"/>
              <w:tr2bl w:val="nil"/>
            </w:tcBorders>
            <w:noWrap w:val="0"/>
            <w:vAlign w:val="center"/>
          </w:tcPr>
          <w:p w14:paraId="0753DBDC">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AERMOD</w:t>
            </w:r>
            <w:r>
              <w:rPr>
                <w:rFonts w:hint="default" w:ascii="Times New Roman" w:hAnsi="Times New Roman" w:eastAsia="宋体" w:cs="Times New Roman"/>
                <w:color w:val="auto"/>
                <w:kern w:val="0"/>
                <w:sz w:val="21"/>
                <w:szCs w:val="21"/>
                <w:highlight w:val="none"/>
                <w:lang w:eastAsia="zh-CN"/>
              </w:rPr>
              <w:t>□</w:t>
            </w:r>
          </w:p>
        </w:tc>
        <w:tc>
          <w:tcPr>
            <w:tcW w:w="1183" w:type="dxa"/>
            <w:gridSpan w:val="2"/>
            <w:tcBorders>
              <w:tl2br w:val="nil"/>
              <w:tr2bl w:val="nil"/>
            </w:tcBorders>
            <w:noWrap w:val="0"/>
            <w:vAlign w:val="center"/>
          </w:tcPr>
          <w:p w14:paraId="28975E7E">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ADMS</w:t>
            </w:r>
          </w:p>
          <w:p w14:paraId="09D2D9A9">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733" w:type="dxa"/>
            <w:gridSpan w:val="2"/>
            <w:tcBorders>
              <w:tl2br w:val="nil"/>
              <w:tr2bl w:val="nil"/>
            </w:tcBorders>
            <w:noWrap w:val="0"/>
            <w:vAlign w:val="center"/>
          </w:tcPr>
          <w:p w14:paraId="5F4C4B04">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AUSTAL2000□</w:t>
            </w:r>
          </w:p>
        </w:tc>
        <w:tc>
          <w:tcPr>
            <w:tcW w:w="1206" w:type="dxa"/>
            <w:gridSpan w:val="2"/>
            <w:tcBorders>
              <w:tl2br w:val="nil"/>
              <w:tr2bl w:val="nil"/>
            </w:tcBorders>
            <w:noWrap w:val="0"/>
            <w:vAlign w:val="center"/>
          </w:tcPr>
          <w:p w14:paraId="05A835B3">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EDMS/AEDT□</w:t>
            </w:r>
          </w:p>
        </w:tc>
        <w:tc>
          <w:tcPr>
            <w:tcW w:w="1022" w:type="dxa"/>
            <w:gridSpan w:val="4"/>
            <w:tcBorders>
              <w:tl2br w:val="nil"/>
              <w:tr2bl w:val="nil"/>
            </w:tcBorders>
            <w:noWrap w:val="0"/>
            <w:vAlign w:val="center"/>
          </w:tcPr>
          <w:p w14:paraId="045E0A38">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CALPUFF□</w:t>
            </w:r>
          </w:p>
        </w:tc>
        <w:tc>
          <w:tcPr>
            <w:tcW w:w="690" w:type="dxa"/>
            <w:gridSpan w:val="2"/>
            <w:tcBorders>
              <w:tl2br w:val="nil"/>
              <w:tr2bl w:val="nil"/>
            </w:tcBorders>
            <w:noWrap w:val="0"/>
            <w:vAlign w:val="center"/>
          </w:tcPr>
          <w:p w14:paraId="6BEB3F3F">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网格模型□</w:t>
            </w:r>
          </w:p>
        </w:tc>
        <w:tc>
          <w:tcPr>
            <w:tcW w:w="1042" w:type="dxa"/>
            <w:tcBorders>
              <w:tl2br w:val="nil"/>
              <w:tr2bl w:val="nil"/>
            </w:tcBorders>
            <w:noWrap w:val="0"/>
            <w:vAlign w:val="center"/>
          </w:tcPr>
          <w:p w14:paraId="0BC91A5F">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其他</w:t>
            </w:r>
          </w:p>
          <w:p w14:paraId="06EC04A8">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w:t>
            </w:r>
          </w:p>
        </w:tc>
      </w:tr>
      <w:tr w14:paraId="0B548B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trPr>
        <w:tc>
          <w:tcPr>
            <w:tcW w:w="745" w:type="dxa"/>
            <w:vMerge w:val="continue"/>
            <w:tcBorders>
              <w:tl2br w:val="nil"/>
              <w:tr2bl w:val="nil"/>
            </w:tcBorders>
            <w:noWrap w:val="0"/>
            <w:vAlign w:val="center"/>
          </w:tcPr>
          <w:p w14:paraId="15C86566">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p>
        </w:tc>
        <w:tc>
          <w:tcPr>
            <w:tcW w:w="1141" w:type="dxa"/>
            <w:tcBorders>
              <w:tl2br w:val="nil"/>
              <w:tr2bl w:val="nil"/>
            </w:tcBorders>
            <w:noWrap w:val="0"/>
            <w:vAlign w:val="center"/>
          </w:tcPr>
          <w:p w14:paraId="771AC315">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预测范围</w:t>
            </w:r>
          </w:p>
        </w:tc>
        <w:tc>
          <w:tcPr>
            <w:tcW w:w="2116" w:type="dxa"/>
            <w:gridSpan w:val="3"/>
            <w:tcBorders>
              <w:tl2br w:val="nil"/>
              <w:tr2bl w:val="nil"/>
            </w:tcBorders>
            <w:noWrap w:val="0"/>
            <w:vAlign w:val="center"/>
          </w:tcPr>
          <w:p w14:paraId="5F67BE56">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边长≥50km□</w:t>
            </w:r>
          </w:p>
        </w:tc>
        <w:tc>
          <w:tcPr>
            <w:tcW w:w="2147" w:type="dxa"/>
            <w:gridSpan w:val="5"/>
            <w:tcBorders>
              <w:tl2br w:val="nil"/>
              <w:tr2bl w:val="nil"/>
            </w:tcBorders>
            <w:noWrap w:val="0"/>
            <w:vAlign w:val="center"/>
          </w:tcPr>
          <w:p w14:paraId="30E5FB3C">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边长5～50km□</w:t>
            </w:r>
          </w:p>
        </w:tc>
        <w:tc>
          <w:tcPr>
            <w:tcW w:w="2546" w:type="dxa"/>
            <w:gridSpan w:val="6"/>
            <w:tcBorders>
              <w:tl2br w:val="nil"/>
              <w:tr2bl w:val="nil"/>
            </w:tcBorders>
            <w:noWrap w:val="0"/>
            <w:vAlign w:val="center"/>
          </w:tcPr>
          <w:p w14:paraId="4312AEEA">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边长=5km</w:t>
            </w:r>
            <w:r>
              <w:rPr>
                <w:rFonts w:hint="default" w:ascii="Times New Roman" w:hAnsi="Times New Roman" w:eastAsia="宋体" w:cs="Times New Roman"/>
                <w:color w:val="auto"/>
                <w:kern w:val="0"/>
                <w:sz w:val="21"/>
                <w:szCs w:val="21"/>
                <w:highlight w:val="none"/>
                <w:lang w:eastAsia="zh-CN"/>
              </w:rPr>
              <w:t>☑</w:t>
            </w:r>
          </w:p>
        </w:tc>
      </w:tr>
      <w:tr w14:paraId="5590F4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trPr>
        <w:tc>
          <w:tcPr>
            <w:tcW w:w="745" w:type="dxa"/>
            <w:vMerge w:val="continue"/>
            <w:tcBorders>
              <w:tl2br w:val="nil"/>
              <w:tr2bl w:val="nil"/>
            </w:tcBorders>
            <w:noWrap w:val="0"/>
            <w:vAlign w:val="center"/>
          </w:tcPr>
          <w:p w14:paraId="7AA33665">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p>
        </w:tc>
        <w:tc>
          <w:tcPr>
            <w:tcW w:w="1141" w:type="dxa"/>
            <w:tcBorders>
              <w:tl2br w:val="nil"/>
              <w:tr2bl w:val="nil"/>
            </w:tcBorders>
            <w:noWrap w:val="0"/>
            <w:vAlign w:val="center"/>
          </w:tcPr>
          <w:p w14:paraId="2CD670F6">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预测因子</w:t>
            </w:r>
          </w:p>
        </w:tc>
        <w:tc>
          <w:tcPr>
            <w:tcW w:w="4263" w:type="dxa"/>
            <w:gridSpan w:val="8"/>
            <w:tcBorders>
              <w:tl2br w:val="nil"/>
              <w:tr2bl w:val="nil"/>
            </w:tcBorders>
            <w:noWrap w:val="0"/>
            <w:vAlign w:val="center"/>
          </w:tcPr>
          <w:p w14:paraId="3C8D4473">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预测因子（SO</w:t>
            </w:r>
            <w:r>
              <w:rPr>
                <w:rFonts w:hint="default" w:ascii="Times New Roman" w:hAnsi="Times New Roman" w:eastAsia="宋体" w:cs="Times New Roman"/>
                <w:color w:val="auto"/>
                <w:kern w:val="0"/>
                <w:sz w:val="21"/>
                <w:szCs w:val="21"/>
                <w:highlight w:val="none"/>
                <w:vertAlign w:val="subscript"/>
              </w:rPr>
              <w:t>2</w:t>
            </w:r>
            <w:r>
              <w:rPr>
                <w:rFonts w:hint="default" w:ascii="Times New Roman" w:hAnsi="Times New Roman" w:eastAsia="宋体" w:cs="Times New Roman"/>
                <w:color w:val="auto"/>
                <w:kern w:val="0"/>
                <w:sz w:val="21"/>
                <w:szCs w:val="21"/>
                <w:highlight w:val="none"/>
              </w:rPr>
              <w:t>、NO</w:t>
            </w:r>
            <w:r>
              <w:rPr>
                <w:rFonts w:hint="default" w:ascii="Times New Roman" w:hAnsi="Times New Roman" w:eastAsia="宋体" w:cs="Times New Roman"/>
                <w:color w:val="auto"/>
                <w:kern w:val="0"/>
                <w:sz w:val="21"/>
                <w:szCs w:val="21"/>
                <w:highlight w:val="none"/>
                <w:vertAlign w:val="subscript"/>
              </w:rPr>
              <w:t>2</w:t>
            </w:r>
            <w:r>
              <w:rPr>
                <w:rFonts w:hint="default" w:ascii="Times New Roman" w:hAnsi="Times New Roman" w:eastAsia="宋体" w:cs="Times New Roman"/>
                <w:color w:val="auto"/>
                <w:kern w:val="0"/>
                <w:sz w:val="21"/>
                <w:szCs w:val="21"/>
                <w:highlight w:val="none"/>
              </w:rPr>
              <w:t>、PM</w:t>
            </w:r>
            <w:r>
              <w:rPr>
                <w:rFonts w:hint="default" w:ascii="Times New Roman" w:hAnsi="Times New Roman" w:eastAsia="宋体" w:cs="Times New Roman"/>
                <w:color w:val="auto"/>
                <w:kern w:val="0"/>
                <w:sz w:val="21"/>
                <w:szCs w:val="21"/>
                <w:highlight w:val="none"/>
                <w:vertAlign w:val="subscript"/>
              </w:rPr>
              <w:t>10</w:t>
            </w:r>
            <w:r>
              <w:rPr>
                <w:rFonts w:hint="default" w:ascii="Times New Roman" w:hAnsi="Times New Roman" w:eastAsia="宋体" w:cs="Times New Roman"/>
                <w:color w:val="auto"/>
                <w:kern w:val="0"/>
                <w:sz w:val="21"/>
                <w:szCs w:val="21"/>
                <w:highlight w:val="none"/>
              </w:rPr>
              <w:t>、NMHC、H</w:t>
            </w:r>
            <w:r>
              <w:rPr>
                <w:rFonts w:hint="default" w:ascii="Times New Roman" w:hAnsi="Times New Roman" w:eastAsia="宋体" w:cs="Times New Roman"/>
                <w:color w:val="auto"/>
                <w:kern w:val="0"/>
                <w:sz w:val="21"/>
                <w:szCs w:val="21"/>
                <w:highlight w:val="none"/>
                <w:vertAlign w:val="subscript"/>
              </w:rPr>
              <w:t>2</w:t>
            </w:r>
            <w:r>
              <w:rPr>
                <w:rFonts w:hint="default" w:ascii="Times New Roman" w:hAnsi="Times New Roman" w:eastAsia="宋体" w:cs="Times New Roman"/>
                <w:color w:val="auto"/>
                <w:kern w:val="0"/>
                <w:sz w:val="21"/>
                <w:szCs w:val="21"/>
                <w:highlight w:val="none"/>
              </w:rPr>
              <w:t>S</w:t>
            </w:r>
            <w:r>
              <w:rPr>
                <w:rFonts w:hint="default" w:ascii="Times New Roman" w:hAnsi="Times New Roman" w:eastAsia="宋体" w:cs="Times New Roman"/>
                <w:color w:val="auto"/>
                <w:kern w:val="0"/>
                <w:sz w:val="21"/>
                <w:szCs w:val="21"/>
                <w:highlight w:val="none"/>
                <w:lang w:bidi="ar"/>
              </w:rPr>
              <w:t>）</w:t>
            </w:r>
          </w:p>
        </w:tc>
        <w:tc>
          <w:tcPr>
            <w:tcW w:w="2546" w:type="dxa"/>
            <w:gridSpan w:val="6"/>
            <w:tcBorders>
              <w:tl2br w:val="nil"/>
              <w:tr2bl w:val="nil"/>
            </w:tcBorders>
            <w:noWrap w:val="0"/>
            <w:vAlign w:val="center"/>
          </w:tcPr>
          <w:p w14:paraId="39363F6A">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color w:val="auto"/>
                <w:kern w:val="0"/>
                <w:sz w:val="21"/>
                <w:szCs w:val="21"/>
                <w:highlight w:val="none"/>
              </w:rPr>
              <w:t>包括二次PM2.5□</w:t>
            </w:r>
          </w:p>
          <w:p w14:paraId="42978B32">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不包括二次PM2.5</w:t>
            </w:r>
            <w:r>
              <w:rPr>
                <w:rFonts w:hint="default" w:ascii="Times New Roman" w:hAnsi="Times New Roman" w:eastAsia="宋体" w:cs="Times New Roman"/>
                <w:color w:val="auto"/>
                <w:kern w:val="0"/>
                <w:sz w:val="21"/>
                <w:szCs w:val="21"/>
                <w:highlight w:val="none"/>
                <w:lang w:eastAsia="zh-CN"/>
              </w:rPr>
              <w:t>☑</w:t>
            </w:r>
          </w:p>
        </w:tc>
      </w:tr>
      <w:tr w14:paraId="647D39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trPr>
        <w:tc>
          <w:tcPr>
            <w:tcW w:w="745" w:type="dxa"/>
            <w:vMerge w:val="continue"/>
            <w:tcBorders>
              <w:tl2br w:val="nil"/>
              <w:tr2bl w:val="nil"/>
            </w:tcBorders>
            <w:noWrap w:val="0"/>
            <w:vAlign w:val="center"/>
          </w:tcPr>
          <w:p w14:paraId="55566C9B">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p>
        </w:tc>
        <w:tc>
          <w:tcPr>
            <w:tcW w:w="1141" w:type="dxa"/>
            <w:tcBorders>
              <w:tl2br w:val="nil"/>
              <w:tr2bl w:val="nil"/>
            </w:tcBorders>
            <w:noWrap w:val="0"/>
            <w:vAlign w:val="center"/>
          </w:tcPr>
          <w:p w14:paraId="73672FED">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正常排放短期浓度贡献值</w:t>
            </w:r>
          </w:p>
        </w:tc>
        <w:tc>
          <w:tcPr>
            <w:tcW w:w="4263" w:type="dxa"/>
            <w:gridSpan w:val="8"/>
            <w:tcBorders>
              <w:tl2br w:val="nil"/>
              <w:tr2bl w:val="nil"/>
            </w:tcBorders>
            <w:noWrap w:val="0"/>
            <w:vAlign w:val="center"/>
          </w:tcPr>
          <w:p w14:paraId="65731D8E">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C</w:t>
            </w:r>
            <w:r>
              <w:rPr>
                <w:rFonts w:hint="default" w:ascii="Times New Roman" w:hAnsi="Times New Roman" w:eastAsia="宋体" w:cs="Times New Roman"/>
                <w:color w:val="auto"/>
                <w:kern w:val="0"/>
                <w:sz w:val="21"/>
                <w:szCs w:val="21"/>
                <w:highlight w:val="none"/>
                <w:vertAlign w:val="subscript"/>
                <w:lang w:eastAsia="zh-CN"/>
              </w:rPr>
              <w:t>本工程</w:t>
            </w:r>
            <w:r>
              <w:rPr>
                <w:rFonts w:hint="default" w:ascii="Times New Roman" w:hAnsi="Times New Roman" w:eastAsia="宋体" w:cs="Times New Roman"/>
                <w:color w:val="auto"/>
                <w:kern w:val="0"/>
                <w:sz w:val="21"/>
                <w:szCs w:val="21"/>
                <w:highlight w:val="none"/>
              </w:rPr>
              <w:t>最大占标率≤100%</w:t>
            </w:r>
            <w:r>
              <w:rPr>
                <w:rFonts w:hint="default" w:ascii="Times New Roman" w:hAnsi="Times New Roman" w:eastAsia="宋体" w:cs="Times New Roman"/>
                <w:color w:val="auto"/>
                <w:kern w:val="0"/>
                <w:sz w:val="21"/>
                <w:szCs w:val="21"/>
                <w:highlight w:val="none"/>
                <w:lang w:eastAsia="zh-CN"/>
              </w:rPr>
              <w:t>☑</w:t>
            </w:r>
          </w:p>
        </w:tc>
        <w:tc>
          <w:tcPr>
            <w:tcW w:w="2546" w:type="dxa"/>
            <w:gridSpan w:val="6"/>
            <w:tcBorders>
              <w:tl2br w:val="nil"/>
              <w:tr2bl w:val="nil"/>
            </w:tcBorders>
            <w:noWrap w:val="0"/>
            <w:vAlign w:val="center"/>
          </w:tcPr>
          <w:p w14:paraId="39BDCD6A">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C</w:t>
            </w:r>
            <w:r>
              <w:rPr>
                <w:rFonts w:hint="default" w:ascii="Times New Roman" w:hAnsi="Times New Roman" w:eastAsia="宋体" w:cs="Times New Roman"/>
                <w:color w:val="auto"/>
                <w:kern w:val="0"/>
                <w:sz w:val="21"/>
                <w:szCs w:val="21"/>
                <w:highlight w:val="none"/>
                <w:vertAlign w:val="subscript"/>
                <w:lang w:eastAsia="zh-CN"/>
              </w:rPr>
              <w:t>本工程</w:t>
            </w:r>
            <w:r>
              <w:rPr>
                <w:rFonts w:hint="default" w:ascii="Times New Roman" w:hAnsi="Times New Roman" w:eastAsia="宋体" w:cs="Times New Roman"/>
                <w:color w:val="auto"/>
                <w:kern w:val="0"/>
                <w:sz w:val="21"/>
                <w:szCs w:val="21"/>
                <w:highlight w:val="none"/>
              </w:rPr>
              <w:t>最大占标率＞100%□</w:t>
            </w:r>
          </w:p>
        </w:tc>
      </w:tr>
      <w:tr w14:paraId="28000B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trPr>
        <w:tc>
          <w:tcPr>
            <w:tcW w:w="745" w:type="dxa"/>
            <w:vMerge w:val="continue"/>
            <w:tcBorders>
              <w:tl2br w:val="nil"/>
              <w:tr2bl w:val="nil"/>
            </w:tcBorders>
            <w:noWrap w:val="0"/>
            <w:vAlign w:val="center"/>
          </w:tcPr>
          <w:p w14:paraId="724D57C8">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p>
        </w:tc>
        <w:tc>
          <w:tcPr>
            <w:tcW w:w="1141" w:type="dxa"/>
            <w:vMerge w:val="restart"/>
            <w:tcBorders>
              <w:tl2br w:val="nil"/>
              <w:tr2bl w:val="nil"/>
            </w:tcBorders>
            <w:noWrap w:val="0"/>
            <w:vAlign w:val="center"/>
          </w:tcPr>
          <w:p w14:paraId="1A8C1CE5">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正常排放年均浓度贡献值</w:t>
            </w:r>
          </w:p>
        </w:tc>
        <w:tc>
          <w:tcPr>
            <w:tcW w:w="933" w:type="dxa"/>
            <w:tcBorders>
              <w:tl2br w:val="nil"/>
              <w:tr2bl w:val="nil"/>
            </w:tcBorders>
            <w:noWrap w:val="0"/>
            <w:vAlign w:val="center"/>
          </w:tcPr>
          <w:p w14:paraId="138A5E8D">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一类区</w:t>
            </w:r>
          </w:p>
        </w:tc>
        <w:tc>
          <w:tcPr>
            <w:tcW w:w="3330" w:type="dxa"/>
            <w:gridSpan w:val="7"/>
            <w:tcBorders>
              <w:tl2br w:val="nil"/>
              <w:tr2bl w:val="nil"/>
            </w:tcBorders>
            <w:noWrap w:val="0"/>
            <w:vAlign w:val="center"/>
          </w:tcPr>
          <w:p w14:paraId="378A68B4">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C</w:t>
            </w:r>
            <w:r>
              <w:rPr>
                <w:rFonts w:hint="default" w:ascii="Times New Roman" w:hAnsi="Times New Roman" w:eastAsia="宋体" w:cs="Times New Roman"/>
                <w:color w:val="auto"/>
                <w:kern w:val="0"/>
                <w:sz w:val="21"/>
                <w:szCs w:val="21"/>
                <w:highlight w:val="none"/>
                <w:vertAlign w:val="subscript"/>
                <w:lang w:eastAsia="zh-CN"/>
              </w:rPr>
              <w:t>本工程</w:t>
            </w:r>
            <w:r>
              <w:rPr>
                <w:rFonts w:hint="default" w:ascii="Times New Roman" w:hAnsi="Times New Roman" w:eastAsia="宋体" w:cs="Times New Roman"/>
                <w:color w:val="auto"/>
                <w:kern w:val="0"/>
                <w:sz w:val="21"/>
                <w:szCs w:val="21"/>
                <w:highlight w:val="none"/>
              </w:rPr>
              <w:t>最大占标率≤10%□</w:t>
            </w:r>
          </w:p>
        </w:tc>
        <w:tc>
          <w:tcPr>
            <w:tcW w:w="2546" w:type="dxa"/>
            <w:gridSpan w:val="6"/>
            <w:tcBorders>
              <w:tl2br w:val="nil"/>
              <w:tr2bl w:val="nil"/>
            </w:tcBorders>
            <w:noWrap w:val="0"/>
            <w:vAlign w:val="center"/>
          </w:tcPr>
          <w:p w14:paraId="0D66A199">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C</w:t>
            </w:r>
            <w:r>
              <w:rPr>
                <w:rFonts w:hint="default" w:ascii="Times New Roman" w:hAnsi="Times New Roman" w:eastAsia="宋体" w:cs="Times New Roman"/>
                <w:color w:val="auto"/>
                <w:kern w:val="0"/>
                <w:sz w:val="21"/>
                <w:szCs w:val="21"/>
                <w:highlight w:val="none"/>
                <w:vertAlign w:val="subscript"/>
                <w:lang w:eastAsia="zh-CN"/>
              </w:rPr>
              <w:t>本工程</w:t>
            </w:r>
            <w:r>
              <w:rPr>
                <w:rFonts w:hint="default" w:ascii="Times New Roman" w:hAnsi="Times New Roman" w:eastAsia="宋体" w:cs="Times New Roman"/>
                <w:color w:val="auto"/>
                <w:kern w:val="0"/>
                <w:sz w:val="21"/>
                <w:szCs w:val="21"/>
                <w:highlight w:val="none"/>
              </w:rPr>
              <w:t>最大占标率＞10%□</w:t>
            </w:r>
          </w:p>
        </w:tc>
      </w:tr>
      <w:tr w14:paraId="72D8BD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trPr>
        <w:tc>
          <w:tcPr>
            <w:tcW w:w="745" w:type="dxa"/>
            <w:vMerge w:val="continue"/>
            <w:tcBorders>
              <w:tl2br w:val="nil"/>
              <w:tr2bl w:val="nil"/>
            </w:tcBorders>
            <w:noWrap w:val="0"/>
            <w:vAlign w:val="center"/>
          </w:tcPr>
          <w:p w14:paraId="5A7D3C78">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p>
        </w:tc>
        <w:tc>
          <w:tcPr>
            <w:tcW w:w="1141" w:type="dxa"/>
            <w:vMerge w:val="continue"/>
            <w:tcBorders>
              <w:tl2br w:val="nil"/>
              <w:tr2bl w:val="nil"/>
            </w:tcBorders>
            <w:noWrap w:val="0"/>
            <w:vAlign w:val="center"/>
          </w:tcPr>
          <w:p w14:paraId="33C66721">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p>
        </w:tc>
        <w:tc>
          <w:tcPr>
            <w:tcW w:w="933" w:type="dxa"/>
            <w:tcBorders>
              <w:tl2br w:val="nil"/>
              <w:tr2bl w:val="nil"/>
            </w:tcBorders>
            <w:noWrap w:val="0"/>
            <w:vAlign w:val="center"/>
          </w:tcPr>
          <w:p w14:paraId="7F51BAD2">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二类区</w:t>
            </w:r>
          </w:p>
        </w:tc>
        <w:tc>
          <w:tcPr>
            <w:tcW w:w="3330" w:type="dxa"/>
            <w:gridSpan w:val="7"/>
            <w:tcBorders>
              <w:tl2br w:val="nil"/>
              <w:tr2bl w:val="nil"/>
            </w:tcBorders>
            <w:noWrap w:val="0"/>
            <w:vAlign w:val="center"/>
          </w:tcPr>
          <w:p w14:paraId="4E2AA3A5">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C</w:t>
            </w:r>
            <w:r>
              <w:rPr>
                <w:rFonts w:hint="default" w:ascii="Times New Roman" w:hAnsi="Times New Roman" w:eastAsia="宋体" w:cs="Times New Roman"/>
                <w:color w:val="auto"/>
                <w:kern w:val="0"/>
                <w:sz w:val="21"/>
                <w:szCs w:val="21"/>
                <w:highlight w:val="none"/>
                <w:vertAlign w:val="subscript"/>
                <w:lang w:eastAsia="zh-CN"/>
              </w:rPr>
              <w:t>本工程</w:t>
            </w:r>
            <w:r>
              <w:rPr>
                <w:rFonts w:hint="default" w:ascii="Times New Roman" w:hAnsi="Times New Roman" w:eastAsia="宋体" w:cs="Times New Roman"/>
                <w:color w:val="auto"/>
                <w:kern w:val="0"/>
                <w:sz w:val="21"/>
                <w:szCs w:val="21"/>
                <w:highlight w:val="none"/>
              </w:rPr>
              <w:t>最大占标率≤30%</w:t>
            </w:r>
            <w:r>
              <w:rPr>
                <w:rFonts w:hint="default" w:ascii="Times New Roman" w:hAnsi="Times New Roman" w:eastAsia="宋体" w:cs="Times New Roman"/>
                <w:color w:val="auto"/>
                <w:kern w:val="0"/>
                <w:sz w:val="21"/>
                <w:szCs w:val="21"/>
                <w:highlight w:val="none"/>
              </w:rPr>
              <w:sym w:font="Wingdings 2" w:char="0052"/>
            </w:r>
          </w:p>
        </w:tc>
        <w:tc>
          <w:tcPr>
            <w:tcW w:w="2546" w:type="dxa"/>
            <w:gridSpan w:val="6"/>
            <w:tcBorders>
              <w:tl2br w:val="nil"/>
              <w:tr2bl w:val="nil"/>
            </w:tcBorders>
            <w:noWrap w:val="0"/>
            <w:vAlign w:val="center"/>
          </w:tcPr>
          <w:p w14:paraId="7596908F">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C</w:t>
            </w:r>
            <w:r>
              <w:rPr>
                <w:rFonts w:hint="default" w:ascii="Times New Roman" w:hAnsi="Times New Roman" w:eastAsia="宋体" w:cs="Times New Roman"/>
                <w:color w:val="auto"/>
                <w:kern w:val="0"/>
                <w:sz w:val="21"/>
                <w:szCs w:val="21"/>
                <w:highlight w:val="none"/>
                <w:vertAlign w:val="subscript"/>
                <w:lang w:eastAsia="zh-CN"/>
              </w:rPr>
              <w:t>本工程</w:t>
            </w:r>
            <w:r>
              <w:rPr>
                <w:rFonts w:hint="default" w:ascii="Times New Roman" w:hAnsi="Times New Roman" w:eastAsia="宋体" w:cs="Times New Roman"/>
                <w:color w:val="auto"/>
                <w:kern w:val="0"/>
                <w:sz w:val="21"/>
                <w:szCs w:val="21"/>
                <w:highlight w:val="none"/>
              </w:rPr>
              <w:t>最大占标率＞30%□</w:t>
            </w:r>
          </w:p>
        </w:tc>
      </w:tr>
      <w:tr w14:paraId="0E3082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trPr>
        <w:tc>
          <w:tcPr>
            <w:tcW w:w="745" w:type="dxa"/>
            <w:vMerge w:val="continue"/>
            <w:tcBorders>
              <w:tl2br w:val="nil"/>
              <w:tr2bl w:val="nil"/>
            </w:tcBorders>
            <w:noWrap w:val="0"/>
            <w:vAlign w:val="center"/>
          </w:tcPr>
          <w:p w14:paraId="7DE97555">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p>
        </w:tc>
        <w:tc>
          <w:tcPr>
            <w:tcW w:w="1141" w:type="dxa"/>
            <w:tcBorders>
              <w:tl2br w:val="nil"/>
              <w:tr2bl w:val="nil"/>
            </w:tcBorders>
            <w:noWrap w:val="0"/>
            <w:vAlign w:val="center"/>
          </w:tcPr>
          <w:p w14:paraId="73E76A96">
            <w:pPr>
              <w:keepNext w:val="0"/>
              <w:keepLines w:val="0"/>
              <w:pageBreakBefore w:val="0"/>
              <w:widowControl/>
              <w:kinsoku/>
              <w:wordWrap/>
              <w:overflowPunct/>
              <w:topLinePunct w:val="0"/>
              <w:autoSpaceDE/>
              <w:autoSpaceDN/>
              <w:bidi w:val="0"/>
              <w:adjustRightInd/>
              <w:snapToGrid/>
              <w:spacing w:line="260" w:lineRule="exact"/>
              <w:ind w:left="-105" w:leftChars="-50" w:right="-105" w:rightChars="-5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非正常排放1h浓度贡献值</w:t>
            </w:r>
          </w:p>
        </w:tc>
        <w:tc>
          <w:tcPr>
            <w:tcW w:w="2116" w:type="dxa"/>
            <w:gridSpan w:val="3"/>
            <w:tcBorders>
              <w:tl2br w:val="nil"/>
              <w:tr2bl w:val="nil"/>
            </w:tcBorders>
            <w:noWrap w:val="0"/>
            <w:vAlign w:val="center"/>
          </w:tcPr>
          <w:p w14:paraId="6CA24FA7">
            <w:pPr>
              <w:keepNext w:val="0"/>
              <w:keepLines w:val="0"/>
              <w:pageBreakBefore w:val="0"/>
              <w:widowControl/>
              <w:kinsoku/>
              <w:wordWrap/>
              <w:overflowPunct/>
              <w:topLinePunct w:val="0"/>
              <w:autoSpaceDE/>
              <w:autoSpaceDN/>
              <w:bidi w:val="0"/>
              <w:adjustRightInd/>
              <w:snapToGrid/>
              <w:spacing w:line="260" w:lineRule="exact"/>
              <w:ind w:left="-105" w:leftChars="-50" w:right="-105" w:rightChars="-5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非正常持续时长（）h</w:t>
            </w:r>
          </w:p>
        </w:tc>
        <w:tc>
          <w:tcPr>
            <w:tcW w:w="2147" w:type="dxa"/>
            <w:gridSpan w:val="5"/>
            <w:tcBorders>
              <w:tl2br w:val="nil"/>
              <w:tr2bl w:val="nil"/>
            </w:tcBorders>
            <w:noWrap w:val="0"/>
            <w:vAlign w:val="center"/>
          </w:tcPr>
          <w:p w14:paraId="044D3E9C">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c</w:t>
            </w:r>
            <w:r>
              <w:rPr>
                <w:rFonts w:hint="default" w:ascii="Times New Roman" w:hAnsi="Times New Roman" w:eastAsia="宋体" w:cs="Times New Roman"/>
                <w:color w:val="auto"/>
                <w:kern w:val="0"/>
                <w:sz w:val="21"/>
                <w:szCs w:val="21"/>
                <w:highlight w:val="none"/>
                <w:vertAlign w:val="subscript"/>
              </w:rPr>
              <w:t>非正常</w:t>
            </w:r>
            <w:r>
              <w:rPr>
                <w:rFonts w:hint="default" w:ascii="Times New Roman" w:hAnsi="Times New Roman" w:eastAsia="宋体" w:cs="Times New Roman"/>
                <w:color w:val="auto"/>
                <w:kern w:val="0"/>
                <w:sz w:val="21"/>
                <w:szCs w:val="21"/>
                <w:highlight w:val="none"/>
              </w:rPr>
              <w:t>占标率≤100%□</w:t>
            </w:r>
          </w:p>
        </w:tc>
        <w:tc>
          <w:tcPr>
            <w:tcW w:w="2546" w:type="dxa"/>
            <w:gridSpan w:val="6"/>
            <w:tcBorders>
              <w:tl2br w:val="nil"/>
              <w:tr2bl w:val="nil"/>
            </w:tcBorders>
            <w:noWrap w:val="0"/>
            <w:vAlign w:val="center"/>
          </w:tcPr>
          <w:p w14:paraId="49A57163">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c</w:t>
            </w:r>
            <w:r>
              <w:rPr>
                <w:rFonts w:hint="default" w:ascii="Times New Roman" w:hAnsi="Times New Roman" w:eastAsia="宋体" w:cs="Times New Roman"/>
                <w:color w:val="auto"/>
                <w:kern w:val="0"/>
                <w:sz w:val="21"/>
                <w:szCs w:val="21"/>
                <w:highlight w:val="none"/>
                <w:vertAlign w:val="subscript"/>
              </w:rPr>
              <w:t>非正常</w:t>
            </w:r>
            <w:r>
              <w:rPr>
                <w:rFonts w:hint="default" w:ascii="Times New Roman" w:hAnsi="Times New Roman" w:eastAsia="宋体" w:cs="Times New Roman"/>
                <w:color w:val="auto"/>
                <w:kern w:val="0"/>
                <w:sz w:val="21"/>
                <w:szCs w:val="21"/>
                <w:highlight w:val="none"/>
              </w:rPr>
              <w:t>占标率＞100%□</w:t>
            </w:r>
          </w:p>
        </w:tc>
      </w:tr>
      <w:tr w14:paraId="1269BF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trPr>
        <w:tc>
          <w:tcPr>
            <w:tcW w:w="745" w:type="dxa"/>
            <w:vMerge w:val="continue"/>
            <w:tcBorders>
              <w:tl2br w:val="nil"/>
              <w:tr2bl w:val="nil"/>
            </w:tcBorders>
            <w:noWrap w:val="0"/>
            <w:vAlign w:val="center"/>
          </w:tcPr>
          <w:p w14:paraId="538251BE">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p>
        </w:tc>
        <w:tc>
          <w:tcPr>
            <w:tcW w:w="1141" w:type="dxa"/>
            <w:tcBorders>
              <w:tl2br w:val="nil"/>
              <w:tr2bl w:val="nil"/>
            </w:tcBorders>
            <w:noWrap w:val="0"/>
            <w:vAlign w:val="center"/>
          </w:tcPr>
          <w:p w14:paraId="1A38699D">
            <w:pPr>
              <w:keepNext w:val="0"/>
              <w:keepLines w:val="0"/>
              <w:pageBreakBefore w:val="0"/>
              <w:widowControl/>
              <w:kinsoku/>
              <w:wordWrap/>
              <w:overflowPunct/>
              <w:topLinePunct w:val="0"/>
              <w:autoSpaceDE/>
              <w:autoSpaceDN/>
              <w:bidi w:val="0"/>
              <w:adjustRightInd/>
              <w:snapToGrid/>
              <w:spacing w:line="260" w:lineRule="exact"/>
              <w:ind w:left="-105" w:leftChars="-50" w:right="-105" w:rightChars="-5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保证率日平均浓度和年平均浓度叠加值</w:t>
            </w:r>
          </w:p>
        </w:tc>
        <w:tc>
          <w:tcPr>
            <w:tcW w:w="4263" w:type="dxa"/>
            <w:gridSpan w:val="8"/>
            <w:tcBorders>
              <w:tl2br w:val="nil"/>
              <w:tr2bl w:val="nil"/>
            </w:tcBorders>
            <w:noWrap w:val="0"/>
            <w:vAlign w:val="center"/>
          </w:tcPr>
          <w:p w14:paraId="67A40594">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C</w:t>
            </w:r>
            <w:r>
              <w:rPr>
                <w:rFonts w:hint="default" w:ascii="Times New Roman" w:hAnsi="Times New Roman" w:eastAsia="宋体" w:cs="Times New Roman"/>
                <w:color w:val="auto"/>
                <w:kern w:val="0"/>
                <w:sz w:val="21"/>
                <w:szCs w:val="21"/>
                <w:highlight w:val="none"/>
                <w:vertAlign w:val="subscript"/>
              </w:rPr>
              <w:t>叠加</w:t>
            </w:r>
            <w:r>
              <w:rPr>
                <w:rFonts w:hint="default" w:ascii="Times New Roman" w:hAnsi="Times New Roman" w:eastAsia="宋体" w:cs="Times New Roman"/>
                <w:color w:val="auto"/>
                <w:kern w:val="0"/>
                <w:sz w:val="21"/>
                <w:szCs w:val="21"/>
                <w:highlight w:val="none"/>
              </w:rPr>
              <w:t>达标□</w:t>
            </w:r>
          </w:p>
        </w:tc>
        <w:tc>
          <w:tcPr>
            <w:tcW w:w="2546" w:type="dxa"/>
            <w:gridSpan w:val="6"/>
            <w:tcBorders>
              <w:tl2br w:val="nil"/>
              <w:tr2bl w:val="nil"/>
            </w:tcBorders>
            <w:noWrap w:val="0"/>
            <w:vAlign w:val="center"/>
          </w:tcPr>
          <w:p w14:paraId="4C9252FC">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C</w:t>
            </w:r>
            <w:r>
              <w:rPr>
                <w:rFonts w:hint="default" w:ascii="Times New Roman" w:hAnsi="Times New Roman" w:eastAsia="宋体" w:cs="Times New Roman"/>
                <w:color w:val="auto"/>
                <w:kern w:val="0"/>
                <w:sz w:val="21"/>
                <w:szCs w:val="21"/>
                <w:highlight w:val="none"/>
                <w:vertAlign w:val="subscript"/>
              </w:rPr>
              <w:t>叠加</w:t>
            </w:r>
            <w:r>
              <w:rPr>
                <w:rFonts w:hint="default" w:ascii="Times New Roman" w:hAnsi="Times New Roman" w:eastAsia="宋体" w:cs="Times New Roman"/>
                <w:color w:val="auto"/>
                <w:kern w:val="0"/>
                <w:sz w:val="21"/>
                <w:szCs w:val="21"/>
                <w:highlight w:val="none"/>
              </w:rPr>
              <w:t>不达标□</w:t>
            </w:r>
          </w:p>
        </w:tc>
      </w:tr>
      <w:tr w14:paraId="4CECE6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trPr>
        <w:tc>
          <w:tcPr>
            <w:tcW w:w="745" w:type="dxa"/>
            <w:vMerge w:val="continue"/>
            <w:tcBorders>
              <w:tl2br w:val="nil"/>
              <w:tr2bl w:val="nil"/>
            </w:tcBorders>
            <w:noWrap w:val="0"/>
            <w:vAlign w:val="center"/>
          </w:tcPr>
          <w:p w14:paraId="2768B5AC">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p>
        </w:tc>
        <w:tc>
          <w:tcPr>
            <w:tcW w:w="1141" w:type="dxa"/>
            <w:tcBorders>
              <w:tl2br w:val="nil"/>
              <w:tr2bl w:val="nil"/>
            </w:tcBorders>
            <w:noWrap w:val="0"/>
            <w:vAlign w:val="center"/>
          </w:tcPr>
          <w:p w14:paraId="06C4FE68">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区域环境质量的整体变化情况</w:t>
            </w:r>
          </w:p>
        </w:tc>
        <w:tc>
          <w:tcPr>
            <w:tcW w:w="4263" w:type="dxa"/>
            <w:gridSpan w:val="8"/>
            <w:tcBorders>
              <w:tl2br w:val="nil"/>
              <w:tr2bl w:val="nil"/>
            </w:tcBorders>
            <w:noWrap w:val="0"/>
            <w:vAlign w:val="center"/>
          </w:tcPr>
          <w:p w14:paraId="0BE64C5D">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k≤-20%□</w:t>
            </w:r>
          </w:p>
        </w:tc>
        <w:tc>
          <w:tcPr>
            <w:tcW w:w="2546" w:type="dxa"/>
            <w:gridSpan w:val="6"/>
            <w:tcBorders>
              <w:tl2br w:val="nil"/>
              <w:tr2bl w:val="nil"/>
            </w:tcBorders>
            <w:noWrap w:val="0"/>
            <w:vAlign w:val="center"/>
          </w:tcPr>
          <w:p w14:paraId="4FD3A699">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k</w:t>
            </w:r>
            <w:r>
              <w:rPr>
                <w:rFonts w:hint="eastAsia" w:cs="Times New Roman"/>
                <w:color w:val="auto"/>
                <w:kern w:val="0"/>
                <w:sz w:val="21"/>
                <w:szCs w:val="21"/>
                <w:highlight w:val="none"/>
                <w:lang w:eastAsia="zh-CN"/>
              </w:rPr>
              <w:t>&gt;</w:t>
            </w:r>
            <w:r>
              <w:rPr>
                <w:rFonts w:hint="default" w:ascii="Times New Roman" w:hAnsi="Times New Roman" w:eastAsia="宋体" w:cs="Times New Roman"/>
                <w:color w:val="auto"/>
                <w:kern w:val="0"/>
                <w:sz w:val="21"/>
                <w:szCs w:val="21"/>
                <w:highlight w:val="none"/>
              </w:rPr>
              <w:t>-20%□</w:t>
            </w:r>
          </w:p>
        </w:tc>
      </w:tr>
      <w:tr w14:paraId="4048FF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trPr>
        <w:tc>
          <w:tcPr>
            <w:tcW w:w="745" w:type="dxa"/>
            <w:vMerge w:val="restart"/>
            <w:tcBorders>
              <w:tl2br w:val="nil"/>
              <w:tr2bl w:val="nil"/>
            </w:tcBorders>
            <w:noWrap w:val="0"/>
            <w:vAlign w:val="center"/>
          </w:tcPr>
          <w:p w14:paraId="7018A6A8">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环境监测计划</w:t>
            </w:r>
          </w:p>
        </w:tc>
        <w:tc>
          <w:tcPr>
            <w:tcW w:w="1141" w:type="dxa"/>
            <w:tcBorders>
              <w:tl2br w:val="nil"/>
              <w:tr2bl w:val="nil"/>
            </w:tcBorders>
            <w:noWrap w:val="0"/>
            <w:vAlign w:val="center"/>
          </w:tcPr>
          <w:p w14:paraId="6797C501">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污染源监测</w:t>
            </w:r>
          </w:p>
        </w:tc>
        <w:tc>
          <w:tcPr>
            <w:tcW w:w="2849" w:type="dxa"/>
            <w:gridSpan w:val="5"/>
            <w:tcBorders>
              <w:tl2br w:val="nil"/>
              <w:tr2bl w:val="nil"/>
            </w:tcBorders>
            <w:noWrap w:val="0"/>
            <w:vAlign w:val="center"/>
          </w:tcPr>
          <w:p w14:paraId="1DBD5B9B">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监测因子：（SO</w:t>
            </w:r>
            <w:r>
              <w:rPr>
                <w:rFonts w:hint="default" w:ascii="Times New Roman" w:hAnsi="Times New Roman" w:eastAsia="宋体" w:cs="Times New Roman"/>
                <w:color w:val="auto"/>
                <w:kern w:val="0"/>
                <w:sz w:val="21"/>
                <w:szCs w:val="21"/>
                <w:highlight w:val="none"/>
                <w:vertAlign w:val="subscript"/>
              </w:rPr>
              <w:t>2</w:t>
            </w:r>
            <w:r>
              <w:rPr>
                <w:rFonts w:hint="default" w:ascii="Times New Roman" w:hAnsi="Times New Roman" w:eastAsia="宋体" w:cs="Times New Roman"/>
                <w:color w:val="auto"/>
                <w:kern w:val="0"/>
                <w:sz w:val="21"/>
                <w:szCs w:val="21"/>
                <w:highlight w:val="none"/>
              </w:rPr>
              <w:t>、NO</w:t>
            </w:r>
            <w:r>
              <w:rPr>
                <w:rFonts w:hint="default" w:ascii="Times New Roman" w:hAnsi="Times New Roman" w:eastAsia="宋体" w:cs="Times New Roman"/>
                <w:color w:val="auto"/>
                <w:kern w:val="0"/>
                <w:sz w:val="21"/>
                <w:szCs w:val="21"/>
                <w:highlight w:val="none"/>
                <w:vertAlign w:val="subscript"/>
              </w:rPr>
              <w:t>2</w:t>
            </w:r>
            <w:r>
              <w:rPr>
                <w:rFonts w:hint="default" w:ascii="Times New Roman" w:hAnsi="Times New Roman" w:eastAsia="宋体" w:cs="Times New Roman"/>
                <w:color w:val="auto"/>
                <w:kern w:val="0"/>
                <w:sz w:val="21"/>
                <w:szCs w:val="21"/>
                <w:highlight w:val="none"/>
              </w:rPr>
              <w:t>、PM</w:t>
            </w:r>
            <w:r>
              <w:rPr>
                <w:rFonts w:hint="default" w:ascii="Times New Roman" w:hAnsi="Times New Roman" w:eastAsia="宋体" w:cs="Times New Roman"/>
                <w:color w:val="auto"/>
                <w:kern w:val="0"/>
                <w:sz w:val="21"/>
                <w:szCs w:val="21"/>
                <w:highlight w:val="none"/>
                <w:vertAlign w:val="subscript"/>
              </w:rPr>
              <w:t>10</w:t>
            </w:r>
            <w:r>
              <w:rPr>
                <w:rFonts w:hint="default" w:ascii="Times New Roman" w:hAnsi="Times New Roman" w:eastAsia="宋体" w:cs="Times New Roman"/>
                <w:color w:val="auto"/>
                <w:kern w:val="0"/>
                <w:sz w:val="21"/>
                <w:szCs w:val="21"/>
                <w:highlight w:val="none"/>
              </w:rPr>
              <w:t>、NMHC、H</w:t>
            </w:r>
            <w:r>
              <w:rPr>
                <w:rFonts w:hint="default" w:ascii="Times New Roman" w:hAnsi="Times New Roman" w:eastAsia="宋体" w:cs="Times New Roman"/>
                <w:color w:val="auto"/>
                <w:kern w:val="0"/>
                <w:sz w:val="21"/>
                <w:szCs w:val="21"/>
                <w:highlight w:val="none"/>
                <w:vertAlign w:val="subscript"/>
              </w:rPr>
              <w:t>2</w:t>
            </w:r>
            <w:r>
              <w:rPr>
                <w:rFonts w:hint="default" w:ascii="Times New Roman" w:hAnsi="Times New Roman" w:eastAsia="宋体" w:cs="Times New Roman"/>
                <w:color w:val="auto"/>
                <w:kern w:val="0"/>
                <w:sz w:val="21"/>
                <w:szCs w:val="21"/>
                <w:highlight w:val="none"/>
              </w:rPr>
              <w:t>S）</w:t>
            </w:r>
          </w:p>
        </w:tc>
        <w:tc>
          <w:tcPr>
            <w:tcW w:w="1628" w:type="dxa"/>
            <w:gridSpan w:val="4"/>
            <w:tcBorders>
              <w:tl2br w:val="nil"/>
              <w:tr2bl w:val="nil"/>
            </w:tcBorders>
            <w:noWrap w:val="0"/>
            <w:vAlign w:val="center"/>
          </w:tcPr>
          <w:p w14:paraId="11359C0D">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有组织废气监测</w:t>
            </w:r>
            <w:r>
              <w:rPr>
                <w:rFonts w:hint="default" w:ascii="Times New Roman" w:hAnsi="Times New Roman" w:eastAsia="宋体" w:cs="Times New Roman"/>
                <w:color w:val="auto"/>
                <w:kern w:val="0"/>
                <w:sz w:val="21"/>
                <w:szCs w:val="21"/>
                <w:highlight w:val="none"/>
                <w:lang w:eastAsia="zh-CN"/>
              </w:rPr>
              <w:sym w:font="Wingdings 2" w:char="0052"/>
            </w:r>
          </w:p>
          <w:p w14:paraId="388566B1">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无组织废气监测</w:t>
            </w:r>
            <w:r>
              <w:rPr>
                <w:rFonts w:hint="default" w:ascii="Times New Roman" w:hAnsi="Times New Roman" w:eastAsia="宋体" w:cs="Times New Roman"/>
                <w:color w:val="auto"/>
                <w:kern w:val="0"/>
                <w:sz w:val="21"/>
                <w:szCs w:val="21"/>
                <w:highlight w:val="none"/>
                <w:lang w:eastAsia="zh-CN"/>
              </w:rPr>
              <w:t>☑</w:t>
            </w:r>
          </w:p>
        </w:tc>
        <w:tc>
          <w:tcPr>
            <w:tcW w:w="2332" w:type="dxa"/>
            <w:gridSpan w:val="5"/>
            <w:tcBorders>
              <w:tl2br w:val="nil"/>
              <w:tr2bl w:val="nil"/>
            </w:tcBorders>
            <w:noWrap w:val="0"/>
            <w:vAlign w:val="center"/>
          </w:tcPr>
          <w:p w14:paraId="3705E8BB">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无监测□</w:t>
            </w:r>
          </w:p>
        </w:tc>
      </w:tr>
      <w:tr w14:paraId="2C550E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trPr>
        <w:tc>
          <w:tcPr>
            <w:tcW w:w="745" w:type="dxa"/>
            <w:vMerge w:val="continue"/>
            <w:tcBorders>
              <w:tl2br w:val="nil"/>
              <w:tr2bl w:val="nil"/>
            </w:tcBorders>
            <w:noWrap w:val="0"/>
            <w:vAlign w:val="center"/>
          </w:tcPr>
          <w:p w14:paraId="757C1B67">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p>
        </w:tc>
        <w:tc>
          <w:tcPr>
            <w:tcW w:w="1141" w:type="dxa"/>
            <w:tcBorders>
              <w:tl2br w:val="nil"/>
              <w:tr2bl w:val="nil"/>
            </w:tcBorders>
            <w:noWrap w:val="0"/>
            <w:vAlign w:val="center"/>
          </w:tcPr>
          <w:p w14:paraId="5578200A">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环境质量监测</w:t>
            </w:r>
          </w:p>
        </w:tc>
        <w:tc>
          <w:tcPr>
            <w:tcW w:w="2849" w:type="dxa"/>
            <w:gridSpan w:val="5"/>
            <w:tcBorders>
              <w:tl2br w:val="nil"/>
              <w:tr2bl w:val="nil"/>
            </w:tcBorders>
            <w:noWrap w:val="0"/>
            <w:vAlign w:val="center"/>
          </w:tcPr>
          <w:p w14:paraId="140EE5A1">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监测因子：（）</w:t>
            </w:r>
          </w:p>
        </w:tc>
        <w:tc>
          <w:tcPr>
            <w:tcW w:w="1628" w:type="dxa"/>
            <w:gridSpan w:val="4"/>
            <w:tcBorders>
              <w:tl2br w:val="nil"/>
              <w:tr2bl w:val="nil"/>
            </w:tcBorders>
            <w:noWrap w:val="0"/>
            <w:vAlign w:val="center"/>
          </w:tcPr>
          <w:p w14:paraId="7E24B944">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监测点位数（）</w:t>
            </w:r>
          </w:p>
        </w:tc>
        <w:tc>
          <w:tcPr>
            <w:tcW w:w="2332" w:type="dxa"/>
            <w:gridSpan w:val="5"/>
            <w:tcBorders>
              <w:tl2br w:val="nil"/>
              <w:tr2bl w:val="nil"/>
            </w:tcBorders>
            <w:noWrap w:val="0"/>
            <w:vAlign w:val="center"/>
          </w:tcPr>
          <w:p w14:paraId="47D01422">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无监测□</w:t>
            </w:r>
          </w:p>
        </w:tc>
      </w:tr>
      <w:tr w14:paraId="4CDB59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trPr>
        <w:tc>
          <w:tcPr>
            <w:tcW w:w="745" w:type="dxa"/>
            <w:vMerge w:val="restart"/>
            <w:tcBorders>
              <w:tl2br w:val="nil"/>
              <w:tr2bl w:val="nil"/>
            </w:tcBorders>
            <w:noWrap w:val="0"/>
            <w:vAlign w:val="center"/>
          </w:tcPr>
          <w:p w14:paraId="1F42067E">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评价结论</w:t>
            </w:r>
          </w:p>
        </w:tc>
        <w:tc>
          <w:tcPr>
            <w:tcW w:w="1141" w:type="dxa"/>
            <w:tcBorders>
              <w:tl2br w:val="nil"/>
              <w:tr2bl w:val="nil"/>
            </w:tcBorders>
            <w:noWrap w:val="0"/>
            <w:vAlign w:val="center"/>
          </w:tcPr>
          <w:p w14:paraId="2EE9BBB7">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环境影响</w:t>
            </w:r>
          </w:p>
        </w:tc>
        <w:tc>
          <w:tcPr>
            <w:tcW w:w="6809" w:type="dxa"/>
            <w:gridSpan w:val="14"/>
            <w:tcBorders>
              <w:tl2br w:val="nil"/>
              <w:tr2bl w:val="nil"/>
            </w:tcBorders>
            <w:noWrap w:val="0"/>
            <w:vAlign w:val="center"/>
          </w:tcPr>
          <w:p w14:paraId="0919415A">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可以接受</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不可以接受□</w:t>
            </w:r>
          </w:p>
        </w:tc>
      </w:tr>
      <w:tr w14:paraId="0F8506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trPr>
        <w:tc>
          <w:tcPr>
            <w:tcW w:w="745" w:type="dxa"/>
            <w:vMerge w:val="continue"/>
            <w:tcBorders>
              <w:tl2br w:val="nil"/>
              <w:tr2bl w:val="nil"/>
            </w:tcBorders>
            <w:noWrap w:val="0"/>
            <w:vAlign w:val="center"/>
          </w:tcPr>
          <w:p w14:paraId="6C8FCEF0">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p>
        </w:tc>
        <w:tc>
          <w:tcPr>
            <w:tcW w:w="1141" w:type="dxa"/>
            <w:tcBorders>
              <w:tl2br w:val="nil"/>
              <w:tr2bl w:val="nil"/>
            </w:tcBorders>
            <w:noWrap w:val="0"/>
            <w:vAlign w:val="center"/>
          </w:tcPr>
          <w:p w14:paraId="3B9DC322">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大气环境防护距离</w:t>
            </w:r>
          </w:p>
        </w:tc>
        <w:tc>
          <w:tcPr>
            <w:tcW w:w="6809" w:type="dxa"/>
            <w:gridSpan w:val="14"/>
            <w:tcBorders>
              <w:tl2br w:val="nil"/>
              <w:tr2bl w:val="nil"/>
            </w:tcBorders>
            <w:noWrap w:val="0"/>
            <w:vAlign w:val="center"/>
          </w:tcPr>
          <w:p w14:paraId="51AC58B7">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距厂界最远（0）m</w:t>
            </w:r>
          </w:p>
        </w:tc>
      </w:tr>
      <w:tr w14:paraId="5511A5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trPr>
        <w:tc>
          <w:tcPr>
            <w:tcW w:w="745" w:type="dxa"/>
            <w:vMerge w:val="continue"/>
            <w:tcBorders>
              <w:tl2br w:val="nil"/>
              <w:tr2bl w:val="nil"/>
            </w:tcBorders>
            <w:noWrap w:val="0"/>
            <w:vAlign w:val="center"/>
          </w:tcPr>
          <w:p w14:paraId="65723B6F">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bookmarkStart w:id="673" w:name="OLE_LINK290" w:colFirst="1" w:colLast="5"/>
          </w:p>
        </w:tc>
        <w:tc>
          <w:tcPr>
            <w:tcW w:w="1141" w:type="dxa"/>
            <w:tcBorders>
              <w:tl2br w:val="nil"/>
              <w:tr2bl w:val="nil"/>
            </w:tcBorders>
            <w:noWrap w:val="0"/>
            <w:vAlign w:val="center"/>
          </w:tcPr>
          <w:p w14:paraId="1EF146BC">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污染源</w:t>
            </w:r>
          </w:p>
          <w:p w14:paraId="5008770D">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年排放量</w:t>
            </w:r>
          </w:p>
        </w:tc>
        <w:tc>
          <w:tcPr>
            <w:tcW w:w="1607" w:type="dxa"/>
            <w:gridSpan w:val="2"/>
            <w:tcBorders>
              <w:tl2br w:val="nil"/>
              <w:tr2bl w:val="nil"/>
            </w:tcBorders>
            <w:noWrap w:val="0"/>
            <w:vAlign w:val="center"/>
          </w:tcPr>
          <w:p w14:paraId="59E32FD9">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SO</w:t>
            </w:r>
            <w:r>
              <w:rPr>
                <w:rFonts w:hint="default" w:ascii="Times New Roman" w:hAnsi="Times New Roman" w:eastAsia="宋体" w:cs="Times New Roman"/>
                <w:color w:val="auto"/>
                <w:kern w:val="0"/>
                <w:sz w:val="21"/>
                <w:szCs w:val="21"/>
                <w:highlight w:val="none"/>
                <w:vertAlign w:val="subscript"/>
              </w:rPr>
              <w:t>2</w:t>
            </w:r>
            <w:r>
              <w:rPr>
                <w:rFonts w:hint="default" w:ascii="Times New Roman" w:hAnsi="Times New Roman" w:eastAsia="宋体" w:cs="Times New Roman"/>
                <w:color w:val="auto"/>
                <w:kern w:val="0"/>
                <w:sz w:val="21"/>
                <w:szCs w:val="21"/>
                <w:highlight w:val="none"/>
              </w:rPr>
              <w:t>：（</w:t>
            </w:r>
            <w:r>
              <w:rPr>
                <w:rFonts w:hint="eastAsia" w:cs="Times New Roman"/>
                <w:color w:val="auto"/>
                <w:kern w:val="0"/>
                <w:sz w:val="21"/>
                <w:szCs w:val="21"/>
                <w:highlight w:val="none"/>
                <w:lang w:val="en-US" w:eastAsia="zh-CN"/>
              </w:rPr>
              <w:t>0.0039</w:t>
            </w:r>
            <w:r>
              <w:rPr>
                <w:rFonts w:hint="default" w:ascii="Times New Roman" w:hAnsi="Times New Roman" w:eastAsia="宋体" w:cs="Times New Roman"/>
                <w:color w:val="auto"/>
                <w:kern w:val="0"/>
                <w:sz w:val="21"/>
                <w:szCs w:val="21"/>
                <w:highlight w:val="none"/>
              </w:rPr>
              <w:t>）t/a</w:t>
            </w:r>
          </w:p>
        </w:tc>
        <w:tc>
          <w:tcPr>
            <w:tcW w:w="1518" w:type="dxa"/>
            <w:gridSpan w:val="4"/>
            <w:tcBorders>
              <w:tl2br w:val="nil"/>
              <w:tr2bl w:val="nil"/>
            </w:tcBorders>
            <w:noWrap w:val="0"/>
            <w:vAlign w:val="center"/>
          </w:tcPr>
          <w:p w14:paraId="3A46E5D9">
            <w:pPr>
              <w:keepNext w:val="0"/>
              <w:keepLines w:val="0"/>
              <w:pageBreakBefore w:val="0"/>
              <w:widowControl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NO</w:t>
            </w:r>
            <w:r>
              <w:rPr>
                <w:rFonts w:hint="default" w:ascii="Times New Roman" w:hAnsi="Times New Roman" w:eastAsia="宋体" w:cs="Times New Roman"/>
                <w:color w:val="auto"/>
                <w:kern w:val="2"/>
                <w:sz w:val="21"/>
                <w:szCs w:val="21"/>
                <w:highlight w:val="none"/>
                <w:vertAlign w:val="subscript"/>
                <w:lang w:val="en-US" w:eastAsia="zh-CN" w:bidi="ar-SA"/>
              </w:rPr>
              <w:t>x</w:t>
            </w:r>
            <w:r>
              <w:rPr>
                <w:rFonts w:hint="default" w:ascii="Times New Roman" w:hAnsi="Times New Roman" w:eastAsia="宋体"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0.155</w:t>
            </w:r>
            <w:r>
              <w:rPr>
                <w:rFonts w:hint="default" w:ascii="Times New Roman" w:hAnsi="Times New Roman" w:eastAsia="宋体" w:cs="Times New Roman"/>
                <w:color w:val="auto"/>
                <w:kern w:val="2"/>
                <w:sz w:val="21"/>
                <w:szCs w:val="21"/>
                <w:highlight w:val="none"/>
                <w:lang w:val="en-US" w:eastAsia="zh-CN" w:bidi="ar-SA"/>
              </w:rPr>
              <w:t>）t/a</w:t>
            </w:r>
          </w:p>
        </w:tc>
        <w:tc>
          <w:tcPr>
            <w:tcW w:w="1352" w:type="dxa"/>
            <w:gridSpan w:val="3"/>
            <w:tcBorders>
              <w:tl2br w:val="nil"/>
              <w:tr2bl w:val="nil"/>
            </w:tcBorders>
            <w:noWrap w:val="0"/>
            <w:vAlign w:val="center"/>
          </w:tcPr>
          <w:p w14:paraId="6454A4F8">
            <w:pPr>
              <w:keepNext w:val="0"/>
              <w:keepLines w:val="0"/>
              <w:pageBreakBefore w:val="0"/>
              <w:widowControl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颗粒物：（</w:t>
            </w:r>
            <w:r>
              <w:rPr>
                <w:rFonts w:hint="eastAsia" w:cs="Times New Roman"/>
                <w:color w:val="auto"/>
                <w:kern w:val="2"/>
                <w:sz w:val="21"/>
                <w:szCs w:val="21"/>
                <w:highlight w:val="none"/>
                <w:lang w:val="en-US" w:eastAsia="zh-CN" w:bidi="ar-SA"/>
              </w:rPr>
              <w:t>0.021</w:t>
            </w:r>
            <w:r>
              <w:rPr>
                <w:rFonts w:hint="default" w:ascii="Times New Roman" w:hAnsi="Times New Roman" w:eastAsia="宋体" w:cs="Times New Roman"/>
                <w:color w:val="auto"/>
                <w:kern w:val="2"/>
                <w:sz w:val="21"/>
                <w:szCs w:val="21"/>
                <w:highlight w:val="none"/>
                <w:lang w:val="en-US" w:eastAsia="zh-CN" w:bidi="ar-SA"/>
              </w:rPr>
              <w:t>）t/a</w:t>
            </w:r>
          </w:p>
        </w:tc>
        <w:tc>
          <w:tcPr>
            <w:tcW w:w="2332" w:type="dxa"/>
            <w:gridSpan w:val="5"/>
            <w:tcBorders>
              <w:tl2br w:val="nil"/>
              <w:tr2bl w:val="nil"/>
            </w:tcBorders>
            <w:noWrap w:val="0"/>
            <w:vAlign w:val="center"/>
          </w:tcPr>
          <w:p w14:paraId="4D36FC06">
            <w:pPr>
              <w:keepNext w:val="0"/>
              <w:keepLines w:val="0"/>
              <w:pageBreakBefore w:val="0"/>
              <w:widowControl w:val="0"/>
              <w:kinsoku/>
              <w:wordWrap/>
              <w:overflowPunct/>
              <w:topLinePunct w:val="0"/>
              <w:autoSpaceDE/>
              <w:autoSpaceDN/>
              <w:bidi w:val="0"/>
              <w:adjustRightInd/>
              <w:snapToGrid/>
              <w:spacing w:line="260" w:lineRule="exact"/>
              <w:jc w:val="center"/>
              <w:textAlignment w:val="center"/>
              <w:rPr>
                <w:color w:val="auto"/>
              </w:rPr>
            </w:pPr>
            <w:r>
              <w:rPr>
                <w:rFonts w:hint="default"/>
                <w:color w:val="auto"/>
                <w:lang w:val="en-US" w:eastAsia="zh-CN"/>
              </w:rPr>
              <w:t>VOCs：（</w:t>
            </w:r>
            <w:r>
              <w:rPr>
                <w:rFonts w:hint="eastAsia"/>
                <w:color w:val="auto"/>
                <w:lang w:val="en-US" w:eastAsia="zh-CN"/>
              </w:rPr>
              <w:t>3.3767)</w:t>
            </w:r>
            <w:r>
              <w:rPr>
                <w:rFonts w:hint="default"/>
                <w:color w:val="auto"/>
                <w:lang w:val="en-US" w:eastAsia="zh-CN"/>
              </w:rPr>
              <w:t>t/a</w:t>
            </w:r>
          </w:p>
          <w:p w14:paraId="77560179">
            <w:pPr>
              <w:bidi w:val="0"/>
              <w:rPr>
                <w:rFonts w:hint="default"/>
                <w:color w:val="auto"/>
                <w:lang w:val="en-US" w:eastAsia="zh-CN"/>
              </w:rPr>
            </w:pPr>
            <w:r>
              <w:rPr>
                <w:rFonts w:hint="eastAsia" w:cs="Times New Roman"/>
                <w:color w:val="auto"/>
                <w:kern w:val="2"/>
                <w:sz w:val="21"/>
                <w:szCs w:val="21"/>
                <w:highlight w:val="none"/>
                <w:lang w:val="en-US" w:eastAsia="zh-CN" w:bidi="ar-SA"/>
              </w:rPr>
              <w:t>H</w:t>
            </w:r>
            <w:r>
              <w:rPr>
                <w:rFonts w:hint="eastAsia" w:cs="Times New Roman"/>
                <w:color w:val="auto"/>
                <w:kern w:val="2"/>
                <w:sz w:val="21"/>
                <w:szCs w:val="21"/>
                <w:highlight w:val="none"/>
                <w:vertAlign w:val="subscript"/>
                <w:lang w:val="en-US" w:eastAsia="zh-CN" w:bidi="ar-SA"/>
              </w:rPr>
              <w:t>2</w:t>
            </w:r>
            <w:r>
              <w:rPr>
                <w:rFonts w:hint="eastAsia" w:cs="Times New Roman"/>
                <w:color w:val="auto"/>
                <w:kern w:val="2"/>
                <w:sz w:val="21"/>
                <w:szCs w:val="21"/>
                <w:highlight w:val="none"/>
                <w:lang w:val="en-US" w:eastAsia="zh-CN" w:bidi="ar-SA"/>
              </w:rPr>
              <w:t>S：</w:t>
            </w:r>
            <w:r>
              <w:rPr>
                <w:rFonts w:hint="default" w:ascii="Times New Roman" w:hAnsi="Times New Roman" w:eastAsia="宋体" w:cs="Times New Roman"/>
                <w:color w:val="auto"/>
                <w:kern w:val="2"/>
                <w:sz w:val="21"/>
                <w:szCs w:val="21"/>
                <w:highlight w:val="none"/>
                <w:lang w:val="en-US" w:eastAsia="zh-CN" w:bidi="ar-SA"/>
              </w:rPr>
              <w:t>（0.000858</w:t>
            </w: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t/a</w:t>
            </w:r>
          </w:p>
        </w:tc>
      </w:tr>
      <w:bookmarkEnd w:id="673"/>
    </w:tbl>
    <w:p w14:paraId="49C75E0F">
      <w:pPr>
        <w:pStyle w:val="75"/>
        <w:bidi w:val="0"/>
        <w:rPr>
          <w:rFonts w:hint="eastAsia"/>
          <w:color w:val="auto"/>
          <w:lang w:val="en-US" w:eastAsia="zh-CN"/>
        </w:rPr>
      </w:pPr>
      <w:bookmarkStart w:id="674" w:name="_Toc26066"/>
      <w:r>
        <w:rPr>
          <w:color w:val="auto"/>
          <w:lang w:val="en-US" w:eastAsia="zh-CN"/>
        </w:rPr>
        <w:t>5.</w:t>
      </w:r>
      <w:r>
        <w:rPr>
          <w:rFonts w:hint="eastAsia"/>
          <w:color w:val="auto"/>
          <w:lang w:val="en-US" w:eastAsia="zh-CN"/>
        </w:rPr>
        <w:t xml:space="preserve">5 </w:t>
      </w:r>
      <w:r>
        <w:rPr>
          <w:color w:val="auto"/>
          <w:lang w:val="en-US" w:eastAsia="zh-CN"/>
        </w:rPr>
        <w:t>声环境影响分析与</w:t>
      </w:r>
      <w:r>
        <w:rPr>
          <w:rFonts w:hint="eastAsia"/>
          <w:color w:val="auto"/>
          <w:lang w:val="en-US" w:eastAsia="zh-CN"/>
        </w:rPr>
        <w:t>评价</w:t>
      </w:r>
      <w:bookmarkEnd w:id="674"/>
    </w:p>
    <w:p w14:paraId="0F666404">
      <w:pPr>
        <w:pStyle w:val="54"/>
        <w:bidi w:val="0"/>
        <w:rPr>
          <w:color w:val="auto"/>
          <w:lang w:val="en-US" w:eastAsia="zh-CN"/>
        </w:rPr>
      </w:pPr>
      <w:r>
        <w:rPr>
          <w:color w:val="auto"/>
          <w:lang w:val="en-US" w:eastAsia="zh-CN"/>
        </w:rPr>
        <w:t>5.</w:t>
      </w:r>
      <w:r>
        <w:rPr>
          <w:rFonts w:hint="eastAsia"/>
          <w:color w:val="auto"/>
          <w:lang w:val="en-US" w:eastAsia="zh-CN"/>
        </w:rPr>
        <w:t>5</w:t>
      </w:r>
      <w:r>
        <w:rPr>
          <w:color w:val="auto"/>
          <w:lang w:val="en-US" w:eastAsia="zh-CN"/>
        </w:rPr>
        <w:t>.1</w:t>
      </w:r>
      <w:r>
        <w:rPr>
          <w:rFonts w:hint="eastAsia"/>
          <w:color w:val="auto"/>
          <w:lang w:val="en-US" w:eastAsia="zh-CN"/>
        </w:rPr>
        <w:t xml:space="preserve"> 施工</w:t>
      </w:r>
      <w:r>
        <w:rPr>
          <w:color w:val="auto"/>
          <w:lang w:val="en-US" w:eastAsia="zh-CN"/>
        </w:rPr>
        <w:t>期声环境影响分析</w:t>
      </w:r>
    </w:p>
    <w:p w14:paraId="3BEFAE7E">
      <w:pPr>
        <w:pStyle w:val="79"/>
        <w:bidi w:val="0"/>
        <w:rPr>
          <w:rFonts w:hint="default"/>
          <w:color w:val="auto"/>
        </w:rPr>
      </w:pPr>
      <w:r>
        <w:rPr>
          <w:rFonts w:hint="default"/>
          <w:color w:val="auto"/>
        </w:rPr>
        <w:t>本工程施工期噪声主要包括土方施工、建构筑物结构施工、设备吊运安装、管沟开挖、管线铺设等过程中各种机械和设备产生的噪声，物料运输车辆交通噪声</w:t>
      </w:r>
      <w:r>
        <w:rPr>
          <w:rFonts w:hint="eastAsia"/>
          <w:color w:val="auto"/>
          <w:lang w:eastAsia="zh-CN"/>
        </w:rPr>
        <w:t>，</w:t>
      </w:r>
      <w:r>
        <w:rPr>
          <w:rFonts w:hint="default"/>
          <w:color w:val="auto"/>
        </w:rPr>
        <w:t>其产生的噪声对施工区周围的环境将产生一定的影响。地面工程施工范围大，但是施工范围内无任何居民区居住点。由于管线施工期较短，施工速度快，而且无任何居民点，对施工人员的影响随着施工期的结束而结束。</w:t>
      </w:r>
    </w:p>
    <w:p w14:paraId="77A761E4">
      <w:pPr>
        <w:pStyle w:val="79"/>
        <w:bidi w:val="0"/>
        <w:rPr>
          <w:rFonts w:hint="default"/>
          <w:color w:val="auto"/>
        </w:rPr>
      </w:pPr>
      <w:r>
        <w:rPr>
          <w:rFonts w:hint="default"/>
          <w:color w:val="auto"/>
        </w:rPr>
        <w:t>参照《环境噪声与振动控制工程技术导则》(HJ 2034-2013</w:t>
      </w:r>
      <w:r>
        <w:rPr>
          <w:rFonts w:hint="eastAsia"/>
          <w:color w:val="auto"/>
          <w:lang w:eastAsia="zh-CN"/>
        </w:rPr>
        <w:t>）</w:t>
      </w:r>
      <w:r>
        <w:rPr>
          <w:rFonts w:hint="default"/>
          <w:color w:val="auto"/>
        </w:rPr>
        <w:t>中表A.2和类比</w:t>
      </w:r>
      <w:r>
        <w:rPr>
          <w:rFonts w:hint="eastAsia"/>
          <w:color w:val="auto"/>
          <w:lang w:eastAsia="zh-CN"/>
        </w:rPr>
        <w:t>油田</w:t>
      </w:r>
      <w:r>
        <w:rPr>
          <w:rFonts w:hint="default"/>
          <w:color w:val="auto"/>
        </w:rPr>
        <w:t>开发工程中井场、</w:t>
      </w:r>
      <w:r>
        <w:rPr>
          <w:rFonts w:hint="eastAsia"/>
          <w:color w:val="auto"/>
          <w:lang w:val="en-US" w:eastAsia="zh-CN"/>
        </w:rPr>
        <w:t>雄探1试采点</w:t>
      </w:r>
      <w:r>
        <w:rPr>
          <w:rFonts w:hint="default"/>
          <w:color w:val="auto"/>
        </w:rPr>
        <w:t>、管线铺设实际情况，本工程各类建筑施工机械产噪值及噪声监测点与设备距离见表5.</w:t>
      </w:r>
      <w:r>
        <w:rPr>
          <w:rFonts w:hint="eastAsia"/>
          <w:color w:val="auto"/>
          <w:lang w:val="en-US" w:eastAsia="zh-CN"/>
        </w:rPr>
        <w:t>5</w:t>
      </w:r>
      <w:r>
        <w:rPr>
          <w:rFonts w:hint="default"/>
          <w:color w:val="auto"/>
        </w:rPr>
        <w:t>-1。</w:t>
      </w:r>
    </w:p>
    <w:p w14:paraId="456EB95D">
      <w:pPr>
        <w:pStyle w:val="61"/>
        <w:bidi w:val="0"/>
        <w:jc w:val="both"/>
        <w:rPr>
          <w:rFonts w:hint="eastAsia"/>
          <w:color w:val="auto"/>
        </w:rPr>
      </w:pPr>
      <w:r>
        <w:rPr>
          <w:rFonts w:hint="eastAsia"/>
          <w:color w:val="auto"/>
          <w:lang w:val="en-US" w:eastAsia="zh-CN"/>
        </w:rPr>
        <w:t>表5.5-1      主要施工机械在不同距离处的噪声估算值</w:t>
      </w:r>
    </w:p>
    <w:tbl>
      <w:tblPr>
        <w:tblStyle w:val="36"/>
        <w:tblW w:w="496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527"/>
        <w:gridCol w:w="1483"/>
        <w:gridCol w:w="2117"/>
        <w:gridCol w:w="597"/>
        <w:gridCol w:w="1611"/>
        <w:gridCol w:w="2286"/>
      </w:tblGrid>
      <w:tr w14:paraId="2AA972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27" w:type="dxa"/>
            <w:tcBorders>
              <w:tl2br w:val="nil"/>
              <w:tr2bl w:val="nil"/>
            </w:tcBorders>
            <w:noWrap w:val="0"/>
            <w:vAlign w:val="center"/>
          </w:tcPr>
          <w:p w14:paraId="4A683258">
            <w:pPr>
              <w:spacing w:line="0" w:lineRule="atLeast"/>
              <w:jc w:val="center"/>
              <w:rPr>
                <w:rFonts w:hint="eastAsia"/>
                <w:color w:val="auto"/>
                <w:spacing w:val="-10"/>
                <w:sz w:val="21"/>
                <w:szCs w:val="21"/>
              </w:rPr>
            </w:pPr>
            <w:r>
              <w:rPr>
                <w:rFonts w:hint="eastAsia"/>
                <w:color w:val="auto"/>
                <w:spacing w:val="-10"/>
                <w:sz w:val="21"/>
                <w:szCs w:val="21"/>
                <w:lang w:bidi="ar"/>
              </w:rPr>
              <w:t>序号</w:t>
            </w:r>
          </w:p>
        </w:tc>
        <w:tc>
          <w:tcPr>
            <w:tcW w:w="1483" w:type="dxa"/>
            <w:tcBorders>
              <w:tl2br w:val="nil"/>
              <w:tr2bl w:val="nil"/>
            </w:tcBorders>
            <w:noWrap w:val="0"/>
            <w:vAlign w:val="center"/>
          </w:tcPr>
          <w:p w14:paraId="1F6D22B9">
            <w:pPr>
              <w:spacing w:line="0" w:lineRule="atLeast"/>
              <w:jc w:val="center"/>
              <w:rPr>
                <w:rFonts w:hint="eastAsia"/>
                <w:color w:val="auto"/>
                <w:spacing w:val="-10"/>
                <w:sz w:val="21"/>
                <w:szCs w:val="21"/>
              </w:rPr>
            </w:pPr>
            <w:r>
              <w:rPr>
                <w:rFonts w:hint="eastAsia"/>
                <w:color w:val="auto"/>
                <w:spacing w:val="-10"/>
                <w:sz w:val="21"/>
                <w:szCs w:val="21"/>
                <w:lang w:bidi="ar"/>
              </w:rPr>
              <w:t>设备名称</w:t>
            </w:r>
          </w:p>
        </w:tc>
        <w:tc>
          <w:tcPr>
            <w:tcW w:w="2117" w:type="dxa"/>
            <w:tcBorders>
              <w:tl2br w:val="nil"/>
              <w:tr2bl w:val="nil"/>
            </w:tcBorders>
            <w:noWrap w:val="0"/>
            <w:vAlign w:val="center"/>
          </w:tcPr>
          <w:p w14:paraId="356B9F8D">
            <w:pPr>
              <w:spacing w:line="0" w:lineRule="atLeast"/>
              <w:jc w:val="center"/>
              <w:rPr>
                <w:rFonts w:hint="eastAsia"/>
                <w:color w:val="auto"/>
                <w:spacing w:val="-10"/>
                <w:sz w:val="21"/>
                <w:szCs w:val="21"/>
              </w:rPr>
            </w:pPr>
            <w:r>
              <w:rPr>
                <w:rFonts w:hint="eastAsia"/>
                <w:color w:val="auto"/>
                <w:spacing w:val="-10"/>
                <w:sz w:val="21"/>
                <w:szCs w:val="21"/>
                <w:lang w:bidi="ar"/>
              </w:rPr>
              <w:t>噪声值/距离[dB(A)/m]</w:t>
            </w:r>
          </w:p>
        </w:tc>
        <w:tc>
          <w:tcPr>
            <w:tcW w:w="597" w:type="dxa"/>
            <w:tcBorders>
              <w:tl2br w:val="nil"/>
              <w:tr2bl w:val="nil"/>
            </w:tcBorders>
            <w:noWrap w:val="0"/>
            <w:vAlign w:val="center"/>
          </w:tcPr>
          <w:p w14:paraId="3CD2388E">
            <w:pPr>
              <w:spacing w:line="0" w:lineRule="atLeast"/>
              <w:jc w:val="center"/>
              <w:rPr>
                <w:rFonts w:hint="eastAsia"/>
                <w:color w:val="auto"/>
                <w:spacing w:val="-10"/>
                <w:sz w:val="21"/>
                <w:szCs w:val="21"/>
              </w:rPr>
            </w:pPr>
            <w:r>
              <w:rPr>
                <w:rFonts w:hint="eastAsia"/>
                <w:color w:val="auto"/>
                <w:spacing w:val="-10"/>
                <w:sz w:val="21"/>
                <w:szCs w:val="21"/>
                <w:lang w:bidi="ar"/>
              </w:rPr>
              <w:t>序号</w:t>
            </w:r>
          </w:p>
        </w:tc>
        <w:tc>
          <w:tcPr>
            <w:tcW w:w="1611" w:type="dxa"/>
            <w:tcBorders>
              <w:tl2br w:val="nil"/>
              <w:tr2bl w:val="nil"/>
            </w:tcBorders>
            <w:noWrap w:val="0"/>
            <w:vAlign w:val="center"/>
          </w:tcPr>
          <w:p w14:paraId="590BED20">
            <w:pPr>
              <w:spacing w:line="0" w:lineRule="atLeast"/>
              <w:jc w:val="center"/>
              <w:rPr>
                <w:rFonts w:hint="eastAsia"/>
                <w:color w:val="auto"/>
                <w:spacing w:val="-10"/>
                <w:sz w:val="21"/>
                <w:szCs w:val="21"/>
              </w:rPr>
            </w:pPr>
            <w:r>
              <w:rPr>
                <w:rFonts w:hint="eastAsia"/>
                <w:color w:val="auto"/>
                <w:spacing w:val="-10"/>
                <w:sz w:val="21"/>
                <w:szCs w:val="21"/>
                <w:lang w:bidi="ar"/>
              </w:rPr>
              <w:t>设备名称</w:t>
            </w:r>
          </w:p>
        </w:tc>
        <w:tc>
          <w:tcPr>
            <w:tcW w:w="2286" w:type="dxa"/>
            <w:tcBorders>
              <w:tl2br w:val="nil"/>
              <w:tr2bl w:val="nil"/>
            </w:tcBorders>
            <w:noWrap w:val="0"/>
            <w:vAlign w:val="center"/>
          </w:tcPr>
          <w:p w14:paraId="490E8940">
            <w:pPr>
              <w:spacing w:line="0" w:lineRule="atLeast"/>
              <w:jc w:val="center"/>
              <w:rPr>
                <w:rFonts w:hint="eastAsia"/>
                <w:color w:val="auto"/>
                <w:spacing w:val="-10"/>
                <w:sz w:val="21"/>
                <w:szCs w:val="21"/>
              </w:rPr>
            </w:pPr>
            <w:r>
              <w:rPr>
                <w:rFonts w:hint="eastAsia"/>
                <w:color w:val="auto"/>
                <w:spacing w:val="-10"/>
                <w:sz w:val="21"/>
                <w:szCs w:val="21"/>
                <w:lang w:bidi="ar"/>
              </w:rPr>
              <w:t>噪声值/距离[dB(A)/m]</w:t>
            </w:r>
          </w:p>
        </w:tc>
      </w:tr>
      <w:tr w14:paraId="2A5398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27" w:type="dxa"/>
            <w:tcBorders>
              <w:tl2br w:val="nil"/>
              <w:tr2bl w:val="nil"/>
            </w:tcBorders>
            <w:noWrap w:val="0"/>
            <w:vAlign w:val="center"/>
          </w:tcPr>
          <w:p w14:paraId="06158AB2">
            <w:pPr>
              <w:spacing w:line="0" w:lineRule="atLeast"/>
              <w:jc w:val="center"/>
              <w:rPr>
                <w:rFonts w:hint="eastAsia"/>
                <w:color w:val="auto"/>
                <w:spacing w:val="-10"/>
                <w:sz w:val="21"/>
                <w:szCs w:val="21"/>
              </w:rPr>
            </w:pPr>
            <w:r>
              <w:rPr>
                <w:rFonts w:hint="eastAsia"/>
                <w:color w:val="auto"/>
                <w:spacing w:val="-10"/>
                <w:sz w:val="21"/>
                <w:szCs w:val="21"/>
                <w:lang w:bidi="ar"/>
              </w:rPr>
              <w:t>1</w:t>
            </w:r>
          </w:p>
        </w:tc>
        <w:tc>
          <w:tcPr>
            <w:tcW w:w="1483" w:type="dxa"/>
            <w:tcBorders>
              <w:tl2br w:val="nil"/>
              <w:tr2bl w:val="nil"/>
            </w:tcBorders>
            <w:noWrap w:val="0"/>
            <w:vAlign w:val="center"/>
          </w:tcPr>
          <w:p w14:paraId="39DBAA47">
            <w:pPr>
              <w:spacing w:line="0" w:lineRule="atLeast"/>
              <w:jc w:val="center"/>
              <w:rPr>
                <w:rFonts w:hint="eastAsia"/>
                <w:color w:val="auto"/>
                <w:spacing w:val="-10"/>
                <w:sz w:val="21"/>
                <w:szCs w:val="21"/>
              </w:rPr>
            </w:pPr>
            <w:r>
              <w:rPr>
                <w:rFonts w:hint="eastAsia"/>
                <w:color w:val="auto"/>
                <w:spacing w:val="-10"/>
                <w:sz w:val="21"/>
                <w:szCs w:val="21"/>
                <w:lang w:bidi="ar"/>
              </w:rPr>
              <w:t>装载机</w:t>
            </w:r>
          </w:p>
        </w:tc>
        <w:tc>
          <w:tcPr>
            <w:tcW w:w="2117" w:type="dxa"/>
            <w:tcBorders>
              <w:tl2br w:val="nil"/>
              <w:tr2bl w:val="nil"/>
            </w:tcBorders>
            <w:noWrap w:val="0"/>
            <w:vAlign w:val="center"/>
          </w:tcPr>
          <w:p w14:paraId="120AC4C8">
            <w:pPr>
              <w:spacing w:line="0" w:lineRule="atLeast"/>
              <w:jc w:val="center"/>
              <w:rPr>
                <w:rFonts w:hint="eastAsia"/>
                <w:color w:val="auto"/>
                <w:spacing w:val="-10"/>
                <w:sz w:val="21"/>
                <w:szCs w:val="21"/>
              </w:rPr>
            </w:pPr>
            <w:r>
              <w:rPr>
                <w:rFonts w:hint="eastAsia"/>
                <w:color w:val="auto"/>
                <w:spacing w:val="-10"/>
                <w:sz w:val="21"/>
                <w:szCs w:val="21"/>
                <w:lang w:bidi="ar"/>
              </w:rPr>
              <w:t>93/5</w:t>
            </w:r>
          </w:p>
        </w:tc>
        <w:tc>
          <w:tcPr>
            <w:tcW w:w="597" w:type="dxa"/>
            <w:tcBorders>
              <w:tl2br w:val="nil"/>
              <w:tr2bl w:val="nil"/>
            </w:tcBorders>
            <w:noWrap w:val="0"/>
            <w:vAlign w:val="center"/>
          </w:tcPr>
          <w:p w14:paraId="7CB3DF04">
            <w:pPr>
              <w:spacing w:line="0" w:lineRule="atLeast"/>
              <w:jc w:val="center"/>
              <w:rPr>
                <w:rFonts w:hint="eastAsia" w:eastAsia="宋体"/>
                <w:color w:val="auto"/>
                <w:spacing w:val="-10"/>
                <w:sz w:val="21"/>
                <w:szCs w:val="21"/>
                <w:lang w:eastAsia="zh-CN"/>
              </w:rPr>
            </w:pPr>
            <w:r>
              <w:rPr>
                <w:rFonts w:hint="eastAsia"/>
                <w:color w:val="auto"/>
                <w:spacing w:val="-10"/>
                <w:sz w:val="21"/>
                <w:szCs w:val="21"/>
                <w:lang w:val="en-US" w:eastAsia="zh-CN" w:bidi="ar"/>
              </w:rPr>
              <w:t>4</w:t>
            </w:r>
          </w:p>
        </w:tc>
        <w:tc>
          <w:tcPr>
            <w:tcW w:w="1611" w:type="dxa"/>
            <w:tcBorders>
              <w:tl2br w:val="nil"/>
              <w:tr2bl w:val="nil"/>
            </w:tcBorders>
            <w:noWrap w:val="0"/>
            <w:vAlign w:val="center"/>
          </w:tcPr>
          <w:p w14:paraId="55118198">
            <w:pPr>
              <w:spacing w:line="0" w:lineRule="atLeast"/>
              <w:jc w:val="center"/>
              <w:rPr>
                <w:rFonts w:hint="eastAsia"/>
                <w:color w:val="auto"/>
                <w:spacing w:val="-10"/>
                <w:sz w:val="21"/>
                <w:szCs w:val="21"/>
              </w:rPr>
            </w:pPr>
            <w:r>
              <w:rPr>
                <w:rFonts w:hint="eastAsia"/>
                <w:color w:val="auto"/>
                <w:spacing w:val="-10"/>
                <w:sz w:val="21"/>
                <w:szCs w:val="21"/>
                <w:lang w:bidi="ar"/>
              </w:rPr>
              <w:t>吊装机</w:t>
            </w:r>
          </w:p>
        </w:tc>
        <w:tc>
          <w:tcPr>
            <w:tcW w:w="2286" w:type="dxa"/>
            <w:tcBorders>
              <w:tl2br w:val="nil"/>
              <w:tr2bl w:val="nil"/>
            </w:tcBorders>
            <w:noWrap w:val="0"/>
            <w:vAlign w:val="center"/>
          </w:tcPr>
          <w:p w14:paraId="105EF380">
            <w:pPr>
              <w:spacing w:line="0" w:lineRule="atLeast"/>
              <w:jc w:val="center"/>
              <w:rPr>
                <w:rFonts w:hint="eastAsia"/>
                <w:color w:val="auto"/>
                <w:spacing w:val="-10"/>
                <w:sz w:val="21"/>
                <w:szCs w:val="21"/>
              </w:rPr>
            </w:pPr>
            <w:r>
              <w:rPr>
                <w:rFonts w:hint="eastAsia"/>
                <w:color w:val="auto"/>
                <w:spacing w:val="-10"/>
                <w:sz w:val="21"/>
                <w:szCs w:val="21"/>
                <w:lang w:bidi="ar"/>
              </w:rPr>
              <w:t>95/5</w:t>
            </w:r>
          </w:p>
        </w:tc>
      </w:tr>
      <w:tr w14:paraId="36B4D4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27" w:type="dxa"/>
            <w:tcBorders>
              <w:tl2br w:val="nil"/>
              <w:tr2bl w:val="nil"/>
            </w:tcBorders>
            <w:noWrap w:val="0"/>
            <w:vAlign w:val="center"/>
          </w:tcPr>
          <w:p w14:paraId="4A5D022D">
            <w:pPr>
              <w:spacing w:line="0" w:lineRule="atLeast"/>
              <w:jc w:val="center"/>
              <w:rPr>
                <w:rFonts w:hint="eastAsia"/>
                <w:color w:val="auto"/>
                <w:spacing w:val="-10"/>
                <w:sz w:val="21"/>
                <w:szCs w:val="21"/>
              </w:rPr>
            </w:pPr>
            <w:r>
              <w:rPr>
                <w:rFonts w:hint="eastAsia"/>
                <w:color w:val="auto"/>
                <w:spacing w:val="-10"/>
                <w:sz w:val="21"/>
                <w:szCs w:val="21"/>
                <w:lang w:bidi="ar"/>
              </w:rPr>
              <w:t>2</w:t>
            </w:r>
          </w:p>
        </w:tc>
        <w:tc>
          <w:tcPr>
            <w:tcW w:w="1483" w:type="dxa"/>
            <w:tcBorders>
              <w:tl2br w:val="nil"/>
              <w:tr2bl w:val="nil"/>
            </w:tcBorders>
            <w:noWrap w:val="0"/>
            <w:vAlign w:val="center"/>
          </w:tcPr>
          <w:p w14:paraId="7F4E41CE">
            <w:pPr>
              <w:spacing w:line="0" w:lineRule="atLeast"/>
              <w:jc w:val="center"/>
              <w:rPr>
                <w:rFonts w:hint="eastAsia"/>
                <w:color w:val="auto"/>
                <w:spacing w:val="-10"/>
                <w:sz w:val="21"/>
                <w:szCs w:val="21"/>
              </w:rPr>
            </w:pPr>
            <w:r>
              <w:rPr>
                <w:rFonts w:hint="eastAsia"/>
                <w:color w:val="auto"/>
                <w:spacing w:val="-10"/>
                <w:sz w:val="21"/>
                <w:szCs w:val="21"/>
                <w:lang w:bidi="ar"/>
              </w:rPr>
              <w:t>推土机</w:t>
            </w:r>
          </w:p>
        </w:tc>
        <w:tc>
          <w:tcPr>
            <w:tcW w:w="2117" w:type="dxa"/>
            <w:tcBorders>
              <w:tl2br w:val="nil"/>
              <w:tr2bl w:val="nil"/>
            </w:tcBorders>
            <w:noWrap w:val="0"/>
            <w:vAlign w:val="center"/>
          </w:tcPr>
          <w:p w14:paraId="0CDCB835">
            <w:pPr>
              <w:spacing w:line="0" w:lineRule="atLeast"/>
              <w:jc w:val="center"/>
              <w:rPr>
                <w:rFonts w:hint="eastAsia"/>
                <w:color w:val="auto"/>
                <w:spacing w:val="-10"/>
                <w:sz w:val="21"/>
                <w:szCs w:val="21"/>
              </w:rPr>
            </w:pPr>
            <w:r>
              <w:rPr>
                <w:rFonts w:hint="eastAsia"/>
                <w:color w:val="auto"/>
                <w:spacing w:val="-10"/>
                <w:sz w:val="21"/>
                <w:szCs w:val="21"/>
                <w:lang w:bidi="ar"/>
              </w:rPr>
              <w:t>86/5</w:t>
            </w:r>
          </w:p>
        </w:tc>
        <w:tc>
          <w:tcPr>
            <w:tcW w:w="597" w:type="dxa"/>
            <w:tcBorders>
              <w:tl2br w:val="nil"/>
              <w:tr2bl w:val="nil"/>
            </w:tcBorders>
            <w:noWrap w:val="0"/>
            <w:vAlign w:val="center"/>
          </w:tcPr>
          <w:p w14:paraId="3A30BC9F">
            <w:pPr>
              <w:spacing w:line="0" w:lineRule="atLeast"/>
              <w:jc w:val="center"/>
              <w:rPr>
                <w:rFonts w:hint="eastAsia" w:eastAsia="宋体"/>
                <w:color w:val="auto"/>
                <w:spacing w:val="-10"/>
                <w:sz w:val="21"/>
                <w:szCs w:val="21"/>
                <w:lang w:eastAsia="zh-CN"/>
              </w:rPr>
            </w:pPr>
            <w:r>
              <w:rPr>
                <w:rFonts w:hint="eastAsia"/>
                <w:color w:val="auto"/>
                <w:spacing w:val="-10"/>
                <w:sz w:val="21"/>
                <w:szCs w:val="21"/>
                <w:lang w:val="en-US" w:eastAsia="zh-CN" w:bidi="ar"/>
              </w:rPr>
              <w:t>5</w:t>
            </w:r>
          </w:p>
        </w:tc>
        <w:tc>
          <w:tcPr>
            <w:tcW w:w="1611" w:type="dxa"/>
            <w:tcBorders>
              <w:tl2br w:val="nil"/>
              <w:tr2bl w:val="nil"/>
            </w:tcBorders>
            <w:noWrap w:val="0"/>
            <w:vAlign w:val="center"/>
          </w:tcPr>
          <w:p w14:paraId="629EA9FD">
            <w:pPr>
              <w:spacing w:line="0" w:lineRule="atLeast"/>
              <w:jc w:val="center"/>
              <w:rPr>
                <w:rFonts w:hint="eastAsia" w:eastAsia="宋体"/>
                <w:color w:val="auto"/>
                <w:spacing w:val="-10"/>
                <w:sz w:val="21"/>
                <w:szCs w:val="21"/>
                <w:lang w:val="en-US" w:eastAsia="zh-CN"/>
              </w:rPr>
            </w:pPr>
            <w:r>
              <w:rPr>
                <w:rFonts w:hint="eastAsia"/>
                <w:color w:val="auto"/>
                <w:spacing w:val="-10"/>
                <w:sz w:val="21"/>
                <w:szCs w:val="21"/>
                <w:lang w:bidi="ar"/>
              </w:rPr>
              <w:t>运输车辆</w:t>
            </w:r>
          </w:p>
        </w:tc>
        <w:tc>
          <w:tcPr>
            <w:tcW w:w="2286" w:type="dxa"/>
            <w:tcBorders>
              <w:tl2br w:val="nil"/>
              <w:tr2bl w:val="nil"/>
            </w:tcBorders>
            <w:noWrap w:val="0"/>
            <w:vAlign w:val="center"/>
          </w:tcPr>
          <w:p w14:paraId="69E0EF81">
            <w:pPr>
              <w:spacing w:line="0" w:lineRule="atLeast"/>
              <w:jc w:val="center"/>
              <w:rPr>
                <w:rFonts w:hint="eastAsia" w:eastAsia="宋体"/>
                <w:color w:val="auto"/>
                <w:spacing w:val="-10"/>
                <w:sz w:val="21"/>
                <w:szCs w:val="21"/>
                <w:lang w:val="en-US" w:eastAsia="zh-CN"/>
              </w:rPr>
            </w:pPr>
            <w:r>
              <w:rPr>
                <w:rFonts w:hint="eastAsia"/>
                <w:color w:val="auto"/>
                <w:spacing w:val="-10"/>
                <w:sz w:val="21"/>
                <w:szCs w:val="21"/>
                <w:lang w:bidi="ar"/>
              </w:rPr>
              <w:t>86/5</w:t>
            </w:r>
          </w:p>
        </w:tc>
      </w:tr>
      <w:tr w14:paraId="2D7823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27" w:type="dxa"/>
            <w:tcBorders>
              <w:tl2br w:val="nil"/>
              <w:tr2bl w:val="nil"/>
            </w:tcBorders>
            <w:noWrap w:val="0"/>
            <w:vAlign w:val="center"/>
          </w:tcPr>
          <w:p w14:paraId="30E88735">
            <w:pPr>
              <w:spacing w:line="0" w:lineRule="atLeast"/>
              <w:jc w:val="center"/>
              <w:rPr>
                <w:rFonts w:hint="eastAsia"/>
                <w:color w:val="auto"/>
                <w:spacing w:val="-10"/>
                <w:sz w:val="21"/>
                <w:szCs w:val="21"/>
              </w:rPr>
            </w:pPr>
            <w:r>
              <w:rPr>
                <w:rFonts w:hint="eastAsia"/>
                <w:color w:val="auto"/>
                <w:spacing w:val="-10"/>
                <w:sz w:val="21"/>
                <w:szCs w:val="21"/>
                <w:lang w:bidi="ar"/>
              </w:rPr>
              <w:t>3</w:t>
            </w:r>
          </w:p>
        </w:tc>
        <w:tc>
          <w:tcPr>
            <w:tcW w:w="1483" w:type="dxa"/>
            <w:tcBorders>
              <w:tl2br w:val="nil"/>
              <w:tr2bl w:val="nil"/>
            </w:tcBorders>
            <w:noWrap w:val="0"/>
            <w:vAlign w:val="center"/>
          </w:tcPr>
          <w:p w14:paraId="10710EB6">
            <w:pPr>
              <w:spacing w:line="0" w:lineRule="atLeast"/>
              <w:jc w:val="center"/>
              <w:rPr>
                <w:rFonts w:hint="eastAsia"/>
                <w:color w:val="auto"/>
                <w:spacing w:val="-10"/>
                <w:sz w:val="21"/>
                <w:szCs w:val="21"/>
              </w:rPr>
            </w:pPr>
            <w:r>
              <w:rPr>
                <w:rFonts w:hint="eastAsia"/>
                <w:color w:val="auto"/>
                <w:spacing w:val="-10"/>
                <w:sz w:val="21"/>
                <w:szCs w:val="21"/>
                <w:lang w:bidi="ar"/>
              </w:rPr>
              <w:t>挖掘机</w:t>
            </w:r>
          </w:p>
        </w:tc>
        <w:tc>
          <w:tcPr>
            <w:tcW w:w="2117" w:type="dxa"/>
            <w:tcBorders>
              <w:tl2br w:val="nil"/>
              <w:tr2bl w:val="nil"/>
            </w:tcBorders>
            <w:noWrap w:val="0"/>
            <w:vAlign w:val="center"/>
          </w:tcPr>
          <w:p w14:paraId="3E449CB4">
            <w:pPr>
              <w:spacing w:line="0" w:lineRule="atLeast"/>
              <w:jc w:val="center"/>
              <w:rPr>
                <w:rFonts w:hint="eastAsia"/>
                <w:color w:val="auto"/>
                <w:spacing w:val="-10"/>
                <w:sz w:val="21"/>
                <w:szCs w:val="21"/>
              </w:rPr>
            </w:pPr>
            <w:r>
              <w:rPr>
                <w:rFonts w:hint="eastAsia"/>
                <w:color w:val="auto"/>
                <w:spacing w:val="-10"/>
                <w:sz w:val="21"/>
                <w:szCs w:val="21"/>
                <w:lang w:bidi="ar"/>
              </w:rPr>
              <w:t>84/5</w:t>
            </w:r>
          </w:p>
        </w:tc>
        <w:tc>
          <w:tcPr>
            <w:tcW w:w="597" w:type="dxa"/>
            <w:tcBorders>
              <w:tl2br w:val="nil"/>
              <w:tr2bl w:val="nil"/>
            </w:tcBorders>
            <w:noWrap w:val="0"/>
            <w:vAlign w:val="center"/>
          </w:tcPr>
          <w:p w14:paraId="60F9FAC3">
            <w:pPr>
              <w:spacing w:line="0" w:lineRule="atLeast"/>
              <w:jc w:val="center"/>
              <w:rPr>
                <w:rFonts w:hint="eastAsia" w:ascii="Times New Roman" w:hAnsi="Times New Roman" w:eastAsia="宋体" w:cs="Times New Roman"/>
                <w:color w:val="auto"/>
                <w:spacing w:val="-10"/>
                <w:kern w:val="2"/>
                <w:sz w:val="21"/>
                <w:szCs w:val="21"/>
                <w:lang w:val="en-US" w:eastAsia="zh-CN" w:bidi="ar-SA"/>
              </w:rPr>
            </w:pPr>
            <w:r>
              <w:rPr>
                <w:rFonts w:hint="eastAsia"/>
                <w:color w:val="auto"/>
                <w:spacing w:val="-10"/>
                <w:sz w:val="21"/>
                <w:szCs w:val="21"/>
              </w:rPr>
              <w:t>—</w:t>
            </w:r>
          </w:p>
        </w:tc>
        <w:tc>
          <w:tcPr>
            <w:tcW w:w="1611" w:type="dxa"/>
            <w:tcBorders>
              <w:tl2br w:val="nil"/>
              <w:tr2bl w:val="nil"/>
            </w:tcBorders>
            <w:noWrap w:val="0"/>
            <w:vAlign w:val="center"/>
          </w:tcPr>
          <w:p w14:paraId="1798B5B7">
            <w:pPr>
              <w:spacing w:line="0" w:lineRule="atLeast"/>
              <w:jc w:val="center"/>
              <w:rPr>
                <w:rFonts w:hint="eastAsia" w:ascii="Times New Roman" w:hAnsi="Times New Roman" w:eastAsia="宋体" w:cs="Times New Roman"/>
                <w:color w:val="auto"/>
                <w:spacing w:val="-10"/>
                <w:kern w:val="2"/>
                <w:sz w:val="21"/>
                <w:szCs w:val="21"/>
                <w:lang w:val="en-US" w:eastAsia="zh-CN" w:bidi="ar-SA"/>
              </w:rPr>
            </w:pPr>
            <w:r>
              <w:rPr>
                <w:rFonts w:hint="eastAsia"/>
                <w:color w:val="auto"/>
                <w:spacing w:val="-10"/>
                <w:sz w:val="21"/>
                <w:szCs w:val="21"/>
              </w:rPr>
              <w:t>—</w:t>
            </w:r>
          </w:p>
        </w:tc>
        <w:tc>
          <w:tcPr>
            <w:tcW w:w="2286" w:type="dxa"/>
            <w:tcBorders>
              <w:tl2br w:val="nil"/>
              <w:tr2bl w:val="nil"/>
            </w:tcBorders>
            <w:noWrap w:val="0"/>
            <w:vAlign w:val="center"/>
          </w:tcPr>
          <w:p w14:paraId="47C546B3">
            <w:pPr>
              <w:spacing w:line="0" w:lineRule="atLeast"/>
              <w:jc w:val="center"/>
              <w:rPr>
                <w:rFonts w:hint="eastAsia" w:ascii="Times New Roman" w:hAnsi="Times New Roman" w:eastAsia="宋体" w:cs="Times New Roman"/>
                <w:color w:val="auto"/>
                <w:spacing w:val="-10"/>
                <w:kern w:val="2"/>
                <w:sz w:val="21"/>
                <w:szCs w:val="21"/>
                <w:lang w:val="en-US" w:eastAsia="zh-CN" w:bidi="ar-SA"/>
              </w:rPr>
            </w:pPr>
            <w:r>
              <w:rPr>
                <w:rFonts w:hint="eastAsia"/>
                <w:color w:val="auto"/>
                <w:spacing w:val="-10"/>
                <w:sz w:val="21"/>
                <w:szCs w:val="21"/>
              </w:rPr>
              <w:t>—</w:t>
            </w:r>
          </w:p>
        </w:tc>
      </w:tr>
    </w:tbl>
    <w:p w14:paraId="1857F0C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（2）施工噪声贡献值</w:t>
      </w:r>
    </w:p>
    <w:p w14:paraId="76B7B87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本评价采用点源衰减模式，预测计算施工机械噪声源至受声点的几何发散衰减，计算中不考虑声屏障、空气吸收等衰减，预测公式如下：</w:t>
      </w:r>
    </w:p>
    <w:p w14:paraId="219490A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lang w:val="pt-BR"/>
        </w:rPr>
      </w:pPr>
      <w:r>
        <w:rPr>
          <w:rFonts w:hint="default" w:ascii="Times New Roman" w:hAnsi="Times New Roman" w:eastAsia="宋体" w:cs="Times New Roman"/>
          <w:color w:val="auto"/>
          <w:sz w:val="24"/>
          <w:szCs w:val="24"/>
          <w:lang w:val="pt-BR"/>
        </w:rPr>
        <w:t>L</w:t>
      </w:r>
      <w:r>
        <w:rPr>
          <w:rFonts w:hint="default" w:ascii="Times New Roman" w:hAnsi="Times New Roman" w:eastAsia="宋体" w:cs="Times New Roman"/>
          <w:color w:val="auto"/>
          <w:sz w:val="24"/>
          <w:szCs w:val="24"/>
          <w:vertAlign w:val="subscript"/>
          <w:lang w:val="pt-BR"/>
        </w:rPr>
        <w:t>r</w:t>
      </w:r>
      <w:r>
        <w:rPr>
          <w:rFonts w:hint="default" w:ascii="Times New Roman" w:hAnsi="Times New Roman" w:eastAsia="宋体" w:cs="Times New Roman"/>
          <w:color w:val="auto"/>
          <w:sz w:val="24"/>
          <w:szCs w:val="24"/>
          <w:lang w:val="pt-BR"/>
        </w:rPr>
        <w:t>=L</w:t>
      </w:r>
      <w:r>
        <w:rPr>
          <w:rFonts w:hint="default" w:ascii="Times New Roman" w:hAnsi="Times New Roman" w:eastAsia="宋体" w:cs="Times New Roman"/>
          <w:color w:val="auto"/>
          <w:sz w:val="24"/>
          <w:szCs w:val="24"/>
          <w:vertAlign w:val="subscript"/>
          <w:lang w:val="pt-BR"/>
        </w:rPr>
        <w:t>ro</w:t>
      </w:r>
      <w:r>
        <w:rPr>
          <w:rFonts w:hint="default" w:ascii="Times New Roman" w:hAnsi="Times New Roman" w:eastAsia="宋体" w:cs="Times New Roman"/>
          <w:color w:val="auto"/>
          <w:sz w:val="24"/>
          <w:szCs w:val="24"/>
          <w:lang w:val="pt-BR"/>
        </w:rPr>
        <w:t>-20lg(r/r</w:t>
      </w:r>
      <w:r>
        <w:rPr>
          <w:rFonts w:hint="default" w:ascii="Times New Roman" w:hAnsi="Times New Roman" w:eastAsia="宋体" w:cs="Times New Roman"/>
          <w:color w:val="auto"/>
          <w:sz w:val="24"/>
          <w:szCs w:val="24"/>
          <w:vertAlign w:val="subscript"/>
          <w:lang w:val="pt-BR"/>
        </w:rPr>
        <w:t>o</w:t>
      </w:r>
      <w:r>
        <w:rPr>
          <w:rFonts w:hint="default" w:ascii="Times New Roman" w:hAnsi="Times New Roman" w:eastAsia="宋体" w:cs="Times New Roman"/>
          <w:color w:val="auto"/>
          <w:sz w:val="24"/>
          <w:szCs w:val="24"/>
          <w:lang w:val="pt-BR"/>
        </w:rPr>
        <w:t>)</w:t>
      </w:r>
    </w:p>
    <w:p w14:paraId="1C36189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式中：L</w:t>
      </w:r>
      <w:r>
        <w:rPr>
          <w:rFonts w:hint="default" w:ascii="Times New Roman" w:hAnsi="Times New Roman" w:eastAsia="宋体" w:cs="Times New Roman"/>
          <w:color w:val="auto"/>
          <w:sz w:val="24"/>
          <w:szCs w:val="24"/>
          <w:vertAlign w:val="subscript"/>
        </w:rPr>
        <w:t>r</w:t>
      </w:r>
      <w:r>
        <w:rPr>
          <w:rFonts w:hint="default" w:ascii="Times New Roman" w:hAnsi="Times New Roman" w:eastAsia="宋体" w:cs="Times New Roman"/>
          <w:color w:val="auto"/>
          <w:sz w:val="24"/>
          <w:szCs w:val="24"/>
        </w:rPr>
        <w:t>——距声源r处的A声压级，dB(A)；</w:t>
      </w:r>
    </w:p>
    <w:p w14:paraId="59DB236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L</w:t>
      </w:r>
      <w:r>
        <w:rPr>
          <w:rFonts w:hint="default" w:ascii="Times New Roman" w:hAnsi="Times New Roman" w:eastAsia="宋体" w:cs="Times New Roman"/>
          <w:color w:val="auto"/>
          <w:sz w:val="24"/>
          <w:szCs w:val="24"/>
          <w:vertAlign w:val="subscript"/>
        </w:rPr>
        <w:t>ro</w:t>
      </w:r>
      <w:r>
        <w:rPr>
          <w:rFonts w:hint="default" w:ascii="Times New Roman" w:hAnsi="Times New Roman" w:eastAsia="宋体" w:cs="Times New Roman"/>
          <w:color w:val="auto"/>
          <w:sz w:val="24"/>
          <w:szCs w:val="24"/>
        </w:rPr>
        <w:t>——距声源r</w:t>
      </w:r>
      <w:r>
        <w:rPr>
          <w:rFonts w:hint="default" w:ascii="Times New Roman" w:hAnsi="Times New Roman" w:eastAsia="宋体" w:cs="Times New Roman"/>
          <w:color w:val="auto"/>
          <w:sz w:val="24"/>
          <w:szCs w:val="24"/>
          <w:vertAlign w:val="subscript"/>
        </w:rPr>
        <w:t>o</w:t>
      </w:r>
      <w:r>
        <w:rPr>
          <w:rFonts w:hint="default" w:ascii="Times New Roman" w:hAnsi="Times New Roman" w:eastAsia="宋体" w:cs="Times New Roman"/>
          <w:color w:val="auto"/>
          <w:sz w:val="24"/>
          <w:szCs w:val="24"/>
        </w:rPr>
        <w:t>处的A声压级，dB(A)；</w:t>
      </w:r>
    </w:p>
    <w:p w14:paraId="661D36B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r ——预测点与声源的距离，m；</w:t>
      </w:r>
    </w:p>
    <w:p w14:paraId="3FF4193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r</w:t>
      </w:r>
      <w:r>
        <w:rPr>
          <w:rFonts w:hint="default" w:ascii="Times New Roman" w:hAnsi="Times New Roman" w:eastAsia="宋体" w:cs="Times New Roman"/>
          <w:color w:val="auto"/>
          <w:sz w:val="24"/>
          <w:szCs w:val="24"/>
          <w:vertAlign w:val="subscript"/>
        </w:rPr>
        <w:t>o</w:t>
      </w:r>
      <w:r>
        <w:rPr>
          <w:rFonts w:hint="default" w:ascii="Times New Roman" w:hAnsi="Times New Roman" w:eastAsia="宋体" w:cs="Times New Roman"/>
          <w:color w:val="auto"/>
          <w:sz w:val="24"/>
          <w:szCs w:val="24"/>
        </w:rPr>
        <w:t>——监测设备噪声时的距离，m。</w:t>
      </w:r>
    </w:p>
    <w:p w14:paraId="6153243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利用上述公式，预测计算拟建工程主要施工机械在不同距离处的贡献值，预测计算结果见表5.</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rPr>
        <w:t>-2。</w:t>
      </w:r>
    </w:p>
    <w:p w14:paraId="74EC68E5">
      <w:pPr>
        <w:pStyle w:val="61"/>
        <w:bidi w:val="0"/>
        <w:jc w:val="both"/>
        <w:rPr>
          <w:rFonts w:hint="eastAsia"/>
          <w:color w:val="auto"/>
          <w:lang w:val="en-US" w:eastAsia="zh-CN"/>
        </w:rPr>
      </w:pPr>
      <w:r>
        <w:rPr>
          <w:rFonts w:hint="eastAsia"/>
          <w:color w:val="auto"/>
          <w:lang w:val="en-US" w:eastAsia="zh-CN"/>
        </w:rPr>
        <w:t xml:space="preserve">表5.5-2     </w:t>
      </w:r>
      <w:r>
        <w:rPr>
          <w:rFonts w:hint="eastAsia"/>
          <w:color w:val="auto"/>
          <w:lang w:val="zh-CN" w:eastAsia="zh-CN"/>
        </w:rPr>
        <w:t xml:space="preserve"> 主要施工机械在不同距离处的噪声贡献值</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419"/>
        <w:gridCol w:w="1650"/>
        <w:gridCol w:w="802"/>
        <w:gridCol w:w="802"/>
        <w:gridCol w:w="802"/>
        <w:gridCol w:w="802"/>
        <w:gridCol w:w="802"/>
        <w:gridCol w:w="802"/>
        <w:gridCol w:w="812"/>
        <w:gridCol w:w="981"/>
      </w:tblGrid>
      <w:tr w14:paraId="6FEDFD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242" w:type="pct"/>
            <w:vMerge w:val="restart"/>
            <w:tcBorders>
              <w:tl2br w:val="nil"/>
              <w:tr2bl w:val="nil"/>
            </w:tcBorders>
            <w:noWrap w:val="0"/>
            <w:vAlign w:val="center"/>
          </w:tcPr>
          <w:p w14:paraId="465BDA6A">
            <w:pPr>
              <w:spacing w:line="0" w:lineRule="atLeast"/>
              <w:jc w:val="center"/>
              <w:rPr>
                <w:rFonts w:hint="eastAsia"/>
                <w:color w:val="auto"/>
                <w:spacing w:val="-10"/>
                <w:sz w:val="21"/>
                <w:szCs w:val="21"/>
              </w:rPr>
            </w:pPr>
            <w:r>
              <w:rPr>
                <w:rFonts w:hint="eastAsia"/>
                <w:color w:val="auto"/>
                <w:spacing w:val="-10"/>
                <w:sz w:val="21"/>
                <w:szCs w:val="21"/>
                <w:lang w:bidi="ar"/>
              </w:rPr>
              <w:t>序号</w:t>
            </w:r>
          </w:p>
        </w:tc>
        <w:tc>
          <w:tcPr>
            <w:tcW w:w="951" w:type="pct"/>
            <w:vMerge w:val="restart"/>
            <w:tcBorders>
              <w:tl2br w:val="nil"/>
              <w:tr2bl w:val="nil"/>
            </w:tcBorders>
            <w:noWrap w:val="0"/>
            <w:vAlign w:val="center"/>
          </w:tcPr>
          <w:p w14:paraId="0A8BCEDA">
            <w:pPr>
              <w:spacing w:line="0" w:lineRule="atLeast"/>
              <w:jc w:val="center"/>
              <w:rPr>
                <w:rFonts w:hint="eastAsia"/>
                <w:color w:val="auto"/>
                <w:spacing w:val="-10"/>
                <w:sz w:val="21"/>
                <w:szCs w:val="21"/>
              </w:rPr>
            </w:pPr>
            <w:r>
              <w:rPr>
                <w:rFonts w:hint="eastAsia"/>
                <w:color w:val="auto"/>
                <w:spacing w:val="-10"/>
                <w:sz w:val="21"/>
                <w:szCs w:val="21"/>
                <w:lang w:bidi="ar"/>
              </w:rPr>
              <w:t>机  械</w:t>
            </w:r>
          </w:p>
        </w:tc>
        <w:tc>
          <w:tcPr>
            <w:tcW w:w="3240" w:type="pct"/>
            <w:gridSpan w:val="7"/>
            <w:tcBorders>
              <w:tl2br w:val="nil"/>
              <w:tr2bl w:val="nil"/>
            </w:tcBorders>
            <w:noWrap w:val="0"/>
            <w:tcMar>
              <w:left w:w="57" w:type="dxa"/>
              <w:right w:w="57" w:type="dxa"/>
            </w:tcMar>
            <w:vAlign w:val="center"/>
          </w:tcPr>
          <w:p w14:paraId="0FF3D5A0">
            <w:pPr>
              <w:spacing w:line="0" w:lineRule="atLeast"/>
              <w:jc w:val="center"/>
              <w:rPr>
                <w:rFonts w:hint="eastAsia"/>
                <w:color w:val="auto"/>
                <w:spacing w:val="-10"/>
                <w:sz w:val="21"/>
                <w:szCs w:val="21"/>
              </w:rPr>
            </w:pPr>
            <w:r>
              <w:rPr>
                <w:rFonts w:hint="eastAsia"/>
                <w:color w:val="auto"/>
                <w:spacing w:val="-10"/>
                <w:sz w:val="21"/>
                <w:szCs w:val="21"/>
                <w:lang w:bidi="ar"/>
              </w:rPr>
              <w:t>不同距离处的噪声贡献值[dB(A)]</w:t>
            </w:r>
          </w:p>
        </w:tc>
        <w:tc>
          <w:tcPr>
            <w:tcW w:w="565" w:type="pct"/>
            <w:vMerge w:val="restart"/>
            <w:tcBorders>
              <w:tl2br w:val="nil"/>
              <w:tr2bl w:val="nil"/>
            </w:tcBorders>
            <w:noWrap w:val="0"/>
            <w:vAlign w:val="center"/>
          </w:tcPr>
          <w:p w14:paraId="2E279C1D">
            <w:pPr>
              <w:spacing w:line="0" w:lineRule="atLeast"/>
              <w:jc w:val="center"/>
              <w:rPr>
                <w:rFonts w:hint="eastAsia"/>
                <w:color w:val="auto"/>
                <w:spacing w:val="-10"/>
                <w:sz w:val="21"/>
                <w:szCs w:val="21"/>
              </w:rPr>
            </w:pPr>
            <w:r>
              <w:rPr>
                <w:rFonts w:hint="eastAsia"/>
                <w:color w:val="auto"/>
                <w:spacing w:val="-10"/>
                <w:sz w:val="21"/>
                <w:szCs w:val="21"/>
                <w:lang w:bidi="ar"/>
              </w:rPr>
              <w:t>施工</w:t>
            </w:r>
          </w:p>
          <w:p w14:paraId="583E1300">
            <w:pPr>
              <w:spacing w:line="0" w:lineRule="atLeast"/>
              <w:jc w:val="center"/>
              <w:rPr>
                <w:rFonts w:hint="eastAsia"/>
                <w:color w:val="auto"/>
                <w:spacing w:val="-10"/>
                <w:sz w:val="21"/>
                <w:szCs w:val="21"/>
              </w:rPr>
            </w:pPr>
            <w:r>
              <w:rPr>
                <w:rFonts w:hint="eastAsia"/>
                <w:color w:val="auto"/>
                <w:spacing w:val="-10"/>
                <w:sz w:val="21"/>
                <w:szCs w:val="21"/>
                <w:lang w:bidi="ar"/>
              </w:rPr>
              <w:t>阶段</w:t>
            </w:r>
          </w:p>
        </w:tc>
      </w:tr>
      <w:tr w14:paraId="24B5E1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242" w:type="pct"/>
            <w:vMerge w:val="continue"/>
            <w:tcBorders>
              <w:tl2br w:val="nil"/>
              <w:tr2bl w:val="nil"/>
            </w:tcBorders>
            <w:noWrap w:val="0"/>
            <w:vAlign w:val="center"/>
          </w:tcPr>
          <w:p w14:paraId="79FEF211">
            <w:pPr>
              <w:spacing w:line="0" w:lineRule="atLeast"/>
              <w:jc w:val="center"/>
              <w:rPr>
                <w:rFonts w:hint="eastAsia"/>
                <w:color w:val="auto"/>
                <w:spacing w:val="-10"/>
                <w:sz w:val="21"/>
                <w:szCs w:val="21"/>
              </w:rPr>
            </w:pPr>
          </w:p>
        </w:tc>
        <w:tc>
          <w:tcPr>
            <w:tcW w:w="951" w:type="pct"/>
            <w:vMerge w:val="continue"/>
            <w:tcBorders>
              <w:tl2br w:val="nil"/>
              <w:tr2bl w:val="nil"/>
            </w:tcBorders>
            <w:noWrap w:val="0"/>
            <w:vAlign w:val="center"/>
          </w:tcPr>
          <w:p w14:paraId="3DC1DAD6">
            <w:pPr>
              <w:spacing w:line="0" w:lineRule="atLeast"/>
              <w:jc w:val="center"/>
              <w:rPr>
                <w:rFonts w:hint="eastAsia"/>
                <w:color w:val="auto"/>
                <w:spacing w:val="-10"/>
                <w:sz w:val="21"/>
                <w:szCs w:val="21"/>
              </w:rPr>
            </w:pPr>
          </w:p>
        </w:tc>
        <w:tc>
          <w:tcPr>
            <w:tcW w:w="462" w:type="pct"/>
            <w:tcBorders>
              <w:tl2br w:val="nil"/>
              <w:tr2bl w:val="nil"/>
            </w:tcBorders>
            <w:noWrap w:val="0"/>
            <w:tcMar>
              <w:left w:w="57" w:type="dxa"/>
              <w:right w:w="57" w:type="dxa"/>
            </w:tcMar>
            <w:vAlign w:val="center"/>
          </w:tcPr>
          <w:p w14:paraId="79E1247B">
            <w:pPr>
              <w:spacing w:line="0" w:lineRule="atLeast"/>
              <w:jc w:val="center"/>
              <w:rPr>
                <w:rFonts w:hint="eastAsia"/>
                <w:color w:val="auto"/>
                <w:spacing w:val="-10"/>
                <w:sz w:val="21"/>
                <w:szCs w:val="21"/>
              </w:rPr>
            </w:pPr>
            <w:r>
              <w:rPr>
                <w:rFonts w:hint="eastAsia"/>
                <w:color w:val="auto"/>
                <w:spacing w:val="-10"/>
                <w:sz w:val="21"/>
                <w:szCs w:val="21"/>
                <w:lang w:bidi="ar"/>
              </w:rPr>
              <w:t>40m</w:t>
            </w:r>
          </w:p>
        </w:tc>
        <w:tc>
          <w:tcPr>
            <w:tcW w:w="462" w:type="pct"/>
            <w:tcBorders>
              <w:tl2br w:val="nil"/>
              <w:tr2bl w:val="nil"/>
            </w:tcBorders>
            <w:noWrap w:val="0"/>
            <w:tcMar>
              <w:left w:w="57" w:type="dxa"/>
              <w:right w:w="57" w:type="dxa"/>
            </w:tcMar>
            <w:vAlign w:val="center"/>
          </w:tcPr>
          <w:p w14:paraId="4874DCB0">
            <w:pPr>
              <w:spacing w:line="0" w:lineRule="atLeast"/>
              <w:jc w:val="center"/>
              <w:rPr>
                <w:rFonts w:hint="eastAsia"/>
                <w:color w:val="auto"/>
                <w:spacing w:val="-10"/>
                <w:sz w:val="21"/>
                <w:szCs w:val="21"/>
              </w:rPr>
            </w:pPr>
            <w:r>
              <w:rPr>
                <w:rFonts w:hint="eastAsia"/>
                <w:color w:val="auto"/>
                <w:spacing w:val="-10"/>
                <w:sz w:val="21"/>
                <w:szCs w:val="21"/>
                <w:lang w:bidi="ar"/>
              </w:rPr>
              <w:t>60m</w:t>
            </w:r>
          </w:p>
        </w:tc>
        <w:tc>
          <w:tcPr>
            <w:tcW w:w="462" w:type="pct"/>
            <w:tcBorders>
              <w:tl2br w:val="nil"/>
              <w:tr2bl w:val="nil"/>
            </w:tcBorders>
            <w:noWrap w:val="0"/>
            <w:tcMar>
              <w:left w:w="57" w:type="dxa"/>
              <w:right w:w="57" w:type="dxa"/>
            </w:tcMar>
            <w:vAlign w:val="center"/>
          </w:tcPr>
          <w:p w14:paraId="7187C655">
            <w:pPr>
              <w:spacing w:line="0" w:lineRule="atLeast"/>
              <w:jc w:val="center"/>
              <w:rPr>
                <w:rFonts w:hint="eastAsia"/>
                <w:color w:val="auto"/>
                <w:spacing w:val="-10"/>
                <w:sz w:val="21"/>
                <w:szCs w:val="21"/>
              </w:rPr>
            </w:pPr>
            <w:r>
              <w:rPr>
                <w:rFonts w:hint="eastAsia"/>
                <w:color w:val="auto"/>
                <w:spacing w:val="-10"/>
                <w:sz w:val="21"/>
                <w:szCs w:val="21"/>
                <w:lang w:bidi="ar"/>
              </w:rPr>
              <w:t>100m</w:t>
            </w:r>
          </w:p>
        </w:tc>
        <w:tc>
          <w:tcPr>
            <w:tcW w:w="462" w:type="pct"/>
            <w:tcBorders>
              <w:tl2br w:val="nil"/>
              <w:tr2bl w:val="nil"/>
            </w:tcBorders>
            <w:noWrap w:val="0"/>
            <w:tcMar>
              <w:left w:w="57" w:type="dxa"/>
              <w:right w:w="57" w:type="dxa"/>
            </w:tcMar>
            <w:vAlign w:val="center"/>
          </w:tcPr>
          <w:p w14:paraId="48588F9B">
            <w:pPr>
              <w:spacing w:line="0" w:lineRule="atLeast"/>
              <w:jc w:val="center"/>
              <w:rPr>
                <w:rFonts w:hint="eastAsia"/>
                <w:color w:val="auto"/>
                <w:spacing w:val="-10"/>
                <w:sz w:val="21"/>
                <w:szCs w:val="21"/>
              </w:rPr>
            </w:pPr>
            <w:r>
              <w:rPr>
                <w:rFonts w:hint="eastAsia"/>
                <w:color w:val="auto"/>
                <w:spacing w:val="-10"/>
                <w:sz w:val="21"/>
                <w:szCs w:val="21"/>
                <w:lang w:bidi="ar"/>
              </w:rPr>
              <w:t>200m</w:t>
            </w:r>
          </w:p>
        </w:tc>
        <w:tc>
          <w:tcPr>
            <w:tcW w:w="462" w:type="pct"/>
            <w:tcBorders>
              <w:tl2br w:val="nil"/>
              <w:tr2bl w:val="nil"/>
            </w:tcBorders>
            <w:noWrap w:val="0"/>
            <w:tcMar>
              <w:left w:w="57" w:type="dxa"/>
              <w:right w:w="57" w:type="dxa"/>
            </w:tcMar>
            <w:vAlign w:val="center"/>
          </w:tcPr>
          <w:p w14:paraId="6DAA04B3">
            <w:pPr>
              <w:spacing w:line="0" w:lineRule="atLeast"/>
              <w:jc w:val="center"/>
              <w:rPr>
                <w:rFonts w:hint="eastAsia"/>
                <w:color w:val="auto"/>
                <w:spacing w:val="-10"/>
                <w:sz w:val="21"/>
                <w:szCs w:val="21"/>
              </w:rPr>
            </w:pPr>
            <w:r>
              <w:rPr>
                <w:rFonts w:hint="eastAsia"/>
                <w:color w:val="auto"/>
                <w:spacing w:val="-10"/>
                <w:sz w:val="21"/>
                <w:szCs w:val="21"/>
                <w:lang w:bidi="ar"/>
              </w:rPr>
              <w:t>300m</w:t>
            </w:r>
          </w:p>
        </w:tc>
        <w:tc>
          <w:tcPr>
            <w:tcW w:w="462" w:type="pct"/>
            <w:tcBorders>
              <w:tl2br w:val="nil"/>
              <w:tr2bl w:val="nil"/>
            </w:tcBorders>
            <w:noWrap w:val="0"/>
            <w:tcMar>
              <w:left w:w="57" w:type="dxa"/>
              <w:right w:w="57" w:type="dxa"/>
            </w:tcMar>
            <w:vAlign w:val="center"/>
          </w:tcPr>
          <w:p w14:paraId="57084712">
            <w:pPr>
              <w:spacing w:line="0" w:lineRule="atLeast"/>
              <w:jc w:val="center"/>
              <w:rPr>
                <w:rFonts w:hint="eastAsia"/>
                <w:color w:val="auto"/>
                <w:spacing w:val="-10"/>
                <w:sz w:val="21"/>
                <w:szCs w:val="21"/>
              </w:rPr>
            </w:pPr>
            <w:r>
              <w:rPr>
                <w:rFonts w:hint="eastAsia"/>
                <w:color w:val="auto"/>
                <w:spacing w:val="-10"/>
                <w:sz w:val="21"/>
                <w:szCs w:val="21"/>
                <w:lang w:bidi="ar"/>
              </w:rPr>
              <w:t>400m</w:t>
            </w:r>
          </w:p>
        </w:tc>
        <w:tc>
          <w:tcPr>
            <w:tcW w:w="466" w:type="pct"/>
            <w:tcBorders>
              <w:tl2br w:val="nil"/>
              <w:tr2bl w:val="nil"/>
            </w:tcBorders>
            <w:noWrap w:val="0"/>
            <w:vAlign w:val="center"/>
          </w:tcPr>
          <w:p w14:paraId="75CAFEFE">
            <w:pPr>
              <w:spacing w:line="0" w:lineRule="atLeast"/>
              <w:jc w:val="center"/>
              <w:rPr>
                <w:rFonts w:hint="eastAsia"/>
                <w:color w:val="auto"/>
                <w:spacing w:val="-10"/>
                <w:sz w:val="21"/>
                <w:szCs w:val="21"/>
              </w:rPr>
            </w:pPr>
            <w:r>
              <w:rPr>
                <w:rFonts w:hint="eastAsia"/>
                <w:color w:val="auto"/>
                <w:spacing w:val="-10"/>
                <w:sz w:val="21"/>
                <w:szCs w:val="21"/>
                <w:lang w:bidi="ar"/>
              </w:rPr>
              <w:t>500m</w:t>
            </w:r>
          </w:p>
        </w:tc>
        <w:tc>
          <w:tcPr>
            <w:tcW w:w="565" w:type="pct"/>
            <w:vMerge w:val="continue"/>
            <w:tcBorders>
              <w:tl2br w:val="nil"/>
              <w:tr2bl w:val="nil"/>
            </w:tcBorders>
            <w:noWrap w:val="0"/>
            <w:vAlign w:val="center"/>
          </w:tcPr>
          <w:p w14:paraId="2267D3F2">
            <w:pPr>
              <w:spacing w:line="0" w:lineRule="atLeast"/>
              <w:jc w:val="center"/>
              <w:rPr>
                <w:rFonts w:hint="eastAsia"/>
                <w:color w:val="auto"/>
                <w:spacing w:val="-10"/>
                <w:sz w:val="21"/>
                <w:szCs w:val="21"/>
              </w:rPr>
            </w:pPr>
          </w:p>
        </w:tc>
      </w:tr>
      <w:tr w14:paraId="05405B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242" w:type="pct"/>
            <w:tcBorders>
              <w:tl2br w:val="nil"/>
              <w:tr2bl w:val="nil"/>
            </w:tcBorders>
            <w:noWrap w:val="0"/>
            <w:vAlign w:val="center"/>
          </w:tcPr>
          <w:p w14:paraId="21B69D02">
            <w:pPr>
              <w:spacing w:line="0" w:lineRule="atLeast"/>
              <w:jc w:val="center"/>
              <w:rPr>
                <w:rFonts w:hint="eastAsia"/>
                <w:color w:val="auto"/>
                <w:spacing w:val="-10"/>
                <w:sz w:val="21"/>
                <w:szCs w:val="21"/>
              </w:rPr>
            </w:pPr>
            <w:r>
              <w:rPr>
                <w:rFonts w:hint="eastAsia"/>
                <w:color w:val="auto"/>
                <w:spacing w:val="-10"/>
                <w:sz w:val="21"/>
                <w:szCs w:val="21"/>
                <w:lang w:bidi="ar"/>
              </w:rPr>
              <w:t>1</w:t>
            </w:r>
          </w:p>
        </w:tc>
        <w:tc>
          <w:tcPr>
            <w:tcW w:w="951" w:type="pct"/>
            <w:tcBorders>
              <w:tl2br w:val="nil"/>
              <w:tr2bl w:val="nil"/>
            </w:tcBorders>
            <w:noWrap w:val="0"/>
            <w:vAlign w:val="center"/>
          </w:tcPr>
          <w:p w14:paraId="2DD6456C">
            <w:pPr>
              <w:spacing w:line="0" w:lineRule="atLeast"/>
              <w:jc w:val="center"/>
              <w:rPr>
                <w:rFonts w:hint="eastAsia"/>
                <w:color w:val="auto"/>
                <w:spacing w:val="-10"/>
                <w:sz w:val="21"/>
                <w:szCs w:val="21"/>
              </w:rPr>
            </w:pPr>
            <w:r>
              <w:rPr>
                <w:rFonts w:hint="eastAsia"/>
                <w:color w:val="auto"/>
                <w:spacing w:val="-10"/>
                <w:sz w:val="21"/>
                <w:szCs w:val="21"/>
                <w:lang w:bidi="ar"/>
              </w:rPr>
              <w:t>装载机</w:t>
            </w:r>
          </w:p>
        </w:tc>
        <w:tc>
          <w:tcPr>
            <w:tcW w:w="462" w:type="pct"/>
            <w:tcBorders>
              <w:tl2br w:val="nil"/>
              <w:tr2bl w:val="nil"/>
            </w:tcBorders>
            <w:noWrap w:val="0"/>
            <w:tcMar>
              <w:left w:w="57" w:type="dxa"/>
              <w:right w:w="57" w:type="dxa"/>
            </w:tcMar>
            <w:vAlign w:val="center"/>
          </w:tcPr>
          <w:p w14:paraId="1F87E8FF">
            <w:pPr>
              <w:spacing w:line="0" w:lineRule="atLeast"/>
              <w:jc w:val="center"/>
              <w:rPr>
                <w:rFonts w:hint="eastAsia"/>
                <w:color w:val="auto"/>
                <w:spacing w:val="-10"/>
                <w:sz w:val="21"/>
                <w:szCs w:val="21"/>
              </w:rPr>
            </w:pPr>
            <w:r>
              <w:rPr>
                <w:rFonts w:hint="eastAsia"/>
                <w:color w:val="auto"/>
                <w:spacing w:val="-10"/>
                <w:sz w:val="21"/>
                <w:szCs w:val="21"/>
                <w:lang w:bidi="ar"/>
              </w:rPr>
              <w:t>74.9</w:t>
            </w:r>
          </w:p>
        </w:tc>
        <w:tc>
          <w:tcPr>
            <w:tcW w:w="462" w:type="pct"/>
            <w:tcBorders>
              <w:tl2br w:val="nil"/>
              <w:tr2bl w:val="nil"/>
            </w:tcBorders>
            <w:noWrap w:val="0"/>
            <w:tcMar>
              <w:left w:w="57" w:type="dxa"/>
              <w:right w:w="57" w:type="dxa"/>
            </w:tcMar>
            <w:vAlign w:val="center"/>
          </w:tcPr>
          <w:p w14:paraId="534AC0C5">
            <w:pPr>
              <w:spacing w:line="0" w:lineRule="atLeast"/>
              <w:jc w:val="center"/>
              <w:rPr>
                <w:rFonts w:hint="eastAsia"/>
                <w:color w:val="auto"/>
                <w:spacing w:val="-10"/>
                <w:sz w:val="21"/>
                <w:szCs w:val="21"/>
              </w:rPr>
            </w:pPr>
            <w:r>
              <w:rPr>
                <w:rFonts w:hint="eastAsia"/>
                <w:color w:val="auto"/>
                <w:spacing w:val="-10"/>
                <w:sz w:val="21"/>
                <w:szCs w:val="21"/>
              </w:rPr>
              <w:t>71.4</w:t>
            </w:r>
          </w:p>
        </w:tc>
        <w:tc>
          <w:tcPr>
            <w:tcW w:w="462" w:type="pct"/>
            <w:tcBorders>
              <w:tl2br w:val="nil"/>
              <w:tr2bl w:val="nil"/>
            </w:tcBorders>
            <w:noWrap w:val="0"/>
            <w:tcMar>
              <w:left w:w="57" w:type="dxa"/>
              <w:right w:w="57" w:type="dxa"/>
            </w:tcMar>
            <w:vAlign w:val="center"/>
          </w:tcPr>
          <w:p w14:paraId="11E66E6A">
            <w:pPr>
              <w:spacing w:line="0" w:lineRule="atLeast"/>
              <w:jc w:val="center"/>
              <w:rPr>
                <w:rFonts w:hint="eastAsia"/>
                <w:color w:val="auto"/>
                <w:spacing w:val="-10"/>
                <w:sz w:val="21"/>
                <w:szCs w:val="21"/>
              </w:rPr>
            </w:pPr>
            <w:r>
              <w:rPr>
                <w:rFonts w:hint="eastAsia"/>
                <w:color w:val="auto"/>
                <w:spacing w:val="-10"/>
                <w:sz w:val="21"/>
                <w:szCs w:val="21"/>
              </w:rPr>
              <w:t>67.0</w:t>
            </w:r>
          </w:p>
        </w:tc>
        <w:tc>
          <w:tcPr>
            <w:tcW w:w="462" w:type="pct"/>
            <w:tcBorders>
              <w:tl2br w:val="nil"/>
              <w:tr2bl w:val="nil"/>
            </w:tcBorders>
            <w:noWrap w:val="0"/>
            <w:tcMar>
              <w:left w:w="57" w:type="dxa"/>
              <w:right w:w="57" w:type="dxa"/>
            </w:tcMar>
            <w:vAlign w:val="center"/>
          </w:tcPr>
          <w:p w14:paraId="7453109A">
            <w:pPr>
              <w:spacing w:line="0" w:lineRule="atLeast"/>
              <w:jc w:val="center"/>
              <w:rPr>
                <w:rFonts w:hint="eastAsia"/>
                <w:color w:val="auto"/>
                <w:spacing w:val="-10"/>
                <w:sz w:val="21"/>
                <w:szCs w:val="21"/>
              </w:rPr>
            </w:pPr>
            <w:r>
              <w:rPr>
                <w:rFonts w:hint="eastAsia"/>
                <w:color w:val="auto"/>
                <w:spacing w:val="-10"/>
                <w:sz w:val="21"/>
                <w:szCs w:val="21"/>
              </w:rPr>
              <w:t>61.0</w:t>
            </w:r>
          </w:p>
        </w:tc>
        <w:tc>
          <w:tcPr>
            <w:tcW w:w="462" w:type="pct"/>
            <w:tcBorders>
              <w:tl2br w:val="nil"/>
              <w:tr2bl w:val="nil"/>
            </w:tcBorders>
            <w:noWrap w:val="0"/>
            <w:tcMar>
              <w:left w:w="57" w:type="dxa"/>
              <w:right w:w="57" w:type="dxa"/>
            </w:tcMar>
            <w:vAlign w:val="center"/>
          </w:tcPr>
          <w:p w14:paraId="226E6664">
            <w:pPr>
              <w:spacing w:line="0" w:lineRule="atLeast"/>
              <w:jc w:val="center"/>
              <w:rPr>
                <w:rFonts w:hint="eastAsia"/>
                <w:color w:val="auto"/>
                <w:spacing w:val="-10"/>
                <w:sz w:val="21"/>
                <w:szCs w:val="21"/>
              </w:rPr>
            </w:pPr>
            <w:r>
              <w:rPr>
                <w:rFonts w:hint="eastAsia"/>
                <w:color w:val="auto"/>
                <w:spacing w:val="-10"/>
                <w:sz w:val="21"/>
                <w:szCs w:val="21"/>
              </w:rPr>
              <w:t>57.4</w:t>
            </w:r>
          </w:p>
        </w:tc>
        <w:tc>
          <w:tcPr>
            <w:tcW w:w="462" w:type="pct"/>
            <w:tcBorders>
              <w:tl2br w:val="nil"/>
              <w:tr2bl w:val="nil"/>
            </w:tcBorders>
            <w:noWrap w:val="0"/>
            <w:tcMar>
              <w:left w:w="57" w:type="dxa"/>
              <w:right w:w="57" w:type="dxa"/>
            </w:tcMar>
            <w:vAlign w:val="center"/>
          </w:tcPr>
          <w:p w14:paraId="6445A2ED">
            <w:pPr>
              <w:spacing w:line="0" w:lineRule="atLeast"/>
              <w:jc w:val="center"/>
              <w:rPr>
                <w:rFonts w:hint="eastAsia"/>
                <w:color w:val="auto"/>
                <w:spacing w:val="-10"/>
                <w:sz w:val="21"/>
                <w:szCs w:val="21"/>
              </w:rPr>
            </w:pPr>
            <w:r>
              <w:rPr>
                <w:rFonts w:hint="eastAsia"/>
                <w:color w:val="auto"/>
                <w:spacing w:val="-10"/>
                <w:sz w:val="21"/>
                <w:szCs w:val="21"/>
              </w:rPr>
              <w:t>54.9</w:t>
            </w:r>
          </w:p>
        </w:tc>
        <w:tc>
          <w:tcPr>
            <w:tcW w:w="466" w:type="pct"/>
            <w:tcBorders>
              <w:tl2br w:val="nil"/>
              <w:tr2bl w:val="nil"/>
            </w:tcBorders>
            <w:noWrap w:val="0"/>
            <w:vAlign w:val="center"/>
          </w:tcPr>
          <w:p w14:paraId="60A03331">
            <w:pPr>
              <w:spacing w:line="0" w:lineRule="atLeast"/>
              <w:jc w:val="center"/>
              <w:rPr>
                <w:rFonts w:hint="eastAsia"/>
                <w:color w:val="auto"/>
                <w:spacing w:val="-10"/>
                <w:sz w:val="21"/>
                <w:szCs w:val="21"/>
              </w:rPr>
            </w:pPr>
            <w:r>
              <w:rPr>
                <w:rFonts w:hint="eastAsia"/>
                <w:color w:val="auto"/>
                <w:spacing w:val="-10"/>
                <w:sz w:val="21"/>
                <w:szCs w:val="21"/>
              </w:rPr>
              <w:t>53.0</w:t>
            </w:r>
          </w:p>
        </w:tc>
        <w:tc>
          <w:tcPr>
            <w:tcW w:w="565" w:type="pct"/>
            <w:vMerge w:val="restart"/>
            <w:tcBorders>
              <w:tl2br w:val="nil"/>
              <w:tr2bl w:val="nil"/>
            </w:tcBorders>
            <w:noWrap w:val="0"/>
            <w:vAlign w:val="center"/>
          </w:tcPr>
          <w:p w14:paraId="13C53E9D">
            <w:pPr>
              <w:spacing w:line="0" w:lineRule="atLeast"/>
              <w:jc w:val="center"/>
              <w:rPr>
                <w:rFonts w:hint="eastAsia"/>
                <w:color w:val="auto"/>
                <w:spacing w:val="-10"/>
                <w:sz w:val="21"/>
                <w:szCs w:val="21"/>
                <w:lang w:bidi="ar"/>
              </w:rPr>
            </w:pPr>
            <w:r>
              <w:rPr>
                <w:rFonts w:hint="eastAsia"/>
                <w:color w:val="auto"/>
                <w:spacing w:val="-10"/>
                <w:sz w:val="21"/>
                <w:szCs w:val="21"/>
                <w:lang w:bidi="ar"/>
              </w:rPr>
              <w:t>土石方</w:t>
            </w:r>
          </w:p>
          <w:p w14:paraId="4A56B2BA">
            <w:pPr>
              <w:spacing w:line="0" w:lineRule="atLeast"/>
              <w:jc w:val="center"/>
              <w:rPr>
                <w:rFonts w:hint="eastAsia"/>
                <w:color w:val="auto"/>
                <w:spacing w:val="-10"/>
                <w:sz w:val="21"/>
                <w:szCs w:val="21"/>
                <w:lang w:bidi="ar"/>
              </w:rPr>
            </w:pPr>
            <w:r>
              <w:rPr>
                <w:rFonts w:hint="eastAsia"/>
                <w:color w:val="auto"/>
                <w:spacing w:val="-10"/>
                <w:sz w:val="21"/>
                <w:szCs w:val="21"/>
                <w:lang w:bidi="ar"/>
              </w:rPr>
              <w:t>道路管线</w:t>
            </w:r>
          </w:p>
        </w:tc>
      </w:tr>
      <w:tr w14:paraId="499309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242" w:type="pct"/>
            <w:tcBorders>
              <w:tl2br w:val="nil"/>
              <w:tr2bl w:val="nil"/>
            </w:tcBorders>
            <w:noWrap w:val="0"/>
            <w:vAlign w:val="center"/>
          </w:tcPr>
          <w:p w14:paraId="3AC61E27">
            <w:pPr>
              <w:spacing w:line="0" w:lineRule="atLeast"/>
              <w:jc w:val="center"/>
              <w:rPr>
                <w:rFonts w:hint="eastAsia"/>
                <w:color w:val="auto"/>
                <w:spacing w:val="-10"/>
                <w:sz w:val="21"/>
                <w:szCs w:val="21"/>
              </w:rPr>
            </w:pPr>
            <w:r>
              <w:rPr>
                <w:rFonts w:hint="eastAsia"/>
                <w:color w:val="auto"/>
                <w:spacing w:val="-10"/>
                <w:sz w:val="21"/>
                <w:szCs w:val="21"/>
                <w:lang w:bidi="ar"/>
              </w:rPr>
              <w:t>2</w:t>
            </w:r>
          </w:p>
        </w:tc>
        <w:tc>
          <w:tcPr>
            <w:tcW w:w="951" w:type="pct"/>
            <w:tcBorders>
              <w:tl2br w:val="nil"/>
              <w:tr2bl w:val="nil"/>
            </w:tcBorders>
            <w:noWrap w:val="0"/>
            <w:vAlign w:val="center"/>
          </w:tcPr>
          <w:p w14:paraId="2CEEE5D9">
            <w:pPr>
              <w:spacing w:line="0" w:lineRule="atLeast"/>
              <w:jc w:val="center"/>
              <w:rPr>
                <w:rFonts w:hint="eastAsia"/>
                <w:color w:val="auto"/>
                <w:spacing w:val="-10"/>
                <w:sz w:val="21"/>
                <w:szCs w:val="21"/>
              </w:rPr>
            </w:pPr>
            <w:r>
              <w:rPr>
                <w:rFonts w:hint="eastAsia"/>
                <w:color w:val="auto"/>
                <w:spacing w:val="-10"/>
                <w:sz w:val="21"/>
                <w:szCs w:val="21"/>
                <w:lang w:bidi="ar"/>
              </w:rPr>
              <w:t>挖掘机</w:t>
            </w:r>
          </w:p>
        </w:tc>
        <w:tc>
          <w:tcPr>
            <w:tcW w:w="462" w:type="pct"/>
            <w:tcBorders>
              <w:tl2br w:val="nil"/>
              <w:tr2bl w:val="nil"/>
            </w:tcBorders>
            <w:noWrap w:val="0"/>
            <w:tcMar>
              <w:left w:w="57" w:type="dxa"/>
              <w:right w:w="57" w:type="dxa"/>
            </w:tcMar>
            <w:vAlign w:val="center"/>
          </w:tcPr>
          <w:p w14:paraId="5A6FAF81">
            <w:pPr>
              <w:spacing w:line="0" w:lineRule="atLeast"/>
              <w:jc w:val="center"/>
              <w:rPr>
                <w:rFonts w:hint="eastAsia"/>
                <w:color w:val="auto"/>
                <w:spacing w:val="-10"/>
                <w:sz w:val="21"/>
                <w:szCs w:val="21"/>
              </w:rPr>
            </w:pPr>
            <w:r>
              <w:rPr>
                <w:rFonts w:hint="eastAsia"/>
                <w:color w:val="auto"/>
                <w:spacing w:val="-10"/>
                <w:sz w:val="21"/>
                <w:szCs w:val="21"/>
              </w:rPr>
              <w:t>65.9</w:t>
            </w:r>
          </w:p>
        </w:tc>
        <w:tc>
          <w:tcPr>
            <w:tcW w:w="462" w:type="pct"/>
            <w:tcBorders>
              <w:tl2br w:val="nil"/>
              <w:tr2bl w:val="nil"/>
            </w:tcBorders>
            <w:noWrap w:val="0"/>
            <w:tcMar>
              <w:left w:w="57" w:type="dxa"/>
              <w:right w:w="57" w:type="dxa"/>
            </w:tcMar>
            <w:vAlign w:val="center"/>
          </w:tcPr>
          <w:p w14:paraId="7D617398">
            <w:pPr>
              <w:spacing w:line="0" w:lineRule="atLeast"/>
              <w:jc w:val="center"/>
              <w:rPr>
                <w:rFonts w:hint="eastAsia"/>
                <w:color w:val="auto"/>
                <w:spacing w:val="-10"/>
                <w:sz w:val="21"/>
                <w:szCs w:val="21"/>
              </w:rPr>
            </w:pPr>
            <w:r>
              <w:rPr>
                <w:rFonts w:hint="eastAsia"/>
                <w:color w:val="auto"/>
                <w:spacing w:val="-10"/>
                <w:sz w:val="21"/>
                <w:szCs w:val="21"/>
              </w:rPr>
              <w:t>62.4</w:t>
            </w:r>
          </w:p>
        </w:tc>
        <w:tc>
          <w:tcPr>
            <w:tcW w:w="462" w:type="pct"/>
            <w:tcBorders>
              <w:tl2br w:val="nil"/>
              <w:tr2bl w:val="nil"/>
            </w:tcBorders>
            <w:noWrap w:val="0"/>
            <w:tcMar>
              <w:left w:w="57" w:type="dxa"/>
              <w:right w:w="57" w:type="dxa"/>
            </w:tcMar>
            <w:vAlign w:val="center"/>
          </w:tcPr>
          <w:p w14:paraId="2EAFF696">
            <w:pPr>
              <w:spacing w:line="0" w:lineRule="atLeast"/>
              <w:jc w:val="center"/>
              <w:rPr>
                <w:rFonts w:hint="eastAsia"/>
                <w:color w:val="auto"/>
                <w:spacing w:val="-10"/>
                <w:sz w:val="21"/>
                <w:szCs w:val="21"/>
              </w:rPr>
            </w:pPr>
            <w:r>
              <w:rPr>
                <w:rFonts w:hint="eastAsia"/>
                <w:color w:val="auto"/>
                <w:spacing w:val="-10"/>
                <w:sz w:val="21"/>
                <w:szCs w:val="21"/>
              </w:rPr>
              <w:t>58.0</w:t>
            </w:r>
          </w:p>
        </w:tc>
        <w:tc>
          <w:tcPr>
            <w:tcW w:w="462" w:type="pct"/>
            <w:tcBorders>
              <w:tl2br w:val="nil"/>
              <w:tr2bl w:val="nil"/>
            </w:tcBorders>
            <w:noWrap w:val="0"/>
            <w:tcMar>
              <w:left w:w="57" w:type="dxa"/>
              <w:right w:w="57" w:type="dxa"/>
            </w:tcMar>
            <w:vAlign w:val="center"/>
          </w:tcPr>
          <w:p w14:paraId="055D97F8">
            <w:pPr>
              <w:spacing w:line="0" w:lineRule="atLeast"/>
              <w:jc w:val="center"/>
              <w:rPr>
                <w:rFonts w:hint="eastAsia"/>
                <w:color w:val="auto"/>
                <w:spacing w:val="-10"/>
                <w:sz w:val="21"/>
                <w:szCs w:val="21"/>
              </w:rPr>
            </w:pPr>
            <w:r>
              <w:rPr>
                <w:rFonts w:hint="eastAsia"/>
                <w:color w:val="auto"/>
                <w:spacing w:val="-10"/>
                <w:sz w:val="21"/>
                <w:szCs w:val="21"/>
              </w:rPr>
              <w:t>52.0</w:t>
            </w:r>
          </w:p>
        </w:tc>
        <w:tc>
          <w:tcPr>
            <w:tcW w:w="462" w:type="pct"/>
            <w:tcBorders>
              <w:tl2br w:val="nil"/>
              <w:tr2bl w:val="nil"/>
            </w:tcBorders>
            <w:noWrap w:val="0"/>
            <w:tcMar>
              <w:left w:w="57" w:type="dxa"/>
              <w:right w:w="57" w:type="dxa"/>
            </w:tcMar>
            <w:vAlign w:val="center"/>
          </w:tcPr>
          <w:p w14:paraId="5DD4F23A">
            <w:pPr>
              <w:spacing w:line="0" w:lineRule="atLeast"/>
              <w:jc w:val="center"/>
              <w:rPr>
                <w:rFonts w:hint="eastAsia"/>
                <w:color w:val="auto"/>
                <w:spacing w:val="-10"/>
                <w:sz w:val="21"/>
                <w:szCs w:val="21"/>
              </w:rPr>
            </w:pPr>
            <w:r>
              <w:rPr>
                <w:rFonts w:hint="eastAsia"/>
                <w:color w:val="auto"/>
                <w:spacing w:val="-10"/>
                <w:sz w:val="21"/>
                <w:szCs w:val="21"/>
              </w:rPr>
              <w:t>48.4</w:t>
            </w:r>
          </w:p>
        </w:tc>
        <w:tc>
          <w:tcPr>
            <w:tcW w:w="462" w:type="pct"/>
            <w:tcBorders>
              <w:tl2br w:val="nil"/>
              <w:tr2bl w:val="nil"/>
            </w:tcBorders>
            <w:noWrap w:val="0"/>
            <w:tcMar>
              <w:left w:w="57" w:type="dxa"/>
              <w:right w:w="57" w:type="dxa"/>
            </w:tcMar>
            <w:vAlign w:val="center"/>
          </w:tcPr>
          <w:p w14:paraId="7F685017">
            <w:pPr>
              <w:spacing w:line="0" w:lineRule="atLeast"/>
              <w:jc w:val="center"/>
              <w:rPr>
                <w:rFonts w:hint="eastAsia"/>
                <w:color w:val="auto"/>
                <w:spacing w:val="-10"/>
                <w:sz w:val="21"/>
                <w:szCs w:val="21"/>
              </w:rPr>
            </w:pPr>
            <w:r>
              <w:rPr>
                <w:rFonts w:hint="eastAsia"/>
                <w:color w:val="auto"/>
                <w:spacing w:val="-10"/>
                <w:sz w:val="21"/>
                <w:szCs w:val="21"/>
              </w:rPr>
              <w:t>45.9</w:t>
            </w:r>
          </w:p>
        </w:tc>
        <w:tc>
          <w:tcPr>
            <w:tcW w:w="466" w:type="pct"/>
            <w:tcBorders>
              <w:tl2br w:val="nil"/>
              <w:tr2bl w:val="nil"/>
            </w:tcBorders>
            <w:noWrap w:val="0"/>
            <w:vAlign w:val="center"/>
          </w:tcPr>
          <w:p w14:paraId="31D6DD9D">
            <w:pPr>
              <w:spacing w:line="0" w:lineRule="atLeast"/>
              <w:jc w:val="center"/>
              <w:rPr>
                <w:rFonts w:hint="eastAsia"/>
                <w:color w:val="auto"/>
                <w:spacing w:val="-10"/>
                <w:sz w:val="21"/>
                <w:szCs w:val="21"/>
              </w:rPr>
            </w:pPr>
            <w:r>
              <w:rPr>
                <w:rFonts w:hint="eastAsia"/>
                <w:color w:val="auto"/>
                <w:spacing w:val="-10"/>
                <w:sz w:val="21"/>
                <w:szCs w:val="21"/>
              </w:rPr>
              <w:t>44.0</w:t>
            </w:r>
          </w:p>
        </w:tc>
        <w:tc>
          <w:tcPr>
            <w:tcW w:w="565" w:type="pct"/>
            <w:vMerge w:val="continue"/>
            <w:tcBorders>
              <w:tl2br w:val="nil"/>
              <w:tr2bl w:val="nil"/>
            </w:tcBorders>
            <w:noWrap w:val="0"/>
            <w:vAlign w:val="center"/>
          </w:tcPr>
          <w:p w14:paraId="2841F83E">
            <w:pPr>
              <w:spacing w:line="0" w:lineRule="atLeast"/>
              <w:jc w:val="center"/>
              <w:rPr>
                <w:rFonts w:hint="eastAsia"/>
                <w:color w:val="auto"/>
                <w:spacing w:val="-10"/>
                <w:sz w:val="21"/>
                <w:szCs w:val="21"/>
              </w:rPr>
            </w:pPr>
          </w:p>
        </w:tc>
      </w:tr>
      <w:tr w14:paraId="1D972E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242" w:type="pct"/>
            <w:tcBorders>
              <w:tl2br w:val="nil"/>
              <w:tr2bl w:val="nil"/>
            </w:tcBorders>
            <w:noWrap w:val="0"/>
            <w:vAlign w:val="center"/>
          </w:tcPr>
          <w:p w14:paraId="2AA1836D">
            <w:pPr>
              <w:spacing w:line="0" w:lineRule="atLeast"/>
              <w:jc w:val="center"/>
              <w:rPr>
                <w:rFonts w:hint="eastAsia"/>
                <w:color w:val="auto"/>
                <w:spacing w:val="-10"/>
                <w:sz w:val="21"/>
                <w:szCs w:val="21"/>
              </w:rPr>
            </w:pPr>
            <w:r>
              <w:rPr>
                <w:rFonts w:hint="eastAsia"/>
                <w:color w:val="auto"/>
                <w:sz w:val="21"/>
                <w:szCs w:val="21"/>
              </w:rPr>
              <w:br w:type="page"/>
            </w:r>
            <w:r>
              <w:rPr>
                <w:rFonts w:hint="eastAsia"/>
                <w:color w:val="auto"/>
                <w:spacing w:val="-10"/>
                <w:sz w:val="21"/>
                <w:szCs w:val="21"/>
                <w:lang w:bidi="ar"/>
              </w:rPr>
              <w:t>3</w:t>
            </w:r>
          </w:p>
        </w:tc>
        <w:tc>
          <w:tcPr>
            <w:tcW w:w="951" w:type="pct"/>
            <w:tcBorders>
              <w:tl2br w:val="nil"/>
              <w:tr2bl w:val="nil"/>
            </w:tcBorders>
            <w:noWrap w:val="0"/>
            <w:vAlign w:val="center"/>
          </w:tcPr>
          <w:p w14:paraId="73339253">
            <w:pPr>
              <w:spacing w:line="0" w:lineRule="atLeast"/>
              <w:jc w:val="center"/>
              <w:rPr>
                <w:rFonts w:hint="eastAsia"/>
                <w:color w:val="auto"/>
                <w:spacing w:val="-10"/>
                <w:sz w:val="21"/>
                <w:szCs w:val="21"/>
              </w:rPr>
            </w:pPr>
            <w:r>
              <w:rPr>
                <w:rFonts w:hint="eastAsia"/>
                <w:color w:val="auto"/>
                <w:spacing w:val="-10"/>
                <w:sz w:val="21"/>
                <w:szCs w:val="21"/>
                <w:lang w:bidi="ar"/>
              </w:rPr>
              <w:t>推土机</w:t>
            </w:r>
          </w:p>
        </w:tc>
        <w:tc>
          <w:tcPr>
            <w:tcW w:w="462" w:type="pct"/>
            <w:tcBorders>
              <w:tl2br w:val="nil"/>
              <w:tr2bl w:val="nil"/>
            </w:tcBorders>
            <w:noWrap w:val="0"/>
            <w:tcMar>
              <w:left w:w="57" w:type="dxa"/>
              <w:right w:w="57" w:type="dxa"/>
            </w:tcMar>
            <w:vAlign w:val="center"/>
          </w:tcPr>
          <w:p w14:paraId="2FD13282">
            <w:pPr>
              <w:spacing w:line="0" w:lineRule="atLeast"/>
              <w:jc w:val="center"/>
              <w:rPr>
                <w:rFonts w:hint="eastAsia"/>
                <w:color w:val="auto"/>
                <w:spacing w:val="-10"/>
                <w:sz w:val="21"/>
                <w:szCs w:val="21"/>
              </w:rPr>
            </w:pPr>
            <w:r>
              <w:rPr>
                <w:rFonts w:hint="eastAsia"/>
                <w:color w:val="auto"/>
                <w:spacing w:val="-10"/>
                <w:sz w:val="21"/>
                <w:szCs w:val="21"/>
              </w:rPr>
              <w:t>67.9</w:t>
            </w:r>
          </w:p>
        </w:tc>
        <w:tc>
          <w:tcPr>
            <w:tcW w:w="462" w:type="pct"/>
            <w:tcBorders>
              <w:tl2br w:val="nil"/>
              <w:tr2bl w:val="nil"/>
            </w:tcBorders>
            <w:noWrap w:val="0"/>
            <w:tcMar>
              <w:left w:w="57" w:type="dxa"/>
              <w:right w:w="57" w:type="dxa"/>
            </w:tcMar>
            <w:vAlign w:val="center"/>
          </w:tcPr>
          <w:p w14:paraId="4D29F459">
            <w:pPr>
              <w:spacing w:line="0" w:lineRule="atLeast"/>
              <w:jc w:val="center"/>
              <w:rPr>
                <w:rFonts w:hint="eastAsia"/>
                <w:color w:val="auto"/>
                <w:spacing w:val="-10"/>
                <w:sz w:val="21"/>
                <w:szCs w:val="21"/>
              </w:rPr>
            </w:pPr>
            <w:r>
              <w:rPr>
                <w:rFonts w:hint="eastAsia"/>
                <w:color w:val="auto"/>
                <w:spacing w:val="-10"/>
                <w:sz w:val="21"/>
                <w:szCs w:val="21"/>
              </w:rPr>
              <w:t>64.4</w:t>
            </w:r>
          </w:p>
        </w:tc>
        <w:tc>
          <w:tcPr>
            <w:tcW w:w="462" w:type="pct"/>
            <w:tcBorders>
              <w:tl2br w:val="nil"/>
              <w:tr2bl w:val="nil"/>
            </w:tcBorders>
            <w:noWrap w:val="0"/>
            <w:tcMar>
              <w:left w:w="57" w:type="dxa"/>
              <w:right w:w="57" w:type="dxa"/>
            </w:tcMar>
            <w:vAlign w:val="center"/>
          </w:tcPr>
          <w:p w14:paraId="5EF06C1A">
            <w:pPr>
              <w:spacing w:line="0" w:lineRule="atLeast"/>
              <w:jc w:val="center"/>
              <w:rPr>
                <w:rFonts w:hint="eastAsia"/>
                <w:color w:val="auto"/>
                <w:spacing w:val="-10"/>
                <w:sz w:val="21"/>
                <w:szCs w:val="21"/>
              </w:rPr>
            </w:pPr>
            <w:r>
              <w:rPr>
                <w:rFonts w:hint="eastAsia"/>
                <w:color w:val="auto"/>
                <w:spacing w:val="-10"/>
                <w:sz w:val="21"/>
                <w:szCs w:val="21"/>
              </w:rPr>
              <w:t>60.0</w:t>
            </w:r>
          </w:p>
        </w:tc>
        <w:tc>
          <w:tcPr>
            <w:tcW w:w="462" w:type="pct"/>
            <w:tcBorders>
              <w:tl2br w:val="nil"/>
              <w:tr2bl w:val="nil"/>
            </w:tcBorders>
            <w:noWrap w:val="0"/>
            <w:tcMar>
              <w:left w:w="57" w:type="dxa"/>
              <w:right w:w="57" w:type="dxa"/>
            </w:tcMar>
            <w:vAlign w:val="center"/>
          </w:tcPr>
          <w:p w14:paraId="0C44B6A8">
            <w:pPr>
              <w:spacing w:line="0" w:lineRule="atLeast"/>
              <w:jc w:val="center"/>
              <w:rPr>
                <w:rFonts w:hint="eastAsia"/>
                <w:color w:val="auto"/>
                <w:spacing w:val="-10"/>
                <w:sz w:val="21"/>
                <w:szCs w:val="21"/>
              </w:rPr>
            </w:pPr>
            <w:r>
              <w:rPr>
                <w:rFonts w:hint="eastAsia"/>
                <w:color w:val="auto"/>
                <w:spacing w:val="-10"/>
                <w:sz w:val="21"/>
                <w:szCs w:val="21"/>
              </w:rPr>
              <w:t>54.0</w:t>
            </w:r>
          </w:p>
        </w:tc>
        <w:tc>
          <w:tcPr>
            <w:tcW w:w="462" w:type="pct"/>
            <w:tcBorders>
              <w:tl2br w:val="nil"/>
              <w:tr2bl w:val="nil"/>
            </w:tcBorders>
            <w:noWrap w:val="0"/>
            <w:tcMar>
              <w:left w:w="57" w:type="dxa"/>
              <w:right w:w="57" w:type="dxa"/>
            </w:tcMar>
            <w:vAlign w:val="center"/>
          </w:tcPr>
          <w:p w14:paraId="190F5634">
            <w:pPr>
              <w:spacing w:line="0" w:lineRule="atLeast"/>
              <w:jc w:val="center"/>
              <w:rPr>
                <w:rFonts w:hint="eastAsia"/>
                <w:color w:val="auto"/>
                <w:spacing w:val="-10"/>
                <w:sz w:val="21"/>
                <w:szCs w:val="21"/>
              </w:rPr>
            </w:pPr>
            <w:r>
              <w:rPr>
                <w:rFonts w:hint="eastAsia"/>
                <w:color w:val="auto"/>
                <w:spacing w:val="-10"/>
                <w:sz w:val="21"/>
                <w:szCs w:val="21"/>
              </w:rPr>
              <w:t>50.4</w:t>
            </w:r>
          </w:p>
        </w:tc>
        <w:tc>
          <w:tcPr>
            <w:tcW w:w="462" w:type="pct"/>
            <w:tcBorders>
              <w:tl2br w:val="nil"/>
              <w:tr2bl w:val="nil"/>
            </w:tcBorders>
            <w:noWrap w:val="0"/>
            <w:tcMar>
              <w:left w:w="57" w:type="dxa"/>
              <w:right w:w="57" w:type="dxa"/>
            </w:tcMar>
            <w:vAlign w:val="center"/>
          </w:tcPr>
          <w:p w14:paraId="7D212356">
            <w:pPr>
              <w:spacing w:line="0" w:lineRule="atLeast"/>
              <w:jc w:val="center"/>
              <w:rPr>
                <w:rFonts w:hint="eastAsia"/>
                <w:color w:val="auto"/>
                <w:spacing w:val="-10"/>
                <w:sz w:val="21"/>
                <w:szCs w:val="21"/>
              </w:rPr>
            </w:pPr>
            <w:r>
              <w:rPr>
                <w:rFonts w:hint="eastAsia"/>
                <w:color w:val="auto"/>
                <w:spacing w:val="-10"/>
                <w:sz w:val="21"/>
                <w:szCs w:val="21"/>
              </w:rPr>
              <w:t>47.9</w:t>
            </w:r>
          </w:p>
        </w:tc>
        <w:tc>
          <w:tcPr>
            <w:tcW w:w="466" w:type="pct"/>
            <w:tcBorders>
              <w:tl2br w:val="nil"/>
              <w:tr2bl w:val="nil"/>
            </w:tcBorders>
            <w:noWrap w:val="0"/>
            <w:vAlign w:val="center"/>
          </w:tcPr>
          <w:p w14:paraId="7B9BA767">
            <w:pPr>
              <w:spacing w:line="0" w:lineRule="atLeast"/>
              <w:jc w:val="center"/>
              <w:rPr>
                <w:rFonts w:hint="eastAsia"/>
                <w:color w:val="auto"/>
                <w:spacing w:val="-10"/>
                <w:sz w:val="21"/>
                <w:szCs w:val="21"/>
              </w:rPr>
            </w:pPr>
            <w:r>
              <w:rPr>
                <w:rFonts w:hint="eastAsia"/>
                <w:color w:val="auto"/>
                <w:spacing w:val="-10"/>
                <w:sz w:val="21"/>
                <w:szCs w:val="21"/>
              </w:rPr>
              <w:t>46.0</w:t>
            </w:r>
          </w:p>
        </w:tc>
        <w:tc>
          <w:tcPr>
            <w:tcW w:w="565" w:type="pct"/>
            <w:vMerge w:val="continue"/>
            <w:tcBorders>
              <w:tl2br w:val="nil"/>
              <w:tr2bl w:val="nil"/>
            </w:tcBorders>
            <w:noWrap w:val="0"/>
            <w:vAlign w:val="center"/>
          </w:tcPr>
          <w:p w14:paraId="7DB927EC">
            <w:pPr>
              <w:spacing w:line="0" w:lineRule="atLeast"/>
              <w:jc w:val="center"/>
              <w:rPr>
                <w:rFonts w:hint="eastAsia"/>
                <w:color w:val="auto"/>
                <w:spacing w:val="-10"/>
                <w:sz w:val="21"/>
                <w:szCs w:val="21"/>
              </w:rPr>
            </w:pPr>
          </w:p>
        </w:tc>
      </w:tr>
      <w:tr w14:paraId="34C64D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242" w:type="pct"/>
            <w:tcBorders>
              <w:tl2br w:val="nil"/>
              <w:tr2bl w:val="nil"/>
            </w:tcBorders>
            <w:noWrap w:val="0"/>
            <w:vAlign w:val="center"/>
          </w:tcPr>
          <w:p w14:paraId="1BAC2E9C">
            <w:pPr>
              <w:spacing w:line="0" w:lineRule="atLeast"/>
              <w:jc w:val="center"/>
              <w:rPr>
                <w:rFonts w:hint="eastAsia"/>
                <w:color w:val="auto"/>
                <w:spacing w:val="-10"/>
                <w:sz w:val="21"/>
                <w:szCs w:val="21"/>
              </w:rPr>
            </w:pPr>
            <w:r>
              <w:rPr>
                <w:rFonts w:hint="eastAsia"/>
                <w:color w:val="auto"/>
                <w:spacing w:val="-10"/>
                <w:sz w:val="21"/>
                <w:szCs w:val="21"/>
                <w:lang w:bidi="ar"/>
              </w:rPr>
              <w:t>4</w:t>
            </w:r>
          </w:p>
        </w:tc>
        <w:tc>
          <w:tcPr>
            <w:tcW w:w="951" w:type="pct"/>
            <w:tcBorders>
              <w:tl2br w:val="nil"/>
              <w:tr2bl w:val="nil"/>
            </w:tcBorders>
            <w:noWrap w:val="0"/>
            <w:vAlign w:val="center"/>
          </w:tcPr>
          <w:p w14:paraId="3B7C143D">
            <w:pPr>
              <w:spacing w:line="0" w:lineRule="atLeast"/>
              <w:jc w:val="center"/>
              <w:rPr>
                <w:rFonts w:hint="eastAsia"/>
                <w:color w:val="auto"/>
                <w:spacing w:val="-10"/>
                <w:sz w:val="21"/>
                <w:szCs w:val="21"/>
              </w:rPr>
            </w:pPr>
            <w:r>
              <w:rPr>
                <w:rFonts w:hint="eastAsia"/>
                <w:color w:val="auto"/>
                <w:spacing w:val="-10"/>
                <w:sz w:val="21"/>
                <w:szCs w:val="21"/>
                <w:lang w:bidi="ar"/>
              </w:rPr>
              <w:t>运输卡车</w:t>
            </w:r>
          </w:p>
        </w:tc>
        <w:tc>
          <w:tcPr>
            <w:tcW w:w="462" w:type="pct"/>
            <w:tcBorders>
              <w:tl2br w:val="nil"/>
              <w:tr2bl w:val="nil"/>
            </w:tcBorders>
            <w:noWrap w:val="0"/>
            <w:tcMar>
              <w:left w:w="57" w:type="dxa"/>
              <w:right w:w="57" w:type="dxa"/>
            </w:tcMar>
            <w:vAlign w:val="center"/>
          </w:tcPr>
          <w:p w14:paraId="145AD100">
            <w:pPr>
              <w:spacing w:line="0" w:lineRule="atLeast"/>
              <w:jc w:val="center"/>
              <w:rPr>
                <w:rFonts w:hint="eastAsia"/>
                <w:color w:val="auto"/>
                <w:spacing w:val="-10"/>
                <w:sz w:val="21"/>
                <w:szCs w:val="21"/>
              </w:rPr>
            </w:pPr>
            <w:r>
              <w:rPr>
                <w:rFonts w:hint="eastAsia"/>
                <w:color w:val="auto"/>
                <w:spacing w:val="-10"/>
                <w:sz w:val="21"/>
                <w:szCs w:val="21"/>
              </w:rPr>
              <w:t>67.9</w:t>
            </w:r>
          </w:p>
        </w:tc>
        <w:tc>
          <w:tcPr>
            <w:tcW w:w="462" w:type="pct"/>
            <w:tcBorders>
              <w:tl2br w:val="nil"/>
              <w:tr2bl w:val="nil"/>
            </w:tcBorders>
            <w:noWrap w:val="0"/>
            <w:tcMar>
              <w:left w:w="57" w:type="dxa"/>
              <w:right w:w="57" w:type="dxa"/>
            </w:tcMar>
            <w:vAlign w:val="center"/>
          </w:tcPr>
          <w:p w14:paraId="62904224">
            <w:pPr>
              <w:spacing w:line="0" w:lineRule="atLeast"/>
              <w:jc w:val="center"/>
              <w:rPr>
                <w:rFonts w:hint="eastAsia"/>
                <w:color w:val="auto"/>
                <w:spacing w:val="-10"/>
                <w:sz w:val="21"/>
                <w:szCs w:val="21"/>
              </w:rPr>
            </w:pPr>
            <w:r>
              <w:rPr>
                <w:rFonts w:hint="eastAsia"/>
                <w:color w:val="auto"/>
                <w:spacing w:val="-10"/>
                <w:sz w:val="21"/>
                <w:szCs w:val="21"/>
              </w:rPr>
              <w:t>64.4</w:t>
            </w:r>
          </w:p>
        </w:tc>
        <w:tc>
          <w:tcPr>
            <w:tcW w:w="462" w:type="pct"/>
            <w:tcBorders>
              <w:tl2br w:val="nil"/>
              <w:tr2bl w:val="nil"/>
            </w:tcBorders>
            <w:noWrap w:val="0"/>
            <w:tcMar>
              <w:left w:w="57" w:type="dxa"/>
              <w:right w:w="57" w:type="dxa"/>
            </w:tcMar>
            <w:vAlign w:val="center"/>
          </w:tcPr>
          <w:p w14:paraId="287CFEB2">
            <w:pPr>
              <w:spacing w:line="0" w:lineRule="atLeast"/>
              <w:jc w:val="center"/>
              <w:rPr>
                <w:rFonts w:hint="eastAsia"/>
                <w:color w:val="auto"/>
                <w:spacing w:val="-10"/>
                <w:sz w:val="21"/>
                <w:szCs w:val="21"/>
              </w:rPr>
            </w:pPr>
            <w:r>
              <w:rPr>
                <w:rFonts w:hint="eastAsia"/>
                <w:color w:val="auto"/>
                <w:spacing w:val="-10"/>
                <w:sz w:val="21"/>
                <w:szCs w:val="21"/>
              </w:rPr>
              <w:t>60.0</w:t>
            </w:r>
          </w:p>
        </w:tc>
        <w:tc>
          <w:tcPr>
            <w:tcW w:w="462" w:type="pct"/>
            <w:tcBorders>
              <w:tl2br w:val="nil"/>
              <w:tr2bl w:val="nil"/>
            </w:tcBorders>
            <w:noWrap w:val="0"/>
            <w:tcMar>
              <w:left w:w="57" w:type="dxa"/>
              <w:right w:w="57" w:type="dxa"/>
            </w:tcMar>
            <w:vAlign w:val="center"/>
          </w:tcPr>
          <w:p w14:paraId="07DF6561">
            <w:pPr>
              <w:spacing w:line="0" w:lineRule="atLeast"/>
              <w:jc w:val="center"/>
              <w:rPr>
                <w:rFonts w:hint="eastAsia"/>
                <w:color w:val="auto"/>
                <w:spacing w:val="-10"/>
                <w:sz w:val="21"/>
                <w:szCs w:val="21"/>
              </w:rPr>
            </w:pPr>
            <w:r>
              <w:rPr>
                <w:rFonts w:hint="eastAsia"/>
                <w:color w:val="auto"/>
                <w:spacing w:val="-10"/>
                <w:sz w:val="21"/>
                <w:szCs w:val="21"/>
              </w:rPr>
              <w:t>54.0</w:t>
            </w:r>
          </w:p>
        </w:tc>
        <w:tc>
          <w:tcPr>
            <w:tcW w:w="462" w:type="pct"/>
            <w:tcBorders>
              <w:tl2br w:val="nil"/>
              <w:tr2bl w:val="nil"/>
            </w:tcBorders>
            <w:noWrap w:val="0"/>
            <w:tcMar>
              <w:left w:w="57" w:type="dxa"/>
              <w:right w:w="57" w:type="dxa"/>
            </w:tcMar>
            <w:vAlign w:val="center"/>
          </w:tcPr>
          <w:p w14:paraId="365E4A11">
            <w:pPr>
              <w:spacing w:line="0" w:lineRule="atLeast"/>
              <w:jc w:val="center"/>
              <w:rPr>
                <w:rFonts w:hint="eastAsia"/>
                <w:color w:val="auto"/>
                <w:spacing w:val="-10"/>
                <w:sz w:val="21"/>
                <w:szCs w:val="21"/>
              </w:rPr>
            </w:pPr>
            <w:r>
              <w:rPr>
                <w:rFonts w:hint="eastAsia"/>
                <w:color w:val="auto"/>
                <w:spacing w:val="-10"/>
                <w:sz w:val="21"/>
                <w:szCs w:val="21"/>
              </w:rPr>
              <w:t>50.4</w:t>
            </w:r>
          </w:p>
        </w:tc>
        <w:tc>
          <w:tcPr>
            <w:tcW w:w="462" w:type="pct"/>
            <w:tcBorders>
              <w:tl2br w:val="nil"/>
              <w:tr2bl w:val="nil"/>
            </w:tcBorders>
            <w:noWrap w:val="0"/>
            <w:tcMar>
              <w:left w:w="57" w:type="dxa"/>
              <w:right w:w="57" w:type="dxa"/>
            </w:tcMar>
            <w:vAlign w:val="center"/>
          </w:tcPr>
          <w:p w14:paraId="6B7382A9">
            <w:pPr>
              <w:spacing w:line="0" w:lineRule="atLeast"/>
              <w:jc w:val="center"/>
              <w:rPr>
                <w:rFonts w:hint="eastAsia"/>
                <w:color w:val="auto"/>
                <w:spacing w:val="-10"/>
                <w:sz w:val="21"/>
                <w:szCs w:val="21"/>
              </w:rPr>
            </w:pPr>
            <w:r>
              <w:rPr>
                <w:rFonts w:hint="eastAsia"/>
                <w:color w:val="auto"/>
                <w:spacing w:val="-10"/>
                <w:sz w:val="21"/>
                <w:szCs w:val="21"/>
              </w:rPr>
              <w:t>47.9</w:t>
            </w:r>
          </w:p>
        </w:tc>
        <w:tc>
          <w:tcPr>
            <w:tcW w:w="466" w:type="pct"/>
            <w:tcBorders>
              <w:tl2br w:val="nil"/>
              <w:tr2bl w:val="nil"/>
            </w:tcBorders>
            <w:noWrap w:val="0"/>
            <w:vAlign w:val="center"/>
          </w:tcPr>
          <w:p w14:paraId="419C1E6F">
            <w:pPr>
              <w:spacing w:line="0" w:lineRule="atLeast"/>
              <w:jc w:val="center"/>
              <w:rPr>
                <w:rFonts w:hint="eastAsia"/>
                <w:color w:val="auto"/>
                <w:spacing w:val="-10"/>
                <w:sz w:val="21"/>
                <w:szCs w:val="21"/>
              </w:rPr>
            </w:pPr>
            <w:r>
              <w:rPr>
                <w:rFonts w:hint="eastAsia"/>
                <w:color w:val="auto"/>
                <w:spacing w:val="-10"/>
                <w:sz w:val="21"/>
                <w:szCs w:val="21"/>
              </w:rPr>
              <w:t>46.0</w:t>
            </w:r>
          </w:p>
        </w:tc>
        <w:tc>
          <w:tcPr>
            <w:tcW w:w="565" w:type="pct"/>
            <w:tcBorders>
              <w:tl2br w:val="nil"/>
              <w:tr2bl w:val="nil"/>
            </w:tcBorders>
            <w:noWrap w:val="0"/>
            <w:vAlign w:val="center"/>
          </w:tcPr>
          <w:p w14:paraId="2C1943C5">
            <w:pPr>
              <w:spacing w:line="0" w:lineRule="atLeast"/>
              <w:jc w:val="center"/>
              <w:rPr>
                <w:rFonts w:hint="eastAsia"/>
                <w:color w:val="auto"/>
                <w:spacing w:val="-10"/>
                <w:sz w:val="21"/>
                <w:szCs w:val="21"/>
              </w:rPr>
            </w:pPr>
            <w:r>
              <w:rPr>
                <w:rFonts w:hint="eastAsia"/>
                <w:color w:val="auto"/>
                <w:spacing w:val="-10"/>
                <w:sz w:val="21"/>
                <w:szCs w:val="21"/>
                <w:lang w:bidi="ar"/>
              </w:rPr>
              <w:t>物料运输</w:t>
            </w:r>
          </w:p>
        </w:tc>
      </w:tr>
      <w:tr w14:paraId="251AA2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5" w:hRule="atLeast"/>
          <w:jc w:val="center"/>
        </w:trPr>
        <w:tc>
          <w:tcPr>
            <w:tcW w:w="242" w:type="pct"/>
            <w:tcBorders>
              <w:tl2br w:val="nil"/>
              <w:tr2bl w:val="nil"/>
            </w:tcBorders>
            <w:noWrap w:val="0"/>
            <w:vAlign w:val="center"/>
          </w:tcPr>
          <w:p w14:paraId="24A0F82C">
            <w:pPr>
              <w:spacing w:line="0" w:lineRule="atLeast"/>
              <w:jc w:val="center"/>
              <w:rPr>
                <w:rFonts w:hint="eastAsia"/>
                <w:color w:val="auto"/>
                <w:spacing w:val="-10"/>
                <w:sz w:val="21"/>
                <w:szCs w:val="21"/>
              </w:rPr>
            </w:pPr>
            <w:r>
              <w:rPr>
                <w:rFonts w:hint="eastAsia"/>
                <w:color w:val="auto"/>
                <w:spacing w:val="-10"/>
                <w:sz w:val="21"/>
                <w:szCs w:val="21"/>
                <w:lang w:bidi="ar"/>
              </w:rPr>
              <w:t>5</w:t>
            </w:r>
          </w:p>
        </w:tc>
        <w:tc>
          <w:tcPr>
            <w:tcW w:w="951" w:type="pct"/>
            <w:tcBorders>
              <w:tl2br w:val="nil"/>
              <w:tr2bl w:val="nil"/>
            </w:tcBorders>
            <w:noWrap w:val="0"/>
            <w:vAlign w:val="center"/>
          </w:tcPr>
          <w:p w14:paraId="32C4BF20">
            <w:pPr>
              <w:spacing w:line="0" w:lineRule="atLeast"/>
              <w:jc w:val="center"/>
              <w:rPr>
                <w:rFonts w:hint="eastAsia"/>
                <w:color w:val="auto"/>
                <w:spacing w:val="-10"/>
                <w:sz w:val="21"/>
                <w:szCs w:val="21"/>
              </w:rPr>
            </w:pPr>
            <w:r>
              <w:rPr>
                <w:rFonts w:hint="eastAsia"/>
                <w:color w:val="auto"/>
                <w:spacing w:val="-10"/>
                <w:sz w:val="21"/>
                <w:szCs w:val="21"/>
                <w:lang w:bidi="ar"/>
              </w:rPr>
              <w:t>吊装机</w:t>
            </w:r>
          </w:p>
        </w:tc>
        <w:tc>
          <w:tcPr>
            <w:tcW w:w="462" w:type="pct"/>
            <w:tcBorders>
              <w:tl2br w:val="nil"/>
              <w:tr2bl w:val="nil"/>
            </w:tcBorders>
            <w:noWrap w:val="0"/>
            <w:tcMar>
              <w:left w:w="57" w:type="dxa"/>
              <w:right w:w="57" w:type="dxa"/>
            </w:tcMar>
            <w:vAlign w:val="center"/>
          </w:tcPr>
          <w:p w14:paraId="67F75234">
            <w:pPr>
              <w:spacing w:line="0" w:lineRule="atLeast"/>
              <w:jc w:val="center"/>
              <w:rPr>
                <w:rFonts w:hint="eastAsia"/>
                <w:color w:val="auto"/>
                <w:spacing w:val="-10"/>
                <w:sz w:val="21"/>
                <w:szCs w:val="21"/>
              </w:rPr>
            </w:pPr>
            <w:r>
              <w:rPr>
                <w:rFonts w:hint="eastAsia"/>
                <w:color w:val="auto"/>
                <w:spacing w:val="-10"/>
                <w:sz w:val="21"/>
                <w:szCs w:val="21"/>
              </w:rPr>
              <w:t>76.9</w:t>
            </w:r>
          </w:p>
        </w:tc>
        <w:tc>
          <w:tcPr>
            <w:tcW w:w="462" w:type="pct"/>
            <w:tcBorders>
              <w:tl2br w:val="nil"/>
              <w:tr2bl w:val="nil"/>
            </w:tcBorders>
            <w:noWrap w:val="0"/>
            <w:tcMar>
              <w:left w:w="57" w:type="dxa"/>
              <w:right w:w="57" w:type="dxa"/>
            </w:tcMar>
            <w:vAlign w:val="center"/>
          </w:tcPr>
          <w:p w14:paraId="69F68A8C">
            <w:pPr>
              <w:spacing w:line="0" w:lineRule="atLeast"/>
              <w:jc w:val="center"/>
              <w:rPr>
                <w:rFonts w:hint="eastAsia"/>
                <w:color w:val="auto"/>
                <w:spacing w:val="-10"/>
                <w:sz w:val="21"/>
                <w:szCs w:val="21"/>
              </w:rPr>
            </w:pPr>
            <w:r>
              <w:rPr>
                <w:rFonts w:hint="eastAsia"/>
                <w:color w:val="auto"/>
                <w:spacing w:val="-10"/>
                <w:sz w:val="21"/>
                <w:szCs w:val="21"/>
              </w:rPr>
              <w:t>73.4</w:t>
            </w:r>
          </w:p>
        </w:tc>
        <w:tc>
          <w:tcPr>
            <w:tcW w:w="462" w:type="pct"/>
            <w:tcBorders>
              <w:tl2br w:val="nil"/>
              <w:tr2bl w:val="nil"/>
            </w:tcBorders>
            <w:noWrap w:val="0"/>
            <w:tcMar>
              <w:left w:w="57" w:type="dxa"/>
              <w:right w:w="57" w:type="dxa"/>
            </w:tcMar>
            <w:vAlign w:val="center"/>
          </w:tcPr>
          <w:p w14:paraId="3083C7A3">
            <w:pPr>
              <w:spacing w:line="0" w:lineRule="atLeast"/>
              <w:jc w:val="center"/>
              <w:rPr>
                <w:rFonts w:hint="eastAsia"/>
                <w:color w:val="auto"/>
                <w:spacing w:val="-10"/>
                <w:sz w:val="21"/>
                <w:szCs w:val="21"/>
              </w:rPr>
            </w:pPr>
            <w:r>
              <w:rPr>
                <w:rFonts w:hint="eastAsia"/>
                <w:color w:val="auto"/>
                <w:spacing w:val="-10"/>
                <w:sz w:val="21"/>
                <w:szCs w:val="21"/>
              </w:rPr>
              <w:t>69.0</w:t>
            </w:r>
          </w:p>
        </w:tc>
        <w:tc>
          <w:tcPr>
            <w:tcW w:w="462" w:type="pct"/>
            <w:tcBorders>
              <w:tl2br w:val="nil"/>
              <w:tr2bl w:val="nil"/>
            </w:tcBorders>
            <w:noWrap w:val="0"/>
            <w:tcMar>
              <w:left w:w="57" w:type="dxa"/>
              <w:right w:w="57" w:type="dxa"/>
            </w:tcMar>
            <w:vAlign w:val="center"/>
          </w:tcPr>
          <w:p w14:paraId="4FB87B7C">
            <w:pPr>
              <w:spacing w:line="0" w:lineRule="atLeast"/>
              <w:jc w:val="center"/>
              <w:rPr>
                <w:rFonts w:hint="eastAsia"/>
                <w:color w:val="auto"/>
                <w:spacing w:val="-10"/>
                <w:sz w:val="21"/>
                <w:szCs w:val="21"/>
              </w:rPr>
            </w:pPr>
            <w:r>
              <w:rPr>
                <w:rFonts w:hint="eastAsia"/>
                <w:color w:val="auto"/>
                <w:spacing w:val="-10"/>
                <w:sz w:val="21"/>
                <w:szCs w:val="21"/>
              </w:rPr>
              <w:t>63.0</w:t>
            </w:r>
          </w:p>
        </w:tc>
        <w:tc>
          <w:tcPr>
            <w:tcW w:w="462" w:type="pct"/>
            <w:tcBorders>
              <w:tl2br w:val="nil"/>
              <w:tr2bl w:val="nil"/>
            </w:tcBorders>
            <w:noWrap w:val="0"/>
            <w:tcMar>
              <w:left w:w="57" w:type="dxa"/>
              <w:right w:w="57" w:type="dxa"/>
            </w:tcMar>
            <w:vAlign w:val="center"/>
          </w:tcPr>
          <w:p w14:paraId="35F304DD">
            <w:pPr>
              <w:spacing w:line="0" w:lineRule="atLeast"/>
              <w:jc w:val="center"/>
              <w:rPr>
                <w:rFonts w:hint="eastAsia"/>
                <w:color w:val="auto"/>
                <w:spacing w:val="-10"/>
                <w:sz w:val="21"/>
                <w:szCs w:val="21"/>
              </w:rPr>
            </w:pPr>
            <w:r>
              <w:rPr>
                <w:rFonts w:hint="eastAsia"/>
                <w:color w:val="auto"/>
                <w:spacing w:val="-10"/>
                <w:sz w:val="21"/>
                <w:szCs w:val="21"/>
              </w:rPr>
              <w:t>59.4</w:t>
            </w:r>
          </w:p>
        </w:tc>
        <w:tc>
          <w:tcPr>
            <w:tcW w:w="462" w:type="pct"/>
            <w:tcBorders>
              <w:tl2br w:val="nil"/>
              <w:tr2bl w:val="nil"/>
            </w:tcBorders>
            <w:noWrap w:val="0"/>
            <w:tcMar>
              <w:left w:w="57" w:type="dxa"/>
              <w:right w:w="57" w:type="dxa"/>
            </w:tcMar>
            <w:vAlign w:val="center"/>
          </w:tcPr>
          <w:p w14:paraId="0C4CB8E0">
            <w:pPr>
              <w:spacing w:line="0" w:lineRule="atLeast"/>
              <w:jc w:val="center"/>
              <w:rPr>
                <w:rFonts w:hint="eastAsia"/>
                <w:color w:val="auto"/>
                <w:spacing w:val="-10"/>
                <w:sz w:val="21"/>
                <w:szCs w:val="21"/>
              </w:rPr>
            </w:pPr>
            <w:r>
              <w:rPr>
                <w:rFonts w:hint="eastAsia"/>
                <w:color w:val="auto"/>
                <w:spacing w:val="-10"/>
                <w:sz w:val="21"/>
                <w:szCs w:val="21"/>
              </w:rPr>
              <w:t>56.9</w:t>
            </w:r>
          </w:p>
        </w:tc>
        <w:tc>
          <w:tcPr>
            <w:tcW w:w="466" w:type="pct"/>
            <w:tcBorders>
              <w:tl2br w:val="nil"/>
              <w:tr2bl w:val="nil"/>
            </w:tcBorders>
            <w:noWrap w:val="0"/>
            <w:vAlign w:val="center"/>
          </w:tcPr>
          <w:p w14:paraId="45AEC2EB">
            <w:pPr>
              <w:spacing w:line="0" w:lineRule="atLeast"/>
              <w:jc w:val="center"/>
              <w:rPr>
                <w:rFonts w:hint="eastAsia"/>
                <w:color w:val="auto"/>
                <w:spacing w:val="-10"/>
                <w:sz w:val="21"/>
                <w:szCs w:val="21"/>
              </w:rPr>
            </w:pPr>
            <w:r>
              <w:rPr>
                <w:rFonts w:hint="eastAsia"/>
                <w:color w:val="auto"/>
                <w:spacing w:val="-10"/>
                <w:sz w:val="21"/>
                <w:szCs w:val="21"/>
              </w:rPr>
              <w:t>55.0</w:t>
            </w:r>
          </w:p>
        </w:tc>
        <w:tc>
          <w:tcPr>
            <w:tcW w:w="565" w:type="pct"/>
            <w:tcBorders>
              <w:tl2br w:val="nil"/>
              <w:tr2bl w:val="nil"/>
            </w:tcBorders>
            <w:noWrap w:val="0"/>
            <w:vAlign w:val="center"/>
          </w:tcPr>
          <w:p w14:paraId="5A729CA8">
            <w:pPr>
              <w:spacing w:line="0" w:lineRule="atLeast"/>
              <w:jc w:val="center"/>
              <w:rPr>
                <w:rFonts w:hint="eastAsia"/>
                <w:color w:val="auto"/>
                <w:spacing w:val="-10"/>
                <w:sz w:val="21"/>
                <w:szCs w:val="21"/>
              </w:rPr>
            </w:pPr>
            <w:r>
              <w:rPr>
                <w:rFonts w:hint="eastAsia"/>
                <w:color w:val="auto"/>
                <w:spacing w:val="-10"/>
                <w:sz w:val="21"/>
                <w:szCs w:val="21"/>
                <w:lang w:bidi="ar"/>
              </w:rPr>
              <w:t>设备安装</w:t>
            </w:r>
          </w:p>
        </w:tc>
      </w:tr>
    </w:tbl>
    <w:p w14:paraId="70A92F6E">
      <w:pPr>
        <w:pStyle w:val="79"/>
        <w:bidi w:val="0"/>
        <w:rPr>
          <w:rFonts w:hint="default"/>
          <w:color w:val="auto"/>
        </w:rPr>
      </w:pPr>
      <w:r>
        <w:rPr>
          <w:rFonts w:hint="default"/>
          <w:color w:val="auto"/>
        </w:rPr>
        <w:t>（3）影响分析</w:t>
      </w:r>
    </w:p>
    <w:p w14:paraId="74A06A34">
      <w:pPr>
        <w:pStyle w:val="79"/>
        <w:bidi w:val="0"/>
        <w:rPr>
          <w:rFonts w:hint="default"/>
          <w:color w:val="auto"/>
        </w:rPr>
      </w:pPr>
      <w:r>
        <w:rPr>
          <w:rFonts w:hint="default"/>
          <w:color w:val="auto"/>
        </w:rPr>
        <w:t>各种施工机械噪声预测结果可以看出，在不采取减振降噪措施的情况下，土石方施工、道路工程和管线施工期间昼间距施工设备60m、夜间300m即可满足《建筑施工场界环境噪声排放标准》(GB12523-2011</w:t>
      </w:r>
      <w:r>
        <w:rPr>
          <w:rFonts w:hint="eastAsia"/>
          <w:color w:val="auto"/>
          <w:lang w:eastAsia="zh-CN"/>
        </w:rPr>
        <w:t>）</w:t>
      </w:r>
      <w:r>
        <w:rPr>
          <w:rFonts w:hint="default"/>
          <w:color w:val="auto"/>
        </w:rPr>
        <w:t>厂界噪声限值要求；设备安装施工期间昼间距施工机械40m、夜间200m即可满足《建筑施工场界环境噪声排放标准》(GB12523-2011</w:t>
      </w:r>
      <w:r>
        <w:rPr>
          <w:rFonts w:hint="eastAsia"/>
          <w:color w:val="auto"/>
          <w:lang w:eastAsia="zh-CN"/>
        </w:rPr>
        <w:t>）</w:t>
      </w:r>
      <w:r>
        <w:rPr>
          <w:rFonts w:hint="default"/>
          <w:color w:val="auto"/>
        </w:rPr>
        <w:t>厂界噪声限值要求。项目区5km内无居民，并且施工期噪声源均为暂时性的，只在短时期对局部环境和施工人员造成影响，待施工结束后这种影响也随之消失。施工期噪声对周围环境造成的影响属可接受范围。</w:t>
      </w:r>
    </w:p>
    <w:p w14:paraId="65751569">
      <w:pPr>
        <w:pStyle w:val="54"/>
        <w:bidi w:val="0"/>
        <w:rPr>
          <w:color w:val="auto"/>
          <w:lang w:val="en-US" w:eastAsia="zh-CN"/>
        </w:rPr>
      </w:pPr>
      <w:r>
        <w:rPr>
          <w:rFonts w:hint="eastAsia"/>
          <w:color w:val="auto"/>
          <w:lang w:val="en-US" w:eastAsia="zh-CN"/>
        </w:rPr>
        <w:t>5</w:t>
      </w:r>
      <w:r>
        <w:rPr>
          <w:color w:val="auto"/>
          <w:lang w:val="en-US" w:eastAsia="zh-CN"/>
        </w:rPr>
        <w:t>.</w:t>
      </w:r>
      <w:r>
        <w:rPr>
          <w:rFonts w:hint="eastAsia"/>
          <w:color w:val="auto"/>
          <w:lang w:val="en-US" w:eastAsia="zh-CN"/>
        </w:rPr>
        <w:t>5</w:t>
      </w:r>
      <w:r>
        <w:rPr>
          <w:color w:val="auto"/>
          <w:lang w:val="en-US" w:eastAsia="zh-CN"/>
        </w:rPr>
        <w:t>.2</w:t>
      </w:r>
      <w:r>
        <w:rPr>
          <w:rFonts w:hint="eastAsia"/>
          <w:color w:val="auto"/>
          <w:lang w:val="en-US" w:eastAsia="zh-CN"/>
        </w:rPr>
        <w:t xml:space="preserve"> </w:t>
      </w:r>
      <w:r>
        <w:rPr>
          <w:color w:val="auto"/>
          <w:lang w:val="en-US" w:eastAsia="zh-CN"/>
        </w:rPr>
        <w:t>运营期声环境影响分析</w:t>
      </w:r>
    </w:p>
    <w:p w14:paraId="2CA89B4C">
      <w:pPr>
        <w:pStyle w:val="55"/>
        <w:bidi w:val="0"/>
        <w:rPr>
          <w:rFonts w:hint="default"/>
          <w:color w:val="auto"/>
          <w:lang w:val="en-US" w:eastAsia="zh-CN"/>
        </w:rPr>
      </w:pPr>
      <w:bookmarkStart w:id="675" w:name="OLE_LINK373"/>
      <w:r>
        <w:rPr>
          <w:rFonts w:hint="eastAsia"/>
          <w:color w:val="auto"/>
          <w:lang w:val="en-US" w:eastAsia="zh-CN"/>
        </w:rPr>
        <w:t>5.5.5.1 运营期主要噪声源</w:t>
      </w:r>
    </w:p>
    <w:p w14:paraId="1C3411A9">
      <w:pPr>
        <w:pStyle w:val="79"/>
        <w:bidi w:val="0"/>
        <w:rPr>
          <w:rFonts w:hint="eastAsia"/>
          <w:color w:val="auto"/>
          <w:lang w:val="en-US" w:eastAsia="zh-CN"/>
        </w:rPr>
      </w:pPr>
      <w:r>
        <w:rPr>
          <w:rFonts w:hint="eastAsia"/>
          <w:color w:val="auto"/>
          <w:lang w:val="en-US" w:eastAsia="zh-CN"/>
        </w:rPr>
        <w:t>运营期间的噪声源主要为井场、雄探1试采点设备机泵等设备噪声，以及压裂、修井等井下作业噪声，因井下作业为阶段性作业，故本次噪声预测仅考虑井场、雄探1试采点机泵噪声。</w:t>
      </w:r>
    </w:p>
    <w:p w14:paraId="0CF47A90">
      <w:pPr>
        <w:pStyle w:val="55"/>
        <w:bidi w:val="0"/>
        <w:rPr>
          <w:rFonts w:hint="default"/>
          <w:color w:val="auto"/>
          <w:lang w:val="en-US" w:eastAsia="zh-CN"/>
        </w:rPr>
      </w:pPr>
      <w:r>
        <w:rPr>
          <w:rFonts w:hint="eastAsia"/>
          <w:color w:val="auto"/>
          <w:lang w:val="en-US" w:eastAsia="zh-CN"/>
        </w:rPr>
        <w:t>5.5.5.2 运营期噪声环境影响预测</w:t>
      </w:r>
    </w:p>
    <w:p w14:paraId="3A9D9893">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工程管线均埋设在地下，埋深大于1.2m，油气集输不会对周围声环境产生影响；产噪设备主要包括井场采</w:t>
      </w:r>
      <w:r>
        <w:rPr>
          <w:rFonts w:hint="eastAsia" w:cs="Times New Roman"/>
          <w:color w:val="auto"/>
          <w:kern w:val="0"/>
          <w:sz w:val="24"/>
          <w:szCs w:val="24"/>
          <w:highlight w:val="none"/>
          <w:lang w:val="en-US" w:eastAsia="zh-CN"/>
        </w:rPr>
        <w:t>油</w:t>
      </w:r>
      <w:r>
        <w:rPr>
          <w:rFonts w:hint="default" w:ascii="Times New Roman" w:hAnsi="Times New Roman" w:eastAsia="宋体" w:cs="Times New Roman"/>
          <w:color w:val="auto"/>
          <w:kern w:val="0"/>
          <w:sz w:val="24"/>
          <w:szCs w:val="24"/>
          <w:highlight w:val="none"/>
        </w:rPr>
        <w:t>树、泵类</w:t>
      </w:r>
      <w:r>
        <w:rPr>
          <w:rFonts w:hint="eastAsia" w:ascii="Times New Roman" w:hAnsi="Times New Roman" w:eastAsia="宋体" w:cs="Times New Roman"/>
          <w:color w:val="auto"/>
          <w:kern w:val="0"/>
          <w:sz w:val="24"/>
          <w:szCs w:val="24"/>
          <w:highlight w:val="none"/>
          <w:lang w:eastAsia="zh-CN"/>
        </w:rPr>
        <w:t>，</w:t>
      </w:r>
      <w:r>
        <w:rPr>
          <w:rFonts w:hint="eastAsia" w:cs="Times New Roman"/>
          <w:color w:val="auto"/>
          <w:kern w:val="0"/>
          <w:sz w:val="24"/>
          <w:szCs w:val="24"/>
          <w:highlight w:val="none"/>
          <w:lang w:val="en-US" w:eastAsia="zh-CN"/>
        </w:rPr>
        <w:t>雄探1试采点</w:t>
      </w:r>
      <w:r>
        <w:rPr>
          <w:rFonts w:hint="eastAsia" w:ascii="Times New Roman" w:hAnsi="Times New Roman" w:eastAsia="宋体" w:cs="Times New Roman"/>
          <w:color w:val="auto"/>
          <w:kern w:val="0"/>
          <w:sz w:val="24"/>
          <w:szCs w:val="24"/>
          <w:highlight w:val="none"/>
          <w:lang w:val="en-US" w:eastAsia="zh-CN"/>
        </w:rPr>
        <w:t>分离器、脱硫装置</w:t>
      </w:r>
      <w:r>
        <w:rPr>
          <w:rFonts w:hint="default" w:ascii="Times New Roman" w:hAnsi="Times New Roman" w:eastAsia="宋体" w:cs="Times New Roman"/>
          <w:color w:val="auto"/>
          <w:kern w:val="0"/>
          <w:sz w:val="24"/>
          <w:szCs w:val="24"/>
          <w:highlight w:val="none"/>
        </w:rPr>
        <w:t>等设备。</w:t>
      </w:r>
    </w:p>
    <w:p w14:paraId="08FB7DA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（一）预测模式</w:t>
      </w:r>
    </w:p>
    <w:p w14:paraId="65D9AEFB">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lang w:val="en-US" w:eastAsia="zh-CN"/>
        </w:rPr>
        <w:t>1</w:t>
      </w:r>
      <w:r>
        <w:rPr>
          <w:rFonts w:hint="eastAsia"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单个室外点声源在预测点产生的声级计算基本公式</w:t>
      </w:r>
    </w:p>
    <w:p w14:paraId="70A6F86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已知声源的倍频带声功率级</w:t>
      </w:r>
      <w:r>
        <w:rPr>
          <w:rFonts w:hint="eastAsia"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从63Hz到8000Hz标称频带中心频率的8个倍频带</w:t>
      </w:r>
      <w:r>
        <w:rPr>
          <w:rFonts w:hint="eastAsia"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，预测点位置的倍频带声压级</w:t>
      </w:r>
      <w:r>
        <w:rPr>
          <w:rFonts w:hint="eastAsia" w:ascii="Times New Roman"/>
          <w:color w:val="auto"/>
          <w:kern w:val="2"/>
        </w:rPr>
        <w:object>
          <v:shape id="_x0000_i1026" o:spt="75" type="#_x0000_t75" style="height:18.75pt;width:30pt;" o:ole="t" filled="f" o:preferrelative="t" stroked="f" coordsize="21600,21600">
            <v:path/>
            <v:fill on="f" focussize="0,0"/>
            <v:stroke on="f"/>
            <v:imagedata r:id="rId32" o:title=""/>
            <o:lock v:ext="edit" aspectratio="t"/>
            <w10:wrap type="none"/>
            <w10:anchorlock/>
          </v:shape>
          <o:OLEObject Type="Embed" ProgID="Equation.3" ShapeID="_x0000_i1026" DrawAspect="Content" ObjectID="_1468075728" r:id="rId31">
            <o:LockedField>false</o:LockedField>
          </o:OLEObject>
        </w:object>
      </w:r>
      <w:r>
        <w:rPr>
          <w:rFonts w:hint="default" w:ascii="Times New Roman" w:hAnsi="Times New Roman" w:eastAsia="宋体" w:cs="Times New Roman"/>
          <w:color w:val="auto"/>
          <w:kern w:val="0"/>
          <w:sz w:val="24"/>
          <w:szCs w:val="24"/>
          <w:highlight w:val="none"/>
        </w:rPr>
        <w:t>可按下式计算：</w:t>
      </w:r>
    </w:p>
    <w:p w14:paraId="6EECBCAB">
      <w:pPr>
        <w:widowControl w:val="0"/>
        <w:spacing w:line="360" w:lineRule="auto"/>
        <w:ind w:firstLine="945" w:firstLineChars="450"/>
        <w:jc w:val="both"/>
        <w:rPr>
          <w:rFonts w:hint="eastAsia" w:ascii="Times New Roman"/>
          <w:color w:val="auto"/>
          <w:kern w:val="2"/>
          <w:lang w:val="pt-BR"/>
        </w:rPr>
      </w:pPr>
      <w:r>
        <w:rPr>
          <w:rFonts w:hint="eastAsia" w:ascii="Times New Roman"/>
          <w:color w:val="auto"/>
          <w:kern w:val="2"/>
          <w:lang w:val="pt-BR"/>
        </w:rPr>
        <w:object>
          <v:shape id="_x0000_i1027" o:spt="75" type="#_x0000_t75" style="height:18.75pt;width:100.3pt;" o:ole="t" filled="f" o:preferrelative="t" stroked="f" coordsize="21600,21600">
            <v:path/>
            <v:fill on="f" focussize="0,0"/>
            <v:stroke on="f"/>
            <v:imagedata r:id="rId34" o:title=""/>
            <o:lock v:ext="edit" aspectratio="t"/>
            <w10:wrap type="none"/>
            <w10:anchorlock/>
          </v:shape>
          <o:OLEObject Type="Embed" ProgID="Equation.3" ShapeID="_x0000_i1027" DrawAspect="Content" ObjectID="_1468075729" r:id="rId33">
            <o:LockedField>false</o:LockedField>
          </o:OLEObject>
        </w:object>
      </w:r>
    </w:p>
    <w:p w14:paraId="23201823">
      <w:pPr>
        <w:widowControl w:val="0"/>
        <w:spacing w:before="240" w:line="360" w:lineRule="auto"/>
        <w:ind w:firstLine="945" w:firstLineChars="450"/>
        <w:jc w:val="both"/>
        <w:rPr>
          <w:rFonts w:hint="eastAsia" w:ascii="Times New Roman"/>
          <w:color w:val="auto"/>
          <w:kern w:val="2"/>
          <w:lang w:val="pt-BR"/>
        </w:rPr>
      </w:pPr>
      <w:r>
        <w:rPr>
          <w:rFonts w:hint="eastAsia" w:ascii="Times New Roman"/>
          <w:color w:val="auto"/>
          <w:kern w:val="2"/>
          <w:lang w:val="pt-BR"/>
        </w:rPr>
        <w:object>
          <v:shape id="_x0000_i1028" o:spt="75" type="#_x0000_t75" style="height:18.75pt;width:165.65pt;" o:ole="t" filled="f" o:preferrelative="t" stroked="f" coordsize="21600,21600">
            <v:path/>
            <v:fill on="f" focussize="0,0"/>
            <v:stroke on="f"/>
            <v:imagedata r:id="rId36" o:title=""/>
            <o:lock v:ext="edit" aspectratio="t"/>
            <w10:wrap type="none"/>
            <w10:anchorlock/>
          </v:shape>
          <o:OLEObject Type="Embed" ProgID="Equation.3" ShapeID="_x0000_i1028" DrawAspect="Content" ObjectID="_1468075730" r:id="rId35">
            <o:LockedField>false</o:LockedField>
          </o:OLEObject>
        </w:object>
      </w:r>
    </w:p>
    <w:p w14:paraId="55DFFE7C">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kern w:val="2"/>
          <w:sz w:val="24"/>
          <w:szCs w:val="24"/>
          <w:lang w:val="pt-BR"/>
        </w:rPr>
      </w:pPr>
      <w:r>
        <w:rPr>
          <w:rFonts w:hint="default" w:ascii="Times New Roman" w:hAnsi="Times New Roman" w:eastAsia="宋体" w:cs="Times New Roman"/>
          <w:color w:val="auto"/>
          <w:kern w:val="2"/>
          <w:sz w:val="24"/>
          <w:szCs w:val="24"/>
        </w:rPr>
        <w:t>式中</w:t>
      </w:r>
      <w:r>
        <w:rPr>
          <w:rFonts w:hint="default" w:ascii="Times New Roman" w:hAnsi="Times New Roman" w:eastAsia="宋体" w:cs="Times New Roman"/>
          <w:color w:val="auto"/>
          <w:kern w:val="2"/>
          <w:sz w:val="24"/>
          <w:szCs w:val="24"/>
          <w:lang w:val="pt-BR"/>
        </w:rPr>
        <w:t>：</w:t>
      </w:r>
      <w:r>
        <w:rPr>
          <w:rFonts w:hint="default" w:ascii="Times New Roman" w:hAnsi="Times New Roman" w:eastAsia="宋体" w:cs="Times New Roman"/>
          <w:color w:val="auto"/>
          <w:kern w:val="2"/>
          <w:sz w:val="24"/>
          <w:szCs w:val="24"/>
          <w:lang w:val="pt-BR"/>
        </w:rPr>
        <w:drawing>
          <wp:inline distT="0" distB="0" distL="114300" distR="114300">
            <wp:extent cx="390525" cy="238125"/>
            <wp:effectExtent l="0" t="0" r="8890" b="8255"/>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pic:cNvPicPr>
                  </pic:nvPicPr>
                  <pic:blipFill>
                    <a:blip r:embed="rId37"/>
                    <a:stretch>
                      <a:fillRect/>
                    </a:stretch>
                  </pic:blipFill>
                  <pic:spPr>
                    <a:xfrm>
                      <a:off x="0" y="0"/>
                      <a:ext cx="390525" cy="238125"/>
                    </a:xfrm>
                    <a:prstGeom prst="rect">
                      <a:avLst/>
                    </a:prstGeom>
                    <a:noFill/>
                    <a:ln>
                      <a:noFill/>
                    </a:ln>
                  </pic:spPr>
                </pic:pic>
              </a:graphicData>
            </a:graphic>
          </wp:inline>
        </w:drawing>
      </w:r>
      <w:r>
        <w:rPr>
          <w:rFonts w:hint="default" w:ascii="Times New Roman" w:hAnsi="Times New Roman" w:eastAsia="宋体" w:cs="Times New Roman"/>
          <w:color w:val="auto"/>
          <w:kern w:val="2"/>
          <w:sz w:val="24"/>
          <w:szCs w:val="24"/>
          <w:lang w:val="pt-BR"/>
        </w:rPr>
        <w:t>—</w:t>
      </w:r>
      <w:r>
        <w:rPr>
          <w:rFonts w:hint="default" w:ascii="Times New Roman" w:hAnsi="Times New Roman" w:eastAsia="宋体" w:cs="Times New Roman"/>
          <w:color w:val="auto"/>
          <w:kern w:val="2"/>
          <w:sz w:val="24"/>
          <w:szCs w:val="24"/>
        </w:rPr>
        <w:t>距离声源</w:t>
      </w:r>
      <w:r>
        <w:rPr>
          <w:rFonts w:hint="default" w:ascii="Times New Roman" w:hAnsi="Times New Roman" w:eastAsia="宋体" w:cs="Times New Roman"/>
          <w:color w:val="auto"/>
          <w:kern w:val="2"/>
          <w:sz w:val="24"/>
          <w:szCs w:val="24"/>
          <w:lang w:val="pt-BR"/>
        </w:rPr>
        <w:t>r</w:t>
      </w:r>
      <w:r>
        <w:rPr>
          <w:rFonts w:hint="default" w:ascii="Times New Roman" w:hAnsi="Times New Roman" w:eastAsia="宋体" w:cs="Times New Roman"/>
          <w:color w:val="auto"/>
          <w:kern w:val="2"/>
          <w:sz w:val="24"/>
          <w:szCs w:val="24"/>
        </w:rPr>
        <w:t>处的</w:t>
      </w:r>
      <w:r>
        <w:rPr>
          <w:rFonts w:hint="default" w:ascii="Times New Roman" w:hAnsi="Times New Roman" w:eastAsia="宋体" w:cs="Times New Roman"/>
          <w:color w:val="auto"/>
          <w:kern w:val="2"/>
          <w:sz w:val="24"/>
          <w:szCs w:val="24"/>
          <w:lang w:val="pt-BR"/>
        </w:rPr>
        <w:t>倍频带声压级，dB；</w:t>
      </w:r>
    </w:p>
    <w:p w14:paraId="0D76BF7A">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kern w:val="2"/>
          <w:sz w:val="24"/>
          <w:szCs w:val="24"/>
          <w:lang w:val="pt-BR"/>
        </w:rPr>
      </w:pPr>
      <w:r>
        <w:rPr>
          <w:rFonts w:hint="default" w:ascii="Times New Roman" w:hAnsi="Times New Roman" w:eastAsia="宋体" w:cs="Times New Roman"/>
          <w:color w:val="auto"/>
          <w:kern w:val="2"/>
          <w:sz w:val="24"/>
          <w:szCs w:val="24"/>
          <w:lang w:val="pt-BR"/>
        </w:rPr>
        <w:t xml:space="preserve">      </w:t>
      </w:r>
      <w:r>
        <w:rPr>
          <w:rFonts w:hint="default" w:ascii="Times New Roman" w:hAnsi="Times New Roman" w:eastAsia="宋体" w:cs="Times New Roman"/>
          <w:color w:val="auto"/>
          <w:kern w:val="2"/>
          <w:sz w:val="24"/>
          <w:szCs w:val="24"/>
          <w:lang w:val="pt-BR"/>
        </w:rPr>
        <w:drawing>
          <wp:inline distT="0" distB="0" distL="114300" distR="114300">
            <wp:extent cx="200025" cy="228600"/>
            <wp:effectExtent l="0" t="0" r="9525" b="0"/>
            <wp:docPr id="5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
                    <pic:cNvPicPr>
                      <a:picLocks noChangeAspect="1"/>
                    </pic:cNvPicPr>
                  </pic:nvPicPr>
                  <pic:blipFill>
                    <a:blip r:embed="rId38"/>
                    <a:stretch>
                      <a:fillRect/>
                    </a:stretch>
                  </pic:blipFill>
                  <pic:spPr>
                    <a:xfrm>
                      <a:off x="0" y="0"/>
                      <a:ext cx="200025" cy="228600"/>
                    </a:xfrm>
                    <a:prstGeom prst="rect">
                      <a:avLst/>
                    </a:prstGeom>
                    <a:noFill/>
                    <a:ln>
                      <a:noFill/>
                    </a:ln>
                  </pic:spPr>
                </pic:pic>
              </a:graphicData>
            </a:graphic>
          </wp:inline>
        </w:drawing>
      </w:r>
      <w:r>
        <w:rPr>
          <w:rFonts w:hint="default" w:ascii="Times New Roman" w:hAnsi="Times New Roman" w:eastAsia="宋体" w:cs="Times New Roman"/>
          <w:color w:val="auto"/>
          <w:kern w:val="2"/>
          <w:sz w:val="24"/>
          <w:szCs w:val="24"/>
          <w:lang w:val="pt-BR"/>
        </w:rPr>
        <w:t>—倍频带声功率级，dB；</w:t>
      </w:r>
    </w:p>
    <w:p w14:paraId="2972BE7C">
      <w:pPr>
        <w:keepNext w:val="0"/>
        <w:keepLines w:val="0"/>
        <w:pageBreakBefore w:val="0"/>
        <w:widowControl w:val="0"/>
        <w:kinsoku/>
        <w:wordWrap/>
        <w:overflowPunct/>
        <w:topLinePunct w:val="0"/>
        <w:autoSpaceDE/>
        <w:autoSpaceDN/>
        <w:bidi w:val="0"/>
        <w:adjustRightInd/>
        <w:snapToGrid/>
        <w:spacing w:line="480" w:lineRule="exact"/>
        <w:ind w:firstLine="1200" w:firstLineChars="500"/>
        <w:jc w:val="both"/>
        <w:textAlignment w:val="auto"/>
        <w:rPr>
          <w:rFonts w:hint="default" w:ascii="Times New Roman" w:hAnsi="Times New Roman" w:eastAsia="宋体" w:cs="Times New Roman"/>
          <w:color w:val="auto"/>
          <w:kern w:val="2"/>
          <w:sz w:val="24"/>
          <w:szCs w:val="24"/>
          <w:lang w:val="pt-BR"/>
        </w:rPr>
      </w:pPr>
      <w:r>
        <w:rPr>
          <w:rFonts w:hint="default" w:ascii="Times New Roman" w:hAnsi="Times New Roman" w:eastAsia="宋体" w:cs="Times New Roman"/>
          <w:color w:val="auto"/>
          <w:kern w:val="2"/>
          <w:sz w:val="24"/>
          <w:szCs w:val="24"/>
          <w:lang w:val="pt-BR"/>
        </w:rPr>
        <w:drawing>
          <wp:inline distT="0" distB="0" distL="114300" distR="114300">
            <wp:extent cx="200025" cy="228600"/>
            <wp:effectExtent l="0" t="0" r="9525" b="0"/>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pic:cNvPicPr>
                      <a:picLocks noChangeAspect="1"/>
                    </pic:cNvPicPr>
                  </pic:nvPicPr>
                  <pic:blipFill>
                    <a:blip r:embed="rId39"/>
                    <a:stretch>
                      <a:fillRect/>
                    </a:stretch>
                  </pic:blipFill>
                  <pic:spPr>
                    <a:xfrm>
                      <a:off x="0" y="0"/>
                      <a:ext cx="200025" cy="228600"/>
                    </a:xfrm>
                    <a:prstGeom prst="rect">
                      <a:avLst/>
                    </a:prstGeom>
                    <a:noFill/>
                    <a:ln>
                      <a:noFill/>
                    </a:ln>
                  </pic:spPr>
                </pic:pic>
              </a:graphicData>
            </a:graphic>
          </wp:inline>
        </w:drawing>
      </w:r>
      <w:r>
        <w:rPr>
          <w:rFonts w:hint="default" w:ascii="Times New Roman" w:hAnsi="Times New Roman" w:eastAsia="宋体" w:cs="Times New Roman"/>
          <w:color w:val="auto"/>
          <w:kern w:val="2"/>
          <w:sz w:val="24"/>
          <w:szCs w:val="24"/>
          <w:lang w:val="pt-BR"/>
        </w:rPr>
        <w:t>—指向性校正，dB；</w:t>
      </w:r>
    </w:p>
    <w:p w14:paraId="7B4BF7C9">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kern w:val="2"/>
          <w:sz w:val="24"/>
          <w:szCs w:val="24"/>
          <w:lang w:val="pt-BR"/>
        </w:rPr>
      </w:pPr>
      <w:r>
        <w:rPr>
          <w:rFonts w:hint="default" w:ascii="Times New Roman" w:hAnsi="Times New Roman" w:eastAsia="宋体" w:cs="Times New Roman"/>
          <w:color w:val="auto"/>
          <w:kern w:val="2"/>
          <w:sz w:val="24"/>
          <w:szCs w:val="24"/>
          <w:lang w:val="pt-BR"/>
        </w:rPr>
        <w:t xml:space="preserve">      </w:t>
      </w:r>
      <w:r>
        <w:rPr>
          <w:rFonts w:hint="default" w:ascii="Times New Roman" w:hAnsi="Times New Roman" w:eastAsia="宋体" w:cs="Times New Roman"/>
          <w:color w:val="auto"/>
          <w:kern w:val="2"/>
          <w:sz w:val="24"/>
          <w:szCs w:val="24"/>
          <w:lang w:val="pt-BR"/>
        </w:rPr>
        <w:drawing>
          <wp:inline distT="0" distB="0" distL="114300" distR="114300">
            <wp:extent cx="152400" cy="161925"/>
            <wp:effectExtent l="0" t="0" r="0" b="6350"/>
            <wp:docPr id="4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
                    <pic:cNvPicPr>
                      <a:picLocks noChangeAspect="1"/>
                    </pic:cNvPicPr>
                  </pic:nvPicPr>
                  <pic:blipFill>
                    <a:blip r:embed="rId40"/>
                    <a:stretch>
                      <a:fillRect/>
                    </a:stretch>
                  </pic:blipFill>
                  <pic:spPr>
                    <a:xfrm>
                      <a:off x="0" y="0"/>
                      <a:ext cx="152400" cy="161925"/>
                    </a:xfrm>
                    <a:prstGeom prst="rect">
                      <a:avLst/>
                    </a:prstGeom>
                    <a:noFill/>
                    <a:ln>
                      <a:noFill/>
                    </a:ln>
                  </pic:spPr>
                </pic:pic>
              </a:graphicData>
            </a:graphic>
          </wp:inline>
        </w:drawing>
      </w:r>
      <w:r>
        <w:rPr>
          <w:rFonts w:hint="default" w:ascii="Times New Roman" w:hAnsi="Times New Roman" w:eastAsia="宋体" w:cs="Times New Roman"/>
          <w:color w:val="auto"/>
          <w:kern w:val="2"/>
          <w:sz w:val="24"/>
          <w:szCs w:val="24"/>
          <w:lang w:val="pt-BR"/>
        </w:rPr>
        <w:t>—倍频带衰减，dB；</w:t>
      </w:r>
    </w:p>
    <w:p w14:paraId="3CD8BCFB">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pt-BR"/>
        </w:rPr>
        <w:t xml:space="preserve">      </w:t>
      </w:r>
      <w:r>
        <w:rPr>
          <w:rFonts w:hint="default" w:ascii="Times New Roman" w:hAnsi="Times New Roman" w:eastAsia="宋体" w:cs="Times New Roman"/>
          <w:color w:val="auto"/>
          <w:kern w:val="2"/>
          <w:sz w:val="24"/>
          <w:szCs w:val="24"/>
          <w:lang w:val="pt-BR"/>
        </w:rPr>
        <w:drawing>
          <wp:inline distT="0" distB="0" distL="114300" distR="114300">
            <wp:extent cx="266700" cy="228600"/>
            <wp:effectExtent l="0" t="0" r="0" b="0"/>
            <wp:docPr id="4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1"/>
                    <pic:cNvPicPr>
                      <a:picLocks noChangeAspect="1"/>
                    </pic:cNvPicPr>
                  </pic:nvPicPr>
                  <pic:blipFill>
                    <a:blip r:embed="rId41"/>
                    <a:stretch>
                      <a:fillRect/>
                    </a:stretch>
                  </pic:blipFill>
                  <pic:spPr>
                    <a:xfrm>
                      <a:off x="0" y="0"/>
                      <a:ext cx="266700" cy="228600"/>
                    </a:xfrm>
                    <a:prstGeom prst="rect">
                      <a:avLst/>
                    </a:prstGeom>
                    <a:noFill/>
                    <a:ln>
                      <a:noFill/>
                    </a:ln>
                  </pic:spPr>
                </pic:pic>
              </a:graphicData>
            </a:graphic>
          </wp:inline>
        </w:drawing>
      </w:r>
      <w:r>
        <w:rPr>
          <w:rFonts w:hint="default" w:ascii="Times New Roman" w:hAnsi="Times New Roman" w:eastAsia="宋体" w:cs="Times New Roman"/>
          <w:color w:val="auto"/>
          <w:kern w:val="2"/>
          <w:sz w:val="24"/>
          <w:szCs w:val="24"/>
        </w:rPr>
        <w:t>—几何发散引起的倍频带衰减，</w:t>
      </w:r>
      <w:r>
        <w:rPr>
          <w:rFonts w:hint="default" w:ascii="Times New Roman" w:hAnsi="Times New Roman" w:eastAsia="宋体" w:cs="Times New Roman"/>
          <w:color w:val="auto"/>
          <w:kern w:val="2"/>
          <w:sz w:val="24"/>
          <w:szCs w:val="24"/>
          <w:lang w:val="pt-BR"/>
        </w:rPr>
        <w:t>dB；</w:t>
      </w:r>
    </w:p>
    <w:p w14:paraId="1CFB0FA6">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kern w:val="2"/>
          <w:sz w:val="24"/>
          <w:szCs w:val="24"/>
          <w:lang w:val="pt-BR"/>
        </w:rPr>
      </w:pPr>
      <w:r>
        <w:rPr>
          <w:rFonts w:hint="default" w:ascii="Times New Roman" w:hAnsi="Times New Roman" w:eastAsia="宋体" w:cs="Times New Roman"/>
          <w:color w:val="auto"/>
          <w:kern w:val="2"/>
          <w:sz w:val="24"/>
          <w:szCs w:val="24"/>
        </w:rPr>
        <w:t xml:space="preserve">      </w:t>
      </w:r>
      <w:r>
        <w:rPr>
          <w:rFonts w:hint="default" w:ascii="Times New Roman" w:hAnsi="Times New Roman" w:eastAsia="宋体" w:cs="Times New Roman"/>
          <w:color w:val="auto"/>
          <w:kern w:val="2"/>
          <w:sz w:val="24"/>
          <w:szCs w:val="24"/>
          <w:lang w:val="pt-BR"/>
        </w:rPr>
        <w:drawing>
          <wp:inline distT="0" distB="0" distL="114300" distR="114300">
            <wp:extent cx="238125" cy="257810"/>
            <wp:effectExtent l="0" t="0" r="0" b="7620"/>
            <wp:docPr id="4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2"/>
                    <pic:cNvPicPr>
                      <a:picLocks noChangeAspect="1"/>
                    </pic:cNvPicPr>
                  </pic:nvPicPr>
                  <pic:blipFill>
                    <a:blip r:embed="rId42"/>
                    <a:stretch>
                      <a:fillRect/>
                    </a:stretch>
                  </pic:blipFill>
                  <pic:spPr>
                    <a:xfrm>
                      <a:off x="0" y="0"/>
                      <a:ext cx="238125" cy="257810"/>
                    </a:xfrm>
                    <a:prstGeom prst="rect">
                      <a:avLst/>
                    </a:prstGeom>
                    <a:noFill/>
                    <a:ln>
                      <a:noFill/>
                    </a:ln>
                  </pic:spPr>
                </pic:pic>
              </a:graphicData>
            </a:graphic>
          </wp:inline>
        </w:drawing>
      </w:r>
      <w:r>
        <w:rPr>
          <w:rFonts w:hint="default" w:ascii="Times New Roman" w:hAnsi="Times New Roman" w:eastAsia="宋体" w:cs="Times New Roman"/>
          <w:color w:val="auto"/>
          <w:kern w:val="2"/>
          <w:sz w:val="24"/>
          <w:szCs w:val="24"/>
        </w:rPr>
        <w:t>—地面效应引起的倍频带衰减，</w:t>
      </w:r>
      <w:r>
        <w:rPr>
          <w:rFonts w:hint="default" w:ascii="Times New Roman" w:hAnsi="Times New Roman" w:eastAsia="宋体" w:cs="Times New Roman"/>
          <w:color w:val="auto"/>
          <w:kern w:val="2"/>
          <w:sz w:val="24"/>
          <w:szCs w:val="24"/>
          <w:lang w:val="pt-BR"/>
        </w:rPr>
        <w:t>dB；</w:t>
      </w:r>
    </w:p>
    <w:p w14:paraId="1F00C3B7">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 xml:space="preserve">      </w:t>
      </w:r>
      <w:r>
        <w:rPr>
          <w:rFonts w:hint="default" w:ascii="Times New Roman" w:hAnsi="Times New Roman" w:eastAsia="宋体" w:cs="Times New Roman"/>
          <w:color w:val="auto"/>
          <w:kern w:val="2"/>
          <w:sz w:val="24"/>
          <w:szCs w:val="24"/>
          <w:lang w:val="pt-BR"/>
        </w:rPr>
        <w:drawing>
          <wp:inline distT="0" distB="0" distL="114300" distR="114300">
            <wp:extent cx="276225" cy="228600"/>
            <wp:effectExtent l="0" t="0" r="8890" b="0"/>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1"/>
                    </pic:cNvPicPr>
                  </pic:nvPicPr>
                  <pic:blipFill>
                    <a:blip r:embed="rId43"/>
                    <a:stretch>
                      <a:fillRect/>
                    </a:stretch>
                  </pic:blipFill>
                  <pic:spPr>
                    <a:xfrm>
                      <a:off x="0" y="0"/>
                      <a:ext cx="276225" cy="228600"/>
                    </a:xfrm>
                    <a:prstGeom prst="rect">
                      <a:avLst/>
                    </a:prstGeom>
                    <a:noFill/>
                    <a:ln>
                      <a:noFill/>
                    </a:ln>
                  </pic:spPr>
                </pic:pic>
              </a:graphicData>
            </a:graphic>
          </wp:inline>
        </w:drawing>
      </w:r>
      <w:r>
        <w:rPr>
          <w:rFonts w:hint="default" w:ascii="Times New Roman" w:hAnsi="Times New Roman" w:eastAsia="宋体" w:cs="Times New Roman"/>
          <w:color w:val="auto"/>
          <w:kern w:val="2"/>
          <w:sz w:val="24"/>
          <w:szCs w:val="24"/>
        </w:rPr>
        <w:t>—大气吸收引起的倍频带衰减，</w:t>
      </w:r>
      <w:r>
        <w:rPr>
          <w:rFonts w:hint="default" w:ascii="Times New Roman" w:hAnsi="Times New Roman" w:eastAsia="宋体" w:cs="Times New Roman"/>
          <w:color w:val="auto"/>
          <w:kern w:val="2"/>
          <w:sz w:val="24"/>
          <w:szCs w:val="24"/>
          <w:lang w:val="pt-BR"/>
        </w:rPr>
        <w:t>dB；</w:t>
      </w:r>
    </w:p>
    <w:p w14:paraId="5234F318">
      <w:pPr>
        <w:keepNext w:val="0"/>
        <w:keepLines w:val="0"/>
        <w:pageBreakBefore w:val="0"/>
        <w:widowControl w:val="0"/>
        <w:kinsoku/>
        <w:wordWrap/>
        <w:overflowPunct/>
        <w:topLinePunct w:val="0"/>
        <w:autoSpaceDE/>
        <w:autoSpaceDN/>
        <w:bidi w:val="0"/>
        <w:adjustRightInd/>
        <w:snapToGrid/>
        <w:spacing w:line="480" w:lineRule="exact"/>
        <w:ind w:firstLine="960" w:firstLineChars="400"/>
        <w:jc w:val="both"/>
        <w:textAlignment w:val="auto"/>
        <w:rPr>
          <w:rFonts w:hint="default" w:ascii="Times New Roman" w:hAnsi="Times New Roman" w:eastAsia="宋体" w:cs="Times New Roman"/>
          <w:color w:val="auto"/>
          <w:kern w:val="2"/>
          <w:sz w:val="24"/>
          <w:szCs w:val="24"/>
          <w:lang w:val="pt-BR"/>
        </w:rPr>
      </w:pPr>
      <w:r>
        <w:rPr>
          <w:rFonts w:hint="default" w:ascii="Times New Roman" w:hAnsi="Times New Roman" w:eastAsia="宋体" w:cs="Times New Roman"/>
          <w:color w:val="auto"/>
          <w:kern w:val="2"/>
          <w:sz w:val="24"/>
          <w:szCs w:val="24"/>
          <w:lang w:val="pt-BR"/>
        </w:rPr>
        <w:drawing>
          <wp:inline distT="0" distB="0" distL="114300" distR="114300">
            <wp:extent cx="276225" cy="228600"/>
            <wp:effectExtent l="0" t="0" r="8890" b="0"/>
            <wp:docPr id="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pic:cNvPicPr>
                      <a:picLocks noChangeAspect="1"/>
                    </pic:cNvPicPr>
                  </pic:nvPicPr>
                  <pic:blipFill>
                    <a:blip r:embed="rId44"/>
                    <a:stretch>
                      <a:fillRect/>
                    </a:stretch>
                  </pic:blipFill>
                  <pic:spPr>
                    <a:xfrm>
                      <a:off x="0" y="0"/>
                      <a:ext cx="276225" cy="228600"/>
                    </a:xfrm>
                    <a:prstGeom prst="rect">
                      <a:avLst/>
                    </a:prstGeom>
                    <a:noFill/>
                    <a:ln>
                      <a:noFill/>
                    </a:ln>
                  </pic:spPr>
                </pic:pic>
              </a:graphicData>
            </a:graphic>
          </wp:inline>
        </w:drawing>
      </w:r>
      <w:r>
        <w:rPr>
          <w:rFonts w:hint="default" w:ascii="Times New Roman" w:hAnsi="Times New Roman" w:eastAsia="宋体" w:cs="Times New Roman"/>
          <w:color w:val="auto"/>
          <w:kern w:val="2"/>
          <w:sz w:val="24"/>
          <w:szCs w:val="24"/>
          <w:lang w:val="pt-BR"/>
        </w:rPr>
        <w:t>—声</w:t>
      </w:r>
      <w:r>
        <w:rPr>
          <w:rFonts w:hint="default" w:ascii="Times New Roman" w:hAnsi="Times New Roman" w:eastAsia="宋体" w:cs="Times New Roman"/>
          <w:color w:val="auto"/>
          <w:kern w:val="2"/>
          <w:sz w:val="24"/>
          <w:szCs w:val="24"/>
        </w:rPr>
        <w:t>屏障引起的倍频带衰减，</w:t>
      </w:r>
      <w:r>
        <w:rPr>
          <w:rFonts w:hint="default" w:ascii="Times New Roman" w:hAnsi="Times New Roman" w:eastAsia="宋体" w:cs="Times New Roman"/>
          <w:color w:val="auto"/>
          <w:kern w:val="2"/>
          <w:sz w:val="24"/>
          <w:szCs w:val="24"/>
          <w:lang w:val="pt-BR"/>
        </w:rPr>
        <w:t>dB；</w:t>
      </w:r>
    </w:p>
    <w:p w14:paraId="579E76B4">
      <w:pPr>
        <w:keepNext w:val="0"/>
        <w:keepLines w:val="0"/>
        <w:pageBreakBefore w:val="0"/>
        <w:widowControl w:val="0"/>
        <w:kinsoku/>
        <w:wordWrap/>
        <w:overflowPunct/>
        <w:topLinePunct w:val="0"/>
        <w:autoSpaceDE/>
        <w:autoSpaceDN/>
        <w:bidi w:val="0"/>
        <w:adjustRightInd/>
        <w:snapToGrid/>
        <w:spacing w:line="480" w:lineRule="exact"/>
        <w:ind w:firstLine="960" w:firstLineChars="400"/>
        <w:jc w:val="both"/>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pt-BR"/>
        </w:rPr>
        <w:drawing>
          <wp:inline distT="0" distB="0" distL="114300" distR="114300">
            <wp:extent cx="314325" cy="228600"/>
            <wp:effectExtent l="0" t="0" r="8890" b="0"/>
            <wp:docPr id="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5"/>
                    <pic:cNvPicPr>
                      <a:picLocks noChangeAspect="1"/>
                    </pic:cNvPicPr>
                  </pic:nvPicPr>
                  <pic:blipFill>
                    <a:blip r:embed="rId45"/>
                    <a:stretch>
                      <a:fillRect/>
                    </a:stretch>
                  </pic:blipFill>
                  <pic:spPr>
                    <a:xfrm>
                      <a:off x="0" y="0"/>
                      <a:ext cx="314325" cy="228600"/>
                    </a:xfrm>
                    <a:prstGeom prst="rect">
                      <a:avLst/>
                    </a:prstGeom>
                    <a:noFill/>
                    <a:ln>
                      <a:noFill/>
                    </a:ln>
                  </pic:spPr>
                </pic:pic>
              </a:graphicData>
            </a:graphic>
          </wp:inline>
        </w:drawing>
      </w:r>
      <w:r>
        <w:rPr>
          <w:rFonts w:hint="default" w:ascii="Times New Roman" w:hAnsi="Times New Roman" w:eastAsia="宋体" w:cs="Times New Roman"/>
          <w:color w:val="auto"/>
          <w:kern w:val="2"/>
          <w:sz w:val="24"/>
          <w:szCs w:val="24"/>
          <w:lang w:val="pt-BR"/>
        </w:rPr>
        <w:t>—</w:t>
      </w:r>
      <w:r>
        <w:rPr>
          <w:rFonts w:hint="default" w:ascii="Times New Roman" w:hAnsi="Times New Roman" w:eastAsia="宋体" w:cs="Times New Roman"/>
          <w:color w:val="auto"/>
          <w:kern w:val="2"/>
          <w:sz w:val="24"/>
          <w:szCs w:val="24"/>
        </w:rPr>
        <w:t>其他多方面效应引起的倍频带衰减，</w:t>
      </w:r>
      <w:r>
        <w:rPr>
          <w:rFonts w:hint="default" w:ascii="Times New Roman" w:hAnsi="Times New Roman" w:eastAsia="宋体" w:cs="Times New Roman"/>
          <w:color w:val="auto"/>
          <w:kern w:val="2"/>
          <w:sz w:val="24"/>
          <w:szCs w:val="24"/>
          <w:lang w:val="pt-BR"/>
        </w:rPr>
        <w:t>dB</w:t>
      </w:r>
      <w:r>
        <w:rPr>
          <w:rFonts w:hint="default" w:ascii="Times New Roman" w:hAnsi="Times New Roman" w:eastAsia="宋体" w:cs="Times New Roman"/>
          <w:color w:val="auto"/>
          <w:kern w:val="2"/>
          <w:sz w:val="24"/>
          <w:szCs w:val="24"/>
        </w:rPr>
        <w:t>。</w:t>
      </w:r>
    </w:p>
    <w:p w14:paraId="3F7E0244">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lang w:eastAsia="zh-CN"/>
        </w:rPr>
        <w:t>（</w:t>
      </w:r>
      <w:r>
        <w:rPr>
          <w:rFonts w:hint="eastAsia" w:ascii="Times New Roman" w:hAnsi="Times New Roman" w:eastAsia="宋体" w:cs="Times New Roman"/>
          <w:color w:val="auto"/>
          <w:kern w:val="2"/>
          <w:sz w:val="24"/>
          <w:szCs w:val="24"/>
          <w:lang w:val="en-US" w:eastAsia="zh-CN"/>
        </w:rPr>
        <w:t>2</w:t>
      </w:r>
      <w:r>
        <w:rPr>
          <w:rFonts w:hint="eastAsia" w:ascii="Times New Roman" w:hAnsi="Times New Roman" w:eastAsia="宋体" w:cs="Times New Roman"/>
          <w:color w:val="auto"/>
          <w:kern w:val="2"/>
          <w:sz w:val="24"/>
          <w:szCs w:val="24"/>
          <w:lang w:eastAsia="zh-CN"/>
        </w:rPr>
        <w:t>）</w:t>
      </w:r>
      <w:r>
        <w:rPr>
          <w:rFonts w:hint="default" w:ascii="Times New Roman" w:hAnsi="Times New Roman" w:eastAsia="宋体" w:cs="Times New Roman"/>
          <w:color w:val="auto"/>
          <w:kern w:val="2"/>
          <w:sz w:val="24"/>
          <w:szCs w:val="24"/>
        </w:rPr>
        <w:t>计算总声压级</w:t>
      </w:r>
    </w:p>
    <w:p w14:paraId="228F0A49">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①计算本工程各室外噪声源和各含噪声源厂房对各预测点噪声贡献值</w:t>
      </w:r>
    </w:p>
    <w:p w14:paraId="0679F8C9">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cs="Times New Roman"/>
          <w:color w:val="auto"/>
          <w:kern w:val="2"/>
          <w:sz w:val="24"/>
          <w:szCs w:val="24"/>
          <w:lang w:eastAsia="zh-CN"/>
        </w:rPr>
      </w:pPr>
      <w:r>
        <w:rPr>
          <w:rFonts w:hint="default" w:ascii="Times New Roman" w:hAnsi="Times New Roman" w:eastAsia="宋体" w:cs="Times New Roman"/>
          <w:color w:val="auto"/>
          <w:kern w:val="2"/>
          <w:sz w:val="24"/>
          <w:szCs w:val="24"/>
        </w:rPr>
        <w:t>设第</w:t>
      </w:r>
      <w:r>
        <w:rPr>
          <w:rFonts w:hint="default" w:ascii="Times New Roman" w:hAnsi="Times New Roman" w:eastAsia="宋体" w:cs="Times New Roman"/>
          <w:color w:val="auto"/>
          <w:kern w:val="2"/>
          <w:sz w:val="24"/>
          <w:szCs w:val="24"/>
        </w:rPr>
        <w:drawing>
          <wp:inline distT="0" distB="0" distL="114300" distR="114300">
            <wp:extent cx="85725" cy="161925"/>
            <wp:effectExtent l="0" t="0" r="9525" b="7620"/>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pic:cNvPicPr>
                      <a:picLocks noChangeAspect="1"/>
                    </pic:cNvPicPr>
                  </pic:nvPicPr>
                  <pic:blipFill>
                    <a:blip r:embed="rId46"/>
                    <a:stretch>
                      <a:fillRect/>
                    </a:stretch>
                  </pic:blipFill>
                  <pic:spPr>
                    <a:xfrm>
                      <a:off x="0" y="0"/>
                      <a:ext cx="85725" cy="161925"/>
                    </a:xfrm>
                    <a:prstGeom prst="rect">
                      <a:avLst/>
                    </a:prstGeom>
                    <a:noFill/>
                    <a:ln>
                      <a:noFill/>
                    </a:ln>
                  </pic:spPr>
                </pic:pic>
              </a:graphicData>
            </a:graphic>
          </wp:inline>
        </w:drawing>
      </w:r>
      <w:r>
        <w:rPr>
          <w:rFonts w:hint="default" w:ascii="Times New Roman" w:hAnsi="Times New Roman" w:eastAsia="宋体" w:cs="Times New Roman"/>
          <w:color w:val="auto"/>
          <w:kern w:val="2"/>
          <w:sz w:val="24"/>
          <w:szCs w:val="24"/>
        </w:rPr>
        <w:t>个室外声源在预测点产生的A声级为</w:t>
      </w:r>
      <w:r>
        <w:rPr>
          <w:rFonts w:hint="default" w:ascii="Times New Roman" w:hAnsi="Times New Roman" w:eastAsia="宋体" w:cs="Times New Roman"/>
          <w:color w:val="auto"/>
          <w:kern w:val="2"/>
          <w:sz w:val="24"/>
          <w:szCs w:val="24"/>
        </w:rPr>
        <w:drawing>
          <wp:inline distT="0" distB="0" distL="114300" distR="114300">
            <wp:extent cx="228600" cy="228600"/>
            <wp:effectExtent l="0" t="0" r="0" b="0"/>
            <wp:docPr id="4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
                    <pic:cNvPicPr>
                      <a:picLocks noChangeAspect="1"/>
                    </pic:cNvPicPr>
                  </pic:nvPicPr>
                  <pic:blipFill>
                    <a:blip r:embed="rId47"/>
                    <a:stretch>
                      <a:fillRect/>
                    </a:stretch>
                  </pic:blipFill>
                  <pic:spPr>
                    <a:xfrm>
                      <a:off x="0" y="0"/>
                      <a:ext cx="228600" cy="228600"/>
                    </a:xfrm>
                    <a:prstGeom prst="rect">
                      <a:avLst/>
                    </a:prstGeom>
                    <a:noFill/>
                    <a:ln>
                      <a:noFill/>
                    </a:ln>
                  </pic:spPr>
                </pic:pic>
              </a:graphicData>
            </a:graphic>
          </wp:inline>
        </w:drawing>
      </w:r>
      <w:r>
        <w:rPr>
          <w:rFonts w:hint="default" w:ascii="Times New Roman" w:hAnsi="Times New Roman" w:eastAsia="宋体" w:cs="Times New Roman"/>
          <w:color w:val="auto"/>
          <w:kern w:val="2"/>
          <w:sz w:val="24"/>
          <w:szCs w:val="24"/>
        </w:rPr>
        <w:t>，在T时间内该声源工作时间为</w:t>
      </w:r>
      <w:r>
        <w:rPr>
          <w:rFonts w:hint="default" w:ascii="Times New Roman" w:hAnsi="Times New Roman" w:eastAsia="宋体" w:cs="Times New Roman"/>
          <w:color w:val="auto"/>
          <w:kern w:val="2"/>
          <w:sz w:val="24"/>
          <w:szCs w:val="24"/>
        </w:rPr>
        <w:drawing>
          <wp:inline distT="0" distB="0" distL="114300" distR="114300">
            <wp:extent cx="123825" cy="228600"/>
            <wp:effectExtent l="0" t="0" r="9525" b="0"/>
            <wp:docPr id="4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8"/>
                    <pic:cNvPicPr>
                      <a:picLocks noChangeAspect="1"/>
                    </pic:cNvPicPr>
                  </pic:nvPicPr>
                  <pic:blipFill>
                    <a:blip r:embed="rId48"/>
                    <a:stretch>
                      <a:fillRect/>
                    </a:stretch>
                  </pic:blipFill>
                  <pic:spPr>
                    <a:xfrm>
                      <a:off x="0" y="0"/>
                      <a:ext cx="123825" cy="228600"/>
                    </a:xfrm>
                    <a:prstGeom prst="rect">
                      <a:avLst/>
                    </a:prstGeom>
                    <a:noFill/>
                    <a:ln>
                      <a:noFill/>
                    </a:ln>
                  </pic:spPr>
                </pic:pic>
              </a:graphicData>
            </a:graphic>
          </wp:inline>
        </w:drawing>
      </w:r>
      <w:r>
        <w:rPr>
          <w:rFonts w:hint="default" w:ascii="Times New Roman" w:hAnsi="Times New Roman" w:eastAsia="宋体" w:cs="Times New Roman"/>
          <w:color w:val="auto"/>
          <w:kern w:val="2"/>
          <w:sz w:val="24"/>
          <w:szCs w:val="24"/>
        </w:rPr>
        <w:t>；第</w:t>
      </w:r>
      <w:r>
        <w:rPr>
          <w:rFonts w:hint="default" w:ascii="Times New Roman" w:hAnsi="Times New Roman" w:eastAsia="宋体" w:cs="Times New Roman"/>
          <w:color w:val="auto"/>
          <w:kern w:val="2"/>
          <w:sz w:val="24"/>
          <w:szCs w:val="24"/>
        </w:rPr>
        <w:drawing>
          <wp:inline distT="0" distB="0" distL="114300" distR="114300">
            <wp:extent cx="123825" cy="190500"/>
            <wp:effectExtent l="0" t="0" r="9525" b="0"/>
            <wp:docPr id="4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9"/>
                    <pic:cNvPicPr>
                      <a:picLocks noChangeAspect="1"/>
                    </pic:cNvPicPr>
                  </pic:nvPicPr>
                  <pic:blipFill>
                    <a:blip r:embed="rId49"/>
                    <a:stretch>
                      <a:fillRect/>
                    </a:stretch>
                  </pic:blipFill>
                  <pic:spPr>
                    <a:xfrm>
                      <a:off x="0" y="0"/>
                      <a:ext cx="123825" cy="190500"/>
                    </a:xfrm>
                    <a:prstGeom prst="rect">
                      <a:avLst/>
                    </a:prstGeom>
                    <a:noFill/>
                    <a:ln>
                      <a:noFill/>
                    </a:ln>
                  </pic:spPr>
                </pic:pic>
              </a:graphicData>
            </a:graphic>
          </wp:inline>
        </w:drawing>
      </w:r>
      <w:r>
        <w:rPr>
          <w:rFonts w:hint="default" w:ascii="Times New Roman" w:hAnsi="Times New Roman" w:eastAsia="宋体" w:cs="Times New Roman"/>
          <w:color w:val="auto"/>
          <w:kern w:val="2"/>
          <w:sz w:val="24"/>
          <w:szCs w:val="24"/>
        </w:rPr>
        <w:t>个等效室外声源在预测点产生的A声级为</w:t>
      </w:r>
      <w:r>
        <w:rPr>
          <w:rFonts w:hint="default" w:ascii="Times New Roman" w:hAnsi="Times New Roman" w:eastAsia="宋体" w:cs="Times New Roman"/>
          <w:color w:val="auto"/>
          <w:kern w:val="2"/>
          <w:sz w:val="24"/>
          <w:szCs w:val="24"/>
        </w:rPr>
        <w:drawing>
          <wp:inline distT="0" distB="0" distL="114300" distR="114300">
            <wp:extent cx="228600" cy="238125"/>
            <wp:effectExtent l="0" t="0" r="0" b="7620"/>
            <wp:docPr id="6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0"/>
                    <pic:cNvPicPr>
                      <a:picLocks noChangeAspect="1"/>
                    </pic:cNvPicPr>
                  </pic:nvPicPr>
                  <pic:blipFill>
                    <a:blip r:embed="rId50"/>
                    <a:stretch>
                      <a:fillRect/>
                    </a:stretch>
                  </pic:blipFill>
                  <pic:spPr>
                    <a:xfrm>
                      <a:off x="0" y="0"/>
                      <a:ext cx="228600" cy="238125"/>
                    </a:xfrm>
                    <a:prstGeom prst="rect">
                      <a:avLst/>
                    </a:prstGeom>
                    <a:noFill/>
                    <a:ln>
                      <a:noFill/>
                    </a:ln>
                  </pic:spPr>
                </pic:pic>
              </a:graphicData>
            </a:graphic>
          </wp:inline>
        </w:drawing>
      </w:r>
      <w:r>
        <w:rPr>
          <w:rFonts w:hint="default" w:ascii="Times New Roman" w:hAnsi="Times New Roman" w:eastAsia="宋体" w:cs="Times New Roman"/>
          <w:color w:val="auto"/>
          <w:kern w:val="2"/>
          <w:sz w:val="24"/>
          <w:szCs w:val="24"/>
        </w:rPr>
        <w:t>，在T时间内该声源工作时间为</w:t>
      </w:r>
      <w:r>
        <w:rPr>
          <w:rFonts w:hint="default" w:ascii="Times New Roman" w:hAnsi="Times New Roman" w:eastAsia="宋体" w:cs="Times New Roman"/>
          <w:color w:val="auto"/>
          <w:kern w:val="2"/>
          <w:sz w:val="24"/>
          <w:szCs w:val="24"/>
        </w:rPr>
        <w:drawing>
          <wp:inline distT="0" distB="0" distL="114300" distR="114300">
            <wp:extent cx="143510" cy="238125"/>
            <wp:effectExtent l="0" t="0" r="0" b="6350"/>
            <wp:docPr id="5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1"/>
                    <pic:cNvPicPr>
                      <a:picLocks noChangeAspect="1"/>
                    </pic:cNvPicPr>
                  </pic:nvPicPr>
                  <pic:blipFill>
                    <a:blip r:embed="rId51"/>
                    <a:stretch>
                      <a:fillRect/>
                    </a:stretch>
                  </pic:blipFill>
                  <pic:spPr>
                    <a:xfrm>
                      <a:off x="0" y="0"/>
                      <a:ext cx="143510" cy="238125"/>
                    </a:xfrm>
                    <a:prstGeom prst="rect">
                      <a:avLst/>
                    </a:prstGeom>
                    <a:noFill/>
                    <a:ln>
                      <a:noFill/>
                    </a:ln>
                  </pic:spPr>
                </pic:pic>
              </a:graphicData>
            </a:graphic>
          </wp:inline>
        </w:drawing>
      </w:r>
      <w:r>
        <w:rPr>
          <w:rFonts w:hint="default" w:ascii="Times New Roman" w:hAnsi="Times New Roman" w:eastAsia="宋体" w:cs="Times New Roman"/>
          <w:color w:val="auto"/>
          <w:kern w:val="2"/>
          <w:sz w:val="24"/>
          <w:szCs w:val="24"/>
        </w:rPr>
        <w:t>，则本工程声源对预测点产生的贡献值</w:t>
      </w:r>
      <w:r>
        <w:rPr>
          <w:rFonts w:hint="eastAsia" w:cs="Times New Roman"/>
          <w:color w:val="auto"/>
          <w:kern w:val="2"/>
          <w:sz w:val="24"/>
          <w:szCs w:val="24"/>
          <w:lang w:eastAsia="zh-CN"/>
        </w:rPr>
        <w:t>（</w:t>
      </w:r>
      <w:r>
        <w:rPr>
          <w:rFonts w:hint="default" w:ascii="Times New Roman" w:hAnsi="Times New Roman" w:eastAsia="宋体" w:cs="Times New Roman"/>
          <w:color w:val="auto"/>
          <w:kern w:val="2"/>
          <w:sz w:val="24"/>
          <w:szCs w:val="24"/>
        </w:rPr>
        <w:drawing>
          <wp:inline distT="0" distB="0" distL="114300" distR="114300">
            <wp:extent cx="276225" cy="238125"/>
            <wp:effectExtent l="0" t="0" r="9525" b="7620"/>
            <wp:docPr id="5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2"/>
                    <pic:cNvPicPr>
                      <a:picLocks noChangeAspect="1"/>
                    </pic:cNvPicPr>
                  </pic:nvPicPr>
                  <pic:blipFill>
                    <a:blip r:embed="rId52"/>
                    <a:stretch>
                      <a:fillRect/>
                    </a:stretch>
                  </pic:blipFill>
                  <pic:spPr>
                    <a:xfrm>
                      <a:off x="0" y="0"/>
                      <a:ext cx="276225" cy="238125"/>
                    </a:xfrm>
                    <a:prstGeom prst="rect">
                      <a:avLst/>
                    </a:prstGeom>
                    <a:noFill/>
                    <a:ln>
                      <a:noFill/>
                    </a:ln>
                  </pic:spPr>
                </pic:pic>
              </a:graphicData>
            </a:graphic>
          </wp:inline>
        </w:drawing>
      </w:r>
      <w:r>
        <w:rPr>
          <w:rFonts w:hint="default" w:ascii="Times New Roman" w:hAnsi="Times New Roman" w:eastAsia="宋体" w:cs="Times New Roman"/>
          <w:color w:val="auto"/>
          <w:kern w:val="2"/>
          <w:sz w:val="24"/>
          <w:szCs w:val="24"/>
        </w:rPr>
        <w:t>)为</w:t>
      </w:r>
      <w:r>
        <w:rPr>
          <w:rFonts w:hint="eastAsia" w:cs="Times New Roman"/>
          <w:color w:val="auto"/>
          <w:kern w:val="2"/>
          <w:sz w:val="24"/>
          <w:szCs w:val="24"/>
          <w:lang w:eastAsia="zh-CN"/>
        </w:rPr>
        <w:t>：</w:t>
      </w:r>
    </w:p>
    <w:p w14:paraId="13C1A47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drawing>
          <wp:inline distT="0" distB="0" distL="114300" distR="114300">
            <wp:extent cx="2524760" cy="447675"/>
            <wp:effectExtent l="0" t="0" r="8890" b="8890"/>
            <wp:docPr id="5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3"/>
                    <pic:cNvPicPr>
                      <a:picLocks noChangeAspect="1"/>
                    </pic:cNvPicPr>
                  </pic:nvPicPr>
                  <pic:blipFill>
                    <a:blip r:embed="rId53"/>
                    <a:stretch>
                      <a:fillRect/>
                    </a:stretch>
                  </pic:blipFill>
                  <pic:spPr>
                    <a:xfrm>
                      <a:off x="0" y="0"/>
                      <a:ext cx="2524760" cy="447675"/>
                    </a:xfrm>
                    <a:prstGeom prst="rect">
                      <a:avLst/>
                    </a:prstGeom>
                    <a:noFill/>
                    <a:ln>
                      <a:noFill/>
                    </a:ln>
                  </pic:spPr>
                </pic:pic>
              </a:graphicData>
            </a:graphic>
          </wp:inline>
        </w:drawing>
      </w:r>
    </w:p>
    <w:p w14:paraId="5ACA5F01">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②预测点的噪声预测值</w:t>
      </w:r>
    </w:p>
    <w:p w14:paraId="0314B77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drawing>
          <wp:inline distT="0" distB="0" distL="114300" distR="114300">
            <wp:extent cx="1790700" cy="266700"/>
            <wp:effectExtent l="0" t="0" r="0" b="0"/>
            <wp:docPr id="6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4"/>
                    <pic:cNvPicPr>
                      <a:picLocks noChangeAspect="1"/>
                    </pic:cNvPicPr>
                  </pic:nvPicPr>
                  <pic:blipFill>
                    <a:blip r:embed="rId54"/>
                    <a:stretch>
                      <a:fillRect/>
                    </a:stretch>
                  </pic:blipFill>
                  <pic:spPr>
                    <a:xfrm>
                      <a:off x="0" y="0"/>
                      <a:ext cx="1790700" cy="266700"/>
                    </a:xfrm>
                    <a:prstGeom prst="rect">
                      <a:avLst/>
                    </a:prstGeom>
                    <a:noFill/>
                    <a:ln>
                      <a:noFill/>
                    </a:ln>
                  </pic:spPr>
                </pic:pic>
              </a:graphicData>
            </a:graphic>
          </wp:inline>
        </w:drawing>
      </w:r>
    </w:p>
    <w:p w14:paraId="505EB22B">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kern w:val="2"/>
          <w:sz w:val="24"/>
          <w:szCs w:val="24"/>
          <w:lang w:val="pt-BR"/>
        </w:rPr>
      </w:pPr>
      <w:r>
        <w:rPr>
          <w:rFonts w:hint="default" w:ascii="Times New Roman" w:hAnsi="Times New Roman" w:eastAsia="宋体" w:cs="Times New Roman"/>
          <w:color w:val="auto"/>
          <w:kern w:val="2"/>
          <w:sz w:val="24"/>
          <w:szCs w:val="24"/>
        </w:rPr>
        <w:t>式中：</w:t>
      </w:r>
      <w:r>
        <w:rPr>
          <w:rFonts w:hint="default" w:ascii="Times New Roman" w:hAnsi="Times New Roman" w:eastAsia="宋体" w:cs="Times New Roman"/>
          <w:color w:val="auto"/>
          <w:kern w:val="2"/>
          <w:sz w:val="24"/>
          <w:szCs w:val="24"/>
        </w:rPr>
        <w:drawing>
          <wp:inline distT="0" distB="0" distL="114300" distR="114300">
            <wp:extent cx="266700" cy="238125"/>
            <wp:effectExtent l="0" t="0" r="0" b="7620"/>
            <wp:docPr id="5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5"/>
                    <pic:cNvPicPr>
                      <a:picLocks noChangeAspect="1"/>
                    </pic:cNvPicPr>
                  </pic:nvPicPr>
                  <pic:blipFill>
                    <a:blip r:embed="rId55"/>
                    <a:stretch>
                      <a:fillRect/>
                    </a:stretch>
                  </pic:blipFill>
                  <pic:spPr>
                    <a:xfrm>
                      <a:off x="0" y="0"/>
                      <a:ext cx="266700" cy="238125"/>
                    </a:xfrm>
                    <a:prstGeom prst="rect">
                      <a:avLst/>
                    </a:prstGeom>
                    <a:noFill/>
                    <a:ln>
                      <a:noFill/>
                    </a:ln>
                  </pic:spPr>
                </pic:pic>
              </a:graphicData>
            </a:graphic>
          </wp:inline>
        </w:drawing>
      </w:r>
      <w:r>
        <w:rPr>
          <w:rFonts w:hint="default" w:ascii="Times New Roman" w:hAnsi="Times New Roman" w:eastAsia="宋体" w:cs="Times New Roman"/>
          <w:color w:val="auto"/>
          <w:kern w:val="2"/>
          <w:sz w:val="24"/>
          <w:szCs w:val="24"/>
          <w:lang w:val="pt-BR"/>
        </w:rPr>
        <w:t>—建设项目声源在预测点的等效声级贡献值，dB(A)；</w:t>
      </w:r>
    </w:p>
    <w:p w14:paraId="7F0ECAF1">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pt-BR"/>
        </w:rPr>
        <w:t xml:space="preserve">      </w:t>
      </w:r>
      <w:r>
        <w:rPr>
          <w:rFonts w:hint="default" w:ascii="Times New Roman" w:hAnsi="Times New Roman" w:eastAsia="宋体" w:cs="Times New Roman"/>
          <w:color w:val="auto"/>
          <w:kern w:val="2"/>
          <w:sz w:val="24"/>
          <w:szCs w:val="24"/>
        </w:rPr>
        <w:drawing>
          <wp:inline distT="0" distB="0" distL="114300" distR="114300">
            <wp:extent cx="266700" cy="238125"/>
            <wp:effectExtent l="0" t="0" r="0" b="7620"/>
            <wp:docPr id="5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6"/>
                    <pic:cNvPicPr>
                      <a:picLocks noChangeAspect="1"/>
                    </pic:cNvPicPr>
                  </pic:nvPicPr>
                  <pic:blipFill>
                    <a:blip r:embed="rId56"/>
                    <a:stretch>
                      <a:fillRect/>
                    </a:stretch>
                  </pic:blipFill>
                  <pic:spPr>
                    <a:xfrm>
                      <a:off x="0" y="0"/>
                      <a:ext cx="266700" cy="238125"/>
                    </a:xfrm>
                    <a:prstGeom prst="rect">
                      <a:avLst/>
                    </a:prstGeom>
                    <a:noFill/>
                    <a:ln>
                      <a:noFill/>
                    </a:ln>
                  </pic:spPr>
                </pic:pic>
              </a:graphicData>
            </a:graphic>
          </wp:inline>
        </w:drawing>
      </w:r>
      <w:r>
        <w:rPr>
          <w:rFonts w:hint="default" w:ascii="Times New Roman" w:hAnsi="Times New Roman" w:eastAsia="宋体" w:cs="Times New Roman"/>
          <w:color w:val="auto"/>
          <w:kern w:val="2"/>
          <w:sz w:val="24"/>
          <w:szCs w:val="24"/>
          <w:lang w:val="pt-BR"/>
        </w:rPr>
        <w:t>—预测点的背景值，dB(A)。</w:t>
      </w:r>
    </w:p>
    <w:p w14:paraId="44E47624">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lang w:eastAsia="zh-CN"/>
        </w:rPr>
        <w:t>（</w:t>
      </w:r>
      <w:r>
        <w:rPr>
          <w:rFonts w:hint="eastAsia" w:ascii="Times New Roman" w:hAnsi="Times New Roman" w:eastAsia="宋体" w:cs="Times New Roman"/>
          <w:color w:val="auto"/>
          <w:kern w:val="2"/>
          <w:sz w:val="24"/>
          <w:szCs w:val="24"/>
          <w:lang w:val="en-US" w:eastAsia="zh-CN"/>
        </w:rPr>
        <w:t>3</w:t>
      </w:r>
      <w:r>
        <w:rPr>
          <w:rFonts w:hint="eastAsia" w:ascii="Times New Roman" w:hAnsi="Times New Roman" w:eastAsia="宋体" w:cs="Times New Roman"/>
          <w:color w:val="auto"/>
          <w:kern w:val="2"/>
          <w:sz w:val="24"/>
          <w:szCs w:val="24"/>
          <w:lang w:eastAsia="zh-CN"/>
        </w:rPr>
        <w:t>）</w:t>
      </w:r>
      <w:r>
        <w:rPr>
          <w:rFonts w:hint="default" w:ascii="Times New Roman" w:hAnsi="Times New Roman" w:eastAsia="宋体" w:cs="Times New Roman"/>
          <w:color w:val="auto"/>
          <w:kern w:val="2"/>
          <w:sz w:val="24"/>
          <w:szCs w:val="24"/>
        </w:rPr>
        <w:t>噪声预测点位</w:t>
      </w:r>
    </w:p>
    <w:p w14:paraId="0D36DF2E">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本评价预测工程噪声源对四周厂界噪声贡献值，并给出场界噪声最大值的位置。</w:t>
      </w:r>
    </w:p>
    <w:p w14:paraId="7DF0BC5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（二）噪声源参数的确定</w:t>
      </w:r>
    </w:p>
    <w:p w14:paraId="2C855C0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本项目各井场噪声源类似，井场面积及平面布置基本相同，</w:t>
      </w:r>
      <w:r>
        <w:rPr>
          <w:rFonts w:hint="eastAsia" w:ascii="Times New Roman" w:hAnsi="Times New Roman" w:eastAsia="宋体" w:cs="Times New Roman"/>
          <w:color w:val="auto"/>
          <w:kern w:val="2"/>
          <w:sz w:val="24"/>
          <w:szCs w:val="24"/>
          <w:lang w:val="en-US" w:eastAsia="zh-CN"/>
        </w:rPr>
        <w:t>雄探1</w:t>
      </w:r>
      <w:r>
        <w:rPr>
          <w:rFonts w:hint="default" w:ascii="Times New Roman" w:hAnsi="Times New Roman" w:eastAsia="宋体" w:cs="Times New Roman"/>
          <w:color w:val="auto"/>
          <w:kern w:val="2"/>
          <w:sz w:val="24"/>
          <w:szCs w:val="24"/>
        </w:rPr>
        <w:t>井井场噪声源噪声参数见表5.</w:t>
      </w:r>
      <w:r>
        <w:rPr>
          <w:rFonts w:hint="eastAsia" w:cs="Times New Roman"/>
          <w:color w:val="auto"/>
          <w:kern w:val="2"/>
          <w:sz w:val="24"/>
          <w:szCs w:val="24"/>
          <w:lang w:val="en-US" w:eastAsia="zh-CN"/>
        </w:rPr>
        <w:t>5</w:t>
      </w:r>
      <w:r>
        <w:rPr>
          <w:rFonts w:hint="default" w:ascii="Times New Roman" w:hAnsi="Times New Roman" w:eastAsia="宋体" w:cs="Times New Roman"/>
          <w:color w:val="auto"/>
          <w:kern w:val="2"/>
          <w:sz w:val="24"/>
          <w:szCs w:val="24"/>
        </w:rPr>
        <w:t>-3。</w:t>
      </w:r>
    </w:p>
    <w:p w14:paraId="20EC0F72">
      <w:pPr>
        <w:pStyle w:val="61"/>
        <w:bidi w:val="0"/>
        <w:jc w:val="both"/>
        <w:rPr>
          <w:rFonts w:hint="eastAsia"/>
          <w:color w:val="auto"/>
          <w:lang w:val="en-US" w:eastAsia="zh-CN"/>
        </w:rPr>
      </w:pPr>
      <w:r>
        <w:rPr>
          <w:rFonts w:hint="eastAsia"/>
          <w:color w:val="auto"/>
          <w:lang w:val="en-US" w:eastAsia="zh-CN"/>
        </w:rPr>
        <w:t>表5.5-3   井场噪声源参数一览表</w:t>
      </w:r>
    </w:p>
    <w:tbl>
      <w:tblPr>
        <w:tblStyle w:val="36"/>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545"/>
        <w:gridCol w:w="1534"/>
        <w:gridCol w:w="1017"/>
        <w:gridCol w:w="996"/>
        <w:gridCol w:w="1370"/>
        <w:gridCol w:w="1114"/>
        <w:gridCol w:w="1095"/>
      </w:tblGrid>
      <w:tr w14:paraId="170939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775" w:type="pct"/>
            <w:gridSpan w:val="2"/>
            <w:tcBorders>
              <w:tl2br w:val="nil"/>
              <w:tr2bl w:val="nil"/>
            </w:tcBorders>
            <w:noWrap w:val="0"/>
            <w:vAlign w:val="center"/>
          </w:tcPr>
          <w:p w14:paraId="1EBBF511">
            <w:pPr>
              <w:spacing w:line="240" w:lineRule="exact"/>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声源名称</w:t>
            </w:r>
          </w:p>
        </w:tc>
        <w:tc>
          <w:tcPr>
            <w:tcW w:w="586" w:type="pct"/>
            <w:tcBorders>
              <w:tl2br w:val="nil"/>
              <w:tr2bl w:val="nil"/>
            </w:tcBorders>
            <w:noWrap w:val="0"/>
            <w:vAlign w:val="center"/>
          </w:tcPr>
          <w:p w14:paraId="2CFD11B0">
            <w:pPr>
              <w:spacing w:line="240" w:lineRule="exact"/>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数量</w:t>
            </w:r>
          </w:p>
          <w:p w14:paraId="6F18F8DE">
            <w:pPr>
              <w:spacing w:line="240" w:lineRule="exact"/>
              <w:jc w:val="center"/>
              <w:rPr>
                <w:rFonts w:ascii="Times New Roman" w:hAnsi="Times New Roman" w:cs="Times New Roman"/>
                <w:color w:val="auto"/>
                <w:sz w:val="21"/>
                <w:szCs w:val="21"/>
              </w:rPr>
            </w:pPr>
            <w:r>
              <w:rPr>
                <w:rFonts w:hint="eastAsia" w:cs="Times New Roman"/>
                <w:color w:val="auto"/>
                <w:sz w:val="21"/>
                <w:szCs w:val="21"/>
                <w:lang w:eastAsia="zh-CN"/>
              </w:rPr>
              <w:t>（</w:t>
            </w:r>
            <w:r>
              <w:rPr>
                <w:rFonts w:hint="eastAsia" w:ascii="Times New Roman" w:hAnsi="Times New Roman" w:cs="Times New Roman"/>
                <w:color w:val="auto"/>
                <w:sz w:val="21"/>
                <w:szCs w:val="21"/>
              </w:rPr>
              <w:t>台/套</w:t>
            </w:r>
            <w:r>
              <w:rPr>
                <w:rFonts w:hint="eastAsia" w:cs="Times New Roman"/>
                <w:color w:val="auto"/>
                <w:sz w:val="21"/>
                <w:szCs w:val="21"/>
                <w:lang w:eastAsia="zh-CN"/>
              </w:rPr>
              <w:t>）</w:t>
            </w:r>
          </w:p>
        </w:tc>
        <w:tc>
          <w:tcPr>
            <w:tcW w:w="574" w:type="pct"/>
            <w:tcBorders>
              <w:tl2br w:val="nil"/>
              <w:tr2bl w:val="nil"/>
            </w:tcBorders>
            <w:noWrap w:val="0"/>
            <w:vAlign w:val="center"/>
          </w:tcPr>
          <w:p w14:paraId="40BB6BD9">
            <w:pPr>
              <w:spacing w:line="240" w:lineRule="exact"/>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最大噪声源强[dB(A)]</w:t>
            </w:r>
          </w:p>
        </w:tc>
        <w:tc>
          <w:tcPr>
            <w:tcW w:w="790" w:type="pct"/>
            <w:tcBorders>
              <w:tl2br w:val="nil"/>
              <w:tr2bl w:val="nil"/>
            </w:tcBorders>
            <w:noWrap w:val="0"/>
            <w:vAlign w:val="center"/>
          </w:tcPr>
          <w:p w14:paraId="6740E4F5">
            <w:pPr>
              <w:spacing w:line="240" w:lineRule="exact"/>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降噪措施</w:t>
            </w:r>
          </w:p>
        </w:tc>
        <w:tc>
          <w:tcPr>
            <w:tcW w:w="642" w:type="pct"/>
            <w:tcBorders>
              <w:tl2br w:val="nil"/>
              <w:tr2bl w:val="nil"/>
            </w:tcBorders>
            <w:noWrap w:val="0"/>
            <w:vAlign w:val="center"/>
          </w:tcPr>
          <w:p w14:paraId="71996D84">
            <w:pPr>
              <w:spacing w:line="240" w:lineRule="exact"/>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降噪效果</w:t>
            </w:r>
          </w:p>
          <w:p w14:paraId="2165B2BF">
            <w:pPr>
              <w:spacing w:line="240" w:lineRule="exact"/>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[dB(A)]</w:t>
            </w:r>
          </w:p>
        </w:tc>
        <w:tc>
          <w:tcPr>
            <w:tcW w:w="631" w:type="pct"/>
            <w:tcBorders>
              <w:tl2br w:val="nil"/>
              <w:tr2bl w:val="nil"/>
            </w:tcBorders>
            <w:noWrap w:val="0"/>
            <w:vAlign w:val="center"/>
          </w:tcPr>
          <w:p w14:paraId="486F1B6E">
            <w:pPr>
              <w:spacing w:line="240" w:lineRule="exact"/>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预测噪声源强[dB(A)]</w:t>
            </w:r>
          </w:p>
        </w:tc>
      </w:tr>
      <w:tr w14:paraId="1FB9FF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891" w:type="pct"/>
            <w:tcBorders>
              <w:tl2br w:val="nil"/>
              <w:tr2bl w:val="nil"/>
            </w:tcBorders>
            <w:noWrap w:val="0"/>
            <w:vAlign w:val="center"/>
          </w:tcPr>
          <w:p w14:paraId="310BD1E6">
            <w:pPr>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雄探1井</w:t>
            </w:r>
          </w:p>
        </w:tc>
        <w:tc>
          <w:tcPr>
            <w:tcW w:w="884" w:type="pct"/>
            <w:tcBorders>
              <w:tl2br w:val="nil"/>
              <w:tr2bl w:val="nil"/>
            </w:tcBorders>
            <w:noWrap w:val="0"/>
            <w:vAlign w:val="center"/>
          </w:tcPr>
          <w:p w14:paraId="13AEE3C2">
            <w:pPr>
              <w:spacing w:line="240" w:lineRule="exact"/>
              <w:jc w:val="center"/>
              <w:rPr>
                <w:rFonts w:ascii="Times New Roman" w:hAnsi="Times New Roman" w:cs="Times New Roman"/>
                <w:color w:val="auto"/>
                <w:sz w:val="21"/>
                <w:szCs w:val="21"/>
                <w:lang w:val="zh-CN"/>
              </w:rPr>
            </w:pPr>
            <w:r>
              <w:rPr>
                <w:rFonts w:hint="eastAsia" w:ascii="Times New Roman" w:hAnsi="Times New Roman" w:cs="Times New Roman"/>
                <w:color w:val="auto"/>
                <w:sz w:val="21"/>
                <w:szCs w:val="21"/>
                <w:lang w:val="zh-CN"/>
              </w:rPr>
              <w:t>采</w:t>
            </w:r>
            <w:r>
              <w:rPr>
                <w:rFonts w:hint="eastAsia" w:cs="Times New Roman"/>
                <w:color w:val="auto"/>
                <w:sz w:val="21"/>
                <w:szCs w:val="21"/>
                <w:lang w:val="en-US" w:eastAsia="zh-CN"/>
              </w:rPr>
              <w:t>油</w:t>
            </w:r>
            <w:r>
              <w:rPr>
                <w:rFonts w:hint="eastAsia" w:ascii="Times New Roman" w:hAnsi="Times New Roman" w:cs="Times New Roman"/>
                <w:color w:val="auto"/>
                <w:sz w:val="21"/>
                <w:szCs w:val="21"/>
                <w:lang w:val="zh-CN"/>
              </w:rPr>
              <w:t>树</w:t>
            </w:r>
          </w:p>
        </w:tc>
        <w:tc>
          <w:tcPr>
            <w:tcW w:w="586" w:type="pct"/>
            <w:tcBorders>
              <w:tl2br w:val="nil"/>
              <w:tr2bl w:val="nil"/>
            </w:tcBorders>
            <w:noWrap w:val="0"/>
            <w:vAlign w:val="center"/>
          </w:tcPr>
          <w:p w14:paraId="5E99B630">
            <w:pPr>
              <w:spacing w:line="240" w:lineRule="exact"/>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w:t>
            </w:r>
          </w:p>
        </w:tc>
        <w:tc>
          <w:tcPr>
            <w:tcW w:w="574" w:type="pct"/>
            <w:tcBorders>
              <w:tl2br w:val="nil"/>
              <w:tr2bl w:val="nil"/>
            </w:tcBorders>
            <w:noWrap w:val="0"/>
            <w:vAlign w:val="center"/>
          </w:tcPr>
          <w:p w14:paraId="38F43259">
            <w:pPr>
              <w:spacing w:line="240" w:lineRule="exact"/>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85</w:t>
            </w:r>
          </w:p>
        </w:tc>
        <w:tc>
          <w:tcPr>
            <w:tcW w:w="790" w:type="pct"/>
            <w:tcBorders>
              <w:tl2br w:val="nil"/>
              <w:tr2bl w:val="nil"/>
            </w:tcBorders>
            <w:noWrap w:val="0"/>
            <w:vAlign w:val="center"/>
          </w:tcPr>
          <w:p w14:paraId="33129C9C">
            <w:pPr>
              <w:spacing w:line="240" w:lineRule="exact"/>
              <w:jc w:val="center"/>
              <w:rPr>
                <w:rFonts w:ascii="Times New Roman" w:hAnsi="Times New Roman" w:cs="Times New Roman"/>
                <w:color w:val="auto"/>
                <w:sz w:val="21"/>
                <w:szCs w:val="21"/>
                <w:lang w:val="zh-CN"/>
              </w:rPr>
            </w:pPr>
            <w:r>
              <w:rPr>
                <w:rFonts w:hint="eastAsia" w:ascii="Times New Roman" w:hAnsi="Times New Roman" w:cs="Times New Roman"/>
                <w:color w:val="auto"/>
                <w:sz w:val="21"/>
                <w:szCs w:val="21"/>
                <w:lang w:val="zh-CN"/>
              </w:rPr>
              <w:t>基础减振</w:t>
            </w:r>
          </w:p>
        </w:tc>
        <w:tc>
          <w:tcPr>
            <w:tcW w:w="642" w:type="pct"/>
            <w:tcBorders>
              <w:tl2br w:val="nil"/>
              <w:tr2bl w:val="nil"/>
            </w:tcBorders>
            <w:noWrap w:val="0"/>
            <w:vAlign w:val="center"/>
          </w:tcPr>
          <w:p w14:paraId="1A8CFB54">
            <w:pPr>
              <w:spacing w:line="240" w:lineRule="exact"/>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10</w:t>
            </w:r>
          </w:p>
        </w:tc>
        <w:tc>
          <w:tcPr>
            <w:tcW w:w="631" w:type="pct"/>
            <w:tcBorders>
              <w:tl2br w:val="nil"/>
              <w:tr2bl w:val="nil"/>
            </w:tcBorders>
            <w:noWrap w:val="0"/>
            <w:vAlign w:val="center"/>
          </w:tcPr>
          <w:p w14:paraId="540ACB37">
            <w:pPr>
              <w:spacing w:line="240" w:lineRule="exact"/>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75</w:t>
            </w:r>
          </w:p>
        </w:tc>
      </w:tr>
    </w:tbl>
    <w:p w14:paraId="049D4D73">
      <w:pPr>
        <w:pStyle w:val="79"/>
        <w:bidi w:val="0"/>
        <w:rPr>
          <w:rFonts w:hint="default"/>
          <w:color w:val="auto"/>
        </w:rPr>
      </w:pPr>
      <w:r>
        <w:rPr>
          <w:rFonts w:hint="default"/>
          <w:color w:val="auto"/>
        </w:rPr>
        <w:t>由工程分析可知，</w:t>
      </w:r>
      <w:r>
        <w:rPr>
          <w:rFonts w:hint="eastAsia"/>
          <w:color w:val="auto"/>
          <w:lang w:val="en-US" w:eastAsia="zh-CN"/>
        </w:rPr>
        <w:t>雄探1试采点</w:t>
      </w:r>
      <w:r>
        <w:rPr>
          <w:rFonts w:hint="default"/>
          <w:color w:val="auto"/>
        </w:rPr>
        <w:t>的主要噪声源包括分离器、压缩机</w:t>
      </w:r>
      <w:r>
        <w:rPr>
          <w:rFonts w:hint="eastAsia"/>
          <w:color w:val="auto"/>
          <w:lang w:val="en-US" w:eastAsia="zh-CN"/>
        </w:rPr>
        <w:t>、分离器</w:t>
      </w:r>
      <w:r>
        <w:rPr>
          <w:rFonts w:hint="default"/>
          <w:color w:val="auto"/>
        </w:rPr>
        <w:t>和泵等，噪声源强见表5.</w:t>
      </w:r>
      <w:r>
        <w:rPr>
          <w:rFonts w:hint="eastAsia"/>
          <w:color w:val="auto"/>
          <w:lang w:val="en-US" w:eastAsia="zh-CN"/>
        </w:rPr>
        <w:t>5-4</w:t>
      </w:r>
      <w:r>
        <w:rPr>
          <w:rFonts w:hint="default"/>
          <w:color w:val="auto"/>
        </w:rPr>
        <w:t>。此外，当发生异常超压或检修时，放空火炬系统会产生强噪声，属偶发声源，噪声值在105dB(A</w:t>
      </w:r>
      <w:r>
        <w:rPr>
          <w:rFonts w:hint="eastAsia"/>
          <w:color w:val="auto"/>
          <w:lang w:eastAsia="zh-CN"/>
        </w:rPr>
        <w:t>）</w:t>
      </w:r>
      <w:r>
        <w:rPr>
          <w:rFonts w:hint="default"/>
          <w:color w:val="auto"/>
        </w:rPr>
        <w:t>之间。</w:t>
      </w:r>
    </w:p>
    <w:p w14:paraId="1638F62D">
      <w:pPr>
        <w:pStyle w:val="61"/>
        <w:bidi w:val="0"/>
        <w:ind w:firstLine="420"/>
        <w:jc w:val="both"/>
        <w:rPr>
          <w:rFonts w:hint="eastAsia" w:ascii="Times New Roman" w:hAnsi="Times New Roman"/>
          <w:color w:val="auto"/>
          <w:lang w:val="en-US" w:eastAsia="zh-CN"/>
        </w:rPr>
      </w:pPr>
      <w:r>
        <w:rPr>
          <w:rFonts w:hint="eastAsia" w:ascii="Times New Roman" w:hAnsi="Times New Roman"/>
          <w:color w:val="auto"/>
          <w:lang w:val="en-US" w:eastAsia="zh-CN"/>
        </w:rPr>
        <w:t>表5.5-4  雄探1试采点噪声源参数一览表</w:t>
      </w:r>
    </w:p>
    <w:tbl>
      <w:tblPr>
        <w:tblStyle w:val="36"/>
        <w:tblW w:w="5064"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386"/>
        <w:gridCol w:w="2407"/>
        <w:gridCol w:w="820"/>
        <w:gridCol w:w="792"/>
        <w:gridCol w:w="813"/>
        <w:gridCol w:w="610"/>
        <w:gridCol w:w="698"/>
        <w:gridCol w:w="1313"/>
        <w:gridCol w:w="920"/>
      </w:tblGrid>
      <w:tr w14:paraId="120962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atLeast"/>
          <w:jc w:val="center"/>
        </w:trPr>
        <w:tc>
          <w:tcPr>
            <w:tcW w:w="220" w:type="pct"/>
            <w:vMerge w:val="restart"/>
            <w:tcBorders>
              <w:tl2br w:val="nil"/>
              <w:tr2bl w:val="nil"/>
            </w:tcBorders>
            <w:noWrap w:val="0"/>
            <w:vAlign w:val="center"/>
          </w:tcPr>
          <w:p w14:paraId="08F9091C">
            <w:pPr>
              <w:widowControl/>
              <w:spacing w:line="360" w:lineRule="exact"/>
              <w:ind w:firstLine="0" w:firstLineChars="0"/>
              <w:jc w:val="center"/>
              <w:textAlignment w:val="center"/>
              <w:rPr>
                <w:rFonts w:hint="default" w:ascii="Times New Roman" w:hAnsi="Times New Roman" w:eastAsia="宋体" w:cs="Times New Roman"/>
                <w:i w:val="0"/>
                <w:iCs w:val="0"/>
                <w:color w:val="auto"/>
                <w:sz w:val="21"/>
                <w:szCs w:val="21"/>
                <w:highlight w:val="none"/>
                <w:lang w:eastAsia="zh-CN"/>
              </w:rPr>
            </w:pPr>
            <w:r>
              <w:rPr>
                <w:rFonts w:hint="default" w:ascii="Times New Roman" w:hAnsi="Times New Roman" w:eastAsia="宋体" w:cs="Times New Roman"/>
                <w:i w:val="0"/>
                <w:iCs w:val="0"/>
                <w:color w:val="auto"/>
                <w:sz w:val="21"/>
                <w:szCs w:val="21"/>
                <w:highlight w:val="none"/>
              </w:rPr>
              <w:t>序号</w:t>
            </w:r>
          </w:p>
        </w:tc>
        <w:tc>
          <w:tcPr>
            <w:tcW w:w="1373" w:type="pct"/>
            <w:vMerge w:val="restart"/>
            <w:tcBorders>
              <w:tl2br w:val="nil"/>
              <w:tr2bl w:val="nil"/>
            </w:tcBorders>
            <w:noWrap w:val="0"/>
            <w:vAlign w:val="center"/>
          </w:tcPr>
          <w:p w14:paraId="24859248">
            <w:pPr>
              <w:widowControl/>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lang w:bidi="ar"/>
              </w:rPr>
            </w:pPr>
            <w:r>
              <w:rPr>
                <w:rFonts w:hint="default" w:ascii="Times New Roman" w:hAnsi="Times New Roman" w:eastAsia="宋体" w:cs="Times New Roman"/>
                <w:i w:val="0"/>
                <w:iCs w:val="0"/>
                <w:color w:val="auto"/>
                <w:sz w:val="21"/>
                <w:szCs w:val="21"/>
                <w:highlight w:val="none"/>
              </w:rPr>
              <w:t>工程内容</w:t>
            </w:r>
          </w:p>
        </w:tc>
        <w:tc>
          <w:tcPr>
            <w:tcW w:w="468" w:type="pct"/>
            <w:vMerge w:val="restart"/>
            <w:tcBorders>
              <w:tl2br w:val="nil"/>
              <w:tr2bl w:val="nil"/>
            </w:tcBorders>
            <w:noWrap w:val="0"/>
            <w:vAlign w:val="center"/>
          </w:tcPr>
          <w:p w14:paraId="0CF29FE5">
            <w:pPr>
              <w:widowControl/>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lang w:eastAsia="zh-CN" w:bidi="ar"/>
              </w:rPr>
            </w:pPr>
            <w:r>
              <w:rPr>
                <w:rFonts w:hint="default" w:ascii="Times New Roman" w:hAnsi="Times New Roman" w:eastAsia="宋体" w:cs="Times New Roman"/>
                <w:i w:val="0"/>
                <w:iCs w:val="0"/>
                <w:color w:val="auto"/>
                <w:sz w:val="21"/>
                <w:szCs w:val="21"/>
                <w:highlight w:val="none"/>
              </w:rPr>
              <w:t>数量</w:t>
            </w:r>
            <w:r>
              <w:rPr>
                <w:rFonts w:hint="default" w:ascii="Times New Roman" w:hAnsi="Times New Roman" w:eastAsia="宋体" w:cs="Times New Roman"/>
                <w:i w:val="0"/>
                <w:iCs w:val="0"/>
                <w:color w:val="auto"/>
                <w:sz w:val="21"/>
                <w:szCs w:val="21"/>
                <w:highlight w:val="none"/>
                <w:lang w:eastAsia="zh-CN"/>
              </w:rPr>
              <w:t>（</w:t>
            </w:r>
            <w:r>
              <w:rPr>
                <w:rFonts w:hint="default" w:ascii="Times New Roman" w:hAnsi="Times New Roman" w:eastAsia="宋体" w:cs="Times New Roman"/>
                <w:i w:val="0"/>
                <w:iCs w:val="0"/>
                <w:color w:val="auto"/>
                <w:sz w:val="21"/>
                <w:szCs w:val="21"/>
                <w:highlight w:val="none"/>
                <w:lang w:val="en-US" w:eastAsia="zh-CN"/>
              </w:rPr>
              <w:t>座</w:t>
            </w:r>
            <w:r>
              <w:rPr>
                <w:rFonts w:hint="default" w:ascii="Times New Roman" w:hAnsi="Times New Roman" w:eastAsia="宋体" w:cs="Times New Roman"/>
                <w:i w:val="0"/>
                <w:iCs w:val="0"/>
                <w:color w:val="auto"/>
                <w:sz w:val="21"/>
                <w:szCs w:val="21"/>
                <w:highlight w:val="none"/>
                <w:lang w:eastAsia="zh-CN"/>
              </w:rPr>
              <w:t>）</w:t>
            </w:r>
          </w:p>
        </w:tc>
        <w:tc>
          <w:tcPr>
            <w:tcW w:w="452" w:type="pct"/>
            <w:vMerge w:val="restart"/>
            <w:tcBorders>
              <w:tl2br w:val="nil"/>
              <w:tr2bl w:val="nil"/>
            </w:tcBorders>
            <w:noWrap w:val="0"/>
            <w:vAlign w:val="top"/>
          </w:tcPr>
          <w:p w14:paraId="7F844162">
            <w:pPr>
              <w:pStyle w:val="158"/>
              <w:ind w:firstLine="0" w:firstLineChars="0"/>
              <w:jc w:val="center"/>
              <w:rPr>
                <w:rFonts w:hint="default" w:ascii="Times New Roman" w:hAnsi="Times New Roman" w:eastAsia="宋体" w:cs="Times New Roman"/>
                <w:i w:val="0"/>
                <w:iCs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lang w:val="en-US" w:eastAsia="zh-CN" w:bidi="ar-SA"/>
              </w:rPr>
              <w:t>噪声源强</w:t>
            </w:r>
          </w:p>
        </w:tc>
        <w:tc>
          <w:tcPr>
            <w:tcW w:w="1210" w:type="pct"/>
            <w:gridSpan w:val="3"/>
            <w:tcBorders>
              <w:tl2br w:val="nil"/>
              <w:tr2bl w:val="nil"/>
            </w:tcBorders>
            <w:noWrap w:val="0"/>
            <w:vAlign w:val="top"/>
          </w:tcPr>
          <w:p w14:paraId="7AFDB23B">
            <w:pPr>
              <w:pStyle w:val="158"/>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空间相对位置</w:t>
            </w:r>
          </w:p>
        </w:tc>
        <w:tc>
          <w:tcPr>
            <w:tcW w:w="749" w:type="pct"/>
            <w:vMerge w:val="restart"/>
            <w:tcBorders>
              <w:tl2br w:val="nil"/>
              <w:tr2bl w:val="nil"/>
            </w:tcBorders>
            <w:noWrap w:val="0"/>
            <w:vAlign w:val="top"/>
          </w:tcPr>
          <w:p w14:paraId="1865973B">
            <w:pPr>
              <w:pStyle w:val="158"/>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声源控制措施</w:t>
            </w:r>
          </w:p>
        </w:tc>
        <w:tc>
          <w:tcPr>
            <w:tcW w:w="524" w:type="pct"/>
            <w:vMerge w:val="restart"/>
            <w:tcBorders>
              <w:tl2br w:val="nil"/>
              <w:tr2bl w:val="nil"/>
            </w:tcBorders>
            <w:noWrap w:val="0"/>
            <w:vAlign w:val="top"/>
          </w:tcPr>
          <w:p w14:paraId="3674C248">
            <w:pPr>
              <w:pStyle w:val="158"/>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运行时段</w:t>
            </w:r>
          </w:p>
        </w:tc>
      </w:tr>
      <w:tr w14:paraId="5859A7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atLeast"/>
          <w:jc w:val="center"/>
        </w:trPr>
        <w:tc>
          <w:tcPr>
            <w:tcW w:w="220" w:type="pct"/>
            <w:vMerge w:val="continue"/>
            <w:tcBorders>
              <w:tl2br w:val="nil"/>
              <w:tr2bl w:val="nil"/>
            </w:tcBorders>
            <w:noWrap w:val="0"/>
            <w:vAlign w:val="center"/>
          </w:tcPr>
          <w:p w14:paraId="3A7694FE">
            <w:pPr>
              <w:pStyle w:val="158"/>
              <w:jc w:val="center"/>
              <w:rPr>
                <w:rFonts w:hint="default" w:ascii="Times New Roman" w:hAnsi="Times New Roman" w:eastAsia="宋体" w:cs="Times New Roman"/>
                <w:color w:val="auto"/>
                <w:sz w:val="21"/>
                <w:szCs w:val="21"/>
              </w:rPr>
            </w:pPr>
          </w:p>
        </w:tc>
        <w:tc>
          <w:tcPr>
            <w:tcW w:w="1373" w:type="pct"/>
            <w:vMerge w:val="continue"/>
            <w:tcBorders>
              <w:tl2br w:val="nil"/>
              <w:tr2bl w:val="nil"/>
            </w:tcBorders>
            <w:noWrap w:val="0"/>
            <w:vAlign w:val="center"/>
          </w:tcPr>
          <w:p w14:paraId="0EA6ED12">
            <w:pPr>
              <w:pStyle w:val="158"/>
              <w:jc w:val="center"/>
              <w:rPr>
                <w:rFonts w:hint="default" w:ascii="Times New Roman" w:hAnsi="Times New Roman" w:eastAsia="宋体" w:cs="Times New Roman"/>
                <w:color w:val="auto"/>
                <w:sz w:val="21"/>
                <w:szCs w:val="21"/>
              </w:rPr>
            </w:pPr>
          </w:p>
        </w:tc>
        <w:tc>
          <w:tcPr>
            <w:tcW w:w="468" w:type="pct"/>
            <w:vMerge w:val="continue"/>
            <w:tcBorders>
              <w:tl2br w:val="nil"/>
              <w:tr2bl w:val="nil"/>
            </w:tcBorders>
            <w:noWrap w:val="0"/>
            <w:vAlign w:val="center"/>
          </w:tcPr>
          <w:p w14:paraId="1B1E4151">
            <w:pPr>
              <w:pStyle w:val="158"/>
              <w:jc w:val="center"/>
              <w:rPr>
                <w:rFonts w:hint="default" w:ascii="Times New Roman" w:hAnsi="Times New Roman" w:eastAsia="宋体" w:cs="Times New Roman"/>
                <w:color w:val="auto"/>
                <w:sz w:val="21"/>
                <w:szCs w:val="21"/>
              </w:rPr>
            </w:pPr>
          </w:p>
        </w:tc>
        <w:tc>
          <w:tcPr>
            <w:tcW w:w="452" w:type="pct"/>
            <w:vMerge w:val="continue"/>
            <w:tcBorders>
              <w:tl2br w:val="nil"/>
              <w:tr2bl w:val="nil"/>
            </w:tcBorders>
            <w:noWrap w:val="0"/>
            <w:vAlign w:val="top"/>
          </w:tcPr>
          <w:p w14:paraId="3EFCDF05">
            <w:pPr>
              <w:pStyle w:val="158"/>
              <w:jc w:val="center"/>
              <w:rPr>
                <w:rFonts w:hint="default" w:ascii="Times New Roman" w:hAnsi="Times New Roman" w:eastAsia="宋体" w:cs="Times New Roman"/>
                <w:color w:val="auto"/>
                <w:sz w:val="21"/>
                <w:szCs w:val="21"/>
              </w:rPr>
            </w:pPr>
          </w:p>
        </w:tc>
        <w:tc>
          <w:tcPr>
            <w:tcW w:w="464" w:type="pct"/>
            <w:tcBorders>
              <w:tl2br w:val="nil"/>
              <w:tr2bl w:val="nil"/>
            </w:tcBorders>
            <w:noWrap w:val="0"/>
            <w:vAlign w:val="top"/>
          </w:tcPr>
          <w:p w14:paraId="7498F0EC">
            <w:pPr>
              <w:pStyle w:val="158"/>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X</w:t>
            </w:r>
          </w:p>
        </w:tc>
        <w:tc>
          <w:tcPr>
            <w:tcW w:w="348" w:type="pct"/>
            <w:tcBorders>
              <w:tl2br w:val="nil"/>
              <w:tr2bl w:val="nil"/>
            </w:tcBorders>
            <w:noWrap w:val="0"/>
            <w:vAlign w:val="top"/>
          </w:tcPr>
          <w:p w14:paraId="1E609707">
            <w:pPr>
              <w:pStyle w:val="158"/>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Y</w:t>
            </w:r>
          </w:p>
        </w:tc>
        <w:tc>
          <w:tcPr>
            <w:tcW w:w="398" w:type="pct"/>
            <w:tcBorders>
              <w:tl2br w:val="nil"/>
              <w:tr2bl w:val="nil"/>
            </w:tcBorders>
            <w:noWrap w:val="0"/>
            <w:vAlign w:val="top"/>
          </w:tcPr>
          <w:p w14:paraId="6D55A0B5">
            <w:pPr>
              <w:pStyle w:val="158"/>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Z</w:t>
            </w:r>
          </w:p>
        </w:tc>
        <w:tc>
          <w:tcPr>
            <w:tcW w:w="749" w:type="pct"/>
            <w:vMerge w:val="continue"/>
            <w:tcBorders>
              <w:tl2br w:val="nil"/>
              <w:tr2bl w:val="nil"/>
            </w:tcBorders>
            <w:noWrap w:val="0"/>
            <w:vAlign w:val="top"/>
          </w:tcPr>
          <w:p w14:paraId="21942149">
            <w:pPr>
              <w:pStyle w:val="158"/>
              <w:jc w:val="center"/>
              <w:rPr>
                <w:rFonts w:hint="default" w:ascii="Times New Roman" w:hAnsi="Times New Roman" w:eastAsia="宋体" w:cs="Times New Roman"/>
                <w:i w:val="0"/>
                <w:iCs w:val="0"/>
                <w:color w:val="auto"/>
                <w:sz w:val="21"/>
                <w:szCs w:val="21"/>
                <w:highlight w:val="none"/>
              </w:rPr>
            </w:pPr>
          </w:p>
        </w:tc>
        <w:tc>
          <w:tcPr>
            <w:tcW w:w="524" w:type="pct"/>
            <w:vMerge w:val="continue"/>
            <w:tcBorders>
              <w:tl2br w:val="nil"/>
              <w:tr2bl w:val="nil"/>
            </w:tcBorders>
            <w:noWrap w:val="0"/>
            <w:vAlign w:val="top"/>
          </w:tcPr>
          <w:p w14:paraId="4CECC1B3">
            <w:pPr>
              <w:pStyle w:val="158"/>
              <w:jc w:val="center"/>
              <w:rPr>
                <w:rFonts w:hint="default" w:ascii="Times New Roman" w:hAnsi="Times New Roman" w:eastAsia="宋体" w:cs="Times New Roman"/>
                <w:i w:val="0"/>
                <w:iCs w:val="0"/>
                <w:color w:val="auto"/>
                <w:sz w:val="21"/>
                <w:szCs w:val="21"/>
                <w:highlight w:val="none"/>
              </w:rPr>
            </w:pPr>
          </w:p>
        </w:tc>
      </w:tr>
      <w:tr w14:paraId="750D0C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220" w:type="pct"/>
            <w:tcBorders>
              <w:tl2br w:val="nil"/>
              <w:tr2bl w:val="nil"/>
            </w:tcBorders>
            <w:noWrap w:val="0"/>
            <w:vAlign w:val="center"/>
          </w:tcPr>
          <w:p w14:paraId="1BE8BD12">
            <w:pPr>
              <w:widowControl/>
              <w:spacing w:line="360" w:lineRule="exact"/>
              <w:ind w:firstLine="0" w:firstLineChars="0"/>
              <w:jc w:val="center"/>
              <w:textAlignment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w:t>
            </w:r>
          </w:p>
        </w:tc>
        <w:tc>
          <w:tcPr>
            <w:tcW w:w="1373" w:type="pct"/>
            <w:tcBorders>
              <w:tl2br w:val="nil"/>
              <w:tr2bl w:val="nil"/>
            </w:tcBorders>
            <w:noWrap w:val="0"/>
            <w:vAlign w:val="center"/>
          </w:tcPr>
          <w:p w14:paraId="1EEB8A7D">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lang w:eastAsia="zh-CN" w:bidi="ar"/>
              </w:rPr>
            </w:pPr>
            <w:r>
              <w:rPr>
                <w:rFonts w:hint="default" w:ascii="Times New Roman" w:hAnsi="Times New Roman" w:eastAsia="宋体" w:cs="Times New Roman"/>
                <w:i w:val="0"/>
                <w:iCs w:val="0"/>
                <w:color w:val="auto"/>
                <w:kern w:val="0"/>
                <w:sz w:val="21"/>
                <w:szCs w:val="21"/>
                <w:highlight w:val="none"/>
                <w:lang w:eastAsia="zh-CN" w:bidi="ar"/>
              </w:rPr>
              <w:t>8井式进站阀组橇</w:t>
            </w:r>
          </w:p>
        </w:tc>
        <w:tc>
          <w:tcPr>
            <w:tcW w:w="468" w:type="pct"/>
            <w:tcBorders>
              <w:tl2br w:val="nil"/>
              <w:tr2bl w:val="nil"/>
            </w:tcBorders>
            <w:noWrap w:val="0"/>
            <w:vAlign w:val="center"/>
          </w:tcPr>
          <w:p w14:paraId="5E02AB39">
            <w:pPr>
              <w:widowControl/>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lang w:val="en-US" w:eastAsia="zh-CN" w:bidi="ar"/>
              </w:rPr>
              <w:t>1</w:t>
            </w:r>
          </w:p>
        </w:tc>
        <w:tc>
          <w:tcPr>
            <w:tcW w:w="452" w:type="pct"/>
            <w:tcBorders>
              <w:tl2br w:val="nil"/>
              <w:tr2bl w:val="nil"/>
            </w:tcBorders>
            <w:noWrap w:val="0"/>
            <w:vAlign w:val="top"/>
          </w:tcPr>
          <w:p w14:paraId="6F0DE698">
            <w:pPr>
              <w:pStyle w:val="158"/>
              <w:ind w:firstLine="0" w:firstLineChars="0"/>
              <w:jc w:val="center"/>
              <w:rPr>
                <w:rFonts w:hint="default" w:ascii="Times New Roman" w:hAnsi="Times New Roman" w:eastAsia="宋体" w:cs="Times New Roman"/>
                <w:i w:val="0"/>
                <w:iCs w:val="0"/>
                <w:color w:val="auto"/>
                <w:kern w:val="0"/>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lang w:val="en-US" w:eastAsia="zh-CN" w:bidi="ar-SA"/>
              </w:rPr>
              <w:t>70</w:t>
            </w:r>
          </w:p>
        </w:tc>
        <w:tc>
          <w:tcPr>
            <w:tcW w:w="464" w:type="pct"/>
            <w:tcBorders>
              <w:tl2br w:val="nil"/>
              <w:tr2bl w:val="nil"/>
            </w:tcBorders>
            <w:noWrap w:val="0"/>
            <w:vAlign w:val="top"/>
          </w:tcPr>
          <w:p w14:paraId="66D41ABB">
            <w:pPr>
              <w:pStyle w:val="158"/>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1.47</w:t>
            </w:r>
          </w:p>
        </w:tc>
        <w:tc>
          <w:tcPr>
            <w:tcW w:w="348" w:type="pct"/>
            <w:tcBorders>
              <w:tl2br w:val="nil"/>
              <w:tr2bl w:val="nil"/>
            </w:tcBorders>
            <w:noWrap w:val="0"/>
            <w:vAlign w:val="top"/>
          </w:tcPr>
          <w:p w14:paraId="608A82B2">
            <w:pPr>
              <w:pStyle w:val="158"/>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-44.73</w:t>
            </w:r>
          </w:p>
        </w:tc>
        <w:tc>
          <w:tcPr>
            <w:tcW w:w="398" w:type="pct"/>
            <w:tcBorders>
              <w:tl2br w:val="nil"/>
              <w:tr2bl w:val="nil"/>
            </w:tcBorders>
            <w:noWrap w:val="0"/>
            <w:vAlign w:val="center"/>
          </w:tcPr>
          <w:p w14:paraId="0533ECD4">
            <w:pPr>
              <w:keepNext w:val="0"/>
              <w:keepLines w:val="0"/>
              <w:pageBreakBefore w:val="0"/>
              <w:widowControl w:val="0"/>
              <w:kinsoku/>
              <w:bidi w:val="0"/>
              <w:jc w:val="center"/>
              <w:rPr>
                <w:rFonts w:hint="default" w:ascii="Times New Roman" w:hAnsi="Times New Roman" w:eastAsia="宋体" w:cs="Times New Roman"/>
                <w:b w:val="0"/>
                <w:bCs/>
                <w:color w:val="auto"/>
                <w:kern w:val="0"/>
                <w:sz w:val="21"/>
                <w:szCs w:val="22"/>
                <w:highlight w:val="none"/>
                <w:vertAlign w:val="baseline"/>
                <w:lang w:val="en-US" w:eastAsia="zh-CN" w:bidi="ar-SA"/>
              </w:rPr>
            </w:pPr>
            <w:r>
              <w:rPr>
                <w:rFonts w:hint="eastAsia" w:ascii="Times New Roman" w:hAnsi="Times New Roman" w:cs="Times New Roman"/>
                <w:b w:val="0"/>
                <w:bCs/>
                <w:color w:val="auto"/>
                <w:kern w:val="0"/>
                <w:sz w:val="21"/>
                <w:szCs w:val="22"/>
                <w:highlight w:val="none"/>
                <w:vertAlign w:val="baseline"/>
                <w:lang w:val="en-US" w:eastAsia="zh-CN" w:bidi="ar-SA"/>
              </w:rPr>
              <w:t>1.2</w:t>
            </w:r>
          </w:p>
        </w:tc>
        <w:tc>
          <w:tcPr>
            <w:tcW w:w="749" w:type="pct"/>
            <w:vMerge w:val="restart"/>
            <w:tcBorders>
              <w:tl2br w:val="nil"/>
              <w:tr2bl w:val="nil"/>
            </w:tcBorders>
            <w:noWrap w:val="0"/>
            <w:vAlign w:val="top"/>
          </w:tcPr>
          <w:p w14:paraId="6FF5DFD7">
            <w:pPr>
              <w:pStyle w:val="158"/>
              <w:rPr>
                <w:rFonts w:hint="default" w:ascii="Times New Roman" w:hAnsi="Times New Roman" w:eastAsia="宋体" w:cs="Times New Roman"/>
                <w:i w:val="0"/>
                <w:iCs w:val="0"/>
                <w:color w:val="auto"/>
                <w:sz w:val="21"/>
                <w:szCs w:val="21"/>
                <w:highlight w:val="none"/>
              </w:rPr>
            </w:pPr>
            <w:r>
              <w:rPr>
                <w:rFonts w:ascii="Times New Roman" w:hAnsi="Times New Roman" w:eastAsia="宋体" w:cs="Times New Roman"/>
                <w:color w:val="auto"/>
                <w:kern w:val="2"/>
                <w:sz w:val="21"/>
                <w:szCs w:val="21"/>
                <w:highlight w:val="none"/>
                <w:lang w:val="en-US" w:eastAsia="zh-CN" w:bidi="ar-SA"/>
              </w:rPr>
              <w:t>选用低噪声设备，基础减振；控制气流速度，加强运营管理</w:t>
            </w:r>
          </w:p>
        </w:tc>
        <w:tc>
          <w:tcPr>
            <w:tcW w:w="524" w:type="pct"/>
            <w:vMerge w:val="restart"/>
            <w:tcBorders>
              <w:tl2br w:val="nil"/>
              <w:tr2bl w:val="nil"/>
            </w:tcBorders>
            <w:noWrap w:val="0"/>
            <w:vAlign w:val="top"/>
          </w:tcPr>
          <w:p w14:paraId="3218AE1D">
            <w:pPr>
              <w:pStyle w:val="158"/>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连续运行</w:t>
            </w:r>
          </w:p>
        </w:tc>
      </w:tr>
      <w:tr w14:paraId="2C455C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220" w:type="pct"/>
            <w:tcBorders>
              <w:tl2br w:val="nil"/>
              <w:tr2bl w:val="nil"/>
            </w:tcBorders>
            <w:noWrap w:val="0"/>
            <w:vAlign w:val="center"/>
          </w:tcPr>
          <w:p w14:paraId="580EB317">
            <w:pPr>
              <w:widowControl/>
              <w:spacing w:line="360" w:lineRule="exact"/>
              <w:ind w:firstLine="0" w:firstLineChars="0"/>
              <w:jc w:val="center"/>
              <w:textAlignment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2</w:t>
            </w:r>
          </w:p>
        </w:tc>
        <w:tc>
          <w:tcPr>
            <w:tcW w:w="1373" w:type="pct"/>
            <w:tcBorders>
              <w:tl2br w:val="nil"/>
              <w:tr2bl w:val="nil"/>
            </w:tcBorders>
            <w:noWrap w:val="0"/>
            <w:vAlign w:val="center"/>
          </w:tcPr>
          <w:p w14:paraId="3B3139D5">
            <w:pPr>
              <w:widowControl/>
              <w:spacing w:line="360" w:lineRule="exact"/>
              <w:ind w:left="57" w:firstLine="0" w:firstLineChars="0"/>
              <w:jc w:val="center"/>
              <w:textAlignment w:val="center"/>
              <w:rPr>
                <w:rFonts w:hint="default" w:ascii="Times New Roman" w:hAnsi="Times New Roman" w:eastAsia="宋体" w:cs="Times New Roman"/>
                <w:i w:val="0"/>
                <w:iCs w:val="0"/>
                <w:color w:val="auto"/>
                <w:sz w:val="21"/>
                <w:szCs w:val="21"/>
                <w:highlight w:val="none"/>
              </w:rPr>
            </w:pPr>
            <w:r>
              <w:rPr>
                <w:rFonts w:hint="default" w:ascii="Times New Roman" w:hAnsi="Times New Roman" w:eastAsia="宋体" w:cs="Times New Roman"/>
                <w:i w:val="0"/>
                <w:iCs w:val="0"/>
                <w:color w:val="auto"/>
                <w:kern w:val="0"/>
                <w:sz w:val="21"/>
                <w:szCs w:val="21"/>
                <w:highlight w:val="none"/>
                <w:lang w:bidi="ar"/>
              </w:rPr>
              <w:t>计量分离器橇</w:t>
            </w:r>
          </w:p>
        </w:tc>
        <w:tc>
          <w:tcPr>
            <w:tcW w:w="468" w:type="pct"/>
            <w:tcBorders>
              <w:tl2br w:val="nil"/>
              <w:tr2bl w:val="nil"/>
            </w:tcBorders>
            <w:noWrap w:val="0"/>
            <w:vAlign w:val="center"/>
          </w:tcPr>
          <w:p w14:paraId="7795F5A2">
            <w:pPr>
              <w:widowControl/>
              <w:spacing w:line="360" w:lineRule="exact"/>
              <w:ind w:firstLine="0" w:firstLineChars="0"/>
              <w:jc w:val="center"/>
              <w:textAlignment w:val="center"/>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lang w:bidi="ar"/>
              </w:rPr>
              <w:t>1</w:t>
            </w:r>
          </w:p>
        </w:tc>
        <w:tc>
          <w:tcPr>
            <w:tcW w:w="452" w:type="pct"/>
            <w:tcBorders>
              <w:tl2br w:val="nil"/>
              <w:tr2bl w:val="nil"/>
            </w:tcBorders>
            <w:noWrap w:val="0"/>
            <w:vAlign w:val="top"/>
          </w:tcPr>
          <w:p w14:paraId="0228FE43">
            <w:pPr>
              <w:pStyle w:val="158"/>
              <w:ind w:firstLine="0" w:firstLineChars="0"/>
              <w:jc w:val="center"/>
              <w:rPr>
                <w:rFonts w:hint="default" w:ascii="Times New Roman" w:hAnsi="Times New Roman" w:eastAsia="宋体" w:cs="Times New Roman"/>
                <w:i w:val="0"/>
                <w:iCs w:val="0"/>
                <w:color w:val="auto"/>
                <w:kern w:val="0"/>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lang w:val="en-US" w:eastAsia="zh-CN" w:bidi="ar-SA"/>
              </w:rPr>
              <w:t>70</w:t>
            </w:r>
          </w:p>
        </w:tc>
        <w:tc>
          <w:tcPr>
            <w:tcW w:w="464" w:type="pct"/>
            <w:tcBorders>
              <w:tl2br w:val="nil"/>
              <w:tr2bl w:val="nil"/>
            </w:tcBorders>
            <w:noWrap w:val="0"/>
            <w:vAlign w:val="top"/>
          </w:tcPr>
          <w:p w14:paraId="68B221F7">
            <w:pPr>
              <w:pStyle w:val="158"/>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1.29</w:t>
            </w:r>
          </w:p>
        </w:tc>
        <w:tc>
          <w:tcPr>
            <w:tcW w:w="348" w:type="pct"/>
            <w:tcBorders>
              <w:tl2br w:val="nil"/>
              <w:tr2bl w:val="nil"/>
            </w:tcBorders>
            <w:noWrap w:val="0"/>
            <w:vAlign w:val="top"/>
          </w:tcPr>
          <w:p w14:paraId="5CE2A94D">
            <w:pPr>
              <w:pStyle w:val="158"/>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-36.19</w:t>
            </w:r>
          </w:p>
        </w:tc>
        <w:tc>
          <w:tcPr>
            <w:tcW w:w="398" w:type="pct"/>
            <w:tcBorders>
              <w:tl2br w:val="nil"/>
              <w:tr2bl w:val="nil"/>
            </w:tcBorders>
            <w:noWrap w:val="0"/>
            <w:vAlign w:val="center"/>
          </w:tcPr>
          <w:p w14:paraId="528350C0">
            <w:pPr>
              <w:keepNext w:val="0"/>
              <w:keepLines w:val="0"/>
              <w:pageBreakBefore w:val="0"/>
              <w:widowControl w:val="0"/>
              <w:kinsoku/>
              <w:bidi w:val="0"/>
              <w:jc w:val="center"/>
              <w:rPr>
                <w:rFonts w:hint="default" w:ascii="Times New Roman" w:hAnsi="Times New Roman" w:eastAsia="宋体" w:cs="Times New Roman"/>
                <w:b w:val="0"/>
                <w:bCs/>
                <w:color w:val="auto"/>
                <w:kern w:val="0"/>
                <w:sz w:val="21"/>
                <w:szCs w:val="22"/>
                <w:highlight w:val="none"/>
                <w:vertAlign w:val="baseline"/>
                <w:lang w:val="en-US" w:eastAsia="zh-CN" w:bidi="ar-SA"/>
              </w:rPr>
            </w:pPr>
            <w:r>
              <w:rPr>
                <w:rFonts w:hint="eastAsia" w:ascii="Times New Roman" w:hAnsi="Times New Roman" w:eastAsia="宋体" w:cs="Times New Roman"/>
                <w:b w:val="0"/>
                <w:bCs/>
                <w:color w:val="auto"/>
                <w:kern w:val="0"/>
                <w:sz w:val="21"/>
                <w:szCs w:val="22"/>
                <w:highlight w:val="none"/>
                <w:vertAlign w:val="baseline"/>
                <w:lang w:val="en-US" w:eastAsia="zh-CN" w:bidi="ar-SA"/>
              </w:rPr>
              <w:t>1.2</w:t>
            </w:r>
          </w:p>
        </w:tc>
        <w:tc>
          <w:tcPr>
            <w:tcW w:w="749" w:type="pct"/>
            <w:vMerge w:val="continue"/>
            <w:tcBorders>
              <w:tl2br w:val="nil"/>
              <w:tr2bl w:val="nil"/>
            </w:tcBorders>
            <w:noWrap w:val="0"/>
            <w:vAlign w:val="top"/>
          </w:tcPr>
          <w:p w14:paraId="5B55F472">
            <w:pPr>
              <w:pStyle w:val="158"/>
              <w:rPr>
                <w:rFonts w:hint="default" w:ascii="Times New Roman" w:hAnsi="Times New Roman" w:eastAsia="宋体" w:cs="Times New Roman"/>
                <w:i w:val="0"/>
                <w:iCs w:val="0"/>
                <w:color w:val="auto"/>
                <w:sz w:val="21"/>
                <w:szCs w:val="21"/>
                <w:highlight w:val="none"/>
              </w:rPr>
            </w:pPr>
          </w:p>
        </w:tc>
        <w:tc>
          <w:tcPr>
            <w:tcW w:w="524" w:type="pct"/>
            <w:vMerge w:val="continue"/>
            <w:tcBorders>
              <w:tl2br w:val="nil"/>
              <w:tr2bl w:val="nil"/>
            </w:tcBorders>
            <w:noWrap w:val="0"/>
            <w:vAlign w:val="top"/>
          </w:tcPr>
          <w:p w14:paraId="0AD7CE58">
            <w:pPr>
              <w:pStyle w:val="158"/>
              <w:rPr>
                <w:rFonts w:hint="default" w:ascii="Times New Roman" w:hAnsi="Times New Roman" w:eastAsia="宋体" w:cs="Times New Roman"/>
                <w:i w:val="0"/>
                <w:iCs w:val="0"/>
                <w:color w:val="auto"/>
                <w:sz w:val="21"/>
                <w:szCs w:val="21"/>
                <w:highlight w:val="none"/>
              </w:rPr>
            </w:pPr>
          </w:p>
        </w:tc>
      </w:tr>
      <w:tr w14:paraId="72D472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220" w:type="pct"/>
            <w:tcBorders>
              <w:tl2br w:val="nil"/>
              <w:tr2bl w:val="nil"/>
            </w:tcBorders>
            <w:noWrap w:val="0"/>
            <w:vAlign w:val="center"/>
          </w:tcPr>
          <w:p w14:paraId="1557A652">
            <w:pPr>
              <w:widowControl/>
              <w:spacing w:line="360" w:lineRule="exact"/>
              <w:ind w:firstLine="0" w:firstLineChars="0"/>
              <w:jc w:val="center"/>
              <w:textAlignment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3</w:t>
            </w:r>
          </w:p>
        </w:tc>
        <w:tc>
          <w:tcPr>
            <w:tcW w:w="1373" w:type="pct"/>
            <w:tcBorders>
              <w:tl2br w:val="nil"/>
              <w:tr2bl w:val="nil"/>
            </w:tcBorders>
            <w:noWrap w:val="0"/>
            <w:vAlign w:val="center"/>
          </w:tcPr>
          <w:p w14:paraId="37164695">
            <w:pPr>
              <w:widowControl/>
              <w:spacing w:line="360" w:lineRule="exact"/>
              <w:ind w:left="57" w:firstLine="0" w:firstLineChars="0"/>
              <w:jc w:val="center"/>
              <w:textAlignment w:val="center"/>
              <w:rPr>
                <w:rFonts w:hint="default" w:ascii="Times New Roman" w:hAnsi="Times New Roman" w:eastAsia="宋体" w:cs="Times New Roman"/>
                <w:i w:val="0"/>
                <w:iCs w:val="0"/>
                <w:color w:val="auto"/>
                <w:sz w:val="21"/>
                <w:szCs w:val="21"/>
                <w:highlight w:val="none"/>
              </w:rPr>
            </w:pPr>
            <w:r>
              <w:rPr>
                <w:rFonts w:hint="default" w:ascii="Times New Roman" w:hAnsi="Times New Roman" w:eastAsia="宋体" w:cs="Times New Roman"/>
                <w:i w:val="0"/>
                <w:iCs w:val="0"/>
                <w:color w:val="auto"/>
                <w:sz w:val="21"/>
                <w:szCs w:val="21"/>
                <w:highlight w:val="none"/>
              </w:rPr>
              <w:t>缓蚀剂加注橇</w:t>
            </w:r>
          </w:p>
        </w:tc>
        <w:tc>
          <w:tcPr>
            <w:tcW w:w="468" w:type="pct"/>
            <w:tcBorders>
              <w:tl2br w:val="nil"/>
              <w:tr2bl w:val="nil"/>
            </w:tcBorders>
            <w:noWrap w:val="0"/>
            <w:vAlign w:val="center"/>
          </w:tcPr>
          <w:p w14:paraId="744009F2">
            <w:pPr>
              <w:widowControl/>
              <w:spacing w:line="360" w:lineRule="exact"/>
              <w:ind w:firstLine="0" w:firstLineChars="0"/>
              <w:jc w:val="center"/>
              <w:textAlignment w:val="center"/>
              <w:rPr>
                <w:rFonts w:hint="default" w:ascii="Times New Roman" w:hAnsi="Times New Roman" w:eastAsia="宋体" w:cs="Times New Roman"/>
                <w:i w:val="0"/>
                <w:iCs w:val="0"/>
                <w:color w:val="auto"/>
                <w:sz w:val="21"/>
                <w:szCs w:val="21"/>
                <w:highlight w:val="none"/>
              </w:rPr>
            </w:pPr>
            <w:r>
              <w:rPr>
                <w:rFonts w:hint="default" w:ascii="Times New Roman" w:hAnsi="Times New Roman" w:eastAsia="宋体" w:cs="Times New Roman"/>
                <w:i w:val="0"/>
                <w:iCs w:val="0"/>
                <w:color w:val="auto"/>
                <w:kern w:val="0"/>
                <w:sz w:val="21"/>
                <w:szCs w:val="21"/>
                <w:highlight w:val="none"/>
                <w:lang w:bidi="ar"/>
              </w:rPr>
              <w:t>1</w:t>
            </w:r>
          </w:p>
        </w:tc>
        <w:tc>
          <w:tcPr>
            <w:tcW w:w="452" w:type="pct"/>
            <w:tcBorders>
              <w:tl2br w:val="nil"/>
              <w:tr2bl w:val="nil"/>
            </w:tcBorders>
            <w:noWrap w:val="0"/>
            <w:vAlign w:val="top"/>
          </w:tcPr>
          <w:p w14:paraId="5C133D9F">
            <w:pPr>
              <w:pStyle w:val="158"/>
              <w:ind w:firstLine="0" w:firstLineChars="0"/>
              <w:jc w:val="center"/>
              <w:rPr>
                <w:rFonts w:hint="default" w:ascii="Times New Roman" w:hAnsi="Times New Roman" w:eastAsia="宋体" w:cs="Times New Roman"/>
                <w:i w:val="0"/>
                <w:iCs w:val="0"/>
                <w:color w:val="auto"/>
                <w:kern w:val="0"/>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lang w:val="en-US" w:eastAsia="zh-CN" w:bidi="ar-SA"/>
              </w:rPr>
              <w:t>70</w:t>
            </w:r>
          </w:p>
        </w:tc>
        <w:tc>
          <w:tcPr>
            <w:tcW w:w="464" w:type="pct"/>
            <w:tcBorders>
              <w:tl2br w:val="nil"/>
              <w:tr2bl w:val="nil"/>
            </w:tcBorders>
            <w:noWrap w:val="0"/>
            <w:vAlign w:val="top"/>
          </w:tcPr>
          <w:p w14:paraId="50506537">
            <w:pPr>
              <w:pStyle w:val="158"/>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28.25</w:t>
            </w:r>
          </w:p>
        </w:tc>
        <w:tc>
          <w:tcPr>
            <w:tcW w:w="348" w:type="pct"/>
            <w:tcBorders>
              <w:tl2br w:val="nil"/>
              <w:tr2bl w:val="nil"/>
            </w:tcBorders>
            <w:noWrap w:val="0"/>
            <w:vAlign w:val="top"/>
          </w:tcPr>
          <w:p w14:paraId="289339FE">
            <w:pPr>
              <w:pStyle w:val="158"/>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3.13</w:t>
            </w:r>
          </w:p>
        </w:tc>
        <w:tc>
          <w:tcPr>
            <w:tcW w:w="398" w:type="pct"/>
            <w:tcBorders>
              <w:tl2br w:val="nil"/>
              <w:tr2bl w:val="nil"/>
            </w:tcBorders>
            <w:noWrap w:val="0"/>
            <w:vAlign w:val="center"/>
          </w:tcPr>
          <w:p w14:paraId="55EA7D1C">
            <w:pPr>
              <w:keepNext w:val="0"/>
              <w:keepLines w:val="0"/>
              <w:pageBreakBefore w:val="0"/>
              <w:widowControl w:val="0"/>
              <w:kinsoku/>
              <w:bidi w:val="0"/>
              <w:jc w:val="center"/>
              <w:rPr>
                <w:rFonts w:hint="default" w:ascii="Times New Roman" w:hAnsi="Times New Roman" w:eastAsia="宋体" w:cs="Times New Roman"/>
                <w:b w:val="0"/>
                <w:bCs/>
                <w:color w:val="auto"/>
                <w:kern w:val="0"/>
                <w:sz w:val="21"/>
                <w:szCs w:val="22"/>
                <w:highlight w:val="none"/>
                <w:vertAlign w:val="baseline"/>
                <w:lang w:val="en-US" w:eastAsia="zh-CN" w:bidi="ar-SA"/>
              </w:rPr>
            </w:pPr>
            <w:r>
              <w:rPr>
                <w:rFonts w:hint="eastAsia" w:ascii="Times New Roman" w:hAnsi="Times New Roman" w:eastAsia="宋体" w:cs="Times New Roman"/>
                <w:b w:val="0"/>
                <w:bCs/>
                <w:color w:val="auto"/>
                <w:kern w:val="0"/>
                <w:sz w:val="21"/>
                <w:szCs w:val="22"/>
                <w:highlight w:val="none"/>
                <w:vertAlign w:val="baseline"/>
                <w:lang w:val="en-US" w:eastAsia="zh-CN" w:bidi="ar-SA"/>
              </w:rPr>
              <w:t>1.2</w:t>
            </w:r>
          </w:p>
        </w:tc>
        <w:tc>
          <w:tcPr>
            <w:tcW w:w="749" w:type="pct"/>
            <w:vMerge w:val="continue"/>
            <w:tcBorders>
              <w:tl2br w:val="nil"/>
              <w:tr2bl w:val="nil"/>
            </w:tcBorders>
            <w:noWrap w:val="0"/>
            <w:vAlign w:val="top"/>
          </w:tcPr>
          <w:p w14:paraId="4605B649">
            <w:pPr>
              <w:pStyle w:val="158"/>
              <w:rPr>
                <w:rFonts w:hint="default" w:ascii="Times New Roman" w:hAnsi="Times New Roman" w:eastAsia="宋体" w:cs="Times New Roman"/>
                <w:i w:val="0"/>
                <w:iCs w:val="0"/>
                <w:color w:val="auto"/>
                <w:sz w:val="21"/>
                <w:szCs w:val="21"/>
                <w:highlight w:val="none"/>
              </w:rPr>
            </w:pPr>
          </w:p>
        </w:tc>
        <w:tc>
          <w:tcPr>
            <w:tcW w:w="524" w:type="pct"/>
            <w:vMerge w:val="continue"/>
            <w:tcBorders>
              <w:tl2br w:val="nil"/>
              <w:tr2bl w:val="nil"/>
            </w:tcBorders>
            <w:noWrap w:val="0"/>
            <w:vAlign w:val="top"/>
          </w:tcPr>
          <w:p w14:paraId="0898676A">
            <w:pPr>
              <w:pStyle w:val="158"/>
              <w:rPr>
                <w:rFonts w:hint="default" w:ascii="Times New Roman" w:hAnsi="Times New Roman" w:eastAsia="宋体" w:cs="Times New Roman"/>
                <w:i w:val="0"/>
                <w:iCs w:val="0"/>
                <w:color w:val="auto"/>
                <w:sz w:val="21"/>
                <w:szCs w:val="21"/>
                <w:highlight w:val="none"/>
              </w:rPr>
            </w:pPr>
          </w:p>
        </w:tc>
      </w:tr>
      <w:tr w14:paraId="04C6C8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220" w:type="pct"/>
            <w:tcBorders>
              <w:tl2br w:val="nil"/>
              <w:tr2bl w:val="nil"/>
            </w:tcBorders>
            <w:noWrap w:val="0"/>
            <w:vAlign w:val="center"/>
          </w:tcPr>
          <w:p w14:paraId="3BFF37C7">
            <w:pPr>
              <w:widowControl/>
              <w:spacing w:line="360" w:lineRule="exact"/>
              <w:ind w:firstLine="0" w:firstLineChars="0"/>
              <w:jc w:val="center"/>
              <w:textAlignment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4</w:t>
            </w:r>
          </w:p>
        </w:tc>
        <w:tc>
          <w:tcPr>
            <w:tcW w:w="1373" w:type="pct"/>
            <w:tcBorders>
              <w:tl2br w:val="nil"/>
              <w:tr2bl w:val="nil"/>
            </w:tcBorders>
            <w:noWrap w:val="0"/>
            <w:vAlign w:val="center"/>
          </w:tcPr>
          <w:p w14:paraId="7FC4DD70">
            <w:pPr>
              <w:widowControl/>
              <w:spacing w:line="360" w:lineRule="exact"/>
              <w:ind w:left="57" w:firstLine="0" w:firstLineChars="0"/>
              <w:jc w:val="center"/>
              <w:textAlignment w:val="center"/>
              <w:rPr>
                <w:rFonts w:hint="default" w:ascii="Times New Roman" w:hAnsi="Times New Roman" w:eastAsia="宋体" w:cs="Times New Roman"/>
                <w:i w:val="0"/>
                <w:iCs w:val="0"/>
                <w:color w:val="auto"/>
                <w:sz w:val="21"/>
                <w:szCs w:val="21"/>
                <w:highlight w:val="none"/>
              </w:rPr>
            </w:pPr>
            <w:r>
              <w:rPr>
                <w:rFonts w:hint="default" w:ascii="Times New Roman" w:hAnsi="Times New Roman" w:eastAsia="宋体" w:cs="Times New Roman"/>
                <w:i w:val="0"/>
                <w:iCs w:val="0"/>
                <w:color w:val="auto"/>
                <w:sz w:val="21"/>
                <w:szCs w:val="21"/>
                <w:highlight w:val="none"/>
              </w:rPr>
              <w:t>原油装车橇</w:t>
            </w:r>
          </w:p>
        </w:tc>
        <w:tc>
          <w:tcPr>
            <w:tcW w:w="468" w:type="pct"/>
            <w:tcBorders>
              <w:tl2br w:val="nil"/>
              <w:tr2bl w:val="nil"/>
            </w:tcBorders>
            <w:noWrap w:val="0"/>
            <w:vAlign w:val="center"/>
          </w:tcPr>
          <w:p w14:paraId="38688D9A">
            <w:pPr>
              <w:widowControl/>
              <w:spacing w:line="360" w:lineRule="exact"/>
              <w:ind w:firstLine="0" w:firstLineChars="0"/>
              <w:jc w:val="center"/>
              <w:textAlignment w:val="center"/>
              <w:rPr>
                <w:rFonts w:hint="default" w:ascii="Times New Roman" w:hAnsi="Times New Roman" w:eastAsia="宋体" w:cs="Times New Roman"/>
                <w:i w:val="0"/>
                <w:iCs w:val="0"/>
                <w:color w:val="auto"/>
                <w:sz w:val="21"/>
                <w:szCs w:val="21"/>
                <w:highlight w:val="none"/>
              </w:rPr>
            </w:pPr>
            <w:r>
              <w:rPr>
                <w:rFonts w:hint="default" w:ascii="Times New Roman" w:hAnsi="Times New Roman" w:eastAsia="宋体" w:cs="Times New Roman"/>
                <w:i w:val="0"/>
                <w:iCs w:val="0"/>
                <w:color w:val="auto"/>
                <w:kern w:val="0"/>
                <w:sz w:val="21"/>
                <w:szCs w:val="21"/>
                <w:highlight w:val="none"/>
                <w:lang w:bidi="ar"/>
              </w:rPr>
              <w:t>1</w:t>
            </w:r>
          </w:p>
        </w:tc>
        <w:tc>
          <w:tcPr>
            <w:tcW w:w="452" w:type="pct"/>
            <w:tcBorders>
              <w:tl2br w:val="nil"/>
              <w:tr2bl w:val="nil"/>
            </w:tcBorders>
            <w:noWrap w:val="0"/>
            <w:vAlign w:val="top"/>
          </w:tcPr>
          <w:p w14:paraId="50EBCC9B">
            <w:pPr>
              <w:pStyle w:val="158"/>
              <w:ind w:firstLine="0" w:firstLineChars="0"/>
              <w:jc w:val="center"/>
              <w:rPr>
                <w:rFonts w:hint="default" w:ascii="Times New Roman" w:hAnsi="Times New Roman" w:eastAsia="宋体" w:cs="Times New Roman"/>
                <w:i w:val="0"/>
                <w:iCs w:val="0"/>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2"/>
                <w:highlight w:val="none"/>
                <w:vertAlign w:val="baseline"/>
                <w:lang w:val="en-US" w:eastAsia="zh-CN" w:bidi="ar-SA"/>
              </w:rPr>
              <w:t>90</w:t>
            </w:r>
          </w:p>
        </w:tc>
        <w:tc>
          <w:tcPr>
            <w:tcW w:w="464" w:type="pct"/>
            <w:tcBorders>
              <w:tl2br w:val="nil"/>
              <w:tr2bl w:val="nil"/>
            </w:tcBorders>
            <w:noWrap w:val="0"/>
            <w:vAlign w:val="top"/>
          </w:tcPr>
          <w:p w14:paraId="69809934">
            <w:pPr>
              <w:pStyle w:val="158"/>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-26.54</w:t>
            </w:r>
          </w:p>
        </w:tc>
        <w:tc>
          <w:tcPr>
            <w:tcW w:w="348" w:type="pct"/>
            <w:tcBorders>
              <w:tl2br w:val="nil"/>
              <w:tr2bl w:val="nil"/>
            </w:tcBorders>
            <w:noWrap w:val="0"/>
            <w:vAlign w:val="top"/>
          </w:tcPr>
          <w:p w14:paraId="61FCF070">
            <w:pPr>
              <w:pStyle w:val="158"/>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18.81</w:t>
            </w:r>
          </w:p>
        </w:tc>
        <w:tc>
          <w:tcPr>
            <w:tcW w:w="398" w:type="pct"/>
            <w:tcBorders>
              <w:tl2br w:val="nil"/>
              <w:tr2bl w:val="nil"/>
            </w:tcBorders>
            <w:noWrap w:val="0"/>
            <w:vAlign w:val="center"/>
          </w:tcPr>
          <w:p w14:paraId="6CE2B1B4">
            <w:pPr>
              <w:keepNext w:val="0"/>
              <w:keepLines w:val="0"/>
              <w:pageBreakBefore w:val="0"/>
              <w:widowControl w:val="0"/>
              <w:kinsoku/>
              <w:bidi w:val="0"/>
              <w:jc w:val="center"/>
              <w:rPr>
                <w:rFonts w:hint="default" w:ascii="Times New Roman" w:hAnsi="Times New Roman" w:eastAsia="宋体" w:cs="Times New Roman"/>
                <w:b w:val="0"/>
                <w:bCs/>
                <w:color w:val="auto"/>
                <w:kern w:val="0"/>
                <w:sz w:val="21"/>
                <w:szCs w:val="22"/>
                <w:highlight w:val="none"/>
                <w:vertAlign w:val="baseline"/>
                <w:lang w:val="en-US" w:eastAsia="zh-CN" w:bidi="ar-SA"/>
              </w:rPr>
            </w:pPr>
            <w:r>
              <w:rPr>
                <w:rFonts w:hint="eastAsia" w:ascii="Times New Roman" w:hAnsi="Times New Roman" w:eastAsia="宋体" w:cs="Times New Roman"/>
                <w:b w:val="0"/>
                <w:bCs/>
                <w:color w:val="auto"/>
                <w:kern w:val="0"/>
                <w:sz w:val="21"/>
                <w:szCs w:val="22"/>
                <w:highlight w:val="none"/>
                <w:vertAlign w:val="baseline"/>
                <w:lang w:val="en-US" w:eastAsia="zh-CN" w:bidi="ar-SA"/>
              </w:rPr>
              <w:t>1.2</w:t>
            </w:r>
          </w:p>
        </w:tc>
        <w:tc>
          <w:tcPr>
            <w:tcW w:w="749" w:type="pct"/>
            <w:vMerge w:val="continue"/>
            <w:tcBorders>
              <w:tl2br w:val="nil"/>
              <w:tr2bl w:val="nil"/>
            </w:tcBorders>
            <w:noWrap w:val="0"/>
            <w:vAlign w:val="top"/>
          </w:tcPr>
          <w:p w14:paraId="641EE943">
            <w:pPr>
              <w:pStyle w:val="158"/>
              <w:rPr>
                <w:rFonts w:hint="default" w:ascii="Times New Roman" w:hAnsi="Times New Roman" w:eastAsia="宋体" w:cs="Times New Roman"/>
                <w:i w:val="0"/>
                <w:iCs w:val="0"/>
                <w:color w:val="auto"/>
                <w:sz w:val="21"/>
                <w:szCs w:val="21"/>
                <w:highlight w:val="none"/>
              </w:rPr>
            </w:pPr>
          </w:p>
        </w:tc>
        <w:tc>
          <w:tcPr>
            <w:tcW w:w="524" w:type="pct"/>
            <w:vMerge w:val="continue"/>
            <w:tcBorders>
              <w:tl2br w:val="nil"/>
              <w:tr2bl w:val="nil"/>
            </w:tcBorders>
            <w:noWrap w:val="0"/>
            <w:vAlign w:val="top"/>
          </w:tcPr>
          <w:p w14:paraId="25811578">
            <w:pPr>
              <w:pStyle w:val="158"/>
              <w:rPr>
                <w:rFonts w:hint="default" w:ascii="Times New Roman" w:hAnsi="Times New Roman" w:eastAsia="宋体" w:cs="Times New Roman"/>
                <w:i w:val="0"/>
                <w:iCs w:val="0"/>
                <w:color w:val="auto"/>
                <w:sz w:val="21"/>
                <w:szCs w:val="21"/>
                <w:highlight w:val="none"/>
              </w:rPr>
            </w:pPr>
          </w:p>
        </w:tc>
      </w:tr>
      <w:tr w14:paraId="1EE3AD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220" w:type="pct"/>
            <w:tcBorders>
              <w:tl2br w:val="nil"/>
              <w:tr2bl w:val="nil"/>
            </w:tcBorders>
            <w:noWrap w:val="0"/>
            <w:vAlign w:val="center"/>
          </w:tcPr>
          <w:p w14:paraId="3088E17E">
            <w:pPr>
              <w:widowControl/>
              <w:spacing w:line="360" w:lineRule="exact"/>
              <w:ind w:firstLine="0" w:firstLineChars="0"/>
              <w:jc w:val="center"/>
              <w:textAlignment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5</w:t>
            </w:r>
          </w:p>
        </w:tc>
        <w:tc>
          <w:tcPr>
            <w:tcW w:w="1373" w:type="pct"/>
            <w:tcBorders>
              <w:tl2br w:val="nil"/>
              <w:tr2bl w:val="nil"/>
            </w:tcBorders>
            <w:noWrap w:val="0"/>
            <w:vAlign w:val="center"/>
          </w:tcPr>
          <w:p w14:paraId="1F95F088">
            <w:pPr>
              <w:widowControl/>
              <w:spacing w:line="360" w:lineRule="exact"/>
              <w:ind w:left="57" w:firstLine="0" w:firstLineChars="0"/>
              <w:jc w:val="center"/>
              <w:textAlignment w:val="center"/>
              <w:rPr>
                <w:rFonts w:hint="default" w:ascii="Times New Roman" w:hAnsi="Times New Roman" w:eastAsia="宋体" w:cs="Times New Roman"/>
                <w:i w:val="0"/>
                <w:iCs w:val="0"/>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lang w:bidi="ar"/>
              </w:rPr>
              <w:t>闪蒸气压缩机</w:t>
            </w:r>
          </w:p>
        </w:tc>
        <w:tc>
          <w:tcPr>
            <w:tcW w:w="468" w:type="pct"/>
            <w:tcBorders>
              <w:tl2br w:val="nil"/>
              <w:tr2bl w:val="nil"/>
            </w:tcBorders>
            <w:noWrap w:val="0"/>
            <w:vAlign w:val="center"/>
          </w:tcPr>
          <w:p w14:paraId="61DD40F1">
            <w:pPr>
              <w:widowControl/>
              <w:spacing w:line="360" w:lineRule="exact"/>
              <w:ind w:firstLine="0" w:firstLineChars="0"/>
              <w:jc w:val="center"/>
              <w:textAlignment w:val="center"/>
              <w:rPr>
                <w:rFonts w:hint="default" w:ascii="Times New Roman" w:hAnsi="Times New Roman" w:eastAsia="宋体" w:cs="Times New Roman"/>
                <w:i w:val="0"/>
                <w:iCs w:val="0"/>
                <w:color w:val="auto"/>
                <w:sz w:val="21"/>
                <w:szCs w:val="21"/>
                <w:highlight w:val="none"/>
              </w:rPr>
            </w:pPr>
            <w:r>
              <w:rPr>
                <w:rFonts w:hint="default" w:ascii="Times New Roman" w:hAnsi="Times New Roman" w:eastAsia="宋体" w:cs="Times New Roman"/>
                <w:i w:val="0"/>
                <w:iCs w:val="0"/>
                <w:color w:val="auto"/>
                <w:kern w:val="0"/>
                <w:sz w:val="21"/>
                <w:szCs w:val="21"/>
                <w:highlight w:val="none"/>
                <w:lang w:bidi="ar"/>
              </w:rPr>
              <w:t>1</w:t>
            </w:r>
          </w:p>
        </w:tc>
        <w:tc>
          <w:tcPr>
            <w:tcW w:w="452" w:type="pct"/>
            <w:tcBorders>
              <w:tl2br w:val="nil"/>
              <w:tr2bl w:val="nil"/>
            </w:tcBorders>
            <w:noWrap w:val="0"/>
            <w:vAlign w:val="top"/>
          </w:tcPr>
          <w:p w14:paraId="16EB1B02">
            <w:pPr>
              <w:pStyle w:val="158"/>
              <w:ind w:firstLine="0" w:firstLineChars="0"/>
              <w:jc w:val="center"/>
              <w:rPr>
                <w:rFonts w:hint="default" w:ascii="Times New Roman" w:hAnsi="Times New Roman" w:eastAsia="宋体" w:cs="Times New Roman"/>
                <w:i w:val="0"/>
                <w:iCs w:val="0"/>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2"/>
                <w:highlight w:val="none"/>
                <w:vertAlign w:val="baseline"/>
                <w:lang w:val="en-US" w:eastAsia="zh-CN" w:bidi="ar-SA"/>
              </w:rPr>
              <w:t>90</w:t>
            </w:r>
          </w:p>
        </w:tc>
        <w:tc>
          <w:tcPr>
            <w:tcW w:w="464" w:type="pct"/>
            <w:tcBorders>
              <w:tl2br w:val="nil"/>
              <w:tr2bl w:val="nil"/>
            </w:tcBorders>
            <w:noWrap w:val="0"/>
            <w:vAlign w:val="top"/>
          </w:tcPr>
          <w:p w14:paraId="081D7B97">
            <w:pPr>
              <w:pStyle w:val="158"/>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37.7</w:t>
            </w:r>
          </w:p>
        </w:tc>
        <w:tc>
          <w:tcPr>
            <w:tcW w:w="348" w:type="pct"/>
            <w:tcBorders>
              <w:tl2br w:val="nil"/>
              <w:tr2bl w:val="nil"/>
            </w:tcBorders>
            <w:noWrap w:val="0"/>
            <w:vAlign w:val="top"/>
          </w:tcPr>
          <w:p w14:paraId="03822AE1">
            <w:pPr>
              <w:pStyle w:val="158"/>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-1.7</w:t>
            </w:r>
          </w:p>
        </w:tc>
        <w:tc>
          <w:tcPr>
            <w:tcW w:w="398" w:type="pct"/>
            <w:tcBorders>
              <w:tl2br w:val="nil"/>
              <w:tr2bl w:val="nil"/>
            </w:tcBorders>
            <w:noWrap w:val="0"/>
            <w:vAlign w:val="center"/>
          </w:tcPr>
          <w:p w14:paraId="0541AA6C">
            <w:pPr>
              <w:keepNext w:val="0"/>
              <w:keepLines w:val="0"/>
              <w:pageBreakBefore w:val="0"/>
              <w:widowControl w:val="0"/>
              <w:kinsoku/>
              <w:bidi w:val="0"/>
              <w:jc w:val="center"/>
              <w:rPr>
                <w:rFonts w:hint="default" w:ascii="Times New Roman" w:hAnsi="Times New Roman" w:eastAsia="宋体" w:cs="Times New Roman"/>
                <w:b w:val="0"/>
                <w:bCs/>
                <w:color w:val="auto"/>
                <w:kern w:val="0"/>
                <w:sz w:val="21"/>
                <w:szCs w:val="22"/>
                <w:highlight w:val="none"/>
                <w:vertAlign w:val="baseline"/>
                <w:lang w:val="en-US" w:eastAsia="zh-CN" w:bidi="ar-SA"/>
              </w:rPr>
            </w:pPr>
            <w:r>
              <w:rPr>
                <w:rFonts w:hint="eastAsia" w:ascii="Times New Roman" w:hAnsi="Times New Roman" w:eastAsia="宋体" w:cs="Times New Roman"/>
                <w:b w:val="0"/>
                <w:bCs/>
                <w:color w:val="auto"/>
                <w:kern w:val="0"/>
                <w:sz w:val="21"/>
                <w:szCs w:val="22"/>
                <w:highlight w:val="none"/>
                <w:vertAlign w:val="baseline"/>
                <w:lang w:val="en-US" w:eastAsia="zh-CN" w:bidi="ar-SA"/>
              </w:rPr>
              <w:t>1.2</w:t>
            </w:r>
          </w:p>
        </w:tc>
        <w:tc>
          <w:tcPr>
            <w:tcW w:w="749" w:type="pct"/>
            <w:vMerge w:val="continue"/>
            <w:tcBorders>
              <w:tl2br w:val="nil"/>
              <w:tr2bl w:val="nil"/>
            </w:tcBorders>
            <w:noWrap w:val="0"/>
            <w:vAlign w:val="top"/>
          </w:tcPr>
          <w:p w14:paraId="5E68FB13">
            <w:pPr>
              <w:pStyle w:val="158"/>
              <w:rPr>
                <w:rFonts w:hint="default" w:ascii="Times New Roman" w:hAnsi="Times New Roman" w:eastAsia="宋体" w:cs="Times New Roman"/>
                <w:i w:val="0"/>
                <w:iCs w:val="0"/>
                <w:color w:val="auto"/>
                <w:sz w:val="21"/>
                <w:szCs w:val="21"/>
                <w:highlight w:val="none"/>
              </w:rPr>
            </w:pPr>
          </w:p>
        </w:tc>
        <w:tc>
          <w:tcPr>
            <w:tcW w:w="524" w:type="pct"/>
            <w:vMerge w:val="continue"/>
            <w:tcBorders>
              <w:tl2br w:val="nil"/>
              <w:tr2bl w:val="nil"/>
            </w:tcBorders>
            <w:noWrap w:val="0"/>
            <w:vAlign w:val="top"/>
          </w:tcPr>
          <w:p w14:paraId="3DAD61CA">
            <w:pPr>
              <w:pStyle w:val="158"/>
              <w:rPr>
                <w:rFonts w:hint="default" w:ascii="Times New Roman" w:hAnsi="Times New Roman" w:eastAsia="宋体" w:cs="Times New Roman"/>
                <w:i w:val="0"/>
                <w:iCs w:val="0"/>
                <w:color w:val="auto"/>
                <w:sz w:val="21"/>
                <w:szCs w:val="21"/>
                <w:highlight w:val="none"/>
              </w:rPr>
            </w:pPr>
          </w:p>
        </w:tc>
      </w:tr>
      <w:tr w14:paraId="1B288B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220" w:type="pct"/>
            <w:tcBorders>
              <w:tl2br w:val="nil"/>
              <w:tr2bl w:val="nil"/>
            </w:tcBorders>
            <w:noWrap w:val="0"/>
            <w:vAlign w:val="center"/>
          </w:tcPr>
          <w:p w14:paraId="2C5F0F49">
            <w:pPr>
              <w:widowControl/>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lang w:val="en-US" w:eastAsia="zh-CN" w:bidi="ar"/>
              </w:rPr>
              <w:t>6</w:t>
            </w:r>
          </w:p>
        </w:tc>
        <w:tc>
          <w:tcPr>
            <w:tcW w:w="1373" w:type="pct"/>
            <w:tcBorders>
              <w:tl2br w:val="nil"/>
              <w:tr2bl w:val="nil"/>
            </w:tcBorders>
            <w:noWrap w:val="0"/>
            <w:vAlign w:val="center"/>
          </w:tcPr>
          <w:p w14:paraId="7A77B8E6">
            <w:pPr>
              <w:widowControl/>
              <w:spacing w:line="360" w:lineRule="exact"/>
              <w:ind w:left="57" w:firstLine="0" w:firstLine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lang w:val="en-US" w:eastAsia="zh-CN" w:bidi="ar"/>
              </w:rPr>
              <w:t>地面自动点火装置</w:t>
            </w:r>
          </w:p>
        </w:tc>
        <w:tc>
          <w:tcPr>
            <w:tcW w:w="468" w:type="pct"/>
            <w:tcBorders>
              <w:tl2br w:val="nil"/>
              <w:tr2bl w:val="nil"/>
            </w:tcBorders>
            <w:noWrap w:val="0"/>
            <w:vAlign w:val="center"/>
          </w:tcPr>
          <w:p w14:paraId="4B5D259C">
            <w:pPr>
              <w:widowControl/>
              <w:spacing w:line="360" w:lineRule="exact"/>
              <w:ind w:left="57" w:firstLine="0" w:firstLine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lang w:bidi="ar"/>
              </w:rPr>
              <w:t>1</w:t>
            </w:r>
          </w:p>
        </w:tc>
        <w:tc>
          <w:tcPr>
            <w:tcW w:w="452" w:type="pct"/>
            <w:tcBorders>
              <w:tl2br w:val="nil"/>
              <w:tr2bl w:val="nil"/>
            </w:tcBorders>
            <w:noWrap w:val="0"/>
            <w:vAlign w:val="top"/>
          </w:tcPr>
          <w:p w14:paraId="4653A7F7">
            <w:pPr>
              <w:widowControl/>
              <w:spacing w:line="360" w:lineRule="exact"/>
              <w:ind w:left="57" w:firstLine="0" w:firstLine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eastAsia" w:ascii="Times New Roman" w:hAnsi="Times New Roman" w:eastAsia="宋体" w:cs="Times New Roman"/>
                <w:i w:val="0"/>
                <w:iCs w:val="0"/>
                <w:color w:val="auto"/>
                <w:kern w:val="0"/>
                <w:sz w:val="21"/>
                <w:szCs w:val="21"/>
                <w:highlight w:val="none"/>
                <w:lang w:val="en-US" w:eastAsia="zh-CN" w:bidi="ar"/>
              </w:rPr>
              <w:t>105</w:t>
            </w:r>
          </w:p>
        </w:tc>
        <w:tc>
          <w:tcPr>
            <w:tcW w:w="464" w:type="pct"/>
            <w:tcBorders>
              <w:tl2br w:val="nil"/>
              <w:tr2bl w:val="nil"/>
            </w:tcBorders>
            <w:noWrap w:val="0"/>
            <w:vAlign w:val="top"/>
          </w:tcPr>
          <w:p w14:paraId="4A89B097">
            <w:pPr>
              <w:pStyle w:val="158"/>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-184.6</w:t>
            </w:r>
          </w:p>
        </w:tc>
        <w:tc>
          <w:tcPr>
            <w:tcW w:w="348" w:type="pct"/>
            <w:tcBorders>
              <w:tl2br w:val="nil"/>
              <w:tr2bl w:val="nil"/>
            </w:tcBorders>
            <w:noWrap w:val="0"/>
            <w:vAlign w:val="top"/>
          </w:tcPr>
          <w:p w14:paraId="2651D482">
            <w:pPr>
              <w:pStyle w:val="158"/>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1.33</w:t>
            </w:r>
          </w:p>
        </w:tc>
        <w:tc>
          <w:tcPr>
            <w:tcW w:w="398" w:type="pct"/>
            <w:tcBorders>
              <w:tl2br w:val="nil"/>
              <w:tr2bl w:val="nil"/>
            </w:tcBorders>
            <w:noWrap w:val="0"/>
            <w:vAlign w:val="center"/>
          </w:tcPr>
          <w:p w14:paraId="51BE9116">
            <w:pPr>
              <w:keepNext w:val="0"/>
              <w:keepLines w:val="0"/>
              <w:pageBreakBefore w:val="0"/>
              <w:widowControl w:val="0"/>
              <w:kinsoku/>
              <w:bidi w:val="0"/>
              <w:jc w:val="center"/>
              <w:rPr>
                <w:rFonts w:hint="default" w:ascii="Times New Roman" w:hAnsi="Times New Roman" w:eastAsia="宋体" w:cs="Times New Roman"/>
                <w:b w:val="0"/>
                <w:bCs/>
                <w:color w:val="auto"/>
                <w:kern w:val="0"/>
                <w:sz w:val="21"/>
                <w:szCs w:val="22"/>
                <w:highlight w:val="none"/>
                <w:vertAlign w:val="baseline"/>
                <w:lang w:val="en-US" w:eastAsia="zh-CN" w:bidi="ar-SA"/>
              </w:rPr>
            </w:pPr>
            <w:r>
              <w:rPr>
                <w:rFonts w:hint="eastAsia" w:ascii="Times New Roman" w:hAnsi="Times New Roman" w:eastAsia="宋体" w:cs="Times New Roman"/>
                <w:b w:val="0"/>
                <w:bCs/>
                <w:color w:val="auto"/>
                <w:kern w:val="0"/>
                <w:sz w:val="21"/>
                <w:szCs w:val="22"/>
                <w:highlight w:val="none"/>
                <w:vertAlign w:val="baseline"/>
                <w:lang w:val="en-US" w:eastAsia="zh-CN" w:bidi="ar-SA"/>
              </w:rPr>
              <w:t>1.2</w:t>
            </w:r>
          </w:p>
        </w:tc>
        <w:tc>
          <w:tcPr>
            <w:tcW w:w="749" w:type="pct"/>
            <w:tcBorders>
              <w:tl2br w:val="nil"/>
              <w:tr2bl w:val="nil"/>
            </w:tcBorders>
            <w:noWrap w:val="0"/>
            <w:vAlign w:val="top"/>
          </w:tcPr>
          <w:p w14:paraId="2692B892">
            <w:pPr>
              <w:pStyle w:val="158"/>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w:t>
            </w:r>
          </w:p>
        </w:tc>
        <w:tc>
          <w:tcPr>
            <w:tcW w:w="524" w:type="pct"/>
            <w:tcBorders>
              <w:tl2br w:val="nil"/>
              <w:tr2bl w:val="nil"/>
            </w:tcBorders>
            <w:noWrap w:val="0"/>
            <w:vAlign w:val="top"/>
          </w:tcPr>
          <w:p w14:paraId="472BA49B">
            <w:pPr>
              <w:pStyle w:val="158"/>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事故状态</w:t>
            </w:r>
          </w:p>
        </w:tc>
      </w:tr>
      <w:tr w14:paraId="23BC22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220" w:type="pct"/>
            <w:tcBorders>
              <w:tl2br w:val="nil"/>
              <w:tr2bl w:val="nil"/>
            </w:tcBorders>
            <w:noWrap w:val="0"/>
            <w:vAlign w:val="center"/>
          </w:tcPr>
          <w:p w14:paraId="22BEF81F">
            <w:pPr>
              <w:widowControl/>
              <w:spacing w:line="360" w:lineRule="exact"/>
              <w:ind w:firstLine="0" w:firstLineChars="0"/>
              <w:jc w:val="center"/>
              <w:textAlignment w:val="center"/>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2"/>
                <w:sz w:val="21"/>
                <w:szCs w:val="21"/>
                <w:highlight w:val="none"/>
                <w:lang w:val="en-US" w:eastAsia="zh-CN" w:bidi="ar-SA"/>
              </w:rPr>
              <w:t>7</w:t>
            </w:r>
          </w:p>
        </w:tc>
        <w:tc>
          <w:tcPr>
            <w:tcW w:w="1373" w:type="pct"/>
            <w:tcBorders>
              <w:tl2br w:val="nil"/>
              <w:tr2bl w:val="nil"/>
            </w:tcBorders>
            <w:noWrap w:val="0"/>
            <w:vAlign w:val="center"/>
          </w:tcPr>
          <w:p w14:paraId="57847299">
            <w:pPr>
              <w:widowControl/>
              <w:spacing w:line="360" w:lineRule="exact"/>
              <w:ind w:left="57" w:leftChars="0" w:firstLine="0" w:firstLine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lang w:val="en-US" w:eastAsia="zh-CN" w:bidi="ar"/>
              </w:rPr>
              <w:t>干法脱硫塔</w:t>
            </w:r>
          </w:p>
        </w:tc>
        <w:tc>
          <w:tcPr>
            <w:tcW w:w="468" w:type="pct"/>
            <w:tcBorders>
              <w:tl2br w:val="nil"/>
              <w:tr2bl w:val="nil"/>
            </w:tcBorders>
            <w:noWrap w:val="0"/>
            <w:vAlign w:val="center"/>
          </w:tcPr>
          <w:p w14:paraId="4F3714A7">
            <w:pPr>
              <w:widowControl/>
              <w:spacing w:line="360" w:lineRule="exact"/>
              <w:ind w:firstLine="0" w:firstLineChars="0"/>
              <w:jc w:val="center"/>
              <w:textAlignment w:val="center"/>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lang w:val="en-US" w:eastAsia="zh-CN" w:bidi="ar"/>
              </w:rPr>
              <w:t>2</w:t>
            </w:r>
          </w:p>
        </w:tc>
        <w:tc>
          <w:tcPr>
            <w:tcW w:w="452" w:type="pct"/>
            <w:tcBorders>
              <w:tl2br w:val="nil"/>
              <w:tr2bl w:val="nil"/>
            </w:tcBorders>
            <w:noWrap w:val="0"/>
            <w:vAlign w:val="center"/>
          </w:tcPr>
          <w:p w14:paraId="174CE7DF">
            <w:pPr>
              <w:widowControl/>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eastAsia" w:ascii="Times New Roman" w:hAnsi="Times New Roman" w:eastAsia="宋体" w:cs="Times New Roman"/>
                <w:i w:val="0"/>
                <w:iCs w:val="0"/>
                <w:color w:val="auto"/>
                <w:kern w:val="0"/>
                <w:sz w:val="21"/>
                <w:szCs w:val="21"/>
                <w:highlight w:val="none"/>
                <w:lang w:val="en-US" w:eastAsia="zh-CN" w:bidi="ar"/>
              </w:rPr>
              <w:t>75</w:t>
            </w:r>
          </w:p>
        </w:tc>
        <w:tc>
          <w:tcPr>
            <w:tcW w:w="464" w:type="pct"/>
            <w:tcBorders>
              <w:tl2br w:val="nil"/>
              <w:tr2bl w:val="nil"/>
            </w:tcBorders>
            <w:noWrap w:val="0"/>
            <w:vAlign w:val="center"/>
          </w:tcPr>
          <w:p w14:paraId="1A291BB6">
            <w:pPr>
              <w:pStyle w:val="158"/>
              <w:ind w:firstLine="0" w:firstLineChars="0"/>
              <w:rPr>
                <w:rFonts w:hint="default" w:ascii="Times New Roman" w:hAnsi="Times New Roman" w:eastAsia="宋体" w:cs="Times New Roman"/>
                <w:i w:val="0"/>
                <w:iCs w:val="0"/>
                <w:color w:val="auto"/>
                <w:kern w:val="0"/>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lang w:val="en-US" w:eastAsia="zh-CN" w:bidi="ar-SA"/>
              </w:rPr>
              <w:t>39.79</w:t>
            </w:r>
          </w:p>
        </w:tc>
        <w:tc>
          <w:tcPr>
            <w:tcW w:w="348" w:type="pct"/>
            <w:tcBorders>
              <w:tl2br w:val="nil"/>
              <w:tr2bl w:val="nil"/>
            </w:tcBorders>
            <w:noWrap w:val="0"/>
            <w:vAlign w:val="center"/>
          </w:tcPr>
          <w:p w14:paraId="01AAD8E6">
            <w:pPr>
              <w:pStyle w:val="158"/>
              <w:ind w:firstLine="0" w:firstLineChars="0"/>
              <w:rPr>
                <w:rFonts w:hint="default" w:ascii="Times New Roman" w:hAnsi="Times New Roman" w:eastAsia="宋体" w:cs="Times New Roman"/>
                <w:i w:val="0"/>
                <w:iCs w:val="0"/>
                <w:color w:val="auto"/>
                <w:kern w:val="0"/>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lang w:val="en-US" w:eastAsia="zh-CN" w:bidi="ar-SA"/>
              </w:rPr>
              <w:t>32.27</w:t>
            </w:r>
          </w:p>
        </w:tc>
        <w:tc>
          <w:tcPr>
            <w:tcW w:w="398" w:type="pct"/>
            <w:tcBorders>
              <w:tl2br w:val="nil"/>
              <w:tr2bl w:val="nil"/>
            </w:tcBorders>
            <w:noWrap w:val="0"/>
            <w:vAlign w:val="center"/>
          </w:tcPr>
          <w:p w14:paraId="372C0C85">
            <w:pPr>
              <w:keepNext w:val="0"/>
              <w:keepLines w:val="0"/>
              <w:pageBreakBefore w:val="0"/>
              <w:widowControl w:val="0"/>
              <w:kinsoku/>
              <w:bidi w:val="0"/>
              <w:jc w:val="center"/>
              <w:rPr>
                <w:rFonts w:hint="default" w:ascii="Times New Roman" w:hAnsi="Times New Roman" w:eastAsia="宋体" w:cs="Times New Roman"/>
                <w:b w:val="0"/>
                <w:bCs/>
                <w:color w:val="auto"/>
                <w:kern w:val="0"/>
                <w:sz w:val="21"/>
                <w:szCs w:val="22"/>
                <w:highlight w:val="none"/>
                <w:vertAlign w:val="baseline"/>
                <w:lang w:val="en-US" w:eastAsia="zh-CN" w:bidi="ar-SA"/>
              </w:rPr>
            </w:pPr>
            <w:r>
              <w:rPr>
                <w:rFonts w:hint="eastAsia" w:ascii="Times New Roman" w:hAnsi="Times New Roman" w:cs="Times New Roman"/>
                <w:b w:val="0"/>
                <w:bCs/>
                <w:color w:val="auto"/>
                <w:kern w:val="0"/>
                <w:sz w:val="21"/>
                <w:szCs w:val="22"/>
                <w:highlight w:val="none"/>
                <w:vertAlign w:val="baseline"/>
                <w:lang w:val="en-US" w:eastAsia="zh-CN" w:bidi="ar-SA"/>
              </w:rPr>
              <w:t>1.2</w:t>
            </w:r>
          </w:p>
        </w:tc>
        <w:tc>
          <w:tcPr>
            <w:tcW w:w="749" w:type="pct"/>
            <w:vMerge w:val="restart"/>
            <w:tcBorders>
              <w:tl2br w:val="nil"/>
              <w:tr2bl w:val="nil"/>
            </w:tcBorders>
            <w:noWrap w:val="0"/>
            <w:vAlign w:val="center"/>
          </w:tcPr>
          <w:p w14:paraId="20459750">
            <w:pPr>
              <w:pStyle w:val="158"/>
              <w:ind w:firstLine="0" w:firstLineChars="0"/>
              <w:rPr>
                <w:rFonts w:hint="default" w:ascii="Times New Roman" w:hAnsi="Times New Roman" w:eastAsia="宋体" w:cs="Times New Roman"/>
                <w:i w:val="0"/>
                <w:iCs w:val="0"/>
                <w:color w:val="auto"/>
                <w:kern w:val="0"/>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选用低噪声设备，基础减振；控制气流速度，加强运营管理</w:t>
            </w:r>
          </w:p>
        </w:tc>
        <w:tc>
          <w:tcPr>
            <w:tcW w:w="524" w:type="pct"/>
            <w:vMerge w:val="restart"/>
            <w:tcBorders>
              <w:tl2br w:val="nil"/>
              <w:tr2bl w:val="nil"/>
            </w:tcBorders>
            <w:noWrap w:val="0"/>
            <w:vAlign w:val="center"/>
          </w:tcPr>
          <w:p w14:paraId="1C7EC7E3">
            <w:pPr>
              <w:pStyle w:val="158"/>
              <w:ind w:firstLine="0" w:firstLineChars="0"/>
              <w:rPr>
                <w:rFonts w:hint="default" w:ascii="Times New Roman" w:hAnsi="Times New Roman" w:eastAsia="宋体" w:cs="Times New Roman"/>
                <w:i w:val="0"/>
                <w:iCs w:val="0"/>
                <w:color w:val="auto"/>
                <w:kern w:val="0"/>
                <w:sz w:val="21"/>
                <w:szCs w:val="21"/>
                <w:highlight w:val="none"/>
                <w:lang w:val="en-US" w:eastAsia="zh-CN" w:bidi="ar-SA"/>
              </w:rPr>
            </w:pPr>
            <w:r>
              <w:rPr>
                <w:rFonts w:hint="eastAsia" w:ascii="Times New Roman" w:hAnsi="Times New Roman" w:eastAsia="宋体" w:cs="Times New Roman"/>
                <w:i w:val="0"/>
                <w:iCs w:val="0"/>
                <w:color w:val="auto"/>
                <w:sz w:val="21"/>
                <w:szCs w:val="21"/>
                <w:highlight w:val="none"/>
                <w:lang w:val="en-US" w:eastAsia="zh-CN"/>
              </w:rPr>
              <w:t>连续运行</w:t>
            </w:r>
          </w:p>
        </w:tc>
      </w:tr>
      <w:tr w14:paraId="5D521E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220" w:type="pct"/>
            <w:tcBorders>
              <w:tl2br w:val="nil"/>
              <w:tr2bl w:val="nil"/>
            </w:tcBorders>
            <w:noWrap w:val="0"/>
            <w:vAlign w:val="center"/>
          </w:tcPr>
          <w:p w14:paraId="6A3F5D77">
            <w:pPr>
              <w:widowControl/>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lang w:val="en-US" w:eastAsia="zh-CN" w:bidi="ar"/>
              </w:rPr>
              <w:t>8</w:t>
            </w:r>
          </w:p>
        </w:tc>
        <w:tc>
          <w:tcPr>
            <w:tcW w:w="1373" w:type="pct"/>
            <w:tcBorders>
              <w:tl2br w:val="nil"/>
              <w:tr2bl w:val="nil"/>
            </w:tcBorders>
            <w:noWrap w:val="0"/>
            <w:vAlign w:val="center"/>
          </w:tcPr>
          <w:p w14:paraId="0FDD4D8D">
            <w:pPr>
              <w:widowControl/>
              <w:spacing w:line="360" w:lineRule="exact"/>
              <w:ind w:left="57" w:leftChars="0" w:firstLine="0" w:firstLine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lang w:val="en-US" w:eastAsia="zh-CN" w:bidi="ar"/>
              </w:rPr>
              <w:t>生产分离器橇（不抗硫）</w:t>
            </w:r>
          </w:p>
        </w:tc>
        <w:tc>
          <w:tcPr>
            <w:tcW w:w="468" w:type="pct"/>
            <w:tcBorders>
              <w:tl2br w:val="nil"/>
              <w:tr2bl w:val="nil"/>
            </w:tcBorders>
            <w:noWrap w:val="0"/>
            <w:vAlign w:val="center"/>
          </w:tcPr>
          <w:p w14:paraId="4EB194C7">
            <w:pPr>
              <w:widowControl/>
              <w:spacing w:line="360" w:lineRule="exact"/>
              <w:ind w:firstLine="0" w:firstLineChars="0"/>
              <w:jc w:val="center"/>
              <w:textAlignment w:val="center"/>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lang w:bidi="ar"/>
              </w:rPr>
              <w:t>1</w:t>
            </w:r>
          </w:p>
        </w:tc>
        <w:tc>
          <w:tcPr>
            <w:tcW w:w="452" w:type="pct"/>
            <w:tcBorders>
              <w:tl2br w:val="nil"/>
              <w:tr2bl w:val="nil"/>
            </w:tcBorders>
            <w:noWrap w:val="0"/>
            <w:vAlign w:val="center"/>
          </w:tcPr>
          <w:p w14:paraId="62A3E9A4">
            <w:pPr>
              <w:widowControl/>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eastAsia" w:ascii="Times New Roman" w:hAnsi="Times New Roman" w:eastAsia="宋体" w:cs="Times New Roman"/>
                <w:i w:val="0"/>
                <w:iCs w:val="0"/>
                <w:color w:val="auto"/>
                <w:kern w:val="0"/>
                <w:sz w:val="21"/>
                <w:szCs w:val="21"/>
                <w:highlight w:val="none"/>
                <w:lang w:val="en-US" w:eastAsia="zh-CN" w:bidi="ar-SA"/>
              </w:rPr>
              <w:t>70</w:t>
            </w:r>
          </w:p>
        </w:tc>
        <w:tc>
          <w:tcPr>
            <w:tcW w:w="464" w:type="pct"/>
            <w:tcBorders>
              <w:tl2br w:val="nil"/>
              <w:tr2bl w:val="nil"/>
            </w:tcBorders>
            <w:noWrap w:val="0"/>
            <w:vAlign w:val="center"/>
          </w:tcPr>
          <w:p w14:paraId="3F337AF2">
            <w:pPr>
              <w:pStyle w:val="158"/>
              <w:ind w:firstLine="0" w:firstLineChars="0"/>
              <w:rPr>
                <w:rFonts w:hint="default" w:ascii="Times New Roman" w:hAnsi="Times New Roman" w:eastAsia="宋体" w:cs="Times New Roman"/>
                <w:i w:val="0"/>
                <w:iCs w:val="0"/>
                <w:color w:val="auto"/>
                <w:kern w:val="0"/>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lang w:val="en-US" w:eastAsia="zh-CN" w:bidi="ar-SA"/>
              </w:rPr>
              <w:t>-39.19</w:t>
            </w:r>
          </w:p>
        </w:tc>
        <w:tc>
          <w:tcPr>
            <w:tcW w:w="348" w:type="pct"/>
            <w:tcBorders>
              <w:tl2br w:val="nil"/>
              <w:tr2bl w:val="nil"/>
            </w:tcBorders>
            <w:noWrap w:val="0"/>
            <w:vAlign w:val="center"/>
          </w:tcPr>
          <w:p w14:paraId="18730ACC">
            <w:pPr>
              <w:pStyle w:val="158"/>
              <w:ind w:firstLine="0" w:firstLineChars="0"/>
              <w:rPr>
                <w:rFonts w:hint="default" w:ascii="Times New Roman" w:hAnsi="Times New Roman" w:eastAsia="宋体" w:cs="Times New Roman"/>
                <w:i w:val="0"/>
                <w:iCs w:val="0"/>
                <w:color w:val="auto"/>
                <w:kern w:val="0"/>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lang w:val="en-US" w:eastAsia="zh-CN" w:bidi="ar-SA"/>
              </w:rPr>
              <w:t>-36.32</w:t>
            </w:r>
          </w:p>
        </w:tc>
        <w:tc>
          <w:tcPr>
            <w:tcW w:w="398" w:type="pct"/>
            <w:tcBorders>
              <w:tl2br w:val="nil"/>
              <w:tr2bl w:val="nil"/>
            </w:tcBorders>
            <w:noWrap w:val="0"/>
            <w:vAlign w:val="center"/>
          </w:tcPr>
          <w:p w14:paraId="3F034AD9">
            <w:pPr>
              <w:keepNext w:val="0"/>
              <w:keepLines w:val="0"/>
              <w:pageBreakBefore w:val="0"/>
              <w:widowControl w:val="0"/>
              <w:kinsoku/>
              <w:bidi w:val="0"/>
              <w:jc w:val="center"/>
              <w:rPr>
                <w:rFonts w:hint="default" w:ascii="Times New Roman" w:hAnsi="Times New Roman" w:eastAsia="宋体" w:cs="Times New Roman"/>
                <w:b w:val="0"/>
                <w:bCs/>
                <w:color w:val="auto"/>
                <w:kern w:val="0"/>
                <w:sz w:val="21"/>
                <w:szCs w:val="22"/>
                <w:highlight w:val="none"/>
                <w:vertAlign w:val="baseline"/>
                <w:lang w:val="en-US" w:eastAsia="zh-CN" w:bidi="ar-SA"/>
              </w:rPr>
            </w:pPr>
            <w:r>
              <w:rPr>
                <w:rFonts w:hint="eastAsia" w:ascii="Times New Roman" w:hAnsi="Times New Roman" w:cs="Times New Roman"/>
                <w:b w:val="0"/>
                <w:bCs/>
                <w:color w:val="auto"/>
                <w:kern w:val="0"/>
                <w:sz w:val="21"/>
                <w:szCs w:val="22"/>
                <w:highlight w:val="none"/>
                <w:vertAlign w:val="baseline"/>
                <w:lang w:val="en-US" w:eastAsia="zh-CN" w:bidi="ar-SA"/>
              </w:rPr>
              <w:t>1.2</w:t>
            </w:r>
          </w:p>
        </w:tc>
        <w:tc>
          <w:tcPr>
            <w:tcW w:w="749" w:type="pct"/>
            <w:vMerge w:val="continue"/>
            <w:tcBorders>
              <w:tl2br w:val="nil"/>
              <w:tr2bl w:val="nil"/>
            </w:tcBorders>
            <w:noWrap w:val="0"/>
            <w:vAlign w:val="center"/>
          </w:tcPr>
          <w:p w14:paraId="26BC0478">
            <w:pPr>
              <w:pStyle w:val="158"/>
              <w:ind w:firstLine="0" w:firstLineChars="0"/>
              <w:rPr>
                <w:rFonts w:hint="default" w:ascii="Times New Roman" w:hAnsi="Times New Roman" w:eastAsia="宋体" w:cs="Times New Roman"/>
                <w:i w:val="0"/>
                <w:iCs w:val="0"/>
                <w:color w:val="auto"/>
                <w:kern w:val="0"/>
                <w:sz w:val="21"/>
                <w:szCs w:val="21"/>
                <w:highlight w:val="none"/>
                <w:lang w:val="en-US" w:eastAsia="zh-CN" w:bidi="ar-SA"/>
              </w:rPr>
            </w:pPr>
          </w:p>
        </w:tc>
        <w:tc>
          <w:tcPr>
            <w:tcW w:w="524" w:type="pct"/>
            <w:vMerge w:val="continue"/>
            <w:tcBorders>
              <w:tl2br w:val="nil"/>
              <w:tr2bl w:val="nil"/>
            </w:tcBorders>
            <w:noWrap w:val="0"/>
            <w:vAlign w:val="center"/>
          </w:tcPr>
          <w:p w14:paraId="0FB40BFB">
            <w:pPr>
              <w:pStyle w:val="158"/>
              <w:ind w:firstLine="0" w:firstLineChars="0"/>
              <w:rPr>
                <w:rFonts w:hint="default" w:ascii="Times New Roman" w:hAnsi="Times New Roman" w:eastAsia="宋体" w:cs="Times New Roman"/>
                <w:i w:val="0"/>
                <w:iCs w:val="0"/>
                <w:color w:val="auto"/>
                <w:kern w:val="0"/>
                <w:sz w:val="21"/>
                <w:szCs w:val="21"/>
                <w:highlight w:val="none"/>
                <w:lang w:val="en-US" w:eastAsia="zh-CN" w:bidi="ar-SA"/>
              </w:rPr>
            </w:pPr>
          </w:p>
        </w:tc>
      </w:tr>
      <w:tr w14:paraId="106F35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220" w:type="pct"/>
            <w:tcBorders>
              <w:tl2br w:val="nil"/>
              <w:tr2bl w:val="nil"/>
            </w:tcBorders>
            <w:noWrap w:val="0"/>
            <w:vAlign w:val="center"/>
          </w:tcPr>
          <w:p w14:paraId="17391FA3">
            <w:pPr>
              <w:widowControl/>
              <w:spacing w:line="360" w:lineRule="exact"/>
              <w:ind w:firstLine="0" w:firstLineChars="0"/>
              <w:jc w:val="center"/>
              <w:textAlignment w:val="center"/>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2"/>
                <w:sz w:val="21"/>
                <w:szCs w:val="21"/>
                <w:highlight w:val="none"/>
                <w:lang w:val="en-US" w:eastAsia="zh-CN" w:bidi="ar-SA"/>
              </w:rPr>
              <w:t>9</w:t>
            </w:r>
          </w:p>
        </w:tc>
        <w:tc>
          <w:tcPr>
            <w:tcW w:w="1373" w:type="pct"/>
            <w:tcBorders>
              <w:tl2br w:val="nil"/>
              <w:tr2bl w:val="nil"/>
            </w:tcBorders>
            <w:noWrap w:val="0"/>
            <w:vAlign w:val="center"/>
          </w:tcPr>
          <w:p w14:paraId="01FBD3A2">
            <w:pPr>
              <w:keepNext w:val="0"/>
              <w:keepLines w:val="0"/>
              <w:widowControl/>
              <w:suppressLineNumbers w:val="0"/>
              <w:jc w:val="center"/>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bidi="ar"/>
              </w:rPr>
              <w:t>闪蒸分离器橇（不抗硫）</w:t>
            </w:r>
          </w:p>
        </w:tc>
        <w:tc>
          <w:tcPr>
            <w:tcW w:w="468" w:type="pct"/>
            <w:tcBorders>
              <w:tl2br w:val="nil"/>
              <w:tr2bl w:val="nil"/>
            </w:tcBorders>
            <w:noWrap w:val="0"/>
            <w:vAlign w:val="center"/>
          </w:tcPr>
          <w:p w14:paraId="4E133A31">
            <w:pPr>
              <w:widowControl/>
              <w:spacing w:line="360" w:lineRule="exact"/>
              <w:ind w:firstLine="0" w:firstLineChars="0"/>
              <w:jc w:val="center"/>
              <w:textAlignment w:val="center"/>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lang w:bidi="ar"/>
              </w:rPr>
              <w:t>1</w:t>
            </w:r>
          </w:p>
        </w:tc>
        <w:tc>
          <w:tcPr>
            <w:tcW w:w="452" w:type="pct"/>
            <w:tcBorders>
              <w:tl2br w:val="nil"/>
              <w:tr2bl w:val="nil"/>
            </w:tcBorders>
            <w:noWrap w:val="0"/>
            <w:vAlign w:val="center"/>
          </w:tcPr>
          <w:p w14:paraId="0B080AE1">
            <w:pPr>
              <w:widowControl/>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eastAsia" w:ascii="Times New Roman" w:hAnsi="Times New Roman" w:eastAsia="宋体" w:cs="Times New Roman"/>
                <w:i w:val="0"/>
                <w:iCs w:val="0"/>
                <w:color w:val="auto"/>
                <w:kern w:val="0"/>
                <w:sz w:val="21"/>
                <w:szCs w:val="21"/>
                <w:highlight w:val="none"/>
                <w:lang w:val="en-US" w:eastAsia="zh-CN" w:bidi="ar-SA"/>
              </w:rPr>
              <w:t>70</w:t>
            </w:r>
          </w:p>
        </w:tc>
        <w:tc>
          <w:tcPr>
            <w:tcW w:w="464" w:type="pct"/>
            <w:tcBorders>
              <w:tl2br w:val="nil"/>
              <w:tr2bl w:val="nil"/>
            </w:tcBorders>
            <w:noWrap w:val="0"/>
            <w:vAlign w:val="center"/>
          </w:tcPr>
          <w:p w14:paraId="5228C92C">
            <w:pPr>
              <w:pStyle w:val="158"/>
              <w:ind w:firstLine="0" w:firstLineChars="0"/>
              <w:rPr>
                <w:rFonts w:hint="default" w:ascii="Times New Roman" w:hAnsi="Times New Roman" w:eastAsia="宋体" w:cs="Times New Roman"/>
                <w:i w:val="0"/>
                <w:iCs w:val="0"/>
                <w:color w:val="auto"/>
                <w:kern w:val="0"/>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lang w:val="en-US" w:eastAsia="zh-CN" w:bidi="ar-SA"/>
              </w:rPr>
              <w:t>-37.75</w:t>
            </w:r>
          </w:p>
        </w:tc>
        <w:tc>
          <w:tcPr>
            <w:tcW w:w="348" w:type="pct"/>
            <w:tcBorders>
              <w:tl2br w:val="nil"/>
              <w:tr2bl w:val="nil"/>
            </w:tcBorders>
            <w:noWrap w:val="0"/>
            <w:vAlign w:val="center"/>
          </w:tcPr>
          <w:p w14:paraId="119BBFA0">
            <w:pPr>
              <w:pStyle w:val="158"/>
              <w:ind w:firstLine="0" w:firstLineChars="0"/>
              <w:rPr>
                <w:rFonts w:hint="default" w:ascii="Times New Roman" w:hAnsi="Times New Roman" w:eastAsia="宋体" w:cs="Times New Roman"/>
                <w:i w:val="0"/>
                <w:iCs w:val="0"/>
                <w:color w:val="auto"/>
                <w:kern w:val="0"/>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lang w:val="en-US" w:eastAsia="zh-CN" w:bidi="ar-SA"/>
              </w:rPr>
              <w:t>-30.85</w:t>
            </w:r>
          </w:p>
        </w:tc>
        <w:tc>
          <w:tcPr>
            <w:tcW w:w="398" w:type="pct"/>
            <w:tcBorders>
              <w:tl2br w:val="nil"/>
              <w:tr2bl w:val="nil"/>
            </w:tcBorders>
            <w:noWrap w:val="0"/>
            <w:vAlign w:val="center"/>
          </w:tcPr>
          <w:p w14:paraId="7BD933BE">
            <w:pPr>
              <w:keepNext w:val="0"/>
              <w:keepLines w:val="0"/>
              <w:pageBreakBefore w:val="0"/>
              <w:widowControl w:val="0"/>
              <w:kinsoku/>
              <w:bidi w:val="0"/>
              <w:jc w:val="center"/>
              <w:rPr>
                <w:rFonts w:hint="default" w:ascii="Times New Roman" w:hAnsi="Times New Roman" w:eastAsia="宋体" w:cs="Times New Roman"/>
                <w:b w:val="0"/>
                <w:bCs/>
                <w:color w:val="auto"/>
                <w:kern w:val="0"/>
                <w:sz w:val="21"/>
                <w:szCs w:val="22"/>
                <w:highlight w:val="none"/>
                <w:vertAlign w:val="baseline"/>
                <w:lang w:val="en-US" w:eastAsia="zh-CN" w:bidi="ar-SA"/>
              </w:rPr>
            </w:pPr>
            <w:r>
              <w:rPr>
                <w:rFonts w:hint="eastAsia" w:ascii="Times New Roman" w:hAnsi="Times New Roman" w:cs="Times New Roman"/>
                <w:b w:val="0"/>
                <w:bCs/>
                <w:color w:val="auto"/>
                <w:kern w:val="0"/>
                <w:sz w:val="21"/>
                <w:szCs w:val="22"/>
                <w:highlight w:val="none"/>
                <w:vertAlign w:val="baseline"/>
                <w:lang w:val="en-US" w:eastAsia="zh-CN" w:bidi="ar-SA"/>
              </w:rPr>
              <w:t>1.2</w:t>
            </w:r>
          </w:p>
        </w:tc>
        <w:tc>
          <w:tcPr>
            <w:tcW w:w="749" w:type="pct"/>
            <w:vMerge w:val="continue"/>
            <w:tcBorders>
              <w:tl2br w:val="nil"/>
              <w:tr2bl w:val="nil"/>
            </w:tcBorders>
            <w:noWrap w:val="0"/>
            <w:vAlign w:val="center"/>
          </w:tcPr>
          <w:p w14:paraId="0B78D653">
            <w:pPr>
              <w:pStyle w:val="158"/>
              <w:ind w:firstLine="0" w:firstLineChars="0"/>
              <w:rPr>
                <w:rFonts w:hint="default" w:ascii="Times New Roman" w:hAnsi="Times New Roman" w:eastAsia="宋体" w:cs="Times New Roman"/>
                <w:i w:val="0"/>
                <w:iCs w:val="0"/>
                <w:color w:val="auto"/>
                <w:kern w:val="0"/>
                <w:sz w:val="21"/>
                <w:szCs w:val="21"/>
                <w:highlight w:val="none"/>
                <w:lang w:val="en-US" w:eastAsia="zh-CN" w:bidi="ar-SA"/>
              </w:rPr>
            </w:pPr>
          </w:p>
        </w:tc>
        <w:tc>
          <w:tcPr>
            <w:tcW w:w="524" w:type="pct"/>
            <w:vMerge w:val="continue"/>
            <w:tcBorders>
              <w:tl2br w:val="nil"/>
              <w:tr2bl w:val="nil"/>
            </w:tcBorders>
            <w:noWrap w:val="0"/>
            <w:vAlign w:val="center"/>
          </w:tcPr>
          <w:p w14:paraId="40BBE697">
            <w:pPr>
              <w:pStyle w:val="158"/>
              <w:ind w:firstLine="0" w:firstLineChars="0"/>
              <w:rPr>
                <w:rFonts w:hint="default" w:ascii="Times New Roman" w:hAnsi="Times New Roman" w:eastAsia="宋体" w:cs="Times New Roman"/>
                <w:i w:val="0"/>
                <w:iCs w:val="0"/>
                <w:color w:val="auto"/>
                <w:kern w:val="0"/>
                <w:sz w:val="21"/>
                <w:szCs w:val="21"/>
                <w:highlight w:val="none"/>
                <w:lang w:val="en-US" w:eastAsia="zh-CN" w:bidi="ar-SA"/>
              </w:rPr>
            </w:pPr>
          </w:p>
        </w:tc>
      </w:tr>
      <w:tr w14:paraId="691BC9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220" w:type="pct"/>
            <w:tcBorders>
              <w:tl2br w:val="nil"/>
              <w:tr2bl w:val="nil"/>
            </w:tcBorders>
            <w:noWrap w:val="0"/>
            <w:vAlign w:val="center"/>
          </w:tcPr>
          <w:p w14:paraId="5CB4A783">
            <w:pPr>
              <w:widowControl/>
              <w:spacing w:line="360" w:lineRule="exact"/>
              <w:ind w:firstLine="0" w:firstLineChars="0"/>
              <w:jc w:val="center"/>
              <w:textAlignment w:val="center"/>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2"/>
                <w:sz w:val="21"/>
                <w:szCs w:val="21"/>
                <w:highlight w:val="none"/>
                <w:lang w:val="en-US" w:eastAsia="zh-CN" w:bidi="ar-SA"/>
              </w:rPr>
              <w:t>10</w:t>
            </w:r>
          </w:p>
        </w:tc>
        <w:tc>
          <w:tcPr>
            <w:tcW w:w="1373" w:type="pct"/>
            <w:tcBorders>
              <w:tl2br w:val="nil"/>
              <w:tr2bl w:val="nil"/>
            </w:tcBorders>
            <w:noWrap w:val="0"/>
            <w:vAlign w:val="center"/>
          </w:tcPr>
          <w:p w14:paraId="4479D53D">
            <w:pPr>
              <w:keepNext w:val="0"/>
              <w:keepLines w:val="0"/>
              <w:widowControl/>
              <w:suppressLineNumbers w:val="0"/>
              <w:jc w:val="center"/>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lang w:val="en-US" w:eastAsia="zh-CN" w:bidi="ar"/>
              </w:rPr>
              <w:t>气液分离器橇</w:t>
            </w:r>
          </w:p>
        </w:tc>
        <w:tc>
          <w:tcPr>
            <w:tcW w:w="468" w:type="pct"/>
            <w:tcBorders>
              <w:tl2br w:val="nil"/>
              <w:tr2bl w:val="nil"/>
            </w:tcBorders>
            <w:noWrap w:val="0"/>
            <w:vAlign w:val="center"/>
          </w:tcPr>
          <w:p w14:paraId="2B501BAD">
            <w:pPr>
              <w:widowControl/>
              <w:spacing w:line="360" w:lineRule="exact"/>
              <w:ind w:firstLine="0" w:firstLineChars="0"/>
              <w:jc w:val="center"/>
              <w:textAlignment w:val="center"/>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lang w:bidi="ar"/>
              </w:rPr>
              <w:t>1</w:t>
            </w:r>
          </w:p>
        </w:tc>
        <w:tc>
          <w:tcPr>
            <w:tcW w:w="452" w:type="pct"/>
            <w:tcBorders>
              <w:tl2br w:val="nil"/>
              <w:tr2bl w:val="nil"/>
            </w:tcBorders>
            <w:noWrap w:val="0"/>
            <w:vAlign w:val="center"/>
          </w:tcPr>
          <w:p w14:paraId="3E0382A1">
            <w:pPr>
              <w:keepNext w:val="0"/>
              <w:keepLines w:val="0"/>
              <w:widowControl/>
              <w:suppressLineNumbers w:val="0"/>
              <w:jc w:val="center"/>
              <w:rPr>
                <w:rFonts w:hint="default" w:ascii="Times New Roman" w:hAnsi="Times New Roman" w:eastAsia="宋体" w:cs="Times New Roman"/>
                <w:i w:val="0"/>
                <w:iCs w:val="0"/>
                <w:color w:val="auto"/>
                <w:kern w:val="0"/>
                <w:sz w:val="21"/>
                <w:szCs w:val="21"/>
                <w:highlight w:val="none"/>
                <w:lang w:val="en-US" w:bidi="ar"/>
              </w:rPr>
            </w:pPr>
            <w:r>
              <w:rPr>
                <w:rFonts w:hint="eastAsia" w:ascii="Times New Roman" w:hAnsi="Times New Roman" w:eastAsia="宋体" w:cs="Times New Roman"/>
                <w:i w:val="0"/>
                <w:iCs w:val="0"/>
                <w:color w:val="auto"/>
                <w:kern w:val="0"/>
                <w:sz w:val="21"/>
                <w:szCs w:val="21"/>
                <w:highlight w:val="none"/>
                <w:lang w:val="en-US" w:eastAsia="zh-CN" w:bidi="ar-SA"/>
              </w:rPr>
              <w:t>70</w:t>
            </w:r>
          </w:p>
        </w:tc>
        <w:tc>
          <w:tcPr>
            <w:tcW w:w="464" w:type="pct"/>
            <w:tcBorders>
              <w:tl2br w:val="nil"/>
              <w:tr2bl w:val="nil"/>
            </w:tcBorders>
            <w:noWrap w:val="0"/>
            <w:vAlign w:val="center"/>
          </w:tcPr>
          <w:p w14:paraId="78E5BBFC">
            <w:pPr>
              <w:pStyle w:val="158"/>
              <w:ind w:firstLine="0" w:firstLineChars="0"/>
              <w:rPr>
                <w:rFonts w:hint="default" w:ascii="Times New Roman" w:hAnsi="Times New Roman" w:eastAsia="宋体" w:cs="Times New Roman"/>
                <w:i w:val="0"/>
                <w:iCs w:val="0"/>
                <w:color w:val="auto"/>
                <w:kern w:val="0"/>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lang w:val="en-US" w:eastAsia="zh-CN" w:bidi="ar-SA"/>
              </w:rPr>
              <w:t xml:space="preserve"> 0.6</w:t>
            </w:r>
          </w:p>
        </w:tc>
        <w:tc>
          <w:tcPr>
            <w:tcW w:w="348" w:type="pct"/>
            <w:tcBorders>
              <w:tl2br w:val="nil"/>
              <w:tr2bl w:val="nil"/>
            </w:tcBorders>
            <w:noWrap w:val="0"/>
            <w:vAlign w:val="center"/>
          </w:tcPr>
          <w:p w14:paraId="56FFD8AF">
            <w:pPr>
              <w:pStyle w:val="158"/>
              <w:ind w:firstLine="0" w:firstLineChars="0"/>
              <w:rPr>
                <w:rFonts w:hint="default" w:ascii="Times New Roman" w:hAnsi="Times New Roman" w:eastAsia="宋体" w:cs="Times New Roman"/>
                <w:i w:val="0"/>
                <w:iCs w:val="0"/>
                <w:color w:val="auto"/>
                <w:kern w:val="0"/>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lang w:val="en-US" w:eastAsia="zh-CN" w:bidi="ar-SA"/>
              </w:rPr>
              <w:t>-3.62</w:t>
            </w:r>
          </w:p>
        </w:tc>
        <w:tc>
          <w:tcPr>
            <w:tcW w:w="398" w:type="pct"/>
            <w:tcBorders>
              <w:tl2br w:val="nil"/>
              <w:tr2bl w:val="nil"/>
            </w:tcBorders>
            <w:noWrap w:val="0"/>
            <w:vAlign w:val="center"/>
          </w:tcPr>
          <w:p w14:paraId="549B4AD7">
            <w:pPr>
              <w:keepNext w:val="0"/>
              <w:keepLines w:val="0"/>
              <w:pageBreakBefore w:val="0"/>
              <w:widowControl w:val="0"/>
              <w:kinsoku/>
              <w:bidi w:val="0"/>
              <w:jc w:val="center"/>
              <w:rPr>
                <w:rFonts w:hint="default" w:ascii="Times New Roman" w:hAnsi="Times New Roman" w:eastAsia="宋体" w:cs="Times New Roman"/>
                <w:b w:val="0"/>
                <w:bCs/>
                <w:color w:val="auto"/>
                <w:kern w:val="0"/>
                <w:sz w:val="21"/>
                <w:szCs w:val="22"/>
                <w:highlight w:val="none"/>
                <w:vertAlign w:val="baseline"/>
                <w:lang w:val="en-US" w:eastAsia="zh-CN" w:bidi="ar-SA"/>
              </w:rPr>
            </w:pPr>
            <w:r>
              <w:rPr>
                <w:rFonts w:hint="eastAsia" w:ascii="Times New Roman" w:hAnsi="Times New Roman" w:cs="Times New Roman"/>
                <w:b w:val="0"/>
                <w:bCs/>
                <w:color w:val="auto"/>
                <w:kern w:val="0"/>
                <w:sz w:val="21"/>
                <w:szCs w:val="22"/>
                <w:highlight w:val="none"/>
                <w:vertAlign w:val="baseline"/>
                <w:lang w:val="en-US" w:eastAsia="zh-CN" w:bidi="ar-SA"/>
              </w:rPr>
              <w:t>1.2</w:t>
            </w:r>
          </w:p>
        </w:tc>
        <w:tc>
          <w:tcPr>
            <w:tcW w:w="749" w:type="pct"/>
            <w:vMerge w:val="continue"/>
            <w:tcBorders>
              <w:tl2br w:val="nil"/>
              <w:tr2bl w:val="nil"/>
            </w:tcBorders>
            <w:noWrap w:val="0"/>
            <w:vAlign w:val="center"/>
          </w:tcPr>
          <w:p w14:paraId="3AC1310F">
            <w:pPr>
              <w:pStyle w:val="158"/>
              <w:ind w:firstLine="0" w:firstLineChars="0"/>
              <w:rPr>
                <w:rFonts w:hint="default" w:ascii="Times New Roman" w:hAnsi="Times New Roman" w:eastAsia="宋体" w:cs="Times New Roman"/>
                <w:i w:val="0"/>
                <w:iCs w:val="0"/>
                <w:color w:val="auto"/>
                <w:kern w:val="0"/>
                <w:sz w:val="21"/>
                <w:szCs w:val="21"/>
                <w:highlight w:val="none"/>
                <w:lang w:val="en-US" w:eastAsia="zh-CN" w:bidi="ar-SA"/>
              </w:rPr>
            </w:pPr>
          </w:p>
        </w:tc>
        <w:tc>
          <w:tcPr>
            <w:tcW w:w="524" w:type="pct"/>
            <w:vMerge w:val="continue"/>
            <w:tcBorders>
              <w:tl2br w:val="nil"/>
              <w:tr2bl w:val="nil"/>
            </w:tcBorders>
            <w:noWrap w:val="0"/>
            <w:vAlign w:val="center"/>
          </w:tcPr>
          <w:p w14:paraId="7FA9A373">
            <w:pPr>
              <w:pStyle w:val="158"/>
              <w:ind w:firstLine="0" w:firstLineChars="0"/>
              <w:rPr>
                <w:rFonts w:hint="default" w:ascii="Times New Roman" w:hAnsi="Times New Roman" w:eastAsia="宋体" w:cs="Times New Roman"/>
                <w:i w:val="0"/>
                <w:iCs w:val="0"/>
                <w:color w:val="auto"/>
                <w:kern w:val="0"/>
                <w:sz w:val="21"/>
                <w:szCs w:val="21"/>
                <w:highlight w:val="none"/>
                <w:lang w:val="en-US" w:eastAsia="zh-CN" w:bidi="ar-SA"/>
              </w:rPr>
            </w:pPr>
          </w:p>
        </w:tc>
      </w:tr>
      <w:tr w14:paraId="0558D0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220" w:type="pct"/>
            <w:tcBorders>
              <w:tl2br w:val="nil"/>
              <w:tr2bl w:val="nil"/>
            </w:tcBorders>
            <w:noWrap w:val="0"/>
            <w:vAlign w:val="center"/>
          </w:tcPr>
          <w:p w14:paraId="34E6667A">
            <w:pPr>
              <w:widowControl/>
              <w:spacing w:line="360" w:lineRule="exact"/>
              <w:ind w:firstLine="0" w:firstLineChars="0"/>
              <w:jc w:val="center"/>
              <w:textAlignment w:val="center"/>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2"/>
                <w:sz w:val="21"/>
                <w:szCs w:val="21"/>
                <w:highlight w:val="none"/>
                <w:lang w:val="en-US" w:eastAsia="zh-CN" w:bidi="ar-SA"/>
              </w:rPr>
              <w:t>11</w:t>
            </w:r>
          </w:p>
        </w:tc>
        <w:tc>
          <w:tcPr>
            <w:tcW w:w="1373" w:type="pct"/>
            <w:tcBorders>
              <w:tl2br w:val="nil"/>
              <w:tr2bl w:val="nil"/>
            </w:tcBorders>
            <w:noWrap w:val="0"/>
            <w:vAlign w:val="center"/>
          </w:tcPr>
          <w:p w14:paraId="5B36E0A0">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加热节流橇</w:t>
            </w:r>
          </w:p>
        </w:tc>
        <w:tc>
          <w:tcPr>
            <w:tcW w:w="468" w:type="pct"/>
            <w:tcBorders>
              <w:tl2br w:val="nil"/>
              <w:tr2bl w:val="nil"/>
            </w:tcBorders>
            <w:noWrap w:val="0"/>
            <w:vAlign w:val="center"/>
          </w:tcPr>
          <w:p w14:paraId="53220D3A">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lang w:val="en-US" w:eastAsia="zh-CN"/>
              </w:rPr>
              <w:t>1</w:t>
            </w:r>
          </w:p>
        </w:tc>
        <w:tc>
          <w:tcPr>
            <w:tcW w:w="452" w:type="pct"/>
            <w:tcBorders>
              <w:tl2br w:val="nil"/>
              <w:tr2bl w:val="nil"/>
            </w:tcBorders>
            <w:noWrap w:val="0"/>
            <w:vAlign w:val="center"/>
          </w:tcPr>
          <w:p w14:paraId="01905D8C">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85</w:t>
            </w:r>
          </w:p>
        </w:tc>
        <w:tc>
          <w:tcPr>
            <w:tcW w:w="464" w:type="pct"/>
            <w:tcBorders>
              <w:tl2br w:val="nil"/>
              <w:tr2bl w:val="nil"/>
            </w:tcBorders>
            <w:noWrap w:val="0"/>
            <w:vAlign w:val="center"/>
          </w:tcPr>
          <w:p w14:paraId="2F80C4AE">
            <w:pPr>
              <w:pStyle w:val="158"/>
              <w:ind w:firstLine="0" w:firstLineChars="0"/>
              <w:rPr>
                <w:rFonts w:hint="default" w:ascii="Times New Roman" w:hAnsi="Times New Roman" w:eastAsia="宋体" w:cs="Times New Roman"/>
                <w:i w:val="0"/>
                <w:iCs w:val="0"/>
                <w:color w:val="auto"/>
                <w:kern w:val="0"/>
                <w:sz w:val="21"/>
                <w:szCs w:val="21"/>
                <w:highlight w:val="none"/>
                <w:lang w:val="en-US" w:eastAsia="zh-CN" w:bidi="ar"/>
              </w:rPr>
            </w:pPr>
            <w:r>
              <w:rPr>
                <w:rFonts w:hint="eastAsia" w:ascii="Times New Roman" w:hAnsi="Times New Roman" w:eastAsia="宋体" w:cs="Times New Roman"/>
                <w:i w:val="0"/>
                <w:iCs w:val="0"/>
                <w:color w:val="auto"/>
                <w:kern w:val="0"/>
                <w:sz w:val="21"/>
                <w:szCs w:val="21"/>
                <w:highlight w:val="none"/>
                <w:lang w:val="en-US" w:eastAsia="zh-CN" w:bidi="ar"/>
              </w:rPr>
              <w:t>0.77</w:t>
            </w:r>
          </w:p>
        </w:tc>
        <w:tc>
          <w:tcPr>
            <w:tcW w:w="348" w:type="pct"/>
            <w:tcBorders>
              <w:tl2br w:val="nil"/>
              <w:tr2bl w:val="nil"/>
            </w:tcBorders>
            <w:noWrap w:val="0"/>
            <w:vAlign w:val="center"/>
          </w:tcPr>
          <w:p w14:paraId="727CD49E">
            <w:pPr>
              <w:pStyle w:val="158"/>
              <w:ind w:firstLine="0" w:firstLineChars="0"/>
              <w:rPr>
                <w:rFonts w:hint="default" w:ascii="Times New Roman" w:hAnsi="Times New Roman" w:eastAsia="宋体" w:cs="Times New Roman"/>
                <w:i w:val="0"/>
                <w:iCs w:val="0"/>
                <w:color w:val="auto"/>
                <w:kern w:val="0"/>
                <w:sz w:val="21"/>
                <w:szCs w:val="21"/>
                <w:highlight w:val="none"/>
                <w:lang w:val="en-US" w:eastAsia="zh-CN" w:bidi="ar"/>
              </w:rPr>
            </w:pPr>
            <w:r>
              <w:rPr>
                <w:rFonts w:hint="eastAsia" w:ascii="Times New Roman" w:hAnsi="Times New Roman" w:eastAsia="宋体" w:cs="Times New Roman"/>
                <w:i w:val="0"/>
                <w:iCs w:val="0"/>
                <w:color w:val="auto"/>
                <w:kern w:val="0"/>
                <w:sz w:val="21"/>
                <w:szCs w:val="21"/>
                <w:highlight w:val="none"/>
                <w:lang w:val="en-US" w:eastAsia="zh-CN" w:bidi="ar"/>
              </w:rPr>
              <w:t>-22.08</w:t>
            </w:r>
          </w:p>
        </w:tc>
        <w:tc>
          <w:tcPr>
            <w:tcW w:w="398" w:type="pct"/>
            <w:tcBorders>
              <w:tl2br w:val="nil"/>
              <w:tr2bl w:val="nil"/>
            </w:tcBorders>
            <w:noWrap w:val="0"/>
            <w:vAlign w:val="center"/>
          </w:tcPr>
          <w:p w14:paraId="3A0AAC20">
            <w:pPr>
              <w:keepNext w:val="0"/>
              <w:keepLines w:val="0"/>
              <w:pageBreakBefore w:val="0"/>
              <w:widowControl w:val="0"/>
              <w:kinsoku/>
              <w:bidi w:val="0"/>
              <w:jc w:val="center"/>
              <w:rPr>
                <w:rFonts w:hint="default" w:ascii="Times New Roman" w:hAnsi="Times New Roman" w:eastAsia="宋体" w:cs="Times New Roman"/>
                <w:b w:val="0"/>
                <w:bCs/>
                <w:color w:val="auto"/>
                <w:kern w:val="0"/>
                <w:sz w:val="21"/>
                <w:szCs w:val="22"/>
                <w:highlight w:val="none"/>
                <w:vertAlign w:val="baseline"/>
                <w:lang w:val="en-US" w:eastAsia="zh-CN" w:bidi="ar-SA"/>
              </w:rPr>
            </w:pPr>
            <w:r>
              <w:rPr>
                <w:rFonts w:hint="eastAsia" w:ascii="Times New Roman" w:hAnsi="Times New Roman" w:cs="Times New Roman"/>
                <w:b w:val="0"/>
                <w:bCs/>
                <w:color w:val="auto"/>
                <w:kern w:val="0"/>
                <w:sz w:val="21"/>
                <w:szCs w:val="22"/>
                <w:highlight w:val="none"/>
                <w:vertAlign w:val="baseline"/>
                <w:lang w:val="en-US" w:eastAsia="zh-CN" w:bidi="ar-SA"/>
              </w:rPr>
              <w:t>1.2</w:t>
            </w:r>
          </w:p>
        </w:tc>
        <w:tc>
          <w:tcPr>
            <w:tcW w:w="749" w:type="pct"/>
            <w:vMerge w:val="continue"/>
            <w:tcBorders>
              <w:tl2br w:val="nil"/>
              <w:tr2bl w:val="nil"/>
            </w:tcBorders>
            <w:noWrap w:val="0"/>
            <w:vAlign w:val="center"/>
          </w:tcPr>
          <w:p w14:paraId="0B999382">
            <w:pPr>
              <w:pStyle w:val="158"/>
              <w:ind w:firstLine="0" w:firstLineChars="0"/>
              <w:rPr>
                <w:rFonts w:hint="default" w:ascii="Times New Roman" w:hAnsi="Times New Roman" w:eastAsia="宋体" w:cs="Times New Roman"/>
                <w:i w:val="0"/>
                <w:iCs w:val="0"/>
                <w:color w:val="auto"/>
                <w:kern w:val="0"/>
                <w:sz w:val="21"/>
                <w:szCs w:val="21"/>
                <w:highlight w:val="none"/>
                <w:lang w:eastAsia="zh-CN" w:bidi="ar"/>
              </w:rPr>
            </w:pPr>
          </w:p>
        </w:tc>
        <w:tc>
          <w:tcPr>
            <w:tcW w:w="524" w:type="pct"/>
            <w:vMerge w:val="continue"/>
            <w:tcBorders>
              <w:tl2br w:val="nil"/>
              <w:tr2bl w:val="nil"/>
            </w:tcBorders>
            <w:noWrap w:val="0"/>
            <w:vAlign w:val="center"/>
          </w:tcPr>
          <w:p w14:paraId="2B183F81">
            <w:pPr>
              <w:pStyle w:val="158"/>
              <w:ind w:firstLine="0" w:firstLineChars="0"/>
              <w:rPr>
                <w:rFonts w:hint="default" w:ascii="Times New Roman" w:hAnsi="Times New Roman" w:eastAsia="宋体" w:cs="Times New Roman"/>
                <w:i w:val="0"/>
                <w:iCs w:val="0"/>
                <w:color w:val="auto"/>
                <w:kern w:val="0"/>
                <w:sz w:val="21"/>
                <w:szCs w:val="21"/>
                <w:highlight w:val="none"/>
                <w:lang w:eastAsia="zh-CN" w:bidi="ar"/>
              </w:rPr>
            </w:pPr>
          </w:p>
        </w:tc>
      </w:tr>
      <w:tr w14:paraId="45C85A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220" w:type="pct"/>
            <w:tcBorders>
              <w:tl2br w:val="nil"/>
              <w:tr2bl w:val="nil"/>
            </w:tcBorders>
            <w:noWrap w:val="0"/>
            <w:vAlign w:val="center"/>
          </w:tcPr>
          <w:p w14:paraId="680DBDF5">
            <w:pPr>
              <w:widowControl/>
              <w:spacing w:line="360" w:lineRule="exact"/>
              <w:ind w:firstLine="0" w:firstLineChars="0"/>
              <w:jc w:val="center"/>
              <w:textAlignment w:val="center"/>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2"/>
                <w:sz w:val="21"/>
                <w:szCs w:val="21"/>
                <w:highlight w:val="none"/>
                <w:lang w:val="en-US" w:eastAsia="zh-CN" w:bidi="ar-SA"/>
              </w:rPr>
              <w:t>12</w:t>
            </w:r>
          </w:p>
        </w:tc>
        <w:tc>
          <w:tcPr>
            <w:tcW w:w="1373" w:type="pct"/>
            <w:tcBorders>
              <w:tl2br w:val="nil"/>
              <w:tr2bl w:val="nil"/>
            </w:tcBorders>
            <w:noWrap w:val="0"/>
            <w:vAlign w:val="center"/>
          </w:tcPr>
          <w:p w14:paraId="4C72CD77">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气液分离器橇</w:t>
            </w:r>
          </w:p>
        </w:tc>
        <w:tc>
          <w:tcPr>
            <w:tcW w:w="468" w:type="pct"/>
            <w:tcBorders>
              <w:tl2br w:val="nil"/>
              <w:tr2bl w:val="nil"/>
            </w:tcBorders>
            <w:noWrap w:val="0"/>
            <w:vAlign w:val="center"/>
          </w:tcPr>
          <w:p w14:paraId="23DFDEAB">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lang w:val="en-US" w:eastAsia="zh-CN"/>
              </w:rPr>
              <w:t>1</w:t>
            </w:r>
          </w:p>
        </w:tc>
        <w:tc>
          <w:tcPr>
            <w:tcW w:w="452" w:type="pct"/>
            <w:tcBorders>
              <w:tl2br w:val="nil"/>
              <w:tr2bl w:val="nil"/>
            </w:tcBorders>
            <w:noWrap w:val="0"/>
            <w:vAlign w:val="center"/>
          </w:tcPr>
          <w:p w14:paraId="39E50AF3">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i w:val="0"/>
                <w:iCs w:val="0"/>
                <w:color w:val="auto"/>
                <w:kern w:val="0"/>
                <w:sz w:val="21"/>
                <w:szCs w:val="21"/>
                <w:highlight w:val="none"/>
                <w:lang w:val="en-US" w:eastAsia="zh-CN" w:bidi="ar-SA"/>
              </w:rPr>
              <w:t>70</w:t>
            </w:r>
          </w:p>
        </w:tc>
        <w:tc>
          <w:tcPr>
            <w:tcW w:w="464" w:type="pct"/>
            <w:tcBorders>
              <w:tl2br w:val="nil"/>
              <w:tr2bl w:val="nil"/>
            </w:tcBorders>
            <w:noWrap w:val="0"/>
            <w:vAlign w:val="center"/>
          </w:tcPr>
          <w:p w14:paraId="532B8609">
            <w:pPr>
              <w:pStyle w:val="158"/>
              <w:ind w:firstLine="0" w:firstLineChars="0"/>
              <w:rPr>
                <w:rFonts w:hint="default" w:ascii="Times New Roman" w:hAnsi="Times New Roman" w:eastAsia="宋体" w:cs="Times New Roman"/>
                <w:i w:val="0"/>
                <w:iCs w:val="0"/>
                <w:color w:val="auto"/>
                <w:kern w:val="0"/>
                <w:sz w:val="21"/>
                <w:szCs w:val="21"/>
                <w:highlight w:val="none"/>
                <w:lang w:val="en-US" w:eastAsia="zh-CN" w:bidi="ar"/>
              </w:rPr>
            </w:pPr>
            <w:r>
              <w:rPr>
                <w:rFonts w:hint="eastAsia" w:ascii="Times New Roman" w:hAnsi="Times New Roman" w:eastAsia="宋体" w:cs="Times New Roman"/>
                <w:i w:val="0"/>
                <w:iCs w:val="0"/>
                <w:color w:val="auto"/>
                <w:kern w:val="0"/>
                <w:sz w:val="21"/>
                <w:szCs w:val="21"/>
                <w:highlight w:val="none"/>
                <w:lang w:val="en-US" w:eastAsia="zh-CN" w:bidi="ar"/>
              </w:rPr>
              <w:t>-40.19</w:t>
            </w:r>
          </w:p>
        </w:tc>
        <w:tc>
          <w:tcPr>
            <w:tcW w:w="348" w:type="pct"/>
            <w:tcBorders>
              <w:tl2br w:val="nil"/>
              <w:tr2bl w:val="nil"/>
            </w:tcBorders>
            <w:noWrap w:val="0"/>
            <w:vAlign w:val="center"/>
          </w:tcPr>
          <w:p w14:paraId="7CF25514">
            <w:pPr>
              <w:pStyle w:val="158"/>
              <w:ind w:firstLine="0" w:firstLineChars="0"/>
              <w:rPr>
                <w:rFonts w:hint="default" w:ascii="Times New Roman" w:hAnsi="Times New Roman" w:eastAsia="宋体" w:cs="Times New Roman"/>
                <w:i w:val="0"/>
                <w:iCs w:val="0"/>
                <w:color w:val="auto"/>
                <w:kern w:val="0"/>
                <w:sz w:val="21"/>
                <w:szCs w:val="21"/>
                <w:highlight w:val="none"/>
                <w:lang w:val="en-US" w:eastAsia="zh-CN" w:bidi="ar"/>
              </w:rPr>
            </w:pPr>
            <w:r>
              <w:rPr>
                <w:rFonts w:hint="eastAsia" w:ascii="Times New Roman" w:hAnsi="Times New Roman" w:eastAsia="宋体" w:cs="Times New Roman"/>
                <w:i w:val="0"/>
                <w:iCs w:val="0"/>
                <w:color w:val="auto"/>
                <w:kern w:val="0"/>
                <w:sz w:val="21"/>
                <w:szCs w:val="21"/>
                <w:highlight w:val="none"/>
                <w:lang w:val="en-US" w:eastAsia="zh-CN" w:bidi="ar"/>
              </w:rPr>
              <w:t>-30.85</w:t>
            </w:r>
          </w:p>
        </w:tc>
        <w:tc>
          <w:tcPr>
            <w:tcW w:w="398" w:type="pct"/>
            <w:tcBorders>
              <w:tl2br w:val="nil"/>
              <w:tr2bl w:val="nil"/>
            </w:tcBorders>
            <w:noWrap w:val="0"/>
            <w:vAlign w:val="center"/>
          </w:tcPr>
          <w:p w14:paraId="546FD5AB">
            <w:pPr>
              <w:keepNext w:val="0"/>
              <w:keepLines w:val="0"/>
              <w:pageBreakBefore w:val="0"/>
              <w:widowControl w:val="0"/>
              <w:kinsoku/>
              <w:bidi w:val="0"/>
              <w:jc w:val="center"/>
              <w:rPr>
                <w:rFonts w:hint="default" w:ascii="Times New Roman" w:hAnsi="Times New Roman" w:eastAsia="宋体" w:cs="Times New Roman"/>
                <w:b w:val="0"/>
                <w:bCs/>
                <w:color w:val="auto"/>
                <w:kern w:val="0"/>
                <w:sz w:val="21"/>
                <w:szCs w:val="22"/>
                <w:highlight w:val="none"/>
                <w:vertAlign w:val="baseline"/>
                <w:lang w:val="en-US" w:eastAsia="zh-CN" w:bidi="ar-SA"/>
              </w:rPr>
            </w:pPr>
            <w:r>
              <w:rPr>
                <w:rFonts w:hint="eastAsia" w:ascii="Times New Roman" w:hAnsi="Times New Roman" w:cs="Times New Roman"/>
                <w:b w:val="0"/>
                <w:bCs/>
                <w:color w:val="auto"/>
                <w:kern w:val="0"/>
                <w:sz w:val="21"/>
                <w:szCs w:val="22"/>
                <w:highlight w:val="none"/>
                <w:vertAlign w:val="baseline"/>
                <w:lang w:val="en-US" w:eastAsia="zh-CN" w:bidi="ar-SA"/>
              </w:rPr>
              <w:t>1.2</w:t>
            </w:r>
          </w:p>
        </w:tc>
        <w:tc>
          <w:tcPr>
            <w:tcW w:w="749" w:type="pct"/>
            <w:vMerge w:val="continue"/>
            <w:tcBorders>
              <w:tl2br w:val="nil"/>
              <w:tr2bl w:val="nil"/>
            </w:tcBorders>
            <w:noWrap w:val="0"/>
            <w:vAlign w:val="center"/>
          </w:tcPr>
          <w:p w14:paraId="586AD9B4">
            <w:pPr>
              <w:pStyle w:val="158"/>
              <w:ind w:firstLine="0" w:firstLineChars="0"/>
              <w:rPr>
                <w:rFonts w:hint="default" w:ascii="Times New Roman" w:hAnsi="Times New Roman" w:eastAsia="宋体" w:cs="Times New Roman"/>
                <w:i w:val="0"/>
                <w:iCs w:val="0"/>
                <w:color w:val="auto"/>
                <w:kern w:val="0"/>
                <w:sz w:val="21"/>
                <w:szCs w:val="21"/>
                <w:highlight w:val="none"/>
                <w:lang w:eastAsia="zh-CN" w:bidi="ar"/>
              </w:rPr>
            </w:pPr>
          </w:p>
        </w:tc>
        <w:tc>
          <w:tcPr>
            <w:tcW w:w="524" w:type="pct"/>
            <w:vMerge w:val="continue"/>
            <w:tcBorders>
              <w:tl2br w:val="nil"/>
              <w:tr2bl w:val="nil"/>
            </w:tcBorders>
            <w:noWrap w:val="0"/>
            <w:vAlign w:val="center"/>
          </w:tcPr>
          <w:p w14:paraId="3D33438D">
            <w:pPr>
              <w:pStyle w:val="158"/>
              <w:ind w:firstLine="0" w:firstLineChars="0"/>
              <w:rPr>
                <w:rFonts w:hint="default" w:ascii="Times New Roman" w:hAnsi="Times New Roman" w:eastAsia="宋体" w:cs="Times New Roman"/>
                <w:i w:val="0"/>
                <w:iCs w:val="0"/>
                <w:color w:val="auto"/>
                <w:kern w:val="0"/>
                <w:sz w:val="21"/>
                <w:szCs w:val="21"/>
                <w:highlight w:val="none"/>
                <w:lang w:eastAsia="zh-CN" w:bidi="ar"/>
              </w:rPr>
            </w:pPr>
          </w:p>
        </w:tc>
      </w:tr>
      <w:tr w14:paraId="4DF941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220" w:type="pct"/>
            <w:tcBorders>
              <w:tl2br w:val="nil"/>
              <w:tr2bl w:val="nil"/>
            </w:tcBorders>
            <w:noWrap w:val="0"/>
            <w:vAlign w:val="center"/>
          </w:tcPr>
          <w:p w14:paraId="48BF487A">
            <w:pPr>
              <w:widowControl/>
              <w:spacing w:line="360" w:lineRule="exact"/>
              <w:ind w:firstLine="0" w:firstLineChars="0"/>
              <w:jc w:val="center"/>
              <w:textAlignment w:val="center"/>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2"/>
                <w:sz w:val="21"/>
                <w:szCs w:val="21"/>
                <w:highlight w:val="none"/>
                <w:lang w:val="en-US" w:eastAsia="zh-CN" w:bidi="ar-SA"/>
              </w:rPr>
              <w:t>13</w:t>
            </w:r>
          </w:p>
        </w:tc>
        <w:tc>
          <w:tcPr>
            <w:tcW w:w="1373" w:type="pct"/>
            <w:tcBorders>
              <w:tl2br w:val="nil"/>
              <w:tr2bl w:val="nil"/>
            </w:tcBorders>
            <w:noWrap w:val="0"/>
            <w:vAlign w:val="center"/>
          </w:tcPr>
          <w:p w14:paraId="03E667DB">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密闭定量装车橇</w:t>
            </w:r>
          </w:p>
        </w:tc>
        <w:tc>
          <w:tcPr>
            <w:tcW w:w="468" w:type="pct"/>
            <w:tcBorders>
              <w:tl2br w:val="nil"/>
              <w:tr2bl w:val="nil"/>
            </w:tcBorders>
            <w:noWrap w:val="0"/>
            <w:vAlign w:val="center"/>
          </w:tcPr>
          <w:p w14:paraId="390127BA">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lang w:val="en-US" w:eastAsia="zh-CN"/>
              </w:rPr>
              <w:t>1</w:t>
            </w:r>
          </w:p>
        </w:tc>
        <w:tc>
          <w:tcPr>
            <w:tcW w:w="452" w:type="pct"/>
            <w:tcBorders>
              <w:tl2br w:val="nil"/>
              <w:tr2bl w:val="nil"/>
            </w:tcBorders>
            <w:noWrap w:val="0"/>
            <w:vAlign w:val="center"/>
          </w:tcPr>
          <w:p w14:paraId="3135ABC9">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b w:val="0"/>
                <w:bCs/>
                <w:color w:val="auto"/>
                <w:kern w:val="0"/>
                <w:sz w:val="21"/>
                <w:szCs w:val="22"/>
                <w:highlight w:val="none"/>
                <w:vertAlign w:val="baseline"/>
                <w:lang w:val="en-US" w:eastAsia="zh-CN" w:bidi="ar-SA"/>
              </w:rPr>
              <w:t>90</w:t>
            </w:r>
          </w:p>
        </w:tc>
        <w:tc>
          <w:tcPr>
            <w:tcW w:w="464" w:type="pct"/>
            <w:tcBorders>
              <w:tl2br w:val="nil"/>
              <w:tr2bl w:val="nil"/>
            </w:tcBorders>
            <w:noWrap w:val="0"/>
            <w:vAlign w:val="center"/>
          </w:tcPr>
          <w:p w14:paraId="1EA5EA93">
            <w:pPr>
              <w:pStyle w:val="158"/>
              <w:ind w:firstLine="0" w:firstLineChars="0"/>
              <w:rPr>
                <w:rFonts w:hint="default" w:ascii="Times New Roman" w:hAnsi="Times New Roman" w:eastAsia="宋体" w:cs="Times New Roman"/>
                <w:i w:val="0"/>
                <w:iCs w:val="0"/>
                <w:color w:val="auto"/>
                <w:kern w:val="0"/>
                <w:sz w:val="21"/>
                <w:szCs w:val="21"/>
                <w:highlight w:val="none"/>
                <w:lang w:val="en-US" w:eastAsia="zh-CN" w:bidi="ar"/>
              </w:rPr>
            </w:pPr>
            <w:r>
              <w:rPr>
                <w:rFonts w:hint="eastAsia" w:ascii="Times New Roman" w:hAnsi="Times New Roman" w:eastAsia="宋体" w:cs="Times New Roman"/>
                <w:i w:val="0"/>
                <w:iCs w:val="0"/>
                <w:color w:val="auto"/>
                <w:kern w:val="0"/>
                <w:sz w:val="21"/>
                <w:szCs w:val="21"/>
                <w:highlight w:val="none"/>
                <w:lang w:val="en-US" w:eastAsia="zh-CN" w:bidi="ar"/>
              </w:rPr>
              <w:t>-30.29</w:t>
            </w:r>
          </w:p>
        </w:tc>
        <w:tc>
          <w:tcPr>
            <w:tcW w:w="348" w:type="pct"/>
            <w:tcBorders>
              <w:tl2br w:val="nil"/>
              <w:tr2bl w:val="nil"/>
            </w:tcBorders>
            <w:noWrap w:val="0"/>
            <w:vAlign w:val="center"/>
          </w:tcPr>
          <w:p w14:paraId="0BBDDEAF">
            <w:pPr>
              <w:pStyle w:val="158"/>
              <w:ind w:firstLine="0" w:firstLineChars="0"/>
              <w:rPr>
                <w:rFonts w:hint="default" w:ascii="Times New Roman" w:hAnsi="Times New Roman" w:eastAsia="宋体" w:cs="Times New Roman"/>
                <w:i w:val="0"/>
                <w:iCs w:val="0"/>
                <w:color w:val="auto"/>
                <w:kern w:val="0"/>
                <w:sz w:val="21"/>
                <w:szCs w:val="21"/>
                <w:highlight w:val="none"/>
                <w:lang w:val="en-US" w:eastAsia="zh-CN" w:bidi="ar"/>
              </w:rPr>
            </w:pPr>
            <w:r>
              <w:rPr>
                <w:rFonts w:hint="eastAsia" w:ascii="Times New Roman" w:hAnsi="Times New Roman" w:eastAsia="宋体" w:cs="Times New Roman"/>
                <w:i w:val="0"/>
                <w:iCs w:val="0"/>
                <w:color w:val="auto"/>
                <w:kern w:val="0"/>
                <w:sz w:val="21"/>
                <w:szCs w:val="21"/>
                <w:highlight w:val="none"/>
                <w:lang w:val="en-US" w:eastAsia="zh-CN" w:bidi="ar"/>
              </w:rPr>
              <w:t>18.46</w:t>
            </w:r>
          </w:p>
        </w:tc>
        <w:tc>
          <w:tcPr>
            <w:tcW w:w="398" w:type="pct"/>
            <w:tcBorders>
              <w:tl2br w:val="nil"/>
              <w:tr2bl w:val="nil"/>
            </w:tcBorders>
            <w:noWrap w:val="0"/>
            <w:vAlign w:val="center"/>
          </w:tcPr>
          <w:p w14:paraId="2914D98A">
            <w:pPr>
              <w:keepNext w:val="0"/>
              <w:keepLines w:val="0"/>
              <w:pageBreakBefore w:val="0"/>
              <w:widowControl w:val="0"/>
              <w:kinsoku/>
              <w:bidi w:val="0"/>
              <w:jc w:val="center"/>
              <w:rPr>
                <w:rFonts w:hint="default" w:ascii="Times New Roman" w:hAnsi="Times New Roman" w:eastAsia="宋体" w:cs="Times New Roman"/>
                <w:b w:val="0"/>
                <w:bCs/>
                <w:color w:val="auto"/>
                <w:kern w:val="0"/>
                <w:sz w:val="21"/>
                <w:szCs w:val="22"/>
                <w:highlight w:val="none"/>
                <w:vertAlign w:val="baseline"/>
                <w:lang w:val="en-US" w:eastAsia="zh-CN" w:bidi="ar-SA"/>
              </w:rPr>
            </w:pPr>
            <w:r>
              <w:rPr>
                <w:rFonts w:hint="eastAsia" w:ascii="Times New Roman" w:hAnsi="Times New Roman" w:cs="Times New Roman"/>
                <w:b w:val="0"/>
                <w:bCs/>
                <w:color w:val="auto"/>
                <w:kern w:val="0"/>
                <w:sz w:val="21"/>
                <w:szCs w:val="22"/>
                <w:highlight w:val="none"/>
                <w:vertAlign w:val="baseline"/>
                <w:lang w:val="en-US" w:eastAsia="zh-CN" w:bidi="ar-SA"/>
              </w:rPr>
              <w:t>1.2</w:t>
            </w:r>
          </w:p>
        </w:tc>
        <w:tc>
          <w:tcPr>
            <w:tcW w:w="749" w:type="pct"/>
            <w:vMerge w:val="continue"/>
            <w:tcBorders>
              <w:tl2br w:val="nil"/>
              <w:tr2bl w:val="nil"/>
            </w:tcBorders>
            <w:noWrap w:val="0"/>
            <w:vAlign w:val="center"/>
          </w:tcPr>
          <w:p w14:paraId="4F1BB567">
            <w:pPr>
              <w:pStyle w:val="158"/>
              <w:ind w:firstLine="0" w:firstLineChars="0"/>
              <w:rPr>
                <w:rFonts w:hint="default" w:ascii="Times New Roman" w:hAnsi="Times New Roman" w:eastAsia="宋体" w:cs="Times New Roman"/>
                <w:i w:val="0"/>
                <w:iCs w:val="0"/>
                <w:color w:val="auto"/>
                <w:kern w:val="0"/>
                <w:sz w:val="21"/>
                <w:szCs w:val="21"/>
                <w:highlight w:val="none"/>
                <w:lang w:eastAsia="zh-CN" w:bidi="ar"/>
              </w:rPr>
            </w:pPr>
          </w:p>
        </w:tc>
        <w:tc>
          <w:tcPr>
            <w:tcW w:w="524" w:type="pct"/>
            <w:vMerge w:val="continue"/>
            <w:tcBorders>
              <w:tl2br w:val="nil"/>
              <w:tr2bl w:val="nil"/>
            </w:tcBorders>
            <w:noWrap w:val="0"/>
            <w:vAlign w:val="center"/>
          </w:tcPr>
          <w:p w14:paraId="0A435DA2">
            <w:pPr>
              <w:pStyle w:val="158"/>
              <w:ind w:firstLine="0" w:firstLineChars="0"/>
              <w:rPr>
                <w:rFonts w:hint="default" w:ascii="Times New Roman" w:hAnsi="Times New Roman" w:eastAsia="宋体" w:cs="Times New Roman"/>
                <w:i w:val="0"/>
                <w:iCs w:val="0"/>
                <w:color w:val="auto"/>
                <w:kern w:val="0"/>
                <w:sz w:val="21"/>
                <w:szCs w:val="21"/>
                <w:highlight w:val="none"/>
                <w:lang w:eastAsia="zh-CN" w:bidi="ar"/>
              </w:rPr>
            </w:pPr>
          </w:p>
        </w:tc>
      </w:tr>
      <w:tr w14:paraId="6C7815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220" w:type="pct"/>
            <w:tcBorders>
              <w:tl2br w:val="nil"/>
              <w:tr2bl w:val="nil"/>
            </w:tcBorders>
            <w:noWrap w:val="0"/>
            <w:vAlign w:val="center"/>
          </w:tcPr>
          <w:p w14:paraId="2BABF598">
            <w:pPr>
              <w:widowControl/>
              <w:spacing w:line="360" w:lineRule="exact"/>
              <w:ind w:firstLine="0" w:firstLineChars="0"/>
              <w:jc w:val="center"/>
              <w:textAlignment w:val="center"/>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2"/>
                <w:sz w:val="21"/>
                <w:szCs w:val="21"/>
                <w:highlight w:val="none"/>
                <w:lang w:val="en-US" w:eastAsia="zh-CN" w:bidi="ar-SA"/>
              </w:rPr>
              <w:t>14</w:t>
            </w:r>
          </w:p>
        </w:tc>
        <w:tc>
          <w:tcPr>
            <w:tcW w:w="1373" w:type="pct"/>
            <w:tcBorders>
              <w:tl2br w:val="nil"/>
              <w:tr2bl w:val="nil"/>
            </w:tcBorders>
            <w:noWrap w:val="0"/>
            <w:vAlign w:val="center"/>
          </w:tcPr>
          <w:p w14:paraId="670036CA">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甲醇加注橇</w:t>
            </w:r>
          </w:p>
        </w:tc>
        <w:tc>
          <w:tcPr>
            <w:tcW w:w="468" w:type="pct"/>
            <w:tcBorders>
              <w:tl2br w:val="nil"/>
              <w:tr2bl w:val="nil"/>
            </w:tcBorders>
            <w:noWrap w:val="0"/>
            <w:vAlign w:val="center"/>
          </w:tcPr>
          <w:p w14:paraId="66D3921A">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lang w:val="en-US" w:eastAsia="zh-CN"/>
              </w:rPr>
              <w:t>1</w:t>
            </w:r>
          </w:p>
        </w:tc>
        <w:tc>
          <w:tcPr>
            <w:tcW w:w="452" w:type="pct"/>
            <w:tcBorders>
              <w:tl2br w:val="nil"/>
              <w:tr2bl w:val="nil"/>
            </w:tcBorders>
            <w:noWrap w:val="0"/>
            <w:vAlign w:val="center"/>
          </w:tcPr>
          <w:p w14:paraId="7ADAC1B6">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i w:val="0"/>
                <w:iCs w:val="0"/>
                <w:color w:val="auto"/>
                <w:kern w:val="0"/>
                <w:sz w:val="21"/>
                <w:szCs w:val="21"/>
                <w:highlight w:val="none"/>
                <w:lang w:val="en-US" w:eastAsia="zh-CN" w:bidi="ar-SA"/>
              </w:rPr>
              <w:t>70</w:t>
            </w:r>
          </w:p>
        </w:tc>
        <w:tc>
          <w:tcPr>
            <w:tcW w:w="464" w:type="pct"/>
            <w:tcBorders>
              <w:tl2br w:val="nil"/>
              <w:tr2bl w:val="nil"/>
            </w:tcBorders>
            <w:noWrap w:val="0"/>
            <w:vAlign w:val="center"/>
          </w:tcPr>
          <w:p w14:paraId="35ABA24C">
            <w:pPr>
              <w:pStyle w:val="158"/>
              <w:ind w:firstLine="0" w:firstLineChars="0"/>
              <w:rPr>
                <w:rFonts w:hint="default" w:ascii="Times New Roman" w:hAnsi="Times New Roman" w:eastAsia="宋体" w:cs="Times New Roman"/>
                <w:i w:val="0"/>
                <w:iCs w:val="0"/>
                <w:color w:val="auto"/>
                <w:kern w:val="0"/>
                <w:sz w:val="21"/>
                <w:szCs w:val="21"/>
                <w:highlight w:val="none"/>
                <w:lang w:val="en-US" w:eastAsia="zh-CN" w:bidi="ar"/>
              </w:rPr>
            </w:pPr>
            <w:r>
              <w:rPr>
                <w:rFonts w:hint="eastAsia" w:ascii="Times New Roman" w:hAnsi="Times New Roman" w:eastAsia="宋体" w:cs="Times New Roman"/>
                <w:i w:val="0"/>
                <w:iCs w:val="0"/>
                <w:color w:val="auto"/>
                <w:kern w:val="0"/>
                <w:sz w:val="21"/>
                <w:szCs w:val="21"/>
                <w:highlight w:val="none"/>
                <w:lang w:val="en-US" w:eastAsia="zh-CN" w:bidi="ar"/>
              </w:rPr>
              <w:t>27.91</w:t>
            </w:r>
          </w:p>
        </w:tc>
        <w:tc>
          <w:tcPr>
            <w:tcW w:w="348" w:type="pct"/>
            <w:tcBorders>
              <w:tl2br w:val="nil"/>
              <w:tr2bl w:val="nil"/>
            </w:tcBorders>
            <w:noWrap w:val="0"/>
            <w:vAlign w:val="center"/>
          </w:tcPr>
          <w:p w14:paraId="0435BBEC">
            <w:pPr>
              <w:pStyle w:val="158"/>
              <w:ind w:firstLine="0" w:firstLineChars="0"/>
              <w:rPr>
                <w:rFonts w:hint="default" w:ascii="Times New Roman" w:hAnsi="Times New Roman" w:eastAsia="宋体" w:cs="Times New Roman"/>
                <w:i w:val="0"/>
                <w:iCs w:val="0"/>
                <w:color w:val="auto"/>
                <w:kern w:val="0"/>
                <w:sz w:val="21"/>
                <w:szCs w:val="21"/>
                <w:highlight w:val="none"/>
                <w:lang w:val="en-US" w:eastAsia="zh-CN" w:bidi="ar"/>
              </w:rPr>
            </w:pPr>
            <w:r>
              <w:rPr>
                <w:rFonts w:hint="eastAsia" w:ascii="Times New Roman" w:hAnsi="Times New Roman" w:eastAsia="宋体" w:cs="Times New Roman"/>
                <w:i w:val="0"/>
                <w:iCs w:val="0"/>
                <w:color w:val="auto"/>
                <w:kern w:val="0"/>
                <w:sz w:val="21"/>
                <w:szCs w:val="21"/>
                <w:highlight w:val="none"/>
                <w:lang w:val="en-US" w:eastAsia="zh-CN" w:bidi="ar"/>
              </w:rPr>
              <w:t>-5.52</w:t>
            </w:r>
          </w:p>
        </w:tc>
        <w:tc>
          <w:tcPr>
            <w:tcW w:w="398" w:type="pct"/>
            <w:tcBorders>
              <w:tl2br w:val="nil"/>
              <w:tr2bl w:val="nil"/>
            </w:tcBorders>
            <w:noWrap w:val="0"/>
            <w:vAlign w:val="center"/>
          </w:tcPr>
          <w:p w14:paraId="0AEBC321">
            <w:pPr>
              <w:keepNext w:val="0"/>
              <w:keepLines w:val="0"/>
              <w:pageBreakBefore w:val="0"/>
              <w:widowControl w:val="0"/>
              <w:kinsoku/>
              <w:bidi w:val="0"/>
              <w:jc w:val="center"/>
              <w:rPr>
                <w:rFonts w:hint="default" w:ascii="Times New Roman" w:hAnsi="Times New Roman" w:eastAsia="宋体" w:cs="Times New Roman"/>
                <w:b w:val="0"/>
                <w:bCs/>
                <w:color w:val="auto"/>
                <w:kern w:val="0"/>
                <w:sz w:val="21"/>
                <w:szCs w:val="22"/>
                <w:highlight w:val="none"/>
                <w:vertAlign w:val="baseline"/>
                <w:lang w:val="en-US" w:eastAsia="zh-CN" w:bidi="ar-SA"/>
              </w:rPr>
            </w:pPr>
            <w:r>
              <w:rPr>
                <w:rFonts w:hint="eastAsia" w:ascii="Times New Roman" w:hAnsi="Times New Roman" w:cs="Times New Roman"/>
                <w:b w:val="0"/>
                <w:bCs/>
                <w:color w:val="auto"/>
                <w:kern w:val="0"/>
                <w:sz w:val="21"/>
                <w:szCs w:val="22"/>
                <w:highlight w:val="none"/>
                <w:vertAlign w:val="baseline"/>
                <w:lang w:val="en-US" w:eastAsia="zh-CN" w:bidi="ar-SA"/>
              </w:rPr>
              <w:t>1.2</w:t>
            </w:r>
          </w:p>
        </w:tc>
        <w:tc>
          <w:tcPr>
            <w:tcW w:w="749" w:type="pct"/>
            <w:vMerge w:val="continue"/>
            <w:tcBorders>
              <w:tl2br w:val="nil"/>
              <w:tr2bl w:val="nil"/>
            </w:tcBorders>
            <w:noWrap w:val="0"/>
            <w:vAlign w:val="center"/>
          </w:tcPr>
          <w:p w14:paraId="1F11D69C">
            <w:pPr>
              <w:pStyle w:val="158"/>
              <w:ind w:firstLine="0" w:firstLineChars="0"/>
              <w:rPr>
                <w:rFonts w:hint="default" w:ascii="Times New Roman" w:hAnsi="Times New Roman" w:eastAsia="宋体" w:cs="Times New Roman"/>
                <w:i w:val="0"/>
                <w:iCs w:val="0"/>
                <w:color w:val="auto"/>
                <w:kern w:val="0"/>
                <w:sz w:val="21"/>
                <w:szCs w:val="21"/>
                <w:highlight w:val="none"/>
                <w:lang w:eastAsia="zh-CN" w:bidi="ar"/>
              </w:rPr>
            </w:pPr>
          </w:p>
        </w:tc>
        <w:tc>
          <w:tcPr>
            <w:tcW w:w="524" w:type="pct"/>
            <w:vMerge w:val="continue"/>
            <w:tcBorders>
              <w:tl2br w:val="nil"/>
              <w:tr2bl w:val="nil"/>
            </w:tcBorders>
            <w:noWrap w:val="0"/>
            <w:vAlign w:val="center"/>
          </w:tcPr>
          <w:p w14:paraId="343735CE">
            <w:pPr>
              <w:pStyle w:val="158"/>
              <w:ind w:firstLine="0" w:firstLineChars="0"/>
              <w:rPr>
                <w:rFonts w:hint="default" w:ascii="Times New Roman" w:hAnsi="Times New Roman" w:eastAsia="宋体" w:cs="Times New Roman"/>
                <w:i w:val="0"/>
                <w:iCs w:val="0"/>
                <w:color w:val="auto"/>
                <w:kern w:val="0"/>
                <w:sz w:val="21"/>
                <w:szCs w:val="21"/>
                <w:highlight w:val="none"/>
                <w:lang w:eastAsia="zh-CN" w:bidi="ar"/>
              </w:rPr>
            </w:pPr>
          </w:p>
        </w:tc>
      </w:tr>
      <w:tr w14:paraId="30ED14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220" w:type="pct"/>
            <w:tcBorders>
              <w:tl2br w:val="nil"/>
              <w:tr2bl w:val="nil"/>
            </w:tcBorders>
            <w:noWrap w:val="0"/>
            <w:vAlign w:val="center"/>
          </w:tcPr>
          <w:p w14:paraId="2F089922">
            <w:pPr>
              <w:widowControl/>
              <w:spacing w:line="360" w:lineRule="exact"/>
              <w:ind w:firstLine="0" w:firstLineChars="0"/>
              <w:jc w:val="center"/>
              <w:textAlignment w:val="center"/>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2"/>
                <w:sz w:val="21"/>
                <w:szCs w:val="21"/>
                <w:highlight w:val="none"/>
                <w:lang w:val="en-US" w:eastAsia="zh-CN" w:bidi="ar-SA"/>
              </w:rPr>
              <w:t>15</w:t>
            </w:r>
          </w:p>
        </w:tc>
        <w:tc>
          <w:tcPr>
            <w:tcW w:w="1373" w:type="pct"/>
            <w:tcBorders>
              <w:tl2br w:val="nil"/>
              <w:tr2bl w:val="nil"/>
            </w:tcBorders>
            <w:noWrap w:val="0"/>
            <w:vAlign w:val="center"/>
          </w:tcPr>
          <w:p w14:paraId="5A61DD05">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稳硫剂加注橇</w:t>
            </w:r>
          </w:p>
        </w:tc>
        <w:tc>
          <w:tcPr>
            <w:tcW w:w="468" w:type="pct"/>
            <w:tcBorders>
              <w:tl2br w:val="nil"/>
              <w:tr2bl w:val="nil"/>
            </w:tcBorders>
            <w:noWrap w:val="0"/>
            <w:vAlign w:val="center"/>
          </w:tcPr>
          <w:p w14:paraId="245E9BEC">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lang w:val="en-US" w:eastAsia="zh-CN"/>
              </w:rPr>
              <w:t>1</w:t>
            </w:r>
          </w:p>
        </w:tc>
        <w:tc>
          <w:tcPr>
            <w:tcW w:w="452" w:type="pct"/>
            <w:tcBorders>
              <w:tl2br w:val="nil"/>
              <w:tr2bl w:val="nil"/>
            </w:tcBorders>
            <w:noWrap w:val="0"/>
            <w:vAlign w:val="center"/>
          </w:tcPr>
          <w:p w14:paraId="53C53807">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i w:val="0"/>
                <w:iCs w:val="0"/>
                <w:color w:val="auto"/>
                <w:kern w:val="0"/>
                <w:sz w:val="21"/>
                <w:szCs w:val="21"/>
                <w:highlight w:val="none"/>
                <w:lang w:val="en-US" w:eastAsia="zh-CN" w:bidi="ar-SA"/>
              </w:rPr>
              <w:t>70</w:t>
            </w:r>
          </w:p>
        </w:tc>
        <w:tc>
          <w:tcPr>
            <w:tcW w:w="464" w:type="pct"/>
            <w:tcBorders>
              <w:tl2br w:val="nil"/>
              <w:tr2bl w:val="nil"/>
            </w:tcBorders>
            <w:noWrap w:val="0"/>
            <w:vAlign w:val="center"/>
          </w:tcPr>
          <w:p w14:paraId="18E4FFB1">
            <w:pPr>
              <w:pStyle w:val="158"/>
              <w:ind w:firstLine="0" w:firstLineChars="0"/>
              <w:rPr>
                <w:rFonts w:hint="default" w:ascii="Times New Roman" w:hAnsi="Times New Roman" w:eastAsia="宋体" w:cs="Times New Roman"/>
                <w:i w:val="0"/>
                <w:iCs w:val="0"/>
                <w:color w:val="auto"/>
                <w:kern w:val="0"/>
                <w:sz w:val="21"/>
                <w:szCs w:val="21"/>
                <w:highlight w:val="none"/>
                <w:lang w:val="en-US" w:eastAsia="zh-CN" w:bidi="ar"/>
              </w:rPr>
            </w:pPr>
            <w:r>
              <w:rPr>
                <w:rFonts w:hint="eastAsia" w:ascii="Times New Roman" w:hAnsi="Times New Roman" w:eastAsia="宋体" w:cs="Times New Roman"/>
                <w:i w:val="0"/>
                <w:iCs w:val="0"/>
                <w:color w:val="auto"/>
                <w:kern w:val="0"/>
                <w:sz w:val="21"/>
                <w:szCs w:val="21"/>
                <w:highlight w:val="none"/>
                <w:lang w:val="en-US" w:eastAsia="zh-CN" w:bidi="ar"/>
              </w:rPr>
              <w:t>28.29</w:t>
            </w:r>
          </w:p>
        </w:tc>
        <w:tc>
          <w:tcPr>
            <w:tcW w:w="348" w:type="pct"/>
            <w:tcBorders>
              <w:tl2br w:val="nil"/>
              <w:tr2bl w:val="nil"/>
            </w:tcBorders>
            <w:noWrap w:val="0"/>
            <w:vAlign w:val="center"/>
          </w:tcPr>
          <w:p w14:paraId="67CFFC7F">
            <w:pPr>
              <w:pStyle w:val="158"/>
              <w:ind w:firstLine="0" w:firstLineChars="0"/>
              <w:rPr>
                <w:rFonts w:hint="default" w:ascii="Times New Roman" w:hAnsi="Times New Roman" w:eastAsia="宋体" w:cs="Times New Roman"/>
                <w:i w:val="0"/>
                <w:iCs w:val="0"/>
                <w:color w:val="auto"/>
                <w:kern w:val="0"/>
                <w:sz w:val="21"/>
                <w:szCs w:val="21"/>
                <w:highlight w:val="none"/>
                <w:lang w:val="en-US" w:eastAsia="zh-CN" w:bidi="ar"/>
              </w:rPr>
            </w:pPr>
            <w:r>
              <w:rPr>
                <w:rFonts w:hint="eastAsia" w:ascii="Times New Roman" w:hAnsi="Times New Roman" w:eastAsia="宋体" w:cs="Times New Roman"/>
                <w:i w:val="0"/>
                <w:iCs w:val="0"/>
                <w:color w:val="auto"/>
                <w:kern w:val="0"/>
                <w:sz w:val="21"/>
                <w:szCs w:val="21"/>
                <w:highlight w:val="none"/>
                <w:lang w:val="en-US" w:eastAsia="zh-CN" w:bidi="ar"/>
              </w:rPr>
              <w:t>-2.23</w:t>
            </w:r>
          </w:p>
        </w:tc>
        <w:tc>
          <w:tcPr>
            <w:tcW w:w="398" w:type="pct"/>
            <w:tcBorders>
              <w:tl2br w:val="nil"/>
              <w:tr2bl w:val="nil"/>
            </w:tcBorders>
            <w:noWrap w:val="0"/>
            <w:vAlign w:val="center"/>
          </w:tcPr>
          <w:p w14:paraId="35919525">
            <w:pPr>
              <w:keepNext w:val="0"/>
              <w:keepLines w:val="0"/>
              <w:pageBreakBefore w:val="0"/>
              <w:widowControl w:val="0"/>
              <w:kinsoku/>
              <w:bidi w:val="0"/>
              <w:jc w:val="center"/>
              <w:rPr>
                <w:rFonts w:hint="default" w:ascii="Times New Roman" w:hAnsi="Times New Roman" w:eastAsia="宋体" w:cs="Times New Roman"/>
                <w:b w:val="0"/>
                <w:bCs/>
                <w:color w:val="auto"/>
                <w:kern w:val="0"/>
                <w:sz w:val="21"/>
                <w:szCs w:val="22"/>
                <w:highlight w:val="none"/>
                <w:vertAlign w:val="baseline"/>
                <w:lang w:val="en-US" w:eastAsia="zh-CN" w:bidi="ar-SA"/>
              </w:rPr>
            </w:pPr>
            <w:r>
              <w:rPr>
                <w:rFonts w:hint="eastAsia" w:ascii="Times New Roman" w:hAnsi="Times New Roman" w:cs="Times New Roman"/>
                <w:b w:val="0"/>
                <w:bCs/>
                <w:color w:val="auto"/>
                <w:kern w:val="0"/>
                <w:sz w:val="21"/>
                <w:szCs w:val="22"/>
                <w:highlight w:val="none"/>
                <w:vertAlign w:val="baseline"/>
                <w:lang w:val="en-US" w:eastAsia="zh-CN" w:bidi="ar-SA"/>
              </w:rPr>
              <w:t>1.2</w:t>
            </w:r>
          </w:p>
        </w:tc>
        <w:tc>
          <w:tcPr>
            <w:tcW w:w="749" w:type="pct"/>
            <w:vMerge w:val="continue"/>
            <w:tcBorders>
              <w:tl2br w:val="nil"/>
              <w:tr2bl w:val="nil"/>
            </w:tcBorders>
            <w:noWrap w:val="0"/>
            <w:vAlign w:val="center"/>
          </w:tcPr>
          <w:p w14:paraId="6152A500">
            <w:pPr>
              <w:pStyle w:val="158"/>
              <w:ind w:firstLine="0" w:firstLineChars="0"/>
              <w:rPr>
                <w:rFonts w:hint="default" w:ascii="Times New Roman" w:hAnsi="Times New Roman" w:eastAsia="宋体" w:cs="Times New Roman"/>
                <w:i w:val="0"/>
                <w:iCs w:val="0"/>
                <w:color w:val="auto"/>
                <w:kern w:val="0"/>
                <w:sz w:val="21"/>
                <w:szCs w:val="21"/>
                <w:highlight w:val="none"/>
                <w:lang w:eastAsia="zh-CN" w:bidi="ar"/>
              </w:rPr>
            </w:pPr>
          </w:p>
        </w:tc>
        <w:tc>
          <w:tcPr>
            <w:tcW w:w="524" w:type="pct"/>
            <w:vMerge w:val="continue"/>
            <w:tcBorders>
              <w:tl2br w:val="nil"/>
              <w:tr2bl w:val="nil"/>
            </w:tcBorders>
            <w:noWrap w:val="0"/>
            <w:vAlign w:val="center"/>
          </w:tcPr>
          <w:p w14:paraId="4DBBFAEC">
            <w:pPr>
              <w:pStyle w:val="158"/>
              <w:ind w:firstLine="0" w:firstLineChars="0"/>
              <w:rPr>
                <w:rFonts w:hint="default" w:ascii="Times New Roman" w:hAnsi="Times New Roman" w:eastAsia="宋体" w:cs="Times New Roman"/>
                <w:i w:val="0"/>
                <w:iCs w:val="0"/>
                <w:color w:val="auto"/>
                <w:kern w:val="0"/>
                <w:sz w:val="21"/>
                <w:szCs w:val="21"/>
                <w:highlight w:val="none"/>
                <w:lang w:eastAsia="zh-CN" w:bidi="ar"/>
              </w:rPr>
            </w:pPr>
          </w:p>
        </w:tc>
      </w:tr>
      <w:tr w14:paraId="657C81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220" w:type="pct"/>
          </w:tcPr>
          <w:p w14:paraId="30C65095">
            <w:pPr>
              <w:widowControl/>
              <w:spacing w:line="360" w:lineRule="exact"/>
              <w:ind w:firstLine="0" w:firstLineChars="0"/>
              <w:jc w:val="center"/>
              <w:textAlignment w:val="center"/>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2"/>
                <w:sz w:val="21"/>
                <w:szCs w:val="21"/>
                <w:highlight w:val="none"/>
                <w:lang w:val="en-US" w:eastAsia="zh-CN" w:bidi="ar-SA"/>
              </w:rPr>
              <w:t>16</w:t>
            </w:r>
          </w:p>
        </w:tc>
        <w:tc>
          <w:tcPr>
            <w:tcW w:w="1373" w:type="pct"/>
            <w:vAlign w:val="center"/>
          </w:tcPr>
          <w:p w14:paraId="18864542">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干法脱硫塔</w:t>
            </w:r>
          </w:p>
        </w:tc>
        <w:tc>
          <w:tcPr>
            <w:tcW w:w="468" w:type="pct"/>
            <w:vAlign w:val="center"/>
          </w:tcPr>
          <w:p w14:paraId="01CE868A">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lang w:val="en-US" w:eastAsia="zh-CN"/>
              </w:rPr>
              <w:t>4</w:t>
            </w:r>
          </w:p>
        </w:tc>
        <w:tc>
          <w:tcPr>
            <w:tcW w:w="452" w:type="pct"/>
          </w:tcPr>
          <w:p w14:paraId="1B006A3E">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75</w:t>
            </w:r>
          </w:p>
        </w:tc>
        <w:tc>
          <w:tcPr>
            <w:tcW w:w="464" w:type="pct"/>
          </w:tcPr>
          <w:p w14:paraId="793F857F">
            <w:pPr>
              <w:pStyle w:val="158"/>
              <w:ind w:firstLine="0" w:firstLineChars="0"/>
              <w:rPr>
                <w:rFonts w:hint="default" w:ascii="Times New Roman" w:hAnsi="Times New Roman" w:eastAsia="宋体" w:cs="Times New Roman"/>
                <w:i w:val="0"/>
                <w:iCs w:val="0"/>
                <w:color w:val="auto"/>
                <w:kern w:val="0"/>
                <w:sz w:val="21"/>
                <w:szCs w:val="21"/>
                <w:highlight w:val="none"/>
                <w:lang w:val="en-US" w:eastAsia="zh-CN" w:bidi="ar"/>
              </w:rPr>
            </w:pPr>
            <w:r>
              <w:rPr>
                <w:rFonts w:hint="eastAsia" w:ascii="Times New Roman" w:hAnsi="Times New Roman" w:eastAsia="宋体" w:cs="Times New Roman"/>
                <w:i w:val="0"/>
                <w:iCs w:val="0"/>
                <w:color w:val="auto"/>
                <w:kern w:val="0"/>
                <w:sz w:val="21"/>
                <w:szCs w:val="21"/>
                <w:highlight w:val="none"/>
                <w:lang w:val="en-US" w:eastAsia="zh-CN" w:bidi="ar"/>
              </w:rPr>
              <w:t>43.62</w:t>
            </w:r>
          </w:p>
        </w:tc>
        <w:tc>
          <w:tcPr>
            <w:tcW w:w="348" w:type="pct"/>
          </w:tcPr>
          <w:p w14:paraId="593EA0E1">
            <w:pPr>
              <w:pStyle w:val="158"/>
              <w:ind w:firstLine="0" w:firstLineChars="0"/>
              <w:rPr>
                <w:rFonts w:hint="default" w:ascii="Times New Roman" w:hAnsi="Times New Roman" w:eastAsia="宋体" w:cs="Times New Roman"/>
                <w:i w:val="0"/>
                <w:iCs w:val="0"/>
                <w:color w:val="auto"/>
                <w:kern w:val="0"/>
                <w:sz w:val="21"/>
                <w:szCs w:val="21"/>
                <w:highlight w:val="none"/>
                <w:lang w:val="en-US" w:eastAsia="zh-CN" w:bidi="ar"/>
              </w:rPr>
            </w:pPr>
            <w:r>
              <w:rPr>
                <w:rFonts w:hint="eastAsia" w:ascii="Times New Roman" w:hAnsi="Times New Roman" w:eastAsia="宋体" w:cs="Times New Roman"/>
                <w:i w:val="0"/>
                <w:iCs w:val="0"/>
                <w:color w:val="auto"/>
                <w:kern w:val="0"/>
                <w:sz w:val="21"/>
                <w:szCs w:val="21"/>
                <w:highlight w:val="none"/>
                <w:lang w:val="en-US" w:eastAsia="zh-CN" w:bidi="ar"/>
              </w:rPr>
              <w:t>31.74</w:t>
            </w:r>
          </w:p>
        </w:tc>
        <w:tc>
          <w:tcPr>
            <w:tcW w:w="398" w:type="pct"/>
            <w:vAlign w:val="center"/>
          </w:tcPr>
          <w:p w14:paraId="795E7A20">
            <w:pPr>
              <w:keepNext w:val="0"/>
              <w:keepLines w:val="0"/>
              <w:pageBreakBefore w:val="0"/>
              <w:widowControl w:val="0"/>
              <w:kinsoku/>
              <w:bidi w:val="0"/>
              <w:jc w:val="center"/>
              <w:rPr>
                <w:rFonts w:hint="default" w:ascii="Times New Roman" w:hAnsi="Times New Roman" w:eastAsia="宋体" w:cs="Times New Roman"/>
                <w:b w:val="0"/>
                <w:bCs/>
                <w:color w:val="auto"/>
                <w:kern w:val="0"/>
                <w:sz w:val="21"/>
                <w:szCs w:val="22"/>
                <w:highlight w:val="none"/>
                <w:vertAlign w:val="baseline"/>
                <w:lang w:val="en-US" w:eastAsia="zh-CN" w:bidi="ar-SA"/>
              </w:rPr>
            </w:pPr>
            <w:r>
              <w:rPr>
                <w:rFonts w:hint="eastAsia" w:ascii="Times New Roman" w:hAnsi="Times New Roman" w:cs="Times New Roman"/>
                <w:b w:val="0"/>
                <w:bCs/>
                <w:color w:val="auto"/>
                <w:kern w:val="0"/>
                <w:sz w:val="21"/>
                <w:szCs w:val="22"/>
                <w:highlight w:val="none"/>
                <w:vertAlign w:val="baseline"/>
                <w:lang w:val="en-US" w:eastAsia="zh-CN" w:bidi="ar-SA"/>
              </w:rPr>
              <w:t>1.2</w:t>
            </w:r>
          </w:p>
        </w:tc>
        <w:tc>
          <w:tcPr>
            <w:tcW w:w="749" w:type="pct"/>
            <w:vMerge w:val="continue"/>
          </w:tcPr>
          <w:p w14:paraId="317930B5">
            <w:pPr>
              <w:pStyle w:val="158"/>
              <w:ind w:firstLine="0" w:firstLineChars="0"/>
              <w:rPr>
                <w:rFonts w:hint="default" w:ascii="Times New Roman" w:hAnsi="Times New Roman" w:eastAsia="宋体" w:cs="Times New Roman"/>
                <w:i w:val="0"/>
                <w:iCs w:val="0"/>
                <w:color w:val="auto"/>
                <w:kern w:val="0"/>
                <w:sz w:val="21"/>
                <w:szCs w:val="21"/>
                <w:highlight w:val="none"/>
                <w:lang w:eastAsia="zh-CN" w:bidi="ar"/>
              </w:rPr>
            </w:pPr>
          </w:p>
        </w:tc>
        <w:tc>
          <w:tcPr>
            <w:tcW w:w="524" w:type="pct"/>
            <w:vMerge w:val="continue"/>
          </w:tcPr>
          <w:p w14:paraId="58E17908">
            <w:pPr>
              <w:pStyle w:val="158"/>
              <w:ind w:firstLine="0" w:firstLineChars="0"/>
              <w:rPr>
                <w:rFonts w:hint="default" w:ascii="Times New Roman" w:hAnsi="Times New Roman" w:eastAsia="宋体" w:cs="Times New Roman"/>
                <w:i w:val="0"/>
                <w:iCs w:val="0"/>
                <w:color w:val="auto"/>
                <w:kern w:val="0"/>
                <w:sz w:val="21"/>
                <w:szCs w:val="21"/>
                <w:highlight w:val="none"/>
                <w:lang w:eastAsia="zh-CN" w:bidi="ar"/>
              </w:rPr>
            </w:pPr>
          </w:p>
        </w:tc>
      </w:tr>
      <w:tr w14:paraId="25DA30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220" w:type="pct"/>
          </w:tcPr>
          <w:p w14:paraId="77AE115E">
            <w:pPr>
              <w:widowControl/>
              <w:spacing w:line="360" w:lineRule="exact"/>
              <w:ind w:firstLine="0" w:firstLineChars="0"/>
              <w:jc w:val="center"/>
              <w:textAlignment w:val="center"/>
              <w:rPr>
                <w:rFonts w:hint="default" w:ascii="Times New Roman" w:hAnsi="Times New Roman" w:eastAsia="宋体" w:cs="Times New Roman"/>
                <w:i w:val="0"/>
                <w:iCs w:val="0"/>
                <w:color w:val="auto"/>
                <w:kern w:val="2"/>
                <w:sz w:val="21"/>
                <w:szCs w:val="21"/>
                <w:highlight w:val="none"/>
                <w:lang w:val="en-US" w:eastAsia="zh-CN" w:bidi="ar-SA"/>
              </w:rPr>
            </w:pPr>
            <w:r>
              <w:rPr>
                <w:rFonts w:hint="eastAsia" w:ascii="Times New Roman" w:hAnsi="Times New Roman" w:eastAsia="宋体" w:cs="Times New Roman"/>
                <w:i w:val="0"/>
                <w:iCs w:val="0"/>
                <w:color w:val="auto"/>
                <w:kern w:val="2"/>
                <w:sz w:val="21"/>
                <w:szCs w:val="21"/>
                <w:highlight w:val="none"/>
                <w:lang w:val="en-US" w:eastAsia="zh-CN" w:bidi="ar-SA"/>
              </w:rPr>
              <w:t>17</w:t>
            </w:r>
          </w:p>
        </w:tc>
        <w:tc>
          <w:tcPr>
            <w:tcW w:w="1373" w:type="pct"/>
            <w:vAlign w:val="center"/>
          </w:tcPr>
          <w:p w14:paraId="28BB9D54">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甲醇加注橇</w:t>
            </w:r>
          </w:p>
        </w:tc>
        <w:tc>
          <w:tcPr>
            <w:tcW w:w="468" w:type="pct"/>
            <w:vAlign w:val="center"/>
          </w:tcPr>
          <w:p w14:paraId="29830D6E">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452" w:type="pct"/>
          </w:tcPr>
          <w:p w14:paraId="6F95ECEF">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i w:val="0"/>
                <w:iCs w:val="0"/>
                <w:color w:val="auto"/>
                <w:kern w:val="0"/>
                <w:sz w:val="21"/>
                <w:szCs w:val="21"/>
                <w:highlight w:val="none"/>
                <w:lang w:val="en-US" w:eastAsia="zh-CN" w:bidi="ar-SA"/>
              </w:rPr>
              <w:t>70</w:t>
            </w:r>
          </w:p>
        </w:tc>
        <w:tc>
          <w:tcPr>
            <w:tcW w:w="464" w:type="pct"/>
          </w:tcPr>
          <w:p w14:paraId="5C68C61B">
            <w:pPr>
              <w:pStyle w:val="158"/>
              <w:ind w:firstLine="0" w:firstLineChars="0"/>
              <w:rPr>
                <w:rFonts w:hint="default" w:ascii="Times New Roman" w:hAnsi="Times New Roman" w:eastAsia="宋体" w:cs="Times New Roman"/>
                <w:i w:val="0"/>
                <w:iCs w:val="0"/>
                <w:color w:val="auto"/>
                <w:kern w:val="0"/>
                <w:sz w:val="21"/>
                <w:szCs w:val="21"/>
                <w:highlight w:val="none"/>
                <w:lang w:val="en-US" w:eastAsia="zh-CN" w:bidi="ar"/>
              </w:rPr>
            </w:pPr>
            <w:r>
              <w:rPr>
                <w:rFonts w:hint="eastAsia" w:ascii="Times New Roman" w:hAnsi="Times New Roman" w:eastAsia="宋体" w:cs="Times New Roman"/>
                <w:i w:val="0"/>
                <w:iCs w:val="0"/>
                <w:color w:val="auto"/>
                <w:kern w:val="0"/>
                <w:sz w:val="21"/>
                <w:szCs w:val="21"/>
                <w:highlight w:val="none"/>
                <w:lang w:val="en-US" w:eastAsia="zh-CN" w:bidi="ar"/>
              </w:rPr>
              <w:t>37.91</w:t>
            </w:r>
          </w:p>
        </w:tc>
        <w:tc>
          <w:tcPr>
            <w:tcW w:w="348" w:type="pct"/>
          </w:tcPr>
          <w:p w14:paraId="27B5BA1C">
            <w:pPr>
              <w:pStyle w:val="158"/>
              <w:ind w:firstLine="0" w:firstLineChars="0"/>
              <w:rPr>
                <w:rFonts w:hint="default" w:ascii="Times New Roman" w:hAnsi="Times New Roman" w:eastAsia="宋体" w:cs="Times New Roman"/>
                <w:i w:val="0"/>
                <w:iCs w:val="0"/>
                <w:color w:val="auto"/>
                <w:kern w:val="0"/>
                <w:sz w:val="21"/>
                <w:szCs w:val="21"/>
                <w:highlight w:val="none"/>
                <w:lang w:val="en-US" w:eastAsia="zh-CN" w:bidi="ar"/>
              </w:rPr>
            </w:pPr>
            <w:r>
              <w:rPr>
                <w:rFonts w:hint="eastAsia" w:ascii="Times New Roman" w:hAnsi="Times New Roman" w:eastAsia="宋体" w:cs="Times New Roman"/>
                <w:i w:val="0"/>
                <w:iCs w:val="0"/>
                <w:color w:val="auto"/>
                <w:kern w:val="0"/>
                <w:sz w:val="21"/>
                <w:szCs w:val="21"/>
                <w:highlight w:val="none"/>
                <w:lang w:val="en-US" w:eastAsia="zh-CN" w:bidi="ar"/>
              </w:rPr>
              <w:t>-7.81</w:t>
            </w:r>
          </w:p>
        </w:tc>
        <w:tc>
          <w:tcPr>
            <w:tcW w:w="398" w:type="pct"/>
            <w:vAlign w:val="center"/>
          </w:tcPr>
          <w:p w14:paraId="3473E371">
            <w:pPr>
              <w:keepNext w:val="0"/>
              <w:keepLines w:val="0"/>
              <w:pageBreakBefore w:val="0"/>
              <w:widowControl w:val="0"/>
              <w:kinsoku/>
              <w:bidi w:val="0"/>
              <w:jc w:val="center"/>
              <w:rPr>
                <w:rFonts w:hint="default" w:ascii="Times New Roman" w:hAnsi="Times New Roman" w:eastAsia="宋体" w:cs="Times New Roman"/>
                <w:b w:val="0"/>
                <w:bCs/>
                <w:color w:val="auto"/>
                <w:kern w:val="0"/>
                <w:sz w:val="21"/>
                <w:szCs w:val="22"/>
                <w:highlight w:val="none"/>
                <w:vertAlign w:val="baseline"/>
                <w:lang w:val="en-US" w:eastAsia="zh-CN" w:bidi="ar-SA"/>
              </w:rPr>
            </w:pPr>
            <w:r>
              <w:rPr>
                <w:rFonts w:hint="eastAsia" w:ascii="Times New Roman" w:hAnsi="Times New Roman" w:cs="Times New Roman"/>
                <w:b w:val="0"/>
                <w:bCs/>
                <w:color w:val="auto"/>
                <w:kern w:val="0"/>
                <w:sz w:val="21"/>
                <w:szCs w:val="22"/>
                <w:highlight w:val="none"/>
                <w:vertAlign w:val="baseline"/>
                <w:lang w:val="en-US" w:eastAsia="zh-CN" w:bidi="ar-SA"/>
              </w:rPr>
              <w:t>1.2</w:t>
            </w:r>
          </w:p>
        </w:tc>
        <w:tc>
          <w:tcPr>
            <w:tcW w:w="749" w:type="pct"/>
            <w:vMerge w:val="continue"/>
          </w:tcPr>
          <w:p w14:paraId="1474ED63">
            <w:pPr>
              <w:pStyle w:val="158"/>
              <w:ind w:firstLine="0" w:firstLineChars="0"/>
              <w:rPr>
                <w:rFonts w:hint="default" w:ascii="Times New Roman" w:hAnsi="Times New Roman" w:eastAsia="宋体" w:cs="Times New Roman"/>
                <w:i w:val="0"/>
                <w:iCs w:val="0"/>
                <w:color w:val="auto"/>
                <w:kern w:val="0"/>
                <w:sz w:val="21"/>
                <w:szCs w:val="21"/>
                <w:highlight w:val="none"/>
                <w:lang w:eastAsia="zh-CN" w:bidi="ar"/>
              </w:rPr>
            </w:pPr>
          </w:p>
        </w:tc>
        <w:tc>
          <w:tcPr>
            <w:tcW w:w="524" w:type="pct"/>
            <w:vMerge w:val="continue"/>
          </w:tcPr>
          <w:p w14:paraId="554A7BC5">
            <w:pPr>
              <w:pStyle w:val="158"/>
              <w:ind w:firstLine="0" w:firstLineChars="0"/>
              <w:rPr>
                <w:rFonts w:hint="default" w:ascii="Times New Roman" w:hAnsi="Times New Roman" w:eastAsia="宋体" w:cs="Times New Roman"/>
                <w:i w:val="0"/>
                <w:iCs w:val="0"/>
                <w:color w:val="auto"/>
                <w:kern w:val="0"/>
                <w:sz w:val="21"/>
                <w:szCs w:val="21"/>
                <w:highlight w:val="none"/>
                <w:lang w:eastAsia="zh-CN" w:bidi="ar"/>
              </w:rPr>
            </w:pPr>
          </w:p>
        </w:tc>
      </w:tr>
      <w:tr w14:paraId="46E131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220" w:type="pct"/>
          </w:tcPr>
          <w:p w14:paraId="11C6E6D9">
            <w:pPr>
              <w:widowControl/>
              <w:spacing w:line="360" w:lineRule="exact"/>
              <w:ind w:firstLine="0" w:firstLineChars="0"/>
              <w:jc w:val="center"/>
              <w:textAlignment w:val="center"/>
              <w:rPr>
                <w:rFonts w:hint="default" w:ascii="Times New Roman" w:hAnsi="Times New Roman" w:eastAsia="宋体" w:cs="Times New Roman"/>
                <w:i w:val="0"/>
                <w:iCs w:val="0"/>
                <w:color w:val="auto"/>
                <w:kern w:val="2"/>
                <w:sz w:val="21"/>
                <w:szCs w:val="21"/>
                <w:highlight w:val="none"/>
                <w:lang w:val="en-US" w:eastAsia="zh-CN" w:bidi="ar-SA"/>
              </w:rPr>
            </w:pPr>
            <w:r>
              <w:rPr>
                <w:rFonts w:hint="eastAsia" w:ascii="Times New Roman" w:hAnsi="Times New Roman" w:eastAsia="宋体" w:cs="Times New Roman"/>
                <w:i w:val="0"/>
                <w:iCs w:val="0"/>
                <w:color w:val="auto"/>
                <w:kern w:val="2"/>
                <w:sz w:val="21"/>
                <w:szCs w:val="21"/>
                <w:highlight w:val="none"/>
                <w:lang w:val="en-US" w:eastAsia="zh-CN" w:bidi="ar-SA"/>
              </w:rPr>
              <w:t>18</w:t>
            </w:r>
          </w:p>
        </w:tc>
        <w:tc>
          <w:tcPr>
            <w:tcW w:w="1373" w:type="pct"/>
            <w:vAlign w:val="center"/>
          </w:tcPr>
          <w:p w14:paraId="4A2A76E7">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压缩机</w:t>
            </w:r>
          </w:p>
        </w:tc>
        <w:tc>
          <w:tcPr>
            <w:tcW w:w="468" w:type="pct"/>
            <w:vAlign w:val="center"/>
          </w:tcPr>
          <w:p w14:paraId="76CCC373">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lang w:val="en-US" w:eastAsia="zh-CN"/>
              </w:rPr>
              <w:t>1</w:t>
            </w:r>
          </w:p>
        </w:tc>
        <w:tc>
          <w:tcPr>
            <w:tcW w:w="452" w:type="pct"/>
          </w:tcPr>
          <w:p w14:paraId="2ECAD836">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b w:val="0"/>
                <w:bCs/>
                <w:color w:val="auto"/>
                <w:kern w:val="0"/>
                <w:sz w:val="21"/>
                <w:szCs w:val="22"/>
                <w:highlight w:val="none"/>
                <w:vertAlign w:val="baseline"/>
                <w:lang w:val="en-US" w:eastAsia="zh-CN" w:bidi="ar-SA"/>
              </w:rPr>
              <w:t>90</w:t>
            </w:r>
          </w:p>
        </w:tc>
        <w:tc>
          <w:tcPr>
            <w:tcW w:w="464" w:type="pct"/>
          </w:tcPr>
          <w:p w14:paraId="4C1E0845">
            <w:pPr>
              <w:pStyle w:val="158"/>
              <w:ind w:firstLine="0" w:firstLineChars="0"/>
              <w:rPr>
                <w:rFonts w:hint="default" w:ascii="Times New Roman" w:hAnsi="Times New Roman" w:eastAsia="宋体" w:cs="Times New Roman"/>
                <w:i w:val="0"/>
                <w:iCs w:val="0"/>
                <w:color w:val="auto"/>
                <w:kern w:val="0"/>
                <w:sz w:val="21"/>
                <w:szCs w:val="21"/>
                <w:highlight w:val="none"/>
                <w:lang w:val="en-US" w:eastAsia="zh-CN" w:bidi="ar"/>
              </w:rPr>
            </w:pPr>
            <w:r>
              <w:rPr>
                <w:rFonts w:hint="eastAsia" w:ascii="Times New Roman" w:hAnsi="Times New Roman" w:eastAsia="宋体" w:cs="Times New Roman"/>
                <w:i w:val="0"/>
                <w:iCs w:val="0"/>
                <w:color w:val="auto"/>
                <w:kern w:val="0"/>
                <w:sz w:val="21"/>
                <w:szCs w:val="21"/>
                <w:highlight w:val="none"/>
                <w:lang w:val="en-US" w:eastAsia="zh-CN" w:bidi="ar"/>
              </w:rPr>
              <w:t>38.05</w:t>
            </w:r>
          </w:p>
        </w:tc>
        <w:tc>
          <w:tcPr>
            <w:tcW w:w="348" w:type="pct"/>
          </w:tcPr>
          <w:p w14:paraId="1AC0A80A">
            <w:pPr>
              <w:pStyle w:val="158"/>
              <w:ind w:firstLine="0" w:firstLineChars="0"/>
              <w:rPr>
                <w:rFonts w:hint="default" w:ascii="Times New Roman" w:hAnsi="Times New Roman" w:eastAsia="宋体" w:cs="Times New Roman"/>
                <w:i w:val="0"/>
                <w:iCs w:val="0"/>
                <w:color w:val="auto"/>
                <w:kern w:val="0"/>
                <w:sz w:val="21"/>
                <w:szCs w:val="21"/>
                <w:highlight w:val="none"/>
                <w:lang w:val="en-US" w:eastAsia="zh-CN" w:bidi="ar"/>
              </w:rPr>
            </w:pPr>
            <w:r>
              <w:rPr>
                <w:rFonts w:hint="eastAsia" w:ascii="Times New Roman" w:hAnsi="Times New Roman" w:eastAsia="宋体" w:cs="Times New Roman"/>
                <w:i w:val="0"/>
                <w:iCs w:val="0"/>
                <w:color w:val="auto"/>
                <w:kern w:val="0"/>
                <w:sz w:val="21"/>
                <w:szCs w:val="21"/>
                <w:highlight w:val="none"/>
                <w:lang w:val="en-US" w:eastAsia="zh-CN" w:bidi="ar"/>
              </w:rPr>
              <w:t>-4.32</w:t>
            </w:r>
          </w:p>
        </w:tc>
        <w:tc>
          <w:tcPr>
            <w:tcW w:w="398" w:type="pct"/>
            <w:vAlign w:val="center"/>
          </w:tcPr>
          <w:p w14:paraId="61F753A4">
            <w:pPr>
              <w:keepNext w:val="0"/>
              <w:keepLines w:val="0"/>
              <w:pageBreakBefore w:val="0"/>
              <w:widowControl w:val="0"/>
              <w:kinsoku/>
              <w:bidi w:val="0"/>
              <w:jc w:val="center"/>
              <w:rPr>
                <w:rFonts w:hint="default" w:ascii="Times New Roman" w:hAnsi="Times New Roman" w:eastAsia="宋体" w:cs="Times New Roman"/>
                <w:b w:val="0"/>
                <w:bCs/>
                <w:color w:val="auto"/>
                <w:kern w:val="0"/>
                <w:sz w:val="21"/>
                <w:szCs w:val="22"/>
                <w:highlight w:val="none"/>
                <w:vertAlign w:val="baseline"/>
                <w:lang w:val="en-US" w:eastAsia="zh-CN" w:bidi="ar-SA"/>
              </w:rPr>
            </w:pPr>
            <w:r>
              <w:rPr>
                <w:rFonts w:hint="eastAsia" w:ascii="Times New Roman" w:hAnsi="Times New Roman" w:cs="Times New Roman"/>
                <w:b w:val="0"/>
                <w:bCs/>
                <w:color w:val="auto"/>
                <w:kern w:val="0"/>
                <w:sz w:val="21"/>
                <w:szCs w:val="22"/>
                <w:highlight w:val="none"/>
                <w:vertAlign w:val="baseline"/>
                <w:lang w:val="en-US" w:eastAsia="zh-CN" w:bidi="ar-SA"/>
              </w:rPr>
              <w:t>1.2</w:t>
            </w:r>
          </w:p>
        </w:tc>
        <w:tc>
          <w:tcPr>
            <w:tcW w:w="749" w:type="pct"/>
            <w:vMerge w:val="continue"/>
          </w:tcPr>
          <w:p w14:paraId="5A251BF3">
            <w:pPr>
              <w:pStyle w:val="158"/>
              <w:ind w:firstLine="0" w:firstLineChars="0"/>
              <w:rPr>
                <w:rFonts w:hint="default" w:ascii="Times New Roman" w:hAnsi="Times New Roman" w:eastAsia="宋体" w:cs="Times New Roman"/>
                <w:i w:val="0"/>
                <w:iCs w:val="0"/>
                <w:color w:val="auto"/>
                <w:kern w:val="0"/>
                <w:sz w:val="21"/>
                <w:szCs w:val="21"/>
                <w:highlight w:val="none"/>
                <w:lang w:eastAsia="zh-CN" w:bidi="ar"/>
              </w:rPr>
            </w:pPr>
          </w:p>
        </w:tc>
        <w:tc>
          <w:tcPr>
            <w:tcW w:w="524" w:type="pct"/>
            <w:vMerge w:val="continue"/>
          </w:tcPr>
          <w:p w14:paraId="4F79E42E">
            <w:pPr>
              <w:pStyle w:val="158"/>
              <w:ind w:firstLine="0" w:firstLineChars="0"/>
              <w:rPr>
                <w:rFonts w:hint="default" w:ascii="Times New Roman" w:hAnsi="Times New Roman" w:eastAsia="宋体" w:cs="Times New Roman"/>
                <w:i w:val="0"/>
                <w:iCs w:val="0"/>
                <w:color w:val="auto"/>
                <w:kern w:val="0"/>
                <w:sz w:val="21"/>
                <w:szCs w:val="21"/>
                <w:highlight w:val="none"/>
                <w:lang w:eastAsia="zh-CN" w:bidi="ar"/>
              </w:rPr>
            </w:pPr>
          </w:p>
        </w:tc>
      </w:tr>
      <w:tr w14:paraId="3CFCDC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220" w:type="pct"/>
          </w:tcPr>
          <w:p w14:paraId="2A67EE0A">
            <w:pPr>
              <w:widowControl/>
              <w:spacing w:line="360" w:lineRule="exact"/>
              <w:ind w:firstLine="0" w:firstLineChars="0"/>
              <w:jc w:val="center"/>
              <w:textAlignment w:val="center"/>
              <w:rPr>
                <w:rFonts w:hint="default" w:ascii="Times New Roman" w:hAnsi="Times New Roman" w:eastAsia="宋体" w:cs="Times New Roman"/>
                <w:i w:val="0"/>
                <w:iCs w:val="0"/>
                <w:color w:val="auto"/>
                <w:kern w:val="2"/>
                <w:sz w:val="21"/>
                <w:szCs w:val="21"/>
                <w:highlight w:val="none"/>
                <w:lang w:val="en-US" w:eastAsia="zh-CN" w:bidi="ar-SA"/>
              </w:rPr>
            </w:pPr>
            <w:r>
              <w:rPr>
                <w:rFonts w:hint="eastAsia" w:ascii="Times New Roman" w:hAnsi="Times New Roman" w:eastAsia="宋体" w:cs="Times New Roman"/>
                <w:i w:val="0"/>
                <w:iCs w:val="0"/>
                <w:color w:val="auto"/>
                <w:kern w:val="2"/>
                <w:sz w:val="21"/>
                <w:szCs w:val="21"/>
                <w:highlight w:val="none"/>
                <w:lang w:val="en-US" w:eastAsia="zh-CN" w:bidi="ar-SA"/>
              </w:rPr>
              <w:t>19</w:t>
            </w:r>
          </w:p>
        </w:tc>
        <w:tc>
          <w:tcPr>
            <w:tcW w:w="1373" w:type="pct"/>
            <w:vAlign w:val="center"/>
          </w:tcPr>
          <w:p w14:paraId="16A3F16C">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分子筛脱水橇</w:t>
            </w:r>
          </w:p>
        </w:tc>
        <w:tc>
          <w:tcPr>
            <w:tcW w:w="468" w:type="pct"/>
            <w:vAlign w:val="center"/>
          </w:tcPr>
          <w:p w14:paraId="15D7250E">
            <w:pPr>
              <w:keepNext w:val="0"/>
              <w:keepLines w:val="0"/>
              <w:pageBreakBefore w:val="0"/>
              <w:widowControl w:val="0"/>
              <w:kinsoku w:val="0"/>
              <w:wordWrap/>
              <w:overflowPunct w:val="0"/>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452" w:type="pct"/>
          </w:tcPr>
          <w:p w14:paraId="320A335A">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70</w:t>
            </w:r>
          </w:p>
        </w:tc>
        <w:tc>
          <w:tcPr>
            <w:tcW w:w="464" w:type="pct"/>
          </w:tcPr>
          <w:p w14:paraId="7E35471D">
            <w:pPr>
              <w:pStyle w:val="158"/>
              <w:ind w:firstLine="0" w:firstLineChars="0"/>
              <w:rPr>
                <w:rFonts w:hint="default" w:ascii="Times New Roman" w:hAnsi="Times New Roman" w:eastAsia="宋体" w:cs="Times New Roman"/>
                <w:i w:val="0"/>
                <w:iCs w:val="0"/>
                <w:color w:val="auto"/>
                <w:kern w:val="0"/>
                <w:sz w:val="21"/>
                <w:szCs w:val="21"/>
                <w:highlight w:val="none"/>
                <w:lang w:val="en-US" w:eastAsia="zh-CN" w:bidi="ar"/>
              </w:rPr>
            </w:pPr>
            <w:r>
              <w:rPr>
                <w:rFonts w:hint="eastAsia" w:ascii="Times New Roman" w:hAnsi="Times New Roman" w:eastAsia="宋体" w:cs="Times New Roman"/>
                <w:i w:val="0"/>
                <w:iCs w:val="0"/>
                <w:color w:val="auto"/>
                <w:kern w:val="0"/>
                <w:sz w:val="21"/>
                <w:szCs w:val="21"/>
                <w:highlight w:val="none"/>
                <w:lang w:val="en-US" w:eastAsia="zh-CN" w:bidi="ar"/>
              </w:rPr>
              <w:t>22.02</w:t>
            </w:r>
          </w:p>
        </w:tc>
        <w:tc>
          <w:tcPr>
            <w:tcW w:w="348" w:type="pct"/>
          </w:tcPr>
          <w:p w14:paraId="51E673A0">
            <w:pPr>
              <w:pStyle w:val="158"/>
              <w:ind w:firstLine="0" w:firstLineChars="0"/>
              <w:rPr>
                <w:rFonts w:hint="default" w:ascii="Times New Roman" w:hAnsi="Times New Roman" w:eastAsia="宋体" w:cs="Times New Roman"/>
                <w:i w:val="0"/>
                <w:iCs w:val="0"/>
                <w:color w:val="auto"/>
                <w:kern w:val="0"/>
                <w:sz w:val="21"/>
                <w:szCs w:val="21"/>
                <w:highlight w:val="none"/>
                <w:lang w:val="en-US" w:eastAsia="zh-CN" w:bidi="ar"/>
              </w:rPr>
            </w:pPr>
            <w:r>
              <w:rPr>
                <w:rFonts w:hint="eastAsia" w:ascii="Times New Roman" w:hAnsi="Times New Roman" w:eastAsia="宋体" w:cs="Times New Roman"/>
                <w:i w:val="0"/>
                <w:iCs w:val="0"/>
                <w:color w:val="auto"/>
                <w:kern w:val="0"/>
                <w:sz w:val="21"/>
                <w:szCs w:val="21"/>
                <w:highlight w:val="none"/>
                <w:lang w:val="en-US" w:eastAsia="zh-CN" w:bidi="ar"/>
              </w:rPr>
              <w:t>-1.88</w:t>
            </w:r>
          </w:p>
        </w:tc>
        <w:tc>
          <w:tcPr>
            <w:tcW w:w="398" w:type="pct"/>
            <w:vAlign w:val="center"/>
          </w:tcPr>
          <w:p w14:paraId="6CCE33F1">
            <w:pPr>
              <w:keepNext w:val="0"/>
              <w:keepLines w:val="0"/>
              <w:pageBreakBefore w:val="0"/>
              <w:widowControl w:val="0"/>
              <w:kinsoku/>
              <w:bidi w:val="0"/>
              <w:jc w:val="center"/>
              <w:rPr>
                <w:rFonts w:hint="default" w:ascii="Times New Roman" w:hAnsi="Times New Roman" w:eastAsia="宋体" w:cs="Times New Roman"/>
                <w:b w:val="0"/>
                <w:bCs/>
                <w:color w:val="auto"/>
                <w:kern w:val="0"/>
                <w:sz w:val="21"/>
                <w:szCs w:val="22"/>
                <w:highlight w:val="none"/>
                <w:vertAlign w:val="baseline"/>
                <w:lang w:val="en-US" w:eastAsia="zh-CN" w:bidi="ar-SA"/>
              </w:rPr>
            </w:pPr>
            <w:r>
              <w:rPr>
                <w:rFonts w:hint="eastAsia" w:ascii="Times New Roman" w:hAnsi="Times New Roman" w:cs="Times New Roman"/>
                <w:b w:val="0"/>
                <w:bCs/>
                <w:color w:val="auto"/>
                <w:kern w:val="0"/>
                <w:sz w:val="21"/>
                <w:szCs w:val="22"/>
                <w:highlight w:val="none"/>
                <w:vertAlign w:val="baseline"/>
                <w:lang w:val="en-US" w:eastAsia="zh-CN" w:bidi="ar-SA"/>
              </w:rPr>
              <w:t>1.2</w:t>
            </w:r>
          </w:p>
        </w:tc>
        <w:tc>
          <w:tcPr>
            <w:tcW w:w="749" w:type="pct"/>
            <w:vMerge w:val="continue"/>
          </w:tcPr>
          <w:p w14:paraId="3B264B19">
            <w:pPr>
              <w:pStyle w:val="158"/>
              <w:ind w:firstLine="0" w:firstLineChars="0"/>
              <w:rPr>
                <w:rFonts w:hint="default" w:ascii="Times New Roman" w:hAnsi="Times New Roman" w:eastAsia="宋体" w:cs="Times New Roman"/>
                <w:i w:val="0"/>
                <w:iCs w:val="0"/>
                <w:color w:val="auto"/>
                <w:kern w:val="0"/>
                <w:sz w:val="21"/>
                <w:szCs w:val="21"/>
                <w:highlight w:val="none"/>
                <w:lang w:eastAsia="zh-CN" w:bidi="ar"/>
              </w:rPr>
            </w:pPr>
          </w:p>
        </w:tc>
        <w:tc>
          <w:tcPr>
            <w:tcW w:w="524" w:type="pct"/>
            <w:vMerge w:val="continue"/>
          </w:tcPr>
          <w:p w14:paraId="716AFC3F">
            <w:pPr>
              <w:pStyle w:val="158"/>
              <w:ind w:firstLine="0" w:firstLineChars="0"/>
              <w:rPr>
                <w:rFonts w:hint="default" w:ascii="Times New Roman" w:hAnsi="Times New Roman" w:eastAsia="宋体" w:cs="Times New Roman"/>
                <w:i w:val="0"/>
                <w:iCs w:val="0"/>
                <w:color w:val="auto"/>
                <w:kern w:val="0"/>
                <w:sz w:val="21"/>
                <w:szCs w:val="21"/>
                <w:highlight w:val="none"/>
                <w:lang w:eastAsia="zh-CN" w:bidi="ar"/>
              </w:rPr>
            </w:pPr>
          </w:p>
        </w:tc>
      </w:tr>
    </w:tbl>
    <w:p w14:paraId="10CDD3C0">
      <w:pPr>
        <w:rPr>
          <w:color w:val="auto"/>
        </w:rPr>
      </w:pPr>
      <w:r>
        <w:rPr>
          <w:rFonts w:hint="eastAsia"/>
          <w:color w:val="auto"/>
        </w:rPr>
        <w:t>注：①</w:t>
      </w:r>
      <w:r>
        <w:rPr>
          <w:rFonts w:hint="eastAsia"/>
          <w:color w:val="auto"/>
          <w:lang w:val="en-US" w:eastAsia="zh-CN"/>
        </w:rPr>
        <w:t>雄探1试采点</w:t>
      </w:r>
      <w:r>
        <w:rPr>
          <w:rFonts w:hint="eastAsia"/>
          <w:color w:val="auto"/>
        </w:rPr>
        <w:t>坐标原点设在站场中心处，正东向为X轴正方向，正北向为Y轴正方向。②1~</w:t>
      </w:r>
      <w:r>
        <w:rPr>
          <w:rFonts w:hint="eastAsia"/>
          <w:color w:val="auto"/>
          <w:lang w:val="en-US" w:eastAsia="zh-CN"/>
        </w:rPr>
        <w:t>10</w:t>
      </w:r>
      <w:r>
        <w:rPr>
          <w:rFonts w:hint="eastAsia"/>
          <w:color w:val="auto"/>
        </w:rPr>
        <w:t>为本次新增设备，</w:t>
      </w:r>
      <w:r>
        <w:rPr>
          <w:rFonts w:hint="eastAsia"/>
          <w:color w:val="auto"/>
          <w:lang w:val="en-US" w:eastAsia="zh-CN"/>
        </w:rPr>
        <w:t>11</w:t>
      </w:r>
      <w:r>
        <w:rPr>
          <w:rFonts w:hint="eastAsia"/>
          <w:color w:val="auto"/>
        </w:rPr>
        <w:t>~</w:t>
      </w:r>
      <w:r>
        <w:rPr>
          <w:rFonts w:hint="eastAsia"/>
          <w:color w:val="auto"/>
          <w:lang w:val="en-US" w:eastAsia="zh-CN"/>
        </w:rPr>
        <w:t>19</w:t>
      </w:r>
      <w:r>
        <w:rPr>
          <w:rFonts w:hint="eastAsia"/>
          <w:color w:val="auto"/>
        </w:rPr>
        <w:t>为</w:t>
      </w:r>
      <w:r>
        <w:rPr>
          <w:rFonts w:hint="eastAsia"/>
          <w:color w:val="auto"/>
          <w:lang w:val="en-US" w:eastAsia="zh-CN"/>
        </w:rPr>
        <w:t>雄探1试采点现有</w:t>
      </w:r>
      <w:r>
        <w:rPr>
          <w:rFonts w:hint="eastAsia"/>
          <w:color w:val="auto"/>
        </w:rPr>
        <w:t>设备。</w:t>
      </w:r>
    </w:p>
    <w:p w14:paraId="5DEFF558">
      <w:pPr>
        <w:pStyle w:val="79"/>
        <w:bidi w:val="0"/>
        <w:rPr>
          <w:rFonts w:hint="default"/>
          <w:color w:val="auto"/>
        </w:rPr>
      </w:pPr>
      <w:r>
        <w:rPr>
          <w:rFonts w:hint="default"/>
          <w:color w:val="auto"/>
        </w:rPr>
        <w:t>（三）预测结果及评价</w:t>
      </w:r>
    </w:p>
    <w:p w14:paraId="391E975E">
      <w:pPr>
        <w:pStyle w:val="79"/>
        <w:bidi w:val="0"/>
        <w:rPr>
          <w:rFonts w:hint="default"/>
          <w:color w:val="auto"/>
        </w:rPr>
      </w:pPr>
      <w:r>
        <w:rPr>
          <w:rFonts w:hint="default"/>
          <w:color w:val="auto"/>
        </w:rPr>
        <w:t>按照噪声预测模式，结合噪声源到各预测点距离，通过计算，本项目</w:t>
      </w:r>
      <w:r>
        <w:rPr>
          <w:rFonts w:hint="eastAsia"/>
          <w:color w:val="auto"/>
          <w:lang w:val="en-US" w:eastAsia="zh-CN"/>
        </w:rPr>
        <w:t>井场噪声预测结果</w:t>
      </w:r>
      <w:r>
        <w:rPr>
          <w:rFonts w:hint="default"/>
          <w:color w:val="auto"/>
        </w:rPr>
        <w:t>值见表5.</w:t>
      </w:r>
      <w:r>
        <w:rPr>
          <w:rFonts w:hint="eastAsia"/>
          <w:color w:val="auto"/>
          <w:lang w:val="en-US" w:eastAsia="zh-CN"/>
        </w:rPr>
        <w:t>5</w:t>
      </w:r>
      <w:r>
        <w:rPr>
          <w:rFonts w:hint="default"/>
          <w:color w:val="auto"/>
        </w:rPr>
        <w:t>-</w:t>
      </w:r>
      <w:r>
        <w:rPr>
          <w:rFonts w:hint="eastAsia"/>
          <w:color w:val="auto"/>
          <w:lang w:val="en-US" w:eastAsia="zh-CN"/>
        </w:rPr>
        <w:t>5</w:t>
      </w:r>
      <w:r>
        <w:rPr>
          <w:rFonts w:hint="default"/>
          <w:color w:val="auto"/>
        </w:rPr>
        <w:t>。</w:t>
      </w:r>
    </w:p>
    <w:p w14:paraId="5CEC9040">
      <w:pPr>
        <w:pStyle w:val="61"/>
        <w:bidi w:val="0"/>
        <w:jc w:val="both"/>
        <w:rPr>
          <w:rFonts w:hint="eastAsia"/>
          <w:color w:val="auto"/>
          <w:lang w:val="en-US" w:eastAsia="zh-CN"/>
        </w:rPr>
      </w:pPr>
      <w:r>
        <w:rPr>
          <w:rFonts w:hint="eastAsia"/>
          <w:color w:val="auto"/>
          <w:lang w:val="en-US" w:eastAsia="zh-CN"/>
        </w:rPr>
        <w:t>表5.5-5  井场噪声预测结果一览表   单位：dB(A)</w:t>
      </w:r>
    </w:p>
    <w:tbl>
      <w:tblPr>
        <w:tblStyle w:val="36"/>
        <w:tblW w:w="503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468"/>
        <w:gridCol w:w="1468"/>
        <w:gridCol w:w="2022"/>
        <w:gridCol w:w="1858"/>
        <w:gridCol w:w="751"/>
        <w:gridCol w:w="1168"/>
      </w:tblGrid>
      <w:tr w14:paraId="3E133D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70" w:hRule="atLeast"/>
          <w:jc w:val="center"/>
        </w:trPr>
        <w:tc>
          <w:tcPr>
            <w:tcW w:w="840" w:type="pct"/>
            <w:tcBorders>
              <w:tl2br w:val="nil"/>
              <w:tr2bl w:val="nil"/>
            </w:tcBorders>
            <w:noWrap w:val="0"/>
            <w:vAlign w:val="center"/>
          </w:tcPr>
          <w:p w14:paraId="7C069555">
            <w:pPr>
              <w:spacing w:line="240" w:lineRule="exact"/>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场地</w:t>
            </w:r>
          </w:p>
        </w:tc>
        <w:tc>
          <w:tcPr>
            <w:tcW w:w="840" w:type="pct"/>
            <w:tcBorders>
              <w:tl2br w:val="nil"/>
              <w:tr2bl w:val="nil"/>
            </w:tcBorders>
            <w:noWrap w:val="0"/>
            <w:vAlign w:val="center"/>
          </w:tcPr>
          <w:p w14:paraId="4129A0B6">
            <w:pPr>
              <w:spacing w:line="240" w:lineRule="exact"/>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场界</w:t>
            </w:r>
          </w:p>
        </w:tc>
        <w:tc>
          <w:tcPr>
            <w:tcW w:w="1157" w:type="pct"/>
            <w:tcBorders>
              <w:tl2br w:val="nil"/>
              <w:tr2bl w:val="nil"/>
            </w:tcBorders>
            <w:noWrap w:val="0"/>
            <w:vAlign w:val="center"/>
          </w:tcPr>
          <w:p w14:paraId="1544E2BA">
            <w:pPr>
              <w:spacing w:line="240" w:lineRule="exact"/>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贡献值</w:t>
            </w:r>
          </w:p>
        </w:tc>
        <w:tc>
          <w:tcPr>
            <w:tcW w:w="1493" w:type="pct"/>
            <w:gridSpan w:val="2"/>
            <w:tcBorders>
              <w:tl2br w:val="nil"/>
              <w:tr2bl w:val="nil"/>
            </w:tcBorders>
            <w:noWrap w:val="0"/>
            <w:vAlign w:val="center"/>
          </w:tcPr>
          <w:p w14:paraId="54B04F1B">
            <w:pPr>
              <w:spacing w:line="240" w:lineRule="exact"/>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标准值</w:t>
            </w:r>
          </w:p>
        </w:tc>
        <w:tc>
          <w:tcPr>
            <w:tcW w:w="668" w:type="pct"/>
            <w:tcBorders>
              <w:tl2br w:val="nil"/>
              <w:tr2bl w:val="nil"/>
            </w:tcBorders>
            <w:noWrap w:val="0"/>
            <w:vAlign w:val="center"/>
          </w:tcPr>
          <w:p w14:paraId="56CA3819">
            <w:pPr>
              <w:spacing w:line="240" w:lineRule="exact"/>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结论</w:t>
            </w:r>
          </w:p>
        </w:tc>
      </w:tr>
      <w:tr w14:paraId="3E974D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25" w:hRule="atLeast"/>
          <w:jc w:val="center"/>
        </w:trPr>
        <w:tc>
          <w:tcPr>
            <w:tcW w:w="840" w:type="pct"/>
            <w:vMerge w:val="restart"/>
            <w:tcBorders>
              <w:tl2br w:val="nil"/>
              <w:tr2bl w:val="nil"/>
            </w:tcBorders>
            <w:noWrap w:val="0"/>
            <w:vAlign w:val="center"/>
          </w:tcPr>
          <w:p w14:paraId="4A81BD75">
            <w:pPr>
              <w:spacing w:line="240" w:lineRule="exact"/>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雄探1井</w:t>
            </w:r>
            <w:r>
              <w:rPr>
                <w:rFonts w:hint="eastAsia" w:ascii="Times New Roman" w:hAnsi="Times New Roman" w:cs="Times New Roman"/>
                <w:color w:val="auto"/>
                <w:sz w:val="21"/>
                <w:szCs w:val="21"/>
                <w:highlight w:val="none"/>
              </w:rPr>
              <w:t>井场采</w:t>
            </w:r>
            <w:r>
              <w:rPr>
                <w:rFonts w:hint="eastAsia" w:cs="Times New Roman"/>
                <w:color w:val="auto"/>
                <w:sz w:val="21"/>
                <w:szCs w:val="21"/>
                <w:highlight w:val="none"/>
                <w:lang w:val="en-US" w:eastAsia="zh-CN"/>
              </w:rPr>
              <w:t>油</w:t>
            </w:r>
            <w:r>
              <w:rPr>
                <w:rFonts w:hint="eastAsia" w:ascii="Times New Roman" w:hAnsi="Times New Roman" w:cs="Times New Roman"/>
                <w:color w:val="auto"/>
                <w:sz w:val="21"/>
                <w:szCs w:val="21"/>
                <w:highlight w:val="none"/>
              </w:rPr>
              <w:t>树</w:t>
            </w:r>
          </w:p>
        </w:tc>
        <w:tc>
          <w:tcPr>
            <w:tcW w:w="840" w:type="pct"/>
            <w:vMerge w:val="restart"/>
            <w:tcBorders>
              <w:tl2br w:val="nil"/>
              <w:tr2bl w:val="nil"/>
            </w:tcBorders>
            <w:noWrap w:val="0"/>
            <w:vAlign w:val="center"/>
          </w:tcPr>
          <w:p w14:paraId="0049BAFE">
            <w:pPr>
              <w:spacing w:line="240" w:lineRule="exact"/>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东场界</w:t>
            </w:r>
          </w:p>
        </w:tc>
        <w:tc>
          <w:tcPr>
            <w:tcW w:w="1157" w:type="pct"/>
            <w:vMerge w:val="restart"/>
            <w:tcBorders>
              <w:tl2br w:val="nil"/>
              <w:tr2bl w:val="nil"/>
            </w:tcBorders>
            <w:noWrap w:val="0"/>
            <w:vAlign w:val="center"/>
          </w:tcPr>
          <w:p w14:paraId="2B398A5D">
            <w:pPr>
              <w:spacing w:line="240" w:lineRule="exact"/>
              <w:jc w:val="center"/>
              <w:rPr>
                <w:rFonts w:hint="eastAsia"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w:t>
            </w:r>
            <w:r>
              <w:rPr>
                <w:rFonts w:hint="eastAsia" w:cs="Times New Roman"/>
                <w:color w:val="auto"/>
                <w:sz w:val="21"/>
                <w:szCs w:val="21"/>
                <w:highlight w:val="none"/>
              </w:rPr>
              <w:t>8</w:t>
            </w:r>
            <w:r>
              <w:rPr>
                <w:rFonts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rPr>
              <w:t>1</w:t>
            </w:r>
          </w:p>
        </w:tc>
        <w:tc>
          <w:tcPr>
            <w:tcW w:w="1063" w:type="pct"/>
            <w:tcBorders>
              <w:tl2br w:val="nil"/>
              <w:tr2bl w:val="nil"/>
            </w:tcBorders>
            <w:noWrap w:val="0"/>
            <w:vAlign w:val="center"/>
          </w:tcPr>
          <w:p w14:paraId="1A60B65A">
            <w:pPr>
              <w:spacing w:line="240" w:lineRule="exact"/>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昼间</w:t>
            </w:r>
          </w:p>
        </w:tc>
        <w:tc>
          <w:tcPr>
            <w:tcW w:w="429" w:type="pct"/>
            <w:tcBorders>
              <w:tl2br w:val="nil"/>
              <w:tr2bl w:val="nil"/>
            </w:tcBorders>
            <w:noWrap w:val="0"/>
            <w:vAlign w:val="center"/>
          </w:tcPr>
          <w:p w14:paraId="32F09246">
            <w:pPr>
              <w:spacing w:line="240" w:lineRule="exact"/>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60</w:t>
            </w:r>
          </w:p>
        </w:tc>
        <w:tc>
          <w:tcPr>
            <w:tcW w:w="668" w:type="pct"/>
            <w:tcBorders>
              <w:tl2br w:val="nil"/>
              <w:tr2bl w:val="nil"/>
            </w:tcBorders>
            <w:noWrap w:val="0"/>
            <w:vAlign w:val="center"/>
          </w:tcPr>
          <w:p w14:paraId="5FEAB108">
            <w:pPr>
              <w:spacing w:line="240" w:lineRule="exact"/>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达标</w:t>
            </w:r>
          </w:p>
        </w:tc>
      </w:tr>
      <w:tr w14:paraId="7132EB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840" w:type="pct"/>
            <w:vMerge w:val="continue"/>
            <w:tcBorders>
              <w:tl2br w:val="nil"/>
              <w:tr2bl w:val="nil"/>
            </w:tcBorders>
            <w:noWrap w:val="0"/>
            <w:vAlign w:val="center"/>
          </w:tcPr>
          <w:p w14:paraId="7E2C84FC">
            <w:pPr>
              <w:spacing w:line="240" w:lineRule="exact"/>
              <w:rPr>
                <w:rFonts w:ascii="Times New Roman" w:hAnsi="Times New Roman" w:cs="Times New Roman"/>
                <w:color w:val="auto"/>
                <w:sz w:val="21"/>
                <w:szCs w:val="21"/>
                <w:highlight w:val="none"/>
              </w:rPr>
            </w:pPr>
          </w:p>
        </w:tc>
        <w:tc>
          <w:tcPr>
            <w:tcW w:w="840" w:type="pct"/>
            <w:vMerge w:val="continue"/>
            <w:tcBorders>
              <w:tl2br w:val="nil"/>
              <w:tr2bl w:val="nil"/>
            </w:tcBorders>
            <w:noWrap w:val="0"/>
            <w:vAlign w:val="center"/>
          </w:tcPr>
          <w:p w14:paraId="692F73C6">
            <w:pPr>
              <w:spacing w:line="240" w:lineRule="exact"/>
              <w:rPr>
                <w:rFonts w:ascii="Times New Roman" w:hAnsi="Times New Roman" w:cs="Times New Roman"/>
                <w:color w:val="auto"/>
                <w:sz w:val="21"/>
                <w:szCs w:val="21"/>
                <w:highlight w:val="none"/>
              </w:rPr>
            </w:pPr>
          </w:p>
        </w:tc>
        <w:tc>
          <w:tcPr>
            <w:tcW w:w="1157" w:type="pct"/>
            <w:vMerge w:val="continue"/>
            <w:tcBorders>
              <w:tl2br w:val="nil"/>
              <w:tr2bl w:val="nil"/>
            </w:tcBorders>
            <w:noWrap w:val="0"/>
            <w:vAlign w:val="center"/>
          </w:tcPr>
          <w:p w14:paraId="07D341BE">
            <w:pPr>
              <w:spacing w:line="240" w:lineRule="exact"/>
              <w:jc w:val="center"/>
              <w:rPr>
                <w:rFonts w:ascii="Times New Roman" w:hAnsi="Times New Roman" w:cs="Times New Roman"/>
                <w:color w:val="auto"/>
                <w:sz w:val="21"/>
                <w:szCs w:val="21"/>
                <w:highlight w:val="none"/>
              </w:rPr>
            </w:pPr>
          </w:p>
        </w:tc>
        <w:tc>
          <w:tcPr>
            <w:tcW w:w="1063" w:type="pct"/>
            <w:tcBorders>
              <w:tl2br w:val="nil"/>
              <w:tr2bl w:val="nil"/>
            </w:tcBorders>
            <w:noWrap w:val="0"/>
            <w:vAlign w:val="center"/>
          </w:tcPr>
          <w:p w14:paraId="2A340B44">
            <w:pPr>
              <w:spacing w:line="240" w:lineRule="exact"/>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夜间</w:t>
            </w:r>
          </w:p>
        </w:tc>
        <w:tc>
          <w:tcPr>
            <w:tcW w:w="429" w:type="pct"/>
            <w:tcBorders>
              <w:tl2br w:val="nil"/>
              <w:tr2bl w:val="nil"/>
            </w:tcBorders>
            <w:noWrap w:val="0"/>
            <w:vAlign w:val="center"/>
          </w:tcPr>
          <w:p w14:paraId="497938F6">
            <w:pPr>
              <w:spacing w:line="240" w:lineRule="exact"/>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50</w:t>
            </w:r>
          </w:p>
        </w:tc>
        <w:tc>
          <w:tcPr>
            <w:tcW w:w="668" w:type="pct"/>
            <w:tcBorders>
              <w:tl2br w:val="nil"/>
              <w:tr2bl w:val="nil"/>
            </w:tcBorders>
            <w:noWrap w:val="0"/>
            <w:vAlign w:val="center"/>
          </w:tcPr>
          <w:p w14:paraId="4A7BA6DA">
            <w:pPr>
              <w:spacing w:line="240" w:lineRule="exact"/>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达标</w:t>
            </w:r>
          </w:p>
        </w:tc>
      </w:tr>
      <w:tr w14:paraId="6BD8DB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840" w:type="pct"/>
            <w:vMerge w:val="continue"/>
            <w:tcBorders>
              <w:tl2br w:val="nil"/>
              <w:tr2bl w:val="nil"/>
            </w:tcBorders>
            <w:noWrap w:val="0"/>
            <w:vAlign w:val="center"/>
          </w:tcPr>
          <w:p w14:paraId="743BF410">
            <w:pPr>
              <w:spacing w:line="240" w:lineRule="exact"/>
              <w:jc w:val="center"/>
              <w:rPr>
                <w:rFonts w:ascii="Times New Roman" w:hAnsi="Times New Roman" w:cs="Times New Roman"/>
                <w:color w:val="auto"/>
                <w:sz w:val="21"/>
                <w:szCs w:val="21"/>
                <w:highlight w:val="none"/>
              </w:rPr>
            </w:pPr>
          </w:p>
        </w:tc>
        <w:tc>
          <w:tcPr>
            <w:tcW w:w="840" w:type="pct"/>
            <w:vMerge w:val="restart"/>
            <w:tcBorders>
              <w:tl2br w:val="nil"/>
              <w:tr2bl w:val="nil"/>
            </w:tcBorders>
            <w:noWrap w:val="0"/>
            <w:vAlign w:val="center"/>
          </w:tcPr>
          <w:p w14:paraId="17C3F59F">
            <w:pPr>
              <w:spacing w:line="240" w:lineRule="exact"/>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南场界</w:t>
            </w:r>
          </w:p>
        </w:tc>
        <w:tc>
          <w:tcPr>
            <w:tcW w:w="1157" w:type="pct"/>
            <w:vMerge w:val="restart"/>
            <w:tcBorders>
              <w:tl2br w:val="nil"/>
              <w:tr2bl w:val="nil"/>
            </w:tcBorders>
            <w:noWrap w:val="0"/>
            <w:vAlign w:val="center"/>
          </w:tcPr>
          <w:p w14:paraId="0792845A">
            <w:pPr>
              <w:spacing w:line="240" w:lineRule="exact"/>
              <w:jc w:val="center"/>
              <w:rPr>
                <w:rFonts w:hint="eastAsia"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w:t>
            </w:r>
            <w:r>
              <w:rPr>
                <w:rFonts w:hint="eastAsia" w:cs="Times New Roman"/>
                <w:color w:val="auto"/>
                <w:sz w:val="21"/>
                <w:szCs w:val="21"/>
                <w:highlight w:val="none"/>
              </w:rPr>
              <w:t>7</w:t>
            </w:r>
            <w:r>
              <w:rPr>
                <w:rFonts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rPr>
              <w:t>5</w:t>
            </w:r>
          </w:p>
        </w:tc>
        <w:tc>
          <w:tcPr>
            <w:tcW w:w="1063" w:type="pct"/>
            <w:tcBorders>
              <w:tl2br w:val="nil"/>
              <w:tr2bl w:val="nil"/>
            </w:tcBorders>
            <w:noWrap w:val="0"/>
            <w:vAlign w:val="center"/>
          </w:tcPr>
          <w:p w14:paraId="55CC6399">
            <w:pPr>
              <w:spacing w:line="240" w:lineRule="exact"/>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昼间</w:t>
            </w:r>
          </w:p>
        </w:tc>
        <w:tc>
          <w:tcPr>
            <w:tcW w:w="429" w:type="pct"/>
            <w:tcBorders>
              <w:tl2br w:val="nil"/>
              <w:tr2bl w:val="nil"/>
            </w:tcBorders>
            <w:noWrap w:val="0"/>
            <w:vAlign w:val="center"/>
          </w:tcPr>
          <w:p w14:paraId="0D9981DB">
            <w:pPr>
              <w:spacing w:line="240" w:lineRule="exact"/>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60</w:t>
            </w:r>
          </w:p>
        </w:tc>
        <w:tc>
          <w:tcPr>
            <w:tcW w:w="668" w:type="pct"/>
            <w:tcBorders>
              <w:tl2br w:val="nil"/>
              <w:tr2bl w:val="nil"/>
            </w:tcBorders>
            <w:noWrap w:val="0"/>
            <w:vAlign w:val="center"/>
          </w:tcPr>
          <w:p w14:paraId="2A1A18A9">
            <w:pPr>
              <w:spacing w:line="240" w:lineRule="exact"/>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达标</w:t>
            </w:r>
          </w:p>
        </w:tc>
      </w:tr>
      <w:tr w14:paraId="026BA4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10" w:hRule="atLeast"/>
          <w:jc w:val="center"/>
        </w:trPr>
        <w:tc>
          <w:tcPr>
            <w:tcW w:w="840" w:type="pct"/>
            <w:vMerge w:val="continue"/>
            <w:tcBorders>
              <w:tl2br w:val="nil"/>
              <w:tr2bl w:val="nil"/>
            </w:tcBorders>
            <w:noWrap w:val="0"/>
            <w:vAlign w:val="center"/>
          </w:tcPr>
          <w:p w14:paraId="1458B78A">
            <w:pPr>
              <w:spacing w:line="240" w:lineRule="exact"/>
              <w:rPr>
                <w:rFonts w:ascii="Times New Roman" w:hAnsi="Times New Roman" w:cs="Times New Roman"/>
                <w:color w:val="auto"/>
                <w:sz w:val="21"/>
                <w:szCs w:val="21"/>
                <w:highlight w:val="none"/>
              </w:rPr>
            </w:pPr>
          </w:p>
        </w:tc>
        <w:tc>
          <w:tcPr>
            <w:tcW w:w="840" w:type="pct"/>
            <w:vMerge w:val="continue"/>
            <w:tcBorders>
              <w:tl2br w:val="nil"/>
              <w:tr2bl w:val="nil"/>
            </w:tcBorders>
            <w:noWrap w:val="0"/>
            <w:vAlign w:val="center"/>
          </w:tcPr>
          <w:p w14:paraId="2D904EA1">
            <w:pPr>
              <w:spacing w:line="240" w:lineRule="exact"/>
              <w:rPr>
                <w:rFonts w:ascii="Times New Roman" w:hAnsi="Times New Roman" w:cs="Times New Roman"/>
                <w:color w:val="auto"/>
                <w:sz w:val="21"/>
                <w:szCs w:val="21"/>
                <w:highlight w:val="none"/>
              </w:rPr>
            </w:pPr>
          </w:p>
        </w:tc>
        <w:tc>
          <w:tcPr>
            <w:tcW w:w="1157" w:type="pct"/>
            <w:vMerge w:val="continue"/>
            <w:tcBorders>
              <w:tl2br w:val="nil"/>
              <w:tr2bl w:val="nil"/>
            </w:tcBorders>
            <w:noWrap w:val="0"/>
            <w:vAlign w:val="center"/>
          </w:tcPr>
          <w:p w14:paraId="2A95C3F2">
            <w:pPr>
              <w:spacing w:line="240" w:lineRule="exact"/>
              <w:jc w:val="center"/>
              <w:rPr>
                <w:rFonts w:ascii="Times New Roman" w:hAnsi="Times New Roman" w:cs="Times New Roman"/>
                <w:color w:val="auto"/>
                <w:sz w:val="21"/>
                <w:szCs w:val="21"/>
                <w:highlight w:val="none"/>
              </w:rPr>
            </w:pPr>
          </w:p>
        </w:tc>
        <w:tc>
          <w:tcPr>
            <w:tcW w:w="1063" w:type="pct"/>
            <w:tcBorders>
              <w:tl2br w:val="nil"/>
              <w:tr2bl w:val="nil"/>
            </w:tcBorders>
            <w:noWrap w:val="0"/>
            <w:vAlign w:val="center"/>
          </w:tcPr>
          <w:p w14:paraId="29413941">
            <w:pPr>
              <w:spacing w:line="240" w:lineRule="exact"/>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夜间</w:t>
            </w:r>
          </w:p>
        </w:tc>
        <w:tc>
          <w:tcPr>
            <w:tcW w:w="429" w:type="pct"/>
            <w:tcBorders>
              <w:tl2br w:val="nil"/>
              <w:tr2bl w:val="nil"/>
            </w:tcBorders>
            <w:noWrap w:val="0"/>
            <w:vAlign w:val="center"/>
          </w:tcPr>
          <w:p w14:paraId="78A76EEA">
            <w:pPr>
              <w:spacing w:line="240" w:lineRule="exact"/>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50</w:t>
            </w:r>
          </w:p>
        </w:tc>
        <w:tc>
          <w:tcPr>
            <w:tcW w:w="668" w:type="pct"/>
            <w:tcBorders>
              <w:tl2br w:val="nil"/>
              <w:tr2bl w:val="nil"/>
            </w:tcBorders>
            <w:noWrap w:val="0"/>
            <w:vAlign w:val="center"/>
          </w:tcPr>
          <w:p w14:paraId="2C157BF4">
            <w:pPr>
              <w:spacing w:line="240" w:lineRule="exact"/>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达标</w:t>
            </w:r>
          </w:p>
        </w:tc>
      </w:tr>
      <w:tr w14:paraId="2E0167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10" w:hRule="atLeast"/>
          <w:jc w:val="center"/>
        </w:trPr>
        <w:tc>
          <w:tcPr>
            <w:tcW w:w="840" w:type="pct"/>
            <w:vMerge w:val="continue"/>
            <w:tcBorders>
              <w:tl2br w:val="nil"/>
              <w:tr2bl w:val="nil"/>
            </w:tcBorders>
            <w:noWrap w:val="0"/>
            <w:vAlign w:val="center"/>
          </w:tcPr>
          <w:p w14:paraId="746B9F04">
            <w:pPr>
              <w:spacing w:line="240" w:lineRule="exact"/>
              <w:jc w:val="center"/>
              <w:rPr>
                <w:rFonts w:ascii="Times New Roman" w:hAnsi="Times New Roman" w:cs="Times New Roman"/>
                <w:color w:val="auto"/>
                <w:sz w:val="21"/>
                <w:szCs w:val="21"/>
                <w:highlight w:val="none"/>
              </w:rPr>
            </w:pPr>
          </w:p>
        </w:tc>
        <w:tc>
          <w:tcPr>
            <w:tcW w:w="840" w:type="pct"/>
            <w:vMerge w:val="restart"/>
            <w:tcBorders>
              <w:tl2br w:val="nil"/>
              <w:tr2bl w:val="nil"/>
            </w:tcBorders>
            <w:noWrap w:val="0"/>
            <w:vAlign w:val="center"/>
          </w:tcPr>
          <w:p w14:paraId="4DFA9732">
            <w:pPr>
              <w:spacing w:line="240" w:lineRule="exact"/>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西场界</w:t>
            </w:r>
          </w:p>
        </w:tc>
        <w:tc>
          <w:tcPr>
            <w:tcW w:w="1157" w:type="pct"/>
            <w:vMerge w:val="restart"/>
            <w:tcBorders>
              <w:tl2br w:val="nil"/>
              <w:tr2bl w:val="nil"/>
            </w:tcBorders>
            <w:noWrap w:val="0"/>
            <w:vAlign w:val="center"/>
          </w:tcPr>
          <w:p w14:paraId="1592DD21">
            <w:pPr>
              <w:spacing w:line="240" w:lineRule="exact"/>
              <w:jc w:val="center"/>
              <w:rPr>
                <w:rFonts w:hint="eastAsia" w:ascii="Times New Roman" w:hAnsi="Times New Roman" w:cs="Times New Roman"/>
                <w:color w:val="auto"/>
                <w:sz w:val="21"/>
                <w:szCs w:val="21"/>
                <w:highlight w:val="none"/>
              </w:rPr>
            </w:pPr>
            <w:r>
              <w:rPr>
                <w:rFonts w:hint="eastAsia" w:cs="Times New Roman"/>
                <w:color w:val="auto"/>
                <w:sz w:val="21"/>
                <w:szCs w:val="21"/>
                <w:highlight w:val="none"/>
              </w:rPr>
              <w:t>44</w:t>
            </w:r>
            <w:r>
              <w:rPr>
                <w:rFonts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rPr>
              <w:t>7</w:t>
            </w:r>
          </w:p>
        </w:tc>
        <w:tc>
          <w:tcPr>
            <w:tcW w:w="1063" w:type="pct"/>
            <w:tcBorders>
              <w:tl2br w:val="nil"/>
              <w:tr2bl w:val="nil"/>
            </w:tcBorders>
            <w:noWrap w:val="0"/>
            <w:vAlign w:val="center"/>
          </w:tcPr>
          <w:p w14:paraId="315656D8">
            <w:pPr>
              <w:spacing w:line="240" w:lineRule="exact"/>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昼间</w:t>
            </w:r>
          </w:p>
        </w:tc>
        <w:tc>
          <w:tcPr>
            <w:tcW w:w="429" w:type="pct"/>
            <w:tcBorders>
              <w:tl2br w:val="nil"/>
              <w:tr2bl w:val="nil"/>
            </w:tcBorders>
            <w:noWrap w:val="0"/>
            <w:vAlign w:val="center"/>
          </w:tcPr>
          <w:p w14:paraId="55957E6F">
            <w:pPr>
              <w:spacing w:line="240" w:lineRule="exact"/>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60</w:t>
            </w:r>
          </w:p>
        </w:tc>
        <w:tc>
          <w:tcPr>
            <w:tcW w:w="668" w:type="pct"/>
            <w:tcBorders>
              <w:tl2br w:val="nil"/>
              <w:tr2bl w:val="nil"/>
            </w:tcBorders>
            <w:noWrap w:val="0"/>
            <w:vAlign w:val="center"/>
          </w:tcPr>
          <w:p w14:paraId="3DBD260A">
            <w:pPr>
              <w:spacing w:line="240" w:lineRule="exact"/>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达标</w:t>
            </w:r>
          </w:p>
        </w:tc>
      </w:tr>
      <w:tr w14:paraId="278B30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0" w:hRule="atLeast"/>
          <w:jc w:val="center"/>
        </w:trPr>
        <w:tc>
          <w:tcPr>
            <w:tcW w:w="840" w:type="pct"/>
            <w:vMerge w:val="continue"/>
            <w:tcBorders>
              <w:tl2br w:val="nil"/>
              <w:tr2bl w:val="nil"/>
            </w:tcBorders>
            <w:noWrap w:val="0"/>
            <w:vAlign w:val="center"/>
          </w:tcPr>
          <w:p w14:paraId="69FCA111">
            <w:pPr>
              <w:spacing w:line="240" w:lineRule="exact"/>
              <w:rPr>
                <w:rFonts w:ascii="Times New Roman" w:hAnsi="Times New Roman" w:cs="Times New Roman"/>
                <w:color w:val="auto"/>
                <w:sz w:val="21"/>
                <w:szCs w:val="21"/>
                <w:highlight w:val="none"/>
              </w:rPr>
            </w:pPr>
          </w:p>
        </w:tc>
        <w:tc>
          <w:tcPr>
            <w:tcW w:w="840" w:type="pct"/>
            <w:vMerge w:val="continue"/>
            <w:tcBorders>
              <w:tl2br w:val="nil"/>
              <w:tr2bl w:val="nil"/>
            </w:tcBorders>
            <w:noWrap w:val="0"/>
            <w:vAlign w:val="center"/>
          </w:tcPr>
          <w:p w14:paraId="6734CDCC">
            <w:pPr>
              <w:spacing w:line="240" w:lineRule="exact"/>
              <w:rPr>
                <w:rFonts w:ascii="Times New Roman" w:hAnsi="Times New Roman" w:cs="Times New Roman"/>
                <w:color w:val="auto"/>
                <w:sz w:val="21"/>
                <w:szCs w:val="21"/>
                <w:highlight w:val="none"/>
              </w:rPr>
            </w:pPr>
          </w:p>
        </w:tc>
        <w:tc>
          <w:tcPr>
            <w:tcW w:w="1157" w:type="pct"/>
            <w:vMerge w:val="continue"/>
            <w:tcBorders>
              <w:tl2br w:val="nil"/>
              <w:tr2bl w:val="nil"/>
            </w:tcBorders>
            <w:noWrap w:val="0"/>
            <w:vAlign w:val="center"/>
          </w:tcPr>
          <w:p w14:paraId="1C3AA492">
            <w:pPr>
              <w:spacing w:line="240" w:lineRule="exact"/>
              <w:jc w:val="center"/>
              <w:rPr>
                <w:rFonts w:ascii="Times New Roman" w:hAnsi="Times New Roman" w:cs="Times New Roman"/>
                <w:color w:val="auto"/>
                <w:sz w:val="21"/>
                <w:szCs w:val="21"/>
                <w:highlight w:val="none"/>
              </w:rPr>
            </w:pPr>
          </w:p>
        </w:tc>
        <w:tc>
          <w:tcPr>
            <w:tcW w:w="1063" w:type="pct"/>
            <w:tcBorders>
              <w:tl2br w:val="nil"/>
              <w:tr2bl w:val="nil"/>
            </w:tcBorders>
            <w:noWrap w:val="0"/>
            <w:vAlign w:val="center"/>
          </w:tcPr>
          <w:p w14:paraId="17E13E0B">
            <w:pPr>
              <w:spacing w:line="240" w:lineRule="exact"/>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夜间</w:t>
            </w:r>
          </w:p>
        </w:tc>
        <w:tc>
          <w:tcPr>
            <w:tcW w:w="429" w:type="pct"/>
            <w:tcBorders>
              <w:tl2br w:val="nil"/>
              <w:tr2bl w:val="nil"/>
            </w:tcBorders>
            <w:noWrap w:val="0"/>
            <w:vAlign w:val="center"/>
          </w:tcPr>
          <w:p w14:paraId="7CDEA3F8">
            <w:pPr>
              <w:spacing w:line="240" w:lineRule="exact"/>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50</w:t>
            </w:r>
          </w:p>
        </w:tc>
        <w:tc>
          <w:tcPr>
            <w:tcW w:w="668" w:type="pct"/>
            <w:tcBorders>
              <w:tl2br w:val="nil"/>
              <w:tr2bl w:val="nil"/>
            </w:tcBorders>
            <w:noWrap w:val="0"/>
            <w:vAlign w:val="center"/>
          </w:tcPr>
          <w:p w14:paraId="4B8566ED">
            <w:pPr>
              <w:spacing w:line="240" w:lineRule="exact"/>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达标</w:t>
            </w:r>
          </w:p>
        </w:tc>
      </w:tr>
      <w:tr w14:paraId="176A62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5" w:hRule="atLeast"/>
          <w:jc w:val="center"/>
        </w:trPr>
        <w:tc>
          <w:tcPr>
            <w:tcW w:w="840" w:type="pct"/>
            <w:vMerge w:val="continue"/>
            <w:tcBorders>
              <w:tl2br w:val="nil"/>
              <w:tr2bl w:val="nil"/>
            </w:tcBorders>
            <w:noWrap w:val="0"/>
            <w:vAlign w:val="center"/>
          </w:tcPr>
          <w:p w14:paraId="11C1B593">
            <w:pPr>
              <w:spacing w:line="240" w:lineRule="exact"/>
              <w:jc w:val="center"/>
              <w:rPr>
                <w:rFonts w:ascii="Times New Roman" w:hAnsi="Times New Roman" w:cs="Times New Roman"/>
                <w:color w:val="auto"/>
                <w:sz w:val="21"/>
                <w:szCs w:val="21"/>
                <w:highlight w:val="none"/>
              </w:rPr>
            </w:pPr>
          </w:p>
        </w:tc>
        <w:tc>
          <w:tcPr>
            <w:tcW w:w="840" w:type="pct"/>
            <w:vMerge w:val="restart"/>
            <w:tcBorders>
              <w:tl2br w:val="nil"/>
              <w:tr2bl w:val="nil"/>
            </w:tcBorders>
            <w:noWrap w:val="0"/>
            <w:vAlign w:val="center"/>
          </w:tcPr>
          <w:p w14:paraId="2E3E2D3A">
            <w:pPr>
              <w:spacing w:line="240" w:lineRule="exact"/>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北场界</w:t>
            </w:r>
          </w:p>
        </w:tc>
        <w:tc>
          <w:tcPr>
            <w:tcW w:w="1157" w:type="pct"/>
            <w:vMerge w:val="restart"/>
            <w:tcBorders>
              <w:tl2br w:val="nil"/>
              <w:tr2bl w:val="nil"/>
            </w:tcBorders>
            <w:noWrap w:val="0"/>
            <w:vAlign w:val="center"/>
          </w:tcPr>
          <w:p w14:paraId="357218FA">
            <w:pPr>
              <w:spacing w:line="240" w:lineRule="exact"/>
              <w:jc w:val="center"/>
              <w:rPr>
                <w:rFonts w:ascii="Times New Roman" w:hAnsi="Times New Roman" w:cs="Times New Roman"/>
                <w:color w:val="auto"/>
                <w:sz w:val="21"/>
                <w:szCs w:val="21"/>
                <w:highlight w:val="none"/>
              </w:rPr>
            </w:pPr>
            <w:r>
              <w:rPr>
                <w:rFonts w:hint="eastAsia" w:cs="Times New Roman"/>
                <w:color w:val="auto"/>
                <w:sz w:val="21"/>
                <w:szCs w:val="21"/>
                <w:highlight w:val="none"/>
              </w:rPr>
              <w:t>46</w:t>
            </w:r>
            <w:r>
              <w:rPr>
                <w:rFonts w:ascii="Times New Roman" w:hAnsi="Times New Roman" w:cs="Times New Roman"/>
                <w:color w:val="auto"/>
                <w:sz w:val="21"/>
                <w:szCs w:val="21"/>
                <w:highlight w:val="none"/>
              </w:rPr>
              <w:t>.0</w:t>
            </w:r>
          </w:p>
        </w:tc>
        <w:tc>
          <w:tcPr>
            <w:tcW w:w="1063" w:type="pct"/>
            <w:tcBorders>
              <w:tl2br w:val="nil"/>
              <w:tr2bl w:val="nil"/>
            </w:tcBorders>
            <w:noWrap w:val="0"/>
            <w:vAlign w:val="center"/>
          </w:tcPr>
          <w:p w14:paraId="3AE73ECB">
            <w:pPr>
              <w:spacing w:line="240" w:lineRule="exact"/>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昼间</w:t>
            </w:r>
          </w:p>
        </w:tc>
        <w:tc>
          <w:tcPr>
            <w:tcW w:w="429" w:type="pct"/>
            <w:tcBorders>
              <w:tl2br w:val="nil"/>
              <w:tr2bl w:val="nil"/>
            </w:tcBorders>
            <w:noWrap w:val="0"/>
            <w:vAlign w:val="center"/>
          </w:tcPr>
          <w:p w14:paraId="5FCFCF19">
            <w:pPr>
              <w:spacing w:line="240" w:lineRule="exact"/>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60</w:t>
            </w:r>
          </w:p>
        </w:tc>
        <w:tc>
          <w:tcPr>
            <w:tcW w:w="668" w:type="pct"/>
            <w:tcBorders>
              <w:tl2br w:val="nil"/>
              <w:tr2bl w:val="nil"/>
            </w:tcBorders>
            <w:noWrap w:val="0"/>
            <w:vAlign w:val="center"/>
          </w:tcPr>
          <w:p w14:paraId="0A42E439">
            <w:pPr>
              <w:spacing w:line="240" w:lineRule="exact"/>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达标</w:t>
            </w:r>
          </w:p>
        </w:tc>
      </w:tr>
      <w:tr w14:paraId="179C1C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10" w:hRule="atLeast"/>
          <w:jc w:val="center"/>
        </w:trPr>
        <w:tc>
          <w:tcPr>
            <w:tcW w:w="840" w:type="pct"/>
            <w:vMerge w:val="continue"/>
            <w:tcBorders>
              <w:tl2br w:val="nil"/>
              <w:tr2bl w:val="nil"/>
            </w:tcBorders>
            <w:noWrap w:val="0"/>
            <w:vAlign w:val="center"/>
          </w:tcPr>
          <w:p w14:paraId="23D01964">
            <w:pPr>
              <w:spacing w:line="240" w:lineRule="exact"/>
              <w:rPr>
                <w:rFonts w:ascii="Times New Roman" w:hAnsi="Times New Roman" w:cs="Times New Roman"/>
                <w:color w:val="auto"/>
                <w:sz w:val="21"/>
                <w:szCs w:val="21"/>
                <w:highlight w:val="none"/>
              </w:rPr>
            </w:pPr>
          </w:p>
        </w:tc>
        <w:tc>
          <w:tcPr>
            <w:tcW w:w="840" w:type="pct"/>
            <w:vMerge w:val="continue"/>
            <w:tcBorders>
              <w:tl2br w:val="nil"/>
              <w:tr2bl w:val="nil"/>
            </w:tcBorders>
            <w:noWrap w:val="0"/>
            <w:vAlign w:val="center"/>
          </w:tcPr>
          <w:p w14:paraId="78B91E8C">
            <w:pPr>
              <w:spacing w:line="240" w:lineRule="exact"/>
              <w:rPr>
                <w:rFonts w:ascii="Times New Roman" w:hAnsi="Times New Roman" w:cs="Times New Roman"/>
                <w:color w:val="auto"/>
                <w:sz w:val="21"/>
                <w:szCs w:val="21"/>
                <w:highlight w:val="none"/>
              </w:rPr>
            </w:pPr>
          </w:p>
        </w:tc>
        <w:tc>
          <w:tcPr>
            <w:tcW w:w="1157" w:type="pct"/>
            <w:vMerge w:val="continue"/>
            <w:tcBorders>
              <w:tl2br w:val="nil"/>
              <w:tr2bl w:val="nil"/>
            </w:tcBorders>
            <w:noWrap w:val="0"/>
            <w:vAlign w:val="center"/>
          </w:tcPr>
          <w:p w14:paraId="07F268CC">
            <w:pPr>
              <w:spacing w:line="240" w:lineRule="exact"/>
              <w:rPr>
                <w:rFonts w:ascii="Times New Roman" w:hAnsi="Times New Roman" w:cs="Times New Roman"/>
                <w:color w:val="auto"/>
                <w:sz w:val="21"/>
                <w:szCs w:val="21"/>
                <w:highlight w:val="none"/>
              </w:rPr>
            </w:pPr>
          </w:p>
        </w:tc>
        <w:tc>
          <w:tcPr>
            <w:tcW w:w="1063" w:type="pct"/>
            <w:tcBorders>
              <w:tl2br w:val="nil"/>
              <w:tr2bl w:val="nil"/>
            </w:tcBorders>
            <w:noWrap w:val="0"/>
            <w:vAlign w:val="center"/>
          </w:tcPr>
          <w:p w14:paraId="493C07FF">
            <w:pPr>
              <w:spacing w:line="240" w:lineRule="exact"/>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夜间</w:t>
            </w:r>
          </w:p>
        </w:tc>
        <w:tc>
          <w:tcPr>
            <w:tcW w:w="429" w:type="pct"/>
            <w:tcBorders>
              <w:tl2br w:val="nil"/>
              <w:tr2bl w:val="nil"/>
            </w:tcBorders>
            <w:noWrap w:val="0"/>
            <w:vAlign w:val="center"/>
          </w:tcPr>
          <w:p w14:paraId="1267DD29">
            <w:pPr>
              <w:spacing w:line="240" w:lineRule="exact"/>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50</w:t>
            </w:r>
          </w:p>
        </w:tc>
        <w:tc>
          <w:tcPr>
            <w:tcW w:w="668" w:type="pct"/>
            <w:tcBorders>
              <w:tl2br w:val="nil"/>
              <w:tr2bl w:val="nil"/>
            </w:tcBorders>
            <w:noWrap w:val="0"/>
            <w:vAlign w:val="center"/>
          </w:tcPr>
          <w:p w14:paraId="619688A1">
            <w:pPr>
              <w:spacing w:line="240" w:lineRule="exact"/>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达标</w:t>
            </w:r>
          </w:p>
        </w:tc>
      </w:tr>
    </w:tbl>
    <w:p w14:paraId="0FF4B5ED">
      <w:pPr>
        <w:pStyle w:val="79"/>
        <w:bidi w:val="0"/>
        <w:rPr>
          <w:rFonts w:hint="default"/>
          <w:color w:val="auto"/>
        </w:rPr>
      </w:pPr>
      <w:r>
        <w:rPr>
          <w:rFonts w:hint="default"/>
          <w:color w:val="auto"/>
        </w:rPr>
        <w:t>根据预测模式和各噪声设备</w:t>
      </w:r>
      <w:r>
        <w:rPr>
          <w:rFonts w:hint="eastAsia"/>
          <w:color w:val="auto"/>
          <w:lang w:val="en-US" w:eastAsia="zh-CN"/>
        </w:rPr>
        <w:t>在雄探1试采点</w:t>
      </w:r>
      <w:r>
        <w:rPr>
          <w:rFonts w:hint="default"/>
          <w:color w:val="auto"/>
        </w:rPr>
        <w:t>预测结果见表5.</w:t>
      </w:r>
      <w:r>
        <w:rPr>
          <w:rFonts w:hint="eastAsia"/>
          <w:color w:val="auto"/>
          <w:lang w:val="en-US" w:eastAsia="zh-CN"/>
        </w:rPr>
        <w:t>5-6</w:t>
      </w:r>
      <w:r>
        <w:rPr>
          <w:rFonts w:hint="default"/>
          <w:color w:val="auto"/>
        </w:rPr>
        <w:t>。</w:t>
      </w:r>
    </w:p>
    <w:p w14:paraId="5BC67999">
      <w:pPr>
        <w:pStyle w:val="61"/>
        <w:bidi w:val="0"/>
        <w:jc w:val="both"/>
        <w:rPr>
          <w:rFonts w:hint="eastAsia"/>
          <w:color w:val="auto"/>
          <w:lang w:val="en-US" w:eastAsia="zh-CN"/>
        </w:rPr>
      </w:pPr>
      <w:r>
        <w:rPr>
          <w:rFonts w:hint="eastAsia"/>
          <w:color w:val="auto"/>
          <w:lang w:val="en-US" w:eastAsia="zh-CN"/>
        </w:rPr>
        <w:t>表5.5-6    雄探1试采点厂界声环境影响预测结果单位：dB（A）</w:t>
      </w:r>
    </w:p>
    <w:tbl>
      <w:tblPr>
        <w:tblStyle w:val="36"/>
        <w:tblW w:w="4962"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32"/>
        <w:gridCol w:w="1016"/>
        <w:gridCol w:w="925"/>
        <w:gridCol w:w="932"/>
        <w:gridCol w:w="1032"/>
        <w:gridCol w:w="1451"/>
        <w:gridCol w:w="1453"/>
        <w:gridCol w:w="1226"/>
      </w:tblGrid>
      <w:tr w14:paraId="25BE4C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8" w:type="pct"/>
            <w:vMerge w:val="restart"/>
            <w:tcBorders>
              <w:tl2br w:val="nil"/>
              <w:tr2bl w:val="nil"/>
            </w:tcBorders>
            <w:noWrap w:val="0"/>
            <w:vAlign w:val="center"/>
          </w:tcPr>
          <w:p w14:paraId="3526B1E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预测方位</w:t>
            </w:r>
          </w:p>
        </w:tc>
        <w:tc>
          <w:tcPr>
            <w:tcW w:w="1637" w:type="pct"/>
            <w:gridSpan w:val="3"/>
            <w:tcBorders>
              <w:tl2br w:val="nil"/>
              <w:tr2bl w:val="nil"/>
            </w:tcBorders>
            <w:noWrap w:val="0"/>
            <w:vAlign w:val="center"/>
          </w:tcPr>
          <w:p w14:paraId="0A52854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空间相对位置/m</w:t>
            </w:r>
          </w:p>
        </w:tc>
        <w:tc>
          <w:tcPr>
            <w:tcW w:w="588" w:type="pct"/>
            <w:vMerge w:val="restart"/>
            <w:tcBorders>
              <w:tl2br w:val="nil"/>
              <w:tr2bl w:val="nil"/>
            </w:tcBorders>
            <w:noWrap w:val="0"/>
            <w:vAlign w:val="center"/>
          </w:tcPr>
          <w:p w14:paraId="13220D6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时段</w:t>
            </w:r>
          </w:p>
        </w:tc>
        <w:tc>
          <w:tcPr>
            <w:tcW w:w="827" w:type="pct"/>
            <w:vMerge w:val="restart"/>
            <w:tcBorders>
              <w:tl2br w:val="nil"/>
              <w:tr2bl w:val="nil"/>
            </w:tcBorders>
            <w:noWrap w:val="0"/>
            <w:vAlign w:val="center"/>
          </w:tcPr>
          <w:p w14:paraId="4E139CE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贡献值</w:t>
            </w:r>
            <w:r>
              <w:rPr>
                <w:rFonts w:hint="default" w:ascii="Times New Roman" w:hAnsi="Times New Roman" w:eastAsia="宋体" w:cs="Times New Roman"/>
                <w:b w:val="0"/>
                <w:bCs/>
                <w:color w:val="auto"/>
                <w:sz w:val="21"/>
                <w:szCs w:val="21"/>
                <w:highlight w:val="none"/>
              </w:rPr>
              <w:t>（dBA)）</w:t>
            </w:r>
          </w:p>
        </w:tc>
        <w:tc>
          <w:tcPr>
            <w:tcW w:w="828" w:type="pct"/>
            <w:vMerge w:val="restart"/>
            <w:tcBorders>
              <w:tl2br w:val="nil"/>
              <w:tr2bl w:val="nil"/>
            </w:tcBorders>
            <w:noWrap w:val="0"/>
            <w:vAlign w:val="center"/>
          </w:tcPr>
          <w:p w14:paraId="60FB60F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标准限值（dBA)）</w:t>
            </w:r>
          </w:p>
        </w:tc>
        <w:tc>
          <w:tcPr>
            <w:tcW w:w="699" w:type="pct"/>
            <w:vMerge w:val="restart"/>
            <w:tcBorders>
              <w:tl2br w:val="nil"/>
              <w:tr2bl w:val="nil"/>
            </w:tcBorders>
            <w:noWrap w:val="0"/>
            <w:vAlign w:val="center"/>
          </w:tcPr>
          <w:p w14:paraId="24A96FB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达标情况</w:t>
            </w:r>
          </w:p>
        </w:tc>
      </w:tr>
      <w:tr w14:paraId="64FE13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8" w:type="pct"/>
            <w:vMerge w:val="continue"/>
            <w:tcBorders>
              <w:tl2br w:val="nil"/>
              <w:tr2bl w:val="nil"/>
            </w:tcBorders>
            <w:shd w:val="clear" w:color="auto" w:fill="FFFFFF"/>
            <w:noWrap w:val="0"/>
            <w:vAlign w:val="center"/>
          </w:tcPr>
          <w:p w14:paraId="19C8435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rPr>
            </w:pPr>
          </w:p>
        </w:tc>
        <w:tc>
          <w:tcPr>
            <w:tcW w:w="579" w:type="pct"/>
            <w:tcBorders>
              <w:tl2br w:val="nil"/>
              <w:tr2bl w:val="nil"/>
            </w:tcBorders>
            <w:shd w:val="clear" w:color="auto" w:fill="FFFFFF"/>
            <w:noWrap w:val="0"/>
            <w:vAlign w:val="center"/>
          </w:tcPr>
          <w:p w14:paraId="0A151DF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X</w:t>
            </w:r>
          </w:p>
        </w:tc>
        <w:tc>
          <w:tcPr>
            <w:tcW w:w="527" w:type="pct"/>
            <w:tcBorders>
              <w:tl2br w:val="nil"/>
              <w:tr2bl w:val="nil"/>
            </w:tcBorders>
            <w:shd w:val="clear" w:color="auto" w:fill="FFFFFF"/>
            <w:noWrap w:val="0"/>
            <w:vAlign w:val="center"/>
          </w:tcPr>
          <w:p w14:paraId="3635104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Y</w:t>
            </w:r>
          </w:p>
        </w:tc>
        <w:tc>
          <w:tcPr>
            <w:tcW w:w="530" w:type="pct"/>
            <w:tcBorders>
              <w:tl2br w:val="nil"/>
              <w:tr2bl w:val="nil"/>
            </w:tcBorders>
            <w:shd w:val="clear" w:color="auto" w:fill="FFFFFF"/>
            <w:noWrap w:val="0"/>
            <w:vAlign w:val="center"/>
          </w:tcPr>
          <w:p w14:paraId="2C73C6A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Z</w:t>
            </w:r>
          </w:p>
        </w:tc>
        <w:tc>
          <w:tcPr>
            <w:tcW w:w="588" w:type="pct"/>
            <w:vMerge w:val="continue"/>
            <w:tcBorders>
              <w:tl2br w:val="nil"/>
              <w:tr2bl w:val="nil"/>
            </w:tcBorders>
            <w:shd w:val="clear" w:color="auto" w:fill="FFFFFF"/>
            <w:noWrap w:val="0"/>
            <w:vAlign w:val="center"/>
          </w:tcPr>
          <w:p w14:paraId="4626850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rPr>
            </w:pPr>
          </w:p>
        </w:tc>
        <w:tc>
          <w:tcPr>
            <w:tcW w:w="827" w:type="pct"/>
            <w:vMerge w:val="continue"/>
            <w:tcBorders>
              <w:tl2br w:val="nil"/>
              <w:tr2bl w:val="nil"/>
            </w:tcBorders>
            <w:shd w:val="clear" w:color="auto" w:fill="FFFFFF"/>
            <w:noWrap w:val="0"/>
            <w:vAlign w:val="center"/>
          </w:tcPr>
          <w:p w14:paraId="2CC0C17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rPr>
            </w:pPr>
          </w:p>
        </w:tc>
        <w:tc>
          <w:tcPr>
            <w:tcW w:w="828" w:type="pct"/>
            <w:vMerge w:val="continue"/>
            <w:tcBorders>
              <w:tl2br w:val="nil"/>
              <w:tr2bl w:val="nil"/>
            </w:tcBorders>
            <w:shd w:val="clear" w:color="auto" w:fill="FFFFFF"/>
            <w:noWrap w:val="0"/>
            <w:vAlign w:val="center"/>
          </w:tcPr>
          <w:p w14:paraId="3C71FCB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rPr>
            </w:pPr>
          </w:p>
        </w:tc>
        <w:tc>
          <w:tcPr>
            <w:tcW w:w="699" w:type="pct"/>
            <w:vMerge w:val="continue"/>
            <w:tcBorders>
              <w:tl2br w:val="nil"/>
              <w:tr2bl w:val="nil"/>
            </w:tcBorders>
            <w:shd w:val="clear" w:color="auto" w:fill="FFFFFF"/>
            <w:noWrap w:val="0"/>
            <w:vAlign w:val="center"/>
          </w:tcPr>
          <w:p w14:paraId="5EE2327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rPr>
            </w:pPr>
          </w:p>
        </w:tc>
      </w:tr>
      <w:tr w14:paraId="6F6F67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8" w:type="pct"/>
            <w:vMerge w:val="restart"/>
            <w:tcBorders>
              <w:tl2br w:val="nil"/>
              <w:tr2bl w:val="nil"/>
            </w:tcBorders>
            <w:shd w:val="clear" w:color="auto" w:fill="FFFFFF"/>
            <w:noWrap w:val="0"/>
            <w:vAlign w:val="center"/>
          </w:tcPr>
          <w:p w14:paraId="3D04EC7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东</w:t>
            </w:r>
            <w:r>
              <w:rPr>
                <w:rFonts w:hint="default" w:ascii="Times New Roman" w:hAnsi="Times New Roman" w:eastAsia="宋体" w:cs="Times New Roman"/>
                <w:b w:val="0"/>
                <w:bCs/>
                <w:color w:val="auto"/>
                <w:sz w:val="21"/>
                <w:szCs w:val="21"/>
                <w:highlight w:val="none"/>
              </w:rPr>
              <w:t>侧</w:t>
            </w:r>
          </w:p>
        </w:tc>
        <w:tc>
          <w:tcPr>
            <w:tcW w:w="579" w:type="pct"/>
            <w:vMerge w:val="restart"/>
            <w:tcBorders>
              <w:tl2br w:val="nil"/>
              <w:tr2bl w:val="nil"/>
            </w:tcBorders>
            <w:shd w:val="clear" w:color="auto" w:fill="FFFFFF"/>
            <w:noWrap w:val="0"/>
            <w:vAlign w:val="center"/>
          </w:tcPr>
          <w:p w14:paraId="4469084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60.16</w:t>
            </w:r>
          </w:p>
        </w:tc>
        <w:tc>
          <w:tcPr>
            <w:tcW w:w="527" w:type="pct"/>
            <w:vMerge w:val="restart"/>
            <w:tcBorders>
              <w:tl2br w:val="nil"/>
              <w:tr2bl w:val="nil"/>
            </w:tcBorders>
            <w:shd w:val="clear" w:color="auto" w:fill="FFFFFF"/>
            <w:noWrap w:val="0"/>
            <w:vAlign w:val="center"/>
          </w:tcPr>
          <w:p w14:paraId="690F2B2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1.02</w:t>
            </w:r>
          </w:p>
        </w:tc>
        <w:tc>
          <w:tcPr>
            <w:tcW w:w="530" w:type="pct"/>
            <w:vMerge w:val="restart"/>
            <w:tcBorders>
              <w:tl2br w:val="nil"/>
              <w:tr2bl w:val="nil"/>
            </w:tcBorders>
            <w:shd w:val="clear" w:color="auto" w:fill="FFFFFF"/>
            <w:noWrap w:val="0"/>
            <w:vAlign w:val="center"/>
          </w:tcPr>
          <w:p w14:paraId="787D3CA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1.2</w:t>
            </w:r>
          </w:p>
        </w:tc>
        <w:tc>
          <w:tcPr>
            <w:tcW w:w="588" w:type="pct"/>
            <w:tcBorders>
              <w:tl2br w:val="nil"/>
              <w:tr2bl w:val="nil"/>
            </w:tcBorders>
            <w:shd w:val="clear" w:color="auto" w:fill="FFFFFF"/>
            <w:noWrap w:val="0"/>
            <w:vAlign w:val="center"/>
          </w:tcPr>
          <w:p w14:paraId="7BB3076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昼间</w:t>
            </w:r>
          </w:p>
        </w:tc>
        <w:tc>
          <w:tcPr>
            <w:tcW w:w="827" w:type="pct"/>
            <w:tcBorders>
              <w:tl2br w:val="nil"/>
              <w:tr2bl w:val="nil"/>
            </w:tcBorders>
            <w:shd w:val="clear" w:color="auto" w:fill="FFFFFF"/>
            <w:noWrap w:val="0"/>
            <w:vAlign w:val="center"/>
          </w:tcPr>
          <w:p w14:paraId="3B2A629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47.6</w:t>
            </w:r>
          </w:p>
        </w:tc>
        <w:tc>
          <w:tcPr>
            <w:tcW w:w="828" w:type="pct"/>
            <w:tcBorders>
              <w:tl2br w:val="nil"/>
              <w:tr2bl w:val="nil"/>
            </w:tcBorders>
            <w:shd w:val="clear" w:color="auto" w:fill="FFFFFF"/>
            <w:noWrap w:val="0"/>
            <w:vAlign w:val="center"/>
          </w:tcPr>
          <w:p w14:paraId="4A254AB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rPr>
              <w:t>60</w:t>
            </w:r>
          </w:p>
        </w:tc>
        <w:tc>
          <w:tcPr>
            <w:tcW w:w="699" w:type="pct"/>
            <w:tcBorders>
              <w:tl2br w:val="nil"/>
              <w:tr2bl w:val="nil"/>
            </w:tcBorders>
            <w:shd w:val="clear" w:color="auto" w:fill="FFFFFF"/>
            <w:noWrap w:val="0"/>
            <w:vAlign w:val="center"/>
          </w:tcPr>
          <w:p w14:paraId="3A8485B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w:t>
            </w:r>
          </w:p>
        </w:tc>
      </w:tr>
      <w:tr w14:paraId="3B2499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8" w:type="pct"/>
            <w:vMerge w:val="continue"/>
            <w:tcBorders>
              <w:tl2br w:val="nil"/>
              <w:tr2bl w:val="nil"/>
            </w:tcBorders>
            <w:shd w:val="clear" w:color="auto" w:fill="FFFFFF"/>
            <w:noWrap w:val="0"/>
            <w:vAlign w:val="center"/>
          </w:tcPr>
          <w:p w14:paraId="7D5C1F2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rPr>
            </w:pPr>
          </w:p>
        </w:tc>
        <w:tc>
          <w:tcPr>
            <w:tcW w:w="579" w:type="pct"/>
            <w:vMerge w:val="continue"/>
            <w:tcBorders>
              <w:tl2br w:val="nil"/>
              <w:tr2bl w:val="nil"/>
            </w:tcBorders>
            <w:shd w:val="clear" w:color="auto" w:fill="FFFFFF"/>
            <w:noWrap w:val="0"/>
            <w:vAlign w:val="center"/>
          </w:tcPr>
          <w:p w14:paraId="6579BE8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rPr>
            </w:pPr>
          </w:p>
        </w:tc>
        <w:tc>
          <w:tcPr>
            <w:tcW w:w="527" w:type="pct"/>
            <w:vMerge w:val="continue"/>
            <w:tcBorders>
              <w:tl2br w:val="nil"/>
              <w:tr2bl w:val="nil"/>
            </w:tcBorders>
            <w:shd w:val="clear" w:color="auto" w:fill="FFFFFF"/>
            <w:noWrap w:val="0"/>
            <w:vAlign w:val="center"/>
          </w:tcPr>
          <w:p w14:paraId="4084301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rPr>
            </w:pPr>
          </w:p>
        </w:tc>
        <w:tc>
          <w:tcPr>
            <w:tcW w:w="530" w:type="pct"/>
            <w:vMerge w:val="continue"/>
            <w:tcBorders>
              <w:tl2br w:val="nil"/>
              <w:tr2bl w:val="nil"/>
            </w:tcBorders>
            <w:shd w:val="clear" w:color="auto" w:fill="FFFFFF"/>
            <w:noWrap w:val="0"/>
            <w:vAlign w:val="center"/>
          </w:tcPr>
          <w:p w14:paraId="483E7AF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rPr>
            </w:pPr>
          </w:p>
        </w:tc>
        <w:tc>
          <w:tcPr>
            <w:tcW w:w="588" w:type="pct"/>
            <w:tcBorders>
              <w:tl2br w:val="nil"/>
              <w:tr2bl w:val="nil"/>
            </w:tcBorders>
            <w:shd w:val="clear" w:color="auto" w:fill="FFFFFF"/>
            <w:noWrap w:val="0"/>
            <w:vAlign w:val="center"/>
          </w:tcPr>
          <w:p w14:paraId="667AEF1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夜间</w:t>
            </w:r>
          </w:p>
        </w:tc>
        <w:tc>
          <w:tcPr>
            <w:tcW w:w="827" w:type="pct"/>
            <w:tcBorders>
              <w:tl2br w:val="nil"/>
              <w:tr2bl w:val="nil"/>
            </w:tcBorders>
            <w:shd w:val="clear" w:color="auto" w:fill="FFFFFF"/>
            <w:noWrap w:val="0"/>
            <w:vAlign w:val="center"/>
          </w:tcPr>
          <w:p w14:paraId="6778028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47.6</w:t>
            </w:r>
          </w:p>
        </w:tc>
        <w:tc>
          <w:tcPr>
            <w:tcW w:w="828" w:type="pct"/>
            <w:tcBorders>
              <w:tl2br w:val="nil"/>
              <w:tr2bl w:val="nil"/>
            </w:tcBorders>
            <w:shd w:val="clear" w:color="auto" w:fill="FFFFFF"/>
            <w:noWrap w:val="0"/>
            <w:vAlign w:val="center"/>
          </w:tcPr>
          <w:p w14:paraId="3188217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rPr>
              <w:t>50</w:t>
            </w:r>
          </w:p>
        </w:tc>
        <w:tc>
          <w:tcPr>
            <w:tcW w:w="699" w:type="pct"/>
            <w:tcBorders>
              <w:tl2br w:val="nil"/>
              <w:tr2bl w:val="nil"/>
            </w:tcBorders>
            <w:shd w:val="clear" w:color="auto" w:fill="FFFFFF"/>
            <w:noWrap w:val="0"/>
            <w:vAlign w:val="center"/>
          </w:tcPr>
          <w:p w14:paraId="7D95BCE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w:t>
            </w:r>
          </w:p>
        </w:tc>
      </w:tr>
      <w:tr w14:paraId="34748E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8" w:type="pct"/>
            <w:vMerge w:val="restart"/>
            <w:tcBorders>
              <w:tl2br w:val="nil"/>
              <w:tr2bl w:val="nil"/>
            </w:tcBorders>
            <w:shd w:val="clear" w:color="auto" w:fill="FFFFFF"/>
            <w:noWrap w:val="0"/>
            <w:vAlign w:val="center"/>
          </w:tcPr>
          <w:p w14:paraId="3547E7C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南</w:t>
            </w:r>
            <w:r>
              <w:rPr>
                <w:rFonts w:hint="default" w:ascii="Times New Roman" w:hAnsi="Times New Roman" w:eastAsia="宋体" w:cs="Times New Roman"/>
                <w:b w:val="0"/>
                <w:bCs/>
                <w:color w:val="auto"/>
                <w:sz w:val="21"/>
                <w:szCs w:val="21"/>
                <w:highlight w:val="none"/>
              </w:rPr>
              <w:t>侧</w:t>
            </w:r>
          </w:p>
        </w:tc>
        <w:tc>
          <w:tcPr>
            <w:tcW w:w="579" w:type="pct"/>
            <w:vMerge w:val="restart"/>
            <w:tcBorders>
              <w:tl2br w:val="nil"/>
              <w:tr2bl w:val="nil"/>
            </w:tcBorders>
            <w:shd w:val="clear" w:color="auto" w:fill="FFFFFF"/>
            <w:noWrap w:val="0"/>
            <w:vAlign w:val="center"/>
          </w:tcPr>
          <w:p w14:paraId="4A5A793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0.24</w:t>
            </w:r>
          </w:p>
        </w:tc>
        <w:tc>
          <w:tcPr>
            <w:tcW w:w="527" w:type="pct"/>
            <w:vMerge w:val="restart"/>
            <w:tcBorders>
              <w:tl2br w:val="nil"/>
              <w:tr2bl w:val="nil"/>
            </w:tcBorders>
            <w:shd w:val="clear" w:color="auto" w:fill="FFFFFF"/>
            <w:noWrap w:val="0"/>
            <w:vAlign w:val="center"/>
          </w:tcPr>
          <w:p w14:paraId="6C3A316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r>
              <w:rPr>
                <w:rFonts w:hint="eastAsia" w:eastAsia="宋体" w:cs="Times New Roman"/>
                <w:color w:val="auto"/>
                <w:kern w:val="2"/>
                <w:sz w:val="21"/>
                <w:szCs w:val="21"/>
                <w:highlight w:val="none"/>
                <w:lang w:val="en-US" w:eastAsia="zh-CN" w:bidi="ar-SA"/>
              </w:rPr>
              <w:t>53.26</w:t>
            </w:r>
          </w:p>
        </w:tc>
        <w:tc>
          <w:tcPr>
            <w:tcW w:w="530" w:type="pct"/>
            <w:vMerge w:val="restart"/>
            <w:tcBorders>
              <w:tl2br w:val="nil"/>
              <w:tr2bl w:val="nil"/>
            </w:tcBorders>
            <w:shd w:val="clear" w:color="auto" w:fill="FFFFFF"/>
            <w:noWrap w:val="0"/>
            <w:vAlign w:val="center"/>
          </w:tcPr>
          <w:p w14:paraId="137CB89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1.2</w:t>
            </w:r>
          </w:p>
        </w:tc>
        <w:tc>
          <w:tcPr>
            <w:tcW w:w="588" w:type="pct"/>
            <w:tcBorders>
              <w:tl2br w:val="nil"/>
              <w:tr2bl w:val="nil"/>
            </w:tcBorders>
            <w:shd w:val="clear" w:color="auto" w:fill="FFFFFF"/>
            <w:noWrap w:val="0"/>
            <w:vAlign w:val="center"/>
          </w:tcPr>
          <w:p w14:paraId="7675151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昼间</w:t>
            </w:r>
          </w:p>
        </w:tc>
        <w:tc>
          <w:tcPr>
            <w:tcW w:w="827" w:type="pct"/>
            <w:tcBorders>
              <w:tl2br w:val="nil"/>
              <w:tr2bl w:val="nil"/>
            </w:tcBorders>
            <w:shd w:val="clear" w:color="auto" w:fill="FFFFFF"/>
            <w:noWrap w:val="0"/>
            <w:vAlign w:val="center"/>
          </w:tcPr>
          <w:p w14:paraId="60CD8FF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43</w:t>
            </w:r>
          </w:p>
        </w:tc>
        <w:tc>
          <w:tcPr>
            <w:tcW w:w="828" w:type="pct"/>
            <w:tcBorders>
              <w:tl2br w:val="nil"/>
              <w:tr2bl w:val="nil"/>
            </w:tcBorders>
            <w:shd w:val="clear" w:color="auto" w:fill="FFFFFF"/>
            <w:noWrap w:val="0"/>
            <w:vAlign w:val="center"/>
          </w:tcPr>
          <w:p w14:paraId="4BF8BB4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rPr>
              <w:t>60</w:t>
            </w:r>
          </w:p>
        </w:tc>
        <w:tc>
          <w:tcPr>
            <w:tcW w:w="699" w:type="pct"/>
            <w:tcBorders>
              <w:tl2br w:val="nil"/>
              <w:tr2bl w:val="nil"/>
            </w:tcBorders>
            <w:shd w:val="clear" w:color="auto" w:fill="FFFFFF"/>
            <w:noWrap w:val="0"/>
            <w:vAlign w:val="center"/>
          </w:tcPr>
          <w:p w14:paraId="09BF79B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w:t>
            </w:r>
          </w:p>
        </w:tc>
      </w:tr>
      <w:tr w14:paraId="70A172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8" w:type="pct"/>
            <w:vMerge w:val="continue"/>
            <w:tcBorders>
              <w:tl2br w:val="nil"/>
              <w:tr2bl w:val="nil"/>
            </w:tcBorders>
            <w:shd w:val="clear" w:color="auto" w:fill="FFFFFF"/>
            <w:noWrap w:val="0"/>
            <w:vAlign w:val="center"/>
          </w:tcPr>
          <w:p w14:paraId="753F41D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rPr>
            </w:pPr>
          </w:p>
        </w:tc>
        <w:tc>
          <w:tcPr>
            <w:tcW w:w="579" w:type="pct"/>
            <w:vMerge w:val="continue"/>
            <w:tcBorders>
              <w:tl2br w:val="nil"/>
              <w:tr2bl w:val="nil"/>
            </w:tcBorders>
            <w:shd w:val="clear" w:color="auto" w:fill="FFFFFF"/>
            <w:noWrap w:val="0"/>
            <w:vAlign w:val="center"/>
          </w:tcPr>
          <w:p w14:paraId="5F9DFE8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rPr>
            </w:pPr>
          </w:p>
        </w:tc>
        <w:tc>
          <w:tcPr>
            <w:tcW w:w="527" w:type="pct"/>
            <w:vMerge w:val="continue"/>
            <w:tcBorders>
              <w:tl2br w:val="nil"/>
              <w:tr2bl w:val="nil"/>
            </w:tcBorders>
            <w:shd w:val="clear" w:color="auto" w:fill="FFFFFF"/>
            <w:noWrap w:val="0"/>
            <w:vAlign w:val="center"/>
          </w:tcPr>
          <w:p w14:paraId="08A1D14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rPr>
            </w:pPr>
          </w:p>
        </w:tc>
        <w:tc>
          <w:tcPr>
            <w:tcW w:w="530" w:type="pct"/>
            <w:vMerge w:val="continue"/>
            <w:tcBorders>
              <w:tl2br w:val="nil"/>
              <w:tr2bl w:val="nil"/>
            </w:tcBorders>
            <w:shd w:val="clear" w:color="auto" w:fill="FFFFFF"/>
            <w:noWrap w:val="0"/>
            <w:vAlign w:val="center"/>
          </w:tcPr>
          <w:p w14:paraId="2542586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rPr>
            </w:pPr>
          </w:p>
        </w:tc>
        <w:tc>
          <w:tcPr>
            <w:tcW w:w="588" w:type="pct"/>
            <w:tcBorders>
              <w:tl2br w:val="nil"/>
              <w:tr2bl w:val="nil"/>
            </w:tcBorders>
            <w:shd w:val="clear" w:color="auto" w:fill="FFFFFF"/>
            <w:noWrap w:val="0"/>
            <w:vAlign w:val="center"/>
          </w:tcPr>
          <w:p w14:paraId="3CF92F6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夜间</w:t>
            </w:r>
          </w:p>
        </w:tc>
        <w:tc>
          <w:tcPr>
            <w:tcW w:w="827" w:type="pct"/>
            <w:tcBorders>
              <w:tl2br w:val="nil"/>
              <w:tr2bl w:val="nil"/>
            </w:tcBorders>
            <w:shd w:val="clear" w:color="auto" w:fill="FFFFFF"/>
            <w:noWrap w:val="0"/>
            <w:vAlign w:val="center"/>
          </w:tcPr>
          <w:p w14:paraId="0B3181B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43</w:t>
            </w:r>
          </w:p>
        </w:tc>
        <w:tc>
          <w:tcPr>
            <w:tcW w:w="828" w:type="pct"/>
            <w:tcBorders>
              <w:tl2br w:val="nil"/>
              <w:tr2bl w:val="nil"/>
            </w:tcBorders>
            <w:shd w:val="clear" w:color="auto" w:fill="FFFFFF"/>
            <w:noWrap w:val="0"/>
            <w:vAlign w:val="center"/>
          </w:tcPr>
          <w:p w14:paraId="609D4CB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rPr>
              <w:t>50</w:t>
            </w:r>
          </w:p>
        </w:tc>
        <w:tc>
          <w:tcPr>
            <w:tcW w:w="699" w:type="pct"/>
            <w:tcBorders>
              <w:tl2br w:val="nil"/>
              <w:tr2bl w:val="nil"/>
            </w:tcBorders>
            <w:shd w:val="clear" w:color="auto" w:fill="FFFFFF"/>
            <w:noWrap w:val="0"/>
            <w:vAlign w:val="center"/>
          </w:tcPr>
          <w:p w14:paraId="4DA7BC4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w:t>
            </w:r>
          </w:p>
        </w:tc>
      </w:tr>
      <w:tr w14:paraId="43A0D8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8" w:type="pct"/>
            <w:vMerge w:val="restart"/>
            <w:tcBorders>
              <w:tl2br w:val="nil"/>
              <w:tr2bl w:val="nil"/>
            </w:tcBorders>
            <w:shd w:val="clear" w:color="auto" w:fill="FFFFFF"/>
            <w:noWrap w:val="0"/>
            <w:vAlign w:val="center"/>
          </w:tcPr>
          <w:p w14:paraId="41F10E1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西</w:t>
            </w:r>
            <w:r>
              <w:rPr>
                <w:rFonts w:hint="default" w:ascii="Times New Roman" w:hAnsi="Times New Roman" w:eastAsia="宋体" w:cs="Times New Roman"/>
                <w:b w:val="0"/>
                <w:bCs/>
                <w:color w:val="auto"/>
                <w:sz w:val="21"/>
                <w:szCs w:val="21"/>
                <w:highlight w:val="none"/>
              </w:rPr>
              <w:t>侧</w:t>
            </w:r>
          </w:p>
        </w:tc>
        <w:tc>
          <w:tcPr>
            <w:tcW w:w="579" w:type="pct"/>
            <w:vMerge w:val="restart"/>
            <w:tcBorders>
              <w:tl2br w:val="nil"/>
              <w:tr2bl w:val="nil"/>
            </w:tcBorders>
            <w:shd w:val="clear" w:color="auto" w:fill="FFFFFF"/>
            <w:noWrap w:val="0"/>
            <w:vAlign w:val="center"/>
          </w:tcPr>
          <w:p w14:paraId="5BE21BD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r>
              <w:rPr>
                <w:rFonts w:hint="eastAsia" w:eastAsia="宋体" w:cs="Times New Roman"/>
                <w:color w:val="auto"/>
                <w:kern w:val="2"/>
                <w:sz w:val="21"/>
                <w:szCs w:val="21"/>
                <w:highlight w:val="none"/>
                <w:lang w:val="en-US" w:eastAsia="zh-CN" w:bidi="ar-SA"/>
              </w:rPr>
              <w:t>43.99</w:t>
            </w:r>
          </w:p>
        </w:tc>
        <w:tc>
          <w:tcPr>
            <w:tcW w:w="527" w:type="pct"/>
            <w:vMerge w:val="restart"/>
            <w:tcBorders>
              <w:tl2br w:val="nil"/>
              <w:tr2bl w:val="nil"/>
            </w:tcBorders>
            <w:shd w:val="clear" w:color="auto" w:fill="FFFFFF"/>
            <w:noWrap w:val="0"/>
            <w:vAlign w:val="center"/>
          </w:tcPr>
          <w:p w14:paraId="5E3EE3F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r>
              <w:rPr>
                <w:rFonts w:hint="eastAsia" w:eastAsia="宋体" w:cs="Times New Roman"/>
                <w:color w:val="auto"/>
                <w:kern w:val="2"/>
                <w:sz w:val="21"/>
                <w:szCs w:val="21"/>
                <w:highlight w:val="none"/>
                <w:lang w:val="en-US" w:eastAsia="zh-CN" w:bidi="ar-SA"/>
              </w:rPr>
              <w:t>0.38</w:t>
            </w:r>
          </w:p>
        </w:tc>
        <w:tc>
          <w:tcPr>
            <w:tcW w:w="530" w:type="pct"/>
            <w:vMerge w:val="restart"/>
            <w:tcBorders>
              <w:tl2br w:val="nil"/>
              <w:tr2bl w:val="nil"/>
            </w:tcBorders>
            <w:shd w:val="clear" w:color="auto" w:fill="FFFFFF"/>
            <w:noWrap w:val="0"/>
            <w:vAlign w:val="center"/>
          </w:tcPr>
          <w:p w14:paraId="27F6439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1.2</w:t>
            </w:r>
          </w:p>
        </w:tc>
        <w:tc>
          <w:tcPr>
            <w:tcW w:w="588" w:type="pct"/>
            <w:tcBorders>
              <w:tl2br w:val="nil"/>
              <w:tr2bl w:val="nil"/>
            </w:tcBorders>
            <w:shd w:val="clear" w:color="auto" w:fill="FFFFFF"/>
            <w:noWrap w:val="0"/>
            <w:vAlign w:val="center"/>
          </w:tcPr>
          <w:p w14:paraId="3543846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昼间</w:t>
            </w:r>
          </w:p>
        </w:tc>
        <w:tc>
          <w:tcPr>
            <w:tcW w:w="827" w:type="pct"/>
            <w:tcBorders>
              <w:tl2br w:val="nil"/>
              <w:tr2bl w:val="nil"/>
            </w:tcBorders>
            <w:shd w:val="clear" w:color="auto" w:fill="FFFFFF"/>
            <w:noWrap w:val="0"/>
            <w:vAlign w:val="center"/>
          </w:tcPr>
          <w:p w14:paraId="54E8D64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37.8</w:t>
            </w:r>
          </w:p>
        </w:tc>
        <w:tc>
          <w:tcPr>
            <w:tcW w:w="828" w:type="pct"/>
            <w:tcBorders>
              <w:tl2br w:val="nil"/>
              <w:tr2bl w:val="nil"/>
            </w:tcBorders>
            <w:shd w:val="clear" w:color="auto" w:fill="FFFFFF"/>
            <w:noWrap w:val="0"/>
            <w:vAlign w:val="center"/>
          </w:tcPr>
          <w:p w14:paraId="7A3D015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rPr>
              <w:t>60</w:t>
            </w:r>
          </w:p>
        </w:tc>
        <w:tc>
          <w:tcPr>
            <w:tcW w:w="699" w:type="pct"/>
            <w:tcBorders>
              <w:tl2br w:val="nil"/>
              <w:tr2bl w:val="nil"/>
            </w:tcBorders>
            <w:shd w:val="clear" w:color="auto" w:fill="FFFFFF"/>
            <w:noWrap w:val="0"/>
            <w:vAlign w:val="center"/>
          </w:tcPr>
          <w:p w14:paraId="1453B16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w:t>
            </w:r>
          </w:p>
        </w:tc>
      </w:tr>
      <w:tr w14:paraId="64469E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8" w:type="pct"/>
            <w:vMerge w:val="continue"/>
            <w:tcBorders>
              <w:tl2br w:val="nil"/>
              <w:tr2bl w:val="nil"/>
            </w:tcBorders>
            <w:shd w:val="clear" w:color="auto" w:fill="FFFFFF"/>
            <w:noWrap w:val="0"/>
            <w:vAlign w:val="center"/>
          </w:tcPr>
          <w:p w14:paraId="1CF9571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rPr>
            </w:pPr>
          </w:p>
        </w:tc>
        <w:tc>
          <w:tcPr>
            <w:tcW w:w="579" w:type="pct"/>
            <w:vMerge w:val="continue"/>
            <w:tcBorders>
              <w:tl2br w:val="nil"/>
              <w:tr2bl w:val="nil"/>
            </w:tcBorders>
            <w:shd w:val="clear" w:color="auto" w:fill="FFFFFF"/>
            <w:noWrap w:val="0"/>
            <w:vAlign w:val="center"/>
          </w:tcPr>
          <w:p w14:paraId="06FDE21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rPr>
            </w:pPr>
          </w:p>
        </w:tc>
        <w:tc>
          <w:tcPr>
            <w:tcW w:w="527" w:type="pct"/>
            <w:vMerge w:val="continue"/>
            <w:tcBorders>
              <w:tl2br w:val="nil"/>
              <w:tr2bl w:val="nil"/>
            </w:tcBorders>
            <w:shd w:val="clear" w:color="auto" w:fill="FFFFFF"/>
            <w:noWrap w:val="0"/>
            <w:vAlign w:val="center"/>
          </w:tcPr>
          <w:p w14:paraId="5E97858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rPr>
            </w:pPr>
          </w:p>
        </w:tc>
        <w:tc>
          <w:tcPr>
            <w:tcW w:w="530" w:type="pct"/>
            <w:vMerge w:val="continue"/>
            <w:tcBorders>
              <w:tl2br w:val="nil"/>
              <w:tr2bl w:val="nil"/>
            </w:tcBorders>
            <w:shd w:val="clear" w:color="auto" w:fill="FFFFFF"/>
            <w:noWrap w:val="0"/>
            <w:vAlign w:val="center"/>
          </w:tcPr>
          <w:p w14:paraId="20A097B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rPr>
            </w:pPr>
          </w:p>
        </w:tc>
        <w:tc>
          <w:tcPr>
            <w:tcW w:w="588" w:type="pct"/>
            <w:tcBorders>
              <w:tl2br w:val="nil"/>
              <w:tr2bl w:val="nil"/>
            </w:tcBorders>
            <w:shd w:val="clear" w:color="auto" w:fill="FFFFFF"/>
            <w:noWrap w:val="0"/>
            <w:vAlign w:val="center"/>
          </w:tcPr>
          <w:p w14:paraId="5DD8280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夜间</w:t>
            </w:r>
          </w:p>
        </w:tc>
        <w:tc>
          <w:tcPr>
            <w:tcW w:w="827" w:type="pct"/>
            <w:tcBorders>
              <w:tl2br w:val="nil"/>
              <w:tr2bl w:val="nil"/>
            </w:tcBorders>
            <w:shd w:val="clear" w:color="auto" w:fill="FFFFFF"/>
            <w:noWrap w:val="0"/>
            <w:vAlign w:val="center"/>
          </w:tcPr>
          <w:p w14:paraId="60438B7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37.8</w:t>
            </w:r>
          </w:p>
        </w:tc>
        <w:tc>
          <w:tcPr>
            <w:tcW w:w="828" w:type="pct"/>
            <w:tcBorders>
              <w:tl2br w:val="nil"/>
              <w:tr2bl w:val="nil"/>
            </w:tcBorders>
            <w:shd w:val="clear" w:color="auto" w:fill="FFFFFF"/>
            <w:noWrap w:val="0"/>
            <w:vAlign w:val="center"/>
          </w:tcPr>
          <w:p w14:paraId="4EEC828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rPr>
              <w:t>50</w:t>
            </w:r>
          </w:p>
        </w:tc>
        <w:tc>
          <w:tcPr>
            <w:tcW w:w="699" w:type="pct"/>
            <w:tcBorders>
              <w:tl2br w:val="nil"/>
              <w:tr2bl w:val="nil"/>
            </w:tcBorders>
            <w:shd w:val="clear" w:color="auto" w:fill="FFFFFF"/>
            <w:noWrap w:val="0"/>
            <w:vAlign w:val="center"/>
          </w:tcPr>
          <w:p w14:paraId="543D1BB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w:t>
            </w:r>
          </w:p>
        </w:tc>
      </w:tr>
      <w:tr w14:paraId="47116D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8" w:type="pct"/>
            <w:vMerge w:val="restart"/>
            <w:tcBorders>
              <w:tl2br w:val="nil"/>
              <w:tr2bl w:val="nil"/>
            </w:tcBorders>
            <w:shd w:val="clear" w:color="auto" w:fill="FFFFFF"/>
            <w:noWrap w:val="0"/>
            <w:vAlign w:val="center"/>
          </w:tcPr>
          <w:p w14:paraId="7C8F3EB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北</w:t>
            </w:r>
            <w:r>
              <w:rPr>
                <w:rFonts w:hint="default" w:ascii="Times New Roman" w:hAnsi="Times New Roman" w:eastAsia="宋体" w:cs="Times New Roman"/>
                <w:b w:val="0"/>
                <w:bCs/>
                <w:color w:val="auto"/>
                <w:sz w:val="21"/>
                <w:szCs w:val="21"/>
                <w:highlight w:val="none"/>
              </w:rPr>
              <w:t>侧</w:t>
            </w:r>
          </w:p>
        </w:tc>
        <w:tc>
          <w:tcPr>
            <w:tcW w:w="579" w:type="pct"/>
            <w:vMerge w:val="restart"/>
            <w:tcBorders>
              <w:tl2br w:val="nil"/>
              <w:tr2bl w:val="nil"/>
            </w:tcBorders>
            <w:shd w:val="clear" w:color="auto" w:fill="FFFFFF"/>
            <w:noWrap w:val="0"/>
            <w:vAlign w:val="center"/>
          </w:tcPr>
          <w:p w14:paraId="174DFD5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0.24</w:t>
            </w:r>
          </w:p>
        </w:tc>
        <w:tc>
          <w:tcPr>
            <w:tcW w:w="527" w:type="pct"/>
            <w:vMerge w:val="restart"/>
            <w:tcBorders>
              <w:tl2br w:val="nil"/>
              <w:tr2bl w:val="nil"/>
            </w:tcBorders>
            <w:shd w:val="clear" w:color="auto" w:fill="FFFFFF"/>
            <w:noWrap w:val="0"/>
            <w:vAlign w:val="center"/>
          </w:tcPr>
          <w:p w14:paraId="0ADA367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61.15</w:t>
            </w:r>
          </w:p>
        </w:tc>
        <w:tc>
          <w:tcPr>
            <w:tcW w:w="530" w:type="pct"/>
            <w:vMerge w:val="restart"/>
            <w:tcBorders>
              <w:tl2br w:val="nil"/>
              <w:tr2bl w:val="nil"/>
            </w:tcBorders>
            <w:shd w:val="clear" w:color="auto" w:fill="FFFFFF"/>
            <w:noWrap w:val="0"/>
            <w:vAlign w:val="center"/>
          </w:tcPr>
          <w:p w14:paraId="348C6EF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1.2</w:t>
            </w:r>
          </w:p>
        </w:tc>
        <w:tc>
          <w:tcPr>
            <w:tcW w:w="588" w:type="pct"/>
            <w:tcBorders>
              <w:tl2br w:val="nil"/>
              <w:tr2bl w:val="nil"/>
            </w:tcBorders>
            <w:shd w:val="clear" w:color="auto" w:fill="FFFFFF"/>
            <w:noWrap w:val="0"/>
            <w:vAlign w:val="center"/>
          </w:tcPr>
          <w:p w14:paraId="7505040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昼间</w:t>
            </w:r>
          </w:p>
        </w:tc>
        <w:tc>
          <w:tcPr>
            <w:tcW w:w="827" w:type="pct"/>
            <w:tcBorders>
              <w:tl2br w:val="nil"/>
              <w:tr2bl w:val="nil"/>
            </w:tcBorders>
            <w:shd w:val="clear" w:color="auto" w:fill="FFFFFF"/>
            <w:noWrap w:val="0"/>
            <w:vAlign w:val="center"/>
          </w:tcPr>
          <w:p w14:paraId="03E20BE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35.2</w:t>
            </w:r>
          </w:p>
        </w:tc>
        <w:tc>
          <w:tcPr>
            <w:tcW w:w="828" w:type="pct"/>
            <w:tcBorders>
              <w:tl2br w:val="nil"/>
              <w:tr2bl w:val="nil"/>
            </w:tcBorders>
            <w:shd w:val="clear" w:color="auto" w:fill="FFFFFF"/>
            <w:noWrap w:val="0"/>
            <w:vAlign w:val="center"/>
          </w:tcPr>
          <w:p w14:paraId="05DE4BA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rPr>
              <w:t>60</w:t>
            </w:r>
          </w:p>
        </w:tc>
        <w:tc>
          <w:tcPr>
            <w:tcW w:w="699" w:type="pct"/>
            <w:tcBorders>
              <w:tl2br w:val="nil"/>
              <w:tr2bl w:val="nil"/>
            </w:tcBorders>
            <w:shd w:val="clear" w:color="auto" w:fill="FFFFFF"/>
            <w:noWrap w:val="0"/>
            <w:vAlign w:val="center"/>
          </w:tcPr>
          <w:p w14:paraId="34B91A2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w:t>
            </w:r>
          </w:p>
        </w:tc>
      </w:tr>
      <w:tr w14:paraId="5852BF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8" w:type="pct"/>
            <w:vMerge w:val="continue"/>
            <w:tcBorders>
              <w:tl2br w:val="nil"/>
              <w:tr2bl w:val="nil"/>
            </w:tcBorders>
            <w:shd w:val="clear" w:color="auto" w:fill="FFFFFF"/>
            <w:noWrap w:val="0"/>
            <w:vAlign w:val="center"/>
          </w:tcPr>
          <w:p w14:paraId="0CC466D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rPr>
            </w:pPr>
          </w:p>
        </w:tc>
        <w:tc>
          <w:tcPr>
            <w:tcW w:w="579" w:type="pct"/>
            <w:vMerge w:val="continue"/>
            <w:tcBorders>
              <w:tl2br w:val="nil"/>
              <w:tr2bl w:val="nil"/>
            </w:tcBorders>
            <w:shd w:val="clear" w:color="auto" w:fill="FFFFFF"/>
            <w:noWrap w:val="0"/>
            <w:vAlign w:val="center"/>
          </w:tcPr>
          <w:p w14:paraId="7241992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rPr>
            </w:pPr>
          </w:p>
        </w:tc>
        <w:tc>
          <w:tcPr>
            <w:tcW w:w="527" w:type="pct"/>
            <w:vMerge w:val="continue"/>
            <w:tcBorders>
              <w:tl2br w:val="nil"/>
              <w:tr2bl w:val="nil"/>
            </w:tcBorders>
            <w:shd w:val="clear" w:color="auto" w:fill="FFFFFF"/>
            <w:noWrap w:val="0"/>
            <w:vAlign w:val="center"/>
          </w:tcPr>
          <w:p w14:paraId="3DFE4CF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rPr>
            </w:pPr>
          </w:p>
        </w:tc>
        <w:tc>
          <w:tcPr>
            <w:tcW w:w="530" w:type="pct"/>
            <w:vMerge w:val="continue"/>
            <w:tcBorders>
              <w:tl2br w:val="nil"/>
              <w:tr2bl w:val="nil"/>
            </w:tcBorders>
            <w:shd w:val="clear" w:color="auto" w:fill="FFFFFF"/>
            <w:noWrap w:val="0"/>
            <w:vAlign w:val="center"/>
          </w:tcPr>
          <w:p w14:paraId="4D7EA98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rPr>
            </w:pPr>
          </w:p>
        </w:tc>
        <w:tc>
          <w:tcPr>
            <w:tcW w:w="588" w:type="pct"/>
            <w:tcBorders>
              <w:tl2br w:val="nil"/>
              <w:tr2bl w:val="nil"/>
            </w:tcBorders>
            <w:shd w:val="clear" w:color="auto" w:fill="FFFFFF"/>
            <w:noWrap w:val="0"/>
            <w:vAlign w:val="center"/>
          </w:tcPr>
          <w:p w14:paraId="387B8BA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夜间</w:t>
            </w:r>
          </w:p>
        </w:tc>
        <w:tc>
          <w:tcPr>
            <w:tcW w:w="827" w:type="pct"/>
            <w:tcBorders>
              <w:tl2br w:val="nil"/>
              <w:tr2bl w:val="nil"/>
            </w:tcBorders>
            <w:shd w:val="clear" w:color="auto" w:fill="FFFFFF"/>
            <w:noWrap w:val="0"/>
            <w:vAlign w:val="center"/>
          </w:tcPr>
          <w:p w14:paraId="753DDBC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35.2</w:t>
            </w:r>
          </w:p>
        </w:tc>
        <w:tc>
          <w:tcPr>
            <w:tcW w:w="828" w:type="pct"/>
            <w:tcBorders>
              <w:tl2br w:val="nil"/>
              <w:tr2bl w:val="nil"/>
            </w:tcBorders>
            <w:shd w:val="clear" w:color="auto" w:fill="FFFFFF"/>
            <w:noWrap w:val="0"/>
            <w:vAlign w:val="center"/>
          </w:tcPr>
          <w:p w14:paraId="7A66CD0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rPr>
              <w:t>50</w:t>
            </w:r>
          </w:p>
        </w:tc>
        <w:tc>
          <w:tcPr>
            <w:tcW w:w="699" w:type="pct"/>
            <w:tcBorders>
              <w:tl2br w:val="nil"/>
              <w:tr2bl w:val="nil"/>
            </w:tcBorders>
            <w:shd w:val="clear" w:color="auto" w:fill="FFFFFF"/>
            <w:noWrap w:val="0"/>
            <w:vAlign w:val="center"/>
          </w:tcPr>
          <w:p w14:paraId="124A892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w:t>
            </w:r>
          </w:p>
        </w:tc>
      </w:tr>
    </w:tbl>
    <w:p w14:paraId="63B35B12">
      <w:pPr>
        <w:pStyle w:val="79"/>
        <w:bidi w:val="0"/>
        <w:rPr>
          <w:rFonts w:hint="default"/>
          <w:color w:val="auto"/>
        </w:rPr>
      </w:pPr>
      <w:r>
        <w:rPr>
          <w:rFonts w:hint="default"/>
          <w:color w:val="auto"/>
        </w:rPr>
        <w:t>由上表可知，井场噪声源对场界的噪声贡献值昼间、夜间为44.7～48.1dB(A)，</w:t>
      </w:r>
      <w:r>
        <w:rPr>
          <w:rFonts w:hint="eastAsia"/>
          <w:color w:val="auto"/>
          <w:lang w:val="en-US" w:eastAsia="zh-CN"/>
        </w:rPr>
        <w:t>雄探1试采点</w:t>
      </w:r>
      <w:r>
        <w:rPr>
          <w:rFonts w:hint="default"/>
          <w:color w:val="auto"/>
        </w:rPr>
        <w:t>噪声源对</w:t>
      </w:r>
      <w:r>
        <w:rPr>
          <w:rFonts w:hint="eastAsia"/>
          <w:color w:val="auto"/>
          <w:lang w:val="en-US" w:eastAsia="zh-CN"/>
        </w:rPr>
        <w:t>厂</w:t>
      </w:r>
      <w:r>
        <w:rPr>
          <w:rFonts w:hint="default"/>
          <w:color w:val="auto"/>
        </w:rPr>
        <w:t>界的噪声贡献值昼间、夜间为</w:t>
      </w:r>
      <w:r>
        <w:rPr>
          <w:rFonts w:hint="eastAsia"/>
          <w:color w:val="auto"/>
          <w:lang w:val="en-US" w:eastAsia="zh-CN"/>
        </w:rPr>
        <w:t>35.2</w:t>
      </w:r>
      <w:r>
        <w:rPr>
          <w:rFonts w:hint="default"/>
          <w:color w:val="auto"/>
        </w:rPr>
        <w:t>～</w:t>
      </w:r>
      <w:r>
        <w:rPr>
          <w:rFonts w:hint="eastAsia"/>
          <w:color w:val="auto"/>
          <w:lang w:val="en-US" w:eastAsia="zh-CN"/>
        </w:rPr>
        <w:t>47.6</w:t>
      </w:r>
      <w:r>
        <w:rPr>
          <w:rFonts w:hint="default"/>
          <w:color w:val="auto"/>
        </w:rPr>
        <w:t>dB(A)，满足《工业企业厂界环境噪声排放标准》(GB12348-2008</w:t>
      </w:r>
      <w:r>
        <w:rPr>
          <w:rFonts w:hint="eastAsia"/>
          <w:color w:val="auto"/>
          <w:lang w:eastAsia="zh-CN"/>
        </w:rPr>
        <w:t>）</w:t>
      </w:r>
      <w:r>
        <w:rPr>
          <w:rFonts w:hint="default"/>
          <w:color w:val="auto"/>
        </w:rPr>
        <w:t>中2类区昼间、夜间标准要求。综上，本项目实施后不会对周边声环境产生明显影响，且项目周边无噪声敏感目标，不会造成噪声污染。</w:t>
      </w:r>
    </w:p>
    <w:p w14:paraId="15EE3586">
      <w:pPr>
        <w:pStyle w:val="54"/>
        <w:bidi w:val="0"/>
        <w:rPr>
          <w:rFonts w:hint="default"/>
          <w:color w:val="auto"/>
          <w:lang w:val="en-US" w:eastAsia="zh-CN"/>
        </w:rPr>
      </w:pPr>
      <w:r>
        <w:rPr>
          <w:rFonts w:hint="eastAsia"/>
          <w:color w:val="auto"/>
          <w:lang w:val="en-US" w:eastAsia="zh-CN"/>
        </w:rPr>
        <w:t>5.5.3退役期声环境影响分析</w:t>
      </w:r>
    </w:p>
    <w:p w14:paraId="02C4048F">
      <w:pPr>
        <w:pStyle w:val="79"/>
        <w:bidi w:val="0"/>
        <w:rPr>
          <w:rFonts w:hint="eastAsia"/>
          <w:color w:val="auto"/>
          <w:lang w:val="en-US" w:eastAsia="zh-CN"/>
        </w:rPr>
      </w:pPr>
      <w:r>
        <w:rPr>
          <w:rFonts w:hint="eastAsia"/>
          <w:color w:val="auto"/>
          <w:lang w:val="en-US" w:eastAsia="zh-CN"/>
        </w:rPr>
        <w:t>退役期噪声主要为车辆噪声等，合理控制车速，施工运输车辆在驶经声敏感点时应低速行驶，少鸣笛或不鸣笛，加强车辆维护，合理安排运输路线，来减轻噪声对周围声环境的影响。</w:t>
      </w:r>
    </w:p>
    <w:p w14:paraId="1BBAA9C6">
      <w:pPr>
        <w:pStyle w:val="54"/>
        <w:bidi w:val="0"/>
        <w:rPr>
          <w:rFonts w:hint="default"/>
          <w:color w:val="auto"/>
          <w:lang w:val="en-US" w:eastAsia="zh-CN"/>
        </w:rPr>
      </w:pPr>
      <w:r>
        <w:rPr>
          <w:rFonts w:hint="eastAsia"/>
          <w:color w:val="auto"/>
          <w:lang w:val="en-US" w:eastAsia="zh-CN"/>
        </w:rPr>
        <w:t>5.5.4声环境影响评价小结</w:t>
      </w:r>
    </w:p>
    <w:p w14:paraId="57684625">
      <w:pPr>
        <w:pStyle w:val="79"/>
        <w:bidi w:val="0"/>
        <w:rPr>
          <w:rFonts w:hint="default"/>
          <w:color w:val="auto"/>
        </w:rPr>
      </w:pPr>
      <w:r>
        <w:rPr>
          <w:rFonts w:hint="default"/>
          <w:color w:val="auto"/>
        </w:rPr>
        <w:t>综上所述，本项目施工期噪声源主要是各类施工机械和运输车辆。施工期噪声影响是短暂的，随施工结束即消失。</w:t>
      </w:r>
    </w:p>
    <w:p w14:paraId="79D4F407">
      <w:pPr>
        <w:pStyle w:val="79"/>
        <w:bidi w:val="0"/>
        <w:rPr>
          <w:rFonts w:hint="default"/>
          <w:color w:val="auto"/>
        </w:rPr>
      </w:pPr>
      <w:r>
        <w:rPr>
          <w:rFonts w:hint="default"/>
          <w:color w:val="auto"/>
        </w:rPr>
        <w:t>本项目运营期产生的噪声主要包括井口装置</w:t>
      </w:r>
      <w:r>
        <w:rPr>
          <w:rFonts w:hint="eastAsia"/>
          <w:color w:val="auto"/>
          <w:lang w:val="en-US" w:eastAsia="zh-CN"/>
        </w:rPr>
        <w:t>、雄探1试采点装置</w:t>
      </w:r>
      <w:r>
        <w:rPr>
          <w:rFonts w:hint="default"/>
          <w:color w:val="auto"/>
        </w:rPr>
        <w:t>等设备产生的噪声。井场</w:t>
      </w:r>
      <w:r>
        <w:rPr>
          <w:rFonts w:hint="eastAsia"/>
          <w:color w:val="auto"/>
          <w:lang w:val="en-US" w:eastAsia="zh-CN"/>
        </w:rPr>
        <w:t>、雄探1试采点</w:t>
      </w:r>
      <w:r>
        <w:rPr>
          <w:rFonts w:hint="default"/>
          <w:color w:val="auto"/>
        </w:rPr>
        <w:t>设备噪声源强较低，影响范围有限，经预测，正常生产时，井场</w:t>
      </w:r>
      <w:r>
        <w:rPr>
          <w:rFonts w:hint="eastAsia"/>
          <w:color w:val="auto"/>
          <w:lang w:val="en-US" w:eastAsia="zh-CN"/>
        </w:rPr>
        <w:t>、雄探1试采点</w:t>
      </w:r>
      <w:r>
        <w:rPr>
          <w:rFonts w:hint="default"/>
          <w:color w:val="auto"/>
        </w:rPr>
        <w:t>厂界噪声值较低，能够满足《工业企业厂界环境噪声排放标准》（GB12348-2008）中的2类区标准要求。</w:t>
      </w:r>
      <w:bookmarkStart w:id="676" w:name="OLE_LINK335"/>
      <w:r>
        <w:rPr>
          <w:rFonts w:hint="default"/>
          <w:color w:val="auto"/>
        </w:rPr>
        <w:t>井场</w:t>
      </w:r>
      <w:r>
        <w:rPr>
          <w:rFonts w:hint="eastAsia"/>
          <w:color w:val="auto"/>
          <w:lang w:val="en-US" w:eastAsia="zh-CN"/>
        </w:rPr>
        <w:t>、雄探1试采点</w:t>
      </w:r>
      <w:r>
        <w:rPr>
          <w:rFonts w:hint="default"/>
          <w:color w:val="auto"/>
        </w:rPr>
        <w:t>周边范围内无居民区，不会出现噪声扰民现象。</w:t>
      </w:r>
    </w:p>
    <w:bookmarkEnd w:id="675"/>
    <w:bookmarkEnd w:id="676"/>
    <w:p w14:paraId="7CB83BF5">
      <w:pPr>
        <w:pStyle w:val="54"/>
        <w:bidi w:val="0"/>
        <w:rPr>
          <w:rFonts w:hint="eastAsia"/>
          <w:color w:val="auto"/>
          <w:lang w:val="en-US" w:eastAsia="zh-CN"/>
        </w:rPr>
      </w:pPr>
      <w:r>
        <w:rPr>
          <w:color w:val="auto"/>
          <w:lang w:val="en-US" w:eastAsia="zh-CN"/>
        </w:rPr>
        <w:t>5.</w:t>
      </w:r>
      <w:r>
        <w:rPr>
          <w:rFonts w:hint="eastAsia"/>
          <w:color w:val="auto"/>
          <w:lang w:val="en-US" w:eastAsia="zh-CN"/>
        </w:rPr>
        <w:t xml:space="preserve">5.5 </w:t>
      </w:r>
      <w:r>
        <w:rPr>
          <w:color w:val="auto"/>
          <w:lang w:val="en-US" w:eastAsia="zh-CN"/>
        </w:rPr>
        <w:t>声环境影响</w:t>
      </w:r>
      <w:r>
        <w:rPr>
          <w:rFonts w:hint="eastAsia"/>
          <w:color w:val="auto"/>
          <w:lang w:val="en-US" w:eastAsia="zh-CN"/>
        </w:rPr>
        <w:t>自查表</w:t>
      </w:r>
    </w:p>
    <w:p w14:paraId="7FB135BE">
      <w:pPr>
        <w:pStyle w:val="79"/>
        <w:bidi w:val="0"/>
        <w:rPr>
          <w:color w:val="auto"/>
          <w:lang w:val="en-US" w:eastAsia="zh-CN"/>
        </w:rPr>
      </w:pPr>
      <w:r>
        <w:rPr>
          <w:rFonts w:hint="eastAsia"/>
          <w:color w:val="auto"/>
          <w:lang w:val="en-US" w:eastAsia="zh-CN"/>
        </w:rPr>
        <w:t>本工程声环境影响自查表，见表5.5-5</w:t>
      </w:r>
      <w:r>
        <w:rPr>
          <w:color w:val="auto"/>
          <w:lang w:val="en-US" w:eastAsia="zh-CN"/>
        </w:rPr>
        <w:t>。</w:t>
      </w:r>
    </w:p>
    <w:p w14:paraId="3C80606C">
      <w:pPr>
        <w:pStyle w:val="61"/>
        <w:bidi w:val="0"/>
        <w:jc w:val="both"/>
        <w:rPr>
          <w:rFonts w:hint="default"/>
          <w:color w:val="auto"/>
          <w:lang w:val="en-US" w:eastAsia="zh-CN"/>
        </w:rPr>
      </w:pPr>
      <w:r>
        <w:rPr>
          <w:rFonts w:hint="default"/>
          <w:color w:val="auto"/>
          <w:lang w:val="en-US" w:eastAsia="zh-CN"/>
        </w:rPr>
        <w:t>表5.</w:t>
      </w:r>
      <w:r>
        <w:rPr>
          <w:rFonts w:hint="eastAsia"/>
          <w:color w:val="auto"/>
          <w:lang w:val="en-US" w:eastAsia="zh-CN"/>
        </w:rPr>
        <w:t>5</w:t>
      </w:r>
      <w:r>
        <w:rPr>
          <w:rFonts w:hint="default"/>
          <w:color w:val="auto"/>
          <w:lang w:val="en-US" w:eastAsia="zh-CN"/>
        </w:rPr>
        <w:t>-</w:t>
      </w:r>
      <w:r>
        <w:rPr>
          <w:rFonts w:hint="eastAsia"/>
          <w:color w:val="auto"/>
          <w:lang w:val="en-US" w:eastAsia="zh-CN"/>
        </w:rPr>
        <w:t xml:space="preserve">5    </w:t>
      </w:r>
      <w:r>
        <w:rPr>
          <w:rFonts w:hint="default"/>
          <w:color w:val="auto"/>
          <w:lang w:val="en-US" w:eastAsia="zh-CN"/>
        </w:rPr>
        <w:t xml:space="preserve"> </w:t>
      </w:r>
      <w:r>
        <w:rPr>
          <w:rFonts w:hint="eastAsia"/>
          <w:color w:val="auto"/>
          <w:lang w:val="en-US" w:eastAsia="zh-CN"/>
        </w:rPr>
        <w:t>声环境影响评价自查表</w:t>
      </w:r>
    </w:p>
    <w:tbl>
      <w:tblPr>
        <w:tblStyle w:val="36"/>
        <w:tblW w:w="862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Layout w:type="fixed"/>
        <w:tblCellMar>
          <w:top w:w="0" w:type="dxa"/>
          <w:left w:w="0" w:type="dxa"/>
          <w:bottom w:w="0" w:type="dxa"/>
          <w:right w:w="0" w:type="dxa"/>
        </w:tblCellMar>
      </w:tblPr>
      <w:tblGrid>
        <w:gridCol w:w="930"/>
        <w:gridCol w:w="1325"/>
        <w:gridCol w:w="1009"/>
        <w:gridCol w:w="247"/>
        <w:gridCol w:w="286"/>
        <w:gridCol w:w="297"/>
        <w:gridCol w:w="185"/>
        <w:gridCol w:w="488"/>
        <w:gridCol w:w="535"/>
        <w:gridCol w:w="15"/>
        <w:gridCol w:w="79"/>
        <w:gridCol w:w="627"/>
        <w:gridCol w:w="342"/>
        <w:gridCol w:w="518"/>
        <w:gridCol w:w="396"/>
        <w:gridCol w:w="63"/>
        <w:gridCol w:w="35"/>
        <w:gridCol w:w="1162"/>
        <w:gridCol w:w="81"/>
      </w:tblGrid>
      <w:tr w14:paraId="0670709B">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trHeight w:val="366" w:hRule="atLeast"/>
        </w:trPr>
        <w:tc>
          <w:tcPr>
            <w:tcW w:w="2255" w:type="dxa"/>
            <w:gridSpan w:val="2"/>
            <w:tcBorders>
              <w:tl2br w:val="nil"/>
              <w:tr2bl w:val="nil"/>
            </w:tcBorders>
            <w:noWrap w:val="0"/>
            <w:vAlign w:val="center"/>
          </w:tcPr>
          <w:p w14:paraId="316F75A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2"/>
                <w:kern w:val="0"/>
                <w:sz w:val="21"/>
                <w:szCs w:val="21"/>
                <w:highlight w:val="none"/>
              </w:rPr>
              <w:t>工作内</w:t>
            </w:r>
            <w:r>
              <w:rPr>
                <w:rFonts w:hint="default" w:ascii="Times New Roman" w:hAnsi="Times New Roman" w:eastAsia="宋体" w:cs="Times New Roman"/>
                <w:color w:val="auto"/>
                <w:spacing w:val="-1"/>
                <w:kern w:val="0"/>
                <w:sz w:val="21"/>
                <w:szCs w:val="21"/>
                <w:highlight w:val="none"/>
              </w:rPr>
              <w:t>容</w:t>
            </w:r>
          </w:p>
        </w:tc>
        <w:tc>
          <w:tcPr>
            <w:tcW w:w="6365" w:type="dxa"/>
            <w:gridSpan w:val="17"/>
            <w:tcBorders>
              <w:tl2br w:val="nil"/>
              <w:tr2bl w:val="nil"/>
            </w:tcBorders>
            <w:noWrap w:val="0"/>
            <w:vAlign w:val="center"/>
          </w:tcPr>
          <w:p w14:paraId="4F6ACC0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7"/>
                <w:kern w:val="0"/>
                <w:sz w:val="21"/>
                <w:szCs w:val="21"/>
                <w:highlight w:val="none"/>
              </w:rPr>
              <w:t>自查项目</w:t>
            </w:r>
          </w:p>
        </w:tc>
      </w:tr>
      <w:tr w14:paraId="2F4A7349">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trHeight w:val="367" w:hRule="atLeast"/>
        </w:trPr>
        <w:tc>
          <w:tcPr>
            <w:tcW w:w="930" w:type="dxa"/>
            <w:vMerge w:val="restart"/>
            <w:tcBorders>
              <w:tl2br w:val="nil"/>
              <w:tr2bl w:val="nil"/>
            </w:tcBorders>
            <w:noWrap w:val="0"/>
            <w:vAlign w:val="center"/>
          </w:tcPr>
          <w:p w14:paraId="3E319D5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2"/>
                <w:kern w:val="0"/>
                <w:sz w:val="21"/>
                <w:szCs w:val="21"/>
                <w:highlight w:val="none"/>
              </w:rPr>
              <w:t>评价等</w:t>
            </w:r>
            <w:r>
              <w:rPr>
                <w:rFonts w:hint="default" w:ascii="Times New Roman" w:hAnsi="Times New Roman" w:eastAsia="宋体" w:cs="Times New Roman"/>
                <w:color w:val="auto"/>
                <w:spacing w:val="-1"/>
                <w:kern w:val="0"/>
                <w:sz w:val="21"/>
                <w:szCs w:val="21"/>
                <w:highlight w:val="none"/>
              </w:rPr>
              <w:t>级</w:t>
            </w:r>
            <w:r>
              <w:rPr>
                <w:rFonts w:hint="default" w:ascii="Times New Roman" w:hAnsi="Times New Roman" w:eastAsia="宋体" w:cs="Times New Roman"/>
                <w:color w:val="auto"/>
                <w:spacing w:val="-4"/>
                <w:kern w:val="0"/>
                <w:sz w:val="21"/>
                <w:szCs w:val="21"/>
                <w:highlight w:val="none"/>
              </w:rPr>
              <w:t>与</w:t>
            </w:r>
            <w:r>
              <w:rPr>
                <w:rFonts w:hint="default" w:ascii="Times New Roman" w:hAnsi="Times New Roman" w:eastAsia="宋体" w:cs="Times New Roman"/>
                <w:color w:val="auto"/>
                <w:spacing w:val="-2"/>
                <w:kern w:val="0"/>
                <w:sz w:val="21"/>
                <w:szCs w:val="21"/>
                <w:highlight w:val="none"/>
              </w:rPr>
              <w:t>范围</w:t>
            </w:r>
          </w:p>
        </w:tc>
        <w:tc>
          <w:tcPr>
            <w:tcW w:w="1325" w:type="dxa"/>
            <w:tcBorders>
              <w:tl2br w:val="nil"/>
              <w:tr2bl w:val="nil"/>
            </w:tcBorders>
            <w:noWrap w:val="0"/>
            <w:vAlign w:val="center"/>
          </w:tcPr>
          <w:p w14:paraId="2DA5BDE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2"/>
                <w:kern w:val="0"/>
                <w:sz w:val="21"/>
                <w:szCs w:val="21"/>
                <w:highlight w:val="none"/>
              </w:rPr>
              <w:t>评</w:t>
            </w:r>
            <w:r>
              <w:rPr>
                <w:rFonts w:hint="default" w:ascii="Times New Roman" w:hAnsi="Times New Roman" w:eastAsia="宋体" w:cs="Times New Roman"/>
                <w:color w:val="auto"/>
                <w:spacing w:val="-1"/>
                <w:kern w:val="0"/>
                <w:sz w:val="21"/>
                <w:szCs w:val="21"/>
                <w:highlight w:val="none"/>
              </w:rPr>
              <w:t>价等级</w:t>
            </w:r>
          </w:p>
        </w:tc>
        <w:tc>
          <w:tcPr>
            <w:tcW w:w="6365" w:type="dxa"/>
            <w:gridSpan w:val="17"/>
            <w:tcBorders>
              <w:tl2br w:val="nil"/>
              <w:tr2bl w:val="nil"/>
            </w:tcBorders>
            <w:noWrap w:val="0"/>
            <w:vAlign w:val="center"/>
          </w:tcPr>
          <w:p w14:paraId="2C2E92F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3"/>
                <w:kern w:val="0"/>
                <w:sz w:val="21"/>
                <w:szCs w:val="21"/>
                <w:highlight w:val="none"/>
              </w:rPr>
              <w:t>一</w:t>
            </w:r>
            <w:r>
              <w:rPr>
                <w:rFonts w:hint="default" w:ascii="Times New Roman" w:hAnsi="Times New Roman" w:eastAsia="宋体" w:cs="Times New Roman"/>
                <w:color w:val="auto"/>
                <w:spacing w:val="-2"/>
                <w:kern w:val="0"/>
                <w:sz w:val="21"/>
                <w:szCs w:val="21"/>
                <w:highlight w:val="none"/>
              </w:rPr>
              <w:t xml:space="preserve">级□              </w:t>
            </w:r>
            <w:r>
              <w:rPr>
                <w:rFonts w:hint="default" w:ascii="Times New Roman" w:hAnsi="Times New Roman" w:eastAsia="宋体" w:cs="Times New Roman"/>
                <w:color w:val="auto"/>
                <w:spacing w:val="-4"/>
                <w:kern w:val="0"/>
                <w:sz w:val="21"/>
                <w:szCs w:val="21"/>
                <w:highlight w:val="none"/>
              </w:rPr>
              <w:t>二</w:t>
            </w:r>
            <w:r>
              <w:rPr>
                <w:rFonts w:hint="default" w:ascii="Times New Roman" w:hAnsi="Times New Roman" w:eastAsia="宋体" w:cs="Times New Roman"/>
                <w:color w:val="auto"/>
                <w:spacing w:val="-3"/>
                <w:kern w:val="0"/>
                <w:sz w:val="21"/>
                <w:szCs w:val="21"/>
                <w:highlight w:val="none"/>
              </w:rPr>
              <w:t>级</w:t>
            </w:r>
            <w:r>
              <w:rPr>
                <w:rFonts w:hint="default" w:ascii="Times New Roman" w:hAnsi="Times New Roman" w:eastAsia="宋体" w:cs="Times New Roman"/>
                <w:color w:val="auto"/>
                <w:spacing w:val="-6"/>
                <w:kern w:val="0"/>
                <w:sz w:val="21"/>
                <w:szCs w:val="21"/>
                <w:highlight w:val="none"/>
                <w:lang w:eastAsia="zh-CN"/>
              </w:rPr>
              <w:t>☑</w:t>
            </w:r>
            <w:r>
              <w:rPr>
                <w:rFonts w:hint="default" w:ascii="Times New Roman" w:hAnsi="Times New Roman" w:eastAsia="宋体" w:cs="Times New Roman"/>
                <w:color w:val="auto"/>
                <w:spacing w:val="-2"/>
                <w:kern w:val="0"/>
                <w:sz w:val="21"/>
                <w:szCs w:val="21"/>
                <w:highlight w:val="none"/>
              </w:rPr>
              <w:t xml:space="preserve">              三级</w:t>
            </w:r>
            <w:r>
              <w:rPr>
                <w:rFonts w:hint="default" w:ascii="Times New Roman" w:hAnsi="Times New Roman" w:eastAsia="宋体" w:cs="Times New Roman"/>
                <w:color w:val="auto"/>
                <w:spacing w:val="-1"/>
                <w:kern w:val="0"/>
                <w:sz w:val="21"/>
                <w:szCs w:val="21"/>
                <w:highlight w:val="none"/>
              </w:rPr>
              <w:t>□</w:t>
            </w:r>
          </w:p>
        </w:tc>
      </w:tr>
      <w:tr w14:paraId="7BAFB458">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trHeight w:val="390" w:hRule="atLeast"/>
        </w:trPr>
        <w:tc>
          <w:tcPr>
            <w:tcW w:w="930" w:type="dxa"/>
            <w:vMerge w:val="continue"/>
            <w:tcBorders>
              <w:tl2br w:val="nil"/>
              <w:tr2bl w:val="nil"/>
            </w:tcBorders>
            <w:noWrap w:val="0"/>
            <w:vAlign w:val="center"/>
          </w:tcPr>
          <w:p w14:paraId="09F2C8B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p>
        </w:tc>
        <w:tc>
          <w:tcPr>
            <w:tcW w:w="1325" w:type="dxa"/>
            <w:tcBorders>
              <w:tl2br w:val="nil"/>
              <w:tr2bl w:val="nil"/>
            </w:tcBorders>
            <w:noWrap w:val="0"/>
            <w:vAlign w:val="center"/>
          </w:tcPr>
          <w:p w14:paraId="46B6E96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2"/>
                <w:kern w:val="0"/>
                <w:sz w:val="21"/>
                <w:szCs w:val="21"/>
                <w:highlight w:val="none"/>
              </w:rPr>
              <w:t>评</w:t>
            </w:r>
            <w:r>
              <w:rPr>
                <w:rFonts w:hint="default" w:ascii="Times New Roman" w:hAnsi="Times New Roman" w:eastAsia="宋体" w:cs="Times New Roman"/>
                <w:color w:val="auto"/>
                <w:spacing w:val="-1"/>
                <w:kern w:val="0"/>
                <w:sz w:val="21"/>
                <w:szCs w:val="21"/>
                <w:highlight w:val="none"/>
              </w:rPr>
              <w:t>价范围</w:t>
            </w:r>
          </w:p>
        </w:tc>
        <w:tc>
          <w:tcPr>
            <w:tcW w:w="6365" w:type="dxa"/>
            <w:gridSpan w:val="17"/>
            <w:tcBorders>
              <w:tl2br w:val="nil"/>
              <w:tr2bl w:val="nil"/>
            </w:tcBorders>
            <w:noWrap w:val="0"/>
            <w:vAlign w:val="center"/>
          </w:tcPr>
          <w:p w14:paraId="6F36651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1"/>
                <w:kern w:val="0"/>
                <w:position w:val="1"/>
                <w:sz w:val="21"/>
                <w:szCs w:val="21"/>
                <w:highlight w:val="none"/>
              </w:rPr>
              <w:t>20</w:t>
            </w:r>
            <w:r>
              <w:rPr>
                <w:rFonts w:hint="default" w:ascii="Times New Roman" w:hAnsi="Times New Roman" w:eastAsia="宋体" w:cs="Times New Roman"/>
                <w:color w:val="auto"/>
                <w:kern w:val="0"/>
                <w:position w:val="1"/>
                <w:sz w:val="21"/>
                <w:szCs w:val="21"/>
                <w:highlight w:val="none"/>
              </w:rPr>
              <w:t>0 m</w:t>
            </w:r>
            <w:r>
              <w:rPr>
                <w:rFonts w:hint="default" w:ascii="Times New Roman" w:hAnsi="Times New Roman" w:eastAsia="宋体" w:cs="Times New Roman"/>
                <w:color w:val="auto"/>
                <w:spacing w:val="-6"/>
                <w:kern w:val="0"/>
                <w:sz w:val="21"/>
                <w:szCs w:val="21"/>
                <w:highlight w:val="none"/>
                <w:lang w:eastAsia="zh-CN"/>
              </w:rPr>
              <w:t>☑</w:t>
            </w:r>
            <w:r>
              <w:rPr>
                <w:rFonts w:hint="default" w:ascii="Times New Roman" w:hAnsi="Times New Roman" w:eastAsia="宋体" w:cs="Times New Roman"/>
                <w:color w:val="auto"/>
                <w:kern w:val="0"/>
                <w:position w:val="1"/>
                <w:sz w:val="21"/>
                <w:szCs w:val="21"/>
                <w:highlight w:val="none"/>
              </w:rPr>
              <w:t xml:space="preserve">         </w:t>
            </w:r>
            <w:r>
              <w:rPr>
                <w:rFonts w:hint="default" w:ascii="Times New Roman" w:hAnsi="Times New Roman" w:eastAsia="宋体" w:cs="Times New Roman"/>
                <w:color w:val="auto"/>
                <w:spacing w:val="-7"/>
                <w:kern w:val="0"/>
                <w:sz w:val="21"/>
                <w:szCs w:val="21"/>
                <w:highlight w:val="none"/>
              </w:rPr>
              <w:t>大</w:t>
            </w:r>
            <w:r>
              <w:rPr>
                <w:rFonts w:hint="default" w:ascii="Times New Roman" w:hAnsi="Times New Roman" w:eastAsia="宋体" w:cs="Times New Roman"/>
                <w:color w:val="auto"/>
                <w:spacing w:val="-6"/>
                <w:kern w:val="0"/>
                <w:sz w:val="21"/>
                <w:szCs w:val="21"/>
                <w:highlight w:val="none"/>
              </w:rPr>
              <w:t xml:space="preserve">于200 m□         </w:t>
            </w:r>
            <w:r>
              <w:rPr>
                <w:rFonts w:hint="default" w:ascii="Times New Roman" w:hAnsi="Times New Roman" w:eastAsia="宋体" w:cs="Times New Roman"/>
                <w:color w:val="auto"/>
                <w:spacing w:val="-9"/>
                <w:kern w:val="0"/>
                <w:sz w:val="21"/>
                <w:szCs w:val="21"/>
                <w:highlight w:val="none"/>
              </w:rPr>
              <w:t>小</w:t>
            </w:r>
            <w:r>
              <w:rPr>
                <w:rFonts w:hint="default" w:ascii="Times New Roman" w:hAnsi="Times New Roman" w:eastAsia="宋体" w:cs="Times New Roman"/>
                <w:color w:val="auto"/>
                <w:spacing w:val="-6"/>
                <w:kern w:val="0"/>
                <w:sz w:val="21"/>
                <w:szCs w:val="21"/>
                <w:highlight w:val="none"/>
              </w:rPr>
              <w:t>于200 m□</w:t>
            </w:r>
          </w:p>
        </w:tc>
      </w:tr>
      <w:tr w14:paraId="524BF2A3">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trHeight w:val="432" w:hRule="atLeast"/>
        </w:trPr>
        <w:tc>
          <w:tcPr>
            <w:tcW w:w="930" w:type="dxa"/>
            <w:tcBorders>
              <w:tl2br w:val="nil"/>
              <w:tr2bl w:val="nil"/>
            </w:tcBorders>
            <w:noWrap w:val="0"/>
            <w:vAlign w:val="center"/>
          </w:tcPr>
          <w:p w14:paraId="47C1A5E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2"/>
                <w:kern w:val="0"/>
                <w:sz w:val="21"/>
                <w:szCs w:val="21"/>
                <w:highlight w:val="none"/>
              </w:rPr>
              <w:t>评</w:t>
            </w:r>
            <w:r>
              <w:rPr>
                <w:rFonts w:hint="default" w:ascii="Times New Roman" w:hAnsi="Times New Roman" w:eastAsia="宋体" w:cs="Times New Roman"/>
                <w:color w:val="auto"/>
                <w:spacing w:val="-1"/>
                <w:kern w:val="0"/>
                <w:sz w:val="21"/>
                <w:szCs w:val="21"/>
                <w:highlight w:val="none"/>
              </w:rPr>
              <w:t>价因子</w:t>
            </w:r>
          </w:p>
        </w:tc>
        <w:tc>
          <w:tcPr>
            <w:tcW w:w="1325" w:type="dxa"/>
            <w:tcBorders>
              <w:tl2br w:val="nil"/>
              <w:tr2bl w:val="nil"/>
            </w:tcBorders>
            <w:noWrap w:val="0"/>
            <w:vAlign w:val="center"/>
          </w:tcPr>
          <w:p w14:paraId="64F80E1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2"/>
                <w:kern w:val="0"/>
                <w:sz w:val="21"/>
                <w:szCs w:val="21"/>
                <w:highlight w:val="none"/>
              </w:rPr>
              <w:t>评</w:t>
            </w:r>
            <w:r>
              <w:rPr>
                <w:rFonts w:hint="default" w:ascii="Times New Roman" w:hAnsi="Times New Roman" w:eastAsia="宋体" w:cs="Times New Roman"/>
                <w:color w:val="auto"/>
                <w:spacing w:val="-1"/>
                <w:kern w:val="0"/>
                <w:sz w:val="21"/>
                <w:szCs w:val="21"/>
                <w:highlight w:val="none"/>
              </w:rPr>
              <w:t>价因子</w:t>
            </w:r>
          </w:p>
        </w:tc>
        <w:tc>
          <w:tcPr>
            <w:tcW w:w="6365" w:type="dxa"/>
            <w:gridSpan w:val="17"/>
            <w:tcBorders>
              <w:tl2br w:val="nil"/>
              <w:tr2bl w:val="nil"/>
            </w:tcBorders>
            <w:noWrap w:val="0"/>
            <w:vAlign w:val="center"/>
          </w:tcPr>
          <w:p w14:paraId="52BE190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1"/>
                <w:kern w:val="0"/>
                <w:sz w:val="21"/>
                <w:szCs w:val="21"/>
                <w:highlight w:val="none"/>
              </w:rPr>
              <w:t>等效</w:t>
            </w:r>
            <w:r>
              <w:rPr>
                <w:rFonts w:hint="default" w:ascii="Times New Roman" w:hAnsi="Times New Roman" w:eastAsia="宋体" w:cs="Times New Roman"/>
                <w:color w:val="auto"/>
                <w:kern w:val="0"/>
                <w:sz w:val="21"/>
                <w:szCs w:val="21"/>
                <w:highlight w:val="none"/>
              </w:rPr>
              <w:t>连续A声级</w:t>
            </w:r>
            <w:r>
              <w:rPr>
                <w:rFonts w:hint="default" w:ascii="Times New Roman" w:hAnsi="Times New Roman" w:eastAsia="宋体" w:cs="Times New Roman"/>
                <w:color w:val="auto"/>
                <w:spacing w:val="-6"/>
                <w:kern w:val="0"/>
                <w:sz w:val="21"/>
                <w:szCs w:val="21"/>
                <w:highlight w:val="none"/>
                <w:lang w:eastAsia="zh-CN"/>
              </w:rPr>
              <w:t>☑</w:t>
            </w:r>
            <w:r>
              <w:rPr>
                <w:rFonts w:hint="default" w:ascii="Times New Roman" w:hAnsi="Times New Roman" w:eastAsia="宋体" w:cs="Times New Roman"/>
                <w:color w:val="auto"/>
                <w:kern w:val="0"/>
                <w:sz w:val="21"/>
                <w:szCs w:val="21"/>
                <w:highlight w:val="none"/>
              </w:rPr>
              <w:t xml:space="preserve">   最大A声级□   计权等效连续感觉噪声级□</w:t>
            </w:r>
          </w:p>
        </w:tc>
      </w:tr>
      <w:tr w14:paraId="50C75B9D">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trHeight w:val="421" w:hRule="atLeast"/>
        </w:trPr>
        <w:tc>
          <w:tcPr>
            <w:tcW w:w="930" w:type="dxa"/>
            <w:tcBorders>
              <w:tl2br w:val="nil"/>
              <w:tr2bl w:val="nil"/>
            </w:tcBorders>
            <w:noWrap w:val="0"/>
            <w:vAlign w:val="center"/>
          </w:tcPr>
          <w:p w14:paraId="2DBC524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2"/>
                <w:kern w:val="0"/>
                <w:sz w:val="21"/>
                <w:szCs w:val="21"/>
                <w:highlight w:val="none"/>
              </w:rPr>
              <w:t>评</w:t>
            </w:r>
            <w:r>
              <w:rPr>
                <w:rFonts w:hint="default" w:ascii="Times New Roman" w:hAnsi="Times New Roman" w:eastAsia="宋体" w:cs="Times New Roman"/>
                <w:color w:val="auto"/>
                <w:spacing w:val="-1"/>
                <w:kern w:val="0"/>
                <w:sz w:val="21"/>
                <w:szCs w:val="21"/>
                <w:highlight w:val="none"/>
              </w:rPr>
              <w:t>价标准</w:t>
            </w:r>
          </w:p>
        </w:tc>
        <w:tc>
          <w:tcPr>
            <w:tcW w:w="1325" w:type="dxa"/>
            <w:tcBorders>
              <w:tl2br w:val="nil"/>
              <w:tr2bl w:val="nil"/>
            </w:tcBorders>
            <w:noWrap w:val="0"/>
            <w:vAlign w:val="center"/>
          </w:tcPr>
          <w:p w14:paraId="4CDE6BE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2"/>
                <w:kern w:val="0"/>
                <w:sz w:val="21"/>
                <w:szCs w:val="21"/>
                <w:highlight w:val="none"/>
              </w:rPr>
              <w:t>评</w:t>
            </w:r>
            <w:r>
              <w:rPr>
                <w:rFonts w:hint="default" w:ascii="Times New Roman" w:hAnsi="Times New Roman" w:eastAsia="宋体" w:cs="Times New Roman"/>
                <w:color w:val="auto"/>
                <w:spacing w:val="-1"/>
                <w:kern w:val="0"/>
                <w:sz w:val="21"/>
                <w:szCs w:val="21"/>
                <w:highlight w:val="none"/>
              </w:rPr>
              <w:t>价标准</w:t>
            </w:r>
          </w:p>
        </w:tc>
        <w:tc>
          <w:tcPr>
            <w:tcW w:w="6365" w:type="dxa"/>
            <w:gridSpan w:val="17"/>
            <w:tcBorders>
              <w:tl2br w:val="nil"/>
              <w:tr2bl w:val="nil"/>
            </w:tcBorders>
            <w:noWrap w:val="0"/>
            <w:vAlign w:val="center"/>
          </w:tcPr>
          <w:p w14:paraId="0466A64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4"/>
                <w:kern w:val="0"/>
                <w:sz w:val="21"/>
                <w:szCs w:val="21"/>
                <w:highlight w:val="none"/>
              </w:rPr>
              <w:t>国家标准</w:t>
            </w:r>
            <w:r>
              <w:rPr>
                <w:rFonts w:hint="default" w:ascii="Times New Roman" w:hAnsi="Times New Roman" w:eastAsia="宋体" w:cs="Times New Roman"/>
                <w:color w:val="auto"/>
                <w:spacing w:val="-6"/>
                <w:kern w:val="0"/>
                <w:sz w:val="21"/>
                <w:szCs w:val="21"/>
                <w:highlight w:val="none"/>
                <w:lang w:eastAsia="zh-CN"/>
              </w:rPr>
              <w:t>☑</w:t>
            </w:r>
            <w:r>
              <w:rPr>
                <w:rFonts w:hint="default" w:ascii="Times New Roman" w:hAnsi="Times New Roman" w:eastAsia="宋体" w:cs="Times New Roman"/>
                <w:color w:val="auto"/>
                <w:spacing w:val="-4"/>
                <w:kern w:val="0"/>
                <w:sz w:val="21"/>
                <w:szCs w:val="21"/>
                <w:highlight w:val="none"/>
              </w:rPr>
              <w:t xml:space="preserve">           </w:t>
            </w:r>
            <w:r>
              <w:rPr>
                <w:rFonts w:hint="default" w:ascii="Times New Roman" w:hAnsi="Times New Roman" w:eastAsia="宋体" w:cs="Times New Roman"/>
                <w:color w:val="auto"/>
                <w:spacing w:val="-2"/>
                <w:kern w:val="0"/>
                <w:sz w:val="21"/>
                <w:szCs w:val="21"/>
                <w:highlight w:val="none"/>
              </w:rPr>
              <w:t>地</w:t>
            </w:r>
            <w:r>
              <w:rPr>
                <w:rFonts w:hint="default" w:ascii="Times New Roman" w:hAnsi="Times New Roman" w:eastAsia="宋体" w:cs="Times New Roman"/>
                <w:color w:val="auto"/>
                <w:spacing w:val="-1"/>
                <w:kern w:val="0"/>
                <w:sz w:val="21"/>
                <w:szCs w:val="21"/>
                <w:highlight w:val="none"/>
              </w:rPr>
              <w:t xml:space="preserve">方标准□            </w:t>
            </w:r>
            <w:r>
              <w:rPr>
                <w:rFonts w:hint="default" w:ascii="Times New Roman" w:hAnsi="Times New Roman" w:eastAsia="宋体" w:cs="Times New Roman"/>
                <w:color w:val="auto"/>
                <w:spacing w:val="-4"/>
                <w:kern w:val="0"/>
                <w:sz w:val="21"/>
                <w:szCs w:val="21"/>
                <w:highlight w:val="none"/>
              </w:rPr>
              <w:t>国外标准□</w:t>
            </w:r>
          </w:p>
        </w:tc>
      </w:tr>
      <w:tr w14:paraId="7247230D">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trHeight w:val="438" w:hRule="atLeast"/>
        </w:trPr>
        <w:tc>
          <w:tcPr>
            <w:tcW w:w="930" w:type="dxa"/>
            <w:vMerge w:val="restart"/>
            <w:tcBorders>
              <w:tl2br w:val="nil"/>
              <w:tr2bl w:val="nil"/>
            </w:tcBorders>
            <w:noWrap w:val="0"/>
            <w:vAlign w:val="center"/>
          </w:tcPr>
          <w:p w14:paraId="6AACA03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2"/>
                <w:kern w:val="0"/>
                <w:sz w:val="21"/>
                <w:szCs w:val="21"/>
                <w:highlight w:val="none"/>
              </w:rPr>
              <w:t>现状评</w:t>
            </w:r>
            <w:r>
              <w:rPr>
                <w:rFonts w:hint="default" w:ascii="Times New Roman" w:hAnsi="Times New Roman" w:eastAsia="宋体" w:cs="Times New Roman"/>
                <w:color w:val="auto"/>
                <w:spacing w:val="-1"/>
                <w:kern w:val="0"/>
                <w:sz w:val="21"/>
                <w:szCs w:val="21"/>
                <w:highlight w:val="none"/>
              </w:rPr>
              <w:t>价</w:t>
            </w:r>
          </w:p>
        </w:tc>
        <w:tc>
          <w:tcPr>
            <w:tcW w:w="1325" w:type="dxa"/>
            <w:tcBorders>
              <w:tl2br w:val="nil"/>
              <w:tr2bl w:val="nil"/>
            </w:tcBorders>
            <w:noWrap w:val="0"/>
            <w:vAlign w:val="center"/>
          </w:tcPr>
          <w:p w14:paraId="3206C16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2"/>
                <w:kern w:val="0"/>
                <w:sz w:val="21"/>
                <w:szCs w:val="21"/>
                <w:highlight w:val="none"/>
              </w:rPr>
              <w:t>环</w:t>
            </w:r>
            <w:r>
              <w:rPr>
                <w:rFonts w:hint="default" w:ascii="Times New Roman" w:hAnsi="Times New Roman" w:eastAsia="宋体" w:cs="Times New Roman"/>
                <w:color w:val="auto"/>
                <w:spacing w:val="-1"/>
                <w:kern w:val="0"/>
                <w:sz w:val="21"/>
                <w:szCs w:val="21"/>
                <w:highlight w:val="none"/>
              </w:rPr>
              <w:t>境功能区</w:t>
            </w:r>
          </w:p>
        </w:tc>
        <w:tc>
          <w:tcPr>
            <w:tcW w:w="1009" w:type="dxa"/>
            <w:tcBorders>
              <w:tl2br w:val="nil"/>
              <w:tr2bl w:val="nil"/>
            </w:tcBorders>
            <w:noWrap w:val="0"/>
            <w:vAlign w:val="center"/>
          </w:tcPr>
          <w:p w14:paraId="0B5161E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1"/>
                <w:kern w:val="0"/>
                <w:sz w:val="21"/>
                <w:szCs w:val="21"/>
                <w:highlight w:val="none"/>
              </w:rPr>
              <w:t>0类</w:t>
            </w:r>
            <w:r>
              <w:rPr>
                <w:rFonts w:hint="default" w:ascii="Times New Roman" w:hAnsi="Times New Roman" w:eastAsia="宋体" w:cs="Times New Roman"/>
                <w:color w:val="auto"/>
                <w:kern w:val="0"/>
                <w:sz w:val="21"/>
                <w:szCs w:val="21"/>
                <w:highlight w:val="none"/>
              </w:rPr>
              <w:t>区□</w:t>
            </w:r>
          </w:p>
        </w:tc>
        <w:tc>
          <w:tcPr>
            <w:tcW w:w="1015" w:type="dxa"/>
            <w:gridSpan w:val="4"/>
            <w:tcBorders>
              <w:tl2br w:val="nil"/>
              <w:tr2bl w:val="nil"/>
            </w:tcBorders>
            <w:noWrap w:val="0"/>
            <w:vAlign w:val="center"/>
          </w:tcPr>
          <w:p w14:paraId="017051D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5"/>
                <w:kern w:val="0"/>
                <w:sz w:val="21"/>
                <w:szCs w:val="21"/>
                <w:highlight w:val="none"/>
              </w:rPr>
              <w:t>1</w:t>
            </w:r>
            <w:r>
              <w:rPr>
                <w:rFonts w:hint="default" w:ascii="Times New Roman" w:hAnsi="Times New Roman" w:eastAsia="宋体" w:cs="Times New Roman"/>
                <w:color w:val="auto"/>
                <w:spacing w:val="-3"/>
                <w:kern w:val="0"/>
                <w:sz w:val="21"/>
                <w:szCs w:val="21"/>
                <w:highlight w:val="none"/>
              </w:rPr>
              <w:t>类区□</w:t>
            </w:r>
          </w:p>
        </w:tc>
        <w:tc>
          <w:tcPr>
            <w:tcW w:w="1038" w:type="dxa"/>
            <w:gridSpan w:val="3"/>
            <w:tcBorders>
              <w:tl2br w:val="nil"/>
              <w:tr2bl w:val="nil"/>
            </w:tcBorders>
            <w:noWrap w:val="0"/>
            <w:vAlign w:val="center"/>
          </w:tcPr>
          <w:p w14:paraId="24E8611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2类区</w:t>
            </w:r>
            <w:r>
              <w:rPr>
                <w:rFonts w:hint="default" w:ascii="Times New Roman" w:hAnsi="Times New Roman" w:eastAsia="宋体" w:cs="Times New Roman"/>
                <w:color w:val="auto"/>
                <w:spacing w:val="-6"/>
                <w:kern w:val="0"/>
                <w:sz w:val="21"/>
                <w:szCs w:val="21"/>
                <w:highlight w:val="none"/>
                <w:lang w:eastAsia="zh-CN"/>
              </w:rPr>
              <w:t>☑</w:t>
            </w:r>
          </w:p>
        </w:tc>
        <w:tc>
          <w:tcPr>
            <w:tcW w:w="1048" w:type="dxa"/>
            <w:gridSpan w:val="3"/>
            <w:tcBorders>
              <w:tl2br w:val="nil"/>
              <w:tr2bl w:val="nil"/>
            </w:tcBorders>
            <w:noWrap w:val="0"/>
            <w:vAlign w:val="center"/>
          </w:tcPr>
          <w:p w14:paraId="490ABA7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1"/>
                <w:kern w:val="0"/>
                <w:sz w:val="21"/>
                <w:szCs w:val="21"/>
                <w:highlight w:val="none"/>
              </w:rPr>
              <w:t>3类区</w:t>
            </w:r>
            <w:r>
              <w:rPr>
                <w:rFonts w:hint="default" w:ascii="Times New Roman" w:hAnsi="Times New Roman" w:eastAsia="宋体" w:cs="Times New Roman"/>
                <w:color w:val="auto"/>
                <w:kern w:val="0"/>
                <w:sz w:val="21"/>
                <w:szCs w:val="21"/>
                <w:highlight w:val="none"/>
              </w:rPr>
              <w:t>□</w:t>
            </w:r>
          </w:p>
        </w:tc>
        <w:tc>
          <w:tcPr>
            <w:tcW w:w="1012" w:type="dxa"/>
            <w:gridSpan w:val="4"/>
            <w:tcBorders>
              <w:tl2br w:val="nil"/>
              <w:tr2bl w:val="nil"/>
            </w:tcBorders>
            <w:noWrap w:val="0"/>
            <w:vAlign w:val="center"/>
          </w:tcPr>
          <w:p w14:paraId="2CF605C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1"/>
                <w:kern w:val="0"/>
                <w:sz w:val="21"/>
                <w:szCs w:val="21"/>
                <w:highlight w:val="none"/>
              </w:rPr>
              <w:t>4</w:t>
            </w:r>
            <w:r>
              <w:rPr>
                <w:rFonts w:hint="default" w:ascii="Times New Roman" w:hAnsi="Times New Roman" w:eastAsia="宋体" w:cs="Times New Roman"/>
                <w:color w:val="auto"/>
                <w:kern w:val="0"/>
                <w:sz w:val="21"/>
                <w:szCs w:val="21"/>
                <w:highlight w:val="none"/>
              </w:rPr>
              <w:t>a类区□</w:t>
            </w:r>
          </w:p>
        </w:tc>
        <w:tc>
          <w:tcPr>
            <w:tcW w:w="1243" w:type="dxa"/>
            <w:gridSpan w:val="2"/>
            <w:tcBorders>
              <w:tl2br w:val="nil"/>
              <w:tr2bl w:val="nil"/>
            </w:tcBorders>
            <w:noWrap w:val="0"/>
            <w:vAlign w:val="center"/>
          </w:tcPr>
          <w:p w14:paraId="6D2485B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1"/>
                <w:kern w:val="0"/>
                <w:sz w:val="21"/>
                <w:szCs w:val="21"/>
                <w:highlight w:val="none"/>
              </w:rPr>
              <w:t>4</w:t>
            </w:r>
            <w:r>
              <w:rPr>
                <w:rFonts w:hint="default" w:ascii="Times New Roman" w:hAnsi="Times New Roman" w:eastAsia="宋体" w:cs="Times New Roman"/>
                <w:color w:val="auto"/>
                <w:kern w:val="0"/>
                <w:sz w:val="21"/>
                <w:szCs w:val="21"/>
                <w:highlight w:val="none"/>
              </w:rPr>
              <w:t>b类区□</w:t>
            </w:r>
          </w:p>
        </w:tc>
      </w:tr>
      <w:tr w14:paraId="10C1AC5A">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trHeight w:val="408" w:hRule="atLeast"/>
        </w:trPr>
        <w:tc>
          <w:tcPr>
            <w:tcW w:w="930" w:type="dxa"/>
            <w:vMerge w:val="continue"/>
            <w:tcBorders>
              <w:tl2br w:val="nil"/>
              <w:tr2bl w:val="nil"/>
            </w:tcBorders>
            <w:noWrap w:val="0"/>
            <w:vAlign w:val="center"/>
          </w:tcPr>
          <w:p w14:paraId="3899619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p>
        </w:tc>
        <w:tc>
          <w:tcPr>
            <w:tcW w:w="1325" w:type="dxa"/>
            <w:tcBorders>
              <w:tl2br w:val="nil"/>
              <w:tr2bl w:val="nil"/>
            </w:tcBorders>
            <w:noWrap w:val="0"/>
            <w:vAlign w:val="center"/>
          </w:tcPr>
          <w:p w14:paraId="674D4CF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2"/>
                <w:kern w:val="0"/>
                <w:sz w:val="21"/>
                <w:szCs w:val="21"/>
                <w:highlight w:val="none"/>
              </w:rPr>
              <w:t>评</w:t>
            </w:r>
            <w:r>
              <w:rPr>
                <w:rFonts w:hint="default" w:ascii="Times New Roman" w:hAnsi="Times New Roman" w:eastAsia="宋体" w:cs="Times New Roman"/>
                <w:color w:val="auto"/>
                <w:spacing w:val="-1"/>
                <w:kern w:val="0"/>
                <w:sz w:val="21"/>
                <w:szCs w:val="21"/>
                <w:highlight w:val="none"/>
              </w:rPr>
              <w:t>价年度</w:t>
            </w:r>
          </w:p>
        </w:tc>
        <w:tc>
          <w:tcPr>
            <w:tcW w:w="1542" w:type="dxa"/>
            <w:gridSpan w:val="3"/>
            <w:tcBorders>
              <w:tl2br w:val="nil"/>
              <w:tr2bl w:val="nil"/>
            </w:tcBorders>
            <w:noWrap w:val="0"/>
            <w:vAlign w:val="center"/>
          </w:tcPr>
          <w:p w14:paraId="5EBABD7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spacing w:val="-2"/>
                <w:kern w:val="0"/>
                <w:sz w:val="21"/>
                <w:szCs w:val="21"/>
                <w:highlight w:val="none"/>
              </w:rPr>
              <w:t>初期</w:t>
            </w:r>
            <w:r>
              <w:rPr>
                <w:rFonts w:hint="default" w:ascii="Times New Roman" w:hAnsi="Times New Roman" w:eastAsia="宋体" w:cs="Times New Roman"/>
                <w:color w:val="auto"/>
                <w:spacing w:val="-6"/>
                <w:kern w:val="0"/>
                <w:sz w:val="21"/>
                <w:szCs w:val="21"/>
                <w:highlight w:val="none"/>
                <w:lang w:eastAsia="zh-CN"/>
              </w:rPr>
              <w:t>☑</w:t>
            </w:r>
          </w:p>
        </w:tc>
        <w:tc>
          <w:tcPr>
            <w:tcW w:w="1520" w:type="dxa"/>
            <w:gridSpan w:val="5"/>
            <w:tcBorders>
              <w:tl2br w:val="nil"/>
              <w:tr2bl w:val="nil"/>
            </w:tcBorders>
            <w:noWrap w:val="0"/>
            <w:vAlign w:val="center"/>
          </w:tcPr>
          <w:p w14:paraId="4C3D93C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spacing w:val="-2"/>
                <w:kern w:val="0"/>
                <w:sz w:val="21"/>
                <w:szCs w:val="21"/>
                <w:highlight w:val="none"/>
              </w:rPr>
              <w:t>近期</w:t>
            </w:r>
            <w:r>
              <w:rPr>
                <w:rFonts w:hint="default" w:ascii="Times New Roman" w:hAnsi="Times New Roman" w:eastAsia="宋体" w:cs="Times New Roman"/>
                <w:color w:val="auto"/>
                <w:spacing w:val="-1"/>
                <w:kern w:val="0"/>
                <w:sz w:val="21"/>
                <w:szCs w:val="21"/>
                <w:highlight w:val="none"/>
                <w:lang w:eastAsia="zh-CN"/>
              </w:rPr>
              <w:t>☑</w:t>
            </w:r>
          </w:p>
        </w:tc>
        <w:tc>
          <w:tcPr>
            <w:tcW w:w="1566" w:type="dxa"/>
            <w:gridSpan w:val="4"/>
            <w:tcBorders>
              <w:tl2br w:val="nil"/>
              <w:tr2bl w:val="nil"/>
            </w:tcBorders>
            <w:noWrap w:val="0"/>
            <w:vAlign w:val="center"/>
          </w:tcPr>
          <w:p w14:paraId="42E3094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6"/>
                <w:kern w:val="0"/>
                <w:sz w:val="21"/>
                <w:szCs w:val="21"/>
                <w:highlight w:val="none"/>
              </w:rPr>
              <w:t>中</w:t>
            </w:r>
            <w:r>
              <w:rPr>
                <w:rFonts w:hint="default" w:ascii="Times New Roman" w:hAnsi="Times New Roman" w:eastAsia="宋体" w:cs="Times New Roman"/>
                <w:color w:val="auto"/>
                <w:spacing w:val="-5"/>
                <w:kern w:val="0"/>
                <w:sz w:val="21"/>
                <w:szCs w:val="21"/>
                <w:highlight w:val="none"/>
              </w:rPr>
              <w:t>期□</w:t>
            </w:r>
          </w:p>
        </w:tc>
        <w:tc>
          <w:tcPr>
            <w:tcW w:w="1737" w:type="dxa"/>
            <w:gridSpan w:val="5"/>
            <w:tcBorders>
              <w:tl2br w:val="nil"/>
              <w:tr2bl w:val="nil"/>
            </w:tcBorders>
            <w:noWrap w:val="0"/>
            <w:vAlign w:val="center"/>
          </w:tcPr>
          <w:p w14:paraId="28D62CC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2"/>
                <w:kern w:val="0"/>
                <w:sz w:val="21"/>
                <w:szCs w:val="21"/>
                <w:highlight w:val="none"/>
              </w:rPr>
              <w:t>远期</w:t>
            </w:r>
            <w:r>
              <w:rPr>
                <w:rFonts w:hint="default" w:ascii="Times New Roman" w:hAnsi="Times New Roman" w:eastAsia="宋体" w:cs="Times New Roman"/>
                <w:color w:val="auto"/>
                <w:spacing w:val="-1"/>
                <w:kern w:val="0"/>
                <w:sz w:val="21"/>
                <w:szCs w:val="21"/>
                <w:highlight w:val="none"/>
              </w:rPr>
              <w:t>□</w:t>
            </w:r>
          </w:p>
        </w:tc>
      </w:tr>
      <w:tr w14:paraId="474757B6">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trHeight w:val="594" w:hRule="atLeast"/>
        </w:trPr>
        <w:tc>
          <w:tcPr>
            <w:tcW w:w="930" w:type="dxa"/>
            <w:vMerge w:val="continue"/>
            <w:tcBorders>
              <w:tl2br w:val="nil"/>
              <w:tr2bl w:val="nil"/>
            </w:tcBorders>
            <w:noWrap w:val="0"/>
            <w:vAlign w:val="center"/>
          </w:tcPr>
          <w:p w14:paraId="287BA0A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p>
        </w:tc>
        <w:tc>
          <w:tcPr>
            <w:tcW w:w="1325" w:type="dxa"/>
            <w:tcBorders>
              <w:tl2br w:val="nil"/>
              <w:tr2bl w:val="nil"/>
            </w:tcBorders>
            <w:noWrap w:val="0"/>
            <w:vAlign w:val="center"/>
          </w:tcPr>
          <w:p w14:paraId="5DFBD64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2"/>
                <w:kern w:val="0"/>
                <w:sz w:val="21"/>
                <w:szCs w:val="21"/>
                <w:highlight w:val="none"/>
              </w:rPr>
              <w:t>现状</w:t>
            </w:r>
            <w:r>
              <w:rPr>
                <w:rFonts w:hint="default" w:ascii="Times New Roman" w:hAnsi="Times New Roman" w:eastAsia="宋体" w:cs="Times New Roman"/>
                <w:color w:val="auto"/>
                <w:spacing w:val="-1"/>
                <w:kern w:val="0"/>
                <w:sz w:val="21"/>
                <w:szCs w:val="21"/>
                <w:highlight w:val="none"/>
              </w:rPr>
              <w:t>调查方法</w:t>
            </w:r>
          </w:p>
        </w:tc>
        <w:tc>
          <w:tcPr>
            <w:tcW w:w="6365" w:type="dxa"/>
            <w:gridSpan w:val="17"/>
            <w:tcBorders>
              <w:tl2br w:val="nil"/>
              <w:tr2bl w:val="nil"/>
            </w:tcBorders>
            <w:noWrap w:val="0"/>
            <w:vAlign w:val="center"/>
          </w:tcPr>
          <w:p w14:paraId="4096354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2"/>
                <w:kern w:val="0"/>
                <w:sz w:val="21"/>
                <w:szCs w:val="21"/>
                <w:highlight w:val="none"/>
              </w:rPr>
              <w:t>现场实测法</w:t>
            </w:r>
            <w:r>
              <w:rPr>
                <w:rFonts w:hint="default" w:ascii="Times New Roman" w:hAnsi="Times New Roman" w:eastAsia="宋体" w:cs="Times New Roman"/>
                <w:color w:val="auto"/>
                <w:spacing w:val="2"/>
                <w:kern w:val="0"/>
                <w:sz w:val="21"/>
                <w:szCs w:val="21"/>
                <w:highlight w:val="none"/>
              </w:rPr>
              <w:sym w:font="Wingdings 2" w:char="0052"/>
            </w:r>
            <w:r>
              <w:rPr>
                <w:rFonts w:hint="default" w:ascii="Times New Roman" w:hAnsi="Times New Roman" w:eastAsia="宋体" w:cs="Times New Roman"/>
                <w:color w:val="auto"/>
                <w:spacing w:val="2"/>
                <w:kern w:val="0"/>
                <w:sz w:val="21"/>
                <w:szCs w:val="21"/>
                <w:highlight w:val="none"/>
              </w:rPr>
              <w:t xml:space="preserve">  </w:t>
            </w:r>
            <w:r>
              <w:rPr>
                <w:rFonts w:hint="default" w:ascii="Times New Roman" w:hAnsi="Times New Roman" w:eastAsia="宋体" w:cs="Times New Roman"/>
                <w:color w:val="auto"/>
                <w:spacing w:val="1"/>
                <w:kern w:val="0"/>
                <w:sz w:val="21"/>
                <w:szCs w:val="21"/>
                <w:highlight w:val="none"/>
              </w:rPr>
              <w:t xml:space="preserve">   现场实测加模型计算法</w:t>
            </w:r>
            <w:r>
              <w:rPr>
                <w:rFonts w:hint="default" w:ascii="Times New Roman" w:hAnsi="Times New Roman" w:eastAsia="宋体" w:cs="Times New Roman"/>
                <w:color w:val="auto"/>
                <w:spacing w:val="-6"/>
                <w:kern w:val="0"/>
                <w:sz w:val="21"/>
                <w:szCs w:val="21"/>
                <w:highlight w:val="none"/>
                <w:lang w:eastAsia="zh-CN"/>
              </w:rPr>
              <w:t>□</w:t>
            </w:r>
            <w:r>
              <w:rPr>
                <w:rFonts w:hint="default" w:ascii="Times New Roman" w:hAnsi="Times New Roman" w:eastAsia="宋体" w:cs="Times New Roman"/>
                <w:color w:val="auto"/>
                <w:spacing w:val="1"/>
                <w:kern w:val="0"/>
                <w:sz w:val="21"/>
                <w:szCs w:val="21"/>
                <w:highlight w:val="none"/>
              </w:rPr>
              <w:t xml:space="preserve">     收集资料□</w:t>
            </w:r>
          </w:p>
        </w:tc>
      </w:tr>
      <w:tr w14:paraId="2C51F116">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trHeight w:val="430" w:hRule="atLeast"/>
        </w:trPr>
        <w:tc>
          <w:tcPr>
            <w:tcW w:w="930" w:type="dxa"/>
            <w:vMerge w:val="continue"/>
            <w:tcBorders>
              <w:tl2br w:val="nil"/>
              <w:tr2bl w:val="nil"/>
            </w:tcBorders>
            <w:noWrap w:val="0"/>
            <w:vAlign w:val="center"/>
          </w:tcPr>
          <w:p w14:paraId="4968902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p>
        </w:tc>
        <w:tc>
          <w:tcPr>
            <w:tcW w:w="1325" w:type="dxa"/>
            <w:tcBorders>
              <w:tl2br w:val="nil"/>
              <w:tr2bl w:val="nil"/>
            </w:tcBorders>
            <w:noWrap w:val="0"/>
            <w:vAlign w:val="center"/>
          </w:tcPr>
          <w:p w14:paraId="12037B4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2"/>
                <w:kern w:val="0"/>
                <w:sz w:val="21"/>
                <w:szCs w:val="21"/>
                <w:highlight w:val="none"/>
              </w:rPr>
              <w:t>现状评</w:t>
            </w:r>
            <w:r>
              <w:rPr>
                <w:rFonts w:hint="default" w:ascii="Times New Roman" w:hAnsi="Times New Roman" w:eastAsia="宋体" w:cs="Times New Roman"/>
                <w:color w:val="auto"/>
                <w:spacing w:val="-1"/>
                <w:kern w:val="0"/>
                <w:sz w:val="21"/>
                <w:szCs w:val="21"/>
                <w:highlight w:val="none"/>
              </w:rPr>
              <w:t>价</w:t>
            </w:r>
          </w:p>
        </w:tc>
        <w:tc>
          <w:tcPr>
            <w:tcW w:w="1839" w:type="dxa"/>
            <w:gridSpan w:val="4"/>
            <w:tcBorders>
              <w:tl2br w:val="nil"/>
              <w:tr2bl w:val="nil"/>
            </w:tcBorders>
            <w:noWrap w:val="0"/>
            <w:vAlign w:val="center"/>
          </w:tcPr>
          <w:p w14:paraId="0ACDE31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2"/>
                <w:kern w:val="0"/>
                <w:sz w:val="21"/>
                <w:szCs w:val="21"/>
                <w:highlight w:val="none"/>
              </w:rPr>
              <w:t>达</w:t>
            </w:r>
            <w:r>
              <w:rPr>
                <w:rFonts w:hint="default" w:ascii="Times New Roman" w:hAnsi="Times New Roman" w:eastAsia="宋体" w:cs="Times New Roman"/>
                <w:color w:val="auto"/>
                <w:spacing w:val="-1"/>
                <w:kern w:val="0"/>
                <w:sz w:val="21"/>
                <w:szCs w:val="21"/>
                <w:highlight w:val="none"/>
              </w:rPr>
              <w:t>标百分比</w:t>
            </w:r>
          </w:p>
        </w:tc>
        <w:tc>
          <w:tcPr>
            <w:tcW w:w="4526" w:type="dxa"/>
            <w:gridSpan w:val="13"/>
            <w:tcBorders>
              <w:tl2br w:val="nil"/>
              <w:tr2bl w:val="nil"/>
            </w:tcBorders>
            <w:noWrap w:val="0"/>
            <w:vAlign w:val="center"/>
          </w:tcPr>
          <w:p w14:paraId="68244A1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100%</w:t>
            </w:r>
          </w:p>
        </w:tc>
      </w:tr>
      <w:tr w14:paraId="2178D29F">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trHeight w:val="683" w:hRule="atLeast"/>
        </w:trPr>
        <w:tc>
          <w:tcPr>
            <w:tcW w:w="930" w:type="dxa"/>
            <w:tcBorders>
              <w:tl2br w:val="nil"/>
              <w:tr2bl w:val="nil"/>
            </w:tcBorders>
            <w:noWrap w:val="0"/>
            <w:vAlign w:val="center"/>
          </w:tcPr>
          <w:p w14:paraId="3330006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5"/>
                <w:kern w:val="0"/>
                <w:position w:val="6"/>
                <w:sz w:val="21"/>
                <w:szCs w:val="21"/>
                <w:highlight w:val="none"/>
              </w:rPr>
              <w:t>噪</w:t>
            </w:r>
            <w:r>
              <w:rPr>
                <w:rFonts w:hint="default" w:ascii="Times New Roman" w:hAnsi="Times New Roman" w:eastAsia="宋体" w:cs="Times New Roman"/>
                <w:color w:val="auto"/>
                <w:spacing w:val="-3"/>
                <w:kern w:val="0"/>
                <w:position w:val="6"/>
                <w:sz w:val="21"/>
                <w:szCs w:val="21"/>
                <w:highlight w:val="none"/>
              </w:rPr>
              <w:t>声源</w:t>
            </w:r>
          </w:p>
          <w:p w14:paraId="45482B1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3"/>
                <w:kern w:val="0"/>
                <w:sz w:val="21"/>
                <w:szCs w:val="21"/>
                <w:highlight w:val="none"/>
              </w:rPr>
              <w:t>调</w:t>
            </w:r>
            <w:r>
              <w:rPr>
                <w:rFonts w:hint="default" w:ascii="Times New Roman" w:hAnsi="Times New Roman" w:eastAsia="宋体" w:cs="Times New Roman"/>
                <w:color w:val="auto"/>
                <w:spacing w:val="-2"/>
                <w:kern w:val="0"/>
                <w:sz w:val="21"/>
                <w:szCs w:val="21"/>
                <w:highlight w:val="none"/>
              </w:rPr>
              <w:t>查</w:t>
            </w:r>
          </w:p>
        </w:tc>
        <w:tc>
          <w:tcPr>
            <w:tcW w:w="1325" w:type="dxa"/>
            <w:tcBorders>
              <w:tl2br w:val="nil"/>
              <w:tr2bl w:val="nil"/>
            </w:tcBorders>
            <w:noWrap w:val="0"/>
            <w:vAlign w:val="center"/>
          </w:tcPr>
          <w:p w14:paraId="0CACC49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4"/>
                <w:kern w:val="0"/>
                <w:sz w:val="21"/>
                <w:szCs w:val="21"/>
                <w:highlight w:val="none"/>
              </w:rPr>
              <w:t>噪声</w:t>
            </w:r>
            <w:r>
              <w:rPr>
                <w:rFonts w:hint="default" w:ascii="Times New Roman" w:hAnsi="Times New Roman" w:eastAsia="宋体" w:cs="Times New Roman"/>
                <w:color w:val="auto"/>
                <w:spacing w:val="-2"/>
                <w:kern w:val="0"/>
                <w:sz w:val="21"/>
                <w:szCs w:val="21"/>
                <w:highlight w:val="none"/>
              </w:rPr>
              <w:t>源调查方</w:t>
            </w:r>
            <w:r>
              <w:rPr>
                <w:rFonts w:hint="default" w:ascii="Times New Roman" w:hAnsi="Times New Roman" w:eastAsia="宋体" w:cs="Times New Roman"/>
                <w:color w:val="auto"/>
                <w:kern w:val="0"/>
                <w:sz w:val="21"/>
                <w:szCs w:val="21"/>
                <w:highlight w:val="none"/>
              </w:rPr>
              <w:t>法</w:t>
            </w:r>
          </w:p>
        </w:tc>
        <w:tc>
          <w:tcPr>
            <w:tcW w:w="6365" w:type="dxa"/>
            <w:gridSpan w:val="17"/>
            <w:tcBorders>
              <w:tl2br w:val="nil"/>
              <w:tr2bl w:val="nil"/>
            </w:tcBorders>
            <w:noWrap w:val="0"/>
            <w:vAlign w:val="center"/>
          </w:tcPr>
          <w:p w14:paraId="47CC5D22">
            <w:pPr>
              <w:keepNext w:val="0"/>
              <w:keepLines w:val="0"/>
              <w:pageBreakBefore w:val="0"/>
              <w:widowControl w:val="0"/>
              <w:kinsoku/>
              <w:wordWrap/>
              <w:overflowPunct/>
              <w:topLinePunct w:val="0"/>
              <w:autoSpaceDE/>
              <w:autoSpaceDN/>
              <w:bidi w:val="0"/>
              <w:adjustRightInd/>
              <w:snapToGrid/>
              <w:spacing w:line="400" w:lineRule="exact"/>
              <w:ind w:firstLine="412" w:firstLineChars="20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2"/>
                <w:kern w:val="0"/>
                <w:sz w:val="21"/>
                <w:szCs w:val="21"/>
                <w:highlight w:val="none"/>
              </w:rPr>
              <w:t>现场</w:t>
            </w:r>
            <w:r>
              <w:rPr>
                <w:rFonts w:hint="default" w:ascii="Times New Roman" w:hAnsi="Times New Roman" w:eastAsia="宋体" w:cs="Times New Roman"/>
                <w:color w:val="auto"/>
                <w:spacing w:val="-1"/>
                <w:kern w:val="0"/>
                <w:sz w:val="21"/>
                <w:szCs w:val="21"/>
                <w:highlight w:val="none"/>
              </w:rPr>
              <w:t xml:space="preserve">实测□          </w:t>
            </w:r>
            <w:r>
              <w:rPr>
                <w:rFonts w:hint="default" w:ascii="Times New Roman" w:hAnsi="Times New Roman" w:eastAsia="宋体" w:cs="Times New Roman"/>
                <w:color w:val="auto"/>
                <w:spacing w:val="1"/>
                <w:kern w:val="0"/>
                <w:sz w:val="21"/>
                <w:szCs w:val="21"/>
                <w:highlight w:val="none"/>
              </w:rPr>
              <w:t>已有资料</w:t>
            </w:r>
            <w:r>
              <w:rPr>
                <w:rFonts w:hint="default" w:ascii="Times New Roman" w:hAnsi="Times New Roman" w:eastAsia="宋体" w:cs="Times New Roman"/>
                <w:color w:val="auto"/>
                <w:spacing w:val="-6"/>
                <w:kern w:val="0"/>
                <w:sz w:val="21"/>
                <w:szCs w:val="21"/>
                <w:highlight w:val="none"/>
                <w:lang w:eastAsia="zh-CN"/>
              </w:rPr>
              <w:t>☑</w:t>
            </w:r>
            <w:r>
              <w:rPr>
                <w:rFonts w:hint="default" w:ascii="Times New Roman" w:hAnsi="Times New Roman" w:eastAsia="宋体" w:cs="Times New Roman"/>
                <w:color w:val="auto"/>
                <w:spacing w:val="1"/>
                <w:kern w:val="0"/>
                <w:sz w:val="21"/>
                <w:szCs w:val="21"/>
                <w:highlight w:val="none"/>
              </w:rPr>
              <w:t xml:space="preserve">            研究成果</w:t>
            </w:r>
            <w:r>
              <w:rPr>
                <w:rFonts w:hint="default" w:ascii="Times New Roman" w:hAnsi="Times New Roman" w:eastAsia="宋体" w:cs="Times New Roman"/>
                <w:color w:val="auto"/>
                <w:kern w:val="0"/>
                <w:sz w:val="21"/>
                <w:szCs w:val="21"/>
                <w:highlight w:val="none"/>
              </w:rPr>
              <w:t>□</w:t>
            </w:r>
          </w:p>
        </w:tc>
      </w:tr>
      <w:tr w14:paraId="29894492">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trHeight w:val="351" w:hRule="atLeast"/>
        </w:trPr>
        <w:tc>
          <w:tcPr>
            <w:tcW w:w="930" w:type="dxa"/>
            <w:vMerge w:val="restart"/>
            <w:tcBorders>
              <w:tl2br w:val="nil"/>
              <w:tr2bl w:val="nil"/>
            </w:tcBorders>
            <w:noWrap w:val="0"/>
            <w:vAlign w:val="center"/>
          </w:tcPr>
          <w:p w14:paraId="12D939B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2"/>
                <w:kern w:val="0"/>
                <w:sz w:val="21"/>
                <w:szCs w:val="21"/>
                <w:highlight w:val="none"/>
              </w:rPr>
              <w:t>声环境影</w:t>
            </w:r>
          </w:p>
          <w:p w14:paraId="1942F20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4"/>
                <w:kern w:val="0"/>
                <w:sz w:val="21"/>
                <w:szCs w:val="21"/>
                <w:highlight w:val="none"/>
              </w:rPr>
              <w:t>响</w:t>
            </w:r>
            <w:r>
              <w:rPr>
                <w:rFonts w:hint="default" w:ascii="Times New Roman" w:hAnsi="Times New Roman" w:eastAsia="宋体" w:cs="Times New Roman"/>
                <w:color w:val="auto"/>
                <w:spacing w:val="-3"/>
                <w:kern w:val="0"/>
                <w:sz w:val="21"/>
                <w:szCs w:val="21"/>
                <w:highlight w:val="none"/>
              </w:rPr>
              <w:t>预测与</w:t>
            </w:r>
          </w:p>
          <w:p w14:paraId="43B134C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2"/>
                <w:kern w:val="0"/>
                <w:sz w:val="21"/>
                <w:szCs w:val="21"/>
                <w:highlight w:val="none"/>
              </w:rPr>
              <w:t>评价</w:t>
            </w:r>
          </w:p>
        </w:tc>
        <w:tc>
          <w:tcPr>
            <w:tcW w:w="1325" w:type="dxa"/>
            <w:tcBorders>
              <w:tl2br w:val="nil"/>
              <w:tr2bl w:val="nil"/>
            </w:tcBorders>
            <w:noWrap w:val="0"/>
            <w:vAlign w:val="center"/>
          </w:tcPr>
          <w:p w14:paraId="2DC6C60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2"/>
                <w:kern w:val="0"/>
                <w:sz w:val="21"/>
                <w:szCs w:val="21"/>
                <w:highlight w:val="none"/>
              </w:rPr>
              <w:t>预测模</w:t>
            </w:r>
            <w:r>
              <w:rPr>
                <w:rFonts w:hint="default" w:ascii="Times New Roman" w:hAnsi="Times New Roman" w:eastAsia="宋体" w:cs="Times New Roman"/>
                <w:color w:val="auto"/>
                <w:spacing w:val="-1"/>
                <w:kern w:val="0"/>
                <w:sz w:val="21"/>
                <w:szCs w:val="21"/>
                <w:highlight w:val="none"/>
              </w:rPr>
              <w:t>型</w:t>
            </w:r>
          </w:p>
        </w:tc>
        <w:tc>
          <w:tcPr>
            <w:tcW w:w="6365" w:type="dxa"/>
            <w:gridSpan w:val="17"/>
            <w:tcBorders>
              <w:tl2br w:val="nil"/>
              <w:tr2bl w:val="nil"/>
            </w:tcBorders>
            <w:noWrap w:val="0"/>
            <w:vAlign w:val="center"/>
          </w:tcPr>
          <w:p w14:paraId="6869C19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2"/>
                <w:kern w:val="0"/>
                <w:sz w:val="21"/>
                <w:szCs w:val="21"/>
                <w:highlight w:val="none"/>
              </w:rPr>
              <w:t>导则推荐模</w:t>
            </w:r>
            <w:r>
              <w:rPr>
                <w:rFonts w:hint="default" w:ascii="Times New Roman" w:hAnsi="Times New Roman" w:eastAsia="宋体" w:cs="Times New Roman"/>
                <w:color w:val="auto"/>
                <w:spacing w:val="-1"/>
                <w:kern w:val="0"/>
                <w:sz w:val="21"/>
                <w:szCs w:val="21"/>
                <w:highlight w:val="none"/>
              </w:rPr>
              <w:t>型</w:t>
            </w:r>
            <w:r>
              <w:rPr>
                <w:rFonts w:hint="default" w:ascii="Times New Roman" w:hAnsi="Times New Roman" w:eastAsia="宋体" w:cs="Times New Roman"/>
                <w:color w:val="auto"/>
                <w:spacing w:val="-6"/>
                <w:kern w:val="0"/>
                <w:sz w:val="21"/>
                <w:szCs w:val="21"/>
                <w:highlight w:val="none"/>
                <w:lang w:eastAsia="zh-CN"/>
              </w:rPr>
              <w:t>☑</w:t>
            </w:r>
            <w:r>
              <w:rPr>
                <w:rFonts w:hint="default" w:ascii="Times New Roman" w:hAnsi="Times New Roman" w:eastAsia="宋体" w:cs="Times New Roman"/>
                <w:color w:val="auto"/>
                <w:spacing w:val="-1"/>
                <w:kern w:val="0"/>
                <w:sz w:val="21"/>
                <w:szCs w:val="21"/>
                <w:highlight w:val="none"/>
              </w:rPr>
              <w:t xml:space="preserve">                   </w:t>
            </w:r>
            <w:r>
              <w:rPr>
                <w:rFonts w:hint="default" w:ascii="Times New Roman" w:hAnsi="Times New Roman" w:eastAsia="宋体" w:cs="Times New Roman"/>
                <w:color w:val="auto"/>
                <w:spacing w:val="-4"/>
                <w:kern w:val="0"/>
                <w:sz w:val="21"/>
                <w:szCs w:val="21"/>
                <w:highlight w:val="none"/>
              </w:rPr>
              <w:t>其</w:t>
            </w:r>
            <w:r>
              <w:rPr>
                <w:rFonts w:hint="default" w:ascii="Times New Roman" w:hAnsi="Times New Roman" w:eastAsia="宋体" w:cs="Times New Roman"/>
                <w:color w:val="auto"/>
                <w:spacing w:val="-2"/>
                <w:kern w:val="0"/>
                <w:sz w:val="21"/>
                <w:szCs w:val="21"/>
                <w:highlight w:val="none"/>
              </w:rPr>
              <w:t>他□</w:t>
            </w:r>
          </w:p>
        </w:tc>
      </w:tr>
      <w:tr w14:paraId="5808DC10">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trHeight w:val="422" w:hRule="atLeast"/>
        </w:trPr>
        <w:tc>
          <w:tcPr>
            <w:tcW w:w="930" w:type="dxa"/>
            <w:vMerge w:val="continue"/>
            <w:tcBorders>
              <w:tl2br w:val="nil"/>
              <w:tr2bl w:val="nil"/>
            </w:tcBorders>
            <w:noWrap w:val="0"/>
            <w:vAlign w:val="center"/>
          </w:tcPr>
          <w:p w14:paraId="797585B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p>
        </w:tc>
        <w:tc>
          <w:tcPr>
            <w:tcW w:w="1325" w:type="dxa"/>
            <w:tcBorders>
              <w:tl2br w:val="nil"/>
              <w:tr2bl w:val="nil"/>
            </w:tcBorders>
            <w:noWrap w:val="0"/>
            <w:vAlign w:val="center"/>
          </w:tcPr>
          <w:p w14:paraId="3773285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2"/>
                <w:kern w:val="0"/>
                <w:sz w:val="21"/>
                <w:szCs w:val="21"/>
                <w:highlight w:val="none"/>
              </w:rPr>
              <w:t>预测范</w:t>
            </w:r>
            <w:r>
              <w:rPr>
                <w:rFonts w:hint="default" w:ascii="Times New Roman" w:hAnsi="Times New Roman" w:eastAsia="宋体" w:cs="Times New Roman"/>
                <w:color w:val="auto"/>
                <w:spacing w:val="-1"/>
                <w:kern w:val="0"/>
                <w:sz w:val="21"/>
                <w:szCs w:val="21"/>
                <w:highlight w:val="none"/>
              </w:rPr>
              <w:t>围</w:t>
            </w:r>
          </w:p>
        </w:tc>
        <w:tc>
          <w:tcPr>
            <w:tcW w:w="6365" w:type="dxa"/>
            <w:gridSpan w:val="17"/>
            <w:tcBorders>
              <w:tl2br w:val="nil"/>
              <w:tr2bl w:val="nil"/>
            </w:tcBorders>
            <w:noWrap w:val="0"/>
            <w:vAlign w:val="center"/>
          </w:tcPr>
          <w:p w14:paraId="5927BED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1"/>
                <w:kern w:val="0"/>
                <w:sz w:val="21"/>
                <w:szCs w:val="21"/>
                <w:highlight w:val="none"/>
              </w:rPr>
              <w:t>200</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spacing w:val="1"/>
                <w:kern w:val="0"/>
                <w:sz w:val="21"/>
                <w:szCs w:val="21"/>
                <w:highlight w:val="none"/>
                <w:lang w:eastAsia="zh-CN"/>
              </w:rPr>
              <w:t>☑</w:t>
            </w:r>
            <w:r>
              <w:rPr>
                <w:rFonts w:hint="default" w:ascii="Times New Roman" w:hAnsi="Times New Roman" w:eastAsia="宋体" w:cs="Times New Roman"/>
                <w:color w:val="auto"/>
                <w:spacing w:val="1"/>
                <w:kern w:val="0"/>
                <w:sz w:val="21"/>
                <w:szCs w:val="21"/>
                <w:highlight w:val="none"/>
              </w:rPr>
              <w:t xml:space="preserve">          大于200 </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spacing w:val="1"/>
                <w:kern w:val="0"/>
                <w:sz w:val="21"/>
                <w:szCs w:val="21"/>
                <w:highlight w:val="none"/>
              </w:rPr>
              <w:t>□</w:t>
            </w:r>
            <w:r>
              <w:rPr>
                <w:rFonts w:hint="default" w:ascii="Times New Roman" w:hAnsi="Times New Roman" w:eastAsia="宋体" w:cs="Times New Roman"/>
                <w:color w:val="auto"/>
                <w:kern w:val="0"/>
                <w:sz w:val="21"/>
                <w:szCs w:val="21"/>
                <w:highlight w:val="none"/>
              </w:rPr>
              <w:t xml:space="preserve">          小于200 m</w:t>
            </w:r>
            <w:r>
              <w:rPr>
                <w:rFonts w:hint="default" w:ascii="Times New Roman" w:hAnsi="Times New Roman" w:eastAsia="宋体" w:cs="Times New Roman"/>
                <w:color w:val="auto"/>
                <w:kern w:val="0"/>
                <w:sz w:val="21"/>
                <w:szCs w:val="21"/>
                <w:highlight w:val="none"/>
              </w:rPr>
              <w:sym w:font="Wingdings 2" w:char="00A3"/>
            </w:r>
          </w:p>
        </w:tc>
      </w:tr>
      <w:tr w14:paraId="3B300998">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gridAfter w:val="1"/>
          <w:wAfter w:w="81" w:type="dxa"/>
          <w:trHeight w:val="388" w:hRule="atLeast"/>
        </w:trPr>
        <w:tc>
          <w:tcPr>
            <w:tcW w:w="930" w:type="dxa"/>
            <w:vMerge w:val="continue"/>
            <w:tcBorders>
              <w:tl2br w:val="nil"/>
              <w:tr2bl w:val="nil"/>
            </w:tcBorders>
            <w:noWrap w:val="0"/>
            <w:vAlign w:val="center"/>
          </w:tcPr>
          <w:p w14:paraId="30E71BB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p>
        </w:tc>
        <w:tc>
          <w:tcPr>
            <w:tcW w:w="1325" w:type="dxa"/>
            <w:tcBorders>
              <w:tl2br w:val="nil"/>
              <w:tr2bl w:val="nil"/>
            </w:tcBorders>
            <w:noWrap w:val="0"/>
            <w:vAlign w:val="center"/>
          </w:tcPr>
          <w:p w14:paraId="3AD7262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2"/>
                <w:kern w:val="0"/>
                <w:sz w:val="21"/>
                <w:szCs w:val="21"/>
                <w:highlight w:val="none"/>
              </w:rPr>
              <w:t>预测因</w:t>
            </w:r>
            <w:r>
              <w:rPr>
                <w:rFonts w:hint="default" w:ascii="Times New Roman" w:hAnsi="Times New Roman" w:eastAsia="宋体" w:cs="Times New Roman"/>
                <w:color w:val="auto"/>
                <w:spacing w:val="-1"/>
                <w:kern w:val="0"/>
                <w:sz w:val="21"/>
                <w:szCs w:val="21"/>
                <w:highlight w:val="none"/>
              </w:rPr>
              <w:t>子</w:t>
            </w:r>
          </w:p>
        </w:tc>
        <w:tc>
          <w:tcPr>
            <w:tcW w:w="6284" w:type="dxa"/>
            <w:gridSpan w:val="16"/>
            <w:tcBorders>
              <w:tl2br w:val="nil"/>
              <w:tr2bl w:val="nil"/>
            </w:tcBorders>
            <w:noWrap w:val="0"/>
            <w:vAlign w:val="center"/>
          </w:tcPr>
          <w:p w14:paraId="7300216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1"/>
                <w:kern w:val="0"/>
                <w:sz w:val="21"/>
                <w:szCs w:val="21"/>
                <w:highlight w:val="none"/>
              </w:rPr>
              <w:t>等效连续</w:t>
            </w:r>
            <w:r>
              <w:rPr>
                <w:rFonts w:hint="default" w:ascii="Times New Roman" w:hAnsi="Times New Roman" w:eastAsia="宋体" w:cs="Times New Roman"/>
                <w:color w:val="auto"/>
                <w:kern w:val="0"/>
                <w:sz w:val="21"/>
                <w:szCs w:val="21"/>
                <w:highlight w:val="none"/>
              </w:rPr>
              <w:t>A</w:t>
            </w:r>
            <w:r>
              <w:rPr>
                <w:rFonts w:hint="default" w:ascii="Times New Roman" w:hAnsi="Times New Roman" w:eastAsia="宋体" w:cs="Times New Roman"/>
                <w:color w:val="auto"/>
                <w:spacing w:val="-1"/>
                <w:kern w:val="0"/>
                <w:sz w:val="21"/>
                <w:szCs w:val="21"/>
                <w:highlight w:val="none"/>
              </w:rPr>
              <w:t>声级</w:t>
            </w:r>
            <w:r>
              <w:rPr>
                <w:rFonts w:hint="default" w:ascii="Times New Roman" w:hAnsi="Times New Roman" w:eastAsia="宋体" w:cs="Times New Roman"/>
                <w:color w:val="auto"/>
                <w:spacing w:val="-6"/>
                <w:kern w:val="0"/>
                <w:sz w:val="21"/>
                <w:szCs w:val="21"/>
                <w:highlight w:val="none"/>
                <w:lang w:eastAsia="zh-CN"/>
              </w:rPr>
              <w:t>☑</w:t>
            </w:r>
            <w:r>
              <w:rPr>
                <w:rFonts w:hint="default" w:ascii="Times New Roman" w:hAnsi="Times New Roman" w:eastAsia="宋体" w:cs="Times New Roman"/>
                <w:color w:val="auto"/>
                <w:spacing w:val="-1"/>
                <w:kern w:val="0"/>
                <w:sz w:val="21"/>
                <w:szCs w:val="21"/>
                <w:highlight w:val="none"/>
              </w:rPr>
              <w:t xml:space="preserve">    最大</w:t>
            </w:r>
            <w:r>
              <w:rPr>
                <w:rFonts w:hint="default" w:ascii="Times New Roman" w:hAnsi="Times New Roman" w:eastAsia="宋体" w:cs="Times New Roman"/>
                <w:color w:val="auto"/>
                <w:kern w:val="0"/>
                <w:sz w:val="21"/>
                <w:szCs w:val="21"/>
                <w:highlight w:val="none"/>
              </w:rPr>
              <w:t>A</w:t>
            </w:r>
            <w:r>
              <w:rPr>
                <w:rFonts w:hint="default" w:ascii="Times New Roman" w:hAnsi="Times New Roman" w:eastAsia="宋体" w:cs="Times New Roman"/>
                <w:color w:val="auto"/>
                <w:spacing w:val="-1"/>
                <w:kern w:val="0"/>
                <w:sz w:val="21"/>
                <w:szCs w:val="21"/>
                <w:highlight w:val="none"/>
              </w:rPr>
              <w:t xml:space="preserve">声级□  </w:t>
            </w:r>
            <w:r>
              <w:rPr>
                <w:rFonts w:hint="default" w:ascii="Times New Roman" w:hAnsi="Times New Roman" w:eastAsia="宋体" w:cs="Times New Roman"/>
                <w:color w:val="auto"/>
                <w:kern w:val="0"/>
                <w:sz w:val="21"/>
                <w:szCs w:val="21"/>
                <w:highlight w:val="none"/>
              </w:rPr>
              <w:t xml:space="preserve"> 计权等效连续感觉噪声级□</w:t>
            </w:r>
          </w:p>
        </w:tc>
      </w:tr>
      <w:tr w14:paraId="3F0AA6EE">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gridAfter w:val="1"/>
          <w:wAfter w:w="81" w:type="dxa"/>
          <w:trHeight w:val="683" w:hRule="atLeast"/>
        </w:trPr>
        <w:tc>
          <w:tcPr>
            <w:tcW w:w="930" w:type="dxa"/>
            <w:vMerge w:val="continue"/>
            <w:tcBorders>
              <w:tl2br w:val="nil"/>
              <w:tr2bl w:val="nil"/>
            </w:tcBorders>
            <w:noWrap w:val="0"/>
            <w:vAlign w:val="center"/>
          </w:tcPr>
          <w:p w14:paraId="57C6C85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p>
        </w:tc>
        <w:tc>
          <w:tcPr>
            <w:tcW w:w="1325" w:type="dxa"/>
            <w:tcBorders>
              <w:tl2br w:val="nil"/>
              <w:tr2bl w:val="nil"/>
            </w:tcBorders>
            <w:noWrap w:val="0"/>
            <w:vAlign w:val="center"/>
          </w:tcPr>
          <w:p w14:paraId="65E85FD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2"/>
                <w:kern w:val="0"/>
                <w:sz w:val="21"/>
                <w:szCs w:val="21"/>
                <w:highlight w:val="none"/>
              </w:rPr>
              <w:t>厂界噪声</w:t>
            </w:r>
            <w:r>
              <w:rPr>
                <w:rFonts w:hint="default" w:ascii="Times New Roman" w:hAnsi="Times New Roman" w:eastAsia="宋体" w:cs="Times New Roman"/>
                <w:color w:val="auto"/>
                <w:spacing w:val="-1"/>
                <w:kern w:val="0"/>
                <w:sz w:val="21"/>
                <w:szCs w:val="21"/>
                <w:highlight w:val="none"/>
              </w:rPr>
              <w:t>贡献</w:t>
            </w:r>
            <w:r>
              <w:rPr>
                <w:rFonts w:hint="default" w:ascii="Times New Roman" w:hAnsi="Times New Roman" w:eastAsia="宋体" w:cs="Times New Roman"/>
                <w:color w:val="auto"/>
                <w:kern w:val="0"/>
                <w:sz w:val="21"/>
                <w:szCs w:val="21"/>
                <w:highlight w:val="none"/>
              </w:rPr>
              <w:t>值</w:t>
            </w:r>
          </w:p>
        </w:tc>
        <w:tc>
          <w:tcPr>
            <w:tcW w:w="3141" w:type="dxa"/>
            <w:gridSpan w:val="9"/>
            <w:tcBorders>
              <w:tl2br w:val="nil"/>
              <w:tr2bl w:val="nil"/>
            </w:tcBorders>
            <w:noWrap w:val="0"/>
            <w:vAlign w:val="center"/>
          </w:tcPr>
          <w:p w14:paraId="64B46B9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2"/>
                <w:kern w:val="0"/>
                <w:sz w:val="21"/>
                <w:szCs w:val="21"/>
                <w:highlight w:val="none"/>
              </w:rPr>
              <w:t>达标</w:t>
            </w:r>
            <w:r>
              <w:rPr>
                <w:rFonts w:hint="default" w:ascii="Times New Roman" w:hAnsi="Times New Roman" w:eastAsia="宋体" w:cs="Times New Roman"/>
                <w:color w:val="auto"/>
                <w:spacing w:val="-6"/>
                <w:kern w:val="0"/>
                <w:sz w:val="21"/>
                <w:szCs w:val="21"/>
                <w:highlight w:val="none"/>
                <w:lang w:eastAsia="zh-CN"/>
              </w:rPr>
              <w:t>☑</w:t>
            </w:r>
          </w:p>
        </w:tc>
        <w:tc>
          <w:tcPr>
            <w:tcW w:w="3143" w:type="dxa"/>
            <w:gridSpan w:val="7"/>
            <w:tcBorders>
              <w:tl2br w:val="nil"/>
              <w:tr2bl w:val="nil"/>
            </w:tcBorders>
            <w:noWrap w:val="0"/>
            <w:vAlign w:val="center"/>
          </w:tcPr>
          <w:p w14:paraId="771968F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pacing w:val="-2"/>
                <w:kern w:val="0"/>
                <w:sz w:val="21"/>
                <w:szCs w:val="21"/>
                <w:highlight w:val="none"/>
              </w:rPr>
            </w:pPr>
            <w:r>
              <w:rPr>
                <w:rFonts w:hint="default" w:ascii="Times New Roman" w:hAnsi="Times New Roman" w:eastAsia="宋体" w:cs="Times New Roman"/>
                <w:color w:val="auto"/>
                <w:spacing w:val="-2"/>
                <w:kern w:val="0"/>
                <w:sz w:val="21"/>
                <w:szCs w:val="21"/>
                <w:highlight w:val="none"/>
              </w:rPr>
              <w:t>不达标□</w:t>
            </w:r>
          </w:p>
        </w:tc>
      </w:tr>
      <w:tr w14:paraId="755B6E11">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gridAfter w:val="1"/>
          <w:wAfter w:w="81" w:type="dxa"/>
          <w:trHeight w:val="683" w:hRule="atLeast"/>
        </w:trPr>
        <w:tc>
          <w:tcPr>
            <w:tcW w:w="930" w:type="dxa"/>
            <w:vMerge w:val="continue"/>
            <w:tcBorders>
              <w:tl2br w:val="nil"/>
              <w:tr2bl w:val="nil"/>
            </w:tcBorders>
            <w:noWrap w:val="0"/>
            <w:vAlign w:val="center"/>
          </w:tcPr>
          <w:p w14:paraId="54A9362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p>
        </w:tc>
        <w:tc>
          <w:tcPr>
            <w:tcW w:w="1325" w:type="dxa"/>
            <w:tcBorders>
              <w:tl2br w:val="nil"/>
              <w:tr2bl w:val="nil"/>
            </w:tcBorders>
            <w:noWrap w:val="0"/>
            <w:vAlign w:val="center"/>
          </w:tcPr>
          <w:p w14:paraId="440396B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2"/>
                <w:kern w:val="0"/>
                <w:sz w:val="21"/>
                <w:szCs w:val="21"/>
                <w:highlight w:val="none"/>
              </w:rPr>
              <w:t>声环境保护</w:t>
            </w:r>
            <w:r>
              <w:rPr>
                <w:rFonts w:hint="default" w:ascii="Times New Roman" w:hAnsi="Times New Roman" w:eastAsia="宋体" w:cs="Times New Roman"/>
                <w:color w:val="auto"/>
                <w:spacing w:val="-1"/>
                <w:kern w:val="0"/>
                <w:sz w:val="21"/>
                <w:szCs w:val="21"/>
                <w:highlight w:val="none"/>
              </w:rPr>
              <w:t>目</w:t>
            </w:r>
            <w:r>
              <w:rPr>
                <w:rFonts w:hint="default" w:ascii="Times New Roman" w:hAnsi="Times New Roman" w:eastAsia="宋体" w:cs="Times New Roman"/>
                <w:color w:val="auto"/>
                <w:spacing w:val="-2"/>
                <w:kern w:val="0"/>
                <w:sz w:val="21"/>
                <w:szCs w:val="21"/>
                <w:highlight w:val="none"/>
              </w:rPr>
              <w:t>标处</w:t>
            </w:r>
            <w:r>
              <w:rPr>
                <w:rFonts w:hint="default" w:ascii="Times New Roman" w:hAnsi="Times New Roman" w:eastAsia="宋体" w:cs="Times New Roman"/>
                <w:color w:val="auto"/>
                <w:spacing w:val="-1"/>
                <w:kern w:val="0"/>
                <w:sz w:val="21"/>
                <w:szCs w:val="21"/>
                <w:highlight w:val="none"/>
              </w:rPr>
              <w:t>噪声值</w:t>
            </w:r>
          </w:p>
        </w:tc>
        <w:tc>
          <w:tcPr>
            <w:tcW w:w="3141" w:type="dxa"/>
            <w:gridSpan w:val="9"/>
            <w:tcBorders>
              <w:tl2br w:val="nil"/>
              <w:tr2bl w:val="nil"/>
            </w:tcBorders>
            <w:noWrap w:val="0"/>
            <w:vAlign w:val="center"/>
          </w:tcPr>
          <w:p w14:paraId="3D39290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2"/>
                <w:kern w:val="0"/>
                <w:sz w:val="21"/>
                <w:szCs w:val="21"/>
                <w:highlight w:val="none"/>
              </w:rPr>
              <w:t>达标</w:t>
            </w:r>
            <w:r>
              <w:rPr>
                <w:rFonts w:hint="default" w:ascii="Times New Roman" w:hAnsi="Times New Roman" w:eastAsia="宋体" w:cs="Times New Roman"/>
                <w:color w:val="auto"/>
                <w:spacing w:val="-6"/>
                <w:kern w:val="0"/>
                <w:sz w:val="21"/>
                <w:szCs w:val="21"/>
                <w:highlight w:val="none"/>
                <w:lang w:eastAsia="zh-CN"/>
              </w:rPr>
              <w:t>□</w:t>
            </w:r>
          </w:p>
        </w:tc>
        <w:tc>
          <w:tcPr>
            <w:tcW w:w="3143" w:type="dxa"/>
            <w:gridSpan w:val="7"/>
            <w:tcBorders>
              <w:tl2br w:val="nil"/>
              <w:tr2bl w:val="nil"/>
            </w:tcBorders>
            <w:noWrap w:val="0"/>
            <w:vAlign w:val="center"/>
          </w:tcPr>
          <w:p w14:paraId="6A2DE82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pacing w:val="-2"/>
                <w:kern w:val="0"/>
                <w:sz w:val="21"/>
                <w:szCs w:val="21"/>
                <w:highlight w:val="none"/>
              </w:rPr>
            </w:pPr>
            <w:r>
              <w:rPr>
                <w:rFonts w:hint="default" w:ascii="Times New Roman" w:hAnsi="Times New Roman" w:eastAsia="宋体" w:cs="Times New Roman"/>
                <w:color w:val="auto"/>
                <w:spacing w:val="-2"/>
                <w:kern w:val="0"/>
                <w:sz w:val="21"/>
                <w:szCs w:val="21"/>
                <w:highlight w:val="none"/>
              </w:rPr>
              <w:t>不达标□</w:t>
            </w:r>
          </w:p>
        </w:tc>
      </w:tr>
      <w:tr w14:paraId="78A72AF9">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gridAfter w:val="1"/>
          <w:wAfter w:w="81" w:type="dxa"/>
          <w:trHeight w:val="1973" w:hRule="atLeast"/>
        </w:trPr>
        <w:tc>
          <w:tcPr>
            <w:tcW w:w="930" w:type="dxa"/>
            <w:vMerge w:val="restart"/>
            <w:tcBorders>
              <w:tl2br w:val="nil"/>
              <w:tr2bl w:val="nil"/>
            </w:tcBorders>
            <w:noWrap w:val="0"/>
            <w:vAlign w:val="center"/>
          </w:tcPr>
          <w:p w14:paraId="270DDFC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2"/>
                <w:kern w:val="0"/>
                <w:sz w:val="21"/>
                <w:szCs w:val="21"/>
                <w:highlight w:val="none"/>
              </w:rPr>
              <w:t>环境监测计划</w:t>
            </w:r>
          </w:p>
        </w:tc>
        <w:tc>
          <w:tcPr>
            <w:tcW w:w="1325" w:type="dxa"/>
            <w:tcBorders>
              <w:tl2br w:val="nil"/>
              <w:tr2bl w:val="nil"/>
            </w:tcBorders>
            <w:noWrap w:val="0"/>
            <w:vAlign w:val="center"/>
          </w:tcPr>
          <w:p w14:paraId="0B7CAFE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2"/>
                <w:kern w:val="0"/>
                <w:sz w:val="21"/>
                <w:szCs w:val="21"/>
                <w:highlight w:val="none"/>
              </w:rPr>
              <w:t>排放</w:t>
            </w:r>
            <w:r>
              <w:rPr>
                <w:rFonts w:hint="default" w:ascii="Times New Roman" w:hAnsi="Times New Roman" w:eastAsia="宋体" w:cs="Times New Roman"/>
                <w:color w:val="auto"/>
                <w:spacing w:val="-1"/>
                <w:kern w:val="0"/>
                <w:sz w:val="21"/>
                <w:szCs w:val="21"/>
                <w:highlight w:val="none"/>
              </w:rPr>
              <w:t>监测</w:t>
            </w:r>
          </w:p>
        </w:tc>
        <w:tc>
          <w:tcPr>
            <w:tcW w:w="1256" w:type="dxa"/>
            <w:gridSpan w:val="2"/>
            <w:tcBorders>
              <w:tl2br w:val="nil"/>
              <w:tr2bl w:val="nil"/>
            </w:tcBorders>
            <w:noWrap w:val="0"/>
            <w:vAlign w:val="center"/>
          </w:tcPr>
          <w:p w14:paraId="593274E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spacing w:val="1"/>
                <w:kern w:val="0"/>
                <w:sz w:val="21"/>
                <w:szCs w:val="21"/>
                <w:highlight w:val="none"/>
              </w:rPr>
              <w:t>厂界监测</w:t>
            </w:r>
            <w:r>
              <w:rPr>
                <w:rFonts w:hint="default" w:ascii="Times New Roman" w:hAnsi="Times New Roman" w:eastAsia="宋体" w:cs="Times New Roman"/>
                <w:color w:val="auto"/>
                <w:spacing w:val="1"/>
                <w:kern w:val="0"/>
                <w:sz w:val="21"/>
                <w:szCs w:val="21"/>
                <w:highlight w:val="none"/>
                <w:lang w:eastAsia="zh-CN"/>
              </w:rPr>
              <w:t>☑</w:t>
            </w:r>
          </w:p>
        </w:tc>
        <w:tc>
          <w:tcPr>
            <w:tcW w:w="1256" w:type="dxa"/>
            <w:gridSpan w:val="4"/>
            <w:tcBorders>
              <w:tl2br w:val="nil"/>
              <w:tr2bl w:val="nil"/>
            </w:tcBorders>
            <w:noWrap w:val="0"/>
            <w:vAlign w:val="center"/>
          </w:tcPr>
          <w:p w14:paraId="52AF99F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pacing w:val="1"/>
                <w:kern w:val="0"/>
                <w:sz w:val="21"/>
                <w:szCs w:val="21"/>
                <w:highlight w:val="none"/>
              </w:rPr>
            </w:pPr>
            <w:r>
              <w:rPr>
                <w:rFonts w:hint="default" w:ascii="Times New Roman" w:hAnsi="Times New Roman" w:eastAsia="宋体" w:cs="Times New Roman"/>
                <w:color w:val="auto"/>
                <w:spacing w:val="1"/>
                <w:kern w:val="0"/>
                <w:sz w:val="21"/>
                <w:szCs w:val="21"/>
                <w:highlight w:val="none"/>
              </w:rPr>
              <w:t>固定位置监测□</w:t>
            </w:r>
          </w:p>
        </w:tc>
        <w:tc>
          <w:tcPr>
            <w:tcW w:w="1256" w:type="dxa"/>
            <w:gridSpan w:val="4"/>
            <w:tcBorders>
              <w:tl2br w:val="nil"/>
              <w:tr2bl w:val="nil"/>
            </w:tcBorders>
            <w:noWrap w:val="0"/>
            <w:vAlign w:val="center"/>
          </w:tcPr>
          <w:p w14:paraId="659B982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pacing w:val="1"/>
                <w:kern w:val="0"/>
                <w:sz w:val="21"/>
                <w:szCs w:val="21"/>
                <w:highlight w:val="none"/>
              </w:rPr>
            </w:pPr>
            <w:r>
              <w:rPr>
                <w:rFonts w:hint="default" w:ascii="Times New Roman" w:hAnsi="Times New Roman" w:eastAsia="宋体" w:cs="Times New Roman"/>
                <w:color w:val="auto"/>
                <w:spacing w:val="1"/>
                <w:kern w:val="0"/>
                <w:sz w:val="21"/>
                <w:szCs w:val="21"/>
                <w:highlight w:val="none"/>
              </w:rPr>
              <w:t>自动监测□</w:t>
            </w:r>
          </w:p>
        </w:tc>
        <w:tc>
          <w:tcPr>
            <w:tcW w:w="1256" w:type="dxa"/>
            <w:gridSpan w:val="3"/>
            <w:tcBorders>
              <w:tl2br w:val="nil"/>
              <w:tr2bl w:val="nil"/>
            </w:tcBorders>
            <w:noWrap w:val="0"/>
            <w:vAlign w:val="center"/>
          </w:tcPr>
          <w:p w14:paraId="1021475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pacing w:val="1"/>
                <w:kern w:val="0"/>
                <w:sz w:val="21"/>
                <w:szCs w:val="21"/>
                <w:highlight w:val="none"/>
              </w:rPr>
            </w:pPr>
            <w:r>
              <w:rPr>
                <w:rFonts w:hint="default" w:ascii="Times New Roman" w:hAnsi="Times New Roman" w:eastAsia="宋体" w:cs="Times New Roman"/>
                <w:color w:val="auto"/>
                <w:spacing w:val="1"/>
                <w:kern w:val="0"/>
                <w:sz w:val="21"/>
                <w:szCs w:val="21"/>
                <w:highlight w:val="none"/>
              </w:rPr>
              <w:t>手动</w:t>
            </w:r>
            <w:r>
              <w:rPr>
                <w:rFonts w:hint="default" w:ascii="Times New Roman" w:hAnsi="Times New Roman" w:eastAsia="宋体" w:cs="Times New Roman"/>
                <w:color w:val="auto"/>
                <w:kern w:val="0"/>
                <w:sz w:val="21"/>
                <w:szCs w:val="21"/>
                <w:highlight w:val="none"/>
              </w:rPr>
              <w:t>监测□</w:t>
            </w:r>
          </w:p>
        </w:tc>
        <w:tc>
          <w:tcPr>
            <w:tcW w:w="1260" w:type="dxa"/>
            <w:gridSpan w:val="3"/>
            <w:tcBorders>
              <w:tl2br w:val="nil"/>
              <w:tr2bl w:val="nil"/>
            </w:tcBorders>
            <w:noWrap w:val="0"/>
            <w:vAlign w:val="center"/>
          </w:tcPr>
          <w:p w14:paraId="3F85A01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pacing w:val="1"/>
                <w:kern w:val="0"/>
                <w:sz w:val="21"/>
                <w:szCs w:val="21"/>
                <w:highlight w:val="none"/>
              </w:rPr>
            </w:pPr>
            <w:r>
              <w:rPr>
                <w:rFonts w:hint="default" w:ascii="Times New Roman" w:hAnsi="Times New Roman" w:eastAsia="宋体" w:cs="Times New Roman"/>
                <w:color w:val="auto"/>
                <w:kern w:val="0"/>
                <w:sz w:val="21"/>
                <w:szCs w:val="21"/>
                <w:highlight w:val="none"/>
              </w:rPr>
              <w:t>无监测□</w:t>
            </w:r>
          </w:p>
        </w:tc>
      </w:tr>
      <w:tr w14:paraId="406DC126">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gridAfter w:val="1"/>
          <w:wAfter w:w="81" w:type="dxa"/>
          <w:trHeight w:val="683" w:hRule="atLeast"/>
        </w:trPr>
        <w:tc>
          <w:tcPr>
            <w:tcW w:w="930" w:type="dxa"/>
            <w:vMerge w:val="continue"/>
            <w:tcBorders>
              <w:tl2br w:val="nil"/>
              <w:tr2bl w:val="nil"/>
            </w:tcBorders>
            <w:noWrap w:val="0"/>
            <w:vAlign w:val="center"/>
          </w:tcPr>
          <w:p w14:paraId="119418F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p>
        </w:tc>
        <w:tc>
          <w:tcPr>
            <w:tcW w:w="1325" w:type="dxa"/>
            <w:tcBorders>
              <w:tl2br w:val="nil"/>
              <w:tr2bl w:val="nil"/>
            </w:tcBorders>
            <w:noWrap w:val="0"/>
            <w:vAlign w:val="center"/>
          </w:tcPr>
          <w:p w14:paraId="5BABB4B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2"/>
                <w:kern w:val="0"/>
                <w:sz w:val="21"/>
                <w:szCs w:val="21"/>
                <w:highlight w:val="none"/>
              </w:rPr>
              <w:t>声环境保护</w:t>
            </w:r>
            <w:r>
              <w:rPr>
                <w:rFonts w:hint="default" w:ascii="Times New Roman" w:hAnsi="Times New Roman" w:eastAsia="宋体" w:cs="Times New Roman"/>
                <w:color w:val="auto"/>
                <w:spacing w:val="-1"/>
                <w:kern w:val="0"/>
                <w:sz w:val="21"/>
                <w:szCs w:val="21"/>
                <w:highlight w:val="none"/>
              </w:rPr>
              <w:t>目</w:t>
            </w:r>
            <w:r>
              <w:rPr>
                <w:rFonts w:hint="default" w:ascii="Times New Roman" w:hAnsi="Times New Roman" w:eastAsia="宋体" w:cs="Times New Roman"/>
                <w:color w:val="auto"/>
                <w:spacing w:val="-2"/>
                <w:kern w:val="0"/>
                <w:sz w:val="21"/>
                <w:szCs w:val="21"/>
                <w:highlight w:val="none"/>
              </w:rPr>
              <w:t>标处</w:t>
            </w:r>
            <w:r>
              <w:rPr>
                <w:rFonts w:hint="default" w:ascii="Times New Roman" w:hAnsi="Times New Roman" w:eastAsia="宋体" w:cs="Times New Roman"/>
                <w:color w:val="auto"/>
                <w:spacing w:val="-1"/>
                <w:kern w:val="0"/>
                <w:sz w:val="21"/>
                <w:szCs w:val="21"/>
                <w:highlight w:val="none"/>
              </w:rPr>
              <w:t>噪声监测</w:t>
            </w:r>
          </w:p>
        </w:tc>
        <w:tc>
          <w:tcPr>
            <w:tcW w:w="3047" w:type="dxa"/>
            <w:gridSpan w:val="7"/>
            <w:tcBorders>
              <w:tl2br w:val="nil"/>
              <w:tr2bl w:val="nil"/>
            </w:tcBorders>
            <w:noWrap w:val="0"/>
            <w:vAlign w:val="center"/>
          </w:tcPr>
          <w:p w14:paraId="13321EF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2"/>
                <w:kern w:val="0"/>
                <w:sz w:val="21"/>
                <w:szCs w:val="21"/>
                <w:highlight w:val="none"/>
              </w:rPr>
              <w:t>监测因子：</w:t>
            </w:r>
            <w:r>
              <w:rPr>
                <w:rFonts w:hint="default" w:ascii="Times New Roman" w:hAnsi="Times New Roman" w:eastAsia="宋体" w:cs="Times New Roman"/>
                <w:color w:val="auto"/>
                <w:spacing w:val="2"/>
                <w:kern w:val="0"/>
                <w:sz w:val="21"/>
                <w:szCs w:val="21"/>
                <w:highlight w:val="none"/>
                <w:lang w:eastAsia="zh-CN"/>
              </w:rPr>
              <w:t>(</w:t>
            </w:r>
            <w:r>
              <w:rPr>
                <w:rFonts w:hint="default" w:ascii="Times New Roman" w:hAnsi="Times New Roman" w:eastAsia="宋体" w:cs="Times New Roman"/>
                <w:color w:val="auto"/>
                <w:spacing w:val="2"/>
                <w:kern w:val="0"/>
                <w:sz w:val="21"/>
                <w:szCs w:val="21"/>
                <w:highlight w:val="none"/>
                <w:lang w:val="en-US" w:eastAsia="zh-CN"/>
              </w:rPr>
              <w:t>/）</w:t>
            </w:r>
          </w:p>
        </w:tc>
        <w:tc>
          <w:tcPr>
            <w:tcW w:w="2040" w:type="dxa"/>
            <w:gridSpan w:val="7"/>
            <w:tcBorders>
              <w:tl2br w:val="nil"/>
              <w:tr2bl w:val="nil"/>
            </w:tcBorders>
            <w:noWrap w:val="0"/>
            <w:vAlign w:val="center"/>
          </w:tcPr>
          <w:p w14:paraId="6B523F9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13"/>
                <w:kern w:val="0"/>
                <w:sz w:val="21"/>
                <w:szCs w:val="21"/>
                <w:highlight w:val="none"/>
              </w:rPr>
              <w:t>监</w:t>
            </w:r>
            <w:r>
              <w:rPr>
                <w:rFonts w:hint="default" w:ascii="Times New Roman" w:hAnsi="Times New Roman" w:eastAsia="宋体" w:cs="Times New Roman"/>
                <w:color w:val="auto"/>
                <w:spacing w:val="9"/>
                <w:kern w:val="0"/>
                <w:sz w:val="21"/>
                <w:szCs w:val="21"/>
                <w:highlight w:val="none"/>
              </w:rPr>
              <w:t>测点位数</w:t>
            </w:r>
            <w:r>
              <w:rPr>
                <w:rFonts w:hint="default" w:ascii="Times New Roman" w:hAnsi="Times New Roman" w:eastAsia="宋体" w:cs="Times New Roman"/>
                <w:color w:val="auto"/>
                <w:spacing w:val="9"/>
                <w:kern w:val="0"/>
                <w:sz w:val="21"/>
                <w:szCs w:val="21"/>
                <w:highlight w:val="none"/>
                <w:lang w:eastAsia="zh-CN"/>
              </w:rPr>
              <w:t>（</w:t>
            </w:r>
            <w:r>
              <w:rPr>
                <w:rFonts w:hint="default" w:ascii="Times New Roman" w:hAnsi="Times New Roman" w:eastAsia="宋体" w:cs="Times New Roman"/>
                <w:color w:val="auto"/>
                <w:spacing w:val="9"/>
                <w:kern w:val="0"/>
                <w:sz w:val="21"/>
                <w:szCs w:val="21"/>
                <w:highlight w:val="none"/>
                <w:lang w:val="en-US" w:eastAsia="zh-CN"/>
              </w:rPr>
              <w:t>/）</w:t>
            </w:r>
          </w:p>
        </w:tc>
        <w:tc>
          <w:tcPr>
            <w:tcW w:w="1197" w:type="dxa"/>
            <w:gridSpan w:val="2"/>
            <w:tcBorders>
              <w:tl2br w:val="nil"/>
              <w:tr2bl w:val="nil"/>
            </w:tcBorders>
            <w:noWrap w:val="0"/>
            <w:vAlign w:val="center"/>
          </w:tcPr>
          <w:p w14:paraId="100F686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spacing w:val="-2"/>
                <w:kern w:val="0"/>
                <w:sz w:val="21"/>
                <w:szCs w:val="21"/>
                <w:highlight w:val="none"/>
              </w:rPr>
              <w:t>无监测</w:t>
            </w:r>
            <w:r>
              <w:rPr>
                <w:rFonts w:hint="default" w:ascii="Times New Roman" w:hAnsi="Times New Roman" w:eastAsia="宋体" w:cs="Times New Roman"/>
                <w:color w:val="auto"/>
                <w:spacing w:val="-1"/>
                <w:kern w:val="0"/>
                <w:sz w:val="21"/>
                <w:szCs w:val="21"/>
                <w:highlight w:val="none"/>
                <w:lang w:eastAsia="zh-CN"/>
              </w:rPr>
              <w:t>☑</w:t>
            </w:r>
          </w:p>
        </w:tc>
      </w:tr>
      <w:tr w14:paraId="5D7F2423">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gridAfter w:val="1"/>
          <w:wAfter w:w="81" w:type="dxa"/>
          <w:trHeight w:val="388" w:hRule="atLeast"/>
        </w:trPr>
        <w:tc>
          <w:tcPr>
            <w:tcW w:w="930" w:type="dxa"/>
            <w:tcBorders>
              <w:tl2br w:val="nil"/>
              <w:tr2bl w:val="nil"/>
            </w:tcBorders>
            <w:noWrap w:val="0"/>
            <w:vAlign w:val="center"/>
          </w:tcPr>
          <w:p w14:paraId="30315D1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2"/>
                <w:kern w:val="0"/>
                <w:sz w:val="21"/>
                <w:szCs w:val="21"/>
                <w:highlight w:val="none"/>
              </w:rPr>
              <w:t>评</w:t>
            </w:r>
            <w:r>
              <w:rPr>
                <w:rFonts w:hint="default" w:ascii="Times New Roman" w:hAnsi="Times New Roman" w:eastAsia="宋体" w:cs="Times New Roman"/>
                <w:color w:val="auto"/>
                <w:spacing w:val="-1"/>
                <w:kern w:val="0"/>
                <w:sz w:val="21"/>
                <w:szCs w:val="21"/>
                <w:highlight w:val="none"/>
              </w:rPr>
              <w:t>价结论</w:t>
            </w:r>
          </w:p>
        </w:tc>
        <w:tc>
          <w:tcPr>
            <w:tcW w:w="1325" w:type="dxa"/>
            <w:tcBorders>
              <w:tl2br w:val="nil"/>
              <w:tr2bl w:val="nil"/>
            </w:tcBorders>
            <w:noWrap w:val="0"/>
            <w:vAlign w:val="center"/>
          </w:tcPr>
          <w:p w14:paraId="47E61AA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2"/>
                <w:kern w:val="0"/>
                <w:sz w:val="21"/>
                <w:szCs w:val="21"/>
                <w:highlight w:val="none"/>
              </w:rPr>
              <w:t>环境</w:t>
            </w:r>
            <w:r>
              <w:rPr>
                <w:rFonts w:hint="default" w:ascii="Times New Roman" w:hAnsi="Times New Roman" w:eastAsia="宋体" w:cs="Times New Roman"/>
                <w:color w:val="auto"/>
                <w:spacing w:val="-1"/>
                <w:kern w:val="0"/>
                <w:sz w:val="21"/>
                <w:szCs w:val="21"/>
                <w:highlight w:val="none"/>
              </w:rPr>
              <w:t>影响</w:t>
            </w:r>
          </w:p>
        </w:tc>
        <w:tc>
          <w:tcPr>
            <w:tcW w:w="6284" w:type="dxa"/>
            <w:gridSpan w:val="16"/>
            <w:tcBorders>
              <w:tl2br w:val="nil"/>
              <w:tr2bl w:val="nil"/>
            </w:tcBorders>
            <w:noWrap w:val="0"/>
            <w:vAlign w:val="center"/>
          </w:tcPr>
          <w:p w14:paraId="14F536F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1"/>
                <w:kern w:val="0"/>
                <w:sz w:val="21"/>
                <w:szCs w:val="21"/>
                <w:highlight w:val="none"/>
              </w:rPr>
              <w:t>可行</w:t>
            </w:r>
            <w:r>
              <w:rPr>
                <w:rFonts w:hint="default" w:ascii="Times New Roman" w:hAnsi="Times New Roman" w:eastAsia="宋体" w:cs="Times New Roman"/>
                <w:color w:val="auto"/>
                <w:spacing w:val="1"/>
                <w:kern w:val="0"/>
                <w:sz w:val="21"/>
                <w:szCs w:val="21"/>
                <w:highlight w:val="none"/>
                <w:lang w:eastAsia="zh-CN"/>
              </w:rPr>
              <w:t>☑</w:t>
            </w:r>
            <w:r>
              <w:rPr>
                <w:rFonts w:hint="default" w:ascii="Times New Roman" w:hAnsi="Times New Roman" w:eastAsia="宋体" w:cs="Times New Roman"/>
                <w:color w:val="auto"/>
                <w:kern w:val="0"/>
                <w:sz w:val="21"/>
                <w:szCs w:val="21"/>
                <w:highlight w:val="none"/>
              </w:rPr>
              <w:t xml:space="preserve">       不可行□</w:t>
            </w:r>
          </w:p>
        </w:tc>
      </w:tr>
      <w:tr w14:paraId="7C9EC875">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gridAfter w:val="1"/>
          <w:wAfter w:w="81" w:type="dxa"/>
          <w:trHeight w:val="423" w:hRule="atLeast"/>
        </w:trPr>
        <w:tc>
          <w:tcPr>
            <w:tcW w:w="8539" w:type="dxa"/>
            <w:gridSpan w:val="18"/>
            <w:tcBorders>
              <w:tl2br w:val="nil"/>
              <w:tr2bl w:val="nil"/>
            </w:tcBorders>
            <w:noWrap w:val="0"/>
            <w:vAlign w:val="center"/>
          </w:tcPr>
          <w:p w14:paraId="35EDB39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22"/>
                <w:kern w:val="0"/>
                <w:sz w:val="21"/>
                <w:szCs w:val="21"/>
                <w:highlight w:val="none"/>
              </w:rPr>
              <w:t>注</w:t>
            </w:r>
            <w:r>
              <w:rPr>
                <w:rFonts w:hint="default" w:ascii="Times New Roman" w:hAnsi="Times New Roman" w:eastAsia="宋体" w:cs="Times New Roman"/>
                <w:color w:val="auto"/>
                <w:spacing w:val="-21"/>
                <w:kern w:val="0"/>
                <w:sz w:val="21"/>
                <w:szCs w:val="21"/>
                <w:highlight w:val="none"/>
              </w:rPr>
              <w:t>：</w:t>
            </w:r>
            <w:r>
              <w:rPr>
                <w:rFonts w:hint="default" w:ascii="Times New Roman" w:hAnsi="Times New Roman" w:eastAsia="宋体" w:cs="Times New Roman"/>
                <w:color w:val="auto"/>
                <w:spacing w:val="-11"/>
                <w:kern w:val="0"/>
                <w:sz w:val="21"/>
                <w:szCs w:val="21"/>
                <w:highlight w:val="none"/>
              </w:rPr>
              <w:t>“□”为勾选项，可 √ ；“</w:t>
            </w:r>
            <w:r>
              <w:rPr>
                <w:rFonts w:hint="default" w:ascii="Times New Roman" w:hAnsi="Times New Roman" w:eastAsia="宋体" w:cs="Times New Roman"/>
                <w:color w:val="auto"/>
                <w:spacing w:val="-11"/>
                <w:kern w:val="0"/>
                <w:sz w:val="21"/>
                <w:szCs w:val="21"/>
                <w:highlight w:val="none"/>
                <w:lang w:eastAsia="zh-CN"/>
              </w:rPr>
              <w:t>（</w:t>
            </w:r>
            <w:r>
              <w:rPr>
                <w:rFonts w:hint="default" w:ascii="Times New Roman" w:hAnsi="Times New Roman" w:eastAsia="宋体" w:cs="Times New Roman"/>
                <w:color w:val="auto"/>
                <w:spacing w:val="-11"/>
                <w:kern w:val="0"/>
                <w:sz w:val="21"/>
                <w:szCs w:val="21"/>
                <w:highlight w:val="none"/>
              </w:rPr>
              <w:t xml:space="preserve">   </w:t>
            </w:r>
            <w:r>
              <w:rPr>
                <w:rFonts w:hint="default" w:ascii="Times New Roman" w:hAnsi="Times New Roman" w:eastAsia="宋体" w:cs="Times New Roman"/>
                <w:color w:val="auto"/>
                <w:spacing w:val="-11"/>
                <w:kern w:val="0"/>
                <w:sz w:val="21"/>
                <w:szCs w:val="21"/>
                <w:highlight w:val="none"/>
                <w:lang w:eastAsia="zh-CN"/>
              </w:rPr>
              <w:t>）</w:t>
            </w:r>
            <w:r>
              <w:rPr>
                <w:rFonts w:hint="default" w:ascii="Times New Roman" w:hAnsi="Times New Roman" w:eastAsia="宋体" w:cs="Times New Roman"/>
                <w:color w:val="auto"/>
                <w:spacing w:val="-11"/>
                <w:kern w:val="0"/>
                <w:sz w:val="21"/>
                <w:szCs w:val="21"/>
                <w:highlight w:val="none"/>
              </w:rPr>
              <w:t>”为内容填写项。</w:t>
            </w:r>
          </w:p>
        </w:tc>
      </w:tr>
      <w:bookmarkEnd w:id="661"/>
      <w:bookmarkEnd w:id="662"/>
      <w:bookmarkEnd w:id="663"/>
      <w:bookmarkEnd w:id="664"/>
      <w:bookmarkEnd w:id="665"/>
      <w:bookmarkEnd w:id="666"/>
      <w:bookmarkEnd w:id="667"/>
      <w:bookmarkEnd w:id="668"/>
      <w:bookmarkEnd w:id="669"/>
    </w:tbl>
    <w:p w14:paraId="736AB4F6">
      <w:pPr>
        <w:pStyle w:val="75"/>
        <w:bidi w:val="0"/>
        <w:rPr>
          <w:rFonts w:hint="eastAsia"/>
          <w:color w:val="auto"/>
          <w:lang w:val="en-US" w:eastAsia="zh-CN"/>
        </w:rPr>
      </w:pPr>
      <w:bookmarkStart w:id="677" w:name="_Toc2124"/>
      <w:bookmarkStart w:id="678" w:name="_Toc285"/>
      <w:bookmarkStart w:id="679" w:name="_Toc24257"/>
      <w:bookmarkStart w:id="680" w:name="_Toc28109"/>
      <w:bookmarkStart w:id="681" w:name="_Toc23194"/>
      <w:bookmarkStart w:id="682" w:name="_Toc119915025"/>
      <w:bookmarkStart w:id="683" w:name="_Toc24464"/>
      <w:bookmarkStart w:id="684" w:name="_Toc31201"/>
      <w:bookmarkStart w:id="685" w:name="_Toc23746"/>
      <w:bookmarkStart w:id="686" w:name="_Toc22422"/>
      <w:bookmarkStart w:id="687" w:name="_Toc26476"/>
      <w:bookmarkStart w:id="688" w:name="_Toc3626"/>
      <w:bookmarkStart w:id="689" w:name="_Toc23530"/>
      <w:bookmarkStart w:id="690" w:name="_Toc29496"/>
      <w:bookmarkStart w:id="691" w:name="_Toc119915024"/>
      <w:r>
        <w:rPr>
          <w:color w:val="auto"/>
          <w:lang w:val="en-US" w:eastAsia="zh-CN"/>
        </w:rPr>
        <w:t>5.</w:t>
      </w:r>
      <w:r>
        <w:rPr>
          <w:rFonts w:hint="eastAsia"/>
          <w:color w:val="auto"/>
          <w:lang w:val="en-US" w:eastAsia="zh-CN"/>
        </w:rPr>
        <w:t xml:space="preserve">6 </w:t>
      </w:r>
      <w:r>
        <w:rPr>
          <w:color w:val="auto"/>
          <w:lang w:val="en-US" w:eastAsia="zh-CN"/>
        </w:rPr>
        <w:t>固体废物影响分析</w:t>
      </w:r>
      <w:bookmarkEnd w:id="677"/>
      <w:bookmarkEnd w:id="678"/>
      <w:bookmarkEnd w:id="679"/>
      <w:bookmarkEnd w:id="680"/>
      <w:bookmarkEnd w:id="681"/>
      <w:bookmarkEnd w:id="682"/>
      <w:bookmarkEnd w:id="683"/>
    </w:p>
    <w:p w14:paraId="43A9BD54">
      <w:pPr>
        <w:pStyle w:val="54"/>
        <w:bidi w:val="0"/>
        <w:rPr>
          <w:rFonts w:hint="default"/>
          <w:color w:val="auto"/>
          <w:lang w:val="en-US" w:eastAsia="zh-CN"/>
        </w:rPr>
      </w:pPr>
      <w:r>
        <w:rPr>
          <w:color w:val="auto"/>
          <w:lang w:val="en-US" w:eastAsia="zh-CN"/>
        </w:rPr>
        <w:t>5.</w:t>
      </w:r>
      <w:r>
        <w:rPr>
          <w:rFonts w:hint="eastAsia"/>
          <w:color w:val="auto"/>
          <w:lang w:val="en-US" w:eastAsia="zh-CN"/>
        </w:rPr>
        <w:t>6</w:t>
      </w:r>
      <w:r>
        <w:rPr>
          <w:color w:val="auto"/>
          <w:lang w:val="en-US" w:eastAsia="zh-CN"/>
        </w:rPr>
        <w:t>.1</w:t>
      </w:r>
      <w:r>
        <w:rPr>
          <w:rFonts w:hint="eastAsia"/>
          <w:color w:val="auto"/>
          <w:lang w:val="en-US" w:eastAsia="zh-CN"/>
        </w:rPr>
        <w:t xml:space="preserve"> 施工</w:t>
      </w:r>
      <w:r>
        <w:rPr>
          <w:color w:val="auto"/>
          <w:lang w:val="en-US" w:eastAsia="zh-CN"/>
        </w:rPr>
        <w:t>期固体废物影响</w:t>
      </w:r>
      <w:r>
        <w:rPr>
          <w:rFonts w:hint="eastAsia"/>
          <w:color w:val="auto"/>
          <w:lang w:val="en-US" w:eastAsia="zh-CN"/>
        </w:rPr>
        <w:t>分析</w:t>
      </w:r>
    </w:p>
    <w:p w14:paraId="1DE44CD0">
      <w:pPr>
        <w:pStyle w:val="79"/>
        <w:bidi w:val="0"/>
        <w:rPr>
          <w:rFonts w:hint="eastAsia"/>
          <w:color w:val="auto"/>
          <w:lang w:val="zh-CN" w:eastAsia="zh-CN"/>
        </w:rPr>
      </w:pPr>
      <w:r>
        <w:rPr>
          <w:rFonts w:hint="eastAsia"/>
          <w:color w:val="auto"/>
          <w:lang w:val="zh-CN" w:eastAsia="zh-CN"/>
        </w:rPr>
        <w:t>本项目在施工期产生的固体废物主要包括施工废料、土石方、生活垃圾等。</w:t>
      </w:r>
    </w:p>
    <w:p w14:paraId="68A5735F">
      <w:pPr>
        <w:pStyle w:val="79"/>
        <w:bidi w:val="0"/>
        <w:rPr>
          <w:rFonts w:hint="eastAsia"/>
          <w:color w:val="auto"/>
          <w:lang w:val="zh-CN" w:eastAsia="zh-CN"/>
        </w:rPr>
      </w:pPr>
      <w:r>
        <w:rPr>
          <w:rFonts w:hint="eastAsia"/>
          <w:color w:val="auto"/>
          <w:lang w:val="zh-CN" w:eastAsia="zh-CN"/>
        </w:rPr>
        <w:t>施工废料主要包括管材边角料、焊接作业中产生的废焊条及其包装盒等，产生量约为</w:t>
      </w:r>
      <w:r>
        <w:rPr>
          <w:rFonts w:hint="eastAsia"/>
          <w:color w:val="auto"/>
          <w:lang w:val="en-US" w:eastAsia="zh-CN"/>
        </w:rPr>
        <w:t>4.94</w:t>
      </w:r>
      <w:r>
        <w:rPr>
          <w:rFonts w:hint="eastAsia"/>
          <w:color w:val="auto"/>
          <w:lang w:val="zh-CN" w:eastAsia="zh-CN"/>
        </w:rPr>
        <w:t>t。施工废料应首先考虑回收利用，不可回收利用部分拉运至英买作业区英买7固废场进行填埋处置。</w:t>
      </w:r>
    </w:p>
    <w:p w14:paraId="10680262">
      <w:pPr>
        <w:pStyle w:val="79"/>
        <w:bidi w:val="0"/>
        <w:rPr>
          <w:rFonts w:hint="eastAsia"/>
          <w:color w:val="auto"/>
          <w:lang w:val="zh-CN" w:eastAsia="zh-CN"/>
        </w:rPr>
      </w:pPr>
      <w:r>
        <w:rPr>
          <w:rFonts w:hint="eastAsia"/>
          <w:color w:val="auto"/>
          <w:lang w:val="zh-CN" w:eastAsia="zh-CN"/>
        </w:rPr>
        <w:t>施工区不设置施工营地，施工现场应及时、集中收集处理现场遗留的快餐盒、饮料瓶包装盒等废物，生活垃圾随车带走，现场不遗留。</w:t>
      </w:r>
    </w:p>
    <w:p w14:paraId="58C021EC">
      <w:pPr>
        <w:pStyle w:val="79"/>
        <w:bidi w:val="0"/>
        <w:rPr>
          <w:rFonts w:hint="eastAsia"/>
          <w:color w:val="auto"/>
          <w:lang w:val="zh-CN" w:eastAsia="zh-CN"/>
        </w:rPr>
      </w:pPr>
      <w:r>
        <w:rPr>
          <w:rFonts w:hint="eastAsia"/>
          <w:color w:val="auto"/>
          <w:lang w:val="zh-CN" w:eastAsia="zh-CN"/>
        </w:rPr>
        <w:t>本工程挖方量约为101520m</w:t>
      </w:r>
      <w:r>
        <w:rPr>
          <w:rFonts w:hint="eastAsia"/>
          <w:color w:val="auto"/>
          <w:vertAlign w:val="superscript"/>
          <w:lang w:val="zh-CN" w:eastAsia="zh-CN"/>
        </w:rPr>
        <w:t>3</w:t>
      </w:r>
      <w:r>
        <w:rPr>
          <w:rFonts w:hint="eastAsia"/>
          <w:color w:val="auto"/>
          <w:lang w:val="zh-CN" w:eastAsia="zh-CN"/>
        </w:rPr>
        <w:t>，填方总量为101520m</w:t>
      </w:r>
      <w:r>
        <w:rPr>
          <w:rFonts w:hint="eastAsia"/>
          <w:color w:val="auto"/>
          <w:vertAlign w:val="superscript"/>
          <w:lang w:val="zh-CN" w:eastAsia="zh-CN"/>
        </w:rPr>
        <w:t>3</w:t>
      </w:r>
      <w:r>
        <w:rPr>
          <w:rFonts w:hint="eastAsia"/>
          <w:color w:val="auto"/>
          <w:lang w:val="zh-CN" w:eastAsia="zh-CN"/>
        </w:rPr>
        <w:t>，开挖土方主要为管沟开挖产生土方，回填土方主要为管沟回填，可以做到“取弃平衡”。</w:t>
      </w:r>
    </w:p>
    <w:p w14:paraId="613DBE46">
      <w:pPr>
        <w:pStyle w:val="79"/>
        <w:bidi w:val="0"/>
        <w:rPr>
          <w:rFonts w:hint="eastAsia"/>
          <w:color w:val="auto"/>
          <w:lang w:val="zh-CN" w:eastAsia="zh-CN"/>
        </w:rPr>
      </w:pPr>
      <w:r>
        <w:rPr>
          <w:rFonts w:hint="eastAsia"/>
          <w:color w:val="auto"/>
          <w:lang w:val="zh-CN" w:eastAsia="zh-CN"/>
        </w:rPr>
        <w:t>施工期固体废物处置措施得当，在加强管理的前提下，不会对外环境产生明显不利影响。</w:t>
      </w:r>
    </w:p>
    <w:p w14:paraId="5707C8FC">
      <w:pPr>
        <w:pStyle w:val="54"/>
        <w:bidi w:val="0"/>
        <w:rPr>
          <w:rFonts w:hint="default"/>
          <w:color w:val="auto"/>
          <w:lang w:val="en-US" w:eastAsia="zh-CN"/>
        </w:rPr>
      </w:pPr>
      <w:r>
        <w:rPr>
          <w:color w:val="auto"/>
          <w:lang w:val="en-US" w:eastAsia="zh-CN"/>
        </w:rPr>
        <w:t>5.</w:t>
      </w:r>
      <w:r>
        <w:rPr>
          <w:rFonts w:hint="eastAsia"/>
          <w:color w:val="auto"/>
          <w:lang w:val="en-US" w:eastAsia="zh-CN"/>
        </w:rPr>
        <w:t>6</w:t>
      </w:r>
      <w:r>
        <w:rPr>
          <w:color w:val="auto"/>
          <w:lang w:val="en-US" w:eastAsia="zh-CN"/>
        </w:rPr>
        <w:t>.2</w:t>
      </w:r>
      <w:r>
        <w:rPr>
          <w:rFonts w:hint="eastAsia"/>
          <w:color w:val="auto"/>
          <w:lang w:val="en-US" w:eastAsia="zh-CN"/>
        </w:rPr>
        <w:t xml:space="preserve"> </w:t>
      </w:r>
      <w:r>
        <w:rPr>
          <w:color w:val="auto"/>
          <w:lang w:val="en-US" w:eastAsia="zh-CN"/>
        </w:rPr>
        <w:t>运营期固体废物影响</w:t>
      </w:r>
      <w:r>
        <w:rPr>
          <w:rFonts w:hint="eastAsia"/>
          <w:color w:val="auto"/>
          <w:lang w:val="en-US" w:eastAsia="zh-CN"/>
        </w:rPr>
        <w:t>分析</w:t>
      </w:r>
    </w:p>
    <w:p w14:paraId="70D93824">
      <w:pPr>
        <w:pStyle w:val="55"/>
        <w:bidi w:val="0"/>
        <w:rPr>
          <w:rFonts w:hint="default"/>
          <w:color w:val="auto"/>
          <w:lang w:val="en-US" w:eastAsia="zh-CN"/>
        </w:rPr>
      </w:pPr>
      <w:r>
        <w:rPr>
          <w:color w:val="auto"/>
          <w:lang w:val="en-US" w:eastAsia="zh-CN"/>
        </w:rPr>
        <w:t>5.</w:t>
      </w:r>
      <w:r>
        <w:rPr>
          <w:rFonts w:hint="eastAsia"/>
          <w:color w:val="auto"/>
          <w:lang w:val="en-US" w:eastAsia="zh-CN"/>
        </w:rPr>
        <w:t>6.2</w:t>
      </w:r>
      <w:r>
        <w:rPr>
          <w:color w:val="auto"/>
          <w:lang w:val="en-US" w:eastAsia="zh-CN"/>
        </w:rPr>
        <w:t>.</w:t>
      </w:r>
      <w:r>
        <w:rPr>
          <w:rFonts w:hint="eastAsia"/>
          <w:color w:val="auto"/>
          <w:lang w:val="en-US" w:eastAsia="zh-CN"/>
        </w:rPr>
        <w:t>1 运营期固体废物</w:t>
      </w:r>
    </w:p>
    <w:p w14:paraId="2886166F">
      <w:pPr>
        <w:pStyle w:val="79"/>
        <w:bidi w:val="0"/>
        <w:rPr>
          <w:color w:val="auto"/>
          <w:lang w:val="en-US" w:eastAsia="zh-CN"/>
        </w:rPr>
      </w:pPr>
      <w:r>
        <w:rPr>
          <w:rFonts w:hint="eastAsia"/>
          <w:color w:val="auto"/>
          <w:lang w:val="en-US" w:eastAsia="zh-CN"/>
        </w:rPr>
        <w:t>本项目运营期主要产生的固体废物有</w:t>
      </w:r>
      <w:bookmarkStart w:id="692" w:name="OLE_LINK384"/>
      <w:r>
        <w:rPr>
          <w:rFonts w:hint="eastAsia"/>
          <w:color w:val="auto"/>
          <w:lang w:val="en-US" w:eastAsia="zh-CN"/>
        </w:rPr>
        <w:t>废脱硫剂、废分子筛、清管废渣、油泥砂、落地油、废防渗膜、废润滑油、井下作业固废及生活垃圾</w:t>
      </w:r>
      <w:bookmarkEnd w:id="692"/>
      <w:r>
        <w:rPr>
          <w:rFonts w:hint="eastAsia"/>
          <w:color w:val="auto"/>
          <w:lang w:val="en-US" w:eastAsia="zh-CN"/>
        </w:rPr>
        <w:t>。</w:t>
      </w:r>
    </w:p>
    <w:p w14:paraId="716FDAC5">
      <w:pPr>
        <w:pStyle w:val="79"/>
        <w:bidi w:val="0"/>
        <w:rPr>
          <w:rFonts w:hint="eastAsia"/>
          <w:color w:val="auto"/>
          <w:lang w:val="en-US" w:eastAsia="zh-CN"/>
        </w:rPr>
      </w:pPr>
      <w:r>
        <w:rPr>
          <w:rFonts w:hint="eastAsia"/>
          <w:color w:val="auto"/>
          <w:lang w:val="en-US" w:eastAsia="zh-CN"/>
        </w:rPr>
        <w:t>本工程干法脱硫过程中产生的废脱硫剂属于一般工业固体废物，由生产厂家进行更换脱硫剂，更换后由其拉走处置。</w:t>
      </w:r>
    </w:p>
    <w:p w14:paraId="328C90A8">
      <w:pPr>
        <w:pStyle w:val="79"/>
        <w:bidi w:val="0"/>
        <w:rPr>
          <w:rFonts w:hint="eastAsia"/>
          <w:color w:val="auto"/>
          <w:lang w:val="en-US" w:eastAsia="zh-CN"/>
        </w:rPr>
      </w:pPr>
      <w:r>
        <w:rPr>
          <w:rFonts w:hint="eastAsia"/>
          <w:color w:val="auto"/>
          <w:lang w:val="en-US" w:eastAsia="zh-CN"/>
        </w:rPr>
        <w:t>本工程在天然气脱水单元会产生废分子筛，属于一般固废，分子筛每两年更换一次，由生产厂家进行更换，更换后由其拉走处置。</w:t>
      </w:r>
    </w:p>
    <w:p w14:paraId="51ACD2F5">
      <w:pPr>
        <w:pStyle w:val="79"/>
        <w:bidi w:val="0"/>
        <w:rPr>
          <w:rFonts w:hint="eastAsia"/>
          <w:color w:val="auto"/>
          <w:lang w:val="en-US" w:eastAsia="zh-CN"/>
        </w:rPr>
      </w:pPr>
      <w:r>
        <w:rPr>
          <w:rFonts w:hint="eastAsia"/>
          <w:color w:val="auto"/>
          <w:lang w:val="en-US" w:eastAsia="zh-CN"/>
        </w:rPr>
        <w:t>清管废渣的主要成分为SS和氧化铁等，还含有少量管道中的油，属于危险废物HW08（废物代码：071-001-08），严格按危险废物相关技术要求和管理规定进行收集与贮存，委托有危废处置资质单位进行处置。</w:t>
      </w:r>
    </w:p>
    <w:p w14:paraId="60216B76">
      <w:pPr>
        <w:pStyle w:val="79"/>
        <w:bidi w:val="0"/>
        <w:rPr>
          <w:rFonts w:hint="eastAsia"/>
          <w:color w:val="auto"/>
          <w:lang w:val="en-US" w:eastAsia="zh-CN"/>
        </w:rPr>
      </w:pPr>
      <w:r>
        <w:rPr>
          <w:rFonts w:hint="eastAsia"/>
          <w:color w:val="auto"/>
          <w:lang w:val="en-US" w:eastAsia="zh-CN"/>
        </w:rPr>
        <w:t>井下作业固废采用专用回收罐进行回收，拉运至英买力油田钻试修废弃物环保处理站进行处理。</w:t>
      </w:r>
    </w:p>
    <w:p w14:paraId="2FCE4E5B">
      <w:pPr>
        <w:pStyle w:val="79"/>
        <w:bidi w:val="0"/>
        <w:rPr>
          <w:rFonts w:hint="eastAsia"/>
          <w:color w:val="auto"/>
          <w:lang w:val="en-US" w:eastAsia="zh-CN"/>
        </w:rPr>
      </w:pPr>
      <w:bookmarkStart w:id="693" w:name="OLE_LINK377"/>
      <w:r>
        <w:rPr>
          <w:rFonts w:hint="eastAsia"/>
          <w:color w:val="auto"/>
          <w:lang w:val="en-US" w:eastAsia="zh-CN"/>
        </w:rPr>
        <w:t>本项目产生的油泥砂主要为处理站的污水处理系统或沉降油罐产生的沉淀物，部分为原油，部分为泥土等杂质，属于危险废物（HW08）（071-001-08），委托有危废处置资质单位进行处置。落地原油主要产生于采油树的阀门、法兰等处事故状态下的泄漏、管线破损以及井下作业产生的落地原油。属于危险废物HW08（废物代码：071-001-08）。根据塔里木油田分公司环境保护管理制度规</w:t>
      </w:r>
      <w:bookmarkEnd w:id="693"/>
      <w:r>
        <w:rPr>
          <w:rFonts w:hint="eastAsia"/>
          <w:color w:val="auto"/>
          <w:lang w:val="en-US" w:eastAsia="zh-CN"/>
        </w:rPr>
        <w:t>定，不允许产生落地油。因此，本项目井下作业时带罐作业，落地油100%回收，回收后的落地原油委托有危废处置资质单位进行处置。</w:t>
      </w:r>
    </w:p>
    <w:p w14:paraId="24E08073">
      <w:pPr>
        <w:pStyle w:val="79"/>
        <w:bidi w:val="0"/>
        <w:rPr>
          <w:rFonts w:hint="eastAsia"/>
          <w:color w:val="auto"/>
          <w:lang w:val="en-US" w:eastAsia="zh-CN"/>
        </w:rPr>
      </w:pPr>
      <w:r>
        <w:rPr>
          <w:rFonts w:hint="eastAsia"/>
          <w:color w:val="auto"/>
          <w:lang w:val="en-US" w:eastAsia="zh-CN"/>
        </w:rPr>
        <w:t>含油废防渗膜属于危险废物，为HW08类危险废物（废物代码900-249-08）。作业施工结束后，由施工单位将废弃的含油防渗布集中收集，委托有危险废物运输及处理资质的单位处置，拉运过程中资质单位应使用专车、按照指定的拉运路线。</w:t>
      </w:r>
    </w:p>
    <w:p w14:paraId="622445D7">
      <w:pPr>
        <w:pStyle w:val="79"/>
        <w:bidi w:val="0"/>
        <w:rPr>
          <w:rFonts w:hint="eastAsia"/>
          <w:color w:val="auto"/>
          <w:lang w:val="en-US" w:eastAsia="zh-CN"/>
        </w:rPr>
      </w:pPr>
      <w:r>
        <w:rPr>
          <w:rFonts w:hint="eastAsia"/>
          <w:color w:val="auto"/>
          <w:lang w:val="en-US" w:eastAsia="zh-CN"/>
        </w:rPr>
        <w:t>本项目废润滑油主要是井下作业、雄探1试采点生产过程中机械设备维修中产生的，其危险废物类别为HW08废矿物油与含矿物油废物，委托有危险废物运输及处理资质的单位处置。</w:t>
      </w:r>
    </w:p>
    <w:p w14:paraId="3D200DFC">
      <w:pPr>
        <w:pStyle w:val="79"/>
        <w:bidi w:val="0"/>
        <w:rPr>
          <w:rFonts w:hint="eastAsia"/>
          <w:color w:val="auto"/>
          <w:lang w:val="en-US" w:eastAsia="zh-CN"/>
        </w:rPr>
      </w:pPr>
      <w:r>
        <w:rPr>
          <w:rFonts w:hint="eastAsia"/>
          <w:color w:val="auto"/>
          <w:lang w:val="en-US" w:eastAsia="zh-CN"/>
        </w:rPr>
        <w:t>本工程运营期生活垃圾集中收集后委托温宿县垃圾填埋场处置。</w:t>
      </w:r>
    </w:p>
    <w:p w14:paraId="6B138B6F">
      <w:pPr>
        <w:pStyle w:val="55"/>
        <w:bidi w:val="0"/>
        <w:rPr>
          <w:rFonts w:hint="default"/>
          <w:color w:val="auto"/>
          <w:lang w:val="en-US" w:eastAsia="zh-CN"/>
        </w:rPr>
      </w:pPr>
      <w:bookmarkStart w:id="694" w:name="OLE_LINK379"/>
      <w:r>
        <w:rPr>
          <w:color w:val="auto"/>
          <w:lang w:val="en-US" w:eastAsia="zh-CN"/>
        </w:rPr>
        <w:t>5.</w:t>
      </w:r>
      <w:r>
        <w:rPr>
          <w:rFonts w:hint="eastAsia"/>
          <w:color w:val="auto"/>
          <w:lang w:val="en-US" w:eastAsia="zh-CN"/>
        </w:rPr>
        <w:t>6</w:t>
      </w:r>
      <w:r>
        <w:rPr>
          <w:color w:val="auto"/>
          <w:lang w:val="en-US" w:eastAsia="zh-CN"/>
        </w:rPr>
        <w:t>.2.</w:t>
      </w:r>
      <w:r>
        <w:rPr>
          <w:rFonts w:hint="eastAsia"/>
          <w:color w:val="auto"/>
          <w:lang w:val="en-US" w:eastAsia="zh-CN"/>
        </w:rPr>
        <w:t>2 危险废物环境影响分析</w:t>
      </w:r>
    </w:p>
    <w:p w14:paraId="6377CE06">
      <w:pPr>
        <w:pStyle w:val="79"/>
        <w:bidi w:val="0"/>
        <w:rPr>
          <w:rFonts w:hint="default"/>
          <w:color w:val="auto"/>
          <w:lang w:val="en-US" w:eastAsia="zh-CN"/>
        </w:rPr>
      </w:pPr>
      <w:bookmarkStart w:id="695" w:name="OLE_LINK378"/>
      <w:bookmarkStart w:id="696" w:name="OLE_LINK380"/>
      <w:r>
        <w:rPr>
          <w:rFonts w:hint="default"/>
          <w:color w:val="auto"/>
          <w:lang w:val="en-US" w:eastAsia="zh-CN"/>
        </w:rPr>
        <w:t>本工程运营期产生的废脱硫剂、废分子筛、清管废渣、油泥砂、落地油、废防渗膜、废润滑油等危险废物应放置在</w:t>
      </w:r>
      <w:r>
        <w:rPr>
          <w:rFonts w:hint="eastAsia"/>
          <w:color w:val="auto"/>
          <w:lang w:val="en-US" w:eastAsia="zh-CN"/>
        </w:rPr>
        <w:t>雄探1试采点</w:t>
      </w:r>
      <w:r>
        <w:rPr>
          <w:rFonts w:hint="default"/>
          <w:color w:val="auto"/>
          <w:lang w:val="en-US" w:eastAsia="zh-CN"/>
        </w:rPr>
        <w:t>独立的危险废物存放区</w:t>
      </w:r>
      <w:bookmarkStart w:id="697" w:name="OLE_LINK381"/>
      <w:r>
        <w:rPr>
          <w:rFonts w:hint="default"/>
          <w:color w:val="auto"/>
          <w:lang w:val="en-US" w:eastAsia="zh-CN"/>
        </w:rPr>
        <w:t>，试采点内设置10m</w:t>
      </w:r>
      <w:bookmarkStart w:id="698" w:name="OLE_LINK383"/>
      <w:r>
        <w:rPr>
          <w:rFonts w:hint="default"/>
          <w:color w:val="auto"/>
          <w:vertAlign w:val="superscript"/>
          <w:lang w:val="en-US" w:eastAsia="zh-CN"/>
        </w:rPr>
        <w:t>2</w:t>
      </w:r>
      <w:bookmarkEnd w:id="698"/>
      <w:r>
        <w:rPr>
          <w:rFonts w:hint="default"/>
          <w:color w:val="auto"/>
          <w:lang w:val="en-US" w:eastAsia="zh-CN"/>
        </w:rPr>
        <w:t>的危废暂存间</w:t>
      </w:r>
      <w:bookmarkEnd w:id="697"/>
      <w:r>
        <w:rPr>
          <w:rFonts w:hint="default"/>
          <w:color w:val="auto"/>
          <w:lang w:val="en-US" w:eastAsia="zh-CN"/>
        </w:rPr>
        <w:t>，必须防风、防雨、防晒、防渗，设标识牌，修建围堰，并按《危险废物贮存污染控制标准》</w:t>
      </w:r>
      <w:r>
        <w:rPr>
          <w:rFonts w:hint="eastAsia"/>
          <w:color w:val="auto"/>
          <w:lang w:val="en-US" w:eastAsia="zh-CN"/>
        </w:rPr>
        <w:t>（</w:t>
      </w:r>
      <w:r>
        <w:rPr>
          <w:rFonts w:hint="default"/>
          <w:color w:val="auto"/>
          <w:lang w:val="en-US" w:eastAsia="zh-CN"/>
        </w:rPr>
        <w:t>GB18597-20</w:t>
      </w:r>
      <w:r>
        <w:rPr>
          <w:rFonts w:hint="eastAsia"/>
          <w:color w:val="auto"/>
          <w:lang w:val="en-US" w:eastAsia="zh-CN"/>
        </w:rPr>
        <w:t>23</w:t>
      </w:r>
      <w:r>
        <w:rPr>
          <w:rFonts w:hint="default"/>
          <w:color w:val="auto"/>
          <w:lang w:val="en-US" w:eastAsia="zh-CN"/>
        </w:rPr>
        <w:t>）及其修改单中危险废物贮存容器、危险废物贮存设施的选址与设计原则等相关规定做好危险废物存放区地面硬化、铺设防渗层，加强堆放区的防雨和防渗漏措施。</w:t>
      </w:r>
    </w:p>
    <w:p w14:paraId="52D3BF35">
      <w:pPr>
        <w:pStyle w:val="79"/>
        <w:bidi w:val="0"/>
        <w:rPr>
          <w:rFonts w:hint="default"/>
          <w:color w:val="auto"/>
          <w:lang w:val="en-US" w:eastAsia="zh-CN"/>
        </w:rPr>
      </w:pPr>
      <w:r>
        <w:rPr>
          <w:rFonts w:hint="default"/>
          <w:color w:val="auto"/>
          <w:lang w:val="en-US" w:eastAsia="zh-CN"/>
        </w:rPr>
        <w:t>本工程产生的危险废物若处置不当就会对周围环境造成危害，因此，必须按照《中华人民共和国固体废物污染环境防治法》以及危险废物防治有关办法的要求严格管理和安全处置。危废暂存库内各种废物单独存放，存放容器应清楚地标明内盛物的类别与危害说明，以及数量和装进日期，设置危险废物识别标志。</w:t>
      </w:r>
      <w:bookmarkEnd w:id="695"/>
    </w:p>
    <w:p w14:paraId="13100F5F">
      <w:pPr>
        <w:pStyle w:val="79"/>
        <w:bidi w:val="0"/>
        <w:rPr>
          <w:rFonts w:hint="default"/>
          <w:color w:val="auto"/>
        </w:rPr>
      </w:pPr>
      <w:r>
        <w:rPr>
          <w:rFonts w:hint="default"/>
          <w:color w:val="auto"/>
          <w:lang w:eastAsia="zh-CN"/>
        </w:rPr>
        <w:t>（</w:t>
      </w:r>
      <w:r>
        <w:rPr>
          <w:rFonts w:hint="default"/>
          <w:color w:val="auto"/>
          <w:lang w:val="en-US" w:eastAsia="zh-CN"/>
        </w:rPr>
        <w:t>1</w:t>
      </w:r>
      <w:r>
        <w:rPr>
          <w:rFonts w:hint="default"/>
          <w:color w:val="auto"/>
          <w:lang w:eastAsia="zh-CN"/>
        </w:rPr>
        <w:t>）</w:t>
      </w:r>
      <w:r>
        <w:rPr>
          <w:rFonts w:hint="default"/>
          <w:color w:val="auto"/>
        </w:rPr>
        <w:t>危废收集过程影响分析</w:t>
      </w:r>
    </w:p>
    <w:p w14:paraId="5C50AC9B">
      <w:pPr>
        <w:pStyle w:val="79"/>
        <w:bidi w:val="0"/>
        <w:rPr>
          <w:rFonts w:hint="default"/>
          <w:color w:val="auto"/>
        </w:rPr>
      </w:pPr>
      <w:r>
        <w:rPr>
          <w:rFonts w:hint="default"/>
          <w:color w:val="auto"/>
        </w:rPr>
        <w:t>本项目产生的危废按照《危险废物收集贮存运输技术规范》(HJ2025-2012</w:t>
      </w:r>
      <w:r>
        <w:rPr>
          <w:rFonts w:hint="eastAsia"/>
          <w:color w:val="auto"/>
          <w:lang w:eastAsia="zh-CN"/>
        </w:rPr>
        <w:t>）</w:t>
      </w:r>
      <w:r>
        <w:rPr>
          <w:rFonts w:hint="default"/>
          <w:color w:val="auto"/>
        </w:rPr>
        <w:t>相关要求进行收集、运输，并按要求填写危险废物的收集记录、转运记录表，并将记录表作为危险废物管理的重要档案妥善保存。</w:t>
      </w:r>
    </w:p>
    <w:p w14:paraId="053CB2E4">
      <w:pPr>
        <w:pStyle w:val="79"/>
        <w:bidi w:val="0"/>
        <w:rPr>
          <w:rFonts w:hint="default"/>
          <w:color w:val="auto"/>
        </w:rPr>
      </w:pPr>
      <w:r>
        <w:rPr>
          <w:rFonts w:hint="default"/>
          <w:color w:val="auto"/>
          <w:lang w:eastAsia="zh-CN"/>
        </w:rPr>
        <w:t>（</w:t>
      </w:r>
      <w:r>
        <w:rPr>
          <w:rFonts w:hint="default"/>
          <w:color w:val="auto"/>
          <w:lang w:val="en-US" w:eastAsia="zh-CN"/>
        </w:rPr>
        <w:t>2</w:t>
      </w:r>
      <w:r>
        <w:rPr>
          <w:rFonts w:hint="default"/>
          <w:color w:val="auto"/>
          <w:lang w:eastAsia="zh-CN"/>
        </w:rPr>
        <w:t>）</w:t>
      </w:r>
      <w:r>
        <w:rPr>
          <w:rFonts w:hint="default"/>
          <w:color w:val="auto"/>
        </w:rPr>
        <w:t>危废运输过程影响分析</w:t>
      </w:r>
    </w:p>
    <w:p w14:paraId="2D48AF92">
      <w:pPr>
        <w:pStyle w:val="79"/>
        <w:bidi w:val="0"/>
        <w:rPr>
          <w:rFonts w:hint="default"/>
          <w:color w:val="auto"/>
        </w:rPr>
      </w:pPr>
      <w:bookmarkStart w:id="699" w:name="_Hlk76400921"/>
      <w:bookmarkEnd w:id="699"/>
      <w:r>
        <w:rPr>
          <w:rFonts w:hint="default"/>
          <w:color w:val="auto"/>
        </w:rPr>
        <w:t>本项目产生的危险废物委托有危险废物运输资质的单位进行运输，运输过程中全部采用密闭容器收集储存，转运结束后及时对转运路线进行检查和清理，确保无危险废物散落或泄漏在转运路线上，危险废物运输过程符合《危险废物收集贮存运输技术规范》(HJ2025-2012</w:t>
      </w:r>
      <w:r>
        <w:rPr>
          <w:rFonts w:hint="eastAsia"/>
          <w:color w:val="auto"/>
          <w:lang w:eastAsia="zh-CN"/>
        </w:rPr>
        <w:t>）</w:t>
      </w:r>
      <w:r>
        <w:rPr>
          <w:rFonts w:hint="default"/>
          <w:color w:val="auto"/>
        </w:rPr>
        <w:t>中的相关要求。</w:t>
      </w:r>
    </w:p>
    <w:p w14:paraId="6032B115">
      <w:pPr>
        <w:pStyle w:val="79"/>
        <w:bidi w:val="0"/>
        <w:rPr>
          <w:rFonts w:hint="default"/>
          <w:color w:val="auto"/>
          <w:lang w:val="zh-CN"/>
        </w:rPr>
      </w:pPr>
      <w:bookmarkStart w:id="700" w:name="_Hlk76401527"/>
      <w:bookmarkEnd w:id="700"/>
      <w:r>
        <w:rPr>
          <w:rFonts w:hint="default"/>
          <w:color w:val="auto"/>
        </w:rPr>
        <w:t>综上，本项目产生的危险废物收集、转移、运输过程中按照《危险废物收集 贮存 运输技术规范》（HJ2025-2012）和《危险废物转移管理办法》要求进行运输，并由有资质的单位进行处置，对环境的影响很小。</w:t>
      </w:r>
    </w:p>
    <w:bookmarkEnd w:id="694"/>
    <w:bookmarkEnd w:id="696"/>
    <w:p w14:paraId="5338E960">
      <w:pPr>
        <w:pStyle w:val="54"/>
        <w:bidi w:val="0"/>
        <w:rPr>
          <w:color w:val="auto"/>
          <w:lang w:val="en-US" w:eastAsia="zh-CN"/>
        </w:rPr>
      </w:pPr>
      <w:r>
        <w:rPr>
          <w:color w:val="auto"/>
          <w:lang w:val="en-US" w:eastAsia="zh-CN"/>
        </w:rPr>
        <w:t>5.</w:t>
      </w:r>
      <w:r>
        <w:rPr>
          <w:rFonts w:hint="eastAsia"/>
          <w:color w:val="auto"/>
          <w:lang w:val="en-US" w:eastAsia="zh-CN"/>
        </w:rPr>
        <w:t xml:space="preserve">6.3 </w:t>
      </w:r>
      <w:r>
        <w:rPr>
          <w:color w:val="auto"/>
          <w:lang w:val="en-US" w:eastAsia="zh-CN"/>
        </w:rPr>
        <w:t>退役期固体废物影响分析</w:t>
      </w:r>
    </w:p>
    <w:p w14:paraId="3023ECD6">
      <w:pPr>
        <w:pStyle w:val="79"/>
        <w:bidi w:val="0"/>
        <w:rPr>
          <w:rFonts w:hint="eastAsia"/>
          <w:color w:val="auto"/>
        </w:rPr>
      </w:pPr>
      <w:r>
        <w:rPr>
          <w:rFonts w:hint="eastAsia"/>
          <w:color w:val="auto"/>
          <w:lang w:val="en-US" w:eastAsia="zh-CN"/>
        </w:rPr>
        <w:t>油井</w:t>
      </w:r>
      <w:r>
        <w:rPr>
          <w:rFonts w:hint="eastAsia"/>
          <w:color w:val="auto"/>
        </w:rPr>
        <w:t>退役后地面设施拆除、井场清理等工作会产生部分废弃管线、废弃建筑残渣 进行集中清理收集后外运。</w:t>
      </w:r>
    </w:p>
    <w:p w14:paraId="7F24FCF2">
      <w:pPr>
        <w:pStyle w:val="79"/>
        <w:bidi w:val="0"/>
        <w:rPr>
          <w:color w:val="auto"/>
        </w:rPr>
      </w:pPr>
      <w:r>
        <w:rPr>
          <w:rFonts w:hint="eastAsia"/>
          <w:color w:val="auto"/>
        </w:rPr>
        <w:t>地面设施拆除、井场清理等工作过程中被原油污染的土壤或油渣等危险固废，交由有资质的单位进行无害化处置，不会对周围环境产生影响。</w:t>
      </w:r>
    </w:p>
    <w:p w14:paraId="34A9F81C">
      <w:pPr>
        <w:pStyle w:val="75"/>
        <w:bidi w:val="0"/>
        <w:rPr>
          <w:rFonts w:hint="default"/>
          <w:color w:val="auto"/>
          <w:lang w:val="en-US" w:eastAsia="zh-CN"/>
        </w:rPr>
      </w:pPr>
      <w:bookmarkStart w:id="701" w:name="_Toc21356"/>
      <w:r>
        <w:rPr>
          <w:rFonts w:hint="eastAsia"/>
          <w:color w:val="auto"/>
          <w:lang w:val="en-US" w:eastAsia="zh-CN"/>
        </w:rPr>
        <w:t>5.7环境风险分析</w:t>
      </w:r>
      <w:bookmarkEnd w:id="701"/>
    </w:p>
    <w:bookmarkEnd w:id="618"/>
    <w:bookmarkEnd w:id="670"/>
    <w:bookmarkEnd w:id="671"/>
    <w:bookmarkEnd w:id="672"/>
    <w:bookmarkEnd w:id="684"/>
    <w:bookmarkEnd w:id="685"/>
    <w:bookmarkEnd w:id="686"/>
    <w:bookmarkEnd w:id="687"/>
    <w:bookmarkEnd w:id="688"/>
    <w:bookmarkEnd w:id="689"/>
    <w:bookmarkEnd w:id="690"/>
    <w:bookmarkEnd w:id="691"/>
    <w:p w14:paraId="15655CBC">
      <w:pPr>
        <w:pStyle w:val="54"/>
        <w:bidi w:val="0"/>
        <w:rPr>
          <w:rFonts w:hint="default"/>
          <w:color w:val="auto"/>
          <w:lang w:val="en-US" w:eastAsia="zh-CN"/>
        </w:rPr>
      </w:pPr>
      <w:bookmarkStart w:id="702" w:name="_Toc22877"/>
      <w:bookmarkStart w:id="703" w:name="_Toc16944"/>
      <w:bookmarkStart w:id="704" w:name="_Toc26723"/>
      <w:bookmarkStart w:id="705" w:name="_Toc30899"/>
      <w:bookmarkStart w:id="706" w:name="_Toc11253"/>
      <w:bookmarkStart w:id="707" w:name="_Toc508291899"/>
      <w:bookmarkStart w:id="708" w:name="_Toc16472"/>
      <w:bookmarkStart w:id="709" w:name="_Toc420492420"/>
      <w:bookmarkStart w:id="710" w:name="_Toc22977"/>
      <w:bookmarkStart w:id="711" w:name="_Toc109382939"/>
      <w:r>
        <w:rPr>
          <w:rFonts w:hint="eastAsia"/>
          <w:color w:val="auto"/>
          <w:lang w:val="en-US" w:eastAsia="zh-CN"/>
        </w:rPr>
        <w:t>5.7.1</w:t>
      </w:r>
      <w:r>
        <w:rPr>
          <w:rFonts w:hint="default"/>
          <w:color w:val="auto"/>
          <w:lang w:val="en-US" w:eastAsia="zh-CN"/>
        </w:rPr>
        <w:t xml:space="preserve"> 风险调查</w:t>
      </w:r>
    </w:p>
    <w:p w14:paraId="2FABF2E1">
      <w:pPr>
        <w:pStyle w:val="79"/>
        <w:bidi w:val="0"/>
        <w:rPr>
          <w:rFonts w:hint="default"/>
          <w:color w:val="auto"/>
        </w:rPr>
      </w:pPr>
      <w:r>
        <w:rPr>
          <w:rFonts w:hint="default"/>
          <w:color w:val="auto"/>
        </w:rPr>
        <w:t>项目</w:t>
      </w:r>
      <w:r>
        <w:rPr>
          <w:rFonts w:hint="default"/>
          <w:color w:val="auto"/>
          <w:lang w:val="en-US" w:eastAsia="zh-CN"/>
        </w:rPr>
        <w:t>施工期和</w:t>
      </w:r>
      <w:r>
        <w:rPr>
          <w:rFonts w:hint="default"/>
          <w:color w:val="auto"/>
        </w:rPr>
        <w:t>运营期涉及的主要危险物质为</w:t>
      </w:r>
      <w:r>
        <w:rPr>
          <w:rFonts w:hint="default"/>
          <w:color w:val="auto"/>
          <w:lang w:val="en-US" w:eastAsia="zh-CN"/>
        </w:rPr>
        <w:t>原油</w:t>
      </w:r>
      <w:r>
        <w:rPr>
          <w:rFonts w:hint="default"/>
          <w:color w:val="auto"/>
        </w:rPr>
        <w:t>、天然气，涉及的风险</w:t>
      </w:r>
      <w:r>
        <w:rPr>
          <w:rFonts w:hint="default"/>
          <w:color w:val="auto"/>
          <w:lang w:val="en-US" w:eastAsia="zh-CN"/>
        </w:rPr>
        <w:t>主要</w:t>
      </w:r>
      <w:r>
        <w:rPr>
          <w:rFonts w:hint="default"/>
          <w:color w:val="auto"/>
        </w:rPr>
        <w:t>为运行过程中集输管线破损造成的</w:t>
      </w:r>
      <w:r>
        <w:rPr>
          <w:rFonts w:hint="default"/>
          <w:color w:val="auto"/>
          <w:lang w:val="en-US" w:eastAsia="zh-CN"/>
        </w:rPr>
        <w:t>原油、</w:t>
      </w:r>
      <w:r>
        <w:rPr>
          <w:rFonts w:hint="default"/>
          <w:color w:val="auto"/>
        </w:rPr>
        <w:t>天然气的泄漏。</w:t>
      </w:r>
    </w:p>
    <w:p w14:paraId="33F86999">
      <w:pPr>
        <w:pStyle w:val="54"/>
        <w:bidi w:val="0"/>
        <w:rPr>
          <w:rFonts w:hint="default"/>
          <w:color w:val="auto"/>
          <w:lang w:val="en-US" w:eastAsia="zh-CN"/>
        </w:rPr>
      </w:pPr>
      <w:r>
        <w:rPr>
          <w:rFonts w:hint="eastAsia"/>
          <w:color w:val="auto"/>
          <w:lang w:val="en-US" w:eastAsia="zh-CN"/>
        </w:rPr>
        <w:t>5.7.2</w:t>
      </w:r>
      <w:r>
        <w:rPr>
          <w:rFonts w:hint="default"/>
          <w:color w:val="auto"/>
          <w:lang w:val="en-US" w:eastAsia="zh-CN"/>
        </w:rPr>
        <w:t xml:space="preserve"> 环境风险</w:t>
      </w:r>
      <w:r>
        <w:rPr>
          <w:rFonts w:hint="eastAsia"/>
          <w:color w:val="auto"/>
          <w:lang w:val="en-US" w:eastAsia="zh-CN"/>
        </w:rPr>
        <w:t>潜</w:t>
      </w:r>
      <w:r>
        <w:rPr>
          <w:rFonts w:hint="default"/>
          <w:color w:val="auto"/>
          <w:lang w:val="en-US" w:eastAsia="zh-CN"/>
        </w:rPr>
        <w:t>势初判</w:t>
      </w:r>
    </w:p>
    <w:p w14:paraId="0BC80B7A">
      <w:pPr>
        <w:pStyle w:val="79"/>
        <w:bidi w:val="0"/>
        <w:rPr>
          <w:rFonts w:hint="default"/>
          <w:color w:val="auto"/>
        </w:rPr>
      </w:pPr>
      <w:r>
        <w:rPr>
          <w:rFonts w:hint="default"/>
          <w:color w:val="auto"/>
        </w:rPr>
        <w:t>根据《建设项目环境风险评价技术导则》（HJ169-2018）附录B，本工程涉及的风险物质为原油、天然气（甲烷）</w:t>
      </w:r>
      <w:r>
        <w:rPr>
          <w:rFonts w:hint="eastAsia"/>
          <w:color w:val="auto"/>
          <w:lang w:val="en-US" w:eastAsia="zh-CN"/>
        </w:rPr>
        <w:t>、甲醇</w:t>
      </w:r>
      <w:r>
        <w:rPr>
          <w:rFonts w:hint="default"/>
          <w:color w:val="auto"/>
        </w:rPr>
        <w:t>，分别属于《建设项目环境风险评价技术导则》（HJ169－2018）附录B中的油类物质（矿物油类，如石油、汽油、柴油等，生物柴油等），临界量2500t；天然气（甲烷）临界量10t</w:t>
      </w:r>
      <w:r>
        <w:rPr>
          <w:rFonts w:hint="eastAsia"/>
          <w:color w:val="auto"/>
          <w:lang w:eastAsia="zh-CN"/>
        </w:rPr>
        <w:t>；</w:t>
      </w:r>
      <w:r>
        <w:rPr>
          <w:rFonts w:hint="eastAsia"/>
          <w:color w:val="auto"/>
          <w:lang w:val="en-US" w:eastAsia="zh-CN"/>
        </w:rPr>
        <w:t>甲醇</w:t>
      </w:r>
      <w:r>
        <w:rPr>
          <w:rFonts w:hint="default"/>
          <w:color w:val="auto"/>
        </w:rPr>
        <w:t>临界量10t。根据《建设项目环境风险评价技术导则》（HJ169-2018），危险单元的定义为由一个或多个风险源构成的具有相对独立功能的单元，事故状况下应可实现与其他功能单元的分割。则本工程运营期风险单元为新建的集输管线。</w:t>
      </w:r>
    </w:p>
    <w:p w14:paraId="4DDD7EED">
      <w:pPr>
        <w:pStyle w:val="79"/>
        <w:bidi w:val="0"/>
        <w:rPr>
          <w:rFonts w:hint="default"/>
          <w:color w:val="auto"/>
        </w:rPr>
      </w:pPr>
      <w:r>
        <w:rPr>
          <w:rFonts w:hint="default"/>
          <w:color w:val="auto"/>
        </w:rPr>
        <w:t>根据HJ169-2018附录C，按下式计算本工程涉及的危险物质总量与其临界量比值（Q）：</w:t>
      </w:r>
    </w:p>
    <w:p w14:paraId="0A13428C">
      <w:pPr>
        <w:adjustRightInd w:val="0"/>
        <w:snapToGrid w:val="0"/>
        <w:spacing w:line="360" w:lineRule="auto"/>
        <w:ind w:firstLine="420" w:firstLineChars="20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drawing>
          <wp:inline distT="0" distB="0" distL="114300" distR="114300">
            <wp:extent cx="1725930" cy="455930"/>
            <wp:effectExtent l="0" t="0" r="7620" b="1270"/>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11"/>
                    <a:stretch>
                      <a:fillRect/>
                    </a:stretch>
                  </pic:blipFill>
                  <pic:spPr>
                    <a:xfrm>
                      <a:off x="0" y="0"/>
                      <a:ext cx="1725930" cy="455930"/>
                    </a:xfrm>
                    <a:prstGeom prst="rect">
                      <a:avLst/>
                    </a:prstGeom>
                    <a:noFill/>
                    <a:ln>
                      <a:noFill/>
                    </a:ln>
                  </pic:spPr>
                </pic:pic>
              </a:graphicData>
            </a:graphic>
          </wp:inline>
        </w:drawing>
      </w:r>
    </w:p>
    <w:p w14:paraId="35F17CDC">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根据《建设项目环境风险评价技术导则》（HJ169-2018）中的判定方法，当存在多种危险物质时，按照下式计算物质总量与其临界量比值（Q）：</w:t>
      </w:r>
    </w:p>
    <w:p w14:paraId="10E3F3DA">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式中：q1，q2，···，qn--每种危险物质的最大存在总量，t；</w:t>
      </w:r>
    </w:p>
    <w:p w14:paraId="4BA502E0">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Q1，Q2，···，Qn--每种危险物质的临界量，t；</w:t>
      </w:r>
    </w:p>
    <w:p w14:paraId="26642552">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当Q&lt;1时，该项目环境风险潜势为I；</w:t>
      </w:r>
    </w:p>
    <w:p w14:paraId="4EC63180">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当Q≥1时，将Q值划分为：（1）1≤Q&lt;10；（2）10≤Q&lt;100；（3）Q≥100。</w:t>
      </w:r>
    </w:p>
    <w:p w14:paraId="7892778C">
      <w:pPr>
        <w:keepNext w:val="0"/>
        <w:keepLines w:val="0"/>
        <w:pageBreakBefore w:val="0"/>
        <w:widowControl/>
        <w:shd w:val="clear" w:color="auto" w:fill="auto"/>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本工程新建单井</w:t>
      </w:r>
      <w:r>
        <w:rPr>
          <w:rFonts w:hint="eastAsia" w:cs="Times New Roman"/>
          <w:color w:val="auto"/>
          <w:kern w:val="0"/>
          <w:sz w:val="24"/>
          <w:szCs w:val="24"/>
          <w:highlight w:val="none"/>
          <w:lang w:val="en-US" w:eastAsia="zh-CN"/>
        </w:rPr>
        <w:t>集输</w:t>
      </w:r>
      <w:r>
        <w:rPr>
          <w:rFonts w:hint="default" w:ascii="Times New Roman" w:hAnsi="Times New Roman" w:eastAsia="宋体" w:cs="Times New Roman"/>
          <w:color w:val="auto"/>
          <w:kern w:val="0"/>
          <w:sz w:val="24"/>
          <w:szCs w:val="24"/>
          <w:highlight w:val="none"/>
          <w:lang w:val="en-US" w:eastAsia="zh-CN"/>
        </w:rPr>
        <w:t>管线</w:t>
      </w:r>
      <w:r>
        <w:rPr>
          <w:rFonts w:hint="eastAsia" w:cs="Times New Roman"/>
          <w:color w:val="auto"/>
          <w:kern w:val="0"/>
          <w:sz w:val="24"/>
          <w:szCs w:val="24"/>
          <w:highlight w:val="none"/>
          <w:lang w:val="en-US" w:eastAsia="zh-CN"/>
        </w:rPr>
        <w:t>24.7</w:t>
      </w:r>
      <w:r>
        <w:rPr>
          <w:rFonts w:hint="default" w:ascii="Times New Roman" w:hAnsi="Times New Roman" w:eastAsia="宋体" w:cs="Times New Roman"/>
          <w:color w:val="auto"/>
          <w:kern w:val="0"/>
          <w:sz w:val="24"/>
          <w:szCs w:val="24"/>
          <w:highlight w:val="none"/>
          <w:lang w:val="en-US" w:eastAsia="zh-CN"/>
        </w:rPr>
        <w:t>km</w:t>
      </w:r>
      <w:r>
        <w:rPr>
          <w:rFonts w:hint="default" w:ascii="Times New Roman" w:hAnsi="Times New Roman" w:eastAsia="宋体" w:cs="Times New Roman"/>
          <w:color w:val="auto"/>
          <w:kern w:val="0"/>
          <w:sz w:val="24"/>
          <w:szCs w:val="24"/>
          <w:highlight w:val="none"/>
        </w:rPr>
        <w:t>。各站场和开发井均有控制（截断）阀，发生</w:t>
      </w:r>
      <w:r>
        <w:rPr>
          <w:rFonts w:hint="default" w:ascii="Times New Roman" w:hAnsi="Times New Roman" w:cs="Times New Roman"/>
          <w:color w:val="auto"/>
          <w:kern w:val="0"/>
          <w:sz w:val="24"/>
          <w:szCs w:val="24"/>
          <w:highlight w:val="none"/>
          <w:lang w:eastAsia="zh-CN"/>
        </w:rPr>
        <w:t>泄漏</w:t>
      </w:r>
      <w:r>
        <w:rPr>
          <w:rFonts w:hint="default" w:ascii="Times New Roman" w:hAnsi="Times New Roman" w:eastAsia="宋体" w:cs="Times New Roman"/>
          <w:color w:val="auto"/>
          <w:kern w:val="0"/>
          <w:sz w:val="24"/>
          <w:szCs w:val="24"/>
          <w:highlight w:val="none"/>
        </w:rPr>
        <w:t>时，可通过控制（截断）阀进行紧急切断。</w:t>
      </w:r>
    </w:p>
    <w:p w14:paraId="7E559861">
      <w:pPr>
        <w:keepNext w:val="0"/>
        <w:keepLines w:val="0"/>
        <w:pageBreakBefore w:val="0"/>
        <w:widowControl/>
        <w:shd w:val="clear" w:color="auto" w:fill="auto"/>
        <w:kinsoku/>
        <w:wordWrap/>
        <w:overflowPunct/>
        <w:topLinePunct w:val="0"/>
        <w:autoSpaceDE/>
        <w:autoSpaceDN/>
        <w:bidi w:val="0"/>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根据附录C中表C.1要求，长输管道运输项目应按站场、管线分段进行评价</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原油密度按照0.</w:t>
      </w:r>
      <w:r>
        <w:rPr>
          <w:rFonts w:hint="eastAsia" w:cs="Times New Roman"/>
          <w:color w:val="auto"/>
          <w:kern w:val="0"/>
          <w:sz w:val="24"/>
          <w:szCs w:val="24"/>
          <w:highlight w:val="none"/>
          <w:lang w:val="en-US" w:eastAsia="zh-CN"/>
        </w:rPr>
        <w:t>8059</w:t>
      </w:r>
      <w:r>
        <w:rPr>
          <w:rFonts w:hint="default" w:ascii="Times New Roman" w:hAnsi="Times New Roman" w:eastAsia="宋体" w:cs="Times New Roman"/>
          <w:color w:val="auto"/>
          <w:kern w:val="0"/>
          <w:sz w:val="24"/>
          <w:szCs w:val="24"/>
          <w:highlight w:val="none"/>
        </w:rPr>
        <w:t>t/m³、天然气平均相对密度0.</w:t>
      </w:r>
      <w:r>
        <w:rPr>
          <w:rFonts w:hint="eastAsia" w:cs="Times New Roman"/>
          <w:color w:val="auto"/>
          <w:kern w:val="0"/>
          <w:sz w:val="24"/>
          <w:szCs w:val="24"/>
          <w:highlight w:val="none"/>
          <w:lang w:val="en-US" w:eastAsia="zh-CN"/>
        </w:rPr>
        <w:t>8828</w:t>
      </w:r>
      <w:r>
        <w:rPr>
          <w:rFonts w:hint="default" w:ascii="Times New Roman" w:hAnsi="Times New Roman" w:eastAsia="宋体" w:cs="Times New Roman"/>
          <w:color w:val="auto"/>
          <w:kern w:val="0"/>
          <w:sz w:val="24"/>
          <w:szCs w:val="24"/>
          <w:highlight w:val="none"/>
        </w:rPr>
        <w:t>kg/m³，天然气中硫化氢平均含量约</w:t>
      </w:r>
      <w:r>
        <w:rPr>
          <w:rFonts w:hint="eastAsia" w:cs="Times New Roman"/>
          <w:color w:val="auto"/>
          <w:kern w:val="0"/>
          <w:sz w:val="24"/>
          <w:szCs w:val="24"/>
          <w:highlight w:val="none"/>
          <w:lang w:val="en-US" w:eastAsia="zh-CN"/>
        </w:rPr>
        <w:t>3200</w:t>
      </w:r>
      <w:r>
        <w:rPr>
          <w:rFonts w:hint="default" w:ascii="Times New Roman" w:hAnsi="Times New Roman" w:eastAsia="宋体" w:cs="Times New Roman"/>
          <w:color w:val="auto"/>
          <w:kern w:val="0"/>
          <w:sz w:val="24"/>
          <w:szCs w:val="24"/>
          <w:highlight w:val="none"/>
        </w:rPr>
        <w:t>mg/m</w:t>
      </w:r>
      <w:r>
        <w:rPr>
          <w:rFonts w:hint="default" w:ascii="Times New Roman" w:hAnsi="Times New Roman" w:eastAsia="宋体" w:cs="Times New Roman"/>
          <w:color w:val="auto"/>
          <w:kern w:val="0"/>
          <w:sz w:val="24"/>
          <w:szCs w:val="24"/>
          <w:highlight w:val="none"/>
          <w:vertAlign w:val="superscript"/>
        </w:rPr>
        <w:t>3</w:t>
      </w:r>
      <w:r>
        <w:rPr>
          <w:rFonts w:hint="default" w:ascii="Times New Roman" w:hAnsi="Times New Roman" w:eastAsia="宋体" w:cs="Times New Roman"/>
          <w:color w:val="auto"/>
          <w:kern w:val="0"/>
          <w:sz w:val="24"/>
          <w:szCs w:val="24"/>
          <w:highlight w:val="none"/>
        </w:rPr>
        <w:t>。</w:t>
      </w:r>
    </w:p>
    <w:p w14:paraId="50B08DBD">
      <w:pPr>
        <w:keepNext w:val="0"/>
        <w:keepLines w:val="0"/>
        <w:pageBreakBefore w:val="0"/>
        <w:widowControl/>
        <w:shd w:val="clear" w:color="auto" w:fill="auto"/>
        <w:kinsoku/>
        <w:wordWrap/>
        <w:overflowPunct/>
        <w:topLinePunct w:val="0"/>
        <w:autoSpaceDE/>
        <w:autoSpaceDN/>
        <w:bidi w:val="0"/>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rPr>
      </w:pPr>
      <w:r>
        <w:rPr>
          <w:rFonts w:hint="eastAsia" w:cs="Times New Roman"/>
          <w:color w:val="auto"/>
          <w:kern w:val="0"/>
          <w:sz w:val="24"/>
          <w:szCs w:val="24"/>
          <w:highlight w:val="none"/>
          <w:vertAlign w:val="baseline"/>
          <w:lang w:val="en-US" w:eastAsia="zh-CN"/>
        </w:rPr>
        <w:t>本工程扩建雄探1试采点建设1座甲醇加注撬（25L/h ，16MPa，3m</w:t>
      </w:r>
      <w:r>
        <w:rPr>
          <w:rFonts w:hint="eastAsia" w:cs="Times New Roman"/>
          <w:color w:val="auto"/>
          <w:kern w:val="0"/>
          <w:sz w:val="24"/>
          <w:szCs w:val="24"/>
          <w:highlight w:val="none"/>
          <w:vertAlign w:val="superscript"/>
          <w:lang w:val="en-US" w:eastAsia="zh-CN"/>
        </w:rPr>
        <w:t>3</w:t>
      </w:r>
      <w:r>
        <w:rPr>
          <w:rFonts w:hint="eastAsia" w:cs="Times New Roman"/>
          <w:color w:val="auto"/>
          <w:kern w:val="0"/>
          <w:sz w:val="24"/>
          <w:szCs w:val="24"/>
          <w:highlight w:val="none"/>
          <w:vertAlign w:val="baseline"/>
          <w:lang w:val="en-US" w:eastAsia="zh-CN"/>
        </w:rPr>
        <w:t>），甲醇密度778.6kg/m</w:t>
      </w:r>
      <w:r>
        <w:rPr>
          <w:rFonts w:hint="eastAsia" w:cs="Times New Roman"/>
          <w:color w:val="auto"/>
          <w:kern w:val="0"/>
          <w:sz w:val="24"/>
          <w:szCs w:val="24"/>
          <w:highlight w:val="none"/>
          <w:vertAlign w:val="superscript"/>
          <w:lang w:val="en-US" w:eastAsia="zh-CN"/>
        </w:rPr>
        <w:t>3</w:t>
      </w:r>
      <w:r>
        <w:rPr>
          <w:rFonts w:hint="eastAsia" w:cs="Times New Roman"/>
          <w:color w:val="auto"/>
          <w:kern w:val="0"/>
          <w:sz w:val="24"/>
          <w:szCs w:val="24"/>
          <w:highlight w:val="none"/>
          <w:vertAlign w:val="baseline"/>
          <w:lang w:val="en-US" w:eastAsia="zh-CN"/>
        </w:rPr>
        <w:t>，间歇运行。</w:t>
      </w:r>
    </w:p>
    <w:p w14:paraId="31D3F9D4">
      <w:pPr>
        <w:keepNext w:val="0"/>
        <w:keepLines w:val="0"/>
        <w:pageBreakBefore w:val="0"/>
        <w:widowControl/>
        <w:shd w:val="clear" w:color="auto" w:fill="auto"/>
        <w:kinsoku/>
        <w:wordWrap/>
        <w:overflowPunct/>
        <w:topLinePunct w:val="0"/>
        <w:autoSpaceDE/>
        <w:autoSpaceDN/>
        <w:bidi w:val="0"/>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根据克拉伯龙方程，计算管道带压运行状态下的气体质量：</w:t>
      </w:r>
    </w:p>
    <w:p w14:paraId="357A6FBD">
      <w:pPr>
        <w:keepNext w:val="0"/>
        <w:keepLines w:val="0"/>
        <w:pageBreakBefore w:val="0"/>
        <w:widowControl/>
        <w:shd w:val="clear" w:color="auto" w:fill="auto"/>
        <w:kinsoku/>
        <w:wordWrap/>
        <w:overflowPunct/>
        <w:topLinePunct w:val="0"/>
        <w:autoSpaceDE/>
        <w:autoSpaceDN/>
        <w:bidi w:val="0"/>
        <w:spacing w:line="480" w:lineRule="exact"/>
        <w:ind w:firstLine="480" w:firstLineChars="200"/>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pV=nRT</w:t>
      </w:r>
    </w:p>
    <w:p w14:paraId="795196F7">
      <w:pPr>
        <w:keepNext w:val="0"/>
        <w:keepLines w:val="0"/>
        <w:pageBreakBefore w:val="0"/>
        <w:widowControl/>
        <w:shd w:val="clear" w:color="auto" w:fill="auto"/>
        <w:kinsoku/>
        <w:wordWrap/>
        <w:overflowPunct/>
        <w:topLinePunct w:val="0"/>
        <w:autoSpaceDE/>
        <w:autoSpaceDN/>
        <w:bidi w:val="0"/>
        <w:spacing w:line="480" w:lineRule="exact"/>
        <w:ind w:left="957" w:leftChars="456"/>
        <w:jc w:val="left"/>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p：气体压强，标况压强0.101325M</w:t>
      </w:r>
      <w:r>
        <w:rPr>
          <w:rFonts w:hint="default" w:ascii="Times New Roman" w:hAnsi="Times New Roman" w:cs="Times New Roman"/>
          <w:color w:val="auto"/>
          <w:kern w:val="0"/>
          <w:sz w:val="24"/>
          <w:szCs w:val="24"/>
          <w:highlight w:val="none"/>
          <w:lang w:val="en-US" w:eastAsia="zh-CN"/>
        </w:rPr>
        <w:t>P</w:t>
      </w:r>
      <w:r>
        <w:rPr>
          <w:rFonts w:hint="default" w:ascii="Times New Roman" w:hAnsi="Times New Roman" w:eastAsia="宋体" w:cs="Times New Roman"/>
          <w:color w:val="auto"/>
          <w:kern w:val="0"/>
          <w:sz w:val="24"/>
          <w:szCs w:val="24"/>
          <w:highlight w:val="none"/>
        </w:rPr>
        <w:t>a，管线压力</w:t>
      </w:r>
      <w:r>
        <w:rPr>
          <w:rFonts w:hint="default" w:ascii="Times New Roman" w:hAnsi="Times New Roman" w:eastAsia="宋体" w:cs="Times New Roman"/>
          <w:color w:val="auto"/>
          <w:kern w:val="0"/>
          <w:sz w:val="24"/>
          <w:szCs w:val="24"/>
          <w:highlight w:val="none"/>
          <w:lang w:val="en-US" w:eastAsia="zh-CN"/>
        </w:rPr>
        <w:t>3</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val="en-US" w:eastAsia="zh-CN"/>
        </w:rPr>
        <w:t>5</w:t>
      </w:r>
      <w:r>
        <w:rPr>
          <w:rFonts w:hint="default" w:ascii="Times New Roman" w:hAnsi="Times New Roman" w:eastAsia="宋体" w:cs="Times New Roman"/>
          <w:color w:val="auto"/>
          <w:kern w:val="0"/>
          <w:sz w:val="24"/>
          <w:szCs w:val="24"/>
          <w:highlight w:val="none"/>
        </w:rPr>
        <w:t>M</w:t>
      </w:r>
      <w:r>
        <w:rPr>
          <w:rFonts w:hint="default" w:ascii="Times New Roman" w:hAnsi="Times New Roman" w:cs="Times New Roman"/>
          <w:color w:val="auto"/>
          <w:kern w:val="0"/>
          <w:sz w:val="24"/>
          <w:szCs w:val="24"/>
          <w:highlight w:val="none"/>
          <w:lang w:val="en-US" w:eastAsia="zh-CN"/>
        </w:rPr>
        <w:t>P</w:t>
      </w:r>
      <w:r>
        <w:rPr>
          <w:rFonts w:hint="default" w:ascii="Times New Roman" w:hAnsi="Times New Roman" w:eastAsia="宋体" w:cs="Times New Roman"/>
          <w:color w:val="auto"/>
          <w:kern w:val="0"/>
          <w:sz w:val="24"/>
          <w:szCs w:val="24"/>
          <w:highlight w:val="none"/>
        </w:rPr>
        <w:t>a；</w:t>
      </w:r>
    </w:p>
    <w:p w14:paraId="188BEB81">
      <w:pPr>
        <w:keepNext w:val="0"/>
        <w:keepLines w:val="0"/>
        <w:pageBreakBefore w:val="0"/>
        <w:widowControl/>
        <w:shd w:val="clear" w:color="auto" w:fill="auto"/>
        <w:kinsoku/>
        <w:wordWrap/>
        <w:overflowPunct/>
        <w:topLinePunct w:val="0"/>
        <w:autoSpaceDE/>
        <w:autoSpaceDN/>
        <w:bidi w:val="0"/>
        <w:spacing w:line="480" w:lineRule="exact"/>
        <w:ind w:left="957" w:leftChars="456"/>
        <w:jc w:val="left"/>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V：气体体积，管道体积；</w:t>
      </w:r>
    </w:p>
    <w:p w14:paraId="6CD4B14F">
      <w:pPr>
        <w:keepNext w:val="0"/>
        <w:keepLines w:val="0"/>
        <w:pageBreakBefore w:val="0"/>
        <w:widowControl/>
        <w:shd w:val="clear" w:color="auto" w:fill="auto"/>
        <w:kinsoku/>
        <w:wordWrap/>
        <w:overflowPunct/>
        <w:topLinePunct w:val="0"/>
        <w:autoSpaceDE/>
        <w:autoSpaceDN/>
        <w:bidi w:val="0"/>
        <w:spacing w:line="480" w:lineRule="exact"/>
        <w:ind w:left="957" w:leftChars="456"/>
        <w:jc w:val="left"/>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n：气体的物质的量，单位mol；</w:t>
      </w:r>
    </w:p>
    <w:p w14:paraId="7B747750">
      <w:pPr>
        <w:keepNext w:val="0"/>
        <w:keepLines w:val="0"/>
        <w:pageBreakBefore w:val="0"/>
        <w:widowControl/>
        <w:shd w:val="clear" w:color="auto" w:fill="auto"/>
        <w:kinsoku/>
        <w:wordWrap/>
        <w:overflowPunct/>
        <w:topLinePunct w:val="0"/>
        <w:autoSpaceDE/>
        <w:autoSpaceDN/>
        <w:bidi w:val="0"/>
        <w:spacing w:line="480" w:lineRule="exact"/>
        <w:ind w:left="957" w:leftChars="456"/>
        <w:jc w:val="left"/>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T：绝对温度，293.15K；</w:t>
      </w:r>
    </w:p>
    <w:p w14:paraId="40296885">
      <w:pPr>
        <w:keepNext w:val="0"/>
        <w:keepLines w:val="0"/>
        <w:pageBreakBefore w:val="0"/>
        <w:widowControl/>
        <w:shd w:val="clear" w:color="auto" w:fill="auto"/>
        <w:kinsoku/>
        <w:wordWrap/>
        <w:overflowPunct/>
        <w:topLinePunct w:val="0"/>
        <w:autoSpaceDE/>
        <w:autoSpaceDN/>
        <w:bidi w:val="0"/>
        <w:spacing w:line="480" w:lineRule="exact"/>
        <w:ind w:left="957" w:leftChars="456"/>
        <w:jc w:val="left"/>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R：气体常数。</w:t>
      </w:r>
    </w:p>
    <w:p w14:paraId="34709604">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本工程辨识结果</w:t>
      </w:r>
      <w:r>
        <w:rPr>
          <w:rFonts w:hint="eastAsia" w:cs="Times New Roman"/>
          <w:color w:val="auto"/>
          <w:sz w:val="24"/>
          <w:szCs w:val="24"/>
          <w:highlight w:val="none"/>
          <w:lang w:eastAsia="zh-CN"/>
        </w:rPr>
        <w:t>，</w:t>
      </w:r>
      <w:r>
        <w:rPr>
          <w:rFonts w:ascii="Times New Roman" w:hAnsi="Times New Roman" w:eastAsia="宋体" w:cs="Times New Roman"/>
          <w:color w:val="auto"/>
          <w:sz w:val="24"/>
          <w:szCs w:val="24"/>
          <w:highlight w:val="none"/>
        </w:rPr>
        <w:t>见表</w:t>
      </w:r>
      <w:r>
        <w:rPr>
          <w:rFonts w:hint="eastAsia" w:cs="Times New Roman"/>
          <w:color w:val="auto"/>
          <w:sz w:val="24"/>
          <w:szCs w:val="24"/>
          <w:highlight w:val="none"/>
          <w:lang w:val="en-US" w:eastAsia="zh-CN"/>
        </w:rPr>
        <w:t>5.7</w:t>
      </w:r>
      <w:r>
        <w:rPr>
          <w:rFonts w:hint="eastAsia" w:ascii="Times New Roman" w:hAnsi="Times New Roman" w:cs="Times New Roman"/>
          <w:color w:val="auto"/>
          <w:sz w:val="24"/>
          <w:szCs w:val="24"/>
          <w:highlight w:val="none"/>
          <w:lang w:val="en-US" w:eastAsia="zh-CN"/>
        </w:rPr>
        <w:t>-1</w:t>
      </w:r>
      <w:r>
        <w:rPr>
          <w:rFonts w:ascii="Times New Roman" w:hAnsi="Times New Roman" w:eastAsia="宋体" w:cs="Times New Roman"/>
          <w:color w:val="auto"/>
          <w:sz w:val="24"/>
          <w:szCs w:val="24"/>
          <w:highlight w:val="none"/>
        </w:rPr>
        <w:t>。</w:t>
      </w:r>
    </w:p>
    <w:p w14:paraId="726069FE">
      <w:pPr>
        <w:pStyle w:val="61"/>
        <w:bidi w:val="0"/>
        <w:jc w:val="both"/>
        <w:rPr>
          <w:rFonts w:hint="eastAsia"/>
          <w:color w:val="auto"/>
          <w:lang w:val="en-US" w:eastAsia="zh-CN"/>
        </w:rPr>
      </w:pPr>
      <w:r>
        <w:rPr>
          <w:rFonts w:hint="eastAsia"/>
          <w:color w:val="auto"/>
          <w:lang w:val="en-US" w:eastAsia="zh-CN"/>
        </w:rPr>
        <w:t>表5.7-1 本工程运营期危险物质最大在线量核算表</w:t>
      </w:r>
    </w:p>
    <w:tbl>
      <w:tblPr>
        <w:tblStyle w:val="36"/>
        <w:tblW w:w="5062"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0" w:type="dxa"/>
          <w:bottom w:w="57" w:type="dxa"/>
          <w:right w:w="0" w:type="dxa"/>
        </w:tblCellMar>
      </w:tblPr>
      <w:tblGrid>
        <w:gridCol w:w="311"/>
        <w:gridCol w:w="1614"/>
        <w:gridCol w:w="1259"/>
        <w:gridCol w:w="783"/>
        <w:gridCol w:w="575"/>
        <w:gridCol w:w="618"/>
        <w:gridCol w:w="941"/>
        <w:gridCol w:w="850"/>
        <w:gridCol w:w="927"/>
        <w:gridCol w:w="877"/>
      </w:tblGrid>
      <w:tr w14:paraId="6A39C6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0" w:type="dxa"/>
            <w:bottom w:w="57" w:type="dxa"/>
            <w:right w:w="0" w:type="dxa"/>
          </w:tblCellMar>
        </w:tblPrEx>
        <w:trPr>
          <w:trHeight w:val="113" w:hRule="atLeast"/>
          <w:tblHeader/>
        </w:trPr>
        <w:tc>
          <w:tcPr>
            <w:tcW w:w="177" w:type="pct"/>
            <w:tcBorders>
              <w:tl2br w:val="nil"/>
              <w:tr2bl w:val="nil"/>
            </w:tcBorders>
            <w:noWrap/>
            <w:vAlign w:val="center"/>
          </w:tcPr>
          <w:p w14:paraId="118C0840">
            <w:pPr>
              <w:keepNext w:val="0"/>
              <w:keepLines w:val="0"/>
              <w:pageBreakBefore w:val="0"/>
              <w:widowControl w:val="0"/>
              <w:kinsoku/>
              <w:bidi w:val="0"/>
              <w:adjustRightInd/>
              <w:snapToGrid/>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序号</w:t>
            </w:r>
          </w:p>
        </w:tc>
        <w:tc>
          <w:tcPr>
            <w:tcW w:w="921" w:type="pct"/>
            <w:tcBorders>
              <w:tl2br w:val="nil"/>
              <w:tr2bl w:val="nil"/>
            </w:tcBorders>
            <w:noWrap/>
            <w:vAlign w:val="center"/>
          </w:tcPr>
          <w:p w14:paraId="1ED665FA">
            <w:pPr>
              <w:keepNext w:val="0"/>
              <w:keepLines w:val="0"/>
              <w:pageBreakBefore w:val="0"/>
              <w:widowControl w:val="0"/>
              <w:kinsoku/>
              <w:bidi w:val="0"/>
              <w:adjustRightInd/>
              <w:snapToGrid/>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管道名称</w:t>
            </w:r>
          </w:p>
        </w:tc>
        <w:tc>
          <w:tcPr>
            <w:tcW w:w="719" w:type="pct"/>
            <w:tcBorders>
              <w:tl2br w:val="nil"/>
              <w:tr2bl w:val="nil"/>
            </w:tcBorders>
            <w:noWrap/>
            <w:vAlign w:val="center"/>
          </w:tcPr>
          <w:p w14:paraId="13B2A121">
            <w:pPr>
              <w:keepNext w:val="0"/>
              <w:keepLines w:val="0"/>
              <w:pageBreakBefore w:val="0"/>
              <w:widowControl w:val="0"/>
              <w:kinsoku/>
              <w:bidi w:val="0"/>
              <w:adjustRightInd/>
              <w:snapToGrid/>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起点</w:t>
            </w:r>
          </w:p>
        </w:tc>
        <w:tc>
          <w:tcPr>
            <w:tcW w:w="446" w:type="pct"/>
            <w:tcBorders>
              <w:tl2br w:val="nil"/>
              <w:tr2bl w:val="nil"/>
            </w:tcBorders>
            <w:noWrap/>
            <w:vAlign w:val="center"/>
          </w:tcPr>
          <w:p w14:paraId="5860E7C2">
            <w:pPr>
              <w:keepNext w:val="0"/>
              <w:keepLines w:val="0"/>
              <w:pageBreakBefore w:val="0"/>
              <w:widowControl w:val="0"/>
              <w:kinsoku/>
              <w:bidi w:val="0"/>
              <w:adjustRightInd/>
              <w:snapToGrid/>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终点</w:t>
            </w:r>
          </w:p>
        </w:tc>
        <w:tc>
          <w:tcPr>
            <w:tcW w:w="328" w:type="pct"/>
            <w:tcBorders>
              <w:tl2br w:val="nil"/>
              <w:tr2bl w:val="nil"/>
            </w:tcBorders>
            <w:noWrap/>
            <w:vAlign w:val="center"/>
          </w:tcPr>
          <w:p w14:paraId="2BF1B9D9">
            <w:pPr>
              <w:keepNext w:val="0"/>
              <w:keepLines w:val="0"/>
              <w:pageBreakBefore w:val="0"/>
              <w:widowControl w:val="0"/>
              <w:kinsoku/>
              <w:bidi w:val="0"/>
              <w:adjustRightInd/>
              <w:snapToGrid/>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长度km</w:t>
            </w:r>
          </w:p>
        </w:tc>
        <w:tc>
          <w:tcPr>
            <w:tcW w:w="352" w:type="pct"/>
            <w:tcBorders>
              <w:tl2br w:val="nil"/>
              <w:tr2bl w:val="nil"/>
            </w:tcBorders>
            <w:noWrap/>
            <w:vAlign w:val="center"/>
          </w:tcPr>
          <w:p w14:paraId="43037866">
            <w:pPr>
              <w:keepNext w:val="0"/>
              <w:keepLines w:val="0"/>
              <w:pageBreakBefore w:val="0"/>
              <w:widowControl w:val="0"/>
              <w:kinsoku/>
              <w:bidi w:val="0"/>
              <w:adjustRightInd/>
              <w:snapToGrid/>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管径mm</w:t>
            </w:r>
          </w:p>
        </w:tc>
        <w:tc>
          <w:tcPr>
            <w:tcW w:w="537" w:type="pct"/>
            <w:tcBorders>
              <w:tl2br w:val="nil"/>
              <w:tr2bl w:val="nil"/>
            </w:tcBorders>
            <w:noWrap w:val="0"/>
            <w:vAlign w:val="center"/>
          </w:tcPr>
          <w:p w14:paraId="126635C5">
            <w:pPr>
              <w:keepNext w:val="0"/>
              <w:keepLines w:val="0"/>
              <w:pageBreakBefore w:val="0"/>
              <w:widowControl w:val="0"/>
              <w:kinsoku/>
              <w:bidi w:val="0"/>
              <w:adjustRightInd/>
              <w:snapToGrid/>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压力</w:t>
            </w:r>
            <w:r>
              <w:rPr>
                <w:rFonts w:hint="default" w:ascii="Times New Roman" w:hAnsi="Times New Roman" w:eastAsia="宋体" w:cs="Times New Roman"/>
                <w:color w:val="auto"/>
                <w:szCs w:val="21"/>
                <w:highlight w:val="none"/>
              </w:rPr>
              <w:t>MPa</w:t>
            </w:r>
          </w:p>
        </w:tc>
        <w:tc>
          <w:tcPr>
            <w:tcW w:w="485" w:type="pct"/>
            <w:tcBorders>
              <w:tl2br w:val="nil"/>
              <w:tr2bl w:val="nil"/>
            </w:tcBorders>
            <w:noWrap w:val="0"/>
            <w:vAlign w:val="center"/>
          </w:tcPr>
          <w:p w14:paraId="6C71C3D4">
            <w:pPr>
              <w:keepNext w:val="0"/>
              <w:keepLines w:val="0"/>
              <w:pageBreakBefore w:val="0"/>
              <w:widowControl w:val="0"/>
              <w:kinsoku/>
              <w:bidi w:val="0"/>
              <w:adjustRightInd/>
              <w:snapToGrid/>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原油</w:t>
            </w:r>
            <w:r>
              <w:rPr>
                <w:rFonts w:hint="default" w:ascii="Times New Roman" w:hAnsi="Times New Roman" w:eastAsia="宋体" w:cs="Times New Roman"/>
                <w:color w:val="auto"/>
                <w:highlight w:val="none"/>
              </w:rPr>
              <w:t>最大在线量t</w:t>
            </w:r>
          </w:p>
        </w:tc>
        <w:tc>
          <w:tcPr>
            <w:tcW w:w="529" w:type="pct"/>
            <w:tcBorders>
              <w:tl2br w:val="nil"/>
              <w:tr2bl w:val="nil"/>
            </w:tcBorders>
            <w:noWrap/>
            <w:vAlign w:val="center"/>
          </w:tcPr>
          <w:p w14:paraId="64C72523">
            <w:pPr>
              <w:keepNext w:val="0"/>
              <w:keepLines w:val="0"/>
              <w:pageBreakBefore w:val="0"/>
              <w:widowControl w:val="0"/>
              <w:kinsoku/>
              <w:bidi w:val="0"/>
              <w:adjustRightInd/>
              <w:snapToGrid/>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天然气最大在线量t</w:t>
            </w:r>
          </w:p>
        </w:tc>
        <w:tc>
          <w:tcPr>
            <w:tcW w:w="500" w:type="pct"/>
            <w:tcBorders>
              <w:tl2br w:val="nil"/>
              <w:tr2bl w:val="nil"/>
            </w:tcBorders>
            <w:noWrap/>
            <w:vAlign w:val="center"/>
          </w:tcPr>
          <w:p w14:paraId="6DA0AA92">
            <w:pPr>
              <w:keepNext w:val="0"/>
              <w:keepLines w:val="0"/>
              <w:pageBreakBefore w:val="0"/>
              <w:widowControl w:val="0"/>
              <w:kinsoku/>
              <w:bidi w:val="0"/>
              <w:adjustRightInd/>
              <w:snapToGrid/>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S最大在线量t</w:t>
            </w:r>
          </w:p>
        </w:tc>
      </w:tr>
      <w:tr w14:paraId="743AC3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0" w:type="dxa"/>
            <w:bottom w:w="57" w:type="dxa"/>
            <w:right w:w="0" w:type="dxa"/>
          </w:tblCellMar>
        </w:tblPrEx>
        <w:trPr>
          <w:trHeight w:val="113" w:hRule="atLeast"/>
        </w:trPr>
        <w:tc>
          <w:tcPr>
            <w:tcW w:w="177" w:type="pct"/>
            <w:tcBorders>
              <w:tl2br w:val="nil"/>
              <w:tr2bl w:val="nil"/>
            </w:tcBorders>
            <w:noWrap/>
            <w:vAlign w:val="center"/>
          </w:tcPr>
          <w:p w14:paraId="32FA3FC3">
            <w:pPr>
              <w:keepNext w:val="0"/>
              <w:keepLines w:val="0"/>
              <w:pageBreakBefore w:val="0"/>
              <w:widowControl w:val="0"/>
              <w:kinsoku/>
              <w:bidi w:val="0"/>
              <w:adjustRightInd/>
              <w:snapToGrid/>
              <w:jc w:val="center"/>
              <w:textAlignment w:val="auto"/>
              <w:rPr>
                <w:rFonts w:hint="default" w:ascii="Times New Roman" w:hAnsi="Times New Roman" w:eastAsia="宋体" w:cs="Times New Roman"/>
                <w:color w:val="auto"/>
                <w:kern w:val="2"/>
                <w:sz w:val="21"/>
                <w:highlight w:val="none"/>
                <w:lang w:val="en-US" w:eastAsia="zh-CN" w:bidi="ar-SA"/>
              </w:rPr>
            </w:pPr>
            <w:r>
              <w:rPr>
                <w:rFonts w:hint="eastAsia" w:cs="Times New Roman"/>
                <w:color w:val="auto"/>
                <w:kern w:val="2"/>
                <w:sz w:val="21"/>
                <w:highlight w:val="none"/>
                <w:lang w:val="en-US" w:eastAsia="zh-CN" w:bidi="ar-SA"/>
              </w:rPr>
              <w:t>1</w:t>
            </w:r>
          </w:p>
        </w:tc>
        <w:tc>
          <w:tcPr>
            <w:tcW w:w="921" w:type="pct"/>
            <w:tcBorders>
              <w:tl2br w:val="nil"/>
              <w:tr2bl w:val="nil"/>
            </w:tcBorders>
            <w:noWrap/>
            <w:vAlign w:val="center"/>
          </w:tcPr>
          <w:p w14:paraId="0AC17936">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雄英101</w:t>
            </w:r>
            <w:r>
              <w:rPr>
                <w:rFonts w:hint="default" w:ascii="Times New Roman" w:hAnsi="Times New Roman" w:eastAsia="宋体" w:cs="Times New Roman"/>
                <w:color w:val="auto"/>
                <w:szCs w:val="21"/>
                <w:highlight w:val="none"/>
                <w:lang w:val="en-US" w:eastAsia="zh-CN"/>
              </w:rPr>
              <w:t>井</w:t>
            </w:r>
          </w:p>
          <w:p w14:paraId="05995E75">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单井管线</w:t>
            </w:r>
          </w:p>
        </w:tc>
        <w:tc>
          <w:tcPr>
            <w:tcW w:w="719" w:type="pct"/>
            <w:tcBorders>
              <w:tl2br w:val="nil"/>
              <w:tr2bl w:val="nil"/>
            </w:tcBorders>
            <w:noWrap/>
            <w:vAlign w:val="center"/>
          </w:tcPr>
          <w:p w14:paraId="1811BB3F">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雄英101</w:t>
            </w:r>
            <w:r>
              <w:rPr>
                <w:rFonts w:hint="default" w:ascii="Times New Roman" w:hAnsi="Times New Roman" w:eastAsia="宋体" w:cs="Times New Roman"/>
                <w:color w:val="auto"/>
                <w:szCs w:val="21"/>
                <w:highlight w:val="none"/>
                <w:lang w:val="en-US" w:eastAsia="zh-CN"/>
              </w:rPr>
              <w:t>井</w:t>
            </w:r>
          </w:p>
        </w:tc>
        <w:tc>
          <w:tcPr>
            <w:tcW w:w="446" w:type="pct"/>
            <w:vMerge w:val="restart"/>
            <w:tcBorders>
              <w:tl2br w:val="nil"/>
              <w:tr2bl w:val="nil"/>
            </w:tcBorders>
            <w:noWrap/>
            <w:vAlign w:val="center"/>
          </w:tcPr>
          <w:p w14:paraId="75D79DD4">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雄探1试采点</w:t>
            </w:r>
          </w:p>
        </w:tc>
        <w:tc>
          <w:tcPr>
            <w:tcW w:w="328" w:type="pct"/>
            <w:tcBorders>
              <w:tl2br w:val="nil"/>
              <w:tr2bl w:val="nil"/>
            </w:tcBorders>
            <w:noWrap/>
            <w:vAlign w:val="center"/>
          </w:tcPr>
          <w:p w14:paraId="23E524B7">
            <w:pPr>
              <w:keepNext w:val="0"/>
              <w:keepLines w:val="0"/>
              <w:pageBreakBefore w:val="0"/>
              <w:widowControl w:val="0"/>
              <w:suppressLineNumbers w:val="0"/>
              <w:kinsoku/>
              <w:bidi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5.53</w:t>
            </w:r>
          </w:p>
        </w:tc>
        <w:tc>
          <w:tcPr>
            <w:tcW w:w="352" w:type="pct"/>
            <w:tcBorders>
              <w:tl2br w:val="nil"/>
              <w:tr2bl w:val="nil"/>
            </w:tcBorders>
            <w:noWrap/>
            <w:vAlign w:val="center"/>
          </w:tcPr>
          <w:p w14:paraId="71D48E61">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80</w:t>
            </w:r>
          </w:p>
        </w:tc>
        <w:tc>
          <w:tcPr>
            <w:tcW w:w="537" w:type="pct"/>
            <w:tcBorders>
              <w:tl2br w:val="nil"/>
              <w:tr2bl w:val="nil"/>
            </w:tcBorders>
            <w:noWrap w:val="0"/>
            <w:vAlign w:val="center"/>
          </w:tcPr>
          <w:p w14:paraId="1579A0E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eastAsia" w:cs="Times New Roman"/>
                <w:i w:val="0"/>
                <w:iCs w:val="0"/>
                <w:color w:val="auto"/>
                <w:kern w:val="0"/>
                <w:sz w:val="21"/>
                <w:szCs w:val="21"/>
                <w:highlight w:val="none"/>
                <w:lang w:val="en-US" w:eastAsia="zh-CN" w:bidi="ar"/>
              </w:rPr>
              <w:t>4.758</w:t>
            </w:r>
          </w:p>
        </w:tc>
        <w:tc>
          <w:tcPr>
            <w:tcW w:w="485" w:type="pct"/>
            <w:tcBorders>
              <w:tl2br w:val="nil"/>
              <w:tr2bl w:val="nil"/>
            </w:tcBorders>
            <w:noWrap w:val="0"/>
            <w:vAlign w:val="center"/>
          </w:tcPr>
          <w:p w14:paraId="1EA280E6">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23.37</w:t>
            </w:r>
          </w:p>
        </w:tc>
        <w:tc>
          <w:tcPr>
            <w:tcW w:w="529" w:type="pct"/>
            <w:tcBorders>
              <w:tl2br w:val="nil"/>
              <w:tr2bl w:val="nil"/>
            </w:tcBorders>
            <w:noWrap/>
            <w:vAlign w:val="center"/>
          </w:tcPr>
          <w:p w14:paraId="5211DBBF">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0.0256</w:t>
            </w:r>
          </w:p>
        </w:tc>
        <w:tc>
          <w:tcPr>
            <w:tcW w:w="500" w:type="pct"/>
            <w:tcBorders>
              <w:tl2br w:val="nil"/>
              <w:tr2bl w:val="nil"/>
            </w:tcBorders>
            <w:noWrap/>
            <w:vAlign w:val="center"/>
          </w:tcPr>
          <w:p w14:paraId="5D1BE174">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0.0001</w:t>
            </w:r>
          </w:p>
        </w:tc>
      </w:tr>
      <w:tr w14:paraId="65CDE2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0" w:type="dxa"/>
            <w:bottom w:w="57" w:type="dxa"/>
            <w:right w:w="0" w:type="dxa"/>
          </w:tblCellMar>
        </w:tblPrEx>
        <w:trPr>
          <w:trHeight w:val="113" w:hRule="atLeast"/>
        </w:trPr>
        <w:tc>
          <w:tcPr>
            <w:tcW w:w="177" w:type="pct"/>
            <w:tcBorders>
              <w:tl2br w:val="nil"/>
              <w:tr2bl w:val="nil"/>
            </w:tcBorders>
            <w:noWrap/>
            <w:vAlign w:val="center"/>
          </w:tcPr>
          <w:p w14:paraId="40E61A33">
            <w:pPr>
              <w:keepNext w:val="0"/>
              <w:keepLines w:val="0"/>
              <w:pageBreakBefore w:val="0"/>
              <w:widowControl w:val="0"/>
              <w:kinsoku/>
              <w:bidi w:val="0"/>
              <w:adjustRightInd/>
              <w:snapToGrid/>
              <w:jc w:val="center"/>
              <w:textAlignment w:val="auto"/>
              <w:rPr>
                <w:rFonts w:hint="default" w:ascii="Times New Roman" w:hAnsi="Times New Roman" w:eastAsia="宋体" w:cs="Times New Roman"/>
                <w:color w:val="auto"/>
                <w:kern w:val="2"/>
                <w:sz w:val="21"/>
                <w:highlight w:val="none"/>
                <w:lang w:val="en-US" w:eastAsia="zh-CN" w:bidi="ar-SA"/>
              </w:rPr>
            </w:pPr>
            <w:r>
              <w:rPr>
                <w:rFonts w:hint="default" w:ascii="Times New Roman" w:hAnsi="Times New Roman" w:eastAsia="宋体" w:cs="Times New Roman"/>
                <w:color w:val="auto"/>
                <w:highlight w:val="none"/>
              </w:rPr>
              <w:t>2</w:t>
            </w:r>
          </w:p>
        </w:tc>
        <w:tc>
          <w:tcPr>
            <w:tcW w:w="921" w:type="pct"/>
            <w:tcBorders>
              <w:tl2br w:val="nil"/>
              <w:tr2bl w:val="nil"/>
            </w:tcBorders>
            <w:noWrap/>
            <w:vAlign w:val="center"/>
          </w:tcPr>
          <w:p w14:paraId="7C3CB657">
            <w:pPr>
              <w:keepNext w:val="0"/>
              <w:keepLines w:val="0"/>
              <w:pageBreakBefore w:val="0"/>
              <w:widowControl w:val="0"/>
              <w:kinsoku/>
              <w:bidi w:val="0"/>
              <w:adjustRightInd w:val="0"/>
              <w:snapToGrid w:val="0"/>
              <w:jc w:val="center"/>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lang w:bidi="ar"/>
              </w:rPr>
              <w:t>雄英10</w:t>
            </w:r>
            <w:r>
              <w:rPr>
                <w:rFonts w:hint="default" w:ascii="Times New Roman" w:hAnsi="Times New Roman" w:eastAsia="宋体" w:cs="Times New Roman"/>
                <w:i w:val="0"/>
                <w:iCs w:val="0"/>
                <w:color w:val="auto"/>
                <w:kern w:val="0"/>
                <w:sz w:val="21"/>
                <w:szCs w:val="21"/>
                <w:highlight w:val="none"/>
                <w:lang w:val="en-US" w:eastAsia="zh-CN" w:bidi="ar"/>
              </w:rPr>
              <w:t>2井</w:t>
            </w:r>
          </w:p>
          <w:p w14:paraId="337DCC9A">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单井管线</w:t>
            </w:r>
          </w:p>
        </w:tc>
        <w:tc>
          <w:tcPr>
            <w:tcW w:w="719" w:type="pct"/>
            <w:tcBorders>
              <w:tl2br w:val="nil"/>
              <w:tr2bl w:val="nil"/>
            </w:tcBorders>
            <w:noWrap/>
            <w:vAlign w:val="center"/>
          </w:tcPr>
          <w:p w14:paraId="68ED80E5">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lang w:bidi="ar"/>
              </w:rPr>
              <w:t>雄英10</w:t>
            </w:r>
            <w:r>
              <w:rPr>
                <w:rFonts w:hint="default" w:ascii="Times New Roman" w:hAnsi="Times New Roman" w:eastAsia="宋体" w:cs="Times New Roman"/>
                <w:i w:val="0"/>
                <w:iCs w:val="0"/>
                <w:color w:val="auto"/>
                <w:kern w:val="0"/>
                <w:sz w:val="21"/>
                <w:szCs w:val="21"/>
                <w:highlight w:val="none"/>
                <w:lang w:val="en-US" w:eastAsia="zh-CN" w:bidi="ar"/>
              </w:rPr>
              <w:t>2井</w:t>
            </w:r>
          </w:p>
        </w:tc>
        <w:tc>
          <w:tcPr>
            <w:tcW w:w="446" w:type="pct"/>
            <w:vMerge w:val="continue"/>
            <w:tcBorders>
              <w:tl2br w:val="nil"/>
              <w:tr2bl w:val="nil"/>
            </w:tcBorders>
            <w:noWrap/>
            <w:vAlign w:val="center"/>
          </w:tcPr>
          <w:p w14:paraId="19ED86E5">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28" w:type="pct"/>
            <w:tcBorders>
              <w:tl2br w:val="nil"/>
              <w:tr2bl w:val="nil"/>
            </w:tcBorders>
            <w:noWrap/>
            <w:vAlign w:val="center"/>
          </w:tcPr>
          <w:p w14:paraId="05EB809C">
            <w:pPr>
              <w:keepNext w:val="0"/>
              <w:keepLines w:val="0"/>
              <w:pageBreakBefore w:val="0"/>
              <w:widowControl w:val="0"/>
              <w:suppressLineNumbers w:val="0"/>
              <w:kinsoku/>
              <w:bidi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3.4</w:t>
            </w:r>
          </w:p>
        </w:tc>
        <w:tc>
          <w:tcPr>
            <w:tcW w:w="352" w:type="pct"/>
            <w:tcBorders>
              <w:tl2br w:val="nil"/>
              <w:tr2bl w:val="nil"/>
            </w:tcBorders>
            <w:noWrap/>
            <w:vAlign w:val="center"/>
          </w:tcPr>
          <w:p w14:paraId="3C92234A">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80</w:t>
            </w:r>
          </w:p>
        </w:tc>
        <w:tc>
          <w:tcPr>
            <w:tcW w:w="537" w:type="pct"/>
            <w:tcBorders>
              <w:tl2br w:val="nil"/>
              <w:tr2bl w:val="nil"/>
            </w:tcBorders>
            <w:noWrap w:val="0"/>
            <w:vAlign w:val="center"/>
          </w:tcPr>
          <w:p w14:paraId="28997BD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eastAsia" w:cs="Times New Roman"/>
                <w:i w:val="0"/>
                <w:iCs w:val="0"/>
                <w:color w:val="auto"/>
                <w:kern w:val="0"/>
                <w:sz w:val="21"/>
                <w:szCs w:val="21"/>
                <w:highlight w:val="none"/>
                <w:lang w:val="en-US" w:eastAsia="zh-CN" w:bidi="ar"/>
              </w:rPr>
              <w:t>4.578</w:t>
            </w:r>
          </w:p>
        </w:tc>
        <w:tc>
          <w:tcPr>
            <w:tcW w:w="485" w:type="pct"/>
            <w:tcBorders>
              <w:tl2br w:val="nil"/>
              <w:tr2bl w:val="nil"/>
            </w:tcBorders>
            <w:noWrap w:val="0"/>
            <w:vAlign w:val="center"/>
          </w:tcPr>
          <w:p w14:paraId="21B7470C">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22.57</w:t>
            </w:r>
          </w:p>
        </w:tc>
        <w:tc>
          <w:tcPr>
            <w:tcW w:w="529" w:type="pct"/>
            <w:tcBorders>
              <w:tl2br w:val="nil"/>
              <w:tr2bl w:val="nil"/>
            </w:tcBorders>
            <w:noWrap/>
            <w:vAlign w:val="center"/>
          </w:tcPr>
          <w:p w14:paraId="7CBC340A">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0.0247</w:t>
            </w:r>
          </w:p>
        </w:tc>
        <w:tc>
          <w:tcPr>
            <w:tcW w:w="500" w:type="pct"/>
            <w:tcBorders>
              <w:tl2br w:val="nil"/>
              <w:tr2bl w:val="nil"/>
            </w:tcBorders>
            <w:noWrap/>
            <w:vAlign w:val="center"/>
          </w:tcPr>
          <w:p w14:paraId="196CAD4F">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0.0001</w:t>
            </w:r>
          </w:p>
        </w:tc>
      </w:tr>
      <w:tr w14:paraId="7C98FF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0" w:type="dxa"/>
            <w:bottom w:w="57" w:type="dxa"/>
            <w:right w:w="0" w:type="dxa"/>
          </w:tblCellMar>
        </w:tblPrEx>
        <w:trPr>
          <w:trHeight w:val="113" w:hRule="atLeast"/>
        </w:trPr>
        <w:tc>
          <w:tcPr>
            <w:tcW w:w="177" w:type="pct"/>
            <w:tcBorders>
              <w:tl2br w:val="nil"/>
              <w:tr2bl w:val="nil"/>
            </w:tcBorders>
            <w:noWrap/>
            <w:vAlign w:val="center"/>
          </w:tcPr>
          <w:p w14:paraId="194C4476">
            <w:pPr>
              <w:keepNext w:val="0"/>
              <w:keepLines w:val="0"/>
              <w:pageBreakBefore w:val="0"/>
              <w:widowControl w:val="0"/>
              <w:kinsoku/>
              <w:bidi w:val="0"/>
              <w:adjustRightInd/>
              <w:snapToGrid/>
              <w:jc w:val="center"/>
              <w:textAlignment w:val="auto"/>
              <w:rPr>
                <w:rFonts w:hint="default" w:ascii="Times New Roman" w:hAnsi="Times New Roman" w:eastAsia="宋体" w:cs="Times New Roman"/>
                <w:color w:val="auto"/>
                <w:kern w:val="2"/>
                <w:sz w:val="21"/>
                <w:highlight w:val="none"/>
                <w:lang w:val="en-US" w:eastAsia="zh-CN" w:bidi="ar-SA"/>
              </w:rPr>
            </w:pPr>
            <w:r>
              <w:rPr>
                <w:rFonts w:hint="default" w:ascii="Times New Roman" w:hAnsi="Times New Roman" w:eastAsia="宋体" w:cs="Times New Roman"/>
                <w:color w:val="auto"/>
                <w:kern w:val="2"/>
                <w:sz w:val="21"/>
                <w:highlight w:val="none"/>
                <w:lang w:val="en-US" w:eastAsia="zh-CN" w:bidi="ar-SA"/>
              </w:rPr>
              <w:t>3</w:t>
            </w:r>
          </w:p>
        </w:tc>
        <w:tc>
          <w:tcPr>
            <w:tcW w:w="921" w:type="pct"/>
            <w:tcBorders>
              <w:tl2br w:val="nil"/>
              <w:tr2bl w:val="nil"/>
            </w:tcBorders>
            <w:noWrap/>
            <w:vAlign w:val="center"/>
          </w:tcPr>
          <w:p w14:paraId="08286830">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雄英</w:t>
            </w:r>
            <w:r>
              <w:rPr>
                <w:rFonts w:hint="default" w:ascii="Times New Roman" w:hAnsi="Times New Roman" w:eastAsia="宋体" w:cs="Times New Roman"/>
                <w:color w:val="auto"/>
                <w:szCs w:val="21"/>
                <w:highlight w:val="none"/>
                <w:lang w:val="en-US" w:eastAsia="zh-CN"/>
              </w:rPr>
              <w:t>103井</w:t>
            </w:r>
          </w:p>
          <w:p w14:paraId="3F438793">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单井管线</w:t>
            </w:r>
          </w:p>
        </w:tc>
        <w:tc>
          <w:tcPr>
            <w:tcW w:w="719" w:type="pct"/>
            <w:tcBorders>
              <w:tl2br w:val="nil"/>
              <w:tr2bl w:val="nil"/>
            </w:tcBorders>
            <w:noWrap/>
            <w:vAlign w:val="center"/>
          </w:tcPr>
          <w:p w14:paraId="61E81885">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雄英</w:t>
            </w:r>
            <w:r>
              <w:rPr>
                <w:rFonts w:hint="default" w:ascii="Times New Roman" w:hAnsi="Times New Roman" w:eastAsia="宋体" w:cs="Times New Roman"/>
                <w:color w:val="auto"/>
                <w:szCs w:val="21"/>
                <w:highlight w:val="none"/>
                <w:lang w:val="en-US" w:eastAsia="zh-CN"/>
              </w:rPr>
              <w:t>103井</w:t>
            </w:r>
          </w:p>
        </w:tc>
        <w:tc>
          <w:tcPr>
            <w:tcW w:w="446" w:type="pct"/>
            <w:vMerge w:val="continue"/>
            <w:tcBorders>
              <w:tl2br w:val="nil"/>
              <w:tr2bl w:val="nil"/>
            </w:tcBorders>
            <w:noWrap/>
            <w:vAlign w:val="center"/>
          </w:tcPr>
          <w:p w14:paraId="3E24E700">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28" w:type="pct"/>
            <w:tcBorders>
              <w:tl2br w:val="nil"/>
              <w:tr2bl w:val="nil"/>
            </w:tcBorders>
            <w:noWrap/>
            <w:vAlign w:val="center"/>
          </w:tcPr>
          <w:p w14:paraId="5FAC93DC">
            <w:pPr>
              <w:keepNext w:val="0"/>
              <w:keepLines w:val="0"/>
              <w:pageBreakBefore w:val="0"/>
              <w:widowControl w:val="0"/>
              <w:suppressLineNumbers w:val="0"/>
              <w:kinsoku/>
              <w:bidi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2.23</w:t>
            </w:r>
          </w:p>
        </w:tc>
        <w:tc>
          <w:tcPr>
            <w:tcW w:w="352" w:type="pct"/>
            <w:tcBorders>
              <w:tl2br w:val="nil"/>
              <w:tr2bl w:val="nil"/>
            </w:tcBorders>
            <w:noWrap/>
            <w:vAlign w:val="center"/>
          </w:tcPr>
          <w:p w14:paraId="21CA816B">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80</w:t>
            </w:r>
          </w:p>
        </w:tc>
        <w:tc>
          <w:tcPr>
            <w:tcW w:w="537" w:type="pct"/>
            <w:tcBorders>
              <w:tl2br w:val="nil"/>
              <w:tr2bl w:val="nil"/>
            </w:tcBorders>
            <w:noWrap w:val="0"/>
            <w:vAlign w:val="center"/>
          </w:tcPr>
          <w:p w14:paraId="5817305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eastAsia" w:cs="Times New Roman"/>
                <w:i w:val="0"/>
                <w:iCs w:val="0"/>
                <w:color w:val="auto"/>
                <w:kern w:val="0"/>
                <w:sz w:val="21"/>
                <w:szCs w:val="21"/>
                <w:highlight w:val="none"/>
                <w:lang w:val="en-US" w:eastAsia="zh-CN" w:bidi="ar"/>
              </w:rPr>
              <w:t>4.559</w:t>
            </w:r>
          </w:p>
        </w:tc>
        <w:tc>
          <w:tcPr>
            <w:tcW w:w="485" w:type="pct"/>
            <w:tcBorders>
              <w:tl2br w:val="nil"/>
              <w:tr2bl w:val="nil"/>
            </w:tcBorders>
            <w:noWrap w:val="0"/>
            <w:vAlign w:val="center"/>
          </w:tcPr>
          <w:p w14:paraId="7D574635">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13.7</w:t>
            </w:r>
          </w:p>
        </w:tc>
        <w:tc>
          <w:tcPr>
            <w:tcW w:w="529" w:type="pct"/>
            <w:tcBorders>
              <w:tl2br w:val="nil"/>
              <w:tr2bl w:val="nil"/>
            </w:tcBorders>
            <w:noWrap/>
            <w:vAlign w:val="center"/>
          </w:tcPr>
          <w:p w14:paraId="28254447">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0.015</w:t>
            </w:r>
          </w:p>
        </w:tc>
        <w:tc>
          <w:tcPr>
            <w:tcW w:w="500" w:type="pct"/>
            <w:tcBorders>
              <w:tl2br w:val="nil"/>
              <w:tr2bl w:val="nil"/>
            </w:tcBorders>
            <w:noWrap/>
            <w:vAlign w:val="center"/>
          </w:tcPr>
          <w:p w14:paraId="52A88743">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0.0001</w:t>
            </w:r>
          </w:p>
        </w:tc>
      </w:tr>
      <w:tr w14:paraId="205A23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0" w:type="dxa"/>
            <w:bottom w:w="57" w:type="dxa"/>
            <w:right w:w="0" w:type="dxa"/>
          </w:tblCellMar>
        </w:tblPrEx>
        <w:trPr>
          <w:trHeight w:val="113" w:hRule="atLeast"/>
        </w:trPr>
        <w:tc>
          <w:tcPr>
            <w:tcW w:w="177" w:type="pct"/>
            <w:tcBorders>
              <w:tl2br w:val="nil"/>
              <w:tr2bl w:val="nil"/>
            </w:tcBorders>
            <w:noWrap/>
            <w:vAlign w:val="center"/>
          </w:tcPr>
          <w:p w14:paraId="19C8BCE7">
            <w:pPr>
              <w:keepNext w:val="0"/>
              <w:keepLines w:val="0"/>
              <w:pageBreakBefore w:val="0"/>
              <w:widowControl w:val="0"/>
              <w:kinsoku/>
              <w:bidi w:val="0"/>
              <w:adjustRightInd/>
              <w:snapToGrid/>
              <w:jc w:val="center"/>
              <w:textAlignment w:val="auto"/>
              <w:rPr>
                <w:rFonts w:hint="default" w:ascii="Times New Roman" w:hAnsi="Times New Roman" w:eastAsia="宋体" w:cs="Times New Roman"/>
                <w:color w:val="auto"/>
                <w:kern w:val="2"/>
                <w:sz w:val="21"/>
                <w:highlight w:val="none"/>
                <w:lang w:val="en-US" w:eastAsia="zh-CN" w:bidi="ar-SA"/>
              </w:rPr>
            </w:pPr>
            <w:r>
              <w:rPr>
                <w:rFonts w:hint="default" w:ascii="Times New Roman" w:hAnsi="Times New Roman" w:eastAsia="宋体" w:cs="Times New Roman"/>
                <w:color w:val="auto"/>
                <w:kern w:val="2"/>
                <w:sz w:val="21"/>
                <w:highlight w:val="none"/>
                <w:lang w:val="en-US" w:eastAsia="zh-CN" w:bidi="ar-SA"/>
              </w:rPr>
              <w:t>4</w:t>
            </w:r>
          </w:p>
        </w:tc>
        <w:tc>
          <w:tcPr>
            <w:tcW w:w="921" w:type="pct"/>
            <w:tcBorders>
              <w:tl2br w:val="nil"/>
              <w:tr2bl w:val="nil"/>
            </w:tcBorders>
            <w:noWrap/>
            <w:vAlign w:val="center"/>
          </w:tcPr>
          <w:p w14:paraId="2CA69EA3">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雄英</w:t>
            </w:r>
            <w:r>
              <w:rPr>
                <w:rFonts w:hint="eastAsia" w:cs="Times New Roman"/>
                <w:color w:val="auto"/>
                <w:szCs w:val="21"/>
                <w:highlight w:val="none"/>
                <w:lang w:val="en-US" w:eastAsia="zh-CN"/>
              </w:rPr>
              <w:t>2</w:t>
            </w:r>
            <w:r>
              <w:rPr>
                <w:rFonts w:hint="default" w:ascii="Times New Roman" w:hAnsi="Times New Roman" w:eastAsia="宋体" w:cs="Times New Roman"/>
                <w:color w:val="auto"/>
                <w:szCs w:val="21"/>
                <w:highlight w:val="none"/>
                <w:lang w:val="en-US" w:eastAsia="zh-CN"/>
              </w:rPr>
              <w:t>井</w:t>
            </w:r>
          </w:p>
          <w:p w14:paraId="08C0953B">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单井管线</w:t>
            </w:r>
          </w:p>
        </w:tc>
        <w:tc>
          <w:tcPr>
            <w:tcW w:w="719" w:type="pct"/>
            <w:tcBorders>
              <w:tl2br w:val="nil"/>
              <w:tr2bl w:val="nil"/>
            </w:tcBorders>
            <w:noWrap/>
            <w:vAlign w:val="center"/>
          </w:tcPr>
          <w:p w14:paraId="5968353C">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雄英</w:t>
            </w:r>
            <w:r>
              <w:rPr>
                <w:rFonts w:hint="eastAsia" w:cs="Times New Roman"/>
                <w:color w:val="auto"/>
                <w:szCs w:val="21"/>
                <w:highlight w:val="none"/>
                <w:lang w:val="en-US" w:eastAsia="zh-CN"/>
              </w:rPr>
              <w:t>2</w:t>
            </w:r>
            <w:r>
              <w:rPr>
                <w:rFonts w:hint="default" w:ascii="Times New Roman" w:hAnsi="Times New Roman" w:eastAsia="宋体" w:cs="Times New Roman"/>
                <w:color w:val="auto"/>
                <w:szCs w:val="21"/>
                <w:highlight w:val="none"/>
                <w:lang w:val="en-US" w:eastAsia="zh-CN"/>
              </w:rPr>
              <w:t>井</w:t>
            </w:r>
          </w:p>
        </w:tc>
        <w:tc>
          <w:tcPr>
            <w:tcW w:w="446" w:type="pct"/>
            <w:vMerge w:val="continue"/>
            <w:tcBorders>
              <w:tl2br w:val="nil"/>
              <w:tr2bl w:val="nil"/>
            </w:tcBorders>
            <w:noWrap/>
            <w:vAlign w:val="center"/>
          </w:tcPr>
          <w:p w14:paraId="31377490">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28" w:type="pct"/>
            <w:tcBorders>
              <w:tl2br w:val="nil"/>
              <w:tr2bl w:val="nil"/>
            </w:tcBorders>
            <w:noWrap/>
            <w:vAlign w:val="center"/>
          </w:tcPr>
          <w:p w14:paraId="7293F282">
            <w:pPr>
              <w:keepNext w:val="0"/>
              <w:keepLines w:val="0"/>
              <w:pageBreakBefore w:val="0"/>
              <w:widowControl w:val="0"/>
              <w:suppressLineNumbers w:val="0"/>
              <w:kinsoku/>
              <w:bidi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5.84</w:t>
            </w:r>
          </w:p>
        </w:tc>
        <w:tc>
          <w:tcPr>
            <w:tcW w:w="352" w:type="pct"/>
            <w:tcBorders>
              <w:tl2br w:val="nil"/>
              <w:tr2bl w:val="nil"/>
            </w:tcBorders>
            <w:noWrap/>
            <w:vAlign w:val="center"/>
          </w:tcPr>
          <w:p w14:paraId="48B5366C">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80</w:t>
            </w:r>
          </w:p>
        </w:tc>
        <w:tc>
          <w:tcPr>
            <w:tcW w:w="537" w:type="pct"/>
            <w:tcBorders>
              <w:tl2br w:val="nil"/>
              <w:tr2bl w:val="nil"/>
            </w:tcBorders>
            <w:noWrap w:val="0"/>
            <w:vAlign w:val="center"/>
          </w:tcPr>
          <w:p w14:paraId="03F7560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宋体" w:cs="Times New Roman"/>
                <w:i w:val="0"/>
                <w:iCs w:val="0"/>
                <w:color w:val="auto"/>
                <w:kern w:val="0"/>
                <w:sz w:val="21"/>
                <w:szCs w:val="21"/>
                <w:highlight w:val="none"/>
                <w:lang w:val="en-US" w:eastAsia="zh-CN" w:bidi="ar"/>
              </w:rPr>
            </w:pPr>
            <w:r>
              <w:rPr>
                <w:rFonts w:hint="eastAsia" w:cs="Times New Roman"/>
                <w:i w:val="0"/>
                <w:iCs w:val="0"/>
                <w:color w:val="auto"/>
                <w:kern w:val="0"/>
                <w:sz w:val="21"/>
                <w:szCs w:val="21"/>
                <w:highlight w:val="none"/>
                <w:lang w:val="en-US" w:eastAsia="zh-CN" w:bidi="ar"/>
              </w:rPr>
              <w:t>4.576</w:t>
            </w:r>
          </w:p>
        </w:tc>
        <w:tc>
          <w:tcPr>
            <w:tcW w:w="485" w:type="pct"/>
            <w:tcBorders>
              <w:tl2br w:val="nil"/>
              <w:tr2bl w:val="nil"/>
            </w:tcBorders>
            <w:noWrap w:val="0"/>
            <w:vAlign w:val="center"/>
          </w:tcPr>
          <w:p w14:paraId="5A14ADC4">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8.86</w:t>
            </w:r>
          </w:p>
        </w:tc>
        <w:tc>
          <w:tcPr>
            <w:tcW w:w="529" w:type="pct"/>
            <w:tcBorders>
              <w:tl2br w:val="nil"/>
              <w:tr2bl w:val="nil"/>
            </w:tcBorders>
            <w:noWrap/>
            <w:vAlign w:val="center"/>
          </w:tcPr>
          <w:p w14:paraId="590C2A18">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0.0097</w:t>
            </w:r>
          </w:p>
        </w:tc>
        <w:tc>
          <w:tcPr>
            <w:tcW w:w="500" w:type="pct"/>
            <w:tcBorders>
              <w:tl2br w:val="nil"/>
              <w:tr2bl w:val="nil"/>
            </w:tcBorders>
            <w:noWrap/>
            <w:vAlign w:val="center"/>
          </w:tcPr>
          <w:p w14:paraId="6B76FCB5">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0.0001</w:t>
            </w:r>
          </w:p>
        </w:tc>
      </w:tr>
      <w:tr w14:paraId="6D9A24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0" w:type="dxa"/>
            <w:bottom w:w="57" w:type="dxa"/>
            <w:right w:w="0" w:type="dxa"/>
          </w:tblCellMar>
        </w:tblPrEx>
        <w:trPr>
          <w:trHeight w:val="113" w:hRule="atLeast"/>
        </w:trPr>
        <w:tc>
          <w:tcPr>
            <w:tcW w:w="177" w:type="pct"/>
            <w:tcBorders>
              <w:tl2br w:val="nil"/>
              <w:tr2bl w:val="nil"/>
            </w:tcBorders>
            <w:noWrap/>
            <w:vAlign w:val="center"/>
          </w:tcPr>
          <w:p w14:paraId="0CCAF79D">
            <w:pPr>
              <w:keepNext w:val="0"/>
              <w:keepLines w:val="0"/>
              <w:pageBreakBefore w:val="0"/>
              <w:widowControl w:val="0"/>
              <w:kinsoku/>
              <w:bidi w:val="0"/>
              <w:adjustRightInd/>
              <w:snapToGrid/>
              <w:jc w:val="center"/>
              <w:textAlignment w:val="auto"/>
              <w:rPr>
                <w:rFonts w:hint="default" w:ascii="Times New Roman" w:hAnsi="Times New Roman" w:eastAsia="宋体" w:cs="Times New Roman"/>
                <w:color w:val="auto"/>
                <w:kern w:val="2"/>
                <w:sz w:val="21"/>
                <w:highlight w:val="none"/>
                <w:lang w:val="en-US" w:eastAsia="zh-CN" w:bidi="ar-SA"/>
              </w:rPr>
            </w:pPr>
            <w:r>
              <w:rPr>
                <w:rFonts w:hint="eastAsia" w:cs="Times New Roman"/>
                <w:color w:val="auto"/>
                <w:kern w:val="2"/>
                <w:sz w:val="21"/>
                <w:highlight w:val="none"/>
                <w:lang w:val="en-US" w:eastAsia="zh-CN" w:bidi="ar-SA"/>
              </w:rPr>
              <w:t>5</w:t>
            </w:r>
          </w:p>
        </w:tc>
        <w:tc>
          <w:tcPr>
            <w:tcW w:w="921" w:type="pct"/>
            <w:tcBorders>
              <w:tl2br w:val="nil"/>
              <w:tr2bl w:val="nil"/>
            </w:tcBorders>
            <w:noWrap/>
            <w:vAlign w:val="center"/>
          </w:tcPr>
          <w:p w14:paraId="69E03FCD">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雄英3井</w:t>
            </w:r>
          </w:p>
          <w:p w14:paraId="63470A6E">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单井管线</w:t>
            </w:r>
          </w:p>
        </w:tc>
        <w:tc>
          <w:tcPr>
            <w:tcW w:w="719" w:type="pct"/>
            <w:tcBorders>
              <w:tl2br w:val="nil"/>
              <w:tr2bl w:val="nil"/>
            </w:tcBorders>
            <w:noWrap/>
            <w:vAlign w:val="center"/>
          </w:tcPr>
          <w:p w14:paraId="447EB27E">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雄英3井</w:t>
            </w:r>
          </w:p>
        </w:tc>
        <w:tc>
          <w:tcPr>
            <w:tcW w:w="446" w:type="pct"/>
            <w:vMerge w:val="continue"/>
            <w:tcBorders>
              <w:tl2br w:val="nil"/>
              <w:tr2bl w:val="nil"/>
            </w:tcBorders>
            <w:noWrap/>
            <w:vAlign w:val="center"/>
          </w:tcPr>
          <w:p w14:paraId="06203DF7">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28" w:type="pct"/>
            <w:tcBorders>
              <w:tl2br w:val="nil"/>
              <w:tr2bl w:val="nil"/>
            </w:tcBorders>
            <w:noWrap/>
            <w:vAlign w:val="center"/>
          </w:tcPr>
          <w:p w14:paraId="3818FF08">
            <w:pPr>
              <w:keepNext w:val="0"/>
              <w:keepLines w:val="0"/>
              <w:pageBreakBefore w:val="0"/>
              <w:widowControl w:val="0"/>
              <w:suppressLineNumbers w:val="0"/>
              <w:kinsoku/>
              <w:bidi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7.7</w:t>
            </w:r>
          </w:p>
        </w:tc>
        <w:tc>
          <w:tcPr>
            <w:tcW w:w="352" w:type="pct"/>
            <w:tcBorders>
              <w:tl2br w:val="nil"/>
              <w:tr2bl w:val="nil"/>
            </w:tcBorders>
            <w:noWrap/>
            <w:vAlign w:val="center"/>
          </w:tcPr>
          <w:p w14:paraId="61429AAC">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80</w:t>
            </w:r>
          </w:p>
        </w:tc>
        <w:tc>
          <w:tcPr>
            <w:tcW w:w="537" w:type="pct"/>
            <w:tcBorders>
              <w:tl2br w:val="nil"/>
              <w:tr2bl w:val="nil"/>
            </w:tcBorders>
            <w:noWrap w:val="0"/>
            <w:vAlign w:val="center"/>
          </w:tcPr>
          <w:p w14:paraId="7672328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eastAsia" w:cs="Times New Roman"/>
                <w:i w:val="0"/>
                <w:iCs w:val="0"/>
                <w:color w:val="auto"/>
                <w:kern w:val="0"/>
                <w:sz w:val="21"/>
                <w:szCs w:val="21"/>
                <w:highlight w:val="none"/>
                <w:lang w:val="en-US" w:eastAsia="zh-CN" w:bidi="ar"/>
              </w:rPr>
              <w:t>4.576</w:t>
            </w:r>
          </w:p>
        </w:tc>
        <w:tc>
          <w:tcPr>
            <w:tcW w:w="485" w:type="pct"/>
            <w:tcBorders>
              <w:tl2br w:val="nil"/>
              <w:tr2bl w:val="nil"/>
            </w:tcBorders>
            <w:noWrap w:val="0"/>
            <w:vAlign w:val="center"/>
          </w:tcPr>
          <w:p w14:paraId="108752FD">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31.43</w:t>
            </w:r>
          </w:p>
        </w:tc>
        <w:tc>
          <w:tcPr>
            <w:tcW w:w="529" w:type="pct"/>
            <w:tcBorders>
              <w:tl2br w:val="nil"/>
              <w:tr2bl w:val="nil"/>
            </w:tcBorders>
            <w:noWrap/>
            <w:vAlign w:val="center"/>
          </w:tcPr>
          <w:p w14:paraId="7B6D0B1E">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0.0344</w:t>
            </w:r>
          </w:p>
        </w:tc>
        <w:tc>
          <w:tcPr>
            <w:tcW w:w="500" w:type="pct"/>
            <w:tcBorders>
              <w:tl2br w:val="nil"/>
              <w:tr2bl w:val="nil"/>
            </w:tcBorders>
            <w:noWrap/>
            <w:vAlign w:val="center"/>
          </w:tcPr>
          <w:p w14:paraId="475EB928">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0.0001</w:t>
            </w:r>
          </w:p>
        </w:tc>
      </w:tr>
      <w:tr w14:paraId="1A47C8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0" w:type="dxa"/>
            <w:bottom w:w="57" w:type="dxa"/>
            <w:right w:w="0" w:type="dxa"/>
          </w:tblCellMar>
        </w:tblPrEx>
        <w:trPr>
          <w:trHeight w:val="113" w:hRule="atLeast"/>
        </w:trPr>
        <w:tc>
          <w:tcPr>
            <w:tcW w:w="177" w:type="pct"/>
            <w:tcBorders>
              <w:tl2br w:val="nil"/>
              <w:tr2bl w:val="nil"/>
            </w:tcBorders>
            <w:noWrap/>
            <w:vAlign w:val="center"/>
          </w:tcPr>
          <w:p w14:paraId="5B47F851">
            <w:pPr>
              <w:keepNext w:val="0"/>
              <w:keepLines w:val="0"/>
              <w:pageBreakBefore w:val="0"/>
              <w:widowControl w:val="0"/>
              <w:kinsoku/>
              <w:bidi w:val="0"/>
              <w:adjustRightInd/>
              <w:snapToGrid/>
              <w:jc w:val="center"/>
              <w:textAlignment w:val="auto"/>
              <w:rPr>
                <w:rFonts w:hint="default" w:ascii="Times New Roman" w:hAnsi="Times New Roman" w:eastAsia="宋体" w:cs="Times New Roman"/>
                <w:color w:val="auto"/>
                <w:kern w:val="2"/>
                <w:sz w:val="21"/>
                <w:highlight w:val="none"/>
                <w:lang w:val="en-US" w:eastAsia="zh-CN" w:bidi="ar-SA"/>
              </w:rPr>
            </w:pPr>
          </w:p>
        </w:tc>
        <w:tc>
          <w:tcPr>
            <w:tcW w:w="2088" w:type="pct"/>
            <w:gridSpan w:val="3"/>
            <w:tcBorders>
              <w:tl2br w:val="nil"/>
              <w:tr2bl w:val="nil"/>
            </w:tcBorders>
            <w:noWrap/>
            <w:vAlign w:val="center"/>
          </w:tcPr>
          <w:p w14:paraId="0D2C68B1">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危险源位置</w:t>
            </w:r>
          </w:p>
        </w:tc>
        <w:tc>
          <w:tcPr>
            <w:tcW w:w="328" w:type="pct"/>
            <w:tcBorders>
              <w:tl2br w:val="nil"/>
              <w:tr2bl w:val="nil"/>
            </w:tcBorders>
            <w:noWrap/>
            <w:vAlign w:val="center"/>
          </w:tcPr>
          <w:p w14:paraId="55EDF1E4">
            <w:pPr>
              <w:keepNext w:val="0"/>
              <w:keepLines w:val="0"/>
              <w:pageBreakBefore w:val="0"/>
              <w:widowControl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个数</w:t>
            </w:r>
          </w:p>
        </w:tc>
        <w:tc>
          <w:tcPr>
            <w:tcW w:w="352" w:type="pct"/>
            <w:tcBorders>
              <w:tl2br w:val="nil"/>
              <w:tr2bl w:val="nil"/>
            </w:tcBorders>
            <w:noWrap/>
            <w:vAlign w:val="center"/>
          </w:tcPr>
          <w:p w14:paraId="2983A46F">
            <w:pPr>
              <w:keepNext w:val="0"/>
              <w:keepLines w:val="0"/>
              <w:pageBreakBefore w:val="0"/>
              <w:widowControl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体积m</w:t>
            </w:r>
            <w:r>
              <w:rPr>
                <w:rFonts w:hint="eastAsia" w:cs="Times New Roman"/>
                <w:color w:val="auto"/>
                <w:highlight w:val="none"/>
                <w:vertAlign w:val="superscript"/>
                <w:lang w:val="en-US" w:eastAsia="zh-CN"/>
              </w:rPr>
              <w:t>3</w:t>
            </w:r>
          </w:p>
        </w:tc>
        <w:tc>
          <w:tcPr>
            <w:tcW w:w="537" w:type="pct"/>
            <w:tcBorders>
              <w:tl2br w:val="nil"/>
              <w:tr2bl w:val="nil"/>
            </w:tcBorders>
            <w:noWrap/>
            <w:vAlign w:val="center"/>
          </w:tcPr>
          <w:p w14:paraId="34CD71D2">
            <w:pPr>
              <w:keepNext w:val="0"/>
              <w:keepLines w:val="0"/>
              <w:pageBreakBefore w:val="0"/>
              <w:widowControl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压力</w:t>
            </w:r>
            <w:r>
              <w:rPr>
                <w:rFonts w:hint="default" w:ascii="Times New Roman" w:hAnsi="Times New Roman" w:eastAsia="宋体" w:cs="Times New Roman"/>
                <w:color w:val="auto"/>
                <w:szCs w:val="21"/>
                <w:highlight w:val="none"/>
              </w:rPr>
              <w:t>MPa</w:t>
            </w:r>
          </w:p>
        </w:tc>
        <w:tc>
          <w:tcPr>
            <w:tcW w:w="485" w:type="pct"/>
            <w:tcBorders>
              <w:tl2br w:val="nil"/>
              <w:tr2bl w:val="nil"/>
            </w:tcBorders>
            <w:noWrap w:val="0"/>
            <w:vAlign w:val="center"/>
          </w:tcPr>
          <w:p w14:paraId="70FF2E49">
            <w:pPr>
              <w:keepNext w:val="0"/>
              <w:keepLines w:val="0"/>
              <w:pageBreakBefore w:val="0"/>
              <w:widowControl w:val="0"/>
              <w:kinsoku/>
              <w:bidi w:val="0"/>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原油最大在线量t</w:t>
            </w:r>
          </w:p>
        </w:tc>
        <w:tc>
          <w:tcPr>
            <w:tcW w:w="529" w:type="pct"/>
            <w:tcBorders>
              <w:tl2br w:val="nil"/>
              <w:tr2bl w:val="nil"/>
            </w:tcBorders>
            <w:noWrap/>
            <w:vAlign w:val="center"/>
          </w:tcPr>
          <w:p w14:paraId="2EEE055E">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c>
          <w:tcPr>
            <w:tcW w:w="500" w:type="pct"/>
            <w:tcBorders>
              <w:tl2br w:val="nil"/>
              <w:tr2bl w:val="nil"/>
            </w:tcBorders>
            <w:noWrap/>
            <w:vAlign w:val="center"/>
          </w:tcPr>
          <w:p w14:paraId="340AEBFF">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r>
      <w:tr w14:paraId="0FAB5B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0" w:type="dxa"/>
            <w:bottom w:w="57" w:type="dxa"/>
            <w:right w:w="0" w:type="dxa"/>
          </w:tblCellMar>
        </w:tblPrEx>
        <w:trPr>
          <w:trHeight w:val="113" w:hRule="atLeast"/>
        </w:trPr>
        <w:tc>
          <w:tcPr>
            <w:tcW w:w="177" w:type="pct"/>
            <w:tcBorders>
              <w:tl2br w:val="nil"/>
              <w:tr2bl w:val="nil"/>
            </w:tcBorders>
            <w:noWrap/>
            <w:vAlign w:val="center"/>
          </w:tcPr>
          <w:p w14:paraId="67AD0093">
            <w:pPr>
              <w:keepNext w:val="0"/>
              <w:keepLines w:val="0"/>
              <w:pageBreakBefore w:val="0"/>
              <w:widowControl w:val="0"/>
              <w:kinsoku/>
              <w:bidi w:val="0"/>
              <w:adjustRightInd/>
              <w:snapToGrid/>
              <w:jc w:val="center"/>
              <w:textAlignment w:val="auto"/>
              <w:rPr>
                <w:rFonts w:hint="default" w:ascii="Times New Roman" w:hAnsi="Times New Roman" w:eastAsia="宋体" w:cs="Times New Roman"/>
                <w:color w:val="auto"/>
                <w:kern w:val="2"/>
                <w:sz w:val="21"/>
                <w:highlight w:val="none"/>
                <w:lang w:val="en-US" w:eastAsia="zh-CN" w:bidi="ar-SA"/>
              </w:rPr>
            </w:pPr>
            <w:r>
              <w:rPr>
                <w:rFonts w:hint="eastAsia" w:cs="Times New Roman"/>
                <w:color w:val="auto"/>
                <w:kern w:val="2"/>
                <w:sz w:val="21"/>
                <w:highlight w:val="none"/>
                <w:lang w:val="en-US" w:eastAsia="zh-CN" w:bidi="ar-SA"/>
              </w:rPr>
              <w:t>1</w:t>
            </w:r>
          </w:p>
        </w:tc>
        <w:tc>
          <w:tcPr>
            <w:tcW w:w="2088" w:type="pct"/>
            <w:gridSpan w:val="3"/>
            <w:tcBorders>
              <w:tl2br w:val="nil"/>
              <w:tr2bl w:val="nil"/>
            </w:tcBorders>
            <w:noWrap/>
            <w:vAlign w:val="center"/>
          </w:tcPr>
          <w:p w14:paraId="15122385">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雄探1试采点原油方罐</w:t>
            </w:r>
          </w:p>
        </w:tc>
        <w:tc>
          <w:tcPr>
            <w:tcW w:w="328" w:type="pct"/>
            <w:tcBorders>
              <w:tl2br w:val="nil"/>
              <w:tr2bl w:val="nil"/>
            </w:tcBorders>
            <w:noWrap/>
            <w:vAlign w:val="center"/>
          </w:tcPr>
          <w:p w14:paraId="7D52799D">
            <w:pPr>
              <w:keepNext w:val="0"/>
              <w:keepLines w:val="0"/>
              <w:pageBreakBefore w:val="0"/>
              <w:widowControl w:val="0"/>
              <w:suppressLineNumbers w:val="0"/>
              <w:kinsoku/>
              <w:bidi w:val="0"/>
              <w:jc w:val="center"/>
              <w:textAlignment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9</w:t>
            </w:r>
          </w:p>
        </w:tc>
        <w:tc>
          <w:tcPr>
            <w:tcW w:w="352" w:type="pct"/>
            <w:tcBorders>
              <w:tl2br w:val="nil"/>
              <w:tr2bl w:val="nil"/>
            </w:tcBorders>
            <w:noWrap/>
            <w:vAlign w:val="center"/>
          </w:tcPr>
          <w:p w14:paraId="1441027C">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30</w:t>
            </w:r>
          </w:p>
        </w:tc>
        <w:tc>
          <w:tcPr>
            <w:tcW w:w="537" w:type="pct"/>
            <w:tcBorders>
              <w:tl2br w:val="nil"/>
              <w:tr2bl w:val="nil"/>
            </w:tcBorders>
            <w:noWrap w:val="0"/>
            <w:vAlign w:val="center"/>
          </w:tcPr>
          <w:p w14:paraId="1CF6246B">
            <w:pPr>
              <w:keepNext w:val="0"/>
              <w:keepLines w:val="0"/>
              <w:pageBreakBefore w:val="0"/>
              <w:widowControl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常压</w:t>
            </w:r>
          </w:p>
        </w:tc>
        <w:tc>
          <w:tcPr>
            <w:tcW w:w="485" w:type="pct"/>
            <w:tcBorders>
              <w:tl2br w:val="nil"/>
              <w:tr2bl w:val="nil"/>
            </w:tcBorders>
            <w:noWrap w:val="0"/>
            <w:vAlign w:val="center"/>
          </w:tcPr>
          <w:p w14:paraId="2E3B4E82">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217.59</w:t>
            </w:r>
          </w:p>
        </w:tc>
        <w:tc>
          <w:tcPr>
            <w:tcW w:w="529" w:type="pct"/>
            <w:tcBorders>
              <w:tl2br w:val="nil"/>
              <w:tr2bl w:val="nil"/>
            </w:tcBorders>
            <w:noWrap/>
            <w:vAlign w:val="center"/>
          </w:tcPr>
          <w:p w14:paraId="0B1F477C">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c>
          <w:tcPr>
            <w:tcW w:w="500" w:type="pct"/>
            <w:tcBorders>
              <w:tl2br w:val="nil"/>
              <w:tr2bl w:val="nil"/>
            </w:tcBorders>
            <w:noWrap/>
            <w:vAlign w:val="center"/>
          </w:tcPr>
          <w:p w14:paraId="7281C7EA">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r>
      <w:tr w14:paraId="0F2A86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0" w:type="dxa"/>
            <w:bottom w:w="57" w:type="dxa"/>
            <w:right w:w="0" w:type="dxa"/>
          </w:tblCellMar>
        </w:tblPrEx>
        <w:trPr>
          <w:trHeight w:val="113" w:hRule="atLeast"/>
        </w:trPr>
        <w:tc>
          <w:tcPr>
            <w:tcW w:w="3484" w:type="pct"/>
            <w:gridSpan w:val="7"/>
            <w:tcBorders>
              <w:tl2br w:val="nil"/>
              <w:tr2bl w:val="nil"/>
            </w:tcBorders>
            <w:noWrap/>
            <w:vAlign w:val="center"/>
          </w:tcPr>
          <w:p w14:paraId="790D57D0">
            <w:pPr>
              <w:keepNext w:val="0"/>
              <w:keepLines w:val="0"/>
              <w:pageBreakBefore w:val="0"/>
              <w:widowControl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合计</w:t>
            </w:r>
          </w:p>
        </w:tc>
        <w:tc>
          <w:tcPr>
            <w:tcW w:w="485" w:type="pct"/>
            <w:tcBorders>
              <w:tl2br w:val="nil"/>
              <w:tr2bl w:val="nil"/>
            </w:tcBorders>
            <w:noWrap w:val="0"/>
            <w:vAlign w:val="center"/>
          </w:tcPr>
          <w:p w14:paraId="4636CB56">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317.52</w:t>
            </w:r>
          </w:p>
        </w:tc>
        <w:tc>
          <w:tcPr>
            <w:tcW w:w="529" w:type="pct"/>
            <w:tcBorders>
              <w:tl2br w:val="nil"/>
              <w:tr2bl w:val="nil"/>
            </w:tcBorders>
            <w:noWrap/>
            <w:vAlign w:val="center"/>
          </w:tcPr>
          <w:p w14:paraId="69418C40">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0.1094</w:t>
            </w:r>
          </w:p>
        </w:tc>
        <w:tc>
          <w:tcPr>
            <w:tcW w:w="500" w:type="pct"/>
            <w:tcBorders>
              <w:tl2br w:val="nil"/>
              <w:tr2bl w:val="nil"/>
            </w:tcBorders>
            <w:noWrap/>
            <w:vAlign w:val="center"/>
          </w:tcPr>
          <w:p w14:paraId="4689A384">
            <w:pPr>
              <w:keepNext w:val="0"/>
              <w:keepLines w:val="0"/>
              <w:pageBreakBefore w:val="0"/>
              <w:widowControl w:val="0"/>
              <w:kinsoku/>
              <w:bidi w:val="0"/>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0.0004</w:t>
            </w:r>
          </w:p>
        </w:tc>
      </w:tr>
    </w:tbl>
    <w:p w14:paraId="3562D15B">
      <w:pPr>
        <w:pStyle w:val="79"/>
        <w:bidi w:val="0"/>
        <w:rPr>
          <w:rFonts w:hint="eastAsia"/>
          <w:color w:val="auto"/>
          <w:lang w:val="en-US" w:eastAsia="zh-CN"/>
        </w:rPr>
      </w:pPr>
      <w:r>
        <w:rPr>
          <w:rFonts w:hint="eastAsia"/>
          <w:color w:val="auto"/>
          <w:lang w:val="en-US" w:eastAsia="zh-CN"/>
        </w:rPr>
        <w:t>拟建雄探1试采点甲醇最大在线量为2.335t。</w:t>
      </w:r>
    </w:p>
    <w:p w14:paraId="4903B831">
      <w:pPr>
        <w:pStyle w:val="79"/>
        <w:bidi w:val="0"/>
        <w:rPr>
          <w:rFonts w:hint="default"/>
          <w:color w:val="auto"/>
        </w:rPr>
      </w:pPr>
      <w:r>
        <w:rPr>
          <w:rFonts w:hint="default"/>
          <w:color w:val="auto"/>
        </w:rPr>
        <w:t>本工程危险物质辨识结果详见表</w:t>
      </w:r>
      <w:r>
        <w:rPr>
          <w:rFonts w:hint="eastAsia"/>
          <w:color w:val="auto"/>
          <w:lang w:val="en-US" w:eastAsia="zh-CN"/>
        </w:rPr>
        <w:t>5.7-2</w:t>
      </w:r>
      <w:r>
        <w:rPr>
          <w:rFonts w:hint="default"/>
          <w:color w:val="auto"/>
        </w:rPr>
        <w:t>。</w:t>
      </w:r>
    </w:p>
    <w:p w14:paraId="0221B626">
      <w:pPr>
        <w:pStyle w:val="61"/>
        <w:bidi w:val="0"/>
        <w:jc w:val="both"/>
        <w:rPr>
          <w:rFonts w:hint="eastAsia"/>
          <w:color w:val="auto"/>
          <w:lang w:val="en-US" w:eastAsia="zh-CN"/>
        </w:rPr>
      </w:pPr>
      <w:r>
        <w:rPr>
          <w:rFonts w:hint="eastAsia"/>
          <w:color w:val="auto"/>
          <w:lang w:val="en-US" w:eastAsia="zh-CN"/>
        </w:rPr>
        <w:t>表5.7-2    本工程危险物质Q值一览表</w:t>
      </w:r>
    </w:p>
    <w:tbl>
      <w:tblPr>
        <w:tblStyle w:val="36"/>
        <w:tblW w:w="4940" w:type="pct"/>
        <w:tblInd w:w="101"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16"/>
        <w:gridCol w:w="1969"/>
        <w:gridCol w:w="1969"/>
        <w:gridCol w:w="2567"/>
        <w:gridCol w:w="1507"/>
      </w:tblGrid>
      <w:tr w14:paraId="08CF47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trPr>
        <w:tc>
          <w:tcPr>
            <w:tcW w:w="410" w:type="pct"/>
            <w:tcBorders>
              <w:tl2br w:val="nil"/>
              <w:tr2bl w:val="nil"/>
            </w:tcBorders>
            <w:noWrap w:val="0"/>
            <w:vAlign w:val="center"/>
          </w:tcPr>
          <w:p w14:paraId="1E8492A5">
            <w:pPr>
              <w:keepNext w:val="0"/>
              <w:keepLines w:val="0"/>
              <w:pageBreakBefore w:val="0"/>
              <w:widowControl w:val="0"/>
              <w:kinsoku/>
              <w:wordWrap/>
              <w:overflowPunct/>
              <w:topLinePunct w:val="0"/>
              <w:autoSpaceDE/>
              <w:autoSpaceDN/>
              <w:bidi w:val="0"/>
              <w:adjustRightInd w:val="0"/>
              <w:snapToGrid w:val="0"/>
              <w:jc w:val="center"/>
              <w:textAlignment w:val="auto"/>
              <w:rPr>
                <w:b w:val="0"/>
                <w:bCs w:val="0"/>
                <w:color w:val="auto"/>
                <w:szCs w:val="21"/>
                <w:highlight w:val="none"/>
              </w:rPr>
            </w:pPr>
            <w:r>
              <w:rPr>
                <w:b w:val="0"/>
                <w:bCs w:val="0"/>
                <w:color w:val="auto"/>
                <w:szCs w:val="21"/>
                <w:highlight w:val="none"/>
              </w:rPr>
              <w:t>序号</w:t>
            </w:r>
          </w:p>
        </w:tc>
        <w:tc>
          <w:tcPr>
            <w:tcW w:w="1128" w:type="pct"/>
            <w:tcBorders>
              <w:tl2br w:val="nil"/>
              <w:tr2bl w:val="nil"/>
            </w:tcBorders>
            <w:noWrap w:val="0"/>
            <w:vAlign w:val="center"/>
          </w:tcPr>
          <w:p w14:paraId="6FF3A780">
            <w:pPr>
              <w:keepNext w:val="0"/>
              <w:keepLines w:val="0"/>
              <w:pageBreakBefore w:val="0"/>
              <w:widowControl w:val="0"/>
              <w:kinsoku/>
              <w:wordWrap/>
              <w:overflowPunct/>
              <w:topLinePunct w:val="0"/>
              <w:autoSpaceDE/>
              <w:autoSpaceDN/>
              <w:bidi w:val="0"/>
              <w:adjustRightInd w:val="0"/>
              <w:snapToGrid w:val="0"/>
              <w:jc w:val="center"/>
              <w:textAlignment w:val="auto"/>
              <w:rPr>
                <w:b w:val="0"/>
                <w:bCs w:val="0"/>
                <w:color w:val="auto"/>
                <w:szCs w:val="21"/>
                <w:highlight w:val="none"/>
              </w:rPr>
            </w:pPr>
            <w:r>
              <w:rPr>
                <w:b w:val="0"/>
                <w:bCs w:val="0"/>
                <w:color w:val="auto"/>
                <w:szCs w:val="21"/>
                <w:highlight w:val="none"/>
              </w:rPr>
              <w:t>物质名称</w:t>
            </w:r>
          </w:p>
        </w:tc>
        <w:tc>
          <w:tcPr>
            <w:tcW w:w="1128" w:type="pct"/>
            <w:tcBorders>
              <w:tl2br w:val="nil"/>
              <w:tr2bl w:val="nil"/>
            </w:tcBorders>
            <w:noWrap w:val="0"/>
            <w:vAlign w:val="center"/>
          </w:tcPr>
          <w:p w14:paraId="061A3337">
            <w:pPr>
              <w:keepNext w:val="0"/>
              <w:keepLines w:val="0"/>
              <w:pageBreakBefore w:val="0"/>
              <w:widowControl w:val="0"/>
              <w:kinsoku/>
              <w:wordWrap/>
              <w:overflowPunct/>
              <w:topLinePunct w:val="0"/>
              <w:autoSpaceDE/>
              <w:autoSpaceDN/>
              <w:bidi w:val="0"/>
              <w:adjustRightInd w:val="0"/>
              <w:snapToGrid w:val="0"/>
              <w:jc w:val="center"/>
              <w:textAlignment w:val="auto"/>
              <w:rPr>
                <w:b w:val="0"/>
                <w:bCs w:val="0"/>
                <w:color w:val="auto"/>
                <w:szCs w:val="21"/>
                <w:highlight w:val="none"/>
              </w:rPr>
            </w:pPr>
            <w:r>
              <w:rPr>
                <w:b w:val="0"/>
                <w:bCs w:val="0"/>
                <w:color w:val="auto"/>
                <w:szCs w:val="21"/>
                <w:highlight w:val="none"/>
              </w:rPr>
              <w:t>临界量（t）</w:t>
            </w:r>
          </w:p>
        </w:tc>
        <w:tc>
          <w:tcPr>
            <w:tcW w:w="1468" w:type="pct"/>
            <w:tcBorders>
              <w:tl2br w:val="nil"/>
              <w:tr2bl w:val="nil"/>
            </w:tcBorders>
            <w:noWrap w:val="0"/>
            <w:vAlign w:val="center"/>
          </w:tcPr>
          <w:p w14:paraId="1CB96620">
            <w:pPr>
              <w:keepNext w:val="0"/>
              <w:keepLines w:val="0"/>
              <w:pageBreakBefore w:val="0"/>
              <w:widowControl w:val="0"/>
              <w:kinsoku/>
              <w:wordWrap/>
              <w:overflowPunct/>
              <w:topLinePunct w:val="0"/>
              <w:autoSpaceDE/>
              <w:autoSpaceDN/>
              <w:bidi w:val="0"/>
              <w:adjustRightInd w:val="0"/>
              <w:snapToGrid w:val="0"/>
              <w:jc w:val="center"/>
              <w:textAlignment w:val="auto"/>
              <w:rPr>
                <w:b w:val="0"/>
                <w:bCs w:val="0"/>
                <w:color w:val="auto"/>
                <w:szCs w:val="21"/>
                <w:highlight w:val="none"/>
              </w:rPr>
            </w:pPr>
            <w:r>
              <w:rPr>
                <w:b w:val="0"/>
                <w:bCs w:val="0"/>
                <w:color w:val="auto"/>
                <w:szCs w:val="21"/>
                <w:highlight w:val="none"/>
              </w:rPr>
              <w:t>最大储存量（t）</w:t>
            </w:r>
          </w:p>
        </w:tc>
        <w:tc>
          <w:tcPr>
            <w:tcW w:w="863" w:type="pct"/>
            <w:tcBorders>
              <w:tl2br w:val="nil"/>
              <w:tr2bl w:val="nil"/>
            </w:tcBorders>
            <w:noWrap w:val="0"/>
            <w:vAlign w:val="center"/>
          </w:tcPr>
          <w:p w14:paraId="3D2FF769">
            <w:pPr>
              <w:keepNext w:val="0"/>
              <w:keepLines w:val="0"/>
              <w:pageBreakBefore w:val="0"/>
              <w:widowControl w:val="0"/>
              <w:kinsoku/>
              <w:wordWrap/>
              <w:overflowPunct/>
              <w:topLinePunct w:val="0"/>
              <w:autoSpaceDE/>
              <w:autoSpaceDN/>
              <w:bidi w:val="0"/>
              <w:adjustRightInd w:val="0"/>
              <w:snapToGrid w:val="0"/>
              <w:jc w:val="center"/>
              <w:textAlignment w:val="auto"/>
              <w:rPr>
                <w:b w:val="0"/>
                <w:bCs w:val="0"/>
                <w:color w:val="auto"/>
                <w:szCs w:val="21"/>
                <w:highlight w:val="none"/>
              </w:rPr>
            </w:pPr>
            <w:r>
              <w:rPr>
                <w:b w:val="0"/>
                <w:bCs w:val="0"/>
                <w:color w:val="auto"/>
                <w:szCs w:val="21"/>
                <w:highlight w:val="none"/>
              </w:rPr>
              <w:t>Q</w:t>
            </w:r>
          </w:p>
        </w:tc>
      </w:tr>
      <w:tr w14:paraId="58E8FE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10" w:type="pct"/>
            <w:tcBorders>
              <w:tl2br w:val="nil"/>
              <w:tr2bl w:val="nil"/>
            </w:tcBorders>
            <w:noWrap w:val="0"/>
            <w:vAlign w:val="center"/>
          </w:tcPr>
          <w:p w14:paraId="1AECC43D">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rPr>
            </w:pPr>
            <w:r>
              <w:rPr>
                <w:color w:val="auto"/>
                <w:szCs w:val="21"/>
                <w:highlight w:val="none"/>
              </w:rPr>
              <w:t>1</w:t>
            </w:r>
          </w:p>
        </w:tc>
        <w:tc>
          <w:tcPr>
            <w:tcW w:w="1128" w:type="pct"/>
            <w:tcBorders>
              <w:tl2br w:val="nil"/>
              <w:tr2bl w:val="nil"/>
            </w:tcBorders>
            <w:noWrap w:val="0"/>
            <w:vAlign w:val="center"/>
          </w:tcPr>
          <w:p w14:paraId="6AA0B9F5">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rPr>
            </w:pPr>
            <w:r>
              <w:rPr>
                <w:color w:val="auto"/>
                <w:szCs w:val="21"/>
                <w:highlight w:val="none"/>
              </w:rPr>
              <w:t>原油</w:t>
            </w:r>
          </w:p>
        </w:tc>
        <w:tc>
          <w:tcPr>
            <w:tcW w:w="1128" w:type="pct"/>
            <w:tcBorders>
              <w:tl2br w:val="nil"/>
              <w:tr2bl w:val="nil"/>
            </w:tcBorders>
            <w:noWrap w:val="0"/>
            <w:vAlign w:val="center"/>
          </w:tcPr>
          <w:p w14:paraId="37D2E913">
            <w:pPr>
              <w:keepNext w:val="0"/>
              <w:keepLines w:val="0"/>
              <w:pageBreakBefore w:val="0"/>
              <w:widowControl w:val="0"/>
              <w:kinsoku/>
              <w:wordWrap/>
              <w:overflowPunct/>
              <w:topLinePunct w:val="0"/>
              <w:autoSpaceDE/>
              <w:autoSpaceDN/>
              <w:bidi w:val="0"/>
              <w:adjustRightInd w:val="0"/>
              <w:snapToGrid w:val="0"/>
              <w:jc w:val="center"/>
              <w:textAlignment w:val="auto"/>
              <w:rPr>
                <w:rFonts w:eastAsia="宋体"/>
                <w:color w:val="auto"/>
                <w:szCs w:val="21"/>
                <w:highlight w:val="none"/>
              </w:rPr>
            </w:pPr>
            <w:r>
              <w:rPr>
                <w:color w:val="auto"/>
                <w:szCs w:val="21"/>
                <w:highlight w:val="none"/>
              </w:rPr>
              <w:t>2500</w:t>
            </w:r>
          </w:p>
        </w:tc>
        <w:tc>
          <w:tcPr>
            <w:tcW w:w="1468" w:type="pct"/>
            <w:tcBorders>
              <w:tl2br w:val="nil"/>
              <w:tr2bl w:val="nil"/>
            </w:tcBorders>
            <w:noWrap w:val="0"/>
            <w:vAlign w:val="center"/>
          </w:tcPr>
          <w:p w14:paraId="345FCAC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highlight w:val="none"/>
                <w:lang w:val="en-US" w:eastAsia="zh-CN"/>
              </w:rPr>
              <w:t>317.52</w:t>
            </w:r>
          </w:p>
        </w:tc>
        <w:tc>
          <w:tcPr>
            <w:tcW w:w="863" w:type="pct"/>
            <w:tcBorders>
              <w:tl2br w:val="nil"/>
              <w:tr2bl w:val="nil"/>
            </w:tcBorders>
            <w:noWrap w:val="0"/>
            <w:vAlign w:val="center"/>
          </w:tcPr>
          <w:p w14:paraId="3E483F8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0.13</w:t>
            </w:r>
          </w:p>
        </w:tc>
      </w:tr>
      <w:tr w14:paraId="7947D9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10" w:type="pct"/>
            <w:tcBorders>
              <w:tl2br w:val="nil"/>
              <w:tr2bl w:val="nil"/>
            </w:tcBorders>
            <w:noWrap w:val="0"/>
            <w:vAlign w:val="center"/>
          </w:tcPr>
          <w:p w14:paraId="4EB7C6AE">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rPr>
            </w:pPr>
            <w:r>
              <w:rPr>
                <w:color w:val="auto"/>
                <w:szCs w:val="21"/>
                <w:highlight w:val="none"/>
              </w:rPr>
              <w:t>2</w:t>
            </w:r>
          </w:p>
        </w:tc>
        <w:tc>
          <w:tcPr>
            <w:tcW w:w="1128" w:type="pct"/>
            <w:tcBorders>
              <w:tl2br w:val="nil"/>
              <w:tr2bl w:val="nil"/>
            </w:tcBorders>
            <w:noWrap w:val="0"/>
            <w:vAlign w:val="center"/>
          </w:tcPr>
          <w:p w14:paraId="659EE9B8">
            <w:pPr>
              <w:keepNext w:val="0"/>
              <w:keepLines w:val="0"/>
              <w:pageBreakBefore w:val="0"/>
              <w:widowControl w:val="0"/>
              <w:kinsoku/>
              <w:wordWrap/>
              <w:overflowPunct/>
              <w:topLinePunct w:val="0"/>
              <w:autoSpaceDE/>
              <w:autoSpaceDN/>
              <w:bidi w:val="0"/>
              <w:adjustRightInd w:val="0"/>
              <w:snapToGrid w:val="0"/>
              <w:jc w:val="center"/>
              <w:textAlignment w:val="auto"/>
              <w:rPr>
                <w:rFonts w:eastAsia="宋体"/>
                <w:color w:val="auto"/>
                <w:szCs w:val="21"/>
                <w:highlight w:val="none"/>
              </w:rPr>
            </w:pPr>
            <w:r>
              <w:rPr>
                <w:color w:val="auto"/>
                <w:szCs w:val="21"/>
                <w:highlight w:val="none"/>
              </w:rPr>
              <w:t>天然气</w:t>
            </w:r>
          </w:p>
        </w:tc>
        <w:tc>
          <w:tcPr>
            <w:tcW w:w="1128" w:type="pct"/>
            <w:tcBorders>
              <w:tl2br w:val="nil"/>
              <w:tr2bl w:val="nil"/>
            </w:tcBorders>
            <w:noWrap w:val="0"/>
            <w:vAlign w:val="center"/>
          </w:tcPr>
          <w:p w14:paraId="7478753A">
            <w:pPr>
              <w:keepNext w:val="0"/>
              <w:keepLines w:val="0"/>
              <w:pageBreakBefore w:val="0"/>
              <w:widowControl w:val="0"/>
              <w:kinsoku/>
              <w:wordWrap/>
              <w:overflowPunct/>
              <w:topLinePunct w:val="0"/>
              <w:autoSpaceDE/>
              <w:autoSpaceDN/>
              <w:bidi w:val="0"/>
              <w:adjustRightInd w:val="0"/>
              <w:snapToGrid w:val="0"/>
              <w:jc w:val="center"/>
              <w:textAlignment w:val="auto"/>
              <w:rPr>
                <w:rFonts w:eastAsia="宋体"/>
                <w:color w:val="auto"/>
                <w:szCs w:val="21"/>
                <w:highlight w:val="none"/>
              </w:rPr>
            </w:pPr>
            <w:r>
              <w:rPr>
                <w:color w:val="auto"/>
                <w:szCs w:val="21"/>
                <w:highlight w:val="none"/>
              </w:rPr>
              <w:t>10</w:t>
            </w:r>
          </w:p>
        </w:tc>
        <w:tc>
          <w:tcPr>
            <w:tcW w:w="1468" w:type="pct"/>
            <w:tcBorders>
              <w:tl2br w:val="nil"/>
              <w:tr2bl w:val="nil"/>
            </w:tcBorders>
            <w:noWrap w:val="0"/>
            <w:vAlign w:val="center"/>
          </w:tcPr>
          <w:p w14:paraId="7D516BE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0.1094</w:t>
            </w:r>
          </w:p>
        </w:tc>
        <w:tc>
          <w:tcPr>
            <w:tcW w:w="863" w:type="pct"/>
            <w:tcBorders>
              <w:tl2br w:val="nil"/>
              <w:tr2bl w:val="nil"/>
            </w:tcBorders>
            <w:noWrap w:val="0"/>
            <w:vAlign w:val="center"/>
          </w:tcPr>
          <w:p w14:paraId="7B7593B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0.01</w:t>
            </w:r>
          </w:p>
        </w:tc>
      </w:tr>
      <w:tr w14:paraId="028874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10" w:type="pct"/>
            <w:tcBorders>
              <w:tl2br w:val="nil"/>
              <w:tr2bl w:val="nil"/>
            </w:tcBorders>
            <w:noWrap w:val="0"/>
            <w:vAlign w:val="center"/>
          </w:tcPr>
          <w:p w14:paraId="72687D1E">
            <w:pPr>
              <w:keepNext w:val="0"/>
              <w:keepLines w:val="0"/>
              <w:pageBreakBefore w:val="0"/>
              <w:widowControl w:val="0"/>
              <w:kinsoku/>
              <w:wordWrap/>
              <w:overflowPunct/>
              <w:topLinePunct w:val="0"/>
              <w:autoSpaceDE/>
              <w:autoSpaceDN/>
              <w:bidi w:val="0"/>
              <w:adjustRightInd w:val="0"/>
              <w:snapToGrid w:val="0"/>
              <w:jc w:val="center"/>
              <w:textAlignment w:val="auto"/>
              <w:rPr>
                <w:rFonts w:eastAsia="宋体"/>
                <w:color w:val="auto"/>
                <w:szCs w:val="21"/>
                <w:highlight w:val="none"/>
              </w:rPr>
            </w:pPr>
            <w:bookmarkStart w:id="712" w:name="OLE_LINK77" w:colFirst="0" w:colLast="4"/>
            <w:r>
              <w:rPr>
                <w:color w:val="auto"/>
                <w:szCs w:val="21"/>
                <w:highlight w:val="none"/>
              </w:rPr>
              <w:t>3</w:t>
            </w:r>
          </w:p>
        </w:tc>
        <w:tc>
          <w:tcPr>
            <w:tcW w:w="1128" w:type="pct"/>
            <w:tcBorders>
              <w:tl2br w:val="nil"/>
              <w:tr2bl w:val="nil"/>
            </w:tcBorders>
            <w:noWrap w:val="0"/>
            <w:vAlign w:val="center"/>
          </w:tcPr>
          <w:p w14:paraId="384DD980">
            <w:pPr>
              <w:keepNext w:val="0"/>
              <w:keepLines w:val="0"/>
              <w:pageBreakBefore w:val="0"/>
              <w:widowControl w:val="0"/>
              <w:kinsoku/>
              <w:wordWrap/>
              <w:overflowPunct/>
              <w:topLinePunct w:val="0"/>
              <w:autoSpaceDE/>
              <w:autoSpaceDN/>
              <w:bidi w:val="0"/>
              <w:adjustRightInd w:val="0"/>
              <w:snapToGrid w:val="0"/>
              <w:jc w:val="center"/>
              <w:textAlignment w:val="auto"/>
              <w:rPr>
                <w:rFonts w:eastAsia="宋体"/>
                <w:color w:val="auto"/>
                <w:szCs w:val="21"/>
                <w:highlight w:val="none"/>
              </w:rPr>
            </w:pPr>
            <w:r>
              <w:rPr>
                <w:color w:val="auto"/>
                <w:szCs w:val="21"/>
                <w:highlight w:val="none"/>
              </w:rPr>
              <w:t>硫化氢</w:t>
            </w:r>
          </w:p>
        </w:tc>
        <w:tc>
          <w:tcPr>
            <w:tcW w:w="1128" w:type="pct"/>
            <w:tcBorders>
              <w:tl2br w:val="nil"/>
              <w:tr2bl w:val="nil"/>
            </w:tcBorders>
            <w:noWrap w:val="0"/>
            <w:vAlign w:val="center"/>
          </w:tcPr>
          <w:p w14:paraId="316E281A">
            <w:pPr>
              <w:keepNext w:val="0"/>
              <w:keepLines w:val="0"/>
              <w:pageBreakBefore w:val="0"/>
              <w:widowControl w:val="0"/>
              <w:kinsoku/>
              <w:wordWrap/>
              <w:overflowPunct/>
              <w:topLinePunct w:val="0"/>
              <w:autoSpaceDE/>
              <w:autoSpaceDN/>
              <w:bidi w:val="0"/>
              <w:adjustRightInd w:val="0"/>
              <w:snapToGrid w:val="0"/>
              <w:jc w:val="center"/>
              <w:textAlignment w:val="auto"/>
              <w:rPr>
                <w:rFonts w:eastAsia="宋体"/>
                <w:color w:val="auto"/>
                <w:szCs w:val="21"/>
                <w:highlight w:val="none"/>
              </w:rPr>
            </w:pPr>
            <w:r>
              <w:rPr>
                <w:color w:val="auto"/>
                <w:szCs w:val="21"/>
                <w:highlight w:val="none"/>
              </w:rPr>
              <w:t>2.5</w:t>
            </w:r>
          </w:p>
        </w:tc>
        <w:tc>
          <w:tcPr>
            <w:tcW w:w="1468" w:type="pct"/>
            <w:tcBorders>
              <w:tl2br w:val="nil"/>
              <w:tr2bl w:val="nil"/>
            </w:tcBorders>
            <w:noWrap w:val="0"/>
            <w:vAlign w:val="center"/>
          </w:tcPr>
          <w:p w14:paraId="0208408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0.0004</w:t>
            </w:r>
          </w:p>
        </w:tc>
        <w:tc>
          <w:tcPr>
            <w:tcW w:w="863" w:type="pct"/>
            <w:tcBorders>
              <w:tl2br w:val="nil"/>
              <w:tr2bl w:val="nil"/>
            </w:tcBorders>
            <w:noWrap w:val="0"/>
            <w:vAlign w:val="center"/>
          </w:tcPr>
          <w:p w14:paraId="083629E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0.0002</w:t>
            </w:r>
          </w:p>
        </w:tc>
      </w:tr>
      <w:tr w14:paraId="7173BD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10" w:type="pct"/>
            <w:tcBorders>
              <w:tl2br w:val="nil"/>
              <w:tr2bl w:val="nil"/>
            </w:tcBorders>
            <w:noWrap w:val="0"/>
            <w:vAlign w:val="center"/>
          </w:tcPr>
          <w:p w14:paraId="7705699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4</w:t>
            </w:r>
          </w:p>
        </w:tc>
        <w:tc>
          <w:tcPr>
            <w:tcW w:w="1128" w:type="pct"/>
            <w:tcBorders>
              <w:tl2br w:val="nil"/>
              <w:tr2bl w:val="nil"/>
            </w:tcBorders>
            <w:noWrap w:val="0"/>
            <w:vAlign w:val="center"/>
          </w:tcPr>
          <w:p w14:paraId="749280D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甲醇</w:t>
            </w:r>
          </w:p>
        </w:tc>
        <w:tc>
          <w:tcPr>
            <w:tcW w:w="1128" w:type="pct"/>
            <w:tcBorders>
              <w:tl2br w:val="nil"/>
              <w:tr2bl w:val="nil"/>
            </w:tcBorders>
            <w:noWrap w:val="0"/>
            <w:vAlign w:val="center"/>
          </w:tcPr>
          <w:p w14:paraId="7F73F1D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10</w:t>
            </w:r>
          </w:p>
        </w:tc>
        <w:tc>
          <w:tcPr>
            <w:tcW w:w="1468" w:type="pct"/>
            <w:tcBorders>
              <w:tl2br w:val="nil"/>
              <w:tr2bl w:val="nil"/>
            </w:tcBorders>
            <w:noWrap w:val="0"/>
            <w:vAlign w:val="center"/>
          </w:tcPr>
          <w:p w14:paraId="6C47F486">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2.335</w:t>
            </w:r>
          </w:p>
        </w:tc>
        <w:tc>
          <w:tcPr>
            <w:tcW w:w="863" w:type="pct"/>
            <w:tcBorders>
              <w:tl2br w:val="nil"/>
              <w:tr2bl w:val="nil"/>
            </w:tcBorders>
            <w:noWrap w:val="0"/>
            <w:vAlign w:val="center"/>
          </w:tcPr>
          <w:p w14:paraId="5ECCFCF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0.2335</w:t>
            </w:r>
          </w:p>
        </w:tc>
      </w:tr>
      <w:bookmarkEnd w:id="712"/>
      <w:tr w14:paraId="17B8F6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136" w:type="pct"/>
            <w:gridSpan w:val="4"/>
            <w:tcBorders>
              <w:tl2br w:val="nil"/>
              <w:tr2bl w:val="nil"/>
            </w:tcBorders>
            <w:noWrap w:val="0"/>
            <w:vAlign w:val="center"/>
          </w:tcPr>
          <w:p w14:paraId="67CCBE40">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rPr>
            </w:pPr>
            <w:r>
              <w:rPr>
                <w:color w:val="auto"/>
                <w:szCs w:val="21"/>
                <w:highlight w:val="none"/>
              </w:rPr>
              <w:t>合计</w:t>
            </w:r>
          </w:p>
        </w:tc>
        <w:tc>
          <w:tcPr>
            <w:tcW w:w="863" w:type="pct"/>
            <w:tcBorders>
              <w:tl2br w:val="nil"/>
              <w:tr2bl w:val="nil"/>
            </w:tcBorders>
            <w:noWrap w:val="0"/>
            <w:vAlign w:val="center"/>
          </w:tcPr>
          <w:p w14:paraId="2F4A143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0.3737</w:t>
            </w:r>
          </w:p>
        </w:tc>
      </w:tr>
    </w:tbl>
    <w:p w14:paraId="055599B4">
      <w:pPr>
        <w:pStyle w:val="79"/>
        <w:bidi w:val="0"/>
        <w:rPr>
          <w:rFonts w:hint="default"/>
          <w:color w:val="auto"/>
        </w:rPr>
      </w:pPr>
      <w:r>
        <w:rPr>
          <w:rFonts w:hint="default"/>
          <w:color w:val="auto"/>
        </w:rPr>
        <w:t>根据上表计算结果，本工程Q=</w:t>
      </w:r>
      <w:r>
        <w:rPr>
          <w:rFonts w:hint="default"/>
          <w:color w:val="auto"/>
          <w:lang w:val="en-US" w:eastAsia="zh-CN"/>
        </w:rPr>
        <w:t>0.</w:t>
      </w:r>
      <w:r>
        <w:rPr>
          <w:rFonts w:hint="eastAsia"/>
          <w:color w:val="auto"/>
          <w:lang w:val="en-US" w:eastAsia="zh-CN"/>
        </w:rPr>
        <w:t>3737</w:t>
      </w:r>
      <w:r>
        <w:rPr>
          <w:rFonts w:hint="default"/>
          <w:color w:val="auto"/>
        </w:rPr>
        <w:t>，Q＜1。判断项目风险潜势为Ⅰ。根据《建设项目环境风险评价技术导则》（HJ 169-2018）相关要求，本次评价仅对项目可能存在的环境风险进行简单分析。不设置环境风险评价范围。</w:t>
      </w:r>
    </w:p>
    <w:bookmarkEnd w:id="702"/>
    <w:p w14:paraId="26295286">
      <w:pPr>
        <w:pStyle w:val="54"/>
        <w:bidi w:val="0"/>
        <w:rPr>
          <w:rFonts w:hint="default"/>
          <w:color w:val="auto"/>
          <w:lang w:val="en-US" w:eastAsia="zh-CN"/>
        </w:rPr>
      </w:pPr>
      <w:bookmarkStart w:id="713" w:name="_Toc24902"/>
      <w:r>
        <w:rPr>
          <w:rFonts w:hint="eastAsia"/>
          <w:color w:val="auto"/>
          <w:lang w:val="en-US" w:eastAsia="zh-CN"/>
        </w:rPr>
        <w:t>5.</w:t>
      </w:r>
      <w:r>
        <w:rPr>
          <w:rFonts w:hint="default"/>
          <w:color w:val="auto"/>
          <w:lang w:val="en-US" w:eastAsia="zh-CN"/>
        </w:rPr>
        <w:t>7</w:t>
      </w:r>
      <w:r>
        <w:rPr>
          <w:rFonts w:hint="eastAsia"/>
          <w:color w:val="auto"/>
          <w:lang w:val="en-US" w:eastAsia="zh-CN"/>
        </w:rPr>
        <w:t>.3</w:t>
      </w:r>
      <w:r>
        <w:rPr>
          <w:rFonts w:hint="default"/>
          <w:color w:val="auto"/>
          <w:lang w:val="en-US" w:eastAsia="zh-CN"/>
        </w:rPr>
        <w:t xml:space="preserve"> 环境风险识别</w:t>
      </w:r>
      <w:bookmarkEnd w:id="713"/>
    </w:p>
    <w:p w14:paraId="7A1FA5EE">
      <w:pPr>
        <w:pStyle w:val="55"/>
        <w:bidi w:val="0"/>
        <w:rPr>
          <w:rFonts w:hint="default"/>
          <w:color w:val="auto"/>
          <w:lang w:val="en-US" w:eastAsia="zh-CN"/>
        </w:rPr>
      </w:pPr>
      <w:r>
        <w:rPr>
          <w:rFonts w:hint="eastAsia"/>
          <w:color w:val="auto"/>
          <w:lang w:val="en-US" w:eastAsia="zh-CN"/>
        </w:rPr>
        <w:t>5.7.3</w:t>
      </w:r>
      <w:r>
        <w:rPr>
          <w:rFonts w:hint="default"/>
          <w:color w:val="auto"/>
          <w:lang w:val="en-US" w:eastAsia="zh-CN"/>
        </w:rPr>
        <w:t>.1物质危险性识别</w:t>
      </w:r>
    </w:p>
    <w:p w14:paraId="2E74A1E8">
      <w:pPr>
        <w:pStyle w:val="79"/>
        <w:bidi w:val="0"/>
        <w:rPr>
          <w:rFonts w:hint="default"/>
          <w:color w:val="auto"/>
          <w:lang w:val="en-US" w:eastAsia="zh-CN"/>
        </w:rPr>
      </w:pPr>
      <w:r>
        <w:rPr>
          <w:rFonts w:hint="default"/>
          <w:color w:val="auto"/>
          <w:lang w:val="en-US" w:eastAsia="zh-CN"/>
        </w:rPr>
        <w:t>按照《建设项目环境风险评价技术导则》（HJ169－2018）附录B、《危险化学品重大危险源辨识》（GB18218-2018）、《职业性接触毒物危害程度分级》（GBZ/T230-2010）中涉及的有毒有害、易燃易爆物质进行危险性识别。对于中度危害以上的危险性物质应予以识别，按照物质危险性，结合受影响的环境因素，筛选本工程涉及的主要风险物质为</w:t>
      </w:r>
      <w:r>
        <w:rPr>
          <w:rFonts w:hint="eastAsia"/>
          <w:color w:val="auto"/>
          <w:lang w:val="en-US" w:eastAsia="zh-CN"/>
        </w:rPr>
        <w:t>原油</w:t>
      </w:r>
      <w:r>
        <w:rPr>
          <w:rFonts w:hint="default"/>
          <w:color w:val="auto"/>
          <w:lang w:val="en-US" w:eastAsia="zh-CN"/>
        </w:rPr>
        <w:t>、天然气（甲烷）、H</w:t>
      </w:r>
      <w:r>
        <w:rPr>
          <w:rFonts w:hint="default"/>
          <w:color w:val="auto"/>
          <w:vertAlign w:val="subscript"/>
          <w:lang w:val="en-US" w:eastAsia="zh-CN"/>
        </w:rPr>
        <w:t>2</w:t>
      </w:r>
      <w:r>
        <w:rPr>
          <w:rFonts w:hint="default"/>
          <w:color w:val="auto"/>
          <w:lang w:val="en-US" w:eastAsia="zh-CN"/>
        </w:rPr>
        <w:t>S</w:t>
      </w:r>
      <w:r>
        <w:rPr>
          <w:rFonts w:hint="eastAsia"/>
          <w:color w:val="auto"/>
          <w:lang w:val="en-US" w:eastAsia="zh-CN"/>
        </w:rPr>
        <w:t>和甲醇</w:t>
      </w:r>
      <w:r>
        <w:rPr>
          <w:rFonts w:hint="default"/>
          <w:color w:val="auto"/>
          <w:lang w:val="en-US" w:eastAsia="zh-CN"/>
        </w:rPr>
        <w:t>，存在于集输管线</w:t>
      </w:r>
      <w:r>
        <w:rPr>
          <w:rFonts w:hint="eastAsia"/>
          <w:color w:val="auto"/>
          <w:lang w:val="en-US" w:eastAsia="zh-CN"/>
        </w:rPr>
        <w:t>、井场、站场</w:t>
      </w:r>
      <w:r>
        <w:rPr>
          <w:rFonts w:hint="default"/>
          <w:color w:val="auto"/>
          <w:lang w:val="en-US" w:eastAsia="zh-CN"/>
        </w:rPr>
        <w:t>内。风险物质危险特性和分布见表</w:t>
      </w:r>
      <w:r>
        <w:rPr>
          <w:rFonts w:hint="eastAsia"/>
          <w:color w:val="auto"/>
          <w:lang w:val="en-US" w:eastAsia="zh-CN"/>
        </w:rPr>
        <w:t>5.7</w:t>
      </w:r>
      <w:r>
        <w:rPr>
          <w:rFonts w:hint="default"/>
          <w:color w:val="auto"/>
          <w:lang w:val="en-US" w:eastAsia="zh-CN"/>
        </w:rPr>
        <w:t>-</w:t>
      </w:r>
      <w:r>
        <w:rPr>
          <w:rFonts w:hint="eastAsia"/>
          <w:color w:val="auto"/>
          <w:lang w:val="en-US" w:eastAsia="zh-CN"/>
        </w:rPr>
        <w:t>3</w:t>
      </w:r>
      <w:r>
        <w:rPr>
          <w:rFonts w:hint="default"/>
          <w:color w:val="auto"/>
          <w:lang w:val="en-US" w:eastAsia="zh-CN"/>
        </w:rPr>
        <w:t>。</w:t>
      </w:r>
    </w:p>
    <w:p w14:paraId="28C0094A">
      <w:pPr>
        <w:pStyle w:val="61"/>
        <w:bidi w:val="0"/>
        <w:jc w:val="both"/>
        <w:rPr>
          <w:rFonts w:hint="eastAsia"/>
          <w:color w:val="auto"/>
          <w:lang w:val="en-US" w:eastAsia="zh-CN"/>
        </w:rPr>
      </w:pPr>
      <w:r>
        <w:rPr>
          <w:rFonts w:hint="eastAsia"/>
          <w:color w:val="auto"/>
          <w:lang w:val="en-US" w:eastAsia="zh-CN"/>
        </w:rPr>
        <w:t>表5.7-3 风险物质危险特性和分布一览表</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706"/>
        <w:gridCol w:w="1533"/>
        <w:gridCol w:w="2493"/>
        <w:gridCol w:w="3942"/>
      </w:tblGrid>
      <w:tr w14:paraId="4AA3E9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407" w:type="pct"/>
            <w:tcBorders>
              <w:tl2br w:val="nil"/>
              <w:tr2bl w:val="nil"/>
            </w:tcBorders>
            <w:noWrap w:val="0"/>
            <w:vAlign w:val="center"/>
          </w:tcPr>
          <w:p w14:paraId="46383933">
            <w:pPr>
              <w:pStyle w:val="33"/>
              <w:spacing w:before="0" w:beforeAutospacing="0" w:after="0" w:afterAutospacing="0" w:line="0" w:lineRule="atLeast"/>
              <w:jc w:val="center"/>
              <w:rPr>
                <w:rFonts w:ascii="Times New Roman" w:hAnsi="Times New Roman" w:cs="Times New Roman"/>
                <w:b w:val="0"/>
                <w:bCs w:val="0"/>
                <w:color w:val="auto"/>
                <w:spacing w:val="-10"/>
                <w:sz w:val="21"/>
                <w:szCs w:val="21"/>
              </w:rPr>
            </w:pPr>
            <w:r>
              <w:rPr>
                <w:rFonts w:ascii="Times New Roman" w:hAnsi="Times New Roman" w:cs="Times New Roman"/>
                <w:b w:val="0"/>
                <w:bCs w:val="0"/>
                <w:color w:val="auto"/>
                <w:spacing w:val="-10"/>
                <w:kern w:val="2"/>
                <w:sz w:val="21"/>
                <w:szCs w:val="21"/>
              </w:rPr>
              <w:t>序号</w:t>
            </w:r>
          </w:p>
        </w:tc>
        <w:tc>
          <w:tcPr>
            <w:tcW w:w="883" w:type="pct"/>
            <w:tcBorders>
              <w:tl2br w:val="nil"/>
              <w:tr2bl w:val="nil"/>
            </w:tcBorders>
            <w:noWrap w:val="0"/>
            <w:vAlign w:val="center"/>
          </w:tcPr>
          <w:p w14:paraId="48157BB7">
            <w:pPr>
              <w:pStyle w:val="33"/>
              <w:spacing w:before="0" w:beforeAutospacing="0" w:after="0" w:afterAutospacing="0" w:line="0" w:lineRule="atLeast"/>
              <w:jc w:val="center"/>
              <w:rPr>
                <w:rFonts w:ascii="Times New Roman" w:hAnsi="Times New Roman" w:cs="Times New Roman"/>
                <w:b w:val="0"/>
                <w:bCs w:val="0"/>
                <w:color w:val="auto"/>
                <w:spacing w:val="-10"/>
                <w:sz w:val="21"/>
                <w:szCs w:val="21"/>
              </w:rPr>
            </w:pPr>
            <w:r>
              <w:rPr>
                <w:rFonts w:ascii="Times New Roman" w:hAnsi="Times New Roman" w:cs="Times New Roman"/>
                <w:b w:val="0"/>
                <w:bCs w:val="0"/>
                <w:color w:val="auto"/>
                <w:spacing w:val="-10"/>
                <w:kern w:val="2"/>
                <w:sz w:val="21"/>
                <w:szCs w:val="21"/>
              </w:rPr>
              <w:t>危险物质名称</w:t>
            </w:r>
          </w:p>
        </w:tc>
        <w:tc>
          <w:tcPr>
            <w:tcW w:w="1436" w:type="pct"/>
            <w:tcBorders>
              <w:tl2br w:val="nil"/>
              <w:tr2bl w:val="nil"/>
            </w:tcBorders>
            <w:noWrap w:val="0"/>
            <w:vAlign w:val="center"/>
          </w:tcPr>
          <w:p w14:paraId="4B98EA51">
            <w:pPr>
              <w:pStyle w:val="33"/>
              <w:spacing w:before="0" w:beforeAutospacing="0" w:after="0" w:afterAutospacing="0" w:line="0" w:lineRule="atLeast"/>
              <w:jc w:val="center"/>
              <w:rPr>
                <w:rFonts w:ascii="Times New Roman" w:hAnsi="Times New Roman" w:cs="Times New Roman"/>
                <w:b w:val="0"/>
                <w:bCs w:val="0"/>
                <w:color w:val="auto"/>
                <w:spacing w:val="-10"/>
                <w:sz w:val="21"/>
                <w:szCs w:val="21"/>
              </w:rPr>
            </w:pPr>
            <w:r>
              <w:rPr>
                <w:rFonts w:ascii="Times New Roman" w:hAnsi="Times New Roman" w:cs="Times New Roman"/>
                <w:b w:val="0"/>
                <w:bCs w:val="0"/>
                <w:color w:val="auto"/>
                <w:spacing w:val="-10"/>
                <w:kern w:val="2"/>
                <w:sz w:val="21"/>
                <w:szCs w:val="21"/>
              </w:rPr>
              <w:t>危险特性</w:t>
            </w:r>
          </w:p>
        </w:tc>
        <w:tc>
          <w:tcPr>
            <w:tcW w:w="2271" w:type="pct"/>
            <w:tcBorders>
              <w:tl2br w:val="nil"/>
              <w:tr2bl w:val="nil"/>
            </w:tcBorders>
            <w:noWrap w:val="0"/>
            <w:vAlign w:val="center"/>
          </w:tcPr>
          <w:p w14:paraId="6BF23E94">
            <w:pPr>
              <w:pStyle w:val="33"/>
              <w:spacing w:before="0" w:beforeAutospacing="0" w:after="0" w:afterAutospacing="0" w:line="0" w:lineRule="atLeast"/>
              <w:jc w:val="center"/>
              <w:rPr>
                <w:rFonts w:ascii="Times New Roman" w:hAnsi="Times New Roman" w:cs="Times New Roman"/>
                <w:b w:val="0"/>
                <w:bCs w:val="0"/>
                <w:color w:val="auto"/>
                <w:spacing w:val="-10"/>
                <w:sz w:val="21"/>
                <w:szCs w:val="21"/>
              </w:rPr>
            </w:pPr>
            <w:r>
              <w:rPr>
                <w:rFonts w:ascii="Times New Roman" w:hAnsi="Times New Roman" w:cs="Times New Roman"/>
                <w:b w:val="0"/>
                <w:bCs w:val="0"/>
                <w:color w:val="auto"/>
                <w:spacing w:val="-10"/>
                <w:kern w:val="2"/>
                <w:sz w:val="21"/>
                <w:szCs w:val="21"/>
              </w:rPr>
              <w:t>分布</w:t>
            </w:r>
          </w:p>
        </w:tc>
      </w:tr>
      <w:tr w14:paraId="18B0AA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407" w:type="pct"/>
            <w:tcBorders>
              <w:tl2br w:val="nil"/>
              <w:tr2bl w:val="nil"/>
            </w:tcBorders>
            <w:noWrap w:val="0"/>
            <w:vAlign w:val="center"/>
          </w:tcPr>
          <w:p w14:paraId="51C2422C">
            <w:pPr>
              <w:pStyle w:val="33"/>
              <w:spacing w:line="0" w:lineRule="atLeast"/>
              <w:jc w:val="center"/>
              <w:rPr>
                <w:rFonts w:hint="eastAsia" w:ascii="Times New Roman" w:hAnsi="Times New Roman" w:eastAsia="宋体" w:cs="Times New Roman"/>
                <w:color w:val="auto"/>
                <w:spacing w:val="-10"/>
                <w:kern w:val="0"/>
                <w:sz w:val="21"/>
                <w:szCs w:val="21"/>
                <w:lang w:val="en-US" w:eastAsia="zh-CN" w:bidi="ar-SA"/>
              </w:rPr>
            </w:pPr>
            <w:r>
              <w:rPr>
                <w:rFonts w:hint="eastAsia" w:ascii="Times New Roman" w:hAnsi="Times New Roman" w:cs="Times New Roman"/>
                <w:color w:val="auto"/>
                <w:spacing w:val="-10"/>
                <w:sz w:val="21"/>
                <w:szCs w:val="21"/>
                <w:lang w:val="en-US" w:eastAsia="zh-CN"/>
              </w:rPr>
              <w:t>1</w:t>
            </w:r>
          </w:p>
        </w:tc>
        <w:tc>
          <w:tcPr>
            <w:tcW w:w="883" w:type="pct"/>
            <w:tcBorders>
              <w:tl2br w:val="nil"/>
              <w:tr2bl w:val="nil"/>
            </w:tcBorders>
            <w:noWrap w:val="0"/>
            <w:vAlign w:val="center"/>
          </w:tcPr>
          <w:p w14:paraId="4BA23447">
            <w:pPr>
              <w:spacing w:line="0" w:lineRule="atLeast"/>
              <w:jc w:val="center"/>
              <w:textAlignment w:val="center"/>
              <w:rPr>
                <w:rFonts w:hint="eastAsia" w:ascii="Times New Roman" w:hAnsi="Times New Roman" w:eastAsia="宋体" w:cs="Times New Roman"/>
                <w:color w:val="auto"/>
                <w:spacing w:val="-10"/>
                <w:kern w:val="2"/>
                <w:sz w:val="21"/>
                <w:szCs w:val="21"/>
                <w:lang w:val="en-US" w:eastAsia="zh-CN" w:bidi="ar-SA"/>
              </w:rPr>
            </w:pPr>
            <w:r>
              <w:rPr>
                <w:rFonts w:hint="eastAsia" w:ascii="Times New Roman" w:hAnsi="Times New Roman" w:eastAsia="宋体" w:cs="Times New Roman"/>
                <w:color w:val="auto"/>
                <w:spacing w:val="-10"/>
                <w:kern w:val="2"/>
                <w:sz w:val="21"/>
                <w:szCs w:val="21"/>
                <w:lang w:val="en-US" w:eastAsia="zh-CN" w:bidi="ar-SA"/>
              </w:rPr>
              <w:t>原油</w:t>
            </w:r>
          </w:p>
        </w:tc>
        <w:tc>
          <w:tcPr>
            <w:tcW w:w="1436" w:type="pct"/>
            <w:tcBorders>
              <w:tl2br w:val="nil"/>
              <w:tr2bl w:val="nil"/>
            </w:tcBorders>
            <w:noWrap w:val="0"/>
            <w:vAlign w:val="center"/>
          </w:tcPr>
          <w:p w14:paraId="71FD6430">
            <w:pPr>
              <w:spacing w:line="0" w:lineRule="atLeast"/>
              <w:jc w:val="center"/>
              <w:rPr>
                <w:rFonts w:ascii="Times New Roman" w:hAnsi="Times New Roman" w:eastAsia="宋体" w:cs="Times New Roman"/>
                <w:color w:val="auto"/>
                <w:spacing w:val="-10"/>
                <w:kern w:val="2"/>
                <w:sz w:val="21"/>
                <w:szCs w:val="21"/>
                <w:lang w:val="en-US" w:eastAsia="zh-CN" w:bidi="ar-SA"/>
              </w:rPr>
            </w:pPr>
            <w:r>
              <w:rPr>
                <w:color w:val="auto"/>
                <w:spacing w:val="-10"/>
                <w:sz w:val="21"/>
                <w:szCs w:val="21"/>
              </w:rPr>
              <w:t>可燃液体</w:t>
            </w:r>
          </w:p>
        </w:tc>
        <w:tc>
          <w:tcPr>
            <w:tcW w:w="2271" w:type="pct"/>
            <w:tcBorders>
              <w:tl2br w:val="nil"/>
              <w:tr2bl w:val="nil"/>
            </w:tcBorders>
            <w:noWrap w:val="0"/>
            <w:vAlign w:val="center"/>
          </w:tcPr>
          <w:p w14:paraId="0A7C9C09">
            <w:pPr>
              <w:spacing w:line="0" w:lineRule="atLeast"/>
              <w:jc w:val="center"/>
              <w:rPr>
                <w:rFonts w:hint="default" w:ascii="Times New Roman" w:hAnsi="Times New Roman" w:eastAsia="宋体" w:cs="Times New Roman"/>
                <w:color w:val="auto"/>
                <w:spacing w:val="-10"/>
                <w:kern w:val="2"/>
                <w:sz w:val="21"/>
                <w:szCs w:val="21"/>
                <w:lang w:val="en-US" w:eastAsia="zh-CN" w:bidi="ar-SA"/>
              </w:rPr>
            </w:pPr>
            <w:r>
              <w:rPr>
                <w:bCs/>
                <w:color w:val="auto"/>
                <w:spacing w:val="-10"/>
                <w:kern w:val="24"/>
                <w:sz w:val="21"/>
                <w:szCs w:val="21"/>
              </w:rPr>
              <w:t>集输管线</w:t>
            </w:r>
            <w:r>
              <w:rPr>
                <w:rFonts w:hint="eastAsia"/>
                <w:bCs/>
                <w:color w:val="auto"/>
                <w:spacing w:val="-10"/>
                <w:kern w:val="24"/>
                <w:sz w:val="21"/>
                <w:szCs w:val="21"/>
                <w:lang w:val="en-US" w:eastAsia="zh-CN"/>
              </w:rPr>
              <w:t>、井场、站场储罐</w:t>
            </w:r>
          </w:p>
        </w:tc>
      </w:tr>
      <w:tr w14:paraId="212042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407" w:type="pct"/>
            <w:tcBorders>
              <w:tl2br w:val="nil"/>
              <w:tr2bl w:val="nil"/>
            </w:tcBorders>
            <w:noWrap w:val="0"/>
            <w:vAlign w:val="center"/>
          </w:tcPr>
          <w:p w14:paraId="41285C6E">
            <w:pPr>
              <w:pStyle w:val="33"/>
              <w:spacing w:before="0" w:beforeAutospacing="0" w:after="0" w:afterAutospacing="0" w:line="0" w:lineRule="atLeast"/>
              <w:jc w:val="center"/>
              <w:rPr>
                <w:rFonts w:hint="eastAsia" w:ascii="Times New Roman" w:hAnsi="Times New Roman" w:eastAsia="宋体" w:cs="Times New Roman"/>
                <w:color w:val="auto"/>
                <w:spacing w:val="-10"/>
                <w:sz w:val="21"/>
                <w:szCs w:val="21"/>
                <w:lang w:eastAsia="zh-CN"/>
              </w:rPr>
            </w:pPr>
            <w:r>
              <w:rPr>
                <w:rFonts w:hint="eastAsia" w:ascii="Times New Roman" w:hAnsi="Times New Roman" w:cs="Times New Roman"/>
                <w:color w:val="auto"/>
                <w:spacing w:val="-10"/>
                <w:kern w:val="2"/>
                <w:sz w:val="21"/>
                <w:szCs w:val="21"/>
                <w:lang w:val="en-US" w:eastAsia="zh-CN"/>
              </w:rPr>
              <w:t>2</w:t>
            </w:r>
          </w:p>
        </w:tc>
        <w:tc>
          <w:tcPr>
            <w:tcW w:w="883" w:type="pct"/>
            <w:tcBorders>
              <w:tl2br w:val="nil"/>
              <w:tr2bl w:val="nil"/>
            </w:tcBorders>
            <w:noWrap w:val="0"/>
            <w:vAlign w:val="center"/>
          </w:tcPr>
          <w:p w14:paraId="3A0E70D6">
            <w:pPr>
              <w:spacing w:line="0" w:lineRule="atLeast"/>
              <w:jc w:val="center"/>
              <w:textAlignment w:val="center"/>
              <w:rPr>
                <w:color w:val="auto"/>
                <w:spacing w:val="-10"/>
                <w:sz w:val="21"/>
                <w:szCs w:val="21"/>
              </w:rPr>
            </w:pPr>
            <w:r>
              <w:rPr>
                <w:rFonts w:hint="eastAsia"/>
                <w:color w:val="auto"/>
                <w:spacing w:val="-10"/>
                <w:sz w:val="21"/>
                <w:szCs w:val="21"/>
              </w:rPr>
              <w:t>天然气</w:t>
            </w:r>
          </w:p>
        </w:tc>
        <w:tc>
          <w:tcPr>
            <w:tcW w:w="1436" w:type="pct"/>
            <w:tcBorders>
              <w:tl2br w:val="nil"/>
              <w:tr2bl w:val="nil"/>
            </w:tcBorders>
            <w:noWrap w:val="0"/>
            <w:vAlign w:val="center"/>
          </w:tcPr>
          <w:p w14:paraId="1C11C936">
            <w:pPr>
              <w:spacing w:line="0" w:lineRule="atLeast"/>
              <w:jc w:val="center"/>
              <w:rPr>
                <w:color w:val="auto"/>
                <w:spacing w:val="-10"/>
                <w:sz w:val="21"/>
                <w:szCs w:val="21"/>
              </w:rPr>
            </w:pPr>
            <w:r>
              <w:rPr>
                <w:color w:val="auto"/>
                <w:spacing w:val="-10"/>
                <w:sz w:val="21"/>
                <w:szCs w:val="21"/>
              </w:rPr>
              <w:t>易燃气体</w:t>
            </w:r>
          </w:p>
        </w:tc>
        <w:tc>
          <w:tcPr>
            <w:tcW w:w="2271" w:type="pct"/>
            <w:tcBorders>
              <w:tl2br w:val="nil"/>
              <w:tr2bl w:val="nil"/>
            </w:tcBorders>
            <w:noWrap w:val="0"/>
            <w:vAlign w:val="center"/>
          </w:tcPr>
          <w:p w14:paraId="13240212">
            <w:pPr>
              <w:spacing w:line="0" w:lineRule="atLeast"/>
              <w:jc w:val="center"/>
              <w:rPr>
                <w:color w:val="auto"/>
                <w:spacing w:val="-10"/>
                <w:sz w:val="21"/>
                <w:szCs w:val="21"/>
              </w:rPr>
            </w:pPr>
            <w:r>
              <w:rPr>
                <w:bCs/>
                <w:color w:val="auto"/>
                <w:spacing w:val="-10"/>
                <w:kern w:val="24"/>
                <w:sz w:val="21"/>
                <w:szCs w:val="21"/>
              </w:rPr>
              <w:t>集输管线</w:t>
            </w:r>
            <w:r>
              <w:rPr>
                <w:rFonts w:hint="eastAsia"/>
                <w:bCs/>
                <w:color w:val="auto"/>
                <w:spacing w:val="-10"/>
                <w:kern w:val="24"/>
                <w:sz w:val="21"/>
                <w:szCs w:val="21"/>
                <w:lang w:val="en-US" w:eastAsia="zh-CN"/>
              </w:rPr>
              <w:t>、井场、站场</w:t>
            </w:r>
          </w:p>
        </w:tc>
      </w:tr>
      <w:tr w14:paraId="68C60B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407" w:type="pct"/>
            <w:tcBorders>
              <w:tl2br w:val="nil"/>
              <w:tr2bl w:val="nil"/>
            </w:tcBorders>
            <w:noWrap w:val="0"/>
            <w:vAlign w:val="center"/>
          </w:tcPr>
          <w:p w14:paraId="226D4A54">
            <w:pPr>
              <w:pStyle w:val="33"/>
              <w:spacing w:line="0" w:lineRule="atLeast"/>
              <w:jc w:val="center"/>
              <w:rPr>
                <w:rFonts w:hint="eastAsia" w:ascii="Times New Roman" w:hAnsi="Times New Roman" w:eastAsia="宋体" w:cs="Times New Roman"/>
                <w:color w:val="auto"/>
                <w:spacing w:val="-10"/>
                <w:sz w:val="21"/>
                <w:szCs w:val="21"/>
                <w:lang w:val="en-US" w:eastAsia="zh-CN"/>
              </w:rPr>
            </w:pPr>
            <w:r>
              <w:rPr>
                <w:rFonts w:hint="eastAsia" w:ascii="Times New Roman" w:hAnsi="Times New Roman" w:cs="Times New Roman"/>
                <w:color w:val="auto"/>
                <w:spacing w:val="-10"/>
                <w:sz w:val="21"/>
                <w:szCs w:val="21"/>
                <w:lang w:val="en-US" w:eastAsia="zh-CN"/>
              </w:rPr>
              <w:t>3</w:t>
            </w:r>
          </w:p>
        </w:tc>
        <w:tc>
          <w:tcPr>
            <w:tcW w:w="1478" w:type="dxa"/>
            <w:tcBorders>
              <w:tl2br w:val="nil"/>
              <w:tr2bl w:val="nil"/>
            </w:tcBorders>
            <w:noWrap w:val="0"/>
            <w:vAlign w:val="center"/>
          </w:tcPr>
          <w:p w14:paraId="5DCE47FE">
            <w:pPr>
              <w:keepNext w:val="0"/>
              <w:keepLines w:val="0"/>
              <w:pageBreakBefore w:val="0"/>
              <w:widowControl w:val="0"/>
              <w:kinsoku/>
              <w:wordWrap/>
              <w:overflowPunct/>
              <w:topLinePunct w:val="0"/>
              <w:autoSpaceDE/>
              <w:autoSpaceDN/>
              <w:bidi w:val="0"/>
              <w:adjustRightInd/>
              <w:snapToGrid/>
              <w:spacing w:beforeAutospacing="0" w:afterAutospacing="0" w:line="0" w:lineRule="atLeast"/>
              <w:jc w:val="center"/>
              <w:textAlignment w:val="center"/>
              <w:rPr>
                <w:rFonts w:hint="eastAsia"/>
                <w:color w:val="auto"/>
                <w:spacing w:val="-10"/>
                <w:sz w:val="21"/>
                <w:szCs w:val="21"/>
              </w:rPr>
            </w:pPr>
            <w:r>
              <w:rPr>
                <w:rFonts w:hint="default" w:ascii="Times New Roman" w:hAnsi="Times New Roman" w:eastAsia="宋体" w:cs="Times New Roman"/>
                <w:color w:val="auto"/>
                <w:spacing w:val="-10"/>
                <w:sz w:val="20"/>
              </w:rPr>
              <w:t>硫化氢</w:t>
            </w:r>
          </w:p>
        </w:tc>
        <w:tc>
          <w:tcPr>
            <w:tcW w:w="2403" w:type="dxa"/>
            <w:tcBorders>
              <w:tl2br w:val="nil"/>
              <w:tr2bl w:val="nil"/>
            </w:tcBorders>
            <w:noWrap w:val="0"/>
            <w:vAlign w:val="center"/>
          </w:tcPr>
          <w:p w14:paraId="16B37233">
            <w:pPr>
              <w:keepNext w:val="0"/>
              <w:keepLines w:val="0"/>
              <w:pageBreakBefore w:val="0"/>
              <w:widowControl w:val="0"/>
              <w:kinsoku/>
              <w:wordWrap/>
              <w:overflowPunct/>
              <w:topLinePunct w:val="0"/>
              <w:autoSpaceDE/>
              <w:autoSpaceDN/>
              <w:bidi w:val="0"/>
              <w:adjustRightInd/>
              <w:snapToGrid/>
              <w:spacing w:beforeAutospacing="0" w:afterAutospacing="0" w:line="0" w:lineRule="atLeast"/>
              <w:jc w:val="center"/>
              <w:rPr>
                <w:color w:val="auto"/>
                <w:spacing w:val="-10"/>
                <w:sz w:val="21"/>
                <w:szCs w:val="21"/>
              </w:rPr>
            </w:pPr>
            <w:r>
              <w:rPr>
                <w:rFonts w:hint="default" w:ascii="Times New Roman" w:hAnsi="Times New Roman" w:eastAsia="宋体" w:cs="Times New Roman"/>
                <w:color w:val="auto"/>
                <w:spacing w:val="-10"/>
                <w:sz w:val="20"/>
                <w:lang w:bidi="ar"/>
              </w:rPr>
              <w:t>有毒气体，易燃气体</w:t>
            </w:r>
          </w:p>
        </w:tc>
        <w:tc>
          <w:tcPr>
            <w:tcW w:w="3799" w:type="dxa"/>
            <w:tcBorders>
              <w:tl2br w:val="nil"/>
              <w:tr2bl w:val="nil"/>
            </w:tcBorders>
            <w:noWrap w:val="0"/>
            <w:vAlign w:val="center"/>
          </w:tcPr>
          <w:p w14:paraId="3D8BF6B3">
            <w:pPr>
              <w:keepNext w:val="0"/>
              <w:keepLines w:val="0"/>
              <w:pageBreakBefore w:val="0"/>
              <w:widowControl w:val="0"/>
              <w:kinsoku/>
              <w:wordWrap/>
              <w:overflowPunct/>
              <w:topLinePunct w:val="0"/>
              <w:autoSpaceDE/>
              <w:autoSpaceDN/>
              <w:bidi w:val="0"/>
              <w:adjustRightInd/>
              <w:snapToGrid/>
              <w:spacing w:beforeAutospacing="0" w:afterAutospacing="0" w:line="0" w:lineRule="atLeast"/>
              <w:jc w:val="center"/>
              <w:rPr>
                <w:bCs/>
                <w:color w:val="auto"/>
                <w:spacing w:val="-10"/>
                <w:kern w:val="24"/>
                <w:sz w:val="21"/>
                <w:szCs w:val="21"/>
              </w:rPr>
            </w:pPr>
            <w:r>
              <w:rPr>
                <w:bCs/>
                <w:color w:val="auto"/>
                <w:spacing w:val="-10"/>
                <w:kern w:val="24"/>
                <w:sz w:val="21"/>
                <w:szCs w:val="21"/>
              </w:rPr>
              <w:t>集输管线</w:t>
            </w:r>
            <w:r>
              <w:rPr>
                <w:rFonts w:hint="eastAsia"/>
                <w:bCs/>
                <w:color w:val="auto"/>
                <w:spacing w:val="-10"/>
                <w:kern w:val="24"/>
                <w:sz w:val="21"/>
                <w:szCs w:val="21"/>
                <w:lang w:val="en-US" w:eastAsia="zh-CN"/>
              </w:rPr>
              <w:t>、井场、站场</w:t>
            </w:r>
          </w:p>
        </w:tc>
      </w:tr>
      <w:tr w14:paraId="2ED8A9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407" w:type="pct"/>
            <w:tcBorders>
              <w:tl2br w:val="nil"/>
              <w:tr2bl w:val="nil"/>
            </w:tcBorders>
            <w:noWrap w:val="0"/>
            <w:vAlign w:val="center"/>
          </w:tcPr>
          <w:p w14:paraId="2785F8CD">
            <w:pPr>
              <w:pStyle w:val="33"/>
              <w:spacing w:line="0" w:lineRule="atLeast"/>
              <w:jc w:val="center"/>
              <w:rPr>
                <w:rFonts w:hint="default" w:ascii="Times New Roman" w:hAnsi="Times New Roman" w:cs="Times New Roman"/>
                <w:color w:val="auto"/>
                <w:spacing w:val="-10"/>
                <w:sz w:val="21"/>
                <w:szCs w:val="21"/>
                <w:lang w:val="en-US" w:eastAsia="zh-CN"/>
              </w:rPr>
            </w:pPr>
            <w:r>
              <w:rPr>
                <w:rFonts w:hint="eastAsia" w:ascii="Times New Roman" w:hAnsi="Times New Roman" w:cs="Times New Roman"/>
                <w:color w:val="auto"/>
                <w:spacing w:val="-10"/>
                <w:sz w:val="21"/>
                <w:szCs w:val="21"/>
                <w:lang w:val="en-US" w:eastAsia="zh-CN"/>
              </w:rPr>
              <w:t>4</w:t>
            </w:r>
          </w:p>
        </w:tc>
        <w:tc>
          <w:tcPr>
            <w:tcW w:w="1478" w:type="dxa"/>
            <w:tcBorders>
              <w:tl2br w:val="nil"/>
              <w:tr2bl w:val="nil"/>
            </w:tcBorders>
            <w:noWrap w:val="0"/>
            <w:vAlign w:val="center"/>
          </w:tcPr>
          <w:p w14:paraId="7700A558">
            <w:pPr>
              <w:keepNext w:val="0"/>
              <w:keepLines w:val="0"/>
              <w:pageBreakBefore w:val="0"/>
              <w:widowControl w:val="0"/>
              <w:kinsoku/>
              <w:wordWrap/>
              <w:overflowPunct/>
              <w:topLinePunct w:val="0"/>
              <w:autoSpaceDE/>
              <w:autoSpaceDN/>
              <w:bidi w:val="0"/>
              <w:adjustRightInd/>
              <w:snapToGrid/>
              <w:spacing w:beforeAutospacing="0" w:afterAutospacing="0" w:line="0" w:lineRule="atLeast"/>
              <w:jc w:val="center"/>
              <w:textAlignment w:val="center"/>
              <w:rPr>
                <w:rFonts w:hint="eastAsia" w:ascii="Times New Roman" w:hAnsi="Times New Roman" w:eastAsia="宋体" w:cs="Times New Roman"/>
                <w:color w:val="auto"/>
                <w:spacing w:val="-10"/>
                <w:sz w:val="20"/>
                <w:lang w:val="en-US" w:eastAsia="zh-CN"/>
              </w:rPr>
            </w:pPr>
            <w:r>
              <w:rPr>
                <w:rFonts w:hint="eastAsia" w:cs="Times New Roman"/>
                <w:color w:val="auto"/>
                <w:spacing w:val="-10"/>
                <w:sz w:val="20"/>
                <w:lang w:val="en-US" w:eastAsia="zh-CN"/>
              </w:rPr>
              <w:t>甲醇</w:t>
            </w:r>
          </w:p>
        </w:tc>
        <w:tc>
          <w:tcPr>
            <w:tcW w:w="2403" w:type="dxa"/>
            <w:tcBorders>
              <w:tl2br w:val="nil"/>
              <w:tr2bl w:val="nil"/>
            </w:tcBorders>
            <w:noWrap w:val="0"/>
            <w:vAlign w:val="center"/>
          </w:tcPr>
          <w:p w14:paraId="283DD7A1">
            <w:pPr>
              <w:keepNext w:val="0"/>
              <w:keepLines w:val="0"/>
              <w:pageBreakBefore w:val="0"/>
              <w:widowControl w:val="0"/>
              <w:kinsoku/>
              <w:wordWrap/>
              <w:overflowPunct/>
              <w:topLinePunct w:val="0"/>
              <w:autoSpaceDE/>
              <w:autoSpaceDN/>
              <w:bidi w:val="0"/>
              <w:adjustRightInd/>
              <w:snapToGrid/>
              <w:spacing w:beforeAutospacing="0" w:afterAutospacing="0" w:line="0" w:lineRule="atLeast"/>
              <w:jc w:val="center"/>
              <w:rPr>
                <w:rFonts w:hint="default" w:ascii="Times New Roman" w:hAnsi="Times New Roman" w:eastAsia="宋体" w:cs="Times New Roman"/>
                <w:color w:val="auto"/>
                <w:spacing w:val="-10"/>
                <w:sz w:val="20"/>
                <w:lang w:bidi="ar"/>
              </w:rPr>
            </w:pPr>
            <w:r>
              <w:rPr>
                <w:color w:val="auto"/>
                <w:spacing w:val="-10"/>
                <w:sz w:val="21"/>
                <w:szCs w:val="21"/>
              </w:rPr>
              <w:t>可燃液体</w:t>
            </w:r>
          </w:p>
        </w:tc>
        <w:tc>
          <w:tcPr>
            <w:tcW w:w="3799" w:type="dxa"/>
            <w:tcBorders>
              <w:tl2br w:val="nil"/>
              <w:tr2bl w:val="nil"/>
            </w:tcBorders>
            <w:noWrap w:val="0"/>
            <w:vAlign w:val="center"/>
          </w:tcPr>
          <w:p w14:paraId="4F4D263F">
            <w:pPr>
              <w:keepNext w:val="0"/>
              <w:keepLines w:val="0"/>
              <w:pageBreakBefore w:val="0"/>
              <w:widowControl w:val="0"/>
              <w:kinsoku/>
              <w:wordWrap/>
              <w:overflowPunct/>
              <w:topLinePunct w:val="0"/>
              <w:autoSpaceDE/>
              <w:autoSpaceDN/>
              <w:bidi w:val="0"/>
              <w:adjustRightInd/>
              <w:snapToGrid/>
              <w:spacing w:beforeAutospacing="0" w:afterAutospacing="0" w:line="0" w:lineRule="atLeast"/>
              <w:jc w:val="center"/>
              <w:rPr>
                <w:bCs/>
                <w:color w:val="auto"/>
                <w:spacing w:val="-10"/>
                <w:kern w:val="24"/>
                <w:sz w:val="21"/>
                <w:szCs w:val="21"/>
              </w:rPr>
            </w:pPr>
            <w:r>
              <w:rPr>
                <w:rFonts w:hint="eastAsia"/>
                <w:bCs/>
                <w:color w:val="auto"/>
                <w:spacing w:val="-10"/>
                <w:kern w:val="24"/>
                <w:sz w:val="21"/>
                <w:szCs w:val="21"/>
                <w:lang w:val="en-US" w:eastAsia="zh-CN"/>
              </w:rPr>
              <w:t>井场、站场</w:t>
            </w:r>
          </w:p>
        </w:tc>
      </w:tr>
    </w:tbl>
    <w:p w14:paraId="6375F33E">
      <w:pPr>
        <w:pStyle w:val="79"/>
        <w:bidi w:val="0"/>
        <w:rPr>
          <w:rFonts w:hint="default"/>
          <w:color w:val="auto"/>
          <w:lang w:val="en-US" w:eastAsia="zh-CN"/>
        </w:rPr>
      </w:pPr>
      <w:r>
        <w:rPr>
          <w:rFonts w:hint="default"/>
          <w:color w:val="auto"/>
          <w:lang w:val="en-US" w:eastAsia="zh-CN"/>
        </w:rPr>
        <w:t>（2）原油</w:t>
      </w:r>
    </w:p>
    <w:p w14:paraId="0F56117F">
      <w:pPr>
        <w:pStyle w:val="79"/>
        <w:bidi w:val="0"/>
        <w:rPr>
          <w:rFonts w:hint="default"/>
          <w:color w:val="auto"/>
          <w:lang w:val="en-US" w:eastAsia="zh-CN"/>
        </w:rPr>
      </w:pPr>
      <w:r>
        <w:rPr>
          <w:rFonts w:hint="default"/>
          <w:color w:val="auto"/>
          <w:lang w:val="en-US" w:eastAsia="zh-CN"/>
        </w:rPr>
        <w:t>原油理化性质、危险危害特性及防护措施，见表</w:t>
      </w:r>
      <w:r>
        <w:rPr>
          <w:rFonts w:hint="eastAsia"/>
          <w:color w:val="auto"/>
          <w:lang w:val="en-US" w:eastAsia="zh-CN"/>
        </w:rPr>
        <w:t>5.7-4</w:t>
      </w:r>
      <w:r>
        <w:rPr>
          <w:rFonts w:hint="default"/>
          <w:color w:val="auto"/>
          <w:lang w:val="en-US" w:eastAsia="zh-CN"/>
        </w:rPr>
        <w:t>。</w:t>
      </w:r>
    </w:p>
    <w:p w14:paraId="526DFE05">
      <w:pPr>
        <w:pStyle w:val="61"/>
        <w:bidi w:val="0"/>
        <w:jc w:val="both"/>
        <w:rPr>
          <w:rFonts w:hint="default"/>
          <w:color w:val="auto"/>
          <w:lang w:val="en-US" w:eastAsia="zh-CN"/>
        </w:rPr>
      </w:pPr>
      <w:r>
        <w:rPr>
          <w:rFonts w:hint="default"/>
          <w:color w:val="auto"/>
          <w:lang w:val="en-US" w:eastAsia="zh-CN"/>
        </w:rPr>
        <w:t>表</w:t>
      </w:r>
      <w:r>
        <w:rPr>
          <w:rFonts w:hint="eastAsia"/>
          <w:color w:val="auto"/>
          <w:lang w:val="en-US" w:eastAsia="zh-CN"/>
        </w:rPr>
        <w:t xml:space="preserve">5.7-4 </w:t>
      </w:r>
      <w:r>
        <w:rPr>
          <w:rFonts w:hint="default"/>
          <w:color w:val="auto"/>
          <w:lang w:val="en-US" w:eastAsia="zh-CN"/>
        </w:rPr>
        <w:t>原油理化性质、危险危害特性及防护措施表</w:t>
      </w:r>
    </w:p>
    <w:tbl>
      <w:tblPr>
        <w:tblStyle w:val="36"/>
        <w:tblW w:w="4931"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52"/>
        <w:gridCol w:w="8060"/>
      </w:tblGrid>
      <w:tr w14:paraId="009953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2" w:hRule="atLeast"/>
          <w:jc w:val="center"/>
        </w:trPr>
        <w:tc>
          <w:tcPr>
            <w:tcW w:w="374" w:type="pct"/>
            <w:tcBorders>
              <w:tl2br w:val="nil"/>
              <w:tr2bl w:val="nil"/>
            </w:tcBorders>
            <w:noWrap w:val="0"/>
            <w:vAlign w:val="center"/>
          </w:tcPr>
          <w:p w14:paraId="4F86CA3C">
            <w:pPr>
              <w:keepNext w:val="0"/>
              <w:keepLines w:val="0"/>
              <w:pageBreakBefore w:val="0"/>
              <w:widowControl/>
              <w:shd w:val="clear" w:color="auto" w:fill="FFFFFF"/>
              <w:kinsoku/>
              <w:wordWrap/>
              <w:overflowPunct w:val="0"/>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特别警示</w:t>
            </w:r>
          </w:p>
        </w:tc>
        <w:tc>
          <w:tcPr>
            <w:tcW w:w="4625" w:type="pct"/>
            <w:tcBorders>
              <w:tl2br w:val="nil"/>
              <w:tr2bl w:val="nil"/>
            </w:tcBorders>
            <w:noWrap w:val="0"/>
            <w:vAlign w:val="center"/>
          </w:tcPr>
          <w:p w14:paraId="1F0AD07D">
            <w:pPr>
              <w:keepNext w:val="0"/>
              <w:keepLines w:val="0"/>
              <w:pageBreakBefore w:val="0"/>
              <w:widowControl/>
              <w:shd w:val="clear" w:color="auto" w:fill="FFFFFF"/>
              <w:kinsoku/>
              <w:wordWrap/>
              <w:overflowPunct w:val="0"/>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易燃易爆</w:t>
            </w:r>
          </w:p>
        </w:tc>
      </w:tr>
      <w:tr w14:paraId="34E2ED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jc w:val="center"/>
        </w:trPr>
        <w:tc>
          <w:tcPr>
            <w:tcW w:w="374" w:type="pct"/>
            <w:tcBorders>
              <w:tl2br w:val="nil"/>
              <w:tr2bl w:val="nil"/>
            </w:tcBorders>
            <w:noWrap w:val="0"/>
            <w:vAlign w:val="center"/>
          </w:tcPr>
          <w:p w14:paraId="2F7221E3">
            <w:pPr>
              <w:keepNext w:val="0"/>
              <w:keepLines w:val="0"/>
              <w:pageBreakBefore w:val="0"/>
              <w:widowControl/>
              <w:shd w:val="clear" w:color="auto" w:fill="FFFFFF"/>
              <w:kinsoku/>
              <w:wordWrap/>
              <w:overflowPunct w:val="0"/>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理化特性</w:t>
            </w:r>
          </w:p>
        </w:tc>
        <w:tc>
          <w:tcPr>
            <w:tcW w:w="4625" w:type="pct"/>
            <w:tcBorders>
              <w:tl2br w:val="nil"/>
              <w:tr2bl w:val="nil"/>
            </w:tcBorders>
            <w:noWrap w:val="0"/>
            <w:vAlign w:val="center"/>
          </w:tcPr>
          <w:p w14:paraId="5B15EAC9">
            <w:pPr>
              <w:keepNext w:val="0"/>
              <w:keepLines w:val="0"/>
              <w:pageBreakBefore w:val="0"/>
              <w:widowControl/>
              <w:shd w:val="clear" w:color="auto" w:fill="FFFFFF"/>
              <w:kinsoku/>
              <w:wordWrap/>
              <w:overflowPunct w:val="0"/>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原油是指从原油田或者油田伴生天然气凝析出来的液相组分，又称天然汽油。其主要成分是C5至C11+烃类的混合物，并含有少量的大于C8的烃类以及二氧化硫、噻吩类、硫醇类、硫醚类和多硫化物等杂质，其馏分多在20℃-200℃之间，挥发性好，</w:t>
            </w:r>
          </w:p>
          <w:p w14:paraId="2937449E">
            <w:pPr>
              <w:keepNext w:val="0"/>
              <w:keepLines w:val="0"/>
              <w:pageBreakBefore w:val="0"/>
              <w:widowControl/>
              <w:shd w:val="clear" w:color="auto" w:fill="FFFFFF"/>
              <w:kinsoku/>
              <w:wordWrap/>
              <w:overflowPunct w:val="0"/>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〔主要用途〕是生产溶剂油优质的原料。</w:t>
            </w:r>
          </w:p>
        </w:tc>
      </w:tr>
      <w:tr w14:paraId="5BEF63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60" w:hRule="atLeast"/>
          <w:jc w:val="center"/>
        </w:trPr>
        <w:tc>
          <w:tcPr>
            <w:tcW w:w="374" w:type="pct"/>
            <w:tcBorders>
              <w:tl2br w:val="nil"/>
              <w:tr2bl w:val="nil"/>
            </w:tcBorders>
            <w:noWrap w:val="0"/>
            <w:vAlign w:val="center"/>
          </w:tcPr>
          <w:p w14:paraId="2CECF750">
            <w:pPr>
              <w:keepNext w:val="0"/>
              <w:keepLines w:val="0"/>
              <w:pageBreakBefore w:val="0"/>
              <w:widowControl/>
              <w:shd w:val="clear" w:color="auto" w:fill="FFFFFF"/>
              <w:kinsoku/>
              <w:wordWrap/>
              <w:overflowPunct w:val="0"/>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危</w:t>
            </w:r>
          </w:p>
          <w:p w14:paraId="69B0792F">
            <w:pPr>
              <w:keepNext w:val="0"/>
              <w:keepLines w:val="0"/>
              <w:pageBreakBefore w:val="0"/>
              <w:widowControl/>
              <w:shd w:val="clear" w:color="auto" w:fill="FFFFFF"/>
              <w:kinsoku/>
              <w:wordWrap/>
              <w:overflowPunct w:val="0"/>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害</w:t>
            </w:r>
          </w:p>
          <w:p w14:paraId="30B6BF4A">
            <w:pPr>
              <w:keepNext w:val="0"/>
              <w:keepLines w:val="0"/>
              <w:pageBreakBefore w:val="0"/>
              <w:widowControl/>
              <w:shd w:val="clear" w:color="auto" w:fill="FFFFFF"/>
              <w:kinsoku/>
              <w:wordWrap/>
              <w:overflowPunct w:val="0"/>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信</w:t>
            </w:r>
          </w:p>
          <w:p w14:paraId="2B9DB23A">
            <w:pPr>
              <w:keepNext w:val="0"/>
              <w:keepLines w:val="0"/>
              <w:pageBreakBefore w:val="0"/>
              <w:widowControl/>
              <w:shd w:val="clear" w:color="auto" w:fill="FFFFFF"/>
              <w:kinsoku/>
              <w:wordWrap/>
              <w:overflowPunct w:val="0"/>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息</w:t>
            </w:r>
          </w:p>
        </w:tc>
        <w:tc>
          <w:tcPr>
            <w:tcW w:w="4625" w:type="pct"/>
            <w:tcBorders>
              <w:tl2br w:val="nil"/>
              <w:tr2bl w:val="nil"/>
            </w:tcBorders>
            <w:noWrap w:val="0"/>
            <w:vAlign w:val="center"/>
          </w:tcPr>
          <w:p w14:paraId="77B27F81">
            <w:pPr>
              <w:keepNext w:val="0"/>
              <w:keepLines w:val="0"/>
              <w:pageBreakBefore w:val="0"/>
              <w:widowControl/>
              <w:shd w:val="clear" w:color="auto" w:fill="FFFFFF"/>
              <w:kinsoku/>
              <w:wordWrap/>
              <w:overflowPunct w:val="0"/>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color w:val="auto"/>
                <w:spacing w:val="-6"/>
                <w:kern w:val="2"/>
                <w:sz w:val="21"/>
                <w:szCs w:val="24"/>
                <w:highlight w:val="none"/>
                <w:u w:val="none"/>
                <w:lang w:val="en-US" w:eastAsia="zh-CN" w:bidi="ar-SA"/>
              </w:rPr>
            </w:pPr>
            <w:r>
              <w:rPr>
                <w:rFonts w:hint="default" w:ascii="Times New Roman" w:hAnsi="Times New Roman" w:eastAsia="宋体" w:cs="Times New Roman"/>
                <w:color w:val="auto"/>
                <w:spacing w:val="-6"/>
                <w:kern w:val="2"/>
                <w:sz w:val="21"/>
                <w:szCs w:val="24"/>
                <w:highlight w:val="none"/>
                <w:u w:val="none"/>
                <w:lang w:val="en-US" w:eastAsia="zh-CN" w:bidi="ar-SA"/>
              </w:rPr>
              <w:t>〔燃烧和爆炸危险性〕</w:t>
            </w:r>
          </w:p>
          <w:p w14:paraId="19DD98A3">
            <w:pPr>
              <w:keepNext w:val="0"/>
              <w:keepLines w:val="0"/>
              <w:pageBreakBefore w:val="0"/>
              <w:widowControl/>
              <w:shd w:val="clear" w:color="auto" w:fill="FFFFFF"/>
              <w:kinsoku/>
              <w:wordWrap/>
              <w:overflowPunct w:val="0"/>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color w:val="auto"/>
                <w:spacing w:val="-6"/>
                <w:kern w:val="2"/>
                <w:sz w:val="21"/>
                <w:szCs w:val="24"/>
                <w:highlight w:val="none"/>
                <w:u w:val="none"/>
                <w:lang w:val="en-US" w:eastAsia="zh-CN" w:bidi="ar-SA"/>
              </w:rPr>
            </w:pPr>
            <w:r>
              <w:rPr>
                <w:rFonts w:hint="default" w:ascii="Times New Roman" w:hAnsi="Times New Roman" w:eastAsia="宋体" w:cs="Times New Roman"/>
                <w:color w:val="auto"/>
                <w:spacing w:val="-6"/>
                <w:kern w:val="2"/>
                <w:sz w:val="21"/>
                <w:szCs w:val="24"/>
                <w:highlight w:val="none"/>
                <w:u w:val="none"/>
                <w:lang w:val="en-US" w:eastAsia="zh-CN" w:bidi="ar-SA"/>
              </w:rPr>
              <w:t>其蒸气与空气可形成爆炸性混合物，遇</w:t>
            </w:r>
            <w:r>
              <w:rPr>
                <w:rFonts w:hint="default" w:ascii="Times New Roman" w:hAnsi="Times New Roman" w:eastAsia="宋体" w:cs="Times New Roman"/>
                <w:color w:val="auto"/>
                <w:spacing w:val="-6"/>
                <w:kern w:val="2"/>
                <w:sz w:val="21"/>
                <w:szCs w:val="24"/>
                <w:highlight w:val="none"/>
                <w:u w:val="none"/>
                <w:lang w:val="en-US" w:eastAsia="zh-CN" w:bidi="ar-SA"/>
              </w:rPr>
              <w:fldChar w:fldCharType="begin"/>
            </w:r>
            <w:r>
              <w:rPr>
                <w:rFonts w:hint="default" w:ascii="Times New Roman" w:hAnsi="Times New Roman" w:eastAsia="宋体" w:cs="Times New Roman"/>
                <w:color w:val="auto"/>
                <w:spacing w:val="-6"/>
                <w:kern w:val="2"/>
                <w:sz w:val="21"/>
                <w:szCs w:val="24"/>
                <w:highlight w:val="none"/>
                <w:u w:val="none"/>
                <w:lang w:val="en-US" w:eastAsia="zh-CN" w:bidi="ar-SA"/>
              </w:rPr>
              <w:instrText xml:space="preserve"> HYPERLINK "http://baike.baidu.com/view/395.htm" \t "_blank" </w:instrText>
            </w:r>
            <w:r>
              <w:rPr>
                <w:rFonts w:hint="default" w:ascii="Times New Roman" w:hAnsi="Times New Roman" w:eastAsia="宋体" w:cs="Times New Roman"/>
                <w:color w:val="auto"/>
                <w:spacing w:val="-6"/>
                <w:kern w:val="2"/>
                <w:sz w:val="21"/>
                <w:szCs w:val="24"/>
                <w:highlight w:val="none"/>
                <w:u w:val="none"/>
                <w:lang w:val="en-US" w:eastAsia="zh-CN" w:bidi="ar-SA"/>
              </w:rPr>
              <w:fldChar w:fldCharType="separate"/>
            </w:r>
            <w:r>
              <w:rPr>
                <w:rFonts w:hint="default" w:ascii="Times New Roman" w:hAnsi="Times New Roman" w:eastAsia="宋体" w:cs="Times New Roman"/>
                <w:color w:val="auto"/>
                <w:spacing w:val="-6"/>
                <w:kern w:val="2"/>
                <w:sz w:val="21"/>
                <w:szCs w:val="24"/>
                <w:highlight w:val="none"/>
                <w:u w:val="none"/>
                <w:lang w:val="en-US" w:eastAsia="zh-CN" w:bidi="ar-SA"/>
              </w:rPr>
              <w:t>明火</w:t>
            </w:r>
            <w:r>
              <w:rPr>
                <w:rFonts w:hint="default" w:ascii="Times New Roman" w:hAnsi="Times New Roman" w:eastAsia="宋体" w:cs="Times New Roman"/>
                <w:color w:val="auto"/>
                <w:spacing w:val="-6"/>
                <w:kern w:val="2"/>
                <w:sz w:val="21"/>
                <w:szCs w:val="24"/>
                <w:highlight w:val="none"/>
                <w:u w:val="none"/>
                <w:lang w:val="en-US" w:eastAsia="zh-CN" w:bidi="ar-SA"/>
              </w:rPr>
              <w:fldChar w:fldCharType="end"/>
            </w:r>
            <w:r>
              <w:rPr>
                <w:rFonts w:hint="default" w:ascii="Times New Roman" w:hAnsi="Times New Roman" w:eastAsia="宋体" w:cs="Times New Roman"/>
                <w:color w:val="auto"/>
                <w:spacing w:val="-6"/>
                <w:kern w:val="2"/>
                <w:sz w:val="21"/>
                <w:szCs w:val="24"/>
                <w:highlight w:val="none"/>
                <w:u w:val="none"/>
                <w:lang w:val="en-US" w:eastAsia="zh-CN" w:bidi="ar-SA"/>
              </w:rPr>
              <w:t>、高热能引起燃烧爆炸。与氧化剂能发生强烈反应。其蒸气比空气重，能在较低处扩散到相当远的地方，遇火源会着火回燃。</w:t>
            </w:r>
          </w:p>
          <w:p w14:paraId="79B6D9F5">
            <w:pPr>
              <w:keepNext w:val="0"/>
              <w:keepLines w:val="0"/>
              <w:pageBreakBefore w:val="0"/>
              <w:widowControl/>
              <w:shd w:val="clear" w:color="auto" w:fill="FFFFFF"/>
              <w:kinsoku/>
              <w:wordWrap/>
              <w:overflowPunct w:val="0"/>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color w:val="auto"/>
                <w:spacing w:val="-6"/>
                <w:kern w:val="2"/>
                <w:sz w:val="21"/>
                <w:szCs w:val="24"/>
                <w:highlight w:val="none"/>
                <w:u w:val="none"/>
                <w:lang w:val="en-US" w:eastAsia="zh-CN" w:bidi="ar-SA"/>
              </w:rPr>
            </w:pPr>
            <w:r>
              <w:rPr>
                <w:rFonts w:hint="default" w:ascii="Times New Roman" w:hAnsi="Times New Roman" w:eastAsia="宋体" w:cs="Times New Roman"/>
                <w:color w:val="auto"/>
                <w:spacing w:val="-6"/>
                <w:kern w:val="2"/>
                <w:sz w:val="21"/>
                <w:szCs w:val="24"/>
                <w:highlight w:val="none"/>
                <w:u w:val="none"/>
                <w:lang w:val="en-US" w:eastAsia="zh-CN" w:bidi="ar-SA"/>
              </w:rPr>
              <w:t>〔健康危害〕</w:t>
            </w:r>
          </w:p>
          <w:p w14:paraId="0DCEACE8">
            <w:pPr>
              <w:keepNext w:val="0"/>
              <w:keepLines w:val="0"/>
              <w:pageBreakBefore w:val="0"/>
              <w:widowControl/>
              <w:shd w:val="clear" w:color="auto" w:fill="FFFFFF"/>
              <w:kinsoku/>
              <w:wordWrap/>
              <w:overflowPunct w:val="0"/>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color w:val="auto"/>
                <w:spacing w:val="-6"/>
                <w:kern w:val="2"/>
                <w:sz w:val="21"/>
                <w:szCs w:val="24"/>
                <w:highlight w:val="none"/>
                <w:u w:val="none"/>
                <w:lang w:val="en-US" w:eastAsia="zh-CN" w:bidi="ar-SA"/>
              </w:rPr>
            </w:pPr>
            <w:r>
              <w:rPr>
                <w:rFonts w:hint="default" w:ascii="Times New Roman" w:hAnsi="Times New Roman" w:eastAsia="宋体" w:cs="Times New Roman"/>
                <w:color w:val="auto"/>
                <w:spacing w:val="-6"/>
                <w:kern w:val="2"/>
                <w:sz w:val="21"/>
                <w:szCs w:val="24"/>
                <w:highlight w:val="none"/>
                <w:u w:val="none"/>
                <w:lang w:val="en-US" w:eastAsia="zh-CN" w:bidi="ar-SA"/>
              </w:rPr>
              <w:t>蒸气可引起眼及</w:t>
            </w:r>
            <w:r>
              <w:rPr>
                <w:rFonts w:hint="default" w:ascii="Times New Roman" w:hAnsi="Times New Roman" w:eastAsia="宋体" w:cs="Times New Roman"/>
                <w:color w:val="auto"/>
                <w:spacing w:val="-6"/>
                <w:kern w:val="2"/>
                <w:sz w:val="21"/>
                <w:szCs w:val="24"/>
                <w:highlight w:val="none"/>
                <w:u w:val="none"/>
                <w:lang w:val="en-US" w:eastAsia="zh-CN" w:bidi="ar-SA"/>
              </w:rPr>
              <w:fldChar w:fldCharType="begin"/>
            </w:r>
            <w:r>
              <w:rPr>
                <w:rFonts w:hint="default" w:ascii="Times New Roman" w:hAnsi="Times New Roman" w:eastAsia="宋体" w:cs="Times New Roman"/>
                <w:color w:val="auto"/>
                <w:spacing w:val="-6"/>
                <w:kern w:val="2"/>
                <w:sz w:val="21"/>
                <w:szCs w:val="24"/>
                <w:highlight w:val="none"/>
                <w:u w:val="none"/>
                <w:lang w:val="en-US" w:eastAsia="zh-CN" w:bidi="ar-SA"/>
              </w:rPr>
              <w:instrText xml:space="preserve"> HYPERLINK "http://baike.baidu.com/view/1696623.htm" \t "_blank" </w:instrText>
            </w:r>
            <w:r>
              <w:rPr>
                <w:rFonts w:hint="default" w:ascii="Times New Roman" w:hAnsi="Times New Roman" w:eastAsia="宋体" w:cs="Times New Roman"/>
                <w:color w:val="auto"/>
                <w:spacing w:val="-6"/>
                <w:kern w:val="2"/>
                <w:sz w:val="21"/>
                <w:szCs w:val="24"/>
                <w:highlight w:val="none"/>
                <w:u w:val="none"/>
                <w:lang w:val="en-US" w:eastAsia="zh-CN" w:bidi="ar-SA"/>
              </w:rPr>
              <w:fldChar w:fldCharType="separate"/>
            </w:r>
            <w:r>
              <w:rPr>
                <w:rFonts w:hint="default" w:ascii="Times New Roman" w:hAnsi="Times New Roman" w:eastAsia="宋体" w:cs="Times New Roman"/>
                <w:color w:val="auto"/>
                <w:spacing w:val="-6"/>
                <w:kern w:val="2"/>
                <w:sz w:val="21"/>
                <w:szCs w:val="24"/>
                <w:highlight w:val="none"/>
                <w:u w:val="none"/>
                <w:lang w:val="en-US" w:eastAsia="zh-CN" w:bidi="ar-SA"/>
              </w:rPr>
              <w:t>上呼吸道</w:t>
            </w:r>
            <w:r>
              <w:rPr>
                <w:rFonts w:hint="default" w:ascii="Times New Roman" w:hAnsi="Times New Roman" w:eastAsia="宋体" w:cs="Times New Roman"/>
                <w:color w:val="auto"/>
                <w:spacing w:val="-6"/>
                <w:kern w:val="2"/>
                <w:sz w:val="21"/>
                <w:szCs w:val="24"/>
                <w:highlight w:val="none"/>
                <w:u w:val="none"/>
                <w:lang w:val="en-US" w:eastAsia="zh-CN" w:bidi="ar-SA"/>
              </w:rPr>
              <w:fldChar w:fldCharType="end"/>
            </w:r>
            <w:r>
              <w:rPr>
                <w:rFonts w:hint="default" w:ascii="Times New Roman" w:hAnsi="Times New Roman" w:eastAsia="宋体" w:cs="Times New Roman"/>
                <w:color w:val="auto"/>
                <w:spacing w:val="-6"/>
                <w:kern w:val="2"/>
                <w:sz w:val="21"/>
                <w:szCs w:val="24"/>
                <w:highlight w:val="none"/>
                <w:u w:val="none"/>
                <w:lang w:val="en-US" w:eastAsia="zh-CN" w:bidi="ar-SA"/>
              </w:rPr>
              <w:t>刺激症状，如浓度过高，几分钟即可引起</w:t>
            </w:r>
            <w:r>
              <w:rPr>
                <w:rFonts w:hint="default" w:ascii="Times New Roman" w:hAnsi="Times New Roman" w:eastAsia="宋体" w:cs="Times New Roman"/>
                <w:color w:val="auto"/>
                <w:spacing w:val="-6"/>
                <w:kern w:val="2"/>
                <w:sz w:val="21"/>
                <w:szCs w:val="24"/>
                <w:highlight w:val="none"/>
                <w:u w:val="none"/>
                <w:lang w:val="en-US" w:eastAsia="zh-CN" w:bidi="ar-SA"/>
              </w:rPr>
              <w:fldChar w:fldCharType="begin"/>
            </w:r>
            <w:r>
              <w:rPr>
                <w:rFonts w:hint="default" w:ascii="Times New Roman" w:hAnsi="Times New Roman" w:eastAsia="宋体" w:cs="Times New Roman"/>
                <w:color w:val="auto"/>
                <w:spacing w:val="-6"/>
                <w:kern w:val="2"/>
                <w:sz w:val="21"/>
                <w:szCs w:val="24"/>
                <w:highlight w:val="none"/>
                <w:u w:val="none"/>
                <w:lang w:val="en-US" w:eastAsia="zh-CN" w:bidi="ar-SA"/>
              </w:rPr>
              <w:instrText xml:space="preserve"> HYPERLINK "http://baike.baidu.com/view/140763.htm" \t "_blank" </w:instrText>
            </w:r>
            <w:r>
              <w:rPr>
                <w:rFonts w:hint="default" w:ascii="Times New Roman" w:hAnsi="Times New Roman" w:eastAsia="宋体" w:cs="Times New Roman"/>
                <w:color w:val="auto"/>
                <w:spacing w:val="-6"/>
                <w:kern w:val="2"/>
                <w:sz w:val="21"/>
                <w:szCs w:val="24"/>
                <w:highlight w:val="none"/>
                <w:u w:val="none"/>
                <w:lang w:val="en-US" w:eastAsia="zh-CN" w:bidi="ar-SA"/>
              </w:rPr>
              <w:fldChar w:fldCharType="separate"/>
            </w:r>
            <w:r>
              <w:rPr>
                <w:rFonts w:hint="default" w:ascii="Times New Roman" w:hAnsi="Times New Roman" w:eastAsia="宋体" w:cs="Times New Roman"/>
                <w:color w:val="auto"/>
                <w:spacing w:val="-6"/>
                <w:kern w:val="2"/>
                <w:sz w:val="21"/>
                <w:szCs w:val="24"/>
                <w:highlight w:val="none"/>
                <w:u w:val="none"/>
                <w:lang w:val="en-US" w:eastAsia="zh-CN" w:bidi="ar-SA"/>
              </w:rPr>
              <w:t>呼吸困难</w:t>
            </w:r>
            <w:r>
              <w:rPr>
                <w:rFonts w:hint="default" w:ascii="Times New Roman" w:hAnsi="Times New Roman" w:eastAsia="宋体" w:cs="Times New Roman"/>
                <w:color w:val="auto"/>
                <w:spacing w:val="-6"/>
                <w:kern w:val="2"/>
                <w:sz w:val="21"/>
                <w:szCs w:val="24"/>
                <w:highlight w:val="none"/>
                <w:u w:val="none"/>
                <w:lang w:val="en-US" w:eastAsia="zh-CN" w:bidi="ar-SA"/>
              </w:rPr>
              <w:fldChar w:fldCharType="end"/>
            </w:r>
            <w:r>
              <w:rPr>
                <w:rFonts w:hint="default" w:ascii="Times New Roman" w:hAnsi="Times New Roman" w:eastAsia="宋体" w:cs="Times New Roman"/>
                <w:color w:val="auto"/>
                <w:spacing w:val="-6"/>
                <w:kern w:val="2"/>
                <w:sz w:val="21"/>
                <w:szCs w:val="24"/>
                <w:highlight w:val="none"/>
                <w:u w:val="none"/>
                <w:lang w:val="en-US" w:eastAsia="zh-CN" w:bidi="ar-SA"/>
              </w:rPr>
              <w:t>、紫绀等</w:t>
            </w:r>
            <w:r>
              <w:rPr>
                <w:rFonts w:hint="default" w:ascii="Times New Roman" w:hAnsi="Times New Roman" w:eastAsia="宋体" w:cs="Times New Roman"/>
                <w:color w:val="auto"/>
                <w:spacing w:val="-6"/>
                <w:kern w:val="2"/>
                <w:sz w:val="21"/>
                <w:szCs w:val="24"/>
                <w:highlight w:val="none"/>
                <w:u w:val="none"/>
                <w:lang w:val="en-US" w:eastAsia="zh-CN" w:bidi="ar-SA"/>
              </w:rPr>
              <w:fldChar w:fldCharType="begin"/>
            </w:r>
            <w:r>
              <w:rPr>
                <w:rFonts w:hint="default" w:ascii="Times New Roman" w:hAnsi="Times New Roman" w:eastAsia="宋体" w:cs="Times New Roman"/>
                <w:color w:val="auto"/>
                <w:spacing w:val="-6"/>
                <w:kern w:val="2"/>
                <w:sz w:val="21"/>
                <w:szCs w:val="24"/>
                <w:highlight w:val="none"/>
                <w:u w:val="none"/>
                <w:lang w:val="en-US" w:eastAsia="zh-CN" w:bidi="ar-SA"/>
              </w:rPr>
              <w:instrText xml:space="preserve"> HYPERLINK "http://baike.baidu.com/view/640930.htm" \t "_blank" </w:instrText>
            </w:r>
            <w:r>
              <w:rPr>
                <w:rFonts w:hint="default" w:ascii="Times New Roman" w:hAnsi="Times New Roman" w:eastAsia="宋体" w:cs="Times New Roman"/>
                <w:color w:val="auto"/>
                <w:spacing w:val="-6"/>
                <w:kern w:val="2"/>
                <w:sz w:val="21"/>
                <w:szCs w:val="24"/>
                <w:highlight w:val="none"/>
                <w:u w:val="none"/>
                <w:lang w:val="en-US" w:eastAsia="zh-CN" w:bidi="ar-SA"/>
              </w:rPr>
              <w:fldChar w:fldCharType="separate"/>
            </w:r>
            <w:r>
              <w:rPr>
                <w:rFonts w:hint="default" w:ascii="Times New Roman" w:hAnsi="Times New Roman" w:eastAsia="宋体" w:cs="Times New Roman"/>
                <w:color w:val="auto"/>
                <w:spacing w:val="-6"/>
                <w:kern w:val="2"/>
                <w:sz w:val="21"/>
                <w:szCs w:val="24"/>
                <w:highlight w:val="none"/>
                <w:u w:val="none"/>
                <w:lang w:val="en-US" w:eastAsia="zh-CN" w:bidi="ar-SA"/>
              </w:rPr>
              <w:t>缺氧症状</w:t>
            </w:r>
            <w:r>
              <w:rPr>
                <w:rFonts w:hint="default" w:ascii="Times New Roman" w:hAnsi="Times New Roman" w:eastAsia="宋体" w:cs="Times New Roman"/>
                <w:color w:val="auto"/>
                <w:spacing w:val="-6"/>
                <w:kern w:val="2"/>
                <w:sz w:val="21"/>
                <w:szCs w:val="24"/>
                <w:highlight w:val="none"/>
                <w:u w:val="none"/>
                <w:lang w:val="en-US" w:eastAsia="zh-CN" w:bidi="ar-SA"/>
              </w:rPr>
              <w:fldChar w:fldCharType="end"/>
            </w:r>
            <w:r>
              <w:rPr>
                <w:rFonts w:hint="default" w:ascii="Times New Roman" w:hAnsi="Times New Roman" w:eastAsia="宋体" w:cs="Times New Roman"/>
                <w:color w:val="auto"/>
                <w:spacing w:val="-6"/>
                <w:kern w:val="2"/>
                <w:sz w:val="21"/>
                <w:szCs w:val="24"/>
                <w:highlight w:val="none"/>
                <w:u w:val="none"/>
                <w:lang w:val="en-US" w:eastAsia="zh-CN" w:bidi="ar-SA"/>
              </w:rPr>
              <w:t>。</w:t>
            </w:r>
          </w:p>
        </w:tc>
      </w:tr>
      <w:tr w14:paraId="70AD03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9" w:hRule="atLeast"/>
          <w:jc w:val="center"/>
        </w:trPr>
        <w:tc>
          <w:tcPr>
            <w:tcW w:w="374" w:type="pct"/>
            <w:tcBorders>
              <w:tl2br w:val="nil"/>
              <w:tr2bl w:val="nil"/>
            </w:tcBorders>
            <w:noWrap w:val="0"/>
            <w:vAlign w:val="center"/>
          </w:tcPr>
          <w:p w14:paraId="2ADA7142">
            <w:pPr>
              <w:keepNext w:val="0"/>
              <w:keepLines w:val="0"/>
              <w:pageBreakBefore w:val="0"/>
              <w:widowControl/>
              <w:shd w:val="clear" w:color="auto" w:fill="FFFFFF"/>
              <w:kinsoku/>
              <w:wordWrap/>
              <w:overflowPunct w:val="0"/>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安</w:t>
            </w:r>
          </w:p>
          <w:p w14:paraId="396FF16E">
            <w:pPr>
              <w:keepNext w:val="0"/>
              <w:keepLines w:val="0"/>
              <w:pageBreakBefore w:val="0"/>
              <w:widowControl/>
              <w:shd w:val="clear" w:color="auto" w:fill="FFFFFF"/>
              <w:kinsoku/>
              <w:wordWrap/>
              <w:overflowPunct w:val="0"/>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全</w:t>
            </w:r>
          </w:p>
          <w:p w14:paraId="546777F4">
            <w:pPr>
              <w:keepNext w:val="0"/>
              <w:keepLines w:val="0"/>
              <w:pageBreakBefore w:val="0"/>
              <w:widowControl/>
              <w:shd w:val="clear" w:color="auto" w:fill="FFFFFF"/>
              <w:kinsoku/>
              <w:wordWrap/>
              <w:overflowPunct w:val="0"/>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措</w:t>
            </w:r>
          </w:p>
          <w:p w14:paraId="12BA69D3">
            <w:pPr>
              <w:keepNext w:val="0"/>
              <w:keepLines w:val="0"/>
              <w:pageBreakBefore w:val="0"/>
              <w:widowControl/>
              <w:shd w:val="clear" w:color="auto" w:fill="FFFFFF"/>
              <w:kinsoku/>
              <w:wordWrap/>
              <w:overflowPunct w:val="0"/>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施</w:t>
            </w:r>
          </w:p>
        </w:tc>
        <w:tc>
          <w:tcPr>
            <w:tcW w:w="4625" w:type="pct"/>
            <w:tcBorders>
              <w:tl2br w:val="nil"/>
              <w:tr2bl w:val="nil"/>
            </w:tcBorders>
            <w:noWrap w:val="0"/>
            <w:vAlign w:val="center"/>
          </w:tcPr>
          <w:p w14:paraId="024E7F77">
            <w:pPr>
              <w:keepNext w:val="0"/>
              <w:keepLines w:val="0"/>
              <w:pageBreakBefore w:val="0"/>
              <w:widowControl/>
              <w:shd w:val="clear" w:color="auto" w:fill="FFFFFF"/>
              <w:kinsoku/>
              <w:wordWrap/>
              <w:overflowPunct w:val="0"/>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color w:val="auto"/>
                <w:spacing w:val="-6"/>
                <w:kern w:val="2"/>
                <w:sz w:val="21"/>
                <w:szCs w:val="24"/>
                <w:highlight w:val="none"/>
                <w:u w:val="none"/>
                <w:lang w:val="en-US" w:eastAsia="zh-CN" w:bidi="ar-SA"/>
              </w:rPr>
            </w:pPr>
            <w:r>
              <w:rPr>
                <w:rFonts w:hint="default" w:ascii="Times New Roman" w:hAnsi="Times New Roman" w:eastAsia="宋体" w:cs="Times New Roman"/>
                <w:color w:val="auto"/>
                <w:spacing w:val="-6"/>
                <w:kern w:val="2"/>
                <w:sz w:val="21"/>
                <w:szCs w:val="24"/>
                <w:highlight w:val="none"/>
                <w:u w:val="none"/>
                <w:lang w:val="en-US" w:eastAsia="zh-CN" w:bidi="ar-SA"/>
              </w:rPr>
              <w:t>〔操作安全〕</w:t>
            </w:r>
          </w:p>
          <w:p w14:paraId="7C7E27EC">
            <w:pPr>
              <w:keepNext w:val="0"/>
              <w:keepLines w:val="0"/>
              <w:pageBreakBefore w:val="0"/>
              <w:widowControl/>
              <w:shd w:val="clear" w:color="auto" w:fill="FFFFFF"/>
              <w:kinsoku/>
              <w:wordWrap/>
              <w:overflowPunct w:val="0"/>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color w:val="auto"/>
                <w:spacing w:val="-6"/>
                <w:kern w:val="2"/>
                <w:sz w:val="21"/>
                <w:szCs w:val="24"/>
                <w:highlight w:val="none"/>
                <w:u w:val="none"/>
                <w:lang w:val="en-US" w:eastAsia="zh-CN" w:bidi="ar-SA"/>
              </w:rPr>
            </w:pPr>
            <w:r>
              <w:rPr>
                <w:rFonts w:hint="default" w:ascii="Times New Roman" w:hAnsi="Times New Roman" w:eastAsia="宋体" w:cs="Times New Roman"/>
                <w:color w:val="auto"/>
                <w:spacing w:val="-6"/>
                <w:kern w:val="2"/>
                <w:sz w:val="21"/>
                <w:szCs w:val="24"/>
                <w:highlight w:val="none"/>
                <w:u w:val="none"/>
                <w:lang w:val="en-US" w:eastAsia="zh-CN" w:bidi="ar-SA"/>
              </w:rPr>
              <w:t>密闭操作，注意通风。操作人员必须经过专门培训，严格遵守操作规程。建议操作人员佩戴自吸过滤式防毒面具（半面罩），戴化学安全防护眼镜，穿防静电工作服，戴橡胶耐油手套。远离火种、热源，工作场所严禁吸烟。使用防爆型的通风系统和设备。防止蒸气泄漏到工作场所空气中。避免与氧化剂、还原剂、碱类接触。灌装时应控制流速，且有接地装置，防止静电积聚。搬运时要轻装轻卸，防止包装及容器损坏。配备相应品种和数量的消防器材及泄漏应急处理设备。倒空的容器可能残留有害物。</w:t>
            </w:r>
          </w:p>
          <w:p w14:paraId="1F45F202">
            <w:pPr>
              <w:keepNext w:val="0"/>
              <w:keepLines w:val="0"/>
              <w:pageBreakBefore w:val="0"/>
              <w:widowControl/>
              <w:shd w:val="clear" w:color="auto" w:fill="FFFFFF"/>
              <w:kinsoku/>
              <w:wordWrap/>
              <w:overflowPunct w:val="0"/>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color w:val="auto"/>
                <w:spacing w:val="-6"/>
                <w:kern w:val="2"/>
                <w:sz w:val="21"/>
                <w:szCs w:val="24"/>
                <w:highlight w:val="none"/>
                <w:u w:val="none"/>
                <w:lang w:val="en-US" w:eastAsia="zh-CN" w:bidi="ar-SA"/>
              </w:rPr>
            </w:pPr>
            <w:r>
              <w:rPr>
                <w:rFonts w:hint="default" w:ascii="Times New Roman" w:hAnsi="Times New Roman" w:eastAsia="宋体" w:cs="Times New Roman"/>
                <w:color w:val="auto"/>
                <w:spacing w:val="-6"/>
                <w:kern w:val="2"/>
                <w:sz w:val="21"/>
                <w:szCs w:val="24"/>
                <w:highlight w:val="none"/>
                <w:u w:val="none"/>
                <w:lang w:val="en-US" w:eastAsia="zh-CN" w:bidi="ar-SA"/>
              </w:rPr>
              <w:t>〔储存安全〕</w:t>
            </w:r>
          </w:p>
          <w:p w14:paraId="74BBAC6B">
            <w:pPr>
              <w:keepNext w:val="0"/>
              <w:keepLines w:val="0"/>
              <w:pageBreakBefore w:val="0"/>
              <w:widowControl/>
              <w:shd w:val="clear" w:color="auto" w:fill="FFFFFF"/>
              <w:kinsoku/>
              <w:wordWrap/>
              <w:overflowPunct w:val="0"/>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color w:val="auto"/>
                <w:spacing w:val="-6"/>
                <w:kern w:val="2"/>
                <w:sz w:val="21"/>
                <w:szCs w:val="24"/>
                <w:highlight w:val="none"/>
                <w:u w:val="none"/>
                <w:lang w:val="en-US" w:eastAsia="zh-CN" w:bidi="ar-SA"/>
              </w:rPr>
            </w:pPr>
            <w:r>
              <w:rPr>
                <w:rFonts w:hint="default" w:ascii="Times New Roman" w:hAnsi="Times New Roman" w:eastAsia="宋体" w:cs="Times New Roman"/>
                <w:color w:val="auto"/>
                <w:spacing w:val="-6"/>
                <w:kern w:val="2"/>
                <w:sz w:val="21"/>
                <w:szCs w:val="24"/>
                <w:highlight w:val="none"/>
                <w:u w:val="none"/>
                <w:lang w:val="en-US" w:eastAsia="zh-CN" w:bidi="ar-SA"/>
              </w:rPr>
              <w:t>储存于阴凉、通风的</w:t>
            </w:r>
            <w:r>
              <w:rPr>
                <w:rFonts w:hint="default" w:ascii="Times New Roman" w:hAnsi="Times New Roman" w:eastAsia="宋体" w:cs="Times New Roman"/>
                <w:color w:val="auto"/>
                <w:spacing w:val="-6"/>
                <w:kern w:val="2"/>
                <w:sz w:val="21"/>
                <w:szCs w:val="24"/>
                <w:highlight w:val="none"/>
                <w:u w:val="none"/>
                <w:lang w:val="en-US" w:eastAsia="zh-CN" w:bidi="ar-SA"/>
              </w:rPr>
              <w:fldChar w:fldCharType="begin"/>
            </w:r>
            <w:r>
              <w:rPr>
                <w:rFonts w:hint="default" w:ascii="Times New Roman" w:hAnsi="Times New Roman" w:eastAsia="宋体" w:cs="Times New Roman"/>
                <w:color w:val="auto"/>
                <w:spacing w:val="-6"/>
                <w:kern w:val="2"/>
                <w:sz w:val="21"/>
                <w:szCs w:val="24"/>
                <w:highlight w:val="none"/>
                <w:u w:val="none"/>
                <w:lang w:val="en-US" w:eastAsia="zh-CN" w:bidi="ar-SA"/>
              </w:rPr>
              <w:instrText xml:space="preserve"> HYPERLINK "http://baike.baidu.com/view/355779.htm" \t "_blank" </w:instrText>
            </w:r>
            <w:r>
              <w:rPr>
                <w:rFonts w:hint="default" w:ascii="Times New Roman" w:hAnsi="Times New Roman" w:eastAsia="宋体" w:cs="Times New Roman"/>
                <w:color w:val="auto"/>
                <w:spacing w:val="-6"/>
                <w:kern w:val="2"/>
                <w:sz w:val="21"/>
                <w:szCs w:val="24"/>
                <w:highlight w:val="none"/>
                <w:u w:val="none"/>
                <w:lang w:val="en-US" w:eastAsia="zh-CN" w:bidi="ar-SA"/>
              </w:rPr>
              <w:fldChar w:fldCharType="separate"/>
            </w:r>
            <w:r>
              <w:rPr>
                <w:rFonts w:hint="default" w:ascii="Times New Roman" w:hAnsi="Times New Roman" w:eastAsia="宋体" w:cs="Times New Roman"/>
                <w:color w:val="auto"/>
                <w:spacing w:val="-6"/>
                <w:kern w:val="2"/>
                <w:sz w:val="21"/>
                <w:szCs w:val="24"/>
                <w:highlight w:val="none"/>
                <w:u w:val="none"/>
                <w:lang w:val="en-US" w:eastAsia="zh-CN" w:bidi="ar-SA"/>
              </w:rPr>
              <w:t>库房</w:t>
            </w:r>
            <w:r>
              <w:rPr>
                <w:rFonts w:hint="default" w:ascii="Times New Roman" w:hAnsi="Times New Roman" w:eastAsia="宋体" w:cs="Times New Roman"/>
                <w:color w:val="auto"/>
                <w:spacing w:val="-6"/>
                <w:kern w:val="2"/>
                <w:sz w:val="21"/>
                <w:szCs w:val="24"/>
                <w:highlight w:val="none"/>
                <w:u w:val="none"/>
                <w:lang w:val="en-US" w:eastAsia="zh-CN" w:bidi="ar-SA"/>
              </w:rPr>
              <w:fldChar w:fldCharType="end"/>
            </w:r>
            <w:r>
              <w:rPr>
                <w:rFonts w:hint="default" w:ascii="Times New Roman" w:hAnsi="Times New Roman" w:eastAsia="宋体" w:cs="Times New Roman"/>
                <w:color w:val="auto"/>
                <w:spacing w:val="-6"/>
                <w:kern w:val="2"/>
                <w:sz w:val="21"/>
                <w:szCs w:val="24"/>
                <w:highlight w:val="none"/>
                <w:u w:val="none"/>
                <w:lang w:val="en-US" w:eastAsia="zh-CN" w:bidi="ar-SA"/>
              </w:rPr>
              <w:t>。远离</w:t>
            </w:r>
            <w:r>
              <w:rPr>
                <w:rFonts w:hint="default" w:ascii="Times New Roman" w:hAnsi="Times New Roman" w:eastAsia="宋体" w:cs="Times New Roman"/>
                <w:color w:val="auto"/>
                <w:spacing w:val="-6"/>
                <w:kern w:val="2"/>
                <w:sz w:val="21"/>
                <w:szCs w:val="24"/>
                <w:highlight w:val="none"/>
                <w:u w:val="none"/>
                <w:lang w:val="en-US" w:eastAsia="zh-CN" w:bidi="ar-SA"/>
              </w:rPr>
              <w:fldChar w:fldCharType="begin"/>
            </w:r>
            <w:r>
              <w:rPr>
                <w:rFonts w:hint="default" w:ascii="Times New Roman" w:hAnsi="Times New Roman" w:eastAsia="宋体" w:cs="Times New Roman"/>
                <w:color w:val="auto"/>
                <w:spacing w:val="-6"/>
                <w:kern w:val="2"/>
                <w:sz w:val="21"/>
                <w:szCs w:val="24"/>
                <w:highlight w:val="none"/>
                <w:u w:val="none"/>
                <w:lang w:val="en-US" w:eastAsia="zh-CN" w:bidi="ar-SA"/>
              </w:rPr>
              <w:instrText xml:space="preserve"> HYPERLINK "http://baike.baidu.com/view/392145.htm" \t "_blank" </w:instrText>
            </w:r>
            <w:r>
              <w:rPr>
                <w:rFonts w:hint="default" w:ascii="Times New Roman" w:hAnsi="Times New Roman" w:eastAsia="宋体" w:cs="Times New Roman"/>
                <w:color w:val="auto"/>
                <w:spacing w:val="-6"/>
                <w:kern w:val="2"/>
                <w:sz w:val="21"/>
                <w:szCs w:val="24"/>
                <w:highlight w:val="none"/>
                <w:u w:val="none"/>
                <w:lang w:val="en-US" w:eastAsia="zh-CN" w:bidi="ar-SA"/>
              </w:rPr>
              <w:fldChar w:fldCharType="separate"/>
            </w:r>
            <w:r>
              <w:rPr>
                <w:rFonts w:hint="default" w:ascii="Times New Roman" w:hAnsi="Times New Roman" w:eastAsia="宋体" w:cs="Times New Roman"/>
                <w:color w:val="auto"/>
                <w:spacing w:val="-6"/>
                <w:kern w:val="2"/>
                <w:sz w:val="21"/>
                <w:szCs w:val="24"/>
                <w:highlight w:val="none"/>
                <w:u w:val="none"/>
                <w:lang w:val="en-US" w:eastAsia="zh-CN" w:bidi="ar-SA"/>
              </w:rPr>
              <w:t>火种</w:t>
            </w:r>
            <w:r>
              <w:rPr>
                <w:rFonts w:hint="default" w:ascii="Times New Roman" w:hAnsi="Times New Roman" w:eastAsia="宋体" w:cs="Times New Roman"/>
                <w:color w:val="auto"/>
                <w:spacing w:val="-6"/>
                <w:kern w:val="2"/>
                <w:sz w:val="21"/>
                <w:szCs w:val="24"/>
                <w:highlight w:val="none"/>
                <w:u w:val="none"/>
                <w:lang w:val="en-US" w:eastAsia="zh-CN" w:bidi="ar-SA"/>
              </w:rPr>
              <w:fldChar w:fldCharType="end"/>
            </w:r>
            <w:r>
              <w:rPr>
                <w:rFonts w:hint="default" w:ascii="Times New Roman" w:hAnsi="Times New Roman" w:eastAsia="宋体" w:cs="Times New Roman"/>
                <w:color w:val="auto"/>
                <w:spacing w:val="-6"/>
                <w:kern w:val="2"/>
                <w:sz w:val="21"/>
                <w:szCs w:val="24"/>
                <w:highlight w:val="none"/>
                <w:u w:val="none"/>
                <w:lang w:val="en-US" w:eastAsia="zh-CN" w:bidi="ar-SA"/>
              </w:rPr>
              <w:t>、热源。库温不宜超过30℃。保持容器密封。应与氧化剂分开存放，切忌混储。采用防爆型照明、通风设施。禁止使用易产生火花的机械设备和工具。储区应备有</w:t>
            </w:r>
            <w:r>
              <w:rPr>
                <w:rFonts w:hint="default" w:ascii="Times New Roman" w:hAnsi="Times New Roman" w:eastAsia="宋体" w:cs="Times New Roman"/>
                <w:color w:val="auto"/>
                <w:spacing w:val="-6"/>
                <w:kern w:val="2"/>
                <w:sz w:val="21"/>
                <w:szCs w:val="24"/>
                <w:highlight w:val="none"/>
                <w:u w:val="none"/>
                <w:lang w:val="en-US" w:eastAsia="zh-CN" w:bidi="ar-SA"/>
              </w:rPr>
              <w:fldChar w:fldCharType="begin"/>
            </w:r>
            <w:r>
              <w:rPr>
                <w:rFonts w:hint="default" w:ascii="Times New Roman" w:hAnsi="Times New Roman" w:eastAsia="宋体" w:cs="Times New Roman"/>
                <w:color w:val="auto"/>
                <w:spacing w:val="-6"/>
                <w:kern w:val="2"/>
                <w:sz w:val="21"/>
                <w:szCs w:val="24"/>
                <w:highlight w:val="none"/>
                <w:u w:val="none"/>
                <w:lang w:val="en-US" w:eastAsia="zh-CN" w:bidi="ar-SA"/>
              </w:rPr>
              <w:instrText xml:space="preserve"> HYPERLINK "http://baike.baidu.com/view/2840907.htm" \t "_blank" </w:instrText>
            </w:r>
            <w:r>
              <w:rPr>
                <w:rFonts w:hint="default" w:ascii="Times New Roman" w:hAnsi="Times New Roman" w:eastAsia="宋体" w:cs="Times New Roman"/>
                <w:color w:val="auto"/>
                <w:spacing w:val="-6"/>
                <w:kern w:val="2"/>
                <w:sz w:val="21"/>
                <w:szCs w:val="24"/>
                <w:highlight w:val="none"/>
                <w:u w:val="none"/>
                <w:lang w:val="en-US" w:eastAsia="zh-CN" w:bidi="ar-SA"/>
              </w:rPr>
              <w:fldChar w:fldCharType="separate"/>
            </w:r>
            <w:r>
              <w:rPr>
                <w:rFonts w:hint="default" w:ascii="Times New Roman" w:hAnsi="Times New Roman" w:eastAsia="宋体" w:cs="Times New Roman"/>
                <w:color w:val="auto"/>
                <w:spacing w:val="-6"/>
                <w:kern w:val="2"/>
                <w:sz w:val="21"/>
                <w:szCs w:val="24"/>
                <w:highlight w:val="none"/>
                <w:u w:val="none"/>
                <w:lang w:val="en-US" w:eastAsia="zh-CN" w:bidi="ar-SA"/>
              </w:rPr>
              <w:t>泄漏应急处理</w:t>
            </w:r>
            <w:r>
              <w:rPr>
                <w:rFonts w:hint="default" w:ascii="Times New Roman" w:hAnsi="Times New Roman" w:eastAsia="宋体" w:cs="Times New Roman"/>
                <w:color w:val="auto"/>
                <w:spacing w:val="-6"/>
                <w:kern w:val="2"/>
                <w:sz w:val="21"/>
                <w:szCs w:val="24"/>
                <w:highlight w:val="none"/>
                <w:u w:val="none"/>
                <w:lang w:val="en-US" w:eastAsia="zh-CN" w:bidi="ar-SA"/>
              </w:rPr>
              <w:fldChar w:fldCharType="end"/>
            </w:r>
            <w:r>
              <w:rPr>
                <w:rFonts w:hint="default" w:ascii="Times New Roman" w:hAnsi="Times New Roman" w:eastAsia="宋体" w:cs="Times New Roman"/>
                <w:color w:val="auto"/>
                <w:spacing w:val="-6"/>
                <w:kern w:val="2"/>
                <w:sz w:val="21"/>
                <w:szCs w:val="24"/>
                <w:highlight w:val="none"/>
                <w:u w:val="none"/>
                <w:lang w:val="en-US" w:eastAsia="zh-CN" w:bidi="ar-SA"/>
              </w:rPr>
              <w:t>设备和合适的收容材料。</w:t>
            </w:r>
          </w:p>
          <w:p w14:paraId="3CFB2A9A">
            <w:pPr>
              <w:keepNext w:val="0"/>
              <w:keepLines w:val="0"/>
              <w:pageBreakBefore w:val="0"/>
              <w:widowControl/>
              <w:shd w:val="clear" w:color="auto" w:fill="FFFFFF"/>
              <w:kinsoku/>
              <w:wordWrap/>
              <w:overflowPunct w:val="0"/>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color w:val="auto"/>
                <w:spacing w:val="-6"/>
                <w:kern w:val="2"/>
                <w:sz w:val="21"/>
                <w:szCs w:val="24"/>
                <w:highlight w:val="none"/>
                <w:u w:val="none"/>
                <w:lang w:val="en-US" w:eastAsia="zh-CN" w:bidi="ar-SA"/>
              </w:rPr>
            </w:pPr>
            <w:r>
              <w:rPr>
                <w:rFonts w:hint="default" w:ascii="Times New Roman" w:hAnsi="Times New Roman" w:eastAsia="宋体" w:cs="Times New Roman"/>
                <w:color w:val="auto"/>
                <w:spacing w:val="-6"/>
                <w:kern w:val="2"/>
                <w:sz w:val="21"/>
                <w:szCs w:val="24"/>
                <w:highlight w:val="none"/>
                <w:u w:val="none"/>
                <w:lang w:val="en-US" w:eastAsia="zh-CN" w:bidi="ar-SA"/>
              </w:rPr>
              <w:t>〔运输安全〕</w:t>
            </w:r>
          </w:p>
          <w:p w14:paraId="5652FDA1">
            <w:pPr>
              <w:keepNext w:val="0"/>
              <w:keepLines w:val="0"/>
              <w:pageBreakBefore w:val="0"/>
              <w:widowControl/>
              <w:shd w:val="clear" w:color="auto" w:fill="FFFFFF"/>
              <w:kinsoku/>
              <w:wordWrap/>
              <w:overflowPunct w:val="0"/>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color w:val="auto"/>
                <w:spacing w:val="-6"/>
                <w:kern w:val="2"/>
                <w:sz w:val="21"/>
                <w:szCs w:val="24"/>
                <w:highlight w:val="none"/>
                <w:u w:val="none"/>
                <w:lang w:val="en-US" w:eastAsia="zh-CN" w:bidi="ar-SA"/>
              </w:rPr>
            </w:pPr>
            <w:r>
              <w:rPr>
                <w:rFonts w:hint="default" w:ascii="Times New Roman" w:hAnsi="Times New Roman" w:eastAsia="宋体" w:cs="Times New Roman"/>
                <w:color w:val="auto"/>
                <w:spacing w:val="-6"/>
                <w:kern w:val="2"/>
                <w:sz w:val="21"/>
                <w:szCs w:val="24"/>
                <w:highlight w:val="none"/>
                <w:u w:val="none"/>
                <w:lang w:val="en-US" w:eastAsia="zh-CN" w:bidi="ar-SA"/>
              </w:rPr>
              <w:t>运输时运输车辆应配备相应品种和数量的消防器材及泄漏应急处理设备。夏季最好早晚运输。运输时所用的槽（罐）车应有接地链，槽内可设孔隔板以减少</w:t>
            </w:r>
            <w:r>
              <w:rPr>
                <w:rFonts w:hint="eastAsia" w:cs="Times New Roman"/>
                <w:color w:val="auto"/>
                <w:spacing w:val="-6"/>
                <w:kern w:val="2"/>
                <w:sz w:val="21"/>
                <w:szCs w:val="24"/>
                <w:highlight w:val="none"/>
                <w:u w:val="none"/>
                <w:lang w:val="en-US" w:eastAsia="zh-CN" w:bidi="ar-SA"/>
              </w:rPr>
              <w:t>振荡</w:t>
            </w:r>
            <w:r>
              <w:rPr>
                <w:rFonts w:hint="default" w:ascii="Times New Roman" w:hAnsi="Times New Roman" w:eastAsia="宋体" w:cs="Times New Roman"/>
                <w:color w:val="auto"/>
                <w:spacing w:val="-6"/>
                <w:kern w:val="2"/>
                <w:sz w:val="21"/>
                <w:szCs w:val="24"/>
                <w:highlight w:val="none"/>
                <w:u w:val="none"/>
                <w:lang w:val="en-US" w:eastAsia="zh-CN" w:bidi="ar-SA"/>
              </w:rPr>
              <w:t>产生静电。严禁与氧化剂、食用化学品等混装混运。运输途中应防</w:t>
            </w:r>
            <w:r>
              <w:rPr>
                <w:rFonts w:hint="default" w:ascii="Times New Roman" w:hAnsi="Times New Roman" w:cs="Times New Roman"/>
                <w:color w:val="auto"/>
                <w:spacing w:val="-6"/>
                <w:kern w:val="2"/>
                <w:sz w:val="21"/>
                <w:szCs w:val="24"/>
                <w:highlight w:val="none"/>
                <w:u w:val="none"/>
                <w:lang w:val="en-US" w:eastAsia="zh-CN" w:bidi="ar-SA"/>
              </w:rPr>
              <w:t>暴晒</w:t>
            </w:r>
            <w:r>
              <w:rPr>
                <w:rFonts w:hint="default" w:ascii="Times New Roman" w:hAnsi="Times New Roman" w:eastAsia="宋体" w:cs="Times New Roman"/>
                <w:color w:val="auto"/>
                <w:spacing w:val="-6"/>
                <w:kern w:val="2"/>
                <w:sz w:val="21"/>
                <w:szCs w:val="24"/>
                <w:highlight w:val="none"/>
                <w:u w:val="none"/>
                <w:lang w:val="en-US" w:eastAsia="zh-CN" w:bidi="ar-SA"/>
              </w:rPr>
              <w:t>、雨淋，防高温。中途停留时应远离火种、</w:t>
            </w:r>
            <w:r>
              <w:rPr>
                <w:rFonts w:hint="default" w:ascii="Times New Roman" w:hAnsi="Times New Roman" w:eastAsia="宋体" w:cs="Times New Roman"/>
                <w:color w:val="auto"/>
                <w:spacing w:val="-6"/>
                <w:kern w:val="2"/>
                <w:sz w:val="21"/>
                <w:szCs w:val="24"/>
                <w:highlight w:val="none"/>
                <w:u w:val="none"/>
                <w:lang w:val="en-US" w:eastAsia="zh-CN" w:bidi="ar-SA"/>
              </w:rPr>
              <w:fldChar w:fldCharType="begin"/>
            </w:r>
            <w:r>
              <w:rPr>
                <w:rFonts w:hint="default" w:ascii="Times New Roman" w:hAnsi="Times New Roman" w:eastAsia="宋体" w:cs="Times New Roman"/>
                <w:color w:val="auto"/>
                <w:spacing w:val="-6"/>
                <w:kern w:val="2"/>
                <w:sz w:val="21"/>
                <w:szCs w:val="24"/>
                <w:highlight w:val="none"/>
                <w:u w:val="none"/>
                <w:lang w:val="en-US" w:eastAsia="zh-CN" w:bidi="ar-SA"/>
              </w:rPr>
              <w:instrText xml:space="preserve"> HYPERLINK "http://baike.baidu.com/view/836215.htm" \t "_blank" </w:instrText>
            </w:r>
            <w:r>
              <w:rPr>
                <w:rFonts w:hint="default" w:ascii="Times New Roman" w:hAnsi="Times New Roman" w:eastAsia="宋体" w:cs="Times New Roman"/>
                <w:color w:val="auto"/>
                <w:spacing w:val="-6"/>
                <w:kern w:val="2"/>
                <w:sz w:val="21"/>
                <w:szCs w:val="24"/>
                <w:highlight w:val="none"/>
                <w:u w:val="none"/>
                <w:lang w:val="en-US" w:eastAsia="zh-CN" w:bidi="ar-SA"/>
              </w:rPr>
              <w:fldChar w:fldCharType="separate"/>
            </w:r>
            <w:r>
              <w:rPr>
                <w:rFonts w:hint="default" w:ascii="Times New Roman" w:hAnsi="Times New Roman" w:eastAsia="宋体" w:cs="Times New Roman"/>
                <w:color w:val="auto"/>
                <w:spacing w:val="-6"/>
                <w:kern w:val="2"/>
                <w:sz w:val="21"/>
                <w:szCs w:val="24"/>
                <w:highlight w:val="none"/>
                <w:u w:val="none"/>
                <w:lang w:val="en-US" w:eastAsia="zh-CN" w:bidi="ar-SA"/>
              </w:rPr>
              <w:t>热源</w:t>
            </w:r>
            <w:r>
              <w:rPr>
                <w:rFonts w:hint="default" w:ascii="Times New Roman" w:hAnsi="Times New Roman" w:eastAsia="宋体" w:cs="Times New Roman"/>
                <w:color w:val="auto"/>
                <w:spacing w:val="-6"/>
                <w:kern w:val="2"/>
                <w:sz w:val="21"/>
                <w:szCs w:val="24"/>
                <w:highlight w:val="none"/>
                <w:u w:val="none"/>
                <w:lang w:val="en-US" w:eastAsia="zh-CN" w:bidi="ar-SA"/>
              </w:rPr>
              <w:fldChar w:fldCharType="end"/>
            </w:r>
            <w:r>
              <w:rPr>
                <w:rFonts w:hint="default" w:ascii="Times New Roman" w:hAnsi="Times New Roman" w:eastAsia="宋体" w:cs="Times New Roman"/>
                <w:color w:val="auto"/>
                <w:spacing w:val="-6"/>
                <w:kern w:val="2"/>
                <w:sz w:val="21"/>
                <w:szCs w:val="24"/>
                <w:highlight w:val="none"/>
                <w:u w:val="none"/>
                <w:lang w:val="en-US" w:eastAsia="zh-CN" w:bidi="ar-SA"/>
              </w:rPr>
              <w:t>、高温区。装运该物品的车辆排气管必须配备阻火装置，禁止使用易产生火花的机械设备和工具装卸。公路运输时要按规定路线行驶，勿在</w:t>
            </w:r>
            <w:r>
              <w:rPr>
                <w:rFonts w:hint="default" w:ascii="Times New Roman" w:hAnsi="Times New Roman" w:eastAsia="宋体" w:cs="Times New Roman"/>
                <w:color w:val="auto"/>
                <w:spacing w:val="-6"/>
                <w:kern w:val="2"/>
                <w:sz w:val="21"/>
                <w:szCs w:val="24"/>
                <w:highlight w:val="none"/>
                <w:u w:val="none"/>
                <w:lang w:val="en-US" w:eastAsia="zh-CN" w:bidi="ar-SA"/>
              </w:rPr>
              <w:fldChar w:fldCharType="begin"/>
            </w:r>
            <w:r>
              <w:rPr>
                <w:rFonts w:hint="default" w:ascii="Times New Roman" w:hAnsi="Times New Roman" w:eastAsia="宋体" w:cs="Times New Roman"/>
                <w:color w:val="auto"/>
                <w:spacing w:val="-6"/>
                <w:kern w:val="2"/>
                <w:sz w:val="21"/>
                <w:szCs w:val="24"/>
                <w:highlight w:val="none"/>
                <w:u w:val="none"/>
                <w:lang w:val="en-US" w:eastAsia="zh-CN" w:bidi="ar-SA"/>
              </w:rPr>
              <w:instrText xml:space="preserve"> HYPERLINK "http://baike.baidu.com/view/714016.htm" \t "_blank" </w:instrText>
            </w:r>
            <w:r>
              <w:rPr>
                <w:rFonts w:hint="default" w:ascii="Times New Roman" w:hAnsi="Times New Roman" w:eastAsia="宋体" w:cs="Times New Roman"/>
                <w:color w:val="auto"/>
                <w:spacing w:val="-6"/>
                <w:kern w:val="2"/>
                <w:sz w:val="21"/>
                <w:szCs w:val="24"/>
                <w:highlight w:val="none"/>
                <w:u w:val="none"/>
                <w:lang w:val="en-US" w:eastAsia="zh-CN" w:bidi="ar-SA"/>
              </w:rPr>
              <w:fldChar w:fldCharType="separate"/>
            </w:r>
            <w:r>
              <w:rPr>
                <w:rFonts w:hint="default" w:ascii="Times New Roman" w:hAnsi="Times New Roman" w:eastAsia="宋体" w:cs="Times New Roman"/>
                <w:color w:val="auto"/>
                <w:spacing w:val="-6"/>
                <w:kern w:val="2"/>
                <w:sz w:val="21"/>
                <w:szCs w:val="24"/>
                <w:highlight w:val="none"/>
                <w:u w:val="none"/>
                <w:lang w:val="en-US" w:eastAsia="zh-CN" w:bidi="ar-SA"/>
              </w:rPr>
              <w:t>居民区</w:t>
            </w:r>
            <w:r>
              <w:rPr>
                <w:rFonts w:hint="default" w:ascii="Times New Roman" w:hAnsi="Times New Roman" w:eastAsia="宋体" w:cs="Times New Roman"/>
                <w:color w:val="auto"/>
                <w:spacing w:val="-6"/>
                <w:kern w:val="2"/>
                <w:sz w:val="21"/>
                <w:szCs w:val="24"/>
                <w:highlight w:val="none"/>
                <w:u w:val="none"/>
                <w:lang w:val="en-US" w:eastAsia="zh-CN" w:bidi="ar-SA"/>
              </w:rPr>
              <w:fldChar w:fldCharType="end"/>
            </w:r>
            <w:r>
              <w:rPr>
                <w:rFonts w:hint="default" w:ascii="Times New Roman" w:hAnsi="Times New Roman" w:eastAsia="宋体" w:cs="Times New Roman"/>
                <w:color w:val="auto"/>
                <w:spacing w:val="-6"/>
                <w:kern w:val="2"/>
                <w:sz w:val="21"/>
                <w:szCs w:val="24"/>
                <w:highlight w:val="none"/>
                <w:u w:val="none"/>
                <w:lang w:val="en-US" w:eastAsia="zh-CN" w:bidi="ar-SA"/>
              </w:rPr>
              <w:t>和人口稠密区停留。铁路运输时要禁止溜放。严禁用木船、水泥船散装运输</w:t>
            </w:r>
          </w:p>
        </w:tc>
      </w:tr>
      <w:tr w14:paraId="3AF4AF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45" w:hRule="atLeast"/>
          <w:jc w:val="center"/>
        </w:trPr>
        <w:tc>
          <w:tcPr>
            <w:tcW w:w="374" w:type="pct"/>
            <w:tcBorders>
              <w:tl2br w:val="nil"/>
              <w:tr2bl w:val="nil"/>
            </w:tcBorders>
            <w:noWrap w:val="0"/>
            <w:vAlign w:val="center"/>
          </w:tcPr>
          <w:p w14:paraId="5D22C9E0">
            <w:pPr>
              <w:keepNext w:val="0"/>
              <w:keepLines w:val="0"/>
              <w:pageBreakBefore w:val="0"/>
              <w:widowControl/>
              <w:shd w:val="clear" w:color="auto" w:fill="FFFFFF"/>
              <w:kinsoku/>
              <w:wordWrap/>
              <w:overflowPunct w:val="0"/>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应</w:t>
            </w:r>
          </w:p>
          <w:p w14:paraId="3284FE14">
            <w:pPr>
              <w:keepNext w:val="0"/>
              <w:keepLines w:val="0"/>
              <w:pageBreakBefore w:val="0"/>
              <w:widowControl/>
              <w:shd w:val="clear" w:color="auto" w:fill="FFFFFF"/>
              <w:kinsoku/>
              <w:wordWrap/>
              <w:overflowPunct w:val="0"/>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急</w:t>
            </w:r>
          </w:p>
          <w:p w14:paraId="56DF9777">
            <w:pPr>
              <w:keepNext w:val="0"/>
              <w:keepLines w:val="0"/>
              <w:pageBreakBefore w:val="0"/>
              <w:widowControl/>
              <w:shd w:val="clear" w:color="auto" w:fill="FFFFFF"/>
              <w:kinsoku/>
              <w:wordWrap/>
              <w:overflowPunct w:val="0"/>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处</w:t>
            </w:r>
          </w:p>
          <w:p w14:paraId="08FB1A05">
            <w:pPr>
              <w:keepNext w:val="0"/>
              <w:keepLines w:val="0"/>
              <w:pageBreakBefore w:val="0"/>
              <w:widowControl/>
              <w:shd w:val="clear" w:color="auto" w:fill="FFFFFF"/>
              <w:kinsoku/>
              <w:wordWrap/>
              <w:overflowPunct w:val="0"/>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置</w:t>
            </w:r>
          </w:p>
          <w:p w14:paraId="58A21E98">
            <w:pPr>
              <w:keepNext w:val="0"/>
              <w:keepLines w:val="0"/>
              <w:pageBreakBefore w:val="0"/>
              <w:widowControl/>
              <w:shd w:val="clear" w:color="auto" w:fill="FFFFFF"/>
              <w:kinsoku/>
              <w:wordWrap/>
              <w:overflowPunct w:val="0"/>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原</w:t>
            </w:r>
          </w:p>
          <w:p w14:paraId="31259DDC">
            <w:pPr>
              <w:keepNext w:val="0"/>
              <w:keepLines w:val="0"/>
              <w:pageBreakBefore w:val="0"/>
              <w:widowControl/>
              <w:shd w:val="clear" w:color="auto" w:fill="FFFFFF"/>
              <w:kinsoku/>
              <w:wordWrap/>
              <w:overflowPunct w:val="0"/>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则</w:t>
            </w:r>
          </w:p>
        </w:tc>
        <w:tc>
          <w:tcPr>
            <w:tcW w:w="4625" w:type="pct"/>
            <w:tcBorders>
              <w:tl2br w:val="nil"/>
              <w:tr2bl w:val="nil"/>
            </w:tcBorders>
            <w:noWrap w:val="0"/>
            <w:vAlign w:val="center"/>
          </w:tcPr>
          <w:p w14:paraId="6440F8B6">
            <w:pPr>
              <w:keepNext w:val="0"/>
              <w:keepLines w:val="0"/>
              <w:pageBreakBefore w:val="0"/>
              <w:widowControl/>
              <w:shd w:val="clear" w:color="auto" w:fill="FFFFFF"/>
              <w:kinsoku/>
              <w:wordWrap/>
              <w:overflowPunct w:val="0"/>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color w:val="auto"/>
                <w:spacing w:val="-11"/>
                <w:kern w:val="2"/>
                <w:sz w:val="21"/>
                <w:szCs w:val="24"/>
                <w:highlight w:val="none"/>
                <w:lang w:val="en-US" w:eastAsia="zh-CN" w:bidi="ar-SA"/>
              </w:rPr>
            </w:pPr>
            <w:r>
              <w:rPr>
                <w:rFonts w:hint="default" w:ascii="Times New Roman" w:hAnsi="Times New Roman" w:eastAsia="宋体" w:cs="Times New Roman"/>
                <w:color w:val="auto"/>
                <w:spacing w:val="-11"/>
                <w:kern w:val="2"/>
                <w:sz w:val="21"/>
                <w:szCs w:val="24"/>
                <w:highlight w:val="none"/>
                <w:lang w:val="en-US" w:eastAsia="zh-CN" w:bidi="ar-SA"/>
              </w:rPr>
              <w:t>〔急救措施〕</w:t>
            </w:r>
          </w:p>
          <w:p w14:paraId="22000515">
            <w:pPr>
              <w:keepNext w:val="0"/>
              <w:keepLines w:val="0"/>
              <w:pageBreakBefore w:val="0"/>
              <w:widowControl/>
              <w:shd w:val="clear" w:color="auto" w:fill="FFFFFF"/>
              <w:kinsoku/>
              <w:wordWrap/>
              <w:overflowPunct w:val="0"/>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color w:val="auto"/>
                <w:spacing w:val="-11"/>
                <w:kern w:val="2"/>
                <w:sz w:val="21"/>
                <w:szCs w:val="24"/>
                <w:highlight w:val="none"/>
                <w:lang w:val="en-US" w:eastAsia="zh-CN" w:bidi="ar-SA"/>
              </w:rPr>
            </w:pPr>
            <w:r>
              <w:rPr>
                <w:rFonts w:hint="default" w:ascii="Times New Roman" w:hAnsi="Times New Roman" w:eastAsia="宋体" w:cs="Times New Roman"/>
                <w:color w:val="auto"/>
                <w:spacing w:val="-11"/>
                <w:kern w:val="2"/>
                <w:sz w:val="21"/>
                <w:szCs w:val="24"/>
                <w:highlight w:val="none"/>
                <w:lang w:val="en-US" w:eastAsia="zh-CN" w:bidi="ar-SA"/>
              </w:rPr>
              <w:t>皮肤接触：脱去污染的衣着，用大量流动清水彻底冲洗。</w:t>
            </w:r>
          </w:p>
          <w:p w14:paraId="4F7C7F6F">
            <w:pPr>
              <w:keepNext w:val="0"/>
              <w:keepLines w:val="0"/>
              <w:pageBreakBefore w:val="0"/>
              <w:widowControl/>
              <w:shd w:val="clear" w:color="auto" w:fill="FFFFFF"/>
              <w:kinsoku/>
              <w:wordWrap/>
              <w:overflowPunct w:val="0"/>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color w:val="auto"/>
                <w:spacing w:val="-11"/>
                <w:kern w:val="2"/>
                <w:sz w:val="21"/>
                <w:szCs w:val="24"/>
                <w:highlight w:val="none"/>
                <w:lang w:val="en-US" w:eastAsia="zh-CN" w:bidi="ar-SA"/>
              </w:rPr>
            </w:pPr>
            <w:r>
              <w:rPr>
                <w:rFonts w:hint="default" w:ascii="Times New Roman" w:hAnsi="Times New Roman" w:eastAsia="宋体" w:cs="Times New Roman"/>
                <w:color w:val="auto"/>
                <w:spacing w:val="-11"/>
                <w:kern w:val="2"/>
                <w:sz w:val="21"/>
                <w:szCs w:val="24"/>
                <w:highlight w:val="none"/>
                <w:lang w:val="en-US" w:eastAsia="zh-CN" w:bidi="ar-SA"/>
              </w:rPr>
              <w:t>眼睛接触：立即翻开上下眼睑，用流动清水或生理盐水冲洗至少15分钟，就医。</w:t>
            </w:r>
          </w:p>
          <w:p w14:paraId="3FC058FC">
            <w:pPr>
              <w:keepNext w:val="0"/>
              <w:keepLines w:val="0"/>
              <w:pageBreakBefore w:val="0"/>
              <w:widowControl/>
              <w:shd w:val="clear" w:color="auto" w:fill="FFFFFF"/>
              <w:kinsoku/>
              <w:wordWrap/>
              <w:overflowPunct w:val="0"/>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color w:val="auto"/>
                <w:spacing w:val="-11"/>
                <w:kern w:val="2"/>
                <w:sz w:val="21"/>
                <w:szCs w:val="24"/>
                <w:highlight w:val="none"/>
                <w:lang w:val="en-US" w:eastAsia="zh-CN" w:bidi="ar-SA"/>
              </w:rPr>
            </w:pPr>
            <w:r>
              <w:rPr>
                <w:rFonts w:hint="default" w:ascii="Times New Roman" w:hAnsi="Times New Roman" w:eastAsia="宋体" w:cs="Times New Roman"/>
                <w:color w:val="auto"/>
                <w:spacing w:val="-11"/>
                <w:kern w:val="2"/>
                <w:sz w:val="21"/>
                <w:szCs w:val="24"/>
                <w:highlight w:val="none"/>
                <w:lang w:val="en-US" w:eastAsia="zh-CN" w:bidi="ar-SA"/>
              </w:rPr>
              <w:t>吸入：迅速脱离现场至空气新鲜处。保持呼吸道通畅。呼吸困难时给输氧。呼吸停止时，立即进行人工呼吸。就医。</w:t>
            </w:r>
          </w:p>
          <w:p w14:paraId="7CD1217E">
            <w:pPr>
              <w:keepNext w:val="0"/>
              <w:keepLines w:val="0"/>
              <w:pageBreakBefore w:val="0"/>
              <w:widowControl/>
              <w:shd w:val="clear" w:color="auto" w:fill="FFFFFF"/>
              <w:kinsoku/>
              <w:wordWrap/>
              <w:overflowPunct w:val="0"/>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color w:val="auto"/>
                <w:spacing w:val="-11"/>
                <w:kern w:val="2"/>
                <w:sz w:val="21"/>
                <w:szCs w:val="24"/>
                <w:highlight w:val="none"/>
                <w:lang w:val="en-US" w:eastAsia="zh-CN" w:bidi="ar-SA"/>
              </w:rPr>
            </w:pPr>
            <w:r>
              <w:rPr>
                <w:rFonts w:hint="default" w:ascii="Times New Roman" w:hAnsi="Times New Roman" w:eastAsia="宋体" w:cs="Times New Roman"/>
                <w:color w:val="auto"/>
                <w:spacing w:val="-11"/>
                <w:kern w:val="2"/>
                <w:sz w:val="21"/>
                <w:szCs w:val="24"/>
                <w:highlight w:val="none"/>
                <w:lang w:val="en-US" w:eastAsia="zh-CN" w:bidi="ar-SA"/>
              </w:rPr>
              <w:t>食入：催吐，就医</w:t>
            </w:r>
          </w:p>
          <w:p w14:paraId="145DF406">
            <w:pPr>
              <w:keepNext w:val="0"/>
              <w:keepLines w:val="0"/>
              <w:pageBreakBefore w:val="0"/>
              <w:widowControl/>
              <w:shd w:val="clear" w:color="auto" w:fill="FFFFFF"/>
              <w:kinsoku/>
              <w:wordWrap/>
              <w:overflowPunct w:val="0"/>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color w:val="auto"/>
                <w:spacing w:val="-11"/>
                <w:kern w:val="2"/>
                <w:sz w:val="21"/>
                <w:szCs w:val="24"/>
                <w:highlight w:val="none"/>
                <w:lang w:val="en-US" w:eastAsia="zh-CN" w:bidi="ar-SA"/>
              </w:rPr>
            </w:pPr>
            <w:r>
              <w:rPr>
                <w:rFonts w:hint="default" w:ascii="Times New Roman" w:hAnsi="Times New Roman" w:eastAsia="宋体" w:cs="Times New Roman"/>
                <w:color w:val="auto"/>
                <w:spacing w:val="-11"/>
                <w:kern w:val="2"/>
                <w:sz w:val="21"/>
                <w:szCs w:val="24"/>
                <w:highlight w:val="none"/>
                <w:lang w:val="en-US" w:eastAsia="zh-CN" w:bidi="ar-SA"/>
              </w:rPr>
              <w:t>〔灭火方法〕</w:t>
            </w:r>
          </w:p>
          <w:p w14:paraId="2052E047">
            <w:pPr>
              <w:keepNext w:val="0"/>
              <w:keepLines w:val="0"/>
              <w:pageBreakBefore w:val="0"/>
              <w:widowControl/>
              <w:shd w:val="clear" w:color="auto" w:fill="FFFFFF"/>
              <w:kinsoku/>
              <w:wordWrap/>
              <w:overflowPunct w:val="0"/>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color w:val="auto"/>
                <w:spacing w:val="-11"/>
                <w:kern w:val="2"/>
                <w:sz w:val="21"/>
                <w:szCs w:val="24"/>
                <w:highlight w:val="none"/>
                <w:lang w:val="en-US" w:eastAsia="zh-CN" w:bidi="ar-SA"/>
              </w:rPr>
            </w:pPr>
            <w:r>
              <w:rPr>
                <w:rFonts w:hint="default" w:ascii="Times New Roman" w:hAnsi="Times New Roman" w:eastAsia="宋体" w:cs="Times New Roman"/>
                <w:color w:val="auto"/>
                <w:spacing w:val="-11"/>
                <w:kern w:val="2"/>
                <w:sz w:val="21"/>
                <w:szCs w:val="24"/>
                <w:highlight w:val="none"/>
                <w:lang w:val="en-US" w:eastAsia="zh-CN" w:bidi="ar-SA"/>
              </w:rPr>
              <w:t>消防人员须佩戴防毒面具、穿全身消防服，在上风向灭火。尽可能将容器从火场移至空旷处。喷水保持火场容器冷却，直至灭火结束。处在火场中的容器若已变色或从安全泄压装置中产生声音，必须马上撤离。灭火剂：雾状水、泡沫、干粉、二氧化碳、砂土。</w:t>
            </w:r>
          </w:p>
          <w:p w14:paraId="6FF5185E">
            <w:pPr>
              <w:keepNext w:val="0"/>
              <w:keepLines w:val="0"/>
              <w:pageBreakBefore w:val="0"/>
              <w:widowControl/>
              <w:shd w:val="clear" w:color="auto" w:fill="FFFFFF"/>
              <w:kinsoku/>
              <w:wordWrap/>
              <w:overflowPunct w:val="0"/>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color w:val="auto"/>
                <w:spacing w:val="-11"/>
                <w:kern w:val="2"/>
                <w:sz w:val="21"/>
                <w:szCs w:val="24"/>
                <w:highlight w:val="none"/>
                <w:lang w:val="en-US" w:eastAsia="zh-CN" w:bidi="ar-SA"/>
              </w:rPr>
            </w:pPr>
            <w:r>
              <w:rPr>
                <w:rFonts w:hint="default" w:ascii="Times New Roman" w:hAnsi="Times New Roman" w:eastAsia="宋体" w:cs="Times New Roman"/>
                <w:color w:val="auto"/>
                <w:spacing w:val="-11"/>
                <w:kern w:val="2"/>
                <w:sz w:val="21"/>
                <w:szCs w:val="24"/>
                <w:highlight w:val="none"/>
                <w:lang w:val="en-US" w:eastAsia="zh-CN" w:bidi="ar-SA"/>
              </w:rPr>
              <w:t>〔泄漏应急处置〕</w:t>
            </w:r>
          </w:p>
          <w:p w14:paraId="57C4B7EA">
            <w:pPr>
              <w:keepNext w:val="0"/>
              <w:keepLines w:val="0"/>
              <w:pageBreakBefore w:val="0"/>
              <w:widowControl/>
              <w:shd w:val="clear" w:color="auto" w:fill="FFFFFF"/>
              <w:kinsoku/>
              <w:wordWrap/>
              <w:overflowPunct w:val="0"/>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pacing w:val="-11"/>
                <w:kern w:val="2"/>
                <w:sz w:val="21"/>
                <w:szCs w:val="24"/>
                <w:highlight w:val="none"/>
                <w:lang w:val="en-US" w:eastAsia="zh-CN" w:bidi="ar-SA"/>
              </w:rPr>
              <w:t>切断火源：在确保安全情况下堵漏。禁止泄漏物进入受限制的空间（如下水道等），以避免发生爆炸。喷水雾可减少蒸发。用砂土、蛭石或</w:t>
            </w:r>
            <w:r>
              <w:rPr>
                <w:rFonts w:hint="eastAsia" w:cs="Times New Roman"/>
                <w:color w:val="auto"/>
                <w:spacing w:val="-11"/>
                <w:kern w:val="2"/>
                <w:sz w:val="21"/>
                <w:szCs w:val="24"/>
                <w:highlight w:val="none"/>
                <w:lang w:val="en-US" w:eastAsia="zh-CN" w:bidi="ar-SA"/>
              </w:rPr>
              <w:t>其他</w:t>
            </w:r>
            <w:r>
              <w:rPr>
                <w:rFonts w:hint="default" w:ascii="Times New Roman" w:hAnsi="Times New Roman" w:eastAsia="宋体" w:cs="Times New Roman"/>
                <w:color w:val="auto"/>
                <w:spacing w:val="-11"/>
                <w:kern w:val="2"/>
                <w:sz w:val="21"/>
                <w:szCs w:val="24"/>
                <w:highlight w:val="none"/>
                <w:lang w:val="en-US" w:eastAsia="zh-CN" w:bidi="ar-SA"/>
              </w:rPr>
              <w:t>惰性材料吸收，然后收集运至废物处理场所。或在保证安全情况下，就地焚烧。如大量泄漏，利用围堤收容，然后收集、转移、回收或无害处理后废弃。</w:t>
            </w:r>
          </w:p>
        </w:tc>
      </w:tr>
    </w:tbl>
    <w:p w14:paraId="44F4C475">
      <w:pPr>
        <w:pStyle w:val="79"/>
        <w:bidi w:val="0"/>
        <w:rPr>
          <w:rFonts w:hint="default"/>
          <w:color w:val="auto"/>
          <w:lang w:val="en-US" w:eastAsia="zh-CN"/>
        </w:rPr>
      </w:pPr>
      <w:r>
        <w:rPr>
          <w:rFonts w:hint="default"/>
          <w:color w:val="auto"/>
          <w:lang w:val="en-US" w:eastAsia="zh-CN"/>
        </w:rPr>
        <w:t>（</w:t>
      </w:r>
      <w:r>
        <w:rPr>
          <w:rFonts w:hint="eastAsia"/>
          <w:color w:val="auto"/>
          <w:lang w:val="en-US" w:eastAsia="zh-CN"/>
        </w:rPr>
        <w:t>2</w:t>
      </w:r>
      <w:r>
        <w:rPr>
          <w:rFonts w:hint="default"/>
          <w:color w:val="auto"/>
          <w:lang w:val="en-US" w:eastAsia="zh-CN"/>
        </w:rPr>
        <w:t>）天然气</w:t>
      </w:r>
    </w:p>
    <w:p w14:paraId="508F1536">
      <w:pPr>
        <w:pStyle w:val="79"/>
        <w:bidi w:val="0"/>
        <w:rPr>
          <w:rFonts w:hint="default"/>
          <w:color w:val="auto"/>
          <w:lang w:val="en-US" w:eastAsia="zh-CN"/>
        </w:rPr>
      </w:pPr>
      <w:r>
        <w:rPr>
          <w:rFonts w:hint="default"/>
          <w:color w:val="auto"/>
          <w:lang w:val="en-US" w:eastAsia="zh-CN"/>
        </w:rPr>
        <w:t>天然气中甲烷、乙烷属单纯窒息性气体，对人体基本无毒。</w:t>
      </w:r>
      <w:r>
        <w:rPr>
          <w:rFonts w:hint="eastAsia"/>
          <w:color w:val="auto"/>
          <w:lang w:val="en-US" w:eastAsia="zh-CN"/>
        </w:rPr>
        <w:t>其他组分</w:t>
      </w:r>
      <w:r>
        <w:rPr>
          <w:rFonts w:hint="default"/>
          <w:color w:val="auto"/>
          <w:lang w:val="en-US" w:eastAsia="zh-CN"/>
        </w:rPr>
        <w:t>如丙烷、异丁烷、正丁烷、异戊烷、正戊烷等都为微毒或低毒物质。天然气除气态烃外，还有少量二氧化碳、氮气等非烃气体。天然气理化性质、危险危害特性及防护措施，见表</w:t>
      </w:r>
      <w:r>
        <w:rPr>
          <w:rFonts w:hint="eastAsia"/>
          <w:color w:val="auto"/>
          <w:lang w:val="en-US" w:eastAsia="zh-CN"/>
        </w:rPr>
        <w:t>5.7-5</w:t>
      </w:r>
      <w:r>
        <w:rPr>
          <w:rFonts w:hint="default"/>
          <w:color w:val="auto"/>
          <w:lang w:val="en-US" w:eastAsia="zh-CN"/>
        </w:rPr>
        <w:t>。</w:t>
      </w:r>
    </w:p>
    <w:p w14:paraId="6AF6BD14">
      <w:pPr>
        <w:pStyle w:val="61"/>
        <w:bidi w:val="0"/>
        <w:rPr>
          <w:rFonts w:hint="default"/>
          <w:color w:val="auto"/>
          <w:lang w:val="en-US" w:eastAsia="zh-CN"/>
        </w:rPr>
      </w:pPr>
      <w:r>
        <w:rPr>
          <w:rFonts w:hint="default"/>
          <w:color w:val="auto"/>
          <w:lang w:val="en-US" w:eastAsia="zh-CN"/>
        </w:rPr>
        <w:t>表</w:t>
      </w:r>
      <w:r>
        <w:rPr>
          <w:rFonts w:hint="eastAsia"/>
          <w:color w:val="auto"/>
          <w:lang w:val="en-US" w:eastAsia="zh-CN"/>
        </w:rPr>
        <w:t xml:space="preserve">5.7-5 </w:t>
      </w:r>
      <w:r>
        <w:rPr>
          <w:rFonts w:hint="default"/>
          <w:color w:val="auto"/>
          <w:lang w:val="en-US" w:eastAsia="zh-CN"/>
        </w:rPr>
        <w:t>天然气理化性质、危险危害特性及防护措施表</w:t>
      </w:r>
    </w:p>
    <w:tbl>
      <w:tblPr>
        <w:tblStyle w:val="36"/>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1" w:type="dxa"/>
          <w:bottom w:w="0" w:type="dxa"/>
          <w:right w:w="11" w:type="dxa"/>
        </w:tblCellMar>
      </w:tblPr>
      <w:tblGrid>
        <w:gridCol w:w="890"/>
        <w:gridCol w:w="1329"/>
        <w:gridCol w:w="593"/>
        <w:gridCol w:w="1371"/>
        <w:gridCol w:w="1150"/>
        <w:gridCol w:w="902"/>
        <w:gridCol w:w="283"/>
        <w:gridCol w:w="2169"/>
      </w:tblGrid>
      <w:tr w14:paraId="567858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340" w:hRule="atLeast"/>
          <w:jc w:val="center"/>
        </w:trPr>
        <w:tc>
          <w:tcPr>
            <w:tcW w:w="512" w:type="pct"/>
            <w:vMerge w:val="restart"/>
            <w:tcBorders>
              <w:tl2br w:val="nil"/>
              <w:tr2bl w:val="nil"/>
            </w:tcBorders>
            <w:noWrap w:val="0"/>
            <w:vAlign w:val="center"/>
          </w:tcPr>
          <w:p w14:paraId="52A73E37">
            <w:pPr>
              <w:keepNext w:val="0"/>
              <w:keepLines w:val="0"/>
              <w:pageBreakBefore w:val="0"/>
              <w:widowControl/>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化学品</w:t>
            </w:r>
          </w:p>
          <w:p w14:paraId="3CFA46E1">
            <w:pPr>
              <w:keepNext w:val="0"/>
              <w:keepLines w:val="0"/>
              <w:pageBreakBefore w:val="0"/>
              <w:widowControl/>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名称</w:t>
            </w:r>
          </w:p>
        </w:tc>
        <w:tc>
          <w:tcPr>
            <w:tcW w:w="1106" w:type="pct"/>
            <w:gridSpan w:val="2"/>
            <w:tcBorders>
              <w:tl2br w:val="nil"/>
              <w:tr2bl w:val="nil"/>
            </w:tcBorders>
            <w:noWrap w:val="0"/>
            <w:tcMar>
              <w:top w:w="28" w:type="dxa"/>
              <w:left w:w="57" w:type="dxa"/>
              <w:bottom w:w="28" w:type="dxa"/>
              <w:right w:w="57" w:type="dxa"/>
            </w:tcMar>
            <w:vAlign w:val="center"/>
          </w:tcPr>
          <w:p w14:paraId="4F8FC91A">
            <w:pPr>
              <w:keepNext w:val="0"/>
              <w:keepLines w:val="0"/>
              <w:pageBreakBefore w:val="0"/>
              <w:widowControl/>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化学品中文名称</w:t>
            </w:r>
          </w:p>
        </w:tc>
        <w:tc>
          <w:tcPr>
            <w:tcW w:w="3380" w:type="pct"/>
            <w:gridSpan w:val="5"/>
            <w:tcBorders>
              <w:tl2br w:val="nil"/>
              <w:tr2bl w:val="nil"/>
            </w:tcBorders>
            <w:noWrap w:val="0"/>
            <w:tcMar>
              <w:top w:w="0" w:type="dxa"/>
              <w:left w:w="57" w:type="dxa"/>
              <w:bottom w:w="0" w:type="dxa"/>
              <w:right w:w="57" w:type="dxa"/>
            </w:tcMar>
            <w:vAlign w:val="center"/>
          </w:tcPr>
          <w:p w14:paraId="7957ACBF">
            <w:pPr>
              <w:keepNext w:val="0"/>
              <w:keepLines w:val="0"/>
              <w:pageBreakBefore w:val="0"/>
              <w:widowControl/>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天然气</w:t>
            </w:r>
          </w:p>
        </w:tc>
      </w:tr>
      <w:tr w14:paraId="7DB06A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340" w:hRule="atLeast"/>
          <w:jc w:val="center"/>
        </w:trPr>
        <w:tc>
          <w:tcPr>
            <w:tcW w:w="512" w:type="pct"/>
            <w:vMerge w:val="continue"/>
            <w:tcBorders>
              <w:tl2br w:val="nil"/>
              <w:tr2bl w:val="nil"/>
            </w:tcBorders>
            <w:noWrap w:val="0"/>
            <w:vAlign w:val="center"/>
          </w:tcPr>
          <w:p w14:paraId="101E9957">
            <w:pPr>
              <w:keepNext w:val="0"/>
              <w:keepLines w:val="0"/>
              <w:pageBreakBefore w:val="0"/>
              <w:widowControl/>
              <w:kinsoku/>
              <w:wordWrap/>
              <w:overflowPunct/>
              <w:autoSpaceDE/>
              <w:autoSpaceDN/>
              <w:bidi w:val="0"/>
              <w:adjustRightInd/>
              <w:snapToGrid/>
              <w:spacing w:line="240" w:lineRule="auto"/>
              <w:jc w:val="left"/>
              <w:textAlignment w:val="auto"/>
              <w:rPr>
                <w:rFonts w:hint="default" w:ascii="Times New Roman" w:hAnsi="Times New Roman" w:cs="Times New Roman"/>
                <w:color w:val="auto"/>
                <w:kern w:val="0"/>
                <w:sz w:val="21"/>
                <w:szCs w:val="21"/>
                <w:highlight w:val="none"/>
              </w:rPr>
            </w:pPr>
          </w:p>
        </w:tc>
        <w:tc>
          <w:tcPr>
            <w:tcW w:w="1106" w:type="pct"/>
            <w:gridSpan w:val="2"/>
            <w:tcBorders>
              <w:tl2br w:val="nil"/>
              <w:tr2bl w:val="nil"/>
            </w:tcBorders>
            <w:noWrap w:val="0"/>
            <w:tcMar>
              <w:top w:w="28" w:type="dxa"/>
              <w:left w:w="57" w:type="dxa"/>
              <w:bottom w:w="28" w:type="dxa"/>
              <w:right w:w="57" w:type="dxa"/>
            </w:tcMar>
            <w:vAlign w:val="center"/>
          </w:tcPr>
          <w:p w14:paraId="44B4B8F7">
            <w:pPr>
              <w:keepNext w:val="0"/>
              <w:keepLines w:val="0"/>
              <w:pageBreakBefore w:val="0"/>
              <w:widowControl/>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化学品英文名称</w:t>
            </w:r>
          </w:p>
        </w:tc>
        <w:tc>
          <w:tcPr>
            <w:tcW w:w="3380" w:type="pct"/>
            <w:gridSpan w:val="5"/>
            <w:tcBorders>
              <w:tl2br w:val="nil"/>
              <w:tr2bl w:val="nil"/>
            </w:tcBorders>
            <w:noWrap w:val="0"/>
            <w:tcMar>
              <w:top w:w="0" w:type="dxa"/>
              <w:left w:w="57" w:type="dxa"/>
              <w:bottom w:w="0" w:type="dxa"/>
              <w:right w:w="57" w:type="dxa"/>
            </w:tcMar>
            <w:vAlign w:val="center"/>
          </w:tcPr>
          <w:p w14:paraId="69B64B07">
            <w:pPr>
              <w:keepNext w:val="0"/>
              <w:keepLines w:val="0"/>
              <w:pageBreakBefore w:val="0"/>
              <w:widowControl/>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Naturalgasdehydration</w:t>
            </w:r>
          </w:p>
        </w:tc>
      </w:tr>
      <w:tr w14:paraId="3F2AE6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340" w:hRule="atLeast"/>
          <w:jc w:val="center"/>
        </w:trPr>
        <w:tc>
          <w:tcPr>
            <w:tcW w:w="512" w:type="pct"/>
            <w:vMerge w:val="restart"/>
            <w:tcBorders>
              <w:tl2br w:val="nil"/>
              <w:tr2bl w:val="nil"/>
            </w:tcBorders>
            <w:noWrap w:val="0"/>
            <w:vAlign w:val="center"/>
          </w:tcPr>
          <w:p w14:paraId="490F57F2">
            <w:pPr>
              <w:keepNext w:val="0"/>
              <w:keepLines w:val="0"/>
              <w:pageBreakBefore w:val="0"/>
              <w:widowControl/>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成分/组成信息</w:t>
            </w:r>
          </w:p>
        </w:tc>
        <w:tc>
          <w:tcPr>
            <w:tcW w:w="1895" w:type="pct"/>
            <w:gridSpan w:val="3"/>
            <w:tcBorders>
              <w:tl2br w:val="nil"/>
              <w:tr2bl w:val="nil"/>
            </w:tcBorders>
            <w:noWrap w:val="0"/>
            <w:tcMar>
              <w:top w:w="28" w:type="dxa"/>
              <w:left w:w="57" w:type="dxa"/>
              <w:bottom w:w="28" w:type="dxa"/>
              <w:right w:w="57" w:type="dxa"/>
            </w:tcMar>
            <w:vAlign w:val="center"/>
          </w:tcPr>
          <w:p w14:paraId="5BB45526">
            <w:pPr>
              <w:keepNext w:val="0"/>
              <w:keepLines w:val="0"/>
              <w:pageBreakBefore w:val="0"/>
              <w:widowControl/>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主要有害成分</w:t>
            </w:r>
          </w:p>
        </w:tc>
        <w:tc>
          <w:tcPr>
            <w:tcW w:w="2591" w:type="pct"/>
            <w:gridSpan w:val="4"/>
            <w:tcBorders>
              <w:tl2br w:val="nil"/>
              <w:tr2bl w:val="nil"/>
            </w:tcBorders>
            <w:noWrap w:val="0"/>
            <w:tcMar>
              <w:top w:w="0" w:type="dxa"/>
              <w:left w:w="57" w:type="dxa"/>
              <w:bottom w:w="0" w:type="dxa"/>
              <w:right w:w="57" w:type="dxa"/>
            </w:tcMar>
            <w:vAlign w:val="center"/>
          </w:tcPr>
          <w:p w14:paraId="3F72341C">
            <w:pPr>
              <w:keepNext w:val="0"/>
              <w:keepLines w:val="0"/>
              <w:pageBreakBefore w:val="0"/>
              <w:widowControl/>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甲烷</w:t>
            </w:r>
          </w:p>
        </w:tc>
      </w:tr>
      <w:tr w14:paraId="7007E5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340" w:hRule="atLeast"/>
          <w:jc w:val="center"/>
        </w:trPr>
        <w:tc>
          <w:tcPr>
            <w:tcW w:w="512" w:type="pct"/>
            <w:vMerge w:val="continue"/>
            <w:tcBorders>
              <w:tl2br w:val="nil"/>
              <w:tr2bl w:val="nil"/>
            </w:tcBorders>
            <w:noWrap w:val="0"/>
            <w:vAlign w:val="center"/>
          </w:tcPr>
          <w:p w14:paraId="7CFA3F3B">
            <w:pPr>
              <w:keepNext w:val="0"/>
              <w:keepLines w:val="0"/>
              <w:pageBreakBefore w:val="0"/>
              <w:widowControl/>
              <w:kinsoku/>
              <w:wordWrap/>
              <w:overflowPunct/>
              <w:autoSpaceDE/>
              <w:autoSpaceDN/>
              <w:bidi w:val="0"/>
              <w:adjustRightInd/>
              <w:snapToGrid/>
              <w:spacing w:line="240" w:lineRule="auto"/>
              <w:jc w:val="left"/>
              <w:textAlignment w:val="auto"/>
              <w:rPr>
                <w:rFonts w:hint="default" w:ascii="Times New Roman" w:hAnsi="Times New Roman" w:cs="Times New Roman"/>
                <w:color w:val="auto"/>
                <w:kern w:val="0"/>
                <w:sz w:val="21"/>
                <w:szCs w:val="21"/>
                <w:highlight w:val="none"/>
              </w:rPr>
            </w:pPr>
          </w:p>
        </w:tc>
        <w:tc>
          <w:tcPr>
            <w:tcW w:w="1106" w:type="pct"/>
            <w:gridSpan w:val="2"/>
            <w:tcBorders>
              <w:tl2br w:val="nil"/>
              <w:tr2bl w:val="nil"/>
            </w:tcBorders>
            <w:noWrap w:val="0"/>
            <w:vAlign w:val="center"/>
          </w:tcPr>
          <w:p w14:paraId="7067CB80">
            <w:pPr>
              <w:keepNext w:val="0"/>
              <w:keepLines w:val="0"/>
              <w:pageBreakBefore w:val="0"/>
              <w:widowControl/>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分子式</w:t>
            </w:r>
          </w:p>
        </w:tc>
        <w:tc>
          <w:tcPr>
            <w:tcW w:w="789" w:type="pct"/>
            <w:tcBorders>
              <w:tl2br w:val="nil"/>
              <w:tr2bl w:val="nil"/>
            </w:tcBorders>
            <w:noWrap w:val="0"/>
            <w:vAlign w:val="center"/>
          </w:tcPr>
          <w:p w14:paraId="153A8782">
            <w:pPr>
              <w:keepNext w:val="0"/>
              <w:keepLines w:val="0"/>
              <w:pageBreakBefore w:val="0"/>
              <w:widowControl/>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CH</w:t>
            </w:r>
            <w:r>
              <w:rPr>
                <w:rFonts w:hint="default" w:ascii="Times New Roman" w:hAnsi="Times New Roman" w:cs="Times New Roman"/>
                <w:color w:val="auto"/>
                <w:kern w:val="0"/>
                <w:sz w:val="21"/>
                <w:szCs w:val="21"/>
                <w:highlight w:val="none"/>
                <w:vertAlign w:val="subscript"/>
              </w:rPr>
              <w:t>4</w:t>
            </w:r>
          </w:p>
        </w:tc>
        <w:tc>
          <w:tcPr>
            <w:tcW w:w="1181" w:type="pct"/>
            <w:gridSpan w:val="2"/>
            <w:tcBorders>
              <w:tl2br w:val="nil"/>
              <w:tr2bl w:val="nil"/>
            </w:tcBorders>
            <w:noWrap w:val="0"/>
            <w:tcMar>
              <w:top w:w="28" w:type="dxa"/>
              <w:left w:w="57" w:type="dxa"/>
              <w:bottom w:w="28" w:type="dxa"/>
              <w:right w:w="57" w:type="dxa"/>
            </w:tcMar>
            <w:vAlign w:val="center"/>
          </w:tcPr>
          <w:p w14:paraId="7E37F931">
            <w:pPr>
              <w:keepNext w:val="0"/>
              <w:keepLines w:val="0"/>
              <w:pageBreakBefore w:val="0"/>
              <w:widowControl/>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分子量</w:t>
            </w:r>
          </w:p>
        </w:tc>
        <w:tc>
          <w:tcPr>
            <w:tcW w:w="1410" w:type="pct"/>
            <w:gridSpan w:val="2"/>
            <w:tcBorders>
              <w:tl2br w:val="nil"/>
              <w:tr2bl w:val="nil"/>
            </w:tcBorders>
            <w:noWrap w:val="0"/>
            <w:tcMar>
              <w:top w:w="0" w:type="dxa"/>
              <w:left w:w="57" w:type="dxa"/>
              <w:bottom w:w="0" w:type="dxa"/>
              <w:right w:w="57" w:type="dxa"/>
            </w:tcMar>
            <w:vAlign w:val="center"/>
          </w:tcPr>
          <w:p w14:paraId="0041A8CB">
            <w:pPr>
              <w:keepNext w:val="0"/>
              <w:keepLines w:val="0"/>
              <w:pageBreakBefore w:val="0"/>
              <w:widowControl/>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16.05</w:t>
            </w:r>
          </w:p>
        </w:tc>
      </w:tr>
      <w:tr w14:paraId="6A432C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939" w:hRule="atLeast"/>
          <w:jc w:val="center"/>
        </w:trPr>
        <w:tc>
          <w:tcPr>
            <w:tcW w:w="512" w:type="pct"/>
            <w:tcBorders>
              <w:tl2br w:val="nil"/>
              <w:tr2bl w:val="nil"/>
            </w:tcBorders>
            <w:noWrap w:val="0"/>
            <w:tcMar>
              <w:top w:w="28" w:type="dxa"/>
              <w:left w:w="57" w:type="dxa"/>
              <w:bottom w:w="28" w:type="dxa"/>
              <w:right w:w="57" w:type="dxa"/>
            </w:tcMar>
            <w:vAlign w:val="center"/>
          </w:tcPr>
          <w:p w14:paraId="3E22F981">
            <w:pPr>
              <w:keepNext w:val="0"/>
              <w:keepLines w:val="0"/>
              <w:pageBreakBefore w:val="0"/>
              <w:widowControl/>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危险</w:t>
            </w:r>
          </w:p>
          <w:p w14:paraId="7372C193">
            <w:pPr>
              <w:keepNext w:val="0"/>
              <w:keepLines w:val="0"/>
              <w:pageBreakBefore w:val="0"/>
              <w:widowControl/>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特性</w:t>
            </w:r>
          </w:p>
        </w:tc>
        <w:tc>
          <w:tcPr>
            <w:tcW w:w="4487" w:type="pct"/>
            <w:gridSpan w:val="7"/>
            <w:tcBorders>
              <w:tl2br w:val="nil"/>
              <w:tr2bl w:val="nil"/>
            </w:tcBorders>
            <w:noWrap w:val="0"/>
            <w:tcMar>
              <w:top w:w="28" w:type="dxa"/>
              <w:left w:w="11" w:type="dxa"/>
              <w:bottom w:w="28" w:type="dxa"/>
              <w:right w:w="11" w:type="dxa"/>
            </w:tcMar>
            <w:vAlign w:val="center"/>
          </w:tcPr>
          <w:p w14:paraId="113DC9D7">
            <w:pPr>
              <w:keepNext w:val="0"/>
              <w:keepLines w:val="0"/>
              <w:pageBreakBefore w:val="0"/>
              <w:widowControl/>
              <w:kinsoku/>
              <w:wordWrap/>
              <w:overflowPunct/>
              <w:topLinePunct/>
              <w:autoSpaceDE/>
              <w:autoSpaceDN/>
              <w:bidi w:val="0"/>
              <w:adjustRightInd/>
              <w:snapToGrid/>
              <w:spacing w:line="240" w:lineRule="auto"/>
              <w:jc w:val="both"/>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危险性类别：第2.1类易燃气体。</w:t>
            </w:r>
          </w:p>
          <w:p w14:paraId="55DA58C5">
            <w:pPr>
              <w:keepNext w:val="0"/>
              <w:keepLines w:val="0"/>
              <w:pageBreakBefore w:val="0"/>
              <w:widowControl/>
              <w:kinsoku/>
              <w:wordWrap/>
              <w:overflowPunct/>
              <w:topLinePunct/>
              <w:autoSpaceDE/>
              <w:autoSpaceDN/>
              <w:bidi w:val="0"/>
              <w:adjustRightInd/>
              <w:snapToGrid/>
              <w:spacing w:line="240" w:lineRule="auto"/>
              <w:jc w:val="both"/>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侵入途径：吸入。</w:t>
            </w:r>
          </w:p>
          <w:p w14:paraId="05D0AC7D">
            <w:pPr>
              <w:keepNext w:val="0"/>
              <w:keepLines w:val="0"/>
              <w:pageBreakBefore w:val="0"/>
              <w:widowControl/>
              <w:kinsoku/>
              <w:wordWrap/>
              <w:overflowPunct/>
              <w:topLinePunct/>
              <w:autoSpaceDE/>
              <w:autoSpaceDN/>
              <w:bidi w:val="0"/>
              <w:adjustRightInd/>
              <w:snapToGrid/>
              <w:spacing w:line="240" w:lineRule="auto"/>
              <w:jc w:val="both"/>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健康危害：空气中甲烷浓度过高，能使人窒息。当空气中甲烷达25%</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30%时，可引起头痛、头晕、乏力、注意力不集中、呼吸和心跳加速、共济失调。若不及时脱离，可致窒息死亡。皮肤接触液化气体可致冻伤。</w:t>
            </w:r>
          </w:p>
          <w:p w14:paraId="5C471787">
            <w:pPr>
              <w:keepNext w:val="0"/>
              <w:keepLines w:val="0"/>
              <w:pageBreakBefore w:val="0"/>
              <w:widowControl/>
              <w:kinsoku/>
              <w:wordWrap/>
              <w:overflowPunct/>
              <w:topLinePunct/>
              <w:autoSpaceDE/>
              <w:autoSpaceDN/>
              <w:bidi w:val="0"/>
              <w:adjustRightInd/>
              <w:snapToGrid/>
              <w:spacing w:line="240" w:lineRule="auto"/>
              <w:jc w:val="both"/>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环境危害：对环境有害。</w:t>
            </w:r>
          </w:p>
          <w:p w14:paraId="2D5734F4">
            <w:pPr>
              <w:keepNext w:val="0"/>
              <w:keepLines w:val="0"/>
              <w:pageBreakBefore w:val="0"/>
              <w:widowControl/>
              <w:kinsoku/>
              <w:wordWrap/>
              <w:overflowPunct/>
              <w:topLinePunct/>
              <w:autoSpaceDE/>
              <w:autoSpaceDN/>
              <w:bidi w:val="0"/>
              <w:adjustRightInd/>
              <w:snapToGrid/>
              <w:spacing w:line="240" w:lineRule="auto"/>
              <w:jc w:val="both"/>
              <w:textAlignment w:val="auto"/>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燃爆危险：易燃，与空气混合能形成爆炸性混合物。</w:t>
            </w:r>
          </w:p>
        </w:tc>
      </w:tr>
      <w:tr w14:paraId="104019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340" w:hRule="atLeast"/>
          <w:jc w:val="center"/>
        </w:trPr>
        <w:tc>
          <w:tcPr>
            <w:tcW w:w="512" w:type="pct"/>
            <w:tcBorders>
              <w:tl2br w:val="nil"/>
              <w:tr2bl w:val="nil"/>
            </w:tcBorders>
            <w:noWrap w:val="0"/>
            <w:tcMar>
              <w:top w:w="28" w:type="dxa"/>
              <w:left w:w="57" w:type="dxa"/>
              <w:bottom w:w="28" w:type="dxa"/>
              <w:right w:w="57" w:type="dxa"/>
            </w:tcMar>
            <w:vAlign w:val="center"/>
          </w:tcPr>
          <w:p w14:paraId="27727785">
            <w:pPr>
              <w:keepNext w:val="0"/>
              <w:keepLines w:val="0"/>
              <w:pageBreakBefore w:val="0"/>
              <w:widowControl/>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急救</w:t>
            </w:r>
          </w:p>
          <w:p w14:paraId="6CE2675F">
            <w:pPr>
              <w:keepNext w:val="0"/>
              <w:keepLines w:val="0"/>
              <w:pageBreakBefore w:val="0"/>
              <w:widowControl/>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措施</w:t>
            </w:r>
          </w:p>
        </w:tc>
        <w:tc>
          <w:tcPr>
            <w:tcW w:w="4487" w:type="pct"/>
            <w:gridSpan w:val="7"/>
            <w:tcBorders>
              <w:tl2br w:val="nil"/>
              <w:tr2bl w:val="nil"/>
            </w:tcBorders>
            <w:noWrap w:val="0"/>
            <w:tcMar>
              <w:top w:w="28" w:type="dxa"/>
              <w:left w:w="11" w:type="dxa"/>
              <w:bottom w:w="28" w:type="dxa"/>
              <w:right w:w="11" w:type="dxa"/>
            </w:tcMar>
            <w:vAlign w:val="center"/>
          </w:tcPr>
          <w:p w14:paraId="3DD86E79">
            <w:pPr>
              <w:keepNext w:val="0"/>
              <w:keepLines w:val="0"/>
              <w:pageBreakBefore w:val="0"/>
              <w:widowControl/>
              <w:kinsoku/>
              <w:wordWrap/>
              <w:overflowPunct/>
              <w:topLinePunct/>
              <w:autoSpaceDE/>
              <w:autoSpaceDN/>
              <w:bidi w:val="0"/>
              <w:adjustRightInd/>
              <w:snapToGrid/>
              <w:spacing w:line="240" w:lineRule="auto"/>
              <w:jc w:val="both"/>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皮肤接触：如果发生冻伤，将患部浸泡于保持在38~42℃的温水中复温。不要涂擦。不要使用热水或辐射热。使用清洁、干燥的敷料包扎。如有不适感，就医。</w:t>
            </w:r>
          </w:p>
          <w:p w14:paraId="58F9569D">
            <w:pPr>
              <w:keepNext w:val="0"/>
              <w:keepLines w:val="0"/>
              <w:pageBreakBefore w:val="0"/>
              <w:widowControl/>
              <w:kinsoku/>
              <w:wordWrap/>
              <w:overflowPunct/>
              <w:topLinePunct/>
              <w:autoSpaceDE/>
              <w:autoSpaceDN/>
              <w:bidi w:val="0"/>
              <w:adjustRightInd/>
              <w:snapToGrid/>
              <w:spacing w:line="240" w:lineRule="auto"/>
              <w:jc w:val="both"/>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吸入：迅速脱离现场至空气新鲜处。保持呼吸道通畅。如呼吸困难，给输氧。呼吸、心跳停止，立即进行心肺复苏术。就医。</w:t>
            </w:r>
          </w:p>
        </w:tc>
      </w:tr>
      <w:tr w14:paraId="23B369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340" w:hRule="atLeast"/>
          <w:jc w:val="center"/>
        </w:trPr>
        <w:tc>
          <w:tcPr>
            <w:tcW w:w="512" w:type="pct"/>
            <w:tcBorders>
              <w:tl2br w:val="nil"/>
              <w:tr2bl w:val="nil"/>
            </w:tcBorders>
            <w:noWrap w:val="0"/>
            <w:tcMar>
              <w:top w:w="28" w:type="dxa"/>
              <w:left w:w="57" w:type="dxa"/>
              <w:bottom w:w="28" w:type="dxa"/>
              <w:right w:w="57" w:type="dxa"/>
            </w:tcMar>
            <w:vAlign w:val="center"/>
          </w:tcPr>
          <w:p w14:paraId="2530E3D5">
            <w:pPr>
              <w:keepNext w:val="0"/>
              <w:keepLines w:val="0"/>
              <w:pageBreakBefore w:val="0"/>
              <w:widowControl/>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消防</w:t>
            </w:r>
          </w:p>
          <w:p w14:paraId="437F80B7">
            <w:pPr>
              <w:keepNext w:val="0"/>
              <w:keepLines w:val="0"/>
              <w:pageBreakBefore w:val="0"/>
              <w:widowControl/>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措施</w:t>
            </w:r>
          </w:p>
        </w:tc>
        <w:tc>
          <w:tcPr>
            <w:tcW w:w="4487" w:type="pct"/>
            <w:gridSpan w:val="7"/>
            <w:tcBorders>
              <w:tl2br w:val="nil"/>
              <w:tr2bl w:val="nil"/>
            </w:tcBorders>
            <w:noWrap w:val="0"/>
            <w:tcMar>
              <w:top w:w="28" w:type="dxa"/>
              <w:left w:w="11" w:type="dxa"/>
              <w:bottom w:w="28" w:type="dxa"/>
              <w:right w:w="11" w:type="dxa"/>
            </w:tcMar>
            <w:vAlign w:val="center"/>
          </w:tcPr>
          <w:p w14:paraId="2845A040">
            <w:pPr>
              <w:keepNext w:val="0"/>
              <w:keepLines w:val="0"/>
              <w:pageBreakBefore w:val="0"/>
              <w:widowControl/>
              <w:kinsoku/>
              <w:wordWrap/>
              <w:overflowPunct/>
              <w:topLinePunct/>
              <w:autoSpaceDE/>
              <w:autoSpaceDN/>
              <w:bidi w:val="0"/>
              <w:adjustRightInd/>
              <w:snapToGrid/>
              <w:spacing w:line="240" w:lineRule="auto"/>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危险特性：易燃，与空气混合能形成爆炸性混合物，遇热源和明火有燃烧爆炸的危险。与五氧化溴、氯气、次氯酸、三氟化氮、液氧、二氟化氧</w:t>
            </w:r>
            <w:r>
              <w:rPr>
                <w:rFonts w:hint="eastAsia" w:cs="Times New Roman"/>
                <w:color w:val="auto"/>
                <w:kern w:val="0"/>
                <w:sz w:val="21"/>
                <w:szCs w:val="21"/>
                <w:highlight w:val="none"/>
                <w:lang w:eastAsia="zh-CN"/>
              </w:rPr>
              <w:t>及其他</w:t>
            </w:r>
            <w:r>
              <w:rPr>
                <w:rFonts w:hint="default" w:ascii="Times New Roman" w:hAnsi="Times New Roman" w:cs="Times New Roman"/>
                <w:color w:val="auto"/>
                <w:kern w:val="0"/>
                <w:sz w:val="21"/>
                <w:szCs w:val="21"/>
                <w:highlight w:val="none"/>
              </w:rPr>
              <w:t>强氧化剂接触发生剧烈反应。有害燃烧产物：一氧化碳。</w:t>
            </w:r>
          </w:p>
          <w:p w14:paraId="32D9DF9B">
            <w:pPr>
              <w:keepNext w:val="0"/>
              <w:keepLines w:val="0"/>
              <w:pageBreakBefore w:val="0"/>
              <w:widowControl/>
              <w:kinsoku/>
              <w:wordWrap/>
              <w:overflowPunct/>
              <w:topLinePunct/>
              <w:autoSpaceDE/>
              <w:autoSpaceDN/>
              <w:bidi w:val="0"/>
              <w:adjustRightInd/>
              <w:snapToGrid/>
              <w:spacing w:line="240" w:lineRule="auto"/>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灭火方法：用雾状水、泡沫、二氧化碳、干粉灭火。切断气源。若不能切断气源，则不允许熄灭泄漏处的火焰。消防人员必须佩戴空气呼吸器、穿全身防火防毒服，在上风向灭火。尽可能将容器从火场移至空旷处。喷水保持火场容器冷却，直至灭火结束。</w:t>
            </w:r>
          </w:p>
        </w:tc>
      </w:tr>
      <w:tr w14:paraId="138CC0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340" w:hRule="atLeast"/>
          <w:jc w:val="center"/>
        </w:trPr>
        <w:tc>
          <w:tcPr>
            <w:tcW w:w="512" w:type="pct"/>
            <w:tcBorders>
              <w:tl2br w:val="nil"/>
              <w:tr2bl w:val="nil"/>
            </w:tcBorders>
            <w:noWrap w:val="0"/>
            <w:tcMar>
              <w:top w:w="28" w:type="dxa"/>
              <w:left w:w="57" w:type="dxa"/>
              <w:bottom w:w="28" w:type="dxa"/>
              <w:right w:w="57" w:type="dxa"/>
            </w:tcMar>
            <w:vAlign w:val="center"/>
          </w:tcPr>
          <w:p w14:paraId="17965596">
            <w:pPr>
              <w:keepNext w:val="0"/>
              <w:keepLines w:val="0"/>
              <w:pageBreakBefore w:val="0"/>
              <w:widowControl/>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泄漏应急处理</w:t>
            </w:r>
          </w:p>
        </w:tc>
        <w:tc>
          <w:tcPr>
            <w:tcW w:w="4487" w:type="pct"/>
            <w:gridSpan w:val="7"/>
            <w:tcBorders>
              <w:tl2br w:val="nil"/>
              <w:tr2bl w:val="nil"/>
            </w:tcBorders>
            <w:noWrap w:val="0"/>
            <w:tcMar>
              <w:top w:w="28" w:type="dxa"/>
              <w:left w:w="11" w:type="dxa"/>
              <w:bottom w:w="28" w:type="dxa"/>
              <w:right w:w="11" w:type="dxa"/>
            </w:tcMar>
            <w:vAlign w:val="center"/>
          </w:tcPr>
          <w:p w14:paraId="6F949CC4">
            <w:pPr>
              <w:keepNext w:val="0"/>
              <w:keepLines w:val="0"/>
              <w:pageBreakBefore w:val="0"/>
              <w:widowControl/>
              <w:kinsoku/>
              <w:wordWrap/>
              <w:overflowPunct/>
              <w:topLinePunct/>
              <w:autoSpaceDE/>
              <w:autoSpaceDN/>
              <w:bidi w:val="0"/>
              <w:adjustRightInd/>
              <w:snapToGrid/>
              <w:spacing w:line="240" w:lineRule="auto"/>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消除所有点火源。根据气体扩散的影响区域划定警戒区，无关人员从侧风、上风向撤离至安全区。建议应急处理人员戴正压自给式呼吸器，穿防静电服。作业时使用的所有设备应接地。禁止接触或跨越泄漏物。尽可能切断泄漏源。若可能翻转容器，使之逸出气体而非液体。喷雾状水抑制蒸气或改变蒸气云流向，避免水流接触泄漏物。禁止用水直接冲击泄漏物或泄漏源。防止气体通过下水道、通风系统和限制性空间扩散。隔离</w:t>
            </w:r>
            <w:r>
              <w:rPr>
                <w:rFonts w:hint="default" w:ascii="Times New Roman" w:hAnsi="Times New Roman" w:cs="Times New Roman"/>
                <w:color w:val="auto"/>
                <w:kern w:val="0"/>
                <w:sz w:val="21"/>
                <w:szCs w:val="21"/>
                <w:highlight w:val="none"/>
                <w:lang w:eastAsia="zh-CN"/>
              </w:rPr>
              <w:t>泄漏</w:t>
            </w:r>
            <w:r>
              <w:rPr>
                <w:rFonts w:hint="default" w:ascii="Times New Roman" w:hAnsi="Times New Roman" w:cs="Times New Roman"/>
                <w:color w:val="auto"/>
                <w:kern w:val="0"/>
                <w:sz w:val="21"/>
                <w:szCs w:val="21"/>
                <w:highlight w:val="none"/>
              </w:rPr>
              <w:t>区直至气体散尽。</w:t>
            </w:r>
          </w:p>
        </w:tc>
      </w:tr>
      <w:tr w14:paraId="39E490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340" w:hRule="atLeast"/>
          <w:jc w:val="center"/>
        </w:trPr>
        <w:tc>
          <w:tcPr>
            <w:tcW w:w="512" w:type="pct"/>
            <w:tcBorders>
              <w:tl2br w:val="nil"/>
              <w:tr2bl w:val="nil"/>
            </w:tcBorders>
            <w:noWrap w:val="0"/>
            <w:tcMar>
              <w:top w:w="28" w:type="dxa"/>
              <w:left w:w="57" w:type="dxa"/>
              <w:bottom w:w="28" w:type="dxa"/>
              <w:right w:w="57" w:type="dxa"/>
            </w:tcMar>
            <w:vAlign w:val="center"/>
          </w:tcPr>
          <w:p w14:paraId="609D8977">
            <w:pPr>
              <w:keepNext w:val="0"/>
              <w:keepLines w:val="0"/>
              <w:pageBreakBefore w:val="0"/>
              <w:widowControl/>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操作处置与储存</w:t>
            </w:r>
          </w:p>
        </w:tc>
        <w:tc>
          <w:tcPr>
            <w:tcW w:w="4487" w:type="pct"/>
            <w:gridSpan w:val="7"/>
            <w:tcBorders>
              <w:tl2br w:val="nil"/>
              <w:tr2bl w:val="nil"/>
            </w:tcBorders>
            <w:noWrap w:val="0"/>
            <w:tcMar>
              <w:top w:w="28" w:type="dxa"/>
              <w:left w:w="11" w:type="dxa"/>
              <w:bottom w:w="28" w:type="dxa"/>
              <w:right w:w="11" w:type="dxa"/>
            </w:tcMar>
            <w:vAlign w:val="center"/>
          </w:tcPr>
          <w:p w14:paraId="1998B374">
            <w:pPr>
              <w:keepNext w:val="0"/>
              <w:keepLines w:val="0"/>
              <w:pageBreakBefore w:val="0"/>
              <w:widowControl/>
              <w:kinsoku/>
              <w:wordWrap/>
              <w:overflowPunct/>
              <w:topLinePunct/>
              <w:autoSpaceDE/>
              <w:autoSpaceDN/>
              <w:bidi w:val="0"/>
              <w:adjustRightInd/>
              <w:snapToGrid/>
              <w:spacing w:line="240" w:lineRule="auto"/>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操作注意事项：密闭操作，全面通风。操作人员必须经过专门培训，严格遵守操作规程。远离火种、热源，工作场所严禁吸烟。使用防爆型的通风系统和设备。防止气体泄漏到工作场所空气中。避免与氧化剂接触。在传送过程中，钢瓶和容器必须接地和跨接，防止产生静电。搬运时轻装轻卸，防止钢瓶及附件破损。配备相应品种和数量的消防器材及泄漏应急处理设备。</w:t>
            </w:r>
          </w:p>
          <w:p w14:paraId="14E98B40">
            <w:pPr>
              <w:keepNext w:val="0"/>
              <w:keepLines w:val="0"/>
              <w:pageBreakBefore w:val="0"/>
              <w:widowControl/>
              <w:kinsoku/>
              <w:wordWrap/>
              <w:overflowPunct/>
              <w:topLinePunct/>
              <w:autoSpaceDE/>
              <w:autoSpaceDN/>
              <w:bidi w:val="0"/>
              <w:adjustRightInd/>
              <w:snapToGrid/>
              <w:spacing w:line="240" w:lineRule="auto"/>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储存注意事项：钢瓶装本品储存于阴凉、通风的易燃气体专用库房。远离火种、热源。库温不宜超过30℃。应与氧化剂等分开存放，切忌混储。采用防爆型照明、通风设施。禁止使用易产生火花的机械设备和工具。储区应备有泄漏应急处理设备。</w:t>
            </w:r>
          </w:p>
        </w:tc>
      </w:tr>
      <w:tr w14:paraId="534857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340" w:hRule="atLeast"/>
          <w:jc w:val="center"/>
        </w:trPr>
        <w:tc>
          <w:tcPr>
            <w:tcW w:w="512" w:type="pct"/>
            <w:tcBorders>
              <w:tl2br w:val="nil"/>
              <w:tr2bl w:val="nil"/>
            </w:tcBorders>
            <w:noWrap w:val="0"/>
            <w:tcMar>
              <w:top w:w="28" w:type="dxa"/>
              <w:left w:w="57" w:type="dxa"/>
              <w:bottom w:w="28" w:type="dxa"/>
              <w:right w:w="57" w:type="dxa"/>
            </w:tcMar>
            <w:vAlign w:val="center"/>
          </w:tcPr>
          <w:p w14:paraId="639D347B">
            <w:pPr>
              <w:keepNext w:val="0"/>
              <w:keepLines w:val="0"/>
              <w:pageBreakBefore w:val="0"/>
              <w:widowControl/>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接触控制/个体防护</w:t>
            </w:r>
          </w:p>
        </w:tc>
        <w:tc>
          <w:tcPr>
            <w:tcW w:w="4487" w:type="pct"/>
            <w:gridSpan w:val="7"/>
            <w:tcBorders>
              <w:tl2br w:val="nil"/>
              <w:tr2bl w:val="nil"/>
            </w:tcBorders>
            <w:noWrap w:val="0"/>
            <w:tcMar>
              <w:top w:w="28" w:type="dxa"/>
              <w:left w:w="11" w:type="dxa"/>
              <w:bottom w:w="28" w:type="dxa"/>
              <w:right w:w="11" w:type="dxa"/>
            </w:tcMar>
            <w:vAlign w:val="center"/>
          </w:tcPr>
          <w:p w14:paraId="645E3A49">
            <w:pPr>
              <w:keepNext w:val="0"/>
              <w:keepLines w:val="0"/>
              <w:pageBreakBefore w:val="0"/>
              <w:widowControl/>
              <w:kinsoku/>
              <w:wordWrap/>
              <w:overflowPunct/>
              <w:topLinePunct/>
              <w:autoSpaceDE/>
              <w:autoSpaceDN/>
              <w:bidi w:val="0"/>
              <w:adjustRightInd/>
              <w:snapToGrid/>
              <w:spacing w:line="240" w:lineRule="auto"/>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工程控制：生产过程密闭，全面通风。</w:t>
            </w:r>
          </w:p>
          <w:p w14:paraId="00B9627C">
            <w:pPr>
              <w:keepNext w:val="0"/>
              <w:keepLines w:val="0"/>
              <w:pageBreakBefore w:val="0"/>
              <w:widowControl/>
              <w:kinsoku/>
              <w:wordWrap/>
              <w:overflowPunct/>
              <w:topLinePunct/>
              <w:autoSpaceDE/>
              <w:autoSpaceDN/>
              <w:bidi w:val="0"/>
              <w:adjustRightInd/>
              <w:snapToGrid/>
              <w:spacing w:line="240" w:lineRule="auto"/>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呼吸系统防护：一般不需要特殊防护，但建议特殊情况下，佩戴过滤式防毒面具（半面罩）。</w:t>
            </w:r>
          </w:p>
          <w:p w14:paraId="58B34B93">
            <w:pPr>
              <w:keepNext w:val="0"/>
              <w:keepLines w:val="0"/>
              <w:pageBreakBefore w:val="0"/>
              <w:widowControl/>
              <w:kinsoku/>
              <w:wordWrap/>
              <w:overflowPunct/>
              <w:topLinePunct/>
              <w:autoSpaceDE/>
              <w:autoSpaceDN/>
              <w:bidi w:val="0"/>
              <w:adjustRightInd/>
              <w:snapToGrid/>
              <w:spacing w:line="240" w:lineRule="auto"/>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眼睛防护：一般不需要特殊防护，高浓度接触时可戴安全防护眼镜。</w:t>
            </w:r>
          </w:p>
          <w:p w14:paraId="6C02FEE4">
            <w:pPr>
              <w:keepNext w:val="0"/>
              <w:keepLines w:val="0"/>
              <w:pageBreakBefore w:val="0"/>
              <w:widowControl/>
              <w:kinsoku/>
              <w:wordWrap/>
              <w:overflowPunct/>
              <w:topLinePunct/>
              <w:autoSpaceDE/>
              <w:autoSpaceDN/>
              <w:bidi w:val="0"/>
              <w:adjustRightInd/>
              <w:snapToGrid/>
              <w:spacing w:line="240" w:lineRule="auto"/>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身体防护：穿防静电工作服。</w:t>
            </w:r>
          </w:p>
          <w:p w14:paraId="5266CF96">
            <w:pPr>
              <w:keepNext w:val="0"/>
              <w:keepLines w:val="0"/>
              <w:pageBreakBefore w:val="0"/>
              <w:widowControl/>
              <w:kinsoku/>
              <w:wordWrap/>
              <w:overflowPunct/>
              <w:topLinePunct/>
              <w:autoSpaceDE/>
              <w:autoSpaceDN/>
              <w:bidi w:val="0"/>
              <w:adjustRightInd/>
              <w:snapToGrid/>
              <w:spacing w:line="240" w:lineRule="auto"/>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手防护：戴一般作业防护手套。</w:t>
            </w:r>
          </w:p>
          <w:p w14:paraId="07E3BC5D">
            <w:pPr>
              <w:keepNext w:val="0"/>
              <w:keepLines w:val="0"/>
              <w:pageBreakBefore w:val="0"/>
              <w:widowControl/>
              <w:kinsoku/>
              <w:wordWrap/>
              <w:overflowPunct/>
              <w:topLinePunct/>
              <w:autoSpaceDE/>
              <w:autoSpaceDN/>
              <w:bidi w:val="0"/>
              <w:adjustRightInd/>
              <w:snapToGrid/>
              <w:spacing w:line="240" w:lineRule="auto"/>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其他防护：工作现场严禁吸烟。避免长期反复接触。进入限制性空间或</w:t>
            </w:r>
            <w:r>
              <w:rPr>
                <w:rFonts w:hint="eastAsia" w:cs="Times New Roman"/>
                <w:color w:val="auto"/>
                <w:kern w:val="0"/>
                <w:sz w:val="21"/>
                <w:szCs w:val="21"/>
                <w:highlight w:val="none"/>
                <w:lang w:eastAsia="zh-CN"/>
              </w:rPr>
              <w:t>其他</w:t>
            </w:r>
            <w:r>
              <w:rPr>
                <w:rFonts w:hint="default" w:ascii="Times New Roman" w:hAnsi="Times New Roman" w:cs="Times New Roman"/>
                <w:color w:val="auto"/>
                <w:kern w:val="0"/>
                <w:sz w:val="21"/>
                <w:szCs w:val="21"/>
                <w:highlight w:val="none"/>
              </w:rPr>
              <w:t>高浓度区作业，须有人监护。</w:t>
            </w:r>
          </w:p>
        </w:tc>
      </w:tr>
      <w:tr w14:paraId="275506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331" w:hRule="atLeast"/>
          <w:jc w:val="center"/>
        </w:trPr>
        <w:tc>
          <w:tcPr>
            <w:tcW w:w="512" w:type="pct"/>
            <w:vMerge w:val="restart"/>
            <w:tcBorders>
              <w:tl2br w:val="nil"/>
              <w:tr2bl w:val="nil"/>
            </w:tcBorders>
            <w:noWrap w:val="0"/>
            <w:tcMar>
              <w:top w:w="28" w:type="dxa"/>
              <w:left w:w="57" w:type="dxa"/>
              <w:bottom w:w="28" w:type="dxa"/>
              <w:right w:w="57" w:type="dxa"/>
            </w:tcMar>
            <w:vAlign w:val="center"/>
          </w:tcPr>
          <w:p w14:paraId="7F748B82">
            <w:pPr>
              <w:keepNext w:val="0"/>
              <w:keepLines w:val="0"/>
              <w:pageBreakBefore w:val="0"/>
              <w:widowControl/>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理化</w:t>
            </w:r>
          </w:p>
          <w:p w14:paraId="6293455D">
            <w:pPr>
              <w:keepNext w:val="0"/>
              <w:keepLines w:val="0"/>
              <w:pageBreakBefore w:val="0"/>
              <w:widowControl/>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特性</w:t>
            </w:r>
          </w:p>
        </w:tc>
        <w:tc>
          <w:tcPr>
            <w:tcW w:w="765" w:type="pct"/>
            <w:tcBorders>
              <w:tl2br w:val="nil"/>
              <w:tr2bl w:val="nil"/>
            </w:tcBorders>
            <w:noWrap w:val="0"/>
            <w:tcMar>
              <w:top w:w="28" w:type="dxa"/>
              <w:left w:w="11" w:type="dxa"/>
              <w:bottom w:w="28" w:type="dxa"/>
              <w:right w:w="11" w:type="dxa"/>
            </w:tcMar>
            <w:vAlign w:val="center"/>
          </w:tcPr>
          <w:p w14:paraId="7D2EDE86">
            <w:pPr>
              <w:keepNext w:val="0"/>
              <w:keepLines w:val="0"/>
              <w:pageBreakBefore w:val="0"/>
              <w:widowControl/>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外观与性状</w:t>
            </w:r>
          </w:p>
        </w:tc>
        <w:tc>
          <w:tcPr>
            <w:tcW w:w="1792" w:type="pct"/>
            <w:gridSpan w:val="3"/>
            <w:tcBorders>
              <w:tl2br w:val="nil"/>
              <w:tr2bl w:val="nil"/>
            </w:tcBorders>
            <w:noWrap w:val="0"/>
            <w:vAlign w:val="center"/>
          </w:tcPr>
          <w:p w14:paraId="247FD672">
            <w:pPr>
              <w:keepNext w:val="0"/>
              <w:keepLines w:val="0"/>
              <w:pageBreakBefore w:val="0"/>
              <w:widowControl/>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无色无味气体</w:t>
            </w:r>
          </w:p>
        </w:tc>
        <w:tc>
          <w:tcPr>
            <w:tcW w:w="682" w:type="pct"/>
            <w:gridSpan w:val="2"/>
            <w:tcBorders>
              <w:tl2br w:val="nil"/>
              <w:tr2bl w:val="nil"/>
            </w:tcBorders>
            <w:noWrap w:val="0"/>
            <w:vAlign w:val="center"/>
          </w:tcPr>
          <w:p w14:paraId="05F0885D">
            <w:pPr>
              <w:keepNext w:val="0"/>
              <w:keepLines w:val="0"/>
              <w:pageBreakBefore w:val="0"/>
              <w:widowControl/>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eastAsia="zh-CN"/>
              </w:rPr>
              <w:t>饱和蒸汽</w:t>
            </w:r>
            <w:r>
              <w:rPr>
                <w:rFonts w:hint="default" w:ascii="Times New Roman" w:hAnsi="Times New Roman" w:cs="Times New Roman"/>
                <w:color w:val="auto"/>
                <w:kern w:val="0"/>
                <w:sz w:val="21"/>
                <w:szCs w:val="21"/>
                <w:highlight w:val="none"/>
              </w:rPr>
              <w:t>压</w:t>
            </w:r>
          </w:p>
        </w:tc>
        <w:tc>
          <w:tcPr>
            <w:tcW w:w="1247" w:type="pct"/>
            <w:tcBorders>
              <w:tl2br w:val="nil"/>
              <w:tr2bl w:val="nil"/>
            </w:tcBorders>
            <w:noWrap w:val="0"/>
            <w:vAlign w:val="center"/>
          </w:tcPr>
          <w:p w14:paraId="0A636A49">
            <w:pPr>
              <w:keepNext w:val="0"/>
              <w:keepLines w:val="0"/>
              <w:pageBreakBefore w:val="0"/>
              <w:widowControl/>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53.32kPa/-168.8℃</w:t>
            </w:r>
          </w:p>
        </w:tc>
      </w:tr>
      <w:tr w14:paraId="30C11D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90" w:hRule="atLeast"/>
          <w:jc w:val="center"/>
        </w:trPr>
        <w:tc>
          <w:tcPr>
            <w:tcW w:w="512" w:type="pct"/>
            <w:vMerge w:val="continue"/>
            <w:tcBorders>
              <w:tl2br w:val="nil"/>
              <w:tr2bl w:val="nil"/>
            </w:tcBorders>
            <w:noWrap w:val="0"/>
            <w:vAlign w:val="center"/>
          </w:tcPr>
          <w:p w14:paraId="37766211">
            <w:pPr>
              <w:keepNext w:val="0"/>
              <w:keepLines w:val="0"/>
              <w:pageBreakBefore w:val="0"/>
              <w:widowControl/>
              <w:kinsoku/>
              <w:wordWrap/>
              <w:overflowPunct/>
              <w:autoSpaceDE/>
              <w:autoSpaceDN/>
              <w:bidi w:val="0"/>
              <w:adjustRightInd/>
              <w:snapToGrid/>
              <w:spacing w:line="240" w:lineRule="auto"/>
              <w:jc w:val="left"/>
              <w:textAlignment w:val="auto"/>
              <w:rPr>
                <w:rFonts w:hint="default" w:ascii="Times New Roman" w:hAnsi="Times New Roman" w:cs="Times New Roman"/>
                <w:color w:val="auto"/>
                <w:kern w:val="0"/>
                <w:sz w:val="21"/>
                <w:szCs w:val="21"/>
                <w:highlight w:val="none"/>
              </w:rPr>
            </w:pPr>
          </w:p>
        </w:tc>
        <w:tc>
          <w:tcPr>
            <w:tcW w:w="765" w:type="pct"/>
            <w:tcBorders>
              <w:tl2br w:val="nil"/>
              <w:tr2bl w:val="nil"/>
            </w:tcBorders>
            <w:noWrap w:val="0"/>
            <w:tcMar>
              <w:top w:w="28" w:type="dxa"/>
              <w:left w:w="11" w:type="dxa"/>
              <w:bottom w:w="28" w:type="dxa"/>
              <w:right w:w="11" w:type="dxa"/>
            </w:tcMar>
            <w:vAlign w:val="center"/>
          </w:tcPr>
          <w:p w14:paraId="437138F5">
            <w:pPr>
              <w:keepNext w:val="0"/>
              <w:keepLines w:val="0"/>
              <w:pageBreakBefore w:val="0"/>
              <w:widowControl/>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沸点</w:t>
            </w:r>
          </w:p>
        </w:tc>
        <w:tc>
          <w:tcPr>
            <w:tcW w:w="1792" w:type="pct"/>
            <w:gridSpan w:val="3"/>
            <w:tcBorders>
              <w:tl2br w:val="nil"/>
              <w:tr2bl w:val="nil"/>
            </w:tcBorders>
            <w:noWrap w:val="0"/>
            <w:vAlign w:val="center"/>
          </w:tcPr>
          <w:p w14:paraId="3D0009DA">
            <w:pPr>
              <w:keepNext w:val="0"/>
              <w:keepLines w:val="0"/>
              <w:pageBreakBefore w:val="0"/>
              <w:widowControl/>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-161.4℃</w:t>
            </w:r>
          </w:p>
        </w:tc>
        <w:tc>
          <w:tcPr>
            <w:tcW w:w="682" w:type="pct"/>
            <w:gridSpan w:val="2"/>
            <w:tcBorders>
              <w:tl2br w:val="nil"/>
              <w:tr2bl w:val="nil"/>
            </w:tcBorders>
            <w:noWrap w:val="0"/>
            <w:vAlign w:val="center"/>
          </w:tcPr>
          <w:p w14:paraId="5905A72C">
            <w:pPr>
              <w:keepNext w:val="0"/>
              <w:keepLines w:val="0"/>
              <w:pageBreakBefore w:val="0"/>
              <w:widowControl/>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闪点</w:t>
            </w:r>
          </w:p>
        </w:tc>
        <w:tc>
          <w:tcPr>
            <w:tcW w:w="1247" w:type="pct"/>
            <w:tcBorders>
              <w:tl2br w:val="nil"/>
              <w:tr2bl w:val="nil"/>
            </w:tcBorders>
            <w:noWrap w:val="0"/>
            <w:vAlign w:val="center"/>
          </w:tcPr>
          <w:p w14:paraId="7FA21867">
            <w:pPr>
              <w:keepNext w:val="0"/>
              <w:keepLines w:val="0"/>
              <w:pageBreakBefore w:val="0"/>
              <w:widowControl/>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-218℃</w:t>
            </w:r>
          </w:p>
        </w:tc>
      </w:tr>
      <w:tr w14:paraId="2D139A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340" w:hRule="atLeast"/>
          <w:jc w:val="center"/>
        </w:trPr>
        <w:tc>
          <w:tcPr>
            <w:tcW w:w="512" w:type="pct"/>
            <w:vMerge w:val="continue"/>
            <w:tcBorders>
              <w:tl2br w:val="nil"/>
              <w:tr2bl w:val="nil"/>
            </w:tcBorders>
            <w:noWrap w:val="0"/>
            <w:vAlign w:val="center"/>
          </w:tcPr>
          <w:p w14:paraId="4211DF3A">
            <w:pPr>
              <w:keepNext w:val="0"/>
              <w:keepLines w:val="0"/>
              <w:pageBreakBefore w:val="0"/>
              <w:widowControl/>
              <w:kinsoku/>
              <w:wordWrap/>
              <w:overflowPunct/>
              <w:autoSpaceDE/>
              <w:autoSpaceDN/>
              <w:bidi w:val="0"/>
              <w:adjustRightInd/>
              <w:snapToGrid/>
              <w:spacing w:line="240" w:lineRule="auto"/>
              <w:jc w:val="left"/>
              <w:textAlignment w:val="auto"/>
              <w:rPr>
                <w:rFonts w:hint="default" w:ascii="Times New Roman" w:hAnsi="Times New Roman" w:cs="Times New Roman"/>
                <w:color w:val="auto"/>
                <w:kern w:val="0"/>
                <w:sz w:val="21"/>
                <w:szCs w:val="21"/>
                <w:highlight w:val="none"/>
              </w:rPr>
            </w:pPr>
          </w:p>
        </w:tc>
        <w:tc>
          <w:tcPr>
            <w:tcW w:w="765" w:type="pct"/>
            <w:tcBorders>
              <w:tl2br w:val="nil"/>
              <w:tr2bl w:val="nil"/>
            </w:tcBorders>
            <w:noWrap w:val="0"/>
            <w:tcMar>
              <w:top w:w="28" w:type="dxa"/>
              <w:left w:w="11" w:type="dxa"/>
              <w:bottom w:w="28" w:type="dxa"/>
              <w:right w:w="11" w:type="dxa"/>
            </w:tcMar>
            <w:vAlign w:val="center"/>
          </w:tcPr>
          <w:p w14:paraId="5393B3AC">
            <w:pPr>
              <w:keepNext w:val="0"/>
              <w:keepLines w:val="0"/>
              <w:pageBreakBefore w:val="0"/>
              <w:widowControl/>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熔点</w:t>
            </w:r>
          </w:p>
        </w:tc>
        <w:tc>
          <w:tcPr>
            <w:tcW w:w="1792" w:type="pct"/>
            <w:gridSpan w:val="3"/>
            <w:tcBorders>
              <w:tl2br w:val="nil"/>
              <w:tr2bl w:val="nil"/>
            </w:tcBorders>
            <w:noWrap w:val="0"/>
            <w:vAlign w:val="center"/>
          </w:tcPr>
          <w:p w14:paraId="4010E7AC">
            <w:pPr>
              <w:keepNext w:val="0"/>
              <w:keepLines w:val="0"/>
              <w:pageBreakBefore w:val="0"/>
              <w:widowControl/>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-182.6℃</w:t>
            </w:r>
          </w:p>
        </w:tc>
        <w:tc>
          <w:tcPr>
            <w:tcW w:w="682" w:type="pct"/>
            <w:gridSpan w:val="2"/>
            <w:tcBorders>
              <w:tl2br w:val="nil"/>
              <w:tr2bl w:val="nil"/>
            </w:tcBorders>
            <w:noWrap w:val="0"/>
            <w:vAlign w:val="center"/>
          </w:tcPr>
          <w:p w14:paraId="61AF8D6E">
            <w:pPr>
              <w:keepNext w:val="0"/>
              <w:keepLines w:val="0"/>
              <w:pageBreakBefore w:val="0"/>
              <w:widowControl/>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溶解性</w:t>
            </w:r>
          </w:p>
        </w:tc>
        <w:tc>
          <w:tcPr>
            <w:tcW w:w="1247" w:type="pct"/>
            <w:tcBorders>
              <w:tl2br w:val="nil"/>
              <w:tr2bl w:val="nil"/>
            </w:tcBorders>
            <w:noWrap w:val="0"/>
            <w:vAlign w:val="center"/>
          </w:tcPr>
          <w:p w14:paraId="1004853F">
            <w:pPr>
              <w:keepNext w:val="0"/>
              <w:keepLines w:val="0"/>
              <w:pageBreakBefore w:val="0"/>
              <w:widowControl/>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微溶于水，溶于乙醇、乙醚、苯、甲苯等。</w:t>
            </w:r>
          </w:p>
        </w:tc>
      </w:tr>
      <w:tr w14:paraId="667848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340" w:hRule="atLeast"/>
          <w:jc w:val="center"/>
        </w:trPr>
        <w:tc>
          <w:tcPr>
            <w:tcW w:w="512" w:type="pct"/>
            <w:vMerge w:val="continue"/>
            <w:tcBorders>
              <w:tl2br w:val="nil"/>
              <w:tr2bl w:val="nil"/>
            </w:tcBorders>
            <w:noWrap w:val="0"/>
            <w:vAlign w:val="center"/>
          </w:tcPr>
          <w:p w14:paraId="5FE7F9FE">
            <w:pPr>
              <w:keepNext w:val="0"/>
              <w:keepLines w:val="0"/>
              <w:pageBreakBefore w:val="0"/>
              <w:widowControl/>
              <w:kinsoku/>
              <w:wordWrap/>
              <w:overflowPunct/>
              <w:autoSpaceDE/>
              <w:autoSpaceDN/>
              <w:bidi w:val="0"/>
              <w:adjustRightInd/>
              <w:snapToGrid/>
              <w:spacing w:line="240" w:lineRule="auto"/>
              <w:jc w:val="left"/>
              <w:textAlignment w:val="auto"/>
              <w:rPr>
                <w:rFonts w:hint="default" w:ascii="Times New Roman" w:hAnsi="Times New Roman" w:cs="Times New Roman"/>
                <w:color w:val="auto"/>
                <w:kern w:val="0"/>
                <w:sz w:val="21"/>
                <w:szCs w:val="21"/>
                <w:highlight w:val="none"/>
              </w:rPr>
            </w:pPr>
          </w:p>
        </w:tc>
        <w:tc>
          <w:tcPr>
            <w:tcW w:w="765" w:type="pct"/>
            <w:tcBorders>
              <w:tl2br w:val="nil"/>
              <w:tr2bl w:val="nil"/>
            </w:tcBorders>
            <w:noWrap w:val="0"/>
            <w:tcMar>
              <w:top w:w="28" w:type="dxa"/>
              <w:left w:w="11" w:type="dxa"/>
              <w:bottom w:w="28" w:type="dxa"/>
              <w:right w:w="11" w:type="dxa"/>
            </w:tcMar>
            <w:vAlign w:val="center"/>
          </w:tcPr>
          <w:p w14:paraId="61B28F41">
            <w:pPr>
              <w:keepNext w:val="0"/>
              <w:keepLines w:val="0"/>
              <w:pageBreakBefore w:val="0"/>
              <w:widowControl/>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密度</w:t>
            </w:r>
          </w:p>
        </w:tc>
        <w:tc>
          <w:tcPr>
            <w:tcW w:w="1792" w:type="pct"/>
            <w:gridSpan w:val="3"/>
            <w:tcBorders>
              <w:tl2br w:val="nil"/>
              <w:tr2bl w:val="nil"/>
            </w:tcBorders>
            <w:noWrap w:val="0"/>
            <w:vAlign w:val="center"/>
          </w:tcPr>
          <w:p w14:paraId="34A2F4D8">
            <w:pPr>
              <w:keepNext w:val="0"/>
              <w:keepLines w:val="0"/>
              <w:pageBreakBefore w:val="0"/>
              <w:widowControl/>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相对密度（水=1）：0.42（-164℃）；相对蒸汽密度（空气=1）：0.6</w:t>
            </w:r>
          </w:p>
        </w:tc>
        <w:tc>
          <w:tcPr>
            <w:tcW w:w="682" w:type="pct"/>
            <w:gridSpan w:val="2"/>
            <w:tcBorders>
              <w:tl2br w:val="nil"/>
              <w:tr2bl w:val="nil"/>
            </w:tcBorders>
            <w:noWrap w:val="0"/>
            <w:vAlign w:val="center"/>
          </w:tcPr>
          <w:p w14:paraId="38FB2F07">
            <w:pPr>
              <w:keepNext w:val="0"/>
              <w:keepLines w:val="0"/>
              <w:pageBreakBefore w:val="0"/>
              <w:widowControl/>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稳定性</w:t>
            </w:r>
          </w:p>
        </w:tc>
        <w:tc>
          <w:tcPr>
            <w:tcW w:w="1247" w:type="pct"/>
            <w:tcBorders>
              <w:tl2br w:val="nil"/>
              <w:tr2bl w:val="nil"/>
            </w:tcBorders>
            <w:noWrap w:val="0"/>
            <w:vAlign w:val="center"/>
          </w:tcPr>
          <w:p w14:paraId="0C14F4E2">
            <w:pPr>
              <w:keepNext w:val="0"/>
              <w:keepLines w:val="0"/>
              <w:pageBreakBefore w:val="0"/>
              <w:widowControl/>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稳定</w:t>
            </w:r>
          </w:p>
        </w:tc>
      </w:tr>
      <w:tr w14:paraId="1388DD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340" w:hRule="atLeast"/>
          <w:jc w:val="center"/>
        </w:trPr>
        <w:tc>
          <w:tcPr>
            <w:tcW w:w="512" w:type="pct"/>
            <w:vMerge w:val="continue"/>
            <w:tcBorders>
              <w:tl2br w:val="nil"/>
              <w:tr2bl w:val="nil"/>
            </w:tcBorders>
            <w:noWrap w:val="0"/>
            <w:vAlign w:val="center"/>
          </w:tcPr>
          <w:p w14:paraId="0A6E0860">
            <w:pPr>
              <w:keepNext w:val="0"/>
              <w:keepLines w:val="0"/>
              <w:pageBreakBefore w:val="0"/>
              <w:widowControl/>
              <w:kinsoku/>
              <w:wordWrap/>
              <w:overflowPunct/>
              <w:autoSpaceDE/>
              <w:autoSpaceDN/>
              <w:bidi w:val="0"/>
              <w:adjustRightInd/>
              <w:snapToGrid/>
              <w:spacing w:line="240" w:lineRule="auto"/>
              <w:jc w:val="left"/>
              <w:textAlignment w:val="auto"/>
              <w:rPr>
                <w:rFonts w:hint="default" w:ascii="Times New Roman" w:hAnsi="Times New Roman" w:cs="Times New Roman"/>
                <w:color w:val="auto"/>
                <w:kern w:val="0"/>
                <w:sz w:val="21"/>
                <w:szCs w:val="21"/>
                <w:highlight w:val="none"/>
              </w:rPr>
            </w:pPr>
          </w:p>
        </w:tc>
        <w:tc>
          <w:tcPr>
            <w:tcW w:w="765" w:type="pct"/>
            <w:tcBorders>
              <w:tl2br w:val="nil"/>
              <w:tr2bl w:val="nil"/>
            </w:tcBorders>
            <w:noWrap w:val="0"/>
            <w:tcMar>
              <w:top w:w="28" w:type="dxa"/>
              <w:left w:w="11" w:type="dxa"/>
              <w:bottom w:w="28" w:type="dxa"/>
              <w:right w:w="11" w:type="dxa"/>
            </w:tcMar>
            <w:vAlign w:val="center"/>
          </w:tcPr>
          <w:p w14:paraId="74BCB6F5">
            <w:pPr>
              <w:keepNext w:val="0"/>
              <w:keepLines w:val="0"/>
              <w:pageBreakBefore w:val="0"/>
              <w:widowControl/>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爆炸极限</w:t>
            </w:r>
          </w:p>
        </w:tc>
        <w:tc>
          <w:tcPr>
            <w:tcW w:w="1792" w:type="pct"/>
            <w:gridSpan w:val="3"/>
            <w:tcBorders>
              <w:tl2br w:val="nil"/>
              <w:tr2bl w:val="nil"/>
            </w:tcBorders>
            <w:noWrap w:val="0"/>
            <w:vAlign w:val="center"/>
          </w:tcPr>
          <w:p w14:paraId="15C5629F">
            <w:pPr>
              <w:keepNext w:val="0"/>
              <w:keepLines w:val="0"/>
              <w:pageBreakBefore w:val="0"/>
              <w:widowControl/>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15%（V%）</w:t>
            </w:r>
          </w:p>
        </w:tc>
        <w:tc>
          <w:tcPr>
            <w:tcW w:w="682" w:type="pct"/>
            <w:gridSpan w:val="2"/>
            <w:tcBorders>
              <w:tl2br w:val="nil"/>
              <w:tr2bl w:val="nil"/>
            </w:tcBorders>
            <w:noWrap w:val="0"/>
            <w:vAlign w:val="center"/>
          </w:tcPr>
          <w:p w14:paraId="4A1AACA6">
            <w:pPr>
              <w:keepNext w:val="0"/>
              <w:keepLines w:val="0"/>
              <w:pageBreakBefore w:val="0"/>
              <w:widowControl/>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引燃温度</w:t>
            </w:r>
          </w:p>
        </w:tc>
        <w:tc>
          <w:tcPr>
            <w:tcW w:w="1247" w:type="pct"/>
            <w:tcBorders>
              <w:tl2br w:val="nil"/>
              <w:tr2bl w:val="nil"/>
            </w:tcBorders>
            <w:noWrap w:val="0"/>
            <w:vAlign w:val="center"/>
          </w:tcPr>
          <w:p w14:paraId="1ABD289B">
            <w:pPr>
              <w:keepNext w:val="0"/>
              <w:keepLines w:val="0"/>
              <w:pageBreakBefore w:val="0"/>
              <w:widowControl/>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537℃</w:t>
            </w:r>
          </w:p>
        </w:tc>
      </w:tr>
      <w:tr w14:paraId="5A26BE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340" w:hRule="atLeast"/>
          <w:jc w:val="center"/>
        </w:trPr>
        <w:tc>
          <w:tcPr>
            <w:tcW w:w="512" w:type="pct"/>
            <w:tcBorders>
              <w:tl2br w:val="nil"/>
              <w:tr2bl w:val="nil"/>
            </w:tcBorders>
            <w:noWrap w:val="0"/>
            <w:tcMar>
              <w:top w:w="28" w:type="dxa"/>
              <w:left w:w="57" w:type="dxa"/>
              <w:bottom w:w="28" w:type="dxa"/>
              <w:right w:w="57" w:type="dxa"/>
            </w:tcMar>
            <w:vAlign w:val="center"/>
          </w:tcPr>
          <w:p w14:paraId="216C087A">
            <w:pPr>
              <w:keepNext w:val="0"/>
              <w:keepLines w:val="0"/>
              <w:pageBreakBefore w:val="0"/>
              <w:widowControl/>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稳定性和反应活性</w:t>
            </w:r>
          </w:p>
        </w:tc>
        <w:tc>
          <w:tcPr>
            <w:tcW w:w="4487" w:type="pct"/>
            <w:gridSpan w:val="7"/>
            <w:tcBorders>
              <w:tl2br w:val="nil"/>
              <w:tr2bl w:val="nil"/>
            </w:tcBorders>
            <w:noWrap w:val="0"/>
            <w:tcMar>
              <w:top w:w="28" w:type="dxa"/>
              <w:left w:w="11" w:type="dxa"/>
              <w:bottom w:w="28" w:type="dxa"/>
              <w:right w:w="11" w:type="dxa"/>
            </w:tcMar>
            <w:vAlign w:val="center"/>
          </w:tcPr>
          <w:p w14:paraId="0F5B13EB">
            <w:pPr>
              <w:keepNext w:val="0"/>
              <w:keepLines w:val="0"/>
              <w:pageBreakBefore w:val="0"/>
              <w:widowControl/>
              <w:kinsoku/>
              <w:wordWrap/>
              <w:overflowPunct/>
              <w:topLinePunct/>
              <w:autoSpaceDE/>
              <w:autoSpaceDN/>
              <w:bidi w:val="0"/>
              <w:adjustRightInd/>
              <w:snapToGrid/>
              <w:spacing w:line="240" w:lineRule="auto"/>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稳定性：稳定；禁配物：强氧化剂、强酸、强碱、卤素；避免接触的条件：高热，火源和不相容物质；聚合危害：不发生；分解产物：一氧化碳、二氧化碳。</w:t>
            </w:r>
          </w:p>
        </w:tc>
      </w:tr>
      <w:tr w14:paraId="618130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340" w:hRule="atLeast"/>
          <w:jc w:val="center"/>
        </w:trPr>
        <w:tc>
          <w:tcPr>
            <w:tcW w:w="512" w:type="pct"/>
            <w:tcBorders>
              <w:tl2br w:val="nil"/>
              <w:tr2bl w:val="nil"/>
            </w:tcBorders>
            <w:noWrap w:val="0"/>
            <w:tcMar>
              <w:top w:w="28" w:type="dxa"/>
              <w:left w:w="57" w:type="dxa"/>
              <w:bottom w:w="28" w:type="dxa"/>
              <w:right w:w="57" w:type="dxa"/>
            </w:tcMar>
            <w:vAlign w:val="center"/>
          </w:tcPr>
          <w:p w14:paraId="7C46D26A">
            <w:pPr>
              <w:keepNext w:val="0"/>
              <w:keepLines w:val="0"/>
              <w:pageBreakBefore w:val="0"/>
              <w:widowControl/>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毒理学</w:t>
            </w:r>
          </w:p>
          <w:p w14:paraId="32BBE672">
            <w:pPr>
              <w:keepNext w:val="0"/>
              <w:keepLines w:val="0"/>
              <w:pageBreakBefore w:val="0"/>
              <w:widowControl/>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资料</w:t>
            </w:r>
          </w:p>
        </w:tc>
        <w:tc>
          <w:tcPr>
            <w:tcW w:w="4487" w:type="pct"/>
            <w:gridSpan w:val="7"/>
            <w:tcBorders>
              <w:tl2br w:val="nil"/>
              <w:tr2bl w:val="nil"/>
            </w:tcBorders>
            <w:noWrap w:val="0"/>
            <w:tcMar>
              <w:top w:w="28" w:type="dxa"/>
              <w:left w:w="11" w:type="dxa"/>
              <w:bottom w:w="28" w:type="dxa"/>
              <w:right w:w="11" w:type="dxa"/>
            </w:tcMar>
            <w:vAlign w:val="center"/>
          </w:tcPr>
          <w:p w14:paraId="3BAD1FEB">
            <w:pPr>
              <w:keepNext w:val="0"/>
              <w:keepLines w:val="0"/>
              <w:pageBreakBefore w:val="0"/>
              <w:widowControl/>
              <w:kinsoku/>
              <w:wordWrap/>
              <w:overflowPunct/>
              <w:topLinePunct/>
              <w:autoSpaceDE/>
              <w:autoSpaceDN/>
              <w:bidi w:val="0"/>
              <w:adjustRightInd/>
              <w:snapToGrid/>
              <w:spacing w:line="240" w:lineRule="auto"/>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LD50：LC</w:t>
            </w:r>
            <w:r>
              <w:rPr>
                <w:rFonts w:hint="default" w:ascii="Times New Roman" w:hAnsi="Times New Roman" w:cs="Times New Roman"/>
                <w:color w:val="auto"/>
                <w:kern w:val="0"/>
                <w:sz w:val="21"/>
                <w:szCs w:val="21"/>
                <w:highlight w:val="none"/>
                <w:vertAlign w:val="subscript"/>
              </w:rPr>
              <w:t>50</w:t>
            </w:r>
            <w:r>
              <w:rPr>
                <w:rFonts w:hint="default" w:ascii="Times New Roman" w:hAnsi="Times New Roman" w:cs="Times New Roman"/>
                <w:color w:val="auto"/>
                <w:kern w:val="0"/>
                <w:sz w:val="21"/>
                <w:szCs w:val="21"/>
                <w:highlight w:val="none"/>
              </w:rPr>
              <w:t>：50%（小鼠吸入，2h）。</w:t>
            </w:r>
          </w:p>
          <w:p w14:paraId="54E148B2">
            <w:pPr>
              <w:keepNext w:val="0"/>
              <w:keepLines w:val="0"/>
              <w:pageBreakBefore w:val="0"/>
              <w:widowControl/>
              <w:kinsoku/>
              <w:wordWrap/>
              <w:overflowPunct/>
              <w:topLinePunct/>
              <w:autoSpaceDE/>
              <w:autoSpaceDN/>
              <w:bidi w:val="0"/>
              <w:adjustRightInd/>
              <w:snapToGrid/>
              <w:spacing w:line="240" w:lineRule="auto"/>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LC50：无资料。</w:t>
            </w:r>
          </w:p>
        </w:tc>
      </w:tr>
      <w:tr w14:paraId="41E63C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340" w:hRule="atLeast"/>
          <w:jc w:val="center"/>
        </w:trPr>
        <w:tc>
          <w:tcPr>
            <w:tcW w:w="512" w:type="pct"/>
            <w:tcBorders>
              <w:tl2br w:val="nil"/>
              <w:tr2bl w:val="nil"/>
            </w:tcBorders>
            <w:noWrap w:val="0"/>
            <w:tcMar>
              <w:top w:w="28" w:type="dxa"/>
              <w:left w:w="57" w:type="dxa"/>
              <w:bottom w:w="28" w:type="dxa"/>
              <w:right w:w="57" w:type="dxa"/>
            </w:tcMar>
            <w:vAlign w:val="center"/>
          </w:tcPr>
          <w:p w14:paraId="07F1DF16">
            <w:pPr>
              <w:keepNext w:val="0"/>
              <w:keepLines w:val="0"/>
              <w:pageBreakBefore w:val="0"/>
              <w:widowControl/>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生态学资料</w:t>
            </w:r>
          </w:p>
        </w:tc>
        <w:tc>
          <w:tcPr>
            <w:tcW w:w="4487" w:type="pct"/>
            <w:gridSpan w:val="7"/>
            <w:tcBorders>
              <w:tl2br w:val="nil"/>
              <w:tr2bl w:val="nil"/>
            </w:tcBorders>
            <w:noWrap w:val="0"/>
            <w:tcMar>
              <w:top w:w="28" w:type="dxa"/>
              <w:left w:w="11" w:type="dxa"/>
              <w:bottom w:w="28" w:type="dxa"/>
              <w:right w:w="11" w:type="dxa"/>
            </w:tcMar>
            <w:vAlign w:val="center"/>
          </w:tcPr>
          <w:p w14:paraId="325A9DA8">
            <w:pPr>
              <w:keepNext w:val="0"/>
              <w:keepLines w:val="0"/>
              <w:pageBreakBefore w:val="0"/>
              <w:widowControl/>
              <w:kinsoku/>
              <w:wordWrap/>
              <w:overflowPunct/>
              <w:topLinePunct/>
              <w:autoSpaceDE/>
              <w:autoSpaceDN/>
              <w:bidi w:val="0"/>
              <w:adjustRightInd/>
              <w:snapToGrid/>
              <w:spacing w:line="240" w:lineRule="auto"/>
              <w:jc w:val="left"/>
              <w:textAlignment w:val="auto"/>
              <w:rPr>
                <w:rFonts w:hint="default" w:ascii="Times New Roman" w:hAnsi="Times New Roman" w:cs="Times New Roman"/>
                <w:color w:val="auto"/>
                <w:kern w:val="0"/>
                <w:sz w:val="21"/>
                <w:szCs w:val="21"/>
                <w:highlight w:val="none"/>
              </w:rPr>
            </w:pPr>
            <w:r>
              <w:rPr>
                <w:rFonts w:hint="eastAsia" w:cs="Times New Roman"/>
                <w:color w:val="auto"/>
                <w:kern w:val="0"/>
                <w:sz w:val="21"/>
                <w:szCs w:val="21"/>
                <w:highlight w:val="none"/>
                <w:lang w:eastAsia="zh-CN"/>
              </w:rPr>
              <w:t>其他有害</w:t>
            </w:r>
            <w:r>
              <w:rPr>
                <w:rFonts w:hint="default" w:ascii="Times New Roman" w:hAnsi="Times New Roman" w:cs="Times New Roman"/>
                <w:color w:val="auto"/>
                <w:kern w:val="0"/>
                <w:sz w:val="21"/>
                <w:szCs w:val="21"/>
                <w:highlight w:val="none"/>
              </w:rPr>
              <w:t>作用：温室气体。应特别注意对地表水、土壤、大气和饮用水的污染。</w:t>
            </w:r>
          </w:p>
        </w:tc>
      </w:tr>
      <w:tr w14:paraId="73647C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340" w:hRule="atLeast"/>
          <w:jc w:val="center"/>
        </w:trPr>
        <w:tc>
          <w:tcPr>
            <w:tcW w:w="512" w:type="pct"/>
            <w:tcBorders>
              <w:tl2br w:val="nil"/>
              <w:tr2bl w:val="nil"/>
            </w:tcBorders>
            <w:noWrap w:val="0"/>
            <w:tcMar>
              <w:top w:w="28" w:type="dxa"/>
              <w:left w:w="57" w:type="dxa"/>
              <w:bottom w:w="28" w:type="dxa"/>
              <w:right w:w="57" w:type="dxa"/>
            </w:tcMar>
            <w:vAlign w:val="center"/>
          </w:tcPr>
          <w:p w14:paraId="5E1CACA2">
            <w:pPr>
              <w:keepNext w:val="0"/>
              <w:keepLines w:val="0"/>
              <w:pageBreakBefore w:val="0"/>
              <w:widowControl/>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废弃</w:t>
            </w:r>
          </w:p>
          <w:p w14:paraId="59B8B131">
            <w:pPr>
              <w:keepNext w:val="0"/>
              <w:keepLines w:val="0"/>
              <w:pageBreakBefore w:val="0"/>
              <w:widowControl/>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处置</w:t>
            </w:r>
          </w:p>
        </w:tc>
        <w:tc>
          <w:tcPr>
            <w:tcW w:w="4487" w:type="pct"/>
            <w:gridSpan w:val="7"/>
            <w:tcBorders>
              <w:tl2br w:val="nil"/>
              <w:tr2bl w:val="nil"/>
            </w:tcBorders>
            <w:noWrap w:val="0"/>
            <w:tcMar>
              <w:top w:w="28" w:type="dxa"/>
              <w:left w:w="11" w:type="dxa"/>
              <w:bottom w:w="28" w:type="dxa"/>
              <w:right w:w="11" w:type="dxa"/>
            </w:tcMar>
            <w:vAlign w:val="center"/>
          </w:tcPr>
          <w:p w14:paraId="0E4E024A">
            <w:pPr>
              <w:keepNext w:val="0"/>
              <w:keepLines w:val="0"/>
              <w:pageBreakBefore w:val="0"/>
              <w:widowControl/>
              <w:kinsoku/>
              <w:wordWrap/>
              <w:overflowPunct/>
              <w:topLinePunct/>
              <w:autoSpaceDE/>
              <w:autoSpaceDN/>
              <w:bidi w:val="0"/>
              <w:adjustRightInd/>
              <w:snapToGrid/>
              <w:spacing w:line="240" w:lineRule="auto"/>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废弃物性质：危险废物。</w:t>
            </w:r>
          </w:p>
          <w:p w14:paraId="42B14D4A">
            <w:pPr>
              <w:keepNext w:val="0"/>
              <w:keepLines w:val="0"/>
              <w:pageBreakBefore w:val="0"/>
              <w:widowControl/>
              <w:kinsoku/>
              <w:wordWrap/>
              <w:overflowPunct/>
              <w:topLinePunct/>
              <w:autoSpaceDE/>
              <w:autoSpaceDN/>
              <w:bidi w:val="0"/>
              <w:adjustRightInd/>
              <w:snapToGrid/>
              <w:spacing w:line="240" w:lineRule="auto"/>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废弃处置方法：建议用焚烧法处置。</w:t>
            </w:r>
          </w:p>
          <w:p w14:paraId="09ADBE02">
            <w:pPr>
              <w:keepNext w:val="0"/>
              <w:keepLines w:val="0"/>
              <w:pageBreakBefore w:val="0"/>
              <w:widowControl/>
              <w:kinsoku/>
              <w:wordWrap/>
              <w:overflowPunct/>
              <w:topLinePunct/>
              <w:autoSpaceDE/>
              <w:autoSpaceDN/>
              <w:bidi w:val="0"/>
              <w:adjustRightInd/>
              <w:snapToGrid/>
              <w:spacing w:line="240" w:lineRule="auto"/>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废弃注意事项：处置前应参阅国家和地方有关法规。把倒空的容器归还厂商或在规定场所掩埋。</w:t>
            </w:r>
          </w:p>
        </w:tc>
      </w:tr>
      <w:tr w14:paraId="02E106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340" w:hRule="atLeast"/>
          <w:jc w:val="center"/>
        </w:trPr>
        <w:tc>
          <w:tcPr>
            <w:tcW w:w="512" w:type="pct"/>
            <w:tcBorders>
              <w:tl2br w:val="nil"/>
              <w:tr2bl w:val="nil"/>
            </w:tcBorders>
            <w:noWrap w:val="0"/>
            <w:tcMar>
              <w:top w:w="28" w:type="dxa"/>
              <w:left w:w="57" w:type="dxa"/>
              <w:bottom w:w="28" w:type="dxa"/>
              <w:right w:w="57" w:type="dxa"/>
            </w:tcMar>
            <w:vAlign w:val="center"/>
          </w:tcPr>
          <w:p w14:paraId="07451837">
            <w:pPr>
              <w:keepNext w:val="0"/>
              <w:keepLines w:val="0"/>
              <w:pageBreakBefore w:val="0"/>
              <w:widowControl/>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运输</w:t>
            </w:r>
          </w:p>
          <w:p w14:paraId="76F28885">
            <w:pPr>
              <w:keepNext w:val="0"/>
              <w:keepLines w:val="0"/>
              <w:pageBreakBefore w:val="0"/>
              <w:widowControl/>
              <w:kinsoku/>
              <w:wordWrap/>
              <w:overflowPunct/>
              <w:topLinePunct/>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信息</w:t>
            </w:r>
          </w:p>
        </w:tc>
        <w:tc>
          <w:tcPr>
            <w:tcW w:w="4487" w:type="pct"/>
            <w:gridSpan w:val="7"/>
            <w:tcBorders>
              <w:tl2br w:val="nil"/>
              <w:tr2bl w:val="nil"/>
            </w:tcBorders>
            <w:noWrap w:val="0"/>
            <w:tcMar>
              <w:top w:w="28" w:type="dxa"/>
              <w:left w:w="11" w:type="dxa"/>
              <w:bottom w:w="28" w:type="dxa"/>
              <w:right w:w="11" w:type="dxa"/>
            </w:tcMar>
            <w:vAlign w:val="center"/>
          </w:tcPr>
          <w:p w14:paraId="1B1C4DA7">
            <w:pPr>
              <w:keepNext w:val="0"/>
              <w:keepLines w:val="0"/>
              <w:pageBreakBefore w:val="0"/>
              <w:widowControl/>
              <w:kinsoku/>
              <w:wordWrap/>
              <w:overflowPunct/>
              <w:topLinePunct/>
              <w:autoSpaceDE/>
              <w:autoSpaceDN/>
              <w:bidi w:val="0"/>
              <w:adjustRightInd/>
              <w:snapToGrid/>
              <w:spacing w:line="240" w:lineRule="auto"/>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pacing w:val="-6"/>
                <w:kern w:val="0"/>
                <w:sz w:val="21"/>
                <w:szCs w:val="21"/>
                <w:highlight w:val="none"/>
              </w:rPr>
              <w:t>运输注意事项：采用钢瓶运输时必须戴好钢瓶上的安全帽。钢瓶一般平放，并应将瓶口朝同一方向，不可交叉；高度不得超过车辆的防护栏板，并用三角木垫卡牢，防止滚动。运输时运输车辆应配备相应品种和数量的消防器材。装运该物品的车辆排气管必须配备阻火装置，禁止使用易产生火花的机械设备和工具装卸。严禁与氧化剂等混装混运。夏季应早晚运输，防止日光</w:t>
            </w:r>
            <w:r>
              <w:rPr>
                <w:rFonts w:hint="default" w:ascii="Times New Roman" w:hAnsi="Times New Roman" w:cs="Times New Roman"/>
                <w:color w:val="auto"/>
                <w:spacing w:val="-6"/>
                <w:kern w:val="0"/>
                <w:sz w:val="21"/>
                <w:szCs w:val="21"/>
                <w:highlight w:val="none"/>
                <w:lang w:eastAsia="zh-CN"/>
              </w:rPr>
              <w:t>暴晒</w:t>
            </w:r>
            <w:r>
              <w:rPr>
                <w:rFonts w:hint="default" w:ascii="Times New Roman" w:hAnsi="Times New Roman" w:cs="Times New Roman"/>
                <w:color w:val="auto"/>
                <w:spacing w:val="-6"/>
                <w:kern w:val="0"/>
                <w:sz w:val="21"/>
                <w:szCs w:val="21"/>
                <w:highlight w:val="none"/>
              </w:rPr>
              <w:t>。中途停留时应远离火种、热源。公路运输时要按规定路线行驶，勿在居民区和人口稠密区停留。铁路运输时要禁止溜放。</w:t>
            </w:r>
          </w:p>
        </w:tc>
      </w:tr>
    </w:tbl>
    <w:p w14:paraId="53FBFE7A">
      <w:pPr>
        <w:pStyle w:val="79"/>
        <w:bidi w:val="0"/>
        <w:rPr>
          <w:rFonts w:hint="default"/>
          <w:color w:val="auto"/>
          <w:lang w:val="en-US" w:eastAsia="zh-CN"/>
        </w:rPr>
      </w:pPr>
      <w:r>
        <w:rPr>
          <w:rFonts w:hint="eastAsia"/>
          <w:color w:val="auto"/>
          <w:lang w:val="en-US" w:eastAsia="zh-CN"/>
        </w:rPr>
        <w:t>（3）H</w:t>
      </w:r>
      <w:r>
        <w:rPr>
          <w:rFonts w:hint="eastAsia"/>
          <w:color w:val="auto"/>
          <w:vertAlign w:val="subscript"/>
          <w:lang w:val="en-US" w:eastAsia="zh-CN"/>
        </w:rPr>
        <w:t>2</w:t>
      </w:r>
      <w:r>
        <w:rPr>
          <w:rFonts w:hint="eastAsia"/>
          <w:color w:val="auto"/>
          <w:lang w:val="en-US" w:eastAsia="zh-CN"/>
        </w:rPr>
        <w:t>S</w:t>
      </w:r>
    </w:p>
    <w:p w14:paraId="7559243B">
      <w:pPr>
        <w:pStyle w:val="79"/>
        <w:bidi w:val="0"/>
        <w:rPr>
          <w:rFonts w:hint="default"/>
          <w:color w:val="auto"/>
          <w:lang w:val="en-US" w:eastAsia="zh-CN"/>
        </w:rPr>
      </w:pPr>
      <w:r>
        <w:rPr>
          <w:rFonts w:hint="default"/>
          <w:color w:val="auto"/>
          <w:lang w:val="en-US" w:eastAsia="zh-CN"/>
        </w:rPr>
        <w:t>硫化氢为无色、有臭鸡蛋气味的有毒气体，是强烈的神经性毒物，经人体</w:t>
      </w:r>
      <w:r>
        <w:rPr>
          <w:rFonts w:hint="eastAsia"/>
          <w:color w:val="auto"/>
          <w:lang w:val="en-US" w:eastAsia="zh-CN"/>
        </w:rPr>
        <w:t>黏膜</w:t>
      </w:r>
      <w:r>
        <w:rPr>
          <w:rFonts w:hint="default"/>
          <w:color w:val="auto"/>
          <w:lang w:val="en-US" w:eastAsia="zh-CN"/>
        </w:rPr>
        <w:t>吸收比皮肤吸收造成的中毒更为迅速。根据硫化氢的毒理学特性可知，硫化氢并不是所有浓度都是瞬间致人死亡，其每个浓度致死时间不同。</w:t>
      </w:r>
    </w:p>
    <w:p w14:paraId="3DEE3854">
      <w:pPr>
        <w:pStyle w:val="79"/>
        <w:bidi w:val="0"/>
        <w:rPr>
          <w:rFonts w:hint="default"/>
          <w:color w:val="auto"/>
          <w:lang w:val="en-US" w:eastAsia="zh-CN"/>
        </w:rPr>
      </w:pPr>
      <w:r>
        <w:rPr>
          <w:rFonts w:hint="default"/>
          <w:color w:val="auto"/>
          <w:lang w:val="en-US" w:eastAsia="zh-CN"/>
        </w:rPr>
        <w:t>其危险性和危害特性见表</w:t>
      </w:r>
      <w:r>
        <w:rPr>
          <w:rFonts w:hint="eastAsia"/>
          <w:color w:val="auto"/>
          <w:lang w:val="en-US" w:eastAsia="zh-CN"/>
        </w:rPr>
        <w:t>5.7-6</w:t>
      </w:r>
      <w:r>
        <w:rPr>
          <w:rFonts w:hint="default"/>
          <w:color w:val="auto"/>
          <w:lang w:val="en-US" w:eastAsia="zh-CN"/>
        </w:rPr>
        <w:t>。</w:t>
      </w:r>
    </w:p>
    <w:p w14:paraId="5DFC0DCE">
      <w:pPr>
        <w:pStyle w:val="61"/>
        <w:bidi w:val="0"/>
        <w:jc w:val="both"/>
        <w:rPr>
          <w:rFonts w:hint="default"/>
          <w:color w:val="auto"/>
          <w:lang w:val="en-US" w:eastAsia="zh-CN"/>
        </w:rPr>
      </w:pPr>
      <w:r>
        <w:rPr>
          <w:rFonts w:hint="default"/>
          <w:color w:val="auto"/>
          <w:lang w:val="en-US" w:eastAsia="zh-CN"/>
        </w:rPr>
        <w:t>表</w:t>
      </w:r>
      <w:r>
        <w:rPr>
          <w:rFonts w:hint="eastAsia"/>
          <w:color w:val="auto"/>
          <w:lang w:val="en-US" w:eastAsia="zh-CN"/>
        </w:rPr>
        <w:t>5.7-6</w:t>
      </w:r>
      <w:r>
        <w:rPr>
          <w:rFonts w:hint="default"/>
          <w:color w:val="auto"/>
          <w:lang w:val="en-US" w:eastAsia="zh-CN"/>
        </w:rPr>
        <w:t xml:space="preserve">   硫化氢对人的生理影响及危害</w:t>
      </w:r>
    </w:p>
    <w:tbl>
      <w:tblPr>
        <w:tblStyle w:val="36"/>
        <w:tblW w:w="493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48"/>
        <w:gridCol w:w="1667"/>
        <w:gridCol w:w="413"/>
        <w:gridCol w:w="279"/>
        <w:gridCol w:w="417"/>
        <w:gridCol w:w="842"/>
        <w:gridCol w:w="133"/>
        <w:gridCol w:w="1112"/>
        <w:gridCol w:w="139"/>
        <w:gridCol w:w="139"/>
        <w:gridCol w:w="828"/>
        <w:gridCol w:w="139"/>
        <w:gridCol w:w="924"/>
        <w:gridCol w:w="936"/>
      </w:tblGrid>
      <w:tr w14:paraId="5B06F1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9" w:type="pct"/>
            <w:vMerge w:val="restart"/>
            <w:tcBorders>
              <w:tl2br w:val="nil"/>
              <w:tr2bl w:val="nil"/>
            </w:tcBorders>
            <w:noWrap w:val="0"/>
            <w:vAlign w:val="center"/>
          </w:tcPr>
          <w:p w14:paraId="42CCA87E">
            <w:pPr>
              <w:widowControl w:val="0"/>
              <w:autoSpaceDE w:val="0"/>
              <w:autoSpaceDN w:val="0"/>
              <w:adjustRightInd w:val="0"/>
              <w:snapToGrid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标识</w:t>
            </w:r>
          </w:p>
        </w:tc>
        <w:tc>
          <w:tcPr>
            <w:tcW w:w="2075" w:type="pct"/>
            <w:gridSpan w:val="5"/>
            <w:tcBorders>
              <w:tl2br w:val="nil"/>
              <w:tr2bl w:val="nil"/>
            </w:tcBorders>
            <w:noWrap w:val="0"/>
            <w:vAlign w:val="center"/>
          </w:tcPr>
          <w:p w14:paraId="2B50601F">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中文名称：硫化氢</w:t>
            </w:r>
          </w:p>
        </w:tc>
        <w:tc>
          <w:tcPr>
            <w:tcW w:w="2494" w:type="pct"/>
            <w:gridSpan w:val="8"/>
            <w:tcBorders>
              <w:tl2br w:val="nil"/>
              <w:tr2bl w:val="nil"/>
            </w:tcBorders>
            <w:noWrap w:val="0"/>
            <w:vAlign w:val="center"/>
          </w:tcPr>
          <w:p w14:paraId="57C9EBA6">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英文名称：Hydrogen sulfide</w:t>
            </w:r>
          </w:p>
        </w:tc>
      </w:tr>
      <w:tr w14:paraId="535A0E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9" w:type="pct"/>
            <w:vMerge w:val="continue"/>
            <w:tcBorders>
              <w:tl2br w:val="nil"/>
              <w:tr2bl w:val="nil"/>
            </w:tcBorders>
            <w:noWrap w:val="0"/>
            <w:vAlign w:val="center"/>
          </w:tcPr>
          <w:p w14:paraId="44FD1C11">
            <w:pPr>
              <w:widowControl w:val="0"/>
              <w:jc w:val="both"/>
              <w:rPr>
                <w:rFonts w:hint="default" w:ascii="Times New Roman" w:hAnsi="Times New Roman" w:eastAsia="宋体" w:cs="Times New Roman"/>
                <w:color w:val="auto"/>
                <w:sz w:val="21"/>
                <w:szCs w:val="21"/>
              </w:rPr>
            </w:pPr>
          </w:p>
        </w:tc>
        <w:tc>
          <w:tcPr>
            <w:tcW w:w="2075" w:type="pct"/>
            <w:gridSpan w:val="5"/>
            <w:tcBorders>
              <w:tl2br w:val="nil"/>
              <w:tr2bl w:val="nil"/>
            </w:tcBorders>
            <w:noWrap w:val="0"/>
            <w:vAlign w:val="center"/>
          </w:tcPr>
          <w:p w14:paraId="122B9AA2">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危险性类别</w:t>
            </w:r>
          </w:p>
        </w:tc>
        <w:tc>
          <w:tcPr>
            <w:tcW w:w="2494" w:type="pct"/>
            <w:gridSpan w:val="8"/>
            <w:tcBorders>
              <w:tl2br w:val="nil"/>
              <w:tr2bl w:val="nil"/>
            </w:tcBorders>
            <w:noWrap w:val="0"/>
            <w:vAlign w:val="center"/>
          </w:tcPr>
          <w:p w14:paraId="749B1A8F">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易燃、有毒气体</w:t>
            </w:r>
          </w:p>
        </w:tc>
      </w:tr>
      <w:tr w14:paraId="688A35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9" w:type="pct"/>
            <w:vMerge w:val="restart"/>
            <w:tcBorders>
              <w:tl2br w:val="nil"/>
              <w:tr2bl w:val="nil"/>
            </w:tcBorders>
            <w:noWrap w:val="0"/>
            <w:vAlign w:val="center"/>
          </w:tcPr>
          <w:p w14:paraId="366150E7">
            <w:pPr>
              <w:widowControl w:val="0"/>
              <w:autoSpaceDE w:val="0"/>
              <w:autoSpaceDN w:val="0"/>
              <w:adjustRightInd w:val="0"/>
              <w:snapToGrid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物化特性</w:t>
            </w:r>
          </w:p>
        </w:tc>
        <w:tc>
          <w:tcPr>
            <w:tcW w:w="956" w:type="pct"/>
            <w:tcBorders>
              <w:tl2br w:val="nil"/>
              <w:tr2bl w:val="nil"/>
            </w:tcBorders>
            <w:noWrap w:val="0"/>
            <w:vAlign w:val="center"/>
          </w:tcPr>
          <w:p w14:paraId="3FD19786">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沸点（℃）</w:t>
            </w:r>
          </w:p>
        </w:tc>
        <w:tc>
          <w:tcPr>
            <w:tcW w:w="1118" w:type="pct"/>
            <w:gridSpan w:val="4"/>
            <w:tcBorders>
              <w:tl2br w:val="nil"/>
              <w:tr2bl w:val="nil"/>
            </w:tcBorders>
            <w:noWrap w:val="0"/>
            <w:vAlign w:val="center"/>
          </w:tcPr>
          <w:p w14:paraId="4C5D3021">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-61.8</w:t>
            </w:r>
          </w:p>
        </w:tc>
        <w:tc>
          <w:tcPr>
            <w:tcW w:w="874" w:type="pct"/>
            <w:gridSpan w:val="4"/>
            <w:tcBorders>
              <w:tl2br w:val="nil"/>
              <w:tr2bl w:val="nil"/>
            </w:tcBorders>
            <w:noWrap w:val="0"/>
            <w:vAlign w:val="center"/>
          </w:tcPr>
          <w:p w14:paraId="15E4E5AF">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比重（水=1）</w:t>
            </w:r>
          </w:p>
        </w:tc>
        <w:tc>
          <w:tcPr>
            <w:tcW w:w="1620" w:type="pct"/>
            <w:gridSpan w:val="4"/>
            <w:tcBorders>
              <w:tl2br w:val="nil"/>
              <w:tr2bl w:val="nil"/>
            </w:tcBorders>
            <w:noWrap w:val="0"/>
            <w:vAlign w:val="center"/>
          </w:tcPr>
          <w:p w14:paraId="1CC883DA">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p>
        </w:tc>
      </w:tr>
      <w:tr w14:paraId="090FCD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9" w:type="pct"/>
            <w:vMerge w:val="continue"/>
            <w:tcBorders>
              <w:tl2br w:val="nil"/>
              <w:tr2bl w:val="nil"/>
            </w:tcBorders>
            <w:noWrap w:val="0"/>
            <w:vAlign w:val="center"/>
          </w:tcPr>
          <w:p w14:paraId="61BD1C2F">
            <w:pPr>
              <w:widowControl w:val="0"/>
              <w:jc w:val="both"/>
              <w:rPr>
                <w:rFonts w:hint="default" w:ascii="Times New Roman" w:hAnsi="Times New Roman" w:eastAsia="宋体" w:cs="Times New Roman"/>
                <w:color w:val="auto"/>
                <w:sz w:val="21"/>
                <w:szCs w:val="21"/>
              </w:rPr>
            </w:pPr>
          </w:p>
        </w:tc>
        <w:tc>
          <w:tcPr>
            <w:tcW w:w="956" w:type="pct"/>
            <w:tcBorders>
              <w:tl2br w:val="nil"/>
              <w:tr2bl w:val="nil"/>
            </w:tcBorders>
            <w:noWrap w:val="0"/>
            <w:vAlign w:val="center"/>
          </w:tcPr>
          <w:p w14:paraId="3D00F1DF">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饱和蒸气压（kPa）</w:t>
            </w:r>
          </w:p>
        </w:tc>
        <w:tc>
          <w:tcPr>
            <w:tcW w:w="1118" w:type="pct"/>
            <w:gridSpan w:val="4"/>
            <w:tcBorders>
              <w:tl2br w:val="nil"/>
              <w:tr2bl w:val="nil"/>
            </w:tcBorders>
            <w:noWrap w:val="0"/>
            <w:vAlign w:val="center"/>
          </w:tcPr>
          <w:p w14:paraId="15E59069">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无资料</w:t>
            </w:r>
          </w:p>
        </w:tc>
        <w:tc>
          <w:tcPr>
            <w:tcW w:w="874" w:type="pct"/>
            <w:gridSpan w:val="4"/>
            <w:tcBorders>
              <w:tl2br w:val="nil"/>
              <w:tr2bl w:val="nil"/>
            </w:tcBorders>
            <w:noWrap w:val="0"/>
            <w:vAlign w:val="center"/>
          </w:tcPr>
          <w:p w14:paraId="37219AE9">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熔点（℃）</w:t>
            </w:r>
          </w:p>
        </w:tc>
        <w:tc>
          <w:tcPr>
            <w:tcW w:w="1620" w:type="pct"/>
            <w:gridSpan w:val="4"/>
            <w:tcBorders>
              <w:tl2br w:val="nil"/>
              <w:tr2bl w:val="nil"/>
            </w:tcBorders>
            <w:noWrap w:val="0"/>
            <w:vAlign w:val="center"/>
          </w:tcPr>
          <w:p w14:paraId="202E4A98">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-82.9</w:t>
            </w:r>
          </w:p>
        </w:tc>
      </w:tr>
      <w:tr w14:paraId="424B60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9" w:type="pct"/>
            <w:vMerge w:val="continue"/>
            <w:tcBorders>
              <w:tl2br w:val="nil"/>
              <w:tr2bl w:val="nil"/>
            </w:tcBorders>
            <w:noWrap w:val="0"/>
            <w:vAlign w:val="center"/>
          </w:tcPr>
          <w:p w14:paraId="343F561F">
            <w:pPr>
              <w:widowControl w:val="0"/>
              <w:jc w:val="both"/>
              <w:rPr>
                <w:rFonts w:hint="default" w:ascii="Times New Roman" w:hAnsi="Times New Roman" w:eastAsia="宋体" w:cs="Times New Roman"/>
                <w:color w:val="auto"/>
                <w:sz w:val="21"/>
                <w:szCs w:val="21"/>
              </w:rPr>
            </w:pPr>
          </w:p>
        </w:tc>
        <w:tc>
          <w:tcPr>
            <w:tcW w:w="956" w:type="pct"/>
            <w:tcBorders>
              <w:tl2br w:val="nil"/>
              <w:tr2bl w:val="nil"/>
            </w:tcBorders>
            <w:noWrap w:val="0"/>
            <w:vAlign w:val="center"/>
          </w:tcPr>
          <w:p w14:paraId="4C519897">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蒸气密度（空气=1）</w:t>
            </w:r>
          </w:p>
        </w:tc>
        <w:tc>
          <w:tcPr>
            <w:tcW w:w="1118" w:type="pct"/>
            <w:gridSpan w:val="4"/>
            <w:tcBorders>
              <w:tl2br w:val="nil"/>
              <w:tr2bl w:val="nil"/>
            </w:tcBorders>
            <w:noWrap w:val="0"/>
            <w:vAlign w:val="center"/>
          </w:tcPr>
          <w:p w14:paraId="79184F5A">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无资料</w:t>
            </w:r>
          </w:p>
        </w:tc>
        <w:tc>
          <w:tcPr>
            <w:tcW w:w="874" w:type="pct"/>
            <w:gridSpan w:val="4"/>
            <w:tcBorders>
              <w:tl2br w:val="nil"/>
              <w:tr2bl w:val="nil"/>
            </w:tcBorders>
            <w:noWrap w:val="0"/>
            <w:vAlign w:val="center"/>
          </w:tcPr>
          <w:p w14:paraId="172126F7">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溶解性</w:t>
            </w:r>
          </w:p>
        </w:tc>
        <w:tc>
          <w:tcPr>
            <w:tcW w:w="1620" w:type="pct"/>
            <w:gridSpan w:val="4"/>
            <w:tcBorders>
              <w:tl2br w:val="nil"/>
              <w:tr2bl w:val="nil"/>
            </w:tcBorders>
            <w:noWrap w:val="0"/>
            <w:vAlign w:val="center"/>
          </w:tcPr>
          <w:p w14:paraId="1EF043D2">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易溶于水，亦溶于醇类、石油溶剂和原油中</w:t>
            </w:r>
          </w:p>
        </w:tc>
      </w:tr>
      <w:tr w14:paraId="700DFC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9" w:type="pct"/>
            <w:vMerge w:val="continue"/>
            <w:tcBorders>
              <w:tl2br w:val="nil"/>
              <w:tr2bl w:val="nil"/>
            </w:tcBorders>
            <w:noWrap w:val="0"/>
            <w:vAlign w:val="center"/>
          </w:tcPr>
          <w:p w14:paraId="14C9C6F1">
            <w:pPr>
              <w:widowControl w:val="0"/>
              <w:jc w:val="both"/>
              <w:rPr>
                <w:rFonts w:hint="default" w:ascii="Times New Roman" w:hAnsi="Times New Roman" w:eastAsia="宋体" w:cs="Times New Roman"/>
                <w:color w:val="auto"/>
                <w:sz w:val="21"/>
                <w:szCs w:val="21"/>
              </w:rPr>
            </w:pPr>
          </w:p>
        </w:tc>
        <w:tc>
          <w:tcPr>
            <w:tcW w:w="956" w:type="pct"/>
            <w:tcBorders>
              <w:tl2br w:val="nil"/>
              <w:tr2bl w:val="nil"/>
            </w:tcBorders>
            <w:noWrap w:val="0"/>
            <w:vAlign w:val="center"/>
          </w:tcPr>
          <w:p w14:paraId="7F5A608A">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外观与气味</w:t>
            </w:r>
          </w:p>
        </w:tc>
        <w:tc>
          <w:tcPr>
            <w:tcW w:w="3613" w:type="pct"/>
            <w:gridSpan w:val="12"/>
            <w:tcBorders>
              <w:tl2br w:val="nil"/>
              <w:tr2bl w:val="nil"/>
            </w:tcBorders>
            <w:noWrap w:val="0"/>
            <w:vAlign w:val="center"/>
          </w:tcPr>
          <w:p w14:paraId="4E6DB2B1">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无色气体。具有臭蛋气味</w:t>
            </w:r>
          </w:p>
        </w:tc>
      </w:tr>
      <w:tr w14:paraId="3C9732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9" w:type="pct"/>
            <w:vMerge w:val="restart"/>
            <w:tcBorders>
              <w:tl2br w:val="nil"/>
              <w:tr2bl w:val="nil"/>
            </w:tcBorders>
            <w:noWrap w:val="0"/>
            <w:vAlign w:val="center"/>
          </w:tcPr>
          <w:p w14:paraId="12C24E4B">
            <w:pPr>
              <w:widowControl w:val="0"/>
              <w:autoSpaceDE w:val="0"/>
              <w:autoSpaceDN w:val="0"/>
              <w:adjustRightInd w:val="0"/>
              <w:snapToGrid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火灾爆炸危险数据</w:t>
            </w:r>
          </w:p>
        </w:tc>
        <w:tc>
          <w:tcPr>
            <w:tcW w:w="956" w:type="pct"/>
            <w:tcBorders>
              <w:tl2br w:val="nil"/>
              <w:tr2bl w:val="nil"/>
            </w:tcBorders>
            <w:noWrap w:val="0"/>
            <w:vAlign w:val="center"/>
          </w:tcPr>
          <w:p w14:paraId="5B109D66">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闪点（℃）</w:t>
            </w:r>
          </w:p>
        </w:tc>
        <w:tc>
          <w:tcPr>
            <w:tcW w:w="397" w:type="pct"/>
            <w:gridSpan w:val="2"/>
            <w:tcBorders>
              <w:tl2br w:val="nil"/>
              <w:tr2bl w:val="nil"/>
            </w:tcBorders>
            <w:noWrap w:val="0"/>
            <w:vAlign w:val="center"/>
          </w:tcPr>
          <w:p w14:paraId="37AB70E1">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p>
        </w:tc>
        <w:tc>
          <w:tcPr>
            <w:tcW w:w="721" w:type="pct"/>
            <w:gridSpan w:val="2"/>
            <w:tcBorders>
              <w:tl2br w:val="nil"/>
              <w:tr2bl w:val="nil"/>
            </w:tcBorders>
            <w:noWrap w:val="0"/>
            <w:vAlign w:val="center"/>
          </w:tcPr>
          <w:p w14:paraId="189756F7">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爆炸极限</w:t>
            </w:r>
          </w:p>
        </w:tc>
        <w:tc>
          <w:tcPr>
            <w:tcW w:w="2494" w:type="pct"/>
            <w:gridSpan w:val="8"/>
            <w:tcBorders>
              <w:tl2br w:val="nil"/>
              <w:tr2bl w:val="nil"/>
            </w:tcBorders>
            <w:noWrap w:val="0"/>
            <w:vAlign w:val="center"/>
          </w:tcPr>
          <w:p w14:paraId="38F94950">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爆炸上限%(V/V)：46.0；爆炸下限%(V/V)：4.0</w:t>
            </w:r>
          </w:p>
        </w:tc>
      </w:tr>
      <w:tr w14:paraId="4E0719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9" w:type="pct"/>
            <w:vMerge w:val="continue"/>
            <w:tcBorders>
              <w:tl2br w:val="nil"/>
              <w:tr2bl w:val="nil"/>
            </w:tcBorders>
            <w:noWrap w:val="0"/>
            <w:vAlign w:val="center"/>
          </w:tcPr>
          <w:p w14:paraId="4B709D71">
            <w:pPr>
              <w:widowControl w:val="0"/>
              <w:jc w:val="both"/>
              <w:rPr>
                <w:rFonts w:hint="default" w:ascii="Times New Roman" w:hAnsi="Times New Roman" w:eastAsia="宋体" w:cs="Times New Roman"/>
                <w:color w:val="auto"/>
                <w:sz w:val="21"/>
                <w:szCs w:val="21"/>
              </w:rPr>
            </w:pPr>
          </w:p>
        </w:tc>
        <w:tc>
          <w:tcPr>
            <w:tcW w:w="956" w:type="pct"/>
            <w:tcBorders>
              <w:tl2br w:val="nil"/>
              <w:tr2bl w:val="nil"/>
            </w:tcBorders>
            <w:noWrap w:val="0"/>
            <w:vAlign w:val="center"/>
          </w:tcPr>
          <w:p w14:paraId="09B17465">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灭火剂</w:t>
            </w:r>
          </w:p>
        </w:tc>
        <w:tc>
          <w:tcPr>
            <w:tcW w:w="3613" w:type="pct"/>
            <w:gridSpan w:val="12"/>
            <w:tcBorders>
              <w:tl2br w:val="nil"/>
              <w:tr2bl w:val="nil"/>
            </w:tcBorders>
            <w:noWrap w:val="0"/>
            <w:vAlign w:val="center"/>
          </w:tcPr>
          <w:p w14:paraId="5134153B">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抗溶性泡沫、干粉、二氧化碳、雾状水</w:t>
            </w:r>
          </w:p>
        </w:tc>
      </w:tr>
      <w:tr w14:paraId="1B127F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9" w:type="pct"/>
            <w:vMerge w:val="continue"/>
            <w:tcBorders>
              <w:tl2br w:val="nil"/>
              <w:tr2bl w:val="nil"/>
            </w:tcBorders>
            <w:noWrap w:val="0"/>
            <w:vAlign w:val="center"/>
          </w:tcPr>
          <w:p w14:paraId="34B194B4">
            <w:pPr>
              <w:widowControl w:val="0"/>
              <w:jc w:val="both"/>
              <w:rPr>
                <w:rFonts w:hint="default" w:ascii="Times New Roman" w:hAnsi="Times New Roman" w:eastAsia="宋体" w:cs="Times New Roman"/>
                <w:color w:val="auto"/>
                <w:sz w:val="21"/>
                <w:szCs w:val="21"/>
              </w:rPr>
            </w:pPr>
          </w:p>
        </w:tc>
        <w:tc>
          <w:tcPr>
            <w:tcW w:w="956" w:type="pct"/>
            <w:tcBorders>
              <w:tl2br w:val="nil"/>
              <w:tr2bl w:val="nil"/>
            </w:tcBorders>
            <w:noWrap w:val="0"/>
            <w:vAlign w:val="center"/>
          </w:tcPr>
          <w:p w14:paraId="5C5473D6">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灭火方法</w:t>
            </w:r>
          </w:p>
        </w:tc>
        <w:tc>
          <w:tcPr>
            <w:tcW w:w="3613" w:type="pct"/>
            <w:gridSpan w:val="12"/>
            <w:tcBorders>
              <w:tl2br w:val="nil"/>
              <w:tr2bl w:val="nil"/>
            </w:tcBorders>
            <w:noWrap w:val="0"/>
            <w:vAlign w:val="center"/>
          </w:tcPr>
          <w:p w14:paraId="479269F7">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尽可能将容器从火场移至空旷处。上风向喷水保持火场容器冷却，直至灭火结束。</w:t>
            </w:r>
          </w:p>
        </w:tc>
      </w:tr>
      <w:tr w14:paraId="513776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9" w:type="pct"/>
            <w:vMerge w:val="continue"/>
            <w:tcBorders>
              <w:tl2br w:val="nil"/>
              <w:tr2bl w:val="nil"/>
            </w:tcBorders>
            <w:noWrap w:val="0"/>
            <w:vAlign w:val="center"/>
          </w:tcPr>
          <w:p w14:paraId="11A7699A">
            <w:pPr>
              <w:widowControl w:val="0"/>
              <w:jc w:val="both"/>
              <w:rPr>
                <w:rFonts w:hint="default" w:ascii="Times New Roman" w:hAnsi="Times New Roman" w:eastAsia="宋体" w:cs="Times New Roman"/>
                <w:color w:val="auto"/>
                <w:sz w:val="21"/>
                <w:szCs w:val="21"/>
              </w:rPr>
            </w:pPr>
          </w:p>
        </w:tc>
        <w:tc>
          <w:tcPr>
            <w:tcW w:w="956" w:type="pct"/>
            <w:tcBorders>
              <w:tl2br w:val="nil"/>
              <w:tr2bl w:val="nil"/>
            </w:tcBorders>
            <w:noWrap w:val="0"/>
            <w:vAlign w:val="center"/>
          </w:tcPr>
          <w:p w14:paraId="12F848CB">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危险特性</w:t>
            </w:r>
          </w:p>
        </w:tc>
        <w:tc>
          <w:tcPr>
            <w:tcW w:w="3613" w:type="pct"/>
            <w:gridSpan w:val="12"/>
            <w:tcBorders>
              <w:tl2br w:val="nil"/>
              <w:tr2bl w:val="nil"/>
            </w:tcBorders>
            <w:noWrap w:val="0"/>
            <w:vAlign w:val="center"/>
          </w:tcPr>
          <w:p w14:paraId="02B92EBF">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易燃，其蒸气与空气可形成爆炸性混合物，遇明火、高热或与氧化剂接触，有引起危险特性燃烧爆炸的危险。与浓硝酸、发烟硝酸触发生剧烈反应，易爆炸。其蒸气比空气重，能在较低处扩散到相当远的地方，遇火源会着火回燃。</w:t>
            </w:r>
          </w:p>
        </w:tc>
      </w:tr>
      <w:tr w14:paraId="119414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9" w:type="pct"/>
            <w:vMerge w:val="restart"/>
            <w:tcBorders>
              <w:tl2br w:val="nil"/>
              <w:tr2bl w:val="nil"/>
            </w:tcBorders>
            <w:noWrap w:val="0"/>
            <w:vAlign w:val="center"/>
          </w:tcPr>
          <w:p w14:paraId="638B98AD">
            <w:pPr>
              <w:widowControl w:val="0"/>
              <w:autoSpaceDE w:val="0"/>
              <w:autoSpaceDN w:val="0"/>
              <w:adjustRightInd w:val="0"/>
              <w:snapToGrid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反应活性数据</w:t>
            </w:r>
          </w:p>
        </w:tc>
        <w:tc>
          <w:tcPr>
            <w:tcW w:w="956" w:type="pct"/>
            <w:vMerge w:val="restart"/>
            <w:tcBorders>
              <w:tl2br w:val="nil"/>
              <w:tr2bl w:val="nil"/>
            </w:tcBorders>
            <w:noWrap w:val="0"/>
            <w:vAlign w:val="center"/>
          </w:tcPr>
          <w:p w14:paraId="58A1A535">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稳定性</w:t>
            </w:r>
          </w:p>
        </w:tc>
        <w:tc>
          <w:tcPr>
            <w:tcW w:w="636" w:type="pct"/>
            <w:gridSpan w:val="3"/>
            <w:tcBorders>
              <w:tl2br w:val="nil"/>
              <w:tr2bl w:val="nil"/>
            </w:tcBorders>
            <w:noWrap w:val="0"/>
            <w:vAlign w:val="center"/>
          </w:tcPr>
          <w:p w14:paraId="02C99F1D">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不稳定</w:t>
            </w:r>
          </w:p>
        </w:tc>
        <w:tc>
          <w:tcPr>
            <w:tcW w:w="558" w:type="pct"/>
            <w:gridSpan w:val="2"/>
            <w:tcBorders>
              <w:tl2br w:val="nil"/>
              <w:tr2bl w:val="nil"/>
            </w:tcBorders>
            <w:noWrap w:val="0"/>
            <w:vAlign w:val="center"/>
          </w:tcPr>
          <w:p w14:paraId="0A05A90E">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p>
        </w:tc>
        <w:tc>
          <w:tcPr>
            <w:tcW w:w="637" w:type="pct"/>
            <w:tcBorders>
              <w:tl2br w:val="nil"/>
              <w:tr2bl w:val="nil"/>
            </w:tcBorders>
            <w:noWrap w:val="0"/>
            <w:vAlign w:val="center"/>
          </w:tcPr>
          <w:p w14:paraId="3CB0AA64">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避免条件</w:t>
            </w:r>
          </w:p>
        </w:tc>
        <w:tc>
          <w:tcPr>
            <w:tcW w:w="1780" w:type="pct"/>
            <w:gridSpan w:val="6"/>
            <w:tcBorders>
              <w:tl2br w:val="nil"/>
              <w:tr2bl w:val="nil"/>
            </w:tcBorders>
            <w:noWrap w:val="0"/>
            <w:vAlign w:val="center"/>
          </w:tcPr>
          <w:p w14:paraId="7FBA97BD">
            <w:pPr>
              <w:widowControl w:val="0"/>
              <w:autoSpaceDE w:val="0"/>
              <w:autoSpaceDN w:val="0"/>
              <w:adjustRightInd w:val="0"/>
              <w:snapToGrid w:val="0"/>
              <w:spacing w:line="240" w:lineRule="auto"/>
              <w:jc w:val="left"/>
              <w:rPr>
                <w:rFonts w:hint="default" w:ascii="Times New Roman" w:hAnsi="Times New Roman" w:eastAsia="宋体" w:cs="Times New Roman"/>
                <w:color w:val="auto"/>
                <w:sz w:val="21"/>
                <w:szCs w:val="21"/>
                <w:lang w:val="en-US" w:eastAsia="zh-CN" w:bidi="ar-SA"/>
              </w:rPr>
            </w:pPr>
          </w:p>
        </w:tc>
      </w:tr>
      <w:tr w14:paraId="586AF3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9" w:type="pct"/>
            <w:vMerge w:val="continue"/>
            <w:tcBorders>
              <w:tl2br w:val="nil"/>
              <w:tr2bl w:val="nil"/>
            </w:tcBorders>
            <w:noWrap w:val="0"/>
            <w:vAlign w:val="center"/>
          </w:tcPr>
          <w:p w14:paraId="4E82C591">
            <w:pPr>
              <w:widowControl w:val="0"/>
              <w:jc w:val="both"/>
              <w:rPr>
                <w:rFonts w:hint="default" w:ascii="Times New Roman" w:hAnsi="Times New Roman" w:eastAsia="宋体" w:cs="Times New Roman"/>
                <w:color w:val="auto"/>
                <w:sz w:val="21"/>
                <w:szCs w:val="21"/>
              </w:rPr>
            </w:pPr>
          </w:p>
        </w:tc>
        <w:tc>
          <w:tcPr>
            <w:tcW w:w="956" w:type="pct"/>
            <w:vMerge w:val="continue"/>
            <w:tcBorders>
              <w:tl2br w:val="nil"/>
              <w:tr2bl w:val="nil"/>
            </w:tcBorders>
            <w:noWrap w:val="0"/>
            <w:vAlign w:val="center"/>
          </w:tcPr>
          <w:p w14:paraId="7F78589E">
            <w:pPr>
              <w:widowControl w:val="0"/>
              <w:jc w:val="both"/>
              <w:rPr>
                <w:rFonts w:hint="default" w:ascii="Times New Roman" w:hAnsi="Times New Roman" w:eastAsia="宋体" w:cs="Times New Roman"/>
                <w:color w:val="auto"/>
                <w:sz w:val="21"/>
                <w:szCs w:val="21"/>
              </w:rPr>
            </w:pPr>
          </w:p>
        </w:tc>
        <w:tc>
          <w:tcPr>
            <w:tcW w:w="636" w:type="pct"/>
            <w:gridSpan w:val="3"/>
            <w:tcBorders>
              <w:tl2br w:val="nil"/>
              <w:tr2bl w:val="nil"/>
            </w:tcBorders>
            <w:noWrap w:val="0"/>
            <w:vAlign w:val="center"/>
          </w:tcPr>
          <w:p w14:paraId="42A79D12">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稳定</w:t>
            </w:r>
          </w:p>
        </w:tc>
        <w:tc>
          <w:tcPr>
            <w:tcW w:w="558" w:type="pct"/>
            <w:gridSpan w:val="2"/>
            <w:tcBorders>
              <w:tl2br w:val="nil"/>
              <w:tr2bl w:val="nil"/>
            </w:tcBorders>
            <w:noWrap w:val="0"/>
            <w:vAlign w:val="center"/>
          </w:tcPr>
          <w:p w14:paraId="2C7791EE">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w:t>
            </w:r>
          </w:p>
        </w:tc>
        <w:tc>
          <w:tcPr>
            <w:tcW w:w="637" w:type="pct"/>
            <w:tcBorders>
              <w:tl2br w:val="nil"/>
              <w:tr2bl w:val="nil"/>
            </w:tcBorders>
            <w:noWrap w:val="0"/>
            <w:vAlign w:val="center"/>
          </w:tcPr>
          <w:p w14:paraId="49A023EB">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p>
        </w:tc>
        <w:tc>
          <w:tcPr>
            <w:tcW w:w="1780" w:type="pct"/>
            <w:gridSpan w:val="6"/>
            <w:tcBorders>
              <w:tl2br w:val="nil"/>
              <w:tr2bl w:val="nil"/>
            </w:tcBorders>
            <w:noWrap w:val="0"/>
            <w:vAlign w:val="center"/>
          </w:tcPr>
          <w:p w14:paraId="689C5A0C">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p>
        </w:tc>
      </w:tr>
      <w:tr w14:paraId="31AA50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9" w:type="pct"/>
            <w:vMerge w:val="continue"/>
            <w:tcBorders>
              <w:tl2br w:val="nil"/>
              <w:tr2bl w:val="nil"/>
            </w:tcBorders>
            <w:noWrap w:val="0"/>
            <w:vAlign w:val="center"/>
          </w:tcPr>
          <w:p w14:paraId="60DC5A26">
            <w:pPr>
              <w:widowControl w:val="0"/>
              <w:jc w:val="both"/>
              <w:rPr>
                <w:rFonts w:hint="default" w:ascii="Times New Roman" w:hAnsi="Times New Roman" w:eastAsia="宋体" w:cs="Times New Roman"/>
                <w:color w:val="auto"/>
                <w:sz w:val="21"/>
                <w:szCs w:val="21"/>
              </w:rPr>
            </w:pPr>
          </w:p>
        </w:tc>
        <w:tc>
          <w:tcPr>
            <w:tcW w:w="956" w:type="pct"/>
            <w:vMerge w:val="restart"/>
            <w:tcBorders>
              <w:tl2br w:val="nil"/>
              <w:tr2bl w:val="nil"/>
            </w:tcBorders>
            <w:noWrap w:val="0"/>
            <w:vAlign w:val="center"/>
          </w:tcPr>
          <w:p w14:paraId="75E40A99">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聚合危险性</w:t>
            </w:r>
          </w:p>
        </w:tc>
        <w:tc>
          <w:tcPr>
            <w:tcW w:w="636" w:type="pct"/>
            <w:gridSpan w:val="3"/>
            <w:tcBorders>
              <w:tl2br w:val="nil"/>
              <w:tr2bl w:val="nil"/>
            </w:tcBorders>
            <w:noWrap w:val="0"/>
            <w:vAlign w:val="center"/>
          </w:tcPr>
          <w:p w14:paraId="74DCB5E8">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可能存在</w:t>
            </w:r>
          </w:p>
        </w:tc>
        <w:tc>
          <w:tcPr>
            <w:tcW w:w="558" w:type="pct"/>
            <w:gridSpan w:val="2"/>
            <w:tcBorders>
              <w:tl2br w:val="nil"/>
              <w:tr2bl w:val="nil"/>
            </w:tcBorders>
            <w:noWrap w:val="0"/>
            <w:vAlign w:val="center"/>
          </w:tcPr>
          <w:p w14:paraId="1CD2C3B7">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p>
        </w:tc>
        <w:tc>
          <w:tcPr>
            <w:tcW w:w="637" w:type="pct"/>
            <w:tcBorders>
              <w:tl2br w:val="nil"/>
              <w:tr2bl w:val="nil"/>
            </w:tcBorders>
            <w:noWrap w:val="0"/>
            <w:vAlign w:val="center"/>
          </w:tcPr>
          <w:p w14:paraId="5098A754">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避免条件</w:t>
            </w:r>
          </w:p>
        </w:tc>
        <w:tc>
          <w:tcPr>
            <w:tcW w:w="1780" w:type="pct"/>
            <w:gridSpan w:val="6"/>
            <w:tcBorders>
              <w:tl2br w:val="nil"/>
              <w:tr2bl w:val="nil"/>
            </w:tcBorders>
            <w:noWrap w:val="0"/>
            <w:vAlign w:val="center"/>
          </w:tcPr>
          <w:p w14:paraId="1C036842">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p>
        </w:tc>
      </w:tr>
      <w:tr w14:paraId="14C60D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9" w:type="pct"/>
            <w:vMerge w:val="continue"/>
            <w:tcBorders>
              <w:tl2br w:val="nil"/>
              <w:tr2bl w:val="nil"/>
            </w:tcBorders>
            <w:noWrap w:val="0"/>
            <w:vAlign w:val="center"/>
          </w:tcPr>
          <w:p w14:paraId="364AFCDF">
            <w:pPr>
              <w:widowControl w:val="0"/>
              <w:jc w:val="both"/>
              <w:rPr>
                <w:rFonts w:hint="default" w:ascii="Times New Roman" w:hAnsi="Times New Roman" w:eastAsia="宋体" w:cs="Times New Roman"/>
                <w:color w:val="auto"/>
                <w:sz w:val="21"/>
                <w:szCs w:val="21"/>
              </w:rPr>
            </w:pPr>
          </w:p>
        </w:tc>
        <w:tc>
          <w:tcPr>
            <w:tcW w:w="956" w:type="pct"/>
            <w:vMerge w:val="continue"/>
            <w:tcBorders>
              <w:tl2br w:val="nil"/>
              <w:tr2bl w:val="nil"/>
            </w:tcBorders>
            <w:noWrap w:val="0"/>
            <w:vAlign w:val="center"/>
          </w:tcPr>
          <w:p w14:paraId="177FF7EF">
            <w:pPr>
              <w:widowControl w:val="0"/>
              <w:jc w:val="both"/>
              <w:rPr>
                <w:rFonts w:hint="default" w:ascii="Times New Roman" w:hAnsi="Times New Roman" w:eastAsia="宋体" w:cs="Times New Roman"/>
                <w:color w:val="auto"/>
                <w:sz w:val="21"/>
                <w:szCs w:val="21"/>
              </w:rPr>
            </w:pPr>
          </w:p>
        </w:tc>
        <w:tc>
          <w:tcPr>
            <w:tcW w:w="636" w:type="pct"/>
            <w:gridSpan w:val="3"/>
            <w:tcBorders>
              <w:tl2br w:val="nil"/>
              <w:tr2bl w:val="nil"/>
            </w:tcBorders>
            <w:noWrap w:val="0"/>
            <w:vAlign w:val="center"/>
          </w:tcPr>
          <w:p w14:paraId="45A244FB">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不存在</w:t>
            </w:r>
          </w:p>
        </w:tc>
        <w:tc>
          <w:tcPr>
            <w:tcW w:w="558" w:type="pct"/>
            <w:gridSpan w:val="2"/>
            <w:tcBorders>
              <w:tl2br w:val="nil"/>
              <w:tr2bl w:val="nil"/>
            </w:tcBorders>
            <w:noWrap w:val="0"/>
            <w:vAlign w:val="center"/>
          </w:tcPr>
          <w:p w14:paraId="1054B9A9">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w:t>
            </w:r>
          </w:p>
        </w:tc>
        <w:tc>
          <w:tcPr>
            <w:tcW w:w="637" w:type="pct"/>
            <w:tcBorders>
              <w:tl2br w:val="nil"/>
              <w:tr2bl w:val="nil"/>
            </w:tcBorders>
            <w:noWrap w:val="0"/>
            <w:vAlign w:val="center"/>
          </w:tcPr>
          <w:p w14:paraId="37E032FB">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p>
        </w:tc>
        <w:tc>
          <w:tcPr>
            <w:tcW w:w="1780" w:type="pct"/>
            <w:gridSpan w:val="6"/>
            <w:tcBorders>
              <w:tl2br w:val="nil"/>
              <w:tr2bl w:val="nil"/>
            </w:tcBorders>
            <w:noWrap w:val="0"/>
            <w:vAlign w:val="center"/>
          </w:tcPr>
          <w:p w14:paraId="792A021E">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p>
        </w:tc>
      </w:tr>
      <w:tr w14:paraId="7A554B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9" w:type="pct"/>
            <w:vMerge w:val="continue"/>
            <w:tcBorders>
              <w:tl2br w:val="nil"/>
              <w:tr2bl w:val="nil"/>
            </w:tcBorders>
            <w:noWrap w:val="0"/>
            <w:vAlign w:val="center"/>
          </w:tcPr>
          <w:p w14:paraId="44C5E641">
            <w:pPr>
              <w:widowControl w:val="0"/>
              <w:jc w:val="both"/>
              <w:rPr>
                <w:rFonts w:hint="default" w:ascii="Times New Roman" w:hAnsi="Times New Roman" w:eastAsia="宋体" w:cs="Times New Roman"/>
                <w:color w:val="auto"/>
                <w:sz w:val="21"/>
                <w:szCs w:val="21"/>
              </w:rPr>
            </w:pPr>
          </w:p>
        </w:tc>
        <w:tc>
          <w:tcPr>
            <w:tcW w:w="956" w:type="pct"/>
            <w:tcBorders>
              <w:tl2br w:val="nil"/>
              <w:tr2bl w:val="nil"/>
            </w:tcBorders>
            <w:noWrap w:val="0"/>
            <w:vAlign w:val="center"/>
          </w:tcPr>
          <w:p w14:paraId="30DD7452">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禁忌物</w:t>
            </w:r>
          </w:p>
        </w:tc>
        <w:tc>
          <w:tcPr>
            <w:tcW w:w="636" w:type="pct"/>
            <w:gridSpan w:val="3"/>
            <w:tcBorders>
              <w:tl2br w:val="nil"/>
              <w:tr2bl w:val="nil"/>
            </w:tcBorders>
            <w:noWrap w:val="0"/>
            <w:vAlign w:val="center"/>
          </w:tcPr>
          <w:p w14:paraId="6BD08A35">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强氧化剂</w:t>
            </w:r>
          </w:p>
        </w:tc>
        <w:tc>
          <w:tcPr>
            <w:tcW w:w="1196" w:type="pct"/>
            <w:gridSpan w:val="3"/>
            <w:tcBorders>
              <w:tl2br w:val="nil"/>
              <w:tr2bl w:val="nil"/>
            </w:tcBorders>
            <w:noWrap w:val="0"/>
            <w:vAlign w:val="center"/>
          </w:tcPr>
          <w:p w14:paraId="1AB372FE">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燃烧（分解）产物</w:t>
            </w:r>
          </w:p>
        </w:tc>
        <w:tc>
          <w:tcPr>
            <w:tcW w:w="1780" w:type="pct"/>
            <w:gridSpan w:val="6"/>
            <w:tcBorders>
              <w:tl2br w:val="nil"/>
              <w:tr2bl w:val="nil"/>
            </w:tcBorders>
            <w:noWrap w:val="0"/>
            <w:vAlign w:val="center"/>
          </w:tcPr>
          <w:p w14:paraId="4C219811">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无资料</w:t>
            </w:r>
          </w:p>
        </w:tc>
      </w:tr>
      <w:tr w14:paraId="5BF559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9" w:type="pct"/>
            <w:vMerge w:val="restart"/>
            <w:tcBorders>
              <w:tl2br w:val="nil"/>
              <w:tr2bl w:val="nil"/>
            </w:tcBorders>
            <w:noWrap w:val="0"/>
            <w:vAlign w:val="center"/>
          </w:tcPr>
          <w:p w14:paraId="2AF8F3A3">
            <w:pPr>
              <w:widowControl w:val="0"/>
              <w:autoSpaceDE w:val="0"/>
              <w:autoSpaceDN w:val="0"/>
              <w:adjustRightInd w:val="0"/>
              <w:snapToGrid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健康危害数据</w:t>
            </w:r>
          </w:p>
        </w:tc>
        <w:tc>
          <w:tcPr>
            <w:tcW w:w="956" w:type="pct"/>
            <w:tcBorders>
              <w:tl2br w:val="nil"/>
              <w:tr2bl w:val="nil"/>
            </w:tcBorders>
            <w:noWrap w:val="0"/>
            <w:vAlign w:val="center"/>
          </w:tcPr>
          <w:p w14:paraId="4BCAB389">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侵入途径</w:t>
            </w:r>
          </w:p>
        </w:tc>
        <w:tc>
          <w:tcPr>
            <w:tcW w:w="636" w:type="pct"/>
            <w:gridSpan w:val="3"/>
            <w:tcBorders>
              <w:tl2br w:val="nil"/>
              <w:tr2bl w:val="nil"/>
            </w:tcBorders>
            <w:noWrap w:val="0"/>
            <w:vAlign w:val="center"/>
          </w:tcPr>
          <w:p w14:paraId="5882FC42">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吸入</w:t>
            </w:r>
          </w:p>
        </w:tc>
        <w:tc>
          <w:tcPr>
            <w:tcW w:w="558" w:type="pct"/>
            <w:gridSpan w:val="2"/>
            <w:tcBorders>
              <w:tl2br w:val="nil"/>
              <w:tr2bl w:val="nil"/>
            </w:tcBorders>
            <w:noWrap w:val="0"/>
            <w:vAlign w:val="center"/>
          </w:tcPr>
          <w:p w14:paraId="39EB1222">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w:t>
            </w:r>
          </w:p>
        </w:tc>
        <w:tc>
          <w:tcPr>
            <w:tcW w:w="637" w:type="pct"/>
            <w:tcBorders>
              <w:tl2br w:val="nil"/>
              <w:tr2bl w:val="nil"/>
            </w:tcBorders>
            <w:noWrap w:val="0"/>
            <w:vAlign w:val="center"/>
          </w:tcPr>
          <w:p w14:paraId="6F8A4BB2">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皮肤</w:t>
            </w:r>
          </w:p>
        </w:tc>
        <w:tc>
          <w:tcPr>
            <w:tcW w:w="635" w:type="pct"/>
            <w:gridSpan w:val="3"/>
            <w:tcBorders>
              <w:tl2br w:val="nil"/>
              <w:tr2bl w:val="nil"/>
            </w:tcBorders>
            <w:noWrap w:val="0"/>
            <w:vAlign w:val="center"/>
          </w:tcPr>
          <w:p w14:paraId="381CD7FE">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w:t>
            </w:r>
          </w:p>
        </w:tc>
        <w:tc>
          <w:tcPr>
            <w:tcW w:w="610" w:type="pct"/>
            <w:gridSpan w:val="2"/>
            <w:tcBorders>
              <w:tl2br w:val="nil"/>
              <w:tr2bl w:val="nil"/>
            </w:tcBorders>
            <w:noWrap w:val="0"/>
            <w:vAlign w:val="center"/>
          </w:tcPr>
          <w:p w14:paraId="68DE083F">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口</w:t>
            </w:r>
          </w:p>
        </w:tc>
        <w:tc>
          <w:tcPr>
            <w:tcW w:w="534" w:type="pct"/>
            <w:tcBorders>
              <w:tl2br w:val="nil"/>
              <w:tr2bl w:val="nil"/>
            </w:tcBorders>
            <w:noWrap w:val="0"/>
            <w:vAlign w:val="center"/>
          </w:tcPr>
          <w:p w14:paraId="549721C1">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w:t>
            </w:r>
          </w:p>
        </w:tc>
      </w:tr>
      <w:tr w14:paraId="7A255E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9" w:type="pct"/>
            <w:vMerge w:val="continue"/>
            <w:tcBorders>
              <w:tl2br w:val="nil"/>
              <w:tr2bl w:val="nil"/>
            </w:tcBorders>
            <w:noWrap w:val="0"/>
            <w:vAlign w:val="center"/>
          </w:tcPr>
          <w:p w14:paraId="385C6977">
            <w:pPr>
              <w:widowControl w:val="0"/>
              <w:jc w:val="both"/>
              <w:rPr>
                <w:rFonts w:hint="default" w:ascii="Times New Roman" w:hAnsi="Times New Roman" w:eastAsia="宋体" w:cs="Times New Roman"/>
                <w:color w:val="auto"/>
                <w:sz w:val="21"/>
                <w:szCs w:val="21"/>
              </w:rPr>
            </w:pPr>
          </w:p>
        </w:tc>
        <w:tc>
          <w:tcPr>
            <w:tcW w:w="956" w:type="pct"/>
            <w:tcBorders>
              <w:tl2br w:val="nil"/>
              <w:tr2bl w:val="nil"/>
            </w:tcBorders>
            <w:noWrap w:val="0"/>
            <w:vAlign w:val="center"/>
          </w:tcPr>
          <w:p w14:paraId="219EAF06">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急性毒性</w:t>
            </w:r>
          </w:p>
        </w:tc>
        <w:tc>
          <w:tcPr>
            <w:tcW w:w="636" w:type="pct"/>
            <w:gridSpan w:val="3"/>
            <w:tcBorders>
              <w:tl2br w:val="nil"/>
              <w:tr2bl w:val="nil"/>
            </w:tcBorders>
            <w:noWrap w:val="0"/>
            <w:vAlign w:val="center"/>
          </w:tcPr>
          <w:p w14:paraId="7F413E7E">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10</w:t>
            </w:r>
          </w:p>
        </w:tc>
        <w:tc>
          <w:tcPr>
            <w:tcW w:w="558" w:type="pct"/>
            <w:gridSpan w:val="2"/>
            <w:tcBorders>
              <w:tl2br w:val="nil"/>
              <w:tr2bl w:val="nil"/>
            </w:tcBorders>
            <w:noWrap w:val="0"/>
            <w:vAlign w:val="center"/>
          </w:tcPr>
          <w:p w14:paraId="159098DC">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无资料</w:t>
            </w:r>
          </w:p>
        </w:tc>
        <w:tc>
          <w:tcPr>
            <w:tcW w:w="637" w:type="pct"/>
            <w:tcBorders>
              <w:tl2br w:val="nil"/>
              <w:tr2bl w:val="nil"/>
            </w:tcBorders>
            <w:noWrap w:val="0"/>
            <w:vAlign w:val="center"/>
          </w:tcPr>
          <w:p w14:paraId="79A72446">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LC50</w:t>
            </w:r>
          </w:p>
        </w:tc>
        <w:tc>
          <w:tcPr>
            <w:tcW w:w="635" w:type="pct"/>
            <w:gridSpan w:val="3"/>
            <w:tcBorders>
              <w:tl2br w:val="nil"/>
              <w:tr2bl w:val="nil"/>
            </w:tcBorders>
            <w:noWrap w:val="0"/>
            <w:vAlign w:val="center"/>
          </w:tcPr>
          <w:p w14:paraId="2C642B45">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大鼠吸入</w:t>
            </w:r>
          </w:p>
        </w:tc>
        <w:tc>
          <w:tcPr>
            <w:tcW w:w="1145" w:type="pct"/>
            <w:gridSpan w:val="3"/>
            <w:tcBorders>
              <w:tl2br w:val="nil"/>
              <w:tr2bl w:val="nil"/>
            </w:tcBorders>
            <w:noWrap w:val="0"/>
            <w:vAlign w:val="center"/>
          </w:tcPr>
          <w:p w14:paraId="6476EFFE">
            <w:pPr>
              <w:widowControl w:val="0"/>
              <w:autoSpaceDE w:val="0"/>
              <w:autoSpaceDN w:val="0"/>
              <w:adjustRightInd w:val="0"/>
              <w:snapToGrid w:val="0"/>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16000mg/m</w:t>
            </w:r>
            <w:r>
              <w:rPr>
                <w:rFonts w:hint="default" w:ascii="Times New Roman" w:hAnsi="Times New Roman" w:eastAsia="宋体" w:cs="Times New Roman"/>
                <w:color w:val="auto"/>
                <w:sz w:val="21"/>
                <w:szCs w:val="21"/>
                <w:vertAlign w:val="superscript"/>
                <w:lang w:val="en-US" w:eastAsia="zh-CN" w:bidi="ar-SA"/>
              </w:rPr>
              <w:t>3</w:t>
            </w:r>
            <w:r>
              <w:rPr>
                <w:rFonts w:hint="default" w:ascii="Times New Roman" w:hAnsi="Times New Roman" w:eastAsia="宋体" w:cs="Times New Roman"/>
                <w:color w:val="auto"/>
                <w:sz w:val="21"/>
                <w:szCs w:val="21"/>
                <w:lang w:val="en-US" w:eastAsia="zh-CN" w:bidi="ar-SA"/>
              </w:rPr>
              <w:t>，4小时</w:t>
            </w:r>
          </w:p>
        </w:tc>
      </w:tr>
      <w:tr w14:paraId="0812C6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9" w:type="pct"/>
            <w:tcBorders>
              <w:tl2br w:val="nil"/>
              <w:tr2bl w:val="nil"/>
            </w:tcBorders>
            <w:noWrap w:val="0"/>
            <w:vAlign w:val="center"/>
          </w:tcPr>
          <w:p w14:paraId="5407011C">
            <w:pPr>
              <w:widowControl w:val="0"/>
              <w:autoSpaceDE w:val="0"/>
              <w:autoSpaceDN w:val="0"/>
              <w:adjustRightInd w:val="0"/>
              <w:snapToGrid w:val="0"/>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急救措施</w:t>
            </w:r>
          </w:p>
        </w:tc>
        <w:tc>
          <w:tcPr>
            <w:tcW w:w="4570" w:type="pct"/>
            <w:gridSpan w:val="13"/>
            <w:tcBorders>
              <w:tl2br w:val="nil"/>
              <w:tr2bl w:val="nil"/>
            </w:tcBorders>
            <w:noWrap w:val="0"/>
            <w:vAlign w:val="center"/>
          </w:tcPr>
          <w:p w14:paraId="6C20B22A">
            <w:pPr>
              <w:widowControl w:val="0"/>
              <w:autoSpaceDE w:val="0"/>
              <w:autoSpaceDN w:val="0"/>
              <w:adjustRightInd w:val="0"/>
              <w:snapToGrid w:val="0"/>
              <w:spacing w:line="240" w:lineRule="auto"/>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吸入：如果吸入本品蒸汽或其燃烧物，迅速脱离现场至空气新鲜处。保持呼吸道通畅。如呼吸困难，给输氧。如呼吸停止，立即进行人工呼吸。就医。</w:t>
            </w:r>
          </w:p>
          <w:p w14:paraId="56EDFA62">
            <w:pPr>
              <w:widowControl w:val="0"/>
              <w:autoSpaceDE w:val="0"/>
              <w:autoSpaceDN w:val="0"/>
              <w:adjustRightInd w:val="0"/>
              <w:snapToGrid w:val="0"/>
              <w:spacing w:line="240" w:lineRule="auto"/>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食入：饮水，禁止催吐。如有不适感，就医。</w:t>
            </w:r>
          </w:p>
          <w:p w14:paraId="50FDAF73">
            <w:pPr>
              <w:widowControl w:val="0"/>
              <w:autoSpaceDE w:val="0"/>
              <w:autoSpaceDN w:val="0"/>
              <w:adjustRightInd w:val="0"/>
              <w:snapToGrid w:val="0"/>
              <w:spacing w:line="240" w:lineRule="auto"/>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眼睛接触：立即提起眼睑，用流动清水或生理盐水冲洗15分钟，立即就医。眼睛受伤后，应由专业人员取出隐形眼镜。</w:t>
            </w:r>
          </w:p>
          <w:p w14:paraId="32AF9845">
            <w:pPr>
              <w:widowControl w:val="0"/>
              <w:autoSpaceDE w:val="0"/>
              <w:autoSpaceDN w:val="0"/>
              <w:adjustRightInd w:val="0"/>
              <w:snapToGrid w:val="0"/>
              <w:spacing w:line="240" w:lineRule="auto"/>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皮肤接触：立即脱去被污染的衣着，用肥皂水和清水彻底冲洗皮肤。就医。</w:t>
            </w:r>
          </w:p>
        </w:tc>
      </w:tr>
      <w:tr w14:paraId="063420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9" w:type="pct"/>
            <w:tcBorders>
              <w:tl2br w:val="nil"/>
              <w:tr2bl w:val="nil"/>
            </w:tcBorders>
            <w:noWrap w:val="0"/>
            <w:vAlign w:val="center"/>
          </w:tcPr>
          <w:p w14:paraId="60877C3B">
            <w:pPr>
              <w:widowControl w:val="0"/>
              <w:autoSpaceDE w:val="0"/>
              <w:autoSpaceDN w:val="0"/>
              <w:adjustRightInd w:val="0"/>
              <w:snapToGrid w:val="0"/>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急性中毒</w:t>
            </w:r>
          </w:p>
        </w:tc>
        <w:tc>
          <w:tcPr>
            <w:tcW w:w="4570" w:type="pct"/>
            <w:gridSpan w:val="13"/>
            <w:tcBorders>
              <w:tl2br w:val="nil"/>
              <w:tr2bl w:val="nil"/>
            </w:tcBorders>
            <w:noWrap w:val="0"/>
            <w:vAlign w:val="center"/>
          </w:tcPr>
          <w:p w14:paraId="34CB7C75">
            <w:pPr>
              <w:widowControl w:val="0"/>
              <w:autoSpaceDE w:val="0"/>
              <w:autoSpaceDN w:val="0"/>
              <w:adjustRightInd w:val="0"/>
              <w:snapToGrid w:val="0"/>
              <w:spacing w:line="240" w:lineRule="auto"/>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职业接触</w:t>
            </w:r>
          </w:p>
          <w:p w14:paraId="416F5975">
            <w:pPr>
              <w:widowControl w:val="0"/>
              <w:autoSpaceDE w:val="0"/>
              <w:autoSpaceDN w:val="0"/>
              <w:adjustRightInd w:val="0"/>
              <w:snapToGrid w:val="0"/>
              <w:spacing w:line="240" w:lineRule="auto"/>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由于硫化氢可溶于水及油中，有时可随水或油流至远离发生源处，而引起意外中毒事故。硫化氢经</w:t>
            </w:r>
            <w:r>
              <w:rPr>
                <w:rFonts w:hint="eastAsia" w:cs="Times New Roman"/>
                <w:color w:val="auto"/>
                <w:sz w:val="21"/>
                <w:szCs w:val="21"/>
                <w:lang w:val="en-US" w:eastAsia="zh-CN" w:bidi="ar-SA"/>
              </w:rPr>
              <w:t>黏膜</w:t>
            </w:r>
            <w:r>
              <w:rPr>
                <w:rFonts w:hint="default" w:ascii="Times New Roman" w:hAnsi="Times New Roman" w:eastAsia="宋体" w:cs="Times New Roman"/>
                <w:color w:val="auto"/>
                <w:sz w:val="21"/>
                <w:szCs w:val="21"/>
                <w:lang w:val="en-US" w:eastAsia="zh-CN" w:bidi="ar-SA"/>
              </w:rPr>
              <w:t>吸收快，皮肤吸收甚少。误服含硫盐类与胃酸作用后产生硫化氢可经肠道吸收而引起中毒。</w:t>
            </w:r>
          </w:p>
          <w:p w14:paraId="671CF8DE">
            <w:pPr>
              <w:widowControl w:val="0"/>
              <w:autoSpaceDE w:val="0"/>
              <w:autoSpaceDN w:val="0"/>
              <w:adjustRightInd w:val="0"/>
              <w:snapToGrid w:val="0"/>
              <w:spacing w:line="240" w:lineRule="auto"/>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中毒后的临床表现</w:t>
            </w:r>
          </w:p>
          <w:p w14:paraId="38943B8D">
            <w:pPr>
              <w:widowControl w:val="0"/>
              <w:autoSpaceDE w:val="0"/>
              <w:autoSpaceDN w:val="0"/>
              <w:adjustRightInd w:val="0"/>
              <w:snapToGrid w:val="0"/>
              <w:spacing w:line="240" w:lineRule="auto"/>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硫化氢是一种神经毒剂。亦为窒息性和刺激性气体。作用主要靶器是中枢神经系统和呼吸系统，亦可伴有心脏等多器官损害，对毒作用最敏感的组织是脑和</w:t>
            </w:r>
            <w:r>
              <w:rPr>
                <w:rFonts w:hint="eastAsia" w:cs="Times New Roman"/>
                <w:color w:val="auto"/>
                <w:sz w:val="21"/>
                <w:szCs w:val="21"/>
                <w:lang w:val="en-US" w:eastAsia="zh-CN" w:bidi="ar-SA"/>
              </w:rPr>
              <w:t>黏膜</w:t>
            </w:r>
            <w:r>
              <w:rPr>
                <w:rFonts w:hint="default" w:ascii="Times New Roman" w:hAnsi="Times New Roman" w:eastAsia="宋体" w:cs="Times New Roman"/>
                <w:color w:val="auto"/>
                <w:sz w:val="21"/>
                <w:szCs w:val="21"/>
                <w:lang w:val="en-US" w:eastAsia="zh-CN" w:bidi="ar-SA"/>
              </w:rPr>
              <w:t>接触部位。</w:t>
            </w:r>
          </w:p>
          <w:p w14:paraId="324DCA0E">
            <w:pPr>
              <w:widowControl w:val="0"/>
              <w:autoSpaceDE w:val="0"/>
              <w:autoSpaceDN w:val="0"/>
              <w:adjustRightInd w:val="0"/>
              <w:snapToGrid w:val="0"/>
              <w:spacing w:line="240" w:lineRule="auto"/>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硫化氢的急性毒作用靶器官和中毒机制可因其不同的浓度和接触时间而异。浓度越高则中枢神经抑制作用越明显，浓度相对较低时</w:t>
            </w:r>
            <w:r>
              <w:rPr>
                <w:rFonts w:hint="eastAsia" w:cs="Times New Roman"/>
                <w:color w:val="auto"/>
                <w:sz w:val="21"/>
                <w:szCs w:val="21"/>
                <w:lang w:val="en-US" w:eastAsia="zh-CN" w:bidi="ar-SA"/>
              </w:rPr>
              <w:t>黏膜</w:t>
            </w:r>
            <w:r>
              <w:rPr>
                <w:rFonts w:hint="default" w:ascii="Times New Roman" w:hAnsi="Times New Roman" w:eastAsia="宋体" w:cs="Times New Roman"/>
                <w:color w:val="auto"/>
                <w:sz w:val="21"/>
                <w:szCs w:val="21"/>
                <w:lang w:val="en-US" w:eastAsia="zh-CN" w:bidi="ar-SA"/>
              </w:rPr>
              <w:t>刺激作用明显。人吸入70～150mg/m</w:t>
            </w:r>
            <w:r>
              <w:rPr>
                <w:rFonts w:hint="default" w:ascii="Times New Roman" w:hAnsi="Times New Roman" w:eastAsia="宋体" w:cs="Times New Roman"/>
                <w:color w:val="auto"/>
                <w:sz w:val="21"/>
                <w:szCs w:val="21"/>
                <w:vertAlign w:val="superscript"/>
                <w:lang w:val="en-US" w:eastAsia="zh-CN" w:bidi="ar-SA"/>
              </w:rPr>
              <w:t>3</w:t>
            </w:r>
            <w:r>
              <w:rPr>
                <w:rFonts w:hint="default" w:ascii="Times New Roman" w:hAnsi="Times New Roman" w:eastAsia="宋体" w:cs="Times New Roman"/>
                <w:color w:val="auto"/>
                <w:sz w:val="21"/>
                <w:szCs w:val="21"/>
                <w:lang w:val="en-US" w:eastAsia="zh-CN" w:bidi="ar-SA"/>
              </w:rPr>
              <w:t>/1～2小时，出现呼吸道及眼刺激症状，吸2～5分钟后嗅觉疲劳，不再闻到臭气。吸入300mg/m</w:t>
            </w:r>
            <w:r>
              <w:rPr>
                <w:rFonts w:hint="default" w:ascii="Times New Roman" w:hAnsi="Times New Roman" w:eastAsia="宋体" w:cs="Times New Roman"/>
                <w:color w:val="auto"/>
                <w:sz w:val="21"/>
                <w:szCs w:val="21"/>
                <w:vertAlign w:val="superscript"/>
                <w:lang w:val="en-US" w:eastAsia="zh-CN" w:bidi="ar-SA"/>
              </w:rPr>
              <w:t>3</w:t>
            </w:r>
            <w:r>
              <w:rPr>
                <w:rFonts w:hint="default" w:ascii="Times New Roman" w:hAnsi="Times New Roman" w:eastAsia="宋体" w:cs="Times New Roman"/>
                <w:color w:val="auto"/>
                <w:sz w:val="21"/>
                <w:szCs w:val="21"/>
                <w:lang w:val="en-US" w:eastAsia="zh-CN" w:bidi="ar-SA"/>
              </w:rPr>
              <w:t>/1小时，6～8分钟出现眼急性刺激症状，稍长时间接触引起肺水肿。吸入760mg/m</w:t>
            </w:r>
            <w:r>
              <w:rPr>
                <w:rFonts w:hint="default" w:ascii="Times New Roman" w:hAnsi="Times New Roman" w:eastAsia="宋体" w:cs="Times New Roman"/>
                <w:color w:val="auto"/>
                <w:sz w:val="21"/>
                <w:szCs w:val="21"/>
                <w:vertAlign w:val="superscript"/>
                <w:lang w:val="en-US" w:eastAsia="zh-CN" w:bidi="ar-SA"/>
              </w:rPr>
              <w:t>3</w:t>
            </w:r>
            <w:r>
              <w:rPr>
                <w:rFonts w:hint="default" w:ascii="Times New Roman" w:hAnsi="Times New Roman" w:eastAsia="宋体" w:cs="Times New Roman"/>
                <w:color w:val="auto"/>
                <w:sz w:val="21"/>
                <w:szCs w:val="21"/>
                <w:lang w:val="en-US" w:eastAsia="zh-CN" w:bidi="ar-SA"/>
              </w:rPr>
              <w:t>/15～60分钟，发生肺水肿、支气管炎及肺炎，头痛、头昏、步态不稳、恶心、呕吐。吸入1000mg/m</w:t>
            </w:r>
            <w:r>
              <w:rPr>
                <w:rFonts w:hint="default" w:ascii="Times New Roman" w:hAnsi="Times New Roman" w:eastAsia="宋体" w:cs="Times New Roman"/>
                <w:color w:val="auto"/>
                <w:sz w:val="21"/>
                <w:szCs w:val="21"/>
                <w:vertAlign w:val="superscript"/>
                <w:lang w:val="en-US" w:eastAsia="zh-CN" w:bidi="ar-SA"/>
              </w:rPr>
              <w:t>3</w:t>
            </w:r>
            <w:r>
              <w:rPr>
                <w:rFonts w:hint="default" w:ascii="Times New Roman" w:hAnsi="Times New Roman" w:eastAsia="宋体" w:cs="Times New Roman"/>
                <w:color w:val="auto"/>
                <w:sz w:val="21"/>
                <w:szCs w:val="21"/>
                <w:lang w:val="en-US" w:eastAsia="zh-CN" w:bidi="ar-SA"/>
              </w:rPr>
              <w:t>数秒钟，很快出现急性中毒，呼吸加快后呼吸麻痹而死亡。</w:t>
            </w:r>
          </w:p>
          <w:p w14:paraId="3E17D225">
            <w:pPr>
              <w:widowControl w:val="0"/>
              <w:autoSpaceDE w:val="0"/>
              <w:autoSpaceDN w:val="0"/>
              <w:adjustRightInd w:val="0"/>
              <w:snapToGrid w:val="0"/>
              <w:spacing w:line="240" w:lineRule="auto"/>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急性硫化氢中毒一般发病迅速，出现以脑和（或）呼吸系统损害为主的中毒后的临床表现，亦可伴有心脏等器官功能障碍。中毒后的临床表现可因接触硫化氢的浓度等因素不同而有明显差异。</w:t>
            </w:r>
          </w:p>
        </w:tc>
      </w:tr>
      <w:tr w14:paraId="54772D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9" w:type="pct"/>
            <w:tcBorders>
              <w:tl2br w:val="nil"/>
              <w:tr2bl w:val="nil"/>
            </w:tcBorders>
            <w:noWrap w:val="0"/>
            <w:vAlign w:val="center"/>
          </w:tcPr>
          <w:p w14:paraId="0F04565A">
            <w:pPr>
              <w:widowControl w:val="0"/>
              <w:autoSpaceDE w:val="0"/>
              <w:autoSpaceDN w:val="0"/>
              <w:adjustRightInd w:val="0"/>
              <w:snapToGrid w:val="0"/>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泄漏紧急处理</w:t>
            </w:r>
          </w:p>
        </w:tc>
        <w:tc>
          <w:tcPr>
            <w:tcW w:w="4570" w:type="pct"/>
            <w:gridSpan w:val="13"/>
            <w:tcBorders>
              <w:tl2br w:val="nil"/>
              <w:tr2bl w:val="nil"/>
            </w:tcBorders>
            <w:noWrap w:val="0"/>
            <w:vAlign w:val="center"/>
          </w:tcPr>
          <w:p w14:paraId="21144B7F">
            <w:pPr>
              <w:widowControl w:val="0"/>
              <w:autoSpaceDE w:val="0"/>
              <w:autoSpaceDN w:val="0"/>
              <w:adjustRightInd w:val="0"/>
              <w:snapToGrid w:val="0"/>
              <w:spacing w:line="240" w:lineRule="auto"/>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撤离并进行隔离。根据扩散的影响区域划定警戒区，无关人员从侧风、上风向撤离至安全区。建议应急处理人员戴正压自给式呼吸器，穿防静电服。作业时使用的所有设备应接地。</w:t>
            </w:r>
          </w:p>
          <w:p w14:paraId="371C741E">
            <w:pPr>
              <w:widowControl w:val="0"/>
              <w:autoSpaceDE w:val="0"/>
              <w:autoSpaceDN w:val="0"/>
              <w:adjustRightInd w:val="0"/>
              <w:snapToGrid w:val="0"/>
              <w:spacing w:line="240" w:lineRule="auto"/>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禁止接触或跨越泄漏物。尽可能切断泄漏源。</w:t>
            </w:r>
          </w:p>
          <w:p w14:paraId="71306AB0">
            <w:pPr>
              <w:widowControl w:val="0"/>
              <w:autoSpaceDE w:val="0"/>
              <w:autoSpaceDN w:val="0"/>
              <w:adjustRightInd w:val="0"/>
              <w:snapToGrid w:val="0"/>
              <w:spacing w:line="240" w:lineRule="auto"/>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防止泄漏物进入水体、下水道、地下室或密闭性空间。</w:t>
            </w:r>
          </w:p>
          <w:p w14:paraId="78415260">
            <w:pPr>
              <w:widowControl w:val="0"/>
              <w:autoSpaceDE w:val="0"/>
              <w:autoSpaceDN w:val="0"/>
              <w:adjustRightInd w:val="0"/>
              <w:snapToGrid w:val="0"/>
              <w:spacing w:line="240" w:lineRule="auto"/>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小量泄漏：用砂土或</w:t>
            </w:r>
            <w:r>
              <w:rPr>
                <w:rFonts w:hint="eastAsia" w:cs="Times New Roman"/>
                <w:color w:val="auto"/>
                <w:sz w:val="21"/>
                <w:szCs w:val="21"/>
                <w:lang w:val="en-US" w:eastAsia="zh-CN" w:bidi="ar-SA"/>
              </w:rPr>
              <w:t>其他不</w:t>
            </w:r>
            <w:r>
              <w:rPr>
                <w:rFonts w:hint="default" w:ascii="Times New Roman" w:hAnsi="Times New Roman" w:eastAsia="宋体" w:cs="Times New Roman"/>
                <w:color w:val="auto"/>
                <w:sz w:val="21"/>
                <w:szCs w:val="21"/>
                <w:lang w:val="en-US" w:eastAsia="zh-CN" w:bidi="ar-SA"/>
              </w:rPr>
              <w:t>燃材料吸收。使用洁净的无火花工具收集吸收材料。</w:t>
            </w:r>
          </w:p>
          <w:p w14:paraId="4B3D2582">
            <w:pPr>
              <w:widowControl w:val="0"/>
              <w:autoSpaceDE w:val="0"/>
              <w:autoSpaceDN w:val="0"/>
              <w:adjustRightInd w:val="0"/>
              <w:snapToGrid w:val="0"/>
              <w:spacing w:line="240" w:lineRule="auto"/>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大量泄漏：构筑围堤或挖坑收容。用飞尘或石灰粉吸收大量液体。用泡沫覆盖，减少蒸发。喷水雾能减少蒸发，但不能降低泄漏物在受限制空间内的易燃性。用防爆泵转移至槽车或专用收集器内。</w:t>
            </w:r>
          </w:p>
        </w:tc>
      </w:tr>
      <w:tr w14:paraId="40DBCF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9" w:type="pct"/>
            <w:vMerge w:val="restart"/>
            <w:tcBorders>
              <w:tl2br w:val="nil"/>
              <w:tr2bl w:val="nil"/>
            </w:tcBorders>
            <w:noWrap w:val="0"/>
            <w:vAlign w:val="center"/>
          </w:tcPr>
          <w:p w14:paraId="50D1CD6E">
            <w:pPr>
              <w:widowControl w:val="0"/>
              <w:autoSpaceDE w:val="0"/>
              <w:autoSpaceDN w:val="0"/>
              <w:adjustRightInd w:val="0"/>
              <w:snapToGrid w:val="0"/>
              <w:spacing w:line="240" w:lineRule="auto"/>
              <w:jc w:val="center"/>
              <w:rPr>
                <w:rFonts w:hint="default" w:ascii="Times New Roman" w:hAnsi="Times New Roman" w:eastAsia="ST Song Std" w:cs="Times New Roman"/>
                <w:color w:val="auto"/>
                <w:sz w:val="21"/>
                <w:szCs w:val="21"/>
                <w:lang w:val="en-US" w:eastAsia="zh-CN" w:bidi="ar-SA"/>
              </w:rPr>
            </w:pPr>
          </w:p>
        </w:tc>
        <w:tc>
          <w:tcPr>
            <w:tcW w:w="1193" w:type="pct"/>
            <w:gridSpan w:val="2"/>
            <w:tcBorders>
              <w:tl2br w:val="nil"/>
              <w:tr2bl w:val="nil"/>
            </w:tcBorders>
            <w:noWrap w:val="0"/>
            <w:vAlign w:val="center"/>
          </w:tcPr>
          <w:p w14:paraId="171FE084">
            <w:pPr>
              <w:widowControl w:val="0"/>
              <w:autoSpaceDE w:val="0"/>
              <w:autoSpaceDN w:val="0"/>
              <w:adjustRightInd w:val="0"/>
              <w:snapToGrid w:val="0"/>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bidi="ar-SA"/>
              </w:rPr>
              <w:t>工程控制</w:t>
            </w:r>
          </w:p>
        </w:tc>
        <w:tc>
          <w:tcPr>
            <w:tcW w:w="3377" w:type="pct"/>
            <w:gridSpan w:val="11"/>
            <w:tcBorders>
              <w:tl2br w:val="nil"/>
              <w:tr2bl w:val="nil"/>
            </w:tcBorders>
            <w:noWrap w:val="0"/>
            <w:vAlign w:val="center"/>
          </w:tcPr>
          <w:p w14:paraId="003A2FC9">
            <w:pPr>
              <w:widowControl w:val="0"/>
              <w:autoSpaceDE w:val="0"/>
              <w:autoSpaceDN w:val="0"/>
              <w:adjustRightInd w:val="0"/>
              <w:snapToGrid w:val="0"/>
              <w:spacing w:line="240" w:lineRule="auto"/>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生产过程密闭，全面通风。提供安全淋浴和洗眼设备。</w:t>
            </w:r>
          </w:p>
        </w:tc>
      </w:tr>
      <w:tr w14:paraId="367EC7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9" w:type="pct"/>
            <w:vMerge w:val="continue"/>
            <w:tcBorders>
              <w:tl2br w:val="nil"/>
              <w:tr2bl w:val="nil"/>
            </w:tcBorders>
            <w:noWrap w:val="0"/>
            <w:vAlign w:val="center"/>
          </w:tcPr>
          <w:p w14:paraId="31FF335D">
            <w:pPr>
              <w:widowControl w:val="0"/>
              <w:jc w:val="both"/>
              <w:rPr>
                <w:rFonts w:hint="default" w:ascii="Times New Roman" w:hAnsi="Times New Roman" w:eastAsia="宋体" w:cs="Times New Roman"/>
                <w:color w:val="auto"/>
                <w:sz w:val="21"/>
                <w:szCs w:val="21"/>
              </w:rPr>
            </w:pPr>
          </w:p>
        </w:tc>
        <w:tc>
          <w:tcPr>
            <w:tcW w:w="1193" w:type="pct"/>
            <w:gridSpan w:val="2"/>
            <w:tcBorders>
              <w:tl2br w:val="nil"/>
              <w:tr2bl w:val="nil"/>
            </w:tcBorders>
            <w:noWrap w:val="0"/>
            <w:vAlign w:val="center"/>
          </w:tcPr>
          <w:p w14:paraId="1C9781B7">
            <w:pPr>
              <w:widowControl w:val="0"/>
              <w:autoSpaceDE w:val="0"/>
              <w:autoSpaceDN w:val="0"/>
              <w:adjustRightInd w:val="0"/>
              <w:snapToGrid w:val="0"/>
              <w:spacing w:line="240" w:lineRule="auto"/>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呼吸系统防护</w:t>
            </w:r>
          </w:p>
        </w:tc>
        <w:tc>
          <w:tcPr>
            <w:tcW w:w="1676" w:type="pct"/>
            <w:gridSpan w:val="6"/>
            <w:tcBorders>
              <w:tl2br w:val="nil"/>
              <w:tr2bl w:val="nil"/>
            </w:tcBorders>
            <w:noWrap w:val="0"/>
            <w:vAlign w:val="center"/>
          </w:tcPr>
          <w:p w14:paraId="3A533BC6">
            <w:pPr>
              <w:widowControl w:val="0"/>
              <w:autoSpaceDE w:val="0"/>
              <w:autoSpaceDN w:val="0"/>
              <w:adjustRightInd w:val="0"/>
              <w:snapToGrid w:val="0"/>
              <w:spacing w:line="240" w:lineRule="auto"/>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空气中浓度超标时，佩戴过滤式防毒面具（半面罩）</w:t>
            </w:r>
          </w:p>
        </w:tc>
        <w:tc>
          <w:tcPr>
            <w:tcW w:w="635" w:type="pct"/>
            <w:gridSpan w:val="3"/>
            <w:tcBorders>
              <w:tl2br w:val="nil"/>
              <w:tr2bl w:val="nil"/>
            </w:tcBorders>
            <w:noWrap w:val="0"/>
            <w:vAlign w:val="center"/>
          </w:tcPr>
          <w:p w14:paraId="772E5F5D">
            <w:pPr>
              <w:widowControl w:val="0"/>
              <w:autoSpaceDE w:val="0"/>
              <w:autoSpaceDN w:val="0"/>
              <w:adjustRightInd w:val="0"/>
              <w:snapToGrid w:val="0"/>
              <w:spacing w:line="240" w:lineRule="auto"/>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身体防护</w:t>
            </w:r>
          </w:p>
        </w:tc>
        <w:tc>
          <w:tcPr>
            <w:tcW w:w="1064" w:type="pct"/>
            <w:gridSpan w:val="2"/>
            <w:tcBorders>
              <w:tl2br w:val="nil"/>
              <w:tr2bl w:val="nil"/>
            </w:tcBorders>
            <w:noWrap w:val="0"/>
            <w:vAlign w:val="center"/>
          </w:tcPr>
          <w:p w14:paraId="64A43911">
            <w:pPr>
              <w:widowControl w:val="0"/>
              <w:autoSpaceDE w:val="0"/>
              <w:autoSpaceDN w:val="0"/>
              <w:adjustRightInd w:val="0"/>
              <w:snapToGrid w:val="0"/>
              <w:spacing w:line="240" w:lineRule="auto"/>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穿防静电工作服</w:t>
            </w:r>
          </w:p>
        </w:tc>
      </w:tr>
      <w:tr w14:paraId="3BE061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9" w:type="pct"/>
            <w:vMerge w:val="continue"/>
            <w:tcBorders>
              <w:tl2br w:val="nil"/>
              <w:tr2bl w:val="nil"/>
            </w:tcBorders>
            <w:noWrap w:val="0"/>
            <w:vAlign w:val="center"/>
          </w:tcPr>
          <w:p w14:paraId="2F09C183">
            <w:pPr>
              <w:widowControl w:val="0"/>
              <w:jc w:val="both"/>
              <w:rPr>
                <w:rFonts w:hint="default" w:ascii="Times New Roman" w:hAnsi="Times New Roman" w:eastAsia="宋体" w:cs="Times New Roman"/>
                <w:color w:val="auto"/>
                <w:sz w:val="21"/>
                <w:szCs w:val="21"/>
              </w:rPr>
            </w:pPr>
          </w:p>
        </w:tc>
        <w:tc>
          <w:tcPr>
            <w:tcW w:w="1193" w:type="pct"/>
            <w:gridSpan w:val="2"/>
            <w:tcBorders>
              <w:tl2br w:val="nil"/>
              <w:tr2bl w:val="nil"/>
            </w:tcBorders>
            <w:noWrap w:val="0"/>
            <w:vAlign w:val="center"/>
          </w:tcPr>
          <w:p w14:paraId="21E8DE7A">
            <w:pPr>
              <w:widowControl w:val="0"/>
              <w:autoSpaceDE w:val="0"/>
              <w:autoSpaceDN w:val="0"/>
              <w:adjustRightInd w:val="0"/>
              <w:snapToGrid w:val="0"/>
              <w:spacing w:line="240" w:lineRule="auto"/>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手防护</w:t>
            </w:r>
          </w:p>
        </w:tc>
        <w:tc>
          <w:tcPr>
            <w:tcW w:w="1676" w:type="pct"/>
            <w:gridSpan w:val="6"/>
            <w:tcBorders>
              <w:tl2br w:val="nil"/>
              <w:tr2bl w:val="nil"/>
            </w:tcBorders>
            <w:noWrap w:val="0"/>
            <w:vAlign w:val="center"/>
          </w:tcPr>
          <w:p w14:paraId="7DCDE2AC">
            <w:pPr>
              <w:widowControl w:val="0"/>
              <w:autoSpaceDE w:val="0"/>
              <w:autoSpaceDN w:val="0"/>
              <w:adjustRightInd w:val="0"/>
              <w:snapToGrid w:val="0"/>
              <w:spacing w:line="240" w:lineRule="auto"/>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戴橡胶耐油手套</w:t>
            </w:r>
          </w:p>
        </w:tc>
        <w:tc>
          <w:tcPr>
            <w:tcW w:w="635" w:type="pct"/>
            <w:gridSpan w:val="3"/>
            <w:tcBorders>
              <w:tl2br w:val="nil"/>
              <w:tr2bl w:val="nil"/>
            </w:tcBorders>
            <w:noWrap w:val="0"/>
            <w:vAlign w:val="center"/>
          </w:tcPr>
          <w:p w14:paraId="0335573C">
            <w:pPr>
              <w:widowControl w:val="0"/>
              <w:autoSpaceDE w:val="0"/>
              <w:autoSpaceDN w:val="0"/>
              <w:adjustRightInd w:val="0"/>
              <w:snapToGrid w:val="0"/>
              <w:spacing w:line="240" w:lineRule="auto"/>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眼防护</w:t>
            </w:r>
          </w:p>
        </w:tc>
        <w:tc>
          <w:tcPr>
            <w:tcW w:w="1064" w:type="pct"/>
            <w:gridSpan w:val="2"/>
            <w:tcBorders>
              <w:tl2br w:val="nil"/>
              <w:tr2bl w:val="nil"/>
            </w:tcBorders>
            <w:noWrap w:val="0"/>
            <w:vAlign w:val="center"/>
          </w:tcPr>
          <w:p w14:paraId="21E193E0">
            <w:pPr>
              <w:widowControl w:val="0"/>
              <w:autoSpaceDE w:val="0"/>
              <w:autoSpaceDN w:val="0"/>
              <w:adjustRightInd w:val="0"/>
              <w:snapToGrid w:val="0"/>
              <w:spacing w:line="240" w:lineRule="auto"/>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戴安全防护眼镜</w:t>
            </w:r>
          </w:p>
        </w:tc>
      </w:tr>
      <w:tr w14:paraId="70D443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9" w:type="pct"/>
            <w:vMerge w:val="continue"/>
            <w:tcBorders>
              <w:tl2br w:val="nil"/>
              <w:tr2bl w:val="nil"/>
            </w:tcBorders>
            <w:noWrap w:val="0"/>
            <w:vAlign w:val="center"/>
          </w:tcPr>
          <w:p w14:paraId="08FEF9E9">
            <w:pPr>
              <w:widowControl w:val="0"/>
              <w:jc w:val="both"/>
              <w:rPr>
                <w:rFonts w:hint="default" w:ascii="Times New Roman" w:hAnsi="Times New Roman" w:eastAsia="宋体" w:cs="Times New Roman"/>
                <w:color w:val="auto"/>
                <w:sz w:val="21"/>
                <w:szCs w:val="21"/>
              </w:rPr>
            </w:pPr>
          </w:p>
        </w:tc>
        <w:tc>
          <w:tcPr>
            <w:tcW w:w="1193" w:type="pct"/>
            <w:gridSpan w:val="2"/>
            <w:tcBorders>
              <w:tl2br w:val="nil"/>
              <w:tr2bl w:val="nil"/>
            </w:tcBorders>
            <w:noWrap w:val="0"/>
            <w:vAlign w:val="center"/>
          </w:tcPr>
          <w:p w14:paraId="075F3138">
            <w:pPr>
              <w:widowControl w:val="0"/>
              <w:autoSpaceDE w:val="0"/>
              <w:autoSpaceDN w:val="0"/>
              <w:adjustRightInd w:val="0"/>
              <w:snapToGrid w:val="0"/>
              <w:spacing w:line="240" w:lineRule="auto"/>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其他</w:t>
            </w:r>
          </w:p>
        </w:tc>
        <w:tc>
          <w:tcPr>
            <w:tcW w:w="3377" w:type="pct"/>
            <w:gridSpan w:val="11"/>
            <w:tcBorders>
              <w:tl2br w:val="nil"/>
              <w:tr2bl w:val="nil"/>
            </w:tcBorders>
            <w:noWrap w:val="0"/>
            <w:vAlign w:val="center"/>
          </w:tcPr>
          <w:p w14:paraId="22A054B6">
            <w:pPr>
              <w:widowControl w:val="0"/>
              <w:autoSpaceDE w:val="0"/>
              <w:autoSpaceDN w:val="0"/>
              <w:adjustRightInd w:val="0"/>
              <w:snapToGrid w:val="0"/>
              <w:spacing w:line="240" w:lineRule="auto"/>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工作现场严禁吸烟。工作完毕，淋浴更衣。注意个人清洁卫生。</w:t>
            </w:r>
          </w:p>
        </w:tc>
      </w:tr>
    </w:tbl>
    <w:p w14:paraId="72462742">
      <w:pPr>
        <w:pStyle w:val="79"/>
        <w:bidi w:val="0"/>
        <w:rPr>
          <w:rFonts w:hint="default"/>
          <w:color w:val="auto"/>
          <w:lang w:val="en-US" w:eastAsia="zh-CN"/>
        </w:rPr>
      </w:pPr>
      <w:r>
        <w:rPr>
          <w:rFonts w:hint="default"/>
          <w:color w:val="auto"/>
          <w:lang w:val="en-US" w:eastAsia="zh-CN"/>
        </w:rPr>
        <w:t>根据已掌握的资料，正常情况下，井场周围空气中硫化氢浓度低于我国规定对工作人员生命和健康产生不可逆转的或延迟性的影响的硫化氢浓度，不构成风险物质，但要注意防漏、防喷工作。</w:t>
      </w:r>
    </w:p>
    <w:p w14:paraId="5BC81B17">
      <w:pPr>
        <w:pStyle w:val="79"/>
        <w:bidi w:val="0"/>
        <w:rPr>
          <w:rFonts w:hint="default"/>
          <w:color w:val="auto"/>
          <w:lang w:val="en-US" w:eastAsia="zh-CN"/>
        </w:rPr>
      </w:pPr>
      <w:r>
        <w:rPr>
          <w:rFonts w:hint="eastAsia"/>
          <w:color w:val="auto"/>
          <w:lang w:val="en-US" w:eastAsia="zh-CN"/>
        </w:rPr>
        <w:t>（4）甲醇</w:t>
      </w:r>
    </w:p>
    <w:p w14:paraId="5AECBD12">
      <w:pPr>
        <w:pStyle w:val="79"/>
        <w:bidi w:val="0"/>
        <w:rPr>
          <w:rFonts w:hint="default"/>
          <w:color w:val="auto"/>
          <w:lang w:val="en-US" w:eastAsia="zh-CN"/>
        </w:rPr>
      </w:pPr>
      <w:r>
        <w:rPr>
          <w:rFonts w:hint="default"/>
          <w:color w:val="auto"/>
          <w:lang w:val="en-US" w:eastAsia="zh-CN"/>
        </w:rPr>
        <w:t>甲醇对人体有毒，其毒性对人体的神经系统和血液系统影响最大，它经消化道、呼吸道或皮肤摄入都会产生毒性反应，甲醇蒸气能损害人的呼吸道黏膜和视力。甲醇理化性质、危险危害特性及防护措施表详见表</w:t>
      </w:r>
      <w:r>
        <w:rPr>
          <w:rFonts w:hint="eastAsia"/>
          <w:color w:val="auto"/>
          <w:lang w:val="en-US" w:eastAsia="zh-CN"/>
        </w:rPr>
        <w:t>5.7-7</w:t>
      </w:r>
      <w:r>
        <w:rPr>
          <w:rFonts w:hint="default"/>
          <w:color w:val="auto"/>
          <w:lang w:val="en-US" w:eastAsia="zh-CN"/>
        </w:rPr>
        <w:t>。</w:t>
      </w:r>
    </w:p>
    <w:p w14:paraId="15C4733B">
      <w:pPr>
        <w:pStyle w:val="61"/>
        <w:bidi w:val="0"/>
        <w:jc w:val="both"/>
        <w:rPr>
          <w:rFonts w:hint="default"/>
          <w:color w:val="auto"/>
          <w:lang w:val="en-US" w:eastAsia="zh-CN"/>
        </w:rPr>
      </w:pPr>
      <w:r>
        <w:rPr>
          <w:rFonts w:hint="default"/>
          <w:color w:val="auto"/>
          <w:lang w:val="en-US" w:eastAsia="zh-CN"/>
        </w:rPr>
        <w:t>表</w:t>
      </w:r>
      <w:r>
        <w:rPr>
          <w:rFonts w:hint="eastAsia"/>
          <w:color w:val="auto"/>
          <w:lang w:val="en-US" w:eastAsia="zh-CN"/>
        </w:rPr>
        <w:t>5.7-7</w:t>
      </w:r>
      <w:r>
        <w:rPr>
          <w:rFonts w:hint="default"/>
          <w:color w:val="auto"/>
          <w:lang w:val="en-US" w:eastAsia="zh-CN"/>
        </w:rPr>
        <w:t xml:space="preserve">   甲醇理化性质、危险危害特性及防护措施表</w:t>
      </w:r>
    </w:p>
    <w:tbl>
      <w:tblPr>
        <w:tblStyle w:val="36"/>
        <w:tblW w:w="491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148"/>
        <w:gridCol w:w="2208"/>
        <w:gridCol w:w="2209"/>
        <w:gridCol w:w="2126"/>
      </w:tblGrid>
      <w:tr w14:paraId="3ED7E0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48" w:type="dxa"/>
            <w:tcBorders>
              <w:tl2br w:val="nil"/>
              <w:tr2bl w:val="nil"/>
            </w:tcBorders>
            <w:noWrap w:val="0"/>
            <w:vAlign w:val="center"/>
          </w:tcPr>
          <w:p w14:paraId="4A2A6469">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国标编号</w:t>
            </w:r>
          </w:p>
        </w:tc>
        <w:tc>
          <w:tcPr>
            <w:tcW w:w="2208" w:type="dxa"/>
            <w:tcBorders>
              <w:tl2br w:val="nil"/>
              <w:tr2bl w:val="nil"/>
            </w:tcBorders>
            <w:noWrap w:val="0"/>
            <w:vAlign w:val="center"/>
          </w:tcPr>
          <w:p w14:paraId="78A98031">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32058</w:t>
            </w:r>
          </w:p>
        </w:tc>
        <w:tc>
          <w:tcPr>
            <w:tcW w:w="2209" w:type="dxa"/>
            <w:tcBorders>
              <w:tl2br w:val="nil"/>
              <w:tr2bl w:val="nil"/>
            </w:tcBorders>
            <w:noWrap w:val="0"/>
            <w:vAlign w:val="center"/>
          </w:tcPr>
          <w:p w14:paraId="6F64EA92">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CAS号</w:t>
            </w:r>
          </w:p>
        </w:tc>
        <w:tc>
          <w:tcPr>
            <w:tcW w:w="2126" w:type="dxa"/>
            <w:tcBorders>
              <w:tl2br w:val="nil"/>
              <w:tr2bl w:val="nil"/>
            </w:tcBorders>
            <w:noWrap w:val="0"/>
            <w:vAlign w:val="center"/>
          </w:tcPr>
          <w:p w14:paraId="60E0421E">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67-56-1</w:t>
            </w:r>
          </w:p>
        </w:tc>
      </w:tr>
      <w:tr w14:paraId="73A0C3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48" w:type="dxa"/>
            <w:tcBorders>
              <w:tl2br w:val="nil"/>
              <w:tr2bl w:val="nil"/>
            </w:tcBorders>
            <w:noWrap w:val="0"/>
            <w:vAlign w:val="center"/>
          </w:tcPr>
          <w:p w14:paraId="64C8615D">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分子式</w:t>
            </w:r>
          </w:p>
        </w:tc>
        <w:tc>
          <w:tcPr>
            <w:tcW w:w="2208" w:type="dxa"/>
            <w:tcBorders>
              <w:tl2br w:val="nil"/>
              <w:tr2bl w:val="nil"/>
            </w:tcBorders>
            <w:noWrap w:val="0"/>
            <w:vAlign w:val="center"/>
          </w:tcPr>
          <w:p w14:paraId="2054E9E1">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CH</w:t>
            </w:r>
            <w:r>
              <w:rPr>
                <w:rFonts w:hint="default" w:ascii="Times New Roman" w:hAnsi="Times New Roman" w:eastAsia="宋体" w:cs="Times New Roman"/>
                <w:color w:val="auto"/>
                <w:szCs w:val="21"/>
                <w:highlight w:val="none"/>
                <w:vertAlign w:val="subscript"/>
              </w:rPr>
              <w:t>4</w:t>
            </w:r>
            <w:r>
              <w:rPr>
                <w:rFonts w:hint="default" w:ascii="Times New Roman" w:hAnsi="Times New Roman" w:eastAsia="宋体" w:cs="Times New Roman"/>
                <w:color w:val="auto"/>
                <w:szCs w:val="21"/>
                <w:highlight w:val="none"/>
              </w:rPr>
              <w:t>O</w:t>
            </w:r>
          </w:p>
        </w:tc>
        <w:tc>
          <w:tcPr>
            <w:tcW w:w="2209" w:type="dxa"/>
            <w:tcBorders>
              <w:tl2br w:val="nil"/>
              <w:tr2bl w:val="nil"/>
            </w:tcBorders>
            <w:noWrap w:val="0"/>
            <w:vAlign w:val="center"/>
          </w:tcPr>
          <w:p w14:paraId="2DDB6B32">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中文名称</w:t>
            </w:r>
          </w:p>
        </w:tc>
        <w:tc>
          <w:tcPr>
            <w:tcW w:w="2126" w:type="dxa"/>
            <w:tcBorders>
              <w:tl2br w:val="nil"/>
              <w:tr2bl w:val="nil"/>
            </w:tcBorders>
            <w:noWrap w:val="0"/>
            <w:vAlign w:val="center"/>
          </w:tcPr>
          <w:p w14:paraId="243128EF">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木醇、木精，哥伦比亚酒精</w:t>
            </w:r>
          </w:p>
        </w:tc>
      </w:tr>
      <w:tr w14:paraId="7D34B3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48" w:type="dxa"/>
            <w:tcBorders>
              <w:tl2br w:val="nil"/>
              <w:tr2bl w:val="nil"/>
            </w:tcBorders>
            <w:noWrap w:val="0"/>
            <w:vAlign w:val="center"/>
          </w:tcPr>
          <w:p w14:paraId="6948080D">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外观形状</w:t>
            </w:r>
          </w:p>
        </w:tc>
        <w:tc>
          <w:tcPr>
            <w:tcW w:w="2208" w:type="dxa"/>
            <w:tcBorders>
              <w:tl2br w:val="nil"/>
              <w:tr2bl w:val="nil"/>
            </w:tcBorders>
            <w:noWrap w:val="0"/>
            <w:vAlign w:val="center"/>
          </w:tcPr>
          <w:p w14:paraId="07CB67B4">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无色类似果酒气味的发挥性液体。</w:t>
            </w:r>
          </w:p>
        </w:tc>
        <w:tc>
          <w:tcPr>
            <w:tcW w:w="2209" w:type="dxa"/>
            <w:tcBorders>
              <w:tl2br w:val="nil"/>
              <w:tr2bl w:val="nil"/>
            </w:tcBorders>
            <w:noWrap w:val="0"/>
            <w:vAlign w:val="center"/>
          </w:tcPr>
          <w:p w14:paraId="4C7F0D9E">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分子量</w:t>
            </w:r>
          </w:p>
        </w:tc>
        <w:tc>
          <w:tcPr>
            <w:tcW w:w="2126" w:type="dxa"/>
            <w:tcBorders>
              <w:tl2br w:val="nil"/>
              <w:tr2bl w:val="nil"/>
            </w:tcBorders>
            <w:noWrap w:val="0"/>
            <w:vAlign w:val="center"/>
          </w:tcPr>
          <w:p w14:paraId="0155737E">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32.04</w:t>
            </w:r>
          </w:p>
        </w:tc>
      </w:tr>
      <w:tr w14:paraId="1A606A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48" w:type="dxa"/>
            <w:tcBorders>
              <w:tl2br w:val="nil"/>
              <w:tr2bl w:val="nil"/>
            </w:tcBorders>
            <w:noWrap w:val="0"/>
            <w:vAlign w:val="center"/>
          </w:tcPr>
          <w:p w14:paraId="56CEEE00">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熔点</w:t>
            </w:r>
          </w:p>
        </w:tc>
        <w:tc>
          <w:tcPr>
            <w:tcW w:w="2208" w:type="dxa"/>
            <w:tcBorders>
              <w:tl2br w:val="nil"/>
              <w:tr2bl w:val="nil"/>
            </w:tcBorders>
            <w:noWrap w:val="0"/>
            <w:vAlign w:val="center"/>
          </w:tcPr>
          <w:p w14:paraId="489E43BB">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93.9℃</w:t>
            </w:r>
          </w:p>
        </w:tc>
        <w:tc>
          <w:tcPr>
            <w:tcW w:w="2209" w:type="dxa"/>
            <w:tcBorders>
              <w:tl2br w:val="nil"/>
              <w:tr2bl w:val="nil"/>
            </w:tcBorders>
            <w:noWrap w:val="0"/>
            <w:vAlign w:val="center"/>
          </w:tcPr>
          <w:p w14:paraId="0DC45EB0">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蒸汽压</w:t>
            </w:r>
          </w:p>
        </w:tc>
        <w:tc>
          <w:tcPr>
            <w:tcW w:w="2126" w:type="dxa"/>
            <w:tcBorders>
              <w:tl2br w:val="nil"/>
              <w:tr2bl w:val="nil"/>
            </w:tcBorders>
            <w:noWrap w:val="0"/>
            <w:vAlign w:val="center"/>
          </w:tcPr>
          <w:p w14:paraId="2AFDF8A3">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highlight w:val="none"/>
              </w:rPr>
            </w:pPr>
            <w:r>
              <w:rPr>
                <w:rFonts w:hint="eastAsia" w:cs="Times New Roman"/>
                <w:color w:val="auto"/>
                <w:szCs w:val="21"/>
                <w:highlight w:val="none"/>
                <w:lang w:val="zh-CN"/>
              </w:rPr>
              <w:t>(</w:t>
            </w:r>
            <w:r>
              <w:rPr>
                <w:rFonts w:hint="default" w:ascii="Times New Roman" w:hAnsi="Times New Roman" w:eastAsia="宋体" w:cs="Times New Roman"/>
                <w:color w:val="auto"/>
                <w:szCs w:val="21"/>
                <w:highlight w:val="none"/>
                <w:lang w:val="zh-CN"/>
              </w:rPr>
              <w:t>20℃</w:t>
            </w:r>
            <w:r>
              <w:rPr>
                <w:rFonts w:hint="eastAsia" w:cs="Times New Roman"/>
                <w:color w:val="auto"/>
                <w:szCs w:val="21"/>
                <w:highlight w:val="none"/>
                <w:lang w:val="zh-CN"/>
              </w:rPr>
              <w:t>)</w:t>
            </w:r>
            <w:r>
              <w:rPr>
                <w:rFonts w:hint="default" w:ascii="Times New Roman" w:hAnsi="Times New Roman" w:eastAsia="宋体" w:cs="Times New Roman"/>
                <w:color w:val="auto"/>
                <w:szCs w:val="21"/>
                <w:highlight w:val="none"/>
                <w:lang w:val="zh-CN"/>
              </w:rPr>
              <w:t>12.8kPa</w:t>
            </w:r>
          </w:p>
        </w:tc>
      </w:tr>
      <w:tr w14:paraId="60B981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48" w:type="dxa"/>
            <w:tcBorders>
              <w:tl2br w:val="nil"/>
              <w:tr2bl w:val="nil"/>
            </w:tcBorders>
            <w:noWrap w:val="0"/>
            <w:vAlign w:val="center"/>
          </w:tcPr>
          <w:p w14:paraId="3842B568">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沸点</w:t>
            </w:r>
          </w:p>
        </w:tc>
        <w:tc>
          <w:tcPr>
            <w:tcW w:w="2208" w:type="dxa"/>
            <w:tcBorders>
              <w:tl2br w:val="nil"/>
              <w:tr2bl w:val="nil"/>
            </w:tcBorders>
            <w:noWrap w:val="0"/>
            <w:vAlign w:val="center"/>
          </w:tcPr>
          <w:p w14:paraId="1D392E64">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65℃</w:t>
            </w:r>
          </w:p>
        </w:tc>
        <w:tc>
          <w:tcPr>
            <w:tcW w:w="2209" w:type="dxa"/>
            <w:tcBorders>
              <w:tl2br w:val="nil"/>
              <w:tr2bl w:val="nil"/>
            </w:tcBorders>
            <w:noWrap w:val="0"/>
            <w:vAlign w:val="center"/>
          </w:tcPr>
          <w:p w14:paraId="539D06EA">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燃烧热</w:t>
            </w:r>
          </w:p>
        </w:tc>
        <w:tc>
          <w:tcPr>
            <w:tcW w:w="2126" w:type="dxa"/>
            <w:tcBorders>
              <w:tl2br w:val="nil"/>
              <w:tr2bl w:val="nil"/>
            </w:tcBorders>
            <w:noWrap w:val="0"/>
            <w:vAlign w:val="center"/>
          </w:tcPr>
          <w:p w14:paraId="1DB3A608">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726.51kJ/mol</w:t>
            </w:r>
          </w:p>
        </w:tc>
      </w:tr>
      <w:tr w14:paraId="10F30C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48" w:type="dxa"/>
            <w:tcBorders>
              <w:tl2br w:val="nil"/>
              <w:tr2bl w:val="nil"/>
            </w:tcBorders>
            <w:noWrap w:val="0"/>
            <w:vAlign w:val="center"/>
          </w:tcPr>
          <w:p w14:paraId="394E4F8D">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闪点</w:t>
            </w:r>
          </w:p>
        </w:tc>
        <w:tc>
          <w:tcPr>
            <w:tcW w:w="2208" w:type="dxa"/>
            <w:tcBorders>
              <w:tl2br w:val="nil"/>
              <w:tr2bl w:val="nil"/>
            </w:tcBorders>
            <w:noWrap w:val="0"/>
            <w:vAlign w:val="center"/>
          </w:tcPr>
          <w:p w14:paraId="45A6DB21">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11</w:t>
            </w:r>
            <w:r>
              <w:rPr>
                <w:rFonts w:hint="default" w:ascii="Times New Roman" w:hAnsi="Times New Roman" w:eastAsia="宋体" w:cs="Times New Roman"/>
                <w:color w:val="auto"/>
                <w:szCs w:val="21"/>
                <w:highlight w:val="none"/>
                <w:lang w:val="zh-CN"/>
              </w:rPr>
              <w:t>℃</w:t>
            </w:r>
          </w:p>
        </w:tc>
        <w:tc>
          <w:tcPr>
            <w:tcW w:w="2209" w:type="dxa"/>
            <w:tcBorders>
              <w:tl2br w:val="nil"/>
              <w:tr2bl w:val="nil"/>
            </w:tcBorders>
            <w:noWrap w:val="0"/>
            <w:vAlign w:val="center"/>
          </w:tcPr>
          <w:p w14:paraId="72A7FC19">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溶解性</w:t>
            </w:r>
          </w:p>
        </w:tc>
        <w:tc>
          <w:tcPr>
            <w:tcW w:w="2126" w:type="dxa"/>
            <w:tcBorders>
              <w:tl2br w:val="nil"/>
              <w:tr2bl w:val="nil"/>
            </w:tcBorders>
            <w:noWrap w:val="0"/>
            <w:vAlign w:val="center"/>
          </w:tcPr>
          <w:p w14:paraId="751467FA">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溶于水、可混溶于醇、醚等多数有机溶剂</w:t>
            </w:r>
          </w:p>
        </w:tc>
      </w:tr>
      <w:tr w14:paraId="5BEB46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48" w:type="dxa"/>
            <w:tcBorders>
              <w:tl2br w:val="nil"/>
              <w:tr2bl w:val="nil"/>
            </w:tcBorders>
            <w:noWrap w:val="0"/>
            <w:vAlign w:val="center"/>
          </w:tcPr>
          <w:p w14:paraId="60D63D3A">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相对密度</w:t>
            </w:r>
          </w:p>
        </w:tc>
        <w:tc>
          <w:tcPr>
            <w:tcW w:w="2208" w:type="dxa"/>
            <w:tcBorders>
              <w:tl2br w:val="nil"/>
              <w:tr2bl w:val="nil"/>
            </w:tcBorders>
            <w:noWrap w:val="0"/>
            <w:vAlign w:val="center"/>
          </w:tcPr>
          <w:p w14:paraId="550D38EA">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0.7914（</w:t>
            </w:r>
            <w:r>
              <w:rPr>
                <w:rFonts w:hint="default" w:ascii="Times New Roman" w:hAnsi="Times New Roman" w:eastAsia="宋体" w:cs="Times New Roman"/>
                <w:color w:val="auto"/>
                <w:szCs w:val="21"/>
                <w:highlight w:val="none"/>
              </w:rPr>
              <w:t>水=1</w:t>
            </w:r>
            <w:r>
              <w:rPr>
                <w:rFonts w:hint="default" w:ascii="Times New Roman" w:hAnsi="Times New Roman" w:eastAsia="宋体" w:cs="Times New Roman"/>
                <w:color w:val="auto"/>
                <w:szCs w:val="21"/>
                <w:highlight w:val="none"/>
                <w:lang w:val="zh-CN"/>
              </w:rPr>
              <w:t>）：</w:t>
            </w:r>
            <w:r>
              <w:rPr>
                <w:rFonts w:hint="default" w:ascii="Times New Roman" w:hAnsi="Times New Roman" w:eastAsia="宋体" w:cs="Times New Roman"/>
                <w:color w:val="auto"/>
                <w:szCs w:val="21"/>
                <w:highlight w:val="none"/>
              </w:rPr>
              <w:t>1.11（空气=1）</w:t>
            </w:r>
          </w:p>
        </w:tc>
        <w:tc>
          <w:tcPr>
            <w:tcW w:w="2209" w:type="dxa"/>
            <w:tcBorders>
              <w:tl2br w:val="nil"/>
              <w:tr2bl w:val="nil"/>
            </w:tcBorders>
            <w:noWrap w:val="0"/>
            <w:vAlign w:val="center"/>
          </w:tcPr>
          <w:p w14:paraId="4C47CB95">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稳定性</w:t>
            </w:r>
          </w:p>
        </w:tc>
        <w:tc>
          <w:tcPr>
            <w:tcW w:w="2126" w:type="dxa"/>
            <w:tcBorders>
              <w:tl2br w:val="nil"/>
              <w:tr2bl w:val="nil"/>
            </w:tcBorders>
            <w:noWrap w:val="0"/>
            <w:vAlign w:val="center"/>
          </w:tcPr>
          <w:p w14:paraId="3F4457C2">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稳定</w:t>
            </w:r>
          </w:p>
        </w:tc>
      </w:tr>
      <w:tr w14:paraId="1BA557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48" w:type="dxa"/>
            <w:tcBorders>
              <w:tl2br w:val="nil"/>
              <w:tr2bl w:val="nil"/>
            </w:tcBorders>
            <w:noWrap w:val="0"/>
            <w:vAlign w:val="center"/>
          </w:tcPr>
          <w:p w14:paraId="7C3BEC55">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爆炸极限</w:t>
            </w:r>
          </w:p>
        </w:tc>
        <w:tc>
          <w:tcPr>
            <w:tcW w:w="6543" w:type="dxa"/>
            <w:gridSpan w:val="3"/>
            <w:tcBorders>
              <w:tl2br w:val="nil"/>
              <w:tr2bl w:val="nil"/>
            </w:tcBorders>
            <w:noWrap w:val="0"/>
            <w:vAlign w:val="center"/>
          </w:tcPr>
          <w:p w14:paraId="4460B7A9">
            <w:pPr>
              <w:keepNext w:val="0"/>
              <w:keepLines w:val="0"/>
              <w:pageBreakBefore w:val="0"/>
              <w:widowControl w:val="0"/>
              <w:shd w:val="clear" w:color="auto" w:fill="auto"/>
              <w:kinsoku/>
              <w:wordWrap/>
              <w:overflowPunct/>
              <w:topLinePunct w:val="0"/>
              <w:autoSpaceDE/>
              <w:autoSpaceDN/>
              <w:bidi w:val="0"/>
              <w:adjustRightInd/>
              <w:snapToGrid/>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5.5~44（V/V，%</w:t>
            </w:r>
            <w:r>
              <w:rPr>
                <w:rFonts w:hint="eastAsia" w:cs="Times New Roman"/>
                <w:color w:val="auto"/>
                <w:szCs w:val="21"/>
                <w:highlight w:val="none"/>
                <w:lang w:eastAsia="zh-CN"/>
              </w:rPr>
              <w:t>)</w:t>
            </w:r>
          </w:p>
        </w:tc>
      </w:tr>
      <w:tr w14:paraId="65E405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48" w:type="dxa"/>
            <w:tcBorders>
              <w:tl2br w:val="nil"/>
              <w:tr2bl w:val="nil"/>
            </w:tcBorders>
            <w:noWrap w:val="0"/>
            <w:vAlign w:val="center"/>
          </w:tcPr>
          <w:p w14:paraId="67914F30">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危险性类别</w:t>
            </w:r>
          </w:p>
        </w:tc>
        <w:tc>
          <w:tcPr>
            <w:tcW w:w="6543" w:type="dxa"/>
            <w:gridSpan w:val="3"/>
            <w:tcBorders>
              <w:tl2br w:val="nil"/>
              <w:tr2bl w:val="nil"/>
            </w:tcBorders>
            <w:noWrap w:val="0"/>
            <w:vAlign w:val="center"/>
          </w:tcPr>
          <w:p w14:paraId="54D8CC43">
            <w:pPr>
              <w:keepNext w:val="0"/>
              <w:keepLines w:val="0"/>
              <w:pageBreakBefore w:val="0"/>
              <w:widowControl w:val="0"/>
              <w:shd w:val="clear" w:color="auto" w:fill="auto"/>
              <w:kinsoku/>
              <w:wordWrap/>
              <w:overflowPunct/>
              <w:topLinePunct w:val="0"/>
              <w:autoSpaceDE/>
              <w:autoSpaceDN/>
              <w:bidi w:val="0"/>
              <w:adjustRightInd/>
              <w:snapToGrid/>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3.2类 闪点易燃液体</w:t>
            </w:r>
          </w:p>
        </w:tc>
      </w:tr>
      <w:tr w14:paraId="281A7B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48" w:type="dxa"/>
            <w:tcBorders>
              <w:tl2br w:val="nil"/>
              <w:tr2bl w:val="nil"/>
            </w:tcBorders>
            <w:noWrap w:val="0"/>
            <w:vAlign w:val="center"/>
          </w:tcPr>
          <w:p w14:paraId="354AFA11">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侵入途径</w:t>
            </w:r>
          </w:p>
        </w:tc>
        <w:tc>
          <w:tcPr>
            <w:tcW w:w="6543" w:type="dxa"/>
            <w:gridSpan w:val="3"/>
            <w:tcBorders>
              <w:tl2br w:val="nil"/>
              <w:tr2bl w:val="nil"/>
            </w:tcBorders>
            <w:noWrap w:val="0"/>
            <w:vAlign w:val="center"/>
          </w:tcPr>
          <w:p w14:paraId="62B7E4D5">
            <w:pPr>
              <w:keepNext w:val="0"/>
              <w:keepLines w:val="0"/>
              <w:pageBreakBefore w:val="0"/>
              <w:widowControl w:val="0"/>
              <w:shd w:val="clear" w:color="auto" w:fill="auto"/>
              <w:kinsoku/>
              <w:wordWrap/>
              <w:overflowPunct/>
              <w:topLinePunct w:val="0"/>
              <w:autoSpaceDE/>
              <w:autoSpaceDN/>
              <w:bidi w:val="0"/>
              <w:adjustRightInd/>
              <w:snapToGrid/>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吸入、食入、经皮吸收</w:t>
            </w:r>
          </w:p>
        </w:tc>
      </w:tr>
      <w:tr w14:paraId="53CAD1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48" w:type="dxa"/>
            <w:tcBorders>
              <w:tl2br w:val="nil"/>
              <w:tr2bl w:val="nil"/>
            </w:tcBorders>
            <w:noWrap w:val="0"/>
            <w:vAlign w:val="center"/>
          </w:tcPr>
          <w:p w14:paraId="27CBF11A">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毒理学</w:t>
            </w:r>
          </w:p>
        </w:tc>
        <w:tc>
          <w:tcPr>
            <w:tcW w:w="6543" w:type="dxa"/>
            <w:gridSpan w:val="3"/>
            <w:tcBorders>
              <w:tl2br w:val="nil"/>
              <w:tr2bl w:val="nil"/>
            </w:tcBorders>
            <w:noWrap w:val="0"/>
            <w:vAlign w:val="center"/>
          </w:tcPr>
          <w:p w14:paraId="130BFE1A">
            <w:pPr>
              <w:keepNext w:val="0"/>
              <w:keepLines w:val="0"/>
              <w:pageBreakBefore w:val="0"/>
              <w:widowControl w:val="0"/>
              <w:shd w:val="clear" w:color="auto" w:fill="auto"/>
              <w:kinsoku/>
              <w:wordWrap/>
              <w:overflowPunct/>
              <w:topLinePunct w:val="0"/>
              <w:autoSpaceDE/>
              <w:autoSpaceDN/>
              <w:bidi w:val="0"/>
              <w:adjustRightInd/>
              <w:snapToGrid/>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毒性属中毒类。小鼠吸入70.7g/m×54小时麻醉、死亡；小鼠静脉LD：5.66kg，大鼠经口LD：1214mL/kg；猴吸入52.4g/m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rPr>
              <w:t>，4小时死亡。甲醇是主要危害神经及血管的毒品具有麻醉效应，有十分显著的蓄积作用。可引起视神经及视网膜的损伤。口服甲醇1g/kg或低于此值时，即可失明、致死，也有饮用不到30mL甲醇即发生死亡的例子。吸入高浓度蒸气能产生眩晕、昏迷、麻木、痉挛、食欲不振等症状。蒸气与液体都能严重损害眼睛</w:t>
            </w:r>
            <w:r>
              <w:rPr>
                <w:rFonts w:hint="default" w:ascii="Times New Roman" w:hAnsi="Times New Roman" w:eastAsia="宋体" w:cs="Times New Roman"/>
                <w:color w:val="auto"/>
                <w:szCs w:val="21"/>
                <w:highlight w:val="none"/>
                <w:lang w:eastAsia="zh-CN"/>
              </w:rPr>
              <w:t>和黏膜</w:t>
            </w:r>
            <w:r>
              <w:rPr>
                <w:rFonts w:hint="default" w:ascii="Times New Roman" w:hAnsi="Times New Roman" w:eastAsia="宋体" w:cs="Times New Roman"/>
                <w:color w:val="auto"/>
                <w:szCs w:val="21"/>
                <w:highlight w:val="none"/>
              </w:rPr>
              <w:t>。皮肤接触后将会干燥、裂开、发炎，也有人因甲醇溅洒在足部，甲醇浸湿了衣服及皮靴仍继续工作，数日后失明的</w:t>
            </w:r>
            <w:r>
              <w:rPr>
                <w:rFonts w:hint="eastAsia" w:cs="Times New Roman"/>
                <w:color w:val="auto"/>
                <w:szCs w:val="21"/>
                <w:highlight w:val="none"/>
                <w:lang w:eastAsia="zh-CN"/>
              </w:rPr>
              <w:t>报道</w:t>
            </w:r>
            <w:r>
              <w:rPr>
                <w:rFonts w:hint="default" w:ascii="Times New Roman" w:hAnsi="Times New Roman" w:eastAsia="宋体" w:cs="Times New Roman"/>
                <w:color w:val="auto"/>
                <w:szCs w:val="21"/>
                <w:highlight w:val="none"/>
              </w:rPr>
              <w:t>。</w:t>
            </w:r>
          </w:p>
        </w:tc>
      </w:tr>
      <w:tr w14:paraId="1C81B8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48" w:type="dxa"/>
            <w:tcBorders>
              <w:tl2br w:val="nil"/>
              <w:tr2bl w:val="nil"/>
            </w:tcBorders>
            <w:noWrap w:val="0"/>
            <w:vAlign w:val="center"/>
          </w:tcPr>
          <w:p w14:paraId="12084497">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危险特性</w:t>
            </w:r>
          </w:p>
        </w:tc>
        <w:tc>
          <w:tcPr>
            <w:tcW w:w="6543" w:type="dxa"/>
            <w:gridSpan w:val="3"/>
            <w:tcBorders>
              <w:tl2br w:val="nil"/>
              <w:tr2bl w:val="nil"/>
            </w:tcBorders>
            <w:noWrap w:val="0"/>
            <w:vAlign w:val="center"/>
          </w:tcPr>
          <w:p w14:paraId="2F7266A4">
            <w:pPr>
              <w:keepNext w:val="0"/>
              <w:keepLines w:val="0"/>
              <w:pageBreakBefore w:val="0"/>
              <w:widowControl w:val="0"/>
              <w:shd w:val="clear" w:color="auto" w:fill="auto"/>
              <w:kinsoku/>
              <w:wordWrap/>
              <w:overflowPunct/>
              <w:topLinePunct w:val="0"/>
              <w:autoSpaceDE/>
              <w:autoSpaceDN/>
              <w:bidi w:val="0"/>
              <w:adjustRightInd/>
              <w:snapToGrid/>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易燃，遇明火有燃烧爆炸危险。燃烧时</w:t>
            </w:r>
            <w:r>
              <w:rPr>
                <w:rFonts w:hint="default" w:ascii="Times New Roman" w:hAnsi="Times New Roman" w:eastAsia="宋体" w:cs="Times New Roman"/>
                <w:color w:val="auto"/>
                <w:szCs w:val="21"/>
                <w:highlight w:val="none"/>
                <w:lang w:eastAsia="zh-CN"/>
              </w:rPr>
              <w:t>发出</w:t>
            </w:r>
            <w:r>
              <w:rPr>
                <w:rFonts w:hint="default" w:ascii="Times New Roman" w:hAnsi="Times New Roman" w:eastAsia="宋体" w:cs="Times New Roman"/>
                <w:color w:val="auto"/>
                <w:szCs w:val="21"/>
                <w:highlight w:val="none"/>
              </w:rPr>
              <w:t>蓝色火焰，在常温下挥发出的蒸气有毒。蒸气能与空气形成爆炸性混合物。爆炸极限6.0</w:t>
            </w:r>
            <w:r>
              <w:rPr>
                <w:rFonts w:hint="eastAsia" w:cs="Times New Roman"/>
                <w:color w:val="auto"/>
                <w:szCs w:val="21"/>
                <w:highlight w:val="none"/>
                <w:lang w:eastAsia="zh-CN"/>
              </w:rPr>
              <w:t>%～</w:t>
            </w:r>
            <w:r>
              <w:rPr>
                <w:rFonts w:hint="default" w:ascii="Times New Roman" w:hAnsi="Times New Roman" w:eastAsia="宋体" w:cs="Times New Roman"/>
                <w:color w:val="auto"/>
                <w:szCs w:val="21"/>
                <w:highlight w:val="none"/>
              </w:rPr>
              <w:t>36%，是一种燃烧、爆炸范围较广的物品。闪点1℃。自燃点385℃。与氧化剂接触发生化学反应或引起燃烧危险。在火场中，受热的容器有爆炸危险。</w:t>
            </w:r>
          </w:p>
        </w:tc>
      </w:tr>
      <w:tr w14:paraId="73E455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48" w:type="dxa"/>
            <w:tcBorders>
              <w:tl2br w:val="nil"/>
              <w:tr2bl w:val="nil"/>
            </w:tcBorders>
            <w:noWrap w:val="0"/>
            <w:vAlign w:val="center"/>
          </w:tcPr>
          <w:p w14:paraId="0FFA2C08">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燃烧产物</w:t>
            </w:r>
          </w:p>
        </w:tc>
        <w:tc>
          <w:tcPr>
            <w:tcW w:w="6543" w:type="dxa"/>
            <w:gridSpan w:val="3"/>
            <w:tcBorders>
              <w:tl2br w:val="nil"/>
              <w:tr2bl w:val="nil"/>
            </w:tcBorders>
            <w:noWrap w:val="0"/>
            <w:vAlign w:val="center"/>
          </w:tcPr>
          <w:p w14:paraId="5A27859F">
            <w:pPr>
              <w:keepNext w:val="0"/>
              <w:keepLines w:val="0"/>
              <w:pageBreakBefore w:val="0"/>
              <w:widowControl w:val="0"/>
              <w:shd w:val="clear" w:color="auto" w:fill="auto"/>
              <w:kinsoku/>
              <w:wordWrap/>
              <w:overflowPunct/>
              <w:topLinePunct w:val="0"/>
              <w:autoSpaceDE/>
              <w:autoSpaceDN/>
              <w:bidi w:val="0"/>
              <w:adjustRightInd/>
              <w:snapToGrid/>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一氧化碳、二氧化碳</w:t>
            </w:r>
          </w:p>
        </w:tc>
      </w:tr>
      <w:tr w14:paraId="433473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48" w:type="dxa"/>
            <w:tcBorders>
              <w:tl2br w:val="nil"/>
              <w:tr2bl w:val="nil"/>
            </w:tcBorders>
            <w:noWrap w:val="0"/>
            <w:vAlign w:val="center"/>
          </w:tcPr>
          <w:p w14:paraId="4D64D57C">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接触限值</w:t>
            </w:r>
          </w:p>
        </w:tc>
        <w:tc>
          <w:tcPr>
            <w:tcW w:w="6543" w:type="dxa"/>
            <w:gridSpan w:val="3"/>
            <w:tcBorders>
              <w:tl2br w:val="nil"/>
              <w:tr2bl w:val="nil"/>
            </w:tcBorders>
            <w:noWrap w:val="0"/>
            <w:vAlign w:val="center"/>
          </w:tcPr>
          <w:p w14:paraId="31AA1620">
            <w:pPr>
              <w:keepNext w:val="0"/>
              <w:keepLines w:val="0"/>
              <w:pageBreakBefore w:val="0"/>
              <w:widowControl w:val="0"/>
              <w:shd w:val="clear" w:color="auto" w:fill="auto"/>
              <w:kinsoku/>
              <w:wordWrap/>
              <w:overflowPunct/>
              <w:topLinePunct w:val="0"/>
              <w:autoSpaceDE/>
              <w:autoSpaceDN/>
              <w:bidi w:val="0"/>
              <w:adjustRightInd/>
              <w:snapToGrid/>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职业接触限值：PC-TWA：25mg/m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rPr>
              <w:t>（皮）：PC-STEL：50mg/m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rPr>
              <w:t>（皮）：IDLH：6000ppm</w:t>
            </w:r>
          </w:p>
        </w:tc>
      </w:tr>
      <w:tr w14:paraId="3CEFE4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48" w:type="dxa"/>
            <w:tcBorders>
              <w:tl2br w:val="nil"/>
              <w:tr2bl w:val="nil"/>
            </w:tcBorders>
            <w:noWrap w:val="0"/>
            <w:vAlign w:val="center"/>
          </w:tcPr>
          <w:p w14:paraId="2DD210EB">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泄漏应急措施</w:t>
            </w:r>
          </w:p>
        </w:tc>
        <w:tc>
          <w:tcPr>
            <w:tcW w:w="6543" w:type="dxa"/>
            <w:gridSpan w:val="3"/>
            <w:tcBorders>
              <w:tl2br w:val="nil"/>
              <w:tr2bl w:val="nil"/>
            </w:tcBorders>
            <w:noWrap w:val="0"/>
            <w:vAlign w:val="center"/>
          </w:tcPr>
          <w:p w14:paraId="5069EB83">
            <w:pPr>
              <w:keepNext w:val="0"/>
              <w:keepLines w:val="0"/>
              <w:pageBreakBefore w:val="0"/>
              <w:widowControl w:val="0"/>
              <w:shd w:val="clear" w:color="auto" w:fill="auto"/>
              <w:kinsoku/>
              <w:wordWrap/>
              <w:overflowPunct/>
              <w:topLinePunct w:val="0"/>
              <w:autoSpaceDE/>
              <w:autoSpaceDN/>
              <w:bidi w:val="0"/>
              <w:adjustRightInd/>
              <w:snapToGrid/>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迅速撤离泄漏污染区人员至安全区，并进行隔离，严格限制出入。切断火源。建议应急处理人员戴自给正压式呼吸器，穿防毒服。不要直接接触泄漏物。尽可能切断泄漏源，防止进入下水道、排洪沟等限制性空间。小量泄漏：用砂土或</w:t>
            </w:r>
            <w:r>
              <w:rPr>
                <w:rFonts w:hint="eastAsia" w:cs="Times New Roman"/>
                <w:color w:val="auto"/>
                <w:szCs w:val="21"/>
                <w:highlight w:val="none"/>
                <w:lang w:eastAsia="zh-CN"/>
              </w:rPr>
              <w:t>其他不</w:t>
            </w:r>
            <w:r>
              <w:rPr>
                <w:rFonts w:hint="default" w:ascii="Times New Roman" w:hAnsi="Times New Roman" w:eastAsia="宋体" w:cs="Times New Roman"/>
                <w:color w:val="auto"/>
                <w:szCs w:val="21"/>
                <w:highlight w:val="none"/>
              </w:rPr>
              <w:t>燃材料吸附或吸收。也可以用大量水冲洗，洗液稀释后放入废水系统。大量泄漏：构筑围堤或挖坑收容；用泡沫覆盖，降低蒸气灾害。用防爆泵转移至槽车或专用收集器内。</w:t>
            </w:r>
            <w:r>
              <w:rPr>
                <w:rFonts w:hint="default" w:ascii="Times New Roman" w:hAnsi="Times New Roman" w:eastAsia="宋体" w:cs="Times New Roman"/>
                <w:color w:val="auto"/>
                <w:szCs w:val="21"/>
                <w:highlight w:val="none"/>
                <w:lang w:val="en-US" w:eastAsia="zh-CN"/>
              </w:rPr>
              <w:t>由第三方单位</w:t>
            </w:r>
            <w:r>
              <w:rPr>
                <w:rFonts w:hint="default" w:ascii="Times New Roman" w:hAnsi="Times New Roman" w:eastAsia="宋体" w:cs="Times New Roman"/>
                <w:color w:val="auto"/>
                <w:szCs w:val="21"/>
                <w:highlight w:val="none"/>
              </w:rPr>
              <w:t>回收或运至处置。</w:t>
            </w:r>
          </w:p>
        </w:tc>
      </w:tr>
      <w:tr w14:paraId="1FAC76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48" w:type="dxa"/>
            <w:tcBorders>
              <w:tl2br w:val="nil"/>
              <w:tr2bl w:val="nil"/>
            </w:tcBorders>
            <w:noWrap w:val="0"/>
            <w:vAlign w:val="center"/>
          </w:tcPr>
          <w:p w14:paraId="77D29592">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防护措施</w:t>
            </w:r>
          </w:p>
        </w:tc>
        <w:tc>
          <w:tcPr>
            <w:tcW w:w="6543" w:type="dxa"/>
            <w:gridSpan w:val="3"/>
            <w:tcBorders>
              <w:tl2br w:val="nil"/>
              <w:tr2bl w:val="nil"/>
            </w:tcBorders>
            <w:noWrap w:val="0"/>
            <w:vAlign w:val="center"/>
          </w:tcPr>
          <w:p w14:paraId="38454206">
            <w:pPr>
              <w:keepNext w:val="0"/>
              <w:keepLines w:val="0"/>
              <w:pageBreakBefore w:val="0"/>
              <w:widowControl w:val="0"/>
              <w:shd w:val="clear" w:color="auto" w:fill="auto"/>
              <w:kinsoku/>
              <w:wordWrap/>
              <w:overflowPunct/>
              <w:topLinePunct w:val="0"/>
              <w:autoSpaceDE/>
              <w:autoSpaceDN/>
              <w:bidi w:val="0"/>
              <w:adjustRightInd/>
              <w:snapToGrid/>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呼吸系统防护：可能接触其蒸气时，应该佩戴过滤式防毒面罩（半面罩）。紧急事态抢救或撤离时，建议佩戴空气呼吸器。</w:t>
            </w:r>
          </w:p>
          <w:p w14:paraId="1AA24C0B">
            <w:pPr>
              <w:keepNext w:val="0"/>
              <w:keepLines w:val="0"/>
              <w:pageBreakBefore w:val="0"/>
              <w:widowControl w:val="0"/>
              <w:shd w:val="clear" w:color="auto" w:fill="auto"/>
              <w:kinsoku/>
              <w:wordWrap/>
              <w:overflowPunct/>
              <w:topLinePunct w:val="0"/>
              <w:autoSpaceDE/>
              <w:autoSpaceDN/>
              <w:bidi w:val="0"/>
              <w:adjustRightInd/>
              <w:snapToGrid/>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眼睛防护：戴化学安全防护眼镜。</w:t>
            </w:r>
          </w:p>
          <w:p w14:paraId="3D18A57E">
            <w:pPr>
              <w:keepNext w:val="0"/>
              <w:keepLines w:val="0"/>
              <w:pageBreakBefore w:val="0"/>
              <w:widowControl w:val="0"/>
              <w:shd w:val="clear" w:color="auto" w:fill="auto"/>
              <w:kinsoku/>
              <w:wordWrap/>
              <w:overflowPunct/>
              <w:topLinePunct w:val="0"/>
              <w:autoSpaceDE/>
              <w:autoSpaceDN/>
              <w:bidi w:val="0"/>
              <w:adjustRightInd/>
              <w:snapToGrid/>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身体防护：穿防静电工作服。</w:t>
            </w:r>
          </w:p>
          <w:p w14:paraId="75130D96">
            <w:pPr>
              <w:keepNext w:val="0"/>
              <w:keepLines w:val="0"/>
              <w:pageBreakBefore w:val="0"/>
              <w:widowControl w:val="0"/>
              <w:shd w:val="clear" w:color="auto" w:fill="auto"/>
              <w:kinsoku/>
              <w:wordWrap/>
              <w:overflowPunct/>
              <w:topLinePunct w:val="0"/>
              <w:autoSpaceDE/>
              <w:autoSpaceDN/>
              <w:bidi w:val="0"/>
              <w:adjustRightInd/>
              <w:snapToGrid/>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手防护：戴橡胶手套。</w:t>
            </w:r>
          </w:p>
          <w:p w14:paraId="335F4F90">
            <w:pPr>
              <w:keepNext w:val="0"/>
              <w:keepLines w:val="0"/>
              <w:pageBreakBefore w:val="0"/>
              <w:widowControl w:val="0"/>
              <w:shd w:val="clear" w:color="auto" w:fill="auto"/>
              <w:kinsoku/>
              <w:wordWrap/>
              <w:overflowPunct/>
              <w:topLinePunct w:val="0"/>
              <w:autoSpaceDE/>
              <w:autoSpaceDN/>
              <w:bidi w:val="0"/>
              <w:adjustRightInd/>
              <w:snapToGrid/>
              <w:textAlignment w:val="auto"/>
              <w:rPr>
                <w:rFonts w:hint="default" w:ascii="Times New Roman" w:hAnsi="Times New Roman" w:eastAsia="宋体" w:cs="Times New Roman"/>
                <w:color w:val="auto"/>
                <w:szCs w:val="21"/>
                <w:highlight w:val="none"/>
              </w:rPr>
            </w:pPr>
            <w:r>
              <w:rPr>
                <w:rFonts w:hint="eastAsia" w:cs="Times New Roman"/>
                <w:color w:val="auto"/>
                <w:szCs w:val="21"/>
                <w:highlight w:val="none"/>
                <w:lang w:eastAsia="zh-CN"/>
              </w:rPr>
              <w:t>其他</w:t>
            </w:r>
            <w:r>
              <w:rPr>
                <w:rFonts w:hint="default" w:ascii="Times New Roman" w:hAnsi="Times New Roman" w:eastAsia="宋体" w:cs="Times New Roman"/>
                <w:color w:val="auto"/>
                <w:szCs w:val="21"/>
                <w:highlight w:val="none"/>
              </w:rPr>
              <w:t>：工作现场禁止吸烟、进食和饮水。工作毕，淋浴更衣。实行就业前和定期的体检。</w:t>
            </w:r>
          </w:p>
        </w:tc>
      </w:tr>
      <w:tr w14:paraId="564847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48" w:type="dxa"/>
            <w:tcBorders>
              <w:tl2br w:val="nil"/>
              <w:tr2bl w:val="nil"/>
            </w:tcBorders>
            <w:noWrap w:val="0"/>
            <w:vAlign w:val="center"/>
          </w:tcPr>
          <w:p w14:paraId="7695AA39">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急救措施</w:t>
            </w:r>
          </w:p>
        </w:tc>
        <w:tc>
          <w:tcPr>
            <w:tcW w:w="6543" w:type="dxa"/>
            <w:gridSpan w:val="3"/>
            <w:tcBorders>
              <w:tl2br w:val="nil"/>
              <w:tr2bl w:val="nil"/>
            </w:tcBorders>
            <w:noWrap w:val="0"/>
            <w:vAlign w:val="center"/>
          </w:tcPr>
          <w:p w14:paraId="2ACD8C23">
            <w:pPr>
              <w:keepNext w:val="0"/>
              <w:keepLines w:val="0"/>
              <w:pageBreakBefore w:val="0"/>
              <w:widowControl w:val="0"/>
              <w:shd w:val="clear" w:color="auto" w:fill="auto"/>
              <w:kinsoku/>
              <w:wordWrap/>
              <w:overflowPunct/>
              <w:topLinePunct w:val="0"/>
              <w:autoSpaceDE/>
              <w:autoSpaceDN/>
              <w:bidi w:val="0"/>
              <w:adjustRightInd/>
              <w:snapToGrid/>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皮肤接触：脱去被污染的衣着，用肥皂水和清水彻底冲洗皮肤。</w:t>
            </w:r>
          </w:p>
          <w:p w14:paraId="303E5F8A">
            <w:pPr>
              <w:keepNext w:val="0"/>
              <w:keepLines w:val="0"/>
              <w:pageBreakBefore w:val="0"/>
              <w:widowControl w:val="0"/>
              <w:shd w:val="clear" w:color="auto" w:fill="auto"/>
              <w:kinsoku/>
              <w:wordWrap/>
              <w:overflowPunct/>
              <w:topLinePunct w:val="0"/>
              <w:autoSpaceDE/>
              <w:autoSpaceDN/>
              <w:bidi w:val="0"/>
              <w:adjustRightInd/>
              <w:snapToGrid/>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眼睛接触：提起眼睑，用流动清水或生理盐水冲洗。就医。</w:t>
            </w:r>
          </w:p>
          <w:p w14:paraId="213B1189">
            <w:pPr>
              <w:keepNext w:val="0"/>
              <w:keepLines w:val="0"/>
              <w:pageBreakBefore w:val="0"/>
              <w:widowControl w:val="0"/>
              <w:shd w:val="clear" w:color="auto" w:fill="auto"/>
              <w:kinsoku/>
              <w:wordWrap/>
              <w:overflowPunct/>
              <w:topLinePunct w:val="0"/>
              <w:autoSpaceDE/>
              <w:autoSpaceDN/>
              <w:bidi w:val="0"/>
              <w:adjustRightInd/>
              <w:snapToGrid/>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吸入：迅速脱离现场至空气新鲜处</w:t>
            </w:r>
            <w:r>
              <w:rPr>
                <w:rFonts w:hint="eastAsia" w:cs="Times New Roman"/>
                <w:color w:val="auto"/>
                <w:szCs w:val="21"/>
                <w:highlight w:val="none"/>
                <w:lang w:eastAsia="zh-CN"/>
              </w:rPr>
              <w:t>。</w:t>
            </w:r>
            <w:r>
              <w:rPr>
                <w:rFonts w:hint="default" w:ascii="Times New Roman" w:hAnsi="Times New Roman" w:eastAsia="宋体" w:cs="Times New Roman"/>
                <w:color w:val="auto"/>
                <w:szCs w:val="21"/>
                <w:highlight w:val="none"/>
              </w:rPr>
              <w:t>保持呼吸道通畅。如呼吸困难，给输氧。如呼吸停止，立即进行人工呼吸。就医。</w:t>
            </w:r>
          </w:p>
          <w:p w14:paraId="7B24E86F">
            <w:pPr>
              <w:keepNext w:val="0"/>
              <w:keepLines w:val="0"/>
              <w:pageBreakBefore w:val="0"/>
              <w:widowControl w:val="0"/>
              <w:shd w:val="clear" w:color="auto" w:fill="auto"/>
              <w:kinsoku/>
              <w:wordWrap/>
              <w:overflowPunct/>
              <w:topLinePunct w:val="0"/>
              <w:autoSpaceDE/>
              <w:autoSpaceDN/>
              <w:bidi w:val="0"/>
              <w:adjustRightInd/>
              <w:snapToGrid/>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食入：饮足量温水，催吐，用清水或1%硫代硫酸钠溶液洗胃。就医。</w:t>
            </w:r>
          </w:p>
          <w:p w14:paraId="3F2C6B17">
            <w:pPr>
              <w:keepNext w:val="0"/>
              <w:keepLines w:val="0"/>
              <w:pageBreakBefore w:val="0"/>
              <w:widowControl w:val="0"/>
              <w:shd w:val="clear" w:color="auto" w:fill="auto"/>
              <w:kinsoku/>
              <w:wordWrap/>
              <w:overflowPunct/>
              <w:topLinePunct w:val="0"/>
              <w:autoSpaceDE/>
              <w:autoSpaceDN/>
              <w:bidi w:val="0"/>
              <w:adjustRightInd/>
              <w:snapToGrid/>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灭火方法：尽可能将容器从火场移至空旷处。喷水保持火场容器冷却，直至灭火结束。处在火场中的容器若已变色或从安全泄压装置中产生声音，必须马上撤离。灭火剂：抗溶性泡沫、干粉、二氧化碳、砂土。</w:t>
            </w:r>
          </w:p>
        </w:tc>
      </w:tr>
      <w:tr w14:paraId="3B7D46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48" w:type="dxa"/>
            <w:tcBorders>
              <w:tl2br w:val="nil"/>
              <w:tr2bl w:val="nil"/>
            </w:tcBorders>
            <w:noWrap w:val="0"/>
            <w:vAlign w:val="center"/>
          </w:tcPr>
          <w:p w14:paraId="1D6AFFD2">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储运须知、包装标志</w:t>
            </w:r>
          </w:p>
        </w:tc>
        <w:tc>
          <w:tcPr>
            <w:tcW w:w="6543" w:type="dxa"/>
            <w:gridSpan w:val="3"/>
            <w:tcBorders>
              <w:tl2br w:val="nil"/>
              <w:tr2bl w:val="nil"/>
            </w:tcBorders>
            <w:noWrap w:val="0"/>
            <w:vAlign w:val="center"/>
          </w:tcPr>
          <w:p w14:paraId="36FBF838">
            <w:pPr>
              <w:keepNext w:val="0"/>
              <w:keepLines w:val="0"/>
              <w:pageBreakBefore w:val="0"/>
              <w:widowControl w:val="0"/>
              <w:shd w:val="clear" w:color="auto" w:fill="auto"/>
              <w:kinsoku/>
              <w:wordWrap/>
              <w:overflowPunct/>
              <w:topLinePunct w:val="0"/>
              <w:autoSpaceDE/>
              <w:autoSpaceDN/>
              <w:bidi w:val="0"/>
              <w:adjustRightInd/>
              <w:snapToGrid/>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易燃液体。副标志：毒害品。包装方法：（II</w:t>
            </w:r>
            <w:r>
              <w:rPr>
                <w:rFonts w:hint="eastAsia" w:cs="Times New Roman"/>
                <w:color w:val="auto"/>
                <w:szCs w:val="21"/>
                <w:highlight w:val="none"/>
                <w:lang w:eastAsia="zh-CN"/>
              </w:rPr>
              <w:t>）</w:t>
            </w:r>
            <w:r>
              <w:rPr>
                <w:rFonts w:hint="default" w:ascii="Times New Roman" w:hAnsi="Times New Roman" w:eastAsia="宋体" w:cs="Times New Roman"/>
                <w:color w:val="auto"/>
                <w:szCs w:val="21"/>
                <w:highlight w:val="none"/>
              </w:rPr>
              <w:t>类。 储运条件：注意轻装轻卸，防止容器破损，避免日光</w:t>
            </w:r>
            <w:r>
              <w:rPr>
                <w:rFonts w:hint="eastAsia" w:cs="Times New Roman"/>
                <w:color w:val="auto"/>
                <w:szCs w:val="21"/>
                <w:highlight w:val="none"/>
                <w:lang w:eastAsia="zh-CN"/>
              </w:rPr>
              <w:t>暴晒</w:t>
            </w:r>
            <w:r>
              <w:rPr>
                <w:rFonts w:hint="default" w:ascii="Times New Roman" w:hAnsi="Times New Roman" w:eastAsia="宋体" w:cs="Times New Roman"/>
                <w:color w:val="auto"/>
                <w:szCs w:val="21"/>
                <w:highlight w:val="none"/>
              </w:rPr>
              <w:t>，严禁接触火源。夏天高温季节早晚运输。储存于阴凉、通风的易燃液体库房或储罐内，与氧化钙隔绝，远离火源，炎热气候采取通风降温措施。泄漏处理：首先切断所有火源，戴好防 毒面具与手套。用水冲洗，对污染地面进行通风处理。</w:t>
            </w:r>
          </w:p>
        </w:tc>
      </w:tr>
    </w:tbl>
    <w:p w14:paraId="02FBD6F8">
      <w:pPr>
        <w:pStyle w:val="55"/>
        <w:bidi w:val="0"/>
        <w:rPr>
          <w:rFonts w:hint="default"/>
          <w:color w:val="auto"/>
          <w:lang w:val="en-US" w:eastAsia="zh-CN"/>
        </w:rPr>
      </w:pPr>
      <w:r>
        <w:rPr>
          <w:rFonts w:hint="eastAsia"/>
          <w:color w:val="auto"/>
          <w:lang w:val="en-US" w:eastAsia="zh-CN"/>
        </w:rPr>
        <w:t>5.7.3.2井场</w:t>
      </w:r>
      <w:r>
        <w:rPr>
          <w:rFonts w:hint="default"/>
          <w:color w:val="auto"/>
          <w:lang w:val="en-US" w:eastAsia="zh-CN"/>
        </w:rPr>
        <w:t>危险性识别</w:t>
      </w:r>
    </w:p>
    <w:p w14:paraId="2F93026F">
      <w:pPr>
        <w:pStyle w:val="79"/>
        <w:bidi w:val="0"/>
        <w:rPr>
          <w:color w:val="auto"/>
        </w:rPr>
      </w:pPr>
      <w:r>
        <w:rPr>
          <w:color w:val="auto"/>
        </w:rPr>
        <w:t>（1）井喷事故风险</w:t>
      </w:r>
    </w:p>
    <w:p w14:paraId="7E10FC66">
      <w:pPr>
        <w:pStyle w:val="79"/>
        <w:bidi w:val="0"/>
        <w:rPr>
          <w:color w:val="auto"/>
        </w:rPr>
      </w:pPr>
      <w:r>
        <w:rPr>
          <w:color w:val="auto"/>
        </w:rPr>
        <w:t>井喷为井场常见事故。如果井底压力小于地层压力，地层流体将进入井筒并推动钻井液外溢，即发生溢流。此时，如果对地下油、气压力平衡控制不当，不能及时控制溢流，会造成油、水或其他混合物迅速喷到地面，即发生井喷。井喷会引发油气泄漏及火灾爆炸，对空气环境、水环境及生态环境造成危害，致使人员伤亡、财产损失。</w:t>
      </w:r>
      <w:r>
        <w:rPr>
          <w:rFonts w:hint="eastAsia"/>
          <w:color w:val="auto"/>
        </w:rPr>
        <w:t>英买油气田已开发多年，对区域的油气藏情况已基本掌握</w:t>
      </w:r>
      <w:r>
        <w:rPr>
          <w:color w:val="auto"/>
        </w:rPr>
        <w:t>，井喷的可能性很小，但</w:t>
      </w:r>
      <w:r>
        <w:rPr>
          <w:rFonts w:hint="eastAsia"/>
          <w:color w:val="auto"/>
          <w:lang w:eastAsia="zh-CN"/>
        </w:rPr>
        <w:t>也</w:t>
      </w:r>
      <w:r>
        <w:rPr>
          <w:color w:val="auto"/>
        </w:rPr>
        <w:t>并非绝对不可能，从最不利的角度，本次评价依然将其作为一种风险事故考虑。</w:t>
      </w:r>
    </w:p>
    <w:p w14:paraId="75F469D8">
      <w:pPr>
        <w:pStyle w:val="79"/>
        <w:bidi w:val="0"/>
        <w:rPr>
          <w:color w:val="auto"/>
        </w:rPr>
      </w:pPr>
      <w:r>
        <w:rPr>
          <w:color w:val="auto"/>
        </w:rPr>
        <w:t>（2）井漏事故风险</w:t>
      </w:r>
    </w:p>
    <w:p w14:paraId="4C2201AA">
      <w:pPr>
        <w:pStyle w:val="79"/>
        <w:bidi w:val="0"/>
        <w:rPr>
          <w:rFonts w:hint="default"/>
          <w:color w:val="auto"/>
          <w:lang w:val="en-US" w:eastAsia="zh-CN"/>
        </w:rPr>
      </w:pPr>
      <w:r>
        <w:rPr>
          <w:rFonts w:hint="eastAsia"/>
          <w:color w:val="auto"/>
        </w:rPr>
        <w:t>固井套管下入深度不够或</w:t>
      </w:r>
      <w:r>
        <w:rPr>
          <w:color w:val="auto"/>
        </w:rPr>
        <w:t>固井质量不好可能引发污染地下水事故，如油气上窜造成地下水污染等。</w:t>
      </w:r>
    </w:p>
    <w:p w14:paraId="188AC221">
      <w:pPr>
        <w:pStyle w:val="55"/>
        <w:bidi w:val="0"/>
        <w:rPr>
          <w:rFonts w:hint="eastAsia"/>
          <w:color w:val="auto"/>
          <w:lang w:val="en-US" w:eastAsia="zh-CN"/>
        </w:rPr>
      </w:pPr>
      <w:r>
        <w:rPr>
          <w:rFonts w:hint="eastAsia"/>
          <w:color w:val="auto"/>
          <w:lang w:val="en-US" w:eastAsia="zh-CN"/>
        </w:rPr>
        <w:t>5.7.3.3集输管道危险性识别</w:t>
      </w:r>
    </w:p>
    <w:p w14:paraId="704E3B36">
      <w:pPr>
        <w:pStyle w:val="79"/>
        <w:bidi w:val="0"/>
        <w:rPr>
          <w:color w:val="auto"/>
        </w:rPr>
      </w:pPr>
      <w:r>
        <w:rPr>
          <w:color w:val="auto"/>
        </w:rPr>
        <w:t>管道输送是一种安全可行的输送方式，但存在于环境中的管道会受到各种环境因素的作用，同时管道本身的设计、管材制造、施工、操作运行和管理等各环节都可能存在着缺陷和失误，所有这些因素都可能导致事故的发生。发生的事故主要为管线破裂造成的</w:t>
      </w:r>
      <w:r>
        <w:rPr>
          <w:rFonts w:hint="eastAsia"/>
          <w:color w:val="auto"/>
        </w:rPr>
        <w:t>天然气、</w:t>
      </w:r>
      <w:r>
        <w:rPr>
          <w:rFonts w:hint="eastAsia"/>
          <w:color w:val="auto"/>
          <w:lang w:val="en-US" w:eastAsia="zh-CN"/>
        </w:rPr>
        <w:t>原油</w:t>
      </w:r>
      <w:r>
        <w:rPr>
          <w:color w:val="auto"/>
        </w:rPr>
        <w:t>泄漏，天然气泄漏后，遇火源会发生火灾、爆炸事故。</w:t>
      </w:r>
      <w:r>
        <w:rPr>
          <w:rFonts w:hint="eastAsia"/>
          <w:color w:val="auto"/>
        </w:rPr>
        <w:t>而</w:t>
      </w:r>
      <w:r>
        <w:rPr>
          <w:rFonts w:hint="eastAsia"/>
          <w:color w:val="auto"/>
          <w:lang w:val="en-US" w:eastAsia="zh-CN"/>
        </w:rPr>
        <w:t>原油</w:t>
      </w:r>
      <w:r>
        <w:rPr>
          <w:rFonts w:hint="eastAsia"/>
          <w:color w:val="auto"/>
        </w:rPr>
        <w:t>的</w:t>
      </w:r>
      <w:r>
        <w:rPr>
          <w:rFonts w:hint="eastAsia"/>
          <w:color w:val="auto"/>
          <w:lang w:eastAsia="zh-CN"/>
        </w:rPr>
        <w:t>泄漏</w:t>
      </w:r>
      <w:r>
        <w:rPr>
          <w:rFonts w:hint="eastAsia"/>
          <w:color w:val="auto"/>
        </w:rPr>
        <w:t>会</w:t>
      </w:r>
      <w:r>
        <w:rPr>
          <w:color w:val="auto"/>
        </w:rPr>
        <w:t>直接污染周围土壤，还可能对区域地下水造成污染。</w:t>
      </w:r>
    </w:p>
    <w:p w14:paraId="1A798DC5">
      <w:pPr>
        <w:pStyle w:val="55"/>
        <w:bidi w:val="0"/>
        <w:rPr>
          <w:rFonts w:hint="default"/>
          <w:color w:val="auto"/>
          <w:lang w:val="en-US" w:eastAsia="zh-CN"/>
        </w:rPr>
      </w:pPr>
      <w:r>
        <w:rPr>
          <w:rFonts w:hint="eastAsia"/>
          <w:color w:val="auto"/>
          <w:lang w:val="en-US" w:eastAsia="zh-CN"/>
        </w:rPr>
        <w:t>5.7.3.4 甲醇泄漏</w:t>
      </w:r>
    </w:p>
    <w:p w14:paraId="58F732B3">
      <w:pPr>
        <w:pStyle w:val="79"/>
        <w:bidi w:val="0"/>
        <w:rPr>
          <w:rFonts w:hint="default"/>
          <w:color w:val="auto"/>
          <w:lang w:val="en-US" w:eastAsia="zh-CN"/>
        </w:rPr>
      </w:pPr>
      <w:r>
        <w:rPr>
          <w:rFonts w:hint="default"/>
          <w:color w:val="auto"/>
          <w:lang w:val="en-US" w:eastAsia="zh-CN"/>
        </w:rPr>
        <w:t>装置腐蚀，施工、操作不当或自然灾害等外力作用导致装置破裂，导致泄漏、火灾、爆炸事故。甲醇泄漏后，遇火源会发生火灾、爆炸事故，燃烧产生的次生CO引发周围人员CO中毒事件。</w:t>
      </w:r>
    </w:p>
    <w:p w14:paraId="4B1E78A1">
      <w:pPr>
        <w:pStyle w:val="54"/>
        <w:bidi w:val="0"/>
        <w:rPr>
          <w:rFonts w:hint="default"/>
          <w:color w:val="auto"/>
          <w:lang w:val="en-US" w:eastAsia="zh-CN"/>
        </w:rPr>
      </w:pPr>
      <w:r>
        <w:rPr>
          <w:rFonts w:hint="eastAsia"/>
          <w:color w:val="auto"/>
          <w:lang w:val="en-US" w:eastAsia="zh-CN"/>
        </w:rPr>
        <w:t>5.</w:t>
      </w:r>
      <w:r>
        <w:rPr>
          <w:rFonts w:hint="default"/>
          <w:color w:val="auto"/>
          <w:lang w:val="en-US" w:eastAsia="zh-CN"/>
        </w:rPr>
        <w:t>7.</w:t>
      </w:r>
      <w:r>
        <w:rPr>
          <w:rFonts w:hint="eastAsia"/>
          <w:color w:val="auto"/>
          <w:lang w:val="en-US" w:eastAsia="zh-CN"/>
        </w:rPr>
        <w:t>4</w:t>
      </w:r>
      <w:r>
        <w:rPr>
          <w:rFonts w:hint="default"/>
          <w:color w:val="auto"/>
          <w:lang w:val="en-US" w:eastAsia="zh-CN"/>
        </w:rPr>
        <w:t xml:space="preserve"> 环境风险事故情形分析</w:t>
      </w:r>
    </w:p>
    <w:p w14:paraId="4CDED150">
      <w:pPr>
        <w:pStyle w:val="79"/>
        <w:bidi w:val="0"/>
        <w:rPr>
          <w:rFonts w:hint="default"/>
          <w:color w:val="auto"/>
          <w:lang w:val="en-US" w:eastAsia="zh-CN"/>
        </w:rPr>
      </w:pPr>
      <w:r>
        <w:rPr>
          <w:rFonts w:hint="default"/>
          <w:color w:val="auto"/>
          <w:lang w:val="en-US" w:eastAsia="zh-CN"/>
        </w:rPr>
        <w:t>通过</w:t>
      </w:r>
      <w:r>
        <w:rPr>
          <w:rFonts w:hint="eastAsia"/>
          <w:color w:val="auto"/>
          <w:lang w:val="en-US" w:eastAsia="zh-CN"/>
        </w:rPr>
        <w:t>分析</w:t>
      </w:r>
      <w:r>
        <w:rPr>
          <w:rFonts w:hint="default"/>
          <w:color w:val="auto"/>
          <w:lang w:val="en-US" w:eastAsia="zh-CN"/>
        </w:rPr>
        <w:t>本工程可能涉及的危险物质及危险场所及危险特性，本工程可能发生的环境风险主要包括运营期管线发生破损造成天然气及原油泄漏，会污染土壤和大气，泄漏原油有可能通过包气带渗漏进入地下含水层，污染地下水；泄漏的油气若遇明火，发生火灾、爆炸，污染大气环境。</w:t>
      </w:r>
    </w:p>
    <w:p w14:paraId="2C5FE4E3">
      <w:pPr>
        <w:pStyle w:val="54"/>
        <w:bidi w:val="0"/>
        <w:rPr>
          <w:rFonts w:hint="default"/>
          <w:color w:val="auto"/>
          <w:lang w:val="en-US" w:eastAsia="zh-CN"/>
        </w:rPr>
      </w:pPr>
      <w:bookmarkStart w:id="714" w:name="_Toc27444"/>
      <w:r>
        <w:rPr>
          <w:rFonts w:hint="eastAsia"/>
          <w:color w:val="auto"/>
          <w:lang w:val="en-US" w:eastAsia="zh-CN"/>
        </w:rPr>
        <w:t>5.</w:t>
      </w:r>
      <w:r>
        <w:rPr>
          <w:rFonts w:hint="default"/>
          <w:color w:val="auto"/>
          <w:lang w:val="en-US" w:eastAsia="zh-CN"/>
        </w:rPr>
        <w:t>7.5 环境风险分析</w:t>
      </w:r>
      <w:bookmarkEnd w:id="714"/>
    </w:p>
    <w:p w14:paraId="359D2B10">
      <w:pPr>
        <w:pStyle w:val="55"/>
        <w:bidi w:val="0"/>
        <w:rPr>
          <w:rFonts w:hint="default"/>
          <w:color w:val="auto"/>
          <w:lang w:val="en-US" w:eastAsia="zh-CN"/>
        </w:rPr>
      </w:pPr>
      <w:r>
        <w:rPr>
          <w:rFonts w:hint="eastAsia"/>
          <w:color w:val="auto"/>
          <w:lang w:val="en-US" w:eastAsia="zh-CN"/>
        </w:rPr>
        <w:t>5.</w:t>
      </w:r>
      <w:r>
        <w:rPr>
          <w:rFonts w:hint="default"/>
          <w:color w:val="auto"/>
          <w:lang w:val="en-US" w:eastAsia="zh-CN"/>
        </w:rPr>
        <w:t>7.5.1 井喷事故影响分析</w:t>
      </w:r>
    </w:p>
    <w:p w14:paraId="680B4919">
      <w:pPr>
        <w:pStyle w:val="79"/>
        <w:bidi w:val="0"/>
        <w:rPr>
          <w:rFonts w:hint="default"/>
          <w:color w:val="auto"/>
          <w:lang w:val="en-US" w:eastAsia="zh-CN"/>
        </w:rPr>
      </w:pPr>
      <w:r>
        <w:rPr>
          <w:rFonts w:hint="default"/>
          <w:color w:val="auto"/>
          <w:lang w:val="en-US" w:eastAsia="zh-CN"/>
        </w:rPr>
        <w:t>井喷事故一旦发生，大量的油气喷出井口，散落于井场周围，据类比资料显示，井喷范围内土壤表层可见有蜡状的原油喷散物，井喷的影响范围及影响程度较大。由于项目区荒无人烟，所以井喷对人员的伤害有限，对项目区及周边土壤环境、大气环境、地下水产生影响。</w:t>
      </w:r>
    </w:p>
    <w:p w14:paraId="7547B834">
      <w:pPr>
        <w:pStyle w:val="79"/>
        <w:bidi w:val="0"/>
        <w:rPr>
          <w:rFonts w:hint="default"/>
          <w:color w:val="auto"/>
          <w:lang w:val="en-US" w:eastAsia="zh-CN"/>
        </w:rPr>
      </w:pPr>
      <w:r>
        <w:rPr>
          <w:rFonts w:hint="default"/>
          <w:color w:val="auto"/>
          <w:lang w:val="en-US" w:eastAsia="zh-CN"/>
        </w:rPr>
        <w:t>井喷事故发生时对地下水环境的影响主要是原油以面源的形式渗漏进入包气带土壤并污染地下水。污染物迁移途径为地表以下的包气带和含水层，然后随地下水流动而污染地下水。石油类污染物主要聚积在土壤表层1m以内，一般很难渗入到2m以下。同时油田区域气候干旱少雨，不存在大量降水的淋滤作用。因此，井喷事故中的泄漏原油不会进入地下含水层污染地下水。</w:t>
      </w:r>
    </w:p>
    <w:p w14:paraId="6E8FD2DA">
      <w:pPr>
        <w:pStyle w:val="55"/>
        <w:bidi w:val="0"/>
        <w:rPr>
          <w:rFonts w:hint="default"/>
          <w:color w:val="auto"/>
          <w:lang w:val="en-US" w:eastAsia="zh-CN"/>
        </w:rPr>
      </w:pPr>
      <w:r>
        <w:rPr>
          <w:rFonts w:hint="eastAsia"/>
          <w:color w:val="auto"/>
          <w:lang w:val="en-US" w:eastAsia="zh-CN"/>
        </w:rPr>
        <w:t>5.</w:t>
      </w:r>
      <w:r>
        <w:rPr>
          <w:rFonts w:hint="default"/>
          <w:color w:val="auto"/>
          <w:lang w:val="en-US" w:eastAsia="zh-CN"/>
        </w:rPr>
        <w:t>7.5.2 对大气环境的影响分析</w:t>
      </w:r>
    </w:p>
    <w:p w14:paraId="5D2774F3">
      <w:pPr>
        <w:pStyle w:val="79"/>
        <w:bidi w:val="0"/>
        <w:rPr>
          <w:rFonts w:hint="default"/>
          <w:color w:val="auto"/>
          <w:lang w:val="en-US" w:eastAsia="zh-CN"/>
        </w:rPr>
      </w:pPr>
      <w:r>
        <w:rPr>
          <w:rFonts w:hint="default"/>
          <w:color w:val="auto"/>
          <w:lang w:val="en-US" w:eastAsia="zh-CN"/>
        </w:rPr>
        <w:t>原油、天然气发生泄漏事故后，进入环境中，释放出的烃类气体会对周围环境空气产生影响，若遇明火，可发生火灾、爆炸，火灾、爆炸产生的伴生/次生污染物可能对环境空气产生一定的影响。由于项目区地域空旷，无敏感点分布，大气扩散条件较好，发生事故后，及时采取相应的措施，不会对周围环境空气产生明显影响。</w:t>
      </w:r>
    </w:p>
    <w:p w14:paraId="26A37E3D">
      <w:pPr>
        <w:pStyle w:val="55"/>
        <w:bidi w:val="0"/>
        <w:rPr>
          <w:rFonts w:hint="default"/>
          <w:color w:val="auto"/>
          <w:lang w:val="en-US" w:eastAsia="zh-CN"/>
        </w:rPr>
      </w:pPr>
      <w:r>
        <w:rPr>
          <w:rFonts w:hint="eastAsia"/>
          <w:color w:val="auto"/>
          <w:lang w:val="en-US" w:eastAsia="zh-CN"/>
        </w:rPr>
        <w:t>5.</w:t>
      </w:r>
      <w:r>
        <w:rPr>
          <w:rFonts w:hint="default"/>
          <w:color w:val="auto"/>
          <w:lang w:val="en-US" w:eastAsia="zh-CN"/>
        </w:rPr>
        <w:t>7.5.3 对地下水的环境影响分析</w:t>
      </w:r>
    </w:p>
    <w:p w14:paraId="0C960ED9">
      <w:pPr>
        <w:pStyle w:val="79"/>
        <w:bidi w:val="0"/>
        <w:rPr>
          <w:rFonts w:hint="default"/>
          <w:color w:val="auto"/>
        </w:rPr>
      </w:pPr>
      <w:r>
        <w:rPr>
          <w:rFonts w:hint="default"/>
          <w:color w:val="auto"/>
        </w:rPr>
        <w:t>集输管道敷设在地表以下，运营期在正常情况下对地下水无影响，只有在发生事故时才可能影响到地下水。集输管道发生事故时，漏油能否对地下水环境产生影响，取决于油在土壤中的迁移转化、地面污染程度以及泄漏点的地质构造。</w:t>
      </w:r>
    </w:p>
    <w:p w14:paraId="67467D6F">
      <w:pPr>
        <w:pStyle w:val="79"/>
        <w:bidi w:val="0"/>
        <w:rPr>
          <w:rFonts w:hint="default"/>
          <w:color w:val="auto"/>
          <w:lang w:val="en-US" w:eastAsia="zh-CN"/>
        </w:rPr>
      </w:pPr>
      <w:r>
        <w:rPr>
          <w:rFonts w:hint="default"/>
          <w:color w:val="auto"/>
          <w:lang w:val="en-US" w:eastAsia="zh-CN"/>
        </w:rPr>
        <w:t>发生泄漏事故后，若及时维修处理，即使有少量的污染物泄漏，也很难通过防渗层渗入包气带。故在正常工况下，加强检修力度，发生泄漏事故及时找到泄漏点，及时维修，并将受污染的土壤全部集中收集，交由有资质的单位进行处理，污染物从源头和末端均得到控制，阻断了污染地下水的通道，污染物不会渗入地下污染地下水体。</w:t>
      </w:r>
    </w:p>
    <w:p w14:paraId="76306A38">
      <w:pPr>
        <w:pStyle w:val="79"/>
        <w:bidi w:val="0"/>
        <w:rPr>
          <w:rFonts w:hint="default"/>
          <w:color w:val="auto"/>
          <w:lang w:val="en-US" w:eastAsia="zh-CN"/>
        </w:rPr>
      </w:pPr>
      <w:r>
        <w:rPr>
          <w:rFonts w:hint="default"/>
          <w:color w:val="auto"/>
          <w:lang w:val="en-US" w:eastAsia="zh-CN"/>
        </w:rPr>
        <w:t>根据前文“5.</w:t>
      </w:r>
      <w:r>
        <w:rPr>
          <w:rFonts w:hint="eastAsia"/>
          <w:color w:val="auto"/>
          <w:lang w:val="en-US" w:eastAsia="zh-CN"/>
        </w:rPr>
        <w:t>2.3</w:t>
      </w:r>
      <w:r>
        <w:rPr>
          <w:rFonts w:hint="default"/>
          <w:color w:val="auto"/>
          <w:lang w:val="en-US" w:eastAsia="zh-CN"/>
        </w:rPr>
        <w:t>.2非正常状况下地下水环境影响分析”中的预测结果，在本次设定的预测情形下：预测期间，随着时间、距离增加，污染范围也呈增加趋势。石油类浓度在预测100d时地下水超标距离为14m，1000d和3300d地下水的预测结果均未超标，同时影响范围内无居民饮用水井等敏感点，说明本工程在发现泄漏状况时下渗的油品短时间内会对该地区地下水产生影响。故管道必须采取必要的防腐措施，并加强巡检，防止其泄漏进而</w:t>
      </w:r>
      <w:r>
        <w:rPr>
          <w:rFonts w:hint="eastAsia"/>
          <w:color w:val="auto"/>
          <w:lang w:val="en-US" w:eastAsia="zh-CN"/>
        </w:rPr>
        <w:t>污染</w:t>
      </w:r>
      <w:r>
        <w:rPr>
          <w:rFonts w:hint="default"/>
          <w:color w:val="auto"/>
          <w:lang w:val="en-US" w:eastAsia="zh-CN"/>
        </w:rPr>
        <w:t>周边区域内的地下水。</w:t>
      </w:r>
    </w:p>
    <w:p w14:paraId="7C70110E">
      <w:pPr>
        <w:pStyle w:val="79"/>
        <w:bidi w:val="0"/>
        <w:rPr>
          <w:rFonts w:hint="default"/>
          <w:color w:val="auto"/>
          <w:lang w:val="en-US" w:eastAsia="zh-CN"/>
        </w:rPr>
      </w:pPr>
      <w:r>
        <w:rPr>
          <w:rFonts w:hint="default"/>
          <w:color w:val="auto"/>
          <w:lang w:val="en-US" w:eastAsia="zh-CN"/>
        </w:rPr>
        <w:t>在非正常状况下，建设单位应立即采取切断措施并及时组织专门力量进行污染物的清除工作，在最短的时间内清除地面及地下的石油类物质，因而，石油类污染物进入地下潜水的可能性较小。只要建设单位和施工单位严格按照拟定的环保措施进行，非正常状况下，对地下水的影响属可接受范围。</w:t>
      </w:r>
    </w:p>
    <w:p w14:paraId="503A710E">
      <w:pPr>
        <w:pStyle w:val="55"/>
        <w:bidi w:val="0"/>
        <w:rPr>
          <w:rFonts w:hint="default"/>
          <w:color w:val="auto"/>
          <w:lang w:val="en-US" w:eastAsia="zh-CN"/>
        </w:rPr>
      </w:pPr>
      <w:r>
        <w:rPr>
          <w:rFonts w:hint="eastAsia"/>
          <w:color w:val="auto"/>
          <w:lang w:val="en-US" w:eastAsia="zh-CN"/>
        </w:rPr>
        <w:t>5.</w:t>
      </w:r>
      <w:r>
        <w:rPr>
          <w:rFonts w:hint="default"/>
          <w:color w:val="auto"/>
          <w:lang w:val="en-US" w:eastAsia="zh-CN"/>
        </w:rPr>
        <w:t>7.5.4 对土壤环境的影响分析</w:t>
      </w:r>
    </w:p>
    <w:p w14:paraId="2C0BE49B">
      <w:pPr>
        <w:pStyle w:val="79"/>
        <w:bidi w:val="0"/>
        <w:rPr>
          <w:rFonts w:hint="default"/>
          <w:color w:val="auto"/>
          <w:lang w:val="en-US" w:eastAsia="zh-CN"/>
        </w:rPr>
      </w:pPr>
      <w:r>
        <w:rPr>
          <w:rFonts w:hint="default"/>
          <w:color w:val="auto"/>
          <w:lang w:val="en-US" w:eastAsia="zh-CN"/>
        </w:rPr>
        <w:t>原油泄漏对土壤环境的影响是比较显著的，泄漏的原油可使土壤透气性下降、土壤理化性状发生变化。泄漏的油品如果进入土壤，从而使土壤质地、结构发生改变，影响到土地功能，进而影响荒漠植被的生长，并可影响局部的生态环境。</w:t>
      </w:r>
    </w:p>
    <w:p w14:paraId="1EF1EE89">
      <w:pPr>
        <w:pStyle w:val="79"/>
        <w:bidi w:val="0"/>
        <w:rPr>
          <w:rFonts w:hint="default"/>
          <w:color w:val="auto"/>
          <w:lang w:val="en-US" w:eastAsia="zh-CN"/>
        </w:rPr>
      </w:pPr>
      <w:r>
        <w:rPr>
          <w:rFonts w:hint="default"/>
          <w:color w:val="auto"/>
          <w:lang w:val="en-US" w:eastAsia="zh-CN"/>
        </w:rPr>
        <w:t>原油发生泄漏时，相当于向土壤中直接注入原油，泄漏的原油进入土壤中后，渗入土壤孔隙，则使土壤透气性和呼吸作用减弱，影响土壤中的微生物生存，造成土壤盐碱化，破坏土壤结构，增加土壤中石油类污染物，造成土地肥力下降，改变土壤的理化性质，影响土壤正常的结构和功能。</w:t>
      </w:r>
    </w:p>
    <w:p w14:paraId="17521A86">
      <w:pPr>
        <w:pStyle w:val="79"/>
        <w:bidi w:val="0"/>
        <w:rPr>
          <w:rFonts w:hint="default"/>
          <w:color w:val="auto"/>
          <w:lang w:val="en-US" w:eastAsia="zh-CN"/>
        </w:rPr>
      </w:pPr>
      <w:r>
        <w:rPr>
          <w:rFonts w:hint="default"/>
          <w:color w:val="auto"/>
          <w:lang w:val="en-US" w:eastAsia="zh-CN"/>
        </w:rPr>
        <w:t>运营期管线破裂，将能回收的原油回收，送联合站原油处理系统处理，不能回收的以及受污染的土壤集中收集后交由有相应处置资质的单位进行处理。</w:t>
      </w:r>
    </w:p>
    <w:p w14:paraId="706D93E2">
      <w:pPr>
        <w:pStyle w:val="79"/>
        <w:bidi w:val="0"/>
        <w:rPr>
          <w:rFonts w:hint="default"/>
          <w:color w:val="auto"/>
          <w:lang w:val="en-US" w:eastAsia="zh-CN"/>
        </w:rPr>
      </w:pPr>
      <w:r>
        <w:rPr>
          <w:rFonts w:hint="default"/>
          <w:color w:val="auto"/>
          <w:lang w:val="en-US" w:eastAsia="zh-CN"/>
        </w:rPr>
        <w:t>综上所述，本工程施工期和运营期发生事故后，及时采取相应的措施，不会对周围土壤环境产生明显影响。</w:t>
      </w:r>
    </w:p>
    <w:p w14:paraId="6A9937CB">
      <w:pPr>
        <w:pStyle w:val="55"/>
        <w:bidi w:val="0"/>
        <w:rPr>
          <w:rFonts w:hint="default"/>
          <w:color w:val="auto"/>
          <w:lang w:val="en-US" w:eastAsia="zh-CN"/>
        </w:rPr>
      </w:pPr>
      <w:r>
        <w:rPr>
          <w:rFonts w:hint="eastAsia"/>
          <w:color w:val="auto"/>
          <w:lang w:val="en-US" w:eastAsia="zh-CN"/>
        </w:rPr>
        <w:t>5.</w:t>
      </w:r>
      <w:r>
        <w:rPr>
          <w:rFonts w:hint="default"/>
          <w:color w:val="auto"/>
          <w:lang w:val="en-US" w:eastAsia="zh-CN"/>
        </w:rPr>
        <w:t>7.5.5 对植被的影响</w:t>
      </w:r>
    </w:p>
    <w:p w14:paraId="30A213D7">
      <w:pPr>
        <w:pStyle w:val="79"/>
        <w:bidi w:val="0"/>
        <w:rPr>
          <w:rFonts w:hint="default"/>
          <w:color w:val="auto"/>
        </w:rPr>
      </w:pPr>
      <w:r>
        <w:rPr>
          <w:rFonts w:hint="default"/>
          <w:color w:val="auto"/>
          <w:lang w:val="en-US" w:eastAsia="zh-CN"/>
        </w:rPr>
        <w:t>井喷及</w:t>
      </w:r>
      <w:r>
        <w:rPr>
          <w:rFonts w:hint="default"/>
          <w:color w:val="auto"/>
        </w:rPr>
        <w:t>油品泄漏对植被的影响主要分为三种途径，一是泄漏石油直接粘附于植物体阻断植物的光合作用，使植物枯萎、死亡；二是</w:t>
      </w:r>
      <w:r>
        <w:rPr>
          <w:rFonts w:hint="default"/>
          <w:color w:val="auto"/>
          <w:lang w:val="en-US" w:eastAsia="zh-CN"/>
        </w:rPr>
        <w:t>原油</w:t>
      </w:r>
      <w:r>
        <w:rPr>
          <w:rFonts w:hint="default"/>
          <w:color w:val="auto"/>
        </w:rPr>
        <w:t>污染土壤造成的土壤理性化性状变化间接影响植物生长，严重时会导致植物死亡；三是泄漏的</w:t>
      </w:r>
      <w:r>
        <w:rPr>
          <w:rFonts w:hint="default"/>
          <w:color w:val="auto"/>
          <w:lang w:val="en-US" w:eastAsia="zh-CN"/>
        </w:rPr>
        <w:t>原油、天然气</w:t>
      </w:r>
      <w:r>
        <w:rPr>
          <w:rFonts w:hint="default"/>
          <w:color w:val="auto"/>
        </w:rPr>
        <w:t>中的轻组分挥发，可发生火灾、爆炸，火灾、爆炸产生的伴生/次生污染物在对空气环境产生影响的同时，也对周围植物产生影响。</w:t>
      </w:r>
    </w:p>
    <w:p w14:paraId="4B4D1C13">
      <w:pPr>
        <w:pStyle w:val="79"/>
        <w:bidi w:val="0"/>
        <w:rPr>
          <w:rFonts w:hint="default"/>
          <w:color w:val="auto"/>
        </w:rPr>
      </w:pPr>
      <w:r>
        <w:rPr>
          <w:rFonts w:hint="default"/>
          <w:color w:val="auto"/>
          <w:lang w:eastAsia="zh-CN"/>
        </w:rPr>
        <w:t>本工程</w:t>
      </w:r>
      <w:r>
        <w:rPr>
          <w:rFonts w:hint="default"/>
          <w:color w:val="auto"/>
        </w:rPr>
        <w:t>区域内植被量很小，且发生事故后，及时采取相应的措施，基本不会对周围植被产生明显影响。</w:t>
      </w:r>
    </w:p>
    <w:p w14:paraId="1FB93CCD">
      <w:pPr>
        <w:pStyle w:val="55"/>
        <w:bidi w:val="0"/>
        <w:rPr>
          <w:rFonts w:hint="default"/>
          <w:color w:val="auto"/>
          <w:lang w:val="en-US" w:eastAsia="zh-CN"/>
        </w:rPr>
      </w:pPr>
      <w:r>
        <w:rPr>
          <w:rFonts w:hint="eastAsia"/>
          <w:color w:val="auto"/>
          <w:lang w:val="en-US" w:eastAsia="zh-CN"/>
        </w:rPr>
        <w:t>5.7.5.6 甲醇加药装置泄漏事故影响分析</w:t>
      </w:r>
    </w:p>
    <w:p w14:paraId="27783844">
      <w:pPr>
        <w:pStyle w:val="79"/>
        <w:bidi w:val="0"/>
        <w:rPr>
          <w:rFonts w:hint="default"/>
          <w:color w:val="auto"/>
          <w:lang w:val="en-US" w:eastAsia="zh-CN"/>
        </w:rPr>
      </w:pPr>
      <w:r>
        <w:rPr>
          <w:rFonts w:hint="default"/>
          <w:color w:val="auto"/>
          <w:lang w:val="en-US" w:eastAsia="zh-CN"/>
        </w:rPr>
        <w:t>通常情况下，拟建工程使用的甲醇在常温常压下液化储存，一旦泄漏到空气中会迅速气化，并扩散到周围空间，由于溢出的甲醇属于有毒气体，会影响到区域环境空气质量，可能造成周围区域人员中毒事故。假定事故情况为甲醇加药装置10mm孔径泄漏，由于无自动切断装置，气体检测器发生报警后操作人员在1h内制止泄漏。</w:t>
      </w:r>
    </w:p>
    <w:p w14:paraId="4A52EFBD">
      <w:pPr>
        <w:pStyle w:val="79"/>
        <w:bidi w:val="0"/>
        <w:rPr>
          <w:rFonts w:hint="default"/>
          <w:color w:val="auto"/>
          <w:lang w:val="en-US" w:eastAsia="zh-CN"/>
        </w:rPr>
      </w:pPr>
      <w:r>
        <w:rPr>
          <w:rFonts w:hint="default"/>
          <w:color w:val="auto"/>
          <w:lang w:val="en-US" w:eastAsia="zh-CN"/>
        </w:rPr>
        <w:t>根据《建设项目环境风险评价技术导则》</w:t>
      </w:r>
      <w:r>
        <w:rPr>
          <w:rFonts w:hint="eastAsia"/>
          <w:color w:val="auto"/>
          <w:lang w:val="en-US" w:eastAsia="zh-CN"/>
        </w:rPr>
        <w:t>（</w:t>
      </w:r>
      <w:r>
        <w:rPr>
          <w:rFonts w:hint="default"/>
          <w:color w:val="auto"/>
          <w:lang w:val="en-US" w:eastAsia="zh-CN"/>
        </w:rPr>
        <w:t>HJ169-2018）附录F（液体泄漏速率）计算甲醇加药装置中甲醇泄漏速率。具体计算公式如下：</w:t>
      </w:r>
    </w:p>
    <w:p w14:paraId="010E039E">
      <w:pPr>
        <w:pStyle w:val="79"/>
        <w:bidi w:val="0"/>
        <w:rPr>
          <w:rFonts w:hint="default"/>
          <w:color w:val="auto"/>
          <w:lang w:val="en-US" w:eastAsia="zh-CN"/>
        </w:rPr>
      </w:pPr>
      <w:r>
        <w:rPr>
          <w:rFonts w:hint="default"/>
          <w:color w:val="auto"/>
          <w:lang w:val="en-US" w:eastAsia="zh-CN"/>
        </w:rPr>
        <w:t>甲醇泄漏为液体，泄漏速度采用伯努利方程计算：</w:t>
      </w:r>
    </w:p>
    <w:p w14:paraId="790DD458">
      <w:pPr>
        <w:widowControl w:val="0"/>
        <w:shd w:val="clear"/>
        <w:bidi w:val="0"/>
        <w:adjustRightInd w:val="0"/>
        <w:snapToGrid w:val="0"/>
        <w:spacing w:line="360" w:lineRule="auto"/>
        <w:ind w:firstLine="420" w:firstLineChars="200"/>
        <w:jc w:val="center"/>
        <w:rPr>
          <w:rFonts w:hint="default" w:ascii="Times New Roman" w:hAnsi="Times New Roman" w:eastAsia="宋体" w:cs="Times New Roman"/>
          <w:bCs/>
          <w:color w:val="auto"/>
          <w:kern w:val="2"/>
          <w:sz w:val="21"/>
          <w:szCs w:val="25"/>
          <w:highlight w:val="none"/>
          <w:lang w:val="en-US" w:eastAsia="zh-CN" w:bidi="ar-SA"/>
        </w:rPr>
      </w:pPr>
      <w:r>
        <w:rPr>
          <w:rFonts w:hint="default" w:ascii="Times New Roman" w:hAnsi="Times New Roman" w:eastAsia="宋体" w:cs="Times New Roman"/>
          <w:bCs/>
          <w:color w:val="auto"/>
          <w:kern w:val="2"/>
          <w:sz w:val="21"/>
          <w:szCs w:val="25"/>
          <w:highlight w:val="none"/>
          <w:lang w:val="en-US" w:eastAsia="zh-CN" w:bidi="ar-SA"/>
        </w:rPr>
        <w:drawing>
          <wp:inline distT="0" distB="0" distL="114300" distR="114300">
            <wp:extent cx="2359025" cy="515620"/>
            <wp:effectExtent l="0" t="0" r="3175" b="17780"/>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57"/>
                    <a:srcRect l="39038" r="10210" b="83540"/>
                    <a:stretch>
                      <a:fillRect/>
                    </a:stretch>
                  </pic:blipFill>
                  <pic:spPr>
                    <a:xfrm>
                      <a:off x="0" y="0"/>
                      <a:ext cx="2359025" cy="515620"/>
                    </a:xfrm>
                    <a:prstGeom prst="rect">
                      <a:avLst/>
                    </a:prstGeom>
                    <a:noFill/>
                    <a:ln>
                      <a:noFill/>
                    </a:ln>
                  </pic:spPr>
                </pic:pic>
              </a:graphicData>
            </a:graphic>
          </wp:inline>
        </w:drawing>
      </w:r>
    </w:p>
    <w:p w14:paraId="37AEEE60">
      <w:pPr>
        <w:keepNext w:val="0"/>
        <w:keepLines w:val="0"/>
        <w:pageBreakBefore w:val="0"/>
        <w:widowControl w:val="0"/>
        <w:shd w:val="clear"/>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式中：Q</w:t>
      </w:r>
      <w:r>
        <w:rPr>
          <w:rFonts w:hint="default" w:ascii="Times New Roman" w:hAnsi="Times New Roman" w:eastAsia="宋体" w:cs="Times New Roman"/>
          <w:bCs/>
          <w:color w:val="auto"/>
          <w:kern w:val="2"/>
          <w:sz w:val="24"/>
          <w:szCs w:val="24"/>
          <w:highlight w:val="none"/>
          <w:vertAlign w:val="subscript"/>
          <w:lang w:val="en-US" w:eastAsia="zh-CN" w:bidi="ar-SA"/>
        </w:rPr>
        <w:t>L</w:t>
      </w:r>
      <w:r>
        <w:rPr>
          <w:rFonts w:hint="default" w:ascii="Times New Roman" w:hAnsi="Times New Roman" w:eastAsia="宋体" w:cs="Times New Roman"/>
          <w:bCs/>
          <w:color w:val="auto"/>
          <w:kern w:val="2"/>
          <w:sz w:val="24"/>
          <w:szCs w:val="24"/>
          <w:highlight w:val="none"/>
          <w:lang w:val="en-US" w:eastAsia="zh-CN" w:bidi="ar-SA"/>
        </w:rPr>
        <w:t>——液体泄漏速度，kg/s；</w:t>
      </w:r>
    </w:p>
    <w:p w14:paraId="25D0FAE0">
      <w:pPr>
        <w:keepNext w:val="0"/>
        <w:keepLines w:val="0"/>
        <w:pageBreakBefore w:val="0"/>
        <w:widowControl w:val="0"/>
        <w:shd w:val="clear"/>
        <w:kinsoku/>
        <w:wordWrap/>
        <w:overflowPunct/>
        <w:topLinePunct w:val="0"/>
        <w:autoSpaceDE/>
        <w:autoSpaceDN/>
        <w:bidi w:val="0"/>
        <w:adjustRightInd w:val="0"/>
        <w:snapToGrid w:val="0"/>
        <w:spacing w:line="480" w:lineRule="exact"/>
        <w:ind w:firstLine="720" w:firstLineChars="300"/>
        <w:jc w:val="both"/>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C</w:t>
      </w:r>
      <w:r>
        <w:rPr>
          <w:rFonts w:hint="default" w:ascii="Times New Roman" w:hAnsi="Times New Roman" w:eastAsia="宋体" w:cs="Times New Roman"/>
          <w:bCs/>
          <w:color w:val="auto"/>
          <w:kern w:val="2"/>
          <w:sz w:val="24"/>
          <w:szCs w:val="24"/>
          <w:highlight w:val="none"/>
          <w:vertAlign w:val="subscript"/>
          <w:lang w:val="en-US" w:eastAsia="zh-CN" w:bidi="ar-SA"/>
        </w:rPr>
        <w:t>d</w:t>
      </w:r>
      <w:r>
        <w:rPr>
          <w:rFonts w:hint="default" w:ascii="Times New Roman" w:hAnsi="Times New Roman" w:eastAsia="宋体" w:cs="Times New Roman"/>
          <w:bCs/>
          <w:color w:val="auto"/>
          <w:kern w:val="2"/>
          <w:sz w:val="24"/>
          <w:szCs w:val="24"/>
          <w:highlight w:val="none"/>
          <w:lang w:val="en-US" w:eastAsia="zh-CN" w:bidi="ar-SA"/>
        </w:rPr>
        <w:t>——液体泄漏系数，此值常用0.6～0.64，取 0.62；</w:t>
      </w:r>
    </w:p>
    <w:p w14:paraId="59D47469">
      <w:pPr>
        <w:keepNext w:val="0"/>
        <w:keepLines w:val="0"/>
        <w:pageBreakBefore w:val="0"/>
        <w:widowControl w:val="0"/>
        <w:shd w:val="clear"/>
        <w:kinsoku/>
        <w:wordWrap/>
        <w:overflowPunct/>
        <w:topLinePunct w:val="0"/>
        <w:autoSpaceDE/>
        <w:autoSpaceDN/>
        <w:bidi w:val="0"/>
        <w:adjustRightInd w:val="0"/>
        <w:snapToGrid w:val="0"/>
        <w:spacing w:line="480" w:lineRule="exact"/>
        <w:ind w:firstLine="720" w:firstLineChars="300"/>
        <w:jc w:val="both"/>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A——裂口面积，0.0000</w:t>
      </w:r>
      <w:r>
        <w:rPr>
          <w:rFonts w:hint="eastAsia" w:ascii="Times New Roman" w:hAnsi="Times New Roman" w:eastAsia="宋体" w:cs="Times New Roman"/>
          <w:bCs/>
          <w:color w:val="auto"/>
          <w:kern w:val="2"/>
          <w:sz w:val="24"/>
          <w:szCs w:val="24"/>
          <w:highlight w:val="none"/>
          <w:lang w:val="en-US" w:eastAsia="zh-CN" w:bidi="ar-SA"/>
        </w:rPr>
        <w:t>20</w:t>
      </w:r>
      <w:r>
        <w:rPr>
          <w:rFonts w:hint="default" w:ascii="Times New Roman" w:hAnsi="Times New Roman" w:eastAsia="宋体" w:cs="Times New Roman"/>
          <w:bCs/>
          <w:color w:val="auto"/>
          <w:kern w:val="2"/>
          <w:sz w:val="24"/>
          <w:szCs w:val="24"/>
          <w:highlight w:val="none"/>
          <w:lang w:val="en-US" w:eastAsia="zh-CN" w:bidi="ar-SA"/>
        </w:rPr>
        <w:t>m</w:t>
      </w:r>
      <w:r>
        <w:rPr>
          <w:rFonts w:hint="default" w:ascii="Times New Roman" w:hAnsi="Times New Roman" w:eastAsia="宋体" w:cs="Times New Roman"/>
          <w:bCs/>
          <w:color w:val="auto"/>
          <w:kern w:val="2"/>
          <w:sz w:val="24"/>
          <w:szCs w:val="24"/>
          <w:highlight w:val="none"/>
          <w:vertAlign w:val="superscript"/>
          <w:lang w:val="en-US" w:eastAsia="zh-CN" w:bidi="ar-SA"/>
        </w:rPr>
        <w:t>2</w:t>
      </w:r>
      <w:r>
        <w:rPr>
          <w:rFonts w:hint="default" w:ascii="Times New Roman" w:hAnsi="Times New Roman" w:eastAsia="宋体" w:cs="Times New Roman"/>
          <w:bCs/>
          <w:color w:val="auto"/>
          <w:kern w:val="2"/>
          <w:sz w:val="24"/>
          <w:szCs w:val="24"/>
          <w:highlight w:val="none"/>
          <w:lang w:val="en-US" w:eastAsia="zh-CN" w:bidi="ar-SA"/>
        </w:rPr>
        <w:t>；</w:t>
      </w:r>
    </w:p>
    <w:p w14:paraId="7BB9CD81">
      <w:pPr>
        <w:keepNext w:val="0"/>
        <w:keepLines w:val="0"/>
        <w:pageBreakBefore w:val="0"/>
        <w:widowControl w:val="0"/>
        <w:shd w:val="clear"/>
        <w:kinsoku/>
        <w:wordWrap/>
        <w:overflowPunct/>
        <w:topLinePunct w:val="0"/>
        <w:autoSpaceDE/>
        <w:autoSpaceDN/>
        <w:bidi w:val="0"/>
        <w:adjustRightInd w:val="0"/>
        <w:snapToGrid w:val="0"/>
        <w:spacing w:line="480" w:lineRule="exact"/>
        <w:ind w:firstLine="720" w:firstLineChars="300"/>
        <w:jc w:val="both"/>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P——容器内介质压力，16000000Pa；</w:t>
      </w:r>
    </w:p>
    <w:p w14:paraId="5CC5A0C9">
      <w:pPr>
        <w:keepNext w:val="0"/>
        <w:keepLines w:val="0"/>
        <w:pageBreakBefore w:val="0"/>
        <w:widowControl w:val="0"/>
        <w:shd w:val="clear"/>
        <w:kinsoku/>
        <w:wordWrap/>
        <w:overflowPunct/>
        <w:topLinePunct w:val="0"/>
        <w:autoSpaceDE/>
        <w:autoSpaceDN/>
        <w:bidi w:val="0"/>
        <w:adjustRightInd w:val="0"/>
        <w:snapToGrid w:val="0"/>
        <w:spacing w:line="480" w:lineRule="exact"/>
        <w:ind w:firstLine="720" w:firstLineChars="300"/>
        <w:jc w:val="both"/>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P</w:t>
      </w:r>
      <w:r>
        <w:rPr>
          <w:rFonts w:hint="default" w:ascii="Times New Roman" w:hAnsi="Times New Roman" w:eastAsia="宋体" w:cs="Times New Roman"/>
          <w:bCs/>
          <w:color w:val="auto"/>
          <w:kern w:val="2"/>
          <w:sz w:val="24"/>
          <w:szCs w:val="24"/>
          <w:highlight w:val="none"/>
          <w:vertAlign w:val="subscript"/>
          <w:lang w:val="en-US" w:eastAsia="zh-CN" w:bidi="ar-SA"/>
        </w:rPr>
        <w:t>0</w:t>
      </w:r>
      <w:r>
        <w:rPr>
          <w:rFonts w:hint="default" w:ascii="Times New Roman" w:hAnsi="Times New Roman" w:eastAsia="宋体" w:cs="Times New Roman"/>
          <w:bCs/>
          <w:color w:val="auto"/>
          <w:kern w:val="2"/>
          <w:sz w:val="24"/>
          <w:szCs w:val="24"/>
          <w:highlight w:val="none"/>
          <w:lang w:val="en-US" w:eastAsia="zh-CN" w:bidi="ar-SA"/>
        </w:rPr>
        <w:t>——环境压力，101000Pa；</w:t>
      </w:r>
    </w:p>
    <w:p w14:paraId="605785A1">
      <w:pPr>
        <w:keepNext w:val="0"/>
        <w:keepLines w:val="0"/>
        <w:pageBreakBefore w:val="0"/>
        <w:widowControl w:val="0"/>
        <w:shd w:val="clear"/>
        <w:kinsoku/>
        <w:wordWrap/>
        <w:overflowPunct/>
        <w:topLinePunct w:val="0"/>
        <w:autoSpaceDE/>
        <w:autoSpaceDN/>
        <w:bidi w:val="0"/>
        <w:adjustRightInd w:val="0"/>
        <w:snapToGrid w:val="0"/>
        <w:spacing w:line="480" w:lineRule="exact"/>
        <w:ind w:firstLine="720" w:firstLineChars="300"/>
        <w:jc w:val="both"/>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g——重力加在速度，9.81m/s</w:t>
      </w:r>
      <w:r>
        <w:rPr>
          <w:rFonts w:hint="default" w:ascii="Times New Roman" w:hAnsi="Times New Roman" w:eastAsia="宋体" w:cs="Times New Roman"/>
          <w:bCs/>
          <w:color w:val="auto"/>
          <w:kern w:val="2"/>
          <w:sz w:val="24"/>
          <w:szCs w:val="24"/>
          <w:highlight w:val="none"/>
          <w:vertAlign w:val="superscript"/>
          <w:lang w:val="en-US" w:eastAsia="zh-CN" w:bidi="ar-SA"/>
        </w:rPr>
        <w:t>2</w:t>
      </w:r>
      <w:r>
        <w:rPr>
          <w:rFonts w:hint="default" w:ascii="Times New Roman" w:hAnsi="Times New Roman" w:eastAsia="宋体" w:cs="Times New Roman"/>
          <w:bCs/>
          <w:color w:val="auto"/>
          <w:kern w:val="2"/>
          <w:sz w:val="24"/>
          <w:szCs w:val="24"/>
          <w:highlight w:val="none"/>
          <w:lang w:val="en-US" w:eastAsia="zh-CN" w:bidi="ar-SA"/>
        </w:rPr>
        <w:t>；</w:t>
      </w:r>
    </w:p>
    <w:p w14:paraId="3F2BFA76">
      <w:pPr>
        <w:keepNext w:val="0"/>
        <w:keepLines w:val="0"/>
        <w:pageBreakBefore w:val="0"/>
        <w:widowControl w:val="0"/>
        <w:shd w:val="clear"/>
        <w:kinsoku/>
        <w:wordWrap/>
        <w:overflowPunct/>
        <w:topLinePunct w:val="0"/>
        <w:autoSpaceDE/>
        <w:autoSpaceDN/>
        <w:bidi w:val="0"/>
        <w:adjustRightInd w:val="0"/>
        <w:snapToGrid w:val="0"/>
        <w:spacing w:line="480" w:lineRule="exact"/>
        <w:ind w:firstLine="720" w:firstLineChars="300"/>
        <w:jc w:val="both"/>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ρ——液体密度，</w:t>
      </w:r>
      <w:r>
        <w:rPr>
          <w:rFonts w:hint="eastAsia" w:ascii="Times New Roman" w:hAnsi="Times New Roman" w:eastAsia="宋体" w:cs="Times New Roman"/>
          <w:bCs/>
          <w:color w:val="auto"/>
          <w:kern w:val="2"/>
          <w:sz w:val="24"/>
          <w:szCs w:val="24"/>
          <w:highlight w:val="none"/>
          <w:lang w:val="en-US" w:eastAsia="zh-CN" w:bidi="ar-SA"/>
        </w:rPr>
        <w:t>778.6</w:t>
      </w:r>
      <w:r>
        <w:rPr>
          <w:rFonts w:hint="default" w:ascii="Times New Roman" w:hAnsi="Times New Roman" w:eastAsia="宋体" w:cs="Times New Roman"/>
          <w:bCs/>
          <w:color w:val="auto"/>
          <w:kern w:val="2"/>
          <w:sz w:val="24"/>
          <w:szCs w:val="24"/>
          <w:highlight w:val="none"/>
          <w:lang w:val="en-US" w:eastAsia="zh-CN" w:bidi="ar-SA"/>
        </w:rPr>
        <w:t>kg/m</w:t>
      </w:r>
      <w:r>
        <w:rPr>
          <w:rFonts w:hint="default" w:ascii="Times New Roman" w:hAnsi="Times New Roman" w:eastAsia="宋体" w:cs="Times New Roman"/>
          <w:bCs/>
          <w:color w:val="auto"/>
          <w:kern w:val="2"/>
          <w:sz w:val="24"/>
          <w:szCs w:val="24"/>
          <w:highlight w:val="none"/>
          <w:vertAlign w:val="superscript"/>
          <w:lang w:val="en-US" w:eastAsia="zh-CN" w:bidi="ar-SA"/>
        </w:rPr>
        <w:t>3</w:t>
      </w:r>
      <w:r>
        <w:rPr>
          <w:rFonts w:hint="default" w:ascii="Times New Roman" w:hAnsi="Times New Roman" w:eastAsia="宋体" w:cs="Times New Roman"/>
          <w:bCs/>
          <w:color w:val="auto"/>
          <w:kern w:val="2"/>
          <w:sz w:val="24"/>
          <w:szCs w:val="24"/>
          <w:highlight w:val="none"/>
          <w:lang w:val="en-US" w:eastAsia="zh-CN" w:bidi="ar-SA"/>
        </w:rPr>
        <w:t>；</w:t>
      </w:r>
    </w:p>
    <w:p w14:paraId="5724B6B0">
      <w:pPr>
        <w:keepNext w:val="0"/>
        <w:keepLines w:val="0"/>
        <w:pageBreakBefore w:val="0"/>
        <w:widowControl w:val="0"/>
        <w:shd w:val="clear"/>
        <w:kinsoku/>
        <w:wordWrap/>
        <w:overflowPunct/>
        <w:topLinePunct w:val="0"/>
        <w:autoSpaceDE/>
        <w:autoSpaceDN/>
        <w:bidi w:val="0"/>
        <w:adjustRightInd w:val="0"/>
        <w:snapToGrid w:val="0"/>
        <w:spacing w:line="480" w:lineRule="exact"/>
        <w:ind w:firstLine="720" w:firstLineChars="300"/>
        <w:jc w:val="both"/>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h——裂口之上液位高度，1m。</w:t>
      </w:r>
    </w:p>
    <w:p w14:paraId="755D6E8F">
      <w:pPr>
        <w:keepNext w:val="0"/>
        <w:keepLines w:val="0"/>
        <w:pageBreakBefore w:val="0"/>
        <w:widowControl w:val="0"/>
        <w:shd w:val="clear"/>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经计算，甲醇加药装置泄漏液体泄漏速度为</w:t>
      </w:r>
      <w:r>
        <w:rPr>
          <w:rFonts w:hint="eastAsia" w:ascii="Times New Roman" w:hAnsi="Times New Roman" w:eastAsia="宋体" w:cs="Times New Roman"/>
          <w:bCs/>
          <w:color w:val="auto"/>
          <w:kern w:val="2"/>
          <w:sz w:val="24"/>
          <w:szCs w:val="24"/>
          <w:highlight w:val="none"/>
          <w:lang w:val="en-US" w:eastAsia="zh-CN" w:bidi="ar-SA"/>
        </w:rPr>
        <w:t>1.95</w:t>
      </w:r>
      <w:r>
        <w:rPr>
          <w:rFonts w:hint="default" w:ascii="Times New Roman" w:hAnsi="Times New Roman" w:eastAsia="宋体" w:cs="Times New Roman"/>
          <w:bCs/>
          <w:color w:val="auto"/>
          <w:kern w:val="2"/>
          <w:sz w:val="24"/>
          <w:szCs w:val="24"/>
          <w:highlight w:val="none"/>
          <w:lang w:val="en-US" w:eastAsia="zh-CN" w:bidi="ar-SA"/>
        </w:rPr>
        <w:t>kg/s，本次评价考虑甲醇加药装置泄漏，1h泄漏量为</w:t>
      </w:r>
      <w:r>
        <w:rPr>
          <w:rFonts w:hint="eastAsia" w:ascii="Times New Roman" w:hAnsi="Times New Roman" w:eastAsia="宋体" w:cs="Times New Roman"/>
          <w:bCs/>
          <w:color w:val="auto"/>
          <w:kern w:val="2"/>
          <w:sz w:val="24"/>
          <w:szCs w:val="24"/>
          <w:highlight w:val="none"/>
          <w:lang w:val="en-US" w:eastAsia="zh-CN" w:bidi="ar-SA"/>
        </w:rPr>
        <w:t>7.02</w:t>
      </w:r>
      <w:r>
        <w:rPr>
          <w:rFonts w:hint="default" w:ascii="Times New Roman" w:hAnsi="Times New Roman" w:eastAsia="宋体" w:cs="Times New Roman"/>
          <w:bCs/>
          <w:color w:val="auto"/>
          <w:kern w:val="2"/>
          <w:sz w:val="24"/>
          <w:szCs w:val="24"/>
          <w:highlight w:val="none"/>
          <w:lang w:val="en-US" w:eastAsia="zh-CN" w:bidi="ar-SA"/>
        </w:rPr>
        <w:t>t。</w:t>
      </w:r>
    </w:p>
    <w:p w14:paraId="7824C343">
      <w:pPr>
        <w:keepNext w:val="0"/>
        <w:keepLines w:val="0"/>
        <w:pageBreakBefore w:val="0"/>
        <w:widowControl w:val="0"/>
        <w:shd w:val="clear"/>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泄漏液体的蒸发分为闪蒸蒸发、热量蒸发和质量蒸发三种，其蒸发总量为这三种蒸发之和。由于甲醇常压下沸点为64.7℃、蒸气压12.26kPa(20℃)，而拟建工程甲醇储存温度和环境温度均不高于60℃，当液体泄漏时不发生闪蒸和热量蒸发，因此本次环境风险仅考虑质量蒸发量。本次评价考虑甲醇泄漏后在地面形成液池，地面液池在4h内全部清理完毕。</w:t>
      </w:r>
    </w:p>
    <w:p w14:paraId="7FA09A7E">
      <w:pPr>
        <w:keepNext w:val="0"/>
        <w:keepLines w:val="0"/>
        <w:pageBreakBefore w:val="0"/>
        <w:widowControl w:val="0"/>
        <w:shd w:val="clear"/>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采用以下公式计算甲醇的挥发量：</w:t>
      </w:r>
    </w:p>
    <w:p w14:paraId="54A8164A">
      <w:pPr>
        <w:widowControl w:val="0"/>
        <w:shd w:val="clear"/>
        <w:bidi w:val="0"/>
        <w:adjustRightInd w:val="0"/>
        <w:snapToGrid w:val="0"/>
        <w:spacing w:line="360" w:lineRule="auto"/>
        <w:ind w:firstLine="420" w:firstLineChars="200"/>
        <w:jc w:val="center"/>
        <w:rPr>
          <w:rFonts w:hint="default" w:ascii="Times New Roman" w:hAnsi="Times New Roman" w:eastAsia="宋体" w:cs="Times New Roman"/>
          <w:bCs/>
          <w:color w:val="auto"/>
          <w:kern w:val="2"/>
          <w:sz w:val="21"/>
          <w:szCs w:val="25"/>
          <w:highlight w:val="none"/>
          <w:lang w:val="en-US" w:eastAsia="zh-CN" w:bidi="ar-SA"/>
        </w:rPr>
      </w:pPr>
      <w:r>
        <w:rPr>
          <w:rFonts w:hint="default" w:ascii="Times New Roman" w:hAnsi="Times New Roman" w:eastAsia="宋体" w:cs="Times New Roman"/>
          <w:bCs/>
          <w:color w:val="auto"/>
          <w:kern w:val="2"/>
          <w:sz w:val="21"/>
          <w:szCs w:val="25"/>
          <w:highlight w:val="none"/>
          <w:lang w:val="en-US" w:eastAsia="zh-CN" w:bidi="ar-SA"/>
        </w:rPr>
        <w:drawing>
          <wp:inline distT="0" distB="0" distL="114300" distR="114300">
            <wp:extent cx="3328035" cy="247015"/>
            <wp:effectExtent l="0" t="0" r="5715" b="635"/>
            <wp:docPr id="1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7"/>
                    <pic:cNvPicPr>
                      <a:picLocks noChangeAspect="1"/>
                    </pic:cNvPicPr>
                  </pic:nvPicPr>
                  <pic:blipFill>
                    <a:blip r:embed="rId58"/>
                    <a:srcRect l="7565" t="16344"/>
                    <a:stretch>
                      <a:fillRect/>
                    </a:stretch>
                  </pic:blipFill>
                  <pic:spPr>
                    <a:xfrm>
                      <a:off x="0" y="0"/>
                      <a:ext cx="3328035" cy="247015"/>
                    </a:xfrm>
                    <a:prstGeom prst="rect">
                      <a:avLst/>
                    </a:prstGeom>
                    <a:noFill/>
                    <a:ln>
                      <a:noFill/>
                    </a:ln>
                  </pic:spPr>
                </pic:pic>
              </a:graphicData>
            </a:graphic>
          </wp:inline>
        </w:drawing>
      </w:r>
    </w:p>
    <w:p w14:paraId="55F22D90">
      <w:pPr>
        <w:keepNext w:val="0"/>
        <w:keepLines w:val="0"/>
        <w:pageBreakBefore w:val="0"/>
        <w:widowControl w:val="0"/>
        <w:shd w:val="clear"/>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式中：Q</w:t>
      </w:r>
      <w:r>
        <w:rPr>
          <w:rFonts w:hint="default" w:ascii="Times New Roman" w:hAnsi="Times New Roman" w:eastAsia="宋体" w:cs="Times New Roman"/>
          <w:bCs/>
          <w:color w:val="auto"/>
          <w:kern w:val="2"/>
          <w:sz w:val="24"/>
          <w:szCs w:val="24"/>
          <w:highlight w:val="none"/>
          <w:vertAlign w:val="subscript"/>
          <w:lang w:val="en-US" w:eastAsia="zh-CN" w:bidi="ar-SA"/>
        </w:rPr>
        <w:t>3</w:t>
      </w:r>
      <w:r>
        <w:rPr>
          <w:rFonts w:hint="default" w:ascii="Times New Roman" w:hAnsi="Times New Roman" w:eastAsia="宋体" w:cs="Times New Roman"/>
          <w:bCs/>
          <w:color w:val="auto"/>
          <w:kern w:val="2"/>
          <w:sz w:val="24"/>
          <w:szCs w:val="24"/>
          <w:highlight w:val="none"/>
          <w:lang w:val="en-US" w:eastAsia="zh-CN" w:bidi="ar-SA"/>
        </w:rPr>
        <w:t>——质量蒸发速度，kg/s；</w:t>
      </w:r>
    </w:p>
    <w:p w14:paraId="4845E35A">
      <w:pPr>
        <w:keepNext w:val="0"/>
        <w:keepLines w:val="0"/>
        <w:pageBreakBefore w:val="0"/>
        <w:widowControl w:val="0"/>
        <w:shd w:val="clear"/>
        <w:kinsoku/>
        <w:wordWrap/>
        <w:overflowPunct/>
        <w:topLinePunct w:val="0"/>
        <w:autoSpaceDE/>
        <w:autoSpaceDN/>
        <w:bidi w:val="0"/>
        <w:adjustRightInd w:val="0"/>
        <w:snapToGrid w:val="0"/>
        <w:spacing w:line="480" w:lineRule="exact"/>
        <w:ind w:firstLine="720" w:firstLineChars="300"/>
        <w:jc w:val="both"/>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a，n——大气稳定度系数</w:t>
      </w:r>
      <w:r>
        <w:rPr>
          <w:rFonts w:hint="eastAsia" w:cs="Times New Roman"/>
          <w:bCs/>
          <w:color w:val="auto"/>
          <w:kern w:val="2"/>
          <w:sz w:val="24"/>
          <w:szCs w:val="24"/>
          <w:highlight w:val="none"/>
          <w:lang w:val="en-US" w:eastAsia="zh-CN" w:bidi="ar-SA"/>
        </w:rPr>
        <w:t>（</w:t>
      </w:r>
      <w:r>
        <w:rPr>
          <w:rFonts w:hint="default" w:ascii="Times New Roman" w:hAnsi="Times New Roman" w:eastAsia="宋体" w:cs="Times New Roman"/>
          <w:bCs/>
          <w:color w:val="auto"/>
          <w:kern w:val="2"/>
          <w:sz w:val="24"/>
          <w:szCs w:val="24"/>
          <w:highlight w:val="none"/>
          <w:lang w:val="en-US" w:eastAsia="zh-CN" w:bidi="ar-SA"/>
        </w:rPr>
        <w:t>二级评价，选择F类稳定度，n=0.3，a=5.285×10</w:t>
      </w:r>
      <w:r>
        <w:rPr>
          <w:rFonts w:hint="default" w:ascii="Times New Roman" w:hAnsi="Times New Roman" w:eastAsia="宋体" w:cs="Times New Roman"/>
          <w:bCs/>
          <w:color w:val="auto"/>
          <w:kern w:val="2"/>
          <w:sz w:val="24"/>
          <w:szCs w:val="24"/>
          <w:highlight w:val="none"/>
          <w:vertAlign w:val="superscript"/>
          <w:lang w:val="en-US" w:eastAsia="zh-CN" w:bidi="ar-SA"/>
        </w:rPr>
        <w:t>-3</w:t>
      </w:r>
      <w:r>
        <w:rPr>
          <w:rFonts w:hint="default" w:ascii="Times New Roman" w:hAnsi="Times New Roman" w:eastAsia="宋体" w:cs="Times New Roman"/>
          <w:bCs/>
          <w:color w:val="auto"/>
          <w:kern w:val="2"/>
          <w:sz w:val="24"/>
          <w:szCs w:val="24"/>
          <w:highlight w:val="none"/>
          <w:lang w:val="en-US" w:eastAsia="zh-CN" w:bidi="ar-SA"/>
        </w:rPr>
        <w:t>)；</w:t>
      </w:r>
    </w:p>
    <w:p w14:paraId="7B8F80AE">
      <w:pPr>
        <w:keepNext w:val="0"/>
        <w:keepLines w:val="0"/>
        <w:pageBreakBefore w:val="0"/>
        <w:widowControl w:val="0"/>
        <w:shd w:val="clear"/>
        <w:kinsoku/>
        <w:wordWrap/>
        <w:overflowPunct/>
        <w:topLinePunct w:val="0"/>
        <w:autoSpaceDE/>
        <w:autoSpaceDN/>
        <w:bidi w:val="0"/>
        <w:adjustRightInd w:val="0"/>
        <w:snapToGrid w:val="0"/>
        <w:spacing w:line="480" w:lineRule="exact"/>
        <w:ind w:firstLine="720" w:firstLineChars="300"/>
        <w:jc w:val="both"/>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p——液体表面蒸气压，Pa（甲醇20℃时为16820Pa</w:t>
      </w:r>
      <w:r>
        <w:rPr>
          <w:rFonts w:hint="eastAsia" w:cs="Times New Roman"/>
          <w:bCs/>
          <w:color w:val="auto"/>
          <w:kern w:val="2"/>
          <w:sz w:val="24"/>
          <w:szCs w:val="24"/>
          <w:highlight w:val="none"/>
          <w:lang w:val="en-US" w:eastAsia="zh-CN" w:bidi="ar-SA"/>
        </w:rPr>
        <w:t>）</w:t>
      </w:r>
      <w:r>
        <w:rPr>
          <w:rFonts w:hint="default" w:ascii="Times New Roman" w:hAnsi="Times New Roman" w:eastAsia="宋体" w:cs="Times New Roman"/>
          <w:bCs/>
          <w:color w:val="auto"/>
          <w:kern w:val="2"/>
          <w:sz w:val="24"/>
          <w:szCs w:val="24"/>
          <w:highlight w:val="none"/>
          <w:lang w:val="en-US" w:eastAsia="zh-CN" w:bidi="ar-SA"/>
        </w:rPr>
        <w:t>；</w:t>
      </w:r>
    </w:p>
    <w:p w14:paraId="7934EC0C">
      <w:pPr>
        <w:keepNext w:val="0"/>
        <w:keepLines w:val="0"/>
        <w:pageBreakBefore w:val="0"/>
        <w:widowControl w:val="0"/>
        <w:shd w:val="clear"/>
        <w:kinsoku/>
        <w:wordWrap/>
        <w:overflowPunct/>
        <w:topLinePunct w:val="0"/>
        <w:autoSpaceDE/>
        <w:autoSpaceDN/>
        <w:bidi w:val="0"/>
        <w:adjustRightInd w:val="0"/>
        <w:snapToGrid w:val="0"/>
        <w:spacing w:line="480" w:lineRule="exact"/>
        <w:ind w:firstLine="720" w:firstLineChars="300"/>
        <w:jc w:val="both"/>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R——气体常数，J/mol.K；（取值为8.31</w:t>
      </w:r>
      <w:r>
        <w:rPr>
          <w:rFonts w:hint="eastAsia" w:cs="Times New Roman"/>
          <w:bCs/>
          <w:color w:val="auto"/>
          <w:kern w:val="2"/>
          <w:sz w:val="24"/>
          <w:szCs w:val="24"/>
          <w:highlight w:val="none"/>
          <w:lang w:val="en-US" w:eastAsia="zh-CN" w:bidi="ar-SA"/>
        </w:rPr>
        <w:t>）</w:t>
      </w:r>
    </w:p>
    <w:p w14:paraId="77C2755D">
      <w:pPr>
        <w:keepNext w:val="0"/>
        <w:keepLines w:val="0"/>
        <w:pageBreakBefore w:val="0"/>
        <w:widowControl w:val="0"/>
        <w:shd w:val="clear"/>
        <w:kinsoku/>
        <w:wordWrap/>
        <w:overflowPunct/>
        <w:topLinePunct w:val="0"/>
        <w:autoSpaceDE/>
        <w:autoSpaceDN/>
        <w:bidi w:val="0"/>
        <w:adjustRightInd w:val="0"/>
        <w:snapToGrid w:val="0"/>
        <w:spacing w:line="480" w:lineRule="exact"/>
        <w:ind w:firstLine="720" w:firstLineChars="300"/>
        <w:jc w:val="both"/>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T</w:t>
      </w:r>
      <w:r>
        <w:rPr>
          <w:rFonts w:hint="default" w:ascii="Times New Roman" w:hAnsi="Times New Roman" w:eastAsia="宋体" w:cs="Times New Roman"/>
          <w:bCs/>
          <w:color w:val="auto"/>
          <w:kern w:val="2"/>
          <w:sz w:val="24"/>
          <w:szCs w:val="24"/>
          <w:highlight w:val="none"/>
          <w:vertAlign w:val="subscript"/>
          <w:lang w:val="en-US" w:eastAsia="zh-CN" w:bidi="ar-SA"/>
        </w:rPr>
        <w:t>0</w:t>
      </w:r>
      <w:r>
        <w:rPr>
          <w:rFonts w:hint="default" w:ascii="Times New Roman" w:hAnsi="Times New Roman" w:eastAsia="宋体" w:cs="Times New Roman"/>
          <w:bCs/>
          <w:color w:val="auto"/>
          <w:kern w:val="2"/>
          <w:sz w:val="24"/>
          <w:szCs w:val="24"/>
          <w:highlight w:val="none"/>
          <w:lang w:val="en-US" w:eastAsia="zh-CN" w:bidi="ar-SA"/>
        </w:rPr>
        <w:t>——环境温度，K；（按298.15K计算）</w:t>
      </w:r>
    </w:p>
    <w:p w14:paraId="305F5605">
      <w:pPr>
        <w:keepNext w:val="0"/>
        <w:keepLines w:val="0"/>
        <w:pageBreakBefore w:val="0"/>
        <w:widowControl w:val="0"/>
        <w:shd w:val="clear"/>
        <w:kinsoku/>
        <w:wordWrap/>
        <w:overflowPunct/>
        <w:topLinePunct w:val="0"/>
        <w:autoSpaceDE/>
        <w:autoSpaceDN/>
        <w:bidi w:val="0"/>
        <w:adjustRightInd w:val="0"/>
        <w:snapToGrid w:val="0"/>
        <w:spacing w:line="480" w:lineRule="exact"/>
        <w:ind w:firstLine="720" w:firstLineChars="300"/>
        <w:jc w:val="both"/>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r——液池半径，m；（估算液池面积</w:t>
      </w:r>
      <w:r>
        <w:rPr>
          <w:rFonts w:hint="eastAsia" w:ascii="Times New Roman" w:hAnsi="Times New Roman" w:eastAsia="宋体" w:cs="Times New Roman"/>
          <w:bCs/>
          <w:color w:val="auto"/>
          <w:kern w:val="2"/>
          <w:sz w:val="24"/>
          <w:szCs w:val="24"/>
          <w:highlight w:val="none"/>
          <w:lang w:val="en-US" w:eastAsia="zh-CN" w:bidi="ar-SA"/>
        </w:rPr>
        <w:t>3</w:t>
      </w:r>
      <w:r>
        <w:rPr>
          <w:rFonts w:hint="default" w:ascii="Times New Roman" w:hAnsi="Times New Roman" w:eastAsia="宋体" w:cs="Times New Roman"/>
          <w:bCs/>
          <w:color w:val="auto"/>
          <w:kern w:val="2"/>
          <w:sz w:val="24"/>
          <w:szCs w:val="24"/>
          <w:highlight w:val="none"/>
          <w:lang w:val="en-US" w:eastAsia="zh-CN" w:bidi="ar-SA"/>
        </w:rPr>
        <w:t>m</w:t>
      </w:r>
      <w:r>
        <w:rPr>
          <w:rFonts w:hint="default" w:ascii="Times New Roman" w:hAnsi="Times New Roman" w:eastAsia="宋体" w:cs="Times New Roman"/>
          <w:bCs/>
          <w:color w:val="auto"/>
          <w:kern w:val="2"/>
          <w:sz w:val="24"/>
          <w:szCs w:val="24"/>
          <w:highlight w:val="none"/>
          <w:vertAlign w:val="superscript"/>
          <w:lang w:val="en-US" w:eastAsia="zh-CN" w:bidi="ar-SA"/>
        </w:rPr>
        <w:t>2</w:t>
      </w:r>
      <w:r>
        <w:rPr>
          <w:rFonts w:hint="default" w:ascii="Times New Roman" w:hAnsi="Times New Roman" w:eastAsia="宋体" w:cs="Times New Roman"/>
          <w:bCs/>
          <w:color w:val="auto"/>
          <w:kern w:val="2"/>
          <w:sz w:val="24"/>
          <w:szCs w:val="24"/>
          <w:highlight w:val="none"/>
          <w:lang w:val="en-US" w:eastAsia="zh-CN" w:bidi="ar-SA"/>
        </w:rPr>
        <w:t>，折合液池等效半径</w:t>
      </w:r>
      <w:r>
        <w:rPr>
          <w:rFonts w:hint="eastAsia" w:ascii="Times New Roman" w:hAnsi="Times New Roman" w:eastAsia="宋体" w:cs="Times New Roman"/>
          <w:bCs/>
          <w:color w:val="auto"/>
          <w:kern w:val="2"/>
          <w:sz w:val="24"/>
          <w:szCs w:val="24"/>
          <w:highlight w:val="none"/>
          <w:lang w:val="en-US" w:eastAsia="zh-CN" w:bidi="ar-SA"/>
        </w:rPr>
        <w:t>0.98</w:t>
      </w:r>
      <w:r>
        <w:rPr>
          <w:rFonts w:hint="default" w:ascii="Times New Roman" w:hAnsi="Times New Roman" w:eastAsia="宋体" w:cs="Times New Roman"/>
          <w:bCs/>
          <w:color w:val="auto"/>
          <w:kern w:val="2"/>
          <w:sz w:val="24"/>
          <w:szCs w:val="24"/>
          <w:highlight w:val="none"/>
          <w:lang w:val="en-US" w:eastAsia="zh-CN" w:bidi="ar-SA"/>
        </w:rPr>
        <w:t>m</w:t>
      </w:r>
      <w:r>
        <w:rPr>
          <w:rFonts w:hint="eastAsia" w:cs="Times New Roman"/>
          <w:bCs/>
          <w:color w:val="auto"/>
          <w:kern w:val="2"/>
          <w:sz w:val="24"/>
          <w:szCs w:val="24"/>
          <w:highlight w:val="none"/>
          <w:lang w:val="en-US" w:eastAsia="zh-CN" w:bidi="ar-SA"/>
        </w:rPr>
        <w:t>）</w:t>
      </w:r>
    </w:p>
    <w:p w14:paraId="096FE0B8">
      <w:pPr>
        <w:keepNext w:val="0"/>
        <w:keepLines w:val="0"/>
        <w:pageBreakBefore w:val="0"/>
        <w:widowControl w:val="0"/>
        <w:shd w:val="clear"/>
        <w:kinsoku/>
        <w:wordWrap/>
        <w:overflowPunct/>
        <w:topLinePunct w:val="0"/>
        <w:autoSpaceDE/>
        <w:autoSpaceDN/>
        <w:bidi w:val="0"/>
        <w:adjustRightInd w:val="0"/>
        <w:snapToGrid w:val="0"/>
        <w:spacing w:line="480" w:lineRule="exact"/>
        <w:ind w:firstLine="720" w:firstLineChars="300"/>
        <w:jc w:val="both"/>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u——风速，m/s（取1.5m/s</w:t>
      </w:r>
      <w:r>
        <w:rPr>
          <w:rFonts w:hint="eastAsia" w:cs="Times New Roman"/>
          <w:bCs/>
          <w:color w:val="auto"/>
          <w:kern w:val="2"/>
          <w:sz w:val="24"/>
          <w:szCs w:val="24"/>
          <w:highlight w:val="none"/>
          <w:lang w:val="en-US" w:eastAsia="zh-CN" w:bidi="ar-SA"/>
        </w:rPr>
        <w:t>）</w:t>
      </w:r>
      <w:r>
        <w:rPr>
          <w:rFonts w:hint="default" w:ascii="Times New Roman" w:hAnsi="Times New Roman" w:eastAsia="宋体" w:cs="Times New Roman"/>
          <w:bCs/>
          <w:color w:val="auto"/>
          <w:kern w:val="2"/>
          <w:sz w:val="24"/>
          <w:szCs w:val="24"/>
          <w:highlight w:val="none"/>
          <w:lang w:val="en-US" w:eastAsia="zh-CN" w:bidi="ar-SA"/>
        </w:rPr>
        <w:t>；</w:t>
      </w:r>
    </w:p>
    <w:p w14:paraId="79BF43AB">
      <w:pPr>
        <w:keepNext w:val="0"/>
        <w:keepLines w:val="0"/>
        <w:pageBreakBefore w:val="0"/>
        <w:widowControl w:val="0"/>
        <w:shd w:val="clear"/>
        <w:kinsoku/>
        <w:wordWrap/>
        <w:overflowPunct/>
        <w:topLinePunct w:val="0"/>
        <w:autoSpaceDE/>
        <w:autoSpaceDN/>
        <w:bidi w:val="0"/>
        <w:adjustRightInd w:val="0"/>
        <w:snapToGrid w:val="0"/>
        <w:spacing w:line="480" w:lineRule="exact"/>
        <w:ind w:firstLine="720" w:firstLineChars="300"/>
        <w:jc w:val="both"/>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M——摩尔质量，kg/mol（甲醇为0.032kg/mol</w:t>
      </w:r>
      <w:r>
        <w:rPr>
          <w:rFonts w:hint="eastAsia" w:cs="Times New Roman"/>
          <w:bCs/>
          <w:color w:val="auto"/>
          <w:kern w:val="2"/>
          <w:sz w:val="24"/>
          <w:szCs w:val="24"/>
          <w:highlight w:val="none"/>
          <w:lang w:val="en-US" w:eastAsia="zh-CN" w:bidi="ar-SA"/>
        </w:rPr>
        <w:t>）</w:t>
      </w:r>
      <w:r>
        <w:rPr>
          <w:rFonts w:hint="default" w:ascii="Times New Roman" w:hAnsi="Times New Roman" w:eastAsia="宋体" w:cs="Times New Roman"/>
          <w:bCs/>
          <w:color w:val="auto"/>
          <w:kern w:val="2"/>
          <w:sz w:val="24"/>
          <w:szCs w:val="24"/>
          <w:highlight w:val="none"/>
          <w:lang w:val="en-US" w:eastAsia="zh-CN" w:bidi="ar-SA"/>
        </w:rPr>
        <w:t>。</w:t>
      </w:r>
    </w:p>
    <w:p w14:paraId="6B8B2A1D">
      <w:pPr>
        <w:keepNext w:val="0"/>
        <w:keepLines w:val="0"/>
        <w:pageBreakBefore w:val="0"/>
        <w:widowControl w:val="0"/>
        <w:shd w:val="clear"/>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根据以上公式计算出甲醇挥发量为</w:t>
      </w:r>
      <w:r>
        <w:rPr>
          <w:rFonts w:hint="eastAsia" w:ascii="Times New Roman" w:hAnsi="Times New Roman" w:eastAsia="宋体" w:cs="Times New Roman"/>
          <w:bCs/>
          <w:color w:val="auto"/>
          <w:kern w:val="2"/>
          <w:sz w:val="24"/>
          <w:szCs w:val="24"/>
          <w:highlight w:val="none"/>
          <w:lang w:val="en-US" w:eastAsia="zh-CN" w:bidi="ar-SA"/>
        </w:rPr>
        <w:t>0.11</w:t>
      </w:r>
      <w:r>
        <w:rPr>
          <w:rFonts w:hint="default" w:ascii="Times New Roman" w:hAnsi="Times New Roman" w:eastAsia="宋体" w:cs="Times New Roman"/>
          <w:bCs/>
          <w:color w:val="auto"/>
          <w:kern w:val="2"/>
          <w:sz w:val="24"/>
          <w:szCs w:val="24"/>
          <w:highlight w:val="none"/>
          <w:lang w:val="en-US" w:eastAsia="zh-CN" w:bidi="ar-SA"/>
        </w:rPr>
        <w:t>kg/s。综上所述，甲醇加药装置泄漏风险源源强见表</w:t>
      </w:r>
      <w:r>
        <w:rPr>
          <w:rFonts w:hint="eastAsia" w:cs="Times New Roman"/>
          <w:bCs/>
          <w:color w:val="auto"/>
          <w:kern w:val="2"/>
          <w:sz w:val="24"/>
          <w:szCs w:val="24"/>
          <w:highlight w:val="none"/>
          <w:lang w:val="en-US" w:eastAsia="zh-CN" w:bidi="ar-SA"/>
        </w:rPr>
        <w:t>5.7</w:t>
      </w:r>
      <w:r>
        <w:rPr>
          <w:rFonts w:hint="default" w:ascii="Times New Roman" w:hAnsi="Times New Roman" w:eastAsia="宋体" w:cs="Times New Roman"/>
          <w:bCs/>
          <w:color w:val="auto"/>
          <w:kern w:val="2"/>
          <w:sz w:val="24"/>
          <w:szCs w:val="24"/>
          <w:highlight w:val="none"/>
          <w:lang w:val="en-US" w:eastAsia="zh-CN" w:bidi="ar-SA"/>
        </w:rPr>
        <w:t>-</w:t>
      </w:r>
      <w:r>
        <w:rPr>
          <w:rFonts w:hint="eastAsia" w:cs="Times New Roman"/>
          <w:bCs/>
          <w:color w:val="auto"/>
          <w:kern w:val="2"/>
          <w:sz w:val="24"/>
          <w:szCs w:val="24"/>
          <w:highlight w:val="none"/>
          <w:lang w:val="en-US" w:eastAsia="zh-CN" w:bidi="ar-SA"/>
        </w:rPr>
        <w:t>8</w:t>
      </w:r>
      <w:r>
        <w:rPr>
          <w:rFonts w:hint="default" w:ascii="Times New Roman" w:hAnsi="Times New Roman" w:eastAsia="宋体" w:cs="Times New Roman"/>
          <w:bCs/>
          <w:color w:val="auto"/>
          <w:kern w:val="2"/>
          <w:sz w:val="24"/>
          <w:szCs w:val="24"/>
          <w:highlight w:val="none"/>
          <w:lang w:val="en-US" w:eastAsia="zh-CN" w:bidi="ar-SA"/>
        </w:rPr>
        <w:t>。</w:t>
      </w:r>
    </w:p>
    <w:p w14:paraId="4F78E781">
      <w:pPr>
        <w:pStyle w:val="61"/>
        <w:bidi w:val="0"/>
        <w:jc w:val="both"/>
        <w:rPr>
          <w:rFonts w:hint="default"/>
          <w:color w:val="auto"/>
          <w:lang w:val="en-US" w:eastAsia="zh-CN"/>
        </w:rPr>
      </w:pPr>
      <w:r>
        <w:rPr>
          <w:rFonts w:hint="default"/>
          <w:color w:val="auto"/>
          <w:lang w:val="en-US" w:eastAsia="zh-CN"/>
        </w:rPr>
        <w:t xml:space="preserve">表 </w:t>
      </w:r>
      <w:r>
        <w:rPr>
          <w:rFonts w:hint="eastAsia"/>
          <w:color w:val="auto"/>
          <w:lang w:val="en-US" w:eastAsia="zh-CN"/>
        </w:rPr>
        <w:t>5.7</w:t>
      </w:r>
      <w:r>
        <w:rPr>
          <w:rFonts w:hint="default"/>
          <w:color w:val="auto"/>
          <w:lang w:val="en-US" w:eastAsia="zh-CN"/>
        </w:rPr>
        <w:t>-</w:t>
      </w:r>
      <w:r>
        <w:rPr>
          <w:rFonts w:hint="eastAsia"/>
          <w:color w:val="auto"/>
          <w:lang w:val="en-US" w:eastAsia="zh-CN"/>
        </w:rPr>
        <w:t xml:space="preserve">8 </w:t>
      </w:r>
      <w:r>
        <w:rPr>
          <w:rFonts w:hint="default"/>
          <w:color w:val="auto"/>
          <w:lang w:val="en-US" w:eastAsia="zh-CN"/>
        </w:rPr>
        <w:t xml:space="preserve">  甲醇加药装置泄漏环境风险源强一览表</w:t>
      </w:r>
    </w:p>
    <w:tbl>
      <w:tblPr>
        <w:tblStyle w:val="37"/>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26"/>
        <w:gridCol w:w="1289"/>
        <w:gridCol w:w="1018"/>
        <w:gridCol w:w="794"/>
        <w:gridCol w:w="794"/>
        <w:gridCol w:w="971"/>
        <w:gridCol w:w="972"/>
        <w:gridCol w:w="1274"/>
        <w:gridCol w:w="1291"/>
      </w:tblGrid>
      <w:tr w14:paraId="4842CE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30" w:type="pct"/>
            <w:tcBorders>
              <w:tl2br w:val="nil"/>
              <w:tr2bl w:val="nil"/>
            </w:tcBorders>
            <w:noWrap w:val="0"/>
            <w:vAlign w:val="center"/>
          </w:tcPr>
          <w:p w14:paraId="53E5B36E">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vertAlign w:val="baseli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序号</w:t>
            </w:r>
          </w:p>
        </w:tc>
        <w:tc>
          <w:tcPr>
            <w:tcW w:w="731" w:type="pct"/>
            <w:tcBorders>
              <w:tl2br w:val="nil"/>
              <w:tr2bl w:val="nil"/>
            </w:tcBorders>
            <w:noWrap w:val="0"/>
            <w:vAlign w:val="center"/>
          </w:tcPr>
          <w:p w14:paraId="2AD6D3CF">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vertAlign w:val="baseli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风险事故情形描述</w:t>
            </w:r>
          </w:p>
        </w:tc>
        <w:tc>
          <w:tcPr>
            <w:tcW w:w="578" w:type="pct"/>
            <w:tcBorders>
              <w:tl2br w:val="nil"/>
              <w:tr2bl w:val="nil"/>
            </w:tcBorders>
            <w:noWrap w:val="0"/>
            <w:vAlign w:val="center"/>
          </w:tcPr>
          <w:p w14:paraId="3FDBBF34">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vertAlign w:val="baseli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危险单元</w:t>
            </w:r>
          </w:p>
        </w:tc>
        <w:tc>
          <w:tcPr>
            <w:tcW w:w="451" w:type="pct"/>
            <w:tcBorders>
              <w:tl2br w:val="nil"/>
              <w:tr2bl w:val="nil"/>
            </w:tcBorders>
            <w:noWrap w:val="0"/>
            <w:vAlign w:val="center"/>
          </w:tcPr>
          <w:p w14:paraId="623856D3">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vertAlign w:val="baseli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危险物质</w:t>
            </w:r>
          </w:p>
        </w:tc>
        <w:tc>
          <w:tcPr>
            <w:tcW w:w="451" w:type="pct"/>
            <w:tcBorders>
              <w:tl2br w:val="nil"/>
              <w:tr2bl w:val="nil"/>
            </w:tcBorders>
            <w:noWrap w:val="0"/>
            <w:vAlign w:val="center"/>
          </w:tcPr>
          <w:p w14:paraId="373DAF9B">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vertAlign w:val="baseli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影响途径</w:t>
            </w:r>
          </w:p>
        </w:tc>
        <w:tc>
          <w:tcPr>
            <w:tcW w:w="551" w:type="pct"/>
            <w:tcBorders>
              <w:tl2br w:val="nil"/>
              <w:tr2bl w:val="nil"/>
            </w:tcBorders>
            <w:noWrap w:val="0"/>
            <w:vAlign w:val="center"/>
          </w:tcPr>
          <w:p w14:paraId="7923CDDE">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vertAlign w:val="baseli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泄漏速率kg/s</w:t>
            </w:r>
          </w:p>
        </w:tc>
        <w:tc>
          <w:tcPr>
            <w:tcW w:w="551" w:type="pct"/>
            <w:tcBorders>
              <w:tl2br w:val="nil"/>
              <w:tr2bl w:val="nil"/>
            </w:tcBorders>
            <w:noWrap w:val="0"/>
            <w:vAlign w:val="center"/>
          </w:tcPr>
          <w:p w14:paraId="4B6A0684">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vertAlign w:val="baseline"/>
                <w:lang w:val="en-US" w:eastAsia="zh-CN" w:bidi="ar-SA"/>
              </w:rPr>
            </w:pPr>
            <w:r>
              <w:rPr>
                <w:rFonts w:hint="eastAsia" w:cs="Times New Roman"/>
                <w:bCs/>
                <w:color w:val="auto"/>
                <w:kern w:val="2"/>
                <w:sz w:val="21"/>
                <w:szCs w:val="21"/>
                <w:highlight w:val="none"/>
                <w:lang w:val="en-US" w:eastAsia="zh-CN" w:bidi="ar-SA"/>
              </w:rPr>
              <w:t>泄漏</w:t>
            </w:r>
            <w:r>
              <w:rPr>
                <w:rFonts w:hint="default" w:ascii="Times New Roman" w:hAnsi="Times New Roman" w:eastAsia="宋体" w:cs="Times New Roman"/>
                <w:bCs/>
                <w:color w:val="auto"/>
                <w:kern w:val="2"/>
                <w:sz w:val="21"/>
                <w:szCs w:val="21"/>
                <w:highlight w:val="none"/>
                <w:lang w:val="en-US" w:eastAsia="zh-CN" w:bidi="ar-SA"/>
              </w:rPr>
              <w:t>时间/min</w:t>
            </w:r>
          </w:p>
        </w:tc>
        <w:tc>
          <w:tcPr>
            <w:tcW w:w="722" w:type="pct"/>
            <w:tcBorders>
              <w:tl2br w:val="nil"/>
              <w:tr2bl w:val="nil"/>
            </w:tcBorders>
            <w:noWrap w:val="0"/>
            <w:vAlign w:val="center"/>
          </w:tcPr>
          <w:p w14:paraId="45511415">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vertAlign w:val="baseli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最大泄漏量/kg</w:t>
            </w:r>
          </w:p>
        </w:tc>
        <w:tc>
          <w:tcPr>
            <w:tcW w:w="732" w:type="pct"/>
            <w:tcBorders>
              <w:tl2br w:val="nil"/>
              <w:tr2bl w:val="nil"/>
            </w:tcBorders>
            <w:noWrap w:val="0"/>
            <w:vAlign w:val="center"/>
          </w:tcPr>
          <w:p w14:paraId="2F2EAF4D">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vertAlign w:val="baseli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泄漏液体蒸发量/kg</w:t>
            </w:r>
          </w:p>
        </w:tc>
      </w:tr>
      <w:tr w14:paraId="691229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30" w:type="pct"/>
            <w:tcBorders>
              <w:tl2br w:val="nil"/>
              <w:tr2bl w:val="nil"/>
            </w:tcBorders>
            <w:noWrap w:val="0"/>
            <w:vAlign w:val="center"/>
          </w:tcPr>
          <w:p w14:paraId="2152413B">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vertAlign w:val="baseline"/>
                <w:lang w:val="en-US" w:eastAsia="zh-CN" w:bidi="ar-SA"/>
              </w:rPr>
            </w:pPr>
            <w:r>
              <w:rPr>
                <w:rFonts w:hint="default" w:ascii="Times New Roman" w:hAnsi="Times New Roman" w:eastAsia="宋体" w:cs="Times New Roman"/>
                <w:bCs/>
                <w:color w:val="auto"/>
                <w:kern w:val="2"/>
                <w:sz w:val="21"/>
                <w:szCs w:val="21"/>
                <w:highlight w:val="none"/>
                <w:vertAlign w:val="baseline"/>
                <w:lang w:val="en-US" w:eastAsia="zh-CN" w:bidi="ar-SA"/>
              </w:rPr>
              <w:t>1</w:t>
            </w:r>
          </w:p>
        </w:tc>
        <w:tc>
          <w:tcPr>
            <w:tcW w:w="731" w:type="pct"/>
            <w:tcBorders>
              <w:tl2br w:val="nil"/>
              <w:tr2bl w:val="nil"/>
            </w:tcBorders>
            <w:noWrap w:val="0"/>
            <w:vAlign w:val="center"/>
          </w:tcPr>
          <w:p w14:paraId="7AD1A469">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vertAlign w:val="baseli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甲醇加药装置泄漏</w:t>
            </w:r>
          </w:p>
        </w:tc>
        <w:tc>
          <w:tcPr>
            <w:tcW w:w="578" w:type="pct"/>
            <w:tcBorders>
              <w:tl2br w:val="nil"/>
              <w:tr2bl w:val="nil"/>
            </w:tcBorders>
            <w:noWrap w:val="0"/>
            <w:vAlign w:val="center"/>
          </w:tcPr>
          <w:p w14:paraId="7897A75A">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vertAlign w:val="baseli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甲醇加药装置</w:t>
            </w:r>
          </w:p>
        </w:tc>
        <w:tc>
          <w:tcPr>
            <w:tcW w:w="451" w:type="pct"/>
            <w:tcBorders>
              <w:tl2br w:val="nil"/>
              <w:tr2bl w:val="nil"/>
            </w:tcBorders>
            <w:noWrap w:val="0"/>
            <w:vAlign w:val="center"/>
          </w:tcPr>
          <w:p w14:paraId="2A54B98B">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vertAlign w:val="baseli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甲醇</w:t>
            </w:r>
          </w:p>
        </w:tc>
        <w:tc>
          <w:tcPr>
            <w:tcW w:w="451" w:type="pct"/>
            <w:tcBorders>
              <w:tl2br w:val="nil"/>
              <w:tr2bl w:val="nil"/>
            </w:tcBorders>
            <w:noWrap w:val="0"/>
            <w:vAlign w:val="center"/>
          </w:tcPr>
          <w:p w14:paraId="6B8D9F63">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vertAlign w:val="baseli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大气</w:t>
            </w:r>
          </w:p>
        </w:tc>
        <w:tc>
          <w:tcPr>
            <w:tcW w:w="551" w:type="pct"/>
            <w:tcBorders>
              <w:tl2br w:val="nil"/>
              <w:tr2bl w:val="nil"/>
            </w:tcBorders>
            <w:noWrap w:val="0"/>
            <w:vAlign w:val="center"/>
          </w:tcPr>
          <w:p w14:paraId="54826CD9">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vertAlign w:val="baseli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1.95</w:t>
            </w:r>
          </w:p>
        </w:tc>
        <w:tc>
          <w:tcPr>
            <w:tcW w:w="551" w:type="pct"/>
            <w:tcBorders>
              <w:tl2br w:val="nil"/>
              <w:tr2bl w:val="nil"/>
            </w:tcBorders>
            <w:noWrap w:val="0"/>
            <w:vAlign w:val="center"/>
          </w:tcPr>
          <w:p w14:paraId="01724B70">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vertAlign w:val="baseli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60</w:t>
            </w:r>
          </w:p>
        </w:tc>
        <w:tc>
          <w:tcPr>
            <w:tcW w:w="722" w:type="pct"/>
            <w:tcBorders>
              <w:tl2br w:val="nil"/>
              <w:tr2bl w:val="nil"/>
            </w:tcBorders>
            <w:noWrap w:val="0"/>
            <w:vAlign w:val="center"/>
          </w:tcPr>
          <w:p w14:paraId="17892590">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vertAlign w:val="baseli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7020</w:t>
            </w:r>
          </w:p>
        </w:tc>
        <w:tc>
          <w:tcPr>
            <w:tcW w:w="732" w:type="pct"/>
            <w:tcBorders>
              <w:tl2br w:val="nil"/>
              <w:tr2bl w:val="nil"/>
            </w:tcBorders>
            <w:noWrap w:val="0"/>
            <w:vAlign w:val="center"/>
          </w:tcPr>
          <w:p w14:paraId="4C789B51">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vertAlign w:val="baseli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396</w:t>
            </w:r>
          </w:p>
        </w:tc>
      </w:tr>
    </w:tbl>
    <w:p w14:paraId="0EA87D20">
      <w:pPr>
        <w:pStyle w:val="79"/>
        <w:bidi w:val="0"/>
        <w:rPr>
          <w:rFonts w:hint="default"/>
          <w:color w:val="auto"/>
          <w:lang w:val="en-US" w:eastAsia="zh-CN"/>
        </w:rPr>
      </w:pPr>
      <w:r>
        <w:rPr>
          <w:rFonts w:hint="default"/>
          <w:color w:val="auto"/>
          <w:lang w:val="en-US" w:eastAsia="zh-CN"/>
        </w:rPr>
        <w:t>甲醇加药装置发生事故泄漏后，液态物料会泄漏至加药装置区，由于甲醇为极易挥发的物质，及时发现并清理收集泄漏的甲醇。</w:t>
      </w:r>
    </w:p>
    <w:p w14:paraId="40AFF409">
      <w:pPr>
        <w:pStyle w:val="54"/>
        <w:bidi w:val="0"/>
        <w:rPr>
          <w:rFonts w:hint="default"/>
          <w:color w:val="auto"/>
          <w:lang w:val="en-US" w:eastAsia="zh-CN"/>
        </w:rPr>
      </w:pPr>
      <w:bookmarkStart w:id="715" w:name="_Toc31802"/>
      <w:r>
        <w:rPr>
          <w:rFonts w:hint="eastAsia"/>
          <w:color w:val="auto"/>
          <w:lang w:val="en-US" w:eastAsia="zh-CN"/>
        </w:rPr>
        <w:t>5.</w:t>
      </w:r>
      <w:r>
        <w:rPr>
          <w:rFonts w:hint="default"/>
          <w:color w:val="auto"/>
          <w:lang w:val="en-US" w:eastAsia="zh-CN"/>
        </w:rPr>
        <w:t>7.6 环境风险管理</w:t>
      </w:r>
      <w:bookmarkEnd w:id="715"/>
    </w:p>
    <w:p w14:paraId="71457526">
      <w:pPr>
        <w:pStyle w:val="79"/>
        <w:bidi w:val="0"/>
        <w:rPr>
          <w:rFonts w:hint="default" w:ascii="Times New Roman" w:hAnsi="Times New Roman" w:cs="Times New Roman"/>
          <w:color w:val="auto"/>
          <w:kern w:val="0"/>
          <w:szCs w:val="24"/>
          <w:highlight w:val="none"/>
        </w:rPr>
      </w:pPr>
      <w:r>
        <w:rPr>
          <w:rFonts w:hint="default"/>
          <w:color w:val="auto"/>
        </w:rPr>
        <w:t>各种事故无论是人为因素引起的，还是自然因素所致，都可以采取必要的预防措施，以减少事故的发生或使事故造成的危害降低到最低限度。对于人为因素引起的事故可以通过提高人员技术素质、加强责任心以及采取技术手段和管理手段等方法来避免；而对于自然因素引起的事故则主要靠采取各种措施来预防。</w:t>
      </w:r>
    </w:p>
    <w:p w14:paraId="05DDE32B">
      <w:pPr>
        <w:pStyle w:val="55"/>
        <w:bidi w:val="0"/>
        <w:rPr>
          <w:rFonts w:hint="default"/>
          <w:color w:val="auto"/>
          <w:lang w:val="en-US" w:eastAsia="zh-CN"/>
        </w:rPr>
      </w:pPr>
      <w:r>
        <w:rPr>
          <w:rFonts w:hint="eastAsia"/>
          <w:color w:val="auto"/>
          <w:lang w:val="en-US" w:eastAsia="zh-CN"/>
        </w:rPr>
        <w:t>5.</w:t>
      </w:r>
      <w:r>
        <w:rPr>
          <w:rFonts w:hint="default"/>
          <w:color w:val="auto"/>
          <w:lang w:val="en-US" w:eastAsia="zh-CN"/>
        </w:rPr>
        <w:t>7.6.1 集输事故风险预防措施</w:t>
      </w:r>
    </w:p>
    <w:p w14:paraId="70B34F08">
      <w:pPr>
        <w:pStyle w:val="79"/>
        <w:bidi w:val="0"/>
        <w:rPr>
          <w:rFonts w:hint="default"/>
          <w:color w:val="auto"/>
        </w:rPr>
      </w:pPr>
      <w:bookmarkStart w:id="716" w:name="_Hlk115991776"/>
      <w:r>
        <w:rPr>
          <w:rFonts w:hint="default"/>
          <w:color w:val="auto"/>
        </w:rPr>
        <w:t>（1）施工阶段的事故防范措施</w:t>
      </w:r>
    </w:p>
    <w:p w14:paraId="5FFB1D21">
      <w:pPr>
        <w:pStyle w:val="79"/>
        <w:bidi w:val="0"/>
        <w:rPr>
          <w:rFonts w:hint="default"/>
          <w:color w:val="auto"/>
        </w:rPr>
      </w:pPr>
      <w:r>
        <w:rPr>
          <w:rFonts w:hint="default"/>
          <w:color w:val="auto"/>
        </w:rPr>
        <w:t>①管道敷设前，应加强对管材质量的检查，严禁使用不合格产品。在施工过程中加强监理，确保施工质量。</w:t>
      </w:r>
    </w:p>
    <w:p w14:paraId="0E8C2E5B">
      <w:pPr>
        <w:pStyle w:val="79"/>
        <w:bidi w:val="0"/>
        <w:rPr>
          <w:rFonts w:hint="default"/>
          <w:color w:val="auto"/>
        </w:rPr>
      </w:pPr>
      <w:r>
        <w:rPr>
          <w:rFonts w:hint="default"/>
          <w:color w:val="auto"/>
        </w:rPr>
        <w:t>②建立施工质量保证体系，提高施工检验人员水平，加强检验手段。</w:t>
      </w:r>
    </w:p>
    <w:p w14:paraId="73C9EB76">
      <w:pPr>
        <w:pStyle w:val="79"/>
        <w:bidi w:val="0"/>
        <w:rPr>
          <w:rFonts w:hint="default"/>
          <w:color w:val="auto"/>
        </w:rPr>
      </w:pPr>
      <w:r>
        <w:rPr>
          <w:rFonts w:hint="default"/>
          <w:color w:val="auto"/>
        </w:rPr>
        <w:t>③按施工验收规范进行水压及密闭试验，排除</w:t>
      </w:r>
      <w:r>
        <w:rPr>
          <w:rFonts w:hint="eastAsia"/>
          <w:color w:val="auto"/>
          <w:lang w:eastAsia="zh-CN"/>
        </w:rPr>
        <w:t>更多地存在于</w:t>
      </w:r>
      <w:r>
        <w:rPr>
          <w:rFonts w:hint="default"/>
          <w:color w:val="auto"/>
        </w:rPr>
        <w:t>焊缝和母材的缺陷。</w:t>
      </w:r>
    </w:p>
    <w:p w14:paraId="1E644A4A">
      <w:pPr>
        <w:pStyle w:val="79"/>
        <w:bidi w:val="0"/>
        <w:rPr>
          <w:rFonts w:hint="default"/>
          <w:color w:val="auto"/>
        </w:rPr>
      </w:pPr>
      <w:r>
        <w:rPr>
          <w:rFonts w:hint="default"/>
          <w:color w:val="auto"/>
        </w:rPr>
        <w:t>④选择有丰富经验的单位进行施工，并对其施工质量进行监理。</w:t>
      </w:r>
    </w:p>
    <w:p w14:paraId="3CFFEEB9">
      <w:pPr>
        <w:pStyle w:val="79"/>
        <w:bidi w:val="0"/>
        <w:rPr>
          <w:rFonts w:hint="default"/>
          <w:color w:val="auto"/>
        </w:rPr>
      </w:pPr>
      <w:r>
        <w:rPr>
          <w:rFonts w:hint="default"/>
          <w:color w:val="auto"/>
        </w:rPr>
        <w:t>（2）运行阶段的事故防范措施</w:t>
      </w:r>
    </w:p>
    <w:p w14:paraId="618A3CD4">
      <w:pPr>
        <w:pStyle w:val="79"/>
        <w:bidi w:val="0"/>
        <w:rPr>
          <w:rFonts w:hint="default"/>
          <w:color w:val="auto"/>
        </w:rPr>
      </w:pPr>
      <w:r>
        <w:rPr>
          <w:rFonts w:hint="default"/>
          <w:color w:val="auto"/>
        </w:rPr>
        <w:t>①井场设置现场检测仪表，并由RTU箱中的控制系统实现井场内的生产运行管理和控制，并与所属的集气站SCADA管理系统通信，上传井场的重要生产运行数据，接收上位系统的控制指令，设置现场监控系统，随时通过监控系统观察井场内生产情况。</w:t>
      </w:r>
    </w:p>
    <w:p w14:paraId="000EECAC">
      <w:pPr>
        <w:pStyle w:val="79"/>
        <w:bidi w:val="0"/>
        <w:rPr>
          <w:rFonts w:hint="default"/>
          <w:color w:val="auto"/>
        </w:rPr>
      </w:pPr>
      <w:r>
        <w:rPr>
          <w:rFonts w:hint="default"/>
          <w:color w:val="auto"/>
        </w:rPr>
        <w:t>②在集输系统运营期间，严格控制输送油气的性质，定期清管，排除管内的积水和污物，以减轻管道内腐蚀；定期对管线进行超声波检查，对壁厚低于规定要求的管段应及时更换，消除爆管的隐患；定期对集输管线上的安全保护设施，如截断阀、安全阀、放空系统等进行检查，使管道在超压时能够得到安全处理，在管道破裂时能够及时截断上下游管段，以减少事故时油气的释放量，使危害影响范围减小到最低程度。</w:t>
      </w:r>
    </w:p>
    <w:p w14:paraId="462EDC42">
      <w:pPr>
        <w:pStyle w:val="79"/>
        <w:bidi w:val="0"/>
        <w:rPr>
          <w:rFonts w:hint="default"/>
          <w:color w:val="auto"/>
        </w:rPr>
      </w:pPr>
      <w:r>
        <w:rPr>
          <w:rFonts w:hint="default"/>
          <w:color w:val="auto"/>
        </w:rPr>
        <w:t>③利用管线的压力、流量监控系统，发现异常立即排查，若出现问题，立即派人现场核查，如有</w:t>
      </w:r>
      <w:r>
        <w:rPr>
          <w:rFonts w:hint="eastAsia"/>
          <w:color w:val="auto"/>
          <w:lang w:eastAsia="zh-CN"/>
        </w:rPr>
        <w:t>突发事件</w:t>
      </w:r>
      <w:r>
        <w:rPr>
          <w:rFonts w:hint="default"/>
          <w:color w:val="auto"/>
        </w:rPr>
        <w:t>启动应急预案。</w:t>
      </w:r>
    </w:p>
    <w:p w14:paraId="5A5EC766">
      <w:pPr>
        <w:pStyle w:val="79"/>
        <w:bidi w:val="0"/>
        <w:rPr>
          <w:rFonts w:hint="default"/>
          <w:color w:val="auto"/>
        </w:rPr>
      </w:pPr>
      <w:r>
        <w:rPr>
          <w:rFonts w:hint="default"/>
          <w:color w:val="auto"/>
        </w:rPr>
        <w:t>④加强对集输管线沿线重点敏感地段的环保管理，定期进行环境监测。</w:t>
      </w:r>
    </w:p>
    <w:p w14:paraId="1E28FB7D">
      <w:pPr>
        <w:pStyle w:val="79"/>
        <w:bidi w:val="0"/>
        <w:rPr>
          <w:rFonts w:hint="default"/>
          <w:color w:val="auto"/>
        </w:rPr>
      </w:pPr>
      <w:r>
        <w:rPr>
          <w:rFonts w:hint="default"/>
          <w:color w:val="auto"/>
        </w:rPr>
        <w:t>⑤建立腐蚀监测系统，随时监测介质的腐蚀状况，了解和掌握区域系统的腐蚀原因，有针对性地制定、调整和优化腐蚀控制措施。</w:t>
      </w:r>
    </w:p>
    <w:p w14:paraId="3F52715F">
      <w:pPr>
        <w:pStyle w:val="79"/>
        <w:bidi w:val="0"/>
        <w:rPr>
          <w:rFonts w:hint="default"/>
          <w:color w:val="auto"/>
        </w:rPr>
      </w:pPr>
      <w:r>
        <w:rPr>
          <w:rFonts w:hint="default"/>
          <w:color w:val="auto"/>
        </w:rPr>
        <w:t>⑥在集输管线的敷设线路上应设置永久性标志，包括里程桩、转角桩、交叉标志和警示牌等，以防附近的各类施工活动对管线的破坏。定期检查管线，并配备适当的管道抢修、灭火及人员抢救设备。</w:t>
      </w:r>
    </w:p>
    <w:p w14:paraId="3375D449">
      <w:pPr>
        <w:pStyle w:val="79"/>
        <w:bidi w:val="0"/>
        <w:rPr>
          <w:rFonts w:hint="default"/>
          <w:color w:val="auto"/>
        </w:rPr>
      </w:pPr>
      <w:r>
        <w:rPr>
          <w:rFonts w:hint="default"/>
          <w:color w:val="auto"/>
        </w:rPr>
        <w:t>（3）管理措施</w:t>
      </w:r>
    </w:p>
    <w:p w14:paraId="2F955E70">
      <w:pPr>
        <w:pStyle w:val="79"/>
        <w:bidi w:val="0"/>
        <w:rPr>
          <w:rFonts w:hint="default"/>
          <w:color w:val="auto"/>
        </w:rPr>
      </w:pPr>
      <w:r>
        <w:rPr>
          <w:rFonts w:hint="default"/>
          <w:color w:val="auto"/>
        </w:rPr>
        <w:t>①在管道系统投产运行前，应制订出供正常、异常或紧急状态下的操作手册和维修手册，并对操作、维修人员进行培训，持证上岗。</w:t>
      </w:r>
    </w:p>
    <w:p w14:paraId="0465396D">
      <w:pPr>
        <w:pStyle w:val="79"/>
        <w:bidi w:val="0"/>
        <w:rPr>
          <w:rFonts w:hint="default"/>
          <w:color w:val="auto"/>
        </w:rPr>
      </w:pPr>
      <w:r>
        <w:rPr>
          <w:rFonts w:hint="default"/>
          <w:color w:val="auto"/>
        </w:rPr>
        <w:t>②制订应急操作规程，在规程中说明发生管道事故时应采取的操作步骤。</w:t>
      </w:r>
    </w:p>
    <w:p w14:paraId="55720FD1">
      <w:pPr>
        <w:pStyle w:val="79"/>
        <w:bidi w:val="0"/>
        <w:rPr>
          <w:rFonts w:hint="default"/>
          <w:color w:val="auto"/>
        </w:rPr>
      </w:pPr>
      <w:r>
        <w:rPr>
          <w:rFonts w:hint="default"/>
          <w:color w:val="auto"/>
        </w:rPr>
        <w:t>③规定抢修进度，限制事故的影响，说明与人员有关的安全问题。</w:t>
      </w:r>
    </w:p>
    <w:p w14:paraId="684918AA">
      <w:pPr>
        <w:pStyle w:val="79"/>
        <w:bidi w:val="0"/>
        <w:rPr>
          <w:rFonts w:hint="default"/>
          <w:color w:val="auto"/>
        </w:rPr>
      </w:pPr>
      <w:r>
        <w:rPr>
          <w:rFonts w:hint="default"/>
          <w:color w:val="auto"/>
        </w:rPr>
        <w:t>④定期对管线进行巡视，加强管线和</w:t>
      </w:r>
      <w:r>
        <w:rPr>
          <w:rFonts w:hint="eastAsia"/>
          <w:color w:val="auto"/>
          <w:lang w:eastAsia="zh-CN"/>
        </w:rPr>
        <w:t>警示标志</w:t>
      </w:r>
      <w:r>
        <w:rPr>
          <w:rFonts w:hint="default"/>
          <w:color w:val="auto"/>
        </w:rPr>
        <w:t>的管理工作。</w:t>
      </w:r>
    </w:p>
    <w:p w14:paraId="79AA1AE5">
      <w:pPr>
        <w:pStyle w:val="79"/>
        <w:bidi w:val="0"/>
        <w:rPr>
          <w:rFonts w:hint="default"/>
          <w:color w:val="auto"/>
        </w:rPr>
      </w:pPr>
      <w:r>
        <w:rPr>
          <w:rFonts w:hint="default"/>
          <w:color w:val="auto"/>
        </w:rPr>
        <w:t>⑤提高职工安全意识，识别事故发生前异常状态，并采取相应措施。</w:t>
      </w:r>
    </w:p>
    <w:p w14:paraId="252F5095">
      <w:pPr>
        <w:pStyle w:val="79"/>
        <w:bidi w:val="0"/>
        <w:rPr>
          <w:rFonts w:hint="default"/>
          <w:color w:val="auto"/>
        </w:rPr>
      </w:pPr>
      <w:r>
        <w:rPr>
          <w:rFonts w:hint="default"/>
          <w:color w:val="auto"/>
        </w:rPr>
        <w:t>⑥对重要的仪器设备有完善的检查项目和维护方法；按计划进行定期维护；有专门档案</w:t>
      </w:r>
      <w:r>
        <w:rPr>
          <w:rFonts w:hint="eastAsia"/>
          <w:color w:val="auto"/>
          <w:lang w:eastAsia="zh-CN"/>
        </w:rPr>
        <w:t>（</w:t>
      </w:r>
      <w:r>
        <w:rPr>
          <w:rFonts w:hint="default"/>
          <w:color w:val="auto"/>
        </w:rPr>
        <w:t>包括维护记录档案</w:t>
      </w:r>
      <w:r>
        <w:rPr>
          <w:rFonts w:hint="eastAsia"/>
          <w:color w:val="auto"/>
          <w:lang w:eastAsia="zh-CN"/>
        </w:rPr>
        <w:t>）</w:t>
      </w:r>
      <w:r>
        <w:rPr>
          <w:rFonts w:hint="default"/>
          <w:color w:val="auto"/>
        </w:rPr>
        <w:t>，文件齐全。</w:t>
      </w:r>
    </w:p>
    <w:p w14:paraId="58FB8AB7">
      <w:pPr>
        <w:pStyle w:val="79"/>
        <w:bidi w:val="0"/>
        <w:rPr>
          <w:rFonts w:hint="default"/>
          <w:color w:val="auto"/>
        </w:rPr>
      </w:pPr>
      <w:r>
        <w:rPr>
          <w:rFonts w:hint="default"/>
          <w:color w:val="auto"/>
        </w:rPr>
        <w:t>（4）油气泄漏事故防范措施</w:t>
      </w:r>
    </w:p>
    <w:p w14:paraId="67E27AAC">
      <w:pPr>
        <w:pStyle w:val="79"/>
        <w:bidi w:val="0"/>
        <w:rPr>
          <w:rFonts w:hint="default"/>
          <w:color w:val="auto"/>
        </w:rPr>
      </w:pPr>
      <w:r>
        <w:rPr>
          <w:rFonts w:hint="default"/>
          <w:color w:val="auto"/>
        </w:rPr>
        <w:t>①加强《中华人民共和国石油天然气管道保护法》的宣传力度，普及油气管道输送知识，发现问题及时报告。</w:t>
      </w:r>
    </w:p>
    <w:p w14:paraId="34DCF8B0">
      <w:pPr>
        <w:pStyle w:val="79"/>
        <w:bidi w:val="0"/>
        <w:rPr>
          <w:rFonts w:hint="default"/>
          <w:color w:val="auto"/>
        </w:rPr>
      </w:pPr>
      <w:r>
        <w:rPr>
          <w:rFonts w:hint="default"/>
          <w:color w:val="auto"/>
        </w:rPr>
        <w:t>②按规定进行设备维修保养，及时更换易损及老化部件，防止泄漏事故的发生。</w:t>
      </w:r>
    </w:p>
    <w:p w14:paraId="4D8BEECF">
      <w:pPr>
        <w:pStyle w:val="79"/>
        <w:bidi w:val="0"/>
        <w:rPr>
          <w:rFonts w:hint="default"/>
          <w:color w:val="auto"/>
        </w:rPr>
      </w:pPr>
      <w:r>
        <w:rPr>
          <w:rFonts w:hint="default"/>
          <w:color w:val="auto"/>
        </w:rPr>
        <w:t>③完善站场的环境保护工程，及时清除、处理各种污染物。</w:t>
      </w:r>
    </w:p>
    <w:p w14:paraId="45B6D4E2">
      <w:pPr>
        <w:pStyle w:val="79"/>
        <w:bidi w:val="0"/>
        <w:rPr>
          <w:rFonts w:hint="default"/>
          <w:color w:val="auto"/>
        </w:rPr>
      </w:pPr>
      <w:r>
        <w:rPr>
          <w:rFonts w:hint="default"/>
          <w:color w:val="auto"/>
        </w:rPr>
        <w:t>④按规定配置齐全各类消防设施，并定期进行检查，保持完好可用。</w:t>
      </w:r>
    </w:p>
    <w:p w14:paraId="0D255498">
      <w:pPr>
        <w:pStyle w:val="79"/>
        <w:bidi w:val="0"/>
        <w:rPr>
          <w:rFonts w:hint="default"/>
          <w:color w:val="auto"/>
        </w:rPr>
      </w:pPr>
      <w:r>
        <w:rPr>
          <w:rFonts w:hint="default"/>
          <w:color w:val="auto"/>
        </w:rPr>
        <w:t>⑤操作中必须使用防爆工具，严禁用铁器敲打管线、阀门、设备。</w:t>
      </w:r>
    </w:p>
    <w:p w14:paraId="113FC60C">
      <w:pPr>
        <w:pStyle w:val="79"/>
        <w:bidi w:val="0"/>
        <w:rPr>
          <w:rFonts w:hint="default"/>
          <w:color w:val="auto"/>
          <w:lang w:val="en-US" w:eastAsia="zh-CN"/>
        </w:rPr>
      </w:pPr>
      <w:r>
        <w:rPr>
          <w:rFonts w:hint="default"/>
          <w:color w:val="auto"/>
        </w:rPr>
        <w:t>⑥制定事故应急预案，配备适当的抢修、灭火及人员抢救设备。</w:t>
      </w:r>
      <w:bookmarkEnd w:id="716"/>
    </w:p>
    <w:p w14:paraId="6C770B25">
      <w:pPr>
        <w:pStyle w:val="55"/>
        <w:bidi w:val="0"/>
        <w:rPr>
          <w:rFonts w:hint="default"/>
          <w:color w:val="auto"/>
          <w:lang w:val="en-US" w:eastAsia="zh-CN"/>
        </w:rPr>
      </w:pPr>
      <w:r>
        <w:rPr>
          <w:rFonts w:hint="eastAsia"/>
          <w:color w:val="auto"/>
          <w:lang w:val="en-US" w:eastAsia="zh-CN"/>
        </w:rPr>
        <w:t>5.7.6.2原油运输风险防范措施</w:t>
      </w:r>
    </w:p>
    <w:p w14:paraId="40A0C02E">
      <w:pPr>
        <w:pStyle w:val="79"/>
        <w:bidi w:val="0"/>
        <w:rPr>
          <w:rFonts w:hint="eastAsia"/>
          <w:color w:val="auto"/>
          <w:lang w:val="en-US" w:eastAsia="zh-CN"/>
        </w:rPr>
      </w:pPr>
      <w:r>
        <w:rPr>
          <w:rFonts w:hint="eastAsia"/>
          <w:color w:val="auto"/>
          <w:lang w:val="en-US" w:eastAsia="zh-CN"/>
        </w:rPr>
        <w:t>拟建工程原油采用罐车拉运的方式，车辆运输过程中须采取以下措施；</w:t>
      </w:r>
    </w:p>
    <w:p w14:paraId="3B7B66B8">
      <w:pPr>
        <w:pStyle w:val="79"/>
        <w:bidi w:val="0"/>
        <w:rPr>
          <w:rFonts w:hint="eastAsia"/>
          <w:color w:val="auto"/>
          <w:lang w:val="en-US" w:eastAsia="zh-CN"/>
        </w:rPr>
      </w:pPr>
      <w:r>
        <w:rPr>
          <w:rFonts w:hint="eastAsia"/>
          <w:color w:val="auto"/>
          <w:lang w:val="en-US" w:eastAsia="zh-CN"/>
        </w:rPr>
        <w:t>罐车必须符合《压力容器安全技术监察规程》的安全管理规定，企业对压力容器管理执行国家有关压力容器的规定。</w:t>
      </w:r>
    </w:p>
    <w:p w14:paraId="20A9FA8E">
      <w:pPr>
        <w:pStyle w:val="79"/>
        <w:bidi w:val="0"/>
        <w:rPr>
          <w:rFonts w:hint="eastAsia"/>
          <w:color w:val="auto"/>
          <w:lang w:val="en-US" w:eastAsia="zh-CN"/>
        </w:rPr>
      </w:pPr>
      <w:r>
        <w:rPr>
          <w:rFonts w:hint="eastAsia"/>
          <w:color w:val="auto"/>
          <w:lang w:val="en-US" w:eastAsia="zh-CN"/>
        </w:rPr>
        <w:t>（2）运输车辆应当安装、悬挂符合《道路运输危险货物车辆标志》（GB 13392）要求的警示标志，随车携带防护用品、应急救援器材和危险货物道路运输安全卡，严格遵守道路交通安全法律法规规定，保障道路运输安全。运输车辆还应当安装、粘贴符合《道路运输爆炸品和剧毒化学品车辆安全技术条件》（GB 20300）要求的安全标示牌。</w:t>
      </w:r>
    </w:p>
    <w:p w14:paraId="7B34F49A">
      <w:pPr>
        <w:pStyle w:val="79"/>
        <w:bidi w:val="0"/>
        <w:rPr>
          <w:rFonts w:hint="eastAsia"/>
          <w:color w:val="auto"/>
          <w:lang w:val="en-US" w:eastAsia="zh-CN"/>
        </w:rPr>
      </w:pPr>
      <w:r>
        <w:rPr>
          <w:rFonts w:hint="eastAsia"/>
          <w:color w:val="auto"/>
          <w:lang w:val="en-US" w:eastAsia="zh-CN"/>
        </w:rPr>
        <w:t>（3）车辆必须是专用车或经有关部门批准使用符合安全规定的运载工具，并符合相关要求。</w:t>
      </w:r>
    </w:p>
    <w:p w14:paraId="5285158D">
      <w:pPr>
        <w:pStyle w:val="79"/>
        <w:bidi w:val="0"/>
        <w:rPr>
          <w:rFonts w:hint="eastAsia"/>
          <w:color w:val="auto"/>
          <w:lang w:val="en-US" w:eastAsia="zh-CN"/>
        </w:rPr>
      </w:pPr>
      <w:r>
        <w:rPr>
          <w:rFonts w:hint="eastAsia"/>
          <w:color w:val="auto"/>
          <w:lang w:val="en-US" w:eastAsia="zh-CN"/>
        </w:rPr>
        <w:t>（4）认真执行罐车巡检、回检以及维护、修理管理办法，保持罐车完整性。</w:t>
      </w:r>
    </w:p>
    <w:p w14:paraId="52FABEF9">
      <w:pPr>
        <w:pStyle w:val="79"/>
        <w:bidi w:val="0"/>
        <w:rPr>
          <w:rFonts w:hint="eastAsia"/>
          <w:color w:val="auto"/>
          <w:lang w:val="en-US" w:eastAsia="zh-CN"/>
        </w:rPr>
      </w:pPr>
      <w:r>
        <w:rPr>
          <w:rFonts w:hint="eastAsia"/>
          <w:color w:val="auto"/>
          <w:lang w:val="en-US" w:eastAsia="zh-CN"/>
        </w:rPr>
        <w:t>（5）配备具有危险货物运输资质和经验的驾驶员和押运员，严格执行特车公司反“违章指挥、违章操作、违反劳动纪律的行为”管理规定，并使用GPS监控车辆动态。</w:t>
      </w:r>
    </w:p>
    <w:p w14:paraId="03DD9BD7">
      <w:pPr>
        <w:pStyle w:val="79"/>
        <w:bidi w:val="0"/>
        <w:rPr>
          <w:rFonts w:hint="eastAsia"/>
          <w:color w:val="auto"/>
          <w:lang w:val="en-US" w:eastAsia="zh-CN"/>
        </w:rPr>
      </w:pPr>
      <w:r>
        <w:rPr>
          <w:rFonts w:hint="eastAsia"/>
          <w:color w:val="auto"/>
          <w:lang w:val="en-US" w:eastAsia="zh-CN"/>
        </w:rPr>
        <w:t>（6）车辆安全状况和安全性能合格；车辆排气管应安装隔热和熄灭火星装置，并配装符合规定的导静电橡胶拖地带装置，罐内应预留容积不得少于罐体总容量5%的膨胀余量。</w:t>
      </w:r>
    </w:p>
    <w:p w14:paraId="3DD677A3">
      <w:pPr>
        <w:pStyle w:val="79"/>
        <w:bidi w:val="0"/>
        <w:rPr>
          <w:rFonts w:hint="eastAsia"/>
          <w:color w:val="auto"/>
          <w:lang w:val="en-US" w:eastAsia="zh-CN"/>
        </w:rPr>
      </w:pPr>
      <w:r>
        <w:rPr>
          <w:rFonts w:hint="eastAsia"/>
          <w:color w:val="auto"/>
          <w:lang w:val="en-US" w:eastAsia="zh-CN"/>
        </w:rPr>
        <w:t>（7）行车途中勤检查，随车按相关规定配备消防器材；运输过程中如发生事故时，应立即报告，并应看护好车辆，共同配合采取一切可能的警示、救援措施。</w:t>
      </w:r>
    </w:p>
    <w:p w14:paraId="0C76B960">
      <w:pPr>
        <w:pStyle w:val="79"/>
        <w:bidi w:val="0"/>
        <w:rPr>
          <w:rFonts w:hint="default"/>
          <w:color w:val="auto"/>
          <w:lang w:val="en-US" w:eastAsia="zh-CN"/>
        </w:rPr>
      </w:pPr>
      <w:r>
        <w:rPr>
          <w:rFonts w:hint="eastAsia"/>
          <w:color w:val="auto"/>
          <w:lang w:val="en-US" w:eastAsia="zh-CN"/>
        </w:rPr>
        <w:t>（8）</w:t>
      </w:r>
      <w:r>
        <w:rPr>
          <w:rFonts w:hint="default"/>
          <w:color w:val="auto"/>
          <w:lang w:val="en-US" w:eastAsia="zh-CN"/>
        </w:rPr>
        <w:t>运输车辆应当按照公安机关批准的路线、时间行驶</w:t>
      </w:r>
      <w:r>
        <w:rPr>
          <w:rFonts w:hint="eastAsia"/>
          <w:color w:val="auto"/>
          <w:lang w:val="en-US" w:eastAsia="zh-CN"/>
        </w:rPr>
        <w:t>，</w:t>
      </w:r>
      <w:r>
        <w:rPr>
          <w:rFonts w:hint="default"/>
          <w:color w:val="auto"/>
          <w:lang w:val="en-US" w:eastAsia="zh-CN"/>
        </w:rPr>
        <w:t>在高速公路上行驶速度不得高于限速标志、标线标明的速度。</w:t>
      </w:r>
    </w:p>
    <w:p w14:paraId="5EC81052">
      <w:pPr>
        <w:pStyle w:val="79"/>
        <w:bidi w:val="0"/>
        <w:rPr>
          <w:rFonts w:hint="eastAsia"/>
          <w:color w:val="auto"/>
          <w:lang w:val="en-US" w:eastAsia="zh-CN"/>
        </w:rPr>
      </w:pPr>
      <w:r>
        <w:rPr>
          <w:rFonts w:hint="eastAsia"/>
          <w:color w:val="auto"/>
          <w:lang w:val="en-US" w:eastAsia="zh-CN"/>
        </w:rPr>
        <w:t>（9）</w:t>
      </w:r>
      <w:r>
        <w:rPr>
          <w:rFonts w:hint="default"/>
          <w:color w:val="auto"/>
          <w:lang w:val="en-US" w:eastAsia="zh-CN"/>
        </w:rPr>
        <w:t>杜绝油罐车储油容器溢油</w:t>
      </w:r>
      <w:r>
        <w:rPr>
          <w:rFonts w:hint="eastAsia"/>
          <w:color w:val="auto"/>
          <w:lang w:val="en-US" w:eastAsia="zh-CN"/>
        </w:rPr>
        <w:t>。对在油罐车装卸油品操作中发生的跑、冒、滴、漏、溢油，应及时清除处理。油罐车卸油放于指定的地点妥善处理。</w:t>
      </w:r>
    </w:p>
    <w:p w14:paraId="3E49FE28">
      <w:pPr>
        <w:pStyle w:val="55"/>
        <w:bidi w:val="0"/>
        <w:rPr>
          <w:rFonts w:hint="default"/>
          <w:color w:val="auto"/>
          <w:lang w:val="en-US" w:eastAsia="zh-CN"/>
        </w:rPr>
      </w:pPr>
      <w:r>
        <w:rPr>
          <w:rFonts w:hint="eastAsia"/>
          <w:color w:val="auto"/>
          <w:lang w:val="en-US" w:eastAsia="zh-CN"/>
        </w:rPr>
        <w:t>5.</w:t>
      </w:r>
      <w:r>
        <w:rPr>
          <w:rFonts w:hint="default"/>
          <w:color w:val="auto"/>
          <w:lang w:val="en-US" w:eastAsia="zh-CN"/>
        </w:rPr>
        <w:t>7.6.</w:t>
      </w:r>
      <w:r>
        <w:rPr>
          <w:rFonts w:hint="eastAsia"/>
          <w:color w:val="auto"/>
          <w:lang w:val="en-US" w:eastAsia="zh-CN"/>
        </w:rPr>
        <w:t>3</w:t>
      </w:r>
      <w:r>
        <w:rPr>
          <w:rFonts w:hint="default"/>
          <w:color w:val="auto"/>
          <w:lang w:val="en-US" w:eastAsia="zh-CN"/>
        </w:rPr>
        <w:t xml:space="preserve"> 硫化氢泄漏的监控与预防措施</w:t>
      </w:r>
    </w:p>
    <w:p w14:paraId="0C6B8CB3">
      <w:pPr>
        <w:pStyle w:val="79"/>
        <w:bidi w:val="0"/>
        <w:rPr>
          <w:rFonts w:hint="default"/>
          <w:color w:val="auto"/>
        </w:rPr>
      </w:pPr>
      <w:r>
        <w:rPr>
          <w:rFonts w:hint="default"/>
          <w:color w:val="auto"/>
          <w:lang w:eastAsia="zh-CN"/>
        </w:rPr>
        <w:t>（</w:t>
      </w:r>
      <w:r>
        <w:rPr>
          <w:rFonts w:hint="default"/>
          <w:color w:val="auto"/>
          <w:lang w:val="en-US" w:eastAsia="zh-CN"/>
        </w:rPr>
        <w:t>1</w:t>
      </w:r>
      <w:r>
        <w:rPr>
          <w:rFonts w:hint="default"/>
          <w:color w:val="auto"/>
          <w:lang w:eastAsia="zh-CN"/>
        </w:rPr>
        <w:t>）</w:t>
      </w:r>
      <w:r>
        <w:rPr>
          <w:rFonts w:hint="default"/>
          <w:color w:val="auto"/>
        </w:rPr>
        <w:t>硫化氢监测与安全防护</w:t>
      </w:r>
    </w:p>
    <w:p w14:paraId="240C0E76">
      <w:pPr>
        <w:pStyle w:val="79"/>
        <w:bidi w:val="0"/>
        <w:rPr>
          <w:rFonts w:hint="default"/>
          <w:color w:val="auto"/>
        </w:rPr>
      </w:pPr>
      <w:r>
        <w:rPr>
          <w:rFonts w:hint="default"/>
          <w:color w:val="auto"/>
        </w:rPr>
        <w:t>硫化氢监测与安全防护应按照《硫化氢环境人身防护规范》（SY/T 6277-2017）和《硫化氢环境天然气采集与处理安全规范》（SY/T6137-2017）要求进行。</w:t>
      </w:r>
    </w:p>
    <w:p w14:paraId="4D2E7F10">
      <w:pPr>
        <w:pStyle w:val="79"/>
        <w:bidi w:val="0"/>
        <w:rPr>
          <w:rFonts w:hint="default"/>
          <w:color w:val="auto"/>
        </w:rPr>
      </w:pPr>
      <w:r>
        <w:rPr>
          <w:rFonts w:hint="default"/>
          <w:color w:val="auto"/>
          <w:lang w:val="en-US" w:eastAsia="zh-CN"/>
        </w:rPr>
        <w:t>1）</w:t>
      </w:r>
      <w:r>
        <w:rPr>
          <w:rFonts w:hint="default"/>
          <w:color w:val="auto"/>
        </w:rPr>
        <w:t>作业人员巡检时应携带硫化氢监测仪（第1级预警阈值应设置为15mg/m³（或10ppm），第2级报警阈值应设置为30mg/m³（或20ppm），进入上述区域应注意是否有报警信号。</w:t>
      </w:r>
    </w:p>
    <w:p w14:paraId="72973551">
      <w:pPr>
        <w:pStyle w:val="79"/>
        <w:bidi w:val="0"/>
        <w:rPr>
          <w:rFonts w:hint="default"/>
          <w:color w:val="auto"/>
        </w:rPr>
      </w:pPr>
      <w:r>
        <w:rPr>
          <w:rFonts w:hint="default"/>
          <w:color w:val="auto"/>
          <w:lang w:val="en-US" w:eastAsia="zh-CN"/>
        </w:rPr>
        <w:t>2）</w:t>
      </w:r>
      <w:r>
        <w:rPr>
          <w:rFonts w:hint="default"/>
          <w:color w:val="auto"/>
        </w:rPr>
        <w:t>作业人员在检修和抢险作业时应携硫化氢</w:t>
      </w:r>
      <w:r>
        <w:rPr>
          <w:rFonts w:hint="eastAsia"/>
          <w:color w:val="auto"/>
          <w:lang w:val="en-US" w:eastAsia="zh-CN"/>
        </w:rPr>
        <w:t>监测</w:t>
      </w:r>
      <w:r>
        <w:rPr>
          <w:rFonts w:hint="default"/>
          <w:color w:val="auto"/>
        </w:rPr>
        <w:t>和正压式空气呼吸器。</w:t>
      </w:r>
    </w:p>
    <w:p w14:paraId="7CA65024">
      <w:pPr>
        <w:pStyle w:val="79"/>
        <w:bidi w:val="0"/>
        <w:rPr>
          <w:rFonts w:hint="default"/>
          <w:color w:val="auto"/>
        </w:rPr>
      </w:pPr>
      <w:r>
        <w:rPr>
          <w:rFonts w:hint="default"/>
          <w:color w:val="auto"/>
          <w:lang w:val="en-US" w:eastAsia="zh-CN"/>
        </w:rPr>
        <w:t>3）</w:t>
      </w:r>
      <w:r>
        <w:rPr>
          <w:rFonts w:hint="default"/>
          <w:color w:val="auto"/>
        </w:rPr>
        <w:t>当监测到空气中硫化氢的浓度达到15mg/m³（或10ppm）时，作业人员应检查泄漏点，准备防护用具，迅速打开排风扇，实施应急程序。</w:t>
      </w:r>
    </w:p>
    <w:p w14:paraId="7CFF3955">
      <w:pPr>
        <w:pStyle w:val="79"/>
        <w:bidi w:val="0"/>
        <w:rPr>
          <w:rFonts w:hint="default"/>
          <w:color w:val="auto"/>
        </w:rPr>
      </w:pPr>
      <w:r>
        <w:rPr>
          <w:rFonts w:hint="default"/>
          <w:color w:val="auto"/>
          <w:lang w:val="en-US" w:eastAsia="zh-CN"/>
        </w:rPr>
        <w:t>4）</w:t>
      </w:r>
      <w:r>
        <w:rPr>
          <w:rFonts w:hint="default"/>
          <w:color w:val="auto"/>
        </w:rPr>
        <w:t>当监测到空气中硫化氢的浓度达到30mg/m³（或20ppm）时，作业人员应该迅速打开排风扇，疏散人员。作业人员应戴上防护用具，进入紧急状态，立即实施应急方案。</w:t>
      </w:r>
    </w:p>
    <w:p w14:paraId="0AFD306A">
      <w:pPr>
        <w:pStyle w:val="79"/>
        <w:bidi w:val="0"/>
        <w:rPr>
          <w:rFonts w:hint="default"/>
          <w:color w:val="auto"/>
        </w:rPr>
      </w:pPr>
      <w:r>
        <w:rPr>
          <w:rFonts w:hint="default"/>
          <w:color w:val="auto"/>
          <w:lang w:val="en-US" w:eastAsia="zh-CN"/>
        </w:rPr>
        <w:t>5）</w:t>
      </w:r>
      <w:r>
        <w:rPr>
          <w:rFonts w:hint="default"/>
          <w:color w:val="auto"/>
        </w:rPr>
        <w:t>当监测到空气中硫化氢浓度达到150mg/m³（或100ppm）时，应组织周边危险区域内的作业人员有秩序地迅速向上风向撤离到安全区域。</w:t>
      </w:r>
    </w:p>
    <w:p w14:paraId="1699A210">
      <w:pPr>
        <w:pStyle w:val="79"/>
        <w:bidi w:val="0"/>
        <w:rPr>
          <w:rFonts w:hint="default"/>
          <w:color w:val="auto"/>
        </w:rPr>
      </w:pPr>
      <w:r>
        <w:rPr>
          <w:rFonts w:hint="default"/>
          <w:color w:val="auto"/>
          <w:lang w:eastAsia="zh-CN"/>
        </w:rPr>
        <w:t>（</w:t>
      </w:r>
      <w:r>
        <w:rPr>
          <w:rFonts w:hint="default"/>
          <w:color w:val="auto"/>
          <w:lang w:val="en-US" w:eastAsia="zh-CN"/>
        </w:rPr>
        <w:t>2</w:t>
      </w:r>
      <w:r>
        <w:rPr>
          <w:rFonts w:hint="default"/>
          <w:color w:val="auto"/>
          <w:lang w:eastAsia="zh-CN"/>
        </w:rPr>
        <w:t>）</w:t>
      </w:r>
      <w:r>
        <w:rPr>
          <w:rFonts w:hint="default"/>
          <w:color w:val="auto"/>
        </w:rPr>
        <w:t>预防措施</w:t>
      </w:r>
    </w:p>
    <w:p w14:paraId="6DA44C23">
      <w:pPr>
        <w:pStyle w:val="79"/>
        <w:bidi w:val="0"/>
        <w:rPr>
          <w:rFonts w:hint="default"/>
          <w:color w:val="auto"/>
        </w:rPr>
      </w:pPr>
      <w:r>
        <w:rPr>
          <w:rFonts w:hint="default"/>
          <w:color w:val="auto"/>
        </w:rPr>
        <w:t>在含硫化氢环境中的作业人员上岗前都应接受H</w:t>
      </w:r>
      <w:r>
        <w:rPr>
          <w:rFonts w:hint="default"/>
          <w:color w:val="auto"/>
          <w:vertAlign w:val="subscript"/>
        </w:rPr>
        <w:t>2</w:t>
      </w:r>
      <w:r>
        <w:rPr>
          <w:rFonts w:hint="default"/>
          <w:color w:val="auto"/>
        </w:rPr>
        <w:t>S危害及人身防护措施的培训，经考核合格后方能持证上岗。</w:t>
      </w:r>
    </w:p>
    <w:p w14:paraId="6ED04F63">
      <w:pPr>
        <w:pStyle w:val="79"/>
        <w:bidi w:val="0"/>
        <w:rPr>
          <w:rFonts w:hint="default"/>
          <w:color w:val="auto"/>
        </w:rPr>
      </w:pPr>
      <w:r>
        <w:rPr>
          <w:rFonts w:hint="default"/>
          <w:color w:val="auto"/>
          <w:lang w:val="en-US" w:eastAsia="zh-CN"/>
        </w:rPr>
        <w:t>1）</w:t>
      </w:r>
      <w:r>
        <w:rPr>
          <w:rFonts w:hint="default"/>
          <w:color w:val="auto"/>
        </w:rPr>
        <w:t>为避免无风和微风情况下硫化氢的积聚，可以使用防爆通风设备将有毒气体吹往期望的方向。</w:t>
      </w:r>
    </w:p>
    <w:p w14:paraId="1641C88B">
      <w:pPr>
        <w:pStyle w:val="79"/>
        <w:bidi w:val="0"/>
        <w:rPr>
          <w:rFonts w:hint="default"/>
          <w:color w:val="auto"/>
        </w:rPr>
      </w:pPr>
      <w:r>
        <w:rPr>
          <w:rFonts w:hint="default"/>
          <w:color w:val="auto"/>
          <w:lang w:val="en-US" w:eastAsia="zh-CN"/>
        </w:rPr>
        <w:t>2）</w:t>
      </w:r>
      <w:r>
        <w:rPr>
          <w:rFonts w:hint="default"/>
          <w:color w:val="auto"/>
        </w:rPr>
        <w:t>应特别注意低洼的工作区域，比如井口方井，由于较重的硫化氢或二氧化硫在这些地点的沉积，可能会达到有害的浓度。</w:t>
      </w:r>
    </w:p>
    <w:p w14:paraId="20E1EC37">
      <w:pPr>
        <w:pStyle w:val="79"/>
        <w:bidi w:val="0"/>
        <w:rPr>
          <w:rFonts w:hint="default"/>
          <w:color w:val="auto"/>
          <w:lang w:val="en-US" w:eastAsia="zh-CN"/>
        </w:rPr>
      </w:pPr>
      <w:r>
        <w:rPr>
          <w:rFonts w:hint="default"/>
          <w:color w:val="auto"/>
          <w:lang w:val="en-US" w:eastAsia="zh-CN"/>
        </w:rPr>
        <w:t>3）</w:t>
      </w:r>
      <w:r>
        <w:rPr>
          <w:rFonts w:hint="default"/>
          <w:color w:val="auto"/>
        </w:rPr>
        <w:t>当人员在达到硫化氢危险临界浓度〔150mg/m</w:t>
      </w:r>
      <w:r>
        <w:rPr>
          <w:rFonts w:hint="default"/>
          <w:color w:val="auto"/>
          <w:vertAlign w:val="superscript"/>
          <w:lang w:val="en-US" w:eastAsia="zh-CN"/>
        </w:rPr>
        <w:t>3</w:t>
      </w:r>
      <w:r>
        <w:rPr>
          <w:rFonts w:hint="default"/>
          <w:color w:val="auto"/>
        </w:rPr>
        <w:t>（100ppm）〕的大气环境中执行任务时，应有接受过救护技术培训的值班救护人员，同时应备有必要的救护设备，包括</w:t>
      </w:r>
      <w:r>
        <w:rPr>
          <w:rFonts w:hint="default"/>
          <w:color w:val="auto"/>
          <w:lang w:eastAsia="zh-CN"/>
        </w:rPr>
        <w:t>：</w:t>
      </w:r>
      <w:r>
        <w:rPr>
          <w:rFonts w:hint="default"/>
          <w:color w:val="auto"/>
        </w:rPr>
        <w:t>适用的呼吸器具。</w:t>
      </w:r>
    </w:p>
    <w:p w14:paraId="7A1EF028">
      <w:pPr>
        <w:pStyle w:val="55"/>
        <w:bidi w:val="0"/>
        <w:rPr>
          <w:rFonts w:hint="default"/>
          <w:color w:val="auto"/>
          <w:lang w:val="en-US" w:eastAsia="zh-CN"/>
        </w:rPr>
      </w:pPr>
      <w:r>
        <w:rPr>
          <w:rFonts w:hint="eastAsia"/>
          <w:color w:val="auto"/>
          <w:lang w:val="en-US" w:eastAsia="zh-CN"/>
        </w:rPr>
        <w:t>5.7.6.4 储罐</w:t>
      </w:r>
      <w:r>
        <w:rPr>
          <w:rFonts w:hint="default"/>
          <w:color w:val="auto"/>
          <w:lang w:val="en-US" w:eastAsia="zh-CN"/>
        </w:rPr>
        <w:t>泄漏事故风险防范措施</w:t>
      </w:r>
    </w:p>
    <w:p w14:paraId="7D65FFEA">
      <w:pPr>
        <w:keepNext w:val="0"/>
        <w:keepLines w:val="0"/>
        <w:pageBreakBefore w:val="0"/>
        <w:widowControl w:val="0"/>
        <w:shd w:val="clear" w:color="auto" w:fill="auto"/>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1</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甲醇储罐区</w:t>
      </w:r>
      <w:r>
        <w:rPr>
          <w:rFonts w:hint="eastAsia" w:cs="Times New Roman"/>
          <w:color w:val="auto"/>
          <w:kern w:val="0"/>
          <w:sz w:val="24"/>
          <w:szCs w:val="24"/>
          <w:highlight w:val="none"/>
          <w:lang w:val="en-US" w:eastAsia="zh-CN"/>
        </w:rPr>
        <w:t>、原油储罐区</w:t>
      </w:r>
      <w:r>
        <w:rPr>
          <w:rFonts w:hint="default" w:ascii="Times New Roman" w:hAnsi="Times New Roman" w:eastAsia="宋体" w:cs="Times New Roman"/>
          <w:color w:val="auto"/>
          <w:kern w:val="0"/>
          <w:sz w:val="24"/>
          <w:szCs w:val="24"/>
          <w:highlight w:val="none"/>
        </w:rPr>
        <w:t>应严格采取防渗措施，并在储罐周边设置围堰，防止事故情况下甲醇泄漏外流。</w:t>
      </w:r>
    </w:p>
    <w:p w14:paraId="6B675F5C">
      <w:pPr>
        <w:keepNext w:val="0"/>
        <w:keepLines w:val="0"/>
        <w:pageBreakBefore w:val="0"/>
        <w:widowControl w:val="0"/>
        <w:shd w:val="clear" w:color="auto" w:fill="auto"/>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2</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严格管理，并定期检查，及时发现泄漏情况。</w:t>
      </w:r>
    </w:p>
    <w:p w14:paraId="32B0EF1A">
      <w:pPr>
        <w:keepNext w:val="0"/>
        <w:keepLines w:val="0"/>
        <w:pageBreakBefore w:val="0"/>
        <w:widowControl w:val="0"/>
        <w:shd w:val="clear" w:color="auto" w:fill="auto"/>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3</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储罐区应按要求配备必要的应急器材。</w:t>
      </w:r>
    </w:p>
    <w:p w14:paraId="31856060">
      <w:pPr>
        <w:keepNext w:val="0"/>
        <w:keepLines w:val="0"/>
        <w:pageBreakBefore w:val="0"/>
        <w:widowControl w:val="0"/>
        <w:shd w:val="clear" w:color="auto" w:fill="auto"/>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4</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如发生泄漏事故，应及时切断电源，转移事故现场易燃、易爆物品，防止事故扩大。抢修人员应穿戴防化服、正压式呼吸器，确认泄漏点，利用雾状水枪和蒸汽管在不同方向对泄漏散发在空气中的甲醇蒸气进行雾喷驱赶、稀释，防止产生爆炸混合物，掩护其他人员对甲醇泄漏部位进行堵漏，并将泄漏物料进行覆盖及收集处理。如现场人员无法处理或控制，应及时向上级报告，并监测甲醇泄漏事故现场的变化情况。</w:t>
      </w:r>
    </w:p>
    <w:p w14:paraId="7F526DC2">
      <w:pPr>
        <w:keepNext w:val="0"/>
        <w:keepLines w:val="0"/>
        <w:pageBreakBefore w:val="0"/>
        <w:widowControl w:val="0"/>
        <w:shd w:val="clear" w:color="auto" w:fill="auto"/>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5</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如发生泄漏事故，应及时疏散周边人员，避免出现人员中毒等事故。</w:t>
      </w:r>
    </w:p>
    <w:p w14:paraId="4C0C545C">
      <w:pPr>
        <w:keepNext w:val="0"/>
        <w:keepLines w:val="0"/>
        <w:pageBreakBefore w:val="0"/>
        <w:widowControl w:val="0"/>
        <w:shd w:val="clear" w:color="auto" w:fill="auto"/>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6</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事故处理完毕后，应及时对泄漏现场进行彻底的清理，对处理过程中使用过的应急设施进行更新和维护。</w:t>
      </w:r>
    </w:p>
    <w:p w14:paraId="419329B6">
      <w:pPr>
        <w:pStyle w:val="55"/>
        <w:bidi w:val="0"/>
        <w:rPr>
          <w:rFonts w:hint="default"/>
          <w:color w:val="auto"/>
          <w:lang w:val="en-US" w:eastAsia="zh-CN"/>
        </w:rPr>
      </w:pPr>
      <w:r>
        <w:rPr>
          <w:rFonts w:hint="eastAsia"/>
          <w:color w:val="auto"/>
          <w:lang w:val="en-US" w:eastAsia="zh-CN"/>
        </w:rPr>
        <w:t>5.</w:t>
      </w:r>
      <w:r>
        <w:rPr>
          <w:rFonts w:hint="default"/>
          <w:color w:val="auto"/>
          <w:lang w:val="en-US" w:eastAsia="zh-CN"/>
        </w:rPr>
        <w:t>7.6.</w:t>
      </w:r>
      <w:r>
        <w:rPr>
          <w:rFonts w:hint="eastAsia"/>
          <w:color w:val="auto"/>
          <w:lang w:val="en-US" w:eastAsia="zh-CN"/>
        </w:rPr>
        <w:t>5</w:t>
      </w:r>
      <w:r>
        <w:rPr>
          <w:rFonts w:hint="default"/>
          <w:color w:val="auto"/>
          <w:lang w:val="en-US" w:eastAsia="zh-CN"/>
        </w:rPr>
        <w:t xml:space="preserve"> 管线安全运行措施</w:t>
      </w:r>
    </w:p>
    <w:p w14:paraId="27151952">
      <w:pPr>
        <w:pStyle w:val="79"/>
        <w:bidi w:val="0"/>
        <w:rPr>
          <w:rFonts w:hint="default"/>
          <w:color w:val="auto"/>
        </w:rPr>
      </w:pPr>
      <w:r>
        <w:rPr>
          <w:rFonts w:hint="default"/>
          <w:color w:val="auto"/>
        </w:rPr>
        <w:t>为了尽量避免管线破裂事故的发生，减轻管线破裂、泄漏事故对环境的影响，应采取以下安全环保措施：</w:t>
      </w:r>
    </w:p>
    <w:p w14:paraId="411F52C6">
      <w:pPr>
        <w:pStyle w:val="79"/>
        <w:bidi w:val="0"/>
        <w:rPr>
          <w:rFonts w:hint="default"/>
          <w:color w:val="auto"/>
        </w:rPr>
      </w:pPr>
      <w:r>
        <w:rPr>
          <w:rFonts w:hint="default"/>
          <w:color w:val="auto"/>
        </w:rPr>
        <w:t>（1）管线敷设过程中应严格按设计要求进行，确保埋设深度、防腐和保温质量，防止腐蚀管道。管线敷设线路上方设置永久性标志，提醒人们在管线两侧活动，保护管线的安全。</w:t>
      </w:r>
    </w:p>
    <w:p w14:paraId="14E0DA29">
      <w:pPr>
        <w:pStyle w:val="79"/>
        <w:bidi w:val="0"/>
        <w:rPr>
          <w:rFonts w:hint="default"/>
          <w:color w:val="auto"/>
        </w:rPr>
      </w:pPr>
      <w:r>
        <w:rPr>
          <w:rFonts w:hint="default"/>
          <w:color w:val="auto"/>
        </w:rPr>
        <w:t>（2）为了减轻管线的内外腐蚀，每年定期用超声波检测仪，测量1-2次管线内外防腐情况，若管壁厚度减薄，应及时更换管段。</w:t>
      </w:r>
    </w:p>
    <w:p w14:paraId="7C8B99BD">
      <w:pPr>
        <w:pStyle w:val="79"/>
        <w:bidi w:val="0"/>
        <w:rPr>
          <w:rFonts w:hint="default"/>
          <w:color w:val="auto"/>
        </w:rPr>
      </w:pPr>
      <w:r>
        <w:rPr>
          <w:rFonts w:hint="default"/>
          <w:color w:val="auto"/>
        </w:rPr>
        <w:t>（3）为保护管道不受深根系植被破坏，在管道上部土壤中可复耕一般农作物及种植浅根系植被。在对集输管道的日常巡线检查过程中，应将管道上覆土壤中会对管道构成破坏的深根系植被进行及时清理，以确保管道的安全运行。</w:t>
      </w:r>
    </w:p>
    <w:p w14:paraId="1A8141A4">
      <w:pPr>
        <w:pStyle w:val="79"/>
        <w:bidi w:val="0"/>
        <w:rPr>
          <w:rFonts w:hint="default"/>
          <w:color w:val="auto"/>
        </w:rPr>
      </w:pPr>
      <w:r>
        <w:rPr>
          <w:rFonts w:hint="default"/>
          <w:color w:val="auto"/>
        </w:rPr>
        <w:t>（4）机械失效及施工缺陷是导致事故的重要原因之一。根据我国的经验，管道焊接是最关键的工艺，焊接工应接受专门培训，持证上岗。</w:t>
      </w:r>
    </w:p>
    <w:p w14:paraId="65914E72">
      <w:pPr>
        <w:pStyle w:val="79"/>
        <w:bidi w:val="0"/>
        <w:rPr>
          <w:rFonts w:hint="default"/>
          <w:color w:val="auto"/>
        </w:rPr>
      </w:pPr>
      <w:r>
        <w:rPr>
          <w:rFonts w:hint="default"/>
          <w:color w:val="auto"/>
        </w:rPr>
        <w:t>（5）加强日常生产监督管理和安全运行检查工作，对各种设备、管线、油罐、阀门定期进行检查，防止跑、冒、滴、漏，及时巡查管线，消除事故隐患。</w:t>
      </w:r>
    </w:p>
    <w:p w14:paraId="78E36F3C">
      <w:pPr>
        <w:pStyle w:val="79"/>
        <w:bidi w:val="0"/>
        <w:rPr>
          <w:rFonts w:hint="default"/>
          <w:color w:val="auto"/>
        </w:rPr>
      </w:pPr>
      <w:r>
        <w:rPr>
          <w:rFonts w:hint="default"/>
          <w:color w:val="auto"/>
        </w:rPr>
        <w:t>（6）加强职工安全意识教育和安全生产技术培训，制定安全生产操作规程。</w:t>
      </w:r>
    </w:p>
    <w:p w14:paraId="7C3A70C9">
      <w:pPr>
        <w:pStyle w:val="79"/>
        <w:bidi w:val="0"/>
        <w:rPr>
          <w:rFonts w:hint="default"/>
          <w:color w:val="auto"/>
        </w:rPr>
      </w:pPr>
      <w:r>
        <w:rPr>
          <w:rFonts w:hint="default"/>
          <w:color w:val="auto"/>
        </w:rPr>
        <w:t>（7）集输管线敷设前，应加强对管材和焊接质量的检查，严禁使用不合格产品。对焊接质量严格检验，防止焊接缺陷造成泄漏事故的发生；按规定进行管道的定期检验、保养，及时更换易损及老化部件，防止</w:t>
      </w:r>
      <w:r>
        <w:rPr>
          <w:rFonts w:hint="default"/>
          <w:color w:val="auto"/>
          <w:lang w:val="en-US" w:eastAsia="zh-CN"/>
        </w:rPr>
        <w:t>原油</w:t>
      </w:r>
      <w:r>
        <w:rPr>
          <w:rFonts w:hint="default"/>
          <w:color w:val="auto"/>
        </w:rPr>
        <w:t>泄漏事故的发生。①管道敷设做好安全防范及防腐措施。新建管线跨越道路、沟渠等应根据《原油和天然气输送管道穿跨越工程设计规范》要求进行；②每年定期用超声波检测仪，测量1～2次管线腐蚀情况，</w:t>
      </w:r>
      <w:r>
        <w:rPr>
          <w:rFonts w:hint="eastAsia"/>
          <w:color w:val="auto"/>
          <w:lang w:eastAsia="zh-CN"/>
        </w:rPr>
        <w:t>发现</w:t>
      </w:r>
      <w:r>
        <w:rPr>
          <w:rFonts w:hint="default"/>
          <w:color w:val="auto"/>
        </w:rPr>
        <w:t>管壁厚度减小，应及时更换管段，以减小管线的盐碱腐蚀造成事故的</w:t>
      </w:r>
      <w:r>
        <w:rPr>
          <w:rFonts w:hint="default"/>
          <w:color w:val="auto"/>
          <w:lang w:eastAsia="zh-CN"/>
        </w:rPr>
        <w:t>概率</w:t>
      </w:r>
      <w:r>
        <w:rPr>
          <w:rFonts w:hint="default"/>
          <w:color w:val="auto"/>
        </w:rPr>
        <w:t>。当有风险事故发生时，立即启动应急预案，使事故带来的损失降低到最小。</w:t>
      </w:r>
    </w:p>
    <w:p w14:paraId="057A4A59">
      <w:pPr>
        <w:pStyle w:val="79"/>
        <w:bidi w:val="0"/>
        <w:rPr>
          <w:rFonts w:hint="default"/>
          <w:color w:val="auto"/>
          <w:lang w:val="en-US" w:eastAsia="zh-CN"/>
        </w:rPr>
      </w:pPr>
      <w:r>
        <w:rPr>
          <w:rFonts w:hint="default"/>
          <w:color w:val="auto"/>
          <w:lang w:val="en-US" w:eastAsia="zh-CN"/>
        </w:rPr>
        <w:t>（8）为了便于管线的安全运营，根据《管道干线标记设置技术规定》</w:t>
      </w:r>
      <w:r>
        <w:rPr>
          <w:rFonts w:hint="eastAsia"/>
          <w:color w:val="auto"/>
          <w:lang w:val="en-US" w:eastAsia="zh-CN"/>
        </w:rPr>
        <w:t>（</w:t>
      </w:r>
      <w:r>
        <w:rPr>
          <w:rFonts w:hint="default"/>
          <w:color w:val="auto"/>
          <w:lang w:val="en-US" w:eastAsia="zh-CN"/>
        </w:rPr>
        <w:t>SY/T6064-2011）的规定，沿线应设置以下标志桩：里程桩：管线每公里设置1个，每段从0+000m开始，一般与阴极保护测试桩合用。</w:t>
      </w:r>
    </w:p>
    <w:p w14:paraId="0E4D60B7">
      <w:pPr>
        <w:pStyle w:val="79"/>
        <w:bidi w:val="0"/>
        <w:rPr>
          <w:rFonts w:hint="default"/>
          <w:color w:val="auto"/>
          <w:lang w:val="en-US" w:eastAsia="zh-CN"/>
        </w:rPr>
      </w:pPr>
      <w:r>
        <w:rPr>
          <w:rFonts w:hint="default"/>
          <w:color w:val="auto"/>
          <w:lang w:val="en-US" w:eastAsia="zh-CN"/>
        </w:rPr>
        <w:t>转角桩：在管线水平方向改变位置，应设置转角桩，转角桩上要标明管线里程、转角角度等。</w:t>
      </w:r>
    </w:p>
    <w:p w14:paraId="2FADF585">
      <w:pPr>
        <w:pStyle w:val="79"/>
        <w:bidi w:val="0"/>
        <w:rPr>
          <w:rFonts w:hint="default"/>
          <w:color w:val="auto"/>
          <w:lang w:val="en-US" w:eastAsia="zh-CN"/>
        </w:rPr>
      </w:pPr>
      <w:r>
        <w:rPr>
          <w:rFonts w:hint="default"/>
          <w:color w:val="auto"/>
          <w:lang w:val="en-US" w:eastAsia="zh-CN"/>
        </w:rPr>
        <w:t>交叉桩：凡是与地下管道、电（光）缆交叉的位置，应设置交叉桩。交叉桩上应注明线路里程、交叉物名称、与交叉物的关系等。</w:t>
      </w:r>
    </w:p>
    <w:p w14:paraId="745C33ED">
      <w:pPr>
        <w:pStyle w:val="79"/>
        <w:bidi w:val="0"/>
        <w:rPr>
          <w:rFonts w:hint="default"/>
          <w:color w:val="auto"/>
          <w:lang w:val="en-US" w:eastAsia="zh-CN"/>
        </w:rPr>
      </w:pPr>
      <w:r>
        <w:rPr>
          <w:rFonts w:hint="default"/>
          <w:color w:val="auto"/>
          <w:lang w:val="en-US" w:eastAsia="zh-CN"/>
        </w:rPr>
        <w:t>结构桩：当管道外防腐层或管壁发生长距离变化时，在变化位置处设置结构桩，桩上要标明线路里程及变化前后的结构属性等。</w:t>
      </w:r>
    </w:p>
    <w:p w14:paraId="2B886D84">
      <w:pPr>
        <w:pStyle w:val="79"/>
        <w:bidi w:val="0"/>
        <w:rPr>
          <w:rFonts w:hint="default"/>
          <w:color w:val="auto"/>
          <w:lang w:val="en-US" w:eastAsia="zh-CN"/>
        </w:rPr>
      </w:pPr>
      <w:r>
        <w:rPr>
          <w:rFonts w:hint="default"/>
          <w:color w:val="auto"/>
          <w:lang w:val="en-US" w:eastAsia="zh-CN"/>
        </w:rPr>
        <w:t>设施桩：当管道上有特殊设施时应设置设施桩，桩上要标明管线里程、设施的名称及规格。</w:t>
      </w:r>
    </w:p>
    <w:p w14:paraId="25E42DDB">
      <w:pPr>
        <w:pStyle w:val="79"/>
        <w:bidi w:val="0"/>
        <w:rPr>
          <w:rFonts w:hint="default"/>
          <w:color w:val="auto"/>
          <w:lang w:val="en-US" w:eastAsia="zh-CN"/>
        </w:rPr>
      </w:pPr>
      <w:r>
        <w:rPr>
          <w:rFonts w:hint="default"/>
          <w:color w:val="auto"/>
          <w:lang w:val="en-US" w:eastAsia="zh-CN"/>
        </w:rPr>
        <w:t>（9）加强自动控制系统的管理和控制，严格控制压力平衡。在集输系统运营期间，严格控制输送油气的性质；定期对管线进行超声波检查，对壁厚低于规定要求的管段应及时更换，消除爆管的隐患；定期对输送管线上的安全保护设施，如截断阀、安全阀、放空系统等进行检查，使管道在超压时能够得到安全处理，在管道破裂时能够及时截断上下游管段，以减少事故时油气的释放量，使危害影响范围减小到最低程度。</w:t>
      </w:r>
    </w:p>
    <w:p w14:paraId="4B94BCD0">
      <w:pPr>
        <w:pStyle w:val="79"/>
        <w:bidi w:val="0"/>
        <w:rPr>
          <w:rFonts w:hint="default"/>
          <w:color w:val="auto"/>
          <w:lang w:val="en-US" w:eastAsia="zh-CN"/>
        </w:rPr>
      </w:pPr>
      <w:r>
        <w:rPr>
          <w:rFonts w:hint="default"/>
          <w:color w:val="auto"/>
          <w:lang w:val="en-US" w:eastAsia="zh-CN"/>
        </w:rPr>
        <w:t>输送管道建成投产后，重点应在以下几个方面加强管理：</w:t>
      </w:r>
    </w:p>
    <w:p w14:paraId="161578F2">
      <w:pPr>
        <w:pStyle w:val="79"/>
        <w:bidi w:val="0"/>
        <w:rPr>
          <w:rFonts w:hint="default"/>
          <w:color w:val="auto"/>
          <w:lang w:val="en-US" w:eastAsia="zh-CN"/>
        </w:rPr>
      </w:pPr>
      <w:r>
        <w:rPr>
          <w:rFonts w:hint="default"/>
          <w:color w:val="auto"/>
          <w:lang w:val="en-US" w:eastAsia="zh-CN"/>
        </w:rPr>
        <w:t>（1）加强通信系统、自控系统的维护管理，定期对各类仪表、设备进行监测和检验，确保正常操作和事故状态下及时动作，以防止事故的进一步扩大。确保阴极保护系统的正常运行，对管道腐蚀状况要进行监测，发现问题及时采取措施。</w:t>
      </w:r>
    </w:p>
    <w:p w14:paraId="179101D2">
      <w:pPr>
        <w:pStyle w:val="79"/>
        <w:bidi w:val="0"/>
        <w:rPr>
          <w:rFonts w:hint="default"/>
          <w:color w:val="auto"/>
          <w:lang w:val="en-US" w:eastAsia="zh-CN"/>
        </w:rPr>
      </w:pPr>
      <w:r>
        <w:rPr>
          <w:rFonts w:hint="default"/>
          <w:color w:val="auto"/>
          <w:lang w:val="en-US" w:eastAsia="zh-CN"/>
        </w:rPr>
        <w:t>（2）加强对管道穿跨越段保护设施的维护管理和沿线的巡查，以及强化管道安全保护的宣传教育，提高沿线人民群众公共安全意识，最大限度地减少自然灾害和人为因素对管道的破坏。确保阴极保护系统的正常运行，对管道腐蚀状况要进行监测，发现问题及时采取措施。</w:t>
      </w:r>
    </w:p>
    <w:p w14:paraId="68A136E8">
      <w:pPr>
        <w:pStyle w:val="79"/>
        <w:bidi w:val="0"/>
        <w:rPr>
          <w:rFonts w:hint="default"/>
          <w:color w:val="auto"/>
          <w:lang w:val="en-US" w:eastAsia="zh-CN"/>
        </w:rPr>
      </w:pPr>
      <w:r>
        <w:rPr>
          <w:rFonts w:hint="default"/>
          <w:color w:val="auto"/>
          <w:lang w:val="en-US" w:eastAsia="zh-CN"/>
        </w:rPr>
        <w:t>（3）工程建成后运营期间，随时间的推移，管道周围的地形地貌及地质环境有可能发生改变，从而出现意外情况。因此建议对地质灾害发育地段，加强巡视检测及定期检查，发现隐患及时上报有关部门，以便采取有效措施。</w:t>
      </w:r>
    </w:p>
    <w:p w14:paraId="743FC1A4">
      <w:pPr>
        <w:pStyle w:val="79"/>
        <w:bidi w:val="0"/>
        <w:rPr>
          <w:rFonts w:hint="default"/>
          <w:color w:val="auto"/>
          <w:lang w:val="en-US" w:eastAsia="zh-CN"/>
        </w:rPr>
      </w:pPr>
      <w:r>
        <w:rPr>
          <w:rFonts w:hint="default"/>
          <w:color w:val="auto"/>
          <w:lang w:val="en-US" w:eastAsia="zh-CN"/>
        </w:rPr>
        <w:t>（4）根据管道沿线地质、地理、地貌、水文、气象环境条件，因地制宜地制定自然灾害防护措施。</w:t>
      </w:r>
    </w:p>
    <w:p w14:paraId="6A510E5B">
      <w:pPr>
        <w:pStyle w:val="79"/>
        <w:bidi w:val="0"/>
        <w:rPr>
          <w:rFonts w:hint="default"/>
          <w:color w:val="auto"/>
          <w:lang w:val="en-US" w:eastAsia="zh-CN"/>
        </w:rPr>
      </w:pPr>
      <w:r>
        <w:rPr>
          <w:rFonts w:hint="default"/>
          <w:color w:val="auto"/>
          <w:lang w:val="en-US" w:eastAsia="zh-CN"/>
        </w:rPr>
        <w:t>（5）在输送管道运行过程中，有可能出现人为的或自然灾害造成的突发性事故，必须及时对管道进行抢修；为保证输气管道安全，对管道必须进行有计划的维修。为了保障人民生命和财产的安全，必须建立完善的管道维修及抢修体系，设立专业化管理的维修及抢修队伍，配备齐全的维抢修设备、机具，确保事故状态下能及时到位，并在最短时间内完成管道的维抢修作业。</w:t>
      </w:r>
    </w:p>
    <w:p w14:paraId="5A7C6ABF">
      <w:pPr>
        <w:pStyle w:val="79"/>
        <w:bidi w:val="0"/>
        <w:rPr>
          <w:rFonts w:hint="default"/>
          <w:color w:val="auto"/>
          <w:lang w:val="en-US" w:eastAsia="zh-CN"/>
        </w:rPr>
      </w:pPr>
      <w:r>
        <w:rPr>
          <w:rFonts w:hint="default"/>
          <w:color w:val="auto"/>
          <w:lang w:val="en-US" w:eastAsia="zh-CN"/>
        </w:rPr>
        <w:t>（6）从工程筹建起就要建立技术档案，包括各种技术报表、安全操作规程、安全规章制度、电气设施检测数据等，为安全生产管理提供依据。</w:t>
      </w:r>
    </w:p>
    <w:p w14:paraId="59AD9DD5">
      <w:pPr>
        <w:pStyle w:val="79"/>
        <w:bidi w:val="0"/>
        <w:rPr>
          <w:rFonts w:hint="default"/>
          <w:color w:val="auto"/>
          <w:lang w:val="en-US" w:eastAsia="zh-CN"/>
        </w:rPr>
      </w:pPr>
      <w:r>
        <w:rPr>
          <w:rFonts w:hint="default"/>
          <w:color w:val="auto"/>
          <w:lang w:val="en-US" w:eastAsia="zh-CN"/>
        </w:rPr>
        <w:t>（7）重要危险点的仪表（流量、压力等）应有备用件，当工艺流程或仪表设备有变动时，应及时换发新操作规程或修改仪表设备档案。</w:t>
      </w:r>
    </w:p>
    <w:p w14:paraId="29AC1BC4">
      <w:pPr>
        <w:pStyle w:val="79"/>
        <w:bidi w:val="0"/>
        <w:rPr>
          <w:rFonts w:hint="default"/>
          <w:color w:val="auto"/>
          <w:lang w:val="en-US" w:eastAsia="zh-CN"/>
        </w:rPr>
      </w:pPr>
      <w:r>
        <w:rPr>
          <w:rFonts w:hint="default"/>
          <w:color w:val="auto"/>
          <w:lang w:val="en-US" w:eastAsia="zh-CN"/>
        </w:rPr>
        <w:t>（8）通过清管排除管内污物，达到防止内腐蚀的目的。根据管道运行状况合理制定清管周期并及时组织管道的清管，特别是投产初期更应引起注意。</w:t>
      </w:r>
    </w:p>
    <w:p w14:paraId="7A267FCB">
      <w:pPr>
        <w:pStyle w:val="79"/>
        <w:bidi w:val="0"/>
        <w:rPr>
          <w:rFonts w:hint="default"/>
          <w:color w:val="auto"/>
          <w:lang w:val="en-US" w:eastAsia="zh-CN"/>
        </w:rPr>
      </w:pPr>
      <w:r>
        <w:rPr>
          <w:rFonts w:hint="default"/>
          <w:color w:val="auto"/>
          <w:lang w:val="en-US" w:eastAsia="zh-CN"/>
        </w:rPr>
        <w:t>（9）定期对管道进行内、外检测和评估，掌握管道强度和完整性等数据，建立检测档案，从而可有计划地进行管道维修，减少穿孔泄漏事故；加强管道腐蚀控制，尽快推行并实施管道完整性管理。</w:t>
      </w:r>
    </w:p>
    <w:p w14:paraId="74544817">
      <w:pPr>
        <w:pStyle w:val="79"/>
        <w:bidi w:val="0"/>
        <w:rPr>
          <w:rFonts w:hint="default"/>
          <w:color w:val="auto"/>
          <w:lang w:val="en-US" w:eastAsia="zh-CN"/>
        </w:rPr>
      </w:pPr>
      <w:r>
        <w:rPr>
          <w:rFonts w:hint="default"/>
          <w:color w:val="auto"/>
          <w:lang w:val="en-US" w:eastAsia="zh-CN"/>
        </w:rPr>
        <w:t>（10）加大管道周围安全隐患的治理力度，遏制违章建筑及占压；对于管道上方及附近的开荒行为加强监督，防止破坏管道；严禁挖沙取土。</w:t>
      </w:r>
    </w:p>
    <w:p w14:paraId="159D62D6">
      <w:pPr>
        <w:pStyle w:val="79"/>
        <w:bidi w:val="0"/>
        <w:rPr>
          <w:rFonts w:hint="default"/>
          <w:color w:val="auto"/>
          <w:lang w:val="en-US" w:eastAsia="zh-CN"/>
        </w:rPr>
      </w:pPr>
      <w:r>
        <w:rPr>
          <w:rFonts w:hint="default"/>
          <w:color w:val="auto"/>
          <w:lang w:val="en-US" w:eastAsia="zh-CN"/>
        </w:rPr>
        <w:t>（11）治理输送管道的安全隐患，必须依靠管道沿线各级地方政府及有关单位，建议管理单位与地方政府及有关部门及时进行沟通联系和密切协作，建立不同形式的联防网络，进行联合治理，加大管道周围安全隐患的治理力度，有效遏制违章建筑及占压。</w:t>
      </w:r>
      <w:r>
        <w:rPr>
          <w:rFonts w:hint="eastAsia"/>
          <w:color w:val="auto"/>
          <w:lang w:val="en-US" w:eastAsia="zh-CN"/>
        </w:rPr>
        <w:t>按照</w:t>
      </w:r>
      <w:r>
        <w:rPr>
          <w:rFonts w:hint="default"/>
          <w:color w:val="auto"/>
          <w:lang w:val="en-US" w:eastAsia="zh-CN"/>
        </w:rPr>
        <w:t>《中华人民共和国石油天然气管道保护法》的要求，禁</w:t>
      </w:r>
      <w:r>
        <w:rPr>
          <w:rFonts w:hint="eastAsia"/>
          <w:color w:val="auto"/>
          <w:lang w:val="en-US" w:eastAsia="zh-CN"/>
        </w:rPr>
        <w:t>止在</w:t>
      </w:r>
      <w:r>
        <w:rPr>
          <w:rFonts w:hint="default"/>
          <w:color w:val="auto"/>
          <w:lang w:val="en-US" w:eastAsia="zh-CN"/>
        </w:rPr>
        <w:t>管道两侧5m范围新建居民住宅；50m范围内禁止爆破、</w:t>
      </w:r>
      <w:r>
        <w:rPr>
          <w:rFonts w:hint="eastAsia"/>
          <w:color w:val="auto"/>
          <w:lang w:val="en-US" w:eastAsia="zh-CN"/>
        </w:rPr>
        <w:t>开挖</w:t>
      </w:r>
      <w:r>
        <w:rPr>
          <w:rFonts w:hint="default"/>
          <w:color w:val="auto"/>
          <w:lang w:val="en-US" w:eastAsia="zh-CN"/>
        </w:rPr>
        <w:t>和修筑大型建筑物、构筑物工程；在管道中心线两侧各50m至500m范围内进行爆破的，应当事先征得管道企业同意，在采取安全保护措施后方可进行；加强天然气管道安全宣传工作，减少第三方破坏活动的发生。</w:t>
      </w:r>
    </w:p>
    <w:p w14:paraId="6568277C">
      <w:pPr>
        <w:pStyle w:val="79"/>
        <w:bidi w:val="0"/>
        <w:rPr>
          <w:rFonts w:hint="default"/>
          <w:color w:val="auto"/>
          <w:lang w:val="en-US" w:eastAsia="zh-CN"/>
        </w:rPr>
      </w:pPr>
      <w:r>
        <w:rPr>
          <w:rFonts w:hint="default"/>
          <w:color w:val="auto"/>
          <w:lang w:val="en-US" w:eastAsia="zh-CN"/>
        </w:rPr>
        <w:t>（12）管理单位应加强重点地段管道的维护管理力度，建立完善的巡线制度，固定专门的巡线人员，配备专用的巡线车辆及器材，提高重点地段管线的巡线频率，坚持徒步巡线，保证不间断地对管道进行巡查，及时发现并处理现场所存在的隐患和问题，减小事故发生</w:t>
      </w:r>
      <w:r>
        <w:rPr>
          <w:rFonts w:hint="eastAsia"/>
          <w:color w:val="auto"/>
          <w:lang w:val="en-US" w:eastAsia="zh-CN"/>
        </w:rPr>
        <w:t>的概率</w:t>
      </w:r>
      <w:r>
        <w:rPr>
          <w:rFonts w:hint="default"/>
          <w:color w:val="auto"/>
          <w:lang w:val="en-US" w:eastAsia="zh-CN"/>
        </w:rPr>
        <w:t>；缩短重点地段管线的内、外检测周期，根据管道的内外腐蚀、埋深、损伤变形等的检测结果，及时采取相应的整改措施；增大沿线标志桩或警示牌的设置密度，以标示管道的准确走向，减少违章建筑和危及管道安全事故的发生；针对重点地段管线的特点，编制可能发生事故的专项应急救援预案，加强事故应急救援预案的演习和实施，减少事故造成的损失。</w:t>
      </w:r>
    </w:p>
    <w:p w14:paraId="655D751A">
      <w:pPr>
        <w:pStyle w:val="55"/>
        <w:bidi w:val="0"/>
        <w:rPr>
          <w:rFonts w:hint="default"/>
          <w:color w:val="auto"/>
          <w:lang w:val="en-US" w:eastAsia="zh-CN"/>
        </w:rPr>
      </w:pPr>
      <w:r>
        <w:rPr>
          <w:rFonts w:hint="eastAsia"/>
          <w:color w:val="auto"/>
          <w:lang w:val="en-US" w:eastAsia="zh-CN"/>
        </w:rPr>
        <w:t>5.</w:t>
      </w:r>
      <w:r>
        <w:rPr>
          <w:rFonts w:hint="default"/>
          <w:color w:val="auto"/>
          <w:lang w:val="en-US" w:eastAsia="zh-CN"/>
        </w:rPr>
        <w:t>7.6.</w:t>
      </w:r>
      <w:r>
        <w:rPr>
          <w:rFonts w:hint="eastAsia"/>
          <w:color w:val="auto"/>
          <w:lang w:val="en-US" w:eastAsia="zh-CN"/>
        </w:rPr>
        <w:t>6</w:t>
      </w:r>
      <w:r>
        <w:rPr>
          <w:rFonts w:hint="default"/>
          <w:color w:val="auto"/>
          <w:lang w:val="en-US" w:eastAsia="zh-CN"/>
        </w:rPr>
        <w:t xml:space="preserve"> 站场事故风险防范措施</w:t>
      </w:r>
    </w:p>
    <w:p w14:paraId="276E96C4">
      <w:pPr>
        <w:pStyle w:val="79"/>
        <w:bidi w:val="0"/>
        <w:rPr>
          <w:rFonts w:hint="default"/>
          <w:color w:val="auto"/>
          <w:lang w:val="en-US" w:eastAsia="zh-CN"/>
        </w:rPr>
      </w:pPr>
      <w:r>
        <w:rPr>
          <w:rFonts w:hint="default"/>
          <w:color w:val="auto"/>
          <w:lang w:val="en-US" w:eastAsia="zh-CN"/>
        </w:rPr>
        <w:t>（1）平面布局科学合理：平面布置中尽量将火灾危险性相近的设施集中布置，并保持规定的防火距离；将全场内的明火点控制到最少，并布置在油气生产区场地边缘部位；有油气散发的场所布置在有明火或散发火花地点的当地全年最小频率风向的上风侧。</w:t>
      </w:r>
    </w:p>
    <w:p w14:paraId="69401324">
      <w:pPr>
        <w:pStyle w:val="79"/>
        <w:bidi w:val="0"/>
        <w:rPr>
          <w:rFonts w:hint="default"/>
          <w:color w:val="auto"/>
          <w:lang w:val="en-US" w:eastAsia="zh-CN"/>
        </w:rPr>
      </w:pPr>
      <w:r>
        <w:rPr>
          <w:rFonts w:hint="default"/>
          <w:color w:val="auto"/>
          <w:lang w:val="en-US" w:eastAsia="zh-CN"/>
        </w:rPr>
        <w:t>（2）在建、构筑物区域内设置接地装置，必要时可加装消雷器。工艺设备、塔、架等设置防静电接地装置；变压器等采用避雷器作为防雷保护。</w:t>
      </w:r>
    </w:p>
    <w:p w14:paraId="425C14BC">
      <w:pPr>
        <w:pStyle w:val="79"/>
        <w:bidi w:val="0"/>
        <w:rPr>
          <w:rFonts w:hint="default"/>
          <w:color w:val="auto"/>
          <w:lang w:val="en-US" w:eastAsia="zh-CN"/>
        </w:rPr>
      </w:pPr>
      <w:r>
        <w:rPr>
          <w:rFonts w:hint="default"/>
          <w:color w:val="auto"/>
          <w:lang w:val="en-US" w:eastAsia="zh-CN"/>
        </w:rPr>
        <w:t>（3）按规定配置齐全各类消防设施，并定期进行检查，保持完好可用。</w:t>
      </w:r>
    </w:p>
    <w:p w14:paraId="06876718">
      <w:pPr>
        <w:pStyle w:val="79"/>
        <w:bidi w:val="0"/>
        <w:rPr>
          <w:rFonts w:hint="default"/>
          <w:color w:val="auto"/>
          <w:lang w:val="en-US" w:eastAsia="zh-CN"/>
        </w:rPr>
      </w:pPr>
      <w:r>
        <w:rPr>
          <w:rFonts w:hint="default"/>
          <w:color w:val="auto"/>
          <w:lang w:val="en-US" w:eastAsia="zh-CN"/>
        </w:rPr>
        <w:t>（4）站场内的装置区、泵房等均为爆炸火灾危险区域，区域内的配电设备均应采用防爆型；根据各建筑物的不同防爆等级采取相应的防爆措施。</w:t>
      </w:r>
    </w:p>
    <w:p w14:paraId="306DF2EA">
      <w:pPr>
        <w:pStyle w:val="79"/>
        <w:bidi w:val="0"/>
        <w:rPr>
          <w:rFonts w:hint="default"/>
          <w:color w:val="auto"/>
          <w:lang w:val="en-US" w:eastAsia="zh-CN"/>
        </w:rPr>
      </w:pPr>
      <w:r>
        <w:rPr>
          <w:rFonts w:hint="default"/>
          <w:color w:val="auto"/>
          <w:lang w:val="en-US" w:eastAsia="zh-CN"/>
        </w:rPr>
        <w:t>（5）在可能产生易燃易爆介质泄漏的地方，设置可燃气体检测报警器，以便及时发现事故隐患。</w:t>
      </w:r>
    </w:p>
    <w:p w14:paraId="1C3B2CA8">
      <w:pPr>
        <w:pStyle w:val="55"/>
        <w:bidi w:val="0"/>
        <w:rPr>
          <w:rFonts w:hint="default"/>
          <w:color w:val="auto"/>
          <w:lang w:val="en-US" w:eastAsia="zh-CN"/>
        </w:rPr>
      </w:pPr>
      <w:r>
        <w:rPr>
          <w:rFonts w:hint="eastAsia"/>
          <w:color w:val="auto"/>
          <w:lang w:val="en-US" w:eastAsia="zh-CN"/>
        </w:rPr>
        <w:t>5.</w:t>
      </w:r>
      <w:r>
        <w:rPr>
          <w:rFonts w:hint="default"/>
          <w:color w:val="auto"/>
          <w:lang w:val="en-US" w:eastAsia="zh-CN"/>
        </w:rPr>
        <w:t>7.6.</w:t>
      </w:r>
      <w:r>
        <w:rPr>
          <w:rFonts w:hint="eastAsia"/>
          <w:color w:val="auto"/>
          <w:lang w:val="en-US" w:eastAsia="zh-CN"/>
        </w:rPr>
        <w:t>7</w:t>
      </w:r>
      <w:r>
        <w:rPr>
          <w:rFonts w:hint="default"/>
          <w:color w:val="auto"/>
          <w:lang w:val="en-US" w:eastAsia="zh-CN"/>
        </w:rPr>
        <w:t xml:space="preserve"> 井喷事故的风险防范措施</w:t>
      </w:r>
    </w:p>
    <w:p w14:paraId="47210FAA">
      <w:pPr>
        <w:keepNext w:val="0"/>
        <w:keepLines w:val="0"/>
        <w:pageBreakBefore w:val="0"/>
        <w:widowControl w:val="0"/>
        <w:shd w:val="clear"/>
        <w:kinsoku/>
        <w:wordWrap/>
        <w:overflowPunct/>
        <w:topLinePunct w:val="0"/>
        <w:autoSpaceDE/>
        <w:autoSpaceDN/>
        <w:bidi w:val="0"/>
        <w:adjustRightInd/>
        <w:snapToGrid w:val="0"/>
        <w:spacing w:line="480" w:lineRule="exact"/>
        <w:ind w:firstLine="480" w:firstLineChars="200"/>
        <w:textAlignment w:val="auto"/>
        <w:rPr>
          <w:rFonts w:hint="default" w:ascii="Times New Roman" w:hAnsi="Times New Roman" w:eastAsia="宋体" w:cs="Times New Roman"/>
          <w:snapToGrid w:val="0"/>
          <w:color w:val="auto"/>
          <w:kern w:val="2"/>
          <w:sz w:val="24"/>
          <w:szCs w:val="20"/>
          <w:highlight w:val="none"/>
          <w:lang w:val="en-US" w:eastAsia="zh-CN" w:bidi="ar-SA"/>
        </w:rPr>
      </w:pPr>
      <w:r>
        <w:rPr>
          <w:rFonts w:hint="default" w:ascii="Times New Roman" w:hAnsi="Times New Roman" w:eastAsia="宋体" w:cs="Times New Roman"/>
          <w:snapToGrid w:val="0"/>
          <w:color w:val="auto"/>
          <w:kern w:val="2"/>
          <w:sz w:val="24"/>
          <w:szCs w:val="20"/>
          <w:highlight w:val="none"/>
          <w:lang w:val="en-US" w:eastAsia="zh-CN" w:bidi="ar-SA"/>
        </w:rPr>
        <w:t>本工程</w:t>
      </w:r>
      <w:r>
        <w:rPr>
          <w:rFonts w:hint="eastAsia" w:cs="Times New Roman"/>
          <w:snapToGrid w:val="0"/>
          <w:color w:val="auto"/>
          <w:kern w:val="2"/>
          <w:sz w:val="24"/>
          <w:szCs w:val="20"/>
          <w:highlight w:val="none"/>
          <w:lang w:val="en-US" w:eastAsia="zh-CN" w:bidi="ar-SA"/>
        </w:rPr>
        <w:t>必须</w:t>
      </w:r>
      <w:r>
        <w:rPr>
          <w:rFonts w:hint="default" w:ascii="Times New Roman" w:hAnsi="Times New Roman" w:eastAsia="宋体" w:cs="Times New Roman"/>
          <w:snapToGrid w:val="0"/>
          <w:color w:val="auto"/>
          <w:kern w:val="2"/>
          <w:sz w:val="24"/>
          <w:szCs w:val="20"/>
          <w:highlight w:val="none"/>
          <w:lang w:val="en-US" w:eastAsia="zh-CN" w:bidi="ar-SA"/>
        </w:rPr>
        <w:t>高度重视安全生产，要积极采取预防井喷发生的措施：</w:t>
      </w:r>
    </w:p>
    <w:p w14:paraId="6C935FD7">
      <w:pPr>
        <w:keepNext w:val="0"/>
        <w:keepLines w:val="0"/>
        <w:pageBreakBefore w:val="0"/>
        <w:widowControl w:val="0"/>
        <w:shd w:val="clear"/>
        <w:kinsoku/>
        <w:wordWrap/>
        <w:overflowPunct/>
        <w:topLinePunct w:val="0"/>
        <w:autoSpaceDE/>
        <w:autoSpaceDN/>
        <w:bidi w:val="0"/>
        <w:adjustRightInd/>
        <w:snapToGrid w:val="0"/>
        <w:spacing w:line="480" w:lineRule="exact"/>
        <w:ind w:firstLine="480" w:firstLineChars="200"/>
        <w:textAlignment w:val="auto"/>
        <w:rPr>
          <w:rFonts w:hint="default" w:ascii="Times New Roman" w:hAnsi="Times New Roman" w:eastAsia="宋体" w:cs="Times New Roman"/>
          <w:snapToGrid w:val="0"/>
          <w:color w:val="auto"/>
          <w:kern w:val="2"/>
          <w:sz w:val="24"/>
          <w:szCs w:val="20"/>
          <w:highlight w:val="none"/>
          <w:lang w:val="en-US" w:eastAsia="zh-CN" w:bidi="ar-SA"/>
        </w:rPr>
      </w:pPr>
      <w:r>
        <w:rPr>
          <w:rFonts w:hint="default" w:ascii="Times New Roman" w:hAnsi="Times New Roman" w:eastAsia="宋体" w:cs="Times New Roman"/>
          <w:snapToGrid w:val="0"/>
          <w:color w:val="auto"/>
          <w:kern w:val="2"/>
          <w:sz w:val="24"/>
          <w:szCs w:val="20"/>
          <w:highlight w:val="none"/>
          <w:lang w:val="en-US" w:eastAsia="zh-CN" w:bidi="ar-SA"/>
        </w:rPr>
        <w:t>（1）由于硫化氢气体的特殊性质，</w:t>
      </w:r>
      <w:r>
        <w:rPr>
          <w:rFonts w:hint="eastAsia" w:cs="Times New Roman"/>
          <w:snapToGrid w:val="0"/>
          <w:color w:val="auto"/>
          <w:kern w:val="2"/>
          <w:sz w:val="24"/>
          <w:szCs w:val="20"/>
          <w:highlight w:val="none"/>
          <w:lang w:val="en-US" w:eastAsia="zh-CN" w:bidi="ar-SA"/>
        </w:rPr>
        <w:t>做好</w:t>
      </w:r>
      <w:r>
        <w:rPr>
          <w:rFonts w:hint="default" w:ascii="Times New Roman" w:hAnsi="Times New Roman" w:eastAsia="宋体" w:cs="Times New Roman"/>
          <w:snapToGrid w:val="0"/>
          <w:color w:val="auto"/>
          <w:kern w:val="2"/>
          <w:sz w:val="24"/>
          <w:szCs w:val="20"/>
          <w:highlight w:val="none"/>
          <w:lang w:val="en-US" w:eastAsia="zh-CN" w:bidi="ar-SA"/>
        </w:rPr>
        <w:t>空气中硫化氢含量的监测，及时得到井喷的预警信息，采取必要手段预防井喷。</w:t>
      </w:r>
    </w:p>
    <w:p w14:paraId="2FD48047">
      <w:pPr>
        <w:keepNext w:val="0"/>
        <w:keepLines w:val="0"/>
        <w:pageBreakBefore w:val="0"/>
        <w:widowControl w:val="0"/>
        <w:shd w:val="clear"/>
        <w:kinsoku/>
        <w:wordWrap/>
        <w:overflowPunct/>
        <w:topLinePunct w:val="0"/>
        <w:autoSpaceDE/>
        <w:autoSpaceDN/>
        <w:bidi w:val="0"/>
        <w:adjustRightInd/>
        <w:snapToGrid w:val="0"/>
        <w:spacing w:line="480" w:lineRule="exact"/>
        <w:ind w:firstLine="480" w:firstLineChars="200"/>
        <w:textAlignment w:val="auto"/>
        <w:rPr>
          <w:rFonts w:hint="default" w:ascii="Times New Roman" w:hAnsi="Times New Roman" w:eastAsia="宋体" w:cs="Times New Roman"/>
          <w:snapToGrid w:val="0"/>
          <w:color w:val="auto"/>
          <w:kern w:val="2"/>
          <w:sz w:val="24"/>
          <w:szCs w:val="20"/>
          <w:highlight w:val="none"/>
          <w:lang w:val="en-US" w:eastAsia="zh-CN" w:bidi="ar-SA"/>
        </w:rPr>
      </w:pPr>
      <w:r>
        <w:rPr>
          <w:rFonts w:hint="default" w:ascii="Times New Roman" w:hAnsi="Times New Roman" w:eastAsia="宋体" w:cs="Times New Roman"/>
          <w:snapToGrid w:val="0"/>
          <w:color w:val="auto"/>
          <w:kern w:val="2"/>
          <w:sz w:val="24"/>
          <w:szCs w:val="20"/>
          <w:highlight w:val="none"/>
          <w:lang w:val="en-US" w:eastAsia="zh-CN" w:bidi="ar-SA"/>
        </w:rPr>
        <w:t>（2）在井场醒目处悬挂一份井场周边环境的地图和表格，列示离开井场不同距离范围内的公路等其他公共设施。</w:t>
      </w:r>
    </w:p>
    <w:p w14:paraId="1B2F0F52">
      <w:pPr>
        <w:keepNext w:val="0"/>
        <w:keepLines w:val="0"/>
        <w:pageBreakBefore w:val="0"/>
        <w:widowControl w:val="0"/>
        <w:shd w:val="clear"/>
        <w:kinsoku/>
        <w:wordWrap/>
        <w:overflowPunct/>
        <w:topLinePunct w:val="0"/>
        <w:autoSpaceDE/>
        <w:autoSpaceDN/>
        <w:bidi w:val="0"/>
        <w:adjustRightInd/>
        <w:snapToGrid w:val="0"/>
        <w:spacing w:line="480" w:lineRule="exact"/>
        <w:ind w:firstLine="480" w:firstLineChars="200"/>
        <w:textAlignment w:val="auto"/>
        <w:rPr>
          <w:rFonts w:hint="default" w:ascii="Times New Roman" w:hAnsi="Times New Roman" w:eastAsia="宋体" w:cs="Times New Roman"/>
          <w:snapToGrid w:val="0"/>
          <w:color w:val="auto"/>
          <w:kern w:val="2"/>
          <w:sz w:val="24"/>
          <w:szCs w:val="20"/>
          <w:highlight w:val="none"/>
          <w:lang w:val="en-US" w:eastAsia="zh-CN" w:bidi="ar-SA"/>
        </w:rPr>
      </w:pPr>
      <w:r>
        <w:rPr>
          <w:rFonts w:hint="default" w:ascii="Times New Roman" w:hAnsi="Times New Roman" w:eastAsia="宋体" w:cs="Times New Roman"/>
          <w:snapToGrid w:val="0"/>
          <w:color w:val="auto"/>
          <w:kern w:val="2"/>
          <w:sz w:val="24"/>
          <w:szCs w:val="20"/>
          <w:highlight w:val="none"/>
          <w:lang w:val="en-US" w:eastAsia="zh-CN" w:bidi="ar-SA"/>
        </w:rPr>
        <w:t>（3）建立一份紧急电话联系表，其中应包括井场负责人、技术人员或安全管理人员以及上级</w:t>
      </w:r>
      <w:r>
        <w:rPr>
          <w:rFonts w:hint="eastAsia" w:cs="Times New Roman"/>
          <w:snapToGrid w:val="0"/>
          <w:color w:val="auto"/>
          <w:kern w:val="2"/>
          <w:sz w:val="24"/>
          <w:szCs w:val="20"/>
          <w:highlight w:val="none"/>
          <w:lang w:val="en-US" w:eastAsia="zh-CN" w:bidi="ar-SA"/>
        </w:rPr>
        <w:t>主管部门</w:t>
      </w:r>
      <w:r>
        <w:rPr>
          <w:rFonts w:hint="default" w:ascii="Times New Roman" w:hAnsi="Times New Roman" w:eastAsia="宋体" w:cs="Times New Roman"/>
          <w:snapToGrid w:val="0"/>
          <w:color w:val="auto"/>
          <w:kern w:val="2"/>
          <w:sz w:val="24"/>
          <w:szCs w:val="20"/>
          <w:highlight w:val="none"/>
          <w:lang w:val="en-US" w:eastAsia="zh-CN" w:bidi="ar-SA"/>
        </w:rPr>
        <w:t>应急指挥</w:t>
      </w:r>
      <w:r>
        <w:rPr>
          <w:rFonts w:hint="eastAsia" w:cs="Times New Roman"/>
          <w:snapToGrid w:val="0"/>
          <w:color w:val="auto"/>
          <w:kern w:val="2"/>
          <w:sz w:val="24"/>
          <w:szCs w:val="20"/>
          <w:highlight w:val="none"/>
          <w:lang w:val="en-US" w:eastAsia="zh-CN" w:bidi="ar-SA"/>
        </w:rPr>
        <w:t>人员</w:t>
      </w:r>
      <w:r>
        <w:rPr>
          <w:rFonts w:hint="default" w:ascii="Times New Roman" w:hAnsi="Times New Roman" w:eastAsia="宋体" w:cs="Times New Roman"/>
          <w:snapToGrid w:val="0"/>
          <w:color w:val="auto"/>
          <w:kern w:val="2"/>
          <w:sz w:val="24"/>
          <w:szCs w:val="20"/>
          <w:highlight w:val="none"/>
          <w:lang w:val="en-US" w:eastAsia="zh-CN" w:bidi="ar-SA"/>
        </w:rPr>
        <w:t>和当地管理部门协调人、医院、消防、环境部门的联系电话。</w:t>
      </w:r>
    </w:p>
    <w:p w14:paraId="6F91CB75">
      <w:pPr>
        <w:keepNext w:val="0"/>
        <w:keepLines w:val="0"/>
        <w:pageBreakBefore w:val="0"/>
        <w:widowControl w:val="0"/>
        <w:shd w:val="clear"/>
        <w:kinsoku/>
        <w:wordWrap/>
        <w:overflowPunct/>
        <w:topLinePunct w:val="0"/>
        <w:autoSpaceDE/>
        <w:autoSpaceDN/>
        <w:bidi w:val="0"/>
        <w:adjustRightInd/>
        <w:snapToGrid w:val="0"/>
        <w:spacing w:line="480" w:lineRule="exact"/>
        <w:ind w:firstLine="480" w:firstLineChars="200"/>
        <w:textAlignment w:val="auto"/>
        <w:rPr>
          <w:rFonts w:hint="default" w:ascii="Times New Roman" w:hAnsi="Times New Roman" w:eastAsia="宋体" w:cs="Times New Roman"/>
          <w:snapToGrid w:val="0"/>
          <w:color w:val="auto"/>
          <w:kern w:val="2"/>
          <w:sz w:val="24"/>
          <w:szCs w:val="20"/>
          <w:highlight w:val="none"/>
          <w:lang w:val="en-US" w:eastAsia="zh-CN" w:bidi="ar-SA"/>
        </w:rPr>
      </w:pPr>
      <w:r>
        <w:rPr>
          <w:rFonts w:hint="default" w:ascii="Times New Roman" w:hAnsi="Times New Roman" w:eastAsia="宋体" w:cs="Times New Roman"/>
          <w:snapToGrid w:val="0"/>
          <w:color w:val="auto"/>
          <w:kern w:val="2"/>
          <w:sz w:val="24"/>
          <w:szCs w:val="20"/>
          <w:highlight w:val="none"/>
          <w:lang w:val="en-US" w:eastAsia="zh-CN" w:bidi="ar-SA"/>
        </w:rPr>
        <w:t>（4）制定一份详实的可操作的应急预案，包括医疗保健措施、个人保护设备、人员培训要求、监测、警报与人员撤离等一系列工作详细地列出具体要求，以此保证井场作业人员的生命安全，特别应明确井口喷出的H</w:t>
      </w:r>
      <w:r>
        <w:rPr>
          <w:rFonts w:hint="default" w:ascii="Times New Roman" w:hAnsi="Times New Roman" w:eastAsia="宋体" w:cs="Times New Roman"/>
          <w:snapToGrid w:val="0"/>
          <w:color w:val="auto"/>
          <w:kern w:val="2"/>
          <w:sz w:val="24"/>
          <w:szCs w:val="20"/>
          <w:highlight w:val="none"/>
          <w:vertAlign w:val="subscript"/>
          <w:lang w:val="en-US" w:eastAsia="zh-CN" w:bidi="ar-SA"/>
        </w:rPr>
        <w:t>2</w:t>
      </w:r>
      <w:r>
        <w:rPr>
          <w:rFonts w:hint="default" w:ascii="Times New Roman" w:hAnsi="Times New Roman" w:eastAsia="宋体" w:cs="Times New Roman"/>
          <w:snapToGrid w:val="0"/>
          <w:color w:val="auto"/>
          <w:kern w:val="2"/>
          <w:sz w:val="24"/>
          <w:szCs w:val="20"/>
          <w:highlight w:val="none"/>
          <w:lang w:val="en-US" w:eastAsia="zh-CN" w:bidi="ar-SA"/>
        </w:rPr>
        <w:t>S浓度计距井口下风向不同距离监测的H</w:t>
      </w:r>
      <w:r>
        <w:rPr>
          <w:rFonts w:hint="default" w:ascii="Times New Roman" w:hAnsi="Times New Roman" w:eastAsia="宋体" w:cs="Times New Roman"/>
          <w:snapToGrid w:val="0"/>
          <w:color w:val="auto"/>
          <w:kern w:val="2"/>
          <w:sz w:val="24"/>
          <w:szCs w:val="20"/>
          <w:highlight w:val="none"/>
          <w:vertAlign w:val="subscript"/>
          <w:lang w:val="en-US" w:eastAsia="zh-CN" w:bidi="ar-SA"/>
        </w:rPr>
        <w:t>2</w:t>
      </w:r>
      <w:r>
        <w:rPr>
          <w:rFonts w:hint="default" w:ascii="Times New Roman" w:hAnsi="Times New Roman" w:eastAsia="宋体" w:cs="Times New Roman"/>
          <w:snapToGrid w:val="0"/>
          <w:color w:val="auto"/>
          <w:kern w:val="2"/>
          <w:sz w:val="24"/>
          <w:szCs w:val="20"/>
          <w:highlight w:val="none"/>
          <w:lang w:val="en-US" w:eastAsia="zh-CN" w:bidi="ar-SA"/>
        </w:rPr>
        <w:t>S浓度，来确定井场工作人员的撤离范围。</w:t>
      </w:r>
    </w:p>
    <w:p w14:paraId="7E2FE243">
      <w:pPr>
        <w:keepNext w:val="0"/>
        <w:keepLines w:val="0"/>
        <w:pageBreakBefore w:val="0"/>
        <w:widowControl w:val="0"/>
        <w:shd w:val="clear"/>
        <w:kinsoku/>
        <w:wordWrap/>
        <w:overflowPunct/>
        <w:topLinePunct w:val="0"/>
        <w:autoSpaceDE/>
        <w:autoSpaceDN/>
        <w:bidi w:val="0"/>
        <w:adjustRightInd/>
        <w:snapToGrid w:val="0"/>
        <w:spacing w:line="480" w:lineRule="exact"/>
        <w:ind w:firstLine="480" w:firstLineChars="200"/>
        <w:textAlignment w:val="auto"/>
        <w:rPr>
          <w:rFonts w:hint="default" w:ascii="Times New Roman" w:hAnsi="Times New Roman" w:eastAsia="宋体" w:cs="Times New Roman"/>
          <w:snapToGrid w:val="0"/>
          <w:color w:val="auto"/>
          <w:kern w:val="2"/>
          <w:sz w:val="24"/>
          <w:szCs w:val="20"/>
          <w:highlight w:val="none"/>
          <w:lang w:val="en-US" w:eastAsia="zh-CN" w:bidi="ar-SA"/>
        </w:rPr>
      </w:pPr>
      <w:r>
        <w:rPr>
          <w:rFonts w:hint="default" w:ascii="Times New Roman" w:hAnsi="Times New Roman" w:eastAsia="宋体" w:cs="Times New Roman"/>
          <w:snapToGrid w:val="0"/>
          <w:color w:val="auto"/>
          <w:kern w:val="2"/>
          <w:sz w:val="24"/>
          <w:szCs w:val="20"/>
          <w:highlight w:val="none"/>
          <w:lang w:val="en-US" w:eastAsia="zh-CN" w:bidi="ar-SA"/>
        </w:rPr>
        <w:t>（5）应对工作人员普及预防H</w:t>
      </w:r>
      <w:r>
        <w:rPr>
          <w:rFonts w:hint="default" w:ascii="Times New Roman" w:hAnsi="Times New Roman" w:eastAsia="宋体" w:cs="Times New Roman"/>
          <w:snapToGrid w:val="0"/>
          <w:color w:val="auto"/>
          <w:kern w:val="2"/>
          <w:sz w:val="24"/>
          <w:szCs w:val="20"/>
          <w:highlight w:val="none"/>
          <w:vertAlign w:val="subscript"/>
          <w:lang w:val="en-US" w:eastAsia="zh-CN" w:bidi="ar-SA"/>
        </w:rPr>
        <w:t>2</w:t>
      </w:r>
      <w:r>
        <w:rPr>
          <w:rFonts w:hint="default" w:ascii="Times New Roman" w:hAnsi="Times New Roman" w:eastAsia="宋体" w:cs="Times New Roman"/>
          <w:snapToGrid w:val="0"/>
          <w:color w:val="auto"/>
          <w:kern w:val="2"/>
          <w:sz w:val="24"/>
          <w:szCs w:val="20"/>
          <w:highlight w:val="none"/>
          <w:lang w:val="en-US" w:eastAsia="zh-CN" w:bidi="ar-SA"/>
        </w:rPr>
        <w:t>S中毒，避免伤亡的个人防护知识，以防止事故发生后的人员伤亡。</w:t>
      </w:r>
    </w:p>
    <w:p w14:paraId="2E8148FA">
      <w:pPr>
        <w:keepNext w:val="0"/>
        <w:keepLines w:val="0"/>
        <w:pageBreakBefore w:val="0"/>
        <w:widowControl w:val="0"/>
        <w:shd w:val="clear"/>
        <w:kinsoku/>
        <w:wordWrap/>
        <w:overflowPunct/>
        <w:topLinePunct w:val="0"/>
        <w:autoSpaceDE/>
        <w:autoSpaceDN/>
        <w:bidi w:val="0"/>
        <w:adjustRightInd/>
        <w:snapToGrid w:val="0"/>
        <w:spacing w:line="480" w:lineRule="exact"/>
        <w:ind w:firstLine="480" w:firstLineChars="200"/>
        <w:textAlignment w:val="auto"/>
        <w:rPr>
          <w:rFonts w:hint="default" w:ascii="Times New Roman" w:hAnsi="Times New Roman" w:eastAsia="宋体" w:cs="Times New Roman"/>
          <w:snapToGrid w:val="0"/>
          <w:color w:val="auto"/>
          <w:kern w:val="2"/>
          <w:sz w:val="24"/>
          <w:szCs w:val="20"/>
          <w:highlight w:val="none"/>
          <w:lang w:val="en-US" w:eastAsia="zh-CN" w:bidi="ar-SA"/>
        </w:rPr>
      </w:pPr>
      <w:r>
        <w:rPr>
          <w:rFonts w:hint="default" w:ascii="Times New Roman" w:hAnsi="Times New Roman" w:eastAsia="宋体" w:cs="Times New Roman"/>
          <w:snapToGrid w:val="0"/>
          <w:color w:val="auto"/>
          <w:kern w:val="2"/>
          <w:sz w:val="24"/>
          <w:szCs w:val="20"/>
          <w:highlight w:val="none"/>
          <w:lang w:val="en-US" w:eastAsia="zh-CN" w:bidi="ar-SA"/>
        </w:rPr>
        <w:t>（6）在发生井喷后，可通过</w:t>
      </w:r>
      <w:r>
        <w:rPr>
          <w:rFonts w:hint="eastAsia" w:cs="Times New Roman"/>
          <w:snapToGrid w:val="0"/>
          <w:color w:val="auto"/>
          <w:kern w:val="2"/>
          <w:sz w:val="24"/>
          <w:szCs w:val="20"/>
          <w:highlight w:val="none"/>
          <w:lang w:val="en-US" w:eastAsia="zh-CN" w:bidi="ar-SA"/>
        </w:rPr>
        <w:t>放空</w:t>
      </w:r>
      <w:r>
        <w:rPr>
          <w:rFonts w:hint="default" w:ascii="Times New Roman" w:hAnsi="Times New Roman" w:eastAsia="宋体" w:cs="Times New Roman"/>
          <w:snapToGrid w:val="0"/>
          <w:color w:val="auto"/>
          <w:kern w:val="2"/>
          <w:sz w:val="24"/>
          <w:szCs w:val="20"/>
          <w:highlight w:val="none"/>
          <w:lang w:val="en-US" w:eastAsia="zh-CN" w:bidi="ar-SA"/>
        </w:rPr>
        <w:t>火炬对天然气进行燃烧。</w:t>
      </w:r>
    </w:p>
    <w:p w14:paraId="6E51808D">
      <w:pPr>
        <w:keepNext w:val="0"/>
        <w:keepLines w:val="0"/>
        <w:pageBreakBefore w:val="0"/>
        <w:widowControl w:val="0"/>
        <w:shd w:val="clear"/>
        <w:kinsoku/>
        <w:wordWrap/>
        <w:overflowPunct/>
        <w:topLinePunct w:val="0"/>
        <w:autoSpaceDE/>
        <w:autoSpaceDN/>
        <w:bidi w:val="0"/>
        <w:adjustRightInd/>
        <w:snapToGrid w:val="0"/>
        <w:spacing w:line="480" w:lineRule="exact"/>
        <w:ind w:firstLine="480" w:firstLineChars="200"/>
        <w:textAlignment w:val="auto"/>
        <w:rPr>
          <w:rFonts w:hint="default" w:ascii="Times New Roman" w:hAnsi="Times New Roman" w:eastAsia="宋体" w:cs="Times New Roman"/>
          <w:snapToGrid w:val="0"/>
          <w:color w:val="auto"/>
          <w:kern w:val="2"/>
          <w:sz w:val="24"/>
          <w:szCs w:val="20"/>
          <w:highlight w:val="none"/>
          <w:lang w:val="en-US" w:eastAsia="zh-CN" w:bidi="ar-SA"/>
        </w:rPr>
      </w:pPr>
      <w:r>
        <w:rPr>
          <w:rFonts w:hint="default" w:ascii="Times New Roman" w:hAnsi="Times New Roman" w:eastAsia="宋体" w:cs="Times New Roman"/>
          <w:snapToGrid w:val="0"/>
          <w:color w:val="auto"/>
          <w:kern w:val="2"/>
          <w:sz w:val="24"/>
          <w:szCs w:val="20"/>
          <w:highlight w:val="none"/>
          <w:lang w:val="en-US" w:eastAsia="zh-CN" w:bidi="ar-SA"/>
        </w:rPr>
        <w:t>（7）发生事故时，要求井场排放清水及处理水全部进入现场事故池，不得随意外排，并立即启动重大环境事件环境应急监测预案，在应急监测人员不受H</w:t>
      </w:r>
      <w:r>
        <w:rPr>
          <w:rFonts w:hint="default" w:ascii="Times New Roman" w:hAnsi="Times New Roman" w:eastAsia="宋体" w:cs="Times New Roman"/>
          <w:snapToGrid w:val="0"/>
          <w:color w:val="auto"/>
          <w:kern w:val="2"/>
          <w:sz w:val="24"/>
          <w:szCs w:val="20"/>
          <w:highlight w:val="none"/>
          <w:vertAlign w:val="subscript"/>
          <w:lang w:val="en-US" w:eastAsia="zh-CN" w:bidi="ar-SA"/>
        </w:rPr>
        <w:t>2</w:t>
      </w:r>
      <w:r>
        <w:rPr>
          <w:rFonts w:hint="default" w:ascii="Times New Roman" w:hAnsi="Times New Roman" w:eastAsia="宋体" w:cs="Times New Roman"/>
          <w:snapToGrid w:val="0"/>
          <w:color w:val="auto"/>
          <w:kern w:val="2"/>
          <w:sz w:val="24"/>
          <w:szCs w:val="20"/>
          <w:highlight w:val="none"/>
          <w:lang w:val="en-US" w:eastAsia="zh-CN" w:bidi="ar-SA"/>
        </w:rPr>
        <w:t>S危害影响的前提下，对井场周边大气中的H</w:t>
      </w:r>
      <w:r>
        <w:rPr>
          <w:rFonts w:hint="default" w:ascii="Times New Roman" w:hAnsi="Times New Roman" w:eastAsia="宋体" w:cs="Times New Roman"/>
          <w:snapToGrid w:val="0"/>
          <w:color w:val="auto"/>
          <w:kern w:val="2"/>
          <w:sz w:val="24"/>
          <w:szCs w:val="20"/>
          <w:highlight w:val="none"/>
          <w:vertAlign w:val="subscript"/>
          <w:lang w:val="en-US" w:eastAsia="zh-CN" w:bidi="ar-SA"/>
        </w:rPr>
        <w:t>2</w:t>
      </w:r>
      <w:r>
        <w:rPr>
          <w:rFonts w:hint="default" w:ascii="Times New Roman" w:hAnsi="Times New Roman" w:eastAsia="宋体" w:cs="Times New Roman"/>
          <w:snapToGrid w:val="0"/>
          <w:color w:val="auto"/>
          <w:kern w:val="2"/>
          <w:sz w:val="24"/>
          <w:szCs w:val="20"/>
          <w:highlight w:val="none"/>
          <w:lang w:val="en-US" w:eastAsia="zh-CN" w:bidi="ar-SA"/>
        </w:rPr>
        <w:t>S及甲烷浓度进行监控，随时掌握扩散分布情况，以指导对井场周边人员的撤离工作</w:t>
      </w:r>
      <w:r>
        <w:rPr>
          <w:rFonts w:hint="eastAsia" w:cs="Times New Roman"/>
          <w:snapToGrid w:val="0"/>
          <w:color w:val="auto"/>
          <w:kern w:val="2"/>
          <w:sz w:val="24"/>
          <w:szCs w:val="20"/>
          <w:highlight w:val="none"/>
          <w:lang w:val="en-US" w:eastAsia="zh-CN" w:bidi="ar-SA"/>
        </w:rPr>
        <w:t>以及</w:t>
      </w:r>
      <w:r>
        <w:rPr>
          <w:rFonts w:hint="default" w:ascii="Times New Roman" w:hAnsi="Times New Roman" w:eastAsia="宋体" w:cs="Times New Roman"/>
          <w:snapToGrid w:val="0"/>
          <w:color w:val="auto"/>
          <w:kern w:val="2"/>
          <w:sz w:val="24"/>
          <w:szCs w:val="20"/>
          <w:highlight w:val="none"/>
          <w:lang w:val="en-US" w:eastAsia="zh-CN" w:bidi="ar-SA"/>
        </w:rPr>
        <w:t>安全线的划定工作。</w:t>
      </w:r>
    </w:p>
    <w:p w14:paraId="590DAD39">
      <w:pPr>
        <w:keepNext w:val="0"/>
        <w:keepLines w:val="0"/>
        <w:pageBreakBefore w:val="0"/>
        <w:widowControl w:val="0"/>
        <w:shd w:val="clear"/>
        <w:kinsoku/>
        <w:wordWrap/>
        <w:overflowPunct/>
        <w:topLinePunct w:val="0"/>
        <w:autoSpaceDE/>
        <w:autoSpaceDN/>
        <w:bidi w:val="0"/>
        <w:adjustRightInd/>
        <w:snapToGrid w:val="0"/>
        <w:spacing w:line="480" w:lineRule="exact"/>
        <w:ind w:firstLine="480" w:firstLineChars="200"/>
        <w:textAlignment w:val="auto"/>
        <w:rPr>
          <w:rFonts w:hint="default" w:ascii="Times New Roman" w:hAnsi="Times New Roman" w:eastAsia="宋体" w:cs="Times New Roman"/>
          <w:snapToGrid w:val="0"/>
          <w:color w:val="auto"/>
          <w:kern w:val="2"/>
          <w:sz w:val="24"/>
          <w:szCs w:val="20"/>
          <w:highlight w:val="none"/>
          <w:lang w:val="en-US" w:eastAsia="zh-CN" w:bidi="ar-SA"/>
        </w:rPr>
      </w:pPr>
      <w:r>
        <w:rPr>
          <w:rFonts w:hint="default" w:ascii="Times New Roman" w:hAnsi="Times New Roman" w:eastAsia="宋体" w:cs="Times New Roman"/>
          <w:snapToGrid w:val="0"/>
          <w:color w:val="auto"/>
          <w:kern w:val="2"/>
          <w:sz w:val="24"/>
          <w:szCs w:val="20"/>
          <w:highlight w:val="none"/>
          <w:lang w:val="en-US" w:eastAsia="zh-CN" w:bidi="ar-SA"/>
        </w:rPr>
        <w:t>（8）在人员不受H</w:t>
      </w:r>
      <w:r>
        <w:rPr>
          <w:rFonts w:hint="default" w:ascii="Times New Roman" w:hAnsi="Times New Roman" w:eastAsia="宋体" w:cs="Times New Roman"/>
          <w:snapToGrid w:val="0"/>
          <w:color w:val="auto"/>
          <w:kern w:val="2"/>
          <w:sz w:val="24"/>
          <w:szCs w:val="20"/>
          <w:highlight w:val="none"/>
          <w:vertAlign w:val="subscript"/>
          <w:lang w:val="en-US" w:eastAsia="zh-CN" w:bidi="ar-SA"/>
        </w:rPr>
        <w:t>2</w:t>
      </w:r>
      <w:r>
        <w:rPr>
          <w:rFonts w:hint="default" w:ascii="Times New Roman" w:hAnsi="Times New Roman" w:eastAsia="宋体" w:cs="Times New Roman"/>
          <w:snapToGrid w:val="0"/>
          <w:color w:val="auto"/>
          <w:kern w:val="2"/>
          <w:sz w:val="24"/>
          <w:szCs w:val="20"/>
          <w:highlight w:val="none"/>
          <w:lang w:val="en-US" w:eastAsia="zh-CN" w:bidi="ar-SA"/>
        </w:rPr>
        <w:t>S危害影响的前提下，组织人员对井喷喷出的采出液进行封堵，可截留至现场事故池内，防止其流入井场周边环境敏感区，尽可能减少其危害和影响，在事件处理过程中，应及时将采出液全部清运至</w:t>
      </w:r>
      <w:r>
        <w:rPr>
          <w:rFonts w:hint="default" w:ascii="Times New Roman" w:hAnsi="Times New Roman" w:eastAsia="宋体" w:cs="Times New Roman"/>
          <w:snapToGrid w:val="0"/>
          <w:color w:val="auto"/>
          <w:kern w:val="2"/>
          <w:sz w:val="24"/>
          <w:szCs w:val="24"/>
          <w:highlight w:val="none"/>
          <w:lang w:val="en-US" w:eastAsia="zh-CN" w:bidi="ar-SA"/>
        </w:rPr>
        <w:t>哈一联</w:t>
      </w:r>
      <w:r>
        <w:rPr>
          <w:rFonts w:hint="default" w:ascii="Times New Roman" w:hAnsi="Times New Roman" w:eastAsia="宋体" w:cs="Times New Roman"/>
          <w:snapToGrid w:val="0"/>
          <w:color w:val="auto"/>
          <w:kern w:val="2"/>
          <w:sz w:val="24"/>
          <w:szCs w:val="20"/>
          <w:highlight w:val="none"/>
          <w:lang w:val="en-US" w:eastAsia="zh-CN" w:bidi="ar-SA"/>
        </w:rPr>
        <w:t>进行处理。</w:t>
      </w:r>
    </w:p>
    <w:p w14:paraId="2EF31F7B">
      <w:pPr>
        <w:keepNext w:val="0"/>
        <w:keepLines w:val="0"/>
        <w:pageBreakBefore w:val="0"/>
        <w:widowControl w:val="0"/>
        <w:shd w:val="clear"/>
        <w:kinsoku/>
        <w:wordWrap/>
        <w:overflowPunct/>
        <w:topLinePunct w:val="0"/>
        <w:autoSpaceDE/>
        <w:autoSpaceDN/>
        <w:bidi w:val="0"/>
        <w:adjustRightInd/>
        <w:snapToGrid w:val="0"/>
        <w:spacing w:line="480" w:lineRule="exact"/>
        <w:ind w:firstLine="480" w:firstLineChars="200"/>
        <w:textAlignment w:val="auto"/>
        <w:rPr>
          <w:rFonts w:hint="default" w:ascii="Times New Roman" w:hAnsi="Times New Roman" w:eastAsia="宋体" w:cs="Times New Roman"/>
          <w:snapToGrid w:val="0"/>
          <w:color w:val="auto"/>
          <w:kern w:val="2"/>
          <w:sz w:val="24"/>
          <w:szCs w:val="20"/>
          <w:highlight w:val="none"/>
          <w:lang w:val="en-US" w:eastAsia="zh-CN" w:bidi="ar-SA"/>
        </w:rPr>
      </w:pPr>
      <w:r>
        <w:rPr>
          <w:rFonts w:hint="default" w:ascii="Times New Roman" w:hAnsi="Times New Roman" w:eastAsia="宋体" w:cs="Times New Roman"/>
          <w:snapToGrid w:val="0"/>
          <w:color w:val="auto"/>
          <w:kern w:val="2"/>
          <w:sz w:val="24"/>
          <w:szCs w:val="20"/>
          <w:highlight w:val="none"/>
          <w:lang w:val="en-US" w:eastAsia="zh-CN" w:bidi="ar-SA"/>
        </w:rPr>
        <w:t>（9）由于井喷和处理井喷的过程中（井喷、压井及恢复正常钻井）产生的污水量较多，为确保事故池能储存所产生的污水，应及时对事故池储存的污水进行处理。若废水产生量较大，又无法对污水进行及时处理，可能造成污水池装满而外溢污染环境时，应及时启动备用事故池，防止污染物的扩散。</w:t>
      </w:r>
    </w:p>
    <w:p w14:paraId="39301C78">
      <w:pPr>
        <w:keepNext w:val="0"/>
        <w:keepLines w:val="0"/>
        <w:pageBreakBefore w:val="0"/>
        <w:widowControl w:val="0"/>
        <w:shd w:val="clear"/>
        <w:kinsoku/>
        <w:wordWrap/>
        <w:overflowPunct/>
        <w:topLinePunct w:val="0"/>
        <w:autoSpaceDE/>
        <w:autoSpaceDN/>
        <w:bidi w:val="0"/>
        <w:adjustRightInd/>
        <w:snapToGrid w:val="0"/>
        <w:spacing w:line="480" w:lineRule="exact"/>
        <w:ind w:firstLine="480" w:firstLineChars="200"/>
        <w:textAlignment w:val="auto"/>
        <w:rPr>
          <w:rFonts w:hint="default" w:ascii="Times New Roman" w:hAnsi="Times New Roman" w:eastAsia="宋体" w:cs="Times New Roman"/>
          <w:snapToGrid w:val="0"/>
          <w:color w:val="auto"/>
          <w:kern w:val="2"/>
          <w:sz w:val="24"/>
          <w:szCs w:val="20"/>
          <w:highlight w:val="none"/>
          <w:lang w:val="en-US" w:eastAsia="zh-CN" w:bidi="ar-SA"/>
        </w:rPr>
      </w:pPr>
      <w:r>
        <w:rPr>
          <w:rFonts w:hint="default" w:ascii="Times New Roman" w:hAnsi="Times New Roman" w:eastAsia="宋体" w:cs="Times New Roman"/>
          <w:snapToGrid w:val="0"/>
          <w:color w:val="auto"/>
          <w:kern w:val="2"/>
          <w:sz w:val="24"/>
          <w:szCs w:val="20"/>
          <w:highlight w:val="none"/>
          <w:lang w:val="en-US" w:eastAsia="zh-CN" w:bidi="ar-SA"/>
        </w:rPr>
        <w:t>（10）事件处理过程中必须持续执行重大环境事件环境应急监测预案，重点对井场周边办公区内的空气中的H</w:t>
      </w:r>
      <w:r>
        <w:rPr>
          <w:rFonts w:hint="default" w:ascii="Times New Roman" w:hAnsi="Times New Roman" w:eastAsia="宋体" w:cs="Times New Roman"/>
          <w:snapToGrid w:val="0"/>
          <w:color w:val="auto"/>
          <w:kern w:val="2"/>
          <w:sz w:val="24"/>
          <w:szCs w:val="20"/>
          <w:highlight w:val="none"/>
          <w:vertAlign w:val="subscript"/>
          <w:lang w:val="en-US" w:eastAsia="zh-CN" w:bidi="ar-SA"/>
        </w:rPr>
        <w:t>2</w:t>
      </w:r>
      <w:r>
        <w:rPr>
          <w:rFonts w:hint="default" w:ascii="Times New Roman" w:hAnsi="Times New Roman" w:eastAsia="宋体" w:cs="Times New Roman"/>
          <w:snapToGrid w:val="0"/>
          <w:color w:val="auto"/>
          <w:kern w:val="2"/>
          <w:sz w:val="24"/>
          <w:szCs w:val="20"/>
          <w:highlight w:val="none"/>
          <w:lang w:val="en-US" w:eastAsia="zh-CN" w:bidi="ar-SA"/>
        </w:rPr>
        <w:t>S、SO</w:t>
      </w:r>
      <w:r>
        <w:rPr>
          <w:rFonts w:hint="default" w:ascii="Times New Roman" w:hAnsi="Times New Roman" w:eastAsia="宋体" w:cs="Times New Roman"/>
          <w:snapToGrid w:val="0"/>
          <w:color w:val="auto"/>
          <w:kern w:val="2"/>
          <w:sz w:val="24"/>
          <w:szCs w:val="20"/>
          <w:highlight w:val="none"/>
          <w:vertAlign w:val="subscript"/>
          <w:lang w:val="en-US" w:eastAsia="zh-CN" w:bidi="ar-SA"/>
        </w:rPr>
        <w:t>2</w:t>
      </w:r>
      <w:r>
        <w:rPr>
          <w:rFonts w:hint="default" w:ascii="Times New Roman" w:hAnsi="Times New Roman" w:eastAsia="宋体" w:cs="Times New Roman"/>
          <w:snapToGrid w:val="0"/>
          <w:color w:val="auto"/>
          <w:kern w:val="2"/>
          <w:sz w:val="24"/>
          <w:szCs w:val="20"/>
          <w:highlight w:val="none"/>
          <w:lang w:val="en-US" w:eastAsia="zh-CN" w:bidi="ar-SA"/>
        </w:rPr>
        <w:t>、CO</w:t>
      </w:r>
      <w:r>
        <w:rPr>
          <w:rFonts w:hint="default" w:ascii="Times New Roman" w:hAnsi="Times New Roman" w:eastAsia="宋体" w:cs="Times New Roman"/>
          <w:snapToGrid w:val="0"/>
          <w:color w:val="auto"/>
          <w:kern w:val="2"/>
          <w:sz w:val="24"/>
          <w:szCs w:val="20"/>
          <w:highlight w:val="none"/>
          <w:vertAlign w:val="subscript"/>
          <w:lang w:val="en-US" w:eastAsia="zh-CN" w:bidi="ar-SA"/>
        </w:rPr>
        <w:t>2</w:t>
      </w:r>
      <w:r>
        <w:rPr>
          <w:rFonts w:hint="default" w:ascii="Times New Roman" w:hAnsi="Times New Roman" w:eastAsia="宋体" w:cs="Times New Roman"/>
          <w:snapToGrid w:val="0"/>
          <w:color w:val="auto"/>
          <w:kern w:val="2"/>
          <w:sz w:val="24"/>
          <w:szCs w:val="20"/>
          <w:highlight w:val="none"/>
          <w:lang w:val="en-US" w:eastAsia="zh-CN" w:bidi="ar-SA"/>
        </w:rPr>
        <w:t>及甲烷浓度进行监控，如果已达到空气质量标准，则可上报相关决策部门下达返回指令，对周边地下水水质进行监测。</w:t>
      </w:r>
    </w:p>
    <w:p w14:paraId="280B7FA0">
      <w:pPr>
        <w:keepNext w:val="0"/>
        <w:keepLines w:val="0"/>
        <w:pageBreakBefore w:val="0"/>
        <w:widowControl w:val="0"/>
        <w:shd w:val="clear"/>
        <w:kinsoku/>
        <w:wordWrap/>
        <w:overflowPunct/>
        <w:topLinePunct w:val="0"/>
        <w:autoSpaceDE/>
        <w:autoSpaceDN/>
        <w:bidi w:val="0"/>
        <w:adjustRightInd/>
        <w:snapToGrid w:val="0"/>
        <w:spacing w:line="480" w:lineRule="exact"/>
        <w:ind w:firstLine="480" w:firstLineChars="200"/>
        <w:textAlignment w:val="auto"/>
        <w:rPr>
          <w:rFonts w:hint="default" w:ascii="Times New Roman" w:hAnsi="Times New Roman" w:eastAsia="宋体" w:cs="Times New Roman"/>
          <w:snapToGrid w:val="0"/>
          <w:color w:val="auto"/>
          <w:kern w:val="2"/>
          <w:sz w:val="24"/>
          <w:szCs w:val="20"/>
          <w:highlight w:val="none"/>
          <w:lang w:val="en-US" w:eastAsia="zh-CN" w:bidi="ar-SA"/>
        </w:rPr>
      </w:pPr>
      <w:r>
        <w:rPr>
          <w:rFonts w:hint="default" w:ascii="Times New Roman" w:hAnsi="Times New Roman" w:eastAsia="宋体" w:cs="Times New Roman"/>
          <w:snapToGrid w:val="0"/>
          <w:color w:val="auto"/>
          <w:kern w:val="2"/>
          <w:sz w:val="24"/>
          <w:szCs w:val="20"/>
          <w:highlight w:val="none"/>
          <w:lang w:val="en-US" w:eastAsia="zh-CN" w:bidi="ar-SA"/>
        </w:rPr>
        <w:t>（1</w:t>
      </w:r>
      <w:r>
        <w:rPr>
          <w:rFonts w:hint="default" w:ascii="Times New Roman" w:hAnsi="Times New Roman" w:cs="Times New Roman"/>
          <w:snapToGrid w:val="0"/>
          <w:color w:val="auto"/>
          <w:kern w:val="2"/>
          <w:sz w:val="24"/>
          <w:szCs w:val="20"/>
          <w:highlight w:val="none"/>
          <w:lang w:val="en-US" w:eastAsia="zh-CN" w:bidi="ar-SA"/>
        </w:rPr>
        <w:t>1</w:t>
      </w:r>
      <w:r>
        <w:rPr>
          <w:rFonts w:hint="default" w:ascii="Times New Roman" w:hAnsi="Times New Roman" w:eastAsia="宋体" w:cs="Times New Roman"/>
          <w:snapToGrid w:val="0"/>
          <w:color w:val="auto"/>
          <w:kern w:val="2"/>
          <w:sz w:val="24"/>
          <w:szCs w:val="20"/>
          <w:highlight w:val="none"/>
          <w:lang w:val="en-US" w:eastAsia="zh-CN" w:bidi="ar-SA"/>
        </w:rPr>
        <w:t>）清理井场的各种环境污染物，按分级堆放处理原则进行处置、恢复正常的废水处理工作。</w:t>
      </w:r>
    </w:p>
    <w:p w14:paraId="5692F9AB">
      <w:pPr>
        <w:keepNext w:val="0"/>
        <w:keepLines w:val="0"/>
        <w:pageBreakBefore w:val="0"/>
        <w:widowControl w:val="0"/>
        <w:shd w:val="clear"/>
        <w:kinsoku/>
        <w:wordWrap/>
        <w:overflowPunct/>
        <w:topLinePunct w:val="0"/>
        <w:autoSpaceDE/>
        <w:autoSpaceDN/>
        <w:bidi w:val="0"/>
        <w:adjustRightInd/>
        <w:snapToGrid w:val="0"/>
        <w:spacing w:line="480" w:lineRule="exact"/>
        <w:ind w:firstLine="480" w:firstLineChars="200"/>
        <w:textAlignment w:val="auto"/>
        <w:rPr>
          <w:rFonts w:hint="default" w:ascii="Times New Roman" w:hAnsi="Times New Roman" w:eastAsia="宋体" w:cs="Times New Roman"/>
          <w:snapToGrid w:val="0"/>
          <w:color w:val="auto"/>
          <w:kern w:val="2"/>
          <w:sz w:val="24"/>
          <w:szCs w:val="20"/>
          <w:highlight w:val="none"/>
          <w:lang w:val="en-US" w:eastAsia="zh-CN" w:bidi="ar-SA"/>
        </w:rPr>
      </w:pPr>
      <w:r>
        <w:rPr>
          <w:rFonts w:hint="default" w:ascii="Times New Roman" w:hAnsi="Times New Roman" w:eastAsia="宋体" w:cs="Times New Roman"/>
          <w:snapToGrid w:val="0"/>
          <w:color w:val="auto"/>
          <w:kern w:val="2"/>
          <w:sz w:val="24"/>
          <w:szCs w:val="20"/>
          <w:highlight w:val="none"/>
          <w:lang w:val="en-US" w:eastAsia="zh-CN" w:bidi="ar-SA"/>
        </w:rPr>
        <w:t>（1</w:t>
      </w:r>
      <w:r>
        <w:rPr>
          <w:rFonts w:hint="default" w:ascii="Times New Roman" w:hAnsi="Times New Roman" w:cs="Times New Roman"/>
          <w:snapToGrid w:val="0"/>
          <w:color w:val="auto"/>
          <w:kern w:val="2"/>
          <w:sz w:val="24"/>
          <w:szCs w:val="20"/>
          <w:highlight w:val="none"/>
          <w:lang w:val="en-US" w:eastAsia="zh-CN" w:bidi="ar-SA"/>
        </w:rPr>
        <w:t>2</w:t>
      </w:r>
      <w:r>
        <w:rPr>
          <w:rFonts w:hint="default" w:ascii="Times New Roman" w:hAnsi="Times New Roman" w:eastAsia="宋体" w:cs="Times New Roman"/>
          <w:snapToGrid w:val="0"/>
          <w:color w:val="auto"/>
          <w:kern w:val="2"/>
          <w:sz w:val="24"/>
          <w:szCs w:val="20"/>
          <w:highlight w:val="none"/>
          <w:lang w:val="en-US" w:eastAsia="zh-CN" w:bidi="ar-SA"/>
        </w:rPr>
        <w:t>）完成环境应急监测工作报告，对相关环境污染情况</w:t>
      </w:r>
      <w:r>
        <w:rPr>
          <w:rFonts w:hint="eastAsia" w:cs="Times New Roman"/>
          <w:snapToGrid w:val="0"/>
          <w:color w:val="auto"/>
          <w:kern w:val="2"/>
          <w:sz w:val="24"/>
          <w:szCs w:val="20"/>
          <w:highlight w:val="none"/>
          <w:lang w:val="en-US" w:eastAsia="zh-CN" w:bidi="ar-SA"/>
        </w:rPr>
        <w:t>进行</w:t>
      </w:r>
      <w:r>
        <w:rPr>
          <w:rFonts w:hint="default" w:ascii="Times New Roman" w:hAnsi="Times New Roman" w:eastAsia="宋体" w:cs="Times New Roman"/>
          <w:snapToGrid w:val="0"/>
          <w:color w:val="auto"/>
          <w:kern w:val="2"/>
          <w:sz w:val="24"/>
          <w:szCs w:val="20"/>
          <w:highlight w:val="none"/>
          <w:lang w:val="en-US" w:eastAsia="zh-CN" w:bidi="ar-SA"/>
        </w:rPr>
        <w:t>评估。</w:t>
      </w:r>
    </w:p>
    <w:p w14:paraId="61522D6D">
      <w:pPr>
        <w:keepNext w:val="0"/>
        <w:keepLines w:val="0"/>
        <w:pageBreakBefore w:val="0"/>
        <w:widowControl w:val="0"/>
        <w:shd w:val="clear"/>
        <w:kinsoku/>
        <w:wordWrap/>
        <w:overflowPunct/>
        <w:topLinePunct w:val="0"/>
        <w:autoSpaceDE/>
        <w:autoSpaceDN/>
        <w:bidi w:val="0"/>
        <w:adjustRightInd/>
        <w:snapToGrid w:val="0"/>
        <w:spacing w:line="480" w:lineRule="exact"/>
        <w:ind w:firstLine="480" w:firstLineChars="200"/>
        <w:textAlignment w:val="auto"/>
        <w:rPr>
          <w:rFonts w:hint="default" w:ascii="Times New Roman" w:hAnsi="Times New Roman" w:eastAsia="宋体" w:cs="Times New Roman"/>
          <w:snapToGrid w:val="0"/>
          <w:color w:val="auto"/>
          <w:kern w:val="2"/>
          <w:sz w:val="24"/>
          <w:szCs w:val="20"/>
          <w:highlight w:val="none"/>
          <w:lang w:val="en-US" w:eastAsia="zh-CN" w:bidi="ar-SA"/>
        </w:rPr>
      </w:pPr>
      <w:r>
        <w:rPr>
          <w:rFonts w:hint="default" w:ascii="Times New Roman" w:hAnsi="Times New Roman" w:eastAsia="宋体" w:cs="Times New Roman"/>
          <w:snapToGrid w:val="0"/>
          <w:color w:val="auto"/>
          <w:kern w:val="2"/>
          <w:sz w:val="24"/>
          <w:szCs w:val="20"/>
          <w:highlight w:val="none"/>
          <w:lang w:val="en-US" w:eastAsia="zh-CN" w:bidi="ar-SA"/>
        </w:rPr>
        <w:t>（1</w:t>
      </w:r>
      <w:r>
        <w:rPr>
          <w:rFonts w:hint="default" w:ascii="Times New Roman" w:hAnsi="Times New Roman" w:cs="Times New Roman"/>
          <w:snapToGrid w:val="0"/>
          <w:color w:val="auto"/>
          <w:kern w:val="2"/>
          <w:sz w:val="24"/>
          <w:szCs w:val="20"/>
          <w:highlight w:val="none"/>
          <w:lang w:val="en-US" w:eastAsia="zh-CN" w:bidi="ar-SA"/>
        </w:rPr>
        <w:t>3</w:t>
      </w:r>
      <w:r>
        <w:rPr>
          <w:rFonts w:hint="default" w:ascii="Times New Roman" w:hAnsi="Times New Roman" w:eastAsia="宋体" w:cs="Times New Roman"/>
          <w:snapToGrid w:val="0"/>
          <w:color w:val="auto"/>
          <w:kern w:val="2"/>
          <w:sz w:val="24"/>
          <w:szCs w:val="20"/>
          <w:highlight w:val="none"/>
          <w:lang w:val="en-US" w:eastAsia="zh-CN" w:bidi="ar-SA"/>
        </w:rPr>
        <w:t>）在相关</w:t>
      </w:r>
      <w:r>
        <w:rPr>
          <w:rFonts w:hint="eastAsia" w:cs="Times New Roman"/>
          <w:snapToGrid w:val="0"/>
          <w:color w:val="auto"/>
          <w:kern w:val="2"/>
          <w:sz w:val="24"/>
          <w:szCs w:val="20"/>
          <w:highlight w:val="none"/>
          <w:lang w:val="en-US" w:eastAsia="zh-CN" w:bidi="ar-SA"/>
        </w:rPr>
        <w:t>部门</w:t>
      </w:r>
      <w:r>
        <w:rPr>
          <w:rFonts w:hint="default" w:ascii="Times New Roman" w:hAnsi="Times New Roman" w:eastAsia="宋体" w:cs="Times New Roman"/>
          <w:snapToGrid w:val="0"/>
          <w:color w:val="auto"/>
          <w:kern w:val="2"/>
          <w:sz w:val="24"/>
          <w:szCs w:val="20"/>
          <w:highlight w:val="none"/>
          <w:lang w:val="en-US" w:eastAsia="zh-CN" w:bidi="ar-SA"/>
        </w:rPr>
        <w:t>的指导下，对相关环境污染损失情况进行赔偿。</w:t>
      </w:r>
    </w:p>
    <w:p w14:paraId="2F0743C8">
      <w:pPr>
        <w:keepNext w:val="0"/>
        <w:keepLines w:val="0"/>
        <w:pageBreakBefore w:val="0"/>
        <w:widowControl w:val="0"/>
        <w:shd w:val="clear"/>
        <w:kinsoku/>
        <w:wordWrap/>
        <w:overflowPunct/>
        <w:topLinePunct w:val="0"/>
        <w:autoSpaceDE/>
        <w:autoSpaceDN/>
        <w:bidi w:val="0"/>
        <w:adjustRightInd/>
        <w:snapToGrid w:val="0"/>
        <w:spacing w:line="480" w:lineRule="exact"/>
        <w:ind w:firstLine="480" w:firstLineChars="200"/>
        <w:textAlignment w:val="auto"/>
        <w:rPr>
          <w:rFonts w:hint="default" w:ascii="Times New Roman" w:hAnsi="Times New Roman" w:eastAsia="宋体" w:cs="Times New Roman"/>
          <w:snapToGrid w:val="0"/>
          <w:color w:val="auto"/>
          <w:kern w:val="2"/>
          <w:sz w:val="24"/>
          <w:szCs w:val="20"/>
          <w:highlight w:val="none"/>
          <w:lang w:val="en-US" w:eastAsia="zh-CN" w:bidi="ar-SA"/>
        </w:rPr>
      </w:pPr>
      <w:r>
        <w:rPr>
          <w:rFonts w:hint="default" w:ascii="Times New Roman" w:hAnsi="Times New Roman" w:eastAsia="宋体" w:cs="Times New Roman"/>
          <w:snapToGrid w:val="0"/>
          <w:color w:val="auto"/>
          <w:kern w:val="2"/>
          <w:sz w:val="24"/>
          <w:szCs w:val="20"/>
          <w:highlight w:val="none"/>
          <w:lang w:val="en-US" w:eastAsia="zh-CN" w:bidi="ar-SA"/>
        </w:rPr>
        <w:t>（1</w:t>
      </w:r>
      <w:r>
        <w:rPr>
          <w:rFonts w:hint="default" w:ascii="Times New Roman" w:hAnsi="Times New Roman" w:cs="Times New Roman"/>
          <w:snapToGrid w:val="0"/>
          <w:color w:val="auto"/>
          <w:kern w:val="2"/>
          <w:sz w:val="24"/>
          <w:szCs w:val="20"/>
          <w:highlight w:val="none"/>
          <w:lang w:val="en-US" w:eastAsia="zh-CN" w:bidi="ar-SA"/>
        </w:rPr>
        <w:t>4</w:t>
      </w:r>
      <w:r>
        <w:rPr>
          <w:rFonts w:hint="default" w:ascii="Times New Roman" w:hAnsi="Times New Roman" w:eastAsia="宋体" w:cs="Times New Roman"/>
          <w:snapToGrid w:val="0"/>
          <w:color w:val="auto"/>
          <w:kern w:val="2"/>
          <w:sz w:val="24"/>
          <w:szCs w:val="20"/>
          <w:highlight w:val="none"/>
          <w:lang w:val="en-US" w:eastAsia="zh-CN" w:bidi="ar-SA"/>
        </w:rPr>
        <w:t>）对井喷的环境污染防治工作进行总结。</w:t>
      </w:r>
    </w:p>
    <w:p w14:paraId="5C203118">
      <w:pPr>
        <w:keepNext w:val="0"/>
        <w:keepLines w:val="0"/>
        <w:pageBreakBefore w:val="0"/>
        <w:widowControl w:val="0"/>
        <w:shd w:val="clear"/>
        <w:kinsoku/>
        <w:wordWrap/>
        <w:overflowPunct/>
        <w:topLinePunct w:val="0"/>
        <w:autoSpaceDE/>
        <w:autoSpaceDN/>
        <w:bidi w:val="0"/>
        <w:adjustRightInd/>
        <w:snapToGrid w:val="0"/>
        <w:spacing w:line="480" w:lineRule="exact"/>
        <w:ind w:firstLine="480" w:firstLineChars="200"/>
        <w:textAlignment w:val="auto"/>
        <w:rPr>
          <w:rFonts w:hint="default" w:ascii="Times New Roman" w:hAnsi="Times New Roman" w:eastAsia="宋体" w:cs="Times New Roman"/>
          <w:snapToGrid w:val="0"/>
          <w:color w:val="auto"/>
          <w:kern w:val="2"/>
          <w:sz w:val="24"/>
          <w:szCs w:val="20"/>
          <w:highlight w:val="none"/>
          <w:lang w:val="en-US" w:eastAsia="zh-CN" w:bidi="ar-SA"/>
        </w:rPr>
      </w:pPr>
      <w:r>
        <w:rPr>
          <w:rFonts w:hint="default" w:ascii="Times New Roman" w:hAnsi="Times New Roman" w:eastAsia="宋体" w:cs="Times New Roman"/>
          <w:snapToGrid w:val="0"/>
          <w:color w:val="auto"/>
          <w:kern w:val="2"/>
          <w:sz w:val="24"/>
          <w:szCs w:val="20"/>
          <w:highlight w:val="none"/>
          <w:lang w:val="en-US" w:eastAsia="zh-CN" w:bidi="ar-SA"/>
        </w:rPr>
        <w:t>（1</w:t>
      </w:r>
      <w:r>
        <w:rPr>
          <w:rFonts w:hint="default" w:ascii="Times New Roman" w:hAnsi="Times New Roman" w:cs="Times New Roman"/>
          <w:snapToGrid w:val="0"/>
          <w:color w:val="auto"/>
          <w:kern w:val="2"/>
          <w:sz w:val="24"/>
          <w:szCs w:val="20"/>
          <w:highlight w:val="none"/>
          <w:lang w:val="en-US" w:eastAsia="zh-CN" w:bidi="ar-SA"/>
        </w:rPr>
        <w:t>5</w:t>
      </w:r>
      <w:r>
        <w:rPr>
          <w:rFonts w:hint="default" w:ascii="Times New Roman" w:hAnsi="Times New Roman" w:eastAsia="宋体" w:cs="Times New Roman"/>
          <w:snapToGrid w:val="0"/>
          <w:color w:val="auto"/>
          <w:kern w:val="2"/>
          <w:sz w:val="24"/>
          <w:szCs w:val="20"/>
          <w:highlight w:val="none"/>
          <w:lang w:val="en-US" w:eastAsia="zh-CN" w:bidi="ar-SA"/>
        </w:rPr>
        <w:t>）日常工作中严格遵守钻井的安全规定，在井口安装有效的井控装置，杜绝井喷的发生；随时观察、定期记录，及时发现溢流、</w:t>
      </w:r>
      <w:r>
        <w:rPr>
          <w:rFonts w:hint="default" w:ascii="Times New Roman" w:hAnsi="Times New Roman" w:cs="Times New Roman"/>
          <w:snapToGrid w:val="0"/>
          <w:color w:val="auto"/>
          <w:kern w:val="2"/>
          <w:sz w:val="24"/>
          <w:szCs w:val="20"/>
          <w:highlight w:val="none"/>
          <w:lang w:val="en-US" w:eastAsia="zh-CN" w:bidi="ar-SA"/>
        </w:rPr>
        <w:t>泄漏</w:t>
      </w:r>
      <w:r>
        <w:rPr>
          <w:rFonts w:hint="default" w:ascii="Times New Roman" w:hAnsi="Times New Roman" w:eastAsia="宋体" w:cs="Times New Roman"/>
          <w:snapToGrid w:val="0"/>
          <w:color w:val="auto"/>
          <w:kern w:val="2"/>
          <w:sz w:val="24"/>
          <w:szCs w:val="20"/>
          <w:highlight w:val="none"/>
          <w:lang w:val="en-US" w:eastAsia="zh-CN" w:bidi="ar-SA"/>
        </w:rPr>
        <w:t>，并根据多年井喷事故井控装置失灵经验总结，并控作业中的一些错误做法，应尽量避免，杜绝井喷的发生；井场设置明显的禁止烟火标志；井场设备及电器设备、照明灯具符合防火防爆的安全要求，安装探照灯，以备井喷时钻台照明；按消防规定配备泡沫灭火器、干粉灭火器、消防铁锹和</w:t>
      </w:r>
      <w:r>
        <w:rPr>
          <w:rFonts w:hint="eastAsia" w:cs="Times New Roman"/>
          <w:snapToGrid w:val="0"/>
          <w:color w:val="auto"/>
          <w:kern w:val="2"/>
          <w:sz w:val="24"/>
          <w:szCs w:val="20"/>
          <w:highlight w:val="none"/>
          <w:lang w:val="en-US" w:eastAsia="zh-CN" w:bidi="ar-SA"/>
        </w:rPr>
        <w:t>其他</w:t>
      </w:r>
      <w:r>
        <w:rPr>
          <w:rFonts w:hint="default" w:ascii="Times New Roman" w:hAnsi="Times New Roman" w:eastAsia="宋体" w:cs="Times New Roman"/>
          <w:snapToGrid w:val="0"/>
          <w:color w:val="auto"/>
          <w:kern w:val="2"/>
          <w:sz w:val="24"/>
          <w:szCs w:val="20"/>
          <w:highlight w:val="none"/>
          <w:lang w:val="en-US" w:eastAsia="zh-CN" w:bidi="ar-SA"/>
        </w:rPr>
        <w:t>消防器材；制订应急操作规程，在规程中说明发生井喷事故时应采取的操作步骤；井场设置事故池，按照最大可能性设计，降低环境风险。</w:t>
      </w:r>
    </w:p>
    <w:p w14:paraId="7B080FEE">
      <w:pPr>
        <w:keepNext w:val="0"/>
        <w:keepLines w:val="0"/>
        <w:pageBreakBefore w:val="0"/>
        <w:widowControl w:val="0"/>
        <w:shd w:val="clear"/>
        <w:kinsoku/>
        <w:wordWrap/>
        <w:overflowPunct/>
        <w:topLinePunct w:val="0"/>
        <w:autoSpaceDE/>
        <w:autoSpaceDN/>
        <w:bidi w:val="0"/>
        <w:adjustRightInd/>
        <w:snapToGrid w:val="0"/>
        <w:spacing w:line="480" w:lineRule="exact"/>
        <w:ind w:firstLine="480" w:firstLineChars="200"/>
        <w:textAlignment w:val="auto"/>
        <w:rPr>
          <w:rFonts w:hint="default" w:ascii="Times New Roman" w:hAnsi="Times New Roman" w:eastAsia="宋体" w:cs="Times New Roman"/>
          <w:snapToGrid w:val="0"/>
          <w:color w:val="auto"/>
          <w:kern w:val="2"/>
          <w:sz w:val="24"/>
          <w:szCs w:val="20"/>
          <w:highlight w:val="none"/>
          <w:lang w:val="en-US" w:eastAsia="zh-CN" w:bidi="ar-SA"/>
        </w:rPr>
      </w:pPr>
      <w:r>
        <w:rPr>
          <w:rFonts w:hint="default" w:ascii="Times New Roman" w:hAnsi="Times New Roman" w:eastAsia="宋体" w:cs="Times New Roman"/>
          <w:snapToGrid w:val="0"/>
          <w:color w:val="auto"/>
          <w:kern w:val="2"/>
          <w:sz w:val="24"/>
          <w:szCs w:val="20"/>
          <w:highlight w:val="none"/>
          <w:lang w:val="en-US" w:eastAsia="zh-CN" w:bidi="ar-SA"/>
        </w:rPr>
        <w:t>井喷及井喷失控事故一旦发生，特别是含H</w:t>
      </w:r>
      <w:r>
        <w:rPr>
          <w:rFonts w:hint="default" w:ascii="Times New Roman" w:hAnsi="Times New Roman" w:eastAsia="宋体" w:cs="Times New Roman"/>
          <w:snapToGrid w:val="0"/>
          <w:color w:val="auto"/>
          <w:kern w:val="2"/>
          <w:sz w:val="24"/>
          <w:szCs w:val="20"/>
          <w:highlight w:val="none"/>
          <w:vertAlign w:val="subscript"/>
          <w:lang w:val="en-US" w:eastAsia="zh-CN" w:bidi="ar-SA"/>
        </w:rPr>
        <w:t>2</w:t>
      </w:r>
      <w:r>
        <w:rPr>
          <w:rFonts w:hint="default" w:ascii="Times New Roman" w:hAnsi="Times New Roman" w:eastAsia="宋体" w:cs="Times New Roman"/>
          <w:snapToGrid w:val="0"/>
          <w:color w:val="auto"/>
          <w:kern w:val="2"/>
          <w:sz w:val="24"/>
          <w:szCs w:val="20"/>
          <w:highlight w:val="none"/>
          <w:lang w:val="en-US" w:eastAsia="zh-CN" w:bidi="ar-SA"/>
        </w:rPr>
        <w:t>S</w:t>
      </w:r>
      <w:r>
        <w:rPr>
          <w:rFonts w:hint="eastAsia" w:cs="Times New Roman"/>
          <w:snapToGrid w:val="0"/>
          <w:color w:val="auto"/>
          <w:kern w:val="2"/>
          <w:sz w:val="24"/>
          <w:szCs w:val="20"/>
          <w:highlight w:val="none"/>
          <w:lang w:val="en-US" w:eastAsia="zh-CN" w:bidi="ar-SA"/>
        </w:rPr>
        <w:t>油井</w:t>
      </w:r>
      <w:r>
        <w:rPr>
          <w:rFonts w:hint="default" w:ascii="Times New Roman" w:hAnsi="Times New Roman" w:eastAsia="宋体" w:cs="Times New Roman"/>
          <w:snapToGrid w:val="0"/>
          <w:color w:val="auto"/>
          <w:kern w:val="2"/>
          <w:sz w:val="24"/>
          <w:szCs w:val="20"/>
          <w:highlight w:val="none"/>
          <w:lang w:val="en-US" w:eastAsia="zh-CN" w:bidi="ar-SA"/>
        </w:rPr>
        <w:t>的井喷及失控，不仅将会造成巨大的经济损失，而且将会造成较严重的环境污染和危害及一定的社会负面影响。如何尽可能减轻井喷及井喷失控事故所带来的环境污染和危害，认真贯彻集团公司《石油与天然气钻井井控规定》是十分重要的，特别应按要求执行在发生井喷事故后的抢险方案制订及实施，要把环境保护同时考虑，同时实施，防止出现次生环境事故。</w:t>
      </w:r>
    </w:p>
    <w:p w14:paraId="4E5C2AFF">
      <w:pPr>
        <w:pStyle w:val="55"/>
        <w:bidi w:val="0"/>
        <w:rPr>
          <w:rFonts w:hint="default"/>
          <w:color w:val="auto"/>
          <w:lang w:val="en-US" w:eastAsia="zh-CN"/>
        </w:rPr>
      </w:pPr>
      <w:r>
        <w:rPr>
          <w:rFonts w:hint="eastAsia"/>
          <w:color w:val="auto"/>
          <w:lang w:val="en-US" w:eastAsia="zh-CN"/>
        </w:rPr>
        <w:t>5.</w:t>
      </w:r>
      <w:r>
        <w:rPr>
          <w:rFonts w:hint="default"/>
          <w:color w:val="auto"/>
          <w:lang w:val="en-US" w:eastAsia="zh-CN"/>
        </w:rPr>
        <w:t>7.6.</w:t>
      </w:r>
      <w:r>
        <w:rPr>
          <w:rFonts w:hint="eastAsia"/>
          <w:color w:val="auto"/>
          <w:lang w:val="en-US" w:eastAsia="zh-CN"/>
        </w:rPr>
        <w:t>8</w:t>
      </w:r>
      <w:r>
        <w:rPr>
          <w:rFonts w:hint="default"/>
          <w:color w:val="auto"/>
          <w:lang w:val="en-US" w:eastAsia="zh-CN"/>
        </w:rPr>
        <w:t xml:space="preserve"> 土壤风险防范措施</w:t>
      </w:r>
    </w:p>
    <w:p w14:paraId="65124F10">
      <w:pPr>
        <w:keepNext w:val="0"/>
        <w:keepLines w:val="0"/>
        <w:pageBreakBefore w:val="0"/>
        <w:widowControl/>
        <w:kinsoku/>
        <w:wordWrap/>
        <w:overflowPunct/>
        <w:topLinePunct w:val="0"/>
        <w:autoSpaceDE/>
        <w:autoSpaceDN/>
        <w:bidi w:val="0"/>
        <w:snapToGrid/>
        <w:spacing w:line="480" w:lineRule="exact"/>
        <w:ind w:left="0" w:firstLine="480" w:firstLineChars="200"/>
        <w:jc w:val="left"/>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如果发生集输管道的采出液渗漏，建设单位应立即采取切断措施并及时组织专门力量进行污染物的清除工作，在最短的时间内清除地面及地下的石油类物质，委托具有相应HW08危废处理资质单位对污染土壤进行转运处置，因而，石油类污染物进入土壤和地下潜水的可能性较小。</w:t>
      </w:r>
    </w:p>
    <w:p w14:paraId="15E203EA">
      <w:pPr>
        <w:keepNext w:val="0"/>
        <w:keepLines w:val="0"/>
        <w:pageBreakBefore w:val="0"/>
        <w:widowControl/>
        <w:kinsoku/>
        <w:wordWrap/>
        <w:overflowPunct/>
        <w:topLinePunct w:val="0"/>
        <w:autoSpaceDE/>
        <w:autoSpaceDN/>
        <w:bidi w:val="0"/>
        <w:snapToGrid/>
        <w:spacing w:line="480" w:lineRule="exact"/>
        <w:ind w:left="0" w:firstLine="480" w:firstLineChars="200"/>
        <w:jc w:val="left"/>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具体步骤为：</w:t>
      </w:r>
    </w:p>
    <w:p w14:paraId="7B4C54F7">
      <w:pPr>
        <w:keepNext w:val="0"/>
        <w:keepLines w:val="0"/>
        <w:pageBreakBefore w:val="0"/>
        <w:widowControl/>
        <w:kinsoku/>
        <w:wordWrap/>
        <w:overflowPunct/>
        <w:topLinePunct w:val="0"/>
        <w:autoSpaceDE/>
        <w:autoSpaceDN/>
        <w:bidi w:val="0"/>
        <w:snapToGrid/>
        <w:spacing w:line="480" w:lineRule="exact"/>
        <w:ind w:left="0" w:firstLine="480" w:firstLineChars="200"/>
        <w:jc w:val="left"/>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lang w:val="en-US" w:eastAsia="zh-CN"/>
        </w:rPr>
        <w:t>1</w:t>
      </w: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按顺序停泵或关井</w:t>
      </w:r>
    </w:p>
    <w:p w14:paraId="1110DFF8">
      <w:pPr>
        <w:keepNext w:val="0"/>
        <w:keepLines w:val="0"/>
        <w:pageBreakBefore w:val="0"/>
        <w:widowControl/>
        <w:kinsoku/>
        <w:wordWrap/>
        <w:overflowPunct/>
        <w:topLinePunct w:val="0"/>
        <w:autoSpaceDE/>
        <w:autoSpaceDN/>
        <w:bidi w:val="0"/>
        <w:snapToGrid/>
        <w:spacing w:line="480" w:lineRule="exact"/>
        <w:ind w:left="0" w:firstLine="480" w:firstLineChars="200"/>
        <w:jc w:val="left"/>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在管道发生断裂、漏油事故时，按顺序停泵或关井。抢修队根据现场情况及时抢修，做好安全防范工作，把损失控制在最小范围内。</w:t>
      </w:r>
    </w:p>
    <w:p w14:paraId="7831D929">
      <w:pPr>
        <w:keepNext w:val="0"/>
        <w:keepLines w:val="0"/>
        <w:pageBreakBefore w:val="0"/>
        <w:widowControl/>
        <w:kinsoku/>
        <w:wordWrap/>
        <w:overflowPunct/>
        <w:topLinePunct w:val="0"/>
        <w:autoSpaceDE/>
        <w:autoSpaceDN/>
        <w:bidi w:val="0"/>
        <w:adjustRightInd w:val="0"/>
        <w:snapToGrid/>
        <w:spacing w:line="480" w:lineRule="exact"/>
        <w:ind w:left="0" w:firstLine="480" w:firstLineChars="200"/>
        <w:jc w:val="left"/>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lang w:val="en-US" w:eastAsia="zh-CN"/>
        </w:rPr>
        <w:t>2</w:t>
      </w: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回收泄漏原油</w:t>
      </w:r>
    </w:p>
    <w:p w14:paraId="19EFAF1C">
      <w:pPr>
        <w:keepNext w:val="0"/>
        <w:keepLines w:val="0"/>
        <w:pageBreakBefore w:val="0"/>
        <w:widowControl/>
        <w:kinsoku/>
        <w:wordWrap/>
        <w:overflowPunct/>
        <w:topLinePunct w:val="0"/>
        <w:autoSpaceDE/>
        <w:autoSpaceDN/>
        <w:bidi w:val="0"/>
        <w:adjustRightInd w:val="0"/>
        <w:snapToGrid/>
        <w:spacing w:line="480" w:lineRule="exact"/>
        <w:ind w:left="0" w:firstLine="480" w:firstLineChars="200"/>
        <w:jc w:val="left"/>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首先限制地表污染的扩大。油受重力和地形的控制，会流向低洼地带，应尽量防止泄漏石油移动。在可能的情况下应进行筑堤，汇集在低洼坑中的地表油，用车及时进行收集，将严重污染的土壤集中处理，交由有资质单位进行处置。</w:t>
      </w:r>
    </w:p>
    <w:p w14:paraId="40255984">
      <w:pPr>
        <w:keepNext w:val="0"/>
        <w:keepLines w:val="0"/>
        <w:pageBreakBefore w:val="0"/>
        <w:widowControl/>
        <w:kinsoku/>
        <w:wordWrap/>
        <w:overflowPunct/>
        <w:topLinePunct w:val="0"/>
        <w:autoSpaceDE/>
        <w:autoSpaceDN/>
        <w:bidi w:val="0"/>
        <w:adjustRightInd w:val="0"/>
        <w:snapToGrid/>
        <w:spacing w:line="480" w:lineRule="exact"/>
        <w:ind w:left="0" w:firstLine="480" w:firstLineChars="200"/>
        <w:jc w:val="left"/>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lang w:val="en-US" w:eastAsia="zh-CN"/>
        </w:rPr>
        <w:t>3</w:t>
      </w: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挖坑应急</w:t>
      </w:r>
    </w:p>
    <w:p w14:paraId="00F00F93">
      <w:pPr>
        <w:keepNext w:val="0"/>
        <w:keepLines w:val="0"/>
        <w:pageBreakBefore w:val="0"/>
        <w:widowControl/>
        <w:kinsoku/>
        <w:wordWrap/>
        <w:overflowPunct/>
        <w:topLinePunct w:val="0"/>
        <w:autoSpaceDE/>
        <w:autoSpaceDN/>
        <w:bidi w:val="0"/>
        <w:adjustRightInd w:val="0"/>
        <w:snapToGrid/>
        <w:spacing w:line="480" w:lineRule="exact"/>
        <w:ind w:left="0" w:firstLine="480" w:firstLineChars="200"/>
        <w:jc w:val="left"/>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因地制宜地采取有效措施清除土壤油浸润体中的残油，减轻土壤污染。</w:t>
      </w:r>
    </w:p>
    <w:p w14:paraId="1E3ABC75">
      <w:pPr>
        <w:keepNext w:val="0"/>
        <w:keepLines w:val="0"/>
        <w:pageBreakBefore w:val="0"/>
        <w:widowControl/>
        <w:kinsoku/>
        <w:wordWrap/>
        <w:overflowPunct/>
        <w:topLinePunct w:val="0"/>
        <w:autoSpaceDE/>
        <w:autoSpaceDN/>
        <w:bidi w:val="0"/>
        <w:adjustRightInd w:val="0"/>
        <w:snapToGrid/>
        <w:spacing w:line="480" w:lineRule="exact"/>
        <w:ind w:left="0" w:firstLine="480" w:firstLineChars="200"/>
        <w:jc w:val="left"/>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lang w:val="en-US" w:eastAsia="zh-CN"/>
        </w:rPr>
        <w:t>1）</w:t>
      </w:r>
      <w:r>
        <w:rPr>
          <w:rFonts w:hint="default" w:ascii="Times New Roman" w:hAnsi="Times New Roman" w:cs="Times New Roman"/>
          <w:color w:val="auto"/>
          <w:kern w:val="0"/>
          <w:sz w:val="24"/>
          <w:szCs w:val="24"/>
          <w:highlight w:val="none"/>
        </w:rPr>
        <w:t>坑撇油：在漏油点附近挖坑进行撇油。</w:t>
      </w:r>
    </w:p>
    <w:p w14:paraId="4EDFD598">
      <w:pPr>
        <w:keepNext w:val="0"/>
        <w:keepLines w:val="0"/>
        <w:pageBreakBefore w:val="0"/>
        <w:widowControl/>
        <w:kinsoku/>
        <w:wordWrap/>
        <w:overflowPunct/>
        <w:topLinePunct w:val="0"/>
        <w:autoSpaceDE/>
        <w:autoSpaceDN/>
        <w:bidi w:val="0"/>
        <w:adjustRightInd w:val="0"/>
        <w:snapToGrid/>
        <w:spacing w:line="480" w:lineRule="exact"/>
        <w:ind w:left="0" w:firstLine="480" w:firstLineChars="200"/>
        <w:jc w:val="left"/>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lang w:val="en-US" w:eastAsia="zh-CN"/>
        </w:rPr>
        <w:t>2）</w:t>
      </w:r>
      <w:r>
        <w:rPr>
          <w:rFonts w:hint="default" w:ascii="Times New Roman" w:hAnsi="Times New Roman" w:cs="Times New Roman"/>
          <w:color w:val="auto"/>
          <w:kern w:val="0"/>
          <w:sz w:val="24"/>
          <w:szCs w:val="24"/>
          <w:highlight w:val="none"/>
        </w:rPr>
        <w:t>挖沟截油：根据原油以漏油点为点源向下游迁移扩散为主的特点，在漏油点下游的10m～30m处，根据漏油量的大小挖2～</w:t>
      </w:r>
      <w:r>
        <w:rPr>
          <w:rFonts w:hint="default" w:ascii="Times New Roman" w:hAnsi="Times New Roman" w:cs="Times New Roman"/>
          <w:color w:val="auto"/>
          <w:kern w:val="0"/>
          <w:sz w:val="24"/>
          <w:szCs w:val="24"/>
          <w:highlight w:val="none"/>
          <w:lang w:val="en-US" w:eastAsia="zh-CN"/>
        </w:rPr>
        <w:t>3</w:t>
      </w:r>
      <w:r>
        <w:rPr>
          <w:rFonts w:hint="default" w:ascii="Times New Roman" w:hAnsi="Times New Roman" w:cs="Times New Roman"/>
          <w:color w:val="auto"/>
          <w:kern w:val="0"/>
          <w:sz w:val="24"/>
          <w:szCs w:val="24"/>
          <w:highlight w:val="none"/>
        </w:rPr>
        <w:t>m深的两条水平截油沟，一撇二排，以加速土壤油浸润体中残油的外泄，减小事故影响范围。</w:t>
      </w:r>
    </w:p>
    <w:p w14:paraId="69C2AA69">
      <w:pPr>
        <w:keepNext w:val="0"/>
        <w:keepLines w:val="0"/>
        <w:pageBreakBefore w:val="0"/>
        <w:widowControl/>
        <w:kinsoku/>
        <w:wordWrap/>
        <w:overflowPunct/>
        <w:topLinePunct w:val="0"/>
        <w:autoSpaceDE/>
        <w:autoSpaceDN/>
        <w:bidi w:val="0"/>
        <w:adjustRightInd w:val="0"/>
        <w:snapToGrid/>
        <w:spacing w:line="480" w:lineRule="exact"/>
        <w:ind w:left="0" w:firstLine="480" w:firstLineChars="200"/>
        <w:jc w:val="left"/>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按照《突发环境事件应急监测技术规范》（HJ589-2021）及突发环境事件应急预案开展应急监测。</w:t>
      </w:r>
    </w:p>
    <w:p w14:paraId="031B2BC9">
      <w:pPr>
        <w:pStyle w:val="55"/>
        <w:bidi w:val="0"/>
        <w:rPr>
          <w:rFonts w:hint="default"/>
          <w:color w:val="auto"/>
          <w:lang w:val="en-US" w:eastAsia="zh-CN"/>
        </w:rPr>
      </w:pPr>
      <w:r>
        <w:rPr>
          <w:rFonts w:hint="eastAsia"/>
          <w:color w:val="auto"/>
          <w:lang w:val="en-US" w:eastAsia="zh-CN"/>
        </w:rPr>
        <w:t>5.</w:t>
      </w:r>
      <w:r>
        <w:rPr>
          <w:rFonts w:hint="default"/>
          <w:color w:val="auto"/>
          <w:lang w:val="en-US" w:eastAsia="zh-CN"/>
        </w:rPr>
        <w:t>7.6.</w:t>
      </w:r>
      <w:r>
        <w:rPr>
          <w:rFonts w:hint="eastAsia"/>
          <w:color w:val="auto"/>
          <w:lang w:val="en-US" w:eastAsia="zh-CN"/>
        </w:rPr>
        <w:t>9</w:t>
      </w:r>
      <w:r>
        <w:rPr>
          <w:rFonts w:hint="default"/>
          <w:color w:val="auto"/>
          <w:lang w:val="en-US" w:eastAsia="zh-CN"/>
        </w:rPr>
        <w:t xml:space="preserve"> 植被风险防范措施</w:t>
      </w:r>
    </w:p>
    <w:p w14:paraId="1B215E4D">
      <w:pPr>
        <w:pStyle w:val="79"/>
        <w:bidi w:val="0"/>
        <w:rPr>
          <w:rFonts w:hint="default"/>
          <w:color w:val="auto"/>
          <w:lang w:val="en-US" w:eastAsia="zh-CN"/>
        </w:rPr>
      </w:pPr>
      <w:r>
        <w:rPr>
          <w:rFonts w:hint="default"/>
          <w:color w:val="auto"/>
        </w:rPr>
        <w:t>本项目区位于</w:t>
      </w:r>
      <w:r>
        <w:rPr>
          <w:rFonts w:hint="default"/>
          <w:color w:val="auto"/>
          <w:lang w:val="en-US" w:eastAsia="zh-CN"/>
        </w:rPr>
        <w:t>塔克拉玛干</w:t>
      </w:r>
      <w:r>
        <w:rPr>
          <w:rFonts w:hint="default"/>
          <w:color w:val="auto"/>
        </w:rPr>
        <w:t>沙漠</w:t>
      </w:r>
      <w:r>
        <w:rPr>
          <w:rFonts w:hint="eastAsia"/>
          <w:color w:val="auto"/>
          <w:lang w:val="en-US" w:eastAsia="zh-CN"/>
        </w:rPr>
        <w:t>北缘</w:t>
      </w:r>
      <w:r>
        <w:rPr>
          <w:rFonts w:hint="default"/>
          <w:color w:val="auto"/>
          <w:lang w:eastAsia="zh-CN"/>
        </w:rPr>
        <w:t>，</w:t>
      </w:r>
      <w:r>
        <w:rPr>
          <w:rFonts w:hint="default"/>
          <w:color w:val="auto"/>
        </w:rPr>
        <w:t>如果发生集输管道的采出液渗漏，建设单位应立即采取切断措施并及时组织专门力量进行污染物的清除工作，在最短的时间内清除地面</w:t>
      </w:r>
      <w:r>
        <w:rPr>
          <w:rFonts w:hint="default"/>
          <w:color w:val="auto"/>
          <w:lang w:eastAsia="zh-CN"/>
        </w:rPr>
        <w:t>、</w:t>
      </w:r>
      <w:r>
        <w:rPr>
          <w:rFonts w:hint="default"/>
          <w:color w:val="auto"/>
        </w:rPr>
        <w:t>地下</w:t>
      </w:r>
      <w:r>
        <w:rPr>
          <w:rFonts w:hint="default"/>
          <w:color w:val="auto"/>
          <w:lang w:val="en-US" w:eastAsia="zh-CN"/>
        </w:rPr>
        <w:t>以及粘附于植物</w:t>
      </w:r>
      <w:r>
        <w:rPr>
          <w:rFonts w:hint="eastAsia"/>
          <w:color w:val="auto"/>
          <w:lang w:val="en-US" w:eastAsia="zh-CN"/>
        </w:rPr>
        <w:t>体的</w:t>
      </w:r>
      <w:r>
        <w:rPr>
          <w:rFonts w:hint="default"/>
          <w:color w:val="auto"/>
        </w:rPr>
        <w:t>石油类物质，委托具有相应HW08危废处理资质单位对污染土壤</w:t>
      </w:r>
      <w:r>
        <w:rPr>
          <w:rFonts w:hint="default"/>
          <w:color w:val="auto"/>
          <w:lang w:val="en-US" w:eastAsia="zh-CN"/>
        </w:rPr>
        <w:t>和植被</w:t>
      </w:r>
      <w:r>
        <w:rPr>
          <w:rFonts w:hint="default"/>
          <w:color w:val="auto"/>
        </w:rPr>
        <w:t>进行转运处置</w:t>
      </w:r>
      <w:r>
        <w:rPr>
          <w:rFonts w:hint="default"/>
          <w:color w:val="auto"/>
          <w:lang w:eastAsia="zh-CN"/>
        </w:rPr>
        <w:t>。</w:t>
      </w:r>
    </w:p>
    <w:p w14:paraId="03E7A802">
      <w:pPr>
        <w:pStyle w:val="79"/>
        <w:bidi w:val="0"/>
        <w:rPr>
          <w:rFonts w:hint="default"/>
          <w:color w:val="auto"/>
          <w:lang w:val="en-US" w:eastAsia="zh-CN"/>
        </w:rPr>
      </w:pPr>
      <w:r>
        <w:rPr>
          <w:rFonts w:hint="default"/>
          <w:color w:val="auto"/>
          <w:lang w:val="en-US" w:eastAsia="zh-CN"/>
        </w:rPr>
        <w:t>集输管线敷设前，应加强对管材和焊接质量的检查，严禁使用不合格产品。对焊接质量严格检验，防止焊接缺陷造成泄漏事故的发生；按规定进行管道的定期检验、保养，及时更换易损及老化部件，防止原油泄漏事故的发生。</w:t>
      </w:r>
    </w:p>
    <w:p w14:paraId="29E0A784">
      <w:pPr>
        <w:pStyle w:val="79"/>
        <w:bidi w:val="0"/>
        <w:rPr>
          <w:rFonts w:hint="default"/>
          <w:color w:val="auto"/>
          <w:lang w:val="zh-CN" w:eastAsia="zh-CN"/>
        </w:rPr>
      </w:pPr>
      <w:r>
        <w:rPr>
          <w:rFonts w:hint="default"/>
          <w:color w:val="auto"/>
          <w:lang w:val="en-US" w:eastAsia="zh-CN"/>
        </w:rPr>
        <w:t>运营期</w:t>
      </w:r>
      <w:r>
        <w:rPr>
          <w:rFonts w:hint="default"/>
          <w:color w:val="auto"/>
          <w:lang w:val="zh-CN" w:eastAsia="zh-CN"/>
        </w:rPr>
        <w:t>加强日常生产监督管理和安全运行检查工作，对各种设备、管线、油罐、阀门定期进行检查，防止跑、冒、滴、漏，及时巡查管线，消除事故隐患。</w:t>
      </w:r>
      <w:r>
        <w:rPr>
          <w:rFonts w:hint="default"/>
          <w:color w:val="auto"/>
          <w:lang w:val="en-US" w:eastAsia="zh-CN"/>
        </w:rPr>
        <w:t>管道及公路沿线可设置一些警示牌，提高公众保护植被的意识。</w:t>
      </w:r>
    </w:p>
    <w:p w14:paraId="7814E5F2">
      <w:pPr>
        <w:pStyle w:val="55"/>
        <w:bidi w:val="0"/>
        <w:rPr>
          <w:rFonts w:hint="default"/>
          <w:color w:val="auto"/>
          <w:lang w:val="en-US" w:eastAsia="zh-CN"/>
        </w:rPr>
      </w:pPr>
      <w:r>
        <w:rPr>
          <w:rFonts w:hint="eastAsia"/>
          <w:color w:val="auto"/>
          <w:lang w:val="en-US" w:eastAsia="zh-CN"/>
        </w:rPr>
        <w:t>5.</w:t>
      </w:r>
      <w:r>
        <w:rPr>
          <w:rFonts w:hint="default"/>
          <w:color w:val="auto"/>
          <w:lang w:val="en-US" w:eastAsia="zh-CN"/>
        </w:rPr>
        <w:t>7.6.</w:t>
      </w:r>
      <w:r>
        <w:rPr>
          <w:rFonts w:hint="eastAsia"/>
          <w:color w:val="auto"/>
          <w:lang w:val="en-US" w:eastAsia="zh-CN"/>
        </w:rPr>
        <w:t>10</w:t>
      </w:r>
      <w:r>
        <w:rPr>
          <w:rFonts w:hint="default"/>
          <w:color w:val="auto"/>
          <w:lang w:val="en-US" w:eastAsia="zh-CN"/>
        </w:rPr>
        <w:t xml:space="preserve"> 危险废物运输风险防范措施</w:t>
      </w:r>
    </w:p>
    <w:p w14:paraId="4A1EB321">
      <w:pPr>
        <w:pStyle w:val="79"/>
        <w:bidi w:val="0"/>
        <w:rPr>
          <w:rFonts w:hint="default"/>
          <w:color w:val="auto"/>
          <w:lang w:val="en-US" w:eastAsia="zh-CN"/>
        </w:rPr>
      </w:pPr>
      <w:r>
        <w:rPr>
          <w:rFonts w:hint="default"/>
          <w:color w:val="auto"/>
          <w:lang w:val="en-US" w:eastAsia="zh-CN"/>
        </w:rPr>
        <w:t>危险废物运输的事故隐患主要是从泄漏开始的。因此，行车途中要勤于检查。当行驶一定时间后要查看一下</w:t>
      </w:r>
      <w:r>
        <w:rPr>
          <w:rFonts w:hint="eastAsia"/>
          <w:color w:val="auto"/>
          <w:lang w:val="en-US" w:eastAsia="zh-CN"/>
        </w:rPr>
        <w:t>车厢</w:t>
      </w:r>
      <w:r>
        <w:rPr>
          <w:rFonts w:hint="default"/>
          <w:color w:val="auto"/>
          <w:lang w:val="en-US" w:eastAsia="zh-CN"/>
        </w:rPr>
        <w:t>底部四周有无泄漏液体，若有液体泄漏，应查找泄漏点，采取相应的应急措施，防止液体继续泄漏，将受到污染的土壤要全部回收，送至具备相应危废处理资质的单位进行无害化处理。</w:t>
      </w:r>
    </w:p>
    <w:p w14:paraId="7C4BC74D">
      <w:pPr>
        <w:pStyle w:val="79"/>
        <w:bidi w:val="0"/>
        <w:rPr>
          <w:rFonts w:hint="default"/>
          <w:color w:val="auto"/>
          <w:lang w:val="en-US" w:eastAsia="zh-CN"/>
        </w:rPr>
      </w:pPr>
      <w:r>
        <w:rPr>
          <w:rFonts w:hint="default"/>
          <w:color w:val="auto"/>
          <w:lang w:val="en-US" w:eastAsia="zh-CN"/>
        </w:rPr>
        <w:t>危险废物运输过程中主要风险防范措施如下：</w:t>
      </w:r>
    </w:p>
    <w:p w14:paraId="71C164E6">
      <w:pPr>
        <w:pStyle w:val="79"/>
        <w:bidi w:val="0"/>
        <w:rPr>
          <w:rFonts w:hint="default"/>
          <w:color w:val="auto"/>
          <w:lang w:val="en-US" w:eastAsia="zh-CN"/>
        </w:rPr>
      </w:pPr>
      <w:r>
        <w:rPr>
          <w:rFonts w:hint="default"/>
          <w:color w:val="auto"/>
          <w:lang w:val="en-US" w:eastAsia="zh-CN"/>
        </w:rPr>
        <w:t>（1）运输时应当采取密闭、遮盖措施防止渗漏。</w:t>
      </w:r>
    </w:p>
    <w:p w14:paraId="0FBB1B2B">
      <w:pPr>
        <w:pStyle w:val="79"/>
        <w:bidi w:val="0"/>
        <w:rPr>
          <w:rFonts w:hint="default"/>
          <w:color w:val="auto"/>
          <w:lang w:val="en-US" w:eastAsia="zh-CN"/>
        </w:rPr>
      </w:pPr>
      <w:r>
        <w:rPr>
          <w:rFonts w:hint="default"/>
          <w:color w:val="auto"/>
          <w:lang w:val="en-US" w:eastAsia="zh-CN"/>
        </w:rPr>
        <w:t>（2）对运输危险废物的设施和设备应当加强管理和维护，保证其正常运行和使用。</w:t>
      </w:r>
    </w:p>
    <w:p w14:paraId="24B6083E">
      <w:pPr>
        <w:pStyle w:val="79"/>
        <w:bidi w:val="0"/>
        <w:rPr>
          <w:rFonts w:hint="default"/>
          <w:color w:val="auto"/>
          <w:lang w:val="en-US" w:eastAsia="zh-CN"/>
        </w:rPr>
      </w:pPr>
      <w:r>
        <w:rPr>
          <w:rFonts w:hint="default"/>
          <w:color w:val="auto"/>
          <w:lang w:val="en-US" w:eastAsia="zh-CN"/>
        </w:rPr>
        <w:t>（3）不能混合运输性质不相容而又未经安全性处置的危险废物。</w:t>
      </w:r>
    </w:p>
    <w:p w14:paraId="57274AED">
      <w:pPr>
        <w:pStyle w:val="79"/>
        <w:bidi w:val="0"/>
        <w:rPr>
          <w:rFonts w:hint="default"/>
          <w:color w:val="auto"/>
          <w:lang w:val="en-US" w:eastAsia="zh-CN"/>
        </w:rPr>
      </w:pPr>
      <w:r>
        <w:rPr>
          <w:rFonts w:hint="default"/>
          <w:color w:val="auto"/>
          <w:lang w:val="en-US" w:eastAsia="zh-CN"/>
        </w:rPr>
        <w:t>（4）转移危险废物时，必须按照规定</w:t>
      </w:r>
      <w:r>
        <w:rPr>
          <w:rFonts w:hint="eastAsia"/>
          <w:color w:val="auto"/>
          <w:lang w:val="en-US" w:eastAsia="zh-CN"/>
        </w:rPr>
        <w:t>填报</w:t>
      </w:r>
      <w:r>
        <w:rPr>
          <w:rFonts w:hint="default"/>
          <w:color w:val="auto"/>
          <w:lang w:val="en-US" w:eastAsia="zh-CN"/>
        </w:rPr>
        <w:t>危险废物转移电子联单，并向危险废物移出地和</w:t>
      </w:r>
      <w:r>
        <w:rPr>
          <w:rFonts w:hint="eastAsia"/>
          <w:color w:val="auto"/>
          <w:lang w:val="en-US" w:eastAsia="zh-CN"/>
        </w:rPr>
        <w:t>接收</w:t>
      </w:r>
      <w:r>
        <w:rPr>
          <w:rFonts w:hint="default"/>
          <w:color w:val="auto"/>
          <w:lang w:val="en-US" w:eastAsia="zh-CN"/>
        </w:rPr>
        <w:t>地的县级以上地方人民政府环境保护行政主管部门报告。</w:t>
      </w:r>
    </w:p>
    <w:p w14:paraId="79296A04">
      <w:pPr>
        <w:pStyle w:val="79"/>
        <w:bidi w:val="0"/>
        <w:rPr>
          <w:rFonts w:hint="default"/>
          <w:color w:val="auto"/>
          <w:lang w:val="en-US" w:eastAsia="zh-CN"/>
        </w:rPr>
      </w:pPr>
      <w:r>
        <w:rPr>
          <w:rFonts w:hint="default"/>
          <w:color w:val="auto"/>
          <w:lang w:val="en-US" w:eastAsia="zh-CN"/>
        </w:rPr>
        <w:t>（5）禁止将危险废物与旅客在同一运输工具上载运；</w:t>
      </w:r>
    </w:p>
    <w:p w14:paraId="7F3B591E">
      <w:pPr>
        <w:pStyle w:val="79"/>
        <w:bidi w:val="0"/>
        <w:rPr>
          <w:rFonts w:hint="default"/>
          <w:color w:val="auto"/>
          <w:lang w:val="en-US" w:eastAsia="zh-CN"/>
        </w:rPr>
      </w:pPr>
      <w:r>
        <w:rPr>
          <w:rFonts w:hint="default"/>
          <w:color w:val="auto"/>
          <w:lang w:val="en-US" w:eastAsia="zh-CN"/>
        </w:rPr>
        <w:t>（6）运输危险废物的设施和设备在转作他用时，必须经过消除污染的处理，方可使用。</w:t>
      </w:r>
    </w:p>
    <w:p w14:paraId="6B0BD2C8">
      <w:pPr>
        <w:pStyle w:val="79"/>
        <w:bidi w:val="0"/>
        <w:rPr>
          <w:rFonts w:hint="default"/>
          <w:color w:val="auto"/>
          <w:lang w:val="en-US" w:eastAsia="zh-CN"/>
        </w:rPr>
      </w:pPr>
      <w:r>
        <w:rPr>
          <w:rFonts w:hint="default"/>
          <w:color w:val="auto"/>
          <w:lang w:val="en-US" w:eastAsia="zh-CN"/>
        </w:rPr>
        <w:t>（7）运输危险废物的人员，应当接受专业培训；经考核合格后，方可从事运输危险废物的工作。</w:t>
      </w:r>
    </w:p>
    <w:p w14:paraId="609256F2">
      <w:pPr>
        <w:pStyle w:val="79"/>
        <w:bidi w:val="0"/>
        <w:rPr>
          <w:rFonts w:hint="default"/>
          <w:color w:val="auto"/>
          <w:lang w:val="en-US" w:eastAsia="zh-CN"/>
        </w:rPr>
      </w:pPr>
      <w:r>
        <w:rPr>
          <w:rFonts w:hint="default"/>
          <w:color w:val="auto"/>
          <w:lang w:val="en-US" w:eastAsia="zh-CN"/>
        </w:rPr>
        <w:t>（8）运输危险废物的单位应当制定在发生意外事故时采取的应急措施和防范措施。</w:t>
      </w:r>
    </w:p>
    <w:p w14:paraId="3526072D">
      <w:pPr>
        <w:pStyle w:val="79"/>
        <w:bidi w:val="0"/>
        <w:rPr>
          <w:rFonts w:hint="default"/>
          <w:color w:val="auto"/>
          <w:lang w:val="en-US" w:eastAsia="zh-CN"/>
        </w:rPr>
      </w:pPr>
      <w:r>
        <w:rPr>
          <w:rFonts w:hint="default"/>
          <w:color w:val="auto"/>
          <w:lang w:val="en-US" w:eastAsia="zh-CN"/>
        </w:rPr>
        <w:t>（9）运输时，发生突发性事故必须立即采取措施消除或者减轻对环境的污染危害，及时通报给附近的单位和居民，并向事故发生地县级以上人民政府环境保护行政主管部门和有关部门报告，接受调查处理。</w:t>
      </w:r>
    </w:p>
    <w:p w14:paraId="59FF6E87">
      <w:pPr>
        <w:pStyle w:val="55"/>
        <w:bidi w:val="0"/>
        <w:rPr>
          <w:rFonts w:hint="default"/>
          <w:color w:val="auto"/>
          <w:lang w:val="en-US" w:eastAsia="zh-CN"/>
        </w:rPr>
      </w:pPr>
      <w:r>
        <w:rPr>
          <w:rFonts w:hint="eastAsia"/>
          <w:color w:val="auto"/>
          <w:lang w:val="en-US" w:eastAsia="zh-CN"/>
        </w:rPr>
        <w:t>5.</w:t>
      </w:r>
      <w:r>
        <w:rPr>
          <w:rFonts w:hint="default"/>
          <w:color w:val="auto"/>
          <w:lang w:val="en-US" w:eastAsia="zh-CN"/>
        </w:rPr>
        <w:t>7.6.</w:t>
      </w:r>
      <w:r>
        <w:rPr>
          <w:rFonts w:hint="eastAsia"/>
          <w:color w:val="auto"/>
          <w:lang w:val="en-US" w:eastAsia="zh-CN"/>
        </w:rPr>
        <w:t>11</w:t>
      </w:r>
      <w:r>
        <w:rPr>
          <w:rFonts w:hint="default"/>
          <w:color w:val="auto"/>
          <w:lang w:val="en-US" w:eastAsia="zh-CN"/>
        </w:rPr>
        <w:t xml:space="preserve"> 重视和加强管理</w:t>
      </w:r>
    </w:p>
    <w:p w14:paraId="1D7361A9">
      <w:pPr>
        <w:pStyle w:val="79"/>
        <w:bidi w:val="0"/>
        <w:rPr>
          <w:rFonts w:hint="default"/>
          <w:color w:val="auto"/>
        </w:rPr>
      </w:pPr>
      <w:r>
        <w:rPr>
          <w:rFonts w:hint="default"/>
          <w:color w:val="auto"/>
        </w:rPr>
        <w:t>除采取上述安全预防措施外，还应通过提高人员素质，加强责任心教育，完善有关操作条例等方法来防止人为因素引发的事故。</w:t>
      </w:r>
    </w:p>
    <w:p w14:paraId="09BFBDC4">
      <w:pPr>
        <w:pStyle w:val="79"/>
        <w:bidi w:val="0"/>
        <w:rPr>
          <w:rFonts w:hint="default"/>
          <w:color w:val="auto"/>
        </w:rPr>
      </w:pPr>
      <w:r>
        <w:rPr>
          <w:rFonts w:hint="default"/>
          <w:color w:val="auto"/>
        </w:rPr>
        <w:t>（1）对生产操作的工人必须培训经考核后上岗，使其了解工艺过程，熟悉操作规程，对各种情况能进行正确判断。</w:t>
      </w:r>
    </w:p>
    <w:p w14:paraId="23B8B219">
      <w:pPr>
        <w:pStyle w:val="79"/>
        <w:bidi w:val="0"/>
        <w:rPr>
          <w:rFonts w:hint="default"/>
          <w:color w:val="auto"/>
        </w:rPr>
      </w:pPr>
      <w:r>
        <w:rPr>
          <w:rFonts w:hint="default"/>
          <w:color w:val="auto"/>
        </w:rPr>
        <w:t>（2）加强各级干部、职工的风险意识和环境意识教育，增强安全、环保意识。建立健全各种规章制度、规程，使制度</w:t>
      </w:r>
      <w:r>
        <w:rPr>
          <w:rFonts w:hint="eastAsia"/>
          <w:color w:val="auto"/>
          <w:lang w:eastAsia="zh-CN"/>
        </w:rPr>
        <w:t>落到实处</w:t>
      </w:r>
      <w:r>
        <w:rPr>
          <w:rFonts w:hint="default"/>
          <w:color w:val="auto"/>
        </w:rPr>
        <w:t>，严格遵守，杜绝违章作业。</w:t>
      </w:r>
    </w:p>
    <w:p w14:paraId="44AF519D">
      <w:pPr>
        <w:pStyle w:val="79"/>
        <w:bidi w:val="0"/>
        <w:rPr>
          <w:rFonts w:hint="default"/>
          <w:color w:val="auto"/>
        </w:rPr>
      </w:pPr>
      <w:r>
        <w:rPr>
          <w:rFonts w:hint="default"/>
          <w:color w:val="auto"/>
        </w:rPr>
        <w:t>（3）经常对职工进行爱岗教育，使职工安心本职工作，遵守劳动纪律，避免因责任心不强、操作中疏忽大意、擅离职守等原因造成的事故。</w:t>
      </w:r>
    </w:p>
    <w:p w14:paraId="3515CFFE">
      <w:pPr>
        <w:pStyle w:val="79"/>
        <w:bidi w:val="0"/>
        <w:rPr>
          <w:rFonts w:hint="default"/>
          <w:color w:val="auto"/>
        </w:rPr>
      </w:pPr>
      <w:r>
        <w:rPr>
          <w:rFonts w:hint="default"/>
          <w:color w:val="auto"/>
        </w:rPr>
        <w:t>（4）</w:t>
      </w:r>
      <w:r>
        <w:rPr>
          <w:rFonts w:hint="default"/>
          <w:color w:val="auto"/>
          <w:lang w:eastAsia="zh-CN"/>
        </w:rPr>
        <w:t>本工程</w:t>
      </w:r>
      <w:r>
        <w:rPr>
          <w:rFonts w:hint="default"/>
          <w:color w:val="auto"/>
        </w:rPr>
        <w:t>实施后，将</w:t>
      </w:r>
      <w:r>
        <w:rPr>
          <w:rFonts w:hint="default"/>
          <w:color w:val="auto"/>
          <w:lang w:eastAsia="zh-CN"/>
        </w:rPr>
        <w:t>本工程</w:t>
      </w:r>
      <w:r>
        <w:rPr>
          <w:rFonts w:hint="default"/>
          <w:color w:val="auto"/>
        </w:rPr>
        <w:t>相关工程纳入</w:t>
      </w:r>
      <w:r>
        <w:rPr>
          <w:rFonts w:hint="default"/>
          <w:color w:val="auto"/>
          <w:lang w:val="en-US" w:eastAsia="zh-CN"/>
        </w:rPr>
        <w:t>英买采油气管理区</w:t>
      </w:r>
      <w:r>
        <w:rPr>
          <w:rFonts w:hint="default"/>
          <w:color w:val="auto"/>
        </w:rPr>
        <w:t>环境风险应急预案中。</w:t>
      </w:r>
    </w:p>
    <w:p w14:paraId="1D8AC184">
      <w:pPr>
        <w:pStyle w:val="55"/>
        <w:bidi w:val="0"/>
        <w:rPr>
          <w:rFonts w:hint="default"/>
          <w:color w:val="auto"/>
          <w:lang w:val="en-US" w:eastAsia="zh-CN"/>
        </w:rPr>
      </w:pPr>
      <w:r>
        <w:rPr>
          <w:rFonts w:hint="eastAsia"/>
          <w:color w:val="auto"/>
          <w:lang w:val="en-US" w:eastAsia="zh-CN"/>
        </w:rPr>
        <w:t>5.</w:t>
      </w:r>
      <w:r>
        <w:rPr>
          <w:rFonts w:hint="default"/>
          <w:color w:val="auto"/>
          <w:lang w:val="en-US" w:eastAsia="zh-CN"/>
        </w:rPr>
        <w:t>7.6.1</w:t>
      </w:r>
      <w:r>
        <w:rPr>
          <w:rFonts w:hint="eastAsia"/>
          <w:color w:val="auto"/>
          <w:lang w:val="en-US" w:eastAsia="zh-CN"/>
        </w:rPr>
        <w:t>2</w:t>
      </w:r>
      <w:r>
        <w:rPr>
          <w:rFonts w:hint="default"/>
          <w:color w:val="auto"/>
          <w:lang w:val="en-US" w:eastAsia="zh-CN"/>
        </w:rPr>
        <w:t xml:space="preserve"> 环境风险应急预案</w:t>
      </w:r>
    </w:p>
    <w:p w14:paraId="77138CE0">
      <w:pPr>
        <w:pStyle w:val="79"/>
        <w:bidi w:val="0"/>
        <w:rPr>
          <w:rFonts w:hint="default"/>
          <w:color w:val="auto"/>
          <w:lang w:eastAsia="zh-CN"/>
        </w:rPr>
      </w:pPr>
      <w:r>
        <w:rPr>
          <w:rFonts w:hint="default"/>
          <w:color w:val="auto"/>
          <w:lang w:eastAsia="zh-CN"/>
        </w:rPr>
        <w:t>原英买油气开发部已完成并发布了《塔里木油田公司英买油气开发部突发环境事件应急预案》，并于2023年6月修编完成应急预案，在阿克苏地区生态环境局新和县分局进行了备案</w:t>
      </w:r>
      <w:r>
        <w:rPr>
          <w:rFonts w:hint="eastAsia"/>
          <w:color w:val="auto"/>
          <w:lang w:eastAsia="zh-CN"/>
        </w:rPr>
        <w:t>（</w:t>
      </w:r>
      <w:r>
        <w:rPr>
          <w:rFonts w:hint="default"/>
          <w:color w:val="auto"/>
          <w:lang w:eastAsia="zh-CN"/>
        </w:rPr>
        <w:t>备案编号：652925-2023-015-L</w:t>
      </w:r>
      <w:r>
        <w:rPr>
          <w:rFonts w:hint="eastAsia"/>
          <w:color w:val="auto"/>
          <w:lang w:eastAsia="zh-CN"/>
        </w:rPr>
        <w:t>），</w:t>
      </w:r>
      <w:r>
        <w:rPr>
          <w:rFonts w:hint="default"/>
          <w:color w:val="auto"/>
          <w:lang w:eastAsia="zh-CN"/>
        </w:rPr>
        <w:t>定期按照应急预案内容进行应急演练，应急物资配备齐全，出现风险事故时能够及时应对。本评价建议将本次建设内容突发环境事件应急预案纳入现有突发环境事件应急预案中，对现有突发环境事件应急预案进行必要的完善和补充。待本工程实施后，需将本工程相关内容更新至突发环境事件应急预案中。</w:t>
      </w:r>
    </w:p>
    <w:p w14:paraId="2F19A94E">
      <w:pPr>
        <w:pStyle w:val="55"/>
        <w:bidi w:val="0"/>
        <w:rPr>
          <w:rFonts w:hint="default"/>
          <w:color w:val="auto"/>
          <w:lang w:val="en-US" w:eastAsia="zh-CN"/>
        </w:rPr>
      </w:pPr>
      <w:r>
        <w:rPr>
          <w:rFonts w:hint="eastAsia"/>
          <w:color w:val="auto"/>
          <w:lang w:val="en-US" w:eastAsia="zh-CN"/>
        </w:rPr>
        <w:t>5.</w:t>
      </w:r>
      <w:r>
        <w:rPr>
          <w:rFonts w:hint="default"/>
          <w:color w:val="auto"/>
          <w:lang w:val="en-US" w:eastAsia="zh-CN"/>
        </w:rPr>
        <w:t>7.6.1</w:t>
      </w:r>
      <w:r>
        <w:rPr>
          <w:rFonts w:hint="eastAsia"/>
          <w:color w:val="auto"/>
          <w:lang w:val="en-US" w:eastAsia="zh-CN"/>
        </w:rPr>
        <w:t>3</w:t>
      </w:r>
      <w:r>
        <w:rPr>
          <w:rFonts w:hint="default"/>
          <w:color w:val="auto"/>
          <w:lang w:val="en-US" w:eastAsia="zh-CN"/>
        </w:rPr>
        <w:t xml:space="preserve"> 现有环境风险防范措施的有效性分析</w:t>
      </w:r>
    </w:p>
    <w:p w14:paraId="20BC8601">
      <w:pPr>
        <w:pStyle w:val="79"/>
        <w:bidi w:val="0"/>
        <w:rPr>
          <w:rFonts w:hint="default"/>
          <w:color w:val="auto"/>
          <w:lang w:eastAsia="zh-CN"/>
        </w:rPr>
      </w:pPr>
      <w:r>
        <w:rPr>
          <w:rFonts w:hint="default"/>
          <w:color w:val="auto"/>
          <w:lang w:eastAsia="zh-CN"/>
        </w:rPr>
        <w:t>英买采油气管理区</w:t>
      </w:r>
      <w:r>
        <w:rPr>
          <w:rFonts w:hint="default"/>
          <w:color w:val="auto"/>
        </w:rPr>
        <w:t>采用的环境风险防范措施较为齐全，制定有突发环境事件应急预案及其配套文件并在主管部门进行了备案，配备有应急物资，定期开展应急演练，与当地政府建立了应急联动机制，因此，在严格执行应急预案和应急处置的基础上，现有环境风险防范措施是有效的</w:t>
      </w:r>
      <w:r>
        <w:rPr>
          <w:rFonts w:hint="default"/>
          <w:color w:val="auto"/>
          <w:lang w:eastAsia="zh-CN"/>
        </w:rPr>
        <w:t>。</w:t>
      </w:r>
    </w:p>
    <w:p w14:paraId="63C8E4AA">
      <w:pPr>
        <w:pStyle w:val="54"/>
        <w:bidi w:val="0"/>
        <w:rPr>
          <w:rFonts w:hint="default"/>
          <w:color w:val="auto"/>
          <w:lang w:val="en-US" w:eastAsia="zh-CN"/>
        </w:rPr>
      </w:pPr>
      <w:bookmarkStart w:id="717" w:name="_Toc30571"/>
      <w:r>
        <w:rPr>
          <w:rFonts w:hint="eastAsia"/>
          <w:color w:val="auto"/>
          <w:lang w:val="en-US" w:eastAsia="zh-CN"/>
        </w:rPr>
        <w:t>5.</w:t>
      </w:r>
      <w:r>
        <w:rPr>
          <w:rFonts w:hint="default"/>
          <w:color w:val="auto"/>
          <w:lang w:val="en-US" w:eastAsia="zh-CN"/>
        </w:rPr>
        <w:t xml:space="preserve">7.7 </w:t>
      </w:r>
      <w:r>
        <w:rPr>
          <w:rFonts w:hint="eastAsia"/>
          <w:color w:val="auto"/>
          <w:lang w:val="en-US" w:eastAsia="zh-CN"/>
        </w:rPr>
        <w:t>环境</w:t>
      </w:r>
      <w:r>
        <w:rPr>
          <w:rFonts w:hint="default"/>
          <w:color w:val="auto"/>
          <w:lang w:val="en-US" w:eastAsia="zh-CN"/>
        </w:rPr>
        <w:t>风险</w:t>
      </w:r>
      <w:r>
        <w:rPr>
          <w:rFonts w:hint="eastAsia"/>
          <w:color w:val="auto"/>
          <w:lang w:val="en-US" w:eastAsia="zh-CN"/>
        </w:rPr>
        <w:t>分析</w:t>
      </w:r>
      <w:r>
        <w:rPr>
          <w:rFonts w:hint="default"/>
          <w:color w:val="auto"/>
          <w:lang w:val="en-US" w:eastAsia="zh-CN"/>
        </w:rPr>
        <w:t>结论</w:t>
      </w:r>
      <w:bookmarkEnd w:id="717"/>
    </w:p>
    <w:p w14:paraId="4079142D">
      <w:pPr>
        <w:pStyle w:val="79"/>
        <w:bidi w:val="0"/>
        <w:rPr>
          <w:rFonts w:hint="default"/>
          <w:color w:val="auto"/>
        </w:rPr>
      </w:pPr>
      <w:r>
        <w:rPr>
          <w:rFonts w:hint="default"/>
          <w:color w:val="auto"/>
          <w:lang w:eastAsia="zh-CN"/>
        </w:rPr>
        <w:t>本工程</w:t>
      </w:r>
      <w:r>
        <w:rPr>
          <w:rFonts w:hint="default"/>
          <w:color w:val="auto"/>
        </w:rPr>
        <w:t>所涉及的危险物质包括</w:t>
      </w:r>
      <w:r>
        <w:rPr>
          <w:rFonts w:hint="default"/>
          <w:color w:val="auto"/>
          <w:lang w:eastAsia="zh-CN"/>
        </w:rPr>
        <w:t>：</w:t>
      </w:r>
      <w:r>
        <w:rPr>
          <w:rFonts w:hint="default"/>
          <w:color w:val="auto"/>
        </w:rPr>
        <w:t>天然气、</w:t>
      </w:r>
      <w:r>
        <w:rPr>
          <w:rFonts w:hint="default"/>
          <w:color w:val="auto"/>
          <w:lang w:val="en-US" w:eastAsia="zh-CN"/>
        </w:rPr>
        <w:t>原油</w:t>
      </w:r>
      <w:r>
        <w:rPr>
          <w:rFonts w:hint="eastAsia"/>
          <w:color w:val="auto"/>
          <w:lang w:val="en-US" w:eastAsia="zh-CN"/>
        </w:rPr>
        <w:t>、H</w:t>
      </w:r>
      <w:r>
        <w:rPr>
          <w:rFonts w:hint="eastAsia"/>
          <w:color w:val="auto"/>
          <w:vertAlign w:val="subscript"/>
          <w:lang w:val="en-US" w:eastAsia="zh-CN"/>
        </w:rPr>
        <w:t>2</w:t>
      </w:r>
      <w:r>
        <w:rPr>
          <w:rFonts w:hint="eastAsia"/>
          <w:color w:val="auto"/>
          <w:lang w:val="en-US" w:eastAsia="zh-CN"/>
        </w:rPr>
        <w:t>S</w:t>
      </w:r>
      <w:r>
        <w:rPr>
          <w:rFonts w:hint="default"/>
          <w:color w:val="auto"/>
        </w:rPr>
        <w:t>，可能发生的风险事故包括</w:t>
      </w:r>
      <w:r>
        <w:rPr>
          <w:rFonts w:hint="default"/>
          <w:color w:val="auto"/>
          <w:lang w:eastAsia="zh-CN"/>
        </w:rPr>
        <w:t>：</w:t>
      </w:r>
      <w:r>
        <w:rPr>
          <w:rFonts w:hint="default"/>
          <w:color w:val="auto"/>
          <w:lang w:val="en-US" w:eastAsia="zh-CN"/>
        </w:rPr>
        <w:t>站场</w:t>
      </w:r>
      <w:r>
        <w:rPr>
          <w:rFonts w:hint="default"/>
          <w:color w:val="auto"/>
        </w:rPr>
        <w:t>事故、管线</w:t>
      </w:r>
      <w:r>
        <w:rPr>
          <w:rFonts w:hint="default"/>
          <w:color w:val="auto"/>
          <w:lang w:eastAsia="zh-CN"/>
        </w:rPr>
        <w:t>泄漏事故</w:t>
      </w:r>
      <w:r>
        <w:rPr>
          <w:rFonts w:hint="default"/>
          <w:color w:val="auto"/>
        </w:rPr>
        <w:t>。油气发生泄漏时，对土壤、植被、地下水会产生一定的影响，发生事故后，在严格落实本工程提出的风险防范措施的前提下，不会对周围环境产生明显影响；当泄漏事故发生时，及时、彻底清除泄漏油品、被污染的土壤，污染物不会进入地下水中，对地下水水质没有不良影响。做好事故风险防范措施，将事故发生概率减少到最低。综上所述，本工程环境风险程度属于可以防控的。</w:t>
      </w:r>
    </w:p>
    <w:p w14:paraId="2955A6D0">
      <w:pPr>
        <w:pStyle w:val="79"/>
        <w:bidi w:val="0"/>
        <w:rPr>
          <w:rFonts w:hint="default"/>
          <w:color w:val="auto"/>
          <w:lang w:val="en-US" w:eastAsia="zh-CN"/>
        </w:rPr>
      </w:pPr>
      <w:r>
        <w:rPr>
          <w:rFonts w:hint="default"/>
          <w:color w:val="auto"/>
          <w:lang w:eastAsia="zh-CN"/>
        </w:rPr>
        <w:t>本工程</w:t>
      </w:r>
      <w:r>
        <w:rPr>
          <w:rFonts w:hint="default"/>
          <w:color w:val="auto"/>
        </w:rPr>
        <w:t>环境风险简单分析内容表</w:t>
      </w:r>
      <w:r>
        <w:rPr>
          <w:rFonts w:hint="default"/>
          <w:color w:val="auto"/>
          <w:lang w:eastAsia="zh-CN"/>
        </w:rPr>
        <w:t>，</w:t>
      </w:r>
      <w:r>
        <w:rPr>
          <w:rFonts w:hint="default"/>
          <w:color w:val="auto"/>
        </w:rPr>
        <w:t>见表</w:t>
      </w:r>
      <w:r>
        <w:rPr>
          <w:rFonts w:hint="eastAsia"/>
          <w:color w:val="auto"/>
          <w:lang w:val="en-US" w:eastAsia="zh-CN"/>
        </w:rPr>
        <w:t>5.7-9</w:t>
      </w:r>
      <w:r>
        <w:rPr>
          <w:rFonts w:hint="default"/>
          <w:color w:val="auto"/>
        </w:rPr>
        <w:t>。</w:t>
      </w:r>
    </w:p>
    <w:p w14:paraId="727BA401">
      <w:pPr>
        <w:pStyle w:val="61"/>
        <w:bidi w:val="0"/>
        <w:jc w:val="both"/>
        <w:rPr>
          <w:rFonts w:hint="eastAsia"/>
          <w:color w:val="auto"/>
        </w:rPr>
      </w:pPr>
      <w:r>
        <w:rPr>
          <w:rFonts w:hint="eastAsia"/>
          <w:color w:val="auto"/>
          <w:lang w:val="en-US" w:eastAsia="zh-CN"/>
        </w:rPr>
        <w:t>表5.7-9   环境风险简单分析内容表</w:t>
      </w:r>
    </w:p>
    <w:tbl>
      <w:tblPr>
        <w:tblStyle w:val="36"/>
        <w:tblW w:w="494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3"/>
        <w:gridCol w:w="1315"/>
        <w:gridCol w:w="2194"/>
        <w:gridCol w:w="1155"/>
        <w:gridCol w:w="2266"/>
      </w:tblGrid>
      <w:tr w14:paraId="07BA89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32" w:type="pct"/>
            <w:tcBorders>
              <w:tl2br w:val="nil"/>
              <w:tr2bl w:val="nil"/>
            </w:tcBorders>
            <w:noWrap w:val="0"/>
            <w:vAlign w:val="center"/>
          </w:tcPr>
          <w:p w14:paraId="2E08DFEC">
            <w:pPr>
              <w:keepNext w:val="0"/>
              <w:keepLines w:val="0"/>
              <w:pageBreakBefore w:val="0"/>
              <w:widowControl w:val="0"/>
              <w:kinsoku/>
              <w:wordWrap/>
              <w:overflowPunct/>
              <w:topLinePunct w:val="0"/>
              <w:autoSpaceDE/>
              <w:autoSpaceDN/>
              <w:bidi w:val="0"/>
              <w:snapToGrid/>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建设项目名称</w:t>
            </w:r>
          </w:p>
        </w:tc>
        <w:tc>
          <w:tcPr>
            <w:tcW w:w="3967" w:type="pct"/>
            <w:gridSpan w:val="4"/>
            <w:tcBorders>
              <w:tl2br w:val="nil"/>
              <w:tr2bl w:val="nil"/>
            </w:tcBorders>
            <w:noWrap w:val="0"/>
            <w:vAlign w:val="center"/>
          </w:tcPr>
          <w:p w14:paraId="5230FB1E">
            <w:pPr>
              <w:keepNext w:val="0"/>
              <w:keepLines w:val="0"/>
              <w:pageBreakBefore w:val="0"/>
              <w:widowControl w:val="0"/>
              <w:kinsoku/>
              <w:wordWrap/>
              <w:overflowPunct/>
              <w:topLinePunct w:val="0"/>
              <w:autoSpaceDE/>
              <w:autoSpaceDN/>
              <w:bidi w:val="0"/>
              <w:snapToGrid/>
              <w:spacing w:line="400" w:lineRule="exact"/>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塔里木油田雄英</w:t>
            </w:r>
            <w:r>
              <w:rPr>
                <w:rFonts w:hint="eastAsia" w:cs="Times New Roman"/>
                <w:color w:val="auto"/>
                <w:szCs w:val="21"/>
                <w:highlight w:val="none"/>
                <w:lang w:val="en-US" w:eastAsia="zh-CN"/>
              </w:rPr>
              <w:t>油</w:t>
            </w:r>
            <w:r>
              <w:rPr>
                <w:rFonts w:hint="default" w:ascii="Times New Roman" w:hAnsi="Times New Roman" w:cs="Times New Roman"/>
                <w:color w:val="auto"/>
                <w:szCs w:val="21"/>
                <w:highlight w:val="none"/>
              </w:rPr>
              <w:t>田雄英1区块寒武系下丘里塔格组试采</w:t>
            </w:r>
            <w:r>
              <w:rPr>
                <w:rFonts w:hint="eastAsia" w:cs="Times New Roman"/>
                <w:color w:val="auto"/>
                <w:szCs w:val="21"/>
                <w:highlight w:val="none"/>
                <w:lang w:eastAsia="zh-CN"/>
              </w:rPr>
              <w:t>优化调整项目</w:t>
            </w:r>
          </w:p>
        </w:tc>
      </w:tr>
      <w:tr w14:paraId="386016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32" w:type="pct"/>
            <w:tcBorders>
              <w:tl2br w:val="nil"/>
              <w:tr2bl w:val="nil"/>
            </w:tcBorders>
            <w:noWrap w:val="0"/>
            <w:vAlign w:val="center"/>
          </w:tcPr>
          <w:p w14:paraId="74ED3E9D">
            <w:pPr>
              <w:keepNext w:val="0"/>
              <w:keepLines w:val="0"/>
              <w:pageBreakBefore w:val="0"/>
              <w:widowControl w:val="0"/>
              <w:kinsoku/>
              <w:wordWrap/>
              <w:overflowPunct/>
              <w:topLinePunct w:val="0"/>
              <w:autoSpaceDE/>
              <w:autoSpaceDN/>
              <w:bidi w:val="0"/>
              <w:snapToGrid/>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建设地点</w:t>
            </w:r>
          </w:p>
        </w:tc>
        <w:tc>
          <w:tcPr>
            <w:tcW w:w="3967" w:type="pct"/>
            <w:gridSpan w:val="4"/>
            <w:tcBorders>
              <w:tl2br w:val="nil"/>
              <w:tr2bl w:val="nil"/>
            </w:tcBorders>
            <w:noWrap w:val="0"/>
            <w:vAlign w:val="center"/>
          </w:tcPr>
          <w:p w14:paraId="020BAB1C">
            <w:pPr>
              <w:keepNext w:val="0"/>
              <w:keepLines w:val="0"/>
              <w:pageBreakBefore w:val="0"/>
              <w:widowControl w:val="0"/>
              <w:kinsoku/>
              <w:wordWrap/>
              <w:overflowPunct/>
              <w:topLinePunct w:val="0"/>
              <w:autoSpaceDE/>
              <w:autoSpaceDN/>
              <w:bidi w:val="0"/>
              <w:snapToGrid/>
              <w:spacing w:line="400" w:lineRule="exac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位于新疆维吾尔自治区阿克苏地区温宿县境内，西北方向距温宿县城约80.7km，东北侧距离新和县114km</w:t>
            </w:r>
          </w:p>
        </w:tc>
      </w:tr>
      <w:tr w14:paraId="650A59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32" w:type="pct"/>
            <w:tcBorders>
              <w:tl2br w:val="nil"/>
              <w:tr2bl w:val="nil"/>
            </w:tcBorders>
            <w:noWrap w:val="0"/>
            <w:vAlign w:val="center"/>
          </w:tcPr>
          <w:p w14:paraId="28BFD678">
            <w:pPr>
              <w:keepNext w:val="0"/>
              <w:keepLines w:val="0"/>
              <w:pageBreakBefore w:val="0"/>
              <w:widowControl w:val="0"/>
              <w:kinsoku/>
              <w:wordWrap/>
              <w:overflowPunct/>
              <w:topLinePunct w:val="0"/>
              <w:autoSpaceDE/>
              <w:autoSpaceDN/>
              <w:bidi w:val="0"/>
              <w:snapToGrid/>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地理坐标</w:t>
            </w:r>
          </w:p>
        </w:tc>
        <w:tc>
          <w:tcPr>
            <w:tcW w:w="753" w:type="pct"/>
            <w:tcBorders>
              <w:tl2br w:val="nil"/>
              <w:tr2bl w:val="nil"/>
            </w:tcBorders>
            <w:noWrap w:val="0"/>
            <w:vAlign w:val="center"/>
          </w:tcPr>
          <w:p w14:paraId="34A52963">
            <w:pPr>
              <w:keepNext w:val="0"/>
              <w:keepLines w:val="0"/>
              <w:pageBreakBefore w:val="0"/>
              <w:widowControl w:val="0"/>
              <w:kinsoku/>
              <w:wordWrap/>
              <w:overflowPunct/>
              <w:topLinePunct w:val="0"/>
              <w:autoSpaceDE/>
              <w:autoSpaceDN/>
              <w:bidi w:val="0"/>
              <w:snapToGrid/>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经度</w:t>
            </w:r>
          </w:p>
        </w:tc>
        <w:tc>
          <w:tcPr>
            <w:tcW w:w="1256" w:type="pct"/>
            <w:tcBorders>
              <w:tl2br w:val="nil"/>
              <w:tr2bl w:val="nil"/>
            </w:tcBorders>
            <w:noWrap w:val="0"/>
            <w:vAlign w:val="center"/>
          </w:tcPr>
          <w:p w14:paraId="2DE9FBF1">
            <w:pPr>
              <w:keepNext w:val="0"/>
              <w:keepLines w:val="0"/>
              <w:pageBreakBefore w:val="0"/>
              <w:widowControl w:val="0"/>
              <w:kinsoku/>
              <w:wordWrap/>
              <w:overflowPunct/>
              <w:topLinePunct w:val="0"/>
              <w:autoSpaceDE/>
              <w:autoSpaceDN/>
              <w:bidi w:val="0"/>
              <w:snapToGrid/>
              <w:spacing w:line="400" w:lineRule="exact"/>
              <w:jc w:val="center"/>
              <w:rPr>
                <w:rFonts w:hint="default" w:ascii="Times New Roman" w:hAnsi="Times New Roman" w:cs="Times New Roman"/>
                <w:color w:val="auto"/>
                <w:szCs w:val="21"/>
                <w:highlight w:val="none"/>
              </w:rPr>
            </w:pPr>
          </w:p>
        </w:tc>
        <w:tc>
          <w:tcPr>
            <w:tcW w:w="661" w:type="pct"/>
            <w:tcBorders>
              <w:tl2br w:val="nil"/>
              <w:tr2bl w:val="nil"/>
            </w:tcBorders>
            <w:noWrap w:val="0"/>
            <w:vAlign w:val="center"/>
          </w:tcPr>
          <w:p w14:paraId="1632FE1E">
            <w:pPr>
              <w:keepNext w:val="0"/>
              <w:keepLines w:val="0"/>
              <w:pageBreakBefore w:val="0"/>
              <w:widowControl w:val="0"/>
              <w:kinsoku/>
              <w:wordWrap/>
              <w:overflowPunct/>
              <w:topLinePunct w:val="0"/>
              <w:autoSpaceDE/>
              <w:autoSpaceDN/>
              <w:bidi w:val="0"/>
              <w:snapToGrid/>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纬度</w:t>
            </w:r>
          </w:p>
        </w:tc>
        <w:tc>
          <w:tcPr>
            <w:tcW w:w="1295" w:type="pct"/>
            <w:tcBorders>
              <w:tl2br w:val="nil"/>
              <w:tr2bl w:val="nil"/>
            </w:tcBorders>
            <w:noWrap w:val="0"/>
            <w:vAlign w:val="center"/>
          </w:tcPr>
          <w:p w14:paraId="5C812CD6">
            <w:pPr>
              <w:keepNext w:val="0"/>
              <w:keepLines w:val="0"/>
              <w:pageBreakBefore w:val="0"/>
              <w:widowControl w:val="0"/>
              <w:kinsoku/>
              <w:wordWrap/>
              <w:overflowPunct/>
              <w:topLinePunct w:val="0"/>
              <w:autoSpaceDE/>
              <w:autoSpaceDN/>
              <w:bidi w:val="0"/>
              <w:snapToGrid/>
              <w:spacing w:line="400" w:lineRule="exact"/>
              <w:jc w:val="center"/>
              <w:rPr>
                <w:rFonts w:hint="default" w:ascii="Times New Roman" w:hAnsi="Times New Roman" w:cs="Times New Roman"/>
                <w:color w:val="auto"/>
                <w:szCs w:val="21"/>
                <w:highlight w:val="none"/>
              </w:rPr>
            </w:pPr>
          </w:p>
        </w:tc>
      </w:tr>
      <w:tr w14:paraId="74267D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32" w:type="pct"/>
            <w:tcBorders>
              <w:tl2br w:val="nil"/>
              <w:tr2bl w:val="nil"/>
            </w:tcBorders>
            <w:noWrap w:val="0"/>
            <w:vAlign w:val="center"/>
          </w:tcPr>
          <w:p w14:paraId="7FBC8A1E">
            <w:pPr>
              <w:keepNext w:val="0"/>
              <w:keepLines w:val="0"/>
              <w:pageBreakBefore w:val="0"/>
              <w:widowControl w:val="0"/>
              <w:kinsoku/>
              <w:wordWrap/>
              <w:overflowPunct/>
              <w:topLinePunct w:val="0"/>
              <w:autoSpaceDE/>
              <w:autoSpaceDN/>
              <w:bidi w:val="0"/>
              <w:snapToGrid/>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主要危险物质</w:t>
            </w:r>
          </w:p>
          <w:p w14:paraId="67C9648D">
            <w:pPr>
              <w:keepNext w:val="0"/>
              <w:keepLines w:val="0"/>
              <w:pageBreakBefore w:val="0"/>
              <w:widowControl w:val="0"/>
              <w:kinsoku/>
              <w:wordWrap/>
              <w:overflowPunct/>
              <w:topLinePunct w:val="0"/>
              <w:autoSpaceDE/>
              <w:autoSpaceDN/>
              <w:bidi w:val="0"/>
              <w:snapToGrid/>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及分布</w:t>
            </w:r>
          </w:p>
        </w:tc>
        <w:tc>
          <w:tcPr>
            <w:tcW w:w="3967" w:type="pct"/>
            <w:gridSpan w:val="4"/>
            <w:tcBorders>
              <w:tl2br w:val="nil"/>
              <w:tr2bl w:val="nil"/>
            </w:tcBorders>
            <w:noWrap w:val="0"/>
            <w:vAlign w:val="center"/>
          </w:tcPr>
          <w:p w14:paraId="055094C1">
            <w:pPr>
              <w:keepNext w:val="0"/>
              <w:keepLines w:val="0"/>
              <w:pageBreakBefore w:val="0"/>
              <w:widowControl w:val="0"/>
              <w:kinsoku/>
              <w:wordWrap/>
              <w:overflowPunct/>
              <w:topLinePunct w:val="0"/>
              <w:autoSpaceDE/>
              <w:autoSpaceDN/>
              <w:bidi w:val="0"/>
              <w:adjustRightInd w:val="0"/>
              <w:snapToGrid/>
              <w:spacing w:line="400" w:lineRule="exact"/>
              <w:jc w:val="center"/>
              <w:textAlignment w:val="baseline"/>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主要危险物质：原油</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天然气</w:t>
            </w:r>
            <w:r>
              <w:rPr>
                <w:rFonts w:hint="eastAsia" w:cs="Times New Roman"/>
                <w:color w:val="auto"/>
                <w:szCs w:val="21"/>
                <w:highlight w:val="none"/>
                <w:lang w:eastAsia="zh-CN"/>
              </w:rPr>
              <w:t>、</w:t>
            </w:r>
            <w:r>
              <w:rPr>
                <w:rFonts w:hint="eastAsia" w:cs="Times New Roman"/>
                <w:color w:val="auto"/>
                <w:szCs w:val="21"/>
                <w:highlight w:val="none"/>
                <w:lang w:val="en-US" w:eastAsia="zh-CN"/>
              </w:rPr>
              <w:t>H</w:t>
            </w:r>
            <w:r>
              <w:rPr>
                <w:rFonts w:hint="eastAsia" w:cs="Times New Roman"/>
                <w:color w:val="auto"/>
                <w:szCs w:val="21"/>
                <w:highlight w:val="none"/>
                <w:vertAlign w:val="subscript"/>
                <w:lang w:val="en-US" w:eastAsia="zh-CN"/>
              </w:rPr>
              <w:t>2</w:t>
            </w:r>
            <w:r>
              <w:rPr>
                <w:rFonts w:hint="eastAsia" w:cs="Times New Roman"/>
                <w:color w:val="auto"/>
                <w:szCs w:val="21"/>
                <w:highlight w:val="none"/>
                <w:lang w:val="en-US" w:eastAsia="zh-CN"/>
              </w:rPr>
              <w:t>S、甲醇</w:t>
            </w:r>
            <w:r>
              <w:rPr>
                <w:rFonts w:hint="default" w:ascii="Times New Roman" w:hAnsi="Times New Roman" w:cs="Times New Roman"/>
                <w:color w:val="auto"/>
                <w:szCs w:val="21"/>
                <w:highlight w:val="none"/>
              </w:rPr>
              <w:t>；分布：</w:t>
            </w:r>
            <w:r>
              <w:rPr>
                <w:rFonts w:hint="default" w:ascii="Times New Roman" w:hAnsi="Times New Roman" w:cs="Times New Roman"/>
                <w:color w:val="auto"/>
                <w:szCs w:val="21"/>
                <w:highlight w:val="none"/>
                <w:lang w:val="en-US" w:eastAsia="zh-CN"/>
              </w:rPr>
              <w:t>站场</w:t>
            </w:r>
            <w:r>
              <w:rPr>
                <w:rFonts w:hint="default" w:ascii="Times New Roman" w:hAnsi="Times New Roman" w:cs="Times New Roman"/>
                <w:color w:val="auto"/>
                <w:szCs w:val="21"/>
                <w:highlight w:val="none"/>
              </w:rPr>
              <w:t>、集输管线</w:t>
            </w:r>
          </w:p>
        </w:tc>
      </w:tr>
      <w:tr w14:paraId="70D636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32" w:type="pct"/>
            <w:tcBorders>
              <w:tl2br w:val="nil"/>
              <w:tr2bl w:val="nil"/>
            </w:tcBorders>
            <w:noWrap w:val="0"/>
            <w:vAlign w:val="center"/>
          </w:tcPr>
          <w:p w14:paraId="13AB33F8">
            <w:pPr>
              <w:keepNext w:val="0"/>
              <w:keepLines w:val="0"/>
              <w:pageBreakBefore w:val="0"/>
              <w:widowControl w:val="0"/>
              <w:kinsoku/>
              <w:wordWrap/>
              <w:overflowPunct/>
              <w:topLinePunct w:val="0"/>
              <w:autoSpaceDE/>
              <w:autoSpaceDN/>
              <w:bidi w:val="0"/>
              <w:snapToGrid/>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pacing w:val="-11"/>
                <w:sz w:val="21"/>
                <w:szCs w:val="21"/>
                <w:highlight w:val="none"/>
              </w:rPr>
              <w:t>环境影响途径及危害后果（大气、地表水、地下水等）</w:t>
            </w:r>
          </w:p>
        </w:tc>
        <w:tc>
          <w:tcPr>
            <w:tcW w:w="3967" w:type="pct"/>
            <w:gridSpan w:val="4"/>
            <w:tcBorders>
              <w:tl2br w:val="nil"/>
              <w:tr2bl w:val="nil"/>
            </w:tcBorders>
            <w:noWrap w:val="0"/>
            <w:vAlign w:val="center"/>
          </w:tcPr>
          <w:p w14:paraId="5386F8E6">
            <w:pPr>
              <w:keepNext w:val="0"/>
              <w:keepLines w:val="0"/>
              <w:pageBreakBefore w:val="0"/>
              <w:widowControl w:val="0"/>
              <w:kinsoku/>
              <w:wordWrap/>
              <w:overflowPunct/>
              <w:topLinePunct w:val="0"/>
              <w:autoSpaceDE/>
              <w:autoSpaceDN/>
              <w:bidi w:val="0"/>
              <w:snapToGrid/>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本工程</w:t>
            </w:r>
            <w:r>
              <w:rPr>
                <w:rFonts w:hint="default" w:ascii="Times New Roman" w:hAnsi="Times New Roman" w:cs="Times New Roman"/>
                <w:color w:val="auto"/>
                <w:szCs w:val="21"/>
                <w:highlight w:val="none"/>
              </w:rPr>
              <w:t>可能发生的环境风险主要包括</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井喷、油类物质泄漏、火灾、爆炸等引发的伴生/次生污染物排放。</w:t>
            </w:r>
          </w:p>
          <w:p w14:paraId="5A800E02">
            <w:pPr>
              <w:keepNext w:val="0"/>
              <w:keepLines w:val="0"/>
              <w:pageBreakBefore w:val="0"/>
              <w:widowControl w:val="0"/>
              <w:kinsoku/>
              <w:wordWrap/>
              <w:overflowPunct/>
              <w:topLinePunct w:val="0"/>
              <w:autoSpaceDE/>
              <w:autoSpaceDN/>
              <w:bidi w:val="0"/>
              <w:snapToGrid/>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运营期管线发生破损造成</w:t>
            </w:r>
            <w:r>
              <w:rPr>
                <w:rFonts w:hint="default" w:ascii="Times New Roman" w:hAnsi="Times New Roman" w:cs="Times New Roman"/>
                <w:color w:val="auto"/>
                <w:szCs w:val="21"/>
                <w:highlight w:val="none"/>
                <w:lang w:val="en-US" w:eastAsia="zh-CN"/>
              </w:rPr>
              <w:t>油气</w:t>
            </w:r>
            <w:r>
              <w:rPr>
                <w:rFonts w:hint="default" w:ascii="Times New Roman" w:hAnsi="Times New Roman" w:cs="Times New Roman"/>
                <w:color w:val="auto"/>
                <w:szCs w:val="21"/>
                <w:highlight w:val="none"/>
              </w:rPr>
              <w:t>泄漏，以及井喷均会污染土壤和大气，泄漏的油品有可能通过包气带渗漏进入地下含水层，污染地下水；泄漏的油气若遇明火，发生火灾、爆炸，污染大气环境。</w:t>
            </w:r>
          </w:p>
        </w:tc>
      </w:tr>
      <w:tr w14:paraId="63B474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32" w:type="pct"/>
            <w:tcBorders>
              <w:tl2br w:val="nil"/>
              <w:tr2bl w:val="nil"/>
            </w:tcBorders>
            <w:noWrap w:val="0"/>
            <w:vAlign w:val="center"/>
          </w:tcPr>
          <w:p w14:paraId="1A800D66">
            <w:pPr>
              <w:keepNext w:val="0"/>
              <w:keepLines w:val="0"/>
              <w:pageBreakBefore w:val="0"/>
              <w:widowControl w:val="0"/>
              <w:kinsoku/>
              <w:wordWrap/>
              <w:overflowPunct/>
              <w:topLinePunct w:val="0"/>
              <w:autoSpaceDE/>
              <w:autoSpaceDN/>
              <w:bidi w:val="0"/>
              <w:snapToGrid/>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风险防范措施要求</w:t>
            </w:r>
          </w:p>
        </w:tc>
        <w:tc>
          <w:tcPr>
            <w:tcW w:w="3967" w:type="pct"/>
            <w:gridSpan w:val="4"/>
            <w:tcBorders>
              <w:tl2br w:val="nil"/>
              <w:tr2bl w:val="nil"/>
            </w:tcBorders>
            <w:noWrap w:val="0"/>
            <w:vAlign w:val="center"/>
          </w:tcPr>
          <w:p w14:paraId="33043C22">
            <w:pPr>
              <w:keepNext w:val="0"/>
              <w:keepLines w:val="0"/>
              <w:pageBreakBefore w:val="0"/>
              <w:widowControl w:val="0"/>
              <w:kinsoku/>
              <w:wordWrap/>
              <w:overflowPunct/>
              <w:topLinePunct w:val="0"/>
              <w:autoSpaceDE/>
              <w:autoSpaceDN/>
              <w:bidi w:val="0"/>
              <w:snapToGrid/>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pacing w:val="-6"/>
                <w:sz w:val="21"/>
                <w:szCs w:val="21"/>
                <w:highlight w:val="none"/>
              </w:rPr>
              <w:t>①生产中采取有效预防措施，严格遵守井下作业的安全规定，在井口安装防喷器和控制装置，杜绝井喷的发生；②制定安全生产方针、政策、计划和各种规范，完善安全管理制度和安全操作规程，建立健全环境管理体系和监测体系，完善各种规章制度标准；③定期对管线进行巡视，定期进行管道壁厚和防腐情况检测；④制定环境风险应急预案，定期演练。</w:t>
            </w:r>
          </w:p>
        </w:tc>
      </w:tr>
    </w:tbl>
    <w:p w14:paraId="4E78F0DE">
      <w:pPr>
        <w:bidi w:val="0"/>
        <w:rPr>
          <w:rFonts w:hint="default"/>
          <w:color w:val="auto"/>
          <w:lang w:val="en-US" w:eastAsia="zh-CN"/>
        </w:rPr>
      </w:pPr>
    </w:p>
    <w:p w14:paraId="43A576B8">
      <w:pPr>
        <w:bidi w:val="0"/>
        <w:rPr>
          <w:rFonts w:hint="default"/>
          <w:color w:val="auto"/>
          <w:lang w:val="en-US" w:eastAsia="zh-CN"/>
        </w:rPr>
      </w:pPr>
    </w:p>
    <w:p w14:paraId="23C81593">
      <w:pPr>
        <w:bidi w:val="0"/>
        <w:rPr>
          <w:rFonts w:hint="default"/>
          <w:color w:val="auto"/>
          <w:lang w:val="en-US" w:eastAsia="zh-CN"/>
        </w:rPr>
        <w:sectPr>
          <w:pgSz w:w="11906"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AndChars" w:linePitch="316" w:charSpace="0"/>
        </w:sectPr>
      </w:pPr>
    </w:p>
    <w:bookmarkEnd w:id="703"/>
    <w:bookmarkEnd w:id="704"/>
    <w:bookmarkEnd w:id="705"/>
    <w:bookmarkEnd w:id="706"/>
    <w:p w14:paraId="40FEDC84">
      <w:pPr>
        <w:pStyle w:val="49"/>
        <w:bidi w:val="0"/>
        <w:rPr>
          <w:rFonts w:hint="default"/>
          <w:color w:val="auto"/>
        </w:rPr>
      </w:pPr>
      <w:bookmarkStart w:id="718" w:name="_Toc23646"/>
      <w:r>
        <w:rPr>
          <w:rFonts w:hint="default"/>
          <w:color w:val="auto"/>
        </w:rPr>
        <w:t>6</w:t>
      </w:r>
      <w:r>
        <w:rPr>
          <w:rFonts w:hint="eastAsia"/>
          <w:color w:val="auto"/>
          <w:lang w:val="en-US" w:eastAsia="zh-CN"/>
        </w:rPr>
        <w:t xml:space="preserve"> </w:t>
      </w:r>
      <w:r>
        <w:rPr>
          <w:rFonts w:hint="default"/>
          <w:color w:val="auto"/>
        </w:rPr>
        <w:t>环境保护措施及可行性论证</w:t>
      </w:r>
      <w:bookmarkEnd w:id="707"/>
      <w:bookmarkEnd w:id="708"/>
      <w:bookmarkEnd w:id="709"/>
      <w:bookmarkEnd w:id="710"/>
      <w:bookmarkEnd w:id="711"/>
      <w:bookmarkEnd w:id="718"/>
    </w:p>
    <w:p w14:paraId="27FFD9C1">
      <w:pPr>
        <w:pStyle w:val="79"/>
        <w:bidi w:val="0"/>
        <w:rPr>
          <w:rFonts w:hint="default"/>
          <w:color w:val="auto"/>
          <w:lang w:val="zh-CN"/>
        </w:rPr>
      </w:pPr>
      <w:bookmarkStart w:id="719" w:name="_Toc24608"/>
      <w:r>
        <w:rPr>
          <w:rFonts w:hint="default"/>
          <w:color w:val="auto"/>
        </w:rPr>
        <w:t>本工程实施过程中，会对评价区内的水环境、环境空气、土壤环境等造成不同程度的影响。本章分别对项目在施工期、运营期和退役期拟采取的措施及各专题评价提出的措施进行分析和论证。</w:t>
      </w:r>
    </w:p>
    <w:p w14:paraId="187E4CBA">
      <w:pPr>
        <w:pStyle w:val="75"/>
        <w:bidi w:val="0"/>
        <w:rPr>
          <w:rFonts w:hint="default"/>
          <w:color w:val="auto"/>
          <w:lang w:val="en-US" w:eastAsia="zh-CN"/>
        </w:rPr>
      </w:pPr>
      <w:bookmarkStart w:id="720" w:name="_Toc15513"/>
      <w:bookmarkStart w:id="721" w:name="_Toc11649"/>
      <w:bookmarkStart w:id="722" w:name="_Toc17449"/>
      <w:bookmarkStart w:id="723" w:name="_Toc18046"/>
      <w:bookmarkStart w:id="724" w:name="_Toc12366"/>
      <w:bookmarkStart w:id="725" w:name="_Toc119915028"/>
      <w:bookmarkStart w:id="726" w:name="_Toc14772"/>
      <w:bookmarkStart w:id="727" w:name="_Toc24413"/>
      <w:bookmarkStart w:id="728" w:name="_Toc31943"/>
      <w:bookmarkStart w:id="729" w:name="_Hlk71996307"/>
      <w:bookmarkStart w:id="730" w:name="_Toc13573"/>
      <w:r>
        <w:rPr>
          <w:rFonts w:hint="eastAsia"/>
          <w:color w:val="auto"/>
          <w:lang w:val="en-US" w:eastAsia="zh-CN"/>
        </w:rPr>
        <w:t>6.1生态保护措施可行性论证</w:t>
      </w:r>
      <w:bookmarkEnd w:id="720"/>
    </w:p>
    <w:p w14:paraId="6E2BAF78">
      <w:pPr>
        <w:pStyle w:val="54"/>
        <w:bidi w:val="0"/>
        <w:rPr>
          <w:rFonts w:hint="default"/>
          <w:color w:val="auto"/>
          <w:lang w:val="en-US" w:eastAsia="zh-CN"/>
        </w:rPr>
      </w:pPr>
      <w:r>
        <w:rPr>
          <w:rFonts w:hint="default"/>
          <w:color w:val="auto"/>
          <w:lang w:val="en-US" w:eastAsia="zh-CN"/>
        </w:rPr>
        <w:t>6.</w:t>
      </w:r>
      <w:r>
        <w:rPr>
          <w:rFonts w:hint="eastAsia"/>
          <w:color w:val="auto"/>
          <w:lang w:val="en-US" w:eastAsia="zh-CN"/>
        </w:rPr>
        <w:t xml:space="preserve">1.1 </w:t>
      </w:r>
      <w:r>
        <w:rPr>
          <w:rFonts w:hint="default"/>
          <w:color w:val="auto"/>
          <w:lang w:val="en-US" w:eastAsia="zh-CN"/>
        </w:rPr>
        <w:t>施工期</w:t>
      </w:r>
      <w:r>
        <w:rPr>
          <w:rFonts w:hint="eastAsia"/>
          <w:color w:val="auto"/>
          <w:lang w:val="en-US" w:eastAsia="zh-CN"/>
        </w:rPr>
        <w:t>生态</w:t>
      </w:r>
      <w:r>
        <w:rPr>
          <w:rFonts w:hint="default"/>
          <w:color w:val="auto"/>
          <w:lang w:val="en-US" w:eastAsia="zh-CN"/>
        </w:rPr>
        <w:t>保护措施</w:t>
      </w:r>
      <w:bookmarkEnd w:id="721"/>
      <w:bookmarkEnd w:id="722"/>
      <w:bookmarkEnd w:id="723"/>
      <w:bookmarkEnd w:id="724"/>
      <w:bookmarkEnd w:id="725"/>
      <w:bookmarkEnd w:id="726"/>
    </w:p>
    <w:p w14:paraId="1A04C712">
      <w:pPr>
        <w:pStyle w:val="79"/>
        <w:bidi w:val="0"/>
        <w:rPr>
          <w:rFonts w:hint="eastAsia"/>
          <w:color w:val="auto"/>
        </w:rPr>
      </w:pPr>
      <w:r>
        <w:rPr>
          <w:rFonts w:hint="eastAsia"/>
          <w:color w:val="auto"/>
          <w:lang w:eastAsia="zh-CN"/>
        </w:rPr>
        <w:t>本工程</w:t>
      </w:r>
      <w:r>
        <w:rPr>
          <w:color w:val="auto"/>
        </w:rPr>
        <w:t>施工期对环境的影响主要来自</w:t>
      </w:r>
      <w:r>
        <w:rPr>
          <w:rFonts w:hint="eastAsia"/>
          <w:color w:val="auto"/>
          <w:lang w:val="en-US" w:eastAsia="zh-CN"/>
        </w:rPr>
        <w:t>站场</w:t>
      </w:r>
      <w:r>
        <w:rPr>
          <w:rFonts w:hint="eastAsia"/>
          <w:color w:val="auto"/>
        </w:rPr>
        <w:t>施工</w:t>
      </w:r>
      <w:r>
        <w:rPr>
          <w:rFonts w:hint="eastAsia"/>
          <w:color w:val="auto"/>
          <w:lang w:val="en-US" w:eastAsia="zh-CN"/>
        </w:rPr>
        <w:t>和</w:t>
      </w:r>
      <w:r>
        <w:rPr>
          <w:color w:val="auto"/>
        </w:rPr>
        <w:t>管线敷设等方面。</w:t>
      </w:r>
      <w:r>
        <w:rPr>
          <w:rFonts w:hint="eastAsia"/>
          <w:color w:val="auto"/>
        </w:rPr>
        <w:t>开发建设期环境影响的特点是持续时间短，对地表的破坏性强，在地面建设结束后，可在一定时期消失；但如果污染防治和生态保护措施不当，可能持续很长时间，并且不可逆转，例如对生态环境的破坏。</w:t>
      </w:r>
    </w:p>
    <w:p w14:paraId="2722B8C3">
      <w:pPr>
        <w:pStyle w:val="79"/>
        <w:bidi w:val="0"/>
        <w:rPr>
          <w:color w:val="auto"/>
        </w:rPr>
      </w:pPr>
      <w:r>
        <w:rPr>
          <w:color w:val="auto"/>
        </w:rPr>
        <w:t>在项目可研及已建工程采取的生态环境影响减缓措施的基础上，根据</w:t>
      </w:r>
      <w:r>
        <w:rPr>
          <w:rFonts w:hint="eastAsia"/>
          <w:color w:val="auto"/>
          <w:lang w:eastAsia="zh-CN"/>
        </w:rPr>
        <w:t>本工程</w:t>
      </w:r>
      <w:r>
        <w:rPr>
          <w:color w:val="auto"/>
        </w:rPr>
        <w:t>对生态环境可能产生的不利影响，评价提出防范措施。</w:t>
      </w:r>
    </w:p>
    <w:p w14:paraId="7EA0EB5B">
      <w:pPr>
        <w:pStyle w:val="55"/>
        <w:bidi w:val="0"/>
        <w:rPr>
          <w:rFonts w:hint="default"/>
          <w:color w:val="auto"/>
        </w:rPr>
      </w:pPr>
      <w:r>
        <w:rPr>
          <w:rFonts w:hint="default"/>
          <w:color w:val="auto"/>
        </w:rPr>
        <w:t>6.</w:t>
      </w:r>
      <w:r>
        <w:rPr>
          <w:rFonts w:hint="eastAsia"/>
          <w:color w:val="auto"/>
          <w:lang w:val="en-US" w:eastAsia="zh-CN"/>
        </w:rPr>
        <w:t>1</w:t>
      </w:r>
      <w:r>
        <w:rPr>
          <w:rFonts w:hint="default"/>
          <w:color w:val="auto"/>
        </w:rPr>
        <w:t>.</w:t>
      </w:r>
      <w:r>
        <w:rPr>
          <w:rFonts w:hint="eastAsia"/>
          <w:color w:val="auto"/>
          <w:lang w:val="en-US" w:eastAsia="zh-CN"/>
        </w:rPr>
        <w:t>1</w:t>
      </w:r>
      <w:r>
        <w:rPr>
          <w:rFonts w:hint="default"/>
          <w:color w:val="auto"/>
        </w:rPr>
        <w:t>.1</w:t>
      </w:r>
      <w:r>
        <w:rPr>
          <w:rFonts w:hint="eastAsia"/>
          <w:color w:val="auto"/>
          <w:lang w:val="en-US" w:eastAsia="zh-CN"/>
        </w:rPr>
        <w:t xml:space="preserve"> 站场</w:t>
      </w:r>
      <w:r>
        <w:rPr>
          <w:rFonts w:hint="default"/>
          <w:color w:val="auto"/>
          <w:lang w:val="en-US" w:eastAsia="zh-CN"/>
        </w:rPr>
        <w:t>工程</w:t>
      </w:r>
      <w:r>
        <w:rPr>
          <w:rFonts w:hint="default"/>
          <w:color w:val="auto"/>
        </w:rPr>
        <w:t>生态环境保护措施</w:t>
      </w:r>
    </w:p>
    <w:p w14:paraId="24BD0C99">
      <w:pPr>
        <w:pStyle w:val="79"/>
        <w:numPr>
          <w:ilvl w:val="0"/>
          <w:numId w:val="4"/>
        </w:numPr>
        <w:bidi w:val="0"/>
        <w:rPr>
          <w:rFonts w:hint="default"/>
          <w:color w:val="auto"/>
        </w:rPr>
      </w:pPr>
      <w:r>
        <w:rPr>
          <w:rFonts w:hint="default"/>
          <w:color w:val="auto"/>
        </w:rPr>
        <w:t>对站场永久性占地合理规划，严格控制临时占地面积，尽量避让植被较多的区域，</w:t>
      </w:r>
      <w:r>
        <w:rPr>
          <w:color w:val="auto"/>
        </w:rPr>
        <w:t>严格按照有关规定办理建设用地审批手续</w:t>
      </w:r>
      <w:r>
        <w:rPr>
          <w:rFonts w:hint="default"/>
          <w:color w:val="auto"/>
          <w:lang w:eastAsia="zh-CN"/>
        </w:rPr>
        <w:t>；</w:t>
      </w:r>
      <w:r>
        <w:rPr>
          <w:rFonts w:hint="default"/>
          <w:color w:val="auto"/>
        </w:rPr>
        <w:t>对永久性占地进行地面硬化</w:t>
      </w:r>
      <w:r>
        <w:rPr>
          <w:rFonts w:hint="default"/>
          <w:color w:val="auto"/>
          <w:lang w:eastAsia="zh-CN"/>
        </w:rPr>
        <w:t>，</w:t>
      </w:r>
      <w:r>
        <w:rPr>
          <w:rFonts w:hint="default"/>
          <w:color w:val="auto"/>
        </w:rPr>
        <w:t>以减少风蚀量。</w:t>
      </w:r>
    </w:p>
    <w:p w14:paraId="7D49E5C6">
      <w:pPr>
        <w:pStyle w:val="79"/>
        <w:numPr>
          <w:ilvl w:val="0"/>
          <w:numId w:val="4"/>
        </w:numPr>
        <w:bidi w:val="0"/>
        <w:rPr>
          <w:rFonts w:hint="default"/>
          <w:color w:val="auto"/>
        </w:rPr>
      </w:pPr>
      <w:r>
        <w:rPr>
          <w:rFonts w:hint="default"/>
          <w:color w:val="auto"/>
        </w:rPr>
        <w:t>对</w:t>
      </w:r>
      <w:r>
        <w:rPr>
          <w:rFonts w:hint="default"/>
          <w:color w:val="auto"/>
          <w:lang w:val="en-US" w:eastAsia="zh-CN"/>
        </w:rPr>
        <w:t>工程</w:t>
      </w:r>
      <w:r>
        <w:rPr>
          <w:rFonts w:hint="default"/>
          <w:color w:val="auto"/>
        </w:rPr>
        <w:t>占地范围外的区域严禁机械及车辆进入、占用，禁止乱轧乱碾，避免破坏自然植被，造成土地松动。站场施工在开挖地表、平整土地时，临时堆土必须进行拦挡，施工完毕，应尽快整理施工现场。</w:t>
      </w:r>
    </w:p>
    <w:p w14:paraId="1A5F8595">
      <w:pPr>
        <w:pStyle w:val="79"/>
        <w:numPr>
          <w:ilvl w:val="0"/>
          <w:numId w:val="4"/>
        </w:numPr>
        <w:bidi w:val="0"/>
        <w:rPr>
          <w:rFonts w:hint="default"/>
          <w:color w:val="auto"/>
        </w:rPr>
      </w:pPr>
      <w:r>
        <w:rPr>
          <w:rFonts w:hint="default"/>
          <w:color w:val="auto"/>
        </w:rPr>
        <w:t>加强工程区的野生动物保护，对施工人员进行野生动物保护法的宣传教育，严禁施工人员猎杀野生动物。</w:t>
      </w:r>
    </w:p>
    <w:p w14:paraId="0C2545D2">
      <w:pPr>
        <w:pStyle w:val="79"/>
        <w:numPr>
          <w:ilvl w:val="0"/>
          <w:numId w:val="4"/>
        </w:numPr>
        <w:bidi w:val="0"/>
        <w:rPr>
          <w:rFonts w:hint="default"/>
          <w:color w:val="auto"/>
        </w:rPr>
      </w:pPr>
      <w:r>
        <w:rPr>
          <w:rFonts w:hint="default"/>
          <w:color w:val="auto"/>
        </w:rPr>
        <w:t>严格落实环评所提环保措施，加强施工管理，杜绝废水固废乱堆乱排的现象，避免施工期废水、固废等对自然植被及土壤造成不良影响。</w:t>
      </w:r>
    </w:p>
    <w:p w14:paraId="425ECCC6">
      <w:pPr>
        <w:pStyle w:val="79"/>
        <w:numPr>
          <w:ilvl w:val="0"/>
          <w:numId w:val="4"/>
        </w:numPr>
        <w:bidi w:val="0"/>
        <w:rPr>
          <w:rFonts w:hint="default"/>
          <w:color w:val="auto"/>
        </w:rPr>
      </w:pPr>
      <w:r>
        <w:rPr>
          <w:rFonts w:hint="default"/>
          <w:color w:val="auto"/>
        </w:rPr>
        <w:t>及时清理施工现场，做到“工完、料净、场地清”。工程结束后，建设单位应承担恢复生态的责任，及时对临时占地区域进行平整、恢复原貌，使占地造成的影响逐步得以恢复。</w:t>
      </w:r>
    </w:p>
    <w:p w14:paraId="664653C5">
      <w:pPr>
        <w:pStyle w:val="55"/>
        <w:bidi w:val="0"/>
        <w:rPr>
          <w:rFonts w:hint="default"/>
          <w:color w:val="auto"/>
          <w:lang w:val="en-US" w:eastAsia="zh-CN"/>
        </w:rPr>
      </w:pPr>
      <w:r>
        <w:rPr>
          <w:rFonts w:hint="default"/>
          <w:color w:val="auto"/>
          <w:lang w:val="en-US" w:eastAsia="zh-CN"/>
        </w:rPr>
        <w:t>6.</w:t>
      </w:r>
      <w:r>
        <w:rPr>
          <w:rFonts w:hint="eastAsia"/>
          <w:color w:val="auto"/>
          <w:lang w:val="en-US" w:eastAsia="zh-CN"/>
        </w:rPr>
        <w:t>1</w:t>
      </w:r>
      <w:r>
        <w:rPr>
          <w:rFonts w:hint="default"/>
          <w:color w:val="auto"/>
          <w:lang w:val="en-US" w:eastAsia="zh-CN"/>
        </w:rPr>
        <w:t>.</w:t>
      </w:r>
      <w:r>
        <w:rPr>
          <w:rFonts w:hint="eastAsia"/>
          <w:color w:val="auto"/>
          <w:lang w:val="en-US" w:eastAsia="zh-CN"/>
        </w:rPr>
        <w:t>1</w:t>
      </w:r>
      <w:r>
        <w:rPr>
          <w:rFonts w:hint="default"/>
          <w:color w:val="auto"/>
          <w:lang w:val="en-US" w:eastAsia="zh-CN"/>
        </w:rPr>
        <w:t>.</w:t>
      </w:r>
      <w:r>
        <w:rPr>
          <w:rFonts w:hint="eastAsia"/>
          <w:color w:val="auto"/>
          <w:lang w:val="en-US" w:eastAsia="zh-CN"/>
        </w:rPr>
        <w:t xml:space="preserve">2 </w:t>
      </w:r>
      <w:r>
        <w:rPr>
          <w:rFonts w:hint="default"/>
          <w:color w:val="auto"/>
          <w:lang w:val="en-US" w:eastAsia="zh-CN"/>
        </w:rPr>
        <w:t>管线工程生态保护措施</w:t>
      </w:r>
    </w:p>
    <w:p w14:paraId="02A378B3">
      <w:pPr>
        <w:pStyle w:val="79"/>
        <w:bidi w:val="0"/>
        <w:rPr>
          <w:color w:val="auto"/>
          <w:lang w:val="en-US" w:eastAsia="zh-CN"/>
        </w:rPr>
      </w:pPr>
      <w:bookmarkStart w:id="731" w:name="OLE_LINK293"/>
      <w:r>
        <w:rPr>
          <w:color w:val="auto"/>
          <w:lang w:val="en-US" w:eastAsia="zh-CN"/>
        </w:rPr>
        <w:t>（1）本</w:t>
      </w:r>
      <w:r>
        <w:rPr>
          <w:rFonts w:hint="eastAsia"/>
          <w:color w:val="auto"/>
          <w:lang w:val="en-US" w:eastAsia="zh-CN"/>
        </w:rPr>
        <w:t>工程</w:t>
      </w:r>
      <w:r>
        <w:rPr>
          <w:color w:val="auto"/>
          <w:lang w:val="en-US" w:eastAsia="zh-CN"/>
        </w:rPr>
        <w:t>占地及补偿应按照地方有关工程征地及补偿要求进行，</w:t>
      </w:r>
      <w:r>
        <w:rPr>
          <w:rFonts w:hint="eastAsia"/>
          <w:color w:val="auto"/>
          <w:lang w:val="en-US" w:eastAsia="zh-CN"/>
        </w:rPr>
        <w:t>经相</w:t>
      </w:r>
      <w:r>
        <w:rPr>
          <w:color w:val="auto"/>
          <w:lang w:val="en-US" w:eastAsia="zh-CN"/>
        </w:rPr>
        <w:t>关部门许可后方可开工建设。</w:t>
      </w:r>
    </w:p>
    <w:p w14:paraId="613FB3CA">
      <w:pPr>
        <w:pStyle w:val="79"/>
        <w:bidi w:val="0"/>
        <w:rPr>
          <w:color w:val="auto"/>
          <w:lang w:val="en-US" w:eastAsia="zh-CN"/>
        </w:rPr>
      </w:pPr>
      <w:r>
        <w:rPr>
          <w:color w:val="auto"/>
          <w:lang w:val="en-US" w:eastAsia="zh-CN"/>
        </w:rPr>
        <w:t>（2）</w:t>
      </w:r>
      <w:r>
        <w:rPr>
          <w:rFonts w:hint="eastAsia"/>
          <w:color w:val="auto"/>
          <w:lang w:val="en-US" w:eastAsia="zh-CN"/>
        </w:rPr>
        <w:t>合理调整管线走向，管线施工作业宽度应控制在10m以内</w:t>
      </w:r>
      <w:r>
        <w:rPr>
          <w:color w:val="auto"/>
          <w:lang w:val="en-US" w:eastAsia="zh-CN"/>
        </w:rPr>
        <w:t>，注意避让地表植被。</w:t>
      </w:r>
    </w:p>
    <w:p w14:paraId="4A189BD5">
      <w:pPr>
        <w:pStyle w:val="79"/>
        <w:bidi w:val="0"/>
        <w:rPr>
          <w:color w:val="auto"/>
          <w:lang w:val="en-US" w:eastAsia="zh-CN"/>
        </w:rPr>
      </w:pPr>
      <w:r>
        <w:rPr>
          <w:color w:val="auto"/>
          <w:lang w:val="en-US" w:eastAsia="zh-CN"/>
        </w:rPr>
        <w:t>（3）合理规划工程占地，严格控制工程占地面积，对规划占地范围外的区域严禁机械及车辆进入，禁止乱轧乱碾，避免破坏自然植被，造成土地松动。</w:t>
      </w:r>
    </w:p>
    <w:p w14:paraId="2289DBFB">
      <w:pPr>
        <w:pStyle w:val="79"/>
        <w:bidi w:val="0"/>
        <w:rPr>
          <w:color w:val="auto"/>
          <w:lang w:val="en-US" w:eastAsia="zh-CN"/>
        </w:rPr>
      </w:pPr>
      <w:r>
        <w:rPr>
          <w:color w:val="auto"/>
          <w:lang w:val="en-US" w:eastAsia="zh-CN"/>
        </w:rPr>
        <w:t>（4）管线施工时应根据地形条件，尽量按地形走向、起伏施工，减少挖填作业量。</w:t>
      </w:r>
    </w:p>
    <w:p w14:paraId="78DB8425">
      <w:pPr>
        <w:pStyle w:val="79"/>
        <w:bidi w:val="0"/>
        <w:rPr>
          <w:color w:val="auto"/>
          <w:lang w:val="en-US" w:eastAsia="zh-CN"/>
        </w:rPr>
      </w:pPr>
      <w:r>
        <w:rPr>
          <w:color w:val="auto"/>
          <w:lang w:val="en-US" w:eastAsia="zh-CN"/>
        </w:rPr>
        <w:t>（5）管沟回填后多余的土方禁止大量集中弃置，应均匀分散在管线中心两侧，并使管沟与周围自然地表形成平滑过渡，避免形成汇水环境，防止水土流失。</w:t>
      </w:r>
    </w:p>
    <w:p w14:paraId="285345F6">
      <w:pPr>
        <w:pStyle w:val="79"/>
        <w:bidi w:val="0"/>
        <w:rPr>
          <w:color w:val="auto"/>
          <w:lang w:val="en-US" w:eastAsia="zh-CN"/>
        </w:rPr>
      </w:pPr>
      <w:r>
        <w:rPr>
          <w:color w:val="auto"/>
          <w:lang w:val="en-US" w:eastAsia="zh-CN"/>
        </w:rPr>
        <w:t>（6）严格落实环评所提环保措施，加强施工管理，杜绝废水固废乱堆乱排的现象，避免施工期废水、固废等对自然植被及土壤造成不良影响。</w:t>
      </w:r>
    </w:p>
    <w:p w14:paraId="64950C7E">
      <w:pPr>
        <w:pStyle w:val="79"/>
        <w:bidi w:val="0"/>
        <w:rPr>
          <w:color w:val="auto"/>
          <w:lang w:val="en-US" w:eastAsia="zh-CN"/>
        </w:rPr>
      </w:pPr>
      <w:r>
        <w:rPr>
          <w:color w:val="auto"/>
          <w:lang w:val="en-US" w:eastAsia="zh-CN"/>
        </w:rPr>
        <w:t>（7）施工期充分利用现有</w:t>
      </w:r>
      <w:r>
        <w:rPr>
          <w:rFonts w:hint="eastAsia"/>
          <w:color w:val="auto"/>
          <w:lang w:val="en-US" w:eastAsia="zh-CN"/>
        </w:rPr>
        <w:t>油田</w:t>
      </w:r>
      <w:r>
        <w:rPr>
          <w:color w:val="auto"/>
          <w:lang w:val="en-US" w:eastAsia="zh-CN"/>
        </w:rPr>
        <w:t>道路，尽可能减少临时占地，降低对地表和植被的破坏，施工</w:t>
      </w:r>
      <w:r>
        <w:rPr>
          <w:rFonts w:hint="eastAsia"/>
          <w:color w:val="auto"/>
          <w:lang w:val="en-US" w:eastAsia="zh-CN"/>
        </w:rPr>
        <w:t>机械</w:t>
      </w:r>
      <w:r>
        <w:rPr>
          <w:color w:val="auto"/>
          <w:lang w:val="en-US" w:eastAsia="zh-CN"/>
        </w:rPr>
        <w:t>不得在道路以外行驶和作业，保持地表不被扰动，不得随意取弃土。</w:t>
      </w:r>
    </w:p>
    <w:p w14:paraId="2DC2E5A9">
      <w:pPr>
        <w:pStyle w:val="79"/>
        <w:bidi w:val="0"/>
        <w:rPr>
          <w:color w:val="auto"/>
          <w:lang w:val="en-US" w:eastAsia="zh-CN"/>
        </w:rPr>
      </w:pPr>
      <w:r>
        <w:rPr>
          <w:color w:val="auto"/>
          <w:lang w:val="en-US" w:eastAsia="zh-CN"/>
        </w:rPr>
        <w:t>（8）加强野生动物保护，对施工人员进行宣传教育，禁止捕杀野生动物。</w:t>
      </w:r>
    </w:p>
    <w:p w14:paraId="6B0F402F">
      <w:pPr>
        <w:pStyle w:val="79"/>
        <w:bidi w:val="0"/>
        <w:rPr>
          <w:color w:val="auto"/>
          <w:lang w:val="en-US" w:eastAsia="zh-CN"/>
        </w:rPr>
      </w:pPr>
      <w:r>
        <w:rPr>
          <w:color w:val="auto"/>
          <w:lang w:val="en-US" w:eastAsia="zh-CN"/>
        </w:rPr>
        <w:t>（9）结合实际完善水土保持方案并严格落实。施工期严格按规范作业，减少对土壤和植被的扰动和破坏，避免水土流失。</w:t>
      </w:r>
    </w:p>
    <w:p w14:paraId="460D39E8">
      <w:pPr>
        <w:pStyle w:val="79"/>
        <w:bidi w:val="0"/>
        <w:rPr>
          <w:color w:val="auto"/>
          <w:lang w:val="en-US" w:eastAsia="zh-CN"/>
        </w:rPr>
      </w:pPr>
      <w:r>
        <w:rPr>
          <w:color w:val="auto"/>
          <w:lang w:val="en-US" w:eastAsia="zh-CN"/>
        </w:rPr>
        <w:t>（10）及时清理施工现场，做到“工完、料净、场地清”。</w:t>
      </w:r>
    </w:p>
    <w:p w14:paraId="5D84F87C">
      <w:pPr>
        <w:pStyle w:val="79"/>
        <w:bidi w:val="0"/>
        <w:rPr>
          <w:rFonts w:hint="eastAsia"/>
          <w:color w:val="auto"/>
          <w:lang w:val="en-US" w:eastAsia="zh-CN"/>
        </w:rPr>
      </w:pPr>
      <w:r>
        <w:rPr>
          <w:color w:val="auto"/>
          <w:lang w:val="en-US" w:eastAsia="zh-CN"/>
        </w:rPr>
        <w:t>（11）工程结束后，建设单位应承担恢复生态的责任，及时对临时占地区域进行平整、恢复原貌，使占地造成的影响逐步得以恢复。</w:t>
      </w:r>
    </w:p>
    <w:bookmarkEnd w:id="731"/>
    <w:p w14:paraId="28ADB715">
      <w:pPr>
        <w:pStyle w:val="55"/>
        <w:bidi w:val="0"/>
        <w:rPr>
          <w:color w:val="auto"/>
        </w:rPr>
      </w:pPr>
      <w:bookmarkStart w:id="732" w:name="OLE_LINK374"/>
      <w:r>
        <w:rPr>
          <w:rFonts w:hint="eastAsia"/>
          <w:color w:val="auto"/>
          <w:lang w:val="en-US" w:eastAsia="zh-CN"/>
        </w:rPr>
        <w:t>6.1.1.3 对评价区植被的生态保护措施</w:t>
      </w:r>
    </w:p>
    <w:p w14:paraId="3FE668B1">
      <w:pPr>
        <w:pStyle w:val="79"/>
        <w:bidi w:val="0"/>
        <w:rPr>
          <w:rFonts w:hint="eastAsia"/>
          <w:color w:val="auto"/>
          <w:lang w:val="en-US" w:eastAsia="zh-CN"/>
        </w:rPr>
      </w:pPr>
      <w:r>
        <w:rPr>
          <w:rFonts w:hint="eastAsia"/>
          <w:color w:val="auto"/>
          <w:lang w:val="en-US" w:eastAsia="zh-CN"/>
        </w:rPr>
        <w:t>（1）生态避让</w:t>
      </w:r>
    </w:p>
    <w:p w14:paraId="3FF4E0D3">
      <w:pPr>
        <w:pStyle w:val="79"/>
        <w:bidi w:val="0"/>
        <w:rPr>
          <w:color w:val="auto"/>
        </w:rPr>
      </w:pPr>
      <w:r>
        <w:rPr>
          <w:rFonts w:hint="eastAsia"/>
          <w:color w:val="auto"/>
          <w:lang w:val="en-US" w:eastAsia="zh-CN"/>
        </w:rPr>
        <w:t>1）</w:t>
      </w:r>
      <w:r>
        <w:rPr>
          <w:color w:val="auto"/>
        </w:rPr>
        <w:t>合理选择管线走向，应避开植被茂盛的区段，尽量避免砍伐野生植物；管线敷设尽量取直，考虑管线距离最短。</w:t>
      </w:r>
    </w:p>
    <w:p w14:paraId="0AA09457">
      <w:pPr>
        <w:pStyle w:val="79"/>
        <w:bidi w:val="0"/>
        <w:rPr>
          <w:color w:val="auto"/>
        </w:rPr>
      </w:pPr>
      <w:r>
        <w:rPr>
          <w:rFonts w:hint="eastAsia"/>
          <w:color w:val="auto"/>
          <w:lang w:val="en-US" w:eastAsia="zh-CN"/>
        </w:rPr>
        <w:t>2）站场</w:t>
      </w:r>
      <w:r>
        <w:rPr>
          <w:color w:val="auto"/>
        </w:rPr>
        <w:t>建设选址尽量少占植被茂密的地块，尤其不得铲除保护植物。若无法进行避让，需对保护植物进行移植保护。同时，严格控制占地面积，以减少占地和保护野生植物。</w:t>
      </w:r>
    </w:p>
    <w:p w14:paraId="32150223">
      <w:pPr>
        <w:pStyle w:val="79"/>
        <w:bidi w:val="0"/>
        <w:rPr>
          <w:color w:val="auto"/>
        </w:rPr>
      </w:pPr>
      <w:r>
        <w:rPr>
          <w:rFonts w:hint="eastAsia"/>
          <w:color w:val="auto"/>
          <w:lang w:val="en-US" w:eastAsia="zh-CN"/>
        </w:rPr>
        <w:t>3）</w:t>
      </w:r>
      <w:r>
        <w:rPr>
          <w:color w:val="auto"/>
        </w:rPr>
        <w:t>管线施工应严格限定施工范围，确定作业路线，不得随意改线。管线施工若遇到保护植物应当采取避让的措施，若无法进行避让，需对保护植物进行移植保护。</w:t>
      </w:r>
    </w:p>
    <w:p w14:paraId="4CFB9D78">
      <w:pPr>
        <w:pStyle w:val="79"/>
        <w:bidi w:val="0"/>
        <w:rPr>
          <w:rFonts w:hint="eastAsia"/>
          <w:color w:val="auto"/>
          <w:lang w:val="en-US" w:eastAsia="zh-CN"/>
        </w:rPr>
      </w:pPr>
      <w:r>
        <w:rPr>
          <w:rFonts w:hint="eastAsia"/>
          <w:color w:val="auto"/>
          <w:lang w:val="en-US" w:eastAsia="zh-CN"/>
        </w:rPr>
        <w:t>（2）生态防护</w:t>
      </w:r>
    </w:p>
    <w:p w14:paraId="2C21E984">
      <w:pPr>
        <w:pStyle w:val="79"/>
        <w:bidi w:val="0"/>
        <w:rPr>
          <w:rFonts w:hint="eastAsia"/>
          <w:color w:val="auto"/>
          <w:lang w:val="en-US" w:eastAsia="zh-CN"/>
        </w:rPr>
      </w:pPr>
      <w:r>
        <w:rPr>
          <w:rFonts w:hint="eastAsia"/>
          <w:color w:val="auto"/>
          <w:lang w:val="en-US" w:eastAsia="zh-CN"/>
        </w:rPr>
        <w:t>1）管线施工范围应严格限制在10m范围内。施工机械和车辆应严格按规定在设计场地及便道上作业和行驶，防止扩大对土壤和植被的破坏范围。在保证顺利施工的前提下，应尽可能缩小施工作业宽度，以减少临时占地影响，将施工期对环境不利影响降到最低限度。</w:t>
      </w:r>
    </w:p>
    <w:p w14:paraId="0EAB54F9">
      <w:pPr>
        <w:pStyle w:val="79"/>
        <w:bidi w:val="0"/>
        <w:rPr>
          <w:rFonts w:hint="eastAsia"/>
          <w:color w:val="auto"/>
          <w:lang w:val="en-US" w:eastAsia="zh-CN"/>
        </w:rPr>
      </w:pPr>
      <w:r>
        <w:rPr>
          <w:rFonts w:hint="eastAsia"/>
          <w:color w:val="auto"/>
          <w:lang w:val="en-US" w:eastAsia="zh-CN"/>
        </w:rPr>
        <w:t>2）在施工便道设置“保护生态环境、保护野生动植物”等警示牌，并从管理上对施工作业人员加强宣传教育，切实提高保护生态环境的意识。</w:t>
      </w:r>
    </w:p>
    <w:p w14:paraId="27D4AE72">
      <w:pPr>
        <w:pStyle w:val="79"/>
        <w:bidi w:val="0"/>
        <w:rPr>
          <w:color w:val="auto"/>
        </w:rPr>
      </w:pPr>
      <w:r>
        <w:rPr>
          <w:rFonts w:hint="eastAsia"/>
          <w:color w:val="auto"/>
          <w:lang w:val="en-US" w:eastAsia="zh-CN"/>
        </w:rPr>
        <w:t>3）</w:t>
      </w:r>
      <w:r>
        <w:rPr>
          <w:color w:val="auto"/>
        </w:rPr>
        <w:t>注意施工后的地表修复，管道回填时，应注意尽量恢复原有紧实度，或留足适宜的堆积层，防止因降水造成地表下陷形成积水洼地。管道回填后应注意恢复原有地表的平整度。</w:t>
      </w:r>
    </w:p>
    <w:p w14:paraId="3CA93AA5">
      <w:pPr>
        <w:pStyle w:val="79"/>
        <w:bidi w:val="0"/>
        <w:rPr>
          <w:rFonts w:hint="default"/>
          <w:color w:val="auto"/>
          <w:lang w:val="en-US" w:eastAsia="zh-CN"/>
        </w:rPr>
      </w:pPr>
      <w:r>
        <w:rPr>
          <w:rFonts w:hint="eastAsia"/>
          <w:color w:val="auto"/>
          <w:lang w:val="en-US" w:eastAsia="zh-CN"/>
        </w:rPr>
        <w:t>4）</w:t>
      </w:r>
      <w:r>
        <w:rPr>
          <w:rFonts w:hint="eastAsia"/>
          <w:color w:val="auto"/>
        </w:rPr>
        <w:t>充分利用区域现有道路，施工机械和车辆应严格按照规定路线行驶，禁止随意开辟道路，防止扩大土壤和植被的破坏范围。</w:t>
      </w:r>
    </w:p>
    <w:p w14:paraId="0370A86D">
      <w:pPr>
        <w:pStyle w:val="79"/>
        <w:bidi w:val="0"/>
        <w:rPr>
          <w:rFonts w:hint="eastAsia"/>
          <w:color w:val="auto"/>
        </w:rPr>
      </w:pPr>
      <w:r>
        <w:rPr>
          <w:rFonts w:hint="eastAsia"/>
          <w:color w:val="auto"/>
          <w:lang w:val="en-US" w:eastAsia="zh-CN"/>
        </w:rPr>
        <w:t>5）</w:t>
      </w:r>
      <w:r>
        <w:rPr>
          <w:rFonts w:hint="eastAsia"/>
          <w:color w:val="auto"/>
        </w:rPr>
        <w:t>施工中应严格按照环境管理要求，土方作业应避开大风天气；施工后期，及时做好施工迹地的清理工作。做好施工后期的迹地恢复工作，包括土地平整，创造局部小环境以利于植被的恢复等。</w:t>
      </w:r>
    </w:p>
    <w:p w14:paraId="5A7E77C9">
      <w:pPr>
        <w:pStyle w:val="79"/>
        <w:bidi w:val="0"/>
        <w:rPr>
          <w:rFonts w:hint="eastAsia"/>
          <w:color w:val="auto"/>
          <w:lang w:val="en-US" w:eastAsia="zh-CN"/>
        </w:rPr>
      </w:pPr>
      <w:r>
        <w:rPr>
          <w:rFonts w:hint="eastAsia"/>
          <w:color w:val="auto"/>
          <w:lang w:val="en-US" w:eastAsia="zh-CN"/>
        </w:rPr>
        <w:t>6）</w:t>
      </w:r>
      <w:r>
        <w:rPr>
          <w:rFonts w:hint="default"/>
          <w:color w:val="auto"/>
          <w:lang w:val="en-US" w:eastAsia="zh-CN"/>
        </w:rPr>
        <w:t>尽量减少对动植物的伤害和生境占用。工程建设区域如发现重点保护野生植物、特有植物、古树名木等，需进行就地或迁地保护，并加强观测，具备移栽条件、长势较好的尽量全部移栽。</w:t>
      </w:r>
    </w:p>
    <w:p w14:paraId="05573054">
      <w:pPr>
        <w:pStyle w:val="79"/>
        <w:bidi w:val="0"/>
        <w:rPr>
          <w:rFonts w:hint="default"/>
          <w:color w:val="auto"/>
          <w:lang w:val="en-US" w:eastAsia="zh-CN"/>
        </w:rPr>
      </w:pPr>
      <w:r>
        <w:rPr>
          <w:color w:val="auto"/>
        </w:rPr>
        <w:t>（</w:t>
      </w:r>
      <w:r>
        <w:rPr>
          <w:rFonts w:hint="eastAsia"/>
          <w:color w:val="auto"/>
          <w:lang w:val="en-US" w:eastAsia="zh-CN"/>
        </w:rPr>
        <w:t>3</w:t>
      </w:r>
      <w:r>
        <w:rPr>
          <w:color w:val="auto"/>
        </w:rPr>
        <w:t>）</w:t>
      </w:r>
      <w:r>
        <w:rPr>
          <w:rFonts w:hint="eastAsia"/>
          <w:color w:val="auto"/>
          <w:lang w:val="en-US" w:eastAsia="zh-CN"/>
        </w:rPr>
        <w:t>生态恢复</w:t>
      </w:r>
    </w:p>
    <w:p w14:paraId="7EAA46F8">
      <w:pPr>
        <w:pStyle w:val="79"/>
        <w:bidi w:val="0"/>
        <w:rPr>
          <w:rFonts w:hint="eastAsia"/>
          <w:color w:val="auto"/>
          <w:lang w:val="en-US" w:eastAsia="zh-CN"/>
        </w:rPr>
      </w:pPr>
      <w:r>
        <w:rPr>
          <w:rFonts w:hint="eastAsia"/>
          <w:color w:val="auto"/>
          <w:lang w:val="en-US" w:eastAsia="zh-CN"/>
        </w:rPr>
        <w:t>1）工程结束后，建设单位应承担恢复生态的责任；</w:t>
      </w:r>
    </w:p>
    <w:p w14:paraId="513231DC">
      <w:pPr>
        <w:pStyle w:val="79"/>
        <w:bidi w:val="0"/>
        <w:rPr>
          <w:rFonts w:hint="default"/>
          <w:color w:val="auto"/>
          <w:lang w:val="en-US" w:eastAsia="zh-CN"/>
        </w:rPr>
      </w:pPr>
      <w:r>
        <w:rPr>
          <w:rFonts w:hint="eastAsia"/>
          <w:color w:val="auto"/>
          <w:lang w:val="en-US" w:eastAsia="zh-CN"/>
        </w:rPr>
        <w:t>2）在施工区域局部有植被分布，须先将原表层土集中分层堆放，待施工完毕后，在临时占地区域对地表土层进行恢复，达到植被生长所需生境；</w:t>
      </w:r>
    </w:p>
    <w:p w14:paraId="68BABA38">
      <w:pPr>
        <w:pStyle w:val="79"/>
        <w:bidi w:val="0"/>
        <w:rPr>
          <w:rFonts w:hint="default"/>
          <w:color w:val="auto"/>
          <w:lang w:val="en-US" w:eastAsia="zh-CN"/>
        </w:rPr>
      </w:pPr>
      <w:r>
        <w:rPr>
          <w:rFonts w:hint="eastAsia"/>
          <w:color w:val="auto"/>
          <w:lang w:val="en-US" w:eastAsia="zh-CN"/>
        </w:rPr>
        <w:t>3）施工占地区域土层上部的保护层稳态发生变化，加之区域风力、水力作用较大，土质极易流失，应在临时占地区域进行平整压实，以避免区域生态环境恶化；</w:t>
      </w:r>
    </w:p>
    <w:p w14:paraId="0856A2D1">
      <w:pPr>
        <w:pStyle w:val="79"/>
        <w:bidi w:val="0"/>
        <w:rPr>
          <w:rFonts w:hint="default"/>
          <w:color w:val="auto"/>
          <w:lang w:val="en-US" w:eastAsia="zh-CN"/>
        </w:rPr>
      </w:pPr>
      <w:r>
        <w:rPr>
          <w:rFonts w:hint="eastAsia"/>
          <w:color w:val="auto"/>
          <w:lang w:val="en-US" w:eastAsia="zh-CN"/>
        </w:rPr>
        <w:t>4）项目用地扰动区域须保护区域生态系统，并根据扰动区域土质情况因地制宜进行修复，减小项目实施对区域生态环境功能的不利影响。</w:t>
      </w:r>
    </w:p>
    <w:p w14:paraId="3AD52509">
      <w:pPr>
        <w:pStyle w:val="79"/>
        <w:bidi w:val="0"/>
        <w:rPr>
          <w:rFonts w:hint="default"/>
          <w:color w:val="auto"/>
          <w:lang w:val="en-US" w:eastAsia="zh-CN"/>
        </w:rPr>
      </w:pPr>
      <w:r>
        <w:rPr>
          <w:rFonts w:hint="eastAsia"/>
          <w:color w:val="auto"/>
          <w:lang w:val="en-US" w:eastAsia="zh-CN"/>
        </w:rPr>
        <w:t>（4）生态补偿</w:t>
      </w:r>
    </w:p>
    <w:p w14:paraId="7BDF61F3">
      <w:pPr>
        <w:pStyle w:val="79"/>
        <w:bidi w:val="0"/>
        <w:rPr>
          <w:rFonts w:hint="eastAsia"/>
          <w:color w:val="auto"/>
          <w:lang w:val="en-US" w:eastAsia="zh-CN"/>
        </w:rPr>
      </w:pPr>
      <w:r>
        <w:rPr>
          <w:rFonts w:hint="eastAsia"/>
          <w:color w:val="auto"/>
          <w:lang w:val="en-US" w:eastAsia="zh-CN"/>
        </w:rPr>
        <w:t>本工程占用主要为天然牧草地，占地征用及补偿应按照地方有关工程征地及补偿要求进行，由土地管理部门许可后方可开工建设。工程结束后，建设单位还应承担恢复生态的责任。</w:t>
      </w:r>
    </w:p>
    <w:bookmarkEnd w:id="732"/>
    <w:p w14:paraId="6089E49C">
      <w:pPr>
        <w:pStyle w:val="55"/>
        <w:bidi w:val="0"/>
        <w:rPr>
          <w:rFonts w:hint="eastAsia"/>
          <w:color w:val="auto"/>
        </w:rPr>
      </w:pPr>
      <w:r>
        <w:rPr>
          <w:rFonts w:hint="eastAsia"/>
          <w:color w:val="auto"/>
        </w:rPr>
        <w:t>6.</w:t>
      </w:r>
      <w:r>
        <w:rPr>
          <w:rFonts w:hint="eastAsia"/>
          <w:color w:val="auto"/>
          <w:lang w:val="en-US" w:eastAsia="zh-CN"/>
        </w:rPr>
        <w:t>1</w:t>
      </w:r>
      <w:r>
        <w:rPr>
          <w:rFonts w:hint="eastAsia"/>
          <w:color w:val="auto"/>
        </w:rPr>
        <w:t>.</w:t>
      </w:r>
      <w:r>
        <w:rPr>
          <w:rFonts w:hint="eastAsia"/>
          <w:color w:val="auto"/>
          <w:lang w:val="en-US" w:eastAsia="zh-CN"/>
        </w:rPr>
        <w:t>1</w:t>
      </w:r>
      <w:r>
        <w:rPr>
          <w:rFonts w:hint="eastAsia"/>
          <w:color w:val="auto"/>
        </w:rPr>
        <w:t>.</w:t>
      </w:r>
      <w:r>
        <w:rPr>
          <w:rFonts w:hint="eastAsia"/>
          <w:color w:val="auto"/>
          <w:lang w:val="en-US" w:eastAsia="zh-CN"/>
        </w:rPr>
        <w:t xml:space="preserve">4 </w:t>
      </w:r>
      <w:r>
        <w:rPr>
          <w:rFonts w:hint="eastAsia"/>
          <w:color w:val="auto"/>
        </w:rPr>
        <w:t>对野生动物的生态保护措施</w:t>
      </w:r>
    </w:p>
    <w:p w14:paraId="00459501">
      <w:pPr>
        <w:pStyle w:val="79"/>
        <w:bidi w:val="0"/>
        <w:rPr>
          <w:rFonts w:hint="eastAsia"/>
          <w:color w:val="auto"/>
          <w:lang w:val="en-US" w:eastAsia="zh-CN"/>
        </w:rPr>
      </w:pPr>
      <w:r>
        <w:rPr>
          <w:rFonts w:hint="eastAsia"/>
          <w:color w:val="auto"/>
          <w:lang w:val="en-US" w:eastAsia="zh-CN"/>
        </w:rPr>
        <w:t>（1）在施工便道设置“保护生态环境、保护野生动植物”等警示牌，并从管理上对施工作业人员加强宣传教育，切实提高保护生态环境的意识。车辆行驶过程中不得鸣笛惊吓野生动物。</w:t>
      </w:r>
    </w:p>
    <w:p w14:paraId="03C1B2E9">
      <w:pPr>
        <w:pStyle w:val="79"/>
        <w:bidi w:val="0"/>
        <w:rPr>
          <w:rFonts w:hint="eastAsia"/>
          <w:color w:val="auto"/>
          <w:lang w:val="en-US" w:eastAsia="zh-CN"/>
        </w:rPr>
      </w:pPr>
      <w:r>
        <w:rPr>
          <w:rFonts w:hint="eastAsia"/>
          <w:color w:val="auto"/>
          <w:lang w:val="en-US" w:eastAsia="zh-CN"/>
        </w:rPr>
        <w:t>（2）工程建设区域如发现重点保护野生动物的，须及时保护其生境不被破坏，并重新提出相应优化工程施工方案及运行方式，实施物种救护，划定生境保护区域，开展生境保护和修复，构建活动廊道或建设食源地等。</w:t>
      </w:r>
    </w:p>
    <w:p w14:paraId="02B28B83">
      <w:pPr>
        <w:pStyle w:val="79"/>
        <w:bidi w:val="0"/>
        <w:rPr>
          <w:rFonts w:hint="eastAsia"/>
          <w:color w:val="auto"/>
          <w:lang w:val="en-US" w:eastAsia="zh-CN"/>
        </w:rPr>
      </w:pPr>
      <w:r>
        <w:rPr>
          <w:rFonts w:hint="eastAsia"/>
          <w:color w:val="auto"/>
          <w:lang w:val="en-US" w:eastAsia="zh-CN"/>
        </w:rPr>
        <w:t>（3）工程建设过程中应防止施工噪声、灯光等对动物造成不利影响，高噪声及强光区域应做降噪遮光等防护措施</w:t>
      </w:r>
      <w:r>
        <w:rPr>
          <w:rFonts w:hint="default"/>
          <w:color w:val="auto"/>
          <w:lang w:val="en-US" w:eastAsia="zh-CN"/>
        </w:rPr>
        <w:t>。</w:t>
      </w:r>
    </w:p>
    <w:p w14:paraId="01FF501F">
      <w:pPr>
        <w:pStyle w:val="55"/>
        <w:bidi w:val="0"/>
        <w:rPr>
          <w:color w:val="auto"/>
        </w:rPr>
      </w:pPr>
      <w:r>
        <w:rPr>
          <w:rFonts w:hint="eastAsia"/>
          <w:color w:val="auto"/>
        </w:rPr>
        <w:t>6.</w:t>
      </w:r>
      <w:r>
        <w:rPr>
          <w:rFonts w:hint="eastAsia"/>
          <w:color w:val="auto"/>
          <w:lang w:val="en-US" w:eastAsia="zh-CN"/>
        </w:rPr>
        <w:t>1</w:t>
      </w:r>
      <w:r>
        <w:rPr>
          <w:rFonts w:hint="eastAsia"/>
          <w:color w:val="auto"/>
        </w:rPr>
        <w:t>.</w:t>
      </w:r>
      <w:r>
        <w:rPr>
          <w:rFonts w:hint="eastAsia"/>
          <w:color w:val="auto"/>
          <w:lang w:val="en-US" w:eastAsia="zh-CN"/>
        </w:rPr>
        <w:t>1</w:t>
      </w:r>
      <w:r>
        <w:rPr>
          <w:rFonts w:hint="eastAsia"/>
          <w:color w:val="auto"/>
        </w:rPr>
        <w:t>.</w:t>
      </w:r>
      <w:r>
        <w:rPr>
          <w:rFonts w:hint="eastAsia"/>
          <w:color w:val="auto"/>
          <w:lang w:val="en-US" w:eastAsia="zh-CN"/>
        </w:rPr>
        <w:t xml:space="preserve">5 </w:t>
      </w:r>
      <w:r>
        <w:rPr>
          <w:rFonts w:hint="eastAsia"/>
          <w:color w:val="auto"/>
        </w:rPr>
        <w:t>自然景观保护措施</w:t>
      </w:r>
    </w:p>
    <w:p w14:paraId="7E5C3026">
      <w:pPr>
        <w:pStyle w:val="79"/>
        <w:bidi w:val="0"/>
        <w:rPr>
          <w:rFonts w:hint="default"/>
          <w:color w:val="auto"/>
          <w:lang w:val="en-US" w:eastAsia="zh-CN"/>
        </w:rPr>
      </w:pPr>
      <w:r>
        <w:rPr>
          <w:rFonts w:hint="eastAsia"/>
          <w:color w:val="auto"/>
          <w:lang w:val="en-US" w:eastAsia="zh-CN"/>
        </w:rPr>
        <w:t>本工程位于油田</w:t>
      </w:r>
      <w:r>
        <w:rPr>
          <w:rFonts w:hint="default"/>
          <w:color w:val="auto"/>
          <w:lang w:val="en-US" w:eastAsia="zh-CN"/>
        </w:rPr>
        <w:t>开发区</w:t>
      </w:r>
      <w:r>
        <w:rPr>
          <w:rFonts w:hint="eastAsia"/>
          <w:color w:val="auto"/>
          <w:lang w:val="en-US" w:eastAsia="zh-CN"/>
        </w:rPr>
        <w:t>，</w:t>
      </w:r>
      <w:r>
        <w:rPr>
          <w:rFonts w:hint="default"/>
          <w:color w:val="auto"/>
          <w:lang w:val="en-US" w:eastAsia="zh-CN"/>
        </w:rPr>
        <w:t>以荒漠生态景观为主。荒漠生态景观稳定性较差，异质化程度低，生态体系的稳定性和必要的抵御干扰的柔韧性差。</w:t>
      </w:r>
      <w:r>
        <w:rPr>
          <w:rFonts w:hint="eastAsia"/>
          <w:color w:val="auto"/>
          <w:lang w:val="en-US" w:eastAsia="zh-CN"/>
        </w:rPr>
        <w:t>油田</w:t>
      </w:r>
      <w:r>
        <w:rPr>
          <w:rFonts w:hint="default"/>
          <w:color w:val="auto"/>
          <w:lang w:val="en-US" w:eastAsia="zh-CN"/>
        </w:rPr>
        <w:t>开发建设后，其原始的荒漠背景变成了以荒漠、</w:t>
      </w:r>
      <w:r>
        <w:rPr>
          <w:rFonts w:hint="eastAsia"/>
          <w:color w:val="auto"/>
          <w:lang w:val="en-US" w:eastAsia="zh-CN"/>
        </w:rPr>
        <w:t>采油树等</w:t>
      </w:r>
      <w:r>
        <w:rPr>
          <w:rFonts w:hint="default"/>
          <w:color w:val="auto"/>
          <w:lang w:val="en-US" w:eastAsia="zh-CN"/>
        </w:rPr>
        <w:t>共同存在的自然与人工相互共存的景观格局。</w:t>
      </w:r>
    </w:p>
    <w:p w14:paraId="3D154976">
      <w:pPr>
        <w:pStyle w:val="79"/>
        <w:bidi w:val="0"/>
        <w:rPr>
          <w:rFonts w:hint="default"/>
          <w:color w:val="auto"/>
          <w:lang w:val="en-US" w:eastAsia="zh-CN"/>
        </w:rPr>
      </w:pPr>
      <w:r>
        <w:rPr>
          <w:rFonts w:hint="default"/>
          <w:color w:val="auto"/>
          <w:lang w:val="en-US" w:eastAsia="zh-CN"/>
        </w:rPr>
        <w:t>从整体上看，荒漠拼块虽然出现破碎化的倾向，但总体上连通程度仍然维持了较好的状态，仍是区域的景观模地。但如果任凭</w:t>
      </w:r>
      <w:r>
        <w:rPr>
          <w:rFonts w:hint="eastAsia"/>
          <w:color w:val="auto"/>
          <w:lang w:val="en-US" w:eastAsia="zh-CN"/>
        </w:rPr>
        <w:t>油田</w:t>
      </w:r>
      <w:r>
        <w:rPr>
          <w:rFonts w:hint="default"/>
          <w:color w:val="auto"/>
          <w:lang w:val="en-US" w:eastAsia="zh-CN"/>
        </w:rPr>
        <w:t>建筑和道路的景观发展，不进行生态治理和保护，也将会使生态环境的演变发生逆转，破坏原有生态环境的稳定性。因此，在项目建设的过程中，必须采取相应的景观保护措施，以保证减缓和避免生态环境恶化的趋势。</w:t>
      </w:r>
    </w:p>
    <w:p w14:paraId="18B61FBF">
      <w:pPr>
        <w:pStyle w:val="79"/>
        <w:bidi w:val="0"/>
        <w:rPr>
          <w:rFonts w:hint="default"/>
          <w:color w:val="auto"/>
          <w:lang w:val="en-US" w:eastAsia="zh-CN"/>
        </w:rPr>
      </w:pPr>
      <w:r>
        <w:rPr>
          <w:rFonts w:hint="default"/>
          <w:color w:val="auto"/>
          <w:lang w:val="en-US" w:eastAsia="zh-CN"/>
        </w:rPr>
        <w:t>（1）对现有的自然资源，包括植被，直至现有的地形、地貌等都要</w:t>
      </w:r>
      <w:r>
        <w:rPr>
          <w:rFonts w:hint="eastAsia"/>
          <w:color w:val="auto"/>
          <w:lang w:val="en-US" w:eastAsia="zh-CN"/>
        </w:rPr>
        <w:t>尽可能地</w:t>
      </w:r>
      <w:r>
        <w:rPr>
          <w:rFonts w:hint="default"/>
          <w:color w:val="auto"/>
          <w:lang w:val="en-US" w:eastAsia="zh-CN"/>
        </w:rPr>
        <w:t>加以保护。</w:t>
      </w:r>
    </w:p>
    <w:p w14:paraId="54C7F890">
      <w:pPr>
        <w:pStyle w:val="79"/>
        <w:bidi w:val="0"/>
        <w:rPr>
          <w:rFonts w:hint="default"/>
          <w:color w:val="auto"/>
          <w:lang w:val="en-US" w:eastAsia="zh-CN"/>
        </w:rPr>
      </w:pPr>
      <w:r>
        <w:rPr>
          <w:rFonts w:hint="default"/>
          <w:color w:val="auto"/>
          <w:lang w:val="en-US" w:eastAsia="zh-CN"/>
        </w:rPr>
        <w:t>（2）在管线的选线、敷设过程中，合理</w:t>
      </w:r>
      <w:r>
        <w:rPr>
          <w:rFonts w:hint="eastAsia"/>
          <w:color w:val="auto"/>
          <w:lang w:val="en-US" w:eastAsia="zh-CN"/>
        </w:rPr>
        <w:t>地</w:t>
      </w:r>
      <w:r>
        <w:rPr>
          <w:rFonts w:hint="default"/>
          <w:color w:val="auto"/>
          <w:lang w:val="en-US" w:eastAsia="zh-CN"/>
        </w:rPr>
        <w:t>规划布局，根据地形条件，尽量按地形走向、起伏施工。对敷设在较平坦地段的管道，应在地貌恢复后使管沟与附近地表自然过渡，减缓对原始自然景观的破坏。</w:t>
      </w:r>
    </w:p>
    <w:p w14:paraId="6EC49422">
      <w:pPr>
        <w:pStyle w:val="79"/>
        <w:bidi w:val="0"/>
        <w:rPr>
          <w:rFonts w:hint="default"/>
          <w:color w:val="auto"/>
          <w:lang w:val="en-US" w:eastAsia="zh-CN"/>
        </w:rPr>
      </w:pPr>
      <w:r>
        <w:rPr>
          <w:rFonts w:hint="default"/>
          <w:color w:val="auto"/>
          <w:lang w:val="en-US" w:eastAsia="zh-CN"/>
        </w:rPr>
        <w:t>（3）严格遵守各项规程、规范、施工时限和范围，施工结束后立即对地表等环境景观进行恢复，并实施防风固沙工程和绿化措施，使</w:t>
      </w:r>
      <w:r>
        <w:rPr>
          <w:rFonts w:hint="eastAsia"/>
          <w:color w:val="auto"/>
          <w:lang w:val="en-US" w:eastAsia="zh-CN"/>
        </w:rPr>
        <w:t>油田</w:t>
      </w:r>
      <w:r>
        <w:rPr>
          <w:rFonts w:hint="default"/>
          <w:color w:val="auto"/>
          <w:lang w:val="en-US" w:eastAsia="zh-CN"/>
        </w:rPr>
        <w:t>开发与周围景观环境协调发展。</w:t>
      </w:r>
    </w:p>
    <w:p w14:paraId="5ADEA0BD">
      <w:pPr>
        <w:pStyle w:val="55"/>
        <w:bidi w:val="0"/>
        <w:rPr>
          <w:color w:val="auto"/>
        </w:rPr>
      </w:pPr>
      <w:r>
        <w:rPr>
          <w:rFonts w:hint="eastAsia"/>
          <w:color w:val="auto"/>
        </w:rPr>
        <w:t>6.</w:t>
      </w:r>
      <w:r>
        <w:rPr>
          <w:rFonts w:hint="eastAsia"/>
          <w:color w:val="auto"/>
          <w:lang w:val="en-US" w:eastAsia="zh-CN"/>
        </w:rPr>
        <w:t>1</w:t>
      </w:r>
      <w:r>
        <w:rPr>
          <w:rFonts w:hint="eastAsia"/>
          <w:color w:val="auto"/>
        </w:rPr>
        <w:t>.</w:t>
      </w:r>
      <w:r>
        <w:rPr>
          <w:rFonts w:hint="eastAsia"/>
          <w:color w:val="auto"/>
          <w:lang w:val="en-US" w:eastAsia="zh-CN"/>
        </w:rPr>
        <w:t>1</w:t>
      </w:r>
      <w:r>
        <w:rPr>
          <w:rFonts w:hint="eastAsia"/>
          <w:color w:val="auto"/>
        </w:rPr>
        <w:t>.</w:t>
      </w:r>
      <w:r>
        <w:rPr>
          <w:rFonts w:hint="eastAsia"/>
          <w:color w:val="auto"/>
          <w:lang w:val="en-US" w:eastAsia="zh-CN"/>
        </w:rPr>
        <w:t xml:space="preserve">6 </w:t>
      </w:r>
      <w:r>
        <w:rPr>
          <w:rFonts w:hint="eastAsia"/>
          <w:color w:val="auto"/>
        </w:rPr>
        <w:t>严格实施防沙治沙措施</w:t>
      </w:r>
    </w:p>
    <w:p w14:paraId="78D28188">
      <w:pPr>
        <w:pStyle w:val="79"/>
        <w:bidi w:val="0"/>
        <w:rPr>
          <w:rFonts w:hint="default"/>
          <w:color w:val="auto"/>
        </w:rPr>
      </w:pPr>
      <w:r>
        <w:rPr>
          <w:rFonts w:hint="default"/>
          <w:color w:val="auto"/>
        </w:rPr>
        <w:t>由于本工程位于沙漠内，根据《中华人民共和国防沙治沙法》和《加强沙区建设项目环境影响评价工作的通知》（新环环评发</w:t>
      </w:r>
      <w:r>
        <w:rPr>
          <w:rFonts w:hint="eastAsia"/>
          <w:color w:val="auto"/>
          <w:lang w:eastAsia="zh-CN"/>
        </w:rPr>
        <w:t>〔2020〕138号</w:t>
      </w:r>
      <w:r>
        <w:rPr>
          <w:rFonts w:hint="default"/>
          <w:color w:val="auto"/>
        </w:rPr>
        <w:t>）的要求，加强涉及沙区的建设项目环评文件受理审查，对于没有防沙治沙内容的建设项目环评文件不予受理。</w:t>
      </w:r>
      <w:r>
        <w:rPr>
          <w:rFonts w:hint="default"/>
          <w:color w:val="auto"/>
          <w:lang w:eastAsia="zh-CN"/>
        </w:rPr>
        <w:t>本工程</w:t>
      </w:r>
      <w:r>
        <w:rPr>
          <w:rFonts w:hint="default"/>
          <w:color w:val="auto"/>
        </w:rPr>
        <w:t>环评对针对土地沙化现状、分析了项目实施对周边沙化土地的影响，</w:t>
      </w:r>
      <w:r>
        <w:rPr>
          <w:rFonts w:hint="default"/>
          <w:color w:val="auto"/>
          <w:lang w:eastAsia="zh-CN"/>
        </w:rPr>
        <w:t>本工程</w:t>
      </w:r>
      <w:r>
        <w:rPr>
          <w:rFonts w:hint="default"/>
          <w:color w:val="auto"/>
        </w:rPr>
        <w:t>在建设过程中执行以下防沙治沙措施：</w:t>
      </w:r>
    </w:p>
    <w:p w14:paraId="41355F8F">
      <w:pPr>
        <w:pStyle w:val="79"/>
        <w:bidi w:val="0"/>
        <w:rPr>
          <w:rFonts w:hint="default"/>
          <w:color w:val="auto"/>
        </w:rPr>
      </w:pPr>
      <w:r>
        <w:rPr>
          <w:rFonts w:hint="default"/>
          <w:color w:val="auto"/>
          <w:lang w:eastAsia="zh-CN"/>
        </w:rPr>
        <w:t>（</w:t>
      </w:r>
      <w:r>
        <w:rPr>
          <w:rFonts w:hint="default"/>
          <w:color w:val="auto"/>
          <w:lang w:val="en-US" w:eastAsia="zh-CN"/>
        </w:rPr>
        <w:t>1</w:t>
      </w:r>
      <w:r>
        <w:rPr>
          <w:rFonts w:hint="default"/>
          <w:color w:val="auto"/>
          <w:lang w:eastAsia="zh-CN"/>
        </w:rPr>
        <w:t>）</w:t>
      </w:r>
      <w:r>
        <w:rPr>
          <w:rFonts w:hint="default"/>
          <w:color w:val="auto"/>
        </w:rPr>
        <w:t>严格控制施工活动范围，严禁乱碾乱轧，避免对项目占地范围外的区域造成扰动。严格遵守</w:t>
      </w:r>
      <w:r>
        <w:rPr>
          <w:rFonts w:hint="eastAsia"/>
          <w:color w:val="auto"/>
          <w:lang w:eastAsia="zh-CN"/>
        </w:rPr>
        <w:t>油田</w:t>
      </w:r>
      <w:r>
        <w:rPr>
          <w:rFonts w:hint="default"/>
          <w:color w:val="auto"/>
        </w:rPr>
        <w:t>环境保护规章制度，严格划定车辆行驶路线及临时道路开拓路线，运输车辆及勘探车辆在规定路线范围内</w:t>
      </w:r>
      <w:r>
        <w:rPr>
          <w:rFonts w:hint="default"/>
          <w:color w:val="auto"/>
          <w:lang w:eastAsia="zh-CN"/>
        </w:rPr>
        <w:t>行驶</w:t>
      </w:r>
      <w:r>
        <w:rPr>
          <w:rFonts w:hint="default"/>
          <w:color w:val="auto"/>
        </w:rPr>
        <w:t>，禁止乱碾乱轧；严格规定各类工作人员的活动范围，使之限于在各工区范围内活动。</w:t>
      </w:r>
    </w:p>
    <w:p w14:paraId="37F2CDC3">
      <w:pPr>
        <w:pStyle w:val="79"/>
        <w:bidi w:val="0"/>
        <w:rPr>
          <w:rFonts w:hint="default"/>
          <w:color w:val="auto"/>
        </w:rPr>
      </w:pPr>
      <w:r>
        <w:rPr>
          <w:rFonts w:hint="default"/>
          <w:color w:val="auto"/>
          <w:lang w:eastAsia="zh-CN"/>
        </w:rPr>
        <w:t>（</w:t>
      </w:r>
      <w:r>
        <w:rPr>
          <w:rFonts w:hint="default"/>
          <w:color w:val="auto"/>
          <w:lang w:val="en-US" w:eastAsia="zh-CN"/>
        </w:rPr>
        <w:t>2</w:t>
      </w:r>
      <w:r>
        <w:rPr>
          <w:rFonts w:hint="default"/>
          <w:color w:val="auto"/>
          <w:lang w:eastAsia="zh-CN"/>
        </w:rPr>
        <w:t>）</w:t>
      </w:r>
      <w:r>
        <w:rPr>
          <w:rFonts w:hint="eastAsia"/>
          <w:color w:val="auto"/>
          <w:lang w:val="en-US" w:eastAsia="zh-CN"/>
        </w:rPr>
        <w:t>站场</w:t>
      </w:r>
      <w:r>
        <w:rPr>
          <w:rFonts w:hint="default"/>
          <w:color w:val="auto"/>
        </w:rPr>
        <w:t>永久占地范围采用戈壁土+砾石压实铺垫；管线临时占地应在满足施工要求的前提下进行适当的调整，以减少占地。</w:t>
      </w:r>
    </w:p>
    <w:p w14:paraId="0F75F430">
      <w:pPr>
        <w:pStyle w:val="79"/>
        <w:bidi w:val="0"/>
        <w:rPr>
          <w:rFonts w:hint="default"/>
          <w:color w:val="auto"/>
        </w:rPr>
      </w:pPr>
      <w:r>
        <w:rPr>
          <w:rFonts w:hint="default"/>
          <w:color w:val="auto"/>
          <w:lang w:eastAsia="zh-CN"/>
        </w:rPr>
        <w:t>（</w:t>
      </w:r>
      <w:r>
        <w:rPr>
          <w:rFonts w:hint="default"/>
          <w:color w:val="auto"/>
          <w:lang w:val="en-US" w:eastAsia="zh-CN"/>
        </w:rPr>
        <w:t>3</w:t>
      </w:r>
      <w:r>
        <w:rPr>
          <w:rFonts w:hint="default"/>
          <w:color w:val="auto"/>
          <w:lang w:eastAsia="zh-CN"/>
        </w:rPr>
        <w:t>）</w:t>
      </w:r>
      <w:r>
        <w:rPr>
          <w:rFonts w:hint="default"/>
          <w:color w:val="auto"/>
        </w:rPr>
        <w:t>优化施工组织，缩短施工时间，管线施工作业时应分段作业，避免在大风天气作业，以免造成土壤风蚀影响。</w:t>
      </w:r>
    </w:p>
    <w:p w14:paraId="095440D8">
      <w:pPr>
        <w:pStyle w:val="79"/>
        <w:bidi w:val="0"/>
        <w:rPr>
          <w:rFonts w:hint="default"/>
          <w:color w:val="auto"/>
          <w:lang w:val="en-US" w:eastAsia="zh-CN"/>
        </w:rPr>
      </w:pPr>
      <w:r>
        <w:rPr>
          <w:rFonts w:hint="default"/>
          <w:color w:val="auto"/>
          <w:lang w:val="en-US" w:eastAsia="zh-CN"/>
        </w:rPr>
        <w:t>（</w:t>
      </w:r>
      <w:r>
        <w:rPr>
          <w:rFonts w:hint="eastAsia"/>
          <w:color w:val="auto"/>
          <w:lang w:val="en-US" w:eastAsia="zh-CN"/>
        </w:rPr>
        <w:t>4</w:t>
      </w:r>
      <w:r>
        <w:rPr>
          <w:rFonts w:hint="default"/>
          <w:color w:val="auto"/>
          <w:lang w:val="en-US" w:eastAsia="zh-CN"/>
        </w:rPr>
        <w:t>）</w:t>
      </w:r>
      <w:r>
        <w:rPr>
          <w:rFonts w:hint="default"/>
          <w:color w:val="auto"/>
        </w:rPr>
        <w:t>管线施工时应根据地形条件，尽量按地形走向、起伏施工，减少挖填作</w:t>
      </w:r>
      <w:r>
        <w:rPr>
          <w:rFonts w:hint="default"/>
          <w:color w:val="auto"/>
          <w:lang w:val="en-US" w:eastAsia="zh-CN"/>
        </w:rPr>
        <w:t>业</w:t>
      </w:r>
      <w:r>
        <w:rPr>
          <w:rFonts w:hint="default"/>
          <w:color w:val="auto"/>
        </w:rPr>
        <w:t>量。</w:t>
      </w:r>
    </w:p>
    <w:p w14:paraId="17D914BC">
      <w:pPr>
        <w:pStyle w:val="79"/>
        <w:bidi w:val="0"/>
        <w:rPr>
          <w:rFonts w:hint="default"/>
          <w:color w:val="auto"/>
        </w:rPr>
      </w:pPr>
      <w:r>
        <w:rPr>
          <w:rFonts w:hint="default"/>
          <w:color w:val="auto"/>
          <w:lang w:val="en-US" w:eastAsia="zh-CN"/>
        </w:rPr>
        <w:t>（</w:t>
      </w:r>
      <w:r>
        <w:rPr>
          <w:rFonts w:hint="eastAsia"/>
          <w:color w:val="auto"/>
          <w:lang w:val="en-US" w:eastAsia="zh-CN"/>
        </w:rPr>
        <w:t>5</w:t>
      </w:r>
      <w:r>
        <w:rPr>
          <w:rFonts w:hint="default"/>
          <w:color w:val="auto"/>
          <w:lang w:val="en-US" w:eastAsia="zh-CN"/>
        </w:rPr>
        <w:t>）</w:t>
      </w:r>
      <w:r>
        <w:rPr>
          <w:rFonts w:hint="default"/>
          <w:color w:val="auto"/>
        </w:rPr>
        <w:t>粉状材料及临时土方等在井场堆放应采取覆盖防尘布，逸散性材料运输采用苫布遮盖，减少施工扬尘产生量和起沙量。</w:t>
      </w:r>
    </w:p>
    <w:p w14:paraId="37B1E2DA">
      <w:pPr>
        <w:pStyle w:val="79"/>
        <w:bidi w:val="0"/>
        <w:rPr>
          <w:rFonts w:hint="default"/>
          <w:color w:val="auto"/>
        </w:rPr>
      </w:pPr>
      <w:r>
        <w:rPr>
          <w:rFonts w:hint="default"/>
          <w:color w:val="auto"/>
          <w:lang w:val="en-US" w:eastAsia="zh-CN"/>
        </w:rPr>
        <w:t>（</w:t>
      </w:r>
      <w:r>
        <w:rPr>
          <w:rFonts w:hint="eastAsia"/>
          <w:color w:val="auto"/>
          <w:lang w:val="en-US" w:eastAsia="zh-CN"/>
        </w:rPr>
        <w:t>6</w:t>
      </w:r>
      <w:r>
        <w:rPr>
          <w:rFonts w:hint="default"/>
          <w:color w:val="auto"/>
          <w:lang w:val="en-US" w:eastAsia="zh-CN"/>
        </w:rPr>
        <w:t>）</w:t>
      </w:r>
      <w:r>
        <w:rPr>
          <w:rFonts w:hint="default"/>
          <w:color w:val="auto"/>
        </w:rPr>
        <w:t>施工结束后对场地进行清理、平整并压实，场站实施场地硬化，避免水土流失影响。</w:t>
      </w:r>
    </w:p>
    <w:p w14:paraId="06172FEA">
      <w:pPr>
        <w:pStyle w:val="79"/>
        <w:bidi w:val="0"/>
        <w:rPr>
          <w:rFonts w:hint="default"/>
          <w:color w:val="auto"/>
          <w:lang w:val="en-US" w:eastAsia="zh-CN"/>
        </w:rPr>
      </w:pPr>
      <w:r>
        <w:rPr>
          <w:rFonts w:hint="default"/>
          <w:color w:val="auto"/>
          <w:lang w:val="en-US" w:eastAsia="zh-CN"/>
        </w:rPr>
        <w:t>（</w:t>
      </w:r>
      <w:r>
        <w:rPr>
          <w:rFonts w:hint="eastAsia"/>
          <w:color w:val="auto"/>
          <w:lang w:val="en-US" w:eastAsia="zh-CN"/>
        </w:rPr>
        <w:t>7</w:t>
      </w:r>
      <w:r>
        <w:rPr>
          <w:rFonts w:hint="default"/>
          <w:color w:val="auto"/>
          <w:lang w:val="en-US" w:eastAsia="zh-CN"/>
        </w:rPr>
        <w:t>）本工程针对位于沙漠中的部分工程，采取防沙治沙措施。草方格设置原则为：管线两侧设置草方格防风固沙，草方格设置原则为：单井集输管线上风向一侧7m、下风向一侧5m。施工部署如下：</w:t>
      </w:r>
    </w:p>
    <w:p w14:paraId="3D42644F">
      <w:pPr>
        <w:pStyle w:val="79"/>
        <w:bidi w:val="0"/>
        <w:rPr>
          <w:rFonts w:hint="default"/>
          <w:color w:val="auto"/>
          <w:lang w:val="en-US" w:eastAsia="zh-CN"/>
        </w:rPr>
      </w:pPr>
      <w:r>
        <w:rPr>
          <w:rFonts w:hint="default"/>
          <w:color w:val="auto"/>
          <w:lang w:val="en-US" w:eastAsia="zh-CN"/>
        </w:rPr>
        <w:t>1）技术准备</w:t>
      </w:r>
    </w:p>
    <w:p w14:paraId="409878F5">
      <w:pPr>
        <w:pStyle w:val="79"/>
        <w:bidi w:val="0"/>
        <w:rPr>
          <w:rFonts w:hint="default"/>
          <w:color w:val="auto"/>
          <w:lang w:val="en-US" w:eastAsia="zh-CN"/>
        </w:rPr>
      </w:pPr>
      <w:r>
        <w:rPr>
          <w:rFonts w:hint="default"/>
          <w:color w:val="auto"/>
          <w:lang w:val="en-US" w:eastAsia="zh-CN"/>
        </w:rPr>
        <w:t>①</w:t>
      </w:r>
      <w:r>
        <w:rPr>
          <w:rFonts w:hint="eastAsia"/>
          <w:color w:val="auto"/>
          <w:lang w:val="en-US" w:eastAsia="zh-CN"/>
        </w:rPr>
        <w:t xml:space="preserve"> </w:t>
      </w:r>
      <w:r>
        <w:rPr>
          <w:rFonts w:hint="default"/>
          <w:color w:val="auto"/>
          <w:lang w:val="en-US" w:eastAsia="zh-CN"/>
        </w:rPr>
        <w:t>确保管道回填完成，埋深及外防腐层检测完成。</w:t>
      </w:r>
    </w:p>
    <w:p w14:paraId="2C577C46">
      <w:pPr>
        <w:pStyle w:val="79"/>
        <w:bidi w:val="0"/>
        <w:rPr>
          <w:rFonts w:hint="default"/>
          <w:color w:val="auto"/>
          <w:lang w:val="en-US" w:eastAsia="zh-CN"/>
        </w:rPr>
      </w:pPr>
      <w:r>
        <w:rPr>
          <w:rFonts w:hint="default"/>
          <w:color w:val="auto"/>
          <w:lang w:val="en-US" w:eastAsia="zh-CN"/>
        </w:rPr>
        <w:t>②</w:t>
      </w:r>
      <w:r>
        <w:rPr>
          <w:rFonts w:hint="eastAsia"/>
          <w:color w:val="auto"/>
          <w:lang w:val="en-US" w:eastAsia="zh-CN"/>
        </w:rPr>
        <w:t xml:space="preserve"> </w:t>
      </w:r>
      <w:r>
        <w:rPr>
          <w:rFonts w:hint="default"/>
          <w:color w:val="auto"/>
          <w:lang w:val="en-US" w:eastAsia="zh-CN"/>
        </w:rPr>
        <w:t>熟悉及审查设计图纸及有关资料</w:t>
      </w:r>
      <w:r>
        <w:rPr>
          <w:rFonts w:hint="eastAsia"/>
          <w:color w:val="auto"/>
          <w:lang w:val="en-US" w:eastAsia="zh-CN"/>
        </w:rPr>
        <w:t>；</w:t>
      </w:r>
    </w:p>
    <w:p w14:paraId="54A890B1">
      <w:pPr>
        <w:pStyle w:val="79"/>
        <w:bidi w:val="0"/>
        <w:rPr>
          <w:rFonts w:hint="default"/>
          <w:color w:val="auto"/>
          <w:lang w:val="en-US" w:eastAsia="zh-CN"/>
        </w:rPr>
      </w:pPr>
      <w:r>
        <w:rPr>
          <w:rFonts w:hint="default"/>
          <w:color w:val="auto"/>
          <w:lang w:val="en-US" w:eastAsia="zh-CN"/>
        </w:rPr>
        <w:t>③</w:t>
      </w:r>
      <w:r>
        <w:rPr>
          <w:rFonts w:hint="eastAsia"/>
          <w:color w:val="auto"/>
          <w:lang w:val="en-US" w:eastAsia="zh-CN"/>
        </w:rPr>
        <w:t xml:space="preserve"> </w:t>
      </w:r>
      <w:r>
        <w:rPr>
          <w:rFonts w:hint="default"/>
          <w:color w:val="auto"/>
          <w:lang w:val="en-US" w:eastAsia="zh-CN"/>
        </w:rPr>
        <w:t>编制施工方案，明确提出施工的范围和质量标准，并制定合理施工工期，施工方案编写完毕，并经各方审核、批准</w:t>
      </w:r>
      <w:r>
        <w:rPr>
          <w:rFonts w:hint="eastAsia"/>
          <w:color w:val="auto"/>
          <w:lang w:val="en-US" w:eastAsia="zh-CN"/>
        </w:rPr>
        <w:t>且</w:t>
      </w:r>
      <w:r>
        <w:rPr>
          <w:rFonts w:hint="default"/>
          <w:color w:val="auto"/>
          <w:lang w:val="en-US" w:eastAsia="zh-CN"/>
        </w:rPr>
        <w:t>对施工人员进行交底。</w:t>
      </w:r>
    </w:p>
    <w:p w14:paraId="07141B8A">
      <w:pPr>
        <w:pStyle w:val="79"/>
        <w:bidi w:val="0"/>
        <w:rPr>
          <w:rFonts w:hint="default"/>
          <w:color w:val="auto"/>
          <w:lang w:val="en-US" w:eastAsia="zh-CN"/>
        </w:rPr>
      </w:pPr>
      <w:r>
        <w:rPr>
          <w:rFonts w:hint="default"/>
          <w:color w:val="auto"/>
          <w:lang w:val="en-US" w:eastAsia="zh-CN"/>
        </w:rPr>
        <w:t>2）施工要求</w:t>
      </w:r>
    </w:p>
    <w:p w14:paraId="1BE7A71E">
      <w:pPr>
        <w:pStyle w:val="79"/>
        <w:bidi w:val="0"/>
        <w:rPr>
          <w:rFonts w:hint="default"/>
          <w:color w:val="auto"/>
          <w:lang w:val="en-US" w:eastAsia="zh-CN"/>
        </w:rPr>
      </w:pPr>
      <w:r>
        <w:rPr>
          <w:rFonts w:hint="default"/>
          <w:color w:val="auto"/>
          <w:lang w:val="en-US" w:eastAsia="zh-CN"/>
        </w:rPr>
        <w:t>①</w:t>
      </w:r>
      <w:r>
        <w:rPr>
          <w:rFonts w:hint="eastAsia"/>
          <w:color w:val="auto"/>
          <w:lang w:val="en-US" w:eastAsia="zh-CN"/>
        </w:rPr>
        <w:t xml:space="preserve"> </w:t>
      </w:r>
      <w:r>
        <w:rPr>
          <w:rFonts w:hint="default"/>
          <w:color w:val="auto"/>
          <w:lang w:val="en-US" w:eastAsia="zh-CN"/>
        </w:rPr>
        <w:t>整平边坡，清除坡面松土、石屑、植物残根等。</w:t>
      </w:r>
    </w:p>
    <w:p w14:paraId="71D2208B">
      <w:pPr>
        <w:pStyle w:val="79"/>
        <w:bidi w:val="0"/>
        <w:rPr>
          <w:rFonts w:hint="default"/>
          <w:color w:val="auto"/>
          <w:lang w:val="en-US" w:eastAsia="zh-CN"/>
        </w:rPr>
      </w:pPr>
      <w:r>
        <w:rPr>
          <w:rFonts w:hint="default"/>
          <w:color w:val="auto"/>
          <w:lang w:val="en-US" w:eastAsia="zh-CN"/>
        </w:rPr>
        <w:t>②</w:t>
      </w:r>
      <w:r>
        <w:rPr>
          <w:rFonts w:hint="eastAsia"/>
          <w:color w:val="auto"/>
          <w:lang w:val="en-US" w:eastAsia="zh-CN"/>
        </w:rPr>
        <w:t xml:space="preserve"> </w:t>
      </w:r>
      <w:r>
        <w:rPr>
          <w:rFonts w:hint="default"/>
          <w:color w:val="auto"/>
          <w:lang w:val="en-US" w:eastAsia="zh-CN"/>
        </w:rPr>
        <w:t>根据施工图纸，测量放出坡脚线，平台控制点等。并在坡面上挂线或石灰打线放出1m×1m的正方形方格网，方格网与坡脚线成45度</w:t>
      </w:r>
      <w:r>
        <w:rPr>
          <w:rFonts w:hint="eastAsia"/>
          <w:color w:val="auto"/>
          <w:lang w:val="en-US" w:eastAsia="zh-CN"/>
        </w:rPr>
        <w:t>（</w:t>
      </w:r>
      <w:r>
        <w:rPr>
          <w:rFonts w:hint="default"/>
          <w:color w:val="auto"/>
          <w:lang w:val="en-US" w:eastAsia="zh-CN"/>
        </w:rPr>
        <w:t>或135度</w:t>
      </w:r>
      <w:r>
        <w:rPr>
          <w:rFonts w:hint="eastAsia"/>
          <w:color w:val="auto"/>
          <w:lang w:val="en-US" w:eastAsia="zh-CN"/>
        </w:rPr>
        <w:t>）</w:t>
      </w:r>
      <w:r>
        <w:rPr>
          <w:rFonts w:hint="default"/>
          <w:color w:val="auto"/>
          <w:lang w:val="en-US" w:eastAsia="zh-CN"/>
        </w:rPr>
        <w:t>的角。</w:t>
      </w:r>
    </w:p>
    <w:p w14:paraId="4BE7B8F5">
      <w:pPr>
        <w:pStyle w:val="79"/>
        <w:bidi w:val="0"/>
        <w:rPr>
          <w:rFonts w:hint="default"/>
          <w:color w:val="auto"/>
          <w:lang w:val="en-US" w:eastAsia="zh-CN"/>
        </w:rPr>
      </w:pPr>
      <w:r>
        <w:rPr>
          <w:rFonts w:hint="default"/>
          <w:color w:val="auto"/>
          <w:lang w:val="en-US" w:eastAsia="zh-CN"/>
        </w:rPr>
        <w:t>③</w:t>
      </w:r>
      <w:r>
        <w:rPr>
          <w:rFonts w:hint="eastAsia"/>
          <w:color w:val="auto"/>
          <w:lang w:val="en-US" w:eastAsia="zh-CN"/>
        </w:rPr>
        <w:t xml:space="preserve"> </w:t>
      </w:r>
      <w:r>
        <w:rPr>
          <w:rFonts w:hint="default"/>
          <w:color w:val="auto"/>
          <w:lang w:val="en-US" w:eastAsia="zh-CN"/>
        </w:rPr>
        <w:t>利用大型拖拉机配合倒运芦苇材料。</w:t>
      </w:r>
    </w:p>
    <w:p w14:paraId="29DC4E12">
      <w:pPr>
        <w:pStyle w:val="79"/>
        <w:bidi w:val="0"/>
        <w:rPr>
          <w:rFonts w:hint="default"/>
          <w:color w:val="auto"/>
          <w:lang w:val="en-US" w:eastAsia="zh-CN"/>
        </w:rPr>
      </w:pPr>
      <w:r>
        <w:rPr>
          <w:rFonts w:hint="default"/>
          <w:color w:val="auto"/>
          <w:lang w:val="en-US" w:eastAsia="zh-CN"/>
        </w:rPr>
        <w:t>④</w:t>
      </w:r>
      <w:r>
        <w:rPr>
          <w:rFonts w:hint="eastAsia"/>
          <w:color w:val="auto"/>
          <w:lang w:val="en-US" w:eastAsia="zh-CN"/>
        </w:rPr>
        <w:t xml:space="preserve"> </w:t>
      </w:r>
      <w:r>
        <w:rPr>
          <w:rFonts w:hint="default"/>
          <w:color w:val="auto"/>
          <w:lang w:val="en-US" w:eastAsia="zh-CN"/>
        </w:rPr>
        <w:t>植草制备：选用芦苇在扎制前要碾压，目标是将管状的植草压劈</w:t>
      </w:r>
      <w:r>
        <w:rPr>
          <w:rFonts w:hint="eastAsia"/>
          <w:color w:val="auto"/>
          <w:lang w:val="en-US" w:eastAsia="zh-CN"/>
        </w:rPr>
        <w:t>，</w:t>
      </w:r>
      <w:r>
        <w:rPr>
          <w:rFonts w:hint="default"/>
          <w:color w:val="auto"/>
          <w:lang w:val="en-US" w:eastAsia="zh-CN"/>
        </w:rPr>
        <w:t>改变为柔性材料。扎制前将材料切成40-50cm长的段，整齐堆放。</w:t>
      </w:r>
    </w:p>
    <w:p w14:paraId="6EE90477">
      <w:pPr>
        <w:pStyle w:val="79"/>
        <w:bidi w:val="0"/>
        <w:rPr>
          <w:rFonts w:hint="default"/>
          <w:color w:val="auto"/>
          <w:lang w:val="en-US" w:eastAsia="zh-CN"/>
        </w:rPr>
      </w:pPr>
      <w:r>
        <w:rPr>
          <w:rFonts w:hint="default"/>
          <w:color w:val="auto"/>
          <w:lang w:val="en-US" w:eastAsia="zh-CN"/>
        </w:rPr>
        <w:t>铺放植草：沿草方格网线平铺植草，扎制材料要垂直“线”排放，并置中间位置于线上。先进行沿主风向的草方格埋设，然后再进行沿管线方向的草方格埋设。</w:t>
      </w:r>
    </w:p>
    <w:p w14:paraId="4E629489">
      <w:pPr>
        <w:pStyle w:val="79"/>
        <w:bidi w:val="0"/>
        <w:rPr>
          <w:rFonts w:hint="default"/>
          <w:color w:val="auto"/>
          <w:lang w:val="en-US" w:eastAsia="zh-CN"/>
        </w:rPr>
      </w:pPr>
      <w:r>
        <w:rPr>
          <w:rFonts w:hint="eastAsia"/>
          <w:color w:val="auto"/>
          <w:lang w:val="en-US" w:eastAsia="zh-CN"/>
        </w:rPr>
        <w:t xml:space="preserve">⑤ </w:t>
      </w:r>
      <w:r>
        <w:rPr>
          <w:rFonts w:hint="default"/>
          <w:color w:val="auto"/>
          <w:lang w:val="en-US" w:eastAsia="zh-CN"/>
        </w:rPr>
        <w:t>植草沙障防护必须符合相关技术标准、规范以及图纸要求，监理抽查合格后，再进行下一</w:t>
      </w:r>
      <w:r>
        <w:rPr>
          <w:rFonts w:hint="eastAsia"/>
          <w:color w:val="auto"/>
          <w:lang w:val="en-US" w:eastAsia="zh-CN"/>
        </w:rPr>
        <w:t>道</w:t>
      </w:r>
      <w:r>
        <w:rPr>
          <w:rFonts w:hint="default"/>
          <w:color w:val="auto"/>
          <w:lang w:val="en-US" w:eastAsia="zh-CN"/>
        </w:rPr>
        <w:t>工序的施工。</w:t>
      </w:r>
    </w:p>
    <w:p w14:paraId="40D43F9E">
      <w:pPr>
        <w:pStyle w:val="79"/>
        <w:bidi w:val="0"/>
        <w:rPr>
          <w:rFonts w:hint="default"/>
          <w:color w:val="auto"/>
          <w:lang w:val="en-US" w:eastAsia="zh-CN"/>
        </w:rPr>
      </w:pPr>
      <w:r>
        <w:rPr>
          <w:rFonts w:hint="default"/>
          <w:color w:val="auto"/>
          <w:lang w:val="en-US" w:eastAsia="zh-CN"/>
        </w:rPr>
        <w:t>3）施工措施</w:t>
      </w:r>
    </w:p>
    <w:p w14:paraId="0597ED1A">
      <w:pPr>
        <w:pStyle w:val="79"/>
        <w:bidi w:val="0"/>
        <w:rPr>
          <w:rFonts w:hint="default"/>
          <w:color w:val="auto"/>
          <w:lang w:val="en-US" w:eastAsia="zh-CN"/>
        </w:rPr>
      </w:pPr>
      <w:r>
        <w:rPr>
          <w:rFonts w:hint="default"/>
          <w:color w:val="auto"/>
          <w:lang w:val="en-US" w:eastAsia="zh-CN"/>
        </w:rPr>
        <w:t>①</w:t>
      </w:r>
      <w:r>
        <w:rPr>
          <w:rFonts w:hint="eastAsia"/>
          <w:color w:val="auto"/>
          <w:lang w:val="en-US" w:eastAsia="zh-CN"/>
        </w:rPr>
        <w:t xml:space="preserve"> </w:t>
      </w:r>
      <w:r>
        <w:rPr>
          <w:rFonts w:hint="default"/>
          <w:color w:val="auto"/>
          <w:lang w:val="en-US" w:eastAsia="zh-CN"/>
        </w:rPr>
        <w:t>沙丘及粗沙平地固沙方式</w:t>
      </w:r>
    </w:p>
    <w:p w14:paraId="7C119731">
      <w:pPr>
        <w:pStyle w:val="79"/>
        <w:bidi w:val="0"/>
        <w:rPr>
          <w:rFonts w:hint="default"/>
          <w:color w:val="auto"/>
          <w:lang w:val="en-US" w:eastAsia="zh-CN"/>
        </w:rPr>
      </w:pPr>
      <w:r>
        <w:rPr>
          <w:rFonts w:hint="default"/>
          <w:color w:val="auto"/>
          <w:lang w:val="en-US" w:eastAsia="zh-CN"/>
        </w:rPr>
        <w:t>对于沙丘地及</w:t>
      </w:r>
      <w:r>
        <w:rPr>
          <w:rFonts w:hint="eastAsia"/>
          <w:color w:val="auto"/>
          <w:lang w:val="en-US" w:eastAsia="zh-CN"/>
        </w:rPr>
        <w:t>粗砂</w:t>
      </w:r>
      <w:r>
        <w:rPr>
          <w:rFonts w:hint="default"/>
          <w:color w:val="auto"/>
          <w:lang w:val="en-US" w:eastAsia="zh-CN"/>
        </w:rPr>
        <w:t>平地的固沙方法通常采用的方式为以管线为中心，在该地区主风向的上风向草方格固沙宽度不小于</w:t>
      </w:r>
      <w:r>
        <w:rPr>
          <w:rFonts w:hint="eastAsia"/>
          <w:color w:val="auto"/>
          <w:lang w:val="en-US" w:eastAsia="zh-CN"/>
        </w:rPr>
        <w:t>7</w:t>
      </w:r>
      <w:r>
        <w:rPr>
          <w:rFonts w:hint="default"/>
          <w:color w:val="auto"/>
          <w:lang w:val="en-US" w:eastAsia="zh-CN"/>
        </w:rPr>
        <w:t>m，在风沙地区主导风向下风向草方格固沙</w:t>
      </w:r>
      <w:r>
        <w:rPr>
          <w:rFonts w:hint="eastAsia"/>
          <w:color w:val="auto"/>
          <w:lang w:val="en-US" w:eastAsia="zh-CN"/>
        </w:rPr>
        <w:t>5</w:t>
      </w:r>
      <w:r>
        <w:rPr>
          <w:rFonts w:hint="default"/>
          <w:color w:val="auto"/>
          <w:lang w:val="en-US" w:eastAsia="zh-CN"/>
        </w:rPr>
        <w:t>m，同时在管道主风向上方≥10m左右，地势较高的沙丘顶部，设置阻沙栅栏，以防止管线伴行路及管线被风移沙丘埋没。</w:t>
      </w:r>
    </w:p>
    <w:p w14:paraId="5CFB6F5A">
      <w:pPr>
        <w:pStyle w:val="79"/>
        <w:bidi w:val="0"/>
        <w:rPr>
          <w:rFonts w:hint="default"/>
          <w:color w:val="auto"/>
          <w:lang w:val="en-US" w:eastAsia="zh-CN"/>
        </w:rPr>
      </w:pPr>
      <w:r>
        <w:rPr>
          <w:rFonts w:hint="default"/>
          <w:color w:val="auto"/>
          <w:lang w:val="en-US" w:eastAsia="zh-CN"/>
        </w:rPr>
        <w:t>②</w:t>
      </w:r>
      <w:r>
        <w:rPr>
          <w:rFonts w:hint="eastAsia"/>
          <w:color w:val="auto"/>
          <w:lang w:val="en-US" w:eastAsia="zh-CN"/>
        </w:rPr>
        <w:t xml:space="preserve"> </w:t>
      </w:r>
      <w:r>
        <w:rPr>
          <w:rFonts w:hint="default"/>
          <w:color w:val="auto"/>
          <w:lang w:val="en-US" w:eastAsia="zh-CN"/>
        </w:rPr>
        <w:t>草方格固沙</w:t>
      </w:r>
    </w:p>
    <w:p w14:paraId="7F7C62FF">
      <w:pPr>
        <w:pStyle w:val="79"/>
        <w:bidi w:val="0"/>
        <w:rPr>
          <w:rFonts w:hint="eastAsia"/>
          <w:color w:val="auto"/>
          <w:lang w:val="en-US" w:eastAsia="zh-CN"/>
        </w:rPr>
      </w:pPr>
      <w:r>
        <w:rPr>
          <w:rFonts w:hint="default"/>
          <w:color w:val="auto"/>
        </w:rPr>
        <w:t>草方格材料可就地选用芦苇，将之充分</w:t>
      </w:r>
      <w:r>
        <w:rPr>
          <w:rFonts w:hint="eastAsia"/>
          <w:color w:val="auto"/>
          <w:lang w:eastAsia="zh-CN"/>
        </w:rPr>
        <w:t>碾压</w:t>
      </w:r>
      <w:r>
        <w:rPr>
          <w:rFonts w:hint="default"/>
          <w:color w:val="auto"/>
        </w:rPr>
        <w:t>使之变柔，且不散碎，用切割机将之分解成长40-50cm左右的小段。规划好草方格的位置后，先进行沿主风向的草方格埋设，然后再进行沿管线方向的草方格埋设。为确保草方格能固住流沙，及不被风吹走，草方格的埋设能按设计规定进行施工，施工时采用平头</w:t>
      </w:r>
      <w:r>
        <w:rPr>
          <w:rFonts w:hint="eastAsia"/>
          <w:color w:val="auto"/>
          <w:lang w:eastAsia="zh-CN"/>
        </w:rPr>
        <w:t>铁锹</w:t>
      </w:r>
      <w:r>
        <w:rPr>
          <w:rFonts w:hint="default"/>
          <w:color w:val="auto"/>
        </w:rPr>
        <w:t>插入沙中，插入深度应在25-30cm之间，地表留15-20cm之间，草方格成形后将其根部压实，并在方格内填沙，使</w:t>
      </w:r>
      <w:r>
        <w:rPr>
          <w:rFonts w:hint="default"/>
          <w:color w:val="auto"/>
          <w:lang w:eastAsia="zh-CN"/>
        </w:rPr>
        <w:t>麦秆</w:t>
      </w:r>
      <w:r>
        <w:rPr>
          <w:rFonts w:hint="default"/>
          <w:color w:val="auto"/>
        </w:rPr>
        <w:t>、谷杆向外倾斜形成圆滑过度的凹面。用脚将芦苇根部沙子踩紧，并用铁锹将方格中心沙子向外扒一下，使之形成弧形洼</w:t>
      </w:r>
      <w:r>
        <w:rPr>
          <w:rFonts w:hint="eastAsia"/>
          <w:color w:val="auto"/>
          <w:lang w:val="en-US" w:eastAsia="zh-CN"/>
        </w:rPr>
        <w:t>地。</w:t>
      </w:r>
    </w:p>
    <w:p w14:paraId="51257472">
      <w:pPr>
        <w:pStyle w:val="79"/>
        <w:bidi w:val="0"/>
        <w:rPr>
          <w:rFonts w:hint="default"/>
          <w:color w:val="auto"/>
        </w:rPr>
      </w:pPr>
      <w:r>
        <w:rPr>
          <w:rFonts w:hint="default"/>
          <w:color w:val="auto"/>
        </w:rPr>
        <w:t>草方格通用设置图</w:t>
      </w:r>
      <w:r>
        <w:rPr>
          <w:rFonts w:hint="eastAsia"/>
          <w:color w:val="auto"/>
          <w:lang w:eastAsia="zh-CN"/>
        </w:rPr>
        <w:t>，</w:t>
      </w:r>
      <w:r>
        <w:rPr>
          <w:rFonts w:hint="default"/>
          <w:color w:val="auto"/>
        </w:rPr>
        <w:t>见图6.</w:t>
      </w:r>
      <w:r>
        <w:rPr>
          <w:rFonts w:hint="eastAsia"/>
          <w:color w:val="auto"/>
          <w:lang w:val="en-US" w:eastAsia="zh-CN"/>
        </w:rPr>
        <w:t>1</w:t>
      </w:r>
      <w:r>
        <w:rPr>
          <w:rFonts w:hint="default"/>
          <w:color w:val="auto"/>
        </w:rPr>
        <w:t>-</w:t>
      </w:r>
      <w:r>
        <w:rPr>
          <w:rFonts w:hint="eastAsia"/>
          <w:color w:val="auto"/>
          <w:lang w:val="en-US" w:eastAsia="zh-CN"/>
        </w:rPr>
        <w:t>1</w:t>
      </w:r>
      <w:r>
        <w:rPr>
          <w:rFonts w:hint="eastAsia"/>
          <w:color w:val="auto"/>
          <w:lang w:eastAsia="zh-CN"/>
        </w:rPr>
        <w:t>；</w:t>
      </w:r>
      <w:r>
        <w:rPr>
          <w:rFonts w:hint="default"/>
          <w:color w:val="auto"/>
        </w:rPr>
        <w:t>移动沙丘固沙平面示意图</w:t>
      </w:r>
      <w:r>
        <w:rPr>
          <w:rFonts w:hint="eastAsia"/>
          <w:color w:val="auto"/>
          <w:lang w:eastAsia="zh-CN"/>
        </w:rPr>
        <w:t>，</w:t>
      </w:r>
      <w:r>
        <w:rPr>
          <w:rFonts w:hint="default"/>
          <w:color w:val="auto"/>
        </w:rPr>
        <w:t>见图6.</w:t>
      </w:r>
      <w:r>
        <w:rPr>
          <w:rFonts w:hint="eastAsia"/>
          <w:color w:val="auto"/>
          <w:lang w:val="en-US" w:eastAsia="zh-CN"/>
        </w:rPr>
        <w:t>1</w:t>
      </w:r>
      <w:r>
        <w:rPr>
          <w:rFonts w:hint="default"/>
          <w:color w:val="auto"/>
        </w:rPr>
        <w:t>-</w:t>
      </w:r>
      <w:r>
        <w:rPr>
          <w:rFonts w:hint="eastAsia"/>
          <w:color w:val="auto"/>
          <w:lang w:val="en-US" w:eastAsia="zh-CN"/>
        </w:rPr>
        <w:t>2</w:t>
      </w:r>
      <w:r>
        <w:rPr>
          <w:rFonts w:hint="default"/>
          <w:color w:val="auto"/>
        </w:rPr>
        <w:t>。</w:t>
      </w:r>
    </w:p>
    <w:p w14:paraId="688B4C29">
      <w:pPr>
        <w:pStyle w:val="79"/>
        <w:bidi w:val="0"/>
        <w:rPr>
          <w:rFonts w:hint="default"/>
          <w:color w:val="auto"/>
        </w:rPr>
      </w:pPr>
      <w:r>
        <w:rPr>
          <w:rFonts w:hint="default"/>
          <w:color w:val="auto"/>
        </w:rPr>
        <w:t>本工程防沙治沙措施主要采用草方格固沙方式，该方法具有普遍性、通用性、高效性，是比较有效的防沙治沙措施。</w:t>
      </w:r>
    </w:p>
    <w:p w14:paraId="0A0F8CF2">
      <w:pPr>
        <w:pStyle w:val="55"/>
        <w:bidi w:val="0"/>
        <w:rPr>
          <w:color w:val="auto"/>
        </w:rPr>
      </w:pPr>
      <w:r>
        <w:rPr>
          <w:color w:val="auto"/>
        </w:rPr>
        <w:t>6.</w:t>
      </w:r>
      <w:r>
        <w:rPr>
          <w:rFonts w:hint="eastAsia"/>
          <w:color w:val="auto"/>
          <w:lang w:val="en-US" w:eastAsia="zh-CN"/>
        </w:rPr>
        <w:t>1</w:t>
      </w:r>
      <w:r>
        <w:rPr>
          <w:color w:val="auto"/>
        </w:rPr>
        <w:t>.</w:t>
      </w:r>
      <w:r>
        <w:rPr>
          <w:rFonts w:hint="eastAsia"/>
          <w:color w:val="auto"/>
          <w:lang w:val="en-US" w:eastAsia="zh-CN"/>
        </w:rPr>
        <w:t>1</w:t>
      </w:r>
      <w:r>
        <w:rPr>
          <w:color w:val="auto"/>
        </w:rPr>
        <w:t>.</w:t>
      </w:r>
      <w:r>
        <w:rPr>
          <w:rFonts w:hint="eastAsia"/>
          <w:color w:val="auto"/>
          <w:lang w:val="en-US" w:eastAsia="zh-CN"/>
        </w:rPr>
        <w:t xml:space="preserve">7 </w:t>
      </w:r>
      <w:r>
        <w:rPr>
          <w:rFonts w:hint="eastAsia"/>
          <w:color w:val="auto"/>
        </w:rPr>
        <w:t>水土流失防治措施</w:t>
      </w:r>
    </w:p>
    <w:p w14:paraId="0B5DF75C">
      <w:pPr>
        <w:pStyle w:val="79"/>
        <w:bidi w:val="0"/>
        <w:rPr>
          <w:color w:val="auto"/>
        </w:rPr>
      </w:pPr>
      <w:r>
        <w:rPr>
          <w:color w:val="auto"/>
        </w:rPr>
        <w:t>本工程</w:t>
      </w:r>
      <w:r>
        <w:rPr>
          <w:rFonts w:hint="eastAsia"/>
          <w:color w:val="auto"/>
          <w:lang w:val="en-US" w:eastAsia="zh-CN"/>
        </w:rPr>
        <w:t>区域</w:t>
      </w:r>
      <w:r>
        <w:rPr>
          <w:color w:val="auto"/>
        </w:rPr>
        <w:t>气候干燥，风力强大，地表土质疏松干燥，属于典型荒漠生态系统。由于</w:t>
      </w:r>
      <w:r>
        <w:rPr>
          <w:rFonts w:hint="eastAsia"/>
          <w:color w:val="auto"/>
          <w:lang w:val="en-US" w:eastAsia="zh-CN"/>
        </w:rPr>
        <w:t>区域</w:t>
      </w:r>
      <w:r>
        <w:rPr>
          <w:color w:val="auto"/>
        </w:rPr>
        <w:t>干旱少雨，水资源极度匮乏，植被生长主要靠地下水维持，根据现场调查，在植被遭到破坏的区域，在自然条件下很难得到恢复。由于受到区域土壤、水分等条件的限制，在</w:t>
      </w:r>
      <w:r>
        <w:rPr>
          <w:rFonts w:hint="eastAsia"/>
          <w:color w:val="auto"/>
          <w:lang w:val="en-US" w:eastAsia="zh-CN"/>
        </w:rPr>
        <w:t>区域</w:t>
      </w:r>
      <w:r>
        <w:rPr>
          <w:color w:val="auto"/>
        </w:rPr>
        <w:t>进行植被恢复在经济技术条件下将很难实现，因此，本次水土流失防治主要以工程措施为主。</w:t>
      </w:r>
    </w:p>
    <w:p w14:paraId="1563D763">
      <w:pPr>
        <w:pStyle w:val="79"/>
        <w:bidi w:val="0"/>
        <w:rPr>
          <w:color w:val="auto"/>
        </w:rPr>
      </w:pPr>
      <w:r>
        <w:rPr>
          <w:color w:val="auto"/>
        </w:rPr>
        <w:t>根据水土保持防治分区，在现场调查基础上，针对</w:t>
      </w:r>
      <w:r>
        <w:rPr>
          <w:rFonts w:hint="eastAsia"/>
          <w:color w:val="auto"/>
          <w:lang w:eastAsia="zh-CN"/>
        </w:rPr>
        <w:t>本工程</w:t>
      </w:r>
      <w:r>
        <w:rPr>
          <w:color w:val="auto"/>
        </w:rPr>
        <w:t>施工建设活动引发水土流失的特点和造成危害程度，采取有效的防治措施，合理安排施工进度，按照与主体工程相衔接的原则，对不同区域新增水土流失部位进行对位治理，通过分析评价主体工程已经实施的措施、存在问题等，优化并补充完善工程防治措施、临时防护措施，形成一个综合防治措施体系。</w:t>
      </w:r>
    </w:p>
    <w:p w14:paraId="22440A71">
      <w:pPr>
        <w:pStyle w:val="79"/>
        <w:bidi w:val="0"/>
        <w:rPr>
          <w:color w:val="auto"/>
        </w:rPr>
      </w:pPr>
      <w:r>
        <w:rPr>
          <w:rFonts w:hint="default"/>
          <w:color w:val="auto"/>
        </w:rPr>
        <w:t>（1）工程</w:t>
      </w:r>
      <w:r>
        <w:rPr>
          <w:rFonts w:hint="default"/>
          <w:color w:val="auto"/>
          <w:lang w:val="en-US" w:eastAsia="zh-CN"/>
        </w:rPr>
        <w:t>防治</w:t>
      </w:r>
      <w:r>
        <w:rPr>
          <w:rFonts w:hint="default"/>
          <w:color w:val="auto"/>
        </w:rPr>
        <w:t>措施</w:t>
      </w:r>
    </w:p>
    <w:p w14:paraId="00EBAC8F">
      <w:pPr>
        <w:pStyle w:val="79"/>
        <w:bidi w:val="0"/>
        <w:rPr>
          <w:color w:val="auto"/>
        </w:rPr>
      </w:pPr>
      <w:r>
        <w:rPr>
          <w:rFonts w:hint="eastAsia"/>
          <w:color w:val="auto"/>
          <w:lang w:val="en-US" w:eastAsia="zh-CN"/>
        </w:rPr>
        <w:t>1）站场</w:t>
      </w:r>
      <w:r>
        <w:rPr>
          <w:color w:val="auto"/>
        </w:rPr>
        <w:t>工程区</w:t>
      </w:r>
    </w:p>
    <w:p w14:paraId="387C7FF0">
      <w:pPr>
        <w:pStyle w:val="79"/>
        <w:bidi w:val="0"/>
        <w:rPr>
          <w:rFonts w:hint="eastAsia"/>
          <w:color w:val="auto"/>
          <w:lang w:val="en-US" w:eastAsia="zh-CN"/>
        </w:rPr>
      </w:pPr>
      <w:r>
        <w:rPr>
          <w:rFonts w:hint="eastAsia"/>
          <w:color w:val="auto"/>
          <w:lang w:val="en-US" w:eastAsia="zh-CN"/>
        </w:rPr>
        <w:t>站场</w:t>
      </w:r>
      <w:r>
        <w:rPr>
          <w:color w:val="auto"/>
        </w:rPr>
        <w:t>工程区施工活动主要表现在由于场地平整及堆垫，扰动原地貌，增加了施工区的水土流失强度。主体设计已有砾石压盖措施；方案补充场地平整、彩条旗拦挡和洒水降尘等措施。</w:t>
      </w:r>
    </w:p>
    <w:p w14:paraId="50E4EF6A">
      <w:pPr>
        <w:keepNext w:val="0"/>
        <w:keepLines w:val="0"/>
        <w:pageBreakBefore w:val="0"/>
        <w:widowControl/>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宋体" w:cs="Times New Roman"/>
          <w:color w:val="auto"/>
          <w:kern w:val="2"/>
          <w:sz w:val="24"/>
          <w:szCs w:val="24"/>
          <w:highlight w:val="none"/>
        </w:rPr>
      </w:pPr>
    </w:p>
    <w:p w14:paraId="324CF00A">
      <w:pPr>
        <w:keepNext w:val="0"/>
        <w:keepLines w:val="0"/>
        <w:pageBreakBefore w:val="0"/>
        <w:widowControl/>
        <w:kinsoku/>
        <w:wordWrap/>
        <w:overflowPunct/>
        <w:topLinePunct w:val="0"/>
        <w:autoSpaceDE/>
        <w:autoSpaceDN/>
        <w:bidi w:val="0"/>
        <w:adjustRightInd/>
        <w:snapToGrid/>
        <w:spacing w:line="348"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rPr>
        <w:sectPr>
          <w:pgSz w:w="11906"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AndChars" w:linePitch="316" w:charSpace="0"/>
        </w:sectPr>
      </w:pPr>
    </w:p>
    <w:p w14:paraId="1A99F78D">
      <w:pPr>
        <w:keepNext w:val="0"/>
        <w:keepLines w:val="0"/>
        <w:pageBreakBefore w:val="0"/>
        <w:widowControl/>
        <w:kinsoku/>
        <w:wordWrap/>
        <w:overflowPunct/>
        <w:topLinePunct w:val="0"/>
        <w:autoSpaceDE/>
        <w:autoSpaceDN/>
        <w:bidi w:val="0"/>
        <w:adjustRightInd w:val="0"/>
        <w:snapToGrid/>
        <w:spacing w:line="400" w:lineRule="exact"/>
        <w:ind w:firstLine="480" w:firstLineChars="200"/>
        <w:jc w:val="center"/>
        <w:textAlignment w:val="auto"/>
        <w:rPr>
          <w:rFonts w:hint="eastAsia" w:ascii="黑体" w:hAnsi="黑体" w:eastAsia="黑体" w:cs="黑体"/>
          <w:b/>
          <w:bCs/>
          <w:color w:val="auto"/>
          <w:spacing w:val="0"/>
          <w:kern w:val="0"/>
          <w:sz w:val="24"/>
          <w:szCs w:val="24"/>
          <w:highlight w:val="none"/>
          <w:lang w:val="zh-CN" w:eastAsia="zh-CN" w:bidi="ar-SA"/>
        </w:rPr>
      </w:pPr>
      <w:r>
        <w:rPr>
          <w:rFonts w:hint="eastAsia" w:ascii="黑体" w:hAnsi="黑体" w:eastAsia="黑体" w:cs="黑体"/>
          <w:b/>
          <w:bCs w:val="0"/>
          <w:color w:val="auto"/>
          <w:kern w:val="2"/>
          <w:sz w:val="24"/>
          <w:szCs w:val="24"/>
          <w:lang w:val="zh-CN" w:eastAsia="zh-CN" w:bidi="ar-SA"/>
        </w:rPr>
        <w:t>图6.</w:t>
      </w:r>
      <w:r>
        <w:rPr>
          <w:rFonts w:hint="eastAsia" w:ascii="黑体" w:hAnsi="黑体" w:eastAsia="黑体" w:cs="黑体"/>
          <w:b/>
          <w:bCs w:val="0"/>
          <w:color w:val="auto"/>
          <w:kern w:val="2"/>
          <w:sz w:val="24"/>
          <w:szCs w:val="24"/>
          <w:lang w:val="en-US" w:eastAsia="zh-CN" w:bidi="ar-SA"/>
        </w:rPr>
        <w:t>1</w:t>
      </w:r>
      <w:r>
        <w:rPr>
          <w:rFonts w:hint="eastAsia" w:ascii="黑体" w:hAnsi="黑体" w:eastAsia="黑体" w:cs="黑体"/>
          <w:b/>
          <w:bCs w:val="0"/>
          <w:color w:val="auto"/>
          <w:kern w:val="2"/>
          <w:sz w:val="24"/>
          <w:szCs w:val="24"/>
          <w:lang w:val="zh-CN" w:eastAsia="zh-CN" w:bidi="ar-SA"/>
        </w:rPr>
        <w:t>-</w:t>
      </w:r>
      <w:r>
        <w:rPr>
          <w:rFonts w:hint="eastAsia" w:ascii="黑体" w:hAnsi="黑体" w:eastAsia="黑体" w:cs="黑体"/>
          <w:b/>
          <w:bCs w:val="0"/>
          <w:color w:val="auto"/>
          <w:kern w:val="2"/>
          <w:sz w:val="24"/>
          <w:szCs w:val="24"/>
          <w:lang w:val="en-US" w:eastAsia="zh-CN" w:bidi="ar-SA"/>
        </w:rPr>
        <w:t>1</w:t>
      </w:r>
      <w:r>
        <w:rPr>
          <w:rFonts w:hint="eastAsia" w:ascii="黑体" w:hAnsi="黑体" w:eastAsia="黑体" w:cs="黑体"/>
          <w:b/>
          <w:bCs w:val="0"/>
          <w:color w:val="auto"/>
          <w:kern w:val="2"/>
          <w:sz w:val="24"/>
          <w:szCs w:val="24"/>
          <w:lang w:val="zh-CN" w:eastAsia="zh-CN" w:bidi="ar-SA"/>
        </w:rPr>
        <w:t xml:space="preserve">   固沙草方格设置通用图</w:t>
      </w:r>
    </w:p>
    <w:p w14:paraId="77EEAC90">
      <w:pPr>
        <w:keepNext w:val="0"/>
        <w:keepLines w:val="0"/>
        <w:pageBreakBefore w:val="0"/>
        <w:widowControl w:val="0"/>
        <w:kinsoku/>
        <w:wordWrap/>
        <w:overflowPunct/>
        <w:topLinePunct w:val="0"/>
        <w:autoSpaceDE/>
        <w:autoSpaceDN/>
        <w:bidi w:val="0"/>
        <w:adjustRightInd/>
        <w:snapToGrid/>
        <w:spacing w:after="120" w:afterLines="0" w:afterAutospacing="0" w:line="400" w:lineRule="exact"/>
        <w:ind w:firstLine="480" w:firstLineChars="200"/>
        <w:jc w:val="center"/>
        <w:textAlignment w:val="auto"/>
        <w:rPr>
          <w:rFonts w:hint="eastAsia" w:ascii="黑体" w:hAnsi="黑体" w:eastAsia="黑体" w:cs="黑体"/>
          <w:bCs/>
          <w:color w:val="auto"/>
          <w:spacing w:val="0"/>
          <w:kern w:val="0"/>
          <w:sz w:val="24"/>
          <w:szCs w:val="24"/>
          <w:highlight w:val="none"/>
          <w:lang w:val="zh-CN" w:eastAsia="zh-CN" w:bidi="ar-SA"/>
        </w:rPr>
      </w:pPr>
      <w:r>
        <w:rPr>
          <w:rFonts w:hint="eastAsia" w:ascii="黑体" w:hAnsi="黑体" w:eastAsia="黑体" w:cs="黑体"/>
          <w:b/>
          <w:bCs w:val="0"/>
          <w:color w:val="auto"/>
          <w:kern w:val="2"/>
          <w:sz w:val="24"/>
          <w:szCs w:val="24"/>
          <w:lang w:val="zh-CN" w:eastAsia="zh-CN" w:bidi="ar-SA"/>
        </w:rPr>
        <w:t>图6.</w:t>
      </w:r>
      <w:r>
        <w:rPr>
          <w:rFonts w:hint="eastAsia" w:ascii="黑体" w:hAnsi="黑体" w:eastAsia="黑体" w:cs="黑体"/>
          <w:b/>
          <w:bCs w:val="0"/>
          <w:color w:val="auto"/>
          <w:kern w:val="2"/>
          <w:sz w:val="24"/>
          <w:szCs w:val="24"/>
          <w:lang w:val="en-US" w:eastAsia="zh-CN" w:bidi="ar-SA"/>
        </w:rPr>
        <w:t>1</w:t>
      </w:r>
      <w:r>
        <w:rPr>
          <w:rFonts w:hint="eastAsia" w:ascii="黑体" w:hAnsi="黑体" w:eastAsia="黑体" w:cs="黑体"/>
          <w:b/>
          <w:bCs w:val="0"/>
          <w:color w:val="auto"/>
          <w:kern w:val="2"/>
          <w:sz w:val="24"/>
          <w:szCs w:val="24"/>
          <w:lang w:val="zh-CN" w:eastAsia="zh-CN" w:bidi="ar-SA"/>
        </w:rPr>
        <w:t>-</w:t>
      </w:r>
      <w:r>
        <w:rPr>
          <w:rFonts w:hint="eastAsia" w:ascii="黑体" w:hAnsi="黑体" w:eastAsia="黑体" w:cs="黑体"/>
          <w:b/>
          <w:bCs w:val="0"/>
          <w:color w:val="auto"/>
          <w:kern w:val="2"/>
          <w:sz w:val="24"/>
          <w:szCs w:val="24"/>
          <w:lang w:val="en-US" w:eastAsia="zh-CN" w:bidi="ar-SA"/>
        </w:rPr>
        <w:t>2</w:t>
      </w:r>
      <w:r>
        <w:rPr>
          <w:rFonts w:hint="eastAsia" w:ascii="黑体" w:hAnsi="黑体" w:eastAsia="黑体" w:cs="黑体"/>
          <w:b/>
          <w:bCs w:val="0"/>
          <w:color w:val="auto"/>
          <w:kern w:val="2"/>
          <w:sz w:val="24"/>
          <w:szCs w:val="24"/>
          <w:lang w:val="zh-CN" w:eastAsia="zh-CN" w:bidi="ar-SA"/>
        </w:rPr>
        <w:t xml:space="preserve">  移动沙丘固沙平面示意图</w:t>
      </w:r>
    </w:p>
    <w:p w14:paraId="2AA20186">
      <w:pPr>
        <w:keepLines/>
        <w:widowControl w:val="0"/>
        <w:adjustRightInd w:val="0"/>
        <w:snapToGrid w:val="0"/>
        <w:spacing w:before="163" w:beforeLines="50" w:line="360" w:lineRule="auto"/>
        <w:outlineLvl w:val="9"/>
        <w:rPr>
          <w:rFonts w:hint="eastAsia" w:ascii="黑体" w:hAnsi="黑体" w:eastAsia="黑体" w:cs="黑体"/>
          <w:b/>
          <w:color w:val="auto"/>
          <w:kern w:val="2"/>
          <w:sz w:val="24"/>
          <w:szCs w:val="24"/>
          <w:highlight w:val="none"/>
        </w:rPr>
        <w:sectPr>
          <w:pgSz w:w="16838" w:h="11906" w:orient="landscape"/>
          <w:pgMar w:top="1814" w:right="1474" w:bottom="1474" w:left="1474" w:header="850" w:footer="992" w:gutter="0"/>
          <w:pgBorders>
            <w:top w:val="none" w:sz="0" w:space="0"/>
            <w:left w:val="none" w:sz="0" w:space="0"/>
            <w:bottom w:val="none" w:sz="0" w:space="0"/>
            <w:right w:val="none" w:sz="0" w:space="0"/>
          </w:pgBorders>
          <w:pgNumType w:fmt="decimal"/>
          <w:cols w:space="0" w:num="1"/>
          <w:rtlGutter w:val="0"/>
          <w:docGrid w:type="linesAndChars" w:linePitch="316" w:charSpace="0"/>
        </w:sectPr>
      </w:pPr>
    </w:p>
    <w:p w14:paraId="18E1F517">
      <w:pPr>
        <w:pStyle w:val="79"/>
        <w:bidi w:val="0"/>
        <w:rPr>
          <w:color w:val="auto"/>
        </w:rPr>
      </w:pPr>
      <w:bookmarkStart w:id="733" w:name="OLE_LINK294"/>
      <w:r>
        <w:rPr>
          <w:rFonts w:hint="eastAsia"/>
          <w:color w:val="auto"/>
          <w:lang w:val="en-US" w:eastAsia="zh-CN"/>
        </w:rPr>
        <w:t>2）</w:t>
      </w:r>
      <w:r>
        <w:rPr>
          <w:color w:val="auto"/>
        </w:rPr>
        <w:t>管道工程区</w:t>
      </w:r>
    </w:p>
    <w:p w14:paraId="7EE210E5">
      <w:pPr>
        <w:pStyle w:val="79"/>
        <w:bidi w:val="0"/>
        <w:rPr>
          <w:color w:val="auto"/>
        </w:rPr>
      </w:pPr>
      <w:r>
        <w:rPr>
          <w:color w:val="auto"/>
        </w:rPr>
        <w:t>管道工程区主要是管沟开挖及管道施工对地面的破坏，主体设计未采取防护措施，方案补充场地平整、彩条旗拦挡、防尘网苫盖和洒水降尘措施。</w:t>
      </w:r>
    </w:p>
    <w:p w14:paraId="5800FD9F">
      <w:pPr>
        <w:pStyle w:val="79"/>
        <w:bidi w:val="0"/>
        <w:rPr>
          <w:rFonts w:hint="default"/>
          <w:color w:val="auto"/>
          <w:lang w:val="en-US" w:eastAsia="zh-CN"/>
        </w:rPr>
      </w:pPr>
      <w:r>
        <w:rPr>
          <w:rFonts w:hint="default"/>
          <w:color w:val="auto"/>
          <w:lang w:val="en-US" w:eastAsia="zh-CN"/>
        </w:rPr>
        <w:t>（2）水土保持管理措施</w:t>
      </w:r>
    </w:p>
    <w:p w14:paraId="72B66EEC">
      <w:pPr>
        <w:pStyle w:val="79"/>
        <w:bidi w:val="0"/>
        <w:rPr>
          <w:rFonts w:hint="eastAsia"/>
          <w:color w:val="auto"/>
          <w:lang w:val="en-US" w:eastAsia="zh-CN"/>
        </w:rPr>
      </w:pPr>
      <w:r>
        <w:rPr>
          <w:rFonts w:hint="default"/>
          <w:color w:val="auto"/>
          <w:lang w:val="en-US" w:eastAsia="zh-CN"/>
        </w:rPr>
        <w:t>对工程措施的管理要纳入生产管理计划之中，专业人员负责施工设计和技术指导，在责任范围内建立相应的管理措施。根据《中华人民共和国水土保持法》，在山区、丘陵区、风沙区以及水土保持规划确定的容易发生水土流失的其他区域开办可能造成水土流失的生产建设项目，生产建设单位应当编制水土保持方案，报县级以上人民政府水行政主管部门审批，并按照经批准的水土保持方案，采取水土流失预防和治理措施。没有能力编制水土保持方案的，应当委托具备相应技术条件的机构编制。</w:t>
      </w:r>
    </w:p>
    <w:p w14:paraId="4DC758E3">
      <w:pPr>
        <w:pStyle w:val="79"/>
        <w:bidi w:val="0"/>
        <w:rPr>
          <w:rFonts w:hint="default"/>
          <w:color w:val="auto"/>
          <w:lang w:val="en-US" w:eastAsia="zh-CN"/>
        </w:rPr>
      </w:pPr>
      <w:r>
        <w:rPr>
          <w:rFonts w:hint="eastAsia"/>
          <w:color w:val="auto"/>
          <w:lang w:val="en-US" w:eastAsia="zh-CN"/>
        </w:rPr>
        <w:t>1）</w:t>
      </w:r>
      <w:r>
        <w:rPr>
          <w:rFonts w:hint="default"/>
          <w:color w:val="auto"/>
          <w:lang w:val="en-US" w:eastAsia="zh-CN"/>
        </w:rPr>
        <w:t>项目选线和拟采用的技术标准，应该充分考虑水土流失因素，尽量避开植被茂盛地段，施工期间严格划定施工活动范围，严格控制和管理运输车辆及重型机械的运行范围，不另辟施工便道，不得离开运输道路及随意驾驶。由专人监督负责，以防破坏土壤和植被。</w:t>
      </w:r>
    </w:p>
    <w:p w14:paraId="3C45ED9D">
      <w:pPr>
        <w:pStyle w:val="79"/>
        <w:bidi w:val="0"/>
        <w:rPr>
          <w:color w:val="auto"/>
        </w:rPr>
      </w:pPr>
      <w:bookmarkStart w:id="734" w:name="_Toc23383"/>
      <w:bookmarkStart w:id="735" w:name="_Toc26870"/>
      <w:r>
        <w:rPr>
          <w:rFonts w:hint="eastAsia"/>
          <w:color w:val="auto"/>
          <w:lang w:val="en-US" w:eastAsia="zh-CN"/>
        </w:rPr>
        <w:t>2）</w:t>
      </w:r>
      <w:r>
        <w:rPr>
          <w:rFonts w:hint="eastAsia"/>
          <w:color w:val="auto"/>
        </w:rPr>
        <w:t>施工时，在有植被分布地段，要特别注意保护原始地表与天然植被，应划定施工活动范围，严格控制和管理车辆及重型机械的运行范围，所有车辆采用“一”字型作业方法，走统一车辙，避免</w:t>
      </w:r>
      <w:r>
        <w:rPr>
          <w:rFonts w:hint="eastAsia"/>
          <w:color w:val="auto"/>
          <w:lang w:eastAsia="zh-CN"/>
        </w:rPr>
        <w:t>强行</w:t>
      </w:r>
      <w:r>
        <w:rPr>
          <w:rFonts w:hint="eastAsia"/>
          <w:color w:val="auto"/>
        </w:rPr>
        <w:t>开辟新路，以减少风沙活动。在施工过程中，不得随意碾压项目区内</w:t>
      </w:r>
      <w:r>
        <w:rPr>
          <w:rFonts w:hint="eastAsia"/>
          <w:color w:val="auto"/>
          <w:lang w:eastAsia="zh-CN"/>
        </w:rPr>
        <w:t>其他</w:t>
      </w:r>
      <w:r>
        <w:rPr>
          <w:rFonts w:hint="eastAsia"/>
          <w:color w:val="auto"/>
        </w:rPr>
        <w:t>固沙植被。井场位置应根据场地周边植被分布情况，在满足设计要求的前提下进行适当的调整，以减少占地。尽量避开沙丘，减缓对沙丘活化的影响。</w:t>
      </w:r>
      <w:bookmarkEnd w:id="734"/>
      <w:bookmarkEnd w:id="735"/>
    </w:p>
    <w:p w14:paraId="4764FE9E">
      <w:pPr>
        <w:pStyle w:val="79"/>
        <w:bidi w:val="0"/>
        <w:rPr>
          <w:rFonts w:hint="default"/>
          <w:color w:val="auto"/>
          <w:lang w:val="en-US" w:eastAsia="zh-CN"/>
        </w:rPr>
      </w:pPr>
      <w:r>
        <w:rPr>
          <w:rFonts w:hint="eastAsia"/>
          <w:color w:val="auto"/>
          <w:lang w:val="en-US" w:eastAsia="zh-CN"/>
        </w:rPr>
        <w:t>3）施工中严格按照规定的施工占地要求，划定适宜的堆料场。避免在大风、雨天施工。施工结束后，要做好施工迹地的恢复工作。井场建设应尽量利用挖方料，做到土石方平衡。</w:t>
      </w:r>
    </w:p>
    <w:p w14:paraId="416BE7A9">
      <w:pPr>
        <w:pStyle w:val="79"/>
        <w:bidi w:val="0"/>
        <w:rPr>
          <w:rFonts w:hint="default"/>
          <w:color w:val="auto"/>
          <w:lang w:val="en-US" w:eastAsia="zh-CN"/>
        </w:rPr>
      </w:pPr>
      <w:r>
        <w:rPr>
          <w:rFonts w:hint="eastAsia"/>
          <w:color w:val="auto"/>
          <w:lang w:val="en-US" w:eastAsia="zh-CN"/>
        </w:rPr>
        <w:t>4）</w:t>
      </w:r>
      <w:r>
        <w:rPr>
          <w:rFonts w:hint="default"/>
          <w:color w:val="auto"/>
          <w:lang w:val="en-US" w:eastAsia="zh-CN"/>
        </w:rPr>
        <w:t>严禁在大风、大雨天气下施工，特别是深挖和回填等作业。</w:t>
      </w:r>
    </w:p>
    <w:p w14:paraId="0B435B68">
      <w:pPr>
        <w:pStyle w:val="79"/>
        <w:bidi w:val="0"/>
        <w:rPr>
          <w:rFonts w:hint="eastAsia"/>
          <w:color w:val="auto"/>
          <w:lang w:val="en-US" w:eastAsia="zh-CN"/>
        </w:rPr>
      </w:pPr>
      <w:r>
        <w:rPr>
          <w:rFonts w:hint="eastAsia"/>
          <w:color w:val="auto"/>
          <w:lang w:val="en-US" w:eastAsia="zh-CN"/>
        </w:rPr>
        <w:t>5）</w:t>
      </w:r>
      <w:r>
        <w:rPr>
          <w:color w:val="auto"/>
          <w:lang w:val="en-US" w:eastAsia="zh-CN"/>
        </w:rPr>
        <w:t>加强施工期管理，加速建设进度，减少施工期水土</w:t>
      </w:r>
      <w:r>
        <w:rPr>
          <w:rFonts w:hint="eastAsia"/>
          <w:color w:val="auto"/>
          <w:lang w:val="en-US" w:eastAsia="zh-CN"/>
        </w:rPr>
        <w:t>流失的产生</w:t>
      </w:r>
      <w:r>
        <w:rPr>
          <w:color w:val="auto"/>
          <w:lang w:val="en-US" w:eastAsia="zh-CN"/>
        </w:rPr>
        <w:t>；同时在施工期间，应提前制定严密的交通管理措施</w:t>
      </w:r>
      <w:r>
        <w:rPr>
          <w:rFonts w:hint="eastAsia"/>
          <w:color w:val="auto"/>
          <w:lang w:val="en-US" w:eastAsia="zh-CN"/>
        </w:rPr>
        <w:t>。</w:t>
      </w:r>
    </w:p>
    <w:p w14:paraId="25FECA35">
      <w:pPr>
        <w:pStyle w:val="79"/>
        <w:bidi w:val="0"/>
        <w:rPr>
          <w:rFonts w:hint="default"/>
          <w:color w:val="auto"/>
          <w:lang w:val="en-US" w:eastAsia="zh-CN"/>
        </w:rPr>
      </w:pPr>
      <w:r>
        <w:rPr>
          <w:rFonts w:hint="eastAsia"/>
          <w:color w:val="auto"/>
          <w:lang w:val="en-US" w:eastAsia="zh-CN"/>
        </w:rPr>
        <w:t>6）</w:t>
      </w:r>
      <w:r>
        <w:rPr>
          <w:rFonts w:hint="default"/>
          <w:color w:val="auto"/>
          <w:lang w:val="en-US" w:eastAsia="zh-CN"/>
        </w:rPr>
        <w:t>加强</w:t>
      </w:r>
      <w:r>
        <w:rPr>
          <w:rFonts w:hint="eastAsia"/>
          <w:color w:val="auto"/>
          <w:lang w:val="en-US" w:eastAsia="zh-CN"/>
        </w:rPr>
        <w:t>水土保持</w:t>
      </w:r>
      <w:r>
        <w:rPr>
          <w:rFonts w:hint="default"/>
          <w:color w:val="auto"/>
          <w:lang w:val="en-US" w:eastAsia="zh-CN"/>
        </w:rPr>
        <w:t>管理，对施工人员进行培训和教育，自觉保持水土，保护植被。严禁施工材料乱堆乱放，不随意乱采乱挖沿线植被。</w:t>
      </w:r>
    </w:p>
    <w:p w14:paraId="15EFCDF0">
      <w:pPr>
        <w:pStyle w:val="79"/>
        <w:bidi w:val="0"/>
        <w:rPr>
          <w:rFonts w:hint="default"/>
          <w:color w:val="auto"/>
          <w:lang w:val="en-US" w:eastAsia="zh-CN"/>
        </w:rPr>
      </w:pPr>
      <w:r>
        <w:rPr>
          <w:rFonts w:hint="eastAsia"/>
          <w:color w:val="auto"/>
          <w:lang w:val="en-US" w:eastAsia="zh-CN"/>
        </w:rPr>
        <w:t>7）</w:t>
      </w:r>
      <w:r>
        <w:rPr>
          <w:rFonts w:hint="default"/>
          <w:color w:val="auto"/>
          <w:lang w:val="en-US" w:eastAsia="zh-CN"/>
        </w:rPr>
        <w:t>对施工迹地恢复平整，以减少区域水土流失量的增加。</w:t>
      </w:r>
    </w:p>
    <w:bookmarkEnd w:id="733"/>
    <w:p w14:paraId="0628CB3B">
      <w:pPr>
        <w:pStyle w:val="55"/>
        <w:bidi w:val="0"/>
        <w:rPr>
          <w:color w:val="auto"/>
          <w:lang w:val="en-US" w:eastAsia="zh-CN"/>
        </w:rPr>
      </w:pPr>
      <w:r>
        <w:rPr>
          <w:color w:val="auto"/>
          <w:lang w:val="en-US" w:eastAsia="zh-CN"/>
        </w:rPr>
        <w:t>6.</w:t>
      </w:r>
      <w:r>
        <w:rPr>
          <w:rFonts w:hint="eastAsia"/>
          <w:color w:val="auto"/>
          <w:lang w:val="en-US" w:eastAsia="zh-CN"/>
        </w:rPr>
        <w:t>1</w:t>
      </w:r>
      <w:r>
        <w:rPr>
          <w:color w:val="auto"/>
          <w:lang w:val="en-US" w:eastAsia="zh-CN"/>
        </w:rPr>
        <w:t>.</w:t>
      </w:r>
      <w:r>
        <w:rPr>
          <w:rFonts w:hint="eastAsia"/>
          <w:color w:val="auto"/>
          <w:lang w:val="en-US" w:eastAsia="zh-CN"/>
        </w:rPr>
        <w:t>1</w:t>
      </w:r>
      <w:r>
        <w:rPr>
          <w:color w:val="auto"/>
          <w:lang w:val="en-US" w:eastAsia="zh-CN"/>
        </w:rPr>
        <w:t>.</w:t>
      </w:r>
      <w:r>
        <w:rPr>
          <w:rFonts w:hint="eastAsia"/>
          <w:color w:val="auto"/>
          <w:lang w:val="en-US" w:eastAsia="zh-CN"/>
        </w:rPr>
        <w:t xml:space="preserve">8 </w:t>
      </w:r>
      <w:r>
        <w:rPr>
          <w:color w:val="auto"/>
          <w:lang w:val="en-US" w:eastAsia="zh-CN"/>
        </w:rPr>
        <w:t>其他生态保护措施要求</w:t>
      </w:r>
    </w:p>
    <w:p w14:paraId="0E20D271">
      <w:pPr>
        <w:pStyle w:val="79"/>
        <w:bidi w:val="0"/>
        <w:rPr>
          <w:rFonts w:hint="default"/>
          <w:color w:val="auto"/>
        </w:rPr>
      </w:pPr>
      <w:r>
        <w:rPr>
          <w:color w:val="auto"/>
        </w:rPr>
        <w:t>（</w:t>
      </w:r>
      <w:r>
        <w:rPr>
          <w:rFonts w:hint="default"/>
          <w:color w:val="auto"/>
        </w:rPr>
        <w:t>1）在工程施工过程中和施工结束后，及时对施工场地进行平整，以便自然植被后期自然恢复。</w:t>
      </w:r>
    </w:p>
    <w:p w14:paraId="4BB39696">
      <w:pPr>
        <w:pStyle w:val="79"/>
        <w:bidi w:val="0"/>
        <w:rPr>
          <w:rFonts w:hint="default"/>
          <w:color w:val="auto"/>
        </w:rPr>
      </w:pPr>
      <w:r>
        <w:rPr>
          <w:rFonts w:hint="default"/>
          <w:color w:val="auto"/>
        </w:rPr>
        <w:t>（2）加强施工期环境监理，委托专职人员承担生态监理。采用巡检监理的方式。监理的重点时段是管线施工期。监理的重点内容是：施工过程中表土分层堆放，施工结束后的草方格布置情况，野生动物保护，以及材料堆放、施工方式等环境保护内容。生态监理要求应落实在管线和站场工程项目承包招标书中。</w:t>
      </w:r>
    </w:p>
    <w:p w14:paraId="289B3344">
      <w:pPr>
        <w:pStyle w:val="79"/>
        <w:bidi w:val="0"/>
        <w:rPr>
          <w:rFonts w:hint="default"/>
          <w:color w:val="auto"/>
        </w:rPr>
      </w:pPr>
      <w:r>
        <w:rPr>
          <w:rFonts w:hint="default"/>
          <w:color w:val="auto"/>
        </w:rPr>
        <w:t>综上所述，本工程在施工期采取的生态环境影响减缓措施可行。</w:t>
      </w:r>
    </w:p>
    <w:p w14:paraId="0F812D10">
      <w:pPr>
        <w:pStyle w:val="55"/>
        <w:bidi w:val="0"/>
        <w:rPr>
          <w:color w:val="auto"/>
          <w:lang w:val="en-US" w:eastAsia="zh-CN"/>
        </w:rPr>
      </w:pPr>
      <w:bookmarkStart w:id="736" w:name="OLE_LINK295"/>
      <w:r>
        <w:rPr>
          <w:color w:val="auto"/>
          <w:lang w:val="en-US" w:eastAsia="zh-CN"/>
        </w:rPr>
        <w:t>6.</w:t>
      </w:r>
      <w:r>
        <w:rPr>
          <w:rFonts w:hint="eastAsia"/>
          <w:color w:val="auto"/>
          <w:lang w:val="en-US" w:eastAsia="zh-CN"/>
        </w:rPr>
        <w:t>1</w:t>
      </w:r>
      <w:r>
        <w:rPr>
          <w:color w:val="auto"/>
          <w:lang w:val="en-US" w:eastAsia="zh-CN"/>
        </w:rPr>
        <w:t>.</w:t>
      </w:r>
      <w:r>
        <w:rPr>
          <w:rFonts w:hint="eastAsia"/>
          <w:color w:val="auto"/>
          <w:lang w:val="en-US" w:eastAsia="zh-CN"/>
        </w:rPr>
        <w:t>1</w:t>
      </w:r>
      <w:r>
        <w:rPr>
          <w:color w:val="auto"/>
          <w:lang w:val="en-US" w:eastAsia="zh-CN"/>
        </w:rPr>
        <w:t>.</w:t>
      </w:r>
      <w:r>
        <w:rPr>
          <w:rFonts w:hint="eastAsia"/>
          <w:color w:val="auto"/>
          <w:lang w:val="en-US" w:eastAsia="zh-CN"/>
        </w:rPr>
        <w:t xml:space="preserve">9 </w:t>
      </w:r>
      <w:r>
        <w:rPr>
          <w:color w:val="auto"/>
          <w:lang w:val="en-US" w:eastAsia="zh-CN"/>
        </w:rPr>
        <w:t>生态保护工程的技术和经济可行性</w:t>
      </w:r>
    </w:p>
    <w:p w14:paraId="50636E7E">
      <w:pPr>
        <w:pStyle w:val="79"/>
        <w:bidi w:val="0"/>
        <w:rPr>
          <w:color w:val="auto"/>
          <w:lang w:val="en-GB"/>
        </w:rPr>
      </w:pPr>
      <w:r>
        <w:rPr>
          <w:color w:val="auto"/>
          <w:lang w:val="en-GB"/>
        </w:rPr>
        <w:t>本</w:t>
      </w:r>
      <w:r>
        <w:rPr>
          <w:rFonts w:hint="eastAsia"/>
          <w:color w:val="auto"/>
          <w:lang w:val="en-US" w:eastAsia="zh-CN"/>
        </w:rPr>
        <w:t>工程</w:t>
      </w:r>
      <w:r>
        <w:rPr>
          <w:color w:val="auto"/>
          <w:lang w:val="en-GB"/>
        </w:rPr>
        <w:t>永久占地</w:t>
      </w:r>
      <w:r>
        <w:rPr>
          <w:rFonts w:hint="eastAsia"/>
          <w:color w:val="auto"/>
          <w:lang w:val="en-US" w:eastAsia="zh-CN"/>
        </w:rPr>
        <w:t>主要为天然气牧草地</w:t>
      </w:r>
      <w:r>
        <w:rPr>
          <w:color w:val="auto"/>
          <w:lang w:val="en-GB"/>
        </w:rPr>
        <w:t>，征用的土地需按照自然资源部门的相关规定，支付一定的占地补偿费，具体数额由项目建设单位与当地政府商议确定。</w:t>
      </w:r>
    </w:p>
    <w:p w14:paraId="6BF2EDD3">
      <w:pPr>
        <w:pStyle w:val="79"/>
        <w:bidi w:val="0"/>
        <w:rPr>
          <w:color w:val="auto"/>
          <w:lang w:val="en-GB"/>
        </w:rPr>
      </w:pPr>
      <w:r>
        <w:rPr>
          <w:color w:val="auto"/>
          <w:lang w:val="en-GB"/>
        </w:rPr>
        <w:t>本</w:t>
      </w:r>
      <w:r>
        <w:rPr>
          <w:rFonts w:hint="eastAsia"/>
          <w:color w:val="auto"/>
          <w:lang w:val="en-US" w:eastAsia="zh-CN"/>
        </w:rPr>
        <w:t>工程施工期</w:t>
      </w:r>
      <w:r>
        <w:rPr>
          <w:color w:val="auto"/>
          <w:lang w:val="en-GB"/>
        </w:rPr>
        <w:t>要严格遵守国家和地方有关野生动物保护、水土保持法、防沙治沙等法律法规。主要采取以下生态保护措施，这些措施对于减少地表破坏，减缓水土流失，抑制荒漠化发展起到了一定的积极作用。</w:t>
      </w:r>
    </w:p>
    <w:p w14:paraId="16F25002">
      <w:pPr>
        <w:pStyle w:val="79"/>
        <w:bidi w:val="0"/>
        <w:rPr>
          <w:color w:val="auto"/>
          <w:lang w:val="en-GB"/>
        </w:rPr>
      </w:pPr>
      <w:r>
        <w:rPr>
          <w:color w:val="auto"/>
          <w:lang w:val="en-GB"/>
        </w:rPr>
        <w:t>——对</w:t>
      </w:r>
      <w:r>
        <w:rPr>
          <w:rFonts w:hint="eastAsia"/>
          <w:color w:val="auto"/>
          <w:lang w:val="en-US" w:eastAsia="zh-CN"/>
        </w:rPr>
        <w:t>油田</w:t>
      </w:r>
      <w:r>
        <w:rPr>
          <w:color w:val="auto"/>
          <w:lang w:val="en-GB"/>
        </w:rPr>
        <w:t>的永久性占地合理规划，严格控制占地面积。</w:t>
      </w:r>
    </w:p>
    <w:p w14:paraId="5AC23D5D">
      <w:pPr>
        <w:pStyle w:val="79"/>
        <w:bidi w:val="0"/>
        <w:rPr>
          <w:color w:val="auto"/>
          <w:lang w:val="en-GB"/>
        </w:rPr>
      </w:pPr>
      <w:r>
        <w:rPr>
          <w:color w:val="auto"/>
          <w:lang w:val="en-GB"/>
        </w:rPr>
        <w:t>——按设计标准规定，严格控制施工作业带（开挖）面积，</w:t>
      </w:r>
      <w:r>
        <w:rPr>
          <w:rFonts w:hint="eastAsia"/>
          <w:color w:val="auto"/>
          <w:lang w:val="en-US" w:eastAsia="zh-CN"/>
        </w:rPr>
        <w:t>油田</w:t>
      </w:r>
      <w:r>
        <w:rPr>
          <w:color w:val="auto"/>
          <w:lang w:val="en-GB"/>
        </w:rPr>
        <w:t>内管线敷设施工宽度控制在设计标准范围内，并尽量沿道路纵向平行布设。以减少地表破坏，减少土方的暴露面积。</w:t>
      </w:r>
    </w:p>
    <w:p w14:paraId="49659712">
      <w:pPr>
        <w:pStyle w:val="79"/>
        <w:bidi w:val="0"/>
        <w:rPr>
          <w:color w:val="auto"/>
          <w:lang w:val="en-GB"/>
        </w:rPr>
      </w:pPr>
      <w:r>
        <w:rPr>
          <w:color w:val="auto"/>
          <w:lang w:val="en-GB"/>
        </w:rPr>
        <w:t>——施工作业尽量利用原有公路，沿已有车辙行驶，若无原有公路，严格执行先修路，后开钻的原则进行。杜绝车辆乱碾乱轧的情况发生。不随意开设便道。</w:t>
      </w:r>
    </w:p>
    <w:p w14:paraId="0EAFE6D7">
      <w:pPr>
        <w:pStyle w:val="79"/>
        <w:bidi w:val="0"/>
        <w:rPr>
          <w:color w:val="auto"/>
          <w:lang w:val="en-GB"/>
        </w:rPr>
      </w:pPr>
      <w:r>
        <w:rPr>
          <w:color w:val="auto"/>
          <w:lang w:val="en-GB"/>
        </w:rPr>
        <w:t>——施工</w:t>
      </w:r>
      <w:r>
        <w:rPr>
          <w:rFonts w:hint="eastAsia"/>
          <w:color w:val="auto"/>
          <w:lang w:val="en-GB" w:eastAsia="zh-CN"/>
        </w:rPr>
        <w:t>机械</w:t>
      </w:r>
      <w:r>
        <w:rPr>
          <w:color w:val="auto"/>
          <w:lang w:val="en-GB"/>
        </w:rPr>
        <w:t>不得在</w:t>
      </w:r>
      <w:r>
        <w:rPr>
          <w:rFonts w:hint="eastAsia"/>
          <w:color w:val="auto"/>
          <w:lang w:val="en-US" w:eastAsia="zh-CN"/>
        </w:rPr>
        <w:t>规定范围</w:t>
      </w:r>
      <w:r>
        <w:rPr>
          <w:color w:val="auto"/>
          <w:lang w:val="en-GB"/>
        </w:rPr>
        <w:t>以外的行驶和作业，保持地表不被扰动。</w:t>
      </w:r>
    </w:p>
    <w:p w14:paraId="03762E1E">
      <w:pPr>
        <w:pStyle w:val="79"/>
        <w:bidi w:val="0"/>
        <w:rPr>
          <w:color w:val="auto"/>
          <w:lang w:val="en-GB"/>
        </w:rPr>
      </w:pPr>
      <w:r>
        <w:rPr>
          <w:color w:val="auto"/>
          <w:lang w:val="en-GB"/>
        </w:rPr>
        <w:t>——施工作业结束后，应考虑防风固沙。</w:t>
      </w:r>
    </w:p>
    <w:p w14:paraId="149F4463">
      <w:pPr>
        <w:pStyle w:val="79"/>
        <w:bidi w:val="0"/>
        <w:rPr>
          <w:color w:val="auto"/>
          <w:lang w:val="en-GB"/>
        </w:rPr>
      </w:pPr>
      <w:r>
        <w:rPr>
          <w:color w:val="auto"/>
          <w:lang w:val="en-GB"/>
        </w:rPr>
        <w:t>——在道路边、</w:t>
      </w:r>
      <w:r>
        <w:rPr>
          <w:rFonts w:hint="eastAsia"/>
          <w:color w:val="auto"/>
          <w:lang w:val="en-GB" w:eastAsia="zh-CN"/>
        </w:rPr>
        <w:t>油田</w:t>
      </w:r>
      <w:r>
        <w:rPr>
          <w:color w:val="auto"/>
          <w:lang w:val="en-GB"/>
        </w:rPr>
        <w:t>区，设置“保护生态环境、保护野生动植物”等警示牌，并从管理上对作业人员加强宣传教育，切实提高保护作业区生态环境的意识。</w:t>
      </w:r>
    </w:p>
    <w:p w14:paraId="67B368D1">
      <w:pPr>
        <w:pStyle w:val="79"/>
        <w:bidi w:val="0"/>
        <w:rPr>
          <w:color w:val="auto"/>
          <w:lang w:val="en-GB"/>
        </w:rPr>
      </w:pPr>
      <w:r>
        <w:rPr>
          <w:color w:val="auto"/>
          <w:lang w:val="en-GB"/>
        </w:rPr>
        <w:t>管道施工通常只有几个月，施工结束后受损植被可逐渐恢复，采取一些人工恢复措施后，受损生物量基本可以全部恢复。评价范围内，野生植物和野生动物大多是新疆地区的常见种，工程对野生植物和野生动物影响较小。在采取以上措施后，类比本区域已开发工程所采取的环保措施可知，项目的生态保护措施是可行的。</w:t>
      </w:r>
    </w:p>
    <w:bookmarkEnd w:id="736"/>
    <w:p w14:paraId="0151CA6E">
      <w:pPr>
        <w:pStyle w:val="54"/>
        <w:bidi w:val="0"/>
        <w:rPr>
          <w:color w:val="auto"/>
          <w:lang w:val="en-US" w:eastAsia="zh-CN"/>
        </w:rPr>
      </w:pPr>
      <w:bookmarkStart w:id="737" w:name="OLE_LINK296"/>
      <w:r>
        <w:rPr>
          <w:color w:val="auto"/>
          <w:lang w:val="en-US" w:eastAsia="zh-CN"/>
        </w:rPr>
        <w:t>6.</w:t>
      </w:r>
      <w:r>
        <w:rPr>
          <w:rFonts w:hint="eastAsia"/>
          <w:color w:val="auto"/>
          <w:lang w:val="en-US" w:eastAsia="zh-CN"/>
        </w:rPr>
        <w:t>1.2 运营期</w:t>
      </w:r>
      <w:r>
        <w:rPr>
          <w:color w:val="auto"/>
          <w:lang w:val="en-US" w:eastAsia="zh-CN"/>
        </w:rPr>
        <w:t>生态保护措施</w:t>
      </w:r>
    </w:p>
    <w:p w14:paraId="3445ED37">
      <w:pPr>
        <w:pStyle w:val="79"/>
        <w:bidi w:val="0"/>
        <w:rPr>
          <w:color w:val="auto"/>
        </w:rPr>
      </w:pPr>
      <w:r>
        <w:rPr>
          <w:color w:val="auto"/>
        </w:rPr>
        <w:t>（1）监督和管理措施</w:t>
      </w:r>
    </w:p>
    <w:p w14:paraId="7EAB62C9">
      <w:pPr>
        <w:pStyle w:val="79"/>
        <w:bidi w:val="0"/>
        <w:rPr>
          <w:color w:val="auto"/>
        </w:rPr>
      </w:pPr>
      <w:r>
        <w:rPr>
          <w:rFonts w:hint="eastAsia"/>
          <w:color w:val="auto"/>
          <w:lang w:val="en-US" w:eastAsia="zh-CN"/>
        </w:rPr>
        <w:t>1）</w:t>
      </w:r>
      <w:r>
        <w:rPr>
          <w:color w:val="auto"/>
        </w:rPr>
        <w:t>针对</w:t>
      </w:r>
      <w:r>
        <w:rPr>
          <w:rFonts w:hint="eastAsia"/>
          <w:color w:val="auto"/>
          <w:lang w:eastAsia="zh-CN"/>
        </w:rPr>
        <w:t>本工程</w:t>
      </w:r>
      <w:r>
        <w:rPr>
          <w:color w:val="auto"/>
        </w:rPr>
        <w:t>的建设，</w:t>
      </w:r>
      <w:r>
        <w:rPr>
          <w:rFonts w:hint="eastAsia"/>
          <w:color w:val="auto"/>
          <w:lang w:val="en-US" w:eastAsia="zh-CN"/>
        </w:rPr>
        <w:t>中国石油天然气股份有限公司塔里木油田分公司</w:t>
      </w:r>
      <w:r>
        <w:rPr>
          <w:rFonts w:hint="eastAsia"/>
          <w:color w:val="auto"/>
        </w:rPr>
        <w:t>安全环保部</w:t>
      </w:r>
      <w:r>
        <w:rPr>
          <w:color w:val="auto"/>
        </w:rPr>
        <w:t>负责工程建设及运营期间对生态环境的保护工作，落实</w:t>
      </w:r>
      <w:r>
        <w:rPr>
          <w:rFonts w:hint="eastAsia"/>
          <w:color w:val="auto"/>
          <w:lang w:eastAsia="zh-CN"/>
        </w:rPr>
        <w:t>本工程</w:t>
      </w:r>
      <w:r>
        <w:rPr>
          <w:color w:val="auto"/>
        </w:rPr>
        <w:t>环保措施的实施并与各施工单位</w:t>
      </w:r>
      <w:r>
        <w:rPr>
          <w:rFonts w:hint="eastAsia"/>
          <w:color w:val="auto"/>
          <w:lang w:eastAsia="zh-CN"/>
        </w:rPr>
        <w:t>签订</w:t>
      </w:r>
      <w:r>
        <w:rPr>
          <w:color w:val="auto"/>
        </w:rPr>
        <w:t>详细的环境保护协议，明确各方的责任以及奖惩规定。</w:t>
      </w:r>
    </w:p>
    <w:p w14:paraId="348100A8">
      <w:pPr>
        <w:pStyle w:val="79"/>
        <w:bidi w:val="0"/>
        <w:rPr>
          <w:color w:val="auto"/>
        </w:rPr>
      </w:pPr>
      <w:r>
        <w:rPr>
          <w:rFonts w:hint="eastAsia"/>
          <w:color w:val="auto"/>
          <w:lang w:val="en-US" w:eastAsia="zh-CN"/>
        </w:rPr>
        <w:t>2）</w:t>
      </w:r>
      <w:r>
        <w:rPr>
          <w:color w:val="auto"/>
        </w:rPr>
        <w:t>选择信誉良好、素质较高的施工队伍，保证工程建设的质量，避免因质量问题对环境带来不利影响；同时，通过培训和发放宣传手册强化施工人员的环境保护意识，明确施工人员的行为和奖惩制度。</w:t>
      </w:r>
    </w:p>
    <w:p w14:paraId="15E24ECD">
      <w:pPr>
        <w:pStyle w:val="79"/>
        <w:bidi w:val="0"/>
        <w:rPr>
          <w:color w:val="auto"/>
        </w:rPr>
      </w:pPr>
      <w:r>
        <w:rPr>
          <w:rFonts w:hint="eastAsia"/>
          <w:color w:val="auto"/>
          <w:lang w:val="en-US" w:eastAsia="zh-CN"/>
        </w:rPr>
        <w:t>3）</w:t>
      </w:r>
      <w:r>
        <w:rPr>
          <w:color w:val="auto"/>
        </w:rPr>
        <w:t>针对已经发生的破坏生态环境的问题必须认真</w:t>
      </w:r>
      <w:r>
        <w:rPr>
          <w:rFonts w:hint="eastAsia"/>
          <w:color w:val="auto"/>
          <w:lang w:eastAsia="zh-CN"/>
        </w:rPr>
        <w:t>及</w:t>
      </w:r>
      <w:r>
        <w:rPr>
          <w:color w:val="auto"/>
        </w:rPr>
        <w:t>时</w:t>
      </w:r>
      <w:r>
        <w:rPr>
          <w:rFonts w:hint="eastAsia"/>
          <w:color w:val="auto"/>
          <w:lang w:eastAsia="zh-CN"/>
        </w:rPr>
        <w:t>地</w:t>
      </w:r>
      <w:r>
        <w:rPr>
          <w:color w:val="auto"/>
        </w:rPr>
        <w:t>解决，并对正在和即将建设的工程提出具体、可行的整改和防治措施。</w:t>
      </w:r>
    </w:p>
    <w:p w14:paraId="725B065A">
      <w:pPr>
        <w:pStyle w:val="79"/>
        <w:bidi w:val="0"/>
        <w:rPr>
          <w:color w:val="auto"/>
        </w:rPr>
      </w:pPr>
      <w:r>
        <w:rPr>
          <w:color w:val="auto"/>
        </w:rPr>
        <w:t>（2）运营期生态</w:t>
      </w:r>
      <w:r>
        <w:rPr>
          <w:rFonts w:hint="eastAsia"/>
          <w:color w:val="auto"/>
          <w:lang w:val="en-US" w:eastAsia="zh-CN"/>
        </w:rPr>
        <w:t>恢复</w:t>
      </w:r>
      <w:r>
        <w:rPr>
          <w:color w:val="auto"/>
        </w:rPr>
        <w:t>措施</w:t>
      </w:r>
    </w:p>
    <w:p w14:paraId="33181B9D">
      <w:pPr>
        <w:pStyle w:val="79"/>
        <w:bidi w:val="0"/>
        <w:rPr>
          <w:color w:val="auto"/>
        </w:rPr>
      </w:pPr>
      <w:r>
        <w:rPr>
          <w:rFonts w:hint="eastAsia"/>
          <w:color w:val="auto"/>
        </w:rPr>
        <w:t>工程实施后，</w:t>
      </w:r>
      <w:r>
        <w:rPr>
          <w:rFonts w:hint="eastAsia"/>
          <w:color w:val="auto"/>
          <w:lang w:val="en-US" w:eastAsia="zh-CN"/>
        </w:rPr>
        <w:t>运营期</w:t>
      </w:r>
      <w:r>
        <w:rPr>
          <w:rFonts w:hint="eastAsia"/>
          <w:color w:val="auto"/>
        </w:rPr>
        <w:t>生态恢复措施以保持和维持施工期结束时采取的措施为主，同时需处理施工期遗留问题。</w:t>
      </w:r>
    </w:p>
    <w:p w14:paraId="1EB087D0">
      <w:pPr>
        <w:pStyle w:val="79"/>
        <w:bidi w:val="0"/>
        <w:rPr>
          <w:color w:val="auto"/>
        </w:rPr>
      </w:pPr>
      <w:r>
        <w:rPr>
          <w:rFonts w:hint="eastAsia"/>
          <w:color w:val="auto"/>
          <w:lang w:val="en-US" w:eastAsia="zh-CN"/>
        </w:rPr>
        <w:t>1）</w:t>
      </w:r>
      <w:r>
        <w:rPr>
          <w:color w:val="auto"/>
        </w:rPr>
        <w:t>在道路边、</w:t>
      </w:r>
      <w:r>
        <w:rPr>
          <w:rFonts w:hint="eastAsia"/>
          <w:color w:val="auto"/>
          <w:lang w:val="en-US" w:eastAsia="zh-CN"/>
        </w:rPr>
        <w:t>油田</w:t>
      </w:r>
      <w:r>
        <w:rPr>
          <w:color w:val="auto"/>
        </w:rPr>
        <w:t>区，设置“保护生态环境、保护野生动植物”等警示牌，并从管理上对作业人员加强宣传教育，切实提高保护生态环境的意识。</w:t>
      </w:r>
    </w:p>
    <w:p w14:paraId="5A67C7B4">
      <w:pPr>
        <w:pStyle w:val="79"/>
        <w:bidi w:val="0"/>
        <w:rPr>
          <w:color w:val="auto"/>
        </w:rPr>
      </w:pPr>
      <w:r>
        <w:rPr>
          <w:rFonts w:hint="eastAsia"/>
          <w:color w:val="auto"/>
          <w:lang w:val="en-US" w:eastAsia="zh-CN"/>
        </w:rPr>
        <w:t>2）</w:t>
      </w:r>
      <w:r>
        <w:rPr>
          <w:color w:val="auto"/>
        </w:rPr>
        <w:t>加强对管线、设备的管理和检查，及时发现问题，及时解决，防止泄漏事故的发生；对泄漏的落地油应及时清理，彻底回收，防止污染扩大蔓延。</w:t>
      </w:r>
    </w:p>
    <w:p w14:paraId="62D6926F">
      <w:pPr>
        <w:pStyle w:val="79"/>
        <w:bidi w:val="0"/>
        <w:rPr>
          <w:color w:val="auto"/>
        </w:rPr>
      </w:pPr>
      <w:r>
        <w:rPr>
          <w:rFonts w:hint="eastAsia"/>
          <w:color w:val="auto"/>
          <w:lang w:val="en-US" w:eastAsia="zh-CN"/>
        </w:rPr>
        <w:t>3）</w:t>
      </w:r>
      <w:r>
        <w:rPr>
          <w:color w:val="auto"/>
        </w:rPr>
        <w:t>在管线上方设置标志，以防附近的各类施工活动对管线的破坏。定期检查管线，如发生管线老化，接口断裂，及时更换管线。对于事故情况下造成的油外泄事故一要</w:t>
      </w:r>
      <w:r>
        <w:rPr>
          <w:rFonts w:hint="eastAsia"/>
          <w:color w:val="auto"/>
          <w:lang w:eastAsia="zh-CN"/>
        </w:rPr>
        <w:t>做好防护</w:t>
      </w:r>
      <w:r>
        <w:rPr>
          <w:color w:val="auto"/>
        </w:rPr>
        <w:t>，二要及时控制扩散面积并回收外泄油。</w:t>
      </w:r>
    </w:p>
    <w:p w14:paraId="1DDF2ADA">
      <w:pPr>
        <w:pStyle w:val="79"/>
        <w:bidi w:val="0"/>
        <w:rPr>
          <w:color w:val="auto"/>
        </w:rPr>
      </w:pPr>
      <w:r>
        <w:rPr>
          <w:rFonts w:hint="eastAsia"/>
          <w:color w:val="auto"/>
          <w:lang w:val="en-US" w:eastAsia="zh-CN"/>
        </w:rPr>
        <w:t>4）</w:t>
      </w:r>
      <w:r>
        <w:rPr>
          <w:color w:val="auto"/>
        </w:rPr>
        <w:t>加强日常生产监督管理和安全运行检查工作，制定安全生产操作规程，加强职工安全意识教育和安全生产技术培训。一旦发现事故，及时采取相应补救措施，尽量减少影响和损失。</w:t>
      </w:r>
    </w:p>
    <w:p w14:paraId="46AFD476">
      <w:pPr>
        <w:pStyle w:val="79"/>
        <w:bidi w:val="0"/>
        <w:rPr>
          <w:color w:val="auto"/>
        </w:rPr>
      </w:pPr>
      <w:r>
        <w:rPr>
          <w:rFonts w:hint="eastAsia"/>
          <w:color w:val="auto"/>
          <w:lang w:val="en-US" w:eastAsia="zh-CN"/>
        </w:rPr>
        <w:t>5）</w:t>
      </w:r>
      <w:r>
        <w:rPr>
          <w:color w:val="auto"/>
        </w:rPr>
        <w:t>定时巡查</w:t>
      </w:r>
      <w:r>
        <w:rPr>
          <w:rFonts w:hint="eastAsia"/>
          <w:color w:val="auto"/>
          <w:lang w:val="en-US" w:eastAsia="zh-CN"/>
        </w:rPr>
        <w:t>站场</w:t>
      </w:r>
      <w:r>
        <w:rPr>
          <w:color w:val="auto"/>
        </w:rPr>
        <w:t>、管线等，及时清理落地油，降低土壤污染。</w:t>
      </w:r>
    </w:p>
    <w:p w14:paraId="14AA0B90">
      <w:pPr>
        <w:pStyle w:val="79"/>
        <w:bidi w:val="0"/>
        <w:rPr>
          <w:color w:val="auto"/>
        </w:rPr>
      </w:pPr>
      <w:r>
        <w:rPr>
          <w:rFonts w:hint="eastAsia"/>
          <w:color w:val="auto"/>
          <w:lang w:val="en-US" w:eastAsia="zh-CN"/>
        </w:rPr>
        <w:t>6）</w:t>
      </w:r>
      <w:r>
        <w:rPr>
          <w:rFonts w:hint="eastAsia"/>
          <w:color w:val="auto"/>
        </w:rPr>
        <w:t>及时做好</w:t>
      </w:r>
      <w:r>
        <w:rPr>
          <w:rFonts w:hint="eastAsia"/>
          <w:color w:val="auto"/>
          <w:lang w:val="en-US" w:eastAsia="zh-CN"/>
        </w:rPr>
        <w:t>站场</w:t>
      </w:r>
      <w:r>
        <w:rPr>
          <w:rFonts w:hint="eastAsia"/>
          <w:color w:val="auto"/>
        </w:rPr>
        <w:t>清理平整工作，填平、覆土、压实。</w:t>
      </w:r>
    </w:p>
    <w:p w14:paraId="3ED29C5C">
      <w:pPr>
        <w:pStyle w:val="79"/>
        <w:bidi w:val="0"/>
        <w:rPr>
          <w:color w:val="auto"/>
        </w:rPr>
      </w:pPr>
      <w:r>
        <w:rPr>
          <w:rFonts w:hint="eastAsia"/>
          <w:color w:val="auto"/>
          <w:lang w:val="en-US" w:eastAsia="zh-CN"/>
        </w:rPr>
        <w:t>7）站场</w:t>
      </w:r>
      <w:r>
        <w:rPr>
          <w:rFonts w:hint="eastAsia"/>
          <w:color w:val="auto"/>
        </w:rPr>
        <w:t>、管线施工完毕，进行施工迹地的恢复和平整。</w:t>
      </w:r>
    </w:p>
    <w:p w14:paraId="19B29357">
      <w:pPr>
        <w:pStyle w:val="79"/>
        <w:bidi w:val="0"/>
        <w:rPr>
          <w:color w:val="auto"/>
        </w:rPr>
      </w:pPr>
      <w:r>
        <w:rPr>
          <w:rFonts w:hint="eastAsia"/>
          <w:color w:val="auto"/>
        </w:rPr>
        <w:t>通过采取以上措施，</w:t>
      </w:r>
      <w:r>
        <w:rPr>
          <w:rFonts w:hint="eastAsia"/>
          <w:color w:val="auto"/>
          <w:lang w:eastAsia="zh-CN"/>
        </w:rPr>
        <w:t>本工程</w:t>
      </w:r>
      <w:r>
        <w:rPr>
          <w:rFonts w:hint="eastAsia"/>
          <w:color w:val="auto"/>
        </w:rPr>
        <w:t>永久占地面积可得到有效控制，临时占地可得到及时恢复。</w:t>
      </w:r>
    </w:p>
    <w:bookmarkEnd w:id="737"/>
    <w:p w14:paraId="1637DE36">
      <w:pPr>
        <w:pStyle w:val="54"/>
        <w:bidi w:val="0"/>
        <w:rPr>
          <w:rFonts w:hint="eastAsia"/>
          <w:color w:val="auto"/>
          <w:lang w:eastAsia="zh-CN"/>
        </w:rPr>
      </w:pPr>
      <w:r>
        <w:rPr>
          <w:rFonts w:hint="default"/>
          <w:color w:val="auto"/>
        </w:rPr>
        <w:t>6</w:t>
      </w:r>
      <w:r>
        <w:rPr>
          <w:rFonts w:hint="eastAsia"/>
          <w:color w:val="auto"/>
          <w:lang w:val="en-US" w:eastAsia="zh-CN"/>
        </w:rPr>
        <w:t xml:space="preserve">.1.3 </w:t>
      </w:r>
      <w:r>
        <w:rPr>
          <w:rFonts w:hint="eastAsia"/>
          <w:color w:val="auto"/>
          <w:lang w:eastAsia="zh-CN"/>
        </w:rPr>
        <w:t>退役期</w:t>
      </w:r>
      <w:r>
        <w:rPr>
          <w:rFonts w:hint="default"/>
          <w:color w:val="auto"/>
        </w:rPr>
        <w:t>生态保护措施</w:t>
      </w:r>
    </w:p>
    <w:p w14:paraId="42BC5210">
      <w:pPr>
        <w:pStyle w:val="55"/>
        <w:bidi w:val="0"/>
        <w:rPr>
          <w:rFonts w:hint="default"/>
          <w:color w:val="auto"/>
          <w:lang w:val="en-US" w:eastAsia="zh-CN"/>
        </w:rPr>
      </w:pPr>
      <w:r>
        <w:rPr>
          <w:rFonts w:hint="eastAsia"/>
          <w:color w:val="auto"/>
          <w:lang w:val="en-US" w:eastAsia="zh-CN"/>
        </w:rPr>
        <w:t>6.1.3.1生态保护措施</w:t>
      </w:r>
    </w:p>
    <w:p w14:paraId="60CA9348">
      <w:pPr>
        <w:pStyle w:val="79"/>
        <w:bidi w:val="0"/>
        <w:rPr>
          <w:rFonts w:hint="default"/>
          <w:color w:val="auto"/>
          <w:lang w:eastAsia="zh-CN"/>
        </w:rPr>
      </w:pPr>
      <w:r>
        <w:rPr>
          <w:rFonts w:hint="default"/>
          <w:color w:val="auto"/>
        </w:rPr>
        <w:t>随着</w:t>
      </w:r>
      <w:r>
        <w:rPr>
          <w:rFonts w:hint="eastAsia"/>
          <w:color w:val="auto"/>
          <w:lang w:val="en-US" w:eastAsia="zh-CN"/>
        </w:rPr>
        <w:t>油井</w:t>
      </w:r>
      <w:r>
        <w:rPr>
          <w:rFonts w:hint="default"/>
          <w:color w:val="auto"/>
        </w:rPr>
        <w:t>开采时间的延长，其储量将逐年降低，最终进入</w:t>
      </w:r>
      <w:r>
        <w:rPr>
          <w:rFonts w:hint="eastAsia"/>
          <w:color w:val="auto"/>
          <w:lang w:eastAsia="zh-CN"/>
        </w:rPr>
        <w:t>退役期</w:t>
      </w:r>
      <w:r>
        <w:rPr>
          <w:rFonts w:hint="default"/>
          <w:color w:val="auto"/>
        </w:rPr>
        <w:t>。当开发接近尾声时，各种机械设备将停止使用，站场和管线等设备设施陆续被拆卸、转移，原有的大气污染物、噪声及固体废物等对环境的影响将会逐渐减弱甚至消失。</w:t>
      </w:r>
    </w:p>
    <w:p w14:paraId="185AF560">
      <w:pPr>
        <w:pStyle w:val="79"/>
        <w:bidi w:val="0"/>
        <w:rPr>
          <w:rFonts w:hint="default"/>
          <w:color w:val="auto"/>
        </w:rPr>
      </w:pPr>
      <w:r>
        <w:rPr>
          <w:rFonts w:hint="default"/>
          <w:color w:val="auto"/>
        </w:rPr>
        <w:t>（1）严格按照《废弃井封井回填技术指南（试行）》相关要求，拆除地面设施、清理井场等，拆除的报废设备和建筑废料等由建设单位进行回收处置。</w:t>
      </w:r>
    </w:p>
    <w:p w14:paraId="18A20190">
      <w:pPr>
        <w:pStyle w:val="79"/>
        <w:bidi w:val="0"/>
        <w:rPr>
          <w:rFonts w:hint="default"/>
          <w:color w:val="auto"/>
        </w:rPr>
      </w:pPr>
      <w:r>
        <w:rPr>
          <w:rFonts w:hint="default"/>
          <w:color w:val="auto"/>
        </w:rPr>
        <w:t>（2）对完成</w:t>
      </w:r>
      <w:r>
        <w:rPr>
          <w:rFonts w:hint="default"/>
          <w:color w:val="auto"/>
          <w:lang w:eastAsia="zh-CN"/>
        </w:rPr>
        <w:t>采油</w:t>
      </w:r>
      <w:r>
        <w:rPr>
          <w:rFonts w:hint="default"/>
          <w:color w:val="auto"/>
        </w:rPr>
        <w:t>的废弃井应封堵内井眼，拆除井口装置，截去地下1m内管头，清理场地，清除填埋各种固体废物，恢复原有地貌。</w:t>
      </w:r>
    </w:p>
    <w:p w14:paraId="7F6F8365">
      <w:pPr>
        <w:pStyle w:val="79"/>
        <w:bidi w:val="0"/>
        <w:rPr>
          <w:rFonts w:hint="default"/>
          <w:color w:val="auto"/>
        </w:rPr>
      </w:pPr>
      <w:r>
        <w:rPr>
          <w:rFonts w:hint="default"/>
          <w:color w:val="auto"/>
        </w:rPr>
        <w:t>（3）保证对各类废弃井采取的固井、封井措施有效可行，防止其发生油水层窜层，产生二次污染。</w:t>
      </w:r>
    </w:p>
    <w:p w14:paraId="33599404">
      <w:pPr>
        <w:pStyle w:val="79"/>
        <w:bidi w:val="0"/>
        <w:rPr>
          <w:rFonts w:hint="default"/>
          <w:color w:val="auto"/>
          <w:lang w:eastAsia="zh-CN"/>
        </w:rPr>
      </w:pPr>
      <w:r>
        <w:rPr>
          <w:rFonts w:hint="default"/>
          <w:color w:val="auto"/>
        </w:rPr>
        <w:t>（4）井场经过清理后，永久性占地范围内的水泥平台或砂砾石铺垫应进行清理，然后根据周边区域的自然现状对其进行恢复，使井场恢复到相对自然的一种状态。</w:t>
      </w:r>
    </w:p>
    <w:p w14:paraId="2A3015C9">
      <w:pPr>
        <w:pStyle w:val="79"/>
        <w:bidi w:val="0"/>
        <w:rPr>
          <w:rFonts w:hint="default"/>
          <w:color w:val="auto"/>
          <w:lang w:eastAsia="zh-CN"/>
        </w:rPr>
      </w:pPr>
      <w:r>
        <w:rPr>
          <w:rFonts w:hint="default"/>
          <w:color w:val="auto"/>
        </w:rPr>
        <w:t>（5）通过宣传教育的形式，使施工工作人员</w:t>
      </w:r>
      <w:r>
        <w:rPr>
          <w:rFonts w:hint="eastAsia"/>
          <w:color w:val="auto"/>
          <w:lang w:eastAsia="zh-CN"/>
        </w:rPr>
        <w:t>对</w:t>
      </w:r>
      <w:r>
        <w:rPr>
          <w:rFonts w:hint="default"/>
          <w:color w:val="auto"/>
        </w:rPr>
        <w:t>在项目区生存的野生动物及植物有基本的认识与了解。在</w:t>
      </w:r>
      <w:r>
        <w:rPr>
          <w:rFonts w:hint="eastAsia"/>
          <w:color w:val="auto"/>
          <w:lang w:eastAsia="zh-CN"/>
        </w:rPr>
        <w:t>退役期</w:t>
      </w:r>
      <w:r>
        <w:rPr>
          <w:rFonts w:hint="default"/>
          <w:color w:val="auto"/>
        </w:rPr>
        <w:t>施工过程中，如遇到保护植物应进行避让，严禁随意踩踏破坏；遇到保护动物时，应主动避让，不得惊扰、伤害野生动物，不得破坏保护动物的生息繁衍地，禁止妨碍野生动物生息繁衍的施工活动。</w:t>
      </w:r>
    </w:p>
    <w:p w14:paraId="04AFD578">
      <w:pPr>
        <w:pStyle w:val="79"/>
        <w:bidi w:val="0"/>
        <w:rPr>
          <w:rFonts w:hint="default"/>
          <w:color w:val="auto"/>
          <w:lang w:eastAsia="zh-CN"/>
        </w:rPr>
      </w:pPr>
      <w:r>
        <w:rPr>
          <w:rFonts w:hint="default"/>
          <w:color w:val="auto"/>
        </w:rPr>
        <w:t>（6）加强对《中华人民共和国野生动物保护法》及《中华人民共和国野生植物保护条例》的普及、教育工作，强化保护野生动植物的观念，让施工人员明确破坏保护植物，捕猎、杀害保护动物的法律后果，理解保护野生动植物的重要意义。</w:t>
      </w:r>
    </w:p>
    <w:p w14:paraId="091C424B">
      <w:pPr>
        <w:pStyle w:val="79"/>
        <w:bidi w:val="0"/>
        <w:rPr>
          <w:rFonts w:hint="default"/>
          <w:color w:val="auto"/>
        </w:rPr>
      </w:pPr>
      <w:r>
        <w:rPr>
          <w:rFonts w:hint="default"/>
          <w:color w:val="auto"/>
        </w:rPr>
        <w:t>通过采取以上生态保护措施，对于减少植被破坏、减缓水土流失、抵制荒漠化发展起到了一定的积极作用，可有效保护脆弱的荒漠生态环境。</w:t>
      </w:r>
    </w:p>
    <w:p w14:paraId="3E33A5A1">
      <w:pPr>
        <w:pStyle w:val="55"/>
        <w:bidi w:val="0"/>
        <w:rPr>
          <w:rFonts w:hint="default"/>
          <w:color w:val="auto"/>
        </w:rPr>
      </w:pPr>
      <w:bookmarkStart w:id="738" w:name="OLE_LINK382"/>
      <w:r>
        <w:rPr>
          <w:rFonts w:hint="default"/>
          <w:color w:val="auto"/>
        </w:rPr>
        <w:t>6.</w:t>
      </w:r>
      <w:r>
        <w:rPr>
          <w:rFonts w:hint="eastAsia"/>
          <w:color w:val="auto"/>
          <w:lang w:val="en-US" w:eastAsia="zh-CN"/>
        </w:rPr>
        <w:t xml:space="preserve">1.3.2 </w:t>
      </w:r>
      <w:r>
        <w:rPr>
          <w:rFonts w:hint="default"/>
          <w:color w:val="auto"/>
          <w:lang w:val="en-US" w:eastAsia="zh-CN"/>
        </w:rPr>
        <w:t>生态恢复治理方案</w:t>
      </w:r>
    </w:p>
    <w:p w14:paraId="44619393">
      <w:pPr>
        <w:pStyle w:val="79"/>
        <w:bidi w:val="0"/>
        <w:rPr>
          <w:color w:val="auto"/>
        </w:rPr>
      </w:pPr>
      <w:r>
        <w:rPr>
          <w:color w:val="auto"/>
        </w:rPr>
        <w:t>（1）生态环境保护与恢复治理的一般要求</w:t>
      </w:r>
    </w:p>
    <w:p w14:paraId="428E43B6">
      <w:pPr>
        <w:pStyle w:val="79"/>
        <w:bidi w:val="0"/>
        <w:rPr>
          <w:rFonts w:hint="eastAsia"/>
          <w:color w:val="auto"/>
          <w:lang w:eastAsia="zh-CN"/>
        </w:rPr>
      </w:pPr>
      <w:r>
        <w:rPr>
          <w:color w:val="auto"/>
        </w:rPr>
        <w:t>根据《矿山生态环境保护与恢复治理技术规范（试行）》（HJ651-2013）的相关要求，</w:t>
      </w:r>
      <w:r>
        <w:rPr>
          <w:rFonts w:hint="eastAsia"/>
          <w:color w:val="auto"/>
          <w:lang w:eastAsia="zh-CN"/>
        </w:rPr>
        <w:t>本工程</w:t>
      </w:r>
      <w:r>
        <w:rPr>
          <w:color w:val="auto"/>
        </w:rPr>
        <w:t>生态环境保护与恢复治理方案需遵循以下要求：</w:t>
      </w:r>
    </w:p>
    <w:p w14:paraId="58156777">
      <w:pPr>
        <w:pStyle w:val="79"/>
        <w:bidi w:val="0"/>
        <w:rPr>
          <w:color w:val="auto"/>
        </w:rPr>
      </w:pPr>
      <w:r>
        <w:rPr>
          <w:color w:val="auto"/>
        </w:rPr>
        <w:t>采取有效预防和保护措施，避免或减轻矿产资源开发活动造成的生态破坏和环境污染。坚持</w:t>
      </w:r>
      <w:r>
        <w:rPr>
          <w:rFonts w:hint="eastAsia"/>
          <w:color w:val="auto"/>
          <w:lang w:eastAsia="zh-CN"/>
        </w:rPr>
        <w:t>“</w:t>
      </w:r>
      <w:r>
        <w:rPr>
          <w:color w:val="auto"/>
        </w:rPr>
        <w:t>预防为主、防治结合、过程控制</w:t>
      </w:r>
      <w:r>
        <w:rPr>
          <w:rFonts w:hint="eastAsia"/>
          <w:color w:val="auto"/>
          <w:lang w:eastAsia="zh-CN"/>
        </w:rPr>
        <w:t>”</w:t>
      </w:r>
      <w:r>
        <w:rPr>
          <w:color w:val="auto"/>
        </w:rPr>
        <w:t>的原则，将生态环境保护与恢复治理贯穿开采的全过程。</w:t>
      </w:r>
    </w:p>
    <w:p w14:paraId="5868FF73">
      <w:pPr>
        <w:pStyle w:val="79"/>
        <w:bidi w:val="0"/>
        <w:rPr>
          <w:color w:val="auto"/>
        </w:rPr>
      </w:pPr>
      <w:r>
        <w:rPr>
          <w:rFonts w:hint="eastAsia"/>
          <w:color w:val="auto"/>
        </w:rPr>
        <w:t>根据</w:t>
      </w:r>
      <w:r>
        <w:rPr>
          <w:color w:val="auto"/>
        </w:rPr>
        <w:t>《陆上石油天然气开采业绿色矿山建设规范》（DZ/T317-2018）</w:t>
      </w:r>
      <w:r>
        <w:rPr>
          <w:rFonts w:hint="eastAsia"/>
          <w:color w:val="auto"/>
        </w:rPr>
        <w:t>中生态恢复要求，</w:t>
      </w:r>
      <w:r>
        <w:rPr>
          <w:rFonts w:hint="eastAsia"/>
          <w:color w:val="auto"/>
          <w:lang w:eastAsia="zh-CN"/>
        </w:rPr>
        <w:t>本工程</w:t>
      </w:r>
      <w:r>
        <w:rPr>
          <w:color w:val="auto"/>
        </w:rPr>
        <w:t>生态环境保护与恢复治理方案需遵循以下要求：</w:t>
      </w:r>
    </w:p>
    <w:p w14:paraId="34389EBF">
      <w:pPr>
        <w:pStyle w:val="79"/>
        <w:bidi w:val="0"/>
        <w:rPr>
          <w:color w:val="auto"/>
        </w:rPr>
      </w:pPr>
      <w:r>
        <w:rPr>
          <w:rFonts w:hint="eastAsia"/>
          <w:color w:val="auto"/>
          <w:lang w:val="en-US" w:eastAsia="zh-CN"/>
        </w:rPr>
        <w:t>1）</w:t>
      </w:r>
      <w:r>
        <w:rPr>
          <w:rFonts w:hint="eastAsia"/>
          <w:color w:val="auto"/>
        </w:rPr>
        <w:t>贯彻“边开采，边治理，边恢复”的原则，及时治理恢复生态环境。</w:t>
      </w:r>
    </w:p>
    <w:p w14:paraId="4C2F3D8F">
      <w:pPr>
        <w:pStyle w:val="79"/>
        <w:bidi w:val="0"/>
        <w:rPr>
          <w:color w:val="auto"/>
        </w:rPr>
      </w:pPr>
      <w:r>
        <w:rPr>
          <w:rFonts w:hint="eastAsia"/>
          <w:color w:val="auto"/>
          <w:lang w:val="en-US" w:eastAsia="zh-CN"/>
        </w:rPr>
        <w:t>2）</w:t>
      </w:r>
      <w:r>
        <w:rPr>
          <w:rFonts w:hint="eastAsia"/>
          <w:color w:val="auto"/>
        </w:rPr>
        <w:t>遵循矿区油气资源赋存状况、生态环境特征等条件，科学合理地确定开发方案，选择与油气藏类型相适应的先进开采技术和工艺，推广使用成熟、先进的技术装备，严禁使用国家明文规定的限制和淘汰的技术工艺及装备。</w:t>
      </w:r>
    </w:p>
    <w:p w14:paraId="1BD0CA40">
      <w:pPr>
        <w:pStyle w:val="79"/>
        <w:bidi w:val="0"/>
        <w:rPr>
          <w:color w:val="auto"/>
        </w:rPr>
      </w:pPr>
      <w:r>
        <w:rPr>
          <w:rFonts w:hint="eastAsia"/>
          <w:color w:val="auto"/>
          <w:lang w:val="en-US" w:eastAsia="zh-CN"/>
        </w:rPr>
        <w:t>3）</w:t>
      </w:r>
      <w:r>
        <w:rPr>
          <w:rFonts w:hint="eastAsia"/>
          <w:color w:val="auto"/>
        </w:rPr>
        <w:t>土地利用需符合用地指标政策。合理确定</w:t>
      </w:r>
      <w:r>
        <w:rPr>
          <w:rFonts w:hint="eastAsia"/>
          <w:color w:val="auto"/>
          <w:lang w:val="en-US" w:eastAsia="zh-CN"/>
        </w:rPr>
        <w:t>井场</w:t>
      </w:r>
      <w:r>
        <w:rPr>
          <w:rFonts w:hint="eastAsia"/>
          <w:color w:val="auto"/>
        </w:rPr>
        <w:t>场址、管网</w:t>
      </w:r>
      <w:r>
        <w:rPr>
          <w:rFonts w:hint="eastAsia"/>
          <w:color w:val="auto"/>
          <w:lang w:val="en-US" w:eastAsia="zh-CN"/>
        </w:rPr>
        <w:t>等</w:t>
      </w:r>
      <w:r>
        <w:rPr>
          <w:rFonts w:hint="eastAsia"/>
          <w:color w:val="auto"/>
        </w:rPr>
        <w:t>建设占地规模。</w:t>
      </w:r>
    </w:p>
    <w:p w14:paraId="2C8F288C">
      <w:pPr>
        <w:pStyle w:val="79"/>
        <w:bidi w:val="0"/>
        <w:rPr>
          <w:color w:val="auto"/>
        </w:rPr>
      </w:pPr>
      <w:r>
        <w:rPr>
          <w:color w:val="auto"/>
        </w:rPr>
        <w:t>（2）</w:t>
      </w:r>
      <w:r>
        <w:rPr>
          <w:rFonts w:hint="eastAsia"/>
          <w:color w:val="auto"/>
          <w:lang w:val="en-US" w:eastAsia="zh-CN"/>
        </w:rPr>
        <w:t>站场</w:t>
      </w:r>
      <w:r>
        <w:rPr>
          <w:color w:val="auto"/>
        </w:rPr>
        <w:t>生态恢复治理</w:t>
      </w:r>
    </w:p>
    <w:p w14:paraId="39A9023C">
      <w:pPr>
        <w:pStyle w:val="79"/>
        <w:bidi w:val="0"/>
        <w:rPr>
          <w:rFonts w:hint="eastAsia"/>
          <w:color w:val="auto"/>
          <w:lang w:eastAsia="zh-CN"/>
        </w:rPr>
      </w:pPr>
      <w:r>
        <w:rPr>
          <w:color w:val="auto"/>
        </w:rPr>
        <w:t>施工结束初期，对场站永久占地范围内的地表</w:t>
      </w:r>
      <w:r>
        <w:rPr>
          <w:rFonts w:hint="eastAsia"/>
          <w:color w:val="auto"/>
        </w:rPr>
        <w:t>进行戈壁土+砾石覆盖</w:t>
      </w:r>
      <w:r>
        <w:rPr>
          <w:color w:val="auto"/>
        </w:rPr>
        <w:t>，以减少风蚀量。</w:t>
      </w:r>
    </w:p>
    <w:p w14:paraId="0DC13B25">
      <w:pPr>
        <w:pStyle w:val="79"/>
        <w:bidi w:val="0"/>
        <w:rPr>
          <w:rFonts w:hint="eastAsia"/>
          <w:color w:val="auto"/>
          <w:lang w:eastAsia="zh-CN"/>
        </w:rPr>
      </w:pPr>
      <w:r>
        <w:rPr>
          <w:color w:val="auto"/>
        </w:rPr>
        <w:t>（3）管线生态恢复</w:t>
      </w:r>
    </w:p>
    <w:p w14:paraId="29FCCA44">
      <w:pPr>
        <w:pStyle w:val="79"/>
        <w:bidi w:val="0"/>
        <w:rPr>
          <w:rFonts w:hint="eastAsia"/>
          <w:color w:val="auto"/>
          <w:lang w:eastAsia="zh-CN"/>
        </w:rPr>
      </w:pPr>
      <w:r>
        <w:rPr>
          <w:rFonts w:hint="eastAsia"/>
          <w:color w:val="auto"/>
          <w:lang w:val="en-US" w:eastAsia="zh-CN"/>
        </w:rPr>
        <w:t>1）</w:t>
      </w:r>
      <w:r>
        <w:rPr>
          <w:color w:val="auto"/>
        </w:rPr>
        <w:t>管线生态恢复治理范围</w:t>
      </w:r>
    </w:p>
    <w:p w14:paraId="2A9F531D">
      <w:pPr>
        <w:pStyle w:val="79"/>
        <w:bidi w:val="0"/>
        <w:rPr>
          <w:rFonts w:hint="eastAsia"/>
          <w:color w:val="auto"/>
          <w:lang w:eastAsia="zh-CN"/>
        </w:rPr>
      </w:pPr>
      <w:r>
        <w:rPr>
          <w:color w:val="auto"/>
        </w:rPr>
        <w:t>管线施工扰动范围内需进行生态环境恢复治理。</w:t>
      </w:r>
    </w:p>
    <w:p w14:paraId="7A9819A8">
      <w:pPr>
        <w:pStyle w:val="79"/>
        <w:bidi w:val="0"/>
        <w:rPr>
          <w:rFonts w:hint="eastAsia"/>
          <w:color w:val="auto"/>
          <w:lang w:eastAsia="zh-CN"/>
        </w:rPr>
      </w:pPr>
      <w:r>
        <w:rPr>
          <w:rFonts w:hint="eastAsia"/>
          <w:color w:val="auto"/>
          <w:lang w:val="en-US" w:eastAsia="zh-CN"/>
        </w:rPr>
        <w:t>2）</w:t>
      </w:r>
      <w:r>
        <w:rPr>
          <w:color w:val="auto"/>
        </w:rPr>
        <w:t>生态环境恢复治理措施</w:t>
      </w:r>
    </w:p>
    <w:p w14:paraId="16D8878F">
      <w:pPr>
        <w:pStyle w:val="79"/>
        <w:bidi w:val="0"/>
        <w:rPr>
          <w:color w:val="auto"/>
        </w:rPr>
      </w:pPr>
      <w:r>
        <w:rPr>
          <w:color w:val="auto"/>
        </w:rPr>
        <w:t>管道施工作业带宽度控制在8m范围内，施工过程中保护土壤成分和结构，在管线敷设过程中，覆土压实，管沟回填后多余土方应作为管廊覆土，不得随意丢弃。</w:t>
      </w:r>
    </w:p>
    <w:p w14:paraId="4513F441">
      <w:pPr>
        <w:pStyle w:val="79"/>
        <w:bidi w:val="0"/>
        <w:rPr>
          <w:rFonts w:hint="eastAsia"/>
          <w:color w:val="auto"/>
          <w:lang w:eastAsia="zh-CN"/>
        </w:rPr>
      </w:pPr>
      <w:r>
        <w:rPr>
          <w:rFonts w:hint="eastAsia"/>
          <w:color w:val="auto"/>
        </w:rPr>
        <w:t>（4）植被恢复措施及恢复要求</w:t>
      </w:r>
    </w:p>
    <w:p w14:paraId="1662D0D6">
      <w:pPr>
        <w:pStyle w:val="79"/>
        <w:bidi w:val="0"/>
        <w:rPr>
          <w:rFonts w:hint="default"/>
          <w:color w:val="auto"/>
          <w:lang w:eastAsia="zh-CN"/>
        </w:rPr>
      </w:pPr>
      <w:r>
        <w:rPr>
          <w:rFonts w:hint="eastAsia"/>
          <w:color w:val="auto"/>
        </w:rPr>
        <w:t>工程施工结束后，按照林草部门要求进行恢复，植被类型应</w:t>
      </w:r>
      <w:r>
        <w:rPr>
          <w:rFonts w:hint="eastAsia"/>
          <w:color w:val="auto"/>
          <w:lang w:eastAsia="zh-CN"/>
        </w:rPr>
        <w:t>与</w:t>
      </w:r>
      <w:r>
        <w:rPr>
          <w:rFonts w:hint="eastAsia"/>
          <w:color w:val="auto"/>
        </w:rPr>
        <w:t>原有类型相似，并与周边自然景观协调，不得使用外来有害物种进行</w:t>
      </w:r>
      <w:r>
        <w:rPr>
          <w:rFonts w:hint="eastAsia"/>
          <w:color w:val="auto"/>
          <w:lang w:val="en-US" w:eastAsia="zh-CN"/>
        </w:rPr>
        <w:t>场地</w:t>
      </w:r>
      <w:r>
        <w:rPr>
          <w:rFonts w:hint="eastAsia"/>
          <w:color w:val="auto"/>
        </w:rPr>
        <w:t>植被恢复</w:t>
      </w:r>
      <w:r>
        <w:rPr>
          <w:rFonts w:hint="eastAsia"/>
          <w:color w:val="auto"/>
          <w:lang w:eastAsia="zh-CN"/>
        </w:rPr>
        <w:t>；</w:t>
      </w:r>
      <w:r>
        <w:rPr>
          <w:rFonts w:hint="eastAsia"/>
          <w:color w:val="auto"/>
          <w:lang w:val="en-US" w:eastAsia="zh-CN"/>
        </w:rPr>
        <w:t>植被生境较差的区域，采取草方格等措施进行辅助植被恢复</w:t>
      </w:r>
      <w:r>
        <w:rPr>
          <w:rFonts w:hint="default"/>
          <w:color w:val="auto"/>
          <w:lang w:eastAsia="zh-CN"/>
        </w:rPr>
        <w:t>。</w:t>
      </w:r>
    </w:p>
    <w:bookmarkEnd w:id="738"/>
    <w:p w14:paraId="1A33C051">
      <w:pPr>
        <w:pStyle w:val="75"/>
        <w:bidi w:val="0"/>
        <w:rPr>
          <w:rFonts w:hint="default"/>
          <w:color w:val="auto"/>
          <w:lang w:val="en-US" w:eastAsia="zh-CN"/>
        </w:rPr>
      </w:pPr>
      <w:bookmarkStart w:id="739" w:name="_Toc31391"/>
      <w:r>
        <w:rPr>
          <w:rFonts w:hint="eastAsia"/>
          <w:color w:val="auto"/>
          <w:lang w:val="en-US" w:eastAsia="zh-CN"/>
        </w:rPr>
        <w:t>6.2地下水环境保护措施可行性论证</w:t>
      </w:r>
      <w:bookmarkEnd w:id="739"/>
    </w:p>
    <w:p w14:paraId="6925400A">
      <w:pPr>
        <w:pStyle w:val="54"/>
        <w:bidi w:val="0"/>
        <w:rPr>
          <w:color w:val="auto"/>
          <w:lang w:val="en-US" w:eastAsia="zh-CN"/>
        </w:rPr>
      </w:pPr>
      <w:r>
        <w:rPr>
          <w:color w:val="auto"/>
          <w:lang w:val="en-US" w:eastAsia="zh-CN"/>
        </w:rPr>
        <w:t>6.</w:t>
      </w:r>
      <w:r>
        <w:rPr>
          <w:rFonts w:hint="eastAsia"/>
          <w:color w:val="auto"/>
          <w:lang w:val="en-US" w:eastAsia="zh-CN"/>
        </w:rPr>
        <w:t>2.1 施工期地下水环境保护措施</w:t>
      </w:r>
    </w:p>
    <w:p w14:paraId="14FAB8AD">
      <w:pPr>
        <w:pStyle w:val="79"/>
        <w:bidi w:val="0"/>
        <w:rPr>
          <w:rFonts w:hint="default"/>
          <w:color w:val="auto"/>
        </w:rPr>
      </w:pPr>
      <w:r>
        <w:rPr>
          <w:rFonts w:hint="default"/>
          <w:color w:val="auto"/>
        </w:rPr>
        <w:t>施工期产生的废水主要为管道试压废水和施工人员生活污水。</w:t>
      </w:r>
    </w:p>
    <w:p w14:paraId="3F2FB0DE">
      <w:pPr>
        <w:pStyle w:val="79"/>
        <w:bidi w:val="0"/>
        <w:rPr>
          <w:rFonts w:hint="default"/>
          <w:color w:val="auto"/>
        </w:rPr>
      </w:pPr>
      <w:r>
        <w:rPr>
          <w:rFonts w:hint="default"/>
          <w:color w:val="auto"/>
          <w:lang w:eastAsia="zh-CN"/>
        </w:rPr>
        <w:t>（</w:t>
      </w:r>
      <w:r>
        <w:rPr>
          <w:rFonts w:hint="default"/>
          <w:color w:val="auto"/>
          <w:lang w:val="en-US" w:eastAsia="zh-CN"/>
        </w:rPr>
        <w:t>1</w:t>
      </w:r>
      <w:r>
        <w:rPr>
          <w:rFonts w:hint="default"/>
          <w:color w:val="auto"/>
          <w:lang w:eastAsia="zh-CN"/>
        </w:rPr>
        <w:t>）</w:t>
      </w:r>
      <w:r>
        <w:rPr>
          <w:rFonts w:hint="default"/>
          <w:color w:val="auto"/>
        </w:rPr>
        <w:t>管道施工期间产生的废水主要为试压废水，主要污染物有SS。管道试压采用清洁水，试压作业分段进行，每段试压水排出后进入下一段管线循环使用，可减少水资源消耗。试压废水中主要污染物为悬浮物，试压结束后全部用于施工场地洒水抑尘，对项目区周边水环境没有不良影响。</w:t>
      </w:r>
    </w:p>
    <w:p w14:paraId="61560812">
      <w:pPr>
        <w:pStyle w:val="79"/>
        <w:bidi w:val="0"/>
        <w:rPr>
          <w:rFonts w:hint="default"/>
          <w:color w:val="auto"/>
        </w:rPr>
      </w:pPr>
      <w:r>
        <w:rPr>
          <w:rFonts w:hint="default"/>
          <w:color w:val="auto"/>
          <w:lang w:val="en-US" w:eastAsia="zh-CN"/>
        </w:rPr>
        <w:t>（2）施工期不设置施工营地。施工现场产生的少量生活污水依托雄探1试采点，雄探1试采点生活污水进入生活污水池，定期由罐车拉运至英买力作业区生活污水处理装置处置。</w:t>
      </w:r>
    </w:p>
    <w:p w14:paraId="2388ACB6">
      <w:pPr>
        <w:pStyle w:val="79"/>
        <w:bidi w:val="0"/>
        <w:rPr>
          <w:rFonts w:hint="default"/>
          <w:color w:val="auto"/>
        </w:rPr>
      </w:pPr>
      <w:r>
        <w:rPr>
          <w:rFonts w:hint="default"/>
          <w:color w:val="auto"/>
          <w:lang w:val="en-US" w:eastAsia="zh-CN"/>
        </w:rPr>
        <w:t>（3）</w:t>
      </w:r>
      <w:r>
        <w:rPr>
          <w:rFonts w:hint="default"/>
          <w:color w:val="auto"/>
        </w:rPr>
        <w:t>施工机械检修期间，地面应铺设塑料布，及时回收废机油，防止废油落地，污染土壤和地下水。</w:t>
      </w:r>
    </w:p>
    <w:p w14:paraId="11B47399">
      <w:pPr>
        <w:pStyle w:val="79"/>
        <w:bidi w:val="0"/>
        <w:rPr>
          <w:rFonts w:hint="default"/>
          <w:color w:val="auto"/>
          <w:lang w:val="en-US" w:eastAsia="zh-CN"/>
        </w:rPr>
      </w:pPr>
      <w:r>
        <w:rPr>
          <w:rFonts w:hint="eastAsia"/>
          <w:color w:val="auto"/>
          <w:lang w:val="en-US" w:eastAsia="zh-CN"/>
        </w:rPr>
        <w:t>（4）在管沟开挖过程中，工作人员需加强现场巡视，密切关注周围土体的变形情况以及坑槽内可能出现的涌水、涌砂和坑底土体的隆起反弹等现象。一旦发现问题，应立即停止开挖，并及时通知监理工程师共同处理。采用支撑、护壁等支护措施，严格控制开挖深度和坡度。固体废弃物临时堆弃地进行防水防渗等，不得使废液进入土壤和地下水。</w:t>
      </w:r>
    </w:p>
    <w:p w14:paraId="566D68CE">
      <w:pPr>
        <w:pStyle w:val="79"/>
        <w:bidi w:val="0"/>
        <w:rPr>
          <w:rFonts w:hint="default"/>
          <w:color w:val="auto"/>
          <w:lang w:val="en-US" w:eastAsia="zh-CN"/>
        </w:rPr>
      </w:pPr>
      <w:r>
        <w:rPr>
          <w:rFonts w:hint="default"/>
          <w:color w:val="auto"/>
          <w:lang w:val="en-US" w:eastAsia="zh-CN"/>
        </w:rPr>
        <w:t>（</w:t>
      </w:r>
      <w:r>
        <w:rPr>
          <w:rFonts w:hint="eastAsia"/>
          <w:color w:val="auto"/>
          <w:lang w:val="en-US" w:eastAsia="zh-CN"/>
        </w:rPr>
        <w:t>5</w:t>
      </w:r>
      <w:r>
        <w:rPr>
          <w:rFonts w:hint="default"/>
          <w:color w:val="auto"/>
          <w:lang w:val="en-US" w:eastAsia="zh-CN"/>
        </w:rPr>
        <w:t>）严格按照《油气输送管道穿越工程设计规范》（GB50423-2013）设计及施工，合理安排管道施工时序和施工工艺的情况。管道应埋设于最大冻土深度以下且应有足够的埋设深度。</w:t>
      </w:r>
    </w:p>
    <w:p w14:paraId="3A7D1798">
      <w:pPr>
        <w:pStyle w:val="79"/>
        <w:bidi w:val="0"/>
        <w:rPr>
          <w:color w:val="auto"/>
          <w:lang w:val="en-US" w:eastAsia="zh-CN"/>
        </w:rPr>
      </w:pPr>
      <w:r>
        <w:rPr>
          <w:rFonts w:hint="default"/>
          <w:color w:val="auto"/>
          <w:lang w:val="en-US" w:eastAsia="zh-CN"/>
        </w:rPr>
        <w:t>综上，本工程施工期采取的水污染防治措施可行。</w:t>
      </w:r>
    </w:p>
    <w:p w14:paraId="6BC7AEE6">
      <w:pPr>
        <w:pStyle w:val="54"/>
        <w:bidi w:val="0"/>
        <w:rPr>
          <w:color w:val="auto"/>
          <w:lang w:val="en-US" w:eastAsia="zh-CN"/>
        </w:rPr>
      </w:pPr>
      <w:r>
        <w:rPr>
          <w:color w:val="auto"/>
          <w:lang w:val="en-US" w:eastAsia="zh-CN"/>
        </w:rPr>
        <w:t>6.</w:t>
      </w:r>
      <w:r>
        <w:rPr>
          <w:rFonts w:hint="eastAsia"/>
          <w:color w:val="auto"/>
          <w:lang w:val="en-US" w:eastAsia="zh-CN"/>
        </w:rPr>
        <w:t>2</w:t>
      </w:r>
      <w:r>
        <w:rPr>
          <w:color w:val="auto"/>
          <w:lang w:val="en-US" w:eastAsia="zh-CN"/>
        </w:rPr>
        <w:t>.</w:t>
      </w:r>
      <w:r>
        <w:rPr>
          <w:rFonts w:hint="eastAsia"/>
          <w:color w:val="auto"/>
          <w:lang w:val="en-US" w:eastAsia="zh-CN"/>
        </w:rPr>
        <w:t>2 运营期地下水环境保护措施</w:t>
      </w:r>
    </w:p>
    <w:p w14:paraId="0C7FC060">
      <w:pPr>
        <w:pStyle w:val="55"/>
        <w:bidi w:val="0"/>
        <w:rPr>
          <w:rFonts w:hint="default"/>
          <w:color w:val="auto"/>
          <w:lang w:val="en-US" w:eastAsia="zh-CN"/>
        </w:rPr>
      </w:pPr>
      <w:r>
        <w:rPr>
          <w:rFonts w:hint="default"/>
          <w:color w:val="auto"/>
          <w:lang w:val="en-US" w:eastAsia="zh-CN"/>
        </w:rPr>
        <w:t>6.2.</w:t>
      </w:r>
      <w:r>
        <w:rPr>
          <w:rFonts w:hint="eastAsia"/>
          <w:color w:val="auto"/>
          <w:lang w:val="en-US" w:eastAsia="zh-CN"/>
        </w:rPr>
        <w:t>2</w:t>
      </w:r>
      <w:r>
        <w:rPr>
          <w:rFonts w:hint="default"/>
          <w:color w:val="auto"/>
          <w:lang w:val="en-US" w:eastAsia="zh-CN"/>
        </w:rPr>
        <w:t>.</w:t>
      </w:r>
      <w:r>
        <w:rPr>
          <w:rFonts w:hint="eastAsia"/>
          <w:color w:val="auto"/>
          <w:lang w:val="en-US" w:eastAsia="zh-CN"/>
        </w:rPr>
        <w:t>1</w:t>
      </w:r>
      <w:r>
        <w:rPr>
          <w:rFonts w:hint="default"/>
          <w:color w:val="auto"/>
          <w:lang w:val="en-US" w:eastAsia="zh-CN"/>
        </w:rPr>
        <w:t xml:space="preserve"> 井下作业废水</w:t>
      </w:r>
    </w:p>
    <w:p w14:paraId="481E680C">
      <w:pPr>
        <w:pStyle w:val="79"/>
        <w:bidi w:val="0"/>
        <w:rPr>
          <w:rFonts w:hint="default"/>
          <w:color w:val="auto"/>
          <w:lang w:eastAsia="zh-CN"/>
        </w:rPr>
      </w:pPr>
      <w:r>
        <w:rPr>
          <w:rFonts w:hint="default"/>
          <w:color w:val="auto"/>
          <w:lang w:eastAsia="zh-CN"/>
        </w:rPr>
        <w:t>运营期井下作业废水</w:t>
      </w:r>
      <w:r>
        <w:rPr>
          <w:rFonts w:hint="eastAsia"/>
          <w:color w:val="auto"/>
          <w:lang w:val="en-US" w:eastAsia="zh-CN"/>
        </w:rPr>
        <w:t>由</w:t>
      </w:r>
      <w:r>
        <w:rPr>
          <w:rFonts w:hint="default"/>
          <w:color w:val="auto"/>
          <w:lang w:eastAsia="zh-CN"/>
        </w:rPr>
        <w:t>自带回收罐回收，拉运至英买力油田钻试修废弃物环保处理站处理</w:t>
      </w:r>
      <w:r>
        <w:rPr>
          <w:rFonts w:hint="eastAsia"/>
          <w:color w:val="auto"/>
          <w:lang w:eastAsia="zh-CN"/>
        </w:rPr>
        <w:t>；</w:t>
      </w:r>
      <w:r>
        <w:rPr>
          <w:rFonts w:hint="default"/>
          <w:color w:val="auto"/>
          <w:lang w:eastAsia="zh-CN"/>
        </w:rPr>
        <w:t>生活污水暂存于生活污水池，定期由罐车拉运至英买力作业区生活污水处理装置处置。</w:t>
      </w:r>
    </w:p>
    <w:p w14:paraId="52733DB8">
      <w:pPr>
        <w:pStyle w:val="55"/>
        <w:bidi w:val="0"/>
        <w:rPr>
          <w:rFonts w:hint="eastAsia"/>
          <w:color w:val="auto"/>
          <w:lang w:val="en-US" w:eastAsia="zh-CN"/>
        </w:rPr>
      </w:pPr>
      <w:r>
        <w:rPr>
          <w:rFonts w:hint="eastAsia"/>
          <w:color w:val="auto"/>
          <w:lang w:val="en-US" w:eastAsia="zh-CN"/>
        </w:rPr>
        <w:t>6.2.2.2 生活污水</w:t>
      </w:r>
    </w:p>
    <w:p w14:paraId="730C7DA5">
      <w:pPr>
        <w:pStyle w:val="79"/>
        <w:bidi w:val="0"/>
        <w:rPr>
          <w:rFonts w:hint="default"/>
          <w:color w:val="auto"/>
          <w:lang w:val="en-US" w:eastAsia="zh-CN"/>
        </w:rPr>
      </w:pPr>
      <w:r>
        <w:rPr>
          <w:rFonts w:hint="default"/>
          <w:color w:val="auto"/>
          <w:lang w:val="en-US" w:eastAsia="zh-CN"/>
        </w:rPr>
        <w:t>生活污水暂存于生活污水池，定期由罐车拉运至英买力作业区生活污水处理装置处置。</w:t>
      </w:r>
    </w:p>
    <w:p w14:paraId="71BB3D95">
      <w:pPr>
        <w:pStyle w:val="55"/>
        <w:bidi w:val="0"/>
        <w:rPr>
          <w:rFonts w:hint="default"/>
          <w:color w:val="auto"/>
          <w:lang w:val="en-US" w:eastAsia="zh-CN"/>
        </w:rPr>
      </w:pPr>
      <w:r>
        <w:rPr>
          <w:rFonts w:hint="default"/>
          <w:color w:val="auto"/>
          <w:lang w:val="en-US" w:eastAsia="zh-CN"/>
        </w:rPr>
        <w:t>6.2.</w:t>
      </w:r>
      <w:r>
        <w:rPr>
          <w:rFonts w:hint="eastAsia"/>
          <w:color w:val="auto"/>
          <w:lang w:val="en-US" w:eastAsia="zh-CN"/>
        </w:rPr>
        <w:t>2</w:t>
      </w:r>
      <w:r>
        <w:rPr>
          <w:rFonts w:hint="default"/>
          <w:color w:val="auto"/>
          <w:lang w:val="en-US" w:eastAsia="zh-CN"/>
        </w:rPr>
        <w:t>.</w:t>
      </w:r>
      <w:r>
        <w:rPr>
          <w:rFonts w:hint="eastAsia"/>
          <w:color w:val="auto"/>
          <w:lang w:val="en-US" w:eastAsia="zh-CN"/>
        </w:rPr>
        <w:t>3</w:t>
      </w:r>
      <w:r>
        <w:rPr>
          <w:rFonts w:hint="default"/>
          <w:color w:val="auto"/>
          <w:lang w:val="en-US" w:eastAsia="zh-CN"/>
        </w:rPr>
        <w:t xml:space="preserve"> 站场防渗措施</w:t>
      </w:r>
    </w:p>
    <w:p w14:paraId="057CD8B4">
      <w:pPr>
        <w:pStyle w:val="79"/>
        <w:bidi w:val="0"/>
        <w:rPr>
          <w:rFonts w:hint="default"/>
          <w:color w:val="auto"/>
        </w:rPr>
      </w:pPr>
      <w:r>
        <w:rPr>
          <w:rFonts w:hint="default"/>
          <w:color w:val="auto"/>
        </w:rPr>
        <w:t>根据《环境影响评价技术导则</w:t>
      </w:r>
      <w:r>
        <w:rPr>
          <w:rFonts w:hint="eastAsia"/>
          <w:color w:val="auto"/>
          <w:lang w:val="en-US" w:eastAsia="zh-CN"/>
        </w:rPr>
        <w:t xml:space="preserve"> </w:t>
      </w:r>
      <w:r>
        <w:rPr>
          <w:rFonts w:hint="default"/>
          <w:color w:val="auto"/>
        </w:rPr>
        <w:t>地下水环境》（HJ610-2016）和《石油化工工程防渗技术规范》（GB/T50934-2013）的相关规定，</w:t>
      </w:r>
      <w:r>
        <w:rPr>
          <w:rFonts w:hint="default"/>
          <w:color w:val="auto"/>
          <w:lang w:eastAsia="zh-CN"/>
        </w:rPr>
        <w:t>本工程</w:t>
      </w:r>
      <w:r>
        <w:rPr>
          <w:rFonts w:hint="default"/>
          <w:color w:val="auto"/>
        </w:rPr>
        <w:t>拟对</w:t>
      </w:r>
      <w:r>
        <w:rPr>
          <w:rFonts w:hint="default"/>
          <w:color w:val="auto"/>
          <w:lang w:val="en-US" w:eastAsia="zh-CN"/>
        </w:rPr>
        <w:t>站场</w:t>
      </w:r>
      <w:r>
        <w:rPr>
          <w:rFonts w:hint="default"/>
          <w:color w:val="auto"/>
        </w:rPr>
        <w:t>进行分区地下水污染防治，分为</w:t>
      </w:r>
      <w:r>
        <w:rPr>
          <w:rFonts w:hint="eastAsia"/>
          <w:color w:val="auto"/>
          <w:lang w:val="en-US" w:eastAsia="zh-CN"/>
        </w:rPr>
        <w:t>重点防渗区、</w:t>
      </w:r>
      <w:r>
        <w:rPr>
          <w:rFonts w:hint="default"/>
          <w:color w:val="auto"/>
        </w:rPr>
        <w:t>一般防渗区和简单防渗区。</w:t>
      </w:r>
    </w:p>
    <w:p w14:paraId="52599827">
      <w:pPr>
        <w:pStyle w:val="79"/>
        <w:bidi w:val="0"/>
        <w:rPr>
          <w:rFonts w:hint="default"/>
          <w:color w:val="auto"/>
        </w:rPr>
      </w:pPr>
      <w:r>
        <w:rPr>
          <w:rFonts w:hint="default"/>
          <w:color w:val="auto"/>
        </w:rPr>
        <w:t>本工程</w:t>
      </w:r>
      <w:r>
        <w:rPr>
          <w:rFonts w:hint="eastAsia"/>
          <w:color w:val="auto"/>
          <w:lang w:val="en-US" w:eastAsia="zh-CN"/>
        </w:rPr>
        <w:t>重点防渗区</w:t>
      </w:r>
      <w:r>
        <w:rPr>
          <w:rFonts w:hint="default"/>
          <w:color w:val="auto"/>
        </w:rPr>
        <w:t>主要包括</w:t>
      </w:r>
      <w:r>
        <w:rPr>
          <w:rFonts w:hint="eastAsia"/>
          <w:color w:val="auto"/>
          <w:lang w:val="en-US" w:eastAsia="zh-CN"/>
        </w:rPr>
        <w:t>雄探1试采点</w:t>
      </w:r>
      <w:r>
        <w:rPr>
          <w:rFonts w:hint="default"/>
          <w:color w:val="auto"/>
        </w:rPr>
        <w:t>脱硫区、</w:t>
      </w:r>
      <w:r>
        <w:rPr>
          <w:rFonts w:hint="eastAsia"/>
          <w:color w:val="auto"/>
          <w:lang w:val="en-US" w:eastAsia="zh-CN"/>
        </w:rPr>
        <w:t>储罐</w:t>
      </w:r>
      <w:r>
        <w:rPr>
          <w:rFonts w:hint="default"/>
          <w:color w:val="auto"/>
        </w:rPr>
        <w:t>区</w:t>
      </w:r>
      <w:r>
        <w:rPr>
          <w:rFonts w:hint="eastAsia"/>
          <w:color w:val="auto"/>
          <w:lang w:val="en-US" w:eastAsia="zh-CN"/>
        </w:rPr>
        <w:t>、装车区、危废暂存间</w:t>
      </w:r>
      <w:r>
        <w:rPr>
          <w:rFonts w:hint="default"/>
          <w:color w:val="auto"/>
        </w:rPr>
        <w:t>等区域，一般防渗区主要包括进站分离区、辅助生产区、控制中心、变电所、增压区、预留区、放空火炬区</w:t>
      </w:r>
      <w:r>
        <w:rPr>
          <w:rFonts w:hint="eastAsia"/>
          <w:color w:val="auto"/>
          <w:lang w:val="en-US" w:eastAsia="zh-CN"/>
        </w:rPr>
        <w:t>、井场井口区及装置区</w:t>
      </w:r>
      <w:r>
        <w:rPr>
          <w:rFonts w:hint="default"/>
          <w:color w:val="auto"/>
        </w:rPr>
        <w:t>等区域。</w:t>
      </w:r>
    </w:p>
    <w:p w14:paraId="01A0D1F5">
      <w:pPr>
        <w:pStyle w:val="55"/>
        <w:bidi w:val="0"/>
        <w:rPr>
          <w:rFonts w:hint="default"/>
          <w:color w:val="auto"/>
          <w:lang w:val="en-US" w:eastAsia="zh-CN"/>
        </w:rPr>
      </w:pPr>
      <w:r>
        <w:rPr>
          <w:rFonts w:hint="default"/>
          <w:color w:val="auto"/>
          <w:lang w:val="en-US" w:eastAsia="zh-CN"/>
        </w:rPr>
        <w:t>6.2.</w:t>
      </w:r>
      <w:r>
        <w:rPr>
          <w:rFonts w:hint="eastAsia"/>
          <w:color w:val="auto"/>
          <w:lang w:val="en-US" w:eastAsia="zh-CN"/>
        </w:rPr>
        <w:t>2</w:t>
      </w:r>
      <w:r>
        <w:rPr>
          <w:rFonts w:hint="default"/>
          <w:color w:val="auto"/>
          <w:lang w:val="en-US" w:eastAsia="zh-CN"/>
        </w:rPr>
        <w:t>.</w:t>
      </w:r>
      <w:r>
        <w:rPr>
          <w:rFonts w:hint="eastAsia"/>
          <w:color w:val="auto"/>
          <w:lang w:val="en-US" w:eastAsia="zh-CN"/>
        </w:rPr>
        <w:t>4</w:t>
      </w:r>
      <w:r>
        <w:rPr>
          <w:rFonts w:hint="default"/>
          <w:color w:val="auto"/>
          <w:lang w:val="en-US" w:eastAsia="zh-CN"/>
        </w:rPr>
        <w:t xml:space="preserve"> 管道的防护措施</w:t>
      </w:r>
    </w:p>
    <w:p w14:paraId="03C10EC2">
      <w:pPr>
        <w:pStyle w:val="79"/>
        <w:bidi w:val="0"/>
        <w:rPr>
          <w:rFonts w:hint="default"/>
          <w:color w:val="auto"/>
        </w:rPr>
      </w:pPr>
      <w:r>
        <w:rPr>
          <w:rFonts w:hint="default"/>
          <w:color w:val="auto"/>
        </w:rPr>
        <w:t>（1）集输管线敷设前，加强对管材和焊接质量的检查，防止因管材质量及焊接缺陷造成泄漏事故的发生。选择有经验的单位进行施工，加强施工过程监理，确保施工质量。</w:t>
      </w:r>
    </w:p>
    <w:p w14:paraId="2A887A86">
      <w:pPr>
        <w:pStyle w:val="79"/>
        <w:bidi w:val="0"/>
        <w:rPr>
          <w:rFonts w:hint="default"/>
          <w:color w:val="auto"/>
        </w:rPr>
      </w:pPr>
      <w:r>
        <w:rPr>
          <w:rFonts w:hint="default"/>
          <w:color w:val="auto"/>
        </w:rPr>
        <w:t>（2）在集输管线的敷设线路上应设置标识，包括里程桩、转角桩、交叉标志和警示牌等。</w:t>
      </w:r>
    </w:p>
    <w:p w14:paraId="561483C0">
      <w:pPr>
        <w:pStyle w:val="79"/>
        <w:bidi w:val="0"/>
        <w:rPr>
          <w:rFonts w:hint="default"/>
          <w:color w:val="auto"/>
        </w:rPr>
      </w:pPr>
      <w:r>
        <w:rPr>
          <w:rFonts w:hint="default"/>
          <w:color w:val="auto"/>
        </w:rPr>
        <w:t>（3）加强自动控制系统管理和控制，严格控制压力平衡，对管线的运行</w:t>
      </w:r>
      <w:r>
        <w:rPr>
          <w:rFonts w:hint="eastAsia"/>
          <w:color w:val="auto"/>
          <w:lang w:eastAsia="zh-CN"/>
        </w:rPr>
        <w:t>情况</w:t>
      </w:r>
      <w:r>
        <w:rPr>
          <w:rFonts w:hint="default"/>
          <w:color w:val="auto"/>
        </w:rPr>
        <w:t>实时监控。</w:t>
      </w:r>
    </w:p>
    <w:p w14:paraId="0A91FCA7">
      <w:pPr>
        <w:pStyle w:val="79"/>
        <w:bidi w:val="0"/>
        <w:rPr>
          <w:rFonts w:hint="default"/>
          <w:color w:val="auto"/>
        </w:rPr>
      </w:pPr>
      <w:r>
        <w:rPr>
          <w:rFonts w:hint="default"/>
          <w:color w:val="auto"/>
        </w:rPr>
        <w:t>（4）定期对管线进行检查，对壁厚低于规定要求的管段应及时更换，消除爆管的隐患；按规定进行设备维修、保养，及时更换易损及老化部件，防止油气泄漏事故的发生，定期对管线进行巡视，应加强管线和</w:t>
      </w:r>
      <w:r>
        <w:rPr>
          <w:rFonts w:hint="eastAsia"/>
          <w:color w:val="auto"/>
          <w:lang w:eastAsia="zh-CN"/>
        </w:rPr>
        <w:t>警示标志</w:t>
      </w:r>
      <w:r>
        <w:rPr>
          <w:rFonts w:hint="default"/>
          <w:color w:val="auto"/>
        </w:rPr>
        <w:t>的管理工作，提高巡线的有效性，发现对管道安全有影响的行为，应及时制止、采取相应措施并向上级报告。</w:t>
      </w:r>
    </w:p>
    <w:p w14:paraId="5D546FFA">
      <w:pPr>
        <w:pStyle w:val="79"/>
        <w:bidi w:val="0"/>
        <w:rPr>
          <w:rFonts w:hint="eastAsia"/>
          <w:color w:val="auto"/>
          <w:lang w:val="en-US" w:eastAsia="zh-CN"/>
        </w:rPr>
      </w:pPr>
      <w:r>
        <w:rPr>
          <w:rFonts w:hint="default"/>
          <w:color w:val="auto"/>
        </w:rPr>
        <w:t>综上，本工程运营期采取的废水污染防治措施可行。</w:t>
      </w:r>
    </w:p>
    <w:p w14:paraId="5511762E">
      <w:pPr>
        <w:pStyle w:val="55"/>
        <w:bidi w:val="0"/>
        <w:rPr>
          <w:rFonts w:hint="default"/>
          <w:color w:val="auto"/>
          <w:lang w:val="en-US" w:eastAsia="zh-CN"/>
        </w:rPr>
      </w:pPr>
      <w:r>
        <w:rPr>
          <w:rFonts w:hint="eastAsia"/>
          <w:color w:val="auto"/>
          <w:lang w:val="en-US" w:eastAsia="zh-CN"/>
        </w:rPr>
        <w:t xml:space="preserve">6.2.2.5 </w:t>
      </w:r>
      <w:r>
        <w:rPr>
          <w:rFonts w:hint="default"/>
          <w:color w:val="auto"/>
          <w:lang w:val="en-US" w:eastAsia="zh-CN"/>
        </w:rPr>
        <w:t>地下水环境保护措施与对策</w:t>
      </w:r>
    </w:p>
    <w:p w14:paraId="2AFA9524">
      <w:pPr>
        <w:pStyle w:val="79"/>
        <w:bidi w:val="0"/>
        <w:rPr>
          <w:rFonts w:hint="default"/>
          <w:color w:val="auto"/>
          <w:lang w:val="en-US" w:eastAsia="zh-CN"/>
        </w:rPr>
      </w:pPr>
      <w:r>
        <w:rPr>
          <w:rFonts w:hint="default"/>
          <w:color w:val="auto"/>
          <w:lang w:val="en-US" w:eastAsia="zh-CN"/>
        </w:rPr>
        <w:t>地下水环境保护措施与对策应符合《中华人民共和国水污染防治法》和《中华人民共和国环境影响评价法》及地下水导则的相关规定，按照</w:t>
      </w:r>
      <w:r>
        <w:rPr>
          <w:rFonts w:hint="eastAsia"/>
          <w:color w:val="auto"/>
          <w:lang w:val="en-US" w:eastAsia="zh-CN"/>
        </w:rPr>
        <w:t>“</w:t>
      </w:r>
      <w:r>
        <w:rPr>
          <w:rFonts w:hint="default"/>
          <w:color w:val="auto"/>
          <w:lang w:val="en-US" w:eastAsia="zh-CN"/>
        </w:rPr>
        <w:t>源头控制、分区防控、污染监控、应急响应</w:t>
      </w:r>
      <w:r>
        <w:rPr>
          <w:rFonts w:hint="eastAsia"/>
          <w:color w:val="auto"/>
          <w:lang w:val="en-US" w:eastAsia="zh-CN"/>
        </w:rPr>
        <w:t>”</w:t>
      </w:r>
      <w:r>
        <w:rPr>
          <w:rFonts w:hint="default"/>
          <w:color w:val="auto"/>
          <w:lang w:val="en-US" w:eastAsia="zh-CN"/>
        </w:rPr>
        <w:t>，从污染物的产生、入渗、扩散、应急响应全方位进行控制。</w:t>
      </w:r>
    </w:p>
    <w:p w14:paraId="2474217E">
      <w:pPr>
        <w:pStyle w:val="79"/>
        <w:bidi w:val="0"/>
        <w:rPr>
          <w:rFonts w:hint="default"/>
          <w:color w:val="auto"/>
        </w:rPr>
      </w:pPr>
      <w:r>
        <w:rPr>
          <w:rFonts w:hint="default"/>
          <w:color w:val="auto"/>
        </w:rPr>
        <w:t>基于前文的地下水环境影响预测和评价，拟建项目在正常工况下，对当地地下水环境影响小；在非正常工况下，对当地地下水环境构成潜在威胁，可能会对地下水水质产生不良影响。因此，为确保当地地下水环境安全，需采取一些保护管理措施。</w:t>
      </w:r>
    </w:p>
    <w:p w14:paraId="263CEBEC">
      <w:pPr>
        <w:pStyle w:val="79"/>
        <w:bidi w:val="0"/>
        <w:rPr>
          <w:rFonts w:hint="default"/>
          <w:color w:val="auto"/>
        </w:rPr>
      </w:pPr>
      <w:r>
        <w:rPr>
          <w:rFonts w:hint="default"/>
          <w:color w:val="auto"/>
        </w:rPr>
        <w:t>为有效保护拟建项目区的地下水环境，除了按项目可研报告中设计的方案处理各类废水，还需要建设地下水跟踪监测方案和定期信息公开。下面结合拟建项目特点和当地自然环境特征，提出地下水环境保护管理的原则和措施。</w:t>
      </w:r>
    </w:p>
    <w:p w14:paraId="69FCC7EE">
      <w:pPr>
        <w:pStyle w:val="79"/>
        <w:bidi w:val="0"/>
        <w:rPr>
          <w:rFonts w:hint="default"/>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default"/>
          <w:color w:val="auto"/>
          <w:lang w:val="en-US" w:eastAsia="zh-CN"/>
        </w:rPr>
        <w:t xml:space="preserve"> 源头控制</w:t>
      </w:r>
      <w:r>
        <w:rPr>
          <w:rFonts w:hint="default"/>
          <w:color w:val="auto"/>
        </w:rPr>
        <w:t>措施</w:t>
      </w:r>
    </w:p>
    <w:p w14:paraId="3DE608FD">
      <w:pPr>
        <w:pStyle w:val="79"/>
        <w:bidi w:val="0"/>
        <w:rPr>
          <w:rFonts w:hint="default"/>
          <w:color w:val="auto"/>
          <w:lang w:val="en-US"/>
        </w:rPr>
      </w:pPr>
      <w:r>
        <w:rPr>
          <w:rFonts w:hint="default"/>
          <w:color w:val="auto"/>
          <w:lang w:val="en-US" w:eastAsia="zh-CN"/>
        </w:rPr>
        <w:t>选择先进、成熟、可靠的工艺技术，对产生的废物进行合理的回用和治理，尽可能从源头上减少污染物排放；严格按照国家相关规范要求，对站场、管道的装置等采取相应措施，以防止和降低污染物的跑、冒、滴、漏，降低风险事故，尽量减少地下水污染。</w:t>
      </w:r>
    </w:p>
    <w:p w14:paraId="68BF57B5">
      <w:pPr>
        <w:pStyle w:val="79"/>
        <w:bidi w:val="0"/>
        <w:rPr>
          <w:rFonts w:hint="default"/>
          <w:color w:val="auto"/>
          <w:lang w:val="en-US" w:eastAsia="zh-CN"/>
        </w:rPr>
      </w:pPr>
      <w:r>
        <w:rPr>
          <w:rFonts w:hint="default"/>
          <w:color w:val="auto"/>
          <w:lang w:val="en-US" w:eastAsia="zh-CN"/>
        </w:rPr>
        <w:t>1）施工期</w:t>
      </w:r>
    </w:p>
    <w:p w14:paraId="2522CC45">
      <w:pPr>
        <w:pStyle w:val="79"/>
        <w:bidi w:val="0"/>
        <w:rPr>
          <w:rFonts w:hint="default"/>
          <w:color w:val="auto"/>
          <w:lang w:val="en-US" w:eastAsia="zh-CN"/>
        </w:rPr>
      </w:pPr>
      <w:r>
        <w:rPr>
          <w:rFonts w:hint="default"/>
          <w:color w:val="auto"/>
          <w:lang w:val="en-US" w:eastAsia="zh-CN"/>
        </w:rPr>
        <w:t>本工程施工人员依托现有作业区，施工期不设置施工营地。施工现场产生的少量生活污水依托雄探1试采点，雄探1试采点生活污水进入生活污水池，定期由罐车拉运至英买力作业区生活污水处理装置处置；新建管道试压采用洁净水，管道试压废水中主要污染物为SS，试压废水可用作场地降尘用水。</w:t>
      </w:r>
    </w:p>
    <w:p w14:paraId="1FB225EC">
      <w:pPr>
        <w:pStyle w:val="79"/>
        <w:bidi w:val="0"/>
        <w:rPr>
          <w:rFonts w:hint="default"/>
          <w:color w:val="auto"/>
          <w:lang w:val="en-US" w:eastAsia="zh-CN"/>
        </w:rPr>
      </w:pPr>
      <w:r>
        <w:rPr>
          <w:rFonts w:hint="default"/>
          <w:color w:val="auto"/>
          <w:lang w:val="en-US" w:eastAsia="zh-CN"/>
        </w:rPr>
        <w:t>保证项目产生的污染物均得到妥善处置，施工结束后，对施工场地进行清理，禁止遗弃废弃物。</w:t>
      </w:r>
    </w:p>
    <w:p w14:paraId="70504DBA">
      <w:pPr>
        <w:pStyle w:val="79"/>
        <w:bidi w:val="0"/>
        <w:rPr>
          <w:rFonts w:hint="default"/>
          <w:color w:val="auto"/>
          <w:lang w:val="en-US" w:eastAsia="zh-CN"/>
        </w:rPr>
      </w:pPr>
      <w:r>
        <w:rPr>
          <w:rFonts w:hint="default"/>
          <w:color w:val="auto"/>
          <w:lang w:val="en-US" w:eastAsia="zh-CN"/>
        </w:rPr>
        <w:t>2）运营期</w:t>
      </w:r>
    </w:p>
    <w:p w14:paraId="2D53FE72">
      <w:pPr>
        <w:pStyle w:val="79"/>
        <w:bidi w:val="0"/>
        <w:rPr>
          <w:rFonts w:hint="default"/>
          <w:color w:val="auto"/>
          <w:lang w:val="en-US" w:eastAsia="zh-CN"/>
        </w:rPr>
      </w:pPr>
      <w:r>
        <w:rPr>
          <w:rFonts w:hint="default"/>
          <w:color w:val="auto"/>
          <w:lang w:val="en-US" w:eastAsia="zh-CN"/>
        </w:rPr>
        <w:fldChar w:fldCharType="begin"/>
      </w:r>
      <w:r>
        <w:rPr>
          <w:rFonts w:hint="default"/>
          <w:color w:val="auto"/>
          <w:lang w:val="en-US" w:eastAsia="zh-CN"/>
        </w:rPr>
        <w:instrText xml:space="preserve"> = 1 \* GB3 \* MERGEFORMAT </w:instrText>
      </w:r>
      <w:r>
        <w:rPr>
          <w:rFonts w:hint="default"/>
          <w:color w:val="auto"/>
          <w:lang w:val="en-US" w:eastAsia="zh-CN"/>
        </w:rPr>
        <w:fldChar w:fldCharType="separate"/>
      </w:r>
      <w:r>
        <w:rPr>
          <w:rFonts w:hint="default"/>
          <w:color w:val="auto"/>
        </w:rPr>
        <w:t>①</w:t>
      </w:r>
      <w:r>
        <w:rPr>
          <w:rFonts w:hint="default"/>
          <w:color w:val="auto"/>
          <w:lang w:val="en-US" w:eastAsia="zh-CN"/>
        </w:rPr>
        <w:fldChar w:fldCharType="end"/>
      </w:r>
      <w:r>
        <w:rPr>
          <w:rFonts w:hint="default"/>
          <w:color w:val="auto"/>
        </w:rPr>
        <w:t>运营期</w:t>
      </w:r>
      <w:r>
        <w:rPr>
          <w:rFonts w:hint="default"/>
          <w:color w:val="auto"/>
          <w:lang w:val="en-US" w:eastAsia="zh-CN"/>
        </w:rPr>
        <w:t>产生的</w:t>
      </w:r>
      <w:r>
        <w:rPr>
          <w:rFonts w:hint="default"/>
          <w:color w:val="auto"/>
        </w:rPr>
        <w:t>生活污水暂存于生活污水池，定期由罐车拉运至英买力作业区生活污水处理装置处置</w:t>
      </w:r>
      <w:r>
        <w:rPr>
          <w:rFonts w:hint="default"/>
          <w:color w:val="auto"/>
          <w:lang w:eastAsia="zh-CN"/>
        </w:rPr>
        <w:t>；</w:t>
      </w:r>
      <w:r>
        <w:rPr>
          <w:rFonts w:hint="default"/>
          <w:color w:val="auto"/>
        </w:rPr>
        <w:t>井下作业废水</w:t>
      </w:r>
      <w:r>
        <w:rPr>
          <w:rFonts w:hint="default"/>
          <w:color w:val="auto"/>
          <w:lang w:val="en-US" w:eastAsia="zh-CN"/>
        </w:rPr>
        <w:t>由</w:t>
      </w:r>
      <w:r>
        <w:rPr>
          <w:rFonts w:hint="default"/>
          <w:color w:val="auto"/>
        </w:rPr>
        <w:t>自带回收罐回收，拉运至英买力油田钻试修废弃物环保处理站处理。</w:t>
      </w:r>
    </w:p>
    <w:p w14:paraId="681E15F2">
      <w:pPr>
        <w:pStyle w:val="79"/>
        <w:bidi w:val="0"/>
        <w:rPr>
          <w:rFonts w:hint="default"/>
          <w:color w:val="auto"/>
        </w:rPr>
      </w:pPr>
      <w:r>
        <w:rPr>
          <w:rFonts w:hint="default"/>
          <w:color w:val="auto"/>
          <w:lang w:val="en-US" w:eastAsia="zh-CN"/>
        </w:rPr>
        <w:fldChar w:fldCharType="begin"/>
      </w:r>
      <w:r>
        <w:rPr>
          <w:rFonts w:hint="default"/>
          <w:color w:val="auto"/>
          <w:lang w:val="en-US" w:eastAsia="zh-CN"/>
        </w:rPr>
        <w:instrText xml:space="preserve"> = 2 \* GB3 \* MERGEFORMAT </w:instrText>
      </w:r>
      <w:r>
        <w:rPr>
          <w:rFonts w:hint="default"/>
          <w:color w:val="auto"/>
          <w:lang w:val="en-US" w:eastAsia="zh-CN"/>
        </w:rPr>
        <w:fldChar w:fldCharType="separate"/>
      </w:r>
      <w:r>
        <w:rPr>
          <w:rFonts w:hint="default"/>
          <w:color w:val="auto"/>
        </w:rPr>
        <w:t>②</w:t>
      </w:r>
      <w:r>
        <w:rPr>
          <w:rFonts w:hint="default"/>
          <w:color w:val="auto"/>
          <w:lang w:val="en-US" w:eastAsia="zh-CN"/>
        </w:rPr>
        <w:fldChar w:fldCharType="end"/>
      </w:r>
      <w:r>
        <w:rPr>
          <w:rFonts w:hint="default"/>
          <w:color w:val="auto"/>
        </w:rPr>
        <w:t>定期对</w:t>
      </w:r>
      <w:r>
        <w:rPr>
          <w:rFonts w:hint="default"/>
          <w:color w:val="auto"/>
          <w:lang w:val="en-US" w:eastAsia="zh-CN"/>
        </w:rPr>
        <w:t>井场、站场</w:t>
      </w:r>
      <w:r>
        <w:rPr>
          <w:rFonts w:hint="default"/>
          <w:color w:val="auto"/>
        </w:rPr>
        <w:t>的设备、阀门等进行检查，一旦发现异常，及时采取措施，防止原油</w:t>
      </w:r>
      <w:r>
        <w:rPr>
          <w:rFonts w:hint="eastAsia"/>
          <w:color w:val="auto"/>
          <w:lang w:eastAsia="zh-CN"/>
        </w:rPr>
        <w:t>“</w:t>
      </w:r>
      <w:r>
        <w:rPr>
          <w:rFonts w:hint="default"/>
          <w:color w:val="auto"/>
        </w:rPr>
        <w:t>跑、冒、滴、漏</w:t>
      </w:r>
      <w:r>
        <w:rPr>
          <w:rFonts w:hint="eastAsia"/>
          <w:color w:val="auto"/>
          <w:lang w:eastAsia="zh-CN"/>
        </w:rPr>
        <w:t>”</w:t>
      </w:r>
      <w:r>
        <w:rPr>
          <w:rFonts w:hint="default"/>
          <w:color w:val="auto"/>
        </w:rPr>
        <w:t>的发生。</w:t>
      </w:r>
    </w:p>
    <w:p w14:paraId="586B2042">
      <w:pPr>
        <w:pStyle w:val="79"/>
        <w:bidi w:val="0"/>
        <w:rPr>
          <w:rFonts w:hint="default"/>
          <w:color w:val="auto"/>
        </w:rPr>
      </w:pPr>
      <w:r>
        <w:rPr>
          <w:rFonts w:hint="default"/>
          <w:color w:val="auto"/>
          <w:lang w:val="en-US" w:eastAsia="zh-CN"/>
        </w:rPr>
        <w:fldChar w:fldCharType="begin"/>
      </w:r>
      <w:r>
        <w:rPr>
          <w:rFonts w:hint="default"/>
          <w:color w:val="auto"/>
          <w:lang w:val="en-US" w:eastAsia="zh-CN"/>
        </w:rPr>
        <w:instrText xml:space="preserve"> = 3 \* GB3 \* MERGEFORMAT </w:instrText>
      </w:r>
      <w:r>
        <w:rPr>
          <w:rFonts w:hint="default"/>
          <w:color w:val="auto"/>
          <w:lang w:val="en-US" w:eastAsia="zh-CN"/>
        </w:rPr>
        <w:fldChar w:fldCharType="separate"/>
      </w:r>
      <w:r>
        <w:rPr>
          <w:rFonts w:hint="default"/>
          <w:color w:val="auto"/>
        </w:rPr>
        <w:t>③</w:t>
      </w:r>
      <w:r>
        <w:rPr>
          <w:rFonts w:hint="default"/>
          <w:color w:val="auto"/>
          <w:lang w:val="en-US" w:eastAsia="zh-CN"/>
        </w:rPr>
        <w:fldChar w:fldCharType="end"/>
      </w:r>
      <w:r>
        <w:rPr>
          <w:rFonts w:hint="default"/>
          <w:color w:val="auto"/>
        </w:rPr>
        <w:t>采用高质量的油气输送管道，防止油水泄漏；管线埋设严格遵守相关规定，埋至冻土层以下，并对管线进行防腐保温等保护措施；定期对输油管道进行检查，一旦发现异常，及时更换，尽量杜绝</w:t>
      </w:r>
      <w:r>
        <w:rPr>
          <w:rFonts w:hint="eastAsia"/>
          <w:color w:val="auto"/>
          <w:lang w:eastAsia="zh-CN"/>
        </w:rPr>
        <w:t>“</w:t>
      </w:r>
      <w:r>
        <w:rPr>
          <w:rFonts w:hint="default"/>
          <w:color w:val="auto"/>
        </w:rPr>
        <w:t>跑、冒、滴、漏</w:t>
      </w:r>
      <w:r>
        <w:rPr>
          <w:rFonts w:hint="eastAsia"/>
          <w:color w:val="auto"/>
          <w:lang w:eastAsia="zh-CN"/>
        </w:rPr>
        <w:t>”</w:t>
      </w:r>
      <w:r>
        <w:rPr>
          <w:rFonts w:hint="default"/>
          <w:color w:val="auto"/>
        </w:rPr>
        <w:t>的发生，并随时做好抢修准备，加强抢修队伍的训练和工作演练。</w:t>
      </w:r>
    </w:p>
    <w:p w14:paraId="18519C55">
      <w:pPr>
        <w:pStyle w:val="79"/>
        <w:bidi w:val="0"/>
        <w:rPr>
          <w:rFonts w:hint="default"/>
          <w:color w:val="auto"/>
          <w:lang w:val="en-US" w:eastAsia="zh-CN"/>
        </w:rPr>
      </w:pPr>
      <w:r>
        <w:rPr>
          <w:rFonts w:hint="default"/>
          <w:color w:val="auto"/>
        </w:rPr>
        <w:t>3）</w:t>
      </w:r>
      <w:r>
        <w:rPr>
          <w:rFonts w:hint="default"/>
          <w:color w:val="auto"/>
          <w:lang w:val="en-US" w:eastAsia="zh-CN"/>
        </w:rPr>
        <w:t>封井期</w:t>
      </w:r>
    </w:p>
    <w:p w14:paraId="0065EF2A">
      <w:pPr>
        <w:pStyle w:val="79"/>
        <w:bidi w:val="0"/>
        <w:rPr>
          <w:rFonts w:hint="default"/>
          <w:color w:val="auto"/>
        </w:rPr>
      </w:pPr>
      <w:r>
        <w:rPr>
          <w:rFonts w:hint="default"/>
          <w:color w:val="auto"/>
          <w:lang w:val="zh-CN"/>
        </w:rPr>
        <w:t>根据《废弃井封井回填技术指南（试行）》要求，对废弃井应封堵，保证对各类废弃井采取的固井、封井措施有效可行，防止发生油水窜层，污染地下水资源。</w:t>
      </w:r>
    </w:p>
    <w:p w14:paraId="3A7EBC21">
      <w:pPr>
        <w:pStyle w:val="79"/>
        <w:bidi w:val="0"/>
        <w:rPr>
          <w:rFonts w:hint="default"/>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default"/>
          <w:color w:val="auto"/>
          <w:lang w:val="en-US" w:eastAsia="zh-CN"/>
        </w:rPr>
        <w:t xml:space="preserve"> </w:t>
      </w:r>
      <w:r>
        <w:rPr>
          <w:rFonts w:hint="default"/>
          <w:color w:val="auto"/>
        </w:rPr>
        <w:t>分区防治措施</w:t>
      </w:r>
    </w:p>
    <w:p w14:paraId="59ECA2C2">
      <w:pPr>
        <w:pStyle w:val="79"/>
        <w:bidi w:val="0"/>
        <w:rPr>
          <w:rFonts w:hint="default"/>
          <w:color w:val="auto"/>
        </w:rPr>
      </w:pPr>
      <w:r>
        <w:rPr>
          <w:rFonts w:hint="default"/>
          <w:color w:val="auto"/>
        </w:rPr>
        <w:t>对</w:t>
      </w:r>
      <w:r>
        <w:rPr>
          <w:rFonts w:hint="default"/>
          <w:color w:val="auto"/>
          <w:lang w:val="en-US" w:eastAsia="zh-CN"/>
        </w:rPr>
        <w:t>站场</w:t>
      </w:r>
      <w:r>
        <w:rPr>
          <w:rFonts w:hint="default"/>
          <w:color w:val="auto"/>
        </w:rPr>
        <w:t>可能泄漏污染物的地面进行防渗处理，并及时将泄漏/渗漏的污染物收集起来进行处理，可有效防</w:t>
      </w:r>
      <w:r>
        <w:rPr>
          <w:rFonts w:hint="default"/>
          <w:color w:val="auto"/>
          <w:lang w:eastAsia="zh-CN"/>
        </w:rPr>
        <w:t>止</w:t>
      </w:r>
      <w:r>
        <w:rPr>
          <w:rFonts w:hint="default"/>
          <w:color w:val="auto"/>
        </w:rPr>
        <w:t>洒落地面的污染物渗入地下。根据《环境影响评价技术导则 地下水环境》（HJ610-2016），分区防控措施应满足以下要求：</w:t>
      </w:r>
    </w:p>
    <w:p w14:paraId="34B2F45A">
      <w:pPr>
        <w:pStyle w:val="79"/>
        <w:bidi w:val="0"/>
        <w:rPr>
          <w:rFonts w:hint="default"/>
          <w:color w:val="auto"/>
        </w:rPr>
      </w:pPr>
      <w:r>
        <w:rPr>
          <w:rFonts w:hint="default"/>
          <w:color w:val="auto"/>
        </w:rPr>
        <w:t>已颁布污染控制国家标准或防渗技术规范的行业，水平防渗技术要求按照相应标准或规范执行。未颁布相关标准的行业，根据预测结果和场地包气带特征及其防污性能，提出防渗技术要求或根据建设项目场地天然包气带防污性能、污染控制难易程度和污染物特性，提出防渗技术要求。</w:t>
      </w:r>
    </w:p>
    <w:p w14:paraId="36CE285F">
      <w:pPr>
        <w:pStyle w:val="79"/>
        <w:bidi w:val="0"/>
        <w:rPr>
          <w:rFonts w:hint="default"/>
          <w:color w:val="auto"/>
        </w:rPr>
      </w:pPr>
      <w:r>
        <w:rPr>
          <w:rFonts w:hint="default"/>
          <w:color w:val="auto"/>
        </w:rPr>
        <w:t>对本工程各环节可能泄漏污染物的污染区地面进行防渗处理，并及时将泄漏/渗漏的污染物收集起来进行处理，可有效防止洒落地面的污染物渗入地下。根据</w:t>
      </w:r>
      <w:bookmarkStart w:id="740" w:name="_Hlk115294516"/>
      <w:r>
        <w:rPr>
          <w:rFonts w:hint="default"/>
          <w:color w:val="auto"/>
        </w:rPr>
        <w:t>《环境影响评价技术导则 地下水环境》（HJ610-2016）、《危险废物贮存污染控制标准》</w:t>
      </w:r>
      <w:r>
        <w:rPr>
          <w:rFonts w:hint="eastAsia"/>
          <w:color w:val="auto"/>
          <w:lang w:eastAsia="zh-CN"/>
        </w:rPr>
        <w:t>（</w:t>
      </w:r>
      <w:r>
        <w:rPr>
          <w:rFonts w:hint="default"/>
          <w:color w:val="auto"/>
        </w:rPr>
        <w:t>GB 18597-20</w:t>
      </w:r>
      <w:r>
        <w:rPr>
          <w:rFonts w:hint="eastAsia"/>
          <w:color w:val="auto"/>
          <w:lang w:val="en-US" w:eastAsia="zh-CN"/>
        </w:rPr>
        <w:t>23</w:t>
      </w:r>
      <w:r>
        <w:rPr>
          <w:rFonts w:hint="default"/>
          <w:color w:val="auto"/>
        </w:rPr>
        <w:t>）、《石油化工工程防渗技术规范》（GB/T 50934-2013）</w:t>
      </w:r>
      <w:bookmarkEnd w:id="740"/>
      <w:r>
        <w:rPr>
          <w:rFonts w:hint="default"/>
          <w:color w:val="auto"/>
        </w:rPr>
        <w:t>，本工程分区防控措施应满足以下要求：</w:t>
      </w:r>
    </w:p>
    <w:p w14:paraId="7FA57E1A">
      <w:pPr>
        <w:pStyle w:val="79"/>
        <w:bidi w:val="0"/>
        <w:rPr>
          <w:rFonts w:hint="default"/>
          <w:color w:val="auto"/>
          <w:lang w:val="en-US" w:eastAsia="zh-CN"/>
        </w:rPr>
      </w:pPr>
      <w:r>
        <w:rPr>
          <w:rFonts w:hint="default"/>
          <w:color w:val="auto"/>
        </w:rPr>
        <w:t>本工程</w:t>
      </w:r>
      <w:r>
        <w:rPr>
          <w:rFonts w:hint="eastAsia"/>
          <w:color w:val="auto"/>
          <w:lang w:val="en-US" w:eastAsia="zh-CN"/>
        </w:rPr>
        <w:t>扩建雄探1试采点</w:t>
      </w:r>
      <w:r>
        <w:rPr>
          <w:rFonts w:hint="default"/>
          <w:color w:val="auto"/>
        </w:rPr>
        <w:t>按照《石油化工工程防渗技术规范》（GB/T50934-2013）采取防渗措施，主要分为重点污染防治区和一般污染防治区，其中重点污染防治区主要是指位于地下或半地下的生产功能单元，污染地下水环境的物料或污染物泄漏后，不易及时发现和处理的区域或部位，</w:t>
      </w:r>
      <w:bookmarkStart w:id="741" w:name="_Hlk115294601"/>
      <w:r>
        <w:rPr>
          <w:rFonts w:hint="default"/>
          <w:color w:val="auto"/>
        </w:rPr>
        <w:t>主要包括脱硫区、储罐区、装车区、危废暂存间等区域，其</w:t>
      </w:r>
      <w:bookmarkEnd w:id="741"/>
      <w:r>
        <w:rPr>
          <w:rFonts w:hint="default"/>
          <w:color w:val="auto"/>
        </w:rPr>
        <w:t>防渗层的防渗性能不应低于6.0m厚渗透系数为1.0×10</w:t>
      </w:r>
      <w:r>
        <w:rPr>
          <w:rFonts w:hint="default"/>
          <w:color w:val="auto"/>
          <w:vertAlign w:val="superscript"/>
        </w:rPr>
        <w:t>-7</w:t>
      </w:r>
      <w:r>
        <w:rPr>
          <w:rFonts w:hint="default"/>
          <w:color w:val="auto"/>
        </w:rPr>
        <w:t>cm/s的黏土层的防渗性能；一般污染防治区主要是指位于地面以上的生产功能单元，污染地下水环境的物料或污染物泄漏后，可及时发现和处理的区域或部位，主要包括进站分离</w:t>
      </w:r>
      <w:r>
        <w:rPr>
          <w:rFonts w:hint="eastAsia"/>
          <w:color w:val="auto"/>
          <w:lang w:val="en-US" w:eastAsia="zh-CN"/>
        </w:rPr>
        <w:t>区</w:t>
      </w:r>
      <w:r>
        <w:rPr>
          <w:rFonts w:hint="default"/>
          <w:color w:val="auto"/>
        </w:rPr>
        <w:t>、</w:t>
      </w:r>
      <w:r>
        <w:rPr>
          <w:rFonts w:hint="eastAsia"/>
          <w:color w:val="auto"/>
          <w:lang w:val="en-US" w:eastAsia="zh-CN"/>
        </w:rPr>
        <w:t>辅助生产区、控制中心、变电所、增压区、预留区、放空火炬区</w:t>
      </w:r>
      <w:r>
        <w:rPr>
          <w:rFonts w:hint="default"/>
          <w:color w:val="auto"/>
        </w:rPr>
        <w:t>等区域，其防渗层的防渗性能不应低于1.5m厚，渗透系数为1.0×10</w:t>
      </w:r>
      <w:r>
        <w:rPr>
          <w:rFonts w:hint="default"/>
          <w:color w:val="auto"/>
          <w:vertAlign w:val="superscript"/>
        </w:rPr>
        <w:t>-7</w:t>
      </w:r>
      <w:r>
        <w:rPr>
          <w:rFonts w:hint="default"/>
          <w:color w:val="auto"/>
        </w:rPr>
        <w:t>cm/s的黏土层的防渗性。另外，本工程危废暂存间的防渗应满足《危险废物贮存污染控制标准》</w:t>
      </w:r>
      <w:r>
        <w:rPr>
          <w:rFonts w:hint="eastAsia"/>
          <w:color w:val="auto"/>
          <w:lang w:eastAsia="zh-CN"/>
        </w:rPr>
        <w:t>（</w:t>
      </w:r>
      <w:r>
        <w:rPr>
          <w:rFonts w:hint="default"/>
          <w:color w:val="auto"/>
        </w:rPr>
        <w:t>GB 18597-20</w:t>
      </w:r>
      <w:r>
        <w:rPr>
          <w:rFonts w:hint="eastAsia"/>
          <w:color w:val="auto"/>
          <w:lang w:val="en-US" w:eastAsia="zh-CN"/>
        </w:rPr>
        <w:t>23</w:t>
      </w:r>
      <w:r>
        <w:rPr>
          <w:rFonts w:hint="default"/>
          <w:color w:val="auto"/>
        </w:rPr>
        <w:t>）防渗要求，具体</w:t>
      </w:r>
      <w:r>
        <w:rPr>
          <w:rFonts w:hint="eastAsia"/>
          <w:color w:val="auto"/>
          <w:lang w:eastAsia="zh-CN"/>
        </w:rPr>
        <w:t>为基</w:t>
      </w:r>
      <w:r>
        <w:rPr>
          <w:rFonts w:hint="default"/>
          <w:color w:val="auto"/>
        </w:rPr>
        <w:t>础必须防渗，防渗层为至少1m厚粘土层（渗透系数≤10</w:t>
      </w:r>
      <w:r>
        <w:rPr>
          <w:rFonts w:hint="default"/>
          <w:color w:val="auto"/>
          <w:vertAlign w:val="superscript"/>
        </w:rPr>
        <w:t>-7</w:t>
      </w:r>
      <w:r>
        <w:rPr>
          <w:rFonts w:hint="default"/>
          <w:color w:val="auto"/>
        </w:rPr>
        <w:t>cm/s</w:t>
      </w:r>
      <w:r>
        <w:rPr>
          <w:rFonts w:hint="eastAsia"/>
          <w:color w:val="auto"/>
          <w:lang w:eastAsia="zh-CN"/>
        </w:rPr>
        <w:t>）</w:t>
      </w:r>
      <w:r>
        <w:rPr>
          <w:rFonts w:hint="default"/>
          <w:color w:val="auto"/>
        </w:rPr>
        <w:t>，或2mm厚高密度聚乙烯，或至少2mm厚的</w:t>
      </w:r>
      <w:r>
        <w:rPr>
          <w:rFonts w:hint="eastAsia"/>
          <w:color w:val="auto"/>
          <w:lang w:eastAsia="zh-CN"/>
        </w:rPr>
        <w:t>其他人工</w:t>
      </w:r>
      <w:r>
        <w:rPr>
          <w:rFonts w:hint="default"/>
          <w:color w:val="auto"/>
        </w:rPr>
        <w:t>材料，渗透系数≤10</w:t>
      </w:r>
      <w:r>
        <w:rPr>
          <w:rFonts w:hint="default"/>
          <w:color w:val="auto"/>
          <w:vertAlign w:val="superscript"/>
        </w:rPr>
        <w:t>-10</w:t>
      </w:r>
      <w:r>
        <w:rPr>
          <w:rFonts w:hint="default"/>
          <w:color w:val="auto"/>
        </w:rPr>
        <w:t>cm/s。未颁布相关标准的行业，根据预测结果和场地包气带特征及其防污性能，提出防渗技术要求或根据建设项目场地天然包气带防污性能、污染控制难易程度和污染物特性，提出防渗技术要求。</w:t>
      </w:r>
      <w:bookmarkStart w:id="742" w:name="_Hlk115294446"/>
      <w:r>
        <w:rPr>
          <w:rFonts w:hint="default"/>
          <w:color w:val="auto"/>
          <w:lang w:val="en-US" w:eastAsia="zh-CN"/>
        </w:rPr>
        <w:t>为防止污染地下水，针对工程工艺特点，严格执行《环境影响评价技术导则</w:t>
      </w:r>
      <w:r>
        <w:rPr>
          <w:rFonts w:hint="eastAsia"/>
          <w:color w:val="auto"/>
          <w:lang w:val="en-US" w:eastAsia="zh-CN"/>
        </w:rPr>
        <w:t xml:space="preserve"> </w:t>
      </w:r>
      <w:r>
        <w:rPr>
          <w:rFonts w:hint="default"/>
          <w:color w:val="auto"/>
          <w:lang w:val="en-US" w:eastAsia="zh-CN"/>
        </w:rPr>
        <w:t>地下水环境》（HJ610–2016）</w:t>
      </w:r>
      <w:r>
        <w:rPr>
          <w:rFonts w:hint="eastAsia"/>
          <w:color w:val="auto"/>
          <w:lang w:val="en-US" w:eastAsia="zh-CN"/>
        </w:rPr>
        <w:t>“</w:t>
      </w:r>
      <w:r>
        <w:rPr>
          <w:rFonts w:hint="default"/>
          <w:color w:val="auto"/>
          <w:lang w:val="en-US" w:eastAsia="zh-CN"/>
        </w:rPr>
        <w:t>11.2.2 分区防控措施</w:t>
      </w:r>
      <w:r>
        <w:rPr>
          <w:rFonts w:hint="eastAsia"/>
          <w:color w:val="auto"/>
          <w:lang w:val="en-US" w:eastAsia="zh-CN"/>
        </w:rPr>
        <w:t>”</w:t>
      </w:r>
      <w:r>
        <w:rPr>
          <w:rFonts w:hint="default"/>
          <w:color w:val="auto"/>
          <w:lang w:val="en-US" w:eastAsia="zh-CN"/>
        </w:rPr>
        <w:t>相关要求</w:t>
      </w:r>
      <w:r>
        <w:rPr>
          <w:rFonts w:hint="eastAsia"/>
          <w:color w:val="auto"/>
          <w:lang w:val="en-US" w:eastAsia="zh-CN"/>
        </w:rPr>
        <w:t>。</w:t>
      </w:r>
    </w:p>
    <w:p w14:paraId="40B442E7">
      <w:pPr>
        <w:pStyle w:val="79"/>
        <w:bidi w:val="0"/>
        <w:rPr>
          <w:rFonts w:hint="default" w:ascii="Times New Roman" w:hAnsi="Times New Roman" w:eastAsia="宋体" w:cs="Times New Roman"/>
          <w:color w:val="auto"/>
          <w:kern w:val="0"/>
          <w:szCs w:val="24"/>
          <w:lang w:val="en-US" w:eastAsia="zh-CN" w:bidi="ar-SA"/>
        </w:rPr>
      </w:pPr>
      <w:bookmarkStart w:id="743" w:name="OLE_LINK386"/>
      <w:r>
        <w:rPr>
          <w:rFonts w:hint="eastAsia"/>
          <w:color w:val="auto"/>
          <w:lang w:val="en-US" w:eastAsia="zh-CN"/>
        </w:rPr>
        <w:t>综上，</w:t>
      </w:r>
      <w:r>
        <w:rPr>
          <w:rFonts w:hint="default"/>
          <w:color w:val="auto"/>
          <w:lang w:val="en-US" w:eastAsia="zh-CN"/>
        </w:rPr>
        <w:t>本</w:t>
      </w:r>
      <w:r>
        <w:rPr>
          <w:rFonts w:hint="eastAsia"/>
          <w:color w:val="auto"/>
          <w:lang w:val="en-US" w:eastAsia="zh-CN"/>
        </w:rPr>
        <w:t>次</w:t>
      </w:r>
      <w:r>
        <w:rPr>
          <w:rFonts w:hint="default"/>
          <w:color w:val="auto"/>
          <w:lang w:val="en-US" w:eastAsia="zh-CN"/>
        </w:rPr>
        <w:t>评价确定防渗要求见表 6.2-</w:t>
      </w:r>
      <w:r>
        <w:rPr>
          <w:rFonts w:hint="eastAsia"/>
          <w:color w:val="auto"/>
          <w:lang w:val="en-US" w:eastAsia="zh-CN"/>
        </w:rPr>
        <w:t>1。本项目</w:t>
      </w:r>
      <w:r>
        <w:rPr>
          <w:rFonts w:hint="default"/>
          <w:color w:val="auto"/>
        </w:rPr>
        <w:t>防渗分区图见图6.</w:t>
      </w:r>
      <w:r>
        <w:rPr>
          <w:rFonts w:hint="eastAsia"/>
          <w:color w:val="auto"/>
          <w:lang w:val="en-US" w:eastAsia="zh-CN"/>
        </w:rPr>
        <w:t>2-1</w:t>
      </w:r>
      <w:r>
        <w:rPr>
          <w:rFonts w:hint="default"/>
          <w:color w:val="auto"/>
        </w:rPr>
        <w:t>。</w:t>
      </w:r>
    </w:p>
    <w:bookmarkEnd w:id="743"/>
    <w:p w14:paraId="64EE46AD">
      <w:pPr>
        <w:pStyle w:val="61"/>
        <w:bidi w:val="0"/>
        <w:jc w:val="both"/>
        <w:rPr>
          <w:rFonts w:hint="eastAsia"/>
          <w:color w:val="auto"/>
          <w:lang w:eastAsia="zh-CN"/>
        </w:rPr>
      </w:pPr>
      <w:r>
        <w:rPr>
          <w:rFonts w:hint="eastAsia"/>
          <w:color w:val="auto"/>
        </w:rPr>
        <w:t>表</w:t>
      </w:r>
      <w:r>
        <w:rPr>
          <w:rFonts w:hint="eastAsia"/>
          <w:color w:val="auto"/>
          <w:lang w:val="en-US" w:eastAsia="zh-CN"/>
        </w:rPr>
        <w:t xml:space="preserve">6.2-1   </w:t>
      </w:r>
      <w:r>
        <w:rPr>
          <w:rFonts w:hint="eastAsia"/>
          <w:color w:val="auto"/>
        </w:rPr>
        <w:t xml:space="preserve">  其他区域污染防渗区划分</w:t>
      </w:r>
    </w:p>
    <w:tbl>
      <w:tblPr>
        <w:tblStyle w:val="36"/>
        <w:tblW w:w="851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60"/>
        <w:gridCol w:w="3295"/>
        <w:gridCol w:w="4264"/>
      </w:tblGrid>
      <w:tr w14:paraId="28FD11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60" w:type="dxa"/>
            <w:tcBorders>
              <w:tl2br w:val="nil"/>
              <w:tr2bl w:val="nil"/>
            </w:tcBorders>
            <w:noWrap w:val="0"/>
            <w:vAlign w:val="center"/>
          </w:tcPr>
          <w:p w14:paraId="7E3D1B4F">
            <w:pPr>
              <w:pStyle w:val="113"/>
              <w:spacing w:line="24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类别</w:t>
            </w:r>
          </w:p>
        </w:tc>
        <w:tc>
          <w:tcPr>
            <w:tcW w:w="3295" w:type="dxa"/>
            <w:tcBorders>
              <w:tl2br w:val="nil"/>
              <w:tr2bl w:val="nil"/>
            </w:tcBorders>
            <w:noWrap w:val="0"/>
            <w:vAlign w:val="center"/>
          </w:tcPr>
          <w:p w14:paraId="544872E6">
            <w:pPr>
              <w:pStyle w:val="113"/>
              <w:spacing w:line="24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项目涉及区域</w:t>
            </w:r>
          </w:p>
        </w:tc>
        <w:tc>
          <w:tcPr>
            <w:tcW w:w="4264" w:type="dxa"/>
            <w:tcBorders>
              <w:tl2br w:val="nil"/>
              <w:tr2bl w:val="nil"/>
            </w:tcBorders>
            <w:noWrap w:val="0"/>
            <w:vAlign w:val="center"/>
          </w:tcPr>
          <w:p w14:paraId="5AA8A3BB">
            <w:pPr>
              <w:pStyle w:val="113"/>
              <w:spacing w:line="24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防渗要求</w:t>
            </w:r>
          </w:p>
        </w:tc>
      </w:tr>
      <w:tr w14:paraId="25D6E7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jc w:val="center"/>
        </w:trPr>
        <w:tc>
          <w:tcPr>
            <w:tcW w:w="960" w:type="dxa"/>
            <w:tcBorders>
              <w:tl2br w:val="nil"/>
              <w:tr2bl w:val="nil"/>
            </w:tcBorders>
            <w:noWrap w:val="0"/>
            <w:vAlign w:val="center"/>
          </w:tcPr>
          <w:p w14:paraId="66222CE6">
            <w:pPr>
              <w:pStyle w:val="113"/>
              <w:spacing w:line="240" w:lineRule="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重点防渗区</w:t>
            </w:r>
          </w:p>
        </w:tc>
        <w:tc>
          <w:tcPr>
            <w:tcW w:w="3295" w:type="dxa"/>
            <w:tcBorders>
              <w:tl2br w:val="nil"/>
              <w:tr2bl w:val="nil"/>
            </w:tcBorders>
            <w:noWrap w:val="0"/>
            <w:vAlign w:val="center"/>
          </w:tcPr>
          <w:p w14:paraId="2763DF3E">
            <w:pPr>
              <w:pStyle w:val="113"/>
              <w:spacing w:line="24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脱硫区、储罐区、装车区、危废暂存间等区域</w:t>
            </w:r>
          </w:p>
        </w:tc>
        <w:tc>
          <w:tcPr>
            <w:tcW w:w="4264" w:type="dxa"/>
            <w:tcBorders>
              <w:tl2br w:val="nil"/>
              <w:tr2bl w:val="nil"/>
            </w:tcBorders>
            <w:noWrap w:val="0"/>
            <w:vAlign w:val="center"/>
          </w:tcPr>
          <w:p w14:paraId="735C6423">
            <w:pPr>
              <w:pStyle w:val="113"/>
              <w:spacing w:line="240" w:lineRule="auto"/>
              <w:jc w:val="both"/>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防渗层的防渗性能不应低于6.0m厚渗透系数为1.0×10</w:t>
            </w:r>
            <w:r>
              <w:rPr>
                <w:rFonts w:hint="default" w:ascii="Times New Roman" w:hAnsi="Times New Roman" w:eastAsia="宋体" w:cs="Times New Roman"/>
                <w:color w:val="auto"/>
                <w:szCs w:val="21"/>
                <w:vertAlign w:val="superscript"/>
              </w:rPr>
              <w:t>-7</w:t>
            </w:r>
            <w:r>
              <w:rPr>
                <w:rFonts w:hint="default" w:ascii="Times New Roman" w:hAnsi="Times New Roman" w:eastAsia="宋体" w:cs="Times New Roman"/>
                <w:color w:val="auto"/>
                <w:szCs w:val="21"/>
              </w:rPr>
              <w:t>cm/s的黏土层的防渗性能</w:t>
            </w:r>
            <w:r>
              <w:rPr>
                <w:rFonts w:hint="eastAsia" w:ascii="Times New Roman" w:hAnsi="Times New Roman" w:eastAsia="宋体" w:cs="Times New Roman"/>
                <w:color w:val="auto"/>
                <w:szCs w:val="21"/>
                <w:lang w:eastAsia="zh-CN"/>
              </w:rPr>
              <w:t>。施工过程中应有专人负责质量控制，并做好施工记录，同时施工</w:t>
            </w:r>
            <w:r>
              <w:rPr>
                <w:rFonts w:hint="eastAsia" w:cs="Times New Roman"/>
                <w:color w:val="auto"/>
                <w:szCs w:val="21"/>
                <w:lang w:eastAsia="zh-CN"/>
              </w:rPr>
              <w:t>期间</w:t>
            </w:r>
            <w:r>
              <w:rPr>
                <w:rFonts w:hint="eastAsia" w:ascii="Times New Roman" w:hAnsi="Times New Roman" w:eastAsia="宋体" w:cs="Times New Roman"/>
                <w:color w:val="auto"/>
                <w:szCs w:val="21"/>
                <w:lang w:eastAsia="zh-CN"/>
              </w:rPr>
              <w:t>应留存施工影像。</w:t>
            </w:r>
          </w:p>
        </w:tc>
      </w:tr>
      <w:tr w14:paraId="3ED028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60" w:type="dxa"/>
            <w:tcBorders>
              <w:tl2br w:val="nil"/>
              <w:tr2bl w:val="nil"/>
            </w:tcBorders>
            <w:noWrap w:val="0"/>
            <w:vAlign w:val="center"/>
          </w:tcPr>
          <w:p w14:paraId="24837D46">
            <w:pPr>
              <w:pStyle w:val="113"/>
              <w:spacing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一般</w:t>
            </w:r>
          </w:p>
          <w:p w14:paraId="5A34BA97">
            <w:pPr>
              <w:pStyle w:val="113"/>
              <w:spacing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防渗区</w:t>
            </w:r>
          </w:p>
        </w:tc>
        <w:tc>
          <w:tcPr>
            <w:tcW w:w="3295" w:type="dxa"/>
            <w:tcBorders>
              <w:tl2br w:val="nil"/>
              <w:tr2bl w:val="nil"/>
            </w:tcBorders>
            <w:noWrap w:val="0"/>
            <w:vAlign w:val="center"/>
          </w:tcPr>
          <w:p w14:paraId="230676C7">
            <w:pPr>
              <w:pStyle w:val="113"/>
              <w:spacing w:line="24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进站分离区、辅助生产区、控制中心、变电所、增压区、预留区</w:t>
            </w:r>
            <w:r>
              <w:rPr>
                <w:rFonts w:hint="eastAsia" w:cs="Times New Roman"/>
                <w:color w:val="auto"/>
                <w:szCs w:val="21"/>
                <w:lang w:val="en-US" w:eastAsia="zh-CN"/>
              </w:rPr>
              <w:t>、</w:t>
            </w:r>
            <w:r>
              <w:rPr>
                <w:rFonts w:hint="eastAsia" w:ascii="Times New Roman" w:hAnsi="Times New Roman" w:eastAsia="宋体" w:cs="Times New Roman"/>
                <w:color w:val="auto"/>
                <w:szCs w:val="21"/>
                <w:lang w:val="en-US" w:eastAsia="zh-CN"/>
              </w:rPr>
              <w:t>放空火炬区、井口区、装置区</w:t>
            </w:r>
          </w:p>
        </w:tc>
        <w:tc>
          <w:tcPr>
            <w:tcW w:w="4264" w:type="dxa"/>
            <w:tcBorders>
              <w:tl2br w:val="nil"/>
              <w:tr2bl w:val="nil"/>
            </w:tcBorders>
            <w:noWrap w:val="0"/>
            <w:vAlign w:val="center"/>
          </w:tcPr>
          <w:p w14:paraId="7BD78FDE">
            <w:pPr>
              <w:pStyle w:val="113"/>
              <w:spacing w:line="240" w:lineRule="auto"/>
              <w:jc w:val="both"/>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防渗层的防渗性能不应低于1.5m厚，渗透系数为1.0×10</w:t>
            </w:r>
            <w:r>
              <w:rPr>
                <w:rFonts w:hint="default" w:ascii="Times New Roman" w:hAnsi="Times New Roman" w:eastAsia="宋体" w:cs="Times New Roman"/>
                <w:color w:val="auto"/>
                <w:szCs w:val="21"/>
                <w:vertAlign w:val="superscript"/>
              </w:rPr>
              <w:t>-7</w:t>
            </w:r>
            <w:r>
              <w:rPr>
                <w:rFonts w:hint="default" w:ascii="Times New Roman" w:hAnsi="Times New Roman" w:eastAsia="宋体" w:cs="Times New Roman"/>
                <w:color w:val="auto"/>
                <w:szCs w:val="21"/>
              </w:rPr>
              <w:t>cm/s的黏土层的防渗性</w:t>
            </w:r>
            <w:r>
              <w:rPr>
                <w:rFonts w:hint="eastAsia" w:ascii="Times New Roman" w:hAnsi="Times New Roman" w:eastAsia="宋体" w:cs="Times New Roman"/>
                <w:color w:val="auto"/>
                <w:szCs w:val="21"/>
                <w:lang w:eastAsia="zh-CN"/>
              </w:rPr>
              <w:t>。施工过程中应有专人负责质量控制，并做好施工记录，同时施工</w:t>
            </w:r>
            <w:r>
              <w:rPr>
                <w:rFonts w:hint="eastAsia" w:cs="Times New Roman"/>
                <w:color w:val="auto"/>
                <w:szCs w:val="21"/>
                <w:lang w:eastAsia="zh-CN"/>
              </w:rPr>
              <w:t>期间</w:t>
            </w:r>
            <w:r>
              <w:rPr>
                <w:rFonts w:hint="eastAsia" w:ascii="Times New Roman" w:hAnsi="Times New Roman" w:eastAsia="宋体" w:cs="Times New Roman"/>
                <w:color w:val="auto"/>
                <w:szCs w:val="21"/>
                <w:lang w:eastAsia="zh-CN"/>
              </w:rPr>
              <w:t>应留存施工影像。</w:t>
            </w:r>
          </w:p>
        </w:tc>
      </w:tr>
      <w:tr w14:paraId="07FF40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60" w:type="dxa"/>
            <w:tcBorders>
              <w:tl2br w:val="nil"/>
              <w:tr2bl w:val="nil"/>
            </w:tcBorders>
            <w:noWrap w:val="0"/>
            <w:vAlign w:val="center"/>
          </w:tcPr>
          <w:p w14:paraId="2A4A941E">
            <w:pPr>
              <w:pStyle w:val="113"/>
              <w:spacing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简单</w:t>
            </w:r>
          </w:p>
          <w:p w14:paraId="25922D4F">
            <w:pPr>
              <w:pStyle w:val="113"/>
              <w:spacing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防渗区</w:t>
            </w:r>
          </w:p>
        </w:tc>
        <w:tc>
          <w:tcPr>
            <w:tcW w:w="3295" w:type="dxa"/>
            <w:tcBorders>
              <w:tl2br w:val="nil"/>
              <w:tr2bl w:val="nil"/>
            </w:tcBorders>
            <w:noWrap w:val="0"/>
            <w:vAlign w:val="center"/>
          </w:tcPr>
          <w:p w14:paraId="5FA42E8E">
            <w:pPr>
              <w:pStyle w:val="113"/>
              <w:spacing w:line="24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其他区域</w:t>
            </w:r>
          </w:p>
        </w:tc>
        <w:tc>
          <w:tcPr>
            <w:tcW w:w="4264" w:type="dxa"/>
            <w:tcBorders>
              <w:tl2br w:val="nil"/>
              <w:tr2bl w:val="nil"/>
            </w:tcBorders>
            <w:noWrap w:val="0"/>
            <w:vAlign w:val="center"/>
          </w:tcPr>
          <w:p w14:paraId="4BACFD96">
            <w:pPr>
              <w:pStyle w:val="113"/>
              <w:spacing w:line="240" w:lineRule="auto"/>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一般地面硬化</w:t>
            </w:r>
          </w:p>
        </w:tc>
      </w:tr>
      <w:bookmarkEnd w:id="742"/>
    </w:tbl>
    <w:p w14:paraId="7A0FEA9D">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3"/>
        <w:rPr>
          <w:rFonts w:hint="default" w:ascii="Times New Roman" w:hAnsi="Times New Roman" w:cs="Times New Roman"/>
          <w:b/>
          <w:bCs/>
          <w:color w:val="auto"/>
          <w:kern w:val="0"/>
          <w:sz w:val="24"/>
          <w:szCs w:val="24"/>
          <w:highlight w:val="none"/>
        </w:rPr>
        <w:sectPr>
          <w:pgSz w:w="11906"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AndChars" w:linePitch="316" w:charSpace="0"/>
        </w:sectPr>
      </w:pPr>
    </w:p>
    <w:p w14:paraId="3F629E6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黑体" w:hAnsi="黑体" w:eastAsia="黑体" w:cs="黑体"/>
          <w:b/>
          <w:bCs/>
          <w:color w:val="auto"/>
          <w:sz w:val="24"/>
          <w:szCs w:val="24"/>
          <w:highlight w:val="none"/>
          <w:lang w:eastAsia="zh-CN"/>
        </w:rPr>
      </w:pPr>
      <w:r>
        <w:rPr>
          <w:rFonts w:hint="eastAsia" w:ascii="黑体" w:hAnsi="黑体" w:eastAsia="黑体" w:cs="黑体"/>
          <w:b/>
          <w:bCs/>
          <w:color w:val="auto"/>
          <w:sz w:val="24"/>
          <w:szCs w:val="24"/>
          <w:highlight w:val="none"/>
          <w:lang w:val="en-US" w:eastAsia="zh-CN"/>
        </w:rPr>
        <w:t>图6.2-1     本项目分区防渗图（雄探1试采点）</w:t>
      </w:r>
    </w:p>
    <w:p w14:paraId="7A64B738">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3"/>
        <w:rPr>
          <w:rFonts w:hint="eastAsia" w:ascii="黑体" w:hAnsi="黑体" w:eastAsia="黑体" w:cs="黑体"/>
          <w:b/>
          <w:bCs/>
          <w:color w:val="auto"/>
          <w:kern w:val="0"/>
          <w:sz w:val="24"/>
          <w:szCs w:val="24"/>
          <w:highlight w:val="none"/>
        </w:rPr>
        <w:sectPr>
          <w:pgSz w:w="16838" w:h="11906" w:orient="landscape"/>
          <w:pgMar w:top="1814" w:right="1474" w:bottom="1474" w:left="1474" w:header="850" w:footer="992" w:gutter="0"/>
          <w:pgBorders>
            <w:top w:val="none" w:sz="0" w:space="0"/>
            <w:left w:val="none" w:sz="0" w:space="0"/>
            <w:bottom w:val="none" w:sz="0" w:space="0"/>
            <w:right w:val="none" w:sz="0" w:space="0"/>
          </w:pgBorders>
          <w:pgNumType w:fmt="decimal"/>
          <w:cols w:space="0" w:num="1"/>
          <w:rtlGutter w:val="0"/>
          <w:docGrid w:type="linesAndChars" w:linePitch="316" w:charSpace="0"/>
        </w:sectPr>
      </w:pPr>
    </w:p>
    <w:p w14:paraId="3B94E7AB">
      <w:pPr>
        <w:pStyle w:val="79"/>
        <w:bidi w:val="0"/>
        <w:rPr>
          <w:rFonts w:hint="default"/>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rFonts w:hint="default"/>
          <w:color w:val="auto"/>
          <w:lang w:val="en-US" w:eastAsia="zh-CN"/>
        </w:rPr>
        <w:t>管道刺漏防范措施</w:t>
      </w:r>
    </w:p>
    <w:p w14:paraId="4FEC6D89">
      <w:pPr>
        <w:pStyle w:val="79"/>
        <w:bidi w:val="0"/>
        <w:rPr>
          <w:rFonts w:hint="default"/>
          <w:color w:val="auto"/>
          <w:lang w:val="en-US" w:eastAsia="zh-CN"/>
        </w:rPr>
      </w:pPr>
      <w:r>
        <w:rPr>
          <w:rFonts w:hint="default"/>
          <w:color w:val="auto"/>
          <w:lang w:val="en-US" w:eastAsia="zh-CN"/>
        </w:rPr>
        <w:t>在管道上方设置标志，以防附近的各类施工活动对管道的破坏。减轻管道的内外腐蚀，定期检测管道的内外腐蚀情况，并配备适当的管道抢修、灭火及人员抢救设备。</w:t>
      </w:r>
    </w:p>
    <w:p w14:paraId="7BBDE951">
      <w:pPr>
        <w:pStyle w:val="79"/>
        <w:bidi w:val="0"/>
        <w:rPr>
          <w:rFonts w:hint="default"/>
          <w:color w:val="auto"/>
          <w:lang w:val="en-US" w:eastAsia="zh-CN"/>
        </w:rPr>
      </w:pPr>
      <w:r>
        <w:rPr>
          <w:rFonts w:hint="default"/>
          <w:color w:val="auto"/>
          <w:lang w:val="en-US" w:eastAsia="zh-CN"/>
        </w:rPr>
        <w:t>利用管道的压力、流量监控系统，发现异常立即排查，</w:t>
      </w:r>
      <w:r>
        <w:rPr>
          <w:rFonts w:hint="eastAsia"/>
          <w:color w:val="auto"/>
          <w:lang w:val="en-US" w:eastAsia="zh-CN"/>
        </w:rPr>
        <w:t>若</w:t>
      </w:r>
      <w:r>
        <w:rPr>
          <w:rFonts w:hint="default"/>
          <w:color w:val="auto"/>
          <w:lang w:val="en-US" w:eastAsia="zh-CN"/>
        </w:rPr>
        <w:t>出现问题，立即派人现场核查，如有</w:t>
      </w:r>
      <w:r>
        <w:rPr>
          <w:rFonts w:hint="eastAsia"/>
          <w:color w:val="auto"/>
          <w:lang w:val="en-US" w:eastAsia="zh-CN"/>
        </w:rPr>
        <w:t>突发事件</w:t>
      </w:r>
      <w:r>
        <w:rPr>
          <w:rFonts w:hint="default"/>
          <w:color w:val="auto"/>
          <w:lang w:val="en-US" w:eastAsia="zh-CN"/>
        </w:rPr>
        <w:t>启动应急预案。</w:t>
      </w:r>
    </w:p>
    <w:p w14:paraId="5631F878">
      <w:pPr>
        <w:pStyle w:val="79"/>
        <w:bidi w:val="0"/>
        <w:rPr>
          <w:rFonts w:hint="default"/>
          <w:color w:val="auto"/>
          <w:lang w:val="en-US" w:eastAsia="zh-CN"/>
        </w:rPr>
      </w:pPr>
      <w:r>
        <w:rPr>
          <w:rFonts w:hint="default"/>
          <w:color w:val="auto"/>
          <w:lang w:val="en-US" w:eastAsia="zh-CN"/>
        </w:rPr>
        <w:t>一旦管道发生泄漏事故，井场及试采点内设置有流量控制仪及压力变送器，当检测到压力降速率超过0.15MPa/min时，由SCADA系统发出指令，远程自动关闭阀门。</w:t>
      </w:r>
    </w:p>
    <w:p w14:paraId="147EF0F0">
      <w:pPr>
        <w:pStyle w:val="79"/>
        <w:bidi w:val="0"/>
        <w:rPr>
          <w:rFonts w:hint="default"/>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rFonts w:hint="default"/>
          <w:color w:val="auto"/>
          <w:lang w:val="en-US" w:eastAsia="zh-CN"/>
        </w:rPr>
        <w:t>地下水环境监测与管理</w:t>
      </w:r>
    </w:p>
    <w:p w14:paraId="738A277C">
      <w:pPr>
        <w:pStyle w:val="79"/>
        <w:bidi w:val="0"/>
        <w:rPr>
          <w:rFonts w:hint="default"/>
          <w:color w:val="auto"/>
        </w:rPr>
      </w:pPr>
      <w:r>
        <w:rPr>
          <w:rFonts w:hint="default"/>
          <w:color w:val="auto"/>
        </w:rPr>
        <w:t>根据</w:t>
      </w:r>
      <w:r>
        <w:rPr>
          <w:rFonts w:hint="default"/>
          <w:color w:val="auto"/>
          <w:lang w:eastAsia="zh-CN"/>
        </w:rPr>
        <w:t>本工程</w:t>
      </w:r>
      <w:r>
        <w:rPr>
          <w:rFonts w:hint="default"/>
          <w:color w:val="auto"/>
        </w:rPr>
        <w:t>特点建立和完善区域地下水环境监测制度和环境管理体系，制定完善的监测计划，环境监测工作可委托当地有资质的环境监测机构承担。根据《</w:t>
      </w:r>
      <w:r>
        <w:rPr>
          <w:rFonts w:hint="default"/>
          <w:color w:val="auto"/>
          <w:lang w:eastAsia="zh-CN"/>
        </w:rPr>
        <w:t>环境影响评价技术导则 地下水环境</w:t>
      </w:r>
      <w:r>
        <w:rPr>
          <w:rFonts w:hint="default"/>
          <w:color w:val="auto"/>
        </w:rPr>
        <w:t>》</w:t>
      </w:r>
      <w:r>
        <w:rPr>
          <w:rFonts w:hint="default"/>
          <w:color w:val="auto"/>
          <w:lang w:eastAsia="zh-CN"/>
        </w:rPr>
        <w:t>（</w:t>
      </w:r>
      <w:r>
        <w:rPr>
          <w:rFonts w:hint="default"/>
          <w:color w:val="auto"/>
        </w:rPr>
        <w:t>HJ610-2016</w:t>
      </w:r>
      <w:r>
        <w:rPr>
          <w:rFonts w:hint="default"/>
          <w:color w:val="auto"/>
          <w:lang w:eastAsia="zh-CN"/>
        </w:rPr>
        <w:t>）</w:t>
      </w:r>
      <w:r>
        <w:rPr>
          <w:rFonts w:hint="default"/>
          <w:color w:val="auto"/>
        </w:rPr>
        <w:t>及《地下水环境监测技术规范》</w:t>
      </w:r>
      <w:r>
        <w:rPr>
          <w:rFonts w:hint="default"/>
          <w:color w:val="auto"/>
          <w:lang w:eastAsia="zh-CN"/>
        </w:rPr>
        <w:t>（</w:t>
      </w:r>
      <w:r>
        <w:rPr>
          <w:rFonts w:hint="default"/>
          <w:color w:val="auto"/>
        </w:rPr>
        <w:t>HJ164-2020</w:t>
      </w:r>
      <w:r>
        <w:rPr>
          <w:rFonts w:hint="default"/>
          <w:color w:val="auto"/>
          <w:lang w:eastAsia="zh-CN"/>
        </w:rPr>
        <w:t>）</w:t>
      </w:r>
      <w:r>
        <w:rPr>
          <w:rFonts w:hint="default"/>
          <w:color w:val="auto"/>
        </w:rPr>
        <w:t>的要求、地下水流向、项目的平面布置特征及地下水监测布点原则，</w:t>
      </w:r>
      <w:r>
        <w:rPr>
          <w:rFonts w:hint="default"/>
          <w:color w:val="auto"/>
          <w:lang w:eastAsia="zh-CN"/>
        </w:rPr>
        <w:t>本工程</w:t>
      </w:r>
      <w:r>
        <w:rPr>
          <w:rFonts w:hint="default"/>
          <w:color w:val="auto"/>
        </w:rPr>
        <w:t>地下水监测计划</w:t>
      </w:r>
      <w:r>
        <w:rPr>
          <w:rFonts w:hint="default"/>
          <w:color w:val="auto"/>
          <w:lang w:eastAsia="zh-CN"/>
        </w:rPr>
        <w:t>，</w:t>
      </w:r>
      <w:r>
        <w:rPr>
          <w:rFonts w:hint="default"/>
          <w:color w:val="auto"/>
        </w:rPr>
        <w:t>见表</w:t>
      </w:r>
      <w:r>
        <w:rPr>
          <w:rFonts w:hint="default"/>
          <w:color w:val="auto"/>
          <w:lang w:val="en-US" w:eastAsia="zh-CN"/>
        </w:rPr>
        <w:t>6.2-</w:t>
      </w:r>
      <w:r>
        <w:rPr>
          <w:rFonts w:hint="eastAsia"/>
          <w:color w:val="auto"/>
          <w:lang w:val="en-US" w:eastAsia="zh-CN"/>
        </w:rPr>
        <w:t>2</w:t>
      </w:r>
      <w:r>
        <w:rPr>
          <w:rFonts w:hint="default"/>
          <w:color w:val="auto"/>
        </w:rPr>
        <w:t>。</w:t>
      </w:r>
    </w:p>
    <w:p w14:paraId="6B3BEDDF">
      <w:pPr>
        <w:pStyle w:val="61"/>
        <w:bidi w:val="0"/>
        <w:jc w:val="both"/>
        <w:rPr>
          <w:rFonts w:hint="default"/>
          <w:color w:val="auto"/>
          <w:lang w:val="en-US" w:eastAsia="zh-CN"/>
        </w:rPr>
      </w:pPr>
      <w:r>
        <w:rPr>
          <w:rFonts w:hint="default"/>
          <w:color w:val="auto"/>
          <w:lang w:val="en-US" w:eastAsia="zh-CN"/>
        </w:rPr>
        <w:t>表6.2-</w:t>
      </w:r>
      <w:r>
        <w:rPr>
          <w:rFonts w:hint="eastAsia"/>
          <w:color w:val="auto"/>
          <w:lang w:val="en-US" w:eastAsia="zh-CN"/>
        </w:rPr>
        <w:t>2</w:t>
      </w:r>
      <w:r>
        <w:rPr>
          <w:rFonts w:hint="default"/>
          <w:color w:val="auto"/>
          <w:lang w:val="en-US" w:eastAsia="zh-CN"/>
        </w:rPr>
        <w:t xml:space="preserve">  地下水监测点布控一览表</w:t>
      </w:r>
    </w:p>
    <w:tbl>
      <w:tblPr>
        <w:tblStyle w:val="36"/>
        <w:tblW w:w="499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21"/>
        <w:gridCol w:w="2210"/>
        <w:gridCol w:w="1166"/>
        <w:gridCol w:w="1590"/>
        <w:gridCol w:w="2842"/>
      </w:tblGrid>
      <w:tr w14:paraId="320883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78" w:type="pct"/>
            <w:tcBorders>
              <w:tl2br w:val="nil"/>
              <w:tr2bl w:val="nil"/>
            </w:tcBorders>
            <w:noWrap w:val="0"/>
            <w:vAlign w:val="center"/>
          </w:tcPr>
          <w:p w14:paraId="76679210">
            <w:pPr>
              <w:jc w:val="center"/>
              <w:rPr>
                <w:color w:val="auto"/>
                <w:sz w:val="21"/>
                <w:szCs w:val="18"/>
              </w:rPr>
            </w:pPr>
            <w:r>
              <w:rPr>
                <w:rFonts w:hint="eastAsia"/>
                <w:color w:val="auto"/>
                <w:sz w:val="21"/>
                <w:szCs w:val="18"/>
              </w:rPr>
              <w:t>序号</w:t>
            </w:r>
          </w:p>
        </w:tc>
        <w:tc>
          <w:tcPr>
            <w:tcW w:w="1251" w:type="pct"/>
            <w:tcBorders>
              <w:tl2br w:val="nil"/>
              <w:tr2bl w:val="nil"/>
            </w:tcBorders>
            <w:noWrap w:val="0"/>
            <w:vAlign w:val="center"/>
          </w:tcPr>
          <w:p w14:paraId="5208F31D">
            <w:pPr>
              <w:jc w:val="center"/>
              <w:rPr>
                <w:color w:val="auto"/>
                <w:sz w:val="21"/>
                <w:szCs w:val="18"/>
              </w:rPr>
            </w:pPr>
            <w:r>
              <w:rPr>
                <w:color w:val="auto"/>
                <w:sz w:val="21"/>
                <w:szCs w:val="18"/>
              </w:rPr>
              <w:t>区位</w:t>
            </w:r>
          </w:p>
        </w:tc>
        <w:tc>
          <w:tcPr>
            <w:tcW w:w="660" w:type="pct"/>
            <w:tcBorders>
              <w:tl2br w:val="nil"/>
              <w:tr2bl w:val="nil"/>
            </w:tcBorders>
            <w:noWrap w:val="0"/>
            <w:vAlign w:val="center"/>
          </w:tcPr>
          <w:p w14:paraId="79A811C8">
            <w:pPr>
              <w:jc w:val="center"/>
              <w:rPr>
                <w:color w:val="auto"/>
                <w:sz w:val="21"/>
                <w:szCs w:val="18"/>
              </w:rPr>
            </w:pPr>
            <w:r>
              <w:rPr>
                <w:color w:val="auto"/>
                <w:sz w:val="21"/>
                <w:szCs w:val="18"/>
              </w:rPr>
              <w:t>监测层位</w:t>
            </w:r>
          </w:p>
        </w:tc>
        <w:tc>
          <w:tcPr>
            <w:tcW w:w="900" w:type="pct"/>
            <w:tcBorders>
              <w:tl2br w:val="nil"/>
              <w:tr2bl w:val="nil"/>
            </w:tcBorders>
            <w:noWrap w:val="0"/>
            <w:vAlign w:val="center"/>
          </w:tcPr>
          <w:p w14:paraId="40FF6868">
            <w:pPr>
              <w:jc w:val="center"/>
              <w:rPr>
                <w:color w:val="auto"/>
                <w:sz w:val="21"/>
                <w:szCs w:val="18"/>
              </w:rPr>
            </w:pPr>
            <w:r>
              <w:rPr>
                <w:color w:val="auto"/>
                <w:sz w:val="21"/>
                <w:szCs w:val="18"/>
              </w:rPr>
              <w:t>监测频率</w:t>
            </w:r>
          </w:p>
        </w:tc>
        <w:tc>
          <w:tcPr>
            <w:tcW w:w="1609" w:type="pct"/>
            <w:tcBorders>
              <w:tl2br w:val="nil"/>
              <w:tr2bl w:val="nil"/>
            </w:tcBorders>
            <w:noWrap w:val="0"/>
            <w:vAlign w:val="center"/>
          </w:tcPr>
          <w:p w14:paraId="38824AC3">
            <w:pPr>
              <w:jc w:val="center"/>
              <w:rPr>
                <w:color w:val="auto"/>
                <w:sz w:val="21"/>
                <w:szCs w:val="18"/>
              </w:rPr>
            </w:pPr>
            <w:r>
              <w:rPr>
                <w:color w:val="auto"/>
                <w:sz w:val="21"/>
                <w:szCs w:val="18"/>
              </w:rPr>
              <w:t>主要监测项目</w:t>
            </w:r>
          </w:p>
        </w:tc>
      </w:tr>
      <w:tr w14:paraId="6422C2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6" w:hRule="atLeast"/>
        </w:trPr>
        <w:tc>
          <w:tcPr>
            <w:tcW w:w="578" w:type="pct"/>
            <w:tcBorders>
              <w:tl2br w:val="nil"/>
              <w:tr2bl w:val="nil"/>
            </w:tcBorders>
            <w:noWrap w:val="0"/>
            <w:vAlign w:val="center"/>
          </w:tcPr>
          <w:p w14:paraId="02FA5738">
            <w:pPr>
              <w:jc w:val="center"/>
              <w:rPr>
                <w:color w:val="auto"/>
                <w:sz w:val="21"/>
                <w:szCs w:val="18"/>
              </w:rPr>
            </w:pPr>
            <w:r>
              <w:rPr>
                <w:rFonts w:hint="eastAsia"/>
                <w:color w:val="auto"/>
                <w:sz w:val="21"/>
                <w:szCs w:val="18"/>
              </w:rPr>
              <w:t>1</w:t>
            </w:r>
          </w:p>
        </w:tc>
        <w:tc>
          <w:tcPr>
            <w:tcW w:w="1251" w:type="pct"/>
            <w:tcBorders>
              <w:tl2br w:val="nil"/>
              <w:tr2bl w:val="nil"/>
            </w:tcBorders>
            <w:noWrap w:val="0"/>
            <w:vAlign w:val="center"/>
          </w:tcPr>
          <w:p w14:paraId="515CB304">
            <w:pPr>
              <w:jc w:val="center"/>
              <w:rPr>
                <w:color w:val="auto"/>
                <w:sz w:val="21"/>
                <w:szCs w:val="18"/>
              </w:rPr>
            </w:pPr>
            <w:r>
              <w:rPr>
                <w:rFonts w:hint="eastAsia"/>
                <w:color w:val="auto"/>
                <w:sz w:val="21"/>
                <w:szCs w:val="18"/>
                <w:lang w:val="en-US" w:eastAsia="zh-CN"/>
              </w:rPr>
              <w:t>油田区块</w:t>
            </w:r>
            <w:r>
              <w:rPr>
                <w:rFonts w:hint="eastAsia"/>
                <w:color w:val="auto"/>
                <w:sz w:val="21"/>
                <w:szCs w:val="18"/>
              </w:rPr>
              <w:t>周边</w:t>
            </w:r>
          </w:p>
        </w:tc>
        <w:tc>
          <w:tcPr>
            <w:tcW w:w="660" w:type="pct"/>
            <w:tcBorders>
              <w:tl2br w:val="nil"/>
              <w:tr2bl w:val="nil"/>
            </w:tcBorders>
            <w:noWrap w:val="0"/>
            <w:vAlign w:val="center"/>
          </w:tcPr>
          <w:p w14:paraId="54C24D20">
            <w:pPr>
              <w:jc w:val="center"/>
              <w:rPr>
                <w:color w:val="auto"/>
                <w:sz w:val="21"/>
                <w:szCs w:val="18"/>
              </w:rPr>
            </w:pPr>
            <w:r>
              <w:rPr>
                <w:color w:val="auto"/>
                <w:sz w:val="21"/>
                <w:szCs w:val="18"/>
              </w:rPr>
              <w:t xml:space="preserve">孔隙潜水 </w:t>
            </w:r>
          </w:p>
        </w:tc>
        <w:tc>
          <w:tcPr>
            <w:tcW w:w="900" w:type="pct"/>
            <w:tcBorders>
              <w:tl2br w:val="nil"/>
              <w:tr2bl w:val="nil"/>
            </w:tcBorders>
            <w:noWrap w:val="0"/>
            <w:vAlign w:val="center"/>
          </w:tcPr>
          <w:p w14:paraId="13C9131C">
            <w:pPr>
              <w:jc w:val="both"/>
              <w:rPr>
                <w:color w:val="auto"/>
                <w:sz w:val="21"/>
                <w:szCs w:val="18"/>
              </w:rPr>
            </w:pPr>
            <w:r>
              <w:rPr>
                <w:color w:val="auto"/>
                <w:sz w:val="21"/>
                <w:szCs w:val="18"/>
              </w:rPr>
              <w:t>每年采样2次。发生事故时加大取样频率。</w:t>
            </w:r>
          </w:p>
        </w:tc>
        <w:tc>
          <w:tcPr>
            <w:tcW w:w="1609" w:type="pct"/>
            <w:tcBorders>
              <w:tl2br w:val="nil"/>
              <w:tr2bl w:val="nil"/>
            </w:tcBorders>
            <w:noWrap w:val="0"/>
            <w:vAlign w:val="center"/>
          </w:tcPr>
          <w:p w14:paraId="7A85BCEF">
            <w:pPr>
              <w:jc w:val="both"/>
              <w:rPr>
                <w:snapToGrid w:val="0"/>
                <w:color w:val="auto"/>
                <w:spacing w:val="10"/>
                <w:sz w:val="21"/>
                <w:szCs w:val="18"/>
              </w:rPr>
            </w:pPr>
            <w:r>
              <w:rPr>
                <w:color w:val="auto"/>
                <w:sz w:val="21"/>
                <w:szCs w:val="18"/>
              </w:rPr>
              <w:t>石油类，其余监测点和</w:t>
            </w:r>
            <w:r>
              <w:rPr>
                <w:rFonts w:hint="eastAsia"/>
                <w:color w:val="auto"/>
                <w:sz w:val="21"/>
                <w:szCs w:val="18"/>
              </w:rPr>
              <w:t>监测</w:t>
            </w:r>
            <w:r>
              <w:rPr>
                <w:color w:val="auto"/>
                <w:sz w:val="21"/>
                <w:szCs w:val="18"/>
              </w:rPr>
              <w:t>项目可结合</w:t>
            </w:r>
            <w:r>
              <w:rPr>
                <w:rFonts w:hint="eastAsia"/>
                <w:color w:val="auto"/>
                <w:sz w:val="21"/>
                <w:szCs w:val="18"/>
              </w:rPr>
              <w:t>英买</w:t>
            </w:r>
            <w:r>
              <w:rPr>
                <w:rFonts w:hint="eastAsia"/>
                <w:color w:val="auto"/>
                <w:sz w:val="21"/>
                <w:szCs w:val="18"/>
                <w:lang w:eastAsia="zh-CN"/>
              </w:rPr>
              <w:t>油气田</w:t>
            </w:r>
            <w:r>
              <w:rPr>
                <w:color w:val="auto"/>
                <w:sz w:val="21"/>
                <w:szCs w:val="18"/>
              </w:rPr>
              <w:t>例行监测计划增加。</w:t>
            </w:r>
          </w:p>
        </w:tc>
      </w:tr>
    </w:tbl>
    <w:p w14:paraId="6D1BE596">
      <w:pPr>
        <w:pStyle w:val="79"/>
        <w:bidi w:val="0"/>
        <w:rPr>
          <w:rFonts w:hint="default"/>
          <w:color w:val="auto"/>
        </w:rPr>
      </w:pPr>
      <w:r>
        <w:rPr>
          <w:rFonts w:hint="default"/>
          <w:color w:val="auto"/>
        </w:rPr>
        <w:t>上述监测结果应按项目有关规定及时建立档案，并定期向</w:t>
      </w:r>
      <w:r>
        <w:rPr>
          <w:rFonts w:hint="default"/>
          <w:color w:val="auto"/>
          <w:lang w:val="en-US" w:eastAsia="zh-CN"/>
        </w:rPr>
        <w:t>英买采油气管理区</w:t>
      </w:r>
      <w:r>
        <w:rPr>
          <w:rFonts w:hint="default"/>
          <w:color w:val="auto"/>
        </w:rPr>
        <w:t>安全环保部门汇报，对于常规监测数据应该进行公开。如发现异常或发生事故，加密监测频次，改为每周监测一次，并分析污染原因，确定泄漏污染源，及时采取应急措施。</w:t>
      </w:r>
    </w:p>
    <w:p w14:paraId="28744C9F">
      <w:pPr>
        <w:pStyle w:val="79"/>
        <w:bidi w:val="0"/>
        <w:rPr>
          <w:rFonts w:hint="default"/>
          <w:color w:val="auto"/>
        </w:rPr>
      </w:pPr>
      <w:r>
        <w:rPr>
          <w:rFonts w:hint="default"/>
          <w:color w:val="auto"/>
        </w:rPr>
        <w:t>为保证地下水监测工作</w:t>
      </w:r>
      <w:r>
        <w:rPr>
          <w:rFonts w:hint="default"/>
          <w:color w:val="auto"/>
          <w:lang w:val="en-US" w:eastAsia="zh-CN"/>
        </w:rPr>
        <w:t>高</w:t>
      </w:r>
      <w:r>
        <w:rPr>
          <w:rFonts w:hint="default"/>
          <w:color w:val="auto"/>
        </w:rPr>
        <w:t>效有序运行，须明确职责、制定相关规定进行管理；具体管理措施和技术措施如下：</w:t>
      </w:r>
    </w:p>
    <w:p w14:paraId="1A844C78">
      <w:pPr>
        <w:pStyle w:val="79"/>
        <w:bidi w:val="0"/>
        <w:rPr>
          <w:rFonts w:hint="default"/>
          <w:color w:val="auto"/>
        </w:rPr>
      </w:pPr>
      <w:r>
        <w:rPr>
          <w:rFonts w:hint="default"/>
          <w:color w:val="auto"/>
          <w:lang w:eastAsia="zh-CN"/>
        </w:rPr>
        <w:t>（</w:t>
      </w:r>
      <w:r>
        <w:rPr>
          <w:rFonts w:hint="default"/>
          <w:color w:val="auto"/>
          <w:lang w:val="en-US" w:eastAsia="zh-CN"/>
        </w:rPr>
        <w:t>1</w:t>
      </w:r>
      <w:r>
        <w:rPr>
          <w:rFonts w:hint="default"/>
          <w:color w:val="auto"/>
          <w:lang w:eastAsia="zh-CN"/>
        </w:rPr>
        <w:t>）</w:t>
      </w:r>
      <w:r>
        <w:rPr>
          <w:rFonts w:hint="default"/>
          <w:color w:val="auto"/>
        </w:rPr>
        <w:t>管理措施</w:t>
      </w:r>
    </w:p>
    <w:p w14:paraId="3734E279">
      <w:pPr>
        <w:pStyle w:val="79"/>
        <w:bidi w:val="0"/>
        <w:rPr>
          <w:rFonts w:hint="default"/>
          <w:color w:val="auto"/>
        </w:rPr>
      </w:pPr>
      <w:r>
        <w:rPr>
          <w:rFonts w:hint="default"/>
          <w:color w:val="auto"/>
        </w:rPr>
        <w:t>1）预防地下水污染的管理工作是生态环境管理部门的职责之一，油田公司环境保护管理部门应指派专人负责预防地下水污染的管理工作；</w:t>
      </w:r>
    </w:p>
    <w:p w14:paraId="52D3E827">
      <w:pPr>
        <w:pStyle w:val="79"/>
        <w:bidi w:val="0"/>
        <w:rPr>
          <w:rFonts w:hint="default"/>
          <w:color w:val="auto"/>
        </w:rPr>
      </w:pPr>
      <w:r>
        <w:rPr>
          <w:rFonts w:hint="default"/>
          <w:color w:val="auto"/>
        </w:rPr>
        <w:t>2）建设单位应委托具有监测资质的单位按时、按质、按量完成地下水监测工作，并按要求分析整理原始资料、编写监测报告；</w:t>
      </w:r>
    </w:p>
    <w:p w14:paraId="1D000CA4">
      <w:pPr>
        <w:pStyle w:val="79"/>
        <w:bidi w:val="0"/>
        <w:rPr>
          <w:rFonts w:hint="default"/>
          <w:color w:val="auto"/>
        </w:rPr>
      </w:pPr>
      <w:r>
        <w:rPr>
          <w:rFonts w:hint="default"/>
          <w:color w:val="auto"/>
        </w:rPr>
        <w:t>3）建立与工程区环境管理系统相联系的地下水监测信息管理系统；</w:t>
      </w:r>
    </w:p>
    <w:p w14:paraId="71962DC5">
      <w:pPr>
        <w:pStyle w:val="79"/>
        <w:bidi w:val="0"/>
        <w:rPr>
          <w:rFonts w:hint="default"/>
          <w:color w:val="auto"/>
        </w:rPr>
      </w:pPr>
      <w:r>
        <w:rPr>
          <w:rFonts w:hint="default"/>
          <w:color w:val="auto"/>
        </w:rPr>
        <w:t>4）按突发事故的性质、类型、影响范围、后果严重性分等级制订相应的应急预案，在制定预案时要根据环境污染事故潜在威胁的情况，认真细致地考虑各项影响因素，并组织有关部门、人员进行适时演练、不断补充完善预案内容。</w:t>
      </w:r>
    </w:p>
    <w:p w14:paraId="1ACCFA81">
      <w:pPr>
        <w:pStyle w:val="79"/>
        <w:bidi w:val="0"/>
        <w:rPr>
          <w:rFonts w:hint="default"/>
          <w:color w:val="auto"/>
        </w:rPr>
      </w:pPr>
      <w:r>
        <w:rPr>
          <w:rFonts w:hint="default"/>
          <w:color w:val="auto"/>
          <w:lang w:eastAsia="zh-CN"/>
        </w:rPr>
        <w:t>（</w:t>
      </w:r>
      <w:r>
        <w:rPr>
          <w:rFonts w:hint="default"/>
          <w:color w:val="auto"/>
          <w:lang w:val="en-US" w:eastAsia="zh-CN"/>
        </w:rPr>
        <w:t>2</w:t>
      </w:r>
      <w:r>
        <w:rPr>
          <w:rFonts w:hint="default"/>
          <w:color w:val="auto"/>
          <w:lang w:eastAsia="zh-CN"/>
        </w:rPr>
        <w:t>）</w:t>
      </w:r>
      <w:r>
        <w:rPr>
          <w:rFonts w:hint="default"/>
          <w:color w:val="auto"/>
        </w:rPr>
        <w:t>技术措施</w:t>
      </w:r>
    </w:p>
    <w:p w14:paraId="3176349C">
      <w:pPr>
        <w:pStyle w:val="79"/>
        <w:bidi w:val="0"/>
        <w:rPr>
          <w:rFonts w:hint="default"/>
          <w:color w:val="auto"/>
        </w:rPr>
      </w:pPr>
      <w:r>
        <w:rPr>
          <w:rFonts w:hint="default"/>
          <w:color w:val="auto"/>
        </w:rPr>
        <w:t>1）定期对法兰、阀门、管道等进行检查。</w:t>
      </w:r>
    </w:p>
    <w:p w14:paraId="4930F041">
      <w:pPr>
        <w:pStyle w:val="79"/>
        <w:bidi w:val="0"/>
        <w:rPr>
          <w:rFonts w:hint="default"/>
          <w:color w:val="auto"/>
        </w:rPr>
      </w:pPr>
      <w:r>
        <w:rPr>
          <w:rFonts w:hint="default"/>
          <w:color w:val="auto"/>
        </w:rPr>
        <w:t>2）在日常例行监测中，一旦发现地下水水质监测数据异常，应尽快核查数据，确保数据的正确性，并将核查过的监测数据</w:t>
      </w:r>
      <w:r>
        <w:rPr>
          <w:rFonts w:hint="default"/>
          <w:color w:val="auto"/>
          <w:lang w:eastAsia="zh-CN"/>
        </w:rPr>
        <w:t>通告</w:t>
      </w:r>
      <w:r>
        <w:rPr>
          <w:rFonts w:hint="default"/>
          <w:color w:val="auto"/>
        </w:rPr>
        <w:t>相关部门，由专人负责对数据进行分析、核实，并密切关注生产设施的运行情况。具体内容如下：了解全井场、站场生产是否出现异常情况，出现异常情况的装置、原因；加大监测密度，如监测频率由</w:t>
      </w:r>
      <w:r>
        <w:rPr>
          <w:rFonts w:hint="default"/>
          <w:color w:val="auto"/>
          <w:lang w:eastAsia="zh-CN"/>
        </w:rPr>
        <w:t>每年两次</w:t>
      </w:r>
      <w:r>
        <w:rPr>
          <w:rFonts w:hint="default"/>
          <w:color w:val="auto"/>
        </w:rPr>
        <w:t>临时加密为每天一次或更多，连续多天，分析变化动向。</w:t>
      </w:r>
    </w:p>
    <w:p w14:paraId="3DDBAF7D">
      <w:pPr>
        <w:pStyle w:val="55"/>
        <w:bidi w:val="0"/>
        <w:rPr>
          <w:rFonts w:hint="default"/>
          <w:color w:val="auto"/>
        </w:rPr>
      </w:pPr>
      <w:r>
        <w:rPr>
          <w:rFonts w:hint="default"/>
          <w:color w:val="auto"/>
        </w:rPr>
        <w:t>6.</w:t>
      </w:r>
      <w:r>
        <w:rPr>
          <w:rFonts w:hint="default"/>
          <w:color w:val="auto"/>
          <w:lang w:val="en-US" w:eastAsia="zh-CN"/>
        </w:rPr>
        <w:t>2</w:t>
      </w:r>
      <w:r>
        <w:rPr>
          <w:rFonts w:hint="default"/>
          <w:color w:val="auto"/>
        </w:rPr>
        <w:t>.</w:t>
      </w:r>
      <w:r>
        <w:rPr>
          <w:rFonts w:hint="eastAsia"/>
          <w:color w:val="auto"/>
          <w:lang w:val="en-US" w:eastAsia="zh-CN"/>
        </w:rPr>
        <w:t>2</w:t>
      </w:r>
      <w:r>
        <w:rPr>
          <w:rFonts w:hint="default"/>
          <w:color w:val="auto"/>
        </w:rPr>
        <w:t>.</w:t>
      </w:r>
      <w:r>
        <w:rPr>
          <w:rFonts w:hint="eastAsia"/>
          <w:color w:val="auto"/>
          <w:lang w:val="en-US" w:eastAsia="zh-CN"/>
        </w:rPr>
        <w:t>6</w:t>
      </w:r>
      <w:r>
        <w:rPr>
          <w:rFonts w:hint="default"/>
          <w:color w:val="auto"/>
          <w:lang w:val="en-US" w:eastAsia="zh-CN"/>
        </w:rPr>
        <w:t xml:space="preserve"> </w:t>
      </w:r>
      <w:r>
        <w:rPr>
          <w:rFonts w:hint="default"/>
          <w:color w:val="auto"/>
        </w:rPr>
        <w:t>地下水污染应急预案及处理</w:t>
      </w:r>
    </w:p>
    <w:p w14:paraId="479283A2">
      <w:pPr>
        <w:pStyle w:val="79"/>
        <w:bidi w:val="0"/>
        <w:rPr>
          <w:rFonts w:hint="default"/>
          <w:color w:val="auto"/>
        </w:rPr>
      </w:pPr>
      <w:r>
        <w:rPr>
          <w:rFonts w:hint="default"/>
          <w:color w:val="auto"/>
        </w:rPr>
        <w:t>（1）应急预案内容</w:t>
      </w:r>
    </w:p>
    <w:p w14:paraId="6D30EECA">
      <w:pPr>
        <w:pStyle w:val="79"/>
        <w:bidi w:val="0"/>
        <w:rPr>
          <w:rFonts w:hint="default"/>
          <w:color w:val="auto"/>
        </w:rPr>
      </w:pPr>
      <w:r>
        <w:rPr>
          <w:rFonts w:hint="default"/>
          <w:color w:val="auto"/>
        </w:rPr>
        <w:t>在制定站场安全管理体制的基础上，制订专门的地下水污染事故应急措施，并应与</w:t>
      </w:r>
      <w:r>
        <w:rPr>
          <w:rFonts w:hint="eastAsia"/>
          <w:color w:val="auto"/>
          <w:lang w:eastAsia="zh-CN"/>
        </w:rPr>
        <w:t>其他</w:t>
      </w:r>
      <w:r>
        <w:rPr>
          <w:rFonts w:hint="default"/>
          <w:color w:val="auto"/>
        </w:rPr>
        <w:t>类型事故的应急预案相协调，并</w:t>
      </w:r>
      <w:r>
        <w:rPr>
          <w:rFonts w:hint="eastAsia"/>
          <w:color w:val="auto"/>
          <w:lang w:eastAsia="zh-CN"/>
        </w:rPr>
        <w:t>纳入</w:t>
      </w:r>
      <w:r>
        <w:rPr>
          <w:rFonts w:hint="default"/>
          <w:color w:val="auto"/>
          <w:lang w:val="en-US" w:eastAsia="zh-CN"/>
        </w:rPr>
        <w:t>作业区</w:t>
      </w:r>
      <w:r>
        <w:rPr>
          <w:rFonts w:hint="default"/>
          <w:color w:val="auto"/>
        </w:rPr>
        <w:t>应急预案中。地下水应急预案的具体内容如下：</w:t>
      </w:r>
    </w:p>
    <w:p w14:paraId="31A2D886">
      <w:pPr>
        <w:pStyle w:val="79"/>
        <w:bidi w:val="0"/>
        <w:rPr>
          <w:rFonts w:hint="default"/>
          <w:color w:val="auto"/>
        </w:rPr>
      </w:pPr>
      <w:r>
        <w:rPr>
          <w:rFonts w:hint="default"/>
          <w:color w:val="auto"/>
          <w:lang w:val="en-US" w:eastAsia="zh-CN"/>
        </w:rPr>
        <w:t>1）</w:t>
      </w:r>
      <w:r>
        <w:rPr>
          <w:rFonts w:hint="default"/>
          <w:color w:val="auto"/>
          <w:lang w:eastAsia="zh-TW"/>
        </w:rPr>
        <w:t>应急预案的</w:t>
      </w:r>
      <w:r>
        <w:rPr>
          <w:rFonts w:hint="default"/>
          <w:color w:val="auto"/>
          <w:lang w:eastAsia="zh-CN"/>
        </w:rPr>
        <w:t>日常</w:t>
      </w:r>
      <w:r>
        <w:rPr>
          <w:rFonts w:hint="default"/>
          <w:color w:val="auto"/>
          <w:lang w:eastAsia="zh-TW"/>
        </w:rPr>
        <w:t>协调和</w:t>
      </w:r>
      <w:r>
        <w:rPr>
          <w:rFonts w:hint="default"/>
          <w:color w:val="auto"/>
        </w:rPr>
        <w:t>指</w:t>
      </w:r>
      <w:r>
        <w:rPr>
          <w:rFonts w:hint="default"/>
          <w:color w:val="auto"/>
          <w:lang w:eastAsia="zh-TW"/>
        </w:rPr>
        <w:t>挥机构</w:t>
      </w:r>
      <w:r>
        <w:rPr>
          <w:rFonts w:hint="default"/>
          <w:color w:val="auto"/>
        </w:rPr>
        <w:t>；</w:t>
      </w:r>
    </w:p>
    <w:p w14:paraId="2C07B095">
      <w:pPr>
        <w:pStyle w:val="79"/>
        <w:bidi w:val="0"/>
        <w:rPr>
          <w:rFonts w:hint="default"/>
          <w:color w:val="auto"/>
          <w:lang w:eastAsia="zh-TW"/>
        </w:rPr>
      </w:pPr>
      <w:r>
        <w:rPr>
          <w:rFonts w:hint="default"/>
          <w:color w:val="auto"/>
          <w:lang w:val="en-US" w:eastAsia="zh-CN"/>
        </w:rPr>
        <w:t>2）</w:t>
      </w:r>
      <w:r>
        <w:rPr>
          <w:rFonts w:hint="default"/>
          <w:color w:val="auto"/>
          <w:lang w:eastAsia="zh-TW"/>
        </w:rPr>
        <w:t>各部门在应急预案中的职责和分工</w:t>
      </w:r>
      <w:r>
        <w:rPr>
          <w:rFonts w:hint="default"/>
          <w:color w:val="auto"/>
        </w:rPr>
        <w:t>；</w:t>
      </w:r>
    </w:p>
    <w:p w14:paraId="3514FC25">
      <w:pPr>
        <w:pStyle w:val="79"/>
        <w:bidi w:val="0"/>
        <w:rPr>
          <w:rFonts w:hint="default"/>
          <w:color w:val="auto"/>
          <w:lang w:eastAsia="zh-TW"/>
        </w:rPr>
      </w:pPr>
      <w:r>
        <w:rPr>
          <w:rFonts w:hint="default"/>
          <w:color w:val="auto"/>
          <w:lang w:val="en-US" w:eastAsia="zh-CN"/>
        </w:rPr>
        <w:t>3）</w:t>
      </w:r>
      <w:r>
        <w:rPr>
          <w:rFonts w:hint="default"/>
          <w:color w:val="auto"/>
          <w:lang w:eastAsia="zh-TW"/>
        </w:rPr>
        <w:t>确定地下水环境保护目标和对目标采取的紧急</w:t>
      </w:r>
      <w:r>
        <w:rPr>
          <w:rFonts w:hint="default"/>
          <w:color w:val="auto"/>
        </w:rPr>
        <w:t>处</w:t>
      </w:r>
      <w:r>
        <w:rPr>
          <w:rFonts w:hint="default"/>
          <w:color w:val="auto"/>
          <w:lang w:eastAsia="zh-TW"/>
        </w:rPr>
        <w:t>置措施，评估潜在污染可能性</w:t>
      </w:r>
      <w:r>
        <w:rPr>
          <w:rFonts w:hint="default"/>
          <w:color w:val="auto"/>
        </w:rPr>
        <w:t>；</w:t>
      </w:r>
    </w:p>
    <w:p w14:paraId="428254FA">
      <w:pPr>
        <w:pStyle w:val="79"/>
        <w:bidi w:val="0"/>
        <w:rPr>
          <w:rFonts w:hint="default"/>
          <w:color w:val="auto"/>
        </w:rPr>
      </w:pPr>
      <w:r>
        <w:rPr>
          <w:rFonts w:hint="default"/>
          <w:color w:val="auto"/>
          <w:lang w:val="en-US" w:eastAsia="zh-CN"/>
        </w:rPr>
        <w:t>4）</w:t>
      </w:r>
      <w:r>
        <w:rPr>
          <w:rFonts w:hint="default"/>
          <w:color w:val="auto"/>
          <w:lang w:eastAsia="zh-TW"/>
        </w:rPr>
        <w:t>特大事故应急救援组织状况、人员和装备情况，平常的训练</w:t>
      </w:r>
      <w:r>
        <w:rPr>
          <w:rFonts w:hint="default"/>
          <w:color w:val="auto"/>
        </w:rPr>
        <w:t>和演习。</w:t>
      </w:r>
    </w:p>
    <w:p w14:paraId="5BB1F032">
      <w:pPr>
        <w:pStyle w:val="79"/>
        <w:bidi w:val="0"/>
        <w:rPr>
          <w:rFonts w:hint="default"/>
          <w:color w:val="auto"/>
        </w:rPr>
      </w:pPr>
      <w:r>
        <w:rPr>
          <w:rFonts w:hint="default"/>
          <w:color w:val="auto"/>
        </w:rPr>
        <w:t>（2）污染事故处理</w:t>
      </w:r>
    </w:p>
    <w:p w14:paraId="2A40AB3A">
      <w:pPr>
        <w:pStyle w:val="79"/>
        <w:bidi w:val="0"/>
        <w:rPr>
          <w:rFonts w:hint="default"/>
          <w:color w:val="auto"/>
        </w:rPr>
      </w:pPr>
      <w:r>
        <w:rPr>
          <w:rFonts w:hint="default"/>
          <w:color w:val="auto"/>
        </w:rPr>
        <w:t>在发现异常或者事故状态下，建议采取如下污染治理措施。</w:t>
      </w:r>
    </w:p>
    <w:p w14:paraId="2D314BE3">
      <w:pPr>
        <w:pStyle w:val="79"/>
        <w:bidi w:val="0"/>
        <w:rPr>
          <w:rFonts w:hint="default"/>
          <w:color w:val="auto"/>
        </w:rPr>
      </w:pPr>
      <w:r>
        <w:rPr>
          <w:rFonts w:hint="default"/>
          <w:color w:val="auto"/>
          <w:lang w:val="en-US" w:eastAsia="zh-CN"/>
        </w:rPr>
        <w:t>1）</w:t>
      </w:r>
      <w:r>
        <w:rPr>
          <w:rFonts w:hint="default"/>
          <w:color w:val="auto"/>
        </w:rPr>
        <w:t>如发现异常或发生事故，加密监测频次，改为每周监测一次，并分析污染原因，确定泄漏污染源，及时采取应急措施。</w:t>
      </w:r>
    </w:p>
    <w:p w14:paraId="22A37711">
      <w:pPr>
        <w:pStyle w:val="79"/>
        <w:bidi w:val="0"/>
        <w:rPr>
          <w:rFonts w:hint="default"/>
          <w:color w:val="auto"/>
        </w:rPr>
      </w:pPr>
      <w:r>
        <w:rPr>
          <w:rFonts w:hint="default"/>
          <w:color w:val="auto"/>
          <w:lang w:val="en-US" w:eastAsia="zh-CN"/>
        </w:rPr>
        <w:t>2）</w:t>
      </w:r>
      <w:r>
        <w:rPr>
          <w:rFonts w:hint="default"/>
          <w:color w:val="auto"/>
        </w:rPr>
        <w:t>一旦发生地下水污染事故，应立即启动应急预案。</w:t>
      </w:r>
    </w:p>
    <w:p w14:paraId="757FD944">
      <w:pPr>
        <w:pStyle w:val="79"/>
        <w:bidi w:val="0"/>
        <w:rPr>
          <w:rFonts w:hint="default"/>
          <w:color w:val="auto"/>
        </w:rPr>
      </w:pPr>
      <w:r>
        <w:rPr>
          <w:rFonts w:hint="default"/>
          <w:color w:val="auto"/>
          <w:lang w:val="en-US" w:eastAsia="zh-CN"/>
        </w:rPr>
        <w:t>3）</w:t>
      </w:r>
      <w:r>
        <w:rPr>
          <w:rFonts w:hint="default"/>
          <w:color w:val="auto"/>
        </w:rPr>
        <w:t>查明并切断污染源。</w:t>
      </w:r>
    </w:p>
    <w:p w14:paraId="47197420">
      <w:pPr>
        <w:pStyle w:val="79"/>
        <w:bidi w:val="0"/>
        <w:rPr>
          <w:rFonts w:hint="default"/>
          <w:color w:val="auto"/>
        </w:rPr>
      </w:pPr>
      <w:r>
        <w:rPr>
          <w:rFonts w:hint="default"/>
          <w:color w:val="auto"/>
          <w:lang w:val="en-US" w:eastAsia="zh-CN"/>
        </w:rPr>
        <w:t>4）</w:t>
      </w:r>
      <w:r>
        <w:rPr>
          <w:rFonts w:hint="default"/>
          <w:color w:val="auto"/>
        </w:rPr>
        <w:t>探明地下水污染深度、范围和污染程度。</w:t>
      </w:r>
    </w:p>
    <w:p w14:paraId="2FC9EF23">
      <w:pPr>
        <w:pStyle w:val="79"/>
        <w:bidi w:val="0"/>
        <w:rPr>
          <w:rFonts w:hint="default"/>
          <w:color w:val="auto"/>
        </w:rPr>
      </w:pPr>
      <w:r>
        <w:rPr>
          <w:rFonts w:hint="default"/>
          <w:color w:val="auto"/>
          <w:lang w:val="en-US" w:eastAsia="zh-CN"/>
        </w:rPr>
        <w:t>5）</w:t>
      </w:r>
      <w:r>
        <w:rPr>
          <w:rFonts w:hint="default"/>
          <w:color w:val="auto"/>
        </w:rPr>
        <w:t>依据探明的地下水污染情况，合理布置浅井，并进行试抽工作。</w:t>
      </w:r>
    </w:p>
    <w:p w14:paraId="0654EFF7">
      <w:pPr>
        <w:pStyle w:val="79"/>
        <w:bidi w:val="0"/>
        <w:rPr>
          <w:rFonts w:hint="default"/>
          <w:color w:val="auto"/>
        </w:rPr>
      </w:pPr>
      <w:r>
        <w:rPr>
          <w:rFonts w:hint="default"/>
          <w:color w:val="auto"/>
          <w:lang w:val="en-US" w:eastAsia="zh-CN"/>
        </w:rPr>
        <w:t>6）</w:t>
      </w:r>
      <w:r>
        <w:rPr>
          <w:rFonts w:hint="default"/>
          <w:color w:val="auto"/>
        </w:rPr>
        <w:t>依据抽水设计方案进行施工，抽取被污染的地下水体，并依据各井孔出水情况进行调整。可采用阻断污染物向周边环境迁移扩散的技术，如泥浆墙、灌浆墙、土工膜阻断、板桩、原位土壤搅拌阻断、可渗透反应墙等，通过在污染源周围构筑低渗透屏障，来隔离污染物，同时操控地下水的流场。</w:t>
      </w:r>
    </w:p>
    <w:p w14:paraId="1D9B3572">
      <w:pPr>
        <w:pStyle w:val="79"/>
        <w:bidi w:val="0"/>
        <w:rPr>
          <w:rFonts w:hint="default"/>
          <w:color w:val="auto"/>
        </w:rPr>
      </w:pPr>
      <w:r>
        <w:rPr>
          <w:rFonts w:hint="default"/>
          <w:color w:val="auto"/>
          <w:lang w:val="en-US" w:eastAsia="zh-CN"/>
        </w:rPr>
        <w:t>7）</w:t>
      </w:r>
      <w:r>
        <w:rPr>
          <w:rFonts w:hint="default"/>
          <w:color w:val="auto"/>
        </w:rPr>
        <w:t>将抽取的地下水进行集中收集处理，并送实验室进行化验分析。</w:t>
      </w:r>
    </w:p>
    <w:p w14:paraId="07576730">
      <w:pPr>
        <w:pStyle w:val="79"/>
        <w:bidi w:val="0"/>
        <w:rPr>
          <w:rFonts w:hint="default"/>
          <w:color w:val="auto"/>
        </w:rPr>
      </w:pPr>
      <w:r>
        <w:rPr>
          <w:rFonts w:hint="default"/>
          <w:color w:val="auto"/>
          <w:lang w:val="en-US" w:eastAsia="zh-CN"/>
        </w:rPr>
        <w:t>8）</w:t>
      </w:r>
      <w:r>
        <w:rPr>
          <w:rFonts w:hint="default"/>
          <w:color w:val="auto"/>
        </w:rPr>
        <w:t>当地下水中的特征污染物浓度满足地下水功能区划的标准后，逐步停止抽水，并进行土壤修复治理工作。</w:t>
      </w:r>
    </w:p>
    <w:p w14:paraId="57BEF35F">
      <w:pPr>
        <w:pStyle w:val="79"/>
        <w:bidi w:val="0"/>
        <w:rPr>
          <w:rFonts w:hint="default"/>
          <w:color w:val="auto"/>
          <w:lang w:val="en-US" w:eastAsia="zh-CN"/>
        </w:rPr>
      </w:pPr>
      <w:r>
        <w:rPr>
          <w:rFonts w:hint="default"/>
          <w:color w:val="auto"/>
          <w:lang w:val="en-US" w:eastAsia="zh-CN"/>
        </w:rPr>
        <w:t>9）对事故后果进行评估，并制定防止类似事件发生的措施。</w:t>
      </w:r>
    </w:p>
    <w:p w14:paraId="2070025E">
      <w:pPr>
        <w:pStyle w:val="79"/>
        <w:bidi w:val="0"/>
        <w:rPr>
          <w:rFonts w:hint="default"/>
          <w:color w:val="auto"/>
        </w:rPr>
      </w:pPr>
      <w:r>
        <w:rPr>
          <w:rFonts w:hint="default"/>
          <w:color w:val="auto"/>
        </w:rPr>
        <w:t>综上，</w:t>
      </w:r>
      <w:r>
        <w:rPr>
          <w:rFonts w:hint="default"/>
          <w:color w:val="auto"/>
          <w:lang w:eastAsia="zh-CN"/>
        </w:rPr>
        <w:t>本工程</w:t>
      </w:r>
      <w:r>
        <w:rPr>
          <w:rFonts w:hint="default"/>
          <w:color w:val="auto"/>
        </w:rPr>
        <w:t>采取的地下水污染防治措施可行。</w:t>
      </w:r>
    </w:p>
    <w:p w14:paraId="2D6A6910">
      <w:pPr>
        <w:pStyle w:val="54"/>
        <w:bidi w:val="0"/>
        <w:rPr>
          <w:rFonts w:hint="eastAsia"/>
          <w:color w:val="auto"/>
          <w:lang w:val="en-US" w:eastAsia="zh-CN"/>
        </w:rPr>
      </w:pPr>
      <w:r>
        <w:rPr>
          <w:rFonts w:hint="default"/>
          <w:color w:val="auto"/>
          <w:lang w:val="en-US" w:eastAsia="zh-CN"/>
        </w:rPr>
        <w:t>6.</w:t>
      </w:r>
      <w:r>
        <w:rPr>
          <w:rFonts w:hint="eastAsia"/>
          <w:color w:val="auto"/>
          <w:lang w:val="en-US" w:eastAsia="zh-CN"/>
        </w:rPr>
        <w:t>2.3 退役期</w:t>
      </w:r>
      <w:r>
        <w:rPr>
          <w:rFonts w:hint="default"/>
          <w:color w:val="auto"/>
          <w:lang w:val="en-US" w:eastAsia="zh-CN"/>
        </w:rPr>
        <w:t>水环境保护措施</w:t>
      </w:r>
    </w:p>
    <w:p w14:paraId="25A1CF66">
      <w:pPr>
        <w:pStyle w:val="79"/>
        <w:bidi w:val="0"/>
        <w:rPr>
          <w:rFonts w:hint="eastAsia"/>
          <w:color w:val="auto"/>
        </w:rPr>
      </w:pPr>
      <w:r>
        <w:rPr>
          <w:rFonts w:hint="eastAsia"/>
          <w:color w:val="auto"/>
        </w:rPr>
        <w:t>对废弃井应封堵，拆除井口装置，截去地下1m内管头，保证对各类废弃井采取的固井、封井措施有效可行，防止发生油水窜层，污染地下水资源。根据《废弃井封井回填技术指南（试行）》要求，</w:t>
      </w:r>
      <w:r>
        <w:rPr>
          <w:rFonts w:hint="eastAsia"/>
          <w:color w:val="auto"/>
          <w:lang w:eastAsia="zh-CN"/>
        </w:rPr>
        <w:t>对</w:t>
      </w:r>
      <w:r>
        <w:rPr>
          <w:rFonts w:hint="eastAsia"/>
          <w:color w:val="auto"/>
        </w:rPr>
        <w:t>矿井进行环境风险等级评估后，按照风险等级采取不同的保护措施。</w:t>
      </w:r>
    </w:p>
    <w:p w14:paraId="252EFC4D">
      <w:pPr>
        <w:pStyle w:val="75"/>
        <w:bidi w:val="0"/>
        <w:rPr>
          <w:rFonts w:hint="default"/>
          <w:color w:val="auto"/>
          <w:lang w:val="en-US" w:eastAsia="zh-CN"/>
        </w:rPr>
      </w:pPr>
      <w:bookmarkStart w:id="744" w:name="_Toc29850"/>
      <w:bookmarkStart w:id="745" w:name="OLE_LINK375"/>
      <w:bookmarkStart w:id="746" w:name="OLE_LINK376"/>
      <w:r>
        <w:rPr>
          <w:rFonts w:hint="eastAsia"/>
          <w:color w:val="auto"/>
          <w:lang w:val="en-US" w:eastAsia="zh-CN"/>
        </w:rPr>
        <w:t>6.3土壤环境保护措施可行性论证</w:t>
      </w:r>
      <w:bookmarkEnd w:id="744"/>
    </w:p>
    <w:p w14:paraId="1ACED670">
      <w:pPr>
        <w:pStyle w:val="54"/>
        <w:bidi w:val="0"/>
        <w:rPr>
          <w:color w:val="auto"/>
          <w:lang w:val="en-US" w:eastAsia="zh-CN"/>
        </w:rPr>
      </w:pPr>
      <w:r>
        <w:rPr>
          <w:color w:val="auto"/>
          <w:lang w:val="en-US" w:eastAsia="zh-CN"/>
        </w:rPr>
        <w:t>6.</w:t>
      </w:r>
      <w:r>
        <w:rPr>
          <w:rFonts w:hint="eastAsia"/>
          <w:color w:val="auto"/>
          <w:lang w:val="en-US" w:eastAsia="zh-CN"/>
        </w:rPr>
        <w:t>3.1 施工期土壤环境保护措施</w:t>
      </w:r>
    </w:p>
    <w:p w14:paraId="181790B4">
      <w:pPr>
        <w:pStyle w:val="79"/>
        <w:bidi w:val="0"/>
        <w:rPr>
          <w:rFonts w:hint="eastAsia"/>
          <w:color w:val="auto"/>
          <w:lang w:val="en-US" w:eastAsia="zh-CN"/>
        </w:rPr>
      </w:pPr>
      <w:r>
        <w:rPr>
          <w:rFonts w:hint="eastAsia"/>
          <w:color w:val="auto"/>
          <w:lang w:val="en-US" w:eastAsia="zh-CN"/>
        </w:rPr>
        <w:t>（1）应严格控制施工期临</w:t>
      </w:r>
      <w:bookmarkEnd w:id="745"/>
      <w:r>
        <w:rPr>
          <w:rFonts w:hint="eastAsia"/>
          <w:color w:val="auto"/>
          <w:lang w:val="en-US" w:eastAsia="zh-CN"/>
        </w:rPr>
        <w:t>时占地面积，按设计及规划的施工范围进行施工作业，减少土壤扰动。</w:t>
      </w:r>
    </w:p>
    <w:p w14:paraId="5A255C81">
      <w:pPr>
        <w:pStyle w:val="79"/>
        <w:bidi w:val="0"/>
        <w:rPr>
          <w:rFonts w:hint="eastAsia"/>
          <w:color w:val="auto"/>
          <w:lang w:val="en-US" w:eastAsia="zh-CN"/>
        </w:rPr>
      </w:pPr>
      <w:r>
        <w:rPr>
          <w:rFonts w:hint="eastAsia"/>
          <w:color w:val="auto"/>
          <w:lang w:val="en-US" w:eastAsia="zh-CN"/>
        </w:rPr>
        <w:t>（2）施工机械及运输车辆应按规定的道路行驶，减少对土壤的碾压，减少碾压造成的土壤紧实度增加及养分流失。</w:t>
      </w:r>
    </w:p>
    <w:p w14:paraId="019CFC45">
      <w:pPr>
        <w:pStyle w:val="79"/>
        <w:bidi w:val="0"/>
        <w:rPr>
          <w:rFonts w:hint="eastAsia"/>
          <w:color w:val="auto"/>
          <w:lang w:val="en-US" w:eastAsia="zh-CN"/>
        </w:rPr>
      </w:pPr>
      <w:r>
        <w:rPr>
          <w:rFonts w:hint="eastAsia"/>
          <w:color w:val="auto"/>
          <w:lang w:val="en-US" w:eastAsia="zh-CN"/>
        </w:rPr>
        <w:t>（3）施工产生的建筑垃圾不得随意抛洒，应集中收集并及时清运，防止污染物进入土壤环境造成污染。采取的土壤污染防治措施可行。</w:t>
      </w:r>
    </w:p>
    <w:p w14:paraId="627CEE07">
      <w:pPr>
        <w:pStyle w:val="79"/>
        <w:bidi w:val="0"/>
        <w:rPr>
          <w:rFonts w:hint="eastAsia"/>
          <w:color w:val="auto"/>
          <w:lang w:val="en-US" w:eastAsia="zh-CN"/>
        </w:rPr>
      </w:pPr>
      <w:r>
        <w:rPr>
          <w:rFonts w:hint="eastAsia"/>
          <w:color w:val="auto"/>
          <w:lang w:val="en-US" w:eastAsia="zh-CN"/>
        </w:rPr>
        <w:t>（4）项目区处于风蚀区，需要严格采取各项水土流失防治措施，施工完毕后通过对临时占地采取土地平整和防沙治沙措施，地表基本可免受水土流失。</w:t>
      </w:r>
    </w:p>
    <w:p w14:paraId="40BBD2CA">
      <w:pPr>
        <w:pStyle w:val="79"/>
        <w:bidi w:val="0"/>
        <w:rPr>
          <w:color w:val="auto"/>
          <w:lang w:val="en-US" w:eastAsia="zh-CN"/>
        </w:rPr>
      </w:pPr>
      <w:r>
        <w:rPr>
          <w:rFonts w:hint="eastAsia"/>
          <w:color w:val="auto"/>
          <w:lang w:val="en-US" w:eastAsia="zh-CN"/>
        </w:rPr>
        <w:t>综上，本工程施工期采取的土壤污染防治措施可行。</w:t>
      </w:r>
      <w:bookmarkEnd w:id="746"/>
    </w:p>
    <w:p w14:paraId="086C793C">
      <w:pPr>
        <w:pStyle w:val="54"/>
        <w:bidi w:val="0"/>
        <w:rPr>
          <w:rFonts w:hint="eastAsia"/>
          <w:color w:val="auto"/>
          <w:lang w:val="en-US" w:eastAsia="zh-CN"/>
        </w:rPr>
      </w:pPr>
      <w:r>
        <w:rPr>
          <w:color w:val="auto"/>
          <w:lang w:val="en-US" w:eastAsia="zh-CN"/>
        </w:rPr>
        <w:t>6.</w:t>
      </w:r>
      <w:r>
        <w:rPr>
          <w:rFonts w:hint="eastAsia"/>
          <w:color w:val="auto"/>
          <w:lang w:val="en-US" w:eastAsia="zh-CN"/>
        </w:rPr>
        <w:t>3.2 运营期土壤环境保护措施</w:t>
      </w:r>
    </w:p>
    <w:p w14:paraId="17301DAD">
      <w:pPr>
        <w:pStyle w:val="79"/>
        <w:bidi w:val="0"/>
        <w:rPr>
          <w:color w:val="auto"/>
        </w:rPr>
      </w:pPr>
      <w:r>
        <w:rPr>
          <w:rFonts w:hint="eastAsia"/>
          <w:color w:val="auto"/>
        </w:rPr>
        <w:t>结合</w:t>
      </w:r>
      <w:r>
        <w:rPr>
          <w:rFonts w:hint="eastAsia"/>
          <w:color w:val="auto"/>
          <w:lang w:eastAsia="zh-CN"/>
        </w:rPr>
        <w:t>本工程</w:t>
      </w:r>
      <w:r>
        <w:rPr>
          <w:rFonts w:hint="eastAsia"/>
          <w:color w:val="auto"/>
        </w:rPr>
        <w:t>特点与调查评价范围内的土壤环境质量现状，在分析土壤污染途径的基础上，根据环境影响预测与评价结果，</w:t>
      </w:r>
      <w:bookmarkStart w:id="747" w:name="_Hlk89191531"/>
      <w:r>
        <w:rPr>
          <w:rFonts w:hint="eastAsia"/>
          <w:color w:val="auto"/>
        </w:rPr>
        <w:t>按照“源头控制、过程防控、跟踪监测、应急响应”相结合的原则</w:t>
      </w:r>
      <w:bookmarkEnd w:id="747"/>
      <w:r>
        <w:rPr>
          <w:rFonts w:hint="eastAsia"/>
          <w:color w:val="auto"/>
        </w:rPr>
        <w:t>，提出合理、可行、操作性强的土壤环境影响防控措施。</w:t>
      </w:r>
    </w:p>
    <w:p w14:paraId="2D74EE4F">
      <w:pPr>
        <w:pStyle w:val="55"/>
        <w:bidi w:val="0"/>
        <w:rPr>
          <w:color w:val="auto"/>
          <w:lang w:val="en-US" w:eastAsia="zh-CN"/>
        </w:rPr>
      </w:pPr>
      <w:r>
        <w:rPr>
          <w:rFonts w:hint="eastAsia"/>
          <w:color w:val="auto"/>
          <w:lang w:val="en-US" w:eastAsia="zh-CN"/>
        </w:rPr>
        <w:t>6.3.2.1 源头控制措施</w:t>
      </w:r>
    </w:p>
    <w:p w14:paraId="0FD8CFA0">
      <w:pPr>
        <w:pStyle w:val="79"/>
        <w:bidi w:val="0"/>
        <w:rPr>
          <w:color w:val="auto"/>
        </w:rPr>
      </w:pPr>
      <w:r>
        <w:rPr>
          <w:color w:val="auto"/>
        </w:rPr>
        <w:t>从生产过程入手，在工艺、设备、</w:t>
      </w:r>
      <w:r>
        <w:rPr>
          <w:rFonts w:hint="eastAsia"/>
          <w:color w:val="auto"/>
          <w:lang w:val="en-US" w:eastAsia="zh-CN"/>
        </w:rPr>
        <w:t>原油储罐、</w:t>
      </w:r>
      <w:r>
        <w:rPr>
          <w:color w:val="auto"/>
        </w:rPr>
        <w:t>集输管道等方面尽可能地采取泄漏控制措施，从源头最大限度降低</w:t>
      </w:r>
      <w:r>
        <w:rPr>
          <w:rFonts w:hint="eastAsia"/>
          <w:color w:val="auto"/>
          <w:lang w:val="en-US" w:eastAsia="zh-CN"/>
        </w:rPr>
        <w:t>原油、含油废水</w:t>
      </w:r>
      <w:r>
        <w:rPr>
          <w:color w:val="auto"/>
        </w:rPr>
        <w:t>泄漏的可能性和泄漏量，使项目区污染物对土壤的影响降至最低，一旦出现泄漏等即可由区域内的各种配套措施进行收集、处置。</w:t>
      </w:r>
    </w:p>
    <w:p w14:paraId="788FA129">
      <w:pPr>
        <w:pStyle w:val="79"/>
        <w:bidi w:val="0"/>
        <w:rPr>
          <w:color w:val="auto"/>
        </w:rPr>
      </w:pPr>
      <w:r>
        <w:rPr>
          <w:color w:val="auto"/>
        </w:rPr>
        <w:t>（1）定期派人检查井口区</w:t>
      </w:r>
      <w:r>
        <w:rPr>
          <w:rFonts w:hint="eastAsia"/>
          <w:color w:val="auto"/>
          <w:lang w:val="en-US" w:eastAsia="zh-CN"/>
        </w:rPr>
        <w:t>、站场区</w:t>
      </w:r>
      <w:r>
        <w:rPr>
          <w:color w:val="auto"/>
        </w:rPr>
        <w:t>，是否有采出液</w:t>
      </w:r>
      <w:r>
        <w:rPr>
          <w:rFonts w:hint="eastAsia"/>
          <w:color w:val="auto"/>
        </w:rPr>
        <w:t>泄漏</w:t>
      </w:r>
      <w:r>
        <w:rPr>
          <w:color w:val="auto"/>
        </w:rPr>
        <w:t>的现象发生。</w:t>
      </w:r>
    </w:p>
    <w:p w14:paraId="58B01A55">
      <w:pPr>
        <w:pStyle w:val="79"/>
        <w:bidi w:val="0"/>
        <w:rPr>
          <w:color w:val="auto"/>
        </w:rPr>
      </w:pPr>
      <w:r>
        <w:rPr>
          <w:color w:val="auto"/>
        </w:rPr>
        <w:t>（2）选用耐腐蚀性能好、抗老化性能、耐热性能好、抗冻性能好、耐磨性能好的管材作为集输管线，可有效</w:t>
      </w:r>
      <w:r>
        <w:rPr>
          <w:rFonts w:hint="eastAsia"/>
          <w:color w:val="auto"/>
          <w:lang w:eastAsia="zh-CN"/>
        </w:rPr>
        <w:t>地</w:t>
      </w:r>
      <w:r>
        <w:rPr>
          <w:color w:val="auto"/>
        </w:rPr>
        <w:t>防止管线腐蚀穿孔，降低管线环境风险事故的发生。</w:t>
      </w:r>
    </w:p>
    <w:p w14:paraId="378D8BFA">
      <w:pPr>
        <w:pStyle w:val="79"/>
        <w:bidi w:val="0"/>
        <w:rPr>
          <w:color w:val="auto"/>
        </w:rPr>
      </w:pPr>
      <w:r>
        <w:rPr>
          <w:color w:val="auto"/>
        </w:rPr>
        <w:t>（3）对管道定期检修，将事故发生的概率降至最低，可有效保护土壤和地下水环境不受污染。</w:t>
      </w:r>
    </w:p>
    <w:p w14:paraId="1BC14BC4">
      <w:pPr>
        <w:pStyle w:val="79"/>
        <w:bidi w:val="0"/>
        <w:rPr>
          <w:color w:val="auto"/>
        </w:rPr>
      </w:pPr>
      <w:r>
        <w:rPr>
          <w:color w:val="auto"/>
        </w:rPr>
        <w:t>（4）由于发生管线泄漏时管线的压力变化明显比较容易发现，可及时采取必要的处理措施，使造成的污染控制在局部环境。</w:t>
      </w:r>
    </w:p>
    <w:p w14:paraId="24631E1B">
      <w:pPr>
        <w:pStyle w:val="79"/>
        <w:bidi w:val="0"/>
        <w:rPr>
          <w:rFonts w:hint="default"/>
          <w:color w:val="auto"/>
        </w:rPr>
      </w:pPr>
      <w:r>
        <w:rPr>
          <w:rFonts w:hint="default"/>
          <w:color w:val="auto"/>
        </w:rPr>
        <w:t>（5）如果发生</w:t>
      </w:r>
      <w:r>
        <w:rPr>
          <w:rFonts w:hint="eastAsia"/>
          <w:color w:val="auto"/>
          <w:lang w:val="en-US" w:eastAsia="zh-CN"/>
        </w:rPr>
        <w:t>储罐、</w:t>
      </w:r>
      <w:r>
        <w:rPr>
          <w:rFonts w:hint="default"/>
          <w:color w:val="auto"/>
        </w:rPr>
        <w:t>集输管道的采出液渗漏，建设单位应立即采取切断措施并及时组织专门力量进行污染物的清除工作，在最短的时间内清除地面及地下的石油类物质，委托具有相应危废处理资质单位对污染土壤进行转运处置，因而，石油类污染物进入土壤和地下潜水的可能性较小。</w:t>
      </w:r>
    </w:p>
    <w:p w14:paraId="0ABDB4F2">
      <w:pPr>
        <w:pStyle w:val="79"/>
        <w:bidi w:val="0"/>
        <w:rPr>
          <w:rFonts w:hint="default"/>
          <w:color w:val="auto"/>
        </w:rPr>
      </w:pPr>
      <w:r>
        <w:rPr>
          <w:rFonts w:hint="default"/>
          <w:color w:val="auto"/>
        </w:rPr>
        <w:t>具体步骤为：</w:t>
      </w:r>
    </w:p>
    <w:p w14:paraId="7E954618">
      <w:pPr>
        <w:pStyle w:val="79"/>
        <w:bidi w:val="0"/>
        <w:rPr>
          <w:rFonts w:hint="default"/>
          <w:color w:val="auto"/>
        </w:rPr>
      </w:pPr>
      <w:r>
        <w:rPr>
          <w:rFonts w:hint="default"/>
          <w:color w:val="auto"/>
        </w:rPr>
        <w:t>1）按顺序停泵或关井</w:t>
      </w:r>
    </w:p>
    <w:p w14:paraId="42BD3FD1">
      <w:pPr>
        <w:pStyle w:val="79"/>
        <w:bidi w:val="0"/>
        <w:rPr>
          <w:rFonts w:hint="default"/>
          <w:color w:val="auto"/>
        </w:rPr>
      </w:pPr>
      <w:r>
        <w:rPr>
          <w:rFonts w:hint="default"/>
          <w:color w:val="auto"/>
        </w:rPr>
        <w:t>在管道发生断裂、漏油事故时，按顺序停泵或关井。抢修队根据现场情况及时抢修，做好安全防范工作，把损失控制在最小范围内。</w:t>
      </w:r>
    </w:p>
    <w:p w14:paraId="7C7FFE85">
      <w:pPr>
        <w:pStyle w:val="79"/>
        <w:bidi w:val="0"/>
        <w:rPr>
          <w:rFonts w:hint="eastAsia"/>
          <w:color w:val="auto"/>
          <w:lang w:eastAsia="zh-CN"/>
        </w:rPr>
      </w:pPr>
      <w:r>
        <w:rPr>
          <w:rFonts w:hint="default"/>
          <w:color w:val="auto"/>
        </w:rPr>
        <w:t>2）回收泄漏</w:t>
      </w:r>
      <w:r>
        <w:rPr>
          <w:rFonts w:hint="eastAsia"/>
          <w:color w:val="auto"/>
          <w:lang w:eastAsia="zh-CN"/>
        </w:rPr>
        <w:t>原油</w:t>
      </w:r>
    </w:p>
    <w:p w14:paraId="31A6622D">
      <w:pPr>
        <w:pStyle w:val="79"/>
        <w:bidi w:val="0"/>
        <w:rPr>
          <w:rFonts w:hint="default"/>
          <w:color w:val="auto"/>
        </w:rPr>
      </w:pPr>
      <w:r>
        <w:rPr>
          <w:rFonts w:hint="default"/>
          <w:color w:val="auto"/>
        </w:rPr>
        <w:t>首先限制地表污染的扩大。油受重力和地形的控制，会流向低洼地带，应尽量防止泄漏石油移动。在可能的情况下应进行筑堤，汇集在低洼坑中的地表油，用车及时进行收集，将严重污染的土壤集中处理，交由有资质单位进行处置。</w:t>
      </w:r>
    </w:p>
    <w:p w14:paraId="5D619FA1">
      <w:pPr>
        <w:pStyle w:val="79"/>
        <w:bidi w:val="0"/>
        <w:rPr>
          <w:rFonts w:hint="default"/>
          <w:color w:val="auto"/>
        </w:rPr>
      </w:pPr>
      <w:r>
        <w:rPr>
          <w:rFonts w:hint="default"/>
          <w:color w:val="auto"/>
        </w:rPr>
        <w:t>3）挖坑应急</w:t>
      </w:r>
    </w:p>
    <w:p w14:paraId="00EAFA6E">
      <w:pPr>
        <w:pStyle w:val="79"/>
        <w:bidi w:val="0"/>
        <w:rPr>
          <w:rFonts w:hint="default"/>
          <w:color w:val="auto"/>
        </w:rPr>
      </w:pPr>
      <w:r>
        <w:rPr>
          <w:rFonts w:hint="default"/>
          <w:color w:val="auto"/>
        </w:rPr>
        <w:t>因地制宜地采取有效措施清除土壤油浸润体中的残油，减轻土壤污染。</w:t>
      </w:r>
    </w:p>
    <w:p w14:paraId="00DA1A4E">
      <w:pPr>
        <w:pStyle w:val="79"/>
        <w:bidi w:val="0"/>
        <w:rPr>
          <w:rFonts w:hint="default"/>
          <w:color w:val="auto"/>
        </w:rPr>
      </w:pPr>
      <w:r>
        <w:rPr>
          <w:rFonts w:hint="default"/>
          <w:color w:val="auto"/>
        </w:rPr>
        <w:fldChar w:fldCharType="begin"/>
      </w:r>
      <w:r>
        <w:rPr>
          <w:rFonts w:hint="default"/>
          <w:color w:val="auto"/>
        </w:rPr>
        <w:instrText xml:space="preserve"> = 1 \* GB3 </w:instrText>
      </w:r>
      <w:r>
        <w:rPr>
          <w:rFonts w:hint="default"/>
          <w:color w:val="auto"/>
        </w:rPr>
        <w:fldChar w:fldCharType="separate"/>
      </w:r>
      <w:r>
        <w:rPr>
          <w:rFonts w:hint="default"/>
          <w:color w:val="auto"/>
        </w:rPr>
        <w:t>①</w:t>
      </w:r>
      <w:r>
        <w:rPr>
          <w:rFonts w:hint="default"/>
          <w:color w:val="auto"/>
        </w:rPr>
        <w:fldChar w:fldCharType="end"/>
      </w:r>
      <w:r>
        <w:rPr>
          <w:rFonts w:hint="eastAsia"/>
          <w:color w:val="auto"/>
          <w:lang w:val="en-US" w:eastAsia="zh-CN"/>
        </w:rPr>
        <w:t xml:space="preserve"> </w:t>
      </w:r>
      <w:r>
        <w:rPr>
          <w:rFonts w:hint="default"/>
          <w:color w:val="auto"/>
        </w:rPr>
        <w:t>坑撇油：在漏油点附近挖坑进行撇油。</w:t>
      </w:r>
    </w:p>
    <w:p w14:paraId="246A4697">
      <w:pPr>
        <w:pStyle w:val="79"/>
        <w:bidi w:val="0"/>
        <w:rPr>
          <w:color w:val="auto"/>
        </w:rPr>
      </w:pPr>
      <w:r>
        <w:rPr>
          <w:rFonts w:hint="default"/>
          <w:color w:val="auto"/>
        </w:rPr>
        <w:t>②</w:t>
      </w:r>
      <w:r>
        <w:rPr>
          <w:rFonts w:hint="eastAsia"/>
          <w:color w:val="auto"/>
          <w:lang w:val="en-US" w:eastAsia="zh-CN"/>
        </w:rPr>
        <w:t xml:space="preserve"> </w:t>
      </w:r>
      <w:r>
        <w:rPr>
          <w:rFonts w:hint="default"/>
          <w:color w:val="auto"/>
        </w:rPr>
        <w:t>挖沟截油：根据</w:t>
      </w:r>
      <w:r>
        <w:rPr>
          <w:rFonts w:hint="eastAsia"/>
          <w:color w:val="auto"/>
          <w:lang w:eastAsia="zh-CN"/>
        </w:rPr>
        <w:t>原油</w:t>
      </w:r>
      <w:r>
        <w:rPr>
          <w:rFonts w:hint="default"/>
          <w:color w:val="auto"/>
        </w:rPr>
        <w:t>以漏油点为点源向下游迁移扩散为主的特点，在漏油点下游的10m～30m处，根据漏油量的大小挖2</w:t>
      </w:r>
      <w:r>
        <w:rPr>
          <w:rFonts w:hint="eastAsia"/>
          <w:color w:val="auto"/>
          <w:lang w:eastAsia="zh-CN"/>
        </w:rPr>
        <w:t>～</w:t>
      </w:r>
      <w:r>
        <w:rPr>
          <w:rFonts w:hint="default"/>
          <w:color w:val="auto"/>
        </w:rPr>
        <w:t>3m深的两条水平截油沟，一撇二排，以加速土壤油浸润体中残油的外泄，减小事故影响范围。</w:t>
      </w:r>
    </w:p>
    <w:p w14:paraId="6771C5DD">
      <w:pPr>
        <w:pStyle w:val="55"/>
        <w:bidi w:val="0"/>
        <w:rPr>
          <w:rFonts w:hint="eastAsia"/>
          <w:color w:val="auto"/>
          <w:lang w:val="en-US" w:eastAsia="zh-CN"/>
        </w:rPr>
      </w:pPr>
      <w:r>
        <w:rPr>
          <w:rFonts w:hint="eastAsia"/>
          <w:color w:val="auto"/>
          <w:lang w:val="en-US" w:eastAsia="zh-CN"/>
        </w:rPr>
        <w:t>6.3.2.2 过程控制措施</w:t>
      </w:r>
    </w:p>
    <w:p w14:paraId="18D38233">
      <w:pPr>
        <w:pStyle w:val="79"/>
        <w:bidi w:val="0"/>
        <w:rPr>
          <w:color w:val="auto"/>
        </w:rPr>
      </w:pPr>
      <w:r>
        <w:rPr>
          <w:rFonts w:hint="eastAsia"/>
          <w:color w:val="auto"/>
        </w:rPr>
        <w:t>根据</w:t>
      </w:r>
      <w:r>
        <w:rPr>
          <w:rFonts w:hint="eastAsia"/>
          <w:color w:val="auto"/>
          <w:lang w:eastAsia="zh-CN"/>
        </w:rPr>
        <w:t>本工程</w:t>
      </w:r>
      <w:r>
        <w:rPr>
          <w:rFonts w:hint="eastAsia"/>
          <w:color w:val="auto"/>
        </w:rPr>
        <w:t>特点，从垂直入渗途径，采取过程阻断、污染物削减和分区防控措施保护土壤环境。</w:t>
      </w:r>
    </w:p>
    <w:p w14:paraId="72385ACE">
      <w:pPr>
        <w:pStyle w:val="55"/>
        <w:bidi w:val="0"/>
        <w:rPr>
          <w:rFonts w:hint="eastAsia"/>
          <w:color w:val="auto"/>
          <w:lang w:val="en-US" w:eastAsia="zh-CN"/>
        </w:rPr>
      </w:pPr>
      <w:r>
        <w:rPr>
          <w:rFonts w:hint="eastAsia"/>
          <w:color w:val="auto"/>
          <w:lang w:val="en-US" w:eastAsia="zh-CN"/>
        </w:rPr>
        <w:t>6.3.2.3 跟踪监测</w:t>
      </w:r>
    </w:p>
    <w:p w14:paraId="2AA61207">
      <w:pPr>
        <w:pStyle w:val="79"/>
        <w:bidi w:val="0"/>
        <w:rPr>
          <w:color w:val="auto"/>
        </w:rPr>
      </w:pPr>
      <w:r>
        <w:rPr>
          <w:color w:val="auto"/>
        </w:rPr>
        <w:t>根据《环境影响评价技术导则</w:t>
      </w:r>
      <w:r>
        <w:rPr>
          <w:rFonts w:hint="eastAsia"/>
          <w:color w:val="auto"/>
          <w:lang w:val="en-US" w:eastAsia="zh-CN"/>
        </w:rPr>
        <w:t xml:space="preserve"> </w:t>
      </w:r>
      <w:r>
        <w:rPr>
          <w:color w:val="auto"/>
        </w:rPr>
        <w:t>土壤环境</w:t>
      </w:r>
      <w:r>
        <w:rPr>
          <w:rFonts w:hint="eastAsia"/>
          <w:color w:val="auto"/>
          <w:lang w:eastAsia="zh-CN"/>
        </w:rPr>
        <w:t>（</w:t>
      </w:r>
      <w:r>
        <w:rPr>
          <w:color w:val="auto"/>
        </w:rPr>
        <w:t>试行</w:t>
      </w:r>
      <w:r>
        <w:rPr>
          <w:rFonts w:hint="eastAsia"/>
          <w:color w:val="auto"/>
          <w:lang w:eastAsia="zh-CN"/>
        </w:rPr>
        <w:t>）</w:t>
      </w:r>
      <w:r>
        <w:rPr>
          <w:color w:val="auto"/>
        </w:rPr>
        <w:t>》</w:t>
      </w:r>
      <w:r>
        <w:rPr>
          <w:rFonts w:hint="eastAsia"/>
          <w:color w:val="auto"/>
          <w:lang w:eastAsia="zh-CN"/>
        </w:rPr>
        <w:t>（</w:t>
      </w:r>
      <w:r>
        <w:rPr>
          <w:color w:val="auto"/>
        </w:rPr>
        <w:t>HJ964-2018</w:t>
      </w:r>
      <w:r>
        <w:rPr>
          <w:rFonts w:hint="eastAsia"/>
          <w:color w:val="auto"/>
          <w:lang w:eastAsia="zh-CN"/>
        </w:rPr>
        <w:t>）</w:t>
      </w:r>
      <w:r>
        <w:rPr>
          <w:color w:val="auto"/>
        </w:rPr>
        <w:t>土壤</w:t>
      </w:r>
      <w:r>
        <w:rPr>
          <w:rFonts w:hint="eastAsia"/>
          <w:color w:val="auto"/>
          <w:lang w:val="en-US" w:eastAsia="zh-CN"/>
        </w:rPr>
        <w:t>一</w:t>
      </w:r>
      <w:r>
        <w:rPr>
          <w:color w:val="auto"/>
        </w:rPr>
        <w:t>级评价的跟踪监测要求，制定跟踪监测计划，发生事故</w:t>
      </w:r>
      <w:r>
        <w:rPr>
          <w:rFonts w:hint="eastAsia"/>
          <w:color w:val="auto"/>
        </w:rPr>
        <w:t>泄漏</w:t>
      </w:r>
      <w:r>
        <w:rPr>
          <w:color w:val="auto"/>
        </w:rPr>
        <w:t>时对井场可能影响区域跟踪监测，在占地范围内</w:t>
      </w:r>
      <w:r>
        <w:rPr>
          <w:rFonts w:hint="eastAsia"/>
          <w:color w:val="auto"/>
          <w:lang w:val="en-US" w:eastAsia="zh-CN"/>
        </w:rPr>
        <w:t>设置1</w:t>
      </w:r>
      <w:r>
        <w:rPr>
          <w:color w:val="auto"/>
        </w:rPr>
        <w:t>个表层样</w:t>
      </w:r>
      <w:r>
        <w:rPr>
          <w:rFonts w:hint="eastAsia"/>
          <w:color w:val="auto"/>
          <w:lang w:val="en-US" w:eastAsia="zh-CN"/>
        </w:rPr>
        <w:t>、1个柱状样，</w:t>
      </w:r>
      <w:r>
        <w:rPr>
          <w:color w:val="auto"/>
        </w:rPr>
        <w:t>每</w:t>
      </w:r>
      <w:r>
        <w:rPr>
          <w:rFonts w:hint="eastAsia"/>
          <w:color w:val="auto"/>
          <w:lang w:val="en-US" w:eastAsia="zh-CN"/>
        </w:rPr>
        <w:t>3</w:t>
      </w:r>
      <w:r>
        <w:rPr>
          <w:color w:val="auto"/>
        </w:rPr>
        <w:t>年监测1次。</w:t>
      </w:r>
    </w:p>
    <w:p w14:paraId="7853C9CF">
      <w:pPr>
        <w:pStyle w:val="79"/>
        <w:bidi w:val="0"/>
        <w:rPr>
          <w:color w:val="auto"/>
        </w:rPr>
      </w:pPr>
      <w:r>
        <w:rPr>
          <w:color w:val="auto"/>
        </w:rPr>
        <w:t>综上所述，正常情况下，</w:t>
      </w:r>
      <w:r>
        <w:rPr>
          <w:rFonts w:hint="eastAsia"/>
          <w:color w:val="auto"/>
          <w:lang w:eastAsia="zh-CN"/>
        </w:rPr>
        <w:t>本工程</w:t>
      </w:r>
      <w:r>
        <w:rPr>
          <w:color w:val="auto"/>
        </w:rPr>
        <w:t>的各项工程不会污染土壤环境，非正常情况下，采取有效措施后可减轻对土壤环境的影响。在做好源头控制、过程防控等措施的前提下，可避免工程实施对土壤环境产生污染影响。</w:t>
      </w:r>
    </w:p>
    <w:p w14:paraId="6BBC9021">
      <w:pPr>
        <w:pStyle w:val="54"/>
        <w:bidi w:val="0"/>
        <w:rPr>
          <w:rFonts w:hint="default"/>
          <w:color w:val="auto"/>
          <w:lang w:val="en-US" w:eastAsia="zh-CN"/>
        </w:rPr>
      </w:pPr>
      <w:r>
        <w:rPr>
          <w:rFonts w:hint="default"/>
          <w:color w:val="auto"/>
          <w:lang w:val="en-US" w:eastAsia="zh-CN"/>
        </w:rPr>
        <w:t>6.</w:t>
      </w:r>
      <w:r>
        <w:rPr>
          <w:rFonts w:hint="eastAsia"/>
          <w:color w:val="auto"/>
          <w:lang w:val="en-US" w:eastAsia="zh-CN"/>
        </w:rPr>
        <w:t>3.3 退役期</w:t>
      </w:r>
      <w:r>
        <w:rPr>
          <w:rFonts w:hint="default"/>
          <w:color w:val="auto"/>
          <w:lang w:val="en-US" w:eastAsia="zh-CN"/>
        </w:rPr>
        <w:t>土壤</w:t>
      </w:r>
      <w:r>
        <w:rPr>
          <w:rFonts w:hint="eastAsia"/>
          <w:color w:val="auto"/>
          <w:lang w:val="en-US" w:eastAsia="zh-CN"/>
        </w:rPr>
        <w:t>环境保护</w:t>
      </w:r>
      <w:r>
        <w:rPr>
          <w:rFonts w:hint="default"/>
          <w:color w:val="auto"/>
          <w:lang w:val="en-US" w:eastAsia="zh-CN"/>
        </w:rPr>
        <w:t>措施</w:t>
      </w:r>
    </w:p>
    <w:p w14:paraId="54705DD4">
      <w:pPr>
        <w:pStyle w:val="79"/>
        <w:bidi w:val="0"/>
        <w:rPr>
          <w:rFonts w:hint="eastAsia"/>
          <w:color w:val="auto"/>
          <w:lang w:eastAsia="zh-CN"/>
        </w:rPr>
      </w:pPr>
      <w:r>
        <w:rPr>
          <w:color w:val="auto"/>
        </w:rPr>
        <w:t>（1）地面设施拆除、</w:t>
      </w:r>
      <w:r>
        <w:rPr>
          <w:rFonts w:hint="eastAsia"/>
          <w:color w:val="auto"/>
          <w:lang w:val="en-US" w:eastAsia="zh-CN"/>
        </w:rPr>
        <w:t>站场</w:t>
      </w:r>
      <w:r>
        <w:rPr>
          <w:color w:val="auto"/>
        </w:rPr>
        <w:t>清理等工作中会产生废弃管线、废弃建筑残渣，应集中清理收集。管线外运清洗后可回收利用，废弃建筑残渣外运至环保部门指定建筑垃圾填埋场填埋处理</w:t>
      </w:r>
      <w:r>
        <w:rPr>
          <w:rFonts w:hint="eastAsia"/>
          <w:color w:val="auto"/>
          <w:lang w:eastAsia="zh-CN"/>
        </w:rPr>
        <w:t>；地面设施拆除、井场清理等工作过程中被原油污染的土壤或油渣等危险固废，交由有资质的单位进行无害化处置，不会对周围环境产生影响。</w:t>
      </w:r>
    </w:p>
    <w:p w14:paraId="44CBF4F4">
      <w:pPr>
        <w:pStyle w:val="79"/>
        <w:bidi w:val="0"/>
        <w:rPr>
          <w:rFonts w:hint="eastAsia"/>
          <w:color w:val="auto"/>
          <w:lang w:eastAsia="zh-CN"/>
        </w:rPr>
      </w:pPr>
      <w:r>
        <w:rPr>
          <w:color w:val="auto"/>
        </w:rPr>
        <w:t>（2）《参照废弃井封井回填技术指南（试行）》（环办土壤函</w:t>
      </w:r>
      <w:r>
        <w:rPr>
          <w:rFonts w:hint="eastAsia"/>
          <w:color w:val="auto"/>
          <w:lang w:eastAsia="zh-CN"/>
        </w:rPr>
        <w:t>〔</w:t>
      </w:r>
      <w:r>
        <w:rPr>
          <w:color w:val="auto"/>
        </w:rPr>
        <w:t>2020</w:t>
      </w:r>
      <w:r>
        <w:rPr>
          <w:rFonts w:hint="eastAsia"/>
          <w:color w:val="auto"/>
          <w:lang w:eastAsia="zh-CN"/>
        </w:rPr>
        <w:t>〕</w:t>
      </w:r>
      <w:r>
        <w:rPr>
          <w:color w:val="auto"/>
        </w:rPr>
        <w:t>72号）对完成</w:t>
      </w:r>
      <w:r>
        <w:rPr>
          <w:rFonts w:hint="eastAsia"/>
          <w:color w:val="auto"/>
          <w:lang w:eastAsia="zh-CN"/>
        </w:rPr>
        <w:t>采油</w:t>
      </w:r>
      <w:r>
        <w:rPr>
          <w:color w:val="auto"/>
        </w:rPr>
        <w:t>的废弃井封堵，拆除井口装置，最后清理场地，清除各种固体废弃物，自然植被区域自然恢复。</w:t>
      </w:r>
    </w:p>
    <w:p w14:paraId="63DB9E85">
      <w:pPr>
        <w:pStyle w:val="79"/>
        <w:bidi w:val="0"/>
        <w:rPr>
          <w:rFonts w:hint="eastAsia"/>
          <w:color w:val="auto"/>
          <w:lang w:eastAsia="zh-CN"/>
        </w:rPr>
      </w:pPr>
      <w:r>
        <w:rPr>
          <w:color w:val="auto"/>
        </w:rPr>
        <w:t>（3）运输过程中，运输车辆均加盖篷布，以防止行驶过程中固体废物的散落。</w:t>
      </w:r>
    </w:p>
    <w:p w14:paraId="260A0839">
      <w:pPr>
        <w:pStyle w:val="75"/>
        <w:bidi w:val="0"/>
        <w:rPr>
          <w:rFonts w:hint="default"/>
          <w:color w:val="auto"/>
          <w:lang w:val="en-US" w:eastAsia="zh-CN"/>
        </w:rPr>
      </w:pPr>
      <w:bookmarkStart w:id="748" w:name="_Toc14834"/>
      <w:r>
        <w:rPr>
          <w:rFonts w:hint="eastAsia"/>
          <w:color w:val="auto"/>
          <w:lang w:val="en-US" w:eastAsia="zh-CN"/>
        </w:rPr>
        <w:t>6.4</w:t>
      </w:r>
      <w:r>
        <w:rPr>
          <w:rFonts w:hint="eastAsia"/>
          <w:color w:val="auto"/>
          <w:lang w:val="en-US" w:eastAsia="zh-CN"/>
        </w:rPr>
        <w:fldChar w:fldCharType="begin"/>
      </w:r>
      <w:r>
        <w:rPr>
          <w:rFonts w:hint="eastAsia"/>
          <w:color w:val="auto"/>
          <w:lang w:val="en-US" w:eastAsia="zh-CN"/>
        </w:rPr>
        <w:instrText xml:space="preserve"> HYPERLINK \l _Toc24745 </w:instrText>
      </w:r>
      <w:r>
        <w:rPr>
          <w:rFonts w:hint="eastAsia"/>
          <w:color w:val="auto"/>
          <w:lang w:val="en-US" w:eastAsia="zh-CN"/>
        </w:rPr>
        <w:fldChar w:fldCharType="separate"/>
      </w:r>
      <w:r>
        <w:rPr>
          <w:rFonts w:hint="eastAsia"/>
          <w:color w:val="auto"/>
          <w:lang w:val="en-US" w:eastAsia="zh-CN"/>
        </w:rPr>
        <w:t>大气环境保护措施可行性论证</w:t>
      </w:r>
      <w:r>
        <w:rPr>
          <w:rFonts w:hint="eastAsia"/>
          <w:color w:val="auto"/>
          <w:lang w:val="en-US" w:eastAsia="zh-CN"/>
        </w:rPr>
        <w:fldChar w:fldCharType="end"/>
      </w:r>
      <w:bookmarkEnd w:id="748"/>
    </w:p>
    <w:p w14:paraId="69FD22DB">
      <w:pPr>
        <w:pStyle w:val="54"/>
        <w:bidi w:val="0"/>
        <w:rPr>
          <w:rFonts w:hint="eastAsia"/>
          <w:color w:val="auto"/>
          <w:lang w:val="en-US" w:eastAsia="zh-CN"/>
        </w:rPr>
      </w:pPr>
      <w:r>
        <w:rPr>
          <w:color w:val="auto"/>
          <w:lang w:val="en-US" w:eastAsia="zh-CN"/>
        </w:rPr>
        <w:t>6.</w:t>
      </w:r>
      <w:r>
        <w:rPr>
          <w:rFonts w:hint="eastAsia"/>
          <w:color w:val="auto"/>
          <w:lang w:val="en-US" w:eastAsia="zh-CN"/>
        </w:rPr>
        <w:t>4.1 施工期大气环境保护措施</w:t>
      </w:r>
    </w:p>
    <w:p w14:paraId="5F715CFF">
      <w:pPr>
        <w:pStyle w:val="79"/>
        <w:bidi w:val="0"/>
        <w:rPr>
          <w:rFonts w:hint="default"/>
          <w:color w:val="auto"/>
          <w:lang w:val="en-US" w:eastAsia="zh-CN"/>
        </w:rPr>
      </w:pPr>
      <w:r>
        <w:rPr>
          <w:rFonts w:hint="default"/>
          <w:color w:val="auto"/>
          <w:lang w:val="en-US" w:eastAsia="zh-CN"/>
        </w:rPr>
        <w:t>施工期废气主要包括站场、管线作业带等施工场地平整清理、管沟开挖、回填、建材运输、露天堆放、装卸等过程产生的扬尘，施工机械及运输车辆产生的燃油废气等。提出以下大气污染防治措施：</w:t>
      </w:r>
    </w:p>
    <w:p w14:paraId="41C91B46">
      <w:pPr>
        <w:pStyle w:val="79"/>
        <w:bidi w:val="0"/>
        <w:rPr>
          <w:rFonts w:hint="default"/>
          <w:color w:val="auto"/>
          <w:lang w:val="en-US" w:eastAsia="zh-CN"/>
        </w:rPr>
      </w:pPr>
      <w:r>
        <w:rPr>
          <w:rFonts w:hint="default"/>
          <w:color w:val="auto"/>
          <w:lang w:val="en-US" w:eastAsia="zh-CN"/>
        </w:rPr>
        <w:t>（1）避免在大风季节施工，尽可能缩短施工时间，提高施工效率，减少裸地暴露时间。</w:t>
      </w:r>
    </w:p>
    <w:p w14:paraId="70DF645A">
      <w:pPr>
        <w:pStyle w:val="79"/>
        <w:bidi w:val="0"/>
        <w:rPr>
          <w:rFonts w:hint="default"/>
          <w:color w:val="auto"/>
          <w:lang w:val="en-US" w:eastAsia="zh-CN"/>
        </w:rPr>
      </w:pPr>
      <w:r>
        <w:rPr>
          <w:rFonts w:hint="default"/>
          <w:color w:val="auto"/>
          <w:lang w:val="en-US" w:eastAsia="zh-CN"/>
        </w:rPr>
        <w:t>（2）施工单位必须加强施工区的规划管理。挖方堆放应定点定位，并采取防尘、抑尘措施（洒水、遮盖等措施）。</w:t>
      </w:r>
    </w:p>
    <w:p w14:paraId="4E30F96E">
      <w:pPr>
        <w:pStyle w:val="79"/>
        <w:bidi w:val="0"/>
        <w:rPr>
          <w:rFonts w:hint="default"/>
          <w:color w:val="auto"/>
          <w:lang w:val="en-US" w:eastAsia="zh-CN"/>
        </w:rPr>
      </w:pPr>
      <w:r>
        <w:rPr>
          <w:rFonts w:hint="default"/>
          <w:color w:val="auto"/>
          <w:lang w:val="en-US" w:eastAsia="zh-CN"/>
        </w:rPr>
        <w:t>（3）合理规划、选择最短的运输路线，充分利用</w:t>
      </w:r>
      <w:r>
        <w:rPr>
          <w:rFonts w:hint="eastAsia"/>
          <w:color w:val="auto"/>
          <w:lang w:val="en-US" w:eastAsia="zh-CN"/>
        </w:rPr>
        <w:t>油田</w:t>
      </w:r>
      <w:r>
        <w:rPr>
          <w:rFonts w:hint="default"/>
          <w:color w:val="auto"/>
          <w:lang w:val="en-US" w:eastAsia="zh-CN"/>
        </w:rPr>
        <w:t>现有公路网络，禁止随意开辟道路，运输车辆应以中、低速行驶，减少车辆行驶动力起尘。</w:t>
      </w:r>
    </w:p>
    <w:p w14:paraId="311C7AA5">
      <w:pPr>
        <w:pStyle w:val="79"/>
        <w:bidi w:val="0"/>
        <w:rPr>
          <w:rFonts w:hint="default"/>
          <w:color w:val="auto"/>
          <w:lang w:val="en-US" w:eastAsia="zh-CN"/>
        </w:rPr>
      </w:pPr>
      <w:r>
        <w:rPr>
          <w:rFonts w:hint="default"/>
          <w:color w:val="auto"/>
          <w:lang w:val="en-US" w:eastAsia="zh-CN"/>
        </w:rPr>
        <w:t>（4）合理规划临时占地，控制临时占地范围，对工作区域外的场地严禁机械及车辆进入、占用，避免破坏植被和造成土地松动。</w:t>
      </w:r>
    </w:p>
    <w:p w14:paraId="48C2471D">
      <w:pPr>
        <w:pStyle w:val="79"/>
        <w:bidi w:val="0"/>
        <w:rPr>
          <w:rFonts w:hint="default"/>
          <w:color w:val="auto"/>
          <w:lang w:val="en-US" w:eastAsia="zh-CN"/>
        </w:rPr>
      </w:pPr>
      <w:r>
        <w:rPr>
          <w:rFonts w:hint="default"/>
          <w:color w:val="auto"/>
          <w:lang w:val="en-US" w:eastAsia="zh-CN"/>
        </w:rPr>
        <w:t>（5）管沟开挖深度不宜过深，及时开挖，及时回填，遇大风天气应停止土方作业。</w:t>
      </w:r>
    </w:p>
    <w:p w14:paraId="2123F550">
      <w:pPr>
        <w:pStyle w:val="79"/>
        <w:bidi w:val="0"/>
        <w:rPr>
          <w:rFonts w:hint="default"/>
          <w:color w:val="auto"/>
          <w:lang w:val="en-US" w:eastAsia="zh-CN"/>
        </w:rPr>
      </w:pPr>
      <w:r>
        <w:rPr>
          <w:rFonts w:hint="default"/>
          <w:color w:val="auto"/>
          <w:lang w:val="en-US" w:eastAsia="zh-CN"/>
        </w:rPr>
        <w:t>（6）加强对施工机械、车辆的维修保养，禁止以柴油为燃料的施工机械超负荷工作，减少烟尘和尾气的排放。</w:t>
      </w:r>
    </w:p>
    <w:p w14:paraId="4C4E7E4D">
      <w:pPr>
        <w:pStyle w:val="79"/>
        <w:bidi w:val="0"/>
        <w:rPr>
          <w:rFonts w:hint="default"/>
          <w:color w:val="auto"/>
          <w:lang w:val="en-US" w:eastAsia="zh-CN"/>
        </w:rPr>
      </w:pPr>
      <w:r>
        <w:rPr>
          <w:rFonts w:hint="default"/>
          <w:color w:val="auto"/>
          <w:lang w:val="en-US" w:eastAsia="zh-CN"/>
        </w:rPr>
        <w:t>（7）加强施工场地环境管理，提倡文明施工，积极推进绿色施工，严防人为扬尘污染。</w:t>
      </w:r>
    </w:p>
    <w:p w14:paraId="4D3D8FE3">
      <w:pPr>
        <w:pStyle w:val="79"/>
        <w:bidi w:val="0"/>
        <w:rPr>
          <w:rFonts w:hint="default"/>
          <w:color w:val="auto"/>
          <w:lang w:val="en-US" w:eastAsia="zh-CN"/>
        </w:rPr>
      </w:pPr>
      <w:r>
        <w:rPr>
          <w:rFonts w:hint="default"/>
          <w:color w:val="auto"/>
          <w:lang w:val="en-US" w:eastAsia="zh-CN"/>
        </w:rPr>
        <w:t>以上的大气污染防治措施可使本工程建设对环境空气影响减少，是可行和有效的。</w:t>
      </w:r>
    </w:p>
    <w:p w14:paraId="21EC239A">
      <w:pPr>
        <w:pStyle w:val="54"/>
        <w:bidi w:val="0"/>
        <w:rPr>
          <w:rFonts w:hint="eastAsia"/>
          <w:color w:val="auto"/>
          <w:lang w:val="en-US" w:eastAsia="zh-CN"/>
        </w:rPr>
      </w:pPr>
      <w:r>
        <w:rPr>
          <w:color w:val="auto"/>
          <w:lang w:val="en-US" w:eastAsia="zh-CN"/>
        </w:rPr>
        <w:t>6.</w:t>
      </w:r>
      <w:r>
        <w:rPr>
          <w:rFonts w:hint="eastAsia"/>
          <w:color w:val="auto"/>
          <w:lang w:val="en-US" w:eastAsia="zh-CN"/>
        </w:rPr>
        <w:t>4</w:t>
      </w:r>
      <w:r>
        <w:rPr>
          <w:color w:val="auto"/>
          <w:lang w:val="en-US" w:eastAsia="zh-CN"/>
        </w:rPr>
        <w:t>.2</w:t>
      </w:r>
      <w:r>
        <w:rPr>
          <w:rFonts w:hint="eastAsia"/>
          <w:color w:val="auto"/>
          <w:lang w:val="en-US" w:eastAsia="zh-CN"/>
        </w:rPr>
        <w:t xml:space="preserve"> 运营期大气环境保护措施</w:t>
      </w:r>
    </w:p>
    <w:p w14:paraId="296290A1">
      <w:pPr>
        <w:pStyle w:val="79"/>
        <w:bidi w:val="0"/>
        <w:rPr>
          <w:rFonts w:hint="default"/>
          <w:color w:val="auto"/>
          <w:lang w:val="en-US" w:eastAsia="zh-CN"/>
        </w:rPr>
      </w:pPr>
      <w:bookmarkStart w:id="749" w:name="_Hlk68079943"/>
      <w:r>
        <w:rPr>
          <w:rFonts w:hint="default"/>
          <w:color w:val="auto"/>
          <w:lang w:val="en-US" w:eastAsia="zh-CN"/>
        </w:rPr>
        <w:t>本工程运营期的废气排放源主要为</w:t>
      </w:r>
      <w:bookmarkStart w:id="750" w:name="OLE_LINK137"/>
      <w:r>
        <w:rPr>
          <w:rFonts w:hint="eastAsia"/>
          <w:color w:val="auto"/>
          <w:lang w:val="en-US" w:eastAsia="zh-CN"/>
        </w:rPr>
        <w:t>加热炉燃烧废气，</w:t>
      </w:r>
      <w:bookmarkEnd w:id="750"/>
      <w:r>
        <w:rPr>
          <w:rFonts w:hint="default"/>
          <w:color w:val="auto"/>
          <w:lang w:val="en-US" w:eastAsia="zh-CN"/>
        </w:rPr>
        <w:t>集输过程中无组织废气排放和温室气体。无组织排放的污染物主要为站场、井口、管线接口、阀门等处产生的无组织挥发烃类和硫化氢</w:t>
      </w:r>
      <w:r>
        <w:rPr>
          <w:rFonts w:hint="eastAsia"/>
          <w:color w:val="auto"/>
          <w:lang w:val="en-US" w:eastAsia="zh-CN"/>
        </w:rPr>
        <w:t>；温室气体的污染物主要为井场、站场开采过程中产生的甲烷逃逸</w:t>
      </w:r>
      <w:r>
        <w:rPr>
          <w:rFonts w:hint="default"/>
          <w:color w:val="auto"/>
          <w:lang w:val="en-US" w:eastAsia="zh-CN"/>
        </w:rPr>
        <w:t>。针对以上污染源，</w:t>
      </w:r>
      <w:r>
        <w:rPr>
          <w:rFonts w:hint="eastAsia"/>
          <w:color w:val="auto"/>
          <w:lang w:val="en-US" w:eastAsia="zh-CN"/>
        </w:rPr>
        <w:t>油田</w:t>
      </w:r>
      <w:r>
        <w:rPr>
          <w:rFonts w:hint="default"/>
          <w:color w:val="auto"/>
          <w:lang w:val="en-US" w:eastAsia="zh-CN"/>
        </w:rPr>
        <w:t>采取以下大气污染治理措施：</w:t>
      </w:r>
    </w:p>
    <w:p w14:paraId="43D146E0">
      <w:pPr>
        <w:pStyle w:val="79"/>
        <w:bidi w:val="0"/>
        <w:rPr>
          <w:rFonts w:hint="default"/>
          <w:color w:val="auto"/>
          <w:lang w:val="en-US" w:eastAsia="zh-CN"/>
        </w:rPr>
      </w:pPr>
      <w:r>
        <w:rPr>
          <w:rFonts w:hint="default"/>
          <w:color w:val="auto"/>
          <w:lang w:val="en-US" w:eastAsia="zh-CN"/>
        </w:rPr>
        <w:t>（1）</w:t>
      </w:r>
      <w:bookmarkStart w:id="751" w:name="OLE_LINK218"/>
      <w:r>
        <w:rPr>
          <w:rFonts w:hint="default"/>
          <w:color w:val="auto"/>
          <w:lang w:val="en-US" w:eastAsia="zh-CN"/>
        </w:rPr>
        <w:t>采用技术质量可靠的设备、仪表控制、阀门等，烃类机泵采用无泄漏屏蔽泵。</w:t>
      </w:r>
    </w:p>
    <w:bookmarkEnd w:id="751"/>
    <w:p w14:paraId="00989AC3">
      <w:pPr>
        <w:pStyle w:val="79"/>
        <w:bidi w:val="0"/>
        <w:rPr>
          <w:rFonts w:hint="default"/>
          <w:color w:val="auto"/>
          <w:lang w:val="en-US" w:eastAsia="zh-CN"/>
        </w:rPr>
      </w:pPr>
      <w:r>
        <w:rPr>
          <w:rFonts w:hint="default"/>
          <w:color w:val="auto"/>
          <w:lang w:val="en-US" w:eastAsia="zh-CN"/>
        </w:rPr>
        <w:t>（2）项目投入运营后，需严格按照《挥发性有机物（VOCs）污染防治技术政策》要求，持续加强物料储存、转移、输送过程中VOCs排放、泄漏、收集处理等控制措施。在油气集输过程中，为减轻集输过程中烃类的损失，</w:t>
      </w:r>
      <w:r>
        <w:rPr>
          <w:rFonts w:hint="eastAsia"/>
          <w:color w:val="auto"/>
          <w:lang w:val="en-US" w:eastAsia="zh-CN"/>
        </w:rPr>
        <w:t>油田</w:t>
      </w:r>
      <w:r>
        <w:rPr>
          <w:rFonts w:hint="default"/>
          <w:color w:val="auto"/>
          <w:lang w:val="en-US" w:eastAsia="zh-CN"/>
        </w:rPr>
        <w:t>开发采用密闭集输流程，非甲烷总烃无组织排放可以满足《陆上石油天然气开采工业大气污染物排放标准》（GB39728-2020）中企业边界污染物控制要求。一旦发生泄漏事故，紧急切断油、气源，实施关井，从而最大限度地减少油气集输过程中烃类及油的排放量。定期对油气集输管线进行巡检，以便及时发现问题，消除事故隐患，防止油气泄漏进入大气环境。</w:t>
      </w:r>
    </w:p>
    <w:p w14:paraId="0BB35786">
      <w:pPr>
        <w:pStyle w:val="79"/>
        <w:bidi w:val="0"/>
        <w:rPr>
          <w:rFonts w:hint="default"/>
          <w:color w:val="auto"/>
          <w:lang w:val="en-US" w:eastAsia="zh-CN"/>
        </w:rPr>
      </w:pPr>
      <w:r>
        <w:rPr>
          <w:rFonts w:hint="default"/>
          <w:color w:val="auto"/>
          <w:lang w:val="en-US" w:eastAsia="zh-CN"/>
        </w:rPr>
        <w:t>（3）VOCs污染控制措施：①选用质量可靠的设备、仪表、阀门等；定期对井场的设备、阀门等检查、检修，以防止跑、冒、漏现象的发生；②加强对密闭管线及密封点的巡检，一旦发生泄漏立即切断控制阀，并</w:t>
      </w:r>
      <w:r>
        <w:rPr>
          <w:rFonts w:hint="eastAsia"/>
          <w:color w:val="auto"/>
          <w:lang w:val="en-US" w:eastAsia="zh-CN"/>
        </w:rPr>
        <w:t>尽快</w:t>
      </w:r>
      <w:r>
        <w:rPr>
          <w:rFonts w:hint="default"/>
          <w:color w:val="auto"/>
          <w:lang w:val="en-US" w:eastAsia="zh-CN"/>
        </w:rPr>
        <w:t>完成修复；加强</w:t>
      </w:r>
      <w:r>
        <w:rPr>
          <w:rFonts w:hint="eastAsia"/>
          <w:color w:val="auto"/>
          <w:lang w:val="en-US" w:eastAsia="zh-CN"/>
        </w:rPr>
        <w:t>油井</w:t>
      </w:r>
      <w:r>
        <w:rPr>
          <w:rFonts w:hint="default"/>
          <w:color w:val="auto"/>
          <w:lang w:val="en-US" w:eastAsia="zh-CN"/>
        </w:rPr>
        <w:t>生产管理，减少烃类的跑、冒、滴、漏，做好</w:t>
      </w:r>
      <w:r>
        <w:rPr>
          <w:rFonts w:hint="eastAsia"/>
          <w:color w:val="auto"/>
          <w:lang w:val="en-US" w:eastAsia="zh-CN"/>
        </w:rPr>
        <w:t>油井</w:t>
      </w:r>
      <w:r>
        <w:rPr>
          <w:rFonts w:hint="default"/>
          <w:color w:val="auto"/>
          <w:lang w:val="en-US" w:eastAsia="zh-CN"/>
        </w:rPr>
        <w:t>的压力监测，并准备应急措施。</w:t>
      </w:r>
    </w:p>
    <w:p w14:paraId="5C71D0AA">
      <w:pPr>
        <w:pStyle w:val="79"/>
        <w:bidi w:val="0"/>
        <w:rPr>
          <w:rFonts w:hint="default"/>
          <w:color w:val="auto"/>
          <w:lang w:val="en-US" w:eastAsia="zh-CN"/>
        </w:rPr>
      </w:pPr>
      <w:r>
        <w:rPr>
          <w:rFonts w:hint="default"/>
          <w:color w:val="auto"/>
          <w:lang w:val="en-US" w:eastAsia="zh-CN"/>
        </w:rPr>
        <w:t>（4）在日常生产过程中，加强非甲烷总烃无组织排放例行监测，对典型站场厂界非甲烷总烃每年监测一次，确保非甲烷总烃满足《陆上石油天然气开采工业大气污染物排放标准》（GB39728-2020）中企业边界污染物控制要求。</w:t>
      </w:r>
    </w:p>
    <w:p w14:paraId="0DD894BC">
      <w:pPr>
        <w:pStyle w:val="79"/>
        <w:bidi w:val="0"/>
        <w:rPr>
          <w:rFonts w:hint="default"/>
          <w:color w:val="auto"/>
          <w:lang w:val="en-US" w:eastAsia="zh-CN"/>
        </w:rPr>
      </w:pPr>
      <w:r>
        <w:rPr>
          <w:rFonts w:hint="default"/>
          <w:color w:val="auto"/>
          <w:lang w:val="en-US" w:eastAsia="zh-CN"/>
        </w:rPr>
        <w:t>（5）定期对油气集输管线进行巡检，以便及时发现问题，消除事故隐患，防止油气泄漏进入大气环境。</w:t>
      </w:r>
    </w:p>
    <w:p w14:paraId="25A87F3A">
      <w:pPr>
        <w:pStyle w:val="79"/>
        <w:bidi w:val="0"/>
        <w:rPr>
          <w:rFonts w:hint="eastAsia"/>
          <w:color w:val="auto"/>
          <w:lang w:val="en-US" w:eastAsia="zh-CN"/>
        </w:rPr>
      </w:pPr>
      <w:bookmarkStart w:id="752" w:name="OLE_LINK136"/>
      <w:r>
        <w:rPr>
          <w:rFonts w:hint="eastAsia"/>
          <w:color w:val="auto"/>
          <w:lang w:val="en-US" w:eastAsia="zh-CN"/>
        </w:rPr>
        <w:t>（6）本项目加热节流撬采用高效的燃烧设施，排气筒高度应不低于8m。定期监测废气主要污染物的排放浓度。</w:t>
      </w:r>
    </w:p>
    <w:p w14:paraId="5E3ABB3D">
      <w:pPr>
        <w:pStyle w:val="79"/>
        <w:bidi w:val="0"/>
        <w:rPr>
          <w:rFonts w:hint="eastAsia"/>
          <w:color w:val="auto"/>
          <w:lang w:val="en-US" w:eastAsia="zh-CN"/>
        </w:rPr>
      </w:pPr>
      <w:r>
        <w:rPr>
          <w:rFonts w:hint="eastAsia"/>
          <w:color w:val="auto"/>
          <w:lang w:val="en-US" w:eastAsia="zh-CN"/>
        </w:rPr>
        <w:t>（7）加热节流撬采用净化后的天然气为燃料，产生的大气污染物得到了较大幅度地减少，可最大限度地降低对区域大气环境的污染</w:t>
      </w:r>
    </w:p>
    <w:p w14:paraId="2D3E4A7E">
      <w:pPr>
        <w:pStyle w:val="79"/>
        <w:bidi w:val="0"/>
        <w:rPr>
          <w:rFonts w:hint="default"/>
          <w:color w:val="auto"/>
          <w:lang w:val="en-US" w:eastAsia="zh-CN"/>
        </w:rPr>
      </w:pPr>
      <w:r>
        <w:rPr>
          <w:rFonts w:hint="eastAsia"/>
          <w:color w:val="auto"/>
          <w:lang w:val="en-US" w:eastAsia="zh-CN"/>
        </w:rPr>
        <w:t>（8）本项目加热炉需按照《固定污染源排污许可分类管理名录》及《排污许可证申请与核发技术规范 锅炉》（HJ953-2019）等相关要求，申请排污许可并进行例行监测等。</w:t>
      </w:r>
    </w:p>
    <w:bookmarkEnd w:id="752"/>
    <w:p w14:paraId="14D78BA3">
      <w:pPr>
        <w:pStyle w:val="79"/>
        <w:bidi w:val="0"/>
        <w:rPr>
          <w:rFonts w:hint="default"/>
          <w:color w:val="auto"/>
          <w:lang w:val="en-US" w:eastAsia="zh-CN"/>
        </w:rPr>
      </w:pPr>
      <w:r>
        <w:rPr>
          <w:rFonts w:hint="default"/>
          <w:color w:val="auto"/>
          <w:lang w:val="en-US" w:eastAsia="zh-CN"/>
        </w:rPr>
        <w:t>（</w:t>
      </w:r>
      <w:r>
        <w:rPr>
          <w:rFonts w:hint="eastAsia"/>
          <w:color w:val="auto"/>
          <w:lang w:val="en-US" w:eastAsia="zh-CN"/>
        </w:rPr>
        <w:t>9</w:t>
      </w:r>
      <w:r>
        <w:rPr>
          <w:rFonts w:hint="default"/>
          <w:color w:val="auto"/>
          <w:lang w:val="en-US" w:eastAsia="zh-CN"/>
        </w:rPr>
        <w:t>）温室气体管控</w:t>
      </w:r>
    </w:p>
    <w:p w14:paraId="7C2BEECB">
      <w:pPr>
        <w:pStyle w:val="79"/>
        <w:bidi w:val="0"/>
        <w:rPr>
          <w:rFonts w:hint="default"/>
          <w:color w:val="auto"/>
          <w:lang w:val="en-US" w:eastAsia="zh-CN"/>
        </w:rPr>
      </w:pPr>
      <w:r>
        <w:rPr>
          <w:rFonts w:hint="default"/>
          <w:color w:val="auto"/>
          <w:lang w:val="en-US" w:eastAsia="zh-CN"/>
        </w:rPr>
        <w:fldChar w:fldCharType="begin"/>
      </w:r>
      <w:r>
        <w:rPr>
          <w:rFonts w:hint="default"/>
          <w:color w:val="auto"/>
          <w:lang w:val="en-US" w:eastAsia="zh-CN"/>
        </w:rPr>
        <w:instrText xml:space="preserve"> = 1 \* GB3 \* MERGEFORMAT </w:instrText>
      </w:r>
      <w:r>
        <w:rPr>
          <w:rFonts w:hint="default"/>
          <w:color w:val="auto"/>
          <w:lang w:val="en-US" w:eastAsia="zh-CN"/>
        </w:rPr>
        <w:fldChar w:fldCharType="separate"/>
      </w:r>
      <w:r>
        <w:rPr>
          <w:rFonts w:hint="default"/>
          <w:color w:val="auto"/>
        </w:rPr>
        <w:t>①</w:t>
      </w:r>
      <w:r>
        <w:rPr>
          <w:rFonts w:hint="default"/>
          <w:color w:val="auto"/>
          <w:lang w:val="en-US" w:eastAsia="zh-CN"/>
        </w:rPr>
        <w:fldChar w:fldCharType="end"/>
      </w:r>
      <w:r>
        <w:rPr>
          <w:rFonts w:hint="default"/>
          <w:color w:val="auto"/>
          <w:lang w:val="en-US" w:eastAsia="zh-CN"/>
        </w:rPr>
        <w:t>进一步开展节能减排工作，加强质量控制和技术研发，加强油气技术管道密闭性能；</w:t>
      </w:r>
    </w:p>
    <w:p w14:paraId="579FCF40">
      <w:pPr>
        <w:pStyle w:val="79"/>
        <w:bidi w:val="0"/>
        <w:rPr>
          <w:rFonts w:hint="default"/>
          <w:color w:val="auto"/>
          <w:lang w:val="en-US" w:eastAsia="zh-CN"/>
        </w:rPr>
      </w:pPr>
      <w:r>
        <w:rPr>
          <w:rFonts w:hint="default"/>
          <w:color w:val="auto"/>
          <w:lang w:val="en-US" w:eastAsia="zh-CN"/>
        </w:rPr>
        <w:fldChar w:fldCharType="begin"/>
      </w:r>
      <w:r>
        <w:rPr>
          <w:rFonts w:hint="default"/>
          <w:color w:val="auto"/>
          <w:lang w:val="en-US" w:eastAsia="zh-CN"/>
        </w:rPr>
        <w:instrText xml:space="preserve"> = 2 \* GB3 \* MERGEFORMAT </w:instrText>
      </w:r>
      <w:r>
        <w:rPr>
          <w:rFonts w:hint="default"/>
          <w:color w:val="auto"/>
          <w:lang w:val="en-US" w:eastAsia="zh-CN"/>
        </w:rPr>
        <w:fldChar w:fldCharType="separate"/>
      </w:r>
      <w:r>
        <w:rPr>
          <w:rFonts w:hint="default"/>
          <w:color w:val="auto"/>
        </w:rPr>
        <w:t>②</w:t>
      </w:r>
      <w:r>
        <w:rPr>
          <w:rFonts w:hint="default"/>
          <w:color w:val="auto"/>
          <w:lang w:val="en-US" w:eastAsia="zh-CN"/>
        </w:rPr>
        <w:fldChar w:fldCharType="end"/>
      </w:r>
      <w:r>
        <w:rPr>
          <w:rFonts w:hint="default"/>
          <w:color w:val="auto"/>
          <w:lang w:val="en-US" w:eastAsia="zh-CN"/>
        </w:rPr>
        <w:t>大力推广应用零散天然气回收和电力系统无功补偿</w:t>
      </w:r>
      <w:r>
        <w:rPr>
          <w:rFonts w:hint="eastAsia"/>
          <w:color w:val="auto"/>
          <w:lang w:val="en-US" w:eastAsia="zh-CN"/>
        </w:rPr>
        <w:t>及</w:t>
      </w:r>
      <w:r>
        <w:rPr>
          <w:rFonts w:hint="default"/>
          <w:color w:val="auto"/>
          <w:lang w:val="en-US" w:eastAsia="zh-CN"/>
        </w:rPr>
        <w:t>新能源利用等开采技术，开发清洁能源替代现有能源；</w:t>
      </w:r>
    </w:p>
    <w:p w14:paraId="2305F913">
      <w:pPr>
        <w:pStyle w:val="79"/>
        <w:bidi w:val="0"/>
        <w:rPr>
          <w:rFonts w:hint="default"/>
          <w:color w:val="auto"/>
          <w:lang w:val="en-US" w:eastAsia="zh-CN"/>
        </w:rPr>
      </w:pPr>
      <w:r>
        <w:rPr>
          <w:rFonts w:hint="default"/>
          <w:color w:val="auto"/>
          <w:lang w:val="en-US" w:eastAsia="zh-CN"/>
        </w:rPr>
        <w:fldChar w:fldCharType="begin"/>
      </w:r>
      <w:r>
        <w:rPr>
          <w:rFonts w:hint="default"/>
          <w:color w:val="auto"/>
          <w:lang w:val="en-US" w:eastAsia="zh-CN"/>
        </w:rPr>
        <w:instrText xml:space="preserve"> = 3 \* GB3 \* MERGEFORMAT </w:instrText>
      </w:r>
      <w:r>
        <w:rPr>
          <w:rFonts w:hint="default"/>
          <w:color w:val="auto"/>
          <w:lang w:val="en-US" w:eastAsia="zh-CN"/>
        </w:rPr>
        <w:fldChar w:fldCharType="separate"/>
      </w:r>
      <w:r>
        <w:rPr>
          <w:rFonts w:hint="default"/>
          <w:color w:val="auto"/>
        </w:rPr>
        <w:t>③</w:t>
      </w:r>
      <w:r>
        <w:rPr>
          <w:rFonts w:hint="default"/>
          <w:color w:val="auto"/>
          <w:lang w:val="en-US" w:eastAsia="zh-CN"/>
        </w:rPr>
        <w:fldChar w:fldCharType="end"/>
      </w:r>
      <w:r>
        <w:rPr>
          <w:rFonts w:hint="default"/>
          <w:color w:val="auto"/>
          <w:lang w:val="en-US" w:eastAsia="zh-CN"/>
        </w:rPr>
        <w:t>选用质量可靠的设备、仪表、阀门等；</w:t>
      </w:r>
    </w:p>
    <w:p w14:paraId="3553CAE7">
      <w:pPr>
        <w:pStyle w:val="79"/>
        <w:bidi w:val="0"/>
        <w:rPr>
          <w:rFonts w:hint="default"/>
          <w:color w:val="auto"/>
          <w:lang w:val="en-US" w:eastAsia="zh-CN"/>
        </w:rPr>
      </w:pPr>
      <w:r>
        <w:rPr>
          <w:rFonts w:hint="default"/>
          <w:color w:val="auto"/>
          <w:lang w:val="en-US" w:eastAsia="zh-CN"/>
        </w:rPr>
        <w:fldChar w:fldCharType="begin"/>
      </w:r>
      <w:r>
        <w:rPr>
          <w:rFonts w:hint="default"/>
          <w:color w:val="auto"/>
          <w:lang w:val="en-US" w:eastAsia="zh-CN"/>
        </w:rPr>
        <w:instrText xml:space="preserve"> = 4 \* GB3 \* MERGEFORMAT </w:instrText>
      </w:r>
      <w:r>
        <w:rPr>
          <w:rFonts w:hint="default"/>
          <w:color w:val="auto"/>
          <w:lang w:val="en-US" w:eastAsia="zh-CN"/>
        </w:rPr>
        <w:fldChar w:fldCharType="separate"/>
      </w:r>
      <w:r>
        <w:rPr>
          <w:rFonts w:hint="default"/>
          <w:color w:val="auto"/>
        </w:rPr>
        <w:t>④</w:t>
      </w:r>
      <w:r>
        <w:rPr>
          <w:rFonts w:hint="default"/>
          <w:color w:val="auto"/>
          <w:lang w:val="en-US" w:eastAsia="zh-CN"/>
        </w:rPr>
        <w:fldChar w:fldCharType="end"/>
      </w:r>
      <w:r>
        <w:rPr>
          <w:rFonts w:hint="default"/>
          <w:color w:val="auto"/>
          <w:lang w:val="en-US" w:eastAsia="zh-CN"/>
        </w:rPr>
        <w:t>加强对密闭管线及密封点的巡检，一旦发生泄漏立即切断控制阀，并</w:t>
      </w:r>
      <w:r>
        <w:rPr>
          <w:rFonts w:hint="eastAsia"/>
          <w:color w:val="auto"/>
          <w:lang w:val="en-US" w:eastAsia="zh-CN"/>
        </w:rPr>
        <w:t>尽快</w:t>
      </w:r>
      <w:r>
        <w:rPr>
          <w:rFonts w:hint="default"/>
          <w:color w:val="auto"/>
          <w:lang w:val="en-US" w:eastAsia="zh-CN"/>
        </w:rPr>
        <w:t>完成修复；</w:t>
      </w:r>
    </w:p>
    <w:p w14:paraId="0568EFE9">
      <w:pPr>
        <w:pStyle w:val="79"/>
        <w:bidi w:val="0"/>
        <w:rPr>
          <w:rFonts w:hint="default"/>
          <w:color w:val="auto"/>
          <w:lang w:val="en-US" w:eastAsia="zh-CN"/>
        </w:rPr>
      </w:pPr>
      <w:r>
        <w:rPr>
          <w:rFonts w:hint="default"/>
          <w:color w:val="auto"/>
          <w:lang w:val="en-US" w:eastAsia="zh-CN"/>
        </w:rPr>
        <w:fldChar w:fldCharType="begin"/>
      </w:r>
      <w:r>
        <w:rPr>
          <w:rFonts w:hint="default"/>
          <w:color w:val="auto"/>
          <w:lang w:val="en-US" w:eastAsia="zh-CN"/>
        </w:rPr>
        <w:instrText xml:space="preserve"> = 5 \* GB3 \* MERGEFORMAT </w:instrText>
      </w:r>
      <w:r>
        <w:rPr>
          <w:rFonts w:hint="default"/>
          <w:color w:val="auto"/>
          <w:lang w:val="en-US" w:eastAsia="zh-CN"/>
        </w:rPr>
        <w:fldChar w:fldCharType="separate"/>
      </w:r>
      <w:r>
        <w:rPr>
          <w:rFonts w:hint="default"/>
          <w:color w:val="auto"/>
        </w:rPr>
        <w:t>⑤</w:t>
      </w:r>
      <w:r>
        <w:rPr>
          <w:rFonts w:hint="default"/>
          <w:color w:val="auto"/>
          <w:lang w:val="en-US" w:eastAsia="zh-CN"/>
        </w:rPr>
        <w:fldChar w:fldCharType="end"/>
      </w:r>
      <w:r>
        <w:rPr>
          <w:rFonts w:hint="default"/>
          <w:color w:val="auto"/>
          <w:lang w:val="en-US" w:eastAsia="zh-CN"/>
        </w:rPr>
        <w:t>加强</w:t>
      </w:r>
      <w:r>
        <w:rPr>
          <w:rFonts w:hint="eastAsia"/>
          <w:color w:val="auto"/>
          <w:lang w:val="en-US" w:eastAsia="zh-CN"/>
        </w:rPr>
        <w:t>油井</w:t>
      </w:r>
      <w:r>
        <w:rPr>
          <w:rFonts w:hint="default"/>
          <w:color w:val="auto"/>
          <w:lang w:val="en-US" w:eastAsia="zh-CN"/>
        </w:rPr>
        <w:t>生产管理，减少温室气体的跑、冒，做好</w:t>
      </w:r>
      <w:r>
        <w:rPr>
          <w:rFonts w:hint="eastAsia"/>
          <w:color w:val="auto"/>
          <w:lang w:val="en-US" w:eastAsia="zh-CN"/>
        </w:rPr>
        <w:t>油井</w:t>
      </w:r>
      <w:r>
        <w:rPr>
          <w:rFonts w:hint="default"/>
          <w:color w:val="auto"/>
          <w:lang w:val="en-US" w:eastAsia="zh-CN"/>
        </w:rPr>
        <w:t>的压力监测，并准备应急措施，从而减少温室气体排放。</w:t>
      </w:r>
    </w:p>
    <w:p w14:paraId="38A0A69E">
      <w:pPr>
        <w:pStyle w:val="79"/>
        <w:bidi w:val="0"/>
        <w:rPr>
          <w:color w:val="auto"/>
          <w:lang w:val="en-US" w:eastAsia="zh-CN"/>
        </w:rPr>
      </w:pPr>
      <w:r>
        <w:rPr>
          <w:rFonts w:hint="default"/>
          <w:color w:val="auto"/>
          <w:lang w:val="en-US" w:eastAsia="zh-CN"/>
        </w:rPr>
        <w:t>综上，本工程采取的废气污染防治措施可行。</w:t>
      </w:r>
    </w:p>
    <w:bookmarkEnd w:id="749"/>
    <w:p w14:paraId="7CDD2B35">
      <w:pPr>
        <w:pStyle w:val="54"/>
        <w:bidi w:val="0"/>
        <w:rPr>
          <w:rFonts w:hint="default"/>
          <w:color w:val="auto"/>
          <w:lang w:val="en-US" w:eastAsia="zh-CN"/>
        </w:rPr>
      </w:pPr>
      <w:r>
        <w:rPr>
          <w:rFonts w:hint="default"/>
          <w:color w:val="auto"/>
          <w:lang w:val="en-US" w:eastAsia="zh-CN"/>
        </w:rPr>
        <w:t>6.</w:t>
      </w:r>
      <w:r>
        <w:rPr>
          <w:rFonts w:hint="eastAsia"/>
          <w:color w:val="auto"/>
          <w:lang w:val="en-US" w:eastAsia="zh-CN"/>
        </w:rPr>
        <w:t>4</w:t>
      </w:r>
      <w:r>
        <w:rPr>
          <w:rFonts w:hint="default"/>
          <w:color w:val="auto"/>
          <w:lang w:val="en-US" w:eastAsia="zh-CN"/>
        </w:rPr>
        <w:t>.3</w:t>
      </w:r>
      <w:r>
        <w:rPr>
          <w:rFonts w:hint="eastAsia"/>
          <w:color w:val="auto"/>
          <w:lang w:val="en-US" w:eastAsia="zh-CN"/>
        </w:rPr>
        <w:t xml:space="preserve"> 退役期</w:t>
      </w:r>
      <w:r>
        <w:rPr>
          <w:rFonts w:hint="default"/>
          <w:color w:val="auto"/>
          <w:lang w:val="en-US" w:eastAsia="zh-CN"/>
        </w:rPr>
        <w:t>大气环境保护措施</w:t>
      </w:r>
    </w:p>
    <w:p w14:paraId="4F0E73DE">
      <w:pPr>
        <w:pStyle w:val="79"/>
        <w:bidi w:val="0"/>
        <w:rPr>
          <w:rFonts w:hint="default"/>
          <w:color w:val="auto"/>
          <w:lang w:eastAsia="zh-CN"/>
        </w:rPr>
      </w:pPr>
      <w:r>
        <w:rPr>
          <w:rFonts w:hint="default"/>
          <w:color w:val="auto"/>
        </w:rPr>
        <w:t>（1）运输车辆使用符合国家标准的油品。</w:t>
      </w:r>
    </w:p>
    <w:p w14:paraId="20842502">
      <w:pPr>
        <w:pStyle w:val="79"/>
        <w:bidi w:val="0"/>
        <w:rPr>
          <w:rFonts w:hint="default"/>
          <w:color w:val="auto"/>
          <w:lang w:eastAsia="zh-CN"/>
        </w:rPr>
      </w:pPr>
      <w:r>
        <w:rPr>
          <w:rFonts w:hint="default"/>
          <w:color w:val="auto"/>
        </w:rPr>
        <w:t>（2）在闭井施工操作中应做到文明施工，防止水泥等的洒落与飘散；尽量避开大风天气进行作业。</w:t>
      </w:r>
    </w:p>
    <w:p w14:paraId="4F1D1B88">
      <w:pPr>
        <w:pStyle w:val="79"/>
        <w:bidi w:val="0"/>
        <w:rPr>
          <w:rFonts w:hint="eastAsia"/>
          <w:color w:val="auto"/>
          <w:lang w:eastAsia="zh-CN"/>
        </w:rPr>
      </w:pPr>
      <w:r>
        <w:rPr>
          <w:rFonts w:hint="default"/>
          <w:color w:val="auto"/>
        </w:rPr>
        <w:t>（3）</w:t>
      </w:r>
      <w:r>
        <w:rPr>
          <w:rFonts w:hint="eastAsia"/>
          <w:color w:val="auto"/>
          <w:lang w:eastAsia="zh-CN"/>
        </w:rPr>
        <w:t>退役期</w:t>
      </w:r>
      <w:r>
        <w:rPr>
          <w:rFonts w:hint="default"/>
          <w:color w:val="auto"/>
        </w:rPr>
        <w:t>封井施工过程中，应加强</w:t>
      </w:r>
      <w:r>
        <w:rPr>
          <w:color w:val="auto"/>
        </w:rPr>
        <w:t>施工质量管理，避免出现封井不严等非正常工况的烃类泄漏。</w:t>
      </w:r>
    </w:p>
    <w:p w14:paraId="3CEED5A2">
      <w:pPr>
        <w:pStyle w:val="75"/>
        <w:bidi w:val="0"/>
        <w:rPr>
          <w:rFonts w:hint="default"/>
          <w:color w:val="auto"/>
          <w:lang w:val="en-US" w:eastAsia="zh-CN"/>
        </w:rPr>
      </w:pPr>
      <w:bookmarkStart w:id="753" w:name="_Toc8641"/>
      <w:r>
        <w:rPr>
          <w:rFonts w:hint="eastAsia"/>
          <w:color w:val="auto"/>
          <w:lang w:val="en-US" w:eastAsia="zh-CN"/>
        </w:rPr>
        <w:t>6.5声环境保护措施可行性论证</w:t>
      </w:r>
      <w:bookmarkEnd w:id="753"/>
    </w:p>
    <w:p w14:paraId="14C482A9">
      <w:pPr>
        <w:pStyle w:val="54"/>
        <w:bidi w:val="0"/>
        <w:rPr>
          <w:rFonts w:hint="eastAsia"/>
          <w:color w:val="auto"/>
          <w:lang w:val="en-US" w:eastAsia="zh-CN"/>
        </w:rPr>
      </w:pPr>
      <w:r>
        <w:rPr>
          <w:color w:val="auto"/>
          <w:lang w:val="en-US" w:eastAsia="zh-CN"/>
        </w:rPr>
        <w:t>6.</w:t>
      </w:r>
      <w:r>
        <w:rPr>
          <w:rFonts w:hint="eastAsia"/>
          <w:color w:val="auto"/>
          <w:lang w:val="en-US" w:eastAsia="zh-CN"/>
        </w:rPr>
        <w:t>5.1 施工期声环境保护措施</w:t>
      </w:r>
    </w:p>
    <w:p w14:paraId="3B48014C">
      <w:pPr>
        <w:pStyle w:val="79"/>
        <w:bidi w:val="0"/>
        <w:rPr>
          <w:color w:val="auto"/>
          <w:lang w:val="en-US" w:eastAsia="zh-CN"/>
        </w:rPr>
      </w:pPr>
      <w:r>
        <w:rPr>
          <w:rFonts w:hint="eastAsia"/>
          <w:color w:val="auto"/>
          <w:lang w:val="en-US" w:eastAsia="zh-CN"/>
        </w:rPr>
        <w:t>本工程施工期噪声源主要是各类施工机械和运输车辆。为最大限度避免和减轻施工及运输噪声对周围声环境的不利影响，本评价对施工期噪声控制提出以下要求和建议：</w:t>
      </w:r>
    </w:p>
    <w:p w14:paraId="2FFE2CB2">
      <w:pPr>
        <w:pStyle w:val="79"/>
        <w:bidi w:val="0"/>
        <w:rPr>
          <w:color w:val="auto"/>
          <w:lang w:val="en-US" w:eastAsia="zh-CN"/>
        </w:rPr>
      </w:pPr>
      <w:r>
        <w:rPr>
          <w:color w:val="auto"/>
          <w:lang w:val="en-US" w:eastAsia="zh-CN"/>
        </w:rPr>
        <w:t>（1）施工单位可合理安排施工时间，避免长时间使用高噪声设备，使</w:t>
      </w:r>
      <w:r>
        <w:rPr>
          <w:rFonts w:hint="eastAsia"/>
          <w:color w:val="auto"/>
          <w:lang w:val="en-US" w:eastAsia="zh-CN"/>
        </w:rPr>
        <w:t>本工程</w:t>
      </w:r>
      <w:r>
        <w:rPr>
          <w:color w:val="auto"/>
          <w:lang w:val="en-US" w:eastAsia="zh-CN"/>
        </w:rPr>
        <w:t>在施工期造成的噪声污染降到最低。</w:t>
      </w:r>
    </w:p>
    <w:p w14:paraId="75A31CFB">
      <w:pPr>
        <w:pStyle w:val="79"/>
        <w:bidi w:val="0"/>
        <w:rPr>
          <w:color w:val="auto"/>
          <w:lang w:val="en-US" w:eastAsia="zh-CN"/>
        </w:rPr>
      </w:pPr>
      <w:r>
        <w:rPr>
          <w:color w:val="auto"/>
          <w:lang w:val="en-US" w:eastAsia="zh-CN"/>
        </w:rPr>
        <w:t>（2）施工设备选型时，在满足施工需要的前提下，尽可能选取噪声低、振动小、能耗小的先进设备。</w:t>
      </w:r>
    </w:p>
    <w:p w14:paraId="7C138C48">
      <w:pPr>
        <w:pStyle w:val="79"/>
        <w:bidi w:val="0"/>
        <w:rPr>
          <w:color w:val="auto"/>
          <w:lang w:val="en-US" w:eastAsia="zh-CN"/>
        </w:rPr>
      </w:pPr>
      <w:r>
        <w:rPr>
          <w:color w:val="auto"/>
          <w:lang w:val="en-US" w:eastAsia="zh-CN"/>
        </w:rPr>
        <w:t>（3）加强施工机械的维护保养，避免由于设备性能差而使机械噪声增大的现象发生。</w:t>
      </w:r>
    </w:p>
    <w:p w14:paraId="26D992D9">
      <w:pPr>
        <w:pStyle w:val="79"/>
        <w:bidi w:val="0"/>
        <w:rPr>
          <w:color w:val="auto"/>
          <w:lang w:val="en-US" w:eastAsia="zh-CN"/>
        </w:rPr>
      </w:pPr>
      <w:r>
        <w:rPr>
          <w:rFonts w:hint="eastAsia"/>
          <w:color w:val="auto"/>
          <w:lang w:val="en-US" w:eastAsia="zh-CN"/>
        </w:rPr>
        <w:t>（4）运输车辆进出工地时应低速行驶，少鸣笛或不鸣笛。</w:t>
      </w:r>
    </w:p>
    <w:p w14:paraId="3BF4A624">
      <w:pPr>
        <w:pStyle w:val="79"/>
        <w:bidi w:val="0"/>
        <w:rPr>
          <w:color w:val="auto"/>
          <w:lang w:val="en-US" w:eastAsia="zh-CN"/>
        </w:rPr>
      </w:pPr>
      <w:r>
        <w:rPr>
          <w:rFonts w:hint="eastAsia"/>
          <w:color w:val="auto"/>
          <w:lang w:val="en-US" w:eastAsia="zh-CN"/>
        </w:rPr>
        <w:t>项目区200m范围内没有声环境敏感点，采取的噪声污染防治措施是可行的</w:t>
      </w:r>
      <w:r>
        <w:rPr>
          <w:color w:val="auto"/>
          <w:lang w:val="en-US" w:eastAsia="zh-CN"/>
        </w:rPr>
        <w:t>。</w:t>
      </w:r>
    </w:p>
    <w:p w14:paraId="3345E556">
      <w:pPr>
        <w:pStyle w:val="54"/>
        <w:bidi w:val="0"/>
        <w:rPr>
          <w:rFonts w:hint="eastAsia"/>
          <w:color w:val="auto"/>
          <w:lang w:val="en-US" w:eastAsia="zh-CN"/>
        </w:rPr>
      </w:pPr>
      <w:r>
        <w:rPr>
          <w:color w:val="auto"/>
          <w:lang w:val="en-US" w:eastAsia="zh-CN"/>
        </w:rPr>
        <w:t>6.</w:t>
      </w:r>
      <w:r>
        <w:rPr>
          <w:rFonts w:hint="eastAsia"/>
          <w:color w:val="auto"/>
          <w:lang w:val="en-US" w:eastAsia="zh-CN"/>
        </w:rPr>
        <w:t>5.2 运营期声环境保护措施</w:t>
      </w:r>
    </w:p>
    <w:p w14:paraId="1DAB98C1">
      <w:pPr>
        <w:pStyle w:val="79"/>
        <w:bidi w:val="0"/>
        <w:rPr>
          <w:color w:val="auto"/>
        </w:rPr>
      </w:pPr>
      <w:r>
        <w:rPr>
          <w:color w:val="auto"/>
        </w:rPr>
        <w:t>（1）对声源强度较大的设备进行减噪处理，根据各种设备类型所产生噪声的特性，采用不同的控制手段。</w:t>
      </w:r>
    </w:p>
    <w:p w14:paraId="66E2F92F">
      <w:pPr>
        <w:pStyle w:val="79"/>
        <w:bidi w:val="0"/>
        <w:rPr>
          <w:color w:val="auto"/>
        </w:rPr>
      </w:pPr>
      <w:r>
        <w:rPr>
          <w:color w:val="auto"/>
        </w:rPr>
        <w:t>（2）提高工艺过程自动化水平，尽量减少操作人员在噪声源的停留时间。设备采用巡检的方式，由操作人员定期对装置区进行检查，尽量减少人员与噪声的接触时间。</w:t>
      </w:r>
    </w:p>
    <w:p w14:paraId="521730E4">
      <w:pPr>
        <w:pStyle w:val="79"/>
        <w:bidi w:val="0"/>
        <w:rPr>
          <w:color w:val="auto"/>
        </w:rPr>
      </w:pPr>
      <w:r>
        <w:rPr>
          <w:rFonts w:hint="eastAsia"/>
          <w:color w:val="auto"/>
          <w:lang w:eastAsia="zh-CN"/>
        </w:rPr>
        <w:t>本工程</w:t>
      </w:r>
      <w:r>
        <w:rPr>
          <w:color w:val="auto"/>
        </w:rPr>
        <w:t>采取的噪声污染防治措施可行。</w:t>
      </w:r>
    </w:p>
    <w:p w14:paraId="3E20AC84">
      <w:pPr>
        <w:pStyle w:val="54"/>
        <w:bidi w:val="0"/>
        <w:rPr>
          <w:rFonts w:hint="eastAsia"/>
          <w:color w:val="auto"/>
          <w:lang w:val="en-US" w:eastAsia="zh-CN"/>
        </w:rPr>
      </w:pPr>
      <w:r>
        <w:rPr>
          <w:rFonts w:hint="default"/>
          <w:color w:val="auto"/>
          <w:lang w:val="en-US" w:eastAsia="zh-CN"/>
        </w:rPr>
        <w:t>6.</w:t>
      </w:r>
      <w:r>
        <w:rPr>
          <w:rFonts w:hint="eastAsia"/>
          <w:color w:val="auto"/>
          <w:lang w:val="en-US" w:eastAsia="zh-CN"/>
        </w:rPr>
        <w:t>5.3 退役期声环境保护措施</w:t>
      </w:r>
    </w:p>
    <w:p w14:paraId="13937944">
      <w:pPr>
        <w:pStyle w:val="79"/>
        <w:bidi w:val="0"/>
        <w:rPr>
          <w:rFonts w:hint="eastAsia"/>
          <w:color w:val="auto"/>
          <w:lang w:eastAsia="zh-CN"/>
        </w:rPr>
      </w:pPr>
      <w:r>
        <w:rPr>
          <w:color w:val="auto"/>
        </w:rPr>
        <w:t>（1）选用低噪声机械和车辆。</w:t>
      </w:r>
    </w:p>
    <w:p w14:paraId="5E194D54">
      <w:pPr>
        <w:pStyle w:val="79"/>
        <w:bidi w:val="0"/>
        <w:rPr>
          <w:rFonts w:hint="eastAsia"/>
          <w:color w:val="auto"/>
          <w:lang w:eastAsia="zh-CN"/>
        </w:rPr>
      </w:pPr>
      <w:r>
        <w:rPr>
          <w:color w:val="auto"/>
        </w:rPr>
        <w:t>（2）加强设备检查维修，保证其正常运行。</w:t>
      </w:r>
    </w:p>
    <w:p w14:paraId="0415EB75">
      <w:pPr>
        <w:pStyle w:val="79"/>
        <w:bidi w:val="0"/>
        <w:rPr>
          <w:rFonts w:hint="eastAsia"/>
          <w:color w:val="auto"/>
          <w:lang w:eastAsia="zh-CN"/>
        </w:rPr>
      </w:pPr>
      <w:r>
        <w:rPr>
          <w:color w:val="auto"/>
        </w:rPr>
        <w:t>（3）加强运输车辆管理，合理规划运输路线，禁止运输车辆随意高声鸣笛。</w:t>
      </w:r>
    </w:p>
    <w:p w14:paraId="04AF1DB2">
      <w:pPr>
        <w:pStyle w:val="75"/>
        <w:bidi w:val="0"/>
        <w:rPr>
          <w:rFonts w:hint="default"/>
          <w:color w:val="auto"/>
          <w:lang w:val="en-US" w:eastAsia="zh-CN"/>
        </w:rPr>
      </w:pPr>
      <w:bookmarkStart w:id="754" w:name="_Toc3522"/>
      <w:r>
        <w:rPr>
          <w:rFonts w:hint="eastAsia"/>
          <w:color w:val="auto"/>
          <w:lang w:val="en-US" w:eastAsia="zh-CN"/>
        </w:rPr>
        <w:t>6.6固体废物处理措施可行性论证</w:t>
      </w:r>
      <w:bookmarkEnd w:id="754"/>
    </w:p>
    <w:p w14:paraId="7EDB3964">
      <w:pPr>
        <w:pStyle w:val="54"/>
        <w:bidi w:val="0"/>
        <w:rPr>
          <w:rFonts w:hint="eastAsia"/>
          <w:color w:val="auto"/>
          <w:lang w:val="en-US" w:eastAsia="zh-CN"/>
        </w:rPr>
      </w:pPr>
      <w:r>
        <w:rPr>
          <w:color w:val="auto"/>
          <w:lang w:val="en-US" w:eastAsia="zh-CN"/>
        </w:rPr>
        <w:t>6.</w:t>
      </w:r>
      <w:r>
        <w:rPr>
          <w:rFonts w:hint="eastAsia"/>
          <w:color w:val="auto"/>
          <w:lang w:val="en-US" w:eastAsia="zh-CN"/>
        </w:rPr>
        <w:t>6</w:t>
      </w:r>
      <w:r>
        <w:rPr>
          <w:color w:val="auto"/>
          <w:lang w:val="en-US" w:eastAsia="zh-CN"/>
        </w:rPr>
        <w:t>.</w:t>
      </w:r>
      <w:r>
        <w:rPr>
          <w:rFonts w:hint="eastAsia"/>
          <w:color w:val="auto"/>
          <w:lang w:val="en-US" w:eastAsia="zh-CN"/>
        </w:rPr>
        <w:t>1 施工期固体废物污染防治措施</w:t>
      </w:r>
    </w:p>
    <w:p w14:paraId="489E7646">
      <w:pPr>
        <w:pStyle w:val="79"/>
        <w:bidi w:val="0"/>
        <w:rPr>
          <w:color w:val="auto"/>
          <w:lang w:val="en-US" w:eastAsia="zh-CN"/>
        </w:rPr>
      </w:pPr>
      <w:r>
        <w:rPr>
          <w:rFonts w:hint="eastAsia"/>
          <w:color w:val="auto"/>
          <w:lang w:val="en-US" w:eastAsia="zh-CN"/>
        </w:rPr>
        <w:t>本次油田建设在施工期间产生的固体废物主要包括施工废料以及生活垃圾。施工单位不准将各种固体废物随意丢弃和随意排放</w:t>
      </w:r>
      <w:r>
        <w:rPr>
          <w:color w:val="auto"/>
          <w:lang w:val="en-US" w:eastAsia="zh-CN"/>
        </w:rPr>
        <w:t>。</w:t>
      </w:r>
    </w:p>
    <w:p w14:paraId="43E17CA7">
      <w:pPr>
        <w:pStyle w:val="79"/>
        <w:bidi w:val="0"/>
        <w:rPr>
          <w:rFonts w:hint="eastAsia"/>
          <w:color w:val="auto"/>
          <w:lang w:val="en-US" w:eastAsia="zh-CN"/>
        </w:rPr>
      </w:pPr>
      <w:r>
        <w:rPr>
          <w:rFonts w:hint="eastAsia"/>
          <w:color w:val="auto"/>
          <w:lang w:val="en-US" w:eastAsia="zh-CN"/>
        </w:rPr>
        <w:t>施工废料主要包括管材边角料、焊接作业中产生的废焊条及其包装盒</w:t>
      </w:r>
      <w:r>
        <w:rPr>
          <w:color w:val="auto"/>
          <w:lang w:val="en-US" w:eastAsia="zh-CN"/>
        </w:rPr>
        <w:t>等，</w:t>
      </w:r>
      <w:r>
        <w:rPr>
          <w:rFonts w:hint="eastAsia"/>
          <w:color w:val="auto"/>
          <w:lang w:val="en-US" w:eastAsia="zh-CN"/>
        </w:rPr>
        <w:t>应首先考虑回收利用，不可回收利用部分拉运至英买作业区英买7固废场进行填埋处置。施工区不设置施工营地，施工现场应及时、集中收集处理现场遗留的快餐盒、饮料瓶包装盒等废物，生活垃圾随车带走，现场不遗留。</w:t>
      </w:r>
      <w:r>
        <w:rPr>
          <w:color w:val="auto"/>
          <w:lang w:val="en-US" w:eastAsia="zh-CN"/>
        </w:rPr>
        <w:t>施工单位对固废要进行收集并固定地点集中暂存，争取日产日清。同时要做好固废暂存点的防护工作，避免风吹、流失。</w:t>
      </w:r>
    </w:p>
    <w:p w14:paraId="280F219C">
      <w:pPr>
        <w:pStyle w:val="54"/>
        <w:bidi w:val="0"/>
        <w:rPr>
          <w:rFonts w:hint="eastAsia"/>
          <w:color w:val="auto"/>
          <w:lang w:val="en-US" w:eastAsia="zh-CN"/>
        </w:rPr>
      </w:pPr>
      <w:bookmarkStart w:id="755" w:name="_Toc119915029"/>
      <w:bookmarkStart w:id="756" w:name="_Toc7597"/>
      <w:bookmarkStart w:id="757" w:name="_Toc12216"/>
      <w:bookmarkStart w:id="758" w:name="_Toc31256"/>
      <w:bookmarkStart w:id="759" w:name="_Toc27659"/>
      <w:bookmarkStart w:id="760" w:name="_Toc25391"/>
      <w:r>
        <w:rPr>
          <w:color w:val="auto"/>
          <w:lang w:val="en-US" w:eastAsia="zh-CN"/>
        </w:rPr>
        <w:t>6.</w:t>
      </w:r>
      <w:r>
        <w:rPr>
          <w:rFonts w:hint="eastAsia"/>
          <w:color w:val="auto"/>
          <w:lang w:val="en-US" w:eastAsia="zh-CN"/>
        </w:rPr>
        <w:t>6</w:t>
      </w:r>
      <w:r>
        <w:rPr>
          <w:color w:val="auto"/>
          <w:lang w:val="en-US" w:eastAsia="zh-CN"/>
        </w:rPr>
        <w:t>.</w:t>
      </w:r>
      <w:r>
        <w:rPr>
          <w:rFonts w:hint="eastAsia"/>
          <w:color w:val="auto"/>
          <w:lang w:val="en-US" w:eastAsia="zh-CN"/>
        </w:rPr>
        <w:t>2 运营期固体废物污染防治措施</w:t>
      </w:r>
    </w:p>
    <w:p w14:paraId="550EE88F">
      <w:pPr>
        <w:pStyle w:val="79"/>
        <w:bidi w:val="0"/>
        <w:rPr>
          <w:rFonts w:hint="default"/>
          <w:color w:val="auto"/>
        </w:rPr>
      </w:pPr>
      <w:r>
        <w:rPr>
          <w:rFonts w:hint="default"/>
          <w:color w:val="auto"/>
        </w:rPr>
        <w:t>本工程运营期主要产生的固体废物主要有</w:t>
      </w:r>
      <w:r>
        <w:rPr>
          <w:rFonts w:hint="eastAsia"/>
          <w:color w:val="auto"/>
          <w:lang w:val="en-US" w:eastAsia="zh-CN"/>
        </w:rPr>
        <w:t>废脱硫剂、废分子筛、</w:t>
      </w:r>
      <w:r>
        <w:rPr>
          <w:rFonts w:hint="default"/>
          <w:color w:val="auto"/>
        </w:rPr>
        <w:t>清管废渣、油泥砂、落地油、废防渗膜、废润滑油、井下作业固废及生活垃圾。</w:t>
      </w:r>
    </w:p>
    <w:p w14:paraId="4E3A4E31">
      <w:pPr>
        <w:pStyle w:val="55"/>
        <w:bidi w:val="0"/>
        <w:rPr>
          <w:rFonts w:hint="default"/>
          <w:color w:val="auto"/>
          <w:lang w:val="en-US" w:eastAsia="zh-CN"/>
        </w:rPr>
      </w:pPr>
      <w:r>
        <w:rPr>
          <w:rFonts w:hint="eastAsia"/>
          <w:color w:val="auto"/>
          <w:lang w:val="en-US" w:eastAsia="zh-CN"/>
        </w:rPr>
        <w:t xml:space="preserve">6.6.2.1 </w:t>
      </w:r>
      <w:r>
        <w:rPr>
          <w:rFonts w:hint="default"/>
          <w:color w:val="auto"/>
          <w:lang w:val="en-US" w:eastAsia="zh-CN"/>
        </w:rPr>
        <w:t>运营期固体废物污染防治采取如下治理措施</w:t>
      </w:r>
    </w:p>
    <w:p w14:paraId="0A053433">
      <w:pPr>
        <w:pStyle w:val="79"/>
        <w:bidi w:val="0"/>
        <w:rPr>
          <w:rFonts w:hint="eastAsia"/>
          <w:color w:val="auto"/>
          <w:lang w:val="en-US" w:eastAsia="zh-CN"/>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本工程干法脱硫过程中产生的废脱硫剂属于一般工业固体废物，由生产厂家进行更换脱硫剂，更换后由其拉走处置</w:t>
      </w:r>
      <w:r>
        <w:rPr>
          <w:rFonts w:hint="eastAsia"/>
          <w:color w:val="auto"/>
          <w:lang w:eastAsia="zh-CN"/>
        </w:rPr>
        <w:t>。</w:t>
      </w:r>
    </w:p>
    <w:p w14:paraId="35C98CF9">
      <w:pPr>
        <w:pStyle w:val="79"/>
        <w:bidi w:val="0"/>
        <w:rPr>
          <w:rFonts w:hint="eastAsia"/>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）本工程在天然气脱水单元会产生废分子筛，属于一般固废，分子筛每两年更换一次，由生产厂家进行更换，更换后由其拉走处置。</w:t>
      </w:r>
    </w:p>
    <w:p w14:paraId="625996BF">
      <w:pPr>
        <w:pStyle w:val="79"/>
        <w:bidi w:val="0"/>
        <w:rPr>
          <w:rFonts w:hint="default"/>
          <w:color w:val="auto"/>
        </w:rPr>
      </w:pPr>
      <w:r>
        <w:rPr>
          <w:rFonts w:hint="default"/>
          <w:color w:val="auto"/>
        </w:rPr>
        <w:t>（</w:t>
      </w:r>
      <w:r>
        <w:rPr>
          <w:rFonts w:hint="eastAsia"/>
          <w:color w:val="auto"/>
          <w:lang w:val="en-US" w:eastAsia="zh-CN"/>
        </w:rPr>
        <w:t>3</w:t>
      </w:r>
      <w:r>
        <w:rPr>
          <w:rFonts w:hint="default"/>
          <w:color w:val="auto"/>
        </w:rPr>
        <w:t>）运营期产生的清管废渣</w:t>
      </w:r>
      <w:r>
        <w:rPr>
          <w:rFonts w:hint="eastAsia"/>
          <w:color w:val="auto"/>
          <w:lang w:eastAsia="zh-CN"/>
        </w:rPr>
        <w:t>委托有危废处置资质单位进行处置</w:t>
      </w:r>
      <w:r>
        <w:rPr>
          <w:rFonts w:hint="default"/>
          <w:color w:val="auto"/>
        </w:rPr>
        <w:t>。</w:t>
      </w:r>
    </w:p>
    <w:p w14:paraId="0F3B3A73">
      <w:pPr>
        <w:pStyle w:val="79"/>
        <w:bidi w:val="0"/>
        <w:rPr>
          <w:rFonts w:hint="eastAsia"/>
          <w:color w:val="auto"/>
          <w:lang w:val="en-US" w:eastAsia="zh-CN"/>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lang w:val="en-US" w:eastAsia="zh-CN"/>
        </w:rPr>
        <w:t>井下作业固废采用专用回收罐进行回收，拉运至英买力油田钻试修废弃物环保处理站进行处理。</w:t>
      </w:r>
    </w:p>
    <w:p w14:paraId="6115E63D">
      <w:pPr>
        <w:pStyle w:val="79"/>
        <w:bidi w:val="0"/>
        <w:rPr>
          <w:rFonts w:hint="eastAsia"/>
          <w:color w:val="auto"/>
          <w:lang w:eastAsia="zh-CN"/>
        </w:rPr>
      </w:pPr>
      <w:r>
        <w:rPr>
          <w:rFonts w:hint="eastAsia"/>
          <w:color w:val="auto"/>
          <w:lang w:eastAsia="zh-CN"/>
        </w:rPr>
        <w:t>（</w:t>
      </w:r>
      <w:r>
        <w:rPr>
          <w:rFonts w:hint="eastAsia"/>
          <w:color w:val="auto"/>
          <w:lang w:val="en-US" w:eastAsia="zh-CN"/>
        </w:rPr>
        <w:t>5</w:t>
      </w:r>
      <w:r>
        <w:rPr>
          <w:rFonts w:hint="eastAsia"/>
          <w:color w:val="auto"/>
          <w:lang w:eastAsia="zh-CN"/>
        </w:rPr>
        <w:t>）本项目产生的油泥砂主要为处理站的污水处理系统或沉降油罐产生的沉淀物，部分为原油，部分为泥土等杂质，属于危险废物（HW08）（071-001-08），委托有危废处置资质单位进行处置。</w:t>
      </w:r>
    </w:p>
    <w:p w14:paraId="64AA9462">
      <w:pPr>
        <w:pStyle w:val="79"/>
        <w:bidi w:val="0"/>
        <w:rPr>
          <w:rFonts w:hint="default"/>
          <w:color w:val="auto"/>
        </w:rPr>
      </w:pPr>
      <w:r>
        <w:rPr>
          <w:rFonts w:hint="default"/>
          <w:color w:val="auto"/>
        </w:rPr>
        <w:t>（</w:t>
      </w:r>
      <w:r>
        <w:rPr>
          <w:rFonts w:hint="eastAsia"/>
          <w:color w:val="auto"/>
          <w:lang w:val="en-US" w:eastAsia="zh-CN"/>
        </w:rPr>
        <w:t>6</w:t>
      </w:r>
      <w:r>
        <w:rPr>
          <w:rFonts w:hint="default"/>
          <w:color w:val="auto"/>
        </w:rPr>
        <w:t>）落地原油主要产生于阀门、法兰等处事故状态下的泄漏以及管线破损，属于危险废物HW08（废物代码：071-001-08），落地油100%回收，回收后的落地原油</w:t>
      </w:r>
      <w:r>
        <w:rPr>
          <w:rFonts w:hint="eastAsia"/>
          <w:color w:val="auto"/>
          <w:lang w:val="en-US" w:eastAsia="zh-CN"/>
        </w:rPr>
        <w:t>委托</w:t>
      </w:r>
      <w:r>
        <w:rPr>
          <w:rFonts w:hint="default"/>
          <w:color w:val="auto"/>
        </w:rPr>
        <w:t>有危废处置资质单位进行处置。</w:t>
      </w:r>
    </w:p>
    <w:p w14:paraId="7F0E5281">
      <w:pPr>
        <w:pStyle w:val="79"/>
        <w:bidi w:val="0"/>
        <w:rPr>
          <w:rFonts w:hint="eastAsia"/>
          <w:color w:val="auto"/>
          <w:lang w:eastAsia="zh-CN"/>
        </w:rPr>
      </w:pPr>
      <w:r>
        <w:rPr>
          <w:rFonts w:hint="eastAsia"/>
          <w:color w:val="auto"/>
          <w:lang w:eastAsia="zh-CN"/>
        </w:rPr>
        <w:t>（</w:t>
      </w:r>
      <w:r>
        <w:rPr>
          <w:rFonts w:hint="eastAsia"/>
          <w:color w:val="auto"/>
          <w:lang w:val="en-US" w:eastAsia="zh-CN"/>
        </w:rPr>
        <w:t>7</w:t>
      </w:r>
      <w:r>
        <w:rPr>
          <w:rFonts w:hint="eastAsia"/>
          <w:color w:val="auto"/>
          <w:lang w:eastAsia="zh-CN"/>
        </w:rPr>
        <w:t>）含油废防渗膜属于危险废物，为HW08类危险废物（废物代码900-249-08）。作业施工结束后，由施工单位将废弃的含油防渗布集中收集，委托有危险废物运输及处理资质的单位处置，拉运过程中资质单位应使用专车、按照指定的拉运路线。</w:t>
      </w:r>
    </w:p>
    <w:p w14:paraId="1CEB7619">
      <w:pPr>
        <w:pStyle w:val="79"/>
        <w:bidi w:val="0"/>
        <w:rPr>
          <w:rFonts w:hint="eastAsia"/>
          <w:color w:val="auto"/>
          <w:lang w:eastAsia="zh-CN"/>
        </w:rPr>
      </w:pPr>
      <w:r>
        <w:rPr>
          <w:rFonts w:hint="eastAsia"/>
          <w:color w:val="auto"/>
          <w:lang w:eastAsia="zh-CN"/>
        </w:rPr>
        <w:t>（</w:t>
      </w:r>
      <w:r>
        <w:rPr>
          <w:rFonts w:hint="eastAsia"/>
          <w:color w:val="auto"/>
          <w:lang w:val="en-US" w:eastAsia="zh-CN"/>
        </w:rPr>
        <w:t>8</w:t>
      </w:r>
      <w:r>
        <w:rPr>
          <w:rFonts w:hint="eastAsia"/>
          <w:color w:val="auto"/>
          <w:lang w:eastAsia="zh-CN"/>
        </w:rPr>
        <w:t>）本项目废润滑油主要是井下作业、雄探1试采点生产过程中机械设备维修中产生的，其危险废物类别为HW08废矿物油与含矿物油废物，委托有危险废物运输及处理资质的单位处置。</w:t>
      </w:r>
    </w:p>
    <w:p w14:paraId="6C1F442C">
      <w:pPr>
        <w:pStyle w:val="79"/>
        <w:bidi w:val="0"/>
        <w:rPr>
          <w:rFonts w:hint="eastAsia"/>
          <w:color w:val="auto"/>
          <w:lang w:eastAsia="zh-CN"/>
        </w:rPr>
      </w:pPr>
      <w:r>
        <w:rPr>
          <w:rFonts w:hint="eastAsia"/>
          <w:color w:val="auto"/>
          <w:lang w:eastAsia="zh-CN"/>
        </w:rPr>
        <w:t>（</w:t>
      </w:r>
      <w:r>
        <w:rPr>
          <w:rFonts w:hint="eastAsia"/>
          <w:color w:val="auto"/>
          <w:lang w:val="en-US" w:eastAsia="zh-CN"/>
        </w:rPr>
        <w:t>9</w:t>
      </w:r>
      <w:r>
        <w:rPr>
          <w:rFonts w:hint="eastAsia"/>
          <w:color w:val="auto"/>
          <w:lang w:eastAsia="zh-CN"/>
        </w:rPr>
        <w:t>）本工程运营期生活垃圾集中收集后委托温宿县垃圾填埋场处置。</w:t>
      </w:r>
    </w:p>
    <w:p w14:paraId="34AD321C">
      <w:pPr>
        <w:pStyle w:val="79"/>
        <w:bidi w:val="0"/>
        <w:rPr>
          <w:rFonts w:hint="default"/>
          <w:color w:val="auto"/>
        </w:rPr>
      </w:pPr>
      <w:r>
        <w:rPr>
          <w:rFonts w:hint="default"/>
          <w:color w:val="auto"/>
        </w:rPr>
        <w:t>（</w:t>
      </w:r>
      <w:r>
        <w:rPr>
          <w:rFonts w:hint="eastAsia"/>
          <w:color w:val="auto"/>
          <w:lang w:val="en-US" w:eastAsia="zh-CN"/>
        </w:rPr>
        <w:t>10</w:t>
      </w:r>
      <w:r>
        <w:rPr>
          <w:rFonts w:hint="default"/>
          <w:color w:val="auto"/>
        </w:rPr>
        <w:t>）加强巡检频率，尽量杜绝管线、阀门“跑、冒、滴、漏”及人为破坏现象。</w:t>
      </w:r>
    </w:p>
    <w:p w14:paraId="6B3E16B7">
      <w:pPr>
        <w:pStyle w:val="79"/>
        <w:bidi w:val="0"/>
        <w:rPr>
          <w:rFonts w:hint="default"/>
          <w:color w:val="auto"/>
        </w:rPr>
      </w:pPr>
      <w:r>
        <w:rPr>
          <w:rFonts w:hint="default"/>
          <w:color w:val="auto"/>
        </w:rPr>
        <w:t>（</w:t>
      </w:r>
      <w:r>
        <w:rPr>
          <w:rFonts w:hint="eastAsia"/>
          <w:color w:val="auto"/>
          <w:lang w:val="en-US" w:eastAsia="zh-CN"/>
        </w:rPr>
        <w:t>11</w:t>
      </w:r>
      <w:r>
        <w:rPr>
          <w:rFonts w:hint="default"/>
          <w:color w:val="auto"/>
        </w:rPr>
        <w:t>）</w:t>
      </w:r>
      <w:r>
        <w:rPr>
          <w:rFonts w:hint="eastAsia"/>
          <w:color w:val="auto"/>
          <w:lang w:val="en-US" w:eastAsia="zh-CN"/>
        </w:rPr>
        <w:t>英买采油气管理区</w:t>
      </w:r>
      <w:r>
        <w:rPr>
          <w:rFonts w:hint="default"/>
          <w:color w:val="auto"/>
        </w:rPr>
        <w:t>已建立了完善的危废管理计划，并定期向生态环境主管部门上报备案，项目建成后总体按照</w:t>
      </w:r>
      <w:r>
        <w:rPr>
          <w:rFonts w:hint="eastAsia"/>
          <w:color w:val="auto"/>
          <w:lang w:eastAsia="zh-CN"/>
        </w:rPr>
        <w:t>既定</w:t>
      </w:r>
      <w:r>
        <w:rPr>
          <w:rFonts w:hint="default"/>
          <w:color w:val="auto"/>
        </w:rPr>
        <w:t>计划进行危废管理。</w:t>
      </w:r>
    </w:p>
    <w:p w14:paraId="3591F3F8">
      <w:pPr>
        <w:pStyle w:val="79"/>
        <w:bidi w:val="0"/>
        <w:rPr>
          <w:rFonts w:hint="default"/>
          <w:color w:val="auto"/>
        </w:rPr>
      </w:pPr>
      <w:r>
        <w:rPr>
          <w:rFonts w:hint="default"/>
          <w:color w:val="auto"/>
        </w:rPr>
        <w:t>（</w:t>
      </w:r>
      <w:r>
        <w:rPr>
          <w:rFonts w:hint="eastAsia"/>
          <w:color w:val="auto"/>
          <w:lang w:val="en-US" w:eastAsia="zh-CN"/>
        </w:rPr>
        <w:t>12</w:t>
      </w:r>
      <w:r>
        <w:rPr>
          <w:rFonts w:hint="default"/>
          <w:color w:val="auto"/>
        </w:rPr>
        <w:t>）及时清理回收因管线破损产生的油污，定期委托具有含油污泥处置资质的单位处置。</w:t>
      </w:r>
    </w:p>
    <w:p w14:paraId="11E98A69">
      <w:pPr>
        <w:pStyle w:val="79"/>
        <w:bidi w:val="0"/>
        <w:rPr>
          <w:rFonts w:hint="default"/>
          <w:color w:val="auto"/>
        </w:rPr>
      </w:pPr>
      <w:r>
        <w:rPr>
          <w:rFonts w:hint="default"/>
          <w:color w:val="auto"/>
        </w:rPr>
        <w:t>（</w:t>
      </w:r>
      <w:r>
        <w:rPr>
          <w:rFonts w:hint="eastAsia"/>
          <w:color w:val="auto"/>
          <w:lang w:val="en-US" w:eastAsia="zh-CN"/>
        </w:rPr>
        <w:t>13</w:t>
      </w:r>
      <w:r>
        <w:rPr>
          <w:rFonts w:hint="default"/>
          <w:color w:val="auto"/>
        </w:rPr>
        <w:t>）加强管线的日常巡检工作，在原有基础上增加巡检频次和密度，巡检的内容包括定期对管线进行超声波检查，对壁厚低于规定要求的管段及时更换，消除爆管的隐患。</w:t>
      </w:r>
    </w:p>
    <w:p w14:paraId="378BF74E">
      <w:pPr>
        <w:pStyle w:val="79"/>
        <w:bidi w:val="0"/>
        <w:rPr>
          <w:rFonts w:hint="default"/>
          <w:color w:val="auto"/>
        </w:rPr>
      </w:pPr>
      <w:r>
        <w:rPr>
          <w:rFonts w:hint="default"/>
          <w:color w:val="auto"/>
        </w:rPr>
        <w:t>（</w:t>
      </w:r>
      <w:r>
        <w:rPr>
          <w:rFonts w:hint="eastAsia"/>
          <w:color w:val="auto"/>
          <w:lang w:val="en-US" w:eastAsia="zh-CN"/>
        </w:rPr>
        <w:t>14</w:t>
      </w:r>
      <w:r>
        <w:rPr>
          <w:rFonts w:hint="default"/>
          <w:color w:val="auto"/>
        </w:rPr>
        <w:t>）加强员工危险废物知识培训，增强员工的危险废物安全管理及处置意识；加强原油落地。</w:t>
      </w:r>
    </w:p>
    <w:p w14:paraId="02FC5649">
      <w:pPr>
        <w:pStyle w:val="79"/>
        <w:bidi w:val="0"/>
        <w:rPr>
          <w:rFonts w:hint="default"/>
          <w:color w:val="auto"/>
        </w:rPr>
      </w:pPr>
      <w:r>
        <w:rPr>
          <w:rFonts w:hint="default"/>
          <w:color w:val="auto"/>
        </w:rPr>
        <w:t>（</w:t>
      </w:r>
      <w:r>
        <w:rPr>
          <w:rFonts w:hint="eastAsia"/>
          <w:color w:val="auto"/>
          <w:lang w:val="en-US" w:eastAsia="zh-CN"/>
        </w:rPr>
        <w:t>15</w:t>
      </w:r>
      <w:r>
        <w:rPr>
          <w:rFonts w:hint="default"/>
          <w:color w:val="auto"/>
        </w:rPr>
        <w:t xml:space="preserve">）事故应急培训，能够在第一时间对原油落地做出反应和处理。 </w:t>
      </w:r>
    </w:p>
    <w:p w14:paraId="4854CAE4">
      <w:pPr>
        <w:pStyle w:val="79"/>
        <w:bidi w:val="0"/>
        <w:rPr>
          <w:rFonts w:hint="default"/>
          <w:color w:val="auto"/>
        </w:rPr>
      </w:pPr>
      <w:r>
        <w:rPr>
          <w:rFonts w:hint="default"/>
          <w:color w:val="auto"/>
        </w:rPr>
        <w:t>以上措施符合固体废物处置“减量化、资源化、无害化”原则，不会对周围环境产生不利影响。</w:t>
      </w:r>
    </w:p>
    <w:p w14:paraId="5887A5CC">
      <w:pPr>
        <w:pStyle w:val="55"/>
        <w:bidi w:val="0"/>
        <w:rPr>
          <w:rFonts w:hint="default"/>
          <w:color w:val="auto"/>
          <w:lang w:val="en-US" w:eastAsia="zh-CN"/>
        </w:rPr>
      </w:pPr>
      <w:r>
        <w:rPr>
          <w:rFonts w:hint="eastAsia"/>
          <w:color w:val="auto"/>
          <w:lang w:val="en-US" w:eastAsia="zh-CN"/>
        </w:rPr>
        <w:t xml:space="preserve">6.6.2.2 </w:t>
      </w:r>
      <w:r>
        <w:rPr>
          <w:rFonts w:hint="default"/>
          <w:color w:val="auto"/>
          <w:lang w:val="en-US" w:eastAsia="zh-CN"/>
        </w:rPr>
        <w:t>危废废物具体管理要求</w:t>
      </w:r>
    </w:p>
    <w:p w14:paraId="775E32D1">
      <w:pPr>
        <w:pStyle w:val="79"/>
        <w:bidi w:val="0"/>
        <w:rPr>
          <w:color w:val="auto"/>
          <w:lang w:val="en-US" w:eastAsia="zh-CN"/>
        </w:rPr>
      </w:pPr>
      <w:r>
        <w:rPr>
          <w:rFonts w:hint="eastAsia"/>
          <w:color w:val="auto"/>
          <w:lang w:val="en-US" w:eastAsia="zh-CN"/>
        </w:rPr>
        <w:t>（1）危险废物暂存环境管理要求</w:t>
      </w:r>
    </w:p>
    <w:p w14:paraId="267DE519">
      <w:pPr>
        <w:pStyle w:val="79"/>
        <w:bidi w:val="0"/>
        <w:rPr>
          <w:color w:val="auto"/>
          <w:lang w:val="en-US" w:eastAsia="zh-CN"/>
        </w:rPr>
      </w:pPr>
      <w:r>
        <w:rPr>
          <w:rFonts w:hint="eastAsia"/>
          <w:color w:val="auto"/>
          <w:lang w:val="en-US" w:eastAsia="zh-CN"/>
        </w:rPr>
        <w:t>1）</w:t>
      </w:r>
      <w:r>
        <w:rPr>
          <w:color w:val="auto"/>
          <w:lang w:val="en-US" w:eastAsia="zh-CN"/>
        </w:rPr>
        <w:t>危险废物存入贮存设施前应对危险废物类别和特性与危险废物标签等危险废物识别标志的一致性进行核验，不一致的或类别、特性不明的不应存入。</w:t>
      </w:r>
    </w:p>
    <w:p w14:paraId="7A0B711D">
      <w:pPr>
        <w:pStyle w:val="79"/>
        <w:bidi w:val="0"/>
        <w:rPr>
          <w:rFonts w:hint="eastAsia"/>
          <w:color w:val="auto"/>
          <w:lang w:val="en-US" w:eastAsia="zh-CN"/>
        </w:rPr>
      </w:pPr>
      <w:r>
        <w:rPr>
          <w:rFonts w:hint="eastAsia"/>
          <w:color w:val="auto"/>
          <w:lang w:val="en-US" w:eastAsia="zh-CN"/>
        </w:rPr>
        <w:t>2）</w:t>
      </w:r>
      <w:r>
        <w:rPr>
          <w:color w:val="auto"/>
          <w:lang w:val="en-US" w:eastAsia="zh-CN"/>
        </w:rPr>
        <w:t>应定期检查危险废物的贮存状况，及时清理贮存设施地面，更换破损泄漏的危险废物贮存容器和包装物，保证堆存危险废物的防雨、防风、防扬尘等设施功能完好。</w:t>
      </w:r>
    </w:p>
    <w:p w14:paraId="78F71542">
      <w:pPr>
        <w:pStyle w:val="79"/>
        <w:bidi w:val="0"/>
        <w:rPr>
          <w:rFonts w:hint="eastAsia"/>
          <w:color w:val="auto"/>
          <w:lang w:val="en-US" w:eastAsia="zh-CN"/>
        </w:rPr>
      </w:pPr>
      <w:r>
        <w:rPr>
          <w:rFonts w:hint="eastAsia"/>
          <w:color w:val="auto"/>
          <w:lang w:val="en-US" w:eastAsia="zh-CN"/>
        </w:rPr>
        <w:t>3）</w:t>
      </w:r>
      <w:r>
        <w:rPr>
          <w:color w:val="auto"/>
          <w:lang w:val="en-US" w:eastAsia="zh-CN"/>
        </w:rPr>
        <w:t>作业设备及车辆等结束作业离开贮存设施时，应对其残留的危险废物进行清理，清理的废物或清洗废水应收集处理。</w:t>
      </w:r>
    </w:p>
    <w:p w14:paraId="199D41F7">
      <w:pPr>
        <w:pStyle w:val="79"/>
        <w:bidi w:val="0"/>
        <w:rPr>
          <w:rFonts w:hint="eastAsia"/>
          <w:color w:val="auto"/>
          <w:lang w:val="en-US" w:eastAsia="zh-CN"/>
        </w:rPr>
      </w:pPr>
      <w:r>
        <w:rPr>
          <w:rFonts w:hint="eastAsia"/>
          <w:color w:val="auto"/>
          <w:lang w:val="en-US" w:eastAsia="zh-CN"/>
        </w:rPr>
        <w:t>4）</w:t>
      </w:r>
      <w:r>
        <w:rPr>
          <w:color w:val="auto"/>
          <w:lang w:val="en-US" w:eastAsia="zh-CN"/>
        </w:rPr>
        <w:t>贮存设施</w:t>
      </w:r>
      <w:r>
        <w:rPr>
          <w:rFonts w:hint="eastAsia"/>
          <w:color w:val="auto"/>
          <w:lang w:val="en-US" w:eastAsia="zh-CN"/>
        </w:rPr>
        <w:t>运营期</w:t>
      </w:r>
      <w:r>
        <w:rPr>
          <w:color w:val="auto"/>
          <w:lang w:val="en-US" w:eastAsia="zh-CN"/>
        </w:rPr>
        <w:t>间，应按国家有关标准和规定建立危险废物管理台账并保存。</w:t>
      </w:r>
    </w:p>
    <w:p w14:paraId="175EE2FA">
      <w:pPr>
        <w:pStyle w:val="79"/>
        <w:bidi w:val="0"/>
        <w:rPr>
          <w:rFonts w:hint="eastAsia"/>
          <w:color w:val="auto"/>
          <w:lang w:val="en-US" w:eastAsia="zh-CN"/>
        </w:rPr>
      </w:pPr>
      <w:r>
        <w:rPr>
          <w:rFonts w:hint="eastAsia"/>
          <w:color w:val="auto"/>
          <w:lang w:val="en-US" w:eastAsia="zh-CN"/>
        </w:rPr>
        <w:t>5）英买采油气管理区</w:t>
      </w:r>
      <w:r>
        <w:rPr>
          <w:color w:val="auto"/>
          <w:lang w:val="en-US" w:eastAsia="zh-CN"/>
        </w:rPr>
        <w:t>应建立贮存设施环境管理制度、管理人员岗位职责制度、设施运行操作制度、人员岗位培训制度等。</w:t>
      </w:r>
    </w:p>
    <w:p w14:paraId="07981405">
      <w:pPr>
        <w:pStyle w:val="79"/>
        <w:bidi w:val="0"/>
        <w:rPr>
          <w:rFonts w:hint="eastAsia"/>
          <w:color w:val="auto"/>
          <w:lang w:val="en-US" w:eastAsia="zh-CN"/>
        </w:rPr>
      </w:pPr>
      <w:r>
        <w:rPr>
          <w:rFonts w:hint="eastAsia"/>
          <w:color w:val="auto"/>
          <w:lang w:val="en-US" w:eastAsia="zh-CN"/>
        </w:rPr>
        <w:t>6）英买采油气管理区</w:t>
      </w:r>
      <w:r>
        <w:rPr>
          <w:color w:val="auto"/>
          <w:lang w:val="en-US" w:eastAsia="zh-CN"/>
        </w:rPr>
        <w:t>应依据国家土壤和地下水污染防治的有关规定，结合贮存设施特点建立土壤和地下水污染隐患排查制度，并定期开展隐患排查；发现隐患应及时采取措施消除隐患，并建立档案。</w:t>
      </w:r>
    </w:p>
    <w:p w14:paraId="6A7708AC">
      <w:pPr>
        <w:pStyle w:val="79"/>
        <w:bidi w:val="0"/>
        <w:rPr>
          <w:rFonts w:hint="eastAsia"/>
          <w:color w:val="auto"/>
          <w:lang w:val="en-US" w:eastAsia="zh-CN"/>
        </w:rPr>
      </w:pPr>
      <w:r>
        <w:rPr>
          <w:rFonts w:hint="eastAsia"/>
          <w:color w:val="auto"/>
          <w:lang w:val="en-US" w:eastAsia="zh-CN"/>
        </w:rPr>
        <w:t>7）英买采油气管理区</w:t>
      </w:r>
      <w:r>
        <w:rPr>
          <w:color w:val="auto"/>
          <w:lang w:val="en-US" w:eastAsia="zh-CN"/>
        </w:rPr>
        <w:t>应建立贮存设施全部档案，包括设计、施工、验收、运行、监测和环境应急等，应按国家有关档案管理的法律法规进行整理和归档。</w:t>
      </w:r>
    </w:p>
    <w:p w14:paraId="5F6E861D">
      <w:pPr>
        <w:pStyle w:val="79"/>
        <w:bidi w:val="0"/>
        <w:rPr>
          <w:rFonts w:hint="eastAsia"/>
          <w:color w:val="auto"/>
          <w:lang w:val="en-US" w:eastAsia="zh-CN"/>
        </w:rPr>
      </w:pPr>
      <w:r>
        <w:rPr>
          <w:rFonts w:hint="eastAsia"/>
          <w:color w:val="auto"/>
          <w:lang w:val="en-US" w:eastAsia="zh-CN"/>
        </w:rPr>
        <w:t>（2）危险废物暂存环境监测和环境应急要求</w:t>
      </w:r>
    </w:p>
    <w:p w14:paraId="5B91FB3F">
      <w:pPr>
        <w:pStyle w:val="79"/>
        <w:bidi w:val="0"/>
        <w:rPr>
          <w:rFonts w:hint="default"/>
          <w:color w:val="auto"/>
          <w:lang w:val="en-US" w:eastAsia="zh-CN"/>
        </w:rPr>
      </w:pPr>
      <w:r>
        <w:rPr>
          <w:rFonts w:hint="eastAsia"/>
          <w:color w:val="auto"/>
          <w:lang w:val="en-US" w:eastAsia="zh-CN"/>
        </w:rPr>
        <w:t>1）危废</w:t>
      </w:r>
      <w:r>
        <w:rPr>
          <w:color w:val="auto"/>
          <w:lang w:val="en-US" w:eastAsia="zh-CN"/>
        </w:rPr>
        <w:t>贮存设施的环境监测应纳入主体设施的环境监测计划。</w:t>
      </w:r>
      <w:r>
        <w:rPr>
          <w:rFonts w:hint="eastAsia"/>
          <w:color w:val="auto"/>
          <w:lang w:val="en-US" w:eastAsia="zh-CN"/>
        </w:rPr>
        <w:t>英买采油气管理区</w:t>
      </w:r>
      <w:r>
        <w:rPr>
          <w:color w:val="auto"/>
          <w:lang w:val="en-US" w:eastAsia="zh-CN"/>
        </w:rPr>
        <w:t>应对贮存设施污染物排放状况开展自行监测，保存原始监测记录，并公布监测结果。</w:t>
      </w:r>
    </w:p>
    <w:p w14:paraId="2E56070B">
      <w:pPr>
        <w:pStyle w:val="79"/>
        <w:bidi w:val="0"/>
        <w:rPr>
          <w:rFonts w:hint="default"/>
          <w:color w:val="auto"/>
          <w:lang w:val="en-US" w:eastAsia="zh-CN"/>
        </w:rPr>
      </w:pPr>
      <w:r>
        <w:rPr>
          <w:rFonts w:hint="eastAsia"/>
          <w:color w:val="auto"/>
          <w:lang w:val="en-US" w:eastAsia="zh-CN"/>
        </w:rPr>
        <w:t>2）英买采油气管理区</w:t>
      </w:r>
      <w:r>
        <w:rPr>
          <w:rFonts w:hint="default"/>
          <w:color w:val="auto"/>
          <w:lang w:val="en-US" w:eastAsia="zh-CN"/>
        </w:rPr>
        <w:t>应按照国家有关规定编制突发环境事件应急预案，定期开展必要的培训和环境应急演练，并做好培训、演练记录。</w:t>
      </w:r>
      <w:r>
        <w:rPr>
          <w:rFonts w:hint="eastAsia"/>
          <w:color w:val="auto"/>
          <w:lang w:val="en-US" w:eastAsia="zh-CN"/>
        </w:rPr>
        <w:t>原英买油气开发部已完成并发布了《塔里木油田公司英买油气开发部突发环境事件应急预案》，并于2023年6月修编完成应急预案，在阿克苏地区生态环境局新和县分局进行了备案（备案编号：652925-2023-015-L）。</w:t>
      </w:r>
    </w:p>
    <w:p w14:paraId="42F76597">
      <w:pPr>
        <w:pStyle w:val="79"/>
        <w:bidi w:val="0"/>
        <w:rPr>
          <w:rFonts w:hint="default"/>
          <w:color w:val="auto"/>
          <w:lang w:val="en-US" w:eastAsia="zh-CN"/>
        </w:rPr>
      </w:pPr>
      <w:r>
        <w:rPr>
          <w:rFonts w:hint="eastAsia"/>
          <w:color w:val="auto"/>
          <w:lang w:val="en-US" w:eastAsia="zh-CN"/>
        </w:rPr>
        <w:t>3）英买采油气管理区</w:t>
      </w:r>
      <w:r>
        <w:rPr>
          <w:color w:val="auto"/>
          <w:lang w:val="en-US" w:eastAsia="zh-CN"/>
        </w:rPr>
        <w:t>应配备满足其突发环境事件应急要求的应急人员、装备和物资，并应设置应急照明系统。</w:t>
      </w:r>
    </w:p>
    <w:p w14:paraId="5DA19B53">
      <w:pPr>
        <w:pStyle w:val="79"/>
        <w:bidi w:val="0"/>
        <w:rPr>
          <w:color w:val="auto"/>
          <w:lang w:val="en-US" w:eastAsia="zh-CN"/>
        </w:rPr>
      </w:pPr>
      <w:r>
        <w:rPr>
          <w:rFonts w:hint="eastAsia"/>
          <w:color w:val="auto"/>
          <w:lang w:val="en-US" w:eastAsia="zh-CN"/>
        </w:rPr>
        <w:t>（3）危险废物的转运要求</w:t>
      </w:r>
    </w:p>
    <w:p w14:paraId="68930643">
      <w:pPr>
        <w:pStyle w:val="79"/>
        <w:bidi w:val="0"/>
        <w:rPr>
          <w:rFonts w:hint="eastAsia"/>
          <w:color w:val="auto"/>
          <w:lang w:val="en-US" w:eastAsia="zh-CN"/>
        </w:rPr>
      </w:pPr>
      <w:r>
        <w:rPr>
          <w:rFonts w:hint="eastAsia"/>
          <w:color w:val="auto"/>
          <w:lang w:val="en-US" w:eastAsia="zh-CN"/>
        </w:rPr>
        <w:t>危险废物应按照国家有关规定向当地环境保护行政主管部门申报登记，接受当地环境保护行政主管部门监督管理。</w:t>
      </w:r>
      <w:r>
        <w:rPr>
          <w:rFonts w:hint="default"/>
          <w:color w:val="auto"/>
          <w:lang w:val="en-US" w:eastAsia="zh-CN"/>
        </w:rPr>
        <w:t>参照《危险废物管理计划和管理台账制定技术导则》（HJ 1259-2022）中附表A.</w:t>
      </w:r>
      <w:r>
        <w:rPr>
          <w:rFonts w:hint="eastAsia"/>
          <w:color w:val="auto"/>
          <w:lang w:val="en-US" w:eastAsia="zh-CN"/>
        </w:rPr>
        <w:t>7</w:t>
      </w:r>
      <w:r>
        <w:rPr>
          <w:rFonts w:hint="default"/>
          <w:color w:val="auto"/>
          <w:lang w:val="en-US" w:eastAsia="zh-CN"/>
        </w:rPr>
        <w:t>详细记录危险废物</w:t>
      </w:r>
      <w:r>
        <w:rPr>
          <w:rFonts w:hint="eastAsia"/>
          <w:color w:val="auto"/>
          <w:lang w:val="en-US" w:eastAsia="zh-CN"/>
        </w:rPr>
        <w:t>转移情况。同时，根据国务院令第344号《危险化学品安全管理条例》《危险废物收集 贮存 运输技术规范》（HJ2025-2012）和《危险废物转移管理办法》的有关规定，在危险废物外运至处置单位时必须严格遵守以下要求：</w:t>
      </w:r>
    </w:p>
    <w:p w14:paraId="2C8DF7B0">
      <w:pPr>
        <w:pStyle w:val="79"/>
        <w:bidi w:val="0"/>
        <w:rPr>
          <w:color w:val="auto"/>
          <w:lang w:val="en-US" w:eastAsia="zh-CN"/>
        </w:rPr>
      </w:pPr>
      <w:r>
        <w:rPr>
          <w:rFonts w:hint="eastAsia"/>
          <w:color w:val="auto"/>
          <w:lang w:val="en-US" w:eastAsia="zh-CN"/>
        </w:rPr>
        <w:t>1）</w:t>
      </w:r>
      <w:r>
        <w:rPr>
          <w:color w:val="auto"/>
          <w:lang w:val="en-US" w:eastAsia="zh-CN"/>
        </w:rPr>
        <w:t>危险废物由专用运输车辆进行运输、转移，并严格按照《危险废物转移管理办法》填写、运行危险废物电子转移</w:t>
      </w:r>
      <w:r>
        <w:rPr>
          <w:rFonts w:hint="eastAsia"/>
          <w:color w:val="auto"/>
          <w:lang w:val="en-US" w:eastAsia="zh-CN"/>
        </w:rPr>
        <w:t>电子</w:t>
      </w:r>
      <w:r>
        <w:rPr>
          <w:color w:val="auto"/>
          <w:lang w:val="en-US" w:eastAsia="zh-CN"/>
        </w:rPr>
        <w:t>联单，实施危险废物转移全过程控制。</w:t>
      </w:r>
    </w:p>
    <w:p w14:paraId="16C90219">
      <w:pPr>
        <w:pStyle w:val="79"/>
        <w:bidi w:val="0"/>
        <w:rPr>
          <w:color w:val="auto"/>
          <w:lang w:val="en-US" w:eastAsia="zh-CN"/>
        </w:rPr>
      </w:pPr>
      <w:r>
        <w:rPr>
          <w:rFonts w:hint="eastAsia"/>
          <w:color w:val="auto"/>
          <w:lang w:val="en-US" w:eastAsia="zh-CN"/>
        </w:rPr>
        <w:t>2）废弃物处置单位的运输人员必须掌握危险化学品运输的安全知识，化学品的性质、危害特性、包装容器的使用特性和发生意外时的应急措施了解所运载的危险。运输车辆必须具有车辆危险货物运输许可证。驾驶人员必须由取得驾驶执照的熟练人员担任。</w:t>
      </w:r>
    </w:p>
    <w:p w14:paraId="6AC85089">
      <w:pPr>
        <w:pStyle w:val="79"/>
        <w:bidi w:val="0"/>
        <w:rPr>
          <w:color w:val="auto"/>
          <w:lang w:val="en-US" w:eastAsia="zh-CN"/>
        </w:rPr>
      </w:pPr>
      <w:r>
        <w:rPr>
          <w:rFonts w:hint="eastAsia"/>
          <w:color w:val="auto"/>
          <w:lang w:val="en-US" w:eastAsia="zh-CN"/>
        </w:rPr>
        <w:t>3）处置单位在运输危险废物时必须配备押运人员，并随时处于押运人员的监管之下，不得超装、超载，严格按照所在城市规定的行车时间和行车路线行驶，不得进入危险化学品运输车辆禁止通行的区域。</w:t>
      </w:r>
    </w:p>
    <w:p w14:paraId="0F81D068">
      <w:pPr>
        <w:pStyle w:val="79"/>
        <w:bidi w:val="0"/>
        <w:rPr>
          <w:color w:val="auto"/>
          <w:lang w:val="en-US" w:eastAsia="zh-CN"/>
        </w:rPr>
      </w:pPr>
      <w:r>
        <w:rPr>
          <w:rFonts w:hint="eastAsia"/>
          <w:color w:val="auto"/>
          <w:lang w:val="en-US" w:eastAsia="zh-CN"/>
        </w:rPr>
        <w:t>4）</w:t>
      </w:r>
      <w:r>
        <w:rPr>
          <w:color w:val="auto"/>
          <w:lang w:val="en-US" w:eastAsia="zh-CN"/>
        </w:rPr>
        <w:t>危险废物在运输途中若发生被盗、丢失、流散、泄漏等情况时，公司及押运人员必须立即向当地公安部门报告，并采取一切可能的警示措施。</w:t>
      </w:r>
    </w:p>
    <w:p w14:paraId="102732B9">
      <w:pPr>
        <w:pStyle w:val="79"/>
        <w:bidi w:val="0"/>
        <w:rPr>
          <w:rFonts w:hint="eastAsia"/>
          <w:color w:val="auto"/>
          <w:lang w:val="en-US" w:eastAsia="zh-CN"/>
        </w:rPr>
      </w:pPr>
      <w:r>
        <w:rPr>
          <w:rFonts w:hint="eastAsia"/>
          <w:color w:val="auto"/>
          <w:lang w:val="en-US" w:eastAsia="zh-CN"/>
        </w:rPr>
        <w:t>5）</w:t>
      </w:r>
      <w:r>
        <w:rPr>
          <w:color w:val="auto"/>
          <w:lang w:val="en-US" w:eastAsia="zh-CN"/>
        </w:rPr>
        <w:t>一旦发生废弃物泄漏事故，公司和废弃物处置单位都应积极协助有关部门采取必要的安全措施，减少事故损失，防止事故蔓延、扩大；针对事故对人体、动植物、土壤、水源、空气造成的现实危害和可能产生的危害，应迅速采取封闭、隔离、洗消等措施，并对事故造成的危害进行监测、处置，直至符合国家环境保护标准。</w:t>
      </w:r>
    </w:p>
    <w:p w14:paraId="288ADCA1">
      <w:pPr>
        <w:pStyle w:val="79"/>
        <w:bidi w:val="0"/>
        <w:rPr>
          <w:color w:val="auto"/>
        </w:rPr>
      </w:pPr>
      <w:r>
        <w:rPr>
          <w:rFonts w:hint="eastAsia"/>
          <w:color w:val="auto"/>
        </w:rPr>
        <w:t>（</w:t>
      </w:r>
      <w:r>
        <w:rPr>
          <w:rFonts w:hint="eastAsia"/>
          <w:color w:val="auto"/>
          <w:lang w:val="en-US" w:eastAsia="zh-CN"/>
        </w:rPr>
        <w:t>4</w:t>
      </w:r>
      <w:r>
        <w:rPr>
          <w:rFonts w:hint="eastAsia"/>
          <w:color w:val="auto"/>
        </w:rPr>
        <w:t>）</w:t>
      </w:r>
      <w:r>
        <w:rPr>
          <w:color w:val="auto"/>
        </w:rPr>
        <w:t>运输主要管理规定</w:t>
      </w:r>
    </w:p>
    <w:p w14:paraId="0443AF80">
      <w:pPr>
        <w:pStyle w:val="79"/>
        <w:bidi w:val="0"/>
        <w:rPr>
          <w:rFonts w:hint="default"/>
          <w:color w:val="auto"/>
        </w:rPr>
      </w:pPr>
      <w:r>
        <w:rPr>
          <w:rFonts w:hint="default"/>
          <w:color w:val="auto"/>
        </w:rPr>
        <w:t>——根据《危险废物收集贮存运输技术规范</w:t>
      </w:r>
      <w:r>
        <w:rPr>
          <w:rFonts w:hint="eastAsia"/>
          <w:color w:val="auto"/>
          <w:lang w:eastAsia="zh-CN"/>
        </w:rPr>
        <w:t>（</w:t>
      </w:r>
      <w:r>
        <w:rPr>
          <w:rFonts w:hint="default"/>
          <w:color w:val="auto"/>
        </w:rPr>
        <w:t>HJ2025-2012</w:t>
      </w:r>
      <w:r>
        <w:rPr>
          <w:rFonts w:hint="eastAsia"/>
          <w:color w:val="auto"/>
          <w:lang w:eastAsia="zh-CN"/>
        </w:rPr>
        <w:t>）</w:t>
      </w:r>
      <w:r>
        <w:rPr>
          <w:rFonts w:hint="default"/>
          <w:color w:val="auto"/>
        </w:rPr>
        <w:t>》的要求，危险废物处置单位采用专用车辆到指定地点收集运输危险废物，运输过程中不准设置中转储存点，严禁偷排、洒落、泄漏和随意倾倒等。</w:t>
      </w:r>
    </w:p>
    <w:p w14:paraId="73C24326">
      <w:pPr>
        <w:pStyle w:val="79"/>
        <w:bidi w:val="0"/>
        <w:rPr>
          <w:rFonts w:hint="default"/>
          <w:color w:val="auto"/>
        </w:rPr>
      </w:pPr>
      <w:r>
        <w:rPr>
          <w:rFonts w:hint="default"/>
          <w:color w:val="auto"/>
        </w:rPr>
        <w:t>——产生单位向处置单位转移危险废物时，交接数量必须与生态环境局批准的转移量相符。</w:t>
      </w:r>
    </w:p>
    <w:p w14:paraId="575CEB88">
      <w:pPr>
        <w:pStyle w:val="79"/>
        <w:bidi w:val="0"/>
        <w:rPr>
          <w:color w:val="auto"/>
        </w:rPr>
      </w:pPr>
      <w:r>
        <w:rPr>
          <w:rFonts w:hint="eastAsia"/>
          <w:color w:val="auto"/>
        </w:rPr>
        <w:t>（</w:t>
      </w:r>
      <w:r>
        <w:rPr>
          <w:rFonts w:hint="eastAsia"/>
          <w:color w:val="auto"/>
          <w:lang w:val="en-US" w:eastAsia="zh-CN"/>
        </w:rPr>
        <w:t>5</w:t>
      </w:r>
      <w:r>
        <w:rPr>
          <w:rFonts w:hint="eastAsia"/>
          <w:color w:val="auto"/>
        </w:rPr>
        <w:t>）利用及处置的管理规定</w:t>
      </w:r>
    </w:p>
    <w:p w14:paraId="61EABF0B">
      <w:pPr>
        <w:pStyle w:val="79"/>
        <w:bidi w:val="0"/>
        <w:rPr>
          <w:rFonts w:hint="eastAsia"/>
          <w:color w:val="auto"/>
        </w:rPr>
      </w:pPr>
      <w:r>
        <w:rPr>
          <w:rFonts w:hint="eastAsia"/>
          <w:color w:val="auto"/>
        </w:rPr>
        <w:t>排污单位委托他人运输、利用、处置危险废物的，应落实《中华人民共和国固体废物污染环境防治法》等法律法规要求，对受托方的主体资格和技术能力进行核实，依法签订书面合同，在合同中约定污染防治要求；转移危险废物的，应当按照国家有关规定填写、运行危险废物转移</w:t>
      </w:r>
      <w:r>
        <w:rPr>
          <w:rFonts w:hint="eastAsia"/>
          <w:color w:val="auto"/>
          <w:lang w:val="en-US" w:eastAsia="zh-CN"/>
        </w:rPr>
        <w:t>电子</w:t>
      </w:r>
      <w:r>
        <w:rPr>
          <w:rFonts w:hint="eastAsia"/>
          <w:color w:val="auto"/>
        </w:rPr>
        <w:t>联单等。本工程产生的危险废物应与具有危险废物处置资质的单位签订处置协议。</w:t>
      </w:r>
    </w:p>
    <w:p w14:paraId="29D60BEF">
      <w:pPr>
        <w:pStyle w:val="79"/>
        <w:bidi w:val="0"/>
        <w:rPr>
          <w:rFonts w:hint="eastAsia"/>
          <w:color w:val="auto"/>
          <w:lang w:val="en-US" w:eastAsia="zh-CN"/>
        </w:rPr>
      </w:pPr>
      <w:r>
        <w:rPr>
          <w:rFonts w:hint="eastAsia"/>
          <w:color w:val="auto"/>
        </w:rPr>
        <w:t>综上所述，本工程运营期采取的固体废物污染防治措施可行。</w:t>
      </w:r>
    </w:p>
    <w:bookmarkEnd w:id="755"/>
    <w:bookmarkEnd w:id="756"/>
    <w:bookmarkEnd w:id="757"/>
    <w:bookmarkEnd w:id="758"/>
    <w:bookmarkEnd w:id="759"/>
    <w:bookmarkEnd w:id="760"/>
    <w:p w14:paraId="2F2B7B62">
      <w:pPr>
        <w:pStyle w:val="54"/>
        <w:bidi w:val="0"/>
        <w:rPr>
          <w:color w:val="auto"/>
          <w:lang w:val="en-US" w:eastAsia="zh-CN"/>
        </w:rPr>
      </w:pPr>
      <w:r>
        <w:rPr>
          <w:color w:val="auto"/>
          <w:lang w:val="en-US" w:eastAsia="zh-CN"/>
        </w:rPr>
        <w:fldChar w:fldCharType="begin"/>
      </w:r>
      <w:r>
        <w:rPr>
          <w:color w:val="auto"/>
          <w:lang w:val="en-US" w:eastAsia="zh-CN"/>
        </w:rPr>
        <w:instrText xml:space="preserve"> HYPERLINK \l _Toc1174 </w:instrText>
      </w:r>
      <w:r>
        <w:rPr>
          <w:color w:val="auto"/>
          <w:lang w:val="en-US" w:eastAsia="zh-CN"/>
        </w:rPr>
        <w:fldChar w:fldCharType="separate"/>
      </w:r>
      <w:r>
        <w:rPr>
          <w:rFonts w:hint="eastAsia"/>
          <w:color w:val="auto"/>
          <w:lang w:val="en-US" w:eastAsia="zh-CN"/>
        </w:rPr>
        <w:t>6.6.3退役期固体废物污染防治措施</w:t>
      </w:r>
      <w:r>
        <w:rPr>
          <w:color w:val="auto"/>
          <w:lang w:val="en-US" w:eastAsia="zh-CN"/>
        </w:rPr>
        <w:fldChar w:fldCharType="end"/>
      </w:r>
    </w:p>
    <w:p w14:paraId="0D0D32A8">
      <w:pPr>
        <w:widowControl/>
        <w:spacing w:line="360" w:lineRule="auto"/>
        <w:ind w:firstLine="480" w:firstLineChars="200"/>
        <w:jc w:val="left"/>
        <w:rPr>
          <w:rFonts w:hint="default" w:ascii="宋体" w:hAnsi="宋体" w:eastAsia="宋体" w:cs="宋体"/>
          <w:color w:val="auto"/>
          <w:kern w:val="0"/>
          <w:sz w:val="24"/>
          <w:szCs w:val="24"/>
          <w:highlight w:val="none"/>
        </w:rPr>
        <w:sectPr>
          <w:pgSz w:w="11906"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AndChars" w:linePitch="316" w:charSpace="0"/>
        </w:sectPr>
      </w:pPr>
      <w:r>
        <w:rPr>
          <w:rStyle w:val="182"/>
          <w:rFonts w:hint="default"/>
          <w:color w:val="auto"/>
        </w:rPr>
        <w:t>拟建工程退役期固体废物主要为废弃管道、建筑垃圾等，废弃管线维持现状，避免因开挖管线对区域生态环境造成二次破坏，管线内物质应清空干净，并按要求进行吹扫，确保管线内无残留采出液，管线两端使用盲板封堵；建筑垃圾委托周边工业固废填埋场合规处置</w:t>
      </w:r>
      <w:r>
        <w:rPr>
          <w:rFonts w:hint="default" w:ascii="宋体" w:hAnsi="宋体" w:eastAsia="宋体" w:cs="宋体"/>
          <w:color w:val="auto"/>
          <w:kern w:val="0"/>
          <w:sz w:val="24"/>
          <w:szCs w:val="24"/>
          <w:highlight w:val="none"/>
        </w:rPr>
        <w:t>。</w:t>
      </w:r>
    </w:p>
    <w:p w14:paraId="6DE2A668">
      <w:pPr>
        <w:pStyle w:val="49"/>
        <w:bidi w:val="0"/>
        <w:rPr>
          <w:rFonts w:hint="default"/>
          <w:color w:val="auto"/>
        </w:rPr>
      </w:pPr>
      <w:bookmarkStart w:id="761" w:name="_Toc16037"/>
      <w:r>
        <w:rPr>
          <w:rFonts w:hint="eastAsia"/>
          <w:color w:val="auto"/>
          <w:lang w:val="en-US" w:eastAsia="zh-CN"/>
        </w:rPr>
        <w:fldChar w:fldCharType="begin"/>
      </w:r>
      <w:r>
        <w:rPr>
          <w:rFonts w:hint="eastAsia"/>
          <w:color w:val="auto"/>
          <w:lang w:val="en-US" w:eastAsia="zh-CN"/>
        </w:rPr>
        <w:instrText xml:space="preserve"> HYPERLINK \l _Toc10212 </w:instrText>
      </w:r>
      <w:r>
        <w:rPr>
          <w:rFonts w:hint="eastAsia"/>
          <w:color w:val="auto"/>
          <w:lang w:val="en-US" w:eastAsia="zh-CN"/>
        </w:rPr>
        <w:fldChar w:fldCharType="separate"/>
      </w:r>
      <w:r>
        <w:rPr>
          <w:rFonts w:hint="eastAsia"/>
          <w:color w:val="auto"/>
          <w:lang w:val="en-US" w:eastAsia="zh-CN"/>
        </w:rPr>
        <w:t>7 温室气体排放影响评价</w:t>
      </w:r>
      <w:r>
        <w:rPr>
          <w:rFonts w:hint="eastAsia"/>
          <w:color w:val="auto"/>
          <w:lang w:val="en-US" w:eastAsia="zh-CN"/>
        </w:rPr>
        <w:fldChar w:fldCharType="end"/>
      </w:r>
      <w:bookmarkEnd w:id="761"/>
    </w:p>
    <w:p w14:paraId="6529A6EB">
      <w:pPr>
        <w:pStyle w:val="79"/>
        <w:bidi w:val="0"/>
        <w:rPr>
          <w:rFonts w:hint="default"/>
          <w:color w:val="auto"/>
          <w:lang w:val="en-US" w:eastAsia="zh-CN"/>
        </w:rPr>
      </w:pPr>
      <w:r>
        <w:rPr>
          <w:rFonts w:hint="default"/>
          <w:color w:val="auto"/>
          <w:lang w:val="en-US" w:eastAsia="zh-CN"/>
        </w:rPr>
        <w:t>为贯彻落实中央和生态环境部关于</w:t>
      </w:r>
      <w:r>
        <w:rPr>
          <w:rFonts w:hint="eastAsia"/>
          <w:color w:val="auto"/>
          <w:lang w:val="en-US" w:eastAsia="zh-CN"/>
        </w:rPr>
        <w:t>“</w:t>
      </w:r>
      <w:r>
        <w:rPr>
          <w:rFonts w:hint="default"/>
          <w:color w:val="auto"/>
          <w:lang w:val="en-US" w:eastAsia="zh-CN"/>
        </w:rPr>
        <w:t>碳达峰、碳中和</w:t>
      </w:r>
      <w:r>
        <w:rPr>
          <w:rFonts w:hint="eastAsia"/>
          <w:color w:val="auto"/>
          <w:lang w:val="en-US" w:eastAsia="zh-CN"/>
        </w:rPr>
        <w:t>”</w:t>
      </w:r>
      <w:r>
        <w:rPr>
          <w:rFonts w:hint="default"/>
          <w:color w:val="auto"/>
          <w:lang w:val="en-US" w:eastAsia="zh-CN"/>
        </w:rPr>
        <w:t>相关决策部署和文件精神，充分发挥环境影响评价的源头防控、过程管理中的基础性作用，本评价按照相关政策及文件要求，根据《中国石油天然气生产企业 温室气体排放核算方法与报告指南（试行）》核算方法，计算拟建工程实施后碳排放量及碳排放强度，提出碳减排建议，并分析减污降碳措施可行性及碳排放水平。</w:t>
      </w:r>
    </w:p>
    <w:p w14:paraId="75F34580">
      <w:pPr>
        <w:pStyle w:val="75"/>
        <w:bidi w:val="0"/>
        <w:rPr>
          <w:rFonts w:hint="eastAsia"/>
          <w:color w:val="auto"/>
          <w:lang w:val="en-US" w:eastAsia="zh-CN"/>
        </w:rPr>
      </w:pPr>
      <w:bookmarkStart w:id="762" w:name="_Toc28602"/>
      <w:r>
        <w:rPr>
          <w:rFonts w:hint="eastAsia"/>
          <w:color w:val="auto"/>
          <w:lang w:val="en-US" w:eastAsia="zh-CN"/>
        </w:rPr>
        <w:fldChar w:fldCharType="begin"/>
      </w:r>
      <w:r>
        <w:rPr>
          <w:rFonts w:hint="eastAsia"/>
          <w:color w:val="auto"/>
          <w:lang w:val="en-US" w:eastAsia="zh-CN"/>
        </w:rPr>
        <w:instrText xml:space="preserve"> HYPERLINK \l _Toc4532 </w:instrText>
      </w:r>
      <w:r>
        <w:rPr>
          <w:rFonts w:hint="eastAsia"/>
          <w:color w:val="auto"/>
          <w:lang w:val="en-US" w:eastAsia="zh-CN"/>
        </w:rPr>
        <w:fldChar w:fldCharType="separate"/>
      </w:r>
      <w:r>
        <w:rPr>
          <w:rFonts w:hint="eastAsia"/>
          <w:color w:val="auto"/>
          <w:lang w:val="en-US" w:eastAsia="zh-CN"/>
        </w:rPr>
        <w:t>7.1 温室气体排放分析</w:t>
      </w:r>
      <w:r>
        <w:rPr>
          <w:rFonts w:hint="eastAsia"/>
          <w:color w:val="auto"/>
          <w:lang w:val="en-US" w:eastAsia="zh-CN"/>
        </w:rPr>
        <w:fldChar w:fldCharType="end"/>
      </w:r>
      <w:bookmarkEnd w:id="762"/>
    </w:p>
    <w:p w14:paraId="401C1ABD">
      <w:pPr>
        <w:pStyle w:val="54"/>
        <w:bidi w:val="0"/>
        <w:rPr>
          <w:color w:val="auto"/>
          <w:lang w:val="en-US" w:eastAsia="zh-CN"/>
        </w:rPr>
      </w:pPr>
      <w:r>
        <w:rPr>
          <w:color w:val="auto"/>
          <w:lang w:val="en-US" w:eastAsia="zh-CN"/>
        </w:rPr>
        <w:fldChar w:fldCharType="begin"/>
      </w:r>
      <w:r>
        <w:rPr>
          <w:color w:val="auto"/>
          <w:lang w:val="en-US" w:eastAsia="zh-CN"/>
        </w:rPr>
        <w:instrText xml:space="preserve"> HYPERLINK \l _Toc11789 </w:instrText>
      </w:r>
      <w:r>
        <w:rPr>
          <w:color w:val="auto"/>
          <w:lang w:val="en-US" w:eastAsia="zh-CN"/>
        </w:rPr>
        <w:fldChar w:fldCharType="separate"/>
      </w:r>
      <w:r>
        <w:rPr>
          <w:rFonts w:hint="eastAsia"/>
          <w:color w:val="auto"/>
          <w:lang w:val="en-US" w:eastAsia="zh-CN"/>
        </w:rPr>
        <w:t>7.1.1温室气体排放影响因素分析</w:t>
      </w:r>
      <w:r>
        <w:rPr>
          <w:color w:val="auto"/>
          <w:lang w:val="en-US" w:eastAsia="zh-CN"/>
        </w:rPr>
        <w:fldChar w:fldCharType="end"/>
      </w:r>
    </w:p>
    <w:p w14:paraId="188A3284">
      <w:pPr>
        <w:pStyle w:val="55"/>
        <w:bidi w:val="0"/>
        <w:rPr>
          <w:rFonts w:hint="eastAsia"/>
          <w:color w:val="auto"/>
          <w:lang w:val="en-US" w:eastAsia="zh-CN"/>
        </w:rPr>
      </w:pPr>
      <w:r>
        <w:rPr>
          <w:rFonts w:hint="eastAsia"/>
          <w:color w:val="auto"/>
          <w:lang w:val="en-US" w:eastAsia="zh-CN"/>
        </w:rPr>
        <w:t>7.1.1.1 碳排放源分析</w:t>
      </w:r>
    </w:p>
    <w:p w14:paraId="3ACB4E25">
      <w:pPr>
        <w:keepNext w:val="0"/>
        <w:keepLines w:val="0"/>
        <w:pageBreakBefore w:val="0"/>
        <w:widowControl w:val="0"/>
        <w:kinsoku/>
        <w:wordWrap/>
        <w:overflowPunct/>
        <w:topLinePunct/>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根据《中国石油天然气生产企业 温室气体排放核算方法与报告指南（试行）》，石油天然气开采企业碳排放源主要包括：燃料燃烧CO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排放、</w:t>
      </w:r>
      <w:r>
        <w:rPr>
          <w:rFonts w:hint="eastAsia" w:cs="Times New Roman"/>
          <w:color w:val="auto"/>
          <w:sz w:val="24"/>
          <w:szCs w:val="24"/>
          <w:highlight w:val="none"/>
          <w:lang w:val="en-US" w:eastAsia="zh-CN"/>
        </w:rPr>
        <w:t>放空系统</w:t>
      </w:r>
      <w:r>
        <w:rPr>
          <w:rFonts w:hint="default" w:ascii="Times New Roman" w:hAnsi="Times New Roman" w:eastAsia="宋体" w:cs="Times New Roman"/>
          <w:color w:val="auto"/>
          <w:sz w:val="24"/>
          <w:szCs w:val="24"/>
          <w:highlight w:val="none"/>
        </w:rPr>
        <w:t>火炬燃烧排放、工艺放空排放、CH</w:t>
      </w:r>
      <w:r>
        <w:rPr>
          <w:rFonts w:hint="default" w:ascii="Times New Roman" w:hAnsi="Times New Roman" w:eastAsia="宋体" w:cs="Times New Roman"/>
          <w:color w:val="auto"/>
          <w:sz w:val="24"/>
          <w:szCs w:val="24"/>
          <w:highlight w:val="none"/>
          <w:vertAlign w:val="subscript"/>
        </w:rPr>
        <w:t>4</w:t>
      </w:r>
      <w:r>
        <w:rPr>
          <w:rFonts w:hint="default" w:ascii="Times New Roman" w:hAnsi="Times New Roman" w:eastAsia="宋体" w:cs="Times New Roman"/>
          <w:color w:val="auto"/>
          <w:sz w:val="24"/>
          <w:szCs w:val="24"/>
          <w:highlight w:val="none"/>
        </w:rPr>
        <w:t>逃逸排放、CH</w:t>
      </w:r>
      <w:r>
        <w:rPr>
          <w:rFonts w:hint="default" w:ascii="Times New Roman" w:hAnsi="Times New Roman" w:eastAsia="宋体" w:cs="Times New Roman"/>
          <w:color w:val="auto"/>
          <w:sz w:val="24"/>
          <w:szCs w:val="24"/>
          <w:highlight w:val="none"/>
          <w:vertAlign w:val="subscript"/>
        </w:rPr>
        <w:t>4</w:t>
      </w:r>
      <w:r>
        <w:rPr>
          <w:rFonts w:hint="default" w:ascii="Times New Roman" w:hAnsi="Times New Roman" w:eastAsia="宋体" w:cs="Times New Roman"/>
          <w:color w:val="auto"/>
          <w:sz w:val="24"/>
          <w:szCs w:val="24"/>
          <w:highlight w:val="none"/>
        </w:rPr>
        <w:t>回收利用量、CO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回收利用量、净购入电力和热力隐含的CO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排放。</w:t>
      </w:r>
    </w:p>
    <w:p w14:paraId="78346F0D">
      <w:pPr>
        <w:keepNext w:val="0"/>
        <w:keepLines w:val="0"/>
        <w:pageBreakBefore w:val="0"/>
        <w:widowControl w:val="0"/>
        <w:kinsoku/>
        <w:wordWrap/>
        <w:overflowPunct/>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lang w:bidi="ar"/>
        </w:rPr>
      </w:pPr>
      <w:r>
        <w:rPr>
          <w:rFonts w:hint="default" w:ascii="Times New Roman" w:hAnsi="Times New Roman" w:eastAsia="宋体" w:cs="Times New Roman"/>
          <w:color w:val="auto"/>
          <w:sz w:val="24"/>
          <w:szCs w:val="24"/>
          <w:highlight w:val="none"/>
          <w:lang w:bidi="ar"/>
        </w:rPr>
        <w:t>（</w:t>
      </w:r>
      <w:r>
        <w:rPr>
          <w:rFonts w:hint="default" w:ascii="Times New Roman" w:hAnsi="Times New Roman" w:eastAsia="宋体" w:cs="Times New Roman"/>
          <w:color w:val="auto"/>
          <w:sz w:val="24"/>
          <w:szCs w:val="24"/>
          <w:highlight w:val="none"/>
        </w:rPr>
        <w:t>1</w:t>
      </w:r>
      <w:r>
        <w:rPr>
          <w:rFonts w:hint="default" w:ascii="Times New Roman" w:hAnsi="Times New Roman" w:eastAsia="宋体" w:cs="Times New Roman"/>
          <w:color w:val="auto"/>
          <w:sz w:val="24"/>
          <w:szCs w:val="24"/>
          <w:highlight w:val="none"/>
          <w:lang w:bidi="ar"/>
        </w:rPr>
        <w:t>）</w:t>
      </w:r>
      <w:r>
        <w:rPr>
          <w:rFonts w:hint="default" w:ascii="Times New Roman" w:hAnsi="Times New Roman" w:eastAsia="宋体" w:cs="Times New Roman"/>
          <w:color w:val="auto"/>
          <w:sz w:val="24"/>
          <w:szCs w:val="24"/>
          <w:highlight w:val="none"/>
        </w:rPr>
        <w:t>燃料燃烧CO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排放</w:t>
      </w:r>
    </w:p>
    <w:p w14:paraId="52C92DBD">
      <w:pPr>
        <w:keepNext w:val="0"/>
        <w:keepLines w:val="0"/>
        <w:pageBreakBefore w:val="0"/>
        <w:widowControl w:val="0"/>
        <w:kinsoku/>
        <w:wordWrap/>
        <w:overflowPunct/>
        <w:topLinePunct/>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主要指石油天然气生产各个业务环节化石燃料用于动力或热力供应的燃烧过程产生的CO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排放。</w:t>
      </w:r>
    </w:p>
    <w:p w14:paraId="67F7FE5B">
      <w:pPr>
        <w:keepNext w:val="0"/>
        <w:keepLines w:val="0"/>
        <w:pageBreakBefore w:val="0"/>
        <w:widowControl w:val="0"/>
        <w:kinsoku/>
        <w:wordWrap/>
        <w:overflowPunct/>
        <w:topLinePunct/>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拟建工程</w:t>
      </w:r>
      <w:r>
        <w:rPr>
          <w:rFonts w:hint="eastAsia" w:ascii="Times New Roman" w:hAnsi="Times New Roman" w:eastAsia="宋体" w:cs="Times New Roman"/>
          <w:color w:val="auto"/>
          <w:sz w:val="24"/>
          <w:szCs w:val="24"/>
          <w:highlight w:val="none"/>
          <w:lang w:val="en-US" w:eastAsia="zh-CN"/>
        </w:rPr>
        <w:t>试采点</w:t>
      </w:r>
      <w:r>
        <w:rPr>
          <w:rFonts w:hint="default" w:ascii="Times New Roman" w:hAnsi="Times New Roman" w:eastAsia="宋体" w:cs="Times New Roman"/>
          <w:color w:val="auto"/>
          <w:sz w:val="24"/>
          <w:szCs w:val="24"/>
          <w:highlight w:val="none"/>
        </w:rPr>
        <w:t>真空加热炉使用天然气作为燃料，需核算该部分产生的CO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排放量。</w:t>
      </w:r>
    </w:p>
    <w:p w14:paraId="654AB7C5">
      <w:pPr>
        <w:keepNext w:val="0"/>
        <w:keepLines w:val="0"/>
        <w:pageBreakBefore w:val="0"/>
        <w:widowControl w:val="0"/>
        <w:kinsoku/>
        <w:wordWrap/>
        <w:overflowPunct/>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bidi="ar"/>
        </w:rPr>
        <w:t>（</w:t>
      </w:r>
      <w:r>
        <w:rPr>
          <w:rFonts w:hint="default" w:ascii="Times New Roman" w:hAnsi="Times New Roman" w:eastAsia="宋体" w:cs="Times New Roman"/>
          <w:color w:val="auto"/>
          <w:sz w:val="24"/>
          <w:szCs w:val="24"/>
          <w:highlight w:val="none"/>
        </w:rPr>
        <w:t>2</w:t>
      </w:r>
      <w:r>
        <w:rPr>
          <w:rFonts w:hint="default" w:ascii="Times New Roman" w:hAnsi="Times New Roman" w:eastAsia="宋体" w:cs="Times New Roman"/>
          <w:color w:val="auto"/>
          <w:sz w:val="24"/>
          <w:szCs w:val="24"/>
          <w:highlight w:val="none"/>
          <w:lang w:bidi="ar"/>
        </w:rPr>
        <w:t>）</w:t>
      </w:r>
      <w:r>
        <w:rPr>
          <w:rFonts w:hint="eastAsia" w:cs="Times New Roman"/>
          <w:color w:val="auto"/>
          <w:sz w:val="24"/>
          <w:szCs w:val="24"/>
          <w:highlight w:val="none"/>
          <w:lang w:val="en-US" w:eastAsia="zh-CN" w:bidi="ar"/>
        </w:rPr>
        <w:t>放空系统</w:t>
      </w:r>
      <w:r>
        <w:rPr>
          <w:rFonts w:hint="default" w:ascii="Times New Roman" w:hAnsi="Times New Roman" w:eastAsia="宋体" w:cs="Times New Roman"/>
          <w:color w:val="auto"/>
          <w:sz w:val="24"/>
          <w:szCs w:val="24"/>
          <w:highlight w:val="none"/>
        </w:rPr>
        <w:t>火炬燃烧排放</w:t>
      </w:r>
    </w:p>
    <w:p w14:paraId="6BAFA541">
      <w:pPr>
        <w:keepNext w:val="0"/>
        <w:keepLines w:val="0"/>
        <w:pageBreakBefore w:val="0"/>
        <w:widowControl w:val="0"/>
        <w:kinsoku/>
        <w:wordWrap/>
        <w:overflowPunct/>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出于安全等目的，石油天然气生产企业通常将各生产活动产生的可燃废气集中到一至</w:t>
      </w:r>
      <w:r>
        <w:rPr>
          <w:rFonts w:hint="eastAsia" w:cs="Times New Roman"/>
          <w:color w:val="auto"/>
          <w:sz w:val="24"/>
          <w:szCs w:val="24"/>
          <w:highlight w:val="none"/>
          <w:lang w:eastAsia="zh-CN"/>
        </w:rPr>
        <w:t>数支</w:t>
      </w:r>
      <w:r>
        <w:rPr>
          <w:rFonts w:hint="default" w:ascii="Times New Roman" w:hAnsi="Times New Roman" w:eastAsia="宋体" w:cs="Times New Roman"/>
          <w:color w:val="auto"/>
          <w:sz w:val="24"/>
          <w:szCs w:val="24"/>
          <w:highlight w:val="none"/>
        </w:rPr>
        <w:t>火炬系统中进行排放前的燃烧处理。火炬燃烧除了CO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排放外，还可能产生少量的CH</w:t>
      </w:r>
      <w:r>
        <w:rPr>
          <w:rFonts w:hint="default" w:ascii="Times New Roman" w:hAnsi="Times New Roman" w:eastAsia="宋体" w:cs="Times New Roman"/>
          <w:color w:val="auto"/>
          <w:sz w:val="24"/>
          <w:szCs w:val="24"/>
          <w:highlight w:val="none"/>
          <w:vertAlign w:val="subscript"/>
        </w:rPr>
        <w:t>4</w:t>
      </w:r>
      <w:r>
        <w:rPr>
          <w:rFonts w:hint="default" w:ascii="Times New Roman" w:hAnsi="Times New Roman" w:eastAsia="宋体" w:cs="Times New Roman"/>
          <w:color w:val="auto"/>
          <w:sz w:val="24"/>
          <w:szCs w:val="24"/>
          <w:highlight w:val="none"/>
        </w:rPr>
        <w:t>排放</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石油天然气生产的火炬系统需同时核算CO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和CH</w:t>
      </w:r>
      <w:r>
        <w:rPr>
          <w:rFonts w:hint="default" w:ascii="Times New Roman" w:hAnsi="Times New Roman" w:eastAsia="宋体" w:cs="Times New Roman"/>
          <w:color w:val="auto"/>
          <w:sz w:val="24"/>
          <w:szCs w:val="24"/>
          <w:highlight w:val="none"/>
          <w:vertAlign w:val="subscript"/>
        </w:rPr>
        <w:t>4</w:t>
      </w:r>
      <w:r>
        <w:rPr>
          <w:rFonts w:hint="default" w:ascii="Times New Roman" w:hAnsi="Times New Roman" w:eastAsia="宋体" w:cs="Times New Roman"/>
          <w:color w:val="auto"/>
          <w:sz w:val="24"/>
          <w:szCs w:val="24"/>
          <w:highlight w:val="none"/>
        </w:rPr>
        <w:t>排放。</w:t>
      </w:r>
    </w:p>
    <w:p w14:paraId="44F9D740">
      <w:pPr>
        <w:keepNext w:val="0"/>
        <w:keepLines w:val="0"/>
        <w:pageBreakBefore w:val="0"/>
        <w:widowControl w:val="0"/>
        <w:kinsoku/>
        <w:wordWrap/>
        <w:overflowPunct/>
        <w:topLinePunct/>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拟建工程在雄探1试采点新建地面自动点火装置一套，用于事故、非正常工况条件下放空天然气，需核算该部分产生的CO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和CH</w:t>
      </w:r>
      <w:r>
        <w:rPr>
          <w:rFonts w:hint="default" w:ascii="Times New Roman" w:hAnsi="Times New Roman" w:eastAsia="宋体" w:cs="Times New Roman"/>
          <w:color w:val="auto"/>
          <w:sz w:val="24"/>
          <w:szCs w:val="24"/>
          <w:highlight w:val="none"/>
          <w:vertAlign w:val="subscript"/>
        </w:rPr>
        <w:t>4</w:t>
      </w:r>
      <w:r>
        <w:rPr>
          <w:rFonts w:hint="default" w:ascii="Times New Roman" w:hAnsi="Times New Roman" w:eastAsia="宋体" w:cs="Times New Roman"/>
          <w:color w:val="auto"/>
          <w:sz w:val="24"/>
          <w:szCs w:val="24"/>
          <w:highlight w:val="none"/>
        </w:rPr>
        <w:t>排放量。</w:t>
      </w:r>
    </w:p>
    <w:p w14:paraId="59E2D514">
      <w:pPr>
        <w:keepNext w:val="0"/>
        <w:keepLines w:val="0"/>
        <w:pageBreakBefore w:val="0"/>
        <w:widowControl w:val="0"/>
        <w:kinsoku/>
        <w:wordWrap/>
        <w:overflowPunct/>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lang w:bidi="ar"/>
        </w:rPr>
      </w:pPr>
      <w:r>
        <w:rPr>
          <w:rFonts w:hint="default" w:ascii="Times New Roman" w:hAnsi="Times New Roman" w:eastAsia="宋体" w:cs="Times New Roman"/>
          <w:color w:val="auto"/>
          <w:sz w:val="24"/>
          <w:szCs w:val="24"/>
          <w:highlight w:val="none"/>
          <w:lang w:bidi="ar"/>
        </w:rPr>
        <w:t>（3）</w:t>
      </w:r>
      <w:r>
        <w:rPr>
          <w:rFonts w:hint="default" w:ascii="Times New Roman" w:hAnsi="Times New Roman" w:eastAsia="宋体" w:cs="Times New Roman"/>
          <w:color w:val="auto"/>
          <w:sz w:val="24"/>
          <w:szCs w:val="24"/>
          <w:highlight w:val="none"/>
        </w:rPr>
        <w:t>工艺放空排放</w:t>
      </w:r>
    </w:p>
    <w:p w14:paraId="31C05CE0">
      <w:pPr>
        <w:keepNext w:val="0"/>
        <w:keepLines w:val="0"/>
        <w:pageBreakBefore w:val="0"/>
        <w:widowControl w:val="0"/>
        <w:kinsoku/>
        <w:wordWrap/>
        <w:overflowPunct/>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lang w:bidi="ar"/>
        </w:rPr>
      </w:pPr>
      <w:r>
        <w:rPr>
          <w:rFonts w:hint="default" w:ascii="Times New Roman" w:hAnsi="Times New Roman" w:eastAsia="宋体" w:cs="Times New Roman"/>
          <w:color w:val="auto"/>
          <w:sz w:val="24"/>
          <w:szCs w:val="24"/>
          <w:highlight w:val="none"/>
          <w:lang w:bidi="ar"/>
        </w:rPr>
        <w:t>主要指石油天然气生产各业务环节通过工艺装置泄放口或安全阀门有意释放到大气中的CH</w:t>
      </w:r>
      <w:r>
        <w:rPr>
          <w:rFonts w:hint="default" w:ascii="Times New Roman" w:hAnsi="Times New Roman" w:eastAsia="宋体" w:cs="Times New Roman"/>
          <w:color w:val="auto"/>
          <w:sz w:val="24"/>
          <w:szCs w:val="24"/>
          <w:highlight w:val="none"/>
          <w:vertAlign w:val="subscript"/>
          <w:lang w:bidi="ar"/>
        </w:rPr>
        <w:t>4</w:t>
      </w:r>
      <w:r>
        <w:rPr>
          <w:rFonts w:hint="default" w:ascii="Times New Roman" w:hAnsi="Times New Roman" w:eastAsia="宋体" w:cs="Times New Roman"/>
          <w:color w:val="auto"/>
          <w:sz w:val="24"/>
          <w:szCs w:val="24"/>
          <w:highlight w:val="none"/>
          <w:lang w:bidi="ar"/>
        </w:rPr>
        <w:t>或CO</w:t>
      </w:r>
      <w:r>
        <w:rPr>
          <w:rFonts w:hint="default" w:ascii="Times New Roman" w:hAnsi="Times New Roman" w:eastAsia="宋体" w:cs="Times New Roman"/>
          <w:color w:val="auto"/>
          <w:sz w:val="24"/>
          <w:szCs w:val="24"/>
          <w:highlight w:val="none"/>
          <w:vertAlign w:val="subscript"/>
          <w:lang w:bidi="ar"/>
        </w:rPr>
        <w:t>2</w:t>
      </w:r>
      <w:r>
        <w:rPr>
          <w:rFonts w:hint="default" w:ascii="Times New Roman" w:hAnsi="Times New Roman" w:eastAsia="宋体" w:cs="Times New Roman"/>
          <w:color w:val="auto"/>
          <w:sz w:val="24"/>
          <w:szCs w:val="24"/>
          <w:highlight w:val="none"/>
          <w:lang w:bidi="ar"/>
        </w:rPr>
        <w:t>气体，如驱动气动装置运转的天然气排放、泄压排放、设备吹扫排放、工艺过程尾气排放、储罐溶解气排放等。石油天然气生产企业业务环节较多且各具特色，其工艺放空排放应区分不同业务环节分开核算。</w:t>
      </w:r>
    </w:p>
    <w:p w14:paraId="1498AB09">
      <w:pPr>
        <w:keepNext w:val="0"/>
        <w:keepLines w:val="0"/>
        <w:pageBreakBefore w:val="0"/>
        <w:widowControl w:val="0"/>
        <w:kinsoku/>
        <w:wordWrap/>
        <w:overflowPunct/>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拟建工程不涉及工艺装置泄放口，不涉及</w:t>
      </w:r>
      <w:r>
        <w:rPr>
          <w:rFonts w:hint="default" w:ascii="Times New Roman" w:hAnsi="Times New Roman" w:eastAsia="宋体" w:cs="Times New Roman"/>
          <w:color w:val="auto"/>
          <w:sz w:val="24"/>
          <w:szCs w:val="24"/>
          <w:highlight w:val="none"/>
          <w:lang w:bidi="ar"/>
        </w:rPr>
        <w:t>有意释放到大气中的CH</w:t>
      </w:r>
      <w:r>
        <w:rPr>
          <w:rFonts w:hint="default" w:ascii="Times New Roman" w:hAnsi="Times New Roman" w:eastAsia="宋体" w:cs="Times New Roman"/>
          <w:color w:val="auto"/>
          <w:sz w:val="24"/>
          <w:szCs w:val="24"/>
          <w:highlight w:val="none"/>
          <w:vertAlign w:val="subscript"/>
          <w:lang w:bidi="ar"/>
        </w:rPr>
        <w:t>4</w:t>
      </w:r>
      <w:r>
        <w:rPr>
          <w:rFonts w:hint="default" w:ascii="Times New Roman" w:hAnsi="Times New Roman" w:eastAsia="宋体" w:cs="Times New Roman"/>
          <w:color w:val="auto"/>
          <w:sz w:val="24"/>
          <w:szCs w:val="24"/>
          <w:highlight w:val="none"/>
          <w:lang w:bidi="ar"/>
        </w:rPr>
        <w:t>或CO</w:t>
      </w:r>
      <w:r>
        <w:rPr>
          <w:rFonts w:hint="default" w:ascii="Times New Roman" w:hAnsi="Times New Roman" w:eastAsia="宋体" w:cs="Times New Roman"/>
          <w:color w:val="auto"/>
          <w:sz w:val="24"/>
          <w:szCs w:val="24"/>
          <w:highlight w:val="none"/>
          <w:vertAlign w:val="subscript"/>
          <w:lang w:bidi="ar"/>
        </w:rPr>
        <w:t>2</w:t>
      </w:r>
      <w:r>
        <w:rPr>
          <w:rFonts w:hint="default" w:ascii="Times New Roman" w:hAnsi="Times New Roman" w:eastAsia="宋体" w:cs="Times New Roman"/>
          <w:color w:val="auto"/>
          <w:sz w:val="24"/>
          <w:szCs w:val="24"/>
          <w:highlight w:val="none"/>
          <w:lang w:bidi="ar"/>
        </w:rPr>
        <w:t>气体</w:t>
      </w:r>
      <w:r>
        <w:rPr>
          <w:rFonts w:hint="default" w:ascii="Times New Roman" w:hAnsi="Times New Roman" w:eastAsia="宋体" w:cs="Times New Roman"/>
          <w:color w:val="auto"/>
          <w:sz w:val="24"/>
          <w:szCs w:val="24"/>
          <w:highlight w:val="none"/>
        </w:rPr>
        <w:t>。</w:t>
      </w:r>
    </w:p>
    <w:p w14:paraId="70367455">
      <w:pPr>
        <w:keepNext w:val="0"/>
        <w:keepLines w:val="0"/>
        <w:pageBreakBefore w:val="0"/>
        <w:widowControl w:val="0"/>
        <w:kinsoku/>
        <w:wordWrap/>
        <w:overflowPunct/>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lang w:bidi="ar"/>
        </w:rPr>
      </w:pPr>
      <w:r>
        <w:rPr>
          <w:rFonts w:hint="default" w:ascii="Times New Roman" w:hAnsi="Times New Roman" w:eastAsia="宋体" w:cs="Times New Roman"/>
          <w:color w:val="auto"/>
          <w:sz w:val="24"/>
          <w:szCs w:val="24"/>
          <w:highlight w:val="none"/>
          <w:lang w:bidi="ar"/>
        </w:rPr>
        <w:t>（4）</w:t>
      </w:r>
      <w:r>
        <w:rPr>
          <w:rFonts w:hint="default" w:ascii="Times New Roman" w:hAnsi="Times New Roman" w:eastAsia="宋体" w:cs="Times New Roman"/>
          <w:color w:val="auto"/>
          <w:sz w:val="24"/>
          <w:szCs w:val="24"/>
          <w:highlight w:val="none"/>
        </w:rPr>
        <w:t>CH</w:t>
      </w:r>
      <w:r>
        <w:rPr>
          <w:rFonts w:hint="default" w:ascii="Times New Roman" w:hAnsi="Times New Roman" w:eastAsia="宋体" w:cs="Times New Roman"/>
          <w:color w:val="auto"/>
          <w:sz w:val="24"/>
          <w:szCs w:val="24"/>
          <w:highlight w:val="none"/>
          <w:vertAlign w:val="subscript"/>
        </w:rPr>
        <w:t>4</w:t>
      </w:r>
      <w:r>
        <w:rPr>
          <w:rFonts w:hint="default" w:ascii="Times New Roman" w:hAnsi="Times New Roman" w:eastAsia="宋体" w:cs="Times New Roman"/>
          <w:color w:val="auto"/>
          <w:sz w:val="24"/>
          <w:szCs w:val="24"/>
          <w:highlight w:val="none"/>
        </w:rPr>
        <w:t>逃逸排放</w:t>
      </w:r>
    </w:p>
    <w:p w14:paraId="377868BC">
      <w:pPr>
        <w:keepNext w:val="0"/>
        <w:keepLines w:val="0"/>
        <w:pageBreakBefore w:val="0"/>
        <w:widowControl w:val="0"/>
        <w:kinsoku/>
        <w:wordWrap/>
        <w:overflowPunct/>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lang w:bidi="ar"/>
        </w:rPr>
      </w:pPr>
      <w:r>
        <w:rPr>
          <w:rFonts w:hint="default" w:ascii="Times New Roman" w:hAnsi="Times New Roman" w:eastAsia="宋体" w:cs="Times New Roman"/>
          <w:color w:val="auto"/>
          <w:sz w:val="24"/>
          <w:szCs w:val="24"/>
          <w:highlight w:val="none"/>
          <w:lang w:bidi="ar"/>
        </w:rPr>
        <w:t>主要是指石油天然气生产各业务环节由于设备泄漏产生的无组织CH</w:t>
      </w:r>
      <w:r>
        <w:rPr>
          <w:rFonts w:hint="default" w:ascii="Times New Roman" w:hAnsi="Times New Roman" w:eastAsia="宋体" w:cs="Times New Roman"/>
          <w:color w:val="auto"/>
          <w:sz w:val="24"/>
          <w:szCs w:val="24"/>
          <w:highlight w:val="none"/>
          <w:vertAlign w:val="subscript"/>
          <w:lang w:bidi="ar"/>
        </w:rPr>
        <w:t>4</w:t>
      </w:r>
      <w:r>
        <w:rPr>
          <w:rFonts w:hint="default" w:ascii="Times New Roman" w:hAnsi="Times New Roman" w:eastAsia="宋体" w:cs="Times New Roman"/>
          <w:color w:val="auto"/>
          <w:sz w:val="24"/>
          <w:szCs w:val="24"/>
          <w:highlight w:val="none"/>
          <w:lang w:bidi="ar"/>
        </w:rPr>
        <w:t>排放，如阀门、法兰、泵轮密封、压缩机密封、减压阀、取样接口、工艺排水、开口管路、套管、储罐泄漏及未被定义为工艺放空的其他压力设备泄漏；石油天然气生产企业业务环节较多且各具特色，其逃逸排放应区分不同业务环节分开核算。</w:t>
      </w:r>
    </w:p>
    <w:p w14:paraId="57AE16EE">
      <w:pPr>
        <w:pStyle w:val="35"/>
        <w:keepNext w:val="0"/>
        <w:keepLines w:val="0"/>
        <w:pageBreakBefore w:val="0"/>
        <w:widowControl w:val="0"/>
        <w:kinsoku/>
        <w:wordWrap/>
        <w:overflowPunct/>
        <w:autoSpaceDE/>
        <w:autoSpaceDN/>
        <w:bidi w:val="0"/>
        <w:adjustRightInd w:val="0"/>
        <w:snapToGrid w:val="0"/>
        <w:spacing w:after="0" w:line="480" w:lineRule="exact"/>
        <w:ind w:left="0" w:leftChars="0" w:firstLine="528"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拟建工程井场法兰、阀门等处产生的无组织废气中涉及甲烷排放，需核算该部分气体排放量。</w:t>
      </w:r>
    </w:p>
    <w:p w14:paraId="141F873C">
      <w:pPr>
        <w:keepNext w:val="0"/>
        <w:keepLines w:val="0"/>
        <w:pageBreakBefore w:val="0"/>
        <w:widowControl w:val="0"/>
        <w:kinsoku/>
        <w:wordWrap/>
        <w:overflowPunct/>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lang w:bidi="ar"/>
        </w:rPr>
      </w:pPr>
      <w:r>
        <w:rPr>
          <w:rFonts w:hint="default" w:ascii="Times New Roman" w:hAnsi="Times New Roman" w:eastAsia="宋体" w:cs="Times New Roman"/>
          <w:color w:val="auto"/>
          <w:sz w:val="24"/>
          <w:szCs w:val="24"/>
          <w:highlight w:val="none"/>
          <w:lang w:bidi="ar"/>
        </w:rPr>
        <w:t>（5）</w:t>
      </w:r>
      <w:r>
        <w:rPr>
          <w:rFonts w:hint="default" w:ascii="Times New Roman" w:hAnsi="Times New Roman" w:eastAsia="宋体" w:cs="Times New Roman"/>
          <w:color w:val="auto"/>
          <w:sz w:val="24"/>
          <w:szCs w:val="24"/>
          <w:highlight w:val="none"/>
        </w:rPr>
        <w:t>CH</w:t>
      </w:r>
      <w:r>
        <w:rPr>
          <w:rFonts w:hint="default" w:ascii="Times New Roman" w:hAnsi="Times New Roman" w:eastAsia="宋体" w:cs="Times New Roman"/>
          <w:color w:val="auto"/>
          <w:sz w:val="24"/>
          <w:szCs w:val="24"/>
          <w:highlight w:val="none"/>
          <w:vertAlign w:val="subscript"/>
        </w:rPr>
        <w:t>4</w:t>
      </w:r>
      <w:r>
        <w:rPr>
          <w:rFonts w:hint="default" w:ascii="Times New Roman" w:hAnsi="Times New Roman" w:eastAsia="宋体" w:cs="Times New Roman"/>
          <w:color w:val="auto"/>
          <w:sz w:val="24"/>
          <w:szCs w:val="24"/>
          <w:highlight w:val="none"/>
        </w:rPr>
        <w:t>回收利用量</w:t>
      </w:r>
    </w:p>
    <w:p w14:paraId="771DD849">
      <w:pPr>
        <w:keepNext w:val="0"/>
        <w:keepLines w:val="0"/>
        <w:pageBreakBefore w:val="0"/>
        <w:widowControl w:val="0"/>
        <w:kinsoku/>
        <w:wordWrap/>
        <w:overflowPunct/>
        <w:topLinePunct/>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lang w:bidi="ar"/>
        </w:rPr>
      </w:pPr>
      <w:r>
        <w:rPr>
          <w:rFonts w:hint="default" w:ascii="Times New Roman" w:hAnsi="Times New Roman" w:eastAsia="宋体" w:cs="Times New Roman"/>
          <w:color w:val="auto"/>
          <w:sz w:val="24"/>
          <w:szCs w:val="24"/>
          <w:highlight w:val="none"/>
          <w:lang w:bidi="ar"/>
        </w:rPr>
        <w:t>主要指企业通过节能减排技术回收工艺放空废气流中携带的CH</w:t>
      </w:r>
      <w:r>
        <w:rPr>
          <w:rFonts w:hint="default" w:ascii="Times New Roman" w:hAnsi="Times New Roman" w:eastAsia="宋体" w:cs="Times New Roman"/>
          <w:color w:val="auto"/>
          <w:sz w:val="24"/>
          <w:szCs w:val="24"/>
          <w:highlight w:val="none"/>
          <w:vertAlign w:val="subscript"/>
          <w:lang w:bidi="ar"/>
        </w:rPr>
        <w:t>4</w:t>
      </w:r>
      <w:r>
        <w:rPr>
          <w:rFonts w:hint="default" w:ascii="Times New Roman" w:hAnsi="Times New Roman" w:eastAsia="宋体" w:cs="Times New Roman"/>
          <w:color w:val="auto"/>
          <w:sz w:val="24"/>
          <w:szCs w:val="24"/>
          <w:highlight w:val="none"/>
          <w:lang w:bidi="ar"/>
        </w:rPr>
        <w:t>从而免于排放到大气中的那部分CH</w:t>
      </w:r>
      <w:r>
        <w:rPr>
          <w:rFonts w:hint="default" w:ascii="Times New Roman" w:hAnsi="Times New Roman" w:eastAsia="宋体" w:cs="Times New Roman"/>
          <w:color w:val="auto"/>
          <w:sz w:val="24"/>
          <w:szCs w:val="24"/>
          <w:highlight w:val="none"/>
          <w:vertAlign w:val="subscript"/>
          <w:lang w:bidi="ar"/>
        </w:rPr>
        <w:t>4</w:t>
      </w:r>
      <w:r>
        <w:rPr>
          <w:rFonts w:hint="default" w:ascii="Times New Roman" w:hAnsi="Times New Roman" w:eastAsia="宋体" w:cs="Times New Roman"/>
          <w:color w:val="auto"/>
          <w:sz w:val="24"/>
          <w:szCs w:val="24"/>
          <w:highlight w:val="none"/>
          <w:lang w:bidi="ar"/>
        </w:rPr>
        <w:t>。CH</w:t>
      </w:r>
      <w:r>
        <w:rPr>
          <w:rFonts w:hint="default" w:ascii="Times New Roman" w:hAnsi="Times New Roman" w:eastAsia="宋体" w:cs="Times New Roman"/>
          <w:color w:val="auto"/>
          <w:sz w:val="24"/>
          <w:szCs w:val="24"/>
          <w:highlight w:val="none"/>
          <w:vertAlign w:val="subscript"/>
          <w:lang w:bidi="ar"/>
        </w:rPr>
        <w:t>4</w:t>
      </w:r>
      <w:r>
        <w:rPr>
          <w:rFonts w:hint="default" w:ascii="Times New Roman" w:hAnsi="Times New Roman" w:eastAsia="宋体" w:cs="Times New Roman"/>
          <w:color w:val="auto"/>
          <w:sz w:val="24"/>
          <w:szCs w:val="24"/>
          <w:highlight w:val="none"/>
          <w:lang w:bidi="ar"/>
        </w:rPr>
        <w:t>回收利用量可从企业总排放量中予以扣除。</w:t>
      </w:r>
    </w:p>
    <w:p w14:paraId="0E460927">
      <w:pPr>
        <w:pStyle w:val="35"/>
        <w:keepNext w:val="0"/>
        <w:keepLines w:val="0"/>
        <w:pageBreakBefore w:val="0"/>
        <w:widowControl w:val="0"/>
        <w:kinsoku/>
        <w:wordWrap/>
        <w:overflowPunct/>
        <w:autoSpaceDE/>
        <w:autoSpaceDN/>
        <w:bidi w:val="0"/>
        <w:adjustRightInd w:val="0"/>
        <w:snapToGrid w:val="0"/>
        <w:spacing w:after="0" w:line="480" w:lineRule="exact"/>
        <w:ind w:left="0" w:leftChars="0" w:firstLine="528" w:firstLineChars="200"/>
        <w:textAlignment w:val="auto"/>
        <w:rPr>
          <w:rFonts w:hint="default" w:ascii="Times New Roman" w:hAnsi="Times New Roman" w:eastAsia="宋体" w:cs="Times New Roman"/>
          <w:color w:val="auto"/>
          <w:sz w:val="24"/>
          <w:szCs w:val="24"/>
          <w:highlight w:val="none"/>
          <w:lang w:bidi="ar"/>
        </w:rPr>
      </w:pPr>
      <w:r>
        <w:rPr>
          <w:rFonts w:hint="default" w:ascii="Times New Roman" w:hAnsi="Times New Roman" w:eastAsia="宋体" w:cs="Times New Roman"/>
          <w:color w:val="auto"/>
          <w:sz w:val="24"/>
          <w:szCs w:val="24"/>
          <w:highlight w:val="none"/>
        </w:rPr>
        <w:t>拟建工程未实施甲烷回收利用。</w:t>
      </w:r>
    </w:p>
    <w:p w14:paraId="30081317">
      <w:pPr>
        <w:keepNext w:val="0"/>
        <w:keepLines w:val="0"/>
        <w:pageBreakBefore w:val="0"/>
        <w:widowControl w:val="0"/>
        <w:kinsoku/>
        <w:wordWrap/>
        <w:overflowPunct/>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lang w:bidi="ar"/>
        </w:rPr>
      </w:pPr>
      <w:r>
        <w:rPr>
          <w:rFonts w:hint="default" w:ascii="Times New Roman" w:hAnsi="Times New Roman" w:eastAsia="宋体" w:cs="Times New Roman"/>
          <w:color w:val="auto"/>
          <w:sz w:val="24"/>
          <w:szCs w:val="24"/>
          <w:highlight w:val="none"/>
          <w:lang w:bidi="ar"/>
        </w:rPr>
        <w:t>（6）</w:t>
      </w:r>
      <w:r>
        <w:rPr>
          <w:rFonts w:hint="default" w:ascii="Times New Roman" w:hAnsi="Times New Roman" w:eastAsia="宋体" w:cs="Times New Roman"/>
          <w:color w:val="auto"/>
          <w:sz w:val="24"/>
          <w:szCs w:val="24"/>
          <w:highlight w:val="none"/>
        </w:rPr>
        <w:t>CO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回收利用量</w:t>
      </w:r>
    </w:p>
    <w:p w14:paraId="2A57307F">
      <w:pPr>
        <w:keepNext w:val="0"/>
        <w:keepLines w:val="0"/>
        <w:pageBreakBefore w:val="0"/>
        <w:widowControl w:val="0"/>
        <w:kinsoku/>
        <w:wordWrap/>
        <w:overflowPunct/>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lang w:bidi="ar"/>
        </w:rPr>
      </w:pPr>
      <w:r>
        <w:rPr>
          <w:rFonts w:hint="default" w:ascii="Times New Roman" w:hAnsi="Times New Roman" w:eastAsia="宋体" w:cs="Times New Roman"/>
          <w:color w:val="auto"/>
          <w:sz w:val="24"/>
          <w:szCs w:val="24"/>
          <w:highlight w:val="none"/>
          <w:lang w:bidi="ar"/>
        </w:rPr>
        <w:t>主要指企业回收燃料燃烧或工艺放空过程产生的CO</w:t>
      </w:r>
      <w:r>
        <w:rPr>
          <w:rFonts w:hint="default" w:ascii="Times New Roman" w:hAnsi="Times New Roman" w:eastAsia="宋体" w:cs="Times New Roman"/>
          <w:color w:val="auto"/>
          <w:sz w:val="24"/>
          <w:szCs w:val="24"/>
          <w:highlight w:val="none"/>
          <w:vertAlign w:val="subscript"/>
          <w:lang w:bidi="ar"/>
        </w:rPr>
        <w:t>2</w:t>
      </w:r>
      <w:r>
        <w:rPr>
          <w:rFonts w:hint="default" w:ascii="Times New Roman" w:hAnsi="Times New Roman" w:eastAsia="宋体" w:cs="Times New Roman"/>
          <w:color w:val="auto"/>
          <w:sz w:val="24"/>
          <w:szCs w:val="24"/>
          <w:highlight w:val="none"/>
          <w:lang w:bidi="ar"/>
        </w:rPr>
        <w:t>作为生产原料或外供产品从而免于排放到大气中的那部分CO</w:t>
      </w:r>
      <w:r>
        <w:rPr>
          <w:rFonts w:hint="default" w:ascii="Times New Roman" w:hAnsi="Times New Roman" w:eastAsia="宋体" w:cs="Times New Roman"/>
          <w:color w:val="auto"/>
          <w:sz w:val="24"/>
          <w:szCs w:val="24"/>
          <w:highlight w:val="none"/>
          <w:vertAlign w:val="subscript"/>
          <w:lang w:bidi="ar"/>
        </w:rPr>
        <w:t>2</w:t>
      </w:r>
      <w:r>
        <w:rPr>
          <w:rFonts w:hint="default" w:ascii="Times New Roman" w:hAnsi="Times New Roman" w:eastAsia="宋体" w:cs="Times New Roman"/>
          <w:color w:val="auto"/>
          <w:sz w:val="24"/>
          <w:szCs w:val="24"/>
          <w:highlight w:val="none"/>
          <w:lang w:bidi="ar"/>
        </w:rPr>
        <w:t>。CO</w:t>
      </w:r>
      <w:r>
        <w:rPr>
          <w:rFonts w:hint="default" w:ascii="Times New Roman" w:hAnsi="Times New Roman" w:eastAsia="宋体" w:cs="Times New Roman"/>
          <w:color w:val="auto"/>
          <w:sz w:val="24"/>
          <w:szCs w:val="24"/>
          <w:highlight w:val="none"/>
          <w:vertAlign w:val="subscript"/>
          <w:lang w:bidi="ar"/>
        </w:rPr>
        <w:t>2</w:t>
      </w:r>
      <w:r>
        <w:rPr>
          <w:rFonts w:hint="default" w:ascii="Times New Roman" w:hAnsi="Times New Roman" w:eastAsia="宋体" w:cs="Times New Roman"/>
          <w:color w:val="auto"/>
          <w:sz w:val="24"/>
          <w:szCs w:val="24"/>
          <w:highlight w:val="none"/>
          <w:lang w:bidi="ar"/>
        </w:rPr>
        <w:t>回收利用量可从企业总排放量中予以扣除。因缺乏适当的核算方法暂不考虑 CO</w:t>
      </w:r>
      <w:r>
        <w:rPr>
          <w:rFonts w:hint="default" w:ascii="Times New Roman" w:hAnsi="Times New Roman" w:eastAsia="宋体" w:cs="Times New Roman"/>
          <w:color w:val="auto"/>
          <w:sz w:val="24"/>
          <w:szCs w:val="24"/>
          <w:highlight w:val="none"/>
          <w:vertAlign w:val="subscript"/>
          <w:lang w:bidi="ar"/>
        </w:rPr>
        <w:t>2</w:t>
      </w:r>
      <w:r>
        <w:rPr>
          <w:rFonts w:hint="default" w:ascii="Times New Roman" w:hAnsi="Times New Roman" w:eastAsia="宋体" w:cs="Times New Roman"/>
          <w:color w:val="auto"/>
          <w:sz w:val="24"/>
          <w:szCs w:val="24"/>
          <w:highlight w:val="none"/>
          <w:lang w:bidi="ar"/>
        </w:rPr>
        <w:t>地质埋存或驱油的减排问题。</w:t>
      </w:r>
    </w:p>
    <w:p w14:paraId="61FA4D05">
      <w:pPr>
        <w:keepNext w:val="0"/>
        <w:keepLines w:val="0"/>
        <w:pageBreakBefore w:val="0"/>
        <w:widowControl w:val="0"/>
        <w:kinsoku/>
        <w:wordWrap/>
        <w:overflowPunct/>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lang w:bidi="ar"/>
        </w:rPr>
      </w:pPr>
      <w:r>
        <w:rPr>
          <w:rFonts w:hint="default" w:ascii="Times New Roman" w:hAnsi="Times New Roman" w:eastAsia="宋体" w:cs="Times New Roman"/>
          <w:color w:val="auto"/>
          <w:sz w:val="24"/>
          <w:szCs w:val="24"/>
          <w:highlight w:val="none"/>
          <w:lang w:bidi="ar"/>
        </w:rPr>
        <w:t>拟建工程</w:t>
      </w:r>
      <w:r>
        <w:rPr>
          <w:rFonts w:hint="default" w:ascii="Times New Roman" w:hAnsi="Times New Roman" w:eastAsia="宋体" w:cs="Times New Roman"/>
          <w:color w:val="auto"/>
          <w:sz w:val="24"/>
          <w:szCs w:val="24"/>
          <w:highlight w:val="none"/>
        </w:rPr>
        <w:t>实施后未回收</w:t>
      </w:r>
      <w:r>
        <w:rPr>
          <w:rFonts w:hint="default" w:ascii="Times New Roman" w:hAnsi="Times New Roman" w:eastAsia="宋体" w:cs="Times New Roman"/>
          <w:color w:val="auto"/>
          <w:sz w:val="24"/>
          <w:szCs w:val="24"/>
          <w:highlight w:val="none"/>
          <w:lang w:bidi="ar"/>
        </w:rPr>
        <w:t>燃料燃烧或工艺放空过程</w:t>
      </w:r>
      <w:r>
        <w:rPr>
          <w:rFonts w:hint="default" w:ascii="Times New Roman" w:hAnsi="Times New Roman" w:eastAsia="宋体" w:cs="Times New Roman"/>
          <w:color w:val="auto"/>
          <w:sz w:val="24"/>
          <w:szCs w:val="24"/>
          <w:highlight w:val="none"/>
        </w:rPr>
        <w:t>中产生的CO</w:t>
      </w:r>
      <w:r>
        <w:rPr>
          <w:rFonts w:hint="default" w:ascii="Times New Roman" w:hAnsi="Times New Roman" w:eastAsia="宋体" w:cs="Times New Roman"/>
          <w:color w:val="auto"/>
          <w:sz w:val="24"/>
          <w:szCs w:val="24"/>
          <w:highlight w:val="none"/>
          <w:vertAlign w:val="subscript"/>
        </w:rPr>
        <w:t>2</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因此该部分回收利用量均为0。</w:t>
      </w:r>
    </w:p>
    <w:p w14:paraId="74FB204C">
      <w:pPr>
        <w:keepNext w:val="0"/>
        <w:keepLines w:val="0"/>
        <w:pageBreakBefore w:val="0"/>
        <w:widowControl w:val="0"/>
        <w:kinsoku/>
        <w:wordWrap/>
        <w:overflowPunct/>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bidi="ar"/>
        </w:rPr>
        <w:t>（7）</w:t>
      </w:r>
      <w:r>
        <w:rPr>
          <w:rFonts w:hint="default" w:ascii="Times New Roman" w:hAnsi="Times New Roman" w:eastAsia="宋体" w:cs="Times New Roman"/>
          <w:color w:val="auto"/>
          <w:sz w:val="24"/>
          <w:szCs w:val="24"/>
          <w:highlight w:val="none"/>
        </w:rPr>
        <w:t>净购入电力和热力隐含的CO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排放量</w:t>
      </w:r>
    </w:p>
    <w:p w14:paraId="25AD1EA9">
      <w:pPr>
        <w:keepNext w:val="0"/>
        <w:keepLines w:val="0"/>
        <w:pageBreakBefore w:val="0"/>
        <w:widowControl w:val="0"/>
        <w:kinsoku/>
        <w:wordWrap/>
        <w:overflowPunct/>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lang w:bidi="ar"/>
        </w:rPr>
      </w:pPr>
      <w:r>
        <w:rPr>
          <w:rFonts w:hint="default" w:ascii="Times New Roman" w:hAnsi="Times New Roman" w:eastAsia="宋体" w:cs="Times New Roman"/>
          <w:color w:val="auto"/>
          <w:sz w:val="24"/>
          <w:szCs w:val="24"/>
          <w:highlight w:val="none"/>
          <w:lang w:bidi="ar"/>
        </w:rPr>
        <w:t>该部分排放实际上发生在生产这些电力或热力的企业，但由报告主体的消费活动引起，依照约定也计入报告主体名下。</w:t>
      </w:r>
    </w:p>
    <w:p w14:paraId="6113FF14">
      <w:pPr>
        <w:keepNext w:val="0"/>
        <w:keepLines w:val="0"/>
        <w:pageBreakBefore w:val="0"/>
        <w:widowControl w:val="0"/>
        <w:kinsoku/>
        <w:wordWrap/>
        <w:overflowPunct/>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bidi="ar"/>
        </w:rPr>
        <w:t>拟建工程</w:t>
      </w:r>
      <w:r>
        <w:rPr>
          <w:rFonts w:hint="default" w:ascii="Times New Roman" w:hAnsi="Times New Roman" w:eastAsia="宋体" w:cs="Times New Roman"/>
          <w:color w:val="auto"/>
          <w:sz w:val="24"/>
          <w:szCs w:val="24"/>
          <w:highlight w:val="none"/>
        </w:rPr>
        <w:t>实施后，需消耗电量，不涉及蒸汽用量。</w:t>
      </w:r>
    </w:p>
    <w:p w14:paraId="4D7DE27B">
      <w:pPr>
        <w:pStyle w:val="55"/>
        <w:bidi w:val="0"/>
        <w:rPr>
          <w:rFonts w:hint="eastAsia"/>
          <w:color w:val="auto"/>
          <w:lang w:val="en-US" w:eastAsia="zh-CN"/>
        </w:rPr>
      </w:pPr>
      <w:r>
        <w:rPr>
          <w:rFonts w:hint="eastAsia"/>
          <w:color w:val="auto"/>
          <w:lang w:val="en-US" w:eastAsia="zh-CN"/>
        </w:rPr>
        <w:t>7.1.1.2温室气体产排节点</w:t>
      </w:r>
    </w:p>
    <w:p w14:paraId="2BBFE020">
      <w:pPr>
        <w:pStyle w:val="79"/>
        <w:bidi w:val="0"/>
        <w:rPr>
          <w:rFonts w:hint="eastAsia"/>
          <w:color w:val="auto"/>
        </w:rPr>
      </w:pPr>
      <w:r>
        <w:rPr>
          <w:rFonts w:hint="eastAsia"/>
          <w:color w:val="auto"/>
        </w:rPr>
        <w:t>拟建工程生产工艺流程中涉及</w:t>
      </w:r>
      <w:r>
        <w:rPr>
          <w:rFonts w:hint="eastAsia"/>
          <w:color w:val="auto"/>
          <w:lang w:val="en-US" w:eastAsia="zh-CN"/>
        </w:rPr>
        <w:t>温室气体</w:t>
      </w:r>
      <w:r>
        <w:rPr>
          <w:rFonts w:hint="eastAsia"/>
          <w:color w:val="auto"/>
        </w:rPr>
        <w:t>的产排节点表7.1-1所示。</w:t>
      </w:r>
    </w:p>
    <w:p w14:paraId="5DBB3254">
      <w:pPr>
        <w:pStyle w:val="61"/>
        <w:bidi w:val="0"/>
        <w:jc w:val="both"/>
        <w:rPr>
          <w:rFonts w:hint="eastAsia"/>
          <w:color w:val="auto"/>
        </w:rPr>
      </w:pPr>
    </w:p>
    <w:p w14:paraId="0B29D523">
      <w:pPr>
        <w:pStyle w:val="61"/>
        <w:bidi w:val="0"/>
        <w:jc w:val="both"/>
        <w:rPr>
          <w:rFonts w:hint="eastAsia"/>
          <w:color w:val="auto"/>
        </w:rPr>
      </w:pPr>
    </w:p>
    <w:p w14:paraId="444D872B">
      <w:pPr>
        <w:pStyle w:val="61"/>
        <w:bidi w:val="0"/>
        <w:jc w:val="both"/>
        <w:rPr>
          <w:rFonts w:hint="eastAsia"/>
          <w:color w:val="auto"/>
        </w:rPr>
      </w:pPr>
      <w:r>
        <w:rPr>
          <w:rFonts w:hint="eastAsia"/>
          <w:color w:val="auto"/>
        </w:rPr>
        <w:t xml:space="preserve">表7.1-1       </w:t>
      </w:r>
      <w:r>
        <w:rPr>
          <w:rFonts w:hint="eastAsia"/>
          <w:color w:val="auto"/>
          <w:lang w:val="en-US" w:eastAsia="zh-CN"/>
        </w:rPr>
        <w:t>温室气体</w:t>
      </w:r>
      <w:r>
        <w:rPr>
          <w:rFonts w:hint="eastAsia"/>
          <w:color w:val="auto"/>
        </w:rPr>
        <w:t>产排污节点汇总一览表</w:t>
      </w:r>
    </w:p>
    <w:tbl>
      <w:tblPr>
        <w:tblStyle w:val="36"/>
        <w:tblW w:w="499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943"/>
        <w:gridCol w:w="2210"/>
        <w:gridCol w:w="3174"/>
        <w:gridCol w:w="1534"/>
        <w:gridCol w:w="804"/>
      </w:tblGrid>
      <w:tr w14:paraId="1F5B47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8" w:hRule="atLeast"/>
          <w:jc w:val="center"/>
        </w:trPr>
        <w:tc>
          <w:tcPr>
            <w:tcW w:w="544" w:type="pct"/>
            <w:tcBorders>
              <w:tl2br w:val="nil"/>
              <w:tr2bl w:val="nil"/>
            </w:tcBorders>
            <w:noWrap w:val="0"/>
            <w:vAlign w:val="center"/>
          </w:tcPr>
          <w:p w14:paraId="61EBC873">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序号</w:t>
            </w:r>
          </w:p>
        </w:tc>
        <w:tc>
          <w:tcPr>
            <w:tcW w:w="1275" w:type="pct"/>
            <w:tcBorders>
              <w:tl2br w:val="nil"/>
              <w:tr2bl w:val="nil"/>
            </w:tcBorders>
            <w:noWrap w:val="0"/>
            <w:vAlign w:val="center"/>
          </w:tcPr>
          <w:p w14:paraId="4D2BD239">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类别</w:t>
            </w:r>
          </w:p>
        </w:tc>
        <w:tc>
          <w:tcPr>
            <w:tcW w:w="1831" w:type="pct"/>
            <w:tcBorders>
              <w:tl2br w:val="nil"/>
              <w:tr2bl w:val="nil"/>
            </w:tcBorders>
            <w:noWrap w:val="0"/>
            <w:vAlign w:val="center"/>
          </w:tcPr>
          <w:p w14:paraId="054698D3">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产污环节</w:t>
            </w:r>
          </w:p>
        </w:tc>
        <w:tc>
          <w:tcPr>
            <w:tcW w:w="885" w:type="pct"/>
            <w:tcBorders>
              <w:tl2br w:val="nil"/>
              <w:tr2bl w:val="nil"/>
            </w:tcBorders>
            <w:noWrap w:val="0"/>
            <w:vAlign w:val="center"/>
          </w:tcPr>
          <w:p w14:paraId="3F9BA0E3">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碳排放因子</w:t>
            </w:r>
          </w:p>
        </w:tc>
        <w:tc>
          <w:tcPr>
            <w:tcW w:w="463" w:type="pct"/>
            <w:tcBorders>
              <w:tl2br w:val="nil"/>
              <w:tr2bl w:val="nil"/>
            </w:tcBorders>
            <w:noWrap w:val="0"/>
            <w:vAlign w:val="center"/>
          </w:tcPr>
          <w:p w14:paraId="34B021DD">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排放形式</w:t>
            </w:r>
          </w:p>
        </w:tc>
      </w:tr>
      <w:tr w14:paraId="4256C8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544" w:type="pct"/>
            <w:tcBorders>
              <w:tl2br w:val="nil"/>
              <w:tr2bl w:val="nil"/>
            </w:tcBorders>
            <w:noWrap w:val="0"/>
            <w:vAlign w:val="center"/>
          </w:tcPr>
          <w:p w14:paraId="51F5F6DB">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1</w:t>
            </w:r>
          </w:p>
        </w:tc>
        <w:tc>
          <w:tcPr>
            <w:tcW w:w="1275" w:type="pct"/>
            <w:tcBorders>
              <w:tl2br w:val="nil"/>
              <w:tr2bl w:val="nil"/>
            </w:tcBorders>
            <w:shd w:val="clear" w:color="auto" w:fill="auto"/>
            <w:noWrap w:val="0"/>
            <w:vAlign w:val="center"/>
          </w:tcPr>
          <w:p w14:paraId="0EFCE50C">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rPr>
                <w:rFonts w:hint="default" w:ascii="Times New Roman" w:hAnsi="Times New Roman" w:eastAsia="宋体" w:cs="Times New Roman"/>
                <w:color w:val="auto"/>
                <w:spacing w:val="-10"/>
                <w:kern w:val="2"/>
                <w:sz w:val="21"/>
                <w:szCs w:val="21"/>
                <w:lang w:val="en-US" w:eastAsia="zh-CN" w:bidi="ar-SA"/>
              </w:rPr>
            </w:pPr>
            <w:r>
              <w:rPr>
                <w:rFonts w:hint="default" w:ascii="Times New Roman" w:hAnsi="Times New Roman" w:eastAsia="宋体" w:cs="Times New Roman"/>
                <w:color w:val="auto"/>
                <w:spacing w:val="-10"/>
                <w:sz w:val="21"/>
                <w:szCs w:val="21"/>
              </w:rPr>
              <w:t>燃料燃烧CO</w:t>
            </w:r>
            <w:r>
              <w:rPr>
                <w:rFonts w:hint="default" w:ascii="Times New Roman" w:hAnsi="Times New Roman" w:eastAsia="宋体" w:cs="Times New Roman"/>
                <w:color w:val="auto"/>
                <w:spacing w:val="-10"/>
                <w:sz w:val="21"/>
                <w:szCs w:val="21"/>
                <w:vertAlign w:val="subscript"/>
              </w:rPr>
              <w:t>2</w:t>
            </w:r>
            <w:r>
              <w:rPr>
                <w:rFonts w:hint="default" w:ascii="Times New Roman" w:hAnsi="Times New Roman" w:eastAsia="宋体" w:cs="Times New Roman"/>
                <w:color w:val="auto"/>
                <w:spacing w:val="-10"/>
                <w:sz w:val="21"/>
                <w:szCs w:val="21"/>
              </w:rPr>
              <w:t>排放</w:t>
            </w:r>
          </w:p>
        </w:tc>
        <w:tc>
          <w:tcPr>
            <w:tcW w:w="1831" w:type="pct"/>
            <w:tcBorders>
              <w:tl2br w:val="nil"/>
              <w:tr2bl w:val="nil"/>
            </w:tcBorders>
            <w:shd w:val="clear" w:color="auto" w:fill="auto"/>
            <w:noWrap w:val="0"/>
            <w:vAlign w:val="center"/>
          </w:tcPr>
          <w:p w14:paraId="2B345EEE">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rPr>
                <w:rFonts w:hint="default" w:ascii="Times New Roman" w:hAnsi="Times New Roman" w:eastAsia="宋体" w:cs="Times New Roman"/>
                <w:color w:val="auto"/>
                <w:spacing w:val="-10"/>
                <w:kern w:val="2"/>
                <w:sz w:val="21"/>
                <w:szCs w:val="21"/>
                <w:lang w:val="en-US" w:eastAsia="zh-CN" w:bidi="ar-SA"/>
              </w:rPr>
            </w:pPr>
            <w:r>
              <w:rPr>
                <w:rFonts w:hint="default" w:ascii="Times New Roman" w:hAnsi="Times New Roman" w:eastAsia="宋体" w:cs="Times New Roman"/>
                <w:color w:val="auto"/>
                <w:spacing w:val="-10"/>
                <w:sz w:val="21"/>
                <w:szCs w:val="21"/>
                <w:lang w:val="en-US" w:eastAsia="zh-CN"/>
              </w:rPr>
              <w:t>试采点</w:t>
            </w:r>
            <w:r>
              <w:rPr>
                <w:rFonts w:hint="default" w:ascii="Times New Roman" w:hAnsi="Times New Roman" w:eastAsia="宋体" w:cs="Times New Roman"/>
                <w:color w:val="auto"/>
                <w:spacing w:val="-10"/>
                <w:sz w:val="21"/>
                <w:szCs w:val="21"/>
              </w:rPr>
              <w:t>真空加热炉使用天然气作为燃料燃烧</w:t>
            </w:r>
          </w:p>
        </w:tc>
        <w:tc>
          <w:tcPr>
            <w:tcW w:w="885" w:type="pct"/>
            <w:tcBorders>
              <w:tl2br w:val="nil"/>
              <w:tr2bl w:val="nil"/>
            </w:tcBorders>
            <w:shd w:val="clear" w:color="auto" w:fill="auto"/>
            <w:noWrap w:val="0"/>
            <w:vAlign w:val="center"/>
          </w:tcPr>
          <w:p w14:paraId="0E472DA9">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rPr>
                <w:rFonts w:hint="default" w:ascii="Times New Roman" w:hAnsi="Times New Roman" w:eastAsia="宋体" w:cs="Times New Roman"/>
                <w:color w:val="auto"/>
                <w:spacing w:val="-10"/>
                <w:kern w:val="2"/>
                <w:sz w:val="21"/>
                <w:szCs w:val="21"/>
                <w:lang w:val="en-US" w:eastAsia="zh-CN" w:bidi="ar-SA"/>
              </w:rPr>
            </w:pPr>
            <w:r>
              <w:rPr>
                <w:rFonts w:hint="default" w:ascii="Times New Roman" w:hAnsi="Times New Roman" w:eastAsia="宋体" w:cs="Times New Roman"/>
                <w:color w:val="auto"/>
                <w:spacing w:val="-10"/>
                <w:sz w:val="21"/>
                <w:szCs w:val="21"/>
              </w:rPr>
              <w:t>CO</w:t>
            </w:r>
            <w:r>
              <w:rPr>
                <w:rFonts w:hint="default" w:ascii="Times New Roman" w:hAnsi="Times New Roman" w:eastAsia="宋体" w:cs="Times New Roman"/>
                <w:color w:val="auto"/>
                <w:spacing w:val="-10"/>
                <w:sz w:val="21"/>
                <w:szCs w:val="21"/>
                <w:vertAlign w:val="subscript"/>
              </w:rPr>
              <w:t>2</w:t>
            </w:r>
          </w:p>
        </w:tc>
        <w:tc>
          <w:tcPr>
            <w:tcW w:w="463" w:type="pct"/>
            <w:tcBorders>
              <w:tl2br w:val="nil"/>
              <w:tr2bl w:val="nil"/>
            </w:tcBorders>
            <w:shd w:val="clear" w:color="auto" w:fill="auto"/>
            <w:noWrap w:val="0"/>
            <w:vAlign w:val="center"/>
          </w:tcPr>
          <w:p w14:paraId="6AE1355C">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rPr>
                <w:rFonts w:hint="default" w:ascii="Times New Roman" w:hAnsi="Times New Roman" w:eastAsia="宋体" w:cs="Times New Roman"/>
                <w:color w:val="auto"/>
                <w:spacing w:val="-10"/>
                <w:kern w:val="2"/>
                <w:sz w:val="21"/>
                <w:szCs w:val="21"/>
                <w:lang w:val="en-US" w:eastAsia="zh-CN" w:bidi="ar-SA"/>
              </w:rPr>
            </w:pPr>
            <w:r>
              <w:rPr>
                <w:rFonts w:hint="default" w:ascii="Times New Roman" w:hAnsi="Times New Roman" w:eastAsia="宋体" w:cs="Times New Roman"/>
                <w:color w:val="auto"/>
                <w:spacing w:val="-10"/>
                <w:sz w:val="21"/>
                <w:szCs w:val="21"/>
              </w:rPr>
              <w:t>有组织</w:t>
            </w:r>
          </w:p>
        </w:tc>
      </w:tr>
      <w:tr w14:paraId="4AD62C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544" w:type="pct"/>
            <w:tcBorders>
              <w:tl2br w:val="nil"/>
              <w:tr2bl w:val="nil"/>
            </w:tcBorders>
            <w:noWrap w:val="0"/>
            <w:vAlign w:val="center"/>
          </w:tcPr>
          <w:p w14:paraId="2B66034F">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2</w:t>
            </w:r>
          </w:p>
        </w:tc>
        <w:tc>
          <w:tcPr>
            <w:tcW w:w="1275" w:type="pct"/>
            <w:tcBorders>
              <w:tl2br w:val="nil"/>
              <w:tr2bl w:val="nil"/>
            </w:tcBorders>
            <w:noWrap w:val="0"/>
            <w:vAlign w:val="center"/>
          </w:tcPr>
          <w:p w14:paraId="3295777E">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rPr>
                <w:rFonts w:hint="default" w:ascii="Times New Roman" w:hAnsi="Times New Roman" w:eastAsia="宋体" w:cs="Times New Roman"/>
                <w:color w:val="auto"/>
                <w:spacing w:val="-10"/>
                <w:sz w:val="21"/>
                <w:szCs w:val="21"/>
                <w:highlight w:val="none"/>
              </w:rPr>
            </w:pPr>
            <w:r>
              <w:rPr>
                <w:rFonts w:hint="eastAsia" w:cs="Times New Roman"/>
                <w:color w:val="auto"/>
                <w:spacing w:val="-10"/>
                <w:sz w:val="21"/>
                <w:szCs w:val="21"/>
                <w:highlight w:val="none"/>
                <w:lang w:val="en-US" w:eastAsia="zh-CN"/>
              </w:rPr>
              <w:t>放空系统</w:t>
            </w:r>
            <w:r>
              <w:rPr>
                <w:rFonts w:hint="default" w:ascii="Times New Roman" w:hAnsi="Times New Roman" w:eastAsia="宋体" w:cs="Times New Roman"/>
                <w:color w:val="auto"/>
                <w:spacing w:val="-10"/>
                <w:sz w:val="21"/>
                <w:szCs w:val="21"/>
                <w:highlight w:val="none"/>
              </w:rPr>
              <w:t>火炬燃烧排放</w:t>
            </w:r>
          </w:p>
        </w:tc>
        <w:tc>
          <w:tcPr>
            <w:tcW w:w="1831" w:type="pct"/>
            <w:tcBorders>
              <w:tl2br w:val="nil"/>
              <w:tr2bl w:val="nil"/>
            </w:tcBorders>
            <w:noWrap w:val="0"/>
            <w:vAlign w:val="center"/>
          </w:tcPr>
          <w:p w14:paraId="70CAB988">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在雄探1试采点新建地面自动点火装置一套</w:t>
            </w:r>
          </w:p>
        </w:tc>
        <w:tc>
          <w:tcPr>
            <w:tcW w:w="885" w:type="pct"/>
            <w:tcBorders>
              <w:tl2br w:val="nil"/>
              <w:tr2bl w:val="nil"/>
            </w:tcBorders>
            <w:noWrap w:val="0"/>
            <w:vAlign w:val="center"/>
          </w:tcPr>
          <w:p w14:paraId="0693C9D5">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CO</w:t>
            </w:r>
            <w:r>
              <w:rPr>
                <w:rFonts w:hint="default" w:ascii="Times New Roman" w:hAnsi="Times New Roman" w:eastAsia="宋体" w:cs="Times New Roman"/>
                <w:color w:val="auto"/>
                <w:spacing w:val="-10"/>
                <w:sz w:val="21"/>
                <w:szCs w:val="21"/>
                <w:highlight w:val="none"/>
                <w:vertAlign w:val="subscript"/>
              </w:rPr>
              <w:t>2</w:t>
            </w:r>
            <w:r>
              <w:rPr>
                <w:rFonts w:hint="default" w:ascii="Times New Roman" w:hAnsi="Times New Roman" w:eastAsia="宋体" w:cs="Times New Roman"/>
                <w:color w:val="auto"/>
                <w:spacing w:val="-10"/>
                <w:sz w:val="21"/>
                <w:szCs w:val="21"/>
                <w:highlight w:val="none"/>
              </w:rPr>
              <w:t>和CH</w:t>
            </w:r>
            <w:r>
              <w:rPr>
                <w:rFonts w:hint="default" w:ascii="Times New Roman" w:hAnsi="Times New Roman" w:eastAsia="宋体" w:cs="Times New Roman"/>
                <w:color w:val="auto"/>
                <w:spacing w:val="-10"/>
                <w:sz w:val="21"/>
                <w:szCs w:val="21"/>
                <w:highlight w:val="none"/>
                <w:vertAlign w:val="subscript"/>
              </w:rPr>
              <w:t>4</w:t>
            </w:r>
          </w:p>
        </w:tc>
        <w:tc>
          <w:tcPr>
            <w:tcW w:w="463" w:type="pct"/>
            <w:tcBorders>
              <w:tl2br w:val="nil"/>
              <w:tr2bl w:val="nil"/>
            </w:tcBorders>
            <w:noWrap w:val="0"/>
            <w:vAlign w:val="center"/>
          </w:tcPr>
          <w:p w14:paraId="66AD8A24">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有组织</w:t>
            </w:r>
          </w:p>
        </w:tc>
      </w:tr>
      <w:tr w14:paraId="16FB9F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544" w:type="pct"/>
            <w:tcBorders>
              <w:tl2br w:val="nil"/>
              <w:tr2bl w:val="nil"/>
            </w:tcBorders>
            <w:noWrap w:val="0"/>
            <w:vAlign w:val="center"/>
          </w:tcPr>
          <w:p w14:paraId="104825A4">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3</w:t>
            </w:r>
          </w:p>
        </w:tc>
        <w:tc>
          <w:tcPr>
            <w:tcW w:w="1275" w:type="pct"/>
            <w:tcBorders>
              <w:tl2br w:val="nil"/>
              <w:tr2bl w:val="nil"/>
            </w:tcBorders>
            <w:noWrap w:val="0"/>
            <w:vAlign w:val="center"/>
          </w:tcPr>
          <w:p w14:paraId="174BDAC9">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CH</w:t>
            </w:r>
            <w:r>
              <w:rPr>
                <w:rFonts w:hint="default" w:ascii="Times New Roman" w:hAnsi="Times New Roman" w:eastAsia="宋体" w:cs="Times New Roman"/>
                <w:color w:val="auto"/>
                <w:spacing w:val="-10"/>
                <w:sz w:val="21"/>
                <w:szCs w:val="21"/>
                <w:highlight w:val="none"/>
                <w:vertAlign w:val="subscript"/>
              </w:rPr>
              <w:t>4</w:t>
            </w:r>
            <w:r>
              <w:rPr>
                <w:rFonts w:hint="default" w:ascii="Times New Roman" w:hAnsi="Times New Roman" w:eastAsia="宋体" w:cs="Times New Roman"/>
                <w:color w:val="auto"/>
                <w:spacing w:val="-10"/>
                <w:sz w:val="21"/>
                <w:szCs w:val="21"/>
                <w:highlight w:val="none"/>
              </w:rPr>
              <w:t>逃逸排放</w:t>
            </w:r>
          </w:p>
        </w:tc>
        <w:tc>
          <w:tcPr>
            <w:tcW w:w="1831" w:type="pct"/>
            <w:tcBorders>
              <w:tl2br w:val="nil"/>
              <w:tr2bl w:val="nil"/>
            </w:tcBorders>
            <w:noWrap w:val="0"/>
            <w:vAlign w:val="center"/>
          </w:tcPr>
          <w:p w14:paraId="5A2EB970">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井场法兰、阀门等处逸散的废气</w:t>
            </w:r>
          </w:p>
        </w:tc>
        <w:tc>
          <w:tcPr>
            <w:tcW w:w="885" w:type="pct"/>
            <w:tcBorders>
              <w:tl2br w:val="nil"/>
              <w:tr2bl w:val="nil"/>
            </w:tcBorders>
            <w:noWrap w:val="0"/>
            <w:vAlign w:val="center"/>
          </w:tcPr>
          <w:p w14:paraId="395FCA22">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CH</w:t>
            </w:r>
            <w:r>
              <w:rPr>
                <w:rFonts w:hint="default" w:ascii="Times New Roman" w:hAnsi="Times New Roman" w:eastAsia="宋体" w:cs="Times New Roman"/>
                <w:color w:val="auto"/>
                <w:spacing w:val="-10"/>
                <w:sz w:val="21"/>
                <w:szCs w:val="21"/>
                <w:highlight w:val="none"/>
                <w:vertAlign w:val="subscript"/>
              </w:rPr>
              <w:t>4</w:t>
            </w:r>
          </w:p>
        </w:tc>
        <w:tc>
          <w:tcPr>
            <w:tcW w:w="463" w:type="pct"/>
            <w:tcBorders>
              <w:tl2br w:val="nil"/>
              <w:tr2bl w:val="nil"/>
            </w:tcBorders>
            <w:noWrap w:val="0"/>
            <w:vAlign w:val="center"/>
          </w:tcPr>
          <w:p w14:paraId="7D4E9E6A">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无组织</w:t>
            </w:r>
          </w:p>
        </w:tc>
      </w:tr>
      <w:tr w14:paraId="721028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77" w:hRule="atLeast"/>
          <w:jc w:val="center"/>
        </w:trPr>
        <w:tc>
          <w:tcPr>
            <w:tcW w:w="544" w:type="pct"/>
            <w:tcBorders>
              <w:tl2br w:val="nil"/>
              <w:tr2bl w:val="nil"/>
            </w:tcBorders>
            <w:noWrap w:val="0"/>
            <w:vAlign w:val="center"/>
          </w:tcPr>
          <w:p w14:paraId="5E4B84FF">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4</w:t>
            </w:r>
          </w:p>
        </w:tc>
        <w:tc>
          <w:tcPr>
            <w:tcW w:w="1275" w:type="pct"/>
            <w:tcBorders>
              <w:tl2br w:val="nil"/>
              <w:tr2bl w:val="nil"/>
            </w:tcBorders>
            <w:noWrap w:val="0"/>
            <w:vAlign w:val="center"/>
          </w:tcPr>
          <w:p w14:paraId="301C1F55">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净购入电力和热力隐含的CO</w:t>
            </w:r>
            <w:r>
              <w:rPr>
                <w:rFonts w:hint="default" w:ascii="Times New Roman" w:hAnsi="Times New Roman" w:eastAsia="宋体" w:cs="Times New Roman"/>
                <w:color w:val="auto"/>
                <w:spacing w:val="-10"/>
                <w:sz w:val="21"/>
                <w:szCs w:val="21"/>
                <w:highlight w:val="none"/>
                <w:vertAlign w:val="subscript"/>
              </w:rPr>
              <w:t>2</w:t>
            </w:r>
            <w:r>
              <w:rPr>
                <w:rFonts w:hint="default" w:ascii="Times New Roman" w:hAnsi="Times New Roman" w:eastAsia="宋体" w:cs="Times New Roman"/>
                <w:color w:val="auto"/>
                <w:spacing w:val="-10"/>
                <w:sz w:val="21"/>
                <w:szCs w:val="21"/>
                <w:highlight w:val="none"/>
              </w:rPr>
              <w:t>排放量</w:t>
            </w:r>
          </w:p>
        </w:tc>
        <w:tc>
          <w:tcPr>
            <w:tcW w:w="1831" w:type="pct"/>
            <w:tcBorders>
              <w:tl2br w:val="nil"/>
              <w:tr2bl w:val="nil"/>
            </w:tcBorders>
            <w:noWrap w:val="0"/>
            <w:vAlign w:val="center"/>
          </w:tcPr>
          <w:p w14:paraId="773772EE">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电力隐含排放</w:t>
            </w:r>
          </w:p>
        </w:tc>
        <w:tc>
          <w:tcPr>
            <w:tcW w:w="885" w:type="pct"/>
            <w:tcBorders>
              <w:tl2br w:val="nil"/>
              <w:tr2bl w:val="nil"/>
            </w:tcBorders>
            <w:noWrap w:val="0"/>
            <w:vAlign w:val="center"/>
          </w:tcPr>
          <w:p w14:paraId="54FC4625">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CO</w:t>
            </w:r>
            <w:r>
              <w:rPr>
                <w:rFonts w:hint="default" w:ascii="Times New Roman" w:hAnsi="Times New Roman" w:eastAsia="宋体" w:cs="Times New Roman"/>
                <w:color w:val="auto"/>
                <w:spacing w:val="-10"/>
                <w:sz w:val="21"/>
                <w:szCs w:val="21"/>
                <w:highlight w:val="none"/>
                <w:vertAlign w:val="subscript"/>
              </w:rPr>
              <w:t>2</w:t>
            </w:r>
          </w:p>
        </w:tc>
        <w:tc>
          <w:tcPr>
            <w:tcW w:w="463" w:type="pct"/>
            <w:tcBorders>
              <w:tl2br w:val="nil"/>
              <w:tr2bl w:val="nil"/>
            </w:tcBorders>
            <w:noWrap w:val="0"/>
            <w:vAlign w:val="center"/>
          </w:tcPr>
          <w:p w14:paraId="51D80E20">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w:t>
            </w:r>
          </w:p>
        </w:tc>
      </w:tr>
    </w:tbl>
    <w:p w14:paraId="0E88781D">
      <w:pPr>
        <w:pStyle w:val="54"/>
        <w:bidi w:val="0"/>
        <w:rPr>
          <w:rFonts w:hint="eastAsia"/>
          <w:color w:val="auto"/>
          <w:lang w:val="en-US" w:eastAsia="zh-CN"/>
        </w:rPr>
      </w:pPr>
      <w:r>
        <w:rPr>
          <w:color w:val="auto"/>
          <w:lang w:val="en-US" w:eastAsia="zh-CN"/>
        </w:rPr>
        <w:fldChar w:fldCharType="begin"/>
      </w:r>
      <w:r>
        <w:rPr>
          <w:color w:val="auto"/>
          <w:lang w:val="en-US" w:eastAsia="zh-CN"/>
        </w:rPr>
        <w:instrText xml:space="preserve"> HYPERLINK \l _Toc23469 </w:instrText>
      </w:r>
      <w:r>
        <w:rPr>
          <w:color w:val="auto"/>
          <w:lang w:val="en-US" w:eastAsia="zh-CN"/>
        </w:rPr>
        <w:fldChar w:fldCharType="separate"/>
      </w:r>
      <w:r>
        <w:rPr>
          <w:rFonts w:hint="eastAsia"/>
          <w:color w:val="auto"/>
          <w:lang w:val="en-US" w:eastAsia="zh-CN"/>
        </w:rPr>
        <w:t>7.1.2 温室气体排</w:t>
      </w:r>
      <w:r>
        <w:rPr>
          <w:rFonts w:hint="eastAsia"/>
          <w:color w:val="auto"/>
        </w:rPr>
        <w:t>放量</w:t>
      </w:r>
      <w:r>
        <w:rPr>
          <w:rFonts w:hint="eastAsia"/>
          <w:color w:val="auto"/>
          <w:lang w:val="en-US" w:eastAsia="zh-CN"/>
        </w:rPr>
        <w:t>核算</w:t>
      </w:r>
      <w:r>
        <w:rPr>
          <w:rFonts w:hint="eastAsia"/>
          <w:color w:val="auto"/>
          <w:lang w:val="en-US" w:eastAsia="zh-CN"/>
        </w:rPr>
        <w:fldChar w:fldCharType="end"/>
      </w:r>
    </w:p>
    <w:p w14:paraId="7FB57898">
      <w:pPr>
        <w:pStyle w:val="55"/>
        <w:bidi w:val="0"/>
        <w:rPr>
          <w:rFonts w:hint="eastAsia"/>
          <w:color w:val="auto"/>
          <w:lang w:val="en-US" w:eastAsia="zh-CN"/>
        </w:rPr>
      </w:pPr>
      <w:r>
        <w:rPr>
          <w:rFonts w:hint="eastAsia"/>
          <w:color w:val="auto"/>
          <w:lang w:val="en-US" w:eastAsia="zh-CN"/>
        </w:rPr>
        <w:t>7.1.2.1 碳排放核算边界</w:t>
      </w:r>
    </w:p>
    <w:p w14:paraId="33DDD981">
      <w:pPr>
        <w:pStyle w:val="79"/>
        <w:bidi w:val="0"/>
        <w:rPr>
          <w:rFonts w:hint="default"/>
          <w:color w:val="auto"/>
        </w:rPr>
      </w:pPr>
      <w:r>
        <w:rPr>
          <w:rFonts w:hint="default"/>
          <w:color w:val="auto"/>
        </w:rPr>
        <w:t>拟建工程碳排放核算边界及核算内容见表7.1-2所示。</w:t>
      </w:r>
    </w:p>
    <w:p w14:paraId="74A4E89A">
      <w:pPr>
        <w:pStyle w:val="61"/>
        <w:bidi w:val="0"/>
        <w:jc w:val="both"/>
        <w:rPr>
          <w:rFonts w:hint="eastAsia"/>
          <w:color w:val="auto"/>
        </w:rPr>
      </w:pPr>
      <w:r>
        <w:rPr>
          <w:rFonts w:hint="eastAsia"/>
          <w:color w:val="auto"/>
        </w:rPr>
        <w:t>表7.1-2          核算边界及核算内容一览表</w:t>
      </w:r>
    </w:p>
    <w:tbl>
      <w:tblPr>
        <w:tblStyle w:val="36"/>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812"/>
        <w:gridCol w:w="2001"/>
        <w:gridCol w:w="5858"/>
      </w:tblGrid>
      <w:tr w14:paraId="7D8B88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68" w:type="pct"/>
            <w:tcBorders>
              <w:tl2br w:val="nil"/>
              <w:tr2bl w:val="nil"/>
            </w:tcBorders>
            <w:noWrap w:val="0"/>
            <w:vAlign w:val="center"/>
          </w:tcPr>
          <w:p w14:paraId="09230AA2">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序号</w:t>
            </w:r>
          </w:p>
        </w:tc>
        <w:tc>
          <w:tcPr>
            <w:tcW w:w="1154" w:type="pct"/>
            <w:tcBorders>
              <w:tl2br w:val="nil"/>
              <w:tr2bl w:val="nil"/>
            </w:tcBorders>
            <w:noWrap w:val="0"/>
            <w:vAlign w:val="center"/>
          </w:tcPr>
          <w:p w14:paraId="599F0B22">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核算主体/核算边界</w:t>
            </w:r>
          </w:p>
        </w:tc>
        <w:tc>
          <w:tcPr>
            <w:tcW w:w="3378" w:type="pct"/>
            <w:tcBorders>
              <w:tl2br w:val="nil"/>
              <w:tr2bl w:val="nil"/>
            </w:tcBorders>
            <w:noWrap w:val="0"/>
            <w:vAlign w:val="center"/>
          </w:tcPr>
          <w:p w14:paraId="336D569E">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碳排放核算内容</w:t>
            </w:r>
          </w:p>
        </w:tc>
      </w:tr>
      <w:tr w14:paraId="499199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68" w:type="pct"/>
            <w:tcBorders>
              <w:tl2br w:val="nil"/>
              <w:tr2bl w:val="nil"/>
            </w:tcBorders>
            <w:noWrap w:val="0"/>
            <w:vAlign w:val="center"/>
          </w:tcPr>
          <w:p w14:paraId="5AF8FDB3">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1</w:t>
            </w:r>
          </w:p>
        </w:tc>
        <w:tc>
          <w:tcPr>
            <w:tcW w:w="1154" w:type="pct"/>
            <w:tcBorders>
              <w:tl2br w:val="nil"/>
              <w:tr2bl w:val="nil"/>
            </w:tcBorders>
            <w:noWrap w:val="0"/>
            <w:vAlign w:val="center"/>
          </w:tcPr>
          <w:p w14:paraId="55B38099">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塔里木油田雄英油田雄英1区块寒武系下丘里塔格组试采项目</w:t>
            </w:r>
          </w:p>
        </w:tc>
        <w:tc>
          <w:tcPr>
            <w:tcW w:w="3378" w:type="pct"/>
            <w:tcBorders>
              <w:tl2br w:val="nil"/>
              <w:tr2bl w:val="nil"/>
            </w:tcBorders>
            <w:noWrap w:val="0"/>
            <w:vAlign w:val="center"/>
          </w:tcPr>
          <w:p w14:paraId="7941CD74">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包括油气勘探、油气开采、油气处理及油气储运各个业务环节的基本生产系统、辅助生产系统，以及直接为生产服务的附属生产系统。排放量核算内容包括：</w:t>
            </w:r>
          </w:p>
          <w:p w14:paraId="212E161D">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①燃料燃烧CO</w:t>
            </w:r>
            <w:r>
              <w:rPr>
                <w:rFonts w:hint="default" w:ascii="Times New Roman" w:hAnsi="Times New Roman" w:eastAsia="宋体" w:cs="Times New Roman"/>
                <w:color w:val="auto"/>
                <w:spacing w:val="-10"/>
                <w:sz w:val="21"/>
                <w:szCs w:val="21"/>
                <w:highlight w:val="none"/>
                <w:vertAlign w:val="subscript"/>
              </w:rPr>
              <w:t>2</w:t>
            </w:r>
            <w:r>
              <w:rPr>
                <w:rFonts w:hint="default" w:ascii="Times New Roman" w:hAnsi="Times New Roman" w:eastAsia="宋体" w:cs="Times New Roman"/>
                <w:color w:val="auto"/>
                <w:spacing w:val="-10"/>
                <w:sz w:val="21"/>
                <w:szCs w:val="21"/>
                <w:highlight w:val="none"/>
              </w:rPr>
              <w:t>排放</w:t>
            </w:r>
          </w:p>
          <w:p w14:paraId="3389F41F">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②</w:t>
            </w:r>
            <w:r>
              <w:rPr>
                <w:rFonts w:hint="eastAsia" w:cs="Times New Roman"/>
                <w:color w:val="auto"/>
                <w:spacing w:val="-10"/>
                <w:sz w:val="21"/>
                <w:szCs w:val="21"/>
                <w:highlight w:val="none"/>
                <w:lang w:val="en-US" w:eastAsia="zh-CN"/>
              </w:rPr>
              <w:t>放空系统</w:t>
            </w:r>
            <w:r>
              <w:rPr>
                <w:rFonts w:hint="default" w:ascii="Times New Roman" w:hAnsi="Times New Roman" w:eastAsia="宋体" w:cs="Times New Roman"/>
                <w:color w:val="auto"/>
                <w:spacing w:val="-10"/>
                <w:sz w:val="21"/>
                <w:szCs w:val="21"/>
                <w:highlight w:val="none"/>
              </w:rPr>
              <w:t>火炬燃烧排放</w:t>
            </w:r>
          </w:p>
          <w:p w14:paraId="1FFB02D0">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③CH</w:t>
            </w:r>
            <w:r>
              <w:rPr>
                <w:rFonts w:hint="default" w:ascii="Times New Roman" w:hAnsi="Times New Roman" w:eastAsia="宋体" w:cs="Times New Roman"/>
                <w:color w:val="auto"/>
                <w:spacing w:val="-10"/>
                <w:sz w:val="21"/>
                <w:szCs w:val="21"/>
                <w:highlight w:val="none"/>
                <w:vertAlign w:val="subscript"/>
              </w:rPr>
              <w:t>4</w:t>
            </w:r>
            <w:r>
              <w:rPr>
                <w:rFonts w:hint="default" w:ascii="Times New Roman" w:hAnsi="Times New Roman" w:eastAsia="宋体" w:cs="Times New Roman"/>
                <w:color w:val="auto"/>
                <w:spacing w:val="-10"/>
                <w:sz w:val="21"/>
                <w:szCs w:val="21"/>
                <w:highlight w:val="none"/>
              </w:rPr>
              <w:t>逃逸排放</w:t>
            </w:r>
          </w:p>
          <w:p w14:paraId="1FF7D12F">
            <w:pPr>
              <w:keepNext w:val="0"/>
              <w:keepLines w:val="0"/>
              <w:pageBreakBefore w:val="0"/>
              <w:widowControl w:val="0"/>
              <w:kinsoku/>
              <w:wordWrap/>
              <w:overflowPunct/>
              <w:topLinePunct w:val="0"/>
              <w:autoSpaceDE/>
              <w:autoSpaceDN/>
              <w:bidi w:val="0"/>
              <w:adjustRightInd w:val="0"/>
              <w:snapToGrid w:val="0"/>
              <w:spacing w:line="0" w:lineRule="atLeast"/>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④净购入电力和热力隐含的CO</w:t>
            </w:r>
            <w:r>
              <w:rPr>
                <w:rFonts w:hint="default" w:ascii="Times New Roman" w:hAnsi="Times New Roman" w:eastAsia="宋体" w:cs="Times New Roman"/>
                <w:color w:val="auto"/>
                <w:spacing w:val="-10"/>
                <w:sz w:val="21"/>
                <w:szCs w:val="21"/>
                <w:highlight w:val="none"/>
                <w:vertAlign w:val="subscript"/>
              </w:rPr>
              <w:t>2</w:t>
            </w:r>
            <w:r>
              <w:rPr>
                <w:rFonts w:hint="default" w:ascii="Times New Roman" w:hAnsi="Times New Roman" w:eastAsia="宋体" w:cs="Times New Roman"/>
                <w:color w:val="auto"/>
                <w:spacing w:val="-10"/>
                <w:sz w:val="21"/>
                <w:szCs w:val="21"/>
                <w:highlight w:val="none"/>
              </w:rPr>
              <w:t>排放量</w:t>
            </w:r>
          </w:p>
        </w:tc>
      </w:tr>
    </w:tbl>
    <w:p w14:paraId="7AE535CE">
      <w:pPr>
        <w:pStyle w:val="55"/>
        <w:bidi w:val="0"/>
        <w:rPr>
          <w:rFonts w:hint="eastAsia" w:ascii="Times New Roman" w:hAnsi="Times New Roman" w:eastAsia="宋体" w:cs="Times New Roman"/>
          <w:b/>
          <w:color w:val="auto"/>
          <w:kern w:val="2"/>
          <w:szCs w:val="24"/>
          <w:highlight w:val="none"/>
          <w:lang w:val="en-US" w:eastAsia="zh-CN" w:bidi="ar-SA"/>
        </w:rPr>
      </w:pPr>
      <w:r>
        <w:rPr>
          <w:rFonts w:hint="eastAsia"/>
          <w:color w:val="auto"/>
          <w:lang w:val="en-US" w:eastAsia="zh-CN"/>
        </w:rPr>
        <w:t>7.1.2.2 碳排放量核算过程</w:t>
      </w:r>
    </w:p>
    <w:p w14:paraId="49ECE620">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拟建工程涉及燃料燃烧CO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排放</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放空系统</w:t>
      </w:r>
      <w:r>
        <w:rPr>
          <w:rFonts w:hint="default" w:ascii="Times New Roman" w:hAnsi="Times New Roman" w:eastAsia="宋体" w:cs="Times New Roman"/>
          <w:color w:val="auto"/>
          <w:sz w:val="24"/>
          <w:szCs w:val="24"/>
          <w:highlight w:val="none"/>
        </w:rPr>
        <w:t>火炬燃烧排放、CH</w:t>
      </w:r>
      <w:r>
        <w:rPr>
          <w:rFonts w:hint="default" w:ascii="Times New Roman" w:hAnsi="Times New Roman" w:eastAsia="宋体" w:cs="Times New Roman"/>
          <w:color w:val="auto"/>
          <w:sz w:val="24"/>
          <w:szCs w:val="24"/>
          <w:highlight w:val="none"/>
          <w:vertAlign w:val="subscript"/>
        </w:rPr>
        <w:t>4</w:t>
      </w:r>
      <w:r>
        <w:rPr>
          <w:rFonts w:hint="default" w:ascii="Times New Roman" w:hAnsi="Times New Roman" w:eastAsia="宋体" w:cs="Times New Roman"/>
          <w:color w:val="auto"/>
          <w:sz w:val="24"/>
          <w:szCs w:val="24"/>
          <w:highlight w:val="none"/>
        </w:rPr>
        <w:t>逃逸排放、净购入电力和热力隐含的CO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排放量。具体核算过程如下：</w:t>
      </w:r>
    </w:p>
    <w:p w14:paraId="00E7F85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rPr>
        <w:t>燃料燃烧CO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排放</w:t>
      </w:r>
    </w:p>
    <w:p w14:paraId="0E9B1296">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anchor distT="0" distB="0" distL="114300" distR="114300" simplePos="0" relativeHeight="251703296" behindDoc="1" locked="0" layoutInCell="1" allowOverlap="1">
            <wp:simplePos x="0" y="0"/>
            <wp:positionH relativeFrom="column">
              <wp:posOffset>952500</wp:posOffset>
            </wp:positionH>
            <wp:positionV relativeFrom="paragraph">
              <wp:posOffset>791845</wp:posOffset>
            </wp:positionV>
            <wp:extent cx="3162935" cy="483235"/>
            <wp:effectExtent l="0" t="0" r="18415" b="12065"/>
            <wp:wrapNone/>
            <wp:docPr id="134" name="图片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2260"/>
                    <pic:cNvPicPr>
                      <a:picLocks noChangeAspect="1"/>
                    </pic:cNvPicPr>
                  </pic:nvPicPr>
                  <pic:blipFill>
                    <a:blip r:embed="rId59"/>
                    <a:stretch>
                      <a:fillRect/>
                    </a:stretch>
                  </pic:blipFill>
                  <pic:spPr>
                    <a:xfrm>
                      <a:off x="0" y="0"/>
                      <a:ext cx="3162935" cy="483235"/>
                    </a:xfrm>
                    <a:prstGeom prst="rect">
                      <a:avLst/>
                    </a:prstGeom>
                    <a:noFill/>
                    <a:ln>
                      <a:noFill/>
                    </a:ln>
                  </pic:spPr>
                </pic:pic>
              </a:graphicData>
            </a:graphic>
          </wp:anchor>
        </w:drawing>
      </w:r>
      <w:r>
        <w:rPr>
          <w:rFonts w:hint="default" w:ascii="Times New Roman" w:hAnsi="Times New Roman" w:eastAsia="宋体" w:cs="Times New Roman"/>
          <w:color w:val="auto"/>
          <w:sz w:val="24"/>
          <w:szCs w:val="24"/>
        </w:rPr>
        <w:t>企业的化石燃料燃烧CO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排放量基于企业边界内各个燃烧设施分品种的化石燃料燃烧量，乘以相应的燃料含碳量和碳氧化率，再逐层累加汇总得到。计算公式如下：</w:t>
      </w:r>
    </w:p>
    <w:p w14:paraId="0A4E22EA">
      <w:pPr>
        <w:keepNext w:val="0"/>
        <w:keepLines w:val="0"/>
        <w:pageBreakBefore w:val="0"/>
        <w:kinsoku/>
        <w:wordWrap/>
        <w:overflowPunct/>
        <w:topLinePunct w:val="0"/>
        <w:autoSpaceDE/>
        <w:autoSpaceDN/>
        <w:bidi w:val="0"/>
        <w:spacing w:line="480" w:lineRule="exact"/>
        <w:ind w:firstLine="420" w:firstLineChars="200"/>
        <w:textAlignment w:val="auto"/>
        <w:rPr>
          <w:rFonts w:hint="eastAsia"/>
          <w:color w:val="auto"/>
        </w:rPr>
      </w:pPr>
    </w:p>
    <w:p w14:paraId="5F5EE94B">
      <w:pPr>
        <w:keepNext w:val="0"/>
        <w:keepLines w:val="0"/>
        <w:pageBreakBefore w:val="0"/>
        <w:kinsoku/>
        <w:wordWrap/>
        <w:overflowPunct/>
        <w:topLinePunct w:val="0"/>
        <w:autoSpaceDE/>
        <w:autoSpaceDN/>
        <w:bidi w:val="0"/>
        <w:spacing w:line="480" w:lineRule="exact"/>
        <w:ind w:firstLine="420" w:firstLineChars="200"/>
        <w:textAlignment w:val="auto"/>
        <w:rPr>
          <w:rFonts w:hint="eastAsia"/>
          <w:color w:val="auto"/>
        </w:rPr>
      </w:pPr>
    </w:p>
    <w:p w14:paraId="7C3E085F">
      <w:pPr>
        <w:keepNext w:val="0"/>
        <w:keepLines w:val="0"/>
        <w:pageBreakBefore w:val="0"/>
        <w:widowControl w:val="0"/>
        <w:kinsoku/>
        <w:wordWrap/>
        <w:overflowPunct/>
        <w:topLinePunct w:val="0"/>
        <w:autoSpaceDE/>
        <w:autoSpaceDN/>
        <w:bidi w:val="0"/>
        <w:adjustRightInd w:val="0"/>
        <w:snapToGrid w:val="0"/>
        <w:spacing w:line="480" w:lineRule="exact"/>
        <w:ind w:left="420" w:leftChars="200"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ECO</w:t>
      </w:r>
      <w:r>
        <w:rPr>
          <w:rFonts w:hint="default" w:ascii="Times New Roman" w:hAnsi="Times New Roman" w:eastAsia="宋体" w:cs="Times New Roman"/>
          <w:color w:val="auto"/>
          <w:kern w:val="0"/>
          <w:sz w:val="24"/>
          <w:szCs w:val="24"/>
          <w:vertAlign w:val="subscript"/>
        </w:rPr>
        <w:t>2_燃烧</w:t>
      </w:r>
      <w:r>
        <w:rPr>
          <w:rFonts w:hint="default" w:ascii="Times New Roman" w:hAnsi="Times New Roman" w:eastAsia="宋体" w:cs="Times New Roman"/>
          <w:color w:val="auto"/>
          <w:kern w:val="0"/>
          <w:sz w:val="24"/>
          <w:szCs w:val="24"/>
        </w:rPr>
        <w:t>为企业的化石燃料燃烧CO</w:t>
      </w:r>
      <w:r>
        <w:rPr>
          <w:rFonts w:hint="default" w:ascii="Times New Roman" w:hAnsi="Times New Roman" w:eastAsia="宋体" w:cs="Times New Roman"/>
          <w:color w:val="auto"/>
          <w:kern w:val="0"/>
          <w:sz w:val="24"/>
          <w:szCs w:val="24"/>
          <w:vertAlign w:val="subscript"/>
        </w:rPr>
        <w:t>2</w:t>
      </w:r>
      <w:r>
        <w:rPr>
          <w:rFonts w:hint="default" w:ascii="Times New Roman" w:hAnsi="Times New Roman" w:eastAsia="宋体" w:cs="Times New Roman"/>
          <w:color w:val="auto"/>
          <w:kern w:val="0"/>
          <w:sz w:val="24"/>
          <w:szCs w:val="24"/>
        </w:rPr>
        <w:t>排放量，单位为吨CO</w:t>
      </w:r>
      <w:r>
        <w:rPr>
          <w:rFonts w:hint="default" w:ascii="Times New Roman" w:hAnsi="Times New Roman" w:eastAsia="宋体" w:cs="Times New Roman"/>
          <w:color w:val="auto"/>
          <w:kern w:val="0"/>
          <w:sz w:val="24"/>
          <w:szCs w:val="24"/>
          <w:vertAlign w:val="subscript"/>
        </w:rPr>
        <w:t>2</w:t>
      </w:r>
      <w:r>
        <w:rPr>
          <w:rFonts w:hint="default" w:ascii="Times New Roman" w:hAnsi="Times New Roman" w:eastAsia="宋体" w:cs="Times New Roman"/>
          <w:color w:val="auto"/>
          <w:kern w:val="0"/>
          <w:sz w:val="24"/>
          <w:szCs w:val="24"/>
        </w:rPr>
        <w:t>；</w:t>
      </w:r>
    </w:p>
    <w:p w14:paraId="0691A568">
      <w:pPr>
        <w:keepNext w:val="0"/>
        <w:keepLines w:val="0"/>
        <w:pageBreakBefore w:val="0"/>
        <w:widowControl w:val="0"/>
        <w:kinsoku/>
        <w:wordWrap/>
        <w:overflowPunct/>
        <w:topLinePunct w:val="0"/>
        <w:autoSpaceDE/>
        <w:autoSpaceDN/>
        <w:bidi w:val="0"/>
        <w:adjustRightInd w:val="0"/>
        <w:snapToGrid w:val="0"/>
        <w:spacing w:line="480" w:lineRule="exact"/>
        <w:ind w:left="420" w:leftChars="200"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i为化石燃料的种类；</w:t>
      </w:r>
    </w:p>
    <w:p w14:paraId="2A475FFB">
      <w:pPr>
        <w:keepNext w:val="0"/>
        <w:keepLines w:val="0"/>
        <w:pageBreakBefore w:val="0"/>
        <w:widowControl w:val="0"/>
        <w:kinsoku/>
        <w:wordWrap/>
        <w:overflowPunct/>
        <w:topLinePunct w:val="0"/>
        <w:autoSpaceDE/>
        <w:autoSpaceDN/>
        <w:bidi w:val="0"/>
        <w:adjustRightInd w:val="0"/>
        <w:snapToGrid w:val="0"/>
        <w:spacing w:line="480" w:lineRule="exact"/>
        <w:ind w:left="420" w:leftChars="200"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j为燃烧设施序号；</w:t>
      </w:r>
    </w:p>
    <w:p w14:paraId="13BA1681">
      <w:pPr>
        <w:keepNext w:val="0"/>
        <w:keepLines w:val="0"/>
        <w:pageBreakBefore w:val="0"/>
        <w:widowControl w:val="0"/>
        <w:kinsoku/>
        <w:wordWrap/>
        <w:overflowPunct/>
        <w:topLinePunct w:val="0"/>
        <w:autoSpaceDE/>
        <w:autoSpaceDN/>
        <w:bidi w:val="0"/>
        <w:adjustRightInd w:val="0"/>
        <w:snapToGrid w:val="0"/>
        <w:spacing w:line="480" w:lineRule="exact"/>
        <w:ind w:left="420" w:leftChars="200"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AD</w:t>
      </w:r>
      <w:r>
        <w:rPr>
          <w:rFonts w:hint="default" w:ascii="Times New Roman" w:hAnsi="Times New Roman" w:eastAsia="宋体" w:cs="Times New Roman"/>
          <w:color w:val="auto"/>
          <w:kern w:val="0"/>
          <w:sz w:val="24"/>
          <w:szCs w:val="24"/>
          <w:vertAlign w:val="subscript"/>
        </w:rPr>
        <w:t>i,j</w:t>
      </w:r>
      <w:r>
        <w:rPr>
          <w:rFonts w:hint="default" w:ascii="Times New Roman" w:hAnsi="Times New Roman" w:eastAsia="宋体" w:cs="Times New Roman"/>
          <w:color w:val="auto"/>
          <w:kern w:val="0"/>
          <w:sz w:val="24"/>
          <w:szCs w:val="24"/>
        </w:rPr>
        <w:t>为燃烧设施j内燃烧的化石燃料品种i消费量，对固体或液体燃料以吨为单位，对其他气体燃料以气体燃料标准状况下的体积</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万Nm</w:t>
      </w:r>
      <w:r>
        <w:rPr>
          <w:rFonts w:hint="default" w:ascii="Times New Roman" w:hAnsi="Times New Roman" w:eastAsia="宋体" w:cs="Times New Roman"/>
          <w:color w:val="auto"/>
          <w:kern w:val="0"/>
          <w:sz w:val="24"/>
          <w:szCs w:val="24"/>
          <w:vertAlign w:val="superscript"/>
        </w:rPr>
        <w:t>3</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为单位，非标准状况下的体积需转化成标况下进行计算；</w:t>
      </w:r>
    </w:p>
    <w:p w14:paraId="3EA586B4">
      <w:pPr>
        <w:keepNext w:val="0"/>
        <w:keepLines w:val="0"/>
        <w:pageBreakBefore w:val="0"/>
        <w:widowControl w:val="0"/>
        <w:kinsoku/>
        <w:wordWrap/>
        <w:overflowPunct/>
        <w:topLinePunct w:val="0"/>
        <w:autoSpaceDE/>
        <w:autoSpaceDN/>
        <w:bidi w:val="0"/>
        <w:adjustRightInd w:val="0"/>
        <w:snapToGrid w:val="0"/>
        <w:spacing w:line="480" w:lineRule="exact"/>
        <w:ind w:left="420" w:leftChars="200"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CC</w:t>
      </w:r>
      <w:r>
        <w:rPr>
          <w:rFonts w:hint="default" w:ascii="Times New Roman" w:hAnsi="Times New Roman" w:eastAsia="宋体" w:cs="Times New Roman"/>
          <w:color w:val="auto"/>
          <w:kern w:val="0"/>
          <w:sz w:val="24"/>
          <w:szCs w:val="24"/>
          <w:vertAlign w:val="subscript"/>
        </w:rPr>
        <w:t>i,j</w:t>
      </w:r>
      <w:r>
        <w:rPr>
          <w:rFonts w:hint="default" w:ascii="Times New Roman" w:hAnsi="Times New Roman" w:eastAsia="宋体" w:cs="Times New Roman"/>
          <w:color w:val="auto"/>
          <w:kern w:val="0"/>
          <w:sz w:val="24"/>
          <w:szCs w:val="24"/>
        </w:rPr>
        <w:t>为设施j内燃烧的化石燃料i的含碳量，对固体和液体燃料以吨碳/吨燃料为单位，对气体燃料以吨碳/万Nm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为单位；</w:t>
      </w:r>
    </w:p>
    <w:p w14:paraId="4BF9CCE0">
      <w:pPr>
        <w:keepNext w:val="0"/>
        <w:keepLines w:val="0"/>
        <w:pageBreakBefore w:val="0"/>
        <w:widowControl w:val="0"/>
        <w:kinsoku/>
        <w:wordWrap/>
        <w:overflowPunct/>
        <w:topLinePunct w:val="0"/>
        <w:autoSpaceDE/>
        <w:autoSpaceDN/>
        <w:bidi w:val="0"/>
        <w:adjustRightInd w:val="0"/>
        <w:snapToGrid w:val="0"/>
        <w:spacing w:line="480" w:lineRule="exact"/>
        <w:ind w:left="420" w:leftChars="200"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OF</w:t>
      </w:r>
      <w:r>
        <w:rPr>
          <w:rFonts w:hint="default" w:ascii="Times New Roman" w:hAnsi="Times New Roman" w:eastAsia="宋体" w:cs="Times New Roman"/>
          <w:color w:val="auto"/>
          <w:kern w:val="0"/>
          <w:sz w:val="24"/>
          <w:szCs w:val="24"/>
          <w:vertAlign w:val="subscript"/>
        </w:rPr>
        <w:t>i,j</w:t>
      </w:r>
      <w:r>
        <w:rPr>
          <w:rFonts w:hint="default" w:ascii="Times New Roman" w:hAnsi="Times New Roman" w:eastAsia="宋体" w:cs="Times New Roman"/>
          <w:color w:val="auto"/>
          <w:kern w:val="0"/>
          <w:sz w:val="24"/>
          <w:szCs w:val="24"/>
        </w:rPr>
        <w:t>为燃烧的化石燃料i的碳氧化率</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取值范围为0～1。天然气取值0.99。</w:t>
      </w:r>
    </w:p>
    <w:p w14:paraId="78B47501">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拟建工程燃料燃烧温室气体排放计算主要核算</w:t>
      </w:r>
      <w:r>
        <w:rPr>
          <w:rFonts w:hint="eastAsia" w:ascii="Times New Roman" w:hAnsi="Times New Roman" w:eastAsia="宋体" w:cs="Times New Roman"/>
          <w:color w:val="auto"/>
          <w:sz w:val="24"/>
          <w:szCs w:val="24"/>
          <w:lang w:val="en-US" w:eastAsia="zh-CN"/>
        </w:rPr>
        <w:t>试采点</w:t>
      </w:r>
      <w:r>
        <w:rPr>
          <w:rFonts w:hint="default" w:ascii="Times New Roman" w:hAnsi="Times New Roman" w:eastAsia="宋体" w:cs="Times New Roman"/>
          <w:color w:val="auto"/>
          <w:sz w:val="24"/>
          <w:szCs w:val="24"/>
        </w:rPr>
        <w:t>，共涉及</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台200kW真空加热炉，根据核算，</w:t>
      </w:r>
      <w:r>
        <w:rPr>
          <w:rFonts w:hint="default" w:ascii="Times New Roman" w:hAnsi="Times New Roman" w:eastAsia="宋体" w:cs="Times New Roman"/>
          <w:color w:val="auto"/>
          <w:sz w:val="24"/>
          <w:szCs w:val="24"/>
          <w:highlight w:val="none"/>
        </w:rPr>
        <w:t>加热炉日最大用气量650m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（9.75万m³/a），年用气天数为150d（3600h）</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则年天然气消耗量为</w:t>
      </w:r>
      <w:r>
        <w:rPr>
          <w:rFonts w:hint="eastAsia" w:ascii="Times New Roman" w:hAnsi="Times New Roman" w:eastAsia="宋体" w:cs="Times New Roman"/>
          <w:color w:val="auto"/>
          <w:sz w:val="24"/>
          <w:szCs w:val="24"/>
          <w:highlight w:val="none"/>
          <w:lang w:val="en-US" w:eastAsia="zh-CN"/>
        </w:rPr>
        <w:t>9.75</w:t>
      </w:r>
      <w:r>
        <w:rPr>
          <w:rFonts w:hint="default" w:ascii="Times New Roman" w:hAnsi="Times New Roman" w:eastAsia="宋体" w:cs="Times New Roman"/>
          <w:color w:val="auto"/>
          <w:sz w:val="24"/>
          <w:szCs w:val="24"/>
          <w:highlight w:val="none"/>
        </w:rPr>
        <w:t>万m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rPr>
        <w:t>查阅《中国石油天然气生产企业温室气体排放核算方法与报告指南</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试行</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》表2.1可知，天然气单位热值含碳量为15.3×10</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吨碳/GJ，天然气低位发热量为334GJ/万m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，根据换算得出天然气中含碳量为5.11吨碳/万m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p>
    <w:p w14:paraId="131D6E91">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rPr>
        <w:t>根据上述公式核算，燃料燃烧CO</w:t>
      </w:r>
      <w:r>
        <w:rPr>
          <w:rFonts w:hint="default" w:ascii="Times New Roman" w:hAnsi="Times New Roman" w:eastAsia="宋体" w:cs="Times New Roman"/>
          <w:color w:val="auto"/>
          <w:kern w:val="0"/>
          <w:sz w:val="24"/>
          <w:szCs w:val="24"/>
          <w:highlight w:val="none"/>
          <w:vertAlign w:val="subscript"/>
        </w:rPr>
        <w:t>2</w:t>
      </w:r>
      <w:r>
        <w:rPr>
          <w:rFonts w:hint="default" w:ascii="Times New Roman" w:hAnsi="Times New Roman" w:eastAsia="宋体" w:cs="Times New Roman"/>
          <w:color w:val="auto"/>
          <w:kern w:val="0"/>
          <w:sz w:val="24"/>
          <w:szCs w:val="24"/>
          <w:highlight w:val="none"/>
        </w:rPr>
        <w:t>排放量为</w:t>
      </w:r>
      <w:r>
        <w:rPr>
          <w:rFonts w:hint="eastAsia" w:cs="Times New Roman"/>
          <w:color w:val="auto"/>
          <w:kern w:val="0"/>
          <w:sz w:val="24"/>
          <w:szCs w:val="24"/>
          <w:highlight w:val="none"/>
          <w:lang w:val="en-US" w:eastAsia="zh-CN"/>
        </w:rPr>
        <w:t>49.32</w:t>
      </w:r>
      <w:r>
        <w:rPr>
          <w:rFonts w:hint="default" w:ascii="Times New Roman" w:hAnsi="Times New Roman" w:eastAsia="宋体" w:cs="Times New Roman"/>
          <w:color w:val="auto"/>
          <w:kern w:val="0"/>
          <w:sz w:val="24"/>
          <w:szCs w:val="24"/>
          <w:highlight w:val="none"/>
        </w:rPr>
        <w:t>吨</w:t>
      </w:r>
      <w:r>
        <w:rPr>
          <w:rFonts w:hint="default" w:ascii="Times New Roman" w:hAnsi="Times New Roman" w:eastAsia="宋体" w:cs="Times New Roman"/>
          <w:color w:val="auto"/>
          <w:sz w:val="24"/>
          <w:szCs w:val="24"/>
          <w:highlight w:val="none"/>
        </w:rPr>
        <w:t>。</w:t>
      </w:r>
    </w:p>
    <w:p w14:paraId="715BD0C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放空系统火炬燃烧</w:t>
      </w:r>
      <w:r>
        <w:rPr>
          <w:rFonts w:hint="default" w:ascii="Times New Roman" w:hAnsi="Times New Roman" w:eastAsia="宋体" w:cs="Times New Roman"/>
          <w:color w:val="auto"/>
          <w:sz w:val="24"/>
          <w:szCs w:val="24"/>
          <w:highlight w:val="none"/>
        </w:rPr>
        <w:t>排放</w:t>
      </w:r>
    </w:p>
    <w:p w14:paraId="60CC7D3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lang w:bidi="ar"/>
        </w:rPr>
      </w:pPr>
      <w:r>
        <w:rPr>
          <w:rFonts w:hint="eastAsia" w:cs="Times New Roman"/>
          <w:color w:val="auto"/>
          <w:sz w:val="24"/>
          <w:szCs w:val="24"/>
          <w:highlight w:val="none"/>
          <w:lang w:eastAsia="zh-CN" w:bidi="ar"/>
        </w:rPr>
        <w:t>本工程在雄探1试采点新建地面自动点火装置一套，</w:t>
      </w:r>
      <w:r>
        <w:rPr>
          <w:rFonts w:hint="eastAsia" w:cs="Times New Roman"/>
          <w:color w:val="auto"/>
          <w:sz w:val="24"/>
          <w:szCs w:val="24"/>
          <w:highlight w:val="none"/>
          <w:lang w:val="en-US" w:eastAsia="zh-CN" w:bidi="ar"/>
        </w:rPr>
        <w:t>用于</w:t>
      </w:r>
      <w:r>
        <w:rPr>
          <w:rFonts w:hint="eastAsia" w:cs="Times New Roman"/>
          <w:color w:val="auto"/>
          <w:sz w:val="24"/>
          <w:szCs w:val="24"/>
          <w:highlight w:val="none"/>
          <w:lang w:eastAsia="zh-CN" w:bidi="ar"/>
        </w:rPr>
        <w:t>事故</w:t>
      </w:r>
      <w:r>
        <w:rPr>
          <w:rFonts w:hint="eastAsia" w:cs="Times New Roman"/>
          <w:color w:val="auto"/>
          <w:sz w:val="24"/>
          <w:szCs w:val="24"/>
          <w:highlight w:val="none"/>
          <w:lang w:val="en-US" w:eastAsia="zh-CN" w:bidi="ar"/>
        </w:rPr>
        <w:t>、</w:t>
      </w:r>
      <w:r>
        <w:rPr>
          <w:rFonts w:hint="eastAsia" w:cs="Times New Roman"/>
          <w:color w:val="auto"/>
          <w:sz w:val="24"/>
          <w:szCs w:val="24"/>
          <w:highlight w:val="none"/>
          <w:lang w:eastAsia="zh-CN" w:bidi="ar"/>
        </w:rPr>
        <w:t>非正常工况条件下放空天然气</w:t>
      </w:r>
      <w:r>
        <w:rPr>
          <w:rFonts w:hint="default" w:ascii="Times New Roman" w:hAnsi="Times New Roman" w:eastAsia="宋体" w:cs="Times New Roman"/>
          <w:color w:val="auto"/>
          <w:sz w:val="24"/>
          <w:szCs w:val="24"/>
          <w:highlight w:val="none"/>
          <w:lang w:bidi="ar"/>
        </w:rPr>
        <w:t>。另外，考虑到石油天然气生产企业</w:t>
      </w:r>
      <w:r>
        <w:rPr>
          <w:rFonts w:hint="eastAsia" w:cs="Times New Roman"/>
          <w:color w:val="auto"/>
          <w:sz w:val="24"/>
          <w:szCs w:val="24"/>
          <w:highlight w:val="none"/>
          <w:lang w:val="en-US" w:eastAsia="zh-CN" w:bidi="ar"/>
        </w:rPr>
        <w:t>放空</w:t>
      </w:r>
      <w:r>
        <w:rPr>
          <w:rFonts w:hint="default" w:ascii="Times New Roman" w:hAnsi="Times New Roman" w:eastAsia="宋体" w:cs="Times New Roman"/>
          <w:color w:val="auto"/>
          <w:sz w:val="24"/>
          <w:szCs w:val="24"/>
          <w:highlight w:val="none"/>
          <w:lang w:bidi="ar"/>
        </w:rPr>
        <w:t>气</w:t>
      </w:r>
      <w:r>
        <w:rPr>
          <w:rFonts w:hint="eastAsia" w:cs="Times New Roman"/>
          <w:color w:val="auto"/>
          <w:sz w:val="24"/>
          <w:szCs w:val="24"/>
          <w:highlight w:val="none"/>
          <w:lang w:val="en-US" w:eastAsia="zh-CN" w:bidi="ar"/>
        </w:rPr>
        <w:t>燃烧</w:t>
      </w:r>
      <w:r>
        <w:rPr>
          <w:rFonts w:hint="default" w:ascii="Times New Roman" w:hAnsi="Times New Roman" w:eastAsia="宋体" w:cs="Times New Roman"/>
          <w:color w:val="auto"/>
          <w:sz w:val="24"/>
          <w:szCs w:val="24"/>
          <w:highlight w:val="none"/>
          <w:lang w:bidi="ar"/>
        </w:rPr>
        <w:t>CH</w:t>
      </w:r>
      <w:r>
        <w:rPr>
          <w:rFonts w:hint="default" w:ascii="Times New Roman" w:hAnsi="Times New Roman" w:eastAsia="宋体" w:cs="Times New Roman"/>
          <w:color w:val="auto"/>
          <w:sz w:val="24"/>
          <w:szCs w:val="24"/>
          <w:highlight w:val="none"/>
          <w:vertAlign w:val="subscript"/>
          <w:lang w:bidi="ar"/>
        </w:rPr>
        <w:t>4</w:t>
      </w:r>
      <w:r>
        <w:rPr>
          <w:rFonts w:hint="default" w:ascii="Times New Roman" w:hAnsi="Times New Roman" w:eastAsia="宋体" w:cs="Times New Roman"/>
          <w:color w:val="auto"/>
          <w:sz w:val="24"/>
          <w:szCs w:val="24"/>
          <w:highlight w:val="none"/>
          <w:lang w:bidi="ar"/>
        </w:rPr>
        <w:t>含量较高且燃烧不充分，因此石油天然气生产企业的燃烧排放同时考虑CO</w:t>
      </w:r>
      <w:r>
        <w:rPr>
          <w:rFonts w:hint="default" w:ascii="Times New Roman" w:hAnsi="Times New Roman" w:eastAsia="宋体" w:cs="Times New Roman"/>
          <w:color w:val="auto"/>
          <w:sz w:val="24"/>
          <w:szCs w:val="24"/>
          <w:highlight w:val="none"/>
          <w:vertAlign w:val="subscript"/>
          <w:lang w:bidi="ar"/>
        </w:rPr>
        <w:t>2</w:t>
      </w:r>
      <w:r>
        <w:rPr>
          <w:rFonts w:hint="default" w:ascii="Times New Roman" w:hAnsi="Times New Roman" w:eastAsia="宋体" w:cs="Times New Roman"/>
          <w:color w:val="auto"/>
          <w:sz w:val="24"/>
          <w:szCs w:val="24"/>
          <w:highlight w:val="none"/>
          <w:lang w:bidi="ar"/>
        </w:rPr>
        <w:t>及CH</w:t>
      </w:r>
      <w:r>
        <w:rPr>
          <w:rFonts w:hint="default" w:ascii="Times New Roman" w:hAnsi="Times New Roman" w:eastAsia="宋体" w:cs="Times New Roman"/>
          <w:color w:val="auto"/>
          <w:sz w:val="24"/>
          <w:szCs w:val="24"/>
          <w:highlight w:val="none"/>
          <w:vertAlign w:val="subscript"/>
          <w:lang w:bidi="ar"/>
        </w:rPr>
        <w:t>4</w:t>
      </w:r>
      <w:r>
        <w:rPr>
          <w:rFonts w:hint="default" w:ascii="Times New Roman" w:hAnsi="Times New Roman" w:eastAsia="宋体" w:cs="Times New Roman"/>
          <w:color w:val="auto"/>
          <w:sz w:val="24"/>
          <w:szCs w:val="24"/>
          <w:highlight w:val="none"/>
          <w:lang w:bidi="ar"/>
        </w:rPr>
        <w:t>排放。</w:t>
      </w:r>
    </w:p>
    <w:p w14:paraId="7D42A9CB">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bidi="ar"/>
        </w:rPr>
        <w:t>①</w:t>
      </w:r>
      <w:r>
        <w:rPr>
          <w:rFonts w:hint="default" w:ascii="Times New Roman" w:hAnsi="Times New Roman" w:eastAsia="宋体" w:cs="Times New Roman"/>
          <w:color w:val="auto"/>
          <w:sz w:val="24"/>
          <w:szCs w:val="24"/>
          <w:highlight w:val="none"/>
        </w:rPr>
        <w:t>计算公式</w:t>
      </w:r>
    </w:p>
    <w:p w14:paraId="74C357D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a.火炬燃烧排放计算公式：</w:t>
      </w:r>
    </w:p>
    <w:p w14:paraId="67D35376">
      <w:pPr>
        <w:keepNext w:val="0"/>
        <w:keepLines w:val="0"/>
        <w:pageBreakBefore w:val="0"/>
        <w:kinsoku/>
        <w:wordWrap/>
        <w:overflowPunct/>
        <w:topLinePunct w:val="0"/>
        <w:autoSpaceDE/>
        <w:autoSpaceDN/>
        <w:bidi w:val="0"/>
        <w:spacing w:line="480" w:lineRule="exact"/>
        <w:ind w:firstLine="420" w:firstLineChars="200"/>
        <w:textAlignment w:val="auto"/>
        <w:rPr>
          <w:rFonts w:hint="eastAsia"/>
          <w:color w:val="auto"/>
          <w:highlight w:val="none"/>
        </w:rPr>
      </w:pPr>
      <w:r>
        <w:rPr>
          <w:color w:val="auto"/>
          <w:highlight w:val="none"/>
        </w:rPr>
        <w:drawing>
          <wp:anchor distT="0" distB="0" distL="114300" distR="114300" simplePos="0" relativeHeight="251698176" behindDoc="1" locked="0" layoutInCell="1" allowOverlap="1">
            <wp:simplePos x="0" y="0"/>
            <wp:positionH relativeFrom="column">
              <wp:posOffset>200660</wp:posOffset>
            </wp:positionH>
            <wp:positionV relativeFrom="paragraph">
              <wp:posOffset>127000</wp:posOffset>
            </wp:positionV>
            <wp:extent cx="5001260" cy="559435"/>
            <wp:effectExtent l="0" t="0" r="8890" b="12065"/>
            <wp:wrapNone/>
            <wp:docPr id="1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9"/>
                    <pic:cNvPicPr>
                      <a:picLocks noChangeAspect="1"/>
                    </pic:cNvPicPr>
                  </pic:nvPicPr>
                  <pic:blipFill>
                    <a:blip r:embed="rId60"/>
                    <a:stretch>
                      <a:fillRect/>
                    </a:stretch>
                  </pic:blipFill>
                  <pic:spPr>
                    <a:xfrm>
                      <a:off x="0" y="0"/>
                      <a:ext cx="5001260" cy="559435"/>
                    </a:xfrm>
                    <a:prstGeom prst="rect">
                      <a:avLst/>
                    </a:prstGeom>
                    <a:noFill/>
                    <a:ln>
                      <a:noFill/>
                    </a:ln>
                  </pic:spPr>
                </pic:pic>
              </a:graphicData>
            </a:graphic>
          </wp:anchor>
        </w:drawing>
      </w:r>
    </w:p>
    <w:p w14:paraId="16F10420">
      <w:pPr>
        <w:keepNext w:val="0"/>
        <w:keepLines w:val="0"/>
        <w:pageBreakBefore w:val="0"/>
        <w:kinsoku/>
        <w:wordWrap/>
        <w:overflowPunct/>
        <w:topLinePunct w:val="0"/>
        <w:autoSpaceDE/>
        <w:autoSpaceDN/>
        <w:bidi w:val="0"/>
        <w:spacing w:line="480" w:lineRule="exact"/>
        <w:ind w:firstLine="420" w:firstLineChars="200"/>
        <w:textAlignment w:val="auto"/>
        <w:rPr>
          <w:rFonts w:hint="eastAsia"/>
          <w:color w:val="auto"/>
          <w:highlight w:val="none"/>
        </w:rPr>
      </w:pPr>
    </w:p>
    <w:p w14:paraId="4E6749E8">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bidi="ar"/>
        </w:rPr>
        <w:t xml:space="preserve">式中， </w:t>
      </w:r>
    </w:p>
    <w:p w14:paraId="5759DB21">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bidi="ar"/>
        </w:rPr>
        <w:t>E</w:t>
      </w:r>
      <w:r>
        <w:rPr>
          <w:rFonts w:hint="default" w:ascii="Times New Roman" w:hAnsi="Times New Roman" w:eastAsia="宋体" w:cs="Times New Roman"/>
          <w:color w:val="auto"/>
          <w:kern w:val="0"/>
          <w:sz w:val="24"/>
          <w:szCs w:val="24"/>
          <w:highlight w:val="none"/>
          <w:vertAlign w:val="subscript"/>
          <w:lang w:bidi="ar"/>
        </w:rPr>
        <w:t>GHG-火炬</w:t>
      </w:r>
      <w:r>
        <w:rPr>
          <w:rFonts w:hint="default" w:ascii="Times New Roman" w:hAnsi="Times New Roman" w:eastAsia="宋体" w:cs="Times New Roman"/>
          <w:color w:val="auto"/>
          <w:kern w:val="0"/>
          <w:sz w:val="24"/>
          <w:szCs w:val="24"/>
          <w:highlight w:val="none"/>
          <w:lang w:bidi="ar"/>
        </w:rPr>
        <w:t>-火炬燃烧产生的CO</w:t>
      </w:r>
      <w:r>
        <w:rPr>
          <w:rFonts w:hint="default" w:ascii="Times New Roman" w:hAnsi="Times New Roman" w:eastAsia="宋体" w:cs="Times New Roman"/>
          <w:color w:val="auto"/>
          <w:kern w:val="0"/>
          <w:sz w:val="24"/>
          <w:szCs w:val="24"/>
          <w:highlight w:val="none"/>
          <w:vertAlign w:val="subscript"/>
          <w:lang w:bidi="ar"/>
        </w:rPr>
        <w:t>2</w:t>
      </w:r>
      <w:r>
        <w:rPr>
          <w:rFonts w:hint="default" w:ascii="Times New Roman" w:hAnsi="Times New Roman" w:eastAsia="宋体" w:cs="Times New Roman"/>
          <w:color w:val="auto"/>
          <w:kern w:val="0"/>
          <w:sz w:val="24"/>
          <w:szCs w:val="24"/>
          <w:highlight w:val="none"/>
          <w:lang w:bidi="ar"/>
        </w:rPr>
        <w:t>排放量，单位为吨CO</w:t>
      </w:r>
      <w:r>
        <w:rPr>
          <w:rFonts w:hint="default" w:ascii="Times New Roman" w:hAnsi="Times New Roman" w:eastAsia="宋体" w:cs="Times New Roman"/>
          <w:color w:val="auto"/>
          <w:kern w:val="0"/>
          <w:sz w:val="24"/>
          <w:szCs w:val="24"/>
          <w:highlight w:val="none"/>
          <w:vertAlign w:val="subscript"/>
          <w:lang w:bidi="ar"/>
        </w:rPr>
        <w:t>2</w:t>
      </w:r>
      <w:r>
        <w:rPr>
          <w:rFonts w:hint="default" w:ascii="Times New Roman" w:hAnsi="Times New Roman" w:eastAsia="宋体" w:cs="Times New Roman"/>
          <w:color w:val="auto"/>
          <w:kern w:val="0"/>
          <w:sz w:val="24"/>
          <w:szCs w:val="24"/>
          <w:highlight w:val="none"/>
          <w:lang w:bidi="ar"/>
        </w:rPr>
        <w:t xml:space="preserve">； </w:t>
      </w:r>
    </w:p>
    <w:p w14:paraId="16916FA0">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kern w:val="0"/>
          <w:sz w:val="24"/>
          <w:szCs w:val="24"/>
          <w:highlight w:val="none"/>
          <w:lang w:bidi="ar"/>
        </w:rPr>
      </w:pPr>
      <m:oMath>
        <m:sSub>
          <m:sSubPr>
            <m:ctrlPr>
              <w:rPr>
                <w:rFonts w:hint="default" w:ascii="Cambria Math" w:hAnsi="Cambria Math" w:cs="Times New Roman"/>
                <w:color w:val="auto"/>
                <w:kern w:val="0"/>
                <w:sz w:val="24"/>
                <w:szCs w:val="24"/>
                <w:highlight w:val="none"/>
                <w:lang w:val="en-US" w:eastAsia="zh-CN" w:bidi="ar"/>
              </w:rPr>
            </m:ctrlPr>
          </m:sSubPr>
          <m:e>
            <m:r>
              <m:rPr>
                <m:sty m:val="p"/>
              </m:rPr>
              <w:rPr>
                <w:rFonts w:hint="default" w:ascii="Cambria Math" w:hAnsi="Cambria Math" w:cs="Times New Roman"/>
                <w:color w:val="auto"/>
                <w:kern w:val="0"/>
                <w:sz w:val="24"/>
                <w:szCs w:val="24"/>
                <w:highlight w:val="none"/>
                <w:lang w:val="en-US" w:eastAsia="zh-CN" w:bidi="ar"/>
              </w:rPr>
              <m:t>E</m:t>
            </m:r>
            <m:ctrlPr>
              <w:rPr>
                <w:rFonts w:hint="default" w:ascii="Cambria Math" w:hAnsi="Cambria Math" w:cs="Times New Roman"/>
                <w:color w:val="auto"/>
                <w:kern w:val="0"/>
                <w:sz w:val="24"/>
                <w:szCs w:val="24"/>
                <w:highlight w:val="none"/>
                <w:lang w:val="en-US" w:eastAsia="zh-CN" w:bidi="ar"/>
              </w:rPr>
            </m:ctrlPr>
          </m:e>
          <m:sub>
            <m:sSub>
              <m:sSubPr>
                <m:ctrlPr>
                  <w:rPr>
                    <w:rFonts w:hint="default" w:ascii="Cambria Math" w:hAnsi="Cambria Math" w:cs="Times New Roman"/>
                    <w:color w:val="auto"/>
                    <w:kern w:val="0"/>
                    <w:sz w:val="24"/>
                    <w:szCs w:val="24"/>
                    <w:highlight w:val="none"/>
                    <w:lang w:val="en-US" w:eastAsia="zh-CN" w:bidi="ar"/>
                  </w:rPr>
                </m:ctrlPr>
              </m:sSubPr>
              <m:e>
                <m:r>
                  <m:rPr>
                    <m:sty m:val="p"/>
                  </m:rPr>
                  <w:rPr>
                    <w:rFonts w:hint="default" w:ascii="Cambria Math" w:hAnsi="Cambria Math" w:cs="Times New Roman"/>
                    <w:color w:val="auto"/>
                    <w:kern w:val="0"/>
                    <w:sz w:val="24"/>
                    <w:szCs w:val="24"/>
                    <w:highlight w:val="none"/>
                    <w:lang w:val="en-US" w:eastAsia="zh-CN" w:bidi="ar"/>
                  </w:rPr>
                  <m:t>CO</m:t>
                </m:r>
                <m:ctrlPr>
                  <w:rPr>
                    <w:rFonts w:hint="default" w:ascii="Cambria Math" w:hAnsi="Cambria Math" w:cs="Times New Roman"/>
                    <w:color w:val="auto"/>
                    <w:kern w:val="0"/>
                    <w:sz w:val="24"/>
                    <w:szCs w:val="24"/>
                    <w:highlight w:val="none"/>
                    <w:lang w:val="en-US" w:eastAsia="zh-CN" w:bidi="ar"/>
                  </w:rPr>
                </m:ctrlPr>
              </m:e>
              <m:sub>
                <m:r>
                  <m:rPr>
                    <m:sty m:val="p"/>
                  </m:rPr>
                  <w:rPr>
                    <w:rFonts w:hint="default" w:ascii="Cambria Math" w:hAnsi="Cambria Math" w:cs="Times New Roman"/>
                    <w:color w:val="auto"/>
                    <w:kern w:val="0"/>
                    <w:sz w:val="24"/>
                    <w:szCs w:val="24"/>
                    <w:highlight w:val="none"/>
                    <w:lang w:val="en-US" w:eastAsia="zh-CN" w:bidi="ar"/>
                  </w:rPr>
                  <m:t>2</m:t>
                </m:r>
                <m:ctrlPr>
                  <w:rPr>
                    <w:rFonts w:hint="default" w:ascii="Cambria Math" w:hAnsi="Cambria Math" w:cs="Times New Roman"/>
                    <w:color w:val="auto"/>
                    <w:kern w:val="0"/>
                    <w:sz w:val="24"/>
                    <w:szCs w:val="24"/>
                    <w:highlight w:val="none"/>
                    <w:lang w:val="en-US" w:eastAsia="zh-CN" w:bidi="ar"/>
                  </w:rPr>
                </m:ctrlPr>
              </m:sub>
            </m:sSub>
            <m:ctrlPr>
              <w:rPr>
                <w:rFonts w:hint="default" w:ascii="Cambria Math" w:hAnsi="Cambria Math" w:cs="Times New Roman"/>
                <w:color w:val="auto"/>
                <w:kern w:val="0"/>
                <w:sz w:val="24"/>
                <w:szCs w:val="24"/>
                <w:highlight w:val="none"/>
                <w:lang w:val="en-US" w:eastAsia="zh-CN" w:bidi="ar"/>
              </w:rPr>
            </m:ctrlPr>
          </m:sub>
        </m:sSub>
      </m:oMath>
      <w:r>
        <w:rPr>
          <w:rFonts w:hint="default" w:ascii="Times New Roman" w:hAnsi="Times New Roman" w:eastAsia="宋体" w:cs="Times New Roman"/>
          <w:color w:val="auto"/>
          <w:kern w:val="0"/>
          <w:sz w:val="24"/>
          <w:szCs w:val="24"/>
          <w:highlight w:val="none"/>
          <w:vertAlign w:val="subscript"/>
          <w:lang w:bidi="ar"/>
        </w:rPr>
        <w:t>-正常火炬</w:t>
      </w:r>
      <w:r>
        <w:rPr>
          <w:rFonts w:hint="default" w:ascii="Times New Roman" w:hAnsi="Times New Roman" w:eastAsia="宋体" w:cs="Times New Roman"/>
          <w:color w:val="auto"/>
          <w:kern w:val="0"/>
          <w:sz w:val="24"/>
          <w:szCs w:val="24"/>
          <w:highlight w:val="none"/>
          <w:lang w:bidi="ar"/>
        </w:rPr>
        <w:t>-正常工况下火炬系统产生的CO</w:t>
      </w:r>
      <w:r>
        <w:rPr>
          <w:rFonts w:hint="default" w:ascii="Times New Roman" w:hAnsi="Times New Roman" w:eastAsia="宋体" w:cs="Times New Roman"/>
          <w:color w:val="auto"/>
          <w:kern w:val="0"/>
          <w:sz w:val="24"/>
          <w:szCs w:val="24"/>
          <w:highlight w:val="none"/>
          <w:vertAlign w:val="subscript"/>
          <w:lang w:bidi="ar"/>
        </w:rPr>
        <w:t>2</w:t>
      </w:r>
      <w:r>
        <w:rPr>
          <w:rFonts w:hint="default" w:ascii="Times New Roman" w:hAnsi="Times New Roman" w:eastAsia="宋体" w:cs="Times New Roman"/>
          <w:color w:val="auto"/>
          <w:kern w:val="0"/>
          <w:sz w:val="24"/>
          <w:szCs w:val="24"/>
          <w:highlight w:val="none"/>
          <w:lang w:bidi="ar"/>
        </w:rPr>
        <w:t>排放，单位为吨CO</w:t>
      </w:r>
      <w:r>
        <w:rPr>
          <w:rFonts w:hint="default" w:ascii="Times New Roman" w:hAnsi="Times New Roman" w:eastAsia="宋体" w:cs="Times New Roman"/>
          <w:color w:val="auto"/>
          <w:kern w:val="0"/>
          <w:sz w:val="24"/>
          <w:szCs w:val="24"/>
          <w:highlight w:val="none"/>
          <w:vertAlign w:val="subscript"/>
          <w:lang w:bidi="ar"/>
        </w:rPr>
        <w:t>2</w:t>
      </w:r>
      <w:r>
        <w:rPr>
          <w:rFonts w:hint="default" w:ascii="Times New Roman" w:hAnsi="Times New Roman" w:eastAsia="宋体" w:cs="Times New Roman"/>
          <w:color w:val="auto"/>
          <w:kern w:val="0"/>
          <w:sz w:val="24"/>
          <w:szCs w:val="24"/>
          <w:highlight w:val="none"/>
          <w:lang w:bidi="ar"/>
        </w:rPr>
        <w:t>；</w:t>
      </w:r>
    </w:p>
    <w:p w14:paraId="0FD1466F">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m:oMath>
        <m:sSub>
          <m:sSubPr>
            <m:ctrlPr>
              <w:rPr>
                <w:rFonts w:ascii="Cambria Math" w:hAnsi="Cambria Math" w:cs="Times New Roman"/>
                <w:i/>
                <w:color w:val="auto"/>
                <w:kern w:val="0"/>
                <w:sz w:val="24"/>
                <w:szCs w:val="24"/>
                <w:highlight w:val="none"/>
                <w:lang w:bidi="ar"/>
              </w:rPr>
            </m:ctrlPr>
          </m:sSubPr>
          <m:e>
            <m:r>
              <m:rPr/>
              <w:rPr>
                <w:rFonts w:hint="default" w:ascii="Cambria Math" w:hAnsi="Cambria Math" w:cs="Times New Roman"/>
                <w:color w:val="auto"/>
                <w:kern w:val="0"/>
                <w:sz w:val="24"/>
                <w:szCs w:val="24"/>
                <w:highlight w:val="none"/>
                <w:lang w:val="en-US" w:eastAsia="zh-CN" w:bidi="ar"/>
              </w:rPr>
              <m:t>E</m:t>
            </m:r>
            <m:ctrlPr>
              <w:rPr>
                <w:rFonts w:ascii="Cambria Math" w:hAnsi="Cambria Math" w:cs="Times New Roman"/>
                <w:i/>
                <w:color w:val="auto"/>
                <w:kern w:val="0"/>
                <w:sz w:val="24"/>
                <w:szCs w:val="24"/>
                <w:highlight w:val="none"/>
                <w:lang w:bidi="ar"/>
              </w:rPr>
            </m:ctrlPr>
          </m:e>
          <m:sub>
            <m:sSub>
              <m:sSubPr>
                <m:ctrlPr>
                  <w:rPr>
                    <w:rFonts w:ascii="Cambria Math" w:hAnsi="Cambria Math" w:cs="Times New Roman"/>
                    <w:i/>
                    <w:color w:val="auto"/>
                    <w:kern w:val="0"/>
                    <w:sz w:val="24"/>
                    <w:szCs w:val="24"/>
                    <w:highlight w:val="none"/>
                    <w:lang w:bidi="ar"/>
                  </w:rPr>
                </m:ctrlPr>
              </m:sSubPr>
              <m:e>
                <m:r>
                  <m:rPr/>
                  <w:rPr>
                    <w:rFonts w:hint="default" w:ascii="Cambria Math" w:hAnsi="Cambria Math" w:cs="Times New Roman"/>
                    <w:color w:val="auto"/>
                    <w:kern w:val="0"/>
                    <w:sz w:val="24"/>
                    <w:szCs w:val="24"/>
                    <w:highlight w:val="none"/>
                    <w:lang w:val="en-US" w:eastAsia="zh-CN" w:bidi="ar"/>
                  </w:rPr>
                  <m:t>CO</m:t>
                </m:r>
                <m:ctrlPr>
                  <w:rPr>
                    <w:rFonts w:ascii="Cambria Math" w:hAnsi="Cambria Math" w:cs="Times New Roman"/>
                    <w:i/>
                    <w:color w:val="auto"/>
                    <w:kern w:val="0"/>
                    <w:sz w:val="24"/>
                    <w:szCs w:val="24"/>
                    <w:highlight w:val="none"/>
                    <w:lang w:bidi="ar"/>
                  </w:rPr>
                </m:ctrlPr>
              </m:e>
              <m:sub>
                <m:r>
                  <m:rPr/>
                  <w:rPr>
                    <w:rFonts w:hint="default" w:ascii="Cambria Math" w:hAnsi="Cambria Math" w:cs="Times New Roman"/>
                    <w:color w:val="auto"/>
                    <w:kern w:val="0"/>
                    <w:sz w:val="24"/>
                    <w:szCs w:val="24"/>
                    <w:highlight w:val="none"/>
                    <w:lang w:val="en-US" w:eastAsia="zh-CN" w:bidi="ar"/>
                  </w:rPr>
                  <m:t>2</m:t>
                </m:r>
                <m:ctrlPr>
                  <w:rPr>
                    <w:rFonts w:ascii="Cambria Math" w:hAnsi="Cambria Math" w:cs="Times New Roman"/>
                    <w:i/>
                    <w:color w:val="auto"/>
                    <w:kern w:val="0"/>
                    <w:sz w:val="24"/>
                    <w:szCs w:val="24"/>
                    <w:highlight w:val="none"/>
                    <w:lang w:bidi="ar"/>
                  </w:rPr>
                </m:ctrlPr>
              </m:sub>
            </m:sSub>
            <m:ctrlPr>
              <w:rPr>
                <w:rFonts w:ascii="Cambria Math" w:hAnsi="Cambria Math" w:cs="Times New Roman"/>
                <w:i/>
                <w:color w:val="auto"/>
                <w:kern w:val="0"/>
                <w:sz w:val="24"/>
                <w:szCs w:val="24"/>
                <w:highlight w:val="none"/>
                <w:lang w:bidi="ar"/>
              </w:rPr>
            </m:ctrlPr>
          </m:sub>
        </m:sSub>
      </m:oMath>
      <w:r>
        <w:rPr>
          <w:rFonts w:hint="default" w:ascii="Times New Roman" w:hAnsi="Times New Roman" w:eastAsia="宋体" w:cs="Times New Roman"/>
          <w:color w:val="auto"/>
          <w:kern w:val="0"/>
          <w:sz w:val="24"/>
          <w:szCs w:val="24"/>
          <w:highlight w:val="none"/>
          <w:vertAlign w:val="subscript"/>
          <w:lang w:bidi="ar"/>
        </w:rPr>
        <w:t>-事故火炬</w:t>
      </w:r>
      <w:r>
        <w:rPr>
          <w:rFonts w:hint="default" w:ascii="Times New Roman" w:hAnsi="Times New Roman" w:eastAsia="宋体" w:cs="Times New Roman"/>
          <w:color w:val="auto"/>
          <w:kern w:val="0"/>
          <w:sz w:val="24"/>
          <w:szCs w:val="24"/>
          <w:highlight w:val="none"/>
          <w:lang w:bidi="ar"/>
        </w:rPr>
        <w:t>-由于事故火炬产生的CO</w:t>
      </w:r>
      <w:r>
        <w:rPr>
          <w:rFonts w:hint="default" w:ascii="Times New Roman" w:hAnsi="Times New Roman" w:eastAsia="宋体" w:cs="Times New Roman"/>
          <w:color w:val="auto"/>
          <w:kern w:val="0"/>
          <w:sz w:val="24"/>
          <w:szCs w:val="24"/>
          <w:highlight w:val="none"/>
          <w:vertAlign w:val="subscript"/>
          <w:lang w:bidi="ar"/>
        </w:rPr>
        <w:t>2</w:t>
      </w:r>
      <w:r>
        <w:rPr>
          <w:rFonts w:hint="default" w:ascii="Times New Roman" w:hAnsi="Times New Roman" w:eastAsia="宋体" w:cs="Times New Roman"/>
          <w:color w:val="auto"/>
          <w:kern w:val="0"/>
          <w:sz w:val="24"/>
          <w:szCs w:val="24"/>
          <w:highlight w:val="none"/>
          <w:lang w:bidi="ar"/>
        </w:rPr>
        <w:t>排放，单位为吨CO</w:t>
      </w:r>
      <w:r>
        <w:rPr>
          <w:rFonts w:hint="default" w:ascii="Times New Roman" w:hAnsi="Times New Roman" w:eastAsia="宋体" w:cs="Times New Roman"/>
          <w:color w:val="auto"/>
          <w:kern w:val="0"/>
          <w:sz w:val="24"/>
          <w:szCs w:val="24"/>
          <w:highlight w:val="none"/>
          <w:vertAlign w:val="subscript"/>
          <w:lang w:bidi="ar"/>
        </w:rPr>
        <w:t>2</w:t>
      </w:r>
      <w:r>
        <w:rPr>
          <w:rFonts w:hint="default" w:ascii="Times New Roman" w:hAnsi="Times New Roman" w:eastAsia="宋体" w:cs="Times New Roman"/>
          <w:color w:val="auto"/>
          <w:kern w:val="0"/>
          <w:sz w:val="24"/>
          <w:szCs w:val="24"/>
          <w:highlight w:val="none"/>
          <w:lang w:bidi="ar"/>
        </w:rPr>
        <w:t xml:space="preserve">； </w:t>
      </w:r>
    </w:p>
    <w:p w14:paraId="7A72E452">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m:oMath>
        <m:sSub>
          <m:sSubPr>
            <m:ctrlPr>
              <w:rPr>
                <w:rFonts w:ascii="Cambria Math" w:hAnsi="Cambria Math" w:cs="Times New Roman"/>
                <w:i/>
                <w:color w:val="auto"/>
                <w:kern w:val="0"/>
                <w:sz w:val="24"/>
                <w:szCs w:val="24"/>
                <w:highlight w:val="none"/>
                <w:vertAlign w:val="subscript"/>
                <w:lang w:bidi="ar"/>
              </w:rPr>
            </m:ctrlPr>
          </m:sSubPr>
          <m:e>
            <m:r>
              <m:rPr/>
              <w:rPr>
                <w:rFonts w:hint="default" w:ascii="Cambria Math" w:hAnsi="Cambria Math" w:cs="Times New Roman"/>
                <w:color w:val="auto"/>
                <w:kern w:val="0"/>
                <w:sz w:val="24"/>
                <w:szCs w:val="24"/>
                <w:highlight w:val="none"/>
                <w:vertAlign w:val="subscript"/>
                <w:lang w:val="en-US" w:eastAsia="zh-CN" w:bidi="ar"/>
              </w:rPr>
              <m:t>E</m:t>
            </m:r>
            <m:ctrlPr>
              <w:rPr>
                <w:rFonts w:ascii="Cambria Math" w:hAnsi="Cambria Math" w:cs="Times New Roman"/>
                <w:i/>
                <w:color w:val="auto"/>
                <w:kern w:val="0"/>
                <w:sz w:val="24"/>
                <w:szCs w:val="24"/>
                <w:highlight w:val="none"/>
                <w:vertAlign w:val="subscript"/>
                <w:lang w:bidi="ar"/>
              </w:rPr>
            </m:ctrlPr>
          </m:e>
          <m:sub>
            <m:sSub>
              <m:sSubPr>
                <m:ctrlPr>
                  <w:rPr>
                    <w:rFonts w:ascii="Cambria Math" w:hAnsi="Cambria Math" w:cs="Times New Roman"/>
                    <w:i/>
                    <w:color w:val="auto"/>
                    <w:kern w:val="0"/>
                    <w:sz w:val="24"/>
                    <w:szCs w:val="24"/>
                    <w:highlight w:val="none"/>
                    <w:vertAlign w:val="subscript"/>
                    <w:lang w:bidi="ar"/>
                  </w:rPr>
                </m:ctrlPr>
              </m:sSubPr>
              <m:e>
                <m:r>
                  <m:rPr/>
                  <w:rPr>
                    <w:rFonts w:hint="default" w:ascii="Cambria Math" w:hAnsi="Cambria Math" w:cs="Times New Roman"/>
                    <w:color w:val="auto"/>
                    <w:kern w:val="0"/>
                    <w:sz w:val="24"/>
                    <w:szCs w:val="24"/>
                    <w:highlight w:val="none"/>
                    <w:vertAlign w:val="subscript"/>
                    <w:lang w:val="en-US" w:eastAsia="zh-CN" w:bidi="ar"/>
                  </w:rPr>
                  <m:t>CH</m:t>
                </m:r>
                <m:ctrlPr>
                  <w:rPr>
                    <w:rFonts w:ascii="Cambria Math" w:hAnsi="Cambria Math" w:cs="Times New Roman"/>
                    <w:i/>
                    <w:color w:val="auto"/>
                    <w:kern w:val="0"/>
                    <w:sz w:val="24"/>
                    <w:szCs w:val="24"/>
                    <w:highlight w:val="none"/>
                    <w:vertAlign w:val="subscript"/>
                    <w:lang w:bidi="ar"/>
                  </w:rPr>
                </m:ctrlPr>
              </m:e>
              <m:sub>
                <m:r>
                  <m:rPr/>
                  <w:rPr>
                    <w:rFonts w:hint="default" w:ascii="Cambria Math" w:hAnsi="Cambria Math" w:cs="Times New Roman"/>
                    <w:color w:val="auto"/>
                    <w:kern w:val="0"/>
                    <w:sz w:val="24"/>
                    <w:szCs w:val="24"/>
                    <w:highlight w:val="none"/>
                    <w:vertAlign w:val="subscript"/>
                    <w:lang w:val="en-US" w:eastAsia="zh-CN" w:bidi="ar"/>
                  </w:rPr>
                  <m:t>4</m:t>
                </m:r>
                <m:ctrlPr>
                  <w:rPr>
                    <w:rFonts w:ascii="Cambria Math" w:hAnsi="Cambria Math" w:cs="Times New Roman"/>
                    <w:i/>
                    <w:color w:val="auto"/>
                    <w:kern w:val="0"/>
                    <w:sz w:val="24"/>
                    <w:szCs w:val="24"/>
                    <w:highlight w:val="none"/>
                    <w:vertAlign w:val="subscript"/>
                    <w:lang w:bidi="ar"/>
                  </w:rPr>
                </m:ctrlPr>
              </m:sub>
            </m:sSub>
            <m:ctrlPr>
              <w:rPr>
                <w:rFonts w:ascii="Cambria Math" w:hAnsi="Cambria Math" w:cs="Times New Roman"/>
                <w:i/>
                <w:color w:val="auto"/>
                <w:kern w:val="0"/>
                <w:sz w:val="24"/>
                <w:szCs w:val="24"/>
                <w:highlight w:val="none"/>
                <w:vertAlign w:val="subscript"/>
                <w:lang w:bidi="ar"/>
              </w:rPr>
            </m:ctrlPr>
          </m:sub>
        </m:sSub>
      </m:oMath>
      <w:r>
        <w:rPr>
          <w:rFonts w:hint="default" w:ascii="Times New Roman" w:hAnsi="Times New Roman" w:eastAsia="宋体" w:cs="Times New Roman"/>
          <w:color w:val="auto"/>
          <w:kern w:val="0"/>
          <w:sz w:val="24"/>
          <w:szCs w:val="24"/>
          <w:highlight w:val="none"/>
          <w:vertAlign w:val="subscript"/>
          <w:lang w:bidi="ar"/>
        </w:rPr>
        <w:t>-正常火炬</w:t>
      </w:r>
      <w:r>
        <w:rPr>
          <w:rFonts w:hint="default" w:ascii="Times New Roman" w:hAnsi="Times New Roman" w:eastAsia="宋体" w:cs="Times New Roman"/>
          <w:color w:val="auto"/>
          <w:kern w:val="0"/>
          <w:sz w:val="24"/>
          <w:szCs w:val="24"/>
          <w:highlight w:val="none"/>
          <w:lang w:bidi="ar"/>
        </w:rPr>
        <w:t>-正常工况下火炬系统产生的CH</w:t>
      </w:r>
      <w:r>
        <w:rPr>
          <w:rFonts w:hint="default" w:ascii="Times New Roman" w:hAnsi="Times New Roman" w:eastAsia="宋体" w:cs="Times New Roman"/>
          <w:color w:val="auto"/>
          <w:kern w:val="0"/>
          <w:sz w:val="24"/>
          <w:szCs w:val="24"/>
          <w:highlight w:val="none"/>
          <w:vertAlign w:val="subscript"/>
          <w:lang w:bidi="ar"/>
        </w:rPr>
        <w:t>4</w:t>
      </w:r>
      <w:r>
        <w:rPr>
          <w:rFonts w:hint="default" w:ascii="Times New Roman" w:hAnsi="Times New Roman" w:eastAsia="宋体" w:cs="Times New Roman"/>
          <w:color w:val="auto"/>
          <w:kern w:val="0"/>
          <w:sz w:val="24"/>
          <w:szCs w:val="24"/>
          <w:highlight w:val="none"/>
          <w:lang w:bidi="ar"/>
        </w:rPr>
        <w:t>排放，单位为吨CH</w:t>
      </w:r>
      <w:r>
        <w:rPr>
          <w:rFonts w:hint="default" w:ascii="Times New Roman" w:hAnsi="Times New Roman" w:eastAsia="宋体" w:cs="Times New Roman"/>
          <w:color w:val="auto"/>
          <w:kern w:val="0"/>
          <w:sz w:val="24"/>
          <w:szCs w:val="24"/>
          <w:highlight w:val="none"/>
          <w:vertAlign w:val="subscript"/>
          <w:lang w:bidi="ar"/>
        </w:rPr>
        <w:t>4</w:t>
      </w:r>
      <w:r>
        <w:rPr>
          <w:rFonts w:hint="default" w:ascii="Times New Roman" w:hAnsi="Times New Roman" w:eastAsia="宋体" w:cs="Times New Roman"/>
          <w:color w:val="auto"/>
          <w:kern w:val="0"/>
          <w:sz w:val="24"/>
          <w:szCs w:val="24"/>
          <w:highlight w:val="none"/>
          <w:lang w:bidi="ar"/>
        </w:rPr>
        <w:t xml:space="preserve">； </w:t>
      </w:r>
    </w:p>
    <w:p w14:paraId="735FD2E1">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kern w:val="0"/>
          <w:sz w:val="24"/>
          <w:szCs w:val="24"/>
          <w:highlight w:val="none"/>
          <w:lang w:bidi="ar"/>
        </w:rPr>
      </w:pPr>
      <m:oMath>
        <m:sSub>
          <m:sSubPr>
            <m:ctrlPr>
              <w:rPr>
                <w:rFonts w:ascii="Cambria Math" w:hAnsi="Cambria Math" w:cs="Times New Roman"/>
                <w:i/>
                <w:color w:val="auto"/>
                <w:kern w:val="0"/>
                <w:sz w:val="24"/>
                <w:szCs w:val="24"/>
                <w:highlight w:val="none"/>
                <w:vertAlign w:val="subscript"/>
                <w:lang w:bidi="ar"/>
              </w:rPr>
            </m:ctrlPr>
          </m:sSubPr>
          <m:e>
            <m:r>
              <m:rPr/>
              <w:rPr>
                <w:rFonts w:hint="default" w:ascii="Cambria Math" w:hAnsi="Cambria Math" w:cs="Times New Roman"/>
                <w:color w:val="auto"/>
                <w:kern w:val="0"/>
                <w:sz w:val="24"/>
                <w:szCs w:val="24"/>
                <w:highlight w:val="none"/>
                <w:vertAlign w:val="subscript"/>
                <w:lang w:val="en-US" w:eastAsia="zh-CN" w:bidi="ar"/>
              </w:rPr>
              <m:t>E</m:t>
            </m:r>
            <m:ctrlPr>
              <w:rPr>
                <w:rFonts w:ascii="Cambria Math" w:hAnsi="Cambria Math" w:cs="Times New Roman"/>
                <w:i/>
                <w:color w:val="auto"/>
                <w:kern w:val="0"/>
                <w:sz w:val="24"/>
                <w:szCs w:val="24"/>
                <w:highlight w:val="none"/>
                <w:vertAlign w:val="subscript"/>
                <w:lang w:bidi="ar"/>
              </w:rPr>
            </m:ctrlPr>
          </m:e>
          <m:sub>
            <m:sSub>
              <m:sSubPr>
                <m:ctrlPr>
                  <w:rPr>
                    <w:rFonts w:ascii="Cambria Math" w:hAnsi="Cambria Math" w:cs="Times New Roman"/>
                    <w:i/>
                    <w:color w:val="auto"/>
                    <w:kern w:val="0"/>
                    <w:sz w:val="24"/>
                    <w:szCs w:val="24"/>
                    <w:highlight w:val="none"/>
                    <w:vertAlign w:val="subscript"/>
                    <w:lang w:bidi="ar"/>
                  </w:rPr>
                </m:ctrlPr>
              </m:sSubPr>
              <m:e>
                <m:r>
                  <m:rPr/>
                  <w:rPr>
                    <w:rFonts w:hint="default" w:ascii="Cambria Math" w:hAnsi="Cambria Math" w:cs="Times New Roman"/>
                    <w:color w:val="auto"/>
                    <w:kern w:val="0"/>
                    <w:sz w:val="24"/>
                    <w:szCs w:val="24"/>
                    <w:highlight w:val="none"/>
                    <w:vertAlign w:val="subscript"/>
                    <w:lang w:val="en-US" w:eastAsia="zh-CN" w:bidi="ar"/>
                  </w:rPr>
                  <m:t>CH</m:t>
                </m:r>
                <m:ctrlPr>
                  <w:rPr>
                    <w:rFonts w:ascii="Cambria Math" w:hAnsi="Cambria Math" w:cs="Times New Roman"/>
                    <w:i/>
                    <w:color w:val="auto"/>
                    <w:kern w:val="0"/>
                    <w:sz w:val="24"/>
                    <w:szCs w:val="24"/>
                    <w:highlight w:val="none"/>
                    <w:vertAlign w:val="subscript"/>
                    <w:lang w:bidi="ar"/>
                  </w:rPr>
                </m:ctrlPr>
              </m:e>
              <m:sub>
                <m:r>
                  <m:rPr/>
                  <w:rPr>
                    <w:rFonts w:hint="default" w:ascii="Cambria Math" w:hAnsi="Cambria Math" w:cs="Times New Roman"/>
                    <w:color w:val="auto"/>
                    <w:kern w:val="0"/>
                    <w:sz w:val="24"/>
                    <w:szCs w:val="24"/>
                    <w:highlight w:val="none"/>
                    <w:vertAlign w:val="subscript"/>
                    <w:lang w:val="en-US" w:eastAsia="zh-CN" w:bidi="ar"/>
                  </w:rPr>
                  <m:t>4</m:t>
                </m:r>
                <m:ctrlPr>
                  <w:rPr>
                    <w:rFonts w:ascii="Cambria Math" w:hAnsi="Cambria Math" w:cs="Times New Roman"/>
                    <w:i/>
                    <w:color w:val="auto"/>
                    <w:kern w:val="0"/>
                    <w:sz w:val="24"/>
                    <w:szCs w:val="24"/>
                    <w:highlight w:val="none"/>
                    <w:vertAlign w:val="subscript"/>
                    <w:lang w:bidi="ar"/>
                  </w:rPr>
                </m:ctrlPr>
              </m:sub>
            </m:sSub>
            <m:ctrlPr>
              <w:rPr>
                <w:rFonts w:ascii="Cambria Math" w:hAnsi="Cambria Math" w:cs="Times New Roman"/>
                <w:i/>
                <w:color w:val="auto"/>
                <w:kern w:val="0"/>
                <w:sz w:val="24"/>
                <w:szCs w:val="24"/>
                <w:highlight w:val="none"/>
                <w:vertAlign w:val="subscript"/>
                <w:lang w:bidi="ar"/>
              </w:rPr>
            </m:ctrlPr>
          </m:sub>
        </m:sSub>
      </m:oMath>
      <w:r>
        <w:rPr>
          <w:rFonts w:hint="default" w:ascii="Times New Roman" w:hAnsi="Times New Roman" w:eastAsia="宋体" w:cs="Times New Roman"/>
          <w:color w:val="auto"/>
          <w:kern w:val="0"/>
          <w:sz w:val="24"/>
          <w:szCs w:val="24"/>
          <w:highlight w:val="none"/>
          <w:vertAlign w:val="subscript"/>
          <w:lang w:bidi="ar"/>
        </w:rPr>
        <w:t>-事故火炬</w:t>
      </w:r>
      <w:r>
        <w:rPr>
          <w:rFonts w:hint="default" w:ascii="Times New Roman" w:hAnsi="Times New Roman" w:eastAsia="宋体" w:cs="Times New Roman"/>
          <w:color w:val="auto"/>
          <w:kern w:val="0"/>
          <w:sz w:val="24"/>
          <w:szCs w:val="24"/>
          <w:highlight w:val="none"/>
          <w:lang w:bidi="ar"/>
        </w:rPr>
        <w:t>-事故火炬产生的CH</w:t>
      </w:r>
      <w:r>
        <w:rPr>
          <w:rFonts w:hint="default" w:ascii="Times New Roman" w:hAnsi="Times New Roman" w:eastAsia="宋体" w:cs="Times New Roman"/>
          <w:color w:val="auto"/>
          <w:kern w:val="0"/>
          <w:sz w:val="24"/>
          <w:szCs w:val="24"/>
          <w:highlight w:val="none"/>
          <w:vertAlign w:val="subscript"/>
          <w:lang w:bidi="ar"/>
        </w:rPr>
        <w:t>4</w:t>
      </w:r>
      <w:r>
        <w:rPr>
          <w:rFonts w:hint="default" w:ascii="Times New Roman" w:hAnsi="Times New Roman" w:eastAsia="宋体" w:cs="Times New Roman"/>
          <w:color w:val="auto"/>
          <w:kern w:val="0"/>
          <w:sz w:val="24"/>
          <w:szCs w:val="24"/>
          <w:highlight w:val="none"/>
          <w:lang w:bidi="ar"/>
        </w:rPr>
        <w:t>排放，单位为吨CH</w:t>
      </w:r>
      <w:r>
        <w:rPr>
          <w:rFonts w:hint="default" w:ascii="Times New Roman" w:hAnsi="Times New Roman" w:eastAsia="宋体" w:cs="Times New Roman"/>
          <w:color w:val="auto"/>
          <w:kern w:val="0"/>
          <w:sz w:val="24"/>
          <w:szCs w:val="24"/>
          <w:highlight w:val="none"/>
          <w:vertAlign w:val="subscript"/>
          <w:lang w:bidi="ar"/>
        </w:rPr>
        <w:t>4</w:t>
      </w:r>
      <w:r>
        <w:rPr>
          <w:rFonts w:hint="default" w:ascii="Times New Roman" w:hAnsi="Times New Roman" w:eastAsia="宋体" w:cs="Times New Roman"/>
          <w:color w:val="auto"/>
          <w:kern w:val="0"/>
          <w:sz w:val="24"/>
          <w:szCs w:val="24"/>
          <w:highlight w:val="none"/>
          <w:lang w:bidi="ar"/>
        </w:rPr>
        <w:t>；</w:t>
      </w:r>
    </w:p>
    <w:p w14:paraId="1BBD57EB">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GWP</w:t>
      </w:r>
      <w:r>
        <w:rPr>
          <w:rFonts w:hint="default" w:ascii="Times New Roman" w:hAnsi="Times New Roman" w:eastAsia="宋体" w:cs="Times New Roman"/>
          <w:color w:val="auto"/>
          <w:kern w:val="0"/>
          <w:sz w:val="24"/>
          <w:szCs w:val="24"/>
          <w:highlight w:val="none"/>
          <w:vertAlign w:val="subscript"/>
          <w:lang w:bidi="ar"/>
        </w:rPr>
        <w:t>CH4</w:t>
      </w:r>
      <w:r>
        <w:rPr>
          <w:rFonts w:hint="default" w:ascii="Times New Roman" w:hAnsi="Times New Roman" w:eastAsia="宋体" w:cs="Times New Roman"/>
          <w:color w:val="auto"/>
          <w:kern w:val="0"/>
          <w:sz w:val="24"/>
          <w:szCs w:val="24"/>
          <w:highlight w:val="none"/>
          <w:lang w:bidi="ar"/>
        </w:rPr>
        <w:t>-CH</w:t>
      </w:r>
      <w:r>
        <w:rPr>
          <w:rFonts w:hint="default" w:ascii="Times New Roman" w:hAnsi="Times New Roman" w:eastAsia="宋体" w:cs="Times New Roman"/>
          <w:color w:val="auto"/>
          <w:kern w:val="0"/>
          <w:sz w:val="24"/>
          <w:szCs w:val="24"/>
          <w:highlight w:val="none"/>
          <w:vertAlign w:val="subscript"/>
          <w:lang w:bidi="ar"/>
        </w:rPr>
        <w:t>4</w:t>
      </w:r>
      <w:r>
        <w:rPr>
          <w:rFonts w:hint="default" w:ascii="Times New Roman" w:hAnsi="Times New Roman" w:eastAsia="宋体" w:cs="Times New Roman"/>
          <w:color w:val="auto"/>
          <w:kern w:val="0"/>
          <w:sz w:val="24"/>
          <w:szCs w:val="24"/>
          <w:highlight w:val="none"/>
          <w:lang w:bidi="ar"/>
        </w:rPr>
        <w:t>相比CO</w:t>
      </w:r>
      <w:r>
        <w:rPr>
          <w:rFonts w:hint="default" w:ascii="Times New Roman" w:hAnsi="Times New Roman" w:eastAsia="宋体" w:cs="Times New Roman"/>
          <w:color w:val="auto"/>
          <w:kern w:val="0"/>
          <w:sz w:val="24"/>
          <w:szCs w:val="24"/>
          <w:highlight w:val="none"/>
          <w:vertAlign w:val="subscript"/>
          <w:lang w:bidi="ar"/>
        </w:rPr>
        <w:t>2</w:t>
      </w:r>
      <w:r>
        <w:rPr>
          <w:rFonts w:hint="default" w:ascii="Times New Roman" w:hAnsi="Times New Roman" w:eastAsia="宋体" w:cs="Times New Roman"/>
          <w:color w:val="auto"/>
          <w:kern w:val="0"/>
          <w:sz w:val="24"/>
          <w:szCs w:val="24"/>
          <w:highlight w:val="none"/>
          <w:lang w:bidi="ar"/>
        </w:rPr>
        <w:t>的全球变暖潜势值。根据IPCC第二次评估报告，100年时间尺度内1吨CH</w:t>
      </w:r>
      <w:r>
        <w:rPr>
          <w:rFonts w:hint="default" w:ascii="Times New Roman" w:hAnsi="Times New Roman" w:eastAsia="宋体" w:cs="Times New Roman"/>
          <w:color w:val="auto"/>
          <w:kern w:val="0"/>
          <w:sz w:val="24"/>
          <w:szCs w:val="24"/>
          <w:highlight w:val="none"/>
          <w:vertAlign w:val="subscript"/>
          <w:lang w:bidi="ar"/>
        </w:rPr>
        <w:t>4</w:t>
      </w:r>
      <w:r>
        <w:rPr>
          <w:rFonts w:hint="default" w:ascii="Times New Roman" w:hAnsi="Times New Roman" w:eastAsia="宋体" w:cs="Times New Roman"/>
          <w:color w:val="auto"/>
          <w:kern w:val="0"/>
          <w:sz w:val="24"/>
          <w:szCs w:val="24"/>
          <w:highlight w:val="none"/>
          <w:lang w:bidi="ar"/>
        </w:rPr>
        <w:t>相当于21吨CO</w:t>
      </w:r>
      <w:r>
        <w:rPr>
          <w:rFonts w:hint="default" w:ascii="Times New Roman" w:hAnsi="Times New Roman" w:eastAsia="宋体" w:cs="Times New Roman"/>
          <w:color w:val="auto"/>
          <w:kern w:val="0"/>
          <w:sz w:val="24"/>
          <w:szCs w:val="24"/>
          <w:highlight w:val="none"/>
          <w:vertAlign w:val="subscript"/>
          <w:lang w:bidi="ar"/>
        </w:rPr>
        <w:t>2</w:t>
      </w:r>
      <w:r>
        <w:rPr>
          <w:rFonts w:hint="default" w:ascii="Times New Roman" w:hAnsi="Times New Roman" w:eastAsia="宋体" w:cs="Times New Roman"/>
          <w:color w:val="auto"/>
          <w:kern w:val="0"/>
          <w:sz w:val="24"/>
          <w:szCs w:val="24"/>
          <w:highlight w:val="none"/>
          <w:lang w:bidi="ar"/>
        </w:rPr>
        <w:t>的增温能力，因此GWP</w:t>
      </w:r>
      <w:r>
        <w:rPr>
          <w:rFonts w:hint="default" w:ascii="Times New Roman" w:hAnsi="Times New Roman" w:eastAsia="宋体" w:cs="Times New Roman"/>
          <w:color w:val="auto"/>
          <w:kern w:val="0"/>
          <w:sz w:val="24"/>
          <w:szCs w:val="24"/>
          <w:highlight w:val="none"/>
          <w:vertAlign w:val="subscript"/>
          <w:lang w:bidi="ar"/>
        </w:rPr>
        <w:t>CH4</w:t>
      </w:r>
      <w:r>
        <w:rPr>
          <w:rFonts w:hint="default" w:ascii="Times New Roman" w:hAnsi="Times New Roman" w:eastAsia="宋体" w:cs="Times New Roman"/>
          <w:color w:val="auto"/>
          <w:kern w:val="0"/>
          <w:sz w:val="24"/>
          <w:szCs w:val="24"/>
          <w:highlight w:val="none"/>
          <w:lang w:bidi="ar"/>
        </w:rPr>
        <w:t>等于21。</w:t>
      </w:r>
    </w:p>
    <w:p w14:paraId="337C356A">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b.正常工况下火炬气体温室气体排放公式如下：</w:t>
      </w:r>
    </w:p>
    <w:p w14:paraId="3697D6E8">
      <w:pPr>
        <w:keepNext w:val="0"/>
        <w:keepLines w:val="0"/>
        <w:pageBreakBefore w:val="0"/>
        <w:kinsoku/>
        <w:wordWrap/>
        <w:overflowPunct/>
        <w:topLinePunct w:val="0"/>
        <w:autoSpaceDE/>
        <w:autoSpaceDN/>
        <w:bidi w:val="0"/>
        <w:spacing w:line="480" w:lineRule="exact"/>
        <w:ind w:firstLine="420" w:firstLineChars="200"/>
        <w:textAlignment w:val="auto"/>
        <w:rPr>
          <w:rFonts w:hint="eastAsia"/>
          <w:color w:val="auto"/>
          <w:highlight w:val="none"/>
        </w:rPr>
      </w:pPr>
      <w:r>
        <w:rPr>
          <w:rFonts w:hint="eastAsia" w:hAnsi="宋体" w:cs="宋体"/>
          <w:color w:val="auto"/>
          <w:highlight w:val="none"/>
        </w:rPr>
        <w:drawing>
          <wp:anchor distT="0" distB="0" distL="114300" distR="114300" simplePos="0" relativeHeight="251699200" behindDoc="1" locked="0" layoutInCell="1" allowOverlap="1">
            <wp:simplePos x="0" y="0"/>
            <wp:positionH relativeFrom="column">
              <wp:posOffset>161290</wp:posOffset>
            </wp:positionH>
            <wp:positionV relativeFrom="paragraph">
              <wp:posOffset>75565</wp:posOffset>
            </wp:positionV>
            <wp:extent cx="4456430" cy="495300"/>
            <wp:effectExtent l="0" t="0" r="1270" b="0"/>
            <wp:wrapNone/>
            <wp:docPr id="12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0"/>
                    <pic:cNvPicPr>
                      <a:picLocks noChangeAspect="1"/>
                    </pic:cNvPicPr>
                  </pic:nvPicPr>
                  <pic:blipFill>
                    <a:blip r:embed="rId61"/>
                    <a:stretch>
                      <a:fillRect/>
                    </a:stretch>
                  </pic:blipFill>
                  <pic:spPr>
                    <a:xfrm>
                      <a:off x="0" y="0"/>
                      <a:ext cx="4456430" cy="495300"/>
                    </a:xfrm>
                    <a:prstGeom prst="rect">
                      <a:avLst/>
                    </a:prstGeom>
                    <a:noFill/>
                    <a:ln>
                      <a:noFill/>
                    </a:ln>
                  </pic:spPr>
                </pic:pic>
              </a:graphicData>
            </a:graphic>
          </wp:anchor>
        </w:drawing>
      </w:r>
    </w:p>
    <w:p w14:paraId="5EB009E8">
      <w:pPr>
        <w:keepNext w:val="0"/>
        <w:keepLines w:val="0"/>
        <w:pageBreakBefore w:val="0"/>
        <w:kinsoku/>
        <w:wordWrap/>
        <w:overflowPunct/>
        <w:topLinePunct w:val="0"/>
        <w:autoSpaceDE/>
        <w:autoSpaceDN/>
        <w:bidi w:val="0"/>
        <w:spacing w:line="480" w:lineRule="exact"/>
        <w:ind w:firstLine="420" w:firstLineChars="200"/>
        <w:textAlignment w:val="auto"/>
        <w:rPr>
          <w:rFonts w:hint="eastAsia"/>
          <w:color w:val="auto"/>
          <w:highlight w:val="none"/>
        </w:rPr>
      </w:pPr>
      <w:r>
        <w:rPr>
          <w:color w:val="auto"/>
          <w:highlight w:val="none"/>
        </w:rPr>
        <w:drawing>
          <wp:anchor distT="0" distB="0" distL="114300" distR="114300" simplePos="0" relativeHeight="251700224" behindDoc="1" locked="0" layoutInCell="1" allowOverlap="1">
            <wp:simplePos x="0" y="0"/>
            <wp:positionH relativeFrom="column">
              <wp:posOffset>82550</wp:posOffset>
            </wp:positionH>
            <wp:positionV relativeFrom="paragraph">
              <wp:posOffset>194310</wp:posOffset>
            </wp:positionV>
            <wp:extent cx="3858260" cy="523875"/>
            <wp:effectExtent l="0" t="0" r="8890" b="9525"/>
            <wp:wrapNone/>
            <wp:docPr id="1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1"/>
                    <pic:cNvPicPr>
                      <a:picLocks noChangeAspect="1"/>
                    </pic:cNvPicPr>
                  </pic:nvPicPr>
                  <pic:blipFill>
                    <a:blip r:embed="rId62"/>
                    <a:stretch>
                      <a:fillRect/>
                    </a:stretch>
                  </pic:blipFill>
                  <pic:spPr>
                    <a:xfrm>
                      <a:off x="0" y="0"/>
                      <a:ext cx="3858260" cy="523875"/>
                    </a:xfrm>
                    <a:prstGeom prst="rect">
                      <a:avLst/>
                    </a:prstGeom>
                    <a:noFill/>
                    <a:ln>
                      <a:noFill/>
                    </a:ln>
                  </pic:spPr>
                </pic:pic>
              </a:graphicData>
            </a:graphic>
          </wp:anchor>
        </w:drawing>
      </w:r>
    </w:p>
    <w:p w14:paraId="02903581">
      <w:pPr>
        <w:keepNext w:val="0"/>
        <w:keepLines w:val="0"/>
        <w:pageBreakBefore w:val="0"/>
        <w:kinsoku/>
        <w:wordWrap/>
        <w:overflowPunct/>
        <w:topLinePunct w:val="0"/>
        <w:autoSpaceDE/>
        <w:autoSpaceDN/>
        <w:bidi w:val="0"/>
        <w:spacing w:line="480" w:lineRule="exact"/>
        <w:ind w:firstLine="420" w:firstLineChars="200"/>
        <w:textAlignment w:val="auto"/>
        <w:rPr>
          <w:rFonts w:hint="eastAsia"/>
          <w:color w:val="auto"/>
          <w:highlight w:val="none"/>
        </w:rPr>
      </w:pPr>
    </w:p>
    <w:p w14:paraId="01510B88">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式中，</w:t>
      </w:r>
    </w:p>
    <w:p w14:paraId="2898B780">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i-火炬系统序号；</w:t>
      </w:r>
    </w:p>
    <w:p w14:paraId="5B6BFAE0">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Q</w:t>
      </w:r>
      <w:r>
        <w:rPr>
          <w:rFonts w:hint="default" w:ascii="Times New Roman" w:hAnsi="Times New Roman" w:eastAsia="宋体" w:cs="Times New Roman"/>
          <w:color w:val="auto"/>
          <w:kern w:val="0"/>
          <w:sz w:val="24"/>
          <w:szCs w:val="24"/>
          <w:highlight w:val="none"/>
          <w:vertAlign w:val="subscript"/>
          <w:lang w:bidi="ar"/>
        </w:rPr>
        <w:t>正常火炬</w:t>
      </w:r>
      <w:r>
        <w:rPr>
          <w:rFonts w:hint="default" w:ascii="Times New Roman" w:hAnsi="Times New Roman" w:eastAsia="宋体" w:cs="Times New Roman"/>
          <w:color w:val="auto"/>
          <w:kern w:val="0"/>
          <w:sz w:val="24"/>
          <w:szCs w:val="24"/>
          <w:highlight w:val="none"/>
          <w:lang w:bidi="ar"/>
        </w:rPr>
        <w:t>-正常生产状态下第i号火炬系统的火炬气流量，单位为万Nm</w:t>
      </w:r>
      <w:r>
        <w:rPr>
          <w:rFonts w:hint="default" w:ascii="Times New Roman" w:hAnsi="Times New Roman" w:eastAsia="宋体" w:cs="Times New Roman"/>
          <w:color w:val="auto"/>
          <w:kern w:val="0"/>
          <w:sz w:val="24"/>
          <w:szCs w:val="24"/>
          <w:highlight w:val="none"/>
          <w:vertAlign w:val="superscript"/>
          <w:lang w:bidi="ar"/>
        </w:rPr>
        <w:t>3</w:t>
      </w:r>
      <w:r>
        <w:rPr>
          <w:rFonts w:hint="default" w:ascii="Times New Roman" w:hAnsi="Times New Roman" w:eastAsia="宋体" w:cs="Times New Roman"/>
          <w:color w:val="auto"/>
          <w:kern w:val="0"/>
          <w:sz w:val="24"/>
          <w:szCs w:val="24"/>
          <w:highlight w:val="none"/>
          <w:lang w:bidi="ar"/>
        </w:rPr>
        <w:t>；</w:t>
      </w:r>
    </w:p>
    <w:p w14:paraId="28F209CC">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CC</w:t>
      </w:r>
      <w:r>
        <w:rPr>
          <w:rFonts w:hint="default" w:ascii="Times New Roman" w:hAnsi="Times New Roman" w:eastAsia="宋体" w:cs="Times New Roman"/>
          <w:color w:val="auto"/>
          <w:kern w:val="0"/>
          <w:sz w:val="24"/>
          <w:szCs w:val="24"/>
          <w:highlight w:val="none"/>
          <w:vertAlign w:val="subscript"/>
          <w:lang w:bidi="ar"/>
        </w:rPr>
        <w:t>非CO2</w:t>
      </w:r>
      <w:r>
        <w:rPr>
          <w:rFonts w:hint="default" w:ascii="Times New Roman" w:hAnsi="Times New Roman" w:eastAsia="宋体" w:cs="Times New Roman"/>
          <w:color w:val="auto"/>
          <w:kern w:val="0"/>
          <w:sz w:val="24"/>
          <w:szCs w:val="24"/>
          <w:highlight w:val="none"/>
          <w:lang w:bidi="ar"/>
        </w:rPr>
        <w:t>-火炬气中除CO</w:t>
      </w:r>
      <w:r>
        <w:rPr>
          <w:rFonts w:hint="default" w:ascii="Times New Roman" w:hAnsi="Times New Roman" w:eastAsia="宋体" w:cs="Times New Roman"/>
          <w:color w:val="auto"/>
          <w:kern w:val="0"/>
          <w:sz w:val="24"/>
          <w:szCs w:val="24"/>
          <w:highlight w:val="none"/>
          <w:vertAlign w:val="subscript"/>
          <w:lang w:bidi="ar"/>
        </w:rPr>
        <w:t>2</w:t>
      </w:r>
      <w:r>
        <w:rPr>
          <w:rFonts w:hint="default" w:ascii="Times New Roman" w:hAnsi="Times New Roman" w:eastAsia="宋体" w:cs="Times New Roman"/>
          <w:color w:val="auto"/>
          <w:kern w:val="0"/>
          <w:sz w:val="24"/>
          <w:szCs w:val="24"/>
          <w:highlight w:val="none"/>
          <w:lang w:bidi="ar"/>
        </w:rPr>
        <w:t>外其他含碳化合物的总含碳量，单位为吨碳/万Nm</w:t>
      </w:r>
      <w:r>
        <w:rPr>
          <w:rFonts w:hint="default" w:ascii="Times New Roman" w:hAnsi="Times New Roman" w:eastAsia="宋体" w:cs="Times New Roman"/>
          <w:color w:val="auto"/>
          <w:kern w:val="0"/>
          <w:sz w:val="24"/>
          <w:szCs w:val="24"/>
          <w:highlight w:val="none"/>
          <w:vertAlign w:val="superscript"/>
          <w:lang w:bidi="ar"/>
        </w:rPr>
        <w:t>3</w:t>
      </w:r>
      <w:r>
        <w:rPr>
          <w:rFonts w:hint="default" w:ascii="Times New Roman" w:hAnsi="Times New Roman" w:eastAsia="宋体" w:cs="Times New Roman"/>
          <w:color w:val="auto"/>
          <w:kern w:val="0"/>
          <w:sz w:val="24"/>
          <w:szCs w:val="24"/>
          <w:highlight w:val="none"/>
          <w:lang w:bidi="ar"/>
        </w:rPr>
        <w:t>；</w:t>
      </w:r>
    </w:p>
    <w:p w14:paraId="25415099">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OF-第i号火炬系统的碳氧化率，如无实测数据可采用缺省值0.98；</w:t>
      </w:r>
    </w:p>
    <w:p w14:paraId="0F317F7A">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V</w:t>
      </w:r>
      <w:r>
        <w:rPr>
          <w:rFonts w:hint="default" w:ascii="Times New Roman" w:hAnsi="Times New Roman" w:eastAsia="宋体" w:cs="Times New Roman"/>
          <w:color w:val="auto"/>
          <w:kern w:val="0"/>
          <w:sz w:val="24"/>
          <w:szCs w:val="24"/>
          <w:highlight w:val="none"/>
          <w:vertAlign w:val="subscript"/>
          <w:lang w:bidi="ar"/>
        </w:rPr>
        <w:t>CO2</w:t>
      </w:r>
      <w:r>
        <w:rPr>
          <w:rFonts w:hint="default" w:ascii="Times New Roman" w:hAnsi="Times New Roman" w:eastAsia="宋体" w:cs="Times New Roman"/>
          <w:color w:val="auto"/>
          <w:kern w:val="0"/>
          <w:sz w:val="24"/>
          <w:szCs w:val="24"/>
          <w:highlight w:val="none"/>
          <w:lang w:bidi="ar"/>
        </w:rPr>
        <w:t>-火炬气中CO</w:t>
      </w:r>
      <w:r>
        <w:rPr>
          <w:rFonts w:hint="default" w:ascii="Times New Roman" w:hAnsi="Times New Roman" w:eastAsia="宋体" w:cs="Times New Roman"/>
          <w:color w:val="auto"/>
          <w:kern w:val="0"/>
          <w:sz w:val="24"/>
          <w:szCs w:val="24"/>
          <w:highlight w:val="none"/>
          <w:vertAlign w:val="subscript"/>
          <w:lang w:bidi="ar"/>
        </w:rPr>
        <w:t>2</w:t>
      </w:r>
      <w:r>
        <w:rPr>
          <w:rFonts w:hint="default" w:ascii="Times New Roman" w:hAnsi="Times New Roman" w:eastAsia="宋体" w:cs="Times New Roman"/>
          <w:color w:val="auto"/>
          <w:kern w:val="0"/>
          <w:sz w:val="24"/>
          <w:szCs w:val="24"/>
          <w:highlight w:val="none"/>
          <w:lang w:bidi="ar"/>
        </w:rPr>
        <w:t xml:space="preserve">的体积浓度，取值范围为0～1； </w:t>
      </w:r>
    </w:p>
    <w:p w14:paraId="0AB43EA0">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kern w:val="0"/>
          <w:sz w:val="24"/>
          <w:szCs w:val="24"/>
          <w:highlight w:val="none"/>
          <w:lang w:bidi="ar"/>
        </w:rPr>
      </w:pPr>
      <m:oMath>
        <m:sSub>
          <m:sSubPr>
            <m:ctrlPr>
              <w:rPr>
                <w:rFonts w:ascii="Cambria Math" w:hAnsi="Cambria Math" w:cs="Times New Roman"/>
                <w:i/>
                <w:color w:val="auto"/>
                <w:kern w:val="0"/>
                <w:sz w:val="24"/>
                <w:szCs w:val="24"/>
                <w:highlight w:val="none"/>
                <w:lang w:bidi="ar"/>
              </w:rPr>
            </m:ctrlPr>
          </m:sSubPr>
          <m:e>
            <m:r>
              <m:rPr/>
              <w:rPr>
                <w:rFonts w:hint="default" w:ascii="Cambria Math" w:hAnsi="Cambria Math" w:cs="Times New Roman"/>
                <w:color w:val="auto"/>
                <w:kern w:val="0"/>
                <w:sz w:val="24"/>
                <w:szCs w:val="24"/>
                <w:highlight w:val="none"/>
                <w:lang w:val="en-US" w:eastAsia="zh-CN" w:bidi="ar"/>
              </w:rPr>
              <m:t>V</m:t>
            </m:r>
            <m:ctrlPr>
              <w:rPr>
                <w:rFonts w:ascii="Cambria Math" w:hAnsi="Cambria Math" w:cs="Times New Roman"/>
                <w:i/>
                <w:color w:val="auto"/>
                <w:kern w:val="0"/>
                <w:sz w:val="24"/>
                <w:szCs w:val="24"/>
                <w:highlight w:val="none"/>
                <w:lang w:bidi="ar"/>
              </w:rPr>
            </m:ctrlPr>
          </m:e>
          <m:sub>
            <m:sSub>
              <m:sSubPr>
                <m:ctrlPr>
                  <w:rPr>
                    <w:rFonts w:ascii="Cambria Math" w:hAnsi="Cambria Math" w:cs="Times New Roman"/>
                    <w:i/>
                    <w:color w:val="auto"/>
                    <w:kern w:val="0"/>
                    <w:sz w:val="24"/>
                    <w:szCs w:val="24"/>
                    <w:highlight w:val="none"/>
                    <w:lang w:bidi="ar"/>
                  </w:rPr>
                </m:ctrlPr>
              </m:sSubPr>
              <m:e>
                <m:r>
                  <m:rPr/>
                  <w:rPr>
                    <w:rFonts w:hint="default" w:ascii="Cambria Math" w:hAnsi="Cambria Math" w:cs="Times New Roman"/>
                    <w:color w:val="auto"/>
                    <w:kern w:val="0"/>
                    <w:sz w:val="24"/>
                    <w:szCs w:val="24"/>
                    <w:highlight w:val="none"/>
                    <w:lang w:val="en-US" w:eastAsia="zh-CN" w:bidi="ar"/>
                  </w:rPr>
                  <m:t>CH</m:t>
                </m:r>
                <m:ctrlPr>
                  <w:rPr>
                    <w:rFonts w:ascii="Cambria Math" w:hAnsi="Cambria Math" w:cs="Times New Roman"/>
                    <w:i/>
                    <w:color w:val="auto"/>
                    <w:kern w:val="0"/>
                    <w:sz w:val="24"/>
                    <w:szCs w:val="24"/>
                    <w:highlight w:val="none"/>
                    <w:lang w:bidi="ar"/>
                  </w:rPr>
                </m:ctrlPr>
              </m:e>
              <m:sub>
                <m:r>
                  <m:rPr/>
                  <w:rPr>
                    <w:rFonts w:hint="default" w:ascii="Cambria Math" w:hAnsi="Cambria Math" w:cs="Times New Roman"/>
                    <w:color w:val="auto"/>
                    <w:kern w:val="0"/>
                    <w:sz w:val="24"/>
                    <w:szCs w:val="24"/>
                    <w:highlight w:val="none"/>
                    <w:lang w:val="en-US" w:eastAsia="zh-CN" w:bidi="ar"/>
                  </w:rPr>
                  <m:t>4</m:t>
                </m:r>
                <m:ctrlPr>
                  <w:rPr>
                    <w:rFonts w:ascii="Cambria Math" w:hAnsi="Cambria Math" w:cs="Times New Roman"/>
                    <w:i/>
                    <w:color w:val="auto"/>
                    <w:kern w:val="0"/>
                    <w:sz w:val="24"/>
                    <w:szCs w:val="24"/>
                    <w:highlight w:val="none"/>
                    <w:lang w:bidi="ar"/>
                  </w:rPr>
                </m:ctrlPr>
              </m:sub>
            </m:sSub>
            <m:ctrlPr>
              <w:rPr>
                <w:rFonts w:ascii="Cambria Math" w:hAnsi="Cambria Math" w:cs="Times New Roman"/>
                <w:i/>
                <w:color w:val="auto"/>
                <w:kern w:val="0"/>
                <w:sz w:val="24"/>
                <w:szCs w:val="24"/>
                <w:highlight w:val="none"/>
                <w:lang w:bidi="ar"/>
              </w:rPr>
            </m:ctrlPr>
          </m:sub>
        </m:sSub>
      </m:oMath>
      <w:r>
        <w:rPr>
          <w:rFonts w:hint="default" w:ascii="Times New Roman" w:hAnsi="Times New Roman" w:eastAsia="宋体" w:cs="Times New Roman"/>
          <w:color w:val="auto"/>
          <w:kern w:val="0"/>
          <w:sz w:val="24"/>
          <w:szCs w:val="24"/>
          <w:highlight w:val="none"/>
          <w:lang w:bidi="ar"/>
        </w:rPr>
        <w:t>-为火炬气中CH</w:t>
      </w:r>
      <w:r>
        <w:rPr>
          <w:rFonts w:hint="default" w:ascii="Times New Roman" w:hAnsi="Times New Roman" w:eastAsia="宋体" w:cs="Times New Roman"/>
          <w:color w:val="auto"/>
          <w:kern w:val="0"/>
          <w:sz w:val="24"/>
          <w:szCs w:val="24"/>
          <w:highlight w:val="none"/>
          <w:vertAlign w:val="subscript"/>
          <w:lang w:bidi="ar"/>
        </w:rPr>
        <w:t>4</w:t>
      </w:r>
      <w:r>
        <w:rPr>
          <w:rFonts w:hint="default" w:ascii="Times New Roman" w:hAnsi="Times New Roman" w:eastAsia="宋体" w:cs="Times New Roman"/>
          <w:color w:val="auto"/>
          <w:kern w:val="0"/>
          <w:sz w:val="24"/>
          <w:szCs w:val="24"/>
          <w:highlight w:val="none"/>
          <w:lang w:bidi="ar"/>
        </w:rPr>
        <w:t>的体积浓度；</w:t>
      </w:r>
    </w:p>
    <w:p w14:paraId="79507935">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drawing>
          <wp:anchor distT="0" distB="0" distL="114300" distR="114300" simplePos="0" relativeHeight="251701248" behindDoc="1" locked="0" layoutInCell="1" allowOverlap="1">
            <wp:simplePos x="0" y="0"/>
            <wp:positionH relativeFrom="column">
              <wp:posOffset>172085</wp:posOffset>
            </wp:positionH>
            <wp:positionV relativeFrom="paragraph">
              <wp:posOffset>241300</wp:posOffset>
            </wp:positionV>
            <wp:extent cx="4799330" cy="610235"/>
            <wp:effectExtent l="0" t="0" r="1270" b="18415"/>
            <wp:wrapNone/>
            <wp:docPr id="12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22"/>
                    <pic:cNvPicPr>
                      <a:picLocks noChangeAspect="1"/>
                    </pic:cNvPicPr>
                  </pic:nvPicPr>
                  <pic:blipFill>
                    <a:blip r:embed="rId63"/>
                    <a:stretch>
                      <a:fillRect/>
                    </a:stretch>
                  </pic:blipFill>
                  <pic:spPr>
                    <a:xfrm>
                      <a:off x="0" y="0"/>
                      <a:ext cx="4799330" cy="610235"/>
                    </a:xfrm>
                    <a:prstGeom prst="rect">
                      <a:avLst/>
                    </a:prstGeom>
                    <a:noFill/>
                    <a:ln>
                      <a:noFill/>
                    </a:ln>
                  </pic:spPr>
                </pic:pic>
              </a:graphicData>
            </a:graphic>
          </wp:anchor>
        </w:drawing>
      </w:r>
      <w:r>
        <w:rPr>
          <w:rFonts w:hint="default" w:ascii="Times New Roman" w:hAnsi="Times New Roman" w:eastAsia="宋体" w:cs="Times New Roman"/>
          <w:color w:val="auto"/>
          <w:sz w:val="24"/>
          <w:szCs w:val="24"/>
          <w:highlight w:val="none"/>
        </w:rPr>
        <w:t>c.事故工况下火炬气体温室气体排放公式如下：</w:t>
      </w:r>
    </w:p>
    <w:p w14:paraId="7592198C">
      <w:pPr>
        <w:pStyle w:val="35"/>
        <w:keepNext w:val="0"/>
        <w:keepLines w:val="0"/>
        <w:pageBreakBefore w:val="0"/>
        <w:kinsoku/>
        <w:wordWrap/>
        <w:overflowPunct/>
        <w:topLinePunct w:val="0"/>
        <w:autoSpaceDE/>
        <w:autoSpaceDN/>
        <w:bidi w:val="0"/>
        <w:spacing w:line="480" w:lineRule="exact"/>
        <w:ind w:left="527"/>
        <w:textAlignment w:val="auto"/>
        <w:rPr>
          <w:rFonts w:hint="eastAsia"/>
          <w:color w:val="auto"/>
          <w:highlight w:val="none"/>
        </w:rPr>
      </w:pPr>
    </w:p>
    <w:p w14:paraId="5FF1B5AB">
      <w:pPr>
        <w:keepNext w:val="0"/>
        <w:keepLines w:val="0"/>
        <w:pageBreakBefore w:val="0"/>
        <w:kinsoku/>
        <w:wordWrap/>
        <w:overflowPunct/>
        <w:topLinePunct w:val="0"/>
        <w:autoSpaceDE/>
        <w:autoSpaceDN/>
        <w:bidi w:val="0"/>
        <w:spacing w:line="480" w:lineRule="exact"/>
        <w:ind w:firstLine="420" w:firstLineChars="200"/>
        <w:textAlignment w:val="auto"/>
        <w:rPr>
          <w:rFonts w:hint="eastAsia"/>
          <w:color w:val="auto"/>
          <w:highlight w:val="none"/>
        </w:rPr>
      </w:pPr>
      <w:r>
        <w:rPr>
          <w:color w:val="auto"/>
          <w:highlight w:val="none"/>
        </w:rPr>
        <w:drawing>
          <wp:anchor distT="0" distB="0" distL="114300" distR="114300" simplePos="0" relativeHeight="251702272" behindDoc="1" locked="0" layoutInCell="1" allowOverlap="1">
            <wp:simplePos x="0" y="0"/>
            <wp:positionH relativeFrom="column">
              <wp:posOffset>139700</wp:posOffset>
            </wp:positionH>
            <wp:positionV relativeFrom="paragraph">
              <wp:posOffset>198755</wp:posOffset>
            </wp:positionV>
            <wp:extent cx="4444365" cy="586740"/>
            <wp:effectExtent l="0" t="0" r="13335" b="3810"/>
            <wp:wrapNone/>
            <wp:docPr id="13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3"/>
                    <pic:cNvPicPr>
                      <a:picLocks noChangeAspect="1"/>
                    </pic:cNvPicPr>
                  </pic:nvPicPr>
                  <pic:blipFill>
                    <a:blip r:embed="rId64"/>
                    <a:stretch>
                      <a:fillRect/>
                    </a:stretch>
                  </pic:blipFill>
                  <pic:spPr>
                    <a:xfrm>
                      <a:off x="0" y="0"/>
                      <a:ext cx="4444365" cy="586740"/>
                    </a:xfrm>
                    <a:prstGeom prst="rect">
                      <a:avLst/>
                    </a:prstGeom>
                    <a:noFill/>
                    <a:ln>
                      <a:noFill/>
                    </a:ln>
                  </pic:spPr>
                </pic:pic>
              </a:graphicData>
            </a:graphic>
          </wp:anchor>
        </w:drawing>
      </w:r>
    </w:p>
    <w:p w14:paraId="014F516B">
      <w:pPr>
        <w:keepNext w:val="0"/>
        <w:keepLines w:val="0"/>
        <w:pageBreakBefore w:val="0"/>
        <w:kinsoku/>
        <w:wordWrap/>
        <w:overflowPunct/>
        <w:topLinePunct w:val="0"/>
        <w:autoSpaceDE/>
        <w:autoSpaceDN/>
        <w:bidi w:val="0"/>
        <w:spacing w:line="480" w:lineRule="exact"/>
        <w:ind w:firstLine="420" w:firstLineChars="200"/>
        <w:textAlignment w:val="auto"/>
        <w:rPr>
          <w:rFonts w:hint="eastAsia"/>
          <w:color w:val="auto"/>
          <w:highlight w:val="none"/>
        </w:rPr>
      </w:pPr>
    </w:p>
    <w:p w14:paraId="6A362374">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bidi="ar"/>
        </w:rPr>
        <w:t>上式中，</w:t>
      </w:r>
    </w:p>
    <w:p w14:paraId="07100260">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J-事故次数；</w:t>
      </w:r>
    </w:p>
    <w:p w14:paraId="6B42DAD0">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GF</w:t>
      </w:r>
      <w:r>
        <w:rPr>
          <w:rFonts w:hint="default" w:ascii="Times New Roman" w:hAnsi="Times New Roman" w:eastAsia="宋体" w:cs="Times New Roman"/>
          <w:color w:val="auto"/>
          <w:kern w:val="0"/>
          <w:sz w:val="24"/>
          <w:szCs w:val="24"/>
          <w:highlight w:val="none"/>
          <w:vertAlign w:val="subscript"/>
          <w:lang w:bidi="ar"/>
        </w:rPr>
        <w:t>事故,j</w:t>
      </w:r>
      <w:r>
        <w:rPr>
          <w:rFonts w:hint="default" w:ascii="Times New Roman" w:hAnsi="Times New Roman" w:eastAsia="宋体" w:cs="Times New Roman"/>
          <w:color w:val="auto"/>
          <w:kern w:val="0"/>
          <w:sz w:val="24"/>
          <w:szCs w:val="24"/>
          <w:highlight w:val="none"/>
          <w:lang w:bidi="ar"/>
        </w:rPr>
        <w:t>-报告期内第j次事故状态时的火炬气流速度，单位为万Nm</w:t>
      </w:r>
      <w:r>
        <w:rPr>
          <w:rFonts w:hint="default" w:ascii="Times New Roman" w:hAnsi="Times New Roman" w:eastAsia="宋体" w:cs="Times New Roman"/>
          <w:color w:val="auto"/>
          <w:kern w:val="0"/>
          <w:sz w:val="24"/>
          <w:szCs w:val="24"/>
          <w:highlight w:val="none"/>
          <w:vertAlign w:val="superscript"/>
          <w:lang w:bidi="ar"/>
        </w:rPr>
        <w:t>3</w:t>
      </w:r>
      <w:r>
        <w:rPr>
          <w:rFonts w:hint="default" w:ascii="Times New Roman" w:hAnsi="Times New Roman" w:eastAsia="宋体" w:cs="Times New Roman"/>
          <w:color w:val="auto"/>
          <w:kern w:val="0"/>
          <w:sz w:val="24"/>
          <w:szCs w:val="24"/>
          <w:highlight w:val="none"/>
          <w:lang w:bidi="ar"/>
        </w:rPr>
        <w:t>/小时；</w:t>
      </w:r>
    </w:p>
    <w:p w14:paraId="18029487">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T</w:t>
      </w:r>
      <w:r>
        <w:rPr>
          <w:rFonts w:hint="default" w:ascii="Times New Roman" w:hAnsi="Times New Roman" w:eastAsia="宋体" w:cs="Times New Roman"/>
          <w:color w:val="auto"/>
          <w:kern w:val="0"/>
          <w:sz w:val="24"/>
          <w:szCs w:val="24"/>
          <w:highlight w:val="none"/>
          <w:vertAlign w:val="subscript"/>
          <w:lang w:bidi="ar"/>
        </w:rPr>
        <w:t>事故,j</w:t>
      </w:r>
      <w:r>
        <w:rPr>
          <w:rFonts w:hint="default" w:ascii="Times New Roman" w:hAnsi="Times New Roman" w:eastAsia="宋体" w:cs="Times New Roman"/>
          <w:color w:val="auto"/>
          <w:kern w:val="0"/>
          <w:sz w:val="24"/>
          <w:szCs w:val="24"/>
          <w:highlight w:val="none"/>
          <w:lang w:bidi="ar"/>
        </w:rPr>
        <w:t>-报告期内第j次事故的持续时间，单位为小时；</w:t>
      </w:r>
    </w:p>
    <w:p w14:paraId="06B85ED5">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kern w:val="0"/>
          <w:sz w:val="24"/>
          <w:szCs w:val="24"/>
          <w:highlight w:val="none"/>
          <w:lang w:bidi="ar"/>
        </w:rPr>
      </w:pPr>
      <m:oMath>
        <m:sSub>
          <m:sSubPr>
            <m:ctrlPr>
              <w:rPr>
                <w:rFonts w:ascii="Cambria Math" w:hAnsi="Cambria Math" w:cs="Times New Roman"/>
                <w:i/>
                <w:color w:val="auto"/>
                <w:kern w:val="0"/>
                <w:sz w:val="24"/>
                <w:szCs w:val="24"/>
                <w:highlight w:val="none"/>
                <w:vertAlign w:val="subscript"/>
                <w:lang w:bidi="ar"/>
              </w:rPr>
            </m:ctrlPr>
          </m:sSubPr>
          <m:e>
            <m:r>
              <m:rPr/>
              <w:rPr>
                <w:rFonts w:hint="default" w:ascii="Cambria Math" w:hAnsi="Cambria Math" w:cs="Times New Roman"/>
                <w:color w:val="auto"/>
                <w:kern w:val="0"/>
                <w:sz w:val="24"/>
                <w:szCs w:val="24"/>
                <w:highlight w:val="none"/>
                <w:vertAlign w:val="subscript"/>
                <w:lang w:val="en-US" w:eastAsia="zh-CN" w:bidi="ar"/>
              </w:rPr>
              <m:t>CC</m:t>
            </m:r>
            <m:ctrlPr>
              <w:rPr>
                <w:rFonts w:ascii="Cambria Math" w:hAnsi="Cambria Math" w:cs="Times New Roman"/>
                <w:i/>
                <w:color w:val="auto"/>
                <w:kern w:val="0"/>
                <w:sz w:val="24"/>
                <w:szCs w:val="24"/>
                <w:highlight w:val="none"/>
                <w:vertAlign w:val="subscript"/>
                <w:lang w:bidi="ar"/>
              </w:rPr>
            </m:ctrlPr>
          </m:e>
          <m:sub>
            <m:r>
              <m:rPr/>
              <w:rPr>
                <w:rFonts w:hint="default" w:ascii="Cambria Math" w:hAnsi="Cambria Math" w:cs="Times New Roman"/>
                <w:color w:val="auto"/>
                <w:kern w:val="0"/>
                <w:sz w:val="24"/>
                <w:szCs w:val="24"/>
                <w:highlight w:val="none"/>
                <w:vertAlign w:val="subscript"/>
                <w:lang w:val="en-US" w:eastAsia="zh-CN" w:bidi="ar"/>
              </w:rPr>
              <m:t>(</m:t>
            </m:r>
            <m:sSub>
              <m:sSubPr>
                <m:ctrlPr>
                  <w:rPr>
                    <w:rFonts w:hint="default" w:ascii="Cambria Math" w:hAnsi="Cambria Math" w:cs="Times New Roman"/>
                    <w:i/>
                    <w:color w:val="auto"/>
                    <w:kern w:val="0"/>
                    <w:sz w:val="24"/>
                    <w:szCs w:val="24"/>
                    <w:highlight w:val="none"/>
                    <w:vertAlign w:val="subscript"/>
                    <w:lang w:val="en-US" w:eastAsia="zh-CN" w:bidi="ar"/>
                  </w:rPr>
                </m:ctrlPr>
              </m:sSubPr>
              <m:e>
                <m:r>
                  <m:rPr/>
                  <w:rPr>
                    <w:rFonts w:hint="eastAsia" w:ascii="Cambria Math" w:hAnsi="Cambria Math" w:cs="Times New Roman"/>
                    <w:color w:val="auto"/>
                    <w:kern w:val="0"/>
                    <w:sz w:val="24"/>
                    <w:szCs w:val="24"/>
                    <w:highlight w:val="none"/>
                    <w:vertAlign w:val="subscript"/>
                    <w:lang w:val="en-US" w:eastAsia="zh-CN" w:bidi="ar"/>
                  </w:rPr>
                  <m:t>非</m:t>
                </m:r>
                <m:r>
                  <m:rPr/>
                  <w:rPr>
                    <w:rFonts w:hint="default" w:ascii="Cambria Math" w:hAnsi="Cambria Math" w:cs="Times New Roman"/>
                    <w:color w:val="auto"/>
                    <w:kern w:val="0"/>
                    <w:sz w:val="24"/>
                    <w:szCs w:val="24"/>
                    <w:highlight w:val="none"/>
                    <w:vertAlign w:val="subscript"/>
                    <w:lang w:val="en-US" w:eastAsia="zh-CN" w:bidi="ar"/>
                  </w:rPr>
                  <m:t>CO</m:t>
                </m:r>
                <m:ctrlPr>
                  <w:rPr>
                    <w:rFonts w:hint="default" w:ascii="Cambria Math" w:hAnsi="Cambria Math" w:cs="Times New Roman"/>
                    <w:i/>
                    <w:color w:val="auto"/>
                    <w:kern w:val="0"/>
                    <w:sz w:val="24"/>
                    <w:szCs w:val="24"/>
                    <w:highlight w:val="none"/>
                    <w:vertAlign w:val="subscript"/>
                    <w:lang w:val="en-US" w:eastAsia="zh-CN" w:bidi="ar"/>
                  </w:rPr>
                </m:ctrlPr>
              </m:e>
              <m:sub>
                <m:r>
                  <m:rPr/>
                  <w:rPr>
                    <w:rFonts w:hint="default" w:ascii="Cambria Math" w:hAnsi="Cambria Math" w:cs="Times New Roman"/>
                    <w:color w:val="auto"/>
                    <w:kern w:val="0"/>
                    <w:sz w:val="24"/>
                    <w:szCs w:val="24"/>
                    <w:highlight w:val="none"/>
                    <w:vertAlign w:val="subscript"/>
                    <w:lang w:val="en-US" w:eastAsia="zh-CN" w:bidi="ar"/>
                  </w:rPr>
                  <m:t>2</m:t>
                </m:r>
                <m:ctrlPr>
                  <w:rPr>
                    <w:rFonts w:hint="default" w:ascii="Cambria Math" w:hAnsi="Cambria Math" w:cs="Times New Roman"/>
                    <w:i/>
                    <w:color w:val="auto"/>
                    <w:kern w:val="0"/>
                    <w:sz w:val="24"/>
                    <w:szCs w:val="24"/>
                    <w:highlight w:val="none"/>
                    <w:vertAlign w:val="subscript"/>
                    <w:lang w:val="en-US" w:eastAsia="zh-CN" w:bidi="ar"/>
                  </w:rPr>
                </m:ctrlPr>
              </m:sub>
            </m:sSub>
            <m:r>
              <m:rPr/>
              <w:rPr>
                <w:rFonts w:hint="default" w:ascii="Cambria Math" w:hAnsi="Cambria Math" w:cs="Times New Roman"/>
                <w:color w:val="auto"/>
                <w:kern w:val="0"/>
                <w:sz w:val="24"/>
                <w:szCs w:val="24"/>
                <w:highlight w:val="none"/>
                <w:vertAlign w:val="subscript"/>
                <w:lang w:val="en-US" w:eastAsia="zh-CN" w:bidi="ar"/>
              </w:rPr>
              <m:t>)</m:t>
            </m:r>
            <m:ctrlPr>
              <w:rPr>
                <w:rFonts w:ascii="Cambria Math" w:hAnsi="Cambria Math" w:cs="Times New Roman"/>
                <w:i/>
                <w:color w:val="auto"/>
                <w:kern w:val="0"/>
                <w:sz w:val="24"/>
                <w:szCs w:val="24"/>
                <w:highlight w:val="none"/>
                <w:vertAlign w:val="subscript"/>
                <w:lang w:bidi="ar"/>
              </w:rPr>
            </m:ctrlPr>
          </m:sub>
        </m:sSub>
      </m:oMath>
      <w:r>
        <w:rPr>
          <w:rFonts w:hint="default" w:ascii="Times New Roman" w:hAnsi="Times New Roman" w:eastAsia="宋体" w:cs="Times New Roman"/>
          <w:color w:val="auto"/>
          <w:kern w:val="0"/>
          <w:sz w:val="24"/>
          <w:szCs w:val="24"/>
          <w:highlight w:val="none"/>
          <w:vertAlign w:val="subscript"/>
          <w:lang w:bidi="ar"/>
        </w:rPr>
        <w:t>j</w:t>
      </w:r>
      <w:r>
        <w:rPr>
          <w:rFonts w:hint="default" w:ascii="Times New Roman" w:hAnsi="Times New Roman" w:eastAsia="宋体" w:cs="Times New Roman"/>
          <w:color w:val="auto"/>
          <w:kern w:val="0"/>
          <w:sz w:val="24"/>
          <w:szCs w:val="24"/>
          <w:highlight w:val="none"/>
          <w:lang w:bidi="ar"/>
        </w:rPr>
        <w:t>-第j次事故火炬气中除CO</w:t>
      </w:r>
      <w:r>
        <w:rPr>
          <w:rFonts w:hint="default" w:ascii="Times New Roman" w:hAnsi="Times New Roman" w:eastAsia="宋体" w:cs="Times New Roman"/>
          <w:color w:val="auto"/>
          <w:kern w:val="0"/>
          <w:sz w:val="24"/>
          <w:szCs w:val="24"/>
          <w:highlight w:val="none"/>
          <w:vertAlign w:val="subscript"/>
          <w:lang w:bidi="ar"/>
        </w:rPr>
        <w:t>2</w:t>
      </w:r>
      <w:r>
        <w:rPr>
          <w:rFonts w:hint="default" w:ascii="Times New Roman" w:hAnsi="Times New Roman" w:eastAsia="宋体" w:cs="Times New Roman"/>
          <w:color w:val="auto"/>
          <w:kern w:val="0"/>
          <w:sz w:val="24"/>
          <w:szCs w:val="24"/>
          <w:highlight w:val="none"/>
          <w:lang w:bidi="ar"/>
        </w:rPr>
        <w:t>外其他含碳化合物的总含碳量，单位为吨碳/万Nm</w:t>
      </w:r>
      <w:r>
        <w:rPr>
          <w:rFonts w:hint="default" w:ascii="Times New Roman" w:hAnsi="Times New Roman" w:eastAsia="宋体" w:cs="Times New Roman"/>
          <w:color w:val="auto"/>
          <w:kern w:val="0"/>
          <w:sz w:val="24"/>
          <w:szCs w:val="24"/>
          <w:highlight w:val="none"/>
          <w:vertAlign w:val="superscript"/>
          <w:lang w:bidi="ar"/>
        </w:rPr>
        <w:t>3</w:t>
      </w:r>
      <w:r>
        <w:rPr>
          <w:rFonts w:hint="default" w:ascii="Times New Roman" w:hAnsi="Times New Roman" w:eastAsia="宋体" w:cs="Times New Roman"/>
          <w:color w:val="auto"/>
          <w:kern w:val="0"/>
          <w:sz w:val="24"/>
          <w:szCs w:val="24"/>
          <w:highlight w:val="none"/>
          <w:lang w:bidi="ar"/>
        </w:rPr>
        <w:t>；</w:t>
      </w:r>
    </w:p>
    <w:p w14:paraId="2179DC91">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OF-火炬燃烧的碳氧化率，如无实测数据可采用缺省值0.98；</w:t>
      </w:r>
    </w:p>
    <w:p w14:paraId="2A815B94">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kern w:val="0"/>
          <w:sz w:val="24"/>
          <w:szCs w:val="24"/>
          <w:highlight w:val="none"/>
          <w:lang w:bidi="ar"/>
        </w:rPr>
      </w:pPr>
      <m:oMath>
        <m:sSub>
          <m:sSubPr>
            <m:ctrlPr>
              <w:rPr>
                <w:rFonts w:ascii="Cambria Math" w:hAnsi="Cambria Math" w:cs="Times New Roman"/>
                <w:i/>
                <w:color w:val="auto"/>
                <w:kern w:val="0"/>
                <w:sz w:val="24"/>
                <w:szCs w:val="24"/>
                <w:highlight w:val="none"/>
                <w:lang w:bidi="ar"/>
              </w:rPr>
            </m:ctrlPr>
          </m:sSubPr>
          <m:e>
            <m:r>
              <m:rPr/>
              <w:rPr>
                <w:rFonts w:hint="default" w:ascii="Cambria Math" w:hAnsi="Cambria Math" w:cs="Times New Roman"/>
                <w:color w:val="auto"/>
                <w:kern w:val="0"/>
                <w:sz w:val="24"/>
                <w:szCs w:val="24"/>
                <w:highlight w:val="none"/>
                <w:lang w:val="en-US" w:eastAsia="zh-CN" w:bidi="ar"/>
              </w:rPr>
              <m:t>V</m:t>
            </m:r>
            <m:ctrlPr>
              <w:rPr>
                <w:rFonts w:ascii="Cambria Math" w:hAnsi="Cambria Math" w:cs="Times New Roman"/>
                <w:i/>
                <w:color w:val="auto"/>
                <w:kern w:val="0"/>
                <w:sz w:val="24"/>
                <w:szCs w:val="24"/>
                <w:highlight w:val="none"/>
                <w:lang w:bidi="ar"/>
              </w:rPr>
            </m:ctrlPr>
          </m:e>
          <m:sub>
            <m:r>
              <m:rPr/>
              <w:rPr>
                <w:rFonts w:hint="default" w:ascii="Cambria Math" w:hAnsi="Cambria Math" w:cs="Times New Roman"/>
                <w:color w:val="auto"/>
                <w:kern w:val="0"/>
                <w:sz w:val="24"/>
                <w:szCs w:val="24"/>
                <w:highlight w:val="none"/>
                <w:lang w:val="en-US" w:eastAsia="zh-CN" w:bidi="ar"/>
              </w:rPr>
              <m:t>(</m:t>
            </m:r>
            <m:sSub>
              <m:sSubPr>
                <m:ctrlPr>
                  <w:rPr>
                    <w:rFonts w:hint="default" w:ascii="Cambria Math" w:hAnsi="Cambria Math" w:cs="Times New Roman"/>
                    <w:i/>
                    <w:color w:val="auto"/>
                    <w:kern w:val="0"/>
                    <w:sz w:val="24"/>
                    <w:szCs w:val="24"/>
                    <w:highlight w:val="none"/>
                    <w:lang w:val="en-US" w:eastAsia="zh-CN" w:bidi="ar"/>
                  </w:rPr>
                </m:ctrlPr>
              </m:sSubPr>
              <m:e>
                <m:r>
                  <m:rPr/>
                  <w:rPr>
                    <w:rFonts w:hint="default" w:ascii="Cambria Math" w:hAnsi="Cambria Math" w:cs="Times New Roman"/>
                    <w:color w:val="auto"/>
                    <w:kern w:val="0"/>
                    <w:sz w:val="24"/>
                    <w:szCs w:val="24"/>
                    <w:highlight w:val="none"/>
                    <w:lang w:val="en-US" w:eastAsia="zh-CN" w:bidi="ar"/>
                  </w:rPr>
                  <m:t>CO</m:t>
                </m:r>
                <m:ctrlPr>
                  <w:rPr>
                    <w:rFonts w:hint="default" w:ascii="Cambria Math" w:hAnsi="Cambria Math" w:cs="Times New Roman"/>
                    <w:i/>
                    <w:color w:val="auto"/>
                    <w:kern w:val="0"/>
                    <w:sz w:val="24"/>
                    <w:szCs w:val="24"/>
                    <w:highlight w:val="none"/>
                    <w:lang w:val="en-US" w:eastAsia="zh-CN" w:bidi="ar"/>
                  </w:rPr>
                </m:ctrlPr>
              </m:e>
              <m:sub>
                <m:r>
                  <m:rPr/>
                  <w:rPr>
                    <w:rFonts w:hint="default" w:ascii="Cambria Math" w:hAnsi="Cambria Math" w:cs="Times New Roman"/>
                    <w:color w:val="auto"/>
                    <w:kern w:val="0"/>
                    <w:sz w:val="24"/>
                    <w:szCs w:val="24"/>
                    <w:highlight w:val="none"/>
                    <w:lang w:val="en-US" w:eastAsia="zh-CN" w:bidi="ar"/>
                  </w:rPr>
                  <m:t>2</m:t>
                </m:r>
                <m:ctrlPr>
                  <w:rPr>
                    <w:rFonts w:hint="default" w:ascii="Cambria Math" w:hAnsi="Cambria Math" w:cs="Times New Roman"/>
                    <w:i/>
                    <w:color w:val="auto"/>
                    <w:kern w:val="0"/>
                    <w:sz w:val="24"/>
                    <w:szCs w:val="24"/>
                    <w:highlight w:val="none"/>
                    <w:lang w:val="en-US" w:eastAsia="zh-CN" w:bidi="ar"/>
                  </w:rPr>
                </m:ctrlPr>
              </m:sub>
            </m:sSub>
            <m:r>
              <m:rPr/>
              <w:rPr>
                <w:rFonts w:hint="default" w:ascii="Cambria Math" w:hAnsi="Cambria Math" w:cs="Times New Roman"/>
                <w:color w:val="auto"/>
                <w:kern w:val="0"/>
                <w:sz w:val="24"/>
                <w:szCs w:val="24"/>
                <w:highlight w:val="none"/>
                <w:lang w:val="en-US" w:eastAsia="zh-CN" w:bidi="ar"/>
              </w:rPr>
              <m:t>)</m:t>
            </m:r>
            <m:ctrlPr>
              <w:rPr>
                <w:rFonts w:ascii="Cambria Math" w:hAnsi="Cambria Math" w:cs="Times New Roman"/>
                <w:i/>
                <w:color w:val="auto"/>
                <w:kern w:val="0"/>
                <w:sz w:val="24"/>
                <w:szCs w:val="24"/>
                <w:highlight w:val="none"/>
                <w:lang w:bidi="ar"/>
              </w:rPr>
            </m:ctrlPr>
          </m:sub>
        </m:sSub>
      </m:oMath>
      <w:r>
        <w:rPr>
          <w:rFonts w:hint="default" w:ascii="Times New Roman" w:hAnsi="Times New Roman" w:eastAsia="宋体" w:cs="Times New Roman"/>
          <w:color w:val="auto"/>
          <w:kern w:val="0"/>
          <w:sz w:val="24"/>
          <w:szCs w:val="24"/>
          <w:highlight w:val="none"/>
          <w:vertAlign w:val="subscript"/>
          <w:lang w:bidi="ar"/>
        </w:rPr>
        <w:t>)j</w:t>
      </w:r>
      <w:r>
        <w:rPr>
          <w:rFonts w:hint="default" w:ascii="Times New Roman" w:hAnsi="Times New Roman" w:eastAsia="宋体" w:cs="Times New Roman"/>
          <w:color w:val="auto"/>
          <w:kern w:val="0"/>
          <w:sz w:val="24"/>
          <w:szCs w:val="24"/>
          <w:highlight w:val="none"/>
          <w:lang w:bidi="ar"/>
        </w:rPr>
        <w:t>-第j次事故火炬气中CO</w:t>
      </w:r>
      <w:r>
        <w:rPr>
          <w:rFonts w:hint="default" w:ascii="Times New Roman" w:hAnsi="Times New Roman" w:eastAsia="宋体" w:cs="Times New Roman"/>
          <w:color w:val="auto"/>
          <w:kern w:val="0"/>
          <w:sz w:val="24"/>
          <w:szCs w:val="24"/>
          <w:highlight w:val="none"/>
          <w:vertAlign w:val="subscript"/>
          <w:lang w:bidi="ar"/>
        </w:rPr>
        <w:t>2</w:t>
      </w:r>
      <w:r>
        <w:rPr>
          <w:rFonts w:hint="default" w:ascii="Times New Roman" w:hAnsi="Times New Roman" w:eastAsia="宋体" w:cs="Times New Roman"/>
          <w:color w:val="auto"/>
          <w:kern w:val="0"/>
          <w:sz w:val="24"/>
          <w:szCs w:val="24"/>
          <w:highlight w:val="none"/>
          <w:lang w:bidi="ar"/>
        </w:rPr>
        <w:t>的体积浓度；</w:t>
      </w:r>
    </w:p>
    <w:p w14:paraId="4507426D">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kern w:val="0"/>
          <w:sz w:val="24"/>
          <w:szCs w:val="24"/>
          <w:highlight w:val="none"/>
          <w:lang w:bidi="ar"/>
        </w:rPr>
      </w:pPr>
      <m:oMath>
        <m:sSub>
          <m:sSubPr>
            <m:ctrlPr>
              <w:rPr>
                <w:rFonts w:ascii="Cambria Math" w:hAnsi="Cambria Math" w:cs="Times New Roman"/>
                <w:i/>
                <w:color w:val="auto"/>
                <w:kern w:val="0"/>
                <w:sz w:val="24"/>
                <w:szCs w:val="24"/>
                <w:highlight w:val="none"/>
                <w:lang w:bidi="ar"/>
              </w:rPr>
            </m:ctrlPr>
          </m:sSubPr>
          <m:e>
            <m:r>
              <m:rPr/>
              <w:rPr>
                <w:rFonts w:hint="default" w:ascii="Cambria Math" w:hAnsi="Cambria Math" w:cs="Times New Roman"/>
                <w:color w:val="auto"/>
                <w:kern w:val="0"/>
                <w:sz w:val="24"/>
                <w:szCs w:val="24"/>
                <w:highlight w:val="none"/>
                <w:lang w:val="en-US" w:eastAsia="zh-CN" w:bidi="ar"/>
              </w:rPr>
              <m:t>V</m:t>
            </m:r>
            <m:ctrlPr>
              <w:rPr>
                <w:rFonts w:ascii="Cambria Math" w:hAnsi="Cambria Math" w:cs="Times New Roman"/>
                <w:i/>
                <w:color w:val="auto"/>
                <w:kern w:val="0"/>
                <w:sz w:val="24"/>
                <w:szCs w:val="24"/>
                <w:highlight w:val="none"/>
                <w:lang w:bidi="ar"/>
              </w:rPr>
            </m:ctrlPr>
          </m:e>
          <m:sub>
            <m:sSub>
              <m:sSubPr>
                <m:ctrlPr>
                  <w:rPr>
                    <w:rFonts w:ascii="Cambria Math" w:hAnsi="Cambria Math" w:cs="Times New Roman"/>
                    <w:i/>
                    <w:color w:val="auto"/>
                    <w:kern w:val="0"/>
                    <w:sz w:val="24"/>
                    <w:szCs w:val="24"/>
                    <w:highlight w:val="none"/>
                    <w:lang w:bidi="ar"/>
                  </w:rPr>
                </m:ctrlPr>
              </m:sSubPr>
              <m:e>
                <m:r>
                  <m:rPr/>
                  <w:rPr>
                    <w:rFonts w:hint="default" w:ascii="Cambria Math" w:hAnsi="Cambria Math" w:cs="Times New Roman"/>
                    <w:color w:val="auto"/>
                    <w:kern w:val="0"/>
                    <w:sz w:val="24"/>
                    <w:szCs w:val="24"/>
                    <w:highlight w:val="none"/>
                    <w:lang w:val="en-US" w:eastAsia="zh-CN" w:bidi="ar"/>
                  </w:rPr>
                  <m:t>CH</m:t>
                </m:r>
                <m:ctrlPr>
                  <w:rPr>
                    <w:rFonts w:ascii="Cambria Math" w:hAnsi="Cambria Math" w:cs="Times New Roman"/>
                    <w:i/>
                    <w:color w:val="auto"/>
                    <w:kern w:val="0"/>
                    <w:sz w:val="24"/>
                    <w:szCs w:val="24"/>
                    <w:highlight w:val="none"/>
                    <w:lang w:bidi="ar"/>
                  </w:rPr>
                </m:ctrlPr>
              </m:e>
              <m:sub>
                <m:r>
                  <m:rPr/>
                  <w:rPr>
                    <w:rFonts w:hint="default" w:ascii="Cambria Math" w:hAnsi="Cambria Math" w:cs="Times New Roman"/>
                    <w:color w:val="auto"/>
                    <w:kern w:val="0"/>
                    <w:sz w:val="24"/>
                    <w:szCs w:val="24"/>
                    <w:highlight w:val="none"/>
                    <w:lang w:val="en-US" w:eastAsia="zh-CN" w:bidi="ar"/>
                  </w:rPr>
                  <m:t>4</m:t>
                </m:r>
                <m:ctrlPr>
                  <w:rPr>
                    <w:rFonts w:ascii="Cambria Math" w:hAnsi="Cambria Math" w:cs="Times New Roman"/>
                    <w:i/>
                    <w:color w:val="auto"/>
                    <w:kern w:val="0"/>
                    <w:sz w:val="24"/>
                    <w:szCs w:val="24"/>
                    <w:highlight w:val="none"/>
                    <w:lang w:bidi="ar"/>
                  </w:rPr>
                </m:ctrlPr>
              </m:sub>
            </m:sSub>
            <m:ctrlPr>
              <w:rPr>
                <w:rFonts w:ascii="Cambria Math" w:hAnsi="Cambria Math" w:cs="Times New Roman"/>
                <w:i/>
                <w:color w:val="auto"/>
                <w:kern w:val="0"/>
                <w:sz w:val="24"/>
                <w:szCs w:val="24"/>
                <w:highlight w:val="none"/>
                <w:lang w:bidi="ar"/>
              </w:rPr>
            </m:ctrlPr>
          </m:sub>
        </m:sSub>
      </m:oMath>
      <w:r>
        <w:rPr>
          <w:rFonts w:hint="default" w:ascii="Times New Roman" w:hAnsi="Times New Roman" w:eastAsia="宋体" w:cs="Times New Roman"/>
          <w:color w:val="auto"/>
          <w:kern w:val="0"/>
          <w:sz w:val="24"/>
          <w:szCs w:val="24"/>
          <w:highlight w:val="none"/>
          <w:lang w:bidi="ar"/>
        </w:rPr>
        <w:t>-事故火炬气中CH</w:t>
      </w:r>
      <w:r>
        <w:rPr>
          <w:rFonts w:hint="default" w:ascii="Times New Roman" w:hAnsi="Times New Roman" w:eastAsia="宋体" w:cs="Times New Roman"/>
          <w:color w:val="auto"/>
          <w:kern w:val="0"/>
          <w:sz w:val="24"/>
          <w:szCs w:val="24"/>
          <w:highlight w:val="none"/>
          <w:vertAlign w:val="subscript"/>
          <w:lang w:bidi="ar"/>
        </w:rPr>
        <w:t>4</w:t>
      </w:r>
      <w:r>
        <w:rPr>
          <w:rFonts w:hint="default" w:ascii="Times New Roman" w:hAnsi="Times New Roman" w:eastAsia="宋体" w:cs="Times New Roman"/>
          <w:color w:val="auto"/>
          <w:kern w:val="0"/>
          <w:sz w:val="24"/>
          <w:szCs w:val="24"/>
          <w:highlight w:val="none"/>
          <w:lang w:bidi="ar"/>
        </w:rPr>
        <w:t>的体积浓度；</w:t>
      </w:r>
    </w:p>
    <w:p w14:paraId="538E2336">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②计算结果</w:t>
      </w:r>
    </w:p>
    <w:p w14:paraId="0555E71B">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本项目核算火炬气温室气体排放主要为雄探1试采点</w:t>
      </w:r>
      <w:r>
        <w:rPr>
          <w:rFonts w:hint="eastAsia" w:cs="Times New Roman"/>
          <w:color w:val="auto"/>
          <w:sz w:val="24"/>
          <w:szCs w:val="24"/>
          <w:highlight w:val="none"/>
          <w:lang w:val="en-US" w:eastAsia="zh-CN"/>
        </w:rPr>
        <w:t>放空系统火炬天然气燃烧</w:t>
      </w:r>
      <w:r>
        <w:rPr>
          <w:rFonts w:hint="default" w:ascii="Times New Roman" w:hAnsi="Times New Roman" w:eastAsia="宋体" w:cs="Times New Roman"/>
          <w:color w:val="auto"/>
          <w:sz w:val="24"/>
          <w:szCs w:val="24"/>
          <w:highlight w:val="none"/>
        </w:rPr>
        <w:t>排放量。相关参数如下表。</w:t>
      </w:r>
    </w:p>
    <w:p w14:paraId="5F7A0CB9">
      <w:pPr>
        <w:pStyle w:val="61"/>
        <w:bidi w:val="0"/>
        <w:jc w:val="both"/>
        <w:rPr>
          <w:rFonts w:hint="eastAsia"/>
          <w:color w:val="auto"/>
        </w:rPr>
      </w:pPr>
      <w:r>
        <w:rPr>
          <w:rFonts w:hint="eastAsia"/>
          <w:color w:val="auto"/>
        </w:rPr>
        <w:t>表7.1-3        火炬燃烧排放活动相关参数一览表</w:t>
      </w:r>
    </w:p>
    <w:tbl>
      <w:tblPr>
        <w:tblStyle w:val="36"/>
        <w:tblW w:w="5011"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457"/>
        <w:gridCol w:w="768"/>
        <w:gridCol w:w="892"/>
        <w:gridCol w:w="922"/>
        <w:gridCol w:w="671"/>
        <w:gridCol w:w="1817"/>
        <w:gridCol w:w="926"/>
        <w:gridCol w:w="1116"/>
        <w:gridCol w:w="1124"/>
      </w:tblGrid>
      <w:tr w14:paraId="0FB8F2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73" w:type="dxa"/>
            <w:tcBorders>
              <w:tl2br w:val="nil"/>
              <w:tr2bl w:val="nil"/>
            </w:tcBorders>
            <w:noWrap w:val="0"/>
            <w:vAlign w:val="center"/>
          </w:tcPr>
          <w:p w14:paraId="368EBDE0">
            <w:pPr>
              <w:pStyle w:val="35"/>
              <w:spacing w:after="0" w:line="0" w:lineRule="atLeast"/>
              <w:ind w:left="0" w:leftChars="0" w:firstLine="0"/>
              <w:jc w:val="center"/>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序号</w:t>
            </w:r>
          </w:p>
        </w:tc>
        <w:tc>
          <w:tcPr>
            <w:tcW w:w="808" w:type="dxa"/>
            <w:tcBorders>
              <w:tl2br w:val="nil"/>
              <w:tr2bl w:val="nil"/>
            </w:tcBorders>
            <w:noWrap w:val="0"/>
            <w:vAlign w:val="center"/>
          </w:tcPr>
          <w:p w14:paraId="2DDB6D96">
            <w:pPr>
              <w:pStyle w:val="35"/>
              <w:spacing w:after="0" w:line="0" w:lineRule="atLeast"/>
              <w:ind w:left="0" w:leftChars="0" w:firstLine="0"/>
              <w:jc w:val="center"/>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场所</w:t>
            </w:r>
          </w:p>
        </w:tc>
        <w:tc>
          <w:tcPr>
            <w:tcW w:w="927" w:type="dxa"/>
            <w:tcBorders>
              <w:tl2br w:val="nil"/>
              <w:tr2bl w:val="nil"/>
            </w:tcBorders>
            <w:noWrap w:val="0"/>
            <w:vAlign w:val="center"/>
          </w:tcPr>
          <w:p w14:paraId="707C1D34">
            <w:pPr>
              <w:pStyle w:val="35"/>
              <w:spacing w:after="0" w:line="0" w:lineRule="atLeast"/>
              <w:ind w:left="0" w:leftChars="0" w:firstLine="0"/>
              <w:jc w:val="center"/>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工况</w:t>
            </w:r>
          </w:p>
        </w:tc>
        <w:tc>
          <w:tcPr>
            <w:tcW w:w="936" w:type="dxa"/>
            <w:tcBorders>
              <w:tl2br w:val="nil"/>
              <w:tr2bl w:val="nil"/>
            </w:tcBorders>
            <w:noWrap w:val="0"/>
            <w:vAlign w:val="center"/>
          </w:tcPr>
          <w:p w14:paraId="759AA597">
            <w:pPr>
              <w:pStyle w:val="35"/>
              <w:spacing w:after="0" w:line="0" w:lineRule="atLeast"/>
              <w:ind w:left="0" w:leftChars="0" w:firstLine="0"/>
              <w:jc w:val="center"/>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火炬气流速</w:t>
            </w:r>
            <w:r>
              <w:rPr>
                <w:rFonts w:hint="eastAsia" w:ascii="Times New Roman" w:cs="Times New Roman"/>
                <w:color w:val="auto"/>
                <w:spacing w:val="-10"/>
                <w:sz w:val="21"/>
                <w:szCs w:val="21"/>
                <w:highlight w:val="none"/>
                <w:lang w:val="en-US" w:eastAsia="zh-CN"/>
              </w:rPr>
              <w:t>（</w:t>
            </w:r>
            <w:r>
              <w:rPr>
                <w:rFonts w:hint="default" w:ascii="Times New Roman" w:hAnsi="Times New Roman" w:eastAsia="宋体" w:cs="Times New Roman"/>
                <w:color w:val="auto"/>
                <w:spacing w:val="-10"/>
                <w:sz w:val="21"/>
                <w:szCs w:val="21"/>
                <w:highlight w:val="none"/>
                <w:lang w:val="en-US" w:eastAsia="zh-CN" w:bidi="ar"/>
              </w:rPr>
              <w:t>万Nm</w:t>
            </w:r>
            <w:r>
              <w:rPr>
                <w:rFonts w:hint="default" w:ascii="Times New Roman" w:hAnsi="Times New Roman" w:eastAsia="宋体" w:cs="Times New Roman"/>
                <w:color w:val="auto"/>
                <w:spacing w:val="-10"/>
                <w:sz w:val="21"/>
                <w:szCs w:val="21"/>
                <w:highlight w:val="none"/>
                <w:vertAlign w:val="superscript"/>
                <w:lang w:val="en-US" w:eastAsia="zh-CN" w:bidi="ar"/>
              </w:rPr>
              <w:t>3</w:t>
            </w:r>
            <w:r>
              <w:rPr>
                <w:rFonts w:hint="default" w:ascii="Times New Roman" w:hAnsi="Times New Roman" w:eastAsia="宋体" w:cs="Times New Roman"/>
                <w:color w:val="auto"/>
                <w:spacing w:val="-10"/>
                <w:sz w:val="21"/>
                <w:szCs w:val="21"/>
                <w:highlight w:val="none"/>
                <w:lang w:val="en-US" w:eastAsia="zh-CN" w:bidi="ar"/>
              </w:rPr>
              <w:t>/h</w:t>
            </w:r>
            <w:r>
              <w:rPr>
                <w:rFonts w:hint="eastAsia" w:ascii="Times New Roman" w:cs="Times New Roman"/>
                <w:color w:val="auto"/>
                <w:spacing w:val="-10"/>
                <w:sz w:val="21"/>
                <w:szCs w:val="21"/>
                <w:highlight w:val="none"/>
                <w:lang w:val="en-US" w:eastAsia="zh-CN" w:bidi="ar"/>
              </w:rPr>
              <w:t>）</w:t>
            </w:r>
          </w:p>
        </w:tc>
        <w:tc>
          <w:tcPr>
            <w:tcW w:w="682" w:type="dxa"/>
            <w:tcBorders>
              <w:tl2br w:val="nil"/>
              <w:tr2bl w:val="nil"/>
            </w:tcBorders>
            <w:noWrap w:val="0"/>
            <w:vAlign w:val="center"/>
          </w:tcPr>
          <w:p w14:paraId="3E37D5FB">
            <w:pPr>
              <w:pStyle w:val="35"/>
              <w:spacing w:after="0" w:line="0" w:lineRule="atLeast"/>
              <w:ind w:left="0" w:leftChars="0" w:firstLine="0"/>
              <w:jc w:val="center"/>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持续时间</w:t>
            </w:r>
            <w:r>
              <w:rPr>
                <w:rFonts w:hint="eastAsia" w:ascii="Times New Roman" w:cs="Times New Roman"/>
                <w:color w:val="auto"/>
                <w:spacing w:val="-10"/>
                <w:sz w:val="21"/>
                <w:szCs w:val="21"/>
                <w:highlight w:val="none"/>
                <w:lang w:val="en-US" w:eastAsia="zh-CN"/>
              </w:rPr>
              <w:t>（</w:t>
            </w:r>
            <w:r>
              <w:rPr>
                <w:rFonts w:hint="default" w:ascii="Times New Roman" w:hAnsi="Times New Roman" w:eastAsia="宋体" w:cs="Times New Roman"/>
                <w:color w:val="auto"/>
                <w:spacing w:val="-10"/>
                <w:sz w:val="21"/>
                <w:szCs w:val="21"/>
                <w:highlight w:val="none"/>
                <w:lang w:val="en-US" w:eastAsia="zh-CN"/>
              </w:rPr>
              <w:t>h</w:t>
            </w:r>
            <w:r>
              <w:rPr>
                <w:rFonts w:hint="eastAsia" w:ascii="Times New Roman" w:cs="Times New Roman"/>
                <w:color w:val="auto"/>
                <w:spacing w:val="-10"/>
                <w:sz w:val="21"/>
                <w:szCs w:val="21"/>
                <w:highlight w:val="none"/>
                <w:lang w:val="en-US" w:eastAsia="zh-CN"/>
              </w:rPr>
              <w:t>）</w:t>
            </w:r>
          </w:p>
        </w:tc>
        <w:tc>
          <w:tcPr>
            <w:tcW w:w="1911" w:type="dxa"/>
            <w:tcBorders>
              <w:tl2br w:val="nil"/>
              <w:tr2bl w:val="nil"/>
            </w:tcBorders>
            <w:noWrap w:val="0"/>
            <w:vAlign w:val="center"/>
          </w:tcPr>
          <w:p w14:paraId="739B85B8">
            <w:pPr>
              <w:pStyle w:val="35"/>
              <w:spacing w:after="0" w:line="0" w:lineRule="atLeast"/>
              <w:ind w:left="0" w:leftChars="0" w:firstLine="0"/>
              <w:jc w:val="center"/>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火炬气中除CO</w:t>
            </w:r>
            <w:r>
              <w:rPr>
                <w:rFonts w:hint="default" w:ascii="Times New Roman" w:hAnsi="Times New Roman" w:eastAsia="宋体" w:cs="Times New Roman"/>
                <w:color w:val="auto"/>
                <w:spacing w:val="-10"/>
                <w:sz w:val="21"/>
                <w:szCs w:val="21"/>
                <w:highlight w:val="none"/>
                <w:vertAlign w:val="subscript"/>
                <w:lang w:val="en-US" w:eastAsia="zh-CN"/>
              </w:rPr>
              <w:t>2</w:t>
            </w:r>
            <w:r>
              <w:rPr>
                <w:rFonts w:hint="default" w:ascii="Times New Roman" w:hAnsi="Times New Roman" w:eastAsia="宋体" w:cs="Times New Roman"/>
                <w:color w:val="auto"/>
                <w:spacing w:val="-10"/>
                <w:sz w:val="21"/>
                <w:szCs w:val="21"/>
                <w:highlight w:val="none"/>
                <w:lang w:val="en-US" w:eastAsia="zh-CN"/>
              </w:rPr>
              <w:t>外其他含碳化合物的总含碳量</w:t>
            </w:r>
            <w:r>
              <w:rPr>
                <w:rFonts w:hint="eastAsia" w:ascii="Times New Roman" w:cs="Times New Roman"/>
                <w:color w:val="auto"/>
                <w:spacing w:val="-10"/>
                <w:sz w:val="21"/>
                <w:szCs w:val="21"/>
                <w:highlight w:val="none"/>
                <w:lang w:val="en-US" w:eastAsia="zh-CN"/>
              </w:rPr>
              <w:t>（</w:t>
            </w:r>
            <w:r>
              <w:rPr>
                <w:rFonts w:hint="default" w:ascii="Times New Roman" w:hAnsi="Times New Roman" w:eastAsia="宋体" w:cs="Times New Roman"/>
                <w:color w:val="auto"/>
                <w:spacing w:val="-10"/>
                <w:sz w:val="21"/>
                <w:szCs w:val="21"/>
                <w:highlight w:val="none"/>
                <w:lang w:val="en-US" w:eastAsia="zh-CN"/>
              </w:rPr>
              <w:t>吨碳/</w:t>
            </w:r>
            <w:r>
              <w:rPr>
                <w:rFonts w:hint="default" w:ascii="Times New Roman" w:hAnsi="Times New Roman" w:eastAsia="宋体" w:cs="Times New Roman"/>
                <w:color w:val="auto"/>
                <w:spacing w:val="-10"/>
                <w:sz w:val="21"/>
                <w:szCs w:val="21"/>
                <w:highlight w:val="none"/>
                <w:lang w:val="en-US" w:eastAsia="zh-CN" w:bidi="ar"/>
              </w:rPr>
              <w:t>万Nm</w:t>
            </w:r>
            <w:r>
              <w:rPr>
                <w:rFonts w:hint="default" w:ascii="Times New Roman" w:hAnsi="Times New Roman" w:eastAsia="宋体" w:cs="Times New Roman"/>
                <w:color w:val="auto"/>
                <w:spacing w:val="-10"/>
                <w:sz w:val="21"/>
                <w:szCs w:val="21"/>
                <w:highlight w:val="none"/>
                <w:vertAlign w:val="superscript"/>
                <w:lang w:val="en-US" w:eastAsia="zh-CN" w:bidi="ar"/>
              </w:rPr>
              <w:t>3</w:t>
            </w:r>
            <w:r>
              <w:rPr>
                <w:rFonts w:hint="eastAsia" w:ascii="Times New Roman" w:cs="Times New Roman"/>
                <w:color w:val="auto"/>
                <w:spacing w:val="-10"/>
                <w:sz w:val="21"/>
                <w:szCs w:val="21"/>
                <w:highlight w:val="none"/>
                <w:vertAlign w:val="baseline"/>
                <w:lang w:val="en-US" w:eastAsia="zh-CN" w:bidi="ar"/>
              </w:rPr>
              <w:t>）</w:t>
            </w:r>
          </w:p>
        </w:tc>
        <w:tc>
          <w:tcPr>
            <w:tcW w:w="968" w:type="dxa"/>
            <w:tcBorders>
              <w:tl2br w:val="nil"/>
              <w:tr2bl w:val="nil"/>
            </w:tcBorders>
            <w:noWrap w:val="0"/>
            <w:vAlign w:val="center"/>
          </w:tcPr>
          <w:p w14:paraId="6DE5175E">
            <w:pPr>
              <w:pStyle w:val="35"/>
              <w:spacing w:after="0" w:line="0" w:lineRule="atLeast"/>
              <w:ind w:left="0" w:leftChars="0" w:firstLine="0"/>
              <w:jc w:val="center"/>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bidi="ar"/>
              </w:rPr>
              <w:t>火炬燃烧的碳氧化率</w:t>
            </w:r>
          </w:p>
        </w:tc>
        <w:tc>
          <w:tcPr>
            <w:tcW w:w="1165" w:type="dxa"/>
            <w:tcBorders>
              <w:tl2br w:val="nil"/>
              <w:tr2bl w:val="nil"/>
            </w:tcBorders>
            <w:noWrap w:val="0"/>
            <w:vAlign w:val="center"/>
          </w:tcPr>
          <w:p w14:paraId="081A75E8">
            <w:pPr>
              <w:pStyle w:val="35"/>
              <w:spacing w:after="0" w:line="0" w:lineRule="atLeast"/>
              <w:ind w:left="0" w:leftChars="0" w:firstLine="0"/>
              <w:jc w:val="center"/>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bidi="ar"/>
              </w:rPr>
              <w:t>火炬气中CO</w:t>
            </w:r>
            <w:r>
              <w:rPr>
                <w:rFonts w:hint="default" w:ascii="Times New Roman" w:hAnsi="Times New Roman" w:eastAsia="宋体" w:cs="Times New Roman"/>
                <w:color w:val="auto"/>
                <w:spacing w:val="-10"/>
                <w:sz w:val="21"/>
                <w:szCs w:val="21"/>
                <w:highlight w:val="none"/>
                <w:vertAlign w:val="subscript"/>
                <w:lang w:val="en-US" w:eastAsia="zh-CN" w:bidi="ar"/>
              </w:rPr>
              <w:t>2</w:t>
            </w:r>
            <w:r>
              <w:rPr>
                <w:rFonts w:hint="default" w:ascii="Times New Roman" w:hAnsi="Times New Roman" w:eastAsia="宋体" w:cs="Times New Roman"/>
                <w:color w:val="auto"/>
                <w:spacing w:val="-10"/>
                <w:sz w:val="21"/>
                <w:szCs w:val="21"/>
                <w:highlight w:val="none"/>
                <w:lang w:val="en-US" w:eastAsia="zh-CN" w:bidi="ar"/>
              </w:rPr>
              <w:t>的体积浓度</w:t>
            </w:r>
          </w:p>
        </w:tc>
        <w:tc>
          <w:tcPr>
            <w:tcW w:w="1165" w:type="dxa"/>
            <w:tcBorders>
              <w:tl2br w:val="nil"/>
              <w:tr2bl w:val="nil"/>
            </w:tcBorders>
            <w:noWrap w:val="0"/>
            <w:vAlign w:val="center"/>
          </w:tcPr>
          <w:p w14:paraId="3F6C3466">
            <w:pPr>
              <w:pStyle w:val="35"/>
              <w:spacing w:after="0" w:line="0" w:lineRule="atLeast"/>
              <w:ind w:left="0" w:leftChars="0" w:firstLine="0"/>
              <w:jc w:val="center"/>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bidi="ar"/>
              </w:rPr>
              <w:t>火炬气中CH</w:t>
            </w:r>
            <w:r>
              <w:rPr>
                <w:rFonts w:hint="default" w:ascii="Times New Roman" w:hAnsi="Times New Roman" w:eastAsia="宋体" w:cs="Times New Roman"/>
                <w:color w:val="auto"/>
                <w:spacing w:val="-10"/>
                <w:sz w:val="21"/>
                <w:szCs w:val="21"/>
                <w:highlight w:val="none"/>
                <w:vertAlign w:val="subscript"/>
                <w:lang w:val="en-US" w:eastAsia="zh-CN" w:bidi="ar"/>
              </w:rPr>
              <w:t>4</w:t>
            </w:r>
            <w:r>
              <w:rPr>
                <w:rFonts w:hint="default" w:ascii="Times New Roman" w:hAnsi="Times New Roman" w:eastAsia="宋体" w:cs="Times New Roman"/>
                <w:color w:val="auto"/>
                <w:spacing w:val="-10"/>
                <w:sz w:val="21"/>
                <w:szCs w:val="21"/>
                <w:highlight w:val="none"/>
                <w:lang w:val="en-US" w:eastAsia="zh-CN" w:bidi="ar"/>
              </w:rPr>
              <w:t>的体积浓度</w:t>
            </w:r>
          </w:p>
        </w:tc>
      </w:tr>
      <w:tr w14:paraId="486E70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73" w:type="dxa"/>
            <w:tcBorders>
              <w:tl2br w:val="nil"/>
              <w:tr2bl w:val="nil"/>
            </w:tcBorders>
            <w:noWrap w:val="0"/>
            <w:vAlign w:val="center"/>
          </w:tcPr>
          <w:p w14:paraId="2BA84F10">
            <w:pPr>
              <w:pStyle w:val="35"/>
              <w:spacing w:after="0" w:line="0" w:lineRule="atLeast"/>
              <w:ind w:left="0" w:leftChars="0" w:firstLine="0"/>
              <w:jc w:val="center"/>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1</w:t>
            </w:r>
          </w:p>
        </w:tc>
        <w:tc>
          <w:tcPr>
            <w:tcW w:w="808" w:type="dxa"/>
            <w:tcBorders>
              <w:tl2br w:val="nil"/>
              <w:tr2bl w:val="nil"/>
            </w:tcBorders>
            <w:noWrap w:val="0"/>
            <w:vAlign w:val="center"/>
          </w:tcPr>
          <w:p w14:paraId="399C1A0F">
            <w:pPr>
              <w:pStyle w:val="35"/>
              <w:spacing w:after="0" w:line="0" w:lineRule="atLeast"/>
              <w:ind w:left="0" w:leftChars="0" w:firstLine="0"/>
              <w:jc w:val="center"/>
              <w:rPr>
                <w:rFonts w:hint="default" w:ascii="Times New Roman" w:hAnsi="Times New Roman" w:eastAsia="宋体" w:cs="Times New Roman"/>
                <w:color w:val="auto"/>
                <w:spacing w:val="-10"/>
                <w:sz w:val="21"/>
                <w:szCs w:val="21"/>
                <w:highlight w:val="none"/>
                <w:lang w:val="en-US" w:eastAsia="zh-CN"/>
              </w:rPr>
            </w:pPr>
            <w:r>
              <w:rPr>
                <w:rFonts w:hint="eastAsia" w:ascii="Times New Roman" w:cs="Times New Roman"/>
                <w:color w:val="auto"/>
                <w:spacing w:val="-10"/>
                <w:sz w:val="21"/>
                <w:szCs w:val="21"/>
                <w:highlight w:val="none"/>
                <w:lang w:val="en-US" w:eastAsia="zh-CN"/>
              </w:rPr>
              <w:t>雄探1试采点</w:t>
            </w:r>
          </w:p>
        </w:tc>
        <w:tc>
          <w:tcPr>
            <w:tcW w:w="927" w:type="dxa"/>
            <w:tcBorders>
              <w:tl2br w:val="nil"/>
              <w:tr2bl w:val="nil"/>
            </w:tcBorders>
            <w:noWrap w:val="0"/>
            <w:vAlign w:val="center"/>
          </w:tcPr>
          <w:p w14:paraId="7161927C">
            <w:pPr>
              <w:pStyle w:val="35"/>
              <w:spacing w:after="0" w:line="0" w:lineRule="atLeast"/>
              <w:ind w:left="0" w:leftChars="0" w:firstLine="0"/>
              <w:jc w:val="center"/>
              <w:rPr>
                <w:rFonts w:hint="default" w:ascii="Times New Roman" w:hAnsi="Times New Roman" w:eastAsia="宋体" w:cs="Times New Roman"/>
                <w:color w:val="auto"/>
                <w:spacing w:val="-10"/>
                <w:sz w:val="21"/>
                <w:szCs w:val="21"/>
                <w:highlight w:val="none"/>
                <w:lang w:val="en-US" w:eastAsia="zh-CN"/>
              </w:rPr>
            </w:pPr>
            <w:r>
              <w:rPr>
                <w:rFonts w:hint="eastAsia" w:ascii="Times New Roman" w:cs="Times New Roman"/>
                <w:color w:val="auto"/>
                <w:spacing w:val="-10"/>
                <w:sz w:val="21"/>
                <w:szCs w:val="21"/>
                <w:highlight w:val="none"/>
                <w:lang w:val="en-US" w:eastAsia="zh-CN"/>
              </w:rPr>
              <w:t>事故、非正常</w:t>
            </w:r>
            <w:r>
              <w:rPr>
                <w:rFonts w:hint="default" w:ascii="Times New Roman" w:hAnsi="Times New Roman" w:eastAsia="宋体" w:cs="Times New Roman"/>
                <w:color w:val="auto"/>
                <w:spacing w:val="-10"/>
                <w:sz w:val="21"/>
                <w:szCs w:val="21"/>
                <w:highlight w:val="none"/>
                <w:lang w:val="en-US" w:eastAsia="zh-CN"/>
              </w:rPr>
              <w:t>工况</w:t>
            </w:r>
          </w:p>
        </w:tc>
        <w:tc>
          <w:tcPr>
            <w:tcW w:w="936" w:type="dxa"/>
            <w:tcBorders>
              <w:tl2br w:val="nil"/>
              <w:tr2bl w:val="nil"/>
            </w:tcBorders>
            <w:noWrap w:val="0"/>
            <w:vAlign w:val="center"/>
          </w:tcPr>
          <w:p w14:paraId="7D28D18E">
            <w:pPr>
              <w:pStyle w:val="35"/>
              <w:spacing w:after="0" w:line="0" w:lineRule="atLeast"/>
              <w:ind w:left="0" w:leftChars="0" w:firstLine="0"/>
              <w:jc w:val="center"/>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0.208</w:t>
            </w:r>
          </w:p>
        </w:tc>
        <w:tc>
          <w:tcPr>
            <w:tcW w:w="682" w:type="dxa"/>
            <w:tcBorders>
              <w:tl2br w:val="nil"/>
              <w:tr2bl w:val="nil"/>
            </w:tcBorders>
            <w:noWrap w:val="0"/>
            <w:vAlign w:val="center"/>
          </w:tcPr>
          <w:p w14:paraId="3B765BFD">
            <w:pPr>
              <w:pStyle w:val="35"/>
              <w:spacing w:after="0" w:line="0" w:lineRule="atLeast"/>
              <w:ind w:left="0" w:leftChars="0" w:firstLine="0"/>
              <w:jc w:val="center"/>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48</w:t>
            </w:r>
          </w:p>
        </w:tc>
        <w:tc>
          <w:tcPr>
            <w:tcW w:w="1911" w:type="dxa"/>
            <w:tcBorders>
              <w:tl2br w:val="nil"/>
              <w:tr2bl w:val="nil"/>
            </w:tcBorders>
            <w:noWrap w:val="0"/>
            <w:vAlign w:val="center"/>
          </w:tcPr>
          <w:p w14:paraId="7D3ACB64">
            <w:pPr>
              <w:pStyle w:val="35"/>
              <w:spacing w:after="0" w:line="0" w:lineRule="atLeast"/>
              <w:ind w:left="0" w:leftChars="0" w:firstLine="0"/>
              <w:jc w:val="center"/>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5.47</w:t>
            </w:r>
          </w:p>
        </w:tc>
        <w:tc>
          <w:tcPr>
            <w:tcW w:w="968" w:type="dxa"/>
            <w:tcBorders>
              <w:tl2br w:val="nil"/>
              <w:tr2bl w:val="nil"/>
            </w:tcBorders>
            <w:noWrap w:val="0"/>
            <w:vAlign w:val="center"/>
          </w:tcPr>
          <w:p w14:paraId="06B98BD0">
            <w:pPr>
              <w:pStyle w:val="35"/>
              <w:spacing w:after="0" w:line="0" w:lineRule="atLeast"/>
              <w:ind w:left="0" w:leftChars="0" w:firstLine="0"/>
              <w:jc w:val="center"/>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0.98</w:t>
            </w:r>
          </w:p>
        </w:tc>
        <w:tc>
          <w:tcPr>
            <w:tcW w:w="1165" w:type="dxa"/>
            <w:tcBorders>
              <w:tl2br w:val="nil"/>
              <w:tr2bl w:val="nil"/>
            </w:tcBorders>
            <w:noWrap w:val="0"/>
            <w:vAlign w:val="center"/>
          </w:tcPr>
          <w:p w14:paraId="5FCA8740">
            <w:pPr>
              <w:pStyle w:val="35"/>
              <w:spacing w:after="0" w:line="0" w:lineRule="atLeast"/>
              <w:ind w:left="0" w:leftChars="0" w:firstLine="0"/>
              <w:jc w:val="center"/>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0.014</w:t>
            </w:r>
          </w:p>
        </w:tc>
        <w:tc>
          <w:tcPr>
            <w:tcW w:w="1165" w:type="dxa"/>
            <w:tcBorders>
              <w:tl2br w:val="nil"/>
              <w:tr2bl w:val="nil"/>
            </w:tcBorders>
            <w:noWrap w:val="0"/>
            <w:vAlign w:val="center"/>
          </w:tcPr>
          <w:p w14:paraId="7DB2B116">
            <w:pPr>
              <w:pStyle w:val="35"/>
              <w:spacing w:after="0" w:line="0" w:lineRule="atLeast"/>
              <w:ind w:left="0" w:leftChars="0" w:firstLine="0"/>
              <w:jc w:val="center"/>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0.7973</w:t>
            </w:r>
          </w:p>
        </w:tc>
      </w:tr>
    </w:tbl>
    <w:p w14:paraId="352DE999">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根据表中参数，结合公式计算可知，雄探1试采点</w:t>
      </w:r>
      <w:r>
        <w:rPr>
          <w:rFonts w:hint="eastAsia" w:cs="Times New Roman"/>
          <w:color w:val="auto"/>
          <w:sz w:val="24"/>
          <w:szCs w:val="24"/>
          <w:highlight w:val="none"/>
          <w:lang w:val="en-US" w:eastAsia="zh-CN"/>
        </w:rPr>
        <w:t>天然气放空系统</w:t>
      </w:r>
      <w:r>
        <w:rPr>
          <w:rFonts w:hint="default" w:ascii="Times New Roman" w:hAnsi="Times New Roman" w:eastAsia="宋体" w:cs="Times New Roman"/>
          <w:color w:val="auto"/>
          <w:sz w:val="24"/>
          <w:szCs w:val="24"/>
          <w:highlight w:val="none"/>
        </w:rPr>
        <w:t>火炬燃烧排放温室气体量为</w:t>
      </w:r>
      <w:r>
        <w:rPr>
          <w:rFonts w:hint="eastAsia" w:cs="Times New Roman"/>
          <w:color w:val="auto"/>
          <w:sz w:val="24"/>
          <w:szCs w:val="24"/>
          <w:highlight w:val="none"/>
          <w:lang w:val="en-US" w:eastAsia="zh-CN"/>
        </w:rPr>
        <w:t>53.6</w:t>
      </w:r>
      <w:r>
        <w:rPr>
          <w:rFonts w:hint="default" w:ascii="Times New Roman" w:hAnsi="Times New Roman" w:eastAsia="宋体" w:cs="Times New Roman"/>
          <w:color w:val="auto"/>
          <w:sz w:val="24"/>
          <w:szCs w:val="24"/>
          <w:highlight w:val="none"/>
        </w:rPr>
        <w:t>吨。</w:t>
      </w:r>
    </w:p>
    <w:p w14:paraId="297CE960">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（2）CH</w:t>
      </w:r>
      <w:r>
        <w:rPr>
          <w:rFonts w:hint="default" w:ascii="Times New Roman" w:hAnsi="Times New Roman" w:eastAsia="宋体" w:cs="Times New Roman"/>
          <w:color w:val="auto"/>
          <w:sz w:val="24"/>
          <w:szCs w:val="24"/>
          <w:highlight w:val="none"/>
          <w:vertAlign w:val="subscript"/>
        </w:rPr>
        <w:t>4</w:t>
      </w:r>
      <w:r>
        <w:rPr>
          <w:rFonts w:hint="default" w:ascii="Times New Roman" w:hAnsi="Times New Roman" w:eastAsia="宋体" w:cs="Times New Roman"/>
          <w:color w:val="auto"/>
          <w:sz w:val="24"/>
          <w:szCs w:val="24"/>
          <w:highlight w:val="none"/>
        </w:rPr>
        <w:t>逃逸排放</w:t>
      </w:r>
    </w:p>
    <w:p w14:paraId="29331AA1">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bidi="ar"/>
        </w:rPr>
        <w:t>①</w:t>
      </w:r>
      <w:r>
        <w:rPr>
          <w:rFonts w:hint="default" w:ascii="Times New Roman" w:hAnsi="Times New Roman" w:eastAsia="宋体" w:cs="Times New Roman"/>
          <w:color w:val="auto"/>
          <w:sz w:val="24"/>
          <w:szCs w:val="24"/>
          <w:highlight w:val="none"/>
        </w:rPr>
        <w:t>计算公式</w:t>
      </w:r>
    </w:p>
    <w:p w14:paraId="5FCE2AB7">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油气开采业务CH</w:t>
      </w:r>
      <w:r>
        <w:rPr>
          <w:rFonts w:hint="default" w:ascii="Times New Roman" w:hAnsi="Times New Roman" w:eastAsia="宋体" w:cs="Times New Roman"/>
          <w:color w:val="auto"/>
          <w:sz w:val="24"/>
          <w:szCs w:val="24"/>
          <w:highlight w:val="none"/>
          <w:vertAlign w:val="subscript"/>
        </w:rPr>
        <w:t>4</w:t>
      </w:r>
      <w:r>
        <w:rPr>
          <w:rFonts w:hint="default" w:ascii="Times New Roman" w:hAnsi="Times New Roman" w:eastAsia="宋体" w:cs="Times New Roman"/>
          <w:color w:val="auto"/>
          <w:sz w:val="24"/>
          <w:szCs w:val="24"/>
          <w:highlight w:val="none"/>
        </w:rPr>
        <w:t>逃逸排放计算公式：</w:t>
      </w:r>
    </w:p>
    <w:p w14:paraId="64B61FDB">
      <w:pPr>
        <w:pStyle w:val="7"/>
        <w:rPr>
          <w:rFonts w:hint="eastAsia"/>
          <w:color w:val="auto"/>
          <w:highlight w:val="none"/>
        </w:rPr>
      </w:pPr>
      <w:r>
        <w:rPr>
          <w:rFonts w:hint="default" w:ascii="Times New Roman" w:hAnsi="Times New Roman" w:eastAsia="宋体" w:cs="Times New Roman"/>
          <w:color w:val="auto"/>
          <w:sz w:val="24"/>
          <w:szCs w:val="24"/>
          <w:highlight w:val="none"/>
        </w:rPr>
        <w:drawing>
          <wp:anchor distT="0" distB="0" distL="114300" distR="114300" simplePos="0" relativeHeight="251696128" behindDoc="1" locked="0" layoutInCell="1" allowOverlap="1">
            <wp:simplePos x="0" y="0"/>
            <wp:positionH relativeFrom="column">
              <wp:posOffset>60960</wp:posOffset>
            </wp:positionH>
            <wp:positionV relativeFrom="paragraph">
              <wp:posOffset>92710</wp:posOffset>
            </wp:positionV>
            <wp:extent cx="4709160" cy="662940"/>
            <wp:effectExtent l="0" t="0" r="15240" b="3810"/>
            <wp:wrapNone/>
            <wp:docPr id="1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24"/>
                    <pic:cNvPicPr>
                      <a:picLocks noChangeAspect="1"/>
                    </pic:cNvPicPr>
                  </pic:nvPicPr>
                  <pic:blipFill>
                    <a:blip r:embed="rId65"/>
                    <a:stretch>
                      <a:fillRect/>
                    </a:stretch>
                  </pic:blipFill>
                  <pic:spPr>
                    <a:xfrm>
                      <a:off x="0" y="0"/>
                      <a:ext cx="4709160" cy="662940"/>
                    </a:xfrm>
                    <a:prstGeom prst="rect">
                      <a:avLst/>
                    </a:prstGeom>
                    <a:noFill/>
                    <a:ln>
                      <a:noFill/>
                    </a:ln>
                  </pic:spPr>
                </pic:pic>
              </a:graphicData>
            </a:graphic>
          </wp:anchor>
        </w:drawing>
      </w:r>
    </w:p>
    <w:p w14:paraId="78E4970D">
      <w:pPr>
        <w:ind w:firstLine="420" w:firstLineChars="200"/>
        <w:rPr>
          <w:rFonts w:hint="eastAsia"/>
          <w:color w:val="auto"/>
          <w:highlight w:val="none"/>
        </w:rPr>
      </w:pPr>
    </w:p>
    <w:p w14:paraId="06F37E8D">
      <w:pPr>
        <w:ind w:firstLine="420" w:firstLineChars="200"/>
        <w:rPr>
          <w:rFonts w:hint="eastAsia"/>
          <w:color w:val="auto"/>
          <w:highlight w:val="none"/>
        </w:rPr>
      </w:pPr>
    </w:p>
    <w:p w14:paraId="5241A687">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w:t>
      </w:r>
    </w:p>
    <w:p w14:paraId="72A97720">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m:oMath>
        <m:sSub>
          <m:sSubPr>
            <m:ctrlPr>
              <w:rPr>
                <w:rFonts w:ascii="Cambria Math" w:hAnsi="Cambria Math" w:cs="Times New Roman"/>
                <w:i/>
                <w:color w:val="auto"/>
                <w:sz w:val="24"/>
                <w:szCs w:val="24"/>
                <w:highlight w:val="none"/>
                <w:vertAlign w:val="subscript"/>
              </w:rPr>
            </m:ctrlPr>
          </m:sSubPr>
          <m:e>
            <m:r>
              <m:rPr/>
              <w:rPr>
                <w:rFonts w:hint="default" w:ascii="Cambria Math" w:hAnsi="Cambria Math" w:cs="Times New Roman"/>
                <w:color w:val="auto"/>
                <w:sz w:val="24"/>
                <w:szCs w:val="24"/>
                <w:highlight w:val="none"/>
                <w:vertAlign w:val="subscript"/>
                <w:lang w:val="en-US" w:eastAsia="zh-CN"/>
              </w:rPr>
              <m:t>E</m:t>
            </m:r>
            <m:ctrlPr>
              <w:rPr>
                <w:rFonts w:ascii="Cambria Math" w:hAnsi="Cambria Math" w:cs="Times New Roman"/>
                <w:i/>
                <w:color w:val="auto"/>
                <w:sz w:val="24"/>
                <w:szCs w:val="24"/>
                <w:highlight w:val="none"/>
                <w:vertAlign w:val="subscript"/>
              </w:rPr>
            </m:ctrlPr>
          </m:e>
          <m:sub>
            <m:sSub>
              <m:sSubPr>
                <m:ctrlPr>
                  <w:rPr>
                    <w:rFonts w:ascii="Cambria Math" w:hAnsi="Cambria Math" w:cs="Times New Roman"/>
                    <w:i/>
                    <w:color w:val="auto"/>
                    <w:sz w:val="24"/>
                    <w:szCs w:val="24"/>
                    <w:highlight w:val="none"/>
                    <w:vertAlign w:val="subscript"/>
                  </w:rPr>
                </m:ctrlPr>
              </m:sSubPr>
              <m:e>
                <m:r>
                  <m:rPr/>
                  <w:rPr>
                    <w:rFonts w:hint="default" w:ascii="Cambria Math" w:hAnsi="Cambria Math" w:cs="Times New Roman"/>
                    <w:color w:val="auto"/>
                    <w:sz w:val="24"/>
                    <w:szCs w:val="24"/>
                    <w:highlight w:val="none"/>
                    <w:vertAlign w:val="subscript"/>
                    <w:lang w:val="en-US" w:eastAsia="zh-CN"/>
                  </w:rPr>
                  <m:t>CH</m:t>
                </m:r>
                <m:ctrlPr>
                  <w:rPr>
                    <w:rFonts w:ascii="Cambria Math" w:hAnsi="Cambria Math" w:cs="Times New Roman"/>
                    <w:i/>
                    <w:color w:val="auto"/>
                    <w:sz w:val="24"/>
                    <w:szCs w:val="24"/>
                    <w:highlight w:val="none"/>
                    <w:vertAlign w:val="subscript"/>
                  </w:rPr>
                </m:ctrlPr>
              </m:e>
              <m:sub>
                <m:r>
                  <m:rPr/>
                  <w:rPr>
                    <w:rFonts w:hint="default" w:ascii="Cambria Math" w:hAnsi="Cambria Math" w:cs="Times New Roman"/>
                    <w:color w:val="auto"/>
                    <w:sz w:val="24"/>
                    <w:szCs w:val="24"/>
                    <w:highlight w:val="none"/>
                    <w:vertAlign w:val="subscript"/>
                    <w:lang w:val="en-US" w:eastAsia="zh-CN"/>
                  </w:rPr>
                  <m:t>4</m:t>
                </m:r>
                <m:ctrlPr>
                  <w:rPr>
                    <w:rFonts w:ascii="Cambria Math" w:hAnsi="Cambria Math" w:cs="Times New Roman"/>
                    <w:i/>
                    <w:color w:val="auto"/>
                    <w:sz w:val="24"/>
                    <w:szCs w:val="24"/>
                    <w:highlight w:val="none"/>
                    <w:vertAlign w:val="subscript"/>
                  </w:rPr>
                </m:ctrlPr>
              </m:sub>
            </m:sSub>
            <m:ctrlPr>
              <w:rPr>
                <w:rFonts w:ascii="Cambria Math" w:hAnsi="Cambria Math" w:cs="Times New Roman"/>
                <w:i/>
                <w:color w:val="auto"/>
                <w:sz w:val="24"/>
                <w:szCs w:val="24"/>
                <w:highlight w:val="none"/>
                <w:vertAlign w:val="subscript"/>
              </w:rPr>
            </m:ctrlPr>
          </m:sub>
        </m:sSub>
      </m:oMath>
      <w:r>
        <w:rPr>
          <w:rFonts w:hint="default" w:ascii="Times New Roman" w:hAnsi="Times New Roman" w:eastAsia="宋体" w:cs="Times New Roman"/>
          <w:color w:val="auto"/>
          <w:sz w:val="24"/>
          <w:szCs w:val="24"/>
          <w:highlight w:val="none"/>
          <w:vertAlign w:val="subscript"/>
        </w:rPr>
        <w:t>-开采逃逸</w:t>
      </w:r>
      <w:r>
        <w:rPr>
          <w:rFonts w:hint="default" w:ascii="Times New Roman" w:hAnsi="Times New Roman" w:eastAsia="宋体" w:cs="Times New Roman"/>
          <w:color w:val="auto"/>
          <w:sz w:val="24"/>
          <w:szCs w:val="24"/>
          <w:highlight w:val="none"/>
        </w:rPr>
        <w:t>-原油开采或天然气开采中所有设施类型产生的CH</w:t>
      </w:r>
      <w:r>
        <w:rPr>
          <w:rFonts w:hint="default" w:ascii="Times New Roman" w:hAnsi="Times New Roman" w:eastAsia="宋体" w:cs="Times New Roman"/>
          <w:color w:val="auto"/>
          <w:sz w:val="24"/>
          <w:szCs w:val="24"/>
          <w:highlight w:val="none"/>
          <w:vertAlign w:val="subscript"/>
        </w:rPr>
        <w:t>4</w:t>
      </w:r>
      <w:r>
        <w:rPr>
          <w:rFonts w:hint="default" w:ascii="Times New Roman" w:hAnsi="Times New Roman" w:eastAsia="宋体" w:cs="Times New Roman"/>
          <w:color w:val="auto"/>
          <w:sz w:val="24"/>
          <w:szCs w:val="24"/>
          <w:highlight w:val="none"/>
        </w:rPr>
        <w:t>逃逸排放，单位为吨CH</w:t>
      </w:r>
      <w:r>
        <w:rPr>
          <w:rFonts w:hint="default" w:ascii="Times New Roman" w:hAnsi="Times New Roman" w:eastAsia="宋体" w:cs="Times New Roman"/>
          <w:color w:val="auto"/>
          <w:sz w:val="24"/>
          <w:szCs w:val="24"/>
          <w:highlight w:val="none"/>
          <w:vertAlign w:val="subscript"/>
        </w:rPr>
        <w:t>4</w:t>
      </w:r>
      <w:r>
        <w:rPr>
          <w:rFonts w:hint="default" w:ascii="Times New Roman" w:hAnsi="Times New Roman" w:eastAsia="宋体" w:cs="Times New Roman"/>
          <w:color w:val="auto"/>
          <w:sz w:val="24"/>
          <w:szCs w:val="24"/>
          <w:highlight w:val="none"/>
        </w:rPr>
        <w:t>；</w:t>
      </w:r>
    </w:p>
    <w:p w14:paraId="33494C5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J-不同的设施类型；</w:t>
      </w:r>
    </w:p>
    <w:p w14:paraId="1C260D8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Num</w:t>
      </w:r>
      <w:r>
        <w:rPr>
          <w:rFonts w:hint="default" w:ascii="Times New Roman" w:hAnsi="Times New Roman" w:eastAsia="宋体" w:cs="Times New Roman"/>
          <w:color w:val="auto"/>
          <w:sz w:val="24"/>
          <w:szCs w:val="24"/>
          <w:highlight w:val="none"/>
          <w:vertAlign w:val="subscript"/>
        </w:rPr>
        <w:t>oil,j</w:t>
      </w:r>
      <w:r>
        <w:rPr>
          <w:rFonts w:hint="default" w:ascii="Times New Roman" w:hAnsi="Times New Roman" w:eastAsia="宋体" w:cs="Times New Roman"/>
          <w:color w:val="auto"/>
          <w:sz w:val="24"/>
          <w:szCs w:val="24"/>
          <w:highlight w:val="none"/>
        </w:rPr>
        <w:t>-原油开采业务所涉及的泄漏设施类型数量，单位为个；</w:t>
      </w:r>
    </w:p>
    <w:p w14:paraId="7E632127">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EF</w:t>
      </w:r>
      <w:r>
        <w:rPr>
          <w:rFonts w:hint="default" w:ascii="Times New Roman" w:hAnsi="Times New Roman" w:eastAsia="宋体" w:cs="Times New Roman"/>
          <w:color w:val="auto"/>
          <w:sz w:val="24"/>
          <w:szCs w:val="24"/>
          <w:highlight w:val="none"/>
          <w:vertAlign w:val="subscript"/>
        </w:rPr>
        <w:t>oil,j</w:t>
      </w:r>
      <w:r>
        <w:rPr>
          <w:rFonts w:hint="default" w:ascii="Times New Roman" w:hAnsi="Times New Roman" w:eastAsia="宋体" w:cs="Times New Roman"/>
          <w:color w:val="auto"/>
          <w:sz w:val="24"/>
          <w:szCs w:val="24"/>
          <w:highlight w:val="none"/>
        </w:rPr>
        <w:t>-原油开采业务中涉及的每种设施类型j的CH</w:t>
      </w:r>
      <w:r>
        <w:rPr>
          <w:rFonts w:hint="default" w:ascii="Times New Roman" w:hAnsi="Times New Roman" w:eastAsia="宋体" w:cs="Times New Roman"/>
          <w:color w:val="auto"/>
          <w:sz w:val="24"/>
          <w:szCs w:val="24"/>
          <w:highlight w:val="none"/>
          <w:vertAlign w:val="subscript"/>
        </w:rPr>
        <w:t>4</w:t>
      </w:r>
      <w:r>
        <w:rPr>
          <w:rFonts w:hint="default" w:ascii="Times New Roman" w:hAnsi="Times New Roman" w:eastAsia="宋体" w:cs="Times New Roman"/>
          <w:color w:val="auto"/>
          <w:sz w:val="24"/>
          <w:szCs w:val="24"/>
          <w:highlight w:val="none"/>
        </w:rPr>
        <w:t>逃逸排放因子，单位为吨CH</w:t>
      </w:r>
      <w:r>
        <w:rPr>
          <w:rFonts w:hint="default" w:ascii="Times New Roman" w:hAnsi="Times New Roman" w:eastAsia="宋体" w:cs="Times New Roman"/>
          <w:color w:val="auto"/>
          <w:sz w:val="24"/>
          <w:szCs w:val="24"/>
          <w:highlight w:val="none"/>
          <w:vertAlign w:val="subscript"/>
        </w:rPr>
        <w:t>4</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年·个</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14:paraId="1C443F95">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Num</w:t>
      </w:r>
      <w:r>
        <w:rPr>
          <w:rFonts w:hint="default" w:ascii="Times New Roman" w:hAnsi="Times New Roman" w:eastAsia="宋体" w:cs="Times New Roman"/>
          <w:color w:val="auto"/>
          <w:sz w:val="24"/>
          <w:szCs w:val="24"/>
          <w:highlight w:val="none"/>
          <w:vertAlign w:val="subscript"/>
        </w:rPr>
        <w:t>gas,j</w:t>
      </w:r>
      <w:r>
        <w:rPr>
          <w:rFonts w:hint="default" w:ascii="Times New Roman" w:hAnsi="Times New Roman" w:eastAsia="宋体" w:cs="Times New Roman"/>
          <w:color w:val="auto"/>
          <w:sz w:val="24"/>
          <w:szCs w:val="24"/>
          <w:highlight w:val="none"/>
        </w:rPr>
        <w:t>-天然气开采业务所涉及的泄漏设施类型数量，单位为个；</w:t>
      </w:r>
    </w:p>
    <w:p w14:paraId="113432A6">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EF</w:t>
      </w:r>
      <w:r>
        <w:rPr>
          <w:rFonts w:hint="default" w:ascii="Times New Roman" w:hAnsi="Times New Roman" w:eastAsia="宋体" w:cs="Times New Roman"/>
          <w:color w:val="auto"/>
          <w:sz w:val="24"/>
          <w:szCs w:val="24"/>
          <w:highlight w:val="none"/>
          <w:vertAlign w:val="subscript"/>
        </w:rPr>
        <w:t>gas,j</w:t>
      </w:r>
      <w:r>
        <w:rPr>
          <w:rFonts w:hint="default" w:ascii="Times New Roman" w:hAnsi="Times New Roman" w:eastAsia="宋体" w:cs="Times New Roman"/>
          <w:color w:val="auto"/>
          <w:sz w:val="24"/>
          <w:szCs w:val="24"/>
          <w:highlight w:val="none"/>
        </w:rPr>
        <w:t>-天然气开采业务中涉及的每种设施类型j的CH</w:t>
      </w:r>
      <w:r>
        <w:rPr>
          <w:rFonts w:hint="default" w:ascii="Times New Roman" w:hAnsi="Times New Roman" w:eastAsia="宋体" w:cs="Times New Roman"/>
          <w:color w:val="auto"/>
          <w:sz w:val="24"/>
          <w:szCs w:val="24"/>
          <w:highlight w:val="none"/>
          <w:vertAlign w:val="subscript"/>
        </w:rPr>
        <w:t>4</w:t>
      </w:r>
      <w:r>
        <w:rPr>
          <w:rFonts w:hint="default" w:ascii="Times New Roman" w:hAnsi="Times New Roman" w:eastAsia="宋体" w:cs="Times New Roman"/>
          <w:color w:val="auto"/>
          <w:sz w:val="24"/>
          <w:szCs w:val="24"/>
          <w:highlight w:val="none"/>
        </w:rPr>
        <w:t>逃逸排放因子，单位为吨CH</w:t>
      </w:r>
      <w:r>
        <w:rPr>
          <w:rFonts w:hint="default" w:ascii="Times New Roman" w:hAnsi="Times New Roman" w:eastAsia="宋体" w:cs="Times New Roman"/>
          <w:color w:val="auto"/>
          <w:sz w:val="24"/>
          <w:szCs w:val="24"/>
          <w:highlight w:val="none"/>
          <w:vertAlign w:val="subscript"/>
        </w:rPr>
        <w:t>4</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年·个</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14:paraId="4BC0241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②计算结果</w:t>
      </w:r>
    </w:p>
    <w:p w14:paraId="5E89E698">
      <w:pPr>
        <w:keepNext w:val="0"/>
        <w:keepLines w:val="0"/>
        <w:pageBreakBefore w:val="0"/>
        <w:widowControl w:val="0"/>
        <w:numPr>
          <w:ilvl w:val="0"/>
          <w:numId w:val="0"/>
        </w:numPr>
        <w:kinsoku/>
        <w:wordWrap/>
        <w:overflowPunct/>
        <w:topLinePunct/>
        <w:autoSpaceDE w:val="0"/>
        <w:autoSpaceDN/>
        <w:bidi w:val="0"/>
        <w:adjustRightInd/>
        <w:snapToGrid/>
        <w:spacing w:line="480" w:lineRule="exact"/>
        <w:ind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工程开采逃逸的CH</w:t>
      </w:r>
      <w:r>
        <w:rPr>
          <w:rFonts w:hint="default" w:ascii="Times New Roman" w:hAnsi="Times New Roman" w:eastAsia="宋体" w:cs="Times New Roman"/>
          <w:bCs/>
          <w:color w:val="auto"/>
          <w:kern w:val="2"/>
          <w:sz w:val="24"/>
          <w:szCs w:val="24"/>
          <w:highlight w:val="none"/>
          <w:vertAlign w:val="subscript"/>
          <w:lang w:val="en-US" w:eastAsia="zh-CN" w:bidi="ar-SA"/>
        </w:rPr>
        <w:t>4</w:t>
      </w:r>
      <w:r>
        <w:rPr>
          <w:rFonts w:hint="default" w:ascii="Times New Roman" w:hAnsi="Times New Roman" w:eastAsia="宋体" w:cs="Times New Roman"/>
          <w:bCs/>
          <w:color w:val="auto"/>
          <w:kern w:val="2"/>
          <w:sz w:val="24"/>
          <w:szCs w:val="24"/>
          <w:highlight w:val="none"/>
          <w:lang w:val="en-US" w:eastAsia="zh-CN" w:bidi="ar-SA"/>
        </w:rPr>
        <w:t>为：</w:t>
      </w:r>
    </w:p>
    <w:p w14:paraId="0EC0D7E9">
      <w:pPr>
        <w:keepNext w:val="0"/>
        <w:keepLines w:val="0"/>
        <w:pageBreakBefore w:val="0"/>
        <w:widowControl w:val="0"/>
        <w:numPr>
          <w:ilvl w:val="0"/>
          <w:numId w:val="0"/>
        </w:numPr>
        <w:kinsoku/>
        <w:wordWrap/>
        <w:overflowPunct/>
        <w:topLinePunct/>
        <w:autoSpaceDE w:val="0"/>
        <w:autoSpaceDN/>
        <w:bidi w:val="0"/>
        <w:adjustRightInd/>
        <w:snapToGrid/>
        <w:spacing w:line="480" w:lineRule="exact"/>
        <w:jc w:val="both"/>
        <w:textAlignment w:val="auto"/>
        <w:rPr>
          <w:rFonts w:hint="default" w:ascii="Times New Roman" w:hAnsi="Times New Roman" w:eastAsia="宋体" w:cs="Times New Roman"/>
          <w:bCs/>
          <w:i/>
          <w:iCs/>
          <w:color w:val="auto"/>
          <w:kern w:val="0"/>
          <w:sz w:val="24"/>
          <w:szCs w:val="24"/>
          <w:highlight w:val="none"/>
          <w:vertAlign w:val="subscript"/>
          <w:lang w:val="en-US" w:eastAsia="zh-CN" w:bidi="ar-SA"/>
        </w:rPr>
      </w:pPr>
      <m:oMath>
        <m:sSub>
          <m:sSubPr>
            <m:ctrlPr>
              <w:rPr>
                <w:rFonts w:ascii="Cambria Math" w:hAnsi="Cambria Math" w:cs="Times New Roman"/>
                <w:bCs/>
                <w:i/>
                <w:color w:val="auto"/>
                <w:kern w:val="2"/>
                <w:sz w:val="32"/>
                <w:szCs w:val="32"/>
                <w:highlight w:val="none"/>
                <w:vertAlign w:val="subscript"/>
                <w:lang w:val="en-US" w:bidi="ar-SA"/>
              </w:rPr>
            </m:ctrlPr>
          </m:sSubPr>
          <m:e>
            <m:r>
              <m:rPr/>
              <w:rPr>
                <w:rFonts w:hint="default" w:ascii="Cambria Math" w:hAnsi="Cambria Math" w:cs="Times New Roman"/>
                <w:color w:val="auto"/>
                <w:kern w:val="2"/>
                <w:sz w:val="32"/>
                <w:szCs w:val="32"/>
                <w:highlight w:val="none"/>
                <w:vertAlign w:val="subscript"/>
                <w:lang w:val="en-US" w:eastAsia="zh-CN" w:bidi="ar-SA"/>
              </w:rPr>
              <m:t>E</m:t>
            </m:r>
            <m:ctrlPr>
              <w:rPr>
                <w:rFonts w:ascii="Cambria Math" w:hAnsi="Cambria Math" w:cs="Times New Roman"/>
                <w:bCs/>
                <w:i/>
                <w:color w:val="auto"/>
                <w:kern w:val="2"/>
                <w:sz w:val="32"/>
                <w:szCs w:val="32"/>
                <w:highlight w:val="none"/>
                <w:vertAlign w:val="subscript"/>
                <w:lang w:val="en-US" w:bidi="ar-SA"/>
              </w:rPr>
            </m:ctrlPr>
          </m:e>
          <m:sub>
            <m:sSub>
              <m:sSubPr>
                <m:ctrlPr>
                  <w:rPr>
                    <w:rFonts w:ascii="Cambria Math" w:hAnsi="Cambria Math" w:cs="Times New Roman"/>
                    <w:bCs/>
                    <w:i/>
                    <w:color w:val="auto"/>
                    <w:kern w:val="2"/>
                    <w:sz w:val="32"/>
                    <w:szCs w:val="32"/>
                    <w:highlight w:val="none"/>
                    <w:vertAlign w:val="subscript"/>
                    <w:lang w:val="en-US" w:bidi="ar-SA"/>
                  </w:rPr>
                </m:ctrlPr>
              </m:sSubPr>
              <m:e>
                <m:r>
                  <m:rPr/>
                  <w:rPr>
                    <w:rFonts w:hint="default" w:ascii="Cambria Math" w:hAnsi="Cambria Math" w:cs="Times New Roman"/>
                    <w:color w:val="auto"/>
                    <w:kern w:val="2"/>
                    <w:sz w:val="32"/>
                    <w:szCs w:val="32"/>
                    <w:highlight w:val="none"/>
                    <w:vertAlign w:val="subscript"/>
                    <w:lang w:val="en-US" w:eastAsia="zh-CN" w:bidi="ar-SA"/>
                  </w:rPr>
                  <m:t>CH</m:t>
                </m:r>
                <m:ctrlPr>
                  <w:rPr>
                    <w:rFonts w:ascii="Cambria Math" w:hAnsi="Cambria Math" w:cs="Times New Roman"/>
                    <w:bCs/>
                    <w:i/>
                    <w:color w:val="auto"/>
                    <w:kern w:val="2"/>
                    <w:sz w:val="32"/>
                    <w:szCs w:val="32"/>
                    <w:highlight w:val="none"/>
                    <w:vertAlign w:val="subscript"/>
                    <w:lang w:val="en-US" w:bidi="ar-SA"/>
                  </w:rPr>
                </m:ctrlPr>
              </m:e>
              <m:sub>
                <m:r>
                  <m:rPr/>
                  <w:rPr>
                    <w:rFonts w:hint="default" w:ascii="Cambria Math" w:hAnsi="Cambria Math" w:cs="Times New Roman"/>
                    <w:color w:val="auto"/>
                    <w:kern w:val="2"/>
                    <w:sz w:val="32"/>
                    <w:szCs w:val="32"/>
                    <w:highlight w:val="none"/>
                    <w:vertAlign w:val="subscript"/>
                    <w:lang w:val="en-US" w:eastAsia="zh-CN" w:bidi="ar-SA"/>
                  </w:rPr>
                  <m:t>4</m:t>
                </m:r>
                <m:ctrlPr>
                  <w:rPr>
                    <w:rFonts w:ascii="Cambria Math" w:hAnsi="Cambria Math" w:cs="Times New Roman"/>
                    <w:bCs/>
                    <w:i/>
                    <w:color w:val="auto"/>
                    <w:kern w:val="2"/>
                    <w:sz w:val="32"/>
                    <w:szCs w:val="32"/>
                    <w:highlight w:val="none"/>
                    <w:vertAlign w:val="subscript"/>
                    <w:lang w:val="en-US" w:bidi="ar-SA"/>
                  </w:rPr>
                </m:ctrlPr>
              </m:sub>
            </m:sSub>
            <m:ctrlPr>
              <w:rPr>
                <w:rFonts w:ascii="Cambria Math" w:hAnsi="Cambria Math" w:cs="Times New Roman"/>
                <w:bCs/>
                <w:i/>
                <w:color w:val="auto"/>
                <w:kern w:val="2"/>
                <w:sz w:val="32"/>
                <w:szCs w:val="32"/>
                <w:highlight w:val="none"/>
                <w:vertAlign w:val="subscript"/>
                <w:lang w:val="en-US" w:bidi="ar-SA"/>
              </w:rPr>
            </m:ctrlPr>
          </m:sub>
        </m:sSub>
      </m:oMath>
      <w:r>
        <w:rPr>
          <w:rFonts w:hint="default" w:ascii="Times New Roman" w:hAnsi="Times New Roman" w:eastAsia="宋体" w:cs="Times New Roman"/>
          <w:bCs/>
          <w:color w:val="auto"/>
          <w:kern w:val="2"/>
          <w:sz w:val="32"/>
          <w:szCs w:val="32"/>
          <w:highlight w:val="none"/>
          <w:vertAlign w:val="subscript"/>
          <w:lang w:val="en-US" w:eastAsia="zh-CN" w:bidi="ar-SA"/>
        </w:rPr>
        <w:t>-开采逃逸</w:t>
      </w:r>
      <w:r>
        <w:rPr>
          <w:rFonts w:hint="default" w:ascii="Times New Roman" w:hAnsi="Times New Roman" w:eastAsia="宋体" w:cs="Times New Roman"/>
          <w:bCs/>
          <w:color w:val="auto"/>
          <w:kern w:val="2"/>
          <w:sz w:val="32"/>
          <w:szCs w:val="32"/>
          <w:highlight w:val="none"/>
          <w:vertAlign w:val="baseline"/>
          <w:lang w:val="en-US" w:eastAsia="zh-CN" w:bidi="ar-SA"/>
        </w:rPr>
        <w:t>=</w:t>
      </w:r>
      <w:r>
        <w:rPr>
          <w:rFonts w:hint="default" w:ascii="Times New Roman" w:hAnsi="Times New Roman" w:eastAsia="宋体" w:cs="Times New Roman"/>
          <w:bCs/>
          <w:i/>
          <w:iCs/>
          <w:color w:val="auto"/>
          <w:kern w:val="0"/>
          <w:sz w:val="32"/>
          <w:szCs w:val="32"/>
          <w:highlight w:val="none"/>
          <w:lang w:val="en-US" w:eastAsia="zh-CN" w:bidi="ar-SA"/>
        </w:rPr>
        <w:t>Num</w:t>
      </w:r>
      <w:r>
        <w:rPr>
          <w:rFonts w:hint="default" w:ascii="Times New Roman" w:hAnsi="Times New Roman" w:eastAsia="宋体" w:cs="Times New Roman"/>
          <w:bCs/>
          <w:i/>
          <w:iCs/>
          <w:color w:val="auto"/>
          <w:kern w:val="0"/>
          <w:sz w:val="32"/>
          <w:szCs w:val="32"/>
          <w:highlight w:val="none"/>
          <w:vertAlign w:val="subscript"/>
          <w:lang w:val="en-US" w:eastAsia="zh-CN" w:bidi="ar-SA"/>
        </w:rPr>
        <w:t>oil,井口</w:t>
      </w:r>
      <w:r>
        <w:rPr>
          <w:rFonts w:hint="default" w:ascii="Times New Roman" w:hAnsi="Times New Roman" w:eastAsia="宋体" w:cs="Times New Roman"/>
          <w:bCs/>
          <w:color w:val="auto"/>
          <w:kern w:val="2"/>
          <w:sz w:val="32"/>
          <w:szCs w:val="32"/>
          <w:highlight w:val="none"/>
          <w:lang w:val="en-US" w:eastAsia="zh-CN" w:bidi="ar-SA"/>
        </w:rPr>
        <w:t>×</w:t>
      </w:r>
      <w:r>
        <w:rPr>
          <w:rFonts w:hint="default" w:ascii="Times New Roman" w:hAnsi="Times New Roman" w:eastAsia="宋体" w:cs="Times New Roman"/>
          <w:bCs/>
          <w:i/>
          <w:iCs/>
          <w:color w:val="auto"/>
          <w:kern w:val="0"/>
          <w:sz w:val="32"/>
          <w:szCs w:val="32"/>
          <w:highlight w:val="none"/>
          <w:lang w:val="en-US" w:eastAsia="zh-CN" w:bidi="ar-SA"/>
        </w:rPr>
        <w:t>EF</w:t>
      </w:r>
      <w:r>
        <w:rPr>
          <w:rFonts w:hint="default" w:ascii="Times New Roman" w:hAnsi="Times New Roman" w:eastAsia="宋体" w:cs="Times New Roman"/>
          <w:bCs/>
          <w:i/>
          <w:iCs/>
          <w:color w:val="auto"/>
          <w:kern w:val="0"/>
          <w:sz w:val="32"/>
          <w:szCs w:val="32"/>
          <w:highlight w:val="none"/>
          <w:vertAlign w:val="subscript"/>
          <w:lang w:val="en-US" w:eastAsia="zh-CN" w:bidi="ar-SA"/>
        </w:rPr>
        <w:t>oil,井口</w:t>
      </w:r>
      <w:r>
        <w:rPr>
          <w:rFonts w:hint="default" w:ascii="Times New Roman" w:hAnsi="Times New Roman" w:eastAsia="宋体" w:cs="Times New Roman"/>
          <w:bCs/>
          <w:i/>
          <w:iCs/>
          <w:color w:val="auto"/>
          <w:kern w:val="0"/>
          <w:sz w:val="32"/>
          <w:szCs w:val="32"/>
          <w:highlight w:val="none"/>
          <w:vertAlign w:val="baseline"/>
          <w:lang w:val="en-US" w:eastAsia="zh-CN" w:bidi="ar-SA"/>
        </w:rPr>
        <w:t>+</w:t>
      </w:r>
      <w:r>
        <w:rPr>
          <w:rFonts w:hint="default" w:ascii="Times New Roman" w:hAnsi="Times New Roman" w:eastAsia="宋体" w:cs="Times New Roman"/>
          <w:bCs/>
          <w:i/>
          <w:iCs/>
          <w:color w:val="auto"/>
          <w:kern w:val="0"/>
          <w:sz w:val="32"/>
          <w:szCs w:val="32"/>
          <w:highlight w:val="none"/>
          <w:lang w:val="en-US" w:eastAsia="zh-CN" w:bidi="ar-SA"/>
        </w:rPr>
        <w:t>Num</w:t>
      </w:r>
      <w:r>
        <w:rPr>
          <w:rFonts w:hint="default" w:ascii="Times New Roman" w:hAnsi="Times New Roman" w:eastAsia="宋体" w:cs="Times New Roman"/>
          <w:bCs/>
          <w:i/>
          <w:iCs/>
          <w:color w:val="auto"/>
          <w:kern w:val="0"/>
          <w:sz w:val="32"/>
          <w:szCs w:val="32"/>
          <w:highlight w:val="none"/>
          <w:vertAlign w:val="subscript"/>
          <w:lang w:val="en-US" w:eastAsia="zh-CN" w:bidi="ar-SA"/>
        </w:rPr>
        <w:t>oil,</w:t>
      </w:r>
      <w:r>
        <w:rPr>
          <w:rFonts w:hint="eastAsia" w:cs="Times New Roman"/>
          <w:bCs/>
          <w:i/>
          <w:iCs/>
          <w:color w:val="auto"/>
          <w:kern w:val="0"/>
          <w:sz w:val="32"/>
          <w:szCs w:val="32"/>
          <w:highlight w:val="none"/>
          <w:vertAlign w:val="subscript"/>
          <w:lang w:val="en-US" w:eastAsia="zh-CN" w:bidi="ar-SA"/>
        </w:rPr>
        <w:t>雄探1试采点</w:t>
      </w:r>
      <w:r>
        <w:rPr>
          <w:rFonts w:hint="default" w:ascii="Times New Roman" w:hAnsi="Times New Roman" w:eastAsia="宋体" w:cs="Times New Roman"/>
          <w:bCs/>
          <w:color w:val="auto"/>
          <w:kern w:val="2"/>
          <w:sz w:val="32"/>
          <w:szCs w:val="32"/>
          <w:highlight w:val="none"/>
          <w:lang w:val="en-US" w:eastAsia="zh-CN" w:bidi="ar-SA"/>
        </w:rPr>
        <w:t>×</w:t>
      </w:r>
      <w:r>
        <w:rPr>
          <w:rFonts w:hint="default" w:ascii="Times New Roman" w:hAnsi="Times New Roman" w:eastAsia="宋体" w:cs="Times New Roman"/>
          <w:bCs/>
          <w:i/>
          <w:iCs/>
          <w:color w:val="auto"/>
          <w:kern w:val="0"/>
          <w:sz w:val="32"/>
          <w:szCs w:val="32"/>
          <w:highlight w:val="none"/>
          <w:lang w:val="en-US" w:eastAsia="zh-CN" w:bidi="ar-SA"/>
        </w:rPr>
        <w:t>EF</w:t>
      </w:r>
      <w:r>
        <w:rPr>
          <w:rFonts w:hint="default" w:ascii="Times New Roman" w:hAnsi="Times New Roman" w:eastAsia="宋体" w:cs="Times New Roman"/>
          <w:bCs/>
          <w:i/>
          <w:iCs/>
          <w:color w:val="auto"/>
          <w:kern w:val="0"/>
          <w:sz w:val="32"/>
          <w:szCs w:val="32"/>
          <w:highlight w:val="none"/>
          <w:vertAlign w:val="subscript"/>
          <w:lang w:val="en-US" w:eastAsia="zh-CN" w:bidi="ar-SA"/>
        </w:rPr>
        <w:t>oil,</w:t>
      </w:r>
      <w:r>
        <w:rPr>
          <w:rFonts w:hint="eastAsia" w:cs="Times New Roman"/>
          <w:bCs/>
          <w:i/>
          <w:iCs/>
          <w:color w:val="auto"/>
          <w:kern w:val="0"/>
          <w:sz w:val="32"/>
          <w:szCs w:val="32"/>
          <w:highlight w:val="none"/>
          <w:vertAlign w:val="subscript"/>
          <w:lang w:val="en-US" w:eastAsia="zh-CN" w:bidi="ar-SA"/>
        </w:rPr>
        <w:t>雄探1试采点</w:t>
      </w:r>
    </w:p>
    <w:p w14:paraId="518BDC10">
      <w:pPr>
        <w:keepNext w:val="0"/>
        <w:keepLines w:val="0"/>
        <w:pageBreakBefore w:val="0"/>
        <w:widowControl w:val="0"/>
        <w:numPr>
          <w:ilvl w:val="0"/>
          <w:numId w:val="0"/>
        </w:numPr>
        <w:kinsoku/>
        <w:wordWrap/>
        <w:overflowPunct/>
        <w:topLinePunct/>
        <w:autoSpaceDE w:val="0"/>
        <w:autoSpaceDN/>
        <w:bidi w:val="0"/>
        <w:adjustRightInd/>
        <w:snapToGrid/>
        <w:spacing w:line="480" w:lineRule="exact"/>
        <w:ind w:leftChars="200" w:firstLine="480" w:firstLineChars="200"/>
        <w:jc w:val="both"/>
        <w:textAlignment w:val="auto"/>
        <w:rPr>
          <w:rFonts w:hint="default" w:ascii="Times New Roman" w:hAnsi="Times New Roman" w:eastAsia="宋体" w:cs="Times New Roman"/>
          <w:bCs/>
          <w:color w:val="auto"/>
          <w:kern w:val="0"/>
          <w:sz w:val="24"/>
          <w:szCs w:val="24"/>
          <w:highlight w:val="none"/>
          <w:vertAlign w:val="subscript"/>
          <w:lang w:val="en-US" w:eastAsia="zh-CN" w:bidi="ar-SA"/>
        </w:rPr>
      </w:pPr>
      <w:r>
        <w:rPr>
          <w:rFonts w:hint="eastAsia" w:ascii="Times New Roman" w:hAnsi="Times New Roman" w:eastAsia="宋体" w:cs="Times New Roman"/>
          <w:bCs/>
          <w:i/>
          <w:iCs/>
          <w:color w:val="auto"/>
          <w:kern w:val="0"/>
          <w:sz w:val="24"/>
          <w:szCs w:val="24"/>
          <w:highlight w:val="none"/>
          <w:vertAlign w:val="subscript"/>
          <w:lang w:val="en-US" w:eastAsia="zh-CN" w:bidi="ar-SA"/>
        </w:rPr>
        <w:t xml:space="preserve">      </w:t>
      </w:r>
      <w:r>
        <w:rPr>
          <w:rFonts w:hint="default" w:ascii="Times New Roman" w:hAnsi="Times New Roman" w:eastAsia="宋体" w:cs="Times New Roman"/>
          <w:bCs/>
          <w:i/>
          <w:iCs/>
          <w:color w:val="auto"/>
          <w:kern w:val="0"/>
          <w:sz w:val="24"/>
          <w:szCs w:val="24"/>
          <w:highlight w:val="none"/>
          <w:vertAlign w:val="subscript"/>
          <w:lang w:val="en-US" w:eastAsia="zh-CN" w:bidi="ar-SA"/>
        </w:rPr>
        <w:t xml:space="preserve">       </w:t>
      </w:r>
      <w:r>
        <w:rPr>
          <w:rFonts w:hint="default" w:ascii="Times New Roman" w:hAnsi="Times New Roman" w:eastAsia="宋体" w:cs="Times New Roman"/>
          <w:bCs/>
          <w:color w:val="auto"/>
          <w:kern w:val="2"/>
          <w:sz w:val="24"/>
          <w:szCs w:val="24"/>
          <w:highlight w:val="none"/>
          <w:vertAlign w:val="baseline"/>
          <w:lang w:val="en-US" w:eastAsia="zh-CN" w:bidi="ar-SA"/>
        </w:rPr>
        <w:t>=</w:t>
      </w:r>
      <w:r>
        <w:rPr>
          <w:rFonts w:hint="eastAsia" w:cs="Times New Roman"/>
          <w:bCs/>
          <w:color w:val="auto"/>
          <w:kern w:val="2"/>
          <w:sz w:val="24"/>
          <w:szCs w:val="24"/>
          <w:highlight w:val="none"/>
          <w:vertAlign w:val="baseline"/>
          <w:lang w:val="en-US" w:eastAsia="zh-CN" w:bidi="ar-SA"/>
        </w:rPr>
        <w:t>6</w:t>
      </w:r>
      <w:r>
        <w:rPr>
          <w:rFonts w:hint="default" w:ascii="Times New Roman" w:hAnsi="Times New Roman" w:eastAsia="宋体" w:cs="Times New Roman"/>
          <w:bCs/>
          <w:color w:val="auto"/>
          <w:kern w:val="2"/>
          <w:sz w:val="24"/>
          <w:szCs w:val="24"/>
          <w:highlight w:val="none"/>
          <w:lang w:val="en-US" w:eastAsia="zh-CN" w:bidi="ar-SA"/>
        </w:rPr>
        <w:t>×</w:t>
      </w:r>
      <w:r>
        <w:rPr>
          <w:rFonts w:hint="default" w:ascii="Times New Roman" w:hAnsi="Times New Roman" w:eastAsia="宋体" w:cs="Times New Roman"/>
          <w:bCs/>
          <w:color w:val="auto"/>
          <w:kern w:val="2"/>
          <w:sz w:val="24"/>
          <w:szCs w:val="24"/>
          <w:highlight w:val="none"/>
          <w:vertAlign w:val="baseline"/>
          <w:lang w:val="en-US" w:eastAsia="zh-CN" w:bidi="ar-SA"/>
        </w:rPr>
        <w:t>0.23t</w:t>
      </w:r>
      <w:r>
        <w:rPr>
          <w:rFonts w:hint="default" w:ascii="Times New Roman" w:hAnsi="Times New Roman" w:eastAsia="宋体" w:cs="Times New Roman"/>
          <w:bCs/>
          <w:color w:val="auto"/>
          <w:kern w:val="0"/>
          <w:sz w:val="24"/>
          <w:szCs w:val="24"/>
          <w:highlight w:val="none"/>
          <w:lang w:val="en-US" w:eastAsia="zh-CN" w:bidi="ar-SA"/>
        </w:rPr>
        <w:t>CH</w:t>
      </w:r>
      <w:r>
        <w:rPr>
          <w:rFonts w:hint="default" w:ascii="Times New Roman" w:hAnsi="Times New Roman" w:eastAsia="宋体" w:cs="Times New Roman"/>
          <w:bCs/>
          <w:color w:val="auto"/>
          <w:kern w:val="0"/>
          <w:sz w:val="24"/>
          <w:szCs w:val="24"/>
          <w:highlight w:val="none"/>
          <w:vertAlign w:val="subscript"/>
          <w:lang w:val="en-US" w:eastAsia="zh-CN" w:bidi="ar-SA"/>
        </w:rPr>
        <w:t>4</w:t>
      </w:r>
      <w:r>
        <w:rPr>
          <w:rFonts w:hint="default" w:ascii="Times New Roman" w:hAnsi="Times New Roman" w:eastAsia="宋体" w:cs="Times New Roman"/>
          <w:bCs/>
          <w:color w:val="auto"/>
          <w:kern w:val="2"/>
          <w:sz w:val="24"/>
          <w:szCs w:val="24"/>
          <w:highlight w:val="none"/>
          <w:vertAlign w:val="baseline"/>
          <w:lang w:val="en-US" w:eastAsia="zh-CN" w:bidi="ar-SA"/>
        </w:rPr>
        <w:t>+</w:t>
      </w:r>
      <w:r>
        <w:rPr>
          <w:rFonts w:hint="eastAsia" w:cs="Times New Roman"/>
          <w:bCs/>
          <w:color w:val="auto"/>
          <w:kern w:val="2"/>
          <w:sz w:val="24"/>
          <w:szCs w:val="24"/>
          <w:highlight w:val="none"/>
          <w:vertAlign w:val="baseline"/>
          <w:lang w:val="en-US" w:eastAsia="zh-CN" w:bidi="ar-SA"/>
        </w:rPr>
        <w:t>1</w:t>
      </w:r>
      <w:r>
        <w:rPr>
          <w:rFonts w:hint="default" w:ascii="Times New Roman" w:hAnsi="Times New Roman" w:eastAsia="宋体" w:cs="Times New Roman"/>
          <w:bCs/>
          <w:color w:val="auto"/>
          <w:kern w:val="2"/>
          <w:sz w:val="24"/>
          <w:szCs w:val="24"/>
          <w:highlight w:val="none"/>
          <w:lang w:val="en-US" w:eastAsia="zh-CN" w:bidi="ar-SA"/>
        </w:rPr>
        <w:t>×</w:t>
      </w:r>
      <w:r>
        <w:rPr>
          <w:rFonts w:hint="eastAsia" w:cs="Times New Roman"/>
          <w:bCs/>
          <w:color w:val="auto"/>
          <w:kern w:val="2"/>
          <w:sz w:val="24"/>
          <w:szCs w:val="24"/>
          <w:highlight w:val="none"/>
          <w:lang w:val="en-US" w:eastAsia="zh-CN" w:bidi="ar-SA"/>
        </w:rPr>
        <w:t>40.34</w:t>
      </w:r>
      <w:r>
        <w:rPr>
          <w:rFonts w:hint="default" w:ascii="Times New Roman" w:hAnsi="Times New Roman" w:eastAsia="宋体" w:cs="Times New Roman"/>
          <w:bCs/>
          <w:color w:val="auto"/>
          <w:kern w:val="2"/>
          <w:sz w:val="24"/>
          <w:szCs w:val="24"/>
          <w:highlight w:val="none"/>
          <w:lang w:val="en-US" w:eastAsia="zh-CN" w:bidi="ar-SA"/>
        </w:rPr>
        <w:t>×</w:t>
      </w:r>
      <w:r>
        <w:rPr>
          <w:rFonts w:hint="eastAsia" w:cs="Times New Roman"/>
          <w:bCs/>
          <w:color w:val="auto"/>
          <w:kern w:val="2"/>
          <w:sz w:val="24"/>
          <w:szCs w:val="24"/>
          <w:highlight w:val="none"/>
          <w:lang w:val="en-US" w:eastAsia="zh-CN" w:bidi="ar-SA"/>
        </w:rPr>
        <w:t>0.75</w:t>
      </w:r>
      <w:r>
        <w:rPr>
          <w:rFonts w:hint="default" w:ascii="Times New Roman" w:hAnsi="Times New Roman" w:eastAsia="宋体" w:cs="Times New Roman"/>
          <w:bCs/>
          <w:color w:val="auto"/>
          <w:kern w:val="2"/>
          <w:sz w:val="24"/>
          <w:szCs w:val="24"/>
          <w:highlight w:val="none"/>
          <w:vertAlign w:val="baseline"/>
          <w:lang w:val="en-US" w:eastAsia="zh-CN" w:bidi="ar-SA"/>
        </w:rPr>
        <w:t>t</w:t>
      </w:r>
      <w:r>
        <w:rPr>
          <w:rFonts w:hint="default" w:ascii="Times New Roman" w:hAnsi="Times New Roman" w:eastAsia="宋体" w:cs="Times New Roman"/>
          <w:bCs/>
          <w:color w:val="auto"/>
          <w:kern w:val="0"/>
          <w:sz w:val="24"/>
          <w:szCs w:val="24"/>
          <w:highlight w:val="none"/>
          <w:lang w:val="en-US" w:eastAsia="zh-CN" w:bidi="ar-SA"/>
        </w:rPr>
        <w:t>CH</w:t>
      </w:r>
      <w:r>
        <w:rPr>
          <w:rFonts w:hint="default" w:ascii="Times New Roman" w:hAnsi="Times New Roman" w:eastAsia="宋体" w:cs="Times New Roman"/>
          <w:bCs/>
          <w:color w:val="auto"/>
          <w:kern w:val="0"/>
          <w:sz w:val="24"/>
          <w:szCs w:val="24"/>
          <w:highlight w:val="none"/>
          <w:vertAlign w:val="subscript"/>
          <w:lang w:val="en-US" w:eastAsia="zh-CN" w:bidi="ar-SA"/>
        </w:rPr>
        <w:t>4</w:t>
      </w:r>
    </w:p>
    <w:p w14:paraId="1D2596DF">
      <w:pPr>
        <w:keepNext w:val="0"/>
        <w:keepLines w:val="0"/>
        <w:pageBreakBefore w:val="0"/>
        <w:widowControl w:val="0"/>
        <w:numPr>
          <w:ilvl w:val="0"/>
          <w:numId w:val="0"/>
        </w:numPr>
        <w:kinsoku/>
        <w:wordWrap/>
        <w:overflowPunct/>
        <w:topLinePunct/>
        <w:autoSpaceDE w:val="0"/>
        <w:autoSpaceDN/>
        <w:bidi w:val="0"/>
        <w:adjustRightInd/>
        <w:snapToGrid/>
        <w:spacing w:line="480" w:lineRule="exact"/>
        <w:ind w:leftChars="200" w:firstLine="1440" w:firstLineChars="600"/>
        <w:jc w:val="both"/>
        <w:textAlignment w:val="auto"/>
        <w:rPr>
          <w:rFonts w:hint="default" w:ascii="Times New Roman" w:hAnsi="Times New Roman" w:eastAsia="宋体" w:cs="Times New Roman"/>
          <w:bCs/>
          <w:i/>
          <w:iCs/>
          <w:color w:val="auto"/>
          <w:kern w:val="0"/>
          <w:sz w:val="24"/>
          <w:szCs w:val="24"/>
          <w:highlight w:val="none"/>
          <w:vertAlign w:val="subscript"/>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w:t>
      </w:r>
      <w:r>
        <w:rPr>
          <w:rFonts w:hint="eastAsia" w:cs="Times New Roman"/>
          <w:bCs/>
          <w:color w:val="auto"/>
          <w:kern w:val="2"/>
          <w:sz w:val="24"/>
          <w:szCs w:val="24"/>
          <w:highlight w:val="none"/>
          <w:lang w:val="en-US" w:eastAsia="zh-CN" w:bidi="ar-SA"/>
        </w:rPr>
        <w:t>31.6</w:t>
      </w:r>
      <w:r>
        <w:rPr>
          <w:rFonts w:hint="default" w:ascii="Times New Roman" w:hAnsi="Times New Roman" w:eastAsia="宋体" w:cs="Times New Roman"/>
          <w:bCs/>
          <w:color w:val="auto"/>
          <w:kern w:val="2"/>
          <w:sz w:val="24"/>
          <w:szCs w:val="24"/>
          <w:highlight w:val="none"/>
          <w:lang w:val="en-US" w:eastAsia="zh-CN" w:bidi="ar-SA"/>
        </w:rPr>
        <w:t>t</w:t>
      </w:r>
      <w:r>
        <w:rPr>
          <w:rFonts w:hint="default" w:ascii="Times New Roman" w:hAnsi="Times New Roman" w:eastAsia="宋体" w:cs="Times New Roman"/>
          <w:bCs/>
          <w:color w:val="auto"/>
          <w:kern w:val="0"/>
          <w:sz w:val="24"/>
          <w:szCs w:val="24"/>
          <w:highlight w:val="none"/>
          <w:lang w:val="en-US" w:eastAsia="zh-CN" w:bidi="ar-SA"/>
        </w:rPr>
        <w:t>CH</w:t>
      </w:r>
      <w:r>
        <w:rPr>
          <w:rFonts w:hint="default" w:ascii="Times New Roman" w:hAnsi="Times New Roman" w:eastAsia="宋体" w:cs="Times New Roman"/>
          <w:bCs/>
          <w:color w:val="auto"/>
          <w:kern w:val="0"/>
          <w:sz w:val="24"/>
          <w:szCs w:val="24"/>
          <w:highlight w:val="none"/>
          <w:vertAlign w:val="subscript"/>
          <w:lang w:val="en-US" w:eastAsia="zh-CN" w:bidi="ar-SA"/>
        </w:rPr>
        <w:t>4</w:t>
      </w:r>
    </w:p>
    <w:p w14:paraId="7133A49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yellow"/>
        </w:rPr>
      </w:pPr>
      <w:r>
        <w:rPr>
          <w:rFonts w:hint="default" w:ascii="Times New Roman" w:hAnsi="Times New Roman" w:eastAsia="宋体" w:cs="Times New Roman"/>
          <w:color w:val="auto"/>
          <w:sz w:val="24"/>
          <w:szCs w:val="24"/>
          <w:highlight w:val="none"/>
          <w:lang w:val="en-US" w:eastAsia="zh-CN"/>
        </w:rPr>
        <w:t>根据上述公式计算可得本工程开采逃逸的CH</w:t>
      </w:r>
      <w:r>
        <w:rPr>
          <w:rFonts w:hint="default" w:ascii="Times New Roman" w:hAnsi="Times New Roman" w:eastAsia="宋体" w:cs="Times New Roman"/>
          <w:color w:val="auto"/>
          <w:sz w:val="24"/>
          <w:szCs w:val="24"/>
          <w:highlight w:val="none"/>
          <w:vertAlign w:val="subscript"/>
          <w:lang w:val="en-US" w:eastAsia="zh-CN"/>
        </w:rPr>
        <w:t>4</w:t>
      </w:r>
      <w:r>
        <w:rPr>
          <w:rFonts w:hint="default" w:ascii="Times New Roman" w:hAnsi="Times New Roman" w:eastAsia="宋体" w:cs="Times New Roman"/>
          <w:color w:val="auto"/>
          <w:sz w:val="24"/>
          <w:szCs w:val="24"/>
          <w:highlight w:val="none"/>
          <w:lang w:val="en-US" w:eastAsia="zh-CN"/>
        </w:rPr>
        <w:t>为</w:t>
      </w:r>
      <w:r>
        <w:rPr>
          <w:rFonts w:hint="eastAsia" w:cs="Times New Roman"/>
          <w:color w:val="auto"/>
          <w:sz w:val="24"/>
          <w:szCs w:val="24"/>
          <w:highlight w:val="none"/>
          <w:lang w:val="en-US" w:eastAsia="zh-CN"/>
        </w:rPr>
        <w:t>31.6</w:t>
      </w:r>
      <w:r>
        <w:rPr>
          <w:rFonts w:hint="default" w:ascii="Times New Roman" w:hAnsi="Times New Roman" w:eastAsia="宋体" w:cs="Times New Roman"/>
          <w:color w:val="auto"/>
          <w:sz w:val="24"/>
          <w:szCs w:val="24"/>
          <w:highlight w:val="none"/>
          <w:lang w:val="en-US" w:eastAsia="zh-CN"/>
        </w:rPr>
        <w:t>t。结合公式计算可知，折算成CO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排放量为</w:t>
      </w:r>
      <w:r>
        <w:rPr>
          <w:rFonts w:hint="eastAsia" w:ascii="Times New Roman" w:hAnsi="Times New Roman" w:eastAsia="宋体" w:cs="Times New Roman"/>
          <w:color w:val="auto"/>
          <w:sz w:val="24"/>
          <w:szCs w:val="24"/>
          <w:highlight w:val="none"/>
          <w:lang w:val="en-US" w:eastAsia="zh-CN"/>
        </w:rPr>
        <w:t>663.6</w:t>
      </w:r>
      <w:r>
        <w:rPr>
          <w:rFonts w:hint="default" w:ascii="Times New Roman" w:hAnsi="Times New Roman" w:eastAsia="宋体" w:cs="Times New Roman"/>
          <w:color w:val="auto"/>
          <w:sz w:val="24"/>
          <w:szCs w:val="24"/>
          <w:highlight w:val="none"/>
          <w:lang w:val="en-US" w:eastAsia="zh-CN"/>
        </w:rPr>
        <w:t>吨。</w:t>
      </w:r>
    </w:p>
    <w:p w14:paraId="73890E6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（3）净购入电力和热力隐含的CO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排放</w:t>
      </w:r>
    </w:p>
    <w:p w14:paraId="79E67D87">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bidi="ar"/>
        </w:rPr>
        <w:t>①</w:t>
      </w:r>
      <w:r>
        <w:rPr>
          <w:rFonts w:hint="default" w:ascii="Times New Roman" w:hAnsi="Times New Roman" w:eastAsia="宋体" w:cs="Times New Roman"/>
          <w:color w:val="auto"/>
          <w:sz w:val="24"/>
          <w:szCs w:val="24"/>
          <w:highlight w:val="none"/>
        </w:rPr>
        <w:t>计算公式</w:t>
      </w:r>
    </w:p>
    <w:p w14:paraId="75C2E83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a.净购入电力的C</w:t>
      </w:r>
      <w:r>
        <w:rPr>
          <w:rFonts w:hint="eastAsia" w:ascii="Times New Roman" w:hAnsi="Times New Roman" w:eastAsia="宋体" w:cs="Times New Roman"/>
          <w:color w:val="auto"/>
          <w:sz w:val="24"/>
          <w:szCs w:val="24"/>
          <w:highlight w:val="none"/>
          <w:lang w:val="en-US" w:eastAsia="zh-CN"/>
        </w:rPr>
        <w:t>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排放计算公式</w:t>
      </w:r>
    </w:p>
    <w:p w14:paraId="4DDB4A5B">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drawing>
          <wp:inline distT="0" distB="0" distL="114300" distR="114300">
            <wp:extent cx="1610360" cy="180975"/>
            <wp:effectExtent l="0" t="0" r="8890" b="8890"/>
            <wp:docPr id="1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5"/>
                    <pic:cNvPicPr>
                      <a:picLocks noChangeAspect="1"/>
                    </pic:cNvPicPr>
                  </pic:nvPicPr>
                  <pic:blipFill>
                    <a:blip r:embed="rId66"/>
                    <a:stretch>
                      <a:fillRect/>
                    </a:stretch>
                  </pic:blipFill>
                  <pic:spPr>
                    <a:xfrm>
                      <a:off x="0" y="0"/>
                      <a:ext cx="1610360" cy="180975"/>
                    </a:xfrm>
                    <a:prstGeom prst="rect">
                      <a:avLst/>
                    </a:prstGeom>
                    <a:noFill/>
                    <a:ln>
                      <a:noFill/>
                    </a:ln>
                  </pic:spPr>
                </pic:pic>
              </a:graphicData>
            </a:graphic>
          </wp:inline>
        </w:drawing>
      </w:r>
      <w:r>
        <w:rPr>
          <w:rFonts w:hint="default" w:ascii="Times New Roman" w:hAnsi="Times New Roman" w:eastAsia="宋体" w:cs="Times New Roman"/>
          <w:color w:val="auto"/>
          <w:sz w:val="24"/>
          <w:szCs w:val="24"/>
          <w:highlight w:val="none"/>
        </w:rPr>
        <w:t xml:space="preserve">  </w:t>
      </w:r>
    </w:p>
    <w:p w14:paraId="3F12B613">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w:t>
      </w:r>
    </w:p>
    <w:p w14:paraId="4E0F1549">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m:oMath>
        <m:sSub>
          <m:sSubPr>
            <m:ctrlPr>
              <w:rPr>
                <w:rFonts w:ascii="Cambria Math" w:hAnsi="Cambria Math" w:cs="Times New Roman"/>
                <w:i/>
                <w:color w:val="auto"/>
                <w:sz w:val="24"/>
                <w:szCs w:val="24"/>
                <w:highlight w:val="none"/>
              </w:rPr>
            </m:ctrlPr>
          </m:sSubPr>
          <m:e>
            <m:r>
              <m:rPr/>
              <w:rPr>
                <w:rFonts w:hint="default" w:ascii="Cambria Math" w:hAnsi="Cambria Math" w:cs="Times New Roman"/>
                <w:color w:val="auto"/>
                <w:sz w:val="24"/>
                <w:szCs w:val="24"/>
                <w:highlight w:val="none"/>
                <w:lang w:val="en-US" w:eastAsia="zh-CN"/>
              </w:rPr>
              <m:t>E</m:t>
            </m:r>
            <m:ctrlPr>
              <w:rPr>
                <w:rFonts w:ascii="Cambria Math" w:hAnsi="Cambria Math" w:cs="Times New Roman"/>
                <w:i/>
                <w:color w:val="auto"/>
                <w:sz w:val="24"/>
                <w:szCs w:val="24"/>
                <w:highlight w:val="none"/>
              </w:rPr>
            </m:ctrlPr>
          </m:e>
          <m:sub>
            <m:sSub>
              <m:sSubPr>
                <m:ctrlPr>
                  <w:rPr>
                    <w:rFonts w:ascii="Cambria Math" w:hAnsi="Cambria Math" w:cs="Times New Roman"/>
                    <w:i/>
                    <w:color w:val="auto"/>
                    <w:sz w:val="24"/>
                    <w:szCs w:val="24"/>
                    <w:highlight w:val="none"/>
                  </w:rPr>
                </m:ctrlPr>
              </m:sSubPr>
              <m:e>
                <m:r>
                  <m:rPr/>
                  <w:rPr>
                    <w:rFonts w:hint="default" w:ascii="Cambria Math" w:hAnsi="Cambria Math" w:cs="Times New Roman"/>
                    <w:color w:val="auto"/>
                    <w:sz w:val="24"/>
                    <w:szCs w:val="24"/>
                    <w:highlight w:val="none"/>
                    <w:lang w:val="en-US" w:eastAsia="zh-CN"/>
                  </w:rPr>
                  <m:t>CO</m:t>
                </m:r>
                <m:ctrlPr>
                  <w:rPr>
                    <w:rFonts w:ascii="Cambria Math" w:hAnsi="Cambria Math" w:cs="Times New Roman"/>
                    <w:i/>
                    <w:color w:val="auto"/>
                    <w:sz w:val="24"/>
                    <w:szCs w:val="24"/>
                    <w:highlight w:val="none"/>
                  </w:rPr>
                </m:ctrlPr>
              </m:e>
              <m:sub>
                <m:r>
                  <m:rPr/>
                  <w:rPr>
                    <w:rFonts w:hint="default" w:ascii="Cambria Math" w:hAnsi="Cambria Math" w:cs="Times New Roman"/>
                    <w:color w:val="auto"/>
                    <w:sz w:val="24"/>
                    <w:szCs w:val="24"/>
                    <w:highlight w:val="none"/>
                    <w:lang w:val="en-US" w:eastAsia="zh-CN"/>
                  </w:rPr>
                  <m:t>2</m:t>
                </m:r>
                <m:ctrlPr>
                  <w:rPr>
                    <w:rFonts w:ascii="Cambria Math" w:hAnsi="Cambria Math" w:cs="Times New Roman"/>
                    <w:i/>
                    <w:color w:val="auto"/>
                    <w:sz w:val="24"/>
                    <w:szCs w:val="24"/>
                    <w:highlight w:val="none"/>
                  </w:rPr>
                </m:ctrlPr>
              </m:sub>
            </m:sSub>
            <m:ctrlPr>
              <w:rPr>
                <w:rFonts w:ascii="Cambria Math" w:hAnsi="Cambria Math" w:cs="Times New Roman"/>
                <w:i/>
                <w:color w:val="auto"/>
                <w:sz w:val="24"/>
                <w:szCs w:val="24"/>
                <w:highlight w:val="none"/>
              </w:rPr>
            </m:ctrlPr>
          </m:sub>
        </m:sSub>
      </m:oMath>
      <w:r>
        <w:rPr>
          <w:rFonts w:hint="default" w:ascii="Times New Roman" w:hAnsi="Times New Roman" w:eastAsia="宋体" w:cs="Times New Roman"/>
          <w:color w:val="auto"/>
          <w:sz w:val="24"/>
          <w:szCs w:val="24"/>
          <w:highlight w:val="none"/>
        </w:rPr>
        <w:t>-净电为报告主体净购入电力隐含的C</w:t>
      </w:r>
      <w:r>
        <w:rPr>
          <w:rFonts w:hint="eastAsia" w:ascii="Times New Roman" w:hAnsi="Times New Roman" w:eastAsia="宋体" w:cs="Times New Roman"/>
          <w:color w:val="auto"/>
          <w:sz w:val="24"/>
          <w:szCs w:val="24"/>
          <w:highlight w:val="none"/>
          <w:lang w:val="en-US" w:eastAsia="zh-CN"/>
        </w:rPr>
        <w:t>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排放量，单位为吨C</w:t>
      </w:r>
      <w:r>
        <w:rPr>
          <w:rFonts w:hint="eastAsia" w:ascii="Times New Roman" w:hAnsi="Times New Roman" w:eastAsia="宋体" w:cs="Times New Roman"/>
          <w:color w:val="auto"/>
          <w:sz w:val="24"/>
          <w:szCs w:val="24"/>
          <w:highlight w:val="none"/>
          <w:lang w:val="en-US" w:eastAsia="zh-CN"/>
        </w:rPr>
        <w:t>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w:t>
      </w:r>
    </w:p>
    <w:p w14:paraId="0D05A78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AD</w:t>
      </w:r>
      <w:r>
        <w:rPr>
          <w:rFonts w:hint="default" w:ascii="Times New Roman" w:hAnsi="Times New Roman" w:eastAsia="宋体" w:cs="Times New Roman"/>
          <w:color w:val="auto"/>
          <w:sz w:val="24"/>
          <w:szCs w:val="24"/>
          <w:highlight w:val="none"/>
          <w:vertAlign w:val="subscript"/>
        </w:rPr>
        <w:t>电力</w:t>
      </w:r>
      <w:r>
        <w:rPr>
          <w:rFonts w:hint="default" w:ascii="Times New Roman" w:hAnsi="Times New Roman" w:eastAsia="宋体" w:cs="Times New Roman"/>
          <w:color w:val="auto"/>
          <w:sz w:val="24"/>
          <w:szCs w:val="24"/>
          <w:highlight w:val="none"/>
        </w:rPr>
        <w:t>为企业净购入的电力消费量，单位为兆瓦时（MWh）；</w:t>
      </w:r>
    </w:p>
    <w:p w14:paraId="1EF74291">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EF</w:t>
      </w:r>
      <w:r>
        <w:rPr>
          <w:rFonts w:hint="default" w:ascii="Times New Roman" w:hAnsi="Times New Roman" w:eastAsia="宋体" w:cs="Times New Roman"/>
          <w:color w:val="auto"/>
          <w:sz w:val="24"/>
          <w:szCs w:val="24"/>
          <w:highlight w:val="none"/>
          <w:vertAlign w:val="subscript"/>
        </w:rPr>
        <w:t>电力</w:t>
      </w:r>
      <w:r>
        <w:rPr>
          <w:rFonts w:hint="default" w:ascii="Times New Roman" w:hAnsi="Times New Roman" w:eastAsia="宋体" w:cs="Times New Roman"/>
          <w:color w:val="auto"/>
          <w:sz w:val="24"/>
          <w:szCs w:val="24"/>
          <w:highlight w:val="none"/>
        </w:rPr>
        <w:t>为电力供应的C</w:t>
      </w:r>
      <w:r>
        <w:rPr>
          <w:rFonts w:hint="eastAsia" w:ascii="Times New Roman" w:hAnsi="Times New Roman" w:eastAsia="宋体" w:cs="Times New Roman"/>
          <w:color w:val="auto"/>
          <w:sz w:val="24"/>
          <w:szCs w:val="24"/>
          <w:highlight w:val="none"/>
          <w:lang w:val="en-US" w:eastAsia="zh-CN"/>
        </w:rPr>
        <w:t>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排放因子，单位为吨C</w:t>
      </w:r>
      <w:r>
        <w:rPr>
          <w:rFonts w:hint="eastAsia" w:ascii="Times New Roman" w:hAnsi="Times New Roman" w:eastAsia="宋体" w:cs="Times New Roman"/>
          <w:color w:val="auto"/>
          <w:sz w:val="24"/>
          <w:szCs w:val="24"/>
          <w:highlight w:val="none"/>
          <w:lang w:val="en-US" w:eastAsia="zh-CN"/>
        </w:rPr>
        <w:t>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/MWh。</w:t>
      </w:r>
    </w:p>
    <w:p w14:paraId="1B32321B">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b.净购入热力的C</w:t>
      </w:r>
      <w:r>
        <w:rPr>
          <w:rFonts w:hint="eastAsia" w:ascii="Times New Roman" w:hAnsi="Times New Roman" w:eastAsia="宋体" w:cs="Times New Roman"/>
          <w:color w:val="auto"/>
          <w:sz w:val="24"/>
          <w:szCs w:val="24"/>
          <w:highlight w:val="none"/>
          <w:lang w:val="en-US" w:eastAsia="zh-CN"/>
        </w:rPr>
        <w:t>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排放计算公式</w:t>
      </w:r>
    </w:p>
    <w:p w14:paraId="645F7351">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drawing>
          <wp:inline distT="0" distB="0" distL="114300" distR="114300">
            <wp:extent cx="1610360" cy="180975"/>
            <wp:effectExtent l="0" t="0" r="8890" b="8890"/>
            <wp:docPr id="1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6"/>
                    <pic:cNvPicPr>
                      <a:picLocks noChangeAspect="1"/>
                    </pic:cNvPicPr>
                  </pic:nvPicPr>
                  <pic:blipFill>
                    <a:blip r:embed="rId67"/>
                    <a:stretch>
                      <a:fillRect/>
                    </a:stretch>
                  </pic:blipFill>
                  <pic:spPr>
                    <a:xfrm>
                      <a:off x="0" y="0"/>
                      <a:ext cx="1610360" cy="180975"/>
                    </a:xfrm>
                    <a:prstGeom prst="rect">
                      <a:avLst/>
                    </a:prstGeom>
                    <a:noFill/>
                    <a:ln>
                      <a:noFill/>
                    </a:ln>
                  </pic:spPr>
                </pic:pic>
              </a:graphicData>
            </a:graphic>
          </wp:inline>
        </w:drawing>
      </w:r>
      <w:r>
        <w:rPr>
          <w:rFonts w:hint="default" w:ascii="Times New Roman" w:hAnsi="Times New Roman" w:eastAsia="宋体" w:cs="Times New Roman"/>
          <w:color w:val="auto"/>
          <w:sz w:val="24"/>
          <w:szCs w:val="24"/>
          <w:highlight w:val="none"/>
        </w:rPr>
        <w:t xml:space="preserve">     </w:t>
      </w:r>
    </w:p>
    <w:p w14:paraId="51061038">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式中</w:t>
      </w:r>
      <w:r>
        <w:rPr>
          <w:rFonts w:hint="eastAsia" w:ascii="Times New Roman" w:hAnsi="Times New Roman" w:eastAsia="宋体" w:cs="Times New Roman"/>
          <w:color w:val="auto"/>
          <w:sz w:val="24"/>
          <w:szCs w:val="24"/>
          <w:highlight w:val="none"/>
          <w:lang w:val="en-US" w:eastAsia="zh-CN"/>
        </w:rPr>
        <w:t>:</w:t>
      </w:r>
    </w:p>
    <w:p w14:paraId="42C98206">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m:oMath>
        <m:sSub>
          <m:sSubPr>
            <m:ctrlPr>
              <w:rPr>
                <w:rFonts w:ascii="Cambria Math" w:hAnsi="Cambria Math" w:cs="Times New Roman"/>
                <w:i/>
                <w:color w:val="auto"/>
                <w:sz w:val="24"/>
                <w:szCs w:val="24"/>
                <w:highlight w:val="none"/>
              </w:rPr>
            </m:ctrlPr>
          </m:sSubPr>
          <m:e>
            <m:r>
              <m:rPr/>
              <w:rPr>
                <w:rFonts w:hint="default" w:ascii="Cambria Math" w:hAnsi="Cambria Math" w:cs="Times New Roman"/>
                <w:color w:val="auto"/>
                <w:sz w:val="24"/>
                <w:szCs w:val="24"/>
                <w:highlight w:val="none"/>
                <w:lang w:val="en-US" w:eastAsia="zh-CN"/>
              </w:rPr>
              <m:t>E</m:t>
            </m:r>
            <m:ctrlPr>
              <w:rPr>
                <w:rFonts w:ascii="Cambria Math" w:hAnsi="Cambria Math" w:cs="Times New Roman"/>
                <w:i/>
                <w:color w:val="auto"/>
                <w:sz w:val="24"/>
                <w:szCs w:val="24"/>
                <w:highlight w:val="none"/>
              </w:rPr>
            </m:ctrlPr>
          </m:e>
          <m:sub>
            <m:sSub>
              <m:sSubPr>
                <m:ctrlPr>
                  <w:rPr>
                    <w:rFonts w:ascii="Cambria Math" w:hAnsi="Cambria Math" w:cs="Times New Roman"/>
                    <w:i/>
                    <w:color w:val="auto"/>
                    <w:sz w:val="24"/>
                    <w:szCs w:val="24"/>
                    <w:highlight w:val="none"/>
                  </w:rPr>
                </m:ctrlPr>
              </m:sSubPr>
              <m:e>
                <m:r>
                  <m:rPr/>
                  <w:rPr>
                    <w:rFonts w:hint="default" w:ascii="Cambria Math" w:hAnsi="Cambria Math" w:cs="Times New Roman"/>
                    <w:color w:val="auto"/>
                    <w:sz w:val="24"/>
                    <w:szCs w:val="24"/>
                    <w:highlight w:val="none"/>
                    <w:lang w:val="en-US" w:eastAsia="zh-CN"/>
                  </w:rPr>
                  <m:t>CO</m:t>
                </m:r>
                <m:ctrlPr>
                  <w:rPr>
                    <w:rFonts w:ascii="Cambria Math" w:hAnsi="Cambria Math" w:cs="Times New Roman"/>
                    <w:i/>
                    <w:color w:val="auto"/>
                    <w:sz w:val="24"/>
                    <w:szCs w:val="24"/>
                    <w:highlight w:val="none"/>
                  </w:rPr>
                </m:ctrlPr>
              </m:e>
              <m:sub>
                <m:r>
                  <m:rPr/>
                  <w:rPr>
                    <w:rFonts w:hint="default" w:ascii="Cambria Math" w:hAnsi="Cambria Math" w:cs="Times New Roman"/>
                    <w:color w:val="auto"/>
                    <w:sz w:val="24"/>
                    <w:szCs w:val="24"/>
                    <w:highlight w:val="none"/>
                    <w:lang w:val="en-US" w:eastAsia="zh-CN"/>
                  </w:rPr>
                  <m:t>2</m:t>
                </m:r>
                <m:ctrlPr>
                  <w:rPr>
                    <w:rFonts w:ascii="Cambria Math" w:hAnsi="Cambria Math" w:cs="Times New Roman"/>
                    <w:i/>
                    <w:color w:val="auto"/>
                    <w:sz w:val="24"/>
                    <w:szCs w:val="24"/>
                    <w:highlight w:val="none"/>
                  </w:rPr>
                </m:ctrlPr>
              </m:sub>
            </m:sSub>
            <m:ctrlPr>
              <w:rPr>
                <w:rFonts w:ascii="Cambria Math" w:hAnsi="Cambria Math" w:cs="Times New Roman"/>
                <w:i/>
                <w:color w:val="auto"/>
                <w:sz w:val="24"/>
                <w:szCs w:val="24"/>
                <w:highlight w:val="none"/>
              </w:rPr>
            </m:ctrlPr>
          </m:sub>
        </m:sSub>
      </m:oMath>
      <w:r>
        <w:rPr>
          <w:rFonts w:hint="default" w:ascii="Times New Roman" w:hAnsi="Times New Roman" w:eastAsia="宋体" w:cs="Times New Roman"/>
          <w:color w:val="auto"/>
          <w:sz w:val="24"/>
          <w:szCs w:val="24"/>
          <w:highlight w:val="none"/>
        </w:rPr>
        <w:t>-净热为报告主体净购入热力隐含的C</w:t>
      </w:r>
      <w:r>
        <w:rPr>
          <w:rFonts w:hint="eastAsia" w:ascii="Times New Roman" w:hAnsi="Times New Roman" w:eastAsia="宋体" w:cs="Times New Roman"/>
          <w:color w:val="auto"/>
          <w:sz w:val="24"/>
          <w:szCs w:val="24"/>
          <w:highlight w:val="none"/>
          <w:lang w:val="en-US" w:eastAsia="zh-CN"/>
        </w:rPr>
        <w:t>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排放量，单位为吨C</w:t>
      </w:r>
      <w:r>
        <w:rPr>
          <w:rFonts w:hint="eastAsia" w:ascii="Times New Roman" w:hAnsi="Times New Roman" w:eastAsia="宋体" w:cs="Times New Roman"/>
          <w:color w:val="auto"/>
          <w:sz w:val="24"/>
          <w:szCs w:val="24"/>
          <w:highlight w:val="none"/>
          <w:lang w:val="en-US" w:eastAsia="zh-CN"/>
        </w:rPr>
        <w:t>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w:t>
      </w:r>
    </w:p>
    <w:p w14:paraId="4DD3E395">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AD热力为企业净购入的热力消费量，单位为GJ；</w:t>
      </w:r>
    </w:p>
    <w:p w14:paraId="1FD9C643">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EF热力为热力供应的C</w:t>
      </w:r>
      <w:r>
        <w:rPr>
          <w:rFonts w:hint="eastAsia" w:ascii="Times New Roman" w:hAnsi="Times New Roman" w:eastAsia="宋体" w:cs="Times New Roman"/>
          <w:color w:val="auto"/>
          <w:sz w:val="24"/>
          <w:szCs w:val="24"/>
          <w:highlight w:val="none"/>
          <w:lang w:val="en-US" w:eastAsia="zh-CN"/>
        </w:rPr>
        <w:t>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排放因子，单位为吨C</w:t>
      </w:r>
      <w:r>
        <w:rPr>
          <w:rFonts w:hint="eastAsia" w:ascii="Times New Roman" w:hAnsi="Times New Roman" w:eastAsia="宋体" w:cs="Times New Roman"/>
          <w:color w:val="auto"/>
          <w:sz w:val="24"/>
          <w:szCs w:val="24"/>
          <w:highlight w:val="none"/>
          <w:lang w:val="en-US" w:eastAsia="zh-CN"/>
        </w:rPr>
        <w:t>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/GJ。</w:t>
      </w:r>
    </w:p>
    <w:p w14:paraId="5A99685C">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lang w:bidi="ar"/>
        </w:rPr>
        <w:instrText xml:space="preserve"> = 2 \* GB3 \* MERGEFORMAT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bidi="ar"/>
        </w:rPr>
        <w:t>②</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计算结果</w:t>
      </w:r>
    </w:p>
    <w:p w14:paraId="2E278B46">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yellow"/>
        </w:rPr>
      </w:pPr>
      <w:r>
        <w:rPr>
          <w:rFonts w:hint="default" w:ascii="Times New Roman" w:hAnsi="Times New Roman" w:eastAsia="宋体" w:cs="Times New Roman"/>
          <w:color w:val="auto"/>
          <w:sz w:val="24"/>
          <w:szCs w:val="24"/>
          <w:highlight w:val="none"/>
        </w:rPr>
        <w:t>拟建工程生产过程中不涉及使用蒸汽，不涉及发电内容，使用的电力消耗量为</w:t>
      </w:r>
      <w:r>
        <w:rPr>
          <w:rFonts w:hint="eastAsia" w:cs="Times New Roman"/>
          <w:color w:val="auto"/>
          <w:sz w:val="24"/>
          <w:szCs w:val="24"/>
          <w:highlight w:val="none"/>
          <w:lang w:val="en-US" w:eastAsia="zh-CN" w:bidi="ar"/>
        </w:rPr>
        <w:t>972.77</w:t>
      </w:r>
      <w:r>
        <w:rPr>
          <w:rFonts w:hint="default" w:ascii="Times New Roman" w:hAnsi="Times New Roman" w:eastAsia="宋体" w:cs="Times New Roman"/>
          <w:color w:val="auto"/>
          <w:sz w:val="24"/>
          <w:szCs w:val="24"/>
          <w:highlight w:val="none"/>
        </w:rPr>
        <w:t>MWh</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电力排放因子根据《关于做好2023-2025年发电行业企业温室气体排放报告管理有关工作的通知》</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环办气候函</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2023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43号</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中2022年度全国电网平均排放因子为0.5703吨CO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/MWh。根据前述公式计算可知，核算净购入电力和热力隐含的</w:t>
      </w:r>
      <w:r>
        <w:rPr>
          <w:rFonts w:hint="default" w:ascii="Times New Roman" w:hAnsi="Times New Roman" w:eastAsia="宋体" w:cs="Times New Roman"/>
          <w:color w:val="auto"/>
          <w:spacing w:val="0"/>
          <w:sz w:val="24"/>
          <w:szCs w:val="24"/>
          <w:highlight w:val="none"/>
        </w:rPr>
        <w:t>温室气体</w:t>
      </w:r>
      <w:r>
        <w:rPr>
          <w:rFonts w:hint="default" w:ascii="Times New Roman" w:hAnsi="Times New Roman" w:eastAsia="宋体" w:cs="Times New Roman"/>
          <w:color w:val="auto"/>
          <w:sz w:val="24"/>
          <w:szCs w:val="24"/>
          <w:highlight w:val="none"/>
        </w:rPr>
        <w:t>排放量为</w:t>
      </w:r>
      <w:r>
        <w:rPr>
          <w:rFonts w:hint="eastAsia" w:cs="Times New Roman"/>
          <w:color w:val="auto"/>
          <w:sz w:val="24"/>
          <w:szCs w:val="24"/>
          <w:highlight w:val="none"/>
          <w:lang w:val="en-US" w:eastAsia="zh-CN"/>
        </w:rPr>
        <w:t>554.77</w:t>
      </w:r>
      <w:r>
        <w:rPr>
          <w:rFonts w:hint="default" w:ascii="Times New Roman" w:hAnsi="Times New Roman" w:eastAsia="宋体" w:cs="Times New Roman"/>
          <w:color w:val="auto"/>
          <w:sz w:val="24"/>
          <w:szCs w:val="24"/>
          <w:highlight w:val="none"/>
        </w:rPr>
        <w:t>t。</w:t>
      </w:r>
    </w:p>
    <w:p w14:paraId="0D09E366">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（4）碳排放核算结果汇总</w:t>
      </w:r>
    </w:p>
    <w:p w14:paraId="422E33DB">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根据《中国石油天然气生产企业 温室气体排放核算方法与报告指南（试行）》，企业的</w:t>
      </w:r>
      <w:r>
        <w:rPr>
          <w:rFonts w:hint="default" w:ascii="Times New Roman" w:hAnsi="Times New Roman" w:eastAsia="宋体" w:cs="Times New Roman"/>
          <w:color w:val="auto"/>
          <w:spacing w:val="0"/>
          <w:sz w:val="24"/>
          <w:szCs w:val="24"/>
          <w:highlight w:val="none"/>
        </w:rPr>
        <w:t>温室气体</w:t>
      </w:r>
      <w:r>
        <w:rPr>
          <w:rFonts w:hint="default" w:ascii="Times New Roman" w:hAnsi="Times New Roman" w:eastAsia="宋体" w:cs="Times New Roman"/>
          <w:color w:val="auto"/>
          <w:sz w:val="24"/>
          <w:szCs w:val="24"/>
          <w:highlight w:val="none"/>
        </w:rPr>
        <w:t>排放总量计算公式为：</w:t>
      </w:r>
    </w:p>
    <w:p w14:paraId="4B901495">
      <w:pPr>
        <w:keepNext w:val="0"/>
        <w:keepLines w:val="0"/>
        <w:pageBreakBefore w:val="0"/>
        <w:widowControl w:val="0"/>
        <w:kinsoku/>
        <w:wordWrap/>
        <w:overflowPunct/>
        <w:autoSpaceDN/>
        <w:bidi w:val="0"/>
        <w:spacing w:before="240" w:line="480" w:lineRule="exact"/>
        <w:ind w:firstLine="420" w:firstLineChars="200"/>
        <w:textAlignment w:val="auto"/>
        <w:rPr>
          <w:rFonts w:hint="eastAsia"/>
          <w:color w:val="auto"/>
          <w:highlight w:val="none"/>
        </w:rPr>
      </w:pPr>
      <w:r>
        <w:rPr>
          <w:color w:val="auto"/>
          <w:highlight w:val="none"/>
        </w:rPr>
        <w:drawing>
          <wp:anchor distT="0" distB="0" distL="114300" distR="114300" simplePos="0" relativeHeight="251697152" behindDoc="1" locked="0" layoutInCell="1" allowOverlap="1">
            <wp:simplePos x="0" y="0"/>
            <wp:positionH relativeFrom="column">
              <wp:posOffset>0</wp:posOffset>
            </wp:positionH>
            <wp:positionV relativeFrom="paragraph">
              <wp:posOffset>200025</wp:posOffset>
            </wp:positionV>
            <wp:extent cx="5629275" cy="1038225"/>
            <wp:effectExtent l="0" t="0" r="9525" b="9525"/>
            <wp:wrapNone/>
            <wp:docPr id="13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25"/>
                    <pic:cNvPicPr>
                      <a:picLocks noChangeAspect="1"/>
                    </pic:cNvPicPr>
                  </pic:nvPicPr>
                  <pic:blipFill>
                    <a:blip r:embed="rId68"/>
                    <a:stretch>
                      <a:fillRect/>
                    </a:stretch>
                  </pic:blipFill>
                  <pic:spPr>
                    <a:xfrm>
                      <a:off x="0" y="0"/>
                      <a:ext cx="5629275" cy="1038225"/>
                    </a:xfrm>
                    <a:prstGeom prst="rect">
                      <a:avLst/>
                    </a:prstGeom>
                    <a:noFill/>
                    <a:ln>
                      <a:noFill/>
                    </a:ln>
                  </pic:spPr>
                </pic:pic>
              </a:graphicData>
            </a:graphic>
          </wp:anchor>
        </w:drawing>
      </w:r>
      <w:r>
        <w:rPr>
          <w:rFonts w:hint="eastAsia"/>
          <w:color w:val="auto"/>
          <w:highlight w:val="none"/>
        </w:rPr>
        <w:t xml:space="preserve">        </w:t>
      </w:r>
    </w:p>
    <w:p w14:paraId="42B123D3">
      <w:pPr>
        <w:keepNext w:val="0"/>
        <w:keepLines w:val="0"/>
        <w:pageBreakBefore w:val="0"/>
        <w:widowControl w:val="0"/>
        <w:kinsoku/>
        <w:wordWrap/>
        <w:overflowPunct/>
        <w:autoSpaceDN/>
        <w:bidi w:val="0"/>
        <w:spacing w:before="240" w:line="480" w:lineRule="exact"/>
        <w:ind w:firstLine="420" w:firstLineChars="200"/>
        <w:textAlignment w:val="auto"/>
        <w:rPr>
          <w:rFonts w:hint="eastAsia"/>
          <w:color w:val="auto"/>
          <w:highlight w:val="none"/>
        </w:rPr>
      </w:pPr>
    </w:p>
    <w:p w14:paraId="13269C2C">
      <w:pPr>
        <w:keepNext w:val="0"/>
        <w:keepLines w:val="0"/>
        <w:pageBreakBefore w:val="0"/>
        <w:widowControl w:val="0"/>
        <w:kinsoku/>
        <w:wordWrap/>
        <w:overflowPunct/>
        <w:autoSpaceDN/>
        <w:bidi w:val="0"/>
        <w:spacing w:before="240" w:line="480" w:lineRule="exact"/>
        <w:ind w:firstLine="420" w:firstLineChars="200"/>
        <w:textAlignment w:val="auto"/>
        <w:rPr>
          <w:rFonts w:hint="eastAsia"/>
          <w:color w:val="auto"/>
          <w:highlight w:val="none"/>
        </w:rPr>
      </w:pPr>
    </w:p>
    <w:p w14:paraId="5FA1B45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p>
    <w:p w14:paraId="6241B1E2">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式中，E</w:t>
      </w:r>
      <w:r>
        <w:rPr>
          <w:rFonts w:hint="default" w:ascii="Times New Roman" w:hAnsi="Times New Roman" w:eastAsia="宋体" w:cs="Times New Roman"/>
          <w:color w:val="auto"/>
          <w:sz w:val="24"/>
          <w:szCs w:val="24"/>
          <w:highlight w:val="none"/>
          <w:vertAlign w:val="subscript"/>
        </w:rPr>
        <w:t>GHG</w:t>
      </w:r>
      <w:r>
        <w:rPr>
          <w:rFonts w:hint="default" w:ascii="Times New Roman" w:hAnsi="Times New Roman" w:eastAsia="宋体" w:cs="Times New Roman"/>
          <w:color w:val="auto"/>
          <w:sz w:val="24"/>
          <w:szCs w:val="24"/>
          <w:highlight w:val="none"/>
        </w:rPr>
        <w:t>-温室气体排放总量，单位为吨C</w:t>
      </w:r>
      <w:r>
        <w:rPr>
          <w:rFonts w:hint="eastAsia" w:ascii="Times New Roman" w:hAnsi="Times New Roman" w:eastAsia="宋体" w:cs="Times New Roman"/>
          <w:color w:val="auto"/>
          <w:sz w:val="24"/>
          <w:szCs w:val="24"/>
          <w:highlight w:val="none"/>
          <w:lang w:val="en-US" w:eastAsia="zh-CN"/>
        </w:rPr>
        <w:t>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w:t>
      </w:r>
    </w:p>
    <w:p w14:paraId="1E3FAAC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pacing w:val="0"/>
          <w:sz w:val="24"/>
          <w:szCs w:val="24"/>
          <w:highlight w:val="none"/>
        </w:rPr>
      </w:pPr>
      <m:oMath>
        <m:sSub>
          <m:sSubPr>
            <m:ctrlPr>
              <w:rPr>
                <w:rFonts w:ascii="Cambria Math" w:hAnsi="Cambria Math" w:cs="Times New Roman"/>
                <w:i/>
                <w:color w:val="auto"/>
                <w:spacing w:val="0"/>
                <w:sz w:val="24"/>
                <w:szCs w:val="24"/>
                <w:highlight w:val="none"/>
                <w:vertAlign w:val="subscript"/>
              </w:rPr>
            </m:ctrlPr>
          </m:sSubPr>
          <m:e>
            <m:r>
              <m:rPr/>
              <w:rPr>
                <w:rFonts w:hint="default" w:ascii="Cambria Math" w:hAnsi="Cambria Math" w:cs="Times New Roman"/>
                <w:color w:val="auto"/>
                <w:spacing w:val="0"/>
                <w:sz w:val="24"/>
                <w:szCs w:val="24"/>
                <w:highlight w:val="none"/>
                <w:vertAlign w:val="subscript"/>
                <w:lang w:val="en-US" w:eastAsia="zh-CN"/>
              </w:rPr>
              <m:t>E</m:t>
            </m:r>
            <m:ctrlPr>
              <w:rPr>
                <w:rFonts w:ascii="Cambria Math" w:hAnsi="Cambria Math" w:cs="Times New Roman"/>
                <w:i/>
                <w:color w:val="auto"/>
                <w:spacing w:val="0"/>
                <w:sz w:val="24"/>
                <w:szCs w:val="24"/>
                <w:highlight w:val="none"/>
                <w:vertAlign w:val="subscript"/>
              </w:rPr>
            </m:ctrlPr>
          </m:e>
          <m:sub>
            <m:sSub>
              <m:sSubPr>
                <m:ctrlPr>
                  <w:rPr>
                    <w:rFonts w:ascii="Cambria Math" w:hAnsi="Cambria Math" w:cs="Times New Roman"/>
                    <w:i/>
                    <w:color w:val="auto"/>
                    <w:spacing w:val="0"/>
                    <w:sz w:val="24"/>
                    <w:szCs w:val="24"/>
                    <w:highlight w:val="none"/>
                    <w:vertAlign w:val="subscript"/>
                  </w:rPr>
                </m:ctrlPr>
              </m:sSubPr>
              <m:e>
                <m:r>
                  <m:rPr/>
                  <w:rPr>
                    <w:rFonts w:hint="default" w:ascii="Cambria Math" w:hAnsi="Cambria Math" w:cs="Times New Roman"/>
                    <w:color w:val="auto"/>
                    <w:spacing w:val="0"/>
                    <w:sz w:val="24"/>
                    <w:szCs w:val="24"/>
                    <w:highlight w:val="none"/>
                    <w:vertAlign w:val="subscript"/>
                    <w:lang w:val="en-US" w:eastAsia="zh-CN"/>
                  </w:rPr>
                  <m:t>CO</m:t>
                </m:r>
                <m:ctrlPr>
                  <w:rPr>
                    <w:rFonts w:ascii="Cambria Math" w:hAnsi="Cambria Math" w:cs="Times New Roman"/>
                    <w:i/>
                    <w:color w:val="auto"/>
                    <w:spacing w:val="0"/>
                    <w:sz w:val="24"/>
                    <w:szCs w:val="24"/>
                    <w:highlight w:val="none"/>
                    <w:vertAlign w:val="subscript"/>
                  </w:rPr>
                </m:ctrlPr>
              </m:e>
              <m:sub>
                <m:r>
                  <m:rPr/>
                  <w:rPr>
                    <w:rFonts w:hint="default" w:ascii="Cambria Math" w:hAnsi="Cambria Math" w:cs="Times New Roman"/>
                    <w:color w:val="auto"/>
                    <w:spacing w:val="0"/>
                    <w:sz w:val="24"/>
                    <w:szCs w:val="24"/>
                    <w:highlight w:val="none"/>
                    <w:vertAlign w:val="subscript"/>
                    <w:lang w:val="en-US" w:eastAsia="zh-CN"/>
                  </w:rPr>
                  <m:t>2</m:t>
                </m:r>
                <m:ctrlPr>
                  <w:rPr>
                    <w:rFonts w:ascii="Cambria Math" w:hAnsi="Cambria Math" w:cs="Times New Roman"/>
                    <w:i/>
                    <w:color w:val="auto"/>
                    <w:spacing w:val="0"/>
                    <w:sz w:val="24"/>
                    <w:szCs w:val="24"/>
                    <w:highlight w:val="none"/>
                    <w:vertAlign w:val="subscript"/>
                  </w:rPr>
                </m:ctrlPr>
              </m:sub>
            </m:sSub>
            <m:ctrlPr>
              <w:rPr>
                <w:rFonts w:ascii="Cambria Math" w:hAnsi="Cambria Math" w:cs="Times New Roman"/>
                <w:i/>
                <w:color w:val="auto"/>
                <w:spacing w:val="0"/>
                <w:sz w:val="24"/>
                <w:szCs w:val="24"/>
                <w:highlight w:val="none"/>
                <w:vertAlign w:val="subscript"/>
              </w:rPr>
            </m:ctrlPr>
          </m:sub>
        </m:sSub>
      </m:oMath>
      <w:r>
        <w:rPr>
          <w:rFonts w:hint="default" w:ascii="Times New Roman" w:hAnsi="Times New Roman" w:eastAsia="宋体" w:cs="Times New Roman"/>
          <w:color w:val="auto"/>
          <w:spacing w:val="0"/>
          <w:sz w:val="24"/>
          <w:szCs w:val="24"/>
          <w:highlight w:val="none"/>
          <w:vertAlign w:val="subscript"/>
        </w:rPr>
        <w:t>-燃烧</w:t>
      </w:r>
      <w:r>
        <w:rPr>
          <w:rFonts w:hint="default" w:ascii="Times New Roman" w:hAnsi="Times New Roman" w:eastAsia="宋体" w:cs="Times New Roman"/>
          <w:color w:val="auto"/>
          <w:spacing w:val="0"/>
          <w:sz w:val="24"/>
          <w:szCs w:val="24"/>
          <w:highlight w:val="none"/>
        </w:rPr>
        <w:t>-核算边界内由于化石燃料燃烧活动产生的C</w:t>
      </w:r>
      <w:r>
        <w:rPr>
          <w:rFonts w:hint="eastAsia" w:ascii="Times New Roman" w:hAnsi="Times New Roman" w:eastAsia="宋体" w:cs="Times New Roman"/>
          <w:color w:val="auto"/>
          <w:spacing w:val="0"/>
          <w:sz w:val="24"/>
          <w:szCs w:val="24"/>
          <w:highlight w:val="none"/>
          <w:lang w:val="en-US" w:eastAsia="zh-CN"/>
        </w:rPr>
        <w:t>O</w:t>
      </w:r>
      <w:r>
        <w:rPr>
          <w:rFonts w:hint="default" w:ascii="Times New Roman" w:hAnsi="Times New Roman" w:eastAsia="宋体" w:cs="Times New Roman"/>
          <w:color w:val="auto"/>
          <w:spacing w:val="0"/>
          <w:sz w:val="24"/>
          <w:szCs w:val="24"/>
          <w:highlight w:val="none"/>
          <w:vertAlign w:val="subscript"/>
        </w:rPr>
        <w:t>2</w:t>
      </w:r>
      <w:r>
        <w:rPr>
          <w:rFonts w:hint="default" w:ascii="Times New Roman" w:hAnsi="Times New Roman" w:eastAsia="宋体" w:cs="Times New Roman"/>
          <w:color w:val="auto"/>
          <w:spacing w:val="0"/>
          <w:sz w:val="24"/>
          <w:szCs w:val="24"/>
          <w:highlight w:val="none"/>
        </w:rPr>
        <w:t>排放量，单位为吨C</w:t>
      </w:r>
      <w:r>
        <w:rPr>
          <w:rFonts w:hint="eastAsia" w:ascii="Times New Roman" w:hAnsi="Times New Roman" w:eastAsia="宋体" w:cs="Times New Roman"/>
          <w:color w:val="auto"/>
          <w:spacing w:val="0"/>
          <w:sz w:val="24"/>
          <w:szCs w:val="24"/>
          <w:highlight w:val="none"/>
          <w:lang w:val="en-US" w:eastAsia="zh-CN"/>
        </w:rPr>
        <w:t>O</w:t>
      </w:r>
      <w:r>
        <w:rPr>
          <w:rFonts w:hint="default" w:ascii="Times New Roman" w:hAnsi="Times New Roman" w:eastAsia="宋体" w:cs="Times New Roman"/>
          <w:color w:val="auto"/>
          <w:spacing w:val="0"/>
          <w:sz w:val="24"/>
          <w:szCs w:val="24"/>
          <w:highlight w:val="none"/>
          <w:vertAlign w:val="subscript"/>
        </w:rPr>
        <w:t>2</w:t>
      </w:r>
      <w:r>
        <w:rPr>
          <w:rFonts w:hint="default" w:ascii="Times New Roman" w:hAnsi="Times New Roman" w:eastAsia="宋体" w:cs="Times New Roman"/>
          <w:color w:val="auto"/>
          <w:spacing w:val="0"/>
          <w:sz w:val="24"/>
          <w:szCs w:val="24"/>
          <w:highlight w:val="none"/>
        </w:rPr>
        <w:t>；</w:t>
      </w:r>
    </w:p>
    <w:p w14:paraId="68B99A6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E</w:t>
      </w:r>
      <w:r>
        <w:rPr>
          <w:rFonts w:hint="default" w:ascii="Times New Roman" w:hAnsi="Times New Roman" w:eastAsia="宋体" w:cs="Times New Roman"/>
          <w:color w:val="auto"/>
          <w:sz w:val="24"/>
          <w:szCs w:val="24"/>
          <w:highlight w:val="none"/>
          <w:vertAlign w:val="subscript"/>
        </w:rPr>
        <w:t>GHG-火炬</w:t>
      </w:r>
      <w:r>
        <w:rPr>
          <w:rFonts w:hint="default" w:ascii="Times New Roman" w:hAnsi="Times New Roman" w:eastAsia="宋体" w:cs="Times New Roman"/>
          <w:color w:val="auto"/>
          <w:sz w:val="24"/>
          <w:szCs w:val="24"/>
          <w:highlight w:val="none"/>
        </w:rPr>
        <w:t>-企业因火炬燃烧导致的温室气体排放，单位为吨C</w:t>
      </w:r>
      <w:r>
        <w:rPr>
          <w:rFonts w:hint="eastAsia" w:ascii="Times New Roman" w:hAnsi="Times New Roman" w:eastAsia="宋体" w:cs="Times New Roman"/>
          <w:color w:val="auto"/>
          <w:sz w:val="24"/>
          <w:szCs w:val="24"/>
          <w:highlight w:val="none"/>
          <w:lang w:val="en-US" w:eastAsia="zh-CN"/>
        </w:rPr>
        <w:t>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当量；</w:t>
      </w:r>
    </w:p>
    <w:p w14:paraId="15499CA9">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E</w:t>
      </w:r>
      <w:r>
        <w:rPr>
          <w:rFonts w:hint="default" w:ascii="Times New Roman" w:hAnsi="Times New Roman" w:eastAsia="宋体" w:cs="Times New Roman"/>
          <w:color w:val="auto"/>
          <w:sz w:val="24"/>
          <w:szCs w:val="24"/>
          <w:highlight w:val="none"/>
          <w:vertAlign w:val="subscript"/>
        </w:rPr>
        <w:t>GHG-工艺</w:t>
      </w:r>
      <w:r>
        <w:rPr>
          <w:rFonts w:hint="default" w:ascii="Times New Roman" w:hAnsi="Times New Roman" w:eastAsia="宋体" w:cs="Times New Roman"/>
          <w:color w:val="auto"/>
          <w:sz w:val="24"/>
          <w:szCs w:val="24"/>
          <w:highlight w:val="none"/>
        </w:rPr>
        <w:t>-企业各业务类型的工艺放空排放，单位为吨C</w:t>
      </w:r>
      <w:r>
        <w:rPr>
          <w:rFonts w:hint="eastAsia" w:ascii="Times New Roman" w:hAnsi="Times New Roman" w:eastAsia="宋体" w:cs="Times New Roman"/>
          <w:color w:val="auto"/>
          <w:sz w:val="24"/>
          <w:szCs w:val="24"/>
          <w:highlight w:val="none"/>
          <w:lang w:val="en-US" w:eastAsia="zh-CN"/>
        </w:rPr>
        <w:t>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当量；</w:t>
      </w:r>
    </w:p>
    <w:p w14:paraId="61998C8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E</w:t>
      </w:r>
      <w:r>
        <w:rPr>
          <w:rFonts w:hint="default" w:ascii="Times New Roman" w:hAnsi="Times New Roman" w:eastAsia="宋体" w:cs="Times New Roman"/>
          <w:color w:val="auto"/>
          <w:sz w:val="24"/>
          <w:szCs w:val="24"/>
          <w:highlight w:val="none"/>
          <w:vertAlign w:val="subscript"/>
        </w:rPr>
        <w:t>GHG-逃逸</w:t>
      </w:r>
      <w:r>
        <w:rPr>
          <w:rFonts w:hint="default" w:ascii="Times New Roman" w:hAnsi="Times New Roman" w:eastAsia="宋体" w:cs="Times New Roman"/>
          <w:color w:val="auto"/>
          <w:sz w:val="24"/>
          <w:szCs w:val="24"/>
          <w:highlight w:val="none"/>
        </w:rPr>
        <w:t>-企业各业务类型的设备逃逸排放，单位为吨C</w:t>
      </w:r>
      <w:r>
        <w:rPr>
          <w:rFonts w:hint="eastAsia" w:ascii="Times New Roman" w:hAnsi="Times New Roman" w:eastAsia="宋体" w:cs="Times New Roman"/>
          <w:color w:val="auto"/>
          <w:sz w:val="24"/>
          <w:szCs w:val="24"/>
          <w:highlight w:val="none"/>
          <w:lang w:val="en-US" w:eastAsia="zh-CN"/>
        </w:rPr>
        <w:t>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当量；</w:t>
      </w:r>
    </w:p>
    <w:p w14:paraId="4A428A1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S-企业涉及的业务类型，包括油气勘探、油气开采、油气处理、油气储运业务；</w:t>
      </w:r>
    </w:p>
    <w:p w14:paraId="1F3575F7">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m:oMath>
        <m:sSub>
          <m:sSubPr>
            <m:ctrlPr>
              <w:rPr>
                <w:rFonts w:ascii="Cambria Math" w:hAnsi="Cambria Math" w:cs="Times New Roman"/>
                <w:i/>
                <w:color w:val="auto"/>
                <w:sz w:val="24"/>
                <w:szCs w:val="24"/>
                <w:highlight w:val="none"/>
              </w:rPr>
            </m:ctrlPr>
          </m:sSubPr>
          <m:e>
            <m:r>
              <m:rPr/>
              <w:rPr>
                <w:rFonts w:hint="default" w:ascii="Cambria Math" w:hAnsi="Cambria Math" w:cs="Times New Roman"/>
                <w:color w:val="auto"/>
                <w:sz w:val="24"/>
                <w:szCs w:val="24"/>
                <w:highlight w:val="none"/>
                <w:lang w:val="en-US" w:eastAsia="zh-CN"/>
              </w:rPr>
              <m:t>R</m:t>
            </m:r>
            <m:ctrlPr>
              <w:rPr>
                <w:rFonts w:ascii="Cambria Math" w:hAnsi="Cambria Math" w:cs="Times New Roman"/>
                <w:i/>
                <w:color w:val="auto"/>
                <w:sz w:val="24"/>
                <w:szCs w:val="24"/>
                <w:highlight w:val="none"/>
              </w:rPr>
            </m:ctrlPr>
          </m:e>
          <m:sub>
            <m:sSub>
              <m:sSubPr>
                <m:ctrlPr>
                  <w:rPr>
                    <w:rFonts w:ascii="Cambria Math" w:hAnsi="Cambria Math" w:cs="Times New Roman"/>
                    <w:i/>
                    <w:color w:val="auto"/>
                    <w:sz w:val="24"/>
                    <w:szCs w:val="24"/>
                    <w:highlight w:val="none"/>
                  </w:rPr>
                </m:ctrlPr>
              </m:sSubPr>
              <m:e>
                <m:r>
                  <m:rPr/>
                  <w:rPr>
                    <w:rFonts w:hint="default" w:ascii="Cambria Math" w:hAnsi="Cambria Math" w:cs="Times New Roman"/>
                    <w:color w:val="auto"/>
                    <w:sz w:val="24"/>
                    <w:szCs w:val="24"/>
                    <w:highlight w:val="none"/>
                    <w:lang w:val="en-US" w:eastAsia="zh-CN"/>
                  </w:rPr>
                  <m:t>CH</m:t>
                </m:r>
                <m:ctrlPr>
                  <w:rPr>
                    <w:rFonts w:ascii="Cambria Math" w:hAnsi="Cambria Math" w:cs="Times New Roman"/>
                    <w:i/>
                    <w:color w:val="auto"/>
                    <w:sz w:val="24"/>
                    <w:szCs w:val="24"/>
                    <w:highlight w:val="none"/>
                  </w:rPr>
                </m:ctrlPr>
              </m:e>
              <m:sub>
                <m:r>
                  <m:rPr/>
                  <w:rPr>
                    <w:rFonts w:hint="default" w:ascii="Cambria Math" w:hAnsi="Cambria Math" w:cs="Times New Roman"/>
                    <w:color w:val="auto"/>
                    <w:sz w:val="24"/>
                    <w:szCs w:val="24"/>
                    <w:highlight w:val="none"/>
                    <w:lang w:val="en-US" w:eastAsia="zh-CN"/>
                  </w:rPr>
                  <m:t>4</m:t>
                </m:r>
                <m:ctrlPr>
                  <w:rPr>
                    <w:rFonts w:ascii="Cambria Math" w:hAnsi="Cambria Math" w:cs="Times New Roman"/>
                    <w:i/>
                    <w:color w:val="auto"/>
                    <w:sz w:val="24"/>
                    <w:szCs w:val="24"/>
                    <w:highlight w:val="none"/>
                  </w:rPr>
                </m:ctrlPr>
              </m:sub>
            </m:sSub>
            <m:ctrlPr>
              <w:rPr>
                <w:rFonts w:ascii="Cambria Math" w:hAnsi="Cambria Math" w:cs="Times New Roman"/>
                <w:i/>
                <w:color w:val="auto"/>
                <w:sz w:val="24"/>
                <w:szCs w:val="24"/>
                <w:highlight w:val="none"/>
              </w:rPr>
            </m:ctrlPr>
          </m:sub>
        </m:sSub>
      </m:oMath>
      <w:r>
        <w:rPr>
          <w:rFonts w:hint="default" w:ascii="Times New Roman" w:hAnsi="Times New Roman" w:eastAsia="宋体" w:cs="Times New Roman"/>
          <w:color w:val="auto"/>
          <w:sz w:val="24"/>
          <w:szCs w:val="24"/>
          <w:highlight w:val="none"/>
          <w:vertAlign w:val="subscript"/>
        </w:rPr>
        <w:t>-回收</w:t>
      </w:r>
      <w:r>
        <w:rPr>
          <w:rFonts w:hint="default" w:ascii="Times New Roman" w:hAnsi="Times New Roman" w:eastAsia="宋体" w:cs="Times New Roman"/>
          <w:color w:val="auto"/>
          <w:sz w:val="24"/>
          <w:szCs w:val="24"/>
          <w:highlight w:val="none"/>
        </w:rPr>
        <w:t>-企业的CH</w:t>
      </w:r>
      <w:r>
        <w:rPr>
          <w:rFonts w:hint="default" w:ascii="Times New Roman" w:hAnsi="Times New Roman" w:eastAsia="宋体" w:cs="Times New Roman"/>
          <w:color w:val="auto"/>
          <w:sz w:val="24"/>
          <w:szCs w:val="24"/>
          <w:highlight w:val="none"/>
          <w:vertAlign w:val="subscript"/>
        </w:rPr>
        <w:t>4</w:t>
      </w:r>
      <w:r>
        <w:rPr>
          <w:rFonts w:hint="default" w:ascii="Times New Roman" w:hAnsi="Times New Roman" w:eastAsia="宋体" w:cs="Times New Roman"/>
          <w:color w:val="auto"/>
          <w:sz w:val="24"/>
          <w:szCs w:val="24"/>
          <w:highlight w:val="none"/>
        </w:rPr>
        <w:t>回收利用量，单位为吨CH</w:t>
      </w:r>
      <w:r>
        <w:rPr>
          <w:rFonts w:hint="default" w:ascii="Times New Roman" w:hAnsi="Times New Roman" w:eastAsia="宋体" w:cs="Times New Roman"/>
          <w:color w:val="auto"/>
          <w:sz w:val="24"/>
          <w:szCs w:val="24"/>
          <w:highlight w:val="none"/>
          <w:vertAlign w:val="subscript"/>
        </w:rPr>
        <w:t>4</w:t>
      </w:r>
      <w:r>
        <w:rPr>
          <w:rFonts w:hint="default" w:ascii="Times New Roman" w:hAnsi="Times New Roman" w:eastAsia="宋体" w:cs="Times New Roman"/>
          <w:color w:val="auto"/>
          <w:sz w:val="24"/>
          <w:szCs w:val="24"/>
          <w:highlight w:val="none"/>
        </w:rPr>
        <w:t>；</w:t>
      </w:r>
    </w:p>
    <w:p w14:paraId="508D6FE7">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m:oMath>
        <m:sSub>
          <m:sSubPr>
            <m:ctrlPr>
              <w:rPr>
                <w:rFonts w:ascii="Cambria Math" w:hAnsi="Cambria Math" w:cs="Times New Roman"/>
                <w:i/>
                <w:color w:val="auto"/>
                <w:sz w:val="24"/>
                <w:szCs w:val="24"/>
                <w:highlight w:val="none"/>
              </w:rPr>
            </m:ctrlPr>
          </m:sSubPr>
          <m:e>
            <m:r>
              <m:rPr/>
              <w:rPr>
                <w:rFonts w:hint="default" w:ascii="Cambria Math" w:hAnsi="Cambria Math" w:cs="Times New Roman"/>
                <w:color w:val="auto"/>
                <w:sz w:val="24"/>
                <w:szCs w:val="24"/>
                <w:highlight w:val="none"/>
                <w:lang w:val="en-US" w:eastAsia="zh-CN"/>
              </w:rPr>
              <m:t>GWP</m:t>
            </m:r>
            <m:ctrlPr>
              <w:rPr>
                <w:rFonts w:ascii="Cambria Math" w:hAnsi="Cambria Math" w:cs="Times New Roman"/>
                <w:i/>
                <w:color w:val="auto"/>
                <w:sz w:val="24"/>
                <w:szCs w:val="24"/>
                <w:highlight w:val="none"/>
              </w:rPr>
            </m:ctrlPr>
          </m:e>
          <m:sub>
            <m:sSub>
              <m:sSubPr>
                <m:ctrlPr>
                  <w:rPr>
                    <w:rFonts w:ascii="Cambria Math" w:hAnsi="Cambria Math" w:cs="Times New Roman"/>
                    <w:i/>
                    <w:color w:val="auto"/>
                    <w:sz w:val="24"/>
                    <w:szCs w:val="24"/>
                    <w:highlight w:val="none"/>
                  </w:rPr>
                </m:ctrlPr>
              </m:sSubPr>
              <m:e>
                <m:r>
                  <m:rPr/>
                  <w:rPr>
                    <w:rFonts w:hint="default" w:ascii="Cambria Math" w:hAnsi="Cambria Math" w:cs="Times New Roman"/>
                    <w:color w:val="auto"/>
                    <w:sz w:val="24"/>
                    <w:szCs w:val="24"/>
                    <w:highlight w:val="none"/>
                    <w:lang w:val="en-US" w:eastAsia="zh-CN"/>
                  </w:rPr>
                  <m:t>CH</m:t>
                </m:r>
                <m:ctrlPr>
                  <w:rPr>
                    <w:rFonts w:ascii="Cambria Math" w:hAnsi="Cambria Math" w:cs="Times New Roman"/>
                    <w:i/>
                    <w:color w:val="auto"/>
                    <w:sz w:val="24"/>
                    <w:szCs w:val="24"/>
                    <w:highlight w:val="none"/>
                  </w:rPr>
                </m:ctrlPr>
              </m:e>
              <m:sub>
                <m:r>
                  <m:rPr/>
                  <w:rPr>
                    <w:rFonts w:hint="default" w:ascii="Cambria Math" w:hAnsi="Cambria Math" w:cs="Times New Roman"/>
                    <w:color w:val="auto"/>
                    <w:sz w:val="24"/>
                    <w:szCs w:val="24"/>
                    <w:highlight w:val="none"/>
                    <w:lang w:val="en-US" w:eastAsia="zh-CN"/>
                  </w:rPr>
                  <m:t>4</m:t>
                </m:r>
                <m:ctrlPr>
                  <w:rPr>
                    <w:rFonts w:ascii="Cambria Math" w:hAnsi="Cambria Math" w:cs="Times New Roman"/>
                    <w:i/>
                    <w:color w:val="auto"/>
                    <w:sz w:val="24"/>
                    <w:szCs w:val="24"/>
                    <w:highlight w:val="none"/>
                  </w:rPr>
                </m:ctrlPr>
              </m:sub>
            </m:sSub>
            <m:ctrlPr>
              <w:rPr>
                <w:rFonts w:ascii="Cambria Math" w:hAnsi="Cambria Math" w:cs="Times New Roman"/>
                <w:i/>
                <w:color w:val="auto"/>
                <w:sz w:val="24"/>
                <w:szCs w:val="24"/>
                <w:highlight w:val="none"/>
              </w:rPr>
            </m:ctrlPr>
          </m:sub>
        </m:sSub>
      </m:oMath>
      <w:r>
        <w:rPr>
          <w:rFonts w:hint="default" w:ascii="Times New Roman" w:hAnsi="Times New Roman" w:eastAsia="宋体" w:cs="Times New Roman"/>
          <w:color w:val="auto"/>
          <w:sz w:val="24"/>
          <w:szCs w:val="24"/>
          <w:highlight w:val="none"/>
        </w:rPr>
        <w:t>-CH</w:t>
      </w:r>
      <w:r>
        <w:rPr>
          <w:rFonts w:hint="default" w:ascii="Times New Roman" w:hAnsi="Times New Roman" w:eastAsia="宋体" w:cs="Times New Roman"/>
          <w:color w:val="auto"/>
          <w:sz w:val="24"/>
          <w:szCs w:val="24"/>
          <w:highlight w:val="none"/>
          <w:vertAlign w:val="subscript"/>
        </w:rPr>
        <w:t>4</w:t>
      </w:r>
      <w:r>
        <w:rPr>
          <w:rFonts w:hint="default" w:ascii="Times New Roman" w:hAnsi="Times New Roman" w:eastAsia="宋体" w:cs="Times New Roman"/>
          <w:color w:val="auto"/>
          <w:sz w:val="24"/>
          <w:szCs w:val="24"/>
          <w:highlight w:val="none"/>
        </w:rPr>
        <w:t>相比C</w:t>
      </w:r>
      <w:r>
        <w:rPr>
          <w:rFonts w:hint="eastAsia" w:ascii="Times New Roman" w:hAnsi="Times New Roman" w:eastAsia="宋体" w:cs="Times New Roman"/>
          <w:color w:val="auto"/>
          <w:sz w:val="24"/>
          <w:szCs w:val="24"/>
          <w:highlight w:val="none"/>
          <w:lang w:val="en-US" w:eastAsia="zh-CN"/>
        </w:rPr>
        <w:t>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的全球变暖潜势值。取值21；</w:t>
      </w:r>
    </w:p>
    <w:p w14:paraId="2430100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m:oMath>
        <m:sSub>
          <m:sSubPr>
            <m:ctrlPr>
              <w:rPr>
                <w:rFonts w:ascii="Cambria Math" w:hAnsi="Cambria Math" w:cs="Times New Roman"/>
                <w:i/>
                <w:color w:val="auto"/>
                <w:sz w:val="24"/>
                <w:szCs w:val="24"/>
                <w:highlight w:val="none"/>
              </w:rPr>
            </m:ctrlPr>
          </m:sSubPr>
          <m:e>
            <m:r>
              <m:rPr/>
              <w:rPr>
                <w:rFonts w:hint="default" w:ascii="Cambria Math" w:hAnsi="Cambria Math" w:cs="Times New Roman"/>
                <w:color w:val="auto"/>
                <w:sz w:val="24"/>
                <w:szCs w:val="24"/>
                <w:highlight w:val="none"/>
                <w:lang w:val="en-US" w:eastAsia="zh-CN"/>
              </w:rPr>
              <m:t>R</m:t>
            </m:r>
            <m:ctrlPr>
              <w:rPr>
                <w:rFonts w:ascii="Cambria Math" w:hAnsi="Cambria Math" w:cs="Times New Roman"/>
                <w:i/>
                <w:color w:val="auto"/>
                <w:sz w:val="24"/>
                <w:szCs w:val="24"/>
                <w:highlight w:val="none"/>
              </w:rPr>
            </m:ctrlPr>
          </m:e>
          <m:sub>
            <m:sSub>
              <m:sSubPr>
                <m:ctrlPr>
                  <w:rPr>
                    <w:rFonts w:ascii="Cambria Math" w:hAnsi="Cambria Math" w:cs="Times New Roman"/>
                    <w:i/>
                    <w:color w:val="auto"/>
                    <w:sz w:val="24"/>
                    <w:szCs w:val="24"/>
                    <w:highlight w:val="none"/>
                  </w:rPr>
                </m:ctrlPr>
              </m:sSubPr>
              <m:e>
                <m:r>
                  <m:rPr/>
                  <w:rPr>
                    <w:rFonts w:hint="default" w:ascii="Cambria Math" w:hAnsi="Cambria Math" w:cs="Times New Roman"/>
                    <w:color w:val="auto"/>
                    <w:sz w:val="24"/>
                    <w:szCs w:val="24"/>
                    <w:highlight w:val="none"/>
                    <w:lang w:val="en-US" w:eastAsia="zh-CN"/>
                  </w:rPr>
                  <m:t>CO</m:t>
                </m:r>
                <m:ctrlPr>
                  <w:rPr>
                    <w:rFonts w:ascii="Cambria Math" w:hAnsi="Cambria Math" w:cs="Times New Roman"/>
                    <w:i/>
                    <w:color w:val="auto"/>
                    <w:sz w:val="24"/>
                    <w:szCs w:val="24"/>
                    <w:highlight w:val="none"/>
                  </w:rPr>
                </m:ctrlPr>
              </m:e>
              <m:sub>
                <m:r>
                  <m:rPr/>
                  <w:rPr>
                    <w:rFonts w:hint="default" w:ascii="Cambria Math" w:hAnsi="Cambria Math" w:cs="Times New Roman"/>
                    <w:color w:val="auto"/>
                    <w:sz w:val="24"/>
                    <w:szCs w:val="24"/>
                    <w:highlight w:val="none"/>
                    <w:lang w:val="en-US" w:eastAsia="zh-CN"/>
                  </w:rPr>
                  <m:t>2</m:t>
                </m:r>
                <m:ctrlPr>
                  <w:rPr>
                    <w:rFonts w:ascii="Cambria Math" w:hAnsi="Cambria Math" w:cs="Times New Roman"/>
                    <w:i/>
                    <w:color w:val="auto"/>
                    <w:sz w:val="24"/>
                    <w:szCs w:val="24"/>
                    <w:highlight w:val="none"/>
                  </w:rPr>
                </m:ctrlPr>
              </m:sub>
            </m:sSub>
            <m:ctrlPr>
              <w:rPr>
                <w:rFonts w:ascii="Cambria Math" w:hAnsi="Cambria Math" w:cs="Times New Roman"/>
                <w:i/>
                <w:color w:val="auto"/>
                <w:sz w:val="24"/>
                <w:szCs w:val="24"/>
                <w:highlight w:val="none"/>
              </w:rPr>
            </m:ctrlPr>
          </m:sub>
        </m:sSub>
      </m:oMath>
      <w:r>
        <w:rPr>
          <w:rFonts w:hint="default" w:ascii="Times New Roman" w:hAnsi="Times New Roman" w:eastAsia="宋体" w:cs="Times New Roman"/>
          <w:color w:val="auto"/>
          <w:sz w:val="24"/>
          <w:szCs w:val="24"/>
          <w:highlight w:val="none"/>
          <w:vertAlign w:val="subscript"/>
        </w:rPr>
        <w:t>-回收</w:t>
      </w:r>
      <w:r>
        <w:rPr>
          <w:rFonts w:hint="default" w:ascii="Times New Roman" w:hAnsi="Times New Roman" w:eastAsia="宋体" w:cs="Times New Roman"/>
          <w:color w:val="auto"/>
          <w:sz w:val="24"/>
          <w:szCs w:val="24"/>
          <w:highlight w:val="none"/>
        </w:rPr>
        <w:t>-企业的C</w:t>
      </w:r>
      <w:r>
        <w:rPr>
          <w:rFonts w:hint="eastAsia" w:ascii="Times New Roman" w:hAnsi="Times New Roman" w:eastAsia="宋体" w:cs="Times New Roman"/>
          <w:color w:val="auto"/>
          <w:sz w:val="24"/>
          <w:szCs w:val="24"/>
          <w:highlight w:val="none"/>
          <w:lang w:val="en-US" w:eastAsia="zh-CN"/>
        </w:rPr>
        <w:t>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回收利用量，单位为吨C</w:t>
      </w:r>
      <w:r>
        <w:rPr>
          <w:rFonts w:hint="eastAsia" w:ascii="Times New Roman" w:hAnsi="Times New Roman" w:eastAsia="宋体" w:cs="Times New Roman"/>
          <w:color w:val="auto"/>
          <w:sz w:val="24"/>
          <w:szCs w:val="24"/>
          <w:highlight w:val="none"/>
          <w:lang w:val="en-US" w:eastAsia="zh-CN"/>
        </w:rPr>
        <w:t>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w:t>
      </w:r>
    </w:p>
    <w:p w14:paraId="31FA1135">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m:oMath>
        <m:sSub>
          <m:sSubPr>
            <m:ctrlPr>
              <w:rPr>
                <w:rFonts w:ascii="Cambria Math" w:hAnsi="Cambria Math" w:cs="Times New Roman"/>
                <w:i/>
                <w:color w:val="auto"/>
                <w:sz w:val="24"/>
                <w:szCs w:val="24"/>
                <w:highlight w:val="none"/>
              </w:rPr>
            </m:ctrlPr>
          </m:sSubPr>
          <m:e>
            <m:r>
              <m:rPr/>
              <w:rPr>
                <w:rFonts w:hint="default" w:ascii="Cambria Math" w:hAnsi="Cambria Math" w:cs="Times New Roman"/>
                <w:color w:val="auto"/>
                <w:sz w:val="24"/>
                <w:szCs w:val="24"/>
                <w:highlight w:val="none"/>
                <w:lang w:val="en-US" w:eastAsia="zh-CN"/>
              </w:rPr>
              <m:t>E</m:t>
            </m:r>
            <m:ctrlPr>
              <w:rPr>
                <w:rFonts w:ascii="Cambria Math" w:hAnsi="Cambria Math" w:cs="Times New Roman"/>
                <w:i/>
                <w:color w:val="auto"/>
                <w:sz w:val="24"/>
                <w:szCs w:val="24"/>
                <w:highlight w:val="none"/>
              </w:rPr>
            </m:ctrlPr>
          </m:e>
          <m:sub>
            <m:sSub>
              <m:sSubPr>
                <m:ctrlPr>
                  <w:rPr>
                    <w:rFonts w:ascii="Cambria Math" w:hAnsi="Cambria Math" w:cs="Times New Roman"/>
                    <w:i/>
                    <w:color w:val="auto"/>
                    <w:sz w:val="24"/>
                    <w:szCs w:val="24"/>
                    <w:highlight w:val="none"/>
                  </w:rPr>
                </m:ctrlPr>
              </m:sSubPr>
              <m:e>
                <m:r>
                  <m:rPr/>
                  <w:rPr>
                    <w:rFonts w:hint="default" w:ascii="Cambria Math" w:hAnsi="Cambria Math" w:cs="Times New Roman"/>
                    <w:color w:val="auto"/>
                    <w:sz w:val="24"/>
                    <w:szCs w:val="24"/>
                    <w:highlight w:val="none"/>
                    <w:lang w:val="en-US" w:eastAsia="zh-CN"/>
                  </w:rPr>
                  <m:t>CO</m:t>
                </m:r>
                <m:ctrlPr>
                  <w:rPr>
                    <w:rFonts w:ascii="Cambria Math" w:hAnsi="Cambria Math" w:cs="Times New Roman"/>
                    <w:i/>
                    <w:color w:val="auto"/>
                    <w:sz w:val="24"/>
                    <w:szCs w:val="24"/>
                    <w:highlight w:val="none"/>
                  </w:rPr>
                </m:ctrlPr>
              </m:e>
              <m:sub>
                <m:r>
                  <m:rPr/>
                  <w:rPr>
                    <w:rFonts w:hint="default" w:ascii="Cambria Math" w:hAnsi="Cambria Math" w:cs="Times New Roman"/>
                    <w:color w:val="auto"/>
                    <w:sz w:val="24"/>
                    <w:szCs w:val="24"/>
                    <w:highlight w:val="none"/>
                    <w:lang w:val="en-US" w:eastAsia="zh-CN"/>
                  </w:rPr>
                  <m:t>2</m:t>
                </m:r>
                <m:ctrlPr>
                  <w:rPr>
                    <w:rFonts w:ascii="Cambria Math" w:hAnsi="Cambria Math" w:cs="Times New Roman"/>
                    <w:i/>
                    <w:color w:val="auto"/>
                    <w:sz w:val="24"/>
                    <w:szCs w:val="24"/>
                    <w:highlight w:val="none"/>
                  </w:rPr>
                </m:ctrlPr>
              </m:sub>
            </m:sSub>
            <m:ctrlPr>
              <w:rPr>
                <w:rFonts w:ascii="Cambria Math" w:hAnsi="Cambria Math" w:cs="Times New Roman"/>
                <w:i/>
                <w:color w:val="auto"/>
                <w:sz w:val="24"/>
                <w:szCs w:val="24"/>
                <w:highlight w:val="none"/>
              </w:rPr>
            </m:ctrlPr>
          </m:sub>
        </m:sSub>
      </m:oMath>
      <w:r>
        <w:rPr>
          <w:rFonts w:hint="default" w:ascii="Times New Roman" w:hAnsi="Times New Roman" w:eastAsia="宋体" w:cs="Times New Roman"/>
          <w:color w:val="auto"/>
          <w:sz w:val="24"/>
          <w:szCs w:val="24"/>
          <w:highlight w:val="none"/>
          <w:vertAlign w:val="subscript"/>
        </w:rPr>
        <w:t>-净电</w:t>
      </w:r>
      <w:r>
        <w:rPr>
          <w:rFonts w:hint="default" w:ascii="Times New Roman" w:hAnsi="Times New Roman" w:eastAsia="宋体" w:cs="Times New Roman"/>
          <w:color w:val="auto"/>
          <w:sz w:val="24"/>
          <w:szCs w:val="24"/>
          <w:highlight w:val="none"/>
        </w:rPr>
        <w:t>-报告主体净购入电力隐含的C</w:t>
      </w:r>
      <w:r>
        <w:rPr>
          <w:rFonts w:hint="eastAsia" w:ascii="Times New Roman" w:hAnsi="Times New Roman" w:eastAsia="宋体" w:cs="Times New Roman"/>
          <w:color w:val="auto"/>
          <w:sz w:val="24"/>
          <w:szCs w:val="24"/>
          <w:highlight w:val="none"/>
          <w:lang w:val="en-US" w:eastAsia="zh-CN"/>
        </w:rPr>
        <w:t>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排放量，单位为吨C</w:t>
      </w:r>
      <w:r>
        <w:rPr>
          <w:rFonts w:hint="eastAsia" w:ascii="Times New Roman" w:hAnsi="Times New Roman" w:eastAsia="宋体" w:cs="Times New Roman"/>
          <w:color w:val="auto"/>
          <w:sz w:val="24"/>
          <w:szCs w:val="24"/>
          <w:highlight w:val="none"/>
          <w:lang w:val="en-US" w:eastAsia="zh-CN"/>
        </w:rPr>
        <w:t>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w:t>
      </w:r>
    </w:p>
    <w:p w14:paraId="4B0F7575">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m:oMath>
        <m:sSub>
          <m:sSubPr>
            <m:ctrlPr>
              <w:rPr>
                <w:rFonts w:ascii="Cambria Math" w:hAnsi="Cambria Math" w:cs="Times New Roman"/>
                <w:i/>
                <w:color w:val="auto"/>
                <w:sz w:val="24"/>
                <w:szCs w:val="24"/>
                <w:highlight w:val="none"/>
              </w:rPr>
            </m:ctrlPr>
          </m:sSubPr>
          <m:e>
            <m:r>
              <m:rPr/>
              <w:rPr>
                <w:rFonts w:hint="default" w:ascii="Cambria Math" w:hAnsi="Cambria Math" w:cs="Times New Roman"/>
                <w:color w:val="auto"/>
                <w:sz w:val="24"/>
                <w:szCs w:val="24"/>
                <w:highlight w:val="none"/>
                <w:lang w:val="en-US" w:eastAsia="zh-CN"/>
              </w:rPr>
              <m:t>E</m:t>
            </m:r>
            <m:ctrlPr>
              <w:rPr>
                <w:rFonts w:ascii="Cambria Math" w:hAnsi="Cambria Math" w:cs="Times New Roman"/>
                <w:i/>
                <w:color w:val="auto"/>
                <w:sz w:val="24"/>
                <w:szCs w:val="24"/>
                <w:highlight w:val="none"/>
              </w:rPr>
            </m:ctrlPr>
          </m:e>
          <m:sub>
            <m:sSub>
              <m:sSubPr>
                <m:ctrlPr>
                  <w:rPr>
                    <w:rFonts w:ascii="Cambria Math" w:hAnsi="Cambria Math" w:cs="Times New Roman"/>
                    <w:i/>
                    <w:color w:val="auto"/>
                    <w:sz w:val="24"/>
                    <w:szCs w:val="24"/>
                    <w:highlight w:val="none"/>
                  </w:rPr>
                </m:ctrlPr>
              </m:sSubPr>
              <m:e>
                <m:r>
                  <m:rPr/>
                  <w:rPr>
                    <w:rFonts w:hint="default" w:ascii="Cambria Math" w:hAnsi="Cambria Math" w:cs="Times New Roman"/>
                    <w:color w:val="auto"/>
                    <w:sz w:val="24"/>
                    <w:szCs w:val="24"/>
                    <w:highlight w:val="none"/>
                    <w:lang w:val="en-US" w:eastAsia="zh-CN"/>
                  </w:rPr>
                  <m:t>CO</m:t>
                </m:r>
                <m:ctrlPr>
                  <w:rPr>
                    <w:rFonts w:ascii="Cambria Math" w:hAnsi="Cambria Math" w:cs="Times New Roman"/>
                    <w:i/>
                    <w:color w:val="auto"/>
                    <w:sz w:val="24"/>
                    <w:szCs w:val="24"/>
                    <w:highlight w:val="none"/>
                  </w:rPr>
                </m:ctrlPr>
              </m:e>
              <m:sub>
                <m:r>
                  <m:rPr/>
                  <w:rPr>
                    <w:rFonts w:hint="default" w:ascii="Cambria Math" w:hAnsi="Cambria Math" w:cs="Times New Roman"/>
                    <w:color w:val="auto"/>
                    <w:sz w:val="24"/>
                    <w:szCs w:val="24"/>
                    <w:highlight w:val="none"/>
                    <w:lang w:val="en-US" w:eastAsia="zh-CN"/>
                  </w:rPr>
                  <m:t>2</m:t>
                </m:r>
                <m:ctrlPr>
                  <w:rPr>
                    <w:rFonts w:ascii="Cambria Math" w:hAnsi="Cambria Math" w:cs="Times New Roman"/>
                    <w:i/>
                    <w:color w:val="auto"/>
                    <w:sz w:val="24"/>
                    <w:szCs w:val="24"/>
                    <w:highlight w:val="none"/>
                  </w:rPr>
                </m:ctrlPr>
              </m:sub>
            </m:sSub>
            <m:ctrlPr>
              <w:rPr>
                <w:rFonts w:ascii="Cambria Math" w:hAnsi="Cambria Math" w:cs="Times New Roman"/>
                <w:i/>
                <w:color w:val="auto"/>
                <w:sz w:val="24"/>
                <w:szCs w:val="24"/>
                <w:highlight w:val="none"/>
              </w:rPr>
            </m:ctrlPr>
          </m:sub>
        </m:sSub>
      </m:oMath>
      <w:r>
        <w:rPr>
          <w:rFonts w:hint="default" w:ascii="Times New Roman" w:hAnsi="Times New Roman" w:eastAsia="宋体" w:cs="Times New Roman"/>
          <w:color w:val="auto"/>
          <w:sz w:val="24"/>
          <w:szCs w:val="24"/>
          <w:highlight w:val="none"/>
          <w:vertAlign w:val="subscript"/>
        </w:rPr>
        <w:t>-净热</w:t>
      </w:r>
      <w:r>
        <w:rPr>
          <w:rFonts w:hint="default" w:ascii="Times New Roman" w:hAnsi="Times New Roman" w:eastAsia="宋体" w:cs="Times New Roman"/>
          <w:color w:val="auto"/>
          <w:sz w:val="24"/>
          <w:szCs w:val="24"/>
          <w:highlight w:val="none"/>
        </w:rPr>
        <w:t>为报告主体净购入热力隐含的C</w:t>
      </w:r>
      <w:r>
        <w:rPr>
          <w:rFonts w:hint="eastAsia" w:ascii="Times New Roman" w:hAnsi="Times New Roman" w:eastAsia="宋体" w:cs="Times New Roman"/>
          <w:color w:val="auto"/>
          <w:sz w:val="24"/>
          <w:szCs w:val="24"/>
          <w:highlight w:val="none"/>
          <w:lang w:val="en-US" w:eastAsia="zh-CN"/>
        </w:rPr>
        <w:t>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排放量，单位为吨C</w:t>
      </w:r>
      <w:r>
        <w:rPr>
          <w:rFonts w:hint="eastAsia" w:ascii="Times New Roman" w:hAnsi="Times New Roman" w:eastAsia="宋体" w:cs="Times New Roman"/>
          <w:color w:val="auto"/>
          <w:sz w:val="24"/>
          <w:szCs w:val="24"/>
          <w:highlight w:val="none"/>
          <w:lang w:val="en-US" w:eastAsia="zh-CN"/>
        </w:rPr>
        <w:t>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w:t>
      </w:r>
    </w:p>
    <w:p w14:paraId="2B129D28">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按照上述温室气体排放总量计算公式，则拟建工程实施后温室气体排放总量见表7.1-</w:t>
      </w:r>
      <w:r>
        <w:rPr>
          <w:rFonts w:hint="eastAsia" w:cs="Times New Roman"/>
          <w:color w:val="auto"/>
          <w:spacing w:val="0"/>
          <w:sz w:val="24"/>
          <w:szCs w:val="24"/>
          <w:highlight w:val="none"/>
          <w:lang w:val="en-US" w:eastAsia="zh-CN"/>
        </w:rPr>
        <w:t>4</w:t>
      </w:r>
      <w:r>
        <w:rPr>
          <w:rFonts w:hint="default" w:ascii="Times New Roman" w:hAnsi="Times New Roman" w:eastAsia="宋体" w:cs="Times New Roman"/>
          <w:color w:val="auto"/>
          <w:spacing w:val="0"/>
          <w:sz w:val="24"/>
          <w:szCs w:val="24"/>
          <w:highlight w:val="none"/>
        </w:rPr>
        <w:t>所示。</w:t>
      </w:r>
    </w:p>
    <w:p w14:paraId="15178715">
      <w:pPr>
        <w:pStyle w:val="61"/>
        <w:bidi w:val="0"/>
        <w:jc w:val="both"/>
        <w:rPr>
          <w:rFonts w:hint="eastAsia"/>
          <w:color w:val="auto"/>
        </w:rPr>
      </w:pPr>
      <w:r>
        <w:rPr>
          <w:rFonts w:hint="eastAsia"/>
          <w:color w:val="auto"/>
        </w:rPr>
        <w:t>表7.1-</w:t>
      </w:r>
      <w:r>
        <w:rPr>
          <w:rFonts w:hint="eastAsia"/>
          <w:color w:val="auto"/>
          <w:lang w:val="en-US" w:eastAsia="zh-CN"/>
        </w:rPr>
        <w:t>4</w:t>
      </w:r>
      <w:r>
        <w:rPr>
          <w:rFonts w:hint="eastAsia"/>
          <w:color w:val="auto"/>
        </w:rPr>
        <w:t xml:space="preserve">  温室气体排放总量汇总一览表</w:t>
      </w:r>
    </w:p>
    <w:tbl>
      <w:tblPr>
        <w:tblStyle w:val="36"/>
        <w:tblW w:w="495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235"/>
        <w:gridCol w:w="3050"/>
        <w:gridCol w:w="1815"/>
        <w:gridCol w:w="2498"/>
      </w:tblGrid>
      <w:tr w14:paraId="074939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67" w:hRule="atLeast"/>
          <w:tblHeader/>
          <w:jc w:val="center"/>
        </w:trPr>
        <w:tc>
          <w:tcPr>
            <w:tcW w:w="718" w:type="pct"/>
            <w:tcBorders>
              <w:tl2br w:val="nil"/>
              <w:tr2bl w:val="nil"/>
            </w:tcBorders>
            <w:noWrap w:val="0"/>
            <w:vAlign w:val="center"/>
          </w:tcPr>
          <w:p w14:paraId="273603B1">
            <w:pPr>
              <w:adjustRightInd w:val="0"/>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项目</w:t>
            </w:r>
          </w:p>
        </w:tc>
        <w:tc>
          <w:tcPr>
            <w:tcW w:w="1773" w:type="pct"/>
            <w:tcBorders>
              <w:tl2br w:val="nil"/>
              <w:tr2bl w:val="nil"/>
            </w:tcBorders>
            <w:noWrap w:val="0"/>
            <w:vAlign w:val="center"/>
          </w:tcPr>
          <w:p w14:paraId="75807EB1">
            <w:pPr>
              <w:adjustRightInd w:val="0"/>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源类别</w:t>
            </w:r>
          </w:p>
        </w:tc>
        <w:tc>
          <w:tcPr>
            <w:tcW w:w="1055" w:type="pct"/>
            <w:tcBorders>
              <w:tl2br w:val="nil"/>
              <w:tr2bl w:val="nil"/>
            </w:tcBorders>
            <w:noWrap w:val="0"/>
            <w:vAlign w:val="center"/>
          </w:tcPr>
          <w:p w14:paraId="57E0E4A9">
            <w:pPr>
              <w:adjustRightInd w:val="0"/>
              <w:spacing w:line="0" w:lineRule="atLeast"/>
              <w:jc w:val="center"/>
              <w:rPr>
                <w:rFonts w:hint="default" w:ascii="Times New Roman" w:hAnsi="Times New Roman" w:eastAsia="宋体" w:cs="Times New Roman"/>
                <w:color w:val="auto"/>
                <w:spacing w:val="-10"/>
                <w:sz w:val="21"/>
                <w:szCs w:val="21"/>
                <w:highlight w:val="none"/>
                <w:lang w:eastAsia="zh-CN"/>
              </w:rPr>
            </w:pPr>
            <w:r>
              <w:rPr>
                <w:rFonts w:hint="default" w:ascii="Times New Roman" w:hAnsi="Times New Roman" w:eastAsia="宋体" w:cs="Times New Roman"/>
                <w:color w:val="auto"/>
                <w:spacing w:val="-10"/>
                <w:sz w:val="21"/>
                <w:szCs w:val="21"/>
                <w:highlight w:val="none"/>
              </w:rPr>
              <w:t>排放量</w:t>
            </w:r>
            <w:r>
              <w:rPr>
                <w:rFonts w:hint="default" w:ascii="Times New Roman" w:hAnsi="Times New Roman" w:eastAsia="宋体" w:cs="Times New Roman"/>
                <w:color w:val="auto"/>
                <w:spacing w:val="-10"/>
                <w:sz w:val="21"/>
                <w:szCs w:val="21"/>
                <w:highlight w:val="none"/>
                <w:lang w:eastAsia="zh-CN"/>
              </w:rPr>
              <w:t>（</w:t>
            </w:r>
            <w:r>
              <w:rPr>
                <w:rFonts w:hint="default" w:ascii="Times New Roman" w:hAnsi="Times New Roman" w:eastAsia="宋体" w:cs="Times New Roman"/>
                <w:color w:val="auto"/>
                <w:spacing w:val="-10"/>
                <w:sz w:val="21"/>
                <w:szCs w:val="21"/>
                <w:highlight w:val="none"/>
              </w:rPr>
              <w:t>吨CO</w:t>
            </w:r>
            <w:r>
              <w:rPr>
                <w:rFonts w:hint="default" w:ascii="Times New Roman" w:hAnsi="Times New Roman" w:eastAsia="宋体" w:cs="Times New Roman"/>
                <w:color w:val="auto"/>
                <w:spacing w:val="-10"/>
                <w:sz w:val="21"/>
                <w:szCs w:val="21"/>
                <w:highlight w:val="none"/>
                <w:vertAlign w:val="subscript"/>
              </w:rPr>
              <w:t>2</w:t>
            </w:r>
            <w:r>
              <w:rPr>
                <w:rFonts w:hint="default" w:ascii="Times New Roman" w:hAnsi="Times New Roman" w:eastAsia="宋体" w:cs="Times New Roman"/>
                <w:color w:val="auto"/>
                <w:spacing w:val="-10"/>
                <w:sz w:val="21"/>
                <w:szCs w:val="21"/>
                <w:highlight w:val="none"/>
                <w:lang w:eastAsia="zh-CN"/>
              </w:rPr>
              <w:t>）</w:t>
            </w:r>
          </w:p>
        </w:tc>
        <w:tc>
          <w:tcPr>
            <w:tcW w:w="1452" w:type="pct"/>
            <w:tcBorders>
              <w:tl2br w:val="nil"/>
              <w:tr2bl w:val="nil"/>
            </w:tcBorders>
            <w:noWrap w:val="0"/>
            <w:vAlign w:val="center"/>
          </w:tcPr>
          <w:p w14:paraId="3F35F9FE">
            <w:pPr>
              <w:adjustRightInd w:val="0"/>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占比</w:t>
            </w:r>
            <w:r>
              <w:rPr>
                <w:rFonts w:hint="eastAsia" w:cs="Times New Roman"/>
                <w:color w:val="auto"/>
                <w:spacing w:val="-10"/>
                <w:sz w:val="21"/>
                <w:szCs w:val="21"/>
                <w:highlight w:val="none"/>
                <w:lang w:eastAsia="zh-CN"/>
              </w:rPr>
              <w:t>（</w:t>
            </w:r>
            <w:r>
              <w:rPr>
                <w:rFonts w:hint="default" w:ascii="Times New Roman" w:hAnsi="Times New Roman" w:eastAsia="宋体" w:cs="Times New Roman"/>
                <w:color w:val="auto"/>
                <w:spacing w:val="-10"/>
                <w:sz w:val="21"/>
                <w:szCs w:val="21"/>
                <w:highlight w:val="none"/>
              </w:rPr>
              <w:t>%)</w:t>
            </w:r>
          </w:p>
        </w:tc>
      </w:tr>
      <w:tr w14:paraId="268536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6" w:hRule="atLeast"/>
          <w:tblHeader/>
          <w:jc w:val="center"/>
        </w:trPr>
        <w:tc>
          <w:tcPr>
            <w:tcW w:w="718" w:type="pct"/>
            <w:vMerge w:val="restart"/>
            <w:tcBorders>
              <w:tl2br w:val="nil"/>
              <w:tr2bl w:val="nil"/>
            </w:tcBorders>
            <w:noWrap w:val="0"/>
            <w:vAlign w:val="center"/>
          </w:tcPr>
          <w:p w14:paraId="1059D782">
            <w:pPr>
              <w:adjustRightInd w:val="0"/>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拟建工程</w:t>
            </w:r>
          </w:p>
        </w:tc>
        <w:tc>
          <w:tcPr>
            <w:tcW w:w="1773" w:type="pct"/>
            <w:tcBorders>
              <w:tl2br w:val="nil"/>
              <w:tr2bl w:val="nil"/>
            </w:tcBorders>
            <w:noWrap w:val="0"/>
            <w:vAlign w:val="center"/>
          </w:tcPr>
          <w:p w14:paraId="58C8FD14">
            <w:pPr>
              <w:adjustRightInd w:val="0"/>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燃料燃烧CO</w:t>
            </w:r>
            <w:r>
              <w:rPr>
                <w:rFonts w:hint="default" w:ascii="Times New Roman" w:hAnsi="Times New Roman" w:eastAsia="宋体" w:cs="Times New Roman"/>
                <w:color w:val="auto"/>
                <w:spacing w:val="-10"/>
                <w:sz w:val="21"/>
                <w:szCs w:val="21"/>
                <w:highlight w:val="none"/>
                <w:vertAlign w:val="subscript"/>
              </w:rPr>
              <w:t>2</w:t>
            </w:r>
            <w:r>
              <w:rPr>
                <w:rFonts w:hint="default" w:ascii="Times New Roman" w:hAnsi="Times New Roman" w:eastAsia="宋体" w:cs="Times New Roman"/>
                <w:color w:val="auto"/>
                <w:spacing w:val="-10"/>
                <w:sz w:val="21"/>
                <w:szCs w:val="21"/>
                <w:highlight w:val="none"/>
              </w:rPr>
              <w:t>排放</w:t>
            </w:r>
          </w:p>
        </w:tc>
        <w:tc>
          <w:tcPr>
            <w:tcW w:w="1055" w:type="pct"/>
            <w:tcBorders>
              <w:tl2br w:val="nil"/>
              <w:tr2bl w:val="nil"/>
            </w:tcBorders>
            <w:noWrap w:val="0"/>
            <w:vAlign w:val="center"/>
          </w:tcPr>
          <w:p w14:paraId="1A482072">
            <w:pPr>
              <w:widowControl/>
              <w:spacing w:line="0" w:lineRule="atLeast"/>
              <w:jc w:val="center"/>
              <w:textAlignment w:val="center"/>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49.32</w:t>
            </w:r>
          </w:p>
        </w:tc>
        <w:tc>
          <w:tcPr>
            <w:tcW w:w="1452" w:type="pct"/>
            <w:tcBorders>
              <w:tl2br w:val="nil"/>
              <w:tr2bl w:val="nil"/>
            </w:tcBorders>
            <w:noWrap w:val="0"/>
            <w:vAlign w:val="center"/>
          </w:tcPr>
          <w:p w14:paraId="2CECA356">
            <w:pPr>
              <w:widowControl/>
              <w:spacing w:line="0" w:lineRule="atLeast"/>
              <w:jc w:val="center"/>
              <w:textAlignment w:val="center"/>
              <w:rPr>
                <w:rFonts w:hint="default" w:ascii="Times New Roman" w:hAnsi="Times New Roman" w:eastAsia="宋体" w:cs="Times New Roman"/>
                <w:color w:val="auto"/>
                <w:spacing w:val="-10"/>
                <w:sz w:val="21"/>
                <w:szCs w:val="21"/>
                <w:highlight w:val="none"/>
                <w:lang w:val="en-US" w:eastAsia="zh-CN"/>
              </w:rPr>
            </w:pPr>
            <w:r>
              <w:rPr>
                <w:rFonts w:hint="eastAsia" w:ascii="Times New Roman" w:hAnsi="Times New Roman" w:eastAsia="宋体" w:cs="Times New Roman"/>
                <w:color w:val="auto"/>
                <w:spacing w:val="-10"/>
                <w:sz w:val="21"/>
                <w:szCs w:val="21"/>
                <w:highlight w:val="none"/>
                <w:lang w:val="en-US" w:eastAsia="zh-CN"/>
              </w:rPr>
              <w:t>3.73</w:t>
            </w:r>
          </w:p>
        </w:tc>
      </w:tr>
      <w:tr w14:paraId="5F2437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6" w:hRule="atLeast"/>
          <w:tblHeader/>
          <w:jc w:val="center"/>
        </w:trPr>
        <w:tc>
          <w:tcPr>
            <w:tcW w:w="718" w:type="pct"/>
            <w:vMerge w:val="continue"/>
            <w:tcBorders>
              <w:tl2br w:val="nil"/>
              <w:tr2bl w:val="nil"/>
            </w:tcBorders>
            <w:noWrap w:val="0"/>
            <w:vAlign w:val="center"/>
          </w:tcPr>
          <w:p w14:paraId="7020F770">
            <w:pPr>
              <w:spacing w:line="0" w:lineRule="atLeast"/>
              <w:rPr>
                <w:rFonts w:hint="default" w:ascii="Times New Roman" w:hAnsi="Times New Roman" w:eastAsia="宋体" w:cs="Times New Roman"/>
                <w:color w:val="auto"/>
                <w:spacing w:val="-10"/>
                <w:sz w:val="21"/>
                <w:szCs w:val="21"/>
                <w:highlight w:val="none"/>
              </w:rPr>
            </w:pPr>
          </w:p>
        </w:tc>
        <w:tc>
          <w:tcPr>
            <w:tcW w:w="1773" w:type="pct"/>
            <w:tcBorders>
              <w:tl2br w:val="nil"/>
              <w:tr2bl w:val="nil"/>
            </w:tcBorders>
            <w:noWrap w:val="0"/>
            <w:vAlign w:val="center"/>
          </w:tcPr>
          <w:p w14:paraId="548396CB">
            <w:pPr>
              <w:adjustRightInd w:val="0"/>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火炬燃烧排放</w:t>
            </w:r>
          </w:p>
        </w:tc>
        <w:tc>
          <w:tcPr>
            <w:tcW w:w="1055" w:type="pct"/>
            <w:tcBorders>
              <w:tl2br w:val="nil"/>
              <w:tr2bl w:val="nil"/>
            </w:tcBorders>
            <w:noWrap w:val="0"/>
            <w:vAlign w:val="center"/>
          </w:tcPr>
          <w:p w14:paraId="6262E9C1">
            <w:pPr>
              <w:widowControl/>
              <w:spacing w:line="0" w:lineRule="atLeast"/>
              <w:jc w:val="center"/>
              <w:textAlignment w:val="center"/>
              <w:rPr>
                <w:rFonts w:hint="default" w:ascii="Times New Roman" w:hAnsi="Times New Roman" w:eastAsia="宋体" w:cs="Times New Roman"/>
                <w:color w:val="auto"/>
                <w:spacing w:val="-10"/>
                <w:sz w:val="21"/>
                <w:szCs w:val="21"/>
                <w:highlight w:val="none"/>
                <w:lang w:val="en-US" w:eastAsia="zh-CN"/>
              </w:rPr>
            </w:pPr>
            <w:r>
              <w:rPr>
                <w:rFonts w:hint="eastAsia" w:ascii="Times New Roman" w:hAnsi="Times New Roman" w:eastAsia="宋体" w:cs="Times New Roman"/>
                <w:color w:val="auto"/>
                <w:spacing w:val="-10"/>
                <w:sz w:val="21"/>
                <w:szCs w:val="21"/>
                <w:highlight w:val="none"/>
                <w:lang w:val="en-US" w:eastAsia="zh-CN"/>
              </w:rPr>
              <w:t>53.6</w:t>
            </w:r>
          </w:p>
        </w:tc>
        <w:tc>
          <w:tcPr>
            <w:tcW w:w="1452" w:type="pct"/>
            <w:tcBorders>
              <w:tl2br w:val="nil"/>
              <w:tr2bl w:val="nil"/>
            </w:tcBorders>
            <w:noWrap w:val="0"/>
            <w:vAlign w:val="center"/>
          </w:tcPr>
          <w:p w14:paraId="00DF4A63">
            <w:pPr>
              <w:widowControl/>
              <w:spacing w:line="0" w:lineRule="atLeast"/>
              <w:jc w:val="center"/>
              <w:textAlignment w:val="center"/>
              <w:rPr>
                <w:rFonts w:hint="default" w:ascii="Times New Roman" w:hAnsi="Times New Roman" w:eastAsia="宋体" w:cs="Times New Roman"/>
                <w:color w:val="auto"/>
                <w:spacing w:val="-10"/>
                <w:sz w:val="21"/>
                <w:szCs w:val="21"/>
                <w:highlight w:val="none"/>
                <w:lang w:val="en-US" w:eastAsia="zh-CN"/>
              </w:rPr>
            </w:pPr>
            <w:r>
              <w:rPr>
                <w:rFonts w:hint="eastAsia" w:ascii="Times New Roman" w:hAnsi="Times New Roman" w:eastAsia="宋体" w:cs="Times New Roman"/>
                <w:color w:val="auto"/>
                <w:spacing w:val="-10"/>
                <w:sz w:val="21"/>
                <w:szCs w:val="21"/>
                <w:highlight w:val="none"/>
                <w:lang w:val="en-US" w:eastAsia="zh-CN"/>
              </w:rPr>
              <w:t>4.1</w:t>
            </w:r>
          </w:p>
        </w:tc>
      </w:tr>
      <w:tr w14:paraId="790438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6" w:hRule="atLeast"/>
          <w:tblHeader/>
          <w:jc w:val="center"/>
        </w:trPr>
        <w:tc>
          <w:tcPr>
            <w:tcW w:w="718" w:type="pct"/>
            <w:vMerge w:val="continue"/>
            <w:tcBorders>
              <w:tl2br w:val="nil"/>
              <w:tr2bl w:val="nil"/>
            </w:tcBorders>
            <w:noWrap w:val="0"/>
            <w:vAlign w:val="center"/>
          </w:tcPr>
          <w:p w14:paraId="1F4016BD">
            <w:pPr>
              <w:spacing w:line="0" w:lineRule="atLeast"/>
              <w:rPr>
                <w:rFonts w:hint="default" w:ascii="Times New Roman" w:hAnsi="Times New Roman" w:eastAsia="宋体" w:cs="Times New Roman"/>
                <w:color w:val="auto"/>
                <w:spacing w:val="-10"/>
                <w:sz w:val="21"/>
                <w:szCs w:val="21"/>
                <w:highlight w:val="none"/>
              </w:rPr>
            </w:pPr>
          </w:p>
        </w:tc>
        <w:tc>
          <w:tcPr>
            <w:tcW w:w="1773" w:type="pct"/>
            <w:tcBorders>
              <w:tl2br w:val="nil"/>
              <w:tr2bl w:val="nil"/>
            </w:tcBorders>
            <w:noWrap w:val="0"/>
            <w:vAlign w:val="center"/>
          </w:tcPr>
          <w:p w14:paraId="07BBA3AF">
            <w:pPr>
              <w:adjustRightInd w:val="0"/>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工艺放空排放</w:t>
            </w:r>
          </w:p>
        </w:tc>
        <w:tc>
          <w:tcPr>
            <w:tcW w:w="1055" w:type="pct"/>
            <w:tcBorders>
              <w:tl2br w:val="nil"/>
              <w:tr2bl w:val="nil"/>
            </w:tcBorders>
            <w:noWrap w:val="0"/>
            <w:vAlign w:val="center"/>
          </w:tcPr>
          <w:p w14:paraId="5A57DAD4">
            <w:pPr>
              <w:widowControl/>
              <w:spacing w:line="0" w:lineRule="atLeast"/>
              <w:jc w:val="center"/>
              <w:textAlignment w:val="center"/>
              <w:rPr>
                <w:rFonts w:hint="eastAsia" w:ascii="Times New Roman" w:hAnsi="Times New Roman" w:eastAsia="宋体" w:cs="Times New Roman"/>
                <w:color w:val="auto"/>
                <w:spacing w:val="-10"/>
                <w:sz w:val="21"/>
                <w:szCs w:val="21"/>
                <w:highlight w:val="none"/>
                <w:lang w:val="en-US" w:eastAsia="zh-CN"/>
              </w:rPr>
            </w:pPr>
            <w:r>
              <w:rPr>
                <w:rFonts w:hint="eastAsia" w:ascii="Times New Roman" w:hAnsi="Times New Roman" w:eastAsia="宋体" w:cs="Times New Roman"/>
                <w:color w:val="auto"/>
                <w:spacing w:val="-10"/>
                <w:sz w:val="21"/>
                <w:szCs w:val="21"/>
                <w:highlight w:val="none"/>
                <w:lang w:val="en-US" w:eastAsia="zh-CN"/>
              </w:rPr>
              <w:t>0</w:t>
            </w:r>
          </w:p>
        </w:tc>
        <w:tc>
          <w:tcPr>
            <w:tcW w:w="1452" w:type="pct"/>
            <w:tcBorders>
              <w:tl2br w:val="nil"/>
              <w:tr2bl w:val="nil"/>
            </w:tcBorders>
            <w:noWrap w:val="0"/>
            <w:vAlign w:val="center"/>
          </w:tcPr>
          <w:p w14:paraId="031FD325">
            <w:pPr>
              <w:widowControl/>
              <w:spacing w:line="0" w:lineRule="atLeast"/>
              <w:jc w:val="center"/>
              <w:textAlignment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kern w:val="0"/>
                <w:sz w:val="21"/>
                <w:szCs w:val="21"/>
                <w:highlight w:val="none"/>
                <w:lang w:bidi="ar"/>
              </w:rPr>
              <w:t>0.00</w:t>
            </w:r>
          </w:p>
        </w:tc>
      </w:tr>
      <w:tr w14:paraId="2E7752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6" w:hRule="atLeast"/>
          <w:tblHeader/>
          <w:jc w:val="center"/>
        </w:trPr>
        <w:tc>
          <w:tcPr>
            <w:tcW w:w="718" w:type="pct"/>
            <w:vMerge w:val="continue"/>
            <w:tcBorders>
              <w:tl2br w:val="nil"/>
              <w:tr2bl w:val="nil"/>
            </w:tcBorders>
            <w:noWrap w:val="0"/>
            <w:vAlign w:val="center"/>
          </w:tcPr>
          <w:p w14:paraId="360D44BE">
            <w:pPr>
              <w:adjustRightInd w:val="0"/>
              <w:spacing w:line="0" w:lineRule="atLeast"/>
              <w:jc w:val="center"/>
              <w:rPr>
                <w:rFonts w:hint="default" w:ascii="Times New Roman" w:hAnsi="Times New Roman" w:eastAsia="宋体" w:cs="Times New Roman"/>
                <w:color w:val="auto"/>
                <w:spacing w:val="-10"/>
                <w:sz w:val="21"/>
                <w:szCs w:val="21"/>
                <w:highlight w:val="none"/>
              </w:rPr>
            </w:pPr>
          </w:p>
        </w:tc>
        <w:tc>
          <w:tcPr>
            <w:tcW w:w="1773" w:type="pct"/>
            <w:tcBorders>
              <w:tl2br w:val="nil"/>
              <w:tr2bl w:val="nil"/>
            </w:tcBorders>
            <w:noWrap w:val="0"/>
            <w:vAlign w:val="center"/>
          </w:tcPr>
          <w:p w14:paraId="2BBBEDA4">
            <w:pPr>
              <w:adjustRightInd w:val="0"/>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CH</w:t>
            </w:r>
            <w:r>
              <w:rPr>
                <w:rFonts w:hint="default" w:ascii="Times New Roman" w:hAnsi="Times New Roman" w:eastAsia="宋体" w:cs="Times New Roman"/>
                <w:color w:val="auto"/>
                <w:spacing w:val="-10"/>
                <w:sz w:val="21"/>
                <w:szCs w:val="21"/>
                <w:highlight w:val="none"/>
                <w:vertAlign w:val="subscript"/>
              </w:rPr>
              <w:t>4</w:t>
            </w:r>
            <w:r>
              <w:rPr>
                <w:rFonts w:hint="default" w:ascii="Times New Roman" w:hAnsi="Times New Roman" w:eastAsia="宋体" w:cs="Times New Roman"/>
                <w:color w:val="auto"/>
                <w:spacing w:val="-10"/>
                <w:sz w:val="21"/>
                <w:szCs w:val="21"/>
                <w:highlight w:val="none"/>
              </w:rPr>
              <w:t>逃逸排放</w:t>
            </w:r>
          </w:p>
        </w:tc>
        <w:tc>
          <w:tcPr>
            <w:tcW w:w="1055" w:type="pct"/>
            <w:tcBorders>
              <w:tl2br w:val="nil"/>
              <w:tr2bl w:val="nil"/>
            </w:tcBorders>
            <w:noWrap w:val="0"/>
            <w:vAlign w:val="center"/>
          </w:tcPr>
          <w:p w14:paraId="33EB70CC">
            <w:pPr>
              <w:widowControl/>
              <w:spacing w:line="0" w:lineRule="atLeast"/>
              <w:jc w:val="center"/>
              <w:textAlignment w:val="center"/>
              <w:rPr>
                <w:rFonts w:hint="default" w:ascii="Times New Roman" w:hAnsi="Times New Roman" w:eastAsia="宋体" w:cs="Times New Roman"/>
                <w:color w:val="auto"/>
                <w:spacing w:val="-1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
              </w:rPr>
              <w:t>663.6</w:t>
            </w:r>
          </w:p>
        </w:tc>
        <w:tc>
          <w:tcPr>
            <w:tcW w:w="1452" w:type="pct"/>
            <w:tcBorders>
              <w:tl2br w:val="nil"/>
              <w:tr2bl w:val="nil"/>
            </w:tcBorders>
            <w:noWrap w:val="0"/>
            <w:vAlign w:val="center"/>
          </w:tcPr>
          <w:p w14:paraId="4B5FC736">
            <w:pPr>
              <w:widowControl/>
              <w:spacing w:line="0" w:lineRule="atLeast"/>
              <w:jc w:val="center"/>
              <w:textAlignment w:val="center"/>
              <w:rPr>
                <w:rFonts w:hint="default" w:ascii="Times New Roman" w:hAnsi="Times New Roman" w:eastAsia="宋体" w:cs="Times New Roman"/>
                <w:color w:val="auto"/>
                <w:spacing w:val="-10"/>
                <w:sz w:val="21"/>
                <w:szCs w:val="21"/>
                <w:highlight w:val="none"/>
                <w:lang w:val="en-US" w:eastAsia="zh-CN"/>
              </w:rPr>
            </w:pPr>
            <w:r>
              <w:rPr>
                <w:rFonts w:hint="eastAsia" w:ascii="Times New Roman" w:hAnsi="Times New Roman" w:eastAsia="宋体" w:cs="Times New Roman"/>
                <w:color w:val="auto"/>
                <w:spacing w:val="-10"/>
                <w:sz w:val="21"/>
                <w:szCs w:val="21"/>
                <w:highlight w:val="none"/>
                <w:lang w:val="en-US" w:eastAsia="zh-CN"/>
              </w:rPr>
              <w:t>50.2</w:t>
            </w:r>
          </w:p>
        </w:tc>
      </w:tr>
      <w:tr w14:paraId="28C2A2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78" w:hRule="atLeast"/>
          <w:tblHeader/>
          <w:jc w:val="center"/>
        </w:trPr>
        <w:tc>
          <w:tcPr>
            <w:tcW w:w="718" w:type="pct"/>
            <w:vMerge w:val="continue"/>
            <w:tcBorders>
              <w:tl2br w:val="nil"/>
              <w:tr2bl w:val="nil"/>
            </w:tcBorders>
            <w:noWrap w:val="0"/>
            <w:vAlign w:val="center"/>
          </w:tcPr>
          <w:p w14:paraId="02EC38A8">
            <w:pPr>
              <w:spacing w:line="0" w:lineRule="atLeast"/>
              <w:rPr>
                <w:rFonts w:hint="default" w:ascii="Times New Roman" w:hAnsi="Times New Roman" w:eastAsia="宋体" w:cs="Times New Roman"/>
                <w:color w:val="auto"/>
                <w:spacing w:val="-10"/>
                <w:sz w:val="21"/>
                <w:szCs w:val="21"/>
                <w:highlight w:val="none"/>
              </w:rPr>
            </w:pPr>
          </w:p>
        </w:tc>
        <w:tc>
          <w:tcPr>
            <w:tcW w:w="1773" w:type="pct"/>
            <w:tcBorders>
              <w:tl2br w:val="nil"/>
              <w:tr2bl w:val="nil"/>
            </w:tcBorders>
            <w:noWrap w:val="0"/>
            <w:vAlign w:val="center"/>
          </w:tcPr>
          <w:p w14:paraId="447A5BF4">
            <w:pPr>
              <w:adjustRightInd w:val="0"/>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CH</w:t>
            </w:r>
            <w:r>
              <w:rPr>
                <w:rFonts w:hint="default" w:ascii="Times New Roman" w:hAnsi="Times New Roman" w:eastAsia="宋体" w:cs="Times New Roman"/>
                <w:color w:val="auto"/>
                <w:spacing w:val="-10"/>
                <w:sz w:val="21"/>
                <w:szCs w:val="21"/>
                <w:highlight w:val="none"/>
                <w:vertAlign w:val="subscript"/>
              </w:rPr>
              <w:t>4</w:t>
            </w:r>
            <w:r>
              <w:rPr>
                <w:rFonts w:hint="default" w:ascii="Times New Roman" w:hAnsi="Times New Roman" w:eastAsia="宋体" w:cs="Times New Roman"/>
                <w:color w:val="auto"/>
                <w:spacing w:val="-10"/>
                <w:sz w:val="21"/>
                <w:szCs w:val="21"/>
                <w:highlight w:val="none"/>
              </w:rPr>
              <w:t>回收利用量</w:t>
            </w:r>
          </w:p>
        </w:tc>
        <w:tc>
          <w:tcPr>
            <w:tcW w:w="1055" w:type="pct"/>
            <w:tcBorders>
              <w:tl2br w:val="nil"/>
              <w:tr2bl w:val="nil"/>
            </w:tcBorders>
            <w:noWrap w:val="0"/>
            <w:vAlign w:val="center"/>
          </w:tcPr>
          <w:p w14:paraId="5B820348">
            <w:pPr>
              <w:widowControl/>
              <w:spacing w:line="0" w:lineRule="atLeast"/>
              <w:jc w:val="center"/>
              <w:textAlignment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kern w:val="0"/>
                <w:sz w:val="21"/>
                <w:szCs w:val="21"/>
                <w:highlight w:val="none"/>
                <w:lang w:bidi="ar"/>
              </w:rPr>
              <w:t>0</w:t>
            </w:r>
          </w:p>
        </w:tc>
        <w:tc>
          <w:tcPr>
            <w:tcW w:w="1452" w:type="pct"/>
            <w:tcBorders>
              <w:tl2br w:val="nil"/>
              <w:tr2bl w:val="nil"/>
            </w:tcBorders>
            <w:noWrap w:val="0"/>
            <w:vAlign w:val="center"/>
          </w:tcPr>
          <w:p w14:paraId="25016BC2">
            <w:pPr>
              <w:widowControl/>
              <w:spacing w:line="0" w:lineRule="atLeast"/>
              <w:jc w:val="center"/>
              <w:textAlignment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kern w:val="0"/>
                <w:sz w:val="21"/>
                <w:szCs w:val="21"/>
                <w:highlight w:val="none"/>
                <w:lang w:bidi="ar"/>
              </w:rPr>
              <w:t>0.00</w:t>
            </w:r>
          </w:p>
        </w:tc>
      </w:tr>
      <w:tr w14:paraId="6D34E1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blHeader/>
          <w:jc w:val="center"/>
        </w:trPr>
        <w:tc>
          <w:tcPr>
            <w:tcW w:w="718" w:type="pct"/>
            <w:vMerge w:val="continue"/>
            <w:tcBorders>
              <w:tl2br w:val="nil"/>
              <w:tr2bl w:val="nil"/>
            </w:tcBorders>
            <w:noWrap w:val="0"/>
            <w:vAlign w:val="center"/>
          </w:tcPr>
          <w:p w14:paraId="5990BA5F">
            <w:pPr>
              <w:adjustRightInd w:val="0"/>
              <w:spacing w:line="0" w:lineRule="atLeast"/>
              <w:jc w:val="center"/>
              <w:rPr>
                <w:rFonts w:hint="default" w:ascii="Times New Roman" w:hAnsi="Times New Roman" w:eastAsia="宋体" w:cs="Times New Roman"/>
                <w:color w:val="auto"/>
                <w:spacing w:val="-10"/>
                <w:sz w:val="21"/>
                <w:szCs w:val="21"/>
                <w:highlight w:val="none"/>
              </w:rPr>
            </w:pPr>
          </w:p>
        </w:tc>
        <w:tc>
          <w:tcPr>
            <w:tcW w:w="1773" w:type="pct"/>
            <w:tcBorders>
              <w:tl2br w:val="nil"/>
              <w:tr2bl w:val="nil"/>
            </w:tcBorders>
            <w:noWrap w:val="0"/>
            <w:vAlign w:val="center"/>
          </w:tcPr>
          <w:p w14:paraId="7A857D2D">
            <w:pPr>
              <w:adjustRightInd w:val="0"/>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C</w:t>
            </w:r>
            <w:r>
              <w:rPr>
                <w:rFonts w:hint="default" w:ascii="Times New Roman" w:hAnsi="Times New Roman" w:eastAsia="宋体" w:cs="Times New Roman"/>
                <w:color w:val="auto"/>
                <w:spacing w:val="-10"/>
                <w:sz w:val="21"/>
                <w:szCs w:val="21"/>
                <w:highlight w:val="none"/>
                <w:lang w:val="en-US" w:eastAsia="zh-CN"/>
              </w:rPr>
              <w:t>O</w:t>
            </w:r>
            <w:r>
              <w:rPr>
                <w:rFonts w:hint="default" w:ascii="Times New Roman" w:hAnsi="Times New Roman" w:eastAsia="宋体" w:cs="Times New Roman"/>
                <w:color w:val="auto"/>
                <w:spacing w:val="-10"/>
                <w:sz w:val="21"/>
                <w:szCs w:val="21"/>
                <w:highlight w:val="none"/>
                <w:vertAlign w:val="subscript"/>
              </w:rPr>
              <w:t>2</w:t>
            </w:r>
            <w:r>
              <w:rPr>
                <w:rFonts w:hint="default" w:ascii="Times New Roman" w:hAnsi="Times New Roman" w:eastAsia="宋体" w:cs="Times New Roman"/>
                <w:color w:val="auto"/>
                <w:spacing w:val="-10"/>
                <w:sz w:val="21"/>
                <w:szCs w:val="21"/>
                <w:highlight w:val="none"/>
              </w:rPr>
              <w:t>回收利用量</w:t>
            </w:r>
          </w:p>
        </w:tc>
        <w:tc>
          <w:tcPr>
            <w:tcW w:w="1055" w:type="pct"/>
            <w:tcBorders>
              <w:tl2br w:val="nil"/>
              <w:tr2bl w:val="nil"/>
            </w:tcBorders>
            <w:noWrap w:val="0"/>
            <w:vAlign w:val="center"/>
          </w:tcPr>
          <w:p w14:paraId="05EC1ED6">
            <w:pPr>
              <w:widowControl/>
              <w:spacing w:line="0" w:lineRule="atLeast"/>
              <w:jc w:val="center"/>
              <w:textAlignment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kern w:val="0"/>
                <w:sz w:val="21"/>
                <w:szCs w:val="21"/>
                <w:highlight w:val="none"/>
                <w:lang w:bidi="ar"/>
              </w:rPr>
              <w:t>0</w:t>
            </w:r>
          </w:p>
        </w:tc>
        <w:tc>
          <w:tcPr>
            <w:tcW w:w="1452" w:type="pct"/>
            <w:tcBorders>
              <w:tl2br w:val="nil"/>
              <w:tr2bl w:val="nil"/>
            </w:tcBorders>
            <w:noWrap w:val="0"/>
            <w:vAlign w:val="center"/>
          </w:tcPr>
          <w:p w14:paraId="4EDED5CA">
            <w:pPr>
              <w:widowControl/>
              <w:spacing w:line="0" w:lineRule="atLeast"/>
              <w:jc w:val="center"/>
              <w:textAlignment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kern w:val="0"/>
                <w:sz w:val="21"/>
                <w:szCs w:val="21"/>
                <w:highlight w:val="none"/>
                <w:lang w:bidi="ar"/>
              </w:rPr>
              <w:t>0.00</w:t>
            </w:r>
          </w:p>
        </w:tc>
      </w:tr>
      <w:tr w14:paraId="286D1C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blHeader/>
          <w:jc w:val="center"/>
        </w:trPr>
        <w:tc>
          <w:tcPr>
            <w:tcW w:w="718" w:type="pct"/>
            <w:vMerge w:val="continue"/>
            <w:tcBorders>
              <w:tl2br w:val="nil"/>
              <w:tr2bl w:val="nil"/>
            </w:tcBorders>
            <w:noWrap w:val="0"/>
            <w:vAlign w:val="center"/>
          </w:tcPr>
          <w:p w14:paraId="3DBF943D">
            <w:pPr>
              <w:spacing w:line="0" w:lineRule="atLeast"/>
              <w:rPr>
                <w:rFonts w:hint="default" w:ascii="Times New Roman" w:hAnsi="Times New Roman" w:eastAsia="宋体" w:cs="Times New Roman"/>
                <w:color w:val="auto"/>
                <w:spacing w:val="-10"/>
                <w:sz w:val="21"/>
                <w:szCs w:val="21"/>
                <w:highlight w:val="none"/>
              </w:rPr>
            </w:pPr>
          </w:p>
        </w:tc>
        <w:tc>
          <w:tcPr>
            <w:tcW w:w="1773" w:type="pct"/>
            <w:tcBorders>
              <w:tl2br w:val="nil"/>
              <w:tr2bl w:val="nil"/>
            </w:tcBorders>
            <w:noWrap w:val="0"/>
            <w:vAlign w:val="center"/>
          </w:tcPr>
          <w:p w14:paraId="629445C5">
            <w:pPr>
              <w:adjustRightInd w:val="0"/>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净购入电力、热力隐含的CO</w:t>
            </w:r>
            <w:r>
              <w:rPr>
                <w:rFonts w:hint="default" w:ascii="Times New Roman" w:hAnsi="Times New Roman" w:eastAsia="宋体" w:cs="Times New Roman"/>
                <w:color w:val="auto"/>
                <w:spacing w:val="-10"/>
                <w:sz w:val="21"/>
                <w:szCs w:val="21"/>
                <w:highlight w:val="none"/>
                <w:vertAlign w:val="subscript"/>
              </w:rPr>
              <w:t>2</w:t>
            </w:r>
            <w:r>
              <w:rPr>
                <w:rFonts w:hint="default" w:ascii="Times New Roman" w:hAnsi="Times New Roman" w:eastAsia="宋体" w:cs="Times New Roman"/>
                <w:color w:val="auto"/>
                <w:spacing w:val="-10"/>
                <w:sz w:val="21"/>
                <w:szCs w:val="21"/>
                <w:highlight w:val="none"/>
              </w:rPr>
              <w:t>排放</w:t>
            </w:r>
          </w:p>
        </w:tc>
        <w:tc>
          <w:tcPr>
            <w:tcW w:w="1055" w:type="pct"/>
            <w:tcBorders>
              <w:tl2br w:val="nil"/>
              <w:tr2bl w:val="nil"/>
            </w:tcBorders>
            <w:noWrap w:val="0"/>
            <w:vAlign w:val="center"/>
          </w:tcPr>
          <w:p w14:paraId="0A3B487F">
            <w:pPr>
              <w:widowControl/>
              <w:spacing w:line="0" w:lineRule="atLeast"/>
              <w:jc w:val="center"/>
              <w:textAlignment w:val="center"/>
              <w:rPr>
                <w:rFonts w:hint="default" w:ascii="Times New Roman" w:hAnsi="Times New Roman" w:eastAsia="宋体" w:cs="Times New Roman"/>
                <w:color w:val="auto"/>
                <w:spacing w:val="-10"/>
                <w:sz w:val="21"/>
                <w:szCs w:val="21"/>
                <w:highlight w:val="none"/>
                <w:lang w:val="en-US" w:eastAsia="zh-CN"/>
              </w:rPr>
            </w:pPr>
            <w:r>
              <w:rPr>
                <w:rFonts w:hint="eastAsia" w:ascii="Times New Roman" w:hAnsi="Times New Roman" w:eastAsia="宋体" w:cs="Times New Roman"/>
                <w:color w:val="auto"/>
                <w:spacing w:val="-10"/>
                <w:sz w:val="21"/>
                <w:szCs w:val="21"/>
                <w:highlight w:val="none"/>
                <w:lang w:val="en-US" w:eastAsia="zh-CN"/>
              </w:rPr>
              <w:t>554.77</w:t>
            </w:r>
          </w:p>
        </w:tc>
        <w:tc>
          <w:tcPr>
            <w:tcW w:w="1452" w:type="pct"/>
            <w:tcBorders>
              <w:tl2br w:val="nil"/>
              <w:tr2bl w:val="nil"/>
            </w:tcBorders>
            <w:noWrap w:val="0"/>
            <w:vAlign w:val="center"/>
          </w:tcPr>
          <w:p w14:paraId="0142D2F5">
            <w:pPr>
              <w:widowControl/>
              <w:spacing w:line="0" w:lineRule="atLeast"/>
              <w:jc w:val="center"/>
              <w:textAlignment w:val="center"/>
              <w:rPr>
                <w:rFonts w:hint="default" w:ascii="Times New Roman" w:hAnsi="Times New Roman" w:eastAsia="宋体" w:cs="Times New Roman"/>
                <w:color w:val="auto"/>
                <w:spacing w:val="-10"/>
                <w:sz w:val="21"/>
                <w:szCs w:val="21"/>
                <w:highlight w:val="none"/>
                <w:lang w:val="en-US" w:eastAsia="zh-CN"/>
              </w:rPr>
            </w:pPr>
            <w:r>
              <w:rPr>
                <w:rFonts w:hint="eastAsia" w:ascii="Times New Roman" w:hAnsi="Times New Roman" w:eastAsia="宋体" w:cs="Times New Roman"/>
                <w:color w:val="auto"/>
                <w:spacing w:val="-10"/>
                <w:sz w:val="21"/>
                <w:szCs w:val="21"/>
                <w:highlight w:val="none"/>
                <w:lang w:val="en-US" w:eastAsia="zh-CN"/>
              </w:rPr>
              <w:t>41.97</w:t>
            </w:r>
          </w:p>
        </w:tc>
      </w:tr>
      <w:tr w14:paraId="684E8D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blHeader/>
          <w:jc w:val="center"/>
        </w:trPr>
        <w:tc>
          <w:tcPr>
            <w:tcW w:w="718" w:type="pct"/>
            <w:vMerge w:val="continue"/>
            <w:tcBorders>
              <w:tl2br w:val="nil"/>
              <w:tr2bl w:val="nil"/>
            </w:tcBorders>
            <w:noWrap w:val="0"/>
            <w:vAlign w:val="center"/>
          </w:tcPr>
          <w:p w14:paraId="4C3A9AEB">
            <w:pPr>
              <w:spacing w:line="0" w:lineRule="atLeast"/>
              <w:rPr>
                <w:rFonts w:hint="default" w:ascii="Times New Roman" w:hAnsi="Times New Roman" w:eastAsia="宋体" w:cs="Times New Roman"/>
                <w:color w:val="auto"/>
                <w:spacing w:val="-10"/>
                <w:sz w:val="21"/>
                <w:szCs w:val="21"/>
                <w:highlight w:val="none"/>
              </w:rPr>
            </w:pPr>
          </w:p>
        </w:tc>
        <w:tc>
          <w:tcPr>
            <w:tcW w:w="1773" w:type="pct"/>
            <w:tcBorders>
              <w:tl2br w:val="nil"/>
              <w:tr2bl w:val="nil"/>
            </w:tcBorders>
            <w:noWrap w:val="0"/>
            <w:vAlign w:val="center"/>
          </w:tcPr>
          <w:p w14:paraId="4DFB1E6C">
            <w:pPr>
              <w:adjustRightInd w:val="0"/>
              <w:spacing w:line="0" w:lineRule="atLeast"/>
              <w:jc w:val="center"/>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合计</w:t>
            </w:r>
          </w:p>
        </w:tc>
        <w:tc>
          <w:tcPr>
            <w:tcW w:w="1055" w:type="pct"/>
            <w:tcBorders>
              <w:tl2br w:val="nil"/>
              <w:tr2bl w:val="nil"/>
            </w:tcBorders>
            <w:noWrap w:val="0"/>
            <w:vAlign w:val="center"/>
          </w:tcPr>
          <w:p w14:paraId="227A410C">
            <w:pPr>
              <w:widowControl/>
              <w:spacing w:line="0" w:lineRule="atLeast"/>
              <w:jc w:val="center"/>
              <w:textAlignment w:val="center"/>
              <w:rPr>
                <w:rFonts w:hint="default" w:ascii="Times New Roman" w:hAnsi="Times New Roman" w:eastAsia="宋体" w:cs="Times New Roman"/>
                <w:color w:val="auto"/>
                <w:spacing w:val="-10"/>
                <w:sz w:val="21"/>
                <w:szCs w:val="21"/>
                <w:highlight w:val="none"/>
                <w:lang w:val="en-US" w:eastAsia="zh-CN"/>
              </w:rPr>
            </w:pPr>
            <w:r>
              <w:rPr>
                <w:rFonts w:hint="eastAsia" w:ascii="Times New Roman" w:hAnsi="Times New Roman" w:eastAsia="宋体" w:cs="Times New Roman"/>
                <w:color w:val="auto"/>
                <w:spacing w:val="-10"/>
                <w:sz w:val="21"/>
                <w:szCs w:val="21"/>
                <w:highlight w:val="none"/>
                <w:lang w:val="en-US" w:eastAsia="zh-CN"/>
              </w:rPr>
              <w:t>1321.29</w:t>
            </w:r>
          </w:p>
        </w:tc>
        <w:tc>
          <w:tcPr>
            <w:tcW w:w="1452" w:type="pct"/>
            <w:tcBorders>
              <w:tl2br w:val="nil"/>
              <w:tr2bl w:val="nil"/>
            </w:tcBorders>
            <w:noWrap w:val="0"/>
            <w:vAlign w:val="center"/>
          </w:tcPr>
          <w:p w14:paraId="529F30AC">
            <w:pPr>
              <w:widowControl/>
              <w:spacing w:line="0" w:lineRule="atLeast"/>
              <w:jc w:val="center"/>
              <w:textAlignment w:val="center"/>
              <w:rPr>
                <w:rFonts w:hint="default" w:ascii="Times New Roman" w:hAnsi="Times New Roman" w:eastAsia="宋体" w:cs="Times New Roman"/>
                <w:color w:val="auto"/>
                <w:spacing w:val="-10"/>
                <w:sz w:val="21"/>
                <w:szCs w:val="21"/>
                <w:highlight w:val="none"/>
                <w:lang w:val="en-US" w:eastAsia="zh-CN"/>
              </w:rPr>
            </w:pPr>
            <w:r>
              <w:rPr>
                <w:rFonts w:hint="eastAsia" w:ascii="Times New Roman" w:hAnsi="Times New Roman" w:eastAsia="宋体" w:cs="Times New Roman"/>
                <w:color w:val="auto"/>
                <w:spacing w:val="-10"/>
                <w:sz w:val="21"/>
                <w:szCs w:val="21"/>
                <w:highlight w:val="none"/>
                <w:lang w:val="en-US" w:eastAsia="zh-CN"/>
              </w:rPr>
              <w:t>100</w:t>
            </w:r>
          </w:p>
        </w:tc>
      </w:tr>
    </w:tbl>
    <w:p w14:paraId="772A3928">
      <w:pPr>
        <w:pStyle w:val="79"/>
        <w:bidi w:val="0"/>
        <w:rPr>
          <w:rFonts w:hint="default"/>
          <w:color w:val="auto"/>
          <w:lang w:val="en-US" w:eastAsia="zh-CN"/>
        </w:rPr>
      </w:pPr>
      <w:r>
        <w:rPr>
          <w:rFonts w:hint="default"/>
          <w:color w:val="auto"/>
        </w:rPr>
        <w:t>由上表分析可知，拟建工程温室气体总排放量为</w:t>
      </w:r>
      <w:r>
        <w:rPr>
          <w:rFonts w:hint="eastAsia"/>
          <w:color w:val="auto"/>
          <w:lang w:val="en-US" w:eastAsia="zh-CN"/>
        </w:rPr>
        <w:t>1321.29</w:t>
      </w:r>
      <w:r>
        <w:rPr>
          <w:rFonts w:hint="default"/>
          <w:color w:val="auto"/>
        </w:rPr>
        <w:t>吨。</w:t>
      </w:r>
    </w:p>
    <w:p w14:paraId="2164957A">
      <w:pPr>
        <w:pStyle w:val="75"/>
        <w:bidi w:val="0"/>
        <w:rPr>
          <w:rFonts w:hint="eastAsia"/>
          <w:color w:val="auto"/>
          <w:lang w:val="en-US" w:eastAsia="zh-CN"/>
        </w:rPr>
      </w:pPr>
      <w:bookmarkStart w:id="763" w:name="_Toc27120"/>
      <w:r>
        <w:rPr>
          <w:rFonts w:hint="eastAsia"/>
          <w:color w:val="auto"/>
          <w:lang w:val="en-US" w:eastAsia="zh-CN"/>
        </w:rPr>
        <w:fldChar w:fldCharType="begin"/>
      </w:r>
      <w:r>
        <w:rPr>
          <w:rFonts w:hint="eastAsia"/>
          <w:color w:val="auto"/>
          <w:lang w:val="en-US" w:eastAsia="zh-CN"/>
        </w:rPr>
        <w:instrText xml:space="preserve"> HYPERLINK \l _Toc30340 </w:instrText>
      </w:r>
      <w:r>
        <w:rPr>
          <w:rFonts w:hint="eastAsia"/>
          <w:color w:val="auto"/>
          <w:lang w:val="en-US" w:eastAsia="zh-CN"/>
        </w:rPr>
        <w:fldChar w:fldCharType="separate"/>
      </w:r>
      <w:r>
        <w:rPr>
          <w:rFonts w:hint="eastAsia"/>
          <w:color w:val="auto"/>
          <w:lang w:val="en-US" w:eastAsia="zh-CN"/>
        </w:rPr>
        <w:t>7.2 减污降碳措施</w:t>
      </w:r>
      <w:r>
        <w:rPr>
          <w:rFonts w:hint="eastAsia"/>
          <w:color w:val="auto"/>
          <w:lang w:val="en-US" w:eastAsia="zh-CN"/>
        </w:rPr>
        <w:fldChar w:fldCharType="end"/>
      </w:r>
      <w:bookmarkEnd w:id="763"/>
    </w:p>
    <w:p w14:paraId="09D6B838">
      <w:pPr>
        <w:pStyle w:val="54"/>
        <w:bidi w:val="0"/>
        <w:rPr>
          <w:color w:val="auto"/>
          <w:lang w:val="en-US" w:eastAsia="zh-CN"/>
        </w:rPr>
      </w:pPr>
      <w:r>
        <w:rPr>
          <w:color w:val="auto"/>
          <w:lang w:val="en-US" w:eastAsia="zh-CN"/>
        </w:rPr>
        <w:fldChar w:fldCharType="begin"/>
      </w:r>
      <w:r>
        <w:rPr>
          <w:color w:val="auto"/>
          <w:lang w:val="en-US" w:eastAsia="zh-CN"/>
        </w:rPr>
        <w:instrText xml:space="preserve"> HYPERLINK \l _Toc15442 </w:instrText>
      </w:r>
      <w:r>
        <w:rPr>
          <w:color w:val="auto"/>
          <w:lang w:val="en-US" w:eastAsia="zh-CN"/>
        </w:rPr>
        <w:fldChar w:fldCharType="separate"/>
      </w:r>
      <w:r>
        <w:rPr>
          <w:rFonts w:hint="eastAsia"/>
          <w:color w:val="auto"/>
          <w:lang w:val="en-US" w:eastAsia="zh-CN"/>
        </w:rPr>
        <w:t>7.2.1 清洁运输</w:t>
      </w:r>
      <w:r>
        <w:rPr>
          <w:color w:val="auto"/>
          <w:lang w:val="en-US" w:eastAsia="zh-CN"/>
        </w:rPr>
        <w:fldChar w:fldCharType="end"/>
      </w:r>
    </w:p>
    <w:p w14:paraId="132A0E61">
      <w:pPr>
        <w:pStyle w:val="79"/>
        <w:bidi w:val="0"/>
        <w:rPr>
          <w:color w:val="auto"/>
        </w:rPr>
      </w:pPr>
      <w:r>
        <w:rPr>
          <w:rFonts w:hint="eastAsia"/>
          <w:color w:val="auto"/>
        </w:rPr>
        <w:t>油气进行汇集、处理、输送至油气稳定装置的全过程采用密闭工艺流程，定期对井场的设备、阀门等检查、检修，以防止跑、冒、漏现象的发生；加强对密闭管线及密封点的巡检，一旦发生泄漏立即切断控制阀，并尽快完成修复，有效提升温室气体泄漏控制能力。</w:t>
      </w:r>
    </w:p>
    <w:p w14:paraId="0137AF07">
      <w:pPr>
        <w:pStyle w:val="54"/>
        <w:bidi w:val="0"/>
        <w:rPr>
          <w:rFonts w:ascii="Times New Roman" w:hAnsi="Times New Roman" w:eastAsia="宋体" w:cs="Times New Roman"/>
          <w:b/>
          <w:color w:val="auto"/>
          <w:kern w:val="2"/>
          <w:szCs w:val="24"/>
          <w:highlight w:val="none"/>
          <w:lang w:val="en-US" w:eastAsia="zh-CN" w:bidi="ar-SA"/>
        </w:rPr>
      </w:pPr>
      <w:r>
        <w:rPr>
          <w:color w:val="auto"/>
          <w:lang w:val="en-US" w:eastAsia="zh-CN"/>
        </w:rPr>
        <w:fldChar w:fldCharType="begin"/>
      </w:r>
      <w:r>
        <w:rPr>
          <w:color w:val="auto"/>
          <w:lang w:val="en-US" w:eastAsia="zh-CN"/>
        </w:rPr>
        <w:instrText xml:space="preserve"> HYPERLINK \l _Toc3893 </w:instrText>
      </w:r>
      <w:r>
        <w:rPr>
          <w:color w:val="auto"/>
          <w:lang w:val="en-US" w:eastAsia="zh-CN"/>
        </w:rPr>
        <w:fldChar w:fldCharType="separate"/>
      </w:r>
      <w:r>
        <w:rPr>
          <w:rFonts w:hint="eastAsia"/>
          <w:color w:val="auto"/>
          <w:lang w:val="en-US" w:eastAsia="zh-CN"/>
        </w:rPr>
        <w:t xml:space="preserve">7.2.2 </w:t>
      </w:r>
      <w:r>
        <w:rPr>
          <w:color w:val="auto"/>
          <w:lang w:val="en-US" w:eastAsia="zh-CN"/>
        </w:rPr>
        <w:fldChar w:fldCharType="end"/>
      </w:r>
      <w:r>
        <w:rPr>
          <w:rFonts w:hint="eastAsia"/>
          <w:color w:val="auto"/>
          <w:lang w:val="en-US" w:eastAsia="zh-CN"/>
        </w:rPr>
        <w:t>电气设施减污降碳措施</w:t>
      </w:r>
    </w:p>
    <w:p w14:paraId="2DDA7F9D">
      <w:pPr>
        <w:pStyle w:val="79"/>
        <w:bidi w:val="0"/>
        <w:rPr>
          <w:rFonts w:hint="eastAsia"/>
          <w:color w:val="auto"/>
        </w:rPr>
      </w:pPr>
      <w:r>
        <w:rPr>
          <w:rFonts w:hint="eastAsia"/>
          <w:color w:val="auto"/>
        </w:rPr>
        <w:t>拟建工程在电气设备设施上采用多种节能措施，从而间接减少了电力隐含的CO</w:t>
      </w:r>
      <w:r>
        <w:rPr>
          <w:rFonts w:hint="eastAsia"/>
          <w:color w:val="auto"/>
          <w:vertAlign w:val="subscript"/>
        </w:rPr>
        <w:t>2</w:t>
      </w:r>
      <w:r>
        <w:rPr>
          <w:rFonts w:hint="eastAsia"/>
          <w:color w:val="auto"/>
        </w:rPr>
        <w:t>排放量。具体措施主要有：</w:t>
      </w:r>
    </w:p>
    <w:p w14:paraId="4981C2AE">
      <w:pPr>
        <w:pStyle w:val="79"/>
        <w:bidi w:val="0"/>
        <w:rPr>
          <w:rFonts w:hint="eastAsia"/>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根据项目用电性质、用电容量等选择合理的供电电压和供电方式，有效减少电能损耗。</w:t>
      </w:r>
    </w:p>
    <w:p w14:paraId="5D3F9A93">
      <w:pPr>
        <w:pStyle w:val="79"/>
        <w:bidi w:val="0"/>
        <w:rPr>
          <w:rFonts w:hint="eastAsia"/>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rPr>
        <w:t xml:space="preserve">选用高功率因数电气设备。采用无功功率补偿，为减少线路损失，设计采用高低压同时补偿的方式，补偿后功率因数达0.95以上。低压设置自动无功补偿电容器装置，高压采用高压并联电容器进行功率因数补偿，补偿后使功率因数在装置负荷正常运行时提高，有效减少无功损耗，从而减少电能损耗，实现节能运行。 </w:t>
      </w:r>
    </w:p>
    <w:p w14:paraId="5B0EC35A">
      <w:pPr>
        <w:pStyle w:val="79"/>
        <w:bidi w:val="0"/>
        <w:rPr>
          <w:rFonts w:hint="default"/>
          <w:color w:val="auto"/>
        </w:rPr>
      </w:pPr>
      <w:r>
        <w:rPr>
          <w:rFonts w:hint="default"/>
          <w:color w:val="auto"/>
          <w:lang w:eastAsia="zh-CN"/>
        </w:rPr>
        <w:t>（</w:t>
      </w:r>
      <w:r>
        <w:rPr>
          <w:rFonts w:hint="default"/>
          <w:color w:val="auto"/>
          <w:lang w:val="en-US" w:eastAsia="zh-CN"/>
        </w:rPr>
        <w:t>3</w:t>
      </w:r>
      <w:r>
        <w:rPr>
          <w:rFonts w:hint="default"/>
          <w:color w:val="auto"/>
          <w:lang w:eastAsia="zh-CN"/>
        </w:rPr>
        <w:t>）</w:t>
      </w:r>
      <w:r>
        <w:rPr>
          <w:rFonts w:hint="default"/>
          <w:color w:val="auto"/>
        </w:rPr>
        <w:t>选用节能型干式变压器，能效等级为</w:t>
      </w:r>
      <w:r>
        <w:rPr>
          <w:rFonts w:hint="default"/>
          <w:color w:val="auto"/>
          <w:lang w:val="en-US" w:eastAsia="zh-CN"/>
        </w:rPr>
        <w:t>1</w:t>
      </w:r>
      <w:r>
        <w:rPr>
          <w:rFonts w:hint="default"/>
          <w:color w:val="auto"/>
        </w:rPr>
        <w:t>级，具有低损耗</w:t>
      </w:r>
      <w:r>
        <w:rPr>
          <w:rFonts w:hint="default"/>
          <w:color w:val="auto"/>
          <w:lang w:eastAsia="zh-CN"/>
        </w:rPr>
        <w:t>（</w:t>
      </w:r>
      <w:r>
        <w:rPr>
          <w:rFonts w:hint="default"/>
          <w:color w:val="auto"/>
        </w:rPr>
        <w:t>空载和负载损耗相对较低</w:t>
      </w:r>
      <w:r>
        <w:rPr>
          <w:rFonts w:hint="default"/>
          <w:color w:val="auto"/>
          <w:lang w:eastAsia="zh-CN"/>
        </w:rPr>
        <w:t>）</w:t>
      </w:r>
      <w:r>
        <w:rPr>
          <w:rFonts w:hint="default"/>
          <w:color w:val="auto"/>
        </w:rPr>
        <w:t>、维护方便等显著特点。</w:t>
      </w:r>
    </w:p>
    <w:p w14:paraId="4430985F">
      <w:pPr>
        <w:pStyle w:val="79"/>
        <w:bidi w:val="0"/>
        <w:rPr>
          <w:rFonts w:hint="default"/>
          <w:color w:val="auto"/>
        </w:rPr>
      </w:pPr>
      <w:r>
        <w:rPr>
          <w:rFonts w:hint="default"/>
          <w:color w:val="auto"/>
          <w:lang w:eastAsia="zh-CN"/>
        </w:rPr>
        <w:t>（</w:t>
      </w:r>
      <w:r>
        <w:rPr>
          <w:rFonts w:hint="default"/>
          <w:color w:val="auto"/>
          <w:lang w:val="en-US" w:eastAsia="zh-CN"/>
        </w:rPr>
        <w:t>4</w:t>
      </w:r>
      <w:r>
        <w:rPr>
          <w:rFonts w:hint="default"/>
          <w:color w:val="auto"/>
          <w:lang w:eastAsia="zh-CN"/>
        </w:rPr>
        <w:t>）</w:t>
      </w:r>
      <w:r>
        <w:rPr>
          <w:rFonts w:hint="default"/>
          <w:color w:val="auto"/>
        </w:rPr>
        <w:t>各种电力设备均选用能效等级为</w:t>
      </w:r>
      <w:r>
        <w:rPr>
          <w:rFonts w:hint="default"/>
          <w:color w:val="auto"/>
          <w:lang w:val="en-US" w:eastAsia="zh-CN"/>
        </w:rPr>
        <w:t>1</w:t>
      </w:r>
      <w:r>
        <w:rPr>
          <w:rFonts w:hint="default"/>
          <w:color w:val="auto"/>
        </w:rPr>
        <w:t>级的节能产品，实际功率和负荷相适应，达到降低能耗，提高工作效率的作用。</w:t>
      </w:r>
    </w:p>
    <w:p w14:paraId="4A8546D3">
      <w:pPr>
        <w:pStyle w:val="54"/>
        <w:bidi w:val="0"/>
        <w:rPr>
          <w:color w:val="auto"/>
          <w:lang w:val="en-US" w:eastAsia="zh-CN"/>
        </w:rPr>
      </w:pPr>
      <w:r>
        <w:rPr>
          <w:color w:val="auto"/>
          <w:lang w:val="en-US" w:eastAsia="zh-CN"/>
        </w:rPr>
        <w:fldChar w:fldCharType="begin"/>
      </w:r>
      <w:r>
        <w:rPr>
          <w:color w:val="auto"/>
          <w:lang w:val="en-US" w:eastAsia="zh-CN"/>
        </w:rPr>
        <w:instrText xml:space="preserve"> HYPERLINK \l _Toc216 </w:instrText>
      </w:r>
      <w:r>
        <w:rPr>
          <w:color w:val="auto"/>
          <w:lang w:val="en-US" w:eastAsia="zh-CN"/>
        </w:rPr>
        <w:fldChar w:fldCharType="separate"/>
      </w:r>
      <w:r>
        <w:rPr>
          <w:rFonts w:hint="eastAsia"/>
          <w:color w:val="auto"/>
          <w:lang w:val="en-US" w:eastAsia="zh-CN"/>
        </w:rPr>
        <w:t>7.2.3 节能降耗技术</w:t>
      </w:r>
      <w:r>
        <w:rPr>
          <w:color w:val="auto"/>
          <w:lang w:val="en-US" w:eastAsia="zh-CN"/>
        </w:rPr>
        <w:fldChar w:fldCharType="end"/>
      </w:r>
    </w:p>
    <w:p w14:paraId="32241A4F">
      <w:pPr>
        <w:pStyle w:val="79"/>
        <w:bidi w:val="0"/>
        <w:rPr>
          <w:rFonts w:hint="default"/>
          <w:color w:val="auto"/>
        </w:rPr>
      </w:pPr>
      <w:r>
        <w:rPr>
          <w:rFonts w:hint="eastAsia"/>
          <w:color w:val="auto"/>
          <w:lang w:val="en-US" w:eastAsia="zh-CN"/>
        </w:rPr>
        <w:t>英买</w:t>
      </w:r>
      <w:r>
        <w:rPr>
          <w:rFonts w:hint="default"/>
          <w:color w:val="auto"/>
        </w:rPr>
        <w:t>采油气管理区建立有碳排放管理组织机构，对整个作业区能源及碳排放管理实行管理，并制定能源及碳排放管理制度，将碳排放管理工作作为重要事项纳入日常管理；能源及碳排放管理制度对各类能源的购入、贮存、使用、加工转换、输送分配以及最终使用等环节</w:t>
      </w:r>
      <w:r>
        <w:rPr>
          <w:rFonts w:hint="eastAsia"/>
          <w:color w:val="auto"/>
          <w:lang w:eastAsia="zh-CN"/>
        </w:rPr>
        <w:t>进行详细的</w:t>
      </w:r>
      <w:r>
        <w:rPr>
          <w:rFonts w:hint="default"/>
          <w:color w:val="auto"/>
        </w:rPr>
        <w:t>规定，尽可能从管理上做到对各类能源高效使用，同时对碳排放情况进行有效管理。</w:t>
      </w:r>
    </w:p>
    <w:p w14:paraId="446BCFD9">
      <w:pPr>
        <w:pStyle w:val="75"/>
        <w:bidi w:val="0"/>
        <w:rPr>
          <w:rFonts w:hint="eastAsia"/>
          <w:color w:val="auto"/>
          <w:lang w:val="en-US" w:eastAsia="zh-CN"/>
        </w:rPr>
      </w:pPr>
      <w:bookmarkStart w:id="764" w:name="_Toc2272"/>
      <w:r>
        <w:rPr>
          <w:rFonts w:hint="eastAsia"/>
          <w:color w:val="auto"/>
          <w:lang w:val="en-US" w:eastAsia="zh-CN"/>
        </w:rPr>
        <w:fldChar w:fldCharType="begin"/>
      </w:r>
      <w:r>
        <w:rPr>
          <w:rFonts w:hint="eastAsia"/>
          <w:color w:val="auto"/>
          <w:lang w:val="en-US" w:eastAsia="zh-CN"/>
        </w:rPr>
        <w:instrText xml:space="preserve"> HYPERLINK \l _Toc20890 </w:instrText>
      </w:r>
      <w:r>
        <w:rPr>
          <w:rFonts w:hint="eastAsia"/>
          <w:color w:val="auto"/>
          <w:lang w:val="en-US" w:eastAsia="zh-CN"/>
        </w:rPr>
        <w:fldChar w:fldCharType="separate"/>
      </w:r>
      <w:r>
        <w:rPr>
          <w:rFonts w:hint="eastAsia"/>
          <w:color w:val="auto"/>
          <w:lang w:val="en-US" w:eastAsia="zh-CN"/>
        </w:rPr>
        <w:t>7.3 温室气体排放评价结论</w:t>
      </w:r>
      <w:r>
        <w:rPr>
          <w:rFonts w:hint="eastAsia"/>
          <w:color w:val="auto"/>
          <w:lang w:val="en-US" w:eastAsia="zh-CN"/>
        </w:rPr>
        <w:fldChar w:fldCharType="end"/>
      </w:r>
      <w:bookmarkEnd w:id="764"/>
    </w:p>
    <w:p w14:paraId="52F72830">
      <w:pPr>
        <w:pStyle w:val="79"/>
        <w:bidi w:val="0"/>
        <w:rPr>
          <w:rFonts w:hint="default" w:ascii="Times New Roman" w:hAnsi="Times New Roman" w:eastAsia="宋体" w:cs="Times New Roman"/>
          <w:color w:val="auto"/>
          <w:szCs w:val="24"/>
          <w:highlight w:val="none"/>
          <w:lang w:val="en-US" w:eastAsia="zh-CN"/>
        </w:rPr>
      </w:pPr>
      <w:r>
        <w:rPr>
          <w:rFonts w:hint="default"/>
          <w:color w:val="auto"/>
        </w:rPr>
        <w:t>本项目实施后，温室气体总排放量为</w:t>
      </w:r>
      <w:r>
        <w:rPr>
          <w:rFonts w:hint="eastAsia"/>
          <w:color w:val="auto"/>
          <w:lang w:val="en-US" w:eastAsia="zh-CN"/>
        </w:rPr>
        <w:t>1321.29</w:t>
      </w:r>
      <w:r>
        <w:rPr>
          <w:rFonts w:hint="default"/>
          <w:color w:val="auto"/>
        </w:rPr>
        <w:t>吨。</w:t>
      </w:r>
      <w:r>
        <w:rPr>
          <w:rFonts w:hint="default"/>
          <w:color w:val="auto"/>
          <w:lang w:val="en-US" w:eastAsia="zh-CN"/>
        </w:rPr>
        <w:t>在工艺技术、节能设备和能源及碳排放管理等方面均采取了较完善的减污降碳措施，有利于减少二氧化碳排放。</w:t>
      </w:r>
    </w:p>
    <w:p w14:paraId="31B4A0FA">
      <w:pPr>
        <w:bidi w:val="0"/>
        <w:rPr>
          <w:rFonts w:hint="eastAsia"/>
          <w:color w:val="auto"/>
          <w:lang w:val="en-US" w:eastAsia="zh-CN"/>
        </w:rPr>
      </w:pPr>
    </w:p>
    <w:p w14:paraId="32CB8FF1">
      <w:pPr>
        <w:bidi w:val="0"/>
        <w:rPr>
          <w:rFonts w:hint="eastAsia"/>
          <w:color w:val="auto"/>
          <w:lang w:val="en-US" w:eastAsia="zh-CN"/>
        </w:rPr>
        <w:sectPr>
          <w:pgSz w:w="11906"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AndChars" w:linePitch="316" w:charSpace="0"/>
        </w:sectPr>
      </w:pPr>
    </w:p>
    <w:p w14:paraId="793EAE4F">
      <w:pPr>
        <w:pStyle w:val="49"/>
        <w:bidi w:val="0"/>
        <w:rPr>
          <w:rFonts w:hint="eastAsia"/>
          <w:color w:val="auto"/>
          <w:lang w:val="en-US" w:eastAsia="zh-CN"/>
        </w:rPr>
      </w:pPr>
      <w:bookmarkStart w:id="765" w:name="_Toc30313"/>
      <w:bookmarkStart w:id="766" w:name="_Toc8585"/>
      <w:r>
        <w:rPr>
          <w:rFonts w:hint="eastAsia"/>
          <w:color w:val="auto"/>
          <w:lang w:val="en-US" w:eastAsia="zh-CN"/>
        </w:rPr>
        <w:t xml:space="preserve">8 </w:t>
      </w:r>
      <w:r>
        <w:rPr>
          <w:rFonts w:hint="default"/>
          <w:color w:val="auto"/>
          <w:lang w:val="en-US" w:eastAsia="zh-CN"/>
        </w:rPr>
        <w:t>环境影响经济损益分析</w:t>
      </w:r>
      <w:bookmarkEnd w:id="765"/>
      <w:bookmarkEnd w:id="766"/>
    </w:p>
    <w:p w14:paraId="3A0CBC66">
      <w:pPr>
        <w:pStyle w:val="79"/>
        <w:bidi w:val="0"/>
        <w:rPr>
          <w:color w:val="auto"/>
        </w:rPr>
      </w:pPr>
      <w:r>
        <w:rPr>
          <w:color w:val="auto"/>
        </w:rPr>
        <w:t>一个项目的开发建设，除对国民经济的发展起着促进作用外，同时也在一定程度上影响着项目区环境的变化。社会影响、经济影响、环境影响是一个系统的三要素，最终以提高人类的生活质量为目的。它们之间既互相促进，又互相制约，必须通过全面规划、综合平衡、正确地把全局利益和局部利益、长远利益和近期利益结合起来，对环境保护和经济发展进行协调，实现社会效益、经济效益、环境效益的三统一。</w:t>
      </w:r>
    </w:p>
    <w:p w14:paraId="7019FF87">
      <w:pPr>
        <w:pStyle w:val="75"/>
        <w:bidi w:val="0"/>
        <w:rPr>
          <w:rFonts w:hint="default"/>
          <w:color w:val="auto"/>
          <w:lang w:val="en-US" w:eastAsia="zh-CN"/>
        </w:rPr>
      </w:pPr>
      <w:bookmarkStart w:id="767" w:name="_Toc21467"/>
      <w:bookmarkStart w:id="768" w:name="_Toc12166"/>
      <w:bookmarkStart w:id="769" w:name="_Toc25500"/>
      <w:bookmarkStart w:id="770" w:name="_Toc119915033"/>
      <w:bookmarkStart w:id="771" w:name="_Toc7698"/>
      <w:bookmarkStart w:id="772" w:name="_Toc12690"/>
      <w:bookmarkStart w:id="773" w:name="_Toc23694"/>
      <w:bookmarkStart w:id="774" w:name="_Toc119915032"/>
      <w:bookmarkStart w:id="775" w:name="_Toc31880"/>
      <w:bookmarkStart w:id="776" w:name="_Toc14008"/>
      <w:bookmarkStart w:id="777" w:name="_Toc11924"/>
      <w:bookmarkStart w:id="778" w:name="_Toc135"/>
      <w:bookmarkStart w:id="779" w:name="_Toc16317"/>
      <w:r>
        <w:rPr>
          <w:rFonts w:hint="eastAsia"/>
          <w:color w:val="auto"/>
          <w:lang w:val="en-US" w:eastAsia="zh-CN"/>
        </w:rPr>
        <w:t>8.1 环境效益</w:t>
      </w:r>
      <w:bookmarkEnd w:id="767"/>
      <w:bookmarkEnd w:id="768"/>
      <w:bookmarkEnd w:id="769"/>
      <w:bookmarkEnd w:id="770"/>
      <w:bookmarkEnd w:id="771"/>
      <w:bookmarkEnd w:id="772"/>
      <w:r>
        <w:rPr>
          <w:rFonts w:hint="eastAsia"/>
          <w:color w:val="auto"/>
          <w:lang w:val="en-US" w:eastAsia="zh-CN"/>
        </w:rPr>
        <w:t>分析</w:t>
      </w:r>
      <w:bookmarkEnd w:id="773"/>
    </w:p>
    <w:p w14:paraId="484945F6">
      <w:pPr>
        <w:pStyle w:val="79"/>
        <w:bidi w:val="0"/>
        <w:rPr>
          <w:color w:val="auto"/>
        </w:rPr>
      </w:pPr>
      <w:r>
        <w:rPr>
          <w:rFonts w:hint="eastAsia"/>
          <w:color w:val="auto"/>
          <w:lang w:eastAsia="zh-CN"/>
        </w:rPr>
        <w:t>本工程</w:t>
      </w:r>
      <w:r>
        <w:rPr>
          <w:color w:val="auto"/>
        </w:rPr>
        <w:t>在设计中充分考虑了环境保护的要求，严格执行各项环境保护标准。同时还针对在生产运行过程中产生的“三废”，从实际出发采取多种相应的治理措施。</w:t>
      </w:r>
    </w:p>
    <w:p w14:paraId="3CC38D5F">
      <w:pPr>
        <w:pStyle w:val="54"/>
        <w:bidi w:val="0"/>
        <w:rPr>
          <w:color w:val="auto"/>
          <w:lang w:val="en-US" w:eastAsia="zh-CN"/>
        </w:rPr>
      </w:pPr>
      <w:r>
        <w:rPr>
          <w:rFonts w:hint="eastAsia"/>
          <w:color w:val="auto"/>
          <w:lang w:val="en-US" w:eastAsia="zh-CN"/>
        </w:rPr>
        <w:t>8.1</w:t>
      </w:r>
      <w:r>
        <w:rPr>
          <w:color w:val="auto"/>
          <w:lang w:val="en-US" w:eastAsia="zh-CN"/>
        </w:rPr>
        <w:t>.1</w:t>
      </w:r>
      <w:r>
        <w:rPr>
          <w:rFonts w:hint="eastAsia"/>
          <w:color w:val="auto"/>
          <w:lang w:val="en-US" w:eastAsia="zh-CN"/>
        </w:rPr>
        <w:t xml:space="preserve"> 环保措施的环境效益</w:t>
      </w:r>
    </w:p>
    <w:p w14:paraId="17D47905">
      <w:pPr>
        <w:pStyle w:val="79"/>
        <w:bidi w:val="0"/>
        <w:rPr>
          <w:color w:val="auto"/>
        </w:rPr>
      </w:pPr>
      <w:r>
        <w:rPr>
          <w:rFonts w:hint="eastAsia"/>
          <w:color w:val="auto"/>
        </w:rPr>
        <w:t>（1）</w:t>
      </w:r>
      <w:r>
        <w:rPr>
          <w:color w:val="auto"/>
        </w:rPr>
        <w:t>废气</w:t>
      </w:r>
    </w:p>
    <w:p w14:paraId="0D12E281">
      <w:pPr>
        <w:pStyle w:val="79"/>
        <w:bidi w:val="0"/>
        <w:rPr>
          <w:color w:val="auto"/>
        </w:rPr>
      </w:pPr>
      <w:r>
        <w:rPr>
          <w:rFonts w:hint="eastAsia"/>
          <w:color w:val="auto"/>
        </w:rPr>
        <w:t>本项目为试采工程，天然气采用密闭流程，原油采用装车拉运，装车过程采用气相平衡，可减少烃类气体排放，减少对大气的污染。</w:t>
      </w:r>
    </w:p>
    <w:p w14:paraId="29AB88C3">
      <w:pPr>
        <w:pStyle w:val="79"/>
        <w:bidi w:val="0"/>
        <w:rPr>
          <w:color w:val="auto"/>
        </w:rPr>
      </w:pPr>
      <w:r>
        <w:rPr>
          <w:rFonts w:hint="eastAsia"/>
          <w:color w:val="auto"/>
        </w:rPr>
        <w:t>（2）</w:t>
      </w:r>
      <w:r>
        <w:rPr>
          <w:color w:val="auto"/>
        </w:rPr>
        <w:t>废水</w:t>
      </w:r>
    </w:p>
    <w:p w14:paraId="2D30F565">
      <w:pPr>
        <w:pStyle w:val="79"/>
        <w:bidi w:val="0"/>
        <w:rPr>
          <w:rFonts w:hint="default"/>
          <w:color w:val="auto"/>
        </w:rPr>
      </w:pPr>
      <w:r>
        <w:rPr>
          <w:rFonts w:hint="default"/>
          <w:color w:val="auto"/>
          <w:lang w:eastAsia="zh-CN"/>
        </w:rPr>
        <w:t>本工程</w:t>
      </w:r>
      <w:r>
        <w:rPr>
          <w:rFonts w:hint="default"/>
          <w:color w:val="auto"/>
        </w:rPr>
        <w:t>运营期废水包括井下作业废水</w:t>
      </w:r>
      <w:r>
        <w:rPr>
          <w:rFonts w:hint="default"/>
          <w:color w:val="auto"/>
          <w:lang w:val="en-US" w:eastAsia="zh-CN"/>
        </w:rPr>
        <w:t>、生活污水</w:t>
      </w:r>
      <w:r>
        <w:rPr>
          <w:rFonts w:hint="default"/>
          <w:color w:val="auto"/>
          <w:lang w:eastAsia="zh-CN"/>
        </w:rPr>
        <w:t>。</w:t>
      </w:r>
      <w:r>
        <w:rPr>
          <w:rFonts w:hint="default"/>
          <w:color w:val="auto"/>
        </w:rPr>
        <w:t>下作业废水自带回收罐回收作业废水，拉运至英买力油田钻试修废弃物环保处理站处理</w:t>
      </w:r>
      <w:r>
        <w:rPr>
          <w:rFonts w:hint="default"/>
          <w:color w:val="auto"/>
          <w:lang w:val="en-US" w:eastAsia="zh-CN"/>
        </w:rPr>
        <w:t>。生活污水暂存于生活污水池，定期由罐车拉运至英买力作业区生活污水处理装置处置。</w:t>
      </w:r>
    </w:p>
    <w:p w14:paraId="56BD5AEC">
      <w:pPr>
        <w:pStyle w:val="79"/>
        <w:bidi w:val="0"/>
        <w:rPr>
          <w:color w:val="auto"/>
        </w:rPr>
      </w:pPr>
      <w:r>
        <w:rPr>
          <w:rFonts w:hint="eastAsia"/>
          <w:color w:val="auto"/>
        </w:rPr>
        <w:t>（3）</w:t>
      </w:r>
      <w:r>
        <w:rPr>
          <w:color w:val="auto"/>
        </w:rPr>
        <w:t>固体废弃物</w:t>
      </w:r>
    </w:p>
    <w:p w14:paraId="0E007407">
      <w:pPr>
        <w:pStyle w:val="79"/>
        <w:bidi w:val="0"/>
        <w:rPr>
          <w:color w:val="auto"/>
        </w:rPr>
      </w:pPr>
      <w:r>
        <w:rPr>
          <w:rFonts w:hint="eastAsia"/>
          <w:color w:val="auto"/>
          <w:lang w:eastAsia="zh-CN"/>
        </w:rPr>
        <w:t>本工程</w:t>
      </w:r>
      <w:r>
        <w:rPr>
          <w:color w:val="auto"/>
        </w:rPr>
        <w:t>运营期固体废物主要为</w:t>
      </w:r>
      <w:r>
        <w:rPr>
          <w:rFonts w:hint="eastAsia"/>
          <w:color w:val="auto"/>
          <w:lang w:val="en-US" w:eastAsia="zh-CN"/>
        </w:rPr>
        <w:t>废脱硫剂、废分子筛、</w:t>
      </w:r>
      <w:r>
        <w:rPr>
          <w:rFonts w:hint="eastAsia"/>
          <w:color w:val="auto"/>
        </w:rPr>
        <w:t>清管废渣、油泥砂、落地油、废防渗膜、废润滑油、井下作业固废及生活垃圾</w:t>
      </w:r>
      <w:r>
        <w:rPr>
          <w:rFonts w:hint="eastAsia"/>
          <w:color w:val="auto"/>
          <w:lang w:eastAsia="zh-CN"/>
        </w:rPr>
        <w:t>。</w:t>
      </w:r>
      <w:r>
        <w:rPr>
          <w:rFonts w:hint="eastAsia"/>
          <w:color w:val="auto"/>
          <w:lang w:val="en-US" w:eastAsia="zh-CN"/>
        </w:rPr>
        <w:t>清</w:t>
      </w:r>
      <w:r>
        <w:rPr>
          <w:rFonts w:hint="eastAsia"/>
          <w:color w:val="auto"/>
          <w:lang w:eastAsia="zh-CN"/>
        </w:rPr>
        <w:t>管废渣、油泥砂、落地油、废防渗膜、废润滑油</w:t>
      </w:r>
      <w:r>
        <w:rPr>
          <w:rFonts w:hint="eastAsia"/>
          <w:color w:val="auto"/>
          <w:lang w:val="en-US" w:eastAsia="zh-CN"/>
        </w:rPr>
        <w:t>属于危险废物，</w:t>
      </w:r>
      <w:r>
        <w:rPr>
          <w:rFonts w:hint="eastAsia"/>
          <w:color w:val="auto"/>
          <w:lang w:eastAsia="zh-CN"/>
        </w:rPr>
        <w:t>委托有危险废物运输及处理资质的单位处置。本项目井下作业时带罐作业，落地油100%回收，回收后的落地原油委托有危废处置资质单位进行处置。井下作业固废采用专用回收罐进行回收，拉运至英买力油田钻试修废弃物环保处理站进行处理。</w:t>
      </w:r>
    </w:p>
    <w:p w14:paraId="39339AA8">
      <w:pPr>
        <w:pStyle w:val="79"/>
        <w:bidi w:val="0"/>
        <w:rPr>
          <w:color w:val="auto"/>
        </w:rPr>
      </w:pPr>
      <w:r>
        <w:rPr>
          <w:rFonts w:hint="eastAsia"/>
          <w:color w:val="auto"/>
        </w:rPr>
        <w:t>（4）</w:t>
      </w:r>
      <w:r>
        <w:rPr>
          <w:color w:val="auto"/>
        </w:rPr>
        <w:t>噪声</w:t>
      </w:r>
    </w:p>
    <w:p w14:paraId="5A221318">
      <w:pPr>
        <w:pStyle w:val="79"/>
        <w:bidi w:val="0"/>
        <w:rPr>
          <w:color w:val="auto"/>
        </w:rPr>
      </w:pPr>
      <w:r>
        <w:rPr>
          <w:color w:val="auto"/>
        </w:rPr>
        <w:t>通过采取选用低噪声设备、隔音、减振等措施，减低了噪声污染。</w:t>
      </w:r>
    </w:p>
    <w:p w14:paraId="7AB7194C">
      <w:pPr>
        <w:pStyle w:val="79"/>
        <w:bidi w:val="0"/>
        <w:rPr>
          <w:color w:val="auto"/>
        </w:rPr>
      </w:pPr>
      <w:r>
        <w:rPr>
          <w:rFonts w:hint="eastAsia"/>
          <w:color w:val="auto"/>
        </w:rPr>
        <w:t>（5）</w:t>
      </w:r>
      <w:r>
        <w:rPr>
          <w:color w:val="auto"/>
        </w:rPr>
        <w:t>生态保护措施</w:t>
      </w:r>
    </w:p>
    <w:p w14:paraId="48CBE7AE">
      <w:pPr>
        <w:pStyle w:val="79"/>
        <w:bidi w:val="0"/>
        <w:rPr>
          <w:color w:val="auto"/>
        </w:rPr>
      </w:pPr>
      <w:r>
        <w:rPr>
          <w:color w:val="auto"/>
        </w:rPr>
        <w:t>在施工期间，采取严格控制地表扰动范围，严格控制乙方单位在施工作业中的占地。</w:t>
      </w:r>
    </w:p>
    <w:p w14:paraId="1E579BF3">
      <w:pPr>
        <w:pStyle w:val="79"/>
        <w:bidi w:val="0"/>
        <w:rPr>
          <w:color w:val="auto"/>
        </w:rPr>
      </w:pPr>
      <w:r>
        <w:rPr>
          <w:rFonts w:hint="eastAsia"/>
          <w:color w:val="auto"/>
          <w:lang w:eastAsia="zh-CN"/>
        </w:rPr>
        <w:t>本工程</w:t>
      </w:r>
      <w:r>
        <w:rPr>
          <w:color w:val="auto"/>
        </w:rPr>
        <w:t>各项环保措施通过充分有效</w:t>
      </w:r>
      <w:r>
        <w:rPr>
          <w:rFonts w:hint="eastAsia"/>
          <w:color w:val="auto"/>
          <w:lang w:eastAsia="zh-CN"/>
        </w:rPr>
        <w:t>地</w:t>
      </w:r>
      <w:r>
        <w:rPr>
          <w:color w:val="auto"/>
        </w:rPr>
        <w:t>实施，可以使污染物的排放在生产过程中得到有效</w:t>
      </w:r>
      <w:r>
        <w:rPr>
          <w:rFonts w:hint="eastAsia"/>
          <w:color w:val="auto"/>
          <w:lang w:eastAsia="zh-CN"/>
        </w:rPr>
        <w:t>地</w:t>
      </w:r>
      <w:r>
        <w:rPr>
          <w:color w:val="auto"/>
        </w:rPr>
        <w:t>控制。拟建工程选用先进、成熟、可靠、具有节能和环保效果的技术，使各种污染物在排放前得以尽可能大</w:t>
      </w:r>
      <w:r>
        <w:rPr>
          <w:rFonts w:hint="eastAsia"/>
          <w:color w:val="auto"/>
          <w:lang w:eastAsia="zh-CN"/>
        </w:rPr>
        <w:t>地</w:t>
      </w:r>
      <w:r>
        <w:rPr>
          <w:color w:val="auto"/>
        </w:rPr>
        <w:t>削减。在生产过程中充分、有效地利用了资源，减少各种资源的损失，大大减低其对周围环境的影响。</w:t>
      </w:r>
    </w:p>
    <w:p w14:paraId="0078049C">
      <w:pPr>
        <w:pStyle w:val="54"/>
        <w:bidi w:val="0"/>
        <w:rPr>
          <w:rFonts w:hint="eastAsia"/>
          <w:color w:val="auto"/>
          <w:lang w:val="en-US" w:eastAsia="zh-CN"/>
        </w:rPr>
      </w:pPr>
      <w:r>
        <w:rPr>
          <w:rFonts w:hint="eastAsia"/>
          <w:color w:val="auto"/>
          <w:lang w:val="en-US" w:eastAsia="zh-CN"/>
        </w:rPr>
        <w:t>8.1.2 环境损失分析</w:t>
      </w:r>
    </w:p>
    <w:p w14:paraId="573987C2">
      <w:pPr>
        <w:pStyle w:val="79"/>
        <w:bidi w:val="0"/>
        <w:rPr>
          <w:color w:val="auto"/>
        </w:rPr>
      </w:pPr>
      <w:r>
        <w:rPr>
          <w:color w:val="auto"/>
        </w:rPr>
        <w:t>油气开发建设对环境造成的损失主要表现在：</w:t>
      </w:r>
    </w:p>
    <w:p w14:paraId="35DBD9F7">
      <w:pPr>
        <w:pStyle w:val="79"/>
        <w:bidi w:val="0"/>
        <w:rPr>
          <w:color w:val="auto"/>
        </w:rPr>
      </w:pPr>
      <w:r>
        <w:rPr>
          <w:color w:val="auto"/>
        </w:rPr>
        <w:t>（1）工程占地造成的环境损失；</w:t>
      </w:r>
    </w:p>
    <w:p w14:paraId="4A34810F">
      <w:pPr>
        <w:pStyle w:val="79"/>
        <w:bidi w:val="0"/>
        <w:rPr>
          <w:color w:val="auto"/>
        </w:rPr>
      </w:pPr>
      <w:r>
        <w:rPr>
          <w:color w:val="auto"/>
        </w:rPr>
        <w:t>（2）突发事故状态污染物对土壤、植被的污染造成的环境损失；</w:t>
      </w:r>
    </w:p>
    <w:p w14:paraId="174AC3A2">
      <w:pPr>
        <w:pStyle w:val="79"/>
        <w:bidi w:val="0"/>
        <w:rPr>
          <w:color w:val="auto"/>
        </w:rPr>
      </w:pPr>
      <w:r>
        <w:rPr>
          <w:color w:val="auto"/>
        </w:rPr>
        <w:t>（3）其他环境损失。</w:t>
      </w:r>
    </w:p>
    <w:p w14:paraId="746C3FDC">
      <w:pPr>
        <w:pStyle w:val="79"/>
        <w:bidi w:val="0"/>
        <w:rPr>
          <w:color w:val="auto"/>
        </w:rPr>
      </w:pPr>
      <w:r>
        <w:rPr>
          <w:color w:val="auto"/>
        </w:rPr>
        <w:t>本工程永久占地主要为</w:t>
      </w:r>
      <w:r>
        <w:rPr>
          <w:rFonts w:hint="eastAsia"/>
          <w:color w:val="auto"/>
          <w:lang w:val="en-US" w:eastAsia="zh-CN"/>
        </w:rPr>
        <w:t>场站</w:t>
      </w:r>
      <w:r>
        <w:rPr>
          <w:color w:val="auto"/>
        </w:rPr>
        <w:t xml:space="preserve">建设占地。项目永久占地的损失量分为经济损失和生态效益损失两部分，经济损失即为项目土地征购费及复垦费。生态效益损失难以确定，工程施工与占地对植被、土壤、生态环境都会造成不利影响。 </w:t>
      </w:r>
    </w:p>
    <w:p w14:paraId="70DE482F">
      <w:pPr>
        <w:pStyle w:val="79"/>
        <w:bidi w:val="0"/>
        <w:rPr>
          <w:color w:val="auto"/>
        </w:rPr>
      </w:pPr>
      <w:r>
        <w:rPr>
          <w:color w:val="auto"/>
        </w:rPr>
        <w:t>本工程对区域的主要影响是生态影响，包括植被破坏后由于地表裸露导致水土流失和土壤环境质量下降。但在加强施工管理和采取生态恢复等措施后，施工影响是可以接受的。</w:t>
      </w:r>
    </w:p>
    <w:p w14:paraId="4E9F850F">
      <w:pPr>
        <w:pStyle w:val="79"/>
        <w:bidi w:val="0"/>
        <w:rPr>
          <w:color w:val="auto"/>
        </w:rPr>
      </w:pPr>
      <w:r>
        <w:rPr>
          <w:color w:val="auto"/>
        </w:rPr>
        <w:t>本工程建设期短，不涉及当地居民搬迁，无弃土工程，而且建设期的各种污染物排放均属于短期污染，会随着施工的结束而消失。因此，在正常情况下，基本上不会对周围环境产生影响，但在事故状态下，将对人类生存环境产生影响。如由于自然因素及人为因素的影响，引起管道泄漏事故，将对周围环境造成较为严重的影响。由于事故程度不同，对环境造成的损失也不同，损失量的估算只能在事故发生后通过各项补偿费用来体现。</w:t>
      </w:r>
    </w:p>
    <w:p w14:paraId="791D5FFF">
      <w:pPr>
        <w:pStyle w:val="54"/>
        <w:bidi w:val="0"/>
        <w:rPr>
          <w:rFonts w:hint="eastAsia"/>
          <w:color w:val="auto"/>
          <w:lang w:val="en-US" w:eastAsia="zh-CN"/>
        </w:rPr>
      </w:pPr>
      <w:r>
        <w:rPr>
          <w:rFonts w:hint="eastAsia"/>
          <w:color w:val="auto"/>
          <w:lang w:val="en-US" w:eastAsia="zh-CN"/>
        </w:rPr>
        <w:t>8.1.3 环保措施的经济效益</w:t>
      </w:r>
    </w:p>
    <w:p w14:paraId="550E9B8D">
      <w:pPr>
        <w:pStyle w:val="79"/>
        <w:bidi w:val="0"/>
        <w:rPr>
          <w:rFonts w:hint="eastAsia"/>
          <w:color w:val="auto"/>
        </w:rPr>
      </w:pPr>
      <w:r>
        <w:rPr>
          <w:rFonts w:hint="eastAsia"/>
          <w:color w:val="auto"/>
          <w:lang w:eastAsia="zh-CN"/>
        </w:rPr>
        <w:t>本工程</w:t>
      </w:r>
      <w:r>
        <w:rPr>
          <w:rFonts w:hint="eastAsia"/>
          <w:color w:val="auto"/>
        </w:rPr>
        <w:t>通过采用多种环保措施，具有重要的环境效益，但整体对经济效益影响较小。</w:t>
      </w:r>
    </w:p>
    <w:p w14:paraId="21D6EC59">
      <w:pPr>
        <w:pStyle w:val="54"/>
        <w:bidi w:val="0"/>
        <w:rPr>
          <w:rFonts w:hint="default"/>
          <w:color w:val="auto"/>
          <w:lang w:val="en-US" w:eastAsia="zh-CN"/>
        </w:rPr>
      </w:pPr>
      <w:r>
        <w:rPr>
          <w:rFonts w:hint="eastAsia"/>
          <w:color w:val="auto"/>
          <w:lang w:val="en-US" w:eastAsia="zh-CN"/>
        </w:rPr>
        <w:t>8</w:t>
      </w:r>
      <w:r>
        <w:rPr>
          <w:rFonts w:hint="default"/>
          <w:color w:val="auto"/>
          <w:lang w:val="en-US" w:eastAsia="zh-CN"/>
        </w:rPr>
        <w:t>.1</w:t>
      </w:r>
      <w:r>
        <w:rPr>
          <w:rFonts w:hint="eastAsia"/>
          <w:color w:val="auto"/>
          <w:lang w:val="en-US" w:eastAsia="zh-CN"/>
        </w:rPr>
        <w:t xml:space="preserve">.4 </w:t>
      </w:r>
      <w:bookmarkEnd w:id="774"/>
      <w:bookmarkEnd w:id="775"/>
      <w:bookmarkEnd w:id="776"/>
      <w:bookmarkEnd w:id="777"/>
      <w:bookmarkEnd w:id="778"/>
      <w:bookmarkEnd w:id="779"/>
      <w:r>
        <w:rPr>
          <w:rFonts w:hint="default"/>
          <w:color w:val="auto"/>
          <w:lang w:val="en-US" w:eastAsia="zh-CN"/>
        </w:rPr>
        <w:t>环保投资估算</w:t>
      </w:r>
    </w:p>
    <w:p w14:paraId="7B6CAD6C">
      <w:pPr>
        <w:pStyle w:val="79"/>
        <w:bidi w:val="0"/>
        <w:rPr>
          <w:color w:val="auto"/>
        </w:rPr>
      </w:pPr>
      <w:bookmarkStart w:id="780" w:name="OLE_LINK387"/>
      <w:r>
        <w:rPr>
          <w:color w:val="auto"/>
        </w:rPr>
        <w:t>工程占地主要是由</w:t>
      </w:r>
      <w:r>
        <w:rPr>
          <w:rFonts w:hint="eastAsia"/>
          <w:color w:val="auto"/>
          <w:lang w:val="en-US" w:eastAsia="zh-CN"/>
        </w:rPr>
        <w:t>场站、</w:t>
      </w:r>
      <w:r>
        <w:rPr>
          <w:color w:val="auto"/>
        </w:rPr>
        <w:t>集输</w:t>
      </w:r>
      <w:r>
        <w:rPr>
          <w:rFonts w:hint="eastAsia"/>
          <w:color w:val="auto"/>
          <w:lang w:val="en-US" w:eastAsia="zh-CN"/>
        </w:rPr>
        <w:t>管线</w:t>
      </w:r>
      <w:r>
        <w:rPr>
          <w:color w:val="auto"/>
        </w:rPr>
        <w:t>等地面工程构成，占地类型</w:t>
      </w:r>
      <w:r>
        <w:rPr>
          <w:rFonts w:hint="eastAsia"/>
          <w:color w:val="auto"/>
          <w:lang w:val="en-US" w:eastAsia="zh-CN"/>
        </w:rPr>
        <w:t>主要</w:t>
      </w:r>
      <w:r>
        <w:rPr>
          <w:color w:val="auto"/>
        </w:rPr>
        <w:t>为</w:t>
      </w:r>
      <w:r>
        <w:rPr>
          <w:rFonts w:hint="eastAsia"/>
          <w:color w:val="auto"/>
          <w:lang w:val="en-US" w:eastAsia="zh-CN"/>
        </w:rPr>
        <w:t>天然牧草地</w:t>
      </w:r>
      <w:r>
        <w:rPr>
          <w:color w:val="auto"/>
        </w:rPr>
        <w:t>。在项目开发过程中，需要投入必要的资金用于污染防治和恢复地貌等，防沙治沙和水土保持措施纳入水土保持方案投资中。经估算</w:t>
      </w:r>
      <w:r>
        <w:rPr>
          <w:rFonts w:hint="eastAsia"/>
          <w:color w:val="auto"/>
          <w:lang w:eastAsia="zh-CN"/>
        </w:rPr>
        <w:t>本工程</w:t>
      </w:r>
      <w:r>
        <w:rPr>
          <w:color w:val="auto"/>
        </w:rPr>
        <w:t>环保投资</w:t>
      </w:r>
      <w:r>
        <w:rPr>
          <w:rFonts w:hint="eastAsia"/>
          <w:color w:val="auto"/>
          <w:lang w:val="en-US" w:eastAsia="zh-CN"/>
        </w:rPr>
        <w:t>61万元</w:t>
      </w:r>
      <w:r>
        <w:rPr>
          <w:color w:val="auto"/>
        </w:rPr>
        <w:t>，占总投资的</w:t>
      </w:r>
      <w:r>
        <w:rPr>
          <w:rFonts w:hint="eastAsia"/>
          <w:color w:val="auto"/>
          <w:lang w:val="en-US" w:eastAsia="zh-CN"/>
        </w:rPr>
        <w:t>1.27%</w:t>
      </w:r>
      <w:r>
        <w:rPr>
          <w:color w:val="auto"/>
        </w:rPr>
        <w:t>。</w:t>
      </w:r>
      <w:r>
        <w:rPr>
          <w:rFonts w:hint="eastAsia"/>
          <w:color w:val="auto"/>
        </w:rPr>
        <w:t>主要环保投资估算</w:t>
      </w:r>
      <w:r>
        <w:rPr>
          <w:rFonts w:hint="eastAsia"/>
          <w:color w:val="auto"/>
          <w:lang w:eastAsia="zh-CN"/>
        </w:rPr>
        <w:t>，</w:t>
      </w:r>
      <w:r>
        <w:rPr>
          <w:color w:val="auto"/>
        </w:rPr>
        <w:t>见表</w:t>
      </w:r>
      <w:r>
        <w:rPr>
          <w:rFonts w:hint="eastAsia"/>
          <w:color w:val="auto"/>
          <w:lang w:val="en-US" w:eastAsia="zh-CN"/>
        </w:rPr>
        <w:t>8.1-1</w:t>
      </w:r>
      <w:r>
        <w:rPr>
          <w:color w:val="auto"/>
        </w:rPr>
        <w:t>。</w:t>
      </w:r>
    </w:p>
    <w:p w14:paraId="696F1CE8">
      <w:pPr>
        <w:pStyle w:val="61"/>
        <w:bidi w:val="0"/>
        <w:jc w:val="both"/>
        <w:rPr>
          <w:rFonts w:hint="eastAsia"/>
          <w:color w:val="auto"/>
          <w:lang w:val="en-US" w:eastAsia="zh-CN"/>
        </w:rPr>
      </w:pPr>
      <w:r>
        <w:rPr>
          <w:rFonts w:hint="eastAsia"/>
          <w:color w:val="auto"/>
          <w:lang w:val="en-US" w:eastAsia="zh-CN"/>
        </w:rPr>
        <w:t>表8.1-1  主要环保投资估算</w:t>
      </w:r>
    </w:p>
    <w:tbl>
      <w:tblPr>
        <w:tblStyle w:val="36"/>
        <w:tblW w:w="493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586"/>
        <w:gridCol w:w="1532"/>
        <w:gridCol w:w="3450"/>
        <w:gridCol w:w="2190"/>
        <w:gridCol w:w="800"/>
      </w:tblGrid>
      <w:tr w14:paraId="52305C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tblHeader/>
          <w:jc w:val="center"/>
        </w:trPr>
        <w:tc>
          <w:tcPr>
            <w:tcW w:w="343" w:type="pct"/>
            <w:tcBorders>
              <w:tl2br w:val="nil"/>
              <w:tr2bl w:val="nil"/>
            </w:tcBorders>
            <w:noWrap w:val="0"/>
            <w:vAlign w:val="center"/>
          </w:tcPr>
          <w:p w14:paraId="69A044F4">
            <w:pPr>
              <w:spacing w:line="0" w:lineRule="atLeast"/>
              <w:jc w:val="center"/>
              <w:rPr>
                <w:b/>
                <w:bCs/>
                <w:color w:val="auto"/>
                <w:sz w:val="21"/>
                <w:szCs w:val="21"/>
              </w:rPr>
            </w:pPr>
            <w:r>
              <w:rPr>
                <w:b/>
                <w:bCs/>
                <w:color w:val="auto"/>
                <w:sz w:val="21"/>
                <w:szCs w:val="21"/>
              </w:rPr>
              <w:t>类别</w:t>
            </w:r>
          </w:p>
        </w:tc>
        <w:tc>
          <w:tcPr>
            <w:tcW w:w="895" w:type="pct"/>
            <w:tcBorders>
              <w:tl2br w:val="nil"/>
              <w:tr2bl w:val="nil"/>
            </w:tcBorders>
            <w:noWrap w:val="0"/>
            <w:vAlign w:val="center"/>
          </w:tcPr>
          <w:p w14:paraId="2E46D1CE">
            <w:pPr>
              <w:spacing w:line="0" w:lineRule="atLeast"/>
              <w:jc w:val="center"/>
              <w:rPr>
                <w:b/>
                <w:bCs/>
                <w:color w:val="auto"/>
                <w:sz w:val="21"/>
                <w:szCs w:val="21"/>
              </w:rPr>
            </w:pPr>
            <w:r>
              <w:rPr>
                <w:b/>
                <w:bCs/>
                <w:color w:val="auto"/>
                <w:sz w:val="21"/>
                <w:szCs w:val="21"/>
              </w:rPr>
              <w:t>污染源</w:t>
            </w:r>
          </w:p>
        </w:tc>
        <w:tc>
          <w:tcPr>
            <w:tcW w:w="2015" w:type="pct"/>
            <w:tcBorders>
              <w:tl2br w:val="nil"/>
              <w:tr2bl w:val="nil"/>
            </w:tcBorders>
            <w:noWrap w:val="0"/>
            <w:vAlign w:val="center"/>
          </w:tcPr>
          <w:p w14:paraId="687C747A">
            <w:pPr>
              <w:spacing w:line="0" w:lineRule="atLeast"/>
              <w:jc w:val="center"/>
              <w:rPr>
                <w:b/>
                <w:bCs/>
                <w:color w:val="auto"/>
                <w:sz w:val="21"/>
                <w:szCs w:val="21"/>
              </w:rPr>
            </w:pPr>
            <w:r>
              <w:rPr>
                <w:b/>
                <w:bCs/>
                <w:color w:val="auto"/>
                <w:sz w:val="21"/>
                <w:szCs w:val="21"/>
              </w:rPr>
              <w:t>环保措施</w:t>
            </w:r>
          </w:p>
        </w:tc>
        <w:tc>
          <w:tcPr>
            <w:tcW w:w="1278" w:type="pct"/>
            <w:tcBorders>
              <w:tl2br w:val="nil"/>
              <w:tr2bl w:val="nil"/>
            </w:tcBorders>
            <w:noWrap w:val="0"/>
            <w:vAlign w:val="center"/>
          </w:tcPr>
          <w:p w14:paraId="686C333C">
            <w:pPr>
              <w:spacing w:line="0" w:lineRule="atLeast"/>
              <w:jc w:val="center"/>
              <w:rPr>
                <w:b/>
                <w:bCs/>
                <w:color w:val="auto"/>
                <w:sz w:val="21"/>
                <w:szCs w:val="21"/>
              </w:rPr>
            </w:pPr>
            <w:r>
              <w:rPr>
                <w:b/>
                <w:bCs/>
                <w:color w:val="auto"/>
                <w:sz w:val="21"/>
                <w:szCs w:val="21"/>
              </w:rPr>
              <w:t>治理效果</w:t>
            </w:r>
          </w:p>
        </w:tc>
        <w:tc>
          <w:tcPr>
            <w:tcW w:w="467" w:type="pct"/>
            <w:tcBorders>
              <w:tl2br w:val="nil"/>
              <w:tr2bl w:val="nil"/>
            </w:tcBorders>
            <w:noWrap w:val="0"/>
            <w:vAlign w:val="center"/>
          </w:tcPr>
          <w:p w14:paraId="3364FBF7">
            <w:pPr>
              <w:spacing w:line="0" w:lineRule="atLeast"/>
              <w:jc w:val="center"/>
              <w:rPr>
                <w:b/>
                <w:bCs/>
                <w:color w:val="auto"/>
                <w:sz w:val="21"/>
                <w:szCs w:val="21"/>
              </w:rPr>
            </w:pPr>
            <w:r>
              <w:rPr>
                <w:b/>
                <w:bCs/>
                <w:color w:val="auto"/>
                <w:sz w:val="21"/>
                <w:szCs w:val="21"/>
              </w:rPr>
              <w:t>投资</w:t>
            </w:r>
          </w:p>
          <w:p w14:paraId="2C0BEB7E">
            <w:pPr>
              <w:spacing w:line="0" w:lineRule="atLeast"/>
              <w:jc w:val="center"/>
              <w:rPr>
                <w:b/>
                <w:bCs/>
                <w:color w:val="auto"/>
                <w:sz w:val="21"/>
                <w:szCs w:val="21"/>
              </w:rPr>
            </w:pPr>
            <w:r>
              <w:rPr>
                <w:rFonts w:hint="eastAsia"/>
                <w:b/>
                <w:bCs/>
                <w:color w:val="auto"/>
                <w:sz w:val="21"/>
                <w:szCs w:val="21"/>
                <w:lang w:eastAsia="zh-CN"/>
              </w:rPr>
              <w:t>（</w:t>
            </w:r>
            <w:r>
              <w:rPr>
                <w:b/>
                <w:bCs/>
                <w:color w:val="auto"/>
                <w:sz w:val="21"/>
                <w:szCs w:val="21"/>
              </w:rPr>
              <w:t>万元</w:t>
            </w:r>
            <w:r>
              <w:rPr>
                <w:rFonts w:hint="eastAsia"/>
                <w:b/>
                <w:bCs/>
                <w:color w:val="auto"/>
                <w:sz w:val="21"/>
                <w:szCs w:val="21"/>
                <w:lang w:eastAsia="zh-CN"/>
              </w:rPr>
              <w:t>）</w:t>
            </w:r>
          </w:p>
        </w:tc>
      </w:tr>
      <w:tr w14:paraId="1B05FA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343" w:type="pct"/>
            <w:vMerge w:val="restart"/>
            <w:tcBorders>
              <w:tl2br w:val="nil"/>
              <w:tr2bl w:val="nil"/>
            </w:tcBorders>
            <w:noWrap w:val="0"/>
            <w:vAlign w:val="center"/>
          </w:tcPr>
          <w:p w14:paraId="0A0586DD">
            <w:pPr>
              <w:spacing w:line="0" w:lineRule="atLeast"/>
              <w:jc w:val="center"/>
              <w:rPr>
                <w:rFonts w:hint="default" w:ascii="Times New Roman" w:hAnsi="Times New Roman" w:eastAsia="宋体" w:cs="Times New Roman"/>
                <w:color w:val="auto"/>
                <w:sz w:val="21"/>
                <w:szCs w:val="21"/>
              </w:rPr>
            </w:pPr>
            <w:bookmarkStart w:id="781" w:name="OLE_LINK141" w:colFirst="1" w:colLast="3"/>
            <w:r>
              <w:rPr>
                <w:rFonts w:hint="default" w:ascii="Times New Roman" w:hAnsi="Times New Roman" w:eastAsia="宋体" w:cs="Times New Roman"/>
                <w:color w:val="auto"/>
                <w:sz w:val="21"/>
                <w:szCs w:val="21"/>
              </w:rPr>
              <w:t>废气</w:t>
            </w:r>
          </w:p>
        </w:tc>
        <w:tc>
          <w:tcPr>
            <w:tcW w:w="895" w:type="pct"/>
            <w:tcBorders>
              <w:tl2br w:val="nil"/>
              <w:tr2bl w:val="nil"/>
            </w:tcBorders>
            <w:noWrap w:val="0"/>
            <w:vAlign w:val="center"/>
          </w:tcPr>
          <w:p w14:paraId="5257F38E">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施工扬尘</w:t>
            </w:r>
          </w:p>
        </w:tc>
        <w:tc>
          <w:tcPr>
            <w:tcW w:w="2015" w:type="pct"/>
            <w:tcBorders>
              <w:tl2br w:val="nil"/>
              <w:tr2bl w:val="nil"/>
            </w:tcBorders>
            <w:noWrap w:val="0"/>
            <w:vAlign w:val="center"/>
          </w:tcPr>
          <w:p w14:paraId="18395F68">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临时抑尘覆盖物</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草包、帆布等</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w:t>
            </w:r>
          </w:p>
          <w:p w14:paraId="7DF84D46">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洒水（防尘、洒水等）</w:t>
            </w:r>
          </w:p>
        </w:tc>
        <w:tc>
          <w:tcPr>
            <w:tcW w:w="1278" w:type="pct"/>
            <w:tcBorders>
              <w:tl2br w:val="nil"/>
              <w:tr2bl w:val="nil"/>
            </w:tcBorders>
            <w:noWrap w:val="0"/>
            <w:vAlign w:val="center"/>
          </w:tcPr>
          <w:p w14:paraId="729FB9D4">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67" w:type="pct"/>
            <w:tcBorders>
              <w:tl2br w:val="nil"/>
              <w:tr2bl w:val="nil"/>
            </w:tcBorders>
            <w:noWrap w:val="0"/>
            <w:vAlign w:val="center"/>
          </w:tcPr>
          <w:p w14:paraId="30D9DD98">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r>
      <w:bookmarkEnd w:id="781"/>
      <w:tr w14:paraId="5758EA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343" w:type="pct"/>
            <w:vMerge w:val="continue"/>
            <w:tcBorders>
              <w:tl2br w:val="nil"/>
              <w:tr2bl w:val="nil"/>
            </w:tcBorders>
            <w:noWrap w:val="0"/>
            <w:vAlign w:val="center"/>
          </w:tcPr>
          <w:p w14:paraId="4CFCFC74">
            <w:pPr>
              <w:spacing w:line="0" w:lineRule="atLeast"/>
              <w:jc w:val="center"/>
              <w:rPr>
                <w:rFonts w:hint="default" w:ascii="Times New Roman" w:hAnsi="Times New Roman" w:eastAsia="宋体" w:cs="Times New Roman"/>
                <w:color w:val="auto"/>
                <w:sz w:val="21"/>
                <w:szCs w:val="21"/>
              </w:rPr>
            </w:pPr>
            <w:bookmarkStart w:id="782" w:name="OLE_LINK142" w:colFirst="2" w:colLast="3"/>
            <w:bookmarkStart w:id="783" w:name="OLE_LINK143" w:colFirst="1" w:colLast="4"/>
            <w:bookmarkStart w:id="784" w:name="OLE_LINK140" w:colFirst="1" w:colLast="3"/>
          </w:p>
        </w:tc>
        <w:tc>
          <w:tcPr>
            <w:tcW w:w="895" w:type="pct"/>
            <w:tcBorders>
              <w:tl2br w:val="nil"/>
              <w:tr2bl w:val="nil"/>
            </w:tcBorders>
            <w:noWrap w:val="0"/>
            <w:vAlign w:val="center"/>
          </w:tcPr>
          <w:p w14:paraId="2830724D">
            <w:pPr>
              <w:spacing w:line="0" w:lineRule="atLeas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井场加热炉燃烧废气</w:t>
            </w:r>
          </w:p>
        </w:tc>
        <w:tc>
          <w:tcPr>
            <w:tcW w:w="2015" w:type="pct"/>
            <w:tcBorders>
              <w:tl2br w:val="nil"/>
              <w:tr2bl w:val="nil"/>
            </w:tcBorders>
            <w:noWrap w:val="0"/>
            <w:vAlign w:val="center"/>
          </w:tcPr>
          <w:p w14:paraId="6D37FC37">
            <w:pPr>
              <w:spacing w:line="0" w:lineRule="atLeast"/>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以净化后的天然气为燃料+</w:t>
            </w:r>
            <w:r>
              <w:rPr>
                <w:rFonts w:hint="eastAsia" w:ascii="Times New Roman" w:hAnsi="Times New Roman" w:eastAsia="宋体" w:cs="Times New Roman"/>
                <w:color w:val="auto"/>
                <w:sz w:val="21"/>
                <w:szCs w:val="21"/>
                <w:lang w:val="en-US" w:eastAsia="zh-CN"/>
              </w:rPr>
              <w:t>8</w:t>
            </w:r>
            <w:r>
              <w:rPr>
                <w:rFonts w:ascii="Times New Roman" w:hAnsi="Times New Roman" w:eastAsia="宋体" w:cs="Times New Roman"/>
                <w:color w:val="auto"/>
                <w:sz w:val="21"/>
                <w:szCs w:val="21"/>
              </w:rPr>
              <w:t>m高烟囱</w:t>
            </w:r>
          </w:p>
        </w:tc>
        <w:tc>
          <w:tcPr>
            <w:tcW w:w="1278" w:type="pct"/>
            <w:tcBorders>
              <w:tl2br w:val="nil"/>
              <w:tr2bl w:val="nil"/>
            </w:tcBorders>
            <w:noWrap w:val="0"/>
            <w:vAlign w:val="center"/>
          </w:tcPr>
          <w:p w14:paraId="4510C8E8">
            <w:pPr>
              <w:spacing w:line="0" w:lineRule="atLeast"/>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SO</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≤50mg/m</w:t>
            </w:r>
            <w:r>
              <w:rPr>
                <w:rFonts w:ascii="Times New Roman" w:hAnsi="Times New Roman" w:eastAsia="宋体" w:cs="Times New Roman"/>
                <w:color w:val="auto"/>
                <w:sz w:val="21"/>
                <w:szCs w:val="21"/>
                <w:vertAlign w:val="superscript"/>
              </w:rPr>
              <w:t>3</w:t>
            </w:r>
          </w:p>
          <w:p w14:paraId="3A47BBA2">
            <w:pPr>
              <w:spacing w:line="0" w:lineRule="atLeast"/>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NO</w:t>
            </w:r>
            <w:r>
              <w:rPr>
                <w:rFonts w:ascii="Times New Roman" w:hAnsi="Times New Roman" w:eastAsia="宋体" w:cs="Times New Roman"/>
                <w:color w:val="auto"/>
                <w:sz w:val="21"/>
                <w:szCs w:val="21"/>
                <w:vertAlign w:val="subscript"/>
              </w:rPr>
              <w:t>X</w:t>
            </w:r>
            <w:r>
              <w:rPr>
                <w:rFonts w:ascii="Times New Roman" w:hAnsi="Times New Roman" w:eastAsia="宋体" w:cs="Times New Roman"/>
                <w:color w:val="auto"/>
                <w:sz w:val="21"/>
                <w:szCs w:val="21"/>
              </w:rPr>
              <w:t>≤200mg/m</w:t>
            </w:r>
            <w:r>
              <w:rPr>
                <w:rFonts w:ascii="Times New Roman" w:hAnsi="Times New Roman" w:eastAsia="宋体" w:cs="Times New Roman"/>
                <w:color w:val="auto"/>
                <w:sz w:val="21"/>
                <w:szCs w:val="21"/>
                <w:vertAlign w:val="superscript"/>
              </w:rPr>
              <w:t>3</w:t>
            </w:r>
          </w:p>
          <w:p w14:paraId="44FACF78">
            <w:pPr>
              <w:spacing w:line="0" w:lineRule="atLeas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颗粒物</w:t>
            </w:r>
            <w:r>
              <w:rPr>
                <w:rFonts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20</w:t>
            </w:r>
            <w:r>
              <w:rPr>
                <w:rFonts w:ascii="Times New Roman" w:hAnsi="Times New Roman" w:eastAsia="宋体" w:cs="Times New Roman"/>
                <w:color w:val="auto"/>
                <w:sz w:val="21"/>
                <w:szCs w:val="21"/>
              </w:rPr>
              <w:t>mg/m</w:t>
            </w:r>
            <w:r>
              <w:rPr>
                <w:rFonts w:ascii="Times New Roman" w:hAnsi="Times New Roman" w:eastAsia="宋体" w:cs="Times New Roman"/>
                <w:color w:val="auto"/>
                <w:sz w:val="21"/>
                <w:szCs w:val="21"/>
                <w:vertAlign w:val="superscript"/>
              </w:rPr>
              <w:t>3</w:t>
            </w:r>
          </w:p>
        </w:tc>
        <w:tc>
          <w:tcPr>
            <w:tcW w:w="467" w:type="pct"/>
            <w:tcBorders>
              <w:tl2br w:val="nil"/>
              <w:tr2bl w:val="nil"/>
            </w:tcBorders>
            <w:noWrap w:val="0"/>
            <w:vAlign w:val="center"/>
          </w:tcPr>
          <w:p w14:paraId="1FA60357">
            <w:pPr>
              <w:spacing w:line="0" w:lineRule="atLeast"/>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r>
      <w:bookmarkEnd w:id="782"/>
      <w:bookmarkEnd w:id="783"/>
      <w:tr w14:paraId="1782B7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3" w:hRule="atLeast"/>
          <w:jc w:val="center"/>
        </w:trPr>
        <w:tc>
          <w:tcPr>
            <w:tcW w:w="0" w:type="auto"/>
            <w:vMerge w:val="continue"/>
            <w:tcBorders>
              <w:tl2br w:val="nil"/>
              <w:tr2bl w:val="nil"/>
            </w:tcBorders>
            <w:noWrap w:val="0"/>
            <w:vAlign w:val="center"/>
          </w:tcPr>
          <w:p w14:paraId="76E94245">
            <w:pPr>
              <w:rPr>
                <w:rFonts w:hint="default" w:ascii="Times New Roman" w:hAnsi="Times New Roman" w:eastAsia="宋体" w:cs="Times New Roman"/>
                <w:color w:val="auto"/>
                <w:sz w:val="21"/>
                <w:szCs w:val="21"/>
              </w:rPr>
            </w:pPr>
          </w:p>
        </w:tc>
        <w:tc>
          <w:tcPr>
            <w:tcW w:w="895" w:type="pct"/>
            <w:vMerge w:val="restart"/>
            <w:tcBorders>
              <w:tl2br w:val="nil"/>
              <w:tr2bl w:val="nil"/>
            </w:tcBorders>
            <w:noWrap w:val="0"/>
            <w:vAlign w:val="center"/>
          </w:tcPr>
          <w:p w14:paraId="0242D73E">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w:t>
            </w:r>
          </w:p>
          <w:p w14:paraId="714B56BA">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w:t>
            </w:r>
          </w:p>
        </w:tc>
        <w:tc>
          <w:tcPr>
            <w:tcW w:w="2015" w:type="pct"/>
            <w:vMerge w:val="restart"/>
            <w:tcBorders>
              <w:tl2br w:val="nil"/>
              <w:tr2bl w:val="nil"/>
            </w:tcBorders>
            <w:noWrap w:val="0"/>
            <w:vAlign w:val="center"/>
          </w:tcPr>
          <w:p w14:paraId="568D5363">
            <w:pPr>
              <w:spacing w:line="0" w:lineRule="atLeast"/>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rPr>
              <w:t>密闭集输，装置做好</w:t>
            </w:r>
            <w:r>
              <w:rPr>
                <w:rFonts w:hint="default" w:ascii="Times New Roman" w:hAnsi="Times New Roman" w:eastAsia="宋体" w:cs="Times New Roman"/>
                <w:color w:val="auto"/>
                <w:sz w:val="21"/>
                <w:szCs w:val="21"/>
                <w:lang w:bidi="ar"/>
              </w:rPr>
              <w:t>日常维护，做好密闭措施站场采用无泄漏屏蔽泵</w:t>
            </w:r>
            <w:r>
              <w:rPr>
                <w:rFonts w:hint="eastAsia" w:ascii="Times New Roman" w:hAnsi="Times New Roman" w:eastAsia="宋体" w:cs="Times New Roman"/>
                <w:color w:val="auto"/>
                <w:sz w:val="21"/>
                <w:szCs w:val="21"/>
                <w:lang w:eastAsia="zh-CN" w:bidi="ar"/>
              </w:rPr>
              <w:t>，</w:t>
            </w:r>
            <w:r>
              <w:rPr>
                <w:rFonts w:hint="eastAsia" w:ascii="Times New Roman" w:hAnsi="Times New Roman" w:eastAsia="宋体" w:cs="Times New Roman"/>
                <w:color w:val="auto"/>
                <w:sz w:val="21"/>
                <w:szCs w:val="21"/>
                <w:lang w:val="en-US" w:eastAsia="zh-CN" w:bidi="ar"/>
              </w:rPr>
              <w:t>罐车装卸采用气相平衡装置</w:t>
            </w:r>
          </w:p>
        </w:tc>
        <w:tc>
          <w:tcPr>
            <w:tcW w:w="1278" w:type="pct"/>
            <w:tcBorders>
              <w:tl2br w:val="nil"/>
              <w:tr2bl w:val="nil"/>
            </w:tcBorders>
            <w:noWrap w:val="0"/>
            <w:vAlign w:val="center"/>
          </w:tcPr>
          <w:p w14:paraId="7E97DD70">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厂界非甲烷总烃</w:t>
            </w:r>
          </w:p>
          <w:p w14:paraId="51BE9DE8">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≤4.0mg/m</w:t>
            </w:r>
            <w:r>
              <w:rPr>
                <w:rFonts w:hint="default" w:ascii="Times New Roman" w:hAnsi="Times New Roman" w:eastAsia="宋体" w:cs="Times New Roman"/>
                <w:color w:val="auto"/>
                <w:sz w:val="21"/>
                <w:szCs w:val="21"/>
                <w:vertAlign w:val="superscript"/>
              </w:rPr>
              <w:t>3</w:t>
            </w:r>
          </w:p>
        </w:tc>
        <w:tc>
          <w:tcPr>
            <w:tcW w:w="467" w:type="pct"/>
            <w:vMerge w:val="restart"/>
            <w:tcBorders>
              <w:tl2br w:val="nil"/>
              <w:tr2bl w:val="nil"/>
            </w:tcBorders>
            <w:noWrap w:val="0"/>
            <w:vAlign w:val="center"/>
          </w:tcPr>
          <w:p w14:paraId="58896DB3">
            <w:pPr>
              <w:spacing w:line="0" w:lineRule="atLeast"/>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2</w:t>
            </w:r>
          </w:p>
        </w:tc>
      </w:tr>
      <w:bookmarkEnd w:id="784"/>
      <w:tr w14:paraId="1785DD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3" w:hRule="atLeast"/>
          <w:jc w:val="center"/>
        </w:trPr>
        <w:tc>
          <w:tcPr>
            <w:tcW w:w="0" w:type="auto"/>
            <w:vMerge w:val="continue"/>
            <w:tcBorders>
              <w:tl2br w:val="nil"/>
              <w:tr2bl w:val="nil"/>
            </w:tcBorders>
            <w:noWrap w:val="0"/>
            <w:vAlign w:val="center"/>
          </w:tcPr>
          <w:p w14:paraId="6E8108E1">
            <w:pPr>
              <w:spacing w:line="0" w:lineRule="atLeast"/>
              <w:jc w:val="center"/>
              <w:rPr>
                <w:color w:val="auto"/>
              </w:rPr>
            </w:pPr>
          </w:p>
        </w:tc>
        <w:tc>
          <w:tcPr>
            <w:tcW w:w="895" w:type="pct"/>
            <w:vMerge w:val="continue"/>
            <w:tcBorders>
              <w:tl2br w:val="nil"/>
              <w:tr2bl w:val="nil"/>
            </w:tcBorders>
            <w:noWrap w:val="0"/>
            <w:vAlign w:val="center"/>
          </w:tcPr>
          <w:p w14:paraId="015BDFA6">
            <w:pPr>
              <w:spacing w:line="0" w:lineRule="atLeast"/>
              <w:jc w:val="center"/>
              <w:rPr>
                <w:color w:val="auto"/>
              </w:rPr>
            </w:pPr>
          </w:p>
        </w:tc>
        <w:tc>
          <w:tcPr>
            <w:tcW w:w="2015" w:type="pct"/>
            <w:vMerge w:val="continue"/>
            <w:tcBorders>
              <w:tl2br w:val="nil"/>
              <w:tr2bl w:val="nil"/>
            </w:tcBorders>
            <w:noWrap w:val="0"/>
            <w:vAlign w:val="center"/>
          </w:tcPr>
          <w:p w14:paraId="1F0F1C40">
            <w:pPr>
              <w:spacing w:line="0" w:lineRule="atLeast"/>
              <w:jc w:val="center"/>
              <w:rPr>
                <w:color w:val="auto"/>
              </w:rPr>
            </w:pPr>
          </w:p>
        </w:tc>
        <w:tc>
          <w:tcPr>
            <w:tcW w:w="1278" w:type="pct"/>
            <w:tcBorders>
              <w:tl2br w:val="nil"/>
              <w:tr2bl w:val="nil"/>
            </w:tcBorders>
            <w:noWrap w:val="0"/>
            <w:vAlign w:val="center"/>
          </w:tcPr>
          <w:p w14:paraId="5B596E0E">
            <w:pPr>
              <w:spacing w:line="0" w:lineRule="atLeast"/>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硫化氢</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0.06</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467" w:type="pct"/>
            <w:vMerge w:val="continue"/>
            <w:tcBorders>
              <w:tl2br w:val="nil"/>
              <w:tr2bl w:val="nil"/>
            </w:tcBorders>
            <w:noWrap w:val="0"/>
            <w:vAlign w:val="center"/>
          </w:tcPr>
          <w:p w14:paraId="0444B36D">
            <w:pPr>
              <w:spacing w:line="0" w:lineRule="atLeast"/>
              <w:jc w:val="center"/>
              <w:rPr>
                <w:rFonts w:hint="default" w:ascii="Times New Roman" w:hAnsi="Times New Roman" w:eastAsia="宋体" w:cs="Times New Roman"/>
                <w:color w:val="auto"/>
                <w:sz w:val="21"/>
                <w:szCs w:val="21"/>
              </w:rPr>
            </w:pPr>
          </w:p>
        </w:tc>
      </w:tr>
      <w:tr w14:paraId="0BF393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343" w:type="pct"/>
            <w:vMerge w:val="restart"/>
            <w:tcBorders>
              <w:tl2br w:val="nil"/>
              <w:tr2bl w:val="nil"/>
            </w:tcBorders>
            <w:noWrap w:val="0"/>
            <w:vAlign w:val="center"/>
          </w:tcPr>
          <w:p w14:paraId="6E20C783">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tc>
        <w:tc>
          <w:tcPr>
            <w:tcW w:w="895" w:type="pct"/>
            <w:tcBorders>
              <w:tl2br w:val="nil"/>
              <w:tr2bl w:val="nil"/>
            </w:tcBorders>
            <w:noWrap w:val="0"/>
            <w:vAlign w:val="center"/>
          </w:tcPr>
          <w:p w14:paraId="443261DA">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地面工程施工</w:t>
            </w:r>
          </w:p>
        </w:tc>
        <w:tc>
          <w:tcPr>
            <w:tcW w:w="2015" w:type="pct"/>
            <w:tcBorders>
              <w:tl2br w:val="nil"/>
              <w:tr2bl w:val="nil"/>
            </w:tcBorders>
            <w:noWrap w:val="0"/>
            <w:vAlign w:val="center"/>
          </w:tcPr>
          <w:p w14:paraId="62EA876E">
            <w:pPr>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废弃施工材料清运</w:t>
            </w:r>
          </w:p>
        </w:tc>
        <w:tc>
          <w:tcPr>
            <w:tcW w:w="1278" w:type="pct"/>
            <w:tcBorders>
              <w:tl2br w:val="nil"/>
              <w:tr2bl w:val="nil"/>
            </w:tcBorders>
            <w:noWrap w:val="0"/>
            <w:vAlign w:val="center"/>
          </w:tcPr>
          <w:p w14:paraId="4AF3D148">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妥善处理</w:t>
            </w:r>
          </w:p>
        </w:tc>
        <w:tc>
          <w:tcPr>
            <w:tcW w:w="467" w:type="pct"/>
            <w:tcBorders>
              <w:tl2br w:val="nil"/>
              <w:tr2bl w:val="nil"/>
            </w:tcBorders>
            <w:noWrap w:val="0"/>
            <w:vAlign w:val="center"/>
          </w:tcPr>
          <w:p w14:paraId="76A76DBA">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r>
      <w:tr w14:paraId="03BAD4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343" w:type="pct"/>
            <w:vMerge w:val="continue"/>
            <w:tcBorders>
              <w:tl2br w:val="nil"/>
              <w:tr2bl w:val="nil"/>
            </w:tcBorders>
            <w:noWrap w:val="0"/>
            <w:vAlign w:val="center"/>
          </w:tcPr>
          <w:p w14:paraId="61D564C6">
            <w:pPr>
              <w:spacing w:line="0" w:lineRule="atLeast"/>
              <w:jc w:val="center"/>
              <w:rPr>
                <w:rFonts w:hint="default" w:ascii="Times New Roman" w:hAnsi="Times New Roman" w:eastAsia="宋体" w:cs="Times New Roman"/>
                <w:color w:val="auto"/>
                <w:sz w:val="21"/>
                <w:szCs w:val="21"/>
              </w:rPr>
            </w:pPr>
          </w:p>
        </w:tc>
        <w:tc>
          <w:tcPr>
            <w:tcW w:w="895" w:type="pct"/>
            <w:tcBorders>
              <w:tl2br w:val="nil"/>
              <w:tr2bl w:val="nil"/>
            </w:tcBorders>
            <w:noWrap w:val="0"/>
            <w:vAlign w:val="center"/>
          </w:tcPr>
          <w:p w14:paraId="36950729">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清管废渣</w:t>
            </w:r>
          </w:p>
        </w:tc>
        <w:tc>
          <w:tcPr>
            <w:tcW w:w="2015" w:type="pct"/>
            <w:tcBorders>
              <w:tl2br w:val="nil"/>
              <w:tr2bl w:val="nil"/>
            </w:tcBorders>
            <w:noWrap w:val="0"/>
            <w:vAlign w:val="center"/>
          </w:tcPr>
          <w:p w14:paraId="2F7F6DF8">
            <w:pPr>
              <w:overflowPunct w:val="0"/>
              <w:autoSpaceDE w:val="0"/>
              <w:autoSpaceDN w:val="0"/>
              <w:spacing w:line="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收集后定期由有危废处置资质的公司接收处置</w:t>
            </w:r>
          </w:p>
        </w:tc>
        <w:tc>
          <w:tcPr>
            <w:tcW w:w="1278" w:type="pct"/>
            <w:tcBorders>
              <w:tl2br w:val="nil"/>
              <w:tr2bl w:val="nil"/>
            </w:tcBorders>
            <w:noWrap w:val="0"/>
            <w:vAlign w:val="center"/>
          </w:tcPr>
          <w:p w14:paraId="725DCB68">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妥善处理</w:t>
            </w:r>
          </w:p>
        </w:tc>
        <w:tc>
          <w:tcPr>
            <w:tcW w:w="467" w:type="pct"/>
            <w:tcBorders>
              <w:tl2br w:val="nil"/>
              <w:tr2bl w:val="nil"/>
            </w:tcBorders>
            <w:noWrap w:val="0"/>
            <w:vAlign w:val="center"/>
          </w:tcPr>
          <w:p w14:paraId="38760BE4">
            <w:pPr>
              <w:spacing w:line="0" w:lineRule="atLeast"/>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3</w:t>
            </w:r>
          </w:p>
        </w:tc>
      </w:tr>
      <w:tr w14:paraId="3EC27A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343" w:type="pct"/>
            <w:vMerge w:val="continue"/>
            <w:tcBorders>
              <w:tl2br w:val="nil"/>
              <w:tr2bl w:val="nil"/>
            </w:tcBorders>
            <w:noWrap w:val="0"/>
            <w:vAlign w:val="center"/>
          </w:tcPr>
          <w:p w14:paraId="560DB1FE">
            <w:pPr>
              <w:spacing w:line="0" w:lineRule="atLeast"/>
              <w:jc w:val="center"/>
              <w:rPr>
                <w:rFonts w:hint="default" w:ascii="Times New Roman" w:hAnsi="Times New Roman" w:eastAsia="宋体" w:cs="Times New Roman"/>
                <w:color w:val="auto"/>
                <w:sz w:val="21"/>
                <w:szCs w:val="21"/>
              </w:rPr>
            </w:pPr>
          </w:p>
        </w:tc>
        <w:tc>
          <w:tcPr>
            <w:tcW w:w="895" w:type="pct"/>
            <w:tcBorders>
              <w:tl2br w:val="nil"/>
              <w:tr2bl w:val="nil"/>
            </w:tcBorders>
            <w:noWrap w:val="0"/>
            <w:vAlign w:val="center"/>
          </w:tcPr>
          <w:p w14:paraId="4DFFFDCD">
            <w:pPr>
              <w:spacing w:line="0" w:lineRule="atLeas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废脱硫剂</w:t>
            </w:r>
          </w:p>
        </w:tc>
        <w:tc>
          <w:tcPr>
            <w:tcW w:w="2015" w:type="pct"/>
            <w:tcBorders>
              <w:tl2br w:val="nil"/>
              <w:tr2bl w:val="nil"/>
            </w:tcBorders>
            <w:noWrap w:val="0"/>
            <w:vAlign w:val="center"/>
          </w:tcPr>
          <w:p w14:paraId="6FED88B7">
            <w:pPr>
              <w:overflowPunct w:val="0"/>
              <w:autoSpaceDE w:val="0"/>
              <w:autoSpaceDN w:val="0"/>
              <w:spacing w:line="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由生产厂家进行更换脱硫剂，更换后由其拉走处置</w:t>
            </w:r>
          </w:p>
        </w:tc>
        <w:tc>
          <w:tcPr>
            <w:tcW w:w="1278" w:type="pct"/>
            <w:tcBorders>
              <w:tl2br w:val="nil"/>
              <w:tr2bl w:val="nil"/>
            </w:tcBorders>
            <w:noWrap w:val="0"/>
            <w:vAlign w:val="center"/>
          </w:tcPr>
          <w:p w14:paraId="04870105">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妥善处理</w:t>
            </w:r>
          </w:p>
        </w:tc>
        <w:tc>
          <w:tcPr>
            <w:tcW w:w="467" w:type="pct"/>
            <w:tcBorders>
              <w:tl2br w:val="nil"/>
              <w:tr2bl w:val="nil"/>
            </w:tcBorders>
            <w:noWrap w:val="0"/>
            <w:vAlign w:val="center"/>
          </w:tcPr>
          <w:p w14:paraId="69B146BB">
            <w:pPr>
              <w:spacing w:line="0" w:lineRule="atLeast"/>
              <w:jc w:val="center"/>
              <w:rPr>
                <w:rFonts w:hint="default" w:cs="Times New Roman"/>
                <w:color w:val="auto"/>
                <w:sz w:val="21"/>
                <w:szCs w:val="21"/>
                <w:lang w:val="en-US" w:eastAsia="zh-CN"/>
              </w:rPr>
            </w:pPr>
            <w:r>
              <w:rPr>
                <w:rFonts w:hint="eastAsia" w:cs="Times New Roman"/>
                <w:color w:val="auto"/>
                <w:sz w:val="21"/>
                <w:szCs w:val="21"/>
                <w:lang w:val="en-US" w:eastAsia="zh-CN"/>
              </w:rPr>
              <w:t>2</w:t>
            </w:r>
          </w:p>
        </w:tc>
      </w:tr>
      <w:tr w14:paraId="331362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343" w:type="pct"/>
            <w:vMerge w:val="continue"/>
            <w:tcBorders>
              <w:tl2br w:val="nil"/>
              <w:tr2bl w:val="nil"/>
            </w:tcBorders>
            <w:noWrap w:val="0"/>
            <w:vAlign w:val="center"/>
          </w:tcPr>
          <w:p w14:paraId="2C97EA2C">
            <w:pPr>
              <w:spacing w:line="0" w:lineRule="atLeast"/>
              <w:jc w:val="center"/>
              <w:rPr>
                <w:rFonts w:hint="default" w:ascii="Times New Roman" w:hAnsi="Times New Roman" w:eastAsia="宋体" w:cs="Times New Roman"/>
                <w:color w:val="auto"/>
                <w:sz w:val="21"/>
                <w:szCs w:val="21"/>
              </w:rPr>
            </w:pPr>
          </w:p>
        </w:tc>
        <w:tc>
          <w:tcPr>
            <w:tcW w:w="895" w:type="pct"/>
            <w:tcBorders>
              <w:tl2br w:val="nil"/>
              <w:tr2bl w:val="nil"/>
            </w:tcBorders>
            <w:noWrap w:val="0"/>
            <w:vAlign w:val="center"/>
          </w:tcPr>
          <w:p w14:paraId="74308FFF">
            <w:pPr>
              <w:spacing w:line="0" w:lineRule="atLeast"/>
              <w:jc w:val="center"/>
              <w:rPr>
                <w:rFonts w:hint="default" w:cs="Times New Roman"/>
                <w:color w:val="auto"/>
                <w:sz w:val="21"/>
                <w:szCs w:val="21"/>
                <w:lang w:val="en-US" w:eastAsia="zh-CN"/>
              </w:rPr>
            </w:pPr>
            <w:r>
              <w:rPr>
                <w:rFonts w:hint="eastAsia" w:cs="Times New Roman"/>
                <w:color w:val="auto"/>
                <w:sz w:val="21"/>
                <w:szCs w:val="21"/>
                <w:lang w:val="en-US" w:eastAsia="zh-CN"/>
              </w:rPr>
              <w:t>废分子筛</w:t>
            </w:r>
          </w:p>
        </w:tc>
        <w:tc>
          <w:tcPr>
            <w:tcW w:w="2015" w:type="pct"/>
            <w:tcBorders>
              <w:tl2br w:val="nil"/>
              <w:tr2bl w:val="nil"/>
            </w:tcBorders>
            <w:noWrap w:val="0"/>
            <w:vAlign w:val="center"/>
          </w:tcPr>
          <w:p w14:paraId="77F00CDE">
            <w:pPr>
              <w:overflowPunct w:val="0"/>
              <w:autoSpaceDE w:val="0"/>
              <w:autoSpaceDN w:val="0"/>
              <w:spacing w:line="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由生产厂家进行更换，更换后由其拉走处置。</w:t>
            </w:r>
          </w:p>
        </w:tc>
        <w:tc>
          <w:tcPr>
            <w:tcW w:w="1278" w:type="pct"/>
            <w:tcBorders>
              <w:tl2br w:val="nil"/>
              <w:tr2bl w:val="nil"/>
            </w:tcBorders>
            <w:noWrap w:val="0"/>
            <w:vAlign w:val="center"/>
          </w:tcPr>
          <w:p w14:paraId="0BB37E52">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妥善处理</w:t>
            </w:r>
          </w:p>
        </w:tc>
        <w:tc>
          <w:tcPr>
            <w:tcW w:w="467" w:type="pct"/>
            <w:tcBorders>
              <w:tl2br w:val="nil"/>
              <w:tr2bl w:val="nil"/>
            </w:tcBorders>
            <w:noWrap w:val="0"/>
            <w:vAlign w:val="center"/>
          </w:tcPr>
          <w:p w14:paraId="12731116">
            <w:pPr>
              <w:spacing w:line="0" w:lineRule="atLeast"/>
              <w:jc w:val="center"/>
              <w:rPr>
                <w:rFonts w:hint="default" w:cs="Times New Roman"/>
                <w:color w:val="auto"/>
                <w:sz w:val="21"/>
                <w:szCs w:val="21"/>
                <w:lang w:val="en-US" w:eastAsia="zh-CN"/>
              </w:rPr>
            </w:pPr>
            <w:r>
              <w:rPr>
                <w:rFonts w:hint="eastAsia" w:cs="Times New Roman"/>
                <w:color w:val="auto"/>
                <w:sz w:val="21"/>
                <w:szCs w:val="21"/>
                <w:lang w:val="en-US" w:eastAsia="zh-CN"/>
              </w:rPr>
              <w:t>2</w:t>
            </w:r>
          </w:p>
        </w:tc>
      </w:tr>
      <w:tr w14:paraId="3724AD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343" w:type="pct"/>
            <w:vMerge w:val="continue"/>
            <w:tcBorders>
              <w:tl2br w:val="nil"/>
              <w:tr2bl w:val="nil"/>
            </w:tcBorders>
            <w:noWrap w:val="0"/>
            <w:vAlign w:val="center"/>
          </w:tcPr>
          <w:p w14:paraId="755DFF08">
            <w:pPr>
              <w:spacing w:line="0" w:lineRule="atLeast"/>
              <w:jc w:val="center"/>
              <w:rPr>
                <w:rFonts w:hint="default" w:ascii="Times New Roman" w:hAnsi="Times New Roman" w:eastAsia="宋体" w:cs="Times New Roman"/>
                <w:color w:val="auto"/>
                <w:sz w:val="21"/>
                <w:szCs w:val="21"/>
              </w:rPr>
            </w:pPr>
          </w:p>
        </w:tc>
        <w:tc>
          <w:tcPr>
            <w:tcW w:w="895" w:type="pct"/>
            <w:tcBorders>
              <w:tl2br w:val="nil"/>
              <w:tr2bl w:val="nil"/>
            </w:tcBorders>
            <w:noWrap w:val="0"/>
            <w:vAlign w:val="center"/>
          </w:tcPr>
          <w:p w14:paraId="2EA57803">
            <w:pPr>
              <w:spacing w:line="0" w:lineRule="atLeast"/>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1"/>
                <w:szCs w:val="21"/>
              </w:rPr>
              <w:t>含油废物</w:t>
            </w:r>
          </w:p>
        </w:tc>
        <w:tc>
          <w:tcPr>
            <w:tcW w:w="2015" w:type="pct"/>
            <w:tcBorders>
              <w:tl2br w:val="nil"/>
              <w:tr2bl w:val="nil"/>
            </w:tcBorders>
            <w:noWrap w:val="0"/>
            <w:vAlign w:val="center"/>
          </w:tcPr>
          <w:p w14:paraId="72F8B9F6">
            <w:pPr>
              <w:overflowPunct w:val="0"/>
              <w:autoSpaceDE w:val="0"/>
              <w:autoSpaceDN w:val="0"/>
              <w:spacing w:line="0" w:lineRule="atLeast"/>
              <w:jc w:val="center"/>
              <w:textAlignment w:val="baseline"/>
              <w:rPr>
                <w:rFonts w:hint="default"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1"/>
                <w:szCs w:val="21"/>
              </w:rPr>
              <w:t>井场作业落地油回收</w:t>
            </w:r>
            <w:r>
              <w:rPr>
                <w:rFonts w:hint="eastAsia" w:ascii="Times New Roman" w:hAnsi="Times New Roman" w:cs="Times New Roman"/>
                <w:color w:val="auto"/>
                <w:sz w:val="21"/>
                <w:szCs w:val="21"/>
              </w:rPr>
              <w:t>，含油危废交由有危废处置资质单位合理</w:t>
            </w:r>
            <w:r>
              <w:rPr>
                <w:rFonts w:ascii="Times New Roman" w:hAnsi="Times New Roman" w:cs="Times New Roman"/>
                <w:color w:val="auto"/>
                <w:sz w:val="21"/>
                <w:szCs w:val="21"/>
              </w:rPr>
              <w:t>处置</w:t>
            </w:r>
          </w:p>
        </w:tc>
        <w:tc>
          <w:tcPr>
            <w:tcW w:w="1278" w:type="pct"/>
            <w:tcBorders>
              <w:tl2br w:val="nil"/>
              <w:tr2bl w:val="nil"/>
            </w:tcBorders>
            <w:noWrap w:val="0"/>
            <w:vAlign w:val="center"/>
          </w:tcPr>
          <w:p w14:paraId="10D1573D">
            <w:pPr>
              <w:spacing w:line="0" w:lineRule="atLeast"/>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1"/>
                <w:szCs w:val="21"/>
              </w:rPr>
              <w:t>妥善处理</w:t>
            </w:r>
          </w:p>
        </w:tc>
        <w:tc>
          <w:tcPr>
            <w:tcW w:w="467" w:type="pct"/>
            <w:tcBorders>
              <w:tl2br w:val="nil"/>
              <w:tr2bl w:val="nil"/>
            </w:tcBorders>
            <w:noWrap w:val="0"/>
            <w:vAlign w:val="center"/>
          </w:tcPr>
          <w:p w14:paraId="0C7F9831">
            <w:pPr>
              <w:spacing w:line="0" w:lineRule="atLeast"/>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r>
      <w:tr w14:paraId="533C7F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343" w:type="pct"/>
            <w:vMerge w:val="continue"/>
            <w:tcBorders>
              <w:tl2br w:val="nil"/>
              <w:tr2bl w:val="nil"/>
            </w:tcBorders>
            <w:noWrap w:val="0"/>
            <w:vAlign w:val="center"/>
          </w:tcPr>
          <w:p w14:paraId="2EB120B4">
            <w:pPr>
              <w:spacing w:line="0" w:lineRule="atLeast"/>
              <w:jc w:val="center"/>
              <w:rPr>
                <w:rFonts w:hint="default" w:ascii="Times New Roman" w:hAnsi="Times New Roman" w:eastAsia="宋体" w:cs="Times New Roman"/>
                <w:color w:val="auto"/>
                <w:sz w:val="21"/>
                <w:szCs w:val="21"/>
              </w:rPr>
            </w:pPr>
          </w:p>
        </w:tc>
        <w:tc>
          <w:tcPr>
            <w:tcW w:w="895" w:type="pct"/>
            <w:tcBorders>
              <w:tl2br w:val="nil"/>
              <w:tr2bl w:val="nil"/>
            </w:tcBorders>
            <w:noWrap w:val="0"/>
            <w:vAlign w:val="center"/>
          </w:tcPr>
          <w:p w14:paraId="778BCED7">
            <w:pPr>
              <w:spacing w:line="0" w:lineRule="atLeas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井下作业固废（废压裂液、废酸化液、废洗井液）</w:t>
            </w:r>
          </w:p>
        </w:tc>
        <w:tc>
          <w:tcPr>
            <w:tcW w:w="2015" w:type="pct"/>
            <w:tcBorders>
              <w:tl2br w:val="nil"/>
              <w:tr2bl w:val="nil"/>
            </w:tcBorders>
            <w:noWrap w:val="0"/>
            <w:vAlign w:val="center"/>
          </w:tcPr>
          <w:p w14:paraId="29BAC92F">
            <w:pPr>
              <w:spacing w:line="0" w:lineRule="atLeas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rPr>
              <w:t>井下作业固废采用专用回收罐进行回收，拉运至英买力油田钻试修废弃物环保处理站进行处理。</w:t>
            </w:r>
          </w:p>
        </w:tc>
        <w:tc>
          <w:tcPr>
            <w:tcW w:w="1278" w:type="pct"/>
            <w:tcBorders>
              <w:tl2br w:val="nil"/>
              <w:tr2bl w:val="nil"/>
            </w:tcBorders>
            <w:noWrap w:val="0"/>
            <w:vAlign w:val="center"/>
          </w:tcPr>
          <w:p w14:paraId="6EA0F6EF">
            <w:pPr>
              <w:spacing w:line="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467" w:type="pct"/>
            <w:tcBorders>
              <w:tl2br w:val="nil"/>
              <w:tr2bl w:val="nil"/>
            </w:tcBorders>
            <w:noWrap w:val="0"/>
            <w:vAlign w:val="center"/>
          </w:tcPr>
          <w:p w14:paraId="674D439E">
            <w:pPr>
              <w:spacing w:line="0" w:lineRule="atLeast"/>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r>
      <w:tr w14:paraId="19B841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343" w:type="pct"/>
            <w:vMerge w:val="restart"/>
            <w:tcBorders>
              <w:tl2br w:val="nil"/>
              <w:tr2bl w:val="nil"/>
            </w:tcBorders>
            <w:noWrap w:val="0"/>
            <w:vAlign w:val="center"/>
          </w:tcPr>
          <w:p w14:paraId="153FBB53">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w:t>
            </w:r>
          </w:p>
        </w:tc>
        <w:tc>
          <w:tcPr>
            <w:tcW w:w="895" w:type="pct"/>
            <w:tcBorders>
              <w:tl2br w:val="nil"/>
              <w:tr2bl w:val="nil"/>
            </w:tcBorders>
            <w:noWrap w:val="0"/>
            <w:vAlign w:val="center"/>
          </w:tcPr>
          <w:p w14:paraId="7A5DFEEC">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临时占地</w:t>
            </w:r>
          </w:p>
        </w:tc>
        <w:tc>
          <w:tcPr>
            <w:tcW w:w="2015" w:type="pct"/>
            <w:tcBorders>
              <w:tl2br w:val="nil"/>
              <w:tr2bl w:val="nil"/>
            </w:tcBorders>
            <w:noWrap w:val="0"/>
            <w:vAlign w:val="center"/>
          </w:tcPr>
          <w:p w14:paraId="1511EA33">
            <w:pPr>
              <w:overflowPunct w:val="0"/>
              <w:autoSpaceDE w:val="0"/>
              <w:autoSpaceDN w:val="0"/>
              <w:spacing w:line="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施工结束后进行场地平整；控制施工作业带宽度；水土保持措施、防沙治沙等</w:t>
            </w:r>
          </w:p>
        </w:tc>
        <w:tc>
          <w:tcPr>
            <w:tcW w:w="1278" w:type="pct"/>
            <w:tcBorders>
              <w:tl2br w:val="nil"/>
              <w:tr2bl w:val="nil"/>
            </w:tcBorders>
            <w:noWrap w:val="0"/>
            <w:vAlign w:val="center"/>
          </w:tcPr>
          <w:p w14:paraId="57300E83">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施工结束后场地平整</w:t>
            </w:r>
          </w:p>
        </w:tc>
        <w:tc>
          <w:tcPr>
            <w:tcW w:w="467" w:type="pct"/>
            <w:tcBorders>
              <w:tl2br w:val="nil"/>
              <w:tr2bl w:val="nil"/>
            </w:tcBorders>
            <w:noWrap w:val="0"/>
            <w:vAlign w:val="center"/>
          </w:tcPr>
          <w:p w14:paraId="1183F81C">
            <w:pPr>
              <w:spacing w:line="0" w:lineRule="atLeast"/>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4</w:t>
            </w:r>
          </w:p>
        </w:tc>
      </w:tr>
      <w:tr w14:paraId="428699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343" w:type="pct"/>
            <w:vMerge w:val="continue"/>
            <w:tcBorders>
              <w:tl2br w:val="nil"/>
              <w:tr2bl w:val="nil"/>
            </w:tcBorders>
            <w:noWrap w:val="0"/>
            <w:vAlign w:val="center"/>
          </w:tcPr>
          <w:p w14:paraId="6ED316F7">
            <w:pPr>
              <w:spacing w:line="0" w:lineRule="atLeast"/>
              <w:jc w:val="center"/>
              <w:rPr>
                <w:rFonts w:hint="default" w:ascii="Times New Roman" w:hAnsi="Times New Roman" w:eastAsia="宋体" w:cs="Times New Roman"/>
                <w:color w:val="auto"/>
                <w:sz w:val="21"/>
                <w:szCs w:val="21"/>
              </w:rPr>
            </w:pPr>
          </w:p>
        </w:tc>
        <w:tc>
          <w:tcPr>
            <w:tcW w:w="895" w:type="pct"/>
            <w:tcBorders>
              <w:tl2br w:val="nil"/>
              <w:tr2bl w:val="nil"/>
            </w:tcBorders>
            <w:noWrap w:val="0"/>
            <w:vAlign w:val="center"/>
          </w:tcPr>
          <w:p w14:paraId="6DF630A5">
            <w:pPr>
              <w:overflowPunct w:val="0"/>
              <w:autoSpaceDE w:val="0"/>
              <w:autoSpaceDN w:val="0"/>
              <w:spacing w:line="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水土流失</w:t>
            </w:r>
          </w:p>
        </w:tc>
        <w:tc>
          <w:tcPr>
            <w:tcW w:w="2015" w:type="pct"/>
            <w:tcBorders>
              <w:tl2br w:val="nil"/>
              <w:tr2bl w:val="nil"/>
            </w:tcBorders>
            <w:noWrap w:val="0"/>
            <w:vAlign w:val="center"/>
          </w:tcPr>
          <w:p w14:paraId="5BCFD990">
            <w:pPr>
              <w:overflowPunct w:val="0"/>
              <w:autoSpaceDE w:val="0"/>
              <w:autoSpaceDN w:val="0"/>
              <w:spacing w:line="0" w:lineRule="atLeast"/>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防沙治沙和水土保持措施</w:t>
            </w:r>
          </w:p>
        </w:tc>
        <w:tc>
          <w:tcPr>
            <w:tcW w:w="1278" w:type="pct"/>
            <w:tcBorders>
              <w:tl2br w:val="nil"/>
              <w:tr2bl w:val="nil"/>
            </w:tcBorders>
            <w:noWrap w:val="0"/>
            <w:vAlign w:val="center"/>
          </w:tcPr>
          <w:p w14:paraId="0CE4D660">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防止水土流失</w:t>
            </w:r>
          </w:p>
        </w:tc>
        <w:tc>
          <w:tcPr>
            <w:tcW w:w="467" w:type="pct"/>
            <w:tcBorders>
              <w:tl2br w:val="nil"/>
              <w:tr2bl w:val="nil"/>
            </w:tcBorders>
            <w:noWrap w:val="0"/>
            <w:vAlign w:val="center"/>
          </w:tcPr>
          <w:p w14:paraId="1A0A4A2F">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纳入水土保护方案投资中</w:t>
            </w:r>
          </w:p>
        </w:tc>
      </w:tr>
      <w:tr w14:paraId="2B3DB1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343" w:type="pct"/>
            <w:vMerge w:val="restart"/>
            <w:tcBorders>
              <w:tl2br w:val="nil"/>
              <w:tr2bl w:val="nil"/>
            </w:tcBorders>
            <w:noWrap w:val="0"/>
            <w:vAlign w:val="center"/>
          </w:tcPr>
          <w:p w14:paraId="3C9C81FB">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环境风险管理</w:t>
            </w:r>
          </w:p>
        </w:tc>
        <w:tc>
          <w:tcPr>
            <w:tcW w:w="895" w:type="pct"/>
            <w:tcBorders>
              <w:tl2br w:val="nil"/>
              <w:tr2bl w:val="nil"/>
            </w:tcBorders>
            <w:noWrap w:val="0"/>
            <w:vAlign w:val="center"/>
          </w:tcPr>
          <w:p w14:paraId="2784B67F">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w:t>
            </w:r>
          </w:p>
          <w:p w14:paraId="6F965D38">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防范措施</w:t>
            </w:r>
          </w:p>
        </w:tc>
        <w:tc>
          <w:tcPr>
            <w:tcW w:w="2015" w:type="pct"/>
            <w:tcBorders>
              <w:tl2br w:val="nil"/>
              <w:tr2bl w:val="nil"/>
            </w:tcBorders>
            <w:noWrap w:val="0"/>
            <w:vAlign w:val="center"/>
          </w:tcPr>
          <w:p w14:paraId="121513E5">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sz w:val="21"/>
                <w:szCs w:val="21"/>
              </w:rPr>
              <w:t>消防器材、警戒标语标牌、设置可燃气体检测报警仪等防范设施</w:t>
            </w:r>
          </w:p>
        </w:tc>
        <w:tc>
          <w:tcPr>
            <w:tcW w:w="1278" w:type="pct"/>
            <w:tcBorders>
              <w:tl2br w:val="nil"/>
              <w:tr2bl w:val="nil"/>
            </w:tcBorders>
            <w:noWrap w:val="0"/>
            <w:vAlign w:val="center"/>
          </w:tcPr>
          <w:p w14:paraId="143530D4">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sz w:val="21"/>
                <w:szCs w:val="21"/>
              </w:rPr>
              <w:t>风险防范设施数量按照消防、安全等相关要求设置</w:t>
            </w:r>
          </w:p>
        </w:tc>
        <w:tc>
          <w:tcPr>
            <w:tcW w:w="467" w:type="pct"/>
            <w:tcBorders>
              <w:tl2br w:val="nil"/>
              <w:tr2bl w:val="nil"/>
            </w:tcBorders>
            <w:noWrap w:val="0"/>
            <w:vAlign w:val="center"/>
          </w:tcPr>
          <w:p w14:paraId="18F1C286">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11299E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0" w:type="auto"/>
            <w:vMerge w:val="continue"/>
            <w:tcBorders>
              <w:tl2br w:val="nil"/>
              <w:tr2bl w:val="nil"/>
            </w:tcBorders>
            <w:noWrap w:val="0"/>
            <w:vAlign w:val="center"/>
          </w:tcPr>
          <w:p w14:paraId="62B802F0">
            <w:pPr>
              <w:rPr>
                <w:rFonts w:hint="default" w:ascii="Times New Roman" w:hAnsi="Times New Roman" w:eastAsia="宋体" w:cs="Times New Roman"/>
                <w:color w:val="auto"/>
                <w:sz w:val="21"/>
                <w:szCs w:val="21"/>
              </w:rPr>
            </w:pPr>
          </w:p>
        </w:tc>
        <w:tc>
          <w:tcPr>
            <w:tcW w:w="895" w:type="pct"/>
            <w:tcBorders>
              <w:tl2br w:val="nil"/>
              <w:tr2bl w:val="nil"/>
            </w:tcBorders>
            <w:noWrap w:val="0"/>
            <w:vAlign w:val="center"/>
          </w:tcPr>
          <w:p w14:paraId="045E777E">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应急预案</w:t>
            </w:r>
          </w:p>
        </w:tc>
        <w:tc>
          <w:tcPr>
            <w:tcW w:w="2015" w:type="pct"/>
            <w:tcBorders>
              <w:tl2br w:val="nil"/>
              <w:tr2bl w:val="nil"/>
            </w:tcBorders>
            <w:noWrap w:val="0"/>
            <w:vAlign w:val="center"/>
          </w:tcPr>
          <w:p w14:paraId="7038D38C">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根据管线泄漏</w:t>
            </w:r>
            <w:r>
              <w:rPr>
                <w:rFonts w:hint="eastAsia" w:ascii="Times New Roman" w:hAnsi="Times New Roman" w:eastAsia="宋体" w:cs="Times New Roman"/>
                <w:color w:val="auto"/>
                <w:sz w:val="21"/>
                <w:szCs w:val="21"/>
                <w:lang w:val="en-US" w:eastAsia="zh-CN" w:bidi="ar"/>
              </w:rPr>
              <w:t>、油罐</w:t>
            </w:r>
            <w:r>
              <w:rPr>
                <w:rFonts w:hint="eastAsia" w:cs="Times New Roman"/>
                <w:color w:val="auto"/>
                <w:sz w:val="21"/>
                <w:szCs w:val="21"/>
                <w:lang w:val="en-US" w:eastAsia="zh-CN" w:bidi="ar"/>
              </w:rPr>
              <w:t>泄漏</w:t>
            </w:r>
            <w:r>
              <w:rPr>
                <w:rFonts w:hint="default" w:ascii="Times New Roman" w:hAnsi="Times New Roman" w:eastAsia="宋体" w:cs="Times New Roman"/>
                <w:color w:val="auto"/>
                <w:sz w:val="21"/>
                <w:szCs w:val="21"/>
                <w:lang w:bidi="ar"/>
              </w:rPr>
              <w:t>应急处理经验，完善现有突发环境事件应急预案</w:t>
            </w:r>
          </w:p>
        </w:tc>
        <w:tc>
          <w:tcPr>
            <w:tcW w:w="1278" w:type="pct"/>
            <w:tcBorders>
              <w:tl2br w:val="nil"/>
              <w:tr2bl w:val="nil"/>
            </w:tcBorders>
            <w:noWrap w:val="0"/>
            <w:vAlign w:val="center"/>
          </w:tcPr>
          <w:p w14:paraId="21580589">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修改完善，并定期演练</w:t>
            </w:r>
          </w:p>
        </w:tc>
        <w:tc>
          <w:tcPr>
            <w:tcW w:w="467" w:type="pct"/>
            <w:tcBorders>
              <w:tl2br w:val="nil"/>
              <w:tr2bl w:val="nil"/>
            </w:tcBorders>
            <w:noWrap w:val="0"/>
            <w:vAlign w:val="center"/>
          </w:tcPr>
          <w:p w14:paraId="142772AC">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r>
      <w:tr w14:paraId="3C6A36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0" w:type="auto"/>
            <w:vMerge w:val="restart"/>
            <w:tcBorders>
              <w:tl2br w:val="nil"/>
              <w:tr2bl w:val="nil"/>
            </w:tcBorders>
            <w:noWrap w:val="0"/>
            <w:vAlign w:val="center"/>
          </w:tcPr>
          <w:p w14:paraId="7AC354EF">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废水处理</w:t>
            </w:r>
          </w:p>
        </w:tc>
        <w:tc>
          <w:tcPr>
            <w:tcW w:w="895" w:type="pct"/>
            <w:tcBorders>
              <w:tl2br w:val="nil"/>
              <w:tr2bl w:val="nil"/>
            </w:tcBorders>
            <w:noWrap w:val="0"/>
            <w:vAlign w:val="center"/>
          </w:tcPr>
          <w:p w14:paraId="74E39B7A">
            <w:pPr>
              <w:spacing w:line="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bidi="ar"/>
              </w:rPr>
              <w:t>管道试压废水</w:t>
            </w:r>
          </w:p>
        </w:tc>
        <w:tc>
          <w:tcPr>
            <w:tcW w:w="2015" w:type="pct"/>
            <w:tcBorders>
              <w:tl2br w:val="nil"/>
              <w:tr2bl w:val="nil"/>
            </w:tcBorders>
            <w:noWrap w:val="0"/>
            <w:vAlign w:val="center"/>
          </w:tcPr>
          <w:p w14:paraId="2E374B52">
            <w:pPr>
              <w:spacing w:line="0" w:lineRule="atLeast"/>
              <w:jc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管道试压采用清洁水，每段试压水排出后进入下一段管线循环使用，可减少水资源消耗。试压废水中主要污染物为悬浮物，试压结束后全部用于施工场地洒水抑尘</w:t>
            </w:r>
          </w:p>
        </w:tc>
        <w:tc>
          <w:tcPr>
            <w:tcW w:w="1278" w:type="pct"/>
            <w:tcBorders>
              <w:tl2br w:val="nil"/>
              <w:tr2bl w:val="nil"/>
            </w:tcBorders>
            <w:noWrap w:val="0"/>
            <w:vAlign w:val="center"/>
          </w:tcPr>
          <w:p w14:paraId="5DDA64BD">
            <w:pPr>
              <w:spacing w:line="0" w:lineRule="atLeast"/>
              <w:jc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施工废水循环利用</w:t>
            </w:r>
          </w:p>
        </w:tc>
        <w:tc>
          <w:tcPr>
            <w:tcW w:w="467" w:type="pct"/>
            <w:tcBorders>
              <w:tl2br w:val="nil"/>
              <w:tr2bl w:val="nil"/>
            </w:tcBorders>
            <w:noWrap w:val="0"/>
            <w:vAlign w:val="center"/>
          </w:tcPr>
          <w:p w14:paraId="518F6B20">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23EC5E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0" w:type="auto"/>
            <w:vMerge w:val="continue"/>
            <w:tcBorders>
              <w:tl2br w:val="nil"/>
              <w:tr2bl w:val="nil"/>
            </w:tcBorders>
            <w:noWrap w:val="0"/>
            <w:vAlign w:val="center"/>
          </w:tcPr>
          <w:p w14:paraId="4CEB02CF">
            <w:pPr>
              <w:rPr>
                <w:rFonts w:hint="default" w:ascii="Times New Roman" w:hAnsi="Times New Roman" w:eastAsia="宋体" w:cs="Times New Roman"/>
                <w:color w:val="auto"/>
                <w:sz w:val="21"/>
                <w:szCs w:val="21"/>
              </w:rPr>
            </w:pPr>
          </w:p>
        </w:tc>
        <w:tc>
          <w:tcPr>
            <w:tcW w:w="895" w:type="pct"/>
            <w:tcBorders>
              <w:tl2br w:val="nil"/>
              <w:tr2bl w:val="nil"/>
            </w:tcBorders>
            <w:noWrap w:val="0"/>
            <w:vAlign w:val="center"/>
          </w:tcPr>
          <w:p w14:paraId="348741E9">
            <w:pPr>
              <w:spacing w:line="0" w:lineRule="atLeast"/>
              <w:jc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生活污水</w:t>
            </w:r>
          </w:p>
        </w:tc>
        <w:tc>
          <w:tcPr>
            <w:tcW w:w="2015" w:type="pct"/>
            <w:tcBorders>
              <w:tl2br w:val="nil"/>
              <w:tr2bl w:val="nil"/>
            </w:tcBorders>
            <w:noWrap w:val="0"/>
            <w:vAlign w:val="center"/>
          </w:tcPr>
          <w:p w14:paraId="5A8E24E3">
            <w:pPr>
              <w:spacing w:line="0" w:lineRule="atLeast"/>
              <w:jc w:val="center"/>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bidi="ar"/>
              </w:rPr>
              <w:t>定期拉运至</w:t>
            </w:r>
            <w:r>
              <w:rPr>
                <w:rFonts w:hint="eastAsia" w:ascii="Times New Roman" w:hAnsi="Times New Roman" w:eastAsia="宋体" w:cs="Times New Roman"/>
                <w:color w:val="auto"/>
                <w:sz w:val="21"/>
                <w:szCs w:val="21"/>
                <w:lang w:val="en-US" w:eastAsia="zh-CN" w:bidi="ar"/>
              </w:rPr>
              <w:t>英买力作业区生活污水处理装置处置</w:t>
            </w:r>
          </w:p>
        </w:tc>
        <w:tc>
          <w:tcPr>
            <w:tcW w:w="1278" w:type="pct"/>
            <w:tcBorders>
              <w:tl2br w:val="nil"/>
              <w:tr2bl w:val="nil"/>
            </w:tcBorders>
            <w:noWrap w:val="0"/>
            <w:vAlign w:val="center"/>
          </w:tcPr>
          <w:p w14:paraId="3AF4F6BB">
            <w:pPr>
              <w:spacing w:line="0" w:lineRule="atLeast"/>
              <w:jc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废水不外排</w:t>
            </w:r>
          </w:p>
        </w:tc>
        <w:tc>
          <w:tcPr>
            <w:tcW w:w="467" w:type="pct"/>
            <w:tcBorders>
              <w:tl2br w:val="nil"/>
              <w:tr2bl w:val="nil"/>
            </w:tcBorders>
            <w:noWrap w:val="0"/>
            <w:vAlign w:val="center"/>
          </w:tcPr>
          <w:p w14:paraId="6644F088">
            <w:pPr>
              <w:spacing w:line="0" w:lineRule="atLeast"/>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1</w:t>
            </w:r>
          </w:p>
        </w:tc>
      </w:tr>
      <w:tr w14:paraId="26A226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343" w:type="pct"/>
            <w:vMerge w:val="restart"/>
            <w:tcBorders>
              <w:tl2br w:val="nil"/>
              <w:tr2bl w:val="nil"/>
            </w:tcBorders>
            <w:noWrap w:val="0"/>
            <w:vAlign w:val="center"/>
          </w:tcPr>
          <w:p w14:paraId="50089D20">
            <w:pPr>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地下水、土壤</w:t>
            </w:r>
          </w:p>
        </w:tc>
        <w:tc>
          <w:tcPr>
            <w:tcW w:w="895" w:type="pct"/>
            <w:tcBorders>
              <w:tl2br w:val="nil"/>
              <w:tr2bl w:val="nil"/>
            </w:tcBorders>
            <w:noWrap w:val="0"/>
            <w:vAlign w:val="center"/>
          </w:tcPr>
          <w:p w14:paraId="24DC5B7B">
            <w:pPr>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重点防渗区</w:t>
            </w:r>
          </w:p>
        </w:tc>
        <w:tc>
          <w:tcPr>
            <w:tcW w:w="2015" w:type="pct"/>
            <w:tcBorders>
              <w:tl2br w:val="nil"/>
              <w:tr2bl w:val="nil"/>
            </w:tcBorders>
            <w:noWrap w:val="0"/>
            <w:vAlign w:val="center"/>
          </w:tcPr>
          <w:p w14:paraId="7D2D34E5">
            <w:pPr>
              <w:adjustRightInd w:val="0"/>
              <w:spacing w:line="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防渗层的防渗性能不应低于6.0m厚渗透系数为1.0×10</w:t>
            </w:r>
            <w:r>
              <w:rPr>
                <w:rFonts w:hint="default" w:ascii="Times New Roman" w:hAnsi="Times New Roman" w:eastAsia="宋体" w:cs="Times New Roman"/>
                <w:color w:val="auto"/>
                <w:kern w:val="2"/>
                <w:sz w:val="21"/>
                <w:szCs w:val="21"/>
                <w:highlight w:val="none"/>
                <w:vertAlign w:val="superscript"/>
                <w:lang w:val="en-US" w:eastAsia="zh-CN" w:bidi="ar-SA"/>
              </w:rPr>
              <w:t>-7</w:t>
            </w:r>
            <w:r>
              <w:rPr>
                <w:rFonts w:hint="default" w:ascii="Times New Roman" w:hAnsi="Times New Roman" w:eastAsia="宋体" w:cs="Times New Roman"/>
                <w:color w:val="auto"/>
                <w:kern w:val="2"/>
                <w:sz w:val="21"/>
                <w:szCs w:val="21"/>
                <w:highlight w:val="none"/>
                <w:lang w:val="en-US" w:eastAsia="zh-CN" w:bidi="ar-SA"/>
              </w:rPr>
              <w:t>cm/s的黏土层的防渗性能。施工过程中应有专人负责质量控制，并做好施工记录，同时施工</w:t>
            </w:r>
            <w:r>
              <w:rPr>
                <w:rFonts w:hint="eastAsia" w:cs="Times New Roman"/>
                <w:color w:val="auto"/>
                <w:kern w:val="2"/>
                <w:sz w:val="21"/>
                <w:szCs w:val="21"/>
                <w:highlight w:val="none"/>
                <w:lang w:val="en-US" w:eastAsia="zh-CN" w:bidi="ar-SA"/>
              </w:rPr>
              <w:t>期间</w:t>
            </w:r>
            <w:r>
              <w:rPr>
                <w:rFonts w:hint="default" w:ascii="Times New Roman" w:hAnsi="Times New Roman" w:eastAsia="宋体" w:cs="Times New Roman"/>
                <w:color w:val="auto"/>
                <w:kern w:val="2"/>
                <w:sz w:val="21"/>
                <w:szCs w:val="21"/>
                <w:highlight w:val="none"/>
                <w:lang w:val="en-US" w:eastAsia="zh-CN" w:bidi="ar-SA"/>
              </w:rPr>
              <w:t>应留存施工影像。</w:t>
            </w:r>
          </w:p>
        </w:tc>
        <w:tc>
          <w:tcPr>
            <w:tcW w:w="1278" w:type="pct"/>
            <w:vMerge w:val="restart"/>
            <w:tcBorders>
              <w:tl2br w:val="nil"/>
              <w:tr2bl w:val="nil"/>
            </w:tcBorders>
            <w:noWrap w:val="0"/>
            <w:vAlign w:val="center"/>
          </w:tcPr>
          <w:p w14:paraId="341F8966">
            <w:pPr>
              <w:spacing w:line="0" w:lineRule="atLeast"/>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满足防渗要求</w:t>
            </w:r>
          </w:p>
        </w:tc>
        <w:tc>
          <w:tcPr>
            <w:tcW w:w="467" w:type="pct"/>
            <w:vMerge w:val="restart"/>
            <w:tcBorders>
              <w:tl2br w:val="nil"/>
              <w:tr2bl w:val="nil"/>
            </w:tcBorders>
            <w:noWrap w:val="0"/>
            <w:vAlign w:val="center"/>
          </w:tcPr>
          <w:p w14:paraId="6041110B">
            <w:pPr>
              <w:spacing w:line="0" w:lineRule="atLeas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w:t>
            </w:r>
          </w:p>
        </w:tc>
      </w:tr>
      <w:tr w14:paraId="1DFD4B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343" w:type="pct"/>
            <w:vMerge w:val="continue"/>
            <w:tcBorders>
              <w:tl2br w:val="nil"/>
              <w:tr2bl w:val="nil"/>
            </w:tcBorders>
            <w:noWrap w:val="0"/>
            <w:vAlign w:val="center"/>
          </w:tcPr>
          <w:p w14:paraId="22511AAA">
            <w:pPr>
              <w:snapToGrid w:val="0"/>
              <w:spacing w:line="0" w:lineRule="atLeast"/>
              <w:jc w:val="center"/>
              <w:rPr>
                <w:rFonts w:hint="default" w:ascii="Times New Roman" w:hAnsi="Times New Roman" w:eastAsia="宋体" w:cs="Times New Roman"/>
                <w:color w:val="auto"/>
                <w:sz w:val="21"/>
                <w:szCs w:val="21"/>
                <w:highlight w:val="none"/>
              </w:rPr>
            </w:pPr>
          </w:p>
        </w:tc>
        <w:tc>
          <w:tcPr>
            <w:tcW w:w="895" w:type="pct"/>
            <w:tcBorders>
              <w:tl2br w:val="nil"/>
              <w:tr2bl w:val="nil"/>
            </w:tcBorders>
            <w:noWrap w:val="0"/>
            <w:vAlign w:val="center"/>
          </w:tcPr>
          <w:p w14:paraId="12E2B4E1">
            <w:pPr>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重点防渗区</w:t>
            </w:r>
          </w:p>
        </w:tc>
        <w:tc>
          <w:tcPr>
            <w:tcW w:w="2015" w:type="pct"/>
            <w:tcBorders>
              <w:tl2br w:val="nil"/>
              <w:tr2bl w:val="nil"/>
            </w:tcBorders>
            <w:noWrap w:val="0"/>
            <w:vAlign w:val="center"/>
          </w:tcPr>
          <w:p w14:paraId="2678C260">
            <w:pPr>
              <w:adjustRightInd w:val="0"/>
              <w:spacing w:line="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rPr>
              <w:t>防渗层的防渗性能不应低于1.5m厚，渗透系数为1.0×10</w:t>
            </w:r>
            <w:r>
              <w:rPr>
                <w:rFonts w:hint="default" w:ascii="Times New Roman" w:hAnsi="Times New Roman" w:eastAsia="宋体" w:cs="Times New Roman"/>
                <w:color w:val="auto"/>
                <w:szCs w:val="21"/>
                <w:vertAlign w:val="superscript"/>
              </w:rPr>
              <w:t>-7</w:t>
            </w:r>
            <w:r>
              <w:rPr>
                <w:rFonts w:hint="default" w:ascii="Times New Roman" w:hAnsi="Times New Roman" w:eastAsia="宋体" w:cs="Times New Roman"/>
                <w:color w:val="auto"/>
                <w:szCs w:val="21"/>
              </w:rPr>
              <w:t>cm/s的黏土层的防渗性</w:t>
            </w:r>
            <w:r>
              <w:rPr>
                <w:rFonts w:hint="eastAsia" w:ascii="Times New Roman" w:hAnsi="Times New Roman" w:eastAsia="宋体" w:cs="Times New Roman"/>
                <w:color w:val="auto"/>
                <w:szCs w:val="21"/>
                <w:lang w:eastAsia="zh-CN"/>
              </w:rPr>
              <w:t>。施工过程中应有专人负责质量控制，并做好施工记录，同时施工</w:t>
            </w:r>
            <w:r>
              <w:rPr>
                <w:rFonts w:hint="eastAsia" w:cs="Times New Roman"/>
                <w:color w:val="auto"/>
                <w:szCs w:val="21"/>
                <w:lang w:eastAsia="zh-CN"/>
              </w:rPr>
              <w:t>期间</w:t>
            </w:r>
            <w:r>
              <w:rPr>
                <w:rFonts w:hint="eastAsia" w:ascii="Times New Roman" w:hAnsi="Times New Roman" w:eastAsia="宋体" w:cs="Times New Roman"/>
                <w:color w:val="auto"/>
                <w:szCs w:val="21"/>
                <w:lang w:eastAsia="zh-CN"/>
              </w:rPr>
              <w:t>应留存施工影像。</w:t>
            </w:r>
          </w:p>
        </w:tc>
        <w:tc>
          <w:tcPr>
            <w:tcW w:w="1278" w:type="pct"/>
            <w:vMerge w:val="continue"/>
            <w:tcBorders>
              <w:tl2br w:val="nil"/>
              <w:tr2bl w:val="nil"/>
            </w:tcBorders>
            <w:noWrap w:val="0"/>
            <w:vAlign w:val="center"/>
          </w:tcPr>
          <w:p w14:paraId="2EF38690">
            <w:pPr>
              <w:spacing w:line="0" w:lineRule="atLeast"/>
              <w:jc w:val="center"/>
              <w:rPr>
                <w:rFonts w:hint="default" w:ascii="Times New Roman" w:hAnsi="Times New Roman" w:eastAsia="宋体" w:cs="Times New Roman"/>
                <w:color w:val="auto"/>
                <w:kern w:val="2"/>
                <w:sz w:val="21"/>
                <w:szCs w:val="21"/>
                <w:highlight w:val="none"/>
                <w:lang w:val="en-US" w:eastAsia="zh-CN" w:bidi="ar-SA"/>
              </w:rPr>
            </w:pPr>
          </w:p>
        </w:tc>
        <w:tc>
          <w:tcPr>
            <w:tcW w:w="467" w:type="pct"/>
            <w:vMerge w:val="continue"/>
            <w:tcBorders>
              <w:tl2br w:val="nil"/>
              <w:tr2bl w:val="nil"/>
            </w:tcBorders>
            <w:noWrap w:val="0"/>
            <w:vAlign w:val="center"/>
          </w:tcPr>
          <w:p w14:paraId="70B53D1E">
            <w:pPr>
              <w:spacing w:line="0" w:lineRule="atLeast"/>
              <w:jc w:val="center"/>
              <w:rPr>
                <w:rFonts w:hint="eastAsia" w:cs="Times New Roman"/>
                <w:color w:val="auto"/>
                <w:kern w:val="2"/>
                <w:sz w:val="21"/>
                <w:szCs w:val="21"/>
                <w:lang w:val="en-US" w:eastAsia="zh-CN" w:bidi="ar-SA"/>
              </w:rPr>
            </w:pPr>
          </w:p>
        </w:tc>
      </w:tr>
      <w:tr w14:paraId="1440FD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343" w:type="pct"/>
            <w:vMerge w:val="continue"/>
            <w:tcBorders>
              <w:tl2br w:val="nil"/>
              <w:tr2bl w:val="nil"/>
            </w:tcBorders>
            <w:noWrap w:val="0"/>
            <w:vAlign w:val="center"/>
          </w:tcPr>
          <w:p w14:paraId="78AB8CC4">
            <w:pPr>
              <w:snapToGrid w:val="0"/>
              <w:spacing w:line="0" w:lineRule="atLeast"/>
              <w:jc w:val="center"/>
              <w:rPr>
                <w:rFonts w:hint="default" w:ascii="Times New Roman" w:hAnsi="Times New Roman" w:eastAsia="宋体" w:cs="Times New Roman"/>
                <w:color w:val="auto"/>
                <w:sz w:val="21"/>
                <w:szCs w:val="21"/>
                <w:highlight w:val="none"/>
              </w:rPr>
            </w:pPr>
          </w:p>
        </w:tc>
        <w:tc>
          <w:tcPr>
            <w:tcW w:w="895" w:type="pct"/>
            <w:tcBorders>
              <w:tl2br w:val="nil"/>
              <w:tr2bl w:val="nil"/>
            </w:tcBorders>
            <w:noWrap w:val="0"/>
            <w:vAlign w:val="center"/>
          </w:tcPr>
          <w:p w14:paraId="49AFF1DB">
            <w:pPr>
              <w:spacing w:line="320" w:lineRule="exact"/>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一般</w:t>
            </w:r>
            <w:r>
              <w:rPr>
                <w:rFonts w:hint="default" w:ascii="Times New Roman" w:hAnsi="Times New Roman" w:eastAsia="宋体" w:cs="Times New Roman"/>
                <w:color w:val="auto"/>
                <w:sz w:val="21"/>
                <w:szCs w:val="21"/>
                <w:highlight w:val="none"/>
              </w:rPr>
              <w:t>防渗区</w:t>
            </w:r>
          </w:p>
        </w:tc>
        <w:tc>
          <w:tcPr>
            <w:tcW w:w="2015" w:type="pct"/>
            <w:tcBorders>
              <w:tl2br w:val="nil"/>
              <w:tr2bl w:val="nil"/>
            </w:tcBorders>
            <w:noWrap w:val="0"/>
            <w:vAlign w:val="center"/>
          </w:tcPr>
          <w:p w14:paraId="2C365131">
            <w:pPr>
              <w:adjustRightInd w:val="0"/>
              <w:spacing w:line="0" w:lineRule="atLeast"/>
              <w:jc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Cs w:val="21"/>
              </w:rPr>
              <w:t>一般地面硬化</w:t>
            </w:r>
          </w:p>
        </w:tc>
        <w:tc>
          <w:tcPr>
            <w:tcW w:w="1278" w:type="pct"/>
            <w:vMerge w:val="continue"/>
            <w:tcBorders>
              <w:tl2br w:val="nil"/>
              <w:tr2bl w:val="nil"/>
            </w:tcBorders>
            <w:noWrap w:val="0"/>
            <w:vAlign w:val="center"/>
          </w:tcPr>
          <w:p w14:paraId="639D02C4">
            <w:pPr>
              <w:spacing w:line="0" w:lineRule="atLeast"/>
              <w:jc w:val="center"/>
              <w:rPr>
                <w:rFonts w:hint="eastAsia" w:cs="Times New Roman"/>
                <w:color w:val="auto"/>
                <w:kern w:val="2"/>
                <w:sz w:val="21"/>
                <w:szCs w:val="21"/>
                <w:highlight w:val="none"/>
                <w:lang w:val="en-US" w:eastAsia="zh-CN" w:bidi="ar-SA"/>
              </w:rPr>
            </w:pPr>
          </w:p>
        </w:tc>
        <w:tc>
          <w:tcPr>
            <w:tcW w:w="467" w:type="pct"/>
            <w:vMerge w:val="continue"/>
            <w:tcBorders>
              <w:tl2br w:val="nil"/>
              <w:tr2bl w:val="nil"/>
            </w:tcBorders>
            <w:noWrap w:val="0"/>
            <w:vAlign w:val="center"/>
          </w:tcPr>
          <w:p w14:paraId="1C01D466">
            <w:pPr>
              <w:spacing w:line="0" w:lineRule="atLeast"/>
              <w:jc w:val="center"/>
              <w:rPr>
                <w:rFonts w:hint="eastAsia" w:cs="Times New Roman"/>
                <w:color w:val="auto"/>
                <w:kern w:val="2"/>
                <w:sz w:val="21"/>
                <w:szCs w:val="21"/>
                <w:lang w:val="en-US" w:eastAsia="zh-CN" w:bidi="ar-SA"/>
              </w:rPr>
            </w:pPr>
          </w:p>
        </w:tc>
      </w:tr>
      <w:tr w14:paraId="2CB3EF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343" w:type="pct"/>
            <w:vMerge w:val="continue"/>
            <w:tcBorders>
              <w:tl2br w:val="nil"/>
              <w:tr2bl w:val="nil"/>
            </w:tcBorders>
            <w:noWrap w:val="0"/>
            <w:vAlign w:val="center"/>
          </w:tcPr>
          <w:p w14:paraId="7E9BDB7A">
            <w:pPr>
              <w:snapToGrid w:val="0"/>
              <w:spacing w:line="0" w:lineRule="atLeast"/>
              <w:jc w:val="center"/>
              <w:rPr>
                <w:rFonts w:hint="default" w:ascii="Times New Roman" w:hAnsi="Times New Roman" w:eastAsia="宋体" w:cs="Times New Roman"/>
                <w:color w:val="auto"/>
                <w:sz w:val="21"/>
                <w:szCs w:val="21"/>
                <w:highlight w:val="none"/>
              </w:rPr>
            </w:pPr>
          </w:p>
        </w:tc>
        <w:tc>
          <w:tcPr>
            <w:tcW w:w="895" w:type="pct"/>
            <w:tcBorders>
              <w:tl2br w:val="nil"/>
              <w:tr2bl w:val="nil"/>
            </w:tcBorders>
            <w:noWrap w:val="0"/>
            <w:vAlign w:val="center"/>
          </w:tcPr>
          <w:p w14:paraId="429E50CC">
            <w:pPr>
              <w:spacing w:line="320" w:lineRule="exact"/>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rPr>
              <w:t>管道防腐</w:t>
            </w:r>
          </w:p>
        </w:tc>
        <w:tc>
          <w:tcPr>
            <w:tcW w:w="2015" w:type="pct"/>
            <w:tcBorders>
              <w:tl2br w:val="nil"/>
              <w:tr2bl w:val="nil"/>
            </w:tcBorders>
            <w:noWrap w:val="0"/>
            <w:vAlign w:val="center"/>
          </w:tcPr>
          <w:p w14:paraId="7FA1FECF">
            <w:pPr>
              <w:adjustRightInd w:val="0"/>
              <w:spacing w:line="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rPr>
              <w:t>管线采用普通级二层</w:t>
            </w:r>
            <w:r>
              <w:rPr>
                <w:rFonts w:ascii="Times New Roman" w:hAnsi="Times New Roman" w:cs="Times New Roman"/>
                <w:color w:val="auto"/>
                <w:sz w:val="21"/>
                <w:szCs w:val="21"/>
                <w:highlight w:val="none"/>
              </w:rPr>
              <w:t>PE防腐，补口采用聚乙烯热收缩套</w:t>
            </w:r>
          </w:p>
        </w:tc>
        <w:tc>
          <w:tcPr>
            <w:tcW w:w="1278" w:type="pct"/>
            <w:tcBorders>
              <w:tl2br w:val="nil"/>
              <w:tr2bl w:val="nil"/>
            </w:tcBorders>
            <w:noWrap w:val="0"/>
            <w:vAlign w:val="center"/>
          </w:tcPr>
          <w:p w14:paraId="6234F089">
            <w:pPr>
              <w:spacing w:line="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rPr>
              <w:t>防腐性能良好</w:t>
            </w:r>
          </w:p>
        </w:tc>
        <w:tc>
          <w:tcPr>
            <w:tcW w:w="467" w:type="pct"/>
            <w:tcBorders>
              <w:tl2br w:val="nil"/>
              <w:tr2bl w:val="nil"/>
            </w:tcBorders>
            <w:noWrap w:val="0"/>
            <w:vAlign w:val="center"/>
          </w:tcPr>
          <w:p w14:paraId="52C884AD">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rPr>
              <w:t>纳入工程投资</w:t>
            </w:r>
          </w:p>
        </w:tc>
      </w:tr>
      <w:tr w14:paraId="6B36E4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1238" w:type="pct"/>
            <w:gridSpan w:val="2"/>
            <w:vMerge w:val="restart"/>
            <w:tcBorders>
              <w:tl2br w:val="nil"/>
              <w:tr2bl w:val="nil"/>
            </w:tcBorders>
            <w:noWrap w:val="0"/>
            <w:vAlign w:val="center"/>
          </w:tcPr>
          <w:p w14:paraId="43443ACA">
            <w:pPr>
              <w:spacing w:line="320" w:lineRule="exact"/>
              <w:jc w:val="center"/>
              <w:rPr>
                <w:rFonts w:hint="eastAsia" w:ascii="Times New Roman" w:hAnsi="Times New Roman" w:cs="Times New Roman"/>
                <w:color w:val="auto"/>
                <w:sz w:val="21"/>
                <w:szCs w:val="21"/>
                <w:highlight w:val="yellow"/>
              </w:rPr>
            </w:pPr>
            <w:r>
              <w:rPr>
                <w:rFonts w:ascii="Times New Roman" w:hAnsi="Times New Roman" w:cs="Times New Roman"/>
                <w:color w:val="auto"/>
                <w:sz w:val="21"/>
                <w:szCs w:val="21"/>
              </w:rPr>
              <w:t>环境管理</w:t>
            </w:r>
          </w:p>
        </w:tc>
        <w:tc>
          <w:tcPr>
            <w:tcW w:w="3293" w:type="pct"/>
            <w:gridSpan w:val="2"/>
            <w:tcBorders>
              <w:tl2br w:val="nil"/>
              <w:tr2bl w:val="nil"/>
            </w:tcBorders>
            <w:noWrap w:val="0"/>
            <w:vAlign w:val="center"/>
          </w:tcPr>
          <w:p w14:paraId="345AB371">
            <w:pPr>
              <w:spacing w:line="0" w:lineRule="atLeast"/>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1"/>
                <w:szCs w:val="21"/>
              </w:rPr>
              <w:t>环境影响评价、环境保护竣工验收、运营期环境监测</w:t>
            </w:r>
          </w:p>
        </w:tc>
        <w:tc>
          <w:tcPr>
            <w:tcW w:w="467" w:type="pct"/>
            <w:tcBorders>
              <w:tl2br w:val="nil"/>
              <w:tr2bl w:val="nil"/>
            </w:tcBorders>
            <w:noWrap w:val="0"/>
            <w:vAlign w:val="center"/>
          </w:tcPr>
          <w:p w14:paraId="06683794">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w:t>
            </w:r>
          </w:p>
        </w:tc>
      </w:tr>
      <w:tr w14:paraId="08ED59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1238" w:type="pct"/>
            <w:gridSpan w:val="2"/>
            <w:vMerge w:val="continue"/>
            <w:tcBorders>
              <w:tl2br w:val="nil"/>
              <w:tr2bl w:val="nil"/>
            </w:tcBorders>
            <w:noWrap w:val="0"/>
            <w:vAlign w:val="center"/>
          </w:tcPr>
          <w:p w14:paraId="256F4082">
            <w:pPr>
              <w:spacing w:line="320" w:lineRule="exact"/>
              <w:jc w:val="center"/>
              <w:rPr>
                <w:rFonts w:hint="eastAsia" w:ascii="Times New Roman" w:hAnsi="Times New Roman" w:cs="Times New Roman"/>
                <w:color w:val="auto"/>
                <w:sz w:val="21"/>
                <w:szCs w:val="21"/>
                <w:highlight w:val="yellow"/>
              </w:rPr>
            </w:pPr>
          </w:p>
        </w:tc>
        <w:tc>
          <w:tcPr>
            <w:tcW w:w="3293" w:type="pct"/>
            <w:gridSpan w:val="2"/>
            <w:tcBorders>
              <w:tl2br w:val="nil"/>
              <w:tr2bl w:val="nil"/>
            </w:tcBorders>
            <w:noWrap w:val="0"/>
            <w:vAlign w:val="center"/>
          </w:tcPr>
          <w:p w14:paraId="18FFAC11">
            <w:pPr>
              <w:spacing w:line="0" w:lineRule="atLeast"/>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1"/>
                <w:szCs w:val="21"/>
              </w:rPr>
              <w:t>环保培训，演练</w:t>
            </w:r>
          </w:p>
        </w:tc>
        <w:tc>
          <w:tcPr>
            <w:tcW w:w="467" w:type="pct"/>
            <w:tcBorders>
              <w:tl2br w:val="nil"/>
              <w:tr2bl w:val="nil"/>
            </w:tcBorders>
            <w:noWrap w:val="0"/>
            <w:vAlign w:val="center"/>
          </w:tcPr>
          <w:p w14:paraId="2D5B3854">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p>
        </w:tc>
      </w:tr>
      <w:tr w14:paraId="5B9353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4532" w:type="pct"/>
            <w:gridSpan w:val="4"/>
            <w:tcBorders>
              <w:tl2br w:val="nil"/>
              <w:tr2bl w:val="nil"/>
            </w:tcBorders>
            <w:noWrap w:val="0"/>
            <w:vAlign w:val="center"/>
          </w:tcPr>
          <w:p w14:paraId="463017FB">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环保投资合计</w:t>
            </w:r>
          </w:p>
        </w:tc>
        <w:tc>
          <w:tcPr>
            <w:tcW w:w="467" w:type="pct"/>
            <w:tcBorders>
              <w:tl2br w:val="nil"/>
              <w:tr2bl w:val="nil"/>
            </w:tcBorders>
            <w:noWrap w:val="0"/>
            <w:vAlign w:val="center"/>
          </w:tcPr>
          <w:p w14:paraId="01201779">
            <w:pPr>
              <w:spacing w:line="0" w:lineRule="atLeas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61</w:t>
            </w:r>
          </w:p>
        </w:tc>
      </w:tr>
      <w:bookmarkEnd w:id="780"/>
    </w:tbl>
    <w:p w14:paraId="5E5191E0">
      <w:pPr>
        <w:pStyle w:val="75"/>
        <w:bidi w:val="0"/>
        <w:rPr>
          <w:rFonts w:hint="eastAsia"/>
          <w:color w:val="auto"/>
          <w:lang w:val="en-US" w:eastAsia="zh-CN"/>
        </w:rPr>
      </w:pPr>
      <w:bookmarkStart w:id="785" w:name="_Toc9973"/>
      <w:bookmarkStart w:id="786" w:name="_Toc32160"/>
      <w:bookmarkStart w:id="787" w:name="_Toc119915034"/>
      <w:bookmarkStart w:id="788" w:name="_Toc19261"/>
      <w:bookmarkStart w:id="789" w:name="_Toc27250"/>
      <w:bookmarkStart w:id="790" w:name="_Toc11311"/>
      <w:bookmarkStart w:id="791" w:name="_Toc25184"/>
      <w:r>
        <w:rPr>
          <w:rFonts w:hint="eastAsia"/>
          <w:color w:val="auto"/>
          <w:lang w:val="en-US" w:eastAsia="zh-CN"/>
        </w:rPr>
        <w:t>8.2 社会效益分析</w:t>
      </w:r>
      <w:bookmarkEnd w:id="785"/>
      <w:bookmarkEnd w:id="786"/>
      <w:bookmarkEnd w:id="787"/>
      <w:bookmarkEnd w:id="788"/>
      <w:bookmarkEnd w:id="789"/>
      <w:bookmarkEnd w:id="790"/>
      <w:bookmarkEnd w:id="791"/>
    </w:p>
    <w:p w14:paraId="1F011BF8">
      <w:pPr>
        <w:pStyle w:val="79"/>
        <w:bidi w:val="0"/>
        <w:rPr>
          <w:color w:val="auto"/>
        </w:rPr>
      </w:pPr>
      <w:r>
        <w:rPr>
          <w:rFonts w:hint="eastAsia"/>
          <w:color w:val="auto"/>
          <w:lang w:eastAsia="zh-CN"/>
        </w:rPr>
        <w:t>本工程</w:t>
      </w:r>
      <w:r>
        <w:rPr>
          <w:color w:val="auto"/>
        </w:rPr>
        <w:t>的建设投产，对本地区的经济和社会发展都具有非常重要的意义，主要体现在以下几个方面。</w:t>
      </w:r>
    </w:p>
    <w:p w14:paraId="0808F106">
      <w:pPr>
        <w:pStyle w:val="79"/>
        <w:bidi w:val="0"/>
        <w:rPr>
          <w:color w:val="auto"/>
        </w:rPr>
      </w:pPr>
      <w:r>
        <w:rPr>
          <w:color w:val="auto"/>
        </w:rPr>
        <w:t>（1）大力开发油气资源是贯彻和落实西部大开发战略的重要举措，是把西部地区资源优势转变为经济优势的有力保证，作为主力油源</w:t>
      </w:r>
      <w:r>
        <w:rPr>
          <w:rFonts w:hint="eastAsia"/>
          <w:color w:val="auto"/>
          <w:lang w:val="en-US" w:eastAsia="zh-CN"/>
        </w:rPr>
        <w:t>塔里木</w:t>
      </w:r>
      <w:r>
        <w:rPr>
          <w:color w:val="auto"/>
        </w:rPr>
        <w:t>盆地蕴藏了丰富的油气资源，油气资源的开发，将把新疆丰富的地下资源变为实实在在的经济收益。同时，资源的开发建设伴随着基础设施的完善，这给新疆经济带来了良好的发展机遇。</w:t>
      </w:r>
    </w:p>
    <w:p w14:paraId="626A4274">
      <w:pPr>
        <w:pStyle w:val="79"/>
        <w:bidi w:val="0"/>
        <w:rPr>
          <w:color w:val="auto"/>
        </w:rPr>
      </w:pPr>
      <w:r>
        <w:rPr>
          <w:color w:val="auto"/>
        </w:rPr>
        <w:t>（2）为加快新疆经济发展，保持新疆政治和社会稳定</w:t>
      </w:r>
      <w:r>
        <w:rPr>
          <w:rFonts w:hint="eastAsia"/>
          <w:color w:val="auto"/>
          <w:lang w:eastAsia="zh-CN"/>
        </w:rPr>
        <w:t>具有重大战略意义</w:t>
      </w:r>
      <w:r>
        <w:rPr>
          <w:color w:val="auto"/>
        </w:rPr>
        <w:t>。油气的开发建设对拉动新疆的经济发展将起到重要作用，另外，油气资源开发还可带动当地原油副产品加工利用和相关产业的发展，推动地方发展。总之，</w:t>
      </w:r>
      <w:r>
        <w:rPr>
          <w:rFonts w:hint="eastAsia"/>
          <w:color w:val="auto"/>
          <w:lang w:eastAsia="zh-CN"/>
        </w:rPr>
        <w:t>本工程</w:t>
      </w:r>
      <w:r>
        <w:rPr>
          <w:color w:val="auto"/>
        </w:rPr>
        <w:t>在实施促进新疆的经济发展，保持边疆民族团结和社会稳定等方面，具有特别重要的意义。</w:t>
      </w:r>
    </w:p>
    <w:p w14:paraId="2996E728">
      <w:pPr>
        <w:pStyle w:val="75"/>
        <w:bidi w:val="0"/>
        <w:rPr>
          <w:rFonts w:hint="default"/>
          <w:color w:val="auto"/>
          <w:lang w:val="en-US" w:eastAsia="zh-CN"/>
        </w:rPr>
      </w:pPr>
      <w:bookmarkStart w:id="792" w:name="_Toc119915035"/>
      <w:bookmarkStart w:id="793" w:name="_Toc23145"/>
      <w:bookmarkStart w:id="794" w:name="_Toc27300"/>
      <w:bookmarkStart w:id="795" w:name="_Toc14711"/>
      <w:bookmarkStart w:id="796" w:name="_Toc24892"/>
      <w:bookmarkStart w:id="797" w:name="_Toc23869"/>
      <w:bookmarkStart w:id="798" w:name="_Toc19503"/>
      <w:r>
        <w:rPr>
          <w:rFonts w:hint="eastAsia"/>
          <w:color w:val="auto"/>
          <w:lang w:val="en-US" w:eastAsia="zh-CN"/>
        </w:rPr>
        <w:t>8.3 综合效益</w:t>
      </w:r>
      <w:bookmarkEnd w:id="792"/>
      <w:bookmarkEnd w:id="793"/>
      <w:bookmarkEnd w:id="794"/>
      <w:bookmarkEnd w:id="795"/>
      <w:bookmarkEnd w:id="796"/>
      <w:bookmarkEnd w:id="797"/>
      <w:r>
        <w:rPr>
          <w:rFonts w:hint="eastAsia"/>
          <w:color w:val="auto"/>
          <w:lang w:val="en-US" w:eastAsia="zh-CN"/>
        </w:rPr>
        <w:t>分析</w:t>
      </w:r>
      <w:bookmarkEnd w:id="798"/>
    </w:p>
    <w:p w14:paraId="42221EB4">
      <w:pPr>
        <w:pStyle w:val="79"/>
        <w:bidi w:val="0"/>
        <w:rPr>
          <w:color w:val="auto"/>
        </w:rPr>
      </w:pPr>
      <w:r>
        <w:rPr>
          <w:color w:val="auto"/>
        </w:rPr>
        <w:t>工程总投资</w:t>
      </w:r>
      <w:r>
        <w:rPr>
          <w:rFonts w:hint="eastAsia"/>
          <w:color w:val="auto"/>
          <w:lang w:val="en-US" w:eastAsia="zh-CN"/>
        </w:rPr>
        <w:t>4785.44</w:t>
      </w:r>
      <w:r>
        <w:rPr>
          <w:color w:val="auto"/>
        </w:rPr>
        <w:t>万元，经过建设项目可行性研究报告分析，其在经济上可行。</w:t>
      </w:r>
    </w:p>
    <w:p w14:paraId="090BED34">
      <w:pPr>
        <w:pStyle w:val="75"/>
        <w:bidi w:val="0"/>
        <w:rPr>
          <w:rFonts w:hint="eastAsia"/>
          <w:color w:val="auto"/>
          <w:lang w:val="en-US" w:eastAsia="zh-CN"/>
        </w:rPr>
      </w:pPr>
      <w:bookmarkStart w:id="799" w:name="_Toc119915036"/>
      <w:bookmarkStart w:id="800" w:name="_Toc22946"/>
      <w:bookmarkStart w:id="801" w:name="_Toc31618"/>
      <w:bookmarkStart w:id="802" w:name="_Toc22880"/>
      <w:bookmarkStart w:id="803" w:name="_Toc30056"/>
      <w:bookmarkStart w:id="804" w:name="_Toc20115"/>
      <w:bookmarkStart w:id="805" w:name="_Toc19641"/>
      <w:r>
        <w:rPr>
          <w:rFonts w:hint="eastAsia"/>
          <w:color w:val="auto"/>
          <w:lang w:val="en-US" w:eastAsia="zh-CN"/>
        </w:rPr>
        <w:t xml:space="preserve">8.4 </w:t>
      </w:r>
      <w:bookmarkEnd w:id="799"/>
      <w:bookmarkEnd w:id="800"/>
      <w:bookmarkEnd w:id="801"/>
      <w:bookmarkEnd w:id="802"/>
      <w:bookmarkEnd w:id="803"/>
      <w:bookmarkEnd w:id="804"/>
      <w:r>
        <w:rPr>
          <w:rFonts w:hint="eastAsia"/>
          <w:color w:val="auto"/>
          <w:lang w:val="en-US" w:eastAsia="zh-CN"/>
        </w:rPr>
        <w:t>环境经济损益分析结论</w:t>
      </w:r>
      <w:bookmarkEnd w:id="805"/>
    </w:p>
    <w:p w14:paraId="3925ADAE">
      <w:pPr>
        <w:pStyle w:val="79"/>
        <w:bidi w:val="0"/>
        <w:rPr>
          <w:rFonts w:hint="default"/>
          <w:color w:val="auto"/>
        </w:rPr>
      </w:pPr>
      <w:r>
        <w:rPr>
          <w:rFonts w:hint="default"/>
          <w:color w:val="auto"/>
          <w:lang w:eastAsia="zh-CN"/>
        </w:rPr>
        <w:t>本工程</w:t>
      </w:r>
      <w:r>
        <w:rPr>
          <w:rFonts w:hint="default"/>
          <w:color w:val="auto"/>
        </w:rPr>
        <w:t>经分析具有良好的环境效益、经济效益和社会效益。</w:t>
      </w:r>
    </w:p>
    <w:p w14:paraId="01964E52">
      <w:pPr>
        <w:pStyle w:val="79"/>
        <w:bidi w:val="0"/>
        <w:rPr>
          <w:rFonts w:hint="default"/>
          <w:color w:val="auto"/>
        </w:rPr>
      </w:pPr>
      <w:r>
        <w:rPr>
          <w:rFonts w:hint="default"/>
          <w:color w:val="auto"/>
        </w:rPr>
        <w:t>在建设过程中，由于地面设施建设、敷设管线等都需要占用一定量的土地，并因此带来一定的环境损失。因而在</w:t>
      </w:r>
      <w:r>
        <w:rPr>
          <w:rFonts w:hint="eastAsia"/>
          <w:color w:val="auto"/>
          <w:lang w:eastAsia="zh-CN"/>
        </w:rPr>
        <w:t>油田</w:t>
      </w:r>
      <w:r>
        <w:rPr>
          <w:rFonts w:hint="default"/>
          <w:color w:val="auto"/>
        </w:rPr>
        <w:t>开发过程中，需要投入必要的资金用于污染防治和恢复地貌等，</w:t>
      </w:r>
      <w:bookmarkStart w:id="806" w:name="OLE_LINK213"/>
      <w:r>
        <w:rPr>
          <w:rFonts w:hint="default"/>
          <w:color w:val="auto"/>
        </w:rPr>
        <w:t>经估算该项目环境保护投资约</w:t>
      </w:r>
      <w:r>
        <w:rPr>
          <w:rFonts w:hint="default"/>
          <w:color w:val="auto"/>
          <w:lang w:val="en-US" w:eastAsia="zh-CN"/>
        </w:rPr>
        <w:t>61万元</w:t>
      </w:r>
      <w:r>
        <w:rPr>
          <w:rFonts w:hint="default"/>
          <w:color w:val="auto"/>
        </w:rPr>
        <w:t>，环境保护投资占总投资的</w:t>
      </w:r>
      <w:r>
        <w:rPr>
          <w:rFonts w:hint="eastAsia"/>
          <w:color w:val="auto"/>
          <w:lang w:val="en-US" w:eastAsia="zh-CN"/>
        </w:rPr>
        <w:t>1.27%</w:t>
      </w:r>
      <w:r>
        <w:rPr>
          <w:rFonts w:hint="default"/>
          <w:color w:val="auto"/>
        </w:rPr>
        <w:t>。</w:t>
      </w:r>
      <w:bookmarkEnd w:id="806"/>
      <w:r>
        <w:rPr>
          <w:rFonts w:hint="default"/>
          <w:color w:val="auto"/>
        </w:rPr>
        <w:t>实施相应的环保措施后，可以起到保护环境的效果。</w:t>
      </w:r>
    </w:p>
    <w:bookmarkEnd w:id="719"/>
    <w:bookmarkEnd w:id="727"/>
    <w:bookmarkEnd w:id="728"/>
    <w:bookmarkEnd w:id="729"/>
    <w:bookmarkEnd w:id="730"/>
    <w:p w14:paraId="2667E1B5">
      <w:pPr>
        <w:rPr>
          <w:rFonts w:hint="eastAsia" w:ascii="Times New Roman" w:hAnsi="Times New Roman" w:eastAsia="宋体" w:cs="Times New Roman"/>
          <w:b/>
          <w:color w:val="auto"/>
          <w:kern w:val="44"/>
          <w:sz w:val="36"/>
          <w:szCs w:val="36"/>
          <w:highlight w:val="none"/>
          <w:lang w:val="en-US" w:eastAsia="zh-CN" w:bidi="ar-SA"/>
        </w:rPr>
      </w:pPr>
      <w:bookmarkStart w:id="807" w:name="_Toc507411748"/>
      <w:bookmarkStart w:id="808" w:name="_Toc26747"/>
      <w:bookmarkStart w:id="809" w:name="_Toc14900"/>
      <w:bookmarkStart w:id="810" w:name="_Toc390851615"/>
      <w:bookmarkStart w:id="811" w:name="_Toc119915026"/>
      <w:bookmarkStart w:id="812" w:name="_Toc9735"/>
      <w:bookmarkStart w:id="813" w:name="_Toc9222"/>
      <w:bookmarkStart w:id="814" w:name="_Toc7092"/>
      <w:bookmarkStart w:id="815" w:name="_Toc17499"/>
      <w:bookmarkStart w:id="816" w:name="_Toc2887"/>
      <w:bookmarkStart w:id="817" w:name="_Toc36583848"/>
      <w:bookmarkStart w:id="818" w:name="_Toc510609231"/>
      <w:r>
        <w:rPr>
          <w:rFonts w:hint="eastAsia" w:ascii="Times New Roman" w:hAnsi="Times New Roman" w:eastAsia="宋体" w:cs="Times New Roman"/>
          <w:b/>
          <w:color w:val="auto"/>
          <w:kern w:val="44"/>
          <w:sz w:val="36"/>
          <w:szCs w:val="36"/>
          <w:highlight w:val="none"/>
          <w:lang w:val="en-US" w:eastAsia="zh-CN" w:bidi="ar-SA"/>
        </w:rPr>
        <w:br w:type="page"/>
      </w:r>
    </w:p>
    <w:bookmarkEnd w:id="807"/>
    <w:bookmarkEnd w:id="808"/>
    <w:bookmarkEnd w:id="809"/>
    <w:bookmarkEnd w:id="810"/>
    <w:bookmarkEnd w:id="811"/>
    <w:bookmarkEnd w:id="812"/>
    <w:bookmarkEnd w:id="813"/>
    <w:bookmarkEnd w:id="814"/>
    <w:bookmarkEnd w:id="815"/>
    <w:bookmarkEnd w:id="816"/>
    <w:bookmarkEnd w:id="817"/>
    <w:bookmarkEnd w:id="818"/>
    <w:p w14:paraId="2E6AE6D6">
      <w:pPr>
        <w:pStyle w:val="49"/>
        <w:bidi w:val="0"/>
        <w:rPr>
          <w:rFonts w:hint="default"/>
          <w:color w:val="auto"/>
          <w:lang w:val="en-US" w:eastAsia="zh-CN"/>
        </w:rPr>
      </w:pPr>
      <w:bookmarkStart w:id="819" w:name="_Toc20741"/>
      <w:bookmarkStart w:id="820" w:name="_Toc119915037"/>
      <w:bookmarkStart w:id="821" w:name="_Toc5768"/>
      <w:bookmarkStart w:id="822" w:name="_Toc2985"/>
      <w:bookmarkStart w:id="823" w:name="_Toc16592"/>
      <w:bookmarkStart w:id="824" w:name="_Toc7725"/>
      <w:bookmarkStart w:id="825" w:name="_Toc16874"/>
      <w:bookmarkStart w:id="826" w:name="_Toc6575"/>
      <w:bookmarkStart w:id="827" w:name="_Toc4918"/>
      <w:bookmarkStart w:id="828" w:name="_Toc297590834"/>
      <w:bookmarkStart w:id="829" w:name="_Toc508291911"/>
      <w:bookmarkStart w:id="830" w:name="_Toc280955044"/>
      <w:bookmarkStart w:id="831" w:name="_Toc340140066"/>
      <w:bookmarkStart w:id="832" w:name="_Toc24998"/>
      <w:bookmarkStart w:id="833" w:name="_Toc374724242"/>
      <w:bookmarkStart w:id="834" w:name="_Toc361761885"/>
      <w:bookmarkStart w:id="835" w:name="_Toc255293829"/>
      <w:bookmarkStart w:id="836" w:name="_Toc280954967"/>
      <w:bookmarkStart w:id="837" w:name="_Toc353966793"/>
      <w:r>
        <w:rPr>
          <w:rFonts w:hint="eastAsia"/>
          <w:color w:val="auto"/>
          <w:lang w:val="en-US" w:eastAsia="zh-CN"/>
        </w:rPr>
        <w:t>9 环境管理</w:t>
      </w:r>
      <w:bookmarkEnd w:id="819"/>
      <w:bookmarkEnd w:id="820"/>
      <w:bookmarkEnd w:id="821"/>
      <w:bookmarkEnd w:id="822"/>
      <w:bookmarkEnd w:id="823"/>
      <w:bookmarkEnd w:id="824"/>
      <w:r>
        <w:rPr>
          <w:rFonts w:hint="eastAsia"/>
          <w:color w:val="auto"/>
          <w:lang w:val="en-US" w:eastAsia="zh-CN"/>
        </w:rPr>
        <w:t>与监测计划</w:t>
      </w:r>
      <w:bookmarkEnd w:id="825"/>
    </w:p>
    <w:p w14:paraId="0D97DB91">
      <w:pPr>
        <w:pStyle w:val="75"/>
        <w:bidi w:val="0"/>
        <w:rPr>
          <w:color w:val="auto"/>
          <w:lang w:val="en-US" w:eastAsia="zh-CN"/>
        </w:rPr>
      </w:pPr>
      <w:bookmarkStart w:id="838" w:name="_Toc24901"/>
      <w:bookmarkStart w:id="839" w:name="_Toc29853"/>
      <w:bookmarkStart w:id="840" w:name="_Toc28043"/>
      <w:bookmarkStart w:id="841" w:name="_Toc119915038"/>
      <w:bookmarkStart w:id="842" w:name="_Toc3108"/>
      <w:bookmarkStart w:id="843" w:name="_Toc26508"/>
      <w:r>
        <w:rPr>
          <w:rFonts w:hint="eastAsia"/>
          <w:color w:val="auto"/>
          <w:lang w:val="en-US" w:eastAsia="zh-CN"/>
        </w:rPr>
        <w:t>9</w:t>
      </w:r>
      <w:r>
        <w:rPr>
          <w:color w:val="auto"/>
          <w:lang w:val="en-US" w:eastAsia="zh-CN"/>
        </w:rPr>
        <w:t>.1</w:t>
      </w:r>
      <w:r>
        <w:rPr>
          <w:rFonts w:hint="eastAsia"/>
          <w:color w:val="auto"/>
          <w:lang w:val="en-US" w:eastAsia="zh-CN"/>
        </w:rPr>
        <w:t xml:space="preserve"> 环境管理</w:t>
      </w:r>
      <w:bookmarkEnd w:id="838"/>
      <w:bookmarkEnd w:id="839"/>
      <w:bookmarkEnd w:id="840"/>
      <w:bookmarkEnd w:id="841"/>
      <w:bookmarkEnd w:id="842"/>
      <w:bookmarkEnd w:id="843"/>
    </w:p>
    <w:p w14:paraId="4B72F7A4">
      <w:pPr>
        <w:pStyle w:val="54"/>
        <w:bidi w:val="0"/>
        <w:rPr>
          <w:rFonts w:hint="default"/>
          <w:color w:val="auto"/>
          <w:lang w:val="en-US" w:eastAsia="zh-CN"/>
        </w:rPr>
      </w:pPr>
      <w:r>
        <w:rPr>
          <w:rFonts w:hint="eastAsia"/>
          <w:color w:val="auto"/>
          <w:lang w:val="en-US" w:eastAsia="zh-CN"/>
        </w:rPr>
        <w:t>9.1.1环境管理机构及职责</w:t>
      </w:r>
    </w:p>
    <w:p w14:paraId="3FDDC4F9">
      <w:pPr>
        <w:pStyle w:val="55"/>
        <w:bidi w:val="0"/>
        <w:rPr>
          <w:color w:val="auto"/>
          <w:lang w:val="en-US" w:eastAsia="zh-CN"/>
        </w:rPr>
      </w:pPr>
      <w:r>
        <w:rPr>
          <w:rFonts w:hint="eastAsia"/>
          <w:color w:val="auto"/>
          <w:lang w:val="en-US" w:eastAsia="zh-CN"/>
        </w:rPr>
        <w:t>9.1.1</w:t>
      </w:r>
      <w:r>
        <w:rPr>
          <w:color w:val="auto"/>
          <w:lang w:val="en-US" w:eastAsia="zh-CN"/>
        </w:rPr>
        <w:t>.1</w:t>
      </w:r>
      <w:bookmarkStart w:id="844" w:name="_Hlk118811229"/>
      <w:r>
        <w:rPr>
          <w:rFonts w:hint="eastAsia"/>
          <w:color w:val="auto"/>
          <w:lang w:val="en-US" w:eastAsia="zh-CN"/>
        </w:rPr>
        <w:t xml:space="preserve"> 决策机构</w:t>
      </w:r>
      <w:bookmarkEnd w:id="844"/>
    </w:p>
    <w:p w14:paraId="0E4087B8">
      <w:pPr>
        <w:pStyle w:val="79"/>
        <w:bidi w:val="0"/>
        <w:rPr>
          <w:rFonts w:hint="default"/>
          <w:color w:val="auto"/>
          <w:lang w:eastAsia="zh-CN"/>
        </w:rPr>
      </w:pPr>
      <w:r>
        <w:rPr>
          <w:rFonts w:hint="default"/>
          <w:color w:val="auto"/>
          <w:lang w:eastAsia="zh-CN"/>
        </w:rPr>
        <w:t>本项目的HSE（健康、安全和环境管理体系的简称）管理机构应实行逐级负责制，受中国石油天然气股份有限公司塔里木油田分公司HSE委员会的直接领导和监督</w:t>
      </w:r>
      <w:r>
        <w:rPr>
          <w:rFonts w:hint="eastAsia"/>
          <w:color w:val="auto"/>
          <w:lang w:eastAsia="zh-CN"/>
        </w:rPr>
        <w:t>，本</w:t>
      </w:r>
      <w:r>
        <w:rPr>
          <w:rFonts w:hint="default"/>
          <w:color w:val="auto"/>
          <w:lang w:eastAsia="zh-CN"/>
        </w:rPr>
        <w:t>项目的环保管理机构中国石油天然气股份有限公司塔里木油田分公司设安全环保质量部，并设专人负责工程开发建设期的环境保护工作。</w:t>
      </w:r>
    </w:p>
    <w:p w14:paraId="59D3D8A7">
      <w:pPr>
        <w:pStyle w:val="79"/>
        <w:bidi w:val="0"/>
        <w:rPr>
          <w:color w:val="auto"/>
        </w:rPr>
      </w:pPr>
      <w:r>
        <w:rPr>
          <w:rFonts w:hint="default"/>
          <w:color w:val="auto"/>
          <w:lang w:eastAsia="zh-CN"/>
        </w:rPr>
        <w:t>中国石油天然气股份有限公司塔里木油田分公司负责该项目的组织，协调工作，与自治区有关地方政府协商提供必要支持，并协调地面工程的分工协作工作，包括生态环境建设和保护的宏观管理和决策。</w:t>
      </w:r>
    </w:p>
    <w:p w14:paraId="31CDBDB2">
      <w:pPr>
        <w:pStyle w:val="55"/>
        <w:bidi w:val="0"/>
        <w:rPr>
          <w:rFonts w:hint="eastAsia"/>
          <w:color w:val="auto"/>
          <w:lang w:val="en-US" w:eastAsia="zh-CN"/>
        </w:rPr>
      </w:pPr>
      <w:r>
        <w:rPr>
          <w:rFonts w:hint="eastAsia"/>
          <w:color w:val="auto"/>
          <w:lang w:val="en-US" w:eastAsia="zh-CN"/>
        </w:rPr>
        <w:t>9.1.1.2 实施与管理机构</w:t>
      </w:r>
    </w:p>
    <w:p w14:paraId="1EC253DF">
      <w:pPr>
        <w:pStyle w:val="79"/>
        <w:bidi w:val="0"/>
        <w:rPr>
          <w:rFonts w:hint="eastAsia"/>
          <w:color w:val="auto"/>
          <w:lang w:val="en-US" w:eastAsia="zh-CN"/>
        </w:rPr>
      </w:pPr>
      <w:r>
        <w:rPr>
          <w:rFonts w:hint="eastAsia"/>
          <w:color w:val="auto"/>
          <w:lang w:val="en-US" w:eastAsia="zh-CN"/>
        </w:rPr>
        <w:t>塔里木油田分公司建立了三级环境保护管理机构，形成了较为完善的环境管理网络。油田分公司HSE管理委员会及其办公室为一级管理职能机构，各单位HSE管理委员会及其办公室为二级管理职能机构，基层单位HSE管理小组及办公室为三级管理机构。</w:t>
      </w:r>
    </w:p>
    <w:p w14:paraId="017B140A">
      <w:pPr>
        <w:pStyle w:val="79"/>
        <w:bidi w:val="0"/>
        <w:rPr>
          <w:rFonts w:hint="default"/>
          <w:color w:val="auto"/>
        </w:rPr>
      </w:pPr>
      <w:r>
        <w:rPr>
          <w:rFonts w:hint="eastAsia"/>
          <w:color w:val="auto"/>
          <w:lang w:val="en-US" w:eastAsia="zh-CN"/>
        </w:rPr>
        <w:t>雄英油田隶属英买采油气管理区管理，英买采油气管理区按照油田公司的统一规定，采油气管理区设有HSE管理委员会，并设有安全环保主管领导和安全环保科及环保专职人员。下属各基层单位的行政正职分别是基层单位环境保护第一负责人，负责建立其HSE管理委员会及办公室，领导环境保护管理工作。截至评价期，英买油气田已建立了由油气田主要负责人负责、HSE管理领导小组监督、HSE专、兼职人员全面负责的环境管理体系。</w:t>
      </w:r>
    </w:p>
    <w:p w14:paraId="389437D1">
      <w:pPr>
        <w:pStyle w:val="55"/>
        <w:bidi w:val="0"/>
        <w:rPr>
          <w:rFonts w:hint="eastAsia"/>
          <w:color w:val="auto"/>
          <w:lang w:val="en-US" w:eastAsia="zh-CN"/>
        </w:rPr>
      </w:pPr>
      <w:r>
        <w:rPr>
          <w:rFonts w:hint="eastAsia"/>
          <w:color w:val="auto"/>
          <w:lang w:val="en-US" w:eastAsia="zh-CN"/>
        </w:rPr>
        <w:t>9.1.1.3 监督机构</w:t>
      </w:r>
    </w:p>
    <w:p w14:paraId="49D06CFA">
      <w:pPr>
        <w:pStyle w:val="79"/>
        <w:bidi w:val="0"/>
        <w:rPr>
          <w:rFonts w:hint="eastAsia"/>
          <w:color w:val="auto"/>
        </w:rPr>
      </w:pPr>
      <w:r>
        <w:rPr>
          <w:rFonts w:hint="eastAsia"/>
          <w:color w:val="auto"/>
        </w:rPr>
        <w:t>新疆维吾尔自治区生态环境厅是新疆维吾尔自治区负责环境管理的最高行政职能机构，负责检查该项目环境影响评价的执行情况，审查该项目的环境影响评价报告书，指导阿克苏地区生态环境局、阿克苏地区生态环境局</w:t>
      </w:r>
      <w:r>
        <w:rPr>
          <w:rFonts w:hint="eastAsia"/>
          <w:color w:val="auto"/>
          <w:lang w:val="en-US" w:eastAsia="zh-CN"/>
        </w:rPr>
        <w:t>温宿县分局</w:t>
      </w:r>
      <w:r>
        <w:rPr>
          <w:rFonts w:hint="eastAsia"/>
          <w:color w:val="auto"/>
        </w:rPr>
        <w:t>对该项目在建设期与运营期的日常环境管理工作。</w:t>
      </w:r>
    </w:p>
    <w:p w14:paraId="24D9F509">
      <w:pPr>
        <w:pStyle w:val="79"/>
        <w:bidi w:val="0"/>
        <w:rPr>
          <w:rFonts w:hint="eastAsia"/>
          <w:color w:val="auto"/>
        </w:rPr>
      </w:pPr>
      <w:r>
        <w:rPr>
          <w:rFonts w:hint="eastAsia"/>
          <w:color w:val="auto"/>
        </w:rPr>
        <w:t>阿克苏地区生态环境局、阿克苏地区生态环境局</w:t>
      </w:r>
      <w:r>
        <w:rPr>
          <w:rFonts w:hint="eastAsia"/>
          <w:color w:val="auto"/>
          <w:lang w:val="en-US" w:eastAsia="zh-CN"/>
        </w:rPr>
        <w:t>温宿县分局</w:t>
      </w:r>
      <w:r>
        <w:rPr>
          <w:rFonts w:hint="eastAsia"/>
          <w:color w:val="auto"/>
        </w:rPr>
        <w:t>是具体负责环境管理的职能机构，受自治区生态环境厅业务指导，监督辖区内</w:t>
      </w:r>
      <w:r>
        <w:rPr>
          <w:rFonts w:hint="eastAsia"/>
          <w:color w:val="auto"/>
          <w:lang w:eastAsia="zh-CN"/>
        </w:rPr>
        <w:t>油气田</w:t>
      </w:r>
      <w:r>
        <w:rPr>
          <w:rFonts w:hint="eastAsia"/>
          <w:color w:val="auto"/>
        </w:rPr>
        <w:t>开发单位执行环境监控计划及有关环境管理的法律法规和环境标准。</w:t>
      </w:r>
    </w:p>
    <w:p w14:paraId="57BD0E8A">
      <w:pPr>
        <w:pStyle w:val="54"/>
        <w:bidi w:val="0"/>
        <w:rPr>
          <w:rFonts w:hint="eastAsia"/>
          <w:color w:val="auto"/>
          <w:lang w:val="en-US" w:eastAsia="zh-CN"/>
        </w:rPr>
      </w:pPr>
      <w:bookmarkStart w:id="845" w:name="_Toc22536"/>
      <w:bookmarkStart w:id="846" w:name="_Toc17615"/>
      <w:bookmarkStart w:id="847" w:name="_Toc17223"/>
      <w:bookmarkStart w:id="848" w:name="_Toc2773"/>
      <w:bookmarkStart w:id="849" w:name="_Toc19052"/>
      <w:bookmarkStart w:id="850" w:name="_Toc119915039"/>
      <w:r>
        <w:rPr>
          <w:rFonts w:hint="eastAsia"/>
          <w:color w:val="auto"/>
          <w:lang w:val="en-US" w:eastAsia="zh-CN"/>
        </w:rPr>
        <w:t xml:space="preserve">9.1.2 </w:t>
      </w:r>
      <w:bookmarkEnd w:id="845"/>
      <w:bookmarkEnd w:id="846"/>
      <w:bookmarkEnd w:id="847"/>
      <w:bookmarkEnd w:id="848"/>
      <w:bookmarkEnd w:id="849"/>
      <w:bookmarkEnd w:id="850"/>
      <w:r>
        <w:rPr>
          <w:rFonts w:hint="eastAsia"/>
          <w:color w:val="auto"/>
          <w:lang w:val="en-US" w:eastAsia="zh-CN"/>
        </w:rPr>
        <w:t>施工期的环境管理任务</w:t>
      </w:r>
    </w:p>
    <w:p w14:paraId="6BB82631">
      <w:pPr>
        <w:pStyle w:val="55"/>
        <w:bidi w:val="0"/>
        <w:rPr>
          <w:rFonts w:hint="eastAsia"/>
          <w:color w:val="auto"/>
          <w:lang w:val="en-US" w:eastAsia="zh-CN"/>
        </w:rPr>
      </w:pPr>
      <w:r>
        <w:rPr>
          <w:rFonts w:hint="eastAsia"/>
          <w:color w:val="auto"/>
          <w:lang w:val="en-US" w:eastAsia="zh-CN"/>
        </w:rPr>
        <w:t>9.1.2.1 承包方的环境管理</w:t>
      </w:r>
    </w:p>
    <w:p w14:paraId="6E7F12BA">
      <w:pPr>
        <w:pStyle w:val="79"/>
        <w:bidi w:val="0"/>
        <w:rPr>
          <w:rFonts w:hint="default"/>
          <w:color w:val="auto"/>
        </w:rPr>
      </w:pPr>
      <w:r>
        <w:rPr>
          <w:rFonts w:hint="default"/>
          <w:color w:val="auto"/>
        </w:rPr>
        <w:t>本项目开发在对施工承包方管理上应按照HSE（健康、安全、环保）管理程序进行管理，具体见图8.2-1。</w:t>
      </w:r>
    </w:p>
    <w:p w14:paraId="6AA5D6C1">
      <w:pPr>
        <w:ind w:firstLine="422"/>
        <w:jc w:val="center"/>
        <w:rPr>
          <w:rFonts w:hint="eastAsia" w:ascii="黑体" w:hAnsi="黑体" w:eastAsia="黑体" w:cs="黑体"/>
          <w:b/>
          <w:color w:val="auto"/>
          <w:sz w:val="24"/>
          <w:szCs w:val="24"/>
          <w:lang w:val="en-US" w:eastAsia="zh-CN"/>
        </w:rPr>
      </w:pPr>
    </w:p>
    <w:p w14:paraId="1B83345F">
      <w:pPr>
        <w:ind w:firstLine="422"/>
        <w:jc w:val="center"/>
        <w:rPr>
          <w:rFonts w:hint="eastAsia" w:ascii="黑体" w:hAnsi="黑体" w:eastAsia="黑体" w:cs="黑体"/>
          <w:b/>
          <w:color w:val="auto"/>
          <w:sz w:val="24"/>
          <w:szCs w:val="24"/>
          <w:lang w:val="en-US" w:eastAsia="zh-CN"/>
        </w:rPr>
      </w:pPr>
    </w:p>
    <w:p w14:paraId="1DF6DF0E">
      <w:pPr>
        <w:ind w:firstLine="422"/>
        <w:jc w:val="center"/>
        <w:rPr>
          <w:rFonts w:hint="eastAsia" w:ascii="黑体" w:hAnsi="黑体" w:eastAsia="黑体" w:cs="黑体"/>
          <w:b/>
          <w:color w:val="auto"/>
          <w:sz w:val="24"/>
          <w:szCs w:val="24"/>
          <w:lang w:val="en-US" w:eastAsia="zh-CN"/>
        </w:rPr>
      </w:pPr>
    </w:p>
    <w:p w14:paraId="7C049C77">
      <w:pPr>
        <w:ind w:firstLine="422"/>
        <w:jc w:val="center"/>
        <w:rPr>
          <w:rFonts w:hint="eastAsia" w:ascii="黑体" w:hAnsi="黑体" w:eastAsia="黑体" w:cs="黑体"/>
          <w:b/>
          <w:color w:val="auto"/>
          <w:sz w:val="24"/>
          <w:szCs w:val="24"/>
          <w:lang w:val="en-US" w:eastAsia="zh-CN"/>
        </w:rPr>
      </w:pPr>
    </w:p>
    <w:p w14:paraId="06254FD3">
      <w:pPr>
        <w:ind w:firstLine="422"/>
        <w:jc w:val="center"/>
        <w:rPr>
          <w:rFonts w:hint="eastAsia" w:ascii="黑体" w:hAnsi="黑体" w:eastAsia="黑体" w:cs="黑体"/>
          <w:b/>
          <w:color w:val="auto"/>
          <w:sz w:val="24"/>
          <w:szCs w:val="24"/>
          <w:lang w:val="en-US" w:eastAsia="zh-CN"/>
        </w:rPr>
      </w:pPr>
    </w:p>
    <w:p w14:paraId="7AC8478F">
      <w:pPr>
        <w:ind w:firstLine="422"/>
        <w:jc w:val="center"/>
        <w:rPr>
          <w:rFonts w:hint="eastAsia" w:ascii="黑体" w:hAnsi="黑体" w:eastAsia="黑体" w:cs="黑体"/>
          <w:b/>
          <w:color w:val="auto"/>
          <w:sz w:val="24"/>
          <w:szCs w:val="24"/>
          <w:lang w:val="en-US" w:eastAsia="zh-CN"/>
        </w:rPr>
      </w:pPr>
    </w:p>
    <w:p w14:paraId="04DE3490">
      <w:pPr>
        <w:ind w:firstLine="422"/>
        <w:jc w:val="center"/>
        <w:rPr>
          <w:rFonts w:hint="eastAsia" w:ascii="黑体" w:hAnsi="黑体" w:eastAsia="黑体" w:cs="黑体"/>
          <w:b/>
          <w:color w:val="auto"/>
          <w:sz w:val="24"/>
          <w:szCs w:val="24"/>
          <w:lang w:val="en-US" w:eastAsia="zh-CN"/>
        </w:rPr>
      </w:pPr>
    </w:p>
    <w:p w14:paraId="6C966301">
      <w:pPr>
        <w:ind w:firstLine="422"/>
        <w:jc w:val="center"/>
        <w:rPr>
          <w:rFonts w:hint="eastAsia" w:ascii="黑体" w:hAnsi="黑体" w:eastAsia="黑体" w:cs="黑体"/>
          <w:b/>
          <w:color w:val="auto"/>
          <w:sz w:val="24"/>
          <w:szCs w:val="24"/>
          <w:lang w:val="en-US" w:eastAsia="zh-CN"/>
        </w:rPr>
      </w:pPr>
    </w:p>
    <w:p w14:paraId="4EEF7B66">
      <w:pPr>
        <w:ind w:firstLine="422"/>
        <w:jc w:val="center"/>
        <w:rPr>
          <w:rFonts w:hint="eastAsia" w:ascii="黑体" w:hAnsi="黑体" w:eastAsia="黑体" w:cs="黑体"/>
          <w:b/>
          <w:color w:val="auto"/>
          <w:sz w:val="24"/>
          <w:szCs w:val="24"/>
          <w:lang w:val="en-US" w:eastAsia="zh-CN"/>
        </w:rPr>
      </w:pPr>
    </w:p>
    <w:p w14:paraId="1FA53B67">
      <w:pPr>
        <w:ind w:firstLine="422"/>
        <w:jc w:val="center"/>
        <w:rPr>
          <w:rFonts w:hint="eastAsia" w:ascii="黑体" w:hAnsi="黑体" w:eastAsia="黑体" w:cs="黑体"/>
          <w:b/>
          <w:color w:val="auto"/>
          <w:sz w:val="24"/>
          <w:szCs w:val="24"/>
          <w:lang w:val="en-US" w:eastAsia="zh-CN"/>
        </w:rPr>
      </w:pPr>
    </w:p>
    <w:p w14:paraId="45CAF828">
      <w:pPr>
        <w:ind w:firstLine="422"/>
        <w:jc w:val="center"/>
        <w:rPr>
          <w:rFonts w:hint="eastAsia" w:ascii="黑体" w:hAnsi="黑体" w:eastAsia="黑体" w:cs="黑体"/>
          <w:b/>
          <w:color w:val="auto"/>
          <w:sz w:val="24"/>
          <w:szCs w:val="24"/>
          <w:lang w:val="en-US" w:eastAsia="zh-CN"/>
        </w:rPr>
      </w:pPr>
    </w:p>
    <w:p w14:paraId="1EF75D42">
      <w:pPr>
        <w:ind w:firstLine="422"/>
        <w:jc w:val="center"/>
        <w:rPr>
          <w:rFonts w:hint="eastAsia" w:ascii="黑体" w:hAnsi="黑体" w:eastAsia="黑体" w:cs="黑体"/>
          <w:b/>
          <w:color w:val="auto"/>
          <w:sz w:val="24"/>
          <w:szCs w:val="24"/>
          <w:lang w:val="en-US" w:eastAsia="zh-CN"/>
        </w:rPr>
      </w:pPr>
    </w:p>
    <w:p w14:paraId="093A1187">
      <w:pPr>
        <w:ind w:firstLine="422"/>
        <w:jc w:val="center"/>
        <w:rPr>
          <w:rFonts w:hint="eastAsia" w:ascii="黑体" w:hAnsi="黑体" w:eastAsia="黑体" w:cs="黑体"/>
          <w:b/>
          <w:color w:val="auto"/>
          <w:sz w:val="24"/>
          <w:szCs w:val="24"/>
          <w:lang w:val="en-US" w:eastAsia="zh-CN"/>
        </w:rPr>
      </w:pPr>
    </w:p>
    <w:p w14:paraId="63AB8FDB">
      <w:pPr>
        <w:ind w:firstLine="422"/>
        <w:jc w:val="center"/>
        <w:rPr>
          <w:rFonts w:hint="eastAsia" w:ascii="黑体" w:hAnsi="黑体" w:eastAsia="黑体" w:cs="黑体"/>
          <w:b/>
          <w:color w:val="auto"/>
          <w:sz w:val="24"/>
          <w:szCs w:val="24"/>
          <w:lang w:val="zh-CN"/>
        </w:rPr>
      </w:pPr>
      <w:r>
        <w:rPr>
          <w:rFonts w:hint="eastAsia" w:ascii="黑体" w:hAnsi="黑体" w:eastAsia="黑体" w:cs="黑体"/>
          <w:b/>
          <w:color w:val="auto"/>
          <w:sz w:val="24"/>
          <w:szCs w:val="24"/>
          <w:lang w:val="en-US" w:eastAsia="zh-CN"/>
        </w:rPr>
        <w:t>9.1</w:t>
      </w:r>
      <w:r>
        <w:rPr>
          <w:rFonts w:hint="eastAsia" w:ascii="黑体" w:hAnsi="黑体" w:eastAsia="黑体" w:cs="黑体"/>
          <w:b/>
          <w:color w:val="auto"/>
          <w:sz w:val="24"/>
          <w:szCs w:val="24"/>
          <w:lang w:val="zh-CN"/>
        </w:rPr>
        <w:t>-1 分承包方HSE管理程序方框图</w:t>
      </w:r>
    </w:p>
    <w:p w14:paraId="326FCA44">
      <w:pPr>
        <w:pStyle w:val="79"/>
        <w:bidi w:val="0"/>
        <w:rPr>
          <w:rFonts w:hint="default"/>
          <w:color w:val="auto"/>
        </w:rPr>
      </w:pPr>
      <w:r>
        <w:rPr>
          <w:rFonts w:hint="default"/>
          <w:color w:val="auto"/>
        </w:rPr>
        <w:t>（1）分承包方的选择</w:t>
      </w:r>
    </w:p>
    <w:p w14:paraId="16EB6633">
      <w:pPr>
        <w:pStyle w:val="79"/>
        <w:bidi w:val="0"/>
        <w:rPr>
          <w:rFonts w:hint="default"/>
          <w:color w:val="auto"/>
        </w:rPr>
      </w:pPr>
      <w:r>
        <w:rPr>
          <w:rFonts w:hint="default"/>
          <w:color w:val="auto"/>
        </w:rPr>
        <w:t>开发建设期对环境的破坏程度与施工承包方的素质和管理水平有很大关系。在承包方的选择上，除实力、人员素质和装备技术等方面外，还要考虑施工承包方的HSE表现，应优先那些HSE管理水平高、业绩好的单位。</w:t>
      </w:r>
    </w:p>
    <w:p w14:paraId="6671A727">
      <w:pPr>
        <w:pStyle w:val="79"/>
        <w:bidi w:val="0"/>
        <w:rPr>
          <w:rFonts w:hint="default"/>
          <w:color w:val="auto"/>
        </w:rPr>
      </w:pPr>
      <w:r>
        <w:rPr>
          <w:rFonts w:hint="default"/>
          <w:color w:val="auto"/>
        </w:rPr>
        <w:t>（2）对分承包方的环保要求</w:t>
      </w:r>
    </w:p>
    <w:p w14:paraId="33056C70">
      <w:pPr>
        <w:pStyle w:val="79"/>
        <w:bidi w:val="0"/>
        <w:rPr>
          <w:rFonts w:hint="default"/>
          <w:color w:val="auto"/>
        </w:rPr>
      </w:pPr>
      <w:r>
        <w:rPr>
          <w:rFonts w:hint="default"/>
          <w:color w:val="auto"/>
        </w:rPr>
        <w:t>在承包合同中应明确规定有关环境保护条款，如对承包工程的主要环境保护目标，应采取的水、气、声、生态保护措施等，将环保工作的执行情况作为工程验收的标准之一。承包方应按照公司HSE体系要求，建立相应的HSE管理机构。</w:t>
      </w:r>
    </w:p>
    <w:p w14:paraId="3E2700B0">
      <w:pPr>
        <w:pStyle w:val="79"/>
        <w:bidi w:val="0"/>
        <w:rPr>
          <w:rFonts w:hint="default"/>
          <w:color w:val="auto"/>
        </w:rPr>
      </w:pPr>
      <w:r>
        <w:rPr>
          <w:rFonts w:hint="default"/>
          <w:color w:val="auto"/>
        </w:rPr>
        <w:t>承包方在施工之前，应按照其承包工程的环保要求，编制详细的“环境管理方案”，并连同施工计划一起呈报公司的HSE管理部门以及相关的地方生态环境管理部门，批准后方可以开工。</w:t>
      </w:r>
    </w:p>
    <w:p w14:paraId="6FCE257E">
      <w:pPr>
        <w:pStyle w:val="79"/>
        <w:bidi w:val="0"/>
        <w:rPr>
          <w:rFonts w:hint="default"/>
          <w:color w:val="auto"/>
        </w:rPr>
      </w:pPr>
      <w:r>
        <w:rPr>
          <w:rFonts w:hint="default"/>
          <w:color w:val="auto"/>
        </w:rPr>
        <w:t>（3）对施工人员进行HSE培训</w:t>
      </w:r>
    </w:p>
    <w:p w14:paraId="1A2ED099">
      <w:pPr>
        <w:pStyle w:val="79"/>
        <w:bidi w:val="0"/>
        <w:rPr>
          <w:rFonts w:hint="default"/>
          <w:color w:val="auto"/>
        </w:rPr>
      </w:pPr>
      <w:r>
        <w:rPr>
          <w:rFonts w:hint="default"/>
          <w:color w:val="auto"/>
        </w:rPr>
        <w:t>在施工作业之前必须对全体施工人员进行HSE培训。</w:t>
      </w:r>
    </w:p>
    <w:p w14:paraId="755B9F2A">
      <w:pPr>
        <w:pStyle w:val="79"/>
        <w:bidi w:val="0"/>
        <w:rPr>
          <w:rFonts w:hint="default"/>
          <w:color w:val="auto"/>
        </w:rPr>
      </w:pPr>
      <w:r>
        <w:rPr>
          <w:rFonts w:hint="default"/>
          <w:color w:val="auto"/>
        </w:rPr>
        <w:t>环保知识和意识的培训主要包括：了解国家和地方有关环境方面的</w:t>
      </w:r>
      <w:r>
        <w:rPr>
          <w:rFonts w:hint="eastAsia"/>
          <w:color w:val="auto"/>
          <w:lang w:eastAsia="zh-CN"/>
        </w:rPr>
        <w:t>法律法规</w:t>
      </w:r>
      <w:r>
        <w:rPr>
          <w:rFonts w:hint="default"/>
          <w:color w:val="auto"/>
        </w:rPr>
        <w:t>和标准；了解承包工程的主要环境保护目标和要求；认识遵守有关环境管理规定的重要性，以及违反规定带来的后果等。</w:t>
      </w:r>
    </w:p>
    <w:p w14:paraId="6492CCAD">
      <w:pPr>
        <w:pStyle w:val="79"/>
        <w:bidi w:val="0"/>
        <w:rPr>
          <w:rFonts w:hint="default"/>
          <w:color w:val="auto"/>
        </w:rPr>
      </w:pPr>
      <w:r>
        <w:rPr>
          <w:rFonts w:hint="default"/>
          <w:color w:val="auto"/>
        </w:rPr>
        <w:t>环保能力的培训主要包括：保护动植物、保护地表原貌的方法；收集、处理固体废物的方法；管理、存放及处理危险物品的方法等。</w:t>
      </w:r>
    </w:p>
    <w:p w14:paraId="5C8C5642">
      <w:pPr>
        <w:pStyle w:val="79"/>
        <w:bidi w:val="0"/>
        <w:rPr>
          <w:rFonts w:hint="default"/>
          <w:color w:val="auto"/>
        </w:rPr>
      </w:pPr>
      <w:r>
        <w:rPr>
          <w:rFonts w:hint="default"/>
          <w:color w:val="auto"/>
        </w:rPr>
        <w:t>（4）根据施工中各工种的作业特点和各施工区段的敏感目标，分别提出不同的环境保护要求，制订发生环境事故的应急计划和措施。</w:t>
      </w:r>
    </w:p>
    <w:p w14:paraId="6B64E0D1">
      <w:pPr>
        <w:pStyle w:val="55"/>
        <w:bidi w:val="0"/>
        <w:rPr>
          <w:rFonts w:hint="eastAsia"/>
          <w:color w:val="auto"/>
          <w:lang w:val="en-US" w:eastAsia="zh-CN"/>
        </w:rPr>
      </w:pPr>
      <w:r>
        <w:rPr>
          <w:rFonts w:hint="eastAsia"/>
          <w:color w:val="auto"/>
          <w:lang w:val="en-US" w:eastAsia="zh-CN"/>
        </w:rPr>
        <w:t>9.1.2.2 地面工程建设环境管理</w:t>
      </w:r>
    </w:p>
    <w:p w14:paraId="3D833EE5">
      <w:pPr>
        <w:pStyle w:val="79"/>
        <w:bidi w:val="0"/>
        <w:rPr>
          <w:rFonts w:hint="eastAsia"/>
          <w:color w:val="auto"/>
        </w:rPr>
      </w:pPr>
      <w:r>
        <w:rPr>
          <w:rFonts w:hint="eastAsia"/>
          <w:color w:val="auto"/>
        </w:rPr>
        <w:t>在合理选择施工队伍的基础上，加强对井场</w:t>
      </w:r>
      <w:r>
        <w:rPr>
          <w:rFonts w:hint="eastAsia"/>
          <w:color w:val="auto"/>
          <w:lang w:val="en-US" w:eastAsia="zh-CN"/>
        </w:rPr>
        <w:t>、站场</w:t>
      </w:r>
      <w:r>
        <w:rPr>
          <w:rFonts w:hint="eastAsia"/>
          <w:color w:val="auto"/>
        </w:rPr>
        <w:t>、管道沿线施工的环境管理工作，监督管道沿线各项环保措施的落实情况。</w:t>
      </w:r>
    </w:p>
    <w:p w14:paraId="52DFB076">
      <w:pPr>
        <w:pStyle w:val="79"/>
        <w:bidi w:val="0"/>
        <w:rPr>
          <w:rFonts w:hint="eastAsia"/>
          <w:color w:val="auto"/>
        </w:rPr>
      </w:pPr>
      <w:r>
        <w:rPr>
          <w:rFonts w:hint="eastAsia"/>
          <w:color w:val="auto"/>
        </w:rPr>
        <w:t>——合理选线，划定并尽量缩小施工作业范围，严禁超界施工；</w:t>
      </w:r>
    </w:p>
    <w:p w14:paraId="7CEC9BC6">
      <w:pPr>
        <w:pStyle w:val="79"/>
        <w:bidi w:val="0"/>
        <w:rPr>
          <w:rFonts w:hint="eastAsia"/>
          <w:color w:val="auto"/>
        </w:rPr>
      </w:pPr>
      <w:r>
        <w:rPr>
          <w:rFonts w:hint="eastAsia"/>
          <w:color w:val="auto"/>
        </w:rPr>
        <w:t>——保护项目区域荒漠生态系统完整性和稳定性，保护土壤环境质量，做好植被恢复与水土保持工作，防止土壤沙化；</w:t>
      </w:r>
    </w:p>
    <w:p w14:paraId="4DDA1B87">
      <w:pPr>
        <w:pStyle w:val="79"/>
        <w:bidi w:val="0"/>
        <w:rPr>
          <w:color w:val="auto"/>
        </w:rPr>
      </w:pPr>
      <w:r>
        <w:rPr>
          <w:rFonts w:hint="eastAsia"/>
          <w:color w:val="auto"/>
        </w:rPr>
        <w:t>——运输车辆按固定线路行驶，尽可能不破坏原有地表植被和土层，严格禁止施工作业区域以外的其他活动；施工结束后，凡受到施工车辆、机械破坏的地方都要及时修整，使之尽快恢复原貌。</w:t>
      </w:r>
    </w:p>
    <w:p w14:paraId="79F1B9A7">
      <w:pPr>
        <w:pStyle w:val="54"/>
        <w:bidi w:val="0"/>
        <w:rPr>
          <w:rFonts w:hint="eastAsia"/>
          <w:color w:val="auto"/>
          <w:lang w:val="en-US" w:eastAsia="zh-CN"/>
        </w:rPr>
      </w:pPr>
      <w:bookmarkStart w:id="851" w:name="_Toc119915040"/>
      <w:bookmarkStart w:id="852" w:name="_Toc26541"/>
      <w:bookmarkStart w:id="853" w:name="_Toc1726"/>
      <w:bookmarkStart w:id="854" w:name="_Toc15449"/>
      <w:bookmarkStart w:id="855" w:name="_Toc7434"/>
      <w:bookmarkStart w:id="856" w:name="_Toc26584"/>
      <w:r>
        <w:rPr>
          <w:rFonts w:hint="eastAsia"/>
          <w:color w:val="auto"/>
          <w:lang w:val="en-US" w:eastAsia="zh-CN"/>
        </w:rPr>
        <w:t xml:space="preserve">9.1.3 </w:t>
      </w:r>
      <w:bookmarkEnd w:id="851"/>
      <w:bookmarkEnd w:id="852"/>
      <w:bookmarkEnd w:id="853"/>
      <w:bookmarkEnd w:id="854"/>
      <w:bookmarkEnd w:id="855"/>
      <w:bookmarkEnd w:id="856"/>
      <w:r>
        <w:rPr>
          <w:rFonts w:hint="eastAsia"/>
          <w:color w:val="auto"/>
          <w:lang w:val="en-US" w:eastAsia="zh-CN"/>
        </w:rPr>
        <w:t>运营期的环境管理任务</w:t>
      </w:r>
    </w:p>
    <w:p w14:paraId="0F261973">
      <w:pPr>
        <w:pStyle w:val="79"/>
        <w:bidi w:val="0"/>
        <w:rPr>
          <w:rFonts w:hint="default"/>
          <w:color w:val="auto"/>
        </w:rPr>
      </w:pPr>
      <w:r>
        <w:rPr>
          <w:rFonts w:hint="default"/>
          <w:color w:val="auto"/>
        </w:rPr>
        <w:t>（1）日常环境管理</w:t>
      </w:r>
    </w:p>
    <w:p w14:paraId="753A582A">
      <w:pPr>
        <w:pStyle w:val="79"/>
        <w:bidi w:val="0"/>
        <w:rPr>
          <w:color w:val="auto"/>
        </w:rPr>
      </w:pPr>
      <w:r>
        <w:rPr>
          <w:color w:val="auto"/>
        </w:rPr>
        <w:t>——做好环境监测，掌握污染现状</w:t>
      </w:r>
    </w:p>
    <w:p w14:paraId="7DE911A9">
      <w:pPr>
        <w:pStyle w:val="79"/>
        <w:bidi w:val="0"/>
        <w:rPr>
          <w:color w:val="auto"/>
        </w:rPr>
      </w:pPr>
      <w:r>
        <w:rPr>
          <w:color w:val="auto"/>
        </w:rPr>
        <w:t>定时定点做好环境监测，以便及时掌握环境状况的第一手资料，促进环境管理的深入和污染治理的落实，消除发生污染事故的隐患。</w:t>
      </w:r>
    </w:p>
    <w:p w14:paraId="4E60B362">
      <w:pPr>
        <w:pStyle w:val="79"/>
        <w:bidi w:val="0"/>
        <w:rPr>
          <w:rFonts w:hint="eastAsia"/>
          <w:color w:val="auto"/>
          <w:lang w:val="en-US" w:eastAsia="zh-CN"/>
        </w:rPr>
      </w:pPr>
      <w:r>
        <w:rPr>
          <w:color w:val="auto"/>
        </w:rPr>
        <w:t>废气污染源的控制是重点加强油气集输过程</w:t>
      </w:r>
      <w:r>
        <w:rPr>
          <w:rFonts w:hint="eastAsia"/>
          <w:color w:val="auto"/>
          <w:lang w:val="en-US" w:eastAsia="zh-CN"/>
        </w:rPr>
        <w:t>、原油拉运过程</w:t>
      </w:r>
      <w:r>
        <w:rPr>
          <w:color w:val="auto"/>
        </w:rPr>
        <w:t>中无组织排放源的管理，以加强管理作为控制手段，减轻环境污染，达到污染物排放控制和环境保护目标。</w:t>
      </w:r>
      <w:r>
        <w:rPr>
          <w:rFonts w:hint="eastAsia"/>
          <w:color w:val="auto"/>
          <w:lang w:val="en-US" w:eastAsia="zh-CN"/>
        </w:rPr>
        <w:t xml:space="preserve"> </w:t>
      </w:r>
    </w:p>
    <w:p w14:paraId="78EA62B9">
      <w:pPr>
        <w:pStyle w:val="79"/>
        <w:bidi w:val="0"/>
        <w:rPr>
          <w:color w:val="auto"/>
        </w:rPr>
      </w:pPr>
      <w:r>
        <w:rPr>
          <w:color w:val="auto"/>
        </w:rPr>
        <w:t>——加强环保设备的管理</w:t>
      </w:r>
    </w:p>
    <w:p w14:paraId="6ED9E50F">
      <w:pPr>
        <w:pStyle w:val="79"/>
        <w:bidi w:val="0"/>
        <w:rPr>
          <w:color w:val="auto"/>
        </w:rPr>
      </w:pPr>
      <w:r>
        <w:rPr>
          <w:color w:val="auto"/>
        </w:rPr>
        <w:t>建立环保</w:t>
      </w:r>
      <w:r>
        <w:rPr>
          <w:rFonts w:hint="eastAsia"/>
          <w:color w:val="auto"/>
          <w:lang w:eastAsia="zh-CN"/>
        </w:rPr>
        <w:t>设备台账</w:t>
      </w:r>
      <w:r>
        <w:rPr>
          <w:color w:val="auto"/>
        </w:rPr>
        <w:t>，制定主要环保设备的操作规程及安排专门操作人员，建立重点处理设备的“环保运行记录”等。</w:t>
      </w:r>
    </w:p>
    <w:p w14:paraId="284A3649">
      <w:pPr>
        <w:pStyle w:val="79"/>
        <w:bidi w:val="0"/>
        <w:rPr>
          <w:color w:val="auto"/>
        </w:rPr>
      </w:pPr>
      <w:r>
        <w:rPr>
          <w:color w:val="auto"/>
        </w:rPr>
        <w:t>——落实管理制度</w:t>
      </w:r>
    </w:p>
    <w:p w14:paraId="5FDA8D13">
      <w:pPr>
        <w:pStyle w:val="79"/>
        <w:bidi w:val="0"/>
        <w:rPr>
          <w:color w:val="auto"/>
        </w:rPr>
      </w:pPr>
      <w:r>
        <w:rPr>
          <w:color w:val="auto"/>
        </w:rPr>
        <w:t>除加强环保设备的基础管理外，尚需狠抓制度的落实，制定环保经济责任制考核制度，以提高各部门对环境保护的责任感。</w:t>
      </w:r>
    </w:p>
    <w:p w14:paraId="6B7D0D66">
      <w:pPr>
        <w:pStyle w:val="79"/>
        <w:bidi w:val="0"/>
        <w:rPr>
          <w:color w:val="auto"/>
        </w:rPr>
      </w:pPr>
      <w:r>
        <w:rPr>
          <w:color w:val="auto"/>
        </w:rPr>
        <w:t>日常工作的管理与调配，应明确机构，有专人负责与协调。要求做好废弃物的处理、场地的清理等每日例行的环保工作。</w:t>
      </w:r>
    </w:p>
    <w:p w14:paraId="5AB2DA32">
      <w:pPr>
        <w:pStyle w:val="79"/>
        <w:bidi w:val="0"/>
        <w:rPr>
          <w:color w:val="auto"/>
        </w:rPr>
      </w:pPr>
      <w:r>
        <w:rPr>
          <w:color w:val="auto"/>
        </w:rPr>
        <w:t>（2）重大环境污染事故的预防与管理</w:t>
      </w:r>
    </w:p>
    <w:p w14:paraId="16932673">
      <w:pPr>
        <w:pStyle w:val="79"/>
        <w:bidi w:val="0"/>
        <w:rPr>
          <w:color w:val="auto"/>
        </w:rPr>
      </w:pPr>
      <w:r>
        <w:rPr>
          <w:color w:val="auto"/>
        </w:rPr>
        <w:t>——对事故隐患进行监护</w:t>
      </w:r>
    </w:p>
    <w:p w14:paraId="497F9060">
      <w:pPr>
        <w:pStyle w:val="79"/>
        <w:bidi w:val="0"/>
        <w:rPr>
          <w:color w:val="auto"/>
        </w:rPr>
      </w:pPr>
      <w:r>
        <w:rPr>
          <w:color w:val="auto"/>
        </w:rPr>
        <w:t>对污染事故隐患进行监护，掌握事故隐患的发展状态，积极采取有效措施，防止事故发生。对各类重大事故隐患，应本着治理与监护运行的原则进行处理。在目前技术、财力等方面能够解决的，要通过技术改造或治理，尽快消除事故隐患，防止事故发生；对目前消除事故隐患有困难的，应从管理和技术两方面对其采取严格的现场监护措施，在管理上要加强制度的落实，严格执行操作规程，加强巡回检查和制定事故预案。</w:t>
      </w:r>
    </w:p>
    <w:p w14:paraId="357576C6">
      <w:pPr>
        <w:pStyle w:val="79"/>
        <w:bidi w:val="0"/>
        <w:rPr>
          <w:color w:val="auto"/>
        </w:rPr>
      </w:pPr>
      <w:r>
        <w:rPr>
          <w:color w:val="auto"/>
        </w:rPr>
        <w:t>——强化专业人员培训和建立安全信息数据库</w:t>
      </w:r>
    </w:p>
    <w:p w14:paraId="34FA1F85">
      <w:pPr>
        <w:pStyle w:val="79"/>
        <w:bidi w:val="0"/>
        <w:rPr>
          <w:color w:val="auto"/>
        </w:rPr>
      </w:pPr>
      <w:r>
        <w:rPr>
          <w:color w:val="auto"/>
        </w:rPr>
        <w:t>有计划、分期分批对环保人员进行培训，聘请专家讲课，收看国内外事故录像和资料，吸收这些事件中预防措施和救援方案的制定经验，学习借鉴此类事故发生后的救助方案。平时要经常进行人员训练和实践演习，锻炼指挥队伍，以提高他们对事故的防范和处理能力。建立安全信息数据库或信息软件，使安全工程技术人员及时查询所需的安全信息数据，用于日常管理和事故处置工作。</w:t>
      </w:r>
    </w:p>
    <w:p w14:paraId="1101AA00">
      <w:pPr>
        <w:pStyle w:val="79"/>
        <w:bidi w:val="0"/>
        <w:rPr>
          <w:color w:val="auto"/>
        </w:rPr>
      </w:pPr>
      <w:r>
        <w:rPr>
          <w:color w:val="auto"/>
        </w:rPr>
        <w:t>——加强风险管理</w:t>
      </w:r>
    </w:p>
    <w:p w14:paraId="65565553">
      <w:pPr>
        <w:pStyle w:val="79"/>
        <w:bidi w:val="0"/>
        <w:rPr>
          <w:color w:val="auto"/>
        </w:rPr>
      </w:pPr>
      <w:r>
        <w:rPr>
          <w:color w:val="auto"/>
        </w:rPr>
        <w:t>由于</w:t>
      </w:r>
      <w:r>
        <w:rPr>
          <w:rFonts w:hint="eastAsia"/>
          <w:color w:val="auto"/>
          <w:lang w:eastAsia="zh-CN"/>
        </w:rPr>
        <w:t>本工程</w:t>
      </w:r>
      <w:r>
        <w:rPr>
          <w:color w:val="auto"/>
        </w:rPr>
        <w:t>在运行过程中，不确定潜在事故因素多且无法预测，因此有必要制定相应的风险对策，不断改进识别到的不利影响因素，从而将工程运营期各类风险水平控制在合理的、可接收的范围内，以达到减少事故发生、经济合理地保证安全运行管理技术的目的。</w:t>
      </w:r>
    </w:p>
    <w:p w14:paraId="1D123F52">
      <w:pPr>
        <w:pStyle w:val="79"/>
        <w:bidi w:val="0"/>
        <w:rPr>
          <w:color w:val="auto"/>
        </w:rPr>
      </w:pPr>
      <w:r>
        <w:rPr>
          <w:color w:val="auto"/>
        </w:rPr>
        <w:t>——加强监测</w:t>
      </w:r>
    </w:p>
    <w:p w14:paraId="6F8706D7">
      <w:pPr>
        <w:pStyle w:val="79"/>
        <w:bidi w:val="0"/>
        <w:rPr>
          <w:color w:val="auto"/>
        </w:rPr>
      </w:pPr>
      <w:r>
        <w:rPr>
          <w:color w:val="auto"/>
        </w:rPr>
        <w:t>应加强对区域地下水、土壤、大气环境（非甲烷总烃）等的监测，对环境污染隐患做到及早发现</w:t>
      </w:r>
      <w:r>
        <w:rPr>
          <w:rFonts w:hint="eastAsia"/>
          <w:color w:val="auto"/>
          <w:lang w:eastAsia="zh-CN"/>
        </w:rPr>
        <w:t>及</w:t>
      </w:r>
      <w:r>
        <w:rPr>
          <w:color w:val="auto"/>
        </w:rPr>
        <w:t>时处理，制定事故状态下环境风险应急预案和应急处理措施，强化环境风险防范和应急处理能力，严防污染事故发生，不定期开展环境突发事件应急演练。</w:t>
      </w:r>
    </w:p>
    <w:p w14:paraId="6A2BE40A">
      <w:pPr>
        <w:pStyle w:val="79"/>
        <w:bidi w:val="0"/>
        <w:rPr>
          <w:color w:val="auto"/>
        </w:rPr>
      </w:pPr>
      <w:r>
        <w:rPr>
          <w:color w:val="auto"/>
        </w:rPr>
        <w:t>为了监控</w:t>
      </w:r>
      <w:r>
        <w:rPr>
          <w:rFonts w:hint="eastAsia"/>
          <w:color w:val="auto"/>
          <w:lang w:val="en-US" w:eastAsia="zh-CN"/>
        </w:rPr>
        <w:t>油田</w:t>
      </w:r>
      <w:r>
        <w:rPr>
          <w:color w:val="auto"/>
        </w:rPr>
        <w:t>开发对地下水（主要为</w:t>
      </w:r>
      <w:r>
        <w:rPr>
          <w:rFonts w:hint="eastAsia"/>
          <w:color w:val="auto"/>
          <w:lang w:eastAsia="zh-CN"/>
        </w:rPr>
        <w:t>浅层地下水</w:t>
      </w:r>
      <w:r>
        <w:rPr>
          <w:color w:val="auto"/>
        </w:rPr>
        <w:t>）的影响情况，应设置地下水监控井，并定期检测。结合</w:t>
      </w:r>
      <w:r>
        <w:rPr>
          <w:rFonts w:hint="eastAsia"/>
          <w:color w:val="auto"/>
          <w:lang w:val="en-US" w:eastAsia="zh-CN"/>
        </w:rPr>
        <w:t>雄英油田</w:t>
      </w:r>
      <w:r>
        <w:rPr>
          <w:color w:val="auto"/>
        </w:rPr>
        <w:t>整体方案，在</w:t>
      </w:r>
      <w:r>
        <w:rPr>
          <w:rFonts w:hint="eastAsia"/>
          <w:color w:val="auto"/>
        </w:rPr>
        <w:t>项目区</w:t>
      </w:r>
      <w:r>
        <w:rPr>
          <w:color w:val="auto"/>
        </w:rPr>
        <w:t>下游布设1眼地下水污染监控井，</w:t>
      </w:r>
      <w:r>
        <w:rPr>
          <w:rFonts w:hint="eastAsia"/>
          <w:color w:val="auto"/>
        </w:rPr>
        <w:t>监测点</w:t>
      </w:r>
      <w:r>
        <w:rPr>
          <w:color w:val="auto"/>
        </w:rPr>
        <w:t>充分依托</w:t>
      </w:r>
      <w:r>
        <w:rPr>
          <w:rFonts w:hint="eastAsia"/>
          <w:color w:val="auto"/>
          <w:lang w:eastAsia="zh-CN"/>
        </w:rPr>
        <w:t>区块</w:t>
      </w:r>
      <w:r>
        <w:rPr>
          <w:color w:val="auto"/>
        </w:rPr>
        <w:t>已有监测井。</w:t>
      </w:r>
    </w:p>
    <w:p w14:paraId="41D296E3">
      <w:pPr>
        <w:pStyle w:val="54"/>
        <w:bidi w:val="0"/>
        <w:rPr>
          <w:rFonts w:hint="eastAsia"/>
          <w:color w:val="auto"/>
          <w:lang w:val="en-US" w:eastAsia="zh-CN"/>
        </w:rPr>
      </w:pPr>
      <w:r>
        <w:rPr>
          <w:rFonts w:hint="eastAsia"/>
          <w:color w:val="auto"/>
          <w:lang w:val="en-US" w:eastAsia="zh-CN"/>
        </w:rPr>
        <w:fldChar w:fldCharType="begin"/>
      </w:r>
      <w:r>
        <w:rPr>
          <w:rFonts w:hint="eastAsia"/>
          <w:color w:val="auto"/>
          <w:lang w:val="en-US" w:eastAsia="zh-CN"/>
        </w:rPr>
        <w:instrText xml:space="preserve"> HYPERLINK \l _Toc13371 </w:instrText>
      </w:r>
      <w:r>
        <w:rPr>
          <w:rFonts w:hint="eastAsia"/>
          <w:color w:val="auto"/>
          <w:lang w:val="en-US" w:eastAsia="zh-CN"/>
        </w:rPr>
        <w:fldChar w:fldCharType="separate"/>
      </w:r>
      <w:r>
        <w:rPr>
          <w:rFonts w:hint="eastAsia"/>
          <w:color w:val="auto"/>
          <w:lang w:val="en-US" w:eastAsia="zh-CN"/>
        </w:rPr>
        <w:t>9.1.4退役期的环境管理任务</w:t>
      </w:r>
      <w:r>
        <w:rPr>
          <w:rFonts w:hint="eastAsia"/>
          <w:color w:val="auto"/>
          <w:lang w:val="en-US" w:eastAsia="zh-CN"/>
        </w:rPr>
        <w:fldChar w:fldCharType="end"/>
      </w:r>
    </w:p>
    <w:p w14:paraId="048F95E3">
      <w:pPr>
        <w:pStyle w:val="79"/>
        <w:bidi w:val="0"/>
        <w:rPr>
          <w:rFonts w:hint="default"/>
          <w:color w:val="auto"/>
        </w:rPr>
      </w:pPr>
      <w:r>
        <w:rPr>
          <w:rFonts w:hint="default"/>
          <w:color w:val="auto"/>
        </w:rPr>
        <w:t>对拟退役的废弃井</w:t>
      </w:r>
      <w:r>
        <w:rPr>
          <w:rFonts w:hint="default"/>
          <w:color w:val="auto"/>
          <w:lang w:eastAsia="zh-CN"/>
        </w:rPr>
        <w:t>（</w:t>
      </w:r>
      <w:r>
        <w:rPr>
          <w:rFonts w:hint="default"/>
          <w:color w:val="auto"/>
        </w:rPr>
        <w:t>站</w:t>
      </w:r>
      <w:r>
        <w:rPr>
          <w:rFonts w:hint="default"/>
          <w:color w:val="auto"/>
          <w:lang w:eastAsia="zh-CN"/>
        </w:rPr>
        <w:t>）</w:t>
      </w:r>
      <w:r>
        <w:rPr>
          <w:rFonts w:hint="default"/>
          <w:color w:val="auto"/>
        </w:rPr>
        <w:t>场、道路等提出制定生态修复方案并开展设计的要求。油井报废或退役后，应按照SY/T6628、SY/T6646和《废弃井封井回填技术指南</w:t>
      </w:r>
      <w:r>
        <w:rPr>
          <w:rFonts w:hint="eastAsia"/>
          <w:color w:val="auto"/>
          <w:lang w:eastAsia="zh-CN"/>
        </w:rPr>
        <w:t>（</w:t>
      </w:r>
      <w:r>
        <w:rPr>
          <w:rFonts w:hint="default"/>
          <w:color w:val="auto"/>
        </w:rPr>
        <w:t>试行</w:t>
      </w:r>
      <w:r>
        <w:rPr>
          <w:rFonts w:hint="eastAsia"/>
          <w:color w:val="auto"/>
          <w:lang w:eastAsia="zh-CN"/>
        </w:rPr>
        <w:t>）</w:t>
      </w:r>
      <w:r>
        <w:rPr>
          <w:rFonts w:hint="default"/>
          <w:color w:val="auto"/>
        </w:rPr>
        <w:t>》的相关要求执行。</w:t>
      </w:r>
    </w:p>
    <w:p w14:paraId="622C5A87">
      <w:pPr>
        <w:pStyle w:val="79"/>
        <w:bidi w:val="0"/>
        <w:rPr>
          <w:rFonts w:hint="default"/>
          <w:color w:val="auto"/>
        </w:rPr>
      </w:pPr>
      <w:r>
        <w:rPr>
          <w:rFonts w:hint="default"/>
          <w:color w:val="auto"/>
        </w:rPr>
        <w:t>生态修复前要对废弃油井进行封堵或设施拆除，确保无土壤及地下水环境污染遗留问题、废弃物均得到妥善处置。退役期应重点分析废弃管道和设备的清洗废水</w:t>
      </w:r>
      <w:r>
        <w:rPr>
          <w:rFonts w:hint="default"/>
          <w:color w:val="auto"/>
          <w:lang w:eastAsia="zh-CN"/>
        </w:rPr>
        <w:t>，</w:t>
      </w:r>
      <w:r>
        <w:rPr>
          <w:rFonts w:hint="default"/>
          <w:color w:val="auto"/>
        </w:rPr>
        <w:t>废弃管道和设备、建筑垃圾、清罐底泥等固体废物的产生及排放情况。</w:t>
      </w:r>
    </w:p>
    <w:p w14:paraId="354A6B40">
      <w:pPr>
        <w:pStyle w:val="79"/>
        <w:bidi w:val="0"/>
        <w:rPr>
          <w:rFonts w:hint="default"/>
          <w:color w:val="auto"/>
        </w:rPr>
      </w:pPr>
      <w:r>
        <w:rPr>
          <w:rFonts w:hint="default"/>
          <w:color w:val="auto"/>
        </w:rPr>
        <w:t>采取有效预防和保护措施，避免或减轻矿产资源开发活动造成的生态破坏和环境污染。坚持“预防为主、防治结合、过程控制”的原则，将生态环境保护与恢复治理贯穿开采的全过程。</w:t>
      </w:r>
    </w:p>
    <w:p w14:paraId="64D945E4">
      <w:pPr>
        <w:pStyle w:val="54"/>
        <w:bidi w:val="0"/>
        <w:rPr>
          <w:rFonts w:hint="eastAsia"/>
          <w:color w:val="auto"/>
          <w:lang w:val="en-US" w:eastAsia="zh-CN"/>
        </w:rPr>
      </w:pPr>
      <w:r>
        <w:rPr>
          <w:rFonts w:hint="eastAsia"/>
          <w:color w:val="auto"/>
          <w:lang w:val="en-US" w:eastAsia="zh-CN"/>
        </w:rPr>
        <w:fldChar w:fldCharType="begin"/>
      </w:r>
      <w:r>
        <w:rPr>
          <w:rFonts w:hint="eastAsia"/>
          <w:color w:val="auto"/>
          <w:lang w:val="en-US" w:eastAsia="zh-CN"/>
        </w:rPr>
        <w:instrText xml:space="preserve"> HYPERLINK \l _Toc4059 </w:instrText>
      </w:r>
      <w:r>
        <w:rPr>
          <w:rFonts w:hint="eastAsia"/>
          <w:color w:val="auto"/>
          <w:lang w:val="en-US" w:eastAsia="zh-CN"/>
        </w:rPr>
        <w:fldChar w:fldCharType="separate"/>
      </w:r>
      <w:r>
        <w:rPr>
          <w:rFonts w:hint="eastAsia"/>
          <w:color w:val="auto"/>
          <w:lang w:val="en-US" w:eastAsia="zh-CN"/>
        </w:rPr>
        <w:t>9.1.5 环境管理计划</w:t>
      </w:r>
      <w:r>
        <w:rPr>
          <w:rFonts w:hint="eastAsia"/>
          <w:color w:val="auto"/>
          <w:lang w:val="en-US" w:eastAsia="zh-CN"/>
        </w:rPr>
        <w:fldChar w:fldCharType="end"/>
      </w:r>
    </w:p>
    <w:p w14:paraId="32D8BD25">
      <w:pPr>
        <w:pStyle w:val="79"/>
        <w:bidi w:val="0"/>
        <w:rPr>
          <w:color w:val="auto"/>
        </w:rPr>
      </w:pPr>
      <w:r>
        <w:rPr>
          <w:color w:val="auto"/>
        </w:rPr>
        <w:t>建设项目运营环境监督管理计划</w:t>
      </w:r>
      <w:r>
        <w:rPr>
          <w:rFonts w:hint="eastAsia"/>
          <w:color w:val="auto"/>
          <w:lang w:eastAsia="zh-CN"/>
        </w:rPr>
        <w:t>，</w:t>
      </w:r>
      <w:r>
        <w:rPr>
          <w:color w:val="auto"/>
        </w:rPr>
        <w:t>见表</w:t>
      </w:r>
      <w:r>
        <w:rPr>
          <w:rFonts w:hint="eastAsia"/>
          <w:color w:val="auto"/>
          <w:lang w:val="en-US" w:eastAsia="zh-CN"/>
        </w:rPr>
        <w:t>9.1-2</w:t>
      </w:r>
      <w:r>
        <w:rPr>
          <w:color w:val="auto"/>
        </w:rPr>
        <w:t>。</w:t>
      </w:r>
    </w:p>
    <w:p w14:paraId="71174EAE">
      <w:pPr>
        <w:pStyle w:val="61"/>
        <w:bidi w:val="0"/>
        <w:jc w:val="both"/>
        <w:rPr>
          <w:color w:val="auto"/>
          <w:lang w:val="zh-CN"/>
        </w:rPr>
      </w:pPr>
      <w:r>
        <w:rPr>
          <w:rFonts w:hint="eastAsia"/>
          <w:color w:val="auto"/>
          <w:lang w:val="zh-CN" w:eastAsia="zh-CN"/>
        </w:rPr>
        <w:t>表</w:t>
      </w:r>
      <w:r>
        <w:rPr>
          <w:rFonts w:hint="eastAsia"/>
          <w:color w:val="auto"/>
          <w:lang w:val="en-US" w:eastAsia="zh-CN"/>
        </w:rPr>
        <w:t xml:space="preserve">9.1-2   </w:t>
      </w:r>
      <w:r>
        <w:rPr>
          <w:rFonts w:hint="eastAsia"/>
          <w:color w:val="auto"/>
          <w:lang w:val="zh-CN" w:eastAsia="zh-CN"/>
        </w:rPr>
        <w:t>项目运营环境监督管理计划</w:t>
      </w:r>
    </w:p>
    <w:tbl>
      <w:tblPr>
        <w:tblStyle w:val="36"/>
        <w:tblW w:w="492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81"/>
        <w:gridCol w:w="1143"/>
        <w:gridCol w:w="4120"/>
        <w:gridCol w:w="1030"/>
        <w:gridCol w:w="1819"/>
      </w:tblGrid>
      <w:tr w14:paraId="38C9F5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334" w:type="pct"/>
            <w:tcBorders>
              <w:tl2br w:val="nil"/>
              <w:tr2bl w:val="nil"/>
            </w:tcBorders>
            <w:noWrap w:val="0"/>
            <w:vAlign w:val="center"/>
          </w:tcPr>
          <w:p w14:paraId="7F0B1CCB">
            <w:pPr>
              <w:pStyle w:val="174"/>
              <w:rPr>
                <w:color w:val="auto"/>
              </w:rPr>
            </w:pPr>
            <w:r>
              <w:rPr>
                <w:color w:val="auto"/>
              </w:rPr>
              <w:t>序号</w:t>
            </w:r>
          </w:p>
        </w:tc>
        <w:tc>
          <w:tcPr>
            <w:tcW w:w="657" w:type="pct"/>
            <w:tcBorders>
              <w:tl2br w:val="nil"/>
              <w:tr2bl w:val="nil"/>
            </w:tcBorders>
            <w:noWrap w:val="0"/>
            <w:vAlign w:val="center"/>
          </w:tcPr>
          <w:p w14:paraId="5524E2B2">
            <w:pPr>
              <w:pStyle w:val="174"/>
              <w:rPr>
                <w:color w:val="auto"/>
              </w:rPr>
            </w:pPr>
            <w:r>
              <w:rPr>
                <w:color w:val="auto"/>
              </w:rPr>
              <w:t>监督管理项目</w:t>
            </w:r>
          </w:p>
        </w:tc>
        <w:tc>
          <w:tcPr>
            <w:tcW w:w="2369" w:type="pct"/>
            <w:tcBorders>
              <w:tl2br w:val="nil"/>
              <w:tr2bl w:val="nil"/>
            </w:tcBorders>
            <w:noWrap w:val="0"/>
            <w:vAlign w:val="center"/>
          </w:tcPr>
          <w:p w14:paraId="64560F96">
            <w:pPr>
              <w:pStyle w:val="174"/>
              <w:rPr>
                <w:color w:val="auto"/>
              </w:rPr>
            </w:pPr>
            <w:r>
              <w:rPr>
                <w:color w:val="auto"/>
              </w:rPr>
              <w:t>监督检查具体内容</w:t>
            </w:r>
          </w:p>
        </w:tc>
        <w:tc>
          <w:tcPr>
            <w:tcW w:w="592" w:type="pct"/>
            <w:tcBorders>
              <w:tl2br w:val="nil"/>
              <w:tr2bl w:val="nil"/>
            </w:tcBorders>
            <w:noWrap w:val="0"/>
            <w:vAlign w:val="center"/>
          </w:tcPr>
          <w:p w14:paraId="4C5C0A20">
            <w:pPr>
              <w:pStyle w:val="174"/>
              <w:rPr>
                <w:color w:val="auto"/>
              </w:rPr>
            </w:pPr>
            <w:r>
              <w:rPr>
                <w:color w:val="auto"/>
              </w:rPr>
              <w:t>实施单位</w:t>
            </w:r>
          </w:p>
        </w:tc>
        <w:tc>
          <w:tcPr>
            <w:tcW w:w="1046" w:type="pct"/>
            <w:tcBorders>
              <w:tl2br w:val="nil"/>
              <w:tr2bl w:val="nil"/>
            </w:tcBorders>
            <w:noWrap w:val="0"/>
            <w:vAlign w:val="center"/>
          </w:tcPr>
          <w:p w14:paraId="187F49DE">
            <w:pPr>
              <w:pStyle w:val="174"/>
              <w:rPr>
                <w:color w:val="auto"/>
              </w:rPr>
            </w:pPr>
            <w:r>
              <w:rPr>
                <w:color w:val="auto"/>
              </w:rPr>
              <w:t>监督单位</w:t>
            </w:r>
          </w:p>
        </w:tc>
      </w:tr>
      <w:tr w14:paraId="4C8277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34" w:type="pct"/>
            <w:tcBorders>
              <w:tl2br w:val="nil"/>
              <w:tr2bl w:val="nil"/>
            </w:tcBorders>
            <w:noWrap w:val="0"/>
            <w:vAlign w:val="center"/>
          </w:tcPr>
          <w:p w14:paraId="06AD73C3">
            <w:pPr>
              <w:pStyle w:val="174"/>
              <w:rPr>
                <w:color w:val="auto"/>
              </w:rPr>
            </w:pPr>
            <w:r>
              <w:rPr>
                <w:color w:val="auto"/>
              </w:rPr>
              <w:t>1</w:t>
            </w:r>
          </w:p>
        </w:tc>
        <w:tc>
          <w:tcPr>
            <w:tcW w:w="657" w:type="pct"/>
            <w:tcBorders>
              <w:tl2br w:val="nil"/>
              <w:tr2bl w:val="nil"/>
            </w:tcBorders>
            <w:noWrap w:val="0"/>
            <w:vAlign w:val="center"/>
          </w:tcPr>
          <w:p w14:paraId="46861271">
            <w:pPr>
              <w:pStyle w:val="174"/>
              <w:rPr>
                <w:color w:val="auto"/>
              </w:rPr>
            </w:pPr>
            <w:r>
              <w:rPr>
                <w:color w:val="auto"/>
              </w:rPr>
              <w:t>环境计划管理</w:t>
            </w:r>
          </w:p>
        </w:tc>
        <w:tc>
          <w:tcPr>
            <w:tcW w:w="2369" w:type="pct"/>
            <w:tcBorders>
              <w:tl2br w:val="nil"/>
              <w:tr2bl w:val="nil"/>
            </w:tcBorders>
            <w:noWrap w:val="0"/>
            <w:vAlign w:val="center"/>
          </w:tcPr>
          <w:p w14:paraId="33EE1CD3">
            <w:pPr>
              <w:pStyle w:val="174"/>
              <w:rPr>
                <w:color w:val="auto"/>
              </w:rPr>
            </w:pPr>
            <w:r>
              <w:rPr>
                <w:color w:val="auto"/>
              </w:rPr>
              <w:t>环境管理计划的实施情况，包括井区环境整治、排污口规范化整治、环保治理方案的落实情况等</w:t>
            </w:r>
          </w:p>
        </w:tc>
        <w:tc>
          <w:tcPr>
            <w:tcW w:w="592" w:type="pct"/>
            <w:tcBorders>
              <w:tl2br w:val="nil"/>
              <w:tr2bl w:val="nil"/>
            </w:tcBorders>
            <w:noWrap w:val="0"/>
            <w:vAlign w:val="center"/>
          </w:tcPr>
          <w:p w14:paraId="28515EA0">
            <w:pPr>
              <w:pStyle w:val="174"/>
              <w:rPr>
                <w:color w:val="auto"/>
              </w:rPr>
            </w:pPr>
            <w:r>
              <w:rPr>
                <w:color w:val="auto"/>
              </w:rPr>
              <w:t>建设单位</w:t>
            </w:r>
          </w:p>
        </w:tc>
        <w:tc>
          <w:tcPr>
            <w:tcW w:w="1046" w:type="pct"/>
            <w:tcBorders>
              <w:tl2br w:val="nil"/>
              <w:tr2bl w:val="nil"/>
            </w:tcBorders>
            <w:noWrap w:val="0"/>
            <w:vAlign w:val="center"/>
          </w:tcPr>
          <w:p w14:paraId="217C6B96">
            <w:pPr>
              <w:pStyle w:val="174"/>
              <w:rPr>
                <w:color w:val="auto"/>
              </w:rPr>
            </w:pPr>
            <w:r>
              <w:rPr>
                <w:color w:val="auto"/>
              </w:rPr>
              <w:t>阿克苏地区生态环境局、阿克苏地区生态环境局</w:t>
            </w:r>
            <w:r>
              <w:rPr>
                <w:rFonts w:hint="eastAsia"/>
                <w:color w:val="auto"/>
                <w:lang w:val="en-US" w:eastAsia="zh-CN"/>
              </w:rPr>
              <w:t>温宿县分局</w:t>
            </w:r>
          </w:p>
        </w:tc>
      </w:tr>
      <w:tr w14:paraId="5B593B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34" w:type="pct"/>
            <w:tcBorders>
              <w:tl2br w:val="nil"/>
              <w:tr2bl w:val="nil"/>
            </w:tcBorders>
            <w:noWrap w:val="0"/>
            <w:vAlign w:val="center"/>
          </w:tcPr>
          <w:p w14:paraId="7C21E330">
            <w:pPr>
              <w:pStyle w:val="174"/>
              <w:rPr>
                <w:color w:val="auto"/>
              </w:rPr>
            </w:pPr>
            <w:r>
              <w:rPr>
                <w:color w:val="auto"/>
              </w:rPr>
              <w:t>2</w:t>
            </w:r>
          </w:p>
        </w:tc>
        <w:tc>
          <w:tcPr>
            <w:tcW w:w="657" w:type="pct"/>
            <w:tcBorders>
              <w:tl2br w:val="nil"/>
              <w:tr2bl w:val="nil"/>
            </w:tcBorders>
            <w:noWrap w:val="0"/>
            <w:vAlign w:val="center"/>
          </w:tcPr>
          <w:p w14:paraId="04E3E126">
            <w:pPr>
              <w:pStyle w:val="174"/>
              <w:rPr>
                <w:color w:val="auto"/>
              </w:rPr>
            </w:pPr>
            <w:r>
              <w:rPr>
                <w:color w:val="auto"/>
              </w:rPr>
              <w:t>污染源</w:t>
            </w:r>
          </w:p>
          <w:p w14:paraId="529E262A">
            <w:pPr>
              <w:pStyle w:val="174"/>
              <w:rPr>
                <w:color w:val="auto"/>
              </w:rPr>
            </w:pPr>
            <w:r>
              <w:rPr>
                <w:color w:val="auto"/>
              </w:rPr>
              <w:t>管理</w:t>
            </w:r>
          </w:p>
        </w:tc>
        <w:tc>
          <w:tcPr>
            <w:tcW w:w="2369" w:type="pct"/>
            <w:tcBorders>
              <w:tl2br w:val="nil"/>
              <w:tr2bl w:val="nil"/>
            </w:tcBorders>
            <w:noWrap w:val="0"/>
            <w:vAlign w:val="center"/>
          </w:tcPr>
          <w:p w14:paraId="238C106A">
            <w:pPr>
              <w:pStyle w:val="174"/>
              <w:rPr>
                <w:color w:val="auto"/>
              </w:rPr>
            </w:pPr>
            <w:r>
              <w:rPr>
                <w:rFonts w:hint="eastAsia"/>
                <w:color w:val="auto"/>
              </w:rPr>
              <w:t>①</w:t>
            </w:r>
            <w:r>
              <w:rPr>
                <w:color w:val="auto"/>
              </w:rPr>
              <w:t>环保设施的运行情况，防止闲置和不正常运行；</w:t>
            </w:r>
          </w:p>
          <w:p w14:paraId="4D874606">
            <w:pPr>
              <w:pStyle w:val="174"/>
              <w:rPr>
                <w:color w:val="auto"/>
              </w:rPr>
            </w:pPr>
            <w:r>
              <w:rPr>
                <w:rFonts w:hint="eastAsia"/>
                <w:color w:val="auto"/>
              </w:rPr>
              <w:t>②</w:t>
            </w:r>
            <w:r>
              <w:rPr>
                <w:color w:val="auto"/>
              </w:rPr>
              <w:t>各废气排放源的排放情况，掌握排污动态，防止直接排放</w:t>
            </w:r>
          </w:p>
          <w:p w14:paraId="16F24AA8">
            <w:pPr>
              <w:pStyle w:val="174"/>
              <w:rPr>
                <w:color w:val="auto"/>
              </w:rPr>
            </w:pPr>
            <w:r>
              <w:rPr>
                <w:rFonts w:hint="eastAsia"/>
                <w:color w:val="auto"/>
              </w:rPr>
              <w:t>③</w:t>
            </w:r>
            <w:r>
              <w:rPr>
                <w:color w:val="auto"/>
              </w:rPr>
              <w:t>检查固废的堆放、运输、处置措施的执行情况，防止造成环境污染</w:t>
            </w:r>
          </w:p>
          <w:p w14:paraId="7E48CD69">
            <w:pPr>
              <w:pStyle w:val="174"/>
              <w:rPr>
                <w:color w:val="auto"/>
              </w:rPr>
            </w:pPr>
            <w:r>
              <w:rPr>
                <w:rFonts w:hint="eastAsia"/>
                <w:color w:val="auto"/>
              </w:rPr>
              <w:t>④</w:t>
            </w:r>
            <w:r>
              <w:rPr>
                <w:color w:val="auto"/>
              </w:rPr>
              <w:t>检查噪声排放源治理措施的消声、隔声效果，防止超标排放</w:t>
            </w:r>
          </w:p>
        </w:tc>
        <w:tc>
          <w:tcPr>
            <w:tcW w:w="592" w:type="pct"/>
            <w:tcBorders>
              <w:tl2br w:val="nil"/>
              <w:tr2bl w:val="nil"/>
            </w:tcBorders>
            <w:noWrap w:val="0"/>
            <w:vAlign w:val="center"/>
          </w:tcPr>
          <w:p w14:paraId="1BD7FBAD">
            <w:pPr>
              <w:pStyle w:val="174"/>
              <w:rPr>
                <w:color w:val="auto"/>
              </w:rPr>
            </w:pPr>
            <w:r>
              <w:rPr>
                <w:color w:val="auto"/>
              </w:rPr>
              <w:t>建设单位</w:t>
            </w:r>
          </w:p>
        </w:tc>
        <w:tc>
          <w:tcPr>
            <w:tcW w:w="1046" w:type="pct"/>
            <w:tcBorders>
              <w:tl2br w:val="nil"/>
              <w:tr2bl w:val="nil"/>
            </w:tcBorders>
            <w:noWrap w:val="0"/>
            <w:vAlign w:val="center"/>
          </w:tcPr>
          <w:p w14:paraId="55402F85">
            <w:pPr>
              <w:pStyle w:val="174"/>
              <w:rPr>
                <w:color w:val="auto"/>
              </w:rPr>
            </w:pPr>
            <w:r>
              <w:rPr>
                <w:color w:val="auto"/>
              </w:rPr>
              <w:t>阿克苏地区生态环境局、阿克苏地区生态环境局</w:t>
            </w:r>
            <w:r>
              <w:rPr>
                <w:rFonts w:hint="eastAsia"/>
                <w:color w:val="auto"/>
                <w:lang w:val="en-US" w:eastAsia="zh-CN"/>
              </w:rPr>
              <w:t>温宿县分局</w:t>
            </w:r>
          </w:p>
        </w:tc>
      </w:tr>
      <w:tr w14:paraId="043C34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34" w:type="pct"/>
            <w:tcBorders>
              <w:tl2br w:val="nil"/>
              <w:tr2bl w:val="nil"/>
            </w:tcBorders>
            <w:noWrap w:val="0"/>
            <w:vAlign w:val="center"/>
          </w:tcPr>
          <w:p w14:paraId="5A0F5B65">
            <w:pPr>
              <w:pStyle w:val="174"/>
              <w:rPr>
                <w:color w:val="auto"/>
              </w:rPr>
            </w:pPr>
            <w:r>
              <w:rPr>
                <w:color w:val="auto"/>
              </w:rPr>
              <w:t>3</w:t>
            </w:r>
          </w:p>
        </w:tc>
        <w:tc>
          <w:tcPr>
            <w:tcW w:w="657" w:type="pct"/>
            <w:tcBorders>
              <w:tl2br w:val="nil"/>
              <w:tr2bl w:val="nil"/>
            </w:tcBorders>
            <w:noWrap w:val="0"/>
            <w:vAlign w:val="center"/>
          </w:tcPr>
          <w:p w14:paraId="31CD65C7">
            <w:pPr>
              <w:pStyle w:val="174"/>
              <w:rPr>
                <w:color w:val="auto"/>
              </w:rPr>
            </w:pPr>
            <w:r>
              <w:rPr>
                <w:color w:val="auto"/>
              </w:rPr>
              <w:t>环境监测管理</w:t>
            </w:r>
          </w:p>
        </w:tc>
        <w:tc>
          <w:tcPr>
            <w:tcW w:w="2369" w:type="pct"/>
            <w:tcBorders>
              <w:tl2br w:val="nil"/>
              <w:tr2bl w:val="nil"/>
            </w:tcBorders>
            <w:noWrap w:val="0"/>
            <w:vAlign w:val="center"/>
          </w:tcPr>
          <w:p w14:paraId="54735F5F">
            <w:pPr>
              <w:pStyle w:val="174"/>
              <w:rPr>
                <w:color w:val="auto"/>
              </w:rPr>
            </w:pPr>
            <w:r>
              <w:rPr>
                <w:rFonts w:hint="eastAsia"/>
                <w:color w:val="auto"/>
              </w:rPr>
              <w:t>①</w:t>
            </w:r>
            <w:r>
              <w:rPr>
                <w:color w:val="auto"/>
              </w:rPr>
              <w:t>组织废气污染源</w:t>
            </w:r>
            <w:r>
              <w:rPr>
                <w:rFonts w:hint="eastAsia"/>
                <w:color w:val="auto"/>
              </w:rPr>
              <w:t>无组织排放厂界</w:t>
            </w:r>
            <w:r>
              <w:rPr>
                <w:color w:val="auto"/>
              </w:rPr>
              <w:t>监测，防止废气影响</w:t>
            </w:r>
          </w:p>
          <w:p w14:paraId="0D9F0096">
            <w:pPr>
              <w:pStyle w:val="174"/>
              <w:rPr>
                <w:color w:val="auto"/>
              </w:rPr>
            </w:pPr>
            <w:r>
              <w:rPr>
                <w:rFonts w:hint="eastAsia"/>
                <w:color w:val="auto"/>
              </w:rPr>
              <w:t>②</w:t>
            </w:r>
            <w:r>
              <w:rPr>
                <w:color w:val="auto"/>
              </w:rPr>
              <w:t>组织地下水环境监测，防止水环境污染</w:t>
            </w:r>
          </w:p>
          <w:p w14:paraId="337E2363">
            <w:pPr>
              <w:pStyle w:val="174"/>
              <w:rPr>
                <w:color w:val="auto"/>
              </w:rPr>
            </w:pPr>
            <w:r>
              <w:rPr>
                <w:rFonts w:hint="eastAsia"/>
                <w:color w:val="auto"/>
              </w:rPr>
              <w:t>③</w:t>
            </w:r>
            <w:r>
              <w:rPr>
                <w:color w:val="auto"/>
              </w:rPr>
              <w:t>组织厂界环境噪声监测，防止</w:t>
            </w:r>
            <w:r>
              <w:rPr>
                <w:rFonts w:hint="eastAsia"/>
                <w:color w:val="auto"/>
              </w:rPr>
              <w:t>厂界超标</w:t>
            </w:r>
          </w:p>
        </w:tc>
        <w:tc>
          <w:tcPr>
            <w:tcW w:w="592" w:type="pct"/>
            <w:tcBorders>
              <w:tl2br w:val="nil"/>
              <w:tr2bl w:val="nil"/>
            </w:tcBorders>
            <w:noWrap w:val="0"/>
            <w:vAlign w:val="center"/>
          </w:tcPr>
          <w:p w14:paraId="2A3B6DFF">
            <w:pPr>
              <w:pStyle w:val="174"/>
              <w:rPr>
                <w:color w:val="auto"/>
              </w:rPr>
            </w:pPr>
            <w:r>
              <w:rPr>
                <w:color w:val="auto"/>
              </w:rPr>
              <w:t>建设单位</w:t>
            </w:r>
          </w:p>
        </w:tc>
        <w:tc>
          <w:tcPr>
            <w:tcW w:w="1046" w:type="pct"/>
            <w:tcBorders>
              <w:tl2br w:val="nil"/>
              <w:tr2bl w:val="nil"/>
            </w:tcBorders>
            <w:noWrap w:val="0"/>
            <w:vAlign w:val="center"/>
          </w:tcPr>
          <w:p w14:paraId="68A3F958">
            <w:pPr>
              <w:pStyle w:val="174"/>
              <w:rPr>
                <w:color w:val="auto"/>
              </w:rPr>
            </w:pPr>
            <w:r>
              <w:rPr>
                <w:color w:val="auto"/>
              </w:rPr>
              <w:t>阿克苏地区生态环境局、阿克苏地区生态环境局</w:t>
            </w:r>
            <w:r>
              <w:rPr>
                <w:rFonts w:hint="eastAsia"/>
                <w:color w:val="auto"/>
                <w:lang w:val="en-US" w:eastAsia="zh-CN"/>
              </w:rPr>
              <w:t>温宿县分局</w:t>
            </w:r>
          </w:p>
        </w:tc>
      </w:tr>
      <w:tr w14:paraId="1C2C6B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34" w:type="pct"/>
            <w:tcBorders>
              <w:tl2br w:val="nil"/>
              <w:tr2bl w:val="nil"/>
            </w:tcBorders>
            <w:noWrap w:val="0"/>
            <w:vAlign w:val="center"/>
          </w:tcPr>
          <w:p w14:paraId="47F73B31">
            <w:pPr>
              <w:pStyle w:val="174"/>
              <w:rPr>
                <w:color w:val="auto"/>
              </w:rPr>
            </w:pPr>
            <w:r>
              <w:rPr>
                <w:color w:val="auto"/>
              </w:rPr>
              <w:t>4</w:t>
            </w:r>
          </w:p>
        </w:tc>
        <w:tc>
          <w:tcPr>
            <w:tcW w:w="657" w:type="pct"/>
            <w:tcBorders>
              <w:tl2br w:val="nil"/>
              <w:tr2bl w:val="nil"/>
            </w:tcBorders>
            <w:noWrap w:val="0"/>
            <w:vAlign w:val="center"/>
          </w:tcPr>
          <w:p w14:paraId="761F7C21">
            <w:pPr>
              <w:pStyle w:val="174"/>
              <w:rPr>
                <w:color w:val="auto"/>
              </w:rPr>
            </w:pPr>
            <w:r>
              <w:rPr>
                <w:color w:val="auto"/>
              </w:rPr>
              <w:t>生态环境管理</w:t>
            </w:r>
          </w:p>
        </w:tc>
        <w:tc>
          <w:tcPr>
            <w:tcW w:w="2369" w:type="pct"/>
            <w:tcBorders>
              <w:tl2br w:val="nil"/>
              <w:tr2bl w:val="nil"/>
            </w:tcBorders>
            <w:noWrap w:val="0"/>
            <w:vAlign w:val="center"/>
          </w:tcPr>
          <w:p w14:paraId="04FAC086">
            <w:pPr>
              <w:pStyle w:val="174"/>
              <w:rPr>
                <w:color w:val="auto"/>
              </w:rPr>
            </w:pPr>
            <w:r>
              <w:rPr>
                <w:color w:val="auto"/>
              </w:rPr>
              <w:t>定期检查受影响范围内生态系统的动态变化情况</w:t>
            </w:r>
          </w:p>
        </w:tc>
        <w:tc>
          <w:tcPr>
            <w:tcW w:w="592" w:type="pct"/>
            <w:tcBorders>
              <w:tl2br w:val="nil"/>
              <w:tr2bl w:val="nil"/>
            </w:tcBorders>
            <w:noWrap w:val="0"/>
            <w:vAlign w:val="center"/>
          </w:tcPr>
          <w:p w14:paraId="445A0380">
            <w:pPr>
              <w:pStyle w:val="174"/>
              <w:rPr>
                <w:color w:val="auto"/>
              </w:rPr>
            </w:pPr>
            <w:r>
              <w:rPr>
                <w:color w:val="auto"/>
              </w:rPr>
              <w:t>建设单位</w:t>
            </w:r>
          </w:p>
        </w:tc>
        <w:tc>
          <w:tcPr>
            <w:tcW w:w="1046" w:type="pct"/>
            <w:tcBorders>
              <w:tl2br w:val="nil"/>
              <w:tr2bl w:val="nil"/>
            </w:tcBorders>
            <w:noWrap w:val="0"/>
            <w:vAlign w:val="center"/>
          </w:tcPr>
          <w:p w14:paraId="0EF079E5">
            <w:pPr>
              <w:pStyle w:val="174"/>
              <w:rPr>
                <w:color w:val="auto"/>
              </w:rPr>
            </w:pPr>
            <w:r>
              <w:rPr>
                <w:color w:val="auto"/>
              </w:rPr>
              <w:t>阿克苏地区生态环境局、阿克苏地区生态环境局</w:t>
            </w:r>
            <w:r>
              <w:rPr>
                <w:rFonts w:hint="eastAsia"/>
                <w:color w:val="auto"/>
                <w:lang w:val="en-US" w:eastAsia="zh-CN"/>
              </w:rPr>
              <w:t>温宿县分局</w:t>
            </w:r>
          </w:p>
        </w:tc>
      </w:tr>
    </w:tbl>
    <w:p w14:paraId="5CFDF327">
      <w:pPr>
        <w:pStyle w:val="54"/>
        <w:bidi w:val="0"/>
        <w:rPr>
          <w:rFonts w:hint="eastAsia"/>
          <w:color w:val="auto"/>
          <w:lang w:val="en-US" w:eastAsia="zh-CN"/>
        </w:rPr>
      </w:pPr>
      <w:r>
        <w:rPr>
          <w:rFonts w:hint="eastAsia"/>
          <w:color w:val="auto"/>
          <w:lang w:val="en-US" w:eastAsia="zh-CN"/>
        </w:rPr>
        <w:fldChar w:fldCharType="begin"/>
      </w:r>
      <w:r>
        <w:rPr>
          <w:rFonts w:hint="eastAsia"/>
          <w:color w:val="auto"/>
          <w:lang w:val="en-US" w:eastAsia="zh-CN"/>
        </w:rPr>
        <w:instrText xml:space="preserve"> HYPERLINK \l _Toc15793 </w:instrText>
      </w:r>
      <w:r>
        <w:rPr>
          <w:rFonts w:hint="eastAsia"/>
          <w:color w:val="auto"/>
          <w:lang w:val="en-US" w:eastAsia="zh-CN"/>
        </w:rPr>
        <w:fldChar w:fldCharType="separate"/>
      </w:r>
      <w:r>
        <w:rPr>
          <w:rFonts w:hint="eastAsia"/>
          <w:color w:val="auto"/>
          <w:lang w:val="en-US" w:eastAsia="zh-CN"/>
        </w:rPr>
        <w:t>9.1.6 环境监理</w:t>
      </w:r>
      <w:r>
        <w:rPr>
          <w:rFonts w:hint="eastAsia"/>
          <w:color w:val="auto"/>
          <w:lang w:val="en-US" w:eastAsia="zh-CN"/>
        </w:rPr>
        <w:fldChar w:fldCharType="end"/>
      </w:r>
    </w:p>
    <w:p w14:paraId="5AC5D732">
      <w:pPr>
        <w:pStyle w:val="79"/>
        <w:bidi w:val="0"/>
        <w:rPr>
          <w:rFonts w:hint="eastAsia"/>
          <w:color w:val="auto"/>
        </w:rPr>
      </w:pPr>
      <w:bookmarkStart w:id="857" w:name="_Hlk118811329"/>
      <w:r>
        <w:rPr>
          <w:rFonts w:hint="eastAsia"/>
          <w:color w:val="auto"/>
        </w:rPr>
        <w:t>为减轻工程对环境的影响，将环境管理制度从事后管理转变为全过程管理，建议</w:t>
      </w:r>
      <w:r>
        <w:rPr>
          <w:rFonts w:hint="eastAsia"/>
          <w:color w:val="auto"/>
          <w:lang w:eastAsia="zh-CN"/>
        </w:rPr>
        <w:t>本工程</w:t>
      </w:r>
      <w:r>
        <w:rPr>
          <w:rFonts w:hint="eastAsia"/>
          <w:color w:val="auto"/>
        </w:rPr>
        <w:t>充分借鉴同类相关项目工程环境监理经验，实行工程环境监理。</w:t>
      </w:r>
    </w:p>
    <w:bookmarkEnd w:id="857"/>
    <w:p w14:paraId="2D409337">
      <w:pPr>
        <w:pStyle w:val="79"/>
        <w:bidi w:val="0"/>
        <w:rPr>
          <w:rFonts w:hint="eastAsia"/>
          <w:color w:val="auto"/>
        </w:rPr>
      </w:pPr>
      <w:r>
        <w:rPr>
          <w:rFonts w:hint="eastAsia"/>
          <w:color w:val="auto"/>
        </w:rPr>
        <w:t>由建设单位聘请相关环境监理机构对施工单位、承包商、供应商和</w:t>
      </w:r>
      <w:r>
        <w:rPr>
          <w:rFonts w:hint="eastAsia"/>
          <w:color w:val="auto"/>
          <w:lang w:val="en-US" w:eastAsia="zh-CN"/>
        </w:rPr>
        <w:t>中国石油天然气股份有限公司塔里木油田分公司</w:t>
      </w:r>
      <w:r>
        <w:rPr>
          <w:rFonts w:hint="eastAsia"/>
          <w:color w:val="auto"/>
        </w:rPr>
        <w:t>环保</w:t>
      </w:r>
      <w:r>
        <w:rPr>
          <w:rFonts w:hint="eastAsia"/>
          <w:color w:val="auto"/>
          <w:lang w:eastAsia="zh-CN"/>
        </w:rPr>
        <w:t>法律法规</w:t>
      </w:r>
      <w:r>
        <w:rPr>
          <w:rFonts w:hint="eastAsia"/>
          <w:color w:val="auto"/>
        </w:rPr>
        <w:t>、制度、标准、规范的情况依法进行监督检查，特别是施工现场的环境监理检查工作，目的是协助建设单位落实施工期间的各项环境保护要求和施工合同中的环保规定，确保</w:t>
      </w:r>
      <w:r>
        <w:rPr>
          <w:rFonts w:hint="eastAsia"/>
          <w:color w:val="auto"/>
          <w:lang w:eastAsia="zh-CN"/>
        </w:rPr>
        <w:t>本工程</w:t>
      </w:r>
      <w:r>
        <w:rPr>
          <w:rFonts w:hint="eastAsia"/>
          <w:color w:val="auto"/>
        </w:rPr>
        <w:t>的建设符合有关环保法律法规的要求。</w:t>
      </w:r>
    </w:p>
    <w:p w14:paraId="590D96C3">
      <w:pPr>
        <w:pStyle w:val="79"/>
        <w:bidi w:val="0"/>
        <w:rPr>
          <w:rFonts w:hint="eastAsia"/>
          <w:color w:val="auto"/>
        </w:rPr>
      </w:pPr>
      <w:r>
        <w:rPr>
          <w:rFonts w:hint="eastAsia"/>
          <w:color w:val="auto"/>
        </w:rPr>
        <w:t>（1）环境监理人员要求</w:t>
      </w:r>
    </w:p>
    <w:p w14:paraId="69954BE0">
      <w:pPr>
        <w:pStyle w:val="79"/>
        <w:bidi w:val="0"/>
        <w:rPr>
          <w:rFonts w:hint="eastAsia"/>
          <w:color w:val="auto"/>
        </w:rPr>
      </w:pPr>
      <w:r>
        <w:rPr>
          <w:rFonts w:hint="eastAsia"/>
          <w:color w:val="auto"/>
          <w:lang w:val="en-US" w:eastAsia="zh-CN"/>
        </w:rPr>
        <w:t>1）</w:t>
      </w:r>
      <w:r>
        <w:rPr>
          <w:rFonts w:hint="eastAsia"/>
          <w:color w:val="auto"/>
        </w:rPr>
        <w:t>环境监理人员必须具备环保专业知识，精通国家环境</w:t>
      </w:r>
      <w:r>
        <w:rPr>
          <w:rFonts w:hint="eastAsia"/>
          <w:color w:val="auto"/>
          <w:lang w:eastAsia="zh-CN"/>
        </w:rPr>
        <w:t>法律法规</w:t>
      </w:r>
      <w:r>
        <w:rPr>
          <w:rFonts w:hint="eastAsia"/>
          <w:color w:val="auto"/>
        </w:rPr>
        <w:t>和政策，了解当地生态环境管理部门的要求和环境标准。</w:t>
      </w:r>
    </w:p>
    <w:p w14:paraId="2F9D198C">
      <w:pPr>
        <w:pStyle w:val="79"/>
        <w:bidi w:val="0"/>
        <w:rPr>
          <w:rFonts w:hint="eastAsia"/>
          <w:color w:val="auto"/>
        </w:rPr>
      </w:pPr>
      <w:r>
        <w:rPr>
          <w:rFonts w:hint="eastAsia"/>
          <w:color w:val="auto"/>
          <w:lang w:val="en-US" w:eastAsia="zh-CN"/>
        </w:rPr>
        <w:t>2）</w:t>
      </w:r>
      <w:r>
        <w:rPr>
          <w:rFonts w:hint="eastAsia"/>
          <w:color w:val="auto"/>
        </w:rPr>
        <w:t>必须接受过HSE专门培训，有较长的从事环保工作经历。</w:t>
      </w:r>
    </w:p>
    <w:p w14:paraId="73C1E4C6">
      <w:pPr>
        <w:pStyle w:val="79"/>
        <w:bidi w:val="0"/>
        <w:rPr>
          <w:rFonts w:hint="eastAsia"/>
          <w:color w:val="auto"/>
        </w:rPr>
      </w:pPr>
      <w:r>
        <w:rPr>
          <w:rFonts w:hint="eastAsia"/>
          <w:color w:val="auto"/>
          <w:lang w:val="en-US" w:eastAsia="zh-CN"/>
        </w:rPr>
        <w:t>3）</w:t>
      </w:r>
      <w:r>
        <w:rPr>
          <w:rFonts w:hint="eastAsia"/>
          <w:color w:val="auto"/>
        </w:rPr>
        <w:t>具有一定的</w:t>
      </w:r>
      <w:r>
        <w:rPr>
          <w:rFonts w:hint="eastAsia"/>
          <w:color w:val="auto"/>
          <w:lang w:eastAsia="zh-CN"/>
        </w:rPr>
        <w:t>油田</w:t>
      </w:r>
      <w:r>
        <w:rPr>
          <w:rFonts w:hint="eastAsia"/>
          <w:color w:val="auto"/>
        </w:rPr>
        <w:t>开发和输油气管道建设的现场施工经验。</w:t>
      </w:r>
    </w:p>
    <w:p w14:paraId="3E349E9F">
      <w:pPr>
        <w:pStyle w:val="79"/>
        <w:bidi w:val="0"/>
        <w:rPr>
          <w:rFonts w:hint="eastAsia"/>
          <w:color w:val="auto"/>
        </w:rPr>
      </w:pPr>
      <w:r>
        <w:rPr>
          <w:rFonts w:hint="eastAsia"/>
          <w:color w:val="auto"/>
        </w:rPr>
        <w:t>（2）环境监理人员主要职责</w:t>
      </w:r>
    </w:p>
    <w:p w14:paraId="1EAD4B88">
      <w:pPr>
        <w:pStyle w:val="79"/>
        <w:bidi w:val="0"/>
        <w:rPr>
          <w:rFonts w:hint="eastAsia"/>
          <w:color w:val="auto"/>
        </w:rPr>
      </w:pPr>
      <w:r>
        <w:rPr>
          <w:rFonts w:hint="eastAsia"/>
          <w:color w:val="auto"/>
          <w:lang w:val="en-US" w:eastAsia="zh-CN"/>
        </w:rPr>
        <w:t>1）</w:t>
      </w:r>
      <w:r>
        <w:rPr>
          <w:rFonts w:hint="eastAsia"/>
          <w:color w:val="auto"/>
        </w:rPr>
        <w:t>监督施工现场对“环境管理方案”的落实。</w:t>
      </w:r>
    </w:p>
    <w:p w14:paraId="21C79DAC">
      <w:pPr>
        <w:pStyle w:val="79"/>
        <w:bidi w:val="0"/>
        <w:rPr>
          <w:rFonts w:hint="eastAsia"/>
          <w:color w:val="auto"/>
        </w:rPr>
      </w:pPr>
      <w:r>
        <w:rPr>
          <w:rFonts w:hint="eastAsia"/>
          <w:color w:val="auto"/>
          <w:lang w:val="en-US" w:eastAsia="zh-CN"/>
        </w:rPr>
        <w:t>2）</w:t>
      </w:r>
      <w:r>
        <w:rPr>
          <w:rFonts w:hint="eastAsia"/>
          <w:color w:val="auto"/>
        </w:rPr>
        <w:t>及时向HSE部门负责人汇报环境管理现状，并根据发现的问题提出合理化建议。</w:t>
      </w:r>
    </w:p>
    <w:p w14:paraId="41529851">
      <w:pPr>
        <w:pStyle w:val="79"/>
        <w:bidi w:val="0"/>
        <w:rPr>
          <w:rFonts w:hint="eastAsia"/>
          <w:color w:val="auto"/>
        </w:rPr>
      </w:pPr>
      <w:r>
        <w:rPr>
          <w:rFonts w:hint="eastAsia"/>
          <w:color w:val="auto"/>
          <w:lang w:val="en-US" w:eastAsia="zh-CN"/>
        </w:rPr>
        <w:t>3）</w:t>
      </w:r>
      <w:r>
        <w:rPr>
          <w:rFonts w:hint="eastAsia"/>
          <w:color w:val="auto"/>
        </w:rPr>
        <w:t>协助HSE部门负责人宣传贯彻国家和</w:t>
      </w:r>
      <w:r>
        <w:rPr>
          <w:rFonts w:hint="eastAsia"/>
          <w:color w:val="auto"/>
          <w:lang w:val="en-US" w:eastAsia="zh-CN"/>
        </w:rPr>
        <w:t>地方</w:t>
      </w:r>
      <w:r>
        <w:rPr>
          <w:rFonts w:hint="eastAsia"/>
          <w:color w:val="auto"/>
        </w:rPr>
        <w:t>有关环境方面的法律和法规。</w:t>
      </w:r>
    </w:p>
    <w:p w14:paraId="15FA3977">
      <w:pPr>
        <w:pStyle w:val="79"/>
        <w:bidi w:val="0"/>
        <w:rPr>
          <w:rFonts w:hint="eastAsia"/>
          <w:color w:val="auto"/>
        </w:rPr>
      </w:pPr>
      <w:r>
        <w:rPr>
          <w:rFonts w:hint="eastAsia"/>
          <w:color w:val="auto"/>
          <w:lang w:val="en-US" w:eastAsia="zh-CN"/>
        </w:rPr>
        <w:t>4）</w:t>
      </w:r>
      <w:r>
        <w:rPr>
          <w:rFonts w:hint="eastAsia"/>
          <w:color w:val="auto"/>
        </w:rPr>
        <w:t>对HSE工作的真实性、合法性、效益性进行审查，评价其责任，并提出改进意见。</w:t>
      </w:r>
    </w:p>
    <w:p w14:paraId="04168888">
      <w:pPr>
        <w:pStyle w:val="79"/>
        <w:bidi w:val="0"/>
        <w:rPr>
          <w:rFonts w:hint="eastAsia"/>
          <w:color w:val="auto"/>
        </w:rPr>
      </w:pPr>
      <w:r>
        <w:rPr>
          <w:rFonts w:hint="eastAsia"/>
          <w:color w:val="auto"/>
        </w:rPr>
        <w:t>（3）环境监理范围</w:t>
      </w:r>
    </w:p>
    <w:p w14:paraId="6A81B6DC">
      <w:pPr>
        <w:pStyle w:val="79"/>
        <w:bidi w:val="0"/>
        <w:rPr>
          <w:rFonts w:hint="eastAsia"/>
          <w:color w:val="auto"/>
          <w:lang w:val="en-US" w:eastAsia="zh-CN"/>
        </w:rPr>
      </w:pPr>
      <w:r>
        <w:rPr>
          <w:rFonts w:hint="eastAsia"/>
          <w:color w:val="auto"/>
          <w:lang w:val="en-US" w:eastAsia="zh-CN"/>
        </w:rPr>
        <w:t>1）井场、站场</w:t>
      </w:r>
    </w:p>
    <w:p w14:paraId="1D334991">
      <w:pPr>
        <w:pStyle w:val="79"/>
        <w:bidi w:val="0"/>
        <w:rPr>
          <w:rFonts w:hint="eastAsia"/>
          <w:color w:val="auto"/>
          <w:lang w:val="en-US" w:eastAsia="zh-CN"/>
        </w:rPr>
      </w:pPr>
      <w:r>
        <w:rPr>
          <w:rFonts w:hint="eastAsia"/>
          <w:color w:val="auto"/>
          <w:lang w:val="en-US" w:eastAsia="zh-CN"/>
        </w:rPr>
        <w:t>场站环境监理的范围，即为工程扰动的范围。</w:t>
      </w:r>
    </w:p>
    <w:p w14:paraId="03C8D544">
      <w:pPr>
        <w:pStyle w:val="79"/>
        <w:bidi w:val="0"/>
        <w:rPr>
          <w:rFonts w:hint="eastAsia"/>
          <w:color w:val="auto"/>
          <w:lang w:eastAsia="zh-CN"/>
        </w:rPr>
      </w:pPr>
      <w:r>
        <w:rPr>
          <w:rFonts w:hint="eastAsia"/>
          <w:color w:val="auto"/>
          <w:lang w:val="en-US" w:eastAsia="zh-CN"/>
        </w:rPr>
        <w:t>2）</w:t>
      </w:r>
      <w:r>
        <w:rPr>
          <w:rFonts w:hint="eastAsia"/>
          <w:color w:val="auto"/>
        </w:rPr>
        <w:t>管道工程</w:t>
      </w:r>
    </w:p>
    <w:p w14:paraId="27477F2F">
      <w:pPr>
        <w:pStyle w:val="79"/>
        <w:bidi w:val="0"/>
        <w:rPr>
          <w:rFonts w:hint="eastAsia"/>
          <w:color w:val="auto"/>
        </w:rPr>
      </w:pPr>
      <w:r>
        <w:rPr>
          <w:rFonts w:hint="eastAsia"/>
          <w:color w:val="auto"/>
        </w:rPr>
        <w:t>管道工程环境监理的范围</w:t>
      </w:r>
      <w:r>
        <w:rPr>
          <w:rFonts w:hint="eastAsia"/>
          <w:color w:val="auto"/>
          <w:lang w:eastAsia="zh-CN"/>
        </w:rPr>
        <w:t>，即</w:t>
      </w:r>
      <w:r>
        <w:rPr>
          <w:rFonts w:hint="eastAsia"/>
          <w:color w:val="auto"/>
        </w:rPr>
        <w:t>工程扰动的范围：管线作业带宽度</w:t>
      </w:r>
      <w:r>
        <w:rPr>
          <w:rFonts w:hint="eastAsia"/>
          <w:color w:val="auto"/>
          <w:lang w:val="en-US" w:eastAsia="zh-CN"/>
        </w:rPr>
        <w:t>10</w:t>
      </w:r>
      <w:r>
        <w:rPr>
          <w:rFonts w:hint="eastAsia"/>
          <w:color w:val="auto"/>
        </w:rPr>
        <w:t>m。</w:t>
      </w:r>
    </w:p>
    <w:p w14:paraId="6437BA57">
      <w:pPr>
        <w:pStyle w:val="79"/>
        <w:bidi w:val="0"/>
        <w:rPr>
          <w:rFonts w:hint="eastAsia"/>
          <w:color w:val="auto"/>
        </w:rPr>
      </w:pPr>
      <w:r>
        <w:rPr>
          <w:rFonts w:hint="eastAsia"/>
          <w:color w:val="auto"/>
        </w:rPr>
        <w:t>（4）环境监理内容</w:t>
      </w:r>
    </w:p>
    <w:p w14:paraId="78F65A29">
      <w:pPr>
        <w:pStyle w:val="79"/>
        <w:bidi w:val="0"/>
        <w:rPr>
          <w:rFonts w:hint="eastAsia"/>
          <w:color w:val="auto"/>
          <w:lang w:eastAsia="zh-CN"/>
        </w:rPr>
      </w:pPr>
      <w:r>
        <w:rPr>
          <w:rFonts w:hint="eastAsia"/>
          <w:color w:val="auto"/>
          <w:lang w:val="en-US" w:eastAsia="zh-CN"/>
        </w:rPr>
        <w:t>1）</w:t>
      </w:r>
      <w:r>
        <w:rPr>
          <w:rFonts w:hint="eastAsia"/>
          <w:color w:val="auto"/>
        </w:rPr>
        <w:t>施工期环境监理主要内容</w:t>
      </w:r>
    </w:p>
    <w:p w14:paraId="4A9A77AE">
      <w:pPr>
        <w:pStyle w:val="79"/>
        <w:bidi w:val="0"/>
        <w:rPr>
          <w:rFonts w:hint="eastAsia"/>
          <w:color w:val="auto"/>
        </w:rPr>
      </w:pPr>
      <w:r>
        <w:rPr>
          <w:rFonts w:hint="eastAsia"/>
          <w:color w:val="auto"/>
        </w:rPr>
        <w:t>针对施工期污水的环境保护处理措施，汽车尾气、施工扬尘的大气环境影响控制措施，运输车辆的声环境控制措施，施工土方量等固体废物主要处置措施，进行环境监理，必要时采取旁站的形式完成监理工作。另外，还应对管道等施工期的生态保护措施、防沙治沙措施、恢复方案进行监理。</w:t>
      </w:r>
    </w:p>
    <w:p w14:paraId="6AED1CFC">
      <w:pPr>
        <w:pStyle w:val="79"/>
        <w:bidi w:val="0"/>
        <w:rPr>
          <w:rFonts w:hint="eastAsia"/>
          <w:color w:val="auto"/>
        </w:rPr>
      </w:pPr>
      <w:r>
        <w:rPr>
          <w:rFonts w:hint="eastAsia"/>
          <w:color w:val="auto"/>
          <w:lang w:val="en-US" w:eastAsia="zh-CN"/>
        </w:rPr>
        <w:t>2）</w:t>
      </w:r>
      <w:r>
        <w:rPr>
          <w:rFonts w:hint="eastAsia"/>
          <w:color w:val="auto"/>
        </w:rPr>
        <w:t>试</w:t>
      </w:r>
      <w:r>
        <w:rPr>
          <w:rFonts w:hint="eastAsia"/>
          <w:color w:val="auto"/>
          <w:lang w:eastAsia="zh-CN"/>
        </w:rPr>
        <w:t>运营期</w:t>
      </w:r>
      <w:r>
        <w:rPr>
          <w:rFonts w:hint="eastAsia"/>
          <w:color w:val="auto"/>
        </w:rPr>
        <w:t>环境监理主要内容</w:t>
      </w:r>
    </w:p>
    <w:p w14:paraId="1766EA3C">
      <w:pPr>
        <w:pStyle w:val="79"/>
        <w:bidi w:val="0"/>
        <w:rPr>
          <w:rFonts w:hint="eastAsia"/>
          <w:color w:val="auto"/>
        </w:rPr>
      </w:pPr>
      <w:r>
        <w:rPr>
          <w:rFonts w:hint="eastAsia"/>
          <w:color w:val="auto"/>
        </w:rPr>
        <w:t>按照竣工环境保护验收有关要求逐项核查环保措施、设施落实情况、效果，重点关注生态保护措施及作业带地貌恢复的情况。</w:t>
      </w:r>
    </w:p>
    <w:p w14:paraId="6D1F9334">
      <w:pPr>
        <w:pStyle w:val="79"/>
        <w:bidi w:val="0"/>
        <w:rPr>
          <w:color w:val="auto"/>
        </w:rPr>
      </w:pPr>
      <w:r>
        <w:rPr>
          <w:rFonts w:hint="eastAsia"/>
          <w:color w:val="auto"/>
        </w:rPr>
        <w:t>环境监理工作计划及重点</w:t>
      </w:r>
      <w:r>
        <w:rPr>
          <w:rFonts w:hint="eastAsia"/>
          <w:color w:val="auto"/>
          <w:lang w:eastAsia="zh-CN"/>
        </w:rPr>
        <w:t>，</w:t>
      </w:r>
      <w:r>
        <w:rPr>
          <w:rFonts w:hint="eastAsia"/>
          <w:color w:val="auto"/>
        </w:rPr>
        <w:t>见表</w:t>
      </w:r>
      <w:r>
        <w:rPr>
          <w:rFonts w:hint="eastAsia"/>
          <w:color w:val="auto"/>
          <w:lang w:val="en-US" w:eastAsia="zh-CN"/>
        </w:rPr>
        <w:t>9.1-3</w:t>
      </w:r>
      <w:r>
        <w:rPr>
          <w:rFonts w:hint="eastAsia"/>
          <w:color w:val="auto"/>
        </w:rPr>
        <w:t>。</w:t>
      </w:r>
    </w:p>
    <w:p w14:paraId="10B6239D">
      <w:pPr>
        <w:pStyle w:val="61"/>
        <w:bidi w:val="0"/>
        <w:jc w:val="both"/>
        <w:rPr>
          <w:rFonts w:hint="default"/>
          <w:color w:val="auto"/>
          <w:lang w:val="zh-CN" w:eastAsia="zh-CN"/>
        </w:rPr>
      </w:pPr>
      <w:r>
        <w:rPr>
          <w:rFonts w:hint="default"/>
          <w:color w:val="auto"/>
          <w:lang w:val="zh-CN" w:eastAsia="zh-CN"/>
        </w:rPr>
        <w:t>表</w:t>
      </w:r>
      <w:r>
        <w:rPr>
          <w:rFonts w:hint="eastAsia"/>
          <w:color w:val="auto"/>
          <w:lang w:val="en-US" w:eastAsia="zh-CN"/>
        </w:rPr>
        <w:t xml:space="preserve">9.1-3  </w:t>
      </w:r>
      <w:r>
        <w:rPr>
          <w:rFonts w:hint="default"/>
          <w:color w:val="auto"/>
          <w:lang w:val="zh-CN" w:eastAsia="zh-CN"/>
        </w:rPr>
        <w:tab/>
      </w:r>
      <w:r>
        <w:rPr>
          <w:rFonts w:hint="default"/>
          <w:color w:val="auto"/>
          <w:lang w:val="zh-CN" w:eastAsia="zh-CN"/>
        </w:rPr>
        <w:t>现场环境监理工作计划</w:t>
      </w:r>
    </w:p>
    <w:tbl>
      <w:tblPr>
        <w:tblStyle w:val="36"/>
        <w:tblW w:w="5016"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611"/>
        <w:gridCol w:w="1312"/>
        <w:gridCol w:w="5188"/>
        <w:gridCol w:w="1565"/>
      </w:tblGrid>
      <w:tr w14:paraId="0EC5B1B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52" w:type="pct"/>
            <w:tcBorders>
              <w:tl2br w:val="nil"/>
              <w:tr2bl w:val="nil"/>
            </w:tcBorders>
            <w:noWrap w:val="0"/>
            <w:vAlign w:val="center"/>
          </w:tcPr>
          <w:p w14:paraId="0CAFB27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序号</w:t>
            </w:r>
          </w:p>
        </w:tc>
        <w:tc>
          <w:tcPr>
            <w:tcW w:w="756" w:type="pct"/>
            <w:tcBorders>
              <w:tl2br w:val="nil"/>
              <w:tr2bl w:val="nil"/>
            </w:tcBorders>
            <w:noWrap w:val="0"/>
            <w:vAlign w:val="center"/>
          </w:tcPr>
          <w:p w14:paraId="60BB1BE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场地</w:t>
            </w:r>
          </w:p>
        </w:tc>
        <w:tc>
          <w:tcPr>
            <w:tcW w:w="2989" w:type="pct"/>
            <w:tcBorders>
              <w:tl2br w:val="nil"/>
              <w:tr2bl w:val="nil"/>
            </w:tcBorders>
            <w:noWrap w:val="0"/>
            <w:vAlign w:val="center"/>
          </w:tcPr>
          <w:p w14:paraId="4B80423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监督内容</w:t>
            </w:r>
          </w:p>
        </w:tc>
        <w:tc>
          <w:tcPr>
            <w:tcW w:w="901" w:type="pct"/>
            <w:tcBorders>
              <w:tl2br w:val="nil"/>
              <w:tr2bl w:val="nil"/>
            </w:tcBorders>
            <w:noWrap w:val="0"/>
            <w:vAlign w:val="center"/>
          </w:tcPr>
          <w:p w14:paraId="209718A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监理要求</w:t>
            </w:r>
          </w:p>
        </w:tc>
      </w:tr>
      <w:tr w14:paraId="534AA15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52" w:type="pct"/>
            <w:tcBorders>
              <w:tl2br w:val="nil"/>
              <w:tr2bl w:val="nil"/>
            </w:tcBorders>
            <w:noWrap w:val="0"/>
            <w:vAlign w:val="center"/>
          </w:tcPr>
          <w:p w14:paraId="36B7AFF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56" w:type="pct"/>
            <w:tcBorders>
              <w:tl2br w:val="nil"/>
              <w:tr2bl w:val="nil"/>
            </w:tcBorders>
            <w:noWrap w:val="0"/>
            <w:vAlign w:val="center"/>
          </w:tcPr>
          <w:p w14:paraId="1FE934B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井场</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雄探1试采点</w:t>
            </w:r>
          </w:p>
        </w:tc>
        <w:tc>
          <w:tcPr>
            <w:tcW w:w="2989" w:type="pct"/>
            <w:tcBorders>
              <w:tl2br w:val="nil"/>
              <w:tr2bl w:val="nil"/>
            </w:tcBorders>
            <w:noWrap w:val="0"/>
            <w:vAlign w:val="top"/>
          </w:tcPr>
          <w:p w14:paraId="08E65E1D">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①布设是否满足环评要求；</w:t>
            </w:r>
          </w:p>
          <w:p w14:paraId="595C2710">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②环保设施，施工是否严格按设计方案执行，施工质量是否能达到要求；</w:t>
            </w:r>
          </w:p>
          <w:p w14:paraId="7435C2FD">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③施工作业是否超越了限定范围；废水、废气、废渣等污染是否达标排放。</w:t>
            </w:r>
          </w:p>
        </w:tc>
        <w:tc>
          <w:tcPr>
            <w:tcW w:w="901" w:type="pct"/>
            <w:tcBorders>
              <w:tl2br w:val="nil"/>
              <w:tr2bl w:val="nil"/>
            </w:tcBorders>
            <w:noWrap w:val="0"/>
            <w:vAlign w:val="center"/>
          </w:tcPr>
          <w:p w14:paraId="416CBEC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环评中环保措施落实到位</w:t>
            </w:r>
          </w:p>
        </w:tc>
      </w:tr>
      <w:tr w14:paraId="25AB859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52" w:type="pct"/>
            <w:tcBorders>
              <w:tl2br w:val="nil"/>
              <w:tr2bl w:val="nil"/>
            </w:tcBorders>
            <w:noWrap w:val="0"/>
            <w:vAlign w:val="center"/>
          </w:tcPr>
          <w:p w14:paraId="1393310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756" w:type="pct"/>
            <w:tcBorders>
              <w:tl2br w:val="nil"/>
              <w:tr2bl w:val="nil"/>
            </w:tcBorders>
            <w:noWrap w:val="0"/>
            <w:vAlign w:val="center"/>
          </w:tcPr>
          <w:p w14:paraId="3BC368D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管沟开挖现场</w:t>
            </w:r>
          </w:p>
        </w:tc>
        <w:tc>
          <w:tcPr>
            <w:tcW w:w="2989" w:type="pct"/>
            <w:tcBorders>
              <w:tl2br w:val="nil"/>
              <w:tr2bl w:val="nil"/>
            </w:tcBorders>
            <w:noWrap w:val="0"/>
            <w:vAlign w:val="center"/>
          </w:tcPr>
          <w:p w14:paraId="5BAE3160">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①集输线路是否满足环评要求；</w:t>
            </w:r>
          </w:p>
          <w:p w14:paraId="6013DCDE">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②施工作业是否超越了作业带宽度；</w:t>
            </w:r>
          </w:p>
          <w:p w14:paraId="1BBA4D17">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③挖土方放置是否符合要求，回填后多余的土方处置是否合理；</w:t>
            </w:r>
          </w:p>
          <w:p w14:paraId="7694B905">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④施工人员是否按操作规程及相关规定作业；</w:t>
            </w:r>
          </w:p>
          <w:p w14:paraId="56A706C9">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⑤施工完成后是否进行了清理。</w:t>
            </w:r>
          </w:p>
        </w:tc>
        <w:tc>
          <w:tcPr>
            <w:tcW w:w="901" w:type="pct"/>
            <w:tcBorders>
              <w:tl2br w:val="nil"/>
              <w:tr2bl w:val="nil"/>
            </w:tcBorders>
            <w:noWrap w:val="0"/>
            <w:vAlign w:val="center"/>
          </w:tcPr>
          <w:p w14:paraId="10175F8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环评中环保措施落实到位</w:t>
            </w:r>
          </w:p>
        </w:tc>
      </w:tr>
      <w:tr w14:paraId="69A253C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52" w:type="pct"/>
            <w:tcBorders>
              <w:tl2br w:val="nil"/>
              <w:tr2bl w:val="nil"/>
            </w:tcBorders>
            <w:noWrap w:val="0"/>
            <w:vAlign w:val="center"/>
          </w:tcPr>
          <w:p w14:paraId="09163FB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756" w:type="pct"/>
            <w:tcBorders>
              <w:tl2br w:val="nil"/>
              <w:tr2bl w:val="nil"/>
            </w:tcBorders>
            <w:noWrap w:val="0"/>
            <w:vAlign w:val="center"/>
          </w:tcPr>
          <w:p w14:paraId="7895ED3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其他</w:t>
            </w:r>
          </w:p>
        </w:tc>
        <w:tc>
          <w:tcPr>
            <w:tcW w:w="2989" w:type="pct"/>
            <w:tcBorders>
              <w:tl2br w:val="nil"/>
              <w:tr2bl w:val="nil"/>
            </w:tcBorders>
            <w:noWrap w:val="0"/>
            <w:vAlign w:val="center"/>
          </w:tcPr>
          <w:p w14:paraId="2CDD9CF9">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①施工结束后是否及时清理现场、恢复地貌，是否及时采取生态恢复、防沙治沙、水土保持措施；</w:t>
            </w:r>
          </w:p>
          <w:p w14:paraId="69F6960C">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②施工季节是否合适；</w:t>
            </w:r>
          </w:p>
          <w:p w14:paraId="0BF3414F">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③有无砍伐、破坏施工区以外的作物和植被，有无伤害野生动物等行为。</w:t>
            </w:r>
          </w:p>
        </w:tc>
        <w:tc>
          <w:tcPr>
            <w:tcW w:w="901" w:type="pct"/>
            <w:tcBorders>
              <w:tl2br w:val="nil"/>
              <w:tr2bl w:val="nil"/>
            </w:tcBorders>
            <w:noWrap w:val="0"/>
            <w:vAlign w:val="center"/>
          </w:tcPr>
          <w:p w14:paraId="62EC606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各项环保措施落实到位</w:t>
            </w:r>
          </w:p>
        </w:tc>
      </w:tr>
    </w:tbl>
    <w:p w14:paraId="48598388">
      <w:pPr>
        <w:pStyle w:val="54"/>
        <w:bidi w:val="0"/>
        <w:rPr>
          <w:rFonts w:hint="eastAsia"/>
          <w:color w:val="auto"/>
          <w:lang w:val="en-US" w:eastAsia="zh-CN"/>
        </w:rPr>
      </w:pPr>
      <w:r>
        <w:rPr>
          <w:rFonts w:hint="eastAsia"/>
          <w:color w:val="auto"/>
          <w:lang w:val="en-US" w:eastAsia="zh-CN"/>
        </w:rPr>
        <w:fldChar w:fldCharType="begin"/>
      </w:r>
      <w:r>
        <w:rPr>
          <w:rFonts w:hint="eastAsia"/>
          <w:color w:val="auto"/>
          <w:lang w:val="en-US" w:eastAsia="zh-CN"/>
        </w:rPr>
        <w:instrText xml:space="preserve"> HYPERLINK \l _Toc4862 </w:instrText>
      </w:r>
      <w:r>
        <w:rPr>
          <w:rFonts w:hint="eastAsia"/>
          <w:color w:val="auto"/>
          <w:lang w:val="en-US" w:eastAsia="zh-CN"/>
        </w:rPr>
        <w:fldChar w:fldCharType="separate"/>
      </w:r>
      <w:r>
        <w:rPr>
          <w:rFonts w:hint="eastAsia"/>
          <w:color w:val="auto"/>
          <w:lang w:val="en-US" w:eastAsia="zh-CN"/>
        </w:rPr>
        <w:t>9.1.7 环境影响后评价</w:t>
      </w:r>
      <w:r>
        <w:rPr>
          <w:rFonts w:hint="eastAsia"/>
          <w:color w:val="auto"/>
          <w:lang w:val="en-US" w:eastAsia="zh-CN"/>
        </w:rPr>
        <w:fldChar w:fldCharType="end"/>
      </w:r>
    </w:p>
    <w:p w14:paraId="4F8517DE">
      <w:pPr>
        <w:pStyle w:val="79"/>
        <w:bidi w:val="0"/>
        <w:rPr>
          <w:color w:val="auto"/>
        </w:rPr>
      </w:pPr>
      <w:r>
        <w:rPr>
          <w:color w:val="auto"/>
        </w:rPr>
        <w:t>根据《中华人民共和国环境影响评价法》《建设项目环境影响后评价管理办法（试行）》《关于进一步加强石油天然气行业环境影响评价管理的通知》（环办环评函〔2019〕910号）《关于加强建设项目环境影响后评价管理的通知》（新环环评发〔2020〕162号）要求，项目正式投产或运营后，每3</w:t>
      </w:r>
      <w:r>
        <w:rPr>
          <w:rFonts w:hint="eastAsia"/>
          <w:color w:val="auto"/>
          <w:lang w:eastAsia="zh-CN"/>
        </w:rPr>
        <w:t>～</w:t>
      </w:r>
      <w:r>
        <w:rPr>
          <w:color w:val="auto"/>
        </w:rPr>
        <w:t>5年开展一次环境影响后评价，依法报批生态环境主管部门备案。石油天然气开发建设项目可按照开发区块整体开展环境影响后评价工作。</w:t>
      </w:r>
    </w:p>
    <w:p w14:paraId="1E064F3A">
      <w:pPr>
        <w:pStyle w:val="79"/>
        <w:bidi w:val="0"/>
        <w:rPr>
          <w:rFonts w:hint="default"/>
          <w:color w:val="auto"/>
        </w:rPr>
      </w:pPr>
      <w:r>
        <w:rPr>
          <w:color w:val="auto"/>
        </w:rPr>
        <w:t>因此，项目正式投产或运营后，可纳入</w:t>
      </w:r>
      <w:r>
        <w:rPr>
          <w:rFonts w:hint="eastAsia"/>
          <w:color w:val="auto"/>
          <w:lang w:val="en-US" w:eastAsia="zh-CN"/>
        </w:rPr>
        <w:t>雄英油田雄探1井区</w:t>
      </w:r>
      <w:r>
        <w:rPr>
          <w:color w:val="auto"/>
        </w:rPr>
        <w:t>整体开展环境影响后评价工作。</w:t>
      </w:r>
    </w:p>
    <w:p w14:paraId="4A3C4C74">
      <w:pPr>
        <w:pStyle w:val="54"/>
        <w:bidi w:val="0"/>
        <w:rPr>
          <w:rFonts w:hint="eastAsia"/>
          <w:color w:val="auto"/>
          <w:lang w:val="en-US" w:eastAsia="zh-CN"/>
        </w:rPr>
      </w:pPr>
      <w:r>
        <w:rPr>
          <w:rFonts w:hint="eastAsia"/>
          <w:color w:val="auto"/>
          <w:lang w:val="en-US" w:eastAsia="zh-CN"/>
        </w:rPr>
        <w:fldChar w:fldCharType="begin"/>
      </w:r>
      <w:r>
        <w:rPr>
          <w:rFonts w:hint="eastAsia"/>
          <w:color w:val="auto"/>
          <w:lang w:val="en-US" w:eastAsia="zh-CN"/>
        </w:rPr>
        <w:instrText xml:space="preserve"> HYPERLINK \l _Toc14563 </w:instrText>
      </w:r>
      <w:r>
        <w:rPr>
          <w:rFonts w:hint="eastAsia"/>
          <w:color w:val="auto"/>
          <w:lang w:val="en-US" w:eastAsia="zh-CN"/>
        </w:rPr>
        <w:fldChar w:fldCharType="separate"/>
      </w:r>
      <w:r>
        <w:rPr>
          <w:rFonts w:hint="eastAsia"/>
          <w:color w:val="auto"/>
          <w:lang w:val="en-US" w:eastAsia="zh-CN"/>
        </w:rPr>
        <w:t>9.1.8 排污许可</w:t>
      </w:r>
      <w:r>
        <w:rPr>
          <w:rFonts w:hint="eastAsia"/>
          <w:color w:val="auto"/>
          <w:lang w:val="en-US" w:eastAsia="zh-CN"/>
        </w:rPr>
        <w:fldChar w:fldCharType="end"/>
      </w:r>
    </w:p>
    <w:p w14:paraId="59384017">
      <w:pPr>
        <w:pStyle w:val="79"/>
        <w:bidi w:val="0"/>
        <w:rPr>
          <w:rFonts w:hint="default"/>
          <w:color w:val="auto"/>
        </w:rPr>
      </w:pPr>
      <w:r>
        <w:rPr>
          <w:rFonts w:hint="default"/>
          <w:color w:val="auto"/>
        </w:rPr>
        <w:t>依据《排污许可管理条例》</w:t>
      </w:r>
      <w:r>
        <w:rPr>
          <w:rFonts w:hint="eastAsia"/>
          <w:color w:val="auto"/>
          <w:lang w:eastAsia="zh-CN"/>
        </w:rPr>
        <w:t>（</w:t>
      </w:r>
      <w:r>
        <w:rPr>
          <w:rFonts w:hint="default"/>
          <w:color w:val="auto"/>
        </w:rPr>
        <w:t>中华人民共和国国务院令 第736号</w:t>
      </w:r>
      <w:r>
        <w:rPr>
          <w:rFonts w:hint="eastAsia"/>
          <w:color w:val="auto"/>
          <w:lang w:eastAsia="zh-CN"/>
        </w:rPr>
        <w:t>）</w:t>
      </w:r>
      <w:r>
        <w:rPr>
          <w:rFonts w:hint="default"/>
          <w:color w:val="auto"/>
        </w:rPr>
        <w:t>第二条规定：依照法律规定实行排污许可管理的企业事业单位和其他生产经营者，应当依照本条例规定申请取得排污许可证；未取得排污许可证的，不得排放污染物。</w:t>
      </w:r>
    </w:p>
    <w:p w14:paraId="75E40847">
      <w:pPr>
        <w:pStyle w:val="79"/>
        <w:bidi w:val="0"/>
        <w:rPr>
          <w:rFonts w:hint="default"/>
          <w:color w:val="auto"/>
        </w:rPr>
      </w:pPr>
      <w:r>
        <w:rPr>
          <w:rFonts w:hint="default"/>
          <w:color w:val="auto"/>
        </w:rPr>
        <w:t>根据《排污许可证申请与核发技术规范 总则》(HJ942-2018)、《排污许可证申请与核发技术规范 工业噪声》(HJ1301-2023)、《排污单位自行监测技术指南 总则》(HJ819-2017</w:t>
      </w:r>
      <w:r>
        <w:rPr>
          <w:rFonts w:hint="eastAsia"/>
          <w:color w:val="auto"/>
          <w:lang w:eastAsia="zh-CN"/>
        </w:rPr>
        <w:t>）</w:t>
      </w:r>
      <w:r>
        <w:rPr>
          <w:rFonts w:hint="default"/>
          <w:color w:val="auto"/>
        </w:rPr>
        <w:t>及《关于进一步做好环境影响评价与排污许可衔接工作的通知》</w:t>
      </w:r>
      <w:r>
        <w:rPr>
          <w:rFonts w:hint="eastAsia"/>
          <w:color w:val="auto"/>
          <w:lang w:eastAsia="zh-CN"/>
        </w:rPr>
        <w:t>（</w:t>
      </w:r>
      <w:r>
        <w:rPr>
          <w:rFonts w:hint="default"/>
          <w:color w:val="auto"/>
        </w:rPr>
        <w:t>环办环评</w:t>
      </w:r>
      <w:r>
        <w:rPr>
          <w:rFonts w:hint="eastAsia"/>
          <w:color w:val="auto"/>
          <w:lang w:eastAsia="zh-CN"/>
        </w:rPr>
        <w:t>〔2017〕84号），</w:t>
      </w:r>
      <w:r>
        <w:rPr>
          <w:rFonts w:hint="default"/>
          <w:color w:val="auto"/>
        </w:rPr>
        <w:t>本项目应纳入塔里木油田分公司英买采油气管理区排污许可管理，项目无组织废气严格执行《陆上石油天然气开采工业大气污染物排放标准》(GB39728-2020</w:t>
      </w:r>
      <w:r>
        <w:rPr>
          <w:rFonts w:hint="eastAsia"/>
          <w:color w:val="auto"/>
          <w:lang w:eastAsia="zh-CN"/>
        </w:rPr>
        <w:t>）</w:t>
      </w:r>
      <w:r>
        <w:rPr>
          <w:rFonts w:hint="default"/>
          <w:color w:val="auto"/>
        </w:rPr>
        <w:t>中其他排放控制要求，同时英买采油气管理区应进一步完善排污许可变更、自行监测制度及排污口规范化管理制度等。</w:t>
      </w:r>
    </w:p>
    <w:p w14:paraId="259AB5CB">
      <w:pPr>
        <w:pStyle w:val="75"/>
        <w:bidi w:val="0"/>
        <w:rPr>
          <w:rFonts w:hint="default"/>
          <w:color w:val="auto"/>
          <w:lang w:val="en-US" w:eastAsia="zh-CN"/>
        </w:rPr>
      </w:pPr>
      <w:bookmarkStart w:id="858" w:name="_Toc417"/>
      <w:bookmarkStart w:id="859" w:name="_Toc14248"/>
      <w:bookmarkStart w:id="860" w:name="_Toc21965"/>
      <w:bookmarkStart w:id="861" w:name="_Toc9901"/>
      <w:bookmarkStart w:id="862" w:name="_Toc119915041"/>
      <w:bookmarkStart w:id="863" w:name="_Toc21778"/>
      <w:bookmarkStart w:id="864" w:name="_Toc9316"/>
      <w:r>
        <w:rPr>
          <w:rFonts w:hint="eastAsia"/>
          <w:color w:val="auto"/>
          <w:lang w:val="en-US" w:eastAsia="zh-CN"/>
        </w:rPr>
        <w:t>9.2企业环境信息披露</w:t>
      </w:r>
      <w:bookmarkEnd w:id="858"/>
    </w:p>
    <w:p w14:paraId="67A49EAB">
      <w:pPr>
        <w:pStyle w:val="54"/>
        <w:bidi w:val="0"/>
        <w:rPr>
          <w:rFonts w:hint="default"/>
          <w:color w:val="auto"/>
          <w:lang w:val="en-US" w:eastAsia="zh-CN"/>
        </w:rPr>
      </w:pPr>
      <w:r>
        <w:rPr>
          <w:rFonts w:hint="default"/>
          <w:color w:val="auto"/>
          <w:lang w:val="en-US" w:eastAsia="zh-CN"/>
        </w:rPr>
        <w:t>9.2.1 披露内容</w:t>
      </w:r>
    </w:p>
    <w:p w14:paraId="6E64BA61">
      <w:pPr>
        <w:pStyle w:val="79"/>
        <w:bidi w:val="0"/>
        <w:rPr>
          <w:rFonts w:hint="default"/>
          <w:color w:val="auto"/>
        </w:rPr>
      </w:pPr>
      <w:r>
        <w:rPr>
          <w:rFonts w:hint="default"/>
          <w:color w:val="auto"/>
        </w:rPr>
        <w:t>参照《企业环境信息依法披露管理办法》（生态环境部令第24号）等规定，并结合新疆的相关要求，可通过政府网站、报刊、广播、电视等便于公众知晓的方式公布。公司应公开以下内容：</w:t>
      </w:r>
    </w:p>
    <w:p w14:paraId="19FC8116">
      <w:pPr>
        <w:pStyle w:val="79"/>
        <w:bidi w:val="0"/>
        <w:rPr>
          <w:rFonts w:hint="default"/>
          <w:color w:val="auto"/>
        </w:rPr>
      </w:pPr>
      <w:r>
        <w:rPr>
          <w:rFonts w:hint="default"/>
          <w:color w:val="auto"/>
        </w:rPr>
        <w:t>（1）基础信息，包括单位名称、组织机构代码、法定代表人、生产地址、联 系方式，以及生产经营和管理服务的主要内容、产品及规模；</w:t>
      </w:r>
    </w:p>
    <w:p w14:paraId="3BB23119">
      <w:pPr>
        <w:pStyle w:val="79"/>
        <w:bidi w:val="0"/>
        <w:rPr>
          <w:rFonts w:hint="default"/>
          <w:color w:val="auto"/>
        </w:rPr>
      </w:pPr>
      <w:r>
        <w:rPr>
          <w:rFonts w:hint="default"/>
          <w:color w:val="auto"/>
        </w:rPr>
        <w:t>（2）排污信息，包括主要污染物及特征污染物的名称、排放方式、排放口数量 和分布情况、排放浓度和总量、超标情况，以及执行的污染物排放标准、核定的 排放总量；</w:t>
      </w:r>
    </w:p>
    <w:p w14:paraId="3924CAE0">
      <w:pPr>
        <w:pStyle w:val="79"/>
        <w:bidi w:val="0"/>
        <w:rPr>
          <w:rFonts w:hint="default"/>
          <w:color w:val="auto"/>
        </w:rPr>
      </w:pPr>
      <w:r>
        <w:rPr>
          <w:rFonts w:hint="default"/>
          <w:color w:val="auto"/>
        </w:rPr>
        <w:t>（3）防治污染设施的建设和运行情况；</w:t>
      </w:r>
    </w:p>
    <w:p w14:paraId="5F8C8FA6">
      <w:pPr>
        <w:pStyle w:val="79"/>
        <w:bidi w:val="0"/>
        <w:rPr>
          <w:rFonts w:hint="default"/>
          <w:color w:val="auto"/>
        </w:rPr>
      </w:pPr>
      <w:r>
        <w:rPr>
          <w:rFonts w:hint="default"/>
          <w:color w:val="auto"/>
        </w:rPr>
        <w:t>（4）建设项目环境影响评价及其他环境保护行政许可情况；</w:t>
      </w:r>
    </w:p>
    <w:p w14:paraId="1FD34B5C">
      <w:pPr>
        <w:pStyle w:val="79"/>
        <w:bidi w:val="0"/>
        <w:rPr>
          <w:rFonts w:hint="default"/>
          <w:color w:val="auto"/>
        </w:rPr>
      </w:pPr>
      <w:r>
        <w:rPr>
          <w:rFonts w:hint="default"/>
          <w:color w:val="auto"/>
        </w:rPr>
        <w:t>（5）突发环境事件应急预案；</w:t>
      </w:r>
    </w:p>
    <w:p w14:paraId="4F593EE3">
      <w:pPr>
        <w:pStyle w:val="79"/>
        <w:bidi w:val="0"/>
        <w:rPr>
          <w:rFonts w:hint="default"/>
          <w:color w:val="auto"/>
          <w:lang w:val="en-US" w:eastAsia="zh-CN"/>
        </w:rPr>
      </w:pPr>
      <w:r>
        <w:rPr>
          <w:rFonts w:hint="eastAsia"/>
          <w:color w:val="auto"/>
          <w:lang w:eastAsia="zh-CN"/>
        </w:rPr>
        <w:t>（</w:t>
      </w:r>
      <w:r>
        <w:rPr>
          <w:rFonts w:hint="eastAsia"/>
          <w:color w:val="auto"/>
          <w:lang w:val="en-US" w:eastAsia="zh-CN"/>
        </w:rPr>
        <w:t>6</w:t>
      </w:r>
      <w:r>
        <w:rPr>
          <w:rFonts w:hint="eastAsia"/>
          <w:color w:val="auto"/>
          <w:lang w:eastAsia="zh-CN"/>
        </w:rPr>
        <w:t>）</w:t>
      </w:r>
      <w:r>
        <w:rPr>
          <w:rFonts w:hint="default"/>
          <w:color w:val="auto"/>
        </w:rPr>
        <w:t>其他应当公开的环境信息。</w:t>
      </w:r>
    </w:p>
    <w:p w14:paraId="36608F95">
      <w:pPr>
        <w:pStyle w:val="54"/>
        <w:bidi w:val="0"/>
        <w:rPr>
          <w:rFonts w:hint="default"/>
          <w:color w:val="auto"/>
          <w:lang w:val="en-US" w:eastAsia="zh-CN"/>
        </w:rPr>
      </w:pPr>
      <w:r>
        <w:rPr>
          <w:rFonts w:hint="default"/>
          <w:color w:val="auto"/>
          <w:lang w:val="en-US" w:eastAsia="zh-CN"/>
        </w:rPr>
        <w:t>9.2.2 披露方式及时间要求</w:t>
      </w:r>
    </w:p>
    <w:p w14:paraId="79FA6E8A">
      <w:pPr>
        <w:pStyle w:val="79"/>
        <w:bidi w:val="0"/>
        <w:rPr>
          <w:rFonts w:hint="default"/>
          <w:color w:val="auto"/>
        </w:rPr>
      </w:pPr>
      <w:r>
        <w:rPr>
          <w:rFonts w:hint="default"/>
          <w:color w:val="auto"/>
        </w:rPr>
        <w:t>公开方式：通过公司网站、信息公开平台或当地报刊等便于公众知晓的方式公开。</w:t>
      </w:r>
    </w:p>
    <w:p w14:paraId="651435C2">
      <w:pPr>
        <w:pStyle w:val="79"/>
        <w:bidi w:val="0"/>
        <w:rPr>
          <w:rFonts w:hint="default"/>
          <w:color w:val="auto"/>
        </w:rPr>
      </w:pPr>
      <w:r>
        <w:rPr>
          <w:rFonts w:hint="default"/>
          <w:color w:val="auto"/>
        </w:rPr>
        <w:t>公开时间要求：企业可以根据实际情况对已披露的环境信息进行变更；进行变更的，应当以临时环境信息依法披露报告的形式变更，并说明变更事项和理由；企业应当于每年3月15日前披露上一年度1月1日至12月31日的环境信息；英买采油气管理区在企业名单公布前存在《企业环境信息依法披露管理办法》</w:t>
      </w:r>
      <w:r>
        <w:rPr>
          <w:rFonts w:hint="default"/>
          <w:color w:val="auto"/>
          <w:lang w:eastAsia="zh-CN"/>
        </w:rPr>
        <w:t>（</w:t>
      </w:r>
      <w:r>
        <w:rPr>
          <w:rFonts w:hint="default"/>
          <w:color w:val="auto"/>
        </w:rPr>
        <w:t>生态环境部部令 第24号</w:t>
      </w:r>
      <w:r>
        <w:rPr>
          <w:rFonts w:hint="default"/>
          <w:color w:val="auto"/>
          <w:lang w:eastAsia="zh-CN"/>
        </w:rPr>
        <w:t>）</w:t>
      </w:r>
      <w:r>
        <w:rPr>
          <w:rFonts w:hint="default"/>
          <w:color w:val="auto"/>
        </w:rPr>
        <w:t>第十七条规定的环境信息的，应当于企业名单公布后十个工作日内以临时环境信息依法披露报告的形式披露本年度企业名单公布前的相关信息。</w:t>
      </w:r>
      <w:bookmarkEnd w:id="826"/>
      <w:bookmarkEnd w:id="827"/>
      <w:bookmarkEnd w:id="859"/>
      <w:bookmarkEnd w:id="860"/>
      <w:bookmarkEnd w:id="861"/>
      <w:bookmarkEnd w:id="862"/>
      <w:bookmarkEnd w:id="863"/>
      <w:bookmarkEnd w:id="864"/>
      <w:bookmarkStart w:id="865" w:name="_Toc119915042"/>
      <w:bookmarkStart w:id="866" w:name="_Toc18716"/>
      <w:bookmarkStart w:id="867" w:name="_Toc26314"/>
      <w:bookmarkStart w:id="868" w:name="_Toc100"/>
      <w:bookmarkStart w:id="869" w:name="_Toc15879"/>
      <w:bookmarkStart w:id="870" w:name="_Toc3920"/>
      <w:bookmarkStart w:id="871" w:name="_Toc25373"/>
      <w:bookmarkStart w:id="872" w:name="_Toc109382953"/>
    </w:p>
    <w:p w14:paraId="56E78875">
      <w:pPr>
        <w:pStyle w:val="75"/>
        <w:bidi w:val="0"/>
        <w:rPr>
          <w:rFonts w:hint="eastAsia"/>
          <w:color w:val="auto"/>
          <w:lang w:val="en-US" w:eastAsia="zh-CN"/>
        </w:rPr>
      </w:pPr>
      <w:bookmarkStart w:id="873" w:name="_Toc5998"/>
      <w:r>
        <w:rPr>
          <w:rFonts w:hint="eastAsia"/>
          <w:color w:val="auto"/>
          <w:lang w:val="en-US" w:eastAsia="zh-CN"/>
        </w:rPr>
        <w:t>9.3 污染物排放清单</w:t>
      </w:r>
      <w:bookmarkEnd w:id="873"/>
    </w:p>
    <w:p w14:paraId="3C2652A2">
      <w:pPr>
        <w:pStyle w:val="79"/>
        <w:bidi w:val="0"/>
        <w:rPr>
          <w:color w:val="auto"/>
          <w:lang w:val="en-US" w:eastAsia="zh-CN"/>
        </w:rPr>
      </w:pPr>
      <w:r>
        <w:rPr>
          <w:rFonts w:hint="eastAsia"/>
          <w:color w:val="auto"/>
          <w:lang w:val="en-US" w:eastAsia="zh-CN"/>
        </w:rPr>
        <w:t>本工程</w:t>
      </w:r>
      <w:r>
        <w:rPr>
          <w:color w:val="auto"/>
          <w:lang w:val="en-US" w:eastAsia="zh-CN"/>
        </w:rPr>
        <w:t>符合环境准入要求。建设单位应根据《关于做好环境影响评价制度与排污许可制衔接相关工作的通知》（环办环评〔2017〕84号）要求，在发生实际排污行为之前，按照国家环境保护相关法律法规以及排污许可证申请与核发技术规范要求申请排污许可证，不得无证排污或不按证排污。</w:t>
      </w:r>
    </w:p>
    <w:p w14:paraId="323A089B">
      <w:pPr>
        <w:pStyle w:val="79"/>
        <w:bidi w:val="0"/>
        <w:rPr>
          <w:rFonts w:hint="eastAsia"/>
          <w:color w:val="auto"/>
          <w:lang w:val="en-US" w:eastAsia="zh-CN"/>
        </w:rPr>
      </w:pPr>
      <w:r>
        <w:rPr>
          <w:rFonts w:hint="eastAsia"/>
          <w:color w:val="auto"/>
          <w:lang w:val="en-US" w:eastAsia="zh-CN"/>
        </w:rPr>
        <w:t>本工程运营期污染物产生及排放情况，见表9.3-1。</w:t>
      </w:r>
    </w:p>
    <w:p w14:paraId="7B439F75">
      <w:pPr>
        <w:pStyle w:val="79"/>
        <w:bidi w:val="0"/>
        <w:rPr>
          <w:color w:val="auto"/>
        </w:rPr>
        <w:sectPr>
          <w:pgSz w:w="11906"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AndChars" w:linePitch="316" w:charSpace="0"/>
        </w:sectPr>
      </w:pPr>
    </w:p>
    <w:p w14:paraId="12F011C8">
      <w:pPr>
        <w:pStyle w:val="61"/>
        <w:bidi w:val="0"/>
        <w:jc w:val="both"/>
        <w:rPr>
          <w:rFonts w:hint="default"/>
          <w:color w:val="auto"/>
          <w:lang w:val="en-US" w:eastAsia="zh-CN"/>
        </w:rPr>
      </w:pPr>
      <w:r>
        <w:rPr>
          <w:rFonts w:hint="default"/>
          <w:color w:val="auto"/>
          <w:lang w:val="en-US" w:eastAsia="zh-CN"/>
        </w:rPr>
        <w:t>表</w:t>
      </w:r>
      <w:r>
        <w:rPr>
          <w:rFonts w:hint="eastAsia"/>
          <w:color w:val="auto"/>
          <w:lang w:val="en-US" w:eastAsia="zh-CN"/>
        </w:rPr>
        <w:t xml:space="preserve">9.3-1  </w:t>
      </w:r>
      <w:r>
        <w:rPr>
          <w:rFonts w:hint="default"/>
          <w:color w:val="auto"/>
          <w:lang w:val="en-US" w:eastAsia="zh-CN"/>
        </w:rPr>
        <w:tab/>
      </w:r>
      <w:r>
        <w:rPr>
          <w:rFonts w:hint="default"/>
          <w:color w:val="auto"/>
          <w:lang w:val="en-US" w:eastAsia="zh-CN"/>
        </w:rPr>
        <w:t>运营期污染物排放汇总</w:t>
      </w:r>
    </w:p>
    <w:tbl>
      <w:tblPr>
        <w:tblStyle w:val="36"/>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439"/>
        <w:gridCol w:w="974"/>
        <w:gridCol w:w="890"/>
        <w:gridCol w:w="868"/>
        <w:gridCol w:w="1991"/>
        <w:gridCol w:w="670"/>
        <w:gridCol w:w="648"/>
        <w:gridCol w:w="689"/>
        <w:gridCol w:w="946"/>
        <w:gridCol w:w="844"/>
        <w:gridCol w:w="686"/>
        <w:gridCol w:w="932"/>
        <w:gridCol w:w="3361"/>
      </w:tblGrid>
      <w:tr w14:paraId="28D3D7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167" w:type="pct"/>
            <w:vMerge w:val="restart"/>
            <w:tcBorders>
              <w:tl2br w:val="nil"/>
              <w:tr2bl w:val="nil"/>
            </w:tcBorders>
            <w:noWrap w:val="0"/>
            <w:vAlign w:val="center"/>
          </w:tcPr>
          <w:p w14:paraId="0F223B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类别</w:t>
            </w:r>
          </w:p>
        </w:tc>
        <w:tc>
          <w:tcPr>
            <w:tcW w:w="359" w:type="pct"/>
            <w:vMerge w:val="restart"/>
            <w:tcBorders>
              <w:tl2br w:val="nil"/>
              <w:tr2bl w:val="nil"/>
            </w:tcBorders>
            <w:noWrap w:val="0"/>
            <w:vAlign w:val="center"/>
          </w:tcPr>
          <w:p w14:paraId="033A9C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工程</w:t>
            </w:r>
          </w:p>
          <w:p w14:paraId="710AA4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组成</w:t>
            </w:r>
          </w:p>
        </w:tc>
        <w:tc>
          <w:tcPr>
            <w:tcW w:w="329" w:type="pct"/>
            <w:vMerge w:val="restart"/>
            <w:tcBorders>
              <w:tl2br w:val="nil"/>
              <w:tr2bl w:val="nil"/>
            </w:tcBorders>
            <w:noWrap w:val="0"/>
            <w:vAlign w:val="center"/>
          </w:tcPr>
          <w:p w14:paraId="34472B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产污</w:t>
            </w:r>
          </w:p>
          <w:p w14:paraId="14DF14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环节</w:t>
            </w:r>
          </w:p>
        </w:tc>
        <w:tc>
          <w:tcPr>
            <w:tcW w:w="1295" w:type="pct"/>
            <w:gridSpan w:val="3"/>
            <w:tcBorders>
              <w:tl2br w:val="nil"/>
              <w:tr2bl w:val="nil"/>
            </w:tcBorders>
            <w:noWrap w:val="0"/>
            <w:vAlign w:val="center"/>
          </w:tcPr>
          <w:p w14:paraId="7B69BF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环境保护措施及主要运行参数</w:t>
            </w:r>
          </w:p>
        </w:tc>
        <w:tc>
          <w:tcPr>
            <w:tcW w:w="242" w:type="pct"/>
            <w:vMerge w:val="restart"/>
            <w:tcBorders>
              <w:tl2br w:val="nil"/>
              <w:tr2bl w:val="nil"/>
            </w:tcBorders>
            <w:noWrap w:val="0"/>
            <w:vAlign w:val="center"/>
          </w:tcPr>
          <w:p w14:paraId="1B823D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污染物种类</w:t>
            </w:r>
          </w:p>
        </w:tc>
        <w:tc>
          <w:tcPr>
            <w:tcW w:w="606" w:type="pct"/>
            <w:gridSpan w:val="2"/>
            <w:tcBorders>
              <w:tl2br w:val="nil"/>
              <w:tr2bl w:val="nil"/>
            </w:tcBorders>
            <w:noWrap w:val="0"/>
            <w:vAlign w:val="center"/>
          </w:tcPr>
          <w:p w14:paraId="44BD9B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排放情况</w:t>
            </w:r>
          </w:p>
        </w:tc>
        <w:tc>
          <w:tcPr>
            <w:tcW w:w="265" w:type="pct"/>
            <w:vMerge w:val="restart"/>
            <w:tcBorders>
              <w:tl2br w:val="nil"/>
              <w:tr2bl w:val="nil"/>
            </w:tcBorders>
            <w:noWrap w:val="0"/>
            <w:vAlign w:val="center"/>
          </w:tcPr>
          <w:p w14:paraId="65AAC4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总量指标</w:t>
            </w:r>
            <w:r>
              <w:rPr>
                <w:rFonts w:hint="default" w:ascii="Times New Roman" w:hAnsi="Times New Roman" w:eastAsia="宋体" w:cs="Times New Roman"/>
                <w:b w:val="0"/>
                <w:bCs w:val="0"/>
                <w:color w:val="auto"/>
                <w:spacing w:val="0"/>
                <w:kern w:val="0"/>
                <w:sz w:val="21"/>
                <w:szCs w:val="21"/>
                <w:highlight w:val="none"/>
                <w:lang w:eastAsia="zh-CN"/>
              </w:rPr>
              <w:t>（</w:t>
            </w:r>
            <w:r>
              <w:rPr>
                <w:rFonts w:hint="default" w:ascii="Times New Roman" w:hAnsi="Times New Roman" w:eastAsia="宋体" w:cs="Times New Roman"/>
                <w:b w:val="0"/>
                <w:bCs w:val="0"/>
                <w:color w:val="auto"/>
                <w:spacing w:val="0"/>
                <w:kern w:val="0"/>
                <w:sz w:val="21"/>
                <w:szCs w:val="21"/>
                <w:highlight w:val="none"/>
              </w:rPr>
              <w:t>t/a</w:t>
            </w:r>
            <w:r>
              <w:rPr>
                <w:rFonts w:hint="eastAsia" w:cs="Times New Roman"/>
                <w:b w:val="0"/>
                <w:bCs w:val="0"/>
                <w:color w:val="auto"/>
                <w:spacing w:val="0"/>
                <w:kern w:val="0"/>
                <w:sz w:val="21"/>
                <w:szCs w:val="21"/>
                <w:highlight w:val="none"/>
                <w:lang w:eastAsia="zh-CN"/>
              </w:rPr>
              <w:t>）</w:t>
            </w:r>
          </w:p>
        </w:tc>
        <w:tc>
          <w:tcPr>
            <w:tcW w:w="522" w:type="pct"/>
            <w:gridSpan w:val="2"/>
            <w:vMerge w:val="restart"/>
            <w:tcBorders>
              <w:tl2br w:val="nil"/>
              <w:tr2bl w:val="nil"/>
            </w:tcBorders>
            <w:noWrap w:val="0"/>
            <w:vAlign w:val="center"/>
          </w:tcPr>
          <w:p w14:paraId="06678D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执行标准</w:t>
            </w:r>
          </w:p>
          <w:p w14:paraId="12677D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r>
              <w:rPr>
                <w:rFonts w:hint="eastAsia" w:cs="Times New Roman"/>
                <w:b w:val="0"/>
                <w:bCs w:val="0"/>
                <w:color w:val="auto"/>
                <w:spacing w:val="0"/>
                <w:kern w:val="0"/>
                <w:sz w:val="21"/>
                <w:szCs w:val="21"/>
                <w:highlight w:val="none"/>
                <w:lang w:eastAsia="zh-CN"/>
              </w:rPr>
              <w:t>(</w:t>
            </w:r>
            <w:r>
              <w:rPr>
                <w:rFonts w:hint="default" w:ascii="Times New Roman" w:hAnsi="Times New Roman" w:eastAsia="宋体" w:cs="Times New Roman"/>
                <w:b w:val="0"/>
                <w:bCs w:val="0"/>
                <w:color w:val="auto"/>
                <w:spacing w:val="0"/>
                <w:kern w:val="0"/>
                <w:sz w:val="21"/>
                <w:szCs w:val="21"/>
                <w:highlight w:val="none"/>
              </w:rPr>
              <w:t>mg/m</w:t>
            </w:r>
            <w:r>
              <w:rPr>
                <w:rFonts w:hint="default" w:ascii="Times New Roman" w:hAnsi="Times New Roman" w:eastAsia="宋体" w:cs="Times New Roman"/>
                <w:b w:val="0"/>
                <w:bCs w:val="0"/>
                <w:color w:val="auto"/>
                <w:spacing w:val="0"/>
                <w:kern w:val="0"/>
                <w:sz w:val="21"/>
                <w:szCs w:val="21"/>
                <w:highlight w:val="none"/>
                <w:vertAlign w:val="superscript"/>
              </w:rPr>
              <w:t>3</w:t>
            </w:r>
            <w:r>
              <w:rPr>
                <w:rFonts w:hint="default" w:ascii="Times New Roman" w:hAnsi="Times New Roman" w:eastAsia="宋体" w:cs="Times New Roman"/>
                <w:b w:val="0"/>
                <w:bCs w:val="0"/>
                <w:color w:val="auto"/>
                <w:spacing w:val="0"/>
                <w:kern w:val="0"/>
                <w:sz w:val="21"/>
                <w:szCs w:val="21"/>
                <w:highlight w:val="none"/>
              </w:rPr>
              <w:t>)</w:t>
            </w:r>
          </w:p>
        </w:tc>
        <w:tc>
          <w:tcPr>
            <w:tcW w:w="1213" w:type="pct"/>
            <w:vMerge w:val="restart"/>
            <w:tcBorders>
              <w:tl2br w:val="nil"/>
              <w:tr2bl w:val="nil"/>
            </w:tcBorders>
            <w:noWrap w:val="0"/>
            <w:vAlign w:val="center"/>
          </w:tcPr>
          <w:p w14:paraId="5C6323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环境监测要求</w:t>
            </w:r>
          </w:p>
        </w:tc>
      </w:tr>
      <w:tr w14:paraId="4458EE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167" w:type="pct"/>
            <w:vMerge w:val="continue"/>
            <w:tcBorders>
              <w:tl2br w:val="nil"/>
              <w:tr2bl w:val="nil"/>
            </w:tcBorders>
            <w:noWrap w:val="0"/>
            <w:vAlign w:val="center"/>
          </w:tcPr>
          <w:p w14:paraId="2DB637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p>
        </w:tc>
        <w:tc>
          <w:tcPr>
            <w:tcW w:w="359" w:type="pct"/>
            <w:vMerge w:val="continue"/>
            <w:tcBorders>
              <w:tl2br w:val="nil"/>
              <w:tr2bl w:val="nil"/>
            </w:tcBorders>
            <w:noWrap w:val="0"/>
            <w:vAlign w:val="center"/>
          </w:tcPr>
          <w:p w14:paraId="70B23C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p>
        </w:tc>
        <w:tc>
          <w:tcPr>
            <w:tcW w:w="329" w:type="pct"/>
            <w:vMerge w:val="continue"/>
            <w:tcBorders>
              <w:tl2br w:val="nil"/>
              <w:tr2bl w:val="nil"/>
            </w:tcBorders>
            <w:noWrap w:val="0"/>
            <w:vAlign w:val="center"/>
          </w:tcPr>
          <w:p w14:paraId="5BD59B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p>
        </w:tc>
        <w:tc>
          <w:tcPr>
            <w:tcW w:w="1045" w:type="pct"/>
            <w:gridSpan w:val="2"/>
            <w:tcBorders>
              <w:tl2br w:val="nil"/>
              <w:tr2bl w:val="nil"/>
            </w:tcBorders>
            <w:noWrap w:val="0"/>
            <w:vAlign w:val="center"/>
          </w:tcPr>
          <w:p w14:paraId="137DD1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r>
              <w:rPr>
                <w:rFonts w:hint="default" w:ascii="Times New Roman" w:hAnsi="Times New Roman" w:eastAsia="宋体" w:cs="Times New Roman"/>
                <w:b w:val="0"/>
                <w:bCs w:val="0"/>
                <w:color w:val="auto"/>
                <w:spacing w:val="0"/>
                <w:kern w:val="0"/>
                <w:sz w:val="21"/>
                <w:szCs w:val="21"/>
                <w:highlight w:val="none"/>
                <w:lang w:val="en-US" w:eastAsia="zh-CN"/>
              </w:rPr>
              <w:t>环境保护措施</w:t>
            </w:r>
          </w:p>
        </w:tc>
        <w:tc>
          <w:tcPr>
            <w:tcW w:w="249" w:type="pct"/>
            <w:tcBorders>
              <w:tl2br w:val="nil"/>
              <w:tr2bl w:val="nil"/>
            </w:tcBorders>
            <w:noWrap w:val="0"/>
            <w:vAlign w:val="center"/>
          </w:tcPr>
          <w:p w14:paraId="617C42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r>
              <w:rPr>
                <w:rFonts w:hint="default" w:ascii="Times New Roman" w:hAnsi="Times New Roman" w:eastAsia="宋体" w:cs="Times New Roman"/>
                <w:b w:val="0"/>
                <w:bCs w:val="0"/>
                <w:color w:val="auto"/>
                <w:spacing w:val="0"/>
                <w:kern w:val="0"/>
                <w:sz w:val="21"/>
                <w:szCs w:val="21"/>
                <w:highlight w:val="none"/>
                <w:lang w:val="en-US" w:eastAsia="zh-CN"/>
              </w:rPr>
              <w:t>主要运行参数</w:t>
            </w:r>
          </w:p>
        </w:tc>
        <w:tc>
          <w:tcPr>
            <w:tcW w:w="242" w:type="pct"/>
            <w:vMerge w:val="continue"/>
            <w:tcBorders>
              <w:tl2br w:val="nil"/>
              <w:tr2bl w:val="nil"/>
            </w:tcBorders>
            <w:noWrap w:val="0"/>
            <w:vAlign w:val="center"/>
          </w:tcPr>
          <w:p w14:paraId="5F5443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p>
        </w:tc>
        <w:tc>
          <w:tcPr>
            <w:tcW w:w="257" w:type="pct"/>
            <w:tcBorders>
              <w:tl2br w:val="nil"/>
              <w:tr2bl w:val="nil"/>
            </w:tcBorders>
            <w:noWrap w:val="0"/>
            <w:vAlign w:val="center"/>
          </w:tcPr>
          <w:p w14:paraId="21A5DD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排放时段h/a</w:t>
            </w:r>
          </w:p>
        </w:tc>
        <w:tc>
          <w:tcPr>
            <w:tcW w:w="348" w:type="pct"/>
            <w:tcBorders>
              <w:tl2br w:val="nil"/>
              <w:tr2bl w:val="nil"/>
            </w:tcBorders>
            <w:noWrap w:val="0"/>
            <w:vAlign w:val="center"/>
          </w:tcPr>
          <w:p w14:paraId="357175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排放浓度</w:t>
            </w:r>
          </w:p>
          <w:p w14:paraId="03316E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(mg/m</w:t>
            </w:r>
            <w:r>
              <w:rPr>
                <w:rFonts w:hint="default" w:ascii="Times New Roman" w:hAnsi="Times New Roman" w:eastAsia="宋体" w:cs="Times New Roman"/>
                <w:b w:val="0"/>
                <w:bCs w:val="0"/>
                <w:color w:val="auto"/>
                <w:spacing w:val="0"/>
                <w:kern w:val="0"/>
                <w:sz w:val="21"/>
                <w:szCs w:val="21"/>
                <w:highlight w:val="none"/>
                <w:vertAlign w:val="superscript"/>
              </w:rPr>
              <w:t>3</w:t>
            </w:r>
            <w:r>
              <w:rPr>
                <w:rFonts w:hint="default" w:ascii="Times New Roman" w:hAnsi="Times New Roman" w:eastAsia="宋体" w:cs="Times New Roman"/>
                <w:b w:val="0"/>
                <w:bCs w:val="0"/>
                <w:color w:val="auto"/>
                <w:spacing w:val="0"/>
                <w:kern w:val="0"/>
                <w:sz w:val="21"/>
                <w:szCs w:val="21"/>
                <w:highlight w:val="none"/>
              </w:rPr>
              <w:t>)</w:t>
            </w:r>
          </w:p>
        </w:tc>
        <w:tc>
          <w:tcPr>
            <w:tcW w:w="265" w:type="pct"/>
            <w:vMerge w:val="continue"/>
            <w:tcBorders>
              <w:tl2br w:val="nil"/>
              <w:tr2bl w:val="nil"/>
            </w:tcBorders>
            <w:noWrap w:val="0"/>
            <w:vAlign w:val="center"/>
          </w:tcPr>
          <w:p w14:paraId="35752C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p>
        </w:tc>
        <w:tc>
          <w:tcPr>
            <w:tcW w:w="522" w:type="pct"/>
            <w:gridSpan w:val="2"/>
            <w:vMerge w:val="continue"/>
            <w:tcBorders>
              <w:tl2br w:val="nil"/>
              <w:tr2bl w:val="nil"/>
            </w:tcBorders>
            <w:noWrap w:val="0"/>
            <w:vAlign w:val="center"/>
          </w:tcPr>
          <w:p w14:paraId="1517EC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p>
        </w:tc>
        <w:tc>
          <w:tcPr>
            <w:tcW w:w="1213" w:type="pct"/>
            <w:vMerge w:val="continue"/>
            <w:tcBorders>
              <w:tl2br w:val="nil"/>
              <w:tr2bl w:val="nil"/>
            </w:tcBorders>
            <w:noWrap w:val="0"/>
            <w:vAlign w:val="center"/>
          </w:tcPr>
          <w:p w14:paraId="0F314B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p>
        </w:tc>
      </w:tr>
      <w:tr w14:paraId="1D7596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167" w:type="pct"/>
            <w:vMerge w:val="restart"/>
            <w:tcBorders>
              <w:tl2br w:val="nil"/>
              <w:tr2bl w:val="nil"/>
            </w:tcBorders>
            <w:noWrap w:val="0"/>
            <w:vAlign w:val="center"/>
          </w:tcPr>
          <w:p w14:paraId="0DD515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bookmarkStart w:id="874" w:name="OLE_LINK162" w:colFirst="3" w:colLast="3"/>
            <w:bookmarkStart w:id="875" w:name="OLE_LINK161" w:colFirst="1" w:colLast="1"/>
            <w:bookmarkStart w:id="876" w:name="OLE_LINK159" w:colFirst="3" w:colLast="5"/>
            <w:bookmarkStart w:id="877" w:name="OLE_LINK160" w:colFirst="0" w:colLast="0"/>
            <w:r>
              <w:rPr>
                <w:rFonts w:hint="default" w:ascii="Times New Roman" w:hAnsi="Times New Roman" w:eastAsia="宋体" w:cs="Times New Roman"/>
                <w:b w:val="0"/>
                <w:bCs w:val="0"/>
                <w:color w:val="auto"/>
                <w:spacing w:val="0"/>
                <w:kern w:val="0"/>
                <w:sz w:val="21"/>
                <w:szCs w:val="21"/>
                <w:highlight w:val="none"/>
              </w:rPr>
              <w:t>废气</w:t>
            </w:r>
          </w:p>
        </w:tc>
        <w:tc>
          <w:tcPr>
            <w:tcW w:w="359" w:type="pct"/>
            <w:vMerge w:val="restart"/>
            <w:tcBorders>
              <w:tl2br w:val="nil"/>
              <w:tr2bl w:val="nil"/>
            </w:tcBorders>
            <w:noWrap w:val="0"/>
            <w:vAlign w:val="center"/>
          </w:tcPr>
          <w:p w14:paraId="59FC77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r>
              <w:rPr>
                <w:rFonts w:hint="eastAsia" w:cs="Times New Roman"/>
                <w:b w:val="0"/>
                <w:bCs w:val="0"/>
                <w:color w:val="auto"/>
                <w:spacing w:val="0"/>
                <w:kern w:val="0"/>
                <w:sz w:val="21"/>
                <w:szCs w:val="21"/>
                <w:highlight w:val="none"/>
                <w:lang w:val="en-US" w:eastAsia="zh-CN"/>
              </w:rPr>
              <w:t>雄探1井</w:t>
            </w:r>
          </w:p>
        </w:tc>
        <w:tc>
          <w:tcPr>
            <w:tcW w:w="329" w:type="pct"/>
            <w:vMerge w:val="restart"/>
            <w:tcBorders>
              <w:tl2br w:val="nil"/>
              <w:tr2bl w:val="nil"/>
            </w:tcBorders>
            <w:noWrap w:val="0"/>
            <w:vAlign w:val="center"/>
          </w:tcPr>
          <w:p w14:paraId="059B70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r>
              <w:rPr>
                <w:rFonts w:hint="eastAsia" w:cs="Times New Roman"/>
                <w:b w:val="0"/>
                <w:bCs w:val="0"/>
                <w:color w:val="auto"/>
                <w:spacing w:val="0"/>
                <w:kern w:val="0"/>
                <w:sz w:val="21"/>
                <w:szCs w:val="21"/>
                <w:highlight w:val="none"/>
                <w:lang w:val="en-US" w:eastAsia="zh-CN"/>
              </w:rPr>
              <w:t>加热炉</w:t>
            </w:r>
          </w:p>
        </w:tc>
        <w:tc>
          <w:tcPr>
            <w:tcW w:w="1045" w:type="pct"/>
            <w:gridSpan w:val="2"/>
            <w:vMerge w:val="restart"/>
            <w:tcBorders>
              <w:tl2br w:val="nil"/>
              <w:tr2bl w:val="nil"/>
            </w:tcBorders>
            <w:noWrap w:val="0"/>
            <w:vAlign w:val="center"/>
          </w:tcPr>
          <w:p w14:paraId="52D50D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 w:val="0"/>
                <w:bCs w:val="0"/>
                <w:color w:val="auto"/>
                <w:spacing w:val="0"/>
                <w:kern w:val="0"/>
                <w:sz w:val="21"/>
                <w:szCs w:val="21"/>
                <w:highlight w:val="none"/>
                <w:lang w:val="en-US" w:eastAsia="zh-CN"/>
              </w:rPr>
            </w:pPr>
            <w:r>
              <w:rPr>
                <w:rFonts w:hint="default" w:ascii="Times New Roman" w:hAnsi="Times New Roman" w:eastAsia="宋体" w:cs="Times New Roman"/>
                <w:b w:val="0"/>
                <w:bCs w:val="0"/>
                <w:color w:val="auto"/>
                <w:spacing w:val="0"/>
                <w:kern w:val="0"/>
                <w:sz w:val="21"/>
                <w:szCs w:val="21"/>
                <w:highlight w:val="none"/>
                <w:lang w:val="en-US" w:eastAsia="zh-CN"/>
              </w:rPr>
              <w:t>采用清洁燃料，经过8m高的排气筒排入大气</w:t>
            </w:r>
          </w:p>
        </w:tc>
        <w:tc>
          <w:tcPr>
            <w:tcW w:w="249" w:type="pct"/>
            <w:tcBorders>
              <w:tl2br w:val="nil"/>
              <w:tr2bl w:val="nil"/>
            </w:tcBorders>
            <w:noWrap w:val="0"/>
            <w:vAlign w:val="center"/>
          </w:tcPr>
          <w:p w14:paraId="5430AE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pacing w:val="0"/>
                <w:kern w:val="0"/>
                <w:sz w:val="21"/>
                <w:szCs w:val="21"/>
                <w:highlight w:val="none"/>
                <w:lang w:val="en-US" w:eastAsia="zh-CN"/>
              </w:rPr>
            </w:pPr>
            <w:r>
              <w:rPr>
                <w:rFonts w:hint="eastAsia" w:cs="Times New Roman"/>
                <w:b w:val="0"/>
                <w:bCs w:val="0"/>
                <w:color w:val="auto"/>
                <w:spacing w:val="0"/>
                <w:kern w:val="0"/>
                <w:sz w:val="21"/>
                <w:szCs w:val="21"/>
                <w:highlight w:val="none"/>
                <w:lang w:val="en-US" w:eastAsia="zh-CN"/>
              </w:rPr>
              <w:t>-</w:t>
            </w:r>
          </w:p>
        </w:tc>
        <w:tc>
          <w:tcPr>
            <w:tcW w:w="242" w:type="pct"/>
            <w:tcBorders>
              <w:tl2br w:val="nil"/>
              <w:tr2bl w:val="nil"/>
            </w:tcBorders>
            <w:noWrap w:val="0"/>
            <w:vAlign w:val="center"/>
          </w:tcPr>
          <w:p w14:paraId="4CDA15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pacing w:val="0"/>
                <w:kern w:val="0"/>
                <w:sz w:val="21"/>
                <w:szCs w:val="21"/>
                <w:highlight w:val="none"/>
                <w:lang w:val="en-US" w:eastAsia="zh-CN"/>
              </w:rPr>
            </w:pPr>
            <w:r>
              <w:rPr>
                <w:rFonts w:hint="eastAsia" w:cs="Times New Roman"/>
                <w:b w:val="0"/>
                <w:bCs w:val="0"/>
                <w:color w:val="auto"/>
                <w:spacing w:val="0"/>
                <w:kern w:val="0"/>
                <w:sz w:val="21"/>
                <w:szCs w:val="21"/>
                <w:highlight w:val="none"/>
                <w:lang w:val="en-US" w:eastAsia="zh-CN"/>
              </w:rPr>
              <w:t>颗粒物</w:t>
            </w:r>
          </w:p>
        </w:tc>
        <w:tc>
          <w:tcPr>
            <w:tcW w:w="257" w:type="pct"/>
            <w:tcBorders>
              <w:tl2br w:val="nil"/>
              <w:tr2bl w:val="nil"/>
            </w:tcBorders>
            <w:noWrap w:val="0"/>
            <w:vAlign w:val="center"/>
          </w:tcPr>
          <w:p w14:paraId="6BE419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b w:val="0"/>
                <w:bCs w:val="0"/>
                <w:color w:val="auto"/>
                <w:spacing w:val="0"/>
                <w:kern w:val="0"/>
                <w:sz w:val="21"/>
                <w:szCs w:val="21"/>
                <w:highlight w:val="none"/>
                <w:lang w:val="en-US" w:eastAsia="zh-CN"/>
              </w:rPr>
            </w:pPr>
            <w:r>
              <w:rPr>
                <w:rFonts w:hint="eastAsia" w:cs="Times New Roman"/>
                <w:b w:val="0"/>
                <w:bCs w:val="0"/>
                <w:color w:val="auto"/>
                <w:spacing w:val="0"/>
                <w:kern w:val="0"/>
                <w:sz w:val="21"/>
                <w:szCs w:val="21"/>
                <w:highlight w:val="none"/>
                <w:lang w:val="en-US" w:eastAsia="zh-CN"/>
              </w:rPr>
              <w:t>3600</w:t>
            </w:r>
          </w:p>
        </w:tc>
        <w:tc>
          <w:tcPr>
            <w:tcW w:w="348" w:type="pct"/>
            <w:tcBorders>
              <w:tl2br w:val="nil"/>
              <w:tr2bl w:val="nil"/>
            </w:tcBorders>
            <w:noWrap w:val="0"/>
            <w:vAlign w:val="center"/>
          </w:tcPr>
          <w:p w14:paraId="0D6386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r>
              <w:rPr>
                <w:rFonts w:hint="eastAsia" w:cs="Times New Roman"/>
                <w:b w:val="0"/>
                <w:bCs w:val="0"/>
                <w:color w:val="auto"/>
                <w:spacing w:val="0"/>
                <w:kern w:val="0"/>
                <w:sz w:val="21"/>
                <w:szCs w:val="21"/>
                <w:highlight w:val="none"/>
                <w:lang w:val="en-US" w:eastAsia="zh-CN"/>
              </w:rPr>
              <w:t>20</w:t>
            </w:r>
          </w:p>
        </w:tc>
        <w:tc>
          <w:tcPr>
            <w:tcW w:w="265" w:type="pct"/>
            <w:tcBorders>
              <w:tl2br w:val="nil"/>
              <w:tr2bl w:val="nil"/>
            </w:tcBorders>
            <w:noWrap w:val="0"/>
            <w:vAlign w:val="center"/>
          </w:tcPr>
          <w:p w14:paraId="53E92A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b w:val="0"/>
                <w:bCs w:val="0"/>
                <w:color w:val="auto"/>
                <w:spacing w:val="0"/>
                <w:kern w:val="0"/>
                <w:sz w:val="21"/>
                <w:szCs w:val="21"/>
                <w:highlight w:val="none"/>
                <w:lang w:val="en-US" w:eastAsia="zh-CN"/>
              </w:rPr>
            </w:pPr>
            <w:r>
              <w:rPr>
                <w:rFonts w:hint="eastAsia" w:cs="Times New Roman"/>
                <w:b w:val="0"/>
                <w:bCs w:val="0"/>
                <w:color w:val="auto"/>
                <w:spacing w:val="0"/>
                <w:kern w:val="0"/>
                <w:sz w:val="21"/>
                <w:szCs w:val="21"/>
                <w:highlight w:val="none"/>
                <w:lang w:val="en-US" w:eastAsia="zh-CN"/>
              </w:rPr>
              <w:t>0.021</w:t>
            </w:r>
          </w:p>
        </w:tc>
        <w:tc>
          <w:tcPr>
            <w:tcW w:w="522" w:type="pct"/>
            <w:gridSpan w:val="2"/>
            <w:tcBorders>
              <w:tl2br w:val="nil"/>
              <w:tr2bl w:val="nil"/>
            </w:tcBorders>
            <w:noWrap w:val="0"/>
            <w:vAlign w:val="center"/>
          </w:tcPr>
          <w:p w14:paraId="5FAFD2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r>
              <w:rPr>
                <w:rFonts w:hint="eastAsia" w:cs="Times New Roman"/>
                <w:b w:val="0"/>
                <w:bCs w:val="0"/>
                <w:color w:val="auto"/>
                <w:spacing w:val="0"/>
                <w:kern w:val="0"/>
                <w:sz w:val="21"/>
                <w:szCs w:val="21"/>
                <w:highlight w:val="none"/>
                <w:lang w:val="en-US" w:eastAsia="zh-CN"/>
              </w:rPr>
              <w:t>20</w:t>
            </w:r>
          </w:p>
        </w:tc>
        <w:tc>
          <w:tcPr>
            <w:tcW w:w="1213" w:type="pct"/>
            <w:vMerge w:val="restart"/>
            <w:tcBorders>
              <w:tl2br w:val="nil"/>
              <w:tr2bl w:val="nil"/>
            </w:tcBorders>
            <w:noWrap w:val="0"/>
            <w:vAlign w:val="center"/>
          </w:tcPr>
          <w:p w14:paraId="5B8AE6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《锅炉大气污染物排放标准》（GB13271－2014）中新建燃气锅炉标准限值</w:t>
            </w:r>
          </w:p>
        </w:tc>
      </w:tr>
      <w:tr w14:paraId="6347BE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167" w:type="pct"/>
            <w:vMerge w:val="continue"/>
            <w:tcBorders>
              <w:tl2br w:val="nil"/>
              <w:tr2bl w:val="nil"/>
            </w:tcBorders>
            <w:noWrap w:val="0"/>
            <w:vAlign w:val="center"/>
          </w:tcPr>
          <w:p w14:paraId="49F818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p>
        </w:tc>
        <w:tc>
          <w:tcPr>
            <w:tcW w:w="359" w:type="pct"/>
            <w:vMerge w:val="continue"/>
            <w:tcBorders>
              <w:tl2br w:val="nil"/>
              <w:tr2bl w:val="nil"/>
            </w:tcBorders>
            <w:noWrap w:val="0"/>
            <w:vAlign w:val="center"/>
          </w:tcPr>
          <w:p w14:paraId="5CB413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p>
        </w:tc>
        <w:tc>
          <w:tcPr>
            <w:tcW w:w="329" w:type="pct"/>
            <w:vMerge w:val="continue"/>
            <w:tcBorders>
              <w:tl2br w:val="nil"/>
              <w:tr2bl w:val="nil"/>
            </w:tcBorders>
            <w:noWrap w:val="0"/>
            <w:vAlign w:val="center"/>
          </w:tcPr>
          <w:p w14:paraId="3D976D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p>
        </w:tc>
        <w:tc>
          <w:tcPr>
            <w:tcW w:w="1045" w:type="pct"/>
            <w:gridSpan w:val="2"/>
            <w:vMerge w:val="continue"/>
            <w:tcBorders>
              <w:tl2br w:val="nil"/>
              <w:tr2bl w:val="nil"/>
            </w:tcBorders>
            <w:noWrap w:val="0"/>
            <w:vAlign w:val="center"/>
          </w:tcPr>
          <w:p w14:paraId="2E2B6F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 w:val="0"/>
                <w:bCs w:val="0"/>
                <w:color w:val="auto"/>
                <w:spacing w:val="0"/>
                <w:kern w:val="0"/>
                <w:sz w:val="21"/>
                <w:szCs w:val="21"/>
                <w:highlight w:val="none"/>
                <w:lang w:val="en-US" w:eastAsia="zh-CN"/>
              </w:rPr>
            </w:pPr>
          </w:p>
        </w:tc>
        <w:tc>
          <w:tcPr>
            <w:tcW w:w="249" w:type="pct"/>
            <w:tcBorders>
              <w:tl2br w:val="nil"/>
              <w:tr2bl w:val="nil"/>
            </w:tcBorders>
            <w:noWrap w:val="0"/>
            <w:vAlign w:val="center"/>
          </w:tcPr>
          <w:p w14:paraId="3A5BC2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pacing w:val="0"/>
                <w:kern w:val="0"/>
                <w:sz w:val="21"/>
                <w:szCs w:val="21"/>
                <w:highlight w:val="none"/>
                <w:lang w:val="en-US" w:eastAsia="zh-CN"/>
              </w:rPr>
            </w:pPr>
            <w:r>
              <w:rPr>
                <w:rFonts w:hint="eastAsia" w:cs="Times New Roman"/>
                <w:b w:val="0"/>
                <w:bCs w:val="0"/>
                <w:color w:val="auto"/>
                <w:spacing w:val="0"/>
                <w:kern w:val="0"/>
                <w:sz w:val="21"/>
                <w:szCs w:val="21"/>
                <w:highlight w:val="none"/>
                <w:lang w:val="en-US" w:eastAsia="zh-CN"/>
              </w:rPr>
              <w:t>-</w:t>
            </w:r>
          </w:p>
        </w:tc>
        <w:tc>
          <w:tcPr>
            <w:tcW w:w="242" w:type="pct"/>
            <w:tcBorders>
              <w:tl2br w:val="nil"/>
              <w:tr2bl w:val="nil"/>
            </w:tcBorders>
            <w:noWrap w:val="0"/>
            <w:vAlign w:val="center"/>
          </w:tcPr>
          <w:p w14:paraId="6B9761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bookmarkStart w:id="878" w:name="OLE_LINK196"/>
            <w:r>
              <w:rPr>
                <w:rFonts w:cs="Times New Roman"/>
                <w:color w:val="auto"/>
                <w:sz w:val="21"/>
                <w:highlight w:val="none"/>
              </w:rPr>
              <w:t>SO</w:t>
            </w:r>
            <w:r>
              <w:rPr>
                <w:rFonts w:cs="Times New Roman"/>
                <w:color w:val="auto"/>
                <w:sz w:val="21"/>
                <w:highlight w:val="none"/>
                <w:vertAlign w:val="subscript"/>
              </w:rPr>
              <w:t>2</w:t>
            </w:r>
            <w:bookmarkEnd w:id="878"/>
          </w:p>
        </w:tc>
        <w:tc>
          <w:tcPr>
            <w:tcW w:w="257" w:type="pct"/>
            <w:tcBorders>
              <w:tl2br w:val="nil"/>
              <w:tr2bl w:val="nil"/>
            </w:tcBorders>
            <w:noWrap w:val="0"/>
            <w:vAlign w:val="center"/>
          </w:tcPr>
          <w:p w14:paraId="499E9A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b w:val="0"/>
                <w:bCs w:val="0"/>
                <w:color w:val="auto"/>
                <w:spacing w:val="0"/>
                <w:kern w:val="0"/>
                <w:sz w:val="21"/>
                <w:szCs w:val="21"/>
                <w:highlight w:val="none"/>
                <w:lang w:val="en-US" w:eastAsia="zh-CN"/>
              </w:rPr>
            </w:pPr>
            <w:r>
              <w:rPr>
                <w:rFonts w:hint="eastAsia" w:cs="Times New Roman"/>
                <w:b w:val="0"/>
                <w:bCs w:val="0"/>
                <w:color w:val="auto"/>
                <w:spacing w:val="0"/>
                <w:kern w:val="0"/>
                <w:sz w:val="21"/>
                <w:szCs w:val="21"/>
                <w:highlight w:val="none"/>
                <w:lang w:val="en-US" w:eastAsia="zh-CN"/>
              </w:rPr>
              <w:t>3600</w:t>
            </w:r>
          </w:p>
        </w:tc>
        <w:tc>
          <w:tcPr>
            <w:tcW w:w="348" w:type="pct"/>
            <w:tcBorders>
              <w:tl2br w:val="nil"/>
              <w:tr2bl w:val="nil"/>
            </w:tcBorders>
            <w:noWrap w:val="0"/>
            <w:vAlign w:val="center"/>
          </w:tcPr>
          <w:p w14:paraId="51C236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r>
              <w:rPr>
                <w:rFonts w:hint="eastAsia" w:cs="Times New Roman"/>
                <w:b w:val="0"/>
                <w:bCs w:val="0"/>
                <w:color w:val="auto"/>
                <w:spacing w:val="0"/>
                <w:kern w:val="0"/>
                <w:sz w:val="21"/>
                <w:szCs w:val="21"/>
                <w:highlight w:val="none"/>
                <w:lang w:val="en-US" w:eastAsia="zh-CN"/>
              </w:rPr>
              <w:t>37</w:t>
            </w:r>
          </w:p>
        </w:tc>
        <w:tc>
          <w:tcPr>
            <w:tcW w:w="265" w:type="pct"/>
            <w:tcBorders>
              <w:tl2br w:val="nil"/>
              <w:tr2bl w:val="nil"/>
            </w:tcBorders>
            <w:noWrap w:val="0"/>
            <w:vAlign w:val="center"/>
          </w:tcPr>
          <w:p w14:paraId="3C743B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b w:val="0"/>
                <w:bCs w:val="0"/>
                <w:color w:val="auto"/>
                <w:spacing w:val="0"/>
                <w:kern w:val="0"/>
                <w:sz w:val="21"/>
                <w:szCs w:val="21"/>
                <w:highlight w:val="none"/>
                <w:lang w:val="en-US" w:eastAsia="zh-CN"/>
              </w:rPr>
            </w:pPr>
            <w:r>
              <w:rPr>
                <w:rFonts w:hint="eastAsia" w:cs="Times New Roman"/>
                <w:b w:val="0"/>
                <w:bCs w:val="0"/>
                <w:color w:val="auto"/>
                <w:spacing w:val="0"/>
                <w:kern w:val="0"/>
                <w:sz w:val="21"/>
                <w:szCs w:val="21"/>
                <w:highlight w:val="none"/>
                <w:lang w:val="en-US" w:eastAsia="zh-CN"/>
              </w:rPr>
              <w:t>0.0039</w:t>
            </w:r>
          </w:p>
        </w:tc>
        <w:tc>
          <w:tcPr>
            <w:tcW w:w="522" w:type="pct"/>
            <w:gridSpan w:val="2"/>
            <w:tcBorders>
              <w:tl2br w:val="nil"/>
              <w:tr2bl w:val="nil"/>
            </w:tcBorders>
            <w:noWrap w:val="0"/>
            <w:vAlign w:val="center"/>
          </w:tcPr>
          <w:p w14:paraId="72DD14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r>
              <w:rPr>
                <w:rFonts w:hint="eastAsia" w:cs="Times New Roman"/>
                <w:b w:val="0"/>
                <w:bCs w:val="0"/>
                <w:color w:val="auto"/>
                <w:spacing w:val="0"/>
                <w:kern w:val="0"/>
                <w:sz w:val="21"/>
                <w:szCs w:val="21"/>
                <w:highlight w:val="none"/>
                <w:lang w:val="en-US" w:eastAsia="zh-CN"/>
              </w:rPr>
              <w:t>50</w:t>
            </w:r>
          </w:p>
        </w:tc>
        <w:tc>
          <w:tcPr>
            <w:tcW w:w="1213" w:type="pct"/>
            <w:vMerge w:val="continue"/>
            <w:tcBorders>
              <w:tl2br w:val="nil"/>
              <w:tr2bl w:val="nil"/>
            </w:tcBorders>
            <w:noWrap w:val="0"/>
            <w:vAlign w:val="center"/>
          </w:tcPr>
          <w:p w14:paraId="71B962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 w:val="0"/>
                <w:bCs w:val="0"/>
                <w:color w:val="auto"/>
                <w:spacing w:val="0"/>
                <w:kern w:val="0"/>
                <w:sz w:val="21"/>
                <w:szCs w:val="21"/>
                <w:highlight w:val="none"/>
              </w:rPr>
            </w:pPr>
          </w:p>
        </w:tc>
      </w:tr>
      <w:tr w14:paraId="1406D7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167" w:type="pct"/>
            <w:vMerge w:val="continue"/>
            <w:tcBorders>
              <w:tl2br w:val="nil"/>
              <w:tr2bl w:val="nil"/>
            </w:tcBorders>
            <w:noWrap w:val="0"/>
            <w:vAlign w:val="center"/>
          </w:tcPr>
          <w:p w14:paraId="17208D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bookmarkStart w:id="879" w:name="OLE_LINK192" w:colFirst="4" w:colLast="7"/>
          </w:p>
        </w:tc>
        <w:tc>
          <w:tcPr>
            <w:tcW w:w="359" w:type="pct"/>
            <w:vMerge w:val="continue"/>
            <w:tcBorders>
              <w:tl2br w:val="nil"/>
              <w:tr2bl w:val="nil"/>
            </w:tcBorders>
            <w:noWrap w:val="0"/>
            <w:vAlign w:val="center"/>
          </w:tcPr>
          <w:p w14:paraId="760D67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p>
        </w:tc>
        <w:tc>
          <w:tcPr>
            <w:tcW w:w="329" w:type="pct"/>
            <w:vMerge w:val="continue"/>
            <w:tcBorders>
              <w:tl2br w:val="nil"/>
              <w:tr2bl w:val="nil"/>
            </w:tcBorders>
            <w:noWrap w:val="0"/>
            <w:vAlign w:val="center"/>
          </w:tcPr>
          <w:p w14:paraId="0B8F96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p>
        </w:tc>
        <w:tc>
          <w:tcPr>
            <w:tcW w:w="1045" w:type="pct"/>
            <w:gridSpan w:val="2"/>
            <w:vMerge w:val="continue"/>
            <w:tcBorders>
              <w:tl2br w:val="nil"/>
              <w:tr2bl w:val="nil"/>
            </w:tcBorders>
            <w:noWrap w:val="0"/>
            <w:vAlign w:val="center"/>
          </w:tcPr>
          <w:p w14:paraId="582341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 w:val="0"/>
                <w:bCs w:val="0"/>
                <w:color w:val="auto"/>
                <w:spacing w:val="0"/>
                <w:kern w:val="0"/>
                <w:sz w:val="21"/>
                <w:szCs w:val="21"/>
                <w:highlight w:val="none"/>
                <w:lang w:val="en-US" w:eastAsia="zh-CN"/>
              </w:rPr>
            </w:pPr>
          </w:p>
        </w:tc>
        <w:tc>
          <w:tcPr>
            <w:tcW w:w="249" w:type="pct"/>
            <w:tcBorders>
              <w:tl2br w:val="nil"/>
              <w:tr2bl w:val="nil"/>
            </w:tcBorders>
            <w:noWrap w:val="0"/>
            <w:vAlign w:val="center"/>
          </w:tcPr>
          <w:p w14:paraId="6C15F5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pacing w:val="0"/>
                <w:kern w:val="0"/>
                <w:sz w:val="21"/>
                <w:szCs w:val="21"/>
                <w:highlight w:val="none"/>
                <w:lang w:val="en-US" w:eastAsia="zh-CN"/>
              </w:rPr>
            </w:pPr>
            <w:r>
              <w:rPr>
                <w:rFonts w:hint="eastAsia" w:cs="Times New Roman"/>
                <w:b w:val="0"/>
                <w:bCs w:val="0"/>
                <w:color w:val="auto"/>
                <w:spacing w:val="0"/>
                <w:kern w:val="0"/>
                <w:sz w:val="21"/>
                <w:szCs w:val="21"/>
                <w:highlight w:val="none"/>
                <w:lang w:val="en-US" w:eastAsia="zh-CN"/>
              </w:rPr>
              <w:t>-</w:t>
            </w:r>
          </w:p>
        </w:tc>
        <w:tc>
          <w:tcPr>
            <w:tcW w:w="242" w:type="pct"/>
            <w:tcBorders>
              <w:tl2br w:val="nil"/>
              <w:tr2bl w:val="nil"/>
            </w:tcBorders>
            <w:noWrap w:val="0"/>
            <w:vAlign w:val="center"/>
          </w:tcPr>
          <w:p w14:paraId="3E366E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bidi="ar-SA"/>
              </w:rPr>
            </w:pPr>
            <w:bookmarkStart w:id="880" w:name="OLE_LINK198"/>
            <w:r>
              <w:rPr>
                <w:rFonts w:cs="Times New Roman"/>
                <w:color w:val="auto"/>
                <w:sz w:val="21"/>
                <w:highlight w:val="none"/>
              </w:rPr>
              <w:t>NOx</w:t>
            </w:r>
            <w:bookmarkEnd w:id="880"/>
          </w:p>
        </w:tc>
        <w:tc>
          <w:tcPr>
            <w:tcW w:w="257" w:type="pct"/>
            <w:tcBorders>
              <w:tl2br w:val="nil"/>
              <w:tr2bl w:val="nil"/>
            </w:tcBorders>
            <w:noWrap w:val="0"/>
            <w:vAlign w:val="center"/>
          </w:tcPr>
          <w:p w14:paraId="62E0DA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b w:val="0"/>
                <w:bCs w:val="0"/>
                <w:color w:val="auto"/>
                <w:spacing w:val="0"/>
                <w:kern w:val="0"/>
                <w:sz w:val="21"/>
                <w:szCs w:val="21"/>
                <w:highlight w:val="none"/>
                <w:lang w:val="en-US" w:eastAsia="zh-CN"/>
              </w:rPr>
            </w:pPr>
            <w:r>
              <w:rPr>
                <w:rFonts w:hint="eastAsia" w:cs="Times New Roman"/>
                <w:b w:val="0"/>
                <w:bCs w:val="0"/>
                <w:color w:val="auto"/>
                <w:spacing w:val="0"/>
                <w:kern w:val="0"/>
                <w:sz w:val="21"/>
                <w:szCs w:val="21"/>
                <w:highlight w:val="none"/>
                <w:lang w:val="en-US" w:eastAsia="zh-CN"/>
              </w:rPr>
              <w:t>3600</w:t>
            </w:r>
          </w:p>
        </w:tc>
        <w:tc>
          <w:tcPr>
            <w:tcW w:w="348" w:type="pct"/>
            <w:tcBorders>
              <w:tl2br w:val="nil"/>
              <w:tr2bl w:val="nil"/>
            </w:tcBorders>
            <w:noWrap w:val="0"/>
            <w:vAlign w:val="center"/>
          </w:tcPr>
          <w:p w14:paraId="124928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r>
              <w:rPr>
                <w:rFonts w:hint="eastAsia" w:cs="Times New Roman"/>
                <w:b w:val="0"/>
                <w:bCs w:val="0"/>
                <w:color w:val="auto"/>
                <w:spacing w:val="0"/>
                <w:kern w:val="0"/>
                <w:sz w:val="21"/>
                <w:szCs w:val="21"/>
                <w:highlight w:val="none"/>
                <w:lang w:val="en-US" w:eastAsia="zh-CN"/>
              </w:rPr>
              <w:t>147</w:t>
            </w:r>
          </w:p>
        </w:tc>
        <w:tc>
          <w:tcPr>
            <w:tcW w:w="265" w:type="pct"/>
            <w:tcBorders>
              <w:tl2br w:val="nil"/>
              <w:tr2bl w:val="nil"/>
            </w:tcBorders>
            <w:noWrap w:val="0"/>
            <w:vAlign w:val="center"/>
          </w:tcPr>
          <w:p w14:paraId="447DC1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b w:val="0"/>
                <w:bCs w:val="0"/>
                <w:color w:val="auto"/>
                <w:spacing w:val="0"/>
                <w:kern w:val="0"/>
                <w:sz w:val="21"/>
                <w:szCs w:val="21"/>
                <w:highlight w:val="none"/>
                <w:lang w:val="en-US" w:eastAsia="zh-CN"/>
              </w:rPr>
            </w:pPr>
            <w:r>
              <w:rPr>
                <w:rFonts w:hint="eastAsia" w:cs="Times New Roman"/>
                <w:b w:val="0"/>
                <w:bCs w:val="0"/>
                <w:color w:val="auto"/>
                <w:spacing w:val="0"/>
                <w:kern w:val="0"/>
                <w:sz w:val="21"/>
                <w:szCs w:val="21"/>
                <w:highlight w:val="none"/>
                <w:lang w:val="en-US" w:eastAsia="zh-CN"/>
              </w:rPr>
              <w:t>0.155</w:t>
            </w:r>
          </w:p>
        </w:tc>
        <w:tc>
          <w:tcPr>
            <w:tcW w:w="522" w:type="pct"/>
            <w:gridSpan w:val="2"/>
            <w:tcBorders>
              <w:tl2br w:val="nil"/>
              <w:tr2bl w:val="nil"/>
            </w:tcBorders>
            <w:noWrap w:val="0"/>
            <w:vAlign w:val="center"/>
          </w:tcPr>
          <w:p w14:paraId="738878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r>
              <w:rPr>
                <w:rFonts w:hint="eastAsia" w:cs="Times New Roman"/>
                <w:b w:val="0"/>
                <w:bCs w:val="0"/>
                <w:color w:val="auto"/>
                <w:spacing w:val="0"/>
                <w:kern w:val="0"/>
                <w:sz w:val="21"/>
                <w:szCs w:val="21"/>
                <w:highlight w:val="none"/>
                <w:lang w:val="en-US" w:eastAsia="zh-CN"/>
              </w:rPr>
              <w:t>200</w:t>
            </w:r>
          </w:p>
        </w:tc>
        <w:tc>
          <w:tcPr>
            <w:tcW w:w="1213" w:type="pct"/>
            <w:vMerge w:val="continue"/>
            <w:tcBorders>
              <w:tl2br w:val="nil"/>
              <w:tr2bl w:val="nil"/>
            </w:tcBorders>
            <w:noWrap w:val="0"/>
            <w:vAlign w:val="center"/>
          </w:tcPr>
          <w:p w14:paraId="5CD56C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 w:val="0"/>
                <w:bCs w:val="0"/>
                <w:color w:val="auto"/>
                <w:spacing w:val="0"/>
                <w:kern w:val="0"/>
                <w:sz w:val="21"/>
                <w:szCs w:val="21"/>
                <w:highlight w:val="none"/>
              </w:rPr>
            </w:pPr>
          </w:p>
        </w:tc>
      </w:tr>
      <w:bookmarkEnd w:id="879"/>
      <w:tr w14:paraId="210048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167" w:type="pct"/>
            <w:vMerge w:val="continue"/>
            <w:tcBorders>
              <w:tl2br w:val="nil"/>
              <w:tr2bl w:val="nil"/>
            </w:tcBorders>
            <w:noWrap w:val="0"/>
            <w:vAlign w:val="center"/>
          </w:tcPr>
          <w:p w14:paraId="4B1D1C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bookmarkStart w:id="881" w:name="OLE_LINK201" w:colFirst="10" w:colLast="10"/>
            <w:bookmarkStart w:id="882" w:name="OLE_LINK195" w:colFirst="5" w:colLast="6"/>
            <w:bookmarkStart w:id="883" w:name="OLE_LINK194" w:colFirst="9" w:colLast="10"/>
          </w:p>
        </w:tc>
        <w:tc>
          <w:tcPr>
            <w:tcW w:w="359" w:type="pct"/>
            <w:vMerge w:val="continue"/>
            <w:tcBorders>
              <w:tl2br w:val="nil"/>
              <w:tr2bl w:val="nil"/>
            </w:tcBorders>
            <w:noWrap w:val="0"/>
            <w:vAlign w:val="center"/>
          </w:tcPr>
          <w:p w14:paraId="2CAF3E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p>
        </w:tc>
        <w:tc>
          <w:tcPr>
            <w:tcW w:w="329" w:type="pct"/>
            <w:vMerge w:val="continue"/>
            <w:tcBorders>
              <w:tl2br w:val="nil"/>
              <w:tr2bl w:val="nil"/>
            </w:tcBorders>
            <w:noWrap w:val="0"/>
            <w:vAlign w:val="center"/>
          </w:tcPr>
          <w:p w14:paraId="697928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p>
        </w:tc>
        <w:tc>
          <w:tcPr>
            <w:tcW w:w="1045" w:type="pct"/>
            <w:gridSpan w:val="2"/>
            <w:vMerge w:val="continue"/>
            <w:tcBorders>
              <w:tl2br w:val="nil"/>
              <w:tr2bl w:val="nil"/>
            </w:tcBorders>
            <w:noWrap w:val="0"/>
            <w:vAlign w:val="center"/>
          </w:tcPr>
          <w:p w14:paraId="2392E0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 w:val="0"/>
                <w:bCs w:val="0"/>
                <w:color w:val="auto"/>
                <w:spacing w:val="0"/>
                <w:kern w:val="0"/>
                <w:sz w:val="21"/>
                <w:szCs w:val="21"/>
                <w:highlight w:val="none"/>
                <w:lang w:val="en-US" w:eastAsia="zh-CN"/>
              </w:rPr>
            </w:pPr>
          </w:p>
        </w:tc>
        <w:tc>
          <w:tcPr>
            <w:tcW w:w="249" w:type="pct"/>
            <w:tcBorders>
              <w:tl2br w:val="nil"/>
              <w:tr2bl w:val="nil"/>
            </w:tcBorders>
            <w:noWrap w:val="0"/>
            <w:vAlign w:val="center"/>
          </w:tcPr>
          <w:p w14:paraId="632340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b w:val="0"/>
                <w:bCs w:val="0"/>
                <w:color w:val="auto"/>
                <w:spacing w:val="0"/>
                <w:kern w:val="0"/>
                <w:sz w:val="21"/>
                <w:szCs w:val="21"/>
                <w:highlight w:val="none"/>
                <w:lang w:val="en-US" w:eastAsia="zh-CN"/>
              </w:rPr>
            </w:pPr>
            <w:r>
              <w:rPr>
                <w:rFonts w:hint="eastAsia" w:cs="Times New Roman"/>
                <w:b w:val="0"/>
                <w:bCs w:val="0"/>
                <w:color w:val="auto"/>
                <w:spacing w:val="0"/>
                <w:kern w:val="0"/>
                <w:sz w:val="21"/>
                <w:szCs w:val="21"/>
                <w:highlight w:val="none"/>
                <w:lang w:val="en-US" w:eastAsia="zh-CN"/>
              </w:rPr>
              <w:t>-</w:t>
            </w:r>
          </w:p>
        </w:tc>
        <w:tc>
          <w:tcPr>
            <w:tcW w:w="242" w:type="pct"/>
            <w:tcBorders>
              <w:tl2br w:val="nil"/>
              <w:tr2bl w:val="nil"/>
            </w:tcBorders>
            <w:noWrap w:val="0"/>
            <w:vAlign w:val="center"/>
          </w:tcPr>
          <w:p w14:paraId="22D7B7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cs="Times New Roman"/>
                <w:color w:val="auto"/>
                <w:sz w:val="21"/>
                <w:highlight w:val="none"/>
              </w:rPr>
            </w:pPr>
            <w:r>
              <w:rPr>
                <w:rFonts w:hint="default" w:ascii="Times New Roman" w:hAnsi="Times New Roman" w:eastAsia="宋体" w:cs="Times New Roman"/>
                <w:b w:val="0"/>
                <w:bCs w:val="0"/>
                <w:color w:val="auto"/>
                <w:spacing w:val="0"/>
                <w:kern w:val="0"/>
                <w:sz w:val="21"/>
                <w:szCs w:val="21"/>
                <w:highlight w:val="none"/>
              </w:rPr>
              <w:t>非甲烷总烃</w:t>
            </w:r>
          </w:p>
        </w:tc>
        <w:tc>
          <w:tcPr>
            <w:tcW w:w="257" w:type="pct"/>
            <w:tcBorders>
              <w:tl2br w:val="nil"/>
              <w:tr2bl w:val="nil"/>
            </w:tcBorders>
            <w:noWrap w:val="0"/>
            <w:vAlign w:val="center"/>
          </w:tcPr>
          <w:p w14:paraId="49BAF9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b w:val="0"/>
                <w:bCs w:val="0"/>
                <w:color w:val="auto"/>
                <w:spacing w:val="0"/>
                <w:kern w:val="0"/>
                <w:sz w:val="21"/>
                <w:szCs w:val="21"/>
                <w:highlight w:val="none"/>
                <w:lang w:val="en-US" w:eastAsia="zh-CN"/>
              </w:rPr>
            </w:pPr>
            <w:r>
              <w:rPr>
                <w:rFonts w:hint="eastAsia" w:cs="Times New Roman"/>
                <w:b w:val="0"/>
                <w:bCs w:val="0"/>
                <w:color w:val="auto"/>
                <w:spacing w:val="0"/>
                <w:kern w:val="0"/>
                <w:sz w:val="21"/>
                <w:szCs w:val="21"/>
                <w:highlight w:val="none"/>
                <w:lang w:val="en-US" w:eastAsia="zh-CN"/>
              </w:rPr>
              <w:t>3600</w:t>
            </w:r>
          </w:p>
        </w:tc>
        <w:tc>
          <w:tcPr>
            <w:tcW w:w="348" w:type="pct"/>
            <w:tcBorders>
              <w:tl2br w:val="nil"/>
              <w:tr2bl w:val="nil"/>
            </w:tcBorders>
            <w:noWrap w:val="0"/>
            <w:vAlign w:val="center"/>
          </w:tcPr>
          <w:p w14:paraId="26C179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b w:val="0"/>
                <w:bCs w:val="0"/>
                <w:color w:val="auto"/>
                <w:spacing w:val="0"/>
                <w:kern w:val="0"/>
                <w:sz w:val="21"/>
                <w:szCs w:val="21"/>
                <w:highlight w:val="none"/>
                <w:lang w:val="en-US" w:eastAsia="zh-CN"/>
              </w:rPr>
            </w:pPr>
            <w:r>
              <w:rPr>
                <w:rFonts w:hint="eastAsia" w:cs="Times New Roman"/>
                <w:b w:val="0"/>
                <w:bCs w:val="0"/>
                <w:color w:val="auto"/>
                <w:spacing w:val="0"/>
                <w:kern w:val="0"/>
                <w:sz w:val="21"/>
                <w:szCs w:val="21"/>
                <w:highlight w:val="none"/>
                <w:lang w:val="en-US" w:eastAsia="zh-CN"/>
              </w:rPr>
              <w:t>14.65</w:t>
            </w:r>
          </w:p>
        </w:tc>
        <w:tc>
          <w:tcPr>
            <w:tcW w:w="265" w:type="pct"/>
            <w:tcBorders>
              <w:tl2br w:val="nil"/>
              <w:tr2bl w:val="nil"/>
            </w:tcBorders>
            <w:noWrap w:val="0"/>
            <w:vAlign w:val="center"/>
          </w:tcPr>
          <w:p w14:paraId="4B7723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b w:val="0"/>
                <w:bCs w:val="0"/>
                <w:color w:val="auto"/>
                <w:spacing w:val="0"/>
                <w:kern w:val="0"/>
                <w:sz w:val="21"/>
                <w:szCs w:val="21"/>
                <w:highlight w:val="none"/>
                <w:lang w:val="en-US" w:eastAsia="zh-CN"/>
              </w:rPr>
            </w:pPr>
            <w:r>
              <w:rPr>
                <w:rFonts w:hint="eastAsia" w:cs="Times New Roman"/>
                <w:b w:val="0"/>
                <w:bCs w:val="0"/>
                <w:color w:val="auto"/>
                <w:spacing w:val="0"/>
                <w:kern w:val="0"/>
                <w:sz w:val="21"/>
                <w:szCs w:val="21"/>
                <w:highlight w:val="none"/>
                <w:lang w:val="en-US" w:eastAsia="zh-CN"/>
              </w:rPr>
              <w:t>0.0154</w:t>
            </w:r>
          </w:p>
        </w:tc>
        <w:tc>
          <w:tcPr>
            <w:tcW w:w="522" w:type="pct"/>
            <w:gridSpan w:val="2"/>
            <w:tcBorders>
              <w:tl2br w:val="nil"/>
              <w:tr2bl w:val="nil"/>
            </w:tcBorders>
            <w:noWrap w:val="0"/>
            <w:vAlign w:val="center"/>
          </w:tcPr>
          <w:p w14:paraId="248450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b w:val="0"/>
                <w:bCs w:val="0"/>
                <w:color w:val="auto"/>
                <w:spacing w:val="0"/>
                <w:kern w:val="0"/>
                <w:sz w:val="21"/>
                <w:szCs w:val="21"/>
                <w:highlight w:val="none"/>
                <w:lang w:val="en-US" w:eastAsia="zh-CN"/>
              </w:rPr>
            </w:pPr>
            <w:r>
              <w:rPr>
                <w:rFonts w:hint="eastAsia" w:cs="Times New Roman"/>
                <w:b w:val="0"/>
                <w:bCs w:val="0"/>
                <w:color w:val="auto"/>
                <w:spacing w:val="0"/>
                <w:kern w:val="0"/>
                <w:sz w:val="21"/>
                <w:szCs w:val="21"/>
                <w:highlight w:val="none"/>
                <w:lang w:val="en-US" w:eastAsia="zh-CN"/>
              </w:rPr>
              <w:t>120</w:t>
            </w:r>
          </w:p>
        </w:tc>
        <w:tc>
          <w:tcPr>
            <w:tcW w:w="1213" w:type="pct"/>
            <w:tcBorders>
              <w:tl2br w:val="nil"/>
              <w:tr2bl w:val="nil"/>
            </w:tcBorders>
            <w:noWrap w:val="0"/>
            <w:vAlign w:val="center"/>
          </w:tcPr>
          <w:p w14:paraId="18877D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pacing w:val="0"/>
                <w:kern w:val="0"/>
                <w:sz w:val="21"/>
                <w:szCs w:val="21"/>
                <w:highlight w:val="none"/>
                <w:lang w:val="en-US" w:eastAsia="zh-CN"/>
              </w:rPr>
            </w:pPr>
            <w:bookmarkStart w:id="884" w:name="OLE_LINK202"/>
            <w:r>
              <w:rPr>
                <w:rFonts w:hint="eastAsia" w:ascii="Times New Roman" w:hAnsi="Times New Roman" w:eastAsia="宋体" w:cs="Times New Roman"/>
                <w:b w:val="0"/>
                <w:bCs w:val="0"/>
                <w:color w:val="auto"/>
                <w:spacing w:val="0"/>
                <w:kern w:val="0"/>
                <w:sz w:val="21"/>
                <w:szCs w:val="21"/>
                <w:highlight w:val="none"/>
                <w:lang w:val="en-US" w:eastAsia="zh-CN"/>
              </w:rPr>
              <w:t>《大气污染物综合排放标准》(GB16297-1996</w:t>
            </w:r>
            <w:r>
              <w:rPr>
                <w:rFonts w:hint="eastAsia" w:cs="Times New Roman"/>
                <w:b w:val="0"/>
                <w:bCs w:val="0"/>
                <w:color w:val="auto"/>
                <w:spacing w:val="0"/>
                <w:kern w:val="0"/>
                <w:sz w:val="21"/>
                <w:szCs w:val="21"/>
                <w:highlight w:val="none"/>
                <w:lang w:val="en-US" w:eastAsia="zh-CN"/>
              </w:rPr>
              <w:t>）</w:t>
            </w:r>
            <w:r>
              <w:rPr>
                <w:rFonts w:hint="eastAsia" w:ascii="Times New Roman" w:hAnsi="Times New Roman" w:eastAsia="宋体" w:cs="Times New Roman"/>
                <w:b w:val="0"/>
                <w:bCs w:val="0"/>
                <w:color w:val="auto"/>
                <w:spacing w:val="0"/>
                <w:kern w:val="0"/>
                <w:sz w:val="21"/>
                <w:szCs w:val="21"/>
                <w:highlight w:val="none"/>
                <w:lang w:val="en-US" w:eastAsia="zh-CN"/>
              </w:rPr>
              <w:t>表2最高允许排放浓度</w:t>
            </w:r>
            <w:bookmarkEnd w:id="884"/>
          </w:p>
        </w:tc>
      </w:tr>
      <w:bookmarkEnd w:id="874"/>
      <w:bookmarkEnd w:id="875"/>
      <w:bookmarkEnd w:id="881"/>
      <w:bookmarkEnd w:id="882"/>
      <w:bookmarkEnd w:id="883"/>
      <w:tr w14:paraId="647121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167" w:type="pct"/>
            <w:vMerge w:val="continue"/>
            <w:tcBorders>
              <w:tl2br w:val="nil"/>
              <w:tr2bl w:val="nil"/>
            </w:tcBorders>
            <w:noWrap w:val="0"/>
            <w:vAlign w:val="center"/>
          </w:tcPr>
          <w:p w14:paraId="681155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p>
        </w:tc>
        <w:tc>
          <w:tcPr>
            <w:tcW w:w="359" w:type="pct"/>
            <w:vMerge w:val="restart"/>
            <w:tcBorders>
              <w:tl2br w:val="nil"/>
              <w:tr2bl w:val="nil"/>
            </w:tcBorders>
            <w:noWrap w:val="0"/>
            <w:vAlign w:val="center"/>
          </w:tcPr>
          <w:p w14:paraId="7D6FAD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r>
              <w:rPr>
                <w:rFonts w:hint="default" w:ascii="Times New Roman" w:hAnsi="Times New Roman" w:eastAsia="宋体" w:cs="Times New Roman"/>
                <w:b w:val="0"/>
                <w:bCs w:val="0"/>
                <w:color w:val="auto"/>
                <w:spacing w:val="0"/>
                <w:kern w:val="0"/>
                <w:sz w:val="21"/>
                <w:szCs w:val="21"/>
                <w:highlight w:val="none"/>
                <w:lang w:val="en-US" w:eastAsia="zh-CN"/>
              </w:rPr>
              <w:t>采</w:t>
            </w:r>
            <w:r>
              <w:rPr>
                <w:rFonts w:hint="eastAsia" w:cs="Times New Roman"/>
                <w:b w:val="0"/>
                <w:bCs w:val="0"/>
                <w:color w:val="auto"/>
                <w:spacing w:val="0"/>
                <w:kern w:val="0"/>
                <w:sz w:val="21"/>
                <w:szCs w:val="21"/>
                <w:highlight w:val="none"/>
                <w:lang w:val="en-US" w:eastAsia="zh-CN"/>
              </w:rPr>
              <w:t>油井</w:t>
            </w:r>
            <w:r>
              <w:rPr>
                <w:rFonts w:hint="default" w:ascii="Times New Roman" w:hAnsi="Times New Roman" w:eastAsia="宋体" w:cs="Times New Roman"/>
                <w:b w:val="0"/>
                <w:bCs w:val="0"/>
                <w:color w:val="auto"/>
                <w:spacing w:val="0"/>
                <w:kern w:val="0"/>
                <w:sz w:val="21"/>
                <w:szCs w:val="21"/>
                <w:highlight w:val="none"/>
                <w:lang w:val="en-US" w:eastAsia="zh-CN"/>
              </w:rPr>
              <w:t>场、</w:t>
            </w:r>
            <w:r>
              <w:rPr>
                <w:rFonts w:hint="eastAsia" w:cs="Times New Roman"/>
                <w:b w:val="0"/>
                <w:bCs w:val="0"/>
                <w:color w:val="auto"/>
                <w:spacing w:val="0"/>
                <w:kern w:val="0"/>
                <w:sz w:val="21"/>
                <w:szCs w:val="21"/>
                <w:highlight w:val="none"/>
                <w:lang w:val="en-US" w:eastAsia="zh-CN"/>
              </w:rPr>
              <w:t>雄探1试采点</w:t>
            </w:r>
          </w:p>
        </w:tc>
        <w:tc>
          <w:tcPr>
            <w:tcW w:w="329" w:type="pct"/>
            <w:vMerge w:val="restart"/>
            <w:tcBorders>
              <w:tl2br w:val="nil"/>
              <w:tr2bl w:val="nil"/>
            </w:tcBorders>
            <w:noWrap w:val="0"/>
            <w:vAlign w:val="center"/>
          </w:tcPr>
          <w:p w14:paraId="18DAE0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r>
              <w:rPr>
                <w:rFonts w:hint="default" w:ascii="Times New Roman" w:hAnsi="Times New Roman" w:eastAsia="宋体" w:cs="Times New Roman"/>
                <w:b w:val="0"/>
                <w:bCs w:val="0"/>
                <w:color w:val="auto"/>
                <w:spacing w:val="0"/>
                <w:kern w:val="0"/>
                <w:sz w:val="21"/>
                <w:szCs w:val="21"/>
                <w:highlight w:val="none"/>
                <w:lang w:val="en-US" w:eastAsia="zh-CN"/>
              </w:rPr>
              <w:t>无组织</w:t>
            </w:r>
          </w:p>
          <w:p w14:paraId="33498D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lang w:val="en-US" w:eastAsia="zh-CN"/>
              </w:rPr>
              <w:t>废气</w:t>
            </w:r>
          </w:p>
        </w:tc>
        <w:tc>
          <w:tcPr>
            <w:tcW w:w="1045" w:type="pct"/>
            <w:gridSpan w:val="2"/>
            <w:vMerge w:val="restart"/>
            <w:tcBorders>
              <w:tl2br w:val="nil"/>
              <w:tr2bl w:val="nil"/>
            </w:tcBorders>
            <w:noWrap w:val="0"/>
            <w:vAlign w:val="center"/>
          </w:tcPr>
          <w:p w14:paraId="566EC5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lang w:val="en-US" w:eastAsia="zh-CN"/>
              </w:rPr>
              <w:t>管道密闭输送，原油装车采用气相平衡装置，加强设备检修与维护，从源头减少泄漏产生的无组织废气。</w:t>
            </w:r>
          </w:p>
        </w:tc>
        <w:tc>
          <w:tcPr>
            <w:tcW w:w="249" w:type="pct"/>
            <w:tcBorders>
              <w:tl2br w:val="nil"/>
              <w:tr2bl w:val="nil"/>
            </w:tcBorders>
            <w:noWrap w:val="0"/>
            <w:vAlign w:val="center"/>
          </w:tcPr>
          <w:p w14:paraId="0D4CD2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w:t>
            </w:r>
          </w:p>
        </w:tc>
        <w:tc>
          <w:tcPr>
            <w:tcW w:w="242" w:type="pct"/>
            <w:tcBorders>
              <w:tl2br w:val="nil"/>
              <w:tr2bl w:val="nil"/>
            </w:tcBorders>
            <w:noWrap w:val="0"/>
            <w:vAlign w:val="center"/>
          </w:tcPr>
          <w:p w14:paraId="154E12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bookmarkStart w:id="885" w:name="OLE_LINK193"/>
            <w:r>
              <w:rPr>
                <w:rFonts w:hint="default" w:ascii="Times New Roman" w:hAnsi="Times New Roman" w:eastAsia="宋体" w:cs="Times New Roman"/>
                <w:b w:val="0"/>
                <w:bCs w:val="0"/>
                <w:color w:val="auto"/>
                <w:spacing w:val="0"/>
                <w:kern w:val="0"/>
                <w:sz w:val="21"/>
                <w:szCs w:val="21"/>
                <w:highlight w:val="none"/>
              </w:rPr>
              <w:t>非甲烷总烃</w:t>
            </w:r>
            <w:bookmarkEnd w:id="885"/>
          </w:p>
        </w:tc>
        <w:tc>
          <w:tcPr>
            <w:tcW w:w="257" w:type="pct"/>
            <w:tcBorders>
              <w:tl2br w:val="nil"/>
              <w:tr2bl w:val="nil"/>
            </w:tcBorders>
            <w:noWrap w:val="0"/>
            <w:vAlign w:val="center"/>
          </w:tcPr>
          <w:p w14:paraId="38FC2B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r>
              <w:rPr>
                <w:rFonts w:hint="eastAsia" w:cs="Times New Roman"/>
                <w:b w:val="0"/>
                <w:bCs w:val="0"/>
                <w:color w:val="auto"/>
                <w:spacing w:val="0"/>
                <w:kern w:val="0"/>
                <w:sz w:val="21"/>
                <w:szCs w:val="21"/>
                <w:highlight w:val="none"/>
                <w:lang w:val="en-US" w:eastAsia="zh-CN"/>
              </w:rPr>
              <w:t>7200</w:t>
            </w:r>
          </w:p>
        </w:tc>
        <w:tc>
          <w:tcPr>
            <w:tcW w:w="348" w:type="pct"/>
            <w:tcBorders>
              <w:tl2br w:val="nil"/>
              <w:tr2bl w:val="nil"/>
            </w:tcBorders>
            <w:noWrap w:val="0"/>
            <w:vAlign w:val="center"/>
          </w:tcPr>
          <w:p w14:paraId="36E55A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r>
              <w:rPr>
                <w:rFonts w:hint="default" w:ascii="Times New Roman" w:hAnsi="Times New Roman" w:eastAsia="宋体" w:cs="Times New Roman"/>
                <w:b w:val="0"/>
                <w:bCs w:val="0"/>
                <w:color w:val="auto"/>
                <w:spacing w:val="0"/>
                <w:kern w:val="0"/>
                <w:sz w:val="21"/>
                <w:szCs w:val="21"/>
                <w:highlight w:val="none"/>
                <w:lang w:val="en-US" w:eastAsia="zh-CN"/>
              </w:rPr>
              <w:t>/</w:t>
            </w:r>
          </w:p>
        </w:tc>
        <w:tc>
          <w:tcPr>
            <w:tcW w:w="265" w:type="pct"/>
            <w:tcBorders>
              <w:tl2br w:val="nil"/>
              <w:tr2bl w:val="nil"/>
            </w:tcBorders>
            <w:noWrap w:val="0"/>
            <w:vAlign w:val="center"/>
          </w:tcPr>
          <w:p w14:paraId="73699C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r>
              <w:rPr>
                <w:rFonts w:hint="eastAsia" w:cs="Times New Roman"/>
                <w:b w:val="0"/>
                <w:bCs w:val="0"/>
                <w:color w:val="auto"/>
                <w:spacing w:val="0"/>
                <w:kern w:val="0"/>
                <w:sz w:val="21"/>
                <w:szCs w:val="21"/>
                <w:highlight w:val="none"/>
                <w:lang w:val="en-US" w:eastAsia="zh-CN"/>
              </w:rPr>
              <w:t>3.3767</w:t>
            </w:r>
          </w:p>
        </w:tc>
        <w:tc>
          <w:tcPr>
            <w:tcW w:w="522" w:type="pct"/>
            <w:gridSpan w:val="2"/>
            <w:tcBorders>
              <w:tl2br w:val="nil"/>
              <w:tr2bl w:val="nil"/>
            </w:tcBorders>
            <w:noWrap w:val="0"/>
            <w:vAlign w:val="center"/>
          </w:tcPr>
          <w:p w14:paraId="07DA64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非甲烷总烃≤4.0</w:t>
            </w:r>
          </w:p>
        </w:tc>
        <w:tc>
          <w:tcPr>
            <w:tcW w:w="1213" w:type="pct"/>
            <w:tcBorders>
              <w:tl2br w:val="nil"/>
              <w:tr2bl w:val="nil"/>
            </w:tcBorders>
            <w:noWrap w:val="0"/>
            <w:vAlign w:val="center"/>
          </w:tcPr>
          <w:p w14:paraId="528119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《陆上石油天然气开采工业大气污染物排放标准》</w:t>
            </w:r>
            <w:r>
              <w:rPr>
                <w:rFonts w:hint="eastAsia" w:cs="Times New Roman"/>
                <w:b w:val="0"/>
                <w:bCs w:val="0"/>
                <w:color w:val="auto"/>
                <w:spacing w:val="0"/>
                <w:kern w:val="0"/>
                <w:sz w:val="21"/>
                <w:szCs w:val="21"/>
                <w:highlight w:val="none"/>
                <w:lang w:eastAsia="zh-CN"/>
              </w:rPr>
              <w:t>（</w:t>
            </w:r>
            <w:r>
              <w:rPr>
                <w:rFonts w:hint="default" w:ascii="Times New Roman" w:hAnsi="Times New Roman" w:eastAsia="宋体" w:cs="Times New Roman"/>
                <w:b w:val="0"/>
                <w:bCs w:val="0"/>
                <w:color w:val="auto"/>
                <w:spacing w:val="0"/>
                <w:kern w:val="0"/>
                <w:sz w:val="21"/>
                <w:szCs w:val="21"/>
                <w:highlight w:val="none"/>
              </w:rPr>
              <w:t>GB39728-2020</w:t>
            </w:r>
            <w:r>
              <w:rPr>
                <w:rFonts w:hint="default" w:ascii="Times New Roman" w:hAnsi="Times New Roman" w:eastAsia="宋体" w:cs="Times New Roman"/>
                <w:b w:val="0"/>
                <w:bCs w:val="0"/>
                <w:color w:val="auto"/>
                <w:spacing w:val="0"/>
                <w:kern w:val="0"/>
                <w:sz w:val="21"/>
                <w:szCs w:val="21"/>
                <w:highlight w:val="none"/>
                <w:lang w:eastAsia="zh-CN"/>
              </w:rPr>
              <w:t>）</w:t>
            </w:r>
            <w:r>
              <w:rPr>
                <w:rFonts w:hint="default" w:ascii="Times New Roman" w:hAnsi="Times New Roman" w:eastAsia="宋体" w:cs="Times New Roman"/>
                <w:b w:val="0"/>
                <w:bCs w:val="0"/>
                <w:color w:val="auto"/>
                <w:spacing w:val="0"/>
                <w:kern w:val="0"/>
                <w:sz w:val="21"/>
                <w:szCs w:val="21"/>
                <w:highlight w:val="none"/>
              </w:rPr>
              <w:t>中边界污染物控制要求</w:t>
            </w:r>
          </w:p>
        </w:tc>
      </w:tr>
      <w:bookmarkEnd w:id="876"/>
      <w:bookmarkEnd w:id="877"/>
      <w:tr w14:paraId="156AEE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167" w:type="pct"/>
            <w:vMerge w:val="continue"/>
            <w:tcBorders>
              <w:tl2br w:val="nil"/>
              <w:tr2bl w:val="nil"/>
            </w:tcBorders>
            <w:noWrap w:val="0"/>
            <w:vAlign w:val="center"/>
          </w:tcPr>
          <w:p w14:paraId="59C364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p>
        </w:tc>
        <w:tc>
          <w:tcPr>
            <w:tcW w:w="359" w:type="pct"/>
            <w:vMerge w:val="continue"/>
            <w:tcBorders>
              <w:tl2br w:val="nil"/>
              <w:tr2bl w:val="nil"/>
            </w:tcBorders>
            <w:noWrap w:val="0"/>
            <w:vAlign w:val="center"/>
          </w:tcPr>
          <w:p w14:paraId="080D94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p>
        </w:tc>
        <w:tc>
          <w:tcPr>
            <w:tcW w:w="329" w:type="pct"/>
            <w:vMerge w:val="continue"/>
            <w:tcBorders>
              <w:tl2br w:val="nil"/>
              <w:tr2bl w:val="nil"/>
            </w:tcBorders>
            <w:noWrap w:val="0"/>
            <w:vAlign w:val="center"/>
          </w:tcPr>
          <w:p w14:paraId="1E7968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p>
        </w:tc>
        <w:tc>
          <w:tcPr>
            <w:tcW w:w="1045" w:type="pct"/>
            <w:gridSpan w:val="2"/>
            <w:vMerge w:val="continue"/>
            <w:tcBorders>
              <w:tl2br w:val="nil"/>
              <w:tr2bl w:val="nil"/>
            </w:tcBorders>
            <w:noWrap w:val="0"/>
            <w:vAlign w:val="center"/>
          </w:tcPr>
          <w:p w14:paraId="05B9B4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 w:val="0"/>
                <w:bCs w:val="0"/>
                <w:color w:val="auto"/>
                <w:spacing w:val="0"/>
                <w:kern w:val="0"/>
                <w:sz w:val="21"/>
                <w:szCs w:val="21"/>
                <w:highlight w:val="none"/>
                <w:lang w:val="en-US" w:eastAsia="zh-CN"/>
              </w:rPr>
            </w:pPr>
          </w:p>
        </w:tc>
        <w:tc>
          <w:tcPr>
            <w:tcW w:w="249" w:type="pct"/>
            <w:tcBorders>
              <w:tl2br w:val="nil"/>
              <w:tr2bl w:val="nil"/>
            </w:tcBorders>
            <w:noWrap w:val="0"/>
            <w:vAlign w:val="center"/>
          </w:tcPr>
          <w:p w14:paraId="057DDE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r>
              <w:rPr>
                <w:rFonts w:hint="default" w:ascii="Times New Roman" w:hAnsi="Times New Roman" w:eastAsia="宋体" w:cs="Times New Roman"/>
                <w:b w:val="0"/>
                <w:bCs w:val="0"/>
                <w:color w:val="auto"/>
                <w:spacing w:val="0"/>
                <w:kern w:val="0"/>
                <w:sz w:val="21"/>
                <w:szCs w:val="21"/>
                <w:highlight w:val="none"/>
              </w:rPr>
              <w:t>—</w:t>
            </w:r>
          </w:p>
        </w:tc>
        <w:tc>
          <w:tcPr>
            <w:tcW w:w="242" w:type="pct"/>
            <w:tcBorders>
              <w:tl2br w:val="nil"/>
              <w:tr2bl w:val="nil"/>
            </w:tcBorders>
            <w:noWrap w:val="0"/>
            <w:vAlign w:val="center"/>
          </w:tcPr>
          <w:p w14:paraId="13F2BD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r>
              <w:rPr>
                <w:rFonts w:hint="default" w:ascii="Times New Roman" w:hAnsi="Times New Roman" w:eastAsia="宋体" w:cs="Times New Roman"/>
                <w:b w:val="0"/>
                <w:bCs w:val="0"/>
                <w:color w:val="auto"/>
                <w:spacing w:val="0"/>
                <w:kern w:val="0"/>
                <w:sz w:val="21"/>
                <w:szCs w:val="21"/>
                <w:highlight w:val="none"/>
                <w:lang w:val="en-US" w:eastAsia="zh-CN"/>
              </w:rPr>
              <w:t>硫化氢</w:t>
            </w:r>
          </w:p>
        </w:tc>
        <w:tc>
          <w:tcPr>
            <w:tcW w:w="257" w:type="pct"/>
            <w:tcBorders>
              <w:tl2br w:val="nil"/>
              <w:tr2bl w:val="nil"/>
            </w:tcBorders>
            <w:noWrap w:val="0"/>
            <w:vAlign w:val="center"/>
          </w:tcPr>
          <w:p w14:paraId="1DBCA2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r>
              <w:rPr>
                <w:rFonts w:hint="eastAsia" w:cs="Times New Roman"/>
                <w:b w:val="0"/>
                <w:bCs w:val="0"/>
                <w:color w:val="auto"/>
                <w:spacing w:val="0"/>
                <w:kern w:val="0"/>
                <w:sz w:val="21"/>
                <w:szCs w:val="21"/>
                <w:highlight w:val="none"/>
                <w:lang w:val="en-US" w:eastAsia="zh-CN"/>
              </w:rPr>
              <w:t>7200</w:t>
            </w:r>
          </w:p>
        </w:tc>
        <w:tc>
          <w:tcPr>
            <w:tcW w:w="348" w:type="pct"/>
            <w:tcBorders>
              <w:tl2br w:val="nil"/>
              <w:tr2bl w:val="nil"/>
            </w:tcBorders>
            <w:noWrap w:val="0"/>
            <w:vAlign w:val="center"/>
          </w:tcPr>
          <w:p w14:paraId="562D5E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r>
              <w:rPr>
                <w:rFonts w:hint="default" w:ascii="Times New Roman" w:hAnsi="Times New Roman" w:eastAsia="宋体" w:cs="Times New Roman"/>
                <w:b w:val="0"/>
                <w:bCs w:val="0"/>
                <w:color w:val="auto"/>
                <w:spacing w:val="0"/>
                <w:kern w:val="0"/>
                <w:sz w:val="21"/>
                <w:szCs w:val="21"/>
                <w:highlight w:val="none"/>
                <w:lang w:val="en-US" w:eastAsia="zh-CN"/>
              </w:rPr>
              <w:t>/</w:t>
            </w:r>
          </w:p>
        </w:tc>
        <w:tc>
          <w:tcPr>
            <w:tcW w:w="265" w:type="pct"/>
            <w:tcBorders>
              <w:tl2br w:val="nil"/>
              <w:tr2bl w:val="nil"/>
            </w:tcBorders>
            <w:noWrap w:val="0"/>
            <w:vAlign w:val="center"/>
          </w:tcPr>
          <w:p w14:paraId="075239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r>
              <w:rPr>
                <w:rFonts w:hint="eastAsia" w:cs="Times New Roman"/>
                <w:b w:val="0"/>
                <w:bCs w:val="0"/>
                <w:color w:val="auto"/>
                <w:spacing w:val="0"/>
                <w:kern w:val="0"/>
                <w:sz w:val="21"/>
                <w:szCs w:val="21"/>
                <w:highlight w:val="none"/>
                <w:lang w:val="en-US" w:eastAsia="zh-CN"/>
              </w:rPr>
              <w:t>0.000858</w:t>
            </w:r>
          </w:p>
        </w:tc>
        <w:tc>
          <w:tcPr>
            <w:tcW w:w="522" w:type="pct"/>
            <w:gridSpan w:val="2"/>
            <w:tcBorders>
              <w:tl2br w:val="nil"/>
              <w:tr2bl w:val="nil"/>
            </w:tcBorders>
            <w:noWrap w:val="0"/>
            <w:vAlign w:val="center"/>
          </w:tcPr>
          <w:p w14:paraId="69A4B5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r>
              <w:rPr>
                <w:rFonts w:hint="default" w:ascii="Times New Roman" w:hAnsi="Times New Roman" w:eastAsia="宋体" w:cs="Times New Roman"/>
                <w:b w:val="0"/>
                <w:bCs w:val="0"/>
                <w:color w:val="auto"/>
                <w:spacing w:val="0"/>
                <w:kern w:val="0"/>
                <w:sz w:val="21"/>
                <w:szCs w:val="21"/>
                <w:highlight w:val="none"/>
                <w:lang w:val="en-US" w:eastAsia="zh-CN"/>
              </w:rPr>
              <w:t>硫化氢</w:t>
            </w:r>
            <w:r>
              <w:rPr>
                <w:rFonts w:hint="default" w:ascii="Times New Roman" w:hAnsi="Times New Roman" w:eastAsia="宋体" w:cs="Times New Roman"/>
                <w:b w:val="0"/>
                <w:bCs w:val="0"/>
                <w:color w:val="auto"/>
                <w:spacing w:val="0"/>
                <w:kern w:val="0"/>
                <w:sz w:val="21"/>
                <w:szCs w:val="21"/>
                <w:highlight w:val="none"/>
              </w:rPr>
              <w:t>≤</w:t>
            </w:r>
            <w:r>
              <w:rPr>
                <w:rFonts w:hint="default" w:ascii="Times New Roman" w:hAnsi="Times New Roman" w:eastAsia="宋体" w:cs="Times New Roman"/>
                <w:b w:val="0"/>
                <w:bCs w:val="0"/>
                <w:color w:val="auto"/>
                <w:spacing w:val="0"/>
                <w:kern w:val="0"/>
                <w:sz w:val="21"/>
                <w:szCs w:val="21"/>
                <w:highlight w:val="none"/>
                <w:lang w:val="en-US" w:eastAsia="zh-CN"/>
              </w:rPr>
              <w:t>0.06</w:t>
            </w:r>
          </w:p>
        </w:tc>
        <w:tc>
          <w:tcPr>
            <w:tcW w:w="1213" w:type="pct"/>
            <w:tcBorders>
              <w:tl2br w:val="nil"/>
              <w:tr2bl w:val="nil"/>
            </w:tcBorders>
            <w:noWrap w:val="0"/>
            <w:vAlign w:val="center"/>
          </w:tcPr>
          <w:p w14:paraId="796F72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《恶臭污染物排放标准》（GB14554-93）中新建项目二级标准</w:t>
            </w:r>
          </w:p>
        </w:tc>
      </w:tr>
      <w:tr w14:paraId="32443B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167" w:type="pct"/>
            <w:vMerge w:val="continue"/>
            <w:tcBorders>
              <w:tl2br w:val="nil"/>
              <w:tr2bl w:val="nil"/>
            </w:tcBorders>
            <w:noWrap w:val="0"/>
            <w:vAlign w:val="center"/>
          </w:tcPr>
          <w:p w14:paraId="1440C8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p>
        </w:tc>
        <w:tc>
          <w:tcPr>
            <w:tcW w:w="359" w:type="pct"/>
            <w:vMerge w:val="continue"/>
            <w:tcBorders>
              <w:tl2br w:val="nil"/>
              <w:tr2bl w:val="nil"/>
            </w:tcBorders>
            <w:noWrap w:val="0"/>
            <w:vAlign w:val="center"/>
          </w:tcPr>
          <w:p w14:paraId="387515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p>
        </w:tc>
        <w:tc>
          <w:tcPr>
            <w:tcW w:w="329" w:type="pct"/>
            <w:tcBorders>
              <w:tl2br w:val="nil"/>
              <w:tr2bl w:val="nil"/>
            </w:tcBorders>
            <w:noWrap w:val="0"/>
            <w:vAlign w:val="center"/>
          </w:tcPr>
          <w:p w14:paraId="0F339F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r>
              <w:rPr>
                <w:rFonts w:hint="eastAsia" w:cs="Times New Roman"/>
                <w:b w:val="0"/>
                <w:bCs w:val="0"/>
                <w:color w:val="auto"/>
                <w:spacing w:val="0"/>
                <w:kern w:val="0"/>
                <w:sz w:val="21"/>
                <w:szCs w:val="21"/>
                <w:highlight w:val="none"/>
                <w:lang w:val="en-US" w:eastAsia="zh-CN"/>
              </w:rPr>
              <w:t>温室气体</w:t>
            </w:r>
          </w:p>
        </w:tc>
        <w:tc>
          <w:tcPr>
            <w:tcW w:w="1045" w:type="pct"/>
            <w:gridSpan w:val="2"/>
            <w:tcBorders>
              <w:tl2br w:val="nil"/>
              <w:tr2bl w:val="nil"/>
            </w:tcBorders>
            <w:noWrap w:val="0"/>
            <w:vAlign w:val="center"/>
          </w:tcPr>
          <w:p w14:paraId="46E1AB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 w:val="0"/>
                <w:bCs w:val="0"/>
                <w:color w:val="auto"/>
                <w:spacing w:val="0"/>
                <w:kern w:val="0"/>
                <w:sz w:val="21"/>
                <w:szCs w:val="21"/>
                <w:highlight w:val="none"/>
                <w:lang w:val="en-US" w:eastAsia="zh-CN"/>
              </w:rPr>
            </w:pPr>
            <w:r>
              <w:rPr>
                <w:rFonts w:hint="default" w:ascii="Times New Roman" w:hAnsi="Times New Roman" w:eastAsia="宋体" w:cs="Times New Roman"/>
                <w:b w:val="0"/>
                <w:bCs w:val="0"/>
                <w:color w:val="auto"/>
                <w:spacing w:val="0"/>
                <w:kern w:val="0"/>
                <w:sz w:val="21"/>
                <w:szCs w:val="21"/>
                <w:highlight w:val="none"/>
                <w:lang w:val="en-US" w:eastAsia="zh-CN"/>
              </w:rPr>
              <w:t>加强油气技术管道密闭性能，开发清洁能源替代现有能源等，从而减少温室气体排放。</w:t>
            </w:r>
          </w:p>
        </w:tc>
        <w:tc>
          <w:tcPr>
            <w:tcW w:w="249" w:type="pct"/>
            <w:tcBorders>
              <w:tl2br w:val="nil"/>
              <w:tr2bl w:val="nil"/>
            </w:tcBorders>
            <w:noWrap w:val="0"/>
            <w:vAlign w:val="center"/>
          </w:tcPr>
          <w:p w14:paraId="01720F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w:t>
            </w:r>
          </w:p>
        </w:tc>
        <w:tc>
          <w:tcPr>
            <w:tcW w:w="242" w:type="pct"/>
            <w:tcBorders>
              <w:tl2br w:val="nil"/>
              <w:tr2bl w:val="nil"/>
            </w:tcBorders>
            <w:noWrap w:val="0"/>
            <w:vAlign w:val="center"/>
          </w:tcPr>
          <w:p w14:paraId="0937C4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r>
              <w:rPr>
                <w:rFonts w:hint="eastAsia" w:cs="Times New Roman"/>
                <w:b w:val="0"/>
                <w:bCs w:val="0"/>
                <w:color w:val="auto"/>
                <w:spacing w:val="0"/>
                <w:kern w:val="0"/>
                <w:sz w:val="21"/>
                <w:szCs w:val="21"/>
                <w:highlight w:val="none"/>
                <w:lang w:val="en-US" w:eastAsia="zh-CN"/>
              </w:rPr>
              <w:t>甲烷</w:t>
            </w:r>
          </w:p>
        </w:tc>
        <w:tc>
          <w:tcPr>
            <w:tcW w:w="257" w:type="pct"/>
            <w:tcBorders>
              <w:tl2br w:val="nil"/>
              <w:tr2bl w:val="nil"/>
            </w:tcBorders>
            <w:noWrap w:val="0"/>
            <w:vAlign w:val="center"/>
          </w:tcPr>
          <w:p w14:paraId="2EB227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r>
              <w:rPr>
                <w:rFonts w:hint="eastAsia" w:cs="Times New Roman"/>
                <w:b w:val="0"/>
                <w:bCs w:val="0"/>
                <w:color w:val="auto"/>
                <w:spacing w:val="0"/>
                <w:kern w:val="0"/>
                <w:sz w:val="21"/>
                <w:szCs w:val="21"/>
                <w:highlight w:val="none"/>
                <w:lang w:val="en-US" w:eastAsia="zh-CN"/>
              </w:rPr>
              <w:t>7200</w:t>
            </w:r>
          </w:p>
        </w:tc>
        <w:tc>
          <w:tcPr>
            <w:tcW w:w="348" w:type="pct"/>
            <w:tcBorders>
              <w:tl2br w:val="nil"/>
              <w:tr2bl w:val="nil"/>
            </w:tcBorders>
            <w:noWrap w:val="0"/>
            <w:vAlign w:val="center"/>
          </w:tcPr>
          <w:p w14:paraId="3FF622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r>
              <w:rPr>
                <w:rFonts w:hint="eastAsia" w:cs="Times New Roman"/>
                <w:b w:val="0"/>
                <w:bCs w:val="0"/>
                <w:color w:val="auto"/>
                <w:spacing w:val="0"/>
                <w:kern w:val="0"/>
                <w:sz w:val="21"/>
                <w:szCs w:val="21"/>
                <w:highlight w:val="none"/>
                <w:lang w:val="en-US" w:eastAsia="zh-CN"/>
              </w:rPr>
              <w:t>/</w:t>
            </w:r>
          </w:p>
        </w:tc>
        <w:tc>
          <w:tcPr>
            <w:tcW w:w="265" w:type="pct"/>
            <w:tcBorders>
              <w:tl2br w:val="nil"/>
              <w:tr2bl w:val="nil"/>
            </w:tcBorders>
            <w:noWrap w:val="0"/>
            <w:vAlign w:val="center"/>
          </w:tcPr>
          <w:p w14:paraId="3001FF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r>
              <w:rPr>
                <w:rFonts w:hint="eastAsia" w:cs="Times New Roman"/>
                <w:b w:val="0"/>
                <w:bCs w:val="0"/>
                <w:color w:val="auto"/>
                <w:spacing w:val="0"/>
                <w:kern w:val="0"/>
                <w:sz w:val="21"/>
                <w:szCs w:val="21"/>
                <w:highlight w:val="none"/>
                <w:lang w:val="en-US" w:eastAsia="zh-CN"/>
              </w:rPr>
              <w:t>31.6</w:t>
            </w:r>
          </w:p>
        </w:tc>
        <w:tc>
          <w:tcPr>
            <w:tcW w:w="522" w:type="pct"/>
            <w:gridSpan w:val="2"/>
            <w:tcBorders>
              <w:tl2br w:val="nil"/>
              <w:tr2bl w:val="nil"/>
            </w:tcBorders>
            <w:noWrap w:val="0"/>
            <w:vAlign w:val="center"/>
          </w:tcPr>
          <w:p w14:paraId="1DC05B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r>
              <w:rPr>
                <w:rFonts w:hint="eastAsia" w:cs="Times New Roman"/>
                <w:b w:val="0"/>
                <w:bCs w:val="0"/>
                <w:color w:val="auto"/>
                <w:spacing w:val="0"/>
                <w:kern w:val="0"/>
                <w:sz w:val="21"/>
                <w:szCs w:val="21"/>
                <w:highlight w:val="none"/>
                <w:lang w:val="en-US" w:eastAsia="zh-CN"/>
              </w:rPr>
              <w:t>/</w:t>
            </w:r>
          </w:p>
        </w:tc>
        <w:tc>
          <w:tcPr>
            <w:tcW w:w="1213" w:type="pct"/>
            <w:tcBorders>
              <w:tl2br w:val="nil"/>
              <w:tr2bl w:val="nil"/>
            </w:tcBorders>
            <w:noWrap w:val="0"/>
            <w:vAlign w:val="center"/>
          </w:tcPr>
          <w:p w14:paraId="26000B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b w:val="0"/>
                <w:bCs w:val="0"/>
                <w:color w:val="auto"/>
                <w:spacing w:val="0"/>
                <w:kern w:val="0"/>
                <w:sz w:val="21"/>
                <w:szCs w:val="21"/>
                <w:highlight w:val="none"/>
                <w:lang w:val="en-US" w:eastAsia="zh-CN"/>
              </w:rPr>
            </w:pPr>
            <w:r>
              <w:rPr>
                <w:rFonts w:hint="eastAsia" w:cs="Times New Roman"/>
                <w:b w:val="0"/>
                <w:bCs w:val="0"/>
                <w:color w:val="auto"/>
                <w:spacing w:val="0"/>
                <w:kern w:val="0"/>
                <w:sz w:val="21"/>
                <w:szCs w:val="21"/>
                <w:highlight w:val="none"/>
                <w:lang w:val="en-US" w:eastAsia="zh-CN"/>
              </w:rPr>
              <w:t>/</w:t>
            </w:r>
          </w:p>
        </w:tc>
      </w:tr>
      <w:tr w14:paraId="7C5483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6" w:hRule="atLeast"/>
          <w:jc w:val="center"/>
        </w:trPr>
        <w:tc>
          <w:tcPr>
            <w:tcW w:w="167" w:type="pct"/>
            <w:tcBorders>
              <w:tl2br w:val="nil"/>
              <w:tr2bl w:val="nil"/>
            </w:tcBorders>
            <w:noWrap w:val="0"/>
            <w:vAlign w:val="center"/>
          </w:tcPr>
          <w:p w14:paraId="0F113D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default" w:ascii="Times New Roman" w:hAnsi="Times New Roman" w:eastAsia="宋体" w:cs="Times New Roman"/>
                <w:b w:val="0"/>
                <w:bCs w:val="0"/>
                <w:color w:val="auto"/>
                <w:spacing w:val="0"/>
                <w:kern w:val="0"/>
                <w:sz w:val="21"/>
                <w:szCs w:val="21"/>
                <w:highlight w:val="none"/>
              </w:rPr>
              <w:t>类别</w:t>
            </w:r>
          </w:p>
        </w:tc>
        <w:tc>
          <w:tcPr>
            <w:tcW w:w="359" w:type="pct"/>
            <w:tcBorders>
              <w:tl2br w:val="nil"/>
              <w:tr2bl w:val="nil"/>
            </w:tcBorders>
            <w:noWrap w:val="0"/>
            <w:vAlign w:val="center"/>
          </w:tcPr>
          <w:p w14:paraId="1AF3BC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default" w:ascii="Times New Roman" w:hAnsi="Times New Roman" w:eastAsia="宋体" w:cs="Times New Roman"/>
                <w:b w:val="0"/>
                <w:bCs w:val="0"/>
                <w:color w:val="auto"/>
                <w:spacing w:val="0"/>
                <w:kern w:val="0"/>
                <w:sz w:val="21"/>
                <w:szCs w:val="21"/>
                <w:highlight w:val="none"/>
              </w:rPr>
              <w:t>污染源</w:t>
            </w:r>
          </w:p>
        </w:tc>
        <w:tc>
          <w:tcPr>
            <w:tcW w:w="329" w:type="pct"/>
            <w:tcBorders>
              <w:tl2br w:val="nil"/>
              <w:tr2bl w:val="nil"/>
            </w:tcBorders>
            <w:noWrap w:val="0"/>
            <w:vAlign w:val="center"/>
          </w:tcPr>
          <w:p w14:paraId="6ACB6F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default" w:ascii="Times New Roman" w:hAnsi="Times New Roman" w:eastAsia="宋体" w:cs="Times New Roman"/>
                <w:b w:val="0"/>
                <w:bCs w:val="0"/>
                <w:color w:val="auto"/>
                <w:spacing w:val="0"/>
                <w:kern w:val="0"/>
                <w:sz w:val="21"/>
                <w:szCs w:val="21"/>
                <w:highlight w:val="none"/>
              </w:rPr>
              <w:t>污染因子</w:t>
            </w:r>
          </w:p>
        </w:tc>
        <w:tc>
          <w:tcPr>
            <w:tcW w:w="1794" w:type="pct"/>
            <w:gridSpan w:val="5"/>
            <w:tcBorders>
              <w:tl2br w:val="nil"/>
              <w:tr2bl w:val="nil"/>
            </w:tcBorders>
            <w:noWrap w:val="0"/>
            <w:vAlign w:val="center"/>
          </w:tcPr>
          <w:p w14:paraId="61A4E3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default" w:ascii="Times New Roman" w:hAnsi="Times New Roman" w:eastAsia="宋体" w:cs="Times New Roman"/>
                <w:b w:val="0"/>
                <w:bCs w:val="0"/>
                <w:color w:val="auto"/>
                <w:spacing w:val="0"/>
                <w:kern w:val="0"/>
                <w:sz w:val="21"/>
                <w:szCs w:val="21"/>
                <w:highlight w:val="none"/>
              </w:rPr>
              <w:t>处理措施</w:t>
            </w:r>
          </w:p>
        </w:tc>
        <w:tc>
          <w:tcPr>
            <w:tcW w:w="348" w:type="pct"/>
            <w:tcBorders>
              <w:tl2br w:val="nil"/>
              <w:tr2bl w:val="nil"/>
            </w:tcBorders>
            <w:noWrap w:val="0"/>
            <w:vAlign w:val="center"/>
          </w:tcPr>
          <w:p w14:paraId="3F6E29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default" w:ascii="Times New Roman" w:hAnsi="Times New Roman" w:eastAsia="宋体" w:cs="Times New Roman"/>
                <w:b w:val="0"/>
                <w:bCs w:val="0"/>
                <w:color w:val="auto"/>
                <w:spacing w:val="0"/>
                <w:kern w:val="0"/>
                <w:sz w:val="21"/>
                <w:szCs w:val="21"/>
                <w:highlight w:val="none"/>
              </w:rPr>
              <w:t>处理后浓度</w:t>
            </w:r>
            <w:r>
              <w:rPr>
                <w:rFonts w:hint="eastAsia" w:cs="Times New Roman"/>
                <w:b w:val="0"/>
                <w:bCs w:val="0"/>
                <w:color w:val="auto"/>
                <w:spacing w:val="0"/>
                <w:kern w:val="0"/>
                <w:sz w:val="21"/>
                <w:szCs w:val="21"/>
                <w:highlight w:val="none"/>
                <w:lang w:eastAsia="zh-CN"/>
              </w:rPr>
              <w:t>（</w:t>
            </w:r>
            <w:r>
              <w:rPr>
                <w:rFonts w:hint="default" w:ascii="Times New Roman" w:hAnsi="Times New Roman" w:eastAsia="宋体" w:cs="Times New Roman"/>
                <w:b w:val="0"/>
                <w:bCs w:val="0"/>
                <w:color w:val="auto"/>
                <w:spacing w:val="0"/>
                <w:kern w:val="0"/>
                <w:sz w:val="21"/>
                <w:szCs w:val="21"/>
                <w:highlight w:val="none"/>
              </w:rPr>
              <w:t>mg/L</w:t>
            </w:r>
            <w:r>
              <w:rPr>
                <w:rFonts w:hint="eastAsia" w:cs="Times New Roman"/>
                <w:b w:val="0"/>
                <w:bCs w:val="0"/>
                <w:color w:val="auto"/>
                <w:spacing w:val="0"/>
                <w:kern w:val="0"/>
                <w:sz w:val="21"/>
                <w:szCs w:val="21"/>
                <w:highlight w:val="none"/>
                <w:lang w:eastAsia="zh-CN"/>
              </w:rPr>
              <w:t>）</w:t>
            </w:r>
          </w:p>
        </w:tc>
        <w:tc>
          <w:tcPr>
            <w:tcW w:w="265" w:type="pct"/>
            <w:tcBorders>
              <w:tl2br w:val="nil"/>
              <w:tr2bl w:val="nil"/>
            </w:tcBorders>
            <w:noWrap w:val="0"/>
            <w:vAlign w:val="center"/>
          </w:tcPr>
          <w:p w14:paraId="5C4371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排放</w:t>
            </w:r>
          </w:p>
          <w:p w14:paraId="51C200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default" w:ascii="Times New Roman" w:hAnsi="Times New Roman" w:eastAsia="宋体" w:cs="Times New Roman"/>
                <w:b w:val="0"/>
                <w:bCs w:val="0"/>
                <w:color w:val="auto"/>
                <w:spacing w:val="0"/>
                <w:kern w:val="0"/>
                <w:sz w:val="21"/>
                <w:szCs w:val="21"/>
                <w:highlight w:val="none"/>
              </w:rPr>
              <w:t>去向</w:t>
            </w:r>
          </w:p>
        </w:tc>
        <w:tc>
          <w:tcPr>
            <w:tcW w:w="242" w:type="pct"/>
            <w:tcBorders>
              <w:tl2br w:val="nil"/>
              <w:tr2bl w:val="nil"/>
            </w:tcBorders>
            <w:noWrap w:val="0"/>
            <w:vAlign w:val="center"/>
          </w:tcPr>
          <w:p w14:paraId="453242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default" w:ascii="Times New Roman" w:hAnsi="Times New Roman" w:eastAsia="宋体" w:cs="Times New Roman"/>
                <w:b w:val="0"/>
                <w:bCs w:val="0"/>
                <w:color w:val="auto"/>
                <w:spacing w:val="0"/>
                <w:kern w:val="0"/>
                <w:sz w:val="21"/>
                <w:szCs w:val="21"/>
                <w:highlight w:val="none"/>
              </w:rPr>
              <w:t>总量控制指标</w:t>
            </w:r>
            <w:r>
              <w:rPr>
                <w:rFonts w:hint="default" w:ascii="Times New Roman" w:hAnsi="Times New Roman" w:eastAsia="宋体" w:cs="Times New Roman"/>
                <w:b w:val="0"/>
                <w:bCs w:val="0"/>
                <w:color w:val="auto"/>
                <w:spacing w:val="0"/>
                <w:kern w:val="0"/>
                <w:sz w:val="21"/>
                <w:szCs w:val="21"/>
                <w:highlight w:val="none"/>
                <w:lang w:eastAsia="zh-CN"/>
              </w:rPr>
              <w:t>（</w:t>
            </w:r>
            <w:r>
              <w:rPr>
                <w:rFonts w:hint="default" w:ascii="Times New Roman" w:hAnsi="Times New Roman" w:eastAsia="宋体" w:cs="Times New Roman"/>
                <w:b w:val="0"/>
                <w:bCs w:val="0"/>
                <w:color w:val="auto"/>
                <w:spacing w:val="0"/>
                <w:kern w:val="0"/>
                <w:sz w:val="21"/>
                <w:szCs w:val="21"/>
                <w:highlight w:val="none"/>
              </w:rPr>
              <w:t>t/a</w:t>
            </w:r>
            <w:r>
              <w:rPr>
                <w:rFonts w:hint="eastAsia" w:cs="Times New Roman"/>
                <w:b w:val="0"/>
                <w:bCs w:val="0"/>
                <w:color w:val="auto"/>
                <w:spacing w:val="0"/>
                <w:kern w:val="0"/>
                <w:sz w:val="21"/>
                <w:szCs w:val="21"/>
                <w:highlight w:val="none"/>
                <w:lang w:eastAsia="zh-CN"/>
              </w:rPr>
              <w:t>）</w:t>
            </w:r>
          </w:p>
        </w:tc>
        <w:tc>
          <w:tcPr>
            <w:tcW w:w="280" w:type="pct"/>
            <w:tcBorders>
              <w:tl2br w:val="nil"/>
              <w:tr2bl w:val="nil"/>
            </w:tcBorders>
            <w:noWrap w:val="0"/>
            <w:vAlign w:val="center"/>
          </w:tcPr>
          <w:p w14:paraId="37575D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default" w:ascii="Times New Roman" w:hAnsi="Times New Roman" w:eastAsia="宋体" w:cs="Times New Roman"/>
                <w:b w:val="0"/>
                <w:bCs w:val="0"/>
                <w:color w:val="auto"/>
                <w:spacing w:val="0"/>
                <w:kern w:val="0"/>
                <w:sz w:val="21"/>
                <w:szCs w:val="21"/>
                <w:highlight w:val="none"/>
              </w:rPr>
              <w:t>执行标准</w:t>
            </w:r>
            <w:r>
              <w:rPr>
                <w:rFonts w:hint="default" w:ascii="Times New Roman" w:hAnsi="Times New Roman" w:eastAsia="宋体" w:cs="Times New Roman"/>
                <w:b w:val="0"/>
                <w:bCs w:val="0"/>
                <w:color w:val="auto"/>
                <w:spacing w:val="0"/>
                <w:kern w:val="0"/>
                <w:sz w:val="21"/>
                <w:szCs w:val="21"/>
                <w:highlight w:val="none"/>
                <w:lang w:eastAsia="zh-CN"/>
              </w:rPr>
              <w:t>（</w:t>
            </w:r>
            <w:r>
              <w:rPr>
                <w:rFonts w:hint="default" w:ascii="Times New Roman" w:hAnsi="Times New Roman" w:eastAsia="宋体" w:cs="Times New Roman"/>
                <w:b w:val="0"/>
                <w:bCs w:val="0"/>
                <w:color w:val="auto"/>
                <w:spacing w:val="0"/>
                <w:kern w:val="0"/>
                <w:sz w:val="21"/>
                <w:szCs w:val="21"/>
                <w:highlight w:val="none"/>
              </w:rPr>
              <w:t>mg/L</w:t>
            </w:r>
            <w:r>
              <w:rPr>
                <w:rFonts w:hint="eastAsia" w:cs="Times New Roman"/>
                <w:b w:val="0"/>
                <w:bCs w:val="0"/>
                <w:color w:val="auto"/>
                <w:spacing w:val="0"/>
                <w:kern w:val="0"/>
                <w:sz w:val="21"/>
                <w:szCs w:val="21"/>
                <w:highlight w:val="none"/>
                <w:lang w:eastAsia="zh-CN"/>
              </w:rPr>
              <w:t>）</w:t>
            </w:r>
          </w:p>
        </w:tc>
        <w:tc>
          <w:tcPr>
            <w:tcW w:w="1213" w:type="pct"/>
            <w:tcBorders>
              <w:tl2br w:val="nil"/>
              <w:tr2bl w:val="nil"/>
            </w:tcBorders>
            <w:noWrap w:val="0"/>
            <w:vAlign w:val="center"/>
          </w:tcPr>
          <w:p w14:paraId="24C5AE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default" w:ascii="Times New Roman" w:hAnsi="Times New Roman" w:eastAsia="宋体" w:cs="Times New Roman"/>
                <w:b w:val="0"/>
                <w:bCs w:val="0"/>
                <w:color w:val="auto"/>
                <w:spacing w:val="0"/>
                <w:kern w:val="0"/>
                <w:sz w:val="21"/>
                <w:szCs w:val="21"/>
                <w:highlight w:val="none"/>
              </w:rPr>
              <w:t>环境监测要求</w:t>
            </w:r>
          </w:p>
        </w:tc>
      </w:tr>
      <w:tr w14:paraId="099AED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167" w:type="pct"/>
            <w:vMerge w:val="restart"/>
            <w:tcBorders>
              <w:tl2br w:val="nil"/>
              <w:tr2bl w:val="nil"/>
            </w:tcBorders>
            <w:noWrap w:val="0"/>
            <w:vAlign w:val="center"/>
          </w:tcPr>
          <w:p w14:paraId="365F70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废水</w:t>
            </w:r>
          </w:p>
        </w:tc>
        <w:tc>
          <w:tcPr>
            <w:tcW w:w="359" w:type="pct"/>
            <w:tcBorders>
              <w:tl2br w:val="nil"/>
              <w:tr2bl w:val="nil"/>
            </w:tcBorders>
            <w:noWrap w:val="0"/>
            <w:vAlign w:val="center"/>
          </w:tcPr>
          <w:p w14:paraId="2D2EA3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r>
              <w:rPr>
                <w:rFonts w:hint="default" w:ascii="Times New Roman" w:hAnsi="Times New Roman" w:eastAsia="宋体" w:cs="Times New Roman"/>
                <w:b w:val="0"/>
                <w:bCs w:val="0"/>
                <w:color w:val="auto"/>
                <w:spacing w:val="0"/>
                <w:kern w:val="0"/>
                <w:sz w:val="21"/>
                <w:szCs w:val="21"/>
                <w:highlight w:val="none"/>
                <w:lang w:val="en-US" w:eastAsia="zh-CN"/>
              </w:rPr>
              <w:t>井下作业废水</w:t>
            </w:r>
          </w:p>
        </w:tc>
        <w:tc>
          <w:tcPr>
            <w:tcW w:w="329" w:type="pct"/>
            <w:tcBorders>
              <w:tl2br w:val="nil"/>
              <w:tr2bl w:val="nil"/>
            </w:tcBorders>
            <w:noWrap w:val="0"/>
            <w:vAlign w:val="center"/>
          </w:tcPr>
          <w:p w14:paraId="37554E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SS、COD、石油类</w:t>
            </w:r>
          </w:p>
        </w:tc>
        <w:tc>
          <w:tcPr>
            <w:tcW w:w="1794" w:type="pct"/>
            <w:gridSpan w:val="5"/>
            <w:tcBorders>
              <w:tl2br w:val="nil"/>
              <w:tr2bl w:val="nil"/>
            </w:tcBorders>
            <w:noWrap w:val="0"/>
            <w:vAlign w:val="center"/>
          </w:tcPr>
          <w:p w14:paraId="0A1981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 w:val="0"/>
                <w:bCs w:val="0"/>
                <w:color w:val="auto"/>
                <w:spacing w:val="0"/>
                <w:kern w:val="0"/>
                <w:sz w:val="21"/>
                <w:szCs w:val="21"/>
                <w:highlight w:val="none"/>
                <w:lang w:eastAsia="zh-CN"/>
              </w:rPr>
            </w:pPr>
            <w:r>
              <w:rPr>
                <w:rFonts w:hint="default" w:ascii="Times New Roman" w:hAnsi="Times New Roman" w:eastAsia="宋体" w:cs="Times New Roman"/>
                <w:b w:val="0"/>
                <w:bCs w:val="0"/>
                <w:color w:val="auto"/>
                <w:spacing w:val="0"/>
                <w:kern w:val="0"/>
                <w:sz w:val="21"/>
                <w:szCs w:val="21"/>
                <w:highlight w:val="none"/>
              </w:rPr>
              <w:t>井下作业废水自带回收罐回收作业废水，拉运至英买力油田钻试修废弃物环保处理站处理</w:t>
            </w:r>
          </w:p>
        </w:tc>
        <w:tc>
          <w:tcPr>
            <w:tcW w:w="348" w:type="pct"/>
            <w:tcBorders>
              <w:tl2br w:val="nil"/>
              <w:tr2bl w:val="nil"/>
            </w:tcBorders>
            <w:noWrap w:val="0"/>
            <w:vAlign w:val="center"/>
          </w:tcPr>
          <w:p w14:paraId="2B4A0F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w:t>
            </w:r>
          </w:p>
        </w:tc>
        <w:tc>
          <w:tcPr>
            <w:tcW w:w="265" w:type="pct"/>
            <w:tcBorders>
              <w:tl2br w:val="nil"/>
              <w:tr2bl w:val="nil"/>
            </w:tcBorders>
            <w:noWrap w:val="0"/>
            <w:vAlign w:val="center"/>
          </w:tcPr>
          <w:p w14:paraId="6DC013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不外排</w:t>
            </w:r>
          </w:p>
        </w:tc>
        <w:tc>
          <w:tcPr>
            <w:tcW w:w="242" w:type="pct"/>
            <w:tcBorders>
              <w:tl2br w:val="nil"/>
              <w:tr2bl w:val="nil"/>
            </w:tcBorders>
            <w:noWrap w:val="0"/>
            <w:vAlign w:val="center"/>
          </w:tcPr>
          <w:p w14:paraId="3018E6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w:t>
            </w:r>
          </w:p>
        </w:tc>
        <w:tc>
          <w:tcPr>
            <w:tcW w:w="280" w:type="pct"/>
            <w:tcBorders>
              <w:tl2br w:val="nil"/>
              <w:tr2bl w:val="nil"/>
            </w:tcBorders>
            <w:noWrap w:val="0"/>
            <w:vAlign w:val="center"/>
          </w:tcPr>
          <w:p w14:paraId="52D563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w:t>
            </w:r>
          </w:p>
        </w:tc>
        <w:tc>
          <w:tcPr>
            <w:tcW w:w="1213" w:type="pct"/>
            <w:tcBorders>
              <w:tl2br w:val="nil"/>
              <w:tr2bl w:val="nil"/>
            </w:tcBorders>
            <w:noWrap w:val="0"/>
            <w:vAlign w:val="center"/>
          </w:tcPr>
          <w:p w14:paraId="16454C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b w:val="0"/>
                <w:bCs w:val="0"/>
                <w:color w:val="auto"/>
                <w:spacing w:val="0"/>
                <w:kern w:val="0"/>
                <w:sz w:val="21"/>
                <w:szCs w:val="21"/>
                <w:highlight w:val="none"/>
                <w:lang w:val="en-US" w:eastAsia="zh-CN"/>
              </w:rPr>
            </w:pPr>
            <w:r>
              <w:rPr>
                <w:rFonts w:hint="eastAsia" w:cs="Times New Roman"/>
                <w:b w:val="0"/>
                <w:bCs w:val="0"/>
                <w:color w:val="auto"/>
                <w:spacing w:val="0"/>
                <w:kern w:val="0"/>
                <w:sz w:val="21"/>
                <w:szCs w:val="21"/>
                <w:highlight w:val="none"/>
                <w:lang w:val="en-US" w:eastAsia="zh-CN"/>
              </w:rPr>
              <w:t>/</w:t>
            </w:r>
          </w:p>
        </w:tc>
      </w:tr>
      <w:tr w14:paraId="1AABF5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167" w:type="pct"/>
            <w:vMerge w:val="continue"/>
            <w:tcBorders>
              <w:tl2br w:val="nil"/>
              <w:tr2bl w:val="nil"/>
            </w:tcBorders>
            <w:noWrap w:val="0"/>
            <w:vAlign w:val="center"/>
          </w:tcPr>
          <w:p w14:paraId="5EBB12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p>
        </w:tc>
        <w:tc>
          <w:tcPr>
            <w:tcW w:w="359" w:type="pct"/>
            <w:tcBorders>
              <w:tl2br w:val="nil"/>
              <w:tr2bl w:val="nil"/>
            </w:tcBorders>
            <w:noWrap w:val="0"/>
            <w:vAlign w:val="center"/>
          </w:tcPr>
          <w:p w14:paraId="2F7540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r>
              <w:rPr>
                <w:rFonts w:hint="default" w:ascii="Times New Roman" w:hAnsi="Times New Roman" w:eastAsia="宋体" w:cs="Times New Roman"/>
                <w:b w:val="0"/>
                <w:bCs w:val="0"/>
                <w:color w:val="auto"/>
                <w:spacing w:val="0"/>
                <w:kern w:val="0"/>
                <w:sz w:val="21"/>
                <w:szCs w:val="21"/>
                <w:highlight w:val="none"/>
                <w:lang w:val="en-US" w:eastAsia="zh-CN"/>
              </w:rPr>
              <w:t>生活污水</w:t>
            </w:r>
          </w:p>
        </w:tc>
        <w:tc>
          <w:tcPr>
            <w:tcW w:w="329" w:type="pct"/>
            <w:tcBorders>
              <w:tl2br w:val="nil"/>
              <w:tr2bl w:val="nil"/>
            </w:tcBorders>
            <w:noWrap w:val="0"/>
            <w:vAlign w:val="center"/>
          </w:tcPr>
          <w:p w14:paraId="7D4370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SS、COD、BOD</w:t>
            </w:r>
            <w:r>
              <w:rPr>
                <w:rFonts w:hint="default" w:ascii="Times New Roman" w:hAnsi="Times New Roman" w:eastAsia="宋体" w:cs="Times New Roman"/>
                <w:b w:val="0"/>
                <w:bCs w:val="0"/>
                <w:color w:val="auto"/>
                <w:spacing w:val="0"/>
                <w:kern w:val="0"/>
                <w:sz w:val="21"/>
                <w:szCs w:val="21"/>
                <w:highlight w:val="none"/>
                <w:vertAlign w:val="subscript"/>
              </w:rPr>
              <w:t>5</w:t>
            </w:r>
            <w:r>
              <w:rPr>
                <w:rFonts w:hint="default" w:ascii="Times New Roman" w:hAnsi="Times New Roman" w:eastAsia="宋体" w:cs="Times New Roman"/>
                <w:b w:val="0"/>
                <w:bCs w:val="0"/>
                <w:color w:val="auto"/>
                <w:spacing w:val="0"/>
                <w:kern w:val="0"/>
                <w:sz w:val="21"/>
                <w:szCs w:val="21"/>
                <w:highlight w:val="none"/>
              </w:rPr>
              <w:t>等</w:t>
            </w:r>
          </w:p>
        </w:tc>
        <w:tc>
          <w:tcPr>
            <w:tcW w:w="1794" w:type="pct"/>
            <w:gridSpan w:val="5"/>
            <w:tcBorders>
              <w:tl2br w:val="nil"/>
              <w:tr2bl w:val="nil"/>
            </w:tcBorders>
            <w:noWrap w:val="0"/>
            <w:vAlign w:val="center"/>
          </w:tcPr>
          <w:p w14:paraId="364181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生活污水暂存于生活污水池，定期由罐车拉运至英买力作业区生活污水处理装置处置</w:t>
            </w:r>
          </w:p>
        </w:tc>
        <w:tc>
          <w:tcPr>
            <w:tcW w:w="348" w:type="pct"/>
            <w:tcBorders>
              <w:tl2br w:val="nil"/>
              <w:tr2bl w:val="nil"/>
            </w:tcBorders>
            <w:noWrap w:val="0"/>
            <w:vAlign w:val="center"/>
          </w:tcPr>
          <w:p w14:paraId="1BF30F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default" w:ascii="Times New Roman" w:hAnsi="Times New Roman" w:eastAsia="宋体" w:cs="Times New Roman"/>
                <w:b w:val="0"/>
                <w:bCs w:val="0"/>
                <w:color w:val="auto"/>
                <w:spacing w:val="0"/>
                <w:kern w:val="0"/>
                <w:sz w:val="21"/>
                <w:szCs w:val="21"/>
                <w:highlight w:val="none"/>
              </w:rPr>
              <w:t>—</w:t>
            </w:r>
          </w:p>
        </w:tc>
        <w:tc>
          <w:tcPr>
            <w:tcW w:w="265" w:type="pct"/>
            <w:tcBorders>
              <w:tl2br w:val="nil"/>
              <w:tr2bl w:val="nil"/>
            </w:tcBorders>
            <w:noWrap w:val="0"/>
            <w:vAlign w:val="center"/>
          </w:tcPr>
          <w:p w14:paraId="143889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default" w:ascii="Times New Roman" w:hAnsi="Times New Roman" w:eastAsia="宋体" w:cs="Times New Roman"/>
                <w:b w:val="0"/>
                <w:bCs w:val="0"/>
                <w:color w:val="auto"/>
                <w:spacing w:val="0"/>
                <w:kern w:val="0"/>
                <w:sz w:val="21"/>
                <w:szCs w:val="21"/>
                <w:highlight w:val="none"/>
              </w:rPr>
              <w:t>不外排</w:t>
            </w:r>
          </w:p>
        </w:tc>
        <w:tc>
          <w:tcPr>
            <w:tcW w:w="242" w:type="pct"/>
            <w:tcBorders>
              <w:tl2br w:val="nil"/>
              <w:tr2bl w:val="nil"/>
            </w:tcBorders>
            <w:noWrap w:val="0"/>
            <w:vAlign w:val="center"/>
          </w:tcPr>
          <w:p w14:paraId="0CBE0C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default" w:ascii="Times New Roman" w:hAnsi="Times New Roman" w:eastAsia="宋体" w:cs="Times New Roman"/>
                <w:b w:val="0"/>
                <w:bCs w:val="0"/>
                <w:color w:val="auto"/>
                <w:spacing w:val="0"/>
                <w:kern w:val="0"/>
                <w:sz w:val="21"/>
                <w:szCs w:val="21"/>
                <w:highlight w:val="none"/>
              </w:rPr>
              <w:t>—</w:t>
            </w:r>
          </w:p>
        </w:tc>
        <w:tc>
          <w:tcPr>
            <w:tcW w:w="280" w:type="pct"/>
            <w:tcBorders>
              <w:tl2br w:val="nil"/>
              <w:tr2bl w:val="nil"/>
            </w:tcBorders>
            <w:noWrap w:val="0"/>
            <w:vAlign w:val="center"/>
          </w:tcPr>
          <w:p w14:paraId="3C66E6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default" w:ascii="Times New Roman" w:hAnsi="Times New Roman" w:eastAsia="宋体" w:cs="Times New Roman"/>
                <w:b w:val="0"/>
                <w:bCs w:val="0"/>
                <w:color w:val="auto"/>
                <w:spacing w:val="0"/>
                <w:kern w:val="0"/>
                <w:sz w:val="21"/>
                <w:szCs w:val="21"/>
                <w:highlight w:val="none"/>
              </w:rPr>
              <w:t>—</w:t>
            </w:r>
          </w:p>
        </w:tc>
        <w:tc>
          <w:tcPr>
            <w:tcW w:w="1213" w:type="pct"/>
            <w:tcBorders>
              <w:tl2br w:val="nil"/>
              <w:tr2bl w:val="nil"/>
            </w:tcBorders>
            <w:noWrap w:val="0"/>
            <w:vAlign w:val="center"/>
          </w:tcPr>
          <w:p w14:paraId="484B20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《农村生活污水处理排放标准》(DB65 4275-2019</w:t>
            </w:r>
            <w:r>
              <w:rPr>
                <w:rFonts w:hint="eastAsia" w:cs="Times New Roman"/>
                <w:b w:val="0"/>
                <w:bCs w:val="0"/>
                <w:color w:val="auto"/>
                <w:spacing w:val="0"/>
                <w:kern w:val="0"/>
                <w:sz w:val="21"/>
                <w:szCs w:val="21"/>
                <w:highlight w:val="none"/>
                <w:lang w:eastAsia="zh-CN"/>
              </w:rPr>
              <w:t>）</w:t>
            </w:r>
            <w:r>
              <w:rPr>
                <w:rFonts w:hint="default" w:ascii="Times New Roman" w:hAnsi="Times New Roman" w:eastAsia="宋体" w:cs="Times New Roman"/>
                <w:b w:val="0"/>
                <w:bCs w:val="0"/>
                <w:color w:val="auto"/>
                <w:spacing w:val="0"/>
                <w:kern w:val="0"/>
                <w:sz w:val="21"/>
                <w:szCs w:val="21"/>
                <w:highlight w:val="none"/>
              </w:rPr>
              <w:t>表</w:t>
            </w:r>
            <w:r>
              <w:rPr>
                <w:rFonts w:hint="eastAsia" w:cs="Times New Roman"/>
                <w:b w:val="0"/>
                <w:bCs w:val="0"/>
                <w:color w:val="auto"/>
                <w:spacing w:val="0"/>
                <w:kern w:val="0"/>
                <w:sz w:val="21"/>
                <w:szCs w:val="21"/>
                <w:highlight w:val="none"/>
                <w:lang w:val="en-US" w:eastAsia="zh-CN"/>
              </w:rPr>
              <w:t>2</w:t>
            </w:r>
            <w:r>
              <w:rPr>
                <w:rFonts w:hint="default" w:ascii="Times New Roman" w:hAnsi="Times New Roman" w:eastAsia="宋体" w:cs="Times New Roman"/>
                <w:b w:val="0"/>
                <w:bCs w:val="0"/>
                <w:color w:val="auto"/>
                <w:spacing w:val="0"/>
                <w:kern w:val="0"/>
                <w:sz w:val="21"/>
                <w:szCs w:val="21"/>
                <w:highlight w:val="none"/>
              </w:rPr>
              <w:t>中</w:t>
            </w:r>
            <w:r>
              <w:rPr>
                <w:rFonts w:hint="eastAsia" w:cs="Times New Roman"/>
                <w:b w:val="0"/>
                <w:bCs w:val="0"/>
                <w:color w:val="auto"/>
                <w:spacing w:val="0"/>
                <w:kern w:val="0"/>
                <w:sz w:val="21"/>
                <w:szCs w:val="21"/>
                <w:highlight w:val="none"/>
                <w:lang w:val="en-US" w:eastAsia="zh-CN"/>
              </w:rPr>
              <w:t>C</w:t>
            </w:r>
            <w:r>
              <w:rPr>
                <w:rFonts w:hint="default" w:ascii="Times New Roman" w:hAnsi="Times New Roman" w:eastAsia="宋体" w:cs="Times New Roman"/>
                <w:b w:val="0"/>
                <w:bCs w:val="0"/>
                <w:color w:val="auto"/>
                <w:spacing w:val="0"/>
                <w:kern w:val="0"/>
                <w:sz w:val="21"/>
                <w:szCs w:val="21"/>
                <w:highlight w:val="none"/>
              </w:rPr>
              <w:t>级标准限值</w:t>
            </w:r>
          </w:p>
        </w:tc>
      </w:tr>
      <w:tr w14:paraId="10C9D5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167" w:type="pct"/>
            <w:tcBorders>
              <w:tl2br w:val="nil"/>
              <w:tr2bl w:val="nil"/>
            </w:tcBorders>
            <w:noWrap w:val="0"/>
            <w:vAlign w:val="center"/>
          </w:tcPr>
          <w:p w14:paraId="1FF344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类别</w:t>
            </w:r>
          </w:p>
        </w:tc>
        <w:tc>
          <w:tcPr>
            <w:tcW w:w="688" w:type="pct"/>
            <w:gridSpan w:val="2"/>
            <w:tcBorders>
              <w:tl2br w:val="nil"/>
              <w:tr2bl w:val="nil"/>
            </w:tcBorders>
            <w:noWrap w:val="0"/>
            <w:vAlign w:val="center"/>
          </w:tcPr>
          <w:p w14:paraId="2589E5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噪声源</w:t>
            </w:r>
          </w:p>
        </w:tc>
        <w:tc>
          <w:tcPr>
            <w:tcW w:w="321" w:type="pct"/>
            <w:tcBorders>
              <w:tl2br w:val="nil"/>
              <w:tr2bl w:val="nil"/>
            </w:tcBorders>
            <w:noWrap w:val="0"/>
            <w:vAlign w:val="center"/>
          </w:tcPr>
          <w:p w14:paraId="570BA8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污染因子</w:t>
            </w:r>
          </w:p>
        </w:tc>
        <w:tc>
          <w:tcPr>
            <w:tcW w:w="1473" w:type="pct"/>
            <w:gridSpan w:val="4"/>
            <w:tcBorders>
              <w:tl2br w:val="nil"/>
              <w:tr2bl w:val="nil"/>
            </w:tcBorders>
            <w:noWrap w:val="0"/>
            <w:vAlign w:val="center"/>
          </w:tcPr>
          <w:p w14:paraId="48FF36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治理措施</w:t>
            </w:r>
          </w:p>
        </w:tc>
        <w:tc>
          <w:tcPr>
            <w:tcW w:w="348" w:type="pct"/>
            <w:tcBorders>
              <w:tl2br w:val="nil"/>
              <w:tr2bl w:val="nil"/>
            </w:tcBorders>
            <w:noWrap w:val="0"/>
            <w:vAlign w:val="center"/>
          </w:tcPr>
          <w:p w14:paraId="1CA04B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处理效果</w:t>
            </w:r>
          </w:p>
        </w:tc>
        <w:tc>
          <w:tcPr>
            <w:tcW w:w="507" w:type="pct"/>
            <w:gridSpan w:val="2"/>
            <w:tcBorders>
              <w:tl2br w:val="nil"/>
              <w:tr2bl w:val="nil"/>
            </w:tcBorders>
            <w:noWrap w:val="0"/>
            <w:vAlign w:val="center"/>
          </w:tcPr>
          <w:p w14:paraId="2E4918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执行标准</w:t>
            </w:r>
          </w:p>
        </w:tc>
        <w:tc>
          <w:tcPr>
            <w:tcW w:w="1493" w:type="pct"/>
            <w:gridSpan w:val="2"/>
            <w:tcBorders>
              <w:tl2br w:val="nil"/>
              <w:tr2bl w:val="nil"/>
            </w:tcBorders>
            <w:noWrap w:val="0"/>
            <w:vAlign w:val="center"/>
          </w:tcPr>
          <w:p w14:paraId="704F4C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环境监测要求</w:t>
            </w:r>
          </w:p>
        </w:tc>
      </w:tr>
      <w:tr w14:paraId="1A6D39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167" w:type="pct"/>
            <w:vMerge w:val="restart"/>
            <w:tcBorders>
              <w:tl2br w:val="nil"/>
              <w:tr2bl w:val="nil"/>
            </w:tcBorders>
            <w:noWrap w:val="0"/>
            <w:vAlign w:val="center"/>
          </w:tcPr>
          <w:p w14:paraId="10D014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噪声</w:t>
            </w:r>
          </w:p>
        </w:tc>
        <w:tc>
          <w:tcPr>
            <w:tcW w:w="688" w:type="pct"/>
            <w:gridSpan w:val="2"/>
            <w:tcBorders>
              <w:tl2br w:val="nil"/>
              <w:tr2bl w:val="nil"/>
            </w:tcBorders>
            <w:noWrap w:val="0"/>
            <w:vAlign w:val="center"/>
          </w:tcPr>
          <w:p w14:paraId="531FCE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zh-CN"/>
              </w:rPr>
            </w:pPr>
            <w:r>
              <w:rPr>
                <w:rFonts w:hint="default" w:ascii="Times New Roman" w:hAnsi="Times New Roman" w:eastAsia="宋体" w:cs="Times New Roman"/>
                <w:b w:val="0"/>
                <w:bCs w:val="0"/>
                <w:color w:val="auto"/>
                <w:spacing w:val="0"/>
                <w:kern w:val="0"/>
                <w:sz w:val="21"/>
                <w:szCs w:val="21"/>
                <w:highlight w:val="none"/>
              </w:rPr>
              <w:t>井下作业（修井、洗井等）</w:t>
            </w:r>
          </w:p>
        </w:tc>
        <w:tc>
          <w:tcPr>
            <w:tcW w:w="321" w:type="pct"/>
            <w:tcBorders>
              <w:tl2br w:val="nil"/>
              <w:tr2bl w:val="nil"/>
            </w:tcBorders>
            <w:noWrap w:val="0"/>
            <w:vAlign w:val="center"/>
          </w:tcPr>
          <w:p w14:paraId="3E222D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L</w:t>
            </w:r>
            <w:r>
              <w:rPr>
                <w:rFonts w:hint="default" w:ascii="Times New Roman" w:hAnsi="Times New Roman" w:eastAsia="宋体" w:cs="Times New Roman"/>
                <w:b w:val="0"/>
                <w:bCs w:val="0"/>
                <w:color w:val="auto"/>
                <w:spacing w:val="0"/>
                <w:kern w:val="0"/>
                <w:sz w:val="21"/>
                <w:szCs w:val="21"/>
                <w:highlight w:val="none"/>
                <w:vertAlign w:val="subscript"/>
              </w:rPr>
              <w:t>eq</w:t>
            </w:r>
          </w:p>
        </w:tc>
        <w:tc>
          <w:tcPr>
            <w:tcW w:w="1473" w:type="pct"/>
            <w:gridSpan w:val="4"/>
            <w:vMerge w:val="restart"/>
            <w:tcBorders>
              <w:tl2br w:val="nil"/>
              <w:tr2bl w:val="nil"/>
            </w:tcBorders>
            <w:noWrap w:val="0"/>
            <w:vAlign w:val="center"/>
          </w:tcPr>
          <w:p w14:paraId="428A66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选用低噪声设备，采取减振、隔声、消声等降噪措施</w:t>
            </w:r>
          </w:p>
        </w:tc>
        <w:tc>
          <w:tcPr>
            <w:tcW w:w="348" w:type="pct"/>
            <w:vMerge w:val="restart"/>
            <w:tcBorders>
              <w:tl2br w:val="nil"/>
              <w:tr2bl w:val="nil"/>
            </w:tcBorders>
            <w:noWrap w:val="0"/>
            <w:vAlign w:val="center"/>
          </w:tcPr>
          <w:p w14:paraId="3420B6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厂界达标</w:t>
            </w:r>
          </w:p>
        </w:tc>
        <w:tc>
          <w:tcPr>
            <w:tcW w:w="507" w:type="pct"/>
            <w:gridSpan w:val="2"/>
            <w:vMerge w:val="restart"/>
            <w:tcBorders>
              <w:tl2br w:val="nil"/>
              <w:tr2bl w:val="nil"/>
            </w:tcBorders>
            <w:noWrap w:val="0"/>
            <w:vAlign w:val="center"/>
          </w:tcPr>
          <w:p w14:paraId="351E7E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昼间≤60dB(A)；</w:t>
            </w:r>
          </w:p>
          <w:p w14:paraId="7F2C06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rPr>
            </w:pPr>
            <w:r>
              <w:rPr>
                <w:rFonts w:hint="default" w:ascii="Times New Roman" w:hAnsi="Times New Roman" w:eastAsia="宋体" w:cs="Times New Roman"/>
                <w:b w:val="0"/>
                <w:bCs w:val="0"/>
                <w:color w:val="auto"/>
                <w:spacing w:val="0"/>
                <w:kern w:val="0"/>
                <w:sz w:val="21"/>
                <w:szCs w:val="21"/>
                <w:highlight w:val="none"/>
              </w:rPr>
              <w:t>夜间≤50dB(A)</w:t>
            </w:r>
          </w:p>
        </w:tc>
        <w:tc>
          <w:tcPr>
            <w:tcW w:w="1493" w:type="pct"/>
            <w:gridSpan w:val="2"/>
            <w:vMerge w:val="restart"/>
            <w:tcBorders>
              <w:tl2br w:val="nil"/>
              <w:tr2bl w:val="nil"/>
            </w:tcBorders>
            <w:noWrap w:val="0"/>
            <w:vAlign w:val="center"/>
          </w:tcPr>
          <w:p w14:paraId="281807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 w:val="0"/>
                <w:bCs w:val="0"/>
                <w:color w:val="auto"/>
                <w:spacing w:val="0"/>
                <w:kern w:val="2"/>
                <w:sz w:val="21"/>
                <w:szCs w:val="21"/>
                <w:highlight w:val="none"/>
              </w:rPr>
            </w:pPr>
            <w:r>
              <w:rPr>
                <w:rFonts w:hint="default" w:ascii="Times New Roman" w:hAnsi="Times New Roman" w:eastAsia="宋体" w:cs="Times New Roman"/>
                <w:b w:val="0"/>
                <w:bCs w:val="0"/>
                <w:color w:val="auto"/>
                <w:spacing w:val="0"/>
                <w:kern w:val="0"/>
                <w:sz w:val="21"/>
                <w:szCs w:val="21"/>
                <w:highlight w:val="none"/>
              </w:rPr>
              <w:t>《工业企业厂界环境噪声排放标准》（GB12348-2008）中2类标准</w:t>
            </w:r>
          </w:p>
        </w:tc>
      </w:tr>
      <w:tr w14:paraId="23B9B2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167" w:type="pct"/>
            <w:vMerge w:val="continue"/>
            <w:tcBorders>
              <w:tl2br w:val="nil"/>
              <w:tr2bl w:val="nil"/>
            </w:tcBorders>
            <w:noWrap w:val="0"/>
            <w:vAlign w:val="center"/>
          </w:tcPr>
          <w:p w14:paraId="19CD09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p>
        </w:tc>
        <w:tc>
          <w:tcPr>
            <w:tcW w:w="688" w:type="pct"/>
            <w:gridSpan w:val="2"/>
            <w:tcBorders>
              <w:tl2br w:val="nil"/>
              <w:tr2bl w:val="nil"/>
            </w:tcBorders>
            <w:noWrap w:val="0"/>
            <w:vAlign w:val="center"/>
          </w:tcPr>
          <w:p w14:paraId="28D7FC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r>
              <w:rPr>
                <w:rFonts w:hint="default" w:ascii="Times New Roman" w:hAnsi="Times New Roman" w:eastAsia="宋体" w:cs="Times New Roman"/>
                <w:b w:val="0"/>
                <w:bCs w:val="0"/>
                <w:color w:val="auto"/>
                <w:spacing w:val="0"/>
                <w:kern w:val="0"/>
                <w:sz w:val="21"/>
                <w:szCs w:val="21"/>
                <w:highlight w:val="none"/>
                <w:lang w:val="en-US" w:eastAsia="zh-CN"/>
              </w:rPr>
              <w:t>井场、</w:t>
            </w:r>
            <w:r>
              <w:rPr>
                <w:rFonts w:hint="eastAsia" w:cs="Times New Roman"/>
                <w:b w:val="0"/>
                <w:bCs w:val="0"/>
                <w:color w:val="auto"/>
                <w:spacing w:val="0"/>
                <w:kern w:val="0"/>
                <w:sz w:val="21"/>
                <w:szCs w:val="21"/>
                <w:highlight w:val="none"/>
                <w:lang w:val="en-US" w:eastAsia="zh-CN"/>
              </w:rPr>
              <w:t>试采点</w:t>
            </w:r>
            <w:r>
              <w:rPr>
                <w:rFonts w:hint="default" w:ascii="Times New Roman" w:hAnsi="Times New Roman" w:eastAsia="宋体" w:cs="Times New Roman"/>
                <w:b w:val="0"/>
                <w:bCs w:val="0"/>
                <w:color w:val="auto"/>
                <w:spacing w:val="0"/>
                <w:kern w:val="0"/>
                <w:sz w:val="21"/>
                <w:szCs w:val="21"/>
                <w:highlight w:val="none"/>
              </w:rPr>
              <w:t>装置</w:t>
            </w:r>
          </w:p>
        </w:tc>
        <w:tc>
          <w:tcPr>
            <w:tcW w:w="321" w:type="pct"/>
            <w:tcBorders>
              <w:tl2br w:val="nil"/>
              <w:tr2bl w:val="nil"/>
            </w:tcBorders>
            <w:noWrap w:val="0"/>
            <w:vAlign w:val="center"/>
          </w:tcPr>
          <w:p w14:paraId="0062C0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L</w:t>
            </w:r>
            <w:r>
              <w:rPr>
                <w:rFonts w:hint="default" w:ascii="Times New Roman" w:hAnsi="Times New Roman" w:eastAsia="宋体" w:cs="Times New Roman"/>
                <w:b w:val="0"/>
                <w:bCs w:val="0"/>
                <w:color w:val="auto"/>
                <w:spacing w:val="0"/>
                <w:kern w:val="0"/>
                <w:sz w:val="21"/>
                <w:szCs w:val="21"/>
                <w:highlight w:val="none"/>
                <w:vertAlign w:val="subscript"/>
              </w:rPr>
              <w:t>eq</w:t>
            </w:r>
          </w:p>
        </w:tc>
        <w:tc>
          <w:tcPr>
            <w:tcW w:w="1473" w:type="pct"/>
            <w:gridSpan w:val="4"/>
            <w:vMerge w:val="continue"/>
            <w:tcBorders>
              <w:tl2br w:val="nil"/>
              <w:tr2bl w:val="nil"/>
            </w:tcBorders>
            <w:noWrap w:val="0"/>
            <w:vAlign w:val="center"/>
          </w:tcPr>
          <w:p w14:paraId="33ECD2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zh-CN"/>
              </w:rPr>
            </w:pPr>
          </w:p>
        </w:tc>
        <w:tc>
          <w:tcPr>
            <w:tcW w:w="348" w:type="pct"/>
            <w:vMerge w:val="continue"/>
            <w:tcBorders>
              <w:tl2br w:val="nil"/>
              <w:tr2bl w:val="nil"/>
            </w:tcBorders>
            <w:noWrap w:val="0"/>
            <w:vAlign w:val="center"/>
          </w:tcPr>
          <w:p w14:paraId="51A60D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p>
        </w:tc>
        <w:tc>
          <w:tcPr>
            <w:tcW w:w="507" w:type="pct"/>
            <w:gridSpan w:val="2"/>
            <w:vMerge w:val="continue"/>
            <w:tcBorders>
              <w:tl2br w:val="nil"/>
              <w:tr2bl w:val="nil"/>
            </w:tcBorders>
            <w:noWrap w:val="0"/>
            <w:vAlign w:val="center"/>
          </w:tcPr>
          <w:p w14:paraId="2D1DAB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p>
        </w:tc>
        <w:tc>
          <w:tcPr>
            <w:tcW w:w="1493" w:type="pct"/>
            <w:gridSpan w:val="2"/>
            <w:vMerge w:val="continue"/>
            <w:tcBorders>
              <w:tl2br w:val="nil"/>
              <w:tr2bl w:val="nil"/>
            </w:tcBorders>
            <w:noWrap w:val="0"/>
            <w:vAlign w:val="center"/>
          </w:tcPr>
          <w:p w14:paraId="4AAC15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p>
        </w:tc>
      </w:tr>
      <w:tr w14:paraId="5D968F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167" w:type="pct"/>
            <w:tcBorders>
              <w:tl2br w:val="nil"/>
              <w:tr2bl w:val="nil"/>
            </w:tcBorders>
            <w:noWrap w:val="0"/>
            <w:vAlign w:val="center"/>
          </w:tcPr>
          <w:p w14:paraId="58AF1A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序号</w:t>
            </w:r>
          </w:p>
        </w:tc>
        <w:tc>
          <w:tcPr>
            <w:tcW w:w="688" w:type="pct"/>
            <w:gridSpan w:val="2"/>
            <w:tcBorders>
              <w:tl2br w:val="nil"/>
              <w:tr2bl w:val="nil"/>
            </w:tcBorders>
            <w:noWrap w:val="0"/>
            <w:vAlign w:val="center"/>
          </w:tcPr>
          <w:p w14:paraId="3FFF0F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污染源名称</w:t>
            </w:r>
          </w:p>
        </w:tc>
        <w:tc>
          <w:tcPr>
            <w:tcW w:w="321" w:type="pct"/>
            <w:tcBorders>
              <w:tl2br w:val="nil"/>
              <w:tr2bl w:val="nil"/>
            </w:tcBorders>
            <w:noWrap w:val="0"/>
            <w:vAlign w:val="center"/>
          </w:tcPr>
          <w:p w14:paraId="5006C4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固废类别</w:t>
            </w:r>
          </w:p>
        </w:tc>
        <w:tc>
          <w:tcPr>
            <w:tcW w:w="3822" w:type="pct"/>
            <w:gridSpan w:val="9"/>
            <w:tcBorders>
              <w:tl2br w:val="nil"/>
              <w:tr2bl w:val="nil"/>
            </w:tcBorders>
            <w:noWrap w:val="0"/>
            <w:vAlign w:val="center"/>
          </w:tcPr>
          <w:p w14:paraId="6FF33A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处理措施</w:t>
            </w:r>
          </w:p>
        </w:tc>
      </w:tr>
      <w:tr w14:paraId="7974C8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20" w:hRule="atLeast"/>
          <w:jc w:val="center"/>
        </w:trPr>
        <w:tc>
          <w:tcPr>
            <w:tcW w:w="167" w:type="pct"/>
            <w:vMerge w:val="restart"/>
            <w:tcBorders>
              <w:tl2br w:val="nil"/>
              <w:tr2bl w:val="nil"/>
            </w:tcBorders>
            <w:noWrap w:val="0"/>
            <w:vAlign w:val="center"/>
          </w:tcPr>
          <w:p w14:paraId="31CA19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固废</w:t>
            </w:r>
          </w:p>
        </w:tc>
        <w:tc>
          <w:tcPr>
            <w:tcW w:w="688" w:type="pct"/>
            <w:gridSpan w:val="2"/>
            <w:tcBorders>
              <w:tl2br w:val="nil"/>
              <w:tr2bl w:val="nil"/>
            </w:tcBorders>
            <w:noWrap w:val="0"/>
            <w:vAlign w:val="center"/>
          </w:tcPr>
          <w:p w14:paraId="416397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rPr>
              <w:t>废</w:t>
            </w:r>
            <w:r>
              <w:rPr>
                <w:rFonts w:hint="eastAsia" w:cs="Times New Roman"/>
                <w:color w:val="auto"/>
                <w:szCs w:val="21"/>
                <w:highlight w:val="none"/>
                <w:lang w:val="en-US" w:eastAsia="zh-CN"/>
              </w:rPr>
              <w:t>脱硫剂</w:t>
            </w:r>
          </w:p>
        </w:tc>
        <w:tc>
          <w:tcPr>
            <w:tcW w:w="321" w:type="pct"/>
            <w:vMerge w:val="restart"/>
            <w:tcBorders>
              <w:tl2br w:val="nil"/>
              <w:tr2bl w:val="nil"/>
            </w:tcBorders>
            <w:noWrap w:val="0"/>
            <w:vAlign w:val="center"/>
          </w:tcPr>
          <w:p w14:paraId="46D771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eastAsia" w:cs="Times New Roman"/>
                <w:b w:val="0"/>
                <w:bCs w:val="0"/>
                <w:color w:val="auto"/>
                <w:spacing w:val="0"/>
                <w:kern w:val="0"/>
                <w:sz w:val="21"/>
                <w:szCs w:val="21"/>
                <w:highlight w:val="none"/>
                <w:lang w:val="en-US" w:eastAsia="zh-CN" w:bidi="ar-SA"/>
              </w:rPr>
              <w:t>一般固体废物</w:t>
            </w:r>
          </w:p>
        </w:tc>
        <w:tc>
          <w:tcPr>
            <w:tcW w:w="3822" w:type="pct"/>
            <w:gridSpan w:val="9"/>
            <w:tcBorders>
              <w:tl2br w:val="nil"/>
              <w:tr2bl w:val="nil"/>
            </w:tcBorders>
            <w:noWrap w:val="0"/>
            <w:vAlign w:val="center"/>
          </w:tcPr>
          <w:p w14:paraId="4F72D2F0">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pacing w:val="0"/>
                <w:kern w:val="0"/>
                <w:sz w:val="21"/>
                <w:szCs w:val="21"/>
                <w:highlight w:val="none"/>
                <w:lang w:val="en-US" w:eastAsia="zh-CN" w:bidi="ar-SA"/>
              </w:rPr>
            </w:pPr>
            <w:r>
              <w:rPr>
                <w:rFonts w:hint="default" w:ascii="Times New Roman" w:hAnsi="Times New Roman" w:eastAsia="宋体" w:cs="Times New Roman"/>
                <w:b w:val="0"/>
                <w:bCs w:val="0"/>
                <w:color w:val="auto"/>
                <w:spacing w:val="0"/>
                <w:kern w:val="0"/>
                <w:sz w:val="21"/>
                <w:szCs w:val="21"/>
                <w:highlight w:val="none"/>
                <w:lang w:val="en-US" w:eastAsia="zh-CN" w:bidi="ar-SA"/>
              </w:rPr>
              <w:t>由生产厂家进行更换脱硫剂，更换后由其拉走处置</w:t>
            </w:r>
          </w:p>
        </w:tc>
      </w:tr>
      <w:tr w14:paraId="0C075D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20" w:hRule="atLeast"/>
          <w:jc w:val="center"/>
        </w:trPr>
        <w:tc>
          <w:tcPr>
            <w:tcW w:w="167" w:type="pct"/>
            <w:vMerge w:val="continue"/>
            <w:tcBorders>
              <w:tl2br w:val="nil"/>
              <w:tr2bl w:val="nil"/>
            </w:tcBorders>
            <w:noWrap w:val="0"/>
            <w:vAlign w:val="center"/>
          </w:tcPr>
          <w:p w14:paraId="66B0DE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p>
        </w:tc>
        <w:tc>
          <w:tcPr>
            <w:tcW w:w="688" w:type="pct"/>
            <w:gridSpan w:val="2"/>
            <w:tcBorders>
              <w:tl2br w:val="nil"/>
              <w:tr2bl w:val="nil"/>
            </w:tcBorders>
            <w:noWrap w:val="0"/>
            <w:vAlign w:val="center"/>
          </w:tcPr>
          <w:p w14:paraId="49E7A8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s="Times New Roman"/>
                <w:b w:val="0"/>
                <w:bCs w:val="0"/>
                <w:color w:val="auto"/>
                <w:spacing w:val="0"/>
                <w:kern w:val="0"/>
                <w:sz w:val="21"/>
                <w:szCs w:val="21"/>
                <w:highlight w:val="none"/>
                <w:lang w:val="en-US" w:eastAsia="zh-CN"/>
              </w:rPr>
            </w:pPr>
            <w:r>
              <w:rPr>
                <w:rFonts w:hint="eastAsia" w:cs="Times New Roman"/>
                <w:color w:val="auto"/>
                <w:szCs w:val="21"/>
                <w:highlight w:val="none"/>
                <w:lang w:val="en-US" w:eastAsia="zh-CN"/>
              </w:rPr>
              <w:t>废分子筛</w:t>
            </w:r>
          </w:p>
        </w:tc>
        <w:tc>
          <w:tcPr>
            <w:tcW w:w="321" w:type="pct"/>
            <w:vMerge w:val="continue"/>
            <w:tcBorders>
              <w:tl2br w:val="nil"/>
              <w:tr2bl w:val="nil"/>
            </w:tcBorders>
            <w:noWrap w:val="0"/>
            <w:vAlign w:val="center"/>
          </w:tcPr>
          <w:p w14:paraId="781FBB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p>
        </w:tc>
        <w:tc>
          <w:tcPr>
            <w:tcW w:w="3822" w:type="pct"/>
            <w:gridSpan w:val="9"/>
            <w:tcBorders>
              <w:tl2br w:val="nil"/>
              <w:tr2bl w:val="nil"/>
            </w:tcBorders>
            <w:noWrap w:val="0"/>
            <w:vAlign w:val="center"/>
          </w:tcPr>
          <w:p w14:paraId="6B92911F">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由生产厂家进行更换，更换后由其拉走处置</w:t>
            </w:r>
          </w:p>
        </w:tc>
      </w:tr>
      <w:tr w14:paraId="798602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20" w:hRule="atLeast"/>
          <w:jc w:val="center"/>
        </w:trPr>
        <w:tc>
          <w:tcPr>
            <w:tcW w:w="167" w:type="pct"/>
            <w:vMerge w:val="continue"/>
            <w:tcBorders>
              <w:tl2br w:val="nil"/>
              <w:tr2bl w:val="nil"/>
            </w:tcBorders>
            <w:noWrap w:val="0"/>
            <w:vAlign w:val="center"/>
          </w:tcPr>
          <w:p w14:paraId="18962F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p>
        </w:tc>
        <w:tc>
          <w:tcPr>
            <w:tcW w:w="688" w:type="pct"/>
            <w:gridSpan w:val="2"/>
            <w:tcBorders>
              <w:tl2br w:val="nil"/>
              <w:tr2bl w:val="nil"/>
            </w:tcBorders>
            <w:noWrap w:val="0"/>
            <w:vAlign w:val="center"/>
          </w:tcPr>
          <w:p w14:paraId="7C6ABA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r>
              <w:rPr>
                <w:rFonts w:hint="default" w:ascii="Times New Roman" w:hAnsi="Times New Roman" w:eastAsia="宋体" w:cs="Times New Roman"/>
                <w:b w:val="0"/>
                <w:bCs w:val="0"/>
                <w:color w:val="auto"/>
                <w:spacing w:val="0"/>
                <w:kern w:val="0"/>
                <w:sz w:val="21"/>
                <w:szCs w:val="21"/>
                <w:highlight w:val="none"/>
              </w:rPr>
              <w:t>清管废渣</w:t>
            </w:r>
          </w:p>
        </w:tc>
        <w:tc>
          <w:tcPr>
            <w:tcW w:w="321" w:type="pct"/>
            <w:vMerge w:val="restart"/>
            <w:tcBorders>
              <w:tl2br w:val="nil"/>
              <w:tr2bl w:val="nil"/>
            </w:tcBorders>
            <w:noWrap w:val="0"/>
            <w:vAlign w:val="center"/>
          </w:tcPr>
          <w:p w14:paraId="5E88742C">
            <w:pPr>
              <w:keepNext w:val="0"/>
              <w:keepLines w:val="0"/>
              <w:pageBreakBefore w:val="0"/>
              <w:widowControl w:val="0"/>
              <w:tabs>
                <w:tab w:val="left" w:pos="377"/>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r>
              <w:rPr>
                <w:rFonts w:hint="eastAsia" w:cs="Times New Roman"/>
                <w:b w:val="0"/>
                <w:bCs w:val="0"/>
                <w:color w:val="auto"/>
                <w:spacing w:val="0"/>
                <w:kern w:val="0"/>
                <w:sz w:val="21"/>
                <w:szCs w:val="21"/>
                <w:highlight w:val="none"/>
                <w:lang w:val="en-US" w:eastAsia="zh-CN"/>
              </w:rPr>
              <w:t>危险废物</w:t>
            </w:r>
          </w:p>
        </w:tc>
        <w:tc>
          <w:tcPr>
            <w:tcW w:w="3822" w:type="pct"/>
            <w:gridSpan w:val="9"/>
            <w:tcBorders>
              <w:tl2br w:val="nil"/>
              <w:tr2bl w:val="nil"/>
            </w:tcBorders>
            <w:noWrap w:val="0"/>
            <w:vAlign w:val="center"/>
          </w:tcPr>
          <w:p w14:paraId="008989EB">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pacing w:val="0"/>
                <w:kern w:val="0"/>
                <w:sz w:val="21"/>
                <w:szCs w:val="21"/>
                <w:highlight w:val="none"/>
                <w:lang w:eastAsia="zh-CN"/>
              </w:rPr>
            </w:pPr>
            <w:r>
              <w:rPr>
                <w:rFonts w:hint="default" w:ascii="Times New Roman" w:hAnsi="Times New Roman" w:eastAsia="宋体" w:cs="Times New Roman"/>
                <w:b w:val="0"/>
                <w:bCs w:val="0"/>
                <w:color w:val="auto"/>
                <w:spacing w:val="0"/>
                <w:kern w:val="0"/>
                <w:sz w:val="21"/>
                <w:szCs w:val="21"/>
                <w:highlight w:val="none"/>
              </w:rPr>
              <w:t>收集后委托</w:t>
            </w:r>
            <w:r>
              <w:rPr>
                <w:rFonts w:hint="default" w:ascii="Times New Roman" w:hAnsi="Times New Roman" w:eastAsia="宋体" w:cs="Times New Roman"/>
                <w:bCs/>
                <w:color w:val="auto"/>
                <w:kern w:val="2"/>
                <w:sz w:val="21"/>
                <w:szCs w:val="21"/>
                <w:highlight w:val="none"/>
                <w:lang w:val="en-US" w:eastAsia="zh-CN" w:bidi="ar-SA"/>
              </w:rPr>
              <w:t>有危废处置资质单位进行处置</w:t>
            </w:r>
          </w:p>
        </w:tc>
      </w:tr>
      <w:tr w14:paraId="7B77E5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66" w:hRule="atLeast"/>
          <w:jc w:val="center"/>
        </w:trPr>
        <w:tc>
          <w:tcPr>
            <w:tcW w:w="167" w:type="pct"/>
            <w:vMerge w:val="continue"/>
            <w:tcBorders>
              <w:tl2br w:val="nil"/>
              <w:tr2bl w:val="nil"/>
            </w:tcBorders>
            <w:noWrap w:val="0"/>
            <w:vAlign w:val="center"/>
          </w:tcPr>
          <w:p w14:paraId="13E37B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p>
        </w:tc>
        <w:tc>
          <w:tcPr>
            <w:tcW w:w="688" w:type="pct"/>
            <w:gridSpan w:val="2"/>
            <w:tcBorders>
              <w:tl2br w:val="nil"/>
              <w:tr2bl w:val="nil"/>
            </w:tcBorders>
            <w:noWrap w:val="0"/>
            <w:vAlign w:val="center"/>
          </w:tcPr>
          <w:p w14:paraId="25A046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r>
              <w:rPr>
                <w:rFonts w:hint="default" w:ascii="Times New Roman" w:hAnsi="Times New Roman" w:eastAsia="宋体" w:cs="Times New Roman"/>
                <w:bCs/>
                <w:color w:val="auto"/>
                <w:szCs w:val="21"/>
                <w:highlight w:val="none"/>
              </w:rPr>
              <w:t>油泥砂</w:t>
            </w:r>
          </w:p>
        </w:tc>
        <w:tc>
          <w:tcPr>
            <w:tcW w:w="321" w:type="pct"/>
            <w:vMerge w:val="continue"/>
            <w:tcBorders>
              <w:tl2br w:val="nil"/>
              <w:tr2bl w:val="nil"/>
            </w:tcBorders>
            <w:noWrap w:val="0"/>
            <w:vAlign w:val="center"/>
          </w:tcPr>
          <w:p w14:paraId="51318D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p>
        </w:tc>
        <w:tc>
          <w:tcPr>
            <w:tcW w:w="3822" w:type="pct"/>
            <w:gridSpan w:val="9"/>
            <w:tcBorders>
              <w:tl2br w:val="nil"/>
              <w:tr2bl w:val="nil"/>
            </w:tcBorders>
            <w:noWrap w:val="0"/>
            <w:vAlign w:val="center"/>
          </w:tcPr>
          <w:p w14:paraId="738958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 w:val="0"/>
                <w:bCs w:val="0"/>
                <w:color w:val="auto"/>
                <w:spacing w:val="0"/>
                <w:kern w:val="0"/>
                <w:sz w:val="21"/>
                <w:szCs w:val="21"/>
                <w:highlight w:val="none"/>
                <w:lang w:eastAsia="zh-CN"/>
              </w:rPr>
            </w:pPr>
            <w:r>
              <w:rPr>
                <w:rFonts w:hint="default" w:ascii="Times New Roman" w:hAnsi="Times New Roman" w:eastAsia="宋体" w:cs="Times New Roman"/>
                <w:b w:val="0"/>
                <w:bCs w:val="0"/>
                <w:color w:val="auto"/>
                <w:spacing w:val="0"/>
                <w:kern w:val="0"/>
                <w:sz w:val="21"/>
                <w:szCs w:val="21"/>
                <w:highlight w:val="none"/>
                <w:lang w:eastAsia="zh-CN"/>
              </w:rPr>
              <w:t>回收后的落地原油委托有危废处置资质单位进行处置</w:t>
            </w:r>
          </w:p>
        </w:tc>
      </w:tr>
      <w:tr w14:paraId="7F833C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66" w:hRule="atLeast"/>
          <w:jc w:val="center"/>
        </w:trPr>
        <w:tc>
          <w:tcPr>
            <w:tcW w:w="167" w:type="pct"/>
            <w:vMerge w:val="continue"/>
            <w:tcBorders>
              <w:tl2br w:val="nil"/>
              <w:tr2bl w:val="nil"/>
            </w:tcBorders>
            <w:noWrap w:val="0"/>
            <w:vAlign w:val="center"/>
          </w:tcPr>
          <w:p w14:paraId="1C8B06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p>
        </w:tc>
        <w:tc>
          <w:tcPr>
            <w:tcW w:w="688" w:type="pct"/>
            <w:gridSpan w:val="2"/>
            <w:tcBorders>
              <w:tl2br w:val="nil"/>
              <w:tr2bl w:val="nil"/>
            </w:tcBorders>
            <w:noWrap w:val="0"/>
            <w:vAlign w:val="center"/>
          </w:tcPr>
          <w:p w14:paraId="291859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r>
              <w:rPr>
                <w:rFonts w:hint="default" w:ascii="Times New Roman" w:hAnsi="Times New Roman" w:eastAsia="宋体" w:cs="Times New Roman"/>
                <w:b w:val="0"/>
                <w:bCs w:val="0"/>
                <w:color w:val="auto"/>
                <w:spacing w:val="0"/>
                <w:kern w:val="0"/>
                <w:sz w:val="21"/>
                <w:szCs w:val="21"/>
                <w:highlight w:val="none"/>
                <w:lang w:val="en-US" w:eastAsia="zh-CN"/>
              </w:rPr>
              <w:t>落地油</w:t>
            </w:r>
          </w:p>
        </w:tc>
        <w:tc>
          <w:tcPr>
            <w:tcW w:w="321" w:type="pct"/>
            <w:vMerge w:val="continue"/>
            <w:tcBorders>
              <w:tl2br w:val="nil"/>
              <w:tr2bl w:val="nil"/>
            </w:tcBorders>
            <w:noWrap w:val="0"/>
            <w:vAlign w:val="center"/>
          </w:tcPr>
          <w:p w14:paraId="54E7C1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p>
        </w:tc>
        <w:tc>
          <w:tcPr>
            <w:tcW w:w="3822" w:type="pct"/>
            <w:gridSpan w:val="9"/>
            <w:tcBorders>
              <w:tl2br w:val="nil"/>
              <w:tr2bl w:val="nil"/>
            </w:tcBorders>
            <w:noWrap w:val="0"/>
            <w:vAlign w:val="center"/>
          </w:tcPr>
          <w:p w14:paraId="779A07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 w:val="0"/>
                <w:bCs w:val="0"/>
                <w:color w:val="auto"/>
                <w:spacing w:val="0"/>
                <w:kern w:val="0"/>
                <w:sz w:val="21"/>
                <w:szCs w:val="21"/>
                <w:highlight w:val="none"/>
                <w:lang w:eastAsia="zh-CN"/>
              </w:rPr>
            </w:pPr>
            <w:r>
              <w:rPr>
                <w:rFonts w:hint="default" w:ascii="Times New Roman" w:hAnsi="Times New Roman" w:eastAsia="宋体" w:cs="Times New Roman"/>
                <w:b w:val="0"/>
                <w:bCs w:val="0"/>
                <w:color w:val="auto"/>
                <w:spacing w:val="0"/>
                <w:kern w:val="0"/>
                <w:sz w:val="21"/>
                <w:szCs w:val="21"/>
                <w:highlight w:val="none"/>
              </w:rPr>
              <w:t>收集后委托</w:t>
            </w:r>
            <w:r>
              <w:rPr>
                <w:rFonts w:hint="default" w:ascii="Times New Roman" w:hAnsi="Times New Roman" w:eastAsia="宋体" w:cs="Times New Roman"/>
                <w:bCs/>
                <w:color w:val="auto"/>
                <w:kern w:val="2"/>
                <w:sz w:val="21"/>
                <w:szCs w:val="21"/>
                <w:highlight w:val="none"/>
                <w:lang w:val="en-US" w:eastAsia="zh-CN" w:bidi="ar-SA"/>
              </w:rPr>
              <w:t>有危废处置资质单位进行处置</w:t>
            </w:r>
          </w:p>
        </w:tc>
      </w:tr>
      <w:tr w14:paraId="5057F5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66" w:hRule="atLeast"/>
          <w:jc w:val="center"/>
        </w:trPr>
        <w:tc>
          <w:tcPr>
            <w:tcW w:w="167" w:type="pct"/>
            <w:vMerge w:val="continue"/>
            <w:tcBorders>
              <w:tl2br w:val="nil"/>
              <w:tr2bl w:val="nil"/>
            </w:tcBorders>
            <w:noWrap w:val="0"/>
            <w:vAlign w:val="center"/>
          </w:tcPr>
          <w:p w14:paraId="7767F0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p>
        </w:tc>
        <w:tc>
          <w:tcPr>
            <w:tcW w:w="688" w:type="pct"/>
            <w:gridSpan w:val="2"/>
            <w:tcBorders>
              <w:tl2br w:val="nil"/>
              <w:tr2bl w:val="nil"/>
            </w:tcBorders>
            <w:noWrap w:val="0"/>
            <w:vAlign w:val="center"/>
          </w:tcPr>
          <w:p w14:paraId="7ACDC5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r>
              <w:rPr>
                <w:rFonts w:hint="default" w:ascii="Times New Roman" w:hAnsi="Times New Roman" w:eastAsia="宋体" w:cs="Times New Roman"/>
                <w:bCs/>
                <w:color w:val="auto"/>
                <w:szCs w:val="21"/>
                <w:highlight w:val="none"/>
              </w:rPr>
              <w:t>废防渗膜</w:t>
            </w:r>
          </w:p>
        </w:tc>
        <w:tc>
          <w:tcPr>
            <w:tcW w:w="321" w:type="pct"/>
            <w:vMerge w:val="continue"/>
            <w:tcBorders>
              <w:tl2br w:val="nil"/>
              <w:tr2bl w:val="nil"/>
            </w:tcBorders>
            <w:noWrap w:val="0"/>
            <w:vAlign w:val="center"/>
          </w:tcPr>
          <w:p w14:paraId="38BE02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p>
        </w:tc>
        <w:tc>
          <w:tcPr>
            <w:tcW w:w="3822" w:type="pct"/>
            <w:gridSpan w:val="9"/>
            <w:tcBorders>
              <w:tl2br w:val="nil"/>
              <w:tr2bl w:val="nil"/>
            </w:tcBorders>
            <w:noWrap w:val="0"/>
            <w:vAlign w:val="center"/>
          </w:tcPr>
          <w:p w14:paraId="0CE647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 w:val="0"/>
                <w:bCs w:val="0"/>
                <w:color w:val="auto"/>
                <w:spacing w:val="0"/>
                <w:kern w:val="0"/>
                <w:sz w:val="21"/>
                <w:szCs w:val="21"/>
                <w:highlight w:val="none"/>
                <w:lang w:eastAsia="zh-CN"/>
              </w:rPr>
            </w:pPr>
            <w:r>
              <w:rPr>
                <w:rFonts w:hint="default" w:ascii="Times New Roman" w:hAnsi="Times New Roman" w:eastAsia="宋体" w:cs="Times New Roman"/>
                <w:b w:val="0"/>
                <w:bCs w:val="0"/>
                <w:color w:val="auto"/>
                <w:spacing w:val="0"/>
                <w:kern w:val="0"/>
                <w:sz w:val="21"/>
                <w:szCs w:val="21"/>
                <w:highlight w:val="none"/>
              </w:rPr>
              <w:t>收集后委托</w:t>
            </w:r>
            <w:r>
              <w:rPr>
                <w:rFonts w:hint="default" w:ascii="Times New Roman" w:hAnsi="Times New Roman" w:eastAsia="宋体" w:cs="Times New Roman"/>
                <w:bCs/>
                <w:color w:val="auto"/>
                <w:kern w:val="2"/>
                <w:sz w:val="21"/>
                <w:szCs w:val="21"/>
                <w:highlight w:val="none"/>
                <w:lang w:val="en-US" w:eastAsia="zh-CN" w:bidi="ar-SA"/>
              </w:rPr>
              <w:t>有危废处置资质单位进行处置</w:t>
            </w:r>
          </w:p>
        </w:tc>
      </w:tr>
      <w:tr w14:paraId="730C58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66" w:hRule="atLeast"/>
          <w:jc w:val="center"/>
        </w:trPr>
        <w:tc>
          <w:tcPr>
            <w:tcW w:w="167" w:type="pct"/>
            <w:vMerge w:val="continue"/>
            <w:tcBorders>
              <w:tl2br w:val="nil"/>
              <w:tr2bl w:val="nil"/>
            </w:tcBorders>
            <w:noWrap w:val="0"/>
            <w:vAlign w:val="center"/>
          </w:tcPr>
          <w:p w14:paraId="44CA3E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p>
        </w:tc>
        <w:tc>
          <w:tcPr>
            <w:tcW w:w="688" w:type="pct"/>
            <w:gridSpan w:val="2"/>
            <w:tcBorders>
              <w:tl2br w:val="nil"/>
              <w:tr2bl w:val="nil"/>
            </w:tcBorders>
            <w:noWrap w:val="0"/>
            <w:vAlign w:val="center"/>
          </w:tcPr>
          <w:p w14:paraId="562459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r>
              <w:rPr>
                <w:rFonts w:hint="default" w:ascii="Times New Roman" w:hAnsi="Times New Roman" w:eastAsia="宋体" w:cs="Times New Roman"/>
                <w:bCs/>
                <w:color w:val="auto"/>
                <w:szCs w:val="21"/>
                <w:highlight w:val="none"/>
              </w:rPr>
              <w:t>废润滑油</w:t>
            </w:r>
          </w:p>
        </w:tc>
        <w:tc>
          <w:tcPr>
            <w:tcW w:w="321" w:type="pct"/>
            <w:vMerge w:val="continue"/>
            <w:tcBorders>
              <w:tl2br w:val="nil"/>
              <w:tr2bl w:val="nil"/>
            </w:tcBorders>
            <w:noWrap w:val="0"/>
            <w:vAlign w:val="center"/>
          </w:tcPr>
          <w:p w14:paraId="25DA97D5">
            <w:pPr>
              <w:keepNext w:val="0"/>
              <w:keepLines w:val="0"/>
              <w:pageBreakBefore w:val="0"/>
              <w:widowControl w:val="0"/>
              <w:tabs>
                <w:tab w:val="left" w:pos="377"/>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p>
        </w:tc>
        <w:tc>
          <w:tcPr>
            <w:tcW w:w="3822" w:type="pct"/>
            <w:gridSpan w:val="9"/>
            <w:tcBorders>
              <w:tl2br w:val="nil"/>
              <w:tr2bl w:val="nil"/>
            </w:tcBorders>
            <w:noWrap w:val="0"/>
            <w:vAlign w:val="center"/>
          </w:tcPr>
          <w:p w14:paraId="53D570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 w:val="0"/>
                <w:bCs w:val="0"/>
                <w:color w:val="auto"/>
                <w:spacing w:val="0"/>
                <w:kern w:val="0"/>
                <w:sz w:val="21"/>
                <w:szCs w:val="21"/>
                <w:highlight w:val="none"/>
                <w:lang w:eastAsia="zh-CN"/>
              </w:rPr>
            </w:pPr>
            <w:r>
              <w:rPr>
                <w:rFonts w:hint="default" w:ascii="Times New Roman" w:hAnsi="Times New Roman" w:eastAsia="宋体" w:cs="Times New Roman"/>
                <w:b w:val="0"/>
                <w:bCs w:val="0"/>
                <w:color w:val="auto"/>
                <w:spacing w:val="0"/>
                <w:kern w:val="0"/>
                <w:sz w:val="21"/>
                <w:szCs w:val="21"/>
                <w:highlight w:val="none"/>
              </w:rPr>
              <w:t>收集后委托</w:t>
            </w:r>
            <w:r>
              <w:rPr>
                <w:rFonts w:hint="default" w:ascii="Times New Roman" w:hAnsi="Times New Roman" w:eastAsia="宋体" w:cs="Times New Roman"/>
                <w:bCs/>
                <w:color w:val="auto"/>
                <w:kern w:val="2"/>
                <w:sz w:val="21"/>
                <w:szCs w:val="21"/>
                <w:highlight w:val="none"/>
                <w:lang w:val="en-US" w:eastAsia="zh-CN" w:bidi="ar-SA"/>
              </w:rPr>
              <w:t>有危废处置资质单位进行处置</w:t>
            </w:r>
          </w:p>
        </w:tc>
      </w:tr>
      <w:tr w14:paraId="0C1FF1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66" w:hRule="atLeast"/>
          <w:jc w:val="center"/>
        </w:trPr>
        <w:tc>
          <w:tcPr>
            <w:tcW w:w="167" w:type="pct"/>
            <w:vMerge w:val="continue"/>
            <w:tcBorders>
              <w:tl2br w:val="nil"/>
              <w:tr2bl w:val="nil"/>
            </w:tcBorders>
            <w:noWrap w:val="0"/>
            <w:vAlign w:val="center"/>
          </w:tcPr>
          <w:p w14:paraId="14205E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p>
        </w:tc>
        <w:tc>
          <w:tcPr>
            <w:tcW w:w="688" w:type="pct"/>
            <w:gridSpan w:val="2"/>
            <w:tcBorders>
              <w:tl2br w:val="nil"/>
              <w:tr2bl w:val="nil"/>
            </w:tcBorders>
            <w:noWrap w:val="0"/>
            <w:vAlign w:val="center"/>
          </w:tcPr>
          <w:p w14:paraId="06B8BD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废碱液</w:t>
            </w:r>
          </w:p>
        </w:tc>
        <w:tc>
          <w:tcPr>
            <w:tcW w:w="321" w:type="pct"/>
            <w:vMerge w:val="continue"/>
            <w:tcBorders>
              <w:tl2br w:val="nil"/>
              <w:tr2bl w:val="nil"/>
            </w:tcBorders>
            <w:noWrap w:val="0"/>
            <w:vAlign w:val="center"/>
          </w:tcPr>
          <w:p w14:paraId="58303C12">
            <w:pPr>
              <w:keepNext w:val="0"/>
              <w:keepLines w:val="0"/>
              <w:pageBreakBefore w:val="0"/>
              <w:widowControl w:val="0"/>
              <w:tabs>
                <w:tab w:val="left" w:pos="377"/>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p>
        </w:tc>
        <w:tc>
          <w:tcPr>
            <w:tcW w:w="3822" w:type="pct"/>
            <w:gridSpan w:val="9"/>
            <w:tcBorders>
              <w:tl2br w:val="nil"/>
              <w:tr2bl w:val="nil"/>
            </w:tcBorders>
            <w:noWrap w:val="0"/>
            <w:vAlign w:val="center"/>
          </w:tcPr>
          <w:p w14:paraId="7BA851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收集后委托</w:t>
            </w:r>
            <w:r>
              <w:rPr>
                <w:rFonts w:hint="default" w:ascii="Times New Roman" w:hAnsi="Times New Roman" w:eastAsia="宋体" w:cs="Times New Roman"/>
                <w:bCs/>
                <w:color w:val="auto"/>
                <w:kern w:val="2"/>
                <w:sz w:val="21"/>
                <w:szCs w:val="21"/>
                <w:highlight w:val="none"/>
                <w:lang w:val="en-US" w:eastAsia="zh-CN" w:bidi="ar-SA"/>
              </w:rPr>
              <w:t>有危废处置资质单位进行处置</w:t>
            </w:r>
          </w:p>
        </w:tc>
      </w:tr>
      <w:tr w14:paraId="6EBAA3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66" w:hRule="atLeast"/>
          <w:jc w:val="center"/>
        </w:trPr>
        <w:tc>
          <w:tcPr>
            <w:tcW w:w="167" w:type="pct"/>
            <w:vMerge w:val="continue"/>
            <w:tcBorders>
              <w:tl2br w:val="nil"/>
              <w:tr2bl w:val="nil"/>
            </w:tcBorders>
            <w:noWrap w:val="0"/>
            <w:vAlign w:val="center"/>
          </w:tcPr>
          <w:p w14:paraId="65F243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p>
        </w:tc>
        <w:tc>
          <w:tcPr>
            <w:tcW w:w="688" w:type="pct"/>
            <w:gridSpan w:val="2"/>
            <w:tcBorders>
              <w:tl2br w:val="nil"/>
              <w:tr2bl w:val="nil"/>
            </w:tcBorders>
            <w:noWrap w:val="0"/>
            <w:vAlign w:val="center"/>
          </w:tcPr>
          <w:p w14:paraId="531F98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 w:val="0"/>
                <w:bCs w:val="0"/>
                <w:color w:val="auto"/>
                <w:spacing w:val="0"/>
                <w:kern w:val="0"/>
                <w:sz w:val="21"/>
                <w:szCs w:val="21"/>
                <w:highlight w:val="none"/>
                <w:lang w:eastAsia="zh-CN"/>
              </w:rPr>
              <w:t>井下作业固废</w:t>
            </w:r>
          </w:p>
        </w:tc>
        <w:tc>
          <w:tcPr>
            <w:tcW w:w="321" w:type="pct"/>
            <w:tcBorders>
              <w:tl2br w:val="nil"/>
              <w:tr2bl w:val="nil"/>
            </w:tcBorders>
            <w:noWrap w:val="0"/>
            <w:vAlign w:val="center"/>
          </w:tcPr>
          <w:p w14:paraId="61220E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r>
              <w:rPr>
                <w:rFonts w:hint="default" w:ascii="Times New Roman" w:hAnsi="Times New Roman" w:eastAsia="宋体" w:cs="Times New Roman"/>
                <w:b w:val="0"/>
                <w:bCs w:val="0"/>
                <w:color w:val="auto"/>
                <w:spacing w:val="0"/>
                <w:kern w:val="0"/>
                <w:sz w:val="21"/>
                <w:szCs w:val="21"/>
                <w:highlight w:val="none"/>
                <w:lang w:val="en-US" w:eastAsia="zh-CN"/>
              </w:rPr>
              <w:t>/</w:t>
            </w:r>
          </w:p>
        </w:tc>
        <w:tc>
          <w:tcPr>
            <w:tcW w:w="3822" w:type="pct"/>
            <w:gridSpan w:val="9"/>
            <w:tcBorders>
              <w:tl2br w:val="nil"/>
              <w:tr2bl w:val="nil"/>
            </w:tcBorders>
            <w:noWrap w:val="0"/>
            <w:vAlign w:val="center"/>
          </w:tcPr>
          <w:p w14:paraId="1D974F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 w:val="0"/>
                <w:bCs w:val="0"/>
                <w:color w:val="auto"/>
                <w:spacing w:val="0"/>
                <w:kern w:val="0"/>
                <w:sz w:val="21"/>
                <w:szCs w:val="21"/>
                <w:highlight w:val="none"/>
                <w:lang w:eastAsia="zh-CN"/>
              </w:rPr>
            </w:pPr>
            <w:r>
              <w:rPr>
                <w:rFonts w:hint="default" w:ascii="Times New Roman" w:hAnsi="Times New Roman" w:eastAsia="宋体" w:cs="Times New Roman"/>
                <w:b w:val="0"/>
                <w:bCs w:val="0"/>
                <w:color w:val="auto"/>
                <w:spacing w:val="0"/>
                <w:kern w:val="0"/>
                <w:sz w:val="21"/>
                <w:szCs w:val="21"/>
                <w:highlight w:val="none"/>
                <w:lang w:eastAsia="zh-CN"/>
              </w:rPr>
              <w:t>井下作业固废采用专用回收罐进行回收，拉运至英买力油田钻试修废弃物环保处理站进行处理。</w:t>
            </w:r>
          </w:p>
        </w:tc>
      </w:tr>
      <w:tr w14:paraId="4F526E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66" w:hRule="atLeast"/>
          <w:jc w:val="center"/>
        </w:trPr>
        <w:tc>
          <w:tcPr>
            <w:tcW w:w="167" w:type="pct"/>
            <w:vMerge w:val="continue"/>
            <w:tcBorders>
              <w:tl2br w:val="nil"/>
              <w:tr2bl w:val="nil"/>
            </w:tcBorders>
            <w:noWrap w:val="0"/>
            <w:vAlign w:val="center"/>
          </w:tcPr>
          <w:p w14:paraId="65F6B9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rPr>
            </w:pPr>
          </w:p>
        </w:tc>
        <w:tc>
          <w:tcPr>
            <w:tcW w:w="688" w:type="pct"/>
            <w:gridSpan w:val="2"/>
            <w:tcBorders>
              <w:tl2br w:val="nil"/>
              <w:tr2bl w:val="nil"/>
            </w:tcBorders>
            <w:noWrap w:val="0"/>
            <w:vAlign w:val="center"/>
          </w:tcPr>
          <w:p w14:paraId="656D6B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r>
              <w:rPr>
                <w:rFonts w:hint="default" w:ascii="Times New Roman" w:hAnsi="Times New Roman" w:eastAsia="宋体" w:cs="Times New Roman"/>
                <w:b w:val="0"/>
                <w:bCs w:val="0"/>
                <w:color w:val="auto"/>
                <w:spacing w:val="0"/>
                <w:kern w:val="0"/>
                <w:sz w:val="21"/>
                <w:szCs w:val="21"/>
                <w:highlight w:val="none"/>
                <w:lang w:val="en-US" w:eastAsia="zh-CN"/>
              </w:rPr>
              <w:t>生活垃圾</w:t>
            </w:r>
          </w:p>
        </w:tc>
        <w:tc>
          <w:tcPr>
            <w:tcW w:w="321" w:type="pct"/>
            <w:tcBorders>
              <w:tl2br w:val="nil"/>
              <w:tr2bl w:val="nil"/>
            </w:tcBorders>
            <w:noWrap w:val="0"/>
            <w:vAlign w:val="center"/>
          </w:tcPr>
          <w:p w14:paraId="4EF1F8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r>
              <w:rPr>
                <w:rFonts w:hint="default" w:ascii="Times New Roman" w:hAnsi="Times New Roman" w:eastAsia="宋体" w:cs="Times New Roman"/>
                <w:b w:val="0"/>
                <w:bCs w:val="0"/>
                <w:color w:val="auto"/>
                <w:spacing w:val="0"/>
                <w:kern w:val="0"/>
                <w:sz w:val="21"/>
                <w:szCs w:val="21"/>
                <w:highlight w:val="none"/>
                <w:lang w:val="en-US" w:eastAsia="zh-CN"/>
              </w:rPr>
              <w:t>/</w:t>
            </w:r>
          </w:p>
        </w:tc>
        <w:tc>
          <w:tcPr>
            <w:tcW w:w="3822" w:type="pct"/>
            <w:gridSpan w:val="9"/>
            <w:tcBorders>
              <w:tl2br w:val="nil"/>
              <w:tr2bl w:val="nil"/>
            </w:tcBorders>
            <w:noWrap w:val="0"/>
            <w:vAlign w:val="center"/>
          </w:tcPr>
          <w:p w14:paraId="0941C6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 w:val="0"/>
                <w:bCs w:val="0"/>
                <w:color w:val="auto"/>
                <w:spacing w:val="0"/>
                <w:kern w:val="0"/>
                <w:sz w:val="21"/>
                <w:szCs w:val="21"/>
                <w:highlight w:val="none"/>
                <w:lang w:eastAsia="zh-CN"/>
              </w:rPr>
            </w:pPr>
            <w:r>
              <w:rPr>
                <w:rFonts w:hint="default" w:ascii="Times New Roman" w:hAnsi="Times New Roman" w:eastAsia="宋体" w:cs="Times New Roman"/>
                <w:b w:val="0"/>
                <w:bCs w:val="0"/>
                <w:color w:val="auto"/>
                <w:spacing w:val="0"/>
                <w:kern w:val="0"/>
                <w:sz w:val="21"/>
                <w:szCs w:val="21"/>
                <w:highlight w:val="none"/>
                <w:lang w:eastAsia="zh-CN"/>
              </w:rPr>
              <w:t>委托温宿县垃圾填埋场处理</w:t>
            </w:r>
          </w:p>
        </w:tc>
      </w:tr>
      <w:tr w14:paraId="143537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86" w:hRule="atLeast"/>
          <w:jc w:val="center"/>
        </w:trPr>
        <w:tc>
          <w:tcPr>
            <w:tcW w:w="855" w:type="pct"/>
            <w:gridSpan w:val="3"/>
            <w:tcBorders>
              <w:tl2br w:val="nil"/>
              <w:tr2bl w:val="nil"/>
            </w:tcBorders>
            <w:noWrap w:val="0"/>
            <w:vAlign w:val="center"/>
          </w:tcPr>
          <w:p w14:paraId="2EC4DE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r>
              <w:rPr>
                <w:rFonts w:hint="default" w:ascii="Times New Roman" w:hAnsi="Times New Roman" w:eastAsia="宋体" w:cs="Times New Roman"/>
                <w:b w:val="0"/>
                <w:bCs w:val="0"/>
                <w:color w:val="auto"/>
                <w:spacing w:val="0"/>
                <w:kern w:val="0"/>
                <w:sz w:val="21"/>
                <w:szCs w:val="21"/>
                <w:highlight w:val="none"/>
                <w:lang w:val="en-US" w:eastAsia="zh-CN"/>
              </w:rPr>
              <w:t>环境风险防范措施</w:t>
            </w:r>
          </w:p>
        </w:tc>
        <w:tc>
          <w:tcPr>
            <w:tcW w:w="4144" w:type="pct"/>
            <w:gridSpan w:val="10"/>
            <w:tcBorders>
              <w:tl2br w:val="nil"/>
              <w:tr2bl w:val="nil"/>
            </w:tcBorders>
            <w:noWrap w:val="0"/>
            <w:vAlign w:val="center"/>
          </w:tcPr>
          <w:p w14:paraId="291FE1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 w:val="0"/>
                <w:bCs w:val="0"/>
                <w:color w:val="auto"/>
                <w:spacing w:val="0"/>
                <w:kern w:val="0"/>
                <w:sz w:val="21"/>
                <w:szCs w:val="21"/>
                <w:highlight w:val="none"/>
                <w:lang w:val="en-US" w:eastAsia="zh-CN"/>
              </w:rPr>
            </w:pPr>
            <w:r>
              <w:rPr>
                <w:rFonts w:hint="default" w:ascii="Times New Roman" w:hAnsi="Times New Roman" w:eastAsia="宋体" w:cs="Times New Roman"/>
                <w:b w:val="0"/>
                <w:bCs w:val="0"/>
                <w:color w:val="auto"/>
                <w:spacing w:val="0"/>
                <w:kern w:val="0"/>
                <w:sz w:val="21"/>
                <w:szCs w:val="21"/>
                <w:highlight w:val="none"/>
                <w:lang w:val="en-US" w:eastAsia="zh-CN"/>
              </w:rPr>
              <w:t>严格按照风险预案中相关规定执行</w:t>
            </w:r>
          </w:p>
        </w:tc>
      </w:tr>
    </w:tbl>
    <w:p w14:paraId="20CBBC00">
      <w:pPr>
        <w:ind w:left="0" w:leftChars="0" w:firstLine="480" w:firstLineChars="200"/>
        <w:rPr>
          <w:rFonts w:hint="eastAsia" w:eastAsia="宋体" w:cs="Times New Roman"/>
          <w:b w:val="0"/>
          <w:color w:val="auto"/>
          <w:kern w:val="0"/>
          <w:sz w:val="24"/>
          <w:szCs w:val="24"/>
          <w:highlight w:val="none"/>
          <w:lang w:val="en-US" w:eastAsia="zh-CN" w:bidi="ar-SA"/>
        </w:rPr>
        <w:sectPr>
          <w:pgSz w:w="16838" w:h="11906" w:orient="landscape"/>
          <w:pgMar w:top="1814" w:right="1474" w:bottom="1474" w:left="1474" w:header="850" w:footer="992" w:gutter="0"/>
          <w:pgBorders>
            <w:top w:val="none" w:sz="0" w:space="0"/>
            <w:left w:val="none" w:sz="0" w:space="0"/>
            <w:bottom w:val="none" w:sz="0" w:space="0"/>
            <w:right w:val="none" w:sz="0" w:space="0"/>
          </w:pgBorders>
          <w:pgNumType w:fmt="decimal"/>
          <w:cols w:space="0" w:num="1"/>
          <w:rtlGutter w:val="0"/>
          <w:docGrid w:type="linesAndChars" w:linePitch="316" w:charSpace="0"/>
        </w:sectPr>
      </w:pPr>
    </w:p>
    <w:p w14:paraId="11D6CFB0">
      <w:pPr>
        <w:pStyle w:val="75"/>
        <w:bidi w:val="0"/>
        <w:rPr>
          <w:rFonts w:hint="eastAsia"/>
          <w:color w:val="auto"/>
          <w:lang w:val="en-US" w:eastAsia="zh-CN"/>
        </w:rPr>
      </w:pPr>
      <w:bookmarkStart w:id="886" w:name="_Toc23279"/>
      <w:r>
        <w:rPr>
          <w:rFonts w:hint="eastAsia"/>
          <w:color w:val="auto"/>
          <w:lang w:val="en-US" w:eastAsia="zh-CN"/>
        </w:rPr>
        <w:fldChar w:fldCharType="begin"/>
      </w:r>
      <w:r>
        <w:rPr>
          <w:rFonts w:hint="eastAsia"/>
          <w:color w:val="auto"/>
          <w:lang w:val="en-US" w:eastAsia="zh-CN"/>
        </w:rPr>
        <w:instrText xml:space="preserve"> HYPERLINK \l _Toc32167 </w:instrText>
      </w:r>
      <w:r>
        <w:rPr>
          <w:rFonts w:hint="eastAsia"/>
          <w:color w:val="auto"/>
          <w:lang w:val="en-US" w:eastAsia="zh-CN"/>
        </w:rPr>
        <w:fldChar w:fldCharType="separate"/>
      </w:r>
      <w:r>
        <w:rPr>
          <w:rFonts w:hint="eastAsia"/>
          <w:color w:val="auto"/>
          <w:lang w:val="en-US" w:eastAsia="zh-CN"/>
        </w:rPr>
        <w:t>9.4 生态环境监测</w:t>
      </w:r>
      <w:r>
        <w:rPr>
          <w:rFonts w:hint="eastAsia"/>
          <w:color w:val="auto"/>
          <w:lang w:val="en-US" w:eastAsia="zh-CN"/>
        </w:rPr>
        <w:fldChar w:fldCharType="end"/>
      </w:r>
      <w:bookmarkEnd w:id="886"/>
    </w:p>
    <w:p w14:paraId="02016EDE">
      <w:pPr>
        <w:pStyle w:val="54"/>
        <w:bidi w:val="0"/>
        <w:rPr>
          <w:rFonts w:hint="eastAsia"/>
          <w:color w:val="auto"/>
          <w:lang w:val="en-US" w:eastAsia="zh-CN"/>
        </w:rPr>
      </w:pPr>
      <w:r>
        <w:rPr>
          <w:rFonts w:hint="eastAsia"/>
          <w:color w:val="auto"/>
          <w:lang w:val="en-US" w:eastAsia="zh-CN"/>
        </w:rPr>
        <w:fldChar w:fldCharType="begin"/>
      </w:r>
      <w:r>
        <w:rPr>
          <w:rFonts w:hint="eastAsia"/>
          <w:color w:val="auto"/>
          <w:lang w:val="en-US" w:eastAsia="zh-CN"/>
        </w:rPr>
        <w:instrText xml:space="preserve"> HYPERLINK \l _Toc21410 </w:instrText>
      </w:r>
      <w:r>
        <w:rPr>
          <w:rFonts w:hint="eastAsia"/>
          <w:color w:val="auto"/>
          <w:lang w:val="en-US" w:eastAsia="zh-CN"/>
        </w:rPr>
        <w:fldChar w:fldCharType="separate"/>
      </w:r>
      <w:r>
        <w:rPr>
          <w:rFonts w:hint="eastAsia"/>
          <w:color w:val="auto"/>
          <w:lang w:val="en-US" w:eastAsia="zh-CN"/>
        </w:rPr>
        <w:t>9.4.1 监测目的</w:t>
      </w:r>
      <w:r>
        <w:rPr>
          <w:rFonts w:hint="eastAsia"/>
          <w:color w:val="auto"/>
          <w:lang w:val="en-US" w:eastAsia="zh-CN"/>
        </w:rPr>
        <w:fldChar w:fldCharType="end"/>
      </w:r>
    </w:p>
    <w:p w14:paraId="28D041B9">
      <w:pPr>
        <w:pStyle w:val="79"/>
        <w:bidi w:val="0"/>
        <w:rPr>
          <w:rFonts w:hint="default"/>
          <w:color w:val="auto"/>
        </w:rPr>
      </w:pPr>
      <w:r>
        <w:rPr>
          <w:rFonts w:hint="default"/>
          <w:color w:val="auto"/>
        </w:rPr>
        <w:t>环境监测是企业环境管理体系的重要组成部分，也是环境管理规范化的主要手段，通过对企业主要污染物进行分析、资料整理、编制报表、建立技术文件档案，可以为上级生态环境主管部门和地方生态环境主管部门进行环境规划、管理和执法提供依据。环境监测是环境保护的基础，是进行污染源治理及环保设施管理的依据，因而企业应定期对环保设施及废水、噪声等污染源情况进行监测、对固体废物处置按照法规文件规范进行记录。</w:t>
      </w:r>
    </w:p>
    <w:p w14:paraId="0513FDA3">
      <w:pPr>
        <w:pStyle w:val="79"/>
        <w:bidi w:val="0"/>
        <w:rPr>
          <w:rFonts w:hint="default"/>
          <w:color w:val="auto"/>
        </w:rPr>
      </w:pPr>
      <w:r>
        <w:rPr>
          <w:rFonts w:hint="default"/>
          <w:color w:val="auto"/>
        </w:rPr>
        <w:t>通过对拟建工程运行中环保设施进行监控，掌握废气、废水、噪声等污染源排放是否符合国家或地方排放标准的要求，做到达标排放，同时对废气、噪声防治设施进行监督检查，保证正常运行。</w:t>
      </w:r>
    </w:p>
    <w:p w14:paraId="5965AA91">
      <w:pPr>
        <w:pStyle w:val="54"/>
        <w:bidi w:val="0"/>
        <w:rPr>
          <w:rFonts w:hint="eastAsia"/>
          <w:color w:val="auto"/>
          <w:lang w:val="en-US" w:eastAsia="zh-CN"/>
        </w:rPr>
      </w:pPr>
      <w:r>
        <w:rPr>
          <w:rFonts w:hint="eastAsia"/>
          <w:color w:val="auto"/>
          <w:lang w:val="en-US" w:eastAsia="zh-CN"/>
        </w:rPr>
        <w:fldChar w:fldCharType="begin"/>
      </w:r>
      <w:r>
        <w:rPr>
          <w:rFonts w:hint="eastAsia"/>
          <w:color w:val="auto"/>
          <w:lang w:val="en-US" w:eastAsia="zh-CN"/>
        </w:rPr>
        <w:instrText xml:space="preserve"> HYPERLINK \l _Toc25052 </w:instrText>
      </w:r>
      <w:r>
        <w:rPr>
          <w:rFonts w:hint="eastAsia"/>
          <w:color w:val="auto"/>
          <w:lang w:val="en-US" w:eastAsia="zh-CN"/>
        </w:rPr>
        <w:fldChar w:fldCharType="separate"/>
      </w:r>
      <w:r>
        <w:rPr>
          <w:rFonts w:hint="eastAsia"/>
          <w:color w:val="auto"/>
          <w:lang w:val="en-US" w:eastAsia="zh-CN"/>
        </w:rPr>
        <w:t>9.4.2 环境监测机构及设备配置</w:t>
      </w:r>
      <w:r>
        <w:rPr>
          <w:rFonts w:hint="eastAsia"/>
          <w:color w:val="auto"/>
          <w:lang w:val="en-US" w:eastAsia="zh-CN"/>
        </w:rPr>
        <w:fldChar w:fldCharType="end"/>
      </w:r>
    </w:p>
    <w:p w14:paraId="4F2CD980">
      <w:pPr>
        <w:pStyle w:val="79"/>
        <w:bidi w:val="0"/>
        <w:rPr>
          <w:rFonts w:hint="default"/>
          <w:color w:val="auto"/>
        </w:rPr>
      </w:pPr>
      <w:r>
        <w:rPr>
          <w:rFonts w:hint="eastAsia"/>
          <w:color w:val="auto"/>
        </w:rPr>
        <w:t>环境监测是环境保护的基础，是进行污染治理和监督管理的依据。拟建工程的环境监测工作由塔里木油田分公司的质量检测中心承担，亦可以委托当地有资质的环境监测机构。</w:t>
      </w:r>
    </w:p>
    <w:p w14:paraId="4985EF86">
      <w:pPr>
        <w:pStyle w:val="54"/>
        <w:bidi w:val="0"/>
        <w:rPr>
          <w:rFonts w:hint="eastAsia"/>
          <w:color w:val="auto"/>
          <w:lang w:val="en-US" w:eastAsia="zh-CN"/>
        </w:rPr>
      </w:pPr>
      <w:r>
        <w:rPr>
          <w:rFonts w:hint="eastAsia"/>
          <w:color w:val="auto"/>
          <w:lang w:val="en-US" w:eastAsia="zh-CN"/>
        </w:rPr>
        <w:fldChar w:fldCharType="begin"/>
      </w:r>
      <w:r>
        <w:rPr>
          <w:rFonts w:hint="eastAsia"/>
          <w:color w:val="auto"/>
          <w:lang w:val="en-US" w:eastAsia="zh-CN"/>
        </w:rPr>
        <w:instrText xml:space="preserve"> HYPERLINK \l _Toc25314 </w:instrText>
      </w:r>
      <w:r>
        <w:rPr>
          <w:rFonts w:hint="eastAsia"/>
          <w:color w:val="auto"/>
          <w:lang w:val="en-US" w:eastAsia="zh-CN"/>
        </w:rPr>
        <w:fldChar w:fldCharType="separate"/>
      </w:r>
      <w:r>
        <w:rPr>
          <w:rFonts w:hint="eastAsia"/>
          <w:color w:val="auto"/>
          <w:lang w:val="en-US" w:eastAsia="zh-CN"/>
        </w:rPr>
        <w:t>9.4.3 监测计划</w:t>
      </w:r>
      <w:r>
        <w:rPr>
          <w:rFonts w:hint="eastAsia"/>
          <w:color w:val="auto"/>
          <w:lang w:val="en-US" w:eastAsia="zh-CN"/>
        </w:rPr>
        <w:fldChar w:fldCharType="end"/>
      </w:r>
    </w:p>
    <w:p w14:paraId="315D9679">
      <w:pPr>
        <w:pStyle w:val="79"/>
        <w:bidi w:val="0"/>
        <w:rPr>
          <w:color w:val="auto"/>
        </w:rPr>
      </w:pPr>
      <w:bookmarkStart w:id="887" w:name="OLE_LINK388"/>
      <w:r>
        <w:rPr>
          <w:color w:val="auto"/>
        </w:rPr>
        <w:t>根据本</w:t>
      </w:r>
      <w:r>
        <w:rPr>
          <w:rFonts w:hint="eastAsia"/>
          <w:color w:val="auto"/>
          <w:lang w:val="en-US" w:eastAsia="zh-CN"/>
        </w:rPr>
        <w:t>项目</w:t>
      </w:r>
      <w:r>
        <w:rPr>
          <w:color w:val="auto"/>
        </w:rPr>
        <w:t>生产特征和污染物的排放特征，依据《排污单位自行监测技术指南 总则》</w:t>
      </w:r>
      <w:r>
        <w:rPr>
          <w:rFonts w:hint="eastAsia"/>
          <w:color w:val="auto"/>
        </w:rPr>
        <w:t>（</w:t>
      </w:r>
      <w:r>
        <w:rPr>
          <w:color w:val="auto"/>
        </w:rPr>
        <w:t>HJ819-2017</w:t>
      </w:r>
      <w:r>
        <w:rPr>
          <w:rFonts w:hint="eastAsia"/>
          <w:color w:val="auto"/>
        </w:rPr>
        <w:t>）</w:t>
      </w:r>
      <w:r>
        <w:rPr>
          <w:rFonts w:hint="eastAsia"/>
          <w:color w:val="auto"/>
          <w:lang w:eastAsia="zh-CN"/>
        </w:rPr>
        <w:t>、《排污单位自行监测技术指南 陆上石油天然气开采工业》（HJ1248-2022）</w:t>
      </w:r>
      <w:r>
        <w:rPr>
          <w:color w:val="auto"/>
        </w:rPr>
        <w:t>等标准规范及地方生态环境主管部门的要求，制定本</w:t>
      </w:r>
      <w:r>
        <w:rPr>
          <w:rFonts w:hint="eastAsia"/>
          <w:color w:val="auto"/>
          <w:lang w:val="en-US" w:eastAsia="zh-CN"/>
        </w:rPr>
        <w:t>项目</w:t>
      </w:r>
      <w:r>
        <w:rPr>
          <w:color w:val="auto"/>
        </w:rPr>
        <w:t>的监测计划。</w:t>
      </w:r>
      <w:r>
        <w:rPr>
          <w:color w:val="auto"/>
          <w:lang w:val="zh-CN"/>
        </w:rPr>
        <w:t>环境监测计划</w:t>
      </w:r>
      <w:r>
        <w:rPr>
          <w:rFonts w:hint="eastAsia"/>
          <w:color w:val="auto"/>
          <w:lang w:val="zh-CN"/>
        </w:rPr>
        <w:t>，</w:t>
      </w:r>
      <w:r>
        <w:rPr>
          <w:color w:val="auto"/>
          <w:lang w:val="zh-CN"/>
        </w:rPr>
        <w:t>见表</w:t>
      </w:r>
      <w:r>
        <w:rPr>
          <w:rFonts w:hint="eastAsia"/>
          <w:color w:val="auto"/>
          <w:lang w:val="en-US" w:eastAsia="zh-CN"/>
        </w:rPr>
        <w:t>9.4-1</w:t>
      </w:r>
      <w:r>
        <w:rPr>
          <w:color w:val="auto"/>
          <w:lang w:val="zh-CN"/>
        </w:rPr>
        <w:t>。</w:t>
      </w:r>
    </w:p>
    <w:p w14:paraId="1137AD67">
      <w:pPr>
        <w:pStyle w:val="61"/>
        <w:bidi w:val="0"/>
        <w:jc w:val="both"/>
        <w:rPr>
          <w:rFonts w:hint="eastAsia"/>
          <w:color w:val="auto"/>
          <w:lang w:val="zh-CN" w:eastAsia="zh-CN"/>
        </w:rPr>
      </w:pPr>
      <w:r>
        <w:rPr>
          <w:rFonts w:hint="eastAsia"/>
          <w:color w:val="auto"/>
          <w:lang w:val="en-US" w:eastAsia="zh-CN"/>
        </w:rPr>
        <w:t xml:space="preserve">表9.4-1  </w:t>
      </w:r>
      <w:r>
        <w:rPr>
          <w:rFonts w:hint="eastAsia"/>
          <w:color w:val="auto"/>
          <w:lang w:val="zh-CN" w:eastAsia="zh-CN"/>
        </w:rPr>
        <w:t>运营期环境监测计划</w:t>
      </w:r>
    </w:p>
    <w:tbl>
      <w:tblPr>
        <w:tblStyle w:val="36"/>
        <w:tblW w:w="491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71"/>
        <w:gridCol w:w="1103"/>
        <w:gridCol w:w="3412"/>
        <w:gridCol w:w="1951"/>
        <w:gridCol w:w="1447"/>
      </w:tblGrid>
      <w:tr w14:paraId="47AD10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444" w:type="pct"/>
            <w:tcBorders>
              <w:tl2br w:val="nil"/>
              <w:tr2bl w:val="nil"/>
            </w:tcBorders>
            <w:noWrap w:val="0"/>
            <w:vAlign w:val="center"/>
          </w:tcPr>
          <w:p w14:paraId="6D3852EA">
            <w:pPr>
              <w:pStyle w:val="82"/>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bookmarkStart w:id="888" w:name="_Hlk122039732"/>
            <w:r>
              <w:rPr>
                <w:rFonts w:hint="default" w:ascii="Times New Roman" w:hAnsi="Times New Roman" w:eastAsia="宋体" w:cs="Times New Roman"/>
                <w:color w:val="auto"/>
                <w:sz w:val="21"/>
                <w:szCs w:val="21"/>
                <w:highlight w:val="none"/>
              </w:rPr>
              <w:t>编号</w:t>
            </w:r>
          </w:p>
        </w:tc>
        <w:tc>
          <w:tcPr>
            <w:tcW w:w="635" w:type="pct"/>
            <w:tcBorders>
              <w:tl2br w:val="nil"/>
              <w:tr2bl w:val="nil"/>
            </w:tcBorders>
            <w:noWrap w:val="0"/>
            <w:vAlign w:val="center"/>
          </w:tcPr>
          <w:p w14:paraId="063DC6F0">
            <w:pPr>
              <w:pStyle w:val="82"/>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环境要素</w:t>
            </w:r>
          </w:p>
        </w:tc>
        <w:tc>
          <w:tcPr>
            <w:tcW w:w="1964" w:type="pct"/>
            <w:tcBorders>
              <w:tl2br w:val="nil"/>
              <w:tr2bl w:val="nil"/>
            </w:tcBorders>
            <w:noWrap w:val="0"/>
            <w:vAlign w:val="center"/>
          </w:tcPr>
          <w:p w14:paraId="0D7526D5">
            <w:pPr>
              <w:pStyle w:val="82"/>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地点</w:t>
            </w:r>
          </w:p>
        </w:tc>
        <w:tc>
          <w:tcPr>
            <w:tcW w:w="1123" w:type="pct"/>
            <w:tcBorders>
              <w:tl2br w:val="nil"/>
              <w:tr2bl w:val="nil"/>
            </w:tcBorders>
            <w:noWrap w:val="0"/>
            <w:vAlign w:val="center"/>
          </w:tcPr>
          <w:p w14:paraId="2214E191">
            <w:pPr>
              <w:pStyle w:val="82"/>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监测项目</w:t>
            </w:r>
          </w:p>
        </w:tc>
        <w:tc>
          <w:tcPr>
            <w:tcW w:w="832" w:type="pct"/>
            <w:tcBorders>
              <w:tl2br w:val="nil"/>
              <w:tr2bl w:val="nil"/>
            </w:tcBorders>
            <w:noWrap w:val="0"/>
            <w:vAlign w:val="center"/>
          </w:tcPr>
          <w:p w14:paraId="25CBEED5">
            <w:pPr>
              <w:pStyle w:val="82"/>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监测频次</w:t>
            </w:r>
          </w:p>
        </w:tc>
      </w:tr>
      <w:tr w14:paraId="498D9E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0" w:hRule="atLeast"/>
          <w:jc w:val="center"/>
        </w:trPr>
        <w:tc>
          <w:tcPr>
            <w:tcW w:w="444" w:type="pct"/>
            <w:vMerge w:val="restart"/>
            <w:tcBorders>
              <w:tl2br w:val="nil"/>
              <w:tr2bl w:val="nil"/>
            </w:tcBorders>
            <w:noWrap w:val="0"/>
            <w:vAlign w:val="center"/>
          </w:tcPr>
          <w:p w14:paraId="6ABA84A6">
            <w:pPr>
              <w:pStyle w:val="82"/>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635" w:type="pct"/>
            <w:vMerge w:val="restart"/>
            <w:tcBorders>
              <w:tl2br w:val="nil"/>
              <w:tr2bl w:val="nil"/>
            </w:tcBorders>
            <w:noWrap w:val="0"/>
            <w:vAlign w:val="center"/>
          </w:tcPr>
          <w:p w14:paraId="3F5E745D">
            <w:pPr>
              <w:pStyle w:val="82"/>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1964" w:type="pct"/>
            <w:tcBorders>
              <w:tl2br w:val="nil"/>
              <w:tr2bl w:val="nil"/>
            </w:tcBorders>
            <w:noWrap w:val="0"/>
            <w:vAlign w:val="center"/>
          </w:tcPr>
          <w:p w14:paraId="30C16044">
            <w:pPr>
              <w:pStyle w:val="82"/>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雄探1井场内加热炉</w:t>
            </w:r>
          </w:p>
        </w:tc>
        <w:tc>
          <w:tcPr>
            <w:tcW w:w="1123" w:type="pct"/>
            <w:tcBorders>
              <w:tl2br w:val="nil"/>
              <w:tr2bl w:val="nil"/>
            </w:tcBorders>
            <w:noWrap w:val="0"/>
            <w:vAlign w:val="center"/>
          </w:tcPr>
          <w:p w14:paraId="501F042D">
            <w:pPr>
              <w:autoSpaceDE w:val="0"/>
              <w:autoSpaceDN w:val="0"/>
              <w:adjustRightInd w:val="0"/>
              <w:jc w:val="center"/>
              <w:rPr>
                <w:rFonts w:hint="default" w:ascii="Times New Roman" w:hAnsi="Times New Roman" w:eastAsia="宋体" w:cs="Times New Roman"/>
                <w:color w:val="auto"/>
                <w:kern w:val="2"/>
                <w:sz w:val="20"/>
                <w:highlight w:val="none"/>
                <w:lang w:val="en-US" w:eastAsia="zh-CN" w:bidi="ar-SA"/>
              </w:rPr>
            </w:pPr>
            <w:r>
              <w:rPr>
                <w:color w:val="auto"/>
                <w:sz w:val="20"/>
                <w:highlight w:val="none"/>
              </w:rPr>
              <w:t>SO</w:t>
            </w:r>
            <w:r>
              <w:rPr>
                <w:color w:val="auto"/>
                <w:sz w:val="20"/>
                <w:highlight w:val="none"/>
                <w:vertAlign w:val="subscript"/>
              </w:rPr>
              <w:t>2</w:t>
            </w:r>
            <w:r>
              <w:rPr>
                <w:rFonts w:hint="eastAsia"/>
                <w:color w:val="auto"/>
                <w:sz w:val="20"/>
                <w:highlight w:val="none"/>
              </w:rPr>
              <w:t>、</w:t>
            </w:r>
            <w:r>
              <w:rPr>
                <w:color w:val="auto"/>
                <w:sz w:val="20"/>
                <w:highlight w:val="none"/>
              </w:rPr>
              <w:t>NO</w:t>
            </w:r>
            <w:r>
              <w:rPr>
                <w:color w:val="auto"/>
                <w:sz w:val="20"/>
                <w:highlight w:val="none"/>
                <w:vertAlign w:val="subscript"/>
              </w:rPr>
              <w:t>X</w:t>
            </w:r>
            <w:r>
              <w:rPr>
                <w:rFonts w:hint="eastAsia"/>
                <w:color w:val="auto"/>
                <w:sz w:val="20"/>
                <w:highlight w:val="none"/>
              </w:rPr>
              <w:t>、颗粒物、黑度</w:t>
            </w:r>
          </w:p>
        </w:tc>
        <w:tc>
          <w:tcPr>
            <w:tcW w:w="832" w:type="pct"/>
            <w:tcBorders>
              <w:tl2br w:val="nil"/>
              <w:tr2bl w:val="nil"/>
            </w:tcBorders>
            <w:noWrap w:val="0"/>
            <w:vAlign w:val="center"/>
          </w:tcPr>
          <w:p w14:paraId="52C00B8A">
            <w:pPr>
              <w:pStyle w:val="82"/>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每年一次</w:t>
            </w:r>
          </w:p>
        </w:tc>
      </w:tr>
      <w:tr w14:paraId="7F0788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0" w:hRule="atLeast"/>
          <w:jc w:val="center"/>
        </w:trPr>
        <w:tc>
          <w:tcPr>
            <w:tcW w:w="444" w:type="pct"/>
            <w:vMerge w:val="continue"/>
            <w:tcBorders>
              <w:tl2br w:val="nil"/>
              <w:tr2bl w:val="nil"/>
            </w:tcBorders>
            <w:noWrap w:val="0"/>
            <w:vAlign w:val="center"/>
          </w:tcPr>
          <w:p w14:paraId="5799B8C8">
            <w:pPr>
              <w:pStyle w:val="82"/>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p>
        </w:tc>
        <w:tc>
          <w:tcPr>
            <w:tcW w:w="635" w:type="pct"/>
            <w:vMerge w:val="continue"/>
            <w:tcBorders>
              <w:tl2br w:val="nil"/>
              <w:tr2bl w:val="nil"/>
            </w:tcBorders>
            <w:noWrap w:val="0"/>
            <w:vAlign w:val="center"/>
          </w:tcPr>
          <w:p w14:paraId="20F1642D">
            <w:pPr>
              <w:pStyle w:val="82"/>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p>
        </w:tc>
        <w:tc>
          <w:tcPr>
            <w:tcW w:w="1964" w:type="pct"/>
            <w:tcBorders>
              <w:tl2br w:val="nil"/>
              <w:tr2bl w:val="nil"/>
            </w:tcBorders>
            <w:noWrap w:val="0"/>
            <w:vAlign w:val="center"/>
          </w:tcPr>
          <w:p w14:paraId="1C57A809">
            <w:pPr>
              <w:pStyle w:val="82"/>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试采点</w:t>
            </w:r>
            <w:r>
              <w:rPr>
                <w:rFonts w:hint="default" w:ascii="Times New Roman" w:hAnsi="Times New Roman" w:eastAsia="宋体" w:cs="Times New Roman"/>
                <w:color w:val="auto"/>
                <w:sz w:val="21"/>
                <w:szCs w:val="21"/>
                <w:highlight w:val="none"/>
              </w:rPr>
              <w:t>无组织废气</w:t>
            </w:r>
          </w:p>
        </w:tc>
        <w:tc>
          <w:tcPr>
            <w:tcW w:w="1123" w:type="pct"/>
            <w:tcBorders>
              <w:tl2br w:val="nil"/>
              <w:tr2bl w:val="nil"/>
            </w:tcBorders>
            <w:noWrap w:val="0"/>
            <w:vAlign w:val="center"/>
          </w:tcPr>
          <w:p w14:paraId="2F5D1F02">
            <w:pPr>
              <w:pStyle w:val="82"/>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非甲烷总烃</w:t>
            </w:r>
            <w:r>
              <w:rPr>
                <w:rFonts w:hint="eastAsia" w:ascii="Times New Roman" w:hAnsi="Times New Roman" w:cs="Times New Roman"/>
                <w:color w:val="auto"/>
                <w:sz w:val="21"/>
                <w:szCs w:val="21"/>
                <w:highlight w:val="none"/>
                <w:lang w:val="en-US" w:eastAsia="zh-CN"/>
              </w:rPr>
              <w:t>、硫化氢</w:t>
            </w:r>
          </w:p>
        </w:tc>
        <w:tc>
          <w:tcPr>
            <w:tcW w:w="832" w:type="pct"/>
            <w:tcBorders>
              <w:tl2br w:val="nil"/>
              <w:tr2bl w:val="nil"/>
            </w:tcBorders>
            <w:noWrap w:val="0"/>
            <w:vAlign w:val="center"/>
          </w:tcPr>
          <w:p w14:paraId="00A5C235">
            <w:pPr>
              <w:pStyle w:val="82"/>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每年一次</w:t>
            </w:r>
          </w:p>
        </w:tc>
      </w:tr>
      <w:tr w14:paraId="794C34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444" w:type="pct"/>
            <w:tcBorders>
              <w:tl2br w:val="nil"/>
              <w:tr2bl w:val="nil"/>
            </w:tcBorders>
            <w:noWrap w:val="0"/>
            <w:vAlign w:val="center"/>
          </w:tcPr>
          <w:p w14:paraId="03D34E36">
            <w:pPr>
              <w:pStyle w:val="82"/>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w:t>
            </w:r>
          </w:p>
        </w:tc>
        <w:tc>
          <w:tcPr>
            <w:tcW w:w="635" w:type="pct"/>
            <w:tcBorders>
              <w:tl2br w:val="nil"/>
              <w:tr2bl w:val="nil"/>
            </w:tcBorders>
            <w:noWrap w:val="0"/>
            <w:vAlign w:val="center"/>
          </w:tcPr>
          <w:p w14:paraId="558E2B08">
            <w:pPr>
              <w:pStyle w:val="82"/>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1964" w:type="pct"/>
            <w:tcBorders>
              <w:tl2br w:val="nil"/>
              <w:tr2bl w:val="nil"/>
            </w:tcBorders>
            <w:noWrap w:val="0"/>
            <w:vAlign w:val="center"/>
          </w:tcPr>
          <w:p w14:paraId="3BE7E668">
            <w:pPr>
              <w:pStyle w:val="82"/>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雄探1试采点</w:t>
            </w:r>
            <w:r>
              <w:rPr>
                <w:rFonts w:hint="default" w:ascii="Times New Roman" w:hAnsi="Times New Roman" w:eastAsia="宋体" w:cs="Times New Roman"/>
                <w:color w:val="auto"/>
                <w:sz w:val="21"/>
                <w:szCs w:val="21"/>
                <w:highlight w:val="none"/>
              </w:rPr>
              <w:t>四周厂界外1m</w:t>
            </w:r>
          </w:p>
        </w:tc>
        <w:tc>
          <w:tcPr>
            <w:tcW w:w="1123" w:type="pct"/>
            <w:tcBorders>
              <w:tl2br w:val="nil"/>
              <w:tr2bl w:val="nil"/>
            </w:tcBorders>
            <w:noWrap w:val="0"/>
            <w:vAlign w:val="center"/>
          </w:tcPr>
          <w:p w14:paraId="13B1150D">
            <w:pPr>
              <w:pStyle w:val="82"/>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厂界噪声监测</w:t>
            </w:r>
          </w:p>
        </w:tc>
        <w:tc>
          <w:tcPr>
            <w:tcW w:w="832" w:type="pct"/>
            <w:tcBorders>
              <w:tl2br w:val="nil"/>
              <w:tr2bl w:val="nil"/>
            </w:tcBorders>
            <w:noWrap w:val="0"/>
            <w:vAlign w:val="center"/>
          </w:tcPr>
          <w:p w14:paraId="624F13E8">
            <w:pPr>
              <w:pStyle w:val="82"/>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每季度一次</w:t>
            </w:r>
          </w:p>
        </w:tc>
      </w:tr>
      <w:tr w14:paraId="2FB740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444" w:type="pct"/>
            <w:tcBorders>
              <w:tl2br w:val="nil"/>
              <w:tr2bl w:val="nil"/>
            </w:tcBorders>
            <w:noWrap w:val="0"/>
            <w:vAlign w:val="center"/>
          </w:tcPr>
          <w:p w14:paraId="39A99014">
            <w:pPr>
              <w:pStyle w:val="82"/>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w:t>
            </w:r>
          </w:p>
        </w:tc>
        <w:tc>
          <w:tcPr>
            <w:tcW w:w="635" w:type="pct"/>
            <w:tcBorders>
              <w:tl2br w:val="nil"/>
              <w:tr2bl w:val="nil"/>
            </w:tcBorders>
            <w:noWrap w:val="0"/>
            <w:vAlign w:val="center"/>
          </w:tcPr>
          <w:p w14:paraId="1849E4CF">
            <w:pPr>
              <w:pStyle w:val="82"/>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地下水</w:t>
            </w:r>
          </w:p>
        </w:tc>
        <w:tc>
          <w:tcPr>
            <w:tcW w:w="1964" w:type="pct"/>
            <w:tcBorders>
              <w:tl2br w:val="nil"/>
              <w:tr2bl w:val="nil"/>
            </w:tcBorders>
            <w:noWrap w:val="0"/>
            <w:vAlign w:val="center"/>
          </w:tcPr>
          <w:p w14:paraId="2CE6942F">
            <w:pPr>
              <w:pStyle w:val="82"/>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利用现有监测井，在</w:t>
            </w:r>
            <w:r>
              <w:rPr>
                <w:rFonts w:hint="eastAsia" w:ascii="Times New Roman" w:hAnsi="Times New Roman" w:cs="Times New Roman"/>
                <w:color w:val="auto"/>
                <w:sz w:val="21"/>
                <w:szCs w:val="21"/>
                <w:highlight w:val="none"/>
                <w:lang w:val="en-US" w:eastAsia="zh-CN"/>
              </w:rPr>
              <w:t>雄英3</w:t>
            </w:r>
            <w:r>
              <w:rPr>
                <w:rFonts w:hint="default" w:ascii="Times New Roman" w:hAnsi="Times New Roman" w:eastAsia="宋体" w:cs="Times New Roman"/>
                <w:color w:val="auto"/>
                <w:sz w:val="21"/>
                <w:szCs w:val="21"/>
                <w:highlight w:val="none"/>
              </w:rPr>
              <w:t>井东南周边布设1眼地下水污染监控井YM14（该井为潜水监测井，井深42m，可作为跟踪监测井）。</w:t>
            </w:r>
          </w:p>
        </w:tc>
        <w:tc>
          <w:tcPr>
            <w:tcW w:w="1123" w:type="pct"/>
            <w:tcBorders>
              <w:tl2br w:val="nil"/>
              <w:tr2bl w:val="nil"/>
            </w:tcBorders>
            <w:noWrap w:val="0"/>
            <w:vAlign w:val="center"/>
          </w:tcPr>
          <w:p w14:paraId="798E8DEC">
            <w:pPr>
              <w:pStyle w:val="82"/>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石油类</w:t>
            </w:r>
          </w:p>
        </w:tc>
        <w:tc>
          <w:tcPr>
            <w:tcW w:w="832" w:type="pct"/>
            <w:tcBorders>
              <w:tl2br w:val="nil"/>
              <w:tr2bl w:val="nil"/>
            </w:tcBorders>
            <w:noWrap w:val="0"/>
            <w:vAlign w:val="center"/>
          </w:tcPr>
          <w:p w14:paraId="0A5DC8E5">
            <w:pPr>
              <w:pStyle w:val="82"/>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每年1次</w:t>
            </w:r>
          </w:p>
        </w:tc>
      </w:tr>
      <w:tr w14:paraId="7AEA14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444" w:type="pct"/>
            <w:tcBorders>
              <w:tl2br w:val="nil"/>
              <w:tr2bl w:val="nil"/>
            </w:tcBorders>
            <w:noWrap w:val="0"/>
            <w:vAlign w:val="center"/>
          </w:tcPr>
          <w:p w14:paraId="30FECDB6">
            <w:pPr>
              <w:pStyle w:val="82"/>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w:t>
            </w:r>
          </w:p>
        </w:tc>
        <w:tc>
          <w:tcPr>
            <w:tcW w:w="635" w:type="pct"/>
            <w:tcBorders>
              <w:tl2br w:val="nil"/>
              <w:tr2bl w:val="nil"/>
            </w:tcBorders>
            <w:noWrap w:val="0"/>
            <w:vAlign w:val="center"/>
          </w:tcPr>
          <w:p w14:paraId="207CE038">
            <w:pPr>
              <w:pStyle w:val="82"/>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w:t>
            </w:r>
          </w:p>
        </w:tc>
        <w:tc>
          <w:tcPr>
            <w:tcW w:w="1964" w:type="pct"/>
            <w:tcBorders>
              <w:tl2br w:val="nil"/>
              <w:tr2bl w:val="nil"/>
            </w:tcBorders>
            <w:noWrap w:val="0"/>
            <w:vAlign w:val="center"/>
          </w:tcPr>
          <w:p w14:paraId="7C52B2D4">
            <w:pPr>
              <w:pStyle w:val="82"/>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占地范围内，分别设1个表层样</w:t>
            </w:r>
            <w:r>
              <w:rPr>
                <w:rFonts w:hint="eastAsia" w:ascii="Times New Roman" w:hAnsi="Times New Roman" w:cs="Times New Roman"/>
                <w:color w:val="auto"/>
                <w:sz w:val="21"/>
                <w:szCs w:val="21"/>
                <w:highlight w:val="none"/>
                <w:lang w:val="en-US" w:eastAsia="zh-CN"/>
              </w:rPr>
              <w:t>、1个柱状样</w:t>
            </w:r>
          </w:p>
        </w:tc>
        <w:tc>
          <w:tcPr>
            <w:tcW w:w="1123" w:type="pct"/>
            <w:tcBorders>
              <w:tl2br w:val="nil"/>
              <w:tr2bl w:val="nil"/>
            </w:tcBorders>
            <w:noWrap w:val="0"/>
            <w:vAlign w:val="center"/>
          </w:tcPr>
          <w:p w14:paraId="270B4E2F">
            <w:pPr>
              <w:pStyle w:val="82"/>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石油烃</w:t>
            </w:r>
          </w:p>
        </w:tc>
        <w:tc>
          <w:tcPr>
            <w:tcW w:w="832" w:type="pct"/>
            <w:tcBorders>
              <w:tl2br w:val="nil"/>
              <w:tr2bl w:val="nil"/>
            </w:tcBorders>
            <w:noWrap w:val="0"/>
            <w:vAlign w:val="center"/>
          </w:tcPr>
          <w:p w14:paraId="4B733A13">
            <w:pPr>
              <w:pStyle w:val="82"/>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每5年1次</w:t>
            </w:r>
          </w:p>
        </w:tc>
      </w:tr>
      <w:tr w14:paraId="3E698E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444" w:type="pct"/>
            <w:vMerge w:val="restart"/>
            <w:tcBorders>
              <w:tl2br w:val="nil"/>
              <w:tr2bl w:val="nil"/>
            </w:tcBorders>
            <w:noWrap w:val="0"/>
            <w:vAlign w:val="center"/>
          </w:tcPr>
          <w:p w14:paraId="5CE9C44B">
            <w:pPr>
              <w:pStyle w:val="82"/>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w:t>
            </w:r>
          </w:p>
        </w:tc>
        <w:tc>
          <w:tcPr>
            <w:tcW w:w="635" w:type="pct"/>
            <w:vMerge w:val="restart"/>
            <w:tcBorders>
              <w:tl2br w:val="nil"/>
              <w:tr2bl w:val="nil"/>
            </w:tcBorders>
            <w:noWrap w:val="0"/>
            <w:vAlign w:val="center"/>
          </w:tcPr>
          <w:p w14:paraId="16F3AA37">
            <w:pPr>
              <w:pStyle w:val="82"/>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w:t>
            </w:r>
          </w:p>
        </w:tc>
        <w:tc>
          <w:tcPr>
            <w:tcW w:w="1964" w:type="pct"/>
            <w:tcBorders>
              <w:tl2br w:val="nil"/>
              <w:tr2bl w:val="nil"/>
            </w:tcBorders>
            <w:shd w:val="clear" w:color="auto" w:fill="auto"/>
            <w:noWrap w:val="0"/>
            <w:vAlign w:val="center"/>
          </w:tcPr>
          <w:p w14:paraId="36052F4D">
            <w:pPr>
              <w:pStyle w:val="82"/>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井场周围、管道沿线</w:t>
            </w:r>
          </w:p>
        </w:tc>
        <w:tc>
          <w:tcPr>
            <w:tcW w:w="1123" w:type="pct"/>
            <w:tcBorders>
              <w:tl2br w:val="nil"/>
              <w:tr2bl w:val="nil"/>
            </w:tcBorders>
            <w:shd w:val="clear" w:color="auto" w:fill="auto"/>
            <w:noWrap w:val="0"/>
            <w:vAlign w:val="center"/>
          </w:tcPr>
          <w:p w14:paraId="5343FFED">
            <w:pPr>
              <w:pStyle w:val="82"/>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植物物种数、数量和覆盖度等、土壤侵蚀类型、侵蚀量</w:t>
            </w:r>
          </w:p>
        </w:tc>
        <w:tc>
          <w:tcPr>
            <w:tcW w:w="832" w:type="pct"/>
            <w:tcBorders>
              <w:tl2br w:val="nil"/>
              <w:tr2bl w:val="nil"/>
            </w:tcBorders>
            <w:shd w:val="clear" w:color="auto" w:fill="auto"/>
            <w:noWrap w:val="0"/>
            <w:vAlign w:val="center"/>
          </w:tcPr>
          <w:p w14:paraId="2604084E">
            <w:pPr>
              <w:pStyle w:val="82"/>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每年一次</w:t>
            </w:r>
          </w:p>
        </w:tc>
      </w:tr>
      <w:tr w14:paraId="59D4D6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444" w:type="pct"/>
            <w:vMerge w:val="continue"/>
            <w:tcBorders>
              <w:tl2br w:val="nil"/>
              <w:tr2bl w:val="nil"/>
            </w:tcBorders>
            <w:noWrap w:val="0"/>
            <w:vAlign w:val="center"/>
          </w:tcPr>
          <w:p w14:paraId="37BE77C2">
            <w:pPr>
              <w:pStyle w:val="82"/>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cs="Times New Roman"/>
                <w:color w:val="auto"/>
                <w:sz w:val="21"/>
                <w:szCs w:val="21"/>
                <w:highlight w:val="none"/>
                <w:lang w:val="en-US" w:eastAsia="zh-CN"/>
              </w:rPr>
            </w:pPr>
          </w:p>
        </w:tc>
        <w:tc>
          <w:tcPr>
            <w:tcW w:w="635" w:type="pct"/>
            <w:vMerge w:val="continue"/>
            <w:tcBorders>
              <w:tl2br w:val="nil"/>
              <w:tr2bl w:val="nil"/>
            </w:tcBorders>
            <w:noWrap w:val="0"/>
            <w:vAlign w:val="center"/>
          </w:tcPr>
          <w:p w14:paraId="43CCD24C">
            <w:pPr>
              <w:pStyle w:val="82"/>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p>
        </w:tc>
        <w:tc>
          <w:tcPr>
            <w:tcW w:w="1964" w:type="pct"/>
            <w:tcBorders>
              <w:tl2br w:val="nil"/>
              <w:tr2bl w:val="nil"/>
            </w:tcBorders>
            <w:noWrap w:val="0"/>
            <w:vAlign w:val="center"/>
          </w:tcPr>
          <w:p w14:paraId="4AD1DBE3">
            <w:pPr>
              <w:pStyle w:val="82"/>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水土流失量变化情况</w:t>
            </w:r>
          </w:p>
        </w:tc>
        <w:tc>
          <w:tcPr>
            <w:tcW w:w="1123" w:type="pct"/>
            <w:tcBorders>
              <w:tl2br w:val="nil"/>
              <w:tr2bl w:val="nil"/>
            </w:tcBorders>
            <w:noWrap w:val="0"/>
            <w:vAlign w:val="center"/>
          </w:tcPr>
          <w:p w14:paraId="294F4683">
            <w:pPr>
              <w:pStyle w:val="82"/>
              <w:keepNext w:val="0"/>
              <w:keepLines w:val="0"/>
              <w:pageBreakBefore w:val="0"/>
              <w:widowControl w:val="0"/>
              <w:kinsoku/>
              <w:wordWrap/>
              <w:overflowPunct/>
              <w:topLinePunct w:val="0"/>
              <w:autoSpaceDE/>
              <w:autoSpaceDN/>
              <w:bidi w:val="0"/>
              <w:adjustRightInd w:val="0"/>
              <w:snapToGrid/>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井场内</w:t>
            </w:r>
            <w:r>
              <w:rPr>
                <w:rFonts w:hint="eastAsia"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风蚀监测小区</w:t>
            </w:r>
            <w:r>
              <w:rPr>
                <w:rFonts w:hint="eastAsia" w:ascii="Times New Roman" w:hAnsi="Times New Roman" w:cs="Times New Roman"/>
                <w:color w:val="auto"/>
                <w:sz w:val="21"/>
                <w:szCs w:val="21"/>
                <w:highlight w:val="none"/>
                <w:lang w:eastAsia="zh-CN"/>
              </w:rPr>
              <w:t>）</w:t>
            </w:r>
          </w:p>
        </w:tc>
        <w:tc>
          <w:tcPr>
            <w:tcW w:w="832" w:type="pct"/>
            <w:tcBorders>
              <w:tl2br w:val="nil"/>
              <w:tr2bl w:val="nil"/>
            </w:tcBorders>
            <w:noWrap w:val="0"/>
            <w:vAlign w:val="center"/>
          </w:tcPr>
          <w:p w14:paraId="766E5FEA">
            <w:pPr>
              <w:pStyle w:val="82"/>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每年的年初、年中、年末各一次</w:t>
            </w:r>
          </w:p>
        </w:tc>
      </w:tr>
      <w:bookmarkEnd w:id="887"/>
      <w:bookmarkEnd w:id="888"/>
    </w:tbl>
    <w:p w14:paraId="2687889B">
      <w:pPr>
        <w:pStyle w:val="75"/>
        <w:bidi w:val="0"/>
        <w:rPr>
          <w:rFonts w:hint="eastAsia"/>
          <w:color w:val="auto"/>
          <w:lang w:val="en-US" w:eastAsia="zh-CN"/>
        </w:rPr>
      </w:pPr>
      <w:bookmarkStart w:id="889" w:name="_Toc3940"/>
      <w:r>
        <w:rPr>
          <w:rFonts w:hint="eastAsia"/>
          <w:color w:val="auto"/>
          <w:lang w:val="en-US" w:eastAsia="zh-CN"/>
        </w:rPr>
        <w:t>9.5 环保设施“三同时”验收</w:t>
      </w:r>
      <w:bookmarkEnd w:id="889"/>
    </w:p>
    <w:p w14:paraId="3D2FFE44">
      <w:pPr>
        <w:pStyle w:val="79"/>
        <w:bidi w:val="0"/>
        <w:rPr>
          <w:color w:val="auto"/>
        </w:rPr>
      </w:pPr>
      <w:r>
        <w:rPr>
          <w:color w:val="auto"/>
        </w:rPr>
        <w:t>（1）环境工程设计</w:t>
      </w:r>
    </w:p>
    <w:p w14:paraId="4A4A81BA">
      <w:pPr>
        <w:pStyle w:val="79"/>
        <w:bidi w:val="0"/>
        <w:rPr>
          <w:color w:val="auto"/>
        </w:rPr>
      </w:pPr>
      <w:r>
        <w:rPr>
          <w:rFonts w:hint="eastAsia"/>
          <w:color w:val="auto"/>
          <w:lang w:val="en-US" w:eastAsia="zh-CN"/>
        </w:rPr>
        <w:t>1）</w:t>
      </w:r>
      <w:r>
        <w:rPr>
          <w:color w:val="auto"/>
        </w:rPr>
        <w:t>必须按照环评文件及批复要求，落实项目环境工程设计，确保“三废”稳定达标排放；按要求制定环境风险事故应急预案。</w:t>
      </w:r>
    </w:p>
    <w:p w14:paraId="7BB9D50B">
      <w:pPr>
        <w:pStyle w:val="79"/>
        <w:bidi w:val="0"/>
        <w:rPr>
          <w:color w:val="auto"/>
        </w:rPr>
      </w:pPr>
      <w:r>
        <w:rPr>
          <w:rFonts w:hint="eastAsia"/>
          <w:color w:val="auto"/>
          <w:lang w:val="en-US" w:eastAsia="zh-CN"/>
        </w:rPr>
        <w:t>2）</w:t>
      </w:r>
      <w:r>
        <w:rPr>
          <w:color w:val="auto"/>
        </w:rPr>
        <w:t>建立健全环境管理组织机构、各项环保规章制度。</w:t>
      </w:r>
    </w:p>
    <w:p w14:paraId="50664B55">
      <w:pPr>
        <w:pStyle w:val="79"/>
        <w:bidi w:val="0"/>
        <w:rPr>
          <w:color w:val="auto"/>
        </w:rPr>
      </w:pPr>
      <w:r>
        <w:rPr>
          <w:rFonts w:hint="eastAsia"/>
          <w:color w:val="auto"/>
          <w:lang w:val="en-US" w:eastAsia="zh-CN"/>
        </w:rPr>
        <w:t>3）</w:t>
      </w:r>
      <w:r>
        <w:rPr>
          <w:color w:val="auto"/>
        </w:rPr>
        <w:t>项目污染防治设施必须与主体工程“三同时”。</w:t>
      </w:r>
    </w:p>
    <w:p w14:paraId="5DA86CB2">
      <w:pPr>
        <w:pStyle w:val="79"/>
        <w:bidi w:val="0"/>
        <w:rPr>
          <w:color w:val="auto"/>
        </w:rPr>
      </w:pPr>
      <w:r>
        <w:rPr>
          <w:color w:val="auto"/>
        </w:rPr>
        <w:t>（2）环境设施验收建议</w:t>
      </w:r>
    </w:p>
    <w:p w14:paraId="7A52E2B6">
      <w:pPr>
        <w:pStyle w:val="79"/>
        <w:bidi w:val="0"/>
        <w:rPr>
          <w:color w:val="auto"/>
        </w:rPr>
      </w:pPr>
      <w:r>
        <w:rPr>
          <w:rFonts w:hint="eastAsia"/>
          <w:color w:val="auto"/>
          <w:lang w:val="en-US" w:eastAsia="zh-CN"/>
        </w:rPr>
        <w:t>1）</w:t>
      </w:r>
      <w:r>
        <w:rPr>
          <w:color w:val="auto"/>
        </w:rPr>
        <w:t>验收范围</w:t>
      </w:r>
    </w:p>
    <w:p w14:paraId="2BC1B66D">
      <w:pPr>
        <w:pStyle w:val="79"/>
        <w:bidi w:val="0"/>
        <w:rPr>
          <w:color w:val="auto"/>
        </w:rPr>
      </w:pPr>
      <w:r>
        <w:rPr>
          <w:color w:val="auto"/>
        </w:rPr>
        <w:t>与项目有关的各项环保设施，包括为防治污染和保护环境所配套建成的治理工程、设备和装置，以及各项生态保护设施等；环评文件及批复文件和有关设计文件规定应采取的环保措施。</w:t>
      </w:r>
    </w:p>
    <w:p w14:paraId="3D1241A9">
      <w:pPr>
        <w:pStyle w:val="79"/>
        <w:bidi w:val="0"/>
        <w:rPr>
          <w:color w:val="auto"/>
        </w:rPr>
      </w:pPr>
      <w:r>
        <w:rPr>
          <w:rFonts w:hint="eastAsia"/>
          <w:color w:val="auto"/>
          <w:lang w:val="en-US" w:eastAsia="zh-CN"/>
        </w:rPr>
        <w:t>2）</w:t>
      </w:r>
      <w:r>
        <w:rPr>
          <w:color w:val="auto"/>
        </w:rPr>
        <w:t>验收条件</w:t>
      </w:r>
    </w:p>
    <w:p w14:paraId="74D1D17D">
      <w:pPr>
        <w:pStyle w:val="79"/>
        <w:bidi w:val="0"/>
        <w:rPr>
          <w:color w:val="auto"/>
        </w:rPr>
      </w:pPr>
      <w:r>
        <w:rPr>
          <w:color w:val="auto"/>
        </w:rPr>
        <w:t>根据《建设项目环境保护管理条例》（国务院令682号）中有关规定，编制环境影响报告书、环境影响报告表的建设项目竣工后，</w:t>
      </w:r>
      <w:r>
        <w:rPr>
          <w:rFonts w:hint="eastAsia"/>
          <w:color w:val="auto"/>
          <w:lang w:val="en-US" w:eastAsia="zh-CN"/>
        </w:rPr>
        <w:t>中国石油天然气股份有限公司塔里木油田分公司</w:t>
      </w:r>
      <w:r>
        <w:rPr>
          <w:color w:val="auto"/>
        </w:rPr>
        <w:t>应当按照</w:t>
      </w:r>
      <w:r>
        <w:rPr>
          <w:rFonts w:hint="eastAsia"/>
          <w:color w:val="auto"/>
        </w:rPr>
        <w:t>生态环境</w:t>
      </w:r>
      <w:r>
        <w:rPr>
          <w:color w:val="auto"/>
        </w:rPr>
        <w:t>主管部门规定的标准和程序，对配套建设的环境保护设施进行验收，编制验收报告。</w:t>
      </w:r>
      <w:r>
        <w:rPr>
          <w:rFonts w:hint="eastAsia"/>
          <w:color w:val="auto"/>
          <w:lang w:val="en-US" w:eastAsia="zh-CN"/>
        </w:rPr>
        <w:t>中国石油天然气股份有限公司塔里木油田分公司</w:t>
      </w:r>
      <w:r>
        <w:rPr>
          <w:color w:val="auto"/>
        </w:rPr>
        <w:t>在环境保护设施验收过程中，应当如实查验、监测、记载建设项目环境保护设施的建设和调试情况，不得弄虚作假。</w:t>
      </w:r>
    </w:p>
    <w:p w14:paraId="76740BB1">
      <w:pPr>
        <w:pStyle w:val="79"/>
        <w:bidi w:val="0"/>
        <w:rPr>
          <w:color w:val="auto"/>
        </w:rPr>
      </w:pPr>
      <w:r>
        <w:rPr>
          <w:rFonts w:hint="eastAsia"/>
          <w:color w:val="auto"/>
          <w:lang w:val="en-US" w:eastAsia="zh-CN"/>
        </w:rPr>
        <w:t>中国石油天然气股份有限公司塔里木油田分公司</w:t>
      </w:r>
      <w:r>
        <w:rPr>
          <w:color w:val="auto"/>
        </w:rPr>
        <w:t>对项目进行自主验收，</w:t>
      </w:r>
      <w:r>
        <w:rPr>
          <w:rFonts w:hint="eastAsia"/>
          <w:color w:val="auto"/>
          <w:lang w:val="en-US" w:eastAsia="zh-CN"/>
        </w:rPr>
        <w:t>中国石油天然气股份有限公司塔里木油田分公司</w:t>
      </w:r>
      <w:r>
        <w:rPr>
          <w:color w:val="auto"/>
        </w:rPr>
        <w:t>或者其委托的第三方技术机构应当依照国家有关法律法规及相关技术规范等要求，编制竣工环境保护验收报告，验收报告编制完成后，</w:t>
      </w:r>
      <w:r>
        <w:rPr>
          <w:rFonts w:hint="eastAsia"/>
          <w:color w:val="auto"/>
          <w:lang w:val="en-US" w:eastAsia="zh-CN"/>
        </w:rPr>
        <w:t>中国石油天然气股份有限公司塔里木油田分公司</w:t>
      </w:r>
      <w:r>
        <w:rPr>
          <w:color w:val="auto"/>
        </w:rPr>
        <w:t>应组织成立验收工作组。除按照国家规定需要保密的情形外，</w:t>
      </w:r>
      <w:r>
        <w:rPr>
          <w:rFonts w:hint="eastAsia"/>
          <w:color w:val="auto"/>
          <w:lang w:val="en-US" w:eastAsia="zh-CN"/>
        </w:rPr>
        <w:t>中国石油天然气股份有限公司塔里木油田分公司</w:t>
      </w:r>
      <w:r>
        <w:rPr>
          <w:color w:val="auto"/>
        </w:rPr>
        <w:t>应当依法向社会公开验收报告。编制环境影响报告书、环境影响报告表的建设项目，其配套建设的环境保护设施经验收合格，方可投入生产或者使用；未经验收或者验收不合格的，不得投入生产或者使用。</w:t>
      </w:r>
    </w:p>
    <w:p w14:paraId="59143C5B">
      <w:pPr>
        <w:pStyle w:val="79"/>
        <w:bidi w:val="0"/>
        <w:rPr>
          <w:color w:val="auto"/>
        </w:rPr>
      </w:pPr>
      <w:r>
        <w:rPr>
          <w:rFonts w:hint="eastAsia"/>
          <w:color w:val="auto"/>
          <w:lang w:val="en-US" w:eastAsia="zh-CN"/>
        </w:rPr>
        <w:t>3）</w:t>
      </w:r>
      <w:r>
        <w:rPr>
          <w:color w:val="auto"/>
        </w:rPr>
        <w:t>建设项目环境保护</w:t>
      </w:r>
      <w:r>
        <w:rPr>
          <w:rFonts w:hint="eastAsia"/>
          <w:color w:val="auto"/>
          <w:lang w:eastAsia="zh-CN"/>
        </w:rPr>
        <w:t>“</w:t>
      </w:r>
      <w:r>
        <w:rPr>
          <w:color w:val="auto"/>
        </w:rPr>
        <w:t>三同时</w:t>
      </w:r>
      <w:r>
        <w:rPr>
          <w:rFonts w:hint="eastAsia"/>
          <w:color w:val="auto"/>
          <w:lang w:eastAsia="zh-CN"/>
        </w:rPr>
        <w:t>”</w:t>
      </w:r>
      <w:r>
        <w:rPr>
          <w:color w:val="auto"/>
        </w:rPr>
        <w:t>验收内容</w:t>
      </w:r>
    </w:p>
    <w:p w14:paraId="45327AA5">
      <w:pPr>
        <w:pStyle w:val="79"/>
        <w:bidi w:val="0"/>
        <w:rPr>
          <w:rFonts w:hint="eastAsia"/>
          <w:color w:val="auto"/>
        </w:rPr>
      </w:pPr>
      <w:bookmarkStart w:id="890" w:name="OLE_LINK389"/>
      <w:r>
        <w:rPr>
          <w:color w:val="auto"/>
        </w:rPr>
        <w:t>根据建设项目</w:t>
      </w:r>
      <w:r>
        <w:rPr>
          <w:rFonts w:hint="eastAsia"/>
          <w:color w:val="auto"/>
          <w:lang w:eastAsia="zh-CN"/>
        </w:rPr>
        <w:t>“</w:t>
      </w:r>
      <w:r>
        <w:rPr>
          <w:color w:val="auto"/>
        </w:rPr>
        <w:t>三同时</w:t>
      </w:r>
      <w:r>
        <w:rPr>
          <w:rFonts w:hint="eastAsia"/>
          <w:color w:val="auto"/>
          <w:lang w:eastAsia="zh-CN"/>
        </w:rPr>
        <w:t>”</w:t>
      </w:r>
      <w:r>
        <w:rPr>
          <w:color w:val="auto"/>
        </w:rPr>
        <w:t>原则，在项目建设过程中，环境污染防治设施与主体工程同时设计、同时施工、同时投入使用，拟建项目建成运行时，应对环保设施进行验收，验收清单</w:t>
      </w:r>
      <w:r>
        <w:rPr>
          <w:rFonts w:hint="eastAsia"/>
          <w:color w:val="auto"/>
          <w:lang w:eastAsia="zh-CN"/>
        </w:rPr>
        <w:t>，</w:t>
      </w:r>
      <w:r>
        <w:rPr>
          <w:color w:val="auto"/>
        </w:rPr>
        <w:t>见表</w:t>
      </w:r>
      <w:r>
        <w:rPr>
          <w:rFonts w:hint="eastAsia"/>
          <w:color w:val="auto"/>
          <w:lang w:val="en-US" w:eastAsia="zh-CN"/>
        </w:rPr>
        <w:t>9.5-1</w:t>
      </w:r>
      <w:r>
        <w:rPr>
          <w:color w:val="auto"/>
        </w:rPr>
        <w:t>。</w:t>
      </w:r>
    </w:p>
    <w:p w14:paraId="444F89C5">
      <w:pPr>
        <w:pStyle w:val="61"/>
        <w:bidi w:val="0"/>
        <w:jc w:val="both"/>
        <w:rPr>
          <w:rFonts w:hint="eastAsia"/>
          <w:color w:val="auto"/>
          <w:lang w:val="en-US" w:eastAsia="zh-CN"/>
        </w:rPr>
      </w:pPr>
      <w:r>
        <w:rPr>
          <w:rFonts w:hint="eastAsia"/>
          <w:color w:val="auto"/>
          <w:lang w:val="zh-CN" w:eastAsia="zh-CN"/>
        </w:rPr>
        <w:t>表</w:t>
      </w:r>
      <w:r>
        <w:rPr>
          <w:rFonts w:hint="eastAsia"/>
          <w:color w:val="auto"/>
          <w:lang w:val="en-US" w:eastAsia="zh-CN"/>
        </w:rPr>
        <w:t xml:space="preserve">9.5-1  </w:t>
      </w:r>
      <w:r>
        <w:rPr>
          <w:rFonts w:hint="eastAsia"/>
          <w:color w:val="auto"/>
          <w:lang w:val="zh-CN" w:eastAsia="zh-CN"/>
        </w:rPr>
        <w:t>环保设施“三同时”验收一览表</w:t>
      </w:r>
    </w:p>
    <w:tbl>
      <w:tblPr>
        <w:tblStyle w:val="36"/>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275"/>
        <w:gridCol w:w="276"/>
        <w:gridCol w:w="1128"/>
        <w:gridCol w:w="2942"/>
        <w:gridCol w:w="711"/>
        <w:gridCol w:w="1575"/>
        <w:gridCol w:w="1763"/>
      </w:tblGrid>
      <w:tr w14:paraId="0B0517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158" w:type="pct"/>
            <w:tcBorders>
              <w:tl2br w:val="nil"/>
              <w:tr2bl w:val="nil"/>
            </w:tcBorders>
            <w:noWrap w:val="0"/>
            <w:vAlign w:val="center"/>
          </w:tcPr>
          <w:p w14:paraId="41AA052D">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类别</w:t>
            </w:r>
          </w:p>
        </w:tc>
        <w:tc>
          <w:tcPr>
            <w:tcW w:w="159" w:type="pct"/>
            <w:tcBorders>
              <w:tl2br w:val="nil"/>
              <w:tr2bl w:val="nil"/>
            </w:tcBorders>
            <w:noWrap w:val="0"/>
            <w:vAlign w:val="center"/>
          </w:tcPr>
          <w:p w14:paraId="23E9EE40">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序号</w:t>
            </w:r>
          </w:p>
        </w:tc>
        <w:tc>
          <w:tcPr>
            <w:tcW w:w="650" w:type="pct"/>
            <w:tcBorders>
              <w:tl2br w:val="nil"/>
              <w:tr2bl w:val="nil"/>
            </w:tcBorders>
            <w:noWrap w:val="0"/>
            <w:vAlign w:val="center"/>
          </w:tcPr>
          <w:p w14:paraId="643B1733">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污染源</w:t>
            </w:r>
          </w:p>
        </w:tc>
        <w:tc>
          <w:tcPr>
            <w:tcW w:w="1696" w:type="pct"/>
            <w:tcBorders>
              <w:tl2br w:val="nil"/>
              <w:tr2bl w:val="nil"/>
            </w:tcBorders>
            <w:noWrap w:val="0"/>
            <w:vAlign w:val="center"/>
          </w:tcPr>
          <w:p w14:paraId="4D277F0C">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环保措施</w:t>
            </w:r>
          </w:p>
        </w:tc>
        <w:tc>
          <w:tcPr>
            <w:tcW w:w="409" w:type="pct"/>
            <w:tcBorders>
              <w:tl2br w:val="nil"/>
              <w:tr2bl w:val="nil"/>
            </w:tcBorders>
            <w:noWrap w:val="0"/>
            <w:vAlign w:val="center"/>
          </w:tcPr>
          <w:p w14:paraId="3ECB1F7D">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台</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套</w:t>
            </w:r>
            <w:r>
              <w:rPr>
                <w:rFonts w:hint="default" w:ascii="Times New Roman" w:hAnsi="Times New Roman" w:eastAsia="宋体" w:cs="Times New Roman"/>
                <w:color w:val="auto"/>
                <w:lang w:eastAsia="zh-CN"/>
              </w:rPr>
              <w:t>）</w:t>
            </w:r>
          </w:p>
        </w:tc>
        <w:tc>
          <w:tcPr>
            <w:tcW w:w="908" w:type="pct"/>
            <w:tcBorders>
              <w:tl2br w:val="nil"/>
              <w:tr2bl w:val="nil"/>
            </w:tcBorders>
            <w:noWrap w:val="0"/>
            <w:vAlign w:val="center"/>
          </w:tcPr>
          <w:p w14:paraId="5FD3D7AF">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治理效果</w:t>
            </w:r>
          </w:p>
        </w:tc>
        <w:tc>
          <w:tcPr>
            <w:tcW w:w="1017" w:type="pct"/>
            <w:tcBorders>
              <w:tl2br w:val="nil"/>
              <w:tr2bl w:val="nil"/>
            </w:tcBorders>
            <w:noWrap w:val="0"/>
            <w:vAlign w:val="center"/>
          </w:tcPr>
          <w:p w14:paraId="76DC3AC2">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验收标准</w:t>
            </w:r>
          </w:p>
        </w:tc>
      </w:tr>
      <w:tr w14:paraId="77F937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5000" w:type="pct"/>
            <w:gridSpan w:val="7"/>
            <w:tcBorders>
              <w:tl2br w:val="nil"/>
              <w:tr2bl w:val="nil"/>
            </w:tcBorders>
            <w:noWrap w:val="0"/>
            <w:vAlign w:val="center"/>
          </w:tcPr>
          <w:p w14:paraId="4938E24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施工期</w:t>
            </w:r>
          </w:p>
        </w:tc>
      </w:tr>
      <w:tr w14:paraId="606362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158" w:type="pct"/>
            <w:vMerge w:val="restart"/>
            <w:tcBorders>
              <w:tl2br w:val="nil"/>
              <w:tr2bl w:val="nil"/>
            </w:tcBorders>
            <w:noWrap w:val="0"/>
            <w:vAlign w:val="center"/>
          </w:tcPr>
          <w:p w14:paraId="3B33A2E4">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废气</w:t>
            </w:r>
          </w:p>
        </w:tc>
        <w:tc>
          <w:tcPr>
            <w:tcW w:w="159" w:type="pct"/>
            <w:tcBorders>
              <w:tl2br w:val="nil"/>
              <w:tr2bl w:val="nil"/>
            </w:tcBorders>
            <w:noWrap w:val="0"/>
            <w:vAlign w:val="center"/>
          </w:tcPr>
          <w:p w14:paraId="4535341D">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650" w:type="pct"/>
            <w:tcBorders>
              <w:tl2br w:val="nil"/>
              <w:tr2bl w:val="nil"/>
            </w:tcBorders>
            <w:noWrap w:val="0"/>
            <w:vAlign w:val="center"/>
          </w:tcPr>
          <w:p w14:paraId="0DF8662B">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施工扬尘</w:t>
            </w:r>
          </w:p>
        </w:tc>
        <w:tc>
          <w:tcPr>
            <w:tcW w:w="1696" w:type="pct"/>
            <w:tcBorders>
              <w:tl2br w:val="nil"/>
              <w:tr2bl w:val="nil"/>
            </w:tcBorders>
            <w:noWrap w:val="0"/>
            <w:vAlign w:val="center"/>
          </w:tcPr>
          <w:p w14:paraId="5646933B">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洒水抑尘、车辆减速慢行、物料苫盖</w:t>
            </w:r>
          </w:p>
        </w:tc>
        <w:tc>
          <w:tcPr>
            <w:tcW w:w="409" w:type="pct"/>
            <w:tcBorders>
              <w:tl2br w:val="nil"/>
              <w:tr2bl w:val="nil"/>
            </w:tcBorders>
            <w:noWrap w:val="0"/>
            <w:vAlign w:val="center"/>
          </w:tcPr>
          <w:p w14:paraId="51F92BBB">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w:t>
            </w:r>
          </w:p>
        </w:tc>
        <w:tc>
          <w:tcPr>
            <w:tcW w:w="908" w:type="pct"/>
            <w:tcBorders>
              <w:tl2br w:val="nil"/>
              <w:tr2bl w:val="nil"/>
            </w:tcBorders>
            <w:noWrap w:val="0"/>
            <w:vAlign w:val="center"/>
          </w:tcPr>
          <w:p w14:paraId="2E1F8735">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017" w:type="pct"/>
            <w:tcBorders>
              <w:tl2br w:val="nil"/>
              <w:tr2bl w:val="nil"/>
            </w:tcBorders>
            <w:noWrap w:val="0"/>
            <w:vAlign w:val="center"/>
          </w:tcPr>
          <w:p w14:paraId="10D1D1FC">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48F044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158" w:type="pct"/>
            <w:vMerge w:val="continue"/>
            <w:tcBorders>
              <w:tl2br w:val="nil"/>
              <w:tr2bl w:val="nil"/>
            </w:tcBorders>
            <w:noWrap w:val="0"/>
            <w:vAlign w:val="center"/>
          </w:tcPr>
          <w:p w14:paraId="79F5ED6E">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p>
        </w:tc>
        <w:tc>
          <w:tcPr>
            <w:tcW w:w="159" w:type="pct"/>
            <w:tcBorders>
              <w:tl2br w:val="nil"/>
              <w:tr2bl w:val="nil"/>
            </w:tcBorders>
            <w:noWrap w:val="0"/>
            <w:vAlign w:val="center"/>
          </w:tcPr>
          <w:p w14:paraId="0EDEF258">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2</w:t>
            </w:r>
          </w:p>
        </w:tc>
        <w:tc>
          <w:tcPr>
            <w:tcW w:w="650" w:type="pct"/>
            <w:tcBorders>
              <w:tl2br w:val="nil"/>
              <w:tr2bl w:val="nil"/>
            </w:tcBorders>
            <w:noWrap w:val="0"/>
            <w:vAlign w:val="center"/>
          </w:tcPr>
          <w:p w14:paraId="59C45983">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施工</w:t>
            </w:r>
            <w:r>
              <w:rPr>
                <w:rFonts w:hint="default" w:ascii="Times New Roman" w:hAnsi="Times New Roman" w:eastAsia="宋体" w:cs="Times New Roman"/>
                <w:color w:val="auto"/>
              </w:rPr>
              <w:t>机械</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运输车辆产生的燃油废气</w:t>
            </w:r>
          </w:p>
        </w:tc>
        <w:tc>
          <w:tcPr>
            <w:tcW w:w="1696" w:type="pct"/>
            <w:tcBorders>
              <w:tl2br w:val="nil"/>
              <w:tr2bl w:val="nil"/>
            </w:tcBorders>
            <w:noWrap w:val="0"/>
            <w:vAlign w:val="center"/>
          </w:tcPr>
          <w:p w14:paraId="14B71A22">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使用合格燃料，加强施工管理</w:t>
            </w:r>
          </w:p>
        </w:tc>
        <w:tc>
          <w:tcPr>
            <w:tcW w:w="409" w:type="pct"/>
            <w:tcBorders>
              <w:tl2br w:val="nil"/>
              <w:tr2bl w:val="nil"/>
            </w:tcBorders>
            <w:noWrap w:val="0"/>
            <w:vAlign w:val="center"/>
          </w:tcPr>
          <w:p w14:paraId="18C92CCB">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w:t>
            </w:r>
          </w:p>
        </w:tc>
        <w:tc>
          <w:tcPr>
            <w:tcW w:w="908" w:type="pct"/>
            <w:tcBorders>
              <w:tl2br w:val="nil"/>
              <w:tr2bl w:val="nil"/>
            </w:tcBorders>
            <w:noWrap w:val="0"/>
            <w:vAlign w:val="center"/>
          </w:tcPr>
          <w:p w14:paraId="3041BC0B">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w:t>
            </w:r>
          </w:p>
        </w:tc>
        <w:tc>
          <w:tcPr>
            <w:tcW w:w="1017" w:type="pct"/>
            <w:tcBorders>
              <w:tl2br w:val="nil"/>
              <w:tr2bl w:val="nil"/>
            </w:tcBorders>
            <w:noWrap w:val="0"/>
            <w:vAlign w:val="center"/>
          </w:tcPr>
          <w:p w14:paraId="26B493A9">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w:t>
            </w:r>
          </w:p>
        </w:tc>
      </w:tr>
      <w:tr w14:paraId="4D70A0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158" w:type="pct"/>
            <w:vMerge w:val="restart"/>
            <w:tcBorders>
              <w:tl2br w:val="nil"/>
              <w:tr2bl w:val="nil"/>
            </w:tcBorders>
            <w:noWrap w:val="0"/>
            <w:vAlign w:val="center"/>
          </w:tcPr>
          <w:p w14:paraId="65E97599">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废水</w:t>
            </w:r>
          </w:p>
        </w:tc>
        <w:tc>
          <w:tcPr>
            <w:tcW w:w="159" w:type="pct"/>
            <w:tcBorders>
              <w:tl2br w:val="nil"/>
              <w:tr2bl w:val="nil"/>
            </w:tcBorders>
            <w:noWrap w:val="0"/>
            <w:vAlign w:val="center"/>
          </w:tcPr>
          <w:p w14:paraId="1279BF9B">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650" w:type="pct"/>
            <w:tcBorders>
              <w:tl2br w:val="nil"/>
              <w:tr2bl w:val="nil"/>
            </w:tcBorders>
            <w:noWrap w:val="0"/>
            <w:vAlign w:val="center"/>
          </w:tcPr>
          <w:p w14:paraId="785D6881">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试压废水</w:t>
            </w:r>
          </w:p>
        </w:tc>
        <w:tc>
          <w:tcPr>
            <w:tcW w:w="1696" w:type="pct"/>
            <w:tcBorders>
              <w:tl2br w:val="nil"/>
              <w:tr2bl w:val="nil"/>
            </w:tcBorders>
            <w:noWrap w:val="0"/>
            <w:vAlign w:val="center"/>
          </w:tcPr>
          <w:p w14:paraId="7E3A67A8">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循环利用</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沉淀后场地降尘用水</w:t>
            </w:r>
          </w:p>
        </w:tc>
        <w:tc>
          <w:tcPr>
            <w:tcW w:w="409" w:type="pct"/>
            <w:tcBorders>
              <w:tl2br w:val="nil"/>
              <w:tr2bl w:val="nil"/>
            </w:tcBorders>
            <w:noWrap w:val="0"/>
            <w:vAlign w:val="center"/>
          </w:tcPr>
          <w:p w14:paraId="61605B08">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908" w:type="pct"/>
            <w:tcBorders>
              <w:tl2br w:val="nil"/>
              <w:tr2bl w:val="nil"/>
            </w:tcBorders>
            <w:noWrap w:val="0"/>
            <w:vAlign w:val="center"/>
          </w:tcPr>
          <w:p w14:paraId="62127FD6">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不外排</w:t>
            </w:r>
          </w:p>
        </w:tc>
        <w:tc>
          <w:tcPr>
            <w:tcW w:w="1017" w:type="pct"/>
            <w:tcBorders>
              <w:tl2br w:val="nil"/>
              <w:tr2bl w:val="nil"/>
            </w:tcBorders>
            <w:noWrap w:val="0"/>
            <w:vAlign w:val="center"/>
          </w:tcPr>
          <w:p w14:paraId="4CB5EF16">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5A8AAF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158" w:type="pct"/>
            <w:vMerge w:val="continue"/>
            <w:tcBorders>
              <w:tl2br w:val="nil"/>
              <w:tr2bl w:val="nil"/>
            </w:tcBorders>
            <w:noWrap w:val="0"/>
            <w:vAlign w:val="center"/>
          </w:tcPr>
          <w:p w14:paraId="2F5AC1CB">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p>
        </w:tc>
        <w:tc>
          <w:tcPr>
            <w:tcW w:w="159" w:type="pct"/>
            <w:tcBorders>
              <w:tl2br w:val="nil"/>
              <w:tr2bl w:val="nil"/>
            </w:tcBorders>
            <w:noWrap w:val="0"/>
            <w:vAlign w:val="center"/>
          </w:tcPr>
          <w:p w14:paraId="2D37E61C">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w:t>
            </w:r>
          </w:p>
        </w:tc>
        <w:tc>
          <w:tcPr>
            <w:tcW w:w="650" w:type="pct"/>
            <w:tcBorders>
              <w:tl2br w:val="nil"/>
              <w:tr2bl w:val="nil"/>
            </w:tcBorders>
            <w:noWrap w:val="0"/>
            <w:vAlign w:val="center"/>
          </w:tcPr>
          <w:p w14:paraId="519A62CC">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生活污水</w:t>
            </w:r>
          </w:p>
        </w:tc>
        <w:tc>
          <w:tcPr>
            <w:tcW w:w="1696" w:type="pct"/>
            <w:tcBorders>
              <w:tl2br w:val="nil"/>
              <w:tr2bl w:val="nil"/>
            </w:tcBorders>
            <w:noWrap w:val="0"/>
            <w:vAlign w:val="center"/>
          </w:tcPr>
          <w:p w14:paraId="7375BC7C">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施工期不设置施工营地。施工现场产生的少量生活污水依托雄探1试采点</w:t>
            </w:r>
            <w:r>
              <w:rPr>
                <w:rFonts w:hint="eastAsia" w:cs="Times New Roman"/>
                <w:color w:val="auto"/>
                <w:lang w:eastAsia="zh-CN"/>
              </w:rPr>
              <w:t>。</w:t>
            </w:r>
          </w:p>
        </w:tc>
        <w:tc>
          <w:tcPr>
            <w:tcW w:w="409" w:type="pct"/>
            <w:tcBorders>
              <w:tl2br w:val="nil"/>
              <w:tr2bl w:val="nil"/>
            </w:tcBorders>
            <w:noWrap w:val="0"/>
            <w:vAlign w:val="center"/>
          </w:tcPr>
          <w:p w14:paraId="72D6BB67">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908" w:type="pct"/>
            <w:tcBorders>
              <w:tl2br w:val="nil"/>
              <w:tr2bl w:val="nil"/>
            </w:tcBorders>
            <w:noWrap w:val="0"/>
            <w:vAlign w:val="center"/>
          </w:tcPr>
          <w:p w14:paraId="3C592D3F">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不外排</w:t>
            </w:r>
          </w:p>
        </w:tc>
        <w:tc>
          <w:tcPr>
            <w:tcW w:w="1017" w:type="pct"/>
            <w:tcBorders>
              <w:tl2br w:val="nil"/>
              <w:tr2bl w:val="nil"/>
            </w:tcBorders>
            <w:noWrap w:val="0"/>
            <w:vAlign w:val="center"/>
          </w:tcPr>
          <w:p w14:paraId="01DA090B">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1BB4BE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158" w:type="pct"/>
            <w:tcBorders>
              <w:tl2br w:val="nil"/>
              <w:tr2bl w:val="nil"/>
            </w:tcBorders>
            <w:noWrap w:val="0"/>
            <w:vAlign w:val="center"/>
          </w:tcPr>
          <w:p w14:paraId="13BFB1CD">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噪声</w:t>
            </w:r>
          </w:p>
        </w:tc>
        <w:tc>
          <w:tcPr>
            <w:tcW w:w="159" w:type="pct"/>
            <w:tcBorders>
              <w:tl2br w:val="nil"/>
              <w:tr2bl w:val="nil"/>
            </w:tcBorders>
            <w:noWrap w:val="0"/>
            <w:vAlign w:val="center"/>
          </w:tcPr>
          <w:p w14:paraId="283E9314">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650" w:type="pct"/>
            <w:tcBorders>
              <w:tl2br w:val="nil"/>
              <w:tr2bl w:val="nil"/>
            </w:tcBorders>
            <w:noWrap w:val="0"/>
            <w:vAlign w:val="center"/>
          </w:tcPr>
          <w:p w14:paraId="157C64CB">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吊机、装载机、运输车辆</w:t>
            </w:r>
          </w:p>
        </w:tc>
        <w:tc>
          <w:tcPr>
            <w:tcW w:w="1696" w:type="pct"/>
            <w:tcBorders>
              <w:tl2br w:val="nil"/>
              <w:tr2bl w:val="nil"/>
            </w:tcBorders>
            <w:noWrap w:val="0"/>
            <w:vAlign w:val="center"/>
          </w:tcPr>
          <w:p w14:paraId="473CB55A">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选用低噪声设备、合理安排施工作业时间</w:t>
            </w:r>
            <w:r>
              <w:rPr>
                <w:rFonts w:hint="default" w:ascii="Times New Roman" w:hAnsi="Times New Roman" w:eastAsia="宋体" w:cs="Times New Roman"/>
                <w:color w:val="auto"/>
                <w:lang w:eastAsia="zh-CN"/>
              </w:rPr>
              <w:t>。</w:t>
            </w:r>
          </w:p>
        </w:tc>
        <w:tc>
          <w:tcPr>
            <w:tcW w:w="409" w:type="pct"/>
            <w:tcBorders>
              <w:tl2br w:val="nil"/>
              <w:tr2bl w:val="nil"/>
            </w:tcBorders>
            <w:noWrap w:val="0"/>
            <w:vAlign w:val="center"/>
          </w:tcPr>
          <w:p w14:paraId="234B39C8">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908" w:type="pct"/>
            <w:tcBorders>
              <w:tl2br w:val="nil"/>
              <w:tr2bl w:val="nil"/>
            </w:tcBorders>
            <w:noWrap w:val="0"/>
            <w:vAlign w:val="center"/>
          </w:tcPr>
          <w:p w14:paraId="1E5940AF">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017" w:type="pct"/>
            <w:tcBorders>
              <w:tl2br w:val="nil"/>
              <w:tr2bl w:val="nil"/>
            </w:tcBorders>
            <w:noWrap w:val="0"/>
            <w:vAlign w:val="center"/>
          </w:tcPr>
          <w:p w14:paraId="7EBAD105">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3A0ED4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158" w:type="pct"/>
            <w:vMerge w:val="restart"/>
            <w:tcBorders>
              <w:tl2br w:val="nil"/>
              <w:tr2bl w:val="nil"/>
            </w:tcBorders>
            <w:noWrap w:val="0"/>
            <w:vAlign w:val="center"/>
          </w:tcPr>
          <w:p w14:paraId="258CD6CB">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固废</w:t>
            </w:r>
          </w:p>
        </w:tc>
        <w:tc>
          <w:tcPr>
            <w:tcW w:w="159" w:type="pct"/>
            <w:tcBorders>
              <w:tl2br w:val="nil"/>
              <w:tr2bl w:val="nil"/>
            </w:tcBorders>
            <w:noWrap w:val="0"/>
            <w:vAlign w:val="center"/>
          </w:tcPr>
          <w:p w14:paraId="1EB4B191">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1</w:t>
            </w:r>
          </w:p>
        </w:tc>
        <w:tc>
          <w:tcPr>
            <w:tcW w:w="650" w:type="pct"/>
            <w:tcBorders>
              <w:tl2br w:val="nil"/>
              <w:tr2bl w:val="nil"/>
            </w:tcBorders>
            <w:noWrap w:val="0"/>
            <w:vAlign w:val="center"/>
          </w:tcPr>
          <w:p w14:paraId="17A7762E">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施工土方</w:t>
            </w:r>
          </w:p>
        </w:tc>
        <w:tc>
          <w:tcPr>
            <w:tcW w:w="1696" w:type="pct"/>
            <w:tcBorders>
              <w:tl2br w:val="nil"/>
              <w:tr2bl w:val="nil"/>
            </w:tcBorders>
            <w:noWrap w:val="0"/>
            <w:vAlign w:val="center"/>
          </w:tcPr>
          <w:p w14:paraId="573C7F07">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全部用于管沟和</w:t>
            </w:r>
            <w:r>
              <w:rPr>
                <w:rFonts w:hint="default" w:ascii="Times New Roman" w:hAnsi="Times New Roman" w:eastAsia="宋体" w:cs="Times New Roman"/>
                <w:color w:val="auto"/>
                <w:lang w:val="en-US" w:eastAsia="zh-CN"/>
              </w:rPr>
              <w:t>站</w:t>
            </w:r>
            <w:r>
              <w:rPr>
                <w:rFonts w:hint="default" w:ascii="Times New Roman" w:hAnsi="Times New Roman" w:eastAsia="宋体" w:cs="Times New Roman"/>
                <w:color w:val="auto"/>
              </w:rPr>
              <w:t>场回填</w:t>
            </w:r>
            <w:r>
              <w:rPr>
                <w:rFonts w:hint="default" w:ascii="Times New Roman" w:hAnsi="Times New Roman" w:eastAsia="宋体" w:cs="Times New Roman"/>
                <w:color w:val="auto"/>
                <w:lang w:eastAsia="zh-CN"/>
              </w:rPr>
              <w:t>。</w:t>
            </w:r>
          </w:p>
        </w:tc>
        <w:tc>
          <w:tcPr>
            <w:tcW w:w="409" w:type="pct"/>
            <w:tcBorders>
              <w:tl2br w:val="nil"/>
              <w:tr2bl w:val="nil"/>
            </w:tcBorders>
            <w:noWrap w:val="0"/>
            <w:vAlign w:val="center"/>
          </w:tcPr>
          <w:p w14:paraId="4FC33F15">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w:t>
            </w:r>
          </w:p>
        </w:tc>
        <w:tc>
          <w:tcPr>
            <w:tcW w:w="908" w:type="pct"/>
            <w:tcBorders>
              <w:tl2br w:val="nil"/>
              <w:tr2bl w:val="nil"/>
            </w:tcBorders>
            <w:noWrap w:val="0"/>
            <w:vAlign w:val="center"/>
          </w:tcPr>
          <w:p w14:paraId="7DCC9C24">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w:t>
            </w:r>
          </w:p>
        </w:tc>
        <w:tc>
          <w:tcPr>
            <w:tcW w:w="1017" w:type="pct"/>
            <w:tcBorders>
              <w:tl2br w:val="nil"/>
              <w:tr2bl w:val="nil"/>
            </w:tcBorders>
            <w:noWrap w:val="0"/>
            <w:vAlign w:val="center"/>
          </w:tcPr>
          <w:p w14:paraId="7BC925A6">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w:t>
            </w:r>
          </w:p>
        </w:tc>
      </w:tr>
      <w:tr w14:paraId="6124D5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158" w:type="pct"/>
            <w:vMerge w:val="continue"/>
            <w:tcBorders>
              <w:tl2br w:val="nil"/>
              <w:tr2bl w:val="nil"/>
            </w:tcBorders>
            <w:noWrap w:val="0"/>
            <w:vAlign w:val="center"/>
          </w:tcPr>
          <w:p w14:paraId="120B05F8">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p>
        </w:tc>
        <w:tc>
          <w:tcPr>
            <w:tcW w:w="159" w:type="pct"/>
            <w:tcBorders>
              <w:tl2br w:val="nil"/>
              <w:tr2bl w:val="nil"/>
            </w:tcBorders>
            <w:noWrap w:val="0"/>
            <w:vAlign w:val="center"/>
          </w:tcPr>
          <w:p w14:paraId="633B5142">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2</w:t>
            </w:r>
          </w:p>
        </w:tc>
        <w:tc>
          <w:tcPr>
            <w:tcW w:w="650" w:type="pct"/>
            <w:tcBorders>
              <w:tl2br w:val="nil"/>
              <w:tr2bl w:val="nil"/>
            </w:tcBorders>
            <w:noWrap w:val="0"/>
            <w:vAlign w:val="center"/>
          </w:tcPr>
          <w:p w14:paraId="0B5BC1A7">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施工废料</w:t>
            </w:r>
          </w:p>
        </w:tc>
        <w:tc>
          <w:tcPr>
            <w:tcW w:w="1696" w:type="pct"/>
            <w:tcBorders>
              <w:tl2br w:val="nil"/>
              <w:tr2bl w:val="nil"/>
            </w:tcBorders>
            <w:noWrap w:val="0"/>
            <w:vAlign w:val="center"/>
          </w:tcPr>
          <w:p w14:paraId="7235F75E">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部分回收利用，剩余收集后运至</w:t>
            </w:r>
            <w:r>
              <w:rPr>
                <w:rFonts w:hint="default" w:ascii="Times New Roman" w:hAnsi="Times New Roman" w:eastAsia="宋体" w:cs="Times New Roman"/>
                <w:color w:val="auto"/>
                <w:lang w:val="en-US" w:eastAsia="zh-CN"/>
              </w:rPr>
              <w:t>英买7固废场进行填埋处置。</w:t>
            </w:r>
          </w:p>
        </w:tc>
        <w:tc>
          <w:tcPr>
            <w:tcW w:w="409" w:type="pct"/>
            <w:tcBorders>
              <w:tl2br w:val="nil"/>
              <w:tr2bl w:val="nil"/>
            </w:tcBorders>
            <w:noWrap w:val="0"/>
            <w:vAlign w:val="center"/>
          </w:tcPr>
          <w:p w14:paraId="7113FC2F">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908" w:type="pct"/>
            <w:tcBorders>
              <w:tl2br w:val="nil"/>
              <w:tr2bl w:val="nil"/>
            </w:tcBorders>
            <w:noWrap w:val="0"/>
            <w:vAlign w:val="center"/>
          </w:tcPr>
          <w:p w14:paraId="1A02F32D">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017" w:type="pct"/>
            <w:tcBorders>
              <w:tl2br w:val="nil"/>
              <w:tr2bl w:val="nil"/>
            </w:tcBorders>
            <w:noWrap w:val="0"/>
            <w:vAlign w:val="center"/>
          </w:tcPr>
          <w:p w14:paraId="69332BDA">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6F437A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158" w:type="pct"/>
            <w:vMerge w:val="continue"/>
            <w:tcBorders>
              <w:tl2br w:val="nil"/>
              <w:tr2bl w:val="nil"/>
            </w:tcBorders>
            <w:noWrap w:val="0"/>
            <w:vAlign w:val="center"/>
          </w:tcPr>
          <w:p w14:paraId="7F0D4871">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p>
        </w:tc>
        <w:tc>
          <w:tcPr>
            <w:tcW w:w="159" w:type="pct"/>
            <w:tcBorders>
              <w:tl2br w:val="nil"/>
              <w:tr2bl w:val="nil"/>
            </w:tcBorders>
            <w:noWrap w:val="0"/>
            <w:vAlign w:val="center"/>
          </w:tcPr>
          <w:p w14:paraId="3441F8E2">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w:t>
            </w:r>
          </w:p>
        </w:tc>
        <w:tc>
          <w:tcPr>
            <w:tcW w:w="650" w:type="pct"/>
            <w:tcBorders>
              <w:tl2br w:val="nil"/>
              <w:tr2bl w:val="nil"/>
            </w:tcBorders>
            <w:noWrap w:val="0"/>
            <w:vAlign w:val="center"/>
          </w:tcPr>
          <w:p w14:paraId="52E5BD70">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生活垃圾</w:t>
            </w:r>
          </w:p>
        </w:tc>
        <w:tc>
          <w:tcPr>
            <w:tcW w:w="1696" w:type="pct"/>
            <w:tcBorders>
              <w:tl2br w:val="nil"/>
              <w:tr2bl w:val="nil"/>
            </w:tcBorders>
            <w:noWrap w:val="0"/>
            <w:vAlign w:val="center"/>
          </w:tcPr>
          <w:p w14:paraId="09F751E0">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施工区不设置施工营地，生活垃圾随车带走，现场不遗留。</w:t>
            </w:r>
          </w:p>
        </w:tc>
        <w:tc>
          <w:tcPr>
            <w:tcW w:w="409" w:type="pct"/>
            <w:tcBorders>
              <w:tl2br w:val="nil"/>
              <w:tr2bl w:val="nil"/>
            </w:tcBorders>
            <w:noWrap w:val="0"/>
            <w:vAlign w:val="center"/>
          </w:tcPr>
          <w:p w14:paraId="086FA224">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w:t>
            </w:r>
          </w:p>
        </w:tc>
        <w:tc>
          <w:tcPr>
            <w:tcW w:w="908" w:type="pct"/>
            <w:tcBorders>
              <w:tl2br w:val="nil"/>
              <w:tr2bl w:val="nil"/>
            </w:tcBorders>
            <w:noWrap w:val="0"/>
            <w:vAlign w:val="center"/>
          </w:tcPr>
          <w:p w14:paraId="51CE36D6">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w:t>
            </w:r>
          </w:p>
        </w:tc>
        <w:tc>
          <w:tcPr>
            <w:tcW w:w="1017" w:type="pct"/>
            <w:tcBorders>
              <w:tl2br w:val="nil"/>
              <w:tr2bl w:val="nil"/>
            </w:tcBorders>
            <w:noWrap w:val="0"/>
            <w:vAlign w:val="center"/>
          </w:tcPr>
          <w:p w14:paraId="3FE20094">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w:t>
            </w:r>
          </w:p>
        </w:tc>
      </w:tr>
      <w:tr w14:paraId="75D816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158" w:type="pct"/>
            <w:tcBorders>
              <w:tl2br w:val="nil"/>
              <w:tr2bl w:val="nil"/>
            </w:tcBorders>
            <w:noWrap w:val="0"/>
            <w:vAlign w:val="center"/>
          </w:tcPr>
          <w:p w14:paraId="1A8B8E6D">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生态</w:t>
            </w:r>
          </w:p>
        </w:tc>
        <w:tc>
          <w:tcPr>
            <w:tcW w:w="159" w:type="pct"/>
            <w:tcBorders>
              <w:tl2br w:val="nil"/>
              <w:tr2bl w:val="nil"/>
            </w:tcBorders>
            <w:noWrap w:val="0"/>
            <w:vAlign w:val="center"/>
          </w:tcPr>
          <w:p w14:paraId="4D8006DC">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650" w:type="pct"/>
            <w:tcBorders>
              <w:tl2br w:val="nil"/>
              <w:tr2bl w:val="nil"/>
            </w:tcBorders>
            <w:noWrap w:val="0"/>
            <w:vAlign w:val="center"/>
          </w:tcPr>
          <w:p w14:paraId="14B8B213">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生态恢复</w:t>
            </w:r>
          </w:p>
        </w:tc>
        <w:tc>
          <w:tcPr>
            <w:tcW w:w="1696" w:type="pct"/>
            <w:tcBorders>
              <w:tl2br w:val="nil"/>
              <w:tr2bl w:val="nil"/>
            </w:tcBorders>
            <w:noWrap w:val="0"/>
            <w:vAlign w:val="center"/>
          </w:tcPr>
          <w:p w14:paraId="6008DD02">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检查管道沿线生态恢复及水土保持措施落实情况</w:t>
            </w:r>
          </w:p>
        </w:tc>
        <w:tc>
          <w:tcPr>
            <w:tcW w:w="409" w:type="pct"/>
            <w:tcBorders>
              <w:tl2br w:val="nil"/>
              <w:tr2bl w:val="nil"/>
            </w:tcBorders>
            <w:noWrap w:val="0"/>
            <w:vAlign w:val="center"/>
          </w:tcPr>
          <w:p w14:paraId="60F135EF">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908" w:type="pct"/>
            <w:tcBorders>
              <w:tl2br w:val="nil"/>
              <w:tr2bl w:val="nil"/>
            </w:tcBorders>
            <w:noWrap w:val="0"/>
            <w:vAlign w:val="center"/>
          </w:tcPr>
          <w:p w14:paraId="3EF6C884">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1017" w:type="pct"/>
            <w:tcBorders>
              <w:tl2br w:val="nil"/>
              <w:tr2bl w:val="nil"/>
            </w:tcBorders>
            <w:noWrap w:val="0"/>
            <w:vAlign w:val="center"/>
          </w:tcPr>
          <w:p w14:paraId="31767F8A">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r>
      <w:tr w14:paraId="18238A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5000" w:type="pct"/>
            <w:gridSpan w:val="7"/>
            <w:tcBorders>
              <w:tl2br w:val="nil"/>
              <w:tr2bl w:val="nil"/>
            </w:tcBorders>
            <w:noWrap w:val="0"/>
            <w:vAlign w:val="center"/>
          </w:tcPr>
          <w:p w14:paraId="2F6B8E6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运营期</w:t>
            </w:r>
          </w:p>
        </w:tc>
      </w:tr>
      <w:tr w14:paraId="7B6922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158" w:type="pct"/>
            <w:tcBorders>
              <w:tl2br w:val="nil"/>
              <w:tr2bl w:val="nil"/>
            </w:tcBorders>
            <w:noWrap w:val="0"/>
            <w:vAlign w:val="center"/>
          </w:tcPr>
          <w:p w14:paraId="43DDE818">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bookmarkStart w:id="891" w:name="OLE_LINK400" w:colFirst="0" w:colLast="5"/>
            <w:bookmarkStart w:id="892" w:name="OLE_LINK151" w:colFirst="0" w:colLast="6"/>
            <w:r>
              <w:rPr>
                <w:rFonts w:hint="default" w:ascii="Times New Roman" w:hAnsi="Times New Roman" w:eastAsia="宋体" w:cs="Times New Roman"/>
                <w:color w:val="auto"/>
              </w:rPr>
              <w:t>类别</w:t>
            </w:r>
          </w:p>
        </w:tc>
        <w:tc>
          <w:tcPr>
            <w:tcW w:w="159" w:type="pct"/>
            <w:tcBorders>
              <w:tl2br w:val="nil"/>
              <w:tr2bl w:val="nil"/>
            </w:tcBorders>
            <w:noWrap w:val="0"/>
            <w:vAlign w:val="center"/>
          </w:tcPr>
          <w:p w14:paraId="694B39C7">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序号</w:t>
            </w:r>
          </w:p>
        </w:tc>
        <w:tc>
          <w:tcPr>
            <w:tcW w:w="650" w:type="pct"/>
            <w:tcBorders>
              <w:tl2br w:val="nil"/>
              <w:tr2bl w:val="nil"/>
            </w:tcBorders>
            <w:noWrap w:val="0"/>
            <w:vAlign w:val="center"/>
          </w:tcPr>
          <w:p w14:paraId="11DE2E13">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污染源</w:t>
            </w:r>
          </w:p>
        </w:tc>
        <w:tc>
          <w:tcPr>
            <w:tcW w:w="1696" w:type="pct"/>
            <w:tcBorders>
              <w:tl2br w:val="nil"/>
              <w:tr2bl w:val="nil"/>
            </w:tcBorders>
            <w:noWrap w:val="0"/>
            <w:vAlign w:val="center"/>
          </w:tcPr>
          <w:p w14:paraId="341815EE">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环保措施</w:t>
            </w:r>
          </w:p>
        </w:tc>
        <w:tc>
          <w:tcPr>
            <w:tcW w:w="409" w:type="pct"/>
            <w:tcBorders>
              <w:tl2br w:val="nil"/>
              <w:tr2bl w:val="nil"/>
            </w:tcBorders>
            <w:noWrap w:val="0"/>
            <w:vAlign w:val="center"/>
          </w:tcPr>
          <w:p w14:paraId="4E57F998">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台</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套</w:t>
            </w:r>
            <w:r>
              <w:rPr>
                <w:rFonts w:hint="default" w:ascii="Times New Roman" w:hAnsi="Times New Roman" w:eastAsia="宋体" w:cs="Times New Roman"/>
                <w:color w:val="auto"/>
                <w:lang w:eastAsia="zh-CN"/>
              </w:rPr>
              <w:t>）</w:t>
            </w:r>
          </w:p>
        </w:tc>
        <w:tc>
          <w:tcPr>
            <w:tcW w:w="908" w:type="pct"/>
            <w:tcBorders>
              <w:tl2br w:val="nil"/>
              <w:tr2bl w:val="nil"/>
            </w:tcBorders>
            <w:noWrap w:val="0"/>
            <w:vAlign w:val="center"/>
          </w:tcPr>
          <w:p w14:paraId="73C6AF20">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治理效果</w:t>
            </w:r>
          </w:p>
        </w:tc>
        <w:tc>
          <w:tcPr>
            <w:tcW w:w="1017" w:type="pct"/>
            <w:tcBorders>
              <w:tl2br w:val="nil"/>
              <w:tr2bl w:val="nil"/>
            </w:tcBorders>
            <w:noWrap w:val="0"/>
            <w:vAlign w:val="center"/>
          </w:tcPr>
          <w:p w14:paraId="6CCB7FE3">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验收标准</w:t>
            </w:r>
          </w:p>
        </w:tc>
      </w:tr>
      <w:bookmarkEnd w:id="891"/>
      <w:tr w14:paraId="1D2729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158" w:type="pct"/>
            <w:vMerge w:val="restart"/>
            <w:tcBorders>
              <w:tl2br w:val="nil"/>
              <w:tr2bl w:val="nil"/>
            </w:tcBorders>
            <w:noWrap w:val="0"/>
            <w:vAlign w:val="center"/>
          </w:tcPr>
          <w:p w14:paraId="0178597C">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lang w:val="en-US" w:eastAsia="zh-CN"/>
              </w:rPr>
            </w:pPr>
            <w:bookmarkStart w:id="893" w:name="OLE_LINK150" w:colFirst="1" w:colLast="6"/>
            <w:r>
              <w:rPr>
                <w:rFonts w:hint="eastAsia" w:cs="Times New Roman"/>
                <w:color w:val="auto"/>
                <w:lang w:val="en-US" w:eastAsia="zh-CN"/>
              </w:rPr>
              <w:t>废水</w:t>
            </w:r>
          </w:p>
        </w:tc>
        <w:tc>
          <w:tcPr>
            <w:tcW w:w="159" w:type="pct"/>
            <w:tcBorders>
              <w:tl2br w:val="nil"/>
              <w:tr2bl w:val="nil"/>
            </w:tcBorders>
            <w:noWrap w:val="0"/>
            <w:vAlign w:val="center"/>
          </w:tcPr>
          <w:p w14:paraId="4A4023F6">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lang w:val="en-US" w:eastAsia="zh-CN"/>
              </w:rPr>
            </w:pPr>
            <w:r>
              <w:rPr>
                <w:rFonts w:hint="eastAsia" w:cs="Times New Roman"/>
                <w:color w:val="auto"/>
                <w:lang w:val="en-US" w:eastAsia="zh-CN"/>
              </w:rPr>
              <w:t>1</w:t>
            </w:r>
          </w:p>
        </w:tc>
        <w:tc>
          <w:tcPr>
            <w:tcW w:w="650" w:type="pct"/>
            <w:tcBorders>
              <w:tl2br w:val="nil"/>
              <w:tr2bl w:val="nil"/>
            </w:tcBorders>
            <w:noWrap w:val="0"/>
            <w:vAlign w:val="center"/>
          </w:tcPr>
          <w:p w14:paraId="5A54A7E6">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rPr>
              <w:t>生活污水</w:t>
            </w:r>
          </w:p>
        </w:tc>
        <w:tc>
          <w:tcPr>
            <w:tcW w:w="1696" w:type="pct"/>
            <w:tcBorders>
              <w:tl2br w:val="nil"/>
              <w:tr2bl w:val="nil"/>
            </w:tcBorders>
            <w:noWrap w:val="0"/>
            <w:vAlign w:val="center"/>
          </w:tcPr>
          <w:p w14:paraId="728F7B47">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rPr>
              <w:t>生活污水暂存于生活污水池，定期由罐车拉运至英买力作业区生活污水处理装置处置。</w:t>
            </w:r>
          </w:p>
        </w:tc>
        <w:tc>
          <w:tcPr>
            <w:tcW w:w="409" w:type="pct"/>
            <w:tcBorders>
              <w:tl2br w:val="nil"/>
              <w:tr2bl w:val="nil"/>
            </w:tcBorders>
            <w:noWrap w:val="0"/>
            <w:vAlign w:val="center"/>
          </w:tcPr>
          <w:p w14:paraId="00A6C7CE">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lang w:val="en-US" w:eastAsia="zh-CN" w:bidi="ar-SA"/>
              </w:rPr>
            </w:pPr>
            <w:r>
              <w:rPr>
                <w:rFonts w:hint="eastAsia" w:ascii="Times New Roman" w:hAnsi="Times New Roman" w:eastAsia="宋体" w:cs="Times New Roman"/>
                <w:color w:val="auto"/>
                <w:lang w:val="en-US" w:eastAsia="zh-CN"/>
              </w:rPr>
              <w:t>-</w:t>
            </w:r>
          </w:p>
        </w:tc>
        <w:tc>
          <w:tcPr>
            <w:tcW w:w="908" w:type="pct"/>
            <w:tcBorders>
              <w:tl2br w:val="nil"/>
              <w:tr2bl w:val="nil"/>
            </w:tcBorders>
            <w:noWrap w:val="0"/>
            <w:vAlign w:val="center"/>
          </w:tcPr>
          <w:p w14:paraId="0DB14220">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lang w:val="en-US" w:eastAsia="zh-CN" w:bidi="ar-SA"/>
              </w:rPr>
            </w:pPr>
            <w:r>
              <w:rPr>
                <w:rFonts w:hint="eastAsia" w:ascii="Times New Roman" w:hAnsi="Times New Roman" w:eastAsia="宋体" w:cs="Times New Roman"/>
                <w:color w:val="auto"/>
                <w:lang w:val="en-US" w:eastAsia="zh-CN"/>
              </w:rPr>
              <w:t>-</w:t>
            </w:r>
          </w:p>
        </w:tc>
        <w:tc>
          <w:tcPr>
            <w:tcW w:w="1017" w:type="pct"/>
            <w:tcBorders>
              <w:tl2br w:val="nil"/>
              <w:tr2bl w:val="nil"/>
            </w:tcBorders>
            <w:noWrap w:val="0"/>
            <w:vAlign w:val="center"/>
          </w:tcPr>
          <w:p w14:paraId="40A34095">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rPr>
              <w:t>《农村生活污水处理排放标准》(DB65 4275-2019</w:t>
            </w:r>
            <w:r>
              <w:rPr>
                <w:rFonts w:hint="eastAsia" w:cs="Times New Roman"/>
                <w:color w:val="auto"/>
                <w:lang w:eastAsia="zh-CN"/>
              </w:rPr>
              <w:t>）</w:t>
            </w:r>
            <w:r>
              <w:rPr>
                <w:rFonts w:hint="default" w:ascii="Times New Roman" w:hAnsi="Times New Roman" w:eastAsia="宋体" w:cs="Times New Roman"/>
                <w:color w:val="auto"/>
              </w:rPr>
              <w:t>表2中C级标准</w:t>
            </w:r>
          </w:p>
        </w:tc>
      </w:tr>
      <w:tr w14:paraId="1D68B7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158" w:type="pct"/>
            <w:vMerge w:val="continue"/>
            <w:tcBorders>
              <w:tl2br w:val="nil"/>
              <w:tr2bl w:val="nil"/>
            </w:tcBorders>
            <w:noWrap w:val="0"/>
            <w:vAlign w:val="center"/>
          </w:tcPr>
          <w:p w14:paraId="2E19C351">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p>
        </w:tc>
        <w:tc>
          <w:tcPr>
            <w:tcW w:w="159" w:type="pct"/>
            <w:tcBorders>
              <w:tl2br w:val="nil"/>
              <w:tr2bl w:val="nil"/>
            </w:tcBorders>
            <w:noWrap w:val="0"/>
            <w:vAlign w:val="center"/>
          </w:tcPr>
          <w:p w14:paraId="04AA2506">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lang w:val="en-US" w:eastAsia="zh-CN"/>
              </w:rPr>
            </w:pPr>
            <w:r>
              <w:rPr>
                <w:rFonts w:hint="eastAsia" w:cs="Times New Roman"/>
                <w:color w:val="auto"/>
                <w:lang w:val="en-US" w:eastAsia="zh-CN"/>
              </w:rPr>
              <w:t>3</w:t>
            </w:r>
          </w:p>
        </w:tc>
        <w:tc>
          <w:tcPr>
            <w:tcW w:w="650" w:type="pct"/>
            <w:tcBorders>
              <w:tl2br w:val="nil"/>
              <w:tr2bl w:val="nil"/>
            </w:tcBorders>
            <w:noWrap w:val="0"/>
            <w:vAlign w:val="center"/>
          </w:tcPr>
          <w:p w14:paraId="2EA5F3BF">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rPr>
              <w:t>井下作业废水</w:t>
            </w:r>
          </w:p>
        </w:tc>
        <w:tc>
          <w:tcPr>
            <w:tcW w:w="1696" w:type="pct"/>
            <w:tcBorders>
              <w:tl2br w:val="nil"/>
              <w:tr2bl w:val="nil"/>
            </w:tcBorders>
            <w:noWrap w:val="0"/>
            <w:vAlign w:val="center"/>
          </w:tcPr>
          <w:p w14:paraId="7EB91A2D">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rPr>
              <w:t>井下作业废水自带回收罐回收作业废水，拉运至英买力油田钻试修废弃物环保处理站处理</w:t>
            </w:r>
          </w:p>
        </w:tc>
        <w:tc>
          <w:tcPr>
            <w:tcW w:w="409" w:type="pct"/>
            <w:tcBorders>
              <w:tl2br w:val="nil"/>
              <w:tr2bl w:val="nil"/>
            </w:tcBorders>
            <w:noWrap w:val="0"/>
            <w:vAlign w:val="center"/>
          </w:tcPr>
          <w:p w14:paraId="48459642">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lang w:val="en-US" w:eastAsia="zh-CN" w:bidi="ar-SA"/>
              </w:rPr>
            </w:pPr>
            <w:r>
              <w:rPr>
                <w:rFonts w:hint="eastAsia" w:ascii="Times New Roman" w:hAnsi="Times New Roman" w:eastAsia="宋体" w:cs="Times New Roman"/>
                <w:color w:val="auto"/>
                <w:lang w:val="en-US" w:eastAsia="zh-CN"/>
              </w:rPr>
              <w:t>-</w:t>
            </w:r>
          </w:p>
        </w:tc>
        <w:tc>
          <w:tcPr>
            <w:tcW w:w="908" w:type="pct"/>
            <w:tcBorders>
              <w:tl2br w:val="nil"/>
              <w:tr2bl w:val="nil"/>
            </w:tcBorders>
            <w:noWrap w:val="0"/>
            <w:vAlign w:val="center"/>
          </w:tcPr>
          <w:p w14:paraId="6394CCAA">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lang w:val="en-US" w:eastAsia="zh-CN" w:bidi="ar-SA"/>
              </w:rPr>
            </w:pPr>
            <w:r>
              <w:rPr>
                <w:rFonts w:hint="eastAsia" w:ascii="Times New Roman" w:hAnsi="Times New Roman" w:eastAsia="宋体" w:cs="Times New Roman"/>
                <w:color w:val="auto"/>
                <w:lang w:val="en-US" w:eastAsia="zh-CN"/>
              </w:rPr>
              <w:t>-</w:t>
            </w:r>
          </w:p>
        </w:tc>
        <w:tc>
          <w:tcPr>
            <w:tcW w:w="1017" w:type="pct"/>
            <w:tcBorders>
              <w:tl2br w:val="nil"/>
              <w:tr2bl w:val="nil"/>
            </w:tcBorders>
            <w:noWrap w:val="0"/>
            <w:vAlign w:val="center"/>
          </w:tcPr>
          <w:p w14:paraId="49DC4620">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lang w:val="en-US" w:eastAsia="zh-CN" w:bidi="ar-SA"/>
              </w:rPr>
            </w:pPr>
            <w:r>
              <w:rPr>
                <w:rFonts w:hint="eastAsia" w:ascii="Times New Roman" w:hAnsi="Times New Roman" w:eastAsia="宋体" w:cs="Times New Roman"/>
                <w:color w:val="auto"/>
                <w:lang w:val="en-US" w:eastAsia="zh-CN"/>
              </w:rPr>
              <w:t>-</w:t>
            </w:r>
          </w:p>
        </w:tc>
      </w:tr>
      <w:bookmarkEnd w:id="892"/>
      <w:tr w14:paraId="3F60FB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8" w:hRule="atLeast"/>
          <w:jc w:val="center"/>
        </w:trPr>
        <w:tc>
          <w:tcPr>
            <w:tcW w:w="158" w:type="pct"/>
            <w:vMerge w:val="restart"/>
            <w:tcBorders>
              <w:tl2br w:val="nil"/>
              <w:tr2bl w:val="nil"/>
            </w:tcBorders>
            <w:noWrap w:val="0"/>
            <w:vAlign w:val="center"/>
          </w:tcPr>
          <w:p w14:paraId="046D1F6B">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废气</w:t>
            </w:r>
          </w:p>
        </w:tc>
        <w:tc>
          <w:tcPr>
            <w:tcW w:w="159" w:type="pct"/>
            <w:vMerge w:val="restart"/>
            <w:tcBorders>
              <w:tl2br w:val="nil"/>
              <w:tr2bl w:val="nil"/>
            </w:tcBorders>
            <w:noWrap w:val="0"/>
            <w:vAlign w:val="center"/>
          </w:tcPr>
          <w:p w14:paraId="5F1EE7BA">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lang w:val="en-US" w:eastAsia="zh-CN"/>
              </w:rPr>
            </w:pPr>
            <w:r>
              <w:rPr>
                <w:rFonts w:hint="eastAsia" w:cs="Times New Roman"/>
                <w:color w:val="auto"/>
                <w:lang w:val="en-US" w:eastAsia="zh-CN"/>
              </w:rPr>
              <w:t>1</w:t>
            </w:r>
          </w:p>
        </w:tc>
        <w:tc>
          <w:tcPr>
            <w:tcW w:w="650" w:type="pct"/>
            <w:vMerge w:val="restart"/>
            <w:tcBorders>
              <w:tl2br w:val="nil"/>
              <w:tr2bl w:val="nil"/>
            </w:tcBorders>
            <w:noWrap w:val="0"/>
            <w:vAlign w:val="center"/>
          </w:tcPr>
          <w:p w14:paraId="4215F298">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井场加热炉</w:t>
            </w:r>
          </w:p>
        </w:tc>
        <w:tc>
          <w:tcPr>
            <w:tcW w:w="1696" w:type="pct"/>
            <w:vMerge w:val="restart"/>
            <w:tcBorders>
              <w:tl2br w:val="nil"/>
              <w:tr2bl w:val="nil"/>
            </w:tcBorders>
            <w:noWrap w:val="0"/>
            <w:vAlign w:val="center"/>
          </w:tcPr>
          <w:p w14:paraId="59A76FF0">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使用净化后的天然气为燃料，采用高效的燃烧设施（低氮燃烧），排气筒高度应不低于8m</w:t>
            </w:r>
          </w:p>
        </w:tc>
        <w:tc>
          <w:tcPr>
            <w:tcW w:w="409" w:type="pct"/>
            <w:vMerge w:val="restart"/>
            <w:tcBorders>
              <w:tl2br w:val="nil"/>
              <w:tr2bl w:val="nil"/>
            </w:tcBorders>
            <w:noWrap w:val="0"/>
            <w:vAlign w:val="center"/>
          </w:tcPr>
          <w:p w14:paraId="6F4CCF97">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w:t>
            </w:r>
          </w:p>
        </w:tc>
        <w:tc>
          <w:tcPr>
            <w:tcW w:w="908" w:type="pct"/>
            <w:tcBorders>
              <w:tl2br w:val="nil"/>
              <w:tr2bl w:val="nil"/>
            </w:tcBorders>
            <w:noWrap w:val="0"/>
            <w:vAlign w:val="center"/>
          </w:tcPr>
          <w:p w14:paraId="73986926">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bookmarkStart w:id="894" w:name="OLE_LINK152"/>
            <w:r>
              <w:rPr>
                <w:rFonts w:hint="eastAsia" w:ascii="Times New Roman" w:hAnsi="Times New Roman" w:eastAsia="宋体" w:cs="Times New Roman"/>
                <w:color w:val="auto"/>
                <w:lang w:val="en-US" w:eastAsia="zh-CN"/>
              </w:rPr>
              <w:t>颗粒物</w:t>
            </w:r>
            <w:r>
              <w:rPr>
                <w:rFonts w:hint="default" w:ascii="Times New Roman" w:hAnsi="Times New Roman" w:eastAsia="宋体" w:cs="Times New Roman"/>
                <w:color w:val="auto"/>
              </w:rPr>
              <w:t>20mg/m³</w:t>
            </w:r>
            <w:bookmarkEnd w:id="894"/>
          </w:p>
        </w:tc>
        <w:tc>
          <w:tcPr>
            <w:tcW w:w="1017" w:type="pct"/>
            <w:vMerge w:val="restart"/>
            <w:tcBorders>
              <w:tl2br w:val="nil"/>
              <w:tr2bl w:val="nil"/>
            </w:tcBorders>
            <w:noWrap w:val="0"/>
            <w:vAlign w:val="center"/>
          </w:tcPr>
          <w:p w14:paraId="61558A68">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《锅炉大气污染物排放标准》（GB13271-2014）表2浓度限值</w:t>
            </w:r>
          </w:p>
        </w:tc>
      </w:tr>
      <w:tr w14:paraId="76D6B3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8" w:hRule="atLeast"/>
          <w:jc w:val="center"/>
        </w:trPr>
        <w:tc>
          <w:tcPr>
            <w:tcW w:w="158" w:type="pct"/>
            <w:vMerge w:val="continue"/>
            <w:tcBorders>
              <w:tl2br w:val="nil"/>
              <w:tr2bl w:val="nil"/>
            </w:tcBorders>
            <w:noWrap w:val="0"/>
            <w:vAlign w:val="center"/>
          </w:tcPr>
          <w:p w14:paraId="6B0229D4">
            <w:pPr>
              <w:keepNext w:val="0"/>
              <w:keepLines w:val="0"/>
              <w:pageBreakBefore w:val="0"/>
              <w:widowControl w:val="0"/>
              <w:kinsoku/>
              <w:wordWrap/>
              <w:overflowPunct/>
              <w:topLinePunct w:val="0"/>
              <w:autoSpaceDE/>
              <w:autoSpaceDN/>
              <w:bidi w:val="0"/>
              <w:adjustRightInd/>
              <w:snapToGrid/>
              <w:textAlignment w:val="auto"/>
              <w:rPr>
                <w:color w:val="auto"/>
              </w:rPr>
            </w:pPr>
          </w:p>
        </w:tc>
        <w:tc>
          <w:tcPr>
            <w:tcW w:w="159" w:type="pct"/>
            <w:vMerge w:val="continue"/>
            <w:tcBorders>
              <w:tl2br w:val="nil"/>
              <w:tr2bl w:val="nil"/>
            </w:tcBorders>
            <w:noWrap w:val="0"/>
            <w:vAlign w:val="center"/>
          </w:tcPr>
          <w:p w14:paraId="3EB91986">
            <w:pPr>
              <w:keepNext w:val="0"/>
              <w:keepLines w:val="0"/>
              <w:pageBreakBefore w:val="0"/>
              <w:widowControl w:val="0"/>
              <w:kinsoku/>
              <w:wordWrap/>
              <w:overflowPunct/>
              <w:topLinePunct w:val="0"/>
              <w:autoSpaceDE/>
              <w:autoSpaceDN/>
              <w:bidi w:val="0"/>
              <w:adjustRightInd/>
              <w:snapToGrid/>
              <w:textAlignment w:val="auto"/>
              <w:rPr>
                <w:color w:val="auto"/>
              </w:rPr>
            </w:pPr>
          </w:p>
        </w:tc>
        <w:tc>
          <w:tcPr>
            <w:tcW w:w="650" w:type="pct"/>
            <w:vMerge w:val="continue"/>
            <w:tcBorders>
              <w:tl2br w:val="nil"/>
              <w:tr2bl w:val="nil"/>
            </w:tcBorders>
            <w:noWrap w:val="0"/>
            <w:vAlign w:val="center"/>
          </w:tcPr>
          <w:p w14:paraId="44C90FEC">
            <w:pPr>
              <w:keepNext w:val="0"/>
              <w:keepLines w:val="0"/>
              <w:pageBreakBefore w:val="0"/>
              <w:widowControl w:val="0"/>
              <w:kinsoku/>
              <w:wordWrap/>
              <w:overflowPunct/>
              <w:topLinePunct w:val="0"/>
              <w:autoSpaceDE/>
              <w:autoSpaceDN/>
              <w:bidi w:val="0"/>
              <w:adjustRightInd/>
              <w:snapToGrid/>
              <w:textAlignment w:val="auto"/>
              <w:rPr>
                <w:color w:val="auto"/>
              </w:rPr>
            </w:pPr>
          </w:p>
        </w:tc>
        <w:tc>
          <w:tcPr>
            <w:tcW w:w="1696" w:type="pct"/>
            <w:vMerge w:val="continue"/>
            <w:tcBorders>
              <w:tl2br w:val="nil"/>
              <w:tr2bl w:val="nil"/>
            </w:tcBorders>
            <w:noWrap w:val="0"/>
            <w:vAlign w:val="center"/>
          </w:tcPr>
          <w:p w14:paraId="4DFAB9BB">
            <w:pPr>
              <w:keepNext w:val="0"/>
              <w:keepLines w:val="0"/>
              <w:pageBreakBefore w:val="0"/>
              <w:widowControl w:val="0"/>
              <w:kinsoku/>
              <w:wordWrap/>
              <w:overflowPunct/>
              <w:topLinePunct w:val="0"/>
              <w:autoSpaceDE/>
              <w:autoSpaceDN/>
              <w:bidi w:val="0"/>
              <w:adjustRightInd/>
              <w:snapToGrid/>
              <w:textAlignment w:val="auto"/>
              <w:rPr>
                <w:color w:val="auto"/>
              </w:rPr>
            </w:pPr>
          </w:p>
        </w:tc>
        <w:tc>
          <w:tcPr>
            <w:tcW w:w="409" w:type="pct"/>
            <w:vMerge w:val="continue"/>
            <w:tcBorders>
              <w:tl2br w:val="nil"/>
              <w:tr2bl w:val="nil"/>
            </w:tcBorders>
            <w:noWrap w:val="0"/>
            <w:vAlign w:val="center"/>
          </w:tcPr>
          <w:p w14:paraId="7FE75ED0">
            <w:pPr>
              <w:keepNext w:val="0"/>
              <w:keepLines w:val="0"/>
              <w:pageBreakBefore w:val="0"/>
              <w:widowControl w:val="0"/>
              <w:kinsoku/>
              <w:wordWrap/>
              <w:overflowPunct/>
              <w:topLinePunct w:val="0"/>
              <w:autoSpaceDE/>
              <w:autoSpaceDN/>
              <w:bidi w:val="0"/>
              <w:adjustRightInd/>
              <w:snapToGrid/>
              <w:textAlignment w:val="auto"/>
              <w:rPr>
                <w:color w:val="auto"/>
              </w:rPr>
            </w:pPr>
          </w:p>
        </w:tc>
        <w:tc>
          <w:tcPr>
            <w:tcW w:w="908" w:type="pct"/>
            <w:tcBorders>
              <w:tl2br w:val="nil"/>
              <w:tr2bl w:val="nil"/>
            </w:tcBorders>
            <w:noWrap w:val="0"/>
            <w:vAlign w:val="center"/>
          </w:tcPr>
          <w:p w14:paraId="1C7CDCE0">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SO</w:t>
            </w:r>
            <w:bookmarkStart w:id="895" w:name="OLE_LINK153"/>
            <w:r>
              <w:rPr>
                <w:rFonts w:hint="default" w:ascii="Times New Roman" w:hAnsi="Times New Roman" w:eastAsia="宋体" w:cs="Times New Roman"/>
                <w:color w:val="auto"/>
                <w:vertAlign w:val="subscript"/>
              </w:rPr>
              <w:t>2</w:t>
            </w:r>
            <w:bookmarkEnd w:id="895"/>
            <w:r>
              <w:rPr>
                <w:rFonts w:hint="eastAsia" w:cs="Times New Roman"/>
                <w:color w:val="auto"/>
                <w:vertAlign w:val="subscript"/>
                <w:lang w:val="en-US" w:eastAsia="zh-CN"/>
              </w:rPr>
              <w:t xml:space="preserve"> </w:t>
            </w:r>
            <w:r>
              <w:rPr>
                <w:rFonts w:hint="default" w:ascii="Times New Roman" w:hAnsi="Times New Roman" w:eastAsia="宋体" w:cs="Times New Roman"/>
                <w:color w:val="auto"/>
              </w:rPr>
              <w:t>50mg/m³</w:t>
            </w:r>
          </w:p>
        </w:tc>
        <w:tc>
          <w:tcPr>
            <w:tcW w:w="1017" w:type="pct"/>
            <w:vMerge w:val="continue"/>
            <w:tcBorders>
              <w:tl2br w:val="nil"/>
              <w:tr2bl w:val="nil"/>
            </w:tcBorders>
            <w:noWrap w:val="0"/>
            <w:vAlign w:val="center"/>
          </w:tcPr>
          <w:p w14:paraId="42EBFAFB">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p>
        </w:tc>
      </w:tr>
      <w:tr w14:paraId="57AB16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8" w:hRule="atLeast"/>
          <w:jc w:val="center"/>
        </w:trPr>
        <w:tc>
          <w:tcPr>
            <w:tcW w:w="158" w:type="pct"/>
            <w:vMerge w:val="continue"/>
            <w:tcBorders>
              <w:tl2br w:val="nil"/>
              <w:tr2bl w:val="nil"/>
            </w:tcBorders>
            <w:noWrap w:val="0"/>
            <w:vAlign w:val="center"/>
          </w:tcPr>
          <w:p w14:paraId="59272801">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p>
        </w:tc>
        <w:tc>
          <w:tcPr>
            <w:tcW w:w="159" w:type="pct"/>
            <w:vMerge w:val="continue"/>
            <w:tcBorders>
              <w:tl2br w:val="nil"/>
              <w:tr2bl w:val="nil"/>
            </w:tcBorders>
            <w:noWrap w:val="0"/>
            <w:vAlign w:val="center"/>
          </w:tcPr>
          <w:p w14:paraId="1247E92C">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p>
        </w:tc>
        <w:tc>
          <w:tcPr>
            <w:tcW w:w="650" w:type="pct"/>
            <w:vMerge w:val="continue"/>
            <w:tcBorders>
              <w:tl2br w:val="nil"/>
              <w:tr2bl w:val="nil"/>
            </w:tcBorders>
            <w:noWrap w:val="0"/>
            <w:vAlign w:val="center"/>
          </w:tcPr>
          <w:p w14:paraId="661FBE94">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p>
        </w:tc>
        <w:tc>
          <w:tcPr>
            <w:tcW w:w="1696" w:type="pct"/>
            <w:vMerge w:val="continue"/>
            <w:tcBorders>
              <w:tl2br w:val="nil"/>
              <w:tr2bl w:val="nil"/>
            </w:tcBorders>
            <w:noWrap w:val="0"/>
            <w:vAlign w:val="center"/>
          </w:tcPr>
          <w:p w14:paraId="29A314B1">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p>
        </w:tc>
        <w:tc>
          <w:tcPr>
            <w:tcW w:w="409" w:type="pct"/>
            <w:vMerge w:val="continue"/>
            <w:tcBorders>
              <w:tl2br w:val="nil"/>
              <w:tr2bl w:val="nil"/>
            </w:tcBorders>
            <w:noWrap w:val="0"/>
            <w:vAlign w:val="center"/>
          </w:tcPr>
          <w:p w14:paraId="00E2305D">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p>
        </w:tc>
        <w:tc>
          <w:tcPr>
            <w:tcW w:w="908" w:type="pct"/>
            <w:tcBorders>
              <w:tl2br w:val="nil"/>
              <w:tr2bl w:val="nil"/>
            </w:tcBorders>
            <w:noWrap w:val="0"/>
            <w:vAlign w:val="center"/>
          </w:tcPr>
          <w:p w14:paraId="4DE106C2">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NOx</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200mg/m³</w:t>
            </w:r>
          </w:p>
        </w:tc>
        <w:tc>
          <w:tcPr>
            <w:tcW w:w="1017" w:type="pct"/>
            <w:vMerge w:val="continue"/>
            <w:tcBorders>
              <w:tl2br w:val="nil"/>
              <w:tr2bl w:val="nil"/>
            </w:tcBorders>
            <w:noWrap w:val="0"/>
            <w:vAlign w:val="center"/>
          </w:tcPr>
          <w:p w14:paraId="3B83ACC0">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p>
        </w:tc>
      </w:tr>
      <w:tr w14:paraId="708D51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95" w:hRule="atLeast"/>
          <w:jc w:val="center"/>
        </w:trPr>
        <w:tc>
          <w:tcPr>
            <w:tcW w:w="158" w:type="pct"/>
            <w:vMerge w:val="continue"/>
            <w:tcBorders>
              <w:tl2br w:val="nil"/>
              <w:tr2bl w:val="nil"/>
            </w:tcBorders>
            <w:noWrap w:val="0"/>
            <w:vAlign w:val="center"/>
          </w:tcPr>
          <w:p w14:paraId="267B0DCB">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p>
        </w:tc>
        <w:tc>
          <w:tcPr>
            <w:tcW w:w="159" w:type="pct"/>
            <w:vMerge w:val="restart"/>
            <w:tcBorders>
              <w:tl2br w:val="nil"/>
              <w:tr2bl w:val="nil"/>
            </w:tcBorders>
            <w:noWrap w:val="0"/>
            <w:vAlign w:val="center"/>
          </w:tcPr>
          <w:p w14:paraId="77C14A13">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2</w:t>
            </w:r>
          </w:p>
        </w:tc>
        <w:tc>
          <w:tcPr>
            <w:tcW w:w="650" w:type="pct"/>
            <w:vMerge w:val="restart"/>
            <w:tcBorders>
              <w:tl2br w:val="nil"/>
              <w:tr2bl w:val="nil"/>
            </w:tcBorders>
            <w:noWrap w:val="0"/>
            <w:vAlign w:val="center"/>
          </w:tcPr>
          <w:p w14:paraId="10538B1F">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井场、</w:t>
            </w:r>
            <w:r>
              <w:rPr>
                <w:rFonts w:hint="eastAsia" w:cs="Times New Roman"/>
                <w:color w:val="auto"/>
                <w:lang w:val="en-US" w:eastAsia="zh-CN"/>
              </w:rPr>
              <w:t>试采点</w:t>
            </w:r>
            <w:r>
              <w:rPr>
                <w:rFonts w:hint="default" w:ascii="Times New Roman" w:hAnsi="Times New Roman" w:eastAsia="宋体" w:cs="Times New Roman"/>
                <w:color w:val="auto"/>
              </w:rPr>
              <w:t>无组织</w:t>
            </w:r>
          </w:p>
          <w:p w14:paraId="790EA425">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废气</w:t>
            </w:r>
          </w:p>
        </w:tc>
        <w:tc>
          <w:tcPr>
            <w:tcW w:w="1696" w:type="pct"/>
            <w:vMerge w:val="restart"/>
            <w:tcBorders>
              <w:tl2br w:val="nil"/>
              <w:tr2bl w:val="nil"/>
            </w:tcBorders>
            <w:noWrap w:val="0"/>
            <w:vAlign w:val="center"/>
          </w:tcPr>
          <w:p w14:paraId="2D572DA1">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密闭管道、</w:t>
            </w:r>
            <w:r>
              <w:rPr>
                <w:rFonts w:hint="default" w:ascii="Times New Roman" w:hAnsi="Times New Roman" w:eastAsia="宋体" w:cs="Times New Roman"/>
                <w:color w:val="auto"/>
                <w:lang w:val="en-US" w:eastAsia="zh-CN"/>
              </w:rPr>
              <w:t>原油装车设置气相平衡系统、</w:t>
            </w:r>
            <w:r>
              <w:rPr>
                <w:rFonts w:hint="default" w:ascii="Times New Roman" w:hAnsi="Times New Roman" w:eastAsia="宋体" w:cs="Times New Roman"/>
                <w:color w:val="auto"/>
              </w:rPr>
              <w:t>阀门的检修和维护</w:t>
            </w:r>
            <w:r>
              <w:rPr>
                <w:rFonts w:hint="default" w:ascii="Times New Roman" w:hAnsi="Times New Roman" w:eastAsia="宋体" w:cs="Times New Roman"/>
                <w:color w:val="auto"/>
                <w:lang w:eastAsia="zh-CN"/>
              </w:rPr>
              <w:t>。</w:t>
            </w:r>
          </w:p>
        </w:tc>
        <w:tc>
          <w:tcPr>
            <w:tcW w:w="409" w:type="pct"/>
            <w:vMerge w:val="restart"/>
            <w:tcBorders>
              <w:tl2br w:val="nil"/>
              <w:tr2bl w:val="nil"/>
            </w:tcBorders>
            <w:noWrap w:val="0"/>
            <w:vAlign w:val="center"/>
          </w:tcPr>
          <w:p w14:paraId="7D39FAC9">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908" w:type="pct"/>
            <w:tcBorders>
              <w:tl2br w:val="nil"/>
              <w:tr2bl w:val="nil"/>
            </w:tcBorders>
            <w:noWrap w:val="0"/>
            <w:vAlign w:val="center"/>
          </w:tcPr>
          <w:p w14:paraId="61E561BF">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厂</w:t>
            </w:r>
            <w:r>
              <w:rPr>
                <w:rFonts w:hint="default" w:ascii="Times New Roman" w:hAnsi="Times New Roman" w:eastAsia="宋体" w:cs="Times New Roman"/>
                <w:color w:val="auto"/>
              </w:rPr>
              <w:t>界非甲烷总烃≤4.0mg/m</w:t>
            </w:r>
            <w:r>
              <w:rPr>
                <w:rFonts w:hint="default" w:ascii="Times New Roman" w:hAnsi="Times New Roman" w:eastAsia="宋体" w:cs="Times New Roman"/>
                <w:color w:val="auto"/>
                <w:vertAlign w:val="superscript"/>
              </w:rPr>
              <w:t>3</w:t>
            </w:r>
          </w:p>
        </w:tc>
        <w:tc>
          <w:tcPr>
            <w:tcW w:w="1017" w:type="pct"/>
            <w:tcBorders>
              <w:tl2br w:val="nil"/>
              <w:tr2bl w:val="nil"/>
            </w:tcBorders>
            <w:noWrap w:val="0"/>
            <w:vAlign w:val="center"/>
          </w:tcPr>
          <w:p w14:paraId="0507033F">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《陆上石油天然气开采工业大气污染物排放标准》（GB39728-</w:t>
            </w:r>
          </w:p>
          <w:p w14:paraId="74AEB71D">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2020</w:t>
            </w:r>
            <w:r>
              <w:rPr>
                <w:rFonts w:hint="eastAsia" w:cs="Times New Roman"/>
                <w:color w:val="auto"/>
                <w:lang w:eastAsia="zh-CN"/>
              </w:rPr>
              <w:t>)</w:t>
            </w:r>
          </w:p>
        </w:tc>
      </w:tr>
      <w:bookmarkEnd w:id="893"/>
      <w:tr w14:paraId="14F4A9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95" w:hRule="atLeast"/>
          <w:jc w:val="center"/>
        </w:trPr>
        <w:tc>
          <w:tcPr>
            <w:tcW w:w="158" w:type="pct"/>
            <w:vMerge w:val="continue"/>
            <w:tcBorders>
              <w:tl2br w:val="nil"/>
              <w:tr2bl w:val="nil"/>
            </w:tcBorders>
            <w:noWrap w:val="0"/>
            <w:vAlign w:val="center"/>
          </w:tcPr>
          <w:p w14:paraId="268963D1">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p>
        </w:tc>
        <w:tc>
          <w:tcPr>
            <w:tcW w:w="159" w:type="pct"/>
            <w:vMerge w:val="continue"/>
            <w:tcBorders>
              <w:tl2br w:val="nil"/>
              <w:tr2bl w:val="nil"/>
            </w:tcBorders>
            <w:noWrap w:val="0"/>
            <w:vAlign w:val="center"/>
          </w:tcPr>
          <w:p w14:paraId="7A4BB26C">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p>
        </w:tc>
        <w:tc>
          <w:tcPr>
            <w:tcW w:w="650" w:type="pct"/>
            <w:vMerge w:val="continue"/>
            <w:tcBorders>
              <w:tl2br w:val="nil"/>
              <w:tr2bl w:val="nil"/>
            </w:tcBorders>
            <w:noWrap w:val="0"/>
            <w:vAlign w:val="center"/>
          </w:tcPr>
          <w:p w14:paraId="0C6F25B1">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p>
        </w:tc>
        <w:tc>
          <w:tcPr>
            <w:tcW w:w="1696" w:type="pct"/>
            <w:vMerge w:val="continue"/>
            <w:tcBorders>
              <w:tl2br w:val="nil"/>
              <w:tr2bl w:val="nil"/>
            </w:tcBorders>
            <w:noWrap w:val="0"/>
            <w:vAlign w:val="center"/>
          </w:tcPr>
          <w:p w14:paraId="5897EF09">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p>
        </w:tc>
        <w:tc>
          <w:tcPr>
            <w:tcW w:w="409" w:type="pct"/>
            <w:vMerge w:val="continue"/>
            <w:tcBorders>
              <w:tl2br w:val="nil"/>
              <w:tr2bl w:val="nil"/>
            </w:tcBorders>
            <w:noWrap w:val="0"/>
            <w:vAlign w:val="center"/>
          </w:tcPr>
          <w:p w14:paraId="0D0F67AE">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p>
        </w:tc>
        <w:tc>
          <w:tcPr>
            <w:tcW w:w="908" w:type="pct"/>
            <w:tcBorders>
              <w:tl2br w:val="nil"/>
              <w:tr2bl w:val="nil"/>
            </w:tcBorders>
            <w:noWrap w:val="0"/>
            <w:vAlign w:val="center"/>
          </w:tcPr>
          <w:p w14:paraId="188DF5E1">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硫化氢≤0.06</w:t>
            </w:r>
            <w:r>
              <w:rPr>
                <w:rFonts w:hint="default" w:ascii="Times New Roman" w:hAnsi="Times New Roman" w:eastAsia="宋体" w:cs="Times New Roman"/>
                <w:color w:val="auto"/>
              </w:rPr>
              <w:t>mg/m</w:t>
            </w:r>
            <w:bookmarkStart w:id="896" w:name="OLE_LINK57"/>
            <w:r>
              <w:rPr>
                <w:rFonts w:hint="default" w:ascii="Times New Roman" w:hAnsi="Times New Roman" w:eastAsia="宋体" w:cs="Times New Roman"/>
                <w:color w:val="auto"/>
                <w:vertAlign w:val="superscript"/>
              </w:rPr>
              <w:t>3</w:t>
            </w:r>
            <w:bookmarkEnd w:id="896"/>
          </w:p>
        </w:tc>
        <w:tc>
          <w:tcPr>
            <w:tcW w:w="1017" w:type="pct"/>
            <w:tcBorders>
              <w:tl2br w:val="nil"/>
              <w:tr2bl w:val="nil"/>
            </w:tcBorders>
            <w:noWrap w:val="0"/>
            <w:vAlign w:val="center"/>
          </w:tcPr>
          <w:p w14:paraId="1D3B6F66">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《恶臭污染物排放标准》（GB14554-93）中新建项目二级标准</w:t>
            </w:r>
          </w:p>
        </w:tc>
      </w:tr>
      <w:tr w14:paraId="6C3B17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158" w:type="pct"/>
            <w:tcBorders>
              <w:tl2br w:val="nil"/>
              <w:tr2bl w:val="nil"/>
            </w:tcBorders>
            <w:noWrap w:val="0"/>
            <w:vAlign w:val="center"/>
          </w:tcPr>
          <w:p w14:paraId="05CFE26C">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噪声</w:t>
            </w:r>
          </w:p>
        </w:tc>
        <w:tc>
          <w:tcPr>
            <w:tcW w:w="159" w:type="pct"/>
            <w:tcBorders>
              <w:tl2br w:val="nil"/>
              <w:tr2bl w:val="nil"/>
            </w:tcBorders>
            <w:noWrap w:val="0"/>
            <w:vAlign w:val="center"/>
          </w:tcPr>
          <w:p w14:paraId="47D45810">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650" w:type="pct"/>
            <w:tcBorders>
              <w:tl2br w:val="nil"/>
              <w:tr2bl w:val="nil"/>
            </w:tcBorders>
            <w:noWrap w:val="0"/>
            <w:vAlign w:val="center"/>
          </w:tcPr>
          <w:p w14:paraId="521A84D0">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井场</w:t>
            </w:r>
            <w:r>
              <w:rPr>
                <w:rFonts w:hint="default" w:ascii="Times New Roman" w:hAnsi="Times New Roman" w:eastAsia="宋体" w:cs="Times New Roman"/>
                <w:color w:val="auto"/>
                <w:lang w:val="en-US" w:eastAsia="zh-CN"/>
              </w:rPr>
              <w:t>、</w:t>
            </w:r>
            <w:r>
              <w:rPr>
                <w:rFonts w:hint="eastAsia" w:cs="Times New Roman"/>
                <w:color w:val="auto"/>
                <w:lang w:val="en-US" w:eastAsia="zh-CN"/>
              </w:rPr>
              <w:t>雄探1试采点</w:t>
            </w:r>
          </w:p>
        </w:tc>
        <w:tc>
          <w:tcPr>
            <w:tcW w:w="1696" w:type="pct"/>
            <w:tcBorders>
              <w:tl2br w:val="nil"/>
              <w:tr2bl w:val="nil"/>
            </w:tcBorders>
            <w:noWrap w:val="0"/>
            <w:vAlign w:val="center"/>
          </w:tcPr>
          <w:p w14:paraId="52FC8884">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基础减震</w:t>
            </w:r>
          </w:p>
        </w:tc>
        <w:tc>
          <w:tcPr>
            <w:tcW w:w="409" w:type="pct"/>
            <w:tcBorders>
              <w:tl2br w:val="nil"/>
              <w:tr2bl w:val="nil"/>
            </w:tcBorders>
            <w:noWrap w:val="0"/>
            <w:vAlign w:val="center"/>
          </w:tcPr>
          <w:p w14:paraId="3898563A">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908" w:type="pct"/>
            <w:tcBorders>
              <w:tl2br w:val="nil"/>
              <w:tr2bl w:val="nil"/>
            </w:tcBorders>
            <w:noWrap w:val="0"/>
            <w:vAlign w:val="center"/>
          </w:tcPr>
          <w:p w14:paraId="648B333B">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昼间≤60dB(A)</w:t>
            </w:r>
          </w:p>
          <w:p w14:paraId="119B6E13">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夜间≤50dB(A)</w:t>
            </w:r>
          </w:p>
        </w:tc>
        <w:tc>
          <w:tcPr>
            <w:tcW w:w="1017" w:type="pct"/>
            <w:tcBorders>
              <w:tl2br w:val="nil"/>
              <w:tr2bl w:val="nil"/>
            </w:tcBorders>
            <w:noWrap w:val="0"/>
            <w:vAlign w:val="center"/>
          </w:tcPr>
          <w:p w14:paraId="54ECD4F0">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《工业企业厂界环境噪声排放标准》(GB12348-2008)</w:t>
            </w:r>
          </w:p>
          <w:p w14:paraId="37AC1F5E">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2类区排放限值</w:t>
            </w:r>
          </w:p>
        </w:tc>
      </w:tr>
      <w:tr w14:paraId="07397D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158" w:type="pct"/>
            <w:vMerge w:val="restart"/>
            <w:tcBorders>
              <w:tl2br w:val="nil"/>
              <w:tr2bl w:val="nil"/>
            </w:tcBorders>
            <w:noWrap w:val="0"/>
            <w:vAlign w:val="center"/>
          </w:tcPr>
          <w:p w14:paraId="10ECFE0E">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固废</w:t>
            </w:r>
          </w:p>
        </w:tc>
        <w:tc>
          <w:tcPr>
            <w:tcW w:w="159" w:type="pct"/>
            <w:tcBorders>
              <w:tl2br w:val="nil"/>
              <w:tr2bl w:val="nil"/>
            </w:tcBorders>
            <w:noWrap w:val="0"/>
            <w:vAlign w:val="center"/>
          </w:tcPr>
          <w:p w14:paraId="2CBF7569">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rPr>
              <w:t>1</w:t>
            </w:r>
          </w:p>
        </w:tc>
        <w:tc>
          <w:tcPr>
            <w:tcW w:w="650" w:type="pct"/>
            <w:tcBorders>
              <w:tl2br w:val="nil"/>
              <w:tr2bl w:val="nil"/>
            </w:tcBorders>
            <w:noWrap w:val="0"/>
            <w:vAlign w:val="center"/>
          </w:tcPr>
          <w:p w14:paraId="18A27788">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废脱硫剂</w:t>
            </w:r>
          </w:p>
        </w:tc>
        <w:tc>
          <w:tcPr>
            <w:tcW w:w="1696" w:type="pct"/>
            <w:vMerge w:val="restart"/>
            <w:tcBorders>
              <w:tl2br w:val="nil"/>
              <w:tr2bl w:val="nil"/>
            </w:tcBorders>
            <w:noWrap w:val="0"/>
            <w:vAlign w:val="center"/>
          </w:tcPr>
          <w:p w14:paraId="13FCFEAD">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由生产厂家进行更换，更换后由其拉走处置</w:t>
            </w:r>
          </w:p>
        </w:tc>
        <w:tc>
          <w:tcPr>
            <w:tcW w:w="409" w:type="pct"/>
            <w:tcBorders>
              <w:tl2br w:val="nil"/>
              <w:tr2bl w:val="nil"/>
            </w:tcBorders>
            <w:noWrap w:val="0"/>
            <w:vAlign w:val="center"/>
          </w:tcPr>
          <w:p w14:paraId="7D1521C3">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lang w:val="en-US" w:eastAsia="zh-CN"/>
              </w:rPr>
            </w:pPr>
            <w:r>
              <w:rPr>
                <w:rFonts w:hint="eastAsia" w:cs="Times New Roman"/>
                <w:color w:val="auto"/>
                <w:lang w:val="en-US" w:eastAsia="zh-CN"/>
              </w:rPr>
              <w:t>-</w:t>
            </w:r>
          </w:p>
        </w:tc>
        <w:tc>
          <w:tcPr>
            <w:tcW w:w="908" w:type="pct"/>
            <w:tcBorders>
              <w:tl2br w:val="nil"/>
              <w:tr2bl w:val="nil"/>
            </w:tcBorders>
            <w:noWrap w:val="0"/>
            <w:vAlign w:val="center"/>
          </w:tcPr>
          <w:p w14:paraId="01966527">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lang w:val="en-US" w:eastAsia="zh-CN"/>
              </w:rPr>
            </w:pPr>
            <w:r>
              <w:rPr>
                <w:rFonts w:hint="eastAsia" w:cs="Times New Roman"/>
                <w:color w:val="auto"/>
                <w:lang w:val="en-US" w:eastAsia="zh-CN"/>
              </w:rPr>
              <w:t>-</w:t>
            </w:r>
          </w:p>
        </w:tc>
        <w:tc>
          <w:tcPr>
            <w:tcW w:w="1017" w:type="pct"/>
            <w:vMerge w:val="restart"/>
            <w:tcBorders>
              <w:tl2br w:val="nil"/>
              <w:tr2bl w:val="nil"/>
            </w:tcBorders>
            <w:noWrap w:val="0"/>
            <w:vAlign w:val="center"/>
          </w:tcPr>
          <w:p w14:paraId="238B9FF5">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《危险废物贮存污染控制标准》（GB18597-20</w:t>
            </w:r>
            <w:r>
              <w:rPr>
                <w:rFonts w:hint="default" w:ascii="Times New Roman" w:hAnsi="Times New Roman" w:eastAsia="宋体" w:cs="Times New Roman"/>
                <w:color w:val="auto"/>
                <w:lang w:val="en-US" w:eastAsia="zh-CN"/>
              </w:rPr>
              <w:t>23</w:t>
            </w:r>
            <w:r>
              <w:rPr>
                <w:rFonts w:hint="default" w:ascii="Times New Roman" w:hAnsi="Times New Roman" w:eastAsia="宋体" w:cs="Times New Roman"/>
                <w:color w:val="auto"/>
              </w:rPr>
              <w:t>）</w:t>
            </w:r>
          </w:p>
        </w:tc>
      </w:tr>
      <w:tr w14:paraId="126DC2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158" w:type="pct"/>
            <w:vMerge w:val="continue"/>
            <w:tcBorders>
              <w:tl2br w:val="nil"/>
              <w:tr2bl w:val="nil"/>
            </w:tcBorders>
            <w:noWrap w:val="0"/>
            <w:vAlign w:val="center"/>
          </w:tcPr>
          <w:p w14:paraId="6EA5B4BE">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p>
        </w:tc>
        <w:tc>
          <w:tcPr>
            <w:tcW w:w="159" w:type="pct"/>
            <w:tcBorders>
              <w:tl2br w:val="nil"/>
              <w:tr2bl w:val="nil"/>
            </w:tcBorders>
            <w:noWrap w:val="0"/>
            <w:vAlign w:val="center"/>
          </w:tcPr>
          <w:p w14:paraId="60506961">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lang w:val="en-US" w:eastAsia="zh-CN"/>
              </w:rPr>
            </w:pPr>
            <w:r>
              <w:rPr>
                <w:rFonts w:hint="eastAsia" w:cs="Times New Roman"/>
                <w:color w:val="auto"/>
                <w:lang w:val="en-US" w:eastAsia="zh-CN"/>
              </w:rPr>
              <w:t>2</w:t>
            </w:r>
          </w:p>
        </w:tc>
        <w:tc>
          <w:tcPr>
            <w:tcW w:w="650" w:type="pct"/>
            <w:tcBorders>
              <w:tl2br w:val="nil"/>
              <w:tr2bl w:val="nil"/>
            </w:tcBorders>
            <w:noWrap w:val="0"/>
            <w:vAlign w:val="center"/>
          </w:tcPr>
          <w:p w14:paraId="2F2E6B07">
            <w:pPr>
              <w:keepNext w:val="0"/>
              <w:keepLines w:val="0"/>
              <w:pageBreakBefore w:val="0"/>
              <w:widowControl w:val="0"/>
              <w:kinsoku/>
              <w:wordWrap/>
              <w:overflowPunct/>
              <w:topLinePunct w:val="0"/>
              <w:autoSpaceDE/>
              <w:autoSpaceDN/>
              <w:bidi w:val="0"/>
              <w:adjustRightInd/>
              <w:snapToGrid/>
              <w:textAlignment w:val="auto"/>
              <w:rPr>
                <w:rFonts w:hint="default" w:cs="Times New Roman"/>
                <w:color w:val="auto"/>
                <w:lang w:val="en-US" w:eastAsia="zh-CN"/>
              </w:rPr>
            </w:pPr>
            <w:r>
              <w:rPr>
                <w:rFonts w:hint="eastAsia" w:cs="Times New Roman"/>
                <w:color w:val="auto"/>
                <w:lang w:val="en-US" w:eastAsia="zh-CN"/>
              </w:rPr>
              <w:t>废分子筛</w:t>
            </w:r>
          </w:p>
        </w:tc>
        <w:tc>
          <w:tcPr>
            <w:tcW w:w="1696" w:type="pct"/>
            <w:vMerge w:val="continue"/>
            <w:tcBorders>
              <w:tl2br w:val="nil"/>
              <w:tr2bl w:val="nil"/>
            </w:tcBorders>
            <w:noWrap w:val="0"/>
            <w:vAlign w:val="center"/>
          </w:tcPr>
          <w:p w14:paraId="6A4FE93F">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p>
        </w:tc>
        <w:tc>
          <w:tcPr>
            <w:tcW w:w="409" w:type="pct"/>
            <w:tcBorders>
              <w:tl2br w:val="nil"/>
              <w:tr2bl w:val="nil"/>
            </w:tcBorders>
            <w:noWrap w:val="0"/>
            <w:vAlign w:val="center"/>
          </w:tcPr>
          <w:p w14:paraId="0FFD5562">
            <w:pPr>
              <w:keepNext w:val="0"/>
              <w:keepLines w:val="0"/>
              <w:pageBreakBefore w:val="0"/>
              <w:widowControl w:val="0"/>
              <w:kinsoku/>
              <w:wordWrap/>
              <w:overflowPunct/>
              <w:topLinePunct w:val="0"/>
              <w:autoSpaceDE/>
              <w:autoSpaceDN/>
              <w:bidi w:val="0"/>
              <w:adjustRightInd/>
              <w:snapToGrid/>
              <w:textAlignment w:val="auto"/>
              <w:rPr>
                <w:rFonts w:hint="eastAsia" w:cs="Times New Roman"/>
                <w:color w:val="auto"/>
                <w:lang w:val="en-US" w:eastAsia="zh-CN"/>
              </w:rPr>
            </w:pPr>
          </w:p>
        </w:tc>
        <w:tc>
          <w:tcPr>
            <w:tcW w:w="908" w:type="pct"/>
            <w:tcBorders>
              <w:tl2br w:val="nil"/>
              <w:tr2bl w:val="nil"/>
            </w:tcBorders>
            <w:noWrap w:val="0"/>
            <w:vAlign w:val="center"/>
          </w:tcPr>
          <w:p w14:paraId="65721A85">
            <w:pPr>
              <w:keepNext w:val="0"/>
              <w:keepLines w:val="0"/>
              <w:pageBreakBefore w:val="0"/>
              <w:widowControl w:val="0"/>
              <w:kinsoku/>
              <w:wordWrap/>
              <w:overflowPunct/>
              <w:topLinePunct w:val="0"/>
              <w:autoSpaceDE/>
              <w:autoSpaceDN/>
              <w:bidi w:val="0"/>
              <w:adjustRightInd/>
              <w:snapToGrid/>
              <w:textAlignment w:val="auto"/>
              <w:rPr>
                <w:rFonts w:hint="eastAsia" w:cs="Times New Roman"/>
                <w:color w:val="auto"/>
                <w:lang w:val="en-US" w:eastAsia="zh-CN"/>
              </w:rPr>
            </w:pPr>
          </w:p>
        </w:tc>
        <w:tc>
          <w:tcPr>
            <w:tcW w:w="1017" w:type="pct"/>
            <w:vMerge w:val="continue"/>
            <w:tcBorders>
              <w:tl2br w:val="nil"/>
              <w:tr2bl w:val="nil"/>
            </w:tcBorders>
            <w:noWrap w:val="0"/>
            <w:vAlign w:val="center"/>
          </w:tcPr>
          <w:p w14:paraId="1F51DCF4">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p>
        </w:tc>
      </w:tr>
      <w:tr w14:paraId="0285FB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158" w:type="pct"/>
            <w:vMerge w:val="continue"/>
            <w:tcBorders>
              <w:tl2br w:val="nil"/>
              <w:tr2bl w:val="nil"/>
            </w:tcBorders>
            <w:noWrap w:val="0"/>
            <w:vAlign w:val="center"/>
          </w:tcPr>
          <w:p w14:paraId="2D621174">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p>
        </w:tc>
        <w:tc>
          <w:tcPr>
            <w:tcW w:w="159" w:type="pct"/>
            <w:tcBorders>
              <w:tl2br w:val="nil"/>
              <w:tr2bl w:val="nil"/>
            </w:tcBorders>
            <w:noWrap w:val="0"/>
            <w:vAlign w:val="center"/>
          </w:tcPr>
          <w:p w14:paraId="7EEC94B1">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3</w:t>
            </w:r>
          </w:p>
        </w:tc>
        <w:tc>
          <w:tcPr>
            <w:tcW w:w="650" w:type="pct"/>
            <w:tcBorders>
              <w:tl2br w:val="nil"/>
              <w:tr2bl w:val="nil"/>
            </w:tcBorders>
            <w:noWrap w:val="0"/>
            <w:vAlign w:val="center"/>
          </w:tcPr>
          <w:p w14:paraId="7B1ADE35">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清管废渣</w:t>
            </w:r>
          </w:p>
        </w:tc>
        <w:tc>
          <w:tcPr>
            <w:tcW w:w="1696" w:type="pct"/>
            <w:tcBorders>
              <w:tl2br w:val="nil"/>
              <w:tr2bl w:val="nil"/>
            </w:tcBorders>
            <w:noWrap w:val="0"/>
            <w:vAlign w:val="center"/>
          </w:tcPr>
          <w:p w14:paraId="062A7349">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收集后委托</w:t>
            </w:r>
            <w:r>
              <w:rPr>
                <w:rFonts w:hint="default" w:ascii="Times New Roman" w:hAnsi="Times New Roman" w:eastAsia="宋体" w:cs="Times New Roman"/>
                <w:color w:val="auto"/>
                <w:lang w:val="en-US" w:eastAsia="zh-CN"/>
              </w:rPr>
              <w:t>有危废处置资质单位进行处置</w:t>
            </w:r>
          </w:p>
        </w:tc>
        <w:tc>
          <w:tcPr>
            <w:tcW w:w="409" w:type="pct"/>
            <w:tcBorders>
              <w:tl2br w:val="nil"/>
              <w:tr2bl w:val="nil"/>
            </w:tcBorders>
            <w:noWrap w:val="0"/>
            <w:vAlign w:val="center"/>
          </w:tcPr>
          <w:p w14:paraId="65479180">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908" w:type="pct"/>
            <w:tcBorders>
              <w:tl2br w:val="nil"/>
              <w:tr2bl w:val="nil"/>
            </w:tcBorders>
            <w:noWrap w:val="0"/>
            <w:vAlign w:val="center"/>
          </w:tcPr>
          <w:p w14:paraId="2B223672">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017" w:type="pct"/>
            <w:vMerge w:val="continue"/>
            <w:tcBorders>
              <w:tl2br w:val="nil"/>
              <w:tr2bl w:val="nil"/>
            </w:tcBorders>
            <w:noWrap w:val="0"/>
            <w:vAlign w:val="center"/>
          </w:tcPr>
          <w:p w14:paraId="7D03C0EB">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p>
        </w:tc>
      </w:tr>
      <w:tr w14:paraId="1C9C01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158" w:type="pct"/>
            <w:vMerge w:val="continue"/>
            <w:tcBorders>
              <w:tl2br w:val="nil"/>
              <w:tr2bl w:val="nil"/>
            </w:tcBorders>
            <w:noWrap w:val="0"/>
            <w:vAlign w:val="center"/>
          </w:tcPr>
          <w:p w14:paraId="23BC3C59">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p>
        </w:tc>
        <w:tc>
          <w:tcPr>
            <w:tcW w:w="159" w:type="pct"/>
            <w:tcBorders>
              <w:tl2br w:val="nil"/>
              <w:tr2bl w:val="nil"/>
            </w:tcBorders>
            <w:noWrap w:val="0"/>
            <w:vAlign w:val="center"/>
          </w:tcPr>
          <w:p w14:paraId="7D69134B">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4</w:t>
            </w:r>
          </w:p>
        </w:tc>
        <w:tc>
          <w:tcPr>
            <w:tcW w:w="650" w:type="pct"/>
            <w:tcBorders>
              <w:tl2br w:val="nil"/>
              <w:tr2bl w:val="nil"/>
            </w:tcBorders>
            <w:noWrap w:val="0"/>
            <w:vAlign w:val="center"/>
          </w:tcPr>
          <w:p w14:paraId="10B8336A">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油泥砂</w:t>
            </w:r>
          </w:p>
        </w:tc>
        <w:tc>
          <w:tcPr>
            <w:tcW w:w="1696" w:type="pct"/>
            <w:tcBorders>
              <w:tl2br w:val="nil"/>
              <w:tr2bl w:val="nil"/>
            </w:tcBorders>
            <w:noWrap w:val="0"/>
            <w:vAlign w:val="center"/>
          </w:tcPr>
          <w:p w14:paraId="57C6AEA7">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回收后的落地原油委托有危废处置资质单位进行处置</w:t>
            </w:r>
          </w:p>
        </w:tc>
        <w:tc>
          <w:tcPr>
            <w:tcW w:w="409" w:type="pct"/>
            <w:tcBorders>
              <w:tl2br w:val="nil"/>
              <w:tr2bl w:val="nil"/>
            </w:tcBorders>
            <w:noWrap w:val="0"/>
            <w:vAlign w:val="center"/>
          </w:tcPr>
          <w:p w14:paraId="6F522951">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rPr>
              <w:t>-</w:t>
            </w:r>
          </w:p>
        </w:tc>
        <w:tc>
          <w:tcPr>
            <w:tcW w:w="908" w:type="pct"/>
            <w:tcBorders>
              <w:tl2br w:val="nil"/>
              <w:tr2bl w:val="nil"/>
            </w:tcBorders>
            <w:noWrap w:val="0"/>
            <w:vAlign w:val="center"/>
          </w:tcPr>
          <w:p w14:paraId="76BC5D09">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rPr>
              <w:t>-</w:t>
            </w:r>
          </w:p>
        </w:tc>
        <w:tc>
          <w:tcPr>
            <w:tcW w:w="1017" w:type="pct"/>
            <w:vMerge w:val="continue"/>
            <w:tcBorders>
              <w:tl2br w:val="nil"/>
              <w:tr2bl w:val="nil"/>
            </w:tcBorders>
            <w:noWrap w:val="0"/>
            <w:vAlign w:val="center"/>
          </w:tcPr>
          <w:p w14:paraId="6756DB32">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p>
        </w:tc>
      </w:tr>
      <w:tr w14:paraId="14ACC5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158" w:type="pct"/>
            <w:vMerge w:val="continue"/>
            <w:tcBorders>
              <w:tl2br w:val="nil"/>
              <w:tr2bl w:val="nil"/>
            </w:tcBorders>
            <w:noWrap w:val="0"/>
            <w:vAlign w:val="center"/>
          </w:tcPr>
          <w:p w14:paraId="15796D10">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p>
        </w:tc>
        <w:tc>
          <w:tcPr>
            <w:tcW w:w="159" w:type="pct"/>
            <w:tcBorders>
              <w:tl2br w:val="nil"/>
              <w:tr2bl w:val="nil"/>
            </w:tcBorders>
            <w:noWrap w:val="0"/>
            <w:vAlign w:val="center"/>
          </w:tcPr>
          <w:p w14:paraId="1853D5E7">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5</w:t>
            </w:r>
          </w:p>
        </w:tc>
        <w:tc>
          <w:tcPr>
            <w:tcW w:w="650" w:type="pct"/>
            <w:tcBorders>
              <w:tl2br w:val="nil"/>
              <w:tr2bl w:val="nil"/>
            </w:tcBorders>
            <w:noWrap w:val="0"/>
            <w:vAlign w:val="center"/>
          </w:tcPr>
          <w:p w14:paraId="712A76ED">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落地油</w:t>
            </w:r>
          </w:p>
        </w:tc>
        <w:tc>
          <w:tcPr>
            <w:tcW w:w="1696" w:type="pct"/>
            <w:tcBorders>
              <w:tl2br w:val="nil"/>
              <w:tr2bl w:val="nil"/>
            </w:tcBorders>
            <w:noWrap w:val="0"/>
            <w:vAlign w:val="center"/>
          </w:tcPr>
          <w:p w14:paraId="0E6D725E">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收集后委托</w:t>
            </w:r>
            <w:r>
              <w:rPr>
                <w:rFonts w:hint="default" w:ascii="Times New Roman" w:hAnsi="Times New Roman" w:eastAsia="宋体" w:cs="Times New Roman"/>
                <w:color w:val="auto"/>
                <w:lang w:val="en-US" w:eastAsia="zh-CN"/>
              </w:rPr>
              <w:t>有危废处置资质单位进行处置</w:t>
            </w:r>
          </w:p>
        </w:tc>
        <w:tc>
          <w:tcPr>
            <w:tcW w:w="409" w:type="pct"/>
            <w:tcBorders>
              <w:tl2br w:val="nil"/>
              <w:tr2bl w:val="nil"/>
            </w:tcBorders>
            <w:noWrap w:val="0"/>
            <w:vAlign w:val="center"/>
          </w:tcPr>
          <w:p w14:paraId="21E0D242">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lang w:val="en-US" w:eastAsia="zh-CN"/>
              </w:rPr>
              <w:t>-</w:t>
            </w:r>
          </w:p>
        </w:tc>
        <w:tc>
          <w:tcPr>
            <w:tcW w:w="908" w:type="pct"/>
            <w:tcBorders>
              <w:tl2br w:val="nil"/>
              <w:tr2bl w:val="nil"/>
            </w:tcBorders>
            <w:noWrap w:val="0"/>
            <w:vAlign w:val="center"/>
          </w:tcPr>
          <w:p w14:paraId="451384E7">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lang w:val="en-US" w:eastAsia="zh-CN"/>
              </w:rPr>
              <w:t>-</w:t>
            </w:r>
          </w:p>
        </w:tc>
        <w:tc>
          <w:tcPr>
            <w:tcW w:w="1017" w:type="pct"/>
            <w:vMerge w:val="continue"/>
            <w:tcBorders>
              <w:tl2br w:val="nil"/>
              <w:tr2bl w:val="nil"/>
            </w:tcBorders>
            <w:noWrap w:val="0"/>
            <w:vAlign w:val="center"/>
          </w:tcPr>
          <w:p w14:paraId="1C2AC84A">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p>
        </w:tc>
      </w:tr>
      <w:tr w14:paraId="49DC9E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158" w:type="pct"/>
            <w:vMerge w:val="continue"/>
            <w:tcBorders>
              <w:tl2br w:val="nil"/>
              <w:tr2bl w:val="nil"/>
            </w:tcBorders>
            <w:noWrap w:val="0"/>
            <w:vAlign w:val="center"/>
          </w:tcPr>
          <w:p w14:paraId="6949CA05">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p>
        </w:tc>
        <w:tc>
          <w:tcPr>
            <w:tcW w:w="159" w:type="pct"/>
            <w:tcBorders>
              <w:tl2br w:val="nil"/>
              <w:tr2bl w:val="nil"/>
            </w:tcBorders>
            <w:noWrap w:val="0"/>
            <w:vAlign w:val="center"/>
          </w:tcPr>
          <w:p w14:paraId="405BE4AC">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6</w:t>
            </w:r>
          </w:p>
        </w:tc>
        <w:tc>
          <w:tcPr>
            <w:tcW w:w="650" w:type="pct"/>
            <w:tcBorders>
              <w:tl2br w:val="nil"/>
              <w:tr2bl w:val="nil"/>
            </w:tcBorders>
            <w:noWrap w:val="0"/>
            <w:vAlign w:val="center"/>
          </w:tcPr>
          <w:p w14:paraId="23B62435">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废防渗膜</w:t>
            </w:r>
          </w:p>
        </w:tc>
        <w:tc>
          <w:tcPr>
            <w:tcW w:w="1696" w:type="pct"/>
            <w:tcBorders>
              <w:tl2br w:val="nil"/>
              <w:tr2bl w:val="nil"/>
            </w:tcBorders>
            <w:noWrap w:val="0"/>
            <w:vAlign w:val="center"/>
          </w:tcPr>
          <w:p w14:paraId="0E3DD8C4">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收集后委托</w:t>
            </w:r>
            <w:r>
              <w:rPr>
                <w:rFonts w:hint="default" w:ascii="Times New Roman" w:hAnsi="Times New Roman" w:eastAsia="宋体" w:cs="Times New Roman"/>
                <w:color w:val="auto"/>
                <w:lang w:val="en-US" w:eastAsia="zh-CN"/>
              </w:rPr>
              <w:t>有危废处置资质单位进行处置</w:t>
            </w:r>
          </w:p>
        </w:tc>
        <w:tc>
          <w:tcPr>
            <w:tcW w:w="409" w:type="pct"/>
            <w:tcBorders>
              <w:tl2br w:val="nil"/>
              <w:tr2bl w:val="nil"/>
            </w:tcBorders>
            <w:noWrap w:val="0"/>
            <w:vAlign w:val="center"/>
          </w:tcPr>
          <w:p w14:paraId="246452D1">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rPr>
              <w:t>-</w:t>
            </w:r>
          </w:p>
        </w:tc>
        <w:tc>
          <w:tcPr>
            <w:tcW w:w="908" w:type="pct"/>
            <w:tcBorders>
              <w:tl2br w:val="nil"/>
              <w:tr2bl w:val="nil"/>
            </w:tcBorders>
            <w:noWrap w:val="0"/>
            <w:vAlign w:val="center"/>
          </w:tcPr>
          <w:p w14:paraId="5DA2C992">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rPr>
              <w:t>-</w:t>
            </w:r>
          </w:p>
        </w:tc>
        <w:tc>
          <w:tcPr>
            <w:tcW w:w="1017" w:type="pct"/>
            <w:vMerge w:val="continue"/>
            <w:tcBorders>
              <w:tl2br w:val="nil"/>
              <w:tr2bl w:val="nil"/>
            </w:tcBorders>
            <w:noWrap w:val="0"/>
            <w:vAlign w:val="center"/>
          </w:tcPr>
          <w:p w14:paraId="1ABD5887">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p>
        </w:tc>
      </w:tr>
      <w:tr w14:paraId="0BA201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158" w:type="pct"/>
            <w:vMerge w:val="continue"/>
            <w:tcBorders>
              <w:tl2br w:val="nil"/>
              <w:tr2bl w:val="nil"/>
            </w:tcBorders>
            <w:noWrap w:val="0"/>
            <w:vAlign w:val="center"/>
          </w:tcPr>
          <w:p w14:paraId="6A5F8D14">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p>
        </w:tc>
        <w:tc>
          <w:tcPr>
            <w:tcW w:w="159" w:type="pct"/>
            <w:tcBorders>
              <w:tl2br w:val="nil"/>
              <w:tr2bl w:val="nil"/>
            </w:tcBorders>
            <w:noWrap w:val="0"/>
            <w:vAlign w:val="center"/>
          </w:tcPr>
          <w:p w14:paraId="5D2C1431">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7</w:t>
            </w:r>
          </w:p>
        </w:tc>
        <w:tc>
          <w:tcPr>
            <w:tcW w:w="650" w:type="pct"/>
            <w:tcBorders>
              <w:tl2br w:val="nil"/>
              <w:tr2bl w:val="nil"/>
            </w:tcBorders>
            <w:noWrap w:val="0"/>
            <w:vAlign w:val="center"/>
          </w:tcPr>
          <w:p w14:paraId="30EBAB02">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废润滑油</w:t>
            </w:r>
          </w:p>
        </w:tc>
        <w:tc>
          <w:tcPr>
            <w:tcW w:w="1696" w:type="pct"/>
            <w:tcBorders>
              <w:tl2br w:val="nil"/>
              <w:tr2bl w:val="nil"/>
            </w:tcBorders>
            <w:noWrap w:val="0"/>
            <w:vAlign w:val="center"/>
          </w:tcPr>
          <w:p w14:paraId="5FD5F284">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收集后委托</w:t>
            </w:r>
            <w:r>
              <w:rPr>
                <w:rFonts w:hint="default" w:ascii="Times New Roman" w:hAnsi="Times New Roman" w:eastAsia="宋体" w:cs="Times New Roman"/>
                <w:color w:val="auto"/>
                <w:lang w:val="en-US" w:eastAsia="zh-CN"/>
              </w:rPr>
              <w:t>有危废处置资质单位进行处置</w:t>
            </w:r>
          </w:p>
        </w:tc>
        <w:tc>
          <w:tcPr>
            <w:tcW w:w="409" w:type="pct"/>
            <w:tcBorders>
              <w:tl2br w:val="nil"/>
              <w:tr2bl w:val="nil"/>
            </w:tcBorders>
            <w:noWrap w:val="0"/>
            <w:vAlign w:val="center"/>
          </w:tcPr>
          <w:p w14:paraId="7A57FF0C">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lang w:val="en-US" w:eastAsia="zh-CN"/>
              </w:rPr>
              <w:t>-</w:t>
            </w:r>
          </w:p>
        </w:tc>
        <w:tc>
          <w:tcPr>
            <w:tcW w:w="908" w:type="pct"/>
            <w:tcBorders>
              <w:tl2br w:val="nil"/>
              <w:tr2bl w:val="nil"/>
            </w:tcBorders>
            <w:noWrap w:val="0"/>
            <w:vAlign w:val="center"/>
          </w:tcPr>
          <w:p w14:paraId="0407F011">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lang w:val="en-US" w:eastAsia="zh-CN"/>
              </w:rPr>
              <w:t>-</w:t>
            </w:r>
          </w:p>
        </w:tc>
        <w:tc>
          <w:tcPr>
            <w:tcW w:w="1017" w:type="pct"/>
            <w:vMerge w:val="continue"/>
            <w:tcBorders>
              <w:tl2br w:val="nil"/>
              <w:tr2bl w:val="nil"/>
            </w:tcBorders>
            <w:noWrap w:val="0"/>
            <w:vAlign w:val="center"/>
          </w:tcPr>
          <w:p w14:paraId="606D5E2C">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p>
        </w:tc>
      </w:tr>
      <w:tr w14:paraId="3E928A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158" w:type="pct"/>
            <w:vMerge w:val="continue"/>
            <w:tcBorders>
              <w:tl2br w:val="nil"/>
              <w:tr2bl w:val="nil"/>
            </w:tcBorders>
            <w:noWrap w:val="0"/>
            <w:vAlign w:val="center"/>
          </w:tcPr>
          <w:p w14:paraId="3D94B0F1">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p>
        </w:tc>
        <w:tc>
          <w:tcPr>
            <w:tcW w:w="159" w:type="pct"/>
            <w:tcBorders>
              <w:tl2br w:val="nil"/>
              <w:tr2bl w:val="nil"/>
            </w:tcBorders>
            <w:noWrap w:val="0"/>
            <w:vAlign w:val="center"/>
          </w:tcPr>
          <w:p w14:paraId="49649E65">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8</w:t>
            </w:r>
          </w:p>
        </w:tc>
        <w:tc>
          <w:tcPr>
            <w:tcW w:w="650" w:type="pct"/>
            <w:tcBorders>
              <w:tl2br w:val="nil"/>
              <w:tr2bl w:val="nil"/>
            </w:tcBorders>
            <w:noWrap w:val="0"/>
            <w:vAlign w:val="center"/>
          </w:tcPr>
          <w:p w14:paraId="3B3F4885">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井下作业固废</w:t>
            </w:r>
          </w:p>
        </w:tc>
        <w:tc>
          <w:tcPr>
            <w:tcW w:w="1696" w:type="pct"/>
            <w:tcBorders>
              <w:tl2br w:val="nil"/>
              <w:tr2bl w:val="nil"/>
            </w:tcBorders>
            <w:noWrap w:val="0"/>
            <w:vAlign w:val="center"/>
          </w:tcPr>
          <w:p w14:paraId="4BF6EE7E">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井下作业固废采用专用回收罐进行回收，拉运至英买力油田钻试修废弃物环保处理站进行处理。</w:t>
            </w:r>
          </w:p>
        </w:tc>
        <w:tc>
          <w:tcPr>
            <w:tcW w:w="409" w:type="pct"/>
            <w:tcBorders>
              <w:tl2br w:val="nil"/>
              <w:tr2bl w:val="nil"/>
            </w:tcBorders>
            <w:noWrap w:val="0"/>
            <w:vAlign w:val="center"/>
          </w:tcPr>
          <w:p w14:paraId="54265F57">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rPr>
              <w:t>-</w:t>
            </w:r>
          </w:p>
        </w:tc>
        <w:tc>
          <w:tcPr>
            <w:tcW w:w="908" w:type="pct"/>
            <w:tcBorders>
              <w:tl2br w:val="nil"/>
              <w:tr2bl w:val="nil"/>
            </w:tcBorders>
            <w:noWrap w:val="0"/>
            <w:vAlign w:val="center"/>
          </w:tcPr>
          <w:p w14:paraId="484FD06D">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rPr>
              <w:t>-</w:t>
            </w:r>
          </w:p>
        </w:tc>
        <w:tc>
          <w:tcPr>
            <w:tcW w:w="1017" w:type="pct"/>
            <w:tcBorders>
              <w:tl2br w:val="nil"/>
              <w:tr2bl w:val="nil"/>
            </w:tcBorders>
            <w:noWrap w:val="0"/>
            <w:vAlign w:val="center"/>
          </w:tcPr>
          <w:p w14:paraId="3E1BA293">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lang w:val="en-US" w:eastAsia="zh-CN"/>
              </w:rPr>
            </w:pPr>
            <w:r>
              <w:rPr>
                <w:rFonts w:hint="eastAsia" w:cs="Times New Roman"/>
                <w:color w:val="auto"/>
                <w:lang w:val="en-US" w:eastAsia="zh-CN"/>
              </w:rPr>
              <w:t>-</w:t>
            </w:r>
          </w:p>
        </w:tc>
      </w:tr>
      <w:tr w14:paraId="17FA6B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158" w:type="pct"/>
            <w:vMerge w:val="continue"/>
            <w:tcBorders>
              <w:tl2br w:val="nil"/>
              <w:tr2bl w:val="nil"/>
            </w:tcBorders>
            <w:noWrap w:val="0"/>
            <w:vAlign w:val="center"/>
          </w:tcPr>
          <w:p w14:paraId="081F98D8">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p>
        </w:tc>
        <w:tc>
          <w:tcPr>
            <w:tcW w:w="159" w:type="pct"/>
            <w:tcBorders>
              <w:tl2br w:val="nil"/>
              <w:tr2bl w:val="nil"/>
            </w:tcBorders>
            <w:noWrap w:val="0"/>
            <w:vAlign w:val="center"/>
          </w:tcPr>
          <w:p w14:paraId="13FF37FA">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9</w:t>
            </w:r>
          </w:p>
        </w:tc>
        <w:tc>
          <w:tcPr>
            <w:tcW w:w="650" w:type="pct"/>
            <w:tcBorders>
              <w:tl2br w:val="nil"/>
              <w:tr2bl w:val="nil"/>
            </w:tcBorders>
            <w:noWrap w:val="0"/>
            <w:vAlign w:val="center"/>
          </w:tcPr>
          <w:p w14:paraId="48DA558C">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生活垃圾</w:t>
            </w:r>
          </w:p>
        </w:tc>
        <w:tc>
          <w:tcPr>
            <w:tcW w:w="1696" w:type="pct"/>
            <w:tcBorders>
              <w:tl2br w:val="nil"/>
              <w:tr2bl w:val="nil"/>
            </w:tcBorders>
            <w:noWrap w:val="0"/>
            <w:vAlign w:val="center"/>
          </w:tcPr>
          <w:p w14:paraId="2F51E5E4">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委托温宿县垃圾填埋场处理</w:t>
            </w:r>
          </w:p>
        </w:tc>
        <w:tc>
          <w:tcPr>
            <w:tcW w:w="409" w:type="pct"/>
            <w:tcBorders>
              <w:tl2br w:val="nil"/>
              <w:tr2bl w:val="nil"/>
            </w:tcBorders>
            <w:noWrap w:val="0"/>
            <w:vAlign w:val="center"/>
          </w:tcPr>
          <w:p w14:paraId="414AF62F">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lang w:val="en-US" w:eastAsia="zh-CN"/>
              </w:rPr>
              <w:t>-</w:t>
            </w:r>
          </w:p>
        </w:tc>
        <w:tc>
          <w:tcPr>
            <w:tcW w:w="908" w:type="pct"/>
            <w:tcBorders>
              <w:tl2br w:val="nil"/>
              <w:tr2bl w:val="nil"/>
            </w:tcBorders>
            <w:noWrap w:val="0"/>
            <w:vAlign w:val="center"/>
          </w:tcPr>
          <w:p w14:paraId="245AA570">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lang w:val="en-US" w:eastAsia="zh-CN"/>
              </w:rPr>
              <w:t>-</w:t>
            </w:r>
          </w:p>
        </w:tc>
        <w:tc>
          <w:tcPr>
            <w:tcW w:w="1017" w:type="pct"/>
            <w:tcBorders>
              <w:tl2br w:val="nil"/>
              <w:tr2bl w:val="nil"/>
            </w:tcBorders>
            <w:noWrap w:val="0"/>
            <w:vAlign w:val="center"/>
          </w:tcPr>
          <w:p w14:paraId="5D0520D6">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w:t>
            </w:r>
          </w:p>
        </w:tc>
      </w:tr>
      <w:tr w14:paraId="6E78AF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158" w:type="pct"/>
            <w:vMerge w:val="restart"/>
            <w:tcBorders>
              <w:tl2br w:val="nil"/>
              <w:tr2bl w:val="nil"/>
            </w:tcBorders>
            <w:noWrap w:val="0"/>
            <w:vAlign w:val="center"/>
          </w:tcPr>
          <w:p w14:paraId="06500E0C">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防渗</w:t>
            </w:r>
          </w:p>
        </w:tc>
        <w:tc>
          <w:tcPr>
            <w:tcW w:w="159" w:type="pct"/>
            <w:tcBorders>
              <w:tl2br w:val="nil"/>
              <w:tr2bl w:val="nil"/>
            </w:tcBorders>
            <w:noWrap w:val="0"/>
            <w:vAlign w:val="center"/>
          </w:tcPr>
          <w:p w14:paraId="290F1CE6">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650" w:type="pct"/>
            <w:tcBorders>
              <w:tl2br w:val="nil"/>
              <w:tr2bl w:val="nil"/>
            </w:tcBorders>
            <w:noWrap w:val="0"/>
            <w:vAlign w:val="center"/>
          </w:tcPr>
          <w:p w14:paraId="3E0F8435">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重点防渗区</w:t>
            </w:r>
          </w:p>
        </w:tc>
        <w:tc>
          <w:tcPr>
            <w:tcW w:w="1696" w:type="pct"/>
            <w:tcBorders>
              <w:tl2br w:val="nil"/>
              <w:tr2bl w:val="nil"/>
            </w:tcBorders>
            <w:noWrap w:val="0"/>
            <w:vAlign w:val="center"/>
          </w:tcPr>
          <w:p w14:paraId="45267211">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rPr>
              <w:t>防渗层的防渗性能不应低于6.0m厚渗透系数为1.0×10</w:t>
            </w:r>
            <w:r>
              <w:rPr>
                <w:rFonts w:hint="default" w:ascii="Times New Roman" w:hAnsi="Times New Roman" w:eastAsia="宋体" w:cs="Times New Roman"/>
                <w:color w:val="auto"/>
                <w:szCs w:val="21"/>
                <w:vertAlign w:val="superscript"/>
              </w:rPr>
              <w:t>-7</w:t>
            </w:r>
            <w:r>
              <w:rPr>
                <w:rFonts w:hint="default" w:ascii="Times New Roman" w:hAnsi="Times New Roman" w:eastAsia="宋体" w:cs="Times New Roman"/>
                <w:color w:val="auto"/>
                <w:szCs w:val="21"/>
              </w:rPr>
              <w:t>cm/s的黏土层的防渗性能</w:t>
            </w:r>
            <w:r>
              <w:rPr>
                <w:rFonts w:hint="eastAsia" w:ascii="Times New Roman" w:hAnsi="Times New Roman" w:eastAsia="宋体" w:cs="Times New Roman"/>
                <w:color w:val="auto"/>
                <w:szCs w:val="21"/>
                <w:lang w:eastAsia="zh-CN"/>
              </w:rPr>
              <w:t>。</w:t>
            </w:r>
          </w:p>
        </w:tc>
        <w:tc>
          <w:tcPr>
            <w:tcW w:w="409" w:type="pct"/>
            <w:tcBorders>
              <w:tl2br w:val="nil"/>
              <w:tr2bl w:val="nil"/>
            </w:tcBorders>
            <w:noWrap w:val="0"/>
            <w:vAlign w:val="center"/>
          </w:tcPr>
          <w:p w14:paraId="54744C4A">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c>
          <w:tcPr>
            <w:tcW w:w="908" w:type="pct"/>
            <w:vMerge w:val="restart"/>
            <w:tcBorders>
              <w:tl2br w:val="nil"/>
              <w:tr2bl w:val="nil"/>
            </w:tcBorders>
            <w:noWrap w:val="0"/>
            <w:vAlign w:val="center"/>
          </w:tcPr>
          <w:p w14:paraId="0866788A">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满足防渗要求</w:t>
            </w:r>
          </w:p>
        </w:tc>
        <w:tc>
          <w:tcPr>
            <w:tcW w:w="1017" w:type="pct"/>
            <w:tcBorders>
              <w:tl2br w:val="nil"/>
              <w:tr2bl w:val="nil"/>
            </w:tcBorders>
            <w:noWrap w:val="0"/>
            <w:vAlign w:val="center"/>
          </w:tcPr>
          <w:p w14:paraId="62EBBD6B">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14:paraId="327170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158" w:type="pct"/>
            <w:vMerge w:val="continue"/>
            <w:tcBorders>
              <w:tl2br w:val="nil"/>
              <w:tr2bl w:val="nil"/>
            </w:tcBorders>
            <w:noWrap w:val="0"/>
            <w:vAlign w:val="center"/>
          </w:tcPr>
          <w:p w14:paraId="3AF13F6B">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p>
        </w:tc>
        <w:tc>
          <w:tcPr>
            <w:tcW w:w="159" w:type="pct"/>
            <w:tcBorders>
              <w:tl2br w:val="nil"/>
              <w:tr2bl w:val="nil"/>
            </w:tcBorders>
            <w:noWrap w:val="0"/>
            <w:vAlign w:val="center"/>
          </w:tcPr>
          <w:p w14:paraId="35006CD6">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lang w:val="en-US" w:eastAsia="zh-CN"/>
              </w:rPr>
            </w:pPr>
            <w:r>
              <w:rPr>
                <w:rFonts w:hint="eastAsia" w:cs="Times New Roman"/>
                <w:color w:val="auto"/>
                <w:lang w:val="en-US" w:eastAsia="zh-CN"/>
              </w:rPr>
              <w:t>2</w:t>
            </w:r>
          </w:p>
        </w:tc>
        <w:tc>
          <w:tcPr>
            <w:tcW w:w="650" w:type="pct"/>
            <w:tcBorders>
              <w:tl2br w:val="nil"/>
              <w:tr2bl w:val="nil"/>
            </w:tcBorders>
            <w:noWrap w:val="0"/>
            <w:vAlign w:val="center"/>
          </w:tcPr>
          <w:p w14:paraId="59A69D46">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一般防渗区</w:t>
            </w:r>
          </w:p>
        </w:tc>
        <w:tc>
          <w:tcPr>
            <w:tcW w:w="1696" w:type="pct"/>
            <w:tcBorders>
              <w:tl2br w:val="nil"/>
              <w:tr2bl w:val="nil"/>
            </w:tcBorders>
            <w:noWrap w:val="0"/>
            <w:vAlign w:val="center"/>
          </w:tcPr>
          <w:p w14:paraId="011D54E9">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rPr>
              <w:t>防渗层的防渗性能不应低于1.5m厚，渗透系数为1.0×10</w:t>
            </w:r>
            <w:r>
              <w:rPr>
                <w:rFonts w:hint="default" w:ascii="Times New Roman" w:hAnsi="Times New Roman" w:eastAsia="宋体" w:cs="Times New Roman"/>
                <w:color w:val="auto"/>
                <w:szCs w:val="21"/>
                <w:vertAlign w:val="superscript"/>
              </w:rPr>
              <w:t>-7</w:t>
            </w:r>
            <w:r>
              <w:rPr>
                <w:rFonts w:hint="default" w:ascii="Times New Roman" w:hAnsi="Times New Roman" w:eastAsia="宋体" w:cs="Times New Roman"/>
                <w:color w:val="auto"/>
                <w:szCs w:val="21"/>
              </w:rPr>
              <w:t>cm/s的黏土层的防渗性</w:t>
            </w:r>
            <w:r>
              <w:rPr>
                <w:rFonts w:hint="eastAsia" w:ascii="Times New Roman" w:hAnsi="Times New Roman" w:eastAsia="宋体" w:cs="Times New Roman"/>
                <w:color w:val="auto"/>
                <w:szCs w:val="21"/>
                <w:lang w:eastAsia="zh-CN"/>
              </w:rPr>
              <w:t>。</w:t>
            </w:r>
          </w:p>
        </w:tc>
        <w:tc>
          <w:tcPr>
            <w:tcW w:w="409" w:type="pct"/>
            <w:tcBorders>
              <w:tl2br w:val="nil"/>
              <w:tr2bl w:val="nil"/>
            </w:tcBorders>
            <w:noWrap w:val="0"/>
            <w:vAlign w:val="center"/>
          </w:tcPr>
          <w:p w14:paraId="5093A398">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c>
          <w:tcPr>
            <w:tcW w:w="908" w:type="pct"/>
            <w:vMerge w:val="continue"/>
            <w:tcBorders>
              <w:tl2br w:val="nil"/>
              <w:tr2bl w:val="nil"/>
            </w:tcBorders>
            <w:noWrap w:val="0"/>
            <w:vAlign w:val="center"/>
          </w:tcPr>
          <w:p w14:paraId="61A59525">
            <w:pPr>
              <w:keepNext w:val="0"/>
              <w:keepLines w:val="0"/>
              <w:pageBreakBefore w:val="0"/>
              <w:widowControl w:val="0"/>
              <w:kinsoku/>
              <w:wordWrap/>
              <w:overflowPunct/>
              <w:topLinePunct w:val="0"/>
              <w:autoSpaceDE/>
              <w:autoSpaceDN/>
              <w:bidi w:val="0"/>
              <w:adjustRightInd/>
              <w:snapToGrid/>
              <w:textAlignment w:val="auto"/>
              <w:rPr>
                <w:rFonts w:hint="eastAsia" w:cs="Times New Roman"/>
                <w:color w:val="auto"/>
                <w:highlight w:val="none"/>
                <w:lang w:val="en-US" w:eastAsia="zh-CN"/>
              </w:rPr>
            </w:pPr>
          </w:p>
        </w:tc>
        <w:tc>
          <w:tcPr>
            <w:tcW w:w="1017" w:type="pct"/>
            <w:tcBorders>
              <w:tl2br w:val="nil"/>
              <w:tr2bl w:val="nil"/>
            </w:tcBorders>
            <w:noWrap w:val="0"/>
            <w:vAlign w:val="center"/>
          </w:tcPr>
          <w:p w14:paraId="5495F0BB">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rPr>
            </w:pPr>
          </w:p>
        </w:tc>
      </w:tr>
      <w:tr w14:paraId="2E44A6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158" w:type="pct"/>
            <w:vMerge w:val="continue"/>
            <w:tcBorders>
              <w:tl2br w:val="nil"/>
              <w:tr2bl w:val="nil"/>
            </w:tcBorders>
            <w:noWrap w:val="0"/>
            <w:vAlign w:val="center"/>
          </w:tcPr>
          <w:p w14:paraId="751A8BAA">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p>
        </w:tc>
        <w:tc>
          <w:tcPr>
            <w:tcW w:w="159" w:type="pct"/>
            <w:tcBorders>
              <w:tl2br w:val="nil"/>
              <w:tr2bl w:val="nil"/>
            </w:tcBorders>
            <w:noWrap w:val="0"/>
            <w:vAlign w:val="center"/>
          </w:tcPr>
          <w:p w14:paraId="3A9FB759">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lang w:val="en-US" w:eastAsia="zh-CN"/>
              </w:rPr>
            </w:pPr>
            <w:r>
              <w:rPr>
                <w:rFonts w:hint="eastAsia" w:cs="Times New Roman"/>
                <w:color w:val="auto"/>
                <w:lang w:val="en-US" w:eastAsia="zh-CN"/>
              </w:rPr>
              <w:t>3</w:t>
            </w:r>
          </w:p>
        </w:tc>
        <w:tc>
          <w:tcPr>
            <w:tcW w:w="650" w:type="pct"/>
            <w:tcBorders>
              <w:tl2br w:val="nil"/>
              <w:tr2bl w:val="nil"/>
            </w:tcBorders>
            <w:noWrap w:val="0"/>
            <w:vAlign w:val="center"/>
          </w:tcPr>
          <w:p w14:paraId="29DDF999">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简单防渗区</w:t>
            </w:r>
          </w:p>
        </w:tc>
        <w:tc>
          <w:tcPr>
            <w:tcW w:w="1696" w:type="pct"/>
            <w:tcBorders>
              <w:tl2br w:val="nil"/>
              <w:tr2bl w:val="nil"/>
            </w:tcBorders>
            <w:noWrap w:val="0"/>
            <w:vAlign w:val="center"/>
          </w:tcPr>
          <w:p w14:paraId="35B03BAA">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rPr>
              <w:t>一般地面硬化</w:t>
            </w:r>
          </w:p>
        </w:tc>
        <w:tc>
          <w:tcPr>
            <w:tcW w:w="409" w:type="pct"/>
            <w:tcBorders>
              <w:tl2br w:val="nil"/>
              <w:tr2bl w:val="nil"/>
            </w:tcBorders>
            <w:noWrap w:val="0"/>
            <w:vAlign w:val="center"/>
          </w:tcPr>
          <w:p w14:paraId="09D8B123">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c>
          <w:tcPr>
            <w:tcW w:w="908" w:type="pct"/>
            <w:vMerge w:val="continue"/>
            <w:tcBorders>
              <w:tl2br w:val="nil"/>
              <w:tr2bl w:val="nil"/>
            </w:tcBorders>
            <w:noWrap w:val="0"/>
            <w:vAlign w:val="center"/>
          </w:tcPr>
          <w:p w14:paraId="553B9D18">
            <w:pPr>
              <w:keepNext w:val="0"/>
              <w:keepLines w:val="0"/>
              <w:pageBreakBefore w:val="0"/>
              <w:widowControl w:val="0"/>
              <w:kinsoku/>
              <w:wordWrap/>
              <w:overflowPunct/>
              <w:topLinePunct w:val="0"/>
              <w:autoSpaceDE/>
              <w:autoSpaceDN/>
              <w:bidi w:val="0"/>
              <w:adjustRightInd/>
              <w:snapToGrid/>
              <w:textAlignment w:val="auto"/>
              <w:rPr>
                <w:rFonts w:hint="eastAsia" w:cs="Times New Roman"/>
                <w:color w:val="auto"/>
                <w:highlight w:val="none"/>
                <w:lang w:val="en-US" w:eastAsia="zh-CN"/>
              </w:rPr>
            </w:pPr>
          </w:p>
        </w:tc>
        <w:tc>
          <w:tcPr>
            <w:tcW w:w="1017" w:type="pct"/>
            <w:tcBorders>
              <w:tl2br w:val="nil"/>
              <w:tr2bl w:val="nil"/>
            </w:tcBorders>
            <w:noWrap w:val="0"/>
            <w:vAlign w:val="center"/>
          </w:tcPr>
          <w:p w14:paraId="22020B4C">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rPr>
            </w:pPr>
          </w:p>
        </w:tc>
      </w:tr>
      <w:tr w14:paraId="72770E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158" w:type="pct"/>
            <w:vMerge w:val="continue"/>
            <w:tcBorders>
              <w:tl2br w:val="nil"/>
              <w:tr2bl w:val="nil"/>
            </w:tcBorders>
            <w:noWrap w:val="0"/>
            <w:vAlign w:val="center"/>
          </w:tcPr>
          <w:p w14:paraId="52705132">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p>
        </w:tc>
        <w:tc>
          <w:tcPr>
            <w:tcW w:w="159" w:type="pct"/>
            <w:tcBorders>
              <w:tl2br w:val="nil"/>
              <w:tr2bl w:val="nil"/>
            </w:tcBorders>
            <w:noWrap w:val="0"/>
            <w:vAlign w:val="center"/>
          </w:tcPr>
          <w:p w14:paraId="744AB59A">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lang w:val="en-US" w:eastAsia="zh-CN"/>
              </w:rPr>
            </w:pPr>
            <w:r>
              <w:rPr>
                <w:rFonts w:hint="eastAsia" w:cs="Times New Roman"/>
                <w:color w:val="auto"/>
                <w:lang w:val="en-US" w:eastAsia="zh-CN"/>
              </w:rPr>
              <w:t>4</w:t>
            </w:r>
          </w:p>
        </w:tc>
        <w:tc>
          <w:tcPr>
            <w:tcW w:w="650" w:type="pct"/>
            <w:tcBorders>
              <w:tl2br w:val="nil"/>
              <w:tr2bl w:val="nil"/>
            </w:tcBorders>
            <w:noWrap w:val="0"/>
            <w:vAlign w:val="center"/>
          </w:tcPr>
          <w:p w14:paraId="61D023E7">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管道防腐</w:t>
            </w:r>
          </w:p>
        </w:tc>
        <w:tc>
          <w:tcPr>
            <w:tcW w:w="1696" w:type="pct"/>
            <w:tcBorders>
              <w:tl2br w:val="nil"/>
              <w:tr2bl w:val="nil"/>
            </w:tcBorders>
            <w:noWrap w:val="0"/>
            <w:vAlign w:val="center"/>
          </w:tcPr>
          <w:p w14:paraId="47472EA5">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管道钢接头部分做好外防腐</w:t>
            </w:r>
          </w:p>
        </w:tc>
        <w:tc>
          <w:tcPr>
            <w:tcW w:w="409" w:type="pct"/>
            <w:tcBorders>
              <w:tl2br w:val="nil"/>
              <w:tr2bl w:val="nil"/>
            </w:tcBorders>
            <w:noWrap w:val="0"/>
            <w:vAlign w:val="center"/>
          </w:tcPr>
          <w:p w14:paraId="6E010AC9">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p>
        </w:tc>
        <w:tc>
          <w:tcPr>
            <w:tcW w:w="908" w:type="pct"/>
            <w:tcBorders>
              <w:tl2br w:val="nil"/>
              <w:tr2bl w:val="nil"/>
            </w:tcBorders>
            <w:noWrap w:val="0"/>
            <w:vAlign w:val="center"/>
          </w:tcPr>
          <w:p w14:paraId="7A278A18">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防腐性能良好</w:t>
            </w:r>
          </w:p>
        </w:tc>
        <w:tc>
          <w:tcPr>
            <w:tcW w:w="1017" w:type="pct"/>
            <w:tcBorders>
              <w:tl2br w:val="nil"/>
              <w:tr2bl w:val="nil"/>
            </w:tcBorders>
            <w:noWrap w:val="0"/>
            <w:vAlign w:val="center"/>
          </w:tcPr>
          <w:p w14:paraId="5A15A5D6">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1AE0D6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317" w:type="pct"/>
            <w:gridSpan w:val="2"/>
            <w:tcBorders>
              <w:tl2br w:val="nil"/>
              <w:tr2bl w:val="nil"/>
            </w:tcBorders>
            <w:noWrap w:val="0"/>
            <w:vAlign w:val="center"/>
          </w:tcPr>
          <w:p w14:paraId="00BFF182">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风险防范措施</w:t>
            </w:r>
          </w:p>
        </w:tc>
        <w:tc>
          <w:tcPr>
            <w:tcW w:w="650" w:type="pct"/>
            <w:tcBorders>
              <w:tl2br w:val="nil"/>
              <w:tr2bl w:val="nil"/>
            </w:tcBorders>
            <w:noWrap w:val="0"/>
            <w:vAlign w:val="center"/>
          </w:tcPr>
          <w:p w14:paraId="6E0E3209">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rPr>
            </w:pPr>
            <w:r>
              <w:rPr>
                <w:rFonts w:hint="default" w:ascii="Times New Roman" w:hAnsi="Times New Roman" w:eastAsia="宋体" w:cs="Times New Roman"/>
                <w:color w:val="auto"/>
                <w:lang w:val="en-US" w:eastAsia="zh-CN"/>
              </w:rPr>
              <w:t>井场、</w:t>
            </w:r>
            <w:r>
              <w:rPr>
                <w:rFonts w:hint="eastAsia" w:cs="Times New Roman"/>
                <w:color w:val="auto"/>
                <w:lang w:val="en-US" w:eastAsia="zh-CN"/>
              </w:rPr>
              <w:t>试采点</w:t>
            </w:r>
          </w:p>
        </w:tc>
        <w:tc>
          <w:tcPr>
            <w:tcW w:w="1696" w:type="pct"/>
            <w:tcBorders>
              <w:tl2br w:val="nil"/>
              <w:tr2bl w:val="nil"/>
            </w:tcBorders>
            <w:noWrap w:val="0"/>
            <w:vAlign w:val="center"/>
          </w:tcPr>
          <w:p w14:paraId="689D59D8">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设置可燃气体检测报警仪、消防器材、警戒标语标牌</w:t>
            </w:r>
            <w:r>
              <w:rPr>
                <w:rFonts w:hint="default" w:ascii="Times New Roman" w:hAnsi="Times New Roman" w:eastAsia="宋体" w:cs="Times New Roman"/>
                <w:color w:val="auto"/>
                <w:lang w:eastAsia="zh-CN"/>
              </w:rPr>
              <w:t>。</w:t>
            </w:r>
          </w:p>
        </w:tc>
        <w:tc>
          <w:tcPr>
            <w:tcW w:w="409" w:type="pct"/>
            <w:tcBorders>
              <w:tl2br w:val="nil"/>
              <w:tr2bl w:val="nil"/>
            </w:tcBorders>
            <w:noWrap w:val="0"/>
            <w:vAlign w:val="center"/>
          </w:tcPr>
          <w:p w14:paraId="0DB37D88">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908" w:type="pct"/>
            <w:tcBorders>
              <w:tl2br w:val="nil"/>
              <w:tr2bl w:val="nil"/>
            </w:tcBorders>
            <w:noWrap w:val="0"/>
            <w:vAlign w:val="center"/>
          </w:tcPr>
          <w:p w14:paraId="4C5DCDDB">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风险防范设施数量按照消防、安全等相关要求设置</w:t>
            </w:r>
          </w:p>
        </w:tc>
        <w:tc>
          <w:tcPr>
            <w:tcW w:w="1017" w:type="pct"/>
            <w:tcBorders>
              <w:tl2br w:val="nil"/>
              <w:tr2bl w:val="nil"/>
            </w:tcBorders>
            <w:noWrap w:val="0"/>
            <w:vAlign w:val="center"/>
          </w:tcPr>
          <w:p w14:paraId="760D7355">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w:t>
            </w:r>
          </w:p>
        </w:tc>
      </w:tr>
      <w:tr w14:paraId="21D350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158" w:type="pct"/>
            <w:vMerge w:val="restart"/>
            <w:tcBorders>
              <w:tl2br w:val="nil"/>
              <w:tr2bl w:val="nil"/>
            </w:tcBorders>
            <w:noWrap w:val="0"/>
            <w:vAlign w:val="center"/>
          </w:tcPr>
          <w:p w14:paraId="069DAC44">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环境管理与监测</w:t>
            </w:r>
          </w:p>
        </w:tc>
        <w:tc>
          <w:tcPr>
            <w:tcW w:w="159" w:type="pct"/>
            <w:tcBorders>
              <w:tl2br w:val="nil"/>
              <w:tr2bl w:val="nil"/>
            </w:tcBorders>
            <w:noWrap w:val="0"/>
            <w:vAlign w:val="center"/>
          </w:tcPr>
          <w:p w14:paraId="6917D538">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650" w:type="pct"/>
            <w:tcBorders>
              <w:tl2br w:val="nil"/>
              <w:tr2bl w:val="nil"/>
            </w:tcBorders>
            <w:noWrap w:val="0"/>
            <w:vAlign w:val="center"/>
          </w:tcPr>
          <w:p w14:paraId="284EAB71">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排污口规范化</w:t>
            </w:r>
          </w:p>
        </w:tc>
        <w:tc>
          <w:tcPr>
            <w:tcW w:w="1696" w:type="pct"/>
            <w:tcBorders>
              <w:tl2br w:val="nil"/>
              <w:tr2bl w:val="nil"/>
            </w:tcBorders>
            <w:noWrap w:val="0"/>
            <w:vAlign w:val="center"/>
          </w:tcPr>
          <w:p w14:paraId="510470FF">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按照《排污口规范化整治技术要求</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试行</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环境保护图形标志》及排污许可技术规范等文件规范排污口设置</w:t>
            </w:r>
            <w:r>
              <w:rPr>
                <w:rFonts w:hint="default" w:ascii="Times New Roman" w:hAnsi="Times New Roman" w:eastAsia="宋体" w:cs="Times New Roman"/>
                <w:color w:val="auto"/>
                <w:lang w:eastAsia="zh-CN"/>
              </w:rPr>
              <w:t>。</w:t>
            </w:r>
          </w:p>
        </w:tc>
        <w:tc>
          <w:tcPr>
            <w:tcW w:w="409" w:type="pct"/>
            <w:tcBorders>
              <w:tl2br w:val="nil"/>
              <w:tr2bl w:val="nil"/>
            </w:tcBorders>
            <w:noWrap w:val="0"/>
            <w:vAlign w:val="center"/>
          </w:tcPr>
          <w:p w14:paraId="659C8014">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908" w:type="pct"/>
            <w:tcBorders>
              <w:tl2br w:val="nil"/>
              <w:tr2bl w:val="nil"/>
            </w:tcBorders>
            <w:noWrap w:val="0"/>
            <w:vAlign w:val="center"/>
          </w:tcPr>
          <w:p w14:paraId="496671E0">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017" w:type="pct"/>
            <w:tcBorders>
              <w:tl2br w:val="nil"/>
              <w:tr2bl w:val="nil"/>
            </w:tcBorders>
            <w:noWrap w:val="0"/>
            <w:vAlign w:val="center"/>
          </w:tcPr>
          <w:p w14:paraId="62558FEB">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保证实施</w:t>
            </w:r>
          </w:p>
        </w:tc>
      </w:tr>
      <w:tr w14:paraId="1CDB51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158" w:type="pct"/>
            <w:vMerge w:val="continue"/>
            <w:tcBorders>
              <w:tl2br w:val="nil"/>
              <w:tr2bl w:val="nil"/>
            </w:tcBorders>
            <w:noWrap w:val="0"/>
            <w:vAlign w:val="center"/>
          </w:tcPr>
          <w:p w14:paraId="184D802D">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p>
        </w:tc>
        <w:tc>
          <w:tcPr>
            <w:tcW w:w="159" w:type="pct"/>
            <w:tcBorders>
              <w:tl2br w:val="nil"/>
              <w:tr2bl w:val="nil"/>
            </w:tcBorders>
            <w:noWrap w:val="0"/>
            <w:vAlign w:val="center"/>
          </w:tcPr>
          <w:p w14:paraId="1690AA7C">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w:t>
            </w:r>
          </w:p>
        </w:tc>
        <w:tc>
          <w:tcPr>
            <w:tcW w:w="650" w:type="pct"/>
            <w:tcBorders>
              <w:tl2br w:val="nil"/>
              <w:tr2bl w:val="nil"/>
            </w:tcBorders>
            <w:noWrap w:val="0"/>
            <w:vAlign w:val="center"/>
          </w:tcPr>
          <w:p w14:paraId="12FA9137">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井场</w:t>
            </w:r>
            <w:r>
              <w:rPr>
                <w:rFonts w:hint="default" w:ascii="Times New Roman" w:hAnsi="Times New Roman" w:eastAsia="宋体" w:cs="Times New Roman"/>
                <w:color w:val="auto"/>
                <w:lang w:val="en-US" w:eastAsia="zh-CN"/>
              </w:rPr>
              <w:t>、</w:t>
            </w:r>
            <w:r>
              <w:rPr>
                <w:rFonts w:hint="eastAsia" w:cs="Times New Roman"/>
                <w:color w:val="auto"/>
                <w:lang w:val="en-US" w:eastAsia="zh-CN"/>
              </w:rPr>
              <w:t>试采点</w:t>
            </w:r>
          </w:p>
        </w:tc>
        <w:tc>
          <w:tcPr>
            <w:tcW w:w="1696" w:type="pct"/>
            <w:tcBorders>
              <w:tl2br w:val="nil"/>
              <w:tr2bl w:val="nil"/>
            </w:tcBorders>
            <w:noWrap w:val="0"/>
            <w:vAlign w:val="center"/>
          </w:tcPr>
          <w:p w14:paraId="37D6AE75">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按照监测计划，委托有监测资质的单位开展监测</w:t>
            </w:r>
            <w:r>
              <w:rPr>
                <w:rFonts w:hint="default" w:ascii="Times New Roman" w:hAnsi="Times New Roman" w:eastAsia="宋体" w:cs="Times New Roman"/>
                <w:color w:val="auto"/>
                <w:lang w:eastAsia="zh-CN"/>
              </w:rPr>
              <w:t>。</w:t>
            </w:r>
          </w:p>
        </w:tc>
        <w:tc>
          <w:tcPr>
            <w:tcW w:w="409" w:type="pct"/>
            <w:tcBorders>
              <w:tl2br w:val="nil"/>
              <w:tr2bl w:val="nil"/>
            </w:tcBorders>
            <w:noWrap w:val="0"/>
            <w:vAlign w:val="center"/>
          </w:tcPr>
          <w:p w14:paraId="09EB3985">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908" w:type="pct"/>
            <w:tcBorders>
              <w:tl2br w:val="nil"/>
              <w:tr2bl w:val="nil"/>
            </w:tcBorders>
            <w:noWrap w:val="0"/>
            <w:vAlign w:val="center"/>
          </w:tcPr>
          <w:p w14:paraId="269CCD87">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017" w:type="pct"/>
            <w:tcBorders>
              <w:tl2br w:val="nil"/>
              <w:tr2bl w:val="nil"/>
            </w:tcBorders>
            <w:noWrap w:val="0"/>
            <w:vAlign w:val="center"/>
          </w:tcPr>
          <w:p w14:paraId="5ABCD99A">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污染源达标排放</w:t>
            </w:r>
          </w:p>
        </w:tc>
      </w:tr>
      <w:tr w14:paraId="566549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158" w:type="pct"/>
            <w:vMerge w:val="continue"/>
            <w:tcBorders>
              <w:tl2br w:val="nil"/>
              <w:tr2bl w:val="nil"/>
            </w:tcBorders>
            <w:noWrap w:val="0"/>
            <w:vAlign w:val="center"/>
          </w:tcPr>
          <w:p w14:paraId="3A63AC64">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p>
        </w:tc>
        <w:tc>
          <w:tcPr>
            <w:tcW w:w="159" w:type="pct"/>
            <w:tcBorders>
              <w:tl2br w:val="nil"/>
              <w:tr2bl w:val="nil"/>
            </w:tcBorders>
            <w:noWrap w:val="0"/>
            <w:vAlign w:val="center"/>
          </w:tcPr>
          <w:p w14:paraId="44E8E0BC">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w:t>
            </w:r>
          </w:p>
        </w:tc>
        <w:tc>
          <w:tcPr>
            <w:tcW w:w="650" w:type="pct"/>
            <w:tcBorders>
              <w:tl2br w:val="nil"/>
              <w:tr2bl w:val="nil"/>
            </w:tcBorders>
            <w:noWrap w:val="0"/>
            <w:vAlign w:val="center"/>
          </w:tcPr>
          <w:p w14:paraId="59DE4B1F">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环境影响</w:t>
            </w:r>
          </w:p>
          <w:p w14:paraId="752FE83C">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后评价</w:t>
            </w:r>
          </w:p>
        </w:tc>
        <w:tc>
          <w:tcPr>
            <w:tcW w:w="1696" w:type="pct"/>
            <w:tcBorders>
              <w:tl2br w:val="nil"/>
              <w:tr2bl w:val="nil"/>
            </w:tcBorders>
            <w:noWrap w:val="0"/>
            <w:vAlign w:val="center"/>
          </w:tcPr>
          <w:p w14:paraId="1DAB287A">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根据《建设项目环境影响后评价管理办法</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试行</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关于进一步加强和规范油气田开发项目环境保护管理工作的通知》等文件组织开展环境影响后评价</w:t>
            </w:r>
            <w:r>
              <w:rPr>
                <w:rFonts w:hint="default" w:ascii="Times New Roman" w:hAnsi="Times New Roman" w:eastAsia="宋体" w:cs="Times New Roman"/>
                <w:color w:val="auto"/>
                <w:lang w:eastAsia="zh-CN"/>
              </w:rPr>
              <w:t>。</w:t>
            </w:r>
          </w:p>
        </w:tc>
        <w:tc>
          <w:tcPr>
            <w:tcW w:w="409" w:type="pct"/>
            <w:tcBorders>
              <w:tl2br w:val="nil"/>
              <w:tr2bl w:val="nil"/>
            </w:tcBorders>
            <w:noWrap w:val="0"/>
            <w:vAlign w:val="center"/>
          </w:tcPr>
          <w:p w14:paraId="6D3111AA">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908" w:type="pct"/>
            <w:tcBorders>
              <w:tl2br w:val="nil"/>
              <w:tr2bl w:val="nil"/>
            </w:tcBorders>
            <w:noWrap w:val="0"/>
            <w:vAlign w:val="center"/>
          </w:tcPr>
          <w:p w14:paraId="3F38B0BF">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017" w:type="pct"/>
            <w:tcBorders>
              <w:tl2br w:val="nil"/>
              <w:tr2bl w:val="nil"/>
            </w:tcBorders>
            <w:noWrap w:val="0"/>
            <w:vAlign w:val="center"/>
          </w:tcPr>
          <w:p w14:paraId="2CD93019">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保证实施</w:t>
            </w:r>
          </w:p>
        </w:tc>
      </w:tr>
      <w:tr w14:paraId="0E5250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5000" w:type="pct"/>
            <w:gridSpan w:val="7"/>
            <w:tcBorders>
              <w:tl2br w:val="nil"/>
              <w:tr2bl w:val="nil"/>
            </w:tcBorders>
            <w:noWrap w:val="0"/>
            <w:vAlign w:val="center"/>
          </w:tcPr>
          <w:p w14:paraId="77B335C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退役期</w:t>
            </w:r>
          </w:p>
        </w:tc>
      </w:tr>
      <w:tr w14:paraId="7767CB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158" w:type="pct"/>
            <w:tcBorders>
              <w:tl2br w:val="nil"/>
              <w:tr2bl w:val="nil"/>
            </w:tcBorders>
            <w:noWrap w:val="0"/>
            <w:vAlign w:val="center"/>
          </w:tcPr>
          <w:p w14:paraId="132FAFF6">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废气</w:t>
            </w:r>
          </w:p>
        </w:tc>
        <w:tc>
          <w:tcPr>
            <w:tcW w:w="159" w:type="pct"/>
            <w:tcBorders>
              <w:tl2br w:val="nil"/>
              <w:tr2bl w:val="nil"/>
            </w:tcBorders>
            <w:noWrap w:val="0"/>
            <w:vAlign w:val="center"/>
          </w:tcPr>
          <w:p w14:paraId="19B3984A">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1</w:t>
            </w:r>
          </w:p>
        </w:tc>
        <w:tc>
          <w:tcPr>
            <w:tcW w:w="650" w:type="pct"/>
            <w:tcBorders>
              <w:tl2br w:val="nil"/>
              <w:tr2bl w:val="nil"/>
            </w:tcBorders>
            <w:noWrap w:val="0"/>
            <w:vAlign w:val="center"/>
          </w:tcPr>
          <w:p w14:paraId="50D111F8">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施工扬尘</w:t>
            </w:r>
          </w:p>
        </w:tc>
        <w:tc>
          <w:tcPr>
            <w:tcW w:w="1696" w:type="pct"/>
            <w:tcBorders>
              <w:tl2br w:val="nil"/>
              <w:tr2bl w:val="nil"/>
            </w:tcBorders>
            <w:noWrap w:val="0"/>
            <w:vAlign w:val="center"/>
          </w:tcPr>
          <w:p w14:paraId="5AC3B113">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洒水抑尘</w:t>
            </w:r>
          </w:p>
        </w:tc>
        <w:tc>
          <w:tcPr>
            <w:tcW w:w="409" w:type="pct"/>
            <w:tcBorders>
              <w:tl2br w:val="nil"/>
              <w:tr2bl w:val="nil"/>
            </w:tcBorders>
            <w:noWrap w:val="0"/>
            <w:vAlign w:val="center"/>
          </w:tcPr>
          <w:p w14:paraId="2A1A0D9F">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w:t>
            </w:r>
          </w:p>
        </w:tc>
        <w:tc>
          <w:tcPr>
            <w:tcW w:w="908" w:type="pct"/>
            <w:tcBorders>
              <w:tl2br w:val="nil"/>
              <w:tr2bl w:val="nil"/>
            </w:tcBorders>
            <w:noWrap w:val="0"/>
            <w:vAlign w:val="center"/>
          </w:tcPr>
          <w:p w14:paraId="3AB13375">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w:t>
            </w:r>
          </w:p>
        </w:tc>
        <w:tc>
          <w:tcPr>
            <w:tcW w:w="1017" w:type="pct"/>
            <w:tcBorders>
              <w:tl2br w:val="nil"/>
              <w:tr2bl w:val="nil"/>
            </w:tcBorders>
            <w:noWrap w:val="0"/>
            <w:vAlign w:val="center"/>
          </w:tcPr>
          <w:p w14:paraId="60CE8F53">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w:t>
            </w:r>
          </w:p>
        </w:tc>
      </w:tr>
      <w:tr w14:paraId="6AE61E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158" w:type="pct"/>
            <w:tcBorders>
              <w:tl2br w:val="nil"/>
              <w:tr2bl w:val="nil"/>
            </w:tcBorders>
            <w:noWrap w:val="0"/>
            <w:vAlign w:val="center"/>
          </w:tcPr>
          <w:p w14:paraId="0B6D6602">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噪声</w:t>
            </w:r>
          </w:p>
        </w:tc>
        <w:tc>
          <w:tcPr>
            <w:tcW w:w="159" w:type="pct"/>
            <w:tcBorders>
              <w:tl2br w:val="nil"/>
              <w:tr2bl w:val="nil"/>
            </w:tcBorders>
            <w:noWrap w:val="0"/>
            <w:vAlign w:val="center"/>
          </w:tcPr>
          <w:p w14:paraId="361554B9">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650" w:type="pct"/>
            <w:tcBorders>
              <w:tl2br w:val="nil"/>
              <w:tr2bl w:val="nil"/>
            </w:tcBorders>
            <w:noWrap w:val="0"/>
            <w:vAlign w:val="center"/>
          </w:tcPr>
          <w:p w14:paraId="139582C8">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车辆</w:t>
            </w:r>
          </w:p>
        </w:tc>
        <w:tc>
          <w:tcPr>
            <w:tcW w:w="1696" w:type="pct"/>
            <w:tcBorders>
              <w:tl2br w:val="nil"/>
              <w:tr2bl w:val="nil"/>
            </w:tcBorders>
            <w:noWrap w:val="0"/>
            <w:vAlign w:val="center"/>
          </w:tcPr>
          <w:p w14:paraId="654376A8">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合理安排作业时间</w:t>
            </w:r>
            <w:r>
              <w:rPr>
                <w:rFonts w:hint="default" w:ascii="Times New Roman" w:hAnsi="Times New Roman" w:eastAsia="宋体" w:cs="Times New Roman"/>
                <w:color w:val="auto"/>
                <w:lang w:eastAsia="zh-CN"/>
              </w:rPr>
              <w:t>。</w:t>
            </w:r>
          </w:p>
        </w:tc>
        <w:tc>
          <w:tcPr>
            <w:tcW w:w="409" w:type="pct"/>
            <w:tcBorders>
              <w:tl2br w:val="nil"/>
              <w:tr2bl w:val="nil"/>
            </w:tcBorders>
            <w:noWrap w:val="0"/>
            <w:vAlign w:val="center"/>
          </w:tcPr>
          <w:p w14:paraId="7BA15EBC">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908" w:type="pct"/>
            <w:tcBorders>
              <w:tl2br w:val="nil"/>
              <w:tr2bl w:val="nil"/>
            </w:tcBorders>
            <w:noWrap w:val="0"/>
            <w:vAlign w:val="center"/>
          </w:tcPr>
          <w:p w14:paraId="28A79DD0">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017" w:type="pct"/>
            <w:tcBorders>
              <w:tl2br w:val="nil"/>
              <w:tr2bl w:val="nil"/>
            </w:tcBorders>
            <w:noWrap w:val="0"/>
            <w:vAlign w:val="center"/>
          </w:tcPr>
          <w:p w14:paraId="47372EE4">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32A4EE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158" w:type="pct"/>
            <w:vMerge w:val="restart"/>
            <w:tcBorders>
              <w:tl2br w:val="nil"/>
              <w:tr2bl w:val="nil"/>
            </w:tcBorders>
            <w:noWrap w:val="0"/>
            <w:vAlign w:val="center"/>
          </w:tcPr>
          <w:p w14:paraId="6D9E11AF">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固废</w:t>
            </w:r>
          </w:p>
        </w:tc>
        <w:tc>
          <w:tcPr>
            <w:tcW w:w="159" w:type="pct"/>
            <w:tcBorders>
              <w:tl2br w:val="nil"/>
              <w:tr2bl w:val="nil"/>
            </w:tcBorders>
            <w:noWrap w:val="0"/>
            <w:vAlign w:val="center"/>
          </w:tcPr>
          <w:p w14:paraId="56534DC3">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650" w:type="pct"/>
            <w:tcBorders>
              <w:tl2br w:val="nil"/>
              <w:tr2bl w:val="nil"/>
            </w:tcBorders>
            <w:noWrap w:val="0"/>
            <w:vAlign w:val="center"/>
          </w:tcPr>
          <w:p w14:paraId="11E64CCF">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废弃管线、废弃建筑垃圾</w:t>
            </w:r>
          </w:p>
        </w:tc>
        <w:tc>
          <w:tcPr>
            <w:tcW w:w="1696" w:type="pct"/>
            <w:tcBorders>
              <w:tl2br w:val="nil"/>
              <w:tr2bl w:val="nil"/>
            </w:tcBorders>
            <w:noWrap w:val="0"/>
            <w:vAlign w:val="center"/>
          </w:tcPr>
          <w:p w14:paraId="2FB54D84">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收集后</w:t>
            </w:r>
            <w:r>
              <w:rPr>
                <w:rFonts w:hint="default" w:ascii="Times New Roman" w:hAnsi="Times New Roman" w:eastAsia="宋体" w:cs="Times New Roman"/>
                <w:color w:val="auto"/>
                <w:lang w:val="en-US" w:eastAsia="zh-CN"/>
              </w:rPr>
              <w:t>拉运至英买7固废场</w:t>
            </w:r>
          </w:p>
        </w:tc>
        <w:tc>
          <w:tcPr>
            <w:tcW w:w="409" w:type="pct"/>
            <w:tcBorders>
              <w:tl2br w:val="nil"/>
              <w:tr2bl w:val="nil"/>
            </w:tcBorders>
            <w:noWrap w:val="0"/>
            <w:vAlign w:val="center"/>
          </w:tcPr>
          <w:p w14:paraId="059B18FF">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908" w:type="pct"/>
            <w:tcBorders>
              <w:tl2br w:val="nil"/>
              <w:tr2bl w:val="nil"/>
            </w:tcBorders>
            <w:noWrap w:val="0"/>
            <w:vAlign w:val="center"/>
          </w:tcPr>
          <w:p w14:paraId="3002C1C4">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妥善处置</w:t>
            </w:r>
          </w:p>
        </w:tc>
        <w:tc>
          <w:tcPr>
            <w:tcW w:w="1017" w:type="pct"/>
            <w:tcBorders>
              <w:tl2br w:val="nil"/>
              <w:tr2bl w:val="nil"/>
            </w:tcBorders>
            <w:noWrap w:val="0"/>
            <w:vAlign w:val="center"/>
          </w:tcPr>
          <w:p w14:paraId="49D5E30A">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4E7394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158" w:type="pct"/>
            <w:vMerge w:val="continue"/>
            <w:tcBorders>
              <w:tl2br w:val="nil"/>
              <w:tr2bl w:val="nil"/>
            </w:tcBorders>
            <w:noWrap w:val="0"/>
            <w:vAlign w:val="center"/>
          </w:tcPr>
          <w:p w14:paraId="19D6C0CA">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p>
        </w:tc>
        <w:tc>
          <w:tcPr>
            <w:tcW w:w="159" w:type="pct"/>
            <w:tcBorders>
              <w:tl2br w:val="nil"/>
              <w:tr2bl w:val="nil"/>
            </w:tcBorders>
            <w:noWrap w:val="0"/>
            <w:vAlign w:val="center"/>
          </w:tcPr>
          <w:p w14:paraId="030D79B5">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w:t>
            </w:r>
          </w:p>
        </w:tc>
        <w:tc>
          <w:tcPr>
            <w:tcW w:w="650" w:type="pct"/>
            <w:tcBorders>
              <w:tl2br w:val="nil"/>
              <w:tr2bl w:val="nil"/>
            </w:tcBorders>
            <w:noWrap w:val="0"/>
            <w:vAlign w:val="center"/>
          </w:tcPr>
          <w:p w14:paraId="3F6C104E">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设施拆除过程</w:t>
            </w:r>
            <w:r>
              <w:rPr>
                <w:rFonts w:hint="default" w:ascii="Times New Roman" w:hAnsi="Times New Roman" w:eastAsia="宋体" w:cs="Times New Roman"/>
                <w:color w:val="auto"/>
                <w:lang w:val="en-US" w:eastAsia="zh-CN"/>
              </w:rPr>
              <w:t>产生的</w:t>
            </w:r>
            <w:r>
              <w:rPr>
                <w:rFonts w:hint="default" w:ascii="Times New Roman" w:hAnsi="Times New Roman" w:eastAsia="宋体" w:cs="Times New Roman"/>
                <w:color w:val="auto"/>
              </w:rPr>
              <w:t>油泥</w:t>
            </w:r>
          </w:p>
        </w:tc>
        <w:tc>
          <w:tcPr>
            <w:tcW w:w="1696" w:type="pct"/>
            <w:tcBorders>
              <w:tl2br w:val="nil"/>
              <w:tr2bl w:val="nil"/>
            </w:tcBorders>
            <w:noWrap w:val="0"/>
            <w:vAlign w:val="center"/>
          </w:tcPr>
          <w:p w14:paraId="75189483">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委托有危废处置资质单位进行处置</w:t>
            </w:r>
          </w:p>
        </w:tc>
        <w:tc>
          <w:tcPr>
            <w:tcW w:w="409" w:type="pct"/>
            <w:tcBorders>
              <w:tl2br w:val="nil"/>
              <w:tr2bl w:val="nil"/>
            </w:tcBorders>
            <w:noWrap w:val="0"/>
            <w:vAlign w:val="center"/>
          </w:tcPr>
          <w:p w14:paraId="29144883">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908" w:type="pct"/>
            <w:tcBorders>
              <w:tl2br w:val="nil"/>
              <w:tr2bl w:val="nil"/>
            </w:tcBorders>
            <w:noWrap w:val="0"/>
            <w:vAlign w:val="center"/>
          </w:tcPr>
          <w:p w14:paraId="44D94AC5">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妥善处置</w:t>
            </w:r>
          </w:p>
        </w:tc>
        <w:tc>
          <w:tcPr>
            <w:tcW w:w="1017" w:type="pct"/>
            <w:tcBorders>
              <w:tl2br w:val="nil"/>
              <w:tr2bl w:val="nil"/>
            </w:tcBorders>
            <w:noWrap w:val="0"/>
            <w:vAlign w:val="center"/>
          </w:tcPr>
          <w:p w14:paraId="1EE8BF7C">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53F45A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158" w:type="pct"/>
            <w:tcBorders>
              <w:tl2br w:val="nil"/>
              <w:tr2bl w:val="nil"/>
            </w:tcBorders>
            <w:noWrap w:val="0"/>
            <w:vAlign w:val="center"/>
          </w:tcPr>
          <w:p w14:paraId="1824542F">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生态</w:t>
            </w:r>
          </w:p>
        </w:tc>
        <w:tc>
          <w:tcPr>
            <w:tcW w:w="159" w:type="pct"/>
            <w:tcBorders>
              <w:tl2br w:val="nil"/>
              <w:tr2bl w:val="nil"/>
            </w:tcBorders>
            <w:noWrap w:val="0"/>
            <w:vAlign w:val="center"/>
          </w:tcPr>
          <w:p w14:paraId="57632521">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650" w:type="pct"/>
            <w:tcBorders>
              <w:tl2br w:val="nil"/>
              <w:tr2bl w:val="nil"/>
            </w:tcBorders>
            <w:noWrap w:val="0"/>
            <w:vAlign w:val="center"/>
          </w:tcPr>
          <w:p w14:paraId="3876369C">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生态恢复</w:t>
            </w:r>
          </w:p>
        </w:tc>
        <w:tc>
          <w:tcPr>
            <w:tcW w:w="1696" w:type="pct"/>
            <w:tcBorders>
              <w:tl2br w:val="nil"/>
              <w:tr2bl w:val="nil"/>
            </w:tcBorders>
            <w:noWrap w:val="0"/>
            <w:vAlign w:val="center"/>
          </w:tcPr>
          <w:p w14:paraId="44B73ED2">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地面设施拆除、水泥条清理，恢复原有自然状况</w:t>
            </w:r>
            <w:r>
              <w:rPr>
                <w:rFonts w:hint="default" w:ascii="Times New Roman" w:hAnsi="Times New Roman" w:eastAsia="宋体" w:cs="Times New Roman"/>
                <w:color w:val="auto"/>
                <w:lang w:eastAsia="zh-CN"/>
              </w:rPr>
              <w:t>。</w:t>
            </w:r>
          </w:p>
        </w:tc>
        <w:tc>
          <w:tcPr>
            <w:tcW w:w="409" w:type="pct"/>
            <w:tcBorders>
              <w:tl2br w:val="nil"/>
              <w:tr2bl w:val="nil"/>
            </w:tcBorders>
            <w:noWrap w:val="0"/>
            <w:vAlign w:val="center"/>
          </w:tcPr>
          <w:p w14:paraId="0F072332">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908" w:type="pct"/>
            <w:tcBorders>
              <w:tl2br w:val="nil"/>
              <w:tr2bl w:val="nil"/>
            </w:tcBorders>
            <w:noWrap w:val="0"/>
            <w:vAlign w:val="center"/>
          </w:tcPr>
          <w:p w14:paraId="38AE31CF">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恢复原貌</w:t>
            </w:r>
          </w:p>
        </w:tc>
        <w:tc>
          <w:tcPr>
            <w:tcW w:w="1017" w:type="pct"/>
            <w:tcBorders>
              <w:tl2br w:val="nil"/>
              <w:tr2bl w:val="nil"/>
            </w:tcBorders>
            <w:noWrap w:val="0"/>
            <w:vAlign w:val="center"/>
          </w:tcPr>
          <w:p w14:paraId="60166DE4">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《废弃井封井回填技术指南（试行）》</w:t>
            </w:r>
          </w:p>
        </w:tc>
      </w:tr>
      <w:bookmarkEnd w:id="890"/>
    </w:tbl>
    <w:p w14:paraId="4F0C596C">
      <w:pPr>
        <w:pStyle w:val="49"/>
        <w:bidi w:val="0"/>
        <w:rPr>
          <w:rFonts w:hint="eastAsia"/>
          <w:color w:val="auto"/>
          <w:lang w:val="en-US" w:eastAsia="zh-CN"/>
        </w:rPr>
        <w:sectPr>
          <w:pgSz w:w="11906"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AndChars" w:linePitch="316" w:charSpace="0"/>
        </w:sectPr>
      </w:pPr>
    </w:p>
    <w:p w14:paraId="6D8EC924">
      <w:pPr>
        <w:pStyle w:val="49"/>
        <w:bidi w:val="0"/>
        <w:rPr>
          <w:rFonts w:hint="eastAsia"/>
          <w:color w:val="auto"/>
          <w:lang w:val="en-US" w:eastAsia="zh-CN"/>
        </w:rPr>
      </w:pPr>
      <w:bookmarkStart w:id="897" w:name="_Toc3080"/>
      <w:r>
        <w:rPr>
          <w:rFonts w:hint="eastAsia"/>
          <w:color w:val="auto"/>
          <w:lang w:val="en-US" w:eastAsia="zh-CN"/>
        </w:rPr>
        <w:t>10 结论</w:t>
      </w:r>
      <w:bookmarkEnd w:id="897"/>
    </w:p>
    <w:p w14:paraId="20DEB384">
      <w:pPr>
        <w:pStyle w:val="75"/>
        <w:bidi w:val="0"/>
        <w:rPr>
          <w:color w:val="auto"/>
          <w:lang w:val="en-US" w:eastAsia="zh-CN"/>
        </w:rPr>
      </w:pPr>
      <w:bookmarkStart w:id="898" w:name="_Toc17214"/>
      <w:r>
        <w:rPr>
          <w:rFonts w:hint="eastAsia"/>
          <w:color w:val="auto"/>
          <w:lang w:val="en-US" w:eastAsia="zh-CN"/>
        </w:rPr>
        <w:t>10</w:t>
      </w:r>
      <w:r>
        <w:rPr>
          <w:color w:val="auto"/>
          <w:lang w:val="en-US" w:eastAsia="zh-CN"/>
        </w:rPr>
        <w:t>.1</w:t>
      </w:r>
      <w:r>
        <w:rPr>
          <w:rFonts w:hint="eastAsia"/>
          <w:color w:val="auto"/>
          <w:lang w:val="en-US" w:eastAsia="zh-CN"/>
        </w:rPr>
        <w:t xml:space="preserve"> 建设项目情况</w:t>
      </w:r>
      <w:bookmarkEnd w:id="898"/>
    </w:p>
    <w:p w14:paraId="26224BFF">
      <w:pPr>
        <w:pStyle w:val="79"/>
        <w:bidi w:val="0"/>
        <w:rPr>
          <w:rFonts w:hint="default"/>
          <w:color w:val="auto"/>
          <w:lang w:eastAsia="zh-CN"/>
        </w:rPr>
      </w:pPr>
      <w:r>
        <w:rPr>
          <w:rFonts w:hint="default"/>
          <w:color w:val="auto"/>
          <w:lang w:eastAsia="zh-CN"/>
        </w:rPr>
        <w:t>本工程位于新疆维吾尔自治区阿克苏地区温宿县境内，西北方向距温宿县城约80.7km，东北侧距离新和县114km，</w:t>
      </w:r>
      <w:r>
        <w:rPr>
          <w:rFonts w:hint="default"/>
          <w:color w:val="auto"/>
        </w:rPr>
        <w:t>东经81°12′0.482″</w:t>
      </w:r>
      <w:r>
        <w:rPr>
          <w:rFonts w:hint="eastAsia"/>
          <w:color w:val="auto"/>
          <w:lang w:eastAsia="zh-CN"/>
        </w:rPr>
        <w:t>，</w:t>
      </w:r>
      <w:r>
        <w:rPr>
          <w:rFonts w:hint="default"/>
          <w:color w:val="auto"/>
        </w:rPr>
        <w:t>北纬41°14′26.451″</w:t>
      </w:r>
      <w:r>
        <w:rPr>
          <w:rFonts w:hint="default"/>
          <w:color w:val="auto"/>
          <w:lang w:eastAsia="zh-CN"/>
        </w:rPr>
        <w:t>（</w:t>
      </w:r>
      <w:r>
        <w:rPr>
          <w:rFonts w:hint="eastAsia"/>
          <w:color w:val="auto"/>
          <w:lang w:val="en-US" w:eastAsia="zh-CN"/>
        </w:rPr>
        <w:t>雄探1试采点</w:t>
      </w:r>
      <w:r>
        <w:rPr>
          <w:rFonts w:hint="default"/>
          <w:color w:val="auto"/>
          <w:lang w:eastAsia="zh-CN"/>
        </w:rPr>
        <w:t>）。</w:t>
      </w:r>
    </w:p>
    <w:p w14:paraId="2FB8A3E5">
      <w:pPr>
        <w:pStyle w:val="79"/>
        <w:bidi w:val="0"/>
        <w:rPr>
          <w:rFonts w:hint="default"/>
          <w:color w:val="auto"/>
        </w:rPr>
      </w:pPr>
      <w:r>
        <w:rPr>
          <w:rFonts w:hint="default"/>
          <w:color w:val="auto"/>
        </w:rPr>
        <w:t>本项目主要建设内容包括：</w:t>
      </w:r>
      <w:r>
        <w:rPr>
          <w:rFonts w:hint="default"/>
          <w:color w:val="auto"/>
          <w:lang w:val="en-US" w:eastAsia="zh-CN"/>
        </w:rPr>
        <w:fldChar w:fldCharType="begin"/>
      </w:r>
      <w:r>
        <w:rPr>
          <w:rFonts w:hint="default"/>
          <w:color w:val="auto"/>
          <w:lang w:val="en-US" w:eastAsia="zh-CN"/>
        </w:rPr>
        <w:instrText xml:space="preserve"> = 1 \* GB3 \* MERGEFORMAT </w:instrText>
      </w:r>
      <w:r>
        <w:rPr>
          <w:rFonts w:hint="default"/>
          <w:color w:val="auto"/>
          <w:lang w:val="en-US" w:eastAsia="zh-CN"/>
        </w:rPr>
        <w:fldChar w:fldCharType="separate"/>
      </w:r>
      <w:r>
        <w:rPr>
          <w:rFonts w:hint="default"/>
          <w:color w:val="auto"/>
          <w:lang w:val="en-US" w:eastAsia="zh-CN"/>
        </w:rPr>
        <w:t>①</w:t>
      </w:r>
      <w:r>
        <w:rPr>
          <w:rFonts w:hint="default"/>
          <w:color w:val="auto"/>
          <w:lang w:val="en-US" w:eastAsia="zh-CN"/>
        </w:rPr>
        <w:fldChar w:fldCharType="end"/>
      </w:r>
      <w:r>
        <w:rPr>
          <w:rFonts w:hint="eastAsia"/>
          <w:color w:val="auto"/>
          <w:lang w:val="en-US" w:eastAsia="zh-CN"/>
        </w:rPr>
        <w:t>新建</w:t>
      </w:r>
      <w:r>
        <w:rPr>
          <w:rFonts w:hint="default"/>
          <w:color w:val="auto"/>
          <w:lang w:val="en-US" w:eastAsia="zh-CN"/>
        </w:rPr>
        <w:t>采油井场</w:t>
      </w:r>
      <w:r>
        <w:rPr>
          <w:rFonts w:hint="eastAsia"/>
          <w:color w:val="auto"/>
          <w:lang w:val="en-US" w:eastAsia="zh-CN"/>
        </w:rPr>
        <w:t>5</w:t>
      </w:r>
      <w:r>
        <w:rPr>
          <w:rFonts w:hint="default"/>
          <w:color w:val="auto"/>
          <w:lang w:val="en-US" w:eastAsia="zh-CN"/>
        </w:rPr>
        <w:t>座：雄英101井、雄英102井、雄英103井、雄英2井、雄英3井，</w:t>
      </w:r>
      <w:r>
        <w:rPr>
          <w:rFonts w:hint="eastAsia"/>
          <w:color w:val="auto"/>
          <w:lang w:val="en-US" w:eastAsia="zh-CN"/>
        </w:rPr>
        <w:t>改造采油井场1座（</w:t>
      </w:r>
      <w:r>
        <w:rPr>
          <w:rFonts w:hint="default"/>
          <w:color w:val="auto"/>
          <w:lang w:val="en-US" w:eastAsia="zh-CN"/>
        </w:rPr>
        <w:t>雄探1井</w:t>
      </w:r>
      <w:r>
        <w:rPr>
          <w:rFonts w:hint="eastAsia"/>
          <w:color w:val="auto"/>
          <w:lang w:val="en-US" w:eastAsia="zh-CN"/>
        </w:rPr>
        <w:t>），均</w:t>
      </w:r>
      <w:r>
        <w:rPr>
          <w:rFonts w:hint="default"/>
          <w:color w:val="auto"/>
          <w:lang w:val="en-US" w:eastAsia="zh-CN"/>
        </w:rPr>
        <w:t>采用油井标准化井场。</w:t>
      </w:r>
      <w:r>
        <w:rPr>
          <w:rFonts w:hint="default"/>
          <w:color w:val="auto"/>
          <w:lang w:val="en-US" w:eastAsia="zh-CN"/>
        </w:rPr>
        <w:fldChar w:fldCharType="begin"/>
      </w:r>
      <w:r>
        <w:rPr>
          <w:rFonts w:hint="default"/>
          <w:color w:val="auto"/>
          <w:lang w:val="en-US" w:eastAsia="zh-CN"/>
        </w:rPr>
        <w:instrText xml:space="preserve"> = 2 \* GB3 \* MERGEFORMAT </w:instrText>
      </w:r>
      <w:r>
        <w:rPr>
          <w:rFonts w:hint="default"/>
          <w:color w:val="auto"/>
          <w:lang w:val="en-US" w:eastAsia="zh-CN"/>
        </w:rPr>
        <w:fldChar w:fldCharType="separate"/>
      </w:r>
      <w:r>
        <w:rPr>
          <w:rFonts w:hint="default"/>
          <w:color w:val="auto"/>
        </w:rPr>
        <w:t>②</w:t>
      </w:r>
      <w:r>
        <w:rPr>
          <w:rFonts w:hint="default"/>
          <w:color w:val="auto"/>
          <w:lang w:val="en-US" w:eastAsia="zh-CN"/>
        </w:rPr>
        <w:fldChar w:fldCharType="end"/>
      </w:r>
      <w:r>
        <w:rPr>
          <w:rFonts w:hint="default"/>
          <w:color w:val="auto"/>
          <w:lang w:val="en-US" w:eastAsia="zh-CN"/>
        </w:rPr>
        <w:t>单井集输：新建单井集输管道总长度为</w:t>
      </w:r>
      <w:r>
        <w:rPr>
          <w:rFonts w:hint="eastAsia"/>
          <w:color w:val="auto"/>
          <w:lang w:val="en-US" w:eastAsia="zh-CN"/>
        </w:rPr>
        <w:t>24.</w:t>
      </w:r>
      <w:r>
        <w:rPr>
          <w:rFonts w:hint="default"/>
          <w:color w:val="auto"/>
          <w:lang w:val="en-US" w:eastAsia="zh-CN"/>
        </w:rPr>
        <w:t>7km，管道选用材质为</w:t>
      </w:r>
      <w:r>
        <w:rPr>
          <w:rFonts w:hint="eastAsia"/>
          <w:color w:val="auto"/>
          <w:lang w:val="en-US" w:eastAsia="zh-CN"/>
        </w:rPr>
        <w:t>玻璃钢管</w:t>
      </w:r>
      <w:r>
        <w:rPr>
          <w:rFonts w:hint="default"/>
          <w:color w:val="auto"/>
          <w:lang w:val="en-US" w:eastAsia="zh-CN"/>
        </w:rPr>
        <w:t>。</w:t>
      </w:r>
      <w:r>
        <w:rPr>
          <w:rFonts w:hint="default"/>
          <w:color w:val="auto"/>
          <w:lang w:val="en-US" w:eastAsia="zh-CN"/>
        </w:rPr>
        <w:fldChar w:fldCharType="begin"/>
      </w:r>
      <w:r>
        <w:rPr>
          <w:rFonts w:hint="default"/>
          <w:color w:val="auto"/>
          <w:lang w:val="en-US" w:eastAsia="zh-CN"/>
        </w:rPr>
        <w:instrText xml:space="preserve"> = 3 \* GB3 \* MERGEFORMAT </w:instrText>
      </w:r>
      <w:r>
        <w:rPr>
          <w:rFonts w:hint="default"/>
          <w:color w:val="auto"/>
          <w:lang w:val="en-US" w:eastAsia="zh-CN"/>
        </w:rPr>
        <w:fldChar w:fldCharType="separate"/>
      </w:r>
      <w:r>
        <w:rPr>
          <w:rFonts w:hint="default"/>
          <w:color w:val="auto"/>
          <w:lang w:val="en-US" w:eastAsia="zh-CN"/>
        </w:rPr>
        <w:t>③</w:t>
      </w:r>
      <w:r>
        <w:rPr>
          <w:rFonts w:hint="default"/>
          <w:color w:val="auto"/>
          <w:lang w:val="en-US" w:eastAsia="zh-CN"/>
        </w:rPr>
        <w:fldChar w:fldCharType="end"/>
      </w:r>
      <w:r>
        <w:rPr>
          <w:rFonts w:hint="default"/>
          <w:color w:val="auto"/>
          <w:lang w:val="en-US" w:eastAsia="zh-CN"/>
        </w:rPr>
        <w:t>扩建雄探1试采点，处理规模为产油2</w:t>
      </w:r>
      <w:r>
        <w:rPr>
          <w:rFonts w:hint="eastAsia"/>
          <w:color w:val="auto"/>
          <w:lang w:val="en-US" w:eastAsia="zh-CN"/>
        </w:rPr>
        <w:t>3</w:t>
      </w:r>
      <w:r>
        <w:rPr>
          <w:rFonts w:hint="default"/>
          <w:color w:val="auto"/>
          <w:lang w:val="en-US" w:eastAsia="zh-CN"/>
        </w:rPr>
        <w:t>0t/d、产气</w:t>
      </w:r>
      <w:r>
        <w:rPr>
          <w:rFonts w:hint="eastAsia"/>
          <w:color w:val="auto"/>
          <w:lang w:val="en-US" w:eastAsia="zh-CN"/>
        </w:rPr>
        <w:t>9</w:t>
      </w:r>
      <w:r>
        <w:rPr>
          <w:rFonts w:hint="default"/>
          <w:color w:val="auto"/>
          <w:lang w:val="en-US" w:eastAsia="zh-CN"/>
        </w:rPr>
        <w:t>.5×10</w:t>
      </w:r>
      <w:r>
        <w:rPr>
          <w:rFonts w:hint="default"/>
          <w:color w:val="auto"/>
          <w:vertAlign w:val="superscript"/>
          <w:lang w:val="en-US" w:eastAsia="zh-CN"/>
        </w:rPr>
        <w:t>4</w:t>
      </w:r>
      <w:r>
        <w:rPr>
          <w:rFonts w:hint="default"/>
          <w:color w:val="auto"/>
          <w:lang w:val="en-US" w:eastAsia="zh-CN"/>
        </w:rPr>
        <w:t>m</w:t>
      </w:r>
      <w:r>
        <w:rPr>
          <w:rFonts w:hint="default"/>
          <w:color w:val="auto"/>
          <w:vertAlign w:val="superscript"/>
          <w:lang w:val="en-US" w:eastAsia="zh-CN"/>
        </w:rPr>
        <w:t>3</w:t>
      </w:r>
      <w:r>
        <w:rPr>
          <w:rFonts w:hint="default"/>
          <w:color w:val="auto"/>
          <w:lang w:val="en-US" w:eastAsia="zh-CN"/>
        </w:rPr>
        <w:t>/d，对各单井来的油气进行计量、加热、分离、天然气脱硫和增压脱水、原油闪蒸和储存。</w:t>
      </w:r>
      <w:r>
        <w:rPr>
          <w:rFonts w:hint="default"/>
          <w:color w:val="auto"/>
          <w:lang w:val="en-US" w:eastAsia="zh-CN"/>
        </w:rPr>
        <w:fldChar w:fldCharType="begin"/>
      </w:r>
      <w:r>
        <w:rPr>
          <w:rFonts w:hint="default"/>
          <w:color w:val="auto"/>
          <w:lang w:val="en-US" w:eastAsia="zh-CN"/>
        </w:rPr>
        <w:instrText xml:space="preserve"> = 4 \* GB3 \* MERGEFORMAT </w:instrText>
      </w:r>
      <w:r>
        <w:rPr>
          <w:rFonts w:hint="default"/>
          <w:color w:val="auto"/>
          <w:lang w:val="en-US" w:eastAsia="zh-CN"/>
        </w:rPr>
        <w:fldChar w:fldCharType="separate"/>
      </w:r>
      <w:r>
        <w:rPr>
          <w:rFonts w:hint="default"/>
          <w:color w:val="auto"/>
          <w:lang w:val="en-US" w:eastAsia="zh-CN"/>
        </w:rPr>
        <w:t>④</w:t>
      </w:r>
      <w:r>
        <w:rPr>
          <w:rFonts w:hint="default"/>
          <w:color w:val="auto"/>
          <w:lang w:val="en-US" w:eastAsia="zh-CN"/>
        </w:rPr>
        <w:fldChar w:fldCharType="end"/>
      </w:r>
      <w:r>
        <w:rPr>
          <w:rFonts w:hint="default"/>
          <w:color w:val="auto"/>
          <w:lang w:val="en-US" w:eastAsia="zh-CN"/>
        </w:rPr>
        <w:t>天然气外输：依托已建集气管道输至玉东2增压站；</w:t>
      </w:r>
      <w:r>
        <w:rPr>
          <w:rFonts w:hint="default"/>
          <w:color w:val="auto"/>
          <w:lang w:val="en-US" w:eastAsia="zh-CN"/>
        </w:rPr>
        <w:fldChar w:fldCharType="begin"/>
      </w:r>
      <w:r>
        <w:rPr>
          <w:rFonts w:hint="default"/>
          <w:color w:val="auto"/>
          <w:lang w:val="en-US" w:eastAsia="zh-CN"/>
        </w:rPr>
        <w:instrText xml:space="preserve"> = 5 \* GB3 \* MERGEFORMAT </w:instrText>
      </w:r>
      <w:r>
        <w:rPr>
          <w:rFonts w:hint="default"/>
          <w:color w:val="auto"/>
          <w:lang w:val="en-US" w:eastAsia="zh-CN"/>
        </w:rPr>
        <w:fldChar w:fldCharType="separate"/>
      </w:r>
      <w:r>
        <w:rPr>
          <w:rFonts w:hint="default"/>
          <w:color w:val="auto"/>
          <w:lang w:val="en-US" w:eastAsia="zh-CN"/>
        </w:rPr>
        <w:t>⑤</w:t>
      </w:r>
      <w:r>
        <w:rPr>
          <w:rFonts w:hint="default"/>
          <w:color w:val="auto"/>
          <w:lang w:val="en-US" w:eastAsia="zh-CN"/>
        </w:rPr>
        <w:fldChar w:fldCharType="end"/>
      </w:r>
      <w:r>
        <w:rPr>
          <w:rFonts w:hint="default"/>
          <w:color w:val="auto"/>
          <w:lang w:val="en-US" w:eastAsia="zh-CN"/>
        </w:rPr>
        <w:t>原油外输：采用罐车拉运至哈六联合站。</w:t>
      </w:r>
      <w:r>
        <w:rPr>
          <w:rFonts w:hint="default"/>
          <w:color w:val="auto"/>
          <w:lang w:val="en-US" w:eastAsia="zh-CN"/>
        </w:rPr>
        <w:fldChar w:fldCharType="begin"/>
      </w:r>
      <w:r>
        <w:rPr>
          <w:rFonts w:hint="default"/>
          <w:color w:val="auto"/>
          <w:lang w:val="en-US" w:eastAsia="zh-CN"/>
        </w:rPr>
        <w:instrText xml:space="preserve"> = 6 \* GB3 \* MERGEFORMAT </w:instrText>
      </w:r>
      <w:r>
        <w:rPr>
          <w:rFonts w:hint="default"/>
          <w:color w:val="auto"/>
          <w:lang w:val="en-US" w:eastAsia="zh-CN"/>
        </w:rPr>
        <w:fldChar w:fldCharType="separate"/>
      </w:r>
      <w:r>
        <w:rPr>
          <w:rFonts w:hint="default"/>
          <w:color w:val="auto"/>
        </w:rPr>
        <w:t>⑥</w:t>
      </w:r>
      <w:r>
        <w:rPr>
          <w:rFonts w:hint="default"/>
          <w:color w:val="auto"/>
          <w:lang w:val="en-US" w:eastAsia="zh-CN"/>
        </w:rPr>
        <w:fldChar w:fldCharType="end"/>
      </w:r>
      <w:r>
        <w:rPr>
          <w:rFonts w:hint="default"/>
          <w:color w:val="auto"/>
          <w:lang w:val="en-US" w:eastAsia="zh-CN"/>
        </w:rPr>
        <w:t>配套电力、通信、自控、土建、机械、防腐等工程</w:t>
      </w:r>
      <w:r>
        <w:rPr>
          <w:rFonts w:hint="default"/>
          <w:color w:val="auto"/>
        </w:rPr>
        <w:t>。</w:t>
      </w:r>
    </w:p>
    <w:p w14:paraId="0B7AC961">
      <w:pPr>
        <w:pStyle w:val="79"/>
        <w:bidi w:val="0"/>
        <w:rPr>
          <w:color w:val="auto"/>
        </w:rPr>
      </w:pPr>
      <w:r>
        <w:rPr>
          <w:rFonts w:hint="default"/>
          <w:color w:val="auto"/>
          <w:lang w:eastAsia="zh-CN"/>
        </w:rPr>
        <w:t>本工程</w:t>
      </w:r>
      <w:r>
        <w:rPr>
          <w:rFonts w:hint="default"/>
          <w:color w:val="auto"/>
        </w:rPr>
        <w:t>总投资为</w:t>
      </w:r>
      <w:r>
        <w:rPr>
          <w:rFonts w:hint="eastAsia"/>
          <w:color w:val="auto"/>
          <w:lang w:val="en-US" w:eastAsia="zh-CN"/>
        </w:rPr>
        <w:t>4785.44</w:t>
      </w:r>
      <w:r>
        <w:rPr>
          <w:rFonts w:hint="default"/>
          <w:color w:val="auto"/>
          <w:lang w:val="en-US" w:eastAsia="zh-CN"/>
        </w:rPr>
        <w:t>万</w:t>
      </w:r>
      <w:r>
        <w:rPr>
          <w:rFonts w:hint="default"/>
          <w:color w:val="auto"/>
        </w:rPr>
        <w:t>元，其中环保投资</w:t>
      </w:r>
      <w:r>
        <w:rPr>
          <w:rFonts w:hint="eastAsia"/>
          <w:color w:val="auto"/>
          <w:lang w:val="en-US" w:eastAsia="zh-CN"/>
        </w:rPr>
        <w:t>61</w:t>
      </w:r>
      <w:r>
        <w:rPr>
          <w:rFonts w:hint="default"/>
          <w:color w:val="auto"/>
          <w:lang w:val="en-US" w:eastAsia="zh-CN"/>
        </w:rPr>
        <w:t>万元</w:t>
      </w:r>
      <w:r>
        <w:rPr>
          <w:rFonts w:hint="default"/>
          <w:color w:val="auto"/>
        </w:rPr>
        <w:t>，占总投资</w:t>
      </w:r>
      <w:r>
        <w:rPr>
          <w:rFonts w:hint="eastAsia"/>
          <w:color w:val="auto"/>
          <w:lang w:val="en-US" w:eastAsia="zh-CN"/>
        </w:rPr>
        <w:t>1.27%</w:t>
      </w:r>
      <w:r>
        <w:rPr>
          <w:rFonts w:hint="default"/>
          <w:color w:val="auto"/>
        </w:rPr>
        <w:t>。</w:t>
      </w:r>
    </w:p>
    <w:p w14:paraId="7EA38FA0">
      <w:pPr>
        <w:pStyle w:val="75"/>
        <w:bidi w:val="0"/>
        <w:rPr>
          <w:color w:val="auto"/>
          <w:lang w:val="en-US" w:eastAsia="zh-CN"/>
        </w:rPr>
      </w:pPr>
      <w:bookmarkStart w:id="899" w:name="_Toc25770"/>
      <w:r>
        <w:rPr>
          <w:rFonts w:hint="eastAsia"/>
          <w:color w:val="auto"/>
          <w:lang w:val="en-US" w:eastAsia="zh-CN"/>
        </w:rPr>
        <w:t>10</w:t>
      </w:r>
      <w:r>
        <w:rPr>
          <w:color w:val="auto"/>
          <w:lang w:val="en-US" w:eastAsia="zh-CN"/>
        </w:rPr>
        <w:t>.2</w:t>
      </w:r>
      <w:r>
        <w:rPr>
          <w:rFonts w:hint="eastAsia"/>
          <w:color w:val="auto"/>
          <w:lang w:val="en-US" w:eastAsia="zh-CN"/>
        </w:rPr>
        <w:t xml:space="preserve"> 产业政策、选址符合性</w:t>
      </w:r>
      <w:bookmarkEnd w:id="899"/>
    </w:p>
    <w:p w14:paraId="2C11384E">
      <w:pPr>
        <w:pStyle w:val="79"/>
        <w:bidi w:val="0"/>
        <w:rPr>
          <w:color w:val="auto"/>
          <w:lang w:val="en-US" w:eastAsia="zh-CN"/>
        </w:rPr>
      </w:pPr>
      <w:r>
        <w:rPr>
          <w:color w:val="auto"/>
          <w:lang w:val="zh-CN" w:eastAsia="zh-CN"/>
        </w:rPr>
        <w:t>（</w:t>
      </w:r>
      <w:r>
        <w:rPr>
          <w:color w:val="auto"/>
          <w:lang w:val="en-US" w:eastAsia="zh-CN"/>
        </w:rPr>
        <w:t>1</w:t>
      </w:r>
      <w:r>
        <w:rPr>
          <w:color w:val="auto"/>
          <w:lang w:val="zh-CN" w:eastAsia="zh-CN"/>
        </w:rPr>
        <w:t>）</w:t>
      </w:r>
      <w:r>
        <w:rPr>
          <w:color w:val="auto"/>
          <w:lang w:val="en-US" w:eastAsia="zh-CN"/>
        </w:rPr>
        <w:t>产业政策符合分析</w:t>
      </w:r>
    </w:p>
    <w:p w14:paraId="66A791A2">
      <w:pPr>
        <w:pStyle w:val="79"/>
        <w:bidi w:val="0"/>
        <w:rPr>
          <w:rFonts w:hint="eastAsia"/>
          <w:color w:val="auto"/>
          <w:lang w:val="zh-CN" w:eastAsia="zh-CN"/>
        </w:rPr>
      </w:pPr>
      <w:r>
        <w:rPr>
          <w:rFonts w:hint="eastAsia"/>
          <w:color w:val="auto"/>
          <w:lang w:val="zh-CN" w:eastAsia="zh-CN"/>
        </w:rPr>
        <w:t>本工程属于</w:t>
      </w:r>
      <w:r>
        <w:rPr>
          <w:rFonts w:hint="eastAsia"/>
          <w:color w:val="auto"/>
          <w:lang w:val="en-US" w:eastAsia="zh-CN"/>
        </w:rPr>
        <w:t>油气</w:t>
      </w:r>
      <w:r>
        <w:rPr>
          <w:rFonts w:hint="eastAsia"/>
          <w:color w:val="auto"/>
          <w:lang w:val="zh-CN" w:eastAsia="zh-CN"/>
        </w:rPr>
        <w:t>开采项目，根据《产业结构调整指导目录（2024年本）》，属于“鼓励类”第七项“石油、天然气”中第1条“常规石油、天然气勘探与开采”项目，本工程的建设符合国家产业政策。</w:t>
      </w:r>
    </w:p>
    <w:p w14:paraId="68D4598D">
      <w:pPr>
        <w:pStyle w:val="79"/>
        <w:bidi w:val="0"/>
        <w:rPr>
          <w:color w:val="auto"/>
          <w:lang w:val="en-US" w:eastAsia="zh-CN"/>
        </w:rPr>
      </w:pPr>
      <w:r>
        <w:rPr>
          <w:rFonts w:hint="eastAsia"/>
          <w:color w:val="auto"/>
          <w:lang w:val="zh-CN" w:eastAsia="zh-CN"/>
        </w:rPr>
        <w:t>本工程的建设符合国家产业政策</w:t>
      </w:r>
      <w:r>
        <w:rPr>
          <w:color w:val="auto"/>
          <w:lang w:val="en-US" w:eastAsia="zh-CN"/>
        </w:rPr>
        <w:t>。</w:t>
      </w:r>
    </w:p>
    <w:p w14:paraId="5F01D761">
      <w:pPr>
        <w:pStyle w:val="79"/>
        <w:bidi w:val="0"/>
        <w:rPr>
          <w:color w:val="auto"/>
        </w:rPr>
      </w:pPr>
      <w:r>
        <w:rPr>
          <w:color w:val="auto"/>
          <w:lang w:val="zh-CN"/>
        </w:rPr>
        <w:t>（</w:t>
      </w:r>
      <w:r>
        <w:rPr>
          <w:color w:val="auto"/>
        </w:rPr>
        <w:t>2</w:t>
      </w:r>
      <w:r>
        <w:rPr>
          <w:color w:val="auto"/>
          <w:lang w:val="zh-CN"/>
        </w:rPr>
        <w:t>）</w:t>
      </w:r>
      <w:r>
        <w:rPr>
          <w:color w:val="auto"/>
        </w:rPr>
        <w:t>政策、法规符合性分析</w:t>
      </w:r>
    </w:p>
    <w:p w14:paraId="49457AE4">
      <w:pPr>
        <w:pStyle w:val="79"/>
        <w:bidi w:val="0"/>
        <w:rPr>
          <w:color w:val="auto"/>
        </w:rPr>
      </w:pPr>
      <w:r>
        <w:rPr>
          <w:rFonts w:hint="eastAsia"/>
          <w:color w:val="auto"/>
          <w:lang w:val="zh-CN"/>
        </w:rPr>
        <w:t>本工程属于石油天然气开采项目，选址选线不涉及国家公园、自然保护区、世界自然遗产、重要生境、自然公园、生态保护红线等生态保护区。运营期工艺流程全密闭，废水、固废处置措施得当。符合《石油天然气开采业污染防治技术政策》《新疆维吾尔自治区大气污染防治条例》《关于进一步加强石油天然气行业环境影响评价管理的通知》（环办环评函〔2019〕910号）等相关政策、法律法规相关要求。</w:t>
      </w:r>
    </w:p>
    <w:p w14:paraId="4C62FD12">
      <w:pPr>
        <w:pStyle w:val="79"/>
        <w:bidi w:val="0"/>
        <w:rPr>
          <w:rFonts w:hint="default"/>
          <w:color w:val="auto"/>
          <w:lang w:val="en-US" w:eastAsia="zh-CN"/>
        </w:rPr>
      </w:pPr>
      <w:r>
        <w:rPr>
          <w:rFonts w:hint="default"/>
          <w:color w:val="auto"/>
          <w:lang w:val="zh-CN" w:eastAsia="zh-CN"/>
        </w:rPr>
        <w:t>（</w:t>
      </w:r>
      <w:r>
        <w:rPr>
          <w:rFonts w:hint="default"/>
          <w:color w:val="auto"/>
          <w:lang w:val="en-US" w:eastAsia="zh-CN"/>
        </w:rPr>
        <w:t>3</w:t>
      </w:r>
      <w:r>
        <w:rPr>
          <w:rFonts w:hint="default"/>
          <w:color w:val="auto"/>
          <w:lang w:val="zh-CN" w:eastAsia="zh-CN"/>
        </w:rPr>
        <w:t>）</w:t>
      </w:r>
      <w:r>
        <w:rPr>
          <w:rFonts w:hint="default"/>
          <w:color w:val="auto"/>
          <w:lang w:val="en-US" w:eastAsia="zh-CN"/>
        </w:rPr>
        <w:t>规划符合性分析</w:t>
      </w:r>
    </w:p>
    <w:p w14:paraId="1D933C53">
      <w:pPr>
        <w:pStyle w:val="79"/>
        <w:bidi w:val="0"/>
        <w:rPr>
          <w:rFonts w:hint="default"/>
          <w:color w:val="auto"/>
          <w:lang w:val="zh-CN" w:eastAsia="zh-CN"/>
        </w:rPr>
      </w:pPr>
      <w:r>
        <w:rPr>
          <w:rFonts w:hint="default"/>
          <w:color w:val="auto"/>
          <w:lang w:val="zh-CN" w:eastAsia="zh-CN"/>
        </w:rPr>
        <w:t>本工程属于石油天然气开采项目，有助于推进</w:t>
      </w:r>
      <w:r>
        <w:rPr>
          <w:rFonts w:hint="eastAsia"/>
          <w:color w:val="auto"/>
          <w:lang w:val="en-US" w:eastAsia="zh-CN"/>
        </w:rPr>
        <w:t>雄英油田</w:t>
      </w:r>
      <w:r>
        <w:rPr>
          <w:rFonts w:hint="eastAsia"/>
          <w:color w:val="auto"/>
          <w:lang w:val="zh-CN" w:eastAsia="zh-CN"/>
        </w:rPr>
        <w:t>雄探1井</w:t>
      </w:r>
      <w:r>
        <w:rPr>
          <w:rFonts w:hint="default"/>
          <w:color w:val="auto"/>
          <w:lang w:val="zh-CN" w:eastAsia="zh-CN"/>
        </w:rPr>
        <w:t>区的油气开发，加大</w:t>
      </w:r>
      <w:r>
        <w:rPr>
          <w:rFonts w:hint="eastAsia"/>
          <w:color w:val="auto"/>
          <w:lang w:val="en-US" w:eastAsia="zh-CN"/>
        </w:rPr>
        <w:t>塔里木</w:t>
      </w:r>
      <w:r>
        <w:rPr>
          <w:rFonts w:hint="default"/>
          <w:color w:val="auto"/>
          <w:lang w:val="zh-CN" w:eastAsia="zh-CN"/>
        </w:rPr>
        <w:t>盆地油气开发力度。符合《新疆维吾尔自治区国民经济和社会发展第十四个五年规划和2035年远景目标纲要》《塔里木油田“十四五”发展规划》</w:t>
      </w:r>
      <w:r>
        <w:rPr>
          <w:rFonts w:hint="eastAsia"/>
          <w:color w:val="auto"/>
          <w:lang w:val="en-US" w:eastAsia="zh-CN"/>
        </w:rPr>
        <w:t>等</w:t>
      </w:r>
      <w:r>
        <w:rPr>
          <w:rFonts w:hint="default"/>
          <w:color w:val="auto"/>
          <w:lang w:val="zh-CN" w:eastAsia="zh-CN"/>
        </w:rPr>
        <w:t>相关要求。</w:t>
      </w:r>
    </w:p>
    <w:p w14:paraId="6F98FF66">
      <w:pPr>
        <w:pStyle w:val="79"/>
        <w:bidi w:val="0"/>
        <w:rPr>
          <w:rFonts w:hint="default"/>
          <w:color w:val="auto"/>
          <w:lang w:val="zh-CN" w:eastAsia="zh-CN"/>
        </w:rPr>
      </w:pPr>
      <w:r>
        <w:rPr>
          <w:rFonts w:hint="default"/>
          <w:color w:val="auto"/>
          <w:lang w:val="zh-CN" w:eastAsia="zh-CN"/>
        </w:rPr>
        <w:t>本项目属于油气开采项目，行政区隶属阿克苏地区</w:t>
      </w:r>
      <w:r>
        <w:rPr>
          <w:rFonts w:hint="eastAsia"/>
          <w:color w:val="auto"/>
          <w:lang w:val="en-US" w:eastAsia="zh-CN"/>
        </w:rPr>
        <w:t>温宿</w:t>
      </w:r>
      <w:r>
        <w:rPr>
          <w:rFonts w:hint="default"/>
          <w:color w:val="auto"/>
          <w:lang w:val="zh-CN" w:eastAsia="zh-CN"/>
        </w:rPr>
        <w:t>县管辖，不属于主体功能区规划中确定的国家和自治区层面的禁止开发区域，所进行的石油天然气勘探活动符合</w:t>
      </w:r>
      <w:r>
        <w:rPr>
          <w:rFonts w:hint="eastAsia"/>
          <w:color w:val="auto"/>
          <w:lang w:val="zh-CN" w:eastAsia="zh-CN"/>
        </w:rPr>
        <w:t>“</w:t>
      </w:r>
      <w:r>
        <w:rPr>
          <w:rFonts w:hint="default"/>
          <w:color w:val="auto"/>
          <w:lang w:val="zh-CN" w:eastAsia="zh-CN"/>
        </w:rPr>
        <w:t>全国重要的能源基地</w:t>
      </w:r>
      <w:r>
        <w:rPr>
          <w:rFonts w:hint="eastAsia"/>
          <w:color w:val="auto"/>
          <w:lang w:val="zh-CN" w:eastAsia="zh-CN"/>
        </w:rPr>
        <w:t>”</w:t>
      </w:r>
      <w:r>
        <w:rPr>
          <w:rFonts w:hint="default"/>
          <w:color w:val="auto"/>
          <w:lang w:val="zh-CN" w:eastAsia="zh-CN"/>
        </w:rPr>
        <w:t>定位。属于重点开发区域，本项目建设符合《新疆维吾尔自治区主体功能区规划》。</w:t>
      </w:r>
    </w:p>
    <w:p w14:paraId="37A67D84">
      <w:pPr>
        <w:pStyle w:val="79"/>
        <w:bidi w:val="0"/>
        <w:rPr>
          <w:rFonts w:hint="default"/>
          <w:color w:val="auto"/>
          <w:lang w:val="zh-CN" w:eastAsia="zh-CN"/>
        </w:rPr>
      </w:pPr>
      <w:r>
        <w:rPr>
          <w:rFonts w:hint="default"/>
          <w:color w:val="auto"/>
          <w:lang w:val="zh-CN" w:eastAsia="zh-CN"/>
        </w:rPr>
        <w:t>对照《新疆生态功能区划》，本项目所在区域属于塔里木盆地暖荒漠及绿洲农业生态区，塔里木盆地西部、北部荒漠及绿洲农业生态亚区；阿克苏河冲积平原绿洲农业生态功能区。本项目占地面积较小，对于整体的土地利用格局、植被覆盖格局、野生动物活动、土壤不会带来显著影响，项目建设符合区域生态功能定位。</w:t>
      </w:r>
    </w:p>
    <w:p w14:paraId="2C457D8F">
      <w:pPr>
        <w:pStyle w:val="79"/>
        <w:bidi w:val="0"/>
        <w:rPr>
          <w:rFonts w:hint="default"/>
          <w:color w:val="auto"/>
          <w:lang w:val="zh-CN"/>
        </w:rPr>
      </w:pPr>
      <w:r>
        <w:rPr>
          <w:rFonts w:hint="default"/>
          <w:color w:val="auto"/>
          <w:lang w:val="zh-CN"/>
        </w:rPr>
        <w:t>（4）选址合理性分析判定结论</w:t>
      </w:r>
    </w:p>
    <w:p w14:paraId="1BF0114D">
      <w:pPr>
        <w:pStyle w:val="79"/>
        <w:bidi w:val="0"/>
        <w:rPr>
          <w:rFonts w:hint="default"/>
          <w:color w:val="auto"/>
          <w:lang w:val="zh-CN"/>
        </w:rPr>
      </w:pPr>
      <w:r>
        <w:rPr>
          <w:rFonts w:hint="default"/>
          <w:color w:val="auto"/>
          <w:lang w:val="zh-CN"/>
        </w:rPr>
        <w:t>本工程为</w:t>
      </w:r>
      <w:r>
        <w:rPr>
          <w:rFonts w:hint="eastAsia"/>
          <w:color w:val="auto"/>
          <w:lang w:val="en-US" w:eastAsia="zh-CN"/>
        </w:rPr>
        <w:t>雄英油田</w:t>
      </w:r>
      <w:r>
        <w:rPr>
          <w:rFonts w:hint="eastAsia"/>
          <w:color w:val="auto"/>
          <w:lang w:val="zh-CN"/>
        </w:rPr>
        <w:t>雄探1井</w:t>
      </w:r>
      <w:r>
        <w:rPr>
          <w:rFonts w:hint="default"/>
          <w:color w:val="auto"/>
          <w:lang w:val="zh-CN"/>
        </w:rPr>
        <w:t>区</w:t>
      </w:r>
      <w:r>
        <w:rPr>
          <w:rFonts w:hint="eastAsia"/>
          <w:color w:val="auto"/>
          <w:lang w:val="en-US" w:eastAsia="zh-CN"/>
        </w:rPr>
        <w:t>新区块</w:t>
      </w:r>
      <w:r>
        <w:rPr>
          <w:rFonts w:hint="default"/>
          <w:color w:val="auto"/>
          <w:lang w:val="zh-CN"/>
        </w:rPr>
        <w:t>开发项目，符合《石油天然气开采业污染防治技术政策》中的相关要求，根据现场调查，本工程不涉及水源涵养区、地下水源、饮用水源、自然保护区、风景名胜区、森林公园、重要湿地及人群密集区等生态敏感区域内等重点保护区域内；符合地区经济发展规划、环保规划。本工程土地利用类型</w:t>
      </w:r>
      <w:r>
        <w:rPr>
          <w:rFonts w:hint="eastAsia"/>
          <w:color w:val="auto"/>
          <w:lang w:val="en-US" w:eastAsia="zh-CN"/>
        </w:rPr>
        <w:t>主要</w:t>
      </w:r>
      <w:r>
        <w:rPr>
          <w:rFonts w:hint="default"/>
          <w:color w:val="auto"/>
          <w:lang w:val="zh-CN"/>
        </w:rPr>
        <w:t>为</w:t>
      </w:r>
      <w:r>
        <w:rPr>
          <w:rFonts w:hint="eastAsia"/>
          <w:color w:val="auto"/>
          <w:lang w:val="en-US" w:eastAsia="zh-CN"/>
        </w:rPr>
        <w:t>天然牧草地</w:t>
      </w:r>
      <w:r>
        <w:rPr>
          <w:rFonts w:hint="default"/>
          <w:color w:val="auto"/>
          <w:lang w:val="zh-CN"/>
        </w:rPr>
        <w:t>。项目区周边5km范围内无常年地表水体分布，无长期居住人群。</w:t>
      </w:r>
    </w:p>
    <w:p w14:paraId="6549C8FE">
      <w:pPr>
        <w:pStyle w:val="79"/>
        <w:bidi w:val="0"/>
        <w:rPr>
          <w:rFonts w:hint="default"/>
          <w:color w:val="auto"/>
          <w:lang w:val="zh-CN"/>
        </w:rPr>
      </w:pPr>
      <w:r>
        <w:rPr>
          <w:rFonts w:hint="default"/>
          <w:color w:val="auto"/>
          <w:lang w:val="zh-CN"/>
        </w:rPr>
        <w:t>本工程在选址、选线过程中注意避让项目区植被，尽量减少对植被的生态扰动；本工程运营期废气主要为加热炉燃烧废气</w:t>
      </w:r>
      <w:r>
        <w:rPr>
          <w:rFonts w:hint="eastAsia"/>
          <w:color w:val="auto"/>
          <w:lang w:val="en-US" w:eastAsia="zh-CN"/>
        </w:rPr>
        <w:t>、油井</w:t>
      </w:r>
      <w:r>
        <w:rPr>
          <w:rFonts w:hint="default"/>
          <w:color w:val="auto"/>
          <w:lang w:val="zh-CN"/>
        </w:rPr>
        <w:t>开采过程中排放的无组织挥发的烃类，产生的废气为持续的长期影响，但废气污染物均可以得到较好扩散，对大气污染物浓度贡献值小，且项目区地域空旷，项目实施后不会对周围环境产生明显影响；废水实现零排放，固体废物能够实现妥善处置，综上所述，本工程建成后所在区域的环境功能不会发生改变，对环境的影响属可接受的范围，项目的选址从环保角度认为可行。</w:t>
      </w:r>
    </w:p>
    <w:p w14:paraId="11A5F155">
      <w:pPr>
        <w:pStyle w:val="79"/>
        <w:bidi w:val="0"/>
        <w:rPr>
          <w:rFonts w:hint="default"/>
          <w:color w:val="auto"/>
        </w:rPr>
      </w:pPr>
      <w:r>
        <w:rPr>
          <w:rFonts w:hint="default"/>
          <w:color w:val="auto"/>
          <w:lang w:val="zh-CN"/>
        </w:rPr>
        <w:t>（</w:t>
      </w:r>
      <w:r>
        <w:rPr>
          <w:rFonts w:hint="eastAsia"/>
          <w:color w:val="auto"/>
          <w:lang w:val="en-US" w:eastAsia="zh-CN"/>
        </w:rPr>
        <w:t>5</w:t>
      </w:r>
      <w:r>
        <w:rPr>
          <w:rFonts w:hint="default"/>
          <w:color w:val="auto"/>
          <w:lang w:val="zh-CN"/>
        </w:rPr>
        <w:t>）生态环境分区管控</w:t>
      </w:r>
      <w:r>
        <w:rPr>
          <w:rFonts w:hint="eastAsia"/>
          <w:color w:val="auto"/>
          <w:lang w:val="en-US" w:eastAsia="zh-CN"/>
        </w:rPr>
        <w:t>方案</w:t>
      </w:r>
      <w:r>
        <w:rPr>
          <w:rFonts w:hint="default"/>
          <w:color w:val="auto"/>
          <w:lang w:val="zh-CN"/>
        </w:rPr>
        <w:t>符合性判定</w:t>
      </w:r>
    </w:p>
    <w:p w14:paraId="1AB7052F">
      <w:pPr>
        <w:pStyle w:val="79"/>
        <w:bidi w:val="0"/>
        <w:rPr>
          <w:rFonts w:hint="default"/>
          <w:color w:val="auto"/>
          <w:lang w:val="en-US" w:eastAsia="zh-CN"/>
        </w:rPr>
      </w:pPr>
      <w:r>
        <w:rPr>
          <w:rFonts w:hint="default"/>
          <w:color w:val="auto"/>
          <w:lang w:val="en-US" w:eastAsia="zh-CN"/>
        </w:rPr>
        <w:t>根据《新疆维吾尔自治区</w:t>
      </w:r>
      <w:r>
        <w:rPr>
          <w:rFonts w:hint="eastAsia"/>
          <w:color w:val="auto"/>
          <w:lang w:val="en-US" w:eastAsia="zh-CN"/>
        </w:rPr>
        <w:t>“</w:t>
      </w:r>
      <w:r>
        <w:rPr>
          <w:rFonts w:hint="default"/>
          <w:color w:val="auto"/>
          <w:lang w:val="en-US" w:eastAsia="zh-CN"/>
        </w:rPr>
        <w:t>三线一单</w:t>
      </w:r>
      <w:r>
        <w:rPr>
          <w:rFonts w:hint="eastAsia"/>
          <w:color w:val="auto"/>
          <w:lang w:val="en-US" w:eastAsia="zh-CN"/>
        </w:rPr>
        <w:t>”</w:t>
      </w:r>
      <w:r>
        <w:rPr>
          <w:rFonts w:hint="default"/>
          <w:color w:val="auto"/>
          <w:lang w:val="en-US" w:eastAsia="zh-CN"/>
        </w:rPr>
        <w:t>生态环境分区管控方案》（2023年动态更新版）、《新疆维吾尔自治区七大片区</w:t>
      </w:r>
      <w:r>
        <w:rPr>
          <w:rFonts w:hint="eastAsia"/>
          <w:color w:val="auto"/>
          <w:lang w:val="en-US" w:eastAsia="zh-CN"/>
        </w:rPr>
        <w:t>“</w:t>
      </w:r>
      <w:r>
        <w:rPr>
          <w:rFonts w:hint="default"/>
          <w:color w:val="auto"/>
          <w:lang w:val="en-US" w:eastAsia="zh-CN"/>
        </w:rPr>
        <w:t>三线一单</w:t>
      </w:r>
      <w:r>
        <w:rPr>
          <w:rFonts w:hint="eastAsia"/>
          <w:color w:val="auto"/>
          <w:lang w:val="en-US" w:eastAsia="zh-CN"/>
        </w:rPr>
        <w:t>”</w:t>
      </w:r>
      <w:r>
        <w:rPr>
          <w:rFonts w:hint="default"/>
          <w:color w:val="auto"/>
          <w:lang w:val="en-US" w:eastAsia="zh-CN"/>
        </w:rPr>
        <w:t>生态环境分区管控要求》（新环环评发</w:t>
      </w:r>
      <w:r>
        <w:rPr>
          <w:rFonts w:hint="eastAsia"/>
          <w:color w:val="auto"/>
          <w:lang w:val="en-US" w:eastAsia="zh-CN"/>
        </w:rPr>
        <w:t>〔2021〕162号</w:t>
      </w:r>
      <w:r>
        <w:rPr>
          <w:rFonts w:hint="default"/>
          <w:color w:val="auto"/>
          <w:lang w:val="en-US" w:eastAsia="zh-CN"/>
        </w:rPr>
        <w:t>）以及《关于印发阿克苏地区生态环境分区管控方案（2023年版）的通知》（阿地环字〔2024〕32号）要求，本工程位于温宿县一般管控单元（环境管控单元编码为ZH65292230001），不涉及拟定的生态保护红线范围内，项目区土壤、噪声环境质量可以达到功能区要求，环境空气质量属于非达标区，超标主要是由于当地气候条件干燥、自然扬尘较多。</w:t>
      </w:r>
    </w:p>
    <w:p w14:paraId="46F4A74F">
      <w:pPr>
        <w:pStyle w:val="79"/>
        <w:bidi w:val="0"/>
        <w:rPr>
          <w:rFonts w:hint="default"/>
          <w:color w:val="auto"/>
          <w:lang w:val="en-US" w:eastAsia="zh-CN"/>
        </w:rPr>
      </w:pPr>
      <w:r>
        <w:rPr>
          <w:rFonts w:hint="default"/>
          <w:color w:val="auto"/>
          <w:lang w:val="en-US" w:eastAsia="zh-CN"/>
        </w:rPr>
        <w:t>本工程符合管控单元生态环境准入清单一般管控单元的空间布局约束、污染物排放管控、环境风险防控和资源利用效率的要求，符合生态环境分区管控方案要求。</w:t>
      </w:r>
    </w:p>
    <w:p w14:paraId="33CCA15F">
      <w:pPr>
        <w:pStyle w:val="75"/>
        <w:bidi w:val="0"/>
        <w:rPr>
          <w:color w:val="auto"/>
          <w:lang w:val="en-US" w:eastAsia="zh-CN"/>
        </w:rPr>
      </w:pPr>
      <w:bookmarkStart w:id="900" w:name="_Toc32749"/>
      <w:r>
        <w:rPr>
          <w:rFonts w:hint="eastAsia"/>
          <w:color w:val="auto"/>
          <w:lang w:val="en-US" w:eastAsia="zh-CN"/>
        </w:rPr>
        <w:t>10</w:t>
      </w:r>
      <w:r>
        <w:rPr>
          <w:color w:val="auto"/>
          <w:lang w:val="en-US" w:eastAsia="zh-CN"/>
        </w:rPr>
        <w:t>.3</w:t>
      </w:r>
      <w:r>
        <w:rPr>
          <w:rFonts w:hint="eastAsia"/>
          <w:color w:val="auto"/>
          <w:lang w:val="en-US" w:eastAsia="zh-CN"/>
        </w:rPr>
        <w:t xml:space="preserve"> </w:t>
      </w:r>
      <w:r>
        <w:rPr>
          <w:color w:val="auto"/>
          <w:lang w:val="en-US" w:eastAsia="zh-CN"/>
        </w:rPr>
        <w:t>环境质量现状</w:t>
      </w:r>
      <w:bookmarkEnd w:id="900"/>
    </w:p>
    <w:p w14:paraId="7116A657">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eastAsia="宋体" w:cs="Times New Roman"/>
          <w:color w:val="auto"/>
          <w:kern w:val="0"/>
          <w:sz w:val="24"/>
          <w:szCs w:val="24"/>
          <w:highlight w:val="none"/>
          <w:lang w:val="en-US" w:eastAsia="zh-CN" w:bidi="ar-SA"/>
        </w:rPr>
      </w:pPr>
      <w:r>
        <w:rPr>
          <w:rFonts w:ascii="Times New Roman" w:hAnsi="Times New Roman" w:eastAsia="宋体" w:cs="Times New Roman"/>
          <w:color w:val="auto"/>
          <w:kern w:val="0"/>
          <w:sz w:val="24"/>
          <w:szCs w:val="24"/>
          <w:highlight w:val="none"/>
          <w:lang w:val="en-US" w:eastAsia="zh-CN" w:bidi="ar-SA"/>
        </w:rPr>
        <w:t>（1）生态环境质量现状</w:t>
      </w:r>
    </w:p>
    <w:p w14:paraId="0B5165CC">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本</w:t>
      </w:r>
      <w:r>
        <w:rPr>
          <w:rFonts w:hint="eastAsia" w:ascii="Times New Roman" w:hAnsi="Times New Roman" w:eastAsia="宋体" w:cs="Times New Roman"/>
          <w:color w:val="auto"/>
          <w:kern w:val="0"/>
          <w:sz w:val="24"/>
          <w:szCs w:val="24"/>
          <w:highlight w:val="none"/>
          <w:lang w:val="en-US" w:eastAsia="zh-CN" w:bidi="ar-SA"/>
        </w:rPr>
        <w:t>项目区位于塔里木盆地北缘、渭干河三角洲西侧、阿克苏河冲积平原绿洲下游，评价区域内不涉及国家公园、自然保护区、自然公园等自然保护地、世界自然遗产、生态保护红线等法定生态保护区域，也没有重要物种的天然集中分布区、栖息地等重要生境以及重点公益林、基本农田等其他具有重要生态功能、对保护生物多样性具有重要意义的区域。</w:t>
      </w:r>
    </w:p>
    <w:p w14:paraId="3D56E3D8">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eastAsia="宋体" w:cs="Times New Roman"/>
          <w:snapToGrid w:val="0"/>
          <w:color w:val="auto"/>
          <w:kern w:val="0"/>
          <w:sz w:val="24"/>
          <w:szCs w:val="24"/>
          <w:highlight w:val="yellow"/>
          <w:lang w:val="en-US" w:eastAsia="zh-CN" w:bidi="ar-SA"/>
        </w:rPr>
      </w:pPr>
      <w:r>
        <w:rPr>
          <w:rFonts w:hint="eastAsia" w:ascii="Times New Roman" w:hAnsi="Times New Roman" w:eastAsia="宋体" w:cs="Times New Roman"/>
          <w:color w:val="auto"/>
          <w:kern w:val="0"/>
          <w:sz w:val="24"/>
          <w:szCs w:val="24"/>
          <w:highlight w:val="none"/>
          <w:lang w:val="en-US" w:eastAsia="zh-CN" w:bidi="ar-SA"/>
        </w:rPr>
        <w:t>项目新增永久占地面积</w:t>
      </w:r>
      <w:r>
        <w:rPr>
          <w:rFonts w:hint="eastAsia" w:cs="Times New Roman"/>
          <w:color w:val="auto"/>
          <w:kern w:val="0"/>
          <w:sz w:val="24"/>
          <w:szCs w:val="24"/>
          <w:highlight w:val="none"/>
          <w:lang w:val="en-US" w:eastAsia="zh-CN" w:bidi="ar-SA"/>
        </w:rPr>
        <w:t>2.52</w:t>
      </w:r>
      <w:r>
        <w:rPr>
          <w:rFonts w:hint="eastAsia" w:ascii="Times New Roman" w:hAnsi="Times New Roman" w:eastAsia="宋体" w:cs="Times New Roman"/>
          <w:color w:val="auto"/>
          <w:kern w:val="0"/>
          <w:sz w:val="24"/>
          <w:szCs w:val="24"/>
          <w:highlight w:val="none"/>
          <w:lang w:val="en-US" w:eastAsia="zh-CN" w:bidi="ar-SA"/>
        </w:rPr>
        <w:t>hm</w:t>
      </w:r>
      <w:r>
        <w:rPr>
          <w:rFonts w:hint="eastAsia" w:ascii="Times New Roman" w:hAnsi="Times New Roman" w:eastAsia="宋体" w:cs="Times New Roman"/>
          <w:color w:val="auto"/>
          <w:kern w:val="0"/>
          <w:sz w:val="24"/>
          <w:szCs w:val="24"/>
          <w:highlight w:val="none"/>
          <w:vertAlign w:val="superscript"/>
          <w:lang w:val="en-US" w:eastAsia="zh-CN" w:bidi="ar-SA"/>
        </w:rPr>
        <w:t>2</w:t>
      </w:r>
      <w:r>
        <w:rPr>
          <w:rFonts w:hint="eastAsia" w:ascii="Times New Roman" w:hAnsi="Times New Roman" w:eastAsia="宋体" w:cs="Times New Roman"/>
          <w:color w:val="auto"/>
          <w:kern w:val="0"/>
          <w:sz w:val="24"/>
          <w:szCs w:val="24"/>
          <w:highlight w:val="none"/>
          <w:lang w:val="en-US" w:eastAsia="zh-CN" w:bidi="ar-SA"/>
        </w:rPr>
        <w:t>，临时占地面积</w:t>
      </w:r>
      <w:r>
        <w:rPr>
          <w:rFonts w:hint="eastAsia" w:cs="Times New Roman"/>
          <w:color w:val="auto"/>
          <w:kern w:val="0"/>
          <w:sz w:val="24"/>
          <w:szCs w:val="24"/>
          <w:highlight w:val="none"/>
          <w:lang w:val="en-US" w:eastAsia="zh-CN" w:bidi="ar-SA"/>
        </w:rPr>
        <w:t>24.7</w:t>
      </w:r>
      <w:r>
        <w:rPr>
          <w:rFonts w:hint="eastAsia" w:ascii="Times New Roman" w:hAnsi="Times New Roman" w:eastAsia="宋体" w:cs="Times New Roman"/>
          <w:color w:val="auto"/>
          <w:kern w:val="0"/>
          <w:sz w:val="24"/>
          <w:szCs w:val="24"/>
          <w:highlight w:val="none"/>
          <w:lang w:val="en-US" w:eastAsia="zh-CN" w:bidi="ar-SA"/>
        </w:rPr>
        <w:t>hm</w:t>
      </w:r>
      <w:r>
        <w:rPr>
          <w:rFonts w:hint="eastAsia" w:ascii="Times New Roman" w:hAnsi="Times New Roman" w:eastAsia="宋体" w:cs="Times New Roman"/>
          <w:color w:val="auto"/>
          <w:kern w:val="0"/>
          <w:sz w:val="24"/>
          <w:szCs w:val="24"/>
          <w:highlight w:val="none"/>
          <w:vertAlign w:val="superscript"/>
          <w:lang w:val="en-US" w:eastAsia="zh-CN" w:bidi="ar-SA"/>
        </w:rPr>
        <w:t>2</w:t>
      </w:r>
      <w:r>
        <w:rPr>
          <w:rFonts w:hint="eastAsia" w:ascii="Times New Roman" w:hAnsi="Times New Roman" w:eastAsia="宋体" w:cs="Times New Roman"/>
          <w:color w:val="auto"/>
          <w:kern w:val="0"/>
          <w:sz w:val="24"/>
          <w:szCs w:val="24"/>
          <w:highlight w:val="none"/>
          <w:lang w:val="en-US" w:eastAsia="zh-CN" w:bidi="ar-SA"/>
        </w:rPr>
        <w:t>，总占地面积为</w:t>
      </w:r>
      <w:r>
        <w:rPr>
          <w:rFonts w:hint="eastAsia" w:cs="Times New Roman"/>
          <w:color w:val="auto"/>
          <w:kern w:val="0"/>
          <w:sz w:val="24"/>
          <w:szCs w:val="24"/>
          <w:highlight w:val="none"/>
          <w:lang w:val="en-US" w:eastAsia="zh-CN" w:bidi="ar-SA"/>
        </w:rPr>
        <w:t>27.22</w:t>
      </w:r>
      <w:r>
        <w:rPr>
          <w:rFonts w:hint="eastAsia" w:ascii="Times New Roman" w:hAnsi="Times New Roman" w:eastAsia="宋体" w:cs="Times New Roman"/>
          <w:color w:val="auto"/>
          <w:kern w:val="0"/>
          <w:sz w:val="24"/>
          <w:szCs w:val="24"/>
          <w:highlight w:val="none"/>
          <w:lang w:val="en-US" w:eastAsia="zh-CN" w:bidi="ar-SA"/>
        </w:rPr>
        <w:t>hm</w:t>
      </w:r>
      <w:r>
        <w:rPr>
          <w:rFonts w:hint="eastAsia" w:ascii="Times New Roman" w:hAnsi="Times New Roman" w:eastAsia="宋体" w:cs="Times New Roman"/>
          <w:color w:val="auto"/>
          <w:kern w:val="0"/>
          <w:sz w:val="24"/>
          <w:szCs w:val="24"/>
          <w:highlight w:val="none"/>
          <w:vertAlign w:val="superscript"/>
          <w:lang w:val="en-US" w:eastAsia="zh-CN" w:bidi="ar-SA"/>
        </w:rPr>
        <w:t>2</w:t>
      </w:r>
      <w:r>
        <w:rPr>
          <w:rFonts w:hint="eastAsia" w:ascii="Times New Roman" w:hAnsi="Times New Roman" w:eastAsia="宋体" w:cs="Times New Roman"/>
          <w:color w:val="auto"/>
          <w:kern w:val="0"/>
          <w:sz w:val="24"/>
          <w:szCs w:val="24"/>
          <w:highlight w:val="none"/>
          <w:lang w:val="en-US" w:eastAsia="zh-CN" w:bidi="ar-SA"/>
        </w:rPr>
        <w:t>。根据《新疆生态功能区划》，项目区属于塔里木盆地暖荒漠及绿洲农业生态区，塔里木盆地西部、北部荒漠及绿洲农业生态亚区；阿克苏河冲积平原绿洲农业生态功能区。项目区气候干燥，属中度风力侵蚀区，土壤主要为</w:t>
      </w:r>
      <w:r>
        <w:rPr>
          <w:rFonts w:hint="eastAsia" w:cs="Times New Roman"/>
          <w:color w:val="auto"/>
          <w:kern w:val="0"/>
          <w:sz w:val="24"/>
          <w:szCs w:val="24"/>
          <w:highlight w:val="none"/>
          <w:lang w:val="en-US" w:eastAsia="zh-CN" w:bidi="ar-SA"/>
        </w:rPr>
        <w:t>棕漠</w:t>
      </w:r>
      <w:r>
        <w:rPr>
          <w:rFonts w:hint="eastAsia" w:ascii="Times New Roman" w:hAnsi="Times New Roman" w:eastAsia="宋体" w:cs="Times New Roman"/>
          <w:color w:val="auto"/>
          <w:kern w:val="0"/>
          <w:sz w:val="24"/>
          <w:szCs w:val="24"/>
          <w:highlight w:val="none"/>
          <w:lang w:val="en-US" w:eastAsia="zh-CN" w:bidi="ar-SA"/>
        </w:rPr>
        <w:t>土，植被类型以疏叶骆驼刺、盐穗木为主，偶有芦苇、多枝柽柳，植被覆盖率约</w:t>
      </w:r>
      <w:r>
        <w:rPr>
          <w:rFonts w:hint="eastAsia" w:cs="Times New Roman"/>
          <w:color w:val="auto"/>
          <w:kern w:val="0"/>
          <w:sz w:val="24"/>
          <w:szCs w:val="24"/>
          <w:highlight w:val="none"/>
          <w:lang w:val="en-US" w:eastAsia="zh-CN" w:bidi="ar-SA"/>
        </w:rPr>
        <w:t>5%～10</w:t>
      </w:r>
      <w:r>
        <w:rPr>
          <w:rFonts w:hint="eastAsia" w:ascii="Times New Roman" w:hAnsi="Times New Roman" w:eastAsia="宋体" w:cs="Times New Roman"/>
          <w:color w:val="auto"/>
          <w:kern w:val="0"/>
          <w:sz w:val="24"/>
          <w:szCs w:val="24"/>
          <w:highlight w:val="none"/>
          <w:lang w:val="en-US" w:eastAsia="zh-CN" w:bidi="ar-SA"/>
        </w:rPr>
        <w:t>%，野生动物栖息生境类型属</w:t>
      </w:r>
      <w:r>
        <w:rPr>
          <w:rFonts w:hint="eastAsia" w:cs="Times New Roman"/>
          <w:color w:val="auto"/>
          <w:kern w:val="0"/>
          <w:sz w:val="24"/>
          <w:szCs w:val="24"/>
          <w:highlight w:val="none"/>
          <w:lang w:val="en-US" w:eastAsia="zh-CN" w:bidi="ar-SA"/>
        </w:rPr>
        <w:t>于</w:t>
      </w:r>
      <w:r>
        <w:rPr>
          <w:rFonts w:hint="eastAsia" w:ascii="Times New Roman" w:hAnsi="Times New Roman" w:eastAsia="宋体" w:cs="Times New Roman"/>
          <w:color w:val="auto"/>
          <w:kern w:val="0"/>
          <w:sz w:val="24"/>
          <w:szCs w:val="24"/>
          <w:highlight w:val="none"/>
          <w:lang w:val="en-US" w:eastAsia="zh-CN" w:bidi="ar-SA"/>
        </w:rPr>
        <w:t>古北界、蒙新区、西部荒漠亚区、塔里木盆地省、天山南麓平原洲、塔里木河中上游区。由于作业区周边</w:t>
      </w:r>
      <w:r>
        <w:rPr>
          <w:rFonts w:hint="eastAsia" w:cs="Times New Roman"/>
          <w:color w:val="auto"/>
          <w:kern w:val="0"/>
          <w:sz w:val="24"/>
          <w:szCs w:val="24"/>
          <w:highlight w:val="none"/>
          <w:lang w:val="en-US" w:eastAsia="zh-CN" w:bidi="ar-SA"/>
        </w:rPr>
        <w:t>油田</w:t>
      </w:r>
      <w:r>
        <w:rPr>
          <w:rFonts w:hint="eastAsia" w:ascii="Times New Roman" w:hAnsi="Times New Roman" w:eastAsia="宋体" w:cs="Times New Roman"/>
          <w:color w:val="auto"/>
          <w:kern w:val="0"/>
          <w:sz w:val="24"/>
          <w:szCs w:val="24"/>
          <w:highlight w:val="none"/>
          <w:lang w:val="en-US" w:eastAsia="zh-CN" w:bidi="ar-SA"/>
        </w:rPr>
        <w:t>较多，人为活动频繁，项目现状调查和走访中，未发现大型野生动物和受保护野生动物。</w:t>
      </w:r>
    </w:p>
    <w:p w14:paraId="0F9197DF">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eastAsia="宋体" w:cs="Times New Roman"/>
          <w:color w:val="auto"/>
          <w:kern w:val="0"/>
          <w:sz w:val="24"/>
          <w:szCs w:val="24"/>
          <w:highlight w:val="none"/>
          <w:lang w:val="en-US" w:eastAsia="zh-CN" w:bidi="ar-SA"/>
        </w:rPr>
      </w:pPr>
      <w:r>
        <w:rPr>
          <w:rFonts w:ascii="Times New Roman" w:hAnsi="Times New Roman" w:eastAsia="宋体" w:cs="Times New Roman"/>
          <w:color w:val="auto"/>
          <w:kern w:val="0"/>
          <w:sz w:val="24"/>
          <w:szCs w:val="24"/>
          <w:highlight w:val="none"/>
          <w:lang w:val="en-US" w:eastAsia="zh-CN" w:bidi="ar-SA"/>
        </w:rPr>
        <w:t>（2）环境空气质量现状</w:t>
      </w:r>
    </w:p>
    <w:p w14:paraId="2E438F81">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snapToGrid w:val="0"/>
          <w:color w:val="auto"/>
          <w:kern w:val="0"/>
          <w:sz w:val="24"/>
          <w:szCs w:val="24"/>
          <w:highlight w:val="none"/>
          <w:lang w:val="en-US" w:eastAsia="zh-CN" w:bidi="ar-SA"/>
        </w:rPr>
        <w:t>根据生态环境部环境工程评估中心公布的全国环境空气质量达标区判定结果</w:t>
      </w:r>
      <w:r>
        <w:rPr>
          <w:rFonts w:hint="eastAsia" w:ascii="Times New Roman" w:hAnsi="Times New Roman" w:eastAsia="宋体" w:cs="Times New Roman"/>
          <w:snapToGrid w:val="0"/>
          <w:color w:val="auto"/>
          <w:kern w:val="0"/>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2021年项目所在地阿克苏地区SO</w:t>
      </w:r>
      <w:r>
        <w:rPr>
          <w:rFonts w:hint="default" w:ascii="Times New Roman" w:hAnsi="Times New Roman" w:eastAsia="宋体" w:cs="Times New Roman"/>
          <w:color w:val="auto"/>
          <w:kern w:val="2"/>
          <w:sz w:val="24"/>
          <w:szCs w:val="24"/>
          <w:highlight w:val="none"/>
          <w:vertAlign w:val="sub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、NO</w:t>
      </w:r>
      <w:r>
        <w:rPr>
          <w:rFonts w:hint="default" w:ascii="Times New Roman" w:hAnsi="Times New Roman" w:eastAsia="宋体" w:cs="Times New Roman"/>
          <w:color w:val="auto"/>
          <w:kern w:val="2"/>
          <w:sz w:val="24"/>
          <w:szCs w:val="24"/>
          <w:highlight w:val="none"/>
          <w:vertAlign w:val="sub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、PM</w:t>
      </w:r>
      <w:r>
        <w:rPr>
          <w:rFonts w:hint="default" w:ascii="Times New Roman" w:hAnsi="Times New Roman" w:eastAsia="宋体" w:cs="Times New Roman"/>
          <w:color w:val="auto"/>
          <w:kern w:val="2"/>
          <w:sz w:val="24"/>
          <w:szCs w:val="24"/>
          <w:highlight w:val="none"/>
          <w:vertAlign w:val="subscript"/>
          <w:lang w:val="en-US" w:eastAsia="zh-CN" w:bidi="ar-SA"/>
        </w:rPr>
        <w:t>2.5</w:t>
      </w:r>
      <w:r>
        <w:rPr>
          <w:rFonts w:hint="default" w:ascii="Times New Roman" w:hAnsi="Times New Roman" w:eastAsia="宋体" w:cs="Times New Roman"/>
          <w:color w:val="auto"/>
          <w:kern w:val="2"/>
          <w:sz w:val="24"/>
          <w:szCs w:val="24"/>
          <w:highlight w:val="none"/>
          <w:lang w:val="en-US" w:eastAsia="zh-CN" w:bidi="ar-SA"/>
        </w:rPr>
        <w:t>年平均浓度及CO、O</w:t>
      </w:r>
      <w:r>
        <w:rPr>
          <w:rFonts w:hint="default" w:ascii="Times New Roman" w:hAnsi="Times New Roman" w:eastAsia="宋体" w:cs="Times New Roman"/>
          <w:color w:val="auto"/>
          <w:kern w:val="2"/>
          <w:sz w:val="24"/>
          <w:szCs w:val="24"/>
          <w:highlight w:val="none"/>
          <w:vertAlign w:val="sub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日平均浓度均满足《环境空气质量标准》（GB3095-2012）的二级标准要求；PM</w:t>
      </w:r>
      <w:r>
        <w:rPr>
          <w:rFonts w:hint="default" w:ascii="Times New Roman" w:hAnsi="Times New Roman" w:eastAsia="宋体" w:cs="Times New Roman"/>
          <w:color w:val="auto"/>
          <w:kern w:val="2"/>
          <w:sz w:val="24"/>
          <w:szCs w:val="24"/>
          <w:highlight w:val="none"/>
          <w:vertAlign w:val="subscript"/>
          <w:lang w:val="en-US" w:eastAsia="zh-CN" w:bidi="ar-SA"/>
        </w:rPr>
        <w:t>10</w:t>
      </w:r>
      <w:r>
        <w:rPr>
          <w:rFonts w:hint="default" w:ascii="Times New Roman" w:hAnsi="Times New Roman" w:eastAsia="宋体" w:cs="Times New Roman"/>
          <w:color w:val="auto"/>
          <w:kern w:val="2"/>
          <w:sz w:val="24"/>
          <w:szCs w:val="24"/>
          <w:highlight w:val="none"/>
          <w:lang w:val="en-US" w:eastAsia="zh-CN" w:bidi="ar-SA"/>
        </w:rPr>
        <w:t>年浓度超过《环境空气质量标准》（GB3095-2012）中二级标准限值要求，项目区为不达标区，超标主要是由于当地气候条件干燥、自然扬尘较多。</w:t>
      </w:r>
    </w:p>
    <w:p w14:paraId="6FFA79D4">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特征因子补充监测结果表明</w:t>
      </w:r>
      <w:r>
        <w:rPr>
          <w:rFonts w:ascii="Times New Roman" w:hAnsi="Times New Roman" w:eastAsia="宋体" w:cs="Times New Roman"/>
          <w:color w:val="auto"/>
          <w:kern w:val="0"/>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bidi="ar-SA"/>
        </w:rPr>
        <w:t>监测期间各监测点非甲烷总烃小时值浓度满足《大气污染物综合排放标准》（GB16297-1996）详解中浓度限值2000</w:t>
      </w:r>
      <w:r>
        <w:rPr>
          <w:rFonts w:hint="default" w:ascii="Times New Roman" w:hAnsi="Times New Roman" w:eastAsia="宋体" w:cs="Times New Roman"/>
          <w:color w:val="auto"/>
          <w:kern w:val="0"/>
          <w:sz w:val="24"/>
          <w:szCs w:val="24"/>
          <w:highlight w:val="none"/>
          <w:lang w:val="en-US" w:eastAsia="zh-CN" w:bidi="ar-SA"/>
        </w:rPr>
        <w:t>μg/m</w:t>
      </w:r>
      <w:r>
        <w:rPr>
          <w:rFonts w:hint="default" w:ascii="Times New Roman" w:hAnsi="Times New Roman" w:eastAsia="宋体" w:cs="Times New Roman"/>
          <w:color w:val="auto"/>
          <w:kern w:val="0"/>
          <w:sz w:val="24"/>
          <w:szCs w:val="24"/>
          <w:highlight w:val="none"/>
          <w:vertAlign w:val="superscript"/>
          <w:lang w:val="en-US" w:eastAsia="zh-CN" w:bidi="ar-SA"/>
        </w:rPr>
        <w:t>3</w:t>
      </w:r>
      <w:r>
        <w:rPr>
          <w:rFonts w:hint="eastAsia" w:ascii="Times New Roman" w:hAnsi="Times New Roman" w:eastAsia="宋体" w:cs="Times New Roman"/>
          <w:color w:val="auto"/>
          <w:kern w:val="0"/>
          <w:sz w:val="24"/>
          <w:szCs w:val="24"/>
          <w:highlight w:val="none"/>
          <w:lang w:val="en-US" w:eastAsia="zh-CN" w:bidi="ar-SA"/>
        </w:rPr>
        <w:t>要求；H</w:t>
      </w:r>
      <w:r>
        <w:rPr>
          <w:rFonts w:hint="eastAsia" w:ascii="Times New Roman" w:hAnsi="Times New Roman" w:eastAsia="宋体" w:cs="Times New Roman"/>
          <w:color w:val="auto"/>
          <w:kern w:val="0"/>
          <w:sz w:val="24"/>
          <w:szCs w:val="24"/>
          <w:highlight w:val="none"/>
          <w:vertAlign w:val="subscript"/>
          <w:lang w:val="en-US" w:eastAsia="zh-CN" w:bidi="ar-SA"/>
        </w:rPr>
        <w:t>2</w:t>
      </w:r>
      <w:r>
        <w:rPr>
          <w:rFonts w:hint="eastAsia" w:ascii="Times New Roman" w:hAnsi="Times New Roman" w:eastAsia="宋体" w:cs="Times New Roman"/>
          <w:color w:val="auto"/>
          <w:kern w:val="0"/>
          <w:sz w:val="24"/>
          <w:szCs w:val="24"/>
          <w:highlight w:val="none"/>
          <w:lang w:val="en-US" w:eastAsia="zh-CN" w:bidi="ar-SA"/>
        </w:rPr>
        <w:t>S小时平均值均未检出，能满足《环境影响评价技术导则</w:t>
      </w:r>
      <w:r>
        <w:rPr>
          <w:rFonts w:hint="eastAsia" w:cs="Times New Roman"/>
          <w:color w:val="auto"/>
          <w:kern w:val="0"/>
          <w:sz w:val="24"/>
          <w:szCs w:val="24"/>
          <w:highlight w:val="none"/>
          <w:lang w:val="en-US" w:eastAsia="zh-CN" w:bidi="ar-SA"/>
        </w:rPr>
        <w:t xml:space="preserve"> </w:t>
      </w:r>
      <w:r>
        <w:rPr>
          <w:rFonts w:hint="eastAsia" w:ascii="Times New Roman" w:hAnsi="Times New Roman" w:eastAsia="宋体" w:cs="Times New Roman"/>
          <w:color w:val="auto"/>
          <w:kern w:val="0"/>
          <w:sz w:val="24"/>
          <w:szCs w:val="24"/>
          <w:highlight w:val="none"/>
          <w:lang w:val="en-US" w:eastAsia="zh-CN" w:bidi="ar-SA"/>
        </w:rPr>
        <w:t>大气环境》（HJ2.2-2018）附录D中其他污染物空气质量浓度参考限值（</w:t>
      </w:r>
      <w:bookmarkStart w:id="901" w:name="OLE_LINK3"/>
      <w:r>
        <w:rPr>
          <w:rFonts w:hint="default" w:ascii="Times New Roman" w:hAnsi="Times New Roman" w:eastAsia="宋体" w:cs="Times New Roman"/>
          <w:color w:val="auto"/>
          <w:kern w:val="0"/>
          <w:sz w:val="24"/>
          <w:szCs w:val="24"/>
          <w:highlight w:val="none"/>
          <w:lang w:val="en-US" w:eastAsia="zh-CN" w:bidi="ar-SA"/>
        </w:rPr>
        <w:t>10</w:t>
      </w:r>
      <w:bookmarkStart w:id="902" w:name="OLE_LINK4"/>
      <w:r>
        <w:rPr>
          <w:rFonts w:hint="default" w:ascii="Times New Roman" w:hAnsi="Times New Roman" w:eastAsia="宋体" w:cs="Times New Roman"/>
          <w:color w:val="auto"/>
          <w:kern w:val="0"/>
          <w:sz w:val="24"/>
          <w:szCs w:val="24"/>
          <w:highlight w:val="none"/>
          <w:lang w:val="en-US" w:eastAsia="zh-CN" w:bidi="ar-SA"/>
        </w:rPr>
        <w:t>μg/m</w:t>
      </w:r>
      <w:r>
        <w:rPr>
          <w:rFonts w:hint="default" w:ascii="Times New Roman" w:hAnsi="Times New Roman" w:eastAsia="宋体" w:cs="Times New Roman"/>
          <w:color w:val="auto"/>
          <w:kern w:val="0"/>
          <w:sz w:val="24"/>
          <w:szCs w:val="24"/>
          <w:highlight w:val="none"/>
          <w:vertAlign w:val="superscript"/>
          <w:lang w:val="en-US" w:eastAsia="zh-CN" w:bidi="ar-SA"/>
        </w:rPr>
        <w:t>3</w:t>
      </w:r>
      <w:bookmarkEnd w:id="901"/>
      <w:bookmarkEnd w:id="902"/>
      <w:r>
        <w:rPr>
          <w:rFonts w:hint="eastAsia" w:ascii="Times New Roman" w:hAnsi="Times New Roman" w:eastAsia="宋体" w:cs="Times New Roman"/>
          <w:color w:val="auto"/>
          <w:kern w:val="0"/>
          <w:sz w:val="24"/>
          <w:szCs w:val="24"/>
          <w:highlight w:val="none"/>
          <w:lang w:val="en-US" w:eastAsia="zh-CN" w:bidi="ar-SA"/>
        </w:rPr>
        <w:t>）的浓度限值要求</w:t>
      </w:r>
      <w:r>
        <w:rPr>
          <w:rFonts w:hint="eastAsia" w:cs="Times New Roman"/>
          <w:color w:val="auto"/>
          <w:kern w:val="0"/>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bidi="ar-SA"/>
        </w:rPr>
        <w:t>甲醇小时平均值均未检出，能满足《环境影响评价技术导则 大气环境》（HJ2.2-2018）附录D中的1h平均浓度限</w:t>
      </w:r>
      <w:r>
        <w:rPr>
          <w:rFonts w:hint="default" w:ascii="Times New Roman" w:hAnsi="Times New Roman" w:eastAsia="宋体" w:cs="Times New Roman"/>
          <w:color w:val="auto"/>
          <w:kern w:val="0"/>
          <w:sz w:val="24"/>
          <w:szCs w:val="24"/>
          <w:highlight w:val="none"/>
          <w:lang w:val="en-US" w:eastAsia="zh-CN" w:bidi="ar-SA"/>
        </w:rPr>
        <w:t>值1000μg/m</w:t>
      </w:r>
      <w:r>
        <w:rPr>
          <w:rFonts w:hint="default" w:ascii="Times New Roman" w:hAnsi="Times New Roman" w:eastAsia="宋体" w:cs="Times New Roman"/>
          <w:color w:val="auto"/>
          <w:kern w:val="0"/>
          <w:sz w:val="24"/>
          <w:szCs w:val="24"/>
          <w:highlight w:val="none"/>
          <w:vertAlign w:val="superscript"/>
          <w:lang w:val="en-US" w:eastAsia="zh-CN" w:bidi="ar-SA"/>
        </w:rPr>
        <w:t>3</w:t>
      </w:r>
      <w:r>
        <w:rPr>
          <w:rFonts w:hint="default" w:ascii="Times New Roman" w:hAnsi="Times New Roman" w:eastAsia="宋体" w:cs="Times New Roman"/>
          <w:color w:val="auto"/>
          <w:kern w:val="0"/>
          <w:sz w:val="24"/>
          <w:szCs w:val="24"/>
          <w:highlight w:val="none"/>
          <w:lang w:val="en-US" w:eastAsia="zh-CN" w:bidi="ar-SA"/>
        </w:rPr>
        <w:t>。</w:t>
      </w:r>
    </w:p>
    <w:p w14:paraId="3157075D">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eastAsia="宋体" w:cs="Times New Roman"/>
          <w:color w:val="auto"/>
          <w:kern w:val="0"/>
          <w:sz w:val="24"/>
          <w:szCs w:val="24"/>
          <w:highlight w:val="none"/>
          <w:lang w:val="en-US" w:eastAsia="zh-CN" w:bidi="ar-SA"/>
        </w:rPr>
      </w:pPr>
      <w:r>
        <w:rPr>
          <w:rFonts w:ascii="Times New Roman" w:hAnsi="Times New Roman" w:eastAsia="宋体" w:cs="Times New Roman"/>
          <w:color w:val="auto"/>
          <w:kern w:val="0"/>
          <w:sz w:val="24"/>
          <w:szCs w:val="24"/>
          <w:highlight w:val="none"/>
          <w:lang w:val="en-US" w:eastAsia="zh-CN" w:bidi="ar-SA"/>
        </w:rPr>
        <w:t>（3）水环境质量现状</w:t>
      </w:r>
    </w:p>
    <w:p w14:paraId="18410D75">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cs="宋体"/>
          <w:color w:val="auto"/>
          <w:kern w:val="0"/>
          <w:sz w:val="24"/>
          <w:szCs w:val="24"/>
          <w:highlight w:val="none"/>
        </w:rPr>
      </w:pPr>
      <w:r>
        <w:rPr>
          <w:rFonts w:hint="eastAsia" w:ascii="Times New Roman" w:hAnsi="Times New Roman" w:eastAsia="宋体" w:cs="Times New Roman"/>
          <w:color w:val="auto"/>
          <w:kern w:val="0"/>
          <w:sz w:val="24"/>
          <w:szCs w:val="24"/>
          <w:highlight w:val="none"/>
          <w:lang w:eastAsia="zh-CN"/>
        </w:rPr>
        <w:t>区域内潜水由于径流缓慢，蒸发排泄强烈，水质较差，总硬度、溶解性总固体、硫酸盐、氯化物、铁、锰均有不同程度超标，其他因子均未超过《地下水质量标准》(GB/T14848-2017)</w:t>
      </w:r>
      <w:r>
        <w:rPr>
          <w:rFonts w:hint="eastAsia" w:cs="Times New Roman"/>
          <w:color w:val="auto"/>
          <w:kern w:val="0"/>
          <w:sz w:val="24"/>
          <w:szCs w:val="24"/>
          <w:highlight w:val="none"/>
          <w:lang w:eastAsia="zh-CN"/>
        </w:rPr>
        <w:t>Ⅲ</w:t>
      </w:r>
      <w:r>
        <w:rPr>
          <w:rFonts w:hint="eastAsia" w:ascii="Times New Roman" w:hAnsi="Times New Roman" w:eastAsia="宋体" w:cs="Times New Roman"/>
          <w:color w:val="auto"/>
          <w:kern w:val="0"/>
          <w:sz w:val="24"/>
          <w:szCs w:val="24"/>
          <w:highlight w:val="none"/>
          <w:lang w:eastAsia="zh-CN"/>
        </w:rPr>
        <w:t>类水质要求，石油类满足《地表水环境质量标准》（GB3838-2002）</w:t>
      </w:r>
      <w:r>
        <w:rPr>
          <w:rFonts w:hint="eastAsia" w:cs="Times New Roman"/>
          <w:color w:val="auto"/>
          <w:kern w:val="0"/>
          <w:sz w:val="24"/>
          <w:szCs w:val="24"/>
          <w:highlight w:val="none"/>
          <w:lang w:eastAsia="zh-CN"/>
        </w:rPr>
        <w:t>Ⅲ</w:t>
      </w:r>
      <w:r>
        <w:rPr>
          <w:rFonts w:hint="eastAsia" w:ascii="Times New Roman" w:hAnsi="Times New Roman" w:eastAsia="宋体" w:cs="Times New Roman"/>
          <w:color w:val="auto"/>
          <w:kern w:val="0"/>
          <w:sz w:val="24"/>
          <w:szCs w:val="24"/>
          <w:highlight w:val="none"/>
          <w:lang w:eastAsia="zh-CN"/>
        </w:rPr>
        <w:t>类标准。超标与其地质条件和地下水的赋存条件有关，并非受人类活动所致。</w:t>
      </w:r>
    </w:p>
    <w:p w14:paraId="5F0B09BE">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eastAsia="宋体" w:cs="Times New Roman"/>
          <w:color w:val="auto"/>
          <w:kern w:val="0"/>
          <w:sz w:val="24"/>
          <w:szCs w:val="24"/>
          <w:highlight w:val="none"/>
          <w:lang w:val="en-US" w:eastAsia="zh-CN" w:bidi="ar-SA"/>
        </w:rPr>
      </w:pPr>
      <w:r>
        <w:rPr>
          <w:rFonts w:ascii="Times New Roman" w:hAnsi="Times New Roman" w:eastAsia="宋体" w:cs="Times New Roman"/>
          <w:color w:val="auto"/>
          <w:kern w:val="0"/>
          <w:sz w:val="24"/>
          <w:szCs w:val="24"/>
          <w:highlight w:val="none"/>
          <w:lang w:val="en-US" w:eastAsia="zh-CN" w:bidi="ar-SA"/>
        </w:rPr>
        <w:t>（4）声环境质量现状</w:t>
      </w:r>
    </w:p>
    <w:p w14:paraId="42284AA2">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eastAsia="宋体" w:cs="Times New Roman"/>
          <w:color w:val="auto"/>
          <w:kern w:val="0"/>
          <w:sz w:val="24"/>
          <w:szCs w:val="24"/>
          <w:highlight w:val="none"/>
          <w:lang w:val="en-US" w:eastAsia="zh-CN" w:bidi="ar-SA"/>
        </w:rPr>
      </w:pPr>
      <w:r>
        <w:rPr>
          <w:rFonts w:ascii="Times New Roman" w:hAnsi="Times New Roman" w:eastAsia="宋体" w:cs="Times New Roman"/>
          <w:color w:val="auto"/>
          <w:kern w:val="0"/>
          <w:sz w:val="24"/>
          <w:szCs w:val="24"/>
          <w:highlight w:val="none"/>
          <w:lang w:val="en-US" w:eastAsia="zh-CN" w:bidi="ar-SA"/>
        </w:rPr>
        <w:t>声环境质量监测结果表明，各监测点位噪声值均未超出标准值，声环境现状满足《声环境质量标准》（GB3096-2008）中2类标准要求。</w:t>
      </w:r>
    </w:p>
    <w:p w14:paraId="0A895297">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eastAsia="宋体" w:cs="Times New Roman"/>
          <w:color w:val="auto"/>
          <w:kern w:val="0"/>
          <w:sz w:val="24"/>
          <w:szCs w:val="24"/>
          <w:highlight w:val="none"/>
          <w:lang w:val="en-US" w:eastAsia="zh-CN" w:bidi="ar-SA"/>
        </w:rPr>
      </w:pPr>
      <w:r>
        <w:rPr>
          <w:rFonts w:ascii="Times New Roman" w:hAnsi="Times New Roman" w:eastAsia="宋体" w:cs="Times New Roman"/>
          <w:color w:val="auto"/>
          <w:kern w:val="0"/>
          <w:sz w:val="24"/>
          <w:szCs w:val="24"/>
          <w:highlight w:val="none"/>
          <w:lang w:val="en-US" w:eastAsia="zh-CN" w:bidi="ar-SA"/>
        </w:rPr>
        <w:t>（5）土壤环境质量现状</w:t>
      </w:r>
    </w:p>
    <w:p w14:paraId="09EAC934">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土壤环境质量监测结果表明，</w:t>
      </w:r>
      <w:r>
        <w:rPr>
          <w:rFonts w:hint="eastAsia" w:ascii="Times New Roman" w:hAnsi="Times New Roman" w:eastAsia="宋体" w:cs="Times New Roman"/>
          <w:color w:val="auto"/>
          <w:kern w:val="0"/>
          <w:sz w:val="24"/>
          <w:szCs w:val="24"/>
          <w:highlight w:val="none"/>
          <w:lang w:val="en-US" w:eastAsia="zh-CN" w:bidi="ar-SA"/>
        </w:rPr>
        <w:t>工程区占地范围内土壤的挥发性有机物和半挥发性有机物均未检出。土壤中石油烃含量较低，满足《土壤环境质量 建设用地土壤污染风险管控标准（试行）》（GB36600-2018）第二类用地风险筛选值要求。重金属元素含量相对较低，占地范围内土壤满足《土壤环境质量 建设用地土壤污染风险管控标准</w:t>
      </w:r>
      <w:r>
        <w:rPr>
          <w:rFonts w:hint="eastAsia" w:cs="Times New Roman"/>
          <w:color w:val="auto"/>
          <w:kern w:val="0"/>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bidi="ar-SA"/>
        </w:rPr>
        <w:t>试行</w:t>
      </w:r>
      <w:r>
        <w:rPr>
          <w:rFonts w:hint="eastAsia" w:cs="Times New Roman"/>
          <w:color w:val="auto"/>
          <w:kern w:val="0"/>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bidi="ar-SA"/>
        </w:rPr>
        <w:t>》（GB36600-2018）中表1第二类用地筛选值标准要求。工程区占地范围外土壤中重金属元素含量相对较低，小于《土壤环境质量 农用地土壤污染风险管控标准（试行）》（GB15618-2018）中“表1农用地土壤污染风险筛选值（基本项目）”的pH&gt;7.5所列标准；土壤中石油烃含量较低，满足《土壤环境质量 建设用地土壤污染风险管控标准（试行）》（GB36600-2018）第二类用地风险筛选值要求</w:t>
      </w:r>
      <w:r>
        <w:rPr>
          <w:rFonts w:hint="eastAsia" w:cs="Times New Roman"/>
          <w:color w:val="auto"/>
          <w:kern w:val="0"/>
          <w:sz w:val="24"/>
          <w:szCs w:val="24"/>
          <w:highlight w:val="none"/>
          <w:lang w:val="en-US" w:eastAsia="zh-CN" w:bidi="ar-SA"/>
        </w:rPr>
        <w:t>。</w:t>
      </w:r>
    </w:p>
    <w:p w14:paraId="1A3220F7">
      <w:pPr>
        <w:pStyle w:val="75"/>
        <w:bidi w:val="0"/>
        <w:rPr>
          <w:color w:val="auto"/>
          <w:lang w:val="en-US" w:eastAsia="zh-CN"/>
        </w:rPr>
      </w:pPr>
      <w:bookmarkStart w:id="903" w:name="_Toc29054"/>
      <w:r>
        <w:rPr>
          <w:rFonts w:hint="eastAsia"/>
          <w:color w:val="auto"/>
          <w:lang w:val="en-US" w:eastAsia="zh-CN"/>
        </w:rPr>
        <w:t>10</w:t>
      </w:r>
      <w:r>
        <w:rPr>
          <w:color w:val="auto"/>
          <w:lang w:val="en-US" w:eastAsia="zh-CN"/>
        </w:rPr>
        <w:t>.4</w:t>
      </w:r>
      <w:r>
        <w:rPr>
          <w:rFonts w:hint="eastAsia"/>
          <w:color w:val="auto"/>
          <w:lang w:val="en-US" w:eastAsia="zh-CN"/>
        </w:rPr>
        <w:t xml:space="preserve"> </w:t>
      </w:r>
      <w:r>
        <w:rPr>
          <w:color w:val="auto"/>
          <w:lang w:val="en-US" w:eastAsia="zh-CN"/>
        </w:rPr>
        <w:t>污染物排放情况</w:t>
      </w:r>
      <w:bookmarkEnd w:id="903"/>
    </w:p>
    <w:p w14:paraId="67504D24">
      <w:pPr>
        <w:pStyle w:val="79"/>
        <w:bidi w:val="0"/>
        <w:rPr>
          <w:color w:val="auto"/>
          <w:lang w:val="en-US" w:eastAsia="zh-CN"/>
        </w:rPr>
      </w:pPr>
      <w:r>
        <w:rPr>
          <w:rFonts w:hint="eastAsia"/>
          <w:color w:val="auto"/>
          <w:lang w:val="en-US" w:eastAsia="zh-CN"/>
        </w:rPr>
        <w:t>本工程运营期</w:t>
      </w:r>
      <w:r>
        <w:rPr>
          <w:color w:val="auto"/>
          <w:lang w:val="en-US" w:eastAsia="zh-CN"/>
        </w:rPr>
        <w:t>污染物产生及排放情况</w:t>
      </w:r>
      <w:r>
        <w:rPr>
          <w:rFonts w:hint="eastAsia"/>
          <w:color w:val="auto"/>
          <w:lang w:val="en-US" w:eastAsia="zh-CN"/>
        </w:rPr>
        <w:t>，</w:t>
      </w:r>
      <w:r>
        <w:rPr>
          <w:color w:val="auto"/>
          <w:lang w:val="en-US" w:eastAsia="zh-CN"/>
        </w:rPr>
        <w:t>见表</w:t>
      </w:r>
      <w:r>
        <w:rPr>
          <w:rFonts w:hint="eastAsia"/>
          <w:color w:val="auto"/>
          <w:lang w:val="en-US" w:eastAsia="zh-CN"/>
        </w:rPr>
        <w:t>10</w:t>
      </w:r>
      <w:r>
        <w:rPr>
          <w:color w:val="auto"/>
          <w:lang w:val="en-US" w:eastAsia="zh-CN"/>
        </w:rPr>
        <w:t>.</w:t>
      </w:r>
      <w:r>
        <w:rPr>
          <w:rFonts w:hint="eastAsia"/>
          <w:color w:val="auto"/>
          <w:lang w:val="en-US" w:eastAsia="zh-CN"/>
        </w:rPr>
        <w:t>4</w:t>
      </w:r>
      <w:r>
        <w:rPr>
          <w:color w:val="auto"/>
          <w:lang w:val="en-US" w:eastAsia="zh-CN"/>
        </w:rPr>
        <w:t>-1。</w:t>
      </w:r>
    </w:p>
    <w:p w14:paraId="4483AF8D">
      <w:pPr>
        <w:pStyle w:val="61"/>
        <w:bidi w:val="0"/>
        <w:jc w:val="both"/>
        <w:rPr>
          <w:rFonts w:hint="eastAsia"/>
          <w:color w:val="auto"/>
          <w:lang w:val="zh-CN" w:eastAsia="zh-CN"/>
        </w:rPr>
      </w:pPr>
      <w:r>
        <w:rPr>
          <w:rFonts w:hint="eastAsia"/>
          <w:color w:val="auto"/>
          <w:lang w:val="zh-CN" w:eastAsia="zh-CN"/>
        </w:rPr>
        <w:t>表</w:t>
      </w:r>
      <w:r>
        <w:rPr>
          <w:rFonts w:hint="eastAsia"/>
          <w:color w:val="auto"/>
          <w:lang w:val="en-US" w:eastAsia="zh-CN"/>
        </w:rPr>
        <w:t>10</w:t>
      </w:r>
      <w:r>
        <w:rPr>
          <w:rFonts w:hint="eastAsia"/>
          <w:color w:val="auto"/>
          <w:lang w:val="zh-CN" w:eastAsia="zh-CN"/>
        </w:rPr>
        <w:t>.</w:t>
      </w:r>
      <w:r>
        <w:rPr>
          <w:rFonts w:hint="eastAsia"/>
          <w:color w:val="auto"/>
          <w:lang w:val="en-US" w:eastAsia="zh-CN"/>
        </w:rPr>
        <w:t>4</w:t>
      </w:r>
      <w:r>
        <w:rPr>
          <w:rFonts w:hint="eastAsia"/>
          <w:color w:val="auto"/>
          <w:lang w:val="zh-CN" w:eastAsia="zh-CN"/>
        </w:rPr>
        <w:t>-1</w:t>
      </w:r>
      <w:r>
        <w:rPr>
          <w:rFonts w:hint="eastAsia"/>
          <w:color w:val="auto"/>
          <w:lang w:val="en-US" w:eastAsia="zh-CN"/>
        </w:rPr>
        <w:t xml:space="preserve">  </w:t>
      </w:r>
      <w:r>
        <w:rPr>
          <w:rFonts w:hint="eastAsia"/>
          <w:color w:val="auto"/>
          <w:lang w:val="zh-CN" w:eastAsia="zh-CN"/>
        </w:rPr>
        <w:t>污染物产排情况一览表</w:t>
      </w:r>
    </w:p>
    <w:tbl>
      <w:tblPr>
        <w:tblStyle w:val="36"/>
        <w:tblW w:w="4894" w:type="pct"/>
        <w:tblInd w:w="8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52"/>
        <w:gridCol w:w="1630"/>
        <w:gridCol w:w="1276"/>
        <w:gridCol w:w="1182"/>
        <w:gridCol w:w="1056"/>
        <w:gridCol w:w="2951"/>
      </w:tblGrid>
      <w:tr w14:paraId="7AF10C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19" w:type="pct"/>
            <w:tcBorders>
              <w:tl2br w:val="nil"/>
              <w:tr2bl w:val="nil"/>
            </w:tcBorders>
            <w:vAlign w:val="center"/>
          </w:tcPr>
          <w:p w14:paraId="2C5E6F8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类别</w:t>
            </w:r>
          </w:p>
        </w:tc>
        <w:tc>
          <w:tcPr>
            <w:tcW w:w="942" w:type="pct"/>
            <w:tcBorders>
              <w:tl2br w:val="nil"/>
              <w:tr2bl w:val="nil"/>
            </w:tcBorders>
            <w:vAlign w:val="center"/>
          </w:tcPr>
          <w:p w14:paraId="62F340A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污染源</w:t>
            </w:r>
          </w:p>
        </w:tc>
        <w:tc>
          <w:tcPr>
            <w:tcW w:w="737" w:type="pct"/>
            <w:tcBorders>
              <w:tl2br w:val="nil"/>
              <w:tr2bl w:val="nil"/>
            </w:tcBorders>
            <w:vAlign w:val="center"/>
          </w:tcPr>
          <w:p w14:paraId="79A522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主要污染物</w:t>
            </w:r>
          </w:p>
        </w:tc>
        <w:tc>
          <w:tcPr>
            <w:tcW w:w="683" w:type="pct"/>
            <w:tcBorders>
              <w:tl2br w:val="nil"/>
              <w:tr2bl w:val="nil"/>
            </w:tcBorders>
            <w:vAlign w:val="center"/>
          </w:tcPr>
          <w:p w14:paraId="2D298F8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产生量</w:t>
            </w:r>
          </w:p>
        </w:tc>
        <w:tc>
          <w:tcPr>
            <w:tcW w:w="610" w:type="pct"/>
            <w:tcBorders>
              <w:tl2br w:val="nil"/>
              <w:tr2bl w:val="nil"/>
            </w:tcBorders>
            <w:vAlign w:val="center"/>
          </w:tcPr>
          <w:p w14:paraId="317504D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排放量</w:t>
            </w:r>
          </w:p>
        </w:tc>
        <w:tc>
          <w:tcPr>
            <w:tcW w:w="1705" w:type="pct"/>
            <w:tcBorders>
              <w:tl2br w:val="nil"/>
              <w:tr2bl w:val="nil"/>
            </w:tcBorders>
            <w:vAlign w:val="center"/>
          </w:tcPr>
          <w:p w14:paraId="7D0C249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排放去向</w:t>
            </w:r>
          </w:p>
        </w:tc>
      </w:tr>
      <w:tr w14:paraId="5110E4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0" w:hRule="atLeast"/>
        </w:trPr>
        <w:tc>
          <w:tcPr>
            <w:tcW w:w="319" w:type="pct"/>
            <w:vMerge w:val="restart"/>
            <w:tcBorders>
              <w:tl2br w:val="nil"/>
              <w:tr2bl w:val="nil"/>
            </w:tcBorders>
            <w:vAlign w:val="center"/>
          </w:tcPr>
          <w:p w14:paraId="5CA49FB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废水</w:t>
            </w:r>
          </w:p>
        </w:tc>
        <w:tc>
          <w:tcPr>
            <w:tcW w:w="942" w:type="pct"/>
            <w:tcBorders>
              <w:tl2br w:val="nil"/>
              <w:tr2bl w:val="nil"/>
            </w:tcBorders>
            <w:vAlign w:val="center"/>
          </w:tcPr>
          <w:p w14:paraId="62B5F2B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生活污水</w:t>
            </w:r>
          </w:p>
        </w:tc>
        <w:tc>
          <w:tcPr>
            <w:tcW w:w="737" w:type="pct"/>
            <w:tcBorders>
              <w:tl2br w:val="nil"/>
              <w:tr2bl w:val="nil"/>
            </w:tcBorders>
            <w:vAlign w:val="center"/>
          </w:tcPr>
          <w:p w14:paraId="3DD4A2A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SS、COD、BOD</w:t>
            </w:r>
            <w:r>
              <w:rPr>
                <w:rFonts w:hint="eastAsia" w:cs="Times New Roman"/>
                <w:color w:val="auto"/>
                <w:szCs w:val="21"/>
                <w:highlight w:val="none"/>
                <w:vertAlign w:val="subscript"/>
                <w:lang w:val="en-US" w:eastAsia="zh-CN"/>
              </w:rPr>
              <w:t>5</w:t>
            </w:r>
            <w:r>
              <w:rPr>
                <w:rFonts w:hint="eastAsia" w:cs="Times New Roman"/>
                <w:color w:val="auto"/>
                <w:szCs w:val="21"/>
                <w:highlight w:val="none"/>
                <w:lang w:val="en-US" w:eastAsia="zh-CN"/>
              </w:rPr>
              <w:t>等</w:t>
            </w:r>
          </w:p>
        </w:tc>
        <w:tc>
          <w:tcPr>
            <w:tcW w:w="683" w:type="pct"/>
            <w:tcBorders>
              <w:tl2br w:val="nil"/>
              <w:tr2bl w:val="nil"/>
            </w:tcBorders>
            <w:vAlign w:val="center"/>
          </w:tcPr>
          <w:p w14:paraId="2525E4D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162</w:t>
            </w:r>
          </w:p>
          <w:p w14:paraId="7A43C69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m</w:t>
            </w:r>
            <w:r>
              <w:rPr>
                <w:rFonts w:hint="eastAsia" w:cs="Times New Roman"/>
                <w:color w:val="auto"/>
                <w:highlight w:val="none"/>
                <w:vertAlign w:val="superscript"/>
                <w:lang w:val="en-US" w:eastAsia="zh-CN"/>
              </w:rPr>
              <w:t>3</w:t>
            </w:r>
            <w:r>
              <w:rPr>
                <w:rFonts w:hint="eastAsia" w:cs="Times New Roman"/>
                <w:color w:val="auto"/>
                <w:highlight w:val="none"/>
                <w:lang w:val="en-US" w:eastAsia="zh-CN"/>
              </w:rPr>
              <w:t>/a</w:t>
            </w:r>
          </w:p>
        </w:tc>
        <w:tc>
          <w:tcPr>
            <w:tcW w:w="610" w:type="pct"/>
            <w:tcBorders>
              <w:tl2br w:val="nil"/>
              <w:tr2bl w:val="nil"/>
            </w:tcBorders>
            <w:vAlign w:val="center"/>
          </w:tcPr>
          <w:p w14:paraId="7AB2C78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145.8</w:t>
            </w:r>
          </w:p>
          <w:p w14:paraId="2B39DE9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m</w:t>
            </w:r>
            <w:r>
              <w:rPr>
                <w:rFonts w:hint="eastAsia" w:cs="Times New Roman"/>
                <w:color w:val="auto"/>
                <w:highlight w:val="none"/>
                <w:vertAlign w:val="superscript"/>
                <w:lang w:val="en-US" w:eastAsia="zh-CN"/>
              </w:rPr>
              <w:t>3</w:t>
            </w:r>
            <w:r>
              <w:rPr>
                <w:rFonts w:hint="eastAsia" w:cs="Times New Roman"/>
                <w:color w:val="auto"/>
                <w:highlight w:val="none"/>
                <w:lang w:val="en-US" w:eastAsia="zh-CN"/>
              </w:rPr>
              <w:t>/a</w:t>
            </w:r>
          </w:p>
        </w:tc>
        <w:tc>
          <w:tcPr>
            <w:tcW w:w="1705" w:type="pct"/>
            <w:tcBorders>
              <w:tl2br w:val="nil"/>
              <w:tr2bl w:val="nil"/>
            </w:tcBorders>
            <w:vAlign w:val="center"/>
          </w:tcPr>
          <w:p w14:paraId="317B9F7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生活污水暂存于生活污水池，定期由罐车拉运至英买力作业区生活污水处理装置处置</w:t>
            </w:r>
          </w:p>
        </w:tc>
      </w:tr>
      <w:tr w14:paraId="504771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0" w:hRule="atLeast"/>
        </w:trPr>
        <w:tc>
          <w:tcPr>
            <w:tcW w:w="319" w:type="pct"/>
            <w:vMerge w:val="continue"/>
            <w:tcBorders>
              <w:tl2br w:val="nil"/>
              <w:tr2bl w:val="nil"/>
            </w:tcBorders>
            <w:vAlign w:val="center"/>
          </w:tcPr>
          <w:p w14:paraId="46E078E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s="Times New Roman"/>
                <w:color w:val="auto"/>
                <w:szCs w:val="21"/>
                <w:highlight w:val="none"/>
                <w:lang w:val="en-US" w:eastAsia="zh-CN"/>
              </w:rPr>
            </w:pPr>
          </w:p>
        </w:tc>
        <w:tc>
          <w:tcPr>
            <w:tcW w:w="942" w:type="pct"/>
            <w:vMerge w:val="restart"/>
            <w:tcBorders>
              <w:tl2br w:val="nil"/>
              <w:tr2bl w:val="nil"/>
            </w:tcBorders>
            <w:vAlign w:val="center"/>
          </w:tcPr>
          <w:p w14:paraId="00207E4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井下作业废水</w:t>
            </w:r>
          </w:p>
        </w:tc>
        <w:tc>
          <w:tcPr>
            <w:tcW w:w="737" w:type="pct"/>
            <w:tcBorders>
              <w:tl2br w:val="nil"/>
              <w:tr2bl w:val="nil"/>
            </w:tcBorders>
            <w:vAlign w:val="center"/>
          </w:tcPr>
          <w:p w14:paraId="6676462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井下作业废水</w:t>
            </w:r>
          </w:p>
        </w:tc>
        <w:tc>
          <w:tcPr>
            <w:tcW w:w="683" w:type="pct"/>
            <w:tcBorders>
              <w:tl2br w:val="nil"/>
              <w:tr2bl w:val="nil"/>
            </w:tcBorders>
            <w:vAlign w:val="center"/>
          </w:tcPr>
          <w:p w14:paraId="1E810FC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81.39t</w:t>
            </w:r>
          </w:p>
        </w:tc>
        <w:tc>
          <w:tcPr>
            <w:tcW w:w="610" w:type="pct"/>
            <w:tcBorders>
              <w:tl2br w:val="nil"/>
              <w:tr2bl w:val="nil"/>
            </w:tcBorders>
            <w:vAlign w:val="center"/>
          </w:tcPr>
          <w:p w14:paraId="30D2C8A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0</w:t>
            </w:r>
          </w:p>
        </w:tc>
        <w:tc>
          <w:tcPr>
            <w:tcW w:w="1705" w:type="pct"/>
            <w:vMerge w:val="restart"/>
            <w:tcBorders>
              <w:tl2br w:val="nil"/>
              <w:tr2bl w:val="nil"/>
            </w:tcBorders>
            <w:vAlign w:val="center"/>
          </w:tcPr>
          <w:p w14:paraId="22DE0E5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井下作业废水自带回收罐回收作业废水，拉运至英买力油田钻试修废弃物环保处理站处理</w:t>
            </w:r>
          </w:p>
        </w:tc>
      </w:tr>
      <w:tr w14:paraId="40CB69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trPr>
        <w:tc>
          <w:tcPr>
            <w:tcW w:w="319" w:type="pct"/>
            <w:vMerge w:val="continue"/>
            <w:tcBorders>
              <w:tl2br w:val="nil"/>
              <w:tr2bl w:val="nil"/>
            </w:tcBorders>
            <w:vAlign w:val="center"/>
          </w:tcPr>
          <w:p w14:paraId="58A8E00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s="Times New Roman"/>
                <w:color w:val="auto"/>
                <w:szCs w:val="21"/>
                <w:highlight w:val="none"/>
                <w:lang w:val="en-US" w:eastAsia="zh-CN"/>
              </w:rPr>
            </w:pPr>
          </w:p>
        </w:tc>
        <w:tc>
          <w:tcPr>
            <w:tcW w:w="942" w:type="pct"/>
            <w:vMerge w:val="continue"/>
            <w:tcBorders>
              <w:tl2br w:val="nil"/>
              <w:tr2bl w:val="nil"/>
            </w:tcBorders>
            <w:vAlign w:val="center"/>
          </w:tcPr>
          <w:p w14:paraId="6DF13AC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s="Times New Roman"/>
                <w:color w:val="auto"/>
                <w:szCs w:val="21"/>
                <w:highlight w:val="none"/>
                <w:lang w:val="en-US" w:eastAsia="zh-CN"/>
              </w:rPr>
            </w:pPr>
          </w:p>
        </w:tc>
        <w:tc>
          <w:tcPr>
            <w:tcW w:w="737" w:type="pct"/>
            <w:tcBorders>
              <w:tl2br w:val="nil"/>
              <w:tr2bl w:val="nil"/>
            </w:tcBorders>
            <w:vAlign w:val="center"/>
          </w:tcPr>
          <w:p w14:paraId="73EC6E8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s="Times New Roman"/>
                <w:color w:val="auto"/>
                <w:szCs w:val="21"/>
                <w:highlight w:val="none"/>
                <w:lang w:val="en-US" w:eastAsia="zh-CN"/>
              </w:rPr>
            </w:pPr>
            <w:r>
              <w:rPr>
                <w:rFonts w:hint="eastAsia" w:cs="Times New Roman"/>
                <w:color w:val="auto"/>
                <w:szCs w:val="21"/>
                <w:highlight w:val="none"/>
                <w:lang w:val="en-US" w:eastAsia="zh-CN"/>
              </w:rPr>
              <w:t>COD</w:t>
            </w:r>
          </w:p>
        </w:tc>
        <w:tc>
          <w:tcPr>
            <w:tcW w:w="683" w:type="pct"/>
            <w:tcBorders>
              <w:tl2br w:val="nil"/>
              <w:tr2bl w:val="nil"/>
            </w:tcBorders>
            <w:vAlign w:val="center"/>
          </w:tcPr>
          <w:p w14:paraId="6042CCD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0.104t/a</w:t>
            </w:r>
          </w:p>
        </w:tc>
        <w:tc>
          <w:tcPr>
            <w:tcW w:w="610" w:type="pct"/>
            <w:tcBorders>
              <w:tl2br w:val="nil"/>
              <w:tr2bl w:val="nil"/>
            </w:tcBorders>
            <w:vAlign w:val="center"/>
          </w:tcPr>
          <w:p w14:paraId="3D5252A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w:t>
            </w:r>
          </w:p>
        </w:tc>
        <w:tc>
          <w:tcPr>
            <w:tcW w:w="1705" w:type="pct"/>
            <w:vMerge w:val="continue"/>
            <w:tcBorders>
              <w:tl2br w:val="nil"/>
              <w:tr2bl w:val="nil"/>
            </w:tcBorders>
            <w:vAlign w:val="center"/>
          </w:tcPr>
          <w:p w14:paraId="3164FEF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p>
        </w:tc>
      </w:tr>
      <w:tr w14:paraId="20B521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trPr>
        <w:tc>
          <w:tcPr>
            <w:tcW w:w="319" w:type="pct"/>
            <w:vMerge w:val="continue"/>
            <w:tcBorders>
              <w:tl2br w:val="nil"/>
              <w:tr2bl w:val="nil"/>
            </w:tcBorders>
            <w:vAlign w:val="center"/>
          </w:tcPr>
          <w:p w14:paraId="1ADF5EF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s="Times New Roman"/>
                <w:color w:val="auto"/>
                <w:szCs w:val="21"/>
                <w:highlight w:val="none"/>
                <w:lang w:val="en-US" w:eastAsia="zh-CN"/>
              </w:rPr>
            </w:pPr>
          </w:p>
        </w:tc>
        <w:tc>
          <w:tcPr>
            <w:tcW w:w="942" w:type="pct"/>
            <w:vMerge w:val="continue"/>
            <w:tcBorders>
              <w:tl2br w:val="nil"/>
              <w:tr2bl w:val="nil"/>
            </w:tcBorders>
            <w:vAlign w:val="center"/>
          </w:tcPr>
          <w:p w14:paraId="0A04BF4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s="Times New Roman"/>
                <w:color w:val="auto"/>
                <w:szCs w:val="21"/>
                <w:highlight w:val="none"/>
                <w:lang w:val="en-US" w:eastAsia="zh-CN"/>
              </w:rPr>
            </w:pPr>
          </w:p>
        </w:tc>
        <w:tc>
          <w:tcPr>
            <w:tcW w:w="737" w:type="pct"/>
            <w:tcBorders>
              <w:tl2br w:val="nil"/>
              <w:tr2bl w:val="nil"/>
            </w:tcBorders>
            <w:vAlign w:val="center"/>
          </w:tcPr>
          <w:p w14:paraId="78924D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s="Times New Roman"/>
                <w:color w:val="auto"/>
                <w:szCs w:val="21"/>
                <w:highlight w:val="none"/>
                <w:lang w:val="en-US" w:eastAsia="zh-CN"/>
              </w:rPr>
            </w:pPr>
            <w:r>
              <w:rPr>
                <w:rFonts w:hint="eastAsia" w:cs="Times New Roman"/>
                <w:color w:val="auto"/>
                <w:szCs w:val="21"/>
                <w:highlight w:val="none"/>
                <w:lang w:val="en-US" w:eastAsia="zh-CN"/>
              </w:rPr>
              <w:t>石油类</w:t>
            </w:r>
          </w:p>
        </w:tc>
        <w:tc>
          <w:tcPr>
            <w:tcW w:w="683" w:type="pct"/>
            <w:tcBorders>
              <w:tl2br w:val="nil"/>
              <w:tr2bl w:val="nil"/>
            </w:tcBorders>
            <w:vAlign w:val="center"/>
          </w:tcPr>
          <w:p w14:paraId="673DF7D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0.018t/a</w:t>
            </w:r>
          </w:p>
        </w:tc>
        <w:tc>
          <w:tcPr>
            <w:tcW w:w="610" w:type="pct"/>
            <w:tcBorders>
              <w:tl2br w:val="nil"/>
              <w:tr2bl w:val="nil"/>
            </w:tcBorders>
            <w:vAlign w:val="center"/>
          </w:tcPr>
          <w:p w14:paraId="07FDD1C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w:t>
            </w:r>
          </w:p>
        </w:tc>
        <w:tc>
          <w:tcPr>
            <w:tcW w:w="1705" w:type="pct"/>
            <w:vMerge w:val="continue"/>
            <w:tcBorders>
              <w:tl2br w:val="nil"/>
              <w:tr2bl w:val="nil"/>
            </w:tcBorders>
            <w:vAlign w:val="center"/>
          </w:tcPr>
          <w:p w14:paraId="4164877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p>
        </w:tc>
      </w:tr>
      <w:tr w14:paraId="1C7281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0" w:hRule="atLeast"/>
        </w:trPr>
        <w:tc>
          <w:tcPr>
            <w:tcW w:w="319" w:type="pct"/>
            <w:vMerge w:val="restart"/>
            <w:tcBorders>
              <w:tl2br w:val="nil"/>
              <w:tr2bl w:val="nil"/>
            </w:tcBorders>
            <w:vAlign w:val="center"/>
          </w:tcPr>
          <w:p w14:paraId="06DCEFF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bookmarkStart w:id="904" w:name="OLE_LINK155" w:colFirst="0" w:colLast="0"/>
            <w:bookmarkStart w:id="905" w:name="OLE_LINK154" w:colFirst="2" w:colLast="4"/>
            <w:r>
              <w:rPr>
                <w:rFonts w:hint="default" w:ascii="Times New Roman" w:hAnsi="Times New Roman" w:cs="Times New Roman"/>
                <w:color w:val="auto"/>
                <w:szCs w:val="21"/>
                <w:highlight w:val="none"/>
              </w:rPr>
              <w:t>废气</w:t>
            </w:r>
          </w:p>
        </w:tc>
        <w:tc>
          <w:tcPr>
            <w:tcW w:w="942" w:type="pct"/>
            <w:vMerge w:val="restart"/>
            <w:tcBorders>
              <w:tl2br w:val="nil"/>
              <w:tr2bl w:val="nil"/>
            </w:tcBorders>
            <w:vAlign w:val="center"/>
          </w:tcPr>
          <w:p w14:paraId="5A931E9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加热炉燃烧废气（有组织排放）</w:t>
            </w:r>
          </w:p>
        </w:tc>
        <w:tc>
          <w:tcPr>
            <w:tcW w:w="737" w:type="pct"/>
            <w:tcBorders>
              <w:tl2br w:val="nil"/>
              <w:tr2bl w:val="nil"/>
            </w:tcBorders>
            <w:vAlign w:val="center"/>
          </w:tcPr>
          <w:p w14:paraId="582602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颗粒物</w:t>
            </w:r>
          </w:p>
        </w:tc>
        <w:tc>
          <w:tcPr>
            <w:tcW w:w="683" w:type="pct"/>
            <w:tcBorders>
              <w:tl2br w:val="nil"/>
              <w:tr2bl w:val="nil"/>
            </w:tcBorders>
            <w:vAlign w:val="center"/>
          </w:tcPr>
          <w:p w14:paraId="519D8D85">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eastAsia" w:ascii="Times New Roman" w:hAnsi="Times New Roman" w:eastAsia="宋体" w:cs="Times New Roman"/>
                <w:color w:val="auto"/>
                <w:kern w:val="2"/>
                <w:sz w:val="21"/>
                <w:highlight w:val="none"/>
                <w:lang w:val="en-US" w:eastAsia="zh-CN" w:bidi="ar-SA"/>
              </w:rPr>
            </w:pPr>
            <w:r>
              <w:rPr>
                <w:rFonts w:hint="eastAsia" w:cs="Times New Roman"/>
                <w:color w:val="auto"/>
                <w:sz w:val="21"/>
                <w:highlight w:val="none"/>
                <w:lang w:val="en-US" w:eastAsia="zh-CN"/>
              </w:rPr>
              <w:t>0.021</w:t>
            </w:r>
            <w:r>
              <w:rPr>
                <w:rFonts w:hint="eastAsia" w:cs="Times New Roman"/>
                <w:color w:val="auto"/>
                <w:highlight w:val="none"/>
                <w:lang w:val="en-US" w:eastAsia="zh-CN"/>
              </w:rPr>
              <w:t>t/a</w:t>
            </w:r>
          </w:p>
        </w:tc>
        <w:tc>
          <w:tcPr>
            <w:tcW w:w="610" w:type="pct"/>
            <w:tcBorders>
              <w:tl2br w:val="nil"/>
              <w:tr2bl w:val="nil"/>
            </w:tcBorders>
            <w:vAlign w:val="center"/>
          </w:tcPr>
          <w:p w14:paraId="7550B89E">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eastAsia" w:ascii="Times New Roman" w:hAnsi="Times New Roman" w:eastAsia="宋体" w:cs="Times New Roman"/>
                <w:color w:val="auto"/>
                <w:kern w:val="2"/>
                <w:sz w:val="21"/>
                <w:highlight w:val="none"/>
                <w:lang w:val="en-US" w:eastAsia="zh-CN" w:bidi="ar-SA"/>
              </w:rPr>
            </w:pPr>
            <w:r>
              <w:rPr>
                <w:rFonts w:hint="eastAsia" w:cs="Times New Roman"/>
                <w:color w:val="auto"/>
                <w:sz w:val="21"/>
                <w:highlight w:val="none"/>
                <w:lang w:val="en-US" w:eastAsia="zh-CN"/>
              </w:rPr>
              <w:t>0.021</w:t>
            </w:r>
            <w:r>
              <w:rPr>
                <w:rFonts w:hint="eastAsia" w:cs="Times New Roman"/>
                <w:color w:val="auto"/>
                <w:highlight w:val="none"/>
                <w:lang w:val="en-US" w:eastAsia="zh-CN"/>
              </w:rPr>
              <w:t>t/a</w:t>
            </w:r>
          </w:p>
        </w:tc>
        <w:tc>
          <w:tcPr>
            <w:tcW w:w="1705" w:type="pct"/>
            <w:vMerge w:val="restart"/>
            <w:tcBorders>
              <w:tl2br w:val="nil"/>
              <w:tr2bl w:val="nil"/>
            </w:tcBorders>
            <w:vAlign w:val="center"/>
          </w:tcPr>
          <w:p w14:paraId="3FFD2C3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r>
              <w:rPr>
                <w:rFonts w:hint="eastAsia"/>
                <w:color w:val="auto"/>
                <w:lang w:val="en-US" w:eastAsia="zh-CN"/>
              </w:rPr>
              <w:t>采</w:t>
            </w:r>
            <w:r>
              <w:rPr>
                <w:rFonts w:hint="eastAsia"/>
                <w:color w:val="auto"/>
              </w:rPr>
              <w:t>用清洁燃料，经过8m高的排气筒排入大气</w:t>
            </w:r>
          </w:p>
        </w:tc>
      </w:tr>
      <w:tr w14:paraId="532134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0" w:hRule="atLeast"/>
        </w:trPr>
        <w:tc>
          <w:tcPr>
            <w:tcW w:w="319" w:type="pct"/>
            <w:vMerge w:val="continue"/>
            <w:tcBorders>
              <w:tl2br w:val="nil"/>
              <w:tr2bl w:val="nil"/>
            </w:tcBorders>
            <w:vAlign w:val="center"/>
          </w:tcPr>
          <w:p w14:paraId="254FA10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p>
        </w:tc>
        <w:tc>
          <w:tcPr>
            <w:tcW w:w="942" w:type="pct"/>
            <w:vMerge w:val="continue"/>
            <w:tcBorders>
              <w:tl2br w:val="nil"/>
              <w:tr2bl w:val="nil"/>
            </w:tcBorders>
            <w:vAlign w:val="center"/>
          </w:tcPr>
          <w:p w14:paraId="4BFA74A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p>
        </w:tc>
        <w:tc>
          <w:tcPr>
            <w:tcW w:w="737" w:type="pct"/>
            <w:tcBorders>
              <w:tl2br w:val="nil"/>
              <w:tr2bl w:val="nil"/>
            </w:tcBorders>
            <w:vAlign w:val="center"/>
          </w:tcPr>
          <w:p w14:paraId="51D7D87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cs="Times New Roman"/>
                <w:color w:val="auto"/>
                <w:sz w:val="21"/>
                <w:highlight w:val="none"/>
              </w:rPr>
              <w:t>SO</w:t>
            </w:r>
            <w:r>
              <w:rPr>
                <w:rFonts w:cs="Times New Roman"/>
                <w:color w:val="auto"/>
                <w:sz w:val="21"/>
                <w:highlight w:val="none"/>
                <w:vertAlign w:val="subscript"/>
              </w:rPr>
              <w:t>2</w:t>
            </w:r>
          </w:p>
        </w:tc>
        <w:tc>
          <w:tcPr>
            <w:tcW w:w="683" w:type="pct"/>
            <w:tcBorders>
              <w:tl2br w:val="nil"/>
              <w:tr2bl w:val="nil"/>
            </w:tcBorders>
            <w:vAlign w:val="center"/>
          </w:tcPr>
          <w:p w14:paraId="5438390F">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eastAsia" w:ascii="Times New Roman" w:hAnsi="Times New Roman" w:eastAsia="宋体" w:cs="Times New Roman"/>
                <w:color w:val="auto"/>
                <w:kern w:val="2"/>
                <w:sz w:val="21"/>
                <w:highlight w:val="none"/>
                <w:lang w:val="en-US" w:eastAsia="zh-CN" w:bidi="ar-SA"/>
              </w:rPr>
            </w:pPr>
            <w:r>
              <w:rPr>
                <w:rFonts w:hint="eastAsia" w:cs="Times New Roman"/>
                <w:color w:val="auto"/>
                <w:sz w:val="21"/>
                <w:highlight w:val="none"/>
                <w:lang w:val="en-US" w:eastAsia="zh-CN"/>
              </w:rPr>
              <w:t>0.0039</w:t>
            </w:r>
            <w:r>
              <w:rPr>
                <w:rFonts w:hint="eastAsia" w:cs="Times New Roman"/>
                <w:color w:val="auto"/>
                <w:highlight w:val="none"/>
                <w:lang w:val="en-US" w:eastAsia="zh-CN"/>
              </w:rPr>
              <w:t>t/a</w:t>
            </w:r>
          </w:p>
        </w:tc>
        <w:tc>
          <w:tcPr>
            <w:tcW w:w="610" w:type="pct"/>
            <w:tcBorders>
              <w:tl2br w:val="nil"/>
              <w:tr2bl w:val="nil"/>
            </w:tcBorders>
            <w:vAlign w:val="center"/>
          </w:tcPr>
          <w:p w14:paraId="6092D4F9">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eastAsia" w:ascii="Times New Roman" w:hAnsi="Times New Roman" w:eastAsia="宋体" w:cs="Times New Roman"/>
                <w:color w:val="auto"/>
                <w:kern w:val="2"/>
                <w:sz w:val="21"/>
                <w:highlight w:val="none"/>
                <w:lang w:val="en-US" w:eastAsia="zh-CN" w:bidi="ar-SA"/>
              </w:rPr>
            </w:pPr>
            <w:r>
              <w:rPr>
                <w:rFonts w:hint="eastAsia" w:cs="Times New Roman"/>
                <w:color w:val="auto"/>
                <w:sz w:val="21"/>
                <w:highlight w:val="none"/>
                <w:lang w:val="en-US" w:eastAsia="zh-CN"/>
              </w:rPr>
              <w:t>0.0039</w:t>
            </w:r>
            <w:r>
              <w:rPr>
                <w:rFonts w:hint="eastAsia" w:cs="Times New Roman"/>
                <w:color w:val="auto"/>
                <w:highlight w:val="none"/>
                <w:lang w:val="en-US" w:eastAsia="zh-CN"/>
              </w:rPr>
              <w:t>t/a</w:t>
            </w:r>
          </w:p>
        </w:tc>
        <w:tc>
          <w:tcPr>
            <w:tcW w:w="1705" w:type="pct"/>
            <w:vMerge w:val="continue"/>
            <w:tcBorders>
              <w:tl2br w:val="nil"/>
              <w:tr2bl w:val="nil"/>
            </w:tcBorders>
            <w:vAlign w:val="center"/>
          </w:tcPr>
          <w:p w14:paraId="31EA5C2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p>
        </w:tc>
      </w:tr>
      <w:tr w14:paraId="57F3BF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0" w:hRule="atLeast"/>
        </w:trPr>
        <w:tc>
          <w:tcPr>
            <w:tcW w:w="319" w:type="pct"/>
            <w:vMerge w:val="continue"/>
            <w:tcBorders>
              <w:tl2br w:val="nil"/>
              <w:tr2bl w:val="nil"/>
            </w:tcBorders>
            <w:vAlign w:val="center"/>
          </w:tcPr>
          <w:p w14:paraId="4475CE2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p>
        </w:tc>
        <w:tc>
          <w:tcPr>
            <w:tcW w:w="942" w:type="pct"/>
            <w:vMerge w:val="continue"/>
            <w:tcBorders>
              <w:tl2br w:val="nil"/>
              <w:tr2bl w:val="nil"/>
            </w:tcBorders>
            <w:vAlign w:val="center"/>
          </w:tcPr>
          <w:p w14:paraId="5839E51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p>
        </w:tc>
        <w:tc>
          <w:tcPr>
            <w:tcW w:w="737" w:type="pct"/>
            <w:tcBorders>
              <w:tl2br w:val="nil"/>
              <w:tr2bl w:val="nil"/>
            </w:tcBorders>
            <w:vAlign w:val="center"/>
          </w:tcPr>
          <w:p w14:paraId="794CAE3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cs="Times New Roman"/>
                <w:color w:val="auto"/>
                <w:sz w:val="21"/>
                <w:highlight w:val="none"/>
              </w:rPr>
              <w:t>NOx</w:t>
            </w:r>
          </w:p>
        </w:tc>
        <w:tc>
          <w:tcPr>
            <w:tcW w:w="683" w:type="pct"/>
            <w:tcBorders>
              <w:tl2br w:val="nil"/>
              <w:tr2bl w:val="nil"/>
            </w:tcBorders>
            <w:vAlign w:val="center"/>
          </w:tcPr>
          <w:p w14:paraId="5E347583">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eastAsia" w:ascii="Times New Roman" w:hAnsi="Times New Roman" w:eastAsia="宋体" w:cs="Times New Roman"/>
                <w:color w:val="auto"/>
                <w:kern w:val="2"/>
                <w:sz w:val="21"/>
                <w:highlight w:val="none"/>
                <w:lang w:val="en-US" w:eastAsia="zh-CN" w:bidi="ar-SA"/>
              </w:rPr>
            </w:pPr>
            <w:r>
              <w:rPr>
                <w:rFonts w:hint="eastAsia" w:cs="Times New Roman"/>
                <w:color w:val="auto"/>
                <w:sz w:val="21"/>
                <w:highlight w:val="none"/>
                <w:lang w:val="en-US" w:eastAsia="zh-CN"/>
              </w:rPr>
              <w:t>0.155</w:t>
            </w:r>
            <w:r>
              <w:rPr>
                <w:rFonts w:hint="eastAsia" w:cs="Times New Roman"/>
                <w:color w:val="auto"/>
                <w:highlight w:val="none"/>
                <w:lang w:val="en-US" w:eastAsia="zh-CN"/>
              </w:rPr>
              <w:t>t/a</w:t>
            </w:r>
          </w:p>
        </w:tc>
        <w:tc>
          <w:tcPr>
            <w:tcW w:w="610" w:type="pct"/>
            <w:tcBorders>
              <w:tl2br w:val="nil"/>
              <w:tr2bl w:val="nil"/>
            </w:tcBorders>
            <w:vAlign w:val="center"/>
          </w:tcPr>
          <w:p w14:paraId="369AE492">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eastAsia" w:ascii="Times New Roman" w:hAnsi="Times New Roman" w:eastAsia="宋体" w:cs="Times New Roman"/>
                <w:color w:val="auto"/>
                <w:kern w:val="2"/>
                <w:sz w:val="21"/>
                <w:highlight w:val="none"/>
                <w:lang w:val="en-US" w:eastAsia="zh-CN" w:bidi="ar-SA"/>
              </w:rPr>
            </w:pPr>
            <w:r>
              <w:rPr>
                <w:rFonts w:hint="eastAsia" w:cs="Times New Roman"/>
                <w:color w:val="auto"/>
                <w:sz w:val="21"/>
                <w:highlight w:val="none"/>
                <w:lang w:val="en-US" w:eastAsia="zh-CN"/>
              </w:rPr>
              <w:t>0.155</w:t>
            </w:r>
            <w:r>
              <w:rPr>
                <w:rFonts w:hint="eastAsia" w:cs="Times New Roman"/>
                <w:color w:val="auto"/>
                <w:highlight w:val="none"/>
                <w:lang w:val="en-US" w:eastAsia="zh-CN"/>
              </w:rPr>
              <w:t>t/a</w:t>
            </w:r>
          </w:p>
        </w:tc>
        <w:tc>
          <w:tcPr>
            <w:tcW w:w="1705" w:type="pct"/>
            <w:vMerge w:val="continue"/>
            <w:tcBorders>
              <w:tl2br w:val="nil"/>
              <w:tr2bl w:val="nil"/>
            </w:tcBorders>
            <w:vAlign w:val="center"/>
          </w:tcPr>
          <w:p w14:paraId="2454328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p>
        </w:tc>
      </w:tr>
      <w:tr w14:paraId="2DCE41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0" w:hRule="atLeast"/>
        </w:trPr>
        <w:tc>
          <w:tcPr>
            <w:tcW w:w="319" w:type="pct"/>
            <w:vMerge w:val="continue"/>
            <w:tcBorders>
              <w:tl2br w:val="nil"/>
              <w:tr2bl w:val="nil"/>
            </w:tcBorders>
            <w:vAlign w:val="center"/>
          </w:tcPr>
          <w:p w14:paraId="0D9CB32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p>
        </w:tc>
        <w:tc>
          <w:tcPr>
            <w:tcW w:w="942" w:type="pct"/>
            <w:vMerge w:val="continue"/>
            <w:tcBorders>
              <w:tl2br w:val="nil"/>
              <w:tr2bl w:val="nil"/>
            </w:tcBorders>
            <w:vAlign w:val="center"/>
          </w:tcPr>
          <w:p w14:paraId="55A0556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p>
        </w:tc>
        <w:tc>
          <w:tcPr>
            <w:tcW w:w="737" w:type="pct"/>
            <w:tcBorders>
              <w:tl2br w:val="nil"/>
              <w:tr2bl w:val="nil"/>
            </w:tcBorders>
            <w:vAlign w:val="center"/>
          </w:tcPr>
          <w:p w14:paraId="5D6853A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cs="Times New Roman"/>
                <w:color w:val="auto"/>
                <w:sz w:val="21"/>
                <w:highlight w:val="none"/>
              </w:rPr>
            </w:pPr>
            <w:r>
              <w:rPr>
                <w:rFonts w:hint="default" w:ascii="Times New Roman" w:hAnsi="Times New Roman" w:cs="Times New Roman"/>
                <w:color w:val="auto"/>
                <w:szCs w:val="21"/>
                <w:highlight w:val="none"/>
              </w:rPr>
              <w:t>烃类</w:t>
            </w:r>
          </w:p>
        </w:tc>
        <w:tc>
          <w:tcPr>
            <w:tcW w:w="683" w:type="pct"/>
            <w:tcBorders>
              <w:tl2br w:val="nil"/>
              <w:tr2bl w:val="nil"/>
            </w:tcBorders>
            <w:vAlign w:val="center"/>
          </w:tcPr>
          <w:p w14:paraId="395E2AE4">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0.0154</w:t>
            </w:r>
          </w:p>
          <w:p w14:paraId="46229E50">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eastAsia" w:cs="Times New Roman"/>
                <w:color w:val="auto"/>
                <w:sz w:val="21"/>
                <w:highlight w:val="none"/>
                <w:lang w:val="en-US" w:eastAsia="zh-CN"/>
              </w:rPr>
            </w:pPr>
            <w:r>
              <w:rPr>
                <w:rFonts w:hint="eastAsia" w:cs="Times New Roman"/>
                <w:color w:val="auto"/>
                <w:highlight w:val="none"/>
                <w:lang w:val="en-US" w:eastAsia="zh-CN"/>
              </w:rPr>
              <w:t>t</w:t>
            </w:r>
            <w:r>
              <w:rPr>
                <w:rFonts w:hint="default" w:ascii="Times New Roman" w:hAnsi="Times New Roman" w:cs="Times New Roman"/>
                <w:color w:val="auto"/>
                <w:szCs w:val="21"/>
                <w:highlight w:val="none"/>
              </w:rPr>
              <w:t>/a</w:t>
            </w:r>
          </w:p>
        </w:tc>
        <w:tc>
          <w:tcPr>
            <w:tcW w:w="610" w:type="pct"/>
            <w:tcBorders>
              <w:tl2br w:val="nil"/>
              <w:tr2bl w:val="nil"/>
            </w:tcBorders>
            <w:vAlign w:val="center"/>
          </w:tcPr>
          <w:p w14:paraId="6134E703">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0.0154</w:t>
            </w:r>
          </w:p>
          <w:p w14:paraId="784661E4">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eastAsia" w:cs="Times New Roman"/>
                <w:color w:val="auto"/>
                <w:sz w:val="21"/>
                <w:highlight w:val="none"/>
                <w:lang w:val="en-US" w:eastAsia="zh-CN"/>
              </w:rPr>
            </w:pPr>
            <w:r>
              <w:rPr>
                <w:rFonts w:hint="eastAsia" w:cs="Times New Roman"/>
                <w:color w:val="auto"/>
                <w:highlight w:val="none"/>
                <w:lang w:val="en-US" w:eastAsia="zh-CN"/>
              </w:rPr>
              <w:t>t</w:t>
            </w:r>
            <w:r>
              <w:rPr>
                <w:rFonts w:hint="default" w:ascii="Times New Roman" w:hAnsi="Times New Roman" w:cs="Times New Roman"/>
                <w:color w:val="auto"/>
                <w:szCs w:val="21"/>
                <w:highlight w:val="none"/>
              </w:rPr>
              <w:t>/a</w:t>
            </w:r>
          </w:p>
        </w:tc>
        <w:tc>
          <w:tcPr>
            <w:tcW w:w="1705" w:type="pct"/>
            <w:vMerge w:val="continue"/>
            <w:tcBorders>
              <w:tl2br w:val="nil"/>
              <w:tr2bl w:val="nil"/>
            </w:tcBorders>
            <w:vAlign w:val="center"/>
          </w:tcPr>
          <w:p w14:paraId="3A0D435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p>
        </w:tc>
      </w:tr>
      <w:tr w14:paraId="507807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0" w:hRule="atLeast"/>
        </w:trPr>
        <w:tc>
          <w:tcPr>
            <w:tcW w:w="319" w:type="pct"/>
            <w:vMerge w:val="continue"/>
            <w:tcBorders>
              <w:tl2br w:val="nil"/>
              <w:tr2bl w:val="nil"/>
            </w:tcBorders>
            <w:vAlign w:val="center"/>
          </w:tcPr>
          <w:p w14:paraId="1F55B45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p>
        </w:tc>
        <w:tc>
          <w:tcPr>
            <w:tcW w:w="942" w:type="pct"/>
            <w:vMerge w:val="restart"/>
            <w:tcBorders>
              <w:tl2br w:val="nil"/>
              <w:tr2bl w:val="nil"/>
            </w:tcBorders>
            <w:vAlign w:val="center"/>
          </w:tcPr>
          <w:p w14:paraId="57E81D8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无组织排放</w:t>
            </w:r>
          </w:p>
        </w:tc>
        <w:tc>
          <w:tcPr>
            <w:tcW w:w="737" w:type="pct"/>
            <w:tcBorders>
              <w:tl2br w:val="nil"/>
              <w:tr2bl w:val="nil"/>
            </w:tcBorders>
            <w:vAlign w:val="center"/>
          </w:tcPr>
          <w:p w14:paraId="6041FDA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烃类</w:t>
            </w:r>
          </w:p>
        </w:tc>
        <w:tc>
          <w:tcPr>
            <w:tcW w:w="683" w:type="pct"/>
            <w:tcBorders>
              <w:tl2br w:val="nil"/>
              <w:tr2bl w:val="nil"/>
            </w:tcBorders>
            <w:vAlign w:val="center"/>
          </w:tcPr>
          <w:p w14:paraId="66A6540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3.3767</w:t>
            </w:r>
          </w:p>
          <w:p w14:paraId="04F3E78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lang w:val="en-US" w:eastAsia="zh-CN"/>
              </w:rPr>
            </w:pPr>
            <w:r>
              <w:rPr>
                <w:rFonts w:hint="eastAsia" w:cs="Times New Roman"/>
                <w:color w:val="auto"/>
                <w:highlight w:val="none"/>
                <w:lang w:val="en-US" w:eastAsia="zh-CN"/>
              </w:rPr>
              <w:t>t</w:t>
            </w:r>
            <w:r>
              <w:rPr>
                <w:rFonts w:hint="default" w:ascii="Times New Roman" w:hAnsi="Times New Roman" w:cs="Times New Roman"/>
                <w:color w:val="auto"/>
                <w:szCs w:val="21"/>
                <w:highlight w:val="none"/>
              </w:rPr>
              <w:t>/a</w:t>
            </w:r>
          </w:p>
        </w:tc>
        <w:tc>
          <w:tcPr>
            <w:tcW w:w="610" w:type="pct"/>
            <w:tcBorders>
              <w:tl2br w:val="nil"/>
              <w:tr2bl w:val="nil"/>
            </w:tcBorders>
            <w:vAlign w:val="center"/>
          </w:tcPr>
          <w:p w14:paraId="07BF48E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3.3767</w:t>
            </w:r>
          </w:p>
          <w:p w14:paraId="4D695F5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rPr>
              <w:t>t/a</w:t>
            </w:r>
          </w:p>
        </w:tc>
        <w:tc>
          <w:tcPr>
            <w:tcW w:w="1705" w:type="pct"/>
            <w:vMerge w:val="restart"/>
            <w:tcBorders>
              <w:tl2br w:val="nil"/>
              <w:tr2bl w:val="nil"/>
            </w:tcBorders>
            <w:vAlign w:val="center"/>
          </w:tcPr>
          <w:p w14:paraId="463182D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大气</w:t>
            </w:r>
          </w:p>
        </w:tc>
      </w:tr>
      <w:bookmarkEnd w:id="904"/>
      <w:bookmarkEnd w:id="905"/>
      <w:tr w14:paraId="2C3AB5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0" w:hRule="atLeast"/>
        </w:trPr>
        <w:tc>
          <w:tcPr>
            <w:tcW w:w="319" w:type="pct"/>
            <w:vMerge w:val="continue"/>
            <w:tcBorders>
              <w:tl2br w:val="nil"/>
              <w:tr2bl w:val="nil"/>
            </w:tcBorders>
            <w:vAlign w:val="center"/>
          </w:tcPr>
          <w:p w14:paraId="153B4FF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p>
        </w:tc>
        <w:tc>
          <w:tcPr>
            <w:tcW w:w="942" w:type="pct"/>
            <w:vMerge w:val="continue"/>
            <w:tcBorders>
              <w:tl2br w:val="nil"/>
              <w:tr2bl w:val="nil"/>
            </w:tcBorders>
            <w:vAlign w:val="center"/>
          </w:tcPr>
          <w:p w14:paraId="3B7CD47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p>
        </w:tc>
        <w:tc>
          <w:tcPr>
            <w:tcW w:w="737" w:type="pct"/>
            <w:tcBorders>
              <w:tl2br w:val="nil"/>
              <w:tr2bl w:val="nil"/>
            </w:tcBorders>
            <w:vAlign w:val="center"/>
          </w:tcPr>
          <w:p w14:paraId="1749EAA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硫化氢</w:t>
            </w:r>
          </w:p>
        </w:tc>
        <w:tc>
          <w:tcPr>
            <w:tcW w:w="683" w:type="pct"/>
            <w:tcBorders>
              <w:tl2br w:val="nil"/>
              <w:tr2bl w:val="nil"/>
            </w:tcBorders>
            <w:vAlign w:val="center"/>
          </w:tcPr>
          <w:p w14:paraId="4284D308">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0.00993</w:t>
            </w:r>
          </w:p>
          <w:p w14:paraId="489E9D94">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eastAsia" w:ascii="Times New Roman" w:hAnsi="Times New Roman" w:eastAsia="宋体" w:cs="Times New Roman"/>
                <w:color w:val="auto"/>
                <w:kern w:val="2"/>
                <w:sz w:val="21"/>
                <w:highlight w:val="none"/>
                <w:lang w:val="en-US" w:eastAsia="zh-CN" w:bidi="ar-SA"/>
              </w:rPr>
            </w:pPr>
            <w:r>
              <w:rPr>
                <w:rFonts w:hint="eastAsia" w:cs="Times New Roman"/>
                <w:color w:val="auto"/>
                <w:highlight w:val="none"/>
                <w:lang w:val="en-US" w:eastAsia="zh-CN"/>
              </w:rPr>
              <w:t>t</w:t>
            </w:r>
            <w:r>
              <w:rPr>
                <w:rFonts w:hint="default" w:ascii="Times New Roman" w:hAnsi="Times New Roman" w:cs="Times New Roman"/>
                <w:color w:val="auto"/>
                <w:szCs w:val="21"/>
                <w:highlight w:val="none"/>
              </w:rPr>
              <w:t>/a</w:t>
            </w:r>
          </w:p>
        </w:tc>
        <w:tc>
          <w:tcPr>
            <w:tcW w:w="610" w:type="pct"/>
            <w:tcBorders>
              <w:tl2br w:val="nil"/>
              <w:tr2bl w:val="nil"/>
            </w:tcBorders>
            <w:vAlign w:val="center"/>
          </w:tcPr>
          <w:p w14:paraId="4EB38302">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0.00993</w:t>
            </w:r>
          </w:p>
          <w:p w14:paraId="1B774B6A">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eastAsia" w:ascii="Times New Roman" w:hAnsi="Times New Roman" w:eastAsia="宋体" w:cs="Times New Roman"/>
                <w:color w:val="auto"/>
                <w:kern w:val="2"/>
                <w:sz w:val="21"/>
                <w:highlight w:val="none"/>
                <w:lang w:val="en-US" w:eastAsia="zh-CN" w:bidi="ar-SA"/>
              </w:rPr>
            </w:pPr>
            <w:r>
              <w:rPr>
                <w:rFonts w:hint="eastAsia" w:cs="Times New Roman"/>
                <w:color w:val="auto"/>
                <w:highlight w:val="none"/>
                <w:lang w:val="en-US" w:eastAsia="zh-CN"/>
              </w:rPr>
              <w:t>t</w:t>
            </w:r>
            <w:r>
              <w:rPr>
                <w:rFonts w:hint="default" w:ascii="Times New Roman" w:hAnsi="Times New Roman" w:cs="Times New Roman"/>
                <w:color w:val="auto"/>
                <w:szCs w:val="21"/>
                <w:highlight w:val="none"/>
              </w:rPr>
              <w:t>/a</w:t>
            </w:r>
          </w:p>
        </w:tc>
        <w:tc>
          <w:tcPr>
            <w:tcW w:w="1705" w:type="pct"/>
            <w:vMerge w:val="continue"/>
            <w:tcBorders>
              <w:tl2br w:val="nil"/>
              <w:tr2bl w:val="nil"/>
            </w:tcBorders>
            <w:vAlign w:val="center"/>
          </w:tcPr>
          <w:p w14:paraId="42A28EA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p>
        </w:tc>
      </w:tr>
      <w:tr w14:paraId="3E7E8D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3" w:hRule="atLeast"/>
        </w:trPr>
        <w:tc>
          <w:tcPr>
            <w:tcW w:w="319" w:type="pct"/>
            <w:tcBorders>
              <w:tl2br w:val="nil"/>
              <w:tr2bl w:val="nil"/>
            </w:tcBorders>
            <w:vAlign w:val="center"/>
          </w:tcPr>
          <w:p w14:paraId="347499D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噪声</w:t>
            </w:r>
          </w:p>
        </w:tc>
        <w:tc>
          <w:tcPr>
            <w:tcW w:w="942" w:type="pct"/>
            <w:tcBorders>
              <w:tl2br w:val="nil"/>
              <w:tr2bl w:val="nil"/>
            </w:tcBorders>
            <w:vAlign w:val="center"/>
          </w:tcPr>
          <w:p w14:paraId="7AE01FB2">
            <w:pPr>
              <w:keepNext w:val="0"/>
              <w:keepLines w:val="0"/>
              <w:pageBreakBefore w:val="0"/>
              <w:widowControl w:val="0"/>
              <w:tabs>
                <w:tab w:val="center" w:pos="4153"/>
                <w:tab w:val="right" w:pos="8306"/>
              </w:tabs>
              <w:kinsoku/>
              <w:wordWrap/>
              <w:overflowPunct/>
              <w:topLinePunct w:val="0"/>
              <w:autoSpaceDE/>
              <w:autoSpaceDN/>
              <w:bidi w:val="0"/>
              <w:adjustRightInd/>
              <w:snapToGrid/>
              <w:spacing w:line="240" w:lineRule="auto"/>
              <w:ind w:left="-63" w:leftChars="-30" w:right="-63" w:rightChars="-30"/>
              <w:jc w:val="center"/>
              <w:textAlignment w:val="auto"/>
              <w:rPr>
                <w:rFonts w:hint="default" w:ascii="Times New Roman" w:hAnsi="Times New Roman" w:eastAsia="宋体" w:cs="Times New Roman"/>
                <w:color w:val="auto"/>
                <w:kern w:val="2"/>
                <w:sz w:val="21"/>
                <w:szCs w:val="21"/>
                <w:lang w:val="en-US" w:eastAsia="zh-CN" w:bidi="ar-SA"/>
              </w:rPr>
            </w:pPr>
            <w:r>
              <w:rPr>
                <w:color w:val="auto"/>
                <w:szCs w:val="21"/>
              </w:rPr>
              <w:t>各类设备、泵类</w:t>
            </w:r>
          </w:p>
        </w:tc>
        <w:tc>
          <w:tcPr>
            <w:tcW w:w="737" w:type="pct"/>
            <w:tcBorders>
              <w:tl2br w:val="nil"/>
              <w:tr2bl w:val="nil"/>
            </w:tcBorders>
            <w:vAlign w:val="center"/>
          </w:tcPr>
          <w:p w14:paraId="64E96C82">
            <w:pPr>
              <w:keepNext w:val="0"/>
              <w:keepLines w:val="0"/>
              <w:pageBreakBefore w:val="0"/>
              <w:widowControl w:val="0"/>
              <w:tabs>
                <w:tab w:val="center" w:pos="4153"/>
                <w:tab w:val="right" w:pos="8306"/>
              </w:tabs>
              <w:kinsoku/>
              <w:wordWrap/>
              <w:overflowPunct/>
              <w:topLinePunct w:val="0"/>
              <w:autoSpaceDE/>
              <w:autoSpaceDN/>
              <w:bidi w:val="0"/>
              <w:adjustRightInd/>
              <w:snapToGrid/>
              <w:spacing w:line="240" w:lineRule="auto"/>
              <w:ind w:left="-63" w:leftChars="-30" w:right="-63" w:rightChars="-30"/>
              <w:jc w:val="center"/>
              <w:textAlignment w:val="auto"/>
              <w:rPr>
                <w:rFonts w:hint="default" w:ascii="Times New Roman" w:hAnsi="Times New Roman" w:eastAsia="宋体" w:cs="Times New Roman"/>
                <w:color w:val="auto"/>
                <w:kern w:val="2"/>
                <w:sz w:val="21"/>
                <w:szCs w:val="21"/>
                <w:lang w:val="en-US" w:eastAsia="zh-CN" w:bidi="ar-SA"/>
              </w:rPr>
            </w:pPr>
            <w:r>
              <w:rPr>
                <w:color w:val="auto"/>
                <w:szCs w:val="21"/>
              </w:rPr>
              <w:t>噪声</w:t>
            </w:r>
          </w:p>
        </w:tc>
        <w:tc>
          <w:tcPr>
            <w:tcW w:w="683" w:type="pct"/>
            <w:tcBorders>
              <w:tl2br w:val="nil"/>
              <w:tr2bl w:val="nil"/>
            </w:tcBorders>
            <w:vAlign w:val="center"/>
          </w:tcPr>
          <w:p w14:paraId="3D7E8C2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60～</w:t>
            </w:r>
            <w:r>
              <w:rPr>
                <w:rFonts w:hint="eastAsia" w:ascii="Times New Roman" w:hAnsi="Times New Roman" w:eastAsia="宋体" w:cs="Times New Roman"/>
                <w:color w:val="auto"/>
                <w:highlight w:val="none"/>
                <w:lang w:val="en-US" w:eastAsia="zh-CN"/>
              </w:rPr>
              <w:t>105</w:t>
            </w:r>
            <w:r>
              <w:rPr>
                <w:rFonts w:hint="default" w:ascii="Times New Roman" w:hAnsi="Times New Roman" w:eastAsia="宋体" w:cs="Times New Roman"/>
                <w:color w:val="auto"/>
                <w:highlight w:val="none"/>
                <w:lang w:val="en-US" w:eastAsia="zh-CN"/>
              </w:rPr>
              <w:t>dB(A)</w:t>
            </w:r>
          </w:p>
        </w:tc>
        <w:tc>
          <w:tcPr>
            <w:tcW w:w="610" w:type="pct"/>
            <w:tcBorders>
              <w:tl2br w:val="nil"/>
              <w:tr2bl w:val="nil"/>
            </w:tcBorders>
            <w:vAlign w:val="center"/>
          </w:tcPr>
          <w:p w14:paraId="092FB65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厂界</w:t>
            </w:r>
          </w:p>
          <w:p w14:paraId="5FD2E55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达标</w:t>
            </w:r>
          </w:p>
        </w:tc>
        <w:tc>
          <w:tcPr>
            <w:tcW w:w="1705" w:type="pct"/>
            <w:tcBorders>
              <w:tl2br w:val="nil"/>
              <w:tr2bl w:val="nil"/>
            </w:tcBorders>
            <w:vAlign w:val="center"/>
          </w:tcPr>
          <w:p w14:paraId="249B0D6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r>
              <w:rPr>
                <w:rFonts w:hint="eastAsia" w:ascii="Times New Roman" w:hAnsi="Times New Roman" w:eastAsia="宋体" w:cs="Times New Roman"/>
                <w:color w:val="auto"/>
                <w:sz w:val="21"/>
                <w:szCs w:val="18"/>
              </w:rPr>
              <w:t>选用低噪声设备，采取减振、隔声、消声等降噪措施</w:t>
            </w:r>
          </w:p>
        </w:tc>
      </w:tr>
      <w:tr w14:paraId="73C72B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19" w:type="pct"/>
            <w:vMerge w:val="restart"/>
            <w:tcBorders>
              <w:tl2br w:val="nil"/>
              <w:tr2bl w:val="nil"/>
            </w:tcBorders>
            <w:vAlign w:val="center"/>
          </w:tcPr>
          <w:p w14:paraId="2306D8F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固体废物</w:t>
            </w:r>
          </w:p>
        </w:tc>
        <w:tc>
          <w:tcPr>
            <w:tcW w:w="942" w:type="pct"/>
            <w:tcBorders>
              <w:tl2br w:val="nil"/>
              <w:tr2bl w:val="nil"/>
            </w:tcBorders>
            <w:vAlign w:val="center"/>
          </w:tcPr>
          <w:p w14:paraId="3E16B05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废脱硫剂</w:t>
            </w:r>
          </w:p>
        </w:tc>
        <w:tc>
          <w:tcPr>
            <w:tcW w:w="737" w:type="pct"/>
            <w:tcBorders>
              <w:tl2br w:val="nil"/>
              <w:tr2bl w:val="nil"/>
            </w:tcBorders>
            <w:vAlign w:val="center"/>
          </w:tcPr>
          <w:p w14:paraId="7D50B2D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w:t>
            </w:r>
          </w:p>
        </w:tc>
        <w:tc>
          <w:tcPr>
            <w:tcW w:w="683" w:type="pct"/>
            <w:tcBorders>
              <w:tl2br w:val="nil"/>
              <w:tr2bl w:val="nil"/>
            </w:tcBorders>
            <w:vAlign w:val="center"/>
          </w:tcPr>
          <w:p w14:paraId="7786288A">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cs="Times New Roman"/>
                <w:bCs/>
                <w:color w:val="auto"/>
                <w:kern w:val="2"/>
                <w:sz w:val="21"/>
                <w:szCs w:val="21"/>
                <w:highlight w:val="none"/>
                <w:lang w:val="en-US" w:eastAsia="zh-CN" w:bidi="ar-SA"/>
              </w:rPr>
              <w:t>871.2m</w:t>
            </w:r>
            <w:r>
              <w:rPr>
                <w:rFonts w:hint="eastAsia" w:cs="Times New Roman"/>
                <w:bCs/>
                <w:color w:val="auto"/>
                <w:kern w:val="2"/>
                <w:sz w:val="21"/>
                <w:szCs w:val="21"/>
                <w:highlight w:val="none"/>
                <w:vertAlign w:val="superscript"/>
                <w:lang w:val="en-US" w:eastAsia="zh-CN" w:bidi="ar-SA"/>
              </w:rPr>
              <w:t>3</w:t>
            </w:r>
            <w:r>
              <w:rPr>
                <w:rFonts w:hint="eastAsia" w:cs="Times New Roman"/>
                <w:bCs/>
                <w:color w:val="auto"/>
                <w:kern w:val="2"/>
                <w:sz w:val="21"/>
                <w:szCs w:val="21"/>
                <w:highlight w:val="none"/>
                <w:lang w:val="en-US" w:eastAsia="zh-CN" w:bidi="ar-SA"/>
              </w:rPr>
              <w:t>/a</w:t>
            </w:r>
          </w:p>
        </w:tc>
        <w:tc>
          <w:tcPr>
            <w:tcW w:w="610" w:type="pct"/>
            <w:tcBorders>
              <w:tl2br w:val="nil"/>
              <w:tr2bl w:val="nil"/>
            </w:tcBorders>
            <w:vAlign w:val="center"/>
          </w:tcPr>
          <w:p w14:paraId="54B6E251">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0</w:t>
            </w:r>
          </w:p>
        </w:tc>
        <w:tc>
          <w:tcPr>
            <w:tcW w:w="1705" w:type="pct"/>
            <w:vMerge w:val="restart"/>
            <w:tcBorders>
              <w:tl2br w:val="nil"/>
              <w:tr2bl w:val="nil"/>
            </w:tcBorders>
            <w:vAlign w:val="center"/>
          </w:tcPr>
          <w:p w14:paraId="104035C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由生产厂家进行更换，更换后由其拉走处置</w:t>
            </w:r>
          </w:p>
        </w:tc>
      </w:tr>
      <w:tr w14:paraId="506121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19" w:type="pct"/>
            <w:vMerge w:val="continue"/>
            <w:tcBorders>
              <w:tl2br w:val="nil"/>
              <w:tr2bl w:val="nil"/>
            </w:tcBorders>
            <w:vAlign w:val="center"/>
          </w:tcPr>
          <w:p w14:paraId="200821E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p>
        </w:tc>
        <w:tc>
          <w:tcPr>
            <w:tcW w:w="942" w:type="pct"/>
            <w:tcBorders>
              <w:tl2br w:val="nil"/>
              <w:tr2bl w:val="nil"/>
            </w:tcBorders>
            <w:vAlign w:val="center"/>
          </w:tcPr>
          <w:p w14:paraId="496F126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废分子筛</w:t>
            </w:r>
          </w:p>
        </w:tc>
        <w:tc>
          <w:tcPr>
            <w:tcW w:w="737" w:type="pct"/>
            <w:tcBorders>
              <w:tl2br w:val="nil"/>
              <w:tr2bl w:val="nil"/>
            </w:tcBorders>
            <w:vAlign w:val="center"/>
          </w:tcPr>
          <w:p w14:paraId="03F6DEE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w:t>
            </w:r>
          </w:p>
        </w:tc>
        <w:tc>
          <w:tcPr>
            <w:tcW w:w="683" w:type="pct"/>
            <w:tcBorders>
              <w:tl2br w:val="nil"/>
              <w:tr2bl w:val="nil"/>
            </w:tcBorders>
            <w:vAlign w:val="center"/>
          </w:tcPr>
          <w:p w14:paraId="65519574">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s="Times New Roman"/>
                <w:bCs/>
                <w:color w:val="auto"/>
                <w:kern w:val="2"/>
                <w:sz w:val="21"/>
                <w:szCs w:val="21"/>
                <w:highlight w:val="none"/>
                <w:lang w:val="en-US" w:eastAsia="zh-CN" w:bidi="ar-SA"/>
              </w:rPr>
              <w:t>45m</w:t>
            </w:r>
            <w:r>
              <w:rPr>
                <w:rFonts w:hint="eastAsia" w:cs="Times New Roman"/>
                <w:bCs/>
                <w:color w:val="auto"/>
                <w:kern w:val="2"/>
                <w:sz w:val="21"/>
                <w:szCs w:val="21"/>
                <w:highlight w:val="none"/>
                <w:vertAlign w:val="superscript"/>
                <w:lang w:val="en-US" w:eastAsia="zh-CN" w:bidi="ar-SA"/>
              </w:rPr>
              <w:t>3</w:t>
            </w:r>
            <w:r>
              <w:rPr>
                <w:rFonts w:hint="eastAsia" w:cs="Times New Roman"/>
                <w:bCs/>
                <w:color w:val="auto"/>
                <w:kern w:val="2"/>
                <w:sz w:val="21"/>
                <w:szCs w:val="21"/>
                <w:highlight w:val="none"/>
                <w:lang w:val="en-US" w:eastAsia="zh-CN" w:bidi="ar-SA"/>
              </w:rPr>
              <w:t>/a</w:t>
            </w:r>
          </w:p>
        </w:tc>
        <w:tc>
          <w:tcPr>
            <w:tcW w:w="610" w:type="pct"/>
            <w:tcBorders>
              <w:tl2br w:val="nil"/>
              <w:tr2bl w:val="nil"/>
            </w:tcBorders>
            <w:vAlign w:val="center"/>
          </w:tcPr>
          <w:p w14:paraId="38A66F11">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0</w:t>
            </w:r>
          </w:p>
        </w:tc>
        <w:tc>
          <w:tcPr>
            <w:tcW w:w="1705" w:type="pct"/>
            <w:vMerge w:val="continue"/>
            <w:tcBorders>
              <w:tl2br w:val="nil"/>
              <w:tr2bl w:val="nil"/>
            </w:tcBorders>
            <w:vAlign w:val="center"/>
          </w:tcPr>
          <w:p w14:paraId="0B272B3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default" w:ascii="Times New Roman" w:hAnsi="Times New Roman" w:cs="Times New Roman"/>
                <w:color w:val="auto"/>
                <w:szCs w:val="21"/>
                <w:highlight w:val="none"/>
              </w:rPr>
            </w:pPr>
          </w:p>
        </w:tc>
      </w:tr>
      <w:tr w14:paraId="392769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19" w:type="pct"/>
            <w:vMerge w:val="continue"/>
            <w:tcBorders>
              <w:tl2br w:val="nil"/>
              <w:tr2bl w:val="nil"/>
            </w:tcBorders>
            <w:vAlign w:val="center"/>
          </w:tcPr>
          <w:p w14:paraId="78E4FC1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p>
        </w:tc>
        <w:tc>
          <w:tcPr>
            <w:tcW w:w="942" w:type="pct"/>
            <w:tcBorders>
              <w:tl2br w:val="nil"/>
              <w:tr2bl w:val="nil"/>
            </w:tcBorders>
            <w:vAlign w:val="center"/>
          </w:tcPr>
          <w:p w14:paraId="4E5A2EF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清管废渣</w:t>
            </w:r>
          </w:p>
        </w:tc>
        <w:tc>
          <w:tcPr>
            <w:tcW w:w="737" w:type="pct"/>
            <w:tcBorders>
              <w:tl2br w:val="nil"/>
              <w:tr2bl w:val="nil"/>
            </w:tcBorders>
            <w:vAlign w:val="center"/>
          </w:tcPr>
          <w:p w14:paraId="6EA50D2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油类物质、铁锈</w:t>
            </w:r>
          </w:p>
        </w:tc>
        <w:tc>
          <w:tcPr>
            <w:tcW w:w="683" w:type="pct"/>
            <w:tcBorders>
              <w:tl2br w:val="nil"/>
              <w:tr2bl w:val="nil"/>
            </w:tcBorders>
            <w:vAlign w:val="center"/>
          </w:tcPr>
          <w:p w14:paraId="6CBE860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s="Times New Roman"/>
                <w:color w:val="auto"/>
                <w:szCs w:val="24"/>
                <w:highlight w:val="none"/>
                <w:lang w:val="en-US" w:eastAsia="zh-CN"/>
              </w:rPr>
            </w:pPr>
            <w:r>
              <w:rPr>
                <w:rFonts w:hint="eastAsia" w:cs="Times New Roman"/>
                <w:color w:val="auto"/>
                <w:szCs w:val="24"/>
                <w:highlight w:val="none"/>
                <w:lang w:val="en-US" w:eastAsia="zh-CN"/>
              </w:rPr>
              <w:t>0.014</w:t>
            </w:r>
          </w:p>
          <w:p w14:paraId="1410E8E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4"/>
                <w:highlight w:val="none"/>
                <w:lang w:val="en-US" w:eastAsia="zh-CN"/>
              </w:rPr>
              <w:t>t/a</w:t>
            </w:r>
          </w:p>
        </w:tc>
        <w:tc>
          <w:tcPr>
            <w:tcW w:w="610" w:type="pct"/>
            <w:tcBorders>
              <w:tl2br w:val="nil"/>
              <w:tr2bl w:val="nil"/>
            </w:tcBorders>
            <w:vAlign w:val="center"/>
          </w:tcPr>
          <w:p w14:paraId="7B2C2F9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w:t>
            </w:r>
          </w:p>
        </w:tc>
        <w:tc>
          <w:tcPr>
            <w:tcW w:w="1705" w:type="pct"/>
            <w:vMerge w:val="restart"/>
            <w:tcBorders>
              <w:tl2br w:val="nil"/>
              <w:tr2bl w:val="nil"/>
            </w:tcBorders>
            <w:vAlign w:val="center"/>
          </w:tcPr>
          <w:p w14:paraId="7764A05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default" w:ascii="Times New Roman" w:hAnsi="Times New Roman" w:cs="Times New Roman"/>
                <w:color w:val="auto"/>
                <w:szCs w:val="21"/>
                <w:highlight w:val="none"/>
              </w:rPr>
            </w:pPr>
            <w:r>
              <w:rPr>
                <w:rFonts w:hint="eastAsia" w:ascii="Times New Roman" w:hAnsi="Times New Roman" w:eastAsia="宋体" w:cs="Times New Roman"/>
                <w:bCs/>
                <w:color w:val="auto"/>
                <w:kern w:val="2"/>
                <w:sz w:val="21"/>
                <w:szCs w:val="21"/>
                <w:highlight w:val="none"/>
                <w:lang w:val="en-US" w:eastAsia="zh-CN" w:bidi="ar-SA"/>
              </w:rPr>
              <w:t>委托有危废处置资质单位进行处置</w:t>
            </w:r>
          </w:p>
        </w:tc>
      </w:tr>
      <w:tr w14:paraId="1540A7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19" w:type="pct"/>
            <w:vMerge w:val="continue"/>
            <w:tcBorders>
              <w:tl2br w:val="nil"/>
              <w:tr2bl w:val="nil"/>
            </w:tcBorders>
            <w:vAlign w:val="center"/>
          </w:tcPr>
          <w:p w14:paraId="7F92557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p>
        </w:tc>
        <w:tc>
          <w:tcPr>
            <w:tcW w:w="942" w:type="pct"/>
            <w:tcBorders>
              <w:tl2br w:val="nil"/>
              <w:tr2bl w:val="nil"/>
            </w:tcBorders>
            <w:vAlign w:val="center"/>
          </w:tcPr>
          <w:p w14:paraId="2019629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r>
              <w:rPr>
                <w:rFonts w:hint="eastAsia" w:ascii="Times New Roman" w:hAnsi="Times New Roman" w:eastAsia="宋体" w:cs="Times New Roman"/>
                <w:bCs/>
                <w:color w:val="auto"/>
                <w:szCs w:val="21"/>
                <w:highlight w:val="none"/>
              </w:rPr>
              <w:t>油泥砂</w:t>
            </w:r>
          </w:p>
        </w:tc>
        <w:tc>
          <w:tcPr>
            <w:tcW w:w="737" w:type="pct"/>
            <w:tcBorders>
              <w:tl2br w:val="nil"/>
              <w:tr2bl w:val="nil"/>
            </w:tcBorders>
            <w:vAlign w:val="center"/>
          </w:tcPr>
          <w:p w14:paraId="5B62345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油类物质、泥砂</w:t>
            </w:r>
          </w:p>
        </w:tc>
        <w:tc>
          <w:tcPr>
            <w:tcW w:w="683" w:type="pct"/>
            <w:tcBorders>
              <w:tl2br w:val="nil"/>
              <w:tr2bl w:val="nil"/>
            </w:tcBorders>
            <w:vAlign w:val="center"/>
          </w:tcPr>
          <w:p w14:paraId="3210F0A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bCs/>
                <w:color w:val="auto"/>
                <w:szCs w:val="21"/>
                <w:highlight w:val="none"/>
                <w:lang w:val="en-US" w:eastAsia="zh-CN"/>
              </w:rPr>
            </w:pPr>
            <w:r>
              <w:rPr>
                <w:rFonts w:hint="eastAsia"/>
                <w:bCs/>
                <w:color w:val="auto"/>
                <w:szCs w:val="21"/>
                <w:highlight w:val="none"/>
                <w:lang w:val="en-US" w:eastAsia="zh-CN"/>
              </w:rPr>
              <w:t>19.95</w:t>
            </w:r>
          </w:p>
          <w:p w14:paraId="3E1E8E2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bCs/>
                <w:color w:val="auto"/>
                <w:szCs w:val="21"/>
                <w:highlight w:val="none"/>
                <w:lang w:val="en-US" w:eastAsia="zh-CN"/>
              </w:rPr>
              <w:t>t/a</w:t>
            </w:r>
          </w:p>
        </w:tc>
        <w:tc>
          <w:tcPr>
            <w:tcW w:w="610" w:type="pct"/>
            <w:tcBorders>
              <w:tl2br w:val="nil"/>
              <w:tr2bl w:val="nil"/>
            </w:tcBorders>
            <w:vAlign w:val="center"/>
          </w:tcPr>
          <w:p w14:paraId="0911683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w:t>
            </w:r>
          </w:p>
        </w:tc>
        <w:tc>
          <w:tcPr>
            <w:tcW w:w="1705" w:type="pct"/>
            <w:vMerge w:val="continue"/>
            <w:tcBorders>
              <w:tl2br w:val="nil"/>
              <w:tr2bl w:val="nil"/>
            </w:tcBorders>
            <w:vAlign w:val="center"/>
          </w:tcPr>
          <w:p w14:paraId="7ACDB45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default" w:ascii="Times New Roman" w:hAnsi="Times New Roman" w:cs="Times New Roman"/>
                <w:color w:val="auto"/>
                <w:szCs w:val="21"/>
                <w:highlight w:val="none"/>
              </w:rPr>
            </w:pPr>
          </w:p>
        </w:tc>
      </w:tr>
      <w:tr w14:paraId="499B58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19" w:type="pct"/>
            <w:vMerge w:val="continue"/>
            <w:tcBorders>
              <w:tl2br w:val="nil"/>
              <w:tr2bl w:val="nil"/>
            </w:tcBorders>
            <w:vAlign w:val="center"/>
          </w:tcPr>
          <w:p w14:paraId="653FAA2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p>
        </w:tc>
        <w:tc>
          <w:tcPr>
            <w:tcW w:w="942" w:type="pct"/>
            <w:tcBorders>
              <w:tl2br w:val="nil"/>
              <w:tr2bl w:val="nil"/>
            </w:tcBorders>
            <w:vAlign w:val="center"/>
          </w:tcPr>
          <w:p w14:paraId="211D078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r>
              <w:rPr>
                <w:rFonts w:hint="eastAsia" w:ascii="Times New Roman" w:hAnsi="Times New Roman" w:eastAsia="宋体" w:cs="Times New Roman"/>
                <w:bCs/>
                <w:color w:val="auto"/>
                <w:szCs w:val="21"/>
                <w:highlight w:val="none"/>
              </w:rPr>
              <w:t>落地油</w:t>
            </w:r>
          </w:p>
        </w:tc>
        <w:tc>
          <w:tcPr>
            <w:tcW w:w="737" w:type="pct"/>
            <w:tcBorders>
              <w:tl2br w:val="nil"/>
              <w:tr2bl w:val="nil"/>
            </w:tcBorders>
            <w:vAlign w:val="center"/>
          </w:tcPr>
          <w:p w14:paraId="01FF188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石油类</w:t>
            </w:r>
          </w:p>
        </w:tc>
        <w:tc>
          <w:tcPr>
            <w:tcW w:w="683" w:type="pct"/>
            <w:tcBorders>
              <w:tl2br w:val="nil"/>
              <w:tr2bl w:val="nil"/>
            </w:tcBorders>
            <w:vAlign w:val="center"/>
          </w:tcPr>
          <w:p w14:paraId="5410ADD1">
            <w:pPr>
              <w:keepNext w:val="0"/>
              <w:keepLines w:val="0"/>
              <w:pageBreakBefore w:val="0"/>
              <w:widowControl w:val="0"/>
              <w:tabs>
                <w:tab w:val="left" w:pos="377"/>
              </w:tabs>
              <w:kinsoku/>
              <w:wordWrap/>
              <w:overflowPunct/>
              <w:topLinePunct w:val="0"/>
              <w:autoSpaceDE/>
              <w:autoSpaceDN/>
              <w:bidi w:val="0"/>
              <w:adjustRightInd/>
              <w:snapToGrid/>
              <w:spacing w:line="240" w:lineRule="auto"/>
              <w:jc w:val="center"/>
              <w:textAlignment w:val="auto"/>
              <w:rPr>
                <w:rFonts w:hint="eastAsia" w:eastAsia="宋体"/>
                <w:bCs/>
                <w:color w:val="auto"/>
                <w:szCs w:val="21"/>
                <w:highlight w:val="none"/>
                <w:lang w:val="en-US" w:eastAsia="zh-CN"/>
              </w:rPr>
            </w:pPr>
            <w:r>
              <w:rPr>
                <w:rFonts w:hint="eastAsia"/>
                <w:bCs/>
                <w:color w:val="auto"/>
                <w:szCs w:val="21"/>
                <w:highlight w:val="none"/>
                <w:lang w:val="en-US" w:eastAsia="zh-CN"/>
              </w:rPr>
              <w:t>0.6</w:t>
            </w:r>
          </w:p>
          <w:p w14:paraId="6CC79D7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bCs/>
                <w:color w:val="auto"/>
                <w:szCs w:val="21"/>
                <w:highlight w:val="none"/>
                <w:lang w:val="en-US" w:eastAsia="zh-CN"/>
              </w:rPr>
              <w:t>t/a</w:t>
            </w:r>
          </w:p>
        </w:tc>
        <w:tc>
          <w:tcPr>
            <w:tcW w:w="610" w:type="pct"/>
            <w:tcBorders>
              <w:tl2br w:val="nil"/>
              <w:tr2bl w:val="nil"/>
            </w:tcBorders>
            <w:vAlign w:val="center"/>
          </w:tcPr>
          <w:p w14:paraId="67BFA74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w:t>
            </w:r>
          </w:p>
        </w:tc>
        <w:tc>
          <w:tcPr>
            <w:tcW w:w="1705" w:type="pct"/>
            <w:vMerge w:val="continue"/>
            <w:tcBorders>
              <w:tl2br w:val="nil"/>
              <w:tr2bl w:val="nil"/>
            </w:tcBorders>
            <w:vAlign w:val="center"/>
          </w:tcPr>
          <w:p w14:paraId="577674F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default" w:ascii="Times New Roman" w:hAnsi="Times New Roman" w:cs="Times New Roman"/>
                <w:color w:val="auto"/>
                <w:szCs w:val="21"/>
                <w:highlight w:val="none"/>
              </w:rPr>
            </w:pPr>
          </w:p>
        </w:tc>
      </w:tr>
      <w:tr w14:paraId="43660D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19" w:type="pct"/>
            <w:vMerge w:val="continue"/>
            <w:tcBorders>
              <w:tl2br w:val="nil"/>
              <w:tr2bl w:val="nil"/>
            </w:tcBorders>
            <w:vAlign w:val="center"/>
          </w:tcPr>
          <w:p w14:paraId="0DF641F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p>
        </w:tc>
        <w:tc>
          <w:tcPr>
            <w:tcW w:w="942" w:type="pct"/>
            <w:tcBorders>
              <w:tl2br w:val="nil"/>
              <w:tr2bl w:val="nil"/>
            </w:tcBorders>
            <w:vAlign w:val="center"/>
          </w:tcPr>
          <w:p w14:paraId="05B43DE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r>
              <w:rPr>
                <w:rFonts w:hint="eastAsia"/>
                <w:bCs/>
                <w:color w:val="auto"/>
                <w:szCs w:val="21"/>
                <w:highlight w:val="none"/>
              </w:rPr>
              <w:t>废防渗膜</w:t>
            </w:r>
          </w:p>
        </w:tc>
        <w:tc>
          <w:tcPr>
            <w:tcW w:w="737" w:type="pct"/>
            <w:tcBorders>
              <w:tl2br w:val="nil"/>
              <w:tr2bl w:val="nil"/>
            </w:tcBorders>
            <w:vAlign w:val="center"/>
          </w:tcPr>
          <w:p w14:paraId="41A3215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石油类</w:t>
            </w:r>
          </w:p>
        </w:tc>
        <w:tc>
          <w:tcPr>
            <w:tcW w:w="683" w:type="pct"/>
            <w:tcBorders>
              <w:tl2br w:val="nil"/>
              <w:tr2bl w:val="nil"/>
            </w:tcBorders>
            <w:vAlign w:val="center"/>
          </w:tcPr>
          <w:p w14:paraId="065CB41E">
            <w:pPr>
              <w:keepNext w:val="0"/>
              <w:keepLines w:val="0"/>
              <w:pageBreakBefore w:val="0"/>
              <w:widowControl w:val="0"/>
              <w:tabs>
                <w:tab w:val="left" w:pos="377"/>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1.5</w:t>
            </w:r>
          </w:p>
          <w:p w14:paraId="2D41A5E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s="Times New Roman"/>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t/a</w:t>
            </w:r>
          </w:p>
        </w:tc>
        <w:tc>
          <w:tcPr>
            <w:tcW w:w="610" w:type="pct"/>
            <w:tcBorders>
              <w:tl2br w:val="nil"/>
              <w:tr2bl w:val="nil"/>
            </w:tcBorders>
            <w:vAlign w:val="center"/>
          </w:tcPr>
          <w:p w14:paraId="064D32F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0</w:t>
            </w:r>
          </w:p>
        </w:tc>
        <w:tc>
          <w:tcPr>
            <w:tcW w:w="1705" w:type="pct"/>
            <w:vMerge w:val="continue"/>
            <w:tcBorders>
              <w:tl2br w:val="nil"/>
              <w:tr2bl w:val="nil"/>
            </w:tcBorders>
            <w:vAlign w:val="center"/>
          </w:tcPr>
          <w:p w14:paraId="6484741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default" w:ascii="Times New Roman" w:hAnsi="Times New Roman" w:cs="Times New Roman"/>
                <w:color w:val="auto"/>
                <w:szCs w:val="21"/>
                <w:highlight w:val="none"/>
              </w:rPr>
            </w:pPr>
          </w:p>
        </w:tc>
      </w:tr>
      <w:tr w14:paraId="7C7955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19" w:type="pct"/>
            <w:vMerge w:val="continue"/>
            <w:tcBorders>
              <w:tl2br w:val="nil"/>
              <w:tr2bl w:val="nil"/>
            </w:tcBorders>
            <w:vAlign w:val="center"/>
          </w:tcPr>
          <w:p w14:paraId="5F40CEF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p>
        </w:tc>
        <w:tc>
          <w:tcPr>
            <w:tcW w:w="942" w:type="pct"/>
            <w:tcBorders>
              <w:tl2br w:val="nil"/>
              <w:tr2bl w:val="nil"/>
            </w:tcBorders>
            <w:vAlign w:val="center"/>
          </w:tcPr>
          <w:p w14:paraId="0E3368D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r>
              <w:rPr>
                <w:bCs/>
                <w:color w:val="auto"/>
                <w:szCs w:val="21"/>
                <w:highlight w:val="none"/>
              </w:rPr>
              <w:t>废润滑油</w:t>
            </w:r>
          </w:p>
        </w:tc>
        <w:tc>
          <w:tcPr>
            <w:tcW w:w="737" w:type="pct"/>
            <w:tcBorders>
              <w:tl2br w:val="nil"/>
              <w:tr2bl w:val="nil"/>
            </w:tcBorders>
            <w:vAlign w:val="center"/>
          </w:tcPr>
          <w:p w14:paraId="366BBA6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石油类</w:t>
            </w:r>
          </w:p>
        </w:tc>
        <w:tc>
          <w:tcPr>
            <w:tcW w:w="683" w:type="pct"/>
            <w:tcBorders>
              <w:tl2br w:val="nil"/>
              <w:tr2bl w:val="nil"/>
            </w:tcBorders>
            <w:vAlign w:val="center"/>
          </w:tcPr>
          <w:p w14:paraId="2686C60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s="Times New Roman"/>
                <w:bCs/>
                <w:color w:val="auto"/>
                <w:szCs w:val="21"/>
                <w:highlight w:val="none"/>
                <w:lang w:val="en-US" w:eastAsia="zh-CN"/>
              </w:rPr>
            </w:pPr>
            <w:r>
              <w:rPr>
                <w:rFonts w:hint="eastAsia" w:cs="Times New Roman"/>
                <w:bCs/>
                <w:color w:val="auto"/>
                <w:szCs w:val="21"/>
                <w:highlight w:val="none"/>
                <w:lang w:val="en-US" w:eastAsia="zh-CN"/>
              </w:rPr>
              <w:t>5.3</w:t>
            </w:r>
          </w:p>
          <w:p w14:paraId="3143B0E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s="Times New Roman"/>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t/a</w:t>
            </w:r>
          </w:p>
        </w:tc>
        <w:tc>
          <w:tcPr>
            <w:tcW w:w="610" w:type="pct"/>
            <w:tcBorders>
              <w:tl2br w:val="nil"/>
              <w:tr2bl w:val="nil"/>
            </w:tcBorders>
            <w:vAlign w:val="center"/>
          </w:tcPr>
          <w:p w14:paraId="3EB56C1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0</w:t>
            </w:r>
          </w:p>
        </w:tc>
        <w:tc>
          <w:tcPr>
            <w:tcW w:w="1705" w:type="pct"/>
            <w:vMerge w:val="continue"/>
            <w:tcBorders>
              <w:tl2br w:val="nil"/>
              <w:tr2bl w:val="nil"/>
            </w:tcBorders>
            <w:vAlign w:val="center"/>
          </w:tcPr>
          <w:p w14:paraId="2672451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default" w:ascii="Times New Roman" w:hAnsi="Times New Roman" w:cs="Times New Roman"/>
                <w:color w:val="auto"/>
                <w:szCs w:val="21"/>
                <w:highlight w:val="none"/>
              </w:rPr>
            </w:pPr>
          </w:p>
        </w:tc>
      </w:tr>
      <w:tr w14:paraId="203C00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19" w:type="pct"/>
            <w:vMerge w:val="continue"/>
            <w:tcBorders>
              <w:tl2br w:val="nil"/>
              <w:tr2bl w:val="nil"/>
            </w:tcBorders>
            <w:vAlign w:val="center"/>
          </w:tcPr>
          <w:p w14:paraId="4761255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p>
        </w:tc>
        <w:tc>
          <w:tcPr>
            <w:tcW w:w="942" w:type="pct"/>
            <w:tcBorders>
              <w:tl2br w:val="nil"/>
              <w:tr2bl w:val="nil"/>
            </w:tcBorders>
            <w:vAlign w:val="center"/>
          </w:tcPr>
          <w:p w14:paraId="11955140">
            <w:pPr>
              <w:pStyle w:val="7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rPr>
              <w:t>废压裂液</w:t>
            </w:r>
          </w:p>
        </w:tc>
        <w:tc>
          <w:tcPr>
            <w:tcW w:w="737" w:type="pct"/>
            <w:tcBorders>
              <w:tl2br w:val="nil"/>
              <w:tr2bl w:val="nil"/>
            </w:tcBorders>
            <w:vAlign w:val="center"/>
          </w:tcPr>
          <w:p w14:paraId="05C1365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 w:val="21"/>
                <w:szCs w:val="18"/>
                <w:highlight w:val="none"/>
                <w:lang w:val="en-US" w:eastAsia="zh-CN"/>
              </w:rPr>
              <w:t>pH</w:t>
            </w:r>
          </w:p>
        </w:tc>
        <w:tc>
          <w:tcPr>
            <w:tcW w:w="683" w:type="pct"/>
            <w:tcBorders>
              <w:tl2br w:val="nil"/>
              <w:tr2bl w:val="nil"/>
            </w:tcBorders>
            <w:vAlign w:val="center"/>
          </w:tcPr>
          <w:p w14:paraId="05ED70FB">
            <w:pPr>
              <w:keepNext w:val="0"/>
              <w:keepLines w:val="0"/>
              <w:pageBreakBefore w:val="0"/>
              <w:widowControl w:val="0"/>
              <w:tabs>
                <w:tab w:val="left" w:pos="377"/>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1583.88</w:t>
            </w:r>
          </w:p>
          <w:p w14:paraId="17ABD37D">
            <w:pPr>
              <w:keepNext w:val="0"/>
              <w:keepLines w:val="0"/>
              <w:pageBreakBefore w:val="0"/>
              <w:widowControl w:val="0"/>
              <w:tabs>
                <w:tab w:val="left" w:pos="377"/>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ascii="Times New Roman" w:hAnsi="Times New Roman" w:eastAsia="宋体" w:cs="Times New Roman"/>
                <w:bCs/>
                <w:color w:val="auto"/>
                <w:szCs w:val="21"/>
                <w:highlight w:val="none"/>
              </w:rPr>
              <w:t>m</w:t>
            </w:r>
            <w:r>
              <w:rPr>
                <w:rFonts w:ascii="Times New Roman" w:hAnsi="Times New Roman" w:eastAsia="宋体" w:cs="Times New Roman"/>
                <w:bCs/>
                <w:color w:val="auto"/>
                <w:szCs w:val="21"/>
                <w:highlight w:val="none"/>
                <w:vertAlign w:val="superscript"/>
              </w:rPr>
              <w:t>3</w:t>
            </w:r>
            <w:r>
              <w:rPr>
                <w:rFonts w:ascii="Times New Roman" w:hAnsi="Times New Roman" w:eastAsia="宋体" w:cs="Times New Roman"/>
                <w:bCs/>
                <w:color w:val="auto"/>
                <w:szCs w:val="21"/>
                <w:highlight w:val="none"/>
              </w:rPr>
              <w:t>/</w:t>
            </w:r>
            <w:r>
              <w:rPr>
                <w:rFonts w:hint="eastAsia" w:ascii="Times New Roman" w:hAnsi="Times New Roman" w:eastAsia="宋体" w:cs="Times New Roman"/>
                <w:bCs/>
                <w:color w:val="auto"/>
                <w:szCs w:val="21"/>
                <w:highlight w:val="none"/>
                <w:lang w:val="en-US" w:eastAsia="zh-CN"/>
              </w:rPr>
              <w:t>次</w:t>
            </w:r>
          </w:p>
        </w:tc>
        <w:tc>
          <w:tcPr>
            <w:tcW w:w="610" w:type="pct"/>
            <w:tcBorders>
              <w:tl2br w:val="nil"/>
              <w:tr2bl w:val="nil"/>
            </w:tcBorders>
            <w:vAlign w:val="center"/>
          </w:tcPr>
          <w:p w14:paraId="2B17A3C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0</w:t>
            </w:r>
          </w:p>
        </w:tc>
        <w:tc>
          <w:tcPr>
            <w:tcW w:w="1705" w:type="pct"/>
            <w:vMerge w:val="restart"/>
            <w:tcBorders>
              <w:tl2br w:val="nil"/>
              <w:tr2bl w:val="nil"/>
            </w:tcBorders>
            <w:vAlign w:val="center"/>
          </w:tcPr>
          <w:p w14:paraId="60A18E7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default" w:ascii="Times New Roman" w:hAnsi="Times New Roman" w:cs="Times New Roman"/>
                <w:color w:val="auto"/>
                <w:szCs w:val="21"/>
                <w:highlight w:val="none"/>
              </w:rPr>
            </w:pPr>
            <w:r>
              <w:rPr>
                <w:rFonts w:hint="eastAsia"/>
                <w:color w:val="auto"/>
                <w:highlight w:val="none"/>
              </w:rPr>
              <w:t>井下作业固废采用专用回收罐进行回收，拉运至英买力油田钻试修废弃物环保处理站进行处理。</w:t>
            </w:r>
          </w:p>
        </w:tc>
      </w:tr>
      <w:tr w14:paraId="386E86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19" w:type="pct"/>
            <w:vMerge w:val="continue"/>
            <w:tcBorders>
              <w:tl2br w:val="nil"/>
              <w:tr2bl w:val="nil"/>
            </w:tcBorders>
            <w:vAlign w:val="center"/>
          </w:tcPr>
          <w:p w14:paraId="48059AF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p>
        </w:tc>
        <w:tc>
          <w:tcPr>
            <w:tcW w:w="942" w:type="pct"/>
            <w:tcBorders>
              <w:tl2br w:val="nil"/>
              <w:tr2bl w:val="nil"/>
            </w:tcBorders>
            <w:vAlign w:val="center"/>
          </w:tcPr>
          <w:p w14:paraId="5C22AD2C">
            <w:pPr>
              <w:pStyle w:val="7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rPr>
              <w:t>废酸化液</w:t>
            </w:r>
          </w:p>
        </w:tc>
        <w:tc>
          <w:tcPr>
            <w:tcW w:w="737" w:type="pct"/>
            <w:tcBorders>
              <w:tl2br w:val="nil"/>
              <w:tr2bl w:val="nil"/>
            </w:tcBorders>
            <w:vAlign w:val="center"/>
          </w:tcPr>
          <w:p w14:paraId="5A2F25C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 w:val="21"/>
                <w:szCs w:val="18"/>
                <w:highlight w:val="none"/>
                <w:lang w:val="en-US" w:eastAsia="zh-CN"/>
              </w:rPr>
              <w:t>盐类</w:t>
            </w:r>
          </w:p>
        </w:tc>
        <w:tc>
          <w:tcPr>
            <w:tcW w:w="683" w:type="pct"/>
            <w:tcBorders>
              <w:tl2br w:val="nil"/>
              <w:tr2bl w:val="nil"/>
            </w:tcBorders>
            <w:vAlign w:val="center"/>
          </w:tcPr>
          <w:p w14:paraId="4C1D61A8">
            <w:pPr>
              <w:keepNext w:val="0"/>
              <w:keepLines w:val="0"/>
              <w:pageBreakBefore w:val="0"/>
              <w:widowControl w:val="0"/>
              <w:tabs>
                <w:tab w:val="left" w:pos="377"/>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493.8</w:t>
            </w:r>
          </w:p>
          <w:p w14:paraId="3AE99AC0">
            <w:pPr>
              <w:keepNext w:val="0"/>
              <w:keepLines w:val="0"/>
              <w:pageBreakBefore w:val="0"/>
              <w:widowControl w:val="0"/>
              <w:tabs>
                <w:tab w:val="left" w:pos="377"/>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ascii="Times New Roman" w:hAnsi="Times New Roman" w:eastAsia="宋体" w:cs="Times New Roman"/>
                <w:bCs/>
                <w:color w:val="auto"/>
                <w:szCs w:val="21"/>
                <w:highlight w:val="none"/>
              </w:rPr>
              <w:t>m</w:t>
            </w:r>
            <w:r>
              <w:rPr>
                <w:rFonts w:ascii="Times New Roman" w:hAnsi="Times New Roman" w:eastAsia="宋体" w:cs="Times New Roman"/>
                <w:bCs/>
                <w:color w:val="auto"/>
                <w:szCs w:val="21"/>
                <w:highlight w:val="none"/>
                <w:vertAlign w:val="superscript"/>
              </w:rPr>
              <w:t>3</w:t>
            </w:r>
            <w:r>
              <w:rPr>
                <w:rFonts w:ascii="Times New Roman" w:hAnsi="Times New Roman" w:eastAsia="宋体" w:cs="Times New Roman"/>
                <w:bCs/>
                <w:color w:val="auto"/>
                <w:szCs w:val="21"/>
                <w:highlight w:val="none"/>
              </w:rPr>
              <w:t>/</w:t>
            </w:r>
            <w:r>
              <w:rPr>
                <w:rFonts w:hint="eastAsia" w:ascii="Times New Roman" w:hAnsi="Times New Roman" w:eastAsia="宋体" w:cs="Times New Roman"/>
                <w:bCs/>
                <w:color w:val="auto"/>
                <w:szCs w:val="21"/>
                <w:highlight w:val="none"/>
                <w:lang w:val="en-US" w:eastAsia="zh-CN"/>
              </w:rPr>
              <w:t>次</w:t>
            </w:r>
          </w:p>
        </w:tc>
        <w:tc>
          <w:tcPr>
            <w:tcW w:w="610" w:type="pct"/>
            <w:tcBorders>
              <w:tl2br w:val="nil"/>
              <w:tr2bl w:val="nil"/>
            </w:tcBorders>
            <w:vAlign w:val="center"/>
          </w:tcPr>
          <w:p w14:paraId="5A85037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0</w:t>
            </w:r>
          </w:p>
        </w:tc>
        <w:tc>
          <w:tcPr>
            <w:tcW w:w="1705" w:type="pct"/>
            <w:vMerge w:val="continue"/>
            <w:tcBorders>
              <w:tl2br w:val="nil"/>
              <w:tr2bl w:val="nil"/>
            </w:tcBorders>
            <w:vAlign w:val="center"/>
          </w:tcPr>
          <w:p w14:paraId="2A04CA5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default" w:ascii="Times New Roman" w:hAnsi="Times New Roman" w:cs="Times New Roman"/>
                <w:color w:val="auto"/>
                <w:szCs w:val="21"/>
                <w:highlight w:val="none"/>
              </w:rPr>
            </w:pPr>
          </w:p>
        </w:tc>
      </w:tr>
      <w:tr w14:paraId="53E185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7" w:hRule="atLeast"/>
        </w:trPr>
        <w:tc>
          <w:tcPr>
            <w:tcW w:w="319" w:type="pct"/>
            <w:vMerge w:val="continue"/>
            <w:tcBorders>
              <w:tl2br w:val="nil"/>
              <w:tr2bl w:val="nil"/>
            </w:tcBorders>
            <w:vAlign w:val="center"/>
          </w:tcPr>
          <w:p w14:paraId="1522279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p>
        </w:tc>
        <w:tc>
          <w:tcPr>
            <w:tcW w:w="942" w:type="pct"/>
            <w:tcBorders>
              <w:tl2br w:val="nil"/>
              <w:tr2bl w:val="nil"/>
            </w:tcBorders>
            <w:vAlign w:val="center"/>
          </w:tcPr>
          <w:p w14:paraId="298D9CF3">
            <w:pPr>
              <w:pStyle w:val="7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rPr>
              <w:t>废洗井液</w:t>
            </w:r>
          </w:p>
        </w:tc>
        <w:tc>
          <w:tcPr>
            <w:tcW w:w="737" w:type="pct"/>
            <w:tcBorders>
              <w:tl2br w:val="nil"/>
              <w:tr2bl w:val="nil"/>
            </w:tcBorders>
            <w:vAlign w:val="center"/>
          </w:tcPr>
          <w:p w14:paraId="609976C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c>
          <w:tcPr>
            <w:tcW w:w="683" w:type="pct"/>
            <w:tcBorders>
              <w:tl2br w:val="nil"/>
              <w:tr2bl w:val="nil"/>
            </w:tcBorders>
            <w:vAlign w:val="center"/>
          </w:tcPr>
          <w:p w14:paraId="1D25E483">
            <w:pPr>
              <w:keepNext w:val="0"/>
              <w:keepLines w:val="0"/>
              <w:pageBreakBefore w:val="0"/>
              <w:widowControl w:val="0"/>
              <w:tabs>
                <w:tab w:val="left" w:pos="377"/>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151.74</w:t>
            </w:r>
          </w:p>
          <w:p w14:paraId="70DA72DF">
            <w:pPr>
              <w:keepNext w:val="0"/>
              <w:keepLines w:val="0"/>
              <w:pageBreakBefore w:val="0"/>
              <w:widowControl w:val="0"/>
              <w:tabs>
                <w:tab w:val="left" w:pos="377"/>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ascii="Times New Roman" w:hAnsi="Times New Roman" w:eastAsia="宋体" w:cs="Times New Roman"/>
                <w:bCs/>
                <w:color w:val="auto"/>
                <w:szCs w:val="21"/>
                <w:highlight w:val="none"/>
              </w:rPr>
              <w:t>t/</w:t>
            </w:r>
            <w:r>
              <w:rPr>
                <w:rFonts w:hint="eastAsia" w:ascii="Times New Roman" w:hAnsi="Times New Roman" w:eastAsia="宋体" w:cs="Times New Roman"/>
                <w:bCs/>
                <w:color w:val="auto"/>
                <w:szCs w:val="21"/>
                <w:highlight w:val="none"/>
                <w:lang w:val="en-US" w:eastAsia="zh-CN"/>
              </w:rPr>
              <w:t>次</w:t>
            </w:r>
          </w:p>
        </w:tc>
        <w:tc>
          <w:tcPr>
            <w:tcW w:w="610" w:type="pct"/>
            <w:tcBorders>
              <w:tl2br w:val="nil"/>
              <w:tr2bl w:val="nil"/>
            </w:tcBorders>
            <w:vAlign w:val="center"/>
          </w:tcPr>
          <w:p w14:paraId="6B952BE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0</w:t>
            </w:r>
          </w:p>
        </w:tc>
        <w:tc>
          <w:tcPr>
            <w:tcW w:w="1705" w:type="pct"/>
            <w:vMerge w:val="continue"/>
            <w:tcBorders>
              <w:tl2br w:val="nil"/>
              <w:tr2bl w:val="nil"/>
            </w:tcBorders>
            <w:vAlign w:val="center"/>
          </w:tcPr>
          <w:p w14:paraId="20F4BAD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default" w:ascii="Times New Roman" w:hAnsi="Times New Roman" w:cs="Times New Roman"/>
                <w:color w:val="auto"/>
                <w:szCs w:val="21"/>
                <w:highlight w:val="none"/>
              </w:rPr>
            </w:pPr>
          </w:p>
        </w:tc>
      </w:tr>
      <w:tr w14:paraId="1A08F1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4" w:hRule="atLeast"/>
        </w:trPr>
        <w:tc>
          <w:tcPr>
            <w:tcW w:w="319" w:type="pct"/>
            <w:vMerge w:val="continue"/>
            <w:tcBorders>
              <w:tl2br w:val="nil"/>
              <w:tr2bl w:val="nil"/>
            </w:tcBorders>
            <w:vAlign w:val="center"/>
          </w:tcPr>
          <w:p w14:paraId="6D6805F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Cs w:val="21"/>
                <w:highlight w:val="none"/>
              </w:rPr>
            </w:pPr>
          </w:p>
        </w:tc>
        <w:tc>
          <w:tcPr>
            <w:tcW w:w="942" w:type="pct"/>
            <w:tcBorders>
              <w:tl2br w:val="nil"/>
              <w:tr2bl w:val="nil"/>
            </w:tcBorders>
            <w:vAlign w:val="center"/>
          </w:tcPr>
          <w:p w14:paraId="7091FBC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生活垃圾</w:t>
            </w:r>
          </w:p>
        </w:tc>
        <w:tc>
          <w:tcPr>
            <w:tcW w:w="737" w:type="pct"/>
            <w:tcBorders>
              <w:tl2br w:val="nil"/>
              <w:tr2bl w:val="nil"/>
            </w:tcBorders>
            <w:vAlign w:val="center"/>
          </w:tcPr>
          <w:p w14:paraId="5B147F0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果皮、纸屑等</w:t>
            </w:r>
          </w:p>
        </w:tc>
        <w:tc>
          <w:tcPr>
            <w:tcW w:w="683" w:type="pct"/>
            <w:tcBorders>
              <w:tl2br w:val="nil"/>
              <w:tr2bl w:val="nil"/>
            </w:tcBorders>
            <w:vAlign w:val="center"/>
          </w:tcPr>
          <w:p w14:paraId="786ABB8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bCs/>
                <w:color w:val="auto"/>
                <w:szCs w:val="21"/>
                <w:highlight w:val="none"/>
                <w:lang w:val="en-US" w:eastAsia="zh-CN"/>
              </w:rPr>
            </w:pPr>
            <w:r>
              <w:rPr>
                <w:rFonts w:hint="eastAsia"/>
                <w:bCs/>
                <w:color w:val="auto"/>
                <w:szCs w:val="21"/>
                <w:highlight w:val="none"/>
                <w:lang w:val="en-US" w:eastAsia="zh-CN"/>
              </w:rPr>
              <w:t>1.5</w:t>
            </w:r>
          </w:p>
          <w:p w14:paraId="4EBA877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s="Times New Roman"/>
                <w:color w:val="auto"/>
                <w:szCs w:val="21"/>
                <w:highlight w:val="none"/>
                <w:lang w:val="en-US" w:eastAsia="zh-CN"/>
              </w:rPr>
            </w:pPr>
            <w:r>
              <w:rPr>
                <w:rFonts w:hint="eastAsia"/>
                <w:bCs/>
                <w:color w:val="auto"/>
                <w:szCs w:val="21"/>
                <w:highlight w:val="none"/>
              </w:rPr>
              <w:t>t/a</w:t>
            </w:r>
          </w:p>
        </w:tc>
        <w:tc>
          <w:tcPr>
            <w:tcW w:w="610" w:type="pct"/>
            <w:tcBorders>
              <w:tl2br w:val="nil"/>
              <w:tr2bl w:val="nil"/>
            </w:tcBorders>
            <w:vAlign w:val="center"/>
          </w:tcPr>
          <w:p w14:paraId="23B7D4F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s="Times New Roman"/>
                <w:color w:val="auto"/>
                <w:szCs w:val="21"/>
                <w:highlight w:val="none"/>
                <w:lang w:val="en-US" w:eastAsia="zh-CN"/>
              </w:rPr>
            </w:pPr>
            <w:r>
              <w:rPr>
                <w:rFonts w:hint="eastAsia"/>
                <w:bCs/>
                <w:color w:val="auto"/>
                <w:szCs w:val="21"/>
                <w:highlight w:val="none"/>
                <w:lang w:val="en-US" w:eastAsia="zh-CN"/>
              </w:rPr>
              <w:t>0</w:t>
            </w:r>
          </w:p>
        </w:tc>
        <w:tc>
          <w:tcPr>
            <w:tcW w:w="1705" w:type="pct"/>
            <w:tcBorders>
              <w:tl2br w:val="nil"/>
              <w:tr2bl w:val="nil"/>
            </w:tcBorders>
            <w:vAlign w:val="center"/>
          </w:tcPr>
          <w:p w14:paraId="0212064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default" w:ascii="Times New Roman" w:hAnsi="Times New Roman" w:cs="Times New Roman"/>
                <w:color w:val="auto"/>
                <w:szCs w:val="21"/>
                <w:highlight w:val="none"/>
              </w:rPr>
            </w:pPr>
            <w:r>
              <w:rPr>
                <w:color w:val="auto"/>
                <w:highlight w:val="none"/>
              </w:rPr>
              <w:t>委托</w:t>
            </w:r>
            <w:r>
              <w:rPr>
                <w:rFonts w:hint="eastAsia"/>
                <w:color w:val="auto"/>
                <w:highlight w:val="none"/>
              </w:rPr>
              <w:t>温宿县垃圾填埋场处理</w:t>
            </w:r>
          </w:p>
        </w:tc>
      </w:tr>
    </w:tbl>
    <w:p w14:paraId="427FAF26">
      <w:pPr>
        <w:pStyle w:val="75"/>
        <w:bidi w:val="0"/>
        <w:rPr>
          <w:rFonts w:hint="default"/>
          <w:color w:val="auto"/>
          <w:lang w:val="en-US" w:eastAsia="zh-CN"/>
        </w:rPr>
      </w:pPr>
      <w:bookmarkStart w:id="906" w:name="_Toc19696"/>
      <w:r>
        <w:rPr>
          <w:rFonts w:hint="eastAsia"/>
          <w:color w:val="auto"/>
          <w:lang w:val="en-US" w:eastAsia="zh-CN"/>
        </w:rPr>
        <w:t>10</w:t>
      </w:r>
      <w:r>
        <w:rPr>
          <w:color w:val="auto"/>
          <w:lang w:val="en-US" w:eastAsia="zh-CN"/>
        </w:rPr>
        <w:t>.5</w:t>
      </w:r>
      <w:r>
        <w:rPr>
          <w:rFonts w:hint="eastAsia"/>
          <w:color w:val="auto"/>
          <w:lang w:val="en-US" w:eastAsia="zh-CN"/>
        </w:rPr>
        <w:t xml:space="preserve"> 主要环境影响</w:t>
      </w:r>
      <w:bookmarkEnd w:id="906"/>
    </w:p>
    <w:p w14:paraId="1749073C">
      <w:pPr>
        <w:keepNext w:val="0"/>
        <w:keepLines w:val="0"/>
        <w:pageBreakBefore w:val="0"/>
        <w:widowControl/>
        <w:kinsoku/>
        <w:wordWrap/>
        <w:overflowPunct/>
        <w:topLinePunct w:val="0"/>
        <w:autoSpaceDE/>
        <w:autoSpaceDN/>
        <w:bidi w:val="0"/>
        <w:snapToGrid/>
        <w:spacing w:line="480" w:lineRule="exact"/>
        <w:ind w:firstLine="480" w:firstLineChars="200"/>
        <w:jc w:val="left"/>
        <w:textAlignment w:val="auto"/>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（1）生态环境影响分析</w:t>
      </w:r>
    </w:p>
    <w:p w14:paraId="6E356FD3">
      <w:pPr>
        <w:keepNext w:val="0"/>
        <w:keepLines w:val="0"/>
        <w:pageBreakBefore w:val="0"/>
        <w:widowControl/>
        <w:kinsoku/>
        <w:wordWrap/>
        <w:overflowPunct/>
        <w:topLinePunct w:val="0"/>
        <w:autoSpaceDE/>
        <w:autoSpaceDN/>
        <w:bidi w:val="0"/>
        <w:snapToGrid/>
        <w:spacing w:line="480" w:lineRule="exact"/>
        <w:ind w:firstLine="480" w:firstLineChars="200"/>
        <w:jc w:val="left"/>
        <w:textAlignment w:val="auto"/>
        <w:rPr>
          <w:rFonts w:hint="eastAsia" w:ascii="Times New Roman" w:hAnsi="Times New Roman" w:eastAsia="宋体" w:cs="Times New Roman"/>
          <w:color w:val="auto"/>
          <w:kern w:val="0"/>
          <w:sz w:val="24"/>
          <w:szCs w:val="24"/>
          <w:highlight w:val="none"/>
          <w:lang w:eastAsia="zh-CN"/>
        </w:rPr>
      </w:pPr>
      <w:r>
        <w:rPr>
          <w:rFonts w:hint="eastAsia" w:ascii="Times New Roman" w:hAnsi="Times New Roman" w:eastAsia="宋体" w:cs="Times New Roman"/>
          <w:color w:val="auto"/>
          <w:kern w:val="0"/>
          <w:sz w:val="24"/>
          <w:szCs w:val="24"/>
          <w:highlight w:val="none"/>
          <w:lang w:eastAsia="zh-CN"/>
        </w:rPr>
        <w:t>本工程所在区域的野生动物种类少，工程位于</w:t>
      </w:r>
      <w:r>
        <w:rPr>
          <w:rFonts w:hint="eastAsia" w:cs="Times New Roman"/>
          <w:color w:val="auto"/>
          <w:kern w:val="0"/>
          <w:sz w:val="24"/>
          <w:szCs w:val="24"/>
          <w:highlight w:val="none"/>
          <w:lang w:val="en-US" w:eastAsia="zh-CN"/>
        </w:rPr>
        <w:t>油田</w:t>
      </w:r>
      <w:r>
        <w:rPr>
          <w:rFonts w:hint="eastAsia" w:ascii="Times New Roman" w:hAnsi="Times New Roman" w:eastAsia="宋体" w:cs="Times New Roman"/>
          <w:color w:val="auto"/>
          <w:kern w:val="0"/>
          <w:sz w:val="24"/>
          <w:szCs w:val="24"/>
          <w:highlight w:val="none"/>
          <w:lang w:eastAsia="zh-CN"/>
        </w:rPr>
        <w:t>开发区域，因石油开发建设活动早已开展，人类活动频繁，工程区内对人类活动敏感的野生动物较少，调查期间未见到大中型野生动物，项目对野生动植物影响不大。工程所在区域不涉及天然林，项目区为典型的荒漠灌木及盐化草甸，主要植被类型为柽柳灌丛及盐穗木草甸，植被覆盖度5%</w:t>
      </w:r>
      <w:r>
        <w:rPr>
          <w:rFonts w:hint="eastAsia"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lang w:eastAsia="zh-CN"/>
        </w:rPr>
        <w:t>10%。工程对区域生态的影响主要为施工期的扬尘及相关施工活动，其影响范围同工程临时占地面积相同，这一破坏需经</w:t>
      </w:r>
      <w:r>
        <w:rPr>
          <w:rFonts w:hint="eastAsia" w:cs="Times New Roman"/>
          <w:color w:val="auto"/>
          <w:kern w:val="0"/>
          <w:sz w:val="24"/>
          <w:szCs w:val="24"/>
          <w:highlight w:val="none"/>
          <w:lang w:eastAsia="zh-CN"/>
        </w:rPr>
        <w:t>较长时间</w:t>
      </w:r>
      <w:r>
        <w:rPr>
          <w:rFonts w:hint="eastAsia" w:ascii="Times New Roman" w:hAnsi="Times New Roman" w:eastAsia="宋体" w:cs="Times New Roman"/>
          <w:color w:val="auto"/>
          <w:kern w:val="0"/>
          <w:sz w:val="24"/>
          <w:szCs w:val="24"/>
          <w:highlight w:val="none"/>
          <w:lang w:eastAsia="zh-CN"/>
        </w:rPr>
        <w:t>才能完全恢复。工程区属于</w:t>
      </w:r>
      <w:r>
        <w:rPr>
          <w:rFonts w:hint="eastAsia" w:cs="Times New Roman"/>
          <w:color w:val="auto"/>
          <w:kern w:val="0"/>
          <w:sz w:val="24"/>
          <w:szCs w:val="24"/>
          <w:highlight w:val="none"/>
          <w:lang w:eastAsia="zh-CN"/>
        </w:rPr>
        <w:t>塔里木河流域重点治理区</w:t>
      </w:r>
      <w:r>
        <w:rPr>
          <w:rFonts w:hint="eastAsia" w:ascii="Times New Roman" w:hAnsi="Times New Roman" w:eastAsia="宋体" w:cs="Times New Roman"/>
          <w:color w:val="auto"/>
          <w:kern w:val="0"/>
          <w:sz w:val="24"/>
          <w:szCs w:val="24"/>
          <w:highlight w:val="none"/>
          <w:lang w:eastAsia="zh-CN"/>
        </w:rPr>
        <w:t>，但占地面积较小，采取环评提出的水土流失防治措施后，对环境的影响可以接受。</w:t>
      </w:r>
    </w:p>
    <w:p w14:paraId="447EF711">
      <w:pPr>
        <w:keepNext w:val="0"/>
        <w:keepLines w:val="0"/>
        <w:pageBreakBefore w:val="0"/>
        <w:widowControl/>
        <w:kinsoku/>
        <w:wordWrap/>
        <w:overflowPunct/>
        <w:topLinePunct w:val="0"/>
        <w:autoSpaceDE/>
        <w:autoSpaceDN/>
        <w:bidi w:val="0"/>
        <w:snapToGrid/>
        <w:spacing w:line="480" w:lineRule="exact"/>
        <w:ind w:firstLine="480" w:firstLineChars="200"/>
        <w:jc w:val="left"/>
        <w:textAlignment w:val="auto"/>
        <w:rPr>
          <w:rFonts w:ascii="宋体" w:hAnsi="宋体" w:eastAsia="宋体" w:cs="宋体"/>
          <w:color w:val="auto"/>
          <w:kern w:val="0"/>
          <w:sz w:val="24"/>
          <w:szCs w:val="24"/>
          <w:highlight w:val="none"/>
        </w:rPr>
      </w:pPr>
      <w:r>
        <w:rPr>
          <w:rFonts w:hint="eastAsia" w:ascii="Times New Roman" w:hAnsi="Times New Roman" w:eastAsia="宋体" w:cs="Times New Roman"/>
          <w:color w:val="auto"/>
          <w:kern w:val="0"/>
          <w:sz w:val="24"/>
          <w:szCs w:val="24"/>
          <w:highlight w:val="none"/>
          <w:lang w:eastAsia="zh-CN"/>
        </w:rPr>
        <w:t>因此总体上看本工程建设对生态环境影响可以接受。</w:t>
      </w:r>
    </w:p>
    <w:p w14:paraId="7F89098E">
      <w:pPr>
        <w:keepNext w:val="0"/>
        <w:keepLines w:val="0"/>
        <w:pageBreakBefore w:val="0"/>
        <w:widowControl/>
        <w:kinsoku/>
        <w:wordWrap/>
        <w:overflowPunct/>
        <w:topLinePunct w:val="0"/>
        <w:autoSpaceDE/>
        <w:autoSpaceDN/>
        <w:bidi w:val="0"/>
        <w:snapToGrid/>
        <w:spacing w:line="480" w:lineRule="exact"/>
        <w:ind w:firstLine="480"/>
        <w:jc w:val="both"/>
        <w:textAlignment w:val="auto"/>
        <w:rPr>
          <w:rFonts w:hint="eastAsia"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（2）大气环境影响分析</w:t>
      </w:r>
    </w:p>
    <w:p w14:paraId="58E36BA8">
      <w:pPr>
        <w:keepNext w:val="0"/>
        <w:keepLines w:val="0"/>
        <w:pageBreakBefore w:val="0"/>
        <w:widowControl/>
        <w:kinsoku/>
        <w:wordWrap/>
        <w:overflowPunct/>
        <w:topLinePunct w:val="0"/>
        <w:autoSpaceDE/>
        <w:autoSpaceDN/>
        <w:bidi w:val="0"/>
        <w:snapToGrid/>
        <w:spacing w:line="480" w:lineRule="exact"/>
        <w:ind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bookmarkStart w:id="907" w:name="OLE_LINK144"/>
      <w:r>
        <w:rPr>
          <w:rFonts w:hint="eastAsia" w:ascii="Times New Roman" w:hAnsi="Times New Roman" w:eastAsia="宋体" w:cs="Times New Roman"/>
          <w:color w:val="auto"/>
          <w:kern w:val="2"/>
          <w:sz w:val="24"/>
          <w:szCs w:val="24"/>
          <w:highlight w:val="none"/>
          <w:lang w:val="en-US" w:eastAsia="zh-CN" w:bidi="ar-SA"/>
        </w:rPr>
        <w:t>运行期项目对大气环境的影响主要来自</w:t>
      </w:r>
      <w:r>
        <w:rPr>
          <w:rFonts w:hint="eastAsia" w:cs="Times New Roman"/>
          <w:color w:val="auto"/>
          <w:kern w:val="2"/>
          <w:sz w:val="24"/>
          <w:szCs w:val="24"/>
          <w:highlight w:val="none"/>
          <w:lang w:val="en-US" w:eastAsia="zh-CN" w:bidi="ar-SA"/>
        </w:rPr>
        <w:t>加热炉</w:t>
      </w:r>
      <w:r>
        <w:rPr>
          <w:rFonts w:hint="eastAsia" w:ascii="Times New Roman" w:hAnsi="Times New Roman" w:eastAsia="宋体" w:cs="Times New Roman"/>
          <w:color w:val="auto"/>
          <w:kern w:val="2"/>
          <w:sz w:val="24"/>
          <w:szCs w:val="24"/>
          <w:highlight w:val="none"/>
          <w:lang w:val="en-US" w:eastAsia="zh-CN" w:bidi="ar-SA"/>
        </w:rPr>
        <w:t>排放的烟气、油气集输过程中产生一定量的无组织废气排放。</w:t>
      </w:r>
    </w:p>
    <w:bookmarkEnd w:id="907"/>
    <w:p w14:paraId="5CAD7EBC">
      <w:pPr>
        <w:keepNext w:val="0"/>
        <w:keepLines w:val="0"/>
        <w:pageBreakBefore w:val="0"/>
        <w:widowControl/>
        <w:kinsoku/>
        <w:wordWrap/>
        <w:overflowPunct/>
        <w:topLinePunct w:val="0"/>
        <w:autoSpaceDE/>
        <w:autoSpaceDN/>
        <w:bidi w:val="0"/>
        <w:snapToGrid/>
        <w:spacing w:line="480" w:lineRule="exact"/>
        <w:ind w:firstLine="480" w:firstLineChars="200"/>
        <w:jc w:val="left"/>
        <w:textAlignment w:val="auto"/>
        <w:rPr>
          <w:rFonts w:ascii="宋体" w:hAnsi="宋体" w:eastAsia="宋体" w:cs="宋体"/>
          <w:color w:val="auto"/>
          <w:kern w:val="24"/>
          <w:sz w:val="24"/>
          <w:szCs w:val="24"/>
          <w:highlight w:val="none"/>
          <w:lang w:val="zh-CN"/>
        </w:rPr>
      </w:pPr>
      <w:bookmarkStart w:id="908" w:name="OLE_LINK148"/>
      <w:r>
        <w:rPr>
          <w:rFonts w:hint="eastAsia" w:ascii="Times New Roman" w:hAnsi="Times New Roman" w:eastAsia="宋体" w:cs="Times New Roman"/>
          <w:color w:val="auto"/>
          <w:kern w:val="2"/>
          <w:sz w:val="24"/>
          <w:szCs w:val="24"/>
          <w:highlight w:val="none"/>
          <w:lang w:val="en-US" w:eastAsia="zh-CN" w:bidi="ar-SA"/>
        </w:rPr>
        <w:t>根据工程分析估算，本项目加热炉废气污染物排放浓度能够满足《锅炉大气污染物排放标准》（GB13271-2014）表2新建锅炉大气污染物排放浓度限值（</w:t>
      </w:r>
      <w:r>
        <w:rPr>
          <w:rFonts w:hint="eastAsia" w:cs="Times New Roman"/>
          <w:color w:val="auto"/>
          <w:kern w:val="2"/>
          <w:sz w:val="24"/>
          <w:szCs w:val="24"/>
          <w:highlight w:val="none"/>
          <w:lang w:val="en-US" w:eastAsia="zh-CN" w:bidi="ar-SA"/>
        </w:rPr>
        <w:t>颗粒物20</w:t>
      </w:r>
      <w:r>
        <w:rPr>
          <w:rFonts w:hint="eastAsia" w:ascii="Times New Roman" w:hAnsi="Times New Roman" w:eastAsia="宋体" w:cs="Times New Roman"/>
          <w:color w:val="auto"/>
          <w:kern w:val="2"/>
          <w:sz w:val="24"/>
          <w:szCs w:val="24"/>
          <w:highlight w:val="none"/>
          <w:lang w:val="en-US" w:eastAsia="zh-CN" w:bidi="ar-SA"/>
        </w:rPr>
        <w:t>mg/m³、SO</w:t>
      </w:r>
      <w:bookmarkStart w:id="909" w:name="OLE_LINK147"/>
      <w:r>
        <w:rPr>
          <w:rFonts w:hint="eastAsia" w:ascii="Times New Roman" w:hAnsi="Times New Roman" w:eastAsia="宋体" w:cs="Times New Roman"/>
          <w:color w:val="auto"/>
          <w:kern w:val="2"/>
          <w:sz w:val="24"/>
          <w:szCs w:val="24"/>
          <w:highlight w:val="none"/>
          <w:vertAlign w:val="subscript"/>
          <w:lang w:val="en-US" w:eastAsia="zh-CN" w:bidi="ar-SA"/>
        </w:rPr>
        <w:t>2</w:t>
      </w:r>
      <w:bookmarkEnd w:id="909"/>
      <w:r>
        <w:rPr>
          <w:rFonts w:hint="eastAsia" w:cs="Times New Roman"/>
          <w:color w:val="auto"/>
          <w:kern w:val="2"/>
          <w:sz w:val="24"/>
          <w:szCs w:val="24"/>
          <w:highlight w:val="none"/>
          <w:vertAlign w:val="subscript"/>
          <w:lang w:val="en-US" w:eastAsia="zh-CN" w:bidi="ar-SA"/>
        </w:rPr>
        <w:t xml:space="preserve"> </w:t>
      </w:r>
      <w:r>
        <w:rPr>
          <w:rFonts w:hint="eastAsia" w:ascii="Times New Roman" w:hAnsi="Times New Roman" w:eastAsia="宋体" w:cs="Times New Roman"/>
          <w:color w:val="auto"/>
          <w:kern w:val="2"/>
          <w:sz w:val="24"/>
          <w:szCs w:val="24"/>
          <w:highlight w:val="none"/>
          <w:lang w:val="en-US" w:eastAsia="zh-CN" w:bidi="ar-SA"/>
        </w:rPr>
        <w:t>50</w:t>
      </w:r>
      <w:bookmarkStart w:id="910" w:name="OLE_LINK146"/>
      <w:r>
        <w:rPr>
          <w:rFonts w:hint="eastAsia" w:ascii="Times New Roman" w:hAnsi="Times New Roman" w:eastAsia="宋体" w:cs="Times New Roman"/>
          <w:color w:val="auto"/>
          <w:kern w:val="2"/>
          <w:sz w:val="24"/>
          <w:szCs w:val="24"/>
          <w:highlight w:val="none"/>
          <w:lang w:val="en-US" w:eastAsia="zh-CN" w:bidi="ar-SA"/>
        </w:rPr>
        <w:t>mg/m³</w:t>
      </w:r>
      <w:bookmarkEnd w:id="910"/>
      <w:bookmarkStart w:id="911" w:name="OLE_LINK145"/>
      <w:r>
        <w:rPr>
          <w:rFonts w:hint="eastAsia" w:ascii="Times New Roman" w:hAnsi="Times New Roman" w:eastAsia="宋体" w:cs="Times New Roman"/>
          <w:color w:val="auto"/>
          <w:kern w:val="2"/>
          <w:sz w:val="24"/>
          <w:szCs w:val="24"/>
          <w:highlight w:val="none"/>
          <w:lang w:val="en-US" w:eastAsia="zh-CN" w:bidi="ar-SA"/>
        </w:rPr>
        <w:t>、</w:t>
      </w:r>
      <w:bookmarkEnd w:id="911"/>
      <w:r>
        <w:rPr>
          <w:rFonts w:hint="eastAsia" w:ascii="Times New Roman" w:hAnsi="Times New Roman" w:eastAsia="宋体" w:cs="Times New Roman"/>
          <w:color w:val="auto"/>
          <w:kern w:val="2"/>
          <w:sz w:val="24"/>
          <w:szCs w:val="24"/>
          <w:highlight w:val="none"/>
          <w:lang w:val="en-US" w:eastAsia="zh-CN" w:bidi="ar-SA"/>
        </w:rPr>
        <w:t>NOx</w:t>
      </w:r>
      <w:r>
        <w:rPr>
          <w:rFonts w:hint="eastAsia" w:cs="Times New Roman"/>
          <w:color w:val="auto"/>
          <w:kern w:val="2"/>
          <w:sz w:val="24"/>
          <w:szCs w:val="24"/>
          <w:highlight w:val="none"/>
          <w:lang w:val="en-US" w:eastAsia="zh-CN" w:bidi="ar-SA"/>
        </w:rPr>
        <w:t xml:space="preserve"> </w:t>
      </w:r>
      <w:r>
        <w:rPr>
          <w:rFonts w:hint="eastAsia" w:ascii="Times New Roman" w:hAnsi="Times New Roman" w:eastAsia="宋体" w:cs="Times New Roman"/>
          <w:color w:val="auto"/>
          <w:kern w:val="2"/>
          <w:sz w:val="24"/>
          <w:szCs w:val="24"/>
          <w:highlight w:val="none"/>
          <w:lang w:val="en-US" w:eastAsia="zh-CN" w:bidi="ar-SA"/>
        </w:rPr>
        <w:t>200mg/m³）</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本工程油气开采、集输采用密闭流程，</w:t>
      </w:r>
      <w:r>
        <w:rPr>
          <w:rFonts w:hint="eastAsia" w:cs="Times New Roman"/>
          <w:color w:val="auto"/>
          <w:kern w:val="2"/>
          <w:sz w:val="24"/>
          <w:szCs w:val="24"/>
          <w:highlight w:val="none"/>
          <w:lang w:val="en-US" w:eastAsia="zh-CN" w:bidi="ar-SA"/>
        </w:rPr>
        <w:t>原油装车设置气相平衡系统，</w:t>
      </w:r>
      <w:r>
        <w:rPr>
          <w:rFonts w:hint="eastAsia" w:ascii="Times New Roman" w:hAnsi="Times New Roman" w:eastAsia="宋体" w:cs="Times New Roman"/>
          <w:color w:val="auto"/>
          <w:kern w:val="2"/>
          <w:sz w:val="24"/>
          <w:szCs w:val="24"/>
          <w:highlight w:val="none"/>
          <w:lang w:val="en-US" w:eastAsia="zh-CN" w:bidi="ar-SA"/>
        </w:rPr>
        <w:t>井口密封并设紧急切断阀，可有效减少烃类气体的排放量。根据现状监测结果，区域环境空气中非甲烷总烃满足标准限值要求。根据预测结果可知，经预测，加热炉</w:t>
      </w:r>
      <w:r>
        <w:rPr>
          <w:rFonts w:hint="eastAsia" w:cs="Times New Roman"/>
          <w:color w:val="auto"/>
          <w:kern w:val="2"/>
          <w:sz w:val="24"/>
          <w:szCs w:val="24"/>
          <w:highlight w:val="none"/>
          <w:lang w:val="en-US" w:eastAsia="zh-CN" w:bidi="ar-SA"/>
        </w:rPr>
        <w:t>颗粒物、</w:t>
      </w:r>
      <w:r>
        <w:rPr>
          <w:rFonts w:hint="eastAsia" w:ascii="Times New Roman" w:hAnsi="Times New Roman" w:eastAsia="宋体" w:cs="Times New Roman"/>
          <w:color w:val="auto"/>
          <w:kern w:val="2"/>
          <w:sz w:val="24"/>
          <w:szCs w:val="24"/>
          <w:highlight w:val="none"/>
          <w:lang w:val="en-US" w:eastAsia="zh-CN" w:bidi="ar-SA"/>
        </w:rPr>
        <w:t>氮氧化物、二氧化硫下风向最大落地浓度均满足《环境空气质量标准》（GB3095-2012）二级标准要求</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无组织源对区域环境空气的影响主要集中在污染源下风向</w:t>
      </w:r>
      <w:r>
        <w:rPr>
          <w:rFonts w:hint="eastAsia" w:cs="Times New Roman"/>
          <w:color w:val="auto"/>
          <w:kern w:val="2"/>
          <w:sz w:val="24"/>
          <w:szCs w:val="24"/>
          <w:highlight w:val="none"/>
          <w:lang w:val="en-US" w:eastAsia="zh-CN" w:bidi="ar-SA"/>
        </w:rPr>
        <w:t>252</w:t>
      </w:r>
      <w:r>
        <w:rPr>
          <w:rFonts w:hint="eastAsia" w:ascii="Times New Roman" w:hAnsi="Times New Roman" w:eastAsia="宋体" w:cs="Times New Roman"/>
          <w:color w:val="auto"/>
          <w:kern w:val="2"/>
          <w:sz w:val="24"/>
          <w:szCs w:val="24"/>
          <w:highlight w:val="none"/>
          <w:lang w:val="en-US" w:eastAsia="zh-CN" w:bidi="ar-SA"/>
        </w:rPr>
        <w:t>m范围内，项目区周边5.0km范围内无敏感点，因此本项目正常运行期间无组织排放的非甲烷总烃对周围环境空气影响较小。</w:t>
      </w:r>
    </w:p>
    <w:bookmarkEnd w:id="908"/>
    <w:p w14:paraId="3187495F">
      <w:pPr>
        <w:keepNext w:val="0"/>
        <w:keepLines w:val="0"/>
        <w:pageBreakBefore w:val="0"/>
        <w:widowControl/>
        <w:kinsoku/>
        <w:wordWrap/>
        <w:overflowPunct/>
        <w:topLinePunct w:val="0"/>
        <w:autoSpaceDE/>
        <w:autoSpaceDN/>
        <w:bidi w:val="0"/>
        <w:snapToGrid/>
        <w:spacing w:line="480" w:lineRule="exact"/>
        <w:ind w:firstLine="480"/>
        <w:jc w:val="left"/>
        <w:textAlignment w:val="auto"/>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w:t>
      </w:r>
      <w:r>
        <w:rPr>
          <w:rFonts w:hint="eastAsia" w:cs="Times New Roman"/>
          <w:color w:val="auto"/>
          <w:kern w:val="0"/>
          <w:sz w:val="24"/>
          <w:szCs w:val="24"/>
          <w:highlight w:val="none"/>
          <w:lang w:val="en-US" w:eastAsia="zh-CN"/>
        </w:rPr>
        <w:t>3</w:t>
      </w:r>
      <w:r>
        <w:rPr>
          <w:rFonts w:ascii="Times New Roman" w:hAnsi="Times New Roman" w:eastAsia="宋体" w:cs="Times New Roman"/>
          <w:color w:val="auto"/>
          <w:kern w:val="0"/>
          <w:sz w:val="24"/>
          <w:szCs w:val="24"/>
          <w:highlight w:val="none"/>
        </w:rPr>
        <w:t>）水环境影响分析</w:t>
      </w:r>
    </w:p>
    <w:p w14:paraId="234EE116">
      <w:pPr>
        <w:keepNext w:val="0"/>
        <w:keepLines w:val="0"/>
        <w:pageBreakBefore w:val="0"/>
        <w:widowControl/>
        <w:kinsoku/>
        <w:wordWrap/>
        <w:overflowPunct/>
        <w:topLinePunct w:val="0"/>
        <w:autoSpaceDE/>
        <w:autoSpaceDN/>
        <w:bidi w:val="0"/>
        <w:snapToGrid/>
        <w:spacing w:line="480" w:lineRule="exact"/>
        <w:ind w:firstLine="48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本工程施工期不设施工营地，施工人员在施工单位集中公寓居住，现场无生活污水产生；新建管道试压采用洁净水，管道试压废水中主要污染物为SS，试压废水可用作场地降尘用水或区域绿化用。</w:t>
      </w:r>
    </w:p>
    <w:p w14:paraId="349DC44B">
      <w:pPr>
        <w:keepNext w:val="0"/>
        <w:keepLines w:val="0"/>
        <w:pageBreakBefore w:val="0"/>
        <w:widowControl/>
        <w:kinsoku/>
        <w:wordWrap/>
        <w:overflowPunct/>
        <w:topLinePunct w:val="0"/>
        <w:autoSpaceDE/>
        <w:autoSpaceDN/>
        <w:bidi w:val="0"/>
        <w:snapToGrid/>
        <w:spacing w:line="480" w:lineRule="exact"/>
        <w:ind w:firstLine="48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正常状况下，污染源从源头上可以得到控制；非正常状况下，由于管线泄漏事故为短期大量排放，污染物的泄漏以地表扩展为主，一般能及时发现，并可很快加以控制，石油烃多属疏水性有机污染物，难溶于水而容易被土壤有机质吸附，其影响范围不大，对地下水环境不易产生不利影响。因项目区地下水循环条件差，径流、排泄基本处于停滞状态，为密闭型地下水，因此，管线破裂对地下水环境产生的影响也非常有限。非正常状况下，对地下水的影响属可接受范围。</w:t>
      </w:r>
    </w:p>
    <w:p w14:paraId="17457A1A">
      <w:pPr>
        <w:keepNext w:val="0"/>
        <w:keepLines w:val="0"/>
        <w:pageBreakBefore w:val="0"/>
        <w:widowControl/>
        <w:kinsoku/>
        <w:wordWrap/>
        <w:overflowPunct/>
        <w:topLinePunct w:val="0"/>
        <w:autoSpaceDE/>
        <w:autoSpaceDN/>
        <w:bidi w:val="0"/>
        <w:snapToGrid/>
        <w:spacing w:line="480" w:lineRule="exact"/>
        <w:ind w:firstLine="480"/>
        <w:jc w:val="left"/>
        <w:textAlignment w:val="auto"/>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w:t>
      </w:r>
      <w:r>
        <w:rPr>
          <w:rFonts w:hint="eastAsia" w:cs="Times New Roman"/>
          <w:color w:val="auto"/>
          <w:kern w:val="0"/>
          <w:sz w:val="24"/>
          <w:szCs w:val="24"/>
          <w:highlight w:val="none"/>
          <w:lang w:val="en-US" w:eastAsia="zh-CN"/>
        </w:rPr>
        <w:t>4</w:t>
      </w:r>
      <w:r>
        <w:rPr>
          <w:rFonts w:ascii="Times New Roman" w:hAnsi="Times New Roman" w:eastAsia="宋体" w:cs="Times New Roman"/>
          <w:color w:val="auto"/>
          <w:kern w:val="0"/>
          <w:sz w:val="24"/>
          <w:szCs w:val="24"/>
          <w:highlight w:val="none"/>
        </w:rPr>
        <w:t>）声环境影响分析</w:t>
      </w:r>
    </w:p>
    <w:p w14:paraId="566B02E6">
      <w:pPr>
        <w:keepNext w:val="0"/>
        <w:keepLines w:val="0"/>
        <w:pageBreakBefore w:val="0"/>
        <w:widowControl/>
        <w:kinsoku/>
        <w:wordWrap/>
        <w:overflowPunct/>
        <w:topLinePunct w:val="0"/>
        <w:autoSpaceDE/>
        <w:autoSpaceDN/>
        <w:bidi w:val="0"/>
        <w:snapToGrid/>
        <w:spacing w:line="480" w:lineRule="exact"/>
        <w:ind w:firstLine="480" w:firstLineChars="200"/>
        <w:jc w:val="left"/>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各种施工机械噪声预测结果可以看出，在不采取减振降噪措施的情况下，土石方施工、道路工程和管线施工期间昼间距施工设备60m、夜间300m即可满足《建筑施工场界环境噪声排放标准》(GB12523-2011</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eastAsia="zh-CN"/>
        </w:rPr>
        <w:t>厂界噪声限值要求；设备安装施工期间昼间距施工机械40m、夜间200m即可满足《建筑施工场界环境噪声排放标准》(GB12523-2011</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eastAsia="zh-CN"/>
        </w:rPr>
        <w:t>厂界噪声限值要求。项目区5km内无居民，并且施工期噪声源均为暂时性的，只在短时期对局部环境和施工人员造成影响，待施工结束后这种影响也随之消失。施工期噪声对周围环境造成的影响属可接受范围。</w:t>
      </w:r>
    </w:p>
    <w:p w14:paraId="0793AC0A">
      <w:pPr>
        <w:keepNext w:val="0"/>
        <w:keepLines w:val="0"/>
        <w:pageBreakBefore w:val="0"/>
        <w:widowControl/>
        <w:kinsoku/>
        <w:wordWrap/>
        <w:overflowPunct/>
        <w:topLinePunct w:val="0"/>
        <w:autoSpaceDE/>
        <w:autoSpaceDN/>
        <w:bidi w:val="0"/>
        <w:snapToGrid/>
        <w:spacing w:line="480" w:lineRule="exact"/>
        <w:ind w:firstLine="480"/>
        <w:jc w:val="left"/>
        <w:textAlignment w:val="auto"/>
        <w:rPr>
          <w:rFonts w:ascii="Times New Roman" w:hAnsi="Times New Roman" w:eastAsia="宋体" w:cs="Times New Roman"/>
          <w:color w:val="auto"/>
          <w:kern w:val="0"/>
          <w:sz w:val="24"/>
          <w:szCs w:val="24"/>
          <w:highlight w:val="none"/>
        </w:rPr>
      </w:pPr>
      <w:r>
        <w:rPr>
          <w:rFonts w:hint="eastAsia" w:ascii="宋体" w:hAnsi="宋体" w:eastAsia="宋体" w:cs="宋体"/>
          <w:color w:val="auto"/>
          <w:kern w:val="0"/>
          <w:sz w:val="24"/>
          <w:szCs w:val="24"/>
          <w:highlight w:val="none"/>
          <w:lang w:eastAsia="zh-CN"/>
        </w:rPr>
        <w:t>运营期间的噪声源主要为井场、</w:t>
      </w:r>
      <w:r>
        <w:rPr>
          <w:rFonts w:hint="eastAsia" w:ascii="宋体" w:hAnsi="宋体" w:cs="宋体"/>
          <w:color w:val="auto"/>
          <w:kern w:val="0"/>
          <w:sz w:val="24"/>
          <w:szCs w:val="24"/>
          <w:highlight w:val="none"/>
          <w:lang w:eastAsia="zh-CN"/>
        </w:rPr>
        <w:t>雄探1试采点</w:t>
      </w:r>
      <w:r>
        <w:rPr>
          <w:rFonts w:hint="eastAsia" w:ascii="宋体" w:hAnsi="宋体" w:eastAsia="宋体" w:cs="宋体"/>
          <w:color w:val="auto"/>
          <w:kern w:val="0"/>
          <w:sz w:val="24"/>
          <w:szCs w:val="24"/>
          <w:highlight w:val="none"/>
          <w:lang w:eastAsia="zh-CN"/>
        </w:rPr>
        <w:t>设备机泵等设备噪声，以及压裂、修井等井下作业噪声。噪声预测结果可知：在采取了环评提出的降噪措施后，项目运营期厂界昼、夜间噪声预测值均可满足《工业企业厂界环境噪声排放标准》（GB12348-2008）中2类区标准，不会使项目区声环境质量明显降低。不会对周围声环境产生影响。</w:t>
      </w:r>
    </w:p>
    <w:p w14:paraId="29A33E10">
      <w:pPr>
        <w:keepNext w:val="0"/>
        <w:keepLines w:val="0"/>
        <w:pageBreakBefore w:val="0"/>
        <w:widowControl/>
        <w:kinsoku/>
        <w:wordWrap/>
        <w:overflowPunct/>
        <w:topLinePunct w:val="0"/>
        <w:autoSpaceDE/>
        <w:autoSpaceDN/>
        <w:bidi w:val="0"/>
        <w:snapToGrid/>
        <w:spacing w:line="480" w:lineRule="exact"/>
        <w:ind w:firstLine="480"/>
        <w:jc w:val="left"/>
        <w:textAlignment w:val="auto"/>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（5）固体废物影响分析</w:t>
      </w:r>
    </w:p>
    <w:p w14:paraId="5057F2EA">
      <w:pPr>
        <w:keepNext w:val="0"/>
        <w:keepLines w:val="0"/>
        <w:pageBreakBefore w:val="0"/>
        <w:widowControl/>
        <w:kinsoku/>
        <w:wordWrap/>
        <w:overflowPunct/>
        <w:topLinePunct w:val="0"/>
        <w:autoSpaceDE/>
        <w:autoSpaceDN/>
        <w:bidi w:val="0"/>
        <w:snapToGrid/>
        <w:spacing w:line="480" w:lineRule="exact"/>
        <w:ind w:firstLine="480" w:firstLineChars="200"/>
        <w:jc w:val="both"/>
        <w:textAlignment w:val="auto"/>
        <w:rPr>
          <w:rFonts w:hint="eastAsia" w:ascii="Times New Roman" w:hAnsi="Times New Roman" w:eastAsia="宋体" w:cs="Times New Roman"/>
          <w:bCs/>
          <w:color w:val="auto"/>
          <w:kern w:val="2"/>
          <w:sz w:val="24"/>
          <w:szCs w:val="22"/>
          <w:highlight w:val="none"/>
          <w:lang w:val="zh-CN" w:eastAsia="zh-CN" w:bidi="ar-SA"/>
        </w:rPr>
      </w:pPr>
      <w:r>
        <w:rPr>
          <w:rFonts w:hint="eastAsia" w:ascii="Times New Roman" w:hAnsi="Times New Roman" w:eastAsia="宋体" w:cs="Times New Roman"/>
          <w:bCs/>
          <w:color w:val="auto"/>
          <w:kern w:val="2"/>
          <w:sz w:val="24"/>
          <w:szCs w:val="22"/>
          <w:highlight w:val="none"/>
          <w:lang w:val="zh-CN" w:eastAsia="zh-CN" w:bidi="ar-SA"/>
        </w:rPr>
        <w:t>本工程施工期固体废物主要为</w:t>
      </w:r>
      <w:r>
        <w:rPr>
          <w:rFonts w:hint="eastAsia" w:cs="Times New Roman"/>
          <w:bCs/>
          <w:color w:val="auto"/>
          <w:kern w:val="2"/>
          <w:sz w:val="24"/>
          <w:szCs w:val="22"/>
          <w:highlight w:val="none"/>
          <w:lang w:val="zh-CN" w:eastAsia="zh-CN" w:bidi="ar-SA"/>
        </w:rPr>
        <w:t>：</w:t>
      </w:r>
      <w:r>
        <w:rPr>
          <w:rFonts w:hint="eastAsia" w:ascii="Times New Roman" w:hAnsi="Times New Roman" w:eastAsia="宋体" w:cs="Times New Roman"/>
          <w:bCs/>
          <w:color w:val="auto"/>
          <w:kern w:val="2"/>
          <w:sz w:val="24"/>
          <w:szCs w:val="22"/>
          <w:highlight w:val="none"/>
          <w:lang w:val="zh-CN" w:eastAsia="zh-CN" w:bidi="ar-SA"/>
        </w:rPr>
        <w:t>施工废料、生活垃圾等。施工废料主要包括管材边角料、焊接作业中产生的废焊条及其包装盒等。施工废料应首先考虑回收利用，不可回收利用部分拉运至英买作业区英买7固废场进行填埋处置；施工区不设置施工营地，生活垃圾随车带走，现场不遗留；本工程施工土方在管线施工结束后回填在管堤上，站场施工过程产生的土方回填至挖方处或回填至周边低洼场地，并实施压实平整，无废弃土方及借方。</w:t>
      </w:r>
    </w:p>
    <w:p w14:paraId="35AB3784">
      <w:pPr>
        <w:keepNext w:val="0"/>
        <w:keepLines w:val="0"/>
        <w:pageBreakBefore w:val="0"/>
        <w:widowControl/>
        <w:kinsoku/>
        <w:wordWrap/>
        <w:overflowPunct/>
        <w:topLinePunct w:val="0"/>
        <w:autoSpaceDE/>
        <w:autoSpaceDN/>
        <w:bidi w:val="0"/>
        <w:snapToGrid/>
        <w:spacing w:line="480" w:lineRule="exact"/>
        <w:ind w:firstLine="480" w:firstLineChars="200"/>
        <w:jc w:val="both"/>
        <w:textAlignment w:val="auto"/>
        <w:rPr>
          <w:rFonts w:hint="eastAsia" w:ascii="Times New Roman" w:hAnsi="Times New Roman" w:eastAsia="宋体" w:cs="Times New Roman"/>
          <w:bCs/>
          <w:color w:val="auto"/>
          <w:kern w:val="2"/>
          <w:sz w:val="24"/>
          <w:szCs w:val="22"/>
          <w:highlight w:val="none"/>
          <w:lang w:val="zh-CN" w:eastAsia="zh-CN" w:bidi="ar-SA"/>
        </w:rPr>
      </w:pPr>
      <w:r>
        <w:rPr>
          <w:rFonts w:hint="eastAsia" w:ascii="Times New Roman" w:hAnsi="Times New Roman" w:eastAsia="宋体" w:cs="Times New Roman"/>
          <w:bCs/>
          <w:color w:val="auto"/>
          <w:kern w:val="2"/>
          <w:sz w:val="24"/>
          <w:szCs w:val="22"/>
          <w:highlight w:val="none"/>
          <w:lang w:val="zh-CN" w:eastAsia="zh-CN" w:bidi="ar-SA"/>
        </w:rPr>
        <w:t>运营期产生的固体废物主要为</w:t>
      </w:r>
      <w:r>
        <w:rPr>
          <w:rFonts w:hint="eastAsia" w:ascii="Times New Roman" w:hAnsi="Times New Roman" w:eastAsia="宋体" w:cs="Times New Roman"/>
          <w:bCs/>
          <w:color w:val="auto"/>
          <w:kern w:val="2"/>
          <w:sz w:val="24"/>
          <w:szCs w:val="22"/>
          <w:highlight w:val="none"/>
          <w:lang w:val="en-US" w:eastAsia="zh-CN" w:bidi="ar-SA"/>
        </w:rPr>
        <w:t>废</w:t>
      </w:r>
      <w:r>
        <w:rPr>
          <w:rFonts w:hint="eastAsia" w:cs="Times New Roman"/>
          <w:bCs/>
          <w:color w:val="auto"/>
          <w:kern w:val="2"/>
          <w:sz w:val="24"/>
          <w:szCs w:val="22"/>
          <w:highlight w:val="none"/>
          <w:lang w:val="en-US" w:eastAsia="zh-CN" w:bidi="ar-SA"/>
        </w:rPr>
        <w:t>脱硫剂、废分子筛</w:t>
      </w:r>
      <w:r>
        <w:rPr>
          <w:rFonts w:hint="eastAsia" w:ascii="Times New Roman" w:hAnsi="Times New Roman" w:eastAsia="宋体" w:cs="Times New Roman"/>
          <w:bCs/>
          <w:color w:val="auto"/>
          <w:kern w:val="2"/>
          <w:sz w:val="24"/>
          <w:szCs w:val="22"/>
          <w:highlight w:val="none"/>
          <w:lang w:val="en-US" w:eastAsia="zh-CN" w:bidi="ar-SA"/>
        </w:rPr>
        <w:t>、</w:t>
      </w:r>
      <w:r>
        <w:rPr>
          <w:rFonts w:hint="eastAsia" w:ascii="Times New Roman" w:hAnsi="Times New Roman" w:eastAsia="宋体" w:cs="Times New Roman"/>
          <w:bCs/>
          <w:color w:val="auto"/>
          <w:kern w:val="2"/>
          <w:sz w:val="24"/>
          <w:szCs w:val="22"/>
          <w:highlight w:val="none"/>
          <w:lang w:val="zh-CN" w:eastAsia="zh-CN" w:bidi="ar-SA"/>
        </w:rPr>
        <w:t>清管废渣、油泥砂、落地油、废防渗膜、废润滑油、井下作业固废及生活垃圾。</w:t>
      </w:r>
    </w:p>
    <w:p w14:paraId="3B0D4B69">
      <w:pPr>
        <w:keepNext w:val="0"/>
        <w:keepLines w:val="0"/>
        <w:pageBreakBefore w:val="0"/>
        <w:widowControl/>
        <w:kinsoku/>
        <w:wordWrap/>
        <w:overflowPunct/>
        <w:topLinePunct w:val="0"/>
        <w:autoSpaceDE/>
        <w:autoSpaceDN/>
        <w:bidi w:val="0"/>
        <w:snapToGrid/>
        <w:spacing w:line="480" w:lineRule="exact"/>
        <w:ind w:firstLine="480" w:firstLineChars="200"/>
        <w:jc w:val="both"/>
        <w:textAlignment w:val="auto"/>
        <w:rPr>
          <w:rFonts w:hint="eastAsia" w:ascii="Times New Roman" w:hAnsi="Times New Roman" w:eastAsia="宋体" w:cs="Times New Roman"/>
          <w:bCs/>
          <w:color w:val="auto"/>
          <w:kern w:val="2"/>
          <w:sz w:val="24"/>
          <w:szCs w:val="22"/>
          <w:highlight w:val="none"/>
          <w:lang w:val="zh-CN" w:eastAsia="zh-CN" w:bidi="ar-SA"/>
        </w:rPr>
      </w:pPr>
      <w:r>
        <w:rPr>
          <w:rFonts w:hint="eastAsia"/>
          <w:bCs/>
          <w:color w:val="auto"/>
          <w:sz w:val="24"/>
          <w:szCs w:val="24"/>
          <w:highlight w:val="none"/>
          <w:lang w:val="en-US" w:eastAsia="zh-CN"/>
        </w:rPr>
        <w:t>废脱硫剂、废分子筛，属于一般工业固体废物，由生产厂家进行更换，更换后由其拉走处置。</w:t>
      </w:r>
      <w:r>
        <w:rPr>
          <w:rFonts w:hint="eastAsia" w:cs="Times New Roman"/>
          <w:bCs/>
          <w:color w:val="auto"/>
          <w:kern w:val="2"/>
          <w:sz w:val="24"/>
          <w:szCs w:val="22"/>
          <w:highlight w:val="none"/>
          <w:lang w:val="zh-CN" w:eastAsia="zh-CN" w:bidi="ar-SA"/>
        </w:rPr>
        <w:t>清管废渣</w:t>
      </w:r>
      <w:r>
        <w:rPr>
          <w:rFonts w:hint="eastAsia" w:cs="Times New Roman"/>
          <w:bCs/>
          <w:color w:val="auto"/>
          <w:kern w:val="2"/>
          <w:sz w:val="24"/>
          <w:szCs w:val="22"/>
          <w:highlight w:val="none"/>
          <w:lang w:val="en-US" w:eastAsia="zh-CN" w:bidi="ar-SA"/>
        </w:rPr>
        <w:t>、</w:t>
      </w:r>
      <w:r>
        <w:rPr>
          <w:rFonts w:hint="eastAsia" w:ascii="Times New Roman" w:hAnsi="Times New Roman" w:eastAsia="宋体" w:cs="Times New Roman"/>
          <w:bCs/>
          <w:color w:val="auto"/>
          <w:kern w:val="2"/>
          <w:sz w:val="24"/>
          <w:szCs w:val="22"/>
          <w:highlight w:val="none"/>
          <w:lang w:val="zh-CN" w:eastAsia="zh-CN" w:bidi="ar-SA"/>
        </w:rPr>
        <w:t>油泥砂、落地油、废防渗膜、</w:t>
      </w:r>
      <w:r>
        <w:rPr>
          <w:rFonts w:hint="eastAsia" w:cs="Times New Roman"/>
          <w:bCs/>
          <w:color w:val="auto"/>
          <w:kern w:val="2"/>
          <w:sz w:val="24"/>
          <w:szCs w:val="22"/>
          <w:highlight w:val="none"/>
          <w:lang w:val="zh-CN" w:eastAsia="zh-CN" w:bidi="ar-SA"/>
        </w:rPr>
        <w:t>废润滑油属于危险废物，严格按照危险废物相关技术要求和管理规定进行收集与贮存，委托有危废处置资质单位进行处置；井下作业固废采用专用回收罐进行回收，拉运至英买力油田钻试修废弃物环保处理站进行处理；井下作业时带罐作业，落地油100%回收，回收后的落地原油委托有危废处置资质单位进行处置；生活垃圾集中收集后委托温宿县垃圾填埋场处置。</w:t>
      </w:r>
    </w:p>
    <w:p w14:paraId="7B315E29">
      <w:pPr>
        <w:keepNext w:val="0"/>
        <w:keepLines w:val="0"/>
        <w:pageBreakBefore w:val="0"/>
        <w:widowControl/>
        <w:kinsoku/>
        <w:wordWrap/>
        <w:overflowPunct/>
        <w:topLinePunct w:val="0"/>
        <w:autoSpaceDE/>
        <w:autoSpaceDN/>
        <w:bidi w:val="0"/>
        <w:snapToGrid/>
        <w:spacing w:line="480" w:lineRule="exact"/>
        <w:ind w:firstLine="480" w:firstLineChars="200"/>
        <w:jc w:val="both"/>
        <w:textAlignment w:val="auto"/>
        <w:rPr>
          <w:rFonts w:hint="eastAsia" w:ascii="Times New Roman" w:hAnsi="Times New Roman" w:eastAsia="宋体" w:cs="Times New Roman"/>
          <w:color w:val="auto"/>
          <w:spacing w:val="4"/>
          <w:kern w:val="24"/>
          <w:sz w:val="24"/>
          <w:szCs w:val="24"/>
          <w:highlight w:val="none"/>
          <w:lang w:val="en-US" w:eastAsia="zh-CN" w:bidi="ar-SA"/>
        </w:rPr>
      </w:pPr>
      <w:r>
        <w:rPr>
          <w:rFonts w:hint="eastAsia" w:ascii="Times New Roman" w:hAnsi="Times New Roman" w:eastAsia="宋体" w:cs="Times New Roman"/>
          <w:bCs/>
          <w:color w:val="auto"/>
          <w:kern w:val="2"/>
          <w:sz w:val="24"/>
          <w:szCs w:val="22"/>
          <w:highlight w:val="none"/>
          <w:lang w:val="zh-CN" w:eastAsia="zh-CN" w:bidi="ar-SA"/>
        </w:rPr>
        <w:t>本工程对建设期和运营期产生的各种固体废物均采取了妥善</w:t>
      </w:r>
      <w:r>
        <w:rPr>
          <w:rFonts w:hint="eastAsia" w:cs="Times New Roman"/>
          <w:bCs/>
          <w:color w:val="auto"/>
          <w:kern w:val="2"/>
          <w:sz w:val="24"/>
          <w:szCs w:val="22"/>
          <w:highlight w:val="none"/>
          <w:lang w:val="zh-CN" w:eastAsia="zh-CN" w:bidi="ar-SA"/>
        </w:rPr>
        <w:t>地</w:t>
      </w:r>
      <w:r>
        <w:rPr>
          <w:rFonts w:hint="eastAsia" w:ascii="Times New Roman" w:hAnsi="Times New Roman" w:eastAsia="宋体" w:cs="Times New Roman"/>
          <w:bCs/>
          <w:color w:val="auto"/>
          <w:kern w:val="2"/>
          <w:sz w:val="24"/>
          <w:szCs w:val="22"/>
          <w:highlight w:val="none"/>
          <w:lang w:val="zh-CN" w:eastAsia="zh-CN" w:bidi="ar-SA"/>
        </w:rPr>
        <w:t>处理、处置措施，只要严格管理，不会对环境产生较大影响。</w:t>
      </w:r>
    </w:p>
    <w:p w14:paraId="596EE268">
      <w:pPr>
        <w:keepNext w:val="0"/>
        <w:keepLines w:val="0"/>
        <w:pageBreakBefore w:val="0"/>
        <w:widowControl/>
        <w:kinsoku/>
        <w:wordWrap/>
        <w:overflowPunct/>
        <w:topLinePunct w:val="0"/>
        <w:autoSpaceDE/>
        <w:autoSpaceDN/>
        <w:bidi w:val="0"/>
        <w:snapToGrid/>
        <w:spacing w:line="480" w:lineRule="exact"/>
        <w:ind w:firstLine="480" w:firstLineChars="200"/>
        <w:jc w:val="both"/>
        <w:textAlignment w:val="auto"/>
        <w:rPr>
          <w:rFonts w:ascii="Times New Roman" w:hAnsi="Times New Roman" w:eastAsia="宋体" w:cs="Times New Roman"/>
          <w:color w:val="auto"/>
          <w:kern w:val="2"/>
          <w:sz w:val="24"/>
          <w:szCs w:val="24"/>
          <w:highlight w:val="none"/>
          <w:lang w:val="en-US" w:eastAsia="zh-CN" w:bidi="ar-SA"/>
        </w:rPr>
      </w:pPr>
      <w:r>
        <w:rPr>
          <w:rFonts w:ascii="Times New Roman" w:hAnsi="Times New Roman" w:eastAsia="宋体" w:cs="Times New Roman"/>
          <w:color w:val="auto"/>
          <w:kern w:val="2"/>
          <w:sz w:val="24"/>
          <w:szCs w:val="24"/>
          <w:highlight w:val="none"/>
          <w:lang w:val="en-US" w:eastAsia="zh-CN" w:bidi="ar-SA"/>
        </w:rPr>
        <w:t>（6）土壤影响分析</w:t>
      </w:r>
    </w:p>
    <w:p w14:paraId="3474A256">
      <w:pPr>
        <w:keepNext w:val="0"/>
        <w:keepLines w:val="0"/>
        <w:pageBreakBefore w:val="0"/>
        <w:widowControl/>
        <w:kinsoku/>
        <w:wordWrap/>
        <w:overflowPunct/>
        <w:topLinePunct w:val="0"/>
        <w:autoSpaceDE/>
        <w:autoSpaceDN/>
        <w:bidi w:val="0"/>
        <w:adjustRightInd w:val="0"/>
        <w:snapToGrid/>
        <w:spacing w:line="480" w:lineRule="exact"/>
        <w:ind w:firstLine="480" w:firstLineChars="200"/>
        <w:jc w:val="both"/>
        <w:textAlignment w:val="auto"/>
        <w:rPr>
          <w:rFonts w:ascii="Times New Roman" w:hAnsi="Times New Roman" w:eastAsia="宋体" w:cs="Times New Roman"/>
          <w:color w:val="auto"/>
          <w:kern w:val="0"/>
          <w:sz w:val="24"/>
          <w:szCs w:val="28"/>
          <w:highlight w:val="none"/>
        </w:rPr>
      </w:pPr>
      <w:r>
        <w:rPr>
          <w:rFonts w:hint="eastAsia" w:ascii="Times New Roman" w:hAnsi="Times New Roman" w:eastAsia="宋体" w:cs="Times New Roman"/>
          <w:color w:val="auto"/>
          <w:kern w:val="0"/>
          <w:sz w:val="24"/>
          <w:szCs w:val="28"/>
          <w:highlight w:val="none"/>
        </w:rPr>
        <w:t>本工程运营期天然气管线外输、原油罐车拉运，正常情况下不会对土壤环境造成污染。如果发生原油</w:t>
      </w:r>
      <w:r>
        <w:rPr>
          <w:rFonts w:hint="eastAsia" w:cs="Times New Roman"/>
          <w:color w:val="auto"/>
          <w:kern w:val="0"/>
          <w:sz w:val="24"/>
          <w:szCs w:val="28"/>
          <w:highlight w:val="none"/>
          <w:lang w:val="en-US" w:eastAsia="zh-CN"/>
        </w:rPr>
        <w:t>储罐</w:t>
      </w:r>
      <w:r>
        <w:rPr>
          <w:rFonts w:hint="eastAsia" w:ascii="Times New Roman" w:hAnsi="Times New Roman" w:eastAsia="宋体" w:cs="Times New Roman"/>
          <w:color w:val="auto"/>
          <w:kern w:val="0"/>
          <w:sz w:val="24"/>
          <w:szCs w:val="28"/>
          <w:highlight w:val="none"/>
        </w:rPr>
        <w:t>、管线泄漏等事故，泄漏的原油会对土壤环境产生一定的影响，泄漏的油类物质覆盖于地表可使土壤透气性下降、土壤理化性状发生变化。泄漏的油品如果进入土壤，从而使土壤质地、结构发生改变，影响到土地功能，进而影响地表植被的生长。根据环境风险分析可知，本工程风险潜势很低，发生泄漏事故的可能性很小，在做好源头控制、过程防控等措施的前提下，可避免工程项目实施对土壤环境产生污染影响。</w:t>
      </w:r>
    </w:p>
    <w:p w14:paraId="7A224E0B">
      <w:pPr>
        <w:keepNext w:val="0"/>
        <w:keepLines w:val="0"/>
        <w:pageBreakBefore w:val="0"/>
        <w:widowControl/>
        <w:kinsoku/>
        <w:wordWrap/>
        <w:overflowPunct/>
        <w:topLinePunct w:val="0"/>
        <w:autoSpaceDE/>
        <w:autoSpaceDN/>
        <w:bidi w:val="0"/>
        <w:snapToGrid/>
        <w:spacing w:line="480" w:lineRule="exact"/>
        <w:ind w:firstLine="480"/>
        <w:jc w:val="both"/>
        <w:textAlignment w:val="auto"/>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（7）环境风险分析</w:t>
      </w:r>
    </w:p>
    <w:p w14:paraId="083C08C6">
      <w:pPr>
        <w:keepNext w:val="0"/>
        <w:keepLines w:val="0"/>
        <w:pageBreakBefore w:val="0"/>
        <w:widowControl/>
        <w:kinsoku/>
        <w:wordWrap/>
        <w:overflowPunct/>
        <w:topLinePunct w:val="0"/>
        <w:autoSpaceDE/>
        <w:autoSpaceDN/>
        <w:bidi w:val="0"/>
        <w:snapToGrid/>
        <w:spacing w:line="480" w:lineRule="exact"/>
        <w:ind w:firstLine="480" w:firstLineChars="200"/>
        <w:jc w:val="both"/>
        <w:textAlignment w:val="auto"/>
        <w:rPr>
          <w:rFonts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lang w:eastAsia="zh-CN"/>
        </w:rPr>
        <w:t>本工程所涉及的危险物质包括：天然气、原油、H</w:t>
      </w:r>
      <w:r>
        <w:rPr>
          <w:rFonts w:hint="eastAsia" w:ascii="Times New Roman" w:hAnsi="Times New Roman" w:eastAsia="宋体" w:cs="Times New Roman"/>
          <w:color w:val="auto"/>
          <w:kern w:val="0"/>
          <w:sz w:val="24"/>
          <w:szCs w:val="24"/>
          <w:highlight w:val="none"/>
          <w:vertAlign w:val="subscript"/>
          <w:lang w:eastAsia="zh-CN"/>
        </w:rPr>
        <w:t>2</w:t>
      </w:r>
      <w:r>
        <w:rPr>
          <w:rFonts w:hint="eastAsia" w:ascii="Times New Roman" w:hAnsi="Times New Roman" w:eastAsia="宋体" w:cs="Times New Roman"/>
          <w:color w:val="auto"/>
          <w:kern w:val="0"/>
          <w:sz w:val="24"/>
          <w:szCs w:val="24"/>
          <w:highlight w:val="none"/>
          <w:lang w:eastAsia="zh-CN"/>
        </w:rPr>
        <w:t>S</w:t>
      </w:r>
      <w:r>
        <w:rPr>
          <w:rFonts w:hint="eastAsia" w:cs="Times New Roman"/>
          <w:color w:val="auto"/>
          <w:kern w:val="0"/>
          <w:sz w:val="24"/>
          <w:szCs w:val="24"/>
          <w:highlight w:val="none"/>
          <w:lang w:val="en-US" w:eastAsia="zh-CN"/>
        </w:rPr>
        <w:t>、甲醇</w:t>
      </w:r>
      <w:r>
        <w:rPr>
          <w:rFonts w:hint="eastAsia" w:ascii="Times New Roman" w:hAnsi="Times New Roman" w:eastAsia="宋体" w:cs="Times New Roman"/>
          <w:color w:val="auto"/>
          <w:kern w:val="0"/>
          <w:sz w:val="24"/>
          <w:szCs w:val="24"/>
          <w:highlight w:val="none"/>
          <w:lang w:eastAsia="zh-CN"/>
        </w:rPr>
        <w:t>，可能发生的风险事故包括：站场事故、管线泄漏事故。油气发生泄漏时，对土壤、植被、地下水会产生一定的影响，发生事故后，在严格落实本工程提出的风险防范措施的前提下，不会对周围环境产生明显影响；当泄漏事故发生时，及时、彻底清除泄漏油品、被污染的土壤，污染物不会进入地下水中，对地下水水质没有不良影响。做好事故风险防范措施，将事故发生概率减少到最低。综上所述，本工程环境风险程度属于可以防控的。</w:t>
      </w:r>
    </w:p>
    <w:p w14:paraId="16C5B0C3">
      <w:pPr>
        <w:pStyle w:val="75"/>
        <w:bidi w:val="0"/>
        <w:rPr>
          <w:color w:val="auto"/>
          <w:lang w:val="en-US" w:eastAsia="zh-CN"/>
        </w:rPr>
      </w:pPr>
      <w:bookmarkStart w:id="912" w:name="_Toc31641"/>
      <w:r>
        <w:rPr>
          <w:rFonts w:hint="eastAsia"/>
          <w:color w:val="auto"/>
          <w:lang w:val="en-US" w:eastAsia="zh-CN"/>
        </w:rPr>
        <w:t>10</w:t>
      </w:r>
      <w:r>
        <w:rPr>
          <w:color w:val="auto"/>
          <w:lang w:val="en-US" w:eastAsia="zh-CN"/>
        </w:rPr>
        <w:t>.6</w:t>
      </w:r>
      <w:r>
        <w:rPr>
          <w:rFonts w:hint="eastAsia"/>
          <w:color w:val="auto"/>
          <w:lang w:val="en-US" w:eastAsia="zh-CN"/>
        </w:rPr>
        <w:t xml:space="preserve"> </w:t>
      </w:r>
      <w:r>
        <w:rPr>
          <w:color w:val="auto"/>
          <w:lang w:val="en-US" w:eastAsia="zh-CN"/>
        </w:rPr>
        <w:t>环境保护措施</w:t>
      </w:r>
      <w:bookmarkEnd w:id="912"/>
    </w:p>
    <w:p w14:paraId="1422977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本工程</w:t>
      </w:r>
      <w:r>
        <w:rPr>
          <w:rFonts w:hint="eastAsia" w:ascii="宋体" w:hAnsi="宋体" w:eastAsia="宋体" w:cs="宋体"/>
          <w:color w:val="auto"/>
          <w:sz w:val="24"/>
          <w:szCs w:val="24"/>
        </w:rPr>
        <w:t>的主要环境保护措施如下：</w:t>
      </w:r>
    </w:p>
    <w:p w14:paraId="3522E01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rPr>
        <w:t>（1）生态保护措施</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优化站场布设，管道选线，减少占</w:t>
      </w:r>
      <w:r>
        <w:rPr>
          <w:rFonts w:hint="eastAsia" w:ascii="宋体" w:hAnsi="宋体" w:eastAsia="宋体" w:cs="宋体"/>
          <w:color w:val="auto"/>
          <w:sz w:val="24"/>
          <w:szCs w:val="24"/>
        </w:rPr>
        <w:t>地，严格按照有关规定办理建设用地审批手续。严格界定施工活动范围，尽可能缩小施工作业带宽度，管线施工临时占地作业</w:t>
      </w:r>
      <w:r>
        <w:rPr>
          <w:rFonts w:hint="eastAsia" w:ascii="宋体" w:hAnsi="宋体" w:cs="宋体"/>
          <w:color w:val="auto"/>
          <w:sz w:val="24"/>
          <w:szCs w:val="24"/>
          <w:lang w:eastAsia="zh-CN"/>
        </w:rPr>
        <w:t>带</w:t>
      </w:r>
      <w:r>
        <w:rPr>
          <w:rFonts w:hint="eastAsia" w:ascii="宋体" w:hAnsi="宋体" w:eastAsia="宋体" w:cs="宋体"/>
          <w:color w:val="auto"/>
          <w:sz w:val="24"/>
          <w:szCs w:val="24"/>
        </w:rPr>
        <w:t>宽度不得超过</w:t>
      </w:r>
      <w:r>
        <w:rPr>
          <w:rFonts w:hint="eastAsia" w:ascii="宋体" w:hAnsi="宋体" w:cs="宋体"/>
          <w:color w:val="auto"/>
          <w:sz w:val="24"/>
          <w:szCs w:val="24"/>
          <w:lang w:val="en-US" w:eastAsia="zh-CN"/>
        </w:rPr>
        <w:t>10</w:t>
      </w:r>
      <w:r>
        <w:rPr>
          <w:rFonts w:hint="eastAsia" w:ascii="宋体" w:hAnsi="宋体" w:eastAsia="宋体" w:cs="宋体"/>
          <w:color w:val="auto"/>
          <w:sz w:val="24"/>
          <w:szCs w:val="24"/>
        </w:rPr>
        <w:t>m，减少对地表的碾压。施工期充分利用现有</w:t>
      </w:r>
      <w:r>
        <w:rPr>
          <w:rFonts w:hint="eastAsia" w:ascii="宋体" w:hAnsi="宋体" w:cs="宋体"/>
          <w:color w:val="auto"/>
          <w:sz w:val="24"/>
          <w:szCs w:val="24"/>
          <w:lang w:eastAsia="zh-CN"/>
        </w:rPr>
        <w:t>油田</w:t>
      </w:r>
      <w:r>
        <w:rPr>
          <w:rFonts w:hint="eastAsia" w:ascii="宋体" w:hAnsi="宋体" w:eastAsia="宋体" w:cs="宋体"/>
          <w:color w:val="auto"/>
          <w:sz w:val="24"/>
          <w:szCs w:val="24"/>
        </w:rPr>
        <w:t>道路，尽可能减少道路临时占地，降低对地表和植被的破坏，施工</w:t>
      </w:r>
      <w:r>
        <w:rPr>
          <w:rFonts w:hint="eastAsia" w:ascii="宋体" w:hAnsi="宋体" w:cs="宋体"/>
          <w:color w:val="auto"/>
          <w:sz w:val="24"/>
          <w:szCs w:val="24"/>
          <w:lang w:eastAsia="zh-CN"/>
        </w:rPr>
        <w:t>机械</w:t>
      </w:r>
      <w:r>
        <w:rPr>
          <w:rFonts w:hint="eastAsia" w:ascii="宋体" w:hAnsi="宋体" w:eastAsia="宋体" w:cs="宋体"/>
          <w:color w:val="auto"/>
          <w:sz w:val="24"/>
          <w:szCs w:val="24"/>
        </w:rPr>
        <w:t>不得在道路以外行驶和作业，保持地表不被扰动，不得随意取弃土。场施工在开挖地表、平整土地时，临时堆土必须进行拦挡，施工完毕，应尽快整理施工现场。对站场地表进行砾石压盖。加强野生动物保护，对施工人员进行宣传教育，禁止捕杀野生动物。在道路边、</w:t>
      </w:r>
      <w:r>
        <w:rPr>
          <w:rFonts w:hint="eastAsia" w:ascii="宋体" w:hAnsi="宋体" w:cs="宋体"/>
          <w:color w:val="auto"/>
          <w:sz w:val="24"/>
          <w:szCs w:val="24"/>
          <w:lang w:eastAsia="zh-CN"/>
        </w:rPr>
        <w:t>油田</w:t>
      </w:r>
      <w:r>
        <w:rPr>
          <w:rFonts w:hint="eastAsia" w:ascii="宋体" w:hAnsi="宋体" w:eastAsia="宋体" w:cs="宋体"/>
          <w:color w:val="auto"/>
          <w:sz w:val="24"/>
          <w:szCs w:val="24"/>
        </w:rPr>
        <w:t>区，设置“保护生态环境、保护野生动植物”等警示牌，并从管理上对作业人员加强宣传教育，切实提高保护生态环境的意识。及时清理施工现场，做到“工完、料净、场地清”。在井场、站场、管线和道路两侧设置草方格防风固沙。</w:t>
      </w:r>
    </w:p>
    <w:p w14:paraId="6A7E54E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大气污染防治措</w:t>
      </w:r>
      <w:r>
        <w:rPr>
          <w:rFonts w:hint="eastAsia" w:ascii="宋体" w:hAnsi="宋体" w:eastAsia="宋体" w:cs="宋体"/>
          <w:color w:val="auto"/>
          <w:sz w:val="24"/>
          <w:szCs w:val="24"/>
          <w:highlight w:val="none"/>
        </w:rPr>
        <w:t>施：</w:t>
      </w:r>
      <w:r>
        <w:rPr>
          <w:rFonts w:hint="eastAsia" w:ascii="宋体" w:hAnsi="宋体" w:eastAsia="宋体" w:cs="宋体"/>
          <w:color w:val="auto"/>
          <w:sz w:val="24"/>
          <w:szCs w:val="24"/>
          <w:highlight w:val="none"/>
          <w:lang w:eastAsia="zh-CN"/>
        </w:rPr>
        <w:t>本工程</w:t>
      </w:r>
      <w:r>
        <w:rPr>
          <w:rFonts w:hint="eastAsia" w:ascii="宋体" w:hAnsi="宋体" w:eastAsia="宋体" w:cs="宋体"/>
          <w:color w:val="auto"/>
          <w:sz w:val="24"/>
          <w:szCs w:val="24"/>
          <w:highlight w:val="none"/>
        </w:rPr>
        <w:t>集输采用密闭流程，</w:t>
      </w:r>
      <w:r>
        <w:rPr>
          <w:rFonts w:hint="eastAsia" w:ascii="宋体" w:hAnsi="宋体" w:cs="宋体"/>
          <w:color w:val="auto"/>
          <w:sz w:val="24"/>
          <w:szCs w:val="24"/>
          <w:highlight w:val="none"/>
          <w:lang w:val="en-US" w:eastAsia="zh-CN"/>
        </w:rPr>
        <w:t>原油装车设置气相平衡系统，</w:t>
      </w:r>
      <w:r>
        <w:rPr>
          <w:rFonts w:hint="eastAsia" w:ascii="宋体" w:hAnsi="宋体" w:eastAsia="宋体" w:cs="宋体"/>
          <w:color w:val="auto"/>
          <w:sz w:val="24"/>
          <w:szCs w:val="24"/>
          <w:highlight w:val="none"/>
        </w:rPr>
        <w:t>采用技术质量可靠的设备、阀门等；定期对</w:t>
      </w:r>
      <w:r>
        <w:rPr>
          <w:rFonts w:hint="eastAsia" w:ascii="宋体" w:hAnsi="宋体" w:eastAsia="宋体" w:cs="宋体"/>
          <w:color w:val="auto"/>
          <w:sz w:val="24"/>
          <w:szCs w:val="24"/>
          <w:highlight w:val="none"/>
          <w:lang w:val="en-US" w:eastAsia="zh-CN"/>
        </w:rPr>
        <w:t>井场、站场</w:t>
      </w:r>
      <w:r>
        <w:rPr>
          <w:rFonts w:hint="eastAsia" w:ascii="宋体" w:hAnsi="宋体" w:eastAsia="宋体" w:cs="宋体"/>
          <w:color w:val="auto"/>
          <w:sz w:val="24"/>
          <w:szCs w:val="24"/>
          <w:highlight w:val="none"/>
        </w:rPr>
        <w:t>的设备、阀门等进行定期的检查、检修，以防止跑、冒、滴、漏的发生。定期对集输管线进行巡检，以便及时发现问题，消除事故隐患，防止油气</w:t>
      </w:r>
      <w:r>
        <w:rPr>
          <w:rFonts w:hint="eastAsia" w:ascii="宋体" w:hAnsi="宋体" w:eastAsia="宋体" w:cs="宋体"/>
          <w:color w:val="auto"/>
          <w:sz w:val="24"/>
          <w:szCs w:val="24"/>
          <w:highlight w:val="none"/>
          <w:lang w:eastAsia="zh-CN"/>
        </w:rPr>
        <w:t>泄漏</w:t>
      </w:r>
      <w:r>
        <w:rPr>
          <w:rFonts w:hint="eastAsia" w:ascii="宋体" w:hAnsi="宋体" w:eastAsia="宋体" w:cs="宋体"/>
          <w:color w:val="auto"/>
          <w:sz w:val="24"/>
          <w:szCs w:val="24"/>
          <w:highlight w:val="none"/>
        </w:rPr>
        <w:t>进入大气环境</w:t>
      </w:r>
      <w:r>
        <w:rPr>
          <w:rFonts w:hint="eastAsia" w:ascii="宋体" w:hAnsi="宋体" w:eastAsia="宋体" w:cs="宋体"/>
          <w:color w:val="auto"/>
          <w:sz w:val="24"/>
          <w:szCs w:val="24"/>
          <w:highlight w:val="none"/>
          <w:lang w:val="en-US" w:eastAsia="zh-CN"/>
        </w:rPr>
        <w:t>。</w:t>
      </w:r>
      <w:bookmarkStart w:id="913" w:name="OLE_LINK149"/>
      <w:r>
        <w:rPr>
          <w:rFonts w:hint="eastAsia" w:ascii="宋体" w:hAnsi="宋体" w:eastAsia="宋体" w:cs="宋体"/>
          <w:color w:val="auto"/>
          <w:sz w:val="24"/>
          <w:szCs w:val="24"/>
          <w:highlight w:val="none"/>
          <w:lang w:val="en-US" w:eastAsia="zh-CN"/>
        </w:rPr>
        <w:t>加热炉使用净化后的天然气为燃料，采用高效的燃烧设施（低氮燃烧），排气筒高</w:t>
      </w:r>
      <w:r>
        <w:rPr>
          <w:rFonts w:hint="default" w:ascii="Times New Roman" w:hAnsi="Times New Roman" w:eastAsia="宋体" w:cs="Times New Roman"/>
          <w:color w:val="auto"/>
          <w:sz w:val="24"/>
          <w:szCs w:val="24"/>
          <w:highlight w:val="none"/>
          <w:lang w:val="en-US" w:eastAsia="zh-CN"/>
        </w:rPr>
        <w:t>度应不低于8m。加热炉需按照《固定污染源排污许可分类管理名录》及《排污许可证申请与核发技术规范 锅炉》（HJ953-2019）等相关要求，</w:t>
      </w:r>
      <w:r>
        <w:rPr>
          <w:rFonts w:hint="default" w:ascii="Times New Roman" w:hAnsi="Times New Roman" w:cs="Times New Roman"/>
          <w:color w:val="auto"/>
          <w:sz w:val="24"/>
          <w:szCs w:val="24"/>
          <w:highlight w:val="none"/>
          <w:lang w:val="en-US" w:eastAsia="zh-CN"/>
        </w:rPr>
        <w:t>申请</w:t>
      </w:r>
      <w:r>
        <w:rPr>
          <w:rFonts w:hint="default" w:ascii="Times New Roman" w:hAnsi="Times New Roman" w:eastAsia="宋体" w:cs="Times New Roman"/>
          <w:color w:val="auto"/>
          <w:sz w:val="24"/>
          <w:szCs w:val="24"/>
          <w:highlight w:val="none"/>
          <w:lang w:val="en-US" w:eastAsia="zh-CN"/>
        </w:rPr>
        <w:t>排污许可证并进行例行监测等。</w:t>
      </w:r>
    </w:p>
    <w:bookmarkEnd w:id="913"/>
    <w:p w14:paraId="6FB0BE8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噪声防治措施：合理布局噪声源，采用基础减振、隔声等措施，并加强日常维护，减轻设备对外环境和岗位工人的噪声污染。</w:t>
      </w:r>
    </w:p>
    <w:p w14:paraId="047A1F5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废水防治措施：运营期井下作业废水由自带回收罐回收，拉运至英买力油田钻试修废弃物环保处理站处理；生活污水暂存于生活污水池，定期由罐车拉运至英买力作业区生活污水处理装置处置。</w:t>
      </w:r>
    </w:p>
    <w:p w14:paraId="01B40DF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地下水环境保护按照“源头控制、分区防控、污染监控、应急响应”原则采取措施。</w:t>
      </w:r>
    </w:p>
    <w:p w14:paraId="7921936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固体废物防治措施：</w:t>
      </w:r>
      <w:r>
        <w:rPr>
          <w:rFonts w:hint="default" w:ascii="Times New Roman" w:hAnsi="Times New Roman" w:eastAsia="宋体" w:cs="Times New Roman"/>
          <w:color w:val="auto"/>
          <w:sz w:val="24"/>
          <w:szCs w:val="24"/>
          <w:lang w:eastAsia="zh-CN"/>
        </w:rPr>
        <w:t>本工程</w:t>
      </w:r>
      <w:r>
        <w:rPr>
          <w:rFonts w:hint="default" w:ascii="Times New Roman" w:hAnsi="Times New Roman" w:eastAsia="宋体" w:cs="Times New Roman"/>
          <w:color w:val="auto"/>
          <w:sz w:val="24"/>
          <w:szCs w:val="24"/>
        </w:rPr>
        <w:t>运营期产生的</w:t>
      </w:r>
      <w:r>
        <w:rPr>
          <w:rFonts w:hint="default" w:ascii="Times New Roman" w:hAnsi="Times New Roman" w:eastAsia="宋体" w:cs="Times New Roman"/>
          <w:color w:val="auto"/>
          <w:sz w:val="24"/>
          <w:szCs w:val="24"/>
          <w:lang w:val="en-US" w:eastAsia="zh-CN"/>
        </w:rPr>
        <w:t>废</w:t>
      </w:r>
      <w:r>
        <w:rPr>
          <w:rFonts w:hint="default" w:ascii="Times New Roman" w:hAnsi="Times New Roman" w:cs="Times New Roman"/>
          <w:color w:val="auto"/>
          <w:sz w:val="24"/>
          <w:szCs w:val="24"/>
          <w:lang w:val="en-US" w:eastAsia="zh-CN"/>
        </w:rPr>
        <w:t>脱硫剂、废分子筛</w:t>
      </w:r>
      <w:r>
        <w:rPr>
          <w:rFonts w:hint="default" w:ascii="Times New Roman" w:hAnsi="Times New Roman" w:cs="Times New Roman"/>
          <w:bCs/>
          <w:color w:val="auto"/>
          <w:sz w:val="24"/>
          <w:szCs w:val="24"/>
          <w:highlight w:val="none"/>
          <w:lang w:val="en-US" w:eastAsia="zh-CN"/>
        </w:rPr>
        <w:t>，属于一般工业固体废物，由生产厂家进行更换，更换后由其拉走处置。</w:t>
      </w:r>
      <w:r>
        <w:rPr>
          <w:rFonts w:hint="default" w:ascii="Times New Roman" w:hAnsi="Times New Roman" w:eastAsia="宋体" w:cs="Times New Roman"/>
          <w:color w:val="auto"/>
          <w:sz w:val="24"/>
          <w:szCs w:val="24"/>
        </w:rPr>
        <w:t>清管废渣、油泥砂、落地油、废防渗膜、废润滑油属于危险废物，严格</w:t>
      </w:r>
      <w:r>
        <w:rPr>
          <w:rFonts w:hint="default" w:ascii="Times New Roman" w:hAnsi="Times New Roman" w:cs="Times New Roman"/>
          <w:color w:val="auto"/>
          <w:sz w:val="24"/>
          <w:szCs w:val="24"/>
          <w:lang w:eastAsia="zh-CN"/>
        </w:rPr>
        <w:t>按照</w:t>
      </w:r>
      <w:r>
        <w:rPr>
          <w:rFonts w:hint="default" w:ascii="Times New Roman" w:hAnsi="Times New Roman" w:eastAsia="宋体" w:cs="Times New Roman"/>
          <w:color w:val="auto"/>
          <w:sz w:val="24"/>
          <w:szCs w:val="24"/>
        </w:rPr>
        <w:t>危险废物相关技术要求和管理规定进行收集与贮存，委托有危废处置资质单位进行处置</w:t>
      </w:r>
      <w:r>
        <w:rPr>
          <w:rFonts w:hint="default" w:ascii="Times New Roman" w:hAnsi="Times New Roman" w:cs="Times New Roman"/>
          <w:color w:val="auto"/>
          <w:sz w:val="24"/>
          <w:szCs w:val="24"/>
          <w:lang w:val="en-US" w:eastAsia="zh-CN"/>
        </w:rPr>
        <w:t>；井下作业固废采用专用回收罐进行回收，拉运至英买力油田钻试修废弃物环保处理站进行处理；井下作业时带罐作业，落地油100%回收，回收后的落地原油委托有危废处置资质单位进行处置；生活垃圾集中收集后委托温宿县垃圾填埋场处置。</w:t>
      </w:r>
    </w:p>
    <w:p w14:paraId="00F5344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土壤污染防治措施：加强管线内的压力、流量传感器检修维护，发生管线阀门连接处泄漏及时切断阀门，减少泄漏量；加强日常巡检监管工作，出现泄漏情况能及时发现；加强法兰、阀门连接处腐蚀情况记录管理，避免因老化、腐蚀导致泄漏情况发生。严格执行地下水章节分区防控措施要求。制定跟踪监测计划，发生事故</w:t>
      </w:r>
      <w:r>
        <w:rPr>
          <w:rFonts w:hint="default" w:ascii="Times New Roman" w:hAnsi="Times New Roman" w:cs="Times New Roman"/>
          <w:color w:val="auto"/>
          <w:sz w:val="24"/>
          <w:szCs w:val="24"/>
          <w:lang w:eastAsia="zh-CN"/>
        </w:rPr>
        <w:t>泄漏</w:t>
      </w:r>
      <w:r>
        <w:rPr>
          <w:rFonts w:hint="default" w:ascii="Times New Roman" w:hAnsi="Times New Roman" w:eastAsia="宋体" w:cs="Times New Roman"/>
          <w:color w:val="auto"/>
          <w:sz w:val="24"/>
          <w:szCs w:val="24"/>
        </w:rPr>
        <w:t>时对井口区及集输管线铺设范围可能影响区域进行跟踪监测。</w:t>
      </w:r>
    </w:p>
    <w:p w14:paraId="10901FA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风险防治措施：</w:t>
      </w:r>
      <w:r>
        <w:rPr>
          <w:rFonts w:hint="default" w:ascii="Times New Roman" w:hAnsi="Times New Roman" w:eastAsia="宋体" w:cs="Times New Roman"/>
          <w:color w:val="auto"/>
          <w:sz w:val="24"/>
          <w:szCs w:val="24"/>
          <w:highlight w:val="none"/>
          <w:lang w:eastAsia="zh-CN"/>
        </w:rPr>
        <w:t>本工程</w:t>
      </w:r>
      <w:r>
        <w:rPr>
          <w:rFonts w:hint="default" w:ascii="Times New Roman" w:hAnsi="Times New Roman" w:eastAsia="宋体" w:cs="Times New Roman"/>
          <w:color w:val="auto"/>
          <w:sz w:val="24"/>
          <w:szCs w:val="24"/>
          <w:highlight w:val="none"/>
        </w:rPr>
        <w:t>集输工程中主要风险是管线破坏引起的天然气、原油</w:t>
      </w:r>
      <w:r>
        <w:rPr>
          <w:rFonts w:hint="default" w:ascii="Times New Roman" w:hAnsi="Times New Roman" w:cs="Times New Roman"/>
          <w:color w:val="auto"/>
          <w:sz w:val="24"/>
          <w:szCs w:val="24"/>
          <w:highlight w:val="none"/>
          <w:lang w:val="en-US" w:eastAsia="zh-CN"/>
        </w:rPr>
        <w:t>、甲醇</w:t>
      </w:r>
      <w:r>
        <w:rPr>
          <w:rFonts w:hint="default" w:ascii="Times New Roman" w:hAnsi="Times New Roman" w:eastAsia="宋体" w:cs="Times New Roman"/>
          <w:color w:val="auto"/>
          <w:sz w:val="24"/>
          <w:szCs w:val="24"/>
          <w:highlight w:val="none"/>
        </w:rPr>
        <w:t>泄漏，做好风险防范工作，防止对周围环境、工作人员人身安全造成的危害。</w:t>
      </w:r>
      <w:r>
        <w:rPr>
          <w:rFonts w:hint="default" w:ascii="Times New Roman" w:hAnsi="Times New Roman" w:eastAsia="宋体" w:cs="Times New Roman"/>
          <w:color w:val="auto"/>
          <w:sz w:val="24"/>
          <w:szCs w:val="24"/>
          <w:highlight w:val="none"/>
          <w:lang w:eastAsia="zh-CN"/>
        </w:rPr>
        <w:t>本工程</w:t>
      </w:r>
      <w:r>
        <w:rPr>
          <w:rFonts w:hint="default" w:ascii="Times New Roman" w:hAnsi="Times New Roman" w:eastAsia="宋体" w:cs="Times New Roman"/>
          <w:color w:val="auto"/>
          <w:sz w:val="24"/>
          <w:szCs w:val="24"/>
          <w:highlight w:val="none"/>
        </w:rPr>
        <w:t>的环境风险防范措施及制定的预案切实可行、有效。在落实风险防范措施、应急预案后，其发生事故的概率较低，其环境危害也是较小的，环境风险水平是可接受的，项目建设可行。</w:t>
      </w:r>
    </w:p>
    <w:p w14:paraId="5FE784D2">
      <w:pPr>
        <w:pStyle w:val="75"/>
        <w:bidi w:val="0"/>
        <w:rPr>
          <w:color w:val="auto"/>
          <w:lang w:val="en-US" w:eastAsia="zh-CN"/>
        </w:rPr>
      </w:pPr>
      <w:bookmarkStart w:id="914" w:name="_Toc30800"/>
      <w:r>
        <w:rPr>
          <w:rFonts w:hint="eastAsia"/>
          <w:color w:val="auto"/>
          <w:lang w:val="en-US" w:eastAsia="zh-CN"/>
        </w:rPr>
        <w:t>10</w:t>
      </w:r>
      <w:r>
        <w:rPr>
          <w:color w:val="auto"/>
          <w:lang w:val="en-US" w:eastAsia="zh-CN"/>
        </w:rPr>
        <w:t>.7</w:t>
      </w:r>
      <w:r>
        <w:rPr>
          <w:rFonts w:hint="eastAsia"/>
          <w:color w:val="auto"/>
          <w:lang w:val="en-US" w:eastAsia="zh-CN"/>
        </w:rPr>
        <w:t xml:space="preserve"> </w:t>
      </w:r>
      <w:r>
        <w:rPr>
          <w:color w:val="auto"/>
          <w:lang w:val="en-US" w:eastAsia="zh-CN"/>
        </w:rPr>
        <w:t>公众意见采纳情况</w:t>
      </w:r>
      <w:bookmarkEnd w:id="914"/>
    </w:p>
    <w:p w14:paraId="4B74DA5B">
      <w:pPr>
        <w:pStyle w:val="79"/>
        <w:bidi w:val="0"/>
        <w:rPr>
          <w:rFonts w:hint="eastAsia"/>
          <w:color w:val="auto"/>
          <w:lang w:eastAsia="zh-CN"/>
        </w:rPr>
      </w:pPr>
      <w:r>
        <w:rPr>
          <w:rFonts w:hint="eastAsia"/>
          <w:color w:val="auto"/>
          <w:lang w:eastAsia="zh-CN"/>
        </w:rPr>
        <w:t>环评期间，建设单位根据《环境影响评价公众参与办法》（部令第4号）的有关要求，中国石油天然气股份有限公司塔里木油田分公司通过网络公示、报纸公示征求公众意见。调查结果表明：本项目的建设在公示期间没有公众提出反对意见。</w:t>
      </w:r>
    </w:p>
    <w:p w14:paraId="140796D5">
      <w:pPr>
        <w:pStyle w:val="75"/>
        <w:bidi w:val="0"/>
        <w:rPr>
          <w:color w:val="auto"/>
          <w:lang w:val="en-US" w:eastAsia="zh-CN"/>
        </w:rPr>
      </w:pPr>
      <w:bookmarkStart w:id="915" w:name="_Toc17668"/>
      <w:r>
        <w:rPr>
          <w:rFonts w:hint="eastAsia"/>
          <w:color w:val="auto"/>
          <w:lang w:val="en-US" w:eastAsia="zh-CN"/>
        </w:rPr>
        <w:t>10</w:t>
      </w:r>
      <w:r>
        <w:rPr>
          <w:color w:val="auto"/>
          <w:lang w:val="en-US" w:eastAsia="zh-CN"/>
        </w:rPr>
        <w:t>.8</w:t>
      </w:r>
      <w:r>
        <w:rPr>
          <w:rFonts w:hint="eastAsia"/>
          <w:color w:val="auto"/>
          <w:lang w:val="en-US" w:eastAsia="zh-CN"/>
        </w:rPr>
        <w:t xml:space="preserve"> </w:t>
      </w:r>
      <w:r>
        <w:rPr>
          <w:color w:val="auto"/>
          <w:lang w:val="en-US" w:eastAsia="zh-CN"/>
        </w:rPr>
        <w:t>环境影响经济损益分析</w:t>
      </w:r>
      <w:bookmarkEnd w:id="915"/>
    </w:p>
    <w:p w14:paraId="43E372D4">
      <w:pPr>
        <w:pStyle w:val="79"/>
        <w:bidi w:val="0"/>
        <w:rPr>
          <w:color w:val="auto"/>
          <w:lang w:val="en-US" w:eastAsia="zh-CN"/>
        </w:rPr>
      </w:pPr>
      <w:r>
        <w:rPr>
          <w:rFonts w:hint="eastAsia"/>
          <w:color w:val="auto"/>
          <w:lang w:val="en-US" w:eastAsia="zh-CN"/>
        </w:rPr>
        <w:t>本工程</w:t>
      </w:r>
      <w:r>
        <w:rPr>
          <w:color w:val="auto"/>
          <w:lang w:val="en-US" w:eastAsia="zh-CN"/>
        </w:rPr>
        <w:t>具有良好的</w:t>
      </w:r>
      <w:r>
        <w:rPr>
          <w:rFonts w:hint="eastAsia"/>
          <w:color w:val="auto"/>
          <w:lang w:val="en-US" w:eastAsia="zh-CN"/>
        </w:rPr>
        <w:t>环境效益、</w:t>
      </w:r>
      <w:r>
        <w:rPr>
          <w:color w:val="auto"/>
          <w:lang w:val="en-US" w:eastAsia="zh-CN"/>
        </w:rPr>
        <w:t>经济效益和社会效益。</w:t>
      </w:r>
    </w:p>
    <w:p w14:paraId="17C40668">
      <w:pPr>
        <w:pStyle w:val="79"/>
        <w:bidi w:val="0"/>
        <w:rPr>
          <w:color w:val="auto"/>
          <w:lang w:val="en-US" w:eastAsia="zh-CN"/>
        </w:rPr>
      </w:pPr>
      <w:r>
        <w:rPr>
          <w:color w:val="auto"/>
          <w:lang w:val="en-US" w:eastAsia="zh-CN"/>
        </w:rPr>
        <w:t>在建设过程中，由于</w:t>
      </w:r>
      <w:r>
        <w:rPr>
          <w:rFonts w:hint="eastAsia"/>
          <w:color w:val="auto"/>
          <w:lang w:val="en-US" w:eastAsia="zh-CN"/>
        </w:rPr>
        <w:t>场站</w:t>
      </w:r>
      <w:r>
        <w:rPr>
          <w:color w:val="auto"/>
          <w:lang w:val="en-US" w:eastAsia="zh-CN"/>
        </w:rPr>
        <w:t>设施建设、管线敷设等都需要占用一定量的土地，并因此带来一定的环境损失。因而在</w:t>
      </w:r>
      <w:r>
        <w:rPr>
          <w:rFonts w:hint="eastAsia"/>
          <w:color w:val="auto"/>
          <w:lang w:val="en-US" w:eastAsia="zh-CN"/>
        </w:rPr>
        <w:t>油田</w:t>
      </w:r>
      <w:r>
        <w:rPr>
          <w:color w:val="auto"/>
          <w:lang w:val="en-US" w:eastAsia="zh-CN"/>
        </w:rPr>
        <w:t>开发过程中，需要投入必要的资金用于污染防治和恢复地貌等，经估算</w:t>
      </w:r>
      <w:r>
        <w:rPr>
          <w:rFonts w:hint="eastAsia"/>
          <w:color w:val="auto"/>
          <w:lang w:val="en-US" w:eastAsia="zh-CN"/>
        </w:rPr>
        <w:t>本工程</w:t>
      </w:r>
      <w:r>
        <w:rPr>
          <w:color w:val="auto"/>
          <w:lang w:val="en-US" w:eastAsia="zh-CN"/>
        </w:rPr>
        <w:t>环境保护投资约</w:t>
      </w:r>
      <w:r>
        <w:rPr>
          <w:rFonts w:hint="eastAsia"/>
          <w:color w:val="auto"/>
          <w:lang w:val="en-US" w:eastAsia="zh-CN"/>
        </w:rPr>
        <w:t>61万元</w:t>
      </w:r>
      <w:r>
        <w:rPr>
          <w:color w:val="auto"/>
          <w:lang w:val="en-US" w:eastAsia="zh-CN"/>
        </w:rPr>
        <w:t>，环境保护投资占总投资的</w:t>
      </w:r>
      <w:r>
        <w:rPr>
          <w:rFonts w:hint="eastAsia"/>
          <w:color w:val="auto"/>
          <w:lang w:val="en-US" w:eastAsia="zh-CN"/>
        </w:rPr>
        <w:t>1.27%</w:t>
      </w:r>
      <w:r>
        <w:rPr>
          <w:color w:val="auto"/>
          <w:lang w:val="en-US" w:eastAsia="zh-CN"/>
        </w:rPr>
        <w:t>。实施相应的环保措施后，不但能够起到保护环境的效果，同时节约经济开支，为企业带来经济效益。</w:t>
      </w:r>
    </w:p>
    <w:p w14:paraId="77934803">
      <w:pPr>
        <w:pStyle w:val="75"/>
        <w:bidi w:val="0"/>
        <w:rPr>
          <w:color w:val="auto"/>
          <w:lang w:val="en-US" w:eastAsia="zh-CN"/>
        </w:rPr>
      </w:pPr>
      <w:bookmarkStart w:id="916" w:name="_Toc16271"/>
      <w:r>
        <w:rPr>
          <w:rFonts w:hint="eastAsia"/>
          <w:color w:val="auto"/>
          <w:lang w:val="en-US" w:eastAsia="zh-CN"/>
        </w:rPr>
        <w:t>10</w:t>
      </w:r>
      <w:r>
        <w:rPr>
          <w:color w:val="auto"/>
          <w:lang w:val="en-US" w:eastAsia="zh-CN"/>
        </w:rPr>
        <w:t>.9</w:t>
      </w:r>
      <w:r>
        <w:rPr>
          <w:rFonts w:hint="eastAsia"/>
          <w:color w:val="auto"/>
          <w:lang w:val="en-US" w:eastAsia="zh-CN"/>
        </w:rPr>
        <w:t xml:space="preserve"> </w:t>
      </w:r>
      <w:r>
        <w:rPr>
          <w:color w:val="auto"/>
          <w:lang w:val="en-US" w:eastAsia="zh-CN"/>
        </w:rPr>
        <w:t>环境管理与监测计划</w:t>
      </w:r>
      <w:bookmarkEnd w:id="916"/>
    </w:p>
    <w:p w14:paraId="3D27C4DE">
      <w:pPr>
        <w:pStyle w:val="79"/>
        <w:bidi w:val="0"/>
        <w:rPr>
          <w:color w:val="auto"/>
          <w:lang w:val="en-US" w:eastAsia="zh-CN"/>
        </w:rPr>
      </w:pPr>
      <w:r>
        <w:rPr>
          <w:rFonts w:hint="eastAsia"/>
          <w:color w:val="auto"/>
          <w:lang w:val="en-US" w:eastAsia="zh-CN"/>
        </w:rPr>
        <w:t>中国石油天然气股份有限公司塔里木油田分公司</w:t>
      </w:r>
      <w:r>
        <w:rPr>
          <w:color w:val="auto"/>
          <w:lang w:val="en-US" w:eastAsia="zh-CN"/>
        </w:rPr>
        <w:t>环境管理机构设置健全，同时拥有完善的管理体系和管理手段。</w:t>
      </w:r>
      <w:r>
        <w:rPr>
          <w:rFonts w:hint="eastAsia"/>
          <w:color w:val="auto"/>
          <w:lang w:val="en-US" w:eastAsia="zh-CN"/>
        </w:rPr>
        <w:t>本工程</w:t>
      </w:r>
      <w:r>
        <w:rPr>
          <w:color w:val="auto"/>
          <w:lang w:val="en-US" w:eastAsia="zh-CN"/>
        </w:rPr>
        <w:t>制定了施工期环境监理计划、运营期环境监测计划和环保设施竣工验收管理要求，针对工程的不同阶段提出了具体的环境管理要求。</w:t>
      </w:r>
    </w:p>
    <w:p w14:paraId="61C6C171">
      <w:pPr>
        <w:pStyle w:val="75"/>
        <w:bidi w:val="0"/>
        <w:rPr>
          <w:color w:val="auto"/>
          <w:lang w:val="en-US" w:eastAsia="zh-CN"/>
        </w:rPr>
      </w:pPr>
      <w:bookmarkStart w:id="917" w:name="_Toc29291"/>
      <w:r>
        <w:rPr>
          <w:rFonts w:hint="eastAsia"/>
          <w:color w:val="auto"/>
          <w:lang w:val="en-US" w:eastAsia="zh-CN"/>
        </w:rPr>
        <w:t>10</w:t>
      </w:r>
      <w:r>
        <w:rPr>
          <w:color w:val="auto"/>
          <w:lang w:val="en-US" w:eastAsia="zh-CN"/>
        </w:rPr>
        <w:t>.10</w:t>
      </w:r>
      <w:r>
        <w:rPr>
          <w:rFonts w:hint="eastAsia"/>
          <w:color w:val="auto"/>
          <w:lang w:val="en-US" w:eastAsia="zh-CN"/>
        </w:rPr>
        <w:t xml:space="preserve"> 项目可行性结论</w:t>
      </w:r>
      <w:bookmarkEnd w:id="917"/>
    </w:p>
    <w:p w14:paraId="6C1E2D80">
      <w:pPr>
        <w:pStyle w:val="79"/>
        <w:bidi w:val="0"/>
        <w:rPr>
          <w:rFonts w:hint="default"/>
          <w:color w:val="auto"/>
          <w:lang w:val="en-US" w:eastAsia="zh-CN"/>
        </w:rPr>
      </w:pPr>
      <w:r>
        <w:rPr>
          <w:rFonts w:hint="default"/>
          <w:color w:val="auto"/>
          <w:lang w:val="en-US" w:eastAsia="zh-CN"/>
        </w:rPr>
        <w:t>本工程</w:t>
      </w:r>
      <w:r>
        <w:rPr>
          <w:rFonts w:hint="eastAsia"/>
          <w:color w:val="auto"/>
          <w:lang w:val="en-US" w:eastAsia="zh-CN"/>
        </w:rPr>
        <w:t>为</w:t>
      </w:r>
      <w:r>
        <w:rPr>
          <w:rFonts w:hint="default"/>
          <w:color w:val="auto"/>
          <w:lang w:val="en-US" w:eastAsia="zh-CN"/>
        </w:rPr>
        <w:t>石油天然气开采项目</w:t>
      </w:r>
      <w:r>
        <w:rPr>
          <w:rFonts w:hint="eastAsia"/>
          <w:color w:val="auto"/>
          <w:lang w:val="en-US" w:eastAsia="zh-CN"/>
        </w:rPr>
        <w:t>，</w:t>
      </w:r>
      <w:r>
        <w:rPr>
          <w:rFonts w:hint="default"/>
          <w:color w:val="auto"/>
          <w:lang w:val="en-US" w:eastAsia="zh-CN"/>
        </w:rPr>
        <w:t>属于《产业结构调整指导目录（2024年本）》中鼓励类项目，符合国家产业政策；符合《新疆维吾尔自治区大气污染防治条例》《石油天然气开采</w:t>
      </w:r>
      <w:r>
        <w:rPr>
          <w:rFonts w:hint="eastAsia"/>
          <w:color w:val="auto"/>
          <w:lang w:val="en-US" w:eastAsia="zh-CN"/>
        </w:rPr>
        <w:t>业</w:t>
      </w:r>
      <w:r>
        <w:rPr>
          <w:rFonts w:hint="default"/>
          <w:color w:val="auto"/>
          <w:lang w:val="en-US" w:eastAsia="zh-CN"/>
        </w:rPr>
        <w:t>污染防治技术政策》等法规和政策要求；符合《新疆维吾尔自治区国民经济和社会发展第十四个五年规划和2035年远景目标纲要》《新疆生态环境保护“十四五”规划》《新疆维吾尔自治区主体功能区规划》等要求</w:t>
      </w:r>
      <w:r>
        <w:rPr>
          <w:rFonts w:hint="eastAsia"/>
          <w:color w:val="auto"/>
          <w:lang w:val="en-US" w:eastAsia="zh-CN"/>
        </w:rPr>
        <w:t>；中国石油天然气股份有限公司塔里木油田分公司按照《环境影响评价公众参与办法》，在本工程环评过程中开展了公众参与调查，至信息公告的截止日期没有收到相关反馈信息。</w:t>
      </w:r>
    </w:p>
    <w:p w14:paraId="4834FEEF">
      <w:pPr>
        <w:pStyle w:val="79"/>
        <w:bidi w:val="0"/>
        <w:rPr>
          <w:rFonts w:hint="default"/>
          <w:color w:val="auto"/>
          <w:lang w:val="en-US" w:eastAsia="zh-CN"/>
        </w:rPr>
      </w:pPr>
      <w:r>
        <w:rPr>
          <w:rFonts w:hint="default"/>
          <w:color w:val="auto"/>
          <w:lang w:val="en-US" w:eastAsia="zh-CN"/>
        </w:rPr>
        <w:t>项目</w:t>
      </w:r>
      <w:r>
        <w:rPr>
          <w:rFonts w:hint="eastAsia"/>
          <w:color w:val="auto"/>
          <w:lang w:val="en-US" w:eastAsia="zh-CN"/>
        </w:rPr>
        <w:t>区</w:t>
      </w:r>
      <w:r>
        <w:rPr>
          <w:rFonts w:hint="default"/>
          <w:color w:val="auto"/>
          <w:lang w:val="en-US" w:eastAsia="zh-CN"/>
        </w:rPr>
        <w:t>不涉及依法划定的自然保护区、饮用水源保护区、风景名胜区、森林公园等环境敏感区；项目符合生态环境分区管控方案要求</w:t>
      </w:r>
      <w:r>
        <w:rPr>
          <w:rFonts w:hint="eastAsia"/>
          <w:color w:val="auto"/>
          <w:lang w:val="en-US" w:eastAsia="zh-CN"/>
        </w:rPr>
        <w:t>，选址选线合理。</w:t>
      </w:r>
    </w:p>
    <w:p w14:paraId="19BB5F39">
      <w:pPr>
        <w:pStyle w:val="79"/>
        <w:bidi w:val="0"/>
        <w:rPr>
          <w:rFonts w:hint="default"/>
          <w:color w:val="auto"/>
        </w:rPr>
      </w:pPr>
      <w:r>
        <w:rPr>
          <w:rFonts w:hint="default"/>
          <w:color w:val="auto"/>
          <w:lang w:val="en-US" w:eastAsia="zh-CN"/>
        </w:rPr>
        <w:t>只要在建设和运营过程中认真落实各项污染防治措施、生态修复措施、风险防范措施及应急措施，各项污染物均能够做到达标排放，其生态破坏可降至最低，环境风险可以接受，从环境保护角度看，本工程建设是可行的。</w:t>
      </w:r>
      <w:bookmarkEnd w:id="828"/>
      <w:bookmarkEnd w:id="829"/>
      <w:bookmarkEnd w:id="830"/>
      <w:bookmarkEnd w:id="831"/>
      <w:bookmarkEnd w:id="832"/>
      <w:bookmarkEnd w:id="833"/>
      <w:bookmarkEnd w:id="834"/>
      <w:bookmarkEnd w:id="835"/>
      <w:bookmarkEnd w:id="836"/>
      <w:bookmarkEnd w:id="837"/>
      <w:bookmarkEnd w:id="865"/>
      <w:bookmarkEnd w:id="866"/>
      <w:bookmarkEnd w:id="867"/>
      <w:bookmarkEnd w:id="868"/>
      <w:bookmarkEnd w:id="869"/>
      <w:bookmarkEnd w:id="870"/>
      <w:bookmarkEnd w:id="871"/>
      <w:bookmarkEnd w:id="872"/>
    </w:p>
    <w:sectPr>
      <w:pgSz w:w="11906"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AndChars" w:linePitch="31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A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等线">
    <w:altName w:val="Arial Unicode MS"/>
    <w:panose1 w:val="02010600030101010101"/>
    <w:charset w:val="86"/>
    <w:family w:val="auto"/>
    <w:pitch w:val="default"/>
    <w:sig w:usb0="00000000" w:usb1="00000000" w:usb2="00000016" w:usb3="00000000" w:csb0="0004000F" w:csb1="00000000"/>
  </w:font>
  <w:font w:name="Cambria Math">
    <w:panose1 w:val="02040503050406030204"/>
    <w:charset w:val="00"/>
    <w:family w:val="auto"/>
    <w:pitch w:val="default"/>
    <w:sig w:usb0="E00002FF" w:usb1="420024FF" w:usb2="00000000" w:usb3="00000000" w:csb0="2000019F" w:csb1="00000000"/>
  </w:font>
  <w:font w:name="Wingdings 2">
    <w:panose1 w:val="05020102010507070707"/>
    <w:charset w:val="02"/>
    <w:family w:val="roman"/>
    <w:pitch w:val="default"/>
    <w:sig w:usb0="00000000" w:usb1="00000000" w:usb2="00000000" w:usb3="00000000" w:csb0="8000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ST Song Std">
    <w:altName w:val="宋体"/>
    <w:panose1 w:val="00000000000000000000"/>
    <w:charset w:val="86"/>
    <w:family w:val="roma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3AD9B1">
    <w:pPr>
      <w:pStyle w:val="23"/>
      <w:widowControl w:val="0"/>
      <w:pBdr>
        <w:top w:val="none" w:color="622423" w:sz="0" w:space="1"/>
        <w:left w:val="none" w:color="auto" w:sz="0" w:space="4"/>
        <w:bottom w:val="none" w:color="auto" w:sz="0" w:space="1"/>
        <w:right w:val="none" w:color="auto" w:sz="0" w:space="4"/>
        <w:between w:val="none" w:color="auto" w:sz="0" w:space="0"/>
      </w:pBdr>
      <w:tabs>
        <w:tab w:val="right" w:pos="9070"/>
        <w:tab w:val="clear" w:pos="4153"/>
        <w:tab w:val="clear" w:pos="8306"/>
      </w:tabs>
      <w:snapToGrid w:val="0"/>
      <w:spacing w:line="500" w:lineRule="exact"/>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294E6">
    <w:pPr>
      <w:pStyle w:val="23"/>
      <w:widowControl w:val="0"/>
      <w:pBdr>
        <w:top w:val="none" w:color="622423" w:sz="0" w:space="1"/>
        <w:left w:val="none" w:color="auto" w:sz="0" w:space="4"/>
        <w:bottom w:val="none" w:color="auto" w:sz="0" w:space="1"/>
        <w:right w:val="none" w:color="auto" w:sz="0" w:space="4"/>
        <w:between w:val="none" w:color="auto" w:sz="0" w:space="0"/>
      </w:pBdr>
      <w:tabs>
        <w:tab w:val="right" w:pos="9070"/>
        <w:tab w:val="clear" w:pos="4153"/>
        <w:tab w:val="clear" w:pos="8306"/>
      </w:tabs>
      <w:snapToGrid w:val="0"/>
      <w:spacing w:line="500" w:lineRule="exact"/>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4E25F">
    <w:pPr>
      <w:pStyle w:val="23"/>
      <w:widowControl w:val="0"/>
      <w:pBdr>
        <w:top w:val="thinThickSmallGap" w:color="auto" w:sz="12" w:space="1"/>
        <w:left w:val="none" w:color="auto" w:sz="0" w:space="4"/>
        <w:bottom w:val="none" w:color="auto" w:sz="0" w:space="1"/>
        <w:right w:val="none" w:color="auto" w:sz="0" w:space="4"/>
        <w:between w:val="none" w:color="auto" w:sz="0" w:space="0"/>
      </w:pBdr>
      <w:snapToGrid w:val="0"/>
      <w:spacing w:line="500" w:lineRule="exact"/>
      <w:jc w:val="left"/>
      <w:rPr>
        <w:rFonts w:hint="default"/>
        <w:lang w:val="en-US"/>
      </w:rPr>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553479">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53553479">
                    <w:pPr>
                      <w:pStyle w:val="23"/>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val="en-US" w:eastAsia="zh-CN"/>
      </w:rPr>
      <w:t>新疆天合环境技术咨询有限公司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75C50">
    <w:pPr>
      <w:pStyle w:val="23"/>
      <w:pBdr>
        <w:top w:val="single" w:color="auto" w:sz="4" w:space="1"/>
      </w:pBdr>
      <w:ind w:left="1360" w:hanging="400"/>
    </w:pPr>
    <w:r>
      <w:drawing>
        <wp:anchor distT="0" distB="0" distL="114300" distR="114300" simplePos="0" relativeHeight="251683840" behindDoc="1" locked="0" layoutInCell="1" allowOverlap="0">
          <wp:simplePos x="0" y="0"/>
          <wp:positionH relativeFrom="column">
            <wp:posOffset>2540</wp:posOffset>
          </wp:positionH>
          <wp:positionV relativeFrom="line">
            <wp:posOffset>-81915</wp:posOffset>
          </wp:positionV>
          <wp:extent cx="390525" cy="285750"/>
          <wp:effectExtent l="0" t="0" r="0" b="0"/>
          <wp:wrapNone/>
          <wp:docPr id="9" name="图片 46" descr="wps7E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6" descr="wps7EA1"/>
                  <pic:cNvPicPr>
                    <a:picLocks noChangeAspect="1"/>
                  </pic:cNvPicPr>
                </pic:nvPicPr>
                <pic:blipFill>
                  <a:blip r:embed="rId1"/>
                  <a:stretch>
                    <a:fillRect/>
                  </a:stretch>
                </pic:blipFill>
                <pic:spPr>
                  <a:xfrm>
                    <a:off x="0" y="0"/>
                    <a:ext cx="390525" cy="285750"/>
                  </a:xfrm>
                  <a:prstGeom prst="rect">
                    <a:avLst/>
                  </a:prstGeom>
                  <a:noFill/>
                  <a:ln>
                    <a:noFill/>
                  </a:ln>
                </pic:spPr>
              </pic:pic>
            </a:graphicData>
          </a:graphic>
        </wp:anchor>
      </w:drawing>
    </w:r>
    <w:r>
      <w:rPr>
        <w:rFonts w:hint="eastAsia"/>
      </w:rPr>
      <w:t>中</w:t>
    </w:r>
    <w:r>
      <w:rPr>
        <w:rFonts w:hint="eastAsia"/>
        <w:sz w:val="15"/>
        <w:szCs w:val="15"/>
      </w:rPr>
      <w:t>勘</w:t>
    </w:r>
    <w:r>
      <w:rPr>
        <w:rFonts w:hint="eastAsia"/>
      </w:rPr>
      <w:t>冶金勘察设计研究院有限责任公司</w:t>
    </w:r>
    <w:r>
      <w:fldChar w:fldCharType="begin"/>
    </w:r>
    <w:r>
      <w:instrText xml:space="preserve"> PAGE   \* MERGEFORMAT </w:instrText>
    </w:r>
    <w:r>
      <w:fldChar w:fldCharType="separate"/>
    </w:r>
    <w:r>
      <w:rPr>
        <w:lang w:val="zh-CN"/>
      </w:rPr>
      <w:t>166</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0FC8A">
    <w:pPr>
      <w:pStyle w:val="24"/>
      <w:pBdr>
        <w:top w:val="none" w:color="auto" w:sz="0" w:space="0"/>
        <w:left w:val="none" w:color="auto" w:sz="0" w:space="0"/>
        <w:bottom w:val="none" w:color="auto" w:sz="0" w:space="1"/>
        <w:right w:val="none" w:color="auto" w:sz="0" w:space="0"/>
        <w:between w:val="none" w:color="auto" w:sz="0" w:space="0"/>
      </w:pBdr>
      <w:rPr>
        <w:rFonts w:hint="default" w:ascii="宋体" w:hAnsi="宋体" w:cs="宋体"/>
        <w:sz w:val="21"/>
        <w:szCs w:val="21"/>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0A501">
    <w:pPr>
      <w:pStyle w:val="24"/>
      <w:widowControl w:val="0"/>
      <w:pBdr>
        <w:top w:val="none" w:color="auto" w:sz="0" w:space="1"/>
        <w:left w:val="none" w:color="auto" w:sz="0" w:space="4"/>
        <w:bottom w:val="thinThickSmallGap" w:color="auto" w:sz="12" w:space="1"/>
        <w:right w:val="none" w:color="auto" w:sz="0" w:space="4"/>
        <w:between w:val="none" w:color="auto" w:sz="0" w:space="0"/>
      </w:pBdr>
      <w:snapToGrid w:val="0"/>
      <w:spacing w:line="500" w:lineRule="exact"/>
      <w:jc w:val="center"/>
      <w:rPr>
        <w:rFonts w:hint="default" w:ascii="宋体" w:hAnsi="宋体" w:cs="宋体"/>
        <w:sz w:val="21"/>
        <w:szCs w:val="21"/>
        <w:lang w:val="en-US" w:eastAsia="zh-CN"/>
      </w:rPr>
    </w:pPr>
    <w:r>
      <w:rPr>
        <w:rFonts w:hint="eastAsia" w:ascii="宋体" w:hAnsi="宋体" w:cs="宋体"/>
        <w:sz w:val="21"/>
        <w:szCs w:val="21"/>
        <w:lang w:val="en-US" w:eastAsia="zh-CN"/>
      </w:rPr>
      <w:t>塔里木油田雄英油田雄英1区块寒武系下丘里塔格组试采优化调整项目环境影响报告书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88211E"/>
    <w:multiLevelType w:val="singleLevel"/>
    <w:tmpl w:val="C588211E"/>
    <w:lvl w:ilvl="0" w:tentative="0">
      <w:start w:val="1"/>
      <w:numFmt w:val="decimal"/>
      <w:suff w:val="nothing"/>
      <w:lvlText w:val="（%1）"/>
      <w:lvlJc w:val="left"/>
    </w:lvl>
  </w:abstractNum>
  <w:abstractNum w:abstractNumId="1">
    <w:nsid w:val="C81F1FB3"/>
    <w:multiLevelType w:val="singleLevel"/>
    <w:tmpl w:val="C81F1FB3"/>
    <w:lvl w:ilvl="0" w:tentative="0">
      <w:start w:val="1"/>
      <w:numFmt w:val="decimal"/>
      <w:suff w:val="nothing"/>
      <w:lvlText w:val="（%1）"/>
      <w:lvlJc w:val="left"/>
    </w:lvl>
  </w:abstractNum>
  <w:abstractNum w:abstractNumId="2">
    <w:nsid w:val="D58245EF"/>
    <w:multiLevelType w:val="singleLevel"/>
    <w:tmpl w:val="D58245EF"/>
    <w:lvl w:ilvl="0" w:tentative="0">
      <w:start w:val="1"/>
      <w:numFmt w:val="bullet"/>
      <w:pStyle w:val="20"/>
      <w:lvlText w:val=""/>
      <w:lvlJc w:val="left"/>
      <w:pPr>
        <w:tabs>
          <w:tab w:val="left" w:pos="2040"/>
        </w:tabs>
        <w:ind w:left="2040" w:hanging="360"/>
      </w:pPr>
      <w:rPr>
        <w:rFonts w:hint="default" w:ascii="Wingdings" w:hAnsi="Wingdings"/>
      </w:rPr>
    </w:lvl>
  </w:abstractNum>
  <w:abstractNum w:abstractNumId="3">
    <w:nsid w:val="4CEC45CD"/>
    <w:multiLevelType w:val="multilevel"/>
    <w:tmpl w:val="4CEC45CD"/>
    <w:lvl w:ilvl="0" w:tentative="0">
      <w:start w:val="1"/>
      <w:numFmt w:val="decimal"/>
      <w:suff w:val="nothing"/>
      <w:lvlText w:val="%1"/>
      <w:lvlJc w:val="left"/>
      <w:rPr>
        <w:rFonts w:hint="eastAsia" w:cs="Times New Roman"/>
      </w:rPr>
    </w:lvl>
    <w:lvl w:ilvl="1" w:tentative="0">
      <w:start w:val="1"/>
      <w:numFmt w:val="decimal"/>
      <w:suff w:val="nothing"/>
      <w:lvlText w:val="%1.%2"/>
      <w:lvlJc w:val="left"/>
      <w:rPr>
        <w:rFonts w:hint="eastAsia" w:cs="Times New Roman"/>
      </w:rPr>
    </w:lvl>
    <w:lvl w:ilvl="2" w:tentative="0">
      <w:start w:val="1"/>
      <w:numFmt w:val="decimal"/>
      <w:pStyle w:val="4"/>
      <w:lvlText w:val="%1.%2.%3"/>
      <w:lvlJc w:val="left"/>
      <w:pPr>
        <w:tabs>
          <w:tab w:val="left" w:pos="720"/>
        </w:tabs>
        <w:ind w:left="720" w:hanging="720"/>
      </w:pPr>
      <w:rPr>
        <w:rFonts w:hint="default" w:ascii="Times New Roman" w:hAnsi="Times New Roman" w:cs="Times New Roman"/>
        <w:color w:val="auto"/>
      </w:rPr>
    </w:lvl>
    <w:lvl w:ilvl="3" w:tentative="0">
      <w:start w:val="1"/>
      <w:numFmt w:val="decimal"/>
      <w:pStyle w:val="5"/>
      <w:lvlText w:val="%1.%2.%3.%4"/>
      <w:lvlJc w:val="left"/>
      <w:pPr>
        <w:tabs>
          <w:tab w:val="left" w:pos="864"/>
        </w:tabs>
        <w:ind w:left="864" w:hanging="864"/>
      </w:pPr>
      <w:rPr>
        <w:rFonts w:hint="default"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4" w:tentative="0">
      <w:start w:val="1"/>
      <w:numFmt w:val="decimal"/>
      <w:lvlText w:val="%1.%2.%3.%4.%5"/>
      <w:lvlJc w:val="left"/>
      <w:pPr>
        <w:tabs>
          <w:tab w:val="left" w:pos="1008"/>
        </w:tabs>
        <w:ind w:left="1008" w:hanging="1008"/>
      </w:pPr>
      <w:rPr>
        <w:rFonts w:hint="eastAsia" w:cs="Times New Roman"/>
      </w:rPr>
    </w:lvl>
    <w:lvl w:ilvl="5" w:tentative="0">
      <w:start w:val="1"/>
      <w:numFmt w:val="decimal"/>
      <w:lvlText w:val="%1.%2.%3.%4.%5.%6"/>
      <w:lvlJc w:val="left"/>
      <w:pPr>
        <w:tabs>
          <w:tab w:val="left" w:pos="1152"/>
        </w:tabs>
        <w:ind w:left="1152" w:hanging="1152"/>
      </w:pPr>
      <w:rPr>
        <w:rFonts w:hint="eastAsia" w:cs="Times New Roman"/>
      </w:rPr>
    </w:lvl>
    <w:lvl w:ilvl="6" w:tentative="0">
      <w:start w:val="1"/>
      <w:numFmt w:val="decimal"/>
      <w:lvlText w:val="%1.%2.%3.%4.%5.%6.%7"/>
      <w:lvlJc w:val="left"/>
      <w:pPr>
        <w:tabs>
          <w:tab w:val="left" w:pos="1296"/>
        </w:tabs>
        <w:ind w:left="1296" w:hanging="1296"/>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584"/>
        </w:tabs>
        <w:ind w:left="1584" w:hanging="1584"/>
      </w:pPr>
      <w:rPr>
        <w:rFonts w:hint="eastAsia" w:cs="Times New Roman"/>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hideSpellingErrors/>
  <w:documentProtection w:enforcement="0"/>
  <w:defaultTabStop w:val="420"/>
  <w:drawingGridHorizontalSpacing w:val="210"/>
  <w:drawingGridVerticalSpacing w:val="158"/>
  <w:displayHorizontalDrawingGridEvery w:val="1"/>
  <w:displayVerticalDrawingGridEvery w:val="2"/>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Y4NDk3N2E0MTk1YmY2ZjM5YzJjY2Y1MTM3MjA4NzUifQ=="/>
    <w:docVar w:name="KSO_WPS_MARK_KEY" w:val="00653a8d-4aae-4239-bcbb-65a248a4f499"/>
  </w:docVars>
  <w:rsids>
    <w:rsidRoot w:val="2A965BAD"/>
    <w:rsid w:val="00002464"/>
    <w:rsid w:val="0000314A"/>
    <w:rsid w:val="00011F65"/>
    <w:rsid w:val="000163D9"/>
    <w:rsid w:val="00020A2F"/>
    <w:rsid w:val="00032235"/>
    <w:rsid w:val="00032421"/>
    <w:rsid w:val="000329C7"/>
    <w:rsid w:val="000341B9"/>
    <w:rsid w:val="00034868"/>
    <w:rsid w:val="000352FB"/>
    <w:rsid w:val="00040380"/>
    <w:rsid w:val="0004366E"/>
    <w:rsid w:val="00045561"/>
    <w:rsid w:val="0005139A"/>
    <w:rsid w:val="00063036"/>
    <w:rsid w:val="00064178"/>
    <w:rsid w:val="00065534"/>
    <w:rsid w:val="00066282"/>
    <w:rsid w:val="00066721"/>
    <w:rsid w:val="00071C3E"/>
    <w:rsid w:val="000812A8"/>
    <w:rsid w:val="00084883"/>
    <w:rsid w:val="000901A9"/>
    <w:rsid w:val="00091439"/>
    <w:rsid w:val="00092A05"/>
    <w:rsid w:val="00092FA4"/>
    <w:rsid w:val="000949D8"/>
    <w:rsid w:val="00094B0D"/>
    <w:rsid w:val="000A1332"/>
    <w:rsid w:val="000A53B8"/>
    <w:rsid w:val="000B0E25"/>
    <w:rsid w:val="000B1CF8"/>
    <w:rsid w:val="000B6023"/>
    <w:rsid w:val="000B7CC6"/>
    <w:rsid w:val="000C0F70"/>
    <w:rsid w:val="000C3AC1"/>
    <w:rsid w:val="000D45C3"/>
    <w:rsid w:val="000D5D88"/>
    <w:rsid w:val="000E2233"/>
    <w:rsid w:val="000E227B"/>
    <w:rsid w:val="000F26F4"/>
    <w:rsid w:val="000F40E3"/>
    <w:rsid w:val="000F469C"/>
    <w:rsid w:val="000F4B85"/>
    <w:rsid w:val="000F5D56"/>
    <w:rsid w:val="000F7918"/>
    <w:rsid w:val="00100C21"/>
    <w:rsid w:val="00104096"/>
    <w:rsid w:val="00105D3A"/>
    <w:rsid w:val="00106B0E"/>
    <w:rsid w:val="0010798D"/>
    <w:rsid w:val="001235E6"/>
    <w:rsid w:val="001305D2"/>
    <w:rsid w:val="001315D9"/>
    <w:rsid w:val="00143E8F"/>
    <w:rsid w:val="00143F3E"/>
    <w:rsid w:val="00145D49"/>
    <w:rsid w:val="001465F6"/>
    <w:rsid w:val="00147580"/>
    <w:rsid w:val="00160216"/>
    <w:rsid w:val="00160EC4"/>
    <w:rsid w:val="00160F75"/>
    <w:rsid w:val="00161E0D"/>
    <w:rsid w:val="00163D39"/>
    <w:rsid w:val="0017675A"/>
    <w:rsid w:val="00180711"/>
    <w:rsid w:val="001819FC"/>
    <w:rsid w:val="00182E11"/>
    <w:rsid w:val="00184BA3"/>
    <w:rsid w:val="00184F56"/>
    <w:rsid w:val="00186DC1"/>
    <w:rsid w:val="00186E5B"/>
    <w:rsid w:val="00190A26"/>
    <w:rsid w:val="001929F2"/>
    <w:rsid w:val="00193993"/>
    <w:rsid w:val="00193F62"/>
    <w:rsid w:val="00196349"/>
    <w:rsid w:val="001A12A3"/>
    <w:rsid w:val="001A5F48"/>
    <w:rsid w:val="001A6A05"/>
    <w:rsid w:val="001B06D7"/>
    <w:rsid w:val="001B7051"/>
    <w:rsid w:val="001C6C2C"/>
    <w:rsid w:val="001C7409"/>
    <w:rsid w:val="001D6109"/>
    <w:rsid w:val="001D6FC9"/>
    <w:rsid w:val="001F52BB"/>
    <w:rsid w:val="001F6D62"/>
    <w:rsid w:val="00200B72"/>
    <w:rsid w:val="00207599"/>
    <w:rsid w:val="0021200F"/>
    <w:rsid w:val="00212EE0"/>
    <w:rsid w:val="00215949"/>
    <w:rsid w:val="002179E0"/>
    <w:rsid w:val="002311B0"/>
    <w:rsid w:val="002347EC"/>
    <w:rsid w:val="00235FB9"/>
    <w:rsid w:val="002403C0"/>
    <w:rsid w:val="002427F6"/>
    <w:rsid w:val="00246A8C"/>
    <w:rsid w:val="002508F8"/>
    <w:rsid w:val="00251E08"/>
    <w:rsid w:val="002572B7"/>
    <w:rsid w:val="00260DCC"/>
    <w:rsid w:val="002678E6"/>
    <w:rsid w:val="00267FEC"/>
    <w:rsid w:val="002703E9"/>
    <w:rsid w:val="00275CD9"/>
    <w:rsid w:val="00276876"/>
    <w:rsid w:val="00276F4C"/>
    <w:rsid w:val="00281DA2"/>
    <w:rsid w:val="00290ED7"/>
    <w:rsid w:val="00292B15"/>
    <w:rsid w:val="002A0382"/>
    <w:rsid w:val="002A43CD"/>
    <w:rsid w:val="002B139F"/>
    <w:rsid w:val="002B412D"/>
    <w:rsid w:val="002C2F55"/>
    <w:rsid w:val="002C351A"/>
    <w:rsid w:val="002C5B86"/>
    <w:rsid w:val="002C5BE9"/>
    <w:rsid w:val="002C61F7"/>
    <w:rsid w:val="002C703E"/>
    <w:rsid w:val="002D4FD1"/>
    <w:rsid w:val="002E15A3"/>
    <w:rsid w:val="002F1564"/>
    <w:rsid w:val="002F4FA1"/>
    <w:rsid w:val="002F698B"/>
    <w:rsid w:val="002F6E40"/>
    <w:rsid w:val="003035CC"/>
    <w:rsid w:val="00310251"/>
    <w:rsid w:val="00313936"/>
    <w:rsid w:val="00313CE8"/>
    <w:rsid w:val="003150F5"/>
    <w:rsid w:val="00331C6A"/>
    <w:rsid w:val="003402D7"/>
    <w:rsid w:val="00343050"/>
    <w:rsid w:val="0034372C"/>
    <w:rsid w:val="0035118C"/>
    <w:rsid w:val="00352E87"/>
    <w:rsid w:val="00355319"/>
    <w:rsid w:val="00360BCE"/>
    <w:rsid w:val="00371AA8"/>
    <w:rsid w:val="00372604"/>
    <w:rsid w:val="00376E61"/>
    <w:rsid w:val="0038069C"/>
    <w:rsid w:val="00382F41"/>
    <w:rsid w:val="00384856"/>
    <w:rsid w:val="00385FCB"/>
    <w:rsid w:val="0038624A"/>
    <w:rsid w:val="003868BE"/>
    <w:rsid w:val="00392B08"/>
    <w:rsid w:val="00396AE5"/>
    <w:rsid w:val="0039711E"/>
    <w:rsid w:val="00397FFE"/>
    <w:rsid w:val="003A1AF9"/>
    <w:rsid w:val="003B359A"/>
    <w:rsid w:val="003B6090"/>
    <w:rsid w:val="003C1514"/>
    <w:rsid w:val="003C1CD2"/>
    <w:rsid w:val="003C3949"/>
    <w:rsid w:val="003C7DE1"/>
    <w:rsid w:val="003D1274"/>
    <w:rsid w:val="003D46EC"/>
    <w:rsid w:val="003D4D35"/>
    <w:rsid w:val="003D73E4"/>
    <w:rsid w:val="003E03A9"/>
    <w:rsid w:val="003E3B23"/>
    <w:rsid w:val="003F1B0C"/>
    <w:rsid w:val="004158B5"/>
    <w:rsid w:val="004252F1"/>
    <w:rsid w:val="00425615"/>
    <w:rsid w:val="00425817"/>
    <w:rsid w:val="0043195C"/>
    <w:rsid w:val="00437FE0"/>
    <w:rsid w:val="004446D4"/>
    <w:rsid w:val="00457AB3"/>
    <w:rsid w:val="00461218"/>
    <w:rsid w:val="00461E7C"/>
    <w:rsid w:val="00463943"/>
    <w:rsid w:val="00467E8A"/>
    <w:rsid w:val="00475B87"/>
    <w:rsid w:val="004770B2"/>
    <w:rsid w:val="00480777"/>
    <w:rsid w:val="00483940"/>
    <w:rsid w:val="00491A05"/>
    <w:rsid w:val="00495476"/>
    <w:rsid w:val="004A1939"/>
    <w:rsid w:val="004A30CC"/>
    <w:rsid w:val="004A4659"/>
    <w:rsid w:val="004B3E29"/>
    <w:rsid w:val="004B42E0"/>
    <w:rsid w:val="004B4F36"/>
    <w:rsid w:val="004B57E5"/>
    <w:rsid w:val="004B581E"/>
    <w:rsid w:val="004C0371"/>
    <w:rsid w:val="004C11CF"/>
    <w:rsid w:val="004C4214"/>
    <w:rsid w:val="004C54B0"/>
    <w:rsid w:val="004D71DC"/>
    <w:rsid w:val="004E488A"/>
    <w:rsid w:val="004E7E68"/>
    <w:rsid w:val="004F1FB6"/>
    <w:rsid w:val="004F23C6"/>
    <w:rsid w:val="004F782B"/>
    <w:rsid w:val="00502227"/>
    <w:rsid w:val="00502853"/>
    <w:rsid w:val="00502C3D"/>
    <w:rsid w:val="0051496E"/>
    <w:rsid w:val="00515474"/>
    <w:rsid w:val="0052454B"/>
    <w:rsid w:val="00526926"/>
    <w:rsid w:val="00534037"/>
    <w:rsid w:val="0054429C"/>
    <w:rsid w:val="00546BDA"/>
    <w:rsid w:val="00547308"/>
    <w:rsid w:val="005553D8"/>
    <w:rsid w:val="00560CE8"/>
    <w:rsid w:val="00566216"/>
    <w:rsid w:val="005770EA"/>
    <w:rsid w:val="00583EEA"/>
    <w:rsid w:val="00585639"/>
    <w:rsid w:val="00585818"/>
    <w:rsid w:val="00586233"/>
    <w:rsid w:val="00586832"/>
    <w:rsid w:val="005A3CF3"/>
    <w:rsid w:val="005A6390"/>
    <w:rsid w:val="005B1713"/>
    <w:rsid w:val="005B1D61"/>
    <w:rsid w:val="005B37AB"/>
    <w:rsid w:val="005B3E27"/>
    <w:rsid w:val="005C0AE6"/>
    <w:rsid w:val="005C4D7D"/>
    <w:rsid w:val="005C7BBE"/>
    <w:rsid w:val="005D00F2"/>
    <w:rsid w:val="005D407C"/>
    <w:rsid w:val="005E5A95"/>
    <w:rsid w:val="005F55F4"/>
    <w:rsid w:val="00601447"/>
    <w:rsid w:val="00604567"/>
    <w:rsid w:val="006075EB"/>
    <w:rsid w:val="00617CA7"/>
    <w:rsid w:val="00622119"/>
    <w:rsid w:val="00622B81"/>
    <w:rsid w:val="00625199"/>
    <w:rsid w:val="0063028C"/>
    <w:rsid w:val="0063228A"/>
    <w:rsid w:val="0063353B"/>
    <w:rsid w:val="00635F33"/>
    <w:rsid w:val="00636659"/>
    <w:rsid w:val="00636B1F"/>
    <w:rsid w:val="00636BB1"/>
    <w:rsid w:val="00644959"/>
    <w:rsid w:val="00646DE3"/>
    <w:rsid w:val="00647B4E"/>
    <w:rsid w:val="00651638"/>
    <w:rsid w:val="00651895"/>
    <w:rsid w:val="0065551B"/>
    <w:rsid w:val="00656036"/>
    <w:rsid w:val="00660F7F"/>
    <w:rsid w:val="006625F3"/>
    <w:rsid w:val="00673E90"/>
    <w:rsid w:val="0067506E"/>
    <w:rsid w:val="00675F33"/>
    <w:rsid w:val="00676C60"/>
    <w:rsid w:val="00677355"/>
    <w:rsid w:val="0067777E"/>
    <w:rsid w:val="00684DA0"/>
    <w:rsid w:val="006943B2"/>
    <w:rsid w:val="006A16BE"/>
    <w:rsid w:val="006A39E0"/>
    <w:rsid w:val="006A5325"/>
    <w:rsid w:val="006B01B6"/>
    <w:rsid w:val="006B2539"/>
    <w:rsid w:val="006B28D0"/>
    <w:rsid w:val="006B3FE1"/>
    <w:rsid w:val="006B4D86"/>
    <w:rsid w:val="006C0385"/>
    <w:rsid w:val="006C3F51"/>
    <w:rsid w:val="006C6414"/>
    <w:rsid w:val="006E0B7B"/>
    <w:rsid w:val="006E58D0"/>
    <w:rsid w:val="006E68B5"/>
    <w:rsid w:val="006F4716"/>
    <w:rsid w:val="006F56E1"/>
    <w:rsid w:val="006F67E4"/>
    <w:rsid w:val="00702F03"/>
    <w:rsid w:val="00703C4A"/>
    <w:rsid w:val="007107FA"/>
    <w:rsid w:val="00713569"/>
    <w:rsid w:val="007200BC"/>
    <w:rsid w:val="0072608B"/>
    <w:rsid w:val="007274A3"/>
    <w:rsid w:val="007328CF"/>
    <w:rsid w:val="00744F03"/>
    <w:rsid w:val="007538CB"/>
    <w:rsid w:val="007558AC"/>
    <w:rsid w:val="007567B9"/>
    <w:rsid w:val="00756C08"/>
    <w:rsid w:val="00760112"/>
    <w:rsid w:val="0076789B"/>
    <w:rsid w:val="007712F8"/>
    <w:rsid w:val="007739CE"/>
    <w:rsid w:val="00774C35"/>
    <w:rsid w:val="0077542C"/>
    <w:rsid w:val="00775F6C"/>
    <w:rsid w:val="00776D7B"/>
    <w:rsid w:val="00784448"/>
    <w:rsid w:val="00785071"/>
    <w:rsid w:val="007876DE"/>
    <w:rsid w:val="007904BE"/>
    <w:rsid w:val="00792BB4"/>
    <w:rsid w:val="007979A4"/>
    <w:rsid w:val="007A17FA"/>
    <w:rsid w:val="007A2BE6"/>
    <w:rsid w:val="007B24A6"/>
    <w:rsid w:val="007B6516"/>
    <w:rsid w:val="007C0C56"/>
    <w:rsid w:val="007C0F2D"/>
    <w:rsid w:val="007C177D"/>
    <w:rsid w:val="007C395C"/>
    <w:rsid w:val="007D5D9A"/>
    <w:rsid w:val="007E209D"/>
    <w:rsid w:val="007E63D9"/>
    <w:rsid w:val="007F0E96"/>
    <w:rsid w:val="007F30C2"/>
    <w:rsid w:val="00803F6B"/>
    <w:rsid w:val="008041A5"/>
    <w:rsid w:val="008106DC"/>
    <w:rsid w:val="008139A0"/>
    <w:rsid w:val="00813CB6"/>
    <w:rsid w:val="008141B0"/>
    <w:rsid w:val="00817664"/>
    <w:rsid w:val="0082528E"/>
    <w:rsid w:val="008309EA"/>
    <w:rsid w:val="008324AB"/>
    <w:rsid w:val="0083457B"/>
    <w:rsid w:val="00835ECD"/>
    <w:rsid w:val="0084024E"/>
    <w:rsid w:val="00840406"/>
    <w:rsid w:val="00843689"/>
    <w:rsid w:val="008439FC"/>
    <w:rsid w:val="008465FB"/>
    <w:rsid w:val="00854E6F"/>
    <w:rsid w:val="00855CAB"/>
    <w:rsid w:val="00861B3D"/>
    <w:rsid w:val="008641FE"/>
    <w:rsid w:val="00865BEE"/>
    <w:rsid w:val="00865BF1"/>
    <w:rsid w:val="00880978"/>
    <w:rsid w:val="008826F3"/>
    <w:rsid w:val="00886944"/>
    <w:rsid w:val="0089018E"/>
    <w:rsid w:val="008908DF"/>
    <w:rsid w:val="00891D76"/>
    <w:rsid w:val="00893529"/>
    <w:rsid w:val="00894D28"/>
    <w:rsid w:val="00896733"/>
    <w:rsid w:val="00896EC9"/>
    <w:rsid w:val="008A1F79"/>
    <w:rsid w:val="008A2BC5"/>
    <w:rsid w:val="008B19FB"/>
    <w:rsid w:val="008B319F"/>
    <w:rsid w:val="008B3B81"/>
    <w:rsid w:val="008B63E6"/>
    <w:rsid w:val="008B709F"/>
    <w:rsid w:val="008C187A"/>
    <w:rsid w:val="008C29C5"/>
    <w:rsid w:val="008C5036"/>
    <w:rsid w:val="008C7C27"/>
    <w:rsid w:val="008D1AE8"/>
    <w:rsid w:val="008D3A71"/>
    <w:rsid w:val="008D7CBA"/>
    <w:rsid w:val="008F1879"/>
    <w:rsid w:val="00903F7D"/>
    <w:rsid w:val="009077CE"/>
    <w:rsid w:val="00907BDD"/>
    <w:rsid w:val="0091117E"/>
    <w:rsid w:val="00913192"/>
    <w:rsid w:val="00917468"/>
    <w:rsid w:val="00925607"/>
    <w:rsid w:val="00931BD6"/>
    <w:rsid w:val="0094376F"/>
    <w:rsid w:val="00956A70"/>
    <w:rsid w:val="00960EE1"/>
    <w:rsid w:val="00961461"/>
    <w:rsid w:val="00964A3D"/>
    <w:rsid w:val="0097571A"/>
    <w:rsid w:val="00982EE5"/>
    <w:rsid w:val="00993652"/>
    <w:rsid w:val="00994890"/>
    <w:rsid w:val="009952B9"/>
    <w:rsid w:val="00995BB7"/>
    <w:rsid w:val="009960A4"/>
    <w:rsid w:val="009A018D"/>
    <w:rsid w:val="009A343E"/>
    <w:rsid w:val="009A39BF"/>
    <w:rsid w:val="009A60DB"/>
    <w:rsid w:val="009B392D"/>
    <w:rsid w:val="009B6450"/>
    <w:rsid w:val="009C1D8F"/>
    <w:rsid w:val="009C2AE1"/>
    <w:rsid w:val="009C372D"/>
    <w:rsid w:val="009C5CA7"/>
    <w:rsid w:val="009C5CC6"/>
    <w:rsid w:val="009C7725"/>
    <w:rsid w:val="009D72D5"/>
    <w:rsid w:val="009E0916"/>
    <w:rsid w:val="009E63E6"/>
    <w:rsid w:val="009F1E0A"/>
    <w:rsid w:val="009F202E"/>
    <w:rsid w:val="009F525E"/>
    <w:rsid w:val="00A063C4"/>
    <w:rsid w:val="00A1290C"/>
    <w:rsid w:val="00A153E1"/>
    <w:rsid w:val="00A15908"/>
    <w:rsid w:val="00A26718"/>
    <w:rsid w:val="00A2735B"/>
    <w:rsid w:val="00A27CBC"/>
    <w:rsid w:val="00A31006"/>
    <w:rsid w:val="00A40F4A"/>
    <w:rsid w:val="00A441CC"/>
    <w:rsid w:val="00A54B96"/>
    <w:rsid w:val="00A64E84"/>
    <w:rsid w:val="00A65BBA"/>
    <w:rsid w:val="00A669F3"/>
    <w:rsid w:val="00A70E66"/>
    <w:rsid w:val="00A72BBF"/>
    <w:rsid w:val="00A77860"/>
    <w:rsid w:val="00A77DBC"/>
    <w:rsid w:val="00A81AD1"/>
    <w:rsid w:val="00A83CE7"/>
    <w:rsid w:val="00A85EE5"/>
    <w:rsid w:val="00A961C2"/>
    <w:rsid w:val="00A96E42"/>
    <w:rsid w:val="00A9781F"/>
    <w:rsid w:val="00AA3724"/>
    <w:rsid w:val="00AA3DF3"/>
    <w:rsid w:val="00AB309F"/>
    <w:rsid w:val="00AB70B8"/>
    <w:rsid w:val="00AB731E"/>
    <w:rsid w:val="00AC6D31"/>
    <w:rsid w:val="00AD1BF0"/>
    <w:rsid w:val="00AD29CB"/>
    <w:rsid w:val="00AD4846"/>
    <w:rsid w:val="00AD686B"/>
    <w:rsid w:val="00AD79C9"/>
    <w:rsid w:val="00AE04F7"/>
    <w:rsid w:val="00AE1217"/>
    <w:rsid w:val="00AF244D"/>
    <w:rsid w:val="00AF45B9"/>
    <w:rsid w:val="00AF4FD8"/>
    <w:rsid w:val="00AF6767"/>
    <w:rsid w:val="00AF7803"/>
    <w:rsid w:val="00B0030F"/>
    <w:rsid w:val="00B01D5C"/>
    <w:rsid w:val="00B052EE"/>
    <w:rsid w:val="00B05BA6"/>
    <w:rsid w:val="00B07BC7"/>
    <w:rsid w:val="00B101D1"/>
    <w:rsid w:val="00B2173A"/>
    <w:rsid w:val="00B22F3E"/>
    <w:rsid w:val="00B23052"/>
    <w:rsid w:val="00B256B3"/>
    <w:rsid w:val="00B25B90"/>
    <w:rsid w:val="00B26087"/>
    <w:rsid w:val="00B3672C"/>
    <w:rsid w:val="00B3721D"/>
    <w:rsid w:val="00B411AD"/>
    <w:rsid w:val="00B451AF"/>
    <w:rsid w:val="00B45D8E"/>
    <w:rsid w:val="00B45FAC"/>
    <w:rsid w:val="00B4734B"/>
    <w:rsid w:val="00B51E8F"/>
    <w:rsid w:val="00B61563"/>
    <w:rsid w:val="00B65A7B"/>
    <w:rsid w:val="00B7196F"/>
    <w:rsid w:val="00B72417"/>
    <w:rsid w:val="00B74B85"/>
    <w:rsid w:val="00B86C1F"/>
    <w:rsid w:val="00B91000"/>
    <w:rsid w:val="00B91480"/>
    <w:rsid w:val="00B92751"/>
    <w:rsid w:val="00B93EF8"/>
    <w:rsid w:val="00B94FAE"/>
    <w:rsid w:val="00BA087C"/>
    <w:rsid w:val="00BA2DA8"/>
    <w:rsid w:val="00BB25FF"/>
    <w:rsid w:val="00BB3B33"/>
    <w:rsid w:val="00BB4F41"/>
    <w:rsid w:val="00BB7143"/>
    <w:rsid w:val="00BB7156"/>
    <w:rsid w:val="00BC264D"/>
    <w:rsid w:val="00BC3BCB"/>
    <w:rsid w:val="00BC4766"/>
    <w:rsid w:val="00BD7D3A"/>
    <w:rsid w:val="00BE073F"/>
    <w:rsid w:val="00BE2966"/>
    <w:rsid w:val="00BE5F85"/>
    <w:rsid w:val="00BF33A8"/>
    <w:rsid w:val="00BF7F34"/>
    <w:rsid w:val="00C05F7B"/>
    <w:rsid w:val="00C12ACA"/>
    <w:rsid w:val="00C13AEF"/>
    <w:rsid w:val="00C32DB8"/>
    <w:rsid w:val="00C369D2"/>
    <w:rsid w:val="00C37C26"/>
    <w:rsid w:val="00C40563"/>
    <w:rsid w:val="00C40FA8"/>
    <w:rsid w:val="00C42ECC"/>
    <w:rsid w:val="00C4313C"/>
    <w:rsid w:val="00C518E4"/>
    <w:rsid w:val="00C53ADA"/>
    <w:rsid w:val="00C60635"/>
    <w:rsid w:val="00C61E1D"/>
    <w:rsid w:val="00C67E53"/>
    <w:rsid w:val="00C75AF4"/>
    <w:rsid w:val="00C75F53"/>
    <w:rsid w:val="00C80396"/>
    <w:rsid w:val="00C809DF"/>
    <w:rsid w:val="00C814EA"/>
    <w:rsid w:val="00C827F4"/>
    <w:rsid w:val="00C838A5"/>
    <w:rsid w:val="00C930DC"/>
    <w:rsid w:val="00C942F8"/>
    <w:rsid w:val="00C960F6"/>
    <w:rsid w:val="00CA03ED"/>
    <w:rsid w:val="00CA216A"/>
    <w:rsid w:val="00CA3F0F"/>
    <w:rsid w:val="00CA57C5"/>
    <w:rsid w:val="00CB1CAB"/>
    <w:rsid w:val="00CB4522"/>
    <w:rsid w:val="00CB5BDB"/>
    <w:rsid w:val="00CC3A37"/>
    <w:rsid w:val="00CC66F6"/>
    <w:rsid w:val="00CD25F6"/>
    <w:rsid w:val="00CD6673"/>
    <w:rsid w:val="00CD75EF"/>
    <w:rsid w:val="00CE1353"/>
    <w:rsid w:val="00CE20CC"/>
    <w:rsid w:val="00CE5457"/>
    <w:rsid w:val="00CF0833"/>
    <w:rsid w:val="00CF24B0"/>
    <w:rsid w:val="00CF6C4A"/>
    <w:rsid w:val="00D01EFE"/>
    <w:rsid w:val="00D040E1"/>
    <w:rsid w:val="00D11D9D"/>
    <w:rsid w:val="00D25C9D"/>
    <w:rsid w:val="00D26CAC"/>
    <w:rsid w:val="00D41261"/>
    <w:rsid w:val="00D46047"/>
    <w:rsid w:val="00D526BE"/>
    <w:rsid w:val="00D57EA7"/>
    <w:rsid w:val="00D62D89"/>
    <w:rsid w:val="00D658B9"/>
    <w:rsid w:val="00D66EE0"/>
    <w:rsid w:val="00D808DD"/>
    <w:rsid w:val="00D80FDF"/>
    <w:rsid w:val="00D810A0"/>
    <w:rsid w:val="00D9302D"/>
    <w:rsid w:val="00D96FE3"/>
    <w:rsid w:val="00DA5449"/>
    <w:rsid w:val="00DB08B8"/>
    <w:rsid w:val="00DB122B"/>
    <w:rsid w:val="00DB29D5"/>
    <w:rsid w:val="00DB3906"/>
    <w:rsid w:val="00DB4D52"/>
    <w:rsid w:val="00DB4FCE"/>
    <w:rsid w:val="00DB77A1"/>
    <w:rsid w:val="00DC20DB"/>
    <w:rsid w:val="00DC728F"/>
    <w:rsid w:val="00DD4132"/>
    <w:rsid w:val="00DD64CC"/>
    <w:rsid w:val="00DE0095"/>
    <w:rsid w:val="00DE5CE5"/>
    <w:rsid w:val="00DF1CF5"/>
    <w:rsid w:val="00DF2313"/>
    <w:rsid w:val="00DF3E97"/>
    <w:rsid w:val="00DF7E95"/>
    <w:rsid w:val="00E0318A"/>
    <w:rsid w:val="00E0327D"/>
    <w:rsid w:val="00E22D9A"/>
    <w:rsid w:val="00E368A1"/>
    <w:rsid w:val="00E37A62"/>
    <w:rsid w:val="00E47601"/>
    <w:rsid w:val="00E47DDD"/>
    <w:rsid w:val="00E50063"/>
    <w:rsid w:val="00E51AED"/>
    <w:rsid w:val="00E521EE"/>
    <w:rsid w:val="00E53962"/>
    <w:rsid w:val="00E56D00"/>
    <w:rsid w:val="00E60601"/>
    <w:rsid w:val="00E613C2"/>
    <w:rsid w:val="00E61746"/>
    <w:rsid w:val="00E65C47"/>
    <w:rsid w:val="00E65E78"/>
    <w:rsid w:val="00E70601"/>
    <w:rsid w:val="00E710DE"/>
    <w:rsid w:val="00E769C7"/>
    <w:rsid w:val="00E76A04"/>
    <w:rsid w:val="00E803E6"/>
    <w:rsid w:val="00E80D34"/>
    <w:rsid w:val="00E81F4E"/>
    <w:rsid w:val="00E85BA4"/>
    <w:rsid w:val="00E87354"/>
    <w:rsid w:val="00E901E9"/>
    <w:rsid w:val="00E92873"/>
    <w:rsid w:val="00E92923"/>
    <w:rsid w:val="00E9684B"/>
    <w:rsid w:val="00EA0FB0"/>
    <w:rsid w:val="00EA5DE8"/>
    <w:rsid w:val="00EB2BDE"/>
    <w:rsid w:val="00EB3F5F"/>
    <w:rsid w:val="00EB500F"/>
    <w:rsid w:val="00EB5031"/>
    <w:rsid w:val="00EC36F1"/>
    <w:rsid w:val="00EC5E05"/>
    <w:rsid w:val="00ED045E"/>
    <w:rsid w:val="00EE01C0"/>
    <w:rsid w:val="00EE3280"/>
    <w:rsid w:val="00EE6D69"/>
    <w:rsid w:val="00EF301F"/>
    <w:rsid w:val="00EF63E6"/>
    <w:rsid w:val="00F03A9F"/>
    <w:rsid w:val="00F13E26"/>
    <w:rsid w:val="00F13E5C"/>
    <w:rsid w:val="00F16C86"/>
    <w:rsid w:val="00F174C7"/>
    <w:rsid w:val="00F2310D"/>
    <w:rsid w:val="00F23DF3"/>
    <w:rsid w:val="00F24A1F"/>
    <w:rsid w:val="00F26B95"/>
    <w:rsid w:val="00F30644"/>
    <w:rsid w:val="00F32F12"/>
    <w:rsid w:val="00F40EC8"/>
    <w:rsid w:val="00F42D09"/>
    <w:rsid w:val="00F4430E"/>
    <w:rsid w:val="00F473CE"/>
    <w:rsid w:val="00F52AEE"/>
    <w:rsid w:val="00F5397A"/>
    <w:rsid w:val="00F54073"/>
    <w:rsid w:val="00F552A3"/>
    <w:rsid w:val="00F6010C"/>
    <w:rsid w:val="00F622A7"/>
    <w:rsid w:val="00F64517"/>
    <w:rsid w:val="00F65576"/>
    <w:rsid w:val="00F65797"/>
    <w:rsid w:val="00F6653C"/>
    <w:rsid w:val="00F679ED"/>
    <w:rsid w:val="00F67B7E"/>
    <w:rsid w:val="00F71527"/>
    <w:rsid w:val="00F740EB"/>
    <w:rsid w:val="00F75558"/>
    <w:rsid w:val="00F811CC"/>
    <w:rsid w:val="00F85FBF"/>
    <w:rsid w:val="00F91321"/>
    <w:rsid w:val="00F9256C"/>
    <w:rsid w:val="00F95BBA"/>
    <w:rsid w:val="00F96BF0"/>
    <w:rsid w:val="00FC7B0D"/>
    <w:rsid w:val="00FD1EA4"/>
    <w:rsid w:val="00FD3AC7"/>
    <w:rsid w:val="00FD6F57"/>
    <w:rsid w:val="00FD7AE3"/>
    <w:rsid w:val="00FE233C"/>
    <w:rsid w:val="00FF3BEB"/>
    <w:rsid w:val="00FF7A1F"/>
    <w:rsid w:val="010A7B74"/>
    <w:rsid w:val="011D62D2"/>
    <w:rsid w:val="01247050"/>
    <w:rsid w:val="01265BD2"/>
    <w:rsid w:val="012C6EBE"/>
    <w:rsid w:val="012F4089"/>
    <w:rsid w:val="01586196"/>
    <w:rsid w:val="015F456F"/>
    <w:rsid w:val="016C0ED7"/>
    <w:rsid w:val="016E0D29"/>
    <w:rsid w:val="01787AD7"/>
    <w:rsid w:val="01891B53"/>
    <w:rsid w:val="01C26BD0"/>
    <w:rsid w:val="01D455E9"/>
    <w:rsid w:val="01DE1773"/>
    <w:rsid w:val="01ED1659"/>
    <w:rsid w:val="01FF60F5"/>
    <w:rsid w:val="020411DA"/>
    <w:rsid w:val="020C6703"/>
    <w:rsid w:val="021770C2"/>
    <w:rsid w:val="02363E28"/>
    <w:rsid w:val="02481A9B"/>
    <w:rsid w:val="025F37F9"/>
    <w:rsid w:val="027251EA"/>
    <w:rsid w:val="027F4200"/>
    <w:rsid w:val="028B1B6C"/>
    <w:rsid w:val="0295018C"/>
    <w:rsid w:val="029611CB"/>
    <w:rsid w:val="02B50A5B"/>
    <w:rsid w:val="02BA09D4"/>
    <w:rsid w:val="02C0796F"/>
    <w:rsid w:val="02C46BBB"/>
    <w:rsid w:val="02D16667"/>
    <w:rsid w:val="02DE0624"/>
    <w:rsid w:val="02E3163D"/>
    <w:rsid w:val="02E45CDD"/>
    <w:rsid w:val="02E4711E"/>
    <w:rsid w:val="02E82DCD"/>
    <w:rsid w:val="02FE0C2D"/>
    <w:rsid w:val="03116747"/>
    <w:rsid w:val="031550BA"/>
    <w:rsid w:val="033835A6"/>
    <w:rsid w:val="03402552"/>
    <w:rsid w:val="035148F2"/>
    <w:rsid w:val="036325FF"/>
    <w:rsid w:val="036567B7"/>
    <w:rsid w:val="036C0397"/>
    <w:rsid w:val="03765818"/>
    <w:rsid w:val="037E08E9"/>
    <w:rsid w:val="038B1487"/>
    <w:rsid w:val="039828A5"/>
    <w:rsid w:val="039D651C"/>
    <w:rsid w:val="03A54EBA"/>
    <w:rsid w:val="03B1595B"/>
    <w:rsid w:val="03B8215B"/>
    <w:rsid w:val="03E2021C"/>
    <w:rsid w:val="03E267A8"/>
    <w:rsid w:val="03E33071"/>
    <w:rsid w:val="03F238C0"/>
    <w:rsid w:val="03F9217A"/>
    <w:rsid w:val="03FA4E22"/>
    <w:rsid w:val="040556DD"/>
    <w:rsid w:val="040756C2"/>
    <w:rsid w:val="0414771C"/>
    <w:rsid w:val="04231CF7"/>
    <w:rsid w:val="04263170"/>
    <w:rsid w:val="0431478D"/>
    <w:rsid w:val="043833BC"/>
    <w:rsid w:val="045521C0"/>
    <w:rsid w:val="04680BC2"/>
    <w:rsid w:val="046A5B6D"/>
    <w:rsid w:val="046B19E4"/>
    <w:rsid w:val="0495080F"/>
    <w:rsid w:val="0496293E"/>
    <w:rsid w:val="049E2C57"/>
    <w:rsid w:val="04A45989"/>
    <w:rsid w:val="04A66578"/>
    <w:rsid w:val="04AE07E5"/>
    <w:rsid w:val="04C133B2"/>
    <w:rsid w:val="04CA7534"/>
    <w:rsid w:val="04DA7517"/>
    <w:rsid w:val="04DD6473"/>
    <w:rsid w:val="04E841F5"/>
    <w:rsid w:val="04E90D77"/>
    <w:rsid w:val="04EB042F"/>
    <w:rsid w:val="05012F11"/>
    <w:rsid w:val="05024E36"/>
    <w:rsid w:val="050B181E"/>
    <w:rsid w:val="051A276D"/>
    <w:rsid w:val="053C5E5C"/>
    <w:rsid w:val="054B2720"/>
    <w:rsid w:val="05540A73"/>
    <w:rsid w:val="05687CD1"/>
    <w:rsid w:val="056D353A"/>
    <w:rsid w:val="05834B0B"/>
    <w:rsid w:val="058F77FD"/>
    <w:rsid w:val="05B607CF"/>
    <w:rsid w:val="05CC0EC7"/>
    <w:rsid w:val="05D61BAB"/>
    <w:rsid w:val="05DA3FBE"/>
    <w:rsid w:val="05DC0DD7"/>
    <w:rsid w:val="06096508"/>
    <w:rsid w:val="061855F0"/>
    <w:rsid w:val="06266487"/>
    <w:rsid w:val="06367DD0"/>
    <w:rsid w:val="064222D0"/>
    <w:rsid w:val="06466F2D"/>
    <w:rsid w:val="064E12D3"/>
    <w:rsid w:val="06532730"/>
    <w:rsid w:val="0660225B"/>
    <w:rsid w:val="06632A9C"/>
    <w:rsid w:val="06654211"/>
    <w:rsid w:val="066B5CCB"/>
    <w:rsid w:val="06737104"/>
    <w:rsid w:val="0676641E"/>
    <w:rsid w:val="067A600D"/>
    <w:rsid w:val="067B57E2"/>
    <w:rsid w:val="067D371E"/>
    <w:rsid w:val="06A45F09"/>
    <w:rsid w:val="06A766C0"/>
    <w:rsid w:val="06AD6F44"/>
    <w:rsid w:val="06C16C5E"/>
    <w:rsid w:val="06C9208C"/>
    <w:rsid w:val="06E47224"/>
    <w:rsid w:val="07034660"/>
    <w:rsid w:val="070347F3"/>
    <w:rsid w:val="070553C5"/>
    <w:rsid w:val="070C3C79"/>
    <w:rsid w:val="073302AC"/>
    <w:rsid w:val="07416C35"/>
    <w:rsid w:val="074759A8"/>
    <w:rsid w:val="075056BF"/>
    <w:rsid w:val="07571DAC"/>
    <w:rsid w:val="07853643"/>
    <w:rsid w:val="07854B6B"/>
    <w:rsid w:val="078C68CE"/>
    <w:rsid w:val="079147D2"/>
    <w:rsid w:val="079C0651"/>
    <w:rsid w:val="07BC4304"/>
    <w:rsid w:val="07DE071F"/>
    <w:rsid w:val="07EF7434"/>
    <w:rsid w:val="07F92A60"/>
    <w:rsid w:val="07FF6A27"/>
    <w:rsid w:val="0817778D"/>
    <w:rsid w:val="08290911"/>
    <w:rsid w:val="08292EBA"/>
    <w:rsid w:val="083416F8"/>
    <w:rsid w:val="086025A7"/>
    <w:rsid w:val="08784BF9"/>
    <w:rsid w:val="088A7F5F"/>
    <w:rsid w:val="089B3633"/>
    <w:rsid w:val="089F1491"/>
    <w:rsid w:val="08A51B69"/>
    <w:rsid w:val="08B81FC8"/>
    <w:rsid w:val="08BA2231"/>
    <w:rsid w:val="08C44BEB"/>
    <w:rsid w:val="08D062B9"/>
    <w:rsid w:val="08D15B8E"/>
    <w:rsid w:val="08DD24D2"/>
    <w:rsid w:val="08E80B3C"/>
    <w:rsid w:val="08EB30F3"/>
    <w:rsid w:val="08F71CCC"/>
    <w:rsid w:val="090917CB"/>
    <w:rsid w:val="092F203E"/>
    <w:rsid w:val="09442803"/>
    <w:rsid w:val="09912DE6"/>
    <w:rsid w:val="09CE5F94"/>
    <w:rsid w:val="09E04CE5"/>
    <w:rsid w:val="09F861F7"/>
    <w:rsid w:val="0A143C98"/>
    <w:rsid w:val="0A166E80"/>
    <w:rsid w:val="0A322BDE"/>
    <w:rsid w:val="0A395C3E"/>
    <w:rsid w:val="0A4156FC"/>
    <w:rsid w:val="0A5158A8"/>
    <w:rsid w:val="0A516F86"/>
    <w:rsid w:val="0A54448A"/>
    <w:rsid w:val="0A5C57E9"/>
    <w:rsid w:val="0A895E74"/>
    <w:rsid w:val="0A8E2615"/>
    <w:rsid w:val="0AAC68B2"/>
    <w:rsid w:val="0AB0263C"/>
    <w:rsid w:val="0AB041A9"/>
    <w:rsid w:val="0AB47515"/>
    <w:rsid w:val="0ABF444C"/>
    <w:rsid w:val="0AC64CC9"/>
    <w:rsid w:val="0ACE05D7"/>
    <w:rsid w:val="0AE14EFB"/>
    <w:rsid w:val="0AF1473A"/>
    <w:rsid w:val="0AF85654"/>
    <w:rsid w:val="0B066E79"/>
    <w:rsid w:val="0B1A1391"/>
    <w:rsid w:val="0B2312B7"/>
    <w:rsid w:val="0B2C354F"/>
    <w:rsid w:val="0B36023F"/>
    <w:rsid w:val="0B3E5FB5"/>
    <w:rsid w:val="0B5B144F"/>
    <w:rsid w:val="0B603C52"/>
    <w:rsid w:val="0B7D68C2"/>
    <w:rsid w:val="0B81548E"/>
    <w:rsid w:val="0B893059"/>
    <w:rsid w:val="0B956B51"/>
    <w:rsid w:val="0BA24BB7"/>
    <w:rsid w:val="0BB2042D"/>
    <w:rsid w:val="0BB52F3C"/>
    <w:rsid w:val="0BB73761"/>
    <w:rsid w:val="0BBC2B25"/>
    <w:rsid w:val="0BEF4CA9"/>
    <w:rsid w:val="0C0534B3"/>
    <w:rsid w:val="0C0A1F07"/>
    <w:rsid w:val="0C193A8F"/>
    <w:rsid w:val="0C2D2B48"/>
    <w:rsid w:val="0C4A138B"/>
    <w:rsid w:val="0C557302"/>
    <w:rsid w:val="0C6529BB"/>
    <w:rsid w:val="0C72691D"/>
    <w:rsid w:val="0C7A203D"/>
    <w:rsid w:val="0C8839D7"/>
    <w:rsid w:val="0C8A22A5"/>
    <w:rsid w:val="0C91467A"/>
    <w:rsid w:val="0C9B6363"/>
    <w:rsid w:val="0CA37841"/>
    <w:rsid w:val="0CA5180B"/>
    <w:rsid w:val="0CA812BD"/>
    <w:rsid w:val="0CC51EAD"/>
    <w:rsid w:val="0CC53C5B"/>
    <w:rsid w:val="0CC71781"/>
    <w:rsid w:val="0CC869D2"/>
    <w:rsid w:val="0CD5759E"/>
    <w:rsid w:val="0CEB16A1"/>
    <w:rsid w:val="0CF26C01"/>
    <w:rsid w:val="0D440690"/>
    <w:rsid w:val="0D4B502B"/>
    <w:rsid w:val="0D556D8D"/>
    <w:rsid w:val="0D576E17"/>
    <w:rsid w:val="0D747A01"/>
    <w:rsid w:val="0D7A41A3"/>
    <w:rsid w:val="0D7D62E4"/>
    <w:rsid w:val="0D99207C"/>
    <w:rsid w:val="0D993DD7"/>
    <w:rsid w:val="0DB01CD7"/>
    <w:rsid w:val="0DB1023D"/>
    <w:rsid w:val="0DC7607F"/>
    <w:rsid w:val="0DCC17EA"/>
    <w:rsid w:val="0DDC2BBC"/>
    <w:rsid w:val="0DE05E64"/>
    <w:rsid w:val="0E0479B4"/>
    <w:rsid w:val="0E225303"/>
    <w:rsid w:val="0E320CCA"/>
    <w:rsid w:val="0E3864D7"/>
    <w:rsid w:val="0E691001"/>
    <w:rsid w:val="0E8C636B"/>
    <w:rsid w:val="0E927B6D"/>
    <w:rsid w:val="0E970CA5"/>
    <w:rsid w:val="0E9D33EB"/>
    <w:rsid w:val="0EAE17EC"/>
    <w:rsid w:val="0EB13B59"/>
    <w:rsid w:val="0EC87520"/>
    <w:rsid w:val="0EC91CFF"/>
    <w:rsid w:val="0ED0335E"/>
    <w:rsid w:val="0EDB625A"/>
    <w:rsid w:val="0EE471E6"/>
    <w:rsid w:val="0EE723AD"/>
    <w:rsid w:val="0EED5D92"/>
    <w:rsid w:val="0EF77D11"/>
    <w:rsid w:val="0F057A86"/>
    <w:rsid w:val="0F186A44"/>
    <w:rsid w:val="0F3216B5"/>
    <w:rsid w:val="0F3A1761"/>
    <w:rsid w:val="0F3A1FC6"/>
    <w:rsid w:val="0F4D0E2B"/>
    <w:rsid w:val="0F5255C4"/>
    <w:rsid w:val="0F567752"/>
    <w:rsid w:val="0F603401"/>
    <w:rsid w:val="0F6107EF"/>
    <w:rsid w:val="0F711E78"/>
    <w:rsid w:val="0F7E33D9"/>
    <w:rsid w:val="0F8A7FB2"/>
    <w:rsid w:val="0FD735BF"/>
    <w:rsid w:val="0FF020D4"/>
    <w:rsid w:val="0FF6270E"/>
    <w:rsid w:val="0FF627B9"/>
    <w:rsid w:val="0FFF3690"/>
    <w:rsid w:val="102B0279"/>
    <w:rsid w:val="103B5DCE"/>
    <w:rsid w:val="103D1CA0"/>
    <w:rsid w:val="103D2B8A"/>
    <w:rsid w:val="1041184B"/>
    <w:rsid w:val="10585A38"/>
    <w:rsid w:val="105C3F6F"/>
    <w:rsid w:val="108770F8"/>
    <w:rsid w:val="108D2CE2"/>
    <w:rsid w:val="10962649"/>
    <w:rsid w:val="10A83678"/>
    <w:rsid w:val="10B15DF9"/>
    <w:rsid w:val="10B33AA8"/>
    <w:rsid w:val="10B97633"/>
    <w:rsid w:val="10BD40DE"/>
    <w:rsid w:val="10D44B63"/>
    <w:rsid w:val="111725AC"/>
    <w:rsid w:val="11246F71"/>
    <w:rsid w:val="112A6877"/>
    <w:rsid w:val="11407D54"/>
    <w:rsid w:val="114A5CF2"/>
    <w:rsid w:val="11586E4C"/>
    <w:rsid w:val="11630DEE"/>
    <w:rsid w:val="117E7905"/>
    <w:rsid w:val="11845E93"/>
    <w:rsid w:val="119B3093"/>
    <w:rsid w:val="11A44870"/>
    <w:rsid w:val="11B5429E"/>
    <w:rsid w:val="11B97FC2"/>
    <w:rsid w:val="11DF4949"/>
    <w:rsid w:val="11F64BB8"/>
    <w:rsid w:val="11FA36C3"/>
    <w:rsid w:val="121A0B3D"/>
    <w:rsid w:val="122050A0"/>
    <w:rsid w:val="122B630F"/>
    <w:rsid w:val="12440791"/>
    <w:rsid w:val="12525F91"/>
    <w:rsid w:val="125A6BF4"/>
    <w:rsid w:val="12702496"/>
    <w:rsid w:val="128E08C5"/>
    <w:rsid w:val="12921D49"/>
    <w:rsid w:val="12CD1ABC"/>
    <w:rsid w:val="12CF0A5F"/>
    <w:rsid w:val="12DA0860"/>
    <w:rsid w:val="12DA11C4"/>
    <w:rsid w:val="12E14203"/>
    <w:rsid w:val="12E938D4"/>
    <w:rsid w:val="12EF37E0"/>
    <w:rsid w:val="1300779B"/>
    <w:rsid w:val="13092DF5"/>
    <w:rsid w:val="131B2827"/>
    <w:rsid w:val="13345D1A"/>
    <w:rsid w:val="13364EBF"/>
    <w:rsid w:val="133B4C77"/>
    <w:rsid w:val="13561832"/>
    <w:rsid w:val="136456D5"/>
    <w:rsid w:val="13695795"/>
    <w:rsid w:val="1373246F"/>
    <w:rsid w:val="137A20FF"/>
    <w:rsid w:val="13916645"/>
    <w:rsid w:val="13987F9F"/>
    <w:rsid w:val="13A02D2C"/>
    <w:rsid w:val="13A445CA"/>
    <w:rsid w:val="13B01131"/>
    <w:rsid w:val="13C364F9"/>
    <w:rsid w:val="13CA645D"/>
    <w:rsid w:val="13D00E24"/>
    <w:rsid w:val="13D013B1"/>
    <w:rsid w:val="13D65F26"/>
    <w:rsid w:val="13DC1FB6"/>
    <w:rsid w:val="13DD2B16"/>
    <w:rsid w:val="141649B0"/>
    <w:rsid w:val="141E7FD7"/>
    <w:rsid w:val="14225C3D"/>
    <w:rsid w:val="1424395D"/>
    <w:rsid w:val="142D5A0F"/>
    <w:rsid w:val="143F424C"/>
    <w:rsid w:val="14481D3D"/>
    <w:rsid w:val="1451627B"/>
    <w:rsid w:val="145E64E8"/>
    <w:rsid w:val="14607B05"/>
    <w:rsid w:val="14743697"/>
    <w:rsid w:val="148145B2"/>
    <w:rsid w:val="14866E3E"/>
    <w:rsid w:val="149076CE"/>
    <w:rsid w:val="14922F00"/>
    <w:rsid w:val="14A30510"/>
    <w:rsid w:val="14AE238E"/>
    <w:rsid w:val="14B60BA1"/>
    <w:rsid w:val="14BC5B74"/>
    <w:rsid w:val="14E958DD"/>
    <w:rsid w:val="14FB0F33"/>
    <w:rsid w:val="15112E59"/>
    <w:rsid w:val="15175270"/>
    <w:rsid w:val="1547676A"/>
    <w:rsid w:val="156C736A"/>
    <w:rsid w:val="157B75AD"/>
    <w:rsid w:val="158B190C"/>
    <w:rsid w:val="159A357E"/>
    <w:rsid w:val="15BA6327"/>
    <w:rsid w:val="15D11E9F"/>
    <w:rsid w:val="15D46344"/>
    <w:rsid w:val="15DC5C25"/>
    <w:rsid w:val="160C2F79"/>
    <w:rsid w:val="16114EAD"/>
    <w:rsid w:val="16170002"/>
    <w:rsid w:val="162A4334"/>
    <w:rsid w:val="163360DA"/>
    <w:rsid w:val="1633621D"/>
    <w:rsid w:val="163D4862"/>
    <w:rsid w:val="164D0F49"/>
    <w:rsid w:val="16637686"/>
    <w:rsid w:val="166E185F"/>
    <w:rsid w:val="16A64239"/>
    <w:rsid w:val="16AE1F94"/>
    <w:rsid w:val="16B0772A"/>
    <w:rsid w:val="16B5288E"/>
    <w:rsid w:val="16C44F84"/>
    <w:rsid w:val="16D1671C"/>
    <w:rsid w:val="16D826F5"/>
    <w:rsid w:val="16E65EED"/>
    <w:rsid w:val="17137B51"/>
    <w:rsid w:val="17145DF4"/>
    <w:rsid w:val="17204A94"/>
    <w:rsid w:val="17402855"/>
    <w:rsid w:val="17530E55"/>
    <w:rsid w:val="175643CE"/>
    <w:rsid w:val="17630148"/>
    <w:rsid w:val="1763479D"/>
    <w:rsid w:val="177456E3"/>
    <w:rsid w:val="178C6772"/>
    <w:rsid w:val="179264F0"/>
    <w:rsid w:val="17942BA8"/>
    <w:rsid w:val="17977775"/>
    <w:rsid w:val="17982698"/>
    <w:rsid w:val="17A33D69"/>
    <w:rsid w:val="17A70B2D"/>
    <w:rsid w:val="17BD0CDF"/>
    <w:rsid w:val="17D15BD5"/>
    <w:rsid w:val="17E256C1"/>
    <w:rsid w:val="18016BC3"/>
    <w:rsid w:val="1856031D"/>
    <w:rsid w:val="185745A5"/>
    <w:rsid w:val="186E33F9"/>
    <w:rsid w:val="18B708FC"/>
    <w:rsid w:val="18BF0DDF"/>
    <w:rsid w:val="18DC02E3"/>
    <w:rsid w:val="18DF7E53"/>
    <w:rsid w:val="18E816F2"/>
    <w:rsid w:val="18F07A92"/>
    <w:rsid w:val="18F577F2"/>
    <w:rsid w:val="18F948F8"/>
    <w:rsid w:val="19333197"/>
    <w:rsid w:val="19375EE1"/>
    <w:rsid w:val="198527A8"/>
    <w:rsid w:val="199C755F"/>
    <w:rsid w:val="199F7961"/>
    <w:rsid w:val="19BF7673"/>
    <w:rsid w:val="19C122BD"/>
    <w:rsid w:val="19C24120"/>
    <w:rsid w:val="19CC03D7"/>
    <w:rsid w:val="19F351AF"/>
    <w:rsid w:val="19F45B80"/>
    <w:rsid w:val="19FD6C13"/>
    <w:rsid w:val="1A174AC0"/>
    <w:rsid w:val="1A232667"/>
    <w:rsid w:val="1A243375"/>
    <w:rsid w:val="1A2C531A"/>
    <w:rsid w:val="1A5B2C6B"/>
    <w:rsid w:val="1A5E73F8"/>
    <w:rsid w:val="1A622AE9"/>
    <w:rsid w:val="1A7C123F"/>
    <w:rsid w:val="1A8B64E4"/>
    <w:rsid w:val="1AA255DC"/>
    <w:rsid w:val="1AB4145B"/>
    <w:rsid w:val="1ABF7180"/>
    <w:rsid w:val="1ACE4974"/>
    <w:rsid w:val="1AD50A17"/>
    <w:rsid w:val="1ADE49A4"/>
    <w:rsid w:val="1AEC7156"/>
    <w:rsid w:val="1AED4AA9"/>
    <w:rsid w:val="1AFA006F"/>
    <w:rsid w:val="1AFF224F"/>
    <w:rsid w:val="1B0A77F6"/>
    <w:rsid w:val="1B126513"/>
    <w:rsid w:val="1B25439B"/>
    <w:rsid w:val="1B5835FE"/>
    <w:rsid w:val="1B630862"/>
    <w:rsid w:val="1B6A2F7D"/>
    <w:rsid w:val="1B783CEB"/>
    <w:rsid w:val="1B834903"/>
    <w:rsid w:val="1B8B16C6"/>
    <w:rsid w:val="1B8D3A4A"/>
    <w:rsid w:val="1B911FAF"/>
    <w:rsid w:val="1B9413C8"/>
    <w:rsid w:val="1B9C202B"/>
    <w:rsid w:val="1BB433D0"/>
    <w:rsid w:val="1BB6236F"/>
    <w:rsid w:val="1BC829CE"/>
    <w:rsid w:val="1BD16179"/>
    <w:rsid w:val="1BDD062C"/>
    <w:rsid w:val="1BE76935"/>
    <w:rsid w:val="1BEC5B5B"/>
    <w:rsid w:val="1BF371F6"/>
    <w:rsid w:val="1BFD29D8"/>
    <w:rsid w:val="1BFE05F5"/>
    <w:rsid w:val="1C257E23"/>
    <w:rsid w:val="1C491DAB"/>
    <w:rsid w:val="1C4F0D2A"/>
    <w:rsid w:val="1C534F2C"/>
    <w:rsid w:val="1C621EBD"/>
    <w:rsid w:val="1C7A6810"/>
    <w:rsid w:val="1C7C6971"/>
    <w:rsid w:val="1C85467A"/>
    <w:rsid w:val="1C8806F1"/>
    <w:rsid w:val="1CB8684D"/>
    <w:rsid w:val="1CC21F65"/>
    <w:rsid w:val="1CC730D8"/>
    <w:rsid w:val="1CE15992"/>
    <w:rsid w:val="1CE4012E"/>
    <w:rsid w:val="1CE74F74"/>
    <w:rsid w:val="1CFA34AD"/>
    <w:rsid w:val="1CFB242E"/>
    <w:rsid w:val="1D0205B4"/>
    <w:rsid w:val="1D022362"/>
    <w:rsid w:val="1D303373"/>
    <w:rsid w:val="1D4209B0"/>
    <w:rsid w:val="1D52680F"/>
    <w:rsid w:val="1D5C3357"/>
    <w:rsid w:val="1D670006"/>
    <w:rsid w:val="1D6F6174"/>
    <w:rsid w:val="1D785FD6"/>
    <w:rsid w:val="1D821C11"/>
    <w:rsid w:val="1D8D04A9"/>
    <w:rsid w:val="1DD97567"/>
    <w:rsid w:val="1DDF0E20"/>
    <w:rsid w:val="1DE763F1"/>
    <w:rsid w:val="1DF74712"/>
    <w:rsid w:val="1DFD71F5"/>
    <w:rsid w:val="1E1439F3"/>
    <w:rsid w:val="1E2A5C1C"/>
    <w:rsid w:val="1E340673"/>
    <w:rsid w:val="1E51534F"/>
    <w:rsid w:val="1E7C3C50"/>
    <w:rsid w:val="1E8C0409"/>
    <w:rsid w:val="1EB965DD"/>
    <w:rsid w:val="1EBB6C6C"/>
    <w:rsid w:val="1EC85743"/>
    <w:rsid w:val="1EC872DF"/>
    <w:rsid w:val="1ED44941"/>
    <w:rsid w:val="1EEB7551"/>
    <w:rsid w:val="1EF1268E"/>
    <w:rsid w:val="1EFF4F6B"/>
    <w:rsid w:val="1F0423C1"/>
    <w:rsid w:val="1F052F13"/>
    <w:rsid w:val="1F062C6E"/>
    <w:rsid w:val="1F0A2BD8"/>
    <w:rsid w:val="1F0D587D"/>
    <w:rsid w:val="1F2B67F3"/>
    <w:rsid w:val="1F361B4E"/>
    <w:rsid w:val="1F3E2C07"/>
    <w:rsid w:val="1F4B5BDC"/>
    <w:rsid w:val="1F517297"/>
    <w:rsid w:val="1F5801A6"/>
    <w:rsid w:val="1F6E5593"/>
    <w:rsid w:val="1F956624"/>
    <w:rsid w:val="1F9868AE"/>
    <w:rsid w:val="1F9A4DCD"/>
    <w:rsid w:val="1F9B1A83"/>
    <w:rsid w:val="1FA010D1"/>
    <w:rsid w:val="1FA72C0B"/>
    <w:rsid w:val="1FA849B5"/>
    <w:rsid w:val="1FAC4C7D"/>
    <w:rsid w:val="1FAE7CC6"/>
    <w:rsid w:val="1FB7716B"/>
    <w:rsid w:val="1FD175E0"/>
    <w:rsid w:val="1FDF698A"/>
    <w:rsid w:val="1FF055C0"/>
    <w:rsid w:val="202D3B9A"/>
    <w:rsid w:val="202F58E0"/>
    <w:rsid w:val="2060013C"/>
    <w:rsid w:val="206170DB"/>
    <w:rsid w:val="20767B23"/>
    <w:rsid w:val="207C70A5"/>
    <w:rsid w:val="207D63FF"/>
    <w:rsid w:val="20D109C9"/>
    <w:rsid w:val="20F707EF"/>
    <w:rsid w:val="20FD17BE"/>
    <w:rsid w:val="21052421"/>
    <w:rsid w:val="211321EE"/>
    <w:rsid w:val="211C7E96"/>
    <w:rsid w:val="2137706C"/>
    <w:rsid w:val="213A031C"/>
    <w:rsid w:val="213D1656"/>
    <w:rsid w:val="214C2F3B"/>
    <w:rsid w:val="215821EA"/>
    <w:rsid w:val="215E47C8"/>
    <w:rsid w:val="216F368F"/>
    <w:rsid w:val="217D777F"/>
    <w:rsid w:val="21887A02"/>
    <w:rsid w:val="21996A48"/>
    <w:rsid w:val="21A50B34"/>
    <w:rsid w:val="21AA3082"/>
    <w:rsid w:val="21B449F0"/>
    <w:rsid w:val="21B852E8"/>
    <w:rsid w:val="21B935B9"/>
    <w:rsid w:val="21C324DB"/>
    <w:rsid w:val="21CA1707"/>
    <w:rsid w:val="21CB18BC"/>
    <w:rsid w:val="21D16708"/>
    <w:rsid w:val="21D55520"/>
    <w:rsid w:val="21D73F2A"/>
    <w:rsid w:val="21DD19A3"/>
    <w:rsid w:val="21EE6DD2"/>
    <w:rsid w:val="22065300"/>
    <w:rsid w:val="22235801"/>
    <w:rsid w:val="223558E5"/>
    <w:rsid w:val="22360548"/>
    <w:rsid w:val="22451FBF"/>
    <w:rsid w:val="227D0BA3"/>
    <w:rsid w:val="22823404"/>
    <w:rsid w:val="22894810"/>
    <w:rsid w:val="22896E39"/>
    <w:rsid w:val="228A7081"/>
    <w:rsid w:val="229972C4"/>
    <w:rsid w:val="22A60E9B"/>
    <w:rsid w:val="22AC27F1"/>
    <w:rsid w:val="22C04851"/>
    <w:rsid w:val="22C2683B"/>
    <w:rsid w:val="22D14CB0"/>
    <w:rsid w:val="22D56E5C"/>
    <w:rsid w:val="23071125"/>
    <w:rsid w:val="230E380E"/>
    <w:rsid w:val="231F143E"/>
    <w:rsid w:val="231F65D0"/>
    <w:rsid w:val="23216541"/>
    <w:rsid w:val="23406E2F"/>
    <w:rsid w:val="23491482"/>
    <w:rsid w:val="234A28AB"/>
    <w:rsid w:val="234A3673"/>
    <w:rsid w:val="236E0751"/>
    <w:rsid w:val="237F3412"/>
    <w:rsid w:val="2397464D"/>
    <w:rsid w:val="23982109"/>
    <w:rsid w:val="23A44173"/>
    <w:rsid w:val="23AA04C8"/>
    <w:rsid w:val="23B92B04"/>
    <w:rsid w:val="23BD0B35"/>
    <w:rsid w:val="23CA71B5"/>
    <w:rsid w:val="23D04F68"/>
    <w:rsid w:val="23F16CBB"/>
    <w:rsid w:val="23F40FDF"/>
    <w:rsid w:val="23F46C7D"/>
    <w:rsid w:val="24000D47"/>
    <w:rsid w:val="24041B4F"/>
    <w:rsid w:val="24080FA6"/>
    <w:rsid w:val="24086E67"/>
    <w:rsid w:val="242B219E"/>
    <w:rsid w:val="242D5F16"/>
    <w:rsid w:val="24482DEC"/>
    <w:rsid w:val="245B6F27"/>
    <w:rsid w:val="245D5257"/>
    <w:rsid w:val="24707B88"/>
    <w:rsid w:val="247578BD"/>
    <w:rsid w:val="24853FA4"/>
    <w:rsid w:val="2491289D"/>
    <w:rsid w:val="24A67F25"/>
    <w:rsid w:val="24AC3E96"/>
    <w:rsid w:val="24C03327"/>
    <w:rsid w:val="24D8777E"/>
    <w:rsid w:val="24DB3744"/>
    <w:rsid w:val="24DC2624"/>
    <w:rsid w:val="24E07493"/>
    <w:rsid w:val="24E76136"/>
    <w:rsid w:val="24EF2F34"/>
    <w:rsid w:val="24F133E8"/>
    <w:rsid w:val="24FF02E7"/>
    <w:rsid w:val="25065C6D"/>
    <w:rsid w:val="25171174"/>
    <w:rsid w:val="25201F1F"/>
    <w:rsid w:val="25382DC5"/>
    <w:rsid w:val="25490655"/>
    <w:rsid w:val="255608D0"/>
    <w:rsid w:val="256711CF"/>
    <w:rsid w:val="25773499"/>
    <w:rsid w:val="258E0028"/>
    <w:rsid w:val="258F5F36"/>
    <w:rsid w:val="259E0645"/>
    <w:rsid w:val="25A51306"/>
    <w:rsid w:val="25AA672B"/>
    <w:rsid w:val="25BD0726"/>
    <w:rsid w:val="25D02FFD"/>
    <w:rsid w:val="25D04709"/>
    <w:rsid w:val="25E568FD"/>
    <w:rsid w:val="25E6647A"/>
    <w:rsid w:val="25E718E9"/>
    <w:rsid w:val="25F04BBB"/>
    <w:rsid w:val="2615173E"/>
    <w:rsid w:val="262873F9"/>
    <w:rsid w:val="262E640B"/>
    <w:rsid w:val="264A5981"/>
    <w:rsid w:val="26574EFC"/>
    <w:rsid w:val="26621799"/>
    <w:rsid w:val="26686EAE"/>
    <w:rsid w:val="266B747D"/>
    <w:rsid w:val="26857932"/>
    <w:rsid w:val="268C1CB6"/>
    <w:rsid w:val="26A42FDE"/>
    <w:rsid w:val="26A9466A"/>
    <w:rsid w:val="26B15393"/>
    <w:rsid w:val="26C1503C"/>
    <w:rsid w:val="26D5727D"/>
    <w:rsid w:val="26DD1E76"/>
    <w:rsid w:val="26E30FA1"/>
    <w:rsid w:val="26EE4083"/>
    <w:rsid w:val="26F10B6F"/>
    <w:rsid w:val="26F75065"/>
    <w:rsid w:val="26FB60FE"/>
    <w:rsid w:val="270311B0"/>
    <w:rsid w:val="27160911"/>
    <w:rsid w:val="2725579F"/>
    <w:rsid w:val="272A0C64"/>
    <w:rsid w:val="272D4DC4"/>
    <w:rsid w:val="273B4DEE"/>
    <w:rsid w:val="273E2E5E"/>
    <w:rsid w:val="27480D4C"/>
    <w:rsid w:val="276B6621"/>
    <w:rsid w:val="278D6D62"/>
    <w:rsid w:val="279462AC"/>
    <w:rsid w:val="27A37F7A"/>
    <w:rsid w:val="27A41098"/>
    <w:rsid w:val="27A91D58"/>
    <w:rsid w:val="27AE4831"/>
    <w:rsid w:val="27B20FB1"/>
    <w:rsid w:val="27C223E1"/>
    <w:rsid w:val="27D94585"/>
    <w:rsid w:val="27D97F6F"/>
    <w:rsid w:val="27E20358"/>
    <w:rsid w:val="27E77671"/>
    <w:rsid w:val="27E912C3"/>
    <w:rsid w:val="28233A61"/>
    <w:rsid w:val="28544A6C"/>
    <w:rsid w:val="286C1890"/>
    <w:rsid w:val="286D5893"/>
    <w:rsid w:val="287945F8"/>
    <w:rsid w:val="287C746C"/>
    <w:rsid w:val="28840322"/>
    <w:rsid w:val="288B2670"/>
    <w:rsid w:val="28BE150E"/>
    <w:rsid w:val="28C25F57"/>
    <w:rsid w:val="28D44692"/>
    <w:rsid w:val="28ED005B"/>
    <w:rsid w:val="28F06614"/>
    <w:rsid w:val="292D0766"/>
    <w:rsid w:val="294C5091"/>
    <w:rsid w:val="296904C6"/>
    <w:rsid w:val="297103A0"/>
    <w:rsid w:val="2976339C"/>
    <w:rsid w:val="297F109B"/>
    <w:rsid w:val="298A7967"/>
    <w:rsid w:val="298C0F82"/>
    <w:rsid w:val="299F49F0"/>
    <w:rsid w:val="29A46C7B"/>
    <w:rsid w:val="29B03871"/>
    <w:rsid w:val="29B844D4"/>
    <w:rsid w:val="29EC6874"/>
    <w:rsid w:val="29F379B7"/>
    <w:rsid w:val="29F77451"/>
    <w:rsid w:val="29FD638B"/>
    <w:rsid w:val="2A1060BE"/>
    <w:rsid w:val="2A143C5C"/>
    <w:rsid w:val="2A22427F"/>
    <w:rsid w:val="2A261E88"/>
    <w:rsid w:val="2A3B692A"/>
    <w:rsid w:val="2A3D4983"/>
    <w:rsid w:val="2A4D4AB1"/>
    <w:rsid w:val="2A4E4E38"/>
    <w:rsid w:val="2A570564"/>
    <w:rsid w:val="2A5A37DD"/>
    <w:rsid w:val="2A6F30CD"/>
    <w:rsid w:val="2A810048"/>
    <w:rsid w:val="2A8924A3"/>
    <w:rsid w:val="2A965BAD"/>
    <w:rsid w:val="2AA22934"/>
    <w:rsid w:val="2ABA6837"/>
    <w:rsid w:val="2AD51990"/>
    <w:rsid w:val="2AEA4B61"/>
    <w:rsid w:val="2B193CA5"/>
    <w:rsid w:val="2B1C4BAB"/>
    <w:rsid w:val="2B255DA9"/>
    <w:rsid w:val="2B2F6A18"/>
    <w:rsid w:val="2B314C7B"/>
    <w:rsid w:val="2B430D8F"/>
    <w:rsid w:val="2B630944"/>
    <w:rsid w:val="2B797C93"/>
    <w:rsid w:val="2B9F4649"/>
    <w:rsid w:val="2BAE7C9E"/>
    <w:rsid w:val="2BC74EA2"/>
    <w:rsid w:val="2BD054EF"/>
    <w:rsid w:val="2BDE3CE2"/>
    <w:rsid w:val="2C013B06"/>
    <w:rsid w:val="2C095F83"/>
    <w:rsid w:val="2C157EF6"/>
    <w:rsid w:val="2C197C11"/>
    <w:rsid w:val="2C254F58"/>
    <w:rsid w:val="2C2C324A"/>
    <w:rsid w:val="2C2C386A"/>
    <w:rsid w:val="2C2D0539"/>
    <w:rsid w:val="2C35005E"/>
    <w:rsid w:val="2C444D7C"/>
    <w:rsid w:val="2C495EAE"/>
    <w:rsid w:val="2C4A0180"/>
    <w:rsid w:val="2C5A4342"/>
    <w:rsid w:val="2C611D34"/>
    <w:rsid w:val="2C6332D2"/>
    <w:rsid w:val="2C9B16CB"/>
    <w:rsid w:val="2CD04DAC"/>
    <w:rsid w:val="2D0515E9"/>
    <w:rsid w:val="2D0D4483"/>
    <w:rsid w:val="2D3D4B92"/>
    <w:rsid w:val="2D41586D"/>
    <w:rsid w:val="2D417641"/>
    <w:rsid w:val="2D46640B"/>
    <w:rsid w:val="2D5B3AF4"/>
    <w:rsid w:val="2D632D02"/>
    <w:rsid w:val="2D760297"/>
    <w:rsid w:val="2D7B7FDD"/>
    <w:rsid w:val="2DA57465"/>
    <w:rsid w:val="2DAA362A"/>
    <w:rsid w:val="2DBC2838"/>
    <w:rsid w:val="2DD73498"/>
    <w:rsid w:val="2DDC770B"/>
    <w:rsid w:val="2DE5421E"/>
    <w:rsid w:val="2DEC6FFD"/>
    <w:rsid w:val="2DEE7EF5"/>
    <w:rsid w:val="2DF17B0E"/>
    <w:rsid w:val="2E410FE2"/>
    <w:rsid w:val="2E435A1B"/>
    <w:rsid w:val="2E4B06FB"/>
    <w:rsid w:val="2E6017EF"/>
    <w:rsid w:val="2E81758A"/>
    <w:rsid w:val="2E831903"/>
    <w:rsid w:val="2EB37960"/>
    <w:rsid w:val="2EDB519E"/>
    <w:rsid w:val="2EFF7351"/>
    <w:rsid w:val="2F0215C3"/>
    <w:rsid w:val="2F043A5C"/>
    <w:rsid w:val="2F3D2235"/>
    <w:rsid w:val="2F546A4D"/>
    <w:rsid w:val="2F5C28C2"/>
    <w:rsid w:val="2F5E01C6"/>
    <w:rsid w:val="2F617719"/>
    <w:rsid w:val="2F6F27F3"/>
    <w:rsid w:val="2F8245EB"/>
    <w:rsid w:val="2F9B3F1E"/>
    <w:rsid w:val="2FA17AA8"/>
    <w:rsid w:val="2FD6629E"/>
    <w:rsid w:val="2FEB19CF"/>
    <w:rsid w:val="2FED1C7C"/>
    <w:rsid w:val="30086F97"/>
    <w:rsid w:val="300A7CD2"/>
    <w:rsid w:val="30234671"/>
    <w:rsid w:val="302B6404"/>
    <w:rsid w:val="303A0CC6"/>
    <w:rsid w:val="303B58B9"/>
    <w:rsid w:val="30524580"/>
    <w:rsid w:val="30630A25"/>
    <w:rsid w:val="30760C45"/>
    <w:rsid w:val="308B2E2C"/>
    <w:rsid w:val="30945659"/>
    <w:rsid w:val="30980BBB"/>
    <w:rsid w:val="30A95E38"/>
    <w:rsid w:val="30DA01A0"/>
    <w:rsid w:val="30DC22EF"/>
    <w:rsid w:val="30DD6F16"/>
    <w:rsid w:val="30E63245"/>
    <w:rsid w:val="310D77FA"/>
    <w:rsid w:val="31264419"/>
    <w:rsid w:val="31280242"/>
    <w:rsid w:val="31293F09"/>
    <w:rsid w:val="31375E30"/>
    <w:rsid w:val="313E79B5"/>
    <w:rsid w:val="31613966"/>
    <w:rsid w:val="31684A32"/>
    <w:rsid w:val="317A4765"/>
    <w:rsid w:val="317F6D3B"/>
    <w:rsid w:val="31825103"/>
    <w:rsid w:val="318E5886"/>
    <w:rsid w:val="31960758"/>
    <w:rsid w:val="31A0049A"/>
    <w:rsid w:val="31A30D74"/>
    <w:rsid w:val="31A55CEE"/>
    <w:rsid w:val="31B762CC"/>
    <w:rsid w:val="31B8486C"/>
    <w:rsid w:val="31BB6ECB"/>
    <w:rsid w:val="31C30589"/>
    <w:rsid w:val="31D82D55"/>
    <w:rsid w:val="31DF3326"/>
    <w:rsid w:val="31E57E0B"/>
    <w:rsid w:val="321E3BC0"/>
    <w:rsid w:val="32202957"/>
    <w:rsid w:val="322B1E10"/>
    <w:rsid w:val="322D6E53"/>
    <w:rsid w:val="32373D51"/>
    <w:rsid w:val="3253246E"/>
    <w:rsid w:val="32537DFD"/>
    <w:rsid w:val="326254C8"/>
    <w:rsid w:val="327B5FCC"/>
    <w:rsid w:val="328C789C"/>
    <w:rsid w:val="329471C5"/>
    <w:rsid w:val="32D050B8"/>
    <w:rsid w:val="32D52A33"/>
    <w:rsid w:val="32D54349"/>
    <w:rsid w:val="32D90ED7"/>
    <w:rsid w:val="32F060A0"/>
    <w:rsid w:val="33053CF6"/>
    <w:rsid w:val="33136C1F"/>
    <w:rsid w:val="331379BE"/>
    <w:rsid w:val="332920E9"/>
    <w:rsid w:val="33422D50"/>
    <w:rsid w:val="3344151D"/>
    <w:rsid w:val="334D320E"/>
    <w:rsid w:val="334E4E66"/>
    <w:rsid w:val="33541711"/>
    <w:rsid w:val="3366415D"/>
    <w:rsid w:val="336E0395"/>
    <w:rsid w:val="338F44F8"/>
    <w:rsid w:val="33A60567"/>
    <w:rsid w:val="33A8380B"/>
    <w:rsid w:val="33A90E75"/>
    <w:rsid w:val="33B36CAB"/>
    <w:rsid w:val="33C44772"/>
    <w:rsid w:val="33C65279"/>
    <w:rsid w:val="33D44600"/>
    <w:rsid w:val="33D740F0"/>
    <w:rsid w:val="33DC1707"/>
    <w:rsid w:val="33ED7B40"/>
    <w:rsid w:val="33F46111"/>
    <w:rsid w:val="33F702EF"/>
    <w:rsid w:val="34062C83"/>
    <w:rsid w:val="341158D5"/>
    <w:rsid w:val="341E3ACD"/>
    <w:rsid w:val="349D1AEE"/>
    <w:rsid w:val="34A57D4B"/>
    <w:rsid w:val="34BF78D7"/>
    <w:rsid w:val="34D5171C"/>
    <w:rsid w:val="34D5465F"/>
    <w:rsid w:val="34E27DF5"/>
    <w:rsid w:val="3507680A"/>
    <w:rsid w:val="35294789"/>
    <w:rsid w:val="352D4F50"/>
    <w:rsid w:val="3556260B"/>
    <w:rsid w:val="355703EC"/>
    <w:rsid w:val="35762DF3"/>
    <w:rsid w:val="3584502E"/>
    <w:rsid w:val="35854748"/>
    <w:rsid w:val="35937820"/>
    <w:rsid w:val="35972EC8"/>
    <w:rsid w:val="359875B1"/>
    <w:rsid w:val="35B33F9A"/>
    <w:rsid w:val="35B828ED"/>
    <w:rsid w:val="35DA3ABC"/>
    <w:rsid w:val="35FA175F"/>
    <w:rsid w:val="362D7FF8"/>
    <w:rsid w:val="364315C9"/>
    <w:rsid w:val="36513CE6"/>
    <w:rsid w:val="3680483A"/>
    <w:rsid w:val="36A007CA"/>
    <w:rsid w:val="36A22655"/>
    <w:rsid w:val="36BB37D5"/>
    <w:rsid w:val="36C5658C"/>
    <w:rsid w:val="36D96A36"/>
    <w:rsid w:val="36DA5983"/>
    <w:rsid w:val="36DE1305"/>
    <w:rsid w:val="37044A6A"/>
    <w:rsid w:val="371C36E1"/>
    <w:rsid w:val="372661E0"/>
    <w:rsid w:val="372B4EDC"/>
    <w:rsid w:val="373F0DAC"/>
    <w:rsid w:val="37547145"/>
    <w:rsid w:val="375D43E8"/>
    <w:rsid w:val="376B2FC0"/>
    <w:rsid w:val="376E5A1F"/>
    <w:rsid w:val="37704D82"/>
    <w:rsid w:val="37840A74"/>
    <w:rsid w:val="378D654A"/>
    <w:rsid w:val="378E0F6A"/>
    <w:rsid w:val="37B6504E"/>
    <w:rsid w:val="37CA64E2"/>
    <w:rsid w:val="37D73A86"/>
    <w:rsid w:val="37DE77FC"/>
    <w:rsid w:val="37FD0E8C"/>
    <w:rsid w:val="380556BA"/>
    <w:rsid w:val="38132C92"/>
    <w:rsid w:val="381C6D66"/>
    <w:rsid w:val="38263A90"/>
    <w:rsid w:val="382B247E"/>
    <w:rsid w:val="38341A0A"/>
    <w:rsid w:val="38390ED6"/>
    <w:rsid w:val="383F711C"/>
    <w:rsid w:val="387B329C"/>
    <w:rsid w:val="38A105B7"/>
    <w:rsid w:val="38AD5420"/>
    <w:rsid w:val="38B13162"/>
    <w:rsid w:val="38E142A4"/>
    <w:rsid w:val="38E21F79"/>
    <w:rsid w:val="38EA0B38"/>
    <w:rsid w:val="390F0465"/>
    <w:rsid w:val="391C0210"/>
    <w:rsid w:val="39227BBC"/>
    <w:rsid w:val="39270020"/>
    <w:rsid w:val="393528E1"/>
    <w:rsid w:val="393605C7"/>
    <w:rsid w:val="39383183"/>
    <w:rsid w:val="39442A7A"/>
    <w:rsid w:val="39444EDD"/>
    <w:rsid w:val="394C6378"/>
    <w:rsid w:val="39586050"/>
    <w:rsid w:val="3962445C"/>
    <w:rsid w:val="396957EB"/>
    <w:rsid w:val="397C0C5D"/>
    <w:rsid w:val="399E6467"/>
    <w:rsid w:val="399F745E"/>
    <w:rsid w:val="39A810A9"/>
    <w:rsid w:val="39B051C8"/>
    <w:rsid w:val="39B33235"/>
    <w:rsid w:val="39D023AB"/>
    <w:rsid w:val="39D34E13"/>
    <w:rsid w:val="39DE1F09"/>
    <w:rsid w:val="39F351B3"/>
    <w:rsid w:val="3A03684F"/>
    <w:rsid w:val="3A050A8E"/>
    <w:rsid w:val="3A191E65"/>
    <w:rsid w:val="3A227D51"/>
    <w:rsid w:val="3A304D85"/>
    <w:rsid w:val="3A3B56C8"/>
    <w:rsid w:val="3A3B738C"/>
    <w:rsid w:val="3A766411"/>
    <w:rsid w:val="3A877C2C"/>
    <w:rsid w:val="3AA50AA5"/>
    <w:rsid w:val="3ADB44C6"/>
    <w:rsid w:val="3AE02AC5"/>
    <w:rsid w:val="3AE534FD"/>
    <w:rsid w:val="3AEB65EC"/>
    <w:rsid w:val="3B023801"/>
    <w:rsid w:val="3B046B78"/>
    <w:rsid w:val="3B0672CF"/>
    <w:rsid w:val="3B125121"/>
    <w:rsid w:val="3B1323E7"/>
    <w:rsid w:val="3B1744EC"/>
    <w:rsid w:val="3B2C5A3D"/>
    <w:rsid w:val="3B36387F"/>
    <w:rsid w:val="3B483326"/>
    <w:rsid w:val="3B5B1163"/>
    <w:rsid w:val="3B6B58C4"/>
    <w:rsid w:val="3B7D31C1"/>
    <w:rsid w:val="3B854432"/>
    <w:rsid w:val="3B8561E0"/>
    <w:rsid w:val="3B8C6144"/>
    <w:rsid w:val="3BA24A74"/>
    <w:rsid w:val="3BA93244"/>
    <w:rsid w:val="3BB004D6"/>
    <w:rsid w:val="3BB55FAD"/>
    <w:rsid w:val="3BBA08A2"/>
    <w:rsid w:val="3BBC42F8"/>
    <w:rsid w:val="3BCA29E9"/>
    <w:rsid w:val="3BD70464"/>
    <w:rsid w:val="3BE70039"/>
    <w:rsid w:val="3BFB053B"/>
    <w:rsid w:val="3C0637C5"/>
    <w:rsid w:val="3C4A1B3C"/>
    <w:rsid w:val="3C615D12"/>
    <w:rsid w:val="3C6543FA"/>
    <w:rsid w:val="3C780AE5"/>
    <w:rsid w:val="3C7E77FF"/>
    <w:rsid w:val="3CA1264F"/>
    <w:rsid w:val="3CAF3102"/>
    <w:rsid w:val="3CD81DCD"/>
    <w:rsid w:val="3D2A43E2"/>
    <w:rsid w:val="3D2C725B"/>
    <w:rsid w:val="3D2F28A7"/>
    <w:rsid w:val="3D336722"/>
    <w:rsid w:val="3D530552"/>
    <w:rsid w:val="3D7D7F1F"/>
    <w:rsid w:val="3D89160C"/>
    <w:rsid w:val="3D891FB8"/>
    <w:rsid w:val="3D8C1749"/>
    <w:rsid w:val="3DBE2323"/>
    <w:rsid w:val="3DD16BF4"/>
    <w:rsid w:val="3DD86B52"/>
    <w:rsid w:val="3DDA0A65"/>
    <w:rsid w:val="3DDF79DD"/>
    <w:rsid w:val="3E02212E"/>
    <w:rsid w:val="3E062A05"/>
    <w:rsid w:val="3E0767FC"/>
    <w:rsid w:val="3E0F533D"/>
    <w:rsid w:val="3E134E01"/>
    <w:rsid w:val="3E171CB9"/>
    <w:rsid w:val="3E1E21EA"/>
    <w:rsid w:val="3E2C3C75"/>
    <w:rsid w:val="3E345A10"/>
    <w:rsid w:val="3E3C527C"/>
    <w:rsid w:val="3E473EF7"/>
    <w:rsid w:val="3E4A2D39"/>
    <w:rsid w:val="3E4D5C12"/>
    <w:rsid w:val="3E4D6E62"/>
    <w:rsid w:val="3E4E77ED"/>
    <w:rsid w:val="3E562D26"/>
    <w:rsid w:val="3E5D2699"/>
    <w:rsid w:val="3E5D51F2"/>
    <w:rsid w:val="3E630A5B"/>
    <w:rsid w:val="3E9E5F37"/>
    <w:rsid w:val="3EA177D5"/>
    <w:rsid w:val="3EB509AB"/>
    <w:rsid w:val="3EE66259"/>
    <w:rsid w:val="3EE91F45"/>
    <w:rsid w:val="3F0D726E"/>
    <w:rsid w:val="3F2428C6"/>
    <w:rsid w:val="3F45460A"/>
    <w:rsid w:val="3F504130"/>
    <w:rsid w:val="3F64271E"/>
    <w:rsid w:val="3F7E4E8E"/>
    <w:rsid w:val="3F827606"/>
    <w:rsid w:val="3F852C53"/>
    <w:rsid w:val="3F977D30"/>
    <w:rsid w:val="3F987D93"/>
    <w:rsid w:val="3F9C48E8"/>
    <w:rsid w:val="3FA1476C"/>
    <w:rsid w:val="3FAF2207"/>
    <w:rsid w:val="3FB435AB"/>
    <w:rsid w:val="3FBB501D"/>
    <w:rsid w:val="3FC100C6"/>
    <w:rsid w:val="3FC209A5"/>
    <w:rsid w:val="3FF73B50"/>
    <w:rsid w:val="40095632"/>
    <w:rsid w:val="40184D4C"/>
    <w:rsid w:val="405C20F7"/>
    <w:rsid w:val="405F07FF"/>
    <w:rsid w:val="4061021F"/>
    <w:rsid w:val="40956EC5"/>
    <w:rsid w:val="40972C3D"/>
    <w:rsid w:val="40AF56B5"/>
    <w:rsid w:val="40B80747"/>
    <w:rsid w:val="40BC6AC1"/>
    <w:rsid w:val="40D3179F"/>
    <w:rsid w:val="40EF58BE"/>
    <w:rsid w:val="40F41E3E"/>
    <w:rsid w:val="40F55BB6"/>
    <w:rsid w:val="410D73A4"/>
    <w:rsid w:val="4122772A"/>
    <w:rsid w:val="41251DF1"/>
    <w:rsid w:val="41271208"/>
    <w:rsid w:val="4143150B"/>
    <w:rsid w:val="41474664"/>
    <w:rsid w:val="414762D1"/>
    <w:rsid w:val="414E4F37"/>
    <w:rsid w:val="41523062"/>
    <w:rsid w:val="41524DB6"/>
    <w:rsid w:val="41605725"/>
    <w:rsid w:val="41780A56"/>
    <w:rsid w:val="4180784A"/>
    <w:rsid w:val="41857002"/>
    <w:rsid w:val="41914B9C"/>
    <w:rsid w:val="41A575DC"/>
    <w:rsid w:val="41A7048D"/>
    <w:rsid w:val="41BB0BAE"/>
    <w:rsid w:val="41C17040"/>
    <w:rsid w:val="41D93769"/>
    <w:rsid w:val="41DA0216"/>
    <w:rsid w:val="41DC5313"/>
    <w:rsid w:val="41DC5AA5"/>
    <w:rsid w:val="41EC0C65"/>
    <w:rsid w:val="421F47C1"/>
    <w:rsid w:val="423727AF"/>
    <w:rsid w:val="423C36DA"/>
    <w:rsid w:val="424351B9"/>
    <w:rsid w:val="42463840"/>
    <w:rsid w:val="425561EE"/>
    <w:rsid w:val="425C1127"/>
    <w:rsid w:val="426235A6"/>
    <w:rsid w:val="426C5CF0"/>
    <w:rsid w:val="426D5EB2"/>
    <w:rsid w:val="4270224D"/>
    <w:rsid w:val="4291675A"/>
    <w:rsid w:val="4292190E"/>
    <w:rsid w:val="42A72EE0"/>
    <w:rsid w:val="42B14A45"/>
    <w:rsid w:val="42CD2A2B"/>
    <w:rsid w:val="42D01178"/>
    <w:rsid w:val="42DC7343"/>
    <w:rsid w:val="42DD6902"/>
    <w:rsid w:val="42EA1EE0"/>
    <w:rsid w:val="42EF6D61"/>
    <w:rsid w:val="430859A4"/>
    <w:rsid w:val="430A2910"/>
    <w:rsid w:val="430D40E2"/>
    <w:rsid w:val="43147B2A"/>
    <w:rsid w:val="431D0041"/>
    <w:rsid w:val="4320516C"/>
    <w:rsid w:val="4322482D"/>
    <w:rsid w:val="4326046E"/>
    <w:rsid w:val="4326474D"/>
    <w:rsid w:val="43266633"/>
    <w:rsid w:val="43301127"/>
    <w:rsid w:val="433F7727"/>
    <w:rsid w:val="435766B4"/>
    <w:rsid w:val="437B4D47"/>
    <w:rsid w:val="43A06E99"/>
    <w:rsid w:val="43A713E9"/>
    <w:rsid w:val="43AF7095"/>
    <w:rsid w:val="43B92AD4"/>
    <w:rsid w:val="43B977D3"/>
    <w:rsid w:val="43E57CF6"/>
    <w:rsid w:val="43EF3E47"/>
    <w:rsid w:val="43FE6FF5"/>
    <w:rsid w:val="44087B21"/>
    <w:rsid w:val="44104FA2"/>
    <w:rsid w:val="441050ED"/>
    <w:rsid w:val="44184095"/>
    <w:rsid w:val="44240C8C"/>
    <w:rsid w:val="443133A9"/>
    <w:rsid w:val="44515ED8"/>
    <w:rsid w:val="445741DF"/>
    <w:rsid w:val="445D2BF8"/>
    <w:rsid w:val="44942FDA"/>
    <w:rsid w:val="44BD10AD"/>
    <w:rsid w:val="44C4259A"/>
    <w:rsid w:val="44C8042A"/>
    <w:rsid w:val="44E40DD4"/>
    <w:rsid w:val="45145788"/>
    <w:rsid w:val="451F5006"/>
    <w:rsid w:val="45302BD4"/>
    <w:rsid w:val="453B2F1D"/>
    <w:rsid w:val="45456E3E"/>
    <w:rsid w:val="455C732E"/>
    <w:rsid w:val="45833FED"/>
    <w:rsid w:val="45B8259F"/>
    <w:rsid w:val="45BD7EF6"/>
    <w:rsid w:val="45C468E2"/>
    <w:rsid w:val="45E90803"/>
    <w:rsid w:val="45EF52CA"/>
    <w:rsid w:val="4613720A"/>
    <w:rsid w:val="46162856"/>
    <w:rsid w:val="463175A3"/>
    <w:rsid w:val="46377DB5"/>
    <w:rsid w:val="4640209B"/>
    <w:rsid w:val="46527462"/>
    <w:rsid w:val="465B56CC"/>
    <w:rsid w:val="46670666"/>
    <w:rsid w:val="466F562A"/>
    <w:rsid w:val="468E4455"/>
    <w:rsid w:val="469043B7"/>
    <w:rsid w:val="46A071B9"/>
    <w:rsid w:val="46A5710A"/>
    <w:rsid w:val="46A772DC"/>
    <w:rsid w:val="46AA660D"/>
    <w:rsid w:val="46B06A27"/>
    <w:rsid w:val="46B9747D"/>
    <w:rsid w:val="46BF170C"/>
    <w:rsid w:val="46D5434A"/>
    <w:rsid w:val="46E61878"/>
    <w:rsid w:val="46E67759"/>
    <w:rsid w:val="46F712AD"/>
    <w:rsid w:val="46FE3A16"/>
    <w:rsid w:val="471951CC"/>
    <w:rsid w:val="472471F5"/>
    <w:rsid w:val="472F1778"/>
    <w:rsid w:val="4731609E"/>
    <w:rsid w:val="473531B0"/>
    <w:rsid w:val="47416983"/>
    <w:rsid w:val="475C20A0"/>
    <w:rsid w:val="47666BB3"/>
    <w:rsid w:val="47727F60"/>
    <w:rsid w:val="477636B7"/>
    <w:rsid w:val="477938B2"/>
    <w:rsid w:val="47A46039"/>
    <w:rsid w:val="47B16CDB"/>
    <w:rsid w:val="47BD3278"/>
    <w:rsid w:val="47BE1EED"/>
    <w:rsid w:val="47C005E0"/>
    <w:rsid w:val="47CA62E9"/>
    <w:rsid w:val="47DC57E1"/>
    <w:rsid w:val="47E260CB"/>
    <w:rsid w:val="47EE3361"/>
    <w:rsid w:val="480A0B2A"/>
    <w:rsid w:val="484027D0"/>
    <w:rsid w:val="48513B2C"/>
    <w:rsid w:val="485E4713"/>
    <w:rsid w:val="48694076"/>
    <w:rsid w:val="48786865"/>
    <w:rsid w:val="488064F7"/>
    <w:rsid w:val="489C6027"/>
    <w:rsid w:val="489F6B33"/>
    <w:rsid w:val="48A71E8C"/>
    <w:rsid w:val="48A92A0A"/>
    <w:rsid w:val="48C9234E"/>
    <w:rsid w:val="48CC6A8A"/>
    <w:rsid w:val="48D64EDA"/>
    <w:rsid w:val="48EA3B26"/>
    <w:rsid w:val="48EC5E0E"/>
    <w:rsid w:val="48F1652B"/>
    <w:rsid w:val="48FA2D2E"/>
    <w:rsid w:val="48FE530B"/>
    <w:rsid w:val="490E1005"/>
    <w:rsid w:val="49256AEA"/>
    <w:rsid w:val="492B486B"/>
    <w:rsid w:val="493214F0"/>
    <w:rsid w:val="49342BDA"/>
    <w:rsid w:val="493E4A41"/>
    <w:rsid w:val="4944592C"/>
    <w:rsid w:val="49471469"/>
    <w:rsid w:val="494819CC"/>
    <w:rsid w:val="495A5150"/>
    <w:rsid w:val="49670C7E"/>
    <w:rsid w:val="496D6CFF"/>
    <w:rsid w:val="496E7728"/>
    <w:rsid w:val="497050A5"/>
    <w:rsid w:val="49885376"/>
    <w:rsid w:val="498A0BB3"/>
    <w:rsid w:val="49972923"/>
    <w:rsid w:val="499D7160"/>
    <w:rsid w:val="49B24F54"/>
    <w:rsid w:val="49B410A0"/>
    <w:rsid w:val="49C62F3E"/>
    <w:rsid w:val="49E43746"/>
    <w:rsid w:val="49E71334"/>
    <w:rsid w:val="49E807E5"/>
    <w:rsid w:val="4A022A27"/>
    <w:rsid w:val="4A100037"/>
    <w:rsid w:val="4A173752"/>
    <w:rsid w:val="4A443E36"/>
    <w:rsid w:val="4A5624B6"/>
    <w:rsid w:val="4A673681"/>
    <w:rsid w:val="4A6B3B32"/>
    <w:rsid w:val="4A6C6EE9"/>
    <w:rsid w:val="4A6F5CB4"/>
    <w:rsid w:val="4A8872F4"/>
    <w:rsid w:val="4A927B8C"/>
    <w:rsid w:val="4A974B83"/>
    <w:rsid w:val="4A975AD1"/>
    <w:rsid w:val="4AA70F06"/>
    <w:rsid w:val="4ACF0EDA"/>
    <w:rsid w:val="4AE05B03"/>
    <w:rsid w:val="4AE73740"/>
    <w:rsid w:val="4AEE10EC"/>
    <w:rsid w:val="4AF62C56"/>
    <w:rsid w:val="4AFE7FA0"/>
    <w:rsid w:val="4B1131DF"/>
    <w:rsid w:val="4B1E32E6"/>
    <w:rsid w:val="4B2B6C32"/>
    <w:rsid w:val="4B47454C"/>
    <w:rsid w:val="4B560B5D"/>
    <w:rsid w:val="4B6E132B"/>
    <w:rsid w:val="4B6F7749"/>
    <w:rsid w:val="4B701DD6"/>
    <w:rsid w:val="4B717E32"/>
    <w:rsid w:val="4B971D44"/>
    <w:rsid w:val="4BAE411D"/>
    <w:rsid w:val="4BFC355C"/>
    <w:rsid w:val="4BFE0A22"/>
    <w:rsid w:val="4C004A41"/>
    <w:rsid w:val="4C035054"/>
    <w:rsid w:val="4C0A3DB9"/>
    <w:rsid w:val="4C0C0983"/>
    <w:rsid w:val="4C1930A0"/>
    <w:rsid w:val="4C2B6930"/>
    <w:rsid w:val="4C3353A1"/>
    <w:rsid w:val="4C4E6CA7"/>
    <w:rsid w:val="4C554C45"/>
    <w:rsid w:val="4C9E5354"/>
    <w:rsid w:val="4CAB4BA1"/>
    <w:rsid w:val="4CD17FB8"/>
    <w:rsid w:val="4CD21ED7"/>
    <w:rsid w:val="4CD3324F"/>
    <w:rsid w:val="4CF3569F"/>
    <w:rsid w:val="4D0A483A"/>
    <w:rsid w:val="4D1A2FB4"/>
    <w:rsid w:val="4D210D6B"/>
    <w:rsid w:val="4D2437BE"/>
    <w:rsid w:val="4D4E28D6"/>
    <w:rsid w:val="4D761E2D"/>
    <w:rsid w:val="4D8473C5"/>
    <w:rsid w:val="4D9117FD"/>
    <w:rsid w:val="4DA00C09"/>
    <w:rsid w:val="4DAB540E"/>
    <w:rsid w:val="4DB31898"/>
    <w:rsid w:val="4DBF5582"/>
    <w:rsid w:val="4DC82F3B"/>
    <w:rsid w:val="4DF27705"/>
    <w:rsid w:val="4DF96CE5"/>
    <w:rsid w:val="4E0929FA"/>
    <w:rsid w:val="4E1C5B29"/>
    <w:rsid w:val="4E232ABB"/>
    <w:rsid w:val="4E392C8F"/>
    <w:rsid w:val="4E3F17A7"/>
    <w:rsid w:val="4E4D0927"/>
    <w:rsid w:val="4E4D40AD"/>
    <w:rsid w:val="4E52163B"/>
    <w:rsid w:val="4E540379"/>
    <w:rsid w:val="4E697568"/>
    <w:rsid w:val="4E7939C1"/>
    <w:rsid w:val="4E9655A4"/>
    <w:rsid w:val="4E984750"/>
    <w:rsid w:val="4E995BFE"/>
    <w:rsid w:val="4E9C3796"/>
    <w:rsid w:val="4EA619CF"/>
    <w:rsid w:val="4EC23A27"/>
    <w:rsid w:val="4ECB49D3"/>
    <w:rsid w:val="4ED432AF"/>
    <w:rsid w:val="4ED43F51"/>
    <w:rsid w:val="4EE075AA"/>
    <w:rsid w:val="4EE65747"/>
    <w:rsid w:val="4EEA70C1"/>
    <w:rsid w:val="4EF37BD9"/>
    <w:rsid w:val="4F037C7B"/>
    <w:rsid w:val="4F05548C"/>
    <w:rsid w:val="4F156405"/>
    <w:rsid w:val="4F270F69"/>
    <w:rsid w:val="4F274304"/>
    <w:rsid w:val="4F2B02D3"/>
    <w:rsid w:val="4F395AA5"/>
    <w:rsid w:val="4F4F0CEB"/>
    <w:rsid w:val="4F574D2F"/>
    <w:rsid w:val="4F6F1974"/>
    <w:rsid w:val="4F766114"/>
    <w:rsid w:val="4F7F76BE"/>
    <w:rsid w:val="4F8565E0"/>
    <w:rsid w:val="4F8847C5"/>
    <w:rsid w:val="4F9E0C1C"/>
    <w:rsid w:val="4FB400E0"/>
    <w:rsid w:val="4FBC621D"/>
    <w:rsid w:val="4FCA74D2"/>
    <w:rsid w:val="4FDF015D"/>
    <w:rsid w:val="4FE37ABB"/>
    <w:rsid w:val="4FE42C5E"/>
    <w:rsid w:val="4FE71A64"/>
    <w:rsid w:val="4FF05C09"/>
    <w:rsid w:val="50454771"/>
    <w:rsid w:val="504A1A7A"/>
    <w:rsid w:val="505A42B4"/>
    <w:rsid w:val="507202DD"/>
    <w:rsid w:val="507810C3"/>
    <w:rsid w:val="50997F8F"/>
    <w:rsid w:val="509B6F08"/>
    <w:rsid w:val="50A6517A"/>
    <w:rsid w:val="50B04857"/>
    <w:rsid w:val="50B85404"/>
    <w:rsid w:val="50CB4FDE"/>
    <w:rsid w:val="510435BD"/>
    <w:rsid w:val="510B2C9A"/>
    <w:rsid w:val="510C60AC"/>
    <w:rsid w:val="510E738F"/>
    <w:rsid w:val="512B049F"/>
    <w:rsid w:val="5152745C"/>
    <w:rsid w:val="51622DF4"/>
    <w:rsid w:val="51627D04"/>
    <w:rsid w:val="516A518B"/>
    <w:rsid w:val="518A026E"/>
    <w:rsid w:val="519F2545"/>
    <w:rsid w:val="51A20611"/>
    <w:rsid w:val="51E732EF"/>
    <w:rsid w:val="51E952C3"/>
    <w:rsid w:val="52032300"/>
    <w:rsid w:val="52072051"/>
    <w:rsid w:val="520956B7"/>
    <w:rsid w:val="52224331"/>
    <w:rsid w:val="52271947"/>
    <w:rsid w:val="523A7256"/>
    <w:rsid w:val="523F159A"/>
    <w:rsid w:val="52514F1D"/>
    <w:rsid w:val="5268426B"/>
    <w:rsid w:val="527C0FAC"/>
    <w:rsid w:val="529162D5"/>
    <w:rsid w:val="52AA208A"/>
    <w:rsid w:val="52B53959"/>
    <w:rsid w:val="52B81F4E"/>
    <w:rsid w:val="52C16C6D"/>
    <w:rsid w:val="52C8137C"/>
    <w:rsid w:val="52CB49C9"/>
    <w:rsid w:val="52FA009D"/>
    <w:rsid w:val="53000E00"/>
    <w:rsid w:val="530C6C75"/>
    <w:rsid w:val="531B14AC"/>
    <w:rsid w:val="531C75BF"/>
    <w:rsid w:val="53262C68"/>
    <w:rsid w:val="5334049B"/>
    <w:rsid w:val="53351022"/>
    <w:rsid w:val="53470F5C"/>
    <w:rsid w:val="534A6EED"/>
    <w:rsid w:val="53514ECE"/>
    <w:rsid w:val="536410A5"/>
    <w:rsid w:val="53713C16"/>
    <w:rsid w:val="537333DE"/>
    <w:rsid w:val="537B1F4B"/>
    <w:rsid w:val="53863068"/>
    <w:rsid w:val="538C5818"/>
    <w:rsid w:val="539F3E8B"/>
    <w:rsid w:val="53A7397C"/>
    <w:rsid w:val="53B22AA1"/>
    <w:rsid w:val="53C071D5"/>
    <w:rsid w:val="53E73A84"/>
    <w:rsid w:val="53E9443E"/>
    <w:rsid w:val="53F266B1"/>
    <w:rsid w:val="53F30897"/>
    <w:rsid w:val="53FE5FDA"/>
    <w:rsid w:val="54085ED4"/>
    <w:rsid w:val="54183203"/>
    <w:rsid w:val="54183368"/>
    <w:rsid w:val="5438608E"/>
    <w:rsid w:val="54555553"/>
    <w:rsid w:val="548337AD"/>
    <w:rsid w:val="5486504B"/>
    <w:rsid w:val="54907E7D"/>
    <w:rsid w:val="549C07F6"/>
    <w:rsid w:val="549E3D13"/>
    <w:rsid w:val="549F555B"/>
    <w:rsid w:val="54AA453A"/>
    <w:rsid w:val="54B73FFB"/>
    <w:rsid w:val="54B971CF"/>
    <w:rsid w:val="54C81140"/>
    <w:rsid w:val="54D73770"/>
    <w:rsid w:val="54E42047"/>
    <w:rsid w:val="54FD44C6"/>
    <w:rsid w:val="55003B90"/>
    <w:rsid w:val="550E7076"/>
    <w:rsid w:val="551878B1"/>
    <w:rsid w:val="551B130D"/>
    <w:rsid w:val="551D59AF"/>
    <w:rsid w:val="552632FE"/>
    <w:rsid w:val="552C3A0B"/>
    <w:rsid w:val="553402AE"/>
    <w:rsid w:val="55432F3C"/>
    <w:rsid w:val="55754722"/>
    <w:rsid w:val="559758E8"/>
    <w:rsid w:val="559806B9"/>
    <w:rsid w:val="55994B83"/>
    <w:rsid w:val="559F0D49"/>
    <w:rsid w:val="55A31CD6"/>
    <w:rsid w:val="55A8213E"/>
    <w:rsid w:val="55B07FE1"/>
    <w:rsid w:val="55CA2470"/>
    <w:rsid w:val="55D42002"/>
    <w:rsid w:val="55D42BDF"/>
    <w:rsid w:val="55E71A45"/>
    <w:rsid w:val="55EC125A"/>
    <w:rsid w:val="55F53ECB"/>
    <w:rsid w:val="560222CE"/>
    <w:rsid w:val="560D5BDC"/>
    <w:rsid w:val="561A009E"/>
    <w:rsid w:val="561D08DA"/>
    <w:rsid w:val="562E360D"/>
    <w:rsid w:val="564572FA"/>
    <w:rsid w:val="56682C5A"/>
    <w:rsid w:val="56994E6B"/>
    <w:rsid w:val="56AD7ACE"/>
    <w:rsid w:val="56B02F0F"/>
    <w:rsid w:val="56E2178A"/>
    <w:rsid w:val="56F93C0C"/>
    <w:rsid w:val="570F0B49"/>
    <w:rsid w:val="5725659E"/>
    <w:rsid w:val="572900A3"/>
    <w:rsid w:val="572D07B6"/>
    <w:rsid w:val="57392849"/>
    <w:rsid w:val="574A74D5"/>
    <w:rsid w:val="575838E4"/>
    <w:rsid w:val="57656AC8"/>
    <w:rsid w:val="576A1A86"/>
    <w:rsid w:val="57705A81"/>
    <w:rsid w:val="577345B8"/>
    <w:rsid w:val="578F2469"/>
    <w:rsid w:val="57B42DB2"/>
    <w:rsid w:val="57C85250"/>
    <w:rsid w:val="57DE55C1"/>
    <w:rsid w:val="57EE3FA8"/>
    <w:rsid w:val="57EE718F"/>
    <w:rsid w:val="58092634"/>
    <w:rsid w:val="583F3D28"/>
    <w:rsid w:val="5846297F"/>
    <w:rsid w:val="58486376"/>
    <w:rsid w:val="58676F42"/>
    <w:rsid w:val="58726012"/>
    <w:rsid w:val="58900396"/>
    <w:rsid w:val="58BB6A69"/>
    <w:rsid w:val="58CD4FF7"/>
    <w:rsid w:val="58D5034F"/>
    <w:rsid w:val="58DC348C"/>
    <w:rsid w:val="58FD2E32"/>
    <w:rsid w:val="591C65F7"/>
    <w:rsid w:val="59225EFC"/>
    <w:rsid w:val="59296199"/>
    <w:rsid w:val="592C601E"/>
    <w:rsid w:val="592F22C2"/>
    <w:rsid w:val="59787213"/>
    <w:rsid w:val="598E2878"/>
    <w:rsid w:val="59914276"/>
    <w:rsid w:val="59936AF0"/>
    <w:rsid w:val="599C0829"/>
    <w:rsid w:val="599D38F2"/>
    <w:rsid w:val="59A04E1D"/>
    <w:rsid w:val="59B14C88"/>
    <w:rsid w:val="59B767D4"/>
    <w:rsid w:val="59D16D28"/>
    <w:rsid w:val="59DB3743"/>
    <w:rsid w:val="5A032C9A"/>
    <w:rsid w:val="5A0A115E"/>
    <w:rsid w:val="5A23621C"/>
    <w:rsid w:val="5A272EF7"/>
    <w:rsid w:val="5A2E33D1"/>
    <w:rsid w:val="5A880EF8"/>
    <w:rsid w:val="5A8B6F17"/>
    <w:rsid w:val="5AA71BB3"/>
    <w:rsid w:val="5AAB2DD0"/>
    <w:rsid w:val="5AB821A5"/>
    <w:rsid w:val="5ACE32A8"/>
    <w:rsid w:val="5ACE5F4B"/>
    <w:rsid w:val="5ADA7015"/>
    <w:rsid w:val="5AF16579"/>
    <w:rsid w:val="5B1142DF"/>
    <w:rsid w:val="5B1B2426"/>
    <w:rsid w:val="5B2058CD"/>
    <w:rsid w:val="5B4179A4"/>
    <w:rsid w:val="5B5A608F"/>
    <w:rsid w:val="5B6330A3"/>
    <w:rsid w:val="5B965C47"/>
    <w:rsid w:val="5BB10BFF"/>
    <w:rsid w:val="5BCD4E98"/>
    <w:rsid w:val="5BD20B76"/>
    <w:rsid w:val="5BD4669C"/>
    <w:rsid w:val="5BD80000"/>
    <w:rsid w:val="5BDD749C"/>
    <w:rsid w:val="5BE73793"/>
    <w:rsid w:val="5BF6487A"/>
    <w:rsid w:val="5C023B43"/>
    <w:rsid w:val="5C087DBE"/>
    <w:rsid w:val="5C094509"/>
    <w:rsid w:val="5C0A69D0"/>
    <w:rsid w:val="5C0B73BE"/>
    <w:rsid w:val="5C2238AB"/>
    <w:rsid w:val="5C277BD4"/>
    <w:rsid w:val="5C335B82"/>
    <w:rsid w:val="5C3700D7"/>
    <w:rsid w:val="5C37252E"/>
    <w:rsid w:val="5C3839BE"/>
    <w:rsid w:val="5C3E7378"/>
    <w:rsid w:val="5C580E87"/>
    <w:rsid w:val="5C671FAF"/>
    <w:rsid w:val="5C7F0E09"/>
    <w:rsid w:val="5C957BB3"/>
    <w:rsid w:val="5CA43395"/>
    <w:rsid w:val="5CAC0EAC"/>
    <w:rsid w:val="5CB40541"/>
    <w:rsid w:val="5CB87FBC"/>
    <w:rsid w:val="5CCA4D99"/>
    <w:rsid w:val="5CEB31DB"/>
    <w:rsid w:val="5CEE5243"/>
    <w:rsid w:val="5CF77FDB"/>
    <w:rsid w:val="5CFB23FF"/>
    <w:rsid w:val="5D0E006E"/>
    <w:rsid w:val="5D100FF4"/>
    <w:rsid w:val="5D234DCA"/>
    <w:rsid w:val="5D3D64C3"/>
    <w:rsid w:val="5D40082C"/>
    <w:rsid w:val="5D467F0F"/>
    <w:rsid w:val="5D635F29"/>
    <w:rsid w:val="5D7A2375"/>
    <w:rsid w:val="5D8503B4"/>
    <w:rsid w:val="5D8848E1"/>
    <w:rsid w:val="5D9E536C"/>
    <w:rsid w:val="5DB2258D"/>
    <w:rsid w:val="5DB76129"/>
    <w:rsid w:val="5DC6541C"/>
    <w:rsid w:val="5DCC7F73"/>
    <w:rsid w:val="5DD04111"/>
    <w:rsid w:val="5DD967A3"/>
    <w:rsid w:val="5DF0323E"/>
    <w:rsid w:val="5E0842EA"/>
    <w:rsid w:val="5E0A4CC1"/>
    <w:rsid w:val="5E0D33CF"/>
    <w:rsid w:val="5E1A5108"/>
    <w:rsid w:val="5E2B70CA"/>
    <w:rsid w:val="5E3112D4"/>
    <w:rsid w:val="5E385608"/>
    <w:rsid w:val="5E75697F"/>
    <w:rsid w:val="5E871DB0"/>
    <w:rsid w:val="5EAA465A"/>
    <w:rsid w:val="5EB01642"/>
    <w:rsid w:val="5EB0707C"/>
    <w:rsid w:val="5EB5698B"/>
    <w:rsid w:val="5EC71AC4"/>
    <w:rsid w:val="5ED51298"/>
    <w:rsid w:val="5EE237C6"/>
    <w:rsid w:val="5EE64335"/>
    <w:rsid w:val="5EEC131C"/>
    <w:rsid w:val="5F040421"/>
    <w:rsid w:val="5F19035F"/>
    <w:rsid w:val="5F387FE9"/>
    <w:rsid w:val="5F4973A1"/>
    <w:rsid w:val="5F5A5225"/>
    <w:rsid w:val="5F6E6E08"/>
    <w:rsid w:val="5F7E2484"/>
    <w:rsid w:val="5F962369"/>
    <w:rsid w:val="5FCF3D4A"/>
    <w:rsid w:val="5FD276B3"/>
    <w:rsid w:val="5FE16F58"/>
    <w:rsid w:val="600B28A8"/>
    <w:rsid w:val="600B2E99"/>
    <w:rsid w:val="600D5DA2"/>
    <w:rsid w:val="6012078B"/>
    <w:rsid w:val="601610C9"/>
    <w:rsid w:val="60187DAC"/>
    <w:rsid w:val="60363DC9"/>
    <w:rsid w:val="60457DFE"/>
    <w:rsid w:val="604E1DE0"/>
    <w:rsid w:val="60544EBD"/>
    <w:rsid w:val="60747F1B"/>
    <w:rsid w:val="60934721"/>
    <w:rsid w:val="60936439"/>
    <w:rsid w:val="60B44C78"/>
    <w:rsid w:val="60BA121F"/>
    <w:rsid w:val="60BA3584"/>
    <w:rsid w:val="60CF38D6"/>
    <w:rsid w:val="60D92451"/>
    <w:rsid w:val="6109328C"/>
    <w:rsid w:val="61134463"/>
    <w:rsid w:val="611D6D37"/>
    <w:rsid w:val="612A76B7"/>
    <w:rsid w:val="612B1454"/>
    <w:rsid w:val="612C3C90"/>
    <w:rsid w:val="613A6A65"/>
    <w:rsid w:val="614455B1"/>
    <w:rsid w:val="614C69E7"/>
    <w:rsid w:val="614F7D0E"/>
    <w:rsid w:val="61652617"/>
    <w:rsid w:val="61671D60"/>
    <w:rsid w:val="616950D0"/>
    <w:rsid w:val="616D1646"/>
    <w:rsid w:val="61A802C7"/>
    <w:rsid w:val="61B9576B"/>
    <w:rsid w:val="61BB7D4A"/>
    <w:rsid w:val="61CB1761"/>
    <w:rsid w:val="61D91182"/>
    <w:rsid w:val="61DD08E2"/>
    <w:rsid w:val="61E207AE"/>
    <w:rsid w:val="620174BF"/>
    <w:rsid w:val="6207700C"/>
    <w:rsid w:val="621243C2"/>
    <w:rsid w:val="6218367B"/>
    <w:rsid w:val="621D6E32"/>
    <w:rsid w:val="62537EA6"/>
    <w:rsid w:val="62594CB3"/>
    <w:rsid w:val="62595139"/>
    <w:rsid w:val="625A7DEB"/>
    <w:rsid w:val="625B3673"/>
    <w:rsid w:val="62794F19"/>
    <w:rsid w:val="628934CE"/>
    <w:rsid w:val="628C1A7E"/>
    <w:rsid w:val="62AC0152"/>
    <w:rsid w:val="62AD7BB4"/>
    <w:rsid w:val="62B131FB"/>
    <w:rsid w:val="62B32B7E"/>
    <w:rsid w:val="62C001B9"/>
    <w:rsid w:val="62C03A61"/>
    <w:rsid w:val="62D11B87"/>
    <w:rsid w:val="62DF2D7C"/>
    <w:rsid w:val="62E84968"/>
    <w:rsid w:val="62FF7C9A"/>
    <w:rsid w:val="631101D6"/>
    <w:rsid w:val="63377C6D"/>
    <w:rsid w:val="63506FD2"/>
    <w:rsid w:val="63546B89"/>
    <w:rsid w:val="63731738"/>
    <w:rsid w:val="637D464D"/>
    <w:rsid w:val="638C6AC2"/>
    <w:rsid w:val="638F71D4"/>
    <w:rsid w:val="63936E3D"/>
    <w:rsid w:val="63A267C1"/>
    <w:rsid w:val="63D525A8"/>
    <w:rsid w:val="63D94AC7"/>
    <w:rsid w:val="63DA6BC7"/>
    <w:rsid w:val="63EF49BB"/>
    <w:rsid w:val="640050A7"/>
    <w:rsid w:val="64024A99"/>
    <w:rsid w:val="64074834"/>
    <w:rsid w:val="641A6477"/>
    <w:rsid w:val="642226D2"/>
    <w:rsid w:val="642A5C74"/>
    <w:rsid w:val="64351901"/>
    <w:rsid w:val="643539BC"/>
    <w:rsid w:val="64414926"/>
    <w:rsid w:val="6477293A"/>
    <w:rsid w:val="64941332"/>
    <w:rsid w:val="64A1048C"/>
    <w:rsid w:val="64C34ADC"/>
    <w:rsid w:val="64CD65D9"/>
    <w:rsid w:val="64D03708"/>
    <w:rsid w:val="64D22B78"/>
    <w:rsid w:val="64D73325"/>
    <w:rsid w:val="64DC54E5"/>
    <w:rsid w:val="64EF5C29"/>
    <w:rsid w:val="650F3C5A"/>
    <w:rsid w:val="6513207F"/>
    <w:rsid w:val="651E1B57"/>
    <w:rsid w:val="651E57E8"/>
    <w:rsid w:val="651F4134"/>
    <w:rsid w:val="65275AE5"/>
    <w:rsid w:val="6531690D"/>
    <w:rsid w:val="654B3EB9"/>
    <w:rsid w:val="65646CE3"/>
    <w:rsid w:val="65771E1E"/>
    <w:rsid w:val="658F1151"/>
    <w:rsid w:val="659D498D"/>
    <w:rsid w:val="65AB3F23"/>
    <w:rsid w:val="65C4755E"/>
    <w:rsid w:val="65CA756B"/>
    <w:rsid w:val="65CE3AA2"/>
    <w:rsid w:val="65E41BD1"/>
    <w:rsid w:val="662129D0"/>
    <w:rsid w:val="662432A6"/>
    <w:rsid w:val="66757B65"/>
    <w:rsid w:val="66861A38"/>
    <w:rsid w:val="668722DD"/>
    <w:rsid w:val="66943371"/>
    <w:rsid w:val="669B577B"/>
    <w:rsid w:val="66AB2A9B"/>
    <w:rsid w:val="66B51611"/>
    <w:rsid w:val="66B650CB"/>
    <w:rsid w:val="66BC2720"/>
    <w:rsid w:val="66C90976"/>
    <w:rsid w:val="66EC6F90"/>
    <w:rsid w:val="66F9345B"/>
    <w:rsid w:val="66FF435E"/>
    <w:rsid w:val="670562A3"/>
    <w:rsid w:val="67057D63"/>
    <w:rsid w:val="671C46E6"/>
    <w:rsid w:val="6728785E"/>
    <w:rsid w:val="67516319"/>
    <w:rsid w:val="675C330C"/>
    <w:rsid w:val="67701963"/>
    <w:rsid w:val="679676FD"/>
    <w:rsid w:val="67B17356"/>
    <w:rsid w:val="67BB3CDE"/>
    <w:rsid w:val="67C26CC2"/>
    <w:rsid w:val="67C9543B"/>
    <w:rsid w:val="67CC4B26"/>
    <w:rsid w:val="67DD2DCB"/>
    <w:rsid w:val="6809591F"/>
    <w:rsid w:val="680E2689"/>
    <w:rsid w:val="68191C32"/>
    <w:rsid w:val="682421DD"/>
    <w:rsid w:val="682D5FE1"/>
    <w:rsid w:val="683718C2"/>
    <w:rsid w:val="68460921"/>
    <w:rsid w:val="684921C0"/>
    <w:rsid w:val="684A23F5"/>
    <w:rsid w:val="68681035"/>
    <w:rsid w:val="6873723D"/>
    <w:rsid w:val="6874181D"/>
    <w:rsid w:val="688073A5"/>
    <w:rsid w:val="68863414"/>
    <w:rsid w:val="689773CF"/>
    <w:rsid w:val="689B6EBF"/>
    <w:rsid w:val="68A50A18"/>
    <w:rsid w:val="68B65B88"/>
    <w:rsid w:val="68C161FA"/>
    <w:rsid w:val="68CD4B9F"/>
    <w:rsid w:val="68CF029D"/>
    <w:rsid w:val="68D03B3A"/>
    <w:rsid w:val="68D56DB4"/>
    <w:rsid w:val="68F82147"/>
    <w:rsid w:val="68FE1B83"/>
    <w:rsid w:val="68FF5646"/>
    <w:rsid w:val="6905625C"/>
    <w:rsid w:val="690C0D75"/>
    <w:rsid w:val="69110F2F"/>
    <w:rsid w:val="691B2AD6"/>
    <w:rsid w:val="6924783C"/>
    <w:rsid w:val="69343230"/>
    <w:rsid w:val="695029F3"/>
    <w:rsid w:val="695F4A7B"/>
    <w:rsid w:val="699A7177"/>
    <w:rsid w:val="699F478D"/>
    <w:rsid w:val="69AA0FF1"/>
    <w:rsid w:val="69B05F8B"/>
    <w:rsid w:val="69B9129D"/>
    <w:rsid w:val="69BF5494"/>
    <w:rsid w:val="69DC76F1"/>
    <w:rsid w:val="69DE339D"/>
    <w:rsid w:val="69E72746"/>
    <w:rsid w:val="69F636A5"/>
    <w:rsid w:val="69FE12D6"/>
    <w:rsid w:val="6A126148"/>
    <w:rsid w:val="6A44443B"/>
    <w:rsid w:val="6A461239"/>
    <w:rsid w:val="6A4A2640"/>
    <w:rsid w:val="6A4E1E7E"/>
    <w:rsid w:val="6A4F3391"/>
    <w:rsid w:val="6A557A28"/>
    <w:rsid w:val="6A5A4C43"/>
    <w:rsid w:val="6A615A77"/>
    <w:rsid w:val="6A615EE7"/>
    <w:rsid w:val="6A8E0C4D"/>
    <w:rsid w:val="6A9A6B35"/>
    <w:rsid w:val="6AB062E1"/>
    <w:rsid w:val="6AB25751"/>
    <w:rsid w:val="6AB4448A"/>
    <w:rsid w:val="6ABF49BB"/>
    <w:rsid w:val="6AC13EF6"/>
    <w:rsid w:val="6AE937A6"/>
    <w:rsid w:val="6AEF704E"/>
    <w:rsid w:val="6AFF6030"/>
    <w:rsid w:val="6B090E80"/>
    <w:rsid w:val="6B144D07"/>
    <w:rsid w:val="6B297F1A"/>
    <w:rsid w:val="6B52732B"/>
    <w:rsid w:val="6B59096C"/>
    <w:rsid w:val="6B6406F2"/>
    <w:rsid w:val="6B7403D7"/>
    <w:rsid w:val="6B7C2400"/>
    <w:rsid w:val="6B7C465A"/>
    <w:rsid w:val="6BAD4E92"/>
    <w:rsid w:val="6BB137F4"/>
    <w:rsid w:val="6BB622AC"/>
    <w:rsid w:val="6BBC4CDE"/>
    <w:rsid w:val="6BC04E8F"/>
    <w:rsid w:val="6BCD591C"/>
    <w:rsid w:val="6BE9758F"/>
    <w:rsid w:val="6BF22C25"/>
    <w:rsid w:val="6BFC2657"/>
    <w:rsid w:val="6C012C93"/>
    <w:rsid w:val="6C076085"/>
    <w:rsid w:val="6C2E5548"/>
    <w:rsid w:val="6C3103B3"/>
    <w:rsid w:val="6C472EBA"/>
    <w:rsid w:val="6C575266"/>
    <w:rsid w:val="6C633042"/>
    <w:rsid w:val="6C6475C8"/>
    <w:rsid w:val="6C740D04"/>
    <w:rsid w:val="6C77331D"/>
    <w:rsid w:val="6C7C1180"/>
    <w:rsid w:val="6C882CD0"/>
    <w:rsid w:val="6C9249D3"/>
    <w:rsid w:val="6CA60EE9"/>
    <w:rsid w:val="6CC85DA9"/>
    <w:rsid w:val="6CCC5E72"/>
    <w:rsid w:val="6CF16DF2"/>
    <w:rsid w:val="6CF57D2A"/>
    <w:rsid w:val="6D036DE1"/>
    <w:rsid w:val="6D0B4529"/>
    <w:rsid w:val="6D102844"/>
    <w:rsid w:val="6D2F3C23"/>
    <w:rsid w:val="6D3818B2"/>
    <w:rsid w:val="6D412D8E"/>
    <w:rsid w:val="6D684ACC"/>
    <w:rsid w:val="6D6A650E"/>
    <w:rsid w:val="6D7E3ECF"/>
    <w:rsid w:val="6D7E6BD7"/>
    <w:rsid w:val="6D807B87"/>
    <w:rsid w:val="6D921616"/>
    <w:rsid w:val="6DAC6569"/>
    <w:rsid w:val="6DAC7479"/>
    <w:rsid w:val="6DAF78A9"/>
    <w:rsid w:val="6DBF323E"/>
    <w:rsid w:val="6DC00719"/>
    <w:rsid w:val="6DCD6E99"/>
    <w:rsid w:val="6DE93C7B"/>
    <w:rsid w:val="6DEC645A"/>
    <w:rsid w:val="6DF14F1A"/>
    <w:rsid w:val="6E0270DD"/>
    <w:rsid w:val="6E035861"/>
    <w:rsid w:val="6E076DA5"/>
    <w:rsid w:val="6E201986"/>
    <w:rsid w:val="6E214641"/>
    <w:rsid w:val="6E2316F0"/>
    <w:rsid w:val="6E2338D2"/>
    <w:rsid w:val="6E2434B3"/>
    <w:rsid w:val="6E2C05BA"/>
    <w:rsid w:val="6E2C4095"/>
    <w:rsid w:val="6E341B07"/>
    <w:rsid w:val="6E3C6F65"/>
    <w:rsid w:val="6E58413A"/>
    <w:rsid w:val="6E5A6ED5"/>
    <w:rsid w:val="6E6A4918"/>
    <w:rsid w:val="6E6D6BF9"/>
    <w:rsid w:val="6E981BFF"/>
    <w:rsid w:val="6EAD16FA"/>
    <w:rsid w:val="6EB629C3"/>
    <w:rsid w:val="6ECA141A"/>
    <w:rsid w:val="6ED065B8"/>
    <w:rsid w:val="6EE13152"/>
    <w:rsid w:val="6EE6038B"/>
    <w:rsid w:val="6EED49E0"/>
    <w:rsid w:val="6EF13547"/>
    <w:rsid w:val="6EF42168"/>
    <w:rsid w:val="6EF70BC7"/>
    <w:rsid w:val="6F0D4505"/>
    <w:rsid w:val="6F1B51A3"/>
    <w:rsid w:val="6F1D0466"/>
    <w:rsid w:val="6F5327D6"/>
    <w:rsid w:val="6F67240D"/>
    <w:rsid w:val="6F6B6DCC"/>
    <w:rsid w:val="6F8E15AC"/>
    <w:rsid w:val="6F917D42"/>
    <w:rsid w:val="6F9C52CB"/>
    <w:rsid w:val="6FA53051"/>
    <w:rsid w:val="6FAE3CF3"/>
    <w:rsid w:val="6FD22E63"/>
    <w:rsid w:val="6FDF6549"/>
    <w:rsid w:val="6FFF55BD"/>
    <w:rsid w:val="700A492A"/>
    <w:rsid w:val="703C5411"/>
    <w:rsid w:val="70521C46"/>
    <w:rsid w:val="705926AB"/>
    <w:rsid w:val="70751D8D"/>
    <w:rsid w:val="70780A9C"/>
    <w:rsid w:val="70842E98"/>
    <w:rsid w:val="708659B7"/>
    <w:rsid w:val="70981E7F"/>
    <w:rsid w:val="709F65DA"/>
    <w:rsid w:val="70A20DC0"/>
    <w:rsid w:val="70D87EF2"/>
    <w:rsid w:val="70E3525F"/>
    <w:rsid w:val="70F33611"/>
    <w:rsid w:val="70F80425"/>
    <w:rsid w:val="70FC45A1"/>
    <w:rsid w:val="71093851"/>
    <w:rsid w:val="71186CF0"/>
    <w:rsid w:val="711C7F38"/>
    <w:rsid w:val="715256AD"/>
    <w:rsid w:val="716008CB"/>
    <w:rsid w:val="71715AA4"/>
    <w:rsid w:val="718F2A96"/>
    <w:rsid w:val="719E0166"/>
    <w:rsid w:val="71C034F3"/>
    <w:rsid w:val="71C07386"/>
    <w:rsid w:val="71C1737D"/>
    <w:rsid w:val="71E90D8B"/>
    <w:rsid w:val="71EB29B0"/>
    <w:rsid w:val="71F00691"/>
    <w:rsid w:val="71F30761"/>
    <w:rsid w:val="72116983"/>
    <w:rsid w:val="72441AE6"/>
    <w:rsid w:val="72640322"/>
    <w:rsid w:val="72641A80"/>
    <w:rsid w:val="726750EE"/>
    <w:rsid w:val="726965CB"/>
    <w:rsid w:val="727275F5"/>
    <w:rsid w:val="72A6053E"/>
    <w:rsid w:val="72A75CBB"/>
    <w:rsid w:val="72B76DDC"/>
    <w:rsid w:val="72D8486C"/>
    <w:rsid w:val="72DF6CA1"/>
    <w:rsid w:val="72E2668C"/>
    <w:rsid w:val="72E42F34"/>
    <w:rsid w:val="72EE4080"/>
    <w:rsid w:val="72F85125"/>
    <w:rsid w:val="72FC0C75"/>
    <w:rsid w:val="72FC7C98"/>
    <w:rsid w:val="731324CB"/>
    <w:rsid w:val="73387E65"/>
    <w:rsid w:val="737C4915"/>
    <w:rsid w:val="739015EB"/>
    <w:rsid w:val="73907BE5"/>
    <w:rsid w:val="7396115C"/>
    <w:rsid w:val="73A11CB1"/>
    <w:rsid w:val="73A91ACB"/>
    <w:rsid w:val="73AC64BF"/>
    <w:rsid w:val="73C517DD"/>
    <w:rsid w:val="73DD01F2"/>
    <w:rsid w:val="740476FF"/>
    <w:rsid w:val="74055B35"/>
    <w:rsid w:val="740D15CC"/>
    <w:rsid w:val="74177616"/>
    <w:rsid w:val="742929AB"/>
    <w:rsid w:val="743D3EC6"/>
    <w:rsid w:val="745251B3"/>
    <w:rsid w:val="745E5559"/>
    <w:rsid w:val="746E608B"/>
    <w:rsid w:val="74720877"/>
    <w:rsid w:val="74726D4A"/>
    <w:rsid w:val="7473670E"/>
    <w:rsid w:val="74786FA9"/>
    <w:rsid w:val="749A4D8D"/>
    <w:rsid w:val="74A30B79"/>
    <w:rsid w:val="74AC1BA1"/>
    <w:rsid w:val="74B56D88"/>
    <w:rsid w:val="74DF119D"/>
    <w:rsid w:val="74FD5BAD"/>
    <w:rsid w:val="75063912"/>
    <w:rsid w:val="75201A3D"/>
    <w:rsid w:val="75267B69"/>
    <w:rsid w:val="75390472"/>
    <w:rsid w:val="753C283F"/>
    <w:rsid w:val="753F4763"/>
    <w:rsid w:val="755012B3"/>
    <w:rsid w:val="755E6196"/>
    <w:rsid w:val="755F12AF"/>
    <w:rsid w:val="75616D9B"/>
    <w:rsid w:val="75620896"/>
    <w:rsid w:val="7565404E"/>
    <w:rsid w:val="756C38A0"/>
    <w:rsid w:val="75765ADD"/>
    <w:rsid w:val="7579727D"/>
    <w:rsid w:val="75843534"/>
    <w:rsid w:val="75AF4B45"/>
    <w:rsid w:val="75BF758D"/>
    <w:rsid w:val="75C0215B"/>
    <w:rsid w:val="75E6447D"/>
    <w:rsid w:val="75E92F06"/>
    <w:rsid w:val="75F67D87"/>
    <w:rsid w:val="75FA6FC8"/>
    <w:rsid w:val="760342F6"/>
    <w:rsid w:val="762548F1"/>
    <w:rsid w:val="76280407"/>
    <w:rsid w:val="763124B6"/>
    <w:rsid w:val="7645695C"/>
    <w:rsid w:val="764618B0"/>
    <w:rsid w:val="76572A89"/>
    <w:rsid w:val="765767C8"/>
    <w:rsid w:val="76693498"/>
    <w:rsid w:val="76793821"/>
    <w:rsid w:val="767B3E8C"/>
    <w:rsid w:val="767E4D83"/>
    <w:rsid w:val="76842410"/>
    <w:rsid w:val="76B84142"/>
    <w:rsid w:val="76DA5346"/>
    <w:rsid w:val="76DB6108"/>
    <w:rsid w:val="76EC126E"/>
    <w:rsid w:val="76FB0145"/>
    <w:rsid w:val="77065486"/>
    <w:rsid w:val="772E0EFE"/>
    <w:rsid w:val="772E3D20"/>
    <w:rsid w:val="773103BB"/>
    <w:rsid w:val="77501958"/>
    <w:rsid w:val="7768233E"/>
    <w:rsid w:val="777728A5"/>
    <w:rsid w:val="778A7F38"/>
    <w:rsid w:val="778C33BA"/>
    <w:rsid w:val="77970481"/>
    <w:rsid w:val="77AB27B9"/>
    <w:rsid w:val="77BC6B75"/>
    <w:rsid w:val="77C0546F"/>
    <w:rsid w:val="77C67F8D"/>
    <w:rsid w:val="77C7707C"/>
    <w:rsid w:val="77CC683C"/>
    <w:rsid w:val="77CE1F28"/>
    <w:rsid w:val="77EF2EF4"/>
    <w:rsid w:val="77FC550E"/>
    <w:rsid w:val="78042F1E"/>
    <w:rsid w:val="781225CE"/>
    <w:rsid w:val="78196F55"/>
    <w:rsid w:val="78484E76"/>
    <w:rsid w:val="78542BE7"/>
    <w:rsid w:val="78630304"/>
    <w:rsid w:val="786B6D4B"/>
    <w:rsid w:val="78707A3E"/>
    <w:rsid w:val="78743778"/>
    <w:rsid w:val="78807F3E"/>
    <w:rsid w:val="78843236"/>
    <w:rsid w:val="78902C29"/>
    <w:rsid w:val="789743EB"/>
    <w:rsid w:val="789A1FC5"/>
    <w:rsid w:val="78A5543C"/>
    <w:rsid w:val="78AB67B3"/>
    <w:rsid w:val="78B54B5D"/>
    <w:rsid w:val="78C82339"/>
    <w:rsid w:val="78D736B2"/>
    <w:rsid w:val="78EF46BD"/>
    <w:rsid w:val="79132AA2"/>
    <w:rsid w:val="79146F8F"/>
    <w:rsid w:val="791A711E"/>
    <w:rsid w:val="7924460D"/>
    <w:rsid w:val="79286575"/>
    <w:rsid w:val="793737D1"/>
    <w:rsid w:val="793E1679"/>
    <w:rsid w:val="793F48BF"/>
    <w:rsid w:val="79451E97"/>
    <w:rsid w:val="794964C4"/>
    <w:rsid w:val="794F0D84"/>
    <w:rsid w:val="7961380D"/>
    <w:rsid w:val="79B7541A"/>
    <w:rsid w:val="79B84AC6"/>
    <w:rsid w:val="79BA2F1D"/>
    <w:rsid w:val="79BD2A0E"/>
    <w:rsid w:val="79E54D81"/>
    <w:rsid w:val="7A0263DA"/>
    <w:rsid w:val="7A0D5743"/>
    <w:rsid w:val="7A345036"/>
    <w:rsid w:val="7A584294"/>
    <w:rsid w:val="7A69649D"/>
    <w:rsid w:val="7A6A3DC9"/>
    <w:rsid w:val="7A9450C9"/>
    <w:rsid w:val="7AC25E45"/>
    <w:rsid w:val="7ADA7CBB"/>
    <w:rsid w:val="7AE5221C"/>
    <w:rsid w:val="7AEC6A96"/>
    <w:rsid w:val="7AF16310"/>
    <w:rsid w:val="7AF23528"/>
    <w:rsid w:val="7AF70F3D"/>
    <w:rsid w:val="7B041451"/>
    <w:rsid w:val="7B1B08B8"/>
    <w:rsid w:val="7B1B738F"/>
    <w:rsid w:val="7B2A5117"/>
    <w:rsid w:val="7B4F2320"/>
    <w:rsid w:val="7B501445"/>
    <w:rsid w:val="7B7E6413"/>
    <w:rsid w:val="7B8945CC"/>
    <w:rsid w:val="7B8A1CE1"/>
    <w:rsid w:val="7B983873"/>
    <w:rsid w:val="7BB71E7F"/>
    <w:rsid w:val="7BC87296"/>
    <w:rsid w:val="7BCB31C0"/>
    <w:rsid w:val="7BD26559"/>
    <w:rsid w:val="7BE656B3"/>
    <w:rsid w:val="7BFC4D51"/>
    <w:rsid w:val="7BFE6C93"/>
    <w:rsid w:val="7C042B76"/>
    <w:rsid w:val="7C16407C"/>
    <w:rsid w:val="7C5D6B89"/>
    <w:rsid w:val="7C673A31"/>
    <w:rsid w:val="7C6B5911"/>
    <w:rsid w:val="7C6B6FF8"/>
    <w:rsid w:val="7C865339"/>
    <w:rsid w:val="7C9157F0"/>
    <w:rsid w:val="7CAC5DC1"/>
    <w:rsid w:val="7CC745CF"/>
    <w:rsid w:val="7CC75806"/>
    <w:rsid w:val="7CCE2AFA"/>
    <w:rsid w:val="7CE6437A"/>
    <w:rsid w:val="7CFC674F"/>
    <w:rsid w:val="7CFD0481"/>
    <w:rsid w:val="7D030747"/>
    <w:rsid w:val="7D181DBF"/>
    <w:rsid w:val="7D2B34AA"/>
    <w:rsid w:val="7D2C4132"/>
    <w:rsid w:val="7D336E23"/>
    <w:rsid w:val="7D366D5F"/>
    <w:rsid w:val="7D3D2230"/>
    <w:rsid w:val="7D4F6073"/>
    <w:rsid w:val="7D515947"/>
    <w:rsid w:val="7D5B67C5"/>
    <w:rsid w:val="7D67279C"/>
    <w:rsid w:val="7D955A0C"/>
    <w:rsid w:val="7D9F2B56"/>
    <w:rsid w:val="7DB45F5B"/>
    <w:rsid w:val="7DC047D0"/>
    <w:rsid w:val="7DC4432E"/>
    <w:rsid w:val="7DC80BBD"/>
    <w:rsid w:val="7DDE5186"/>
    <w:rsid w:val="7E0A08D8"/>
    <w:rsid w:val="7E0A5CCB"/>
    <w:rsid w:val="7E114A86"/>
    <w:rsid w:val="7E222EB5"/>
    <w:rsid w:val="7E254619"/>
    <w:rsid w:val="7E37038A"/>
    <w:rsid w:val="7E4663C0"/>
    <w:rsid w:val="7E5664F6"/>
    <w:rsid w:val="7E5B76F1"/>
    <w:rsid w:val="7E67172A"/>
    <w:rsid w:val="7E9000EE"/>
    <w:rsid w:val="7EC0562C"/>
    <w:rsid w:val="7EE30820"/>
    <w:rsid w:val="7EEB5E5D"/>
    <w:rsid w:val="7F0F1615"/>
    <w:rsid w:val="7F2712F9"/>
    <w:rsid w:val="7F4377CC"/>
    <w:rsid w:val="7F4441C2"/>
    <w:rsid w:val="7F502605"/>
    <w:rsid w:val="7F5877D1"/>
    <w:rsid w:val="7F7B72FB"/>
    <w:rsid w:val="7F7F217E"/>
    <w:rsid w:val="7F810731"/>
    <w:rsid w:val="7F841C19"/>
    <w:rsid w:val="7F8F2756"/>
    <w:rsid w:val="7FAE0E2E"/>
    <w:rsid w:val="7FAE0F4B"/>
    <w:rsid w:val="7FB328E9"/>
    <w:rsid w:val="7FB52B77"/>
    <w:rsid w:val="7FB85212"/>
    <w:rsid w:val="7FC95338"/>
    <w:rsid w:val="7FEC70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99" w:semiHidden="0" w:name="heading 4"/>
    <w:lsdException w:qFormat="1" w:uiPriority="1"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qFormat="1" w:unhideWhenUsed="0"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before="340" w:after="340"/>
      <w:jc w:val="left"/>
      <w:outlineLvl w:val="0"/>
    </w:pPr>
    <w:rPr>
      <w:b/>
      <w:kern w:val="44"/>
      <w:sz w:val="44"/>
    </w:rPr>
  </w:style>
  <w:style w:type="paragraph" w:styleId="3">
    <w:name w:val="heading 2"/>
    <w:basedOn w:val="1"/>
    <w:next w:val="1"/>
    <w:qFormat/>
    <w:uiPriority w:val="0"/>
    <w:pPr>
      <w:keepNext/>
      <w:keepLines/>
      <w:spacing w:before="120" w:after="120" w:line="360" w:lineRule="auto"/>
      <w:outlineLvl w:val="1"/>
    </w:pPr>
    <w:rPr>
      <w:b/>
      <w:color w:val="000000"/>
      <w:kern w:val="44"/>
      <w:sz w:val="30"/>
    </w:rPr>
  </w:style>
  <w:style w:type="paragraph" w:styleId="4">
    <w:name w:val="heading 3"/>
    <w:basedOn w:val="1"/>
    <w:next w:val="1"/>
    <w:link w:val="133"/>
    <w:qFormat/>
    <w:uiPriority w:val="99"/>
    <w:pPr>
      <w:keepNext/>
      <w:keepLines/>
      <w:numPr>
        <w:ilvl w:val="2"/>
        <w:numId w:val="1"/>
      </w:numPr>
      <w:spacing w:line="360" w:lineRule="auto"/>
      <w:outlineLvl w:val="2"/>
    </w:pPr>
    <w:rPr>
      <w:b/>
      <w:bCs/>
      <w:sz w:val="30"/>
      <w:szCs w:val="21"/>
    </w:rPr>
  </w:style>
  <w:style w:type="paragraph" w:styleId="5">
    <w:name w:val="heading 4"/>
    <w:basedOn w:val="1"/>
    <w:next w:val="1"/>
    <w:qFormat/>
    <w:uiPriority w:val="99"/>
    <w:pPr>
      <w:numPr>
        <w:ilvl w:val="3"/>
        <w:numId w:val="1"/>
      </w:numPr>
      <w:adjustRightInd w:val="0"/>
      <w:spacing w:line="360" w:lineRule="auto"/>
      <w:jc w:val="left"/>
      <w:textAlignment w:val="baseline"/>
      <w:outlineLvl w:val="3"/>
    </w:pPr>
    <w:rPr>
      <w:bCs/>
      <w:smallCaps/>
      <w:sz w:val="28"/>
    </w:rPr>
  </w:style>
  <w:style w:type="paragraph" w:styleId="6">
    <w:name w:val="heading 5"/>
    <w:basedOn w:val="1"/>
    <w:next w:val="1"/>
    <w:unhideWhenUsed/>
    <w:qFormat/>
    <w:uiPriority w:val="1"/>
    <w:pPr>
      <w:spacing w:before="139"/>
      <w:ind w:left="597"/>
      <w:outlineLvl w:val="4"/>
    </w:pPr>
    <w:rPr>
      <w:rFonts w:eastAsia="Times New Roman"/>
      <w:b/>
      <w:sz w:val="24"/>
      <w:szCs w:val="24"/>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8"/>
    <w:qFormat/>
    <w:uiPriority w:val="0"/>
    <w:pPr>
      <w:ind w:firstLine="420" w:firstLineChars="200"/>
    </w:pPr>
  </w:style>
  <w:style w:type="paragraph" w:customStyle="1" w:styleId="8">
    <w:name w:val="Char Char Char Char Char Char Char Char Char1 Char"/>
    <w:basedOn w:val="1"/>
    <w:next w:val="9"/>
    <w:qFormat/>
    <w:uiPriority w:val="0"/>
    <w:pPr>
      <w:spacing w:line="360" w:lineRule="auto"/>
      <w:ind w:firstLine="200" w:firstLineChars="200"/>
    </w:pPr>
    <w:rPr>
      <w:rFonts w:ascii="宋体" w:hAnsi="宋体" w:cs="宋体"/>
      <w:sz w:val="24"/>
      <w:szCs w:val="24"/>
    </w:rPr>
  </w:style>
  <w:style w:type="paragraph" w:customStyle="1" w:styleId="9">
    <w:name w:val="Body Text First Indent"/>
    <w:basedOn w:val="10"/>
    <w:next w:val="1"/>
    <w:qFormat/>
    <w:uiPriority w:val="0"/>
    <w:pPr>
      <w:widowControl w:val="0"/>
      <w:spacing w:after="120"/>
      <w:ind w:firstLine="420"/>
      <w:jc w:val="both"/>
    </w:pPr>
    <w:rPr>
      <w:sz w:val="21"/>
      <w:szCs w:val="22"/>
      <w:lang w:val="en-US" w:eastAsia="zh-CN" w:bidi="ar-SA"/>
    </w:rPr>
  </w:style>
  <w:style w:type="paragraph" w:styleId="10">
    <w:name w:val="Body Text"/>
    <w:basedOn w:val="1"/>
    <w:next w:val="11"/>
    <w:qFormat/>
    <w:uiPriority w:val="0"/>
    <w:pPr>
      <w:spacing w:after="120"/>
    </w:pPr>
  </w:style>
  <w:style w:type="paragraph" w:customStyle="1" w:styleId="11">
    <w:name w:val="默认段落"/>
    <w:basedOn w:val="1"/>
    <w:qFormat/>
    <w:uiPriority w:val="99"/>
    <w:pPr>
      <w:widowControl/>
      <w:spacing w:line="360" w:lineRule="auto"/>
      <w:ind w:firstLine="200" w:firstLineChars="200"/>
      <w:jc w:val="left"/>
    </w:pPr>
    <w:rPr>
      <w:rFonts w:ascii="仿宋_GB2312" w:eastAsia="仿宋_GB2312" w:cs="宋体"/>
      <w:kern w:val="0"/>
      <w:sz w:val="28"/>
      <w:szCs w:val="24"/>
    </w:rPr>
  </w:style>
  <w:style w:type="paragraph" w:styleId="12">
    <w:name w:val="caption"/>
    <w:basedOn w:val="1"/>
    <w:next w:val="1"/>
    <w:qFormat/>
    <w:uiPriority w:val="0"/>
    <w:pPr>
      <w:widowControl/>
      <w:tabs>
        <w:tab w:val="right" w:leader="middleDot" w:pos="8295"/>
      </w:tabs>
      <w:spacing w:line="360" w:lineRule="auto"/>
      <w:ind w:firstLine="480" w:firstLineChars="200"/>
    </w:pPr>
    <w:rPr>
      <w:rFonts w:ascii="Cambria" w:hAnsi="Cambria" w:eastAsia="黑体"/>
      <w:sz w:val="24"/>
    </w:rPr>
  </w:style>
  <w:style w:type="paragraph" w:styleId="13">
    <w:name w:val="Document Map"/>
    <w:basedOn w:val="1"/>
    <w:link w:val="123"/>
    <w:qFormat/>
    <w:uiPriority w:val="0"/>
    <w:pPr>
      <w:shd w:val="clear" w:color="auto" w:fill="000080"/>
    </w:pPr>
    <w:rPr>
      <w:szCs w:val="24"/>
    </w:rPr>
  </w:style>
  <w:style w:type="paragraph" w:styleId="14">
    <w:name w:val="annotation text"/>
    <w:basedOn w:val="1"/>
    <w:qFormat/>
    <w:uiPriority w:val="0"/>
    <w:pPr>
      <w:spacing w:line="360" w:lineRule="auto"/>
      <w:jc w:val="left"/>
    </w:pPr>
  </w:style>
  <w:style w:type="paragraph" w:styleId="15">
    <w:name w:val="Body Text 3"/>
    <w:basedOn w:val="1"/>
    <w:qFormat/>
    <w:uiPriority w:val="0"/>
    <w:pPr>
      <w:spacing w:after="120" w:line="360" w:lineRule="auto"/>
    </w:pPr>
    <w:rPr>
      <w:sz w:val="16"/>
    </w:rPr>
  </w:style>
  <w:style w:type="paragraph" w:styleId="16">
    <w:name w:val="Body Text Indent"/>
    <w:basedOn w:val="1"/>
    <w:next w:val="10"/>
    <w:qFormat/>
    <w:uiPriority w:val="0"/>
    <w:pPr>
      <w:spacing w:line="440" w:lineRule="exact"/>
      <w:ind w:firstLine="510"/>
    </w:pPr>
    <w:rPr>
      <w:rFonts w:ascii="宋体"/>
      <w:spacing w:val="12"/>
      <w:kern w:val="0"/>
      <w:sz w:val="24"/>
    </w:rPr>
  </w:style>
  <w:style w:type="paragraph" w:styleId="17">
    <w:name w:val="List 2"/>
    <w:basedOn w:val="1"/>
    <w:unhideWhenUsed/>
    <w:qFormat/>
    <w:uiPriority w:val="0"/>
    <w:pPr>
      <w:spacing w:line="360" w:lineRule="auto"/>
      <w:ind w:left="100" w:leftChars="200" w:hanging="200" w:hangingChars="200"/>
      <w:contextualSpacing/>
    </w:pPr>
    <w:rPr>
      <w:rFonts w:ascii="Calibri" w:hAnsi="Calibri" w:eastAsia="仿宋" w:cs="Times New Roman"/>
      <w:sz w:val="28"/>
    </w:rPr>
  </w:style>
  <w:style w:type="paragraph" w:styleId="18">
    <w:name w:val="toc 5"/>
    <w:basedOn w:val="1"/>
    <w:next w:val="1"/>
    <w:qFormat/>
    <w:uiPriority w:val="39"/>
    <w:pPr>
      <w:spacing w:line="360" w:lineRule="auto"/>
      <w:ind w:left="1680" w:leftChars="800" w:firstLine="578" w:firstLineChars="200"/>
    </w:pPr>
    <w:rPr>
      <w:kern w:val="0"/>
      <w:sz w:val="24"/>
    </w:rPr>
  </w:style>
  <w:style w:type="paragraph" w:styleId="19">
    <w:name w:val="Plain Text"/>
    <w:basedOn w:val="1"/>
    <w:next w:val="1"/>
    <w:qFormat/>
    <w:uiPriority w:val="0"/>
    <w:rPr>
      <w:rFonts w:hAnsi="Courier New"/>
    </w:rPr>
  </w:style>
  <w:style w:type="paragraph" w:styleId="20">
    <w:name w:val="List Bullet 5"/>
    <w:basedOn w:val="1"/>
    <w:qFormat/>
    <w:uiPriority w:val="0"/>
    <w:pPr>
      <w:numPr>
        <w:ilvl w:val="0"/>
        <w:numId w:val="2"/>
      </w:numPr>
    </w:pPr>
  </w:style>
  <w:style w:type="paragraph" w:styleId="21">
    <w:name w:val="Body Text Indent 2"/>
    <w:basedOn w:val="1"/>
    <w:qFormat/>
    <w:uiPriority w:val="99"/>
    <w:pPr>
      <w:spacing w:after="120" w:line="480" w:lineRule="auto"/>
      <w:ind w:left="420" w:leftChars="200" w:firstLine="200" w:firstLineChars="200"/>
    </w:pPr>
    <w:rPr>
      <w:kern w:val="0"/>
      <w:sz w:val="24"/>
    </w:rPr>
  </w:style>
  <w:style w:type="paragraph" w:styleId="22">
    <w:name w:val="Balloon Text"/>
    <w:basedOn w:val="1"/>
    <w:link w:val="114"/>
    <w:qFormat/>
    <w:uiPriority w:val="0"/>
    <w:rPr>
      <w:sz w:val="18"/>
      <w:szCs w:val="18"/>
    </w:rPr>
  </w:style>
  <w:style w:type="paragraph" w:styleId="23">
    <w:name w:val="footer"/>
    <w:basedOn w:val="1"/>
    <w:link w:val="132"/>
    <w:qFormat/>
    <w:uiPriority w:val="99"/>
    <w:pPr>
      <w:tabs>
        <w:tab w:val="center" w:pos="4153"/>
        <w:tab w:val="right" w:pos="8306"/>
      </w:tabs>
      <w:snapToGrid w:val="0"/>
      <w:spacing w:line="500" w:lineRule="exact"/>
      <w:jc w:val="left"/>
    </w:pPr>
    <w:rPr>
      <w:sz w:val="18"/>
    </w:rPr>
  </w:style>
  <w:style w:type="paragraph" w:styleId="24">
    <w:name w:val="header"/>
    <w:basedOn w:val="1"/>
    <w:next w:val="10"/>
    <w:qFormat/>
    <w:uiPriority w:val="0"/>
    <w:pPr>
      <w:pBdr>
        <w:bottom w:val="single" w:color="auto" w:sz="6" w:space="1"/>
      </w:pBdr>
      <w:tabs>
        <w:tab w:val="center" w:pos="4153"/>
        <w:tab w:val="right" w:pos="8306"/>
      </w:tabs>
      <w:snapToGrid w:val="0"/>
      <w:spacing w:line="500" w:lineRule="exact"/>
      <w:jc w:val="center"/>
    </w:pPr>
    <w:rPr>
      <w:sz w:val="18"/>
    </w:rPr>
  </w:style>
  <w:style w:type="paragraph" w:styleId="25">
    <w:name w:val="toc 1"/>
    <w:basedOn w:val="1"/>
    <w:next w:val="1"/>
    <w:qFormat/>
    <w:uiPriority w:val="39"/>
  </w:style>
  <w:style w:type="paragraph" w:styleId="26">
    <w:name w:val="index heading"/>
    <w:basedOn w:val="1"/>
    <w:next w:val="27"/>
    <w:qFormat/>
    <w:uiPriority w:val="0"/>
  </w:style>
  <w:style w:type="paragraph" w:styleId="27">
    <w:name w:val="index 1"/>
    <w:basedOn w:val="1"/>
    <w:next w:val="1"/>
    <w:qFormat/>
    <w:uiPriority w:val="0"/>
  </w:style>
  <w:style w:type="paragraph" w:styleId="28">
    <w:name w:val="List"/>
    <w:basedOn w:val="1"/>
    <w:qFormat/>
    <w:uiPriority w:val="0"/>
    <w:pPr>
      <w:spacing w:line="240" w:lineRule="exact"/>
      <w:ind w:firstLine="200" w:firstLineChars="200"/>
      <w:jc w:val="center"/>
    </w:pPr>
    <w:rPr>
      <w:rFonts w:ascii="Arial" w:hAnsi="Arial"/>
      <w:snapToGrid w:val="0"/>
      <w:kern w:val="0"/>
      <w:sz w:val="24"/>
    </w:rPr>
  </w:style>
  <w:style w:type="paragraph" w:styleId="29">
    <w:name w:val="Body Text Indent 3"/>
    <w:basedOn w:val="1"/>
    <w:qFormat/>
    <w:uiPriority w:val="0"/>
    <w:pPr>
      <w:spacing w:after="120"/>
      <w:ind w:left="420" w:leftChars="200"/>
    </w:pPr>
    <w:rPr>
      <w:sz w:val="16"/>
    </w:rPr>
  </w:style>
  <w:style w:type="paragraph" w:styleId="30">
    <w:name w:val="table of figures"/>
    <w:basedOn w:val="1"/>
    <w:next w:val="1"/>
    <w:qFormat/>
    <w:uiPriority w:val="0"/>
    <w:pPr>
      <w:jc w:val="center"/>
    </w:pPr>
    <w:rPr>
      <w:spacing w:val="-8"/>
      <w:kern w:val="0"/>
    </w:rPr>
  </w:style>
  <w:style w:type="paragraph" w:styleId="31">
    <w:name w:val="toc 2"/>
    <w:basedOn w:val="1"/>
    <w:next w:val="1"/>
    <w:qFormat/>
    <w:uiPriority w:val="39"/>
    <w:pPr>
      <w:ind w:left="420" w:leftChars="200"/>
    </w:pPr>
  </w:style>
  <w:style w:type="paragraph" w:styleId="32">
    <w:name w:val="Body Text 2"/>
    <w:basedOn w:val="1"/>
    <w:qFormat/>
    <w:uiPriority w:val="0"/>
    <w:pPr>
      <w:spacing w:after="120" w:line="480" w:lineRule="auto"/>
      <w:ind w:firstLine="200" w:firstLineChars="200"/>
    </w:pPr>
  </w:style>
  <w:style w:type="paragraph" w:styleId="33">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34">
    <w:name w:val="Title"/>
    <w:basedOn w:val="1"/>
    <w:next w:val="1"/>
    <w:qFormat/>
    <w:uiPriority w:val="0"/>
    <w:pPr>
      <w:spacing w:before="240" w:after="60"/>
      <w:jc w:val="center"/>
      <w:outlineLvl w:val="0"/>
    </w:pPr>
    <w:rPr>
      <w:rFonts w:ascii="Cambria" w:hAnsi="Cambria"/>
      <w:b/>
      <w:bCs/>
      <w:sz w:val="32"/>
      <w:szCs w:val="32"/>
    </w:rPr>
  </w:style>
  <w:style w:type="paragraph" w:styleId="35">
    <w:name w:val="Body Text First Indent 2"/>
    <w:basedOn w:val="16"/>
    <w:next w:val="1"/>
    <w:qFormat/>
    <w:uiPriority w:val="0"/>
    <w:pPr>
      <w:spacing w:after="120"/>
      <w:ind w:left="420" w:leftChars="200" w:firstLine="420"/>
    </w:pPr>
  </w:style>
  <w:style w:type="table" w:styleId="37">
    <w:name w:val="Table Grid"/>
    <w:basedOn w:val="3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qFormat/>
    <w:uiPriority w:val="0"/>
    <w:rPr>
      <w:rFonts w:ascii="Times New Roman" w:hAnsi="Times New Roman"/>
      <w:b/>
      <w:sz w:val="21"/>
    </w:rPr>
  </w:style>
  <w:style w:type="character" w:styleId="40">
    <w:name w:val="page number"/>
    <w:qFormat/>
    <w:uiPriority w:val="0"/>
    <w:rPr>
      <w:lang w:val="en-US" w:eastAsia="zh-CN"/>
    </w:rPr>
  </w:style>
  <w:style w:type="character" w:styleId="41">
    <w:name w:val="FollowedHyperlink"/>
    <w:basedOn w:val="38"/>
    <w:qFormat/>
    <w:uiPriority w:val="0"/>
    <w:rPr>
      <w:color w:val="954F72"/>
      <w:u w:val="single"/>
    </w:rPr>
  </w:style>
  <w:style w:type="character" w:styleId="42">
    <w:name w:val="Emphasis"/>
    <w:qFormat/>
    <w:uiPriority w:val="20"/>
    <w:rPr>
      <w:i/>
    </w:rPr>
  </w:style>
  <w:style w:type="character" w:styleId="43">
    <w:name w:val="Hyperlink"/>
    <w:basedOn w:val="38"/>
    <w:qFormat/>
    <w:uiPriority w:val="99"/>
    <w:rPr>
      <w:color w:val="0000FF"/>
      <w:u w:val="single"/>
    </w:rPr>
  </w:style>
  <w:style w:type="character" w:styleId="44">
    <w:name w:val="annotation reference"/>
    <w:qFormat/>
    <w:uiPriority w:val="0"/>
    <w:rPr>
      <w:rFonts w:eastAsia="宋体"/>
      <w:kern w:val="2"/>
      <w:sz w:val="21"/>
      <w:lang w:val="en-US" w:eastAsia="zh-CN"/>
    </w:rPr>
  </w:style>
  <w:style w:type="paragraph" w:customStyle="1" w:styleId="45">
    <w:name w:val="Body Text First Indent1"/>
    <w:basedOn w:val="10"/>
    <w:next w:val="1"/>
    <w:qFormat/>
    <w:uiPriority w:val="0"/>
    <w:pPr>
      <w:widowControl w:val="0"/>
      <w:spacing w:after="120"/>
      <w:ind w:firstLine="420"/>
      <w:jc w:val="both"/>
    </w:pPr>
    <w:rPr>
      <w:rFonts w:ascii="Times New Roman" w:hAnsi="Times New Roman" w:eastAsia="宋体" w:cs="Times New Roman"/>
      <w:sz w:val="21"/>
      <w:szCs w:val="22"/>
      <w:lang w:val="en-US" w:eastAsia="zh-CN" w:bidi="ar-SA"/>
    </w:rPr>
  </w:style>
  <w:style w:type="paragraph" w:customStyle="1" w:styleId="46">
    <w:name w:val="正文格式"/>
    <w:next w:val="47"/>
    <w:qFormat/>
    <w:uiPriority w:val="0"/>
    <w:pPr>
      <w:adjustRightInd w:val="0"/>
      <w:snapToGrid w:val="0"/>
      <w:spacing w:line="360" w:lineRule="auto"/>
      <w:ind w:firstLine="200" w:firstLineChars="200"/>
    </w:pPr>
    <w:rPr>
      <w:rFonts w:ascii="Times New Roman" w:hAnsi="Times New Roman" w:eastAsia="宋体" w:cs="Times New Roman"/>
      <w:sz w:val="24"/>
      <w:szCs w:val="22"/>
      <w:lang w:val="zh-CN"/>
    </w:rPr>
  </w:style>
  <w:style w:type="paragraph" w:customStyle="1" w:styleId="47">
    <w:name w:val="_Style 5"/>
    <w:basedOn w:val="1"/>
    <w:qFormat/>
    <w:uiPriority w:val="0"/>
    <w:pPr>
      <w:ind w:firstLine="420"/>
    </w:pPr>
    <w:rPr>
      <w:rFonts w:ascii="Calibri" w:hAnsi="Calibri"/>
      <w:szCs w:val="22"/>
    </w:rPr>
  </w:style>
  <w:style w:type="paragraph" w:customStyle="1" w:styleId="48">
    <w:name w:val="正文首行缩进1"/>
    <w:next w:val="1"/>
    <w:qFormat/>
    <w:uiPriority w:val="0"/>
    <w:pPr>
      <w:widowControl w:val="0"/>
      <w:spacing w:after="120"/>
      <w:ind w:firstLine="420"/>
      <w:jc w:val="both"/>
    </w:pPr>
    <w:rPr>
      <w:rFonts w:ascii="Times New Roman" w:hAnsi="Times New Roman" w:eastAsia="宋体" w:cs="Times New Roman"/>
      <w:sz w:val="21"/>
      <w:szCs w:val="22"/>
      <w:lang w:val="en-US" w:eastAsia="zh-CN" w:bidi="ar-SA"/>
    </w:rPr>
  </w:style>
  <w:style w:type="paragraph" w:customStyle="1" w:styleId="49">
    <w:name w:val="报告书一级标题"/>
    <w:basedOn w:val="2"/>
    <w:qFormat/>
    <w:uiPriority w:val="0"/>
    <w:pPr>
      <w:spacing w:before="120" w:after="120" w:line="480" w:lineRule="exact"/>
    </w:pPr>
    <w:rPr>
      <w:rFonts w:ascii="Times New Roman" w:hAnsi="Times New Roman" w:eastAsia="黑体"/>
      <w:sz w:val="32"/>
    </w:rPr>
  </w:style>
  <w:style w:type="character" w:customStyle="1" w:styleId="50">
    <w:name w:val="表、图名 Char"/>
    <w:qFormat/>
    <w:uiPriority w:val="99"/>
    <w:rPr>
      <w:rFonts w:ascii="宋体" w:hAnsi="宋体" w:cs="宋体"/>
      <w:b/>
      <w:color w:val="000000"/>
      <w:sz w:val="21"/>
      <w:szCs w:val="21"/>
    </w:rPr>
  </w:style>
  <w:style w:type="paragraph" w:customStyle="1" w:styleId="51">
    <w:name w:val="表内容"/>
    <w:basedOn w:val="52"/>
    <w:qFormat/>
    <w:uiPriority w:val="0"/>
    <w:pPr>
      <w:ind w:left="-20" w:leftChars="-20" w:right="-20" w:rightChars="-20"/>
      <w:jc w:val="center"/>
    </w:pPr>
    <w:rPr>
      <w:sz w:val="18"/>
      <w:szCs w:val="24"/>
    </w:rPr>
  </w:style>
  <w:style w:type="paragraph" w:customStyle="1" w:styleId="52">
    <w:name w:val="我的表格"/>
    <w:basedOn w:val="1"/>
    <w:qFormat/>
    <w:uiPriority w:val="0"/>
    <w:pPr>
      <w:adjustRightInd w:val="0"/>
      <w:jc w:val="center"/>
      <w:textAlignment w:val="baseline"/>
    </w:pPr>
  </w:style>
  <w:style w:type="paragraph" w:customStyle="1" w:styleId="53">
    <w:name w:val="正文(首行缩进)"/>
    <w:basedOn w:val="1"/>
    <w:next w:val="1"/>
    <w:link w:val="96"/>
    <w:qFormat/>
    <w:uiPriority w:val="0"/>
    <w:pPr>
      <w:spacing w:line="360" w:lineRule="auto"/>
      <w:ind w:firstLine="540" w:firstLineChars="225"/>
    </w:pPr>
    <w:rPr>
      <w:snapToGrid w:val="0"/>
      <w:color w:val="000000"/>
      <w:sz w:val="24"/>
    </w:rPr>
  </w:style>
  <w:style w:type="paragraph" w:customStyle="1" w:styleId="54">
    <w:name w:val="报告书三级标题"/>
    <w:basedOn w:val="1"/>
    <w:link w:val="181"/>
    <w:qFormat/>
    <w:uiPriority w:val="0"/>
    <w:pPr>
      <w:keepNext/>
      <w:keepLines/>
      <w:spacing w:line="480" w:lineRule="exact"/>
      <w:outlineLvl w:val="2"/>
    </w:pPr>
    <w:rPr>
      <w:rFonts w:ascii="Times New Roman" w:hAnsi="Times New Roman" w:eastAsia="黑体"/>
      <w:b/>
      <w:sz w:val="24"/>
      <w:szCs w:val="22"/>
    </w:rPr>
  </w:style>
  <w:style w:type="paragraph" w:customStyle="1" w:styleId="55">
    <w:name w:val="报告书四级标题"/>
    <w:basedOn w:val="1"/>
    <w:qFormat/>
    <w:uiPriority w:val="0"/>
    <w:pPr>
      <w:keepLines/>
      <w:adjustRightInd w:val="0"/>
      <w:snapToGrid w:val="0"/>
      <w:spacing w:line="480" w:lineRule="exact"/>
      <w:jc w:val="left"/>
      <w:outlineLvl w:val="3"/>
    </w:pPr>
    <w:rPr>
      <w:rFonts w:ascii="Times New Roman" w:hAnsi="Times New Roman" w:eastAsia="宋体"/>
      <w:b/>
      <w:sz w:val="24"/>
      <w:szCs w:val="22"/>
    </w:rPr>
  </w:style>
  <w:style w:type="paragraph" w:customStyle="1" w:styleId="56">
    <w:name w:val="报告正文 + 首行缩进:  2 字符 Char"/>
    <w:basedOn w:val="1"/>
    <w:qFormat/>
    <w:uiPriority w:val="0"/>
    <w:pPr>
      <w:spacing w:line="360" w:lineRule="auto"/>
      <w:ind w:firstLine="480"/>
    </w:pPr>
    <w:rPr>
      <w:bCs/>
      <w:sz w:val="24"/>
    </w:rPr>
  </w:style>
  <w:style w:type="paragraph" w:customStyle="1" w:styleId="57">
    <w:name w:val="图表标题"/>
    <w:basedOn w:val="1"/>
    <w:link w:val="130"/>
    <w:qFormat/>
    <w:uiPriority w:val="0"/>
    <w:pPr>
      <w:jc w:val="center"/>
    </w:pPr>
    <w:rPr>
      <w:rFonts w:ascii="黑体" w:hAnsi="黑体" w:eastAsia="黑体"/>
      <w:color w:val="000000"/>
      <w:sz w:val="24"/>
      <w:szCs w:val="24"/>
    </w:rPr>
  </w:style>
  <w:style w:type="paragraph" w:customStyle="1" w:styleId="58">
    <w:name w:val="表内容       .."/>
    <w:basedOn w:val="1"/>
    <w:qFormat/>
    <w:uiPriority w:val="0"/>
    <w:pPr>
      <w:adjustRightInd w:val="0"/>
      <w:snapToGrid w:val="0"/>
      <w:spacing w:line="240" w:lineRule="exact"/>
      <w:ind w:left="-31" w:leftChars="-15" w:right="-31" w:rightChars="-15"/>
      <w:jc w:val="center"/>
      <w:textAlignment w:val="baseline"/>
    </w:pPr>
    <w:rPr>
      <w:rFonts w:ascii="Calibri" w:hAnsi="宋体"/>
      <w:sz w:val="18"/>
      <w:szCs w:val="18"/>
    </w:rPr>
  </w:style>
  <w:style w:type="paragraph" w:customStyle="1" w:styleId="59">
    <w:name w:val="正文.."/>
    <w:basedOn w:val="1"/>
    <w:qFormat/>
    <w:uiPriority w:val="0"/>
    <w:pPr>
      <w:wordWrap w:val="0"/>
      <w:spacing w:line="360" w:lineRule="auto"/>
      <w:ind w:firstLine="480" w:firstLineChars="200"/>
      <w:jc w:val="left"/>
    </w:pPr>
    <w:rPr>
      <w:bCs/>
      <w:snapToGrid w:val="0"/>
      <w:sz w:val="24"/>
      <w:szCs w:val="22"/>
      <w:lang w:val="zh-CN"/>
    </w:rPr>
  </w:style>
  <w:style w:type="paragraph" w:customStyle="1" w:styleId="60">
    <w:name w:val="LSJ正文"/>
    <w:basedOn w:val="7"/>
    <w:link w:val="124"/>
    <w:qFormat/>
    <w:uiPriority w:val="0"/>
    <w:pPr>
      <w:widowControl/>
      <w:spacing w:line="360" w:lineRule="auto"/>
      <w:ind w:firstLine="480"/>
      <w:jc w:val="left"/>
    </w:pPr>
    <w:rPr>
      <w:color w:val="000000"/>
      <w:sz w:val="24"/>
      <w:szCs w:val="24"/>
    </w:rPr>
  </w:style>
  <w:style w:type="paragraph" w:customStyle="1" w:styleId="61">
    <w:name w:val="表标题"/>
    <w:basedOn w:val="1"/>
    <w:qFormat/>
    <w:uiPriority w:val="0"/>
    <w:pPr>
      <w:spacing w:line="480" w:lineRule="exact"/>
      <w:ind w:firstLine="420" w:firstLineChars="200"/>
      <w:jc w:val="center"/>
    </w:pPr>
    <w:rPr>
      <w:rFonts w:ascii="Times New Roman" w:hAnsi="Times New Roman" w:eastAsia="黑体"/>
      <w:b/>
    </w:rPr>
  </w:style>
  <w:style w:type="paragraph" w:customStyle="1" w:styleId="62">
    <w:name w:val="正文-首行缩进"/>
    <w:basedOn w:val="1"/>
    <w:link w:val="126"/>
    <w:qFormat/>
    <w:uiPriority w:val="0"/>
    <w:pPr>
      <w:adjustRightInd w:val="0"/>
      <w:snapToGrid w:val="0"/>
      <w:spacing w:line="360" w:lineRule="auto"/>
      <w:ind w:firstLine="200" w:firstLineChars="200"/>
    </w:pPr>
    <w:rPr>
      <w:rFonts w:ascii="宋体" w:hAnsi="宋体"/>
      <w:bCs/>
      <w:szCs w:val="25"/>
    </w:rPr>
  </w:style>
  <w:style w:type="paragraph" w:customStyle="1" w:styleId="63">
    <w:name w:val="表格2"/>
    <w:qFormat/>
    <w:uiPriority w:val="0"/>
    <w:pPr>
      <w:spacing w:line="400" w:lineRule="exact"/>
      <w:jc w:val="center"/>
    </w:pPr>
    <w:rPr>
      <w:rFonts w:ascii="Times New Roman" w:hAnsi="Times New Roman" w:eastAsia="宋体" w:cs="Times New Roman"/>
      <w:sz w:val="21"/>
      <w:lang w:val="en-US" w:eastAsia="zh-CN" w:bidi="ar-SA"/>
    </w:rPr>
  </w:style>
  <w:style w:type="paragraph" w:customStyle="1" w:styleId="64">
    <w:name w:val="表、图名"/>
    <w:basedOn w:val="1"/>
    <w:qFormat/>
    <w:uiPriority w:val="0"/>
    <w:pPr>
      <w:adjustRightInd w:val="0"/>
      <w:snapToGrid w:val="0"/>
      <w:spacing w:line="520" w:lineRule="exact"/>
      <w:ind w:left="-6" w:firstLine="560"/>
    </w:pPr>
    <w:rPr>
      <w:b/>
    </w:rPr>
  </w:style>
  <w:style w:type="paragraph" w:customStyle="1" w:styleId="65">
    <w:name w:val="表格定"/>
    <w:basedOn w:val="66"/>
    <w:qFormat/>
    <w:uiPriority w:val="0"/>
    <w:pPr>
      <w:keepLines/>
      <w:spacing w:line="320" w:lineRule="exact"/>
      <w:textAlignment w:val="center"/>
    </w:pPr>
    <w:rPr>
      <w:color w:val="000000"/>
      <w:szCs w:val="21"/>
      <w:lang w:bidi="en-US"/>
    </w:rPr>
  </w:style>
  <w:style w:type="paragraph" w:customStyle="1" w:styleId="66">
    <w:name w:val="表格内容"/>
    <w:basedOn w:val="67"/>
    <w:next w:val="1"/>
    <w:link w:val="120"/>
    <w:qFormat/>
    <w:uiPriority w:val="0"/>
    <w:pPr>
      <w:widowControl/>
      <w:autoSpaceDE w:val="0"/>
      <w:autoSpaceDN w:val="0"/>
      <w:adjustRightInd w:val="0"/>
      <w:snapToGrid w:val="0"/>
      <w:jc w:val="center"/>
    </w:pPr>
    <w:rPr>
      <w:rFonts w:cs="宋体"/>
      <w:kern w:val="0"/>
      <w:sz w:val="24"/>
      <w:szCs w:val="24"/>
    </w:rPr>
  </w:style>
  <w:style w:type="paragraph" w:customStyle="1" w:styleId="67">
    <w:name w:val="WW-正文缩进"/>
    <w:basedOn w:val="1"/>
    <w:semiHidden/>
    <w:qFormat/>
    <w:uiPriority w:val="0"/>
    <w:pPr>
      <w:spacing w:line="360" w:lineRule="auto"/>
      <w:ind w:firstLine="420"/>
    </w:pPr>
    <w:rPr>
      <w:sz w:val="28"/>
    </w:rPr>
  </w:style>
  <w:style w:type="paragraph" w:customStyle="1" w:styleId="68">
    <w:name w:val="00.正文格式"/>
    <w:basedOn w:val="7"/>
    <w:qFormat/>
    <w:uiPriority w:val="0"/>
    <w:pPr>
      <w:widowControl/>
      <w:spacing w:line="360" w:lineRule="auto"/>
      <w:ind w:firstLine="480"/>
      <w:jc w:val="left"/>
    </w:pPr>
    <w:rPr>
      <w:color w:val="000000"/>
      <w:sz w:val="24"/>
      <w:szCs w:val="24"/>
    </w:rPr>
  </w:style>
  <w:style w:type="paragraph" w:customStyle="1" w:styleId="69">
    <w:name w:val="五号表内容"/>
    <w:basedOn w:val="1"/>
    <w:next w:val="1"/>
    <w:qFormat/>
    <w:uiPriority w:val="0"/>
    <w:pPr>
      <w:spacing w:line="280" w:lineRule="exact"/>
      <w:jc w:val="center"/>
    </w:pPr>
  </w:style>
  <w:style w:type="paragraph" w:customStyle="1" w:styleId="70">
    <w:name w:val="YJ正文*"/>
    <w:basedOn w:val="1"/>
    <w:link w:val="122"/>
    <w:qFormat/>
    <w:uiPriority w:val="0"/>
    <w:pPr>
      <w:spacing w:line="500" w:lineRule="exact"/>
      <w:ind w:firstLine="200" w:firstLineChars="200"/>
    </w:pPr>
    <w:rPr>
      <w:rFonts w:ascii="宋体" w:hAnsi="宋体"/>
      <w:sz w:val="24"/>
      <w:szCs w:val="24"/>
    </w:rPr>
  </w:style>
  <w:style w:type="paragraph" w:customStyle="1" w:styleId="71">
    <w:name w:val="报告书正文"/>
    <w:link w:val="155"/>
    <w:qFormat/>
    <w:uiPriority w:val="0"/>
    <w:pPr>
      <w:widowControl/>
      <w:jc w:val="left"/>
    </w:pPr>
    <w:rPr>
      <w:rFonts w:ascii="Times New Roman" w:hAnsi="Times New Roman" w:eastAsia="宋体" w:cs="宋体"/>
      <w:kern w:val="0"/>
      <w:szCs w:val="24"/>
    </w:rPr>
  </w:style>
  <w:style w:type="paragraph" w:customStyle="1" w:styleId="72">
    <w:name w:val="图表名"/>
    <w:basedOn w:val="1"/>
    <w:next w:val="1"/>
    <w:link w:val="128"/>
    <w:qFormat/>
    <w:uiPriority w:val="0"/>
    <w:pPr>
      <w:widowControl/>
      <w:adjustRightInd w:val="0"/>
      <w:snapToGrid w:val="0"/>
      <w:spacing w:line="400" w:lineRule="exact"/>
      <w:jc w:val="center"/>
    </w:pPr>
    <w:rPr>
      <w:rFonts w:ascii="宋体" w:hAnsi="宋体" w:eastAsia="黑体"/>
      <w:color w:val="000000"/>
      <w:kern w:val="0"/>
      <w:sz w:val="24"/>
      <w:lang w:val="zh-CN"/>
    </w:rPr>
  </w:style>
  <w:style w:type="paragraph" w:customStyle="1" w:styleId="73">
    <w:name w:val="五号表格内的文字"/>
    <w:basedOn w:val="1"/>
    <w:link w:val="127"/>
    <w:qFormat/>
    <w:uiPriority w:val="99"/>
    <w:pPr>
      <w:adjustRightInd w:val="0"/>
      <w:spacing w:line="360" w:lineRule="exact"/>
      <w:jc w:val="center"/>
      <w:textAlignment w:val="baseline"/>
    </w:pPr>
    <w:rPr>
      <w:szCs w:val="21"/>
    </w:rPr>
  </w:style>
  <w:style w:type="paragraph" w:customStyle="1" w:styleId="74">
    <w:name w:val="表字-书"/>
    <w:basedOn w:val="1"/>
    <w:qFormat/>
    <w:uiPriority w:val="0"/>
    <w:pPr>
      <w:spacing w:line="300" w:lineRule="atLeast"/>
      <w:jc w:val="center"/>
    </w:pPr>
    <w:rPr>
      <w:rFonts w:ascii="宋体" w:hAnsi="宋体"/>
      <w:kern w:val="0"/>
      <w:szCs w:val="21"/>
    </w:rPr>
  </w:style>
  <w:style w:type="paragraph" w:customStyle="1" w:styleId="75">
    <w:name w:val="报告书二级标题"/>
    <w:basedOn w:val="3"/>
    <w:qFormat/>
    <w:uiPriority w:val="0"/>
    <w:pPr>
      <w:spacing w:line="480" w:lineRule="exact"/>
    </w:pPr>
    <w:rPr>
      <w:rFonts w:ascii="Times New Roman" w:hAnsi="Times New Roman" w:eastAsia="黑体"/>
      <w:color w:val="auto"/>
      <w:sz w:val="28"/>
    </w:rPr>
  </w:style>
  <w:style w:type="paragraph" w:customStyle="1" w:styleId="76">
    <w:name w:val="清洁正文格式"/>
    <w:basedOn w:val="1"/>
    <w:qFormat/>
    <w:uiPriority w:val="0"/>
    <w:pPr>
      <w:autoSpaceDE w:val="0"/>
      <w:autoSpaceDN w:val="0"/>
      <w:spacing w:line="360" w:lineRule="auto"/>
      <w:ind w:firstLine="496" w:firstLineChars="200"/>
    </w:pPr>
    <w:rPr>
      <w:rFonts w:ascii="宋体" w:hAnsi="宋体"/>
      <w:spacing w:val="4"/>
      <w:sz w:val="24"/>
      <w:szCs w:val="24"/>
    </w:rPr>
  </w:style>
  <w:style w:type="paragraph" w:customStyle="1" w:styleId="77">
    <w:name w:val="文本"/>
    <w:basedOn w:val="16"/>
    <w:qFormat/>
    <w:uiPriority w:val="0"/>
    <w:pPr>
      <w:widowControl/>
      <w:spacing w:line="480" w:lineRule="exact"/>
      <w:ind w:firstLine="480" w:firstLineChars="200"/>
      <w:jc w:val="left"/>
    </w:pPr>
    <w:rPr>
      <w:rFonts w:hAnsi="宋体" w:cs="宋体"/>
      <w:szCs w:val="24"/>
    </w:rPr>
  </w:style>
  <w:style w:type="paragraph" w:customStyle="1" w:styleId="78">
    <w:name w:val="表格1"/>
    <w:basedOn w:val="1"/>
    <w:qFormat/>
    <w:uiPriority w:val="0"/>
    <w:pPr>
      <w:jc w:val="left"/>
    </w:pPr>
    <w:rPr>
      <w:szCs w:val="24"/>
    </w:rPr>
  </w:style>
  <w:style w:type="paragraph" w:customStyle="1" w:styleId="79">
    <w:name w:val="正文1"/>
    <w:basedOn w:val="1"/>
    <w:link w:val="182"/>
    <w:qFormat/>
    <w:uiPriority w:val="0"/>
    <w:pPr>
      <w:spacing w:line="480" w:lineRule="exact"/>
      <w:ind w:firstLine="200" w:firstLineChars="200"/>
    </w:pPr>
    <w:rPr>
      <w:sz w:val="24"/>
      <w:szCs w:val="24"/>
    </w:rPr>
  </w:style>
  <w:style w:type="paragraph" w:customStyle="1" w:styleId="80">
    <w:name w:val="表格内"/>
    <w:basedOn w:val="1"/>
    <w:qFormat/>
    <w:uiPriority w:val="0"/>
    <w:pPr>
      <w:spacing w:line="300" w:lineRule="exact"/>
      <w:jc w:val="center"/>
      <w:textAlignment w:val="center"/>
    </w:pPr>
    <w:rPr>
      <w:szCs w:val="22"/>
    </w:rPr>
  </w:style>
  <w:style w:type="paragraph" w:customStyle="1" w:styleId="81">
    <w:name w:val="表中内容"/>
    <w:basedOn w:val="1"/>
    <w:qFormat/>
    <w:uiPriority w:val="0"/>
    <w:pPr>
      <w:widowControl/>
      <w:shd w:val="clear" w:color="auto" w:fill="FFFFFF"/>
      <w:overflowPunct w:val="0"/>
      <w:autoSpaceDE w:val="0"/>
      <w:autoSpaceDN w:val="0"/>
      <w:adjustRightInd w:val="0"/>
      <w:snapToGrid w:val="0"/>
      <w:jc w:val="center"/>
      <w:textAlignment w:val="baseline"/>
    </w:pPr>
    <w:rPr>
      <w:szCs w:val="24"/>
    </w:rPr>
  </w:style>
  <w:style w:type="paragraph" w:customStyle="1" w:styleId="82">
    <w:name w:val="表格"/>
    <w:basedOn w:val="28"/>
    <w:next w:val="1"/>
    <w:qFormat/>
    <w:uiPriority w:val="0"/>
    <w:pPr>
      <w:adjustRightInd w:val="0"/>
      <w:spacing w:line="400" w:lineRule="atLeast"/>
      <w:textAlignment w:val="baseline"/>
    </w:pPr>
  </w:style>
  <w:style w:type="paragraph" w:customStyle="1" w:styleId="83">
    <w:name w:val="图片"/>
    <w:basedOn w:val="1"/>
    <w:qFormat/>
    <w:uiPriority w:val="0"/>
    <w:pPr>
      <w:widowControl w:val="0"/>
      <w:snapToGrid w:val="0"/>
      <w:spacing w:line="360" w:lineRule="atLeast"/>
      <w:jc w:val="both"/>
    </w:pPr>
    <w:rPr>
      <w:rFonts w:ascii="Times New Roman" w:hAnsi="Times New Roman" w:cs="Times New Roman"/>
      <w:kern w:val="2"/>
      <w:szCs w:val="20"/>
    </w:rPr>
  </w:style>
  <w:style w:type="paragraph" w:customStyle="1" w:styleId="84">
    <w:name w:val="报告表正文"/>
    <w:basedOn w:val="1"/>
    <w:qFormat/>
    <w:uiPriority w:val="0"/>
    <w:pPr>
      <w:spacing w:line="520" w:lineRule="exact"/>
      <w:ind w:firstLine="456"/>
    </w:pPr>
    <w:rPr>
      <w:kern w:val="0"/>
      <w:sz w:val="24"/>
      <w:szCs w:val="30"/>
    </w:rPr>
  </w:style>
  <w:style w:type="paragraph" w:customStyle="1" w:styleId="85">
    <w:name w:val="无间隔1"/>
    <w:qFormat/>
    <w:uiPriority w:val="0"/>
    <w:pPr>
      <w:jc w:val="center"/>
    </w:pPr>
    <w:rPr>
      <w:rFonts w:ascii="宋体" w:hAnsi="宋体" w:eastAsia="宋体" w:cs="宋体"/>
      <w:sz w:val="21"/>
      <w:szCs w:val="24"/>
      <w:lang w:val="en-US" w:eastAsia="zh-CN" w:bidi="ar-SA"/>
    </w:rPr>
  </w:style>
  <w:style w:type="paragraph" w:customStyle="1" w:styleId="86">
    <w:name w:val="Table Paragraph"/>
    <w:basedOn w:val="1"/>
    <w:unhideWhenUsed/>
    <w:qFormat/>
    <w:uiPriority w:val="1"/>
    <w:rPr>
      <w:sz w:val="24"/>
      <w:szCs w:val="24"/>
    </w:rPr>
  </w:style>
  <w:style w:type="paragraph" w:customStyle="1" w:styleId="87">
    <w:name w:val="表内文字"/>
    <w:basedOn w:val="1"/>
    <w:qFormat/>
    <w:uiPriority w:val="0"/>
    <w:pPr>
      <w:adjustRightInd w:val="0"/>
      <w:jc w:val="center"/>
    </w:pPr>
    <w:rPr>
      <w:rFonts w:ascii="宋体" w:cs="宋体"/>
      <w:szCs w:val="24"/>
    </w:rPr>
  </w:style>
  <w:style w:type="paragraph" w:customStyle="1" w:styleId="88">
    <w:name w:val="Default"/>
    <w:next w:val="1"/>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89">
    <w:name w:val="Date1"/>
    <w:basedOn w:val="1"/>
    <w:next w:val="1"/>
    <w:qFormat/>
    <w:uiPriority w:val="0"/>
    <w:pPr>
      <w:adjustRightInd w:val="0"/>
      <w:jc w:val="left"/>
      <w:textAlignment w:val="baseline"/>
    </w:pPr>
    <w:rPr>
      <w:rFonts w:ascii="宋体" w:hAnsi="宋体"/>
      <w:sz w:val="28"/>
    </w:rPr>
  </w:style>
  <w:style w:type="paragraph" w:customStyle="1" w:styleId="90">
    <w:name w:val="表头"/>
    <w:basedOn w:val="7"/>
    <w:next w:val="1"/>
    <w:qFormat/>
    <w:uiPriority w:val="99"/>
    <w:pPr>
      <w:adjustRightInd w:val="0"/>
      <w:snapToGrid w:val="0"/>
      <w:jc w:val="left"/>
    </w:pPr>
    <w:rPr>
      <w:rFonts w:ascii="黑体" w:eastAsia="黑体"/>
      <w:sz w:val="24"/>
    </w:rPr>
  </w:style>
  <w:style w:type="paragraph" w:customStyle="1" w:styleId="91">
    <w:name w:val="S表格标题"/>
    <w:basedOn w:val="1"/>
    <w:next w:val="1"/>
    <w:qFormat/>
    <w:uiPriority w:val="0"/>
    <w:pPr>
      <w:adjustRightInd w:val="0"/>
      <w:snapToGrid w:val="0"/>
      <w:jc w:val="center"/>
    </w:pPr>
    <w:rPr>
      <w:b/>
      <w:snapToGrid w:val="0"/>
      <w:sz w:val="22"/>
    </w:rPr>
  </w:style>
  <w:style w:type="paragraph" w:customStyle="1" w:styleId="92">
    <w:name w:val="A表格"/>
    <w:qFormat/>
    <w:uiPriority w:val="0"/>
    <w:pPr>
      <w:adjustRightInd w:val="0"/>
      <w:jc w:val="center"/>
      <w:textAlignment w:val="baseline"/>
    </w:pPr>
    <w:rPr>
      <w:rFonts w:cs="宋体" w:asciiTheme="minorHAnsi" w:hAnsiTheme="minorHAnsi" w:eastAsiaTheme="minorEastAsia"/>
      <w:kern w:val="28"/>
      <w:sz w:val="21"/>
      <w:szCs w:val="21"/>
      <w:lang w:val="en-US" w:eastAsia="zh-CN" w:bidi="ar-SA"/>
    </w:rPr>
  </w:style>
  <w:style w:type="paragraph" w:styleId="93">
    <w:name w:val="List Paragraph"/>
    <w:basedOn w:val="1"/>
    <w:qFormat/>
    <w:uiPriority w:val="1"/>
    <w:pPr>
      <w:jc w:val="center"/>
    </w:pPr>
    <w:rPr>
      <w:rFonts w:hAnsi="宋体" w:cs="宋体"/>
      <w:color w:val="000000"/>
      <w:kern w:val="0"/>
    </w:rPr>
  </w:style>
  <w:style w:type="paragraph" w:customStyle="1" w:styleId="94">
    <w:name w:val="正文文本2"/>
    <w:basedOn w:val="1"/>
    <w:qFormat/>
    <w:uiPriority w:val="0"/>
    <w:pPr>
      <w:autoSpaceDE w:val="0"/>
      <w:autoSpaceDN w:val="0"/>
      <w:adjustRightInd w:val="0"/>
      <w:snapToGrid w:val="0"/>
      <w:ind w:firstLine="200" w:firstLineChars="200"/>
    </w:pPr>
    <w:rPr>
      <w:rFonts w:cs="宋体"/>
      <w:kern w:val="0"/>
    </w:rPr>
  </w:style>
  <w:style w:type="paragraph" w:customStyle="1" w:styleId="95">
    <w:name w:val="表格内部"/>
    <w:basedOn w:val="1"/>
    <w:qFormat/>
    <w:uiPriority w:val="99"/>
    <w:pPr>
      <w:adjustRightInd w:val="0"/>
      <w:snapToGrid w:val="0"/>
      <w:spacing w:line="300" w:lineRule="auto"/>
      <w:jc w:val="center"/>
    </w:pPr>
    <w:rPr>
      <w:rFonts w:ascii="Arial" w:hAnsi="Arial" w:eastAsia="仿宋_GB2312" w:cs="宋体"/>
      <w:snapToGrid w:val="0"/>
      <w:kern w:val="0"/>
      <w:sz w:val="28"/>
      <w:szCs w:val="24"/>
    </w:rPr>
  </w:style>
  <w:style w:type="character" w:customStyle="1" w:styleId="96">
    <w:name w:val="正文(首行缩进) Char Char"/>
    <w:link w:val="53"/>
    <w:qFormat/>
    <w:uiPriority w:val="0"/>
    <w:rPr>
      <w:snapToGrid w:val="0"/>
      <w:color w:val="000000"/>
      <w:sz w:val="24"/>
    </w:rPr>
  </w:style>
  <w:style w:type="paragraph" w:customStyle="1" w:styleId="97">
    <w:name w:val="标题 3新"/>
    <w:basedOn w:val="4"/>
    <w:qFormat/>
    <w:uiPriority w:val="0"/>
    <w:pPr>
      <w:spacing w:before="120" w:after="120" w:line="240" w:lineRule="auto"/>
    </w:pPr>
    <w:rPr>
      <w:sz w:val="28"/>
    </w:rPr>
  </w:style>
  <w:style w:type="paragraph" w:customStyle="1" w:styleId="98">
    <w:name w:val="p0"/>
    <w:basedOn w:val="1"/>
    <w:qFormat/>
    <w:uiPriority w:val="0"/>
    <w:pPr>
      <w:widowControl/>
      <w:spacing w:line="360" w:lineRule="auto"/>
      <w:ind w:firstLine="420"/>
    </w:pPr>
    <w:rPr>
      <w:kern w:val="0"/>
      <w:sz w:val="24"/>
    </w:rPr>
  </w:style>
  <w:style w:type="paragraph" w:customStyle="1" w:styleId="99">
    <w:name w:val="样式 行距: 1.5 倍行距 首行缩进:  2 字符"/>
    <w:basedOn w:val="1"/>
    <w:qFormat/>
    <w:uiPriority w:val="0"/>
    <w:pPr>
      <w:spacing w:line="360" w:lineRule="auto"/>
      <w:ind w:firstLine="420" w:firstLineChars="200"/>
    </w:pPr>
    <w:rPr>
      <w:rFonts w:cs="宋体"/>
      <w:sz w:val="24"/>
    </w:rPr>
  </w:style>
  <w:style w:type="paragraph" w:customStyle="1" w:styleId="100">
    <w:name w:val="STC 正文"/>
    <w:qFormat/>
    <w:uiPriority w:val="0"/>
    <w:pPr>
      <w:widowControl w:val="0"/>
      <w:adjustRightInd w:val="0"/>
      <w:snapToGrid w:val="0"/>
      <w:spacing w:line="331" w:lineRule="auto"/>
      <w:ind w:firstLine="200" w:firstLineChars="200"/>
      <w:jc w:val="both"/>
    </w:pPr>
    <w:rPr>
      <w:rFonts w:ascii="宋体" w:hAnsi="宋体" w:eastAsia="宋体" w:cs="Times New Roman"/>
      <w:kern w:val="2"/>
      <w:sz w:val="24"/>
      <w:lang w:val="en-US" w:eastAsia="zh-CN" w:bidi="ar-SA"/>
    </w:rPr>
  </w:style>
  <w:style w:type="paragraph" w:customStyle="1" w:styleId="101">
    <w:name w:val="正文首行缩进 Char Char Char Char Char Char"/>
    <w:basedOn w:val="1"/>
    <w:qFormat/>
    <w:uiPriority w:val="39"/>
    <w:pPr>
      <w:spacing w:line="360" w:lineRule="auto"/>
      <w:ind w:firstLine="496" w:firstLineChars="200"/>
    </w:pPr>
    <w:rPr>
      <w:rFonts w:hAnsi="宋体"/>
      <w:spacing w:val="4"/>
      <w:kern w:val="24"/>
      <w:sz w:val="24"/>
    </w:rPr>
  </w:style>
  <w:style w:type="paragraph" w:customStyle="1" w:styleId="102">
    <w:name w:val="！正文"/>
    <w:basedOn w:val="1"/>
    <w:qFormat/>
    <w:uiPriority w:val="0"/>
    <w:pPr>
      <w:widowControl/>
      <w:tabs>
        <w:tab w:val="left" w:leader="dot" w:pos="8820"/>
      </w:tabs>
      <w:snapToGrid w:val="0"/>
      <w:spacing w:line="500" w:lineRule="exact"/>
      <w:ind w:firstLine="200" w:firstLineChars="200"/>
      <w:jc w:val="left"/>
    </w:pPr>
    <w:rPr>
      <w:rFonts w:ascii="宋体" w:hAnsi="宋体"/>
      <w:kern w:val="0"/>
      <w:sz w:val="28"/>
      <w:szCs w:val="28"/>
      <w:lang w:val="zh-CN"/>
    </w:rPr>
  </w:style>
  <w:style w:type="paragraph" w:customStyle="1" w:styleId="103">
    <w:name w:val="tittle5"/>
    <w:basedOn w:val="104"/>
    <w:qFormat/>
    <w:uiPriority w:val="0"/>
    <w:pPr>
      <w:jc w:val="center"/>
      <w:outlineLvl w:val="4"/>
    </w:pPr>
    <w:rPr>
      <w:rFonts w:eastAsia="黑体"/>
      <w:b/>
    </w:rPr>
  </w:style>
  <w:style w:type="paragraph" w:customStyle="1" w:styleId="104">
    <w:name w:val="tittle4"/>
    <w:basedOn w:val="105"/>
    <w:qFormat/>
    <w:uiPriority w:val="0"/>
    <w:pPr>
      <w:outlineLvl w:val="3"/>
    </w:pPr>
    <w:rPr>
      <w:sz w:val="24"/>
    </w:rPr>
  </w:style>
  <w:style w:type="paragraph" w:customStyle="1" w:styleId="105">
    <w:name w:val="tittle3"/>
    <w:basedOn w:val="106"/>
    <w:qFormat/>
    <w:uiPriority w:val="0"/>
    <w:pPr>
      <w:widowControl/>
      <w:outlineLvl w:val="2"/>
    </w:pPr>
    <w:rPr>
      <w:rFonts w:cs="宋体"/>
      <w:b w:val="0"/>
      <w:kern w:val="0"/>
      <w:sz w:val="28"/>
    </w:rPr>
  </w:style>
  <w:style w:type="paragraph" w:customStyle="1" w:styleId="106">
    <w:name w:val="tittle2"/>
    <w:basedOn w:val="107"/>
    <w:qFormat/>
    <w:uiPriority w:val="0"/>
    <w:pPr>
      <w:spacing w:line="360" w:lineRule="auto"/>
      <w:jc w:val="both"/>
      <w:outlineLvl w:val="1"/>
    </w:pPr>
    <w:rPr>
      <w:sz w:val="30"/>
    </w:rPr>
  </w:style>
  <w:style w:type="paragraph" w:customStyle="1" w:styleId="107">
    <w:name w:val="tittle1"/>
    <w:basedOn w:val="1"/>
    <w:qFormat/>
    <w:uiPriority w:val="0"/>
    <w:pPr>
      <w:jc w:val="center"/>
      <w:outlineLvl w:val="0"/>
    </w:pPr>
    <w:rPr>
      <w:b/>
      <w:sz w:val="36"/>
    </w:rPr>
  </w:style>
  <w:style w:type="paragraph" w:customStyle="1" w:styleId="108">
    <w:name w:val="YJ题注"/>
    <w:basedOn w:val="12"/>
    <w:qFormat/>
    <w:uiPriority w:val="0"/>
    <w:pPr>
      <w:widowControl w:val="0"/>
      <w:spacing w:line="500" w:lineRule="exact"/>
      <w:ind w:firstLine="0" w:firstLineChars="0"/>
      <w:jc w:val="center"/>
    </w:pPr>
    <w:rPr>
      <w:rFonts w:ascii="宋体" w:hAnsi="宋体" w:eastAsia="宋体"/>
      <w:b/>
      <w:kern w:val="0"/>
      <w:sz w:val="21"/>
    </w:rPr>
  </w:style>
  <w:style w:type="paragraph" w:customStyle="1" w:styleId="109">
    <w:name w:val="缩进"/>
    <w:basedOn w:val="1"/>
    <w:qFormat/>
    <w:uiPriority w:val="0"/>
    <w:pPr>
      <w:spacing w:line="360" w:lineRule="auto"/>
      <w:ind w:firstLine="200" w:firstLineChars="200"/>
    </w:pPr>
  </w:style>
  <w:style w:type="paragraph" w:customStyle="1" w:styleId="110">
    <w:name w:val="表格注"/>
    <w:basedOn w:val="1"/>
    <w:next w:val="1"/>
    <w:qFormat/>
    <w:uiPriority w:val="99"/>
    <w:pPr>
      <w:widowControl/>
      <w:spacing w:line="240" w:lineRule="exact"/>
      <w:jc w:val="left"/>
    </w:pPr>
    <w:rPr>
      <w:rFonts w:cs="宋体"/>
      <w:kern w:val="0"/>
      <w:sz w:val="18"/>
      <w:szCs w:val="24"/>
    </w:rPr>
  </w:style>
  <w:style w:type="character" w:customStyle="1" w:styleId="111">
    <w:name w:val="表格标题 Char Char"/>
    <w:link w:val="112"/>
    <w:qFormat/>
    <w:uiPriority w:val="0"/>
    <w:rPr>
      <w:b/>
    </w:rPr>
  </w:style>
  <w:style w:type="paragraph" w:customStyle="1" w:styleId="112">
    <w:name w:val="表格标题"/>
    <w:basedOn w:val="1"/>
    <w:next w:val="1"/>
    <w:link w:val="111"/>
    <w:qFormat/>
    <w:uiPriority w:val="0"/>
    <w:pPr>
      <w:ind w:firstLine="514" w:firstLineChars="244"/>
      <w:jc w:val="center"/>
    </w:pPr>
    <w:rPr>
      <w:b/>
    </w:rPr>
  </w:style>
  <w:style w:type="paragraph" w:customStyle="1" w:styleId="113">
    <w:name w:val="@表格"/>
    <w:basedOn w:val="14"/>
    <w:qFormat/>
    <w:uiPriority w:val="0"/>
    <w:pPr>
      <w:adjustRightInd w:val="0"/>
      <w:snapToGrid w:val="0"/>
      <w:jc w:val="center"/>
    </w:pPr>
  </w:style>
  <w:style w:type="character" w:customStyle="1" w:styleId="114">
    <w:name w:val="批注框文本 字符"/>
    <w:basedOn w:val="38"/>
    <w:link w:val="22"/>
    <w:qFormat/>
    <w:uiPriority w:val="0"/>
    <w:rPr>
      <w:kern w:val="2"/>
      <w:sz w:val="18"/>
      <w:szCs w:val="18"/>
    </w:rPr>
  </w:style>
  <w:style w:type="paragraph" w:customStyle="1" w:styleId="115">
    <w:name w:val="16"/>
    <w:qFormat/>
    <w:uiPriority w:val="0"/>
    <w:rPr>
      <w:rFonts w:ascii="Calibri" w:hAnsi="Calibri" w:eastAsia="宋体" w:cs="Times New Roman"/>
      <w:kern w:val="2"/>
      <w:sz w:val="24"/>
      <w:lang w:val="en-US" w:eastAsia="zh-CN" w:bidi="ar-SA"/>
    </w:rPr>
  </w:style>
  <w:style w:type="paragraph" w:customStyle="1" w:styleId="116">
    <w:name w:val="3 级样式"/>
    <w:basedOn w:val="4"/>
    <w:semiHidden/>
    <w:qFormat/>
    <w:uiPriority w:val="0"/>
    <w:pPr>
      <w:tabs>
        <w:tab w:val="left" w:pos="2160"/>
      </w:tabs>
    </w:pPr>
    <w:rPr>
      <w:rFonts w:ascii="Calibri" w:hAnsi="Calibri" w:eastAsia="黑体"/>
      <w:b w:val="0"/>
      <w:bCs w:val="0"/>
      <w:kern w:val="28"/>
      <w:sz w:val="21"/>
      <w:szCs w:val="22"/>
    </w:rPr>
  </w:style>
  <w:style w:type="paragraph" w:customStyle="1" w:styleId="117">
    <w:name w:val="表头A"/>
    <w:basedOn w:val="1"/>
    <w:qFormat/>
    <w:uiPriority w:val="0"/>
    <w:pPr>
      <w:spacing w:line="400" w:lineRule="exact"/>
      <w:jc w:val="center"/>
    </w:pPr>
    <w:rPr>
      <w:rFonts w:ascii="华文仿宋" w:hAnsi="华文仿宋" w:eastAsia="华文仿宋"/>
      <w:b/>
      <w:kern w:val="0"/>
      <w:sz w:val="24"/>
      <w:szCs w:val="24"/>
    </w:rPr>
  </w:style>
  <w:style w:type="paragraph" w:customStyle="1" w:styleId="118">
    <w:name w:val="正文 楷体"/>
    <w:basedOn w:val="1"/>
    <w:qFormat/>
    <w:uiPriority w:val="0"/>
    <w:pPr>
      <w:spacing w:line="500" w:lineRule="exact"/>
      <w:ind w:firstLine="200" w:firstLineChars="200"/>
      <w:jc w:val="left"/>
    </w:pPr>
    <w:rPr>
      <w:rFonts w:ascii="华文仿宋" w:hAnsi="华文仿宋" w:eastAsia="华文仿宋" w:cs="华文仿宋"/>
      <w:kern w:val="0"/>
      <w:sz w:val="24"/>
      <w:szCs w:val="24"/>
    </w:rPr>
  </w:style>
  <w:style w:type="paragraph" w:customStyle="1" w:styleId="119">
    <w:name w:val="标准"/>
    <w:basedOn w:val="1"/>
    <w:qFormat/>
    <w:uiPriority w:val="0"/>
    <w:pPr>
      <w:adjustRightInd w:val="0"/>
      <w:spacing w:before="120" w:line="336" w:lineRule="auto"/>
      <w:jc w:val="center"/>
      <w:textAlignment w:val="baseline"/>
    </w:pPr>
    <w:rPr>
      <w:rFonts w:ascii="黑体" w:eastAsia="黑体"/>
      <w:snapToGrid w:val="0"/>
      <w:kern w:val="0"/>
    </w:rPr>
  </w:style>
  <w:style w:type="character" w:customStyle="1" w:styleId="120">
    <w:name w:val="纯文本 字符"/>
    <w:link w:val="66"/>
    <w:qFormat/>
    <w:uiPriority w:val="0"/>
    <w:rPr>
      <w:rFonts w:cs="宋体"/>
      <w:sz w:val="24"/>
      <w:szCs w:val="24"/>
    </w:rPr>
  </w:style>
  <w:style w:type="character" w:customStyle="1" w:styleId="121">
    <w:name w:val="正文(首行缩进) Char"/>
    <w:qFormat/>
    <w:uiPriority w:val="0"/>
    <w:rPr>
      <w:color w:val="000000"/>
      <w:sz w:val="24"/>
      <w:szCs w:val="24"/>
    </w:rPr>
  </w:style>
  <w:style w:type="character" w:customStyle="1" w:styleId="122">
    <w:name w:val="YJ正文* 字符"/>
    <w:link w:val="70"/>
    <w:qFormat/>
    <w:locked/>
    <w:uiPriority w:val="0"/>
    <w:rPr>
      <w:rFonts w:ascii="宋体" w:hAnsi="宋体"/>
      <w:kern w:val="2"/>
      <w:sz w:val="24"/>
      <w:szCs w:val="24"/>
    </w:rPr>
  </w:style>
  <w:style w:type="character" w:customStyle="1" w:styleId="123">
    <w:name w:val="文档结构图 字符"/>
    <w:basedOn w:val="38"/>
    <w:link w:val="13"/>
    <w:qFormat/>
    <w:uiPriority w:val="0"/>
    <w:rPr>
      <w:kern w:val="2"/>
      <w:sz w:val="21"/>
      <w:szCs w:val="24"/>
      <w:shd w:val="clear" w:color="auto" w:fill="000080"/>
    </w:rPr>
  </w:style>
  <w:style w:type="character" w:customStyle="1" w:styleId="124">
    <w:name w:val="LSJ正文 字符"/>
    <w:link w:val="60"/>
    <w:qFormat/>
    <w:uiPriority w:val="0"/>
    <w:rPr>
      <w:color w:val="000000"/>
      <w:kern w:val="2"/>
      <w:sz w:val="24"/>
      <w:szCs w:val="24"/>
    </w:rPr>
  </w:style>
  <w:style w:type="paragraph" w:customStyle="1" w:styleId="125">
    <w:name w:val="MEL表字-书"/>
    <w:basedOn w:val="1"/>
    <w:qFormat/>
    <w:uiPriority w:val="0"/>
    <w:pPr>
      <w:spacing w:line="300" w:lineRule="exact"/>
      <w:ind w:firstLine="578" w:firstLineChars="200"/>
      <w:contextualSpacing/>
      <w:jc w:val="center"/>
    </w:pPr>
    <w:rPr>
      <w:rFonts w:ascii="宋体" w:hAnsi="宋体"/>
      <w:kern w:val="0"/>
      <w:sz w:val="24"/>
      <w:szCs w:val="21"/>
    </w:rPr>
  </w:style>
  <w:style w:type="character" w:customStyle="1" w:styleId="126">
    <w:name w:val="正文-首行缩进 Char"/>
    <w:link w:val="62"/>
    <w:qFormat/>
    <w:uiPriority w:val="0"/>
    <w:rPr>
      <w:rFonts w:ascii="宋体" w:hAnsi="宋体"/>
      <w:bCs/>
      <w:kern w:val="2"/>
      <w:sz w:val="21"/>
      <w:szCs w:val="25"/>
    </w:rPr>
  </w:style>
  <w:style w:type="character" w:customStyle="1" w:styleId="127">
    <w:name w:val="五号表格内的文字 Char"/>
    <w:link w:val="73"/>
    <w:qFormat/>
    <w:uiPriority w:val="99"/>
    <w:rPr>
      <w:kern w:val="2"/>
      <w:sz w:val="21"/>
      <w:szCs w:val="21"/>
    </w:rPr>
  </w:style>
  <w:style w:type="character" w:customStyle="1" w:styleId="128">
    <w:name w:val="图表名 Char"/>
    <w:link w:val="72"/>
    <w:qFormat/>
    <w:uiPriority w:val="0"/>
    <w:rPr>
      <w:rFonts w:ascii="宋体" w:hAnsi="宋体" w:eastAsia="黑体"/>
      <w:color w:val="000000"/>
      <w:sz w:val="24"/>
      <w:lang w:val="zh-CN"/>
    </w:rPr>
  </w:style>
  <w:style w:type="table" w:customStyle="1" w:styleId="129">
    <w:name w:val="网格型1"/>
    <w:basedOn w:val="3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0">
    <w:name w:val="图表标题 字符"/>
    <w:link w:val="57"/>
    <w:qFormat/>
    <w:uiPriority w:val="0"/>
    <w:rPr>
      <w:rFonts w:ascii="黑体" w:hAnsi="黑体" w:eastAsia="黑体"/>
      <w:color w:val="000000"/>
      <w:kern w:val="2"/>
      <w:sz w:val="24"/>
      <w:szCs w:val="24"/>
    </w:rPr>
  </w:style>
  <w:style w:type="table" w:customStyle="1" w:styleId="131">
    <w:name w:val="Table Normal"/>
    <w:semiHidden/>
    <w:unhideWhenUsed/>
    <w:qFormat/>
    <w:uiPriority w:val="2"/>
    <w:pPr>
      <w:widowControl w:val="0"/>
    </w:pPr>
    <w:rPr>
      <w:rFonts w:ascii="Calibri" w:hAnsi="Calibri"/>
      <w:sz w:val="22"/>
      <w:szCs w:val="22"/>
      <w:lang w:eastAsia="en-US"/>
    </w:rPr>
    <w:tblPr>
      <w:tblCellMar>
        <w:top w:w="0" w:type="dxa"/>
        <w:left w:w="0" w:type="dxa"/>
        <w:bottom w:w="0" w:type="dxa"/>
        <w:right w:w="0" w:type="dxa"/>
      </w:tblCellMar>
    </w:tblPr>
  </w:style>
  <w:style w:type="character" w:customStyle="1" w:styleId="132">
    <w:name w:val="页脚 字符"/>
    <w:basedOn w:val="38"/>
    <w:link w:val="23"/>
    <w:qFormat/>
    <w:uiPriority w:val="99"/>
    <w:rPr>
      <w:kern w:val="2"/>
      <w:sz w:val="18"/>
    </w:rPr>
  </w:style>
  <w:style w:type="character" w:customStyle="1" w:styleId="133">
    <w:name w:val="标题 3 字符"/>
    <w:basedOn w:val="38"/>
    <w:link w:val="4"/>
    <w:qFormat/>
    <w:uiPriority w:val="99"/>
    <w:rPr>
      <w:b/>
      <w:bCs/>
      <w:kern w:val="2"/>
      <w:sz w:val="30"/>
      <w:szCs w:val="21"/>
    </w:rPr>
  </w:style>
  <w:style w:type="paragraph" w:customStyle="1" w:styleId="134">
    <w:name w:val="邵正文"/>
    <w:qFormat/>
    <w:uiPriority w:val="0"/>
    <w:pPr>
      <w:widowControl/>
      <w:ind w:firstLine="200"/>
    </w:pPr>
    <w:rPr>
      <w:rFonts w:ascii="Times New Roman" w:hAnsi="Times New Roman" w:eastAsia="宋体" w:cs="宋体"/>
      <w:spacing w:val="0"/>
      <w:kern w:val="0"/>
      <w:szCs w:val="24"/>
    </w:rPr>
  </w:style>
  <w:style w:type="paragraph" w:customStyle="1" w:styleId="135">
    <w:name w:val="邵插图"/>
    <w:basedOn w:val="134"/>
    <w:next w:val="134"/>
    <w:qFormat/>
    <w:uiPriority w:val="0"/>
    <w:pPr>
      <w:ind w:firstLine="0" w:firstLineChars="0"/>
      <w:jc w:val="center"/>
    </w:pPr>
    <w:rPr>
      <w:rFonts w:eastAsia="黑体"/>
      <w:b/>
    </w:rPr>
  </w:style>
  <w:style w:type="paragraph" w:customStyle="1" w:styleId="136">
    <w:name w:val="表格文字"/>
    <w:basedOn w:val="10"/>
    <w:next w:val="10"/>
    <w:qFormat/>
    <w:uiPriority w:val="0"/>
    <w:pPr>
      <w:tabs>
        <w:tab w:val="left" w:pos="1119"/>
      </w:tabs>
      <w:spacing w:after="0"/>
      <w:jc w:val="center"/>
    </w:pPr>
    <w:rPr>
      <w:snapToGrid w:val="0"/>
      <w:color w:val="000000"/>
      <w:kern w:val="0"/>
      <w:szCs w:val="18"/>
    </w:rPr>
  </w:style>
  <w:style w:type="paragraph" w:customStyle="1" w:styleId="137">
    <w:name w:val="邵表头"/>
    <w:basedOn w:val="134"/>
    <w:next w:val="134"/>
    <w:qFormat/>
    <w:uiPriority w:val="0"/>
    <w:pPr>
      <w:spacing w:line="240" w:lineRule="auto"/>
      <w:ind w:firstLine="0" w:firstLineChars="0"/>
      <w:jc w:val="center"/>
    </w:pPr>
    <w:rPr>
      <w:rFonts w:hAnsi="Times New Roman" w:eastAsia="黑体"/>
      <w:b/>
      <w:sz w:val="21"/>
      <w:szCs w:val="22"/>
    </w:rPr>
  </w:style>
  <w:style w:type="paragraph" w:customStyle="1" w:styleId="138">
    <w:name w:val="样式 首行缩进:  2 字符1"/>
    <w:basedOn w:val="1"/>
    <w:qFormat/>
    <w:uiPriority w:val="0"/>
    <w:pPr>
      <w:spacing w:before="120" w:line="400" w:lineRule="exact"/>
      <w:ind w:firstLine="200" w:firstLineChars="200"/>
    </w:pPr>
    <w:rPr>
      <w:szCs w:val="20"/>
    </w:rPr>
  </w:style>
  <w:style w:type="paragraph" w:customStyle="1" w:styleId="139">
    <w:name w:val="邵三级标题"/>
    <w:basedOn w:val="4"/>
    <w:next w:val="134"/>
    <w:link w:val="146"/>
    <w:qFormat/>
    <w:uiPriority w:val="0"/>
    <w:rPr>
      <w:sz w:val="28"/>
      <w:szCs w:val="22"/>
    </w:rPr>
  </w:style>
  <w:style w:type="paragraph" w:customStyle="1" w:styleId="140">
    <w:name w:val="邵四级标题"/>
    <w:basedOn w:val="34"/>
    <w:next w:val="134"/>
    <w:qFormat/>
    <w:uiPriority w:val="0"/>
    <w:pPr>
      <w:keepLines/>
      <w:spacing w:before="60" w:line="360" w:lineRule="auto"/>
      <w:jc w:val="left"/>
      <w:outlineLvl w:val="3"/>
    </w:pPr>
    <w:rPr>
      <w:rFonts w:ascii="Times New Roman" w:hAnsi="Times New Roman"/>
      <w:sz w:val="24"/>
      <w:szCs w:val="22"/>
    </w:rPr>
  </w:style>
  <w:style w:type="character" w:customStyle="1" w:styleId="141">
    <w:name w:val="font31"/>
    <w:basedOn w:val="38"/>
    <w:qFormat/>
    <w:uiPriority w:val="0"/>
    <w:rPr>
      <w:rFonts w:hint="default" w:ascii="Times New Roman" w:hAnsi="Times New Roman" w:cs="Times New Roman"/>
      <w:color w:val="FF0000"/>
      <w:sz w:val="18"/>
      <w:szCs w:val="18"/>
      <w:u w:val="none"/>
    </w:rPr>
  </w:style>
  <w:style w:type="character" w:customStyle="1" w:styleId="142">
    <w:name w:val="font41"/>
    <w:basedOn w:val="38"/>
    <w:qFormat/>
    <w:uiPriority w:val="0"/>
    <w:rPr>
      <w:rFonts w:hint="default" w:ascii="Times New Roman" w:hAnsi="Times New Roman" w:cs="Times New Roman"/>
      <w:color w:val="000000"/>
      <w:sz w:val="21"/>
      <w:szCs w:val="21"/>
      <w:u w:val="none"/>
    </w:rPr>
  </w:style>
  <w:style w:type="character" w:customStyle="1" w:styleId="143">
    <w:name w:val="font81"/>
    <w:basedOn w:val="38"/>
    <w:qFormat/>
    <w:uiPriority w:val="0"/>
    <w:rPr>
      <w:rFonts w:hint="default" w:ascii="Times New Roman" w:hAnsi="Times New Roman" w:cs="Times New Roman"/>
      <w:color w:val="000000"/>
      <w:sz w:val="24"/>
      <w:szCs w:val="24"/>
      <w:u w:val="none"/>
      <w:vertAlign w:val="superscript"/>
    </w:rPr>
  </w:style>
  <w:style w:type="character" w:customStyle="1" w:styleId="144">
    <w:name w:val="font51"/>
    <w:basedOn w:val="38"/>
    <w:qFormat/>
    <w:uiPriority w:val="0"/>
    <w:rPr>
      <w:rFonts w:hint="eastAsia" w:ascii="宋体" w:hAnsi="宋体" w:eastAsia="宋体"/>
      <w:color w:val="000000"/>
      <w:sz w:val="21"/>
      <w:szCs w:val="21"/>
      <w:u w:val="none"/>
    </w:rPr>
  </w:style>
  <w:style w:type="paragraph" w:customStyle="1" w:styleId="145">
    <w:name w:val="邵表内容"/>
    <w:basedOn w:val="134"/>
    <w:qFormat/>
    <w:uiPriority w:val="0"/>
    <w:pPr>
      <w:spacing w:line="240" w:lineRule="auto"/>
      <w:ind w:firstLine="0" w:firstLineChars="0"/>
      <w:jc w:val="center"/>
    </w:pPr>
    <w:rPr>
      <w:sz w:val="21"/>
    </w:rPr>
  </w:style>
  <w:style w:type="character" w:customStyle="1" w:styleId="146">
    <w:name w:val="邵三级标题 Char"/>
    <w:link w:val="139"/>
    <w:qFormat/>
    <w:uiPriority w:val="0"/>
    <w:rPr>
      <w:sz w:val="28"/>
      <w:szCs w:val="22"/>
    </w:rPr>
  </w:style>
  <w:style w:type="paragraph" w:customStyle="1" w:styleId="147">
    <w:name w:val="00表"/>
    <w:qFormat/>
    <w:uiPriority w:val="0"/>
    <w:pPr>
      <w:jc w:val="center"/>
    </w:pPr>
    <w:rPr>
      <w:rFonts w:ascii="Times New Roman" w:hAnsi="Times New Roman" w:eastAsia="宋体" w:cs="Times New Roman"/>
      <w:kern w:val="2"/>
      <w:sz w:val="21"/>
      <w:szCs w:val="21"/>
      <w:lang w:val="en-US" w:eastAsia="zh-CN" w:bidi="ar-SA"/>
    </w:rPr>
  </w:style>
  <w:style w:type="paragraph" w:customStyle="1" w:styleId="148">
    <w:name w:val="邵二级标题"/>
    <w:basedOn w:val="3"/>
    <w:next w:val="134"/>
    <w:qFormat/>
    <w:uiPriority w:val="0"/>
    <w:rPr>
      <w:color w:val="auto"/>
    </w:rPr>
  </w:style>
  <w:style w:type="paragraph" w:customStyle="1" w:styleId="149">
    <w:name w:val="YJ-正文"/>
    <w:basedOn w:val="1"/>
    <w:qFormat/>
    <w:uiPriority w:val="0"/>
    <w:pPr>
      <w:widowControl/>
      <w:spacing w:line="520" w:lineRule="exact"/>
      <w:ind w:firstLine="200" w:firstLineChars="200"/>
    </w:pPr>
    <w:rPr>
      <w:kern w:val="0"/>
      <w:sz w:val="24"/>
      <w:szCs w:val="22"/>
    </w:rPr>
  </w:style>
  <w:style w:type="paragraph" w:customStyle="1" w:styleId="150">
    <w:name w:val="title4"/>
    <w:basedOn w:val="1"/>
    <w:qFormat/>
    <w:uiPriority w:val="0"/>
    <w:pPr>
      <w:widowControl/>
      <w:outlineLvl w:val="3"/>
    </w:pPr>
    <w:rPr>
      <w:rFonts w:cs="宋体"/>
      <w:b/>
      <w:kern w:val="0"/>
    </w:rPr>
  </w:style>
  <w:style w:type="paragraph" w:customStyle="1" w:styleId="151">
    <w:name w:val="WPSOffice手动目录 1"/>
    <w:qFormat/>
    <w:uiPriority w:val="0"/>
    <w:pPr>
      <w:ind w:leftChars="0"/>
    </w:pPr>
    <w:rPr>
      <w:rFonts w:ascii="Times New Roman" w:hAnsi="Times New Roman" w:eastAsia="宋体" w:cs="Times New Roman"/>
      <w:sz w:val="20"/>
      <w:szCs w:val="20"/>
    </w:rPr>
  </w:style>
  <w:style w:type="paragraph" w:customStyle="1" w:styleId="152">
    <w:name w:val="WPSOffice手动目录 2"/>
    <w:qFormat/>
    <w:uiPriority w:val="0"/>
    <w:pPr>
      <w:ind w:leftChars="200"/>
    </w:pPr>
    <w:rPr>
      <w:rFonts w:ascii="Times New Roman" w:hAnsi="Times New Roman" w:eastAsia="宋体" w:cs="Times New Roman"/>
      <w:sz w:val="20"/>
      <w:szCs w:val="20"/>
    </w:rPr>
  </w:style>
  <w:style w:type="character" w:customStyle="1" w:styleId="153">
    <w:name w:val="font11"/>
    <w:basedOn w:val="38"/>
    <w:qFormat/>
    <w:uiPriority w:val="0"/>
    <w:rPr>
      <w:rFonts w:hint="default" w:ascii="Times New Roman" w:hAnsi="Times New Roman" w:cs="Times New Roman"/>
      <w:color w:val="000000"/>
      <w:sz w:val="15"/>
      <w:szCs w:val="15"/>
      <w:u w:val="none"/>
    </w:rPr>
  </w:style>
  <w:style w:type="paragraph" w:customStyle="1" w:styleId="154">
    <w:name w:val="样式 样式 (中文) 楷体_GB2312 四号 行距: 固定值 26 磅 +"/>
    <w:basedOn w:val="1"/>
    <w:qFormat/>
    <w:uiPriority w:val="0"/>
    <w:pPr>
      <w:spacing w:line="360" w:lineRule="auto"/>
      <w:ind w:firstLine="480" w:firstLineChars="200"/>
    </w:pPr>
    <w:rPr>
      <w:kern w:val="0"/>
      <w:sz w:val="24"/>
    </w:rPr>
  </w:style>
  <w:style w:type="character" w:customStyle="1" w:styleId="155">
    <w:name w:val="报告书正文 Char"/>
    <w:link w:val="71"/>
    <w:qFormat/>
    <w:uiPriority w:val="0"/>
    <w:rPr>
      <w:rFonts w:cs="宋体"/>
      <w:kern w:val="0"/>
      <w:szCs w:val="24"/>
    </w:rPr>
  </w:style>
  <w:style w:type="paragraph" w:customStyle="1" w:styleId="156">
    <w:name w:val="表头标题格式"/>
    <w:basedOn w:val="1"/>
    <w:qFormat/>
    <w:uiPriority w:val="0"/>
    <w:pPr>
      <w:tabs>
        <w:tab w:val="left" w:pos="360"/>
        <w:tab w:val="left" w:pos="1620"/>
      </w:tabs>
      <w:jc w:val="center"/>
    </w:pPr>
    <w:rPr>
      <w:rFonts w:ascii="黑体" w:hAnsi="黑体" w:eastAsia="黑体" w:cs="Times New Roman"/>
      <w:b/>
      <w:bCs/>
      <w:kern w:val="0"/>
      <w:sz w:val="24"/>
      <w:szCs w:val="20"/>
    </w:rPr>
  </w:style>
  <w:style w:type="paragraph" w:customStyle="1" w:styleId="157">
    <w:name w:val="任表格文字"/>
    <w:next w:val="1"/>
    <w:qFormat/>
    <w:uiPriority w:val="0"/>
    <w:pPr>
      <w:tabs>
        <w:tab w:val="left" w:pos="1119"/>
      </w:tabs>
      <w:spacing w:line="360" w:lineRule="exact"/>
      <w:ind w:left="0" w:leftChars="0" w:firstLine="0" w:firstLineChars="0"/>
      <w:jc w:val="center"/>
    </w:pPr>
    <w:rPr>
      <w:rFonts w:ascii="Times New Roman" w:hAnsi="Times New Roman" w:eastAsia="宋体" w:cs="Times New Roman"/>
      <w:snapToGrid w:val="0"/>
      <w:color w:val="000000"/>
      <w:sz w:val="21"/>
      <w:szCs w:val="18"/>
    </w:rPr>
  </w:style>
  <w:style w:type="paragraph" w:customStyle="1" w:styleId="158">
    <w:name w:val="表格内的文字"/>
    <w:basedOn w:val="159"/>
    <w:qFormat/>
    <w:uiPriority w:val="99"/>
    <w:pPr>
      <w:adjustRightInd w:val="0"/>
      <w:spacing w:line="360" w:lineRule="exact"/>
      <w:ind w:firstLine="0" w:firstLineChars="0"/>
      <w:jc w:val="center"/>
      <w:textAlignment w:val="baseline"/>
    </w:pPr>
    <w:rPr>
      <w:kern w:val="0"/>
      <w:sz w:val="21"/>
      <w:szCs w:val="21"/>
    </w:rPr>
  </w:style>
  <w:style w:type="paragraph" w:customStyle="1" w:styleId="159">
    <w:name w:val="说明书正文"/>
    <w:basedOn w:val="1"/>
    <w:qFormat/>
    <w:uiPriority w:val="0"/>
    <w:pPr>
      <w:adjustRightInd w:val="0"/>
      <w:spacing w:line="440" w:lineRule="exact"/>
      <w:textAlignment w:val="baseline"/>
    </w:pPr>
    <w:rPr>
      <w:kern w:val="0"/>
    </w:rPr>
  </w:style>
  <w:style w:type="paragraph" w:customStyle="1" w:styleId="160">
    <w:name w:val="报告正文"/>
    <w:qFormat/>
    <w:uiPriority w:val="0"/>
    <w:pPr>
      <w:widowControl w:val="0"/>
      <w:autoSpaceDE w:val="0"/>
      <w:autoSpaceDN w:val="0"/>
      <w:adjustRightInd w:val="0"/>
      <w:snapToGrid w:val="0"/>
      <w:spacing w:line="360" w:lineRule="auto"/>
      <w:ind w:firstLine="480" w:firstLineChars="200"/>
      <w:jc w:val="both"/>
    </w:pPr>
    <w:rPr>
      <w:rFonts w:ascii="宋体" w:hAnsi="宋体" w:eastAsia="宋体" w:cs="Times New Roman"/>
      <w:sz w:val="24"/>
      <w:szCs w:val="20"/>
      <w:lang w:val="en-US" w:eastAsia="zh-CN" w:bidi="ar-SA"/>
    </w:rPr>
  </w:style>
  <w:style w:type="paragraph" w:customStyle="1" w:styleId="161">
    <w:name w:val="AAP-正文"/>
    <w:qFormat/>
    <w:uiPriority w:val="0"/>
    <w:pPr>
      <w:widowControl w:val="0"/>
      <w:snapToGrid/>
      <w:spacing w:line="360" w:lineRule="auto"/>
      <w:ind w:firstLine="480" w:firstLineChars="200"/>
      <w:jc w:val="both"/>
    </w:pPr>
    <w:rPr>
      <w:rFonts w:ascii="Times New Roman" w:hAnsi="Times New Roman" w:eastAsia="宋体" w:cs="Times New Roman"/>
      <w:color w:val="auto"/>
      <w:kern w:val="2"/>
      <w:sz w:val="24"/>
      <w:szCs w:val="24"/>
      <w:lang w:val="en-US" w:eastAsia="zh-CN" w:bidi="ar-SA"/>
    </w:rPr>
  </w:style>
  <w:style w:type="paragraph" w:customStyle="1" w:styleId="162">
    <w:name w:val="样式30"/>
    <w:qFormat/>
    <w:uiPriority w:val="0"/>
    <w:pPr>
      <w:widowControl/>
      <w:snapToGrid w:val="0"/>
      <w:spacing w:line="400" w:lineRule="exact"/>
      <w:ind w:firstLine="480" w:firstLineChars="200"/>
    </w:pPr>
    <w:rPr>
      <w:rFonts w:ascii="宋体" w:hAnsi="宋体" w:eastAsia="宋体" w:cs="宋体"/>
      <w:color w:val="000000"/>
      <w:kern w:val="0"/>
      <w:sz w:val="24"/>
      <w:szCs w:val="24"/>
      <w:lang w:val="en-US" w:eastAsia="zh-CN" w:bidi="ar-SA"/>
    </w:rPr>
  </w:style>
  <w:style w:type="character" w:customStyle="1" w:styleId="163">
    <w:name w:val="！正文 Char Char"/>
    <w:qFormat/>
    <w:uiPriority w:val="0"/>
    <w:rPr>
      <w:kern w:val="2"/>
      <w:sz w:val="24"/>
    </w:rPr>
  </w:style>
  <w:style w:type="paragraph" w:customStyle="1" w:styleId="164">
    <w:name w:val="00正文"/>
    <w:qFormat/>
    <w:uiPriority w:val="0"/>
    <w:pPr>
      <w:spacing w:line="360" w:lineRule="auto"/>
      <w:ind w:firstLine="480" w:firstLineChars="200"/>
      <w:jc w:val="both"/>
    </w:pPr>
    <w:rPr>
      <w:rFonts w:ascii="Arial" w:hAnsi="宋体" w:eastAsia="Arial" w:cs="Arial"/>
      <w:bCs/>
      <w:sz w:val="24"/>
      <w:szCs w:val="24"/>
      <w:lang w:val="en-US" w:eastAsia="zh-CN" w:bidi="ar-SA"/>
    </w:rPr>
  </w:style>
  <w:style w:type="paragraph" w:customStyle="1" w:styleId="165">
    <w:name w:val="MEL正文*"/>
    <w:qFormat/>
    <w:uiPriority w:val="0"/>
    <w:pPr>
      <w:spacing w:line="500" w:lineRule="exact"/>
      <w:ind w:firstLine="200" w:firstLineChars="200"/>
    </w:pPr>
    <w:rPr>
      <w:rFonts w:ascii="宋体" w:hAnsi="宋体" w:eastAsia="宋体" w:cs="宋体"/>
      <w:kern w:val="0"/>
      <w:sz w:val="24"/>
      <w:szCs w:val="24"/>
      <w:lang w:val="en-US" w:eastAsia="zh-CN" w:bidi="ar-SA"/>
    </w:rPr>
  </w:style>
  <w:style w:type="paragraph" w:customStyle="1" w:styleId="166">
    <w:name w:val="SSEC 表字居中"/>
    <w:qFormat/>
    <w:uiPriority w:val="0"/>
    <w:pPr>
      <w:widowControl w:val="0"/>
      <w:adjustRightInd w:val="0"/>
      <w:snapToGrid w:val="0"/>
      <w:jc w:val="center"/>
      <w:textAlignment w:val="center"/>
    </w:pPr>
    <w:rPr>
      <w:rFonts w:ascii="宋体" w:hAnsi="Times New Roman" w:eastAsia="宋体" w:cs="Times New Roman"/>
      <w:kern w:val="2"/>
      <w:sz w:val="21"/>
      <w:szCs w:val="21"/>
      <w:lang w:val="en-US" w:eastAsia="zh-CN" w:bidi="ar-SA"/>
    </w:rPr>
  </w:style>
  <w:style w:type="character" w:customStyle="1" w:styleId="167">
    <w:name w:val="font01"/>
    <w:qFormat/>
    <w:uiPriority w:val="0"/>
    <w:rPr>
      <w:rFonts w:hint="eastAsia" w:ascii="微软雅黑" w:hAnsi="微软雅黑" w:eastAsia="微软雅黑" w:cs="微软雅黑"/>
      <w:b/>
      <w:color w:val="FF0000"/>
      <w:sz w:val="20"/>
      <w:szCs w:val="20"/>
      <w:u w:val="none"/>
    </w:rPr>
  </w:style>
  <w:style w:type="paragraph" w:customStyle="1" w:styleId="168">
    <w:name w:val="图名（居中）"/>
    <w:qFormat/>
    <w:uiPriority w:val="99"/>
    <w:pPr>
      <w:spacing w:line="360" w:lineRule="auto"/>
      <w:ind w:firstLine="482"/>
      <w:jc w:val="center"/>
    </w:pPr>
    <w:rPr>
      <w:rFonts w:ascii="Times New Roman" w:hAnsi="Times New Roman" w:eastAsia="宋体" w:cs="宋体"/>
      <w:b/>
      <w:kern w:val="24"/>
      <w:sz w:val="24"/>
      <w:szCs w:val="24"/>
      <w:lang w:val="en-US" w:eastAsia="zh-CN" w:bidi="ar-SA"/>
    </w:rPr>
  </w:style>
  <w:style w:type="paragraph" w:customStyle="1" w:styleId="169">
    <w:name w:val="表格内容1"/>
    <w:qFormat/>
    <w:uiPriority w:val="0"/>
    <w:pPr>
      <w:tabs>
        <w:tab w:val="left" w:pos="1535"/>
        <w:tab w:val="left" w:pos="3105"/>
        <w:tab w:val="left" w:pos="4676"/>
        <w:tab w:val="left" w:pos="6247"/>
        <w:tab w:val="left" w:pos="7740"/>
        <w:tab w:val="left" w:pos="9288"/>
      </w:tabs>
      <w:adjustRightInd w:val="0"/>
      <w:snapToGrid w:val="0"/>
      <w:spacing w:line="300" w:lineRule="atLeast"/>
      <w:jc w:val="center"/>
      <w:textAlignment w:val="baseline"/>
    </w:pPr>
    <w:rPr>
      <w:rFonts w:ascii="Times New Roman" w:hAnsi="Times New Roman" w:eastAsia="宋体" w:cs="宋体"/>
      <w:sz w:val="24"/>
      <w:szCs w:val="24"/>
      <w:lang w:val="en-US" w:eastAsia="zh-CN" w:bidi="ar-SA"/>
    </w:rPr>
  </w:style>
  <w:style w:type="paragraph" w:customStyle="1" w:styleId="170">
    <w:name w:val="A-表格文字"/>
    <w:next w:val="1"/>
    <w:qFormat/>
    <w:uiPriority w:val="0"/>
    <w:pPr>
      <w:widowControl w:val="0"/>
      <w:autoSpaceDE w:val="0"/>
      <w:autoSpaceDN w:val="0"/>
      <w:adjustRightInd w:val="0"/>
      <w:jc w:val="center"/>
      <w:textAlignment w:val="center"/>
    </w:pPr>
    <w:rPr>
      <w:rFonts w:ascii="Times New Roman" w:hAnsi="Times New Roman" w:eastAsia="宋体" w:cs="Times New Roman"/>
      <w:kern w:val="0"/>
      <w:sz w:val="21"/>
      <w:szCs w:val="21"/>
      <w:lang w:val="en-US" w:eastAsia="zh-CN" w:bidi="ar-SA"/>
    </w:rPr>
  </w:style>
  <w:style w:type="paragraph" w:customStyle="1" w:styleId="171">
    <w:name w:val="!表格"/>
    <w:basedOn w:val="1"/>
    <w:qFormat/>
    <w:uiPriority w:val="0"/>
    <w:pPr>
      <w:spacing w:beforeLines="50" w:afterLines="50"/>
      <w:ind w:firstLine="0" w:firstLineChars="0"/>
      <w:jc w:val="left"/>
    </w:pPr>
    <w:rPr>
      <w:rFonts w:ascii="宋体" w:hAnsi="宋体" w:eastAsia="黑体"/>
      <w:color w:val="000000"/>
      <w:sz w:val="28"/>
      <w:szCs w:val="21"/>
    </w:rPr>
  </w:style>
  <w:style w:type="character" w:customStyle="1" w:styleId="172">
    <w:name w:val="正文缩进 Char Char Char Char2"/>
    <w:qFormat/>
    <w:uiPriority w:val="0"/>
    <w:rPr>
      <w:rFonts w:eastAsia="宋体"/>
      <w:kern w:val="2"/>
      <w:sz w:val="32"/>
      <w:lang w:val="en-US" w:eastAsia="zh-CN" w:bidi="ar-SA"/>
    </w:rPr>
  </w:style>
  <w:style w:type="paragraph" w:customStyle="1" w:styleId="173">
    <w:name w:val="SSEC 正文"/>
    <w:qFormat/>
    <w:uiPriority w:val="0"/>
    <w:pPr>
      <w:widowControl w:val="0"/>
      <w:adjustRightInd w:val="0"/>
      <w:snapToGrid w:val="0"/>
      <w:spacing w:line="331" w:lineRule="auto"/>
      <w:ind w:firstLine="200" w:firstLineChars="200"/>
      <w:jc w:val="both"/>
    </w:pPr>
    <w:rPr>
      <w:rFonts w:ascii="宋体" w:hAnsi="宋体" w:eastAsia="宋体" w:cs="Times New Roman"/>
      <w:kern w:val="2"/>
      <w:sz w:val="24"/>
      <w:szCs w:val="24"/>
      <w:lang w:val="en-US" w:eastAsia="zh-CN" w:bidi="ar-SA"/>
    </w:rPr>
  </w:style>
  <w:style w:type="paragraph" w:customStyle="1" w:styleId="174">
    <w:name w:val="AF-表中表"/>
    <w:basedOn w:val="1"/>
    <w:qFormat/>
    <w:uiPriority w:val="0"/>
    <w:pPr>
      <w:adjustRightInd w:val="0"/>
      <w:snapToGrid w:val="0"/>
      <w:jc w:val="center"/>
    </w:pPr>
    <w:rPr>
      <w:rFonts w:ascii="Times New Roman" w:hAnsi="Times New Roman" w:cs="Times New Roman"/>
      <w:snapToGrid w:val="0"/>
      <w:sz w:val="21"/>
      <w:szCs w:val="21"/>
    </w:rPr>
  </w:style>
  <w:style w:type="paragraph" w:customStyle="1" w:styleId="175">
    <w:name w:val="STC表头"/>
    <w:basedOn w:val="1"/>
    <w:qFormat/>
    <w:uiPriority w:val="0"/>
    <w:pPr>
      <w:adjustRightInd w:val="0"/>
      <w:snapToGrid w:val="0"/>
      <w:spacing w:before="50" w:beforeLines="50"/>
      <w:jc w:val="center"/>
    </w:pPr>
    <w:rPr>
      <w:rFonts w:ascii="宋体" w:hAnsi="宋体" w:cs="宋体"/>
    </w:rPr>
  </w:style>
  <w:style w:type="paragraph" w:customStyle="1" w:styleId="176">
    <w:name w:val="STC 表格"/>
    <w:basedOn w:val="1"/>
    <w:qFormat/>
    <w:uiPriority w:val="0"/>
    <w:pPr>
      <w:widowControl w:val="0"/>
      <w:adjustRightInd w:val="0"/>
      <w:snapToGrid w:val="0"/>
      <w:jc w:val="center"/>
      <w:textAlignment w:val="center"/>
    </w:pPr>
    <w:rPr>
      <w:rFonts w:ascii="Times New Roman" w:hAnsi="Times New Roman" w:cs="Times New Roman"/>
      <w:sz w:val="20"/>
      <w:szCs w:val="20"/>
    </w:rPr>
  </w:style>
  <w:style w:type="character" w:customStyle="1" w:styleId="177">
    <w:name w:val="font61"/>
    <w:basedOn w:val="38"/>
    <w:qFormat/>
    <w:uiPriority w:val="0"/>
    <w:rPr>
      <w:rFonts w:ascii="宋体" w:hAnsi="宋体" w:eastAsia="宋体" w:cs="宋体"/>
      <w:color w:val="000000"/>
      <w:sz w:val="10"/>
      <w:szCs w:val="10"/>
      <w:u w:val="none"/>
    </w:rPr>
  </w:style>
  <w:style w:type="character" w:customStyle="1" w:styleId="178">
    <w:name w:val="font91"/>
    <w:basedOn w:val="38"/>
    <w:qFormat/>
    <w:uiPriority w:val="0"/>
    <w:rPr>
      <w:rFonts w:ascii="Calibri" w:hAnsi="Calibri" w:cs="Calibri"/>
      <w:color w:val="000000"/>
      <w:sz w:val="10"/>
      <w:szCs w:val="10"/>
      <w:u w:val="none"/>
    </w:rPr>
  </w:style>
  <w:style w:type="paragraph" w:customStyle="1" w:styleId="179">
    <w:name w:val="Table Text"/>
    <w:basedOn w:val="1"/>
    <w:semiHidden/>
    <w:qFormat/>
    <w:uiPriority w:val="0"/>
    <w:rPr>
      <w:rFonts w:ascii="宋体" w:hAnsi="宋体" w:eastAsia="宋体" w:cs="宋体"/>
      <w:sz w:val="17"/>
      <w:szCs w:val="17"/>
      <w:lang w:val="en-US" w:eastAsia="en-US" w:bidi="ar-SA"/>
    </w:rPr>
  </w:style>
  <w:style w:type="paragraph" w:customStyle="1" w:styleId="180">
    <w:name w:val="WPSOffice手动目录 3"/>
    <w:qFormat/>
    <w:uiPriority w:val="0"/>
    <w:pPr>
      <w:ind w:leftChars="400"/>
    </w:pPr>
    <w:rPr>
      <w:rFonts w:ascii="Times New Roman" w:hAnsi="Times New Roman" w:eastAsia="宋体" w:cs="Times New Roman"/>
      <w:sz w:val="20"/>
      <w:szCs w:val="20"/>
    </w:rPr>
  </w:style>
  <w:style w:type="character" w:customStyle="1" w:styleId="181">
    <w:name w:val="报告书三级标题 Char"/>
    <w:link w:val="54"/>
    <w:qFormat/>
    <w:uiPriority w:val="0"/>
    <w:rPr>
      <w:rFonts w:ascii="Times New Roman" w:hAnsi="Times New Roman" w:eastAsia="黑体"/>
      <w:b/>
      <w:sz w:val="24"/>
      <w:szCs w:val="22"/>
    </w:rPr>
  </w:style>
  <w:style w:type="character" w:customStyle="1" w:styleId="182">
    <w:name w:val="正文1 Char"/>
    <w:link w:val="79"/>
    <w:qFormat/>
    <w:uiPriority w:val="0"/>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2" Type="http://schemas.openxmlformats.org/officeDocument/2006/relationships/fontTable" Target="fontTable.xml"/><Relationship Id="rId71" Type="http://schemas.openxmlformats.org/officeDocument/2006/relationships/customXml" Target="../customXml/item2.xml"/><Relationship Id="rId70" Type="http://schemas.openxmlformats.org/officeDocument/2006/relationships/numbering" Target="numbering.xml"/><Relationship Id="rId7" Type="http://schemas.openxmlformats.org/officeDocument/2006/relationships/footer" Target="footer3.xml"/><Relationship Id="rId69" Type="http://schemas.openxmlformats.org/officeDocument/2006/relationships/customXml" Target="../customXml/item1.xml"/><Relationship Id="rId68" Type="http://schemas.openxmlformats.org/officeDocument/2006/relationships/image" Target="media/image54.png"/><Relationship Id="rId67" Type="http://schemas.openxmlformats.org/officeDocument/2006/relationships/image" Target="media/image53.wmf"/><Relationship Id="rId66" Type="http://schemas.openxmlformats.org/officeDocument/2006/relationships/image" Target="media/image52.wmf"/><Relationship Id="rId65" Type="http://schemas.openxmlformats.org/officeDocument/2006/relationships/image" Target="media/image51.png"/><Relationship Id="rId64" Type="http://schemas.openxmlformats.org/officeDocument/2006/relationships/image" Target="media/image50.png"/><Relationship Id="rId63" Type="http://schemas.openxmlformats.org/officeDocument/2006/relationships/image" Target="media/image49.png"/><Relationship Id="rId62" Type="http://schemas.openxmlformats.org/officeDocument/2006/relationships/image" Target="media/image48.png"/><Relationship Id="rId61" Type="http://schemas.openxmlformats.org/officeDocument/2006/relationships/image" Target="media/image47.png"/><Relationship Id="rId60" Type="http://schemas.openxmlformats.org/officeDocument/2006/relationships/image" Target="media/image46.png"/><Relationship Id="rId6" Type="http://schemas.openxmlformats.org/officeDocument/2006/relationships/header" Target="header2.xml"/><Relationship Id="rId59" Type="http://schemas.openxmlformats.org/officeDocument/2006/relationships/image" Target="media/image45.png"/><Relationship Id="rId58" Type="http://schemas.openxmlformats.org/officeDocument/2006/relationships/image" Target="media/image44.png"/><Relationship Id="rId57" Type="http://schemas.openxmlformats.org/officeDocument/2006/relationships/image" Target="media/image43.png"/><Relationship Id="rId56" Type="http://schemas.openxmlformats.org/officeDocument/2006/relationships/image" Target="media/image42.wmf"/><Relationship Id="rId55" Type="http://schemas.openxmlformats.org/officeDocument/2006/relationships/image" Target="media/image41.wmf"/><Relationship Id="rId54" Type="http://schemas.openxmlformats.org/officeDocument/2006/relationships/image" Target="media/image40.wmf"/><Relationship Id="rId53" Type="http://schemas.openxmlformats.org/officeDocument/2006/relationships/image" Target="media/image39.wmf"/><Relationship Id="rId52" Type="http://schemas.openxmlformats.org/officeDocument/2006/relationships/image" Target="media/image38.wmf"/><Relationship Id="rId51" Type="http://schemas.openxmlformats.org/officeDocument/2006/relationships/image" Target="media/image37.wmf"/><Relationship Id="rId50" Type="http://schemas.openxmlformats.org/officeDocument/2006/relationships/image" Target="media/image36.wmf"/><Relationship Id="rId5" Type="http://schemas.openxmlformats.org/officeDocument/2006/relationships/footer" Target="footer2.xml"/><Relationship Id="rId49" Type="http://schemas.openxmlformats.org/officeDocument/2006/relationships/image" Target="media/image35.wmf"/><Relationship Id="rId48" Type="http://schemas.openxmlformats.org/officeDocument/2006/relationships/image" Target="media/image34.wmf"/><Relationship Id="rId47" Type="http://schemas.openxmlformats.org/officeDocument/2006/relationships/image" Target="media/image33.wmf"/><Relationship Id="rId46" Type="http://schemas.openxmlformats.org/officeDocument/2006/relationships/image" Target="media/image32.wmf"/><Relationship Id="rId45" Type="http://schemas.openxmlformats.org/officeDocument/2006/relationships/image" Target="media/image31.wmf"/><Relationship Id="rId44" Type="http://schemas.openxmlformats.org/officeDocument/2006/relationships/image" Target="media/image30.wmf"/><Relationship Id="rId43" Type="http://schemas.openxmlformats.org/officeDocument/2006/relationships/image" Target="media/image29.wmf"/><Relationship Id="rId42" Type="http://schemas.openxmlformats.org/officeDocument/2006/relationships/image" Target="media/image28.wmf"/><Relationship Id="rId41" Type="http://schemas.openxmlformats.org/officeDocument/2006/relationships/image" Target="media/image27.wmf"/><Relationship Id="rId40" Type="http://schemas.openxmlformats.org/officeDocument/2006/relationships/image" Target="media/image26.wmf"/><Relationship Id="rId4" Type="http://schemas.openxmlformats.org/officeDocument/2006/relationships/footer" Target="footer1.xml"/><Relationship Id="rId39" Type="http://schemas.openxmlformats.org/officeDocument/2006/relationships/image" Target="media/image25.wmf"/><Relationship Id="rId38" Type="http://schemas.openxmlformats.org/officeDocument/2006/relationships/image" Target="media/image24.wmf"/><Relationship Id="rId37" Type="http://schemas.openxmlformats.org/officeDocument/2006/relationships/image" Target="media/image23.wmf"/><Relationship Id="rId36" Type="http://schemas.openxmlformats.org/officeDocument/2006/relationships/image" Target="media/image22.wmf"/><Relationship Id="rId35" Type="http://schemas.openxmlformats.org/officeDocument/2006/relationships/oleObject" Target="embeddings/oleObject6.bin"/><Relationship Id="rId34" Type="http://schemas.openxmlformats.org/officeDocument/2006/relationships/image" Target="media/image21.wmf"/><Relationship Id="rId33" Type="http://schemas.openxmlformats.org/officeDocument/2006/relationships/oleObject" Target="embeddings/oleObject5.bin"/><Relationship Id="rId32" Type="http://schemas.openxmlformats.org/officeDocument/2006/relationships/image" Target="media/image20.wmf"/><Relationship Id="rId31" Type="http://schemas.openxmlformats.org/officeDocument/2006/relationships/oleObject" Target="embeddings/oleObject4.bin"/><Relationship Id="rId30" Type="http://schemas.openxmlformats.org/officeDocument/2006/relationships/image" Target="media/image19.jpeg"/><Relationship Id="rId3" Type="http://schemas.openxmlformats.org/officeDocument/2006/relationships/header" Target="head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wmf"/><Relationship Id="rId24" Type="http://schemas.openxmlformats.org/officeDocument/2006/relationships/oleObject" Target="embeddings/oleObject3.bin"/><Relationship Id="rId23" Type="http://schemas.openxmlformats.org/officeDocument/2006/relationships/image" Target="media/image13.png"/><Relationship Id="rId22" Type="http://schemas.openxmlformats.org/officeDocument/2006/relationships/image" Target="media/image12.wmf"/><Relationship Id="rId21" Type="http://schemas.openxmlformats.org/officeDocument/2006/relationships/image" Target="media/image11.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wmf"/><Relationship Id="rId13" Type="http://schemas.openxmlformats.org/officeDocument/2006/relationships/oleObject" Target="embeddings/oleObject1.bin"/><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wmf"/><Relationship Id="rId1" Type="http://schemas.openxmlformats.org/officeDocument/2006/relationships/styles" Target="styles.xml"/></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66"/>
    <customShpInfo spid="_x0000_s206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5E73ACE-34C6-49BA-A99F-F0A2C538A19C}">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311</Pages>
  <Words>2259</Words>
  <Characters>2705</Characters>
  <Lines>389</Lines>
  <Paragraphs>372</Paragraphs>
  <TotalTime>3</TotalTime>
  <ScaleCrop>false</ScaleCrop>
  <LinksUpToDate>false</LinksUpToDate>
  <CharactersWithSpaces>2882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2022-06-07T03:59:00Z</dcterms:created>
  <dc:creator>Admin</dc:creator>
  <cp:lastModifiedBy>LinKang</cp:lastModifiedBy>
  <cp:lastPrinted>2025-08-04T09:18:00Z</cp:lastPrinted>
  <dcterms:modified xsi:type="dcterms:W3CDTF">2025-09-04T05:25:00Z</dcterms:modified>
  <cp:revision>279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336C4A86B78D4FEBB96FC1A2DCF35E72_13</vt:lpwstr>
  </property>
  <property fmtid="{D5CDD505-2E9C-101B-9397-08002B2CF9AE}" pid="4" name="KSOTemplateDocerSaveRecord">
    <vt:lpwstr>eyJoZGlkIjoiNWFlMmM2NDk4NmQ2NGZkNDg0YTI4NTAyMzE0YmExNzMiLCJ1c2VySWQiOiIxMDQzNDQ3MjQ0In0=</vt:lpwstr>
  </property>
</Properties>
</file>